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Ex1.xml" ContentType="application/vnd.ms-office.chartex+xml"/>
  <Override PartName="/word/charts/style17.xml" ContentType="application/vnd.ms-office.chartstyle+xml"/>
  <Override PartName="/word/charts/colors17.xml" ContentType="application/vnd.ms-office.chartcolorstyle+xml"/>
  <Override PartName="/word/charts/chartEx2.xml" ContentType="application/vnd.ms-office.chartex+xml"/>
  <Override PartName="/word/charts/style18.xml" ContentType="application/vnd.ms-office.chartstyle+xml"/>
  <Override PartName="/word/charts/colors18.xml" ContentType="application/vnd.ms-office.chartcolorstyle+xml"/>
  <Override PartName="/word/charts/chart17.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18.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19.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0.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1.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2.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Ex3.xml" ContentType="application/vnd.ms-office.chartex+xml"/>
  <Override PartName="/word/charts/style25.xml" ContentType="application/vnd.ms-office.chartstyle+xml"/>
  <Override PartName="/word/charts/colors25.xml" ContentType="application/vnd.ms-office.chartcolorstyle+xml"/>
  <Override PartName="/word/charts/chartEx4.xml" ContentType="application/vnd.ms-office.chartex+xml"/>
  <Override PartName="/word/charts/style26.xml" ContentType="application/vnd.ms-office.chartstyle+xml"/>
  <Override PartName="/word/charts/colors26.xml" ContentType="application/vnd.ms-office.chartcolorstyle+xml"/>
  <Override PartName="/word/charts/chart23.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4.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5.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26.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27.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28.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29.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0.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1.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2.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3.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4.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5.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36.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37.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38.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39.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0.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1.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2.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3.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4.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45.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46.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47.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48.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49.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0.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1.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52.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53.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54.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55.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56.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57.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58.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59.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0.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61.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62.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63.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64.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65.xml" ContentType="application/vnd.openxmlformats-officedocument.drawingml.chart+xml"/>
  <Override PartName="/word/charts/style69.xml" ContentType="application/vnd.ms-office.chartstyle+xml"/>
  <Override PartName="/word/charts/colors69.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206" w:type="dxa"/>
        <w:jc w:val="center"/>
        <w:tblLayout w:type="fixed"/>
        <w:tblLook w:val="04A0" w:firstRow="1" w:lastRow="0" w:firstColumn="1" w:lastColumn="0" w:noHBand="0" w:noVBand="1"/>
      </w:tblPr>
      <w:tblGrid>
        <w:gridCol w:w="2410"/>
        <w:gridCol w:w="5744"/>
        <w:gridCol w:w="2052"/>
      </w:tblGrid>
      <w:tr w:rsidR="002C2F27" w:rsidRPr="00886958" w14:paraId="767DD2F1" w14:textId="77777777" w:rsidTr="002C2F27">
        <w:trPr>
          <w:jc w:val="center"/>
        </w:trPr>
        <w:tc>
          <w:tcPr>
            <w:tcW w:w="2410" w:type="dxa"/>
            <w:vAlign w:val="center"/>
          </w:tcPr>
          <w:p w14:paraId="4556C521" w14:textId="0B4F2217" w:rsidR="002C2F27" w:rsidRPr="00886958" w:rsidRDefault="002C2F27" w:rsidP="007319FF">
            <w:pPr>
              <w:spacing w:before="0" w:after="0"/>
              <w:jc w:val="center"/>
              <w:rPr>
                <w:sz w:val="32"/>
                <w:szCs w:val="32"/>
                <w:lang w:val="sr-Cyrl-RS"/>
              </w:rPr>
            </w:pPr>
            <w:r w:rsidRPr="00886958">
              <w:rPr>
                <w:rFonts w:ascii="Tahoma" w:hAnsi="Tahoma" w:cs="Tahoma"/>
                <w:noProof/>
                <w:sz w:val="32"/>
                <w:szCs w:val="32"/>
              </w:rPr>
              <w:drawing>
                <wp:inline distT="0" distB="0" distL="0" distR="0" wp14:anchorId="290BD0D2" wp14:editId="4AC53A01">
                  <wp:extent cx="1393190" cy="132969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93190" cy="1329690"/>
                          </a:xfrm>
                          <a:prstGeom prst="rect">
                            <a:avLst/>
                          </a:prstGeom>
                          <a:noFill/>
                          <a:ln>
                            <a:noFill/>
                          </a:ln>
                        </pic:spPr>
                      </pic:pic>
                    </a:graphicData>
                  </a:graphic>
                </wp:inline>
              </w:drawing>
            </w:r>
          </w:p>
        </w:tc>
        <w:tc>
          <w:tcPr>
            <w:tcW w:w="5744" w:type="dxa"/>
            <w:vAlign w:val="center"/>
          </w:tcPr>
          <w:p w14:paraId="2CD56FB6" w14:textId="04EEBF1D" w:rsidR="002C2F27" w:rsidRPr="002C2F27" w:rsidRDefault="002C2F27" w:rsidP="00646F1A">
            <w:pPr>
              <w:spacing w:before="0"/>
              <w:jc w:val="center"/>
              <w:rPr>
                <w:sz w:val="34"/>
                <w:szCs w:val="34"/>
                <w:lang w:val="en-GB"/>
              </w:rPr>
            </w:pPr>
            <w:r>
              <w:rPr>
                <w:sz w:val="34"/>
                <w:szCs w:val="34"/>
                <w:lang w:val="en-GB"/>
              </w:rPr>
              <w:t>UNIVERSITY OF NOVI SAD</w:t>
            </w:r>
          </w:p>
          <w:p w14:paraId="18B89ED7" w14:textId="23026EA2" w:rsidR="002C2F27" w:rsidRPr="002C2F27" w:rsidRDefault="002C2F27" w:rsidP="00646F1A">
            <w:pPr>
              <w:pStyle w:val="BodyText"/>
              <w:jc w:val="center"/>
              <w:rPr>
                <w:sz w:val="28"/>
                <w:szCs w:val="28"/>
                <w:lang w:val="en-GB"/>
              </w:rPr>
            </w:pPr>
            <w:r>
              <w:rPr>
                <w:sz w:val="28"/>
                <w:szCs w:val="28"/>
                <w:lang w:val="en-GB"/>
              </w:rPr>
              <w:t>FACULTY OF TECHNICAL SCIENCES</w:t>
            </w:r>
          </w:p>
        </w:tc>
        <w:tc>
          <w:tcPr>
            <w:tcW w:w="2052" w:type="dxa"/>
            <w:vAlign w:val="center"/>
          </w:tcPr>
          <w:p w14:paraId="5EF84BB9" w14:textId="74A741C1" w:rsidR="002C2F27" w:rsidRPr="002C2F27" w:rsidRDefault="00115D81" w:rsidP="007319FF">
            <w:pPr>
              <w:spacing w:before="0" w:after="0"/>
              <w:jc w:val="center"/>
              <w:rPr>
                <w:lang w:val="sr-Cyrl-RS"/>
              </w:rPr>
            </w:pPr>
            <w:r>
              <w:rPr>
                <w:noProof/>
                <w:lang w:val="sr-Cyrl-RS"/>
              </w:rPr>
              <w:drawing>
                <wp:inline distT="0" distB="0" distL="0" distR="0" wp14:anchorId="4F9285F1" wp14:editId="63D4F8B9">
                  <wp:extent cx="1165860" cy="1281430"/>
                  <wp:effectExtent l="0" t="0" r="0" b="0"/>
                  <wp:docPr id="34" name="Picture 3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Logo&#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165860" cy="1281430"/>
                          </a:xfrm>
                          <a:prstGeom prst="rect">
                            <a:avLst/>
                          </a:prstGeom>
                        </pic:spPr>
                      </pic:pic>
                    </a:graphicData>
                  </a:graphic>
                </wp:inline>
              </w:drawing>
            </w:r>
          </w:p>
        </w:tc>
      </w:tr>
    </w:tbl>
    <w:p w14:paraId="5412667A" w14:textId="77777777" w:rsidR="002C2F27" w:rsidRPr="00886958" w:rsidRDefault="002C2F27" w:rsidP="002C2F27">
      <w:pPr>
        <w:jc w:val="center"/>
        <w:rPr>
          <w:sz w:val="32"/>
          <w:szCs w:val="32"/>
          <w:lang w:val="sr-Cyrl-RS"/>
        </w:rPr>
      </w:pPr>
    </w:p>
    <w:p w14:paraId="60F24B22" w14:textId="77777777" w:rsidR="002C2F27" w:rsidRDefault="002C2F27" w:rsidP="002C2F27">
      <w:pPr>
        <w:rPr>
          <w:rFonts w:ascii="Tahoma" w:hAnsi="Tahoma" w:cs="Tahoma"/>
          <w:sz w:val="32"/>
          <w:szCs w:val="32"/>
        </w:rPr>
      </w:pPr>
    </w:p>
    <w:p w14:paraId="4A393802" w14:textId="77777777" w:rsidR="002C2F27" w:rsidRPr="000465BD" w:rsidRDefault="002C2F27" w:rsidP="002C2F27">
      <w:pPr>
        <w:rPr>
          <w:lang w:val="ru-RU"/>
        </w:rPr>
      </w:pPr>
    </w:p>
    <w:p w14:paraId="10268AB5" w14:textId="77777777" w:rsidR="002C2F27" w:rsidRDefault="002C2F27" w:rsidP="002C2F27">
      <w:pPr>
        <w:rPr>
          <w:lang w:val="sr-Cyrl-RS"/>
        </w:rPr>
      </w:pPr>
    </w:p>
    <w:p w14:paraId="31A3FD66" w14:textId="77777777" w:rsidR="002C2F27" w:rsidRPr="009719FA" w:rsidRDefault="002C2F27" w:rsidP="002C2F27">
      <w:pPr>
        <w:rPr>
          <w:lang w:val="sr-Cyrl-RS"/>
        </w:rPr>
      </w:pPr>
    </w:p>
    <w:p w14:paraId="7B3CFC01" w14:textId="77777777" w:rsidR="002C2F27" w:rsidRPr="000465BD" w:rsidRDefault="002C2F27" w:rsidP="002C2F27">
      <w:pPr>
        <w:rPr>
          <w:lang w:val="ru-RU"/>
        </w:rPr>
      </w:pPr>
    </w:p>
    <w:p w14:paraId="6857736F" w14:textId="77777777" w:rsidR="00DE384D" w:rsidRDefault="00DE384D" w:rsidP="002C2F27">
      <w:pPr>
        <w:jc w:val="center"/>
        <w:rPr>
          <w:b/>
          <w:sz w:val="52"/>
          <w:szCs w:val="52"/>
          <w:lang w:val="ru-RU"/>
        </w:rPr>
      </w:pPr>
      <w:r w:rsidRPr="00DE384D">
        <w:rPr>
          <w:b/>
          <w:smallCaps/>
          <w:sz w:val="52"/>
          <w:szCs w:val="52"/>
          <w:lang w:val="ru-RU"/>
        </w:rPr>
        <w:t>The concept of functional-productiveness for modelling reliability in energy-based maintenance domain</w:t>
      </w:r>
    </w:p>
    <w:p w14:paraId="31164401" w14:textId="77E3818B" w:rsidR="002C2F27" w:rsidRPr="00DE384D" w:rsidRDefault="00DE384D" w:rsidP="002C2F27">
      <w:pPr>
        <w:jc w:val="center"/>
        <w:rPr>
          <w:lang w:val="en-GB"/>
        </w:rPr>
      </w:pPr>
      <w:r>
        <w:rPr>
          <w:sz w:val="28"/>
          <w:szCs w:val="28"/>
          <w:lang w:val="en-GB"/>
        </w:rPr>
        <w:t>DOCTORAL DISSERTATION</w:t>
      </w:r>
    </w:p>
    <w:p w14:paraId="3E3BB3E7" w14:textId="77777777" w:rsidR="002C2F27" w:rsidRDefault="002C2F27" w:rsidP="00DE384D">
      <w:pPr>
        <w:jc w:val="center"/>
        <w:rPr>
          <w:lang w:val="sr-Cyrl-RS"/>
        </w:rPr>
      </w:pPr>
    </w:p>
    <w:p w14:paraId="13718115" w14:textId="77777777" w:rsidR="002C2F27" w:rsidRPr="009719FA" w:rsidRDefault="002C2F27" w:rsidP="00DE384D">
      <w:pPr>
        <w:jc w:val="center"/>
        <w:rPr>
          <w:lang w:val="sr-Cyrl-RS"/>
        </w:rPr>
      </w:pPr>
    </w:p>
    <w:p w14:paraId="0471C625" w14:textId="77777777" w:rsidR="002C2F27" w:rsidRPr="000465BD" w:rsidRDefault="002C2F27" w:rsidP="00DE384D">
      <w:pPr>
        <w:jc w:val="center"/>
        <w:rPr>
          <w:lang w:val="ru-RU"/>
        </w:rPr>
      </w:pPr>
    </w:p>
    <w:p w14:paraId="60B6ED85" w14:textId="77777777" w:rsidR="002C2F27" w:rsidRDefault="002C2F27" w:rsidP="00DE384D">
      <w:pPr>
        <w:rPr>
          <w:lang w:val="ru-RU"/>
        </w:rPr>
      </w:pPr>
    </w:p>
    <w:p w14:paraId="64C2E0B4" w14:textId="77777777" w:rsidR="002C2F27" w:rsidRDefault="002C2F27" w:rsidP="002C2F27">
      <w:pPr>
        <w:jc w:val="center"/>
        <w:rPr>
          <w:lang w:val="ru-RU"/>
        </w:rPr>
      </w:pPr>
    </w:p>
    <w:p w14:paraId="23334DFB" w14:textId="77777777" w:rsidR="002C2F27" w:rsidRDefault="002C2F27" w:rsidP="002C2F27">
      <w:pPr>
        <w:jc w:val="center"/>
        <w:rPr>
          <w:lang w:val="ru-RU"/>
        </w:rPr>
      </w:pPr>
    </w:p>
    <w:p w14:paraId="1D402C25" w14:textId="77777777" w:rsidR="002C2F27" w:rsidRPr="000465BD" w:rsidRDefault="002C2F27" w:rsidP="002C2F27">
      <w:pPr>
        <w:jc w:val="center"/>
        <w:rPr>
          <w:lang w:val="ru-RU"/>
        </w:rPr>
      </w:pPr>
    </w:p>
    <w:p w14:paraId="41EA4C9A" w14:textId="77777777" w:rsidR="002C2F27" w:rsidRPr="000465BD" w:rsidRDefault="002C2F27" w:rsidP="002C2F27">
      <w:pPr>
        <w:jc w:val="center"/>
        <w:rPr>
          <w:lang w:val="ru-RU"/>
        </w:rPr>
      </w:pPr>
    </w:p>
    <w:p w14:paraId="54897C85" w14:textId="418C77A2" w:rsidR="002C2F27" w:rsidRPr="000465BD" w:rsidRDefault="00E12307" w:rsidP="002C2F27">
      <w:pPr>
        <w:rPr>
          <w:sz w:val="28"/>
          <w:szCs w:val="28"/>
          <w:lang w:val="ru-RU"/>
        </w:rPr>
      </w:pPr>
      <w:r>
        <w:rPr>
          <w:sz w:val="28"/>
          <w:szCs w:val="28"/>
          <w:lang w:val="en-GB"/>
        </w:rPr>
        <w:t>Mentor</w:t>
      </w:r>
      <w:r w:rsidR="002C2F27" w:rsidRPr="000465BD">
        <w:rPr>
          <w:sz w:val="28"/>
          <w:szCs w:val="28"/>
          <w:lang w:val="ru-RU"/>
        </w:rPr>
        <w:t xml:space="preserve">: </w:t>
      </w:r>
      <w:r w:rsidR="002C2F27">
        <w:rPr>
          <w:sz w:val="28"/>
          <w:szCs w:val="28"/>
          <w:lang w:val="sr-Cyrl-RS"/>
        </w:rPr>
        <w:tab/>
      </w:r>
      <w:r w:rsidR="002C2F27">
        <w:rPr>
          <w:sz w:val="28"/>
          <w:szCs w:val="28"/>
          <w:lang w:val="sr-Cyrl-RS"/>
        </w:rPr>
        <w:tab/>
      </w:r>
      <w:r w:rsidR="002C2F27">
        <w:rPr>
          <w:sz w:val="28"/>
          <w:szCs w:val="28"/>
          <w:lang w:val="sr-Cyrl-RS"/>
        </w:rPr>
        <w:tab/>
      </w:r>
      <w:r w:rsidR="002C2F27">
        <w:rPr>
          <w:sz w:val="28"/>
          <w:szCs w:val="28"/>
          <w:lang w:val="sr-Cyrl-RS"/>
        </w:rPr>
        <w:tab/>
      </w:r>
      <w:r w:rsidR="002C2F27">
        <w:rPr>
          <w:sz w:val="28"/>
          <w:szCs w:val="28"/>
          <w:lang w:val="sr-Cyrl-RS"/>
        </w:rPr>
        <w:tab/>
      </w:r>
      <w:r w:rsidR="002C2F27">
        <w:rPr>
          <w:sz w:val="28"/>
          <w:szCs w:val="28"/>
          <w:lang w:val="sr-Cyrl-RS"/>
        </w:rPr>
        <w:tab/>
      </w:r>
      <w:r w:rsidR="002C2F27">
        <w:rPr>
          <w:sz w:val="28"/>
          <w:szCs w:val="28"/>
          <w:lang w:val="sr-Cyrl-RS"/>
        </w:rPr>
        <w:tab/>
      </w:r>
      <w:r w:rsidR="002C2F27">
        <w:rPr>
          <w:sz w:val="28"/>
          <w:szCs w:val="28"/>
          <w:lang w:val="sr-Cyrl-RS"/>
        </w:rPr>
        <w:tab/>
      </w:r>
      <w:r>
        <w:rPr>
          <w:sz w:val="28"/>
          <w:szCs w:val="28"/>
          <w:lang w:val="en-GB"/>
        </w:rPr>
        <w:t>Candidate:</w:t>
      </w:r>
      <w:r w:rsidR="002C2F27" w:rsidRPr="000465BD">
        <w:rPr>
          <w:sz w:val="28"/>
          <w:szCs w:val="28"/>
          <w:lang w:val="ru-RU"/>
        </w:rPr>
        <w:t xml:space="preserve">          </w:t>
      </w:r>
    </w:p>
    <w:p w14:paraId="397AEC95" w14:textId="4971BD31" w:rsidR="002C2F27" w:rsidRPr="00FE160E" w:rsidRDefault="002C2F27" w:rsidP="00FE160E">
      <w:pPr>
        <w:ind w:right="-999"/>
        <w:jc w:val="left"/>
        <w:rPr>
          <w:sz w:val="28"/>
          <w:szCs w:val="28"/>
          <w:lang w:val="sr-Latn-RS"/>
        </w:rPr>
      </w:pPr>
      <w:r>
        <w:rPr>
          <w:sz w:val="28"/>
          <w:szCs w:val="28"/>
          <w:lang w:val="sr-Latn-RS"/>
        </w:rPr>
        <w:t>dr Mitar Jocanović</w:t>
      </w:r>
      <w:r w:rsidRPr="000465BD">
        <w:rPr>
          <w:sz w:val="28"/>
          <w:szCs w:val="28"/>
          <w:lang w:val="ru-RU"/>
        </w:rPr>
        <w:t xml:space="preserve">        </w:t>
      </w:r>
      <w:r>
        <w:rPr>
          <w:sz w:val="28"/>
          <w:szCs w:val="28"/>
          <w:lang w:val="sr-Cyrl-RS"/>
        </w:rPr>
        <w:tab/>
      </w:r>
      <w:r>
        <w:rPr>
          <w:sz w:val="28"/>
          <w:szCs w:val="28"/>
          <w:lang w:val="sr-Cyrl-RS"/>
        </w:rPr>
        <w:tab/>
      </w:r>
      <w:r>
        <w:rPr>
          <w:sz w:val="28"/>
          <w:szCs w:val="28"/>
          <w:lang w:val="sr-Cyrl-RS"/>
        </w:rPr>
        <w:tab/>
      </w:r>
      <w:r>
        <w:rPr>
          <w:sz w:val="28"/>
          <w:szCs w:val="28"/>
          <w:lang w:val="sr-Cyrl-RS"/>
        </w:rPr>
        <w:tab/>
        <w:t xml:space="preserve">           </w:t>
      </w:r>
      <w:r w:rsidR="00FE160E">
        <w:rPr>
          <w:sz w:val="28"/>
          <w:szCs w:val="28"/>
          <w:lang w:val="sr-Cyrl-RS"/>
        </w:rPr>
        <w:tab/>
      </w:r>
      <w:r w:rsidR="00E12307">
        <w:rPr>
          <w:sz w:val="28"/>
          <w:szCs w:val="28"/>
          <w:lang w:val="en-GB"/>
        </w:rPr>
        <w:t>Oro</w:t>
      </w:r>
      <w:r w:rsidR="00E12307">
        <w:rPr>
          <w:sz w:val="28"/>
          <w:szCs w:val="28"/>
          <w:lang w:val="sr-Latn-RS"/>
        </w:rPr>
        <w:t>šnjak Marko</w:t>
      </w:r>
      <w:r>
        <w:rPr>
          <w:sz w:val="28"/>
          <w:szCs w:val="28"/>
          <w:lang w:val="ru-RU"/>
        </w:rPr>
        <w:br/>
      </w:r>
    </w:p>
    <w:p w14:paraId="43974BD6" w14:textId="465B2B5B" w:rsidR="002C2F27" w:rsidRDefault="002C2F27" w:rsidP="002C2F27">
      <w:pPr>
        <w:ind w:right="-999"/>
        <w:rPr>
          <w:sz w:val="28"/>
          <w:szCs w:val="28"/>
          <w:lang w:val="ru-RU"/>
        </w:rPr>
      </w:pPr>
    </w:p>
    <w:p w14:paraId="329B2351" w14:textId="04A6AB6D" w:rsidR="00646F1A" w:rsidRDefault="00646F1A" w:rsidP="002C2F27">
      <w:pPr>
        <w:ind w:right="-999"/>
        <w:rPr>
          <w:sz w:val="28"/>
          <w:szCs w:val="28"/>
          <w:lang w:val="ru-RU"/>
        </w:rPr>
      </w:pPr>
    </w:p>
    <w:p w14:paraId="090B35A4" w14:textId="77777777" w:rsidR="00646F1A" w:rsidRDefault="00646F1A" w:rsidP="002C2F27">
      <w:pPr>
        <w:ind w:right="-999"/>
        <w:rPr>
          <w:sz w:val="28"/>
          <w:szCs w:val="28"/>
          <w:lang w:val="ru-RU"/>
        </w:rPr>
      </w:pPr>
    </w:p>
    <w:p w14:paraId="5C09E41F" w14:textId="3C216176" w:rsidR="002C2F27" w:rsidRPr="00646F1A" w:rsidRDefault="00646F1A" w:rsidP="00646F1A">
      <w:pPr>
        <w:jc w:val="center"/>
        <w:rPr>
          <w:sz w:val="28"/>
          <w:szCs w:val="28"/>
          <w:lang w:val="sr-Cyrl-RS"/>
        </w:rPr>
      </w:pPr>
      <w:r>
        <w:rPr>
          <w:sz w:val="28"/>
          <w:szCs w:val="28"/>
          <w:lang w:val="en-GB"/>
        </w:rPr>
        <w:t>Novi Sad</w:t>
      </w:r>
      <w:r w:rsidR="002C2F27" w:rsidRPr="000465BD">
        <w:rPr>
          <w:sz w:val="28"/>
          <w:szCs w:val="28"/>
          <w:lang w:val="ru-RU"/>
        </w:rPr>
        <w:t xml:space="preserve">, </w:t>
      </w:r>
      <w:r>
        <w:rPr>
          <w:sz w:val="28"/>
          <w:szCs w:val="28"/>
          <w:lang w:val="en-GB"/>
        </w:rPr>
        <w:t>2022.</w:t>
      </w:r>
    </w:p>
    <w:tbl>
      <w:tblPr>
        <w:tblW w:w="10206" w:type="dxa"/>
        <w:jc w:val="center"/>
        <w:tblLayout w:type="fixed"/>
        <w:tblLook w:val="04A0" w:firstRow="1" w:lastRow="0" w:firstColumn="1" w:lastColumn="0" w:noHBand="0" w:noVBand="1"/>
      </w:tblPr>
      <w:tblGrid>
        <w:gridCol w:w="2410"/>
        <w:gridCol w:w="5744"/>
        <w:gridCol w:w="2052"/>
      </w:tblGrid>
      <w:tr w:rsidR="002C2F27" w:rsidRPr="00886958" w14:paraId="2E7D681A" w14:textId="77777777" w:rsidTr="002C2F27">
        <w:trPr>
          <w:jc w:val="center"/>
        </w:trPr>
        <w:tc>
          <w:tcPr>
            <w:tcW w:w="2410" w:type="dxa"/>
            <w:vAlign w:val="center"/>
          </w:tcPr>
          <w:p w14:paraId="6683FC59" w14:textId="50EAD8D2" w:rsidR="002C2F27" w:rsidRPr="00886958" w:rsidRDefault="002C2F27" w:rsidP="007319FF">
            <w:pPr>
              <w:spacing w:before="0" w:after="0"/>
              <w:jc w:val="center"/>
              <w:rPr>
                <w:sz w:val="32"/>
                <w:szCs w:val="32"/>
                <w:lang w:val="sr-Cyrl-RS"/>
              </w:rPr>
            </w:pPr>
            <w:r>
              <w:rPr>
                <w:sz w:val="28"/>
                <w:szCs w:val="28"/>
                <w:lang w:val="ru-RU"/>
              </w:rPr>
              <w:lastRenderedPageBreak/>
              <w:br w:type="page"/>
            </w:r>
            <w:r w:rsidRPr="00886958">
              <w:rPr>
                <w:rFonts w:ascii="Tahoma" w:hAnsi="Tahoma" w:cs="Tahoma"/>
                <w:noProof/>
                <w:sz w:val="32"/>
                <w:szCs w:val="32"/>
              </w:rPr>
              <w:drawing>
                <wp:inline distT="0" distB="0" distL="0" distR="0" wp14:anchorId="7987B6FD" wp14:editId="19B73FFE">
                  <wp:extent cx="1393190" cy="1329690"/>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93190" cy="1329690"/>
                          </a:xfrm>
                          <a:prstGeom prst="rect">
                            <a:avLst/>
                          </a:prstGeom>
                          <a:noFill/>
                          <a:ln>
                            <a:noFill/>
                          </a:ln>
                        </pic:spPr>
                      </pic:pic>
                    </a:graphicData>
                  </a:graphic>
                </wp:inline>
              </w:drawing>
            </w:r>
          </w:p>
        </w:tc>
        <w:tc>
          <w:tcPr>
            <w:tcW w:w="5744" w:type="dxa"/>
            <w:vAlign w:val="center"/>
          </w:tcPr>
          <w:p w14:paraId="7074C6A9" w14:textId="77777777" w:rsidR="002C2F27" w:rsidRPr="00886958" w:rsidRDefault="002C2F27" w:rsidP="00646F1A">
            <w:pPr>
              <w:spacing w:before="0"/>
              <w:jc w:val="center"/>
              <w:rPr>
                <w:sz w:val="34"/>
                <w:szCs w:val="34"/>
                <w:lang w:val="ru-RU"/>
              </w:rPr>
            </w:pPr>
            <w:r w:rsidRPr="00886958">
              <w:rPr>
                <w:sz w:val="34"/>
                <w:szCs w:val="34"/>
                <w:lang w:val="ru-RU"/>
              </w:rPr>
              <w:t>УНИВЕР</w:t>
            </w:r>
            <w:r w:rsidRPr="00886958">
              <w:rPr>
                <w:sz w:val="34"/>
                <w:szCs w:val="34"/>
                <w:lang w:val="sr-Latn-CS"/>
              </w:rPr>
              <w:t>З</w:t>
            </w:r>
            <w:r w:rsidRPr="00886958">
              <w:rPr>
                <w:sz w:val="34"/>
                <w:szCs w:val="34"/>
                <w:lang w:val="ru-RU"/>
              </w:rPr>
              <w:t>ИТЕТ У НОВОМ САДУ</w:t>
            </w:r>
          </w:p>
          <w:p w14:paraId="317CE497" w14:textId="4E85709C" w:rsidR="002C2F27" w:rsidRPr="002C2F27" w:rsidRDefault="002C2F27" w:rsidP="00646F1A">
            <w:pPr>
              <w:pStyle w:val="BodyText"/>
              <w:jc w:val="center"/>
              <w:rPr>
                <w:sz w:val="28"/>
                <w:szCs w:val="28"/>
                <w:lang w:val="sr-Cyrl-RS"/>
              </w:rPr>
            </w:pPr>
            <w:r>
              <w:rPr>
                <w:sz w:val="28"/>
                <w:szCs w:val="28"/>
                <w:lang w:val="ru-RU"/>
              </w:rPr>
              <w:t>ФАКУЛТЕТ ТЕХНИЧКИХ НАУКА</w:t>
            </w:r>
          </w:p>
        </w:tc>
        <w:tc>
          <w:tcPr>
            <w:tcW w:w="2052" w:type="dxa"/>
            <w:vAlign w:val="center"/>
          </w:tcPr>
          <w:p w14:paraId="58F44810" w14:textId="2545AD84" w:rsidR="002C2F27" w:rsidRPr="002C2F27" w:rsidRDefault="00115D81" w:rsidP="007319FF">
            <w:pPr>
              <w:spacing w:before="0" w:after="0"/>
              <w:jc w:val="center"/>
              <w:rPr>
                <w:lang w:val="sr-Cyrl-RS"/>
              </w:rPr>
            </w:pPr>
            <w:r>
              <w:rPr>
                <w:noProof/>
                <w:lang w:val="sr-Cyrl-RS"/>
              </w:rPr>
              <w:drawing>
                <wp:inline distT="0" distB="0" distL="0" distR="0" wp14:anchorId="7D1E5852" wp14:editId="102F4AE9">
                  <wp:extent cx="1165860" cy="128143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9">
                            <a:extLst>
                              <a:ext uri="{28A0092B-C50C-407E-A947-70E740481C1C}">
                                <a14:useLocalDpi xmlns:a14="http://schemas.microsoft.com/office/drawing/2010/main" val="0"/>
                              </a:ext>
                            </a:extLst>
                          </a:blip>
                          <a:stretch>
                            <a:fillRect/>
                          </a:stretch>
                        </pic:blipFill>
                        <pic:spPr>
                          <a:xfrm>
                            <a:off x="0" y="0"/>
                            <a:ext cx="1165860" cy="1281430"/>
                          </a:xfrm>
                          <a:prstGeom prst="rect">
                            <a:avLst/>
                          </a:prstGeom>
                        </pic:spPr>
                      </pic:pic>
                    </a:graphicData>
                  </a:graphic>
                </wp:inline>
              </w:drawing>
            </w:r>
          </w:p>
        </w:tc>
      </w:tr>
    </w:tbl>
    <w:p w14:paraId="1C0F8291" w14:textId="77777777" w:rsidR="002C2F27" w:rsidRPr="00886958" w:rsidRDefault="002C2F27" w:rsidP="002C2F27">
      <w:pPr>
        <w:jc w:val="center"/>
        <w:rPr>
          <w:sz w:val="32"/>
          <w:szCs w:val="32"/>
          <w:lang w:val="sr-Cyrl-RS"/>
        </w:rPr>
      </w:pPr>
    </w:p>
    <w:p w14:paraId="1A10B557" w14:textId="77777777" w:rsidR="002C2F27" w:rsidRDefault="002C2F27" w:rsidP="002C2F27">
      <w:pPr>
        <w:rPr>
          <w:rFonts w:ascii="Tahoma" w:hAnsi="Tahoma" w:cs="Tahoma"/>
          <w:sz w:val="32"/>
          <w:szCs w:val="32"/>
        </w:rPr>
      </w:pPr>
    </w:p>
    <w:p w14:paraId="0E099B15" w14:textId="77777777" w:rsidR="002C2F27" w:rsidRPr="000465BD" w:rsidRDefault="002C2F27" w:rsidP="002C2F27">
      <w:pPr>
        <w:rPr>
          <w:lang w:val="ru-RU"/>
        </w:rPr>
      </w:pPr>
    </w:p>
    <w:p w14:paraId="218F2B41" w14:textId="77777777" w:rsidR="002C2F27" w:rsidRDefault="002C2F27" w:rsidP="002C2F27">
      <w:pPr>
        <w:rPr>
          <w:lang w:val="sr-Cyrl-RS"/>
        </w:rPr>
      </w:pPr>
    </w:p>
    <w:p w14:paraId="0C7B200D" w14:textId="77777777" w:rsidR="002C2F27" w:rsidRPr="009719FA" w:rsidRDefault="002C2F27" w:rsidP="002C2F27">
      <w:pPr>
        <w:rPr>
          <w:lang w:val="sr-Cyrl-RS"/>
        </w:rPr>
      </w:pPr>
    </w:p>
    <w:p w14:paraId="6A89587B" w14:textId="77777777" w:rsidR="002C2F27" w:rsidRPr="000465BD" w:rsidRDefault="002C2F27" w:rsidP="002C2F27">
      <w:pPr>
        <w:rPr>
          <w:lang w:val="ru-RU"/>
        </w:rPr>
      </w:pPr>
    </w:p>
    <w:p w14:paraId="13184D36" w14:textId="0DD47E86" w:rsidR="00E12307" w:rsidRDefault="00E12307" w:rsidP="002C2F27">
      <w:pPr>
        <w:jc w:val="center"/>
        <w:rPr>
          <w:b/>
          <w:sz w:val="52"/>
          <w:szCs w:val="52"/>
          <w:lang w:val="ru-RU"/>
        </w:rPr>
      </w:pPr>
      <w:r w:rsidRPr="00E12307">
        <w:rPr>
          <w:b/>
          <w:smallCaps/>
          <w:sz w:val="52"/>
          <w:szCs w:val="52"/>
          <w:lang w:val="ru-RU"/>
        </w:rPr>
        <w:t>Концепт функционалне продуктивности за моделовање поузданости у домену одржавања заснованом на енергији</w:t>
      </w:r>
    </w:p>
    <w:p w14:paraId="4E9A3F3D" w14:textId="2D363191" w:rsidR="002C2F27" w:rsidRPr="000465BD" w:rsidRDefault="002C2F27" w:rsidP="002C2F27">
      <w:pPr>
        <w:jc w:val="center"/>
        <w:rPr>
          <w:lang w:val="ru-RU"/>
        </w:rPr>
      </w:pPr>
      <w:r w:rsidRPr="000465BD">
        <w:rPr>
          <w:sz w:val="28"/>
          <w:szCs w:val="28"/>
          <w:lang w:val="ru-RU"/>
        </w:rPr>
        <w:t>ДОКТОРСКА ДИСЕРТАЦИЈА</w:t>
      </w:r>
    </w:p>
    <w:p w14:paraId="0E78E413" w14:textId="77777777" w:rsidR="002C2F27" w:rsidRDefault="002C2F27" w:rsidP="00E12307">
      <w:pPr>
        <w:jc w:val="center"/>
        <w:rPr>
          <w:lang w:val="sr-Cyrl-RS"/>
        </w:rPr>
      </w:pPr>
    </w:p>
    <w:p w14:paraId="4ED2695E" w14:textId="77777777" w:rsidR="002C2F27" w:rsidRPr="009719FA" w:rsidRDefault="002C2F27" w:rsidP="00E12307">
      <w:pPr>
        <w:jc w:val="center"/>
        <w:rPr>
          <w:lang w:val="sr-Cyrl-RS"/>
        </w:rPr>
      </w:pPr>
    </w:p>
    <w:p w14:paraId="434D7DE7" w14:textId="77777777" w:rsidR="002C2F27" w:rsidRDefault="002C2F27" w:rsidP="002C2F27">
      <w:pPr>
        <w:jc w:val="center"/>
        <w:rPr>
          <w:lang w:val="ru-RU"/>
        </w:rPr>
      </w:pPr>
    </w:p>
    <w:p w14:paraId="0EE3D90B" w14:textId="77777777" w:rsidR="002C2F27" w:rsidRDefault="002C2F27" w:rsidP="002C2F27">
      <w:pPr>
        <w:jc w:val="center"/>
        <w:rPr>
          <w:lang w:val="ru-RU"/>
        </w:rPr>
      </w:pPr>
    </w:p>
    <w:p w14:paraId="560A3178" w14:textId="77777777" w:rsidR="002C2F27" w:rsidRDefault="002C2F27" w:rsidP="002C2F27">
      <w:pPr>
        <w:jc w:val="center"/>
        <w:rPr>
          <w:lang w:val="ru-RU"/>
        </w:rPr>
      </w:pPr>
    </w:p>
    <w:p w14:paraId="6018A474" w14:textId="77777777" w:rsidR="002C2F27" w:rsidRDefault="002C2F27" w:rsidP="002C2F27">
      <w:pPr>
        <w:jc w:val="center"/>
        <w:rPr>
          <w:lang w:val="ru-RU"/>
        </w:rPr>
      </w:pPr>
    </w:p>
    <w:p w14:paraId="6418953E" w14:textId="77777777" w:rsidR="002C2F27" w:rsidRPr="000465BD" w:rsidRDefault="002C2F27" w:rsidP="002C2F27">
      <w:pPr>
        <w:jc w:val="center"/>
        <w:rPr>
          <w:lang w:val="ru-RU"/>
        </w:rPr>
      </w:pPr>
    </w:p>
    <w:p w14:paraId="1E224B5C" w14:textId="77777777" w:rsidR="002C2F27" w:rsidRPr="000465BD" w:rsidRDefault="002C2F27" w:rsidP="002C2F27">
      <w:pPr>
        <w:jc w:val="center"/>
        <w:rPr>
          <w:lang w:val="ru-RU"/>
        </w:rPr>
      </w:pPr>
    </w:p>
    <w:p w14:paraId="24B1C81D" w14:textId="77777777" w:rsidR="002C2F27" w:rsidRPr="000465BD" w:rsidRDefault="002C2F27" w:rsidP="002C2F27">
      <w:pPr>
        <w:rPr>
          <w:sz w:val="28"/>
          <w:szCs w:val="28"/>
          <w:lang w:val="ru-RU"/>
        </w:rPr>
      </w:pPr>
      <w:r w:rsidRPr="000465BD">
        <w:rPr>
          <w:sz w:val="28"/>
          <w:szCs w:val="28"/>
          <w:lang w:val="ru-RU"/>
        </w:rPr>
        <w:t xml:space="preserve">Ментор: </w:t>
      </w:r>
      <w:r>
        <w:rPr>
          <w:sz w:val="28"/>
          <w:szCs w:val="28"/>
          <w:lang w:val="sr-Cyrl-RS"/>
        </w:rPr>
        <w:tab/>
      </w:r>
      <w:r>
        <w:rPr>
          <w:sz w:val="28"/>
          <w:szCs w:val="28"/>
          <w:lang w:val="sr-Cyrl-RS"/>
        </w:rPr>
        <w:tab/>
      </w:r>
      <w:r>
        <w:rPr>
          <w:sz w:val="28"/>
          <w:szCs w:val="28"/>
          <w:lang w:val="sr-Cyrl-RS"/>
        </w:rPr>
        <w:tab/>
      </w:r>
      <w:r>
        <w:rPr>
          <w:sz w:val="28"/>
          <w:szCs w:val="28"/>
          <w:lang w:val="sr-Cyrl-RS"/>
        </w:rPr>
        <w:tab/>
      </w:r>
      <w:r>
        <w:rPr>
          <w:sz w:val="28"/>
          <w:szCs w:val="28"/>
          <w:lang w:val="sr-Cyrl-RS"/>
        </w:rPr>
        <w:tab/>
      </w:r>
      <w:r>
        <w:rPr>
          <w:sz w:val="28"/>
          <w:szCs w:val="28"/>
          <w:lang w:val="sr-Cyrl-RS"/>
        </w:rPr>
        <w:tab/>
      </w:r>
      <w:r>
        <w:rPr>
          <w:sz w:val="28"/>
          <w:szCs w:val="28"/>
          <w:lang w:val="sr-Cyrl-RS"/>
        </w:rPr>
        <w:tab/>
      </w:r>
      <w:r>
        <w:rPr>
          <w:sz w:val="28"/>
          <w:szCs w:val="28"/>
          <w:lang w:val="sr-Cyrl-RS"/>
        </w:rPr>
        <w:tab/>
      </w:r>
      <w:r w:rsidRPr="000465BD">
        <w:rPr>
          <w:sz w:val="28"/>
          <w:szCs w:val="28"/>
          <w:lang w:val="ru-RU"/>
        </w:rPr>
        <w:t xml:space="preserve">Кандидат:          </w:t>
      </w:r>
    </w:p>
    <w:p w14:paraId="5356C325" w14:textId="0108CAAC" w:rsidR="002C2F27" w:rsidRPr="000465BD" w:rsidRDefault="00FE160E" w:rsidP="002C2F27">
      <w:pPr>
        <w:ind w:right="-999"/>
        <w:rPr>
          <w:sz w:val="28"/>
          <w:szCs w:val="28"/>
          <w:lang w:val="ru-RU"/>
        </w:rPr>
      </w:pPr>
      <w:r>
        <w:rPr>
          <w:sz w:val="28"/>
          <w:szCs w:val="28"/>
          <w:lang w:val="sr-Cyrl-RS"/>
        </w:rPr>
        <w:t>Др Митар Јоцановић</w:t>
      </w:r>
      <w:r w:rsidR="002C2F27" w:rsidRPr="000465BD">
        <w:rPr>
          <w:sz w:val="28"/>
          <w:szCs w:val="28"/>
          <w:lang w:val="ru-RU"/>
        </w:rPr>
        <w:t xml:space="preserve">        </w:t>
      </w:r>
      <w:r w:rsidR="002C2F27">
        <w:rPr>
          <w:sz w:val="28"/>
          <w:szCs w:val="28"/>
          <w:lang w:val="sr-Cyrl-RS"/>
        </w:rPr>
        <w:tab/>
      </w:r>
      <w:r w:rsidR="002C2F27">
        <w:rPr>
          <w:sz w:val="28"/>
          <w:szCs w:val="28"/>
          <w:lang w:val="sr-Cyrl-RS"/>
        </w:rPr>
        <w:tab/>
      </w:r>
      <w:r w:rsidR="002C2F27">
        <w:rPr>
          <w:sz w:val="28"/>
          <w:szCs w:val="28"/>
          <w:lang w:val="sr-Cyrl-RS"/>
        </w:rPr>
        <w:tab/>
      </w:r>
      <w:r w:rsidR="002C2F27">
        <w:rPr>
          <w:sz w:val="28"/>
          <w:szCs w:val="28"/>
          <w:lang w:val="sr-Cyrl-RS"/>
        </w:rPr>
        <w:tab/>
        <w:t xml:space="preserve">          </w:t>
      </w:r>
      <w:r>
        <w:rPr>
          <w:sz w:val="28"/>
          <w:szCs w:val="28"/>
          <w:lang w:val="ru-RU"/>
        </w:rPr>
        <w:t>Орошњак Марко</w:t>
      </w:r>
    </w:p>
    <w:p w14:paraId="42894EA3" w14:textId="6922E900" w:rsidR="002C2F27" w:rsidRDefault="002C2F27" w:rsidP="002C2F27">
      <w:pPr>
        <w:jc w:val="center"/>
        <w:rPr>
          <w:sz w:val="28"/>
          <w:szCs w:val="28"/>
          <w:lang w:val="sr-Cyrl-RS"/>
        </w:rPr>
      </w:pPr>
    </w:p>
    <w:p w14:paraId="7B5190AB" w14:textId="0327F100" w:rsidR="00646F1A" w:rsidRDefault="00646F1A" w:rsidP="002C2F27">
      <w:pPr>
        <w:jc w:val="center"/>
        <w:rPr>
          <w:sz w:val="28"/>
          <w:szCs w:val="28"/>
          <w:lang w:val="sr-Cyrl-RS"/>
        </w:rPr>
      </w:pPr>
    </w:p>
    <w:p w14:paraId="2E5550A9" w14:textId="77777777" w:rsidR="00646F1A" w:rsidRDefault="00646F1A" w:rsidP="002C2F27">
      <w:pPr>
        <w:jc w:val="center"/>
        <w:rPr>
          <w:sz w:val="28"/>
          <w:szCs w:val="28"/>
          <w:lang w:val="sr-Cyrl-RS"/>
        </w:rPr>
      </w:pPr>
    </w:p>
    <w:p w14:paraId="0A72219F" w14:textId="77777777" w:rsidR="002C2F27" w:rsidRPr="000465BD" w:rsidRDefault="002C2F27" w:rsidP="002C2F27">
      <w:pPr>
        <w:jc w:val="center"/>
        <w:rPr>
          <w:sz w:val="28"/>
          <w:szCs w:val="28"/>
          <w:lang w:val="ru-RU"/>
        </w:rPr>
      </w:pPr>
    </w:p>
    <w:p w14:paraId="578093AC" w14:textId="67A4B7D8" w:rsidR="002C2F27" w:rsidRPr="009719FA" w:rsidRDefault="00646F1A" w:rsidP="002C2F27">
      <w:pPr>
        <w:ind w:right="-999"/>
        <w:jc w:val="center"/>
        <w:rPr>
          <w:sz w:val="28"/>
          <w:szCs w:val="28"/>
          <w:lang w:val="sr-Cyrl-RS"/>
        </w:rPr>
      </w:pPr>
      <w:r>
        <w:rPr>
          <w:sz w:val="28"/>
          <w:szCs w:val="28"/>
          <w:lang w:val="sr-Cyrl-RS"/>
        </w:rPr>
        <w:t>Нови Сад</w:t>
      </w:r>
      <w:r w:rsidR="002C2F27" w:rsidRPr="000465BD">
        <w:rPr>
          <w:sz w:val="28"/>
          <w:szCs w:val="28"/>
          <w:lang w:val="ru-RU"/>
        </w:rPr>
        <w:t xml:space="preserve">, </w:t>
      </w:r>
      <w:r>
        <w:rPr>
          <w:sz w:val="28"/>
          <w:szCs w:val="28"/>
          <w:lang w:val="ru-RU"/>
        </w:rPr>
        <w:t>2022.</w:t>
      </w:r>
    </w:p>
    <w:p w14:paraId="4DEFD09B" w14:textId="39202514" w:rsidR="00E34849" w:rsidRDefault="00E34849" w:rsidP="00A15D2E">
      <w:pPr>
        <w:spacing w:before="0" w:after="160" w:line="259" w:lineRule="auto"/>
        <w:jc w:val="center"/>
        <w:rPr>
          <w:lang w:val="sr-Latn-RS"/>
        </w:rPr>
      </w:pPr>
      <w:r>
        <w:rPr>
          <w:lang w:val="sr-Cyrl-RS"/>
        </w:rPr>
        <w:lastRenderedPageBreak/>
        <w:t>Т</w:t>
      </w:r>
      <w:r w:rsidR="00A15D2E">
        <w:rPr>
          <w:lang w:val="sr-Latn-RS"/>
        </w:rPr>
        <w:t>his page is intentionally left blank</w:t>
      </w:r>
    </w:p>
    <w:p w14:paraId="213B54F9" w14:textId="77777777" w:rsidR="00E34849" w:rsidRDefault="00E34849">
      <w:pPr>
        <w:spacing w:before="0" w:after="160" w:line="259" w:lineRule="auto"/>
        <w:jc w:val="left"/>
        <w:rPr>
          <w:lang w:val="sr-Latn-RS"/>
        </w:rPr>
      </w:pPr>
      <w:r>
        <w:rPr>
          <w:lang w:val="sr-Latn-RS"/>
        </w:rPr>
        <w:br w:type="page"/>
      </w:r>
    </w:p>
    <w:p w14:paraId="7C378CBA" w14:textId="77777777" w:rsidR="00E34849" w:rsidRDefault="00E34849" w:rsidP="00E34849">
      <w:pPr>
        <w:pStyle w:val="Titleofthepaper"/>
        <w:rPr>
          <w:lang w:val="sr-Latn-RS"/>
        </w:rPr>
      </w:pPr>
      <w:r>
        <w:rPr>
          <w:lang w:val="sr-Latn-RS"/>
        </w:rPr>
        <w:t>Acknowledgements</w:t>
      </w:r>
    </w:p>
    <w:p w14:paraId="3793B8AA" w14:textId="77777777" w:rsidR="00133C89" w:rsidRDefault="00133C89" w:rsidP="00A15D2E">
      <w:pPr>
        <w:spacing w:before="0" w:after="160" w:line="259" w:lineRule="auto"/>
        <w:jc w:val="center"/>
        <w:rPr>
          <w:lang w:val="sr-Latn-RS"/>
        </w:rPr>
      </w:pPr>
    </w:p>
    <w:p w14:paraId="42058033" w14:textId="77777777" w:rsidR="00133C89" w:rsidRDefault="00133C89">
      <w:pPr>
        <w:spacing w:before="0" w:after="160" w:line="259" w:lineRule="auto"/>
        <w:jc w:val="left"/>
        <w:rPr>
          <w:lang w:val="sr-Latn-RS"/>
        </w:rPr>
      </w:pPr>
      <w:r>
        <w:rPr>
          <w:lang w:val="sr-Latn-RS"/>
        </w:rPr>
        <w:br w:type="page"/>
      </w:r>
    </w:p>
    <w:p w14:paraId="05A6A677" w14:textId="77777777" w:rsidR="00133C89" w:rsidRDefault="00133C89" w:rsidP="00A15D2E">
      <w:pPr>
        <w:spacing w:before="0" w:after="160" w:line="259" w:lineRule="auto"/>
        <w:jc w:val="center"/>
        <w:rPr>
          <w:lang w:val="sr-Latn-RS"/>
        </w:rPr>
      </w:pPr>
      <w:r w:rsidRPr="00133C89">
        <w:rPr>
          <w:lang w:val="sr-Latn-RS"/>
        </w:rPr>
        <w:lastRenderedPageBreak/>
        <w:t>“</w:t>
      </w:r>
      <w:r w:rsidRPr="00133C89">
        <w:rPr>
          <w:i/>
          <w:iCs/>
          <w:lang w:val="sr-Latn-RS"/>
        </w:rPr>
        <w:t>The object in life is not to be on the side of the majority, but to escape finding oneself in the ranks of the insane</w:t>
      </w:r>
      <w:r w:rsidRPr="00133C89">
        <w:rPr>
          <w:lang w:val="sr-Latn-RS"/>
        </w:rPr>
        <w:t xml:space="preserve">.” </w:t>
      </w:r>
    </w:p>
    <w:p w14:paraId="466840A6" w14:textId="7F65F64B" w:rsidR="00A15D2E" w:rsidRDefault="00133C89" w:rsidP="00A15D2E">
      <w:pPr>
        <w:spacing w:before="0" w:after="160" w:line="259" w:lineRule="auto"/>
        <w:jc w:val="center"/>
        <w:rPr>
          <w:lang w:val="sr-Latn-RS"/>
        </w:rPr>
      </w:pPr>
      <w:r w:rsidRPr="00133C89">
        <w:rPr>
          <w:lang w:val="sr-Latn-RS"/>
        </w:rPr>
        <w:t>Marcus Aurelius</w:t>
      </w:r>
      <w:r w:rsidR="00A15D2E">
        <w:rPr>
          <w:lang w:val="sr-Latn-RS"/>
        </w:rPr>
        <w:br w:type="page"/>
      </w:r>
    </w:p>
    <w:p w14:paraId="2EEB900C" w14:textId="1973B89B" w:rsidR="00737DC3" w:rsidRDefault="0057135C" w:rsidP="00737DC3">
      <w:pPr>
        <w:pStyle w:val="Titleofthepaper"/>
        <w:spacing w:before="360"/>
      </w:pPr>
      <w:r>
        <w:lastRenderedPageBreak/>
        <w:t>Table of Contents</w:t>
      </w:r>
    </w:p>
    <w:p w14:paraId="4926C3FC" w14:textId="48CD5AFE" w:rsidR="007C6F59" w:rsidRDefault="00B426E0">
      <w:pPr>
        <w:pStyle w:val="TOC1"/>
        <w:rPr>
          <w:rFonts w:asciiTheme="minorHAnsi" w:eastAsiaTheme="minorEastAsia" w:hAnsiTheme="minorHAnsi" w:cstheme="minorBidi"/>
          <w:b w:val="0"/>
          <w:bCs w:val="0"/>
          <w:caps w:val="0"/>
          <w:noProof/>
          <w:sz w:val="22"/>
          <w:szCs w:val="22"/>
          <w:lang w:val="sr-Latn-RS" w:eastAsia="sr-Latn-RS"/>
        </w:rPr>
      </w:pPr>
      <w:r>
        <w:fldChar w:fldCharType="begin"/>
      </w:r>
      <w:r w:rsidRPr="004B1B0A">
        <w:instrText xml:space="preserve"> TOC \h \z \t "Heading 1;2;Heading 2;3;Heading 3;4;Title;1" </w:instrText>
      </w:r>
      <w:r>
        <w:fldChar w:fldCharType="separate"/>
      </w:r>
      <w:hyperlink w:anchor="_Toc101274311" w:history="1">
        <w:r w:rsidR="007C6F59" w:rsidRPr="00906C74">
          <w:rPr>
            <w:rStyle w:val="Hyperlink"/>
            <w:noProof/>
          </w:rPr>
          <w:t>Chapter I</w:t>
        </w:r>
        <w:r w:rsidR="007C6F59">
          <w:rPr>
            <w:noProof/>
            <w:webHidden/>
          </w:rPr>
          <w:tab/>
        </w:r>
        <w:r w:rsidR="007C6F59">
          <w:rPr>
            <w:noProof/>
            <w:webHidden/>
          </w:rPr>
          <w:fldChar w:fldCharType="begin"/>
        </w:r>
        <w:r w:rsidR="007C6F59">
          <w:rPr>
            <w:noProof/>
            <w:webHidden/>
          </w:rPr>
          <w:instrText xml:space="preserve"> PAGEREF _Toc101274311 \h </w:instrText>
        </w:r>
        <w:r w:rsidR="007C6F59">
          <w:rPr>
            <w:noProof/>
            <w:webHidden/>
          </w:rPr>
        </w:r>
        <w:r w:rsidR="007C6F59">
          <w:rPr>
            <w:noProof/>
            <w:webHidden/>
          </w:rPr>
          <w:fldChar w:fldCharType="separate"/>
        </w:r>
        <w:r w:rsidR="00587AF0">
          <w:rPr>
            <w:noProof/>
            <w:webHidden/>
          </w:rPr>
          <w:t>1</w:t>
        </w:r>
        <w:r w:rsidR="007C6F59">
          <w:rPr>
            <w:noProof/>
            <w:webHidden/>
          </w:rPr>
          <w:fldChar w:fldCharType="end"/>
        </w:r>
      </w:hyperlink>
    </w:p>
    <w:p w14:paraId="6F3975A8" w14:textId="094AED95" w:rsidR="007C6F59" w:rsidRDefault="00427B33">
      <w:pPr>
        <w:pStyle w:val="TOC2"/>
        <w:tabs>
          <w:tab w:val="left" w:pos="720"/>
          <w:tab w:val="right" w:leader="dot" w:pos="9017"/>
        </w:tabs>
        <w:rPr>
          <w:rFonts w:asciiTheme="minorHAnsi" w:eastAsiaTheme="minorEastAsia" w:hAnsiTheme="minorHAnsi" w:cstheme="minorBidi"/>
          <w:b w:val="0"/>
          <w:smallCaps w:val="0"/>
          <w:noProof/>
          <w:sz w:val="22"/>
          <w:szCs w:val="22"/>
          <w:lang w:val="sr-Latn-RS" w:eastAsia="sr-Latn-RS"/>
        </w:rPr>
      </w:pPr>
      <w:hyperlink w:anchor="_Toc101274312" w:history="1">
        <w:r w:rsidR="007C6F59" w:rsidRPr="00906C74">
          <w:rPr>
            <w:rStyle w:val="Hyperlink"/>
            <w:noProof/>
          </w:rPr>
          <w:t>1</w:t>
        </w:r>
        <w:r w:rsidR="007C6F59">
          <w:rPr>
            <w:rFonts w:asciiTheme="minorHAnsi" w:eastAsiaTheme="minorEastAsia" w:hAnsiTheme="minorHAnsi" w:cstheme="minorBidi"/>
            <w:b w:val="0"/>
            <w:smallCaps w:val="0"/>
            <w:noProof/>
            <w:sz w:val="22"/>
            <w:szCs w:val="22"/>
            <w:lang w:val="sr-Latn-RS" w:eastAsia="sr-Latn-RS"/>
          </w:rPr>
          <w:tab/>
        </w:r>
        <w:r w:rsidR="007C6F59" w:rsidRPr="00906C74">
          <w:rPr>
            <w:rStyle w:val="Hyperlink"/>
            <w:noProof/>
          </w:rPr>
          <w:t>Introduction</w:t>
        </w:r>
        <w:r w:rsidR="007C6F59">
          <w:rPr>
            <w:noProof/>
            <w:webHidden/>
          </w:rPr>
          <w:tab/>
        </w:r>
        <w:r w:rsidR="007C6F59">
          <w:rPr>
            <w:noProof/>
            <w:webHidden/>
          </w:rPr>
          <w:fldChar w:fldCharType="begin"/>
        </w:r>
        <w:r w:rsidR="007C6F59">
          <w:rPr>
            <w:noProof/>
            <w:webHidden/>
          </w:rPr>
          <w:instrText xml:space="preserve"> PAGEREF _Toc101274312 \h </w:instrText>
        </w:r>
        <w:r w:rsidR="007C6F59">
          <w:rPr>
            <w:noProof/>
            <w:webHidden/>
          </w:rPr>
        </w:r>
        <w:r w:rsidR="007C6F59">
          <w:rPr>
            <w:noProof/>
            <w:webHidden/>
          </w:rPr>
          <w:fldChar w:fldCharType="separate"/>
        </w:r>
        <w:r w:rsidR="00587AF0">
          <w:rPr>
            <w:noProof/>
            <w:webHidden/>
          </w:rPr>
          <w:t>1</w:t>
        </w:r>
        <w:r w:rsidR="007C6F59">
          <w:rPr>
            <w:noProof/>
            <w:webHidden/>
          </w:rPr>
          <w:fldChar w:fldCharType="end"/>
        </w:r>
      </w:hyperlink>
    </w:p>
    <w:p w14:paraId="0A63A971" w14:textId="19169319"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313" w:history="1">
        <w:r w:rsidR="007C6F59" w:rsidRPr="00906C74">
          <w:rPr>
            <w:rStyle w:val="Hyperlink"/>
            <w:noProof/>
          </w:rPr>
          <w:t>1.1</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rPr>
          <w:t>Research motivation and rationale</w:t>
        </w:r>
        <w:r w:rsidR="007C6F59">
          <w:rPr>
            <w:noProof/>
            <w:webHidden/>
          </w:rPr>
          <w:tab/>
        </w:r>
        <w:r w:rsidR="007C6F59">
          <w:rPr>
            <w:noProof/>
            <w:webHidden/>
          </w:rPr>
          <w:fldChar w:fldCharType="begin"/>
        </w:r>
        <w:r w:rsidR="007C6F59">
          <w:rPr>
            <w:noProof/>
            <w:webHidden/>
          </w:rPr>
          <w:instrText xml:space="preserve"> PAGEREF _Toc101274313 \h </w:instrText>
        </w:r>
        <w:r w:rsidR="007C6F59">
          <w:rPr>
            <w:noProof/>
            <w:webHidden/>
          </w:rPr>
        </w:r>
        <w:r w:rsidR="007C6F59">
          <w:rPr>
            <w:noProof/>
            <w:webHidden/>
          </w:rPr>
          <w:fldChar w:fldCharType="separate"/>
        </w:r>
        <w:r w:rsidR="00587AF0">
          <w:rPr>
            <w:noProof/>
            <w:webHidden/>
          </w:rPr>
          <w:t>1</w:t>
        </w:r>
        <w:r w:rsidR="007C6F59">
          <w:rPr>
            <w:noProof/>
            <w:webHidden/>
          </w:rPr>
          <w:fldChar w:fldCharType="end"/>
        </w:r>
      </w:hyperlink>
    </w:p>
    <w:p w14:paraId="2C680DD2" w14:textId="6AAFBB79"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14" w:history="1">
        <w:r w:rsidR="007C6F59" w:rsidRPr="00906C74">
          <w:rPr>
            <w:rStyle w:val="Hyperlink"/>
            <w:noProof/>
            <w14:scene3d>
              <w14:camera w14:prst="orthographicFront"/>
              <w14:lightRig w14:rig="threePt" w14:dir="t">
                <w14:rot w14:lat="0" w14:lon="0" w14:rev="0"/>
              </w14:lightRig>
            </w14:scene3d>
          </w:rPr>
          <w:t>1.1.1</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Innovation and maintenance</w:t>
        </w:r>
        <w:r w:rsidR="007C6F59">
          <w:rPr>
            <w:noProof/>
            <w:webHidden/>
          </w:rPr>
          <w:tab/>
        </w:r>
        <w:r w:rsidR="007C6F59">
          <w:rPr>
            <w:noProof/>
            <w:webHidden/>
          </w:rPr>
          <w:fldChar w:fldCharType="begin"/>
        </w:r>
        <w:r w:rsidR="007C6F59">
          <w:rPr>
            <w:noProof/>
            <w:webHidden/>
          </w:rPr>
          <w:instrText xml:space="preserve"> PAGEREF _Toc101274314 \h </w:instrText>
        </w:r>
        <w:r w:rsidR="007C6F59">
          <w:rPr>
            <w:noProof/>
            <w:webHidden/>
          </w:rPr>
        </w:r>
        <w:r w:rsidR="007C6F59">
          <w:rPr>
            <w:noProof/>
            <w:webHidden/>
          </w:rPr>
          <w:fldChar w:fldCharType="separate"/>
        </w:r>
        <w:r w:rsidR="00587AF0">
          <w:rPr>
            <w:noProof/>
            <w:webHidden/>
          </w:rPr>
          <w:t>1</w:t>
        </w:r>
        <w:r w:rsidR="007C6F59">
          <w:rPr>
            <w:noProof/>
            <w:webHidden/>
          </w:rPr>
          <w:fldChar w:fldCharType="end"/>
        </w:r>
      </w:hyperlink>
    </w:p>
    <w:p w14:paraId="2EE70CDA" w14:textId="18A298A6"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15" w:history="1">
        <w:r w:rsidR="007C6F59" w:rsidRPr="00906C74">
          <w:rPr>
            <w:rStyle w:val="Hyperlink"/>
            <w:noProof/>
            <w14:scene3d>
              <w14:camera w14:prst="orthographicFront"/>
              <w14:lightRig w14:rig="threePt" w14:dir="t">
                <w14:rot w14:lat="0" w14:lon="0" w14:rev="0"/>
              </w14:lightRig>
            </w14:scene3d>
          </w:rPr>
          <w:t>1.1.2</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Energy as a condition monitoring indicator and the p-f curve</w:t>
        </w:r>
        <w:r w:rsidR="007C6F59">
          <w:rPr>
            <w:noProof/>
            <w:webHidden/>
          </w:rPr>
          <w:tab/>
        </w:r>
        <w:r w:rsidR="007C6F59">
          <w:rPr>
            <w:noProof/>
            <w:webHidden/>
          </w:rPr>
          <w:fldChar w:fldCharType="begin"/>
        </w:r>
        <w:r w:rsidR="007C6F59">
          <w:rPr>
            <w:noProof/>
            <w:webHidden/>
          </w:rPr>
          <w:instrText xml:space="preserve"> PAGEREF _Toc101274315 \h </w:instrText>
        </w:r>
        <w:r w:rsidR="007C6F59">
          <w:rPr>
            <w:noProof/>
            <w:webHidden/>
          </w:rPr>
        </w:r>
        <w:r w:rsidR="007C6F59">
          <w:rPr>
            <w:noProof/>
            <w:webHidden/>
          </w:rPr>
          <w:fldChar w:fldCharType="separate"/>
        </w:r>
        <w:r w:rsidR="00587AF0">
          <w:rPr>
            <w:noProof/>
            <w:webHidden/>
          </w:rPr>
          <w:t>2</w:t>
        </w:r>
        <w:r w:rsidR="007C6F59">
          <w:rPr>
            <w:noProof/>
            <w:webHidden/>
          </w:rPr>
          <w:fldChar w:fldCharType="end"/>
        </w:r>
      </w:hyperlink>
    </w:p>
    <w:p w14:paraId="70E4DFAF" w14:textId="58646838"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16" w:history="1">
        <w:r w:rsidR="007C6F59" w:rsidRPr="00906C74">
          <w:rPr>
            <w:rStyle w:val="Hyperlink"/>
            <w:noProof/>
            <w14:scene3d>
              <w14:camera w14:prst="orthographicFront"/>
              <w14:lightRig w14:rig="threePt" w14:dir="t">
                <w14:rot w14:lat="0" w14:lon="0" w14:rev="0"/>
              </w14:lightRig>
            </w14:scene3d>
          </w:rPr>
          <w:t>1.1.3</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Pillars of rationale</w:t>
        </w:r>
        <w:r w:rsidR="007C6F59">
          <w:rPr>
            <w:noProof/>
            <w:webHidden/>
          </w:rPr>
          <w:tab/>
        </w:r>
        <w:r w:rsidR="007C6F59">
          <w:rPr>
            <w:noProof/>
            <w:webHidden/>
          </w:rPr>
          <w:fldChar w:fldCharType="begin"/>
        </w:r>
        <w:r w:rsidR="007C6F59">
          <w:rPr>
            <w:noProof/>
            <w:webHidden/>
          </w:rPr>
          <w:instrText xml:space="preserve"> PAGEREF _Toc101274316 \h </w:instrText>
        </w:r>
        <w:r w:rsidR="007C6F59">
          <w:rPr>
            <w:noProof/>
            <w:webHidden/>
          </w:rPr>
        </w:r>
        <w:r w:rsidR="007C6F59">
          <w:rPr>
            <w:noProof/>
            <w:webHidden/>
          </w:rPr>
          <w:fldChar w:fldCharType="separate"/>
        </w:r>
        <w:r w:rsidR="00587AF0">
          <w:rPr>
            <w:noProof/>
            <w:webHidden/>
          </w:rPr>
          <w:t>4</w:t>
        </w:r>
        <w:r w:rsidR="007C6F59">
          <w:rPr>
            <w:noProof/>
            <w:webHidden/>
          </w:rPr>
          <w:fldChar w:fldCharType="end"/>
        </w:r>
      </w:hyperlink>
    </w:p>
    <w:p w14:paraId="17662A46" w14:textId="3B6BAA6A"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17" w:history="1">
        <w:r w:rsidR="007C6F59" w:rsidRPr="00906C74">
          <w:rPr>
            <w:rStyle w:val="Hyperlink"/>
            <w:noProof/>
            <w14:scene3d>
              <w14:camera w14:prst="orthographicFront"/>
              <w14:lightRig w14:rig="threePt" w14:dir="t">
                <w14:rot w14:lat="0" w14:lon="0" w14:rev="0"/>
              </w14:lightRig>
            </w14:scene3d>
          </w:rPr>
          <w:t>1.1.4</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Bridging the gap between data and maintenance science</w:t>
        </w:r>
        <w:r w:rsidR="007C6F59">
          <w:rPr>
            <w:noProof/>
            <w:webHidden/>
          </w:rPr>
          <w:tab/>
        </w:r>
        <w:r w:rsidR="007C6F59">
          <w:rPr>
            <w:noProof/>
            <w:webHidden/>
          </w:rPr>
          <w:fldChar w:fldCharType="begin"/>
        </w:r>
        <w:r w:rsidR="007C6F59">
          <w:rPr>
            <w:noProof/>
            <w:webHidden/>
          </w:rPr>
          <w:instrText xml:space="preserve"> PAGEREF _Toc101274317 \h </w:instrText>
        </w:r>
        <w:r w:rsidR="007C6F59">
          <w:rPr>
            <w:noProof/>
            <w:webHidden/>
          </w:rPr>
        </w:r>
        <w:r w:rsidR="007C6F59">
          <w:rPr>
            <w:noProof/>
            <w:webHidden/>
          </w:rPr>
          <w:fldChar w:fldCharType="separate"/>
        </w:r>
        <w:r w:rsidR="00587AF0">
          <w:rPr>
            <w:noProof/>
            <w:webHidden/>
          </w:rPr>
          <w:t>5</w:t>
        </w:r>
        <w:r w:rsidR="007C6F59">
          <w:rPr>
            <w:noProof/>
            <w:webHidden/>
          </w:rPr>
          <w:fldChar w:fldCharType="end"/>
        </w:r>
      </w:hyperlink>
    </w:p>
    <w:p w14:paraId="45706FE9" w14:textId="33406536"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318" w:history="1">
        <w:r w:rsidR="007C6F59" w:rsidRPr="00906C74">
          <w:rPr>
            <w:rStyle w:val="Hyperlink"/>
            <w:noProof/>
          </w:rPr>
          <w:t>1.2</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rPr>
          <w:t>Research Problem</w:t>
        </w:r>
        <w:r w:rsidR="007C6F59">
          <w:rPr>
            <w:noProof/>
            <w:webHidden/>
          </w:rPr>
          <w:tab/>
        </w:r>
        <w:r w:rsidR="007C6F59">
          <w:rPr>
            <w:noProof/>
            <w:webHidden/>
          </w:rPr>
          <w:fldChar w:fldCharType="begin"/>
        </w:r>
        <w:r w:rsidR="007C6F59">
          <w:rPr>
            <w:noProof/>
            <w:webHidden/>
          </w:rPr>
          <w:instrText xml:space="preserve"> PAGEREF _Toc101274318 \h </w:instrText>
        </w:r>
        <w:r w:rsidR="007C6F59">
          <w:rPr>
            <w:noProof/>
            <w:webHidden/>
          </w:rPr>
        </w:r>
        <w:r w:rsidR="007C6F59">
          <w:rPr>
            <w:noProof/>
            <w:webHidden/>
          </w:rPr>
          <w:fldChar w:fldCharType="separate"/>
        </w:r>
        <w:r w:rsidR="00587AF0">
          <w:rPr>
            <w:noProof/>
            <w:webHidden/>
          </w:rPr>
          <w:t>7</w:t>
        </w:r>
        <w:r w:rsidR="007C6F59">
          <w:rPr>
            <w:noProof/>
            <w:webHidden/>
          </w:rPr>
          <w:fldChar w:fldCharType="end"/>
        </w:r>
      </w:hyperlink>
    </w:p>
    <w:p w14:paraId="05820521" w14:textId="2ECE8921"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319" w:history="1">
        <w:r w:rsidR="007C6F59" w:rsidRPr="00906C74">
          <w:rPr>
            <w:rStyle w:val="Hyperlink"/>
            <w:noProof/>
          </w:rPr>
          <w:t>1.3</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rPr>
          <w:t>Research Aims and Objectives</w:t>
        </w:r>
        <w:r w:rsidR="007C6F59">
          <w:rPr>
            <w:noProof/>
            <w:webHidden/>
          </w:rPr>
          <w:tab/>
        </w:r>
        <w:r w:rsidR="007C6F59">
          <w:rPr>
            <w:noProof/>
            <w:webHidden/>
          </w:rPr>
          <w:fldChar w:fldCharType="begin"/>
        </w:r>
        <w:r w:rsidR="007C6F59">
          <w:rPr>
            <w:noProof/>
            <w:webHidden/>
          </w:rPr>
          <w:instrText xml:space="preserve"> PAGEREF _Toc101274319 \h </w:instrText>
        </w:r>
        <w:r w:rsidR="007C6F59">
          <w:rPr>
            <w:noProof/>
            <w:webHidden/>
          </w:rPr>
        </w:r>
        <w:r w:rsidR="007C6F59">
          <w:rPr>
            <w:noProof/>
            <w:webHidden/>
          </w:rPr>
          <w:fldChar w:fldCharType="separate"/>
        </w:r>
        <w:r w:rsidR="00587AF0">
          <w:rPr>
            <w:noProof/>
            <w:webHidden/>
          </w:rPr>
          <w:t>8</w:t>
        </w:r>
        <w:r w:rsidR="007C6F59">
          <w:rPr>
            <w:noProof/>
            <w:webHidden/>
          </w:rPr>
          <w:fldChar w:fldCharType="end"/>
        </w:r>
      </w:hyperlink>
    </w:p>
    <w:p w14:paraId="680B8167" w14:textId="03930F0B"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320" w:history="1">
        <w:r w:rsidR="007C6F59" w:rsidRPr="00906C74">
          <w:rPr>
            <w:rStyle w:val="Hyperlink"/>
            <w:noProof/>
            <w:lang w:val="en-GB"/>
          </w:rPr>
          <w:t>1.4</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lang w:val="en-GB"/>
          </w:rPr>
          <w:t>Thesis statement(s)</w:t>
        </w:r>
        <w:r w:rsidR="007C6F59">
          <w:rPr>
            <w:noProof/>
            <w:webHidden/>
          </w:rPr>
          <w:tab/>
        </w:r>
        <w:r w:rsidR="007C6F59">
          <w:rPr>
            <w:noProof/>
            <w:webHidden/>
          </w:rPr>
          <w:fldChar w:fldCharType="begin"/>
        </w:r>
        <w:r w:rsidR="007C6F59">
          <w:rPr>
            <w:noProof/>
            <w:webHidden/>
          </w:rPr>
          <w:instrText xml:space="preserve"> PAGEREF _Toc101274320 \h </w:instrText>
        </w:r>
        <w:r w:rsidR="007C6F59">
          <w:rPr>
            <w:noProof/>
            <w:webHidden/>
          </w:rPr>
        </w:r>
        <w:r w:rsidR="007C6F59">
          <w:rPr>
            <w:noProof/>
            <w:webHidden/>
          </w:rPr>
          <w:fldChar w:fldCharType="separate"/>
        </w:r>
        <w:r w:rsidR="00587AF0">
          <w:rPr>
            <w:noProof/>
            <w:webHidden/>
          </w:rPr>
          <w:t>11</w:t>
        </w:r>
        <w:r w:rsidR="007C6F59">
          <w:rPr>
            <w:noProof/>
            <w:webHidden/>
          </w:rPr>
          <w:fldChar w:fldCharType="end"/>
        </w:r>
      </w:hyperlink>
    </w:p>
    <w:p w14:paraId="1C703206" w14:textId="1F3AF07B"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21" w:history="1">
        <w:r w:rsidR="007C6F59" w:rsidRPr="00906C74">
          <w:rPr>
            <w:rStyle w:val="Hyperlink"/>
            <w:noProof/>
            <w:lang w:val="en-GB"/>
            <w14:scene3d>
              <w14:camera w14:prst="orthographicFront"/>
              <w14:lightRig w14:rig="threePt" w14:dir="t">
                <w14:rot w14:lat="0" w14:lon="0" w14:rev="0"/>
              </w14:lightRig>
            </w14:scene3d>
          </w:rPr>
          <w:t>1.4.1</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lang w:val="en-GB"/>
          </w:rPr>
          <w:t>Questioning sustainability in maintenance research projects</w:t>
        </w:r>
        <w:r w:rsidR="007C6F59">
          <w:rPr>
            <w:noProof/>
            <w:webHidden/>
          </w:rPr>
          <w:tab/>
        </w:r>
        <w:r w:rsidR="007C6F59">
          <w:rPr>
            <w:noProof/>
            <w:webHidden/>
          </w:rPr>
          <w:fldChar w:fldCharType="begin"/>
        </w:r>
        <w:r w:rsidR="007C6F59">
          <w:rPr>
            <w:noProof/>
            <w:webHidden/>
          </w:rPr>
          <w:instrText xml:space="preserve"> PAGEREF _Toc101274321 \h </w:instrText>
        </w:r>
        <w:r w:rsidR="007C6F59">
          <w:rPr>
            <w:noProof/>
            <w:webHidden/>
          </w:rPr>
        </w:r>
        <w:r w:rsidR="007C6F59">
          <w:rPr>
            <w:noProof/>
            <w:webHidden/>
          </w:rPr>
          <w:fldChar w:fldCharType="separate"/>
        </w:r>
        <w:r w:rsidR="00587AF0">
          <w:rPr>
            <w:noProof/>
            <w:webHidden/>
          </w:rPr>
          <w:t>11</w:t>
        </w:r>
        <w:r w:rsidR="007C6F59">
          <w:rPr>
            <w:noProof/>
            <w:webHidden/>
          </w:rPr>
          <w:fldChar w:fldCharType="end"/>
        </w:r>
      </w:hyperlink>
    </w:p>
    <w:p w14:paraId="173BCF59" w14:textId="2E772E76"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22" w:history="1">
        <w:r w:rsidR="007C6F59" w:rsidRPr="00906C74">
          <w:rPr>
            <w:rStyle w:val="Hyperlink"/>
            <w:noProof/>
            <w:lang w:val="en-GB"/>
            <w14:scene3d>
              <w14:camera w14:prst="orthographicFront"/>
              <w14:lightRig w14:rig="threePt" w14:dir="t">
                <w14:rot w14:lat="0" w14:lon="0" w14:rev="0"/>
              </w14:lightRig>
            </w14:scene3d>
          </w:rPr>
          <w:t>1.4.2</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lang w:val="en-GB"/>
          </w:rPr>
          <w:t>Challenging evidence from maintenance practice</w:t>
        </w:r>
        <w:r w:rsidR="007C6F59">
          <w:rPr>
            <w:noProof/>
            <w:webHidden/>
          </w:rPr>
          <w:tab/>
        </w:r>
        <w:r w:rsidR="007C6F59">
          <w:rPr>
            <w:noProof/>
            <w:webHidden/>
          </w:rPr>
          <w:fldChar w:fldCharType="begin"/>
        </w:r>
        <w:r w:rsidR="007C6F59">
          <w:rPr>
            <w:noProof/>
            <w:webHidden/>
          </w:rPr>
          <w:instrText xml:space="preserve"> PAGEREF _Toc101274322 \h </w:instrText>
        </w:r>
        <w:r w:rsidR="007C6F59">
          <w:rPr>
            <w:noProof/>
            <w:webHidden/>
          </w:rPr>
        </w:r>
        <w:r w:rsidR="007C6F59">
          <w:rPr>
            <w:noProof/>
            <w:webHidden/>
          </w:rPr>
          <w:fldChar w:fldCharType="separate"/>
        </w:r>
        <w:r w:rsidR="00587AF0">
          <w:rPr>
            <w:noProof/>
            <w:webHidden/>
          </w:rPr>
          <w:t>12</w:t>
        </w:r>
        <w:r w:rsidR="007C6F59">
          <w:rPr>
            <w:noProof/>
            <w:webHidden/>
          </w:rPr>
          <w:fldChar w:fldCharType="end"/>
        </w:r>
      </w:hyperlink>
    </w:p>
    <w:p w14:paraId="6C8E4187" w14:textId="47ADBACA"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23" w:history="1">
        <w:r w:rsidR="007C6F59" w:rsidRPr="00906C74">
          <w:rPr>
            <w:rStyle w:val="Hyperlink"/>
            <w:noProof/>
            <w:lang w:val="en-GB"/>
            <w14:scene3d>
              <w14:camera w14:prst="orthographicFront"/>
              <w14:lightRig w14:rig="threePt" w14:dir="t">
                <w14:rot w14:lat="0" w14:lon="0" w14:rev="0"/>
              </w14:lightRig>
            </w14:scene3d>
          </w:rPr>
          <w:t>1.4.3</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lang w:val="en-GB"/>
          </w:rPr>
          <w:t>Experimental validation and comparison with LCM</w:t>
        </w:r>
        <w:r w:rsidR="007C6F59">
          <w:rPr>
            <w:noProof/>
            <w:webHidden/>
          </w:rPr>
          <w:tab/>
        </w:r>
        <w:r w:rsidR="007C6F59">
          <w:rPr>
            <w:noProof/>
            <w:webHidden/>
          </w:rPr>
          <w:fldChar w:fldCharType="begin"/>
        </w:r>
        <w:r w:rsidR="007C6F59">
          <w:rPr>
            <w:noProof/>
            <w:webHidden/>
          </w:rPr>
          <w:instrText xml:space="preserve"> PAGEREF _Toc101274323 \h </w:instrText>
        </w:r>
        <w:r w:rsidR="007C6F59">
          <w:rPr>
            <w:noProof/>
            <w:webHidden/>
          </w:rPr>
        </w:r>
        <w:r w:rsidR="007C6F59">
          <w:rPr>
            <w:noProof/>
            <w:webHidden/>
          </w:rPr>
          <w:fldChar w:fldCharType="separate"/>
        </w:r>
        <w:r w:rsidR="00587AF0">
          <w:rPr>
            <w:noProof/>
            <w:webHidden/>
          </w:rPr>
          <w:t>12</w:t>
        </w:r>
        <w:r w:rsidR="007C6F59">
          <w:rPr>
            <w:noProof/>
            <w:webHidden/>
          </w:rPr>
          <w:fldChar w:fldCharType="end"/>
        </w:r>
      </w:hyperlink>
    </w:p>
    <w:p w14:paraId="2874BABA" w14:textId="2ED0B7DD"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24" w:history="1">
        <w:r w:rsidR="007C6F59" w:rsidRPr="00906C74">
          <w:rPr>
            <w:rStyle w:val="Hyperlink"/>
            <w:noProof/>
            <w:lang w:val="en-GB"/>
            <w14:scene3d>
              <w14:camera w14:prst="orthographicFront"/>
              <w14:lightRig w14:rig="threePt" w14:dir="t">
                <w14:rot w14:lat="0" w14:lon="0" w14:rev="0"/>
              </w14:lightRig>
            </w14:scene3d>
          </w:rPr>
          <w:t>1.4.4</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lang w:val="en-GB"/>
          </w:rPr>
          <w:t>Machine Learning Hypotheses space</w:t>
        </w:r>
        <w:r w:rsidR="007C6F59">
          <w:rPr>
            <w:noProof/>
            <w:webHidden/>
          </w:rPr>
          <w:tab/>
        </w:r>
        <w:r w:rsidR="007C6F59">
          <w:rPr>
            <w:noProof/>
            <w:webHidden/>
          </w:rPr>
          <w:fldChar w:fldCharType="begin"/>
        </w:r>
        <w:r w:rsidR="007C6F59">
          <w:rPr>
            <w:noProof/>
            <w:webHidden/>
          </w:rPr>
          <w:instrText xml:space="preserve"> PAGEREF _Toc101274324 \h </w:instrText>
        </w:r>
        <w:r w:rsidR="007C6F59">
          <w:rPr>
            <w:noProof/>
            <w:webHidden/>
          </w:rPr>
        </w:r>
        <w:r w:rsidR="007C6F59">
          <w:rPr>
            <w:noProof/>
            <w:webHidden/>
          </w:rPr>
          <w:fldChar w:fldCharType="separate"/>
        </w:r>
        <w:r w:rsidR="00587AF0">
          <w:rPr>
            <w:noProof/>
            <w:webHidden/>
          </w:rPr>
          <w:t>13</w:t>
        </w:r>
        <w:r w:rsidR="007C6F59">
          <w:rPr>
            <w:noProof/>
            <w:webHidden/>
          </w:rPr>
          <w:fldChar w:fldCharType="end"/>
        </w:r>
      </w:hyperlink>
    </w:p>
    <w:p w14:paraId="212C2D97" w14:textId="2FB1E2BF"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325" w:history="1">
        <w:r w:rsidR="007C6F59" w:rsidRPr="00906C74">
          <w:rPr>
            <w:rStyle w:val="Hyperlink"/>
            <w:noProof/>
            <w:lang w:val="en-GB"/>
          </w:rPr>
          <w:t>1.5</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lang w:val="en-GB"/>
          </w:rPr>
          <w:t>Outline and key remarks of the thesis</w:t>
        </w:r>
        <w:r w:rsidR="007C6F59">
          <w:rPr>
            <w:noProof/>
            <w:webHidden/>
          </w:rPr>
          <w:tab/>
        </w:r>
        <w:r w:rsidR="007C6F59">
          <w:rPr>
            <w:noProof/>
            <w:webHidden/>
          </w:rPr>
          <w:fldChar w:fldCharType="begin"/>
        </w:r>
        <w:r w:rsidR="007C6F59">
          <w:rPr>
            <w:noProof/>
            <w:webHidden/>
          </w:rPr>
          <w:instrText xml:space="preserve"> PAGEREF _Toc101274325 \h </w:instrText>
        </w:r>
        <w:r w:rsidR="007C6F59">
          <w:rPr>
            <w:noProof/>
            <w:webHidden/>
          </w:rPr>
        </w:r>
        <w:r w:rsidR="007C6F59">
          <w:rPr>
            <w:noProof/>
            <w:webHidden/>
          </w:rPr>
          <w:fldChar w:fldCharType="separate"/>
        </w:r>
        <w:r w:rsidR="00587AF0">
          <w:rPr>
            <w:noProof/>
            <w:webHidden/>
          </w:rPr>
          <w:t>15</w:t>
        </w:r>
        <w:r w:rsidR="007C6F59">
          <w:rPr>
            <w:noProof/>
            <w:webHidden/>
          </w:rPr>
          <w:fldChar w:fldCharType="end"/>
        </w:r>
      </w:hyperlink>
    </w:p>
    <w:p w14:paraId="36DDC04A" w14:textId="03E63DAA" w:rsidR="007C6F59" w:rsidRDefault="00427B33">
      <w:pPr>
        <w:pStyle w:val="TOC2"/>
        <w:tabs>
          <w:tab w:val="left" w:pos="720"/>
          <w:tab w:val="right" w:leader="dot" w:pos="9017"/>
        </w:tabs>
        <w:rPr>
          <w:rFonts w:asciiTheme="minorHAnsi" w:eastAsiaTheme="minorEastAsia" w:hAnsiTheme="minorHAnsi" w:cstheme="minorBidi"/>
          <w:b w:val="0"/>
          <w:smallCaps w:val="0"/>
          <w:noProof/>
          <w:sz w:val="22"/>
          <w:szCs w:val="22"/>
          <w:lang w:val="sr-Latn-RS" w:eastAsia="sr-Latn-RS"/>
        </w:rPr>
      </w:pPr>
      <w:hyperlink w:anchor="_Toc101274326" w:history="1">
        <w:r w:rsidR="007C6F59" w:rsidRPr="00906C74">
          <w:rPr>
            <w:rStyle w:val="Hyperlink"/>
            <w:noProof/>
          </w:rPr>
          <w:t>2</w:t>
        </w:r>
        <w:r w:rsidR="007C6F59">
          <w:rPr>
            <w:rFonts w:asciiTheme="minorHAnsi" w:eastAsiaTheme="minorEastAsia" w:hAnsiTheme="minorHAnsi" w:cstheme="minorBidi"/>
            <w:b w:val="0"/>
            <w:smallCaps w:val="0"/>
            <w:noProof/>
            <w:sz w:val="22"/>
            <w:szCs w:val="22"/>
            <w:lang w:val="sr-Latn-RS" w:eastAsia="sr-Latn-RS"/>
          </w:rPr>
          <w:tab/>
        </w:r>
        <w:r w:rsidR="007C6F59" w:rsidRPr="00906C74">
          <w:rPr>
            <w:rStyle w:val="Hyperlink"/>
            <w:noProof/>
          </w:rPr>
          <w:t>Research protocols and methods</w:t>
        </w:r>
        <w:r w:rsidR="007C6F59">
          <w:rPr>
            <w:noProof/>
            <w:webHidden/>
          </w:rPr>
          <w:tab/>
        </w:r>
        <w:r w:rsidR="007C6F59">
          <w:rPr>
            <w:noProof/>
            <w:webHidden/>
          </w:rPr>
          <w:fldChar w:fldCharType="begin"/>
        </w:r>
        <w:r w:rsidR="007C6F59">
          <w:rPr>
            <w:noProof/>
            <w:webHidden/>
          </w:rPr>
          <w:instrText xml:space="preserve"> PAGEREF _Toc101274326 \h </w:instrText>
        </w:r>
        <w:r w:rsidR="007C6F59">
          <w:rPr>
            <w:noProof/>
            <w:webHidden/>
          </w:rPr>
        </w:r>
        <w:r w:rsidR="007C6F59">
          <w:rPr>
            <w:noProof/>
            <w:webHidden/>
          </w:rPr>
          <w:fldChar w:fldCharType="separate"/>
        </w:r>
        <w:r w:rsidR="00587AF0">
          <w:rPr>
            <w:noProof/>
            <w:webHidden/>
          </w:rPr>
          <w:t>17</w:t>
        </w:r>
        <w:r w:rsidR="007C6F59">
          <w:rPr>
            <w:noProof/>
            <w:webHidden/>
          </w:rPr>
          <w:fldChar w:fldCharType="end"/>
        </w:r>
      </w:hyperlink>
    </w:p>
    <w:p w14:paraId="7426A6D4" w14:textId="2DBF2C82"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327" w:history="1">
        <w:r w:rsidR="007C6F59" w:rsidRPr="00906C74">
          <w:rPr>
            <w:rStyle w:val="Hyperlink"/>
            <w:noProof/>
            <w:lang w:val="sr-Latn-RS"/>
          </w:rPr>
          <w:t>2.1</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lang w:val="sr-Latn-RS"/>
          </w:rPr>
          <w:t>Research protocol for extracting evidence</w:t>
        </w:r>
        <w:r w:rsidR="007C6F59">
          <w:rPr>
            <w:noProof/>
            <w:webHidden/>
          </w:rPr>
          <w:tab/>
        </w:r>
        <w:r w:rsidR="007C6F59">
          <w:rPr>
            <w:noProof/>
            <w:webHidden/>
          </w:rPr>
          <w:fldChar w:fldCharType="begin"/>
        </w:r>
        <w:r w:rsidR="007C6F59">
          <w:rPr>
            <w:noProof/>
            <w:webHidden/>
          </w:rPr>
          <w:instrText xml:space="preserve"> PAGEREF _Toc101274327 \h </w:instrText>
        </w:r>
        <w:r w:rsidR="007C6F59">
          <w:rPr>
            <w:noProof/>
            <w:webHidden/>
          </w:rPr>
        </w:r>
        <w:r w:rsidR="007C6F59">
          <w:rPr>
            <w:noProof/>
            <w:webHidden/>
          </w:rPr>
          <w:fldChar w:fldCharType="separate"/>
        </w:r>
        <w:r w:rsidR="00587AF0">
          <w:rPr>
            <w:noProof/>
            <w:webHidden/>
          </w:rPr>
          <w:t>17</w:t>
        </w:r>
        <w:r w:rsidR="007C6F59">
          <w:rPr>
            <w:noProof/>
            <w:webHidden/>
          </w:rPr>
          <w:fldChar w:fldCharType="end"/>
        </w:r>
      </w:hyperlink>
    </w:p>
    <w:p w14:paraId="09DB0BF4" w14:textId="23AE9A1C"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328" w:history="1">
        <w:r w:rsidR="007C6F59" w:rsidRPr="00906C74">
          <w:rPr>
            <w:rStyle w:val="Hyperlink"/>
            <w:noProof/>
          </w:rPr>
          <w:t>2.2</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rPr>
          <w:t>Research protocol for state-of-the-projects</w:t>
        </w:r>
        <w:r w:rsidR="007C6F59">
          <w:rPr>
            <w:noProof/>
            <w:webHidden/>
          </w:rPr>
          <w:tab/>
        </w:r>
        <w:r w:rsidR="007C6F59">
          <w:rPr>
            <w:noProof/>
            <w:webHidden/>
          </w:rPr>
          <w:fldChar w:fldCharType="begin"/>
        </w:r>
        <w:r w:rsidR="007C6F59">
          <w:rPr>
            <w:noProof/>
            <w:webHidden/>
          </w:rPr>
          <w:instrText xml:space="preserve"> PAGEREF _Toc101274328 \h </w:instrText>
        </w:r>
        <w:r w:rsidR="007C6F59">
          <w:rPr>
            <w:noProof/>
            <w:webHidden/>
          </w:rPr>
        </w:r>
        <w:r w:rsidR="007C6F59">
          <w:rPr>
            <w:noProof/>
            <w:webHidden/>
          </w:rPr>
          <w:fldChar w:fldCharType="separate"/>
        </w:r>
        <w:r w:rsidR="00587AF0">
          <w:rPr>
            <w:noProof/>
            <w:webHidden/>
          </w:rPr>
          <w:t>18</w:t>
        </w:r>
        <w:r w:rsidR="007C6F59">
          <w:rPr>
            <w:noProof/>
            <w:webHidden/>
          </w:rPr>
          <w:fldChar w:fldCharType="end"/>
        </w:r>
      </w:hyperlink>
    </w:p>
    <w:p w14:paraId="336649B6" w14:textId="47E12101"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29" w:history="1">
        <w:r w:rsidR="007C6F59" w:rsidRPr="00906C74">
          <w:rPr>
            <w:rStyle w:val="Hyperlink"/>
            <w:noProof/>
            <w14:scene3d>
              <w14:camera w14:prst="orthographicFront"/>
              <w14:lightRig w14:rig="threePt" w14:dir="t">
                <w14:rot w14:lat="0" w14:lon="0" w14:rev="0"/>
              </w14:lightRig>
            </w14:scene3d>
          </w:rPr>
          <w:t>2.2.1</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Setting the research questions</w:t>
        </w:r>
        <w:r w:rsidR="007C6F59">
          <w:rPr>
            <w:noProof/>
            <w:webHidden/>
          </w:rPr>
          <w:tab/>
        </w:r>
        <w:r w:rsidR="007C6F59">
          <w:rPr>
            <w:noProof/>
            <w:webHidden/>
          </w:rPr>
          <w:fldChar w:fldCharType="begin"/>
        </w:r>
        <w:r w:rsidR="007C6F59">
          <w:rPr>
            <w:noProof/>
            <w:webHidden/>
          </w:rPr>
          <w:instrText xml:space="preserve"> PAGEREF _Toc101274329 \h </w:instrText>
        </w:r>
        <w:r w:rsidR="007C6F59">
          <w:rPr>
            <w:noProof/>
            <w:webHidden/>
          </w:rPr>
        </w:r>
        <w:r w:rsidR="007C6F59">
          <w:rPr>
            <w:noProof/>
            <w:webHidden/>
          </w:rPr>
          <w:fldChar w:fldCharType="separate"/>
        </w:r>
        <w:r w:rsidR="00587AF0">
          <w:rPr>
            <w:noProof/>
            <w:webHidden/>
          </w:rPr>
          <w:t>18</w:t>
        </w:r>
        <w:r w:rsidR="007C6F59">
          <w:rPr>
            <w:noProof/>
            <w:webHidden/>
          </w:rPr>
          <w:fldChar w:fldCharType="end"/>
        </w:r>
      </w:hyperlink>
    </w:p>
    <w:p w14:paraId="76269C30" w14:textId="239F6687"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30" w:history="1">
        <w:r w:rsidR="007C6F59" w:rsidRPr="00906C74">
          <w:rPr>
            <w:rStyle w:val="Hyperlink"/>
            <w:noProof/>
            <w14:scene3d>
              <w14:camera w14:prst="orthographicFront"/>
              <w14:lightRig w14:rig="threePt" w14:dir="t">
                <w14:rot w14:lat="0" w14:lon="0" w14:rev="0"/>
              </w14:lightRig>
            </w14:scene3d>
          </w:rPr>
          <w:t>2.2.2</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Setting eligibility criteria(s)</w:t>
        </w:r>
        <w:r w:rsidR="007C6F59">
          <w:rPr>
            <w:noProof/>
            <w:webHidden/>
          </w:rPr>
          <w:tab/>
        </w:r>
        <w:r w:rsidR="007C6F59">
          <w:rPr>
            <w:noProof/>
            <w:webHidden/>
          </w:rPr>
          <w:fldChar w:fldCharType="begin"/>
        </w:r>
        <w:r w:rsidR="007C6F59">
          <w:rPr>
            <w:noProof/>
            <w:webHidden/>
          </w:rPr>
          <w:instrText xml:space="preserve"> PAGEREF _Toc101274330 \h </w:instrText>
        </w:r>
        <w:r w:rsidR="007C6F59">
          <w:rPr>
            <w:noProof/>
            <w:webHidden/>
          </w:rPr>
        </w:r>
        <w:r w:rsidR="007C6F59">
          <w:rPr>
            <w:noProof/>
            <w:webHidden/>
          </w:rPr>
          <w:fldChar w:fldCharType="separate"/>
        </w:r>
        <w:r w:rsidR="00587AF0">
          <w:rPr>
            <w:noProof/>
            <w:webHidden/>
          </w:rPr>
          <w:t>18</w:t>
        </w:r>
        <w:r w:rsidR="007C6F59">
          <w:rPr>
            <w:noProof/>
            <w:webHidden/>
          </w:rPr>
          <w:fldChar w:fldCharType="end"/>
        </w:r>
      </w:hyperlink>
    </w:p>
    <w:p w14:paraId="4242CBCF" w14:textId="1B10FE48"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31" w:history="1">
        <w:r w:rsidR="007C6F59" w:rsidRPr="00906C74">
          <w:rPr>
            <w:rStyle w:val="Hyperlink"/>
            <w:noProof/>
            <w:lang w:bidi="en-US"/>
            <w14:scene3d>
              <w14:camera w14:prst="orthographicFront"/>
              <w14:lightRig w14:rig="threePt" w14:dir="t">
                <w14:rot w14:lat="0" w14:lon="0" w14:rev="0"/>
              </w14:lightRig>
            </w14:scene3d>
          </w:rPr>
          <w:t>2.2.3</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lang w:bidi="en-US"/>
          </w:rPr>
          <w:t>Search strings and search protocol</w:t>
        </w:r>
        <w:r w:rsidR="007C6F59">
          <w:rPr>
            <w:noProof/>
            <w:webHidden/>
          </w:rPr>
          <w:tab/>
        </w:r>
        <w:r w:rsidR="007C6F59">
          <w:rPr>
            <w:noProof/>
            <w:webHidden/>
          </w:rPr>
          <w:fldChar w:fldCharType="begin"/>
        </w:r>
        <w:r w:rsidR="007C6F59">
          <w:rPr>
            <w:noProof/>
            <w:webHidden/>
          </w:rPr>
          <w:instrText xml:space="preserve"> PAGEREF _Toc101274331 \h </w:instrText>
        </w:r>
        <w:r w:rsidR="007C6F59">
          <w:rPr>
            <w:noProof/>
            <w:webHidden/>
          </w:rPr>
        </w:r>
        <w:r w:rsidR="007C6F59">
          <w:rPr>
            <w:noProof/>
            <w:webHidden/>
          </w:rPr>
          <w:fldChar w:fldCharType="separate"/>
        </w:r>
        <w:r w:rsidR="00587AF0">
          <w:rPr>
            <w:noProof/>
            <w:webHidden/>
          </w:rPr>
          <w:t>19</w:t>
        </w:r>
        <w:r w:rsidR="007C6F59">
          <w:rPr>
            <w:noProof/>
            <w:webHidden/>
          </w:rPr>
          <w:fldChar w:fldCharType="end"/>
        </w:r>
      </w:hyperlink>
    </w:p>
    <w:p w14:paraId="17918D1B" w14:textId="408E47B1"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332" w:history="1">
        <w:r w:rsidR="007C6F59" w:rsidRPr="00906C74">
          <w:rPr>
            <w:rStyle w:val="Hyperlink"/>
            <w:noProof/>
          </w:rPr>
          <w:t>2.3</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rPr>
          <w:t>Research protocol for state-of-the-practice</w:t>
        </w:r>
        <w:r w:rsidR="007C6F59">
          <w:rPr>
            <w:noProof/>
            <w:webHidden/>
          </w:rPr>
          <w:tab/>
        </w:r>
        <w:r w:rsidR="007C6F59">
          <w:rPr>
            <w:noProof/>
            <w:webHidden/>
          </w:rPr>
          <w:fldChar w:fldCharType="begin"/>
        </w:r>
        <w:r w:rsidR="007C6F59">
          <w:rPr>
            <w:noProof/>
            <w:webHidden/>
          </w:rPr>
          <w:instrText xml:space="preserve"> PAGEREF _Toc101274332 \h </w:instrText>
        </w:r>
        <w:r w:rsidR="007C6F59">
          <w:rPr>
            <w:noProof/>
            <w:webHidden/>
          </w:rPr>
        </w:r>
        <w:r w:rsidR="007C6F59">
          <w:rPr>
            <w:noProof/>
            <w:webHidden/>
          </w:rPr>
          <w:fldChar w:fldCharType="separate"/>
        </w:r>
        <w:r w:rsidR="00587AF0">
          <w:rPr>
            <w:noProof/>
            <w:webHidden/>
          </w:rPr>
          <w:t>21</w:t>
        </w:r>
        <w:r w:rsidR="007C6F59">
          <w:rPr>
            <w:noProof/>
            <w:webHidden/>
          </w:rPr>
          <w:fldChar w:fldCharType="end"/>
        </w:r>
      </w:hyperlink>
    </w:p>
    <w:p w14:paraId="45DF1488" w14:textId="0336DBF6"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33" w:history="1">
        <w:r w:rsidR="007C6F59" w:rsidRPr="00906C74">
          <w:rPr>
            <w:rStyle w:val="Hyperlink"/>
            <w:noProof/>
            <w14:scene3d>
              <w14:camera w14:prst="orthographicFront"/>
              <w14:lightRig w14:rig="threePt" w14:dir="t">
                <w14:rot w14:lat="0" w14:lon="0" w14:rev="0"/>
              </w14:lightRig>
            </w14:scene3d>
          </w:rPr>
          <w:t>2.3.1</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Setting the research questions</w:t>
        </w:r>
        <w:r w:rsidR="007C6F59">
          <w:rPr>
            <w:noProof/>
            <w:webHidden/>
          </w:rPr>
          <w:tab/>
        </w:r>
        <w:r w:rsidR="007C6F59">
          <w:rPr>
            <w:noProof/>
            <w:webHidden/>
          </w:rPr>
          <w:fldChar w:fldCharType="begin"/>
        </w:r>
        <w:r w:rsidR="007C6F59">
          <w:rPr>
            <w:noProof/>
            <w:webHidden/>
          </w:rPr>
          <w:instrText xml:space="preserve"> PAGEREF _Toc101274333 \h </w:instrText>
        </w:r>
        <w:r w:rsidR="007C6F59">
          <w:rPr>
            <w:noProof/>
            <w:webHidden/>
          </w:rPr>
        </w:r>
        <w:r w:rsidR="007C6F59">
          <w:rPr>
            <w:noProof/>
            <w:webHidden/>
          </w:rPr>
          <w:fldChar w:fldCharType="separate"/>
        </w:r>
        <w:r w:rsidR="00587AF0">
          <w:rPr>
            <w:noProof/>
            <w:webHidden/>
          </w:rPr>
          <w:t>21</w:t>
        </w:r>
        <w:r w:rsidR="007C6F59">
          <w:rPr>
            <w:noProof/>
            <w:webHidden/>
          </w:rPr>
          <w:fldChar w:fldCharType="end"/>
        </w:r>
      </w:hyperlink>
    </w:p>
    <w:p w14:paraId="1A238970" w14:textId="43242993"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34" w:history="1">
        <w:r w:rsidR="007C6F59" w:rsidRPr="00906C74">
          <w:rPr>
            <w:rStyle w:val="Hyperlink"/>
            <w:noProof/>
            <w14:scene3d>
              <w14:camera w14:prst="orthographicFront"/>
              <w14:lightRig w14:rig="threePt" w14:dir="t">
                <w14:rot w14:lat="0" w14:lon="0" w14:rev="0"/>
              </w14:lightRig>
            </w14:scene3d>
          </w:rPr>
          <w:t>2.3.2</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Setting the survey target</w:t>
        </w:r>
        <w:r w:rsidR="007C6F59">
          <w:rPr>
            <w:noProof/>
            <w:webHidden/>
          </w:rPr>
          <w:tab/>
        </w:r>
        <w:r w:rsidR="007C6F59">
          <w:rPr>
            <w:noProof/>
            <w:webHidden/>
          </w:rPr>
          <w:fldChar w:fldCharType="begin"/>
        </w:r>
        <w:r w:rsidR="007C6F59">
          <w:rPr>
            <w:noProof/>
            <w:webHidden/>
          </w:rPr>
          <w:instrText xml:space="preserve"> PAGEREF _Toc101274334 \h </w:instrText>
        </w:r>
        <w:r w:rsidR="007C6F59">
          <w:rPr>
            <w:noProof/>
            <w:webHidden/>
          </w:rPr>
        </w:r>
        <w:r w:rsidR="007C6F59">
          <w:rPr>
            <w:noProof/>
            <w:webHidden/>
          </w:rPr>
          <w:fldChar w:fldCharType="separate"/>
        </w:r>
        <w:r w:rsidR="00587AF0">
          <w:rPr>
            <w:noProof/>
            <w:webHidden/>
          </w:rPr>
          <w:t>21</w:t>
        </w:r>
        <w:r w:rsidR="007C6F59">
          <w:rPr>
            <w:noProof/>
            <w:webHidden/>
          </w:rPr>
          <w:fldChar w:fldCharType="end"/>
        </w:r>
      </w:hyperlink>
    </w:p>
    <w:p w14:paraId="605C53F8" w14:textId="22BD421F"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35" w:history="1">
        <w:r w:rsidR="007C6F59" w:rsidRPr="00906C74">
          <w:rPr>
            <w:rStyle w:val="Hyperlink"/>
            <w:noProof/>
            <w14:scene3d>
              <w14:camera w14:prst="orthographicFront"/>
              <w14:lightRig w14:rig="threePt" w14:dir="t">
                <w14:rot w14:lat="0" w14:lon="0" w14:rev="0"/>
              </w14:lightRig>
            </w14:scene3d>
          </w:rPr>
          <w:t>2.3.3</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Improvement of the survey</w:t>
        </w:r>
        <w:r w:rsidR="007C6F59">
          <w:rPr>
            <w:noProof/>
            <w:webHidden/>
          </w:rPr>
          <w:tab/>
        </w:r>
        <w:r w:rsidR="007C6F59">
          <w:rPr>
            <w:noProof/>
            <w:webHidden/>
          </w:rPr>
          <w:fldChar w:fldCharType="begin"/>
        </w:r>
        <w:r w:rsidR="007C6F59">
          <w:rPr>
            <w:noProof/>
            <w:webHidden/>
          </w:rPr>
          <w:instrText xml:space="preserve"> PAGEREF _Toc101274335 \h </w:instrText>
        </w:r>
        <w:r w:rsidR="007C6F59">
          <w:rPr>
            <w:noProof/>
            <w:webHidden/>
          </w:rPr>
        </w:r>
        <w:r w:rsidR="007C6F59">
          <w:rPr>
            <w:noProof/>
            <w:webHidden/>
          </w:rPr>
          <w:fldChar w:fldCharType="separate"/>
        </w:r>
        <w:r w:rsidR="00587AF0">
          <w:rPr>
            <w:noProof/>
            <w:webHidden/>
          </w:rPr>
          <w:t>22</w:t>
        </w:r>
        <w:r w:rsidR="007C6F59">
          <w:rPr>
            <w:noProof/>
            <w:webHidden/>
          </w:rPr>
          <w:fldChar w:fldCharType="end"/>
        </w:r>
      </w:hyperlink>
    </w:p>
    <w:p w14:paraId="510E3978" w14:textId="46CC954D"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36" w:history="1">
        <w:r w:rsidR="007C6F59" w:rsidRPr="00906C74">
          <w:rPr>
            <w:rStyle w:val="Hyperlink"/>
            <w:noProof/>
            <w14:scene3d>
              <w14:camera w14:prst="orthographicFront"/>
              <w14:lightRig w14:rig="threePt" w14:dir="t">
                <w14:rot w14:lat="0" w14:lon="0" w14:rev="0"/>
              </w14:lightRig>
            </w14:scene3d>
          </w:rPr>
          <w:t>2.3.4</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Survey realisation</w:t>
        </w:r>
        <w:r w:rsidR="007C6F59">
          <w:rPr>
            <w:noProof/>
            <w:webHidden/>
          </w:rPr>
          <w:tab/>
        </w:r>
        <w:r w:rsidR="007C6F59">
          <w:rPr>
            <w:noProof/>
            <w:webHidden/>
          </w:rPr>
          <w:fldChar w:fldCharType="begin"/>
        </w:r>
        <w:r w:rsidR="007C6F59">
          <w:rPr>
            <w:noProof/>
            <w:webHidden/>
          </w:rPr>
          <w:instrText xml:space="preserve"> PAGEREF _Toc101274336 \h </w:instrText>
        </w:r>
        <w:r w:rsidR="007C6F59">
          <w:rPr>
            <w:noProof/>
            <w:webHidden/>
          </w:rPr>
        </w:r>
        <w:r w:rsidR="007C6F59">
          <w:rPr>
            <w:noProof/>
            <w:webHidden/>
          </w:rPr>
          <w:fldChar w:fldCharType="separate"/>
        </w:r>
        <w:r w:rsidR="00587AF0">
          <w:rPr>
            <w:noProof/>
            <w:webHidden/>
          </w:rPr>
          <w:t>22</w:t>
        </w:r>
        <w:r w:rsidR="007C6F59">
          <w:rPr>
            <w:noProof/>
            <w:webHidden/>
          </w:rPr>
          <w:fldChar w:fldCharType="end"/>
        </w:r>
      </w:hyperlink>
    </w:p>
    <w:p w14:paraId="29BF8B69" w14:textId="5B25AAB6"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337" w:history="1">
        <w:r w:rsidR="007C6F59" w:rsidRPr="00906C74">
          <w:rPr>
            <w:rStyle w:val="Hyperlink"/>
            <w:noProof/>
          </w:rPr>
          <w:t>2.4</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rPr>
          <w:t>Research protocol for state-of-the-literature</w:t>
        </w:r>
        <w:r w:rsidR="007C6F59">
          <w:rPr>
            <w:noProof/>
            <w:webHidden/>
          </w:rPr>
          <w:tab/>
        </w:r>
        <w:r w:rsidR="007C6F59">
          <w:rPr>
            <w:noProof/>
            <w:webHidden/>
          </w:rPr>
          <w:fldChar w:fldCharType="begin"/>
        </w:r>
        <w:r w:rsidR="007C6F59">
          <w:rPr>
            <w:noProof/>
            <w:webHidden/>
          </w:rPr>
          <w:instrText xml:space="preserve"> PAGEREF _Toc101274337 \h </w:instrText>
        </w:r>
        <w:r w:rsidR="007C6F59">
          <w:rPr>
            <w:noProof/>
            <w:webHidden/>
          </w:rPr>
        </w:r>
        <w:r w:rsidR="007C6F59">
          <w:rPr>
            <w:noProof/>
            <w:webHidden/>
          </w:rPr>
          <w:fldChar w:fldCharType="separate"/>
        </w:r>
        <w:r w:rsidR="00587AF0">
          <w:rPr>
            <w:noProof/>
            <w:webHidden/>
          </w:rPr>
          <w:t>23</w:t>
        </w:r>
        <w:r w:rsidR="007C6F59">
          <w:rPr>
            <w:noProof/>
            <w:webHidden/>
          </w:rPr>
          <w:fldChar w:fldCharType="end"/>
        </w:r>
      </w:hyperlink>
    </w:p>
    <w:p w14:paraId="3453F451" w14:textId="23509BB8"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38" w:history="1">
        <w:r w:rsidR="007C6F59" w:rsidRPr="00906C74">
          <w:rPr>
            <w:rStyle w:val="Hyperlink"/>
            <w:noProof/>
            <w:lang w:val="en-GB" w:bidi="en-US"/>
            <w14:scene3d>
              <w14:camera w14:prst="orthographicFront"/>
              <w14:lightRig w14:rig="threePt" w14:dir="t">
                <w14:rot w14:lat="0" w14:lon="0" w14:rev="0"/>
              </w14:lightRig>
            </w14:scene3d>
          </w:rPr>
          <w:t>2.4.1</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lang w:val="en-GB" w:bidi="en-US"/>
          </w:rPr>
          <w:t>Setting the research questions</w:t>
        </w:r>
        <w:r w:rsidR="007C6F59">
          <w:rPr>
            <w:noProof/>
            <w:webHidden/>
          </w:rPr>
          <w:tab/>
        </w:r>
        <w:r w:rsidR="007C6F59">
          <w:rPr>
            <w:noProof/>
            <w:webHidden/>
          </w:rPr>
          <w:fldChar w:fldCharType="begin"/>
        </w:r>
        <w:r w:rsidR="007C6F59">
          <w:rPr>
            <w:noProof/>
            <w:webHidden/>
          </w:rPr>
          <w:instrText xml:space="preserve"> PAGEREF _Toc101274338 \h </w:instrText>
        </w:r>
        <w:r w:rsidR="007C6F59">
          <w:rPr>
            <w:noProof/>
            <w:webHidden/>
          </w:rPr>
        </w:r>
        <w:r w:rsidR="007C6F59">
          <w:rPr>
            <w:noProof/>
            <w:webHidden/>
          </w:rPr>
          <w:fldChar w:fldCharType="separate"/>
        </w:r>
        <w:r w:rsidR="00587AF0">
          <w:rPr>
            <w:noProof/>
            <w:webHidden/>
          </w:rPr>
          <w:t>23</w:t>
        </w:r>
        <w:r w:rsidR="007C6F59">
          <w:rPr>
            <w:noProof/>
            <w:webHidden/>
          </w:rPr>
          <w:fldChar w:fldCharType="end"/>
        </w:r>
      </w:hyperlink>
    </w:p>
    <w:p w14:paraId="13D0919C" w14:textId="58F62CFF"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39" w:history="1">
        <w:r w:rsidR="007C6F59" w:rsidRPr="00906C74">
          <w:rPr>
            <w:rStyle w:val="Hyperlink"/>
            <w:noProof/>
            <w14:scene3d>
              <w14:camera w14:prst="orthographicFront"/>
              <w14:lightRig w14:rig="threePt" w14:dir="t">
                <w14:rot w14:lat="0" w14:lon="0" w14:rev="0"/>
              </w14:lightRig>
            </w14:scene3d>
          </w:rPr>
          <w:t>2.4.2</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Defining eligibility criteria</w:t>
        </w:r>
        <w:r w:rsidR="007C6F59">
          <w:rPr>
            <w:noProof/>
            <w:webHidden/>
          </w:rPr>
          <w:tab/>
        </w:r>
        <w:r w:rsidR="007C6F59">
          <w:rPr>
            <w:noProof/>
            <w:webHidden/>
          </w:rPr>
          <w:fldChar w:fldCharType="begin"/>
        </w:r>
        <w:r w:rsidR="007C6F59">
          <w:rPr>
            <w:noProof/>
            <w:webHidden/>
          </w:rPr>
          <w:instrText xml:space="preserve"> PAGEREF _Toc101274339 \h </w:instrText>
        </w:r>
        <w:r w:rsidR="007C6F59">
          <w:rPr>
            <w:noProof/>
            <w:webHidden/>
          </w:rPr>
        </w:r>
        <w:r w:rsidR="007C6F59">
          <w:rPr>
            <w:noProof/>
            <w:webHidden/>
          </w:rPr>
          <w:fldChar w:fldCharType="separate"/>
        </w:r>
        <w:r w:rsidR="00587AF0">
          <w:rPr>
            <w:noProof/>
            <w:webHidden/>
          </w:rPr>
          <w:t>24</w:t>
        </w:r>
        <w:r w:rsidR="007C6F59">
          <w:rPr>
            <w:noProof/>
            <w:webHidden/>
          </w:rPr>
          <w:fldChar w:fldCharType="end"/>
        </w:r>
      </w:hyperlink>
    </w:p>
    <w:p w14:paraId="436EBA67" w14:textId="000F309F"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40" w:history="1">
        <w:r w:rsidR="007C6F59" w:rsidRPr="00906C74">
          <w:rPr>
            <w:rStyle w:val="Hyperlink"/>
            <w:noProof/>
            <w:lang w:val="en-GB"/>
            <w14:scene3d>
              <w14:camera w14:prst="orthographicFront"/>
              <w14:lightRig w14:rig="threePt" w14:dir="t">
                <w14:rot w14:lat="0" w14:lon="0" w14:rev="0"/>
              </w14:lightRig>
            </w14:scene3d>
          </w:rPr>
          <w:t>2.4.3</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lang w:val="en-GB"/>
          </w:rPr>
          <w:t>Prisma protocol for surveying the literature</w:t>
        </w:r>
        <w:r w:rsidR="007C6F59">
          <w:rPr>
            <w:noProof/>
            <w:webHidden/>
          </w:rPr>
          <w:tab/>
        </w:r>
        <w:r w:rsidR="007C6F59">
          <w:rPr>
            <w:noProof/>
            <w:webHidden/>
          </w:rPr>
          <w:fldChar w:fldCharType="begin"/>
        </w:r>
        <w:r w:rsidR="007C6F59">
          <w:rPr>
            <w:noProof/>
            <w:webHidden/>
          </w:rPr>
          <w:instrText xml:space="preserve"> PAGEREF _Toc101274340 \h </w:instrText>
        </w:r>
        <w:r w:rsidR="007C6F59">
          <w:rPr>
            <w:noProof/>
            <w:webHidden/>
          </w:rPr>
        </w:r>
        <w:r w:rsidR="007C6F59">
          <w:rPr>
            <w:noProof/>
            <w:webHidden/>
          </w:rPr>
          <w:fldChar w:fldCharType="separate"/>
        </w:r>
        <w:r w:rsidR="00587AF0">
          <w:rPr>
            <w:noProof/>
            <w:webHidden/>
          </w:rPr>
          <w:t>25</w:t>
        </w:r>
        <w:r w:rsidR="007C6F59">
          <w:rPr>
            <w:noProof/>
            <w:webHidden/>
          </w:rPr>
          <w:fldChar w:fldCharType="end"/>
        </w:r>
      </w:hyperlink>
    </w:p>
    <w:p w14:paraId="09F1EC1F" w14:textId="75713474" w:rsidR="007C6F59" w:rsidRDefault="00427B33">
      <w:pPr>
        <w:pStyle w:val="TOC1"/>
        <w:rPr>
          <w:rFonts w:asciiTheme="minorHAnsi" w:eastAsiaTheme="minorEastAsia" w:hAnsiTheme="minorHAnsi" w:cstheme="minorBidi"/>
          <w:b w:val="0"/>
          <w:bCs w:val="0"/>
          <w:caps w:val="0"/>
          <w:noProof/>
          <w:sz w:val="22"/>
          <w:szCs w:val="22"/>
          <w:lang w:val="sr-Latn-RS" w:eastAsia="sr-Latn-RS"/>
        </w:rPr>
      </w:pPr>
      <w:hyperlink w:anchor="_Toc101274341" w:history="1">
        <w:r w:rsidR="007C6F59" w:rsidRPr="00906C74">
          <w:rPr>
            <w:rStyle w:val="Hyperlink"/>
            <w:noProof/>
            <w:lang w:val="en-GB"/>
          </w:rPr>
          <w:t>Chapter II</w:t>
        </w:r>
        <w:r w:rsidR="007C6F59">
          <w:rPr>
            <w:noProof/>
            <w:webHidden/>
          </w:rPr>
          <w:tab/>
        </w:r>
        <w:r w:rsidR="007C6F59">
          <w:rPr>
            <w:noProof/>
            <w:webHidden/>
          </w:rPr>
          <w:fldChar w:fldCharType="begin"/>
        </w:r>
        <w:r w:rsidR="007C6F59">
          <w:rPr>
            <w:noProof/>
            <w:webHidden/>
          </w:rPr>
          <w:instrText xml:space="preserve"> PAGEREF _Toc101274341 \h </w:instrText>
        </w:r>
        <w:r w:rsidR="007C6F59">
          <w:rPr>
            <w:noProof/>
            <w:webHidden/>
          </w:rPr>
        </w:r>
        <w:r w:rsidR="007C6F59">
          <w:rPr>
            <w:noProof/>
            <w:webHidden/>
          </w:rPr>
          <w:fldChar w:fldCharType="separate"/>
        </w:r>
        <w:r w:rsidR="00587AF0">
          <w:rPr>
            <w:noProof/>
            <w:webHidden/>
          </w:rPr>
          <w:t>26</w:t>
        </w:r>
        <w:r w:rsidR="007C6F59">
          <w:rPr>
            <w:noProof/>
            <w:webHidden/>
          </w:rPr>
          <w:fldChar w:fldCharType="end"/>
        </w:r>
      </w:hyperlink>
    </w:p>
    <w:p w14:paraId="20FC078D" w14:textId="093B1AA8" w:rsidR="007C6F59" w:rsidRDefault="00427B33">
      <w:pPr>
        <w:pStyle w:val="TOC2"/>
        <w:tabs>
          <w:tab w:val="left" w:pos="720"/>
          <w:tab w:val="right" w:leader="dot" w:pos="9017"/>
        </w:tabs>
        <w:rPr>
          <w:rFonts w:asciiTheme="minorHAnsi" w:eastAsiaTheme="minorEastAsia" w:hAnsiTheme="minorHAnsi" w:cstheme="minorBidi"/>
          <w:b w:val="0"/>
          <w:smallCaps w:val="0"/>
          <w:noProof/>
          <w:sz w:val="22"/>
          <w:szCs w:val="22"/>
          <w:lang w:val="sr-Latn-RS" w:eastAsia="sr-Latn-RS"/>
        </w:rPr>
      </w:pPr>
      <w:hyperlink w:anchor="_Toc101274342" w:history="1">
        <w:r w:rsidR="007C6F59" w:rsidRPr="00906C74">
          <w:rPr>
            <w:rStyle w:val="Hyperlink"/>
            <w:noProof/>
            <w:lang w:val="en-GB"/>
          </w:rPr>
          <w:t>3</w:t>
        </w:r>
        <w:r w:rsidR="007C6F59">
          <w:rPr>
            <w:rFonts w:asciiTheme="minorHAnsi" w:eastAsiaTheme="minorEastAsia" w:hAnsiTheme="minorHAnsi" w:cstheme="minorBidi"/>
            <w:b w:val="0"/>
            <w:smallCaps w:val="0"/>
            <w:noProof/>
            <w:sz w:val="22"/>
            <w:szCs w:val="22"/>
            <w:lang w:val="sr-Latn-RS" w:eastAsia="sr-Latn-RS"/>
          </w:rPr>
          <w:tab/>
        </w:r>
        <w:r w:rsidR="007C6F59" w:rsidRPr="00906C74">
          <w:rPr>
            <w:rStyle w:val="Hyperlink"/>
            <w:noProof/>
            <w:lang w:val="en-GB"/>
          </w:rPr>
          <w:t>State-of-the-projects research results</w:t>
        </w:r>
        <w:r w:rsidR="007C6F59">
          <w:rPr>
            <w:noProof/>
            <w:webHidden/>
          </w:rPr>
          <w:tab/>
        </w:r>
        <w:r w:rsidR="007C6F59">
          <w:rPr>
            <w:noProof/>
            <w:webHidden/>
          </w:rPr>
          <w:fldChar w:fldCharType="begin"/>
        </w:r>
        <w:r w:rsidR="007C6F59">
          <w:rPr>
            <w:noProof/>
            <w:webHidden/>
          </w:rPr>
          <w:instrText xml:space="preserve"> PAGEREF _Toc101274342 \h </w:instrText>
        </w:r>
        <w:r w:rsidR="007C6F59">
          <w:rPr>
            <w:noProof/>
            <w:webHidden/>
          </w:rPr>
        </w:r>
        <w:r w:rsidR="007C6F59">
          <w:rPr>
            <w:noProof/>
            <w:webHidden/>
          </w:rPr>
          <w:fldChar w:fldCharType="separate"/>
        </w:r>
        <w:r w:rsidR="00587AF0">
          <w:rPr>
            <w:noProof/>
            <w:webHidden/>
          </w:rPr>
          <w:t>26</w:t>
        </w:r>
        <w:r w:rsidR="007C6F59">
          <w:rPr>
            <w:noProof/>
            <w:webHidden/>
          </w:rPr>
          <w:fldChar w:fldCharType="end"/>
        </w:r>
      </w:hyperlink>
    </w:p>
    <w:p w14:paraId="7FBA7F17" w14:textId="5DC7C1E4"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343" w:history="1">
        <w:r w:rsidR="007C6F59" w:rsidRPr="00906C74">
          <w:rPr>
            <w:rStyle w:val="Hyperlink"/>
            <w:noProof/>
          </w:rPr>
          <w:t>3.1</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rPr>
          <w:t>Maintenance practices investigated within EU projects</w:t>
        </w:r>
        <w:r w:rsidR="007C6F59">
          <w:rPr>
            <w:noProof/>
            <w:webHidden/>
          </w:rPr>
          <w:tab/>
        </w:r>
        <w:r w:rsidR="007C6F59">
          <w:rPr>
            <w:noProof/>
            <w:webHidden/>
          </w:rPr>
          <w:fldChar w:fldCharType="begin"/>
        </w:r>
        <w:r w:rsidR="007C6F59">
          <w:rPr>
            <w:noProof/>
            <w:webHidden/>
          </w:rPr>
          <w:instrText xml:space="preserve"> PAGEREF _Toc101274343 \h </w:instrText>
        </w:r>
        <w:r w:rsidR="007C6F59">
          <w:rPr>
            <w:noProof/>
            <w:webHidden/>
          </w:rPr>
        </w:r>
        <w:r w:rsidR="007C6F59">
          <w:rPr>
            <w:noProof/>
            <w:webHidden/>
          </w:rPr>
          <w:fldChar w:fldCharType="separate"/>
        </w:r>
        <w:r w:rsidR="00587AF0">
          <w:rPr>
            <w:noProof/>
            <w:webHidden/>
          </w:rPr>
          <w:t>26</w:t>
        </w:r>
        <w:r w:rsidR="007C6F59">
          <w:rPr>
            <w:noProof/>
            <w:webHidden/>
          </w:rPr>
          <w:fldChar w:fldCharType="end"/>
        </w:r>
      </w:hyperlink>
    </w:p>
    <w:p w14:paraId="30AA9183" w14:textId="10D5C6E8"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344" w:history="1">
        <w:r w:rsidR="007C6F59" w:rsidRPr="00906C74">
          <w:rPr>
            <w:rStyle w:val="Hyperlink"/>
            <w:noProof/>
          </w:rPr>
          <w:t>3.2</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rPr>
          <w:t>Scientific contribution and impact of EU maintenance projects</w:t>
        </w:r>
        <w:r w:rsidR="007C6F59">
          <w:rPr>
            <w:noProof/>
            <w:webHidden/>
          </w:rPr>
          <w:tab/>
        </w:r>
        <w:r w:rsidR="007C6F59">
          <w:rPr>
            <w:noProof/>
            <w:webHidden/>
          </w:rPr>
          <w:fldChar w:fldCharType="begin"/>
        </w:r>
        <w:r w:rsidR="007C6F59">
          <w:rPr>
            <w:noProof/>
            <w:webHidden/>
          </w:rPr>
          <w:instrText xml:space="preserve"> PAGEREF _Toc101274344 \h </w:instrText>
        </w:r>
        <w:r w:rsidR="007C6F59">
          <w:rPr>
            <w:noProof/>
            <w:webHidden/>
          </w:rPr>
        </w:r>
        <w:r w:rsidR="007C6F59">
          <w:rPr>
            <w:noProof/>
            <w:webHidden/>
          </w:rPr>
          <w:fldChar w:fldCharType="separate"/>
        </w:r>
        <w:r w:rsidR="00587AF0">
          <w:rPr>
            <w:noProof/>
            <w:webHidden/>
          </w:rPr>
          <w:t>28</w:t>
        </w:r>
        <w:r w:rsidR="007C6F59">
          <w:rPr>
            <w:noProof/>
            <w:webHidden/>
          </w:rPr>
          <w:fldChar w:fldCharType="end"/>
        </w:r>
      </w:hyperlink>
    </w:p>
    <w:p w14:paraId="1A9D27AF" w14:textId="4E99984F"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45" w:history="1">
        <w:r w:rsidR="007C6F59" w:rsidRPr="00906C74">
          <w:rPr>
            <w:rStyle w:val="Hyperlink"/>
            <w:noProof/>
            <w14:scene3d>
              <w14:camera w14:prst="orthographicFront"/>
              <w14:lightRig w14:rig="threePt" w14:dir="t">
                <w14:rot w14:lat="0" w14:lon="0" w14:rev="0"/>
              </w14:lightRig>
            </w14:scene3d>
          </w:rPr>
          <w:t>3.2.1</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Projects research results and dissemination activities</w:t>
        </w:r>
        <w:r w:rsidR="007C6F59">
          <w:rPr>
            <w:noProof/>
            <w:webHidden/>
          </w:rPr>
          <w:tab/>
        </w:r>
        <w:r w:rsidR="007C6F59">
          <w:rPr>
            <w:noProof/>
            <w:webHidden/>
          </w:rPr>
          <w:fldChar w:fldCharType="begin"/>
        </w:r>
        <w:r w:rsidR="007C6F59">
          <w:rPr>
            <w:noProof/>
            <w:webHidden/>
          </w:rPr>
          <w:instrText xml:space="preserve"> PAGEREF _Toc101274345 \h </w:instrText>
        </w:r>
        <w:r w:rsidR="007C6F59">
          <w:rPr>
            <w:noProof/>
            <w:webHidden/>
          </w:rPr>
        </w:r>
        <w:r w:rsidR="007C6F59">
          <w:rPr>
            <w:noProof/>
            <w:webHidden/>
          </w:rPr>
          <w:fldChar w:fldCharType="separate"/>
        </w:r>
        <w:r w:rsidR="00587AF0">
          <w:rPr>
            <w:noProof/>
            <w:webHidden/>
          </w:rPr>
          <w:t>28</w:t>
        </w:r>
        <w:r w:rsidR="007C6F59">
          <w:rPr>
            <w:noProof/>
            <w:webHidden/>
          </w:rPr>
          <w:fldChar w:fldCharType="end"/>
        </w:r>
      </w:hyperlink>
    </w:p>
    <w:p w14:paraId="1A0816EE" w14:textId="213D857B"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46" w:history="1">
        <w:r w:rsidR="007C6F59" w:rsidRPr="00906C74">
          <w:rPr>
            <w:rStyle w:val="Hyperlink"/>
            <w:noProof/>
            <w14:scene3d>
              <w14:camera w14:prst="orthographicFront"/>
              <w14:lightRig w14:rig="threePt" w14:dir="t">
                <w14:rot w14:lat="0" w14:lon="0" w14:rev="0"/>
              </w14:lightRig>
            </w14:scene3d>
          </w:rPr>
          <w:t>3.2.2</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Quantification of projects’ research outcomes</w:t>
        </w:r>
        <w:r w:rsidR="007C6F59">
          <w:rPr>
            <w:noProof/>
            <w:webHidden/>
          </w:rPr>
          <w:tab/>
        </w:r>
        <w:r w:rsidR="007C6F59">
          <w:rPr>
            <w:noProof/>
            <w:webHidden/>
          </w:rPr>
          <w:fldChar w:fldCharType="begin"/>
        </w:r>
        <w:r w:rsidR="007C6F59">
          <w:rPr>
            <w:noProof/>
            <w:webHidden/>
          </w:rPr>
          <w:instrText xml:space="preserve"> PAGEREF _Toc101274346 \h </w:instrText>
        </w:r>
        <w:r w:rsidR="007C6F59">
          <w:rPr>
            <w:noProof/>
            <w:webHidden/>
          </w:rPr>
        </w:r>
        <w:r w:rsidR="007C6F59">
          <w:rPr>
            <w:noProof/>
            <w:webHidden/>
          </w:rPr>
          <w:fldChar w:fldCharType="separate"/>
        </w:r>
        <w:r w:rsidR="00587AF0">
          <w:rPr>
            <w:noProof/>
            <w:webHidden/>
          </w:rPr>
          <w:t>30</w:t>
        </w:r>
        <w:r w:rsidR="007C6F59">
          <w:rPr>
            <w:noProof/>
            <w:webHidden/>
          </w:rPr>
          <w:fldChar w:fldCharType="end"/>
        </w:r>
      </w:hyperlink>
    </w:p>
    <w:p w14:paraId="43645E56" w14:textId="543D39F2"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47" w:history="1">
        <w:r w:rsidR="007C6F59" w:rsidRPr="00906C74">
          <w:rPr>
            <w:rStyle w:val="Hyperlink"/>
            <w:noProof/>
            <w14:scene3d>
              <w14:camera w14:prst="orthographicFront"/>
              <w14:lightRig w14:rig="threePt" w14:dir="t">
                <w14:rot w14:lat="0" w14:lon="0" w14:rev="0"/>
              </w14:lightRig>
            </w14:scene3d>
          </w:rPr>
          <w:t>3.2.3</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Publication Weight Factor</w:t>
        </w:r>
        <w:r w:rsidR="007C6F59">
          <w:rPr>
            <w:noProof/>
            <w:webHidden/>
          </w:rPr>
          <w:tab/>
        </w:r>
        <w:r w:rsidR="007C6F59">
          <w:rPr>
            <w:noProof/>
            <w:webHidden/>
          </w:rPr>
          <w:fldChar w:fldCharType="begin"/>
        </w:r>
        <w:r w:rsidR="007C6F59">
          <w:rPr>
            <w:noProof/>
            <w:webHidden/>
          </w:rPr>
          <w:instrText xml:space="preserve"> PAGEREF _Toc101274347 \h </w:instrText>
        </w:r>
        <w:r w:rsidR="007C6F59">
          <w:rPr>
            <w:noProof/>
            <w:webHidden/>
          </w:rPr>
        </w:r>
        <w:r w:rsidR="007C6F59">
          <w:rPr>
            <w:noProof/>
            <w:webHidden/>
          </w:rPr>
          <w:fldChar w:fldCharType="separate"/>
        </w:r>
        <w:r w:rsidR="00587AF0">
          <w:rPr>
            <w:noProof/>
            <w:webHidden/>
          </w:rPr>
          <w:t>32</w:t>
        </w:r>
        <w:r w:rsidR="007C6F59">
          <w:rPr>
            <w:noProof/>
            <w:webHidden/>
          </w:rPr>
          <w:fldChar w:fldCharType="end"/>
        </w:r>
      </w:hyperlink>
    </w:p>
    <w:p w14:paraId="7C83D3B8" w14:textId="24594915"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348" w:history="1">
        <w:r w:rsidR="007C6F59" w:rsidRPr="00906C74">
          <w:rPr>
            <w:rStyle w:val="Hyperlink"/>
            <w:noProof/>
          </w:rPr>
          <w:t>3.3</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rPr>
          <w:t>Remarks and implications</w:t>
        </w:r>
        <w:r w:rsidR="007C6F59">
          <w:rPr>
            <w:noProof/>
            <w:webHidden/>
          </w:rPr>
          <w:tab/>
        </w:r>
        <w:r w:rsidR="007C6F59">
          <w:rPr>
            <w:noProof/>
            <w:webHidden/>
          </w:rPr>
          <w:fldChar w:fldCharType="begin"/>
        </w:r>
        <w:r w:rsidR="007C6F59">
          <w:rPr>
            <w:noProof/>
            <w:webHidden/>
          </w:rPr>
          <w:instrText xml:space="preserve"> PAGEREF _Toc101274348 \h </w:instrText>
        </w:r>
        <w:r w:rsidR="007C6F59">
          <w:rPr>
            <w:noProof/>
            <w:webHidden/>
          </w:rPr>
        </w:r>
        <w:r w:rsidR="007C6F59">
          <w:rPr>
            <w:noProof/>
            <w:webHidden/>
          </w:rPr>
          <w:fldChar w:fldCharType="separate"/>
        </w:r>
        <w:r w:rsidR="00587AF0">
          <w:rPr>
            <w:noProof/>
            <w:webHidden/>
          </w:rPr>
          <w:t>35</w:t>
        </w:r>
        <w:r w:rsidR="007C6F59">
          <w:rPr>
            <w:noProof/>
            <w:webHidden/>
          </w:rPr>
          <w:fldChar w:fldCharType="end"/>
        </w:r>
      </w:hyperlink>
    </w:p>
    <w:p w14:paraId="685E28CF" w14:textId="3663FF58" w:rsidR="007C6F59" w:rsidRDefault="00427B33">
      <w:pPr>
        <w:pStyle w:val="TOC2"/>
        <w:tabs>
          <w:tab w:val="left" w:pos="720"/>
          <w:tab w:val="right" w:leader="dot" w:pos="9017"/>
        </w:tabs>
        <w:rPr>
          <w:rFonts w:asciiTheme="minorHAnsi" w:eastAsiaTheme="minorEastAsia" w:hAnsiTheme="minorHAnsi" w:cstheme="minorBidi"/>
          <w:b w:val="0"/>
          <w:smallCaps w:val="0"/>
          <w:noProof/>
          <w:sz w:val="22"/>
          <w:szCs w:val="22"/>
          <w:lang w:val="sr-Latn-RS" w:eastAsia="sr-Latn-RS"/>
        </w:rPr>
      </w:pPr>
      <w:hyperlink w:anchor="_Toc101274349" w:history="1">
        <w:r w:rsidR="007C6F59" w:rsidRPr="00906C74">
          <w:rPr>
            <w:rStyle w:val="Hyperlink"/>
            <w:noProof/>
            <w:lang w:val="en-GB"/>
          </w:rPr>
          <w:t>4</w:t>
        </w:r>
        <w:r w:rsidR="007C6F59">
          <w:rPr>
            <w:rFonts w:asciiTheme="minorHAnsi" w:eastAsiaTheme="minorEastAsia" w:hAnsiTheme="minorHAnsi" w:cstheme="minorBidi"/>
            <w:b w:val="0"/>
            <w:smallCaps w:val="0"/>
            <w:noProof/>
            <w:sz w:val="22"/>
            <w:szCs w:val="22"/>
            <w:lang w:val="sr-Latn-RS" w:eastAsia="sr-Latn-RS"/>
          </w:rPr>
          <w:tab/>
        </w:r>
        <w:r w:rsidR="007C6F59" w:rsidRPr="00906C74">
          <w:rPr>
            <w:rStyle w:val="Hyperlink"/>
            <w:noProof/>
          </w:rPr>
          <w:t>State-of-the-literature research results</w:t>
        </w:r>
        <w:r w:rsidR="007C6F59">
          <w:rPr>
            <w:noProof/>
            <w:webHidden/>
          </w:rPr>
          <w:tab/>
        </w:r>
        <w:r w:rsidR="007C6F59">
          <w:rPr>
            <w:noProof/>
            <w:webHidden/>
          </w:rPr>
          <w:fldChar w:fldCharType="begin"/>
        </w:r>
        <w:r w:rsidR="007C6F59">
          <w:rPr>
            <w:noProof/>
            <w:webHidden/>
          </w:rPr>
          <w:instrText xml:space="preserve"> PAGEREF _Toc101274349 \h </w:instrText>
        </w:r>
        <w:r w:rsidR="007C6F59">
          <w:rPr>
            <w:noProof/>
            <w:webHidden/>
          </w:rPr>
        </w:r>
        <w:r w:rsidR="007C6F59">
          <w:rPr>
            <w:noProof/>
            <w:webHidden/>
          </w:rPr>
          <w:fldChar w:fldCharType="separate"/>
        </w:r>
        <w:r w:rsidR="00587AF0">
          <w:rPr>
            <w:noProof/>
            <w:webHidden/>
          </w:rPr>
          <w:t>36</w:t>
        </w:r>
        <w:r w:rsidR="007C6F59">
          <w:rPr>
            <w:noProof/>
            <w:webHidden/>
          </w:rPr>
          <w:fldChar w:fldCharType="end"/>
        </w:r>
      </w:hyperlink>
    </w:p>
    <w:p w14:paraId="7F508DD9" w14:textId="1728309E"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350" w:history="1">
        <w:r w:rsidR="007C6F59" w:rsidRPr="00906C74">
          <w:rPr>
            <w:rStyle w:val="Hyperlink"/>
            <w:noProof/>
            <w:lang w:val="fr-FR"/>
          </w:rPr>
          <w:t>4.1</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lang w:val="fr-FR"/>
          </w:rPr>
          <w:t>Traditional maintenance strategies – pre IoT era</w:t>
        </w:r>
        <w:r w:rsidR="007C6F59">
          <w:rPr>
            <w:noProof/>
            <w:webHidden/>
          </w:rPr>
          <w:tab/>
        </w:r>
        <w:r w:rsidR="007C6F59">
          <w:rPr>
            <w:noProof/>
            <w:webHidden/>
          </w:rPr>
          <w:fldChar w:fldCharType="begin"/>
        </w:r>
        <w:r w:rsidR="007C6F59">
          <w:rPr>
            <w:noProof/>
            <w:webHidden/>
          </w:rPr>
          <w:instrText xml:space="preserve"> PAGEREF _Toc101274350 \h </w:instrText>
        </w:r>
        <w:r w:rsidR="007C6F59">
          <w:rPr>
            <w:noProof/>
            <w:webHidden/>
          </w:rPr>
        </w:r>
        <w:r w:rsidR="007C6F59">
          <w:rPr>
            <w:noProof/>
            <w:webHidden/>
          </w:rPr>
          <w:fldChar w:fldCharType="separate"/>
        </w:r>
        <w:r w:rsidR="00587AF0">
          <w:rPr>
            <w:noProof/>
            <w:webHidden/>
          </w:rPr>
          <w:t>36</w:t>
        </w:r>
        <w:r w:rsidR="007C6F59">
          <w:rPr>
            <w:noProof/>
            <w:webHidden/>
          </w:rPr>
          <w:fldChar w:fldCharType="end"/>
        </w:r>
      </w:hyperlink>
    </w:p>
    <w:p w14:paraId="505EB950" w14:textId="0BA24503"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351" w:history="1">
        <w:r w:rsidR="007C6F59" w:rsidRPr="00906C74">
          <w:rPr>
            <w:rStyle w:val="Hyperlink"/>
            <w:noProof/>
            <w:lang w:val="en-GB"/>
          </w:rPr>
          <w:t>4.2</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lang w:val="en-GB"/>
          </w:rPr>
          <w:t>Maintenance strategies – post IoT era</w:t>
        </w:r>
        <w:r w:rsidR="007C6F59">
          <w:rPr>
            <w:noProof/>
            <w:webHidden/>
          </w:rPr>
          <w:tab/>
        </w:r>
        <w:r w:rsidR="007C6F59">
          <w:rPr>
            <w:noProof/>
            <w:webHidden/>
          </w:rPr>
          <w:fldChar w:fldCharType="begin"/>
        </w:r>
        <w:r w:rsidR="007C6F59">
          <w:rPr>
            <w:noProof/>
            <w:webHidden/>
          </w:rPr>
          <w:instrText xml:space="preserve"> PAGEREF _Toc101274351 \h </w:instrText>
        </w:r>
        <w:r w:rsidR="007C6F59">
          <w:rPr>
            <w:noProof/>
            <w:webHidden/>
          </w:rPr>
        </w:r>
        <w:r w:rsidR="007C6F59">
          <w:rPr>
            <w:noProof/>
            <w:webHidden/>
          </w:rPr>
          <w:fldChar w:fldCharType="separate"/>
        </w:r>
        <w:r w:rsidR="00587AF0">
          <w:rPr>
            <w:noProof/>
            <w:webHidden/>
          </w:rPr>
          <w:t>37</w:t>
        </w:r>
        <w:r w:rsidR="007C6F59">
          <w:rPr>
            <w:noProof/>
            <w:webHidden/>
          </w:rPr>
          <w:fldChar w:fldCharType="end"/>
        </w:r>
      </w:hyperlink>
    </w:p>
    <w:p w14:paraId="5CF81916" w14:textId="4B7697E7"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352" w:history="1">
        <w:r w:rsidR="007C6F59" w:rsidRPr="00906C74">
          <w:rPr>
            <w:rStyle w:val="Hyperlink"/>
            <w:noProof/>
          </w:rPr>
          <w:t>4.3</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rPr>
          <w:t>Energy- and sustainable-oriented maintenance research</w:t>
        </w:r>
        <w:r w:rsidR="007C6F59">
          <w:rPr>
            <w:noProof/>
            <w:webHidden/>
          </w:rPr>
          <w:tab/>
        </w:r>
        <w:r w:rsidR="007C6F59">
          <w:rPr>
            <w:noProof/>
            <w:webHidden/>
          </w:rPr>
          <w:fldChar w:fldCharType="begin"/>
        </w:r>
        <w:r w:rsidR="007C6F59">
          <w:rPr>
            <w:noProof/>
            <w:webHidden/>
          </w:rPr>
          <w:instrText xml:space="preserve"> PAGEREF _Toc101274352 \h </w:instrText>
        </w:r>
        <w:r w:rsidR="007C6F59">
          <w:rPr>
            <w:noProof/>
            <w:webHidden/>
          </w:rPr>
        </w:r>
        <w:r w:rsidR="007C6F59">
          <w:rPr>
            <w:noProof/>
            <w:webHidden/>
          </w:rPr>
          <w:fldChar w:fldCharType="separate"/>
        </w:r>
        <w:r w:rsidR="00587AF0">
          <w:rPr>
            <w:noProof/>
            <w:webHidden/>
          </w:rPr>
          <w:t>38</w:t>
        </w:r>
        <w:r w:rsidR="007C6F59">
          <w:rPr>
            <w:noProof/>
            <w:webHidden/>
          </w:rPr>
          <w:fldChar w:fldCharType="end"/>
        </w:r>
      </w:hyperlink>
    </w:p>
    <w:p w14:paraId="34E757D4" w14:textId="7C2E3F37"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53" w:history="1">
        <w:r w:rsidR="007C6F59" w:rsidRPr="00906C74">
          <w:rPr>
            <w:rStyle w:val="Hyperlink"/>
            <w:noProof/>
            <w14:scene3d>
              <w14:camera w14:prst="orthographicFront"/>
              <w14:lightRig w14:rig="threePt" w14:dir="t">
                <w14:rot w14:lat="0" w14:lon="0" w14:rev="0"/>
              </w14:lightRig>
            </w14:scene3d>
          </w:rPr>
          <w:t>4.3.1</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Meta-data of publications</w:t>
        </w:r>
        <w:r w:rsidR="007C6F59">
          <w:rPr>
            <w:noProof/>
            <w:webHidden/>
          </w:rPr>
          <w:tab/>
        </w:r>
        <w:r w:rsidR="007C6F59">
          <w:rPr>
            <w:noProof/>
            <w:webHidden/>
          </w:rPr>
          <w:fldChar w:fldCharType="begin"/>
        </w:r>
        <w:r w:rsidR="007C6F59">
          <w:rPr>
            <w:noProof/>
            <w:webHidden/>
          </w:rPr>
          <w:instrText xml:space="preserve"> PAGEREF _Toc101274353 \h </w:instrText>
        </w:r>
        <w:r w:rsidR="007C6F59">
          <w:rPr>
            <w:noProof/>
            <w:webHidden/>
          </w:rPr>
        </w:r>
        <w:r w:rsidR="007C6F59">
          <w:rPr>
            <w:noProof/>
            <w:webHidden/>
          </w:rPr>
          <w:fldChar w:fldCharType="separate"/>
        </w:r>
        <w:r w:rsidR="00587AF0">
          <w:rPr>
            <w:noProof/>
            <w:webHidden/>
          </w:rPr>
          <w:t>38</w:t>
        </w:r>
        <w:r w:rsidR="007C6F59">
          <w:rPr>
            <w:noProof/>
            <w:webHidden/>
          </w:rPr>
          <w:fldChar w:fldCharType="end"/>
        </w:r>
      </w:hyperlink>
    </w:p>
    <w:p w14:paraId="2A213D01" w14:textId="3FC90EB3"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54" w:history="1">
        <w:r w:rsidR="007C6F59" w:rsidRPr="00906C74">
          <w:rPr>
            <w:rStyle w:val="Hyperlink"/>
            <w:noProof/>
            <w14:scene3d>
              <w14:camera w14:prst="orthographicFront"/>
              <w14:lightRig w14:rig="threePt" w14:dir="t">
                <w14:rot w14:lat="0" w14:lon="0" w14:rev="0"/>
              </w14:lightRig>
            </w14:scene3d>
          </w:rPr>
          <w:t>4.3.2</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Energy-dedicated maintenance prospects and concepts</w:t>
        </w:r>
        <w:r w:rsidR="007C6F59">
          <w:rPr>
            <w:noProof/>
            <w:webHidden/>
          </w:rPr>
          <w:tab/>
        </w:r>
        <w:r w:rsidR="007C6F59">
          <w:rPr>
            <w:noProof/>
            <w:webHidden/>
          </w:rPr>
          <w:fldChar w:fldCharType="begin"/>
        </w:r>
        <w:r w:rsidR="007C6F59">
          <w:rPr>
            <w:noProof/>
            <w:webHidden/>
          </w:rPr>
          <w:instrText xml:space="preserve"> PAGEREF _Toc101274354 \h </w:instrText>
        </w:r>
        <w:r w:rsidR="007C6F59">
          <w:rPr>
            <w:noProof/>
            <w:webHidden/>
          </w:rPr>
        </w:r>
        <w:r w:rsidR="007C6F59">
          <w:rPr>
            <w:noProof/>
            <w:webHidden/>
          </w:rPr>
          <w:fldChar w:fldCharType="separate"/>
        </w:r>
        <w:r w:rsidR="00587AF0">
          <w:rPr>
            <w:noProof/>
            <w:webHidden/>
          </w:rPr>
          <w:t>39</w:t>
        </w:r>
        <w:r w:rsidR="007C6F59">
          <w:rPr>
            <w:noProof/>
            <w:webHidden/>
          </w:rPr>
          <w:fldChar w:fldCharType="end"/>
        </w:r>
      </w:hyperlink>
    </w:p>
    <w:p w14:paraId="582E12CC" w14:textId="51ECF4D9" w:rsidR="007C6F59" w:rsidRDefault="00427B33">
      <w:pPr>
        <w:pStyle w:val="TOC2"/>
        <w:tabs>
          <w:tab w:val="left" w:pos="720"/>
          <w:tab w:val="right" w:leader="dot" w:pos="9017"/>
        </w:tabs>
        <w:rPr>
          <w:rFonts w:asciiTheme="minorHAnsi" w:eastAsiaTheme="minorEastAsia" w:hAnsiTheme="minorHAnsi" w:cstheme="minorBidi"/>
          <w:b w:val="0"/>
          <w:smallCaps w:val="0"/>
          <w:noProof/>
          <w:sz w:val="22"/>
          <w:szCs w:val="22"/>
          <w:lang w:val="sr-Latn-RS" w:eastAsia="sr-Latn-RS"/>
        </w:rPr>
      </w:pPr>
      <w:hyperlink w:anchor="_Toc101274355" w:history="1">
        <w:r w:rsidR="007C6F59" w:rsidRPr="00906C74">
          <w:rPr>
            <w:rStyle w:val="Hyperlink"/>
            <w:noProof/>
            <w:lang w:val="en-GB"/>
          </w:rPr>
          <w:t>5</w:t>
        </w:r>
        <w:r w:rsidR="007C6F59">
          <w:rPr>
            <w:rFonts w:asciiTheme="minorHAnsi" w:eastAsiaTheme="minorEastAsia" w:hAnsiTheme="minorHAnsi" w:cstheme="minorBidi"/>
            <w:b w:val="0"/>
            <w:smallCaps w:val="0"/>
            <w:noProof/>
            <w:sz w:val="22"/>
            <w:szCs w:val="22"/>
            <w:lang w:val="sr-Latn-RS" w:eastAsia="sr-Latn-RS"/>
          </w:rPr>
          <w:tab/>
        </w:r>
        <w:r w:rsidR="007C6F59" w:rsidRPr="00906C74">
          <w:rPr>
            <w:rStyle w:val="Hyperlink"/>
            <w:noProof/>
            <w:lang w:val="en-GB"/>
          </w:rPr>
          <w:t>State-of-the-practice survey results</w:t>
        </w:r>
        <w:r w:rsidR="007C6F59">
          <w:rPr>
            <w:noProof/>
            <w:webHidden/>
          </w:rPr>
          <w:tab/>
        </w:r>
        <w:r w:rsidR="007C6F59">
          <w:rPr>
            <w:noProof/>
            <w:webHidden/>
          </w:rPr>
          <w:fldChar w:fldCharType="begin"/>
        </w:r>
        <w:r w:rsidR="007C6F59">
          <w:rPr>
            <w:noProof/>
            <w:webHidden/>
          </w:rPr>
          <w:instrText xml:space="preserve"> PAGEREF _Toc101274355 \h </w:instrText>
        </w:r>
        <w:r w:rsidR="007C6F59">
          <w:rPr>
            <w:noProof/>
            <w:webHidden/>
          </w:rPr>
        </w:r>
        <w:r w:rsidR="007C6F59">
          <w:rPr>
            <w:noProof/>
            <w:webHidden/>
          </w:rPr>
          <w:fldChar w:fldCharType="separate"/>
        </w:r>
        <w:r w:rsidR="00587AF0">
          <w:rPr>
            <w:noProof/>
            <w:webHidden/>
          </w:rPr>
          <w:t>41</w:t>
        </w:r>
        <w:r w:rsidR="007C6F59">
          <w:rPr>
            <w:noProof/>
            <w:webHidden/>
          </w:rPr>
          <w:fldChar w:fldCharType="end"/>
        </w:r>
      </w:hyperlink>
    </w:p>
    <w:p w14:paraId="7A94083A" w14:textId="045282D8"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356" w:history="1">
        <w:r w:rsidR="007C6F59" w:rsidRPr="00906C74">
          <w:rPr>
            <w:rStyle w:val="Hyperlink"/>
            <w:noProof/>
            <w:lang w:val="en-GB"/>
          </w:rPr>
          <w:t>5.1</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lang w:val="en-GB"/>
          </w:rPr>
          <w:t>Industrial and mobile machines data results</w:t>
        </w:r>
        <w:r w:rsidR="007C6F59">
          <w:rPr>
            <w:noProof/>
            <w:webHidden/>
          </w:rPr>
          <w:tab/>
        </w:r>
        <w:r w:rsidR="007C6F59">
          <w:rPr>
            <w:noProof/>
            <w:webHidden/>
          </w:rPr>
          <w:fldChar w:fldCharType="begin"/>
        </w:r>
        <w:r w:rsidR="007C6F59">
          <w:rPr>
            <w:noProof/>
            <w:webHidden/>
          </w:rPr>
          <w:instrText xml:space="preserve"> PAGEREF _Toc101274356 \h </w:instrText>
        </w:r>
        <w:r w:rsidR="007C6F59">
          <w:rPr>
            <w:noProof/>
            <w:webHidden/>
          </w:rPr>
        </w:r>
        <w:r w:rsidR="007C6F59">
          <w:rPr>
            <w:noProof/>
            <w:webHidden/>
          </w:rPr>
          <w:fldChar w:fldCharType="separate"/>
        </w:r>
        <w:r w:rsidR="00587AF0">
          <w:rPr>
            <w:noProof/>
            <w:webHidden/>
          </w:rPr>
          <w:t>41</w:t>
        </w:r>
        <w:r w:rsidR="007C6F59">
          <w:rPr>
            <w:noProof/>
            <w:webHidden/>
          </w:rPr>
          <w:fldChar w:fldCharType="end"/>
        </w:r>
      </w:hyperlink>
    </w:p>
    <w:p w14:paraId="1C0C9D65" w14:textId="76F53ECD"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57" w:history="1">
        <w:r w:rsidR="007C6F59" w:rsidRPr="00906C74">
          <w:rPr>
            <w:rStyle w:val="Hyperlink"/>
            <w:noProof/>
            <w14:scene3d>
              <w14:camera w14:prst="orthographicFront"/>
              <w14:lightRig w14:rig="threePt" w14:dir="t">
                <w14:rot w14:lat="0" w14:lon="0" w14:rev="0"/>
              </w14:lightRig>
            </w14:scene3d>
          </w:rPr>
          <w:t>5.1.1</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Hydraulic operational and technical descriptive survey results</w:t>
        </w:r>
        <w:r w:rsidR="007C6F59">
          <w:rPr>
            <w:noProof/>
            <w:webHidden/>
          </w:rPr>
          <w:tab/>
        </w:r>
        <w:r w:rsidR="007C6F59">
          <w:rPr>
            <w:noProof/>
            <w:webHidden/>
          </w:rPr>
          <w:fldChar w:fldCharType="begin"/>
        </w:r>
        <w:r w:rsidR="007C6F59">
          <w:rPr>
            <w:noProof/>
            <w:webHidden/>
          </w:rPr>
          <w:instrText xml:space="preserve"> PAGEREF _Toc101274357 \h </w:instrText>
        </w:r>
        <w:r w:rsidR="007C6F59">
          <w:rPr>
            <w:noProof/>
            <w:webHidden/>
          </w:rPr>
        </w:r>
        <w:r w:rsidR="007C6F59">
          <w:rPr>
            <w:noProof/>
            <w:webHidden/>
          </w:rPr>
          <w:fldChar w:fldCharType="separate"/>
        </w:r>
        <w:r w:rsidR="00587AF0">
          <w:rPr>
            <w:noProof/>
            <w:webHidden/>
          </w:rPr>
          <w:t>41</w:t>
        </w:r>
        <w:r w:rsidR="007C6F59">
          <w:rPr>
            <w:noProof/>
            <w:webHidden/>
          </w:rPr>
          <w:fldChar w:fldCharType="end"/>
        </w:r>
      </w:hyperlink>
    </w:p>
    <w:p w14:paraId="2AFEFD24" w14:textId="2BA9E741"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58" w:history="1">
        <w:r w:rsidR="007C6F59" w:rsidRPr="00906C74">
          <w:rPr>
            <w:rStyle w:val="Hyperlink"/>
            <w:noProof/>
            <w14:scene3d>
              <w14:camera w14:prst="orthographicFront"/>
              <w14:lightRig w14:rig="threePt" w14:dir="t">
                <w14:rot w14:lat="0" w14:lon="0" w14:rev="0"/>
              </w14:lightRig>
            </w14:scene3d>
          </w:rPr>
          <w:t>5.1.2</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Maintenance practice descriptive survey results of West Balkan</w:t>
        </w:r>
        <w:r w:rsidR="007C6F59">
          <w:rPr>
            <w:noProof/>
            <w:webHidden/>
          </w:rPr>
          <w:tab/>
        </w:r>
        <w:r w:rsidR="007C6F59">
          <w:rPr>
            <w:noProof/>
            <w:webHidden/>
          </w:rPr>
          <w:fldChar w:fldCharType="begin"/>
        </w:r>
        <w:r w:rsidR="007C6F59">
          <w:rPr>
            <w:noProof/>
            <w:webHidden/>
          </w:rPr>
          <w:instrText xml:space="preserve"> PAGEREF _Toc101274358 \h </w:instrText>
        </w:r>
        <w:r w:rsidR="007C6F59">
          <w:rPr>
            <w:noProof/>
            <w:webHidden/>
          </w:rPr>
        </w:r>
        <w:r w:rsidR="007C6F59">
          <w:rPr>
            <w:noProof/>
            <w:webHidden/>
          </w:rPr>
          <w:fldChar w:fldCharType="separate"/>
        </w:r>
        <w:r w:rsidR="00587AF0">
          <w:rPr>
            <w:noProof/>
            <w:webHidden/>
          </w:rPr>
          <w:t>43</w:t>
        </w:r>
        <w:r w:rsidR="007C6F59">
          <w:rPr>
            <w:noProof/>
            <w:webHidden/>
          </w:rPr>
          <w:fldChar w:fldCharType="end"/>
        </w:r>
      </w:hyperlink>
    </w:p>
    <w:p w14:paraId="13421291" w14:textId="5D721087"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59" w:history="1">
        <w:r w:rsidR="007C6F59" w:rsidRPr="00906C74">
          <w:rPr>
            <w:rStyle w:val="Hyperlink"/>
            <w:noProof/>
            <w14:scene3d>
              <w14:camera w14:prst="orthographicFront"/>
              <w14:lightRig w14:rig="threePt" w14:dir="t">
                <w14:rot w14:lat="0" w14:lon="0" w14:rev="0"/>
              </w14:lightRig>
            </w14:scene3d>
          </w:rPr>
          <w:t>5.1.3</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Maintenance performance indicators descriptive research results</w:t>
        </w:r>
        <w:r w:rsidR="007C6F59">
          <w:rPr>
            <w:noProof/>
            <w:webHidden/>
          </w:rPr>
          <w:tab/>
        </w:r>
        <w:r w:rsidR="007C6F59">
          <w:rPr>
            <w:noProof/>
            <w:webHidden/>
          </w:rPr>
          <w:fldChar w:fldCharType="begin"/>
        </w:r>
        <w:r w:rsidR="007C6F59">
          <w:rPr>
            <w:noProof/>
            <w:webHidden/>
          </w:rPr>
          <w:instrText xml:space="preserve"> PAGEREF _Toc101274359 \h </w:instrText>
        </w:r>
        <w:r w:rsidR="007C6F59">
          <w:rPr>
            <w:noProof/>
            <w:webHidden/>
          </w:rPr>
        </w:r>
        <w:r w:rsidR="007C6F59">
          <w:rPr>
            <w:noProof/>
            <w:webHidden/>
          </w:rPr>
          <w:fldChar w:fldCharType="separate"/>
        </w:r>
        <w:r w:rsidR="00587AF0">
          <w:rPr>
            <w:noProof/>
            <w:webHidden/>
          </w:rPr>
          <w:t>46</w:t>
        </w:r>
        <w:r w:rsidR="007C6F59">
          <w:rPr>
            <w:noProof/>
            <w:webHidden/>
          </w:rPr>
          <w:fldChar w:fldCharType="end"/>
        </w:r>
      </w:hyperlink>
    </w:p>
    <w:p w14:paraId="68CEF8E6" w14:textId="64F0D39B"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60" w:history="1">
        <w:r w:rsidR="007C6F59" w:rsidRPr="00906C74">
          <w:rPr>
            <w:rStyle w:val="Hyperlink"/>
            <w:noProof/>
            <w:lang w:val="en-GB"/>
            <w14:scene3d>
              <w14:camera w14:prst="orthographicFront"/>
              <w14:lightRig w14:rig="threePt" w14:dir="t">
                <w14:rot w14:lat="0" w14:lon="0" w14:rev="0"/>
              </w14:lightRig>
            </w14:scene3d>
          </w:rPr>
          <w:t>5.1.4</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lang w:val="en-GB"/>
          </w:rPr>
          <w:t>Influence of energy and environmental indicators</w:t>
        </w:r>
        <w:r w:rsidR="007C6F59">
          <w:rPr>
            <w:noProof/>
            <w:webHidden/>
          </w:rPr>
          <w:tab/>
        </w:r>
        <w:r w:rsidR="007C6F59">
          <w:rPr>
            <w:noProof/>
            <w:webHidden/>
          </w:rPr>
          <w:fldChar w:fldCharType="begin"/>
        </w:r>
        <w:r w:rsidR="007C6F59">
          <w:rPr>
            <w:noProof/>
            <w:webHidden/>
          </w:rPr>
          <w:instrText xml:space="preserve"> PAGEREF _Toc101274360 \h </w:instrText>
        </w:r>
        <w:r w:rsidR="007C6F59">
          <w:rPr>
            <w:noProof/>
            <w:webHidden/>
          </w:rPr>
        </w:r>
        <w:r w:rsidR="007C6F59">
          <w:rPr>
            <w:noProof/>
            <w:webHidden/>
          </w:rPr>
          <w:fldChar w:fldCharType="separate"/>
        </w:r>
        <w:r w:rsidR="00587AF0">
          <w:rPr>
            <w:noProof/>
            <w:webHidden/>
          </w:rPr>
          <w:t>47</w:t>
        </w:r>
        <w:r w:rsidR="007C6F59">
          <w:rPr>
            <w:noProof/>
            <w:webHidden/>
          </w:rPr>
          <w:fldChar w:fldCharType="end"/>
        </w:r>
      </w:hyperlink>
    </w:p>
    <w:p w14:paraId="672F808B" w14:textId="4F3E4D3B"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361" w:history="1">
        <w:r w:rsidR="007C6F59" w:rsidRPr="00906C74">
          <w:rPr>
            <w:rStyle w:val="Hyperlink"/>
            <w:noProof/>
            <w:lang w:val="en-GB"/>
          </w:rPr>
          <w:t>5.2</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lang w:val="en-GB"/>
          </w:rPr>
          <w:t>Correlation and regression analysis of survey data</w:t>
        </w:r>
        <w:r w:rsidR="007C6F59">
          <w:rPr>
            <w:noProof/>
            <w:webHidden/>
          </w:rPr>
          <w:tab/>
        </w:r>
        <w:r w:rsidR="007C6F59">
          <w:rPr>
            <w:noProof/>
            <w:webHidden/>
          </w:rPr>
          <w:fldChar w:fldCharType="begin"/>
        </w:r>
        <w:r w:rsidR="007C6F59">
          <w:rPr>
            <w:noProof/>
            <w:webHidden/>
          </w:rPr>
          <w:instrText xml:space="preserve"> PAGEREF _Toc101274361 \h </w:instrText>
        </w:r>
        <w:r w:rsidR="007C6F59">
          <w:rPr>
            <w:noProof/>
            <w:webHidden/>
          </w:rPr>
        </w:r>
        <w:r w:rsidR="007C6F59">
          <w:rPr>
            <w:noProof/>
            <w:webHidden/>
          </w:rPr>
          <w:fldChar w:fldCharType="separate"/>
        </w:r>
        <w:r w:rsidR="00587AF0">
          <w:rPr>
            <w:noProof/>
            <w:webHidden/>
          </w:rPr>
          <w:t>51</w:t>
        </w:r>
        <w:r w:rsidR="007C6F59">
          <w:rPr>
            <w:noProof/>
            <w:webHidden/>
          </w:rPr>
          <w:fldChar w:fldCharType="end"/>
        </w:r>
      </w:hyperlink>
    </w:p>
    <w:p w14:paraId="24635167" w14:textId="544CCDBD"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62" w:history="1">
        <w:r w:rsidR="007C6F59" w:rsidRPr="00906C74">
          <w:rPr>
            <w:rStyle w:val="Hyperlink"/>
            <w:noProof/>
            <w:lang w:val="en-GB"/>
            <w14:scene3d>
              <w14:camera w14:prst="orthographicFront"/>
              <w14:lightRig w14:rig="threePt" w14:dir="t">
                <w14:rot w14:lat="0" w14:lon="0" w14:rev="0"/>
              </w14:lightRig>
            </w14:scene3d>
          </w:rPr>
          <w:t>5.2.1</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lang w:val="en-GB"/>
          </w:rPr>
          <w:t>Contamination – the primary cause of stoppages?</w:t>
        </w:r>
        <w:r w:rsidR="007C6F59">
          <w:rPr>
            <w:noProof/>
            <w:webHidden/>
          </w:rPr>
          <w:tab/>
        </w:r>
        <w:r w:rsidR="007C6F59">
          <w:rPr>
            <w:noProof/>
            <w:webHidden/>
          </w:rPr>
          <w:fldChar w:fldCharType="begin"/>
        </w:r>
        <w:r w:rsidR="007C6F59">
          <w:rPr>
            <w:noProof/>
            <w:webHidden/>
          </w:rPr>
          <w:instrText xml:space="preserve"> PAGEREF _Toc101274362 \h </w:instrText>
        </w:r>
        <w:r w:rsidR="007C6F59">
          <w:rPr>
            <w:noProof/>
            <w:webHidden/>
          </w:rPr>
        </w:r>
        <w:r w:rsidR="007C6F59">
          <w:rPr>
            <w:noProof/>
            <w:webHidden/>
          </w:rPr>
          <w:fldChar w:fldCharType="separate"/>
        </w:r>
        <w:r w:rsidR="00587AF0">
          <w:rPr>
            <w:noProof/>
            <w:webHidden/>
          </w:rPr>
          <w:t>51</w:t>
        </w:r>
        <w:r w:rsidR="007C6F59">
          <w:rPr>
            <w:noProof/>
            <w:webHidden/>
          </w:rPr>
          <w:fldChar w:fldCharType="end"/>
        </w:r>
      </w:hyperlink>
    </w:p>
    <w:p w14:paraId="1136AE65" w14:textId="6D62643D"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63" w:history="1">
        <w:r w:rsidR="007C6F59" w:rsidRPr="00906C74">
          <w:rPr>
            <w:rStyle w:val="Hyperlink"/>
            <w:noProof/>
            <w14:scene3d>
              <w14:camera w14:prst="orthographicFront"/>
              <w14:lightRig w14:rig="threePt" w14:dir="t">
                <w14:rot w14:lat="0" w14:lon="0" w14:rev="0"/>
              </w14:lightRig>
            </w14:scene3d>
          </w:rPr>
          <w:t>5.2.2</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Model and coefficients influence and validity</w:t>
        </w:r>
        <w:r w:rsidR="007C6F59">
          <w:rPr>
            <w:noProof/>
            <w:webHidden/>
          </w:rPr>
          <w:tab/>
        </w:r>
        <w:r w:rsidR="007C6F59">
          <w:rPr>
            <w:noProof/>
            <w:webHidden/>
          </w:rPr>
          <w:fldChar w:fldCharType="begin"/>
        </w:r>
        <w:r w:rsidR="007C6F59">
          <w:rPr>
            <w:noProof/>
            <w:webHidden/>
          </w:rPr>
          <w:instrText xml:space="preserve"> PAGEREF _Toc101274363 \h </w:instrText>
        </w:r>
        <w:r w:rsidR="007C6F59">
          <w:rPr>
            <w:noProof/>
            <w:webHidden/>
          </w:rPr>
        </w:r>
        <w:r w:rsidR="007C6F59">
          <w:rPr>
            <w:noProof/>
            <w:webHidden/>
          </w:rPr>
          <w:fldChar w:fldCharType="separate"/>
        </w:r>
        <w:r w:rsidR="00587AF0">
          <w:rPr>
            <w:noProof/>
            <w:webHidden/>
          </w:rPr>
          <w:t>52</w:t>
        </w:r>
        <w:r w:rsidR="007C6F59">
          <w:rPr>
            <w:noProof/>
            <w:webHidden/>
          </w:rPr>
          <w:fldChar w:fldCharType="end"/>
        </w:r>
      </w:hyperlink>
    </w:p>
    <w:p w14:paraId="79CD0139" w14:textId="593CCB73" w:rsidR="007C6F59" w:rsidRDefault="00427B33">
      <w:pPr>
        <w:pStyle w:val="TOC1"/>
        <w:rPr>
          <w:rFonts w:asciiTheme="minorHAnsi" w:eastAsiaTheme="minorEastAsia" w:hAnsiTheme="minorHAnsi" w:cstheme="minorBidi"/>
          <w:b w:val="0"/>
          <w:bCs w:val="0"/>
          <w:caps w:val="0"/>
          <w:noProof/>
          <w:sz w:val="22"/>
          <w:szCs w:val="22"/>
          <w:lang w:val="sr-Latn-RS" w:eastAsia="sr-Latn-RS"/>
        </w:rPr>
      </w:pPr>
      <w:hyperlink w:anchor="_Toc101274364" w:history="1">
        <w:r w:rsidR="007C6F59" w:rsidRPr="00906C74">
          <w:rPr>
            <w:rStyle w:val="Hyperlink"/>
            <w:noProof/>
            <w:lang w:val="sr-Latn-RS"/>
          </w:rPr>
          <w:t>Chapter III</w:t>
        </w:r>
        <w:r w:rsidR="007C6F59">
          <w:rPr>
            <w:noProof/>
            <w:webHidden/>
          </w:rPr>
          <w:tab/>
        </w:r>
        <w:r w:rsidR="007C6F59">
          <w:rPr>
            <w:noProof/>
            <w:webHidden/>
          </w:rPr>
          <w:fldChar w:fldCharType="begin"/>
        </w:r>
        <w:r w:rsidR="007C6F59">
          <w:rPr>
            <w:noProof/>
            <w:webHidden/>
          </w:rPr>
          <w:instrText xml:space="preserve"> PAGEREF _Toc101274364 \h </w:instrText>
        </w:r>
        <w:r w:rsidR="007C6F59">
          <w:rPr>
            <w:noProof/>
            <w:webHidden/>
          </w:rPr>
        </w:r>
        <w:r w:rsidR="007C6F59">
          <w:rPr>
            <w:noProof/>
            <w:webHidden/>
          </w:rPr>
          <w:fldChar w:fldCharType="separate"/>
        </w:r>
        <w:r w:rsidR="00587AF0">
          <w:rPr>
            <w:noProof/>
            <w:webHidden/>
          </w:rPr>
          <w:t>55</w:t>
        </w:r>
        <w:r w:rsidR="007C6F59">
          <w:rPr>
            <w:noProof/>
            <w:webHidden/>
          </w:rPr>
          <w:fldChar w:fldCharType="end"/>
        </w:r>
      </w:hyperlink>
    </w:p>
    <w:p w14:paraId="48B4F22D" w14:textId="577398E9" w:rsidR="007C6F59" w:rsidRDefault="00427B33">
      <w:pPr>
        <w:pStyle w:val="TOC2"/>
        <w:tabs>
          <w:tab w:val="left" w:pos="720"/>
          <w:tab w:val="right" w:leader="dot" w:pos="9017"/>
        </w:tabs>
        <w:rPr>
          <w:rFonts w:asciiTheme="minorHAnsi" w:eastAsiaTheme="minorEastAsia" w:hAnsiTheme="minorHAnsi" w:cstheme="minorBidi"/>
          <w:b w:val="0"/>
          <w:smallCaps w:val="0"/>
          <w:noProof/>
          <w:sz w:val="22"/>
          <w:szCs w:val="22"/>
          <w:lang w:val="sr-Latn-RS" w:eastAsia="sr-Latn-RS"/>
        </w:rPr>
      </w:pPr>
      <w:hyperlink w:anchor="_Toc101274365" w:history="1">
        <w:r w:rsidR="007C6F59" w:rsidRPr="00906C74">
          <w:rPr>
            <w:rStyle w:val="Hyperlink"/>
            <w:noProof/>
            <w:lang w:val="sr-Latn-RS"/>
          </w:rPr>
          <w:t>6</w:t>
        </w:r>
        <w:r w:rsidR="007C6F59">
          <w:rPr>
            <w:rFonts w:asciiTheme="minorHAnsi" w:eastAsiaTheme="minorEastAsia" w:hAnsiTheme="minorHAnsi" w:cstheme="minorBidi"/>
            <w:b w:val="0"/>
            <w:smallCaps w:val="0"/>
            <w:noProof/>
            <w:sz w:val="22"/>
            <w:szCs w:val="22"/>
            <w:lang w:val="sr-Latn-RS" w:eastAsia="sr-Latn-RS"/>
          </w:rPr>
          <w:tab/>
        </w:r>
        <w:r w:rsidR="007C6F59" w:rsidRPr="00906C74">
          <w:rPr>
            <w:rStyle w:val="Hyperlink"/>
            <w:noProof/>
            <w:lang w:val="sr-Latn-RS"/>
          </w:rPr>
          <w:t>Experimental setup</w:t>
        </w:r>
        <w:r w:rsidR="007C6F59">
          <w:rPr>
            <w:noProof/>
            <w:webHidden/>
          </w:rPr>
          <w:tab/>
        </w:r>
        <w:r w:rsidR="007C6F59">
          <w:rPr>
            <w:noProof/>
            <w:webHidden/>
          </w:rPr>
          <w:fldChar w:fldCharType="begin"/>
        </w:r>
        <w:r w:rsidR="007C6F59">
          <w:rPr>
            <w:noProof/>
            <w:webHidden/>
          </w:rPr>
          <w:instrText xml:space="preserve"> PAGEREF _Toc101274365 \h </w:instrText>
        </w:r>
        <w:r w:rsidR="007C6F59">
          <w:rPr>
            <w:noProof/>
            <w:webHidden/>
          </w:rPr>
        </w:r>
        <w:r w:rsidR="007C6F59">
          <w:rPr>
            <w:noProof/>
            <w:webHidden/>
          </w:rPr>
          <w:fldChar w:fldCharType="separate"/>
        </w:r>
        <w:r w:rsidR="00587AF0">
          <w:rPr>
            <w:noProof/>
            <w:webHidden/>
          </w:rPr>
          <w:t>55</w:t>
        </w:r>
        <w:r w:rsidR="007C6F59">
          <w:rPr>
            <w:noProof/>
            <w:webHidden/>
          </w:rPr>
          <w:fldChar w:fldCharType="end"/>
        </w:r>
      </w:hyperlink>
    </w:p>
    <w:p w14:paraId="60BB7599" w14:textId="7B5DF4C9"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366" w:history="1">
        <w:r w:rsidR="007C6F59" w:rsidRPr="00906C74">
          <w:rPr>
            <w:rStyle w:val="Hyperlink"/>
            <w:noProof/>
            <w:lang w:val="en-GB"/>
          </w:rPr>
          <w:t>6.1</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lang w:val="en-GB"/>
          </w:rPr>
          <w:t>Industrial practice data and machine selection</w:t>
        </w:r>
        <w:r w:rsidR="007C6F59">
          <w:rPr>
            <w:noProof/>
            <w:webHidden/>
          </w:rPr>
          <w:tab/>
        </w:r>
        <w:r w:rsidR="007C6F59">
          <w:rPr>
            <w:noProof/>
            <w:webHidden/>
          </w:rPr>
          <w:fldChar w:fldCharType="begin"/>
        </w:r>
        <w:r w:rsidR="007C6F59">
          <w:rPr>
            <w:noProof/>
            <w:webHidden/>
          </w:rPr>
          <w:instrText xml:space="preserve"> PAGEREF _Toc101274366 \h </w:instrText>
        </w:r>
        <w:r w:rsidR="007C6F59">
          <w:rPr>
            <w:noProof/>
            <w:webHidden/>
          </w:rPr>
        </w:r>
        <w:r w:rsidR="007C6F59">
          <w:rPr>
            <w:noProof/>
            <w:webHidden/>
          </w:rPr>
          <w:fldChar w:fldCharType="separate"/>
        </w:r>
        <w:r w:rsidR="00587AF0">
          <w:rPr>
            <w:noProof/>
            <w:webHidden/>
          </w:rPr>
          <w:t>55</w:t>
        </w:r>
        <w:r w:rsidR="007C6F59">
          <w:rPr>
            <w:noProof/>
            <w:webHidden/>
          </w:rPr>
          <w:fldChar w:fldCharType="end"/>
        </w:r>
      </w:hyperlink>
    </w:p>
    <w:p w14:paraId="129B52D7" w14:textId="249306DB"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67" w:history="1">
        <w:r w:rsidR="007C6F59" w:rsidRPr="00906C74">
          <w:rPr>
            <w:rStyle w:val="Hyperlink"/>
            <w:noProof/>
            <w:lang w:val="en-GB"/>
            <w14:scene3d>
              <w14:camera w14:prst="orthographicFront"/>
              <w14:lightRig w14:rig="threePt" w14:dir="t">
                <w14:rot w14:lat="0" w14:lon="0" w14:rev="0"/>
              </w14:lightRig>
            </w14:scene3d>
          </w:rPr>
          <w:t>6.1.1</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lang w:val="en-GB"/>
          </w:rPr>
          <w:t>Working conditions and characteristics from practice</w:t>
        </w:r>
        <w:r w:rsidR="007C6F59">
          <w:rPr>
            <w:noProof/>
            <w:webHidden/>
          </w:rPr>
          <w:tab/>
        </w:r>
        <w:r w:rsidR="007C6F59">
          <w:rPr>
            <w:noProof/>
            <w:webHidden/>
          </w:rPr>
          <w:fldChar w:fldCharType="begin"/>
        </w:r>
        <w:r w:rsidR="007C6F59">
          <w:rPr>
            <w:noProof/>
            <w:webHidden/>
          </w:rPr>
          <w:instrText xml:space="preserve"> PAGEREF _Toc101274367 \h </w:instrText>
        </w:r>
        <w:r w:rsidR="007C6F59">
          <w:rPr>
            <w:noProof/>
            <w:webHidden/>
          </w:rPr>
        </w:r>
        <w:r w:rsidR="007C6F59">
          <w:rPr>
            <w:noProof/>
            <w:webHidden/>
          </w:rPr>
          <w:fldChar w:fldCharType="separate"/>
        </w:r>
        <w:r w:rsidR="00587AF0">
          <w:rPr>
            <w:noProof/>
            <w:webHidden/>
          </w:rPr>
          <w:t>55</w:t>
        </w:r>
        <w:r w:rsidR="007C6F59">
          <w:rPr>
            <w:noProof/>
            <w:webHidden/>
          </w:rPr>
          <w:fldChar w:fldCharType="end"/>
        </w:r>
      </w:hyperlink>
    </w:p>
    <w:p w14:paraId="6BC5B6ED" w14:textId="7AD3FF30"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68" w:history="1">
        <w:r w:rsidR="007C6F59" w:rsidRPr="00906C74">
          <w:rPr>
            <w:rStyle w:val="Hyperlink"/>
            <w:noProof/>
            <w:lang w:val="en-GB"/>
            <w14:scene3d>
              <w14:camera w14:prst="orthographicFront"/>
              <w14:lightRig w14:rig="threePt" w14:dir="t">
                <w14:rot w14:lat="0" w14:lon="0" w14:rev="0"/>
              </w14:lightRig>
            </w14:scene3d>
          </w:rPr>
          <w:t>6.1.2</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lang w:val="en-GB"/>
          </w:rPr>
          <w:t>Experimental setup – Rubber Mixing Machine (RMM)</w:t>
        </w:r>
        <w:r w:rsidR="007C6F59">
          <w:rPr>
            <w:noProof/>
            <w:webHidden/>
          </w:rPr>
          <w:tab/>
        </w:r>
        <w:r w:rsidR="007C6F59">
          <w:rPr>
            <w:noProof/>
            <w:webHidden/>
          </w:rPr>
          <w:fldChar w:fldCharType="begin"/>
        </w:r>
        <w:r w:rsidR="007C6F59">
          <w:rPr>
            <w:noProof/>
            <w:webHidden/>
          </w:rPr>
          <w:instrText xml:space="preserve"> PAGEREF _Toc101274368 \h </w:instrText>
        </w:r>
        <w:r w:rsidR="007C6F59">
          <w:rPr>
            <w:noProof/>
            <w:webHidden/>
          </w:rPr>
        </w:r>
        <w:r w:rsidR="007C6F59">
          <w:rPr>
            <w:noProof/>
            <w:webHidden/>
          </w:rPr>
          <w:fldChar w:fldCharType="separate"/>
        </w:r>
        <w:r w:rsidR="00587AF0">
          <w:rPr>
            <w:noProof/>
            <w:webHidden/>
          </w:rPr>
          <w:t>56</w:t>
        </w:r>
        <w:r w:rsidR="007C6F59">
          <w:rPr>
            <w:noProof/>
            <w:webHidden/>
          </w:rPr>
          <w:fldChar w:fldCharType="end"/>
        </w:r>
      </w:hyperlink>
    </w:p>
    <w:p w14:paraId="1B07A47A" w14:textId="22163054"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369" w:history="1">
        <w:r w:rsidR="007C6F59" w:rsidRPr="00906C74">
          <w:rPr>
            <w:rStyle w:val="Hyperlink"/>
            <w:noProof/>
            <w:lang w:val="sr-Latn-RS"/>
          </w:rPr>
          <w:t>6.2</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lang w:val="sr-Latn-RS"/>
          </w:rPr>
          <w:t>The hydraulic control system of RMM</w:t>
        </w:r>
        <w:r w:rsidR="007C6F59">
          <w:rPr>
            <w:noProof/>
            <w:webHidden/>
          </w:rPr>
          <w:tab/>
        </w:r>
        <w:r w:rsidR="007C6F59">
          <w:rPr>
            <w:noProof/>
            <w:webHidden/>
          </w:rPr>
          <w:fldChar w:fldCharType="begin"/>
        </w:r>
        <w:r w:rsidR="007C6F59">
          <w:rPr>
            <w:noProof/>
            <w:webHidden/>
          </w:rPr>
          <w:instrText xml:space="preserve"> PAGEREF _Toc101274369 \h </w:instrText>
        </w:r>
        <w:r w:rsidR="007C6F59">
          <w:rPr>
            <w:noProof/>
            <w:webHidden/>
          </w:rPr>
        </w:r>
        <w:r w:rsidR="007C6F59">
          <w:rPr>
            <w:noProof/>
            <w:webHidden/>
          </w:rPr>
          <w:fldChar w:fldCharType="separate"/>
        </w:r>
        <w:r w:rsidR="00587AF0">
          <w:rPr>
            <w:noProof/>
            <w:webHidden/>
          </w:rPr>
          <w:t>57</w:t>
        </w:r>
        <w:r w:rsidR="007C6F59">
          <w:rPr>
            <w:noProof/>
            <w:webHidden/>
          </w:rPr>
          <w:fldChar w:fldCharType="end"/>
        </w:r>
      </w:hyperlink>
    </w:p>
    <w:p w14:paraId="0F3D91E6" w14:textId="2D05098E"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70" w:history="1">
        <w:r w:rsidR="007C6F59" w:rsidRPr="00906C74">
          <w:rPr>
            <w:rStyle w:val="Hyperlink"/>
            <w:noProof/>
            <w14:scene3d>
              <w14:camera w14:prst="orthographicFront"/>
              <w14:lightRig w14:rig="threePt" w14:dir="t">
                <w14:rot w14:lat="0" w14:lon="0" w14:rev="0"/>
              </w14:lightRig>
            </w14:scene3d>
          </w:rPr>
          <w:t>6.2.1</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Lubricant condition monitoring data – hydraulic fluid</w:t>
        </w:r>
        <w:r w:rsidR="007C6F59">
          <w:rPr>
            <w:noProof/>
            <w:webHidden/>
          </w:rPr>
          <w:tab/>
        </w:r>
        <w:r w:rsidR="007C6F59">
          <w:rPr>
            <w:noProof/>
            <w:webHidden/>
          </w:rPr>
          <w:fldChar w:fldCharType="begin"/>
        </w:r>
        <w:r w:rsidR="007C6F59">
          <w:rPr>
            <w:noProof/>
            <w:webHidden/>
          </w:rPr>
          <w:instrText xml:space="preserve"> PAGEREF _Toc101274370 \h </w:instrText>
        </w:r>
        <w:r w:rsidR="007C6F59">
          <w:rPr>
            <w:noProof/>
            <w:webHidden/>
          </w:rPr>
        </w:r>
        <w:r w:rsidR="007C6F59">
          <w:rPr>
            <w:noProof/>
            <w:webHidden/>
          </w:rPr>
          <w:fldChar w:fldCharType="separate"/>
        </w:r>
        <w:r w:rsidR="00587AF0">
          <w:rPr>
            <w:noProof/>
            <w:webHidden/>
          </w:rPr>
          <w:t>59</w:t>
        </w:r>
        <w:r w:rsidR="007C6F59">
          <w:rPr>
            <w:noProof/>
            <w:webHidden/>
          </w:rPr>
          <w:fldChar w:fldCharType="end"/>
        </w:r>
      </w:hyperlink>
    </w:p>
    <w:p w14:paraId="4812D329" w14:textId="4AE344BB"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71" w:history="1">
        <w:r w:rsidR="007C6F59" w:rsidRPr="00906C74">
          <w:rPr>
            <w:rStyle w:val="Hyperlink"/>
            <w:noProof/>
            <w14:scene3d>
              <w14:camera w14:prst="orthographicFront"/>
              <w14:lightRig w14:rig="threePt" w14:dir="t">
                <w14:rot w14:lat="0" w14:lon="0" w14:rev="0"/>
              </w14:lightRig>
            </w14:scene3d>
          </w:rPr>
          <w:t>6.2.2</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Fluid sampling and analysis of fluid properties</w:t>
        </w:r>
        <w:r w:rsidR="007C6F59">
          <w:rPr>
            <w:noProof/>
            <w:webHidden/>
          </w:rPr>
          <w:tab/>
        </w:r>
        <w:r w:rsidR="007C6F59">
          <w:rPr>
            <w:noProof/>
            <w:webHidden/>
          </w:rPr>
          <w:fldChar w:fldCharType="begin"/>
        </w:r>
        <w:r w:rsidR="007C6F59">
          <w:rPr>
            <w:noProof/>
            <w:webHidden/>
          </w:rPr>
          <w:instrText xml:space="preserve"> PAGEREF _Toc101274371 \h </w:instrText>
        </w:r>
        <w:r w:rsidR="007C6F59">
          <w:rPr>
            <w:noProof/>
            <w:webHidden/>
          </w:rPr>
        </w:r>
        <w:r w:rsidR="007C6F59">
          <w:rPr>
            <w:noProof/>
            <w:webHidden/>
          </w:rPr>
          <w:fldChar w:fldCharType="separate"/>
        </w:r>
        <w:r w:rsidR="00587AF0">
          <w:rPr>
            <w:noProof/>
            <w:webHidden/>
          </w:rPr>
          <w:t>60</w:t>
        </w:r>
        <w:r w:rsidR="007C6F59">
          <w:rPr>
            <w:noProof/>
            <w:webHidden/>
          </w:rPr>
          <w:fldChar w:fldCharType="end"/>
        </w:r>
      </w:hyperlink>
    </w:p>
    <w:p w14:paraId="153BA4FD" w14:textId="5E206950"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72" w:history="1">
        <w:r w:rsidR="007C6F59" w:rsidRPr="00906C74">
          <w:rPr>
            <w:rStyle w:val="Hyperlink"/>
            <w:noProof/>
            <w14:scene3d>
              <w14:camera w14:prst="orthographicFront"/>
              <w14:lightRig w14:rig="threePt" w14:dir="t">
                <w14:rot w14:lat="0" w14:lon="0" w14:rev="0"/>
              </w14:lightRig>
            </w14:scene3d>
          </w:rPr>
          <w:t>6.2.3</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Automatic Particle Counter (APC) and Water saturation (WS) sensor</w:t>
        </w:r>
        <w:r w:rsidR="007C6F59">
          <w:rPr>
            <w:noProof/>
            <w:webHidden/>
          </w:rPr>
          <w:tab/>
        </w:r>
        <w:r w:rsidR="007C6F59">
          <w:rPr>
            <w:noProof/>
            <w:webHidden/>
          </w:rPr>
          <w:fldChar w:fldCharType="begin"/>
        </w:r>
        <w:r w:rsidR="007C6F59">
          <w:rPr>
            <w:noProof/>
            <w:webHidden/>
          </w:rPr>
          <w:instrText xml:space="preserve"> PAGEREF _Toc101274372 \h </w:instrText>
        </w:r>
        <w:r w:rsidR="007C6F59">
          <w:rPr>
            <w:noProof/>
            <w:webHidden/>
          </w:rPr>
        </w:r>
        <w:r w:rsidR="007C6F59">
          <w:rPr>
            <w:noProof/>
            <w:webHidden/>
          </w:rPr>
          <w:fldChar w:fldCharType="separate"/>
        </w:r>
        <w:r w:rsidR="00587AF0">
          <w:rPr>
            <w:noProof/>
            <w:webHidden/>
          </w:rPr>
          <w:t>61</w:t>
        </w:r>
        <w:r w:rsidR="007C6F59">
          <w:rPr>
            <w:noProof/>
            <w:webHidden/>
          </w:rPr>
          <w:fldChar w:fldCharType="end"/>
        </w:r>
      </w:hyperlink>
    </w:p>
    <w:p w14:paraId="2C353043" w14:textId="50CAE940"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373" w:history="1">
        <w:r w:rsidR="007C6F59" w:rsidRPr="00906C74">
          <w:rPr>
            <w:rStyle w:val="Hyperlink"/>
            <w:noProof/>
          </w:rPr>
          <w:t>6.3</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rPr>
          <w:t>Hydraulic power data</w:t>
        </w:r>
        <w:r w:rsidR="007C6F59">
          <w:rPr>
            <w:noProof/>
            <w:webHidden/>
          </w:rPr>
          <w:tab/>
        </w:r>
        <w:r w:rsidR="007C6F59">
          <w:rPr>
            <w:noProof/>
            <w:webHidden/>
          </w:rPr>
          <w:fldChar w:fldCharType="begin"/>
        </w:r>
        <w:r w:rsidR="007C6F59">
          <w:rPr>
            <w:noProof/>
            <w:webHidden/>
          </w:rPr>
          <w:instrText xml:space="preserve"> PAGEREF _Toc101274373 \h </w:instrText>
        </w:r>
        <w:r w:rsidR="007C6F59">
          <w:rPr>
            <w:noProof/>
            <w:webHidden/>
          </w:rPr>
        </w:r>
        <w:r w:rsidR="007C6F59">
          <w:rPr>
            <w:noProof/>
            <w:webHidden/>
          </w:rPr>
          <w:fldChar w:fldCharType="separate"/>
        </w:r>
        <w:r w:rsidR="00587AF0">
          <w:rPr>
            <w:noProof/>
            <w:webHidden/>
          </w:rPr>
          <w:t>61</w:t>
        </w:r>
        <w:r w:rsidR="007C6F59">
          <w:rPr>
            <w:noProof/>
            <w:webHidden/>
          </w:rPr>
          <w:fldChar w:fldCharType="end"/>
        </w:r>
      </w:hyperlink>
    </w:p>
    <w:p w14:paraId="0F895694" w14:textId="5CD75091"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74" w:history="1">
        <w:r w:rsidR="007C6F59" w:rsidRPr="00906C74">
          <w:rPr>
            <w:rStyle w:val="Hyperlink"/>
            <w:noProof/>
            <w14:scene3d>
              <w14:camera w14:prst="orthographicFront"/>
              <w14:lightRig w14:rig="threePt" w14:dir="t">
                <w14:rot w14:lat="0" w14:lon="0" w14:rev="0"/>
              </w14:lightRig>
            </w14:scene3d>
          </w:rPr>
          <w:t>6.3.1</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Flow and pressure monitoring data</w:t>
        </w:r>
        <w:r w:rsidR="007C6F59">
          <w:rPr>
            <w:noProof/>
            <w:webHidden/>
          </w:rPr>
          <w:tab/>
        </w:r>
        <w:r w:rsidR="007C6F59">
          <w:rPr>
            <w:noProof/>
            <w:webHidden/>
          </w:rPr>
          <w:fldChar w:fldCharType="begin"/>
        </w:r>
        <w:r w:rsidR="007C6F59">
          <w:rPr>
            <w:noProof/>
            <w:webHidden/>
          </w:rPr>
          <w:instrText xml:space="preserve"> PAGEREF _Toc101274374 \h </w:instrText>
        </w:r>
        <w:r w:rsidR="007C6F59">
          <w:rPr>
            <w:noProof/>
            <w:webHidden/>
          </w:rPr>
        </w:r>
        <w:r w:rsidR="007C6F59">
          <w:rPr>
            <w:noProof/>
            <w:webHidden/>
          </w:rPr>
          <w:fldChar w:fldCharType="separate"/>
        </w:r>
        <w:r w:rsidR="00587AF0">
          <w:rPr>
            <w:noProof/>
            <w:webHidden/>
          </w:rPr>
          <w:t>61</w:t>
        </w:r>
        <w:r w:rsidR="007C6F59">
          <w:rPr>
            <w:noProof/>
            <w:webHidden/>
          </w:rPr>
          <w:fldChar w:fldCharType="end"/>
        </w:r>
      </w:hyperlink>
    </w:p>
    <w:p w14:paraId="22CB363F" w14:textId="2691ED6D"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75" w:history="1">
        <w:r w:rsidR="007C6F59" w:rsidRPr="00906C74">
          <w:rPr>
            <w:rStyle w:val="Hyperlink"/>
            <w:noProof/>
            <w14:scene3d>
              <w14:camera w14:prst="orthographicFront"/>
              <w14:lightRig w14:rig="threePt" w14:dir="t">
                <w14:rot w14:lat="0" w14:lon="0" w14:rev="0"/>
              </w14:lightRig>
            </w14:scene3d>
          </w:rPr>
          <w:t>6.3.2</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Actuators' response data – saddle opening and closing</w:t>
        </w:r>
        <w:r w:rsidR="007C6F59">
          <w:rPr>
            <w:noProof/>
            <w:webHidden/>
          </w:rPr>
          <w:tab/>
        </w:r>
        <w:r w:rsidR="007C6F59">
          <w:rPr>
            <w:noProof/>
            <w:webHidden/>
          </w:rPr>
          <w:fldChar w:fldCharType="begin"/>
        </w:r>
        <w:r w:rsidR="007C6F59">
          <w:rPr>
            <w:noProof/>
            <w:webHidden/>
          </w:rPr>
          <w:instrText xml:space="preserve"> PAGEREF _Toc101274375 \h </w:instrText>
        </w:r>
        <w:r w:rsidR="007C6F59">
          <w:rPr>
            <w:noProof/>
            <w:webHidden/>
          </w:rPr>
        </w:r>
        <w:r w:rsidR="007C6F59">
          <w:rPr>
            <w:noProof/>
            <w:webHidden/>
          </w:rPr>
          <w:fldChar w:fldCharType="separate"/>
        </w:r>
        <w:r w:rsidR="00587AF0">
          <w:rPr>
            <w:noProof/>
            <w:webHidden/>
          </w:rPr>
          <w:t>63</w:t>
        </w:r>
        <w:r w:rsidR="007C6F59">
          <w:rPr>
            <w:noProof/>
            <w:webHidden/>
          </w:rPr>
          <w:fldChar w:fldCharType="end"/>
        </w:r>
      </w:hyperlink>
    </w:p>
    <w:p w14:paraId="68ECD77D" w14:textId="1CDF94AB"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76" w:history="1">
        <w:r w:rsidR="007C6F59" w:rsidRPr="00906C74">
          <w:rPr>
            <w:rStyle w:val="Hyperlink"/>
            <w:noProof/>
            <w14:scene3d>
              <w14:camera w14:prst="orthographicFront"/>
              <w14:lightRig w14:rig="threePt" w14:dir="t">
                <w14:rot w14:lat="0" w14:lon="0" w14:rev="0"/>
              </w14:lightRig>
            </w14:scene3d>
          </w:rPr>
          <w:t>6.3.3</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SCADA System data acquisition</w:t>
        </w:r>
        <w:r w:rsidR="007C6F59">
          <w:rPr>
            <w:noProof/>
            <w:webHidden/>
          </w:rPr>
          <w:tab/>
        </w:r>
        <w:r w:rsidR="007C6F59">
          <w:rPr>
            <w:noProof/>
            <w:webHidden/>
          </w:rPr>
          <w:fldChar w:fldCharType="begin"/>
        </w:r>
        <w:r w:rsidR="007C6F59">
          <w:rPr>
            <w:noProof/>
            <w:webHidden/>
          </w:rPr>
          <w:instrText xml:space="preserve"> PAGEREF _Toc101274376 \h </w:instrText>
        </w:r>
        <w:r w:rsidR="007C6F59">
          <w:rPr>
            <w:noProof/>
            <w:webHidden/>
          </w:rPr>
        </w:r>
        <w:r w:rsidR="007C6F59">
          <w:rPr>
            <w:noProof/>
            <w:webHidden/>
          </w:rPr>
          <w:fldChar w:fldCharType="separate"/>
        </w:r>
        <w:r w:rsidR="00587AF0">
          <w:rPr>
            <w:noProof/>
            <w:webHidden/>
          </w:rPr>
          <w:t>63</w:t>
        </w:r>
        <w:r w:rsidR="007C6F59">
          <w:rPr>
            <w:noProof/>
            <w:webHidden/>
          </w:rPr>
          <w:fldChar w:fldCharType="end"/>
        </w:r>
      </w:hyperlink>
    </w:p>
    <w:p w14:paraId="6113D6FC" w14:textId="54A646E9" w:rsidR="007C6F59" w:rsidRDefault="00427B33">
      <w:pPr>
        <w:pStyle w:val="TOC2"/>
        <w:tabs>
          <w:tab w:val="left" w:pos="720"/>
          <w:tab w:val="right" w:leader="dot" w:pos="9017"/>
        </w:tabs>
        <w:rPr>
          <w:rFonts w:asciiTheme="minorHAnsi" w:eastAsiaTheme="minorEastAsia" w:hAnsiTheme="minorHAnsi" w:cstheme="minorBidi"/>
          <w:b w:val="0"/>
          <w:smallCaps w:val="0"/>
          <w:noProof/>
          <w:sz w:val="22"/>
          <w:szCs w:val="22"/>
          <w:lang w:val="sr-Latn-RS" w:eastAsia="sr-Latn-RS"/>
        </w:rPr>
      </w:pPr>
      <w:hyperlink w:anchor="_Toc101274377" w:history="1">
        <w:r w:rsidR="007C6F59" w:rsidRPr="00906C74">
          <w:rPr>
            <w:rStyle w:val="Hyperlink"/>
            <w:noProof/>
            <w:lang w:bidi="en-US"/>
          </w:rPr>
          <w:t>7</w:t>
        </w:r>
        <w:r w:rsidR="007C6F59">
          <w:rPr>
            <w:rFonts w:asciiTheme="minorHAnsi" w:eastAsiaTheme="minorEastAsia" w:hAnsiTheme="minorHAnsi" w:cstheme="minorBidi"/>
            <w:b w:val="0"/>
            <w:smallCaps w:val="0"/>
            <w:noProof/>
            <w:sz w:val="22"/>
            <w:szCs w:val="22"/>
            <w:lang w:val="sr-Latn-RS" w:eastAsia="sr-Latn-RS"/>
          </w:rPr>
          <w:tab/>
        </w:r>
        <w:r w:rsidR="007C6F59" w:rsidRPr="00906C74">
          <w:rPr>
            <w:rStyle w:val="Hyperlink"/>
            <w:noProof/>
            <w:lang w:bidi="en-US"/>
          </w:rPr>
          <w:t>Experimental results and discussion</w:t>
        </w:r>
        <w:r w:rsidR="007C6F59">
          <w:rPr>
            <w:noProof/>
            <w:webHidden/>
          </w:rPr>
          <w:tab/>
        </w:r>
        <w:r w:rsidR="007C6F59">
          <w:rPr>
            <w:noProof/>
            <w:webHidden/>
          </w:rPr>
          <w:fldChar w:fldCharType="begin"/>
        </w:r>
        <w:r w:rsidR="007C6F59">
          <w:rPr>
            <w:noProof/>
            <w:webHidden/>
          </w:rPr>
          <w:instrText xml:space="preserve"> PAGEREF _Toc101274377 \h </w:instrText>
        </w:r>
        <w:r w:rsidR="007C6F59">
          <w:rPr>
            <w:noProof/>
            <w:webHidden/>
          </w:rPr>
        </w:r>
        <w:r w:rsidR="007C6F59">
          <w:rPr>
            <w:noProof/>
            <w:webHidden/>
          </w:rPr>
          <w:fldChar w:fldCharType="separate"/>
        </w:r>
        <w:r w:rsidR="00587AF0">
          <w:rPr>
            <w:noProof/>
            <w:webHidden/>
          </w:rPr>
          <w:t>65</w:t>
        </w:r>
        <w:r w:rsidR="007C6F59">
          <w:rPr>
            <w:noProof/>
            <w:webHidden/>
          </w:rPr>
          <w:fldChar w:fldCharType="end"/>
        </w:r>
      </w:hyperlink>
    </w:p>
    <w:p w14:paraId="512B760F" w14:textId="06C39A17"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378" w:history="1">
        <w:r w:rsidR="007C6F59" w:rsidRPr="00906C74">
          <w:rPr>
            <w:rStyle w:val="Hyperlink"/>
            <w:noProof/>
            <w:lang w:bidi="en-US"/>
          </w:rPr>
          <w:t>7.1</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lang w:bidi="en-US"/>
          </w:rPr>
          <w:t>Laboratory experimental (offline) results</w:t>
        </w:r>
        <w:r w:rsidR="007C6F59">
          <w:rPr>
            <w:noProof/>
            <w:webHidden/>
          </w:rPr>
          <w:tab/>
        </w:r>
        <w:r w:rsidR="007C6F59">
          <w:rPr>
            <w:noProof/>
            <w:webHidden/>
          </w:rPr>
          <w:fldChar w:fldCharType="begin"/>
        </w:r>
        <w:r w:rsidR="007C6F59">
          <w:rPr>
            <w:noProof/>
            <w:webHidden/>
          </w:rPr>
          <w:instrText xml:space="preserve"> PAGEREF _Toc101274378 \h </w:instrText>
        </w:r>
        <w:r w:rsidR="007C6F59">
          <w:rPr>
            <w:noProof/>
            <w:webHidden/>
          </w:rPr>
        </w:r>
        <w:r w:rsidR="007C6F59">
          <w:rPr>
            <w:noProof/>
            <w:webHidden/>
          </w:rPr>
          <w:fldChar w:fldCharType="separate"/>
        </w:r>
        <w:r w:rsidR="00587AF0">
          <w:rPr>
            <w:noProof/>
            <w:webHidden/>
          </w:rPr>
          <w:t>65</w:t>
        </w:r>
        <w:r w:rsidR="007C6F59">
          <w:rPr>
            <w:noProof/>
            <w:webHidden/>
          </w:rPr>
          <w:fldChar w:fldCharType="end"/>
        </w:r>
      </w:hyperlink>
    </w:p>
    <w:p w14:paraId="0B5D089A" w14:textId="74E4EB81"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79" w:history="1">
        <w:r w:rsidR="007C6F59" w:rsidRPr="00906C74">
          <w:rPr>
            <w:rStyle w:val="Hyperlink"/>
            <w:noProof/>
            <w:lang w:bidi="en-US"/>
            <w14:scene3d>
              <w14:camera w14:prst="orthographicFront"/>
              <w14:lightRig w14:rig="threePt" w14:dir="t">
                <w14:rot w14:lat="0" w14:lon="0" w14:rev="0"/>
              </w14:lightRig>
            </w14:scene3d>
          </w:rPr>
          <w:t>7.1.1</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lang w:bidi="en-US"/>
          </w:rPr>
          <w:t>Laboratory analysis of hydraulic fluid properties</w:t>
        </w:r>
        <w:r w:rsidR="007C6F59">
          <w:rPr>
            <w:noProof/>
            <w:webHidden/>
          </w:rPr>
          <w:tab/>
        </w:r>
        <w:r w:rsidR="007C6F59">
          <w:rPr>
            <w:noProof/>
            <w:webHidden/>
          </w:rPr>
          <w:fldChar w:fldCharType="begin"/>
        </w:r>
        <w:r w:rsidR="007C6F59">
          <w:rPr>
            <w:noProof/>
            <w:webHidden/>
          </w:rPr>
          <w:instrText xml:space="preserve"> PAGEREF _Toc101274379 \h </w:instrText>
        </w:r>
        <w:r w:rsidR="007C6F59">
          <w:rPr>
            <w:noProof/>
            <w:webHidden/>
          </w:rPr>
        </w:r>
        <w:r w:rsidR="007C6F59">
          <w:rPr>
            <w:noProof/>
            <w:webHidden/>
          </w:rPr>
          <w:fldChar w:fldCharType="separate"/>
        </w:r>
        <w:r w:rsidR="00587AF0">
          <w:rPr>
            <w:noProof/>
            <w:webHidden/>
          </w:rPr>
          <w:t>65</w:t>
        </w:r>
        <w:r w:rsidR="007C6F59">
          <w:rPr>
            <w:noProof/>
            <w:webHidden/>
          </w:rPr>
          <w:fldChar w:fldCharType="end"/>
        </w:r>
      </w:hyperlink>
    </w:p>
    <w:p w14:paraId="0B1FA5AF" w14:textId="5E2C7E94"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80" w:history="1">
        <w:r w:rsidR="007C6F59" w:rsidRPr="00906C74">
          <w:rPr>
            <w:rStyle w:val="Hyperlink"/>
            <w:noProof/>
            <w:lang w:bidi="en-US"/>
            <w14:scene3d>
              <w14:camera w14:prst="orthographicFront"/>
              <w14:lightRig w14:rig="threePt" w14:dir="t">
                <w14:rot w14:lat="0" w14:lon="0" w14:rev="0"/>
              </w14:lightRig>
            </w14:scene3d>
          </w:rPr>
          <w:t>7.1.2</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lang w:bidi="en-US"/>
          </w:rPr>
          <w:t>Elemental analysis of hydraulic fluid contaminants</w:t>
        </w:r>
        <w:r w:rsidR="007C6F59">
          <w:rPr>
            <w:noProof/>
            <w:webHidden/>
          </w:rPr>
          <w:tab/>
        </w:r>
        <w:r w:rsidR="007C6F59">
          <w:rPr>
            <w:noProof/>
            <w:webHidden/>
          </w:rPr>
          <w:fldChar w:fldCharType="begin"/>
        </w:r>
        <w:r w:rsidR="007C6F59">
          <w:rPr>
            <w:noProof/>
            <w:webHidden/>
          </w:rPr>
          <w:instrText xml:space="preserve"> PAGEREF _Toc101274380 \h </w:instrText>
        </w:r>
        <w:r w:rsidR="007C6F59">
          <w:rPr>
            <w:noProof/>
            <w:webHidden/>
          </w:rPr>
        </w:r>
        <w:r w:rsidR="007C6F59">
          <w:rPr>
            <w:noProof/>
            <w:webHidden/>
          </w:rPr>
          <w:fldChar w:fldCharType="separate"/>
        </w:r>
        <w:r w:rsidR="00587AF0">
          <w:rPr>
            <w:noProof/>
            <w:webHidden/>
          </w:rPr>
          <w:t>66</w:t>
        </w:r>
        <w:r w:rsidR="007C6F59">
          <w:rPr>
            <w:noProof/>
            <w:webHidden/>
          </w:rPr>
          <w:fldChar w:fldCharType="end"/>
        </w:r>
      </w:hyperlink>
    </w:p>
    <w:p w14:paraId="5823E4B8" w14:textId="76639EE6"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381" w:history="1">
        <w:r w:rsidR="007C6F59" w:rsidRPr="00906C74">
          <w:rPr>
            <w:rStyle w:val="Hyperlink"/>
            <w:noProof/>
            <w:lang w:bidi="en-US"/>
          </w:rPr>
          <w:t>7.2</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lang w:bidi="en-US"/>
          </w:rPr>
          <w:t>Statistical hypothesis testing of acquired data</w:t>
        </w:r>
        <w:r w:rsidR="007C6F59">
          <w:rPr>
            <w:noProof/>
            <w:webHidden/>
          </w:rPr>
          <w:tab/>
        </w:r>
        <w:r w:rsidR="007C6F59">
          <w:rPr>
            <w:noProof/>
            <w:webHidden/>
          </w:rPr>
          <w:fldChar w:fldCharType="begin"/>
        </w:r>
        <w:r w:rsidR="007C6F59">
          <w:rPr>
            <w:noProof/>
            <w:webHidden/>
          </w:rPr>
          <w:instrText xml:space="preserve"> PAGEREF _Toc101274381 \h </w:instrText>
        </w:r>
        <w:r w:rsidR="007C6F59">
          <w:rPr>
            <w:noProof/>
            <w:webHidden/>
          </w:rPr>
        </w:r>
        <w:r w:rsidR="007C6F59">
          <w:rPr>
            <w:noProof/>
            <w:webHidden/>
          </w:rPr>
          <w:fldChar w:fldCharType="separate"/>
        </w:r>
        <w:r w:rsidR="00587AF0">
          <w:rPr>
            <w:noProof/>
            <w:webHidden/>
          </w:rPr>
          <w:t>67</w:t>
        </w:r>
        <w:r w:rsidR="007C6F59">
          <w:rPr>
            <w:noProof/>
            <w:webHidden/>
          </w:rPr>
          <w:fldChar w:fldCharType="end"/>
        </w:r>
      </w:hyperlink>
    </w:p>
    <w:p w14:paraId="740A3EE2" w14:textId="6898F11A"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82" w:history="1">
        <w:r w:rsidR="007C6F59" w:rsidRPr="00906C74">
          <w:rPr>
            <w:rStyle w:val="Hyperlink"/>
            <w:noProof/>
            <w:lang w:bidi="en-US"/>
            <w14:scene3d>
              <w14:camera w14:prst="orthographicFront"/>
              <w14:lightRig w14:rig="threePt" w14:dir="t">
                <w14:rot w14:lat="0" w14:lon="0" w14:rev="0"/>
              </w14:lightRig>
            </w14:scene3d>
          </w:rPr>
          <w:t>7.2.1</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lang w:bidi="en-US"/>
          </w:rPr>
          <w:t>Investigating the assumption for correlation hypotheses test</w:t>
        </w:r>
        <w:r w:rsidR="007C6F59">
          <w:rPr>
            <w:noProof/>
            <w:webHidden/>
          </w:rPr>
          <w:tab/>
        </w:r>
        <w:r w:rsidR="007C6F59">
          <w:rPr>
            <w:noProof/>
            <w:webHidden/>
          </w:rPr>
          <w:fldChar w:fldCharType="begin"/>
        </w:r>
        <w:r w:rsidR="007C6F59">
          <w:rPr>
            <w:noProof/>
            <w:webHidden/>
          </w:rPr>
          <w:instrText xml:space="preserve"> PAGEREF _Toc101274382 \h </w:instrText>
        </w:r>
        <w:r w:rsidR="007C6F59">
          <w:rPr>
            <w:noProof/>
            <w:webHidden/>
          </w:rPr>
        </w:r>
        <w:r w:rsidR="007C6F59">
          <w:rPr>
            <w:noProof/>
            <w:webHidden/>
          </w:rPr>
          <w:fldChar w:fldCharType="separate"/>
        </w:r>
        <w:r w:rsidR="00587AF0">
          <w:rPr>
            <w:noProof/>
            <w:webHidden/>
          </w:rPr>
          <w:t>67</w:t>
        </w:r>
        <w:r w:rsidR="007C6F59">
          <w:rPr>
            <w:noProof/>
            <w:webHidden/>
          </w:rPr>
          <w:fldChar w:fldCharType="end"/>
        </w:r>
      </w:hyperlink>
    </w:p>
    <w:p w14:paraId="481B4E5A" w14:textId="47CB2432"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83" w:history="1">
        <w:r w:rsidR="007C6F59" w:rsidRPr="00906C74">
          <w:rPr>
            <w:rStyle w:val="Hyperlink"/>
            <w:noProof/>
            <w:lang w:bidi="en-US"/>
            <w14:scene3d>
              <w14:camera w14:prst="orthographicFront"/>
              <w14:lightRig w14:rig="threePt" w14:dir="t">
                <w14:rot w14:lat="0" w14:lon="0" w14:rev="0"/>
              </w14:lightRig>
            </w14:scene3d>
          </w:rPr>
          <w:t>7.2.2</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lang w:bidi="en-US"/>
          </w:rPr>
          <w:t>Testing the relationship between contamination and hydraulic power</w:t>
        </w:r>
        <w:r w:rsidR="007C6F59">
          <w:rPr>
            <w:noProof/>
            <w:webHidden/>
          </w:rPr>
          <w:tab/>
        </w:r>
        <w:r w:rsidR="007C6F59">
          <w:rPr>
            <w:noProof/>
            <w:webHidden/>
          </w:rPr>
          <w:fldChar w:fldCharType="begin"/>
        </w:r>
        <w:r w:rsidR="007C6F59">
          <w:rPr>
            <w:noProof/>
            <w:webHidden/>
          </w:rPr>
          <w:instrText xml:space="preserve"> PAGEREF _Toc101274383 \h </w:instrText>
        </w:r>
        <w:r w:rsidR="007C6F59">
          <w:rPr>
            <w:noProof/>
            <w:webHidden/>
          </w:rPr>
        </w:r>
        <w:r w:rsidR="007C6F59">
          <w:rPr>
            <w:noProof/>
            <w:webHidden/>
          </w:rPr>
          <w:fldChar w:fldCharType="separate"/>
        </w:r>
        <w:r w:rsidR="00587AF0">
          <w:rPr>
            <w:noProof/>
            <w:webHidden/>
          </w:rPr>
          <w:t>68</w:t>
        </w:r>
        <w:r w:rsidR="007C6F59">
          <w:rPr>
            <w:noProof/>
            <w:webHidden/>
          </w:rPr>
          <w:fldChar w:fldCharType="end"/>
        </w:r>
      </w:hyperlink>
    </w:p>
    <w:p w14:paraId="5A999C0C" w14:textId="2CDBB9C9"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84" w:history="1">
        <w:r w:rsidR="007C6F59" w:rsidRPr="00906C74">
          <w:rPr>
            <w:rStyle w:val="Hyperlink"/>
            <w:noProof/>
            <w14:scene3d>
              <w14:camera w14:prst="orthographicFront"/>
              <w14:lightRig w14:rig="threePt" w14:dir="t">
                <w14:rot w14:lat="0" w14:lon="0" w14:rev="0"/>
              </w14:lightRig>
            </w14:scene3d>
          </w:rPr>
          <w:t>7.2.3</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Relationship between fluid properties changes and hydraulic power</w:t>
        </w:r>
        <w:r w:rsidR="007C6F59">
          <w:rPr>
            <w:noProof/>
            <w:webHidden/>
          </w:rPr>
          <w:tab/>
        </w:r>
        <w:r w:rsidR="007C6F59">
          <w:rPr>
            <w:noProof/>
            <w:webHidden/>
          </w:rPr>
          <w:fldChar w:fldCharType="begin"/>
        </w:r>
        <w:r w:rsidR="007C6F59">
          <w:rPr>
            <w:noProof/>
            <w:webHidden/>
          </w:rPr>
          <w:instrText xml:space="preserve"> PAGEREF _Toc101274384 \h </w:instrText>
        </w:r>
        <w:r w:rsidR="007C6F59">
          <w:rPr>
            <w:noProof/>
            <w:webHidden/>
          </w:rPr>
        </w:r>
        <w:r w:rsidR="007C6F59">
          <w:rPr>
            <w:noProof/>
            <w:webHidden/>
          </w:rPr>
          <w:fldChar w:fldCharType="separate"/>
        </w:r>
        <w:r w:rsidR="00587AF0">
          <w:rPr>
            <w:noProof/>
            <w:webHidden/>
          </w:rPr>
          <w:t>69</w:t>
        </w:r>
        <w:r w:rsidR="007C6F59">
          <w:rPr>
            <w:noProof/>
            <w:webHidden/>
          </w:rPr>
          <w:fldChar w:fldCharType="end"/>
        </w:r>
      </w:hyperlink>
    </w:p>
    <w:p w14:paraId="520471E4" w14:textId="4CFEB8C8"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85" w:history="1">
        <w:r w:rsidR="007C6F59" w:rsidRPr="00906C74">
          <w:rPr>
            <w:rStyle w:val="Hyperlink"/>
            <w:noProof/>
            <w14:scene3d>
              <w14:camera w14:prst="orthographicFront"/>
              <w14:lightRig w14:rig="threePt" w14:dir="t">
                <w14:rot w14:lat="0" w14:lon="0" w14:rev="0"/>
              </w14:lightRig>
            </w14:scene3d>
          </w:rPr>
          <w:t>7.2.4</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Graphical interpretation and filtering of hydraulic power readings</w:t>
        </w:r>
        <w:r w:rsidR="007C6F59">
          <w:rPr>
            <w:noProof/>
            <w:webHidden/>
          </w:rPr>
          <w:tab/>
        </w:r>
        <w:r w:rsidR="007C6F59">
          <w:rPr>
            <w:noProof/>
            <w:webHidden/>
          </w:rPr>
          <w:fldChar w:fldCharType="begin"/>
        </w:r>
        <w:r w:rsidR="007C6F59">
          <w:rPr>
            <w:noProof/>
            <w:webHidden/>
          </w:rPr>
          <w:instrText xml:space="preserve"> PAGEREF _Toc101274385 \h </w:instrText>
        </w:r>
        <w:r w:rsidR="007C6F59">
          <w:rPr>
            <w:noProof/>
            <w:webHidden/>
          </w:rPr>
        </w:r>
        <w:r w:rsidR="007C6F59">
          <w:rPr>
            <w:noProof/>
            <w:webHidden/>
          </w:rPr>
          <w:fldChar w:fldCharType="separate"/>
        </w:r>
        <w:r w:rsidR="00587AF0">
          <w:rPr>
            <w:noProof/>
            <w:webHidden/>
          </w:rPr>
          <w:t>71</w:t>
        </w:r>
        <w:r w:rsidR="007C6F59">
          <w:rPr>
            <w:noProof/>
            <w:webHidden/>
          </w:rPr>
          <w:fldChar w:fldCharType="end"/>
        </w:r>
      </w:hyperlink>
    </w:p>
    <w:p w14:paraId="0F92297F" w14:textId="1EADBBF1" w:rsidR="007C6F59" w:rsidRDefault="00427B33">
      <w:pPr>
        <w:pStyle w:val="TOC2"/>
        <w:tabs>
          <w:tab w:val="left" w:pos="720"/>
          <w:tab w:val="right" w:leader="dot" w:pos="9017"/>
        </w:tabs>
        <w:rPr>
          <w:rFonts w:asciiTheme="minorHAnsi" w:eastAsiaTheme="minorEastAsia" w:hAnsiTheme="minorHAnsi" w:cstheme="minorBidi"/>
          <w:b w:val="0"/>
          <w:smallCaps w:val="0"/>
          <w:noProof/>
          <w:sz w:val="22"/>
          <w:szCs w:val="22"/>
          <w:lang w:val="sr-Latn-RS" w:eastAsia="sr-Latn-RS"/>
        </w:rPr>
      </w:pPr>
      <w:hyperlink w:anchor="_Toc101274386" w:history="1">
        <w:r w:rsidR="007C6F59" w:rsidRPr="00906C74">
          <w:rPr>
            <w:rStyle w:val="Hyperlink"/>
            <w:noProof/>
          </w:rPr>
          <w:t>8</w:t>
        </w:r>
        <w:r w:rsidR="007C6F59">
          <w:rPr>
            <w:rFonts w:asciiTheme="minorHAnsi" w:eastAsiaTheme="minorEastAsia" w:hAnsiTheme="minorHAnsi" w:cstheme="minorBidi"/>
            <w:b w:val="0"/>
            <w:smallCaps w:val="0"/>
            <w:noProof/>
            <w:sz w:val="22"/>
            <w:szCs w:val="22"/>
            <w:lang w:val="sr-Latn-RS" w:eastAsia="sr-Latn-RS"/>
          </w:rPr>
          <w:tab/>
        </w:r>
        <w:r w:rsidR="007C6F59" w:rsidRPr="00906C74">
          <w:rPr>
            <w:rStyle w:val="Hyperlink"/>
            <w:noProof/>
          </w:rPr>
          <w:t>Machine learning data preparation</w:t>
        </w:r>
        <w:r w:rsidR="007C6F59">
          <w:rPr>
            <w:noProof/>
            <w:webHidden/>
          </w:rPr>
          <w:tab/>
        </w:r>
        <w:r w:rsidR="007C6F59">
          <w:rPr>
            <w:noProof/>
            <w:webHidden/>
          </w:rPr>
          <w:fldChar w:fldCharType="begin"/>
        </w:r>
        <w:r w:rsidR="007C6F59">
          <w:rPr>
            <w:noProof/>
            <w:webHidden/>
          </w:rPr>
          <w:instrText xml:space="preserve"> PAGEREF _Toc101274386 \h </w:instrText>
        </w:r>
        <w:r w:rsidR="007C6F59">
          <w:rPr>
            <w:noProof/>
            <w:webHidden/>
          </w:rPr>
        </w:r>
        <w:r w:rsidR="007C6F59">
          <w:rPr>
            <w:noProof/>
            <w:webHidden/>
          </w:rPr>
          <w:fldChar w:fldCharType="separate"/>
        </w:r>
        <w:r w:rsidR="00587AF0">
          <w:rPr>
            <w:noProof/>
            <w:webHidden/>
          </w:rPr>
          <w:t>74</w:t>
        </w:r>
        <w:r w:rsidR="007C6F59">
          <w:rPr>
            <w:noProof/>
            <w:webHidden/>
          </w:rPr>
          <w:fldChar w:fldCharType="end"/>
        </w:r>
      </w:hyperlink>
    </w:p>
    <w:p w14:paraId="754EB5AA" w14:textId="19D377E1"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387" w:history="1">
        <w:r w:rsidR="007C6F59" w:rsidRPr="00906C74">
          <w:rPr>
            <w:rStyle w:val="Hyperlink"/>
            <w:noProof/>
            <w:lang w:val="en-GB"/>
          </w:rPr>
          <w:t>8.1</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lang w:val="en-GB"/>
          </w:rPr>
          <w:t>Data (pre)processing – discretisation and filtering</w:t>
        </w:r>
        <w:r w:rsidR="007C6F59">
          <w:rPr>
            <w:noProof/>
            <w:webHidden/>
          </w:rPr>
          <w:tab/>
        </w:r>
        <w:r w:rsidR="007C6F59">
          <w:rPr>
            <w:noProof/>
            <w:webHidden/>
          </w:rPr>
          <w:fldChar w:fldCharType="begin"/>
        </w:r>
        <w:r w:rsidR="007C6F59">
          <w:rPr>
            <w:noProof/>
            <w:webHidden/>
          </w:rPr>
          <w:instrText xml:space="preserve"> PAGEREF _Toc101274387 \h </w:instrText>
        </w:r>
        <w:r w:rsidR="007C6F59">
          <w:rPr>
            <w:noProof/>
            <w:webHidden/>
          </w:rPr>
        </w:r>
        <w:r w:rsidR="007C6F59">
          <w:rPr>
            <w:noProof/>
            <w:webHidden/>
          </w:rPr>
          <w:fldChar w:fldCharType="separate"/>
        </w:r>
        <w:r w:rsidR="00587AF0">
          <w:rPr>
            <w:noProof/>
            <w:webHidden/>
          </w:rPr>
          <w:t>75</w:t>
        </w:r>
        <w:r w:rsidR="007C6F59">
          <w:rPr>
            <w:noProof/>
            <w:webHidden/>
          </w:rPr>
          <w:fldChar w:fldCharType="end"/>
        </w:r>
      </w:hyperlink>
    </w:p>
    <w:p w14:paraId="679C345D" w14:textId="11E1CDAD"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388" w:history="1">
        <w:r w:rsidR="007C6F59" w:rsidRPr="00906C74">
          <w:rPr>
            <w:rStyle w:val="Hyperlink"/>
            <w:noProof/>
          </w:rPr>
          <w:t>8.2</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rPr>
          <w:t>Exploratory data analysis and filtering of the FP markers</w:t>
        </w:r>
        <w:r w:rsidR="007C6F59">
          <w:rPr>
            <w:noProof/>
            <w:webHidden/>
          </w:rPr>
          <w:tab/>
        </w:r>
        <w:r w:rsidR="007C6F59">
          <w:rPr>
            <w:noProof/>
            <w:webHidden/>
          </w:rPr>
          <w:fldChar w:fldCharType="begin"/>
        </w:r>
        <w:r w:rsidR="007C6F59">
          <w:rPr>
            <w:noProof/>
            <w:webHidden/>
          </w:rPr>
          <w:instrText xml:space="preserve"> PAGEREF _Toc101274388 \h </w:instrText>
        </w:r>
        <w:r w:rsidR="007C6F59">
          <w:rPr>
            <w:noProof/>
            <w:webHidden/>
          </w:rPr>
        </w:r>
        <w:r w:rsidR="007C6F59">
          <w:rPr>
            <w:noProof/>
            <w:webHidden/>
          </w:rPr>
          <w:fldChar w:fldCharType="separate"/>
        </w:r>
        <w:r w:rsidR="00587AF0">
          <w:rPr>
            <w:noProof/>
            <w:webHidden/>
          </w:rPr>
          <w:t>77</w:t>
        </w:r>
        <w:r w:rsidR="007C6F59">
          <w:rPr>
            <w:noProof/>
            <w:webHidden/>
          </w:rPr>
          <w:fldChar w:fldCharType="end"/>
        </w:r>
      </w:hyperlink>
    </w:p>
    <w:p w14:paraId="6E91CC7E" w14:textId="664AADE6"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89" w:history="1">
        <w:r w:rsidR="007C6F59" w:rsidRPr="00906C74">
          <w:rPr>
            <w:rStyle w:val="Hyperlink"/>
            <w:rFonts w:cstheme="majorHAnsi"/>
            <w:noProof/>
            <w14:scene3d>
              <w14:camera w14:prst="orthographicFront"/>
              <w14:lightRig w14:rig="threePt" w14:dir="t">
                <w14:rot w14:lat="0" w14:lon="0" w14:rev="0"/>
              </w14:lightRig>
            </w14:scene3d>
          </w:rPr>
          <w:t>8.2.1</w:t>
        </w:r>
        <w:r w:rsidR="007C6F59">
          <w:rPr>
            <w:rFonts w:asciiTheme="minorHAnsi" w:eastAsiaTheme="minorEastAsia" w:hAnsiTheme="minorHAnsi" w:cstheme="minorBidi"/>
            <w:noProof/>
            <w:sz w:val="22"/>
            <w:szCs w:val="22"/>
            <w:lang w:val="sr-Latn-RS" w:eastAsia="sr-Latn-RS"/>
          </w:rPr>
          <w:tab/>
        </w:r>
        <w:r w:rsidR="007C6F59" w:rsidRPr="00906C74">
          <w:rPr>
            <w:rStyle w:val="Hyperlink"/>
            <w:rFonts w:cstheme="majorHAnsi"/>
            <w:noProof/>
          </w:rPr>
          <w:t>Exploration of data – opening saddle position</w:t>
        </w:r>
        <w:r w:rsidR="007C6F59">
          <w:rPr>
            <w:noProof/>
            <w:webHidden/>
          </w:rPr>
          <w:tab/>
        </w:r>
        <w:r w:rsidR="007C6F59">
          <w:rPr>
            <w:noProof/>
            <w:webHidden/>
          </w:rPr>
          <w:fldChar w:fldCharType="begin"/>
        </w:r>
        <w:r w:rsidR="007C6F59">
          <w:rPr>
            <w:noProof/>
            <w:webHidden/>
          </w:rPr>
          <w:instrText xml:space="preserve"> PAGEREF _Toc101274389 \h </w:instrText>
        </w:r>
        <w:r w:rsidR="007C6F59">
          <w:rPr>
            <w:noProof/>
            <w:webHidden/>
          </w:rPr>
        </w:r>
        <w:r w:rsidR="007C6F59">
          <w:rPr>
            <w:noProof/>
            <w:webHidden/>
          </w:rPr>
          <w:fldChar w:fldCharType="separate"/>
        </w:r>
        <w:r w:rsidR="00587AF0">
          <w:rPr>
            <w:noProof/>
            <w:webHidden/>
          </w:rPr>
          <w:t>77</w:t>
        </w:r>
        <w:r w:rsidR="007C6F59">
          <w:rPr>
            <w:noProof/>
            <w:webHidden/>
          </w:rPr>
          <w:fldChar w:fldCharType="end"/>
        </w:r>
      </w:hyperlink>
    </w:p>
    <w:p w14:paraId="6A5EEF83" w14:textId="09FD3037"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90" w:history="1">
        <w:r w:rsidR="007C6F59" w:rsidRPr="00906C74">
          <w:rPr>
            <w:rStyle w:val="Hyperlink"/>
            <w:noProof/>
            <w14:scene3d>
              <w14:camera w14:prst="orthographicFront"/>
              <w14:lightRig w14:rig="threePt" w14:dir="t">
                <w14:rot w14:lat="0" w14:lon="0" w14:rev="0"/>
              </w14:lightRig>
            </w14:scene3d>
          </w:rPr>
          <w:t>8.2.2</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Exploration of data – idle saddle position</w:t>
        </w:r>
        <w:r w:rsidR="007C6F59">
          <w:rPr>
            <w:noProof/>
            <w:webHidden/>
          </w:rPr>
          <w:tab/>
        </w:r>
        <w:r w:rsidR="007C6F59">
          <w:rPr>
            <w:noProof/>
            <w:webHidden/>
          </w:rPr>
          <w:fldChar w:fldCharType="begin"/>
        </w:r>
        <w:r w:rsidR="007C6F59">
          <w:rPr>
            <w:noProof/>
            <w:webHidden/>
          </w:rPr>
          <w:instrText xml:space="preserve"> PAGEREF _Toc101274390 \h </w:instrText>
        </w:r>
        <w:r w:rsidR="007C6F59">
          <w:rPr>
            <w:noProof/>
            <w:webHidden/>
          </w:rPr>
        </w:r>
        <w:r w:rsidR="007C6F59">
          <w:rPr>
            <w:noProof/>
            <w:webHidden/>
          </w:rPr>
          <w:fldChar w:fldCharType="separate"/>
        </w:r>
        <w:r w:rsidR="00587AF0">
          <w:rPr>
            <w:noProof/>
            <w:webHidden/>
          </w:rPr>
          <w:t>82</w:t>
        </w:r>
        <w:r w:rsidR="007C6F59">
          <w:rPr>
            <w:noProof/>
            <w:webHidden/>
          </w:rPr>
          <w:fldChar w:fldCharType="end"/>
        </w:r>
      </w:hyperlink>
    </w:p>
    <w:p w14:paraId="57176A9A" w14:textId="23726364"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91" w:history="1">
        <w:r w:rsidR="007C6F59" w:rsidRPr="00906C74">
          <w:rPr>
            <w:rStyle w:val="Hyperlink"/>
            <w:noProof/>
            <w14:scene3d>
              <w14:camera w14:prst="orthographicFront"/>
              <w14:lightRig w14:rig="threePt" w14:dir="t">
                <w14:rot w14:lat="0" w14:lon="0" w14:rev="0"/>
              </w14:lightRig>
            </w14:scene3d>
          </w:rPr>
          <w:t>8.2.3</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Exploration of data – closing saddle position</w:t>
        </w:r>
        <w:r w:rsidR="007C6F59">
          <w:rPr>
            <w:noProof/>
            <w:webHidden/>
          </w:rPr>
          <w:tab/>
        </w:r>
        <w:r w:rsidR="007C6F59">
          <w:rPr>
            <w:noProof/>
            <w:webHidden/>
          </w:rPr>
          <w:fldChar w:fldCharType="begin"/>
        </w:r>
        <w:r w:rsidR="007C6F59">
          <w:rPr>
            <w:noProof/>
            <w:webHidden/>
          </w:rPr>
          <w:instrText xml:space="preserve"> PAGEREF _Toc101274391 \h </w:instrText>
        </w:r>
        <w:r w:rsidR="007C6F59">
          <w:rPr>
            <w:noProof/>
            <w:webHidden/>
          </w:rPr>
        </w:r>
        <w:r w:rsidR="007C6F59">
          <w:rPr>
            <w:noProof/>
            <w:webHidden/>
          </w:rPr>
          <w:fldChar w:fldCharType="separate"/>
        </w:r>
        <w:r w:rsidR="00587AF0">
          <w:rPr>
            <w:noProof/>
            <w:webHidden/>
          </w:rPr>
          <w:t>85</w:t>
        </w:r>
        <w:r w:rsidR="007C6F59">
          <w:rPr>
            <w:noProof/>
            <w:webHidden/>
          </w:rPr>
          <w:fldChar w:fldCharType="end"/>
        </w:r>
      </w:hyperlink>
    </w:p>
    <w:p w14:paraId="38617302" w14:textId="384879E9"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392" w:history="1">
        <w:r w:rsidR="007C6F59" w:rsidRPr="00906C74">
          <w:rPr>
            <w:rStyle w:val="Hyperlink"/>
            <w:noProof/>
            <w:lang w:bidi="en-US"/>
          </w:rPr>
          <w:t>8.3</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lang w:bidi="en-US"/>
          </w:rPr>
          <w:t>Principal Component Analysis (PCA) for data exploration</w:t>
        </w:r>
        <w:r w:rsidR="007C6F59">
          <w:rPr>
            <w:noProof/>
            <w:webHidden/>
          </w:rPr>
          <w:tab/>
        </w:r>
        <w:r w:rsidR="007C6F59">
          <w:rPr>
            <w:noProof/>
            <w:webHidden/>
          </w:rPr>
          <w:fldChar w:fldCharType="begin"/>
        </w:r>
        <w:r w:rsidR="007C6F59">
          <w:rPr>
            <w:noProof/>
            <w:webHidden/>
          </w:rPr>
          <w:instrText xml:space="preserve"> PAGEREF _Toc101274392 \h </w:instrText>
        </w:r>
        <w:r w:rsidR="007C6F59">
          <w:rPr>
            <w:noProof/>
            <w:webHidden/>
          </w:rPr>
        </w:r>
        <w:r w:rsidR="007C6F59">
          <w:rPr>
            <w:noProof/>
            <w:webHidden/>
          </w:rPr>
          <w:fldChar w:fldCharType="separate"/>
        </w:r>
        <w:r w:rsidR="00587AF0">
          <w:rPr>
            <w:noProof/>
            <w:webHidden/>
          </w:rPr>
          <w:t>88</w:t>
        </w:r>
        <w:r w:rsidR="007C6F59">
          <w:rPr>
            <w:noProof/>
            <w:webHidden/>
          </w:rPr>
          <w:fldChar w:fldCharType="end"/>
        </w:r>
      </w:hyperlink>
    </w:p>
    <w:p w14:paraId="0D85DE22" w14:textId="0971F6E1"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93" w:history="1">
        <w:r w:rsidR="007C6F59" w:rsidRPr="00906C74">
          <w:rPr>
            <w:rStyle w:val="Hyperlink"/>
            <w:noProof/>
            <w:lang w:bidi="en-US"/>
            <w14:scene3d>
              <w14:camera w14:prst="orthographicFront"/>
              <w14:lightRig w14:rig="threePt" w14:dir="t">
                <w14:rot w14:lat="0" w14:lon="0" w14:rev="0"/>
              </w14:lightRig>
            </w14:scene3d>
          </w:rPr>
          <w:t>8.3.1</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lang w:bidi="en-US"/>
          </w:rPr>
          <w:t>PCA of HyPower at opening saddle position</w:t>
        </w:r>
        <w:r w:rsidR="007C6F59">
          <w:rPr>
            <w:noProof/>
            <w:webHidden/>
          </w:rPr>
          <w:tab/>
        </w:r>
        <w:r w:rsidR="007C6F59">
          <w:rPr>
            <w:noProof/>
            <w:webHidden/>
          </w:rPr>
          <w:fldChar w:fldCharType="begin"/>
        </w:r>
        <w:r w:rsidR="007C6F59">
          <w:rPr>
            <w:noProof/>
            <w:webHidden/>
          </w:rPr>
          <w:instrText xml:space="preserve"> PAGEREF _Toc101274393 \h </w:instrText>
        </w:r>
        <w:r w:rsidR="007C6F59">
          <w:rPr>
            <w:noProof/>
            <w:webHidden/>
          </w:rPr>
        </w:r>
        <w:r w:rsidR="007C6F59">
          <w:rPr>
            <w:noProof/>
            <w:webHidden/>
          </w:rPr>
          <w:fldChar w:fldCharType="separate"/>
        </w:r>
        <w:r w:rsidR="00587AF0">
          <w:rPr>
            <w:noProof/>
            <w:webHidden/>
          </w:rPr>
          <w:t>88</w:t>
        </w:r>
        <w:r w:rsidR="007C6F59">
          <w:rPr>
            <w:noProof/>
            <w:webHidden/>
          </w:rPr>
          <w:fldChar w:fldCharType="end"/>
        </w:r>
      </w:hyperlink>
    </w:p>
    <w:p w14:paraId="63A77FFD" w14:textId="7910F070"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94" w:history="1">
        <w:r w:rsidR="007C6F59" w:rsidRPr="00906C74">
          <w:rPr>
            <w:rStyle w:val="Hyperlink"/>
            <w:noProof/>
            <w:lang w:bidi="en-US"/>
            <w14:scene3d>
              <w14:camera w14:prst="orthographicFront"/>
              <w14:lightRig w14:rig="threePt" w14:dir="t">
                <w14:rot w14:lat="0" w14:lon="0" w14:rev="0"/>
              </w14:lightRig>
            </w14:scene3d>
          </w:rPr>
          <w:t>8.3.2</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lang w:bidi="en-US"/>
          </w:rPr>
          <w:t>PCA of HyPower at idle saddle position</w:t>
        </w:r>
        <w:r w:rsidR="007C6F59">
          <w:rPr>
            <w:noProof/>
            <w:webHidden/>
          </w:rPr>
          <w:tab/>
        </w:r>
        <w:r w:rsidR="007C6F59">
          <w:rPr>
            <w:noProof/>
            <w:webHidden/>
          </w:rPr>
          <w:fldChar w:fldCharType="begin"/>
        </w:r>
        <w:r w:rsidR="007C6F59">
          <w:rPr>
            <w:noProof/>
            <w:webHidden/>
          </w:rPr>
          <w:instrText xml:space="preserve"> PAGEREF _Toc101274394 \h </w:instrText>
        </w:r>
        <w:r w:rsidR="007C6F59">
          <w:rPr>
            <w:noProof/>
            <w:webHidden/>
          </w:rPr>
        </w:r>
        <w:r w:rsidR="007C6F59">
          <w:rPr>
            <w:noProof/>
            <w:webHidden/>
          </w:rPr>
          <w:fldChar w:fldCharType="separate"/>
        </w:r>
        <w:r w:rsidR="00587AF0">
          <w:rPr>
            <w:noProof/>
            <w:webHidden/>
          </w:rPr>
          <w:t>93</w:t>
        </w:r>
        <w:r w:rsidR="007C6F59">
          <w:rPr>
            <w:noProof/>
            <w:webHidden/>
          </w:rPr>
          <w:fldChar w:fldCharType="end"/>
        </w:r>
      </w:hyperlink>
    </w:p>
    <w:p w14:paraId="2BE5EB3F" w14:textId="7FAE9A43"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95" w:history="1">
        <w:r w:rsidR="007C6F59" w:rsidRPr="00906C74">
          <w:rPr>
            <w:rStyle w:val="Hyperlink"/>
            <w:noProof/>
            <w:lang w:bidi="en-US"/>
            <w14:scene3d>
              <w14:camera w14:prst="orthographicFront"/>
              <w14:lightRig w14:rig="threePt" w14:dir="t">
                <w14:rot w14:lat="0" w14:lon="0" w14:rev="0"/>
              </w14:lightRig>
            </w14:scene3d>
          </w:rPr>
          <w:t>8.3.3</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PCA of HyPower at closing saddle position</w:t>
        </w:r>
        <w:r w:rsidR="007C6F59">
          <w:rPr>
            <w:noProof/>
            <w:webHidden/>
          </w:rPr>
          <w:tab/>
        </w:r>
        <w:r w:rsidR="007C6F59">
          <w:rPr>
            <w:noProof/>
            <w:webHidden/>
          </w:rPr>
          <w:fldChar w:fldCharType="begin"/>
        </w:r>
        <w:r w:rsidR="007C6F59">
          <w:rPr>
            <w:noProof/>
            <w:webHidden/>
          </w:rPr>
          <w:instrText xml:space="preserve"> PAGEREF _Toc101274395 \h </w:instrText>
        </w:r>
        <w:r w:rsidR="007C6F59">
          <w:rPr>
            <w:noProof/>
            <w:webHidden/>
          </w:rPr>
        </w:r>
        <w:r w:rsidR="007C6F59">
          <w:rPr>
            <w:noProof/>
            <w:webHidden/>
          </w:rPr>
          <w:fldChar w:fldCharType="separate"/>
        </w:r>
        <w:r w:rsidR="00587AF0">
          <w:rPr>
            <w:noProof/>
            <w:webHidden/>
          </w:rPr>
          <w:t>96</w:t>
        </w:r>
        <w:r w:rsidR="007C6F59">
          <w:rPr>
            <w:noProof/>
            <w:webHidden/>
          </w:rPr>
          <w:fldChar w:fldCharType="end"/>
        </w:r>
      </w:hyperlink>
    </w:p>
    <w:p w14:paraId="2E7E9DAA" w14:textId="6B2CD92B"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396" w:history="1">
        <w:r w:rsidR="007C6F59" w:rsidRPr="00906C74">
          <w:rPr>
            <w:rStyle w:val="Hyperlink"/>
            <w:noProof/>
          </w:rPr>
          <w:t>8.4</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rPr>
          <w:t>Data selection and normalization</w:t>
        </w:r>
        <w:r w:rsidR="007C6F59">
          <w:rPr>
            <w:noProof/>
            <w:webHidden/>
          </w:rPr>
          <w:tab/>
        </w:r>
        <w:r w:rsidR="007C6F59">
          <w:rPr>
            <w:noProof/>
            <w:webHidden/>
          </w:rPr>
          <w:fldChar w:fldCharType="begin"/>
        </w:r>
        <w:r w:rsidR="007C6F59">
          <w:rPr>
            <w:noProof/>
            <w:webHidden/>
          </w:rPr>
          <w:instrText xml:space="preserve"> PAGEREF _Toc101274396 \h </w:instrText>
        </w:r>
        <w:r w:rsidR="007C6F59">
          <w:rPr>
            <w:noProof/>
            <w:webHidden/>
          </w:rPr>
        </w:r>
        <w:r w:rsidR="007C6F59">
          <w:rPr>
            <w:noProof/>
            <w:webHidden/>
          </w:rPr>
          <w:fldChar w:fldCharType="separate"/>
        </w:r>
        <w:r w:rsidR="00587AF0">
          <w:rPr>
            <w:noProof/>
            <w:webHidden/>
          </w:rPr>
          <w:t>99</w:t>
        </w:r>
        <w:r w:rsidR="007C6F59">
          <w:rPr>
            <w:noProof/>
            <w:webHidden/>
          </w:rPr>
          <w:fldChar w:fldCharType="end"/>
        </w:r>
      </w:hyperlink>
    </w:p>
    <w:p w14:paraId="4A734B10" w14:textId="7DAFFB7F" w:rsidR="007C6F59" w:rsidRDefault="00427B33">
      <w:pPr>
        <w:pStyle w:val="TOC2"/>
        <w:tabs>
          <w:tab w:val="left" w:pos="720"/>
          <w:tab w:val="right" w:leader="dot" w:pos="9017"/>
        </w:tabs>
        <w:rPr>
          <w:rFonts w:asciiTheme="minorHAnsi" w:eastAsiaTheme="minorEastAsia" w:hAnsiTheme="minorHAnsi" w:cstheme="minorBidi"/>
          <w:b w:val="0"/>
          <w:smallCaps w:val="0"/>
          <w:noProof/>
          <w:sz w:val="22"/>
          <w:szCs w:val="22"/>
          <w:lang w:val="sr-Latn-RS" w:eastAsia="sr-Latn-RS"/>
        </w:rPr>
      </w:pPr>
      <w:hyperlink w:anchor="_Toc101274397" w:history="1">
        <w:r w:rsidR="007C6F59" w:rsidRPr="00906C74">
          <w:rPr>
            <w:rStyle w:val="Hyperlink"/>
            <w:noProof/>
          </w:rPr>
          <w:t>9</w:t>
        </w:r>
        <w:r w:rsidR="007C6F59">
          <w:rPr>
            <w:rFonts w:asciiTheme="minorHAnsi" w:eastAsiaTheme="minorEastAsia" w:hAnsiTheme="minorHAnsi" w:cstheme="minorBidi"/>
            <w:b w:val="0"/>
            <w:smallCaps w:val="0"/>
            <w:noProof/>
            <w:sz w:val="22"/>
            <w:szCs w:val="22"/>
            <w:lang w:val="sr-Latn-RS" w:eastAsia="sr-Latn-RS"/>
          </w:rPr>
          <w:tab/>
        </w:r>
        <w:r w:rsidR="007C6F59" w:rsidRPr="00906C74">
          <w:rPr>
            <w:rStyle w:val="Hyperlink"/>
            <w:noProof/>
          </w:rPr>
          <w:t>Machine learning models</w:t>
        </w:r>
        <w:r w:rsidR="007C6F59">
          <w:rPr>
            <w:noProof/>
            <w:webHidden/>
          </w:rPr>
          <w:tab/>
        </w:r>
        <w:r w:rsidR="007C6F59">
          <w:rPr>
            <w:noProof/>
            <w:webHidden/>
          </w:rPr>
          <w:fldChar w:fldCharType="begin"/>
        </w:r>
        <w:r w:rsidR="007C6F59">
          <w:rPr>
            <w:noProof/>
            <w:webHidden/>
          </w:rPr>
          <w:instrText xml:space="preserve"> PAGEREF _Toc101274397 \h </w:instrText>
        </w:r>
        <w:r w:rsidR="007C6F59">
          <w:rPr>
            <w:noProof/>
            <w:webHidden/>
          </w:rPr>
        </w:r>
        <w:r w:rsidR="007C6F59">
          <w:rPr>
            <w:noProof/>
            <w:webHidden/>
          </w:rPr>
          <w:fldChar w:fldCharType="separate"/>
        </w:r>
        <w:r w:rsidR="00587AF0">
          <w:rPr>
            <w:noProof/>
            <w:webHidden/>
          </w:rPr>
          <w:t>100</w:t>
        </w:r>
        <w:r w:rsidR="007C6F59">
          <w:rPr>
            <w:noProof/>
            <w:webHidden/>
          </w:rPr>
          <w:fldChar w:fldCharType="end"/>
        </w:r>
      </w:hyperlink>
    </w:p>
    <w:p w14:paraId="44138984" w14:textId="16B87E52"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398" w:history="1">
        <w:r w:rsidR="007C6F59" w:rsidRPr="00906C74">
          <w:rPr>
            <w:rStyle w:val="Hyperlink"/>
            <w:noProof/>
          </w:rPr>
          <w:t>9.1</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rPr>
          <w:t>Naive Bayes Classifier for hydraulic power data</w:t>
        </w:r>
        <w:r w:rsidR="007C6F59">
          <w:rPr>
            <w:noProof/>
            <w:webHidden/>
          </w:rPr>
          <w:tab/>
        </w:r>
        <w:r w:rsidR="007C6F59">
          <w:rPr>
            <w:noProof/>
            <w:webHidden/>
          </w:rPr>
          <w:fldChar w:fldCharType="begin"/>
        </w:r>
        <w:r w:rsidR="007C6F59">
          <w:rPr>
            <w:noProof/>
            <w:webHidden/>
          </w:rPr>
          <w:instrText xml:space="preserve"> PAGEREF _Toc101274398 \h </w:instrText>
        </w:r>
        <w:r w:rsidR="007C6F59">
          <w:rPr>
            <w:noProof/>
            <w:webHidden/>
          </w:rPr>
        </w:r>
        <w:r w:rsidR="007C6F59">
          <w:rPr>
            <w:noProof/>
            <w:webHidden/>
          </w:rPr>
          <w:fldChar w:fldCharType="separate"/>
        </w:r>
        <w:r w:rsidR="00587AF0">
          <w:rPr>
            <w:noProof/>
            <w:webHidden/>
          </w:rPr>
          <w:t>100</w:t>
        </w:r>
        <w:r w:rsidR="007C6F59">
          <w:rPr>
            <w:noProof/>
            <w:webHidden/>
          </w:rPr>
          <w:fldChar w:fldCharType="end"/>
        </w:r>
      </w:hyperlink>
    </w:p>
    <w:p w14:paraId="3C8F6B97" w14:textId="360CFFB6"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399" w:history="1">
        <w:r w:rsidR="007C6F59" w:rsidRPr="00906C74">
          <w:rPr>
            <w:rStyle w:val="Hyperlink"/>
            <w:noProof/>
            <w:lang w:val="en-GB"/>
            <w14:scene3d>
              <w14:camera w14:prst="orthographicFront"/>
              <w14:lightRig w14:rig="threePt" w14:dir="t">
                <w14:rot w14:lat="0" w14:lon="0" w14:rev="0"/>
              </w14:lightRig>
            </w14:scene3d>
          </w:rPr>
          <w:t>9.1.1</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lang w:val="en-GB"/>
          </w:rPr>
          <w:t>Gaussian Naïve Bayes Classifier for numeric hypower data</w:t>
        </w:r>
        <w:r w:rsidR="007C6F59">
          <w:rPr>
            <w:noProof/>
            <w:webHidden/>
          </w:rPr>
          <w:tab/>
        </w:r>
        <w:r w:rsidR="007C6F59">
          <w:rPr>
            <w:noProof/>
            <w:webHidden/>
          </w:rPr>
          <w:fldChar w:fldCharType="begin"/>
        </w:r>
        <w:r w:rsidR="007C6F59">
          <w:rPr>
            <w:noProof/>
            <w:webHidden/>
          </w:rPr>
          <w:instrText xml:space="preserve"> PAGEREF _Toc101274399 \h </w:instrText>
        </w:r>
        <w:r w:rsidR="007C6F59">
          <w:rPr>
            <w:noProof/>
            <w:webHidden/>
          </w:rPr>
        </w:r>
        <w:r w:rsidR="007C6F59">
          <w:rPr>
            <w:noProof/>
            <w:webHidden/>
          </w:rPr>
          <w:fldChar w:fldCharType="separate"/>
        </w:r>
        <w:r w:rsidR="00587AF0">
          <w:rPr>
            <w:noProof/>
            <w:webHidden/>
          </w:rPr>
          <w:t>101</w:t>
        </w:r>
        <w:r w:rsidR="007C6F59">
          <w:rPr>
            <w:noProof/>
            <w:webHidden/>
          </w:rPr>
          <w:fldChar w:fldCharType="end"/>
        </w:r>
      </w:hyperlink>
    </w:p>
    <w:p w14:paraId="651F4324" w14:textId="3848D1FE"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400" w:history="1">
        <w:r w:rsidR="007C6F59" w:rsidRPr="00906C74">
          <w:rPr>
            <w:rStyle w:val="Hyperlink"/>
            <w:noProof/>
            <w:lang w:val="en-GB"/>
            <w14:scene3d>
              <w14:camera w14:prst="orthographicFront"/>
              <w14:lightRig w14:rig="threePt" w14:dir="t">
                <w14:rot w14:lat="0" w14:lon="0" w14:rev="0"/>
              </w14:lightRig>
            </w14:scene3d>
          </w:rPr>
          <w:t>9.1.2</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lang w:val="en-GB"/>
          </w:rPr>
          <w:t>Gaussian Naïve Bayes algorithm for opening saddle position</w:t>
        </w:r>
        <w:r w:rsidR="007C6F59">
          <w:rPr>
            <w:noProof/>
            <w:webHidden/>
          </w:rPr>
          <w:tab/>
        </w:r>
        <w:r w:rsidR="007C6F59">
          <w:rPr>
            <w:noProof/>
            <w:webHidden/>
          </w:rPr>
          <w:fldChar w:fldCharType="begin"/>
        </w:r>
        <w:r w:rsidR="007C6F59">
          <w:rPr>
            <w:noProof/>
            <w:webHidden/>
          </w:rPr>
          <w:instrText xml:space="preserve"> PAGEREF _Toc101274400 \h </w:instrText>
        </w:r>
        <w:r w:rsidR="007C6F59">
          <w:rPr>
            <w:noProof/>
            <w:webHidden/>
          </w:rPr>
        </w:r>
        <w:r w:rsidR="007C6F59">
          <w:rPr>
            <w:noProof/>
            <w:webHidden/>
          </w:rPr>
          <w:fldChar w:fldCharType="separate"/>
        </w:r>
        <w:r w:rsidR="00587AF0">
          <w:rPr>
            <w:noProof/>
            <w:webHidden/>
          </w:rPr>
          <w:t>103</w:t>
        </w:r>
        <w:r w:rsidR="007C6F59">
          <w:rPr>
            <w:noProof/>
            <w:webHidden/>
          </w:rPr>
          <w:fldChar w:fldCharType="end"/>
        </w:r>
      </w:hyperlink>
    </w:p>
    <w:p w14:paraId="7B5F9A42" w14:textId="6E85DC8A"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401" w:history="1">
        <w:r w:rsidR="007C6F59" w:rsidRPr="00906C74">
          <w:rPr>
            <w:rStyle w:val="Hyperlink"/>
            <w:noProof/>
          </w:rPr>
          <w:t>9.2</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rPr>
          <w:t>Artificial Neural Network Classification model</w:t>
        </w:r>
        <w:r w:rsidR="007C6F59">
          <w:rPr>
            <w:noProof/>
            <w:webHidden/>
          </w:rPr>
          <w:tab/>
        </w:r>
        <w:r w:rsidR="007C6F59">
          <w:rPr>
            <w:noProof/>
            <w:webHidden/>
          </w:rPr>
          <w:fldChar w:fldCharType="begin"/>
        </w:r>
        <w:r w:rsidR="007C6F59">
          <w:rPr>
            <w:noProof/>
            <w:webHidden/>
          </w:rPr>
          <w:instrText xml:space="preserve"> PAGEREF _Toc101274401 \h </w:instrText>
        </w:r>
        <w:r w:rsidR="007C6F59">
          <w:rPr>
            <w:noProof/>
            <w:webHidden/>
          </w:rPr>
        </w:r>
        <w:r w:rsidR="007C6F59">
          <w:rPr>
            <w:noProof/>
            <w:webHidden/>
          </w:rPr>
          <w:fldChar w:fldCharType="separate"/>
        </w:r>
        <w:r w:rsidR="00587AF0">
          <w:rPr>
            <w:noProof/>
            <w:webHidden/>
          </w:rPr>
          <w:t>107</w:t>
        </w:r>
        <w:r w:rsidR="007C6F59">
          <w:rPr>
            <w:noProof/>
            <w:webHidden/>
          </w:rPr>
          <w:fldChar w:fldCharType="end"/>
        </w:r>
      </w:hyperlink>
    </w:p>
    <w:p w14:paraId="1DADE28B" w14:textId="337C14C1"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402" w:history="1">
        <w:r w:rsidR="007C6F59" w:rsidRPr="00906C74">
          <w:rPr>
            <w:rStyle w:val="Hyperlink"/>
            <w:noProof/>
            <w14:scene3d>
              <w14:camera w14:prst="orthographicFront"/>
              <w14:lightRig w14:rig="threePt" w14:dir="t">
                <w14:rot w14:lat="0" w14:lon="0" w14:rev="0"/>
              </w14:lightRig>
            </w14:scene3d>
          </w:rPr>
          <w:t>9.2.1</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Artificial neural network for opening saddle position</w:t>
        </w:r>
        <w:r w:rsidR="007C6F59">
          <w:rPr>
            <w:noProof/>
            <w:webHidden/>
          </w:rPr>
          <w:tab/>
        </w:r>
        <w:r w:rsidR="007C6F59">
          <w:rPr>
            <w:noProof/>
            <w:webHidden/>
          </w:rPr>
          <w:fldChar w:fldCharType="begin"/>
        </w:r>
        <w:r w:rsidR="007C6F59">
          <w:rPr>
            <w:noProof/>
            <w:webHidden/>
          </w:rPr>
          <w:instrText xml:space="preserve"> PAGEREF _Toc101274402 \h </w:instrText>
        </w:r>
        <w:r w:rsidR="007C6F59">
          <w:rPr>
            <w:noProof/>
            <w:webHidden/>
          </w:rPr>
        </w:r>
        <w:r w:rsidR="007C6F59">
          <w:rPr>
            <w:noProof/>
            <w:webHidden/>
          </w:rPr>
          <w:fldChar w:fldCharType="separate"/>
        </w:r>
        <w:r w:rsidR="00587AF0">
          <w:rPr>
            <w:noProof/>
            <w:webHidden/>
          </w:rPr>
          <w:t>108</w:t>
        </w:r>
        <w:r w:rsidR="007C6F59">
          <w:rPr>
            <w:noProof/>
            <w:webHidden/>
          </w:rPr>
          <w:fldChar w:fldCharType="end"/>
        </w:r>
      </w:hyperlink>
    </w:p>
    <w:p w14:paraId="32D8BF0C" w14:textId="1CD1E996"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403" w:history="1">
        <w:r w:rsidR="007C6F59" w:rsidRPr="00906C74">
          <w:rPr>
            <w:rStyle w:val="Hyperlink"/>
            <w:noProof/>
            <w14:scene3d>
              <w14:camera w14:prst="orthographicFront"/>
              <w14:lightRig w14:rig="threePt" w14:dir="t">
                <w14:rot w14:lat="0" w14:lon="0" w14:rev="0"/>
              </w14:lightRig>
            </w14:scene3d>
          </w:rPr>
          <w:t>9.2.2</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Artificial Neural Network for idle saddle position</w:t>
        </w:r>
        <w:r w:rsidR="007C6F59">
          <w:rPr>
            <w:noProof/>
            <w:webHidden/>
          </w:rPr>
          <w:tab/>
        </w:r>
        <w:r w:rsidR="007C6F59">
          <w:rPr>
            <w:noProof/>
            <w:webHidden/>
          </w:rPr>
          <w:fldChar w:fldCharType="begin"/>
        </w:r>
        <w:r w:rsidR="007C6F59">
          <w:rPr>
            <w:noProof/>
            <w:webHidden/>
          </w:rPr>
          <w:instrText xml:space="preserve"> PAGEREF _Toc101274403 \h </w:instrText>
        </w:r>
        <w:r w:rsidR="007C6F59">
          <w:rPr>
            <w:noProof/>
            <w:webHidden/>
          </w:rPr>
        </w:r>
        <w:r w:rsidR="007C6F59">
          <w:rPr>
            <w:noProof/>
            <w:webHidden/>
          </w:rPr>
          <w:fldChar w:fldCharType="separate"/>
        </w:r>
        <w:r w:rsidR="00587AF0">
          <w:rPr>
            <w:noProof/>
            <w:webHidden/>
          </w:rPr>
          <w:t>112</w:t>
        </w:r>
        <w:r w:rsidR="007C6F59">
          <w:rPr>
            <w:noProof/>
            <w:webHidden/>
          </w:rPr>
          <w:fldChar w:fldCharType="end"/>
        </w:r>
      </w:hyperlink>
    </w:p>
    <w:p w14:paraId="4025ECF3" w14:textId="231A07A2"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404" w:history="1">
        <w:r w:rsidR="007C6F59" w:rsidRPr="00906C74">
          <w:rPr>
            <w:rStyle w:val="Hyperlink"/>
            <w:noProof/>
            <w14:scene3d>
              <w14:camera w14:prst="orthographicFront"/>
              <w14:lightRig w14:rig="threePt" w14:dir="t">
                <w14:rot w14:lat="0" w14:lon="0" w14:rev="0"/>
              </w14:lightRig>
            </w14:scene3d>
          </w:rPr>
          <w:t>9.2.3</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Artificial neural network for closing saddle position</w:t>
        </w:r>
        <w:r w:rsidR="007C6F59">
          <w:rPr>
            <w:noProof/>
            <w:webHidden/>
          </w:rPr>
          <w:tab/>
        </w:r>
        <w:r w:rsidR="007C6F59">
          <w:rPr>
            <w:noProof/>
            <w:webHidden/>
          </w:rPr>
          <w:fldChar w:fldCharType="begin"/>
        </w:r>
        <w:r w:rsidR="007C6F59">
          <w:rPr>
            <w:noProof/>
            <w:webHidden/>
          </w:rPr>
          <w:instrText xml:space="preserve"> PAGEREF _Toc101274404 \h </w:instrText>
        </w:r>
        <w:r w:rsidR="007C6F59">
          <w:rPr>
            <w:noProof/>
            <w:webHidden/>
          </w:rPr>
        </w:r>
        <w:r w:rsidR="007C6F59">
          <w:rPr>
            <w:noProof/>
            <w:webHidden/>
          </w:rPr>
          <w:fldChar w:fldCharType="separate"/>
        </w:r>
        <w:r w:rsidR="00587AF0">
          <w:rPr>
            <w:noProof/>
            <w:webHidden/>
          </w:rPr>
          <w:t>115</w:t>
        </w:r>
        <w:r w:rsidR="007C6F59">
          <w:rPr>
            <w:noProof/>
            <w:webHidden/>
          </w:rPr>
          <w:fldChar w:fldCharType="end"/>
        </w:r>
      </w:hyperlink>
    </w:p>
    <w:p w14:paraId="0A000BF5" w14:textId="79C219AF"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405" w:history="1">
        <w:r w:rsidR="007C6F59" w:rsidRPr="00906C74">
          <w:rPr>
            <w:rStyle w:val="Hyperlink"/>
            <w:noProof/>
          </w:rPr>
          <w:t>9.3</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rPr>
          <w:t>Decision tree algorithm for binary classification</w:t>
        </w:r>
        <w:r w:rsidR="007C6F59">
          <w:rPr>
            <w:noProof/>
            <w:webHidden/>
          </w:rPr>
          <w:tab/>
        </w:r>
        <w:r w:rsidR="007C6F59">
          <w:rPr>
            <w:noProof/>
            <w:webHidden/>
          </w:rPr>
          <w:fldChar w:fldCharType="begin"/>
        </w:r>
        <w:r w:rsidR="007C6F59">
          <w:rPr>
            <w:noProof/>
            <w:webHidden/>
          </w:rPr>
          <w:instrText xml:space="preserve"> PAGEREF _Toc101274405 \h </w:instrText>
        </w:r>
        <w:r w:rsidR="007C6F59">
          <w:rPr>
            <w:noProof/>
            <w:webHidden/>
          </w:rPr>
        </w:r>
        <w:r w:rsidR="007C6F59">
          <w:rPr>
            <w:noProof/>
            <w:webHidden/>
          </w:rPr>
          <w:fldChar w:fldCharType="separate"/>
        </w:r>
        <w:r w:rsidR="00587AF0">
          <w:rPr>
            <w:noProof/>
            <w:webHidden/>
          </w:rPr>
          <w:t>118</w:t>
        </w:r>
        <w:r w:rsidR="007C6F59">
          <w:rPr>
            <w:noProof/>
            <w:webHidden/>
          </w:rPr>
          <w:fldChar w:fldCharType="end"/>
        </w:r>
      </w:hyperlink>
    </w:p>
    <w:p w14:paraId="3ED77C23" w14:textId="592249CC"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406" w:history="1">
        <w:r w:rsidR="007C6F59" w:rsidRPr="00906C74">
          <w:rPr>
            <w:rStyle w:val="Hyperlink"/>
            <w:noProof/>
            <w14:scene3d>
              <w14:camera w14:prst="orthographicFront"/>
              <w14:lightRig w14:rig="threePt" w14:dir="t">
                <w14:rot w14:lat="0" w14:lon="0" w14:rev="0"/>
              </w14:lightRig>
            </w14:scene3d>
          </w:rPr>
          <w:t>9.3.1</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Decision CART tree for opening saddle regime</w:t>
        </w:r>
        <w:r w:rsidR="007C6F59">
          <w:rPr>
            <w:noProof/>
            <w:webHidden/>
          </w:rPr>
          <w:tab/>
        </w:r>
        <w:r w:rsidR="007C6F59">
          <w:rPr>
            <w:noProof/>
            <w:webHidden/>
          </w:rPr>
          <w:fldChar w:fldCharType="begin"/>
        </w:r>
        <w:r w:rsidR="007C6F59">
          <w:rPr>
            <w:noProof/>
            <w:webHidden/>
          </w:rPr>
          <w:instrText xml:space="preserve"> PAGEREF _Toc101274406 \h </w:instrText>
        </w:r>
        <w:r w:rsidR="007C6F59">
          <w:rPr>
            <w:noProof/>
            <w:webHidden/>
          </w:rPr>
        </w:r>
        <w:r w:rsidR="007C6F59">
          <w:rPr>
            <w:noProof/>
            <w:webHidden/>
          </w:rPr>
          <w:fldChar w:fldCharType="separate"/>
        </w:r>
        <w:r w:rsidR="00587AF0">
          <w:rPr>
            <w:noProof/>
            <w:webHidden/>
          </w:rPr>
          <w:t>120</w:t>
        </w:r>
        <w:r w:rsidR="007C6F59">
          <w:rPr>
            <w:noProof/>
            <w:webHidden/>
          </w:rPr>
          <w:fldChar w:fldCharType="end"/>
        </w:r>
      </w:hyperlink>
    </w:p>
    <w:p w14:paraId="6BC22527" w14:textId="31E266D5"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407" w:history="1">
        <w:r w:rsidR="007C6F59" w:rsidRPr="00906C74">
          <w:rPr>
            <w:rStyle w:val="Hyperlink"/>
            <w:noProof/>
            <w:lang w:val="sr-Latn-RS"/>
            <w14:scene3d>
              <w14:camera w14:prst="orthographicFront"/>
              <w14:lightRig w14:rig="threePt" w14:dir="t">
                <w14:rot w14:lat="0" w14:lon="0" w14:rev="0"/>
              </w14:lightRig>
            </w14:scene3d>
          </w:rPr>
          <w:t>9.3.2</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lang w:val="sr-Latn-RS"/>
          </w:rPr>
          <w:t>Decision CART tree for idle saddle regime</w:t>
        </w:r>
        <w:r w:rsidR="007C6F59">
          <w:rPr>
            <w:noProof/>
            <w:webHidden/>
          </w:rPr>
          <w:tab/>
        </w:r>
        <w:r w:rsidR="007C6F59">
          <w:rPr>
            <w:noProof/>
            <w:webHidden/>
          </w:rPr>
          <w:fldChar w:fldCharType="begin"/>
        </w:r>
        <w:r w:rsidR="007C6F59">
          <w:rPr>
            <w:noProof/>
            <w:webHidden/>
          </w:rPr>
          <w:instrText xml:space="preserve"> PAGEREF _Toc101274407 \h </w:instrText>
        </w:r>
        <w:r w:rsidR="007C6F59">
          <w:rPr>
            <w:noProof/>
            <w:webHidden/>
          </w:rPr>
        </w:r>
        <w:r w:rsidR="007C6F59">
          <w:rPr>
            <w:noProof/>
            <w:webHidden/>
          </w:rPr>
          <w:fldChar w:fldCharType="separate"/>
        </w:r>
        <w:r w:rsidR="00587AF0">
          <w:rPr>
            <w:noProof/>
            <w:webHidden/>
          </w:rPr>
          <w:t>123</w:t>
        </w:r>
        <w:r w:rsidR="007C6F59">
          <w:rPr>
            <w:noProof/>
            <w:webHidden/>
          </w:rPr>
          <w:fldChar w:fldCharType="end"/>
        </w:r>
      </w:hyperlink>
    </w:p>
    <w:p w14:paraId="12182C3A" w14:textId="0A8FB28B"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408" w:history="1">
        <w:r w:rsidR="007C6F59" w:rsidRPr="00906C74">
          <w:rPr>
            <w:rStyle w:val="Hyperlink"/>
            <w:noProof/>
            <w:lang w:val="sr-Latn-RS"/>
            <w14:scene3d>
              <w14:camera w14:prst="orthographicFront"/>
              <w14:lightRig w14:rig="threePt" w14:dir="t">
                <w14:rot w14:lat="0" w14:lon="0" w14:rev="0"/>
              </w14:lightRig>
            </w14:scene3d>
          </w:rPr>
          <w:t>9.3.3</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lang w:val="sr-Latn-RS"/>
          </w:rPr>
          <w:t>Decision CART Tree for closing saddle regime</w:t>
        </w:r>
        <w:r w:rsidR="007C6F59">
          <w:rPr>
            <w:noProof/>
            <w:webHidden/>
          </w:rPr>
          <w:tab/>
        </w:r>
        <w:r w:rsidR="007C6F59">
          <w:rPr>
            <w:noProof/>
            <w:webHidden/>
          </w:rPr>
          <w:fldChar w:fldCharType="begin"/>
        </w:r>
        <w:r w:rsidR="007C6F59">
          <w:rPr>
            <w:noProof/>
            <w:webHidden/>
          </w:rPr>
          <w:instrText xml:space="preserve"> PAGEREF _Toc101274408 \h </w:instrText>
        </w:r>
        <w:r w:rsidR="007C6F59">
          <w:rPr>
            <w:noProof/>
            <w:webHidden/>
          </w:rPr>
        </w:r>
        <w:r w:rsidR="007C6F59">
          <w:rPr>
            <w:noProof/>
            <w:webHidden/>
          </w:rPr>
          <w:fldChar w:fldCharType="separate"/>
        </w:r>
        <w:r w:rsidR="00587AF0">
          <w:rPr>
            <w:noProof/>
            <w:webHidden/>
          </w:rPr>
          <w:t>125</w:t>
        </w:r>
        <w:r w:rsidR="007C6F59">
          <w:rPr>
            <w:noProof/>
            <w:webHidden/>
          </w:rPr>
          <w:fldChar w:fldCharType="end"/>
        </w:r>
      </w:hyperlink>
    </w:p>
    <w:p w14:paraId="446565A4" w14:textId="214D7C1F"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409" w:history="1">
        <w:r w:rsidR="007C6F59" w:rsidRPr="00906C74">
          <w:rPr>
            <w:rStyle w:val="Hyperlink"/>
            <w:noProof/>
            <w:lang w:val="sr-Latn-RS"/>
          </w:rPr>
          <w:t>9.4</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lang w:val="sr-Latn-RS"/>
          </w:rPr>
          <w:t>Logistic regression</w:t>
        </w:r>
        <w:r w:rsidR="007C6F59">
          <w:rPr>
            <w:noProof/>
            <w:webHidden/>
          </w:rPr>
          <w:tab/>
        </w:r>
        <w:r w:rsidR="007C6F59">
          <w:rPr>
            <w:noProof/>
            <w:webHidden/>
          </w:rPr>
          <w:fldChar w:fldCharType="begin"/>
        </w:r>
        <w:r w:rsidR="007C6F59">
          <w:rPr>
            <w:noProof/>
            <w:webHidden/>
          </w:rPr>
          <w:instrText xml:space="preserve"> PAGEREF _Toc101274409 \h </w:instrText>
        </w:r>
        <w:r w:rsidR="007C6F59">
          <w:rPr>
            <w:noProof/>
            <w:webHidden/>
          </w:rPr>
        </w:r>
        <w:r w:rsidR="007C6F59">
          <w:rPr>
            <w:noProof/>
            <w:webHidden/>
          </w:rPr>
          <w:fldChar w:fldCharType="separate"/>
        </w:r>
        <w:r w:rsidR="00587AF0">
          <w:rPr>
            <w:noProof/>
            <w:webHidden/>
          </w:rPr>
          <w:t>127</w:t>
        </w:r>
        <w:r w:rsidR="007C6F59">
          <w:rPr>
            <w:noProof/>
            <w:webHidden/>
          </w:rPr>
          <w:fldChar w:fldCharType="end"/>
        </w:r>
      </w:hyperlink>
    </w:p>
    <w:p w14:paraId="00F923BE" w14:textId="630ACB45"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410" w:history="1">
        <w:r w:rsidR="007C6F59" w:rsidRPr="00906C74">
          <w:rPr>
            <w:rStyle w:val="Hyperlink"/>
            <w:noProof/>
            <w:lang w:val="sr-Latn-RS"/>
            <w14:scene3d>
              <w14:camera w14:prst="orthographicFront"/>
              <w14:lightRig w14:rig="threePt" w14:dir="t">
                <w14:rot w14:lat="0" w14:lon="0" w14:rev="0"/>
              </w14:lightRig>
            </w14:scene3d>
          </w:rPr>
          <w:t>9.4.1</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lang w:val="sr-Latn-RS"/>
          </w:rPr>
          <w:t>Logistic regression for opening saddle position</w:t>
        </w:r>
        <w:r w:rsidR="007C6F59">
          <w:rPr>
            <w:noProof/>
            <w:webHidden/>
          </w:rPr>
          <w:tab/>
        </w:r>
        <w:r w:rsidR="007C6F59">
          <w:rPr>
            <w:noProof/>
            <w:webHidden/>
          </w:rPr>
          <w:fldChar w:fldCharType="begin"/>
        </w:r>
        <w:r w:rsidR="007C6F59">
          <w:rPr>
            <w:noProof/>
            <w:webHidden/>
          </w:rPr>
          <w:instrText xml:space="preserve"> PAGEREF _Toc101274410 \h </w:instrText>
        </w:r>
        <w:r w:rsidR="007C6F59">
          <w:rPr>
            <w:noProof/>
            <w:webHidden/>
          </w:rPr>
        </w:r>
        <w:r w:rsidR="007C6F59">
          <w:rPr>
            <w:noProof/>
            <w:webHidden/>
          </w:rPr>
          <w:fldChar w:fldCharType="separate"/>
        </w:r>
        <w:r w:rsidR="00587AF0">
          <w:rPr>
            <w:noProof/>
            <w:webHidden/>
          </w:rPr>
          <w:t>128</w:t>
        </w:r>
        <w:r w:rsidR="007C6F59">
          <w:rPr>
            <w:noProof/>
            <w:webHidden/>
          </w:rPr>
          <w:fldChar w:fldCharType="end"/>
        </w:r>
      </w:hyperlink>
    </w:p>
    <w:p w14:paraId="70DCD75C" w14:textId="14E07FC6"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411" w:history="1">
        <w:r w:rsidR="007C6F59" w:rsidRPr="00906C74">
          <w:rPr>
            <w:rStyle w:val="Hyperlink"/>
            <w:noProof/>
            <w14:scene3d>
              <w14:camera w14:prst="orthographicFront"/>
              <w14:lightRig w14:rig="threePt" w14:dir="t">
                <w14:rot w14:lat="0" w14:lon="0" w14:rev="0"/>
              </w14:lightRig>
            </w14:scene3d>
          </w:rPr>
          <w:t>9.4.2</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Logistic regression for idle saddle position</w:t>
        </w:r>
        <w:r w:rsidR="007C6F59">
          <w:rPr>
            <w:noProof/>
            <w:webHidden/>
          </w:rPr>
          <w:tab/>
        </w:r>
        <w:r w:rsidR="007C6F59">
          <w:rPr>
            <w:noProof/>
            <w:webHidden/>
          </w:rPr>
          <w:fldChar w:fldCharType="begin"/>
        </w:r>
        <w:r w:rsidR="007C6F59">
          <w:rPr>
            <w:noProof/>
            <w:webHidden/>
          </w:rPr>
          <w:instrText xml:space="preserve"> PAGEREF _Toc101274411 \h </w:instrText>
        </w:r>
        <w:r w:rsidR="007C6F59">
          <w:rPr>
            <w:noProof/>
            <w:webHidden/>
          </w:rPr>
        </w:r>
        <w:r w:rsidR="007C6F59">
          <w:rPr>
            <w:noProof/>
            <w:webHidden/>
          </w:rPr>
          <w:fldChar w:fldCharType="separate"/>
        </w:r>
        <w:r w:rsidR="00587AF0">
          <w:rPr>
            <w:noProof/>
            <w:webHidden/>
          </w:rPr>
          <w:t>130</w:t>
        </w:r>
        <w:r w:rsidR="007C6F59">
          <w:rPr>
            <w:noProof/>
            <w:webHidden/>
          </w:rPr>
          <w:fldChar w:fldCharType="end"/>
        </w:r>
      </w:hyperlink>
    </w:p>
    <w:p w14:paraId="633ECC1F" w14:textId="28B56988"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412" w:history="1">
        <w:r w:rsidR="007C6F59" w:rsidRPr="00906C74">
          <w:rPr>
            <w:rStyle w:val="Hyperlink"/>
            <w:noProof/>
            <w14:scene3d>
              <w14:camera w14:prst="orthographicFront"/>
              <w14:lightRig w14:rig="threePt" w14:dir="t">
                <w14:rot w14:lat="0" w14:lon="0" w14:rev="0"/>
              </w14:lightRig>
            </w14:scene3d>
          </w:rPr>
          <w:t>9.4.3</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Logistic regression for closing saddle position</w:t>
        </w:r>
        <w:r w:rsidR="007C6F59">
          <w:rPr>
            <w:noProof/>
            <w:webHidden/>
          </w:rPr>
          <w:tab/>
        </w:r>
        <w:r w:rsidR="007C6F59">
          <w:rPr>
            <w:noProof/>
            <w:webHidden/>
          </w:rPr>
          <w:fldChar w:fldCharType="begin"/>
        </w:r>
        <w:r w:rsidR="007C6F59">
          <w:rPr>
            <w:noProof/>
            <w:webHidden/>
          </w:rPr>
          <w:instrText xml:space="preserve"> PAGEREF _Toc101274412 \h </w:instrText>
        </w:r>
        <w:r w:rsidR="007C6F59">
          <w:rPr>
            <w:noProof/>
            <w:webHidden/>
          </w:rPr>
        </w:r>
        <w:r w:rsidR="007C6F59">
          <w:rPr>
            <w:noProof/>
            <w:webHidden/>
          </w:rPr>
          <w:fldChar w:fldCharType="separate"/>
        </w:r>
        <w:r w:rsidR="00587AF0">
          <w:rPr>
            <w:noProof/>
            <w:webHidden/>
          </w:rPr>
          <w:t>132</w:t>
        </w:r>
        <w:r w:rsidR="007C6F59">
          <w:rPr>
            <w:noProof/>
            <w:webHidden/>
          </w:rPr>
          <w:fldChar w:fldCharType="end"/>
        </w:r>
      </w:hyperlink>
    </w:p>
    <w:p w14:paraId="7B29B59F" w14:textId="1BC8FD25"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413" w:history="1">
        <w:r w:rsidR="007C6F59" w:rsidRPr="00906C74">
          <w:rPr>
            <w:rStyle w:val="Hyperlink"/>
            <w:noProof/>
            <w:lang w:val="sr-Latn-RS"/>
          </w:rPr>
          <w:t>9.5</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lang w:val="sr-Latn-RS"/>
          </w:rPr>
          <w:t>kNN classification algorithm</w:t>
        </w:r>
        <w:r w:rsidR="007C6F59">
          <w:rPr>
            <w:noProof/>
            <w:webHidden/>
          </w:rPr>
          <w:tab/>
        </w:r>
        <w:r w:rsidR="007C6F59">
          <w:rPr>
            <w:noProof/>
            <w:webHidden/>
          </w:rPr>
          <w:fldChar w:fldCharType="begin"/>
        </w:r>
        <w:r w:rsidR="007C6F59">
          <w:rPr>
            <w:noProof/>
            <w:webHidden/>
          </w:rPr>
          <w:instrText xml:space="preserve"> PAGEREF _Toc101274413 \h </w:instrText>
        </w:r>
        <w:r w:rsidR="007C6F59">
          <w:rPr>
            <w:noProof/>
            <w:webHidden/>
          </w:rPr>
        </w:r>
        <w:r w:rsidR="007C6F59">
          <w:rPr>
            <w:noProof/>
            <w:webHidden/>
          </w:rPr>
          <w:fldChar w:fldCharType="separate"/>
        </w:r>
        <w:r w:rsidR="00587AF0">
          <w:rPr>
            <w:noProof/>
            <w:webHidden/>
          </w:rPr>
          <w:t>134</w:t>
        </w:r>
        <w:r w:rsidR="007C6F59">
          <w:rPr>
            <w:noProof/>
            <w:webHidden/>
          </w:rPr>
          <w:fldChar w:fldCharType="end"/>
        </w:r>
      </w:hyperlink>
    </w:p>
    <w:p w14:paraId="0A299857" w14:textId="205968FB"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414" w:history="1">
        <w:r w:rsidR="007C6F59" w:rsidRPr="00906C74">
          <w:rPr>
            <w:rStyle w:val="Hyperlink"/>
            <w:noProof/>
            <w:lang w:val="sr-Latn-RS"/>
            <w14:scene3d>
              <w14:camera w14:prst="orthographicFront"/>
              <w14:lightRig w14:rig="threePt" w14:dir="t">
                <w14:rot w14:lat="0" w14:lon="0" w14:rev="0"/>
              </w14:lightRig>
            </w14:scene3d>
          </w:rPr>
          <w:t>9.5.1</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lang w:val="sr-Latn-RS"/>
          </w:rPr>
          <w:t>k-NN classification algorithm for opening saddle position</w:t>
        </w:r>
        <w:r w:rsidR="007C6F59">
          <w:rPr>
            <w:noProof/>
            <w:webHidden/>
          </w:rPr>
          <w:tab/>
        </w:r>
        <w:r w:rsidR="007C6F59">
          <w:rPr>
            <w:noProof/>
            <w:webHidden/>
          </w:rPr>
          <w:fldChar w:fldCharType="begin"/>
        </w:r>
        <w:r w:rsidR="007C6F59">
          <w:rPr>
            <w:noProof/>
            <w:webHidden/>
          </w:rPr>
          <w:instrText xml:space="preserve"> PAGEREF _Toc101274414 \h </w:instrText>
        </w:r>
        <w:r w:rsidR="007C6F59">
          <w:rPr>
            <w:noProof/>
            <w:webHidden/>
          </w:rPr>
        </w:r>
        <w:r w:rsidR="007C6F59">
          <w:rPr>
            <w:noProof/>
            <w:webHidden/>
          </w:rPr>
          <w:fldChar w:fldCharType="separate"/>
        </w:r>
        <w:r w:rsidR="00587AF0">
          <w:rPr>
            <w:noProof/>
            <w:webHidden/>
          </w:rPr>
          <w:t>135</w:t>
        </w:r>
        <w:r w:rsidR="007C6F59">
          <w:rPr>
            <w:noProof/>
            <w:webHidden/>
          </w:rPr>
          <w:fldChar w:fldCharType="end"/>
        </w:r>
      </w:hyperlink>
    </w:p>
    <w:p w14:paraId="78C5F394" w14:textId="7586EEB5"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415" w:history="1">
        <w:r w:rsidR="007C6F59" w:rsidRPr="00906C74">
          <w:rPr>
            <w:rStyle w:val="Hyperlink"/>
            <w:noProof/>
            <w:lang w:val="sr-Latn-RS"/>
            <w14:scene3d>
              <w14:camera w14:prst="orthographicFront"/>
              <w14:lightRig w14:rig="threePt" w14:dir="t">
                <w14:rot w14:lat="0" w14:lon="0" w14:rev="0"/>
              </w14:lightRig>
            </w14:scene3d>
          </w:rPr>
          <w:t>9.5.2</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lang w:val="sr-Latn-RS"/>
          </w:rPr>
          <w:t>k-NN classification algorithm for idle saddle position</w:t>
        </w:r>
        <w:r w:rsidR="007C6F59">
          <w:rPr>
            <w:noProof/>
            <w:webHidden/>
          </w:rPr>
          <w:tab/>
        </w:r>
        <w:r w:rsidR="007C6F59">
          <w:rPr>
            <w:noProof/>
            <w:webHidden/>
          </w:rPr>
          <w:fldChar w:fldCharType="begin"/>
        </w:r>
        <w:r w:rsidR="007C6F59">
          <w:rPr>
            <w:noProof/>
            <w:webHidden/>
          </w:rPr>
          <w:instrText xml:space="preserve"> PAGEREF _Toc101274415 \h </w:instrText>
        </w:r>
        <w:r w:rsidR="007C6F59">
          <w:rPr>
            <w:noProof/>
            <w:webHidden/>
          </w:rPr>
        </w:r>
        <w:r w:rsidR="007C6F59">
          <w:rPr>
            <w:noProof/>
            <w:webHidden/>
          </w:rPr>
          <w:fldChar w:fldCharType="separate"/>
        </w:r>
        <w:r w:rsidR="00587AF0">
          <w:rPr>
            <w:noProof/>
            <w:webHidden/>
          </w:rPr>
          <w:t>136</w:t>
        </w:r>
        <w:r w:rsidR="007C6F59">
          <w:rPr>
            <w:noProof/>
            <w:webHidden/>
          </w:rPr>
          <w:fldChar w:fldCharType="end"/>
        </w:r>
      </w:hyperlink>
    </w:p>
    <w:p w14:paraId="5D1E7AE3" w14:textId="64648568" w:rsidR="007C6F59" w:rsidRDefault="00427B33">
      <w:pPr>
        <w:pStyle w:val="TOC4"/>
        <w:tabs>
          <w:tab w:val="left" w:pos="1440"/>
          <w:tab w:val="right" w:leader="dot" w:pos="9017"/>
        </w:tabs>
        <w:rPr>
          <w:rFonts w:asciiTheme="minorHAnsi" w:eastAsiaTheme="minorEastAsia" w:hAnsiTheme="minorHAnsi" w:cstheme="minorBidi"/>
          <w:noProof/>
          <w:sz w:val="22"/>
          <w:szCs w:val="22"/>
          <w:lang w:val="sr-Latn-RS" w:eastAsia="sr-Latn-RS"/>
        </w:rPr>
      </w:pPr>
      <w:hyperlink w:anchor="_Toc101274416" w:history="1">
        <w:r w:rsidR="007C6F59" w:rsidRPr="00906C74">
          <w:rPr>
            <w:rStyle w:val="Hyperlink"/>
            <w:noProof/>
            <w:lang w:val="sr-Latn-RS"/>
            <w14:scene3d>
              <w14:camera w14:prst="orthographicFront"/>
              <w14:lightRig w14:rig="threePt" w14:dir="t">
                <w14:rot w14:lat="0" w14:lon="0" w14:rev="0"/>
              </w14:lightRig>
            </w14:scene3d>
          </w:rPr>
          <w:t>9.5.3</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lang w:val="sr-Latn-RS"/>
          </w:rPr>
          <w:t>k-NN classification algorithm for closing saddle position</w:t>
        </w:r>
        <w:r w:rsidR="007C6F59">
          <w:rPr>
            <w:noProof/>
            <w:webHidden/>
          </w:rPr>
          <w:tab/>
        </w:r>
        <w:r w:rsidR="007C6F59">
          <w:rPr>
            <w:noProof/>
            <w:webHidden/>
          </w:rPr>
          <w:fldChar w:fldCharType="begin"/>
        </w:r>
        <w:r w:rsidR="007C6F59">
          <w:rPr>
            <w:noProof/>
            <w:webHidden/>
          </w:rPr>
          <w:instrText xml:space="preserve"> PAGEREF _Toc101274416 \h </w:instrText>
        </w:r>
        <w:r w:rsidR="007C6F59">
          <w:rPr>
            <w:noProof/>
            <w:webHidden/>
          </w:rPr>
        </w:r>
        <w:r w:rsidR="007C6F59">
          <w:rPr>
            <w:noProof/>
            <w:webHidden/>
          </w:rPr>
          <w:fldChar w:fldCharType="separate"/>
        </w:r>
        <w:r w:rsidR="00587AF0">
          <w:rPr>
            <w:noProof/>
            <w:webHidden/>
          </w:rPr>
          <w:t>137</w:t>
        </w:r>
        <w:r w:rsidR="007C6F59">
          <w:rPr>
            <w:noProof/>
            <w:webHidden/>
          </w:rPr>
          <w:fldChar w:fldCharType="end"/>
        </w:r>
      </w:hyperlink>
    </w:p>
    <w:p w14:paraId="755D35B2" w14:textId="739CE813"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417" w:history="1">
        <w:r w:rsidR="007C6F59" w:rsidRPr="00906C74">
          <w:rPr>
            <w:rStyle w:val="Hyperlink"/>
            <w:noProof/>
            <w:lang w:val="sr-Latn-RS"/>
          </w:rPr>
          <w:t>9.6</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lang w:val="sr-Latn-RS"/>
          </w:rPr>
          <w:t>Machine learning classification results and discussion</w:t>
        </w:r>
        <w:r w:rsidR="007C6F59">
          <w:rPr>
            <w:noProof/>
            <w:webHidden/>
          </w:rPr>
          <w:tab/>
        </w:r>
        <w:r w:rsidR="007C6F59">
          <w:rPr>
            <w:noProof/>
            <w:webHidden/>
          </w:rPr>
          <w:fldChar w:fldCharType="begin"/>
        </w:r>
        <w:r w:rsidR="007C6F59">
          <w:rPr>
            <w:noProof/>
            <w:webHidden/>
          </w:rPr>
          <w:instrText xml:space="preserve"> PAGEREF _Toc101274417 \h </w:instrText>
        </w:r>
        <w:r w:rsidR="007C6F59">
          <w:rPr>
            <w:noProof/>
            <w:webHidden/>
          </w:rPr>
        </w:r>
        <w:r w:rsidR="007C6F59">
          <w:rPr>
            <w:noProof/>
            <w:webHidden/>
          </w:rPr>
          <w:fldChar w:fldCharType="separate"/>
        </w:r>
        <w:r w:rsidR="00587AF0">
          <w:rPr>
            <w:noProof/>
            <w:webHidden/>
          </w:rPr>
          <w:t>138</w:t>
        </w:r>
        <w:r w:rsidR="007C6F59">
          <w:rPr>
            <w:noProof/>
            <w:webHidden/>
          </w:rPr>
          <w:fldChar w:fldCharType="end"/>
        </w:r>
      </w:hyperlink>
    </w:p>
    <w:p w14:paraId="13E1E8B3" w14:textId="7D3E34AD" w:rsidR="007C6F59" w:rsidRDefault="00427B33">
      <w:pPr>
        <w:pStyle w:val="TOC2"/>
        <w:tabs>
          <w:tab w:val="left" w:pos="720"/>
          <w:tab w:val="right" w:leader="dot" w:pos="9017"/>
        </w:tabs>
        <w:rPr>
          <w:rFonts w:asciiTheme="minorHAnsi" w:eastAsiaTheme="minorEastAsia" w:hAnsiTheme="minorHAnsi" w:cstheme="minorBidi"/>
          <w:b w:val="0"/>
          <w:smallCaps w:val="0"/>
          <w:noProof/>
          <w:sz w:val="22"/>
          <w:szCs w:val="22"/>
          <w:lang w:val="sr-Latn-RS" w:eastAsia="sr-Latn-RS"/>
        </w:rPr>
      </w:pPr>
      <w:hyperlink w:anchor="_Toc101274418" w:history="1">
        <w:r w:rsidR="007C6F59" w:rsidRPr="00906C74">
          <w:rPr>
            <w:rStyle w:val="Hyperlink"/>
            <w:noProof/>
          </w:rPr>
          <w:t>10</w:t>
        </w:r>
        <w:r w:rsidR="007C6F59">
          <w:rPr>
            <w:rFonts w:asciiTheme="minorHAnsi" w:eastAsiaTheme="minorEastAsia" w:hAnsiTheme="minorHAnsi" w:cstheme="minorBidi"/>
            <w:b w:val="0"/>
            <w:smallCaps w:val="0"/>
            <w:noProof/>
            <w:sz w:val="22"/>
            <w:szCs w:val="22"/>
            <w:lang w:val="sr-Latn-RS" w:eastAsia="sr-Latn-RS"/>
          </w:rPr>
          <w:tab/>
        </w:r>
        <w:r w:rsidR="007C6F59" w:rsidRPr="00906C74">
          <w:rPr>
            <w:rStyle w:val="Hyperlink"/>
            <w:noProof/>
          </w:rPr>
          <w:t>Reliability Analysis</w:t>
        </w:r>
        <w:r w:rsidR="007C6F59">
          <w:rPr>
            <w:noProof/>
            <w:webHidden/>
          </w:rPr>
          <w:tab/>
        </w:r>
        <w:r w:rsidR="007C6F59">
          <w:rPr>
            <w:noProof/>
            <w:webHidden/>
          </w:rPr>
          <w:fldChar w:fldCharType="begin"/>
        </w:r>
        <w:r w:rsidR="007C6F59">
          <w:rPr>
            <w:noProof/>
            <w:webHidden/>
          </w:rPr>
          <w:instrText xml:space="preserve"> PAGEREF _Toc101274418 \h </w:instrText>
        </w:r>
        <w:r w:rsidR="007C6F59">
          <w:rPr>
            <w:noProof/>
            <w:webHidden/>
          </w:rPr>
        </w:r>
        <w:r w:rsidR="007C6F59">
          <w:rPr>
            <w:noProof/>
            <w:webHidden/>
          </w:rPr>
          <w:fldChar w:fldCharType="separate"/>
        </w:r>
        <w:r w:rsidR="00587AF0">
          <w:rPr>
            <w:noProof/>
            <w:webHidden/>
          </w:rPr>
          <w:t>141</w:t>
        </w:r>
        <w:r w:rsidR="007C6F59">
          <w:rPr>
            <w:noProof/>
            <w:webHidden/>
          </w:rPr>
          <w:fldChar w:fldCharType="end"/>
        </w:r>
      </w:hyperlink>
    </w:p>
    <w:p w14:paraId="5CA8D864" w14:textId="4CDB1A0F"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419" w:history="1">
        <w:r w:rsidR="007C6F59" w:rsidRPr="00906C74">
          <w:rPr>
            <w:rStyle w:val="Hyperlink"/>
            <w:noProof/>
          </w:rPr>
          <w:t>10.1</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rPr>
          <w:t>Reliability growth of rubber mixing machine</w:t>
        </w:r>
        <w:r w:rsidR="007C6F59">
          <w:rPr>
            <w:noProof/>
            <w:webHidden/>
          </w:rPr>
          <w:tab/>
        </w:r>
        <w:r w:rsidR="007C6F59">
          <w:rPr>
            <w:noProof/>
            <w:webHidden/>
          </w:rPr>
          <w:fldChar w:fldCharType="begin"/>
        </w:r>
        <w:r w:rsidR="007C6F59">
          <w:rPr>
            <w:noProof/>
            <w:webHidden/>
          </w:rPr>
          <w:instrText xml:space="preserve"> PAGEREF _Toc101274419 \h </w:instrText>
        </w:r>
        <w:r w:rsidR="007C6F59">
          <w:rPr>
            <w:noProof/>
            <w:webHidden/>
          </w:rPr>
        </w:r>
        <w:r w:rsidR="007C6F59">
          <w:rPr>
            <w:noProof/>
            <w:webHidden/>
          </w:rPr>
          <w:fldChar w:fldCharType="separate"/>
        </w:r>
        <w:r w:rsidR="00587AF0">
          <w:rPr>
            <w:noProof/>
            <w:webHidden/>
          </w:rPr>
          <w:t>142</w:t>
        </w:r>
        <w:r w:rsidR="007C6F59">
          <w:rPr>
            <w:noProof/>
            <w:webHidden/>
          </w:rPr>
          <w:fldChar w:fldCharType="end"/>
        </w:r>
      </w:hyperlink>
    </w:p>
    <w:p w14:paraId="54826B77" w14:textId="2E947B45"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420" w:history="1">
        <w:r w:rsidR="007C6F59" w:rsidRPr="00906C74">
          <w:rPr>
            <w:rStyle w:val="Hyperlink"/>
            <w:noProof/>
            <w:lang w:val="sr-Latn-RS"/>
          </w:rPr>
          <w:t>10.2</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lang w:val="sr-Latn-RS"/>
          </w:rPr>
          <w:t>Trend and correlation test analysis</w:t>
        </w:r>
        <w:r w:rsidR="007C6F59">
          <w:rPr>
            <w:noProof/>
            <w:webHidden/>
          </w:rPr>
          <w:tab/>
        </w:r>
        <w:r w:rsidR="007C6F59">
          <w:rPr>
            <w:noProof/>
            <w:webHidden/>
          </w:rPr>
          <w:fldChar w:fldCharType="begin"/>
        </w:r>
        <w:r w:rsidR="007C6F59">
          <w:rPr>
            <w:noProof/>
            <w:webHidden/>
          </w:rPr>
          <w:instrText xml:space="preserve"> PAGEREF _Toc101274420 \h </w:instrText>
        </w:r>
        <w:r w:rsidR="007C6F59">
          <w:rPr>
            <w:noProof/>
            <w:webHidden/>
          </w:rPr>
        </w:r>
        <w:r w:rsidR="007C6F59">
          <w:rPr>
            <w:noProof/>
            <w:webHidden/>
          </w:rPr>
          <w:fldChar w:fldCharType="separate"/>
        </w:r>
        <w:r w:rsidR="00587AF0">
          <w:rPr>
            <w:noProof/>
            <w:webHidden/>
          </w:rPr>
          <w:t>144</w:t>
        </w:r>
        <w:r w:rsidR="007C6F59">
          <w:rPr>
            <w:noProof/>
            <w:webHidden/>
          </w:rPr>
          <w:fldChar w:fldCharType="end"/>
        </w:r>
      </w:hyperlink>
    </w:p>
    <w:p w14:paraId="2A6186BA" w14:textId="58E0874F"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421" w:history="1">
        <w:r w:rsidR="007C6F59" w:rsidRPr="00906C74">
          <w:rPr>
            <w:rStyle w:val="Hyperlink"/>
            <w:noProof/>
          </w:rPr>
          <w:t>10.3</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rPr>
          <w:t>Distribution estimate and reliability function</w:t>
        </w:r>
        <w:r w:rsidR="007C6F59">
          <w:rPr>
            <w:noProof/>
            <w:webHidden/>
          </w:rPr>
          <w:tab/>
        </w:r>
        <w:r w:rsidR="007C6F59">
          <w:rPr>
            <w:noProof/>
            <w:webHidden/>
          </w:rPr>
          <w:fldChar w:fldCharType="begin"/>
        </w:r>
        <w:r w:rsidR="007C6F59">
          <w:rPr>
            <w:noProof/>
            <w:webHidden/>
          </w:rPr>
          <w:instrText xml:space="preserve"> PAGEREF _Toc101274421 \h </w:instrText>
        </w:r>
        <w:r w:rsidR="007C6F59">
          <w:rPr>
            <w:noProof/>
            <w:webHidden/>
          </w:rPr>
        </w:r>
        <w:r w:rsidR="007C6F59">
          <w:rPr>
            <w:noProof/>
            <w:webHidden/>
          </w:rPr>
          <w:fldChar w:fldCharType="separate"/>
        </w:r>
        <w:r w:rsidR="00587AF0">
          <w:rPr>
            <w:noProof/>
            <w:webHidden/>
          </w:rPr>
          <w:t>146</w:t>
        </w:r>
        <w:r w:rsidR="007C6F59">
          <w:rPr>
            <w:noProof/>
            <w:webHidden/>
          </w:rPr>
          <w:fldChar w:fldCharType="end"/>
        </w:r>
      </w:hyperlink>
    </w:p>
    <w:p w14:paraId="7A7A66E2" w14:textId="61AD149F" w:rsidR="007C6F59" w:rsidRDefault="00427B33">
      <w:pPr>
        <w:pStyle w:val="TOC1"/>
        <w:rPr>
          <w:rFonts w:asciiTheme="minorHAnsi" w:eastAsiaTheme="minorEastAsia" w:hAnsiTheme="minorHAnsi" w:cstheme="minorBidi"/>
          <w:b w:val="0"/>
          <w:bCs w:val="0"/>
          <w:caps w:val="0"/>
          <w:noProof/>
          <w:sz w:val="22"/>
          <w:szCs w:val="22"/>
          <w:lang w:val="sr-Latn-RS" w:eastAsia="sr-Latn-RS"/>
        </w:rPr>
      </w:pPr>
      <w:hyperlink w:anchor="_Toc101274422" w:history="1">
        <w:r w:rsidR="007C6F59" w:rsidRPr="00906C74">
          <w:rPr>
            <w:rStyle w:val="Hyperlink"/>
            <w:noProof/>
          </w:rPr>
          <w:t>Chapter IV</w:t>
        </w:r>
        <w:r w:rsidR="007C6F59">
          <w:rPr>
            <w:noProof/>
            <w:webHidden/>
          </w:rPr>
          <w:tab/>
        </w:r>
        <w:r w:rsidR="007C6F59">
          <w:rPr>
            <w:noProof/>
            <w:webHidden/>
          </w:rPr>
          <w:fldChar w:fldCharType="begin"/>
        </w:r>
        <w:r w:rsidR="007C6F59">
          <w:rPr>
            <w:noProof/>
            <w:webHidden/>
          </w:rPr>
          <w:instrText xml:space="preserve"> PAGEREF _Toc101274422 \h </w:instrText>
        </w:r>
        <w:r w:rsidR="007C6F59">
          <w:rPr>
            <w:noProof/>
            <w:webHidden/>
          </w:rPr>
        </w:r>
        <w:r w:rsidR="007C6F59">
          <w:rPr>
            <w:noProof/>
            <w:webHidden/>
          </w:rPr>
          <w:fldChar w:fldCharType="separate"/>
        </w:r>
        <w:r w:rsidR="00587AF0">
          <w:rPr>
            <w:noProof/>
            <w:webHidden/>
          </w:rPr>
          <w:t>148</w:t>
        </w:r>
        <w:r w:rsidR="007C6F59">
          <w:rPr>
            <w:noProof/>
            <w:webHidden/>
          </w:rPr>
          <w:fldChar w:fldCharType="end"/>
        </w:r>
      </w:hyperlink>
    </w:p>
    <w:p w14:paraId="44C9D9B9" w14:textId="52879C2C" w:rsidR="007C6F59" w:rsidRDefault="00427B33">
      <w:pPr>
        <w:pStyle w:val="TOC2"/>
        <w:tabs>
          <w:tab w:val="left" w:pos="720"/>
          <w:tab w:val="right" w:leader="dot" w:pos="9017"/>
        </w:tabs>
        <w:rPr>
          <w:rFonts w:asciiTheme="minorHAnsi" w:eastAsiaTheme="minorEastAsia" w:hAnsiTheme="minorHAnsi" w:cstheme="minorBidi"/>
          <w:b w:val="0"/>
          <w:smallCaps w:val="0"/>
          <w:noProof/>
          <w:sz w:val="22"/>
          <w:szCs w:val="22"/>
          <w:lang w:val="sr-Latn-RS" w:eastAsia="sr-Latn-RS"/>
        </w:rPr>
      </w:pPr>
      <w:hyperlink w:anchor="_Toc101274423" w:history="1">
        <w:r w:rsidR="007C6F59" w:rsidRPr="00906C74">
          <w:rPr>
            <w:rStyle w:val="Hyperlink"/>
            <w:noProof/>
          </w:rPr>
          <w:t>11</w:t>
        </w:r>
        <w:r w:rsidR="007C6F59">
          <w:rPr>
            <w:rFonts w:asciiTheme="minorHAnsi" w:eastAsiaTheme="minorEastAsia" w:hAnsiTheme="minorHAnsi" w:cstheme="minorBidi"/>
            <w:b w:val="0"/>
            <w:smallCaps w:val="0"/>
            <w:noProof/>
            <w:sz w:val="22"/>
            <w:szCs w:val="22"/>
            <w:lang w:val="sr-Latn-RS" w:eastAsia="sr-Latn-RS"/>
          </w:rPr>
          <w:tab/>
        </w:r>
        <w:r w:rsidR="007C6F59" w:rsidRPr="00906C74">
          <w:rPr>
            <w:rStyle w:val="Hyperlink"/>
            <w:noProof/>
          </w:rPr>
          <w:t>Discussion</w:t>
        </w:r>
        <w:r w:rsidR="007C6F59">
          <w:rPr>
            <w:noProof/>
            <w:webHidden/>
          </w:rPr>
          <w:tab/>
        </w:r>
        <w:r w:rsidR="007C6F59">
          <w:rPr>
            <w:noProof/>
            <w:webHidden/>
          </w:rPr>
          <w:fldChar w:fldCharType="begin"/>
        </w:r>
        <w:r w:rsidR="007C6F59">
          <w:rPr>
            <w:noProof/>
            <w:webHidden/>
          </w:rPr>
          <w:instrText xml:space="preserve"> PAGEREF _Toc101274423 \h </w:instrText>
        </w:r>
        <w:r w:rsidR="007C6F59">
          <w:rPr>
            <w:noProof/>
            <w:webHidden/>
          </w:rPr>
        </w:r>
        <w:r w:rsidR="007C6F59">
          <w:rPr>
            <w:noProof/>
            <w:webHidden/>
          </w:rPr>
          <w:fldChar w:fldCharType="separate"/>
        </w:r>
        <w:r w:rsidR="00587AF0">
          <w:rPr>
            <w:noProof/>
            <w:webHidden/>
          </w:rPr>
          <w:t>148</w:t>
        </w:r>
        <w:r w:rsidR="007C6F59">
          <w:rPr>
            <w:noProof/>
            <w:webHidden/>
          </w:rPr>
          <w:fldChar w:fldCharType="end"/>
        </w:r>
      </w:hyperlink>
    </w:p>
    <w:p w14:paraId="0EB25E29" w14:textId="214C28FA"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424" w:history="1">
        <w:r w:rsidR="007C6F59" w:rsidRPr="00906C74">
          <w:rPr>
            <w:rStyle w:val="Hyperlink"/>
            <w:noProof/>
          </w:rPr>
          <w:t>11.1</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rPr>
          <w:t>Maintenance research through EU projects</w:t>
        </w:r>
        <w:r w:rsidR="007C6F59">
          <w:rPr>
            <w:noProof/>
            <w:webHidden/>
          </w:rPr>
          <w:tab/>
        </w:r>
        <w:r w:rsidR="007C6F59">
          <w:rPr>
            <w:noProof/>
            <w:webHidden/>
          </w:rPr>
          <w:fldChar w:fldCharType="begin"/>
        </w:r>
        <w:r w:rsidR="007C6F59">
          <w:rPr>
            <w:noProof/>
            <w:webHidden/>
          </w:rPr>
          <w:instrText xml:space="preserve"> PAGEREF _Toc101274424 \h </w:instrText>
        </w:r>
        <w:r w:rsidR="007C6F59">
          <w:rPr>
            <w:noProof/>
            <w:webHidden/>
          </w:rPr>
        </w:r>
        <w:r w:rsidR="007C6F59">
          <w:rPr>
            <w:noProof/>
            <w:webHidden/>
          </w:rPr>
          <w:fldChar w:fldCharType="separate"/>
        </w:r>
        <w:r w:rsidR="00587AF0">
          <w:rPr>
            <w:noProof/>
            <w:webHidden/>
          </w:rPr>
          <w:t>148</w:t>
        </w:r>
        <w:r w:rsidR="007C6F59">
          <w:rPr>
            <w:noProof/>
            <w:webHidden/>
          </w:rPr>
          <w:fldChar w:fldCharType="end"/>
        </w:r>
      </w:hyperlink>
    </w:p>
    <w:p w14:paraId="6BD2F71A" w14:textId="24CCC030" w:rsidR="007C6F59" w:rsidRDefault="00427B33">
      <w:pPr>
        <w:pStyle w:val="TOC4"/>
        <w:tabs>
          <w:tab w:val="left" w:pos="1680"/>
          <w:tab w:val="right" w:leader="dot" w:pos="9017"/>
        </w:tabs>
        <w:rPr>
          <w:rFonts w:asciiTheme="minorHAnsi" w:eastAsiaTheme="minorEastAsia" w:hAnsiTheme="minorHAnsi" w:cstheme="minorBidi"/>
          <w:noProof/>
          <w:sz w:val="22"/>
          <w:szCs w:val="22"/>
          <w:lang w:val="sr-Latn-RS" w:eastAsia="sr-Latn-RS"/>
        </w:rPr>
      </w:pPr>
      <w:hyperlink w:anchor="_Toc101274425" w:history="1">
        <w:r w:rsidR="007C6F59" w:rsidRPr="00906C74">
          <w:rPr>
            <w:rStyle w:val="Hyperlink"/>
            <w:noProof/>
            <w14:scene3d>
              <w14:camera w14:prst="orthographicFront"/>
              <w14:lightRig w14:rig="threePt" w14:dir="t">
                <w14:rot w14:lat="0" w14:lon="0" w14:rev="0"/>
              </w14:lightRig>
            </w14:scene3d>
          </w:rPr>
          <w:t>11.1.1</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Maintenance Programs Across Industrial Sectors in R&amp;I Projects</w:t>
        </w:r>
        <w:r w:rsidR="007C6F59">
          <w:rPr>
            <w:noProof/>
            <w:webHidden/>
          </w:rPr>
          <w:tab/>
        </w:r>
        <w:r w:rsidR="007C6F59">
          <w:rPr>
            <w:noProof/>
            <w:webHidden/>
          </w:rPr>
          <w:fldChar w:fldCharType="begin"/>
        </w:r>
        <w:r w:rsidR="007C6F59">
          <w:rPr>
            <w:noProof/>
            <w:webHidden/>
          </w:rPr>
          <w:instrText xml:space="preserve"> PAGEREF _Toc101274425 \h </w:instrText>
        </w:r>
        <w:r w:rsidR="007C6F59">
          <w:rPr>
            <w:noProof/>
            <w:webHidden/>
          </w:rPr>
        </w:r>
        <w:r w:rsidR="007C6F59">
          <w:rPr>
            <w:noProof/>
            <w:webHidden/>
          </w:rPr>
          <w:fldChar w:fldCharType="separate"/>
        </w:r>
        <w:r w:rsidR="00587AF0">
          <w:rPr>
            <w:noProof/>
            <w:webHidden/>
          </w:rPr>
          <w:t>148</w:t>
        </w:r>
        <w:r w:rsidR="007C6F59">
          <w:rPr>
            <w:noProof/>
            <w:webHidden/>
          </w:rPr>
          <w:fldChar w:fldCharType="end"/>
        </w:r>
      </w:hyperlink>
    </w:p>
    <w:p w14:paraId="175E80BB" w14:textId="3805FCAB" w:rsidR="007C6F59" w:rsidRDefault="00427B33">
      <w:pPr>
        <w:pStyle w:val="TOC4"/>
        <w:tabs>
          <w:tab w:val="left" w:pos="1680"/>
          <w:tab w:val="right" w:leader="dot" w:pos="9017"/>
        </w:tabs>
        <w:rPr>
          <w:rFonts w:asciiTheme="minorHAnsi" w:eastAsiaTheme="minorEastAsia" w:hAnsiTheme="minorHAnsi" w:cstheme="minorBidi"/>
          <w:noProof/>
          <w:sz w:val="22"/>
          <w:szCs w:val="22"/>
          <w:lang w:val="sr-Latn-RS" w:eastAsia="sr-Latn-RS"/>
        </w:rPr>
      </w:pPr>
      <w:hyperlink w:anchor="_Toc101274426" w:history="1">
        <w:r w:rsidR="007C6F59" w:rsidRPr="00906C74">
          <w:rPr>
            <w:rStyle w:val="Hyperlink"/>
            <w:noProof/>
            <w14:scene3d>
              <w14:camera w14:prst="orthographicFront"/>
              <w14:lightRig w14:rig="threePt" w14:dir="t">
                <w14:rot w14:lat="0" w14:lon="0" w14:rev="0"/>
              </w14:lightRig>
            </w14:scene3d>
          </w:rPr>
          <w:t>11.1.2</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Maintenance R&amp;I Projects Scientific Deliverables</w:t>
        </w:r>
        <w:r w:rsidR="007C6F59">
          <w:rPr>
            <w:noProof/>
            <w:webHidden/>
          </w:rPr>
          <w:tab/>
        </w:r>
        <w:r w:rsidR="007C6F59">
          <w:rPr>
            <w:noProof/>
            <w:webHidden/>
          </w:rPr>
          <w:fldChar w:fldCharType="begin"/>
        </w:r>
        <w:r w:rsidR="007C6F59">
          <w:rPr>
            <w:noProof/>
            <w:webHidden/>
          </w:rPr>
          <w:instrText xml:space="preserve"> PAGEREF _Toc101274426 \h </w:instrText>
        </w:r>
        <w:r w:rsidR="007C6F59">
          <w:rPr>
            <w:noProof/>
            <w:webHidden/>
          </w:rPr>
        </w:r>
        <w:r w:rsidR="007C6F59">
          <w:rPr>
            <w:noProof/>
            <w:webHidden/>
          </w:rPr>
          <w:fldChar w:fldCharType="separate"/>
        </w:r>
        <w:r w:rsidR="00587AF0">
          <w:rPr>
            <w:noProof/>
            <w:webHidden/>
          </w:rPr>
          <w:t>149</w:t>
        </w:r>
        <w:r w:rsidR="007C6F59">
          <w:rPr>
            <w:noProof/>
            <w:webHidden/>
          </w:rPr>
          <w:fldChar w:fldCharType="end"/>
        </w:r>
      </w:hyperlink>
    </w:p>
    <w:p w14:paraId="1F7D4926" w14:textId="1A19FD75"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427" w:history="1">
        <w:r w:rsidR="007C6F59" w:rsidRPr="00906C74">
          <w:rPr>
            <w:rStyle w:val="Hyperlink"/>
            <w:noProof/>
          </w:rPr>
          <w:t>11.2</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rPr>
          <w:t>Energy-Based Maintenance literature evidence</w:t>
        </w:r>
        <w:r w:rsidR="007C6F59">
          <w:rPr>
            <w:noProof/>
            <w:webHidden/>
          </w:rPr>
          <w:tab/>
        </w:r>
        <w:r w:rsidR="007C6F59">
          <w:rPr>
            <w:noProof/>
            <w:webHidden/>
          </w:rPr>
          <w:fldChar w:fldCharType="begin"/>
        </w:r>
        <w:r w:rsidR="007C6F59">
          <w:rPr>
            <w:noProof/>
            <w:webHidden/>
          </w:rPr>
          <w:instrText xml:space="preserve"> PAGEREF _Toc101274427 \h </w:instrText>
        </w:r>
        <w:r w:rsidR="007C6F59">
          <w:rPr>
            <w:noProof/>
            <w:webHidden/>
          </w:rPr>
        </w:r>
        <w:r w:rsidR="007C6F59">
          <w:rPr>
            <w:noProof/>
            <w:webHidden/>
          </w:rPr>
          <w:fldChar w:fldCharType="separate"/>
        </w:r>
        <w:r w:rsidR="00587AF0">
          <w:rPr>
            <w:noProof/>
            <w:webHidden/>
          </w:rPr>
          <w:t>150</w:t>
        </w:r>
        <w:r w:rsidR="007C6F59">
          <w:rPr>
            <w:noProof/>
            <w:webHidden/>
          </w:rPr>
          <w:fldChar w:fldCharType="end"/>
        </w:r>
      </w:hyperlink>
    </w:p>
    <w:p w14:paraId="246BE7A9" w14:textId="6234CD75" w:rsidR="007C6F59" w:rsidRDefault="00427B33">
      <w:pPr>
        <w:pStyle w:val="TOC4"/>
        <w:tabs>
          <w:tab w:val="left" w:pos="1680"/>
          <w:tab w:val="right" w:leader="dot" w:pos="9017"/>
        </w:tabs>
        <w:rPr>
          <w:rFonts w:asciiTheme="minorHAnsi" w:eastAsiaTheme="minorEastAsia" w:hAnsiTheme="minorHAnsi" w:cstheme="minorBidi"/>
          <w:noProof/>
          <w:sz w:val="22"/>
          <w:szCs w:val="22"/>
          <w:lang w:val="sr-Latn-RS" w:eastAsia="sr-Latn-RS"/>
        </w:rPr>
      </w:pPr>
      <w:hyperlink w:anchor="_Toc101274428" w:history="1">
        <w:r w:rsidR="007C6F59" w:rsidRPr="00906C74">
          <w:rPr>
            <w:rStyle w:val="Hyperlink"/>
            <w:noProof/>
            <w14:scene3d>
              <w14:camera w14:prst="orthographicFront"/>
              <w14:lightRig w14:rig="threePt" w14:dir="t">
                <w14:rot w14:lat="0" w14:lon="0" w14:rev="0"/>
              </w14:lightRig>
            </w14:scene3d>
          </w:rPr>
          <w:t>11.2.1</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Operational level of MDM considering EBM achievements</w:t>
        </w:r>
        <w:r w:rsidR="007C6F59">
          <w:rPr>
            <w:noProof/>
            <w:webHidden/>
          </w:rPr>
          <w:tab/>
        </w:r>
        <w:r w:rsidR="007C6F59">
          <w:rPr>
            <w:noProof/>
            <w:webHidden/>
          </w:rPr>
          <w:fldChar w:fldCharType="begin"/>
        </w:r>
        <w:r w:rsidR="007C6F59">
          <w:rPr>
            <w:noProof/>
            <w:webHidden/>
          </w:rPr>
          <w:instrText xml:space="preserve"> PAGEREF _Toc101274428 \h </w:instrText>
        </w:r>
        <w:r w:rsidR="007C6F59">
          <w:rPr>
            <w:noProof/>
            <w:webHidden/>
          </w:rPr>
        </w:r>
        <w:r w:rsidR="007C6F59">
          <w:rPr>
            <w:noProof/>
            <w:webHidden/>
          </w:rPr>
          <w:fldChar w:fldCharType="separate"/>
        </w:r>
        <w:r w:rsidR="00587AF0">
          <w:rPr>
            <w:noProof/>
            <w:webHidden/>
          </w:rPr>
          <w:t>150</w:t>
        </w:r>
        <w:r w:rsidR="007C6F59">
          <w:rPr>
            <w:noProof/>
            <w:webHidden/>
          </w:rPr>
          <w:fldChar w:fldCharType="end"/>
        </w:r>
      </w:hyperlink>
    </w:p>
    <w:p w14:paraId="5AA3025A" w14:textId="06125BE1" w:rsidR="007C6F59" w:rsidRDefault="00427B33">
      <w:pPr>
        <w:pStyle w:val="TOC4"/>
        <w:tabs>
          <w:tab w:val="left" w:pos="1680"/>
          <w:tab w:val="right" w:leader="dot" w:pos="9017"/>
        </w:tabs>
        <w:rPr>
          <w:rFonts w:asciiTheme="minorHAnsi" w:eastAsiaTheme="minorEastAsia" w:hAnsiTheme="minorHAnsi" w:cstheme="minorBidi"/>
          <w:noProof/>
          <w:sz w:val="22"/>
          <w:szCs w:val="22"/>
          <w:lang w:val="sr-Latn-RS" w:eastAsia="sr-Latn-RS"/>
        </w:rPr>
      </w:pPr>
      <w:hyperlink w:anchor="_Toc101274429" w:history="1">
        <w:r w:rsidR="007C6F59" w:rsidRPr="00906C74">
          <w:rPr>
            <w:rStyle w:val="Hyperlink"/>
            <w:noProof/>
            <w:lang w:val="en-GB"/>
            <w14:scene3d>
              <w14:camera w14:prst="orthographicFront"/>
              <w14:lightRig w14:rig="threePt" w14:dir="t">
                <w14:rot w14:lat="0" w14:lon="0" w14:rev="0"/>
              </w14:lightRig>
            </w14:scene3d>
          </w:rPr>
          <w:t>11.2.2</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lang w:val="en-GB"/>
          </w:rPr>
          <w:t>Tactical level of MDM considering EBM achievements</w:t>
        </w:r>
        <w:r w:rsidR="007C6F59">
          <w:rPr>
            <w:noProof/>
            <w:webHidden/>
          </w:rPr>
          <w:tab/>
        </w:r>
        <w:r w:rsidR="007C6F59">
          <w:rPr>
            <w:noProof/>
            <w:webHidden/>
          </w:rPr>
          <w:fldChar w:fldCharType="begin"/>
        </w:r>
        <w:r w:rsidR="007C6F59">
          <w:rPr>
            <w:noProof/>
            <w:webHidden/>
          </w:rPr>
          <w:instrText xml:space="preserve"> PAGEREF _Toc101274429 \h </w:instrText>
        </w:r>
        <w:r w:rsidR="007C6F59">
          <w:rPr>
            <w:noProof/>
            <w:webHidden/>
          </w:rPr>
        </w:r>
        <w:r w:rsidR="007C6F59">
          <w:rPr>
            <w:noProof/>
            <w:webHidden/>
          </w:rPr>
          <w:fldChar w:fldCharType="separate"/>
        </w:r>
        <w:r w:rsidR="00587AF0">
          <w:rPr>
            <w:noProof/>
            <w:webHidden/>
          </w:rPr>
          <w:t>151</w:t>
        </w:r>
        <w:r w:rsidR="007C6F59">
          <w:rPr>
            <w:noProof/>
            <w:webHidden/>
          </w:rPr>
          <w:fldChar w:fldCharType="end"/>
        </w:r>
      </w:hyperlink>
    </w:p>
    <w:p w14:paraId="3A9E2D3C" w14:textId="1658170D" w:rsidR="007C6F59" w:rsidRDefault="00427B33">
      <w:pPr>
        <w:pStyle w:val="TOC4"/>
        <w:tabs>
          <w:tab w:val="left" w:pos="1680"/>
          <w:tab w:val="right" w:leader="dot" w:pos="9017"/>
        </w:tabs>
        <w:rPr>
          <w:rFonts w:asciiTheme="minorHAnsi" w:eastAsiaTheme="minorEastAsia" w:hAnsiTheme="minorHAnsi" w:cstheme="minorBidi"/>
          <w:noProof/>
          <w:sz w:val="22"/>
          <w:szCs w:val="22"/>
          <w:lang w:val="sr-Latn-RS" w:eastAsia="sr-Latn-RS"/>
        </w:rPr>
      </w:pPr>
      <w:hyperlink w:anchor="_Toc101274430" w:history="1">
        <w:r w:rsidR="007C6F59" w:rsidRPr="00906C74">
          <w:rPr>
            <w:rStyle w:val="Hyperlink"/>
            <w:noProof/>
            <w:lang w:val="sr-Latn-RS"/>
            <w14:scene3d>
              <w14:camera w14:prst="orthographicFront"/>
              <w14:lightRig w14:rig="threePt" w14:dir="t">
                <w14:rot w14:lat="0" w14:lon="0" w14:rev="0"/>
              </w14:lightRig>
            </w14:scene3d>
          </w:rPr>
          <w:t>11.2.3</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lang w:val="sr-Latn-RS"/>
          </w:rPr>
          <w:t>Strategical level of MDM considering EBM achievements</w:t>
        </w:r>
        <w:r w:rsidR="007C6F59">
          <w:rPr>
            <w:noProof/>
            <w:webHidden/>
          </w:rPr>
          <w:tab/>
        </w:r>
        <w:r w:rsidR="007C6F59">
          <w:rPr>
            <w:noProof/>
            <w:webHidden/>
          </w:rPr>
          <w:fldChar w:fldCharType="begin"/>
        </w:r>
        <w:r w:rsidR="007C6F59">
          <w:rPr>
            <w:noProof/>
            <w:webHidden/>
          </w:rPr>
          <w:instrText xml:space="preserve"> PAGEREF _Toc101274430 \h </w:instrText>
        </w:r>
        <w:r w:rsidR="007C6F59">
          <w:rPr>
            <w:noProof/>
            <w:webHidden/>
          </w:rPr>
        </w:r>
        <w:r w:rsidR="007C6F59">
          <w:rPr>
            <w:noProof/>
            <w:webHidden/>
          </w:rPr>
          <w:fldChar w:fldCharType="separate"/>
        </w:r>
        <w:r w:rsidR="00587AF0">
          <w:rPr>
            <w:noProof/>
            <w:webHidden/>
          </w:rPr>
          <w:t>152</w:t>
        </w:r>
        <w:r w:rsidR="007C6F59">
          <w:rPr>
            <w:noProof/>
            <w:webHidden/>
          </w:rPr>
          <w:fldChar w:fldCharType="end"/>
        </w:r>
      </w:hyperlink>
    </w:p>
    <w:p w14:paraId="613A17E8" w14:textId="5A38474D"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431" w:history="1">
        <w:r w:rsidR="007C6F59" w:rsidRPr="00906C74">
          <w:rPr>
            <w:rStyle w:val="Hyperlink"/>
            <w:noProof/>
          </w:rPr>
          <w:t>11.3</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rPr>
          <w:t>Maintenance practice in the West Balkan countries</w:t>
        </w:r>
        <w:r w:rsidR="007C6F59">
          <w:rPr>
            <w:noProof/>
            <w:webHidden/>
          </w:rPr>
          <w:tab/>
        </w:r>
        <w:r w:rsidR="007C6F59">
          <w:rPr>
            <w:noProof/>
            <w:webHidden/>
          </w:rPr>
          <w:fldChar w:fldCharType="begin"/>
        </w:r>
        <w:r w:rsidR="007C6F59">
          <w:rPr>
            <w:noProof/>
            <w:webHidden/>
          </w:rPr>
          <w:instrText xml:space="preserve"> PAGEREF _Toc101274431 \h </w:instrText>
        </w:r>
        <w:r w:rsidR="007C6F59">
          <w:rPr>
            <w:noProof/>
            <w:webHidden/>
          </w:rPr>
        </w:r>
        <w:r w:rsidR="007C6F59">
          <w:rPr>
            <w:noProof/>
            <w:webHidden/>
          </w:rPr>
          <w:fldChar w:fldCharType="separate"/>
        </w:r>
        <w:r w:rsidR="00587AF0">
          <w:rPr>
            <w:noProof/>
            <w:webHidden/>
          </w:rPr>
          <w:t>153</w:t>
        </w:r>
        <w:r w:rsidR="007C6F59">
          <w:rPr>
            <w:noProof/>
            <w:webHidden/>
          </w:rPr>
          <w:fldChar w:fldCharType="end"/>
        </w:r>
      </w:hyperlink>
    </w:p>
    <w:p w14:paraId="0CB41991" w14:textId="6DEFEC40" w:rsidR="007C6F59" w:rsidRDefault="00427B33">
      <w:pPr>
        <w:pStyle w:val="TOC4"/>
        <w:tabs>
          <w:tab w:val="left" w:pos="1680"/>
          <w:tab w:val="right" w:leader="dot" w:pos="9017"/>
        </w:tabs>
        <w:rPr>
          <w:rFonts w:asciiTheme="minorHAnsi" w:eastAsiaTheme="minorEastAsia" w:hAnsiTheme="minorHAnsi" w:cstheme="minorBidi"/>
          <w:noProof/>
          <w:sz w:val="22"/>
          <w:szCs w:val="22"/>
          <w:lang w:val="sr-Latn-RS" w:eastAsia="sr-Latn-RS"/>
        </w:rPr>
      </w:pPr>
      <w:hyperlink w:anchor="_Toc101274432" w:history="1">
        <w:r w:rsidR="007C6F59" w:rsidRPr="00906C74">
          <w:rPr>
            <w:rStyle w:val="Hyperlink"/>
            <w:noProof/>
            <w14:scene3d>
              <w14:camera w14:prst="orthographicFront"/>
              <w14:lightRig w14:rig="threePt" w14:dir="t">
                <w14:rot w14:lat="0" w14:lon="0" w14:rev="0"/>
              </w14:lightRig>
            </w14:scene3d>
          </w:rPr>
          <w:t>11.3.1</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The descriptive results of maintenance practice</w:t>
        </w:r>
        <w:r w:rsidR="007C6F59">
          <w:rPr>
            <w:noProof/>
            <w:webHidden/>
          </w:rPr>
          <w:tab/>
        </w:r>
        <w:r w:rsidR="007C6F59">
          <w:rPr>
            <w:noProof/>
            <w:webHidden/>
          </w:rPr>
          <w:fldChar w:fldCharType="begin"/>
        </w:r>
        <w:r w:rsidR="007C6F59">
          <w:rPr>
            <w:noProof/>
            <w:webHidden/>
          </w:rPr>
          <w:instrText xml:space="preserve"> PAGEREF _Toc101274432 \h </w:instrText>
        </w:r>
        <w:r w:rsidR="007C6F59">
          <w:rPr>
            <w:noProof/>
            <w:webHidden/>
          </w:rPr>
        </w:r>
        <w:r w:rsidR="007C6F59">
          <w:rPr>
            <w:noProof/>
            <w:webHidden/>
          </w:rPr>
          <w:fldChar w:fldCharType="separate"/>
        </w:r>
        <w:r w:rsidR="00587AF0">
          <w:rPr>
            <w:noProof/>
            <w:webHidden/>
          </w:rPr>
          <w:t>153</w:t>
        </w:r>
        <w:r w:rsidR="007C6F59">
          <w:rPr>
            <w:noProof/>
            <w:webHidden/>
          </w:rPr>
          <w:fldChar w:fldCharType="end"/>
        </w:r>
      </w:hyperlink>
    </w:p>
    <w:p w14:paraId="744593EF" w14:textId="4EAD90B0" w:rsidR="007C6F59" w:rsidRDefault="00427B33">
      <w:pPr>
        <w:pStyle w:val="TOC4"/>
        <w:tabs>
          <w:tab w:val="left" w:pos="1680"/>
          <w:tab w:val="right" w:leader="dot" w:pos="9017"/>
        </w:tabs>
        <w:rPr>
          <w:rFonts w:asciiTheme="minorHAnsi" w:eastAsiaTheme="minorEastAsia" w:hAnsiTheme="minorHAnsi" w:cstheme="minorBidi"/>
          <w:noProof/>
          <w:sz w:val="22"/>
          <w:szCs w:val="22"/>
          <w:lang w:val="sr-Latn-RS" w:eastAsia="sr-Latn-RS"/>
        </w:rPr>
      </w:pPr>
      <w:hyperlink w:anchor="_Toc101274433" w:history="1">
        <w:r w:rsidR="007C6F59" w:rsidRPr="00906C74">
          <w:rPr>
            <w:rStyle w:val="Hyperlink"/>
            <w:noProof/>
            <w14:scene3d>
              <w14:camera w14:prst="orthographicFront"/>
              <w14:lightRig w14:rig="threePt" w14:dir="t">
                <w14:rot w14:lat="0" w14:lon="0" w14:rev="0"/>
              </w14:lightRig>
            </w14:scene3d>
          </w:rPr>
          <w:t>11.3.2</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Contamination as the leading cause of failures</w:t>
        </w:r>
        <w:r w:rsidR="007C6F59">
          <w:rPr>
            <w:noProof/>
            <w:webHidden/>
          </w:rPr>
          <w:tab/>
        </w:r>
        <w:r w:rsidR="007C6F59">
          <w:rPr>
            <w:noProof/>
            <w:webHidden/>
          </w:rPr>
          <w:fldChar w:fldCharType="begin"/>
        </w:r>
        <w:r w:rsidR="007C6F59">
          <w:rPr>
            <w:noProof/>
            <w:webHidden/>
          </w:rPr>
          <w:instrText xml:space="preserve"> PAGEREF _Toc101274433 \h </w:instrText>
        </w:r>
        <w:r w:rsidR="007C6F59">
          <w:rPr>
            <w:noProof/>
            <w:webHidden/>
          </w:rPr>
        </w:r>
        <w:r w:rsidR="007C6F59">
          <w:rPr>
            <w:noProof/>
            <w:webHidden/>
          </w:rPr>
          <w:fldChar w:fldCharType="separate"/>
        </w:r>
        <w:r w:rsidR="00587AF0">
          <w:rPr>
            <w:noProof/>
            <w:webHidden/>
          </w:rPr>
          <w:t>154</w:t>
        </w:r>
        <w:r w:rsidR="007C6F59">
          <w:rPr>
            <w:noProof/>
            <w:webHidden/>
          </w:rPr>
          <w:fldChar w:fldCharType="end"/>
        </w:r>
      </w:hyperlink>
    </w:p>
    <w:p w14:paraId="2C4923DF" w14:textId="23A49268" w:rsidR="007C6F59" w:rsidRDefault="00427B33">
      <w:pPr>
        <w:pStyle w:val="TOC4"/>
        <w:tabs>
          <w:tab w:val="left" w:pos="1680"/>
          <w:tab w:val="right" w:leader="dot" w:pos="9017"/>
        </w:tabs>
        <w:rPr>
          <w:rFonts w:asciiTheme="minorHAnsi" w:eastAsiaTheme="minorEastAsia" w:hAnsiTheme="minorHAnsi" w:cstheme="minorBidi"/>
          <w:noProof/>
          <w:sz w:val="22"/>
          <w:szCs w:val="22"/>
          <w:lang w:val="sr-Latn-RS" w:eastAsia="sr-Latn-RS"/>
        </w:rPr>
      </w:pPr>
      <w:hyperlink w:anchor="_Toc101274434" w:history="1">
        <w:r w:rsidR="007C6F59" w:rsidRPr="00906C74">
          <w:rPr>
            <w:rStyle w:val="Hyperlink"/>
            <w:noProof/>
            <w14:scene3d>
              <w14:camera w14:prst="orthographicFront"/>
              <w14:lightRig w14:rig="threePt" w14:dir="t">
                <w14:rot w14:lat="0" w14:lon="0" w14:rev="0"/>
              </w14:lightRig>
            </w14:scene3d>
          </w:rPr>
          <w:t>11.3.3</w:t>
        </w:r>
        <w:r w:rsidR="007C6F59">
          <w:rPr>
            <w:rFonts w:asciiTheme="minorHAnsi" w:eastAsiaTheme="minorEastAsia" w:hAnsiTheme="minorHAnsi" w:cstheme="minorBidi"/>
            <w:noProof/>
            <w:sz w:val="22"/>
            <w:szCs w:val="22"/>
            <w:lang w:val="sr-Latn-RS" w:eastAsia="sr-Latn-RS"/>
          </w:rPr>
          <w:tab/>
        </w:r>
        <w:r w:rsidR="007C6F59" w:rsidRPr="00906C74">
          <w:rPr>
            <w:rStyle w:val="Hyperlink"/>
            <w:noProof/>
          </w:rPr>
          <w:t>Important indicators for improving operational performance</w:t>
        </w:r>
        <w:r w:rsidR="007C6F59">
          <w:rPr>
            <w:noProof/>
            <w:webHidden/>
          </w:rPr>
          <w:tab/>
        </w:r>
        <w:r w:rsidR="007C6F59">
          <w:rPr>
            <w:noProof/>
            <w:webHidden/>
          </w:rPr>
          <w:fldChar w:fldCharType="begin"/>
        </w:r>
        <w:r w:rsidR="007C6F59">
          <w:rPr>
            <w:noProof/>
            <w:webHidden/>
          </w:rPr>
          <w:instrText xml:space="preserve"> PAGEREF _Toc101274434 \h </w:instrText>
        </w:r>
        <w:r w:rsidR="007C6F59">
          <w:rPr>
            <w:noProof/>
            <w:webHidden/>
          </w:rPr>
        </w:r>
        <w:r w:rsidR="007C6F59">
          <w:rPr>
            <w:noProof/>
            <w:webHidden/>
          </w:rPr>
          <w:fldChar w:fldCharType="separate"/>
        </w:r>
        <w:r w:rsidR="00587AF0">
          <w:rPr>
            <w:noProof/>
            <w:webHidden/>
          </w:rPr>
          <w:t>154</w:t>
        </w:r>
        <w:r w:rsidR="007C6F59">
          <w:rPr>
            <w:noProof/>
            <w:webHidden/>
          </w:rPr>
          <w:fldChar w:fldCharType="end"/>
        </w:r>
      </w:hyperlink>
    </w:p>
    <w:p w14:paraId="0CF1F928" w14:textId="15FC658F" w:rsidR="007C6F59" w:rsidRDefault="00427B33">
      <w:pPr>
        <w:pStyle w:val="TOC2"/>
        <w:tabs>
          <w:tab w:val="left" w:pos="720"/>
          <w:tab w:val="right" w:leader="dot" w:pos="9017"/>
        </w:tabs>
        <w:rPr>
          <w:rFonts w:asciiTheme="minorHAnsi" w:eastAsiaTheme="minorEastAsia" w:hAnsiTheme="minorHAnsi" w:cstheme="minorBidi"/>
          <w:b w:val="0"/>
          <w:smallCaps w:val="0"/>
          <w:noProof/>
          <w:sz w:val="22"/>
          <w:szCs w:val="22"/>
          <w:lang w:val="sr-Latn-RS" w:eastAsia="sr-Latn-RS"/>
        </w:rPr>
      </w:pPr>
      <w:hyperlink w:anchor="_Toc101274435" w:history="1">
        <w:r w:rsidR="007C6F59" w:rsidRPr="00906C74">
          <w:rPr>
            <w:rStyle w:val="Hyperlink"/>
            <w:noProof/>
            <w:lang w:val="sr-Latn-RS"/>
          </w:rPr>
          <w:t>12</w:t>
        </w:r>
        <w:r w:rsidR="007C6F59">
          <w:rPr>
            <w:rFonts w:asciiTheme="minorHAnsi" w:eastAsiaTheme="minorEastAsia" w:hAnsiTheme="minorHAnsi" w:cstheme="minorBidi"/>
            <w:b w:val="0"/>
            <w:smallCaps w:val="0"/>
            <w:noProof/>
            <w:sz w:val="22"/>
            <w:szCs w:val="22"/>
            <w:lang w:val="sr-Latn-RS" w:eastAsia="sr-Latn-RS"/>
          </w:rPr>
          <w:tab/>
        </w:r>
        <w:r w:rsidR="007C6F59" w:rsidRPr="00906C74">
          <w:rPr>
            <w:rStyle w:val="Hyperlink"/>
            <w:noProof/>
            <w:lang w:val="sr-Latn-RS"/>
          </w:rPr>
          <w:t>Concluding remarks and future research</w:t>
        </w:r>
        <w:r w:rsidR="007C6F59">
          <w:rPr>
            <w:noProof/>
            <w:webHidden/>
          </w:rPr>
          <w:tab/>
        </w:r>
        <w:r w:rsidR="007C6F59">
          <w:rPr>
            <w:noProof/>
            <w:webHidden/>
          </w:rPr>
          <w:fldChar w:fldCharType="begin"/>
        </w:r>
        <w:r w:rsidR="007C6F59">
          <w:rPr>
            <w:noProof/>
            <w:webHidden/>
          </w:rPr>
          <w:instrText xml:space="preserve"> PAGEREF _Toc101274435 \h </w:instrText>
        </w:r>
        <w:r w:rsidR="007C6F59">
          <w:rPr>
            <w:noProof/>
            <w:webHidden/>
          </w:rPr>
        </w:r>
        <w:r w:rsidR="007C6F59">
          <w:rPr>
            <w:noProof/>
            <w:webHidden/>
          </w:rPr>
          <w:fldChar w:fldCharType="separate"/>
        </w:r>
        <w:r w:rsidR="00587AF0">
          <w:rPr>
            <w:noProof/>
            <w:webHidden/>
          </w:rPr>
          <w:t>155</w:t>
        </w:r>
        <w:r w:rsidR="007C6F59">
          <w:rPr>
            <w:noProof/>
            <w:webHidden/>
          </w:rPr>
          <w:fldChar w:fldCharType="end"/>
        </w:r>
      </w:hyperlink>
    </w:p>
    <w:p w14:paraId="39F03086" w14:textId="7D72E244"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436" w:history="1">
        <w:r w:rsidR="007C6F59" w:rsidRPr="00906C74">
          <w:rPr>
            <w:rStyle w:val="Hyperlink"/>
            <w:noProof/>
          </w:rPr>
          <w:t>12.1</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rPr>
          <w:t>General thesis overview</w:t>
        </w:r>
        <w:r w:rsidR="007C6F59">
          <w:rPr>
            <w:noProof/>
            <w:webHidden/>
          </w:rPr>
          <w:tab/>
        </w:r>
        <w:r w:rsidR="007C6F59">
          <w:rPr>
            <w:noProof/>
            <w:webHidden/>
          </w:rPr>
          <w:fldChar w:fldCharType="begin"/>
        </w:r>
        <w:r w:rsidR="007C6F59">
          <w:rPr>
            <w:noProof/>
            <w:webHidden/>
          </w:rPr>
          <w:instrText xml:space="preserve"> PAGEREF _Toc101274436 \h </w:instrText>
        </w:r>
        <w:r w:rsidR="007C6F59">
          <w:rPr>
            <w:noProof/>
            <w:webHidden/>
          </w:rPr>
        </w:r>
        <w:r w:rsidR="007C6F59">
          <w:rPr>
            <w:noProof/>
            <w:webHidden/>
          </w:rPr>
          <w:fldChar w:fldCharType="separate"/>
        </w:r>
        <w:r w:rsidR="00587AF0">
          <w:rPr>
            <w:noProof/>
            <w:webHidden/>
          </w:rPr>
          <w:t>155</w:t>
        </w:r>
        <w:r w:rsidR="007C6F59">
          <w:rPr>
            <w:noProof/>
            <w:webHidden/>
          </w:rPr>
          <w:fldChar w:fldCharType="end"/>
        </w:r>
      </w:hyperlink>
    </w:p>
    <w:p w14:paraId="4E8258F9" w14:textId="4F11D753"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437" w:history="1">
        <w:r w:rsidR="007C6F59" w:rsidRPr="00906C74">
          <w:rPr>
            <w:rStyle w:val="Hyperlink"/>
            <w:noProof/>
          </w:rPr>
          <w:t>12.2</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rPr>
          <w:t>Contribution to the literature</w:t>
        </w:r>
        <w:r w:rsidR="007C6F59">
          <w:rPr>
            <w:noProof/>
            <w:webHidden/>
          </w:rPr>
          <w:tab/>
        </w:r>
        <w:r w:rsidR="007C6F59">
          <w:rPr>
            <w:noProof/>
            <w:webHidden/>
          </w:rPr>
          <w:fldChar w:fldCharType="begin"/>
        </w:r>
        <w:r w:rsidR="007C6F59">
          <w:rPr>
            <w:noProof/>
            <w:webHidden/>
          </w:rPr>
          <w:instrText xml:space="preserve"> PAGEREF _Toc101274437 \h </w:instrText>
        </w:r>
        <w:r w:rsidR="007C6F59">
          <w:rPr>
            <w:noProof/>
            <w:webHidden/>
          </w:rPr>
        </w:r>
        <w:r w:rsidR="007C6F59">
          <w:rPr>
            <w:noProof/>
            <w:webHidden/>
          </w:rPr>
          <w:fldChar w:fldCharType="separate"/>
        </w:r>
        <w:r w:rsidR="00587AF0">
          <w:rPr>
            <w:noProof/>
            <w:webHidden/>
          </w:rPr>
          <w:t>156</w:t>
        </w:r>
        <w:r w:rsidR="007C6F59">
          <w:rPr>
            <w:noProof/>
            <w:webHidden/>
          </w:rPr>
          <w:fldChar w:fldCharType="end"/>
        </w:r>
      </w:hyperlink>
    </w:p>
    <w:p w14:paraId="799C2F8E" w14:textId="5EE98AF3" w:rsidR="007C6F59" w:rsidRDefault="00427B33">
      <w:pPr>
        <w:pStyle w:val="TOC3"/>
        <w:rPr>
          <w:rFonts w:asciiTheme="minorHAnsi" w:eastAsiaTheme="minorEastAsia" w:hAnsiTheme="minorHAnsi" w:cstheme="minorBidi"/>
          <w:b w:val="0"/>
          <w:iCs w:val="0"/>
          <w:noProof/>
          <w:sz w:val="22"/>
          <w:szCs w:val="22"/>
          <w:lang w:val="sr-Latn-RS" w:eastAsia="sr-Latn-RS"/>
        </w:rPr>
      </w:pPr>
      <w:hyperlink w:anchor="_Toc101274438" w:history="1">
        <w:r w:rsidR="007C6F59" w:rsidRPr="00906C74">
          <w:rPr>
            <w:rStyle w:val="Hyperlink"/>
            <w:noProof/>
          </w:rPr>
          <w:t>12.3</w:t>
        </w:r>
        <w:r w:rsidR="007C6F59">
          <w:rPr>
            <w:rFonts w:asciiTheme="minorHAnsi" w:eastAsiaTheme="minorEastAsia" w:hAnsiTheme="minorHAnsi" w:cstheme="minorBidi"/>
            <w:b w:val="0"/>
            <w:iCs w:val="0"/>
            <w:noProof/>
            <w:sz w:val="22"/>
            <w:szCs w:val="22"/>
            <w:lang w:val="sr-Latn-RS" w:eastAsia="sr-Latn-RS"/>
          </w:rPr>
          <w:tab/>
        </w:r>
        <w:r w:rsidR="007C6F59" w:rsidRPr="00906C74">
          <w:rPr>
            <w:rStyle w:val="Hyperlink"/>
            <w:noProof/>
          </w:rPr>
          <w:t>Future research</w:t>
        </w:r>
        <w:r w:rsidR="007C6F59">
          <w:rPr>
            <w:noProof/>
            <w:webHidden/>
          </w:rPr>
          <w:tab/>
        </w:r>
        <w:r w:rsidR="007C6F59">
          <w:rPr>
            <w:noProof/>
            <w:webHidden/>
          </w:rPr>
          <w:fldChar w:fldCharType="begin"/>
        </w:r>
        <w:r w:rsidR="007C6F59">
          <w:rPr>
            <w:noProof/>
            <w:webHidden/>
          </w:rPr>
          <w:instrText xml:space="preserve"> PAGEREF _Toc101274438 \h </w:instrText>
        </w:r>
        <w:r w:rsidR="007C6F59">
          <w:rPr>
            <w:noProof/>
            <w:webHidden/>
          </w:rPr>
        </w:r>
        <w:r w:rsidR="007C6F59">
          <w:rPr>
            <w:noProof/>
            <w:webHidden/>
          </w:rPr>
          <w:fldChar w:fldCharType="separate"/>
        </w:r>
        <w:r w:rsidR="00587AF0">
          <w:rPr>
            <w:noProof/>
            <w:webHidden/>
          </w:rPr>
          <w:t>156</w:t>
        </w:r>
        <w:r w:rsidR="007C6F59">
          <w:rPr>
            <w:noProof/>
            <w:webHidden/>
          </w:rPr>
          <w:fldChar w:fldCharType="end"/>
        </w:r>
      </w:hyperlink>
    </w:p>
    <w:p w14:paraId="77D95863" w14:textId="24390A74" w:rsidR="007C6F59" w:rsidRDefault="00427B33">
      <w:pPr>
        <w:pStyle w:val="TOC2"/>
        <w:tabs>
          <w:tab w:val="left" w:pos="720"/>
          <w:tab w:val="right" w:leader="dot" w:pos="9017"/>
        </w:tabs>
        <w:rPr>
          <w:rFonts w:asciiTheme="minorHAnsi" w:eastAsiaTheme="minorEastAsia" w:hAnsiTheme="minorHAnsi" w:cstheme="minorBidi"/>
          <w:b w:val="0"/>
          <w:smallCaps w:val="0"/>
          <w:noProof/>
          <w:sz w:val="22"/>
          <w:szCs w:val="22"/>
          <w:lang w:val="sr-Latn-RS" w:eastAsia="sr-Latn-RS"/>
        </w:rPr>
      </w:pPr>
      <w:hyperlink w:anchor="_Toc101274439" w:history="1">
        <w:r w:rsidR="007C6F59" w:rsidRPr="00906C74">
          <w:rPr>
            <w:rStyle w:val="Hyperlink"/>
            <w:noProof/>
            <w:lang w:val="sr-Latn-RS"/>
          </w:rPr>
          <w:t>Refe</w:t>
        </w:r>
        <w:r w:rsidR="007C6F59" w:rsidRPr="00906C74">
          <w:rPr>
            <w:rStyle w:val="Hyperlink"/>
            <w:noProof/>
            <w:lang w:val="sr-Latn-RS"/>
          </w:rPr>
          <w:t>r</w:t>
        </w:r>
        <w:r w:rsidR="007C6F59" w:rsidRPr="00906C74">
          <w:rPr>
            <w:rStyle w:val="Hyperlink"/>
            <w:noProof/>
            <w:lang w:val="sr-Latn-RS"/>
          </w:rPr>
          <w:t>ences</w:t>
        </w:r>
        <w:r w:rsidR="007C6F59">
          <w:rPr>
            <w:noProof/>
            <w:webHidden/>
          </w:rPr>
          <w:tab/>
        </w:r>
        <w:r w:rsidR="007C6F59">
          <w:rPr>
            <w:noProof/>
            <w:webHidden/>
          </w:rPr>
          <w:fldChar w:fldCharType="begin"/>
        </w:r>
        <w:r w:rsidR="007C6F59">
          <w:rPr>
            <w:noProof/>
            <w:webHidden/>
          </w:rPr>
          <w:instrText xml:space="preserve"> PAGEREF _Toc101274439 \h </w:instrText>
        </w:r>
        <w:r w:rsidR="007C6F59">
          <w:rPr>
            <w:noProof/>
            <w:webHidden/>
          </w:rPr>
        </w:r>
        <w:r w:rsidR="007C6F59">
          <w:rPr>
            <w:noProof/>
            <w:webHidden/>
          </w:rPr>
          <w:fldChar w:fldCharType="separate"/>
        </w:r>
        <w:r w:rsidR="00587AF0">
          <w:rPr>
            <w:noProof/>
            <w:webHidden/>
          </w:rPr>
          <w:t>157</w:t>
        </w:r>
        <w:r w:rsidR="007C6F59">
          <w:rPr>
            <w:noProof/>
            <w:webHidden/>
          </w:rPr>
          <w:fldChar w:fldCharType="end"/>
        </w:r>
      </w:hyperlink>
    </w:p>
    <w:p w14:paraId="6820CD44" w14:textId="1BA1B650" w:rsidR="007C6F59" w:rsidRDefault="00427B33">
      <w:pPr>
        <w:pStyle w:val="TOC2"/>
        <w:tabs>
          <w:tab w:val="left" w:pos="720"/>
          <w:tab w:val="right" w:leader="dot" w:pos="9017"/>
        </w:tabs>
        <w:rPr>
          <w:rFonts w:asciiTheme="minorHAnsi" w:eastAsiaTheme="minorEastAsia" w:hAnsiTheme="minorHAnsi" w:cstheme="minorBidi"/>
          <w:b w:val="0"/>
          <w:smallCaps w:val="0"/>
          <w:noProof/>
          <w:sz w:val="22"/>
          <w:szCs w:val="22"/>
          <w:lang w:val="sr-Latn-RS" w:eastAsia="sr-Latn-RS"/>
        </w:rPr>
      </w:pPr>
      <w:hyperlink w:anchor="_Toc101274440" w:history="1">
        <w:r w:rsidR="007C6F59" w:rsidRPr="00906C74">
          <w:rPr>
            <w:rStyle w:val="Hyperlink"/>
            <w:noProof/>
          </w:rPr>
          <w:t>Appendices</w:t>
        </w:r>
        <w:r w:rsidR="007C6F59">
          <w:rPr>
            <w:noProof/>
            <w:webHidden/>
          </w:rPr>
          <w:tab/>
        </w:r>
        <w:r w:rsidR="007C6F59">
          <w:rPr>
            <w:noProof/>
            <w:webHidden/>
          </w:rPr>
          <w:fldChar w:fldCharType="begin"/>
        </w:r>
        <w:r w:rsidR="007C6F59">
          <w:rPr>
            <w:noProof/>
            <w:webHidden/>
          </w:rPr>
          <w:instrText xml:space="preserve"> PAGEREF _Toc101274440 \h </w:instrText>
        </w:r>
        <w:r w:rsidR="007C6F59">
          <w:rPr>
            <w:noProof/>
            <w:webHidden/>
          </w:rPr>
        </w:r>
        <w:r w:rsidR="007C6F59">
          <w:rPr>
            <w:noProof/>
            <w:webHidden/>
          </w:rPr>
          <w:fldChar w:fldCharType="separate"/>
        </w:r>
        <w:r w:rsidR="00587AF0">
          <w:rPr>
            <w:noProof/>
            <w:webHidden/>
          </w:rPr>
          <w:t>167</w:t>
        </w:r>
        <w:r w:rsidR="007C6F59">
          <w:rPr>
            <w:noProof/>
            <w:webHidden/>
          </w:rPr>
          <w:fldChar w:fldCharType="end"/>
        </w:r>
      </w:hyperlink>
    </w:p>
    <w:p w14:paraId="46D1EBF1" w14:textId="4D6F9AEB" w:rsidR="004B1B0A" w:rsidRPr="004B1B0A" w:rsidRDefault="00B426E0" w:rsidP="004B1B0A">
      <w:pPr>
        <w:rPr>
          <w:sz w:val="48"/>
        </w:rPr>
      </w:pPr>
      <w:r>
        <w:fldChar w:fldCharType="end"/>
      </w:r>
    </w:p>
    <w:p w14:paraId="50BC0368" w14:textId="77777777" w:rsidR="004B1B0A" w:rsidRDefault="004B1B0A">
      <w:pPr>
        <w:spacing w:before="0" w:after="160" w:line="259" w:lineRule="auto"/>
        <w:jc w:val="left"/>
        <w:rPr>
          <w:b/>
          <w:smallCaps/>
          <w:sz w:val="48"/>
        </w:rPr>
      </w:pPr>
      <w:r>
        <w:br w:type="page"/>
      </w:r>
    </w:p>
    <w:p w14:paraId="47247D56" w14:textId="25C34F0A" w:rsidR="00B53106" w:rsidRDefault="00B53106" w:rsidP="00706A41">
      <w:pPr>
        <w:pStyle w:val="Titleofthepaper"/>
      </w:pPr>
      <w:r>
        <w:lastRenderedPageBreak/>
        <w:t>List of Tables</w:t>
      </w:r>
    </w:p>
    <w:p w14:paraId="392F21D6" w14:textId="14F77282" w:rsidR="007C6F59" w:rsidRDefault="00B53106">
      <w:pPr>
        <w:pStyle w:val="TableofFigures"/>
        <w:tabs>
          <w:tab w:val="right" w:leader="dot" w:pos="9017"/>
        </w:tabs>
        <w:rPr>
          <w:rFonts w:asciiTheme="minorHAnsi" w:eastAsiaTheme="minorEastAsia" w:hAnsiTheme="minorHAnsi"/>
          <w:noProof/>
          <w:sz w:val="22"/>
          <w:lang w:val="sr-Latn-RS" w:eastAsia="sr-Latn-RS"/>
        </w:rPr>
      </w:pPr>
      <w:r>
        <w:fldChar w:fldCharType="begin"/>
      </w:r>
      <w:r>
        <w:instrText xml:space="preserve"> TOC \h \z \c "Table" </w:instrText>
      </w:r>
      <w:r>
        <w:fldChar w:fldCharType="separate"/>
      </w:r>
      <w:hyperlink w:anchor="_Toc101274441" w:history="1">
        <w:r w:rsidR="007C6F59" w:rsidRPr="00DF744B">
          <w:rPr>
            <w:rStyle w:val="Hyperlink"/>
            <w:noProof/>
          </w:rPr>
          <w:t>Table 1. Outline and organisation the thesis</w:t>
        </w:r>
        <w:r w:rsidR="007C6F59">
          <w:rPr>
            <w:noProof/>
            <w:webHidden/>
          </w:rPr>
          <w:tab/>
        </w:r>
        <w:r w:rsidR="007C6F59">
          <w:rPr>
            <w:noProof/>
            <w:webHidden/>
          </w:rPr>
          <w:fldChar w:fldCharType="begin"/>
        </w:r>
        <w:r w:rsidR="007C6F59">
          <w:rPr>
            <w:noProof/>
            <w:webHidden/>
          </w:rPr>
          <w:instrText xml:space="preserve"> PAGEREF _Toc101274441 \h </w:instrText>
        </w:r>
        <w:r w:rsidR="007C6F59">
          <w:rPr>
            <w:noProof/>
            <w:webHidden/>
          </w:rPr>
        </w:r>
        <w:r w:rsidR="007C6F59">
          <w:rPr>
            <w:noProof/>
            <w:webHidden/>
          </w:rPr>
          <w:fldChar w:fldCharType="separate"/>
        </w:r>
        <w:r w:rsidR="00587AF0">
          <w:rPr>
            <w:noProof/>
            <w:webHidden/>
          </w:rPr>
          <w:t>16</w:t>
        </w:r>
        <w:r w:rsidR="007C6F59">
          <w:rPr>
            <w:noProof/>
            <w:webHidden/>
          </w:rPr>
          <w:fldChar w:fldCharType="end"/>
        </w:r>
      </w:hyperlink>
    </w:p>
    <w:p w14:paraId="6031E7E8" w14:textId="717DB348"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42" w:history="1">
        <w:r w:rsidR="007C6F59" w:rsidRPr="00DF744B">
          <w:rPr>
            <w:rStyle w:val="Hyperlink"/>
            <w:noProof/>
          </w:rPr>
          <w:t>Table 2. Description of inclusion and exclusion (I/E) criteria</w:t>
        </w:r>
        <w:r w:rsidR="007C6F59">
          <w:rPr>
            <w:noProof/>
            <w:webHidden/>
          </w:rPr>
          <w:tab/>
        </w:r>
        <w:r w:rsidR="007C6F59">
          <w:rPr>
            <w:noProof/>
            <w:webHidden/>
          </w:rPr>
          <w:fldChar w:fldCharType="begin"/>
        </w:r>
        <w:r w:rsidR="007C6F59">
          <w:rPr>
            <w:noProof/>
            <w:webHidden/>
          </w:rPr>
          <w:instrText xml:space="preserve"> PAGEREF _Toc101274442 \h </w:instrText>
        </w:r>
        <w:r w:rsidR="007C6F59">
          <w:rPr>
            <w:noProof/>
            <w:webHidden/>
          </w:rPr>
        </w:r>
        <w:r w:rsidR="007C6F59">
          <w:rPr>
            <w:noProof/>
            <w:webHidden/>
          </w:rPr>
          <w:fldChar w:fldCharType="separate"/>
        </w:r>
        <w:r w:rsidR="00587AF0">
          <w:rPr>
            <w:noProof/>
            <w:webHidden/>
          </w:rPr>
          <w:t>19</w:t>
        </w:r>
        <w:r w:rsidR="007C6F59">
          <w:rPr>
            <w:noProof/>
            <w:webHidden/>
          </w:rPr>
          <w:fldChar w:fldCharType="end"/>
        </w:r>
      </w:hyperlink>
    </w:p>
    <w:p w14:paraId="759A8EF6" w14:textId="6FE70FED"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43" w:history="1">
        <w:r w:rsidR="007C6F59" w:rsidRPr="00DF744B">
          <w:rPr>
            <w:rStyle w:val="Hyperlink"/>
            <w:noProof/>
          </w:rPr>
          <w:t>Table 3. Search results of the projects using defined search strings</w:t>
        </w:r>
        <w:r w:rsidR="007C6F59">
          <w:rPr>
            <w:noProof/>
            <w:webHidden/>
          </w:rPr>
          <w:tab/>
        </w:r>
        <w:r w:rsidR="007C6F59">
          <w:rPr>
            <w:noProof/>
            <w:webHidden/>
          </w:rPr>
          <w:fldChar w:fldCharType="begin"/>
        </w:r>
        <w:r w:rsidR="007C6F59">
          <w:rPr>
            <w:noProof/>
            <w:webHidden/>
          </w:rPr>
          <w:instrText xml:space="preserve"> PAGEREF _Toc101274443 \h </w:instrText>
        </w:r>
        <w:r w:rsidR="007C6F59">
          <w:rPr>
            <w:noProof/>
            <w:webHidden/>
          </w:rPr>
        </w:r>
        <w:r w:rsidR="007C6F59">
          <w:rPr>
            <w:noProof/>
            <w:webHidden/>
          </w:rPr>
          <w:fldChar w:fldCharType="separate"/>
        </w:r>
        <w:r w:rsidR="00587AF0">
          <w:rPr>
            <w:noProof/>
            <w:webHidden/>
          </w:rPr>
          <w:t>20</w:t>
        </w:r>
        <w:r w:rsidR="007C6F59">
          <w:rPr>
            <w:noProof/>
            <w:webHidden/>
          </w:rPr>
          <w:fldChar w:fldCharType="end"/>
        </w:r>
      </w:hyperlink>
    </w:p>
    <w:p w14:paraId="456B71D9" w14:textId="509AB011"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44" w:history="1">
        <w:r w:rsidR="007C6F59" w:rsidRPr="00DF744B">
          <w:rPr>
            <w:rStyle w:val="Hyperlink"/>
            <w:noProof/>
          </w:rPr>
          <w:t>Table 4. Inclusion and exclusion criteria for survey validity</w:t>
        </w:r>
        <w:r w:rsidR="007C6F59">
          <w:rPr>
            <w:noProof/>
            <w:webHidden/>
          </w:rPr>
          <w:tab/>
        </w:r>
        <w:r w:rsidR="007C6F59">
          <w:rPr>
            <w:noProof/>
            <w:webHidden/>
          </w:rPr>
          <w:fldChar w:fldCharType="begin"/>
        </w:r>
        <w:r w:rsidR="007C6F59">
          <w:rPr>
            <w:noProof/>
            <w:webHidden/>
          </w:rPr>
          <w:instrText xml:space="preserve"> PAGEREF _Toc101274444 \h </w:instrText>
        </w:r>
        <w:r w:rsidR="007C6F59">
          <w:rPr>
            <w:noProof/>
            <w:webHidden/>
          </w:rPr>
        </w:r>
        <w:r w:rsidR="007C6F59">
          <w:rPr>
            <w:noProof/>
            <w:webHidden/>
          </w:rPr>
          <w:fldChar w:fldCharType="separate"/>
        </w:r>
        <w:r w:rsidR="00587AF0">
          <w:rPr>
            <w:noProof/>
            <w:webHidden/>
          </w:rPr>
          <w:t>23</w:t>
        </w:r>
        <w:r w:rsidR="007C6F59">
          <w:rPr>
            <w:noProof/>
            <w:webHidden/>
          </w:rPr>
          <w:fldChar w:fldCharType="end"/>
        </w:r>
      </w:hyperlink>
    </w:p>
    <w:p w14:paraId="45FB5CAF" w14:textId="07783A42"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45" w:history="1">
        <w:r w:rsidR="007C6F59" w:rsidRPr="00DF744B">
          <w:rPr>
            <w:rStyle w:val="Hyperlink"/>
            <w:noProof/>
          </w:rPr>
          <w:t>Table 5. Search strings for retrieval of publications</w:t>
        </w:r>
        <w:r w:rsidR="007C6F59">
          <w:rPr>
            <w:noProof/>
            <w:webHidden/>
          </w:rPr>
          <w:tab/>
        </w:r>
        <w:r w:rsidR="007C6F59">
          <w:rPr>
            <w:noProof/>
            <w:webHidden/>
          </w:rPr>
          <w:fldChar w:fldCharType="begin"/>
        </w:r>
        <w:r w:rsidR="007C6F59">
          <w:rPr>
            <w:noProof/>
            <w:webHidden/>
          </w:rPr>
          <w:instrText xml:space="preserve"> PAGEREF _Toc101274445 \h </w:instrText>
        </w:r>
        <w:r w:rsidR="007C6F59">
          <w:rPr>
            <w:noProof/>
            <w:webHidden/>
          </w:rPr>
        </w:r>
        <w:r w:rsidR="007C6F59">
          <w:rPr>
            <w:noProof/>
            <w:webHidden/>
          </w:rPr>
          <w:fldChar w:fldCharType="separate"/>
        </w:r>
        <w:r w:rsidR="00587AF0">
          <w:rPr>
            <w:noProof/>
            <w:webHidden/>
          </w:rPr>
          <w:t>24</w:t>
        </w:r>
        <w:r w:rsidR="007C6F59">
          <w:rPr>
            <w:noProof/>
            <w:webHidden/>
          </w:rPr>
          <w:fldChar w:fldCharType="end"/>
        </w:r>
      </w:hyperlink>
    </w:p>
    <w:p w14:paraId="571F9105" w14:textId="30DB10FF"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46" w:history="1">
        <w:r w:rsidR="007C6F59" w:rsidRPr="00DF744B">
          <w:rPr>
            <w:rStyle w:val="Hyperlink"/>
            <w:noProof/>
          </w:rPr>
          <w:t>Table 6. Eligibility (I/E) criteria for evidence extraction from the publications</w:t>
        </w:r>
        <w:r w:rsidR="007C6F59">
          <w:rPr>
            <w:noProof/>
            <w:webHidden/>
          </w:rPr>
          <w:tab/>
        </w:r>
        <w:r w:rsidR="007C6F59">
          <w:rPr>
            <w:noProof/>
            <w:webHidden/>
          </w:rPr>
          <w:fldChar w:fldCharType="begin"/>
        </w:r>
        <w:r w:rsidR="007C6F59">
          <w:rPr>
            <w:noProof/>
            <w:webHidden/>
          </w:rPr>
          <w:instrText xml:space="preserve"> PAGEREF _Toc101274446 \h </w:instrText>
        </w:r>
        <w:r w:rsidR="007C6F59">
          <w:rPr>
            <w:noProof/>
            <w:webHidden/>
          </w:rPr>
        </w:r>
        <w:r w:rsidR="007C6F59">
          <w:rPr>
            <w:noProof/>
            <w:webHidden/>
          </w:rPr>
          <w:fldChar w:fldCharType="separate"/>
        </w:r>
        <w:r w:rsidR="00587AF0">
          <w:rPr>
            <w:noProof/>
            <w:webHidden/>
          </w:rPr>
          <w:t>24</w:t>
        </w:r>
        <w:r w:rsidR="007C6F59">
          <w:rPr>
            <w:noProof/>
            <w:webHidden/>
          </w:rPr>
          <w:fldChar w:fldCharType="end"/>
        </w:r>
      </w:hyperlink>
    </w:p>
    <w:p w14:paraId="710B58C9" w14:textId="184B94F4"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47" w:history="1">
        <w:r w:rsidR="007C6F59" w:rsidRPr="00DF744B">
          <w:rPr>
            <w:rStyle w:val="Hyperlink"/>
            <w:noProof/>
          </w:rPr>
          <w:t>Table 7. Correlation matrix for projects having a doctoral thesis as a research deliverable</w:t>
        </w:r>
        <w:r w:rsidR="007C6F59">
          <w:rPr>
            <w:noProof/>
            <w:webHidden/>
          </w:rPr>
          <w:tab/>
        </w:r>
        <w:r w:rsidR="007C6F59">
          <w:rPr>
            <w:noProof/>
            <w:webHidden/>
          </w:rPr>
          <w:fldChar w:fldCharType="begin"/>
        </w:r>
        <w:r w:rsidR="007C6F59">
          <w:rPr>
            <w:noProof/>
            <w:webHidden/>
          </w:rPr>
          <w:instrText xml:space="preserve"> PAGEREF _Toc101274447 \h </w:instrText>
        </w:r>
        <w:r w:rsidR="007C6F59">
          <w:rPr>
            <w:noProof/>
            <w:webHidden/>
          </w:rPr>
        </w:r>
        <w:r w:rsidR="007C6F59">
          <w:rPr>
            <w:noProof/>
            <w:webHidden/>
          </w:rPr>
          <w:fldChar w:fldCharType="separate"/>
        </w:r>
        <w:r w:rsidR="00587AF0">
          <w:rPr>
            <w:noProof/>
            <w:webHidden/>
          </w:rPr>
          <w:t>30</w:t>
        </w:r>
        <w:r w:rsidR="007C6F59">
          <w:rPr>
            <w:noProof/>
            <w:webHidden/>
          </w:rPr>
          <w:fldChar w:fldCharType="end"/>
        </w:r>
      </w:hyperlink>
    </w:p>
    <w:p w14:paraId="5B5A0D68" w14:textId="168225E5"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48" w:history="1">
        <w:r w:rsidR="007C6F59" w:rsidRPr="00DF744B">
          <w:rPr>
            <w:rStyle w:val="Hyperlink"/>
            <w:noProof/>
          </w:rPr>
          <w:t>Table 8. Correlation matrix for projects having a patent as a research deliverable</w:t>
        </w:r>
        <w:r w:rsidR="007C6F59">
          <w:rPr>
            <w:noProof/>
            <w:webHidden/>
          </w:rPr>
          <w:tab/>
        </w:r>
        <w:r w:rsidR="007C6F59">
          <w:rPr>
            <w:noProof/>
            <w:webHidden/>
          </w:rPr>
          <w:fldChar w:fldCharType="begin"/>
        </w:r>
        <w:r w:rsidR="007C6F59">
          <w:rPr>
            <w:noProof/>
            <w:webHidden/>
          </w:rPr>
          <w:instrText xml:space="preserve"> PAGEREF _Toc101274448 \h </w:instrText>
        </w:r>
        <w:r w:rsidR="007C6F59">
          <w:rPr>
            <w:noProof/>
            <w:webHidden/>
          </w:rPr>
        </w:r>
        <w:r w:rsidR="007C6F59">
          <w:rPr>
            <w:noProof/>
            <w:webHidden/>
          </w:rPr>
          <w:fldChar w:fldCharType="separate"/>
        </w:r>
        <w:r w:rsidR="00587AF0">
          <w:rPr>
            <w:noProof/>
            <w:webHidden/>
          </w:rPr>
          <w:t>31</w:t>
        </w:r>
        <w:r w:rsidR="007C6F59">
          <w:rPr>
            <w:noProof/>
            <w:webHidden/>
          </w:rPr>
          <w:fldChar w:fldCharType="end"/>
        </w:r>
      </w:hyperlink>
    </w:p>
    <w:p w14:paraId="28C12853" w14:textId="52A08F4D"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49" w:history="1">
        <w:r w:rsidR="007C6F59" w:rsidRPr="00DF744B">
          <w:rPr>
            <w:rStyle w:val="Hyperlink"/>
            <w:noProof/>
          </w:rPr>
          <w:t>Table 9. Correlation matrix for projects without a thesis or patent</w:t>
        </w:r>
        <w:r w:rsidR="007C6F59">
          <w:rPr>
            <w:noProof/>
            <w:webHidden/>
          </w:rPr>
          <w:tab/>
        </w:r>
        <w:r w:rsidR="007C6F59">
          <w:rPr>
            <w:noProof/>
            <w:webHidden/>
          </w:rPr>
          <w:fldChar w:fldCharType="begin"/>
        </w:r>
        <w:r w:rsidR="007C6F59">
          <w:rPr>
            <w:noProof/>
            <w:webHidden/>
          </w:rPr>
          <w:instrText xml:space="preserve"> PAGEREF _Toc101274449 \h </w:instrText>
        </w:r>
        <w:r w:rsidR="007C6F59">
          <w:rPr>
            <w:noProof/>
            <w:webHidden/>
          </w:rPr>
        </w:r>
        <w:r w:rsidR="007C6F59">
          <w:rPr>
            <w:noProof/>
            <w:webHidden/>
          </w:rPr>
          <w:fldChar w:fldCharType="separate"/>
        </w:r>
        <w:r w:rsidR="00587AF0">
          <w:rPr>
            <w:noProof/>
            <w:webHidden/>
          </w:rPr>
          <w:t>31</w:t>
        </w:r>
        <w:r w:rsidR="007C6F59">
          <w:rPr>
            <w:noProof/>
            <w:webHidden/>
          </w:rPr>
          <w:fldChar w:fldCharType="end"/>
        </w:r>
      </w:hyperlink>
    </w:p>
    <w:p w14:paraId="1534ADF4" w14:textId="2CDE956B"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50" w:history="1">
        <w:r w:rsidR="007C6F59" w:rsidRPr="00DF744B">
          <w:rPr>
            <w:rStyle w:val="Hyperlink"/>
            <w:noProof/>
          </w:rPr>
          <w:t xml:space="preserve">Table 10. Respected </w:t>
        </w:r>
        <w:r w:rsidR="007C6F59" w:rsidRPr="00DF744B">
          <w:rPr>
            <w:rStyle w:val="Hyperlink"/>
            <w:i/>
            <w:noProof/>
          </w:rPr>
          <w:t xml:space="preserve">R </w:t>
        </w:r>
        <w:r w:rsidR="007C6F59" w:rsidRPr="00DF744B">
          <w:rPr>
            <w:rStyle w:val="Hyperlink"/>
            <w:noProof/>
          </w:rPr>
          <w:t>values for quantitative estimation of research deliverables</w:t>
        </w:r>
        <w:r w:rsidR="007C6F59">
          <w:rPr>
            <w:noProof/>
            <w:webHidden/>
          </w:rPr>
          <w:tab/>
        </w:r>
        <w:r w:rsidR="007C6F59">
          <w:rPr>
            <w:noProof/>
            <w:webHidden/>
          </w:rPr>
          <w:fldChar w:fldCharType="begin"/>
        </w:r>
        <w:r w:rsidR="007C6F59">
          <w:rPr>
            <w:noProof/>
            <w:webHidden/>
          </w:rPr>
          <w:instrText xml:space="preserve"> PAGEREF _Toc101274450 \h </w:instrText>
        </w:r>
        <w:r w:rsidR="007C6F59">
          <w:rPr>
            <w:noProof/>
            <w:webHidden/>
          </w:rPr>
        </w:r>
        <w:r w:rsidR="007C6F59">
          <w:rPr>
            <w:noProof/>
            <w:webHidden/>
          </w:rPr>
          <w:fldChar w:fldCharType="separate"/>
        </w:r>
        <w:r w:rsidR="00587AF0">
          <w:rPr>
            <w:noProof/>
            <w:webHidden/>
          </w:rPr>
          <w:t>32</w:t>
        </w:r>
        <w:r w:rsidR="007C6F59">
          <w:rPr>
            <w:noProof/>
            <w:webHidden/>
          </w:rPr>
          <w:fldChar w:fldCharType="end"/>
        </w:r>
      </w:hyperlink>
    </w:p>
    <w:p w14:paraId="21022D27" w14:textId="731C66A8"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51" w:history="1">
        <w:r w:rsidR="007C6F59" w:rsidRPr="00DF744B">
          <w:rPr>
            <w:rStyle w:val="Hyperlink"/>
            <w:noProof/>
          </w:rPr>
          <w:t>Table 11. Publication Weight Factor values for research dissemination activities</w:t>
        </w:r>
        <w:r w:rsidR="007C6F59">
          <w:rPr>
            <w:noProof/>
            <w:webHidden/>
          </w:rPr>
          <w:tab/>
        </w:r>
        <w:r w:rsidR="007C6F59">
          <w:rPr>
            <w:noProof/>
            <w:webHidden/>
          </w:rPr>
          <w:fldChar w:fldCharType="begin"/>
        </w:r>
        <w:r w:rsidR="007C6F59">
          <w:rPr>
            <w:noProof/>
            <w:webHidden/>
          </w:rPr>
          <w:instrText xml:space="preserve"> PAGEREF _Toc101274451 \h </w:instrText>
        </w:r>
        <w:r w:rsidR="007C6F59">
          <w:rPr>
            <w:noProof/>
            <w:webHidden/>
          </w:rPr>
        </w:r>
        <w:r w:rsidR="007C6F59">
          <w:rPr>
            <w:noProof/>
            <w:webHidden/>
          </w:rPr>
          <w:fldChar w:fldCharType="separate"/>
        </w:r>
        <w:r w:rsidR="00587AF0">
          <w:rPr>
            <w:noProof/>
            <w:webHidden/>
          </w:rPr>
          <w:t>32</w:t>
        </w:r>
        <w:r w:rsidR="007C6F59">
          <w:rPr>
            <w:noProof/>
            <w:webHidden/>
          </w:rPr>
          <w:fldChar w:fldCharType="end"/>
        </w:r>
      </w:hyperlink>
    </w:p>
    <w:p w14:paraId="6B8AFDE4" w14:textId="11C6E661"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52" w:history="1">
        <w:r w:rsidR="007C6F59" w:rsidRPr="00DF744B">
          <w:rPr>
            <w:rStyle w:val="Hyperlink"/>
            <w:noProof/>
          </w:rPr>
          <w:t>Table 12. EBM models and maintenance concepts proposed with thresholds prospects</w:t>
        </w:r>
        <w:r w:rsidR="007C6F59">
          <w:rPr>
            <w:noProof/>
            <w:webHidden/>
          </w:rPr>
          <w:tab/>
        </w:r>
        <w:r w:rsidR="007C6F59">
          <w:rPr>
            <w:noProof/>
            <w:webHidden/>
          </w:rPr>
          <w:fldChar w:fldCharType="begin"/>
        </w:r>
        <w:r w:rsidR="007C6F59">
          <w:rPr>
            <w:noProof/>
            <w:webHidden/>
          </w:rPr>
          <w:instrText xml:space="preserve"> PAGEREF _Toc101274452 \h </w:instrText>
        </w:r>
        <w:r w:rsidR="007C6F59">
          <w:rPr>
            <w:noProof/>
            <w:webHidden/>
          </w:rPr>
        </w:r>
        <w:r w:rsidR="007C6F59">
          <w:rPr>
            <w:noProof/>
            <w:webHidden/>
          </w:rPr>
          <w:fldChar w:fldCharType="separate"/>
        </w:r>
        <w:r w:rsidR="00587AF0">
          <w:rPr>
            <w:noProof/>
            <w:webHidden/>
          </w:rPr>
          <w:t>40</w:t>
        </w:r>
        <w:r w:rsidR="007C6F59">
          <w:rPr>
            <w:noProof/>
            <w:webHidden/>
          </w:rPr>
          <w:fldChar w:fldCharType="end"/>
        </w:r>
      </w:hyperlink>
    </w:p>
    <w:p w14:paraId="4E3B1408" w14:textId="67662F35"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53" w:history="1">
        <w:r w:rsidR="007C6F59" w:rsidRPr="00DF744B">
          <w:rPr>
            <w:rStyle w:val="Hyperlink"/>
            <w:noProof/>
          </w:rPr>
          <w:t>Table 13. Correlation matrix – MTBF and associated maintenance variables</w:t>
        </w:r>
        <w:r w:rsidR="007C6F59">
          <w:rPr>
            <w:noProof/>
            <w:webHidden/>
          </w:rPr>
          <w:tab/>
        </w:r>
        <w:r w:rsidR="007C6F59">
          <w:rPr>
            <w:noProof/>
            <w:webHidden/>
          </w:rPr>
          <w:fldChar w:fldCharType="begin"/>
        </w:r>
        <w:r w:rsidR="007C6F59">
          <w:rPr>
            <w:noProof/>
            <w:webHidden/>
          </w:rPr>
          <w:instrText xml:space="preserve"> PAGEREF _Toc101274453 \h </w:instrText>
        </w:r>
        <w:r w:rsidR="007C6F59">
          <w:rPr>
            <w:noProof/>
            <w:webHidden/>
          </w:rPr>
        </w:r>
        <w:r w:rsidR="007C6F59">
          <w:rPr>
            <w:noProof/>
            <w:webHidden/>
          </w:rPr>
          <w:fldChar w:fldCharType="separate"/>
        </w:r>
        <w:r w:rsidR="00587AF0">
          <w:rPr>
            <w:noProof/>
            <w:webHidden/>
          </w:rPr>
          <w:t>51</w:t>
        </w:r>
        <w:r w:rsidR="007C6F59">
          <w:rPr>
            <w:noProof/>
            <w:webHidden/>
          </w:rPr>
          <w:fldChar w:fldCharType="end"/>
        </w:r>
      </w:hyperlink>
    </w:p>
    <w:p w14:paraId="4B7C48A7" w14:textId="3DF233BD"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54" w:history="1">
        <w:r w:rsidR="007C6F59" w:rsidRPr="00DF744B">
          <w:rPr>
            <w:rStyle w:val="Hyperlink"/>
            <w:noProof/>
          </w:rPr>
          <w:t xml:space="preserve">Table 14. Resulting </w:t>
        </w:r>
        <w:r w:rsidR="007C6F59" w:rsidRPr="00DF744B">
          <w:rPr>
            <w:rStyle w:val="Hyperlink"/>
            <w:i/>
            <w:noProof/>
          </w:rPr>
          <w:t>R</w:t>
        </w:r>
        <w:r w:rsidR="007C6F59" w:rsidRPr="00DF744B">
          <w:rPr>
            <w:rStyle w:val="Hyperlink"/>
            <w:noProof/>
            <w:vertAlign w:val="superscript"/>
          </w:rPr>
          <w:t>2</w:t>
        </w:r>
        <w:r w:rsidR="007C6F59" w:rsidRPr="00DF744B">
          <w:rPr>
            <w:rStyle w:val="Hyperlink"/>
            <w:noProof/>
          </w:rPr>
          <w:t xml:space="preserve"> values for the proposed MTBF linear function model</w:t>
        </w:r>
        <w:r w:rsidR="007C6F59">
          <w:rPr>
            <w:noProof/>
            <w:webHidden/>
          </w:rPr>
          <w:tab/>
        </w:r>
        <w:r w:rsidR="007C6F59">
          <w:rPr>
            <w:noProof/>
            <w:webHidden/>
          </w:rPr>
          <w:fldChar w:fldCharType="begin"/>
        </w:r>
        <w:r w:rsidR="007C6F59">
          <w:rPr>
            <w:noProof/>
            <w:webHidden/>
          </w:rPr>
          <w:instrText xml:space="preserve"> PAGEREF _Toc101274454 \h </w:instrText>
        </w:r>
        <w:r w:rsidR="007C6F59">
          <w:rPr>
            <w:noProof/>
            <w:webHidden/>
          </w:rPr>
        </w:r>
        <w:r w:rsidR="007C6F59">
          <w:rPr>
            <w:noProof/>
            <w:webHidden/>
          </w:rPr>
          <w:fldChar w:fldCharType="separate"/>
        </w:r>
        <w:r w:rsidR="00587AF0">
          <w:rPr>
            <w:noProof/>
            <w:webHidden/>
          </w:rPr>
          <w:t>52</w:t>
        </w:r>
        <w:r w:rsidR="007C6F59">
          <w:rPr>
            <w:noProof/>
            <w:webHidden/>
          </w:rPr>
          <w:fldChar w:fldCharType="end"/>
        </w:r>
      </w:hyperlink>
    </w:p>
    <w:p w14:paraId="79FC0F06" w14:textId="132C412B"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55" w:history="1">
        <w:r w:rsidR="007C6F59" w:rsidRPr="00DF744B">
          <w:rPr>
            <w:rStyle w:val="Hyperlink"/>
            <w:noProof/>
          </w:rPr>
          <w:t>Table 15. ANOVA results of coefficients used in the MLR models</w:t>
        </w:r>
        <w:r w:rsidR="007C6F59">
          <w:rPr>
            <w:noProof/>
            <w:webHidden/>
          </w:rPr>
          <w:tab/>
        </w:r>
        <w:r w:rsidR="007C6F59">
          <w:rPr>
            <w:noProof/>
            <w:webHidden/>
          </w:rPr>
          <w:fldChar w:fldCharType="begin"/>
        </w:r>
        <w:r w:rsidR="007C6F59">
          <w:rPr>
            <w:noProof/>
            <w:webHidden/>
          </w:rPr>
          <w:instrText xml:space="preserve"> PAGEREF _Toc101274455 \h </w:instrText>
        </w:r>
        <w:r w:rsidR="007C6F59">
          <w:rPr>
            <w:noProof/>
            <w:webHidden/>
          </w:rPr>
        </w:r>
        <w:r w:rsidR="007C6F59">
          <w:rPr>
            <w:noProof/>
            <w:webHidden/>
          </w:rPr>
          <w:fldChar w:fldCharType="separate"/>
        </w:r>
        <w:r w:rsidR="00587AF0">
          <w:rPr>
            <w:noProof/>
            <w:webHidden/>
          </w:rPr>
          <w:t>53</w:t>
        </w:r>
        <w:r w:rsidR="007C6F59">
          <w:rPr>
            <w:noProof/>
            <w:webHidden/>
          </w:rPr>
          <w:fldChar w:fldCharType="end"/>
        </w:r>
      </w:hyperlink>
    </w:p>
    <w:p w14:paraId="55D949A5" w14:textId="0494C459"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56" w:history="1">
        <w:r w:rsidR="007C6F59" w:rsidRPr="00DF744B">
          <w:rPr>
            <w:rStyle w:val="Hyperlink"/>
            <w:noProof/>
          </w:rPr>
          <w:t>Table 16. MTBF</w:t>
        </w:r>
        <w:r w:rsidR="007C6F59" w:rsidRPr="00DF744B">
          <w:rPr>
            <w:rStyle w:val="Hyperlink"/>
            <w:noProof/>
            <w:vertAlign w:val="subscript"/>
          </w:rPr>
          <w:t>LR</w:t>
        </w:r>
        <w:r w:rsidR="007C6F59" w:rsidRPr="00DF744B">
          <w:rPr>
            <w:rStyle w:val="Hyperlink"/>
            <w:noProof/>
          </w:rPr>
          <w:t xml:space="preserve"> for continuous and categorical coefficients</w:t>
        </w:r>
        <w:r w:rsidR="007C6F59">
          <w:rPr>
            <w:noProof/>
            <w:webHidden/>
          </w:rPr>
          <w:tab/>
        </w:r>
        <w:r w:rsidR="007C6F59">
          <w:rPr>
            <w:noProof/>
            <w:webHidden/>
          </w:rPr>
          <w:fldChar w:fldCharType="begin"/>
        </w:r>
        <w:r w:rsidR="007C6F59">
          <w:rPr>
            <w:noProof/>
            <w:webHidden/>
          </w:rPr>
          <w:instrText xml:space="preserve"> PAGEREF _Toc101274456 \h </w:instrText>
        </w:r>
        <w:r w:rsidR="007C6F59">
          <w:rPr>
            <w:noProof/>
            <w:webHidden/>
          </w:rPr>
        </w:r>
        <w:r w:rsidR="007C6F59">
          <w:rPr>
            <w:noProof/>
            <w:webHidden/>
          </w:rPr>
          <w:fldChar w:fldCharType="separate"/>
        </w:r>
        <w:r w:rsidR="00587AF0">
          <w:rPr>
            <w:noProof/>
            <w:webHidden/>
          </w:rPr>
          <w:t>54</w:t>
        </w:r>
        <w:r w:rsidR="007C6F59">
          <w:rPr>
            <w:noProof/>
            <w:webHidden/>
          </w:rPr>
          <w:fldChar w:fldCharType="end"/>
        </w:r>
      </w:hyperlink>
    </w:p>
    <w:p w14:paraId="0BEB3183" w14:textId="7AF49A4F"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57" w:history="1">
        <w:r w:rsidR="007C6F59" w:rsidRPr="00DF744B">
          <w:rPr>
            <w:rStyle w:val="Hyperlink"/>
            <w:noProof/>
          </w:rPr>
          <w:t>Table 17. Industrial machines utilising hydraulic control systems - descriptive statistics</w:t>
        </w:r>
        <w:r w:rsidR="007C6F59">
          <w:rPr>
            <w:noProof/>
            <w:webHidden/>
          </w:rPr>
          <w:tab/>
        </w:r>
        <w:r w:rsidR="007C6F59">
          <w:rPr>
            <w:noProof/>
            <w:webHidden/>
          </w:rPr>
          <w:fldChar w:fldCharType="begin"/>
        </w:r>
        <w:r w:rsidR="007C6F59">
          <w:rPr>
            <w:noProof/>
            <w:webHidden/>
          </w:rPr>
          <w:instrText xml:space="preserve"> PAGEREF _Toc101274457 \h </w:instrText>
        </w:r>
        <w:r w:rsidR="007C6F59">
          <w:rPr>
            <w:noProof/>
            <w:webHidden/>
          </w:rPr>
        </w:r>
        <w:r w:rsidR="007C6F59">
          <w:rPr>
            <w:noProof/>
            <w:webHidden/>
          </w:rPr>
          <w:fldChar w:fldCharType="separate"/>
        </w:r>
        <w:r w:rsidR="00587AF0">
          <w:rPr>
            <w:noProof/>
            <w:webHidden/>
          </w:rPr>
          <w:t>55</w:t>
        </w:r>
        <w:r w:rsidR="007C6F59">
          <w:rPr>
            <w:noProof/>
            <w:webHidden/>
          </w:rPr>
          <w:fldChar w:fldCharType="end"/>
        </w:r>
      </w:hyperlink>
    </w:p>
    <w:p w14:paraId="58D717A6" w14:textId="2517A15D"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58" w:history="1">
        <w:r w:rsidR="007C6F59" w:rsidRPr="00DF744B">
          <w:rPr>
            <w:rStyle w:val="Hyperlink"/>
            <w:noProof/>
          </w:rPr>
          <w:t>Table 18. Hydraulic system components of a rubber mixing machine</w:t>
        </w:r>
        <w:r w:rsidR="007C6F59">
          <w:rPr>
            <w:noProof/>
            <w:webHidden/>
          </w:rPr>
          <w:tab/>
        </w:r>
        <w:r w:rsidR="007C6F59">
          <w:rPr>
            <w:noProof/>
            <w:webHidden/>
          </w:rPr>
          <w:fldChar w:fldCharType="begin"/>
        </w:r>
        <w:r w:rsidR="007C6F59">
          <w:rPr>
            <w:noProof/>
            <w:webHidden/>
          </w:rPr>
          <w:instrText xml:space="preserve"> PAGEREF _Toc101274458 \h </w:instrText>
        </w:r>
        <w:r w:rsidR="007C6F59">
          <w:rPr>
            <w:noProof/>
            <w:webHidden/>
          </w:rPr>
        </w:r>
        <w:r w:rsidR="007C6F59">
          <w:rPr>
            <w:noProof/>
            <w:webHidden/>
          </w:rPr>
          <w:fldChar w:fldCharType="separate"/>
        </w:r>
        <w:r w:rsidR="00587AF0">
          <w:rPr>
            <w:noProof/>
            <w:webHidden/>
          </w:rPr>
          <w:t>57</w:t>
        </w:r>
        <w:r w:rsidR="007C6F59">
          <w:rPr>
            <w:noProof/>
            <w:webHidden/>
          </w:rPr>
          <w:fldChar w:fldCharType="end"/>
        </w:r>
      </w:hyperlink>
    </w:p>
    <w:p w14:paraId="4EB329D3" w14:textId="1C516E9F"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59" w:history="1">
        <w:r w:rsidR="007C6F59" w:rsidRPr="00DF744B">
          <w:rPr>
            <w:rStyle w:val="Hyperlink"/>
            <w:noProof/>
          </w:rPr>
          <w:t>Table 19. HLP 46 fluid characteristics from OEM</w:t>
        </w:r>
        <w:r w:rsidR="007C6F59">
          <w:rPr>
            <w:noProof/>
            <w:webHidden/>
          </w:rPr>
          <w:tab/>
        </w:r>
        <w:r w:rsidR="007C6F59">
          <w:rPr>
            <w:noProof/>
            <w:webHidden/>
          </w:rPr>
          <w:fldChar w:fldCharType="begin"/>
        </w:r>
        <w:r w:rsidR="007C6F59">
          <w:rPr>
            <w:noProof/>
            <w:webHidden/>
          </w:rPr>
          <w:instrText xml:space="preserve"> PAGEREF _Toc101274459 \h </w:instrText>
        </w:r>
        <w:r w:rsidR="007C6F59">
          <w:rPr>
            <w:noProof/>
            <w:webHidden/>
          </w:rPr>
        </w:r>
        <w:r w:rsidR="007C6F59">
          <w:rPr>
            <w:noProof/>
            <w:webHidden/>
          </w:rPr>
          <w:fldChar w:fldCharType="separate"/>
        </w:r>
        <w:r w:rsidR="00587AF0">
          <w:rPr>
            <w:noProof/>
            <w:webHidden/>
          </w:rPr>
          <w:t>59</w:t>
        </w:r>
        <w:r w:rsidR="007C6F59">
          <w:rPr>
            <w:noProof/>
            <w:webHidden/>
          </w:rPr>
          <w:fldChar w:fldCharType="end"/>
        </w:r>
      </w:hyperlink>
    </w:p>
    <w:p w14:paraId="4A585A6B" w14:textId="512B2C14"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60" w:history="1">
        <w:r w:rsidR="007C6F59" w:rsidRPr="00DF744B">
          <w:rPr>
            <w:rStyle w:val="Hyperlink"/>
            <w:noProof/>
          </w:rPr>
          <w:t>Table 20. Hydraulic fluid samples labelling and data explanation</w:t>
        </w:r>
        <w:r w:rsidR="007C6F59">
          <w:rPr>
            <w:noProof/>
            <w:webHidden/>
          </w:rPr>
          <w:tab/>
        </w:r>
        <w:r w:rsidR="007C6F59">
          <w:rPr>
            <w:noProof/>
            <w:webHidden/>
          </w:rPr>
          <w:fldChar w:fldCharType="begin"/>
        </w:r>
        <w:r w:rsidR="007C6F59">
          <w:rPr>
            <w:noProof/>
            <w:webHidden/>
          </w:rPr>
          <w:instrText xml:space="preserve"> PAGEREF _Toc101274460 \h </w:instrText>
        </w:r>
        <w:r w:rsidR="007C6F59">
          <w:rPr>
            <w:noProof/>
            <w:webHidden/>
          </w:rPr>
        </w:r>
        <w:r w:rsidR="007C6F59">
          <w:rPr>
            <w:noProof/>
            <w:webHidden/>
          </w:rPr>
          <w:fldChar w:fldCharType="separate"/>
        </w:r>
        <w:r w:rsidR="00587AF0">
          <w:rPr>
            <w:noProof/>
            <w:webHidden/>
          </w:rPr>
          <w:t>60</w:t>
        </w:r>
        <w:r w:rsidR="007C6F59">
          <w:rPr>
            <w:noProof/>
            <w:webHidden/>
          </w:rPr>
          <w:fldChar w:fldCharType="end"/>
        </w:r>
      </w:hyperlink>
    </w:p>
    <w:p w14:paraId="3A91A1C0" w14:textId="3ACBA31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61" w:history="1">
        <w:r w:rsidR="007C6F59" w:rsidRPr="00DF744B">
          <w:rPr>
            <w:rStyle w:val="Hyperlink"/>
            <w:noProof/>
          </w:rPr>
          <w:t>Table 21. Fluid sampling frequency with amounts and sampling method</w:t>
        </w:r>
        <w:r w:rsidR="007C6F59">
          <w:rPr>
            <w:noProof/>
            <w:webHidden/>
          </w:rPr>
          <w:tab/>
        </w:r>
        <w:r w:rsidR="007C6F59">
          <w:rPr>
            <w:noProof/>
            <w:webHidden/>
          </w:rPr>
          <w:fldChar w:fldCharType="begin"/>
        </w:r>
        <w:r w:rsidR="007C6F59">
          <w:rPr>
            <w:noProof/>
            <w:webHidden/>
          </w:rPr>
          <w:instrText xml:space="preserve"> PAGEREF _Toc101274461 \h </w:instrText>
        </w:r>
        <w:r w:rsidR="007C6F59">
          <w:rPr>
            <w:noProof/>
            <w:webHidden/>
          </w:rPr>
        </w:r>
        <w:r w:rsidR="007C6F59">
          <w:rPr>
            <w:noProof/>
            <w:webHidden/>
          </w:rPr>
          <w:fldChar w:fldCharType="separate"/>
        </w:r>
        <w:r w:rsidR="00587AF0">
          <w:rPr>
            <w:noProof/>
            <w:webHidden/>
          </w:rPr>
          <w:t>60</w:t>
        </w:r>
        <w:r w:rsidR="007C6F59">
          <w:rPr>
            <w:noProof/>
            <w:webHidden/>
          </w:rPr>
          <w:fldChar w:fldCharType="end"/>
        </w:r>
      </w:hyperlink>
    </w:p>
    <w:p w14:paraId="7FF70548" w14:textId="527FF68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62" w:history="1">
        <w:r w:rsidR="007C6F59" w:rsidRPr="00DF744B">
          <w:rPr>
            <w:rStyle w:val="Hyperlink"/>
            <w:noProof/>
          </w:rPr>
          <w:t>Table 22. Example of SCADA information obtained for specific batch cycle</w:t>
        </w:r>
        <w:r w:rsidR="007C6F59">
          <w:rPr>
            <w:noProof/>
            <w:webHidden/>
          </w:rPr>
          <w:tab/>
        </w:r>
        <w:r w:rsidR="007C6F59">
          <w:rPr>
            <w:noProof/>
            <w:webHidden/>
          </w:rPr>
          <w:fldChar w:fldCharType="begin"/>
        </w:r>
        <w:r w:rsidR="007C6F59">
          <w:rPr>
            <w:noProof/>
            <w:webHidden/>
          </w:rPr>
          <w:instrText xml:space="preserve"> PAGEREF _Toc101274462 \h </w:instrText>
        </w:r>
        <w:r w:rsidR="007C6F59">
          <w:rPr>
            <w:noProof/>
            <w:webHidden/>
          </w:rPr>
        </w:r>
        <w:r w:rsidR="007C6F59">
          <w:rPr>
            <w:noProof/>
            <w:webHidden/>
          </w:rPr>
          <w:fldChar w:fldCharType="separate"/>
        </w:r>
        <w:r w:rsidR="00587AF0">
          <w:rPr>
            <w:noProof/>
            <w:webHidden/>
          </w:rPr>
          <w:t>64</w:t>
        </w:r>
        <w:r w:rsidR="007C6F59">
          <w:rPr>
            <w:noProof/>
            <w:webHidden/>
          </w:rPr>
          <w:fldChar w:fldCharType="end"/>
        </w:r>
      </w:hyperlink>
    </w:p>
    <w:p w14:paraId="4292A6BF" w14:textId="0047E62D"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63" w:history="1">
        <w:r w:rsidR="007C6F59" w:rsidRPr="00DF744B">
          <w:rPr>
            <w:rStyle w:val="Hyperlink"/>
            <w:noProof/>
          </w:rPr>
          <w:t>Table 23. Grubb’s test for outliers</w:t>
        </w:r>
        <w:r w:rsidR="007C6F59">
          <w:rPr>
            <w:noProof/>
            <w:webHidden/>
          </w:rPr>
          <w:tab/>
        </w:r>
        <w:r w:rsidR="007C6F59">
          <w:rPr>
            <w:noProof/>
            <w:webHidden/>
          </w:rPr>
          <w:fldChar w:fldCharType="begin"/>
        </w:r>
        <w:r w:rsidR="007C6F59">
          <w:rPr>
            <w:noProof/>
            <w:webHidden/>
          </w:rPr>
          <w:instrText xml:space="preserve"> PAGEREF _Toc101274463 \h </w:instrText>
        </w:r>
        <w:r w:rsidR="007C6F59">
          <w:rPr>
            <w:noProof/>
            <w:webHidden/>
          </w:rPr>
        </w:r>
        <w:r w:rsidR="007C6F59">
          <w:rPr>
            <w:noProof/>
            <w:webHidden/>
          </w:rPr>
          <w:fldChar w:fldCharType="separate"/>
        </w:r>
        <w:r w:rsidR="00587AF0">
          <w:rPr>
            <w:noProof/>
            <w:webHidden/>
          </w:rPr>
          <w:t>67</w:t>
        </w:r>
        <w:r w:rsidR="007C6F59">
          <w:rPr>
            <w:noProof/>
            <w:webHidden/>
          </w:rPr>
          <w:fldChar w:fldCharType="end"/>
        </w:r>
      </w:hyperlink>
    </w:p>
    <w:p w14:paraId="0F13D684" w14:textId="3D9FB82B"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64" w:history="1">
        <w:r w:rsidR="007C6F59" w:rsidRPr="00DF744B">
          <w:rPr>
            <w:rStyle w:val="Hyperlink"/>
            <w:noProof/>
          </w:rPr>
          <w:t>Table 24. Anderson-Darling normality test (with α &lt; 0.05)</w:t>
        </w:r>
        <w:r w:rsidR="007C6F59">
          <w:rPr>
            <w:noProof/>
            <w:webHidden/>
          </w:rPr>
          <w:tab/>
        </w:r>
        <w:r w:rsidR="007C6F59">
          <w:rPr>
            <w:noProof/>
            <w:webHidden/>
          </w:rPr>
          <w:fldChar w:fldCharType="begin"/>
        </w:r>
        <w:r w:rsidR="007C6F59">
          <w:rPr>
            <w:noProof/>
            <w:webHidden/>
          </w:rPr>
          <w:instrText xml:space="preserve"> PAGEREF _Toc101274464 \h </w:instrText>
        </w:r>
        <w:r w:rsidR="007C6F59">
          <w:rPr>
            <w:noProof/>
            <w:webHidden/>
          </w:rPr>
        </w:r>
        <w:r w:rsidR="007C6F59">
          <w:rPr>
            <w:noProof/>
            <w:webHidden/>
          </w:rPr>
          <w:fldChar w:fldCharType="separate"/>
        </w:r>
        <w:r w:rsidR="00587AF0">
          <w:rPr>
            <w:noProof/>
            <w:webHidden/>
          </w:rPr>
          <w:t>67</w:t>
        </w:r>
        <w:r w:rsidR="007C6F59">
          <w:rPr>
            <w:noProof/>
            <w:webHidden/>
          </w:rPr>
          <w:fldChar w:fldCharType="end"/>
        </w:r>
      </w:hyperlink>
    </w:p>
    <w:p w14:paraId="0719335D" w14:textId="6262C478"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65" w:history="1">
        <w:r w:rsidR="007C6F59" w:rsidRPr="00DF744B">
          <w:rPr>
            <w:rStyle w:val="Hyperlink"/>
            <w:noProof/>
          </w:rPr>
          <w:t>Table 25. Correlation matrix – APC readings and hydraulic power per cycle</w:t>
        </w:r>
        <w:r w:rsidR="007C6F59">
          <w:rPr>
            <w:noProof/>
            <w:webHidden/>
          </w:rPr>
          <w:tab/>
        </w:r>
        <w:r w:rsidR="007C6F59">
          <w:rPr>
            <w:noProof/>
            <w:webHidden/>
          </w:rPr>
          <w:fldChar w:fldCharType="begin"/>
        </w:r>
        <w:r w:rsidR="007C6F59">
          <w:rPr>
            <w:noProof/>
            <w:webHidden/>
          </w:rPr>
          <w:instrText xml:space="preserve"> PAGEREF _Toc101274465 \h </w:instrText>
        </w:r>
        <w:r w:rsidR="007C6F59">
          <w:rPr>
            <w:noProof/>
            <w:webHidden/>
          </w:rPr>
        </w:r>
        <w:r w:rsidR="007C6F59">
          <w:rPr>
            <w:noProof/>
            <w:webHidden/>
          </w:rPr>
          <w:fldChar w:fldCharType="separate"/>
        </w:r>
        <w:r w:rsidR="00587AF0">
          <w:rPr>
            <w:noProof/>
            <w:webHidden/>
          </w:rPr>
          <w:t>69</w:t>
        </w:r>
        <w:r w:rsidR="007C6F59">
          <w:rPr>
            <w:noProof/>
            <w:webHidden/>
          </w:rPr>
          <w:fldChar w:fldCharType="end"/>
        </w:r>
      </w:hyperlink>
    </w:p>
    <w:p w14:paraId="6CD42D1B" w14:textId="7361C8A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66" w:history="1">
        <w:r w:rsidR="007C6F59" w:rsidRPr="00DF744B">
          <w:rPr>
            <w:rStyle w:val="Hyperlink"/>
            <w:noProof/>
          </w:rPr>
          <w:t>Table 26. Correlation matrix – the relationship between LCM and hydraulic power</w:t>
        </w:r>
        <w:r w:rsidR="007C6F59">
          <w:rPr>
            <w:noProof/>
            <w:webHidden/>
          </w:rPr>
          <w:tab/>
        </w:r>
        <w:r w:rsidR="007C6F59">
          <w:rPr>
            <w:noProof/>
            <w:webHidden/>
          </w:rPr>
          <w:fldChar w:fldCharType="begin"/>
        </w:r>
        <w:r w:rsidR="007C6F59">
          <w:rPr>
            <w:noProof/>
            <w:webHidden/>
          </w:rPr>
          <w:instrText xml:space="preserve"> PAGEREF _Toc101274466 \h </w:instrText>
        </w:r>
        <w:r w:rsidR="007C6F59">
          <w:rPr>
            <w:noProof/>
            <w:webHidden/>
          </w:rPr>
        </w:r>
        <w:r w:rsidR="007C6F59">
          <w:rPr>
            <w:noProof/>
            <w:webHidden/>
          </w:rPr>
          <w:fldChar w:fldCharType="separate"/>
        </w:r>
        <w:r w:rsidR="00587AF0">
          <w:rPr>
            <w:noProof/>
            <w:webHidden/>
          </w:rPr>
          <w:t>69</w:t>
        </w:r>
        <w:r w:rsidR="007C6F59">
          <w:rPr>
            <w:noProof/>
            <w:webHidden/>
          </w:rPr>
          <w:fldChar w:fldCharType="end"/>
        </w:r>
      </w:hyperlink>
    </w:p>
    <w:p w14:paraId="22D35919" w14:textId="73FE659A"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67" w:history="1">
        <w:r w:rsidR="007C6F59" w:rsidRPr="00DF744B">
          <w:rPr>
            <w:rStyle w:val="Hyperlink"/>
            <w:noProof/>
          </w:rPr>
          <w:t>Table 27. Naïve Bayes Model Training Summary for Naïve Bayes classification algorithm</w:t>
        </w:r>
        <w:r w:rsidR="007C6F59">
          <w:rPr>
            <w:noProof/>
            <w:webHidden/>
          </w:rPr>
          <w:tab/>
        </w:r>
        <w:r w:rsidR="007C6F59">
          <w:rPr>
            <w:noProof/>
            <w:webHidden/>
          </w:rPr>
          <w:fldChar w:fldCharType="begin"/>
        </w:r>
        <w:r w:rsidR="007C6F59">
          <w:rPr>
            <w:noProof/>
            <w:webHidden/>
          </w:rPr>
          <w:instrText xml:space="preserve"> PAGEREF _Toc101274467 \h </w:instrText>
        </w:r>
        <w:r w:rsidR="007C6F59">
          <w:rPr>
            <w:noProof/>
            <w:webHidden/>
          </w:rPr>
        </w:r>
        <w:r w:rsidR="007C6F59">
          <w:rPr>
            <w:noProof/>
            <w:webHidden/>
          </w:rPr>
          <w:fldChar w:fldCharType="separate"/>
        </w:r>
        <w:r w:rsidR="00587AF0">
          <w:rPr>
            <w:noProof/>
            <w:webHidden/>
          </w:rPr>
          <w:t>103</w:t>
        </w:r>
        <w:r w:rsidR="007C6F59">
          <w:rPr>
            <w:noProof/>
            <w:webHidden/>
          </w:rPr>
          <w:fldChar w:fldCharType="end"/>
        </w:r>
      </w:hyperlink>
    </w:p>
    <w:p w14:paraId="210DEA54" w14:textId="10D2F036"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68" w:history="1">
        <w:r w:rsidR="007C6F59" w:rsidRPr="00DF744B">
          <w:rPr>
            <w:rStyle w:val="Hyperlink"/>
            <w:noProof/>
          </w:rPr>
          <w:t>Table 28. Naïve Bayes Model Testing Summary for Naïve Bayes classification algorithm</w:t>
        </w:r>
        <w:r w:rsidR="007C6F59">
          <w:rPr>
            <w:noProof/>
            <w:webHidden/>
          </w:rPr>
          <w:tab/>
        </w:r>
        <w:r w:rsidR="007C6F59">
          <w:rPr>
            <w:noProof/>
            <w:webHidden/>
          </w:rPr>
          <w:fldChar w:fldCharType="begin"/>
        </w:r>
        <w:r w:rsidR="007C6F59">
          <w:rPr>
            <w:noProof/>
            <w:webHidden/>
          </w:rPr>
          <w:instrText xml:space="preserve"> PAGEREF _Toc101274468 \h </w:instrText>
        </w:r>
        <w:r w:rsidR="007C6F59">
          <w:rPr>
            <w:noProof/>
            <w:webHidden/>
          </w:rPr>
        </w:r>
        <w:r w:rsidR="007C6F59">
          <w:rPr>
            <w:noProof/>
            <w:webHidden/>
          </w:rPr>
          <w:fldChar w:fldCharType="separate"/>
        </w:r>
        <w:r w:rsidR="00587AF0">
          <w:rPr>
            <w:noProof/>
            <w:webHidden/>
          </w:rPr>
          <w:t>103</w:t>
        </w:r>
        <w:r w:rsidR="007C6F59">
          <w:rPr>
            <w:noProof/>
            <w:webHidden/>
          </w:rPr>
          <w:fldChar w:fldCharType="end"/>
        </w:r>
      </w:hyperlink>
    </w:p>
    <w:p w14:paraId="2DE34E9E" w14:textId="0B1B278A"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69" w:history="1">
        <w:r w:rsidR="007C6F59" w:rsidRPr="00DF744B">
          <w:rPr>
            <w:rStyle w:val="Hyperlink"/>
            <w:noProof/>
          </w:rPr>
          <w:t>Table 29. Prior parameters of training dataset for opening saddle position</w:t>
        </w:r>
        <w:r w:rsidR="007C6F59">
          <w:rPr>
            <w:noProof/>
            <w:webHidden/>
          </w:rPr>
          <w:tab/>
        </w:r>
        <w:r w:rsidR="007C6F59">
          <w:rPr>
            <w:noProof/>
            <w:webHidden/>
          </w:rPr>
          <w:fldChar w:fldCharType="begin"/>
        </w:r>
        <w:r w:rsidR="007C6F59">
          <w:rPr>
            <w:noProof/>
            <w:webHidden/>
          </w:rPr>
          <w:instrText xml:space="preserve"> PAGEREF _Toc101274469 \h </w:instrText>
        </w:r>
        <w:r w:rsidR="007C6F59">
          <w:rPr>
            <w:noProof/>
            <w:webHidden/>
          </w:rPr>
        </w:r>
        <w:r w:rsidR="007C6F59">
          <w:rPr>
            <w:noProof/>
            <w:webHidden/>
          </w:rPr>
          <w:fldChar w:fldCharType="separate"/>
        </w:r>
        <w:r w:rsidR="00587AF0">
          <w:rPr>
            <w:noProof/>
            <w:webHidden/>
          </w:rPr>
          <w:t>104</w:t>
        </w:r>
        <w:r w:rsidR="007C6F59">
          <w:rPr>
            <w:noProof/>
            <w:webHidden/>
          </w:rPr>
          <w:fldChar w:fldCharType="end"/>
        </w:r>
      </w:hyperlink>
    </w:p>
    <w:p w14:paraId="044BBC6C" w14:textId="47B17F5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70" w:history="1">
        <w:r w:rsidR="007C6F59" w:rsidRPr="00DF744B">
          <w:rPr>
            <w:rStyle w:val="Hyperlink"/>
            <w:noProof/>
          </w:rPr>
          <w:t>Table 30. Naïve Bayes classification matrix score for opening saddle position</w:t>
        </w:r>
        <w:r w:rsidR="007C6F59">
          <w:rPr>
            <w:noProof/>
            <w:webHidden/>
          </w:rPr>
          <w:tab/>
        </w:r>
        <w:r w:rsidR="007C6F59">
          <w:rPr>
            <w:noProof/>
            <w:webHidden/>
          </w:rPr>
          <w:fldChar w:fldCharType="begin"/>
        </w:r>
        <w:r w:rsidR="007C6F59">
          <w:rPr>
            <w:noProof/>
            <w:webHidden/>
          </w:rPr>
          <w:instrText xml:space="preserve"> PAGEREF _Toc101274470 \h </w:instrText>
        </w:r>
        <w:r w:rsidR="007C6F59">
          <w:rPr>
            <w:noProof/>
            <w:webHidden/>
          </w:rPr>
        </w:r>
        <w:r w:rsidR="007C6F59">
          <w:rPr>
            <w:noProof/>
            <w:webHidden/>
          </w:rPr>
          <w:fldChar w:fldCharType="separate"/>
        </w:r>
        <w:r w:rsidR="00587AF0">
          <w:rPr>
            <w:noProof/>
            <w:webHidden/>
          </w:rPr>
          <w:t>106</w:t>
        </w:r>
        <w:r w:rsidR="007C6F59">
          <w:rPr>
            <w:noProof/>
            <w:webHidden/>
          </w:rPr>
          <w:fldChar w:fldCharType="end"/>
        </w:r>
      </w:hyperlink>
    </w:p>
    <w:p w14:paraId="68883779" w14:textId="3AC98117"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71" w:history="1">
        <w:r w:rsidR="007C6F59" w:rsidRPr="00DF744B">
          <w:rPr>
            <w:rStyle w:val="Hyperlink"/>
            <w:noProof/>
          </w:rPr>
          <w:t>Table 31. Model summary for opening saddle position</w:t>
        </w:r>
        <w:r w:rsidR="007C6F59">
          <w:rPr>
            <w:noProof/>
            <w:webHidden/>
          </w:rPr>
          <w:tab/>
        </w:r>
        <w:r w:rsidR="007C6F59">
          <w:rPr>
            <w:noProof/>
            <w:webHidden/>
          </w:rPr>
          <w:fldChar w:fldCharType="begin"/>
        </w:r>
        <w:r w:rsidR="007C6F59">
          <w:rPr>
            <w:noProof/>
            <w:webHidden/>
          </w:rPr>
          <w:instrText xml:space="preserve"> PAGEREF _Toc101274471 \h </w:instrText>
        </w:r>
        <w:r w:rsidR="007C6F59">
          <w:rPr>
            <w:noProof/>
            <w:webHidden/>
          </w:rPr>
        </w:r>
        <w:r w:rsidR="007C6F59">
          <w:rPr>
            <w:noProof/>
            <w:webHidden/>
          </w:rPr>
          <w:fldChar w:fldCharType="separate"/>
        </w:r>
        <w:r w:rsidR="00587AF0">
          <w:rPr>
            <w:noProof/>
            <w:webHidden/>
          </w:rPr>
          <w:t>108</w:t>
        </w:r>
        <w:r w:rsidR="007C6F59">
          <w:rPr>
            <w:noProof/>
            <w:webHidden/>
          </w:rPr>
          <w:fldChar w:fldCharType="end"/>
        </w:r>
      </w:hyperlink>
    </w:p>
    <w:p w14:paraId="4CC51EA8" w14:textId="0534466E"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72" w:history="1">
        <w:r w:rsidR="007C6F59" w:rsidRPr="00DF744B">
          <w:rPr>
            <w:rStyle w:val="Hyperlink"/>
            <w:noProof/>
          </w:rPr>
          <w:t>Table 32. Neural network information and parameters for opening saddle position</w:t>
        </w:r>
        <w:r w:rsidR="007C6F59">
          <w:rPr>
            <w:noProof/>
            <w:webHidden/>
          </w:rPr>
          <w:tab/>
        </w:r>
        <w:r w:rsidR="007C6F59">
          <w:rPr>
            <w:noProof/>
            <w:webHidden/>
          </w:rPr>
          <w:fldChar w:fldCharType="begin"/>
        </w:r>
        <w:r w:rsidR="007C6F59">
          <w:rPr>
            <w:noProof/>
            <w:webHidden/>
          </w:rPr>
          <w:instrText xml:space="preserve"> PAGEREF _Toc101274472 \h </w:instrText>
        </w:r>
        <w:r w:rsidR="007C6F59">
          <w:rPr>
            <w:noProof/>
            <w:webHidden/>
          </w:rPr>
        </w:r>
        <w:r w:rsidR="007C6F59">
          <w:rPr>
            <w:noProof/>
            <w:webHidden/>
          </w:rPr>
          <w:fldChar w:fldCharType="separate"/>
        </w:r>
        <w:r w:rsidR="00587AF0">
          <w:rPr>
            <w:noProof/>
            <w:webHidden/>
          </w:rPr>
          <w:t>109</w:t>
        </w:r>
        <w:r w:rsidR="007C6F59">
          <w:rPr>
            <w:noProof/>
            <w:webHidden/>
          </w:rPr>
          <w:fldChar w:fldCharType="end"/>
        </w:r>
      </w:hyperlink>
    </w:p>
    <w:p w14:paraId="4135FCFB" w14:textId="2F1A7E0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73" w:history="1">
        <w:r w:rsidR="007C6F59" w:rsidRPr="00DF744B">
          <w:rPr>
            <w:rStyle w:val="Hyperlink"/>
            <w:noProof/>
          </w:rPr>
          <w:t>Table 33. Training Model summary for opening saddle position</w:t>
        </w:r>
        <w:r w:rsidR="007C6F59">
          <w:rPr>
            <w:noProof/>
            <w:webHidden/>
          </w:rPr>
          <w:tab/>
        </w:r>
        <w:r w:rsidR="007C6F59">
          <w:rPr>
            <w:noProof/>
            <w:webHidden/>
          </w:rPr>
          <w:fldChar w:fldCharType="begin"/>
        </w:r>
        <w:r w:rsidR="007C6F59">
          <w:rPr>
            <w:noProof/>
            <w:webHidden/>
          </w:rPr>
          <w:instrText xml:space="preserve"> PAGEREF _Toc101274473 \h </w:instrText>
        </w:r>
        <w:r w:rsidR="007C6F59">
          <w:rPr>
            <w:noProof/>
            <w:webHidden/>
          </w:rPr>
        </w:r>
        <w:r w:rsidR="007C6F59">
          <w:rPr>
            <w:noProof/>
            <w:webHidden/>
          </w:rPr>
          <w:fldChar w:fldCharType="separate"/>
        </w:r>
        <w:r w:rsidR="00587AF0">
          <w:rPr>
            <w:noProof/>
            <w:webHidden/>
          </w:rPr>
          <w:t>109</w:t>
        </w:r>
        <w:r w:rsidR="007C6F59">
          <w:rPr>
            <w:noProof/>
            <w:webHidden/>
          </w:rPr>
          <w:fldChar w:fldCharType="end"/>
        </w:r>
      </w:hyperlink>
    </w:p>
    <w:p w14:paraId="4F36FCE1" w14:textId="648D4504"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74" w:history="1">
        <w:r w:rsidR="007C6F59" w:rsidRPr="00DF744B">
          <w:rPr>
            <w:rStyle w:val="Hyperlink"/>
            <w:noProof/>
          </w:rPr>
          <w:t>Table 34. Training parameter estimates for opening saddle position</w:t>
        </w:r>
        <w:r w:rsidR="007C6F59">
          <w:rPr>
            <w:noProof/>
            <w:webHidden/>
          </w:rPr>
          <w:tab/>
        </w:r>
        <w:r w:rsidR="007C6F59">
          <w:rPr>
            <w:noProof/>
            <w:webHidden/>
          </w:rPr>
          <w:fldChar w:fldCharType="begin"/>
        </w:r>
        <w:r w:rsidR="007C6F59">
          <w:rPr>
            <w:noProof/>
            <w:webHidden/>
          </w:rPr>
          <w:instrText xml:space="preserve"> PAGEREF _Toc101274474 \h </w:instrText>
        </w:r>
        <w:r w:rsidR="007C6F59">
          <w:rPr>
            <w:noProof/>
            <w:webHidden/>
          </w:rPr>
        </w:r>
        <w:r w:rsidR="007C6F59">
          <w:rPr>
            <w:noProof/>
            <w:webHidden/>
          </w:rPr>
          <w:fldChar w:fldCharType="separate"/>
        </w:r>
        <w:r w:rsidR="00587AF0">
          <w:rPr>
            <w:noProof/>
            <w:webHidden/>
          </w:rPr>
          <w:t>109</w:t>
        </w:r>
        <w:r w:rsidR="007C6F59">
          <w:rPr>
            <w:noProof/>
            <w:webHidden/>
          </w:rPr>
          <w:fldChar w:fldCharType="end"/>
        </w:r>
      </w:hyperlink>
    </w:p>
    <w:p w14:paraId="0B901976" w14:textId="2B081EF8"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75" w:history="1">
        <w:r w:rsidR="007C6F59" w:rsidRPr="00DF744B">
          <w:rPr>
            <w:rStyle w:val="Hyperlink"/>
            <w:noProof/>
          </w:rPr>
          <w:t>Table 35. Independent variable importance of ANN at opening saddle position</w:t>
        </w:r>
        <w:r w:rsidR="007C6F59">
          <w:rPr>
            <w:noProof/>
            <w:webHidden/>
          </w:rPr>
          <w:tab/>
        </w:r>
        <w:r w:rsidR="007C6F59">
          <w:rPr>
            <w:noProof/>
            <w:webHidden/>
          </w:rPr>
          <w:fldChar w:fldCharType="begin"/>
        </w:r>
        <w:r w:rsidR="007C6F59">
          <w:rPr>
            <w:noProof/>
            <w:webHidden/>
          </w:rPr>
          <w:instrText xml:space="preserve"> PAGEREF _Toc101274475 \h </w:instrText>
        </w:r>
        <w:r w:rsidR="007C6F59">
          <w:rPr>
            <w:noProof/>
            <w:webHidden/>
          </w:rPr>
        </w:r>
        <w:r w:rsidR="007C6F59">
          <w:rPr>
            <w:noProof/>
            <w:webHidden/>
          </w:rPr>
          <w:fldChar w:fldCharType="separate"/>
        </w:r>
        <w:r w:rsidR="00587AF0">
          <w:rPr>
            <w:noProof/>
            <w:webHidden/>
          </w:rPr>
          <w:t>111</w:t>
        </w:r>
        <w:r w:rsidR="007C6F59">
          <w:rPr>
            <w:noProof/>
            <w:webHidden/>
          </w:rPr>
          <w:fldChar w:fldCharType="end"/>
        </w:r>
      </w:hyperlink>
    </w:p>
    <w:p w14:paraId="322D6F8D" w14:textId="0D4B817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76" w:history="1">
        <w:r w:rsidR="007C6F59" w:rsidRPr="00DF744B">
          <w:rPr>
            <w:rStyle w:val="Hyperlink"/>
            <w:noProof/>
          </w:rPr>
          <w:t>Table 36. Classification results of Neural Network for opening saddle position</w:t>
        </w:r>
        <w:r w:rsidR="007C6F59">
          <w:rPr>
            <w:noProof/>
            <w:webHidden/>
          </w:rPr>
          <w:tab/>
        </w:r>
        <w:r w:rsidR="007C6F59">
          <w:rPr>
            <w:noProof/>
            <w:webHidden/>
          </w:rPr>
          <w:fldChar w:fldCharType="begin"/>
        </w:r>
        <w:r w:rsidR="007C6F59">
          <w:rPr>
            <w:noProof/>
            <w:webHidden/>
          </w:rPr>
          <w:instrText xml:space="preserve"> PAGEREF _Toc101274476 \h </w:instrText>
        </w:r>
        <w:r w:rsidR="007C6F59">
          <w:rPr>
            <w:noProof/>
            <w:webHidden/>
          </w:rPr>
        </w:r>
        <w:r w:rsidR="007C6F59">
          <w:rPr>
            <w:noProof/>
            <w:webHidden/>
          </w:rPr>
          <w:fldChar w:fldCharType="separate"/>
        </w:r>
        <w:r w:rsidR="00587AF0">
          <w:rPr>
            <w:noProof/>
            <w:webHidden/>
          </w:rPr>
          <w:t>111</w:t>
        </w:r>
        <w:r w:rsidR="007C6F59">
          <w:rPr>
            <w:noProof/>
            <w:webHidden/>
          </w:rPr>
          <w:fldChar w:fldCharType="end"/>
        </w:r>
      </w:hyperlink>
    </w:p>
    <w:p w14:paraId="141D4A18" w14:textId="4362EA2C"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77" w:history="1">
        <w:r w:rsidR="007C6F59" w:rsidRPr="00DF744B">
          <w:rPr>
            <w:rStyle w:val="Hyperlink"/>
            <w:noProof/>
          </w:rPr>
          <w:t>Table 37. Case processing summary of training data at idle saddle position</w:t>
        </w:r>
        <w:r w:rsidR="007C6F59">
          <w:rPr>
            <w:noProof/>
            <w:webHidden/>
          </w:rPr>
          <w:tab/>
        </w:r>
        <w:r w:rsidR="007C6F59">
          <w:rPr>
            <w:noProof/>
            <w:webHidden/>
          </w:rPr>
          <w:fldChar w:fldCharType="begin"/>
        </w:r>
        <w:r w:rsidR="007C6F59">
          <w:rPr>
            <w:noProof/>
            <w:webHidden/>
          </w:rPr>
          <w:instrText xml:space="preserve"> PAGEREF _Toc101274477 \h </w:instrText>
        </w:r>
        <w:r w:rsidR="007C6F59">
          <w:rPr>
            <w:noProof/>
            <w:webHidden/>
          </w:rPr>
        </w:r>
        <w:r w:rsidR="007C6F59">
          <w:rPr>
            <w:noProof/>
            <w:webHidden/>
          </w:rPr>
          <w:fldChar w:fldCharType="separate"/>
        </w:r>
        <w:r w:rsidR="00587AF0">
          <w:rPr>
            <w:noProof/>
            <w:webHidden/>
          </w:rPr>
          <w:t>112</w:t>
        </w:r>
        <w:r w:rsidR="007C6F59">
          <w:rPr>
            <w:noProof/>
            <w:webHidden/>
          </w:rPr>
          <w:fldChar w:fldCharType="end"/>
        </w:r>
      </w:hyperlink>
    </w:p>
    <w:p w14:paraId="42B03457" w14:textId="56CD9596"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78" w:history="1">
        <w:r w:rsidR="007C6F59" w:rsidRPr="00DF744B">
          <w:rPr>
            <w:rStyle w:val="Hyperlink"/>
            <w:noProof/>
          </w:rPr>
          <w:t>Table 38. Neural network information and parameters for idle saddle position</w:t>
        </w:r>
        <w:r w:rsidR="007C6F59">
          <w:rPr>
            <w:noProof/>
            <w:webHidden/>
          </w:rPr>
          <w:tab/>
        </w:r>
        <w:r w:rsidR="007C6F59">
          <w:rPr>
            <w:noProof/>
            <w:webHidden/>
          </w:rPr>
          <w:fldChar w:fldCharType="begin"/>
        </w:r>
        <w:r w:rsidR="007C6F59">
          <w:rPr>
            <w:noProof/>
            <w:webHidden/>
          </w:rPr>
          <w:instrText xml:space="preserve"> PAGEREF _Toc101274478 \h </w:instrText>
        </w:r>
        <w:r w:rsidR="007C6F59">
          <w:rPr>
            <w:noProof/>
            <w:webHidden/>
          </w:rPr>
        </w:r>
        <w:r w:rsidR="007C6F59">
          <w:rPr>
            <w:noProof/>
            <w:webHidden/>
          </w:rPr>
          <w:fldChar w:fldCharType="separate"/>
        </w:r>
        <w:r w:rsidR="00587AF0">
          <w:rPr>
            <w:noProof/>
            <w:webHidden/>
          </w:rPr>
          <w:t>112</w:t>
        </w:r>
        <w:r w:rsidR="007C6F59">
          <w:rPr>
            <w:noProof/>
            <w:webHidden/>
          </w:rPr>
          <w:fldChar w:fldCharType="end"/>
        </w:r>
      </w:hyperlink>
    </w:p>
    <w:p w14:paraId="7CD4BB3A" w14:textId="4F8A0746"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79" w:history="1">
        <w:r w:rsidR="007C6F59" w:rsidRPr="00DF744B">
          <w:rPr>
            <w:rStyle w:val="Hyperlink"/>
            <w:noProof/>
          </w:rPr>
          <w:t>Table 39. ANN training summary at idle saddle position</w:t>
        </w:r>
        <w:r w:rsidR="007C6F59">
          <w:rPr>
            <w:noProof/>
            <w:webHidden/>
          </w:rPr>
          <w:tab/>
        </w:r>
        <w:r w:rsidR="007C6F59">
          <w:rPr>
            <w:noProof/>
            <w:webHidden/>
          </w:rPr>
          <w:fldChar w:fldCharType="begin"/>
        </w:r>
        <w:r w:rsidR="007C6F59">
          <w:rPr>
            <w:noProof/>
            <w:webHidden/>
          </w:rPr>
          <w:instrText xml:space="preserve"> PAGEREF _Toc101274479 \h </w:instrText>
        </w:r>
        <w:r w:rsidR="007C6F59">
          <w:rPr>
            <w:noProof/>
            <w:webHidden/>
          </w:rPr>
        </w:r>
        <w:r w:rsidR="007C6F59">
          <w:rPr>
            <w:noProof/>
            <w:webHidden/>
          </w:rPr>
          <w:fldChar w:fldCharType="separate"/>
        </w:r>
        <w:r w:rsidR="00587AF0">
          <w:rPr>
            <w:noProof/>
            <w:webHidden/>
          </w:rPr>
          <w:t>112</w:t>
        </w:r>
        <w:r w:rsidR="007C6F59">
          <w:rPr>
            <w:noProof/>
            <w:webHidden/>
          </w:rPr>
          <w:fldChar w:fldCharType="end"/>
        </w:r>
      </w:hyperlink>
    </w:p>
    <w:p w14:paraId="081FA72B" w14:textId="7DACFB3C"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80" w:history="1">
        <w:r w:rsidR="007C6F59" w:rsidRPr="00DF744B">
          <w:rPr>
            <w:rStyle w:val="Hyperlink"/>
            <w:noProof/>
          </w:rPr>
          <w:t>Table 40. Parameter estimates for ANN at idle saddle position</w:t>
        </w:r>
        <w:r w:rsidR="007C6F59">
          <w:rPr>
            <w:noProof/>
            <w:webHidden/>
          </w:rPr>
          <w:tab/>
        </w:r>
        <w:r w:rsidR="007C6F59">
          <w:rPr>
            <w:noProof/>
            <w:webHidden/>
          </w:rPr>
          <w:fldChar w:fldCharType="begin"/>
        </w:r>
        <w:r w:rsidR="007C6F59">
          <w:rPr>
            <w:noProof/>
            <w:webHidden/>
          </w:rPr>
          <w:instrText xml:space="preserve"> PAGEREF _Toc101274480 \h </w:instrText>
        </w:r>
        <w:r w:rsidR="007C6F59">
          <w:rPr>
            <w:noProof/>
            <w:webHidden/>
          </w:rPr>
        </w:r>
        <w:r w:rsidR="007C6F59">
          <w:rPr>
            <w:noProof/>
            <w:webHidden/>
          </w:rPr>
          <w:fldChar w:fldCharType="separate"/>
        </w:r>
        <w:r w:rsidR="00587AF0">
          <w:rPr>
            <w:noProof/>
            <w:webHidden/>
          </w:rPr>
          <w:t>114</w:t>
        </w:r>
        <w:r w:rsidR="007C6F59">
          <w:rPr>
            <w:noProof/>
            <w:webHidden/>
          </w:rPr>
          <w:fldChar w:fldCharType="end"/>
        </w:r>
      </w:hyperlink>
    </w:p>
    <w:p w14:paraId="415CE347" w14:textId="5B79BAC8"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81" w:history="1">
        <w:r w:rsidR="007C6F59" w:rsidRPr="00DF744B">
          <w:rPr>
            <w:rStyle w:val="Hyperlink"/>
            <w:noProof/>
          </w:rPr>
          <w:t>Table 41. Independent variable importance of ANN at idle saddle position</w:t>
        </w:r>
        <w:r w:rsidR="007C6F59">
          <w:rPr>
            <w:noProof/>
            <w:webHidden/>
          </w:rPr>
          <w:tab/>
        </w:r>
        <w:r w:rsidR="007C6F59">
          <w:rPr>
            <w:noProof/>
            <w:webHidden/>
          </w:rPr>
          <w:fldChar w:fldCharType="begin"/>
        </w:r>
        <w:r w:rsidR="007C6F59">
          <w:rPr>
            <w:noProof/>
            <w:webHidden/>
          </w:rPr>
          <w:instrText xml:space="preserve"> PAGEREF _Toc101274481 \h </w:instrText>
        </w:r>
        <w:r w:rsidR="007C6F59">
          <w:rPr>
            <w:noProof/>
            <w:webHidden/>
          </w:rPr>
        </w:r>
        <w:r w:rsidR="007C6F59">
          <w:rPr>
            <w:noProof/>
            <w:webHidden/>
          </w:rPr>
          <w:fldChar w:fldCharType="separate"/>
        </w:r>
        <w:r w:rsidR="00587AF0">
          <w:rPr>
            <w:noProof/>
            <w:webHidden/>
          </w:rPr>
          <w:t>114</w:t>
        </w:r>
        <w:r w:rsidR="007C6F59">
          <w:rPr>
            <w:noProof/>
            <w:webHidden/>
          </w:rPr>
          <w:fldChar w:fldCharType="end"/>
        </w:r>
      </w:hyperlink>
    </w:p>
    <w:p w14:paraId="2387FFA6" w14:textId="4E938D38"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82" w:history="1">
        <w:r w:rsidR="007C6F59" w:rsidRPr="00DF744B">
          <w:rPr>
            <w:rStyle w:val="Hyperlink"/>
            <w:noProof/>
          </w:rPr>
          <w:t>Table 42. ANN classification matrix of results at idle saddle position</w:t>
        </w:r>
        <w:r w:rsidR="007C6F59">
          <w:rPr>
            <w:noProof/>
            <w:webHidden/>
          </w:rPr>
          <w:tab/>
        </w:r>
        <w:r w:rsidR="007C6F59">
          <w:rPr>
            <w:noProof/>
            <w:webHidden/>
          </w:rPr>
          <w:fldChar w:fldCharType="begin"/>
        </w:r>
        <w:r w:rsidR="007C6F59">
          <w:rPr>
            <w:noProof/>
            <w:webHidden/>
          </w:rPr>
          <w:instrText xml:space="preserve"> PAGEREF _Toc101274482 \h </w:instrText>
        </w:r>
        <w:r w:rsidR="007C6F59">
          <w:rPr>
            <w:noProof/>
            <w:webHidden/>
          </w:rPr>
        </w:r>
        <w:r w:rsidR="007C6F59">
          <w:rPr>
            <w:noProof/>
            <w:webHidden/>
          </w:rPr>
          <w:fldChar w:fldCharType="separate"/>
        </w:r>
        <w:r w:rsidR="00587AF0">
          <w:rPr>
            <w:noProof/>
            <w:webHidden/>
          </w:rPr>
          <w:t>114</w:t>
        </w:r>
        <w:r w:rsidR="007C6F59">
          <w:rPr>
            <w:noProof/>
            <w:webHidden/>
          </w:rPr>
          <w:fldChar w:fldCharType="end"/>
        </w:r>
      </w:hyperlink>
    </w:p>
    <w:p w14:paraId="33674983" w14:textId="6C795D2D"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83" w:history="1">
        <w:r w:rsidR="007C6F59" w:rsidRPr="00DF744B">
          <w:rPr>
            <w:rStyle w:val="Hyperlink"/>
            <w:noProof/>
          </w:rPr>
          <w:t>Table 43. Case processing summary of training data at closing saddle position</w:t>
        </w:r>
        <w:r w:rsidR="007C6F59">
          <w:rPr>
            <w:noProof/>
            <w:webHidden/>
          </w:rPr>
          <w:tab/>
        </w:r>
        <w:r w:rsidR="007C6F59">
          <w:rPr>
            <w:noProof/>
            <w:webHidden/>
          </w:rPr>
          <w:fldChar w:fldCharType="begin"/>
        </w:r>
        <w:r w:rsidR="007C6F59">
          <w:rPr>
            <w:noProof/>
            <w:webHidden/>
          </w:rPr>
          <w:instrText xml:space="preserve"> PAGEREF _Toc101274483 \h </w:instrText>
        </w:r>
        <w:r w:rsidR="007C6F59">
          <w:rPr>
            <w:noProof/>
            <w:webHidden/>
          </w:rPr>
        </w:r>
        <w:r w:rsidR="007C6F59">
          <w:rPr>
            <w:noProof/>
            <w:webHidden/>
          </w:rPr>
          <w:fldChar w:fldCharType="separate"/>
        </w:r>
        <w:r w:rsidR="00587AF0">
          <w:rPr>
            <w:noProof/>
            <w:webHidden/>
          </w:rPr>
          <w:t>115</w:t>
        </w:r>
        <w:r w:rsidR="007C6F59">
          <w:rPr>
            <w:noProof/>
            <w:webHidden/>
          </w:rPr>
          <w:fldChar w:fldCharType="end"/>
        </w:r>
      </w:hyperlink>
    </w:p>
    <w:p w14:paraId="1C7C0800" w14:textId="04951F15"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84" w:history="1">
        <w:r w:rsidR="007C6F59" w:rsidRPr="00DF744B">
          <w:rPr>
            <w:rStyle w:val="Hyperlink"/>
            <w:noProof/>
          </w:rPr>
          <w:t>Table 44. Neural network information and parameters for closing saddle position</w:t>
        </w:r>
        <w:r w:rsidR="007C6F59">
          <w:rPr>
            <w:noProof/>
            <w:webHidden/>
          </w:rPr>
          <w:tab/>
        </w:r>
        <w:r w:rsidR="007C6F59">
          <w:rPr>
            <w:noProof/>
            <w:webHidden/>
          </w:rPr>
          <w:fldChar w:fldCharType="begin"/>
        </w:r>
        <w:r w:rsidR="007C6F59">
          <w:rPr>
            <w:noProof/>
            <w:webHidden/>
          </w:rPr>
          <w:instrText xml:space="preserve"> PAGEREF _Toc101274484 \h </w:instrText>
        </w:r>
        <w:r w:rsidR="007C6F59">
          <w:rPr>
            <w:noProof/>
            <w:webHidden/>
          </w:rPr>
        </w:r>
        <w:r w:rsidR="007C6F59">
          <w:rPr>
            <w:noProof/>
            <w:webHidden/>
          </w:rPr>
          <w:fldChar w:fldCharType="separate"/>
        </w:r>
        <w:r w:rsidR="00587AF0">
          <w:rPr>
            <w:noProof/>
            <w:webHidden/>
          </w:rPr>
          <w:t>115</w:t>
        </w:r>
        <w:r w:rsidR="007C6F59">
          <w:rPr>
            <w:noProof/>
            <w:webHidden/>
          </w:rPr>
          <w:fldChar w:fldCharType="end"/>
        </w:r>
      </w:hyperlink>
    </w:p>
    <w:p w14:paraId="5D4BA092" w14:textId="1A1B3F57"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85" w:history="1">
        <w:r w:rsidR="007C6F59" w:rsidRPr="00DF744B">
          <w:rPr>
            <w:rStyle w:val="Hyperlink"/>
            <w:noProof/>
          </w:rPr>
          <w:t>Table 45. ANN model summary at closing saddle opening position</w:t>
        </w:r>
        <w:r w:rsidR="007C6F59">
          <w:rPr>
            <w:noProof/>
            <w:webHidden/>
          </w:rPr>
          <w:tab/>
        </w:r>
        <w:r w:rsidR="007C6F59">
          <w:rPr>
            <w:noProof/>
            <w:webHidden/>
          </w:rPr>
          <w:fldChar w:fldCharType="begin"/>
        </w:r>
        <w:r w:rsidR="007C6F59">
          <w:rPr>
            <w:noProof/>
            <w:webHidden/>
          </w:rPr>
          <w:instrText xml:space="preserve"> PAGEREF _Toc101274485 \h </w:instrText>
        </w:r>
        <w:r w:rsidR="007C6F59">
          <w:rPr>
            <w:noProof/>
            <w:webHidden/>
          </w:rPr>
        </w:r>
        <w:r w:rsidR="007C6F59">
          <w:rPr>
            <w:noProof/>
            <w:webHidden/>
          </w:rPr>
          <w:fldChar w:fldCharType="separate"/>
        </w:r>
        <w:r w:rsidR="00587AF0">
          <w:rPr>
            <w:noProof/>
            <w:webHidden/>
          </w:rPr>
          <w:t>115</w:t>
        </w:r>
        <w:r w:rsidR="007C6F59">
          <w:rPr>
            <w:noProof/>
            <w:webHidden/>
          </w:rPr>
          <w:fldChar w:fldCharType="end"/>
        </w:r>
      </w:hyperlink>
    </w:p>
    <w:p w14:paraId="395BE033" w14:textId="6430EDDC"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86" w:history="1">
        <w:r w:rsidR="007C6F59" w:rsidRPr="00DF744B">
          <w:rPr>
            <w:rStyle w:val="Hyperlink"/>
            <w:noProof/>
          </w:rPr>
          <w:t>Table 46. Parameter estimates ANN at closing saddle position</w:t>
        </w:r>
        <w:r w:rsidR="007C6F59">
          <w:rPr>
            <w:noProof/>
            <w:webHidden/>
          </w:rPr>
          <w:tab/>
        </w:r>
        <w:r w:rsidR="007C6F59">
          <w:rPr>
            <w:noProof/>
            <w:webHidden/>
          </w:rPr>
          <w:fldChar w:fldCharType="begin"/>
        </w:r>
        <w:r w:rsidR="007C6F59">
          <w:rPr>
            <w:noProof/>
            <w:webHidden/>
          </w:rPr>
          <w:instrText xml:space="preserve"> PAGEREF _Toc101274486 \h </w:instrText>
        </w:r>
        <w:r w:rsidR="007C6F59">
          <w:rPr>
            <w:noProof/>
            <w:webHidden/>
          </w:rPr>
        </w:r>
        <w:r w:rsidR="007C6F59">
          <w:rPr>
            <w:noProof/>
            <w:webHidden/>
          </w:rPr>
          <w:fldChar w:fldCharType="separate"/>
        </w:r>
        <w:r w:rsidR="00587AF0">
          <w:rPr>
            <w:noProof/>
            <w:webHidden/>
          </w:rPr>
          <w:t>117</w:t>
        </w:r>
        <w:r w:rsidR="007C6F59">
          <w:rPr>
            <w:noProof/>
            <w:webHidden/>
          </w:rPr>
          <w:fldChar w:fldCharType="end"/>
        </w:r>
      </w:hyperlink>
    </w:p>
    <w:p w14:paraId="14B4D23B" w14:textId="650FA2CF"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87" w:history="1">
        <w:r w:rsidR="007C6F59" w:rsidRPr="00DF744B">
          <w:rPr>
            <w:rStyle w:val="Hyperlink"/>
            <w:noProof/>
          </w:rPr>
          <w:t>Table 47. Independent variable importance of ANN at closing saddle position</w:t>
        </w:r>
        <w:r w:rsidR="007C6F59">
          <w:rPr>
            <w:noProof/>
            <w:webHidden/>
          </w:rPr>
          <w:tab/>
        </w:r>
        <w:r w:rsidR="007C6F59">
          <w:rPr>
            <w:noProof/>
            <w:webHidden/>
          </w:rPr>
          <w:fldChar w:fldCharType="begin"/>
        </w:r>
        <w:r w:rsidR="007C6F59">
          <w:rPr>
            <w:noProof/>
            <w:webHidden/>
          </w:rPr>
          <w:instrText xml:space="preserve"> PAGEREF _Toc101274487 \h </w:instrText>
        </w:r>
        <w:r w:rsidR="007C6F59">
          <w:rPr>
            <w:noProof/>
            <w:webHidden/>
          </w:rPr>
        </w:r>
        <w:r w:rsidR="007C6F59">
          <w:rPr>
            <w:noProof/>
            <w:webHidden/>
          </w:rPr>
          <w:fldChar w:fldCharType="separate"/>
        </w:r>
        <w:r w:rsidR="00587AF0">
          <w:rPr>
            <w:noProof/>
            <w:webHidden/>
          </w:rPr>
          <w:t>117</w:t>
        </w:r>
        <w:r w:rsidR="007C6F59">
          <w:rPr>
            <w:noProof/>
            <w:webHidden/>
          </w:rPr>
          <w:fldChar w:fldCharType="end"/>
        </w:r>
      </w:hyperlink>
    </w:p>
    <w:p w14:paraId="77F1E2C5" w14:textId="4453A89E"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88" w:history="1">
        <w:r w:rsidR="007C6F59" w:rsidRPr="00DF744B">
          <w:rPr>
            <w:rStyle w:val="Hyperlink"/>
            <w:noProof/>
          </w:rPr>
          <w:t>Table 48. ANN Classification matrix at closing saddle regime</w:t>
        </w:r>
        <w:r w:rsidR="007C6F59">
          <w:rPr>
            <w:noProof/>
            <w:webHidden/>
          </w:rPr>
          <w:tab/>
        </w:r>
        <w:r w:rsidR="007C6F59">
          <w:rPr>
            <w:noProof/>
            <w:webHidden/>
          </w:rPr>
          <w:fldChar w:fldCharType="begin"/>
        </w:r>
        <w:r w:rsidR="007C6F59">
          <w:rPr>
            <w:noProof/>
            <w:webHidden/>
          </w:rPr>
          <w:instrText xml:space="preserve"> PAGEREF _Toc101274488 \h </w:instrText>
        </w:r>
        <w:r w:rsidR="007C6F59">
          <w:rPr>
            <w:noProof/>
            <w:webHidden/>
          </w:rPr>
        </w:r>
        <w:r w:rsidR="007C6F59">
          <w:rPr>
            <w:noProof/>
            <w:webHidden/>
          </w:rPr>
          <w:fldChar w:fldCharType="separate"/>
        </w:r>
        <w:r w:rsidR="00587AF0">
          <w:rPr>
            <w:noProof/>
            <w:webHidden/>
          </w:rPr>
          <w:t>117</w:t>
        </w:r>
        <w:r w:rsidR="007C6F59">
          <w:rPr>
            <w:noProof/>
            <w:webHidden/>
          </w:rPr>
          <w:fldChar w:fldCharType="end"/>
        </w:r>
      </w:hyperlink>
    </w:p>
    <w:p w14:paraId="15958865" w14:textId="22A91984"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89" w:history="1">
        <w:r w:rsidR="007C6F59" w:rsidRPr="00DF744B">
          <w:rPr>
            <w:rStyle w:val="Hyperlink"/>
            <w:noProof/>
          </w:rPr>
          <w:t>Table 49. Parameters and variables for decision tree at opening saddle position</w:t>
        </w:r>
        <w:r w:rsidR="007C6F59">
          <w:rPr>
            <w:noProof/>
            <w:webHidden/>
          </w:rPr>
          <w:tab/>
        </w:r>
        <w:r w:rsidR="007C6F59">
          <w:rPr>
            <w:noProof/>
            <w:webHidden/>
          </w:rPr>
          <w:fldChar w:fldCharType="begin"/>
        </w:r>
        <w:r w:rsidR="007C6F59">
          <w:rPr>
            <w:noProof/>
            <w:webHidden/>
          </w:rPr>
          <w:instrText xml:space="preserve"> PAGEREF _Toc101274489 \h </w:instrText>
        </w:r>
        <w:r w:rsidR="007C6F59">
          <w:rPr>
            <w:noProof/>
            <w:webHidden/>
          </w:rPr>
        </w:r>
        <w:r w:rsidR="007C6F59">
          <w:rPr>
            <w:noProof/>
            <w:webHidden/>
          </w:rPr>
          <w:fldChar w:fldCharType="separate"/>
        </w:r>
        <w:r w:rsidR="00587AF0">
          <w:rPr>
            <w:noProof/>
            <w:webHidden/>
          </w:rPr>
          <w:t>120</w:t>
        </w:r>
        <w:r w:rsidR="007C6F59">
          <w:rPr>
            <w:noProof/>
            <w:webHidden/>
          </w:rPr>
          <w:fldChar w:fldCharType="end"/>
        </w:r>
      </w:hyperlink>
    </w:p>
    <w:p w14:paraId="249E42AA" w14:textId="024245A4"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90" w:history="1">
        <w:r w:rsidR="007C6F59" w:rsidRPr="00DF744B">
          <w:rPr>
            <w:rStyle w:val="Hyperlink"/>
            <w:noProof/>
          </w:rPr>
          <w:t>Table 50. Table of surrogates of variables at opening saddle position</w:t>
        </w:r>
        <w:r w:rsidR="007C6F59">
          <w:rPr>
            <w:noProof/>
            <w:webHidden/>
          </w:rPr>
          <w:tab/>
        </w:r>
        <w:r w:rsidR="007C6F59">
          <w:rPr>
            <w:noProof/>
            <w:webHidden/>
          </w:rPr>
          <w:fldChar w:fldCharType="begin"/>
        </w:r>
        <w:r w:rsidR="007C6F59">
          <w:rPr>
            <w:noProof/>
            <w:webHidden/>
          </w:rPr>
          <w:instrText xml:space="preserve"> PAGEREF _Toc101274490 \h </w:instrText>
        </w:r>
        <w:r w:rsidR="007C6F59">
          <w:rPr>
            <w:noProof/>
            <w:webHidden/>
          </w:rPr>
        </w:r>
        <w:r w:rsidR="007C6F59">
          <w:rPr>
            <w:noProof/>
            <w:webHidden/>
          </w:rPr>
          <w:fldChar w:fldCharType="separate"/>
        </w:r>
        <w:r w:rsidR="00587AF0">
          <w:rPr>
            <w:noProof/>
            <w:webHidden/>
          </w:rPr>
          <w:t>120</w:t>
        </w:r>
        <w:r w:rsidR="007C6F59">
          <w:rPr>
            <w:noProof/>
            <w:webHidden/>
          </w:rPr>
          <w:fldChar w:fldCharType="end"/>
        </w:r>
      </w:hyperlink>
    </w:p>
    <w:p w14:paraId="66704188" w14:textId="2B17A58D"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91" w:history="1">
        <w:r w:rsidR="007C6F59" w:rsidRPr="00DF744B">
          <w:rPr>
            <w:rStyle w:val="Hyperlink"/>
            <w:noProof/>
          </w:rPr>
          <w:t>Table 51. Classification results for decision tree for opening saddle position</w:t>
        </w:r>
        <w:r w:rsidR="007C6F59">
          <w:rPr>
            <w:noProof/>
            <w:webHidden/>
          </w:rPr>
          <w:tab/>
        </w:r>
        <w:r w:rsidR="007C6F59">
          <w:rPr>
            <w:noProof/>
            <w:webHidden/>
          </w:rPr>
          <w:fldChar w:fldCharType="begin"/>
        </w:r>
        <w:r w:rsidR="007C6F59">
          <w:rPr>
            <w:noProof/>
            <w:webHidden/>
          </w:rPr>
          <w:instrText xml:space="preserve"> PAGEREF _Toc101274491 \h </w:instrText>
        </w:r>
        <w:r w:rsidR="007C6F59">
          <w:rPr>
            <w:noProof/>
            <w:webHidden/>
          </w:rPr>
        </w:r>
        <w:r w:rsidR="007C6F59">
          <w:rPr>
            <w:noProof/>
            <w:webHidden/>
          </w:rPr>
          <w:fldChar w:fldCharType="separate"/>
        </w:r>
        <w:r w:rsidR="00587AF0">
          <w:rPr>
            <w:noProof/>
            <w:webHidden/>
          </w:rPr>
          <w:t>122</w:t>
        </w:r>
        <w:r w:rsidR="007C6F59">
          <w:rPr>
            <w:noProof/>
            <w:webHidden/>
          </w:rPr>
          <w:fldChar w:fldCharType="end"/>
        </w:r>
      </w:hyperlink>
    </w:p>
    <w:p w14:paraId="7B8EED12" w14:textId="641415A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92" w:history="1">
        <w:r w:rsidR="007C6F59" w:rsidRPr="00DF744B">
          <w:rPr>
            <w:rStyle w:val="Hyperlink"/>
            <w:noProof/>
          </w:rPr>
          <w:t>Table 52. Independent variable importance at opening saddle position for CART tree</w:t>
        </w:r>
        <w:r w:rsidR="007C6F59">
          <w:rPr>
            <w:noProof/>
            <w:webHidden/>
          </w:rPr>
          <w:tab/>
        </w:r>
        <w:r w:rsidR="007C6F59">
          <w:rPr>
            <w:noProof/>
            <w:webHidden/>
          </w:rPr>
          <w:fldChar w:fldCharType="begin"/>
        </w:r>
        <w:r w:rsidR="007C6F59">
          <w:rPr>
            <w:noProof/>
            <w:webHidden/>
          </w:rPr>
          <w:instrText xml:space="preserve"> PAGEREF _Toc101274492 \h </w:instrText>
        </w:r>
        <w:r w:rsidR="007C6F59">
          <w:rPr>
            <w:noProof/>
            <w:webHidden/>
          </w:rPr>
        </w:r>
        <w:r w:rsidR="007C6F59">
          <w:rPr>
            <w:noProof/>
            <w:webHidden/>
          </w:rPr>
          <w:fldChar w:fldCharType="separate"/>
        </w:r>
        <w:r w:rsidR="00587AF0">
          <w:rPr>
            <w:noProof/>
            <w:webHidden/>
          </w:rPr>
          <w:t>122</w:t>
        </w:r>
        <w:r w:rsidR="007C6F59">
          <w:rPr>
            <w:noProof/>
            <w:webHidden/>
          </w:rPr>
          <w:fldChar w:fldCharType="end"/>
        </w:r>
      </w:hyperlink>
    </w:p>
    <w:p w14:paraId="3529D69B" w14:textId="0329A263"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93" w:history="1">
        <w:r w:rsidR="007C6F59" w:rsidRPr="00DF744B">
          <w:rPr>
            <w:rStyle w:val="Hyperlink"/>
            <w:noProof/>
          </w:rPr>
          <w:t>Table 53. Parameters and variables for decision tree at idle saddle position</w:t>
        </w:r>
        <w:r w:rsidR="007C6F59">
          <w:rPr>
            <w:noProof/>
            <w:webHidden/>
          </w:rPr>
          <w:tab/>
        </w:r>
        <w:r w:rsidR="007C6F59">
          <w:rPr>
            <w:noProof/>
            <w:webHidden/>
          </w:rPr>
          <w:fldChar w:fldCharType="begin"/>
        </w:r>
        <w:r w:rsidR="007C6F59">
          <w:rPr>
            <w:noProof/>
            <w:webHidden/>
          </w:rPr>
          <w:instrText xml:space="preserve"> PAGEREF _Toc101274493 \h </w:instrText>
        </w:r>
        <w:r w:rsidR="007C6F59">
          <w:rPr>
            <w:noProof/>
            <w:webHidden/>
          </w:rPr>
        </w:r>
        <w:r w:rsidR="007C6F59">
          <w:rPr>
            <w:noProof/>
            <w:webHidden/>
          </w:rPr>
          <w:fldChar w:fldCharType="separate"/>
        </w:r>
        <w:r w:rsidR="00587AF0">
          <w:rPr>
            <w:noProof/>
            <w:webHidden/>
          </w:rPr>
          <w:t>123</w:t>
        </w:r>
        <w:r w:rsidR="007C6F59">
          <w:rPr>
            <w:noProof/>
            <w:webHidden/>
          </w:rPr>
          <w:fldChar w:fldCharType="end"/>
        </w:r>
      </w:hyperlink>
    </w:p>
    <w:p w14:paraId="211AD6F2" w14:textId="1FFB4085"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94" w:history="1">
        <w:r w:rsidR="007C6F59" w:rsidRPr="00DF744B">
          <w:rPr>
            <w:rStyle w:val="Hyperlink"/>
            <w:noProof/>
          </w:rPr>
          <w:t>Table 54. Independent variable importance at idle saddle position for CART tree</w:t>
        </w:r>
        <w:r w:rsidR="007C6F59">
          <w:rPr>
            <w:noProof/>
            <w:webHidden/>
          </w:rPr>
          <w:tab/>
        </w:r>
        <w:r w:rsidR="007C6F59">
          <w:rPr>
            <w:noProof/>
            <w:webHidden/>
          </w:rPr>
          <w:fldChar w:fldCharType="begin"/>
        </w:r>
        <w:r w:rsidR="007C6F59">
          <w:rPr>
            <w:noProof/>
            <w:webHidden/>
          </w:rPr>
          <w:instrText xml:space="preserve"> PAGEREF _Toc101274494 \h </w:instrText>
        </w:r>
        <w:r w:rsidR="007C6F59">
          <w:rPr>
            <w:noProof/>
            <w:webHidden/>
          </w:rPr>
        </w:r>
        <w:r w:rsidR="007C6F59">
          <w:rPr>
            <w:noProof/>
            <w:webHidden/>
          </w:rPr>
          <w:fldChar w:fldCharType="separate"/>
        </w:r>
        <w:r w:rsidR="00587AF0">
          <w:rPr>
            <w:noProof/>
            <w:webHidden/>
          </w:rPr>
          <w:t>123</w:t>
        </w:r>
        <w:r w:rsidR="007C6F59">
          <w:rPr>
            <w:noProof/>
            <w:webHidden/>
          </w:rPr>
          <w:fldChar w:fldCharType="end"/>
        </w:r>
      </w:hyperlink>
    </w:p>
    <w:p w14:paraId="1DB4C534" w14:textId="2D957F3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95" w:history="1">
        <w:r w:rsidR="007C6F59" w:rsidRPr="00DF744B">
          <w:rPr>
            <w:rStyle w:val="Hyperlink"/>
            <w:noProof/>
          </w:rPr>
          <w:t>Table 55. Table of surrogates of variables at idle saddle position</w:t>
        </w:r>
        <w:r w:rsidR="007C6F59">
          <w:rPr>
            <w:noProof/>
            <w:webHidden/>
          </w:rPr>
          <w:tab/>
        </w:r>
        <w:r w:rsidR="007C6F59">
          <w:rPr>
            <w:noProof/>
            <w:webHidden/>
          </w:rPr>
          <w:fldChar w:fldCharType="begin"/>
        </w:r>
        <w:r w:rsidR="007C6F59">
          <w:rPr>
            <w:noProof/>
            <w:webHidden/>
          </w:rPr>
          <w:instrText xml:space="preserve"> PAGEREF _Toc101274495 \h </w:instrText>
        </w:r>
        <w:r w:rsidR="007C6F59">
          <w:rPr>
            <w:noProof/>
            <w:webHidden/>
          </w:rPr>
        </w:r>
        <w:r w:rsidR="007C6F59">
          <w:rPr>
            <w:noProof/>
            <w:webHidden/>
          </w:rPr>
          <w:fldChar w:fldCharType="separate"/>
        </w:r>
        <w:r w:rsidR="00587AF0">
          <w:rPr>
            <w:noProof/>
            <w:webHidden/>
          </w:rPr>
          <w:t>123</w:t>
        </w:r>
        <w:r w:rsidR="007C6F59">
          <w:rPr>
            <w:noProof/>
            <w:webHidden/>
          </w:rPr>
          <w:fldChar w:fldCharType="end"/>
        </w:r>
      </w:hyperlink>
    </w:p>
    <w:p w14:paraId="3AFE13B6" w14:textId="53EEB96E"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96" w:history="1">
        <w:r w:rsidR="007C6F59" w:rsidRPr="00DF744B">
          <w:rPr>
            <w:rStyle w:val="Hyperlink"/>
            <w:noProof/>
          </w:rPr>
          <w:t>Table 56. Decision Tree classification score for idle saddle regime</w:t>
        </w:r>
        <w:r w:rsidR="007C6F59">
          <w:rPr>
            <w:noProof/>
            <w:webHidden/>
          </w:rPr>
          <w:tab/>
        </w:r>
        <w:r w:rsidR="007C6F59">
          <w:rPr>
            <w:noProof/>
            <w:webHidden/>
          </w:rPr>
          <w:fldChar w:fldCharType="begin"/>
        </w:r>
        <w:r w:rsidR="007C6F59">
          <w:rPr>
            <w:noProof/>
            <w:webHidden/>
          </w:rPr>
          <w:instrText xml:space="preserve"> PAGEREF _Toc101274496 \h </w:instrText>
        </w:r>
        <w:r w:rsidR="007C6F59">
          <w:rPr>
            <w:noProof/>
            <w:webHidden/>
          </w:rPr>
        </w:r>
        <w:r w:rsidR="007C6F59">
          <w:rPr>
            <w:noProof/>
            <w:webHidden/>
          </w:rPr>
          <w:fldChar w:fldCharType="separate"/>
        </w:r>
        <w:r w:rsidR="00587AF0">
          <w:rPr>
            <w:noProof/>
            <w:webHidden/>
          </w:rPr>
          <w:t>124</w:t>
        </w:r>
        <w:r w:rsidR="007C6F59">
          <w:rPr>
            <w:noProof/>
            <w:webHidden/>
          </w:rPr>
          <w:fldChar w:fldCharType="end"/>
        </w:r>
      </w:hyperlink>
    </w:p>
    <w:p w14:paraId="40471352" w14:textId="7ED9C516"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97" w:history="1">
        <w:r w:rsidR="007C6F59" w:rsidRPr="00DF744B">
          <w:rPr>
            <w:rStyle w:val="Hyperlink"/>
            <w:noProof/>
          </w:rPr>
          <w:t>Table 57. Parameters and variables for decision tree at opening saddle position</w:t>
        </w:r>
        <w:r w:rsidR="007C6F59">
          <w:rPr>
            <w:noProof/>
            <w:webHidden/>
          </w:rPr>
          <w:tab/>
        </w:r>
        <w:r w:rsidR="007C6F59">
          <w:rPr>
            <w:noProof/>
            <w:webHidden/>
          </w:rPr>
          <w:fldChar w:fldCharType="begin"/>
        </w:r>
        <w:r w:rsidR="007C6F59">
          <w:rPr>
            <w:noProof/>
            <w:webHidden/>
          </w:rPr>
          <w:instrText xml:space="preserve"> PAGEREF _Toc101274497 \h </w:instrText>
        </w:r>
        <w:r w:rsidR="007C6F59">
          <w:rPr>
            <w:noProof/>
            <w:webHidden/>
          </w:rPr>
        </w:r>
        <w:r w:rsidR="007C6F59">
          <w:rPr>
            <w:noProof/>
            <w:webHidden/>
          </w:rPr>
          <w:fldChar w:fldCharType="separate"/>
        </w:r>
        <w:r w:rsidR="00587AF0">
          <w:rPr>
            <w:noProof/>
            <w:webHidden/>
          </w:rPr>
          <w:t>125</w:t>
        </w:r>
        <w:r w:rsidR="007C6F59">
          <w:rPr>
            <w:noProof/>
            <w:webHidden/>
          </w:rPr>
          <w:fldChar w:fldCharType="end"/>
        </w:r>
      </w:hyperlink>
    </w:p>
    <w:p w14:paraId="01BD0157" w14:textId="3319B6EA"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98" w:history="1">
        <w:r w:rsidR="007C6F59" w:rsidRPr="00DF744B">
          <w:rPr>
            <w:rStyle w:val="Hyperlink"/>
            <w:noProof/>
          </w:rPr>
          <w:t>Table 58. Classification matrix score for decision tree at closing saddle position</w:t>
        </w:r>
        <w:r w:rsidR="007C6F59">
          <w:rPr>
            <w:noProof/>
            <w:webHidden/>
          </w:rPr>
          <w:tab/>
        </w:r>
        <w:r w:rsidR="007C6F59">
          <w:rPr>
            <w:noProof/>
            <w:webHidden/>
          </w:rPr>
          <w:fldChar w:fldCharType="begin"/>
        </w:r>
        <w:r w:rsidR="007C6F59">
          <w:rPr>
            <w:noProof/>
            <w:webHidden/>
          </w:rPr>
          <w:instrText xml:space="preserve"> PAGEREF _Toc101274498 \h </w:instrText>
        </w:r>
        <w:r w:rsidR="007C6F59">
          <w:rPr>
            <w:noProof/>
            <w:webHidden/>
          </w:rPr>
        </w:r>
        <w:r w:rsidR="007C6F59">
          <w:rPr>
            <w:noProof/>
            <w:webHidden/>
          </w:rPr>
          <w:fldChar w:fldCharType="separate"/>
        </w:r>
        <w:r w:rsidR="00587AF0">
          <w:rPr>
            <w:noProof/>
            <w:webHidden/>
          </w:rPr>
          <w:t>125</w:t>
        </w:r>
        <w:r w:rsidR="007C6F59">
          <w:rPr>
            <w:noProof/>
            <w:webHidden/>
          </w:rPr>
          <w:fldChar w:fldCharType="end"/>
        </w:r>
      </w:hyperlink>
    </w:p>
    <w:p w14:paraId="4AE92432" w14:textId="7D66586C"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499" w:history="1">
        <w:r w:rsidR="007C6F59" w:rsidRPr="00DF744B">
          <w:rPr>
            <w:rStyle w:val="Hyperlink"/>
            <w:noProof/>
          </w:rPr>
          <w:t>Table 59. Variables in the equation of LR for opening saddle position</w:t>
        </w:r>
        <w:r w:rsidR="007C6F59">
          <w:rPr>
            <w:noProof/>
            <w:webHidden/>
          </w:rPr>
          <w:tab/>
        </w:r>
        <w:r w:rsidR="007C6F59">
          <w:rPr>
            <w:noProof/>
            <w:webHidden/>
          </w:rPr>
          <w:fldChar w:fldCharType="begin"/>
        </w:r>
        <w:r w:rsidR="007C6F59">
          <w:rPr>
            <w:noProof/>
            <w:webHidden/>
          </w:rPr>
          <w:instrText xml:space="preserve"> PAGEREF _Toc101274499 \h </w:instrText>
        </w:r>
        <w:r w:rsidR="007C6F59">
          <w:rPr>
            <w:noProof/>
            <w:webHidden/>
          </w:rPr>
        </w:r>
        <w:r w:rsidR="007C6F59">
          <w:rPr>
            <w:noProof/>
            <w:webHidden/>
          </w:rPr>
          <w:fldChar w:fldCharType="separate"/>
        </w:r>
        <w:r w:rsidR="00587AF0">
          <w:rPr>
            <w:noProof/>
            <w:webHidden/>
          </w:rPr>
          <w:t>128</w:t>
        </w:r>
        <w:r w:rsidR="007C6F59">
          <w:rPr>
            <w:noProof/>
            <w:webHidden/>
          </w:rPr>
          <w:fldChar w:fldCharType="end"/>
        </w:r>
      </w:hyperlink>
    </w:p>
    <w:p w14:paraId="6D1E77D7" w14:textId="75AE895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00" w:history="1">
        <w:r w:rsidR="007C6F59" w:rsidRPr="00DF744B">
          <w:rPr>
            <w:rStyle w:val="Hyperlink"/>
            <w:noProof/>
          </w:rPr>
          <w:t>Table 60. Logistic regression formulation and parameters at opening saddle position</w:t>
        </w:r>
        <w:r w:rsidR="007C6F59">
          <w:rPr>
            <w:noProof/>
            <w:webHidden/>
          </w:rPr>
          <w:tab/>
        </w:r>
        <w:r w:rsidR="007C6F59">
          <w:rPr>
            <w:noProof/>
            <w:webHidden/>
          </w:rPr>
          <w:fldChar w:fldCharType="begin"/>
        </w:r>
        <w:r w:rsidR="007C6F59">
          <w:rPr>
            <w:noProof/>
            <w:webHidden/>
          </w:rPr>
          <w:instrText xml:space="preserve"> PAGEREF _Toc101274500 \h </w:instrText>
        </w:r>
        <w:r w:rsidR="007C6F59">
          <w:rPr>
            <w:noProof/>
            <w:webHidden/>
          </w:rPr>
        </w:r>
        <w:r w:rsidR="007C6F59">
          <w:rPr>
            <w:noProof/>
            <w:webHidden/>
          </w:rPr>
          <w:fldChar w:fldCharType="separate"/>
        </w:r>
        <w:r w:rsidR="00587AF0">
          <w:rPr>
            <w:noProof/>
            <w:webHidden/>
          </w:rPr>
          <w:t>128</w:t>
        </w:r>
        <w:r w:rsidR="007C6F59">
          <w:rPr>
            <w:noProof/>
            <w:webHidden/>
          </w:rPr>
          <w:fldChar w:fldCharType="end"/>
        </w:r>
      </w:hyperlink>
    </w:p>
    <w:p w14:paraId="44E8769B" w14:textId="1D698499"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01" w:history="1">
        <w:r w:rsidR="007C6F59" w:rsidRPr="00DF744B">
          <w:rPr>
            <w:rStyle w:val="Hyperlink"/>
            <w:noProof/>
          </w:rPr>
          <w:t>Table 61. Performance of a model at opening saddle position</w:t>
        </w:r>
        <w:r w:rsidR="007C6F59">
          <w:rPr>
            <w:noProof/>
            <w:webHidden/>
          </w:rPr>
          <w:tab/>
        </w:r>
        <w:r w:rsidR="007C6F59">
          <w:rPr>
            <w:noProof/>
            <w:webHidden/>
          </w:rPr>
          <w:fldChar w:fldCharType="begin"/>
        </w:r>
        <w:r w:rsidR="007C6F59">
          <w:rPr>
            <w:noProof/>
            <w:webHidden/>
          </w:rPr>
          <w:instrText xml:space="preserve"> PAGEREF _Toc101274501 \h </w:instrText>
        </w:r>
        <w:r w:rsidR="007C6F59">
          <w:rPr>
            <w:noProof/>
            <w:webHidden/>
          </w:rPr>
        </w:r>
        <w:r w:rsidR="007C6F59">
          <w:rPr>
            <w:noProof/>
            <w:webHidden/>
          </w:rPr>
          <w:fldChar w:fldCharType="separate"/>
        </w:r>
        <w:r w:rsidR="00587AF0">
          <w:rPr>
            <w:noProof/>
            <w:webHidden/>
          </w:rPr>
          <w:t>128</w:t>
        </w:r>
        <w:r w:rsidR="007C6F59">
          <w:rPr>
            <w:noProof/>
            <w:webHidden/>
          </w:rPr>
          <w:fldChar w:fldCharType="end"/>
        </w:r>
      </w:hyperlink>
    </w:p>
    <w:p w14:paraId="251AE9C2" w14:textId="3D7AB7DE"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02" w:history="1">
        <w:r w:rsidR="007C6F59" w:rsidRPr="00DF744B">
          <w:rPr>
            <w:rStyle w:val="Hyperlink"/>
            <w:noProof/>
          </w:rPr>
          <w:t>Table 62. Classification matrix for logistic regression at opening saddle position</w:t>
        </w:r>
        <w:r w:rsidR="007C6F59">
          <w:rPr>
            <w:noProof/>
            <w:webHidden/>
          </w:rPr>
          <w:tab/>
        </w:r>
        <w:r w:rsidR="007C6F59">
          <w:rPr>
            <w:noProof/>
            <w:webHidden/>
          </w:rPr>
          <w:fldChar w:fldCharType="begin"/>
        </w:r>
        <w:r w:rsidR="007C6F59">
          <w:rPr>
            <w:noProof/>
            <w:webHidden/>
          </w:rPr>
          <w:instrText xml:space="preserve"> PAGEREF _Toc101274502 \h </w:instrText>
        </w:r>
        <w:r w:rsidR="007C6F59">
          <w:rPr>
            <w:noProof/>
            <w:webHidden/>
          </w:rPr>
        </w:r>
        <w:r w:rsidR="007C6F59">
          <w:rPr>
            <w:noProof/>
            <w:webHidden/>
          </w:rPr>
          <w:fldChar w:fldCharType="separate"/>
        </w:r>
        <w:r w:rsidR="00587AF0">
          <w:rPr>
            <w:noProof/>
            <w:webHidden/>
          </w:rPr>
          <w:t>128</w:t>
        </w:r>
        <w:r w:rsidR="007C6F59">
          <w:rPr>
            <w:noProof/>
            <w:webHidden/>
          </w:rPr>
          <w:fldChar w:fldCharType="end"/>
        </w:r>
      </w:hyperlink>
    </w:p>
    <w:p w14:paraId="14867BF7" w14:textId="3BD755ED"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03" w:history="1">
        <w:r w:rsidR="007C6F59" w:rsidRPr="00DF744B">
          <w:rPr>
            <w:rStyle w:val="Hyperlink"/>
            <w:noProof/>
          </w:rPr>
          <w:t>Table 63. Variables in the equation for idle saddle position</w:t>
        </w:r>
        <w:r w:rsidR="007C6F59">
          <w:rPr>
            <w:noProof/>
            <w:webHidden/>
          </w:rPr>
          <w:tab/>
        </w:r>
        <w:r w:rsidR="007C6F59">
          <w:rPr>
            <w:noProof/>
            <w:webHidden/>
          </w:rPr>
          <w:fldChar w:fldCharType="begin"/>
        </w:r>
        <w:r w:rsidR="007C6F59">
          <w:rPr>
            <w:noProof/>
            <w:webHidden/>
          </w:rPr>
          <w:instrText xml:space="preserve"> PAGEREF _Toc101274503 \h </w:instrText>
        </w:r>
        <w:r w:rsidR="007C6F59">
          <w:rPr>
            <w:noProof/>
            <w:webHidden/>
          </w:rPr>
        </w:r>
        <w:r w:rsidR="007C6F59">
          <w:rPr>
            <w:noProof/>
            <w:webHidden/>
          </w:rPr>
          <w:fldChar w:fldCharType="separate"/>
        </w:r>
        <w:r w:rsidR="00587AF0">
          <w:rPr>
            <w:noProof/>
            <w:webHidden/>
          </w:rPr>
          <w:t>130</w:t>
        </w:r>
        <w:r w:rsidR="007C6F59">
          <w:rPr>
            <w:noProof/>
            <w:webHidden/>
          </w:rPr>
          <w:fldChar w:fldCharType="end"/>
        </w:r>
      </w:hyperlink>
    </w:p>
    <w:p w14:paraId="064E66F6" w14:textId="09C2561B"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04" w:history="1">
        <w:r w:rsidR="007C6F59" w:rsidRPr="00DF744B">
          <w:rPr>
            <w:rStyle w:val="Hyperlink"/>
            <w:noProof/>
          </w:rPr>
          <w:t>Table 64. Logistic regression formulation and parameters at idle saddle position</w:t>
        </w:r>
        <w:r w:rsidR="007C6F59">
          <w:rPr>
            <w:noProof/>
            <w:webHidden/>
          </w:rPr>
          <w:tab/>
        </w:r>
        <w:r w:rsidR="007C6F59">
          <w:rPr>
            <w:noProof/>
            <w:webHidden/>
          </w:rPr>
          <w:fldChar w:fldCharType="begin"/>
        </w:r>
        <w:r w:rsidR="007C6F59">
          <w:rPr>
            <w:noProof/>
            <w:webHidden/>
          </w:rPr>
          <w:instrText xml:space="preserve"> PAGEREF _Toc101274504 \h </w:instrText>
        </w:r>
        <w:r w:rsidR="007C6F59">
          <w:rPr>
            <w:noProof/>
            <w:webHidden/>
          </w:rPr>
        </w:r>
        <w:r w:rsidR="007C6F59">
          <w:rPr>
            <w:noProof/>
            <w:webHidden/>
          </w:rPr>
          <w:fldChar w:fldCharType="separate"/>
        </w:r>
        <w:r w:rsidR="00587AF0">
          <w:rPr>
            <w:noProof/>
            <w:webHidden/>
          </w:rPr>
          <w:t>130</w:t>
        </w:r>
        <w:r w:rsidR="007C6F59">
          <w:rPr>
            <w:noProof/>
            <w:webHidden/>
          </w:rPr>
          <w:fldChar w:fldCharType="end"/>
        </w:r>
      </w:hyperlink>
    </w:p>
    <w:p w14:paraId="08D08FA3" w14:textId="39A06AEF"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05" w:history="1">
        <w:r w:rsidR="007C6F59" w:rsidRPr="00DF744B">
          <w:rPr>
            <w:rStyle w:val="Hyperlink"/>
            <w:noProof/>
          </w:rPr>
          <w:t>Table 65. LR Classification matrix for idle saddle position</w:t>
        </w:r>
        <w:r w:rsidR="007C6F59">
          <w:rPr>
            <w:noProof/>
            <w:webHidden/>
          </w:rPr>
          <w:tab/>
        </w:r>
        <w:r w:rsidR="007C6F59">
          <w:rPr>
            <w:noProof/>
            <w:webHidden/>
          </w:rPr>
          <w:fldChar w:fldCharType="begin"/>
        </w:r>
        <w:r w:rsidR="007C6F59">
          <w:rPr>
            <w:noProof/>
            <w:webHidden/>
          </w:rPr>
          <w:instrText xml:space="preserve"> PAGEREF _Toc101274505 \h </w:instrText>
        </w:r>
        <w:r w:rsidR="007C6F59">
          <w:rPr>
            <w:noProof/>
            <w:webHidden/>
          </w:rPr>
        </w:r>
        <w:r w:rsidR="007C6F59">
          <w:rPr>
            <w:noProof/>
            <w:webHidden/>
          </w:rPr>
          <w:fldChar w:fldCharType="separate"/>
        </w:r>
        <w:r w:rsidR="00587AF0">
          <w:rPr>
            <w:noProof/>
            <w:webHidden/>
          </w:rPr>
          <w:t>130</w:t>
        </w:r>
        <w:r w:rsidR="007C6F59">
          <w:rPr>
            <w:noProof/>
            <w:webHidden/>
          </w:rPr>
          <w:fldChar w:fldCharType="end"/>
        </w:r>
      </w:hyperlink>
    </w:p>
    <w:p w14:paraId="44231065" w14:textId="76F7D66E"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06" w:history="1">
        <w:r w:rsidR="007C6F59" w:rsidRPr="00DF744B">
          <w:rPr>
            <w:rStyle w:val="Hyperlink"/>
            <w:noProof/>
          </w:rPr>
          <w:t>Table 66. Performance of a model at idle saddle position</w:t>
        </w:r>
        <w:r w:rsidR="007C6F59">
          <w:rPr>
            <w:noProof/>
            <w:webHidden/>
          </w:rPr>
          <w:tab/>
        </w:r>
        <w:r w:rsidR="007C6F59">
          <w:rPr>
            <w:noProof/>
            <w:webHidden/>
          </w:rPr>
          <w:fldChar w:fldCharType="begin"/>
        </w:r>
        <w:r w:rsidR="007C6F59">
          <w:rPr>
            <w:noProof/>
            <w:webHidden/>
          </w:rPr>
          <w:instrText xml:space="preserve"> PAGEREF _Toc101274506 \h </w:instrText>
        </w:r>
        <w:r w:rsidR="007C6F59">
          <w:rPr>
            <w:noProof/>
            <w:webHidden/>
          </w:rPr>
        </w:r>
        <w:r w:rsidR="007C6F59">
          <w:rPr>
            <w:noProof/>
            <w:webHidden/>
          </w:rPr>
          <w:fldChar w:fldCharType="separate"/>
        </w:r>
        <w:r w:rsidR="00587AF0">
          <w:rPr>
            <w:noProof/>
            <w:webHidden/>
          </w:rPr>
          <w:t>130</w:t>
        </w:r>
        <w:r w:rsidR="007C6F59">
          <w:rPr>
            <w:noProof/>
            <w:webHidden/>
          </w:rPr>
          <w:fldChar w:fldCharType="end"/>
        </w:r>
      </w:hyperlink>
    </w:p>
    <w:p w14:paraId="1038C4AB" w14:textId="5D9B9379"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07" w:history="1">
        <w:r w:rsidR="007C6F59" w:rsidRPr="00DF744B">
          <w:rPr>
            <w:rStyle w:val="Hyperlink"/>
            <w:noProof/>
          </w:rPr>
          <w:t>Table 67. LR Summary of features and associted weights at closing saddle position</w:t>
        </w:r>
        <w:r w:rsidR="007C6F59">
          <w:rPr>
            <w:noProof/>
            <w:webHidden/>
          </w:rPr>
          <w:tab/>
        </w:r>
        <w:r w:rsidR="007C6F59">
          <w:rPr>
            <w:noProof/>
            <w:webHidden/>
          </w:rPr>
          <w:fldChar w:fldCharType="begin"/>
        </w:r>
        <w:r w:rsidR="007C6F59">
          <w:rPr>
            <w:noProof/>
            <w:webHidden/>
          </w:rPr>
          <w:instrText xml:space="preserve"> PAGEREF _Toc101274507 \h </w:instrText>
        </w:r>
        <w:r w:rsidR="007C6F59">
          <w:rPr>
            <w:noProof/>
            <w:webHidden/>
          </w:rPr>
        </w:r>
        <w:r w:rsidR="007C6F59">
          <w:rPr>
            <w:noProof/>
            <w:webHidden/>
          </w:rPr>
          <w:fldChar w:fldCharType="separate"/>
        </w:r>
        <w:r w:rsidR="00587AF0">
          <w:rPr>
            <w:noProof/>
            <w:webHidden/>
          </w:rPr>
          <w:t>132</w:t>
        </w:r>
        <w:r w:rsidR="007C6F59">
          <w:rPr>
            <w:noProof/>
            <w:webHidden/>
          </w:rPr>
          <w:fldChar w:fldCharType="end"/>
        </w:r>
      </w:hyperlink>
    </w:p>
    <w:p w14:paraId="6CDD7CA8" w14:textId="19053F22"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08" w:history="1">
        <w:r w:rsidR="007C6F59" w:rsidRPr="00DF744B">
          <w:rPr>
            <w:rStyle w:val="Hyperlink"/>
            <w:noProof/>
          </w:rPr>
          <w:t>Table 68. Logistic regression formulation and parameters at idle saddle position</w:t>
        </w:r>
        <w:r w:rsidR="007C6F59">
          <w:rPr>
            <w:noProof/>
            <w:webHidden/>
          </w:rPr>
          <w:tab/>
        </w:r>
        <w:r w:rsidR="007C6F59">
          <w:rPr>
            <w:noProof/>
            <w:webHidden/>
          </w:rPr>
          <w:fldChar w:fldCharType="begin"/>
        </w:r>
        <w:r w:rsidR="007C6F59">
          <w:rPr>
            <w:noProof/>
            <w:webHidden/>
          </w:rPr>
          <w:instrText xml:space="preserve"> PAGEREF _Toc101274508 \h </w:instrText>
        </w:r>
        <w:r w:rsidR="007C6F59">
          <w:rPr>
            <w:noProof/>
            <w:webHidden/>
          </w:rPr>
        </w:r>
        <w:r w:rsidR="007C6F59">
          <w:rPr>
            <w:noProof/>
            <w:webHidden/>
          </w:rPr>
          <w:fldChar w:fldCharType="separate"/>
        </w:r>
        <w:r w:rsidR="00587AF0">
          <w:rPr>
            <w:noProof/>
            <w:webHidden/>
          </w:rPr>
          <w:t>132</w:t>
        </w:r>
        <w:r w:rsidR="007C6F59">
          <w:rPr>
            <w:noProof/>
            <w:webHidden/>
          </w:rPr>
          <w:fldChar w:fldCharType="end"/>
        </w:r>
      </w:hyperlink>
    </w:p>
    <w:p w14:paraId="08041D24" w14:textId="1D71C9A5"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09" w:history="1">
        <w:r w:rsidR="007C6F59" w:rsidRPr="00DF744B">
          <w:rPr>
            <w:rStyle w:val="Hyperlink"/>
            <w:noProof/>
          </w:rPr>
          <w:t>Table 69. LR Classification matrix score at closing saddle position</w:t>
        </w:r>
        <w:r w:rsidR="007C6F59">
          <w:rPr>
            <w:noProof/>
            <w:webHidden/>
          </w:rPr>
          <w:tab/>
        </w:r>
        <w:r w:rsidR="007C6F59">
          <w:rPr>
            <w:noProof/>
            <w:webHidden/>
          </w:rPr>
          <w:fldChar w:fldCharType="begin"/>
        </w:r>
        <w:r w:rsidR="007C6F59">
          <w:rPr>
            <w:noProof/>
            <w:webHidden/>
          </w:rPr>
          <w:instrText xml:space="preserve"> PAGEREF _Toc101274509 \h </w:instrText>
        </w:r>
        <w:r w:rsidR="007C6F59">
          <w:rPr>
            <w:noProof/>
            <w:webHidden/>
          </w:rPr>
        </w:r>
        <w:r w:rsidR="007C6F59">
          <w:rPr>
            <w:noProof/>
            <w:webHidden/>
          </w:rPr>
          <w:fldChar w:fldCharType="separate"/>
        </w:r>
        <w:r w:rsidR="00587AF0">
          <w:rPr>
            <w:noProof/>
            <w:webHidden/>
          </w:rPr>
          <w:t>132</w:t>
        </w:r>
        <w:r w:rsidR="007C6F59">
          <w:rPr>
            <w:noProof/>
            <w:webHidden/>
          </w:rPr>
          <w:fldChar w:fldCharType="end"/>
        </w:r>
      </w:hyperlink>
    </w:p>
    <w:p w14:paraId="20DE94F8" w14:textId="1BED0C9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10" w:history="1">
        <w:r w:rsidR="007C6F59" w:rsidRPr="00DF744B">
          <w:rPr>
            <w:rStyle w:val="Hyperlink"/>
            <w:noProof/>
          </w:rPr>
          <w:t>Table 70. Performance of a model at closing saddle position</w:t>
        </w:r>
        <w:r w:rsidR="007C6F59">
          <w:rPr>
            <w:noProof/>
            <w:webHidden/>
          </w:rPr>
          <w:tab/>
        </w:r>
        <w:r w:rsidR="007C6F59">
          <w:rPr>
            <w:noProof/>
            <w:webHidden/>
          </w:rPr>
          <w:fldChar w:fldCharType="begin"/>
        </w:r>
        <w:r w:rsidR="007C6F59">
          <w:rPr>
            <w:noProof/>
            <w:webHidden/>
          </w:rPr>
          <w:instrText xml:space="preserve"> PAGEREF _Toc101274510 \h </w:instrText>
        </w:r>
        <w:r w:rsidR="007C6F59">
          <w:rPr>
            <w:noProof/>
            <w:webHidden/>
          </w:rPr>
        </w:r>
        <w:r w:rsidR="007C6F59">
          <w:rPr>
            <w:noProof/>
            <w:webHidden/>
          </w:rPr>
          <w:fldChar w:fldCharType="separate"/>
        </w:r>
        <w:r w:rsidR="00587AF0">
          <w:rPr>
            <w:noProof/>
            <w:webHidden/>
          </w:rPr>
          <w:t>132</w:t>
        </w:r>
        <w:r w:rsidR="007C6F59">
          <w:rPr>
            <w:noProof/>
            <w:webHidden/>
          </w:rPr>
          <w:fldChar w:fldCharType="end"/>
        </w:r>
      </w:hyperlink>
    </w:p>
    <w:p w14:paraId="1605ABFD" w14:textId="73DDA31E"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11" w:history="1">
        <w:r w:rsidR="007C6F59" w:rsidRPr="00DF744B">
          <w:rPr>
            <w:rStyle w:val="Hyperlink"/>
            <w:noProof/>
          </w:rPr>
          <w:t>Table 71. kNN classification matrix score for opening saddle position</w:t>
        </w:r>
        <w:r w:rsidR="007C6F59">
          <w:rPr>
            <w:noProof/>
            <w:webHidden/>
          </w:rPr>
          <w:tab/>
        </w:r>
        <w:r w:rsidR="007C6F59">
          <w:rPr>
            <w:noProof/>
            <w:webHidden/>
          </w:rPr>
          <w:fldChar w:fldCharType="begin"/>
        </w:r>
        <w:r w:rsidR="007C6F59">
          <w:rPr>
            <w:noProof/>
            <w:webHidden/>
          </w:rPr>
          <w:instrText xml:space="preserve"> PAGEREF _Toc101274511 \h </w:instrText>
        </w:r>
        <w:r w:rsidR="007C6F59">
          <w:rPr>
            <w:noProof/>
            <w:webHidden/>
          </w:rPr>
        </w:r>
        <w:r w:rsidR="007C6F59">
          <w:rPr>
            <w:noProof/>
            <w:webHidden/>
          </w:rPr>
          <w:fldChar w:fldCharType="separate"/>
        </w:r>
        <w:r w:rsidR="00587AF0">
          <w:rPr>
            <w:noProof/>
            <w:webHidden/>
          </w:rPr>
          <w:t>135</w:t>
        </w:r>
        <w:r w:rsidR="007C6F59">
          <w:rPr>
            <w:noProof/>
            <w:webHidden/>
          </w:rPr>
          <w:fldChar w:fldCharType="end"/>
        </w:r>
      </w:hyperlink>
    </w:p>
    <w:p w14:paraId="72A3BDBB" w14:textId="3CC501AE"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12" w:history="1">
        <w:r w:rsidR="007C6F59" w:rsidRPr="00DF744B">
          <w:rPr>
            <w:rStyle w:val="Hyperlink"/>
            <w:noProof/>
          </w:rPr>
          <w:t>Table 72. kNN classification matrix score for idle saddle position</w:t>
        </w:r>
        <w:r w:rsidR="007C6F59">
          <w:rPr>
            <w:noProof/>
            <w:webHidden/>
          </w:rPr>
          <w:tab/>
        </w:r>
        <w:r w:rsidR="007C6F59">
          <w:rPr>
            <w:noProof/>
            <w:webHidden/>
          </w:rPr>
          <w:fldChar w:fldCharType="begin"/>
        </w:r>
        <w:r w:rsidR="007C6F59">
          <w:rPr>
            <w:noProof/>
            <w:webHidden/>
          </w:rPr>
          <w:instrText xml:space="preserve"> PAGEREF _Toc101274512 \h </w:instrText>
        </w:r>
        <w:r w:rsidR="007C6F59">
          <w:rPr>
            <w:noProof/>
            <w:webHidden/>
          </w:rPr>
        </w:r>
        <w:r w:rsidR="007C6F59">
          <w:rPr>
            <w:noProof/>
            <w:webHidden/>
          </w:rPr>
          <w:fldChar w:fldCharType="separate"/>
        </w:r>
        <w:r w:rsidR="00587AF0">
          <w:rPr>
            <w:noProof/>
            <w:webHidden/>
          </w:rPr>
          <w:t>136</w:t>
        </w:r>
        <w:r w:rsidR="007C6F59">
          <w:rPr>
            <w:noProof/>
            <w:webHidden/>
          </w:rPr>
          <w:fldChar w:fldCharType="end"/>
        </w:r>
      </w:hyperlink>
    </w:p>
    <w:p w14:paraId="0EB2B150" w14:textId="2780BE4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13" w:history="1">
        <w:r w:rsidR="007C6F59" w:rsidRPr="00DF744B">
          <w:rPr>
            <w:rStyle w:val="Hyperlink"/>
            <w:noProof/>
          </w:rPr>
          <w:t>Table 73. kNN classification matrix score for closing saddle position</w:t>
        </w:r>
        <w:r w:rsidR="007C6F59">
          <w:rPr>
            <w:noProof/>
            <w:webHidden/>
          </w:rPr>
          <w:tab/>
        </w:r>
        <w:r w:rsidR="007C6F59">
          <w:rPr>
            <w:noProof/>
            <w:webHidden/>
          </w:rPr>
          <w:fldChar w:fldCharType="begin"/>
        </w:r>
        <w:r w:rsidR="007C6F59">
          <w:rPr>
            <w:noProof/>
            <w:webHidden/>
          </w:rPr>
          <w:instrText xml:space="preserve"> PAGEREF _Toc101274513 \h </w:instrText>
        </w:r>
        <w:r w:rsidR="007C6F59">
          <w:rPr>
            <w:noProof/>
            <w:webHidden/>
          </w:rPr>
        </w:r>
        <w:r w:rsidR="007C6F59">
          <w:rPr>
            <w:noProof/>
            <w:webHidden/>
          </w:rPr>
          <w:fldChar w:fldCharType="separate"/>
        </w:r>
        <w:r w:rsidR="00587AF0">
          <w:rPr>
            <w:noProof/>
            <w:webHidden/>
          </w:rPr>
          <w:t>137</w:t>
        </w:r>
        <w:r w:rsidR="007C6F59">
          <w:rPr>
            <w:noProof/>
            <w:webHidden/>
          </w:rPr>
          <w:fldChar w:fldCharType="end"/>
        </w:r>
      </w:hyperlink>
    </w:p>
    <w:p w14:paraId="7848FFA2" w14:textId="14E07281"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14" w:history="1">
        <w:r w:rsidR="007C6F59" w:rsidRPr="00DF744B">
          <w:rPr>
            <w:rStyle w:val="Hyperlink"/>
            <w:noProof/>
          </w:rPr>
          <w:t>Table 74. Classification matrix for opening saddle position’ data</w:t>
        </w:r>
        <w:r w:rsidR="007C6F59">
          <w:rPr>
            <w:noProof/>
            <w:webHidden/>
          </w:rPr>
          <w:tab/>
        </w:r>
        <w:r w:rsidR="007C6F59">
          <w:rPr>
            <w:noProof/>
            <w:webHidden/>
          </w:rPr>
          <w:fldChar w:fldCharType="begin"/>
        </w:r>
        <w:r w:rsidR="007C6F59">
          <w:rPr>
            <w:noProof/>
            <w:webHidden/>
          </w:rPr>
          <w:instrText xml:space="preserve"> PAGEREF _Toc101274514 \h </w:instrText>
        </w:r>
        <w:r w:rsidR="007C6F59">
          <w:rPr>
            <w:noProof/>
            <w:webHidden/>
          </w:rPr>
        </w:r>
        <w:r w:rsidR="007C6F59">
          <w:rPr>
            <w:noProof/>
            <w:webHidden/>
          </w:rPr>
          <w:fldChar w:fldCharType="separate"/>
        </w:r>
        <w:r w:rsidR="00587AF0">
          <w:rPr>
            <w:noProof/>
            <w:webHidden/>
          </w:rPr>
          <w:t>138</w:t>
        </w:r>
        <w:r w:rsidR="007C6F59">
          <w:rPr>
            <w:noProof/>
            <w:webHidden/>
          </w:rPr>
          <w:fldChar w:fldCharType="end"/>
        </w:r>
      </w:hyperlink>
    </w:p>
    <w:p w14:paraId="2383E530" w14:textId="5BD4D659"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15" w:history="1">
        <w:r w:rsidR="007C6F59" w:rsidRPr="00DF744B">
          <w:rPr>
            <w:rStyle w:val="Hyperlink"/>
            <w:noProof/>
          </w:rPr>
          <w:t>Table 75. Classification matrix for idle saddle position’ data</w:t>
        </w:r>
        <w:r w:rsidR="007C6F59">
          <w:rPr>
            <w:noProof/>
            <w:webHidden/>
          </w:rPr>
          <w:tab/>
        </w:r>
        <w:r w:rsidR="007C6F59">
          <w:rPr>
            <w:noProof/>
            <w:webHidden/>
          </w:rPr>
          <w:fldChar w:fldCharType="begin"/>
        </w:r>
        <w:r w:rsidR="007C6F59">
          <w:rPr>
            <w:noProof/>
            <w:webHidden/>
          </w:rPr>
          <w:instrText xml:space="preserve"> PAGEREF _Toc101274515 \h </w:instrText>
        </w:r>
        <w:r w:rsidR="007C6F59">
          <w:rPr>
            <w:noProof/>
            <w:webHidden/>
          </w:rPr>
        </w:r>
        <w:r w:rsidR="007C6F59">
          <w:rPr>
            <w:noProof/>
            <w:webHidden/>
          </w:rPr>
          <w:fldChar w:fldCharType="separate"/>
        </w:r>
        <w:r w:rsidR="00587AF0">
          <w:rPr>
            <w:noProof/>
            <w:webHidden/>
          </w:rPr>
          <w:t>139</w:t>
        </w:r>
        <w:r w:rsidR="007C6F59">
          <w:rPr>
            <w:noProof/>
            <w:webHidden/>
          </w:rPr>
          <w:fldChar w:fldCharType="end"/>
        </w:r>
      </w:hyperlink>
    </w:p>
    <w:p w14:paraId="15FC1551" w14:textId="3DC8200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16" w:history="1">
        <w:r w:rsidR="007C6F59" w:rsidRPr="00DF744B">
          <w:rPr>
            <w:rStyle w:val="Hyperlink"/>
            <w:noProof/>
          </w:rPr>
          <w:t>Table 76. Classification matrix for closing saddle position’ data</w:t>
        </w:r>
        <w:r w:rsidR="007C6F59">
          <w:rPr>
            <w:noProof/>
            <w:webHidden/>
          </w:rPr>
          <w:tab/>
        </w:r>
        <w:r w:rsidR="007C6F59">
          <w:rPr>
            <w:noProof/>
            <w:webHidden/>
          </w:rPr>
          <w:fldChar w:fldCharType="begin"/>
        </w:r>
        <w:r w:rsidR="007C6F59">
          <w:rPr>
            <w:noProof/>
            <w:webHidden/>
          </w:rPr>
          <w:instrText xml:space="preserve"> PAGEREF _Toc101274516 \h </w:instrText>
        </w:r>
        <w:r w:rsidR="007C6F59">
          <w:rPr>
            <w:noProof/>
            <w:webHidden/>
          </w:rPr>
        </w:r>
        <w:r w:rsidR="007C6F59">
          <w:rPr>
            <w:noProof/>
            <w:webHidden/>
          </w:rPr>
          <w:fldChar w:fldCharType="separate"/>
        </w:r>
        <w:r w:rsidR="00587AF0">
          <w:rPr>
            <w:noProof/>
            <w:webHidden/>
          </w:rPr>
          <w:t>139</w:t>
        </w:r>
        <w:r w:rsidR="007C6F59">
          <w:rPr>
            <w:noProof/>
            <w:webHidden/>
          </w:rPr>
          <w:fldChar w:fldCharType="end"/>
        </w:r>
      </w:hyperlink>
    </w:p>
    <w:p w14:paraId="02CA84B8" w14:textId="762B7D2A"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17" w:history="1">
        <w:r w:rsidR="007C6F59" w:rsidRPr="00DF744B">
          <w:rPr>
            <w:rStyle w:val="Hyperlink"/>
            <w:noProof/>
          </w:rPr>
          <w:t>Table 77. ANN variance importance at opening saddle position</w:t>
        </w:r>
        <w:r w:rsidR="007C6F59">
          <w:rPr>
            <w:noProof/>
            <w:webHidden/>
          </w:rPr>
          <w:tab/>
        </w:r>
        <w:r w:rsidR="007C6F59">
          <w:rPr>
            <w:noProof/>
            <w:webHidden/>
          </w:rPr>
          <w:fldChar w:fldCharType="begin"/>
        </w:r>
        <w:r w:rsidR="007C6F59">
          <w:rPr>
            <w:noProof/>
            <w:webHidden/>
          </w:rPr>
          <w:instrText xml:space="preserve"> PAGEREF _Toc101274517 \h </w:instrText>
        </w:r>
        <w:r w:rsidR="007C6F59">
          <w:rPr>
            <w:noProof/>
            <w:webHidden/>
          </w:rPr>
        </w:r>
        <w:r w:rsidR="007C6F59">
          <w:rPr>
            <w:noProof/>
            <w:webHidden/>
          </w:rPr>
          <w:fldChar w:fldCharType="separate"/>
        </w:r>
        <w:r w:rsidR="00587AF0">
          <w:rPr>
            <w:noProof/>
            <w:webHidden/>
          </w:rPr>
          <w:t>143</w:t>
        </w:r>
        <w:r w:rsidR="007C6F59">
          <w:rPr>
            <w:noProof/>
            <w:webHidden/>
          </w:rPr>
          <w:fldChar w:fldCharType="end"/>
        </w:r>
      </w:hyperlink>
    </w:p>
    <w:p w14:paraId="2E52347A" w14:textId="7606F54C"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18" w:history="1">
        <w:r w:rsidR="007C6F59" w:rsidRPr="00DF744B">
          <w:rPr>
            <w:rStyle w:val="Hyperlink"/>
            <w:noProof/>
          </w:rPr>
          <w:t>Table 78. ANN variance importance at idle saddle position</w:t>
        </w:r>
        <w:r w:rsidR="007C6F59">
          <w:rPr>
            <w:noProof/>
            <w:webHidden/>
          </w:rPr>
          <w:tab/>
        </w:r>
        <w:r w:rsidR="007C6F59">
          <w:rPr>
            <w:noProof/>
            <w:webHidden/>
          </w:rPr>
          <w:fldChar w:fldCharType="begin"/>
        </w:r>
        <w:r w:rsidR="007C6F59">
          <w:rPr>
            <w:noProof/>
            <w:webHidden/>
          </w:rPr>
          <w:instrText xml:space="preserve"> PAGEREF _Toc101274518 \h </w:instrText>
        </w:r>
        <w:r w:rsidR="007C6F59">
          <w:rPr>
            <w:noProof/>
            <w:webHidden/>
          </w:rPr>
        </w:r>
        <w:r w:rsidR="007C6F59">
          <w:rPr>
            <w:noProof/>
            <w:webHidden/>
          </w:rPr>
          <w:fldChar w:fldCharType="separate"/>
        </w:r>
        <w:r w:rsidR="00587AF0">
          <w:rPr>
            <w:noProof/>
            <w:webHidden/>
          </w:rPr>
          <w:t>143</w:t>
        </w:r>
        <w:r w:rsidR="007C6F59">
          <w:rPr>
            <w:noProof/>
            <w:webHidden/>
          </w:rPr>
          <w:fldChar w:fldCharType="end"/>
        </w:r>
      </w:hyperlink>
    </w:p>
    <w:p w14:paraId="22B3F78E" w14:textId="2898EDC3"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19" w:history="1">
        <w:r w:rsidR="007C6F59" w:rsidRPr="00DF744B">
          <w:rPr>
            <w:rStyle w:val="Hyperlink"/>
            <w:noProof/>
          </w:rPr>
          <w:t>Table 79. ANN variance importance at closing saddle position</w:t>
        </w:r>
        <w:r w:rsidR="007C6F59">
          <w:rPr>
            <w:noProof/>
            <w:webHidden/>
          </w:rPr>
          <w:tab/>
        </w:r>
        <w:r w:rsidR="007C6F59">
          <w:rPr>
            <w:noProof/>
            <w:webHidden/>
          </w:rPr>
          <w:fldChar w:fldCharType="begin"/>
        </w:r>
        <w:r w:rsidR="007C6F59">
          <w:rPr>
            <w:noProof/>
            <w:webHidden/>
          </w:rPr>
          <w:instrText xml:space="preserve"> PAGEREF _Toc101274519 \h </w:instrText>
        </w:r>
        <w:r w:rsidR="007C6F59">
          <w:rPr>
            <w:noProof/>
            <w:webHidden/>
          </w:rPr>
        </w:r>
        <w:r w:rsidR="007C6F59">
          <w:rPr>
            <w:noProof/>
            <w:webHidden/>
          </w:rPr>
          <w:fldChar w:fldCharType="separate"/>
        </w:r>
        <w:r w:rsidR="00587AF0">
          <w:rPr>
            <w:noProof/>
            <w:webHidden/>
          </w:rPr>
          <w:t>143</w:t>
        </w:r>
        <w:r w:rsidR="007C6F59">
          <w:rPr>
            <w:noProof/>
            <w:webHidden/>
          </w:rPr>
          <w:fldChar w:fldCharType="end"/>
        </w:r>
      </w:hyperlink>
    </w:p>
    <w:p w14:paraId="6D2CB4C9" w14:textId="510430F2"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20" w:history="1">
        <w:r w:rsidR="007C6F59" w:rsidRPr="00DF744B">
          <w:rPr>
            <w:rStyle w:val="Hyperlink"/>
            <w:noProof/>
          </w:rPr>
          <w:t xml:space="preserve">Table 80. Mann-Whittney </w:t>
        </w:r>
        <w:r w:rsidR="007C6F59" w:rsidRPr="00DF744B">
          <w:rPr>
            <w:rStyle w:val="Hyperlink"/>
            <w:i/>
            <w:noProof/>
          </w:rPr>
          <w:t>U</w:t>
        </w:r>
        <w:r w:rsidR="007C6F59" w:rsidRPr="00DF744B">
          <w:rPr>
            <w:rStyle w:val="Hyperlink"/>
            <w:noProof/>
          </w:rPr>
          <w:t>-test statistic results</w:t>
        </w:r>
        <w:r w:rsidR="007C6F59">
          <w:rPr>
            <w:noProof/>
            <w:webHidden/>
          </w:rPr>
          <w:tab/>
        </w:r>
        <w:r w:rsidR="007C6F59">
          <w:rPr>
            <w:noProof/>
            <w:webHidden/>
          </w:rPr>
          <w:fldChar w:fldCharType="begin"/>
        </w:r>
        <w:r w:rsidR="007C6F59">
          <w:rPr>
            <w:noProof/>
            <w:webHidden/>
          </w:rPr>
          <w:instrText xml:space="preserve"> PAGEREF _Toc101274520 \h </w:instrText>
        </w:r>
        <w:r w:rsidR="007C6F59">
          <w:rPr>
            <w:noProof/>
            <w:webHidden/>
          </w:rPr>
        </w:r>
        <w:r w:rsidR="007C6F59">
          <w:rPr>
            <w:noProof/>
            <w:webHidden/>
          </w:rPr>
          <w:fldChar w:fldCharType="separate"/>
        </w:r>
        <w:r w:rsidR="00587AF0">
          <w:rPr>
            <w:noProof/>
            <w:webHidden/>
          </w:rPr>
          <w:t>144</w:t>
        </w:r>
        <w:r w:rsidR="007C6F59">
          <w:rPr>
            <w:noProof/>
            <w:webHidden/>
          </w:rPr>
          <w:fldChar w:fldCharType="end"/>
        </w:r>
      </w:hyperlink>
    </w:p>
    <w:p w14:paraId="672077AE" w14:textId="491A6185"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21" w:history="1">
        <w:r w:rsidR="007C6F59" w:rsidRPr="00DF744B">
          <w:rPr>
            <w:rStyle w:val="Hyperlink"/>
            <w:noProof/>
          </w:rPr>
          <w:t>Table 81. Goodness-of-fit for the five most ranked distributions of TBQF</w:t>
        </w:r>
        <w:r w:rsidR="007C6F59">
          <w:rPr>
            <w:noProof/>
            <w:webHidden/>
          </w:rPr>
          <w:tab/>
        </w:r>
        <w:r w:rsidR="007C6F59">
          <w:rPr>
            <w:noProof/>
            <w:webHidden/>
          </w:rPr>
          <w:fldChar w:fldCharType="begin"/>
        </w:r>
        <w:r w:rsidR="007C6F59">
          <w:rPr>
            <w:noProof/>
            <w:webHidden/>
          </w:rPr>
          <w:instrText xml:space="preserve"> PAGEREF _Toc101274521 \h </w:instrText>
        </w:r>
        <w:r w:rsidR="007C6F59">
          <w:rPr>
            <w:noProof/>
            <w:webHidden/>
          </w:rPr>
        </w:r>
        <w:r w:rsidR="007C6F59">
          <w:rPr>
            <w:noProof/>
            <w:webHidden/>
          </w:rPr>
          <w:fldChar w:fldCharType="separate"/>
        </w:r>
        <w:r w:rsidR="00587AF0">
          <w:rPr>
            <w:noProof/>
            <w:webHidden/>
          </w:rPr>
          <w:t>146</w:t>
        </w:r>
        <w:r w:rsidR="007C6F59">
          <w:rPr>
            <w:noProof/>
            <w:webHidden/>
          </w:rPr>
          <w:fldChar w:fldCharType="end"/>
        </w:r>
      </w:hyperlink>
    </w:p>
    <w:p w14:paraId="639C475E" w14:textId="1171C78B"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22" w:history="1">
        <w:r w:rsidR="007C6F59" w:rsidRPr="00DF744B">
          <w:rPr>
            <w:rStyle w:val="Hyperlink"/>
            <w:noProof/>
          </w:rPr>
          <w:t>Table 82. Parameters of the best-fitted distributions</w:t>
        </w:r>
        <w:r w:rsidR="007C6F59">
          <w:rPr>
            <w:noProof/>
            <w:webHidden/>
          </w:rPr>
          <w:tab/>
        </w:r>
        <w:r w:rsidR="007C6F59">
          <w:rPr>
            <w:noProof/>
            <w:webHidden/>
          </w:rPr>
          <w:fldChar w:fldCharType="begin"/>
        </w:r>
        <w:r w:rsidR="007C6F59">
          <w:rPr>
            <w:noProof/>
            <w:webHidden/>
          </w:rPr>
          <w:instrText xml:space="preserve"> PAGEREF _Toc101274522 \h </w:instrText>
        </w:r>
        <w:r w:rsidR="007C6F59">
          <w:rPr>
            <w:noProof/>
            <w:webHidden/>
          </w:rPr>
        </w:r>
        <w:r w:rsidR="007C6F59">
          <w:rPr>
            <w:noProof/>
            <w:webHidden/>
          </w:rPr>
          <w:fldChar w:fldCharType="separate"/>
        </w:r>
        <w:r w:rsidR="00587AF0">
          <w:rPr>
            <w:noProof/>
            <w:webHidden/>
          </w:rPr>
          <w:t>146</w:t>
        </w:r>
        <w:r w:rsidR="007C6F59">
          <w:rPr>
            <w:noProof/>
            <w:webHidden/>
          </w:rPr>
          <w:fldChar w:fldCharType="end"/>
        </w:r>
      </w:hyperlink>
    </w:p>
    <w:p w14:paraId="07F4717F" w14:textId="7D6AD655" w:rsidR="00B53106" w:rsidRDefault="00B53106" w:rsidP="00B53106">
      <w:pPr>
        <w:pStyle w:val="Titleofthepaper"/>
      </w:pPr>
      <w:r>
        <w:fldChar w:fldCharType="end"/>
      </w:r>
    </w:p>
    <w:p w14:paraId="5408B9C4" w14:textId="77777777" w:rsidR="00B53106" w:rsidRDefault="00B53106">
      <w:pPr>
        <w:spacing w:before="0" w:after="160" w:line="259" w:lineRule="auto"/>
        <w:jc w:val="left"/>
        <w:rPr>
          <w:b/>
          <w:smallCaps/>
          <w:sz w:val="48"/>
        </w:rPr>
      </w:pPr>
      <w:r>
        <w:br w:type="page"/>
      </w:r>
    </w:p>
    <w:p w14:paraId="7DDEB899" w14:textId="01E76145" w:rsidR="00B53106" w:rsidRDefault="00B53106" w:rsidP="00706A41">
      <w:pPr>
        <w:pStyle w:val="Titleofthepaper"/>
      </w:pPr>
      <w:r>
        <w:lastRenderedPageBreak/>
        <w:t>List of Figures</w:t>
      </w:r>
    </w:p>
    <w:p w14:paraId="50504EAF" w14:textId="1D1D3B73" w:rsidR="007C6F59" w:rsidRDefault="00B53106">
      <w:pPr>
        <w:pStyle w:val="TableofFigures"/>
        <w:tabs>
          <w:tab w:val="right" w:leader="dot" w:pos="9017"/>
        </w:tabs>
        <w:rPr>
          <w:rFonts w:asciiTheme="minorHAnsi" w:eastAsiaTheme="minorEastAsia" w:hAnsiTheme="minorHAnsi"/>
          <w:noProof/>
          <w:sz w:val="22"/>
          <w:lang w:val="sr-Latn-RS" w:eastAsia="sr-Latn-RS"/>
        </w:rPr>
      </w:pPr>
      <w:r>
        <w:fldChar w:fldCharType="begin"/>
      </w:r>
      <w:r>
        <w:instrText xml:space="preserve"> TOC \h \z \c "Figure" </w:instrText>
      </w:r>
      <w:r>
        <w:fldChar w:fldCharType="separate"/>
      </w:r>
      <w:hyperlink w:anchor="_Toc101274523" w:history="1">
        <w:r w:rsidR="007C6F59" w:rsidRPr="007B6B46">
          <w:rPr>
            <w:rStyle w:val="Hyperlink"/>
            <w:noProof/>
          </w:rPr>
          <w:t>Figure 1. P-F curve of primary and waste energy description</w:t>
        </w:r>
        <w:r w:rsidR="007C6F59">
          <w:rPr>
            <w:noProof/>
            <w:webHidden/>
          </w:rPr>
          <w:tab/>
        </w:r>
        <w:r w:rsidR="007C6F59">
          <w:rPr>
            <w:noProof/>
            <w:webHidden/>
          </w:rPr>
          <w:fldChar w:fldCharType="begin"/>
        </w:r>
        <w:r w:rsidR="007C6F59">
          <w:rPr>
            <w:noProof/>
            <w:webHidden/>
          </w:rPr>
          <w:instrText xml:space="preserve"> PAGEREF _Toc101274523 \h </w:instrText>
        </w:r>
        <w:r w:rsidR="007C6F59">
          <w:rPr>
            <w:noProof/>
            <w:webHidden/>
          </w:rPr>
        </w:r>
        <w:r w:rsidR="007C6F59">
          <w:rPr>
            <w:noProof/>
            <w:webHidden/>
          </w:rPr>
          <w:fldChar w:fldCharType="separate"/>
        </w:r>
        <w:r w:rsidR="00587AF0">
          <w:rPr>
            <w:noProof/>
            <w:webHidden/>
          </w:rPr>
          <w:t>3</w:t>
        </w:r>
        <w:r w:rsidR="007C6F59">
          <w:rPr>
            <w:noProof/>
            <w:webHidden/>
          </w:rPr>
          <w:fldChar w:fldCharType="end"/>
        </w:r>
      </w:hyperlink>
    </w:p>
    <w:p w14:paraId="33E761C6" w14:textId="5CB34C9E"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24" w:history="1">
        <w:r w:rsidR="007C6F59" w:rsidRPr="007B6B46">
          <w:rPr>
            <w:rStyle w:val="Hyperlink"/>
            <w:noProof/>
          </w:rPr>
          <w:t>Figure 2. Pillars of research motivation and rationale</w:t>
        </w:r>
        <w:r w:rsidR="007C6F59">
          <w:rPr>
            <w:noProof/>
            <w:webHidden/>
          </w:rPr>
          <w:tab/>
        </w:r>
        <w:r w:rsidR="007C6F59">
          <w:rPr>
            <w:noProof/>
            <w:webHidden/>
          </w:rPr>
          <w:fldChar w:fldCharType="begin"/>
        </w:r>
        <w:r w:rsidR="007C6F59">
          <w:rPr>
            <w:noProof/>
            <w:webHidden/>
          </w:rPr>
          <w:instrText xml:space="preserve"> PAGEREF _Toc101274524 \h </w:instrText>
        </w:r>
        <w:r w:rsidR="007C6F59">
          <w:rPr>
            <w:noProof/>
            <w:webHidden/>
          </w:rPr>
        </w:r>
        <w:r w:rsidR="007C6F59">
          <w:rPr>
            <w:noProof/>
            <w:webHidden/>
          </w:rPr>
          <w:fldChar w:fldCharType="separate"/>
        </w:r>
        <w:r w:rsidR="00587AF0">
          <w:rPr>
            <w:noProof/>
            <w:webHidden/>
          </w:rPr>
          <w:t>4</w:t>
        </w:r>
        <w:r w:rsidR="007C6F59">
          <w:rPr>
            <w:noProof/>
            <w:webHidden/>
          </w:rPr>
          <w:fldChar w:fldCharType="end"/>
        </w:r>
      </w:hyperlink>
    </w:p>
    <w:p w14:paraId="4E9EA65F" w14:textId="43D3D875"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25" w:history="1">
        <w:r w:rsidR="007C6F59" w:rsidRPr="007B6B46">
          <w:rPr>
            <w:rStyle w:val="Hyperlink"/>
            <w:noProof/>
          </w:rPr>
          <w:t xml:space="preserve">Figure 3. Three-layer system with </w:t>
        </w:r>
        <w:r w:rsidR="007C6F59" w:rsidRPr="007B6B46">
          <w:rPr>
            <w:rStyle w:val="Hyperlink"/>
            <w:i/>
            <w:noProof/>
          </w:rPr>
          <w:t>n</w:t>
        </w:r>
        <w:r w:rsidR="007C6F59" w:rsidRPr="007B6B46">
          <w:rPr>
            <w:rStyle w:val="Hyperlink"/>
            <w:noProof/>
          </w:rPr>
          <w:t xml:space="preserve"> sub-systems and </w:t>
        </w:r>
        <w:r w:rsidR="007C6F59" w:rsidRPr="007B6B46">
          <w:rPr>
            <w:rStyle w:val="Hyperlink"/>
            <w:i/>
            <w:noProof/>
          </w:rPr>
          <w:t>n</w:t>
        </w:r>
        <w:r w:rsidR="007C6F59" w:rsidRPr="007B6B46">
          <w:rPr>
            <w:rStyle w:val="Hyperlink"/>
            <w:noProof/>
          </w:rPr>
          <w:t xml:space="preserve"> units (components)</w:t>
        </w:r>
        <w:r w:rsidR="007C6F59">
          <w:rPr>
            <w:noProof/>
            <w:webHidden/>
          </w:rPr>
          <w:tab/>
        </w:r>
        <w:r w:rsidR="007C6F59">
          <w:rPr>
            <w:noProof/>
            <w:webHidden/>
          </w:rPr>
          <w:fldChar w:fldCharType="begin"/>
        </w:r>
        <w:r w:rsidR="007C6F59">
          <w:rPr>
            <w:noProof/>
            <w:webHidden/>
          </w:rPr>
          <w:instrText xml:space="preserve"> PAGEREF _Toc101274525 \h </w:instrText>
        </w:r>
        <w:r w:rsidR="007C6F59">
          <w:rPr>
            <w:noProof/>
            <w:webHidden/>
          </w:rPr>
        </w:r>
        <w:r w:rsidR="007C6F59">
          <w:rPr>
            <w:noProof/>
            <w:webHidden/>
          </w:rPr>
          <w:fldChar w:fldCharType="separate"/>
        </w:r>
        <w:r w:rsidR="00587AF0">
          <w:rPr>
            <w:noProof/>
            <w:webHidden/>
          </w:rPr>
          <w:t>7</w:t>
        </w:r>
        <w:r w:rsidR="007C6F59">
          <w:rPr>
            <w:noProof/>
            <w:webHidden/>
          </w:rPr>
          <w:fldChar w:fldCharType="end"/>
        </w:r>
      </w:hyperlink>
    </w:p>
    <w:p w14:paraId="37616241" w14:textId="448275E9"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26" w:history="1">
        <w:r w:rsidR="007C6F59" w:rsidRPr="007B6B46">
          <w:rPr>
            <w:rStyle w:val="Hyperlink"/>
            <w:noProof/>
          </w:rPr>
          <w:t>Figure 4. Functional-productiveness control boundaries with quasi-faults (QF)[26] for static thresholds (left) and dynamic (right) thresholds</w:t>
        </w:r>
        <w:r w:rsidR="007C6F59">
          <w:rPr>
            <w:noProof/>
            <w:webHidden/>
          </w:rPr>
          <w:tab/>
        </w:r>
        <w:r w:rsidR="007C6F59">
          <w:rPr>
            <w:noProof/>
            <w:webHidden/>
          </w:rPr>
          <w:fldChar w:fldCharType="begin"/>
        </w:r>
        <w:r w:rsidR="007C6F59">
          <w:rPr>
            <w:noProof/>
            <w:webHidden/>
          </w:rPr>
          <w:instrText xml:space="preserve"> PAGEREF _Toc101274526 \h </w:instrText>
        </w:r>
        <w:r w:rsidR="007C6F59">
          <w:rPr>
            <w:noProof/>
            <w:webHidden/>
          </w:rPr>
        </w:r>
        <w:r w:rsidR="007C6F59">
          <w:rPr>
            <w:noProof/>
            <w:webHidden/>
          </w:rPr>
          <w:fldChar w:fldCharType="separate"/>
        </w:r>
        <w:r w:rsidR="00587AF0">
          <w:rPr>
            <w:noProof/>
            <w:webHidden/>
          </w:rPr>
          <w:t>8</w:t>
        </w:r>
        <w:r w:rsidR="007C6F59">
          <w:rPr>
            <w:noProof/>
            <w:webHidden/>
          </w:rPr>
          <w:fldChar w:fldCharType="end"/>
        </w:r>
      </w:hyperlink>
    </w:p>
    <w:p w14:paraId="2E0325FD" w14:textId="7AFE3995"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27" w:history="1">
        <w:r w:rsidR="007C6F59" w:rsidRPr="007B6B46">
          <w:rPr>
            <w:rStyle w:val="Hyperlink"/>
            <w:noProof/>
          </w:rPr>
          <w:t>Figure 5. Inductive learning hypothesis testing in machine learning</w:t>
        </w:r>
        <w:r w:rsidR="007C6F59">
          <w:rPr>
            <w:noProof/>
            <w:webHidden/>
          </w:rPr>
          <w:tab/>
        </w:r>
        <w:r w:rsidR="007C6F59">
          <w:rPr>
            <w:noProof/>
            <w:webHidden/>
          </w:rPr>
          <w:fldChar w:fldCharType="begin"/>
        </w:r>
        <w:r w:rsidR="007C6F59">
          <w:rPr>
            <w:noProof/>
            <w:webHidden/>
          </w:rPr>
          <w:instrText xml:space="preserve"> PAGEREF _Toc101274527 \h </w:instrText>
        </w:r>
        <w:r w:rsidR="007C6F59">
          <w:rPr>
            <w:noProof/>
            <w:webHidden/>
          </w:rPr>
        </w:r>
        <w:r w:rsidR="007C6F59">
          <w:rPr>
            <w:noProof/>
            <w:webHidden/>
          </w:rPr>
          <w:fldChar w:fldCharType="separate"/>
        </w:r>
        <w:r w:rsidR="00587AF0">
          <w:rPr>
            <w:noProof/>
            <w:webHidden/>
          </w:rPr>
          <w:t>13</w:t>
        </w:r>
        <w:r w:rsidR="007C6F59">
          <w:rPr>
            <w:noProof/>
            <w:webHidden/>
          </w:rPr>
          <w:fldChar w:fldCharType="end"/>
        </w:r>
      </w:hyperlink>
    </w:p>
    <w:p w14:paraId="49D53499" w14:textId="7DDA766A"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28" w:history="1">
        <w:r w:rsidR="007C6F59" w:rsidRPr="007B6B46">
          <w:rPr>
            <w:rStyle w:val="Hyperlink"/>
            <w:noProof/>
          </w:rPr>
          <w:t>Figure 6. SLR and ScR reviews overall (a) and engineering (b) by WoS and Scopus</w:t>
        </w:r>
        <w:r w:rsidR="007C6F59">
          <w:rPr>
            <w:noProof/>
            <w:webHidden/>
          </w:rPr>
          <w:tab/>
        </w:r>
        <w:r w:rsidR="007C6F59">
          <w:rPr>
            <w:noProof/>
            <w:webHidden/>
          </w:rPr>
          <w:fldChar w:fldCharType="begin"/>
        </w:r>
        <w:r w:rsidR="007C6F59">
          <w:rPr>
            <w:noProof/>
            <w:webHidden/>
          </w:rPr>
          <w:instrText xml:space="preserve"> PAGEREF _Toc101274528 \h </w:instrText>
        </w:r>
        <w:r w:rsidR="007C6F59">
          <w:rPr>
            <w:noProof/>
            <w:webHidden/>
          </w:rPr>
        </w:r>
        <w:r w:rsidR="007C6F59">
          <w:rPr>
            <w:noProof/>
            <w:webHidden/>
          </w:rPr>
          <w:fldChar w:fldCharType="separate"/>
        </w:r>
        <w:r w:rsidR="00587AF0">
          <w:rPr>
            <w:noProof/>
            <w:webHidden/>
          </w:rPr>
          <w:t>17</w:t>
        </w:r>
        <w:r w:rsidR="007C6F59">
          <w:rPr>
            <w:noProof/>
            <w:webHidden/>
          </w:rPr>
          <w:fldChar w:fldCharType="end"/>
        </w:r>
      </w:hyperlink>
    </w:p>
    <w:p w14:paraId="134FBBAF" w14:textId="5F9511EF"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29" w:history="1">
        <w:r w:rsidR="007C6F59" w:rsidRPr="007B6B46">
          <w:rPr>
            <w:rStyle w:val="Hyperlink"/>
            <w:noProof/>
          </w:rPr>
          <w:t>Figure 7. The protocol for extracting projects in the corpus of evidence</w:t>
        </w:r>
        <w:r w:rsidR="007C6F59">
          <w:rPr>
            <w:noProof/>
            <w:webHidden/>
          </w:rPr>
          <w:tab/>
        </w:r>
        <w:r w:rsidR="007C6F59">
          <w:rPr>
            <w:noProof/>
            <w:webHidden/>
          </w:rPr>
          <w:fldChar w:fldCharType="begin"/>
        </w:r>
        <w:r w:rsidR="007C6F59">
          <w:rPr>
            <w:noProof/>
            <w:webHidden/>
          </w:rPr>
          <w:instrText xml:space="preserve"> PAGEREF _Toc101274529 \h </w:instrText>
        </w:r>
        <w:r w:rsidR="007C6F59">
          <w:rPr>
            <w:noProof/>
            <w:webHidden/>
          </w:rPr>
        </w:r>
        <w:r w:rsidR="007C6F59">
          <w:rPr>
            <w:noProof/>
            <w:webHidden/>
          </w:rPr>
          <w:fldChar w:fldCharType="separate"/>
        </w:r>
        <w:r w:rsidR="00587AF0">
          <w:rPr>
            <w:noProof/>
            <w:webHidden/>
          </w:rPr>
          <w:t>20</w:t>
        </w:r>
        <w:r w:rsidR="007C6F59">
          <w:rPr>
            <w:noProof/>
            <w:webHidden/>
          </w:rPr>
          <w:fldChar w:fldCharType="end"/>
        </w:r>
      </w:hyperlink>
    </w:p>
    <w:p w14:paraId="74DFE3D7" w14:textId="7D540A2D"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30" w:history="1">
        <w:r w:rsidR="007C6F59" w:rsidRPr="007B6B46">
          <w:rPr>
            <w:rStyle w:val="Hyperlink"/>
            <w:noProof/>
          </w:rPr>
          <w:t>Figure 8. Survey framework draft of hydraulic system maintenance</w:t>
        </w:r>
        <w:r w:rsidR="007C6F59">
          <w:rPr>
            <w:noProof/>
            <w:webHidden/>
          </w:rPr>
          <w:tab/>
        </w:r>
        <w:r w:rsidR="007C6F59">
          <w:rPr>
            <w:noProof/>
            <w:webHidden/>
          </w:rPr>
          <w:fldChar w:fldCharType="begin"/>
        </w:r>
        <w:r w:rsidR="007C6F59">
          <w:rPr>
            <w:noProof/>
            <w:webHidden/>
          </w:rPr>
          <w:instrText xml:space="preserve"> PAGEREF _Toc101274530 \h </w:instrText>
        </w:r>
        <w:r w:rsidR="007C6F59">
          <w:rPr>
            <w:noProof/>
            <w:webHidden/>
          </w:rPr>
        </w:r>
        <w:r w:rsidR="007C6F59">
          <w:rPr>
            <w:noProof/>
            <w:webHidden/>
          </w:rPr>
          <w:fldChar w:fldCharType="separate"/>
        </w:r>
        <w:r w:rsidR="00587AF0">
          <w:rPr>
            <w:noProof/>
            <w:webHidden/>
          </w:rPr>
          <w:t>22</w:t>
        </w:r>
        <w:r w:rsidR="007C6F59">
          <w:rPr>
            <w:noProof/>
            <w:webHidden/>
          </w:rPr>
          <w:fldChar w:fldCharType="end"/>
        </w:r>
      </w:hyperlink>
    </w:p>
    <w:p w14:paraId="4C34A2F2" w14:textId="487B0BFC"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31" w:history="1">
        <w:r w:rsidR="007C6F59" w:rsidRPr="007B6B46">
          <w:rPr>
            <w:rStyle w:val="Hyperlink"/>
            <w:noProof/>
          </w:rPr>
          <w:t>Figure 9. PRISMA framework for retrieving research articles</w:t>
        </w:r>
        <w:r w:rsidR="007C6F59">
          <w:rPr>
            <w:noProof/>
            <w:webHidden/>
          </w:rPr>
          <w:tab/>
        </w:r>
        <w:r w:rsidR="007C6F59">
          <w:rPr>
            <w:noProof/>
            <w:webHidden/>
          </w:rPr>
          <w:fldChar w:fldCharType="begin"/>
        </w:r>
        <w:r w:rsidR="007C6F59">
          <w:rPr>
            <w:noProof/>
            <w:webHidden/>
          </w:rPr>
          <w:instrText xml:space="preserve"> PAGEREF _Toc101274531 \h </w:instrText>
        </w:r>
        <w:r w:rsidR="007C6F59">
          <w:rPr>
            <w:noProof/>
            <w:webHidden/>
          </w:rPr>
        </w:r>
        <w:r w:rsidR="007C6F59">
          <w:rPr>
            <w:noProof/>
            <w:webHidden/>
          </w:rPr>
          <w:fldChar w:fldCharType="separate"/>
        </w:r>
        <w:r w:rsidR="00587AF0">
          <w:rPr>
            <w:noProof/>
            <w:webHidden/>
          </w:rPr>
          <w:t>25</w:t>
        </w:r>
        <w:r w:rsidR="007C6F59">
          <w:rPr>
            <w:noProof/>
            <w:webHidden/>
          </w:rPr>
          <w:fldChar w:fldCharType="end"/>
        </w:r>
      </w:hyperlink>
    </w:p>
    <w:p w14:paraId="1A5BF0DD" w14:textId="76A69B31"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32" w:history="1">
        <w:r w:rsidR="007C6F59" w:rsidRPr="007B6B46">
          <w:rPr>
            <w:rStyle w:val="Hyperlink"/>
            <w:noProof/>
          </w:rPr>
          <w:t>Figure 10. Maintenance approaches across industries by year</w:t>
        </w:r>
        <w:r w:rsidR="007C6F59">
          <w:rPr>
            <w:noProof/>
            <w:webHidden/>
          </w:rPr>
          <w:tab/>
        </w:r>
        <w:r w:rsidR="007C6F59">
          <w:rPr>
            <w:noProof/>
            <w:webHidden/>
          </w:rPr>
          <w:fldChar w:fldCharType="begin"/>
        </w:r>
        <w:r w:rsidR="007C6F59">
          <w:rPr>
            <w:noProof/>
            <w:webHidden/>
          </w:rPr>
          <w:instrText xml:space="preserve"> PAGEREF _Toc101274532 \h </w:instrText>
        </w:r>
        <w:r w:rsidR="007C6F59">
          <w:rPr>
            <w:noProof/>
            <w:webHidden/>
          </w:rPr>
        </w:r>
        <w:r w:rsidR="007C6F59">
          <w:rPr>
            <w:noProof/>
            <w:webHidden/>
          </w:rPr>
          <w:fldChar w:fldCharType="separate"/>
        </w:r>
        <w:r w:rsidR="00587AF0">
          <w:rPr>
            <w:noProof/>
            <w:webHidden/>
          </w:rPr>
          <w:t>27</w:t>
        </w:r>
        <w:r w:rsidR="007C6F59">
          <w:rPr>
            <w:noProof/>
            <w:webHidden/>
          </w:rPr>
          <w:fldChar w:fldCharType="end"/>
        </w:r>
      </w:hyperlink>
    </w:p>
    <w:p w14:paraId="543404AF" w14:textId="42F0D802"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33" w:history="1">
        <w:r w:rsidR="007C6F59" w:rsidRPr="007B6B46">
          <w:rPr>
            <w:rStyle w:val="Hyperlink"/>
            <w:noProof/>
          </w:rPr>
          <w:t>Figure 11. Analysis of projects’ research fundings by year (a) and funds by industry (b)</w:t>
        </w:r>
        <w:r w:rsidR="007C6F59">
          <w:rPr>
            <w:noProof/>
            <w:webHidden/>
          </w:rPr>
          <w:tab/>
        </w:r>
        <w:r w:rsidR="007C6F59">
          <w:rPr>
            <w:noProof/>
            <w:webHidden/>
          </w:rPr>
          <w:fldChar w:fldCharType="begin"/>
        </w:r>
        <w:r w:rsidR="007C6F59">
          <w:rPr>
            <w:noProof/>
            <w:webHidden/>
          </w:rPr>
          <w:instrText xml:space="preserve"> PAGEREF _Toc101274533 \h </w:instrText>
        </w:r>
        <w:r w:rsidR="007C6F59">
          <w:rPr>
            <w:noProof/>
            <w:webHidden/>
          </w:rPr>
        </w:r>
        <w:r w:rsidR="007C6F59">
          <w:rPr>
            <w:noProof/>
            <w:webHidden/>
          </w:rPr>
          <w:fldChar w:fldCharType="separate"/>
        </w:r>
        <w:r w:rsidR="00587AF0">
          <w:rPr>
            <w:noProof/>
            <w:webHidden/>
          </w:rPr>
          <w:t>28</w:t>
        </w:r>
        <w:r w:rsidR="007C6F59">
          <w:rPr>
            <w:noProof/>
            <w:webHidden/>
          </w:rPr>
          <w:fldChar w:fldCharType="end"/>
        </w:r>
      </w:hyperlink>
    </w:p>
    <w:p w14:paraId="6AA48277" w14:textId="671989A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34" w:history="1">
        <w:r w:rsidR="007C6F59" w:rsidRPr="007B6B46">
          <w:rPr>
            <w:rStyle w:val="Hyperlink"/>
            <w:noProof/>
          </w:rPr>
          <w:t>Figure 12. Analysis of projects’ research results (a)</w:t>
        </w:r>
        <w:r w:rsidR="007C6F59" w:rsidRPr="007B6B46">
          <w:rPr>
            <w:rStyle w:val="Hyperlink"/>
            <w:bCs/>
            <w:noProof/>
            <w:lang w:val="en-GB"/>
          </w:rPr>
          <w:t xml:space="preserve"> and industrial application (b)</w:t>
        </w:r>
        <w:r w:rsidR="007C6F59">
          <w:rPr>
            <w:noProof/>
            <w:webHidden/>
          </w:rPr>
          <w:tab/>
        </w:r>
        <w:r w:rsidR="007C6F59">
          <w:rPr>
            <w:noProof/>
            <w:webHidden/>
          </w:rPr>
          <w:fldChar w:fldCharType="begin"/>
        </w:r>
        <w:r w:rsidR="007C6F59">
          <w:rPr>
            <w:noProof/>
            <w:webHidden/>
          </w:rPr>
          <w:instrText xml:space="preserve"> PAGEREF _Toc101274534 \h </w:instrText>
        </w:r>
        <w:r w:rsidR="007C6F59">
          <w:rPr>
            <w:noProof/>
            <w:webHidden/>
          </w:rPr>
        </w:r>
        <w:r w:rsidR="007C6F59">
          <w:rPr>
            <w:noProof/>
            <w:webHidden/>
          </w:rPr>
          <w:fldChar w:fldCharType="separate"/>
        </w:r>
        <w:r w:rsidR="00587AF0">
          <w:rPr>
            <w:noProof/>
            <w:webHidden/>
          </w:rPr>
          <w:t>29</w:t>
        </w:r>
        <w:r w:rsidR="007C6F59">
          <w:rPr>
            <w:noProof/>
            <w:webHidden/>
          </w:rPr>
          <w:fldChar w:fldCharType="end"/>
        </w:r>
      </w:hyperlink>
    </w:p>
    <w:p w14:paraId="442E07B7" w14:textId="74F337EE"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35" w:history="1">
        <w:r w:rsidR="007C6F59" w:rsidRPr="007B6B46">
          <w:rPr>
            <w:rStyle w:val="Hyperlink"/>
            <w:noProof/>
          </w:rPr>
          <w:t>Figure 13. Maintenance projects’ dissemination activities and deliverables by year</w:t>
        </w:r>
        <w:r w:rsidR="007C6F59">
          <w:rPr>
            <w:noProof/>
            <w:webHidden/>
          </w:rPr>
          <w:tab/>
        </w:r>
        <w:r w:rsidR="007C6F59">
          <w:rPr>
            <w:noProof/>
            <w:webHidden/>
          </w:rPr>
          <w:fldChar w:fldCharType="begin"/>
        </w:r>
        <w:r w:rsidR="007C6F59">
          <w:rPr>
            <w:noProof/>
            <w:webHidden/>
          </w:rPr>
          <w:instrText xml:space="preserve"> PAGEREF _Toc101274535 \h </w:instrText>
        </w:r>
        <w:r w:rsidR="007C6F59">
          <w:rPr>
            <w:noProof/>
            <w:webHidden/>
          </w:rPr>
        </w:r>
        <w:r w:rsidR="007C6F59">
          <w:rPr>
            <w:noProof/>
            <w:webHidden/>
          </w:rPr>
          <w:fldChar w:fldCharType="separate"/>
        </w:r>
        <w:r w:rsidR="00587AF0">
          <w:rPr>
            <w:noProof/>
            <w:webHidden/>
          </w:rPr>
          <w:t>29</w:t>
        </w:r>
        <w:r w:rsidR="007C6F59">
          <w:rPr>
            <w:noProof/>
            <w:webHidden/>
          </w:rPr>
          <w:fldChar w:fldCharType="end"/>
        </w:r>
      </w:hyperlink>
    </w:p>
    <w:p w14:paraId="34EAD451" w14:textId="21873229"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36" w:history="1">
        <w:r w:rsidR="007C6F59" w:rsidRPr="007B6B46">
          <w:rPr>
            <w:rStyle w:val="Hyperlink"/>
            <w:noProof/>
          </w:rPr>
          <w:t>Figure 14. Correlation between PWF and overall funds: (a) projects with doctoral thesis; (b) projects with patents; (c) projects without thesis and patents; (d) all industrial maintenance-related projects</w:t>
        </w:r>
        <w:r w:rsidR="007C6F59">
          <w:rPr>
            <w:noProof/>
            <w:webHidden/>
          </w:rPr>
          <w:tab/>
        </w:r>
        <w:r w:rsidR="007C6F59">
          <w:rPr>
            <w:noProof/>
            <w:webHidden/>
          </w:rPr>
          <w:fldChar w:fldCharType="begin"/>
        </w:r>
        <w:r w:rsidR="007C6F59">
          <w:rPr>
            <w:noProof/>
            <w:webHidden/>
          </w:rPr>
          <w:instrText xml:space="preserve"> PAGEREF _Toc101274536 \h </w:instrText>
        </w:r>
        <w:r w:rsidR="007C6F59">
          <w:rPr>
            <w:noProof/>
            <w:webHidden/>
          </w:rPr>
        </w:r>
        <w:r w:rsidR="007C6F59">
          <w:rPr>
            <w:noProof/>
            <w:webHidden/>
          </w:rPr>
          <w:fldChar w:fldCharType="separate"/>
        </w:r>
        <w:r w:rsidR="00587AF0">
          <w:rPr>
            <w:noProof/>
            <w:webHidden/>
          </w:rPr>
          <w:t>33</w:t>
        </w:r>
        <w:r w:rsidR="007C6F59">
          <w:rPr>
            <w:noProof/>
            <w:webHidden/>
          </w:rPr>
          <w:fldChar w:fldCharType="end"/>
        </w:r>
      </w:hyperlink>
    </w:p>
    <w:p w14:paraId="2FE0034A" w14:textId="3163C209"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37" w:history="1">
        <w:r w:rsidR="007C6F59" w:rsidRPr="007B6B46">
          <w:rPr>
            <w:rStyle w:val="Hyperlink"/>
            <w:noProof/>
          </w:rPr>
          <w:t>Figure 15. Institutions from countries that participated as partners and as coordinators</w:t>
        </w:r>
        <w:r w:rsidR="007C6F59">
          <w:rPr>
            <w:noProof/>
            <w:webHidden/>
          </w:rPr>
          <w:tab/>
        </w:r>
        <w:r w:rsidR="007C6F59">
          <w:rPr>
            <w:noProof/>
            <w:webHidden/>
          </w:rPr>
          <w:fldChar w:fldCharType="begin"/>
        </w:r>
        <w:r w:rsidR="007C6F59">
          <w:rPr>
            <w:noProof/>
            <w:webHidden/>
          </w:rPr>
          <w:instrText xml:space="preserve"> PAGEREF _Toc101274537 \h </w:instrText>
        </w:r>
        <w:r w:rsidR="007C6F59">
          <w:rPr>
            <w:noProof/>
            <w:webHidden/>
          </w:rPr>
        </w:r>
        <w:r w:rsidR="007C6F59">
          <w:rPr>
            <w:noProof/>
            <w:webHidden/>
          </w:rPr>
          <w:fldChar w:fldCharType="separate"/>
        </w:r>
        <w:r w:rsidR="00587AF0">
          <w:rPr>
            <w:noProof/>
            <w:webHidden/>
          </w:rPr>
          <w:t>34</w:t>
        </w:r>
        <w:r w:rsidR="007C6F59">
          <w:rPr>
            <w:noProof/>
            <w:webHidden/>
          </w:rPr>
          <w:fldChar w:fldCharType="end"/>
        </w:r>
      </w:hyperlink>
    </w:p>
    <w:p w14:paraId="3FEAFBE2" w14:textId="3250EB46"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38" w:history="1">
        <w:r w:rsidR="007C6F59" w:rsidRPr="007B6B46">
          <w:rPr>
            <w:rStyle w:val="Hyperlink"/>
            <w:noProof/>
          </w:rPr>
          <w:t>Figure 16. Representation of countries that participated in the project (x-axis) within the industrial domain of research (y left axis)</w:t>
        </w:r>
        <w:r w:rsidR="007C6F59">
          <w:rPr>
            <w:noProof/>
            <w:webHidden/>
          </w:rPr>
          <w:tab/>
        </w:r>
        <w:r w:rsidR="007C6F59">
          <w:rPr>
            <w:noProof/>
            <w:webHidden/>
          </w:rPr>
          <w:fldChar w:fldCharType="begin"/>
        </w:r>
        <w:r w:rsidR="007C6F59">
          <w:rPr>
            <w:noProof/>
            <w:webHidden/>
          </w:rPr>
          <w:instrText xml:space="preserve"> PAGEREF _Toc101274538 \h </w:instrText>
        </w:r>
        <w:r w:rsidR="007C6F59">
          <w:rPr>
            <w:noProof/>
            <w:webHidden/>
          </w:rPr>
        </w:r>
        <w:r w:rsidR="007C6F59">
          <w:rPr>
            <w:noProof/>
            <w:webHidden/>
          </w:rPr>
          <w:fldChar w:fldCharType="separate"/>
        </w:r>
        <w:r w:rsidR="00587AF0">
          <w:rPr>
            <w:noProof/>
            <w:webHidden/>
          </w:rPr>
          <w:t>34</w:t>
        </w:r>
        <w:r w:rsidR="007C6F59">
          <w:rPr>
            <w:noProof/>
            <w:webHidden/>
          </w:rPr>
          <w:fldChar w:fldCharType="end"/>
        </w:r>
      </w:hyperlink>
    </w:p>
    <w:p w14:paraId="34CDEA50" w14:textId="7AF1045A"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39" w:history="1">
        <w:r w:rsidR="007C6F59" w:rsidRPr="007B6B46">
          <w:rPr>
            <w:rStyle w:val="Hyperlink"/>
            <w:noProof/>
          </w:rPr>
          <w:t>Figure 17. Maintenance-related research projects and institutions coordinators</w:t>
        </w:r>
        <w:r w:rsidR="007C6F59">
          <w:rPr>
            <w:noProof/>
            <w:webHidden/>
          </w:rPr>
          <w:tab/>
        </w:r>
        <w:r w:rsidR="007C6F59">
          <w:rPr>
            <w:noProof/>
            <w:webHidden/>
          </w:rPr>
          <w:fldChar w:fldCharType="begin"/>
        </w:r>
        <w:r w:rsidR="007C6F59">
          <w:rPr>
            <w:noProof/>
            <w:webHidden/>
          </w:rPr>
          <w:instrText xml:space="preserve"> PAGEREF _Toc101274539 \h </w:instrText>
        </w:r>
        <w:r w:rsidR="007C6F59">
          <w:rPr>
            <w:noProof/>
            <w:webHidden/>
          </w:rPr>
        </w:r>
        <w:r w:rsidR="007C6F59">
          <w:rPr>
            <w:noProof/>
            <w:webHidden/>
          </w:rPr>
          <w:fldChar w:fldCharType="separate"/>
        </w:r>
        <w:r w:rsidR="00587AF0">
          <w:rPr>
            <w:noProof/>
            <w:webHidden/>
          </w:rPr>
          <w:t>35</w:t>
        </w:r>
        <w:r w:rsidR="007C6F59">
          <w:rPr>
            <w:noProof/>
            <w:webHidden/>
          </w:rPr>
          <w:fldChar w:fldCharType="end"/>
        </w:r>
      </w:hyperlink>
    </w:p>
    <w:p w14:paraId="5AA2D767" w14:textId="5307F483"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40" w:history="1">
        <w:r w:rsidR="007C6F59" w:rsidRPr="007B6B46">
          <w:rPr>
            <w:rStyle w:val="Hyperlink"/>
            <w:noProof/>
          </w:rPr>
          <w:t>Figure 18. Meta-data of (a) publications and (b) studies conducted by institutions</w:t>
        </w:r>
        <w:r w:rsidR="007C6F59">
          <w:rPr>
            <w:noProof/>
            <w:webHidden/>
          </w:rPr>
          <w:tab/>
        </w:r>
        <w:r w:rsidR="007C6F59">
          <w:rPr>
            <w:noProof/>
            <w:webHidden/>
          </w:rPr>
          <w:fldChar w:fldCharType="begin"/>
        </w:r>
        <w:r w:rsidR="007C6F59">
          <w:rPr>
            <w:noProof/>
            <w:webHidden/>
          </w:rPr>
          <w:instrText xml:space="preserve"> PAGEREF _Toc101274540 \h </w:instrText>
        </w:r>
        <w:r w:rsidR="007C6F59">
          <w:rPr>
            <w:noProof/>
            <w:webHidden/>
          </w:rPr>
        </w:r>
        <w:r w:rsidR="007C6F59">
          <w:rPr>
            <w:noProof/>
            <w:webHidden/>
          </w:rPr>
          <w:fldChar w:fldCharType="separate"/>
        </w:r>
        <w:r w:rsidR="00587AF0">
          <w:rPr>
            <w:noProof/>
            <w:webHidden/>
          </w:rPr>
          <w:t>38</w:t>
        </w:r>
        <w:r w:rsidR="007C6F59">
          <w:rPr>
            <w:noProof/>
            <w:webHidden/>
          </w:rPr>
          <w:fldChar w:fldCharType="end"/>
        </w:r>
      </w:hyperlink>
    </w:p>
    <w:p w14:paraId="342E6A2D" w14:textId="6851854E"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41" w:history="1">
        <w:r w:rsidR="007C6F59" w:rsidRPr="007B6B46">
          <w:rPr>
            <w:rStyle w:val="Hyperlink"/>
            <w:noProof/>
          </w:rPr>
          <w:t>Figure 19. Analysis of application: (a) industrial sector and (b) maintenance policy</w:t>
        </w:r>
        <w:r w:rsidR="007C6F59">
          <w:rPr>
            <w:noProof/>
            <w:webHidden/>
          </w:rPr>
          <w:tab/>
        </w:r>
        <w:r w:rsidR="007C6F59">
          <w:rPr>
            <w:noProof/>
            <w:webHidden/>
          </w:rPr>
          <w:fldChar w:fldCharType="begin"/>
        </w:r>
        <w:r w:rsidR="007C6F59">
          <w:rPr>
            <w:noProof/>
            <w:webHidden/>
          </w:rPr>
          <w:instrText xml:space="preserve"> PAGEREF _Toc101274541 \h </w:instrText>
        </w:r>
        <w:r w:rsidR="007C6F59">
          <w:rPr>
            <w:noProof/>
            <w:webHidden/>
          </w:rPr>
        </w:r>
        <w:r w:rsidR="007C6F59">
          <w:rPr>
            <w:noProof/>
            <w:webHidden/>
          </w:rPr>
          <w:fldChar w:fldCharType="separate"/>
        </w:r>
        <w:r w:rsidR="00587AF0">
          <w:rPr>
            <w:noProof/>
            <w:webHidden/>
          </w:rPr>
          <w:t>39</w:t>
        </w:r>
        <w:r w:rsidR="007C6F59">
          <w:rPr>
            <w:noProof/>
            <w:webHidden/>
          </w:rPr>
          <w:fldChar w:fldCharType="end"/>
        </w:r>
      </w:hyperlink>
    </w:p>
    <w:p w14:paraId="73AC1F6E" w14:textId="6F719C8B"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42" w:history="1">
        <w:r w:rsidR="007C6F59" w:rsidRPr="007B6B46">
          <w:rPr>
            <w:rStyle w:val="Hyperlink"/>
            <w:noProof/>
          </w:rPr>
          <w:t>Figure 20. Systematic analysis of research: (a) methodologies and (b) source of verification</w:t>
        </w:r>
        <w:r w:rsidR="007C6F59">
          <w:rPr>
            <w:noProof/>
            <w:webHidden/>
          </w:rPr>
          <w:tab/>
        </w:r>
        <w:r w:rsidR="007C6F59">
          <w:rPr>
            <w:noProof/>
            <w:webHidden/>
          </w:rPr>
          <w:fldChar w:fldCharType="begin"/>
        </w:r>
        <w:r w:rsidR="007C6F59">
          <w:rPr>
            <w:noProof/>
            <w:webHidden/>
          </w:rPr>
          <w:instrText xml:space="preserve"> PAGEREF _Toc101274542 \h </w:instrText>
        </w:r>
        <w:r w:rsidR="007C6F59">
          <w:rPr>
            <w:noProof/>
            <w:webHidden/>
          </w:rPr>
        </w:r>
        <w:r w:rsidR="007C6F59">
          <w:rPr>
            <w:noProof/>
            <w:webHidden/>
          </w:rPr>
          <w:fldChar w:fldCharType="separate"/>
        </w:r>
        <w:r w:rsidR="00587AF0">
          <w:rPr>
            <w:noProof/>
            <w:webHidden/>
          </w:rPr>
          <w:t>39</w:t>
        </w:r>
        <w:r w:rsidR="007C6F59">
          <w:rPr>
            <w:noProof/>
            <w:webHidden/>
          </w:rPr>
          <w:fldChar w:fldCharType="end"/>
        </w:r>
      </w:hyperlink>
    </w:p>
    <w:p w14:paraId="2D3EAC0F" w14:textId="3EFBB3C7"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43" w:history="1">
        <w:r w:rsidR="007C6F59" w:rsidRPr="007B6B46">
          <w:rPr>
            <w:rStyle w:val="Hyperlink"/>
            <w:noProof/>
          </w:rPr>
          <w:t>Figure 21. Stationary (a) and mobile (b) machines employing hydraulic control systems</w:t>
        </w:r>
        <w:r w:rsidR="007C6F59">
          <w:rPr>
            <w:noProof/>
            <w:webHidden/>
          </w:rPr>
          <w:tab/>
        </w:r>
        <w:r w:rsidR="007C6F59">
          <w:rPr>
            <w:noProof/>
            <w:webHidden/>
          </w:rPr>
          <w:fldChar w:fldCharType="begin"/>
        </w:r>
        <w:r w:rsidR="007C6F59">
          <w:rPr>
            <w:noProof/>
            <w:webHidden/>
          </w:rPr>
          <w:instrText xml:space="preserve"> PAGEREF _Toc101274543 \h </w:instrText>
        </w:r>
        <w:r w:rsidR="007C6F59">
          <w:rPr>
            <w:noProof/>
            <w:webHidden/>
          </w:rPr>
        </w:r>
        <w:r w:rsidR="007C6F59">
          <w:rPr>
            <w:noProof/>
            <w:webHidden/>
          </w:rPr>
          <w:fldChar w:fldCharType="separate"/>
        </w:r>
        <w:r w:rsidR="00587AF0">
          <w:rPr>
            <w:noProof/>
            <w:webHidden/>
          </w:rPr>
          <w:t>41</w:t>
        </w:r>
        <w:r w:rsidR="007C6F59">
          <w:rPr>
            <w:noProof/>
            <w:webHidden/>
          </w:rPr>
          <w:fldChar w:fldCharType="end"/>
        </w:r>
      </w:hyperlink>
    </w:p>
    <w:p w14:paraId="585B80E8" w14:textId="20C48957"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44" w:history="1">
        <w:r w:rsidR="007C6F59" w:rsidRPr="007B6B46">
          <w:rPr>
            <w:rStyle w:val="Hyperlink"/>
            <w:noProof/>
          </w:rPr>
          <w:t>Figure 22. Nominal working domains of pressures (a) and flow (b)</w:t>
        </w:r>
        <w:r w:rsidR="007C6F59">
          <w:rPr>
            <w:noProof/>
            <w:webHidden/>
          </w:rPr>
          <w:tab/>
        </w:r>
        <w:r w:rsidR="007C6F59">
          <w:rPr>
            <w:noProof/>
            <w:webHidden/>
          </w:rPr>
          <w:fldChar w:fldCharType="begin"/>
        </w:r>
        <w:r w:rsidR="007C6F59">
          <w:rPr>
            <w:noProof/>
            <w:webHidden/>
          </w:rPr>
          <w:instrText xml:space="preserve"> PAGEREF _Toc101274544 \h </w:instrText>
        </w:r>
        <w:r w:rsidR="007C6F59">
          <w:rPr>
            <w:noProof/>
            <w:webHidden/>
          </w:rPr>
        </w:r>
        <w:r w:rsidR="007C6F59">
          <w:rPr>
            <w:noProof/>
            <w:webHidden/>
          </w:rPr>
          <w:fldChar w:fldCharType="separate"/>
        </w:r>
        <w:r w:rsidR="00587AF0">
          <w:rPr>
            <w:noProof/>
            <w:webHidden/>
          </w:rPr>
          <w:t>42</w:t>
        </w:r>
        <w:r w:rsidR="007C6F59">
          <w:rPr>
            <w:noProof/>
            <w:webHidden/>
          </w:rPr>
          <w:fldChar w:fldCharType="end"/>
        </w:r>
      </w:hyperlink>
    </w:p>
    <w:p w14:paraId="496D2CBB" w14:textId="50FA6525"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45" w:history="1">
        <w:r w:rsidR="007C6F59" w:rsidRPr="007B6B46">
          <w:rPr>
            <w:rStyle w:val="Hyperlink"/>
            <w:noProof/>
          </w:rPr>
          <w:t>Figure 23. Type of hydraulic fluid employed (a) and viscosity grade (b)</w:t>
        </w:r>
        <w:r w:rsidR="007C6F59">
          <w:rPr>
            <w:noProof/>
            <w:webHidden/>
          </w:rPr>
          <w:tab/>
        </w:r>
        <w:r w:rsidR="007C6F59">
          <w:rPr>
            <w:noProof/>
            <w:webHidden/>
          </w:rPr>
          <w:fldChar w:fldCharType="begin"/>
        </w:r>
        <w:r w:rsidR="007C6F59">
          <w:rPr>
            <w:noProof/>
            <w:webHidden/>
          </w:rPr>
          <w:instrText xml:space="preserve"> PAGEREF _Toc101274545 \h </w:instrText>
        </w:r>
        <w:r w:rsidR="007C6F59">
          <w:rPr>
            <w:noProof/>
            <w:webHidden/>
          </w:rPr>
        </w:r>
        <w:r w:rsidR="007C6F59">
          <w:rPr>
            <w:noProof/>
            <w:webHidden/>
          </w:rPr>
          <w:fldChar w:fldCharType="separate"/>
        </w:r>
        <w:r w:rsidR="00587AF0">
          <w:rPr>
            <w:noProof/>
            <w:webHidden/>
          </w:rPr>
          <w:t>42</w:t>
        </w:r>
        <w:r w:rsidR="007C6F59">
          <w:rPr>
            <w:noProof/>
            <w:webHidden/>
          </w:rPr>
          <w:fldChar w:fldCharType="end"/>
        </w:r>
      </w:hyperlink>
    </w:p>
    <w:p w14:paraId="7C59E3B6" w14:textId="774DA111"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46" w:history="1">
        <w:r w:rsidR="007C6F59" w:rsidRPr="007B6B46">
          <w:rPr>
            <w:rStyle w:val="Hyperlink"/>
            <w:noProof/>
          </w:rPr>
          <w:t>Figure 24. Hydraulic fluid fillings within the whole control system or a machine</w:t>
        </w:r>
        <w:r w:rsidR="007C6F59">
          <w:rPr>
            <w:noProof/>
            <w:webHidden/>
          </w:rPr>
          <w:tab/>
        </w:r>
        <w:r w:rsidR="007C6F59">
          <w:rPr>
            <w:noProof/>
            <w:webHidden/>
          </w:rPr>
          <w:fldChar w:fldCharType="begin"/>
        </w:r>
        <w:r w:rsidR="007C6F59">
          <w:rPr>
            <w:noProof/>
            <w:webHidden/>
          </w:rPr>
          <w:instrText xml:space="preserve"> PAGEREF _Toc101274546 \h </w:instrText>
        </w:r>
        <w:r w:rsidR="007C6F59">
          <w:rPr>
            <w:noProof/>
            <w:webHidden/>
          </w:rPr>
        </w:r>
        <w:r w:rsidR="007C6F59">
          <w:rPr>
            <w:noProof/>
            <w:webHidden/>
          </w:rPr>
          <w:fldChar w:fldCharType="separate"/>
        </w:r>
        <w:r w:rsidR="00587AF0">
          <w:rPr>
            <w:noProof/>
            <w:webHidden/>
          </w:rPr>
          <w:t>43</w:t>
        </w:r>
        <w:r w:rsidR="007C6F59">
          <w:rPr>
            <w:noProof/>
            <w:webHidden/>
          </w:rPr>
          <w:fldChar w:fldCharType="end"/>
        </w:r>
      </w:hyperlink>
    </w:p>
    <w:p w14:paraId="1F81BEE5" w14:textId="595F5FBA"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47" w:history="1">
        <w:r w:rsidR="007C6F59" w:rsidRPr="007B6B46">
          <w:rPr>
            <w:rStyle w:val="Hyperlink"/>
            <w:noProof/>
          </w:rPr>
          <w:t>Figure 25. Maintenance practice (a) and available sensors (b) of respondents</w:t>
        </w:r>
        <w:r w:rsidR="007C6F59">
          <w:rPr>
            <w:noProof/>
            <w:webHidden/>
          </w:rPr>
          <w:tab/>
        </w:r>
        <w:r w:rsidR="007C6F59">
          <w:rPr>
            <w:noProof/>
            <w:webHidden/>
          </w:rPr>
          <w:fldChar w:fldCharType="begin"/>
        </w:r>
        <w:r w:rsidR="007C6F59">
          <w:rPr>
            <w:noProof/>
            <w:webHidden/>
          </w:rPr>
          <w:instrText xml:space="preserve"> PAGEREF _Toc101274547 \h </w:instrText>
        </w:r>
        <w:r w:rsidR="007C6F59">
          <w:rPr>
            <w:noProof/>
            <w:webHidden/>
          </w:rPr>
        </w:r>
        <w:r w:rsidR="007C6F59">
          <w:rPr>
            <w:noProof/>
            <w:webHidden/>
          </w:rPr>
          <w:fldChar w:fldCharType="separate"/>
        </w:r>
        <w:r w:rsidR="00587AF0">
          <w:rPr>
            <w:noProof/>
            <w:webHidden/>
          </w:rPr>
          <w:t>43</w:t>
        </w:r>
        <w:r w:rsidR="007C6F59">
          <w:rPr>
            <w:noProof/>
            <w:webHidden/>
          </w:rPr>
          <w:fldChar w:fldCharType="end"/>
        </w:r>
      </w:hyperlink>
    </w:p>
    <w:p w14:paraId="4F8521BF" w14:textId="7A231CA9"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48" w:history="1">
        <w:r w:rsidR="007C6F59" w:rsidRPr="007B6B46">
          <w:rPr>
            <w:rStyle w:val="Hyperlink"/>
            <w:noProof/>
          </w:rPr>
          <w:t>Figure 26. Machine age distribution (a) and machine state analysis program (b)</w:t>
        </w:r>
        <w:r w:rsidR="007C6F59">
          <w:rPr>
            <w:noProof/>
            <w:webHidden/>
          </w:rPr>
          <w:tab/>
        </w:r>
        <w:r w:rsidR="007C6F59">
          <w:rPr>
            <w:noProof/>
            <w:webHidden/>
          </w:rPr>
          <w:fldChar w:fldCharType="begin"/>
        </w:r>
        <w:r w:rsidR="007C6F59">
          <w:rPr>
            <w:noProof/>
            <w:webHidden/>
          </w:rPr>
          <w:instrText xml:space="preserve"> PAGEREF _Toc101274548 \h </w:instrText>
        </w:r>
        <w:r w:rsidR="007C6F59">
          <w:rPr>
            <w:noProof/>
            <w:webHidden/>
          </w:rPr>
        </w:r>
        <w:r w:rsidR="007C6F59">
          <w:rPr>
            <w:noProof/>
            <w:webHidden/>
          </w:rPr>
          <w:fldChar w:fldCharType="separate"/>
        </w:r>
        <w:r w:rsidR="00587AF0">
          <w:rPr>
            <w:noProof/>
            <w:webHidden/>
          </w:rPr>
          <w:t>44</w:t>
        </w:r>
        <w:r w:rsidR="007C6F59">
          <w:rPr>
            <w:noProof/>
            <w:webHidden/>
          </w:rPr>
          <w:fldChar w:fldCharType="end"/>
        </w:r>
      </w:hyperlink>
    </w:p>
    <w:p w14:paraId="416C6BF6" w14:textId="59E48D44"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49" w:history="1">
        <w:r w:rsidR="007C6F59" w:rsidRPr="007B6B46">
          <w:rPr>
            <w:rStyle w:val="Hyperlink"/>
            <w:noProof/>
          </w:rPr>
          <w:t>Figure 27. Maintenance department size (a) and maintenance department team (b)</w:t>
        </w:r>
        <w:r w:rsidR="007C6F59">
          <w:rPr>
            <w:noProof/>
            <w:webHidden/>
          </w:rPr>
          <w:tab/>
        </w:r>
        <w:r w:rsidR="007C6F59">
          <w:rPr>
            <w:noProof/>
            <w:webHidden/>
          </w:rPr>
          <w:fldChar w:fldCharType="begin"/>
        </w:r>
        <w:r w:rsidR="007C6F59">
          <w:rPr>
            <w:noProof/>
            <w:webHidden/>
          </w:rPr>
          <w:instrText xml:space="preserve"> PAGEREF _Toc101274549 \h </w:instrText>
        </w:r>
        <w:r w:rsidR="007C6F59">
          <w:rPr>
            <w:noProof/>
            <w:webHidden/>
          </w:rPr>
        </w:r>
        <w:r w:rsidR="007C6F59">
          <w:rPr>
            <w:noProof/>
            <w:webHidden/>
          </w:rPr>
          <w:fldChar w:fldCharType="separate"/>
        </w:r>
        <w:r w:rsidR="00587AF0">
          <w:rPr>
            <w:noProof/>
            <w:webHidden/>
          </w:rPr>
          <w:t>44</w:t>
        </w:r>
        <w:r w:rsidR="007C6F59">
          <w:rPr>
            <w:noProof/>
            <w:webHidden/>
          </w:rPr>
          <w:fldChar w:fldCharType="end"/>
        </w:r>
      </w:hyperlink>
    </w:p>
    <w:p w14:paraId="77769275" w14:textId="6093A829"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50" w:history="1">
        <w:r w:rsidR="007C6F59" w:rsidRPr="007B6B46">
          <w:rPr>
            <w:rStyle w:val="Hyperlink"/>
            <w:noProof/>
          </w:rPr>
          <w:t>Figure 28. Maintenance personnel per machine (a) and failure analysis personnel (b)</w:t>
        </w:r>
        <w:r w:rsidR="007C6F59">
          <w:rPr>
            <w:noProof/>
            <w:webHidden/>
          </w:rPr>
          <w:tab/>
        </w:r>
        <w:r w:rsidR="007C6F59">
          <w:rPr>
            <w:noProof/>
            <w:webHidden/>
          </w:rPr>
          <w:fldChar w:fldCharType="begin"/>
        </w:r>
        <w:r w:rsidR="007C6F59">
          <w:rPr>
            <w:noProof/>
            <w:webHidden/>
          </w:rPr>
          <w:instrText xml:space="preserve"> PAGEREF _Toc101274550 \h </w:instrText>
        </w:r>
        <w:r w:rsidR="007C6F59">
          <w:rPr>
            <w:noProof/>
            <w:webHidden/>
          </w:rPr>
        </w:r>
        <w:r w:rsidR="007C6F59">
          <w:rPr>
            <w:noProof/>
            <w:webHidden/>
          </w:rPr>
          <w:fldChar w:fldCharType="separate"/>
        </w:r>
        <w:r w:rsidR="00587AF0">
          <w:rPr>
            <w:noProof/>
            <w:webHidden/>
          </w:rPr>
          <w:t>45</w:t>
        </w:r>
        <w:r w:rsidR="007C6F59">
          <w:rPr>
            <w:noProof/>
            <w:webHidden/>
          </w:rPr>
          <w:fldChar w:fldCharType="end"/>
        </w:r>
      </w:hyperlink>
    </w:p>
    <w:p w14:paraId="1ADD8765" w14:textId="72698414"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51" w:history="1">
        <w:r w:rsidR="007C6F59" w:rsidRPr="007B6B46">
          <w:rPr>
            <w:rStyle w:val="Hyperlink"/>
            <w:noProof/>
          </w:rPr>
          <w:t>Figure 29. Criteria for oil replacement (y</w:t>
        </w:r>
        <w:r w:rsidR="007C6F59" w:rsidRPr="007B6B46">
          <w:rPr>
            <w:rStyle w:val="Hyperlink"/>
            <w:noProof/>
            <w:vertAlign w:val="subscript"/>
          </w:rPr>
          <w:t>1</w:t>
        </w:r>
        <w:r w:rsidR="007C6F59" w:rsidRPr="007B6B46">
          <w:rPr>
            <w:rStyle w:val="Hyperlink"/>
            <w:noProof/>
          </w:rPr>
          <w:t>-axis) and time to complete oil change (y</w:t>
        </w:r>
        <w:r w:rsidR="007C6F59" w:rsidRPr="007B6B46">
          <w:rPr>
            <w:rStyle w:val="Hyperlink"/>
            <w:noProof/>
            <w:vertAlign w:val="subscript"/>
          </w:rPr>
          <w:t>2</w:t>
        </w:r>
        <w:r w:rsidR="007C6F59" w:rsidRPr="007B6B46">
          <w:rPr>
            <w:rStyle w:val="Hyperlink"/>
            <w:noProof/>
          </w:rPr>
          <w:t>-axis)</w:t>
        </w:r>
        <w:r w:rsidR="007C6F59">
          <w:rPr>
            <w:noProof/>
            <w:webHidden/>
          </w:rPr>
          <w:tab/>
        </w:r>
        <w:r w:rsidR="007C6F59">
          <w:rPr>
            <w:noProof/>
            <w:webHidden/>
          </w:rPr>
          <w:fldChar w:fldCharType="begin"/>
        </w:r>
        <w:r w:rsidR="007C6F59">
          <w:rPr>
            <w:noProof/>
            <w:webHidden/>
          </w:rPr>
          <w:instrText xml:space="preserve"> PAGEREF _Toc101274551 \h </w:instrText>
        </w:r>
        <w:r w:rsidR="007C6F59">
          <w:rPr>
            <w:noProof/>
            <w:webHidden/>
          </w:rPr>
        </w:r>
        <w:r w:rsidR="007C6F59">
          <w:rPr>
            <w:noProof/>
            <w:webHidden/>
          </w:rPr>
          <w:fldChar w:fldCharType="separate"/>
        </w:r>
        <w:r w:rsidR="00587AF0">
          <w:rPr>
            <w:noProof/>
            <w:webHidden/>
          </w:rPr>
          <w:t>45</w:t>
        </w:r>
        <w:r w:rsidR="007C6F59">
          <w:rPr>
            <w:noProof/>
            <w:webHidden/>
          </w:rPr>
          <w:fldChar w:fldCharType="end"/>
        </w:r>
      </w:hyperlink>
    </w:p>
    <w:p w14:paraId="3F9FEEF4" w14:textId="03D659CB"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52" w:history="1">
        <w:r w:rsidR="007C6F59" w:rsidRPr="007B6B46">
          <w:rPr>
            <w:rStyle w:val="Hyperlink"/>
            <w:noProof/>
          </w:rPr>
          <w:t>Figure 30. Percentage of companies obliging with proposed FRT reported</w:t>
        </w:r>
        <w:r w:rsidR="007C6F59">
          <w:rPr>
            <w:noProof/>
            <w:webHidden/>
          </w:rPr>
          <w:tab/>
        </w:r>
        <w:r w:rsidR="007C6F59">
          <w:rPr>
            <w:noProof/>
            <w:webHidden/>
          </w:rPr>
          <w:fldChar w:fldCharType="begin"/>
        </w:r>
        <w:r w:rsidR="007C6F59">
          <w:rPr>
            <w:noProof/>
            <w:webHidden/>
          </w:rPr>
          <w:instrText xml:space="preserve"> PAGEREF _Toc101274552 \h </w:instrText>
        </w:r>
        <w:r w:rsidR="007C6F59">
          <w:rPr>
            <w:noProof/>
            <w:webHidden/>
          </w:rPr>
        </w:r>
        <w:r w:rsidR="007C6F59">
          <w:rPr>
            <w:noProof/>
            <w:webHidden/>
          </w:rPr>
          <w:fldChar w:fldCharType="separate"/>
        </w:r>
        <w:r w:rsidR="00587AF0">
          <w:rPr>
            <w:noProof/>
            <w:webHidden/>
          </w:rPr>
          <w:t>45</w:t>
        </w:r>
        <w:r w:rsidR="007C6F59">
          <w:rPr>
            <w:noProof/>
            <w:webHidden/>
          </w:rPr>
          <w:fldChar w:fldCharType="end"/>
        </w:r>
      </w:hyperlink>
    </w:p>
    <w:p w14:paraId="759EE87E" w14:textId="0CA20621"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53" w:history="1">
        <w:r w:rsidR="007C6F59" w:rsidRPr="007B6B46">
          <w:rPr>
            <w:rStyle w:val="Hyperlink"/>
            <w:noProof/>
          </w:rPr>
          <w:t>Figure 31. Time to refill the system with the oil</w:t>
        </w:r>
        <w:r w:rsidR="007C6F59">
          <w:rPr>
            <w:noProof/>
            <w:webHidden/>
          </w:rPr>
          <w:tab/>
        </w:r>
        <w:r w:rsidR="007C6F59">
          <w:rPr>
            <w:noProof/>
            <w:webHidden/>
          </w:rPr>
          <w:fldChar w:fldCharType="begin"/>
        </w:r>
        <w:r w:rsidR="007C6F59">
          <w:rPr>
            <w:noProof/>
            <w:webHidden/>
          </w:rPr>
          <w:instrText xml:space="preserve"> PAGEREF _Toc101274553 \h </w:instrText>
        </w:r>
        <w:r w:rsidR="007C6F59">
          <w:rPr>
            <w:noProof/>
            <w:webHidden/>
          </w:rPr>
        </w:r>
        <w:r w:rsidR="007C6F59">
          <w:rPr>
            <w:noProof/>
            <w:webHidden/>
          </w:rPr>
          <w:fldChar w:fldCharType="separate"/>
        </w:r>
        <w:r w:rsidR="00587AF0">
          <w:rPr>
            <w:noProof/>
            <w:webHidden/>
          </w:rPr>
          <w:t>46</w:t>
        </w:r>
        <w:r w:rsidR="007C6F59">
          <w:rPr>
            <w:noProof/>
            <w:webHidden/>
          </w:rPr>
          <w:fldChar w:fldCharType="end"/>
        </w:r>
      </w:hyperlink>
    </w:p>
    <w:p w14:paraId="6C4A3284" w14:textId="13B5A1E1"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54" w:history="1">
        <w:r w:rsidR="007C6F59" w:rsidRPr="007B6B46">
          <w:rPr>
            <w:rStyle w:val="Hyperlink"/>
            <w:noProof/>
          </w:rPr>
          <w:t>Figure 32. Mean Time Between Failures of industrial and mobile machines</w:t>
        </w:r>
        <w:r w:rsidR="007C6F59">
          <w:rPr>
            <w:noProof/>
            <w:webHidden/>
          </w:rPr>
          <w:tab/>
        </w:r>
        <w:r w:rsidR="007C6F59">
          <w:rPr>
            <w:noProof/>
            <w:webHidden/>
          </w:rPr>
          <w:fldChar w:fldCharType="begin"/>
        </w:r>
        <w:r w:rsidR="007C6F59">
          <w:rPr>
            <w:noProof/>
            <w:webHidden/>
          </w:rPr>
          <w:instrText xml:space="preserve"> PAGEREF _Toc101274554 \h </w:instrText>
        </w:r>
        <w:r w:rsidR="007C6F59">
          <w:rPr>
            <w:noProof/>
            <w:webHidden/>
          </w:rPr>
        </w:r>
        <w:r w:rsidR="007C6F59">
          <w:rPr>
            <w:noProof/>
            <w:webHidden/>
          </w:rPr>
          <w:fldChar w:fldCharType="separate"/>
        </w:r>
        <w:r w:rsidR="00587AF0">
          <w:rPr>
            <w:noProof/>
            <w:webHidden/>
          </w:rPr>
          <w:t>46</w:t>
        </w:r>
        <w:r w:rsidR="007C6F59">
          <w:rPr>
            <w:noProof/>
            <w:webHidden/>
          </w:rPr>
          <w:fldChar w:fldCharType="end"/>
        </w:r>
      </w:hyperlink>
    </w:p>
    <w:p w14:paraId="7580DED2" w14:textId="0F4977C9"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55" w:history="1">
        <w:r w:rsidR="007C6F59" w:rsidRPr="007B6B46">
          <w:rPr>
            <w:rStyle w:val="Hyperlink"/>
            <w:noProof/>
          </w:rPr>
          <w:t>Figure 33. The most common component failures (a) and root causes of failures (b) reported</w:t>
        </w:r>
        <w:r w:rsidR="007C6F59">
          <w:rPr>
            <w:noProof/>
            <w:webHidden/>
          </w:rPr>
          <w:tab/>
        </w:r>
        <w:r w:rsidR="007C6F59">
          <w:rPr>
            <w:noProof/>
            <w:webHidden/>
          </w:rPr>
          <w:fldChar w:fldCharType="begin"/>
        </w:r>
        <w:r w:rsidR="007C6F59">
          <w:rPr>
            <w:noProof/>
            <w:webHidden/>
          </w:rPr>
          <w:instrText xml:space="preserve"> PAGEREF _Toc101274555 \h </w:instrText>
        </w:r>
        <w:r w:rsidR="007C6F59">
          <w:rPr>
            <w:noProof/>
            <w:webHidden/>
          </w:rPr>
        </w:r>
        <w:r w:rsidR="007C6F59">
          <w:rPr>
            <w:noProof/>
            <w:webHidden/>
          </w:rPr>
          <w:fldChar w:fldCharType="separate"/>
        </w:r>
        <w:r w:rsidR="00587AF0">
          <w:rPr>
            <w:noProof/>
            <w:webHidden/>
          </w:rPr>
          <w:t>47</w:t>
        </w:r>
        <w:r w:rsidR="007C6F59">
          <w:rPr>
            <w:noProof/>
            <w:webHidden/>
          </w:rPr>
          <w:fldChar w:fldCharType="end"/>
        </w:r>
      </w:hyperlink>
    </w:p>
    <w:p w14:paraId="6BF11BA4" w14:textId="5BF06C78"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56" w:history="1">
        <w:r w:rsidR="007C6F59" w:rsidRPr="007B6B46">
          <w:rPr>
            <w:rStyle w:val="Hyperlink"/>
            <w:noProof/>
          </w:rPr>
          <w:t>Figure 34. Box and whisker plot of PRCM (a) and MTBF (b) of different MP</w:t>
        </w:r>
        <w:r w:rsidR="007C6F59">
          <w:rPr>
            <w:noProof/>
            <w:webHidden/>
          </w:rPr>
          <w:tab/>
        </w:r>
        <w:r w:rsidR="007C6F59">
          <w:rPr>
            <w:noProof/>
            <w:webHidden/>
          </w:rPr>
          <w:fldChar w:fldCharType="begin"/>
        </w:r>
        <w:r w:rsidR="007C6F59">
          <w:rPr>
            <w:noProof/>
            <w:webHidden/>
          </w:rPr>
          <w:instrText xml:space="preserve"> PAGEREF _Toc101274556 \h </w:instrText>
        </w:r>
        <w:r w:rsidR="007C6F59">
          <w:rPr>
            <w:noProof/>
            <w:webHidden/>
          </w:rPr>
        </w:r>
        <w:r w:rsidR="007C6F59">
          <w:rPr>
            <w:noProof/>
            <w:webHidden/>
          </w:rPr>
          <w:fldChar w:fldCharType="separate"/>
        </w:r>
        <w:r w:rsidR="00587AF0">
          <w:rPr>
            <w:noProof/>
            <w:webHidden/>
          </w:rPr>
          <w:t>47</w:t>
        </w:r>
        <w:r w:rsidR="007C6F59">
          <w:rPr>
            <w:noProof/>
            <w:webHidden/>
          </w:rPr>
          <w:fldChar w:fldCharType="end"/>
        </w:r>
      </w:hyperlink>
    </w:p>
    <w:p w14:paraId="1BBE5E70" w14:textId="509A1104"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57" w:history="1">
        <w:r w:rsidR="007C6F59" w:rsidRPr="007B6B46">
          <w:rPr>
            <w:rStyle w:val="Hyperlink"/>
            <w:noProof/>
          </w:rPr>
          <w:t>Figure 35. Companies utilising different MP fluid waste per machine month (y</w:t>
        </w:r>
        <w:r w:rsidR="007C6F59" w:rsidRPr="007B6B46">
          <w:rPr>
            <w:rStyle w:val="Hyperlink"/>
            <w:noProof/>
            <w:vertAlign w:val="subscript"/>
          </w:rPr>
          <w:t>1</w:t>
        </w:r>
        <w:r w:rsidR="007C6F59" w:rsidRPr="007B6B46">
          <w:rPr>
            <w:rStyle w:val="Hyperlink"/>
            <w:noProof/>
          </w:rPr>
          <w:t>-axis) and power consumption per machine monthly (y</w:t>
        </w:r>
        <w:r w:rsidR="007C6F59" w:rsidRPr="007B6B46">
          <w:rPr>
            <w:rStyle w:val="Hyperlink"/>
            <w:noProof/>
            <w:vertAlign w:val="subscript"/>
          </w:rPr>
          <w:t>2</w:t>
        </w:r>
        <w:r w:rsidR="007C6F59" w:rsidRPr="007B6B46">
          <w:rPr>
            <w:rStyle w:val="Hyperlink"/>
            <w:noProof/>
          </w:rPr>
          <w:t>-axis)</w:t>
        </w:r>
        <w:r w:rsidR="007C6F59">
          <w:rPr>
            <w:noProof/>
            <w:webHidden/>
          </w:rPr>
          <w:tab/>
        </w:r>
        <w:r w:rsidR="007C6F59">
          <w:rPr>
            <w:noProof/>
            <w:webHidden/>
          </w:rPr>
          <w:fldChar w:fldCharType="begin"/>
        </w:r>
        <w:r w:rsidR="007C6F59">
          <w:rPr>
            <w:noProof/>
            <w:webHidden/>
          </w:rPr>
          <w:instrText xml:space="preserve"> PAGEREF _Toc101274557 \h </w:instrText>
        </w:r>
        <w:r w:rsidR="007C6F59">
          <w:rPr>
            <w:noProof/>
            <w:webHidden/>
          </w:rPr>
        </w:r>
        <w:r w:rsidR="007C6F59">
          <w:rPr>
            <w:noProof/>
            <w:webHidden/>
          </w:rPr>
          <w:fldChar w:fldCharType="separate"/>
        </w:r>
        <w:r w:rsidR="00587AF0">
          <w:rPr>
            <w:noProof/>
            <w:webHidden/>
          </w:rPr>
          <w:t>48</w:t>
        </w:r>
        <w:r w:rsidR="007C6F59">
          <w:rPr>
            <w:noProof/>
            <w:webHidden/>
          </w:rPr>
          <w:fldChar w:fldCharType="end"/>
        </w:r>
      </w:hyperlink>
    </w:p>
    <w:p w14:paraId="7139ABE7" w14:textId="255785FF"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58" w:history="1">
        <w:r w:rsidR="007C6F59" w:rsidRPr="007B6B46">
          <w:rPr>
            <w:rStyle w:val="Hyperlink"/>
            <w:noProof/>
          </w:rPr>
          <w:t>Figure 36. Scatter plot – PCM (y-axis) and FWMM (x-axis)</w:t>
        </w:r>
        <w:r w:rsidR="007C6F59">
          <w:rPr>
            <w:noProof/>
            <w:webHidden/>
          </w:rPr>
          <w:tab/>
        </w:r>
        <w:r w:rsidR="007C6F59">
          <w:rPr>
            <w:noProof/>
            <w:webHidden/>
          </w:rPr>
          <w:fldChar w:fldCharType="begin"/>
        </w:r>
        <w:r w:rsidR="007C6F59">
          <w:rPr>
            <w:noProof/>
            <w:webHidden/>
          </w:rPr>
          <w:instrText xml:space="preserve"> PAGEREF _Toc101274558 \h </w:instrText>
        </w:r>
        <w:r w:rsidR="007C6F59">
          <w:rPr>
            <w:noProof/>
            <w:webHidden/>
          </w:rPr>
        </w:r>
        <w:r w:rsidR="007C6F59">
          <w:rPr>
            <w:noProof/>
            <w:webHidden/>
          </w:rPr>
          <w:fldChar w:fldCharType="separate"/>
        </w:r>
        <w:r w:rsidR="00587AF0">
          <w:rPr>
            <w:noProof/>
            <w:webHidden/>
          </w:rPr>
          <w:t>48</w:t>
        </w:r>
        <w:r w:rsidR="007C6F59">
          <w:rPr>
            <w:noProof/>
            <w:webHidden/>
          </w:rPr>
          <w:fldChar w:fldCharType="end"/>
        </w:r>
      </w:hyperlink>
    </w:p>
    <w:p w14:paraId="4C84A61E" w14:textId="3884930F"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59" w:history="1">
        <w:r w:rsidR="007C6F59" w:rsidRPr="007B6B46">
          <w:rPr>
            <w:rStyle w:val="Hyperlink"/>
            <w:noProof/>
          </w:rPr>
          <w:t>Figure 37. Scatter plot – FWMh (y-axis) and MTBF (x-axis) of different MP</w:t>
        </w:r>
        <w:r w:rsidR="007C6F59">
          <w:rPr>
            <w:noProof/>
            <w:webHidden/>
          </w:rPr>
          <w:tab/>
        </w:r>
        <w:r w:rsidR="007C6F59">
          <w:rPr>
            <w:noProof/>
            <w:webHidden/>
          </w:rPr>
          <w:fldChar w:fldCharType="begin"/>
        </w:r>
        <w:r w:rsidR="007C6F59">
          <w:rPr>
            <w:noProof/>
            <w:webHidden/>
          </w:rPr>
          <w:instrText xml:space="preserve"> PAGEREF _Toc101274559 \h </w:instrText>
        </w:r>
        <w:r w:rsidR="007C6F59">
          <w:rPr>
            <w:noProof/>
            <w:webHidden/>
          </w:rPr>
        </w:r>
        <w:r w:rsidR="007C6F59">
          <w:rPr>
            <w:noProof/>
            <w:webHidden/>
          </w:rPr>
          <w:fldChar w:fldCharType="separate"/>
        </w:r>
        <w:r w:rsidR="00587AF0">
          <w:rPr>
            <w:noProof/>
            <w:webHidden/>
          </w:rPr>
          <w:t>49</w:t>
        </w:r>
        <w:r w:rsidR="007C6F59">
          <w:rPr>
            <w:noProof/>
            <w:webHidden/>
          </w:rPr>
          <w:fldChar w:fldCharType="end"/>
        </w:r>
      </w:hyperlink>
    </w:p>
    <w:p w14:paraId="17E5A7A4" w14:textId="16E076FC"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60" w:history="1">
        <w:r w:rsidR="007C6F59" w:rsidRPr="007B6B46">
          <w:rPr>
            <w:rStyle w:val="Hyperlink"/>
            <w:noProof/>
          </w:rPr>
          <w:t>Figure 38. Scatter plot – Power unit [lit./machine-hour] and MTBF [hours]</w:t>
        </w:r>
        <w:r w:rsidR="007C6F59">
          <w:rPr>
            <w:noProof/>
            <w:webHidden/>
          </w:rPr>
          <w:tab/>
        </w:r>
        <w:r w:rsidR="007C6F59">
          <w:rPr>
            <w:noProof/>
            <w:webHidden/>
          </w:rPr>
          <w:fldChar w:fldCharType="begin"/>
        </w:r>
        <w:r w:rsidR="007C6F59">
          <w:rPr>
            <w:noProof/>
            <w:webHidden/>
          </w:rPr>
          <w:instrText xml:space="preserve"> PAGEREF _Toc101274560 \h </w:instrText>
        </w:r>
        <w:r w:rsidR="007C6F59">
          <w:rPr>
            <w:noProof/>
            <w:webHidden/>
          </w:rPr>
        </w:r>
        <w:r w:rsidR="007C6F59">
          <w:rPr>
            <w:noProof/>
            <w:webHidden/>
          </w:rPr>
          <w:fldChar w:fldCharType="separate"/>
        </w:r>
        <w:r w:rsidR="00587AF0">
          <w:rPr>
            <w:noProof/>
            <w:webHidden/>
          </w:rPr>
          <w:t>50</w:t>
        </w:r>
        <w:r w:rsidR="007C6F59">
          <w:rPr>
            <w:noProof/>
            <w:webHidden/>
          </w:rPr>
          <w:fldChar w:fldCharType="end"/>
        </w:r>
      </w:hyperlink>
    </w:p>
    <w:p w14:paraId="605CF0C7" w14:textId="34951441"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61" w:history="1">
        <w:r w:rsidR="007C6F59" w:rsidRPr="007B6B46">
          <w:rPr>
            <w:rStyle w:val="Hyperlink"/>
            <w:noProof/>
          </w:rPr>
          <w:t>Figure 39. Residual plot analysis for MTBF</w:t>
        </w:r>
        <w:r w:rsidR="007C6F59">
          <w:rPr>
            <w:noProof/>
            <w:webHidden/>
          </w:rPr>
          <w:tab/>
        </w:r>
        <w:r w:rsidR="007C6F59">
          <w:rPr>
            <w:noProof/>
            <w:webHidden/>
          </w:rPr>
          <w:fldChar w:fldCharType="begin"/>
        </w:r>
        <w:r w:rsidR="007C6F59">
          <w:rPr>
            <w:noProof/>
            <w:webHidden/>
          </w:rPr>
          <w:instrText xml:space="preserve"> PAGEREF _Toc101274561 \h </w:instrText>
        </w:r>
        <w:r w:rsidR="007C6F59">
          <w:rPr>
            <w:noProof/>
            <w:webHidden/>
          </w:rPr>
        </w:r>
        <w:r w:rsidR="007C6F59">
          <w:rPr>
            <w:noProof/>
            <w:webHidden/>
          </w:rPr>
          <w:fldChar w:fldCharType="separate"/>
        </w:r>
        <w:r w:rsidR="00587AF0">
          <w:rPr>
            <w:noProof/>
            <w:webHidden/>
          </w:rPr>
          <w:t>52</w:t>
        </w:r>
        <w:r w:rsidR="007C6F59">
          <w:rPr>
            <w:noProof/>
            <w:webHidden/>
          </w:rPr>
          <w:fldChar w:fldCharType="end"/>
        </w:r>
      </w:hyperlink>
    </w:p>
    <w:p w14:paraId="688DF6F4" w14:textId="0F2F3E1B"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62" w:history="1">
        <w:r w:rsidR="007C6F59" w:rsidRPr="007B6B46">
          <w:rPr>
            <w:rStyle w:val="Hyperlink"/>
            <w:noProof/>
          </w:rPr>
          <w:t>Figure 40. Experimental installation of the rubber mixing machine</w:t>
        </w:r>
        <w:r w:rsidR="007C6F59">
          <w:rPr>
            <w:noProof/>
            <w:webHidden/>
          </w:rPr>
          <w:tab/>
        </w:r>
        <w:r w:rsidR="007C6F59">
          <w:rPr>
            <w:noProof/>
            <w:webHidden/>
          </w:rPr>
          <w:fldChar w:fldCharType="begin"/>
        </w:r>
        <w:r w:rsidR="007C6F59">
          <w:rPr>
            <w:noProof/>
            <w:webHidden/>
          </w:rPr>
          <w:instrText xml:space="preserve"> PAGEREF _Toc101274562 \h </w:instrText>
        </w:r>
        <w:r w:rsidR="007C6F59">
          <w:rPr>
            <w:noProof/>
            <w:webHidden/>
          </w:rPr>
        </w:r>
        <w:r w:rsidR="007C6F59">
          <w:rPr>
            <w:noProof/>
            <w:webHidden/>
          </w:rPr>
          <w:fldChar w:fldCharType="separate"/>
        </w:r>
        <w:r w:rsidR="00587AF0">
          <w:rPr>
            <w:noProof/>
            <w:webHidden/>
          </w:rPr>
          <w:t>56</w:t>
        </w:r>
        <w:r w:rsidR="007C6F59">
          <w:rPr>
            <w:noProof/>
            <w:webHidden/>
          </w:rPr>
          <w:fldChar w:fldCharType="end"/>
        </w:r>
      </w:hyperlink>
    </w:p>
    <w:p w14:paraId="2947E7BA" w14:textId="79680A14"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63" w:history="1">
        <w:r w:rsidR="007C6F59" w:rsidRPr="007B6B46">
          <w:rPr>
            <w:rStyle w:val="Hyperlink"/>
            <w:noProof/>
          </w:rPr>
          <w:t>Figure 41. Energy consumption and act step of a rubber mixing process</w:t>
        </w:r>
        <w:r w:rsidR="007C6F59">
          <w:rPr>
            <w:noProof/>
            <w:webHidden/>
          </w:rPr>
          <w:tab/>
        </w:r>
        <w:r w:rsidR="007C6F59">
          <w:rPr>
            <w:noProof/>
            <w:webHidden/>
          </w:rPr>
          <w:fldChar w:fldCharType="begin"/>
        </w:r>
        <w:r w:rsidR="007C6F59">
          <w:rPr>
            <w:noProof/>
            <w:webHidden/>
          </w:rPr>
          <w:instrText xml:space="preserve"> PAGEREF _Toc101274563 \h </w:instrText>
        </w:r>
        <w:r w:rsidR="007C6F59">
          <w:rPr>
            <w:noProof/>
            <w:webHidden/>
          </w:rPr>
        </w:r>
        <w:r w:rsidR="007C6F59">
          <w:rPr>
            <w:noProof/>
            <w:webHidden/>
          </w:rPr>
          <w:fldChar w:fldCharType="separate"/>
        </w:r>
        <w:r w:rsidR="00587AF0">
          <w:rPr>
            <w:noProof/>
            <w:webHidden/>
          </w:rPr>
          <w:t>57</w:t>
        </w:r>
        <w:r w:rsidR="007C6F59">
          <w:rPr>
            <w:noProof/>
            <w:webHidden/>
          </w:rPr>
          <w:fldChar w:fldCharType="end"/>
        </w:r>
      </w:hyperlink>
    </w:p>
    <w:p w14:paraId="4691926D" w14:textId="67DD2A22"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64" w:history="1">
        <w:r w:rsidR="007C6F59" w:rsidRPr="007B6B46">
          <w:rPr>
            <w:rStyle w:val="Hyperlink"/>
            <w:noProof/>
          </w:rPr>
          <w:t>Figure 42. Hydraulic scheme for rubber mixing machine for opening and closing the saddle</w:t>
        </w:r>
        <w:r w:rsidR="007C6F59">
          <w:rPr>
            <w:noProof/>
            <w:webHidden/>
          </w:rPr>
          <w:tab/>
        </w:r>
        <w:r w:rsidR="007C6F59">
          <w:rPr>
            <w:noProof/>
            <w:webHidden/>
          </w:rPr>
          <w:fldChar w:fldCharType="begin"/>
        </w:r>
        <w:r w:rsidR="007C6F59">
          <w:rPr>
            <w:noProof/>
            <w:webHidden/>
          </w:rPr>
          <w:instrText xml:space="preserve"> PAGEREF _Toc101274564 \h </w:instrText>
        </w:r>
        <w:r w:rsidR="007C6F59">
          <w:rPr>
            <w:noProof/>
            <w:webHidden/>
          </w:rPr>
        </w:r>
        <w:r w:rsidR="007C6F59">
          <w:rPr>
            <w:noProof/>
            <w:webHidden/>
          </w:rPr>
          <w:fldChar w:fldCharType="separate"/>
        </w:r>
        <w:r w:rsidR="00587AF0">
          <w:rPr>
            <w:noProof/>
            <w:webHidden/>
          </w:rPr>
          <w:t>58</w:t>
        </w:r>
        <w:r w:rsidR="007C6F59">
          <w:rPr>
            <w:noProof/>
            <w:webHidden/>
          </w:rPr>
          <w:fldChar w:fldCharType="end"/>
        </w:r>
      </w:hyperlink>
    </w:p>
    <w:p w14:paraId="59AB40DA" w14:textId="4A3D7325"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65" w:history="1">
        <w:r w:rsidR="007C6F59" w:rsidRPr="007B6B46">
          <w:rPr>
            <w:rStyle w:val="Hyperlink"/>
            <w:noProof/>
          </w:rPr>
          <w:t>Figure 43. Work tact of the experimental hydraulic system</w:t>
        </w:r>
        <w:r w:rsidR="007C6F59">
          <w:rPr>
            <w:noProof/>
            <w:webHidden/>
          </w:rPr>
          <w:tab/>
        </w:r>
        <w:r w:rsidR="007C6F59">
          <w:rPr>
            <w:noProof/>
            <w:webHidden/>
          </w:rPr>
          <w:fldChar w:fldCharType="begin"/>
        </w:r>
        <w:r w:rsidR="007C6F59">
          <w:rPr>
            <w:noProof/>
            <w:webHidden/>
          </w:rPr>
          <w:instrText xml:space="preserve"> PAGEREF _Toc101274565 \h </w:instrText>
        </w:r>
        <w:r w:rsidR="007C6F59">
          <w:rPr>
            <w:noProof/>
            <w:webHidden/>
          </w:rPr>
        </w:r>
        <w:r w:rsidR="007C6F59">
          <w:rPr>
            <w:noProof/>
            <w:webHidden/>
          </w:rPr>
          <w:fldChar w:fldCharType="separate"/>
        </w:r>
        <w:r w:rsidR="00587AF0">
          <w:rPr>
            <w:noProof/>
            <w:webHidden/>
          </w:rPr>
          <w:t>59</w:t>
        </w:r>
        <w:r w:rsidR="007C6F59">
          <w:rPr>
            <w:noProof/>
            <w:webHidden/>
          </w:rPr>
          <w:fldChar w:fldCharType="end"/>
        </w:r>
      </w:hyperlink>
    </w:p>
    <w:p w14:paraId="19E3E28F" w14:textId="2406D402"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66" w:history="1">
        <w:r w:rsidR="007C6F59" w:rsidRPr="007B6B46">
          <w:rPr>
            <w:rStyle w:val="Hyperlink"/>
            <w:noProof/>
          </w:rPr>
          <w:t>Figure 44. Experimental installation of mixers’ hydraulic control system</w:t>
        </w:r>
        <w:r w:rsidR="007C6F59">
          <w:rPr>
            <w:noProof/>
            <w:webHidden/>
          </w:rPr>
          <w:tab/>
        </w:r>
        <w:r w:rsidR="007C6F59">
          <w:rPr>
            <w:noProof/>
            <w:webHidden/>
          </w:rPr>
          <w:fldChar w:fldCharType="begin"/>
        </w:r>
        <w:r w:rsidR="007C6F59">
          <w:rPr>
            <w:noProof/>
            <w:webHidden/>
          </w:rPr>
          <w:instrText xml:space="preserve"> PAGEREF _Toc101274566 \h </w:instrText>
        </w:r>
        <w:r w:rsidR="007C6F59">
          <w:rPr>
            <w:noProof/>
            <w:webHidden/>
          </w:rPr>
        </w:r>
        <w:r w:rsidR="007C6F59">
          <w:rPr>
            <w:noProof/>
            <w:webHidden/>
          </w:rPr>
          <w:fldChar w:fldCharType="separate"/>
        </w:r>
        <w:r w:rsidR="00587AF0">
          <w:rPr>
            <w:noProof/>
            <w:webHidden/>
          </w:rPr>
          <w:t>61</w:t>
        </w:r>
        <w:r w:rsidR="007C6F59">
          <w:rPr>
            <w:noProof/>
            <w:webHidden/>
          </w:rPr>
          <w:fldChar w:fldCharType="end"/>
        </w:r>
      </w:hyperlink>
    </w:p>
    <w:p w14:paraId="567748FC" w14:textId="5E04212C"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67" w:history="1">
        <w:r w:rsidR="007C6F59" w:rsidRPr="007B6B46">
          <w:rPr>
            <w:rStyle w:val="Hyperlink"/>
            <w:noProof/>
          </w:rPr>
          <w:t>Figure 45. Records of pressure and flow via Multihandy2045 via HydroCom</w:t>
        </w:r>
        <w:r w:rsidR="007C6F59">
          <w:rPr>
            <w:noProof/>
            <w:webHidden/>
          </w:rPr>
          <w:tab/>
        </w:r>
        <w:r w:rsidR="007C6F59">
          <w:rPr>
            <w:noProof/>
            <w:webHidden/>
          </w:rPr>
          <w:fldChar w:fldCharType="begin"/>
        </w:r>
        <w:r w:rsidR="007C6F59">
          <w:rPr>
            <w:noProof/>
            <w:webHidden/>
          </w:rPr>
          <w:instrText xml:space="preserve"> PAGEREF _Toc101274567 \h </w:instrText>
        </w:r>
        <w:r w:rsidR="007C6F59">
          <w:rPr>
            <w:noProof/>
            <w:webHidden/>
          </w:rPr>
        </w:r>
        <w:r w:rsidR="007C6F59">
          <w:rPr>
            <w:noProof/>
            <w:webHidden/>
          </w:rPr>
          <w:fldChar w:fldCharType="separate"/>
        </w:r>
        <w:r w:rsidR="00587AF0">
          <w:rPr>
            <w:noProof/>
            <w:webHidden/>
          </w:rPr>
          <w:t>62</w:t>
        </w:r>
        <w:r w:rsidR="007C6F59">
          <w:rPr>
            <w:noProof/>
            <w:webHidden/>
          </w:rPr>
          <w:fldChar w:fldCharType="end"/>
        </w:r>
      </w:hyperlink>
    </w:p>
    <w:p w14:paraId="3937DEDD" w14:textId="51CB38BF"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68" w:history="1">
        <w:r w:rsidR="007C6F59" w:rsidRPr="007B6B46">
          <w:rPr>
            <w:rStyle w:val="Hyperlink"/>
            <w:noProof/>
          </w:rPr>
          <w:t>Figure 46. Single signal flow (y</w:t>
        </w:r>
        <w:r w:rsidR="007C6F59" w:rsidRPr="007B6B46">
          <w:rPr>
            <w:rStyle w:val="Hyperlink"/>
            <w:noProof/>
            <w:vertAlign w:val="subscript"/>
          </w:rPr>
          <w:t>1</w:t>
        </w:r>
        <w:r w:rsidR="007C6F59" w:rsidRPr="007B6B46">
          <w:rPr>
            <w:rStyle w:val="Hyperlink"/>
            <w:noProof/>
          </w:rPr>
          <w:t>-axis) and pressure (y</w:t>
        </w:r>
        <w:r w:rsidR="007C6F59" w:rsidRPr="007B6B46">
          <w:rPr>
            <w:rStyle w:val="Hyperlink"/>
            <w:noProof/>
            <w:vertAlign w:val="subscript"/>
          </w:rPr>
          <w:t>2</w:t>
        </w:r>
        <w:r w:rsidR="007C6F59" w:rsidRPr="007B6B46">
          <w:rPr>
            <w:rStyle w:val="Hyperlink"/>
            <w:noProof/>
          </w:rPr>
          <w:t>-axis) at 50ms record rate</w:t>
        </w:r>
        <w:r w:rsidR="007C6F59">
          <w:rPr>
            <w:noProof/>
            <w:webHidden/>
          </w:rPr>
          <w:tab/>
        </w:r>
        <w:r w:rsidR="007C6F59">
          <w:rPr>
            <w:noProof/>
            <w:webHidden/>
          </w:rPr>
          <w:fldChar w:fldCharType="begin"/>
        </w:r>
        <w:r w:rsidR="007C6F59">
          <w:rPr>
            <w:noProof/>
            <w:webHidden/>
          </w:rPr>
          <w:instrText xml:space="preserve"> PAGEREF _Toc101274568 \h </w:instrText>
        </w:r>
        <w:r w:rsidR="007C6F59">
          <w:rPr>
            <w:noProof/>
            <w:webHidden/>
          </w:rPr>
        </w:r>
        <w:r w:rsidR="007C6F59">
          <w:rPr>
            <w:noProof/>
            <w:webHidden/>
          </w:rPr>
          <w:fldChar w:fldCharType="separate"/>
        </w:r>
        <w:r w:rsidR="00587AF0">
          <w:rPr>
            <w:noProof/>
            <w:webHidden/>
          </w:rPr>
          <w:t>62</w:t>
        </w:r>
        <w:r w:rsidR="007C6F59">
          <w:rPr>
            <w:noProof/>
            <w:webHidden/>
          </w:rPr>
          <w:fldChar w:fldCharType="end"/>
        </w:r>
      </w:hyperlink>
    </w:p>
    <w:p w14:paraId="2F6D8CAB" w14:textId="28572303"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69" w:history="1">
        <w:r w:rsidR="007C6F59" w:rsidRPr="007B6B46">
          <w:rPr>
            <w:rStyle w:val="Hyperlink"/>
            <w:noProof/>
          </w:rPr>
          <w:t>Figure 47. Saddle operation activation for 20 cycles</w:t>
        </w:r>
        <w:r w:rsidR="007C6F59">
          <w:rPr>
            <w:noProof/>
            <w:webHidden/>
          </w:rPr>
          <w:tab/>
        </w:r>
        <w:r w:rsidR="007C6F59">
          <w:rPr>
            <w:noProof/>
            <w:webHidden/>
          </w:rPr>
          <w:fldChar w:fldCharType="begin"/>
        </w:r>
        <w:r w:rsidR="007C6F59">
          <w:rPr>
            <w:noProof/>
            <w:webHidden/>
          </w:rPr>
          <w:instrText xml:space="preserve"> PAGEREF _Toc101274569 \h </w:instrText>
        </w:r>
        <w:r w:rsidR="007C6F59">
          <w:rPr>
            <w:noProof/>
            <w:webHidden/>
          </w:rPr>
        </w:r>
        <w:r w:rsidR="007C6F59">
          <w:rPr>
            <w:noProof/>
            <w:webHidden/>
          </w:rPr>
          <w:fldChar w:fldCharType="separate"/>
        </w:r>
        <w:r w:rsidR="00587AF0">
          <w:rPr>
            <w:noProof/>
            <w:webHidden/>
          </w:rPr>
          <w:t>63</w:t>
        </w:r>
        <w:r w:rsidR="007C6F59">
          <w:rPr>
            <w:noProof/>
            <w:webHidden/>
          </w:rPr>
          <w:fldChar w:fldCharType="end"/>
        </w:r>
      </w:hyperlink>
    </w:p>
    <w:p w14:paraId="18BA416F" w14:textId="0688D365"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70" w:history="1">
        <w:r w:rsidR="007C6F59" w:rsidRPr="007B6B46">
          <w:rPr>
            <w:rStyle w:val="Hyperlink"/>
            <w:noProof/>
          </w:rPr>
          <w:t>Figure 48. Time for performing cycle (y</w:t>
        </w:r>
        <w:r w:rsidR="007C6F59" w:rsidRPr="007B6B46">
          <w:rPr>
            <w:rStyle w:val="Hyperlink"/>
            <w:noProof/>
            <w:vertAlign w:val="subscript"/>
          </w:rPr>
          <w:t>1</w:t>
        </w:r>
        <w:r w:rsidR="007C6F59" w:rsidRPr="007B6B46">
          <w:rPr>
            <w:rStyle w:val="Hyperlink"/>
            <w:noProof/>
          </w:rPr>
          <w:t>-axis) and hydraulic cycle time (y</w:t>
        </w:r>
        <w:r w:rsidR="007C6F59" w:rsidRPr="007B6B46">
          <w:rPr>
            <w:rStyle w:val="Hyperlink"/>
            <w:noProof/>
            <w:vertAlign w:val="subscript"/>
          </w:rPr>
          <w:t>2</w:t>
        </w:r>
        <w:r w:rsidR="007C6F59" w:rsidRPr="007B6B46">
          <w:rPr>
            <w:rStyle w:val="Hyperlink"/>
            <w:noProof/>
          </w:rPr>
          <w:t>-axis)</w:t>
        </w:r>
        <w:r w:rsidR="007C6F59">
          <w:rPr>
            <w:noProof/>
            <w:webHidden/>
          </w:rPr>
          <w:tab/>
        </w:r>
        <w:r w:rsidR="007C6F59">
          <w:rPr>
            <w:noProof/>
            <w:webHidden/>
          </w:rPr>
          <w:fldChar w:fldCharType="begin"/>
        </w:r>
        <w:r w:rsidR="007C6F59">
          <w:rPr>
            <w:noProof/>
            <w:webHidden/>
          </w:rPr>
          <w:instrText xml:space="preserve"> PAGEREF _Toc101274570 \h </w:instrText>
        </w:r>
        <w:r w:rsidR="007C6F59">
          <w:rPr>
            <w:noProof/>
            <w:webHidden/>
          </w:rPr>
        </w:r>
        <w:r w:rsidR="007C6F59">
          <w:rPr>
            <w:noProof/>
            <w:webHidden/>
          </w:rPr>
          <w:fldChar w:fldCharType="separate"/>
        </w:r>
        <w:r w:rsidR="00587AF0">
          <w:rPr>
            <w:noProof/>
            <w:webHidden/>
          </w:rPr>
          <w:t>64</w:t>
        </w:r>
        <w:r w:rsidR="007C6F59">
          <w:rPr>
            <w:noProof/>
            <w:webHidden/>
          </w:rPr>
          <w:fldChar w:fldCharType="end"/>
        </w:r>
      </w:hyperlink>
    </w:p>
    <w:p w14:paraId="3C6CF37A" w14:textId="29539ED8"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71" w:history="1">
        <w:r w:rsidR="007C6F59" w:rsidRPr="007B6B46">
          <w:rPr>
            <w:rStyle w:val="Hyperlink"/>
            <w:noProof/>
          </w:rPr>
          <w:t>Figure 49. Fluid data analysis properties</w:t>
        </w:r>
        <w:r w:rsidR="007C6F59">
          <w:rPr>
            <w:noProof/>
            <w:webHidden/>
          </w:rPr>
          <w:tab/>
        </w:r>
        <w:r w:rsidR="007C6F59">
          <w:rPr>
            <w:noProof/>
            <w:webHidden/>
          </w:rPr>
          <w:fldChar w:fldCharType="begin"/>
        </w:r>
        <w:r w:rsidR="007C6F59">
          <w:rPr>
            <w:noProof/>
            <w:webHidden/>
          </w:rPr>
          <w:instrText xml:space="preserve"> PAGEREF _Toc101274571 \h </w:instrText>
        </w:r>
        <w:r w:rsidR="007C6F59">
          <w:rPr>
            <w:noProof/>
            <w:webHidden/>
          </w:rPr>
        </w:r>
        <w:r w:rsidR="007C6F59">
          <w:rPr>
            <w:noProof/>
            <w:webHidden/>
          </w:rPr>
          <w:fldChar w:fldCharType="separate"/>
        </w:r>
        <w:r w:rsidR="00587AF0">
          <w:rPr>
            <w:noProof/>
            <w:webHidden/>
          </w:rPr>
          <w:t>65</w:t>
        </w:r>
        <w:r w:rsidR="007C6F59">
          <w:rPr>
            <w:noProof/>
            <w:webHidden/>
          </w:rPr>
          <w:fldChar w:fldCharType="end"/>
        </w:r>
      </w:hyperlink>
    </w:p>
    <w:p w14:paraId="3AC552FB" w14:textId="4014DA87"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72" w:history="1">
        <w:r w:rsidR="007C6F59" w:rsidRPr="007B6B46">
          <w:rPr>
            <w:rStyle w:val="Hyperlink"/>
            <w:noProof/>
          </w:rPr>
          <w:t>Figure 50. Elemental analysis of Cr, Ni, Cd (y</w:t>
        </w:r>
        <w:r w:rsidR="007C6F59" w:rsidRPr="007B6B46">
          <w:rPr>
            <w:rStyle w:val="Hyperlink"/>
            <w:noProof/>
            <w:vertAlign w:val="subscript"/>
          </w:rPr>
          <w:t>1</w:t>
        </w:r>
        <w:r w:rsidR="007C6F59" w:rsidRPr="007B6B46">
          <w:rPr>
            <w:rStyle w:val="Hyperlink"/>
            <w:noProof/>
          </w:rPr>
          <w:t>-axis) and Fe, Si (y</w:t>
        </w:r>
        <w:r w:rsidR="007C6F59" w:rsidRPr="007B6B46">
          <w:rPr>
            <w:rStyle w:val="Hyperlink"/>
            <w:noProof/>
            <w:vertAlign w:val="subscript"/>
          </w:rPr>
          <w:t>2</w:t>
        </w:r>
        <w:r w:rsidR="007C6F59" w:rsidRPr="007B6B46">
          <w:rPr>
            <w:rStyle w:val="Hyperlink"/>
            <w:noProof/>
          </w:rPr>
          <w:t>-axis) over time (x-axis)</w:t>
        </w:r>
        <w:r w:rsidR="007C6F59">
          <w:rPr>
            <w:noProof/>
            <w:webHidden/>
          </w:rPr>
          <w:tab/>
        </w:r>
        <w:r w:rsidR="007C6F59">
          <w:rPr>
            <w:noProof/>
            <w:webHidden/>
          </w:rPr>
          <w:fldChar w:fldCharType="begin"/>
        </w:r>
        <w:r w:rsidR="007C6F59">
          <w:rPr>
            <w:noProof/>
            <w:webHidden/>
          </w:rPr>
          <w:instrText xml:space="preserve"> PAGEREF _Toc101274572 \h </w:instrText>
        </w:r>
        <w:r w:rsidR="007C6F59">
          <w:rPr>
            <w:noProof/>
            <w:webHidden/>
          </w:rPr>
        </w:r>
        <w:r w:rsidR="007C6F59">
          <w:rPr>
            <w:noProof/>
            <w:webHidden/>
          </w:rPr>
          <w:fldChar w:fldCharType="separate"/>
        </w:r>
        <w:r w:rsidR="00587AF0">
          <w:rPr>
            <w:noProof/>
            <w:webHidden/>
          </w:rPr>
          <w:t>66</w:t>
        </w:r>
        <w:r w:rsidR="007C6F59">
          <w:rPr>
            <w:noProof/>
            <w:webHidden/>
          </w:rPr>
          <w:fldChar w:fldCharType="end"/>
        </w:r>
      </w:hyperlink>
    </w:p>
    <w:p w14:paraId="3F0D41D9" w14:textId="3AFA9815"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73" w:history="1">
        <w:r w:rsidR="007C6F59" w:rsidRPr="007B6B46">
          <w:rPr>
            <w:rStyle w:val="Hyperlink"/>
            <w:noProof/>
          </w:rPr>
          <w:t>Figure 51. Histograms of tested variables</w:t>
        </w:r>
        <w:r w:rsidR="007C6F59">
          <w:rPr>
            <w:noProof/>
            <w:webHidden/>
          </w:rPr>
          <w:tab/>
        </w:r>
        <w:r w:rsidR="007C6F59">
          <w:rPr>
            <w:noProof/>
            <w:webHidden/>
          </w:rPr>
          <w:fldChar w:fldCharType="begin"/>
        </w:r>
        <w:r w:rsidR="007C6F59">
          <w:rPr>
            <w:noProof/>
            <w:webHidden/>
          </w:rPr>
          <w:instrText xml:space="preserve"> PAGEREF _Toc101274573 \h </w:instrText>
        </w:r>
        <w:r w:rsidR="007C6F59">
          <w:rPr>
            <w:noProof/>
            <w:webHidden/>
          </w:rPr>
        </w:r>
        <w:r w:rsidR="007C6F59">
          <w:rPr>
            <w:noProof/>
            <w:webHidden/>
          </w:rPr>
          <w:fldChar w:fldCharType="separate"/>
        </w:r>
        <w:r w:rsidR="00587AF0">
          <w:rPr>
            <w:noProof/>
            <w:webHidden/>
          </w:rPr>
          <w:t>68</w:t>
        </w:r>
        <w:r w:rsidR="007C6F59">
          <w:rPr>
            <w:noProof/>
            <w:webHidden/>
          </w:rPr>
          <w:fldChar w:fldCharType="end"/>
        </w:r>
      </w:hyperlink>
    </w:p>
    <w:p w14:paraId="7AA3F36D" w14:textId="0A48B6AE"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74" w:history="1">
        <w:r w:rsidR="007C6F59" w:rsidRPr="007B6B46">
          <w:rPr>
            <w:rStyle w:val="Hyperlink"/>
            <w:noProof/>
          </w:rPr>
          <w:t>Figure 52. Correlation matrix heatmap with hierarchical clustering</w:t>
        </w:r>
        <w:r w:rsidR="007C6F59">
          <w:rPr>
            <w:noProof/>
            <w:webHidden/>
          </w:rPr>
          <w:tab/>
        </w:r>
        <w:r w:rsidR="007C6F59">
          <w:rPr>
            <w:noProof/>
            <w:webHidden/>
          </w:rPr>
          <w:fldChar w:fldCharType="begin"/>
        </w:r>
        <w:r w:rsidR="007C6F59">
          <w:rPr>
            <w:noProof/>
            <w:webHidden/>
          </w:rPr>
          <w:instrText xml:space="preserve"> PAGEREF _Toc101274574 \h </w:instrText>
        </w:r>
        <w:r w:rsidR="007C6F59">
          <w:rPr>
            <w:noProof/>
            <w:webHidden/>
          </w:rPr>
        </w:r>
        <w:r w:rsidR="007C6F59">
          <w:rPr>
            <w:noProof/>
            <w:webHidden/>
          </w:rPr>
          <w:fldChar w:fldCharType="separate"/>
        </w:r>
        <w:r w:rsidR="00587AF0">
          <w:rPr>
            <w:noProof/>
            <w:webHidden/>
          </w:rPr>
          <w:t>70</w:t>
        </w:r>
        <w:r w:rsidR="007C6F59">
          <w:rPr>
            <w:noProof/>
            <w:webHidden/>
          </w:rPr>
          <w:fldChar w:fldCharType="end"/>
        </w:r>
      </w:hyperlink>
    </w:p>
    <w:p w14:paraId="7EBE9561" w14:textId="4743AC85"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75" w:history="1">
        <w:r w:rsidR="007C6F59" w:rsidRPr="007B6B46">
          <w:rPr>
            <w:rStyle w:val="Hyperlink"/>
            <w:noProof/>
          </w:rPr>
          <w:t>Figure 53. Hydraulic power readings (y-axis) per cycle (x-axis) stabilisation</w:t>
        </w:r>
        <w:r w:rsidR="007C6F59">
          <w:rPr>
            <w:noProof/>
            <w:webHidden/>
          </w:rPr>
          <w:tab/>
        </w:r>
        <w:r w:rsidR="007C6F59">
          <w:rPr>
            <w:noProof/>
            <w:webHidden/>
          </w:rPr>
          <w:fldChar w:fldCharType="begin"/>
        </w:r>
        <w:r w:rsidR="007C6F59">
          <w:rPr>
            <w:noProof/>
            <w:webHidden/>
          </w:rPr>
          <w:instrText xml:space="preserve"> PAGEREF _Toc101274575 \h </w:instrText>
        </w:r>
        <w:r w:rsidR="007C6F59">
          <w:rPr>
            <w:noProof/>
            <w:webHidden/>
          </w:rPr>
        </w:r>
        <w:r w:rsidR="007C6F59">
          <w:rPr>
            <w:noProof/>
            <w:webHidden/>
          </w:rPr>
          <w:fldChar w:fldCharType="separate"/>
        </w:r>
        <w:r w:rsidR="00587AF0">
          <w:rPr>
            <w:noProof/>
            <w:webHidden/>
          </w:rPr>
          <w:t>71</w:t>
        </w:r>
        <w:r w:rsidR="007C6F59">
          <w:rPr>
            <w:noProof/>
            <w:webHidden/>
          </w:rPr>
          <w:fldChar w:fldCharType="end"/>
        </w:r>
      </w:hyperlink>
    </w:p>
    <w:p w14:paraId="7075A2F2" w14:textId="12A3FA61"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76" w:history="1">
        <w:r w:rsidR="007C6F59" w:rsidRPr="007B6B46">
          <w:rPr>
            <w:rStyle w:val="Hyperlink"/>
            <w:noProof/>
          </w:rPr>
          <w:t>Figure 54. Hydraulic power readings (y-axis) per cycle (x-axis) stabilisation</w:t>
        </w:r>
        <w:r w:rsidR="007C6F59">
          <w:rPr>
            <w:noProof/>
            <w:webHidden/>
          </w:rPr>
          <w:tab/>
        </w:r>
        <w:r w:rsidR="007C6F59">
          <w:rPr>
            <w:noProof/>
            <w:webHidden/>
          </w:rPr>
          <w:fldChar w:fldCharType="begin"/>
        </w:r>
        <w:r w:rsidR="007C6F59">
          <w:rPr>
            <w:noProof/>
            <w:webHidden/>
          </w:rPr>
          <w:instrText xml:space="preserve"> PAGEREF _Toc101274576 \h </w:instrText>
        </w:r>
        <w:r w:rsidR="007C6F59">
          <w:rPr>
            <w:noProof/>
            <w:webHidden/>
          </w:rPr>
        </w:r>
        <w:r w:rsidR="007C6F59">
          <w:rPr>
            <w:noProof/>
            <w:webHidden/>
          </w:rPr>
          <w:fldChar w:fldCharType="separate"/>
        </w:r>
        <w:r w:rsidR="00587AF0">
          <w:rPr>
            <w:noProof/>
            <w:webHidden/>
          </w:rPr>
          <w:t>71</w:t>
        </w:r>
        <w:r w:rsidR="007C6F59">
          <w:rPr>
            <w:noProof/>
            <w:webHidden/>
          </w:rPr>
          <w:fldChar w:fldCharType="end"/>
        </w:r>
      </w:hyperlink>
    </w:p>
    <w:p w14:paraId="6BF90FBA" w14:textId="36439FCB"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77" w:history="1">
        <w:r w:rsidR="007C6F59" w:rsidRPr="007B6B46">
          <w:rPr>
            <w:rStyle w:val="Hyperlink"/>
            <w:noProof/>
          </w:rPr>
          <w:t>Figure 55. Hydraulic power readings (y-axis) per cycle (x-axis) anomaly</w:t>
        </w:r>
        <w:r w:rsidR="007C6F59">
          <w:rPr>
            <w:noProof/>
            <w:webHidden/>
          </w:rPr>
          <w:tab/>
        </w:r>
        <w:r w:rsidR="007C6F59">
          <w:rPr>
            <w:noProof/>
            <w:webHidden/>
          </w:rPr>
          <w:fldChar w:fldCharType="begin"/>
        </w:r>
        <w:r w:rsidR="007C6F59">
          <w:rPr>
            <w:noProof/>
            <w:webHidden/>
          </w:rPr>
          <w:instrText xml:space="preserve"> PAGEREF _Toc101274577 \h </w:instrText>
        </w:r>
        <w:r w:rsidR="007C6F59">
          <w:rPr>
            <w:noProof/>
            <w:webHidden/>
          </w:rPr>
        </w:r>
        <w:r w:rsidR="007C6F59">
          <w:rPr>
            <w:noProof/>
            <w:webHidden/>
          </w:rPr>
          <w:fldChar w:fldCharType="separate"/>
        </w:r>
        <w:r w:rsidR="00587AF0">
          <w:rPr>
            <w:noProof/>
            <w:webHidden/>
          </w:rPr>
          <w:t>71</w:t>
        </w:r>
        <w:r w:rsidR="007C6F59">
          <w:rPr>
            <w:noProof/>
            <w:webHidden/>
          </w:rPr>
          <w:fldChar w:fldCharType="end"/>
        </w:r>
      </w:hyperlink>
    </w:p>
    <w:p w14:paraId="4CDD4F7A" w14:textId="0C9A4AEE"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78" w:history="1">
        <w:r w:rsidR="007C6F59" w:rsidRPr="007B6B46">
          <w:rPr>
            <w:rStyle w:val="Hyperlink"/>
            <w:noProof/>
          </w:rPr>
          <w:t>Figure 56. Hydraulic power readings (y-axis) per cycle (x-axis) end cycle anomaly</w:t>
        </w:r>
        <w:r w:rsidR="007C6F59">
          <w:rPr>
            <w:noProof/>
            <w:webHidden/>
          </w:rPr>
          <w:tab/>
        </w:r>
        <w:r w:rsidR="007C6F59">
          <w:rPr>
            <w:noProof/>
            <w:webHidden/>
          </w:rPr>
          <w:fldChar w:fldCharType="begin"/>
        </w:r>
        <w:r w:rsidR="007C6F59">
          <w:rPr>
            <w:noProof/>
            <w:webHidden/>
          </w:rPr>
          <w:instrText xml:space="preserve"> PAGEREF _Toc101274578 \h </w:instrText>
        </w:r>
        <w:r w:rsidR="007C6F59">
          <w:rPr>
            <w:noProof/>
            <w:webHidden/>
          </w:rPr>
        </w:r>
        <w:r w:rsidR="007C6F59">
          <w:rPr>
            <w:noProof/>
            <w:webHidden/>
          </w:rPr>
          <w:fldChar w:fldCharType="separate"/>
        </w:r>
        <w:r w:rsidR="00587AF0">
          <w:rPr>
            <w:noProof/>
            <w:webHidden/>
          </w:rPr>
          <w:t>72</w:t>
        </w:r>
        <w:r w:rsidR="007C6F59">
          <w:rPr>
            <w:noProof/>
            <w:webHidden/>
          </w:rPr>
          <w:fldChar w:fldCharType="end"/>
        </w:r>
      </w:hyperlink>
    </w:p>
    <w:p w14:paraId="613ECD5D" w14:textId="2CBB72D8"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79" w:history="1">
        <w:r w:rsidR="007C6F59" w:rsidRPr="007B6B46">
          <w:rPr>
            <w:rStyle w:val="Hyperlink"/>
            <w:noProof/>
          </w:rPr>
          <w:t>Figure 57. Hydraulic power readings (y-axis) per cycle (x-axis) deviation and time anomaly</w:t>
        </w:r>
        <w:r w:rsidR="007C6F59">
          <w:rPr>
            <w:noProof/>
            <w:webHidden/>
          </w:rPr>
          <w:tab/>
        </w:r>
        <w:r w:rsidR="007C6F59">
          <w:rPr>
            <w:noProof/>
            <w:webHidden/>
          </w:rPr>
          <w:fldChar w:fldCharType="begin"/>
        </w:r>
        <w:r w:rsidR="007C6F59">
          <w:rPr>
            <w:noProof/>
            <w:webHidden/>
          </w:rPr>
          <w:instrText xml:space="preserve"> PAGEREF _Toc101274579 \h </w:instrText>
        </w:r>
        <w:r w:rsidR="007C6F59">
          <w:rPr>
            <w:noProof/>
            <w:webHidden/>
          </w:rPr>
        </w:r>
        <w:r w:rsidR="007C6F59">
          <w:rPr>
            <w:noProof/>
            <w:webHidden/>
          </w:rPr>
          <w:fldChar w:fldCharType="separate"/>
        </w:r>
        <w:r w:rsidR="00587AF0">
          <w:rPr>
            <w:noProof/>
            <w:webHidden/>
          </w:rPr>
          <w:t>72</w:t>
        </w:r>
        <w:r w:rsidR="007C6F59">
          <w:rPr>
            <w:noProof/>
            <w:webHidden/>
          </w:rPr>
          <w:fldChar w:fldCharType="end"/>
        </w:r>
      </w:hyperlink>
    </w:p>
    <w:p w14:paraId="41596504" w14:textId="3FF61057"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80" w:history="1">
        <w:r w:rsidR="007C6F59" w:rsidRPr="007B6B46">
          <w:rPr>
            <w:rStyle w:val="Hyperlink"/>
            <w:noProof/>
          </w:rPr>
          <w:t>Figure 58. Hydraulic power readings (y-axis) per cycle (x-axis) deviation and time anomaly</w:t>
        </w:r>
        <w:r w:rsidR="007C6F59">
          <w:rPr>
            <w:noProof/>
            <w:webHidden/>
          </w:rPr>
          <w:tab/>
        </w:r>
        <w:r w:rsidR="007C6F59">
          <w:rPr>
            <w:noProof/>
            <w:webHidden/>
          </w:rPr>
          <w:fldChar w:fldCharType="begin"/>
        </w:r>
        <w:r w:rsidR="007C6F59">
          <w:rPr>
            <w:noProof/>
            <w:webHidden/>
          </w:rPr>
          <w:instrText xml:space="preserve"> PAGEREF _Toc101274580 \h </w:instrText>
        </w:r>
        <w:r w:rsidR="007C6F59">
          <w:rPr>
            <w:noProof/>
            <w:webHidden/>
          </w:rPr>
        </w:r>
        <w:r w:rsidR="007C6F59">
          <w:rPr>
            <w:noProof/>
            <w:webHidden/>
          </w:rPr>
          <w:fldChar w:fldCharType="separate"/>
        </w:r>
        <w:r w:rsidR="00587AF0">
          <w:rPr>
            <w:noProof/>
            <w:webHidden/>
          </w:rPr>
          <w:t>72</w:t>
        </w:r>
        <w:r w:rsidR="007C6F59">
          <w:rPr>
            <w:noProof/>
            <w:webHidden/>
          </w:rPr>
          <w:fldChar w:fldCharType="end"/>
        </w:r>
      </w:hyperlink>
    </w:p>
    <w:p w14:paraId="1D852A70" w14:textId="1ADE493F"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81" w:history="1">
        <w:r w:rsidR="007C6F59" w:rsidRPr="007B6B46">
          <w:rPr>
            <w:rStyle w:val="Hyperlink"/>
            <w:noProof/>
          </w:rPr>
          <w:t>Figure 59. Hydraulic power readings (y-axis) per cycle (x-axis) deviation and time anomaly</w:t>
        </w:r>
        <w:r w:rsidR="007C6F59">
          <w:rPr>
            <w:noProof/>
            <w:webHidden/>
          </w:rPr>
          <w:tab/>
        </w:r>
        <w:r w:rsidR="007C6F59">
          <w:rPr>
            <w:noProof/>
            <w:webHidden/>
          </w:rPr>
          <w:fldChar w:fldCharType="begin"/>
        </w:r>
        <w:r w:rsidR="007C6F59">
          <w:rPr>
            <w:noProof/>
            <w:webHidden/>
          </w:rPr>
          <w:instrText xml:space="preserve"> PAGEREF _Toc101274581 \h </w:instrText>
        </w:r>
        <w:r w:rsidR="007C6F59">
          <w:rPr>
            <w:noProof/>
            <w:webHidden/>
          </w:rPr>
        </w:r>
        <w:r w:rsidR="007C6F59">
          <w:rPr>
            <w:noProof/>
            <w:webHidden/>
          </w:rPr>
          <w:fldChar w:fldCharType="separate"/>
        </w:r>
        <w:r w:rsidR="00587AF0">
          <w:rPr>
            <w:noProof/>
            <w:webHidden/>
          </w:rPr>
          <w:t>72</w:t>
        </w:r>
        <w:r w:rsidR="007C6F59">
          <w:rPr>
            <w:noProof/>
            <w:webHidden/>
          </w:rPr>
          <w:fldChar w:fldCharType="end"/>
        </w:r>
      </w:hyperlink>
    </w:p>
    <w:p w14:paraId="18B9D851" w14:textId="6A0F023E"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82" w:history="1">
        <w:r w:rsidR="007C6F59" w:rsidRPr="007B6B46">
          <w:rPr>
            <w:rStyle w:val="Hyperlink"/>
            <w:noProof/>
          </w:rPr>
          <w:t>Figure 60. Deviation in response and hydraulic power measured (y-axis) in time (x-axis)</w:t>
        </w:r>
        <w:r w:rsidR="007C6F59">
          <w:rPr>
            <w:noProof/>
            <w:webHidden/>
          </w:rPr>
          <w:tab/>
        </w:r>
        <w:r w:rsidR="007C6F59">
          <w:rPr>
            <w:noProof/>
            <w:webHidden/>
          </w:rPr>
          <w:fldChar w:fldCharType="begin"/>
        </w:r>
        <w:r w:rsidR="007C6F59">
          <w:rPr>
            <w:noProof/>
            <w:webHidden/>
          </w:rPr>
          <w:instrText xml:space="preserve"> PAGEREF _Toc101274582 \h </w:instrText>
        </w:r>
        <w:r w:rsidR="007C6F59">
          <w:rPr>
            <w:noProof/>
            <w:webHidden/>
          </w:rPr>
        </w:r>
        <w:r w:rsidR="007C6F59">
          <w:rPr>
            <w:noProof/>
            <w:webHidden/>
          </w:rPr>
          <w:fldChar w:fldCharType="separate"/>
        </w:r>
        <w:r w:rsidR="00587AF0">
          <w:rPr>
            <w:noProof/>
            <w:webHidden/>
          </w:rPr>
          <w:t>73</w:t>
        </w:r>
        <w:r w:rsidR="007C6F59">
          <w:rPr>
            <w:noProof/>
            <w:webHidden/>
          </w:rPr>
          <w:fldChar w:fldCharType="end"/>
        </w:r>
      </w:hyperlink>
    </w:p>
    <w:p w14:paraId="2CAC55CC" w14:textId="18FBEB32"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83" w:history="1">
        <w:r w:rsidR="007C6F59" w:rsidRPr="007B6B46">
          <w:rPr>
            <w:rStyle w:val="Hyperlink"/>
            <w:noProof/>
          </w:rPr>
          <w:t>Figure 61. Flowchart of data processing and ML modelling</w:t>
        </w:r>
        <w:r w:rsidR="007C6F59">
          <w:rPr>
            <w:noProof/>
            <w:webHidden/>
          </w:rPr>
          <w:tab/>
        </w:r>
        <w:r w:rsidR="007C6F59">
          <w:rPr>
            <w:noProof/>
            <w:webHidden/>
          </w:rPr>
          <w:fldChar w:fldCharType="begin"/>
        </w:r>
        <w:r w:rsidR="007C6F59">
          <w:rPr>
            <w:noProof/>
            <w:webHidden/>
          </w:rPr>
          <w:instrText xml:space="preserve"> PAGEREF _Toc101274583 \h </w:instrText>
        </w:r>
        <w:r w:rsidR="007C6F59">
          <w:rPr>
            <w:noProof/>
            <w:webHidden/>
          </w:rPr>
        </w:r>
        <w:r w:rsidR="007C6F59">
          <w:rPr>
            <w:noProof/>
            <w:webHidden/>
          </w:rPr>
          <w:fldChar w:fldCharType="separate"/>
        </w:r>
        <w:r w:rsidR="00587AF0">
          <w:rPr>
            <w:noProof/>
            <w:webHidden/>
          </w:rPr>
          <w:t>74</w:t>
        </w:r>
        <w:r w:rsidR="007C6F59">
          <w:rPr>
            <w:noProof/>
            <w:webHidden/>
          </w:rPr>
          <w:fldChar w:fldCharType="end"/>
        </w:r>
      </w:hyperlink>
    </w:p>
    <w:p w14:paraId="6A6439B1" w14:textId="5FA439E7"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84" w:history="1">
        <w:r w:rsidR="007C6F59" w:rsidRPr="007B6B46">
          <w:rPr>
            <w:rStyle w:val="Hyperlink"/>
            <w:noProof/>
          </w:rPr>
          <w:t>Figure 62. Correlation heatmap of variables included in the opening saddle position</w:t>
        </w:r>
        <w:r w:rsidR="007C6F59">
          <w:rPr>
            <w:noProof/>
            <w:webHidden/>
          </w:rPr>
          <w:tab/>
        </w:r>
        <w:r w:rsidR="007C6F59">
          <w:rPr>
            <w:noProof/>
            <w:webHidden/>
          </w:rPr>
          <w:fldChar w:fldCharType="begin"/>
        </w:r>
        <w:r w:rsidR="007C6F59">
          <w:rPr>
            <w:noProof/>
            <w:webHidden/>
          </w:rPr>
          <w:instrText xml:space="preserve"> PAGEREF _Toc101274584 \h </w:instrText>
        </w:r>
        <w:r w:rsidR="007C6F59">
          <w:rPr>
            <w:noProof/>
            <w:webHidden/>
          </w:rPr>
        </w:r>
        <w:r w:rsidR="007C6F59">
          <w:rPr>
            <w:noProof/>
            <w:webHidden/>
          </w:rPr>
          <w:fldChar w:fldCharType="separate"/>
        </w:r>
        <w:r w:rsidR="00587AF0">
          <w:rPr>
            <w:noProof/>
            <w:webHidden/>
          </w:rPr>
          <w:t>77</w:t>
        </w:r>
        <w:r w:rsidR="007C6F59">
          <w:rPr>
            <w:noProof/>
            <w:webHidden/>
          </w:rPr>
          <w:fldChar w:fldCharType="end"/>
        </w:r>
      </w:hyperlink>
    </w:p>
    <w:p w14:paraId="22061930" w14:textId="6902E78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85" w:history="1">
        <w:r w:rsidR="007C6F59" w:rsidRPr="007B6B46">
          <w:rPr>
            <w:rStyle w:val="Hyperlink"/>
            <w:noProof/>
          </w:rPr>
          <w:t>Figure 63. Box and whisker plot of N_Max_OS in opening saddle position signal</w:t>
        </w:r>
        <w:r w:rsidR="007C6F59">
          <w:rPr>
            <w:noProof/>
            <w:webHidden/>
          </w:rPr>
          <w:tab/>
        </w:r>
        <w:r w:rsidR="007C6F59">
          <w:rPr>
            <w:noProof/>
            <w:webHidden/>
          </w:rPr>
          <w:fldChar w:fldCharType="begin"/>
        </w:r>
        <w:r w:rsidR="007C6F59">
          <w:rPr>
            <w:noProof/>
            <w:webHidden/>
          </w:rPr>
          <w:instrText xml:space="preserve"> PAGEREF _Toc101274585 \h </w:instrText>
        </w:r>
        <w:r w:rsidR="007C6F59">
          <w:rPr>
            <w:noProof/>
            <w:webHidden/>
          </w:rPr>
        </w:r>
        <w:r w:rsidR="007C6F59">
          <w:rPr>
            <w:noProof/>
            <w:webHidden/>
          </w:rPr>
          <w:fldChar w:fldCharType="separate"/>
        </w:r>
        <w:r w:rsidR="00587AF0">
          <w:rPr>
            <w:noProof/>
            <w:webHidden/>
          </w:rPr>
          <w:t>78</w:t>
        </w:r>
        <w:r w:rsidR="007C6F59">
          <w:rPr>
            <w:noProof/>
            <w:webHidden/>
          </w:rPr>
          <w:fldChar w:fldCharType="end"/>
        </w:r>
      </w:hyperlink>
    </w:p>
    <w:p w14:paraId="5F0110C4" w14:textId="2D22E434"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86" w:history="1">
        <w:r w:rsidR="007C6F59" w:rsidRPr="007B6B46">
          <w:rPr>
            <w:rStyle w:val="Hyperlink"/>
            <w:noProof/>
          </w:rPr>
          <w:t>Figure 64. Box and whisker plot of N_StDev_OS in opening saddle position signal</w:t>
        </w:r>
        <w:r w:rsidR="007C6F59">
          <w:rPr>
            <w:noProof/>
            <w:webHidden/>
          </w:rPr>
          <w:tab/>
        </w:r>
        <w:r w:rsidR="007C6F59">
          <w:rPr>
            <w:noProof/>
            <w:webHidden/>
          </w:rPr>
          <w:fldChar w:fldCharType="begin"/>
        </w:r>
        <w:r w:rsidR="007C6F59">
          <w:rPr>
            <w:noProof/>
            <w:webHidden/>
          </w:rPr>
          <w:instrText xml:space="preserve"> PAGEREF _Toc101274586 \h </w:instrText>
        </w:r>
        <w:r w:rsidR="007C6F59">
          <w:rPr>
            <w:noProof/>
            <w:webHidden/>
          </w:rPr>
        </w:r>
        <w:r w:rsidR="007C6F59">
          <w:rPr>
            <w:noProof/>
            <w:webHidden/>
          </w:rPr>
          <w:fldChar w:fldCharType="separate"/>
        </w:r>
        <w:r w:rsidR="00587AF0">
          <w:rPr>
            <w:noProof/>
            <w:webHidden/>
          </w:rPr>
          <w:t>78</w:t>
        </w:r>
        <w:r w:rsidR="007C6F59">
          <w:rPr>
            <w:noProof/>
            <w:webHidden/>
          </w:rPr>
          <w:fldChar w:fldCharType="end"/>
        </w:r>
      </w:hyperlink>
    </w:p>
    <w:p w14:paraId="46ED103C" w14:textId="4D6C55A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87" w:history="1">
        <w:r w:rsidR="007C6F59" w:rsidRPr="007B6B46">
          <w:rPr>
            <w:rStyle w:val="Hyperlink"/>
            <w:noProof/>
          </w:rPr>
          <w:t>Figure 65. Box and whisker plot of T1 value in opening saddle position signal</w:t>
        </w:r>
        <w:r w:rsidR="007C6F59">
          <w:rPr>
            <w:noProof/>
            <w:webHidden/>
          </w:rPr>
          <w:tab/>
        </w:r>
        <w:r w:rsidR="007C6F59">
          <w:rPr>
            <w:noProof/>
            <w:webHidden/>
          </w:rPr>
          <w:fldChar w:fldCharType="begin"/>
        </w:r>
        <w:r w:rsidR="007C6F59">
          <w:rPr>
            <w:noProof/>
            <w:webHidden/>
          </w:rPr>
          <w:instrText xml:space="preserve"> PAGEREF _Toc101274587 \h </w:instrText>
        </w:r>
        <w:r w:rsidR="007C6F59">
          <w:rPr>
            <w:noProof/>
            <w:webHidden/>
          </w:rPr>
        </w:r>
        <w:r w:rsidR="007C6F59">
          <w:rPr>
            <w:noProof/>
            <w:webHidden/>
          </w:rPr>
          <w:fldChar w:fldCharType="separate"/>
        </w:r>
        <w:r w:rsidR="00587AF0">
          <w:rPr>
            <w:noProof/>
            <w:webHidden/>
          </w:rPr>
          <w:t>79</w:t>
        </w:r>
        <w:r w:rsidR="007C6F59">
          <w:rPr>
            <w:noProof/>
            <w:webHidden/>
          </w:rPr>
          <w:fldChar w:fldCharType="end"/>
        </w:r>
      </w:hyperlink>
    </w:p>
    <w:p w14:paraId="0F94B042" w14:textId="21FB93A4"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88" w:history="1">
        <w:r w:rsidR="007C6F59" w:rsidRPr="007B6B46">
          <w:rPr>
            <w:rStyle w:val="Hyperlink"/>
            <w:noProof/>
          </w:rPr>
          <w:t>Figure 66. Box and whisker plot of N_Median_OS value in opening saddle position signal</w:t>
        </w:r>
        <w:r w:rsidR="007C6F59">
          <w:rPr>
            <w:noProof/>
            <w:webHidden/>
          </w:rPr>
          <w:tab/>
        </w:r>
        <w:r w:rsidR="007C6F59">
          <w:rPr>
            <w:noProof/>
            <w:webHidden/>
          </w:rPr>
          <w:fldChar w:fldCharType="begin"/>
        </w:r>
        <w:r w:rsidR="007C6F59">
          <w:rPr>
            <w:noProof/>
            <w:webHidden/>
          </w:rPr>
          <w:instrText xml:space="preserve"> PAGEREF _Toc101274588 \h </w:instrText>
        </w:r>
        <w:r w:rsidR="007C6F59">
          <w:rPr>
            <w:noProof/>
            <w:webHidden/>
          </w:rPr>
        </w:r>
        <w:r w:rsidR="007C6F59">
          <w:rPr>
            <w:noProof/>
            <w:webHidden/>
          </w:rPr>
          <w:fldChar w:fldCharType="separate"/>
        </w:r>
        <w:r w:rsidR="00587AF0">
          <w:rPr>
            <w:noProof/>
            <w:webHidden/>
          </w:rPr>
          <w:t>79</w:t>
        </w:r>
        <w:r w:rsidR="007C6F59">
          <w:rPr>
            <w:noProof/>
            <w:webHidden/>
          </w:rPr>
          <w:fldChar w:fldCharType="end"/>
        </w:r>
      </w:hyperlink>
    </w:p>
    <w:p w14:paraId="563A7B03" w14:textId="1AC337A2"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89" w:history="1">
        <w:r w:rsidR="007C6F59" w:rsidRPr="007B6B46">
          <w:rPr>
            <w:rStyle w:val="Hyperlink"/>
            <w:noProof/>
          </w:rPr>
          <w:t>Figure 67. Box and whisker of N_Min_OS at opening saddle position signal</w:t>
        </w:r>
        <w:r w:rsidR="007C6F59">
          <w:rPr>
            <w:noProof/>
            <w:webHidden/>
          </w:rPr>
          <w:tab/>
        </w:r>
        <w:r w:rsidR="007C6F59">
          <w:rPr>
            <w:noProof/>
            <w:webHidden/>
          </w:rPr>
          <w:fldChar w:fldCharType="begin"/>
        </w:r>
        <w:r w:rsidR="007C6F59">
          <w:rPr>
            <w:noProof/>
            <w:webHidden/>
          </w:rPr>
          <w:instrText xml:space="preserve"> PAGEREF _Toc101274589 \h </w:instrText>
        </w:r>
        <w:r w:rsidR="007C6F59">
          <w:rPr>
            <w:noProof/>
            <w:webHidden/>
          </w:rPr>
        </w:r>
        <w:r w:rsidR="007C6F59">
          <w:rPr>
            <w:noProof/>
            <w:webHidden/>
          </w:rPr>
          <w:fldChar w:fldCharType="separate"/>
        </w:r>
        <w:r w:rsidR="00587AF0">
          <w:rPr>
            <w:noProof/>
            <w:webHidden/>
          </w:rPr>
          <w:t>80</w:t>
        </w:r>
        <w:r w:rsidR="007C6F59">
          <w:rPr>
            <w:noProof/>
            <w:webHidden/>
          </w:rPr>
          <w:fldChar w:fldCharType="end"/>
        </w:r>
      </w:hyperlink>
    </w:p>
    <w:p w14:paraId="1C8E1448" w14:textId="2548325B"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90" w:history="1">
        <w:r w:rsidR="007C6F59" w:rsidRPr="007B6B46">
          <w:rPr>
            <w:rStyle w:val="Hyperlink"/>
            <w:noProof/>
          </w:rPr>
          <w:t>Figure 68. Box and whisker plot of N_HsIdleTime_OS at opening saddle position signal</w:t>
        </w:r>
        <w:r w:rsidR="007C6F59">
          <w:rPr>
            <w:noProof/>
            <w:webHidden/>
          </w:rPr>
          <w:tab/>
        </w:r>
        <w:r w:rsidR="007C6F59">
          <w:rPr>
            <w:noProof/>
            <w:webHidden/>
          </w:rPr>
          <w:fldChar w:fldCharType="begin"/>
        </w:r>
        <w:r w:rsidR="007C6F59">
          <w:rPr>
            <w:noProof/>
            <w:webHidden/>
          </w:rPr>
          <w:instrText xml:space="preserve"> PAGEREF _Toc101274590 \h </w:instrText>
        </w:r>
        <w:r w:rsidR="007C6F59">
          <w:rPr>
            <w:noProof/>
            <w:webHidden/>
          </w:rPr>
        </w:r>
        <w:r w:rsidR="007C6F59">
          <w:rPr>
            <w:noProof/>
            <w:webHidden/>
          </w:rPr>
          <w:fldChar w:fldCharType="separate"/>
        </w:r>
        <w:r w:rsidR="00587AF0">
          <w:rPr>
            <w:noProof/>
            <w:webHidden/>
          </w:rPr>
          <w:t>80</w:t>
        </w:r>
        <w:r w:rsidR="007C6F59">
          <w:rPr>
            <w:noProof/>
            <w:webHidden/>
          </w:rPr>
          <w:fldChar w:fldCharType="end"/>
        </w:r>
      </w:hyperlink>
    </w:p>
    <w:p w14:paraId="11ACE11B" w14:textId="3F997C37"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91" w:history="1">
        <w:r w:rsidR="007C6F59" w:rsidRPr="007B6B46">
          <w:rPr>
            <w:rStyle w:val="Hyperlink"/>
            <w:noProof/>
          </w:rPr>
          <w:t>Figure 69. Box and whisker plot of N_1Q_OS at opening saddle position</w:t>
        </w:r>
        <w:r w:rsidR="007C6F59">
          <w:rPr>
            <w:noProof/>
            <w:webHidden/>
          </w:rPr>
          <w:tab/>
        </w:r>
        <w:r w:rsidR="007C6F59">
          <w:rPr>
            <w:noProof/>
            <w:webHidden/>
          </w:rPr>
          <w:fldChar w:fldCharType="begin"/>
        </w:r>
        <w:r w:rsidR="007C6F59">
          <w:rPr>
            <w:noProof/>
            <w:webHidden/>
          </w:rPr>
          <w:instrText xml:space="preserve"> PAGEREF _Toc101274591 \h </w:instrText>
        </w:r>
        <w:r w:rsidR="007C6F59">
          <w:rPr>
            <w:noProof/>
            <w:webHidden/>
          </w:rPr>
        </w:r>
        <w:r w:rsidR="007C6F59">
          <w:rPr>
            <w:noProof/>
            <w:webHidden/>
          </w:rPr>
          <w:fldChar w:fldCharType="separate"/>
        </w:r>
        <w:r w:rsidR="00587AF0">
          <w:rPr>
            <w:noProof/>
            <w:webHidden/>
          </w:rPr>
          <w:t>81</w:t>
        </w:r>
        <w:r w:rsidR="007C6F59">
          <w:rPr>
            <w:noProof/>
            <w:webHidden/>
          </w:rPr>
          <w:fldChar w:fldCharType="end"/>
        </w:r>
      </w:hyperlink>
    </w:p>
    <w:p w14:paraId="30447F35" w14:textId="55A4941A"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92" w:history="1">
        <w:r w:rsidR="007C6F59" w:rsidRPr="007B6B46">
          <w:rPr>
            <w:rStyle w:val="Hyperlink"/>
            <w:noProof/>
          </w:rPr>
          <w:t>Figure 70. Box and whisker plot of N_Kurt_OS at opening saddle position</w:t>
        </w:r>
        <w:r w:rsidR="007C6F59">
          <w:rPr>
            <w:noProof/>
            <w:webHidden/>
          </w:rPr>
          <w:tab/>
        </w:r>
        <w:r w:rsidR="007C6F59">
          <w:rPr>
            <w:noProof/>
            <w:webHidden/>
          </w:rPr>
          <w:fldChar w:fldCharType="begin"/>
        </w:r>
        <w:r w:rsidR="007C6F59">
          <w:rPr>
            <w:noProof/>
            <w:webHidden/>
          </w:rPr>
          <w:instrText xml:space="preserve"> PAGEREF _Toc101274592 \h </w:instrText>
        </w:r>
        <w:r w:rsidR="007C6F59">
          <w:rPr>
            <w:noProof/>
            <w:webHidden/>
          </w:rPr>
        </w:r>
        <w:r w:rsidR="007C6F59">
          <w:rPr>
            <w:noProof/>
            <w:webHidden/>
          </w:rPr>
          <w:fldChar w:fldCharType="separate"/>
        </w:r>
        <w:r w:rsidR="00587AF0">
          <w:rPr>
            <w:noProof/>
            <w:webHidden/>
          </w:rPr>
          <w:t>81</w:t>
        </w:r>
        <w:r w:rsidR="007C6F59">
          <w:rPr>
            <w:noProof/>
            <w:webHidden/>
          </w:rPr>
          <w:fldChar w:fldCharType="end"/>
        </w:r>
      </w:hyperlink>
    </w:p>
    <w:p w14:paraId="4ED0E926" w14:textId="1762607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93" w:history="1">
        <w:r w:rsidR="007C6F59" w:rsidRPr="007B6B46">
          <w:rPr>
            <w:rStyle w:val="Hyperlink"/>
            <w:noProof/>
          </w:rPr>
          <w:t>Figure 71. Correlation heatmap of idle saddle position signal variables</w:t>
        </w:r>
        <w:r w:rsidR="007C6F59">
          <w:rPr>
            <w:noProof/>
            <w:webHidden/>
          </w:rPr>
          <w:tab/>
        </w:r>
        <w:r w:rsidR="007C6F59">
          <w:rPr>
            <w:noProof/>
            <w:webHidden/>
          </w:rPr>
          <w:fldChar w:fldCharType="begin"/>
        </w:r>
        <w:r w:rsidR="007C6F59">
          <w:rPr>
            <w:noProof/>
            <w:webHidden/>
          </w:rPr>
          <w:instrText xml:space="preserve"> PAGEREF _Toc101274593 \h </w:instrText>
        </w:r>
        <w:r w:rsidR="007C6F59">
          <w:rPr>
            <w:noProof/>
            <w:webHidden/>
          </w:rPr>
        </w:r>
        <w:r w:rsidR="007C6F59">
          <w:rPr>
            <w:noProof/>
            <w:webHidden/>
          </w:rPr>
          <w:fldChar w:fldCharType="separate"/>
        </w:r>
        <w:r w:rsidR="00587AF0">
          <w:rPr>
            <w:noProof/>
            <w:webHidden/>
          </w:rPr>
          <w:t>82</w:t>
        </w:r>
        <w:r w:rsidR="007C6F59">
          <w:rPr>
            <w:noProof/>
            <w:webHidden/>
          </w:rPr>
          <w:fldChar w:fldCharType="end"/>
        </w:r>
      </w:hyperlink>
    </w:p>
    <w:p w14:paraId="3F8D28ED" w14:textId="725448AB"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94" w:history="1">
        <w:r w:rsidR="007C6F59" w:rsidRPr="007B6B46">
          <w:rPr>
            <w:rStyle w:val="Hyperlink"/>
            <w:noProof/>
          </w:rPr>
          <w:t>Figure 72. Box and whisker plot of N_1Q_IS value of idle saddle position signal</w:t>
        </w:r>
        <w:r w:rsidR="007C6F59">
          <w:rPr>
            <w:noProof/>
            <w:webHidden/>
          </w:rPr>
          <w:tab/>
        </w:r>
        <w:r w:rsidR="007C6F59">
          <w:rPr>
            <w:noProof/>
            <w:webHidden/>
          </w:rPr>
          <w:fldChar w:fldCharType="begin"/>
        </w:r>
        <w:r w:rsidR="007C6F59">
          <w:rPr>
            <w:noProof/>
            <w:webHidden/>
          </w:rPr>
          <w:instrText xml:space="preserve"> PAGEREF _Toc101274594 \h </w:instrText>
        </w:r>
        <w:r w:rsidR="007C6F59">
          <w:rPr>
            <w:noProof/>
            <w:webHidden/>
          </w:rPr>
        </w:r>
        <w:r w:rsidR="007C6F59">
          <w:rPr>
            <w:noProof/>
            <w:webHidden/>
          </w:rPr>
          <w:fldChar w:fldCharType="separate"/>
        </w:r>
        <w:r w:rsidR="00587AF0">
          <w:rPr>
            <w:noProof/>
            <w:webHidden/>
          </w:rPr>
          <w:t>83</w:t>
        </w:r>
        <w:r w:rsidR="007C6F59">
          <w:rPr>
            <w:noProof/>
            <w:webHidden/>
          </w:rPr>
          <w:fldChar w:fldCharType="end"/>
        </w:r>
      </w:hyperlink>
    </w:p>
    <w:p w14:paraId="2567E8F0" w14:textId="67E878E6"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95" w:history="1">
        <w:r w:rsidR="007C6F59" w:rsidRPr="007B6B46">
          <w:rPr>
            <w:rStyle w:val="Hyperlink"/>
            <w:noProof/>
          </w:rPr>
          <w:t>Figure 73. Box and whisker plot of N_Kurt_IS value of idle saddle position signal</w:t>
        </w:r>
        <w:r w:rsidR="007C6F59">
          <w:rPr>
            <w:noProof/>
            <w:webHidden/>
          </w:rPr>
          <w:tab/>
        </w:r>
        <w:r w:rsidR="007C6F59">
          <w:rPr>
            <w:noProof/>
            <w:webHidden/>
          </w:rPr>
          <w:fldChar w:fldCharType="begin"/>
        </w:r>
        <w:r w:rsidR="007C6F59">
          <w:rPr>
            <w:noProof/>
            <w:webHidden/>
          </w:rPr>
          <w:instrText xml:space="preserve"> PAGEREF _Toc101274595 \h </w:instrText>
        </w:r>
        <w:r w:rsidR="007C6F59">
          <w:rPr>
            <w:noProof/>
            <w:webHidden/>
          </w:rPr>
        </w:r>
        <w:r w:rsidR="007C6F59">
          <w:rPr>
            <w:noProof/>
            <w:webHidden/>
          </w:rPr>
          <w:fldChar w:fldCharType="separate"/>
        </w:r>
        <w:r w:rsidR="00587AF0">
          <w:rPr>
            <w:noProof/>
            <w:webHidden/>
          </w:rPr>
          <w:t>83</w:t>
        </w:r>
        <w:r w:rsidR="007C6F59">
          <w:rPr>
            <w:noProof/>
            <w:webHidden/>
          </w:rPr>
          <w:fldChar w:fldCharType="end"/>
        </w:r>
      </w:hyperlink>
    </w:p>
    <w:p w14:paraId="1E5FF4B0" w14:textId="43110F97"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96" w:history="1">
        <w:r w:rsidR="007C6F59" w:rsidRPr="007B6B46">
          <w:rPr>
            <w:rStyle w:val="Hyperlink"/>
            <w:noProof/>
          </w:rPr>
          <w:t>Figure 74. Box and whisker plot of N_Median_IS value of idle saddle position</w:t>
        </w:r>
        <w:r w:rsidR="007C6F59">
          <w:rPr>
            <w:noProof/>
            <w:webHidden/>
          </w:rPr>
          <w:tab/>
        </w:r>
        <w:r w:rsidR="007C6F59">
          <w:rPr>
            <w:noProof/>
            <w:webHidden/>
          </w:rPr>
          <w:fldChar w:fldCharType="begin"/>
        </w:r>
        <w:r w:rsidR="007C6F59">
          <w:rPr>
            <w:noProof/>
            <w:webHidden/>
          </w:rPr>
          <w:instrText xml:space="preserve"> PAGEREF _Toc101274596 \h </w:instrText>
        </w:r>
        <w:r w:rsidR="007C6F59">
          <w:rPr>
            <w:noProof/>
            <w:webHidden/>
          </w:rPr>
        </w:r>
        <w:r w:rsidR="007C6F59">
          <w:rPr>
            <w:noProof/>
            <w:webHidden/>
          </w:rPr>
          <w:fldChar w:fldCharType="separate"/>
        </w:r>
        <w:r w:rsidR="00587AF0">
          <w:rPr>
            <w:noProof/>
            <w:webHidden/>
          </w:rPr>
          <w:t>84</w:t>
        </w:r>
        <w:r w:rsidR="007C6F59">
          <w:rPr>
            <w:noProof/>
            <w:webHidden/>
          </w:rPr>
          <w:fldChar w:fldCharType="end"/>
        </w:r>
      </w:hyperlink>
    </w:p>
    <w:p w14:paraId="623AD1F0" w14:textId="2E4AE411"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97" w:history="1">
        <w:r w:rsidR="007C6F59" w:rsidRPr="007B6B46">
          <w:rPr>
            <w:rStyle w:val="Hyperlink"/>
            <w:noProof/>
          </w:rPr>
          <w:t>Figure 75. Box and whisker plot of N_StDev_IS value of idle saddle position</w:t>
        </w:r>
        <w:r w:rsidR="007C6F59">
          <w:rPr>
            <w:noProof/>
            <w:webHidden/>
          </w:rPr>
          <w:tab/>
        </w:r>
        <w:r w:rsidR="007C6F59">
          <w:rPr>
            <w:noProof/>
            <w:webHidden/>
          </w:rPr>
          <w:fldChar w:fldCharType="begin"/>
        </w:r>
        <w:r w:rsidR="007C6F59">
          <w:rPr>
            <w:noProof/>
            <w:webHidden/>
          </w:rPr>
          <w:instrText xml:space="preserve"> PAGEREF _Toc101274597 \h </w:instrText>
        </w:r>
        <w:r w:rsidR="007C6F59">
          <w:rPr>
            <w:noProof/>
            <w:webHidden/>
          </w:rPr>
        </w:r>
        <w:r w:rsidR="007C6F59">
          <w:rPr>
            <w:noProof/>
            <w:webHidden/>
          </w:rPr>
          <w:fldChar w:fldCharType="separate"/>
        </w:r>
        <w:r w:rsidR="00587AF0">
          <w:rPr>
            <w:noProof/>
            <w:webHidden/>
          </w:rPr>
          <w:t>84</w:t>
        </w:r>
        <w:r w:rsidR="007C6F59">
          <w:rPr>
            <w:noProof/>
            <w:webHidden/>
          </w:rPr>
          <w:fldChar w:fldCharType="end"/>
        </w:r>
      </w:hyperlink>
    </w:p>
    <w:p w14:paraId="0594C167" w14:textId="77D0A9CA"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98" w:history="1">
        <w:r w:rsidR="007C6F59" w:rsidRPr="007B6B46">
          <w:rPr>
            <w:rStyle w:val="Hyperlink"/>
            <w:noProof/>
          </w:rPr>
          <w:t>Figure 76. Correlation heatmap of the closing saddle position signal</w:t>
        </w:r>
        <w:r w:rsidR="007C6F59">
          <w:rPr>
            <w:noProof/>
            <w:webHidden/>
          </w:rPr>
          <w:tab/>
        </w:r>
        <w:r w:rsidR="007C6F59">
          <w:rPr>
            <w:noProof/>
            <w:webHidden/>
          </w:rPr>
          <w:fldChar w:fldCharType="begin"/>
        </w:r>
        <w:r w:rsidR="007C6F59">
          <w:rPr>
            <w:noProof/>
            <w:webHidden/>
          </w:rPr>
          <w:instrText xml:space="preserve"> PAGEREF _Toc101274598 \h </w:instrText>
        </w:r>
        <w:r w:rsidR="007C6F59">
          <w:rPr>
            <w:noProof/>
            <w:webHidden/>
          </w:rPr>
        </w:r>
        <w:r w:rsidR="007C6F59">
          <w:rPr>
            <w:noProof/>
            <w:webHidden/>
          </w:rPr>
          <w:fldChar w:fldCharType="separate"/>
        </w:r>
        <w:r w:rsidR="00587AF0">
          <w:rPr>
            <w:noProof/>
            <w:webHidden/>
          </w:rPr>
          <w:t>85</w:t>
        </w:r>
        <w:r w:rsidR="007C6F59">
          <w:rPr>
            <w:noProof/>
            <w:webHidden/>
          </w:rPr>
          <w:fldChar w:fldCharType="end"/>
        </w:r>
      </w:hyperlink>
    </w:p>
    <w:p w14:paraId="36CC3E65" w14:textId="18E32A1C"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599" w:history="1">
        <w:r w:rsidR="007C6F59" w:rsidRPr="007B6B46">
          <w:rPr>
            <w:rStyle w:val="Hyperlink"/>
            <w:noProof/>
          </w:rPr>
          <w:t>Figure 77. Box and whisker plot of N_1Q_CS at closing saddle position signal</w:t>
        </w:r>
        <w:r w:rsidR="007C6F59">
          <w:rPr>
            <w:noProof/>
            <w:webHidden/>
          </w:rPr>
          <w:tab/>
        </w:r>
        <w:r w:rsidR="007C6F59">
          <w:rPr>
            <w:noProof/>
            <w:webHidden/>
          </w:rPr>
          <w:fldChar w:fldCharType="begin"/>
        </w:r>
        <w:r w:rsidR="007C6F59">
          <w:rPr>
            <w:noProof/>
            <w:webHidden/>
          </w:rPr>
          <w:instrText xml:space="preserve"> PAGEREF _Toc101274599 \h </w:instrText>
        </w:r>
        <w:r w:rsidR="007C6F59">
          <w:rPr>
            <w:noProof/>
            <w:webHidden/>
          </w:rPr>
        </w:r>
        <w:r w:rsidR="007C6F59">
          <w:rPr>
            <w:noProof/>
            <w:webHidden/>
          </w:rPr>
          <w:fldChar w:fldCharType="separate"/>
        </w:r>
        <w:r w:rsidR="00587AF0">
          <w:rPr>
            <w:noProof/>
            <w:webHidden/>
          </w:rPr>
          <w:t>86</w:t>
        </w:r>
        <w:r w:rsidR="007C6F59">
          <w:rPr>
            <w:noProof/>
            <w:webHidden/>
          </w:rPr>
          <w:fldChar w:fldCharType="end"/>
        </w:r>
      </w:hyperlink>
    </w:p>
    <w:p w14:paraId="54828873" w14:textId="0BCC98A4"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00" w:history="1">
        <w:r w:rsidR="007C6F59" w:rsidRPr="007B6B46">
          <w:rPr>
            <w:rStyle w:val="Hyperlink"/>
            <w:noProof/>
          </w:rPr>
          <w:t>Figure 78. Box and whisker plot of N_Mean_CS at closing saddle position signal</w:t>
        </w:r>
        <w:r w:rsidR="007C6F59">
          <w:rPr>
            <w:noProof/>
            <w:webHidden/>
          </w:rPr>
          <w:tab/>
        </w:r>
        <w:r w:rsidR="007C6F59">
          <w:rPr>
            <w:noProof/>
            <w:webHidden/>
          </w:rPr>
          <w:fldChar w:fldCharType="begin"/>
        </w:r>
        <w:r w:rsidR="007C6F59">
          <w:rPr>
            <w:noProof/>
            <w:webHidden/>
          </w:rPr>
          <w:instrText xml:space="preserve"> PAGEREF _Toc101274600 \h </w:instrText>
        </w:r>
        <w:r w:rsidR="007C6F59">
          <w:rPr>
            <w:noProof/>
            <w:webHidden/>
          </w:rPr>
        </w:r>
        <w:r w:rsidR="007C6F59">
          <w:rPr>
            <w:noProof/>
            <w:webHidden/>
          </w:rPr>
          <w:fldChar w:fldCharType="separate"/>
        </w:r>
        <w:r w:rsidR="00587AF0">
          <w:rPr>
            <w:noProof/>
            <w:webHidden/>
          </w:rPr>
          <w:t>86</w:t>
        </w:r>
        <w:r w:rsidR="007C6F59">
          <w:rPr>
            <w:noProof/>
            <w:webHidden/>
          </w:rPr>
          <w:fldChar w:fldCharType="end"/>
        </w:r>
      </w:hyperlink>
    </w:p>
    <w:p w14:paraId="2EB982DD" w14:textId="36DCBAD2"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01" w:history="1">
        <w:r w:rsidR="007C6F59" w:rsidRPr="007B6B46">
          <w:rPr>
            <w:rStyle w:val="Hyperlink"/>
            <w:noProof/>
          </w:rPr>
          <w:t>Figure 79. Box and whisker plot of N_min_CS at closing saddle position signal</w:t>
        </w:r>
        <w:r w:rsidR="007C6F59">
          <w:rPr>
            <w:noProof/>
            <w:webHidden/>
          </w:rPr>
          <w:tab/>
        </w:r>
        <w:r w:rsidR="007C6F59">
          <w:rPr>
            <w:noProof/>
            <w:webHidden/>
          </w:rPr>
          <w:fldChar w:fldCharType="begin"/>
        </w:r>
        <w:r w:rsidR="007C6F59">
          <w:rPr>
            <w:noProof/>
            <w:webHidden/>
          </w:rPr>
          <w:instrText xml:space="preserve"> PAGEREF _Toc101274601 \h </w:instrText>
        </w:r>
        <w:r w:rsidR="007C6F59">
          <w:rPr>
            <w:noProof/>
            <w:webHidden/>
          </w:rPr>
        </w:r>
        <w:r w:rsidR="007C6F59">
          <w:rPr>
            <w:noProof/>
            <w:webHidden/>
          </w:rPr>
          <w:fldChar w:fldCharType="separate"/>
        </w:r>
        <w:r w:rsidR="00587AF0">
          <w:rPr>
            <w:noProof/>
            <w:webHidden/>
          </w:rPr>
          <w:t>87</w:t>
        </w:r>
        <w:r w:rsidR="007C6F59">
          <w:rPr>
            <w:noProof/>
            <w:webHidden/>
          </w:rPr>
          <w:fldChar w:fldCharType="end"/>
        </w:r>
      </w:hyperlink>
    </w:p>
    <w:p w14:paraId="1DDE1F05" w14:textId="5C090265"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02" w:history="1">
        <w:r w:rsidR="007C6F59" w:rsidRPr="007B6B46">
          <w:rPr>
            <w:rStyle w:val="Hyperlink"/>
            <w:noProof/>
          </w:rPr>
          <w:t>Figure 80. Box and whisker plot of N_IQR_CS at closing saddle position signal</w:t>
        </w:r>
        <w:r w:rsidR="007C6F59">
          <w:rPr>
            <w:noProof/>
            <w:webHidden/>
          </w:rPr>
          <w:tab/>
        </w:r>
        <w:r w:rsidR="007C6F59">
          <w:rPr>
            <w:noProof/>
            <w:webHidden/>
          </w:rPr>
          <w:fldChar w:fldCharType="begin"/>
        </w:r>
        <w:r w:rsidR="007C6F59">
          <w:rPr>
            <w:noProof/>
            <w:webHidden/>
          </w:rPr>
          <w:instrText xml:space="preserve"> PAGEREF _Toc101274602 \h </w:instrText>
        </w:r>
        <w:r w:rsidR="007C6F59">
          <w:rPr>
            <w:noProof/>
            <w:webHidden/>
          </w:rPr>
        </w:r>
        <w:r w:rsidR="007C6F59">
          <w:rPr>
            <w:noProof/>
            <w:webHidden/>
          </w:rPr>
          <w:fldChar w:fldCharType="separate"/>
        </w:r>
        <w:r w:rsidR="00587AF0">
          <w:rPr>
            <w:noProof/>
            <w:webHidden/>
          </w:rPr>
          <w:t>87</w:t>
        </w:r>
        <w:r w:rsidR="007C6F59">
          <w:rPr>
            <w:noProof/>
            <w:webHidden/>
          </w:rPr>
          <w:fldChar w:fldCharType="end"/>
        </w:r>
      </w:hyperlink>
    </w:p>
    <w:p w14:paraId="6D58C846" w14:textId="02B3776B"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03" w:history="1">
        <w:r w:rsidR="007C6F59" w:rsidRPr="007B6B46">
          <w:rPr>
            <w:rStyle w:val="Hyperlink"/>
            <w:noProof/>
          </w:rPr>
          <w:t>Figure 81. PCA results of the first five components for opening saddle</w:t>
        </w:r>
        <w:r w:rsidR="007C6F59">
          <w:rPr>
            <w:noProof/>
            <w:webHidden/>
          </w:rPr>
          <w:tab/>
        </w:r>
        <w:r w:rsidR="007C6F59">
          <w:rPr>
            <w:noProof/>
            <w:webHidden/>
          </w:rPr>
          <w:fldChar w:fldCharType="begin"/>
        </w:r>
        <w:r w:rsidR="007C6F59">
          <w:rPr>
            <w:noProof/>
            <w:webHidden/>
          </w:rPr>
          <w:instrText xml:space="preserve"> PAGEREF _Toc101274603 \h </w:instrText>
        </w:r>
        <w:r w:rsidR="007C6F59">
          <w:rPr>
            <w:noProof/>
            <w:webHidden/>
          </w:rPr>
        </w:r>
        <w:r w:rsidR="007C6F59">
          <w:rPr>
            <w:noProof/>
            <w:webHidden/>
          </w:rPr>
          <w:fldChar w:fldCharType="separate"/>
        </w:r>
        <w:r w:rsidR="00587AF0">
          <w:rPr>
            <w:noProof/>
            <w:webHidden/>
          </w:rPr>
          <w:t>88</w:t>
        </w:r>
        <w:r w:rsidR="007C6F59">
          <w:rPr>
            <w:noProof/>
            <w:webHidden/>
          </w:rPr>
          <w:fldChar w:fldCharType="end"/>
        </w:r>
      </w:hyperlink>
    </w:p>
    <w:p w14:paraId="02080DE2" w14:textId="20A8B253"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04" w:history="1">
        <w:r w:rsidR="007C6F59" w:rsidRPr="007B6B46">
          <w:rPr>
            <w:rStyle w:val="Hyperlink"/>
            <w:noProof/>
          </w:rPr>
          <w:t>Figure 82. PCA biplot of PC1 and PC2 of hydraulic power data at opening saddle position</w:t>
        </w:r>
        <w:r w:rsidR="007C6F59">
          <w:rPr>
            <w:noProof/>
            <w:webHidden/>
          </w:rPr>
          <w:tab/>
        </w:r>
        <w:r w:rsidR="007C6F59">
          <w:rPr>
            <w:noProof/>
            <w:webHidden/>
          </w:rPr>
          <w:fldChar w:fldCharType="begin"/>
        </w:r>
        <w:r w:rsidR="007C6F59">
          <w:rPr>
            <w:noProof/>
            <w:webHidden/>
          </w:rPr>
          <w:instrText xml:space="preserve"> PAGEREF _Toc101274604 \h </w:instrText>
        </w:r>
        <w:r w:rsidR="007C6F59">
          <w:rPr>
            <w:noProof/>
            <w:webHidden/>
          </w:rPr>
        </w:r>
        <w:r w:rsidR="007C6F59">
          <w:rPr>
            <w:noProof/>
            <w:webHidden/>
          </w:rPr>
          <w:fldChar w:fldCharType="separate"/>
        </w:r>
        <w:r w:rsidR="00587AF0">
          <w:rPr>
            <w:noProof/>
            <w:webHidden/>
          </w:rPr>
          <w:t>89</w:t>
        </w:r>
        <w:r w:rsidR="007C6F59">
          <w:rPr>
            <w:noProof/>
            <w:webHidden/>
          </w:rPr>
          <w:fldChar w:fldCharType="end"/>
        </w:r>
      </w:hyperlink>
    </w:p>
    <w:p w14:paraId="0A0952AC" w14:textId="30897ACB"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05" w:history="1">
        <w:r w:rsidR="007C6F59" w:rsidRPr="007B6B46">
          <w:rPr>
            <w:rStyle w:val="Hyperlink"/>
            <w:noProof/>
          </w:rPr>
          <w:t>Figure 83. PCA overall plot after removing collinear variables</w:t>
        </w:r>
        <w:r w:rsidR="007C6F59">
          <w:rPr>
            <w:noProof/>
            <w:webHidden/>
          </w:rPr>
          <w:tab/>
        </w:r>
        <w:r w:rsidR="007C6F59">
          <w:rPr>
            <w:noProof/>
            <w:webHidden/>
          </w:rPr>
          <w:fldChar w:fldCharType="begin"/>
        </w:r>
        <w:r w:rsidR="007C6F59">
          <w:rPr>
            <w:noProof/>
            <w:webHidden/>
          </w:rPr>
          <w:instrText xml:space="preserve"> PAGEREF _Toc101274605 \h </w:instrText>
        </w:r>
        <w:r w:rsidR="007C6F59">
          <w:rPr>
            <w:noProof/>
            <w:webHidden/>
          </w:rPr>
        </w:r>
        <w:r w:rsidR="007C6F59">
          <w:rPr>
            <w:noProof/>
            <w:webHidden/>
          </w:rPr>
          <w:fldChar w:fldCharType="separate"/>
        </w:r>
        <w:r w:rsidR="00587AF0">
          <w:rPr>
            <w:noProof/>
            <w:webHidden/>
          </w:rPr>
          <w:t>90</w:t>
        </w:r>
        <w:r w:rsidR="007C6F59">
          <w:rPr>
            <w:noProof/>
            <w:webHidden/>
          </w:rPr>
          <w:fldChar w:fldCharType="end"/>
        </w:r>
      </w:hyperlink>
    </w:p>
    <w:p w14:paraId="22B5537A" w14:textId="06084A96"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06" w:history="1">
        <w:r w:rsidR="007C6F59" w:rsidRPr="007B6B46">
          <w:rPr>
            <w:rStyle w:val="Hyperlink"/>
            <w:noProof/>
          </w:rPr>
          <w:t>Figure 84. PCA Biplot for PC1 and PC3 data at opening saddle position</w:t>
        </w:r>
        <w:r w:rsidR="007C6F59">
          <w:rPr>
            <w:noProof/>
            <w:webHidden/>
          </w:rPr>
          <w:tab/>
        </w:r>
        <w:r w:rsidR="007C6F59">
          <w:rPr>
            <w:noProof/>
            <w:webHidden/>
          </w:rPr>
          <w:fldChar w:fldCharType="begin"/>
        </w:r>
        <w:r w:rsidR="007C6F59">
          <w:rPr>
            <w:noProof/>
            <w:webHidden/>
          </w:rPr>
          <w:instrText xml:space="preserve"> PAGEREF _Toc101274606 \h </w:instrText>
        </w:r>
        <w:r w:rsidR="007C6F59">
          <w:rPr>
            <w:noProof/>
            <w:webHidden/>
          </w:rPr>
        </w:r>
        <w:r w:rsidR="007C6F59">
          <w:rPr>
            <w:noProof/>
            <w:webHidden/>
          </w:rPr>
          <w:fldChar w:fldCharType="separate"/>
        </w:r>
        <w:r w:rsidR="00587AF0">
          <w:rPr>
            <w:noProof/>
            <w:webHidden/>
          </w:rPr>
          <w:t>91</w:t>
        </w:r>
        <w:r w:rsidR="007C6F59">
          <w:rPr>
            <w:noProof/>
            <w:webHidden/>
          </w:rPr>
          <w:fldChar w:fldCharType="end"/>
        </w:r>
      </w:hyperlink>
    </w:p>
    <w:p w14:paraId="21502244" w14:textId="412A4A8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07" w:history="1">
        <w:r w:rsidR="007C6F59" w:rsidRPr="007B6B46">
          <w:rPr>
            <w:rStyle w:val="Hyperlink"/>
            <w:noProof/>
          </w:rPr>
          <w:t>Figure 85. PCA plot of PC1 and PC3 components at opening saddle position</w:t>
        </w:r>
        <w:r w:rsidR="007C6F59">
          <w:rPr>
            <w:noProof/>
            <w:webHidden/>
          </w:rPr>
          <w:tab/>
        </w:r>
        <w:r w:rsidR="007C6F59">
          <w:rPr>
            <w:noProof/>
            <w:webHidden/>
          </w:rPr>
          <w:fldChar w:fldCharType="begin"/>
        </w:r>
        <w:r w:rsidR="007C6F59">
          <w:rPr>
            <w:noProof/>
            <w:webHidden/>
          </w:rPr>
          <w:instrText xml:space="preserve"> PAGEREF _Toc101274607 \h </w:instrText>
        </w:r>
        <w:r w:rsidR="007C6F59">
          <w:rPr>
            <w:noProof/>
            <w:webHidden/>
          </w:rPr>
        </w:r>
        <w:r w:rsidR="007C6F59">
          <w:rPr>
            <w:noProof/>
            <w:webHidden/>
          </w:rPr>
          <w:fldChar w:fldCharType="separate"/>
        </w:r>
        <w:r w:rsidR="00587AF0">
          <w:rPr>
            <w:noProof/>
            <w:webHidden/>
          </w:rPr>
          <w:t>91</w:t>
        </w:r>
        <w:r w:rsidR="007C6F59">
          <w:rPr>
            <w:noProof/>
            <w:webHidden/>
          </w:rPr>
          <w:fldChar w:fldCharType="end"/>
        </w:r>
      </w:hyperlink>
    </w:p>
    <w:p w14:paraId="1A3F42B7" w14:textId="4C8FA222"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08" w:history="1">
        <w:r w:rsidR="007C6F59" w:rsidRPr="007B6B46">
          <w:rPr>
            <w:rStyle w:val="Hyperlink"/>
            <w:noProof/>
          </w:rPr>
          <w:t>Figure 86. PCA 3D plot at opening saddle position</w:t>
        </w:r>
        <w:r w:rsidR="007C6F59">
          <w:rPr>
            <w:noProof/>
            <w:webHidden/>
          </w:rPr>
          <w:tab/>
        </w:r>
        <w:r w:rsidR="007C6F59">
          <w:rPr>
            <w:noProof/>
            <w:webHidden/>
          </w:rPr>
          <w:fldChar w:fldCharType="begin"/>
        </w:r>
        <w:r w:rsidR="007C6F59">
          <w:rPr>
            <w:noProof/>
            <w:webHidden/>
          </w:rPr>
          <w:instrText xml:space="preserve"> PAGEREF _Toc101274608 \h </w:instrText>
        </w:r>
        <w:r w:rsidR="007C6F59">
          <w:rPr>
            <w:noProof/>
            <w:webHidden/>
          </w:rPr>
        </w:r>
        <w:r w:rsidR="007C6F59">
          <w:rPr>
            <w:noProof/>
            <w:webHidden/>
          </w:rPr>
          <w:fldChar w:fldCharType="separate"/>
        </w:r>
        <w:r w:rsidR="00587AF0">
          <w:rPr>
            <w:noProof/>
            <w:webHidden/>
          </w:rPr>
          <w:t>92</w:t>
        </w:r>
        <w:r w:rsidR="007C6F59">
          <w:rPr>
            <w:noProof/>
            <w:webHidden/>
          </w:rPr>
          <w:fldChar w:fldCharType="end"/>
        </w:r>
      </w:hyperlink>
    </w:p>
    <w:p w14:paraId="07EF2490" w14:textId="235D7D83"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09" w:history="1">
        <w:r w:rsidR="007C6F59" w:rsidRPr="007B6B46">
          <w:rPr>
            <w:rStyle w:val="Hyperlink"/>
            <w:noProof/>
          </w:rPr>
          <w:t>Figure 87. PCA 3D loadings plot at opening saddle position</w:t>
        </w:r>
        <w:r w:rsidR="007C6F59">
          <w:rPr>
            <w:noProof/>
            <w:webHidden/>
          </w:rPr>
          <w:tab/>
        </w:r>
        <w:r w:rsidR="007C6F59">
          <w:rPr>
            <w:noProof/>
            <w:webHidden/>
          </w:rPr>
          <w:fldChar w:fldCharType="begin"/>
        </w:r>
        <w:r w:rsidR="007C6F59">
          <w:rPr>
            <w:noProof/>
            <w:webHidden/>
          </w:rPr>
          <w:instrText xml:space="preserve"> PAGEREF _Toc101274609 \h </w:instrText>
        </w:r>
        <w:r w:rsidR="007C6F59">
          <w:rPr>
            <w:noProof/>
            <w:webHidden/>
          </w:rPr>
        </w:r>
        <w:r w:rsidR="007C6F59">
          <w:rPr>
            <w:noProof/>
            <w:webHidden/>
          </w:rPr>
          <w:fldChar w:fldCharType="separate"/>
        </w:r>
        <w:r w:rsidR="00587AF0">
          <w:rPr>
            <w:noProof/>
            <w:webHidden/>
          </w:rPr>
          <w:t>92</w:t>
        </w:r>
        <w:r w:rsidR="007C6F59">
          <w:rPr>
            <w:noProof/>
            <w:webHidden/>
          </w:rPr>
          <w:fldChar w:fldCharType="end"/>
        </w:r>
      </w:hyperlink>
    </w:p>
    <w:p w14:paraId="7C5A5B5F" w14:textId="53AE4F36"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10" w:history="1">
        <w:r w:rsidR="007C6F59" w:rsidRPr="007B6B46">
          <w:rPr>
            <w:rStyle w:val="Hyperlink"/>
            <w:noProof/>
          </w:rPr>
          <w:t>Figure 88. PCA overall plot of hydraulic power data at idle saddle position</w:t>
        </w:r>
        <w:r w:rsidR="007C6F59">
          <w:rPr>
            <w:noProof/>
            <w:webHidden/>
          </w:rPr>
          <w:tab/>
        </w:r>
        <w:r w:rsidR="007C6F59">
          <w:rPr>
            <w:noProof/>
            <w:webHidden/>
          </w:rPr>
          <w:fldChar w:fldCharType="begin"/>
        </w:r>
        <w:r w:rsidR="007C6F59">
          <w:rPr>
            <w:noProof/>
            <w:webHidden/>
          </w:rPr>
          <w:instrText xml:space="preserve"> PAGEREF _Toc101274610 \h </w:instrText>
        </w:r>
        <w:r w:rsidR="007C6F59">
          <w:rPr>
            <w:noProof/>
            <w:webHidden/>
          </w:rPr>
        </w:r>
        <w:r w:rsidR="007C6F59">
          <w:rPr>
            <w:noProof/>
            <w:webHidden/>
          </w:rPr>
          <w:fldChar w:fldCharType="separate"/>
        </w:r>
        <w:r w:rsidR="00587AF0">
          <w:rPr>
            <w:noProof/>
            <w:webHidden/>
          </w:rPr>
          <w:t>93</w:t>
        </w:r>
        <w:r w:rsidR="007C6F59">
          <w:rPr>
            <w:noProof/>
            <w:webHidden/>
          </w:rPr>
          <w:fldChar w:fldCharType="end"/>
        </w:r>
      </w:hyperlink>
    </w:p>
    <w:p w14:paraId="317056C4" w14:textId="6438BC75"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11" w:history="1">
        <w:r w:rsidR="007C6F59" w:rsidRPr="007B6B46">
          <w:rPr>
            <w:rStyle w:val="Hyperlink"/>
            <w:noProof/>
          </w:rPr>
          <w:t>Figure 89. PCA Biplot of hydraulic power data at idle saddle position</w:t>
        </w:r>
        <w:r w:rsidR="007C6F59">
          <w:rPr>
            <w:noProof/>
            <w:webHidden/>
          </w:rPr>
          <w:tab/>
        </w:r>
        <w:r w:rsidR="007C6F59">
          <w:rPr>
            <w:noProof/>
            <w:webHidden/>
          </w:rPr>
          <w:fldChar w:fldCharType="begin"/>
        </w:r>
        <w:r w:rsidR="007C6F59">
          <w:rPr>
            <w:noProof/>
            <w:webHidden/>
          </w:rPr>
          <w:instrText xml:space="preserve"> PAGEREF _Toc101274611 \h </w:instrText>
        </w:r>
        <w:r w:rsidR="007C6F59">
          <w:rPr>
            <w:noProof/>
            <w:webHidden/>
          </w:rPr>
        </w:r>
        <w:r w:rsidR="007C6F59">
          <w:rPr>
            <w:noProof/>
            <w:webHidden/>
          </w:rPr>
          <w:fldChar w:fldCharType="separate"/>
        </w:r>
        <w:r w:rsidR="00587AF0">
          <w:rPr>
            <w:noProof/>
            <w:webHidden/>
          </w:rPr>
          <w:t>94</w:t>
        </w:r>
        <w:r w:rsidR="007C6F59">
          <w:rPr>
            <w:noProof/>
            <w:webHidden/>
          </w:rPr>
          <w:fldChar w:fldCharType="end"/>
        </w:r>
      </w:hyperlink>
    </w:p>
    <w:p w14:paraId="3DBD7A31" w14:textId="5096C5AA"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12" w:history="1">
        <w:r w:rsidR="007C6F59" w:rsidRPr="007B6B46">
          <w:rPr>
            <w:rStyle w:val="Hyperlink"/>
            <w:noProof/>
          </w:rPr>
          <w:t>Figure 90. PCA plot of first two PCs of hydraulic power data at idle saddle position</w:t>
        </w:r>
        <w:r w:rsidR="007C6F59">
          <w:rPr>
            <w:noProof/>
            <w:webHidden/>
          </w:rPr>
          <w:tab/>
        </w:r>
        <w:r w:rsidR="007C6F59">
          <w:rPr>
            <w:noProof/>
            <w:webHidden/>
          </w:rPr>
          <w:fldChar w:fldCharType="begin"/>
        </w:r>
        <w:r w:rsidR="007C6F59">
          <w:rPr>
            <w:noProof/>
            <w:webHidden/>
          </w:rPr>
          <w:instrText xml:space="preserve"> PAGEREF _Toc101274612 \h </w:instrText>
        </w:r>
        <w:r w:rsidR="007C6F59">
          <w:rPr>
            <w:noProof/>
            <w:webHidden/>
          </w:rPr>
        </w:r>
        <w:r w:rsidR="007C6F59">
          <w:rPr>
            <w:noProof/>
            <w:webHidden/>
          </w:rPr>
          <w:fldChar w:fldCharType="separate"/>
        </w:r>
        <w:r w:rsidR="00587AF0">
          <w:rPr>
            <w:noProof/>
            <w:webHidden/>
          </w:rPr>
          <w:t>94</w:t>
        </w:r>
        <w:r w:rsidR="007C6F59">
          <w:rPr>
            <w:noProof/>
            <w:webHidden/>
          </w:rPr>
          <w:fldChar w:fldCharType="end"/>
        </w:r>
      </w:hyperlink>
    </w:p>
    <w:p w14:paraId="29056D3D" w14:textId="3989CF6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13" w:history="1">
        <w:r w:rsidR="007C6F59" w:rsidRPr="007B6B46">
          <w:rPr>
            <w:rStyle w:val="Hyperlink"/>
            <w:noProof/>
          </w:rPr>
          <w:t>Figure 91. 3D plot of hydraulic power data at idle saddle position</w:t>
        </w:r>
        <w:r w:rsidR="007C6F59">
          <w:rPr>
            <w:noProof/>
            <w:webHidden/>
          </w:rPr>
          <w:tab/>
        </w:r>
        <w:r w:rsidR="007C6F59">
          <w:rPr>
            <w:noProof/>
            <w:webHidden/>
          </w:rPr>
          <w:fldChar w:fldCharType="begin"/>
        </w:r>
        <w:r w:rsidR="007C6F59">
          <w:rPr>
            <w:noProof/>
            <w:webHidden/>
          </w:rPr>
          <w:instrText xml:space="preserve"> PAGEREF _Toc101274613 \h </w:instrText>
        </w:r>
        <w:r w:rsidR="007C6F59">
          <w:rPr>
            <w:noProof/>
            <w:webHidden/>
          </w:rPr>
        </w:r>
        <w:r w:rsidR="007C6F59">
          <w:rPr>
            <w:noProof/>
            <w:webHidden/>
          </w:rPr>
          <w:fldChar w:fldCharType="separate"/>
        </w:r>
        <w:r w:rsidR="00587AF0">
          <w:rPr>
            <w:noProof/>
            <w:webHidden/>
          </w:rPr>
          <w:t>95</w:t>
        </w:r>
        <w:r w:rsidR="007C6F59">
          <w:rPr>
            <w:noProof/>
            <w:webHidden/>
          </w:rPr>
          <w:fldChar w:fldCharType="end"/>
        </w:r>
      </w:hyperlink>
    </w:p>
    <w:p w14:paraId="503C82EB" w14:textId="59A2A0AC"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14" w:history="1">
        <w:r w:rsidR="007C6F59" w:rsidRPr="007B6B46">
          <w:rPr>
            <w:rStyle w:val="Hyperlink"/>
            <w:noProof/>
          </w:rPr>
          <w:t>Figure 92. 3D plot of hydraulic power data loadings at idle saddle position</w:t>
        </w:r>
        <w:r w:rsidR="007C6F59">
          <w:rPr>
            <w:noProof/>
            <w:webHidden/>
          </w:rPr>
          <w:tab/>
        </w:r>
        <w:r w:rsidR="007C6F59">
          <w:rPr>
            <w:noProof/>
            <w:webHidden/>
          </w:rPr>
          <w:fldChar w:fldCharType="begin"/>
        </w:r>
        <w:r w:rsidR="007C6F59">
          <w:rPr>
            <w:noProof/>
            <w:webHidden/>
          </w:rPr>
          <w:instrText xml:space="preserve"> PAGEREF _Toc101274614 \h </w:instrText>
        </w:r>
        <w:r w:rsidR="007C6F59">
          <w:rPr>
            <w:noProof/>
            <w:webHidden/>
          </w:rPr>
        </w:r>
        <w:r w:rsidR="007C6F59">
          <w:rPr>
            <w:noProof/>
            <w:webHidden/>
          </w:rPr>
          <w:fldChar w:fldCharType="separate"/>
        </w:r>
        <w:r w:rsidR="00587AF0">
          <w:rPr>
            <w:noProof/>
            <w:webHidden/>
          </w:rPr>
          <w:t>95</w:t>
        </w:r>
        <w:r w:rsidR="007C6F59">
          <w:rPr>
            <w:noProof/>
            <w:webHidden/>
          </w:rPr>
          <w:fldChar w:fldCharType="end"/>
        </w:r>
      </w:hyperlink>
    </w:p>
    <w:p w14:paraId="3C774F55" w14:textId="04048996"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15" w:history="1">
        <w:r w:rsidR="007C6F59" w:rsidRPr="007B6B46">
          <w:rPr>
            <w:rStyle w:val="Hyperlink"/>
            <w:noProof/>
          </w:rPr>
          <w:t>Figure 93. PCA overall plot of hydraulic power data at closing saddle position</w:t>
        </w:r>
        <w:r w:rsidR="007C6F59">
          <w:rPr>
            <w:noProof/>
            <w:webHidden/>
          </w:rPr>
          <w:tab/>
        </w:r>
        <w:r w:rsidR="007C6F59">
          <w:rPr>
            <w:noProof/>
            <w:webHidden/>
          </w:rPr>
          <w:fldChar w:fldCharType="begin"/>
        </w:r>
        <w:r w:rsidR="007C6F59">
          <w:rPr>
            <w:noProof/>
            <w:webHidden/>
          </w:rPr>
          <w:instrText xml:space="preserve"> PAGEREF _Toc101274615 \h </w:instrText>
        </w:r>
        <w:r w:rsidR="007C6F59">
          <w:rPr>
            <w:noProof/>
            <w:webHidden/>
          </w:rPr>
        </w:r>
        <w:r w:rsidR="007C6F59">
          <w:rPr>
            <w:noProof/>
            <w:webHidden/>
          </w:rPr>
          <w:fldChar w:fldCharType="separate"/>
        </w:r>
        <w:r w:rsidR="00587AF0">
          <w:rPr>
            <w:noProof/>
            <w:webHidden/>
          </w:rPr>
          <w:t>96</w:t>
        </w:r>
        <w:r w:rsidR="007C6F59">
          <w:rPr>
            <w:noProof/>
            <w:webHidden/>
          </w:rPr>
          <w:fldChar w:fldCharType="end"/>
        </w:r>
      </w:hyperlink>
    </w:p>
    <w:p w14:paraId="482B412D" w14:textId="69DA090E"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16" w:history="1">
        <w:r w:rsidR="007C6F59" w:rsidRPr="007B6B46">
          <w:rPr>
            <w:rStyle w:val="Hyperlink"/>
            <w:noProof/>
          </w:rPr>
          <w:t>Figure 94. PCA Biplot of hydraulic power data at closing saddle position</w:t>
        </w:r>
        <w:r w:rsidR="007C6F59">
          <w:rPr>
            <w:noProof/>
            <w:webHidden/>
          </w:rPr>
          <w:tab/>
        </w:r>
        <w:r w:rsidR="007C6F59">
          <w:rPr>
            <w:noProof/>
            <w:webHidden/>
          </w:rPr>
          <w:fldChar w:fldCharType="begin"/>
        </w:r>
        <w:r w:rsidR="007C6F59">
          <w:rPr>
            <w:noProof/>
            <w:webHidden/>
          </w:rPr>
          <w:instrText xml:space="preserve"> PAGEREF _Toc101274616 \h </w:instrText>
        </w:r>
        <w:r w:rsidR="007C6F59">
          <w:rPr>
            <w:noProof/>
            <w:webHidden/>
          </w:rPr>
        </w:r>
        <w:r w:rsidR="007C6F59">
          <w:rPr>
            <w:noProof/>
            <w:webHidden/>
          </w:rPr>
          <w:fldChar w:fldCharType="separate"/>
        </w:r>
        <w:r w:rsidR="00587AF0">
          <w:rPr>
            <w:noProof/>
            <w:webHidden/>
          </w:rPr>
          <w:t>97</w:t>
        </w:r>
        <w:r w:rsidR="007C6F59">
          <w:rPr>
            <w:noProof/>
            <w:webHidden/>
          </w:rPr>
          <w:fldChar w:fldCharType="end"/>
        </w:r>
      </w:hyperlink>
    </w:p>
    <w:p w14:paraId="3E703842" w14:textId="742F4775"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17" w:history="1">
        <w:r w:rsidR="007C6F59" w:rsidRPr="007B6B46">
          <w:rPr>
            <w:rStyle w:val="Hyperlink"/>
            <w:noProof/>
          </w:rPr>
          <w:t>Figure 95. PC1 and PC2 score plot of hydraulic power data at closing saddle position</w:t>
        </w:r>
        <w:r w:rsidR="007C6F59">
          <w:rPr>
            <w:noProof/>
            <w:webHidden/>
          </w:rPr>
          <w:tab/>
        </w:r>
        <w:r w:rsidR="007C6F59">
          <w:rPr>
            <w:noProof/>
            <w:webHidden/>
          </w:rPr>
          <w:fldChar w:fldCharType="begin"/>
        </w:r>
        <w:r w:rsidR="007C6F59">
          <w:rPr>
            <w:noProof/>
            <w:webHidden/>
          </w:rPr>
          <w:instrText xml:space="preserve"> PAGEREF _Toc101274617 \h </w:instrText>
        </w:r>
        <w:r w:rsidR="007C6F59">
          <w:rPr>
            <w:noProof/>
            <w:webHidden/>
          </w:rPr>
        </w:r>
        <w:r w:rsidR="007C6F59">
          <w:rPr>
            <w:noProof/>
            <w:webHidden/>
          </w:rPr>
          <w:fldChar w:fldCharType="separate"/>
        </w:r>
        <w:r w:rsidR="00587AF0">
          <w:rPr>
            <w:noProof/>
            <w:webHidden/>
          </w:rPr>
          <w:t>97</w:t>
        </w:r>
        <w:r w:rsidR="007C6F59">
          <w:rPr>
            <w:noProof/>
            <w:webHidden/>
          </w:rPr>
          <w:fldChar w:fldCharType="end"/>
        </w:r>
      </w:hyperlink>
    </w:p>
    <w:p w14:paraId="722B1ECE" w14:textId="12B4C9A6"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18" w:history="1">
        <w:r w:rsidR="007C6F59" w:rsidRPr="007B6B46">
          <w:rPr>
            <w:rStyle w:val="Hyperlink"/>
            <w:noProof/>
          </w:rPr>
          <w:t>Figure 96. 3D PCA plot of hydraulic power data at closing saddle position</w:t>
        </w:r>
        <w:r w:rsidR="007C6F59">
          <w:rPr>
            <w:noProof/>
            <w:webHidden/>
          </w:rPr>
          <w:tab/>
        </w:r>
        <w:r w:rsidR="007C6F59">
          <w:rPr>
            <w:noProof/>
            <w:webHidden/>
          </w:rPr>
          <w:fldChar w:fldCharType="begin"/>
        </w:r>
        <w:r w:rsidR="007C6F59">
          <w:rPr>
            <w:noProof/>
            <w:webHidden/>
          </w:rPr>
          <w:instrText xml:space="preserve"> PAGEREF _Toc101274618 \h </w:instrText>
        </w:r>
        <w:r w:rsidR="007C6F59">
          <w:rPr>
            <w:noProof/>
            <w:webHidden/>
          </w:rPr>
        </w:r>
        <w:r w:rsidR="007C6F59">
          <w:rPr>
            <w:noProof/>
            <w:webHidden/>
          </w:rPr>
          <w:fldChar w:fldCharType="separate"/>
        </w:r>
        <w:r w:rsidR="00587AF0">
          <w:rPr>
            <w:noProof/>
            <w:webHidden/>
          </w:rPr>
          <w:t>98</w:t>
        </w:r>
        <w:r w:rsidR="007C6F59">
          <w:rPr>
            <w:noProof/>
            <w:webHidden/>
          </w:rPr>
          <w:fldChar w:fldCharType="end"/>
        </w:r>
      </w:hyperlink>
    </w:p>
    <w:p w14:paraId="7B49B513" w14:textId="2AEBA2FA"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19" w:history="1">
        <w:r w:rsidR="007C6F59" w:rsidRPr="007B6B46">
          <w:rPr>
            <w:rStyle w:val="Hyperlink"/>
            <w:noProof/>
          </w:rPr>
          <w:t>Figure 97. 3D PCA plot of hydraulic power data at closing saddle position</w:t>
        </w:r>
        <w:r w:rsidR="007C6F59">
          <w:rPr>
            <w:noProof/>
            <w:webHidden/>
          </w:rPr>
          <w:tab/>
        </w:r>
        <w:r w:rsidR="007C6F59">
          <w:rPr>
            <w:noProof/>
            <w:webHidden/>
          </w:rPr>
          <w:fldChar w:fldCharType="begin"/>
        </w:r>
        <w:r w:rsidR="007C6F59">
          <w:rPr>
            <w:noProof/>
            <w:webHidden/>
          </w:rPr>
          <w:instrText xml:space="preserve"> PAGEREF _Toc101274619 \h </w:instrText>
        </w:r>
        <w:r w:rsidR="007C6F59">
          <w:rPr>
            <w:noProof/>
            <w:webHidden/>
          </w:rPr>
        </w:r>
        <w:r w:rsidR="007C6F59">
          <w:rPr>
            <w:noProof/>
            <w:webHidden/>
          </w:rPr>
          <w:fldChar w:fldCharType="separate"/>
        </w:r>
        <w:r w:rsidR="00587AF0">
          <w:rPr>
            <w:noProof/>
            <w:webHidden/>
          </w:rPr>
          <w:t>98</w:t>
        </w:r>
        <w:r w:rsidR="007C6F59">
          <w:rPr>
            <w:noProof/>
            <w:webHidden/>
          </w:rPr>
          <w:fldChar w:fldCharType="end"/>
        </w:r>
      </w:hyperlink>
    </w:p>
    <w:p w14:paraId="55B49E00" w14:textId="792EE67D"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20" w:history="1">
        <w:r w:rsidR="007C6F59" w:rsidRPr="007B6B46">
          <w:rPr>
            <w:rStyle w:val="Hyperlink"/>
            <w:noProof/>
          </w:rPr>
          <w:t>Figure 98. Gaussian Naïve Bayes (GNB) classifier graphical interpretation [130]</w:t>
        </w:r>
        <w:r w:rsidR="007C6F59">
          <w:rPr>
            <w:noProof/>
            <w:webHidden/>
          </w:rPr>
          <w:tab/>
        </w:r>
        <w:r w:rsidR="007C6F59">
          <w:rPr>
            <w:noProof/>
            <w:webHidden/>
          </w:rPr>
          <w:fldChar w:fldCharType="begin"/>
        </w:r>
        <w:r w:rsidR="007C6F59">
          <w:rPr>
            <w:noProof/>
            <w:webHidden/>
          </w:rPr>
          <w:instrText xml:space="preserve"> PAGEREF _Toc101274620 \h </w:instrText>
        </w:r>
        <w:r w:rsidR="007C6F59">
          <w:rPr>
            <w:noProof/>
            <w:webHidden/>
          </w:rPr>
        </w:r>
        <w:r w:rsidR="007C6F59">
          <w:rPr>
            <w:noProof/>
            <w:webHidden/>
          </w:rPr>
          <w:fldChar w:fldCharType="separate"/>
        </w:r>
        <w:r w:rsidR="00587AF0">
          <w:rPr>
            <w:noProof/>
            <w:webHidden/>
          </w:rPr>
          <w:t>101</w:t>
        </w:r>
        <w:r w:rsidR="007C6F59">
          <w:rPr>
            <w:noProof/>
            <w:webHidden/>
          </w:rPr>
          <w:fldChar w:fldCharType="end"/>
        </w:r>
      </w:hyperlink>
    </w:p>
    <w:p w14:paraId="0D1E48D5" w14:textId="0B94F7C8"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21" w:history="1">
        <w:r w:rsidR="007C6F59" w:rsidRPr="007B6B46">
          <w:rPr>
            <w:rStyle w:val="Hyperlink"/>
            <w:noProof/>
          </w:rPr>
          <w:t>Figure 99. Histogram of opening saddle data given labels and descriptive statistics</w:t>
        </w:r>
        <w:r w:rsidR="007C6F59">
          <w:rPr>
            <w:noProof/>
            <w:webHidden/>
          </w:rPr>
          <w:tab/>
        </w:r>
        <w:r w:rsidR="007C6F59">
          <w:rPr>
            <w:noProof/>
            <w:webHidden/>
          </w:rPr>
          <w:fldChar w:fldCharType="begin"/>
        </w:r>
        <w:r w:rsidR="007C6F59">
          <w:rPr>
            <w:noProof/>
            <w:webHidden/>
          </w:rPr>
          <w:instrText xml:space="preserve"> PAGEREF _Toc101274621 \h </w:instrText>
        </w:r>
        <w:r w:rsidR="007C6F59">
          <w:rPr>
            <w:noProof/>
            <w:webHidden/>
          </w:rPr>
        </w:r>
        <w:r w:rsidR="007C6F59">
          <w:rPr>
            <w:noProof/>
            <w:webHidden/>
          </w:rPr>
          <w:fldChar w:fldCharType="separate"/>
        </w:r>
        <w:r w:rsidR="00587AF0">
          <w:rPr>
            <w:noProof/>
            <w:webHidden/>
          </w:rPr>
          <w:t>102</w:t>
        </w:r>
        <w:r w:rsidR="007C6F59">
          <w:rPr>
            <w:noProof/>
            <w:webHidden/>
          </w:rPr>
          <w:fldChar w:fldCharType="end"/>
        </w:r>
      </w:hyperlink>
    </w:p>
    <w:p w14:paraId="5DDCDD42" w14:textId="2C28E0FB"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22" w:history="1">
        <w:r w:rsidR="007C6F59" w:rsidRPr="007B6B46">
          <w:rPr>
            <w:rStyle w:val="Hyperlink"/>
            <w:noProof/>
          </w:rPr>
          <w:t>Figure 100. Histograms of training data predictors at opening saddle regime</w:t>
        </w:r>
        <w:r w:rsidR="007C6F59">
          <w:rPr>
            <w:noProof/>
            <w:webHidden/>
          </w:rPr>
          <w:tab/>
        </w:r>
        <w:r w:rsidR="007C6F59">
          <w:rPr>
            <w:noProof/>
            <w:webHidden/>
          </w:rPr>
          <w:fldChar w:fldCharType="begin"/>
        </w:r>
        <w:r w:rsidR="007C6F59">
          <w:rPr>
            <w:noProof/>
            <w:webHidden/>
          </w:rPr>
          <w:instrText xml:space="preserve"> PAGEREF _Toc101274622 \h </w:instrText>
        </w:r>
        <w:r w:rsidR="007C6F59">
          <w:rPr>
            <w:noProof/>
            <w:webHidden/>
          </w:rPr>
        </w:r>
        <w:r w:rsidR="007C6F59">
          <w:rPr>
            <w:noProof/>
            <w:webHidden/>
          </w:rPr>
          <w:fldChar w:fldCharType="separate"/>
        </w:r>
        <w:r w:rsidR="00587AF0">
          <w:rPr>
            <w:noProof/>
            <w:webHidden/>
          </w:rPr>
          <w:t>104</w:t>
        </w:r>
        <w:r w:rsidR="007C6F59">
          <w:rPr>
            <w:noProof/>
            <w:webHidden/>
          </w:rPr>
          <w:fldChar w:fldCharType="end"/>
        </w:r>
      </w:hyperlink>
    </w:p>
    <w:p w14:paraId="7D210A8F" w14:textId="6FB93E9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23" w:history="1">
        <w:r w:rsidR="007C6F59" w:rsidRPr="007B6B46">
          <w:rPr>
            <w:rStyle w:val="Hyperlink"/>
            <w:noProof/>
          </w:rPr>
          <w:t>Figure 101. Histograms of testing data predictors at opening saddle regime</w:t>
        </w:r>
        <w:r w:rsidR="007C6F59">
          <w:rPr>
            <w:noProof/>
            <w:webHidden/>
          </w:rPr>
          <w:tab/>
        </w:r>
        <w:r w:rsidR="007C6F59">
          <w:rPr>
            <w:noProof/>
            <w:webHidden/>
          </w:rPr>
          <w:fldChar w:fldCharType="begin"/>
        </w:r>
        <w:r w:rsidR="007C6F59">
          <w:rPr>
            <w:noProof/>
            <w:webHidden/>
          </w:rPr>
          <w:instrText xml:space="preserve"> PAGEREF _Toc101274623 \h </w:instrText>
        </w:r>
        <w:r w:rsidR="007C6F59">
          <w:rPr>
            <w:noProof/>
            <w:webHidden/>
          </w:rPr>
        </w:r>
        <w:r w:rsidR="007C6F59">
          <w:rPr>
            <w:noProof/>
            <w:webHidden/>
          </w:rPr>
          <w:fldChar w:fldCharType="separate"/>
        </w:r>
        <w:r w:rsidR="00587AF0">
          <w:rPr>
            <w:noProof/>
            <w:webHidden/>
          </w:rPr>
          <w:t>106</w:t>
        </w:r>
        <w:r w:rsidR="007C6F59">
          <w:rPr>
            <w:noProof/>
            <w:webHidden/>
          </w:rPr>
          <w:fldChar w:fldCharType="end"/>
        </w:r>
      </w:hyperlink>
    </w:p>
    <w:p w14:paraId="779F0B21" w14:textId="51D53A42"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24" w:history="1">
        <w:r w:rsidR="007C6F59" w:rsidRPr="007B6B46">
          <w:rPr>
            <w:rStyle w:val="Hyperlink"/>
            <w:noProof/>
          </w:rPr>
          <w:t>Figure 102. Artificial Neural Network conceptual explanation for binary classification model</w:t>
        </w:r>
        <w:r w:rsidR="007C6F59">
          <w:rPr>
            <w:noProof/>
            <w:webHidden/>
          </w:rPr>
          <w:tab/>
        </w:r>
        <w:r w:rsidR="007C6F59">
          <w:rPr>
            <w:noProof/>
            <w:webHidden/>
          </w:rPr>
          <w:fldChar w:fldCharType="begin"/>
        </w:r>
        <w:r w:rsidR="007C6F59">
          <w:rPr>
            <w:noProof/>
            <w:webHidden/>
          </w:rPr>
          <w:instrText xml:space="preserve"> PAGEREF _Toc101274624 \h </w:instrText>
        </w:r>
        <w:r w:rsidR="007C6F59">
          <w:rPr>
            <w:noProof/>
            <w:webHidden/>
          </w:rPr>
        </w:r>
        <w:r w:rsidR="007C6F59">
          <w:rPr>
            <w:noProof/>
            <w:webHidden/>
          </w:rPr>
          <w:fldChar w:fldCharType="separate"/>
        </w:r>
        <w:r w:rsidR="00587AF0">
          <w:rPr>
            <w:noProof/>
            <w:webHidden/>
          </w:rPr>
          <w:t>107</w:t>
        </w:r>
        <w:r w:rsidR="007C6F59">
          <w:rPr>
            <w:noProof/>
            <w:webHidden/>
          </w:rPr>
          <w:fldChar w:fldCharType="end"/>
        </w:r>
      </w:hyperlink>
    </w:p>
    <w:p w14:paraId="2B7AE282" w14:textId="43D08113"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25" w:history="1">
        <w:r w:rsidR="007C6F59" w:rsidRPr="007B6B46">
          <w:rPr>
            <w:rStyle w:val="Hyperlink"/>
            <w:noProof/>
          </w:rPr>
          <w:t>Figure 103. Multilayer perceptron artificial neural network of opening saddle with synaptic weights &gt; 0 (blue lines) and synoptic weight &lt; 0 (grey lines) with sigmoid activation function for hidden layer and sigmoid activation function for the output layer</w:t>
        </w:r>
        <w:r w:rsidR="007C6F59">
          <w:rPr>
            <w:noProof/>
            <w:webHidden/>
          </w:rPr>
          <w:tab/>
        </w:r>
        <w:r w:rsidR="007C6F59">
          <w:rPr>
            <w:noProof/>
            <w:webHidden/>
          </w:rPr>
          <w:fldChar w:fldCharType="begin"/>
        </w:r>
        <w:r w:rsidR="007C6F59">
          <w:rPr>
            <w:noProof/>
            <w:webHidden/>
          </w:rPr>
          <w:instrText xml:space="preserve"> PAGEREF _Toc101274625 \h </w:instrText>
        </w:r>
        <w:r w:rsidR="007C6F59">
          <w:rPr>
            <w:noProof/>
            <w:webHidden/>
          </w:rPr>
        </w:r>
        <w:r w:rsidR="007C6F59">
          <w:rPr>
            <w:noProof/>
            <w:webHidden/>
          </w:rPr>
          <w:fldChar w:fldCharType="separate"/>
        </w:r>
        <w:r w:rsidR="00587AF0">
          <w:rPr>
            <w:noProof/>
            <w:webHidden/>
          </w:rPr>
          <w:t>110</w:t>
        </w:r>
        <w:r w:rsidR="007C6F59">
          <w:rPr>
            <w:noProof/>
            <w:webHidden/>
          </w:rPr>
          <w:fldChar w:fldCharType="end"/>
        </w:r>
      </w:hyperlink>
    </w:p>
    <w:p w14:paraId="24504FE6" w14:textId="2F751221"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26" w:history="1">
        <w:r w:rsidR="007C6F59" w:rsidRPr="007B6B46">
          <w:rPr>
            <w:rStyle w:val="Hyperlink"/>
            <w:noProof/>
          </w:rPr>
          <w:t>Figure 104. Multilayer perceptron artificial neural network of the idle saddle with synaptic weights &gt; 0 (blue lines) and synoptic weight &lt; 0 (grey lines) with sigmoid activation function for hidden layers and sigmoid activation function for the output layer</w:t>
        </w:r>
        <w:r w:rsidR="007C6F59">
          <w:rPr>
            <w:noProof/>
            <w:webHidden/>
          </w:rPr>
          <w:tab/>
        </w:r>
        <w:r w:rsidR="007C6F59">
          <w:rPr>
            <w:noProof/>
            <w:webHidden/>
          </w:rPr>
          <w:fldChar w:fldCharType="begin"/>
        </w:r>
        <w:r w:rsidR="007C6F59">
          <w:rPr>
            <w:noProof/>
            <w:webHidden/>
          </w:rPr>
          <w:instrText xml:space="preserve"> PAGEREF _Toc101274626 \h </w:instrText>
        </w:r>
        <w:r w:rsidR="007C6F59">
          <w:rPr>
            <w:noProof/>
            <w:webHidden/>
          </w:rPr>
        </w:r>
        <w:r w:rsidR="007C6F59">
          <w:rPr>
            <w:noProof/>
            <w:webHidden/>
          </w:rPr>
          <w:fldChar w:fldCharType="separate"/>
        </w:r>
        <w:r w:rsidR="00587AF0">
          <w:rPr>
            <w:noProof/>
            <w:webHidden/>
          </w:rPr>
          <w:t>113</w:t>
        </w:r>
        <w:r w:rsidR="007C6F59">
          <w:rPr>
            <w:noProof/>
            <w:webHidden/>
          </w:rPr>
          <w:fldChar w:fldCharType="end"/>
        </w:r>
      </w:hyperlink>
    </w:p>
    <w:p w14:paraId="3815E6A6" w14:textId="33C0FA46"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27" w:history="1">
        <w:r w:rsidR="007C6F59" w:rsidRPr="007B6B46">
          <w:rPr>
            <w:rStyle w:val="Hyperlink"/>
            <w:noProof/>
          </w:rPr>
          <w:t>Figure 105. Multilayer perception artificial neural network of the closing saddle with synaptic weights &gt; 0 (blue lines) and synoptic weight &lt; 0 (grey lines) with sigmoid activation functions for hidden and output layers using features for the closing saddle regime</w:t>
        </w:r>
        <w:r w:rsidR="007C6F59">
          <w:rPr>
            <w:noProof/>
            <w:webHidden/>
          </w:rPr>
          <w:tab/>
        </w:r>
        <w:r w:rsidR="007C6F59">
          <w:rPr>
            <w:noProof/>
            <w:webHidden/>
          </w:rPr>
          <w:fldChar w:fldCharType="begin"/>
        </w:r>
        <w:r w:rsidR="007C6F59">
          <w:rPr>
            <w:noProof/>
            <w:webHidden/>
          </w:rPr>
          <w:instrText xml:space="preserve"> PAGEREF _Toc101274627 \h </w:instrText>
        </w:r>
        <w:r w:rsidR="007C6F59">
          <w:rPr>
            <w:noProof/>
            <w:webHidden/>
          </w:rPr>
        </w:r>
        <w:r w:rsidR="007C6F59">
          <w:rPr>
            <w:noProof/>
            <w:webHidden/>
          </w:rPr>
          <w:fldChar w:fldCharType="separate"/>
        </w:r>
        <w:r w:rsidR="00587AF0">
          <w:rPr>
            <w:noProof/>
            <w:webHidden/>
          </w:rPr>
          <w:t>116</w:t>
        </w:r>
        <w:r w:rsidR="007C6F59">
          <w:rPr>
            <w:noProof/>
            <w:webHidden/>
          </w:rPr>
          <w:fldChar w:fldCharType="end"/>
        </w:r>
      </w:hyperlink>
    </w:p>
    <w:p w14:paraId="3B3E3BB5" w14:textId="0B5B44B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28" w:history="1">
        <w:r w:rsidR="007C6F59" w:rsidRPr="007B6B46">
          <w:rPr>
            <w:rStyle w:val="Hyperlink"/>
            <w:noProof/>
          </w:rPr>
          <w:t>Figure 106. Graphical representation of decision tree algorithm</w:t>
        </w:r>
        <w:r w:rsidR="007C6F59">
          <w:rPr>
            <w:noProof/>
            <w:webHidden/>
          </w:rPr>
          <w:tab/>
        </w:r>
        <w:r w:rsidR="007C6F59">
          <w:rPr>
            <w:noProof/>
            <w:webHidden/>
          </w:rPr>
          <w:fldChar w:fldCharType="begin"/>
        </w:r>
        <w:r w:rsidR="007C6F59">
          <w:rPr>
            <w:noProof/>
            <w:webHidden/>
          </w:rPr>
          <w:instrText xml:space="preserve"> PAGEREF _Toc101274628 \h </w:instrText>
        </w:r>
        <w:r w:rsidR="007C6F59">
          <w:rPr>
            <w:noProof/>
            <w:webHidden/>
          </w:rPr>
        </w:r>
        <w:r w:rsidR="007C6F59">
          <w:rPr>
            <w:noProof/>
            <w:webHidden/>
          </w:rPr>
          <w:fldChar w:fldCharType="separate"/>
        </w:r>
        <w:r w:rsidR="00587AF0">
          <w:rPr>
            <w:noProof/>
            <w:webHidden/>
          </w:rPr>
          <w:t>118</w:t>
        </w:r>
        <w:r w:rsidR="007C6F59">
          <w:rPr>
            <w:noProof/>
            <w:webHidden/>
          </w:rPr>
          <w:fldChar w:fldCharType="end"/>
        </w:r>
      </w:hyperlink>
    </w:p>
    <w:p w14:paraId="5D855A94" w14:textId="4FAEE024"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29" w:history="1">
        <w:r w:rsidR="007C6F59" w:rsidRPr="007B6B46">
          <w:rPr>
            <w:rStyle w:val="Hyperlink"/>
            <w:noProof/>
          </w:rPr>
          <w:t>Figure 107. Selection of a node based on minimum entropy</w:t>
        </w:r>
        <w:r w:rsidR="007C6F59">
          <w:rPr>
            <w:noProof/>
            <w:webHidden/>
          </w:rPr>
          <w:tab/>
        </w:r>
        <w:r w:rsidR="007C6F59">
          <w:rPr>
            <w:noProof/>
            <w:webHidden/>
          </w:rPr>
          <w:fldChar w:fldCharType="begin"/>
        </w:r>
        <w:r w:rsidR="007C6F59">
          <w:rPr>
            <w:noProof/>
            <w:webHidden/>
          </w:rPr>
          <w:instrText xml:space="preserve"> PAGEREF _Toc101274629 \h </w:instrText>
        </w:r>
        <w:r w:rsidR="007C6F59">
          <w:rPr>
            <w:noProof/>
            <w:webHidden/>
          </w:rPr>
        </w:r>
        <w:r w:rsidR="007C6F59">
          <w:rPr>
            <w:noProof/>
            <w:webHidden/>
          </w:rPr>
          <w:fldChar w:fldCharType="separate"/>
        </w:r>
        <w:r w:rsidR="00587AF0">
          <w:rPr>
            <w:noProof/>
            <w:webHidden/>
          </w:rPr>
          <w:t>119</w:t>
        </w:r>
        <w:r w:rsidR="007C6F59">
          <w:rPr>
            <w:noProof/>
            <w:webHidden/>
          </w:rPr>
          <w:fldChar w:fldCharType="end"/>
        </w:r>
      </w:hyperlink>
    </w:p>
    <w:p w14:paraId="5FF0D913" w14:textId="72E32155"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30" w:history="1">
        <w:r w:rsidR="007C6F59" w:rsidRPr="007B6B46">
          <w:rPr>
            <w:rStyle w:val="Hyperlink"/>
            <w:noProof/>
          </w:rPr>
          <w:t>Figure 108. Decision tree of training sample at opening saddle position</w:t>
        </w:r>
        <w:r w:rsidR="007C6F59">
          <w:rPr>
            <w:noProof/>
            <w:webHidden/>
          </w:rPr>
          <w:tab/>
        </w:r>
        <w:r w:rsidR="007C6F59">
          <w:rPr>
            <w:noProof/>
            <w:webHidden/>
          </w:rPr>
          <w:fldChar w:fldCharType="begin"/>
        </w:r>
        <w:r w:rsidR="007C6F59">
          <w:rPr>
            <w:noProof/>
            <w:webHidden/>
          </w:rPr>
          <w:instrText xml:space="preserve"> PAGEREF _Toc101274630 \h </w:instrText>
        </w:r>
        <w:r w:rsidR="007C6F59">
          <w:rPr>
            <w:noProof/>
            <w:webHidden/>
          </w:rPr>
        </w:r>
        <w:r w:rsidR="007C6F59">
          <w:rPr>
            <w:noProof/>
            <w:webHidden/>
          </w:rPr>
          <w:fldChar w:fldCharType="separate"/>
        </w:r>
        <w:r w:rsidR="00587AF0">
          <w:rPr>
            <w:noProof/>
            <w:webHidden/>
          </w:rPr>
          <w:t>121</w:t>
        </w:r>
        <w:r w:rsidR="007C6F59">
          <w:rPr>
            <w:noProof/>
            <w:webHidden/>
          </w:rPr>
          <w:fldChar w:fldCharType="end"/>
        </w:r>
      </w:hyperlink>
    </w:p>
    <w:p w14:paraId="35C48AAA" w14:textId="45DF3AB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31" w:history="1">
        <w:r w:rsidR="007C6F59" w:rsidRPr="007B6B46">
          <w:rPr>
            <w:rStyle w:val="Hyperlink"/>
            <w:noProof/>
          </w:rPr>
          <w:t>Figure 109. CART tree for idle saddle position</w:t>
        </w:r>
        <w:r w:rsidR="007C6F59">
          <w:rPr>
            <w:noProof/>
            <w:webHidden/>
          </w:rPr>
          <w:tab/>
        </w:r>
        <w:r w:rsidR="007C6F59">
          <w:rPr>
            <w:noProof/>
            <w:webHidden/>
          </w:rPr>
          <w:fldChar w:fldCharType="begin"/>
        </w:r>
        <w:r w:rsidR="007C6F59">
          <w:rPr>
            <w:noProof/>
            <w:webHidden/>
          </w:rPr>
          <w:instrText xml:space="preserve"> PAGEREF _Toc101274631 \h </w:instrText>
        </w:r>
        <w:r w:rsidR="007C6F59">
          <w:rPr>
            <w:noProof/>
            <w:webHidden/>
          </w:rPr>
        </w:r>
        <w:r w:rsidR="007C6F59">
          <w:rPr>
            <w:noProof/>
            <w:webHidden/>
          </w:rPr>
          <w:fldChar w:fldCharType="separate"/>
        </w:r>
        <w:r w:rsidR="00587AF0">
          <w:rPr>
            <w:noProof/>
            <w:webHidden/>
          </w:rPr>
          <w:t>124</w:t>
        </w:r>
        <w:r w:rsidR="007C6F59">
          <w:rPr>
            <w:noProof/>
            <w:webHidden/>
          </w:rPr>
          <w:fldChar w:fldCharType="end"/>
        </w:r>
      </w:hyperlink>
    </w:p>
    <w:p w14:paraId="500870A7" w14:textId="390B5915"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32" w:history="1">
        <w:r w:rsidR="007C6F59" w:rsidRPr="007B6B46">
          <w:rPr>
            <w:rStyle w:val="Hyperlink"/>
            <w:noProof/>
          </w:rPr>
          <w:t>Figure 110. CART Tree for closing saddle position</w:t>
        </w:r>
        <w:r w:rsidR="007C6F59">
          <w:rPr>
            <w:noProof/>
            <w:webHidden/>
          </w:rPr>
          <w:tab/>
        </w:r>
        <w:r w:rsidR="007C6F59">
          <w:rPr>
            <w:noProof/>
            <w:webHidden/>
          </w:rPr>
          <w:fldChar w:fldCharType="begin"/>
        </w:r>
        <w:r w:rsidR="007C6F59">
          <w:rPr>
            <w:noProof/>
            <w:webHidden/>
          </w:rPr>
          <w:instrText xml:space="preserve"> PAGEREF _Toc101274632 \h </w:instrText>
        </w:r>
        <w:r w:rsidR="007C6F59">
          <w:rPr>
            <w:noProof/>
            <w:webHidden/>
          </w:rPr>
        </w:r>
        <w:r w:rsidR="007C6F59">
          <w:rPr>
            <w:noProof/>
            <w:webHidden/>
          </w:rPr>
          <w:fldChar w:fldCharType="separate"/>
        </w:r>
        <w:r w:rsidR="00587AF0">
          <w:rPr>
            <w:noProof/>
            <w:webHidden/>
          </w:rPr>
          <w:t>126</w:t>
        </w:r>
        <w:r w:rsidR="007C6F59">
          <w:rPr>
            <w:noProof/>
            <w:webHidden/>
          </w:rPr>
          <w:fldChar w:fldCharType="end"/>
        </w:r>
      </w:hyperlink>
    </w:p>
    <w:p w14:paraId="6ED688C9" w14:textId="5DB49BD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33" w:history="1">
        <w:r w:rsidR="007C6F59" w:rsidRPr="007B6B46">
          <w:rPr>
            <w:rStyle w:val="Hyperlink"/>
            <w:noProof/>
          </w:rPr>
          <w:t>Figure 111. Logistic regression training data classification at opening saddle position</w:t>
        </w:r>
        <w:r w:rsidR="007C6F59">
          <w:rPr>
            <w:noProof/>
            <w:webHidden/>
          </w:rPr>
          <w:tab/>
        </w:r>
        <w:r w:rsidR="007C6F59">
          <w:rPr>
            <w:noProof/>
            <w:webHidden/>
          </w:rPr>
          <w:fldChar w:fldCharType="begin"/>
        </w:r>
        <w:r w:rsidR="007C6F59">
          <w:rPr>
            <w:noProof/>
            <w:webHidden/>
          </w:rPr>
          <w:instrText xml:space="preserve"> PAGEREF _Toc101274633 \h </w:instrText>
        </w:r>
        <w:r w:rsidR="007C6F59">
          <w:rPr>
            <w:noProof/>
            <w:webHidden/>
          </w:rPr>
        </w:r>
        <w:r w:rsidR="007C6F59">
          <w:rPr>
            <w:noProof/>
            <w:webHidden/>
          </w:rPr>
          <w:fldChar w:fldCharType="separate"/>
        </w:r>
        <w:r w:rsidR="00587AF0">
          <w:rPr>
            <w:noProof/>
            <w:webHidden/>
          </w:rPr>
          <w:t>129</w:t>
        </w:r>
        <w:r w:rsidR="007C6F59">
          <w:rPr>
            <w:noProof/>
            <w:webHidden/>
          </w:rPr>
          <w:fldChar w:fldCharType="end"/>
        </w:r>
      </w:hyperlink>
    </w:p>
    <w:p w14:paraId="374A8A38" w14:textId="12FA8F3D"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34" w:history="1">
        <w:r w:rsidR="007C6F59" w:rsidRPr="007B6B46">
          <w:rPr>
            <w:rStyle w:val="Hyperlink"/>
            <w:noProof/>
          </w:rPr>
          <w:t>Figure 112. Logistic regression testing data classification at idle saddle position</w:t>
        </w:r>
        <w:r w:rsidR="007C6F59">
          <w:rPr>
            <w:noProof/>
            <w:webHidden/>
          </w:rPr>
          <w:tab/>
        </w:r>
        <w:r w:rsidR="007C6F59">
          <w:rPr>
            <w:noProof/>
            <w:webHidden/>
          </w:rPr>
          <w:fldChar w:fldCharType="begin"/>
        </w:r>
        <w:r w:rsidR="007C6F59">
          <w:rPr>
            <w:noProof/>
            <w:webHidden/>
          </w:rPr>
          <w:instrText xml:space="preserve"> PAGEREF _Toc101274634 \h </w:instrText>
        </w:r>
        <w:r w:rsidR="007C6F59">
          <w:rPr>
            <w:noProof/>
            <w:webHidden/>
          </w:rPr>
        </w:r>
        <w:r w:rsidR="007C6F59">
          <w:rPr>
            <w:noProof/>
            <w:webHidden/>
          </w:rPr>
          <w:fldChar w:fldCharType="separate"/>
        </w:r>
        <w:r w:rsidR="00587AF0">
          <w:rPr>
            <w:noProof/>
            <w:webHidden/>
          </w:rPr>
          <w:t>129</w:t>
        </w:r>
        <w:r w:rsidR="007C6F59">
          <w:rPr>
            <w:noProof/>
            <w:webHidden/>
          </w:rPr>
          <w:fldChar w:fldCharType="end"/>
        </w:r>
      </w:hyperlink>
    </w:p>
    <w:p w14:paraId="41A56248" w14:textId="425A2BC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35" w:history="1">
        <w:r w:rsidR="007C6F59" w:rsidRPr="007B6B46">
          <w:rPr>
            <w:rStyle w:val="Hyperlink"/>
            <w:noProof/>
          </w:rPr>
          <w:t>Figure 113. Logistic regression training classification at idle saddle position</w:t>
        </w:r>
        <w:r w:rsidR="007C6F59">
          <w:rPr>
            <w:noProof/>
            <w:webHidden/>
          </w:rPr>
          <w:tab/>
        </w:r>
        <w:r w:rsidR="007C6F59">
          <w:rPr>
            <w:noProof/>
            <w:webHidden/>
          </w:rPr>
          <w:fldChar w:fldCharType="begin"/>
        </w:r>
        <w:r w:rsidR="007C6F59">
          <w:rPr>
            <w:noProof/>
            <w:webHidden/>
          </w:rPr>
          <w:instrText xml:space="preserve"> PAGEREF _Toc101274635 \h </w:instrText>
        </w:r>
        <w:r w:rsidR="007C6F59">
          <w:rPr>
            <w:noProof/>
            <w:webHidden/>
          </w:rPr>
        </w:r>
        <w:r w:rsidR="007C6F59">
          <w:rPr>
            <w:noProof/>
            <w:webHidden/>
          </w:rPr>
          <w:fldChar w:fldCharType="separate"/>
        </w:r>
        <w:r w:rsidR="00587AF0">
          <w:rPr>
            <w:noProof/>
            <w:webHidden/>
          </w:rPr>
          <w:t>131</w:t>
        </w:r>
        <w:r w:rsidR="007C6F59">
          <w:rPr>
            <w:noProof/>
            <w:webHidden/>
          </w:rPr>
          <w:fldChar w:fldCharType="end"/>
        </w:r>
      </w:hyperlink>
    </w:p>
    <w:p w14:paraId="00B83921" w14:textId="667837C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36" w:history="1">
        <w:r w:rsidR="007C6F59" w:rsidRPr="007B6B46">
          <w:rPr>
            <w:rStyle w:val="Hyperlink"/>
            <w:noProof/>
          </w:rPr>
          <w:t>Figure 114. Logistic regression classification score of testing data at closing saddle position</w:t>
        </w:r>
        <w:r w:rsidR="007C6F59">
          <w:rPr>
            <w:noProof/>
            <w:webHidden/>
          </w:rPr>
          <w:tab/>
        </w:r>
        <w:r w:rsidR="007C6F59">
          <w:rPr>
            <w:noProof/>
            <w:webHidden/>
          </w:rPr>
          <w:fldChar w:fldCharType="begin"/>
        </w:r>
        <w:r w:rsidR="007C6F59">
          <w:rPr>
            <w:noProof/>
            <w:webHidden/>
          </w:rPr>
          <w:instrText xml:space="preserve"> PAGEREF _Toc101274636 \h </w:instrText>
        </w:r>
        <w:r w:rsidR="007C6F59">
          <w:rPr>
            <w:noProof/>
            <w:webHidden/>
          </w:rPr>
        </w:r>
        <w:r w:rsidR="007C6F59">
          <w:rPr>
            <w:noProof/>
            <w:webHidden/>
          </w:rPr>
          <w:fldChar w:fldCharType="separate"/>
        </w:r>
        <w:r w:rsidR="00587AF0">
          <w:rPr>
            <w:noProof/>
            <w:webHidden/>
          </w:rPr>
          <w:t>131</w:t>
        </w:r>
        <w:r w:rsidR="007C6F59">
          <w:rPr>
            <w:noProof/>
            <w:webHidden/>
          </w:rPr>
          <w:fldChar w:fldCharType="end"/>
        </w:r>
      </w:hyperlink>
    </w:p>
    <w:p w14:paraId="367459B7" w14:textId="66D44DC4"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37" w:history="1">
        <w:r w:rsidR="007C6F59" w:rsidRPr="007B6B46">
          <w:rPr>
            <w:rStyle w:val="Hyperlink"/>
            <w:noProof/>
          </w:rPr>
          <w:t>Figure 115. Logistic regression classification score of training data at closing saddle position</w:t>
        </w:r>
        <w:r w:rsidR="007C6F59">
          <w:rPr>
            <w:noProof/>
            <w:webHidden/>
          </w:rPr>
          <w:tab/>
        </w:r>
        <w:r w:rsidR="007C6F59">
          <w:rPr>
            <w:noProof/>
            <w:webHidden/>
          </w:rPr>
          <w:fldChar w:fldCharType="begin"/>
        </w:r>
        <w:r w:rsidR="007C6F59">
          <w:rPr>
            <w:noProof/>
            <w:webHidden/>
          </w:rPr>
          <w:instrText xml:space="preserve"> PAGEREF _Toc101274637 \h </w:instrText>
        </w:r>
        <w:r w:rsidR="007C6F59">
          <w:rPr>
            <w:noProof/>
            <w:webHidden/>
          </w:rPr>
        </w:r>
        <w:r w:rsidR="007C6F59">
          <w:rPr>
            <w:noProof/>
            <w:webHidden/>
          </w:rPr>
          <w:fldChar w:fldCharType="separate"/>
        </w:r>
        <w:r w:rsidR="00587AF0">
          <w:rPr>
            <w:noProof/>
            <w:webHidden/>
          </w:rPr>
          <w:t>133</w:t>
        </w:r>
        <w:r w:rsidR="007C6F59">
          <w:rPr>
            <w:noProof/>
            <w:webHidden/>
          </w:rPr>
          <w:fldChar w:fldCharType="end"/>
        </w:r>
      </w:hyperlink>
    </w:p>
    <w:p w14:paraId="28A29A33" w14:textId="2ADD5C3D"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38" w:history="1">
        <w:r w:rsidR="007C6F59" w:rsidRPr="007B6B46">
          <w:rPr>
            <w:rStyle w:val="Hyperlink"/>
            <w:noProof/>
          </w:rPr>
          <w:t>Figure 116. Logistic regression classification score of testing data at closing saddle position</w:t>
        </w:r>
        <w:r w:rsidR="007C6F59">
          <w:rPr>
            <w:noProof/>
            <w:webHidden/>
          </w:rPr>
          <w:tab/>
        </w:r>
        <w:r w:rsidR="007C6F59">
          <w:rPr>
            <w:noProof/>
            <w:webHidden/>
          </w:rPr>
          <w:fldChar w:fldCharType="begin"/>
        </w:r>
        <w:r w:rsidR="007C6F59">
          <w:rPr>
            <w:noProof/>
            <w:webHidden/>
          </w:rPr>
          <w:instrText xml:space="preserve"> PAGEREF _Toc101274638 \h </w:instrText>
        </w:r>
        <w:r w:rsidR="007C6F59">
          <w:rPr>
            <w:noProof/>
            <w:webHidden/>
          </w:rPr>
        </w:r>
        <w:r w:rsidR="007C6F59">
          <w:rPr>
            <w:noProof/>
            <w:webHidden/>
          </w:rPr>
          <w:fldChar w:fldCharType="separate"/>
        </w:r>
        <w:r w:rsidR="00587AF0">
          <w:rPr>
            <w:noProof/>
            <w:webHidden/>
          </w:rPr>
          <w:t>133</w:t>
        </w:r>
        <w:r w:rsidR="007C6F59">
          <w:rPr>
            <w:noProof/>
            <w:webHidden/>
          </w:rPr>
          <w:fldChar w:fldCharType="end"/>
        </w:r>
      </w:hyperlink>
    </w:p>
    <w:p w14:paraId="010257DE" w14:textId="6B74F654"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39" w:history="1">
        <w:r w:rsidR="007C6F59" w:rsidRPr="007B6B46">
          <w:rPr>
            <w:rStyle w:val="Hyperlink"/>
            <w:noProof/>
          </w:rPr>
          <w:t xml:space="preserve">Figure 117. Graphical intepretation of </w:t>
        </w:r>
        <w:r w:rsidR="007C6F59" w:rsidRPr="007B6B46">
          <w:rPr>
            <w:rStyle w:val="Hyperlink"/>
            <w:i/>
            <w:noProof/>
          </w:rPr>
          <w:t>k</w:t>
        </w:r>
        <w:r w:rsidR="007C6F59" w:rsidRPr="007B6B46">
          <w:rPr>
            <w:rStyle w:val="Hyperlink"/>
            <w:noProof/>
          </w:rPr>
          <w:t xml:space="preserve">NN initialisation (left) and </w:t>
        </w:r>
        <w:r w:rsidR="007C6F59" w:rsidRPr="007B6B46">
          <w:rPr>
            <w:rStyle w:val="Hyperlink"/>
            <w:i/>
            <w:noProof/>
          </w:rPr>
          <w:t>k</w:t>
        </w:r>
        <w:r w:rsidR="007C6F59" w:rsidRPr="007B6B46">
          <w:rPr>
            <w:rStyle w:val="Hyperlink"/>
            <w:noProof/>
          </w:rPr>
          <w:t xml:space="preserve"> = 3 (right) classification</w:t>
        </w:r>
        <w:r w:rsidR="007C6F59">
          <w:rPr>
            <w:noProof/>
            <w:webHidden/>
          </w:rPr>
          <w:tab/>
        </w:r>
        <w:r w:rsidR="007C6F59">
          <w:rPr>
            <w:noProof/>
            <w:webHidden/>
          </w:rPr>
          <w:fldChar w:fldCharType="begin"/>
        </w:r>
        <w:r w:rsidR="007C6F59">
          <w:rPr>
            <w:noProof/>
            <w:webHidden/>
          </w:rPr>
          <w:instrText xml:space="preserve"> PAGEREF _Toc101274639 \h </w:instrText>
        </w:r>
        <w:r w:rsidR="007C6F59">
          <w:rPr>
            <w:noProof/>
            <w:webHidden/>
          </w:rPr>
        </w:r>
        <w:r w:rsidR="007C6F59">
          <w:rPr>
            <w:noProof/>
            <w:webHidden/>
          </w:rPr>
          <w:fldChar w:fldCharType="separate"/>
        </w:r>
        <w:r w:rsidR="00587AF0">
          <w:rPr>
            <w:noProof/>
            <w:webHidden/>
          </w:rPr>
          <w:t>134</w:t>
        </w:r>
        <w:r w:rsidR="007C6F59">
          <w:rPr>
            <w:noProof/>
            <w:webHidden/>
          </w:rPr>
          <w:fldChar w:fldCharType="end"/>
        </w:r>
      </w:hyperlink>
    </w:p>
    <w:p w14:paraId="51F1A21C" w14:textId="00E35756"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40" w:history="1">
        <w:r w:rsidR="007C6F59" w:rsidRPr="007B6B46">
          <w:rPr>
            <w:rStyle w:val="Hyperlink"/>
            <w:noProof/>
          </w:rPr>
          <w:t>Figure 118. kNN Lower-dimensional projections of predictors at opening saddle position</w:t>
        </w:r>
        <w:r w:rsidR="007C6F59">
          <w:rPr>
            <w:noProof/>
            <w:webHidden/>
          </w:rPr>
          <w:tab/>
        </w:r>
        <w:r w:rsidR="007C6F59">
          <w:rPr>
            <w:noProof/>
            <w:webHidden/>
          </w:rPr>
          <w:fldChar w:fldCharType="begin"/>
        </w:r>
        <w:r w:rsidR="007C6F59">
          <w:rPr>
            <w:noProof/>
            <w:webHidden/>
          </w:rPr>
          <w:instrText xml:space="preserve"> PAGEREF _Toc101274640 \h </w:instrText>
        </w:r>
        <w:r w:rsidR="007C6F59">
          <w:rPr>
            <w:noProof/>
            <w:webHidden/>
          </w:rPr>
        </w:r>
        <w:r w:rsidR="007C6F59">
          <w:rPr>
            <w:noProof/>
            <w:webHidden/>
          </w:rPr>
          <w:fldChar w:fldCharType="separate"/>
        </w:r>
        <w:r w:rsidR="00587AF0">
          <w:rPr>
            <w:noProof/>
            <w:webHidden/>
          </w:rPr>
          <w:t>135</w:t>
        </w:r>
        <w:r w:rsidR="007C6F59">
          <w:rPr>
            <w:noProof/>
            <w:webHidden/>
          </w:rPr>
          <w:fldChar w:fldCharType="end"/>
        </w:r>
      </w:hyperlink>
    </w:p>
    <w:p w14:paraId="3DE4EA6F" w14:textId="34D68178"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41" w:history="1">
        <w:r w:rsidR="007C6F59" w:rsidRPr="007B6B46">
          <w:rPr>
            <w:rStyle w:val="Hyperlink"/>
            <w:noProof/>
          </w:rPr>
          <w:t>Figure 119. kNN Lower-dimensional projections of predictors at idle saddle position</w:t>
        </w:r>
        <w:r w:rsidR="007C6F59">
          <w:rPr>
            <w:noProof/>
            <w:webHidden/>
          </w:rPr>
          <w:tab/>
        </w:r>
        <w:r w:rsidR="007C6F59">
          <w:rPr>
            <w:noProof/>
            <w:webHidden/>
          </w:rPr>
          <w:fldChar w:fldCharType="begin"/>
        </w:r>
        <w:r w:rsidR="007C6F59">
          <w:rPr>
            <w:noProof/>
            <w:webHidden/>
          </w:rPr>
          <w:instrText xml:space="preserve"> PAGEREF _Toc101274641 \h </w:instrText>
        </w:r>
        <w:r w:rsidR="007C6F59">
          <w:rPr>
            <w:noProof/>
            <w:webHidden/>
          </w:rPr>
        </w:r>
        <w:r w:rsidR="007C6F59">
          <w:rPr>
            <w:noProof/>
            <w:webHidden/>
          </w:rPr>
          <w:fldChar w:fldCharType="separate"/>
        </w:r>
        <w:r w:rsidR="00587AF0">
          <w:rPr>
            <w:noProof/>
            <w:webHidden/>
          </w:rPr>
          <w:t>136</w:t>
        </w:r>
        <w:r w:rsidR="007C6F59">
          <w:rPr>
            <w:noProof/>
            <w:webHidden/>
          </w:rPr>
          <w:fldChar w:fldCharType="end"/>
        </w:r>
      </w:hyperlink>
    </w:p>
    <w:p w14:paraId="12027699" w14:textId="20F4B54E"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42" w:history="1">
        <w:r w:rsidR="007C6F59" w:rsidRPr="007B6B46">
          <w:rPr>
            <w:rStyle w:val="Hyperlink"/>
            <w:noProof/>
          </w:rPr>
          <w:t>Figure 120. kNN Lower-dimensional projections of predictors at closing saddle position</w:t>
        </w:r>
        <w:r w:rsidR="007C6F59">
          <w:rPr>
            <w:noProof/>
            <w:webHidden/>
          </w:rPr>
          <w:tab/>
        </w:r>
        <w:r w:rsidR="007C6F59">
          <w:rPr>
            <w:noProof/>
            <w:webHidden/>
          </w:rPr>
          <w:fldChar w:fldCharType="begin"/>
        </w:r>
        <w:r w:rsidR="007C6F59">
          <w:rPr>
            <w:noProof/>
            <w:webHidden/>
          </w:rPr>
          <w:instrText xml:space="preserve"> PAGEREF _Toc101274642 \h </w:instrText>
        </w:r>
        <w:r w:rsidR="007C6F59">
          <w:rPr>
            <w:noProof/>
            <w:webHidden/>
          </w:rPr>
        </w:r>
        <w:r w:rsidR="007C6F59">
          <w:rPr>
            <w:noProof/>
            <w:webHidden/>
          </w:rPr>
          <w:fldChar w:fldCharType="separate"/>
        </w:r>
        <w:r w:rsidR="00587AF0">
          <w:rPr>
            <w:noProof/>
            <w:webHidden/>
          </w:rPr>
          <w:t>137</w:t>
        </w:r>
        <w:r w:rsidR="007C6F59">
          <w:rPr>
            <w:noProof/>
            <w:webHidden/>
          </w:rPr>
          <w:fldChar w:fldCharType="end"/>
        </w:r>
      </w:hyperlink>
    </w:p>
    <w:p w14:paraId="038C8FFF" w14:textId="29B1BC5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43" w:history="1">
        <w:r w:rsidR="007C6F59" w:rsidRPr="007B6B46">
          <w:rPr>
            <w:rStyle w:val="Hyperlink"/>
            <w:noProof/>
          </w:rPr>
          <w:t>Figure 121. Classification results of ML algorithms’ testing dataset at opening saddle position</w:t>
        </w:r>
        <w:r w:rsidR="007C6F59">
          <w:rPr>
            <w:noProof/>
            <w:webHidden/>
          </w:rPr>
          <w:tab/>
        </w:r>
        <w:r w:rsidR="007C6F59">
          <w:rPr>
            <w:noProof/>
            <w:webHidden/>
          </w:rPr>
          <w:fldChar w:fldCharType="begin"/>
        </w:r>
        <w:r w:rsidR="007C6F59">
          <w:rPr>
            <w:noProof/>
            <w:webHidden/>
          </w:rPr>
          <w:instrText xml:space="preserve"> PAGEREF _Toc101274643 \h </w:instrText>
        </w:r>
        <w:r w:rsidR="007C6F59">
          <w:rPr>
            <w:noProof/>
            <w:webHidden/>
          </w:rPr>
        </w:r>
        <w:r w:rsidR="007C6F59">
          <w:rPr>
            <w:noProof/>
            <w:webHidden/>
          </w:rPr>
          <w:fldChar w:fldCharType="separate"/>
        </w:r>
        <w:r w:rsidR="00587AF0">
          <w:rPr>
            <w:noProof/>
            <w:webHidden/>
          </w:rPr>
          <w:t>138</w:t>
        </w:r>
        <w:r w:rsidR="007C6F59">
          <w:rPr>
            <w:noProof/>
            <w:webHidden/>
          </w:rPr>
          <w:fldChar w:fldCharType="end"/>
        </w:r>
      </w:hyperlink>
    </w:p>
    <w:p w14:paraId="427CD6E5" w14:textId="5A46759E"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44" w:history="1">
        <w:r w:rsidR="007C6F59" w:rsidRPr="007B6B46">
          <w:rPr>
            <w:rStyle w:val="Hyperlink"/>
            <w:noProof/>
          </w:rPr>
          <w:t>Figure 122. Classification results of ML algorithms’ testing dataset at idle saddle position</w:t>
        </w:r>
        <w:r w:rsidR="007C6F59">
          <w:rPr>
            <w:noProof/>
            <w:webHidden/>
          </w:rPr>
          <w:tab/>
        </w:r>
        <w:r w:rsidR="007C6F59">
          <w:rPr>
            <w:noProof/>
            <w:webHidden/>
          </w:rPr>
          <w:fldChar w:fldCharType="begin"/>
        </w:r>
        <w:r w:rsidR="007C6F59">
          <w:rPr>
            <w:noProof/>
            <w:webHidden/>
          </w:rPr>
          <w:instrText xml:space="preserve"> PAGEREF _Toc101274644 \h </w:instrText>
        </w:r>
        <w:r w:rsidR="007C6F59">
          <w:rPr>
            <w:noProof/>
            <w:webHidden/>
          </w:rPr>
        </w:r>
        <w:r w:rsidR="007C6F59">
          <w:rPr>
            <w:noProof/>
            <w:webHidden/>
          </w:rPr>
          <w:fldChar w:fldCharType="separate"/>
        </w:r>
        <w:r w:rsidR="00587AF0">
          <w:rPr>
            <w:noProof/>
            <w:webHidden/>
          </w:rPr>
          <w:t>139</w:t>
        </w:r>
        <w:r w:rsidR="007C6F59">
          <w:rPr>
            <w:noProof/>
            <w:webHidden/>
          </w:rPr>
          <w:fldChar w:fldCharType="end"/>
        </w:r>
      </w:hyperlink>
    </w:p>
    <w:p w14:paraId="4A4CDDF1" w14:textId="13F83F42"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45" w:history="1">
        <w:r w:rsidR="007C6F59" w:rsidRPr="007B6B46">
          <w:rPr>
            <w:rStyle w:val="Hyperlink"/>
            <w:noProof/>
          </w:rPr>
          <w:t>Figure 123. Classification results of ML algorithms’ testing dataset at closing saddle position</w:t>
        </w:r>
        <w:r w:rsidR="007C6F59">
          <w:rPr>
            <w:noProof/>
            <w:webHidden/>
          </w:rPr>
          <w:tab/>
        </w:r>
        <w:r w:rsidR="007C6F59">
          <w:rPr>
            <w:noProof/>
            <w:webHidden/>
          </w:rPr>
          <w:fldChar w:fldCharType="begin"/>
        </w:r>
        <w:r w:rsidR="007C6F59">
          <w:rPr>
            <w:noProof/>
            <w:webHidden/>
          </w:rPr>
          <w:instrText xml:space="preserve"> PAGEREF _Toc101274645 \h </w:instrText>
        </w:r>
        <w:r w:rsidR="007C6F59">
          <w:rPr>
            <w:noProof/>
            <w:webHidden/>
          </w:rPr>
        </w:r>
        <w:r w:rsidR="007C6F59">
          <w:rPr>
            <w:noProof/>
            <w:webHidden/>
          </w:rPr>
          <w:fldChar w:fldCharType="separate"/>
        </w:r>
        <w:r w:rsidR="00587AF0">
          <w:rPr>
            <w:noProof/>
            <w:webHidden/>
          </w:rPr>
          <w:t>140</w:t>
        </w:r>
        <w:r w:rsidR="007C6F59">
          <w:rPr>
            <w:noProof/>
            <w:webHidden/>
          </w:rPr>
          <w:fldChar w:fldCharType="end"/>
        </w:r>
      </w:hyperlink>
    </w:p>
    <w:p w14:paraId="01EB3CB9" w14:textId="43239A9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46" w:history="1">
        <w:r w:rsidR="007C6F59" w:rsidRPr="007B6B46">
          <w:rPr>
            <w:rStyle w:val="Hyperlink"/>
            <w:noProof/>
          </w:rPr>
          <w:t>Figure 124. N_StDev_OS at the first 20 cycles (start of the experiment)</w:t>
        </w:r>
        <w:r w:rsidR="007C6F59">
          <w:rPr>
            <w:noProof/>
            <w:webHidden/>
          </w:rPr>
          <w:tab/>
        </w:r>
        <w:r w:rsidR="007C6F59">
          <w:rPr>
            <w:noProof/>
            <w:webHidden/>
          </w:rPr>
          <w:fldChar w:fldCharType="begin"/>
        </w:r>
        <w:r w:rsidR="007C6F59">
          <w:rPr>
            <w:noProof/>
            <w:webHidden/>
          </w:rPr>
          <w:instrText xml:space="preserve"> PAGEREF _Toc101274646 \h </w:instrText>
        </w:r>
        <w:r w:rsidR="007C6F59">
          <w:rPr>
            <w:noProof/>
            <w:webHidden/>
          </w:rPr>
        </w:r>
        <w:r w:rsidR="007C6F59">
          <w:rPr>
            <w:noProof/>
            <w:webHidden/>
          </w:rPr>
          <w:fldChar w:fldCharType="separate"/>
        </w:r>
        <w:r w:rsidR="00587AF0">
          <w:rPr>
            <w:noProof/>
            <w:webHidden/>
          </w:rPr>
          <w:t>143</w:t>
        </w:r>
        <w:r w:rsidR="007C6F59">
          <w:rPr>
            <w:noProof/>
            <w:webHidden/>
          </w:rPr>
          <w:fldChar w:fldCharType="end"/>
        </w:r>
      </w:hyperlink>
    </w:p>
    <w:p w14:paraId="38853456" w14:textId="76808181"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47" w:history="1">
        <w:r w:rsidR="007C6F59" w:rsidRPr="007B6B46">
          <w:rPr>
            <w:rStyle w:val="Hyperlink"/>
            <w:noProof/>
          </w:rPr>
          <w:t>Figure 125. Correlation test of rubber mixing machine hydraulic control system</w:t>
        </w:r>
        <w:r w:rsidR="007C6F59">
          <w:rPr>
            <w:noProof/>
            <w:webHidden/>
          </w:rPr>
          <w:tab/>
        </w:r>
        <w:r w:rsidR="007C6F59">
          <w:rPr>
            <w:noProof/>
            <w:webHidden/>
          </w:rPr>
          <w:fldChar w:fldCharType="begin"/>
        </w:r>
        <w:r w:rsidR="007C6F59">
          <w:rPr>
            <w:noProof/>
            <w:webHidden/>
          </w:rPr>
          <w:instrText xml:space="preserve"> PAGEREF _Toc101274647 \h </w:instrText>
        </w:r>
        <w:r w:rsidR="007C6F59">
          <w:rPr>
            <w:noProof/>
            <w:webHidden/>
          </w:rPr>
        </w:r>
        <w:r w:rsidR="007C6F59">
          <w:rPr>
            <w:noProof/>
            <w:webHidden/>
          </w:rPr>
          <w:fldChar w:fldCharType="separate"/>
        </w:r>
        <w:r w:rsidR="00587AF0">
          <w:rPr>
            <w:noProof/>
            <w:webHidden/>
          </w:rPr>
          <w:t>144</w:t>
        </w:r>
        <w:r w:rsidR="007C6F59">
          <w:rPr>
            <w:noProof/>
            <w:webHidden/>
          </w:rPr>
          <w:fldChar w:fldCharType="end"/>
        </w:r>
      </w:hyperlink>
    </w:p>
    <w:p w14:paraId="6935AABF" w14:textId="69863F67"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48" w:history="1">
        <w:r w:rsidR="007C6F59" w:rsidRPr="007B6B46">
          <w:rPr>
            <w:rStyle w:val="Hyperlink"/>
            <w:noProof/>
          </w:rPr>
          <w:t>Figure 126. Investigating the presence of autocorrelation</w:t>
        </w:r>
        <w:r w:rsidR="007C6F59">
          <w:rPr>
            <w:noProof/>
            <w:webHidden/>
          </w:rPr>
          <w:tab/>
        </w:r>
        <w:r w:rsidR="007C6F59">
          <w:rPr>
            <w:noProof/>
            <w:webHidden/>
          </w:rPr>
          <w:fldChar w:fldCharType="begin"/>
        </w:r>
        <w:r w:rsidR="007C6F59">
          <w:rPr>
            <w:noProof/>
            <w:webHidden/>
          </w:rPr>
          <w:instrText xml:space="preserve"> PAGEREF _Toc101274648 \h </w:instrText>
        </w:r>
        <w:r w:rsidR="007C6F59">
          <w:rPr>
            <w:noProof/>
            <w:webHidden/>
          </w:rPr>
        </w:r>
        <w:r w:rsidR="007C6F59">
          <w:rPr>
            <w:noProof/>
            <w:webHidden/>
          </w:rPr>
          <w:fldChar w:fldCharType="separate"/>
        </w:r>
        <w:r w:rsidR="00587AF0">
          <w:rPr>
            <w:noProof/>
            <w:webHidden/>
          </w:rPr>
          <w:t>145</w:t>
        </w:r>
        <w:r w:rsidR="007C6F59">
          <w:rPr>
            <w:noProof/>
            <w:webHidden/>
          </w:rPr>
          <w:fldChar w:fldCharType="end"/>
        </w:r>
      </w:hyperlink>
    </w:p>
    <w:p w14:paraId="4AE45A9F" w14:textId="23AF9D04"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49" w:history="1">
        <w:r w:rsidR="007C6F59" w:rsidRPr="007B6B46">
          <w:rPr>
            <w:rStyle w:val="Hyperlink"/>
            <w:noProof/>
          </w:rPr>
          <w:t>Figure 127. Investigating the presence of partial autocorrelation</w:t>
        </w:r>
        <w:r w:rsidR="007C6F59">
          <w:rPr>
            <w:noProof/>
            <w:webHidden/>
          </w:rPr>
          <w:tab/>
        </w:r>
        <w:r w:rsidR="007C6F59">
          <w:rPr>
            <w:noProof/>
            <w:webHidden/>
          </w:rPr>
          <w:fldChar w:fldCharType="begin"/>
        </w:r>
        <w:r w:rsidR="007C6F59">
          <w:rPr>
            <w:noProof/>
            <w:webHidden/>
          </w:rPr>
          <w:instrText xml:space="preserve"> PAGEREF _Toc101274649 \h </w:instrText>
        </w:r>
        <w:r w:rsidR="007C6F59">
          <w:rPr>
            <w:noProof/>
            <w:webHidden/>
          </w:rPr>
        </w:r>
        <w:r w:rsidR="007C6F59">
          <w:rPr>
            <w:noProof/>
            <w:webHidden/>
          </w:rPr>
          <w:fldChar w:fldCharType="separate"/>
        </w:r>
        <w:r w:rsidR="00587AF0">
          <w:rPr>
            <w:noProof/>
            <w:webHidden/>
          </w:rPr>
          <w:t>145</w:t>
        </w:r>
        <w:r w:rsidR="007C6F59">
          <w:rPr>
            <w:noProof/>
            <w:webHidden/>
          </w:rPr>
          <w:fldChar w:fldCharType="end"/>
        </w:r>
      </w:hyperlink>
    </w:p>
    <w:p w14:paraId="35755B8E" w14:textId="38A22B6A"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50" w:history="1">
        <w:r w:rsidR="007C6F59" w:rsidRPr="007B6B46">
          <w:rPr>
            <w:rStyle w:val="Hyperlink"/>
            <w:noProof/>
          </w:rPr>
          <w:t>Figure 128. Reliability function using Weibull-3P distribution parameters</w:t>
        </w:r>
        <w:r w:rsidR="007C6F59">
          <w:rPr>
            <w:noProof/>
            <w:webHidden/>
          </w:rPr>
          <w:tab/>
        </w:r>
        <w:r w:rsidR="007C6F59">
          <w:rPr>
            <w:noProof/>
            <w:webHidden/>
          </w:rPr>
          <w:fldChar w:fldCharType="begin"/>
        </w:r>
        <w:r w:rsidR="007C6F59">
          <w:rPr>
            <w:noProof/>
            <w:webHidden/>
          </w:rPr>
          <w:instrText xml:space="preserve"> PAGEREF _Toc101274650 \h </w:instrText>
        </w:r>
        <w:r w:rsidR="007C6F59">
          <w:rPr>
            <w:noProof/>
            <w:webHidden/>
          </w:rPr>
        </w:r>
        <w:r w:rsidR="007C6F59">
          <w:rPr>
            <w:noProof/>
            <w:webHidden/>
          </w:rPr>
          <w:fldChar w:fldCharType="separate"/>
        </w:r>
        <w:r w:rsidR="00587AF0">
          <w:rPr>
            <w:noProof/>
            <w:webHidden/>
          </w:rPr>
          <w:t>146</w:t>
        </w:r>
        <w:r w:rsidR="007C6F59">
          <w:rPr>
            <w:noProof/>
            <w:webHidden/>
          </w:rPr>
          <w:fldChar w:fldCharType="end"/>
        </w:r>
      </w:hyperlink>
    </w:p>
    <w:p w14:paraId="72462F99" w14:textId="0014C508"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51" w:history="1">
        <w:r w:rsidR="007C6F59" w:rsidRPr="007B6B46">
          <w:rPr>
            <w:rStyle w:val="Hyperlink"/>
            <w:noProof/>
          </w:rPr>
          <w:t>Figure 129. Reliability functions: 3P-Gamma (a); 3P-Lognormal (b); Pareto (c); and Beta (d)</w:t>
        </w:r>
        <w:r w:rsidR="007C6F59">
          <w:rPr>
            <w:noProof/>
            <w:webHidden/>
          </w:rPr>
          <w:tab/>
        </w:r>
        <w:r w:rsidR="007C6F59">
          <w:rPr>
            <w:noProof/>
            <w:webHidden/>
          </w:rPr>
          <w:fldChar w:fldCharType="begin"/>
        </w:r>
        <w:r w:rsidR="007C6F59">
          <w:rPr>
            <w:noProof/>
            <w:webHidden/>
          </w:rPr>
          <w:instrText xml:space="preserve"> PAGEREF _Toc101274651 \h </w:instrText>
        </w:r>
        <w:r w:rsidR="007C6F59">
          <w:rPr>
            <w:noProof/>
            <w:webHidden/>
          </w:rPr>
        </w:r>
        <w:r w:rsidR="007C6F59">
          <w:rPr>
            <w:noProof/>
            <w:webHidden/>
          </w:rPr>
          <w:fldChar w:fldCharType="separate"/>
        </w:r>
        <w:r w:rsidR="00587AF0">
          <w:rPr>
            <w:noProof/>
            <w:webHidden/>
          </w:rPr>
          <w:t>147</w:t>
        </w:r>
        <w:r w:rsidR="007C6F59">
          <w:rPr>
            <w:noProof/>
            <w:webHidden/>
          </w:rPr>
          <w:fldChar w:fldCharType="end"/>
        </w:r>
      </w:hyperlink>
    </w:p>
    <w:p w14:paraId="099CF8B2" w14:textId="605F1886"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52" w:history="1">
        <w:r w:rsidR="007C6F59" w:rsidRPr="007B6B46">
          <w:rPr>
            <w:rStyle w:val="Hyperlink"/>
            <w:noProof/>
          </w:rPr>
          <w:t>Figure 130. Data explanation of hydraulic cycles (x-axis) and TAN (y-axis)</w:t>
        </w:r>
        <w:r w:rsidR="007C6F59">
          <w:rPr>
            <w:noProof/>
            <w:webHidden/>
          </w:rPr>
          <w:tab/>
        </w:r>
        <w:r w:rsidR="007C6F59">
          <w:rPr>
            <w:noProof/>
            <w:webHidden/>
          </w:rPr>
          <w:fldChar w:fldCharType="begin"/>
        </w:r>
        <w:r w:rsidR="007C6F59">
          <w:rPr>
            <w:noProof/>
            <w:webHidden/>
          </w:rPr>
          <w:instrText xml:space="preserve"> PAGEREF _Toc101274652 \h </w:instrText>
        </w:r>
        <w:r w:rsidR="007C6F59">
          <w:rPr>
            <w:noProof/>
            <w:webHidden/>
          </w:rPr>
        </w:r>
        <w:r w:rsidR="007C6F59">
          <w:rPr>
            <w:noProof/>
            <w:webHidden/>
          </w:rPr>
          <w:fldChar w:fldCharType="separate"/>
        </w:r>
        <w:r w:rsidR="00587AF0">
          <w:rPr>
            <w:noProof/>
            <w:webHidden/>
          </w:rPr>
          <w:t>182</w:t>
        </w:r>
        <w:r w:rsidR="007C6F59">
          <w:rPr>
            <w:noProof/>
            <w:webHidden/>
          </w:rPr>
          <w:fldChar w:fldCharType="end"/>
        </w:r>
      </w:hyperlink>
    </w:p>
    <w:p w14:paraId="65FD7EBB" w14:textId="221D5EDC"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53" w:history="1">
        <w:r w:rsidR="007C6F59" w:rsidRPr="007B6B46">
          <w:rPr>
            <w:rStyle w:val="Hyperlink"/>
            <w:noProof/>
          </w:rPr>
          <w:t>Figure 131. Data explanation of hydraulic cycles (x-axis) and density (y-axis)</w:t>
        </w:r>
        <w:r w:rsidR="007C6F59">
          <w:rPr>
            <w:noProof/>
            <w:webHidden/>
          </w:rPr>
          <w:tab/>
        </w:r>
        <w:r w:rsidR="007C6F59">
          <w:rPr>
            <w:noProof/>
            <w:webHidden/>
          </w:rPr>
          <w:fldChar w:fldCharType="begin"/>
        </w:r>
        <w:r w:rsidR="007C6F59">
          <w:rPr>
            <w:noProof/>
            <w:webHidden/>
          </w:rPr>
          <w:instrText xml:space="preserve"> PAGEREF _Toc101274653 \h </w:instrText>
        </w:r>
        <w:r w:rsidR="007C6F59">
          <w:rPr>
            <w:noProof/>
            <w:webHidden/>
          </w:rPr>
        </w:r>
        <w:r w:rsidR="007C6F59">
          <w:rPr>
            <w:noProof/>
            <w:webHidden/>
          </w:rPr>
          <w:fldChar w:fldCharType="separate"/>
        </w:r>
        <w:r w:rsidR="00587AF0">
          <w:rPr>
            <w:noProof/>
            <w:webHidden/>
          </w:rPr>
          <w:t>182</w:t>
        </w:r>
        <w:r w:rsidR="007C6F59">
          <w:rPr>
            <w:noProof/>
            <w:webHidden/>
          </w:rPr>
          <w:fldChar w:fldCharType="end"/>
        </w:r>
      </w:hyperlink>
    </w:p>
    <w:p w14:paraId="48F3C35E" w14:textId="5DF40BEC"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54" w:history="1">
        <w:r w:rsidR="007C6F59" w:rsidRPr="007B6B46">
          <w:rPr>
            <w:rStyle w:val="Hyperlink"/>
            <w:noProof/>
          </w:rPr>
          <w:t>Figure 132. Data explanation of hydraulic cycles (x-axis) and viscosity 40°C (y-axis)</w:t>
        </w:r>
        <w:r w:rsidR="007C6F59">
          <w:rPr>
            <w:noProof/>
            <w:webHidden/>
          </w:rPr>
          <w:tab/>
        </w:r>
        <w:r w:rsidR="007C6F59">
          <w:rPr>
            <w:noProof/>
            <w:webHidden/>
          </w:rPr>
          <w:fldChar w:fldCharType="begin"/>
        </w:r>
        <w:r w:rsidR="007C6F59">
          <w:rPr>
            <w:noProof/>
            <w:webHidden/>
          </w:rPr>
          <w:instrText xml:space="preserve"> PAGEREF _Toc101274654 \h </w:instrText>
        </w:r>
        <w:r w:rsidR="007C6F59">
          <w:rPr>
            <w:noProof/>
            <w:webHidden/>
          </w:rPr>
        </w:r>
        <w:r w:rsidR="007C6F59">
          <w:rPr>
            <w:noProof/>
            <w:webHidden/>
          </w:rPr>
          <w:fldChar w:fldCharType="separate"/>
        </w:r>
        <w:r w:rsidR="00587AF0">
          <w:rPr>
            <w:noProof/>
            <w:webHidden/>
          </w:rPr>
          <w:t>183</w:t>
        </w:r>
        <w:r w:rsidR="007C6F59">
          <w:rPr>
            <w:noProof/>
            <w:webHidden/>
          </w:rPr>
          <w:fldChar w:fldCharType="end"/>
        </w:r>
      </w:hyperlink>
    </w:p>
    <w:p w14:paraId="4A9ADB84" w14:textId="48EE5E3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55" w:history="1">
        <w:r w:rsidR="007C6F59" w:rsidRPr="007B6B46">
          <w:rPr>
            <w:rStyle w:val="Hyperlink"/>
            <w:noProof/>
          </w:rPr>
          <w:t>Figure 133. Data explanation of hydraulic cycles (x-axis) and viscosity index (y-axis)</w:t>
        </w:r>
        <w:r w:rsidR="007C6F59">
          <w:rPr>
            <w:noProof/>
            <w:webHidden/>
          </w:rPr>
          <w:tab/>
        </w:r>
        <w:r w:rsidR="007C6F59">
          <w:rPr>
            <w:noProof/>
            <w:webHidden/>
          </w:rPr>
          <w:fldChar w:fldCharType="begin"/>
        </w:r>
        <w:r w:rsidR="007C6F59">
          <w:rPr>
            <w:noProof/>
            <w:webHidden/>
          </w:rPr>
          <w:instrText xml:space="preserve"> PAGEREF _Toc101274655 \h </w:instrText>
        </w:r>
        <w:r w:rsidR="007C6F59">
          <w:rPr>
            <w:noProof/>
            <w:webHidden/>
          </w:rPr>
        </w:r>
        <w:r w:rsidR="007C6F59">
          <w:rPr>
            <w:noProof/>
            <w:webHidden/>
          </w:rPr>
          <w:fldChar w:fldCharType="separate"/>
        </w:r>
        <w:r w:rsidR="00587AF0">
          <w:rPr>
            <w:noProof/>
            <w:webHidden/>
          </w:rPr>
          <w:t>183</w:t>
        </w:r>
        <w:r w:rsidR="007C6F59">
          <w:rPr>
            <w:noProof/>
            <w:webHidden/>
          </w:rPr>
          <w:fldChar w:fldCharType="end"/>
        </w:r>
      </w:hyperlink>
    </w:p>
    <w:p w14:paraId="31E44626" w14:textId="4AF9C93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56" w:history="1">
        <w:r w:rsidR="007C6F59" w:rsidRPr="007B6B46">
          <w:rPr>
            <w:rStyle w:val="Hyperlink"/>
            <w:noProof/>
          </w:rPr>
          <w:t>Figure 134. Data explanation of hydraulic cycles (x-axis) and flame point (y-axis)</w:t>
        </w:r>
        <w:r w:rsidR="007C6F59">
          <w:rPr>
            <w:noProof/>
            <w:webHidden/>
          </w:rPr>
          <w:tab/>
        </w:r>
        <w:r w:rsidR="007C6F59">
          <w:rPr>
            <w:noProof/>
            <w:webHidden/>
          </w:rPr>
          <w:fldChar w:fldCharType="begin"/>
        </w:r>
        <w:r w:rsidR="007C6F59">
          <w:rPr>
            <w:noProof/>
            <w:webHidden/>
          </w:rPr>
          <w:instrText xml:space="preserve"> PAGEREF _Toc101274656 \h </w:instrText>
        </w:r>
        <w:r w:rsidR="007C6F59">
          <w:rPr>
            <w:noProof/>
            <w:webHidden/>
          </w:rPr>
        </w:r>
        <w:r w:rsidR="007C6F59">
          <w:rPr>
            <w:noProof/>
            <w:webHidden/>
          </w:rPr>
          <w:fldChar w:fldCharType="separate"/>
        </w:r>
        <w:r w:rsidR="00587AF0">
          <w:rPr>
            <w:noProof/>
            <w:webHidden/>
          </w:rPr>
          <w:t>184</w:t>
        </w:r>
        <w:r w:rsidR="007C6F59">
          <w:rPr>
            <w:noProof/>
            <w:webHidden/>
          </w:rPr>
          <w:fldChar w:fldCharType="end"/>
        </w:r>
      </w:hyperlink>
    </w:p>
    <w:p w14:paraId="1D63E890" w14:textId="2CD81F3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57" w:history="1">
        <w:r w:rsidR="007C6F59" w:rsidRPr="007B6B46">
          <w:rPr>
            <w:rStyle w:val="Hyperlink"/>
            <w:noProof/>
          </w:rPr>
          <w:t>Figure 135. Data explanation of hydraulic cycles (x-axis) and viscosity 100°C (y-axis)</w:t>
        </w:r>
        <w:r w:rsidR="007C6F59">
          <w:rPr>
            <w:noProof/>
            <w:webHidden/>
          </w:rPr>
          <w:tab/>
        </w:r>
        <w:r w:rsidR="007C6F59">
          <w:rPr>
            <w:noProof/>
            <w:webHidden/>
          </w:rPr>
          <w:fldChar w:fldCharType="begin"/>
        </w:r>
        <w:r w:rsidR="007C6F59">
          <w:rPr>
            <w:noProof/>
            <w:webHidden/>
          </w:rPr>
          <w:instrText xml:space="preserve"> PAGEREF _Toc101274657 \h </w:instrText>
        </w:r>
        <w:r w:rsidR="007C6F59">
          <w:rPr>
            <w:noProof/>
            <w:webHidden/>
          </w:rPr>
        </w:r>
        <w:r w:rsidR="007C6F59">
          <w:rPr>
            <w:noProof/>
            <w:webHidden/>
          </w:rPr>
          <w:fldChar w:fldCharType="separate"/>
        </w:r>
        <w:r w:rsidR="00587AF0">
          <w:rPr>
            <w:noProof/>
            <w:webHidden/>
          </w:rPr>
          <w:t>184</w:t>
        </w:r>
        <w:r w:rsidR="007C6F59">
          <w:rPr>
            <w:noProof/>
            <w:webHidden/>
          </w:rPr>
          <w:fldChar w:fldCharType="end"/>
        </w:r>
      </w:hyperlink>
    </w:p>
    <w:p w14:paraId="1CDD9E1A" w14:textId="4BF480BF"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58" w:history="1">
        <w:r w:rsidR="007C6F59" w:rsidRPr="007B6B46">
          <w:rPr>
            <w:rStyle w:val="Hyperlink"/>
            <w:noProof/>
          </w:rPr>
          <w:t>Figure 136. Data explanation of hydraulic cycles (x-axis) and flow point [ppm] (y-axis)</w:t>
        </w:r>
        <w:r w:rsidR="007C6F59">
          <w:rPr>
            <w:noProof/>
            <w:webHidden/>
          </w:rPr>
          <w:tab/>
        </w:r>
        <w:r w:rsidR="007C6F59">
          <w:rPr>
            <w:noProof/>
            <w:webHidden/>
          </w:rPr>
          <w:fldChar w:fldCharType="begin"/>
        </w:r>
        <w:r w:rsidR="007C6F59">
          <w:rPr>
            <w:noProof/>
            <w:webHidden/>
          </w:rPr>
          <w:instrText xml:space="preserve"> PAGEREF _Toc101274658 \h </w:instrText>
        </w:r>
        <w:r w:rsidR="007C6F59">
          <w:rPr>
            <w:noProof/>
            <w:webHidden/>
          </w:rPr>
        </w:r>
        <w:r w:rsidR="007C6F59">
          <w:rPr>
            <w:noProof/>
            <w:webHidden/>
          </w:rPr>
          <w:fldChar w:fldCharType="separate"/>
        </w:r>
        <w:r w:rsidR="00587AF0">
          <w:rPr>
            <w:noProof/>
            <w:webHidden/>
          </w:rPr>
          <w:t>185</w:t>
        </w:r>
        <w:r w:rsidR="007C6F59">
          <w:rPr>
            <w:noProof/>
            <w:webHidden/>
          </w:rPr>
          <w:fldChar w:fldCharType="end"/>
        </w:r>
      </w:hyperlink>
    </w:p>
    <w:p w14:paraId="7D07115A" w14:textId="4804E73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59" w:history="1">
        <w:r w:rsidR="007C6F59" w:rsidRPr="007B6B46">
          <w:rPr>
            <w:rStyle w:val="Hyperlink"/>
            <w:noProof/>
          </w:rPr>
          <w:t>Figure 137. Data explanation of hydraulic cycles (x-axis) and Water [ppm] (y-axis)</w:t>
        </w:r>
        <w:r w:rsidR="007C6F59">
          <w:rPr>
            <w:noProof/>
            <w:webHidden/>
          </w:rPr>
          <w:tab/>
        </w:r>
        <w:r w:rsidR="007C6F59">
          <w:rPr>
            <w:noProof/>
            <w:webHidden/>
          </w:rPr>
          <w:fldChar w:fldCharType="begin"/>
        </w:r>
        <w:r w:rsidR="007C6F59">
          <w:rPr>
            <w:noProof/>
            <w:webHidden/>
          </w:rPr>
          <w:instrText xml:space="preserve"> PAGEREF _Toc101274659 \h </w:instrText>
        </w:r>
        <w:r w:rsidR="007C6F59">
          <w:rPr>
            <w:noProof/>
            <w:webHidden/>
          </w:rPr>
        </w:r>
        <w:r w:rsidR="007C6F59">
          <w:rPr>
            <w:noProof/>
            <w:webHidden/>
          </w:rPr>
          <w:fldChar w:fldCharType="separate"/>
        </w:r>
        <w:r w:rsidR="00587AF0">
          <w:rPr>
            <w:noProof/>
            <w:webHidden/>
          </w:rPr>
          <w:t>185</w:t>
        </w:r>
        <w:r w:rsidR="007C6F59">
          <w:rPr>
            <w:noProof/>
            <w:webHidden/>
          </w:rPr>
          <w:fldChar w:fldCharType="end"/>
        </w:r>
      </w:hyperlink>
    </w:p>
    <w:p w14:paraId="13319598" w14:textId="6FCA436D"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60" w:history="1">
        <w:r w:rsidR="007C6F59" w:rsidRPr="007B6B46">
          <w:rPr>
            <w:rStyle w:val="Hyperlink"/>
            <w:noProof/>
          </w:rPr>
          <w:t>Figure 138. Data explanation of hydraulic cycles (x-axis) and Zn [ppm] (y-axis)</w:t>
        </w:r>
        <w:r w:rsidR="007C6F59">
          <w:rPr>
            <w:noProof/>
            <w:webHidden/>
          </w:rPr>
          <w:tab/>
        </w:r>
        <w:r w:rsidR="007C6F59">
          <w:rPr>
            <w:noProof/>
            <w:webHidden/>
          </w:rPr>
          <w:fldChar w:fldCharType="begin"/>
        </w:r>
        <w:r w:rsidR="007C6F59">
          <w:rPr>
            <w:noProof/>
            <w:webHidden/>
          </w:rPr>
          <w:instrText xml:space="preserve"> PAGEREF _Toc101274660 \h </w:instrText>
        </w:r>
        <w:r w:rsidR="007C6F59">
          <w:rPr>
            <w:noProof/>
            <w:webHidden/>
          </w:rPr>
        </w:r>
        <w:r w:rsidR="007C6F59">
          <w:rPr>
            <w:noProof/>
            <w:webHidden/>
          </w:rPr>
          <w:fldChar w:fldCharType="separate"/>
        </w:r>
        <w:r w:rsidR="00587AF0">
          <w:rPr>
            <w:noProof/>
            <w:webHidden/>
          </w:rPr>
          <w:t>186</w:t>
        </w:r>
        <w:r w:rsidR="007C6F59">
          <w:rPr>
            <w:noProof/>
            <w:webHidden/>
          </w:rPr>
          <w:fldChar w:fldCharType="end"/>
        </w:r>
      </w:hyperlink>
    </w:p>
    <w:p w14:paraId="7044B145" w14:textId="63D41BF2"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61" w:history="1">
        <w:r w:rsidR="007C6F59" w:rsidRPr="007B6B46">
          <w:rPr>
            <w:rStyle w:val="Hyperlink"/>
            <w:noProof/>
          </w:rPr>
          <w:t>Figure 139. Data explanation of hydraulic cycles (x-axis) and Ni [ppm] (y-axis)</w:t>
        </w:r>
        <w:r w:rsidR="007C6F59">
          <w:rPr>
            <w:noProof/>
            <w:webHidden/>
          </w:rPr>
          <w:tab/>
        </w:r>
        <w:r w:rsidR="007C6F59">
          <w:rPr>
            <w:noProof/>
            <w:webHidden/>
          </w:rPr>
          <w:fldChar w:fldCharType="begin"/>
        </w:r>
        <w:r w:rsidR="007C6F59">
          <w:rPr>
            <w:noProof/>
            <w:webHidden/>
          </w:rPr>
          <w:instrText xml:space="preserve"> PAGEREF _Toc101274661 \h </w:instrText>
        </w:r>
        <w:r w:rsidR="007C6F59">
          <w:rPr>
            <w:noProof/>
            <w:webHidden/>
          </w:rPr>
        </w:r>
        <w:r w:rsidR="007C6F59">
          <w:rPr>
            <w:noProof/>
            <w:webHidden/>
          </w:rPr>
          <w:fldChar w:fldCharType="separate"/>
        </w:r>
        <w:r w:rsidR="00587AF0">
          <w:rPr>
            <w:noProof/>
            <w:webHidden/>
          </w:rPr>
          <w:t>186</w:t>
        </w:r>
        <w:r w:rsidR="007C6F59">
          <w:rPr>
            <w:noProof/>
            <w:webHidden/>
          </w:rPr>
          <w:fldChar w:fldCharType="end"/>
        </w:r>
      </w:hyperlink>
    </w:p>
    <w:p w14:paraId="1651A818" w14:textId="66068B6E"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62" w:history="1">
        <w:r w:rsidR="007C6F59" w:rsidRPr="007B6B46">
          <w:rPr>
            <w:rStyle w:val="Hyperlink"/>
            <w:noProof/>
          </w:rPr>
          <w:t>Figure 140. Data explanation of hydraulic cycles (x-axis) and Si [ppm] (y-axis)</w:t>
        </w:r>
        <w:r w:rsidR="007C6F59">
          <w:rPr>
            <w:noProof/>
            <w:webHidden/>
          </w:rPr>
          <w:tab/>
        </w:r>
        <w:r w:rsidR="007C6F59">
          <w:rPr>
            <w:noProof/>
            <w:webHidden/>
          </w:rPr>
          <w:fldChar w:fldCharType="begin"/>
        </w:r>
        <w:r w:rsidR="007C6F59">
          <w:rPr>
            <w:noProof/>
            <w:webHidden/>
          </w:rPr>
          <w:instrText xml:space="preserve"> PAGEREF _Toc101274662 \h </w:instrText>
        </w:r>
        <w:r w:rsidR="007C6F59">
          <w:rPr>
            <w:noProof/>
            <w:webHidden/>
          </w:rPr>
        </w:r>
        <w:r w:rsidR="007C6F59">
          <w:rPr>
            <w:noProof/>
            <w:webHidden/>
          </w:rPr>
          <w:fldChar w:fldCharType="separate"/>
        </w:r>
        <w:r w:rsidR="00587AF0">
          <w:rPr>
            <w:noProof/>
            <w:webHidden/>
          </w:rPr>
          <w:t>187</w:t>
        </w:r>
        <w:r w:rsidR="007C6F59">
          <w:rPr>
            <w:noProof/>
            <w:webHidden/>
          </w:rPr>
          <w:fldChar w:fldCharType="end"/>
        </w:r>
      </w:hyperlink>
    </w:p>
    <w:p w14:paraId="55AA564B" w14:textId="749269E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63" w:history="1">
        <w:r w:rsidR="007C6F59" w:rsidRPr="007B6B46">
          <w:rPr>
            <w:rStyle w:val="Hyperlink"/>
            <w:noProof/>
          </w:rPr>
          <w:t>Figure 141. Data explanation of hydraulic cycles (x-axis) and Fe [ppm] (y-axis)</w:t>
        </w:r>
        <w:r w:rsidR="007C6F59">
          <w:rPr>
            <w:noProof/>
            <w:webHidden/>
          </w:rPr>
          <w:tab/>
        </w:r>
        <w:r w:rsidR="007C6F59">
          <w:rPr>
            <w:noProof/>
            <w:webHidden/>
          </w:rPr>
          <w:fldChar w:fldCharType="begin"/>
        </w:r>
        <w:r w:rsidR="007C6F59">
          <w:rPr>
            <w:noProof/>
            <w:webHidden/>
          </w:rPr>
          <w:instrText xml:space="preserve"> PAGEREF _Toc101274663 \h </w:instrText>
        </w:r>
        <w:r w:rsidR="007C6F59">
          <w:rPr>
            <w:noProof/>
            <w:webHidden/>
          </w:rPr>
        </w:r>
        <w:r w:rsidR="007C6F59">
          <w:rPr>
            <w:noProof/>
            <w:webHidden/>
          </w:rPr>
          <w:fldChar w:fldCharType="separate"/>
        </w:r>
        <w:r w:rsidR="00587AF0">
          <w:rPr>
            <w:noProof/>
            <w:webHidden/>
          </w:rPr>
          <w:t>187</w:t>
        </w:r>
        <w:r w:rsidR="007C6F59">
          <w:rPr>
            <w:noProof/>
            <w:webHidden/>
          </w:rPr>
          <w:fldChar w:fldCharType="end"/>
        </w:r>
      </w:hyperlink>
    </w:p>
    <w:p w14:paraId="02BD5038" w14:textId="56D9E272"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64" w:history="1">
        <w:r w:rsidR="007C6F59" w:rsidRPr="007B6B46">
          <w:rPr>
            <w:rStyle w:val="Hyperlink"/>
            <w:noProof/>
          </w:rPr>
          <w:t>Figure 142. Data explanation of hydraulic cycles (x-axis) and TAN [mgKOH/g] (y-axis)</w:t>
        </w:r>
        <w:r w:rsidR="007C6F59">
          <w:rPr>
            <w:noProof/>
            <w:webHidden/>
          </w:rPr>
          <w:tab/>
        </w:r>
        <w:r w:rsidR="007C6F59">
          <w:rPr>
            <w:noProof/>
            <w:webHidden/>
          </w:rPr>
          <w:fldChar w:fldCharType="begin"/>
        </w:r>
        <w:r w:rsidR="007C6F59">
          <w:rPr>
            <w:noProof/>
            <w:webHidden/>
          </w:rPr>
          <w:instrText xml:space="preserve"> PAGEREF _Toc101274664 \h </w:instrText>
        </w:r>
        <w:r w:rsidR="007C6F59">
          <w:rPr>
            <w:noProof/>
            <w:webHidden/>
          </w:rPr>
        </w:r>
        <w:r w:rsidR="007C6F59">
          <w:rPr>
            <w:noProof/>
            <w:webHidden/>
          </w:rPr>
          <w:fldChar w:fldCharType="separate"/>
        </w:r>
        <w:r w:rsidR="00587AF0">
          <w:rPr>
            <w:noProof/>
            <w:webHidden/>
          </w:rPr>
          <w:t>188</w:t>
        </w:r>
        <w:r w:rsidR="007C6F59">
          <w:rPr>
            <w:noProof/>
            <w:webHidden/>
          </w:rPr>
          <w:fldChar w:fldCharType="end"/>
        </w:r>
      </w:hyperlink>
    </w:p>
    <w:p w14:paraId="33BB2712" w14:textId="112BF67D"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65" w:history="1">
        <w:r w:rsidR="007C6F59" w:rsidRPr="007B6B46">
          <w:rPr>
            <w:rStyle w:val="Hyperlink"/>
            <w:noProof/>
          </w:rPr>
          <w:t>Figure 143. Opening saddle features after normalisation</w:t>
        </w:r>
        <w:r w:rsidR="007C6F59">
          <w:rPr>
            <w:noProof/>
            <w:webHidden/>
          </w:rPr>
          <w:tab/>
        </w:r>
        <w:r w:rsidR="007C6F59">
          <w:rPr>
            <w:noProof/>
            <w:webHidden/>
          </w:rPr>
          <w:fldChar w:fldCharType="begin"/>
        </w:r>
        <w:r w:rsidR="007C6F59">
          <w:rPr>
            <w:noProof/>
            <w:webHidden/>
          </w:rPr>
          <w:instrText xml:space="preserve"> PAGEREF _Toc101274665 \h </w:instrText>
        </w:r>
        <w:r w:rsidR="007C6F59">
          <w:rPr>
            <w:noProof/>
            <w:webHidden/>
          </w:rPr>
        </w:r>
        <w:r w:rsidR="007C6F59">
          <w:rPr>
            <w:noProof/>
            <w:webHidden/>
          </w:rPr>
          <w:fldChar w:fldCharType="separate"/>
        </w:r>
        <w:r w:rsidR="00587AF0">
          <w:rPr>
            <w:noProof/>
            <w:webHidden/>
          </w:rPr>
          <w:t>189</w:t>
        </w:r>
        <w:r w:rsidR="007C6F59">
          <w:rPr>
            <w:noProof/>
            <w:webHidden/>
          </w:rPr>
          <w:fldChar w:fldCharType="end"/>
        </w:r>
      </w:hyperlink>
    </w:p>
    <w:p w14:paraId="2DD6B642" w14:textId="1901BE4C"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66" w:history="1">
        <w:r w:rsidR="007C6F59" w:rsidRPr="007B6B46">
          <w:rPr>
            <w:rStyle w:val="Hyperlink"/>
            <w:noProof/>
          </w:rPr>
          <w:t>Figure 144. Opening saddle samples after feature normalisation</w:t>
        </w:r>
        <w:r w:rsidR="007C6F59">
          <w:rPr>
            <w:noProof/>
            <w:webHidden/>
          </w:rPr>
          <w:tab/>
        </w:r>
        <w:r w:rsidR="007C6F59">
          <w:rPr>
            <w:noProof/>
            <w:webHidden/>
          </w:rPr>
          <w:fldChar w:fldCharType="begin"/>
        </w:r>
        <w:r w:rsidR="007C6F59">
          <w:rPr>
            <w:noProof/>
            <w:webHidden/>
          </w:rPr>
          <w:instrText xml:space="preserve"> PAGEREF _Toc101274666 \h </w:instrText>
        </w:r>
        <w:r w:rsidR="007C6F59">
          <w:rPr>
            <w:noProof/>
            <w:webHidden/>
          </w:rPr>
        </w:r>
        <w:r w:rsidR="007C6F59">
          <w:rPr>
            <w:noProof/>
            <w:webHidden/>
          </w:rPr>
          <w:fldChar w:fldCharType="separate"/>
        </w:r>
        <w:r w:rsidR="00587AF0">
          <w:rPr>
            <w:noProof/>
            <w:webHidden/>
          </w:rPr>
          <w:t>190</w:t>
        </w:r>
        <w:r w:rsidR="007C6F59">
          <w:rPr>
            <w:noProof/>
            <w:webHidden/>
          </w:rPr>
          <w:fldChar w:fldCharType="end"/>
        </w:r>
      </w:hyperlink>
    </w:p>
    <w:p w14:paraId="211ACEDB" w14:textId="345D20FA"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67" w:history="1">
        <w:r w:rsidR="007C6F59" w:rsidRPr="007B6B46">
          <w:rPr>
            <w:rStyle w:val="Hyperlink"/>
            <w:noProof/>
          </w:rPr>
          <w:t>Figure 145. Idle saddle feature normalisation</w:t>
        </w:r>
        <w:r w:rsidR="007C6F59">
          <w:rPr>
            <w:noProof/>
            <w:webHidden/>
          </w:rPr>
          <w:tab/>
        </w:r>
        <w:r w:rsidR="007C6F59">
          <w:rPr>
            <w:noProof/>
            <w:webHidden/>
          </w:rPr>
          <w:fldChar w:fldCharType="begin"/>
        </w:r>
        <w:r w:rsidR="007C6F59">
          <w:rPr>
            <w:noProof/>
            <w:webHidden/>
          </w:rPr>
          <w:instrText xml:space="preserve"> PAGEREF _Toc101274667 \h </w:instrText>
        </w:r>
        <w:r w:rsidR="007C6F59">
          <w:rPr>
            <w:noProof/>
            <w:webHidden/>
          </w:rPr>
        </w:r>
        <w:r w:rsidR="007C6F59">
          <w:rPr>
            <w:noProof/>
            <w:webHidden/>
          </w:rPr>
          <w:fldChar w:fldCharType="separate"/>
        </w:r>
        <w:r w:rsidR="00587AF0">
          <w:rPr>
            <w:noProof/>
            <w:webHidden/>
          </w:rPr>
          <w:t>191</w:t>
        </w:r>
        <w:r w:rsidR="007C6F59">
          <w:rPr>
            <w:noProof/>
            <w:webHidden/>
          </w:rPr>
          <w:fldChar w:fldCharType="end"/>
        </w:r>
      </w:hyperlink>
    </w:p>
    <w:p w14:paraId="1C7E68F9" w14:textId="2DD285B2"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68" w:history="1">
        <w:r w:rsidR="007C6F59" w:rsidRPr="007B6B46">
          <w:rPr>
            <w:rStyle w:val="Hyperlink"/>
            <w:noProof/>
          </w:rPr>
          <w:t>Figure 146. Idle saddle samples after feature normalisation</w:t>
        </w:r>
        <w:r w:rsidR="007C6F59">
          <w:rPr>
            <w:noProof/>
            <w:webHidden/>
          </w:rPr>
          <w:tab/>
        </w:r>
        <w:r w:rsidR="007C6F59">
          <w:rPr>
            <w:noProof/>
            <w:webHidden/>
          </w:rPr>
          <w:fldChar w:fldCharType="begin"/>
        </w:r>
        <w:r w:rsidR="007C6F59">
          <w:rPr>
            <w:noProof/>
            <w:webHidden/>
          </w:rPr>
          <w:instrText xml:space="preserve"> PAGEREF _Toc101274668 \h </w:instrText>
        </w:r>
        <w:r w:rsidR="007C6F59">
          <w:rPr>
            <w:noProof/>
            <w:webHidden/>
          </w:rPr>
        </w:r>
        <w:r w:rsidR="007C6F59">
          <w:rPr>
            <w:noProof/>
            <w:webHidden/>
          </w:rPr>
          <w:fldChar w:fldCharType="separate"/>
        </w:r>
        <w:r w:rsidR="00587AF0">
          <w:rPr>
            <w:noProof/>
            <w:webHidden/>
          </w:rPr>
          <w:t>192</w:t>
        </w:r>
        <w:r w:rsidR="007C6F59">
          <w:rPr>
            <w:noProof/>
            <w:webHidden/>
          </w:rPr>
          <w:fldChar w:fldCharType="end"/>
        </w:r>
      </w:hyperlink>
    </w:p>
    <w:p w14:paraId="388DE1E3" w14:textId="744EEA66"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69" w:history="1">
        <w:r w:rsidR="007C6F59" w:rsidRPr="007B6B46">
          <w:rPr>
            <w:rStyle w:val="Hyperlink"/>
            <w:noProof/>
          </w:rPr>
          <w:t>Figure 147. Closing saddle feature normalisation</w:t>
        </w:r>
        <w:r w:rsidR="007C6F59">
          <w:rPr>
            <w:noProof/>
            <w:webHidden/>
          </w:rPr>
          <w:tab/>
        </w:r>
        <w:r w:rsidR="007C6F59">
          <w:rPr>
            <w:noProof/>
            <w:webHidden/>
          </w:rPr>
          <w:fldChar w:fldCharType="begin"/>
        </w:r>
        <w:r w:rsidR="007C6F59">
          <w:rPr>
            <w:noProof/>
            <w:webHidden/>
          </w:rPr>
          <w:instrText xml:space="preserve"> PAGEREF _Toc101274669 \h </w:instrText>
        </w:r>
        <w:r w:rsidR="007C6F59">
          <w:rPr>
            <w:noProof/>
            <w:webHidden/>
          </w:rPr>
        </w:r>
        <w:r w:rsidR="007C6F59">
          <w:rPr>
            <w:noProof/>
            <w:webHidden/>
          </w:rPr>
          <w:fldChar w:fldCharType="separate"/>
        </w:r>
        <w:r w:rsidR="00587AF0">
          <w:rPr>
            <w:noProof/>
            <w:webHidden/>
          </w:rPr>
          <w:t>193</w:t>
        </w:r>
        <w:r w:rsidR="007C6F59">
          <w:rPr>
            <w:noProof/>
            <w:webHidden/>
          </w:rPr>
          <w:fldChar w:fldCharType="end"/>
        </w:r>
      </w:hyperlink>
    </w:p>
    <w:p w14:paraId="361F9B9B" w14:textId="51894782"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70" w:history="1">
        <w:r w:rsidR="007C6F59" w:rsidRPr="007B6B46">
          <w:rPr>
            <w:rStyle w:val="Hyperlink"/>
            <w:noProof/>
          </w:rPr>
          <w:t>Figure 148. Closing saddle samples after feature normalisation</w:t>
        </w:r>
        <w:r w:rsidR="007C6F59">
          <w:rPr>
            <w:noProof/>
            <w:webHidden/>
          </w:rPr>
          <w:tab/>
        </w:r>
        <w:r w:rsidR="007C6F59">
          <w:rPr>
            <w:noProof/>
            <w:webHidden/>
          </w:rPr>
          <w:fldChar w:fldCharType="begin"/>
        </w:r>
        <w:r w:rsidR="007C6F59">
          <w:rPr>
            <w:noProof/>
            <w:webHidden/>
          </w:rPr>
          <w:instrText xml:space="preserve"> PAGEREF _Toc101274670 \h </w:instrText>
        </w:r>
        <w:r w:rsidR="007C6F59">
          <w:rPr>
            <w:noProof/>
            <w:webHidden/>
          </w:rPr>
        </w:r>
        <w:r w:rsidR="007C6F59">
          <w:rPr>
            <w:noProof/>
            <w:webHidden/>
          </w:rPr>
          <w:fldChar w:fldCharType="separate"/>
        </w:r>
        <w:r w:rsidR="00587AF0">
          <w:rPr>
            <w:noProof/>
            <w:webHidden/>
          </w:rPr>
          <w:t>194</w:t>
        </w:r>
        <w:r w:rsidR="007C6F59">
          <w:rPr>
            <w:noProof/>
            <w:webHidden/>
          </w:rPr>
          <w:fldChar w:fldCharType="end"/>
        </w:r>
      </w:hyperlink>
    </w:p>
    <w:p w14:paraId="25937789" w14:textId="75A1507D" w:rsidR="00064ACE" w:rsidRPr="000A2A78" w:rsidRDefault="00B53106" w:rsidP="000A2A78">
      <w:r>
        <w:fldChar w:fldCharType="end"/>
      </w:r>
      <w:r w:rsidR="00064ACE">
        <w:br w:type="page"/>
      </w:r>
    </w:p>
    <w:p w14:paraId="2C9E2162" w14:textId="77777777" w:rsidR="007C6F59" w:rsidRDefault="006A3A20" w:rsidP="00706A41">
      <w:pPr>
        <w:pStyle w:val="Titleofthepaper"/>
        <w:rPr>
          <w:noProof/>
        </w:rPr>
      </w:pPr>
      <w:r>
        <w:lastRenderedPageBreak/>
        <w:t>Appendices</w:t>
      </w:r>
      <w:r w:rsidR="002143CA">
        <w:fldChar w:fldCharType="begin"/>
      </w:r>
      <w:r w:rsidR="002143CA">
        <w:instrText xml:space="preserve"> TOC \h \z \c "Appendix" </w:instrText>
      </w:r>
      <w:r w:rsidR="002143CA">
        <w:fldChar w:fldCharType="separate"/>
      </w:r>
    </w:p>
    <w:p w14:paraId="49738431" w14:textId="17E271E5"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71" w:history="1">
        <w:r w:rsidR="007C6F59" w:rsidRPr="0030569D">
          <w:rPr>
            <w:rStyle w:val="Hyperlink"/>
            <w:noProof/>
          </w:rPr>
          <w:t>Appendix 1. Hydraulic systems maintenance practice questionnaire-based survey</w:t>
        </w:r>
        <w:r w:rsidR="007C6F59">
          <w:rPr>
            <w:noProof/>
            <w:webHidden/>
          </w:rPr>
          <w:tab/>
        </w:r>
        <w:r w:rsidR="007C6F59">
          <w:rPr>
            <w:noProof/>
            <w:webHidden/>
          </w:rPr>
          <w:fldChar w:fldCharType="begin"/>
        </w:r>
        <w:r w:rsidR="007C6F59">
          <w:rPr>
            <w:noProof/>
            <w:webHidden/>
          </w:rPr>
          <w:instrText xml:space="preserve"> PAGEREF _Toc101274671 \h </w:instrText>
        </w:r>
        <w:r w:rsidR="007C6F59">
          <w:rPr>
            <w:noProof/>
            <w:webHidden/>
          </w:rPr>
        </w:r>
        <w:r w:rsidR="007C6F59">
          <w:rPr>
            <w:noProof/>
            <w:webHidden/>
          </w:rPr>
          <w:fldChar w:fldCharType="separate"/>
        </w:r>
        <w:r w:rsidR="00587AF0">
          <w:rPr>
            <w:noProof/>
            <w:webHidden/>
          </w:rPr>
          <w:t>167</w:t>
        </w:r>
        <w:r w:rsidR="007C6F59">
          <w:rPr>
            <w:noProof/>
            <w:webHidden/>
          </w:rPr>
          <w:fldChar w:fldCharType="end"/>
        </w:r>
      </w:hyperlink>
    </w:p>
    <w:p w14:paraId="6FA3329A" w14:textId="36B69481"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72" w:history="1">
        <w:r w:rsidR="007C6F59" w:rsidRPr="0030569D">
          <w:rPr>
            <w:rStyle w:val="Hyperlink"/>
            <w:noProof/>
          </w:rPr>
          <w:t>Appendix 2. Results of oil analysis properties from laboratory</w:t>
        </w:r>
        <w:r w:rsidR="007C6F59">
          <w:rPr>
            <w:noProof/>
            <w:webHidden/>
          </w:rPr>
          <w:tab/>
        </w:r>
        <w:r w:rsidR="007C6F59">
          <w:rPr>
            <w:noProof/>
            <w:webHidden/>
          </w:rPr>
          <w:fldChar w:fldCharType="begin"/>
        </w:r>
        <w:r w:rsidR="007C6F59">
          <w:rPr>
            <w:noProof/>
            <w:webHidden/>
          </w:rPr>
          <w:instrText xml:space="preserve"> PAGEREF _Toc101274672 \h </w:instrText>
        </w:r>
        <w:r w:rsidR="007C6F59">
          <w:rPr>
            <w:noProof/>
            <w:webHidden/>
          </w:rPr>
        </w:r>
        <w:r w:rsidR="007C6F59">
          <w:rPr>
            <w:noProof/>
            <w:webHidden/>
          </w:rPr>
          <w:fldChar w:fldCharType="separate"/>
        </w:r>
        <w:r w:rsidR="00587AF0">
          <w:rPr>
            <w:noProof/>
            <w:webHidden/>
          </w:rPr>
          <w:t>172</w:t>
        </w:r>
        <w:r w:rsidR="007C6F59">
          <w:rPr>
            <w:noProof/>
            <w:webHidden/>
          </w:rPr>
          <w:fldChar w:fldCharType="end"/>
        </w:r>
      </w:hyperlink>
    </w:p>
    <w:p w14:paraId="62D91FE0" w14:textId="687E9E3E"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73" w:history="1">
        <w:r w:rsidR="007C6F59" w:rsidRPr="0030569D">
          <w:rPr>
            <w:rStyle w:val="Hyperlink"/>
            <w:noProof/>
          </w:rPr>
          <w:t>Appendix 3. ISO 4406:2017 code for contamination level</w:t>
        </w:r>
        <w:r w:rsidR="007C6F59">
          <w:rPr>
            <w:noProof/>
            <w:webHidden/>
          </w:rPr>
          <w:tab/>
        </w:r>
        <w:r w:rsidR="007C6F59">
          <w:rPr>
            <w:noProof/>
            <w:webHidden/>
          </w:rPr>
          <w:fldChar w:fldCharType="begin"/>
        </w:r>
        <w:r w:rsidR="007C6F59">
          <w:rPr>
            <w:noProof/>
            <w:webHidden/>
          </w:rPr>
          <w:instrText xml:space="preserve"> PAGEREF _Toc101274673 \h </w:instrText>
        </w:r>
        <w:r w:rsidR="007C6F59">
          <w:rPr>
            <w:noProof/>
            <w:webHidden/>
          </w:rPr>
        </w:r>
        <w:r w:rsidR="007C6F59">
          <w:rPr>
            <w:noProof/>
            <w:webHidden/>
          </w:rPr>
          <w:fldChar w:fldCharType="separate"/>
        </w:r>
        <w:r w:rsidR="00587AF0">
          <w:rPr>
            <w:noProof/>
            <w:webHidden/>
          </w:rPr>
          <w:t>173</w:t>
        </w:r>
        <w:r w:rsidR="007C6F59">
          <w:rPr>
            <w:noProof/>
            <w:webHidden/>
          </w:rPr>
          <w:fldChar w:fldCharType="end"/>
        </w:r>
      </w:hyperlink>
    </w:p>
    <w:p w14:paraId="3EA8BDCD" w14:textId="27175AB9"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74" w:history="1">
        <w:r w:rsidR="007C6F59" w:rsidRPr="0030569D">
          <w:rPr>
            <w:rStyle w:val="Hyperlink"/>
            <w:noProof/>
          </w:rPr>
          <w:t>Appendix 4. Measured values per cycle of workload and intensity data</w:t>
        </w:r>
        <w:r w:rsidR="007C6F59">
          <w:rPr>
            <w:noProof/>
            <w:webHidden/>
          </w:rPr>
          <w:tab/>
        </w:r>
        <w:r w:rsidR="007C6F59">
          <w:rPr>
            <w:noProof/>
            <w:webHidden/>
          </w:rPr>
          <w:fldChar w:fldCharType="begin"/>
        </w:r>
        <w:r w:rsidR="007C6F59">
          <w:rPr>
            <w:noProof/>
            <w:webHidden/>
          </w:rPr>
          <w:instrText xml:space="preserve"> PAGEREF _Toc101274674 \h </w:instrText>
        </w:r>
        <w:r w:rsidR="007C6F59">
          <w:rPr>
            <w:noProof/>
            <w:webHidden/>
          </w:rPr>
        </w:r>
        <w:r w:rsidR="007C6F59">
          <w:rPr>
            <w:noProof/>
            <w:webHidden/>
          </w:rPr>
          <w:fldChar w:fldCharType="separate"/>
        </w:r>
        <w:r w:rsidR="00587AF0">
          <w:rPr>
            <w:noProof/>
            <w:webHidden/>
          </w:rPr>
          <w:t>174</w:t>
        </w:r>
        <w:r w:rsidR="007C6F59">
          <w:rPr>
            <w:noProof/>
            <w:webHidden/>
          </w:rPr>
          <w:fldChar w:fldCharType="end"/>
        </w:r>
      </w:hyperlink>
    </w:p>
    <w:p w14:paraId="6A862AC0" w14:textId="0E83474B"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75" w:history="1">
        <w:r w:rsidR="007C6F59" w:rsidRPr="0030569D">
          <w:rPr>
            <w:rStyle w:val="Hyperlink"/>
            <w:noProof/>
          </w:rPr>
          <w:t>Appendix 5. Automatic particle counter and aqua sensor (saturation) data</w:t>
        </w:r>
        <w:r w:rsidR="007C6F59">
          <w:rPr>
            <w:noProof/>
            <w:webHidden/>
          </w:rPr>
          <w:tab/>
        </w:r>
        <w:r w:rsidR="007C6F59">
          <w:rPr>
            <w:noProof/>
            <w:webHidden/>
          </w:rPr>
          <w:fldChar w:fldCharType="begin"/>
        </w:r>
        <w:r w:rsidR="007C6F59">
          <w:rPr>
            <w:noProof/>
            <w:webHidden/>
          </w:rPr>
          <w:instrText xml:space="preserve"> PAGEREF _Toc101274675 \h </w:instrText>
        </w:r>
        <w:r w:rsidR="007C6F59">
          <w:rPr>
            <w:noProof/>
            <w:webHidden/>
          </w:rPr>
        </w:r>
        <w:r w:rsidR="007C6F59">
          <w:rPr>
            <w:noProof/>
            <w:webHidden/>
          </w:rPr>
          <w:fldChar w:fldCharType="separate"/>
        </w:r>
        <w:r w:rsidR="00587AF0">
          <w:rPr>
            <w:noProof/>
            <w:webHidden/>
          </w:rPr>
          <w:t>175</w:t>
        </w:r>
        <w:r w:rsidR="007C6F59">
          <w:rPr>
            <w:noProof/>
            <w:webHidden/>
          </w:rPr>
          <w:fldChar w:fldCharType="end"/>
        </w:r>
      </w:hyperlink>
    </w:p>
    <w:p w14:paraId="3822FA51" w14:textId="4857ACA2"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76" w:history="1">
        <w:r w:rsidR="007C6F59" w:rsidRPr="0030569D">
          <w:rPr>
            <w:rStyle w:val="Hyperlink"/>
            <w:noProof/>
          </w:rPr>
          <w:t>Appendix 6. Power delivery to the system per specific sum of cycles and daily</w:t>
        </w:r>
        <w:r w:rsidR="007C6F59">
          <w:rPr>
            <w:noProof/>
            <w:webHidden/>
          </w:rPr>
          <w:tab/>
        </w:r>
        <w:r w:rsidR="007C6F59">
          <w:rPr>
            <w:noProof/>
            <w:webHidden/>
          </w:rPr>
          <w:fldChar w:fldCharType="begin"/>
        </w:r>
        <w:r w:rsidR="007C6F59">
          <w:rPr>
            <w:noProof/>
            <w:webHidden/>
          </w:rPr>
          <w:instrText xml:space="preserve"> PAGEREF _Toc101274676 \h </w:instrText>
        </w:r>
        <w:r w:rsidR="007C6F59">
          <w:rPr>
            <w:noProof/>
            <w:webHidden/>
          </w:rPr>
        </w:r>
        <w:r w:rsidR="007C6F59">
          <w:rPr>
            <w:noProof/>
            <w:webHidden/>
          </w:rPr>
          <w:fldChar w:fldCharType="separate"/>
        </w:r>
        <w:r w:rsidR="00587AF0">
          <w:rPr>
            <w:noProof/>
            <w:webHidden/>
          </w:rPr>
          <w:t>176</w:t>
        </w:r>
        <w:r w:rsidR="007C6F59">
          <w:rPr>
            <w:noProof/>
            <w:webHidden/>
          </w:rPr>
          <w:fldChar w:fldCharType="end"/>
        </w:r>
      </w:hyperlink>
    </w:p>
    <w:p w14:paraId="30E9C4DA" w14:textId="52B500D0"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77" w:history="1">
        <w:r w:rsidR="007C6F59" w:rsidRPr="0030569D">
          <w:rPr>
            <w:rStyle w:val="Hyperlink"/>
            <w:noProof/>
          </w:rPr>
          <w:t>Appendix 7. Interpolation equations for dealing with missing values</w:t>
        </w:r>
        <w:r w:rsidR="007C6F59">
          <w:rPr>
            <w:noProof/>
            <w:webHidden/>
          </w:rPr>
          <w:tab/>
        </w:r>
        <w:r w:rsidR="007C6F59">
          <w:rPr>
            <w:noProof/>
            <w:webHidden/>
          </w:rPr>
          <w:fldChar w:fldCharType="begin"/>
        </w:r>
        <w:r w:rsidR="007C6F59">
          <w:rPr>
            <w:noProof/>
            <w:webHidden/>
          </w:rPr>
          <w:instrText xml:space="preserve"> PAGEREF _Toc101274677 \h </w:instrText>
        </w:r>
        <w:r w:rsidR="007C6F59">
          <w:rPr>
            <w:noProof/>
            <w:webHidden/>
          </w:rPr>
        </w:r>
        <w:r w:rsidR="007C6F59">
          <w:rPr>
            <w:noProof/>
            <w:webHidden/>
          </w:rPr>
          <w:fldChar w:fldCharType="separate"/>
        </w:r>
        <w:r w:rsidR="00587AF0">
          <w:rPr>
            <w:noProof/>
            <w:webHidden/>
          </w:rPr>
          <w:t>177</w:t>
        </w:r>
        <w:r w:rsidR="007C6F59">
          <w:rPr>
            <w:noProof/>
            <w:webHidden/>
          </w:rPr>
          <w:fldChar w:fldCharType="end"/>
        </w:r>
      </w:hyperlink>
    </w:p>
    <w:p w14:paraId="1331A75B" w14:textId="13A1B5D8"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78" w:history="1">
        <w:r w:rsidR="007C6F59" w:rsidRPr="0030569D">
          <w:rPr>
            <w:rStyle w:val="Hyperlink"/>
            <w:noProof/>
          </w:rPr>
          <w:t>Appendix 8. Autocorrelation and partial autocorrelation estimates of N_HyPower data</w:t>
        </w:r>
        <w:r w:rsidR="007C6F59">
          <w:rPr>
            <w:noProof/>
            <w:webHidden/>
          </w:rPr>
          <w:tab/>
        </w:r>
        <w:r w:rsidR="007C6F59">
          <w:rPr>
            <w:noProof/>
            <w:webHidden/>
          </w:rPr>
          <w:fldChar w:fldCharType="begin"/>
        </w:r>
        <w:r w:rsidR="007C6F59">
          <w:rPr>
            <w:noProof/>
            <w:webHidden/>
          </w:rPr>
          <w:instrText xml:space="preserve"> PAGEREF _Toc101274678 \h </w:instrText>
        </w:r>
        <w:r w:rsidR="007C6F59">
          <w:rPr>
            <w:noProof/>
            <w:webHidden/>
          </w:rPr>
        </w:r>
        <w:r w:rsidR="007C6F59">
          <w:rPr>
            <w:noProof/>
            <w:webHidden/>
          </w:rPr>
          <w:fldChar w:fldCharType="separate"/>
        </w:r>
        <w:r w:rsidR="00587AF0">
          <w:rPr>
            <w:noProof/>
            <w:webHidden/>
          </w:rPr>
          <w:t>178</w:t>
        </w:r>
        <w:r w:rsidR="007C6F59">
          <w:rPr>
            <w:noProof/>
            <w:webHidden/>
          </w:rPr>
          <w:fldChar w:fldCharType="end"/>
        </w:r>
      </w:hyperlink>
    </w:p>
    <w:p w14:paraId="72EDFE76" w14:textId="0346B8BC"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79" w:history="1">
        <w:r w:rsidR="007C6F59" w:rsidRPr="0030569D">
          <w:rPr>
            <w:rStyle w:val="Hyperlink"/>
            <w:noProof/>
          </w:rPr>
          <w:t>Appendix 9. Determining quasi-fault time-to-an-event (TBQF) at opening saddle position</w:t>
        </w:r>
        <w:r w:rsidR="007C6F59">
          <w:rPr>
            <w:noProof/>
            <w:webHidden/>
          </w:rPr>
          <w:tab/>
        </w:r>
        <w:r w:rsidR="007C6F59">
          <w:rPr>
            <w:noProof/>
            <w:webHidden/>
          </w:rPr>
          <w:fldChar w:fldCharType="begin"/>
        </w:r>
        <w:r w:rsidR="007C6F59">
          <w:rPr>
            <w:noProof/>
            <w:webHidden/>
          </w:rPr>
          <w:instrText xml:space="preserve"> PAGEREF _Toc101274679 \h </w:instrText>
        </w:r>
        <w:r w:rsidR="007C6F59">
          <w:rPr>
            <w:noProof/>
            <w:webHidden/>
          </w:rPr>
        </w:r>
        <w:r w:rsidR="007C6F59">
          <w:rPr>
            <w:noProof/>
            <w:webHidden/>
          </w:rPr>
          <w:fldChar w:fldCharType="separate"/>
        </w:r>
        <w:r w:rsidR="00587AF0">
          <w:rPr>
            <w:noProof/>
            <w:webHidden/>
          </w:rPr>
          <w:t>179</w:t>
        </w:r>
        <w:r w:rsidR="007C6F59">
          <w:rPr>
            <w:noProof/>
            <w:webHidden/>
          </w:rPr>
          <w:fldChar w:fldCharType="end"/>
        </w:r>
      </w:hyperlink>
    </w:p>
    <w:p w14:paraId="2F47DBBF" w14:textId="1C2E0514"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80" w:history="1">
        <w:r w:rsidR="007C6F59" w:rsidRPr="0030569D">
          <w:rPr>
            <w:rStyle w:val="Hyperlink"/>
            <w:noProof/>
          </w:rPr>
          <w:t>Appendix 10. Determining quasi- fault time-to-an-event (TBQF) at idle saddle position</w:t>
        </w:r>
        <w:r w:rsidR="007C6F59">
          <w:rPr>
            <w:noProof/>
            <w:webHidden/>
          </w:rPr>
          <w:tab/>
        </w:r>
        <w:r w:rsidR="007C6F59">
          <w:rPr>
            <w:noProof/>
            <w:webHidden/>
          </w:rPr>
          <w:fldChar w:fldCharType="begin"/>
        </w:r>
        <w:r w:rsidR="007C6F59">
          <w:rPr>
            <w:noProof/>
            <w:webHidden/>
          </w:rPr>
          <w:instrText xml:space="preserve"> PAGEREF _Toc101274680 \h </w:instrText>
        </w:r>
        <w:r w:rsidR="007C6F59">
          <w:rPr>
            <w:noProof/>
            <w:webHidden/>
          </w:rPr>
        </w:r>
        <w:r w:rsidR="007C6F59">
          <w:rPr>
            <w:noProof/>
            <w:webHidden/>
          </w:rPr>
          <w:fldChar w:fldCharType="separate"/>
        </w:r>
        <w:r w:rsidR="00587AF0">
          <w:rPr>
            <w:noProof/>
            <w:webHidden/>
          </w:rPr>
          <w:t>180</w:t>
        </w:r>
        <w:r w:rsidR="007C6F59">
          <w:rPr>
            <w:noProof/>
            <w:webHidden/>
          </w:rPr>
          <w:fldChar w:fldCharType="end"/>
        </w:r>
      </w:hyperlink>
    </w:p>
    <w:p w14:paraId="72C5F0FF" w14:textId="1B384962"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81" w:history="1">
        <w:r w:rsidR="007C6F59" w:rsidRPr="0030569D">
          <w:rPr>
            <w:rStyle w:val="Hyperlink"/>
            <w:noProof/>
          </w:rPr>
          <w:t>Appendix 11. Determining quasi- fault time-to-an-event (TBQF) at closing saddle position</w:t>
        </w:r>
        <w:r w:rsidR="007C6F59">
          <w:rPr>
            <w:noProof/>
            <w:webHidden/>
          </w:rPr>
          <w:tab/>
        </w:r>
        <w:r w:rsidR="007C6F59">
          <w:rPr>
            <w:noProof/>
            <w:webHidden/>
          </w:rPr>
          <w:fldChar w:fldCharType="begin"/>
        </w:r>
        <w:r w:rsidR="007C6F59">
          <w:rPr>
            <w:noProof/>
            <w:webHidden/>
          </w:rPr>
          <w:instrText xml:space="preserve"> PAGEREF _Toc101274681 \h </w:instrText>
        </w:r>
        <w:r w:rsidR="007C6F59">
          <w:rPr>
            <w:noProof/>
            <w:webHidden/>
          </w:rPr>
        </w:r>
        <w:r w:rsidR="007C6F59">
          <w:rPr>
            <w:noProof/>
            <w:webHidden/>
          </w:rPr>
          <w:fldChar w:fldCharType="separate"/>
        </w:r>
        <w:r w:rsidR="00587AF0">
          <w:rPr>
            <w:noProof/>
            <w:webHidden/>
          </w:rPr>
          <w:t>181</w:t>
        </w:r>
        <w:r w:rsidR="007C6F59">
          <w:rPr>
            <w:noProof/>
            <w:webHidden/>
          </w:rPr>
          <w:fldChar w:fldCharType="end"/>
        </w:r>
      </w:hyperlink>
    </w:p>
    <w:p w14:paraId="2EBB52D6" w14:textId="6D5A246E"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82" w:history="1">
        <w:r w:rsidR="007C6F59" w:rsidRPr="0030569D">
          <w:rPr>
            <w:rStyle w:val="Hyperlink"/>
            <w:noProof/>
          </w:rPr>
          <w:t>Appendix 12. Interpolation graphs of physical and elemental oil analysis data</w:t>
        </w:r>
        <w:r w:rsidR="007C6F59">
          <w:rPr>
            <w:noProof/>
            <w:webHidden/>
          </w:rPr>
          <w:tab/>
        </w:r>
        <w:r w:rsidR="007C6F59">
          <w:rPr>
            <w:noProof/>
            <w:webHidden/>
          </w:rPr>
          <w:fldChar w:fldCharType="begin"/>
        </w:r>
        <w:r w:rsidR="007C6F59">
          <w:rPr>
            <w:noProof/>
            <w:webHidden/>
          </w:rPr>
          <w:instrText xml:space="preserve"> PAGEREF _Toc101274682 \h </w:instrText>
        </w:r>
        <w:r w:rsidR="007C6F59">
          <w:rPr>
            <w:noProof/>
            <w:webHidden/>
          </w:rPr>
        </w:r>
        <w:r w:rsidR="007C6F59">
          <w:rPr>
            <w:noProof/>
            <w:webHidden/>
          </w:rPr>
          <w:fldChar w:fldCharType="separate"/>
        </w:r>
        <w:r w:rsidR="00587AF0">
          <w:rPr>
            <w:noProof/>
            <w:webHidden/>
          </w:rPr>
          <w:t>182</w:t>
        </w:r>
        <w:r w:rsidR="007C6F59">
          <w:rPr>
            <w:noProof/>
            <w:webHidden/>
          </w:rPr>
          <w:fldChar w:fldCharType="end"/>
        </w:r>
      </w:hyperlink>
    </w:p>
    <w:p w14:paraId="63659A4E" w14:textId="15F39664"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83" w:history="1">
        <w:r w:rsidR="007C6F59" w:rsidRPr="0030569D">
          <w:rPr>
            <w:rStyle w:val="Hyperlink"/>
            <w:noProof/>
          </w:rPr>
          <w:t>Appendix 13. Hydraulic power features before and after normalisation</w:t>
        </w:r>
        <w:r w:rsidR="007C6F59">
          <w:rPr>
            <w:noProof/>
            <w:webHidden/>
          </w:rPr>
          <w:tab/>
        </w:r>
        <w:r w:rsidR="007C6F59">
          <w:rPr>
            <w:noProof/>
            <w:webHidden/>
          </w:rPr>
          <w:fldChar w:fldCharType="begin"/>
        </w:r>
        <w:r w:rsidR="007C6F59">
          <w:rPr>
            <w:noProof/>
            <w:webHidden/>
          </w:rPr>
          <w:instrText xml:space="preserve"> PAGEREF _Toc101274683 \h </w:instrText>
        </w:r>
        <w:r w:rsidR="007C6F59">
          <w:rPr>
            <w:noProof/>
            <w:webHidden/>
          </w:rPr>
        </w:r>
        <w:r w:rsidR="007C6F59">
          <w:rPr>
            <w:noProof/>
            <w:webHidden/>
          </w:rPr>
          <w:fldChar w:fldCharType="separate"/>
        </w:r>
        <w:r w:rsidR="00587AF0">
          <w:rPr>
            <w:noProof/>
            <w:webHidden/>
          </w:rPr>
          <w:t>189</w:t>
        </w:r>
        <w:r w:rsidR="007C6F59">
          <w:rPr>
            <w:noProof/>
            <w:webHidden/>
          </w:rPr>
          <w:fldChar w:fldCharType="end"/>
        </w:r>
      </w:hyperlink>
    </w:p>
    <w:p w14:paraId="4BDD95E0" w14:textId="0F55056E" w:rsidR="007C6F59" w:rsidRDefault="00427B33">
      <w:pPr>
        <w:pStyle w:val="TableofFigures"/>
        <w:tabs>
          <w:tab w:val="right" w:leader="dot" w:pos="9017"/>
        </w:tabs>
        <w:rPr>
          <w:rFonts w:asciiTheme="minorHAnsi" w:eastAsiaTheme="minorEastAsia" w:hAnsiTheme="minorHAnsi"/>
          <w:noProof/>
          <w:sz w:val="22"/>
          <w:lang w:val="sr-Latn-RS" w:eastAsia="sr-Latn-RS"/>
        </w:rPr>
      </w:pPr>
      <w:hyperlink w:anchor="_Toc101274684" w:history="1">
        <w:r w:rsidR="007C6F59" w:rsidRPr="0030569D">
          <w:rPr>
            <w:rStyle w:val="Hyperlink"/>
            <w:noProof/>
          </w:rPr>
          <w:t>Appendix 14. JADbio AutoML results of testing classification data using SVM</w:t>
        </w:r>
        <w:r w:rsidR="007C6F59">
          <w:rPr>
            <w:noProof/>
            <w:webHidden/>
          </w:rPr>
          <w:tab/>
        </w:r>
        <w:r w:rsidR="007C6F59">
          <w:rPr>
            <w:noProof/>
            <w:webHidden/>
          </w:rPr>
          <w:fldChar w:fldCharType="begin"/>
        </w:r>
        <w:r w:rsidR="007C6F59">
          <w:rPr>
            <w:noProof/>
            <w:webHidden/>
          </w:rPr>
          <w:instrText xml:space="preserve"> PAGEREF _Toc101274684 \h </w:instrText>
        </w:r>
        <w:r w:rsidR="007C6F59">
          <w:rPr>
            <w:noProof/>
            <w:webHidden/>
          </w:rPr>
        </w:r>
        <w:r w:rsidR="007C6F59">
          <w:rPr>
            <w:noProof/>
            <w:webHidden/>
          </w:rPr>
          <w:fldChar w:fldCharType="separate"/>
        </w:r>
        <w:r w:rsidR="00587AF0">
          <w:rPr>
            <w:noProof/>
            <w:webHidden/>
          </w:rPr>
          <w:t>195</w:t>
        </w:r>
        <w:r w:rsidR="007C6F59">
          <w:rPr>
            <w:noProof/>
            <w:webHidden/>
          </w:rPr>
          <w:fldChar w:fldCharType="end"/>
        </w:r>
      </w:hyperlink>
    </w:p>
    <w:p w14:paraId="248B3D5B" w14:textId="5904873E" w:rsidR="00B53106" w:rsidRDefault="002143CA" w:rsidP="00B53106">
      <w:pPr>
        <w:pStyle w:val="Titleofthepaper"/>
      </w:pPr>
      <w:r>
        <w:fldChar w:fldCharType="end"/>
      </w:r>
    </w:p>
    <w:p w14:paraId="042F1AF7" w14:textId="77777777" w:rsidR="002143CA" w:rsidRDefault="002143CA" w:rsidP="00B53106">
      <w:pPr>
        <w:pStyle w:val="Titleofthepaper"/>
      </w:pPr>
    </w:p>
    <w:p w14:paraId="6B42B6E4" w14:textId="6AC62172" w:rsidR="00670ED0" w:rsidRPr="0087286B" w:rsidRDefault="00670ED0">
      <w:pPr>
        <w:spacing w:before="0" w:after="160" w:line="259" w:lineRule="auto"/>
        <w:jc w:val="left"/>
        <w:rPr>
          <w:b/>
          <w:smallCaps/>
          <w:sz w:val="48"/>
          <w:lang w:val="sr-Latn-RS"/>
        </w:rPr>
      </w:pPr>
      <w:r>
        <w:br w:type="page"/>
      </w:r>
    </w:p>
    <w:p w14:paraId="6D0DC862" w14:textId="77777777" w:rsidR="00670ED0" w:rsidRDefault="00670ED0" w:rsidP="00706A41">
      <w:pPr>
        <w:pStyle w:val="Titleofthepaper"/>
        <w:rPr>
          <w:lang w:val="sr-Latn-RS"/>
        </w:rPr>
      </w:pPr>
      <w:bookmarkStart w:id="0" w:name="_Hlk62647812"/>
      <w:r>
        <w:rPr>
          <w:lang w:val="sr-Latn-RS"/>
        </w:rPr>
        <w:lastRenderedPageBreak/>
        <w:t>Acronyms</w:t>
      </w:r>
    </w:p>
    <w:tbl>
      <w:tblPr>
        <w:tblW w:w="0" w:type="auto"/>
        <w:tblLook w:val="04A0" w:firstRow="1" w:lastRow="0" w:firstColumn="1" w:lastColumn="0" w:noHBand="0" w:noVBand="1"/>
      </w:tblPr>
      <w:tblGrid>
        <w:gridCol w:w="1350"/>
        <w:gridCol w:w="7667"/>
      </w:tblGrid>
      <w:tr w:rsidR="007C6F59" w14:paraId="4A0A1484" w14:textId="77777777" w:rsidTr="00256520">
        <w:tc>
          <w:tcPr>
            <w:tcW w:w="1350" w:type="dxa"/>
            <w:vAlign w:val="center"/>
          </w:tcPr>
          <w:p w14:paraId="5AB84213" w14:textId="77777777" w:rsidR="007C6F59" w:rsidRDefault="007C6F59" w:rsidP="002323D5">
            <w:pPr>
              <w:jc w:val="left"/>
              <w:rPr>
                <w:b/>
                <w:bCs/>
                <w:lang w:val="sr-Latn-RS"/>
              </w:rPr>
            </w:pPr>
            <w:r>
              <w:rPr>
                <w:b/>
                <w:bCs/>
                <w:lang w:val="sr-Latn-RS"/>
              </w:rPr>
              <w:t>ABAO</w:t>
            </w:r>
          </w:p>
        </w:tc>
        <w:tc>
          <w:tcPr>
            <w:tcW w:w="7667" w:type="dxa"/>
            <w:vAlign w:val="center"/>
          </w:tcPr>
          <w:p w14:paraId="69CBC9D0" w14:textId="77777777" w:rsidR="007C6F59" w:rsidRDefault="007C6F59" w:rsidP="002323D5">
            <w:pPr>
              <w:jc w:val="left"/>
            </w:pPr>
            <w:r>
              <w:t>As-bad-as-old</w:t>
            </w:r>
          </w:p>
        </w:tc>
      </w:tr>
      <w:tr w:rsidR="007C6F59" w14:paraId="44A332FC" w14:textId="77777777" w:rsidTr="00256520">
        <w:tc>
          <w:tcPr>
            <w:tcW w:w="1350" w:type="dxa"/>
            <w:vAlign w:val="center"/>
          </w:tcPr>
          <w:p w14:paraId="7FC1F1A1" w14:textId="77777777" w:rsidR="007C6F59" w:rsidRDefault="007C6F59" w:rsidP="002323D5">
            <w:pPr>
              <w:jc w:val="left"/>
              <w:rPr>
                <w:b/>
                <w:bCs/>
                <w:lang w:val="sr-Latn-RS"/>
              </w:rPr>
            </w:pPr>
            <w:r>
              <w:rPr>
                <w:b/>
                <w:bCs/>
                <w:lang w:val="sr-Latn-RS"/>
              </w:rPr>
              <w:t>ACF</w:t>
            </w:r>
          </w:p>
        </w:tc>
        <w:tc>
          <w:tcPr>
            <w:tcW w:w="7667" w:type="dxa"/>
            <w:vAlign w:val="center"/>
          </w:tcPr>
          <w:p w14:paraId="4E5F99FC" w14:textId="77777777" w:rsidR="007C6F59" w:rsidRDefault="007C6F59" w:rsidP="002323D5">
            <w:pPr>
              <w:jc w:val="left"/>
            </w:pPr>
            <w:r>
              <w:t>Autocorrelation function</w:t>
            </w:r>
          </w:p>
        </w:tc>
      </w:tr>
      <w:tr w:rsidR="007C6F59" w14:paraId="72B61127" w14:textId="77777777" w:rsidTr="00F3460A">
        <w:tc>
          <w:tcPr>
            <w:tcW w:w="1350" w:type="dxa"/>
            <w:vAlign w:val="center"/>
          </w:tcPr>
          <w:p w14:paraId="43E7D09A" w14:textId="77777777" w:rsidR="007C6F59" w:rsidRDefault="007C6F59" w:rsidP="002323D5">
            <w:pPr>
              <w:jc w:val="left"/>
              <w:rPr>
                <w:b/>
                <w:bCs/>
                <w:lang w:val="sr-Latn-RS"/>
              </w:rPr>
            </w:pPr>
            <w:r>
              <w:rPr>
                <w:b/>
                <w:bCs/>
                <w:lang w:val="sr-Latn-RS"/>
              </w:rPr>
              <w:t>AGAN</w:t>
            </w:r>
          </w:p>
        </w:tc>
        <w:tc>
          <w:tcPr>
            <w:tcW w:w="7667" w:type="dxa"/>
            <w:vAlign w:val="center"/>
          </w:tcPr>
          <w:p w14:paraId="2F3A82BB" w14:textId="77777777" w:rsidR="007C6F59" w:rsidRDefault="007C6F59" w:rsidP="002323D5">
            <w:pPr>
              <w:jc w:val="left"/>
            </w:pPr>
            <w:r>
              <w:t>As-good-as-new</w:t>
            </w:r>
          </w:p>
        </w:tc>
      </w:tr>
      <w:tr w:rsidR="007C6F59" w14:paraId="62CB4505" w14:textId="77777777" w:rsidTr="00F3460A">
        <w:tc>
          <w:tcPr>
            <w:tcW w:w="1350" w:type="dxa"/>
            <w:vAlign w:val="center"/>
          </w:tcPr>
          <w:p w14:paraId="4DBD0179" w14:textId="77777777" w:rsidR="007C6F59" w:rsidRDefault="007C6F59" w:rsidP="0067627F">
            <w:pPr>
              <w:jc w:val="left"/>
              <w:rPr>
                <w:b/>
                <w:bCs/>
                <w:lang w:val="sr-Latn-RS"/>
              </w:rPr>
            </w:pPr>
            <w:r>
              <w:rPr>
                <w:b/>
                <w:bCs/>
                <w:lang w:val="sr-Latn-RS"/>
              </w:rPr>
              <w:t>AI</w:t>
            </w:r>
          </w:p>
        </w:tc>
        <w:tc>
          <w:tcPr>
            <w:tcW w:w="7667" w:type="dxa"/>
            <w:vAlign w:val="center"/>
          </w:tcPr>
          <w:p w14:paraId="66EE65FB" w14:textId="77777777" w:rsidR="007C6F59" w:rsidRDefault="007C6F59" w:rsidP="0067627F">
            <w:pPr>
              <w:jc w:val="left"/>
              <w:rPr>
                <w:lang w:val="sr-Latn-RS"/>
              </w:rPr>
            </w:pPr>
            <w:r>
              <w:rPr>
                <w:lang w:val="sr-Latn-RS"/>
              </w:rPr>
              <w:t>Artificial Intelligence</w:t>
            </w:r>
          </w:p>
        </w:tc>
      </w:tr>
      <w:tr w:rsidR="007C6F59" w14:paraId="3CB8F230" w14:textId="77777777" w:rsidTr="00F3460A">
        <w:tc>
          <w:tcPr>
            <w:tcW w:w="1350" w:type="dxa"/>
            <w:vAlign w:val="center"/>
          </w:tcPr>
          <w:p w14:paraId="2B23ADCE" w14:textId="77777777" w:rsidR="007C6F59" w:rsidRDefault="007C6F59" w:rsidP="0067627F">
            <w:pPr>
              <w:jc w:val="left"/>
              <w:rPr>
                <w:b/>
                <w:bCs/>
                <w:lang w:val="sr-Latn-RS"/>
              </w:rPr>
            </w:pPr>
            <w:r>
              <w:rPr>
                <w:b/>
                <w:bCs/>
                <w:lang w:val="sr-Latn-RS"/>
              </w:rPr>
              <w:t>AMSAA</w:t>
            </w:r>
          </w:p>
        </w:tc>
        <w:tc>
          <w:tcPr>
            <w:tcW w:w="7667" w:type="dxa"/>
            <w:vAlign w:val="center"/>
          </w:tcPr>
          <w:p w14:paraId="12CF7B46" w14:textId="77777777" w:rsidR="007C6F59" w:rsidRDefault="007C6F59" w:rsidP="0067627F">
            <w:pPr>
              <w:jc w:val="left"/>
              <w:rPr>
                <w:lang w:val="sr-Latn-RS"/>
              </w:rPr>
            </w:pPr>
            <w:r>
              <w:t>Army Materials Systems Analysis Activity</w:t>
            </w:r>
          </w:p>
        </w:tc>
      </w:tr>
      <w:tr w:rsidR="007C6F59" w14:paraId="05AB4C9C" w14:textId="77777777" w:rsidTr="00F3460A">
        <w:tc>
          <w:tcPr>
            <w:tcW w:w="1350" w:type="dxa"/>
            <w:vAlign w:val="center"/>
          </w:tcPr>
          <w:p w14:paraId="1E2FF966" w14:textId="77777777" w:rsidR="007C6F59" w:rsidRDefault="007C6F59" w:rsidP="0067627F">
            <w:pPr>
              <w:jc w:val="left"/>
              <w:rPr>
                <w:b/>
                <w:bCs/>
                <w:lang w:val="sr-Latn-RS"/>
              </w:rPr>
            </w:pPr>
            <w:r>
              <w:rPr>
                <w:b/>
                <w:bCs/>
                <w:lang w:val="sr-Latn-RS"/>
              </w:rPr>
              <w:t>ANN</w:t>
            </w:r>
          </w:p>
        </w:tc>
        <w:tc>
          <w:tcPr>
            <w:tcW w:w="7667" w:type="dxa"/>
            <w:vAlign w:val="center"/>
          </w:tcPr>
          <w:p w14:paraId="317F8F5A" w14:textId="24C7DDDE" w:rsidR="007C6F59" w:rsidRDefault="007C6F59" w:rsidP="0067627F">
            <w:pPr>
              <w:jc w:val="left"/>
              <w:rPr>
                <w:lang w:val="sr-Latn-RS"/>
              </w:rPr>
            </w:pPr>
            <w:r>
              <w:rPr>
                <w:lang w:val="sr-Latn-RS"/>
              </w:rPr>
              <w:t>Artificial Neural Network</w:t>
            </w:r>
          </w:p>
        </w:tc>
      </w:tr>
      <w:tr w:rsidR="007C6F59" w14:paraId="531C8B97" w14:textId="77777777" w:rsidTr="00F3460A">
        <w:tc>
          <w:tcPr>
            <w:tcW w:w="1350" w:type="dxa"/>
            <w:vAlign w:val="center"/>
          </w:tcPr>
          <w:p w14:paraId="17A6B924" w14:textId="77777777" w:rsidR="007C6F59" w:rsidRDefault="007C6F59" w:rsidP="002323D5">
            <w:pPr>
              <w:jc w:val="left"/>
              <w:rPr>
                <w:b/>
                <w:bCs/>
                <w:lang w:val="sr-Latn-RS"/>
              </w:rPr>
            </w:pPr>
            <w:r>
              <w:rPr>
                <w:b/>
                <w:bCs/>
                <w:lang w:val="sr-Latn-RS"/>
              </w:rPr>
              <w:t>AR</w:t>
            </w:r>
          </w:p>
        </w:tc>
        <w:tc>
          <w:tcPr>
            <w:tcW w:w="7667" w:type="dxa"/>
            <w:vAlign w:val="center"/>
          </w:tcPr>
          <w:p w14:paraId="721963F4" w14:textId="77777777" w:rsidR="007C6F59" w:rsidRDefault="007C6F59" w:rsidP="002323D5">
            <w:pPr>
              <w:jc w:val="left"/>
            </w:pPr>
            <w:r>
              <w:t>Autoregressive</w:t>
            </w:r>
          </w:p>
        </w:tc>
      </w:tr>
      <w:tr w:rsidR="007C6F59" w14:paraId="6A12B6D8" w14:textId="77777777" w:rsidTr="00F3460A">
        <w:tc>
          <w:tcPr>
            <w:tcW w:w="1350" w:type="dxa"/>
            <w:vAlign w:val="center"/>
          </w:tcPr>
          <w:p w14:paraId="0923F4C1" w14:textId="77777777" w:rsidR="007C6F59" w:rsidRDefault="007C6F59" w:rsidP="002323D5">
            <w:pPr>
              <w:jc w:val="left"/>
              <w:rPr>
                <w:b/>
                <w:bCs/>
                <w:lang w:val="sr-Latn-RS"/>
              </w:rPr>
            </w:pPr>
            <w:r>
              <w:rPr>
                <w:b/>
                <w:bCs/>
                <w:lang w:val="sr-Latn-RS"/>
              </w:rPr>
              <w:t>AR(I)MA</w:t>
            </w:r>
          </w:p>
        </w:tc>
        <w:tc>
          <w:tcPr>
            <w:tcW w:w="7667" w:type="dxa"/>
            <w:vAlign w:val="center"/>
          </w:tcPr>
          <w:p w14:paraId="43713BDF" w14:textId="77777777" w:rsidR="007C6F59" w:rsidRDefault="007C6F59" w:rsidP="002323D5">
            <w:pPr>
              <w:jc w:val="left"/>
            </w:pPr>
            <w:r>
              <w:t>Autoregressive moving average (I* as integrated)</w:t>
            </w:r>
          </w:p>
        </w:tc>
      </w:tr>
      <w:tr w:rsidR="007C6F59" w14:paraId="7DA7970A" w14:textId="77777777" w:rsidTr="00F3460A">
        <w:tc>
          <w:tcPr>
            <w:tcW w:w="1350" w:type="dxa"/>
            <w:vAlign w:val="center"/>
          </w:tcPr>
          <w:p w14:paraId="6AFD7EB1" w14:textId="77777777" w:rsidR="007C6F59" w:rsidRDefault="007C6F59" w:rsidP="0067627F">
            <w:pPr>
              <w:jc w:val="left"/>
              <w:rPr>
                <w:b/>
                <w:bCs/>
                <w:lang w:val="sr-Latn-RS"/>
              </w:rPr>
            </w:pPr>
            <w:r>
              <w:rPr>
                <w:b/>
                <w:bCs/>
                <w:lang w:val="sr-Latn-RS"/>
              </w:rPr>
              <w:t>CBM</w:t>
            </w:r>
          </w:p>
        </w:tc>
        <w:tc>
          <w:tcPr>
            <w:tcW w:w="7667" w:type="dxa"/>
            <w:vAlign w:val="center"/>
          </w:tcPr>
          <w:p w14:paraId="19F240AB" w14:textId="77777777" w:rsidR="007C6F59" w:rsidRDefault="007C6F59" w:rsidP="0067627F">
            <w:pPr>
              <w:jc w:val="left"/>
              <w:rPr>
                <w:lang w:val="sr-Latn-RS"/>
              </w:rPr>
            </w:pPr>
            <w:r>
              <w:rPr>
                <w:lang w:val="sr-Latn-RS"/>
              </w:rPr>
              <w:t>Condition-Based Maintenance</w:t>
            </w:r>
          </w:p>
        </w:tc>
      </w:tr>
      <w:tr w:rsidR="007C6F59" w14:paraId="20940EEB" w14:textId="77777777" w:rsidTr="00F3460A">
        <w:tc>
          <w:tcPr>
            <w:tcW w:w="1350" w:type="dxa"/>
            <w:vAlign w:val="center"/>
          </w:tcPr>
          <w:p w14:paraId="215A604F" w14:textId="77777777" w:rsidR="007C6F59" w:rsidRDefault="007C6F59" w:rsidP="0067627F">
            <w:pPr>
              <w:jc w:val="left"/>
              <w:rPr>
                <w:b/>
                <w:bCs/>
                <w:lang w:val="sr-Latn-RS"/>
              </w:rPr>
            </w:pPr>
            <w:r>
              <w:rPr>
                <w:b/>
                <w:bCs/>
                <w:lang w:val="sr-Latn-RS"/>
              </w:rPr>
              <w:t>CD</w:t>
            </w:r>
          </w:p>
        </w:tc>
        <w:tc>
          <w:tcPr>
            <w:tcW w:w="7667" w:type="dxa"/>
            <w:vAlign w:val="center"/>
          </w:tcPr>
          <w:p w14:paraId="232D6BFA" w14:textId="77777777" w:rsidR="007C6F59" w:rsidRDefault="007C6F59" w:rsidP="0067627F">
            <w:pPr>
              <w:jc w:val="left"/>
            </w:pPr>
            <w:r>
              <w:t>Censor Data</w:t>
            </w:r>
          </w:p>
        </w:tc>
      </w:tr>
      <w:tr w:rsidR="007C6F59" w14:paraId="5154494B" w14:textId="77777777" w:rsidTr="00F3460A">
        <w:tc>
          <w:tcPr>
            <w:tcW w:w="1350" w:type="dxa"/>
            <w:vAlign w:val="center"/>
          </w:tcPr>
          <w:p w14:paraId="6B0D1094" w14:textId="77777777" w:rsidR="007C6F59" w:rsidRPr="00F3460A" w:rsidRDefault="007C6F59" w:rsidP="0067627F">
            <w:pPr>
              <w:jc w:val="left"/>
              <w:rPr>
                <w:b/>
                <w:bCs/>
                <w:lang w:val="sr-Latn-RS"/>
              </w:rPr>
            </w:pPr>
            <w:r>
              <w:rPr>
                <w:b/>
                <w:bCs/>
                <w:lang w:val="sr-Latn-RS"/>
              </w:rPr>
              <w:t>CM</w:t>
            </w:r>
          </w:p>
        </w:tc>
        <w:tc>
          <w:tcPr>
            <w:tcW w:w="7667" w:type="dxa"/>
            <w:vAlign w:val="center"/>
          </w:tcPr>
          <w:p w14:paraId="6F41FB58" w14:textId="77777777" w:rsidR="007C6F59" w:rsidRDefault="007C6F59" w:rsidP="0067627F">
            <w:pPr>
              <w:jc w:val="left"/>
              <w:rPr>
                <w:lang w:val="sr-Latn-RS"/>
              </w:rPr>
            </w:pPr>
            <w:r>
              <w:rPr>
                <w:lang w:val="sr-Latn-RS"/>
              </w:rPr>
              <w:t>Condition Monitoring</w:t>
            </w:r>
          </w:p>
        </w:tc>
      </w:tr>
      <w:tr w:rsidR="007C6F59" w14:paraId="03AC6625" w14:textId="77777777" w:rsidTr="00F3460A">
        <w:tc>
          <w:tcPr>
            <w:tcW w:w="1350" w:type="dxa"/>
            <w:vAlign w:val="center"/>
          </w:tcPr>
          <w:p w14:paraId="298C927F" w14:textId="77777777" w:rsidR="007C6F59" w:rsidRDefault="007C6F59" w:rsidP="0067627F">
            <w:pPr>
              <w:jc w:val="left"/>
              <w:rPr>
                <w:b/>
                <w:bCs/>
                <w:lang w:val="sr-Latn-RS"/>
              </w:rPr>
            </w:pPr>
            <w:r>
              <w:rPr>
                <w:b/>
                <w:bCs/>
                <w:lang w:val="sr-Latn-RS"/>
              </w:rPr>
              <w:t>CNN</w:t>
            </w:r>
          </w:p>
        </w:tc>
        <w:tc>
          <w:tcPr>
            <w:tcW w:w="7667" w:type="dxa"/>
            <w:vAlign w:val="center"/>
          </w:tcPr>
          <w:p w14:paraId="10DCDA39" w14:textId="77777777" w:rsidR="007C6F59" w:rsidRDefault="007C6F59" w:rsidP="0067627F">
            <w:pPr>
              <w:jc w:val="left"/>
              <w:rPr>
                <w:lang w:val="sr-Latn-RS"/>
              </w:rPr>
            </w:pPr>
            <w:r>
              <w:rPr>
                <w:lang w:val="sr-Latn-RS"/>
              </w:rPr>
              <w:t>Convolutional Neural Networks</w:t>
            </w:r>
          </w:p>
        </w:tc>
      </w:tr>
      <w:tr w:rsidR="007C6F59" w14:paraId="10FB295A" w14:textId="77777777" w:rsidTr="00F3460A">
        <w:tc>
          <w:tcPr>
            <w:tcW w:w="1350" w:type="dxa"/>
            <w:vAlign w:val="center"/>
          </w:tcPr>
          <w:p w14:paraId="07D75E14" w14:textId="77777777" w:rsidR="007C6F59" w:rsidRDefault="007C6F59" w:rsidP="0067627F">
            <w:pPr>
              <w:jc w:val="left"/>
              <w:rPr>
                <w:b/>
                <w:bCs/>
                <w:lang w:val="sr-Latn-RS"/>
              </w:rPr>
            </w:pPr>
            <w:r>
              <w:rPr>
                <w:b/>
                <w:bCs/>
                <w:lang w:val="sr-Latn-RS"/>
              </w:rPr>
              <w:t>CORDIS</w:t>
            </w:r>
          </w:p>
        </w:tc>
        <w:tc>
          <w:tcPr>
            <w:tcW w:w="7667" w:type="dxa"/>
            <w:vAlign w:val="center"/>
          </w:tcPr>
          <w:p w14:paraId="6C40E76D" w14:textId="77777777" w:rsidR="007C6F59" w:rsidRDefault="007C6F59" w:rsidP="0067627F">
            <w:pPr>
              <w:jc w:val="left"/>
            </w:pPr>
            <w:r w:rsidRPr="005A7521">
              <w:t>Community Research and Development Information Service</w:t>
            </w:r>
          </w:p>
        </w:tc>
      </w:tr>
      <w:tr w:rsidR="007C6F59" w14:paraId="4EEB6BEB" w14:textId="77777777" w:rsidTr="00F3460A">
        <w:tc>
          <w:tcPr>
            <w:tcW w:w="1350" w:type="dxa"/>
            <w:vAlign w:val="center"/>
          </w:tcPr>
          <w:p w14:paraId="0E6E12C7" w14:textId="77777777" w:rsidR="007C6F59" w:rsidRDefault="007C6F59" w:rsidP="002323D5">
            <w:pPr>
              <w:jc w:val="left"/>
              <w:rPr>
                <w:b/>
                <w:bCs/>
                <w:lang w:val="sr-Latn-RS"/>
              </w:rPr>
            </w:pPr>
            <w:r>
              <w:rPr>
                <w:b/>
                <w:bCs/>
                <w:lang w:val="sr-Latn-RS"/>
              </w:rPr>
              <w:t>CR</w:t>
            </w:r>
          </w:p>
        </w:tc>
        <w:tc>
          <w:tcPr>
            <w:tcW w:w="7667" w:type="dxa"/>
            <w:vAlign w:val="center"/>
          </w:tcPr>
          <w:p w14:paraId="2FD30ECC" w14:textId="77777777" w:rsidR="007C6F59" w:rsidRDefault="007C6F59" w:rsidP="002323D5">
            <w:pPr>
              <w:jc w:val="left"/>
            </w:pPr>
            <w:r>
              <w:t>Closely-related</w:t>
            </w:r>
          </w:p>
        </w:tc>
      </w:tr>
      <w:tr w:rsidR="007C6F59" w14:paraId="13F181BC" w14:textId="77777777" w:rsidTr="00F3460A">
        <w:tc>
          <w:tcPr>
            <w:tcW w:w="1350" w:type="dxa"/>
            <w:vAlign w:val="center"/>
          </w:tcPr>
          <w:p w14:paraId="3897FEF9" w14:textId="77777777" w:rsidR="007C6F59" w:rsidRPr="00F3460A" w:rsidRDefault="007C6F59" w:rsidP="0067627F">
            <w:pPr>
              <w:jc w:val="left"/>
              <w:rPr>
                <w:b/>
                <w:bCs/>
                <w:lang w:val="sr-Latn-RS"/>
              </w:rPr>
            </w:pPr>
            <w:r>
              <w:rPr>
                <w:b/>
                <w:bCs/>
                <w:lang w:val="sr-Latn-RS"/>
              </w:rPr>
              <w:t>CrM</w:t>
            </w:r>
          </w:p>
        </w:tc>
        <w:tc>
          <w:tcPr>
            <w:tcW w:w="7667" w:type="dxa"/>
            <w:vAlign w:val="center"/>
          </w:tcPr>
          <w:p w14:paraId="3A1D5FD0" w14:textId="77777777" w:rsidR="007C6F59" w:rsidRDefault="007C6F59" w:rsidP="0067627F">
            <w:pPr>
              <w:jc w:val="left"/>
              <w:rPr>
                <w:lang w:val="sr-Latn-RS"/>
              </w:rPr>
            </w:pPr>
            <w:r>
              <w:rPr>
                <w:lang w:val="sr-Latn-RS"/>
              </w:rPr>
              <w:t>Corrective Maintenance</w:t>
            </w:r>
          </w:p>
        </w:tc>
      </w:tr>
      <w:tr w:rsidR="007C6F59" w14:paraId="07D27B92" w14:textId="77777777" w:rsidTr="00F3460A">
        <w:tc>
          <w:tcPr>
            <w:tcW w:w="1350" w:type="dxa"/>
            <w:vAlign w:val="center"/>
          </w:tcPr>
          <w:p w14:paraId="330AD49A" w14:textId="77777777" w:rsidR="007C6F59" w:rsidRPr="00F3460A" w:rsidRDefault="007C6F59" w:rsidP="0067627F">
            <w:pPr>
              <w:jc w:val="left"/>
              <w:rPr>
                <w:b/>
                <w:bCs/>
                <w:lang w:val="sr-Latn-RS"/>
              </w:rPr>
            </w:pPr>
            <w:r>
              <w:rPr>
                <w:b/>
                <w:bCs/>
                <w:lang w:val="sr-Latn-RS"/>
              </w:rPr>
              <w:t>EBM</w:t>
            </w:r>
          </w:p>
        </w:tc>
        <w:tc>
          <w:tcPr>
            <w:tcW w:w="7667" w:type="dxa"/>
            <w:vAlign w:val="center"/>
          </w:tcPr>
          <w:p w14:paraId="418AE07A" w14:textId="77777777" w:rsidR="007C6F59" w:rsidRDefault="007C6F59" w:rsidP="0067627F">
            <w:pPr>
              <w:jc w:val="left"/>
              <w:rPr>
                <w:lang w:val="sr-Latn-RS"/>
              </w:rPr>
            </w:pPr>
            <w:r>
              <w:rPr>
                <w:lang w:val="sr-Latn-RS"/>
              </w:rPr>
              <w:t>Energy-Based Maintenance</w:t>
            </w:r>
          </w:p>
        </w:tc>
      </w:tr>
      <w:tr w:rsidR="007C6F59" w14:paraId="04893C90" w14:textId="77777777" w:rsidTr="00F3460A">
        <w:tc>
          <w:tcPr>
            <w:tcW w:w="1350" w:type="dxa"/>
            <w:vAlign w:val="center"/>
          </w:tcPr>
          <w:p w14:paraId="30DB3BF3" w14:textId="77777777" w:rsidR="007C6F59" w:rsidRDefault="007C6F59" w:rsidP="0067627F">
            <w:pPr>
              <w:jc w:val="left"/>
              <w:rPr>
                <w:b/>
                <w:bCs/>
                <w:lang w:val="sr-Latn-RS"/>
              </w:rPr>
            </w:pPr>
            <w:r>
              <w:rPr>
                <w:b/>
                <w:bCs/>
                <w:lang w:val="sr-Latn-RS"/>
              </w:rPr>
              <w:t>EC</w:t>
            </w:r>
          </w:p>
        </w:tc>
        <w:tc>
          <w:tcPr>
            <w:tcW w:w="7667" w:type="dxa"/>
            <w:vAlign w:val="center"/>
          </w:tcPr>
          <w:p w14:paraId="65979DAF" w14:textId="77777777" w:rsidR="007C6F59" w:rsidRDefault="007C6F59" w:rsidP="0067627F">
            <w:pPr>
              <w:jc w:val="left"/>
            </w:pPr>
            <w:r>
              <w:t>Exclusion Criteria</w:t>
            </w:r>
          </w:p>
        </w:tc>
      </w:tr>
      <w:tr w:rsidR="007C6F59" w14:paraId="754E00A8" w14:textId="77777777" w:rsidTr="00F3460A">
        <w:tc>
          <w:tcPr>
            <w:tcW w:w="1350" w:type="dxa"/>
            <w:vAlign w:val="center"/>
          </w:tcPr>
          <w:p w14:paraId="1FE508B3" w14:textId="77777777" w:rsidR="007C6F59" w:rsidRDefault="007C6F59" w:rsidP="002323D5">
            <w:pPr>
              <w:jc w:val="left"/>
              <w:rPr>
                <w:b/>
                <w:bCs/>
                <w:lang w:val="sr-Latn-RS"/>
              </w:rPr>
            </w:pPr>
            <w:r>
              <w:rPr>
                <w:b/>
                <w:bCs/>
                <w:lang w:val="sr-Latn-RS"/>
              </w:rPr>
              <w:t>ENG</w:t>
            </w:r>
          </w:p>
        </w:tc>
        <w:tc>
          <w:tcPr>
            <w:tcW w:w="7667" w:type="dxa"/>
            <w:vAlign w:val="center"/>
          </w:tcPr>
          <w:p w14:paraId="308B9132" w14:textId="77777777" w:rsidR="007C6F59" w:rsidRDefault="007C6F59" w:rsidP="002323D5">
            <w:pPr>
              <w:jc w:val="left"/>
            </w:pPr>
            <w:r>
              <w:t>English language criteria</w:t>
            </w:r>
          </w:p>
        </w:tc>
      </w:tr>
      <w:tr w:rsidR="007C6F59" w14:paraId="0124F0DD" w14:textId="77777777" w:rsidTr="00F3460A">
        <w:tc>
          <w:tcPr>
            <w:tcW w:w="1350" w:type="dxa"/>
            <w:vAlign w:val="center"/>
          </w:tcPr>
          <w:p w14:paraId="4C7C1089" w14:textId="77777777" w:rsidR="007C6F59" w:rsidRDefault="007C6F59" w:rsidP="0067627F">
            <w:pPr>
              <w:jc w:val="left"/>
              <w:rPr>
                <w:b/>
                <w:bCs/>
                <w:lang w:val="sr-Latn-RS"/>
              </w:rPr>
            </w:pPr>
            <w:r>
              <w:rPr>
                <w:b/>
                <w:bCs/>
                <w:lang w:val="sr-Latn-RS"/>
              </w:rPr>
              <w:t>FBM</w:t>
            </w:r>
          </w:p>
        </w:tc>
        <w:tc>
          <w:tcPr>
            <w:tcW w:w="7667" w:type="dxa"/>
            <w:vAlign w:val="center"/>
          </w:tcPr>
          <w:p w14:paraId="4E933A00" w14:textId="77777777" w:rsidR="007C6F59" w:rsidRDefault="007C6F59" w:rsidP="0067627F">
            <w:pPr>
              <w:jc w:val="left"/>
              <w:rPr>
                <w:lang w:val="sr-Latn-RS"/>
              </w:rPr>
            </w:pPr>
            <w:r>
              <w:rPr>
                <w:lang w:val="sr-Latn-RS"/>
              </w:rPr>
              <w:t>Failure-Based Maintenance</w:t>
            </w:r>
          </w:p>
        </w:tc>
      </w:tr>
      <w:tr w:rsidR="007C6F59" w14:paraId="0753D7E3" w14:textId="77777777" w:rsidTr="00F3460A">
        <w:tc>
          <w:tcPr>
            <w:tcW w:w="1350" w:type="dxa"/>
            <w:vAlign w:val="center"/>
          </w:tcPr>
          <w:p w14:paraId="0139001E" w14:textId="77777777" w:rsidR="007C6F59" w:rsidRDefault="007C6F59" w:rsidP="0067627F">
            <w:pPr>
              <w:jc w:val="left"/>
              <w:rPr>
                <w:b/>
                <w:bCs/>
                <w:lang w:val="sr-Latn-RS"/>
              </w:rPr>
            </w:pPr>
            <w:r>
              <w:rPr>
                <w:b/>
                <w:bCs/>
                <w:lang w:val="sr-Latn-RS"/>
              </w:rPr>
              <w:t>FD</w:t>
            </w:r>
          </w:p>
        </w:tc>
        <w:tc>
          <w:tcPr>
            <w:tcW w:w="7667" w:type="dxa"/>
            <w:vAlign w:val="center"/>
          </w:tcPr>
          <w:p w14:paraId="02C62A5D" w14:textId="77777777" w:rsidR="007C6F59" w:rsidRDefault="007C6F59" w:rsidP="0067627F">
            <w:pPr>
              <w:jc w:val="left"/>
            </w:pPr>
            <w:r>
              <w:t>Failure Data</w:t>
            </w:r>
          </w:p>
        </w:tc>
      </w:tr>
      <w:tr w:rsidR="007C6F59" w14:paraId="62C7F28B" w14:textId="77777777" w:rsidTr="00F3460A">
        <w:tc>
          <w:tcPr>
            <w:tcW w:w="1350" w:type="dxa"/>
            <w:vAlign w:val="center"/>
          </w:tcPr>
          <w:p w14:paraId="368DDD1B" w14:textId="77777777" w:rsidR="007C6F59" w:rsidRDefault="007C6F59" w:rsidP="0067627F">
            <w:pPr>
              <w:jc w:val="left"/>
              <w:rPr>
                <w:b/>
                <w:bCs/>
                <w:lang w:val="sr-Latn-RS"/>
              </w:rPr>
            </w:pPr>
            <w:r>
              <w:rPr>
                <w:b/>
                <w:bCs/>
                <w:lang w:val="sr-Latn-RS"/>
              </w:rPr>
              <w:t>FN</w:t>
            </w:r>
          </w:p>
        </w:tc>
        <w:tc>
          <w:tcPr>
            <w:tcW w:w="7667" w:type="dxa"/>
            <w:vAlign w:val="center"/>
          </w:tcPr>
          <w:p w14:paraId="7B6813AE" w14:textId="77777777" w:rsidR="007C6F59" w:rsidRDefault="007C6F59" w:rsidP="0067627F">
            <w:pPr>
              <w:jc w:val="left"/>
            </w:pPr>
            <w:r>
              <w:t>False-negative</w:t>
            </w:r>
          </w:p>
        </w:tc>
      </w:tr>
      <w:tr w:rsidR="007C6F59" w14:paraId="5F55DE29" w14:textId="77777777" w:rsidTr="00F3460A">
        <w:tc>
          <w:tcPr>
            <w:tcW w:w="1350" w:type="dxa"/>
            <w:vAlign w:val="center"/>
          </w:tcPr>
          <w:p w14:paraId="2BB0B3E9" w14:textId="77777777" w:rsidR="007C6F59" w:rsidRDefault="007C6F59" w:rsidP="0067627F">
            <w:pPr>
              <w:jc w:val="left"/>
              <w:rPr>
                <w:b/>
                <w:bCs/>
                <w:lang w:val="sr-Latn-RS"/>
              </w:rPr>
            </w:pPr>
            <w:r>
              <w:rPr>
                <w:b/>
                <w:bCs/>
                <w:lang w:val="sr-Latn-RS"/>
              </w:rPr>
              <w:t>FP</w:t>
            </w:r>
          </w:p>
        </w:tc>
        <w:tc>
          <w:tcPr>
            <w:tcW w:w="7667" w:type="dxa"/>
            <w:vAlign w:val="center"/>
          </w:tcPr>
          <w:p w14:paraId="34F2BD53" w14:textId="77777777" w:rsidR="007C6F59" w:rsidRDefault="007C6F59" w:rsidP="0067627F">
            <w:pPr>
              <w:jc w:val="left"/>
            </w:pPr>
            <w:r>
              <w:t>False-positive</w:t>
            </w:r>
          </w:p>
        </w:tc>
      </w:tr>
      <w:tr w:rsidR="00F77B76" w14:paraId="10A95E10" w14:textId="77777777" w:rsidTr="00F3460A">
        <w:tc>
          <w:tcPr>
            <w:tcW w:w="1350" w:type="dxa"/>
            <w:vAlign w:val="center"/>
          </w:tcPr>
          <w:p w14:paraId="54A58230" w14:textId="5D378F22" w:rsidR="00F77B76" w:rsidRPr="00F77B76" w:rsidRDefault="00F77B76" w:rsidP="0067627F">
            <w:pPr>
              <w:jc w:val="left"/>
              <w:rPr>
                <w:b/>
                <w:bCs/>
                <w:lang w:val="en-GB"/>
              </w:rPr>
            </w:pPr>
            <w:r>
              <w:rPr>
                <w:b/>
                <w:bCs/>
                <w:lang w:val="en-GB"/>
              </w:rPr>
              <w:t>FPM</w:t>
            </w:r>
          </w:p>
        </w:tc>
        <w:tc>
          <w:tcPr>
            <w:tcW w:w="7667" w:type="dxa"/>
            <w:vAlign w:val="center"/>
          </w:tcPr>
          <w:p w14:paraId="6C804A25" w14:textId="3336C89E" w:rsidR="00F77B76" w:rsidRDefault="00F77B76" w:rsidP="0067627F">
            <w:pPr>
              <w:jc w:val="left"/>
            </w:pPr>
            <w:r>
              <w:t>Functional-productiveness marker</w:t>
            </w:r>
          </w:p>
        </w:tc>
      </w:tr>
      <w:tr w:rsidR="007C6F59" w14:paraId="732C5244" w14:textId="77777777" w:rsidTr="00F3460A">
        <w:tc>
          <w:tcPr>
            <w:tcW w:w="1350" w:type="dxa"/>
            <w:vAlign w:val="center"/>
          </w:tcPr>
          <w:p w14:paraId="7C38AFE5" w14:textId="77777777" w:rsidR="007C6F59" w:rsidRDefault="007C6F59" w:rsidP="002323D5">
            <w:pPr>
              <w:jc w:val="left"/>
              <w:rPr>
                <w:b/>
                <w:bCs/>
                <w:lang w:val="sr-Latn-RS"/>
              </w:rPr>
            </w:pPr>
            <w:r>
              <w:rPr>
                <w:b/>
                <w:bCs/>
                <w:lang w:val="sr-Latn-RS"/>
              </w:rPr>
              <w:t>FPP</w:t>
            </w:r>
          </w:p>
        </w:tc>
        <w:tc>
          <w:tcPr>
            <w:tcW w:w="7667" w:type="dxa"/>
            <w:vAlign w:val="center"/>
          </w:tcPr>
          <w:p w14:paraId="25C0DEB3" w14:textId="77777777" w:rsidR="007C6F59" w:rsidRDefault="007C6F59" w:rsidP="002323D5">
            <w:pPr>
              <w:jc w:val="left"/>
            </w:pPr>
            <w:r>
              <w:t>Framework Programme projects</w:t>
            </w:r>
          </w:p>
        </w:tc>
      </w:tr>
      <w:tr w:rsidR="007C6F59" w14:paraId="5165880E" w14:textId="77777777" w:rsidTr="00F3460A">
        <w:tc>
          <w:tcPr>
            <w:tcW w:w="1350" w:type="dxa"/>
            <w:vAlign w:val="center"/>
          </w:tcPr>
          <w:p w14:paraId="065CE15C" w14:textId="77777777" w:rsidR="007C6F59" w:rsidRDefault="007C6F59" w:rsidP="002323D5">
            <w:pPr>
              <w:jc w:val="left"/>
              <w:rPr>
                <w:b/>
                <w:bCs/>
                <w:lang w:val="sr-Latn-RS"/>
              </w:rPr>
            </w:pPr>
            <w:r>
              <w:rPr>
                <w:b/>
                <w:bCs/>
                <w:lang w:val="sr-Latn-RS"/>
              </w:rPr>
              <w:t>FT</w:t>
            </w:r>
          </w:p>
        </w:tc>
        <w:tc>
          <w:tcPr>
            <w:tcW w:w="7667" w:type="dxa"/>
            <w:vAlign w:val="center"/>
          </w:tcPr>
          <w:p w14:paraId="343E3434" w14:textId="77777777" w:rsidR="007C6F59" w:rsidRDefault="007C6F59" w:rsidP="002323D5">
            <w:pPr>
              <w:jc w:val="left"/>
            </w:pPr>
            <w:r>
              <w:t>Full-text</w:t>
            </w:r>
          </w:p>
        </w:tc>
      </w:tr>
      <w:tr w:rsidR="007C6F59" w14:paraId="186D2D6E" w14:textId="77777777" w:rsidTr="00F3460A">
        <w:tc>
          <w:tcPr>
            <w:tcW w:w="1350" w:type="dxa"/>
            <w:vAlign w:val="center"/>
          </w:tcPr>
          <w:p w14:paraId="3F2160C5" w14:textId="77777777" w:rsidR="007C6F59" w:rsidRDefault="007C6F59" w:rsidP="002323D5">
            <w:pPr>
              <w:jc w:val="left"/>
              <w:rPr>
                <w:b/>
                <w:bCs/>
                <w:lang w:val="sr-Latn-RS"/>
              </w:rPr>
            </w:pPr>
            <w:r>
              <w:rPr>
                <w:b/>
                <w:bCs/>
                <w:lang w:val="sr-Latn-RS"/>
              </w:rPr>
              <w:t>FTP</w:t>
            </w:r>
          </w:p>
        </w:tc>
        <w:tc>
          <w:tcPr>
            <w:tcW w:w="7667" w:type="dxa"/>
            <w:vAlign w:val="center"/>
          </w:tcPr>
          <w:p w14:paraId="7E8A3DAE" w14:textId="77777777" w:rsidR="007C6F59" w:rsidRDefault="007C6F59" w:rsidP="002323D5">
            <w:pPr>
              <w:jc w:val="left"/>
            </w:pPr>
            <w:r>
              <w:t>Full-text paper</w:t>
            </w:r>
          </w:p>
        </w:tc>
      </w:tr>
      <w:tr w:rsidR="007C6F59" w14:paraId="4587FB02" w14:textId="77777777" w:rsidTr="00F3460A">
        <w:tc>
          <w:tcPr>
            <w:tcW w:w="1350" w:type="dxa"/>
            <w:vAlign w:val="center"/>
          </w:tcPr>
          <w:p w14:paraId="2F749A1F" w14:textId="77777777" w:rsidR="007C6F59" w:rsidRDefault="007C6F59" w:rsidP="002323D5">
            <w:pPr>
              <w:jc w:val="left"/>
              <w:rPr>
                <w:b/>
                <w:bCs/>
                <w:lang w:val="sr-Latn-RS"/>
              </w:rPr>
            </w:pPr>
            <w:r>
              <w:rPr>
                <w:b/>
                <w:bCs/>
                <w:lang w:val="sr-Latn-RS"/>
              </w:rPr>
              <w:lastRenderedPageBreak/>
              <w:t>GUB</w:t>
            </w:r>
          </w:p>
        </w:tc>
        <w:tc>
          <w:tcPr>
            <w:tcW w:w="7667" w:type="dxa"/>
            <w:vAlign w:val="center"/>
          </w:tcPr>
          <w:p w14:paraId="274963D7" w14:textId="77777777" w:rsidR="007C6F59" w:rsidRDefault="007C6F59" w:rsidP="002323D5">
            <w:pPr>
              <w:jc w:val="left"/>
            </w:pPr>
            <w:r>
              <w:t>Greatest upper bound</w:t>
            </w:r>
          </w:p>
        </w:tc>
      </w:tr>
      <w:tr w:rsidR="007C6F59" w14:paraId="4AD6329D" w14:textId="77777777" w:rsidTr="00F3460A">
        <w:tc>
          <w:tcPr>
            <w:tcW w:w="1350" w:type="dxa"/>
            <w:vAlign w:val="center"/>
          </w:tcPr>
          <w:p w14:paraId="0CB555A5" w14:textId="77777777" w:rsidR="007C6F59" w:rsidRDefault="007C6F59" w:rsidP="0067627F">
            <w:pPr>
              <w:jc w:val="left"/>
              <w:rPr>
                <w:b/>
                <w:bCs/>
                <w:lang w:val="sr-Latn-RS"/>
              </w:rPr>
            </w:pPr>
            <w:r>
              <w:rPr>
                <w:b/>
                <w:bCs/>
                <w:lang w:val="sr-Latn-RS"/>
              </w:rPr>
              <w:t>HUB</w:t>
            </w:r>
          </w:p>
        </w:tc>
        <w:tc>
          <w:tcPr>
            <w:tcW w:w="7667" w:type="dxa"/>
            <w:vAlign w:val="center"/>
          </w:tcPr>
          <w:p w14:paraId="23A34D38" w14:textId="77777777" w:rsidR="007C6F59" w:rsidRPr="005A7521" w:rsidRDefault="007C6F59" w:rsidP="0067627F">
            <w:pPr>
              <w:jc w:val="left"/>
            </w:pPr>
            <w:r>
              <w:t>Highest Upper Bound</w:t>
            </w:r>
          </w:p>
        </w:tc>
      </w:tr>
      <w:tr w:rsidR="007C6F59" w14:paraId="0E06EB27" w14:textId="77777777" w:rsidTr="00F3460A">
        <w:tc>
          <w:tcPr>
            <w:tcW w:w="1350" w:type="dxa"/>
            <w:vAlign w:val="center"/>
          </w:tcPr>
          <w:p w14:paraId="16607FA3" w14:textId="77777777" w:rsidR="007C6F59" w:rsidRDefault="007C6F59" w:rsidP="0067627F">
            <w:pPr>
              <w:jc w:val="left"/>
              <w:rPr>
                <w:b/>
                <w:bCs/>
                <w:lang w:val="sr-Latn-RS"/>
              </w:rPr>
            </w:pPr>
            <w:r>
              <w:rPr>
                <w:b/>
                <w:bCs/>
                <w:lang w:val="sr-Latn-RS"/>
              </w:rPr>
              <w:t>IC</w:t>
            </w:r>
          </w:p>
        </w:tc>
        <w:tc>
          <w:tcPr>
            <w:tcW w:w="7667" w:type="dxa"/>
            <w:vAlign w:val="center"/>
          </w:tcPr>
          <w:p w14:paraId="0F0D5873" w14:textId="77777777" w:rsidR="007C6F59" w:rsidRDefault="007C6F59" w:rsidP="0067627F">
            <w:pPr>
              <w:jc w:val="left"/>
            </w:pPr>
            <w:r>
              <w:t>Inclusion Criteria</w:t>
            </w:r>
          </w:p>
        </w:tc>
      </w:tr>
      <w:tr w:rsidR="007C6F59" w14:paraId="530DD26A" w14:textId="77777777" w:rsidTr="00F3460A">
        <w:tc>
          <w:tcPr>
            <w:tcW w:w="1350" w:type="dxa"/>
            <w:vAlign w:val="center"/>
          </w:tcPr>
          <w:p w14:paraId="3A77F390" w14:textId="77777777" w:rsidR="007C6F59" w:rsidRDefault="007C6F59" w:rsidP="0067627F">
            <w:pPr>
              <w:jc w:val="left"/>
              <w:rPr>
                <w:b/>
                <w:bCs/>
                <w:lang w:val="sr-Latn-RS"/>
              </w:rPr>
            </w:pPr>
            <w:r>
              <w:rPr>
                <w:b/>
                <w:bCs/>
                <w:lang w:val="sr-Latn-RS"/>
              </w:rPr>
              <w:t>KET(s)</w:t>
            </w:r>
          </w:p>
        </w:tc>
        <w:tc>
          <w:tcPr>
            <w:tcW w:w="7667" w:type="dxa"/>
            <w:vAlign w:val="center"/>
          </w:tcPr>
          <w:p w14:paraId="26C79E3A" w14:textId="77777777" w:rsidR="007C6F59" w:rsidRDefault="007C6F59" w:rsidP="0067627F">
            <w:pPr>
              <w:jc w:val="left"/>
              <w:rPr>
                <w:lang w:val="sr-Latn-RS"/>
              </w:rPr>
            </w:pPr>
            <w:r>
              <w:rPr>
                <w:lang w:val="sr-Latn-RS"/>
              </w:rPr>
              <w:t>Key Enabling Technologie(s)</w:t>
            </w:r>
          </w:p>
        </w:tc>
      </w:tr>
      <w:tr w:rsidR="007C6F59" w14:paraId="176075A1" w14:textId="77777777" w:rsidTr="00F3460A">
        <w:tc>
          <w:tcPr>
            <w:tcW w:w="1350" w:type="dxa"/>
            <w:vAlign w:val="center"/>
          </w:tcPr>
          <w:p w14:paraId="544E00F3" w14:textId="77777777" w:rsidR="007C6F59" w:rsidRDefault="007C6F59" w:rsidP="0067627F">
            <w:pPr>
              <w:jc w:val="left"/>
              <w:rPr>
                <w:b/>
                <w:bCs/>
                <w:lang w:val="sr-Latn-RS"/>
              </w:rPr>
            </w:pPr>
            <w:r>
              <w:rPr>
                <w:b/>
                <w:bCs/>
                <w:lang w:val="sr-Latn-RS"/>
              </w:rPr>
              <w:t>K-means</w:t>
            </w:r>
          </w:p>
        </w:tc>
        <w:tc>
          <w:tcPr>
            <w:tcW w:w="7667" w:type="dxa"/>
            <w:vAlign w:val="center"/>
          </w:tcPr>
          <w:p w14:paraId="4F875F51" w14:textId="77777777" w:rsidR="007C6F59" w:rsidRDefault="007C6F59" w:rsidP="0067627F">
            <w:pPr>
              <w:jc w:val="left"/>
              <w:rPr>
                <w:lang w:val="sr-Latn-RS"/>
              </w:rPr>
            </w:pPr>
            <w:r>
              <w:rPr>
                <w:lang w:val="sr-Latn-RS"/>
              </w:rPr>
              <w:t>Kernel means clustering technique</w:t>
            </w:r>
          </w:p>
        </w:tc>
      </w:tr>
      <w:tr w:rsidR="007C6F59" w14:paraId="42FC6023" w14:textId="77777777" w:rsidTr="00F3460A">
        <w:tc>
          <w:tcPr>
            <w:tcW w:w="1350" w:type="dxa"/>
            <w:vAlign w:val="center"/>
          </w:tcPr>
          <w:p w14:paraId="6A8D54BD" w14:textId="77777777" w:rsidR="007C6F59" w:rsidRDefault="007C6F59" w:rsidP="0067627F">
            <w:pPr>
              <w:jc w:val="left"/>
              <w:rPr>
                <w:b/>
                <w:bCs/>
                <w:lang w:val="sr-Latn-RS"/>
              </w:rPr>
            </w:pPr>
            <w:r>
              <w:rPr>
                <w:b/>
                <w:bCs/>
                <w:lang w:val="sr-Latn-RS"/>
              </w:rPr>
              <w:t>KPI(s)</w:t>
            </w:r>
          </w:p>
        </w:tc>
        <w:tc>
          <w:tcPr>
            <w:tcW w:w="7667" w:type="dxa"/>
            <w:vAlign w:val="center"/>
          </w:tcPr>
          <w:p w14:paraId="4AF8B9CA" w14:textId="77777777" w:rsidR="007C6F59" w:rsidRDefault="007C6F59" w:rsidP="0067627F">
            <w:pPr>
              <w:jc w:val="left"/>
              <w:rPr>
                <w:lang w:val="sr-Latn-RS"/>
              </w:rPr>
            </w:pPr>
            <w:r>
              <w:rPr>
                <w:lang w:val="sr-Latn-RS"/>
              </w:rPr>
              <w:t>Key Performance Indicator(s)</w:t>
            </w:r>
          </w:p>
        </w:tc>
      </w:tr>
      <w:tr w:rsidR="007C6F59" w14:paraId="6A4838F3" w14:textId="77777777" w:rsidTr="00F3460A">
        <w:tc>
          <w:tcPr>
            <w:tcW w:w="1350" w:type="dxa"/>
            <w:vAlign w:val="center"/>
          </w:tcPr>
          <w:p w14:paraId="6700EBD0" w14:textId="77777777" w:rsidR="007C6F59" w:rsidRDefault="007C6F59" w:rsidP="0067627F">
            <w:pPr>
              <w:jc w:val="left"/>
              <w:rPr>
                <w:b/>
                <w:bCs/>
                <w:lang w:val="sr-Latn-RS"/>
              </w:rPr>
            </w:pPr>
            <w:r>
              <w:rPr>
                <w:b/>
                <w:bCs/>
                <w:lang w:val="sr-Latn-RS"/>
              </w:rPr>
              <w:t>LCL</w:t>
            </w:r>
          </w:p>
        </w:tc>
        <w:tc>
          <w:tcPr>
            <w:tcW w:w="7667" w:type="dxa"/>
            <w:vAlign w:val="center"/>
          </w:tcPr>
          <w:p w14:paraId="2963873F" w14:textId="77777777" w:rsidR="007C6F59" w:rsidRPr="005A7521" w:rsidRDefault="007C6F59" w:rsidP="0067627F">
            <w:pPr>
              <w:jc w:val="left"/>
            </w:pPr>
            <w:r>
              <w:t>Lower Control Limit</w:t>
            </w:r>
          </w:p>
        </w:tc>
      </w:tr>
      <w:tr w:rsidR="007C6F59" w14:paraId="5A65EA72" w14:textId="77777777" w:rsidTr="00F3460A">
        <w:tc>
          <w:tcPr>
            <w:tcW w:w="1350" w:type="dxa"/>
            <w:vAlign w:val="center"/>
          </w:tcPr>
          <w:p w14:paraId="6FBDC3E7" w14:textId="77777777" w:rsidR="007C6F59" w:rsidRDefault="007C6F59" w:rsidP="0067627F">
            <w:pPr>
              <w:jc w:val="left"/>
              <w:rPr>
                <w:b/>
                <w:bCs/>
                <w:lang w:val="sr-Latn-RS"/>
              </w:rPr>
            </w:pPr>
            <w:r>
              <w:rPr>
                <w:b/>
                <w:bCs/>
                <w:lang w:val="sr-Latn-RS"/>
              </w:rPr>
              <w:t>LOCF</w:t>
            </w:r>
          </w:p>
        </w:tc>
        <w:tc>
          <w:tcPr>
            <w:tcW w:w="7667" w:type="dxa"/>
            <w:vAlign w:val="center"/>
          </w:tcPr>
          <w:p w14:paraId="5E1157E6" w14:textId="77777777" w:rsidR="007C6F59" w:rsidRDefault="007C6F59" w:rsidP="0067627F">
            <w:pPr>
              <w:jc w:val="left"/>
            </w:pPr>
            <w:r>
              <w:t>Last observation carried forward</w:t>
            </w:r>
          </w:p>
        </w:tc>
      </w:tr>
      <w:tr w:rsidR="007C6F59" w14:paraId="78589C4C" w14:textId="77777777" w:rsidTr="00F3460A">
        <w:tc>
          <w:tcPr>
            <w:tcW w:w="1350" w:type="dxa"/>
            <w:vAlign w:val="center"/>
          </w:tcPr>
          <w:p w14:paraId="12DFF3BB" w14:textId="77777777" w:rsidR="007C6F59" w:rsidRDefault="007C6F59" w:rsidP="0067627F">
            <w:pPr>
              <w:jc w:val="left"/>
              <w:rPr>
                <w:b/>
                <w:bCs/>
                <w:lang w:val="sr-Latn-RS"/>
              </w:rPr>
            </w:pPr>
            <w:r>
              <w:rPr>
                <w:b/>
                <w:bCs/>
                <w:lang w:val="sr-Latn-RS"/>
              </w:rPr>
              <w:t>LogR</w:t>
            </w:r>
          </w:p>
        </w:tc>
        <w:tc>
          <w:tcPr>
            <w:tcW w:w="7667" w:type="dxa"/>
            <w:vAlign w:val="center"/>
          </w:tcPr>
          <w:p w14:paraId="3495F805" w14:textId="77777777" w:rsidR="007C6F59" w:rsidRDefault="007C6F59" w:rsidP="0067627F">
            <w:pPr>
              <w:jc w:val="left"/>
              <w:rPr>
                <w:lang w:val="sr-Latn-RS"/>
              </w:rPr>
            </w:pPr>
            <w:r>
              <w:rPr>
                <w:lang w:val="sr-Latn-RS"/>
              </w:rPr>
              <w:t>Logistic Regression</w:t>
            </w:r>
          </w:p>
        </w:tc>
      </w:tr>
      <w:tr w:rsidR="007C6F59" w14:paraId="1C398A0B" w14:textId="77777777" w:rsidTr="00F3460A">
        <w:tc>
          <w:tcPr>
            <w:tcW w:w="1350" w:type="dxa"/>
            <w:vAlign w:val="center"/>
          </w:tcPr>
          <w:p w14:paraId="7A71108F" w14:textId="77777777" w:rsidR="007C6F59" w:rsidRDefault="007C6F59" w:rsidP="0067627F">
            <w:pPr>
              <w:jc w:val="left"/>
              <w:rPr>
                <w:b/>
                <w:bCs/>
                <w:lang w:val="sr-Latn-RS"/>
              </w:rPr>
            </w:pPr>
            <w:r>
              <w:rPr>
                <w:b/>
                <w:bCs/>
                <w:lang w:val="sr-Latn-RS"/>
              </w:rPr>
              <w:t>LR</w:t>
            </w:r>
          </w:p>
        </w:tc>
        <w:tc>
          <w:tcPr>
            <w:tcW w:w="7667" w:type="dxa"/>
            <w:vAlign w:val="center"/>
          </w:tcPr>
          <w:p w14:paraId="5E952F04" w14:textId="77777777" w:rsidR="007C6F59" w:rsidRDefault="007C6F59" w:rsidP="0067627F">
            <w:pPr>
              <w:jc w:val="left"/>
            </w:pPr>
            <w:r>
              <w:t>Losely related</w:t>
            </w:r>
          </w:p>
        </w:tc>
      </w:tr>
      <w:tr w:rsidR="007C6F59" w14:paraId="2CF01D34" w14:textId="77777777" w:rsidTr="00F3460A">
        <w:tc>
          <w:tcPr>
            <w:tcW w:w="1350" w:type="dxa"/>
            <w:vAlign w:val="center"/>
          </w:tcPr>
          <w:p w14:paraId="66717673" w14:textId="77777777" w:rsidR="007C6F59" w:rsidRDefault="007C6F59" w:rsidP="0067627F">
            <w:pPr>
              <w:jc w:val="left"/>
              <w:rPr>
                <w:b/>
                <w:bCs/>
                <w:lang w:val="sr-Latn-RS"/>
              </w:rPr>
            </w:pPr>
            <w:r>
              <w:rPr>
                <w:b/>
                <w:bCs/>
                <w:lang w:val="sr-Latn-RS"/>
              </w:rPr>
              <w:t>LUB</w:t>
            </w:r>
          </w:p>
        </w:tc>
        <w:tc>
          <w:tcPr>
            <w:tcW w:w="7667" w:type="dxa"/>
            <w:vAlign w:val="center"/>
          </w:tcPr>
          <w:p w14:paraId="29DA0B4C" w14:textId="77777777" w:rsidR="007C6F59" w:rsidRPr="005A7521" w:rsidRDefault="007C6F59" w:rsidP="0067627F">
            <w:pPr>
              <w:jc w:val="left"/>
            </w:pPr>
            <w:r>
              <w:t>Least Upper Bound</w:t>
            </w:r>
          </w:p>
        </w:tc>
      </w:tr>
      <w:tr w:rsidR="007C6F59" w14:paraId="3D929D4B" w14:textId="77777777" w:rsidTr="00F3460A">
        <w:tc>
          <w:tcPr>
            <w:tcW w:w="1350" w:type="dxa"/>
            <w:vAlign w:val="center"/>
          </w:tcPr>
          <w:p w14:paraId="129D2F62" w14:textId="77777777" w:rsidR="007C6F59" w:rsidRDefault="007C6F59" w:rsidP="002323D5">
            <w:pPr>
              <w:jc w:val="left"/>
              <w:rPr>
                <w:b/>
                <w:bCs/>
                <w:lang w:val="sr-Latn-RS"/>
              </w:rPr>
            </w:pPr>
            <w:r>
              <w:rPr>
                <w:b/>
                <w:bCs/>
                <w:lang w:val="sr-Latn-RS"/>
              </w:rPr>
              <w:t>LUB</w:t>
            </w:r>
          </w:p>
        </w:tc>
        <w:tc>
          <w:tcPr>
            <w:tcW w:w="7667" w:type="dxa"/>
            <w:vAlign w:val="center"/>
          </w:tcPr>
          <w:p w14:paraId="332F6DC3" w14:textId="77777777" w:rsidR="007C6F59" w:rsidRDefault="007C6F59" w:rsidP="002323D5">
            <w:pPr>
              <w:jc w:val="left"/>
            </w:pPr>
            <w:r>
              <w:t>Least upper bound</w:t>
            </w:r>
          </w:p>
        </w:tc>
      </w:tr>
      <w:tr w:rsidR="007C6F59" w14:paraId="4F585F11" w14:textId="77777777" w:rsidTr="00F3460A">
        <w:tc>
          <w:tcPr>
            <w:tcW w:w="1350" w:type="dxa"/>
            <w:vAlign w:val="center"/>
          </w:tcPr>
          <w:p w14:paraId="3CA91CB7" w14:textId="77777777" w:rsidR="007C6F59" w:rsidRDefault="007C6F59" w:rsidP="002323D5">
            <w:pPr>
              <w:jc w:val="left"/>
              <w:rPr>
                <w:b/>
                <w:bCs/>
                <w:lang w:val="sr-Latn-RS"/>
              </w:rPr>
            </w:pPr>
            <w:r>
              <w:rPr>
                <w:b/>
                <w:bCs/>
                <w:lang w:val="sr-Latn-RS"/>
              </w:rPr>
              <w:t>MA</w:t>
            </w:r>
          </w:p>
        </w:tc>
        <w:tc>
          <w:tcPr>
            <w:tcW w:w="7667" w:type="dxa"/>
            <w:vAlign w:val="center"/>
          </w:tcPr>
          <w:p w14:paraId="3EBF637C" w14:textId="77777777" w:rsidR="007C6F59" w:rsidRDefault="007C6F59" w:rsidP="002323D5">
            <w:pPr>
              <w:jc w:val="left"/>
            </w:pPr>
            <w:r>
              <w:t>Moving average</w:t>
            </w:r>
          </w:p>
        </w:tc>
      </w:tr>
      <w:tr w:rsidR="007C6F59" w14:paraId="64790E95" w14:textId="77777777" w:rsidTr="00F3460A">
        <w:tc>
          <w:tcPr>
            <w:tcW w:w="1350" w:type="dxa"/>
            <w:vAlign w:val="center"/>
          </w:tcPr>
          <w:p w14:paraId="0C43F2E9" w14:textId="77777777" w:rsidR="007C6F59" w:rsidRDefault="007C6F59" w:rsidP="002323D5">
            <w:pPr>
              <w:jc w:val="left"/>
              <w:rPr>
                <w:b/>
                <w:bCs/>
                <w:lang w:val="sr-Latn-RS"/>
              </w:rPr>
            </w:pPr>
            <w:r>
              <w:rPr>
                <w:b/>
                <w:bCs/>
                <w:lang w:val="sr-Latn-RS"/>
              </w:rPr>
              <w:t>MAR</w:t>
            </w:r>
          </w:p>
        </w:tc>
        <w:tc>
          <w:tcPr>
            <w:tcW w:w="7667" w:type="dxa"/>
            <w:vAlign w:val="center"/>
          </w:tcPr>
          <w:p w14:paraId="25CA7F0E" w14:textId="77777777" w:rsidR="007C6F59" w:rsidRDefault="007C6F59" w:rsidP="002323D5">
            <w:pPr>
              <w:jc w:val="left"/>
            </w:pPr>
            <w:r>
              <w:t>Missing at random</w:t>
            </w:r>
          </w:p>
        </w:tc>
      </w:tr>
      <w:tr w:rsidR="007C6F59" w14:paraId="50CC1D5B" w14:textId="77777777" w:rsidTr="00F3460A">
        <w:tc>
          <w:tcPr>
            <w:tcW w:w="1350" w:type="dxa"/>
            <w:vAlign w:val="center"/>
          </w:tcPr>
          <w:p w14:paraId="13314372" w14:textId="77777777" w:rsidR="007C6F59" w:rsidRDefault="007C6F59" w:rsidP="002323D5">
            <w:pPr>
              <w:jc w:val="left"/>
              <w:rPr>
                <w:b/>
                <w:bCs/>
                <w:lang w:val="sr-Latn-RS"/>
              </w:rPr>
            </w:pPr>
            <w:r>
              <w:rPr>
                <w:b/>
                <w:bCs/>
                <w:lang w:val="sr-Latn-RS"/>
              </w:rPr>
              <w:t>MCAR</w:t>
            </w:r>
          </w:p>
        </w:tc>
        <w:tc>
          <w:tcPr>
            <w:tcW w:w="7667" w:type="dxa"/>
            <w:vAlign w:val="center"/>
          </w:tcPr>
          <w:p w14:paraId="63F533AB" w14:textId="77777777" w:rsidR="007C6F59" w:rsidRDefault="007C6F59" w:rsidP="002323D5">
            <w:pPr>
              <w:jc w:val="left"/>
            </w:pPr>
            <w:r>
              <w:t>Missing completely at random</w:t>
            </w:r>
          </w:p>
        </w:tc>
      </w:tr>
      <w:tr w:rsidR="007C6F59" w14:paraId="7FA62D40" w14:textId="77777777" w:rsidTr="00F3460A">
        <w:tc>
          <w:tcPr>
            <w:tcW w:w="1350" w:type="dxa"/>
            <w:vAlign w:val="center"/>
          </w:tcPr>
          <w:p w14:paraId="418F1E06" w14:textId="77777777" w:rsidR="007C6F59" w:rsidRPr="00F3460A" w:rsidRDefault="007C6F59" w:rsidP="0067627F">
            <w:pPr>
              <w:jc w:val="left"/>
              <w:rPr>
                <w:b/>
                <w:bCs/>
                <w:lang w:val="sr-Latn-RS"/>
              </w:rPr>
            </w:pPr>
            <w:r>
              <w:rPr>
                <w:b/>
                <w:bCs/>
                <w:lang w:val="sr-Latn-RS"/>
              </w:rPr>
              <w:t>MDM</w:t>
            </w:r>
          </w:p>
        </w:tc>
        <w:tc>
          <w:tcPr>
            <w:tcW w:w="7667" w:type="dxa"/>
            <w:vAlign w:val="center"/>
          </w:tcPr>
          <w:p w14:paraId="2A7FB096" w14:textId="77777777" w:rsidR="007C6F59" w:rsidRDefault="007C6F59" w:rsidP="0067627F">
            <w:pPr>
              <w:jc w:val="left"/>
              <w:rPr>
                <w:lang w:val="sr-Latn-RS"/>
              </w:rPr>
            </w:pPr>
            <w:r>
              <w:rPr>
                <w:lang w:val="sr-Latn-RS"/>
              </w:rPr>
              <w:t>Maintenance Decision-Making</w:t>
            </w:r>
          </w:p>
        </w:tc>
      </w:tr>
      <w:tr w:rsidR="007C6F59" w14:paraId="10133A8E" w14:textId="77777777" w:rsidTr="00F3460A">
        <w:tc>
          <w:tcPr>
            <w:tcW w:w="1350" w:type="dxa"/>
            <w:vAlign w:val="center"/>
          </w:tcPr>
          <w:p w14:paraId="2522EA63" w14:textId="77777777" w:rsidR="007C6F59" w:rsidRDefault="007C6F59" w:rsidP="0067627F">
            <w:pPr>
              <w:jc w:val="left"/>
              <w:rPr>
                <w:b/>
                <w:bCs/>
                <w:lang w:val="sr-Latn-RS"/>
              </w:rPr>
            </w:pPr>
            <w:r>
              <w:rPr>
                <w:b/>
                <w:bCs/>
                <w:lang w:val="sr-Latn-RS"/>
              </w:rPr>
              <w:t>MDML(s)</w:t>
            </w:r>
          </w:p>
        </w:tc>
        <w:tc>
          <w:tcPr>
            <w:tcW w:w="7667" w:type="dxa"/>
            <w:vAlign w:val="center"/>
          </w:tcPr>
          <w:p w14:paraId="47868E70" w14:textId="77777777" w:rsidR="007C6F59" w:rsidRDefault="007C6F59" w:rsidP="0067627F">
            <w:pPr>
              <w:jc w:val="left"/>
              <w:rPr>
                <w:lang w:val="sr-Latn-RS"/>
              </w:rPr>
            </w:pPr>
            <w:r>
              <w:rPr>
                <w:lang w:val="sr-Latn-RS"/>
              </w:rPr>
              <w:t>Maintenance Decision-Making Level(s)</w:t>
            </w:r>
          </w:p>
        </w:tc>
      </w:tr>
      <w:tr w:rsidR="007C6F59" w14:paraId="6F0843B6" w14:textId="77777777" w:rsidTr="00F3460A">
        <w:tc>
          <w:tcPr>
            <w:tcW w:w="1350" w:type="dxa"/>
            <w:vAlign w:val="center"/>
          </w:tcPr>
          <w:p w14:paraId="4CBA0139" w14:textId="77777777" w:rsidR="007C6F59" w:rsidRDefault="007C6F59" w:rsidP="0067627F">
            <w:pPr>
              <w:jc w:val="left"/>
              <w:rPr>
                <w:b/>
                <w:bCs/>
                <w:lang w:val="sr-Latn-RS"/>
              </w:rPr>
            </w:pPr>
            <w:r>
              <w:rPr>
                <w:b/>
                <w:bCs/>
                <w:lang w:val="sr-Latn-RS"/>
              </w:rPr>
              <w:t>ML</w:t>
            </w:r>
          </w:p>
        </w:tc>
        <w:tc>
          <w:tcPr>
            <w:tcW w:w="7667" w:type="dxa"/>
            <w:vAlign w:val="center"/>
          </w:tcPr>
          <w:p w14:paraId="16CDC4EC" w14:textId="77777777" w:rsidR="007C6F59" w:rsidRDefault="007C6F59" w:rsidP="0067627F">
            <w:pPr>
              <w:jc w:val="left"/>
              <w:rPr>
                <w:lang w:val="sr-Latn-RS"/>
              </w:rPr>
            </w:pPr>
            <w:r>
              <w:rPr>
                <w:lang w:val="sr-Latn-RS"/>
              </w:rPr>
              <w:t>Machine Learning</w:t>
            </w:r>
          </w:p>
        </w:tc>
      </w:tr>
      <w:tr w:rsidR="007C6F59" w14:paraId="48FA4157" w14:textId="77777777" w:rsidTr="00F3460A">
        <w:tc>
          <w:tcPr>
            <w:tcW w:w="1350" w:type="dxa"/>
            <w:vAlign w:val="center"/>
          </w:tcPr>
          <w:p w14:paraId="2B1A7CE1" w14:textId="77777777" w:rsidR="007C6F59" w:rsidRDefault="007C6F59" w:rsidP="0067627F">
            <w:pPr>
              <w:jc w:val="left"/>
              <w:rPr>
                <w:b/>
                <w:bCs/>
                <w:lang w:val="sr-Latn-RS"/>
              </w:rPr>
            </w:pPr>
            <w:r>
              <w:rPr>
                <w:b/>
                <w:bCs/>
                <w:lang w:val="sr-Latn-RS"/>
              </w:rPr>
              <w:t>MNAR</w:t>
            </w:r>
          </w:p>
        </w:tc>
        <w:tc>
          <w:tcPr>
            <w:tcW w:w="7667" w:type="dxa"/>
            <w:vAlign w:val="center"/>
          </w:tcPr>
          <w:p w14:paraId="32357C9C" w14:textId="77777777" w:rsidR="007C6F59" w:rsidRDefault="007C6F59" w:rsidP="0067627F">
            <w:pPr>
              <w:jc w:val="left"/>
              <w:rPr>
                <w:lang w:val="sr-Latn-RS"/>
              </w:rPr>
            </w:pPr>
            <w:r>
              <w:rPr>
                <w:lang w:val="sr-Latn-RS"/>
              </w:rPr>
              <w:t>Missing not at random</w:t>
            </w:r>
          </w:p>
        </w:tc>
      </w:tr>
      <w:tr w:rsidR="007C6F59" w14:paraId="288E562B" w14:textId="77777777" w:rsidTr="00F3460A">
        <w:tc>
          <w:tcPr>
            <w:tcW w:w="1350" w:type="dxa"/>
            <w:vAlign w:val="center"/>
          </w:tcPr>
          <w:p w14:paraId="43A98A2F" w14:textId="77777777" w:rsidR="007C6F59" w:rsidRPr="00F3460A" w:rsidRDefault="007C6F59" w:rsidP="0067627F">
            <w:pPr>
              <w:jc w:val="left"/>
              <w:rPr>
                <w:b/>
                <w:bCs/>
                <w:lang w:val="sr-Latn-RS"/>
              </w:rPr>
            </w:pPr>
            <w:r>
              <w:rPr>
                <w:b/>
                <w:bCs/>
                <w:lang w:val="sr-Latn-RS"/>
              </w:rPr>
              <w:t>MPI(s)</w:t>
            </w:r>
          </w:p>
        </w:tc>
        <w:tc>
          <w:tcPr>
            <w:tcW w:w="7667" w:type="dxa"/>
            <w:vAlign w:val="center"/>
          </w:tcPr>
          <w:p w14:paraId="5A271646" w14:textId="77777777" w:rsidR="007C6F59" w:rsidRDefault="007C6F59" w:rsidP="0067627F">
            <w:pPr>
              <w:jc w:val="left"/>
              <w:rPr>
                <w:lang w:val="sr-Latn-RS"/>
              </w:rPr>
            </w:pPr>
            <w:r>
              <w:rPr>
                <w:lang w:val="sr-Latn-RS"/>
              </w:rPr>
              <w:t>Maintenance Performance Indicator(s)</w:t>
            </w:r>
          </w:p>
        </w:tc>
      </w:tr>
      <w:tr w:rsidR="007C6F59" w14:paraId="7F059074" w14:textId="77777777" w:rsidTr="00F3460A">
        <w:tc>
          <w:tcPr>
            <w:tcW w:w="1350" w:type="dxa"/>
            <w:vAlign w:val="center"/>
          </w:tcPr>
          <w:p w14:paraId="778C882F" w14:textId="77777777" w:rsidR="007C6F59" w:rsidRDefault="007C6F59" w:rsidP="0067627F">
            <w:pPr>
              <w:jc w:val="left"/>
              <w:rPr>
                <w:b/>
                <w:bCs/>
                <w:lang w:val="sr-Latn-RS"/>
              </w:rPr>
            </w:pPr>
            <w:r>
              <w:rPr>
                <w:b/>
                <w:bCs/>
                <w:lang w:val="sr-Latn-RS"/>
              </w:rPr>
              <w:t>MRL</w:t>
            </w:r>
          </w:p>
        </w:tc>
        <w:tc>
          <w:tcPr>
            <w:tcW w:w="7667" w:type="dxa"/>
            <w:vAlign w:val="center"/>
          </w:tcPr>
          <w:p w14:paraId="655167BC" w14:textId="77777777" w:rsidR="007C6F59" w:rsidRDefault="007C6F59" w:rsidP="0067627F">
            <w:pPr>
              <w:jc w:val="left"/>
            </w:pPr>
            <w:r>
              <w:t>Mean Residual Life</w:t>
            </w:r>
          </w:p>
        </w:tc>
      </w:tr>
      <w:tr w:rsidR="007C6F59" w14:paraId="581FBE0A" w14:textId="77777777" w:rsidTr="00F3460A">
        <w:tc>
          <w:tcPr>
            <w:tcW w:w="1350" w:type="dxa"/>
            <w:vAlign w:val="center"/>
          </w:tcPr>
          <w:p w14:paraId="1383A755" w14:textId="77777777" w:rsidR="007C6F59" w:rsidRDefault="007C6F59" w:rsidP="002323D5">
            <w:pPr>
              <w:jc w:val="left"/>
              <w:rPr>
                <w:b/>
                <w:bCs/>
                <w:lang w:val="sr-Latn-RS"/>
              </w:rPr>
            </w:pPr>
            <w:r>
              <w:rPr>
                <w:b/>
                <w:bCs/>
                <w:lang w:val="sr-Latn-RS"/>
              </w:rPr>
              <w:t>MTBF</w:t>
            </w:r>
          </w:p>
        </w:tc>
        <w:tc>
          <w:tcPr>
            <w:tcW w:w="7667" w:type="dxa"/>
            <w:vAlign w:val="center"/>
          </w:tcPr>
          <w:p w14:paraId="3CB71EA7" w14:textId="77777777" w:rsidR="007C6F59" w:rsidRDefault="007C6F59" w:rsidP="002323D5">
            <w:pPr>
              <w:jc w:val="left"/>
            </w:pPr>
            <w:r>
              <w:t>Mean-time-between-failures</w:t>
            </w:r>
          </w:p>
        </w:tc>
      </w:tr>
      <w:tr w:rsidR="007C6F59" w14:paraId="2258453B" w14:textId="77777777" w:rsidTr="00F3460A">
        <w:tc>
          <w:tcPr>
            <w:tcW w:w="1350" w:type="dxa"/>
            <w:vAlign w:val="center"/>
          </w:tcPr>
          <w:p w14:paraId="54CA6983" w14:textId="77777777" w:rsidR="007C6F59" w:rsidRDefault="007C6F59" w:rsidP="002323D5">
            <w:pPr>
              <w:jc w:val="left"/>
              <w:rPr>
                <w:b/>
                <w:bCs/>
                <w:lang w:val="sr-Latn-RS"/>
              </w:rPr>
            </w:pPr>
            <w:r>
              <w:rPr>
                <w:b/>
                <w:bCs/>
                <w:lang w:val="sr-Latn-RS"/>
              </w:rPr>
              <w:t>MTTF</w:t>
            </w:r>
          </w:p>
        </w:tc>
        <w:tc>
          <w:tcPr>
            <w:tcW w:w="7667" w:type="dxa"/>
            <w:vAlign w:val="center"/>
          </w:tcPr>
          <w:p w14:paraId="743EA54C" w14:textId="77777777" w:rsidR="007C6F59" w:rsidRDefault="007C6F59" w:rsidP="002323D5">
            <w:pPr>
              <w:jc w:val="left"/>
            </w:pPr>
            <w:r>
              <w:t>Mean-time-to-failure</w:t>
            </w:r>
          </w:p>
        </w:tc>
      </w:tr>
      <w:tr w:rsidR="007C6F59" w14:paraId="6BDEA360" w14:textId="77777777" w:rsidTr="00F3460A">
        <w:tc>
          <w:tcPr>
            <w:tcW w:w="1350" w:type="dxa"/>
            <w:vAlign w:val="center"/>
          </w:tcPr>
          <w:p w14:paraId="2F649C36" w14:textId="77777777" w:rsidR="007C6F59" w:rsidRDefault="007C6F59" w:rsidP="002323D5">
            <w:pPr>
              <w:jc w:val="left"/>
              <w:rPr>
                <w:b/>
                <w:bCs/>
                <w:lang w:val="sr-Latn-RS"/>
              </w:rPr>
            </w:pPr>
            <w:r>
              <w:rPr>
                <w:b/>
                <w:bCs/>
                <w:lang w:val="sr-Latn-RS"/>
              </w:rPr>
              <w:t>MTTR</w:t>
            </w:r>
          </w:p>
        </w:tc>
        <w:tc>
          <w:tcPr>
            <w:tcW w:w="7667" w:type="dxa"/>
            <w:vAlign w:val="center"/>
          </w:tcPr>
          <w:p w14:paraId="41C98ACD" w14:textId="77777777" w:rsidR="007C6F59" w:rsidRDefault="007C6F59" w:rsidP="002323D5">
            <w:pPr>
              <w:jc w:val="left"/>
            </w:pPr>
            <w:r>
              <w:t>Mean-time-to-repair</w:t>
            </w:r>
          </w:p>
        </w:tc>
      </w:tr>
      <w:tr w:rsidR="007C6F59" w14:paraId="62F67356" w14:textId="77777777" w:rsidTr="00F3460A">
        <w:tc>
          <w:tcPr>
            <w:tcW w:w="1350" w:type="dxa"/>
            <w:vAlign w:val="center"/>
          </w:tcPr>
          <w:p w14:paraId="572E8FF6" w14:textId="77777777" w:rsidR="007C6F59" w:rsidRDefault="007C6F59" w:rsidP="0067627F">
            <w:pPr>
              <w:jc w:val="left"/>
              <w:rPr>
                <w:b/>
                <w:bCs/>
                <w:lang w:val="sr-Latn-RS"/>
              </w:rPr>
            </w:pPr>
            <w:r>
              <w:rPr>
                <w:b/>
                <w:bCs/>
                <w:lang w:val="sr-Latn-RS"/>
              </w:rPr>
              <w:t>NN</w:t>
            </w:r>
          </w:p>
        </w:tc>
        <w:tc>
          <w:tcPr>
            <w:tcW w:w="7667" w:type="dxa"/>
            <w:vAlign w:val="center"/>
          </w:tcPr>
          <w:p w14:paraId="3055B466" w14:textId="77777777" w:rsidR="007C6F59" w:rsidRDefault="007C6F59" w:rsidP="0067627F">
            <w:pPr>
              <w:jc w:val="left"/>
              <w:rPr>
                <w:lang w:val="sr-Latn-RS"/>
              </w:rPr>
            </w:pPr>
            <w:r>
              <w:rPr>
                <w:lang w:val="sr-Latn-RS"/>
              </w:rPr>
              <w:t>Neural Networks</w:t>
            </w:r>
          </w:p>
        </w:tc>
      </w:tr>
      <w:tr w:rsidR="007C6F59" w14:paraId="6C520126" w14:textId="77777777" w:rsidTr="00F3460A">
        <w:tc>
          <w:tcPr>
            <w:tcW w:w="1350" w:type="dxa"/>
            <w:vAlign w:val="center"/>
          </w:tcPr>
          <w:p w14:paraId="23B3929F" w14:textId="77777777" w:rsidR="007C6F59" w:rsidRDefault="007C6F59" w:rsidP="0067627F">
            <w:pPr>
              <w:jc w:val="left"/>
              <w:rPr>
                <w:b/>
                <w:bCs/>
                <w:lang w:val="sr-Latn-RS"/>
              </w:rPr>
            </w:pPr>
            <w:r>
              <w:rPr>
                <w:b/>
                <w:bCs/>
                <w:lang w:val="sr-Latn-RS"/>
              </w:rPr>
              <w:t>NOCB</w:t>
            </w:r>
          </w:p>
        </w:tc>
        <w:tc>
          <w:tcPr>
            <w:tcW w:w="7667" w:type="dxa"/>
            <w:vAlign w:val="center"/>
          </w:tcPr>
          <w:p w14:paraId="3B0C9236" w14:textId="77777777" w:rsidR="007C6F59" w:rsidRDefault="007C6F59" w:rsidP="0067627F">
            <w:pPr>
              <w:jc w:val="left"/>
            </w:pPr>
            <w:r>
              <w:t>Next observation carried backwards</w:t>
            </w:r>
          </w:p>
        </w:tc>
      </w:tr>
      <w:tr w:rsidR="007C6F59" w14:paraId="38571C0A" w14:textId="77777777" w:rsidTr="00F3460A">
        <w:tc>
          <w:tcPr>
            <w:tcW w:w="1350" w:type="dxa"/>
            <w:vAlign w:val="center"/>
          </w:tcPr>
          <w:p w14:paraId="2102FF59" w14:textId="77777777" w:rsidR="007C6F59" w:rsidRDefault="007C6F59" w:rsidP="002323D5">
            <w:pPr>
              <w:jc w:val="left"/>
              <w:rPr>
                <w:b/>
                <w:bCs/>
                <w:lang w:val="sr-Latn-RS"/>
              </w:rPr>
            </w:pPr>
            <w:r>
              <w:rPr>
                <w:b/>
                <w:bCs/>
                <w:lang w:val="sr-Latn-RS"/>
              </w:rPr>
              <w:t>NR</w:t>
            </w:r>
          </w:p>
        </w:tc>
        <w:tc>
          <w:tcPr>
            <w:tcW w:w="7667" w:type="dxa"/>
            <w:vAlign w:val="center"/>
          </w:tcPr>
          <w:p w14:paraId="0B0ACC95" w14:textId="77777777" w:rsidR="007C6F59" w:rsidRDefault="007C6F59" w:rsidP="002323D5">
            <w:pPr>
              <w:jc w:val="left"/>
            </w:pPr>
            <w:r>
              <w:t>Non-related</w:t>
            </w:r>
          </w:p>
        </w:tc>
      </w:tr>
      <w:tr w:rsidR="007C6F59" w14:paraId="53576126" w14:textId="77777777" w:rsidTr="00F3460A">
        <w:tc>
          <w:tcPr>
            <w:tcW w:w="1350" w:type="dxa"/>
            <w:vAlign w:val="center"/>
          </w:tcPr>
          <w:p w14:paraId="00DB700C" w14:textId="77777777" w:rsidR="007C6F59" w:rsidRDefault="007C6F59" w:rsidP="002323D5">
            <w:pPr>
              <w:jc w:val="left"/>
              <w:rPr>
                <w:b/>
                <w:bCs/>
                <w:lang w:val="sr-Latn-RS"/>
              </w:rPr>
            </w:pPr>
            <w:r>
              <w:rPr>
                <w:b/>
                <w:bCs/>
                <w:lang w:val="sr-Latn-RS"/>
              </w:rPr>
              <w:lastRenderedPageBreak/>
              <w:t>OPS</w:t>
            </w:r>
          </w:p>
        </w:tc>
        <w:tc>
          <w:tcPr>
            <w:tcW w:w="7667" w:type="dxa"/>
            <w:vAlign w:val="center"/>
          </w:tcPr>
          <w:p w14:paraId="7D66299D" w14:textId="77777777" w:rsidR="007C6F59" w:rsidRDefault="007C6F59" w:rsidP="002323D5">
            <w:pPr>
              <w:jc w:val="left"/>
            </w:pPr>
            <w:r>
              <w:t>Original peer-review study</w:t>
            </w:r>
          </w:p>
        </w:tc>
      </w:tr>
      <w:tr w:rsidR="007C6F59" w14:paraId="323CBFD6" w14:textId="77777777" w:rsidTr="00F3460A">
        <w:tc>
          <w:tcPr>
            <w:tcW w:w="1350" w:type="dxa"/>
            <w:vAlign w:val="center"/>
          </w:tcPr>
          <w:p w14:paraId="5A36D096" w14:textId="77777777" w:rsidR="007C6F59" w:rsidRDefault="007C6F59" w:rsidP="002323D5">
            <w:pPr>
              <w:jc w:val="left"/>
              <w:rPr>
                <w:b/>
                <w:bCs/>
                <w:lang w:val="sr-Latn-RS"/>
              </w:rPr>
            </w:pPr>
            <w:r>
              <w:rPr>
                <w:b/>
                <w:bCs/>
                <w:lang w:val="sr-Latn-RS"/>
              </w:rPr>
              <w:t>PACF</w:t>
            </w:r>
          </w:p>
        </w:tc>
        <w:tc>
          <w:tcPr>
            <w:tcW w:w="7667" w:type="dxa"/>
            <w:vAlign w:val="center"/>
          </w:tcPr>
          <w:p w14:paraId="03ECE5E9" w14:textId="77777777" w:rsidR="007C6F59" w:rsidRDefault="007C6F59" w:rsidP="002323D5">
            <w:pPr>
              <w:jc w:val="left"/>
            </w:pPr>
            <w:r>
              <w:t>Partial autocorrelation function</w:t>
            </w:r>
          </w:p>
        </w:tc>
      </w:tr>
      <w:tr w:rsidR="007C6F59" w14:paraId="5CEA95D7" w14:textId="77777777" w:rsidTr="00F3460A">
        <w:tc>
          <w:tcPr>
            <w:tcW w:w="1350" w:type="dxa"/>
            <w:vAlign w:val="center"/>
          </w:tcPr>
          <w:p w14:paraId="5F984450" w14:textId="77777777" w:rsidR="007C6F59" w:rsidRDefault="007C6F59" w:rsidP="0067627F">
            <w:pPr>
              <w:jc w:val="left"/>
              <w:rPr>
                <w:b/>
                <w:bCs/>
                <w:lang w:val="sr-Latn-RS"/>
              </w:rPr>
            </w:pPr>
            <w:r>
              <w:rPr>
                <w:b/>
                <w:bCs/>
                <w:lang w:val="sr-Latn-RS"/>
              </w:rPr>
              <w:t>PCA</w:t>
            </w:r>
          </w:p>
        </w:tc>
        <w:tc>
          <w:tcPr>
            <w:tcW w:w="7667" w:type="dxa"/>
            <w:vAlign w:val="center"/>
          </w:tcPr>
          <w:p w14:paraId="6F81AD84" w14:textId="77777777" w:rsidR="007C6F59" w:rsidRDefault="007C6F59" w:rsidP="0067627F">
            <w:pPr>
              <w:jc w:val="left"/>
              <w:rPr>
                <w:lang w:val="sr-Latn-RS"/>
              </w:rPr>
            </w:pPr>
            <w:r>
              <w:rPr>
                <w:lang w:val="sr-Latn-RS"/>
              </w:rPr>
              <w:t>Principal Component Analysis</w:t>
            </w:r>
          </w:p>
        </w:tc>
      </w:tr>
      <w:tr w:rsidR="007C6F59" w14:paraId="369E52C4" w14:textId="77777777" w:rsidTr="00F3460A">
        <w:tc>
          <w:tcPr>
            <w:tcW w:w="1350" w:type="dxa"/>
            <w:vAlign w:val="center"/>
          </w:tcPr>
          <w:p w14:paraId="2E8340BC" w14:textId="77777777" w:rsidR="007C6F59" w:rsidRDefault="007C6F59" w:rsidP="0067627F">
            <w:pPr>
              <w:jc w:val="left"/>
              <w:rPr>
                <w:b/>
                <w:bCs/>
                <w:lang w:val="sr-Latn-RS"/>
              </w:rPr>
            </w:pPr>
            <w:r>
              <w:rPr>
                <w:b/>
                <w:bCs/>
                <w:lang w:val="sr-Latn-RS"/>
              </w:rPr>
              <w:t>PCR</w:t>
            </w:r>
          </w:p>
        </w:tc>
        <w:tc>
          <w:tcPr>
            <w:tcW w:w="7667" w:type="dxa"/>
            <w:vAlign w:val="center"/>
          </w:tcPr>
          <w:p w14:paraId="7C5727C9" w14:textId="77777777" w:rsidR="007C6F59" w:rsidRDefault="007C6F59" w:rsidP="0067627F">
            <w:pPr>
              <w:jc w:val="left"/>
              <w:rPr>
                <w:lang w:val="sr-Latn-RS"/>
              </w:rPr>
            </w:pPr>
            <w:r>
              <w:rPr>
                <w:lang w:val="sr-Latn-RS"/>
              </w:rPr>
              <w:t>Principal Component Regression</w:t>
            </w:r>
          </w:p>
        </w:tc>
      </w:tr>
      <w:tr w:rsidR="007C6F59" w14:paraId="507E57B8" w14:textId="77777777" w:rsidTr="00F3460A">
        <w:tc>
          <w:tcPr>
            <w:tcW w:w="1350" w:type="dxa"/>
            <w:vAlign w:val="center"/>
          </w:tcPr>
          <w:p w14:paraId="72D9EFB5" w14:textId="77777777" w:rsidR="007C6F59" w:rsidRPr="00F3460A" w:rsidRDefault="007C6F59" w:rsidP="0066172B">
            <w:pPr>
              <w:jc w:val="left"/>
              <w:rPr>
                <w:b/>
                <w:bCs/>
                <w:lang w:val="sr-Latn-RS"/>
              </w:rPr>
            </w:pPr>
            <w:r w:rsidRPr="00F3460A">
              <w:rPr>
                <w:b/>
                <w:bCs/>
                <w:lang w:val="sr-Latn-RS"/>
              </w:rPr>
              <w:t>PdM</w:t>
            </w:r>
          </w:p>
        </w:tc>
        <w:tc>
          <w:tcPr>
            <w:tcW w:w="7667" w:type="dxa"/>
            <w:vAlign w:val="center"/>
          </w:tcPr>
          <w:p w14:paraId="2DCDF009" w14:textId="77777777" w:rsidR="007C6F59" w:rsidRDefault="007C6F59" w:rsidP="0066172B">
            <w:pPr>
              <w:jc w:val="left"/>
              <w:rPr>
                <w:lang w:val="sr-Latn-RS"/>
              </w:rPr>
            </w:pPr>
            <w:r>
              <w:rPr>
                <w:lang w:val="sr-Latn-RS"/>
              </w:rPr>
              <w:t>Predictive Maintenace</w:t>
            </w:r>
          </w:p>
        </w:tc>
      </w:tr>
      <w:tr w:rsidR="007C6F59" w14:paraId="30D76C54" w14:textId="77777777" w:rsidTr="00F3460A">
        <w:tc>
          <w:tcPr>
            <w:tcW w:w="1350" w:type="dxa"/>
            <w:vAlign w:val="center"/>
          </w:tcPr>
          <w:p w14:paraId="19F80E81" w14:textId="77777777" w:rsidR="007C6F59" w:rsidRDefault="007C6F59" w:rsidP="002323D5">
            <w:pPr>
              <w:jc w:val="left"/>
              <w:rPr>
                <w:b/>
                <w:bCs/>
                <w:lang w:val="sr-Latn-RS"/>
              </w:rPr>
            </w:pPr>
            <w:r>
              <w:rPr>
                <w:b/>
                <w:bCs/>
                <w:lang w:val="sr-Latn-RS"/>
              </w:rPr>
              <w:t>PEC</w:t>
            </w:r>
          </w:p>
        </w:tc>
        <w:tc>
          <w:tcPr>
            <w:tcW w:w="7667" w:type="dxa"/>
            <w:vAlign w:val="center"/>
          </w:tcPr>
          <w:p w14:paraId="5C512A7A" w14:textId="77777777" w:rsidR="007C6F59" w:rsidRDefault="007C6F59" w:rsidP="002323D5">
            <w:pPr>
              <w:jc w:val="left"/>
            </w:pPr>
            <w:r>
              <w:t>Projects funded by EU/EC</w:t>
            </w:r>
          </w:p>
        </w:tc>
      </w:tr>
      <w:tr w:rsidR="007C6F59" w14:paraId="71EB5E80" w14:textId="77777777" w:rsidTr="00F3460A">
        <w:tc>
          <w:tcPr>
            <w:tcW w:w="1350" w:type="dxa"/>
            <w:vAlign w:val="center"/>
          </w:tcPr>
          <w:p w14:paraId="53639C78" w14:textId="77777777" w:rsidR="007C6F59" w:rsidRPr="00F3460A" w:rsidRDefault="007C6F59" w:rsidP="0067627F">
            <w:pPr>
              <w:jc w:val="left"/>
              <w:rPr>
                <w:b/>
                <w:bCs/>
                <w:lang w:val="sr-Latn-RS"/>
              </w:rPr>
            </w:pPr>
            <w:r>
              <w:rPr>
                <w:b/>
                <w:bCs/>
                <w:lang w:val="sr-Latn-RS"/>
              </w:rPr>
              <w:t>PM</w:t>
            </w:r>
          </w:p>
        </w:tc>
        <w:tc>
          <w:tcPr>
            <w:tcW w:w="7667" w:type="dxa"/>
            <w:vAlign w:val="center"/>
          </w:tcPr>
          <w:p w14:paraId="2F768C26" w14:textId="77777777" w:rsidR="007C6F59" w:rsidRDefault="007C6F59" w:rsidP="0067627F">
            <w:pPr>
              <w:jc w:val="left"/>
              <w:rPr>
                <w:lang w:val="sr-Latn-RS"/>
              </w:rPr>
            </w:pPr>
            <w:r>
              <w:rPr>
                <w:lang w:val="sr-Latn-RS"/>
              </w:rPr>
              <w:t>Preventive Maintenance</w:t>
            </w:r>
          </w:p>
        </w:tc>
      </w:tr>
      <w:tr w:rsidR="007C6F59" w14:paraId="0F5FF12A" w14:textId="77777777" w:rsidTr="00F3460A">
        <w:tc>
          <w:tcPr>
            <w:tcW w:w="1350" w:type="dxa"/>
            <w:vAlign w:val="center"/>
          </w:tcPr>
          <w:p w14:paraId="6D954663" w14:textId="77777777" w:rsidR="007C6F59" w:rsidRDefault="007C6F59" w:rsidP="0067627F">
            <w:pPr>
              <w:jc w:val="left"/>
              <w:rPr>
                <w:b/>
                <w:bCs/>
                <w:lang w:val="sr-Latn-RS"/>
              </w:rPr>
            </w:pPr>
            <w:r>
              <w:rPr>
                <w:b/>
                <w:bCs/>
                <w:lang w:val="sr-Latn-RS"/>
              </w:rPr>
              <w:t>PR</w:t>
            </w:r>
          </w:p>
        </w:tc>
        <w:tc>
          <w:tcPr>
            <w:tcW w:w="7667" w:type="dxa"/>
            <w:vAlign w:val="center"/>
          </w:tcPr>
          <w:p w14:paraId="12BA47C4" w14:textId="77777777" w:rsidR="007C6F59" w:rsidRDefault="007C6F59" w:rsidP="0067627F">
            <w:pPr>
              <w:jc w:val="left"/>
            </w:pPr>
            <w:r>
              <w:t>Partially-related</w:t>
            </w:r>
          </w:p>
        </w:tc>
      </w:tr>
      <w:tr w:rsidR="007C6F59" w14:paraId="4027F4CB" w14:textId="77777777" w:rsidTr="00F3460A">
        <w:tc>
          <w:tcPr>
            <w:tcW w:w="1350" w:type="dxa"/>
            <w:vAlign w:val="center"/>
          </w:tcPr>
          <w:p w14:paraId="6EB38C41" w14:textId="77777777" w:rsidR="007C6F59" w:rsidRDefault="007C6F59" w:rsidP="0067627F">
            <w:pPr>
              <w:jc w:val="left"/>
              <w:rPr>
                <w:b/>
                <w:bCs/>
                <w:lang w:val="sr-Latn-RS"/>
              </w:rPr>
            </w:pPr>
            <w:r>
              <w:rPr>
                <w:b/>
                <w:bCs/>
                <w:lang w:val="sr-Latn-RS"/>
              </w:rPr>
              <w:t>ROCOF</w:t>
            </w:r>
          </w:p>
        </w:tc>
        <w:tc>
          <w:tcPr>
            <w:tcW w:w="7667" w:type="dxa"/>
            <w:vAlign w:val="center"/>
          </w:tcPr>
          <w:p w14:paraId="79189C0F" w14:textId="77777777" w:rsidR="007C6F59" w:rsidRDefault="007C6F59" w:rsidP="0067627F">
            <w:pPr>
              <w:jc w:val="left"/>
              <w:rPr>
                <w:lang w:val="sr-Latn-RS"/>
              </w:rPr>
            </w:pPr>
            <w:r>
              <w:rPr>
                <w:lang w:val="sr-Latn-RS"/>
              </w:rPr>
              <w:t>Rate of Occurrence of Failures</w:t>
            </w:r>
          </w:p>
        </w:tc>
      </w:tr>
      <w:tr w:rsidR="007C6F59" w14:paraId="5658F07D" w14:textId="77777777" w:rsidTr="00F3460A">
        <w:tc>
          <w:tcPr>
            <w:tcW w:w="1350" w:type="dxa"/>
            <w:vAlign w:val="center"/>
          </w:tcPr>
          <w:p w14:paraId="57E6E7A3" w14:textId="77777777" w:rsidR="007C6F59" w:rsidRDefault="007C6F59" w:rsidP="002323D5">
            <w:pPr>
              <w:jc w:val="left"/>
              <w:rPr>
                <w:b/>
                <w:bCs/>
                <w:lang w:val="sr-Latn-RS"/>
              </w:rPr>
            </w:pPr>
            <w:r>
              <w:rPr>
                <w:b/>
                <w:bCs/>
                <w:lang w:val="sr-Latn-RS"/>
              </w:rPr>
              <w:t>RoP</w:t>
            </w:r>
          </w:p>
        </w:tc>
        <w:tc>
          <w:tcPr>
            <w:tcW w:w="7667" w:type="dxa"/>
            <w:vAlign w:val="center"/>
          </w:tcPr>
          <w:p w14:paraId="50513487" w14:textId="77777777" w:rsidR="007C6F59" w:rsidRDefault="007C6F59" w:rsidP="002323D5">
            <w:pPr>
              <w:jc w:val="left"/>
            </w:pPr>
            <w:r>
              <w:t>Repository of Projects</w:t>
            </w:r>
          </w:p>
        </w:tc>
      </w:tr>
      <w:tr w:rsidR="007C6F59" w14:paraId="513D914E" w14:textId="77777777" w:rsidTr="00F3460A">
        <w:tc>
          <w:tcPr>
            <w:tcW w:w="1350" w:type="dxa"/>
            <w:vAlign w:val="center"/>
          </w:tcPr>
          <w:p w14:paraId="2D0ED642" w14:textId="77777777" w:rsidR="007C6F59" w:rsidRPr="00F3460A" w:rsidRDefault="007C6F59" w:rsidP="0067627F">
            <w:pPr>
              <w:jc w:val="left"/>
              <w:rPr>
                <w:b/>
                <w:bCs/>
                <w:lang w:val="sr-Latn-RS"/>
              </w:rPr>
            </w:pPr>
            <w:r>
              <w:rPr>
                <w:b/>
                <w:bCs/>
                <w:lang w:val="sr-Latn-RS"/>
              </w:rPr>
              <w:t>RTF</w:t>
            </w:r>
          </w:p>
        </w:tc>
        <w:tc>
          <w:tcPr>
            <w:tcW w:w="7667" w:type="dxa"/>
            <w:vAlign w:val="center"/>
          </w:tcPr>
          <w:p w14:paraId="2D3E7C91" w14:textId="77777777" w:rsidR="007C6F59" w:rsidRDefault="007C6F59" w:rsidP="0067627F">
            <w:pPr>
              <w:jc w:val="left"/>
              <w:rPr>
                <w:lang w:val="sr-Latn-RS"/>
              </w:rPr>
            </w:pPr>
            <w:r>
              <w:rPr>
                <w:lang w:val="sr-Latn-RS"/>
              </w:rPr>
              <w:t>Run-to-failure</w:t>
            </w:r>
          </w:p>
        </w:tc>
      </w:tr>
      <w:tr w:rsidR="007C6F59" w14:paraId="7110E504" w14:textId="77777777" w:rsidTr="00F3460A">
        <w:tc>
          <w:tcPr>
            <w:tcW w:w="1350" w:type="dxa"/>
            <w:vAlign w:val="center"/>
          </w:tcPr>
          <w:p w14:paraId="41FC33E1" w14:textId="77777777" w:rsidR="007C6F59" w:rsidRDefault="007C6F59" w:rsidP="0067627F">
            <w:pPr>
              <w:jc w:val="left"/>
              <w:rPr>
                <w:b/>
                <w:bCs/>
                <w:lang w:val="sr-Latn-RS"/>
              </w:rPr>
            </w:pPr>
            <w:r>
              <w:rPr>
                <w:b/>
                <w:bCs/>
                <w:lang w:val="sr-Latn-RS"/>
              </w:rPr>
              <w:t>RUL</w:t>
            </w:r>
          </w:p>
        </w:tc>
        <w:tc>
          <w:tcPr>
            <w:tcW w:w="7667" w:type="dxa"/>
            <w:vAlign w:val="center"/>
          </w:tcPr>
          <w:p w14:paraId="035F10B7" w14:textId="77777777" w:rsidR="007C6F59" w:rsidRDefault="007C6F59" w:rsidP="0067627F">
            <w:pPr>
              <w:jc w:val="left"/>
            </w:pPr>
            <w:r>
              <w:t>Remaining Useful Life</w:t>
            </w:r>
          </w:p>
        </w:tc>
      </w:tr>
      <w:tr w:rsidR="007C6F59" w14:paraId="286295C8" w14:textId="77777777" w:rsidTr="00F3460A">
        <w:tc>
          <w:tcPr>
            <w:tcW w:w="1350" w:type="dxa"/>
            <w:vAlign w:val="center"/>
          </w:tcPr>
          <w:p w14:paraId="302EAE8F" w14:textId="77777777" w:rsidR="007C6F59" w:rsidRDefault="007C6F59" w:rsidP="0067627F">
            <w:pPr>
              <w:jc w:val="left"/>
              <w:rPr>
                <w:b/>
                <w:bCs/>
                <w:lang w:val="sr-Latn-RS"/>
              </w:rPr>
            </w:pPr>
            <w:r>
              <w:rPr>
                <w:b/>
                <w:bCs/>
                <w:lang w:val="sr-Latn-RS"/>
              </w:rPr>
              <w:t>SCADA</w:t>
            </w:r>
          </w:p>
        </w:tc>
        <w:tc>
          <w:tcPr>
            <w:tcW w:w="7667" w:type="dxa"/>
            <w:vAlign w:val="center"/>
          </w:tcPr>
          <w:p w14:paraId="09EB7134" w14:textId="77777777" w:rsidR="007C6F59" w:rsidRDefault="007C6F59" w:rsidP="0067627F">
            <w:pPr>
              <w:jc w:val="left"/>
              <w:rPr>
                <w:lang w:val="sr-Latn-RS"/>
              </w:rPr>
            </w:pPr>
            <w:r w:rsidRPr="00F764C2">
              <w:rPr>
                <w:lang w:val="sr-Latn-RS"/>
              </w:rPr>
              <w:t xml:space="preserve">Supervisory </w:t>
            </w:r>
            <w:r>
              <w:rPr>
                <w:lang w:val="sr-Latn-RS"/>
              </w:rPr>
              <w:t>C</w:t>
            </w:r>
            <w:r w:rsidRPr="00F764C2">
              <w:rPr>
                <w:lang w:val="sr-Latn-RS"/>
              </w:rPr>
              <w:t xml:space="preserve">ontrol </w:t>
            </w:r>
            <w:r>
              <w:rPr>
                <w:lang w:val="sr-Latn-RS"/>
              </w:rPr>
              <w:t>A</w:t>
            </w:r>
            <w:r w:rsidRPr="00F764C2">
              <w:rPr>
                <w:lang w:val="sr-Latn-RS"/>
              </w:rPr>
              <w:t xml:space="preserve">nd </w:t>
            </w:r>
            <w:r>
              <w:rPr>
                <w:lang w:val="sr-Latn-RS"/>
              </w:rPr>
              <w:t>D</w:t>
            </w:r>
            <w:r w:rsidRPr="00F764C2">
              <w:rPr>
                <w:lang w:val="sr-Latn-RS"/>
              </w:rPr>
              <w:t xml:space="preserve">ata </w:t>
            </w:r>
            <w:r>
              <w:rPr>
                <w:lang w:val="sr-Latn-RS"/>
              </w:rPr>
              <w:t>A</w:t>
            </w:r>
            <w:r w:rsidRPr="00F764C2">
              <w:rPr>
                <w:lang w:val="sr-Latn-RS"/>
              </w:rPr>
              <w:t>cquisition</w:t>
            </w:r>
          </w:p>
        </w:tc>
      </w:tr>
      <w:tr w:rsidR="007C6F59" w14:paraId="2DE4F09F" w14:textId="77777777" w:rsidTr="00F3460A">
        <w:tc>
          <w:tcPr>
            <w:tcW w:w="1350" w:type="dxa"/>
            <w:vAlign w:val="center"/>
          </w:tcPr>
          <w:p w14:paraId="6918F4D8" w14:textId="77777777" w:rsidR="007C6F59" w:rsidRDefault="007C6F59" w:rsidP="0067627F">
            <w:pPr>
              <w:jc w:val="left"/>
              <w:rPr>
                <w:b/>
                <w:bCs/>
                <w:lang w:val="sr-Latn-RS"/>
              </w:rPr>
            </w:pPr>
            <w:r>
              <w:rPr>
                <w:b/>
                <w:bCs/>
                <w:lang w:val="sr-Latn-RS"/>
              </w:rPr>
              <w:t>SMPI(s)</w:t>
            </w:r>
          </w:p>
        </w:tc>
        <w:tc>
          <w:tcPr>
            <w:tcW w:w="7667" w:type="dxa"/>
            <w:vAlign w:val="center"/>
          </w:tcPr>
          <w:p w14:paraId="7D75DE7A" w14:textId="77777777" w:rsidR="007C6F59" w:rsidRDefault="007C6F59" w:rsidP="0067627F">
            <w:pPr>
              <w:jc w:val="left"/>
              <w:rPr>
                <w:lang w:val="sr-Latn-RS"/>
              </w:rPr>
            </w:pPr>
            <w:r>
              <w:rPr>
                <w:lang w:val="sr-Latn-RS"/>
              </w:rPr>
              <w:t>Sustainable Maintenance Performance Indicator(s)</w:t>
            </w:r>
          </w:p>
        </w:tc>
      </w:tr>
      <w:tr w:rsidR="007C6F59" w14:paraId="410FC3C9" w14:textId="77777777" w:rsidTr="00F3460A">
        <w:tc>
          <w:tcPr>
            <w:tcW w:w="1350" w:type="dxa"/>
            <w:vAlign w:val="center"/>
          </w:tcPr>
          <w:p w14:paraId="42EFD8CE" w14:textId="77777777" w:rsidR="007C6F59" w:rsidRDefault="007C6F59" w:rsidP="0067627F">
            <w:pPr>
              <w:jc w:val="left"/>
              <w:rPr>
                <w:b/>
                <w:bCs/>
                <w:lang w:val="sr-Latn-RS"/>
              </w:rPr>
            </w:pPr>
            <w:r>
              <w:rPr>
                <w:b/>
                <w:bCs/>
                <w:lang w:val="sr-Latn-RS"/>
              </w:rPr>
              <w:t>SVM</w:t>
            </w:r>
          </w:p>
        </w:tc>
        <w:tc>
          <w:tcPr>
            <w:tcW w:w="7667" w:type="dxa"/>
            <w:vAlign w:val="center"/>
          </w:tcPr>
          <w:p w14:paraId="065D36E6" w14:textId="77777777" w:rsidR="007C6F59" w:rsidRDefault="007C6F59" w:rsidP="0067627F">
            <w:pPr>
              <w:jc w:val="left"/>
              <w:rPr>
                <w:lang w:val="sr-Latn-RS"/>
              </w:rPr>
            </w:pPr>
            <w:r>
              <w:rPr>
                <w:lang w:val="sr-Latn-RS"/>
              </w:rPr>
              <w:t>Support Vector Machine</w:t>
            </w:r>
          </w:p>
        </w:tc>
      </w:tr>
      <w:tr w:rsidR="007C6F59" w14:paraId="1B447A91" w14:textId="77777777" w:rsidTr="00F3460A">
        <w:tc>
          <w:tcPr>
            <w:tcW w:w="1350" w:type="dxa"/>
            <w:vAlign w:val="center"/>
          </w:tcPr>
          <w:p w14:paraId="14D6D2A2" w14:textId="77777777" w:rsidR="007C6F59" w:rsidRDefault="007C6F59" w:rsidP="002323D5">
            <w:pPr>
              <w:jc w:val="left"/>
              <w:rPr>
                <w:b/>
                <w:bCs/>
                <w:lang w:val="sr-Latn-RS"/>
              </w:rPr>
            </w:pPr>
            <w:r>
              <w:rPr>
                <w:b/>
                <w:bCs/>
                <w:lang w:val="sr-Latn-RS"/>
              </w:rPr>
              <w:t>TBF</w:t>
            </w:r>
          </w:p>
        </w:tc>
        <w:tc>
          <w:tcPr>
            <w:tcW w:w="7667" w:type="dxa"/>
            <w:vAlign w:val="center"/>
          </w:tcPr>
          <w:p w14:paraId="105B57D0" w14:textId="77777777" w:rsidR="007C6F59" w:rsidRDefault="007C6F59" w:rsidP="002323D5">
            <w:pPr>
              <w:jc w:val="left"/>
            </w:pPr>
            <w:r>
              <w:t>Time-between-failures</w:t>
            </w:r>
          </w:p>
        </w:tc>
      </w:tr>
      <w:tr w:rsidR="007C6F59" w14:paraId="032F9F38" w14:textId="77777777" w:rsidTr="00F3460A">
        <w:tc>
          <w:tcPr>
            <w:tcW w:w="1350" w:type="dxa"/>
            <w:vAlign w:val="center"/>
          </w:tcPr>
          <w:p w14:paraId="2D1EC267" w14:textId="77777777" w:rsidR="007C6F59" w:rsidRDefault="007C6F59" w:rsidP="002323D5">
            <w:pPr>
              <w:jc w:val="left"/>
              <w:rPr>
                <w:b/>
                <w:bCs/>
                <w:lang w:val="sr-Latn-RS"/>
              </w:rPr>
            </w:pPr>
            <w:r>
              <w:rPr>
                <w:b/>
                <w:bCs/>
                <w:lang w:val="sr-Latn-RS"/>
              </w:rPr>
              <w:t>TBR</w:t>
            </w:r>
          </w:p>
        </w:tc>
        <w:tc>
          <w:tcPr>
            <w:tcW w:w="7667" w:type="dxa"/>
            <w:vAlign w:val="center"/>
          </w:tcPr>
          <w:p w14:paraId="1014A5F7" w14:textId="77777777" w:rsidR="007C6F59" w:rsidRDefault="007C6F59" w:rsidP="002323D5">
            <w:pPr>
              <w:jc w:val="left"/>
            </w:pPr>
            <w:r>
              <w:t>Time-between-repairs</w:t>
            </w:r>
          </w:p>
        </w:tc>
      </w:tr>
      <w:tr w:rsidR="007C6F59" w14:paraId="356E6B4F" w14:textId="77777777" w:rsidTr="00F3460A">
        <w:tc>
          <w:tcPr>
            <w:tcW w:w="1350" w:type="dxa"/>
            <w:vAlign w:val="center"/>
          </w:tcPr>
          <w:p w14:paraId="54FBDA72" w14:textId="77777777" w:rsidR="007C6F59" w:rsidRDefault="007C6F59" w:rsidP="0067627F">
            <w:pPr>
              <w:jc w:val="left"/>
              <w:rPr>
                <w:b/>
                <w:bCs/>
                <w:lang w:val="sr-Latn-RS"/>
              </w:rPr>
            </w:pPr>
            <w:r>
              <w:rPr>
                <w:b/>
                <w:bCs/>
                <w:lang w:val="sr-Latn-RS"/>
              </w:rPr>
              <w:t>TD</w:t>
            </w:r>
          </w:p>
        </w:tc>
        <w:tc>
          <w:tcPr>
            <w:tcW w:w="7667" w:type="dxa"/>
            <w:vAlign w:val="center"/>
          </w:tcPr>
          <w:p w14:paraId="5CF81C9C" w14:textId="77777777" w:rsidR="007C6F59" w:rsidRDefault="007C6F59" w:rsidP="0067627F">
            <w:pPr>
              <w:jc w:val="left"/>
            </w:pPr>
            <w:r>
              <w:t>Truncated Data</w:t>
            </w:r>
          </w:p>
        </w:tc>
      </w:tr>
      <w:tr w:rsidR="007C6F59" w14:paraId="1678A123" w14:textId="77777777" w:rsidTr="00F3460A">
        <w:tc>
          <w:tcPr>
            <w:tcW w:w="1350" w:type="dxa"/>
            <w:vAlign w:val="center"/>
          </w:tcPr>
          <w:p w14:paraId="681778FC" w14:textId="77777777" w:rsidR="007C6F59" w:rsidRDefault="007C6F59" w:rsidP="002323D5">
            <w:pPr>
              <w:jc w:val="left"/>
              <w:rPr>
                <w:b/>
                <w:bCs/>
                <w:lang w:val="sr-Latn-RS"/>
              </w:rPr>
            </w:pPr>
            <w:r>
              <w:rPr>
                <w:b/>
                <w:bCs/>
                <w:lang w:val="sr-Latn-RS"/>
              </w:rPr>
              <w:t>TF</w:t>
            </w:r>
          </w:p>
        </w:tc>
        <w:tc>
          <w:tcPr>
            <w:tcW w:w="7667" w:type="dxa"/>
            <w:vAlign w:val="center"/>
          </w:tcPr>
          <w:p w14:paraId="678939BB" w14:textId="77777777" w:rsidR="007C6F59" w:rsidRDefault="007C6F59" w:rsidP="002323D5">
            <w:pPr>
              <w:jc w:val="left"/>
            </w:pPr>
            <w:r>
              <w:t>Time frame</w:t>
            </w:r>
          </w:p>
        </w:tc>
      </w:tr>
      <w:tr w:rsidR="007C6F59" w14:paraId="022484EE" w14:textId="77777777" w:rsidTr="00F3460A">
        <w:tc>
          <w:tcPr>
            <w:tcW w:w="1350" w:type="dxa"/>
            <w:vAlign w:val="center"/>
          </w:tcPr>
          <w:p w14:paraId="2CCA8C44" w14:textId="77777777" w:rsidR="007C6F59" w:rsidRDefault="007C6F59" w:rsidP="0067627F">
            <w:pPr>
              <w:jc w:val="left"/>
              <w:rPr>
                <w:b/>
                <w:bCs/>
                <w:lang w:val="sr-Latn-RS"/>
              </w:rPr>
            </w:pPr>
            <w:r>
              <w:rPr>
                <w:b/>
                <w:bCs/>
                <w:lang w:val="sr-Latn-RS"/>
              </w:rPr>
              <w:t>TN</w:t>
            </w:r>
          </w:p>
        </w:tc>
        <w:tc>
          <w:tcPr>
            <w:tcW w:w="7667" w:type="dxa"/>
            <w:vAlign w:val="center"/>
          </w:tcPr>
          <w:p w14:paraId="7173CA4B" w14:textId="77777777" w:rsidR="007C6F59" w:rsidRDefault="007C6F59" w:rsidP="0067627F">
            <w:pPr>
              <w:jc w:val="left"/>
            </w:pPr>
            <w:r>
              <w:t>True negative</w:t>
            </w:r>
          </w:p>
        </w:tc>
      </w:tr>
      <w:tr w:rsidR="007C6F59" w14:paraId="2BFEC9F6" w14:textId="77777777" w:rsidTr="00F3460A">
        <w:tc>
          <w:tcPr>
            <w:tcW w:w="1350" w:type="dxa"/>
            <w:vAlign w:val="center"/>
          </w:tcPr>
          <w:p w14:paraId="4E0C3E4E" w14:textId="77777777" w:rsidR="007C6F59" w:rsidRDefault="007C6F59" w:rsidP="0067627F">
            <w:pPr>
              <w:jc w:val="left"/>
              <w:rPr>
                <w:b/>
                <w:bCs/>
                <w:lang w:val="sr-Latn-RS"/>
              </w:rPr>
            </w:pPr>
            <w:r>
              <w:rPr>
                <w:b/>
                <w:bCs/>
                <w:lang w:val="sr-Latn-RS"/>
              </w:rPr>
              <w:t>TP</w:t>
            </w:r>
          </w:p>
        </w:tc>
        <w:tc>
          <w:tcPr>
            <w:tcW w:w="7667" w:type="dxa"/>
            <w:vAlign w:val="center"/>
          </w:tcPr>
          <w:p w14:paraId="46BF17BF" w14:textId="77777777" w:rsidR="007C6F59" w:rsidRDefault="007C6F59" w:rsidP="0067627F">
            <w:pPr>
              <w:jc w:val="left"/>
            </w:pPr>
            <w:r>
              <w:t>True positive</w:t>
            </w:r>
          </w:p>
        </w:tc>
      </w:tr>
      <w:tr w:rsidR="007C6F59" w14:paraId="27EBC4F5" w14:textId="77777777" w:rsidTr="00F3460A">
        <w:tc>
          <w:tcPr>
            <w:tcW w:w="1350" w:type="dxa"/>
            <w:vAlign w:val="center"/>
          </w:tcPr>
          <w:p w14:paraId="6896B875" w14:textId="77777777" w:rsidR="007C6F59" w:rsidRDefault="007C6F59" w:rsidP="002323D5">
            <w:pPr>
              <w:jc w:val="left"/>
              <w:rPr>
                <w:b/>
                <w:bCs/>
                <w:lang w:val="sr-Latn-RS"/>
              </w:rPr>
            </w:pPr>
            <w:r>
              <w:rPr>
                <w:b/>
                <w:bCs/>
                <w:lang w:val="sr-Latn-RS"/>
              </w:rPr>
              <w:t>TTF</w:t>
            </w:r>
          </w:p>
        </w:tc>
        <w:tc>
          <w:tcPr>
            <w:tcW w:w="7667" w:type="dxa"/>
            <w:vAlign w:val="center"/>
          </w:tcPr>
          <w:p w14:paraId="792F5564" w14:textId="77777777" w:rsidR="007C6F59" w:rsidRDefault="007C6F59" w:rsidP="002323D5">
            <w:pPr>
              <w:jc w:val="left"/>
            </w:pPr>
            <w:r>
              <w:t>Time-to-failure</w:t>
            </w:r>
          </w:p>
        </w:tc>
      </w:tr>
      <w:tr w:rsidR="007C6F59" w14:paraId="0E7276A5" w14:textId="77777777" w:rsidTr="00F3460A">
        <w:tc>
          <w:tcPr>
            <w:tcW w:w="1350" w:type="dxa"/>
            <w:vAlign w:val="center"/>
          </w:tcPr>
          <w:p w14:paraId="1AEFA693" w14:textId="77777777" w:rsidR="007C6F59" w:rsidRDefault="007C6F59" w:rsidP="002323D5">
            <w:pPr>
              <w:jc w:val="left"/>
              <w:rPr>
                <w:b/>
                <w:bCs/>
                <w:lang w:val="sr-Latn-RS"/>
              </w:rPr>
            </w:pPr>
            <w:r>
              <w:rPr>
                <w:b/>
                <w:bCs/>
                <w:lang w:val="sr-Latn-RS"/>
              </w:rPr>
              <w:t>TTR</w:t>
            </w:r>
          </w:p>
        </w:tc>
        <w:tc>
          <w:tcPr>
            <w:tcW w:w="7667" w:type="dxa"/>
            <w:vAlign w:val="center"/>
          </w:tcPr>
          <w:p w14:paraId="76D61863" w14:textId="77777777" w:rsidR="007C6F59" w:rsidRDefault="007C6F59" w:rsidP="002323D5">
            <w:pPr>
              <w:jc w:val="left"/>
            </w:pPr>
            <w:r>
              <w:t>Time-to-repair</w:t>
            </w:r>
          </w:p>
        </w:tc>
      </w:tr>
      <w:tr w:rsidR="007C6F59" w14:paraId="3198A4AA" w14:textId="77777777" w:rsidTr="00F3460A">
        <w:tc>
          <w:tcPr>
            <w:tcW w:w="1350" w:type="dxa"/>
            <w:vAlign w:val="center"/>
          </w:tcPr>
          <w:p w14:paraId="583E41FA" w14:textId="77777777" w:rsidR="007C6F59" w:rsidRDefault="007C6F59" w:rsidP="0067627F">
            <w:pPr>
              <w:jc w:val="left"/>
              <w:rPr>
                <w:b/>
                <w:bCs/>
                <w:lang w:val="sr-Latn-RS"/>
              </w:rPr>
            </w:pPr>
            <w:r>
              <w:rPr>
                <w:b/>
                <w:bCs/>
                <w:lang w:val="sr-Latn-RS"/>
              </w:rPr>
              <w:t>UCL</w:t>
            </w:r>
          </w:p>
        </w:tc>
        <w:tc>
          <w:tcPr>
            <w:tcW w:w="7667" w:type="dxa"/>
            <w:vAlign w:val="center"/>
          </w:tcPr>
          <w:p w14:paraId="6775E9D6" w14:textId="77777777" w:rsidR="007C6F59" w:rsidRPr="005A7521" w:rsidRDefault="007C6F59" w:rsidP="0067627F">
            <w:pPr>
              <w:jc w:val="left"/>
            </w:pPr>
            <w:r>
              <w:t>Upper Control Limit</w:t>
            </w:r>
          </w:p>
        </w:tc>
      </w:tr>
    </w:tbl>
    <w:p w14:paraId="6AC6F16B" w14:textId="77777777" w:rsidR="0076606C" w:rsidRDefault="0076606C" w:rsidP="00670ED0">
      <w:pPr>
        <w:rPr>
          <w:lang w:val="sr-Latn-RS"/>
        </w:rPr>
      </w:pPr>
    </w:p>
    <w:bookmarkEnd w:id="0"/>
    <w:p w14:paraId="631C5289" w14:textId="77777777" w:rsidR="0012200F" w:rsidRDefault="0012200F">
      <w:pPr>
        <w:spacing w:before="0" w:after="160" w:line="259" w:lineRule="auto"/>
        <w:jc w:val="left"/>
        <w:rPr>
          <w:lang w:val="sr-Latn-RS"/>
        </w:rPr>
        <w:sectPr w:rsidR="0012200F" w:rsidSect="004F1DAA">
          <w:footerReference w:type="default" r:id="rId10"/>
          <w:pgSz w:w="11907" w:h="16840" w:code="9"/>
          <w:pgMar w:top="1440" w:right="1440" w:bottom="1440" w:left="1440" w:header="706" w:footer="706" w:gutter="0"/>
          <w:pgNumType w:fmt="upperRoman"/>
          <w:cols w:space="708"/>
          <w:docGrid w:linePitch="360"/>
        </w:sectPr>
      </w:pPr>
    </w:p>
    <w:p w14:paraId="57497146" w14:textId="499292B6" w:rsidR="0087286B" w:rsidRDefault="0087286B" w:rsidP="004074B1">
      <w:pPr>
        <w:pStyle w:val="Titleofthepaper"/>
        <w:rPr>
          <w:lang w:val="sr-Latn-RS"/>
        </w:rPr>
      </w:pPr>
      <w:r w:rsidRPr="004074B1">
        <w:lastRenderedPageBreak/>
        <w:t>Abstract</w:t>
      </w:r>
    </w:p>
    <w:p w14:paraId="5961BFC7" w14:textId="66007CE5" w:rsidR="00B61923" w:rsidRDefault="0087286B" w:rsidP="004074B1">
      <w:pPr>
        <w:rPr>
          <w:color w:val="000000" w:themeColor="text1"/>
        </w:rPr>
      </w:pPr>
      <w:r>
        <w:t>Applying the Energy</w:t>
      </w:r>
      <w:r>
        <w:rPr>
          <w:lang w:val="sr-Cyrl-RS"/>
        </w:rPr>
        <w:t>-</w:t>
      </w:r>
      <w:r>
        <w:rPr>
          <w:lang w:val="en-GB"/>
        </w:rPr>
        <w:t>Based Maintenance (EBM</w:t>
      </w:r>
      <w:r>
        <w:t xml:space="preserve">) policy within manufacturing companies, the theoretical probability of non-random deteriorating failures is relatively low. However, poor industrial maintenance practices and market intelligence have been reported. </w:t>
      </w:r>
      <w:r w:rsidRPr="00EE77DC">
        <w:rPr>
          <w:color w:val="000000" w:themeColor="text1"/>
        </w:rPr>
        <w:t>N</w:t>
      </w:r>
      <w:r>
        <w:rPr>
          <w:color w:val="000000" w:themeColor="text1"/>
        </w:rPr>
        <w:t>onetheles</w:t>
      </w:r>
      <w:r w:rsidRPr="00EE77DC">
        <w:rPr>
          <w:color w:val="000000" w:themeColor="text1"/>
        </w:rPr>
        <w:t xml:space="preserve">s, although </w:t>
      </w:r>
      <w:r>
        <w:rPr>
          <w:color w:val="000000" w:themeColor="text1"/>
        </w:rPr>
        <w:t>various</w:t>
      </w:r>
      <w:r w:rsidRPr="00EE77DC">
        <w:rPr>
          <w:color w:val="000000" w:themeColor="text1"/>
        </w:rPr>
        <w:t xml:space="preserve"> maintenance </w:t>
      </w:r>
      <w:r>
        <w:rPr>
          <w:color w:val="000000" w:themeColor="text1"/>
        </w:rPr>
        <w:t>practices</w:t>
      </w:r>
      <w:r w:rsidRPr="00EE77DC">
        <w:rPr>
          <w:color w:val="000000" w:themeColor="text1"/>
        </w:rPr>
        <w:t>, including</w:t>
      </w:r>
      <w:r>
        <w:rPr>
          <w:color w:val="000000" w:themeColor="text1"/>
        </w:rPr>
        <w:t xml:space="preserve"> CBM</w:t>
      </w:r>
      <w:r w:rsidRPr="00EE77DC">
        <w:rPr>
          <w:color w:val="000000" w:themeColor="text1"/>
        </w:rPr>
        <w:t xml:space="preserve"> </w:t>
      </w:r>
      <w:r>
        <w:rPr>
          <w:color w:val="000000" w:themeColor="text1"/>
        </w:rPr>
        <w:t>(Condition-Based Maintenance)</w:t>
      </w:r>
      <w:r w:rsidRPr="00EE77DC">
        <w:rPr>
          <w:color w:val="000000" w:themeColor="text1"/>
        </w:rPr>
        <w:t xml:space="preserve"> and </w:t>
      </w:r>
      <w:r>
        <w:rPr>
          <w:color w:val="000000" w:themeColor="text1"/>
        </w:rPr>
        <w:t xml:space="preserve">PdM (Predictive Maintenance) </w:t>
      </w:r>
      <w:r w:rsidRPr="00EE77DC">
        <w:rPr>
          <w:color w:val="000000" w:themeColor="text1"/>
        </w:rPr>
        <w:t xml:space="preserve">concepts, are applied </w:t>
      </w:r>
      <w:r>
        <w:rPr>
          <w:color w:val="000000" w:themeColor="text1"/>
        </w:rPr>
        <w:t>with</w:t>
      </w:r>
      <w:r w:rsidRPr="00EE77DC">
        <w:rPr>
          <w:color w:val="000000" w:themeColor="text1"/>
        </w:rPr>
        <w:t>in manufacturing sector</w:t>
      </w:r>
      <w:r>
        <w:rPr>
          <w:color w:val="000000" w:themeColor="text1"/>
        </w:rPr>
        <w:t>s</w:t>
      </w:r>
      <w:r w:rsidRPr="00EE77DC">
        <w:rPr>
          <w:color w:val="000000" w:themeColor="text1"/>
        </w:rPr>
        <w:t xml:space="preserve">, results show that performance differs with </w:t>
      </w:r>
      <w:r>
        <w:rPr>
          <w:color w:val="000000" w:themeColor="text1"/>
        </w:rPr>
        <w:t xml:space="preserve">decision-making and </w:t>
      </w:r>
      <w:r w:rsidRPr="00EE77DC">
        <w:rPr>
          <w:color w:val="000000" w:themeColor="text1"/>
        </w:rPr>
        <w:t xml:space="preserve">policy-making </w:t>
      </w:r>
      <w:r>
        <w:rPr>
          <w:color w:val="000000" w:themeColor="text1"/>
        </w:rPr>
        <w:t>in all layers of abstraction.</w:t>
      </w:r>
      <w:r w:rsidR="00B61923">
        <w:rPr>
          <w:color w:val="000000" w:themeColor="text1"/>
        </w:rPr>
        <w:t xml:space="preserve"> The reasons for such propositions are provoked by three main pillars of evidence, namely (1) state-of-the-projects</w:t>
      </w:r>
      <w:r w:rsidR="0040473E">
        <w:rPr>
          <w:color w:val="000000" w:themeColor="text1"/>
        </w:rPr>
        <w:t>,</w:t>
      </w:r>
      <w:r w:rsidR="00B61923">
        <w:rPr>
          <w:color w:val="000000" w:themeColor="text1"/>
        </w:rPr>
        <w:t xml:space="preserve"> (2) state-of-the-literature</w:t>
      </w:r>
      <w:r w:rsidR="0040473E">
        <w:rPr>
          <w:color w:val="000000" w:themeColor="text1"/>
        </w:rPr>
        <w:t>,</w:t>
      </w:r>
      <w:r w:rsidR="00B61923">
        <w:rPr>
          <w:color w:val="000000" w:themeColor="text1"/>
        </w:rPr>
        <w:t xml:space="preserve"> and (3) state-of-the-practice. The author of the thesis uses th</w:t>
      </w:r>
      <w:r w:rsidR="0040473E">
        <w:rPr>
          <w:color w:val="000000" w:themeColor="text1"/>
        </w:rPr>
        <w:t>is</w:t>
      </w:r>
      <w:r w:rsidR="00B61923">
        <w:rPr>
          <w:color w:val="000000" w:themeColor="text1"/>
        </w:rPr>
        <w:t xml:space="preserve"> evidence as an apparatus for justifying the lack of maintenance impact and achievement in the industrial “4</w:t>
      </w:r>
      <w:r w:rsidR="00B61923" w:rsidRPr="00B61923">
        <w:rPr>
          <w:color w:val="000000" w:themeColor="text1"/>
          <w:vertAlign w:val="superscript"/>
        </w:rPr>
        <w:t>th</w:t>
      </w:r>
      <w:r w:rsidR="00B61923">
        <w:rPr>
          <w:color w:val="000000" w:themeColor="text1"/>
        </w:rPr>
        <w:t xml:space="preserve"> Wave”. </w:t>
      </w:r>
      <w:r w:rsidR="0040473E">
        <w:rPr>
          <w:color w:val="000000" w:themeColor="text1"/>
        </w:rPr>
        <w:t>A specific in-detail description of the protocol is given for each given pillar</w:t>
      </w:r>
      <w:r w:rsidR="00B61923">
        <w:rPr>
          <w:color w:val="000000" w:themeColor="text1"/>
        </w:rPr>
        <w:t xml:space="preserve">. The main setbacks and lack of achievement are seen in </w:t>
      </w:r>
      <w:r w:rsidR="0040473E">
        <w:rPr>
          <w:color w:val="000000" w:themeColor="text1"/>
        </w:rPr>
        <w:t>decision-making since most engineers and scientists rely</w:t>
      </w:r>
      <w:r w:rsidR="00B61923">
        <w:rPr>
          <w:color w:val="000000" w:themeColor="text1"/>
        </w:rPr>
        <w:t xml:space="preserve"> on static data-driven approaches.</w:t>
      </w:r>
    </w:p>
    <w:p w14:paraId="7CA6194D" w14:textId="71D4B5B9" w:rsidR="0087286B" w:rsidRDefault="0087286B" w:rsidP="0087286B">
      <w:r>
        <w:t xml:space="preserve">Utilising the </w:t>
      </w:r>
      <w:r w:rsidR="00B61923">
        <w:t>PdM</w:t>
      </w:r>
      <w:r>
        <w:t xml:space="preserve"> approach seems to exhibit difficulties in switching from a static to a dynamic data-driven approach. The setbacks are seen through the poor decision-making of top management. Hence, the outdated maintenance CBM frameworks that manufacturers rely upon fall short of providing long-term effects, especially in upcoming sustainable manufacturing. Encompassing sustainable manufacturing as one of the key enabling technologies (KET) and sustainability indicator(s) as a condition monitoring (CM) tool(s) that rely on energy and environmental dynamics, maintenance decision-making (MDM) differs between traditional PdM and EBM policy. The benefit of conventional CM tools (e.g. vibrational and acoustic) is that </w:t>
      </w:r>
      <w:r w:rsidR="00B61923">
        <w:t xml:space="preserve">such waste </w:t>
      </w:r>
      <w:r>
        <w:t>energy can be transformed into indicators at every decision-making layer (strategical, tactical, operational). Therefore, it can be used both for diagnostic and prognostic purposes to boost decision-making and optimise maintenance asset support, or it can be used as an overall planning optimizer in determining appropriate decision-making maintenance policy. However, ongoing “sustainable maintenance” and PdM maintenance research strategies face barriers in delineating functionality thresholds by still relying on static control indicators for triggering decision-making instead of dynamic indicators</w:t>
      </w:r>
      <w:r w:rsidR="009E6809">
        <w:t>.</w:t>
      </w:r>
      <w:r w:rsidR="00B61923">
        <w:t xml:space="preserve"> </w:t>
      </w:r>
    </w:p>
    <w:p w14:paraId="12A4621B" w14:textId="1618924A" w:rsidR="00B61923" w:rsidRDefault="009E6809" w:rsidP="0087286B">
      <w:r>
        <w:t>T</w:t>
      </w:r>
      <w:r w:rsidR="0087286B">
        <w:t xml:space="preserve">he author of the thesis is set to propose the functional-productiveness (FP) concept as a quantitative estimate in delineating functional from non-functional </w:t>
      </w:r>
      <w:r w:rsidR="005C65BF">
        <w:t>labels</w:t>
      </w:r>
      <w:r w:rsidR="0087286B">
        <w:t xml:space="preserve">. Secondly, </w:t>
      </w:r>
      <w:r>
        <w:t xml:space="preserve">using </w:t>
      </w:r>
      <w:r w:rsidR="0087286B">
        <w:t xml:space="preserve">machine learning </w:t>
      </w:r>
      <w:r>
        <w:t>(</w:t>
      </w:r>
      <w:r w:rsidR="0087286B">
        <w:t>supervised and unsupervised</w:t>
      </w:r>
      <w:r>
        <w:t>)</w:t>
      </w:r>
      <w:r w:rsidR="0087286B">
        <w:t xml:space="preserve"> </w:t>
      </w:r>
      <w:r>
        <w:t xml:space="preserve">algorithms </w:t>
      </w:r>
      <w:r w:rsidR="0087286B">
        <w:t>for binary classification</w:t>
      </w:r>
      <w:r>
        <w:t>, the goal is to determine the healthy from the non-healthy state by relying upon functional-productiveness markers (FPMs).</w:t>
      </w:r>
      <w:r w:rsidR="0087286B">
        <w:t xml:space="preserve"> </w:t>
      </w:r>
      <w:r>
        <w:t xml:space="preserve">These markers are extracted from classification </w:t>
      </w:r>
      <w:r w:rsidR="00B61923">
        <w:t>hypothesis space</w:t>
      </w:r>
      <w:r>
        <w:t xml:space="preserve"> by variable importance; as such can be used for establishing the reliability of system</w:t>
      </w:r>
      <w:r w:rsidR="00B61923">
        <w:t>s</w:t>
      </w:r>
      <w:r>
        <w:t xml:space="preserve"> and contribut</w:t>
      </w:r>
      <w:r w:rsidR="00B61923">
        <w:t>ing</w:t>
      </w:r>
      <w:r>
        <w:t xml:space="preserve"> to maintenance decision-making.</w:t>
      </w:r>
      <w:r w:rsidR="00B61923">
        <w:t xml:space="preserve"> Using a practical hydraulic control system of a rubber mixing machine</w:t>
      </w:r>
      <w:r w:rsidR="0040473E">
        <w:t>,</w:t>
      </w:r>
      <w:r w:rsidR="00B61923">
        <w:t xml:space="preserve"> it was possible to establish high classification accuracy between healthy and non-healthy state</w:t>
      </w:r>
      <w:r w:rsidR="0040473E">
        <w:t>s</w:t>
      </w:r>
      <w:r w:rsidR="00B61923">
        <w:t>. The author used: Gaussian naïve Bayes (GNB), Artificial Neural Networks (ANN), Logistic Regression (LR), Classification and Regression Tree (CART), and k-Nearest Neighbo</w:t>
      </w:r>
      <w:r w:rsidR="0040473E">
        <w:t>u</w:t>
      </w:r>
      <w:r w:rsidR="00B61923">
        <w:t xml:space="preserve">r (kNN) for classification, where ANN resulted in </w:t>
      </w:r>
      <w:r w:rsidR="0040473E">
        <w:t xml:space="preserve">the </w:t>
      </w:r>
      <w:r w:rsidR="005C65BF">
        <w:t>highest classification accuracy (</w:t>
      </w:r>
      <w:r w:rsidR="00B61923">
        <w:t>9</w:t>
      </w:r>
      <w:r w:rsidR="005C65BF">
        <w:t>5</w:t>
      </w:r>
      <w:r w:rsidR="00B61923">
        <w:t>%</w:t>
      </w:r>
      <w:r w:rsidR="005C65BF">
        <w:t>) given unseen data.</w:t>
      </w:r>
    </w:p>
    <w:p w14:paraId="4CC3DCEF" w14:textId="01E25536" w:rsidR="00EF7943" w:rsidRDefault="0087286B" w:rsidP="00B61923">
      <w:r>
        <w:rPr>
          <w:b/>
          <w:bCs/>
        </w:rPr>
        <w:t>keywords:</w:t>
      </w:r>
      <w:r>
        <w:t xml:space="preserve"> industrial engineering, predictive maintenance, energy-based maintenance, </w:t>
      </w:r>
      <w:r w:rsidR="00B61923">
        <w:t xml:space="preserve">reliability analysis, </w:t>
      </w:r>
      <w:r>
        <w:t xml:space="preserve">hydraulic systems, oil analysis, </w:t>
      </w:r>
      <w:r w:rsidR="00427B33">
        <w:t xml:space="preserve">fluid </w:t>
      </w:r>
      <w:r>
        <w:t xml:space="preserve">condition monitoring, contamination control, supervised machine learning, unsupervised machine learning, principal component analysis, artificial neural networks, k-nearest neighbours, logistic regression, decision tree, classification and regression tree, k-means clustering, support vector machine </w:t>
      </w:r>
    </w:p>
    <w:p w14:paraId="737326D7" w14:textId="77777777" w:rsidR="00EF7943" w:rsidRDefault="00EF7943">
      <w:pPr>
        <w:spacing w:before="0" w:after="160" w:line="259" w:lineRule="auto"/>
        <w:jc w:val="left"/>
      </w:pPr>
      <w:r>
        <w:br w:type="page"/>
      </w:r>
    </w:p>
    <w:p w14:paraId="118BFC27" w14:textId="0D87E8F1" w:rsidR="00EF7943" w:rsidRDefault="00EF7943" w:rsidP="004074B1">
      <w:pPr>
        <w:pStyle w:val="Titleofthepaper"/>
        <w:rPr>
          <w:lang w:val="sr-Cyrl-RS"/>
        </w:rPr>
      </w:pPr>
      <w:r w:rsidRPr="004074B1">
        <w:t>Резиме</w:t>
      </w:r>
    </w:p>
    <w:p w14:paraId="32002DB5" w14:textId="1AA77A7E" w:rsidR="00EF7943" w:rsidRPr="00EF7943" w:rsidRDefault="004074B1" w:rsidP="004074B1">
      <w:pPr>
        <w:rPr>
          <w:lang w:val="sr-Cyrl-RS"/>
        </w:rPr>
      </w:pPr>
      <w:r>
        <w:rPr>
          <w:lang w:val="sr-Cyrl-RS"/>
        </w:rPr>
        <w:t>ааа</w:t>
      </w:r>
    </w:p>
    <w:p w14:paraId="19568F97" w14:textId="77777777" w:rsidR="0040473E" w:rsidRDefault="0040473E">
      <w:pPr>
        <w:spacing w:before="0" w:after="160" w:line="259" w:lineRule="auto"/>
        <w:jc w:val="left"/>
      </w:pPr>
      <w:r>
        <w:br w:type="page"/>
      </w:r>
    </w:p>
    <w:p w14:paraId="726E94D7" w14:textId="77777777" w:rsidR="0087286B" w:rsidRPr="00B61923" w:rsidRDefault="0087286B" w:rsidP="00B61923"/>
    <w:p w14:paraId="67F4DF76" w14:textId="0C204355" w:rsidR="0012200F" w:rsidRDefault="00FB713F" w:rsidP="00FB713F">
      <w:pPr>
        <w:spacing w:before="0" w:after="160" w:line="259" w:lineRule="auto"/>
        <w:jc w:val="center"/>
        <w:rPr>
          <w:lang w:val="sr-Latn-RS"/>
        </w:rPr>
        <w:sectPr w:rsidR="0012200F" w:rsidSect="004F1DAA">
          <w:pgSz w:w="11907" w:h="16840" w:code="9"/>
          <w:pgMar w:top="1440" w:right="1440" w:bottom="1440" w:left="1440" w:header="706" w:footer="706" w:gutter="0"/>
          <w:pgNumType w:fmt="upperRoman"/>
          <w:cols w:space="708"/>
          <w:docGrid w:linePitch="360"/>
        </w:sectPr>
      </w:pPr>
      <w:r>
        <w:rPr>
          <w:lang w:val="sr-Latn-RS"/>
        </w:rPr>
        <w:t>This page is intentionally left blank</w:t>
      </w:r>
    </w:p>
    <w:p w14:paraId="6F604BB2" w14:textId="734C6497" w:rsidR="00AC1DDF" w:rsidRPr="00BD7314" w:rsidRDefault="00553E00" w:rsidP="00737DC3">
      <w:pPr>
        <w:pStyle w:val="Title"/>
      </w:pPr>
      <w:bookmarkStart w:id="1" w:name="_Toc101274311"/>
      <w:r w:rsidRPr="005A3BB0">
        <w:lastRenderedPageBreak/>
        <w:t>Chapter</w:t>
      </w:r>
      <w:r w:rsidRPr="00BD7314">
        <w:t xml:space="preserve"> I</w:t>
      </w:r>
      <w:bookmarkEnd w:id="1"/>
    </w:p>
    <w:p w14:paraId="65F5F388" w14:textId="230E1CCF" w:rsidR="00553E00" w:rsidRDefault="00521FB3" w:rsidP="00553E00">
      <w:pPr>
        <w:jc w:val="right"/>
        <w:rPr>
          <w:lang w:val="sr-Latn-RS"/>
        </w:rPr>
      </w:pPr>
      <w:r>
        <w:rPr>
          <w:lang w:val="sr-Latn-RS"/>
        </w:rPr>
        <w:t>“</w:t>
      </w:r>
      <w:r w:rsidR="00553E00" w:rsidRPr="001D246C">
        <w:rPr>
          <w:i/>
          <w:iCs/>
          <w:lang w:val="sr-Latn-RS"/>
        </w:rPr>
        <w:t>I saw no way the heavens were stitched!</w:t>
      </w:r>
      <w:r>
        <w:rPr>
          <w:lang w:val="sr-Latn-RS"/>
        </w:rPr>
        <w:t>”</w:t>
      </w:r>
      <w:r w:rsidR="00D073DA">
        <w:rPr>
          <w:lang w:val="sr-Latn-RS"/>
        </w:rPr>
        <w:br/>
      </w:r>
      <w:r w:rsidR="00553E00" w:rsidRPr="00B34507">
        <w:rPr>
          <w:iCs/>
          <w:lang w:val="sr-Latn-RS"/>
        </w:rPr>
        <w:t>Emily Dickinson</w:t>
      </w:r>
    </w:p>
    <w:p w14:paraId="282811C8" w14:textId="79B86A92" w:rsidR="00A131F8" w:rsidRDefault="001B1091" w:rsidP="002F2930">
      <w:pPr>
        <w:pStyle w:val="Heading1"/>
      </w:pPr>
      <w:bookmarkStart w:id="2" w:name="_Toc62467363"/>
      <w:bookmarkStart w:id="3" w:name="_Toc91575369"/>
      <w:bookmarkStart w:id="4" w:name="_Toc93759843"/>
      <w:bookmarkStart w:id="5" w:name="_Toc93759947"/>
      <w:bookmarkStart w:id="6" w:name="_Ref101249629"/>
      <w:bookmarkStart w:id="7" w:name="_Ref101249772"/>
      <w:bookmarkStart w:id="8" w:name="_Ref101249781"/>
      <w:bookmarkStart w:id="9" w:name="_Ref101249785"/>
      <w:bookmarkStart w:id="10" w:name="_Ref101249790"/>
      <w:bookmarkStart w:id="11" w:name="_Ref101249794"/>
      <w:bookmarkStart w:id="12" w:name="_Ref101249797"/>
      <w:bookmarkStart w:id="13" w:name="_Ref101249807"/>
      <w:bookmarkStart w:id="14" w:name="_Ref101249811"/>
      <w:bookmarkStart w:id="15" w:name="_Toc101274312"/>
      <w:r>
        <w:t>Introduction</w:t>
      </w:r>
      <w:bookmarkEnd w:id="2"/>
      <w:bookmarkEnd w:id="3"/>
      <w:bookmarkEnd w:id="4"/>
      <w:bookmarkEnd w:id="5"/>
      <w:bookmarkEnd w:id="6"/>
      <w:bookmarkEnd w:id="7"/>
      <w:bookmarkEnd w:id="8"/>
      <w:bookmarkEnd w:id="9"/>
      <w:bookmarkEnd w:id="10"/>
      <w:bookmarkEnd w:id="11"/>
      <w:bookmarkEnd w:id="12"/>
      <w:bookmarkEnd w:id="13"/>
      <w:bookmarkEnd w:id="14"/>
      <w:bookmarkEnd w:id="15"/>
    </w:p>
    <w:p w14:paraId="2AE774E4" w14:textId="31E2C300" w:rsidR="00541085" w:rsidRDefault="00020251" w:rsidP="00541085">
      <w:r>
        <w:t xml:space="preserve">The </w:t>
      </w:r>
      <w:r w:rsidR="00DF775B">
        <w:t>thesis</w:t>
      </w:r>
      <w:r w:rsidR="00521FB3">
        <w:t>’</w:t>
      </w:r>
      <w:r w:rsidR="00DF775B">
        <w:t xml:space="preserve"> contextual setting</w:t>
      </w:r>
      <w:r w:rsidR="00810491">
        <w:t xml:space="preserve"> starts by explaining the </w:t>
      </w:r>
      <w:r w:rsidR="00541085">
        <w:t>technological landscape in which industrial maintenance finds itself</w:t>
      </w:r>
      <w:r w:rsidR="007D7020">
        <w:t xml:space="preserve"> </w:t>
      </w:r>
      <w:r w:rsidR="00A00BFA">
        <w:t>in the era of Industry 4.0</w:t>
      </w:r>
      <w:r w:rsidR="00541085">
        <w:t xml:space="preserve">. </w:t>
      </w:r>
      <w:r w:rsidR="008E121C">
        <w:t xml:space="preserve">The implication of such </w:t>
      </w:r>
      <w:r w:rsidR="005B6401">
        <w:t xml:space="preserve">an </w:t>
      </w:r>
      <w:r w:rsidR="008E121C">
        <w:t xml:space="preserve">idea is </w:t>
      </w:r>
      <w:r w:rsidR="00F17650">
        <w:t>not only t</w:t>
      </w:r>
      <w:r w:rsidR="008E121C">
        <w:t>o shed light on</w:t>
      </w:r>
      <w:r w:rsidR="00541085">
        <w:t xml:space="preserve"> </w:t>
      </w:r>
      <w:r w:rsidR="008E121C">
        <w:t xml:space="preserve">maintenance </w:t>
      </w:r>
      <w:r w:rsidR="00F17650">
        <w:t xml:space="preserve">as a </w:t>
      </w:r>
      <w:r w:rsidR="008E121C">
        <w:t>science</w:t>
      </w:r>
      <w:r w:rsidR="00F17650">
        <w:t xml:space="preserve"> and a disc</w:t>
      </w:r>
      <w:r w:rsidR="003B2804">
        <w:t>i</w:t>
      </w:r>
      <w:r w:rsidR="00F17650">
        <w:t>pline</w:t>
      </w:r>
      <w:r w:rsidR="00541085">
        <w:t xml:space="preserve"> within the technological “4</w:t>
      </w:r>
      <w:r w:rsidR="00541085" w:rsidRPr="00541085">
        <w:rPr>
          <w:vertAlign w:val="superscript"/>
        </w:rPr>
        <w:t>th</w:t>
      </w:r>
      <w:r w:rsidR="00541085">
        <w:t xml:space="preserve"> Wave”</w:t>
      </w:r>
      <w:r w:rsidR="00977263">
        <w:t xml:space="preserve"> </w:t>
      </w:r>
      <w:r w:rsidR="00F17650">
        <w:t>but also</w:t>
      </w:r>
      <w:r w:rsidR="008E121C">
        <w:t xml:space="preserve"> to portray</w:t>
      </w:r>
      <w:r w:rsidR="00977263">
        <w:t xml:space="preserve"> </w:t>
      </w:r>
      <w:r w:rsidR="003B2804">
        <w:t xml:space="preserve">the </w:t>
      </w:r>
      <w:r w:rsidR="00810491">
        <w:t>diachronic nature of maintenance</w:t>
      </w:r>
      <w:r w:rsidR="00977263">
        <w:t>’</w:t>
      </w:r>
      <w:r w:rsidR="0055491F">
        <w:t xml:space="preserve"> </w:t>
      </w:r>
      <w:r w:rsidR="003B2804">
        <w:t xml:space="preserve">evolvement </w:t>
      </w:r>
      <w:r w:rsidR="0055491F">
        <w:t>synthesised</w:t>
      </w:r>
      <w:r w:rsidR="006D5E65">
        <w:t xml:space="preserve"> </w:t>
      </w:r>
      <w:r w:rsidR="0055491F">
        <w:t xml:space="preserve">from </w:t>
      </w:r>
      <w:r w:rsidR="00F17650">
        <w:t>three pillars</w:t>
      </w:r>
      <w:r w:rsidR="008E121C">
        <w:t>: (1</w:t>
      </w:r>
      <w:r w:rsidR="004E429C">
        <w:t>)</w:t>
      </w:r>
      <w:r w:rsidR="004E429C" w:rsidRPr="004E429C">
        <w:t xml:space="preserve"> </w:t>
      </w:r>
      <w:r w:rsidR="004E429C">
        <w:t>state-of-the-projects</w:t>
      </w:r>
      <w:r w:rsidR="008E121C">
        <w:t>; (2)</w:t>
      </w:r>
      <w:r w:rsidR="001B1091">
        <w:t xml:space="preserve"> state-of-the-practice</w:t>
      </w:r>
      <w:r w:rsidR="0055491F">
        <w:t xml:space="preserve"> and</w:t>
      </w:r>
      <w:r w:rsidR="001B1091">
        <w:t xml:space="preserve"> </w:t>
      </w:r>
      <w:r w:rsidR="008E121C">
        <w:t>(3)</w:t>
      </w:r>
      <w:r w:rsidR="004E429C" w:rsidRPr="004E429C">
        <w:t xml:space="preserve"> </w:t>
      </w:r>
      <w:r w:rsidR="004E429C">
        <w:t>state-of-the-literature</w:t>
      </w:r>
      <w:r w:rsidR="001B1091">
        <w:t>.</w:t>
      </w:r>
      <w:r w:rsidR="008E121C">
        <w:t xml:space="preserve"> </w:t>
      </w:r>
      <w:r w:rsidR="00934F6C">
        <w:t xml:space="preserve">Within </w:t>
      </w:r>
      <w:r w:rsidR="003D4891">
        <w:t xml:space="preserve">the </w:t>
      </w:r>
      <w:r w:rsidR="00934F6C">
        <w:t xml:space="preserve">proposed </w:t>
      </w:r>
      <w:r w:rsidR="00DF08B1">
        <w:t>pillars of evidence</w:t>
      </w:r>
      <w:r w:rsidR="008E121C">
        <w:t xml:space="preserve">, the </w:t>
      </w:r>
      <w:r w:rsidR="00ED3633">
        <w:t>first milestone</w:t>
      </w:r>
      <w:r w:rsidR="00F17650">
        <w:t xml:space="preserve"> </w:t>
      </w:r>
      <w:r w:rsidR="00934F6C">
        <w:t>consist</w:t>
      </w:r>
      <w:r w:rsidR="003D4891">
        <w:t>s</w:t>
      </w:r>
      <w:r w:rsidR="00934F6C">
        <w:t xml:space="preserve"> of</w:t>
      </w:r>
      <w:r w:rsidR="00F17650">
        <w:t xml:space="preserve"> </w:t>
      </w:r>
      <w:r w:rsidR="009110BE">
        <w:t>collecting meta-data and reflecting</w:t>
      </w:r>
      <w:r w:rsidR="00F17650">
        <w:t xml:space="preserve"> </w:t>
      </w:r>
      <w:r w:rsidR="009110BE">
        <w:t xml:space="preserve">the </w:t>
      </w:r>
      <w:r w:rsidR="00B30D4D">
        <w:t xml:space="preserve">state-of-the-art maintenance </w:t>
      </w:r>
      <w:r w:rsidR="00D2424C">
        <w:t>manifesto</w:t>
      </w:r>
      <w:r w:rsidR="00F17650">
        <w:t xml:space="preserve">. </w:t>
      </w:r>
      <w:r w:rsidR="008E121C">
        <w:t xml:space="preserve">To </w:t>
      </w:r>
      <w:r w:rsidR="00437431">
        <w:t xml:space="preserve">avoid adding </w:t>
      </w:r>
      <w:r w:rsidR="00F17650">
        <w:t>another hori</w:t>
      </w:r>
      <w:r w:rsidR="003B2804">
        <w:t>z</w:t>
      </w:r>
      <w:r w:rsidR="00F17650">
        <w:t xml:space="preserve">ontal-type research statement </w:t>
      </w:r>
      <w:r w:rsidR="00437431">
        <w:t>circul</w:t>
      </w:r>
      <w:r w:rsidR="00B00F1F">
        <w:t>at</w:t>
      </w:r>
      <w:r w:rsidR="00437431">
        <w:t xml:space="preserve">ing </w:t>
      </w:r>
      <w:r w:rsidR="00162940">
        <w:t xml:space="preserve">around </w:t>
      </w:r>
      <w:r w:rsidR="00B00F1F">
        <w:t xml:space="preserve">the </w:t>
      </w:r>
      <w:r w:rsidR="00437431">
        <w:t>same ideology, the author</w:t>
      </w:r>
      <w:r w:rsidR="00F43752">
        <w:t xml:space="preserve"> of the thesis</w:t>
      </w:r>
      <w:r w:rsidR="00437431">
        <w:t xml:space="preserve"> aims </w:t>
      </w:r>
      <w:r w:rsidR="00817F09">
        <w:t>to switch</w:t>
      </w:r>
      <w:r w:rsidR="00764B83">
        <w:t xml:space="preserve"> focus</w:t>
      </w:r>
      <w:r w:rsidR="00437431">
        <w:t xml:space="preserve"> from </w:t>
      </w:r>
      <w:r w:rsidR="00B00F1F">
        <w:t xml:space="preserve">the </w:t>
      </w:r>
      <w:r w:rsidR="00437431">
        <w:t xml:space="preserve">general notion of systems’ (or machines’) </w:t>
      </w:r>
      <w:r w:rsidR="00764B83">
        <w:t>time</w:t>
      </w:r>
      <w:r w:rsidR="00437431">
        <w:t xml:space="preserve">- and </w:t>
      </w:r>
      <w:r w:rsidR="00764B83">
        <w:t>condition</w:t>
      </w:r>
      <w:r w:rsidR="00437431">
        <w:t>-</w:t>
      </w:r>
      <w:r w:rsidR="00764B83">
        <w:t>based</w:t>
      </w:r>
      <w:r w:rsidR="00437431">
        <w:t xml:space="preserve"> maintenance</w:t>
      </w:r>
      <w:r w:rsidR="00764B83">
        <w:t xml:space="preserve"> (CBM)</w:t>
      </w:r>
      <w:r w:rsidR="00437431">
        <w:t xml:space="preserve"> towards sustainable energy-oriented </w:t>
      </w:r>
      <w:r w:rsidR="00064DC9">
        <w:t>practice</w:t>
      </w:r>
      <w:r w:rsidR="00437431">
        <w:t>.</w:t>
      </w:r>
      <w:r w:rsidR="00EA01C2">
        <w:t xml:space="preserve"> </w:t>
      </w:r>
      <w:r w:rsidR="00AA2F59">
        <w:t>T</w:t>
      </w:r>
      <w:r w:rsidR="00EA01C2">
        <w:t xml:space="preserve">he substance behind the </w:t>
      </w:r>
      <w:r w:rsidR="003B2804">
        <w:t>argument</w:t>
      </w:r>
      <w:r w:rsidR="00AA2F59">
        <w:t xml:space="preserve"> will be explain</w:t>
      </w:r>
      <w:r w:rsidR="00022B31">
        <w:t>ed</w:t>
      </w:r>
      <w:r w:rsidR="00AA2F59">
        <w:t xml:space="preserve"> </w:t>
      </w:r>
      <w:r w:rsidR="003B2804">
        <w:t xml:space="preserve">through rationale, </w:t>
      </w:r>
      <w:r w:rsidR="00362393">
        <w:t>aims</w:t>
      </w:r>
      <w:r w:rsidR="009110BE">
        <w:t>, and objectives</w:t>
      </w:r>
      <w:r w:rsidR="00F43752">
        <w:t xml:space="preserve"> to gain</w:t>
      </w:r>
      <w:r w:rsidR="00AA2F59">
        <w:t xml:space="preserve"> </w:t>
      </w:r>
      <w:r w:rsidR="009110BE">
        <w:t xml:space="preserve">a </w:t>
      </w:r>
      <w:r w:rsidR="00AA2F59">
        <w:t>clear</w:t>
      </w:r>
      <w:r w:rsidR="00F43752">
        <w:t>er</w:t>
      </w:r>
      <w:r w:rsidR="00AA2F59">
        <w:t xml:space="preserve"> insight </w:t>
      </w:r>
      <w:r w:rsidR="00022B31">
        <w:t>into</w:t>
      </w:r>
      <w:r w:rsidR="00AA2F59">
        <w:t xml:space="preserve"> the issues being addressed</w:t>
      </w:r>
      <w:r w:rsidR="00F43752">
        <w:t>.</w:t>
      </w:r>
    </w:p>
    <w:p w14:paraId="429726CB" w14:textId="1490D768" w:rsidR="001B1091" w:rsidRDefault="002C268F" w:rsidP="001B1091">
      <w:pPr>
        <w:pStyle w:val="Heading2"/>
      </w:pPr>
      <w:bookmarkStart w:id="16" w:name="_Toc62467364"/>
      <w:bookmarkStart w:id="17" w:name="_Toc91575370"/>
      <w:bookmarkStart w:id="18" w:name="_Toc93759844"/>
      <w:bookmarkStart w:id="19" w:name="_Toc93759948"/>
      <w:bookmarkStart w:id="20" w:name="_Toc101274313"/>
      <w:r>
        <w:t xml:space="preserve">Research </w:t>
      </w:r>
      <w:r w:rsidR="00697E06">
        <w:t>m</w:t>
      </w:r>
      <w:r w:rsidR="00E24278">
        <w:t>otivation</w:t>
      </w:r>
      <w:r w:rsidR="0064653B">
        <w:t xml:space="preserve"> and </w:t>
      </w:r>
      <w:r w:rsidR="00697E06">
        <w:t>r</w:t>
      </w:r>
      <w:r w:rsidR="00F57B15">
        <w:t>ati</w:t>
      </w:r>
      <w:r w:rsidR="004160E9">
        <w:t>onale</w:t>
      </w:r>
      <w:bookmarkEnd w:id="16"/>
      <w:bookmarkEnd w:id="17"/>
      <w:bookmarkEnd w:id="18"/>
      <w:bookmarkEnd w:id="19"/>
      <w:bookmarkEnd w:id="20"/>
    </w:p>
    <w:p w14:paraId="6C4E916F" w14:textId="730C9BA2" w:rsidR="00D20382" w:rsidRDefault="00D20382" w:rsidP="00D20382">
      <w:pPr>
        <w:pStyle w:val="Heading3"/>
      </w:pPr>
      <w:bookmarkStart w:id="21" w:name="_Toc93759845"/>
      <w:bookmarkStart w:id="22" w:name="_Toc93759949"/>
      <w:bookmarkStart w:id="23" w:name="_Toc101274314"/>
      <w:r>
        <w:t>Innovation and maintenance</w:t>
      </w:r>
      <w:bookmarkEnd w:id="21"/>
      <w:bookmarkEnd w:id="22"/>
      <w:bookmarkEnd w:id="23"/>
    </w:p>
    <w:p w14:paraId="4CF4CF39" w14:textId="0BC9D04C" w:rsidR="00BA5CC5" w:rsidRDefault="00F746F3" w:rsidP="00A253C8">
      <w:r>
        <w:t xml:space="preserve">As the pursuit of </w:t>
      </w:r>
      <w:r w:rsidR="00611077">
        <w:t>innovation</w:t>
      </w:r>
      <w:r>
        <w:t xml:space="preserve"> has inspired many scientists</w:t>
      </w:r>
      <w:r w:rsidR="00F4350D">
        <w:t xml:space="preserve"> and </w:t>
      </w:r>
      <w:r>
        <w:t>industrialists, it has also provoked critics who suspect that peddlers of innovation radically overvalue innovation</w:t>
      </w:r>
      <w:r w:rsidR="00951583">
        <w:t xml:space="preserve"> and </w:t>
      </w:r>
      <w:r w:rsidR="009110BE">
        <w:t xml:space="preserve">that </w:t>
      </w:r>
      <w:r w:rsidR="00951583">
        <w:t>what happens after innovation is more important</w:t>
      </w:r>
      <w:r w:rsidR="00611077">
        <w:t xml:space="preserve"> </w:t>
      </w:r>
      <w:r w:rsidR="00611077">
        <w:fldChar w:fldCharType="begin" w:fldLock="1"/>
      </w:r>
      <w:r w:rsidR="00611077">
        <w:instrText>ADDIN CSL_CITATION {"citationItems":[{"id":"ITEM-1","itemData":{"abstract":"Capitalism excels at innovation but is failing at maintenance, and for most lives it is maintenance that matters more","author":[{"dropping-particle":"","family":"Russell","given":"A.","non-dropping-particle":"","parse-names":false,"suffix":""},{"dropping-particle":"","family":"Vinsel","given":"L.","non-dropping-particle":"","parse-names":false,"suffix":""}],"container-title":"Aeon","id":"ITEM-1","issued":{"date-parts":[["2016","9","6"]]},"page":"1-8","title":"Hail to the maintainers","type":"article-magazine"},"uris":["http://www.mendeley.com/documents/?uuid=388d2a3b-c05e-40c4-8628-a0443c8ded5a"]}],"mendeley":{"formattedCitation":"[1]","plainTextFormattedCitation":"[1]","previouslyFormattedCitation":"[1]"},"properties":{"noteIndex":0},"schema":"https://github.com/citation-style-language/schema/raw/master/csl-citation.json"}</w:instrText>
      </w:r>
      <w:r w:rsidR="00611077">
        <w:fldChar w:fldCharType="separate"/>
      </w:r>
      <w:r w:rsidR="00611077" w:rsidRPr="007A7A2E">
        <w:rPr>
          <w:noProof/>
        </w:rPr>
        <w:t>[1]</w:t>
      </w:r>
      <w:r w:rsidR="00611077">
        <w:fldChar w:fldCharType="end"/>
      </w:r>
      <w:r w:rsidR="00951583">
        <w:t xml:space="preserve">. </w:t>
      </w:r>
      <w:r w:rsidR="0038199F">
        <w:t>Unquestionably</w:t>
      </w:r>
      <w:r w:rsidR="00BA55DD">
        <w:t>,</w:t>
      </w:r>
      <w:r w:rsidR="00161F87">
        <w:t xml:space="preserve"> the </w:t>
      </w:r>
      <w:r w:rsidR="00CD41AE">
        <w:t>body</w:t>
      </w:r>
      <w:r w:rsidR="00161F87">
        <w:t xml:space="preserve"> of innovation embraced by digitalisation (i.e. digital transformation) showed more technological progress in the last twenty years than ever before. </w:t>
      </w:r>
      <w:r w:rsidR="00460A4F">
        <w:t>In line with such</w:t>
      </w:r>
      <w:r w:rsidR="00FD413D">
        <w:t xml:space="preserve"> a dominant </w:t>
      </w:r>
      <w:r w:rsidR="00460A4F">
        <w:t>cult</w:t>
      </w:r>
      <w:r w:rsidR="00FD413D">
        <w:t xml:space="preserve">, </w:t>
      </w:r>
      <w:r w:rsidR="00BC3430">
        <w:t>manufacturing</w:t>
      </w:r>
      <w:r w:rsidR="00CE6AA5">
        <w:t xml:space="preserve"> and service</w:t>
      </w:r>
      <w:r w:rsidR="00BC3430">
        <w:t xml:space="preserve"> </w:t>
      </w:r>
      <w:r w:rsidR="00F4350D">
        <w:t>companies</w:t>
      </w:r>
      <w:r w:rsidR="00E57D36">
        <w:t xml:space="preserve"> started</w:t>
      </w:r>
      <w:r w:rsidR="00FD413D">
        <w:t xml:space="preserve"> provid</w:t>
      </w:r>
      <w:r w:rsidR="00F6446B">
        <w:t xml:space="preserve">ing </w:t>
      </w:r>
      <w:r w:rsidR="00E57D36">
        <w:t>novel</w:t>
      </w:r>
      <w:r w:rsidR="00460A4F">
        <w:t xml:space="preserve"> and</w:t>
      </w:r>
      <w:r w:rsidR="00E57D36">
        <w:t xml:space="preserve"> </w:t>
      </w:r>
      <w:r w:rsidR="00FD413D">
        <w:t>mass customised market-oriented solutions</w:t>
      </w:r>
      <w:r w:rsidR="00E57D36">
        <w:t xml:space="preserve"> overlooking innovation</w:t>
      </w:r>
      <w:r w:rsidR="00CD41AE">
        <w:t>’</w:t>
      </w:r>
      <w:r w:rsidR="00E57D36">
        <w:t>s disruptive nature</w:t>
      </w:r>
      <w:r w:rsidR="00A362C7">
        <w:t xml:space="preserve"> </w:t>
      </w:r>
      <w:r w:rsidR="00A00C2E">
        <w:t>at the time</w:t>
      </w:r>
      <w:r w:rsidR="004051B8">
        <w:t xml:space="preserve">. </w:t>
      </w:r>
      <w:r w:rsidR="00460A4F">
        <w:t>New i</w:t>
      </w:r>
      <w:r w:rsidR="004051B8">
        <w:t xml:space="preserve">nternet architectures and </w:t>
      </w:r>
      <w:r w:rsidR="007B6EAE">
        <w:t xml:space="preserve">autonomous learning </w:t>
      </w:r>
      <w:r w:rsidR="00CA50AD">
        <w:t>tools</w:t>
      </w:r>
      <w:r w:rsidR="007B6EAE">
        <w:t xml:space="preserve"> (e.g., </w:t>
      </w:r>
      <w:r w:rsidR="005F308D">
        <w:t>D</w:t>
      </w:r>
      <w:r w:rsidR="00CD41AE">
        <w:t xml:space="preserve">eep </w:t>
      </w:r>
      <w:r w:rsidR="005F308D">
        <w:t>L</w:t>
      </w:r>
      <w:r w:rsidR="00CD41AE">
        <w:t>earning</w:t>
      </w:r>
      <w:r w:rsidR="007B6EAE">
        <w:t xml:space="preserve">) </w:t>
      </w:r>
      <w:r w:rsidR="00F6446B">
        <w:t>drove success</w:t>
      </w:r>
      <w:r w:rsidR="004051B8">
        <w:t xml:space="preserve"> in fulfilling market </w:t>
      </w:r>
      <w:r w:rsidR="00CD41AE">
        <w:t>demands</w:t>
      </w:r>
      <w:r w:rsidR="00FD413D">
        <w:t xml:space="preserve"> </w:t>
      </w:r>
      <w:r w:rsidR="004051B8">
        <w:t>exponentially faster</w:t>
      </w:r>
      <w:r w:rsidR="00FD413D">
        <w:t>.</w:t>
      </w:r>
      <w:r w:rsidR="004051B8">
        <w:t xml:space="preserve"> </w:t>
      </w:r>
      <w:r w:rsidR="00A8049F">
        <w:t xml:space="preserve">As such, </w:t>
      </w:r>
      <w:r w:rsidR="00F6446B">
        <w:t xml:space="preserve">altered business </w:t>
      </w:r>
      <w:r w:rsidR="00943BFD">
        <w:t>models</w:t>
      </w:r>
      <w:r w:rsidR="00F6446B">
        <w:t xml:space="preserve"> and organisational assets provided new ways </w:t>
      </w:r>
      <w:r w:rsidR="009110BE">
        <w:t>of</w:t>
      </w:r>
      <w:r w:rsidR="00F6446B">
        <w:t xml:space="preserve"> responding to customer demands in a more agile and rewarding manner.</w:t>
      </w:r>
      <w:r w:rsidR="00460A4F">
        <w:t xml:space="preserve"> </w:t>
      </w:r>
      <w:r w:rsidR="006F541B">
        <w:t>This</w:t>
      </w:r>
      <w:r w:rsidR="00F25DAE">
        <w:t xml:space="preserve"> ongoing</w:t>
      </w:r>
      <w:r w:rsidR="001563B0">
        <w:t xml:space="preserve"> transformation of industrial assets and</w:t>
      </w:r>
      <w:r w:rsidR="00F25DAE">
        <w:t xml:space="preserve"> expansion of technology</w:t>
      </w:r>
      <w:r w:rsidR="00F6446B">
        <w:t>-</w:t>
      </w:r>
      <w:r w:rsidR="00F25DAE">
        <w:t>/market-driven solutions</w:t>
      </w:r>
      <w:r w:rsidR="006F541B">
        <w:t xml:space="preserve"> eventually</w:t>
      </w:r>
      <w:r w:rsidR="00F25DAE">
        <w:t xml:space="preserve"> </w:t>
      </w:r>
      <w:r w:rsidR="001563B0">
        <w:t>coin</w:t>
      </w:r>
      <w:r w:rsidR="00943BFD">
        <w:t>ed</w:t>
      </w:r>
      <w:r w:rsidR="00F25DAE">
        <w:t xml:space="preserve"> </w:t>
      </w:r>
      <w:r w:rsidR="00943BFD">
        <w:t xml:space="preserve">the </w:t>
      </w:r>
      <w:r w:rsidR="005858BD">
        <w:t>term</w:t>
      </w:r>
      <w:r w:rsidR="00943BFD">
        <w:t xml:space="preserve"> </w:t>
      </w:r>
      <w:r w:rsidR="005858BD">
        <w:t>“</w:t>
      </w:r>
      <w:r w:rsidR="00F25DAE">
        <w:t>Industry 4.0</w:t>
      </w:r>
      <w:r w:rsidR="005858BD">
        <w:t>”</w:t>
      </w:r>
      <w:r w:rsidR="00F25DAE">
        <w:t xml:space="preserve"> (I4.0).</w:t>
      </w:r>
      <w:r w:rsidR="00B64DA2" w:rsidRPr="00B64DA2">
        <w:t xml:space="preserve"> </w:t>
      </w:r>
      <w:r w:rsidR="00B64DA2">
        <w:t xml:space="preserve">However, in such a </w:t>
      </w:r>
      <w:r w:rsidR="00C91396">
        <w:t>flustering</w:t>
      </w:r>
      <w:r w:rsidR="00B64DA2">
        <w:t xml:space="preserve"> manner of accomplishing customer needs, where production and service systems rapidly change their production flows, the extent to which industrial maintenance managed to keep pace is the real question.</w:t>
      </w:r>
    </w:p>
    <w:p w14:paraId="32994467" w14:textId="1B458E13" w:rsidR="00EA1A0F" w:rsidRDefault="00A82096" w:rsidP="002E31F6">
      <w:r>
        <w:t>A</w:t>
      </w:r>
      <w:r w:rsidR="00CF1BEF">
        <w:t>s</w:t>
      </w:r>
      <w:r w:rsidR="00D34EBE">
        <w:t xml:space="preserve"> asset-intensive companies set their </w:t>
      </w:r>
      <w:r w:rsidR="001563B0">
        <w:t>agendas</w:t>
      </w:r>
      <w:r w:rsidR="00D34EBE">
        <w:t xml:space="preserve"> in accomplishing high-end market demands </w:t>
      </w:r>
      <w:r w:rsidR="00E75D35">
        <w:t>utilising</w:t>
      </w:r>
      <w:r w:rsidR="00CF1BEF">
        <w:t xml:space="preserve"> Big Data analytic</w:t>
      </w:r>
      <w:r w:rsidR="00C506C2">
        <w:t>s</w:t>
      </w:r>
      <w:r w:rsidR="00CF1BEF">
        <w:t xml:space="preserve"> (e.g. Machine Learning, Cloud Computing)</w:t>
      </w:r>
      <w:r w:rsidR="00DE3CA7">
        <w:t>,</w:t>
      </w:r>
      <w:r w:rsidR="00CF1BEF">
        <w:t xml:space="preserve"> predict</w:t>
      </w:r>
      <w:r w:rsidR="00DE3CA7">
        <w:t>ing</w:t>
      </w:r>
      <w:r w:rsidR="00CF1BEF">
        <w:t xml:space="preserve"> and respond</w:t>
      </w:r>
      <w:r w:rsidR="00DE3CA7">
        <w:t>ing</w:t>
      </w:r>
      <w:r w:rsidR="00CF1BEF">
        <w:t xml:space="preserve"> to </w:t>
      </w:r>
      <w:r w:rsidR="00DE3CA7">
        <w:t xml:space="preserve">disruptive </w:t>
      </w:r>
      <w:r w:rsidR="00CF1BEF">
        <w:t>market demands</w:t>
      </w:r>
      <w:r w:rsidR="00DE3CA7">
        <w:t xml:space="preserve"> became </w:t>
      </w:r>
      <w:r w:rsidR="00E75D35">
        <w:t xml:space="preserve">much </w:t>
      </w:r>
      <w:r w:rsidR="00CE73D3">
        <w:t>more manageable</w:t>
      </w:r>
      <w:r w:rsidR="00CF1BEF">
        <w:t xml:space="preserve">. </w:t>
      </w:r>
      <w:r w:rsidR="00F51FFC" w:rsidRPr="00F51FFC">
        <w:t xml:space="preserve">One would expect that maintenance as an “operational-dependent servant” can carry the weight of new technology while upholding </w:t>
      </w:r>
      <w:r w:rsidR="00BA5CC5">
        <w:t>the</w:t>
      </w:r>
      <w:r w:rsidR="00405EBD">
        <w:t xml:space="preserve"> imposed</w:t>
      </w:r>
      <w:r w:rsidR="00F51FFC">
        <w:t xml:space="preserve"> </w:t>
      </w:r>
      <w:r w:rsidR="00F51FFC" w:rsidRPr="00F51FFC">
        <w:t xml:space="preserve">effectiveness and subdue to environmental legislation set by the </w:t>
      </w:r>
      <w:r w:rsidR="00405EBD">
        <w:t xml:space="preserve">political agendas, such as Green Deal targets </w:t>
      </w:r>
      <w:r w:rsidR="00405EBD">
        <w:fldChar w:fldCharType="begin" w:fldLock="1"/>
      </w:r>
      <w:r w:rsidR="00273FB8">
        <w:instrText>ADDIN CSL_CITATION {"citationItems":[{"id":"ITEM-1","itemData":{"DOI":"10.1016/S0140-6736(20)30109-4","ISSN":"1474547X","PMID":"32394894","author":[{"dropping-particle":"","family":"Haines","given":"Andy","non-dropping-particle":"","parse-names":false,"suffix":""},{"dropping-particle":"","family":"Scheelbeek","given":"Pauline","non-dropping-particle":"","parse-names":false,"suffix":""}],"container-title":"The Lancet","id":"ITEM-1","issue":"10233","issued":{"date-parts":[["2020"]]},"page":"1327-1329","publisher":"Elsevier Ltd","title":"European Green Deal: a major opportunity for health improvement","type":"article-journal","volume":"395"},"uris":["http://www.mendeley.com/documents/?uuid=c7cca0a0-0f21-496d-90f5-29b4843892ca"]}],"mendeley":{"formattedCitation":"[2]","plainTextFormattedCitation":"[2]","previouslyFormattedCitation":"[2]"},"properties":{"noteIndex":0},"schema":"https://github.com/citation-style-language/schema/raw/master/csl-citation.json"}</w:instrText>
      </w:r>
      <w:r w:rsidR="00405EBD">
        <w:fldChar w:fldCharType="separate"/>
      </w:r>
      <w:r w:rsidR="00405EBD" w:rsidRPr="00405EBD">
        <w:rPr>
          <w:noProof/>
        </w:rPr>
        <w:t>[2]</w:t>
      </w:r>
      <w:r w:rsidR="00405EBD">
        <w:fldChar w:fldCharType="end"/>
      </w:r>
      <w:r w:rsidR="00F51FFC" w:rsidRPr="00F51FFC">
        <w:t>.</w:t>
      </w:r>
      <w:r w:rsidR="00F92647">
        <w:t xml:space="preserve"> </w:t>
      </w:r>
      <w:r w:rsidR="00802549">
        <w:t>T</w:t>
      </w:r>
      <w:r w:rsidR="00F51FFC">
        <w:t xml:space="preserve">he </w:t>
      </w:r>
      <w:r w:rsidR="00D81E17">
        <w:t>pe</w:t>
      </w:r>
      <w:r w:rsidR="00022B31">
        <w:t>r</w:t>
      </w:r>
      <w:r w:rsidR="00D81E17">
        <w:t>ception</w:t>
      </w:r>
      <w:r w:rsidR="00B64DA2">
        <w:t xml:space="preserve"> of “necessary evil” as maintenance is usually perceived by </w:t>
      </w:r>
      <w:r w:rsidR="00C56192">
        <w:t>small</w:t>
      </w:r>
      <w:r w:rsidR="00B64DA2">
        <w:t>- to m</w:t>
      </w:r>
      <w:r w:rsidR="00C56192">
        <w:t>edium</w:t>
      </w:r>
      <w:r w:rsidR="00B64DA2">
        <w:t>-</w:t>
      </w:r>
      <w:r w:rsidR="00C56192">
        <w:t>sized</w:t>
      </w:r>
      <w:r w:rsidR="00B64DA2">
        <w:t xml:space="preserve"> </w:t>
      </w:r>
      <w:r w:rsidR="006E7743">
        <w:t>enterprises (SMEs)</w:t>
      </w:r>
      <w:r w:rsidR="00B64DA2">
        <w:t xml:space="preserve"> and service firms </w:t>
      </w:r>
      <w:r w:rsidR="009110BE">
        <w:t xml:space="preserve">as </w:t>
      </w:r>
      <w:r w:rsidR="00B64DA2">
        <w:t xml:space="preserve">reluctant to invest in maintenance </w:t>
      </w:r>
      <w:r w:rsidR="00237594">
        <w:t>improvement</w:t>
      </w:r>
      <w:r w:rsidR="009110BE">
        <w:t>;</w:t>
      </w:r>
      <w:r w:rsidR="00B64DA2">
        <w:t xml:space="preserve"> the implications stay the same—unclear benefits and scarce investments into maintenance </w:t>
      </w:r>
      <w:r w:rsidR="00B0730F">
        <w:t>research</w:t>
      </w:r>
      <w:r w:rsidR="005A7307">
        <w:t>.</w:t>
      </w:r>
      <w:r w:rsidR="00D81E17">
        <w:t xml:space="preserve"> Interestingly, </w:t>
      </w:r>
      <w:r w:rsidR="00EA1A0F">
        <w:t xml:space="preserve">83% </w:t>
      </w:r>
      <w:r w:rsidR="00022B31">
        <w:t xml:space="preserve">of </w:t>
      </w:r>
      <w:r w:rsidR="00EA1A0F">
        <w:t xml:space="preserve">high-tech companies plan to invest in predictive maintenance </w:t>
      </w:r>
      <w:r w:rsidR="00EA1A0F">
        <w:fldChar w:fldCharType="begin" w:fldLock="1"/>
      </w:r>
      <w:r w:rsidR="00273FB8">
        <w:instrText>ADDIN CSL_CITATION {"citationItems":[{"id":"ITEM-1","itemData":{"author":[{"dropping-particle":"","family":"Milojevic","given":"Milos","non-dropping-particle":"","parse-names":false,"suffix":""},{"dropping-particle":"","family":"Nassah","given":"Franck","non-dropping-particle":"","parse-names":false,"suffix":""}],"id":"ITEM-1","issued":{"date-parts":[["2018"]]},"note":"Transport operators are frontrunners when it comes to deploying predictive maintenance initiatives as 72% already have pi lot projects underway, whereas 25% are also generating business impact. They are also leaders when i t comes to current investments, as 63% have already invested and plan further investments.","number-of-pages":"1-23","publisher":"CXP Group","title":"Digital Industrial Revolution with Predictive Maintenance: Are European businesses ready to streamline their operations and reach higher levels of efficiency?","type":"report"},"uris":["http://www.mendeley.com/documents/?uuid=7c622270-101e-4f8c-866b-9f386b1fe517"]}],"mendeley":{"formattedCitation":"[3]","plainTextFormattedCitation":"[3]","previouslyFormattedCitation":"[3]"},"properties":{"noteIndex":0},"schema":"https://github.com/citation-style-language/schema/raw/master/csl-citation.json"}</w:instrText>
      </w:r>
      <w:r w:rsidR="00EA1A0F">
        <w:fldChar w:fldCharType="separate"/>
      </w:r>
      <w:r w:rsidR="00405EBD" w:rsidRPr="00405EBD">
        <w:rPr>
          <w:noProof/>
        </w:rPr>
        <w:t>[3]</w:t>
      </w:r>
      <w:r w:rsidR="00EA1A0F">
        <w:fldChar w:fldCharType="end"/>
      </w:r>
      <w:r w:rsidR="00EA1A0F">
        <w:t xml:space="preserve">, claiming that it should be perceived as a profit-generating function </w:t>
      </w:r>
      <w:r w:rsidR="00EA1A0F">
        <w:fldChar w:fldCharType="begin" w:fldLock="1"/>
      </w:r>
      <w:r w:rsidR="00273FB8">
        <w:instrText>ADDIN CSL_CITATION {"citationItems":[{"id":"ITEM-1","itemData":{"DOI":"10.1016/j.ijpe.2004.06.057","ISSN":"09255273","abstract":"This paper illustrates how an effective maintenance policy could influence the productivity and profitability of a manufacturing process. It was possible to show how changes in the productivity affect profit, separately from the effects of changes in the uncontrollable factors, i.e. price recovery. The main results of the case study performed at a Swedish paper-mill showed that a paper-mill machine could, ideally, generate extra profit of at least 7.8 million Swedish kronor (SEK) (approximately US$ 0.975 million) per year, i.e. 12.5% of its yearly maintenance budget, if it avoids all unplanned stoppages and bad quality production due to maintenance-related causes. Thus, maintenance is not a cost centre, but a profit generating function. © 2006 Elsevier B.V. All rights reserved.","author":[{"dropping-particle":"","family":"Alsyouf","given":"Imad","non-dropping-particle":"","parse-names":false,"suffix":""}],"container-title":"International Journal of Production Economics","id":"ITEM-1","issue":"1","issued":{"date-parts":[["2007"]]},"page":"70-78","title":"The role of maintenance in improving companies' productivity and profitability","type":"article-journal","volume":"105"},"uris":["http://www.mendeley.com/documents/?uuid=5dd9e99b-612f-4c40-871e-92947ccd9bd3"]}],"mendeley":{"formattedCitation":"[4]","plainTextFormattedCitation":"[4]","previouslyFormattedCitation":"[4]"},"properties":{"noteIndex":0},"schema":"https://github.com/citation-style-language/schema/raw/master/csl-citation.json"}</w:instrText>
      </w:r>
      <w:r w:rsidR="00EA1A0F">
        <w:fldChar w:fldCharType="separate"/>
      </w:r>
      <w:r w:rsidR="00405EBD" w:rsidRPr="00405EBD">
        <w:rPr>
          <w:noProof/>
        </w:rPr>
        <w:t>[4]</w:t>
      </w:r>
      <w:r w:rsidR="00EA1A0F">
        <w:fldChar w:fldCharType="end"/>
      </w:r>
      <w:r w:rsidR="000E0F9E">
        <w:t xml:space="preserve"> and, in some cases, even</w:t>
      </w:r>
      <w:r w:rsidR="00EA1A0F">
        <w:t xml:space="preserve"> </w:t>
      </w:r>
      <w:r w:rsidR="000E0F9E">
        <w:t xml:space="preserve">a </w:t>
      </w:r>
      <w:r w:rsidR="00EA1A0F">
        <w:t>value</w:t>
      </w:r>
      <w:r w:rsidR="000E0F9E">
        <w:t>-</w:t>
      </w:r>
      <w:r w:rsidR="00EA1A0F">
        <w:t>creati</w:t>
      </w:r>
      <w:r w:rsidR="000E0F9E">
        <w:t>ng</w:t>
      </w:r>
      <w:r w:rsidR="00EA1A0F">
        <w:t xml:space="preserve"> factor </w:t>
      </w:r>
      <w:r w:rsidR="00EA1A0F">
        <w:fldChar w:fldCharType="begin" w:fldLock="1"/>
      </w:r>
      <w:r w:rsidR="00273FB8">
        <w:instrText>ADDIN CSL_CITATION {"citationItems":[{"id":"ITEM-1","itemData":{"ISBN":"9789523350915","author":[{"dropping-particle":"","family":"Ali-marttila","given":"Maaren","non-dropping-particle":"","parse-names":false,"suffix":""}],"id":"ITEM-1","issued":{"date-parts":[["2017"]]},"number-of-pages":"1-151","publisher":"Lappeenranta University of Technology","title":"Towards Successful Maintenance Service Networks – Capturing Different Value Creation Strategies","type":"thesis"},"uris":["http://www.mendeley.com/documents/?uuid=bb3220bb-89a5-4f0f-b7ce-a11db5f72999"]}],"mendeley":{"formattedCitation":"[5]","plainTextFormattedCitation":"[5]","previouslyFormattedCitation":"[5]"},"properties":{"noteIndex":0},"schema":"https://github.com/citation-style-language/schema/raw/master/csl-citation.json"}</w:instrText>
      </w:r>
      <w:r w:rsidR="00EA1A0F">
        <w:fldChar w:fldCharType="separate"/>
      </w:r>
      <w:r w:rsidR="00405EBD" w:rsidRPr="00405EBD">
        <w:rPr>
          <w:noProof/>
        </w:rPr>
        <w:t>[5]</w:t>
      </w:r>
      <w:r w:rsidR="00EA1A0F">
        <w:fldChar w:fldCharType="end"/>
      </w:r>
      <w:r w:rsidR="00D81E17">
        <w:t xml:space="preserve">, </w:t>
      </w:r>
      <w:r w:rsidR="008A77AA">
        <w:t>which leaves one in a state of co</w:t>
      </w:r>
      <w:r w:rsidR="00022B31">
        <w:t>gn</w:t>
      </w:r>
      <w:r w:rsidR="008A77AA">
        <w:t xml:space="preserve">itive dissonance, </w:t>
      </w:r>
      <w:r w:rsidR="00D81E17">
        <w:t xml:space="preserve">consequently shattering </w:t>
      </w:r>
      <w:r w:rsidR="00237594">
        <w:t xml:space="preserve">and contradicting </w:t>
      </w:r>
      <w:r w:rsidR="00D81E17">
        <w:t xml:space="preserve">the </w:t>
      </w:r>
      <w:r w:rsidR="00237594">
        <w:t>bel</w:t>
      </w:r>
      <w:r w:rsidR="009110BE">
        <w:t>ie</w:t>
      </w:r>
      <w:r w:rsidR="00237594">
        <w:t>f</w:t>
      </w:r>
      <w:r w:rsidR="00F92284">
        <w:t>s</w:t>
      </w:r>
      <w:r w:rsidR="00237594">
        <w:t xml:space="preserve"> </w:t>
      </w:r>
      <w:r w:rsidR="00D81E17">
        <w:t xml:space="preserve">of </w:t>
      </w:r>
      <w:r w:rsidR="000E0F9E">
        <w:t>SME</w:t>
      </w:r>
      <w:r w:rsidR="006E7743">
        <w:t>s.</w:t>
      </w:r>
    </w:p>
    <w:p w14:paraId="6944CAB3" w14:textId="6A76A9F0" w:rsidR="00DE0EF5" w:rsidRDefault="00BA5CC5" w:rsidP="002E31F6">
      <w:r>
        <w:lastRenderedPageBreak/>
        <w:t xml:space="preserve">By predominantly favouring maintenance optimisation over the last few decades </w:t>
      </w:r>
      <w:r>
        <w:fldChar w:fldCharType="begin" w:fldLock="1"/>
      </w:r>
      <w:r w:rsidR="00273FB8">
        <w:instrText>ADDIN CSL_CITATION {"citationItems":[{"id":"ITEM-1","itemData":{"DOI":"10.1007/s13198-011-0045-x","ISBN":"09756809","ISSN":"09756809","abstract":"Due to widespread automation and the high capital tied up in production equipment, the importance of maintenance is ever increasing. This makes maintenance an investment opportunity to be optimized, not a cost to be minimized. Academics have recognized this and many maintenance optimization models have been published over the years. Most of these models focus on one optimization criterion or objective, making multi-objective optimization models an underexplored area of maintenance optimization. Moreover, there is a big gap between academic models and application in practice. It is very difficult for industrial companies to adapt these models to their specific business context. This article reviews the literature on maintenance optimization models, with special focus on the optimization criteria and objectives used. To overcome flaws in present optimization models, a generic classification framework of maintenance optimization models is presented. All factors that have an influence on the optimization model will be made explicit and their links will be established. The framework is a starting point to develop business specific optimization models and enables decision making in e-maintenance. Moreover, it ensures a fit between the business model of a company and the maintenance optimization model right from the beginning. Future research will be on the development of a maintenance optimization model taking into account the most relevant optimization influence factors and criteria for a situation at hand.","author":[{"dropping-particle":"","family":"Horenbeek","given":"Adriaan","non-dropping-particle":"Van","parse-names":false,"suffix":""},{"dropping-particle":"","family":"Pintelon","given":"Liliane","non-dropping-particle":"","parse-names":false,"suffix":""},{"dropping-particle":"","family":"Muchiri","given":"Peter","non-dropping-particle":"","parse-names":false,"suffix":""}],"container-title":"International Journal of Systems Assurance Engineering and Management","id":"ITEM-1","issue":"3","issued":{"date-parts":[["2010"]]},"page":"189-200","title":"Maintenance optimization models and criteria","type":"article-journal","volume":"1"},"uris":["http://www.mendeley.com/documents/?uuid=5ced8da6-5d0c-40d0-bd66-2044a170a734"]}],"mendeley":{"formattedCitation":"[6]","plainTextFormattedCitation":"[6]","previouslyFormattedCitation":"[6]"},"properties":{"noteIndex":0},"schema":"https://github.com/citation-style-language/schema/raw/master/csl-citation.json"}</w:instrText>
      </w:r>
      <w:r>
        <w:fldChar w:fldCharType="separate"/>
      </w:r>
      <w:r w:rsidR="00405EBD" w:rsidRPr="00405EBD">
        <w:rPr>
          <w:noProof/>
        </w:rPr>
        <w:t>[6]</w:t>
      </w:r>
      <w:r>
        <w:fldChar w:fldCharType="end"/>
      </w:r>
      <w:r>
        <w:t>, it seems like the malleable nature of maintenance research falls short of advancing into I4.0. Some question industrial maintenance’s ability to evolve without intruding into the operational part of the system</w:t>
      </w:r>
      <w:r w:rsidR="003D4891">
        <w:t>, and o</w:t>
      </w:r>
      <w:r>
        <w:t xml:space="preserve">thers turn attention to reviewing existing maintenance literature for a potential research gap </w:t>
      </w:r>
      <w:r>
        <w:fldChar w:fldCharType="begin" w:fldLock="1"/>
      </w:r>
      <w:r w:rsidR="00273FB8">
        <w:instrText>ADDIN CSL_CITATION {"citationItems":[{"id":"ITEM-1","itemData":{"DOI":"10.1080/0951192X.2019.1667033","ISSN":"0951-192X","author":[{"dropping-particle":"","family":"Turner","given":"C. J.","non-dropping-particle":"","parse-names":false,"suffix":""},{"dropping-particle":"","family":"Emmanouilidis","given":"C.","non-dropping-particle":"","parse-names":false,"suffix":""},{"dropping-particle":"","family":"Tomiyama","given":"T.","non-dropping-particle":"","parse-names":false,"suffix":""},{"dropping-particle":"","family":"Tiwari","given":"A.","non-dropping-particle":"","parse-names":false,"suffix":""},{"dropping-particle":"","family":"Roy","given":"R.","non-dropping-particle":"","parse-names":false,"suffix":""}],"container-title":"International Journal of Computer Integrated Manufacturing","id":"ITEM-1","issue":"10","issued":{"date-parts":[["2019","10","3"]]},"page":"936-959","title":"Intelligent decision support for maintenance: an overview and future trends","type":"article-journal","volume":"32"},"uris":["http://www.mendeley.com/documents/?uuid=94ee7012-54da-4650-8948-5bf899fcf755"]}],"mendeley":{"formattedCitation":"[7]","plainTextFormattedCitation":"[7]","previouslyFormattedCitation":"[7]"},"properties":{"noteIndex":0},"schema":"https://github.com/citation-style-language/schema/raw/master/csl-citation.json"}</w:instrText>
      </w:r>
      <w:r>
        <w:fldChar w:fldCharType="separate"/>
      </w:r>
      <w:r w:rsidR="00405EBD" w:rsidRPr="00405EBD">
        <w:rPr>
          <w:noProof/>
        </w:rPr>
        <w:t>[7]</w:t>
      </w:r>
      <w:r>
        <w:fldChar w:fldCharType="end"/>
      </w:r>
      <w:r>
        <w:t>. Both, however, follow the imposed ideology of I4.0 without changing or altering maintenance constructs</w:t>
      </w:r>
      <w:r w:rsidR="005B2A72">
        <w:t>.</w:t>
      </w:r>
    </w:p>
    <w:p w14:paraId="0216E942" w14:textId="2E286A78" w:rsidR="005A7DBD" w:rsidRDefault="007C6FB1" w:rsidP="002E31F6">
      <w:r>
        <w:t>Although the I4.0 feels like a driver of intellectual creativity of smart factories and new business models on one side, however, recently fe</w:t>
      </w:r>
      <w:r w:rsidR="007116A3">
        <w:t>lt</w:t>
      </w:r>
      <w:r>
        <w:t xml:space="preserve"> like a philosophical stance and a buzzword in domains other than industry-oriented solutions for justifying proposed novel concepts</w:t>
      </w:r>
      <w:r w:rsidR="007116A3">
        <w:t>’</w:t>
      </w:r>
      <w:r>
        <w:t xml:space="preserve"> or, in the case of high-tech academia</w:t>
      </w:r>
      <w:r w:rsidR="00B71FD2">
        <w:t>,</w:t>
      </w:r>
      <w:r>
        <w:t xml:space="preserve"> a way to make a scientific footprint by latching </w:t>
      </w:r>
      <w:r w:rsidR="00B71FD2">
        <w:t>on</w:t>
      </w:r>
      <w:r>
        <w:t xml:space="preserve"> the emblem of Industry 4.0. </w:t>
      </w:r>
      <w:r w:rsidR="007C7B5A">
        <w:t xml:space="preserve">Consequently, a blurred </w:t>
      </w:r>
      <w:r w:rsidR="00FC4CAB">
        <w:t>sensation</w:t>
      </w:r>
      <w:r w:rsidR="007C7B5A">
        <w:t xml:space="preserve"> of </w:t>
      </w:r>
      <w:r w:rsidR="00FC4CAB">
        <w:t xml:space="preserve">maintenance </w:t>
      </w:r>
      <w:r w:rsidR="007C7B5A">
        <w:t>advancements, saturation in secondary source literature, and underachievements of original scientific contributions in</w:t>
      </w:r>
      <w:r w:rsidR="00B71FD2" w:rsidRPr="00B71FD2">
        <w:t xml:space="preserve"> changing </w:t>
      </w:r>
      <w:r w:rsidR="00A12282">
        <w:t xml:space="preserve">the </w:t>
      </w:r>
      <w:r w:rsidR="00B71FD2" w:rsidRPr="00B71FD2">
        <w:t>maintenance constructs</w:t>
      </w:r>
      <w:r w:rsidR="00395B43">
        <w:t xml:space="preserve"> </w:t>
      </w:r>
      <w:r w:rsidR="00F35A41">
        <w:t xml:space="preserve">are poorly </w:t>
      </w:r>
      <w:r w:rsidR="00F35A41">
        <w:rPr>
          <w:lang w:val="en-GB"/>
        </w:rPr>
        <w:t>perceived.</w:t>
      </w:r>
      <w:r w:rsidR="00B71FD2" w:rsidRPr="00B71FD2">
        <w:t xml:space="preserve"> </w:t>
      </w:r>
      <w:r w:rsidR="00B71FD2">
        <w:t>Even though</w:t>
      </w:r>
      <w:r>
        <w:t xml:space="preserve"> t</w:t>
      </w:r>
      <w:r w:rsidR="003D4891">
        <w:t>he industrial “4th wave” technological advancements</w:t>
      </w:r>
      <w:r w:rsidR="00F866A6">
        <w:t xml:space="preserve"> </w:t>
      </w:r>
      <w:r w:rsidR="00DE4304">
        <w:t xml:space="preserve">show </w:t>
      </w:r>
      <w:r w:rsidR="00A9320F" w:rsidRPr="00A9320F">
        <w:t>immense</w:t>
      </w:r>
      <w:r w:rsidR="00DE4304">
        <w:t xml:space="preserve"> progress</w:t>
      </w:r>
      <w:r w:rsidR="005871B3">
        <w:t>,</w:t>
      </w:r>
      <w:r w:rsidR="00E91B44">
        <w:t xml:space="preserve"> </w:t>
      </w:r>
      <w:r w:rsidR="00A5368F">
        <w:t xml:space="preserve">they </w:t>
      </w:r>
      <w:r w:rsidR="005871B3">
        <w:t>rely</w:t>
      </w:r>
      <w:r>
        <w:t xml:space="preserve"> on fundamental </w:t>
      </w:r>
      <w:r w:rsidR="009110BE">
        <w:t>energy transformation and control principles</w:t>
      </w:r>
      <w:r w:rsidR="007C7B5A">
        <w:t xml:space="preserve">. </w:t>
      </w:r>
      <w:r w:rsidR="005871B3">
        <w:t>This could be</w:t>
      </w:r>
      <w:r w:rsidR="00E91B44">
        <w:t xml:space="preserve"> one of </w:t>
      </w:r>
      <w:r w:rsidR="00F866A6">
        <w:t xml:space="preserve">the </w:t>
      </w:r>
      <w:r w:rsidR="00E91B44">
        <w:t>strongest argument</w:t>
      </w:r>
      <w:r w:rsidR="00E63960">
        <w:t>s</w:t>
      </w:r>
      <w:r w:rsidR="00F866A6">
        <w:t xml:space="preserve"> why maintenance </w:t>
      </w:r>
      <w:r w:rsidR="00E63960">
        <w:t>stood in the way of progress</w:t>
      </w:r>
      <w:r w:rsidR="00F866A6">
        <w:t xml:space="preserve"> and which is one, among others, </w:t>
      </w:r>
      <w:r w:rsidR="00924367">
        <w:t>the reason</w:t>
      </w:r>
      <w:r w:rsidR="00F866A6">
        <w:t xml:space="preserve"> </w:t>
      </w:r>
      <w:r w:rsidR="00813071">
        <w:t xml:space="preserve">to </w:t>
      </w:r>
      <w:r w:rsidR="00F866A6">
        <w:t>s</w:t>
      </w:r>
      <w:r w:rsidR="007C5F1D">
        <w:t>tep</w:t>
      </w:r>
      <w:r w:rsidR="00F866A6">
        <w:t xml:space="preserve"> </w:t>
      </w:r>
      <w:r w:rsidR="007C5F1D">
        <w:t xml:space="preserve">back </w:t>
      </w:r>
      <w:r w:rsidR="005871B3">
        <w:t>to</w:t>
      </w:r>
      <w:r w:rsidR="00F866A6">
        <w:t xml:space="preserve"> </w:t>
      </w:r>
      <w:r w:rsidR="00022B31">
        <w:t>a</w:t>
      </w:r>
      <w:r w:rsidR="003D4891">
        <w:t>n</w:t>
      </w:r>
      <w:r w:rsidR="00022B31">
        <w:t xml:space="preserve"> </w:t>
      </w:r>
      <w:r w:rsidR="00F866A6">
        <w:t xml:space="preserve">energy-oriented </w:t>
      </w:r>
      <w:r w:rsidR="005871B3">
        <w:t>solution</w:t>
      </w:r>
      <w:r w:rsidR="00841577">
        <w:t xml:space="preserve">. </w:t>
      </w:r>
      <w:r w:rsidR="003029CD">
        <w:t>A</w:t>
      </w:r>
      <w:r w:rsidR="00F35A41">
        <w:t>ltering maintenance constructs</w:t>
      </w:r>
      <w:r w:rsidR="004C1803">
        <w:t xml:space="preserve"> and re-defining maintenance indicators on </w:t>
      </w:r>
      <w:r w:rsidR="00841577">
        <w:t>energy</w:t>
      </w:r>
      <w:r w:rsidR="00124E82">
        <w:t xml:space="preserve"> </w:t>
      </w:r>
      <w:r w:rsidR="00841577">
        <w:t>preservation</w:t>
      </w:r>
      <w:r w:rsidR="007C5F1D">
        <w:t>/transformation</w:t>
      </w:r>
      <w:r w:rsidR="00841577">
        <w:t xml:space="preserve"> could be </w:t>
      </w:r>
      <w:r w:rsidR="009110BE">
        <w:t xml:space="preserve">a </w:t>
      </w:r>
      <w:r w:rsidR="00B53566">
        <w:t>much-needed paradigm shift</w:t>
      </w:r>
      <w:r w:rsidR="00124E82">
        <w:t>.</w:t>
      </w:r>
      <w:r w:rsidR="00C91173">
        <w:t xml:space="preserve"> </w:t>
      </w:r>
      <w:r w:rsidR="005A7DBD">
        <w:t>L</w:t>
      </w:r>
      <w:r w:rsidR="0029724D">
        <w:t xml:space="preserve">et us </w:t>
      </w:r>
      <w:r w:rsidR="005A7DBD">
        <w:t>elaborate</w:t>
      </w:r>
      <w:r w:rsidR="0029724D">
        <w:t xml:space="preserve"> </w:t>
      </w:r>
      <w:r w:rsidR="005A7DBD">
        <w:t xml:space="preserve">on the trade-off between primary energy and waste energy depicted by </w:t>
      </w:r>
      <w:r w:rsidR="0029724D">
        <w:t>the</w:t>
      </w:r>
      <w:r w:rsidR="003D4891">
        <w:t xml:space="preserve"> </w:t>
      </w:r>
      <w:r w:rsidR="00C91173">
        <w:rPr>
          <w:i/>
          <w:iCs/>
        </w:rPr>
        <w:t>p-f</w:t>
      </w:r>
      <w:r w:rsidR="00C91173">
        <w:t xml:space="preserve"> curve</w:t>
      </w:r>
      <w:r w:rsidR="005A7DBD">
        <w:t xml:space="preserve"> in the following.</w:t>
      </w:r>
    </w:p>
    <w:p w14:paraId="01AB5C01" w14:textId="42F1C306" w:rsidR="005A7DBD" w:rsidRDefault="00023D66" w:rsidP="005A7DBD">
      <w:pPr>
        <w:pStyle w:val="Heading3"/>
      </w:pPr>
      <w:bookmarkStart w:id="24" w:name="_Toc101274315"/>
      <w:r>
        <w:t>Energy</w:t>
      </w:r>
      <w:r w:rsidR="000F6B24">
        <w:t xml:space="preserve"> as a </w:t>
      </w:r>
      <w:r w:rsidR="00531F4C">
        <w:t>c</w:t>
      </w:r>
      <w:r w:rsidR="005A7DBD">
        <w:t xml:space="preserve">ondition </w:t>
      </w:r>
      <w:r w:rsidR="00531F4C">
        <w:t>m</w:t>
      </w:r>
      <w:r w:rsidR="005A7DBD">
        <w:t>onitoring</w:t>
      </w:r>
      <w:r w:rsidR="000F6B24">
        <w:t xml:space="preserve"> indicator</w:t>
      </w:r>
      <w:r w:rsidR="005A7DBD">
        <w:t xml:space="preserve"> </w:t>
      </w:r>
      <w:r w:rsidR="000F6B24">
        <w:t>and the p-f curve</w:t>
      </w:r>
      <w:bookmarkEnd w:id="24"/>
    </w:p>
    <w:p w14:paraId="135A9B79" w14:textId="294E9A15" w:rsidR="000C7AEA" w:rsidRPr="00715163" w:rsidRDefault="005A7DBD" w:rsidP="005A7DBD">
      <w:r>
        <w:t xml:space="preserve">Traditional monitoring signals of the </w:t>
      </w:r>
      <w:r w:rsidRPr="002E31F6">
        <w:rPr>
          <w:i/>
          <w:iCs/>
        </w:rPr>
        <w:t>p-f</w:t>
      </w:r>
      <w:r>
        <w:t xml:space="preserve"> curve (e.g., sound, temperature, vibration) are condition monitoring indices of machine health that signal potential degradation (e.g., wear). The traditional </w:t>
      </w:r>
      <w:r>
        <w:rPr>
          <w:i/>
          <w:iCs/>
        </w:rPr>
        <w:t>p-f</w:t>
      </w:r>
      <w:r>
        <w:t xml:space="preserve"> curve (</w:t>
      </w:r>
      <w:r w:rsidR="0044285D">
        <w:t xml:space="preserve">red line </w:t>
      </w:r>
      <w:r w:rsidR="0044285D">
        <w:fldChar w:fldCharType="begin"/>
      </w:r>
      <w:r w:rsidR="0044285D">
        <w:instrText xml:space="preserve"> REF _Ref100295556 \h </w:instrText>
      </w:r>
      <w:r w:rsidR="0044285D">
        <w:fldChar w:fldCharType="separate"/>
      </w:r>
      <w:r w:rsidR="00587AF0">
        <w:t xml:space="preserve">Figure </w:t>
      </w:r>
      <w:r w:rsidR="00587AF0">
        <w:rPr>
          <w:noProof/>
        </w:rPr>
        <w:t>1</w:t>
      </w:r>
      <w:r w:rsidR="0044285D">
        <w:fldChar w:fldCharType="end"/>
      </w:r>
      <w:r>
        <w:t xml:space="preserve">) shows that </w:t>
      </w:r>
      <w:r w:rsidR="00BC3B88">
        <w:t xml:space="preserve">the </w:t>
      </w:r>
      <w:r>
        <w:t xml:space="preserve">main </w:t>
      </w:r>
      <w:r w:rsidR="00BC3B88">
        <w:t>signals</w:t>
      </w:r>
      <w:r>
        <w:t xml:space="preserve"> for measuring machine health (e.g., temperature, vibration) are consequences of energy waste that are being monitored. The thesis’s idea is to replace these </w:t>
      </w:r>
      <w:r w:rsidR="00BC3B88">
        <w:t>waste signals</w:t>
      </w:r>
      <w:r>
        <w:t xml:space="preserve"> with the primary energy source from which work is being done. Namely, if one understands that energy, i.e., the capacity to do work, </w:t>
      </w:r>
      <w:r w:rsidR="0073316C">
        <w:t>transforms</w:t>
      </w:r>
      <w:r w:rsidR="00BC3B88">
        <w:t xml:space="preserve"> from one type to another, then there is no degradation but </w:t>
      </w:r>
      <w:r w:rsidR="000C7AEA">
        <w:t xml:space="preserve">the change of potential </w:t>
      </w:r>
      <w:r w:rsidR="00BC3B88">
        <w:t xml:space="preserve">energy </w:t>
      </w:r>
      <w:r w:rsidR="000C7AEA">
        <w:t>and kinetic energy (capacity and transfer)</w:t>
      </w:r>
      <w:r w:rsidR="00BC3B88">
        <w:t>. Therefore, the inference is that the maintenance job is not preventing “degradation” per se but pre</w:t>
      </w:r>
      <w:r w:rsidR="000C7AEA">
        <w:t>serving potential and kinetic energy.</w:t>
      </w:r>
      <w:r w:rsidR="00BC3B88">
        <w:t xml:space="preserve"> </w:t>
      </w:r>
      <w:r w:rsidR="00D92AB4">
        <w:t>It is meant to preserve the primary energy source, whether potential or kinetic form, by preventing degradation</w:t>
      </w:r>
      <w:r w:rsidR="0073316C">
        <w:t xml:space="preserve">. </w:t>
      </w:r>
      <w:r w:rsidR="00715163">
        <w:t>For instance, the hydraulic pump has its potential energy defined by optimal (and maximum) volumetric capacity (cm</w:t>
      </w:r>
      <w:r w:rsidR="00715163">
        <w:rPr>
          <w:vertAlign w:val="superscript"/>
        </w:rPr>
        <w:t>3</w:t>
      </w:r>
      <w:r w:rsidR="00715163">
        <w:t xml:space="preserve">) and rotational speed (rpm), with a defined </w:t>
      </w:r>
      <w:r w:rsidR="001B20D0">
        <w:t>ratio</w:t>
      </w:r>
      <w:r w:rsidR="00715163">
        <w:t xml:space="preserve"> of losses (η</w:t>
      </w:r>
      <w:r w:rsidR="00715163">
        <w:rPr>
          <w:vertAlign w:val="subscript"/>
        </w:rPr>
        <w:t>Σ</w:t>
      </w:r>
      <w:r w:rsidR="00715163">
        <w:t>) consisting of volumetric, hydraulic and mechanical losses. By defining the input parameters, the maintenance technician’s task is to preserve this potential energy or prolong it as much as possible by various tasks</w:t>
      </w:r>
      <w:r w:rsidR="00451363">
        <w:t xml:space="preserve">, for instance, </w:t>
      </w:r>
      <w:r w:rsidR="00715163">
        <w:t>preserving the mechanical structure of a pump</w:t>
      </w:r>
      <w:r w:rsidR="00451363">
        <w:t xml:space="preserve"> by preventing physical change (damage</w:t>
      </w:r>
      <w:r w:rsidR="00F0027A">
        <w:t>) that can lead to reducing primary energy transfer through fluid via external and internal pump leakage. Therefore, the damage is seen by making more than one fluid-energy output source.</w:t>
      </w:r>
      <w:r w:rsidR="00E57299">
        <w:t xml:space="preserve"> </w:t>
      </w:r>
      <w:r w:rsidR="00875C2F">
        <w:t>By observing the kinetic energy of a hydraulic system, the focus is then on hydraulic fluid since it carries the energy from the pump to the actuators. Therefore, for preventing the loss of hydraulic energy of a fluid, it needs to be cooled, cleared of contaminants (e.g., water, solid particles, air) and properly preserved considering its chemical properties (e.g., base and additives) for maintaining its properties – viscosity, compressibility, wear resistance, thermal stability,</w:t>
      </w:r>
      <w:r w:rsidR="00EF0770">
        <w:t xml:space="preserve"> and </w:t>
      </w:r>
      <w:r w:rsidR="00CE7F03">
        <w:t xml:space="preserve">many </w:t>
      </w:r>
      <w:r w:rsidR="00EF0770">
        <w:t>others.</w:t>
      </w:r>
      <w:r w:rsidR="00023D66">
        <w:t xml:space="preserve"> The question imposed at the start is, how is this related to the p-f curve?</w:t>
      </w:r>
    </w:p>
    <w:p w14:paraId="209D9CFD" w14:textId="60F4A419" w:rsidR="000F6B24" w:rsidRDefault="00E27F6E" w:rsidP="000F6B24">
      <w:r>
        <w:t>The basic signals being monitored are</w:t>
      </w:r>
      <w:r w:rsidR="00BE7B85">
        <w:t xml:space="preserve"> that the </w:t>
      </w:r>
      <w:r w:rsidR="005A7DBD">
        <w:t xml:space="preserve">focus is given </w:t>
      </w:r>
      <w:r w:rsidR="00BE7B85">
        <w:t>more to</w:t>
      </w:r>
      <w:r w:rsidR="005A7DBD">
        <w:t xml:space="preserve"> energy waste (</w:t>
      </w:r>
      <w:r w:rsidR="0044285D">
        <w:t xml:space="preserve">red line </w:t>
      </w:r>
      <w:r w:rsidR="0044285D">
        <w:fldChar w:fldCharType="begin"/>
      </w:r>
      <w:r w:rsidR="0044285D">
        <w:instrText xml:space="preserve"> REF _Ref100295556 \h </w:instrText>
      </w:r>
      <w:r w:rsidR="0044285D">
        <w:fldChar w:fldCharType="separate"/>
      </w:r>
      <w:r w:rsidR="00587AF0">
        <w:t xml:space="preserve">Figure </w:t>
      </w:r>
      <w:r w:rsidR="00587AF0">
        <w:rPr>
          <w:noProof/>
        </w:rPr>
        <w:t>1</w:t>
      </w:r>
      <w:r w:rsidR="0044285D">
        <w:fldChar w:fldCharType="end"/>
      </w:r>
      <w:r w:rsidR="005A7DBD">
        <w:t>) than to primary-energy usage patterns</w:t>
      </w:r>
      <w:r w:rsidR="00BE7B85">
        <w:t xml:space="preserve"> (</w:t>
      </w:r>
      <w:r w:rsidR="0044285D">
        <w:t xml:space="preserve">green line </w:t>
      </w:r>
      <w:r w:rsidR="0044285D">
        <w:fldChar w:fldCharType="begin"/>
      </w:r>
      <w:r w:rsidR="0044285D">
        <w:instrText xml:space="preserve"> REF _Ref100295556 \h </w:instrText>
      </w:r>
      <w:r w:rsidR="0044285D">
        <w:fldChar w:fldCharType="separate"/>
      </w:r>
      <w:r w:rsidR="00587AF0">
        <w:t xml:space="preserve">Figure </w:t>
      </w:r>
      <w:r w:rsidR="00587AF0">
        <w:rPr>
          <w:noProof/>
        </w:rPr>
        <w:t>1</w:t>
      </w:r>
      <w:r w:rsidR="0044285D">
        <w:fldChar w:fldCharType="end"/>
      </w:r>
      <w:r w:rsidR="00BE7B85">
        <w:t>)</w:t>
      </w:r>
      <w:r w:rsidR="005A7DBD">
        <w:t xml:space="preserve"> for the same goal of detecting signal anomalies. Hence, the motivation of the thesis is spurred by </w:t>
      </w:r>
      <w:r w:rsidR="005A7DBD">
        <w:rPr>
          <w:lang w:val="en-GB"/>
        </w:rPr>
        <w:t>the lack of condition monitoring apparatus for making decisions based on the primary energy consumption (transformation), particularly flow and pressure derived from or to hydraulic power, which is used as indicators in this thesis.</w:t>
      </w:r>
      <w:r w:rsidR="005A7DBD" w:rsidRPr="009107E3">
        <w:t xml:space="preserve"> </w:t>
      </w:r>
      <w:r w:rsidR="005A7DBD">
        <w:t xml:space="preserve">The important notice is that the author is not elbowing out traditional condition </w:t>
      </w:r>
      <w:r w:rsidR="005A7DBD">
        <w:lastRenderedPageBreak/>
        <w:t xml:space="preserve">monitoring analytics, nor is it possible to replace it soon. Instead, the general idea of monitoring </w:t>
      </w:r>
      <w:r w:rsidR="00BE7B85">
        <w:t>hydraulic power</w:t>
      </w:r>
      <w:r w:rsidR="005A7DBD">
        <w:t xml:space="preserve"> is to establish </w:t>
      </w:r>
      <w:r w:rsidR="00BE7B85">
        <w:t>markers</w:t>
      </w:r>
      <w:r w:rsidR="005A7DBD">
        <w:t xml:space="preserve"> (</w:t>
      </w:r>
      <w:r w:rsidR="00BE7B85">
        <w:t>classifying healthy from the non-healthy system</w:t>
      </w:r>
      <w:r w:rsidR="005A7DBD">
        <w:t>) that result from the inner or outer stressors</w:t>
      </w:r>
      <w:r w:rsidR="00BE7B85">
        <w:t>.</w:t>
      </w:r>
      <w:r w:rsidR="005A7DBD">
        <w:t xml:space="preserve"> </w:t>
      </w:r>
      <w:r w:rsidR="00BE7B85">
        <w:t>M</w:t>
      </w:r>
      <w:r w:rsidR="005A7DBD">
        <w:t xml:space="preserve">onitoring </w:t>
      </w:r>
      <w:r w:rsidR="00BE7B85">
        <w:t>hydraulic power</w:t>
      </w:r>
      <w:r w:rsidR="005A7DBD">
        <w:t xml:space="preserve"> </w:t>
      </w:r>
      <w:r w:rsidR="00BE7B85">
        <w:t xml:space="preserve">change from the input to the output (whether a component or the system) </w:t>
      </w:r>
      <w:r w:rsidR="005A7DBD">
        <w:t xml:space="preserve">is a </w:t>
      </w:r>
      <w:r w:rsidR="00BE7B85">
        <w:t xml:space="preserve">health index </w:t>
      </w:r>
      <w:r w:rsidR="005A7DBD">
        <w:t xml:space="preserve">marker </w:t>
      </w:r>
      <w:r w:rsidR="00BE7B85">
        <w:t xml:space="preserve">representing the quality of operational and maintenance performance and actions being taken. The benefits of observing the power change, i.e., the rate at which energy is </w:t>
      </w:r>
      <w:r w:rsidR="000A22F3">
        <w:t>transferred, are</w:t>
      </w:r>
      <w:r w:rsidR="00BE7B85">
        <w:t xml:space="preserve"> multiple. </w:t>
      </w:r>
      <w:r w:rsidR="000A22F3">
        <w:t>For instance, it can be used for diagnostic and prognostic purposes – for establishing the health index of a machine, system or unit, or predicting degradational patterns and preventing or reducing them.</w:t>
      </w:r>
      <w:r w:rsidR="00345942">
        <w:t xml:space="preserve"> Secondly, energy can be easily transformed into monetary value by monitoring degradation</w:t>
      </w:r>
      <w:r w:rsidR="000F6B24">
        <w:t xml:space="preserve">; operational and maintenance performance can be a cost marker. Thirdly, it can be a potential human health hazard indicator by observing the high peaks in hydraulic power caused, for instance, valve jamming. Finally, it can also be used as an environmental pollution indicator </w:t>
      </w:r>
      <w:r w:rsidR="00FB18A1">
        <w:t>to</w:t>
      </w:r>
      <w:r w:rsidR="000F6B24">
        <w:t xml:space="preserve"> calculate the emission due to energy usage and waste. Given the information, one can conclude that each indicator can be used as a threshold for stopping the system. Hence, the maintenance goal is no longer preserving machine functionality but multiple imposed functionality indices.</w:t>
      </w:r>
    </w:p>
    <w:p w14:paraId="6EB15604" w14:textId="5998CF9A" w:rsidR="000F6B24" w:rsidRPr="000F6B24" w:rsidRDefault="000F6B24" w:rsidP="000F6B24">
      <w:r>
        <w:t xml:space="preserve">The maintenance research community is also entering the sustainability domain with the imposed government legislation and initiatives (e.g., the Green Deal). We are already witnessing reports proposing sustainable maintenance (SM). However, the author argues that the Energy-Based Maintenance (EBM) practice is more technically sound given all the acquired hindsight </w:t>
      </w:r>
      <w:r w:rsidR="00190ED0">
        <w:t>so far</w:t>
      </w:r>
      <w:r>
        <w:t xml:space="preserve">. There are a few downsides to why EBM is still not fully accepted. Firstly, available instruments (e.g., pressure and flow turbine) still do not have the sensitivity of instruments such as vibroacoustic ones. Hence, detecting signal deviations comes with a penalty and delay. Secondly, it includes top decision-making and their poor understanding that energy is the primary currency of the work. The third reason includes technical and data reasoning, which strongly depends on market intelligence and data processing capabilities, which begs a substantial question: “Is data science going to replace maintenance science?” Given the information, we only need a single phrase to epitomise the gap between maintenance </w:t>
      </w:r>
      <w:r w:rsidR="008411A3">
        <w:t xml:space="preserve">and data </w:t>
      </w:r>
      <w:r>
        <w:t xml:space="preserve">science – </w:t>
      </w:r>
      <w:r w:rsidR="008411A3">
        <w:rPr>
          <w:b/>
          <w:bCs/>
          <w:i/>
          <w:iCs/>
        </w:rPr>
        <w:t>functional-productiveness.</w:t>
      </w:r>
    </w:p>
    <w:p w14:paraId="48E35D05" w14:textId="4ECE8390" w:rsidR="00E23E63" w:rsidRDefault="00380EF8" w:rsidP="00E23E63">
      <w:pPr>
        <w:keepNext/>
        <w:spacing w:before="0" w:after="160" w:line="259" w:lineRule="auto"/>
        <w:jc w:val="center"/>
      </w:pPr>
      <w:bookmarkStart w:id="25" w:name="_Toc93759846"/>
      <w:bookmarkStart w:id="26" w:name="_Toc93759950"/>
      <w:r w:rsidRPr="00380EF8">
        <w:rPr>
          <w:noProof/>
        </w:rPr>
        <w:drawing>
          <wp:inline distT="0" distB="0" distL="0" distR="0" wp14:anchorId="6FCECC31" wp14:editId="51653F5C">
            <wp:extent cx="5537835" cy="3569970"/>
            <wp:effectExtent l="0" t="0" r="571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37835" cy="3569970"/>
                    </a:xfrm>
                    <a:prstGeom prst="rect">
                      <a:avLst/>
                    </a:prstGeom>
                    <a:noFill/>
                    <a:ln>
                      <a:noFill/>
                    </a:ln>
                  </pic:spPr>
                </pic:pic>
              </a:graphicData>
            </a:graphic>
          </wp:inline>
        </w:drawing>
      </w:r>
    </w:p>
    <w:p w14:paraId="55745F0F" w14:textId="00544819" w:rsidR="00E23E63" w:rsidRDefault="00E23E63" w:rsidP="00E23E63">
      <w:pPr>
        <w:pStyle w:val="Caption"/>
      </w:pPr>
      <w:bookmarkStart w:id="27" w:name="_Ref100295556"/>
      <w:bookmarkStart w:id="28" w:name="_Toc101274523"/>
      <w:r>
        <w:t xml:space="preserve">Figure </w:t>
      </w:r>
      <w:fldSimple w:instr=" SEQ Figure \* ARABIC ">
        <w:r w:rsidR="00587AF0">
          <w:rPr>
            <w:noProof/>
          </w:rPr>
          <w:t>1</w:t>
        </w:r>
      </w:fldSimple>
      <w:bookmarkEnd w:id="27"/>
      <w:r>
        <w:t xml:space="preserve">. P-F curve of primary and waste energy </w:t>
      </w:r>
      <w:r w:rsidR="006B648D">
        <w:t>description</w:t>
      </w:r>
      <w:bookmarkEnd w:id="28"/>
    </w:p>
    <w:p w14:paraId="1D367100" w14:textId="78156CDA" w:rsidR="00D20382" w:rsidRDefault="00E84316" w:rsidP="00D20382">
      <w:pPr>
        <w:pStyle w:val="Heading3"/>
      </w:pPr>
      <w:bookmarkStart w:id="29" w:name="_Toc101274316"/>
      <w:r>
        <w:lastRenderedPageBreak/>
        <w:t xml:space="preserve">Pillars of </w:t>
      </w:r>
      <w:r w:rsidR="00102318">
        <w:t>rationale</w:t>
      </w:r>
      <w:bookmarkEnd w:id="25"/>
      <w:bookmarkEnd w:id="26"/>
      <w:bookmarkEnd w:id="29"/>
    </w:p>
    <w:p w14:paraId="0DAB69CB" w14:textId="1F14F77A" w:rsidR="00E841FD" w:rsidRDefault="00E841FD" w:rsidP="00E841FD">
      <w:r>
        <w:t xml:space="preserve">As society enters the green (sustainable) manufacturing era, maintenance scholars exhaust the scope of existing theories and thrive for new ones within the economy’s secondary sector. Even though manufacturing companies’ principal aim is profit-driven, </w:t>
      </w:r>
      <w:r w:rsidR="005C26DC">
        <w:t>stoppages</w:t>
      </w:r>
      <w:r>
        <w:t xml:space="preserve"> must be avoided at all costs</w:t>
      </w:r>
      <w:r w:rsidR="009110BE">
        <w:t>;</w:t>
      </w:r>
      <w:r>
        <w:t xml:space="preserve"> the advent of sustainability initiatives </w:t>
      </w:r>
      <w:r w:rsidR="005A1DC9">
        <w:t>i</w:t>
      </w:r>
      <w:r>
        <w:t xml:space="preserve">n the manufacturing sector resonates with the need for </w:t>
      </w:r>
      <w:r w:rsidR="00022B31">
        <w:t xml:space="preserve">a </w:t>
      </w:r>
      <w:r>
        <w:t xml:space="preserve">more compelling approach. Although industrial maintenance has changed over the last half a century; however, it seems like the nature of maintenance evolution resembles static and sporadic shifts in the industrial landscape. This is reflected through the exponential rise of literature review studies and the ever-present need for a paradigm shift. The </w:t>
      </w:r>
      <w:r w:rsidR="002F529D">
        <w:t xml:space="preserve">three main pillars of evidence </w:t>
      </w:r>
      <w:r w:rsidR="00F14C98">
        <w:t xml:space="preserve">that </w:t>
      </w:r>
      <w:r w:rsidR="002F529D">
        <w:t>support the underlying reason for such a claim</w:t>
      </w:r>
      <w:r w:rsidR="00CC031F">
        <w:t xml:space="preserve"> consist of</w:t>
      </w:r>
      <w:r w:rsidR="002F529D">
        <w:t>:</w:t>
      </w:r>
      <w:r w:rsidR="00955899">
        <w:t xml:space="preserve"> </w:t>
      </w:r>
      <w:r>
        <w:t>(1) state-of-the-projects, (2)</w:t>
      </w:r>
      <w:r w:rsidR="00967049">
        <w:t xml:space="preserve"> state-of-the-literature</w:t>
      </w:r>
      <w:r w:rsidR="00FE33FA">
        <w:t xml:space="preserve">, </w:t>
      </w:r>
      <w:r>
        <w:t>and (3)</w:t>
      </w:r>
      <w:r w:rsidR="00967049" w:rsidRPr="00967049">
        <w:t xml:space="preserve"> </w:t>
      </w:r>
      <w:r w:rsidR="00967049">
        <w:t>state-of-the-practice</w:t>
      </w:r>
      <w:r>
        <w:t xml:space="preserve">, </w:t>
      </w:r>
      <w:r w:rsidR="00955899">
        <w:t xml:space="preserve">and </w:t>
      </w:r>
      <w:r>
        <w:t>interrelated issues within those pillars (</w:t>
      </w:r>
      <w:r>
        <w:rPr>
          <w:color w:val="FF0000"/>
        </w:rPr>
        <w:fldChar w:fldCharType="begin"/>
      </w:r>
      <w:r>
        <w:instrText xml:space="preserve"> REF _Ref65221854 \h </w:instrText>
      </w:r>
      <w:r>
        <w:rPr>
          <w:color w:val="FF0000"/>
        </w:rPr>
      </w:r>
      <w:r>
        <w:rPr>
          <w:color w:val="FF0000"/>
        </w:rPr>
        <w:fldChar w:fldCharType="separate"/>
      </w:r>
      <w:r w:rsidR="00587AF0">
        <w:t xml:space="preserve">Figure </w:t>
      </w:r>
      <w:r w:rsidR="00587AF0">
        <w:rPr>
          <w:noProof/>
        </w:rPr>
        <w:t>2</w:t>
      </w:r>
      <w:r>
        <w:rPr>
          <w:color w:val="FF0000"/>
        </w:rPr>
        <w:fldChar w:fldCharType="end"/>
      </w:r>
      <w:r>
        <w:t>).</w:t>
      </w:r>
    </w:p>
    <w:p w14:paraId="04064EB7" w14:textId="40B08F5A" w:rsidR="00E841FD" w:rsidRDefault="00C45DF7" w:rsidP="00E841FD">
      <w:pPr>
        <w:jc w:val="center"/>
      </w:pPr>
      <w:r>
        <w:rPr>
          <w:noProof/>
        </w:rPr>
        <w:drawing>
          <wp:inline distT="0" distB="0" distL="0" distR="0" wp14:anchorId="3F837E00" wp14:editId="343C92ED">
            <wp:extent cx="4753356" cy="3422971"/>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63187" cy="3430051"/>
                    </a:xfrm>
                    <a:prstGeom prst="rect">
                      <a:avLst/>
                    </a:prstGeom>
                    <a:noFill/>
                  </pic:spPr>
                </pic:pic>
              </a:graphicData>
            </a:graphic>
          </wp:inline>
        </w:drawing>
      </w:r>
    </w:p>
    <w:p w14:paraId="01067E47" w14:textId="74F46A77" w:rsidR="00E841FD" w:rsidRDefault="00E841FD" w:rsidP="00E841FD">
      <w:pPr>
        <w:pStyle w:val="Caption"/>
      </w:pPr>
      <w:bookmarkStart w:id="30" w:name="_Ref65221854"/>
      <w:bookmarkStart w:id="31" w:name="_Toc101274524"/>
      <w:r>
        <w:t xml:space="preserve">Figure </w:t>
      </w:r>
      <w:fldSimple w:instr=" SEQ Figure \* ARABIC ">
        <w:r w:rsidR="00587AF0">
          <w:rPr>
            <w:noProof/>
          </w:rPr>
          <w:t>2</w:t>
        </w:r>
      </w:fldSimple>
      <w:bookmarkEnd w:id="30"/>
      <w:r>
        <w:t>. Pillars of research motivation and rationale</w:t>
      </w:r>
      <w:bookmarkEnd w:id="31"/>
    </w:p>
    <w:p w14:paraId="6BA142AD" w14:textId="77777777" w:rsidR="00BA6DE4" w:rsidRDefault="00E841FD" w:rsidP="00E841FD">
      <w:r>
        <w:t>Conducting a literature review within the scope of maintenance studies, one can</w:t>
      </w:r>
      <w:r w:rsidR="00C1336A">
        <w:t>no</w:t>
      </w:r>
      <w:r>
        <w:t xml:space="preserve">t help but notice that maintenance scholars usually perceive the literature as the major driving source </w:t>
      </w:r>
      <w:r w:rsidR="002E5823">
        <w:t xml:space="preserve">of </w:t>
      </w:r>
      <w:r>
        <w:t>evidence. Consequently, these propositional claims typically fall short of providing industry-accepted solutions</w:t>
      </w:r>
      <w:r w:rsidR="00400AF4">
        <w:t>, and t</w:t>
      </w:r>
      <w:r>
        <w:t xml:space="preserve">hey are </w:t>
      </w:r>
      <w:r w:rsidR="00C11727">
        <w:t xml:space="preserve">rather </w:t>
      </w:r>
      <w:r>
        <w:t xml:space="preserve">considered simple explanatory remarks that are more phenomenological models or conditional </w:t>
      </w:r>
      <w:r w:rsidRPr="00C710DE">
        <w:t>presuppositions</w:t>
      </w:r>
      <w:r>
        <w:t xml:space="preserve"> lacking sufficient validity in the industrial </w:t>
      </w:r>
      <w:r w:rsidRPr="00260899">
        <w:t>encirclement</w:t>
      </w:r>
      <w:r>
        <w:t>.</w:t>
      </w:r>
    </w:p>
    <w:p w14:paraId="5C072A04" w14:textId="7ED27A0D" w:rsidR="00400AF4" w:rsidRDefault="00AD748F" w:rsidP="00E841FD">
      <w:r>
        <w:t>T</w:t>
      </w:r>
      <w:r w:rsidR="00E841FD">
        <w:t xml:space="preserve">he author of the thesis </w:t>
      </w:r>
      <w:r w:rsidR="00CB376C">
        <w:t>argues</w:t>
      </w:r>
      <w:r w:rsidR="00E841FD">
        <w:t xml:space="preserve"> that the literature is not enough large </w:t>
      </w:r>
      <w:r w:rsidR="00C11727">
        <w:t>resource</w:t>
      </w:r>
      <w:r w:rsidR="00E841FD">
        <w:t xml:space="preserve"> to portray the diachronic nature of maintenance in the last few decades. Therefore, a systematic review of available industrial maintenance projects within the EU </w:t>
      </w:r>
      <w:r w:rsidR="00F66EAA">
        <w:t>should provide</w:t>
      </w:r>
      <w:r w:rsidR="00E841FD">
        <w:t xml:space="preserve"> a more global understanding of the industrial maintenance</w:t>
      </w:r>
      <w:r w:rsidR="00F66EAA">
        <w:t xml:space="preserve"> manifesto</w:t>
      </w:r>
      <w:r w:rsidR="00C11727">
        <w:t xml:space="preserve"> as a scien</w:t>
      </w:r>
      <w:r w:rsidR="00400AF4">
        <w:t>tific</w:t>
      </w:r>
      <w:r w:rsidR="00C11727">
        <w:t xml:space="preserve"> discipline</w:t>
      </w:r>
      <w:r w:rsidR="00F66EAA">
        <w:t>.</w:t>
      </w:r>
    </w:p>
    <w:p w14:paraId="71271B51" w14:textId="5E67C1B8" w:rsidR="00E841FD" w:rsidRDefault="00F66EAA" w:rsidP="00E841FD">
      <w:r>
        <w:t>Moreover</w:t>
      </w:r>
      <w:r w:rsidR="00D36167">
        <w:t xml:space="preserve">, </w:t>
      </w:r>
      <w:r w:rsidR="00652D93">
        <w:t xml:space="preserve">investigating </w:t>
      </w:r>
      <w:r w:rsidR="00D36167">
        <w:t>industrial maintenance as a technological discipline</w:t>
      </w:r>
      <w:r w:rsidR="00652D93">
        <w:t xml:space="preserve"> is </w:t>
      </w:r>
      <w:r w:rsidR="00F64742">
        <w:t xml:space="preserve">also </w:t>
      </w:r>
      <w:r w:rsidR="00652D93">
        <w:t xml:space="preserve">necessary </w:t>
      </w:r>
      <w:r w:rsidR="00F64742">
        <w:t>as a tradeoff between science and</w:t>
      </w:r>
      <w:r w:rsidR="005537B4">
        <w:t xml:space="preserve"> </w:t>
      </w:r>
      <w:r w:rsidR="00CB5494">
        <w:t xml:space="preserve">industrial </w:t>
      </w:r>
      <w:r w:rsidR="005537B4">
        <w:t xml:space="preserve">practice to create </w:t>
      </w:r>
      <w:r w:rsidR="00022B31">
        <w:t xml:space="preserve">a </w:t>
      </w:r>
      <w:r w:rsidR="005537B4">
        <w:t>market-acceptable solution. Therefore,</w:t>
      </w:r>
      <w:r w:rsidR="00A732CD">
        <w:t xml:space="preserve"> </w:t>
      </w:r>
      <w:r w:rsidR="00022B31">
        <w:t xml:space="preserve">the </w:t>
      </w:r>
      <w:r w:rsidR="00A732CD">
        <w:t>questionnaire-based survey is developed to investigate the state</w:t>
      </w:r>
      <w:r w:rsidR="00400AF4">
        <w:t xml:space="preserve"> of the </w:t>
      </w:r>
      <w:r w:rsidR="00A732CD">
        <w:t>practice</w:t>
      </w:r>
      <w:r w:rsidR="00400AF4">
        <w:t xml:space="preserve">. </w:t>
      </w:r>
      <w:r w:rsidR="00D20382">
        <w:t>Both tasks for extracting evidence have not been done before by the author’s knowledge and are considered beneficial for encapsulating the current body of knowledge in theory and practice</w:t>
      </w:r>
      <w:r w:rsidR="005E5E73">
        <w:t>.</w:t>
      </w:r>
    </w:p>
    <w:p w14:paraId="7672308C" w14:textId="60B9435F" w:rsidR="00D20382" w:rsidRDefault="0038199E" w:rsidP="00D20382">
      <w:pPr>
        <w:pStyle w:val="Heading3"/>
      </w:pPr>
      <w:bookmarkStart w:id="32" w:name="_Toc93759849"/>
      <w:bookmarkStart w:id="33" w:name="_Toc93759953"/>
      <w:bookmarkStart w:id="34" w:name="_Toc101274317"/>
      <w:r>
        <w:lastRenderedPageBreak/>
        <w:t>Bridging the gap</w:t>
      </w:r>
      <w:r w:rsidR="00783253">
        <w:t xml:space="preserve"> between data and maintenance science</w:t>
      </w:r>
      <w:bookmarkEnd w:id="32"/>
      <w:bookmarkEnd w:id="33"/>
      <w:bookmarkEnd w:id="34"/>
    </w:p>
    <w:p w14:paraId="126C0FD3" w14:textId="282690F8" w:rsidR="00960666" w:rsidRDefault="00B548F5" w:rsidP="00A56151">
      <w:r>
        <w:t>T</w:t>
      </w:r>
      <w:r w:rsidR="00BB481C">
        <w:t xml:space="preserve">he opening keynote speaker at the COMADEM 2019 conference, professor Andrew Ball, warned against the claims that the future of maintenance could be left in the hands of data scientists </w:t>
      </w:r>
      <w:r w:rsidR="009C16D6">
        <w:fldChar w:fldCharType="begin" w:fldLock="1"/>
      </w:r>
      <w:r w:rsidR="00416869">
        <w:instrText>ADDIN CSL_CITATION {"citationItems":[{"id":"ITEM-1","itemData":{"URL":"https://www.hud.ac.uk/news/2019/october/comadem-2019-huddersfield/","accessed":{"date-parts":[["2019","11","27"]]},"author":[{"dropping-particle":"","family":"Ball","given":"Andrew","non-dropping-particle":"","parse-names":false,"suffix":""}],"container-title":"University of Huddersfield","id":"ITEM-1","issued":{"date-parts":[["2019"]]},"title":"Engineers and data scientists need to work together","type":"webpage"},"uris":["http://www.mendeley.com/documents/?uuid=ca995a31-040c-4698-8395-ba86adfabd9f"]}],"mendeley":{"formattedCitation":"[8]","plainTextFormattedCitation":"[8]","previouslyFormattedCitation":"[8]"},"properties":{"noteIndex":0},"schema":"https://github.com/citation-style-language/schema/raw/master/csl-citation.json"}</w:instrText>
      </w:r>
      <w:r w:rsidR="009C16D6">
        <w:fldChar w:fldCharType="separate"/>
      </w:r>
      <w:r w:rsidR="00246F3C" w:rsidRPr="00246F3C">
        <w:rPr>
          <w:noProof/>
        </w:rPr>
        <w:t>[8]</w:t>
      </w:r>
      <w:r w:rsidR="009C16D6">
        <w:fldChar w:fldCharType="end"/>
      </w:r>
      <w:r w:rsidR="00A77D53">
        <w:t>.</w:t>
      </w:r>
      <w:r w:rsidR="00BB481C">
        <w:t xml:space="preserve"> </w:t>
      </w:r>
      <w:r w:rsidR="00A77D53">
        <w:t>Consequently,</w:t>
      </w:r>
      <w:r w:rsidR="00246C58">
        <w:t xml:space="preserve"> </w:t>
      </w:r>
      <w:r w:rsidR="00543113">
        <w:t>precluding its hypothetical exist</w:t>
      </w:r>
      <w:r w:rsidR="00A012E1">
        <w:t>e</w:t>
      </w:r>
      <w:r w:rsidR="00543113">
        <w:t>nce and</w:t>
      </w:r>
      <w:r w:rsidR="00BB481C">
        <w:t xml:space="preserve"> structural association</w:t>
      </w:r>
      <w:r w:rsidR="006E7551">
        <w:t xml:space="preserve"> </w:t>
      </w:r>
      <w:r w:rsidR="00552C9B">
        <w:t>with</w:t>
      </w:r>
      <w:r w:rsidR="00BB481C">
        <w:t xml:space="preserve"> </w:t>
      </w:r>
      <w:r w:rsidR="00B23EE2">
        <w:t>organisational</w:t>
      </w:r>
      <w:r w:rsidR="00552C9B">
        <w:t xml:space="preserve"> needs in the eyes of</w:t>
      </w:r>
      <w:r w:rsidR="00B23EE2">
        <w:t xml:space="preserve"> </w:t>
      </w:r>
      <w:r w:rsidR="00BB481C">
        <w:t>policy</w:t>
      </w:r>
      <w:r w:rsidR="00B23EE2">
        <w:t>-mak</w:t>
      </w:r>
      <w:r w:rsidR="00552C9B">
        <w:t>ers</w:t>
      </w:r>
      <w:r w:rsidR="00BB481C">
        <w:t xml:space="preserve">. </w:t>
      </w:r>
      <w:r w:rsidR="005C034C">
        <w:t xml:space="preserve">Paradoxically, </w:t>
      </w:r>
      <w:r w:rsidR="00BB481C">
        <w:t>AI tools have the most significant impact in manufacturing</w:t>
      </w:r>
      <w:r w:rsidR="005C034C">
        <w:t xml:space="preserve"> by</w:t>
      </w:r>
      <w:r w:rsidR="007849A8">
        <w:t xml:space="preserve"> predominantly</w:t>
      </w:r>
      <w:r w:rsidR="00BB481C">
        <w:t xml:space="preserve"> </w:t>
      </w:r>
      <w:r w:rsidR="005C034C">
        <w:t xml:space="preserve">being </w:t>
      </w:r>
      <w:r w:rsidR="006D42CA">
        <w:t>used for</w:t>
      </w:r>
      <w:r w:rsidR="007849A8">
        <w:t xml:space="preserve"> </w:t>
      </w:r>
      <w:r w:rsidR="00BB481C">
        <w:t xml:space="preserve">Predictive Maintenance (PdM) </w:t>
      </w:r>
      <w:r w:rsidR="009C16D6">
        <w:fldChar w:fldCharType="begin" w:fldLock="1"/>
      </w:r>
      <w:r w:rsidR="00416869">
        <w:instrText>ADDIN CSL_CITATION {"citationItems":[{"id":"ITEM-1","itemData":{"author":[{"dropping-particle":"","family":"Chui","given":"Michael","non-dropping-particle":"","parse-names":false,"suffix":""},{"dropping-particle":"","family":"Henke","given":"Nicolaus","non-dropping-particle":"","parse-names":false,"suffix":""},{"dropping-particle":"","family":"Miremadi","given":"Mehdi","non-dropping-particle":"","parse-names":false,"suffix":""}],"container-title":"Harvard Business Review","id":"ITEM-1","issued":{"date-parts":[["2018"]]},"title":"Most of AI’s Business Uses Will Be in Two Areas","type":"article-magazine"},"uris":["http://www.mendeley.com/documents/?uuid=f6127b08-6577-4db8-83f6-ad8ce45a5ddd"]}],"mendeley":{"formattedCitation":"[9]","plainTextFormattedCitation":"[9]","previouslyFormattedCitation":"[9]"},"properties":{"noteIndex":0},"schema":"https://github.com/citation-style-language/schema/raw/master/csl-citation.json"}</w:instrText>
      </w:r>
      <w:r w:rsidR="009C16D6">
        <w:fldChar w:fldCharType="separate"/>
      </w:r>
      <w:r w:rsidR="00246F3C" w:rsidRPr="00246F3C">
        <w:rPr>
          <w:noProof/>
        </w:rPr>
        <w:t>[9]</w:t>
      </w:r>
      <w:r w:rsidR="009C16D6">
        <w:fldChar w:fldCharType="end"/>
      </w:r>
      <w:r w:rsidR="00BA55DD">
        <w:t>,</w:t>
      </w:r>
      <w:r w:rsidR="003F5A35">
        <w:t xml:space="preserve"> </w:t>
      </w:r>
      <w:r w:rsidR="00BB481C">
        <w:t xml:space="preserve">relying on control (process data) engineering rather than maintenance (failure data) engineering </w:t>
      </w:r>
      <w:r w:rsidR="009C16D6">
        <w:fldChar w:fldCharType="begin" w:fldLock="1"/>
      </w:r>
      <w:r w:rsidR="00416869">
        <w:instrText>ADDIN CSL_CITATION {"citationItems":[{"id":"ITEM-1","itemData":{"DOI":"10.1109/TVT.2007.897219","ISSN":"00189545","author":[{"dropping-particle":"","family":"Liu","given":"Li","non-dropping-particle":"","parse-names":false,"suffix":""},{"dropping-particle":"","family":"Logan","given":"Kevin P.","non-dropping-particle":"","parse-names":false,"suffix":""},{"dropping-particle":"","family":"Cartes","given":"David A.","non-dropping-particle":"","parse-names":false,"suffix":""},{"dropping-particle":"","family":"Srivastava","given":"Sanjeev K.","non-dropping-particle":"","parse-names":false,"suffix":""}],"container-title":"IEEE Transactions on Vehicular Technology","id":"ITEM-1","issue":"4 I","issued":{"date-parts":[["2007"]]},"page":"1613-1622","title":"Fault detection, diagnostics, and prognostics: Software agent solutions","type":"article-journal","volume":"56"},"uris":["http://www.mendeley.com/documents/?uuid=63ed12bc-4b0d-41ef-83d2-99467db90b1d"]}],"mendeley":{"formattedCitation":"[10]","plainTextFormattedCitation":"[10]","previouslyFormattedCitation":"[10]"},"properties":{"noteIndex":0},"schema":"https://github.com/citation-style-language/schema/raw/master/csl-citation.json"}</w:instrText>
      </w:r>
      <w:r w:rsidR="009C16D6">
        <w:fldChar w:fldCharType="separate"/>
      </w:r>
      <w:r w:rsidR="00246F3C" w:rsidRPr="00246F3C">
        <w:rPr>
          <w:noProof/>
        </w:rPr>
        <w:t>[10]</w:t>
      </w:r>
      <w:r w:rsidR="009C16D6">
        <w:fldChar w:fldCharType="end"/>
      </w:r>
      <w:r w:rsidR="00BB481C">
        <w:t>.</w:t>
      </w:r>
      <w:r w:rsidR="00524B4A">
        <w:t xml:space="preserve"> </w:t>
      </w:r>
      <w:r w:rsidR="00BB481C">
        <w:t xml:space="preserve">Examples of maintenance technology </w:t>
      </w:r>
      <w:r w:rsidR="00027C98">
        <w:t xml:space="preserve">contorting into </w:t>
      </w:r>
      <w:r w:rsidR="00615B70">
        <w:t>operational</w:t>
      </w:r>
      <w:r w:rsidR="00027C98">
        <w:t xml:space="preserve"> </w:t>
      </w:r>
      <w:r w:rsidR="00A4263A">
        <w:t>technology</w:t>
      </w:r>
      <w:r w:rsidR="00027C98">
        <w:t xml:space="preserve"> </w:t>
      </w:r>
      <w:r w:rsidR="00A012E1">
        <w:t>are</w:t>
      </w:r>
      <w:r w:rsidR="00027C98">
        <w:t xml:space="preserve"> already seen by the use of</w:t>
      </w:r>
      <w:r w:rsidR="00BB481C">
        <w:t xml:space="preserve"> </w:t>
      </w:r>
      <w:r w:rsidR="00CA5894">
        <w:t>S</w:t>
      </w:r>
      <w:r w:rsidR="00BB481C">
        <w:t xml:space="preserve">tatistical </w:t>
      </w:r>
      <w:r w:rsidR="00CA5894">
        <w:t>P</w:t>
      </w:r>
      <w:r w:rsidR="00BB481C">
        <w:t xml:space="preserve">rocess </w:t>
      </w:r>
      <w:r w:rsidR="00CA5894">
        <w:t>C</w:t>
      </w:r>
      <w:r w:rsidR="00BB481C">
        <w:t>ontrol</w:t>
      </w:r>
      <w:r w:rsidR="002C4FCD">
        <w:t xml:space="preserve"> (SPC)</w:t>
      </w:r>
      <w:r w:rsidR="00A4263A">
        <w:t xml:space="preserve"> tools</w:t>
      </w:r>
      <w:r w:rsidR="00BB481C">
        <w:t xml:space="preserve"> as a part of intelligent monitoring</w:t>
      </w:r>
      <w:r w:rsidR="00A4263A">
        <w:t xml:space="preserve"> for </w:t>
      </w:r>
      <w:r w:rsidR="003B39BF">
        <w:t xml:space="preserve">maintenance </w:t>
      </w:r>
      <w:r w:rsidR="00A4263A">
        <w:t>decision-making purposes</w:t>
      </w:r>
      <w:r w:rsidR="00BB481C">
        <w:t xml:space="preserve"> </w:t>
      </w:r>
      <w:r w:rsidR="009C16D6">
        <w:fldChar w:fldCharType="begin" w:fldLock="1"/>
      </w:r>
      <w:r w:rsidR="00416869">
        <w:instrText>ADDIN CSL_CITATION {"citationItems":[{"id":"ITEM-1","itemData":{"DOI":"10.1109/IEA.2018.8387124","ISBN":"9781538657478","abstract":"The area of predictive maintenance has taken a lot of prominence in the last couple of years due to various reasons. With new algorithms and methodologies growing across different learning methods, it has remained a challenge for industries to adopt which method is fit, robust and provide most accurate detection. Fault detection is one of the critical components of predictive maintenance; it is very much needed for industries to detect faults early and accurately. In a production environment, to minimize the cost of maintenance, sometimes it is required to build a model with minimal or no historical data. In such cases, unsupervised learning would be a better option model building. In this paper, we have chosen a simple vibration data collected from an exhaust fan, and have fit different unsupervised learning algorithms such as PCA T 2 statistic, Hierarchical clustering, K-Means, Fuzzy C-Means clustering and model-based clustering to test its accuracy, performance, and robustness. In the end, we have proposed a methodology to benchmark different algorithms and choosing the final model.","author":[{"dropping-particle":"","family":"Amruthnath","given":"Nagdev","non-dropping-particle":"","parse-names":false,"suffix":""},{"dropping-particle":"","family":"Gupta","given":"Tarun","non-dropping-particle":"","parse-names":false,"suffix":""}],"container-title":"2018 5th International Conference on Industrial Engineering and Applications, ICIEA 2018","id":"ITEM-1","issue":"August 1993","issued":{"date-parts":[["2018"]]},"page":"355-361","publisher":"IEEE","title":"A research study on unsupervised machine learning algorithms for early fault detection in predictive maintenance","type":"article-journal"},"uris":["http://www.mendeley.com/documents/?uuid=0c6e0790-7932-4832-a65c-3ad22de5003b"]},{"id":"ITEM-2","itemData":{"DOI":"10.1016/j.engappai.2011.03.002","ISBN":"0952-1976","ISSN":"09521976","abstract":"Methods for equipment monitoring are traditionally constructed from specific sensors and/or knowledge collected prior to implementation on the equipment. A different approach is presented here that builds up knowledge over time by exploratory search among the signals available on the internal field bus system and comparing the observed signal relationships among a group of equipment that perform similar tasks. The approach is developed for the purpose of increasing vehicle uptime, and is therefore demonstrated in the case of a city bus and a heavy duty truck. However, it also works fine for smaller mechatronic systems like computer hard-drives. The approach builds on an onboard self-organized search for models that capture relations among signal values on the vehicles data buses, combined with a limited bandwidth telematics gateway and an off-line server application where the parameters of the self-organized models are compared. The presented approach represents a new look at error detection in commercial mechatronic systems, where the normal behavior of a system is actually found under real operating conditions, rather than the behavior observed in a number of laboratory tests or test-drives prior to production of the system. The approach has potential to be the basis for a self-discovering system for general purpose fault detection and diagnostics. © 2010 Elsevier Ltd. All rights reserved.","author":[{"dropping-particle":"","family":"Byttner","given":"S.","non-dropping-particle":"","parse-names":false,"suffix":""},{"dropping-particle":"","family":"Rögnvaldsson","given":"T.","non-dropping-particle":"","parse-names":false,"suffix":""},{"dropping-particle":"","family":"Svensson","given":"M.","non-dropping-particle":"","parse-names":false,"suffix":""}],"container-title":"Engineering Applications of Artificial Intelligence","id":"ITEM-2","issue":"5","issued":{"date-parts":[["2011"]]},"page":"833-839","title":"Consensus self-organized models for fault detection (COSMO)","type":"article-journal","volume":"24"},"uris":["http://www.mendeley.com/documents/?uuid=54a13d73-1c86-418b-936a-d70faa38dd5e"]},{"id":"ITEM-3","itemData":{"DOI":"10.1016/j.cie.2019.106024","ISSN":"03608352","abstract":"The amount of data extracted from production processes has increased exponentially due to the proliferation of sensing technologies. When processed and analyzed, data can bring out valuable information and knowledge from manufacturing process, production system and equipment. In industries, equipment maintenance is an important key, and affects the operation time of equipment and its efficiency. Thus, equipment faults need to be identified and solved, avoiding shutdown in the production processes. Machine Learning (ML) methods have been emerged as a promising tool in Predictive Maintenance (PdM) applications to prevent failures in equipment that make up the production lines in the factory floor. However, the performance of PdM applications depends on the appropriate choice of the ML method. The aim of this paper is to present a systematic literature review of ML methods applied to PdM, showing which are being explored in this field and the performance of the current state-of-the-art ML techniques. This review focuses on two scientific databases and provides a useful foundation on the ML techniques, their main results, challenges and opportunities, as well as it supports new research works in the PdM field.","author":[{"dropping-particle":"","family":"Carvalho","given":"Thyago P.","non-dropping-particle":"","parse-names":false,"suffix":""},{"dropping-particle":"","family":"Soares","given":"Fabrízzio A.A.M.N.","non-dropping-particle":"","parse-names":false,"suffix":""},{"dropping-particle":"","family":"Vita","given":"Roberto","non-dropping-particle":"","parse-names":false,"suffix":""},{"dropping-particle":"","family":"Francisco","given":"Roberto da P.","non-dropping-particle":"","parse-names":false,"suffix":""},{"dropping-particle":"","family":"Basto","given":"João P.","non-dropping-particle":"","parse-names":false,"suffix":""},{"dropping-particle":"","family":"Alcalá","given":"Symone G.S.","non-dropping-particle":"","parse-names":false,"suffix":""}],"container-title":"Computers &amp; Industrial Engineering","id":"ITEM-3","issue":"August","issued":{"date-parts":[["2019","11"]]},"page":"106024","publisher":"Elsevier","title":"A systematic literature review of machine learning methods applied to predictive maintenance","type":"article-journal","volume":"137"},"uris":["http://www.mendeley.com/documents/?uuid=ad280624-fc22-4f69-83d2-08c6c97f1934"]},{"id":"ITEM-4","itemData":{"author":[{"dropping-particle":"","family":"Tripathi","given":"Siddharth","non-dropping-particle":"","parse-names":false,"suffix":""},{"dropping-particle":"","family":"Budhraja","given":"Ashwin","non-dropping-particle":"","parse-names":false,"suffix":""}],"container-title":"International Research Journal of Engineering and Technology (IRJET)","id":"ITEM-4","issue":"4","issued":{"date-parts":[["2019"]]},"page":"2282-2287","title":"Cloud Based Sewerage Monitoring and Predictive Maintenance Using Machine Learning","type":"article-journal","volume":"6"},"uris":["http://www.mendeley.com/documents/?uuid=76f34797-7cec-4041-87f8-6f4193273588"]}],"mendeley":{"formattedCitation":"[11]–[14]","plainTextFormattedCitation":"[11]–[14]","previouslyFormattedCitation":"[11]–[14]"},"properties":{"noteIndex":0},"schema":"https://github.com/citation-style-language/schema/raw/master/csl-citation.json"}</w:instrText>
      </w:r>
      <w:r w:rsidR="009C16D6">
        <w:fldChar w:fldCharType="separate"/>
      </w:r>
      <w:r w:rsidR="00246F3C" w:rsidRPr="00246F3C">
        <w:rPr>
          <w:noProof/>
        </w:rPr>
        <w:t>[11]–[14]</w:t>
      </w:r>
      <w:r w:rsidR="009C16D6">
        <w:fldChar w:fldCharType="end"/>
      </w:r>
      <w:r w:rsidR="00A4263A">
        <w:t>.</w:t>
      </w:r>
      <w:r w:rsidR="009C16D6">
        <w:t xml:space="preserve"> </w:t>
      </w:r>
      <w:r w:rsidR="00A4263A">
        <w:t>H</w:t>
      </w:r>
      <w:r w:rsidR="00BB481C">
        <w:t>owever, failure (functional) boundaries of deteriorating systems cause problems for data scientists in predicting faults that are not pre</w:t>
      </w:r>
      <w:r w:rsidR="00DB2CAD">
        <w:t>-</w:t>
      </w:r>
      <w:r w:rsidR="00BB481C">
        <w:t>defined.</w:t>
      </w:r>
    </w:p>
    <w:p w14:paraId="1E5506A1" w14:textId="2BBD1C01" w:rsidR="00CF5C02" w:rsidRDefault="00BB481C" w:rsidP="00392BEE">
      <w:r>
        <w:t xml:space="preserve">By neglecting </w:t>
      </w:r>
      <w:r w:rsidR="001862C3">
        <w:t xml:space="preserve">the </w:t>
      </w:r>
      <w:r>
        <w:t>causes of system degradations, i.e., failure mechanisms, one c</w:t>
      </w:r>
      <w:r w:rsidR="006E737D">
        <w:t xml:space="preserve">ould </w:t>
      </w:r>
      <w:r>
        <w:t xml:space="preserve">not appropriately manage a particular asset, which is why executives in asset-intensive industries state that failures and unplanned downtime are still the primary challenges to their business </w:t>
      </w:r>
      <w:r w:rsidR="009C16D6">
        <w:fldChar w:fldCharType="begin" w:fldLock="1"/>
      </w:r>
      <w:r w:rsidR="00416869">
        <w:instrText>ADDIN CSL_CITATION {"citationItems":[{"id":"ITEM-1","itemData":{"author":[{"dropping-particle":"","family":"LaRiviere","given":"Jacob","non-dropping-particle":"","parse-names":false,"suffix":""},{"dropping-particle":"","family":"McAfee","given":"Preston","non-dropping-particle":"","parse-names":false,"suffix":""},{"dropping-particle":"","family":"Rao","given":"Justin","non-dropping-particle":"","parse-names":false,"suffix":""},{"dropping-particle":"","family":"Narayanan","given":"Vijay K.","non-dropping-particle":"","parse-names":false,"suffix":""},{"dropping-particle":"","family":"Sun","given":"Walter","non-dropping-particle":"","parse-names":false,"suffix":""}],"container-title":"Harvard Business Review","id":"ITEM-1","issued":{"date-parts":[["2016"]]},"title":"Where Predictive Analytics Is Having the Biggest Impact","type":"article-magazine"},"uris":["http://www.mendeley.com/documents/?uuid=8673d65b-a385-4aed-a1aa-3652380accac"]}],"mendeley":{"formattedCitation":"[15]","plainTextFormattedCitation":"[15]","previouslyFormattedCitation":"[15]"},"properties":{"noteIndex":0},"schema":"https://github.com/citation-style-language/schema/raw/master/csl-citation.json"}</w:instrText>
      </w:r>
      <w:r w:rsidR="009C16D6">
        <w:fldChar w:fldCharType="separate"/>
      </w:r>
      <w:r w:rsidR="00246F3C" w:rsidRPr="00246F3C">
        <w:rPr>
          <w:noProof/>
        </w:rPr>
        <w:t>[15]</w:t>
      </w:r>
      <w:r w:rsidR="009C16D6">
        <w:fldChar w:fldCharType="end"/>
      </w:r>
      <w:r>
        <w:t>.</w:t>
      </w:r>
      <w:r w:rsidR="005A7E7C">
        <w:t xml:space="preserve"> </w:t>
      </w:r>
      <w:r w:rsidR="00D24E1A">
        <w:t xml:space="preserve">The </w:t>
      </w:r>
      <w:r w:rsidR="006D42CA">
        <w:t>fact that</w:t>
      </w:r>
      <w:r>
        <w:t xml:space="preserve"> maintenance </w:t>
      </w:r>
      <w:r w:rsidR="00CF5C02">
        <w:t>consumes from</w:t>
      </w:r>
      <w:r w:rsidR="007849A8">
        <w:t xml:space="preserve"> </w:t>
      </w:r>
      <w:r>
        <w:t xml:space="preserve">40% </w:t>
      </w:r>
      <w:r w:rsidR="009C16D6">
        <w:fldChar w:fldCharType="begin" w:fldLock="1"/>
      </w:r>
      <w:r w:rsidR="00416869">
        <w:instrText>ADDIN CSL_CITATION {"citationItems":[{"id":"ITEM-1","itemData":{"author":[{"dropping-particle":"","family":"Lordsleem","given":"A","non-dropping-particle":"","parse-names":false,"suffix":""},{"dropping-particle":"","family":"Rabbani","given":"E","non-dropping-particle":"","parse-names":false,"suffix":""}],"container-title":"18th CIB World Building Congress","editor":[{"dropping-particle":"","family":"Barrett","given":"Peter","non-dropping-particle":"","parse-names":false,"suffix":""},{"dropping-particle":"","family":"Amaratunga","given":"Dilanthi","non-dropping-particle":"","parse-names":false,"suffix":""},{"dropping-particle":"","family":"Haigh","given":"Richard","non-dropping-particle":"","parse-names":false,"suffix":""},{"dropping-particle":"","family":"Keraminiyage","given":"Kaushal","non-dropping-particle":"","parse-names":false,"suffix":""},{"dropping-particle":"","family":"Pathirag","given":"Chaminda","non-dropping-particle":"","parse-names":false,"suffix":""}],"id":"ITEM-1","issued":{"date-parts":[["2010"]]},"page":"203-212","publisher":"CIB Working Comission","publisher-place":"Salford, UK","title":"Maintenance Management of Building Projects Work Through Performance Indicators","type":"paper-conference"},"uris":["http://www.mendeley.com/documents/?uuid=06d4cd24-6540-4f42-8e1f-6394283fa2ec"]},{"id":"ITEM-2","itemData":{"DOI":"10.1016/j.cirp.2017.05.006","ISSN":"17260604","abstract":"Grinding is often the final step in the process/manufacturing chain, meaning that no subsequent post-grinding correction of the surface and geometry is performed. This imposes strong requirements on grinding-machine technology and on the understanding of this finalising process. While grinding has unique capabilities it is nevertheless in competition with other machining processes. The evolution of grinding machines is driven by process requirements like accuracy, MRR, and subsurface integrity. The regeneration of the tool on the machine with dressing devices is to be regarded as unique for grinding machines, hence a grinding machine always runs two separate processes. The high accuracy of grinding has, in fact, been an obstacle to simply adopting developments from other machining processes. Also, a lack of experienced machinists and a general trend towards individualized products and one-piece flow has required a transition from an experience-based approach to a science-based approach. Development is further driven by market demands, such as cost-reduction in terms of CAPEX, footprint, TCO versus quality, and throughput, which affect business models and the machine's design and construction. Moreover, the current mega-trends – such as resource efficiency, individualization, ergonomics and Industry 4.0 – are changing the appearance of grinding machines, which is also affected by the availability of new technologies, especially sensors, actuators and the control or machine intelligence. This paper reviews the most-relevant technologies, assesses their impact and the readiness of industry to adopt them, identifies the still-open issues, and concludes with future research requirements.","author":[{"dropping-particle":"","family":"Wegener","given":"Konrad","non-dropping-particle":"","parse-names":false,"suffix":""},{"dropping-particle":"","family":"Bleicher","given":"Friedrich","non-dropping-particle":"","parse-names":false,"suffix":""},{"dropping-particle":"","family":"Krajnik","given":"Peter","non-dropping-particle":"","parse-names":false,"suffix":""},{"dropping-particle":"","family":"Hoffmeister","given":"Hans Werner","non-dropping-particle":"","parse-names":false,"suffix":""},{"dropping-particle":"","family":"Brecher","given":"Christian","non-dropping-particle":"","parse-names":false,"suffix":""}],"container-title":"CIRP Annals - Manufacturing Technology","id":"ITEM-2","issue":"2","issued":{"date-parts":[["2017"]]},"page":"779-802","publisher":"CIRP","title":"Recent developments in grinding machines","type":"article-journal","volume":"66"},"uris":["http://www.mendeley.com/documents/?uuid=60cf97df-ba93-42ba-94b8-06d4f46199dc"]}],"mendeley":{"formattedCitation":"[16], [17]","plainTextFormattedCitation":"[16], [17]","previouslyFormattedCitation":"[16], [17]"},"properties":{"noteIndex":0},"schema":"https://github.com/citation-style-language/schema/raw/master/csl-citation.json"}</w:instrText>
      </w:r>
      <w:r w:rsidR="009C16D6">
        <w:fldChar w:fldCharType="separate"/>
      </w:r>
      <w:r w:rsidR="00246F3C" w:rsidRPr="00246F3C">
        <w:rPr>
          <w:noProof/>
        </w:rPr>
        <w:t>[16], [17]</w:t>
      </w:r>
      <w:r w:rsidR="009C16D6">
        <w:fldChar w:fldCharType="end"/>
      </w:r>
      <w:r>
        <w:t xml:space="preserve"> to 60% </w:t>
      </w:r>
      <w:r w:rsidR="009C16D6">
        <w:fldChar w:fldCharType="begin" w:fldLock="1"/>
      </w:r>
      <w:r w:rsidR="00416869">
        <w:instrText>ADDIN CSL_CITATION {"citationItems":[{"id":"ITEM-1","itemData":{"ISBN":"0-7506-7531-4","author":[{"dropping-particle":"","family":"Mobley","given":"R. Keith","non-dropping-particle":"","parse-names":false,"suffix":""}],"container-title":"Elsevier Science","edition":"Second ed.","id":"ITEM-1","issued":{"date-parts":[["2002"]]},"number-of-pages":"1-437","publisher":"Butterworth Heinemann","title":"An Introduction to Predictive Maintenance","type":"book"},"uris":["http://www.mendeley.com/documents/?uuid=1a2bf8d5-76fc-4842-bb27-7a756a5e8b86"]}],"mendeley":{"formattedCitation":"[18]","plainTextFormattedCitation":"[18]","previouslyFormattedCitation":"[18]"},"properties":{"noteIndex":0},"schema":"https://github.com/citation-style-language/schema/raw/master/csl-citation.json"}</w:instrText>
      </w:r>
      <w:r w:rsidR="009C16D6">
        <w:fldChar w:fldCharType="separate"/>
      </w:r>
      <w:r w:rsidR="00246F3C" w:rsidRPr="00246F3C">
        <w:rPr>
          <w:noProof/>
        </w:rPr>
        <w:t>[18]</w:t>
      </w:r>
      <w:r w:rsidR="009C16D6">
        <w:fldChar w:fldCharType="end"/>
      </w:r>
      <w:r>
        <w:t xml:space="preserve"> of operational activities </w:t>
      </w:r>
      <w:r w:rsidR="00321269">
        <w:t xml:space="preserve">questions </w:t>
      </w:r>
      <w:r w:rsidR="00CF5C02">
        <w:t>whether</w:t>
      </w:r>
      <w:r w:rsidR="00D24E1A">
        <w:t xml:space="preserve"> </w:t>
      </w:r>
      <w:r w:rsidR="00321269">
        <w:t xml:space="preserve">maintenance is a cost or </w:t>
      </w:r>
      <w:r w:rsidR="003E021B">
        <w:t xml:space="preserve">a </w:t>
      </w:r>
      <w:r w:rsidR="00321269">
        <w:t>profit-generating function</w:t>
      </w:r>
      <w:r>
        <w:t xml:space="preserve"> </w:t>
      </w:r>
      <w:r w:rsidR="009C16D6">
        <w:fldChar w:fldCharType="begin" w:fldLock="1"/>
      </w:r>
      <w:r w:rsidR="00273FB8">
        <w:instrText>ADDIN CSL_CITATION {"citationItems":[{"id":"ITEM-1","itemData":{"DOI":"10.1016/j.ijpe.2004.06.057","ISSN":"09255273","abstract":"This paper illustrates how an effective maintenance policy could influence the productivity and profitability of a manufacturing process. It was possible to show how changes in the productivity affect profit, separately from the effects of changes in the uncontrollable factors, i.e. price recovery. The main results of the case study performed at a Swedish paper-mill showed that a paper-mill machine could, ideally, generate extra profit of at least 7.8 million Swedish kronor (SEK) (approximately US$ 0.975 million) per year, i.e. 12.5% of its yearly maintenance budget, if it avoids all unplanned stoppages and bad quality production due to maintenance-related causes. Thus, maintenance is not a cost centre, but a profit generating function. © 2006 Elsevier B.V. All rights reserved.","author":[{"dropping-particle":"","family":"Alsyouf","given":"Imad","non-dropping-particle":"","parse-names":false,"suffix":""}],"container-title":"International Journal of Production Economics","id":"ITEM-1","issue":"1","issued":{"date-parts":[["2007"]]},"page":"70-78","title":"The role of maintenance in improving companies' productivity and profitability","type":"article-journal","volume":"105"},"uris":["http://www.mendeley.com/documents/?uuid=fcb8aecd-2762-483f-b330-ce154416e60d"]}],"mendeley":{"formattedCitation":"[4]","plainTextFormattedCitation":"[4]","previouslyFormattedCitation":"[4]"},"properties":{"noteIndex":0},"schema":"https://github.com/citation-style-language/schema/raw/master/csl-citation.json"}</w:instrText>
      </w:r>
      <w:r w:rsidR="009C16D6">
        <w:fldChar w:fldCharType="separate"/>
      </w:r>
      <w:r w:rsidR="00405EBD" w:rsidRPr="00405EBD">
        <w:rPr>
          <w:noProof/>
        </w:rPr>
        <w:t>[4]</w:t>
      </w:r>
      <w:r w:rsidR="009C16D6">
        <w:fldChar w:fldCharType="end"/>
      </w:r>
      <w:r w:rsidR="00DA1E1D">
        <w:t>. Also, it raises doubts about whether data scientists can cope with random and non-random deteriorating mechanisms, thus, further justifying</w:t>
      </w:r>
      <w:r w:rsidR="00F92261">
        <w:t xml:space="preserve"> the need for more advanced </w:t>
      </w:r>
      <w:r w:rsidR="00335872">
        <w:t>M</w:t>
      </w:r>
      <w:r w:rsidR="00F92261">
        <w:t>aintenance</w:t>
      </w:r>
      <w:r w:rsidR="00F47FBC">
        <w:t xml:space="preserve"> </w:t>
      </w:r>
      <w:r w:rsidR="00335872">
        <w:t>P</w:t>
      </w:r>
      <w:r w:rsidR="00F47FBC">
        <w:t>erformance</w:t>
      </w:r>
      <w:r w:rsidR="00F92261">
        <w:t xml:space="preserve"> </w:t>
      </w:r>
      <w:r w:rsidR="00335872">
        <w:t>I</w:t>
      </w:r>
      <w:r w:rsidR="00F47FBC">
        <w:t xml:space="preserve">ndicators (MPIs). </w:t>
      </w:r>
      <w:r w:rsidR="008D11EA">
        <w:t>However,</w:t>
      </w:r>
      <w:r w:rsidR="00F47FBC">
        <w:t xml:space="preserve"> traditional MPIs that include </w:t>
      </w:r>
      <w:r w:rsidR="008D11EA">
        <w:t>reliability, availability, maintainability and serviceability (RAMS) fall short of being used as a dynamic indication of condition monitoring benefits for zero-stoppage systems like aeroplanes and nuclear power plants. Enter operability.</w:t>
      </w:r>
    </w:p>
    <w:p w14:paraId="3DB9C3B3" w14:textId="06321FE9" w:rsidR="007330FE" w:rsidRDefault="007330FE" w:rsidP="00392BEE">
      <w:r>
        <w:t xml:space="preserve">What is meant by operability exactly? </w:t>
      </w:r>
      <w:r w:rsidR="00844147">
        <w:t>Although not so closely researched in the field of hydraulic system</w:t>
      </w:r>
      <w:r w:rsidR="00DC3503">
        <w:t>s’</w:t>
      </w:r>
      <w:r w:rsidR="00844147">
        <w:t xml:space="preserve"> maintenance</w:t>
      </w:r>
      <w:r w:rsidR="00D5248E">
        <w:t>, it is</w:t>
      </w:r>
      <w:r w:rsidR="00844147">
        <w:t xml:space="preserve"> </w:t>
      </w:r>
      <w:r w:rsidR="0031688A">
        <w:t>explained</w:t>
      </w:r>
      <w:r w:rsidR="00844147">
        <w:t xml:space="preserve"> mos</w:t>
      </w:r>
      <w:r w:rsidR="001A2B23">
        <w:t>tl</w:t>
      </w:r>
      <w:r w:rsidR="00844147">
        <w:t xml:space="preserve">y in the literature associated with </w:t>
      </w:r>
      <w:r w:rsidR="00DC3503">
        <w:t xml:space="preserve">the </w:t>
      </w:r>
      <w:r w:rsidR="00844147">
        <w:t xml:space="preserve">engine operability of aircraft propulsion systems. The goal of engine operability defined by Steenken </w:t>
      </w:r>
      <w:r w:rsidR="00844147">
        <w:fldChar w:fldCharType="begin" w:fldLock="1"/>
      </w:r>
      <w:r w:rsidR="00416869">
        <w:instrText>ADDIN CSL_CITATION {"citationItems":[{"id":"ITEM-1","itemData":{"ISBN":"0-930403-24-X","author":[{"dropping-particle":"","family":"Steenken","given":"William G.","non-dropping-particle":"","parse-names":false,"suffix":""}],"chapter-number":"6","container-title":"Aircraft Propulsion Systems Technology and Design","editor":[{"dropping-particle":"","family":"Oates","given":"Gordon C.","non-dropping-particle":"","parse-names":false,"suffix":""}],"id":"ITEM-1","issued":{"date-parts":[["2005","4"]]},"page":"28-28","publisher":"Routledge","publisher-place":"Evandale, Ohio","title":"Engine operability","type":"chapter"},"uris":["http://www.mendeley.com/documents/?uuid=d521c68e-3668-427c-a718-9d66a886b88c"]}],"mendeley":{"formattedCitation":"[19]","plainTextFormattedCitation":"[19]","previouslyFormattedCitation":"[19]"},"properties":{"noteIndex":0},"schema":"https://github.com/citation-style-language/schema/raw/master/csl-citation.json"}</w:instrText>
      </w:r>
      <w:r w:rsidR="00844147">
        <w:fldChar w:fldCharType="separate"/>
      </w:r>
      <w:r w:rsidR="00246F3C" w:rsidRPr="00246F3C">
        <w:rPr>
          <w:noProof/>
        </w:rPr>
        <w:t>[19]</w:t>
      </w:r>
      <w:r w:rsidR="00844147">
        <w:fldChar w:fldCharType="end"/>
      </w:r>
      <w:r w:rsidR="00844147">
        <w:t xml:space="preserve"> states “</w:t>
      </w:r>
      <w:r w:rsidR="00844147">
        <w:rPr>
          <w:i/>
          <w:iCs/>
        </w:rPr>
        <w:t xml:space="preserve">…is to assure that the engine operates free of instability or with </w:t>
      </w:r>
      <w:r w:rsidR="005A7DBD">
        <w:rPr>
          <w:i/>
          <w:iCs/>
        </w:rPr>
        <w:t xml:space="preserve">an </w:t>
      </w:r>
      <w:r w:rsidR="00844147">
        <w:rPr>
          <w:i/>
          <w:iCs/>
        </w:rPr>
        <w:t>acceptably small number of recoverable aerodynamic instabilities…”</w:t>
      </w:r>
      <w:r w:rsidR="00844147">
        <w:t>.</w:t>
      </w:r>
      <w:r w:rsidR="00B13F9F">
        <w:t xml:space="preserve"> The evolution of operability from RAMS</w:t>
      </w:r>
      <w:r w:rsidR="00617212">
        <w:t xml:space="preserve"> </w:t>
      </w:r>
      <w:r w:rsidR="00617212">
        <w:fldChar w:fldCharType="begin" w:fldLock="1"/>
      </w:r>
      <w:r w:rsidR="00416869">
        <w:instrText>ADDIN CSL_CITATION {"citationItems":[{"id":"ITEM-1","itemData":{"author":[{"dropping-particle":"","family":"Author","given":"T H E","non-dropping-particle":"","parse-names":false,"suffix":""}],"container-title":"Naval Engineers Journal","id":"ITEM-1","issue":"May","issued":{"date-parts":[["1983"]]},"title":"Designing reliability and maintainability into the RACER system","type":"article-journal"},"uris":["http://www.mendeley.com/documents/?uuid=014d62ed-154d-447e-bc1b-862214bf7fa4"]}],"mendeley":{"formattedCitation":"[20]","plainTextFormattedCitation":"[20]","previouslyFormattedCitation":"[20]"},"properties":{"noteIndex":0},"schema":"https://github.com/citation-style-language/schema/raw/master/csl-citation.json"}</w:instrText>
      </w:r>
      <w:r w:rsidR="00617212">
        <w:fldChar w:fldCharType="separate"/>
      </w:r>
      <w:r w:rsidR="00246F3C" w:rsidRPr="00246F3C">
        <w:rPr>
          <w:noProof/>
        </w:rPr>
        <w:t>[20]</w:t>
      </w:r>
      <w:r w:rsidR="00617212">
        <w:fldChar w:fldCharType="end"/>
      </w:r>
      <w:r w:rsidR="00B13F9F">
        <w:t xml:space="preserve"> towards today</w:t>
      </w:r>
      <w:r w:rsidR="005A7DBD">
        <w:t>’</w:t>
      </w:r>
      <w:r w:rsidR="00B13F9F">
        <w:t>s understanding of the concept as "</w:t>
      </w:r>
      <w:r w:rsidR="00430ED6">
        <w:t>…</w:t>
      </w:r>
      <w:r w:rsidR="00430ED6" w:rsidRPr="00430ED6">
        <w:rPr>
          <w:i/>
          <w:iCs/>
        </w:rPr>
        <w:t>the</w:t>
      </w:r>
      <w:r w:rsidR="00430ED6">
        <w:t xml:space="preserve"> </w:t>
      </w:r>
      <w:r w:rsidR="00B13F9F" w:rsidRPr="00B13F9F">
        <w:rPr>
          <w:i/>
          <w:iCs/>
        </w:rPr>
        <w:t>ability to keep the system in a safe and reliable functioning condition</w:t>
      </w:r>
      <w:r w:rsidR="00B13F9F">
        <w:t>” suggest</w:t>
      </w:r>
      <w:r w:rsidR="00430ED6">
        <w:t>s</w:t>
      </w:r>
      <w:r w:rsidR="00B13F9F">
        <w:t xml:space="preserve"> the starting point ma</w:t>
      </w:r>
      <w:r w:rsidR="00430ED6">
        <w:t>de</w:t>
      </w:r>
      <w:r w:rsidR="00B13F9F">
        <w:t xml:space="preserve"> – transferring from static (failure) data to control (process) data.</w:t>
      </w:r>
      <w:r w:rsidR="00392BEE">
        <w:t xml:space="preserve"> </w:t>
      </w:r>
      <w:r w:rsidR="00AB166A">
        <w:t>The</w:t>
      </w:r>
      <w:r w:rsidR="00392BEE">
        <w:t xml:space="preserve"> static (failure) </w:t>
      </w:r>
      <w:r w:rsidR="008D11EA">
        <w:t>data metric</w:t>
      </w:r>
      <w:r w:rsidR="00AB166A">
        <w:t xml:space="preserve"> of</w:t>
      </w:r>
      <w:r w:rsidR="008D11EA">
        <w:t xml:space="preserve"> availability</w:t>
      </w:r>
      <w:r w:rsidR="00AB166A">
        <w:t xml:space="preserve"> for repairable systems is expressed as</w:t>
      </w:r>
      <w:r w:rsidR="008D11EA">
        <w:t>:</w:t>
      </w:r>
    </w:p>
    <w:tbl>
      <w:tblPr>
        <w:tblW w:w="0" w:type="auto"/>
        <w:tblLook w:val="04A0" w:firstRow="1" w:lastRow="0" w:firstColumn="1" w:lastColumn="0" w:noHBand="0" w:noVBand="1"/>
      </w:tblPr>
      <w:tblGrid>
        <w:gridCol w:w="8280"/>
        <w:gridCol w:w="737"/>
      </w:tblGrid>
      <w:tr w:rsidR="00AE063F" w14:paraId="051036EE" w14:textId="77777777" w:rsidTr="00277312">
        <w:tc>
          <w:tcPr>
            <w:tcW w:w="8280" w:type="dxa"/>
            <w:vAlign w:val="center"/>
          </w:tcPr>
          <w:p w14:paraId="3B0203A2" w14:textId="789BA640" w:rsidR="00AE063F" w:rsidRPr="006252AE" w:rsidRDefault="00AE063F" w:rsidP="00430ED6">
            <w:pPr>
              <w:jc w:val="center"/>
              <w:rPr>
                <w:lang w:val="en-GB"/>
              </w:rPr>
            </w:pPr>
            <m:oMath>
              <m:r>
                <w:rPr>
                  <w:rFonts w:ascii="Cambria Math" w:hAnsi="Cambria Math"/>
                  <w:lang w:val="en-GB"/>
                </w:rPr>
                <m:t>Availability</m:t>
              </m:r>
              <m:r>
                <m:rPr>
                  <m:sty m:val="p"/>
                </m:rPr>
                <w:rPr>
                  <w:rFonts w:ascii="Cambria Math" w:hAnsi="Cambria Math"/>
                  <w:lang w:val="en-GB"/>
                </w:rPr>
                <m:t>=</m:t>
              </m:r>
              <m:f>
                <m:fPr>
                  <m:ctrlPr>
                    <w:rPr>
                      <w:rFonts w:ascii="Cambria Math" w:hAnsi="Cambria Math"/>
                      <w:lang w:val="en-GB"/>
                    </w:rPr>
                  </m:ctrlPr>
                </m:fPr>
                <m:num>
                  <m:r>
                    <w:rPr>
                      <w:rFonts w:ascii="Cambria Math" w:hAnsi="Cambria Math"/>
                      <w:lang w:val="en-GB"/>
                    </w:rPr>
                    <m:t>E[</m:t>
                  </m:r>
                  <m:sSub>
                    <m:sSubPr>
                      <m:ctrlPr>
                        <w:rPr>
                          <w:rFonts w:ascii="Cambria Math" w:hAnsi="Cambria Math"/>
                          <w:i/>
                          <w:lang w:val="en-GB"/>
                        </w:rPr>
                      </m:ctrlPr>
                    </m:sSubPr>
                    <m:e>
                      <m:r>
                        <w:rPr>
                          <w:rFonts w:ascii="Cambria Math" w:hAnsi="Cambria Math"/>
                          <w:lang w:val="en-GB"/>
                        </w:rPr>
                        <m:t>TBF</m:t>
                      </m:r>
                    </m:e>
                    <m:sub>
                      <m:r>
                        <w:rPr>
                          <w:rFonts w:ascii="Cambria Math" w:hAnsi="Cambria Math"/>
                          <w:lang w:val="en-GB"/>
                        </w:rPr>
                        <m:t>i</m:t>
                      </m:r>
                    </m:sub>
                  </m:sSub>
                  <m:r>
                    <w:rPr>
                      <w:rFonts w:ascii="Cambria Math" w:hAnsi="Cambria Math"/>
                      <w:lang w:val="en-GB"/>
                    </w:rPr>
                    <m:t>]</m:t>
                  </m:r>
                </m:num>
                <m:den>
                  <m:r>
                    <w:rPr>
                      <w:rFonts w:ascii="Cambria Math" w:hAnsi="Cambria Math"/>
                      <w:lang w:val="en-GB"/>
                    </w:rPr>
                    <m:t>E</m:t>
                  </m:r>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TBF</m:t>
                          </m:r>
                        </m:e>
                        <m:sub>
                          <m:r>
                            <w:rPr>
                              <w:rFonts w:ascii="Cambria Math" w:hAnsi="Cambria Math"/>
                              <w:lang w:val="en-GB"/>
                            </w:rPr>
                            <m:t>i</m:t>
                          </m:r>
                        </m:sub>
                      </m:sSub>
                    </m:e>
                  </m:d>
                  <m:r>
                    <w:rPr>
                      <w:rFonts w:ascii="Cambria Math" w:hAnsi="Cambria Math"/>
                      <w:lang w:val="en-GB"/>
                    </w:rPr>
                    <m:t>+E[</m:t>
                  </m:r>
                  <m:sSub>
                    <m:sSubPr>
                      <m:ctrlPr>
                        <w:rPr>
                          <w:rFonts w:ascii="Cambria Math" w:hAnsi="Cambria Math"/>
                          <w:i/>
                          <w:lang w:val="en-GB"/>
                        </w:rPr>
                      </m:ctrlPr>
                    </m:sSubPr>
                    <m:e>
                      <m:r>
                        <w:rPr>
                          <w:rFonts w:ascii="Cambria Math" w:hAnsi="Cambria Math"/>
                          <w:lang w:val="en-GB"/>
                        </w:rPr>
                        <m:t>TTR</m:t>
                      </m:r>
                    </m:e>
                    <m:sub>
                      <m:r>
                        <w:rPr>
                          <w:rFonts w:ascii="Cambria Math" w:hAnsi="Cambria Math"/>
                          <w:lang w:val="en-GB"/>
                        </w:rPr>
                        <m:t>i</m:t>
                      </m:r>
                    </m:sub>
                  </m:sSub>
                  <m:r>
                    <w:rPr>
                      <w:rFonts w:ascii="Cambria Math" w:hAnsi="Cambria Math"/>
                      <w:lang w:val="en-GB"/>
                    </w:rPr>
                    <m:t>]</m:t>
                  </m:r>
                </m:den>
              </m:f>
              <m:r>
                <w:rPr>
                  <w:rFonts w:ascii="Cambria Math" w:hAnsi="Cambria Math"/>
                  <w:lang w:val="en-GB"/>
                </w:rPr>
                <m:t>=</m:t>
              </m:r>
              <m:f>
                <m:fPr>
                  <m:ctrlPr>
                    <w:rPr>
                      <w:rFonts w:ascii="Cambria Math" w:hAnsi="Cambria Math"/>
                      <w:lang w:val="en-GB"/>
                    </w:rPr>
                  </m:ctrlPr>
                </m:fPr>
                <m:num>
                  <m:r>
                    <w:rPr>
                      <w:rFonts w:ascii="Cambria Math" w:hAnsi="Cambria Math"/>
                      <w:lang w:val="en-GB"/>
                    </w:rPr>
                    <m:t>MTBF</m:t>
                  </m:r>
                </m:num>
                <m:den>
                  <m:r>
                    <w:rPr>
                      <w:rFonts w:ascii="Cambria Math" w:hAnsi="Cambria Math"/>
                      <w:lang w:val="en-GB"/>
                    </w:rPr>
                    <m:t>MTBF</m:t>
                  </m:r>
                  <m:r>
                    <m:rPr>
                      <m:sty m:val="p"/>
                    </m:rPr>
                    <w:rPr>
                      <w:rFonts w:ascii="Cambria Math" w:hAnsi="Cambria Math"/>
                      <w:lang w:val="en-GB"/>
                    </w:rPr>
                    <m:t>+</m:t>
                  </m:r>
                  <m:r>
                    <w:rPr>
                      <w:rFonts w:ascii="Cambria Math" w:hAnsi="Cambria Math"/>
                      <w:lang w:val="en-GB"/>
                    </w:rPr>
                    <m:t>MTTR</m:t>
                  </m:r>
                </m:den>
              </m:f>
            </m:oMath>
            <w:r w:rsidR="008D11EA">
              <w:rPr>
                <w:rFonts w:eastAsiaTheme="minorEastAsia"/>
                <w:lang w:val="en-GB"/>
              </w:rPr>
              <w:t xml:space="preserve"> ,</w:t>
            </w:r>
          </w:p>
        </w:tc>
        <w:tc>
          <w:tcPr>
            <w:tcW w:w="737" w:type="dxa"/>
            <w:vAlign w:val="center"/>
          </w:tcPr>
          <w:p w14:paraId="575222DC" w14:textId="6A9F1567" w:rsidR="00AE063F" w:rsidRDefault="00AE063F" w:rsidP="00277312">
            <w:pPr>
              <w:jc w:val="right"/>
            </w:pPr>
            <w:r>
              <w:t>(</w:t>
            </w:r>
            <w:r w:rsidR="00427B33">
              <w:fldChar w:fldCharType="begin"/>
            </w:r>
            <w:r w:rsidR="00427B33">
              <w:instrText xml:space="preserve"> STYLEREF 1 \s </w:instrText>
            </w:r>
            <w:r w:rsidR="00427B33">
              <w:fldChar w:fldCharType="separate"/>
            </w:r>
            <w:r w:rsidR="00587AF0">
              <w:rPr>
                <w:noProof/>
              </w:rPr>
              <w:t>1</w:t>
            </w:r>
            <w:r w:rsidR="00427B33">
              <w:rPr>
                <w:noProof/>
              </w:rPr>
              <w:fldChar w:fldCharType="end"/>
            </w:r>
            <w:r w:rsidR="002C693A">
              <w:t>.</w:t>
            </w:r>
            <w:r w:rsidR="00427B33">
              <w:fldChar w:fldCharType="begin"/>
            </w:r>
            <w:r w:rsidR="00427B33">
              <w:instrText xml:space="preserve"> SEQ Equation \* ARABIC \s 1 </w:instrText>
            </w:r>
            <w:r w:rsidR="00427B33">
              <w:fldChar w:fldCharType="separate"/>
            </w:r>
            <w:r w:rsidR="00587AF0">
              <w:rPr>
                <w:noProof/>
              </w:rPr>
              <w:t>1</w:t>
            </w:r>
            <w:r w:rsidR="00427B33">
              <w:rPr>
                <w:noProof/>
              </w:rPr>
              <w:fldChar w:fldCharType="end"/>
            </w:r>
            <w:r>
              <w:t>)</w:t>
            </w:r>
          </w:p>
        </w:tc>
      </w:tr>
    </w:tbl>
    <w:p w14:paraId="12E53C62" w14:textId="0172207D" w:rsidR="008D11EA" w:rsidRDefault="00AB166A" w:rsidP="0080333E">
      <w:r>
        <w:t>where availability</w:t>
      </w:r>
      <w:r w:rsidR="00606695">
        <w:t xml:space="preserve"> is</w:t>
      </w:r>
      <w:r>
        <w:t xml:space="preserve"> the </w:t>
      </w:r>
      <w:r w:rsidR="00606695">
        <w:t xml:space="preserve">division of </w:t>
      </w:r>
      <w:r>
        <w:t xml:space="preserve">mathematical expectation of average time between failures </w:t>
      </w:r>
      <w:r w:rsidRPr="00AB166A">
        <w:rPr>
          <w:i/>
          <w:iCs/>
        </w:rPr>
        <w:t>E</w:t>
      </w:r>
      <w:r>
        <w:t>[</w:t>
      </w:r>
      <w:r w:rsidRPr="005A01EE">
        <w:rPr>
          <w:i/>
          <w:iCs/>
        </w:rPr>
        <w:t>TBF</w:t>
      </w:r>
      <w:r w:rsidRPr="00AB166A">
        <w:t>]</w:t>
      </w:r>
      <w:r w:rsidR="00587C80">
        <w:t>,</w:t>
      </w:r>
      <w:r>
        <w:t xml:space="preserve"> denoted as </w:t>
      </w:r>
      <w:r w:rsidRPr="00E330F5">
        <w:rPr>
          <w:i/>
          <w:iCs/>
        </w:rPr>
        <w:t>MTBF</w:t>
      </w:r>
      <w:r>
        <w:rPr>
          <w:i/>
          <w:iCs/>
        </w:rPr>
        <w:t>,</w:t>
      </w:r>
      <w:r w:rsidRPr="008D11EA">
        <w:t xml:space="preserve"> </w:t>
      </w:r>
      <w:r w:rsidR="00606695">
        <w:t>with</w:t>
      </w:r>
      <w:r>
        <w:t xml:space="preserve"> </w:t>
      </w:r>
      <w:r w:rsidRPr="00AB166A">
        <w:t>t</w:t>
      </w:r>
      <w:r>
        <w:t xml:space="preserve">he </w:t>
      </w:r>
      <w:r w:rsidR="00606695">
        <w:t xml:space="preserve">sum of </w:t>
      </w:r>
      <w:r w:rsidR="00606695">
        <w:rPr>
          <w:i/>
          <w:iCs/>
        </w:rPr>
        <w:t xml:space="preserve">MTBF </w:t>
      </w:r>
      <w:r w:rsidR="00606695" w:rsidRPr="00606695">
        <w:t>and</w:t>
      </w:r>
      <w:r w:rsidR="00606695">
        <w:t xml:space="preserve"> </w:t>
      </w:r>
      <w:r>
        <w:t xml:space="preserve">mathematical expectation </w:t>
      </w:r>
      <w:r>
        <w:rPr>
          <w:i/>
          <w:iCs/>
        </w:rPr>
        <w:t>E</w:t>
      </w:r>
      <w:r w:rsidRPr="00AB166A">
        <w:t>[</w:t>
      </w:r>
      <w:r>
        <w:rPr>
          <w:i/>
          <w:iCs/>
        </w:rPr>
        <w:t>TTR</w:t>
      </w:r>
      <w:r w:rsidRPr="00AB166A">
        <w:t>]</w:t>
      </w:r>
      <w:r>
        <w:t xml:space="preserve"> of time to repair is denoted as MTTR. The dynamic (process) data metric for operability is expressed as:</w:t>
      </w:r>
    </w:p>
    <w:tbl>
      <w:tblPr>
        <w:tblpPr w:leftFromText="180" w:rightFromText="180" w:vertAnchor="text" w:horzAnchor="margin" w:tblpY="167"/>
        <w:tblW w:w="0" w:type="auto"/>
        <w:tblLook w:val="04A0" w:firstRow="1" w:lastRow="0" w:firstColumn="1" w:lastColumn="0" w:noHBand="0" w:noVBand="1"/>
      </w:tblPr>
      <w:tblGrid>
        <w:gridCol w:w="8250"/>
        <w:gridCol w:w="767"/>
      </w:tblGrid>
      <w:tr w:rsidR="008D11EA" w14:paraId="1A52E52C" w14:textId="77777777" w:rsidTr="00FE33D5">
        <w:tc>
          <w:tcPr>
            <w:tcW w:w="8250" w:type="dxa"/>
            <w:vAlign w:val="center"/>
          </w:tcPr>
          <w:p w14:paraId="6A399DD0" w14:textId="07BF312D" w:rsidR="008D11EA" w:rsidRPr="006252AE" w:rsidRDefault="008D11EA" w:rsidP="008D11EA">
            <w:pPr>
              <w:jc w:val="center"/>
              <w:rPr>
                <w:lang w:val="en-GB"/>
              </w:rPr>
            </w:pPr>
            <m:oMath>
              <m:r>
                <w:rPr>
                  <w:rFonts w:ascii="Cambria Math" w:hAnsi="Cambria Math"/>
                  <w:lang w:val="en-GB"/>
                </w:rPr>
                <m:t>O</m:t>
              </m:r>
              <m:r>
                <m:rPr>
                  <m:sty m:val="p"/>
                </m:rPr>
                <w:rPr>
                  <w:rFonts w:ascii="Cambria Math" w:hAnsi="Cambria Math"/>
                  <w:lang w:val="en-GB"/>
                </w:rPr>
                <m:t>=</m:t>
              </m:r>
              <m:f>
                <m:fPr>
                  <m:ctrlPr>
                    <w:rPr>
                      <w:rFonts w:ascii="Cambria Math" w:hAnsi="Cambria Math"/>
                      <w:lang w:val="en-GB"/>
                    </w:rPr>
                  </m:ctrlPr>
                </m:fPr>
                <m:num>
                  <m:nary>
                    <m:naryPr>
                      <m:limLoc m:val="undOvr"/>
                      <m:ctrlPr>
                        <w:rPr>
                          <w:rFonts w:ascii="Cambria Math" w:hAnsi="Cambria Math"/>
                          <w:i/>
                          <w:lang w:val="en-GB"/>
                        </w:rPr>
                      </m:ctrlPr>
                    </m:naryPr>
                    <m:sub>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0</m:t>
                          </m:r>
                        </m:sub>
                      </m:sSub>
                    </m:sub>
                    <m:sup>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end</m:t>
                          </m:r>
                        </m:sub>
                      </m:sSub>
                    </m:sup>
                    <m:e>
                      <m:nary>
                        <m:naryPr>
                          <m:chr m:val="∑"/>
                          <m:limLoc m:val="undOvr"/>
                          <m:ctrlPr>
                            <w:rPr>
                              <w:rFonts w:ascii="Cambria Math" w:hAnsi="Cambria Math"/>
                              <w:i/>
                              <w:lang w:val="en-GB"/>
                            </w:rPr>
                          </m:ctrlPr>
                        </m:naryPr>
                        <m:sub>
                          <m:r>
                            <w:rPr>
                              <w:rFonts w:ascii="Cambria Math" w:hAnsi="Cambria Math"/>
                              <w:lang w:val="en-GB"/>
                            </w:rPr>
                            <m:t>i=1</m:t>
                          </m:r>
                        </m:sub>
                        <m:sup>
                          <m:r>
                            <w:rPr>
                              <w:rFonts w:ascii="Cambria Math" w:hAnsi="Cambria Math"/>
                              <w:lang w:val="en-GB"/>
                            </w:rPr>
                            <m:t>I</m:t>
                          </m:r>
                        </m:sup>
                        <m:e>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i</m:t>
                              </m:r>
                            </m:sub>
                          </m:sSub>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i</m:t>
                              </m:r>
                            </m:sub>
                          </m:sSub>
                          <m:d>
                            <m:dPr>
                              <m:ctrlPr>
                                <w:rPr>
                                  <w:rFonts w:ascii="Cambria Math" w:hAnsi="Cambria Math"/>
                                  <w:i/>
                                  <w:lang w:val="en-GB"/>
                                </w:rPr>
                              </m:ctrlPr>
                            </m:dPr>
                            <m:e>
                              <m:r>
                                <w:rPr>
                                  <w:rFonts w:ascii="Cambria Math" w:hAnsi="Cambria Math"/>
                                  <w:lang w:val="en-GB"/>
                                </w:rPr>
                                <m:t>t</m:t>
                              </m:r>
                            </m:e>
                          </m:d>
                          <m:r>
                            <w:rPr>
                              <w:rFonts w:ascii="Cambria Math" w:hAnsi="Cambria Math"/>
                              <w:lang w:val="en-GB"/>
                            </w:rPr>
                            <m:t>dt</m:t>
                          </m:r>
                        </m:e>
                      </m:nary>
                    </m:e>
                  </m:nary>
                </m:num>
                <m:den>
                  <m:nary>
                    <m:naryPr>
                      <m:limLoc m:val="undOvr"/>
                      <m:ctrlPr>
                        <w:rPr>
                          <w:rFonts w:ascii="Cambria Math" w:hAnsi="Cambria Math"/>
                          <w:i/>
                          <w:lang w:val="en-GB"/>
                        </w:rPr>
                      </m:ctrlPr>
                    </m:naryPr>
                    <m:sub>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0</m:t>
                          </m:r>
                        </m:sub>
                      </m:sSub>
                    </m:sub>
                    <m:sup>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end</m:t>
                          </m:r>
                        </m:sub>
                      </m:sSub>
                    </m:sup>
                    <m:e>
                      <m:nary>
                        <m:naryPr>
                          <m:chr m:val="∑"/>
                          <m:limLoc m:val="undOvr"/>
                          <m:ctrlPr>
                            <w:rPr>
                              <w:rFonts w:ascii="Cambria Math" w:hAnsi="Cambria Math"/>
                              <w:i/>
                              <w:lang w:val="en-GB"/>
                            </w:rPr>
                          </m:ctrlPr>
                        </m:naryPr>
                        <m:sub>
                          <m:r>
                            <w:rPr>
                              <w:rFonts w:ascii="Cambria Math" w:hAnsi="Cambria Math"/>
                              <w:lang w:val="en-GB"/>
                            </w:rPr>
                            <m:t>i=1</m:t>
                          </m:r>
                        </m:sub>
                        <m:sup>
                          <m:r>
                            <w:rPr>
                              <w:rFonts w:ascii="Cambria Math" w:hAnsi="Cambria Math"/>
                              <w:lang w:val="en-GB"/>
                            </w:rPr>
                            <m:t>I</m:t>
                          </m:r>
                        </m:sup>
                        <m:e>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i</m:t>
                              </m:r>
                            </m:sub>
                          </m:sSub>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max,i</m:t>
                              </m:r>
                            </m:sub>
                          </m:sSub>
                          <m:d>
                            <m:dPr>
                              <m:ctrlPr>
                                <w:rPr>
                                  <w:rFonts w:ascii="Cambria Math" w:hAnsi="Cambria Math"/>
                                  <w:i/>
                                  <w:lang w:val="en-GB"/>
                                </w:rPr>
                              </m:ctrlPr>
                            </m:dPr>
                            <m:e>
                              <m:r>
                                <w:rPr>
                                  <w:rFonts w:ascii="Cambria Math" w:hAnsi="Cambria Math"/>
                                  <w:lang w:val="en-GB"/>
                                </w:rPr>
                                <m:t>t</m:t>
                              </m:r>
                            </m:e>
                          </m:d>
                          <m:r>
                            <w:rPr>
                              <w:rFonts w:ascii="Cambria Math" w:hAnsi="Cambria Math"/>
                              <w:lang w:val="en-GB"/>
                            </w:rPr>
                            <m:t>dt</m:t>
                          </m:r>
                        </m:e>
                      </m:nary>
                    </m:e>
                  </m:nary>
                </m:den>
              </m:f>
            </m:oMath>
            <w:r>
              <w:rPr>
                <w:rFonts w:eastAsiaTheme="minorEastAsia"/>
                <w:lang w:val="en-GB"/>
              </w:rPr>
              <w:t xml:space="preserve"> ,</w:t>
            </w:r>
          </w:p>
        </w:tc>
        <w:tc>
          <w:tcPr>
            <w:tcW w:w="767" w:type="dxa"/>
            <w:vAlign w:val="center"/>
          </w:tcPr>
          <w:p w14:paraId="3F682B53" w14:textId="2CCB048F" w:rsidR="008D11EA" w:rsidRDefault="009B555C" w:rsidP="00FE33D5">
            <w:pPr>
              <w:spacing w:before="0" w:after="0"/>
              <w:jc w:val="right"/>
            </w:pPr>
            <w:r>
              <w:t>(</w:t>
            </w:r>
            <w:r w:rsidR="00427B33">
              <w:fldChar w:fldCharType="begin"/>
            </w:r>
            <w:r w:rsidR="00427B33">
              <w:instrText xml:space="preserve"> STYLEREF 1 \s </w:instrText>
            </w:r>
            <w:r w:rsidR="00427B33">
              <w:fldChar w:fldCharType="separate"/>
            </w:r>
            <w:r w:rsidR="00587AF0">
              <w:rPr>
                <w:noProof/>
              </w:rPr>
              <w:t>1</w:t>
            </w:r>
            <w:r w:rsidR="00427B33">
              <w:rPr>
                <w:noProof/>
              </w:rPr>
              <w:fldChar w:fldCharType="end"/>
            </w:r>
            <w:r w:rsidR="002C693A">
              <w:t>.</w:t>
            </w:r>
            <w:r w:rsidR="00427B33">
              <w:fldChar w:fldCharType="begin"/>
            </w:r>
            <w:r w:rsidR="00427B33">
              <w:instrText xml:space="preserve"> SEQ Equation \* ARABIC \s 1 </w:instrText>
            </w:r>
            <w:r w:rsidR="00427B33">
              <w:fldChar w:fldCharType="separate"/>
            </w:r>
            <w:r w:rsidR="00587AF0">
              <w:rPr>
                <w:noProof/>
              </w:rPr>
              <w:t>2</w:t>
            </w:r>
            <w:r w:rsidR="00427B33">
              <w:rPr>
                <w:noProof/>
              </w:rPr>
              <w:fldChar w:fldCharType="end"/>
            </w:r>
            <w:r>
              <w:t>)</w:t>
            </w:r>
          </w:p>
        </w:tc>
      </w:tr>
    </w:tbl>
    <w:p w14:paraId="561A0C1D" w14:textId="194E6E2D" w:rsidR="008D11EA" w:rsidRDefault="008D11EA" w:rsidP="0080333E">
      <w:r>
        <w:t xml:space="preserve">where </w:t>
      </w:r>
      <w:r>
        <w:rPr>
          <w:i/>
          <w:iCs/>
        </w:rPr>
        <w:t>I</w:t>
      </w:r>
      <w:r>
        <w:t xml:space="preserve"> is the number of loads in the system, </w:t>
      </w:r>
      <w:r>
        <w:rPr>
          <w:i/>
          <w:iCs/>
        </w:rPr>
        <w:t>P</w:t>
      </w:r>
      <w:r>
        <w:rPr>
          <w:i/>
          <w:iCs/>
          <w:vertAlign w:val="subscript"/>
        </w:rPr>
        <w:t xml:space="preserve">i </w:t>
      </w:r>
      <w:r w:rsidRPr="002479CA">
        <w:rPr>
          <w:i/>
          <w:iCs/>
        </w:rPr>
        <w:t>(t)</w:t>
      </w:r>
      <w:r>
        <w:t xml:space="preserve"> is the power consumption of load </w:t>
      </w:r>
      <w:r>
        <w:rPr>
          <w:i/>
          <w:iCs/>
        </w:rPr>
        <w:t>i</w:t>
      </w:r>
      <w:r>
        <w:t xml:space="preserve"> at time </w:t>
      </w:r>
      <w:r>
        <w:rPr>
          <w:i/>
          <w:iCs/>
        </w:rPr>
        <w:t>t</w:t>
      </w:r>
      <w:r>
        <w:t xml:space="preserve">, </w:t>
      </w:r>
      <w:r>
        <w:rPr>
          <w:i/>
          <w:iCs/>
        </w:rPr>
        <w:t>P</w:t>
      </w:r>
      <w:r>
        <w:rPr>
          <w:i/>
          <w:iCs/>
          <w:vertAlign w:val="subscript"/>
        </w:rPr>
        <w:t>max,i</w:t>
      </w:r>
      <w:r>
        <w:rPr>
          <w:vertAlign w:val="subscript"/>
        </w:rPr>
        <w:t xml:space="preserve"> </w:t>
      </w:r>
      <w:r w:rsidRPr="002479CA">
        <w:rPr>
          <w:i/>
          <w:iCs/>
        </w:rPr>
        <w:t>(t)</w:t>
      </w:r>
      <w:r>
        <w:t xml:space="preserve"> is the maximum required (or demanded) power of load </w:t>
      </w:r>
      <w:r>
        <w:rPr>
          <w:i/>
          <w:iCs/>
        </w:rPr>
        <w:t>i</w:t>
      </w:r>
      <w:r>
        <w:t xml:space="preserve"> at time </w:t>
      </w:r>
      <w:r>
        <w:rPr>
          <w:i/>
          <w:iCs/>
        </w:rPr>
        <w:t>t</w:t>
      </w:r>
      <w:r>
        <w:t xml:space="preserve">, and </w:t>
      </w:r>
      <w:r>
        <w:rPr>
          <w:i/>
          <w:iCs/>
        </w:rPr>
        <w:t>w</w:t>
      </w:r>
      <w:r>
        <w:rPr>
          <w:i/>
          <w:iCs/>
          <w:vertAlign w:val="subscript"/>
        </w:rPr>
        <w:t>i</w:t>
      </w:r>
      <w:r>
        <w:t xml:space="preserve"> is a mission-specific weighted function of the importance load </w:t>
      </w:r>
      <w:r>
        <w:rPr>
          <w:i/>
          <w:iCs/>
        </w:rPr>
        <w:t>i</w:t>
      </w:r>
      <w:r>
        <w:t>.</w:t>
      </w:r>
    </w:p>
    <w:p w14:paraId="00331C84" w14:textId="52418529" w:rsidR="00D23070" w:rsidRDefault="00AB166A" w:rsidP="0080333E">
      <w:r>
        <w:t>T</w:t>
      </w:r>
      <w:r w:rsidR="008D11EA">
        <w:t>he general implication is that availability is a measurement tool of a particular system's</w:t>
      </w:r>
      <w:r w:rsidR="00E330F5">
        <w:t xml:space="preserve"> lifespan </w:t>
      </w:r>
      <w:r w:rsidR="00430ED6">
        <w:t>performance or</w:t>
      </w:r>
      <w:r w:rsidR="00E330F5">
        <w:t xml:space="preserve"> maintenance practice performance</w:t>
      </w:r>
      <w:r>
        <w:t>,</w:t>
      </w:r>
      <w:r w:rsidR="00E330F5">
        <w:t xml:space="preserve"> </w:t>
      </w:r>
      <w:r>
        <w:t>w</w:t>
      </w:r>
      <w:r w:rsidR="00E330F5">
        <w:t xml:space="preserve">hile </w:t>
      </w:r>
      <w:r w:rsidR="008D11EA">
        <w:t xml:space="preserve">operability </w:t>
      </w:r>
      <w:r>
        <w:t>i</w:t>
      </w:r>
      <w:r w:rsidR="008D11EA">
        <w:t xml:space="preserve">s a process measurement </w:t>
      </w:r>
      <w:r>
        <w:t xml:space="preserve">based on which </w:t>
      </w:r>
      <w:r w:rsidR="008D11EA">
        <w:t xml:space="preserve">one relies on the system’s </w:t>
      </w:r>
      <w:r>
        <w:t>health</w:t>
      </w:r>
      <w:r w:rsidR="00DD5C09">
        <w:t xml:space="preserve"> without failure</w:t>
      </w:r>
      <w:r w:rsidR="00E330F5">
        <w:t>.</w:t>
      </w:r>
      <w:r w:rsidR="00A04BA5">
        <w:t xml:space="preserve"> The metric operability was first introduced to determine the effectiveness of a power system at the corresponding loads by Cramer </w:t>
      </w:r>
      <w:r w:rsidR="00A04BA5">
        <w:fldChar w:fldCharType="begin" w:fldLock="1"/>
      </w:r>
      <w:r w:rsidR="00416869">
        <w:instrText>ADDIN CSL_CITATION {"citationItems":[{"id":"ITEM-1","itemData":{"DOI":"10.1109/TAES.2011.5705696","ISSN":"00189251","abstract":"In military applications, it is important for a platform (warship, aircraft, etc.) or an installation (airbase, etc.) to maintain war-fighting ability after being damaged. In particular if the unit requires electric power, cooling, or other resources to perform its mission, then these resources must be available following a weapon detonation event. The integrated engineering plant (IEP) is responsible for providing these services to the mission-critical loads in a unit. Novel continuity-of-service metrics for IEPs are set forth herein. These metrics provide a means of predicting the average and worst-case level of service the plant can provide as well as the worst-case scenario over a class of disruptions. This provides a method of making meaningful comparisons between different designs. The computation and meaning of the proposed metrics are explored using a notional warship IEP. © 2011 IEEE.","author":[{"dropping-particle":"","family":"Cramer","given":"Aaron M.","non-dropping-particle":"","parse-names":false,"suffix":""},{"dropping-particle":"","family":"Sudhoff","given":"Scott D.","non-dropping-particle":"","parse-names":false,"suffix":""},{"dropping-particle":"","family":"Zivi","given":"Edwin L.","non-dropping-particle":"","parse-names":false,"suffix":""}],"container-title":"IEEE Transactions on Aerospace and Electronic Systems","id":"ITEM-1","issue":"1","issued":{"date-parts":[["2011"]]},"page":"634-646","title":"Performance metrics for electric warship integrated engineering plant battle damage response","type":"article-journal","volume":"47"},"uris":["http://www.mendeley.com/documents/?uuid=4727e0ec-1603-4274-8299-7585cc4a2461"]},{"id":"ITEM-2","itemData":{"DOI":"10.1109/TSMCA.2010.2093887","ISBN":"0001408100","ISSN":"10834427","abstract":"In many applications, engineering systems are required to operate acceptably well in hostile environments. In the past, survivability engineering has addressed this requirement using heuristic rule-based design approaches followed by analysis to determine if survivability constraints have been satisfied. The treatment of survivability as a constraint rather than an independent design objective hinders the ability of system engineers to trade off survivability with other design objectives, such as cost and performance. Herein, the survivability problem is posed in terms of maximizing expected performance and minimizing the risk of unacceptable performance. Design metrics that allow optimal selection of systems on the basis of these survivability dimensions are presented. The metrics are part of a systematic approach to system engineering in which survivability concerns are quantified and individual systems and entire classes of systems can be compared objectively. These metrics are a necessary step toward an integrated design process wherein tradeoffs between all design objectives can be identified. This methodology is demonstrated on the design of a notional electric warship integrated engineering plant (IEP) that is subject to hostile disruptions posed by antiship missiles. By use of this method, the performance of the IEP is shown to be improved. © 2011 IEEE.","author":[{"dropping-particle":"","family":"Cramer","given":"Aaron M.","non-dropping-particle":"","parse-names":false,"suffix":""},{"dropping-particle":"","family":"Sudhoff","given":"Scott D.","non-dropping-particle":"","parse-names":false,"suffix":""},{"dropping-particle":"","family":"Zivi","given":"Edwin L.","non-dropping-particle":"","parse-names":false,"suffix":""}],"container-title":"IEEE Transactions on Systems, Man, and Cybernetics Part A:Systems and Humans","id":"ITEM-2","issue":"5","issued":{"date-parts":[["2011"]]},"page":"989-1000","title":"Metric optimization-based design of systems subject to hostile disruptions","type":"article-journal","volume":"41"},"uris":["http://www.mendeley.com/documents/?uuid=d5e739bc-6754-4850-9ef4-653ee1ea242a"]}],"mendeley":{"formattedCitation":"[21], [22]","plainTextFormattedCitation":"[21], [22]","previouslyFormattedCitation":"[21], [22]"},"properties":{"noteIndex":0},"schema":"https://github.com/citation-style-language/schema/raw/master/csl-citation.json"}</w:instrText>
      </w:r>
      <w:r w:rsidR="00A04BA5">
        <w:fldChar w:fldCharType="separate"/>
      </w:r>
      <w:r w:rsidR="00246F3C" w:rsidRPr="00246F3C">
        <w:rPr>
          <w:noProof/>
        </w:rPr>
        <w:t>[21], [22]</w:t>
      </w:r>
      <w:r w:rsidR="00A04BA5">
        <w:fldChar w:fldCharType="end"/>
      </w:r>
      <w:r w:rsidR="00A04BA5">
        <w:t>:</w:t>
      </w:r>
    </w:p>
    <w:tbl>
      <w:tblPr>
        <w:tblpPr w:leftFromText="180" w:rightFromText="180" w:vertAnchor="text" w:horzAnchor="margin" w:tblpY="167"/>
        <w:tblW w:w="0" w:type="auto"/>
        <w:tblLook w:val="04A0" w:firstRow="1" w:lastRow="0" w:firstColumn="1" w:lastColumn="0" w:noHBand="0" w:noVBand="1"/>
      </w:tblPr>
      <w:tblGrid>
        <w:gridCol w:w="8250"/>
        <w:gridCol w:w="767"/>
      </w:tblGrid>
      <w:tr w:rsidR="00700118" w14:paraId="3819E31C" w14:textId="77777777" w:rsidTr="007023FC">
        <w:tc>
          <w:tcPr>
            <w:tcW w:w="8250" w:type="dxa"/>
            <w:vAlign w:val="center"/>
          </w:tcPr>
          <w:p w14:paraId="4C6A8F70" w14:textId="429D0418" w:rsidR="00700118" w:rsidRPr="006252AE" w:rsidRDefault="00700118" w:rsidP="00AB166A">
            <w:pPr>
              <w:jc w:val="center"/>
              <w:rPr>
                <w:lang w:val="en-GB"/>
              </w:rPr>
            </w:pPr>
            <m:oMath>
              <m:r>
                <w:rPr>
                  <w:rFonts w:ascii="Cambria Math" w:hAnsi="Cambria Math"/>
                  <w:lang w:val="en-GB"/>
                </w:rPr>
                <w:lastRenderedPageBreak/>
                <m:t>O</m:t>
              </m:r>
              <m:r>
                <m:rPr>
                  <m:sty m:val="p"/>
                </m:rPr>
                <w:rPr>
                  <w:rFonts w:ascii="Cambria Math" w:hAnsi="Cambria Math"/>
                  <w:lang w:val="en-GB"/>
                </w:rPr>
                <m:t>=</m:t>
              </m:r>
              <m:f>
                <m:fPr>
                  <m:ctrlPr>
                    <w:rPr>
                      <w:rFonts w:ascii="Cambria Math" w:hAnsi="Cambria Math"/>
                      <w:lang w:val="en-GB"/>
                    </w:rPr>
                  </m:ctrlPr>
                </m:fPr>
                <m:num>
                  <m:nary>
                    <m:naryPr>
                      <m:limLoc m:val="undOvr"/>
                      <m:ctrlPr>
                        <w:rPr>
                          <w:rFonts w:ascii="Cambria Math" w:hAnsi="Cambria Math"/>
                          <w:i/>
                          <w:lang w:val="en-GB"/>
                        </w:rPr>
                      </m:ctrlPr>
                    </m:naryPr>
                    <m:sub>
                      <m:sSub>
                        <m:sSubPr>
                          <m:ctrlPr>
                            <w:rPr>
                              <w:rFonts w:ascii="Cambria Math" w:hAnsi="Cambria Math"/>
                              <w:i/>
                              <w:lang w:val="en-GB"/>
                            </w:rPr>
                          </m:ctrlPr>
                        </m:sSubPr>
                        <m:e>
                          <m:r>
                            <w:rPr>
                              <w:rFonts w:ascii="Cambria Math" w:hAnsi="Cambria Math"/>
                              <w:lang w:val="en-GB"/>
                            </w:rPr>
                            <m:t>k=k</m:t>
                          </m:r>
                        </m:e>
                        <m:sub>
                          <m:r>
                            <w:rPr>
                              <w:rFonts w:ascii="Cambria Math" w:hAnsi="Cambria Math"/>
                              <w:lang w:val="en-GB"/>
                            </w:rPr>
                            <m:t>1</m:t>
                          </m:r>
                        </m:sub>
                      </m:sSub>
                    </m:sub>
                    <m:sup>
                      <m:sSub>
                        <m:sSubPr>
                          <m:ctrlPr>
                            <w:rPr>
                              <w:rFonts w:ascii="Cambria Math" w:hAnsi="Cambria Math"/>
                              <w:i/>
                              <w:lang w:val="en-GB"/>
                            </w:rPr>
                          </m:ctrlPr>
                        </m:sSubPr>
                        <m:e>
                          <m:r>
                            <w:rPr>
                              <w:rFonts w:ascii="Cambria Math" w:hAnsi="Cambria Math"/>
                              <w:lang w:val="en-GB"/>
                            </w:rPr>
                            <m:t>k</m:t>
                          </m:r>
                        </m:e>
                        <m:sub>
                          <m:r>
                            <w:rPr>
                              <w:rFonts w:ascii="Cambria Math" w:hAnsi="Cambria Math"/>
                              <w:lang w:val="en-GB"/>
                            </w:rPr>
                            <m:t>end</m:t>
                          </m:r>
                        </m:sub>
                      </m:sSub>
                    </m:sup>
                    <m:e>
                      <m:nary>
                        <m:naryPr>
                          <m:chr m:val="∑"/>
                          <m:limLoc m:val="undOvr"/>
                          <m:ctrlPr>
                            <w:rPr>
                              <w:rFonts w:ascii="Cambria Math" w:hAnsi="Cambria Math"/>
                              <w:i/>
                              <w:lang w:val="en-GB"/>
                            </w:rPr>
                          </m:ctrlPr>
                        </m:naryPr>
                        <m:sub>
                          <m:r>
                            <w:rPr>
                              <w:rFonts w:ascii="Cambria Math" w:hAnsi="Cambria Math"/>
                              <w:lang w:val="en-GB"/>
                            </w:rPr>
                            <m:t>i=1</m:t>
                          </m:r>
                        </m:sub>
                        <m:sup>
                          <m:r>
                            <w:rPr>
                              <w:rFonts w:ascii="Cambria Math" w:hAnsi="Cambria Math"/>
                              <w:lang w:val="en-GB"/>
                            </w:rPr>
                            <m:t>I</m:t>
                          </m:r>
                        </m:sup>
                        <m:e>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i</m:t>
                              </m:r>
                            </m:sub>
                          </m:sSub>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i</m:t>
                              </m:r>
                            </m:sub>
                          </m:sSub>
                          <m:d>
                            <m:dPr>
                              <m:ctrlPr>
                                <w:rPr>
                                  <w:rFonts w:ascii="Cambria Math" w:hAnsi="Cambria Math"/>
                                  <w:i/>
                                  <w:lang w:val="en-GB"/>
                                </w:rPr>
                              </m:ctrlPr>
                            </m:dPr>
                            <m:e>
                              <m:r>
                                <w:rPr>
                                  <w:rFonts w:ascii="Cambria Math" w:hAnsi="Cambria Math"/>
                                  <w:lang w:val="en-GB"/>
                                </w:rPr>
                                <m:t>t</m:t>
                              </m:r>
                            </m:e>
                          </m:d>
                          <m:r>
                            <w:rPr>
                              <w:rFonts w:ascii="Cambria Math" w:hAnsi="Cambria Math"/>
                              <w:lang w:val="en-GB"/>
                            </w:rPr>
                            <m:t>dt</m:t>
                          </m:r>
                        </m:e>
                      </m:nary>
                    </m:e>
                  </m:nary>
                </m:num>
                <m:den>
                  <m:nary>
                    <m:naryPr>
                      <m:limLoc m:val="undOvr"/>
                      <m:ctrlPr>
                        <w:rPr>
                          <w:rFonts w:ascii="Cambria Math" w:hAnsi="Cambria Math"/>
                          <w:i/>
                          <w:lang w:val="en-GB"/>
                        </w:rPr>
                      </m:ctrlPr>
                    </m:naryPr>
                    <m:sub>
                      <m:sSub>
                        <m:sSubPr>
                          <m:ctrlPr>
                            <w:rPr>
                              <w:rFonts w:ascii="Cambria Math" w:hAnsi="Cambria Math"/>
                              <w:i/>
                              <w:lang w:val="en-GB"/>
                            </w:rPr>
                          </m:ctrlPr>
                        </m:sSubPr>
                        <m:e>
                          <m:r>
                            <w:rPr>
                              <w:rFonts w:ascii="Cambria Math" w:hAnsi="Cambria Math"/>
                              <w:lang w:val="en-GB"/>
                            </w:rPr>
                            <m:t>k=k</m:t>
                          </m:r>
                        </m:e>
                        <m:sub>
                          <m:r>
                            <w:rPr>
                              <w:rFonts w:ascii="Cambria Math" w:hAnsi="Cambria Math"/>
                              <w:lang w:val="en-GB"/>
                            </w:rPr>
                            <m:t>1</m:t>
                          </m:r>
                        </m:sub>
                      </m:sSub>
                    </m:sub>
                    <m:sup>
                      <m:sSub>
                        <m:sSubPr>
                          <m:ctrlPr>
                            <w:rPr>
                              <w:rFonts w:ascii="Cambria Math" w:hAnsi="Cambria Math"/>
                              <w:i/>
                              <w:lang w:val="en-GB"/>
                            </w:rPr>
                          </m:ctrlPr>
                        </m:sSubPr>
                        <m:e>
                          <m:r>
                            <w:rPr>
                              <w:rFonts w:ascii="Cambria Math" w:hAnsi="Cambria Math"/>
                              <w:lang w:val="en-GB"/>
                            </w:rPr>
                            <m:t>k</m:t>
                          </m:r>
                        </m:e>
                        <m:sub>
                          <m:r>
                            <w:rPr>
                              <w:rFonts w:ascii="Cambria Math" w:hAnsi="Cambria Math"/>
                              <w:lang w:val="en-GB"/>
                            </w:rPr>
                            <m:t>end</m:t>
                          </m:r>
                        </m:sub>
                      </m:sSub>
                    </m:sup>
                    <m:e>
                      <m:nary>
                        <m:naryPr>
                          <m:chr m:val="∑"/>
                          <m:limLoc m:val="undOvr"/>
                          <m:ctrlPr>
                            <w:rPr>
                              <w:rFonts w:ascii="Cambria Math" w:hAnsi="Cambria Math"/>
                              <w:i/>
                              <w:lang w:val="en-GB"/>
                            </w:rPr>
                          </m:ctrlPr>
                        </m:naryPr>
                        <m:sub>
                          <m:r>
                            <w:rPr>
                              <w:rFonts w:ascii="Cambria Math" w:hAnsi="Cambria Math"/>
                              <w:lang w:val="en-GB"/>
                            </w:rPr>
                            <m:t>i=1</m:t>
                          </m:r>
                        </m:sub>
                        <m:sup>
                          <m:r>
                            <w:rPr>
                              <w:rFonts w:ascii="Cambria Math" w:hAnsi="Cambria Math"/>
                              <w:lang w:val="en-GB"/>
                            </w:rPr>
                            <m:t>I</m:t>
                          </m:r>
                        </m:sup>
                        <m:e>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i</m:t>
                              </m:r>
                            </m:sub>
                          </m:sSub>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max,i</m:t>
                              </m:r>
                            </m:sub>
                          </m:sSub>
                          <m:d>
                            <m:dPr>
                              <m:ctrlPr>
                                <w:rPr>
                                  <w:rFonts w:ascii="Cambria Math" w:hAnsi="Cambria Math"/>
                                  <w:i/>
                                  <w:lang w:val="en-GB"/>
                                </w:rPr>
                              </m:ctrlPr>
                            </m:dPr>
                            <m:e>
                              <m:r>
                                <w:rPr>
                                  <w:rFonts w:ascii="Cambria Math" w:hAnsi="Cambria Math"/>
                                  <w:lang w:val="en-GB"/>
                                </w:rPr>
                                <m:t>t</m:t>
                              </m:r>
                            </m:e>
                          </m:d>
                          <m:r>
                            <w:rPr>
                              <w:rFonts w:ascii="Cambria Math" w:hAnsi="Cambria Math"/>
                              <w:lang w:val="en-GB"/>
                            </w:rPr>
                            <m:t>dt</m:t>
                          </m:r>
                        </m:e>
                      </m:nary>
                    </m:e>
                  </m:nary>
                </m:den>
              </m:f>
            </m:oMath>
            <w:r w:rsidR="00AB166A">
              <w:rPr>
                <w:rFonts w:eastAsiaTheme="minorEastAsia"/>
                <w:lang w:val="en-GB"/>
              </w:rPr>
              <w:t xml:space="preserve"> ,</w:t>
            </w:r>
          </w:p>
        </w:tc>
        <w:tc>
          <w:tcPr>
            <w:tcW w:w="767" w:type="dxa"/>
            <w:vAlign w:val="center"/>
          </w:tcPr>
          <w:p w14:paraId="2F0D9BAC" w14:textId="10FFF699" w:rsidR="00700118" w:rsidRDefault="009B555C" w:rsidP="007023FC">
            <w:pPr>
              <w:spacing w:before="0" w:after="0"/>
              <w:jc w:val="right"/>
            </w:pPr>
            <w:r>
              <w:t>(</w:t>
            </w:r>
            <w:r w:rsidR="00427B33">
              <w:fldChar w:fldCharType="begin"/>
            </w:r>
            <w:r w:rsidR="00427B33">
              <w:instrText xml:space="preserve"> STYLEREF 1 \s </w:instrText>
            </w:r>
            <w:r w:rsidR="00427B33">
              <w:fldChar w:fldCharType="separate"/>
            </w:r>
            <w:r w:rsidR="00587AF0">
              <w:rPr>
                <w:noProof/>
              </w:rPr>
              <w:t>1</w:t>
            </w:r>
            <w:r w:rsidR="00427B33">
              <w:rPr>
                <w:noProof/>
              </w:rPr>
              <w:fldChar w:fldCharType="end"/>
            </w:r>
            <w:r w:rsidR="002C693A">
              <w:t>.</w:t>
            </w:r>
            <w:r w:rsidR="00427B33">
              <w:fldChar w:fldCharType="begin"/>
            </w:r>
            <w:r w:rsidR="00427B33">
              <w:instrText xml:space="preserve"> SEQ Equation \* ARABIC \s 1 </w:instrText>
            </w:r>
            <w:r w:rsidR="00427B33">
              <w:fldChar w:fldCharType="separate"/>
            </w:r>
            <w:r w:rsidR="00587AF0">
              <w:rPr>
                <w:noProof/>
              </w:rPr>
              <w:t>3</w:t>
            </w:r>
            <w:r w:rsidR="00427B33">
              <w:rPr>
                <w:noProof/>
              </w:rPr>
              <w:fldChar w:fldCharType="end"/>
            </w:r>
            <w:r>
              <w:t>)</w:t>
            </w:r>
          </w:p>
        </w:tc>
      </w:tr>
    </w:tbl>
    <w:p w14:paraId="2ED29C15" w14:textId="21A6DBE9" w:rsidR="00700118" w:rsidRDefault="00AB166A" w:rsidP="0080333E">
      <w:r>
        <w:t>w</w:t>
      </w:r>
      <w:r w:rsidR="005C50A5">
        <w:t xml:space="preserve">here </w:t>
      </w:r>
      <w:r w:rsidR="005C50A5">
        <w:rPr>
          <w:i/>
          <w:iCs/>
        </w:rPr>
        <w:t>k</w:t>
      </w:r>
      <w:r w:rsidR="005C50A5">
        <w:t xml:space="preserve"> represents the </w:t>
      </w:r>
      <w:r>
        <w:t>discrete-time period</w:t>
      </w:r>
      <w:r w:rsidR="005C50A5">
        <w:t xml:space="preserve"> in the integer form (from </w:t>
      </w:r>
      <w:r w:rsidR="005C50A5">
        <w:rPr>
          <w:i/>
          <w:iCs/>
        </w:rPr>
        <w:t>k</w:t>
      </w:r>
      <w:r w:rsidR="005C50A5">
        <w:rPr>
          <w:i/>
          <w:iCs/>
          <w:vertAlign w:val="subscript"/>
        </w:rPr>
        <w:t>0</w:t>
      </w:r>
      <w:r w:rsidR="005C50A5">
        <w:t xml:space="preserve"> to </w:t>
      </w:r>
      <w:r w:rsidR="005C50A5">
        <w:rPr>
          <w:i/>
          <w:iCs/>
        </w:rPr>
        <w:t>k</w:t>
      </w:r>
      <w:r w:rsidR="005C50A5">
        <w:rPr>
          <w:i/>
          <w:iCs/>
          <w:vertAlign w:val="subscript"/>
        </w:rPr>
        <w:t>end</w:t>
      </w:r>
      <w:r w:rsidR="005C50A5">
        <w:t>)</w:t>
      </w:r>
      <w:r>
        <w:t>, f</w:t>
      </w:r>
      <w:r w:rsidR="000C1D8A">
        <w:t>urthermore, there are other metrics available that can be derive</w:t>
      </w:r>
      <w:r w:rsidR="001C08A5">
        <w:t>d</w:t>
      </w:r>
      <w:r w:rsidR="000C1D8A">
        <w:t xml:space="preserve"> from operability, such as </w:t>
      </w:r>
      <w:r w:rsidR="000C1D8A" w:rsidRPr="0020196B">
        <w:rPr>
          <w:i/>
          <w:iCs/>
        </w:rPr>
        <w:t>dependability</w:t>
      </w:r>
      <w:r w:rsidR="0020196B" w:rsidRPr="0020196B">
        <w:rPr>
          <w:i/>
          <w:iCs/>
        </w:rPr>
        <w:t>:</w:t>
      </w:r>
    </w:p>
    <w:tbl>
      <w:tblPr>
        <w:tblpPr w:leftFromText="180" w:rightFromText="180" w:vertAnchor="text" w:horzAnchor="margin" w:tblpY="167"/>
        <w:tblW w:w="0" w:type="auto"/>
        <w:tblLook w:val="04A0" w:firstRow="1" w:lastRow="0" w:firstColumn="1" w:lastColumn="0" w:noHBand="0" w:noVBand="1"/>
      </w:tblPr>
      <w:tblGrid>
        <w:gridCol w:w="8250"/>
        <w:gridCol w:w="767"/>
      </w:tblGrid>
      <w:tr w:rsidR="000C1D8A" w14:paraId="110A084C" w14:textId="77777777" w:rsidTr="007023FC">
        <w:tc>
          <w:tcPr>
            <w:tcW w:w="8250" w:type="dxa"/>
            <w:vAlign w:val="center"/>
          </w:tcPr>
          <w:p w14:paraId="69DCE1E5" w14:textId="5F0BA247" w:rsidR="000C1D8A" w:rsidRPr="006252AE" w:rsidRDefault="00427B33" w:rsidP="007023FC">
            <w:pPr>
              <w:rPr>
                <w:lang w:val="en-GB"/>
              </w:rPr>
            </w:pPr>
            <m:oMathPara>
              <m:oMath>
                <m:sSub>
                  <m:sSubPr>
                    <m:ctrlPr>
                      <w:rPr>
                        <w:rFonts w:ascii="Cambria Math" w:hAnsi="Cambria Math"/>
                        <w:i/>
                        <w:lang w:val="en-GB"/>
                      </w:rPr>
                    </m:ctrlPr>
                  </m:sSubPr>
                  <m:e>
                    <m:acc>
                      <m:accPr>
                        <m:chr m:val="̅"/>
                        <m:ctrlPr>
                          <w:rPr>
                            <w:rFonts w:ascii="Cambria Math" w:hAnsi="Cambria Math"/>
                            <w:i/>
                            <w:lang w:val="en-GB"/>
                          </w:rPr>
                        </m:ctrlPr>
                      </m:accPr>
                      <m:e>
                        <m:r>
                          <w:rPr>
                            <w:rFonts w:ascii="Cambria Math" w:hAnsi="Cambria Math"/>
                            <w:lang w:val="en-GB"/>
                          </w:rPr>
                          <m:t>D</m:t>
                        </m:r>
                      </m:e>
                    </m:acc>
                  </m:e>
                  <m:sub>
                    <m:r>
                      <w:rPr>
                        <w:rFonts w:ascii="Cambria Math" w:hAnsi="Cambria Math"/>
                        <w:lang w:val="en-GB"/>
                      </w:rPr>
                      <m:t>s</m:t>
                    </m:r>
                  </m:sub>
                </m:sSub>
                <m:r>
                  <m:rPr>
                    <m:sty m:val="p"/>
                  </m:rPr>
                  <w:rPr>
                    <w:rFonts w:ascii="Cambria Math" w:hAnsi="Cambria Math"/>
                    <w:lang w:val="en-GB"/>
                  </w:rPr>
                  <m:t>=</m:t>
                </m:r>
                <m:r>
                  <w:rPr>
                    <w:rFonts w:ascii="Cambria Math" w:hAnsi="Cambria Math"/>
                    <w:lang w:val="en-GB"/>
                  </w:rPr>
                  <m:t>E</m:t>
                </m:r>
                <m:r>
                  <m:rPr>
                    <m:sty m:val="p"/>
                  </m:rPr>
                  <w:rPr>
                    <w:rFonts w:ascii="Cambria Math" w:hAnsi="Cambria Math"/>
                    <w:lang w:val="en-GB"/>
                  </w:rPr>
                  <m:t>[</m:t>
                </m:r>
                <m:r>
                  <w:rPr>
                    <w:rFonts w:ascii="Cambria Math" w:hAnsi="Cambria Math"/>
                    <w:lang w:val="en-GB"/>
                  </w:rPr>
                  <m:t>O</m:t>
                </m:r>
                <m:r>
                  <m:rPr>
                    <m:sty m:val="p"/>
                  </m:rPr>
                  <w:rPr>
                    <w:rFonts w:ascii="Cambria Math" w:hAnsi="Cambria Math"/>
                    <w:lang w:val="en-GB"/>
                  </w:rPr>
                  <m:t>]</m:t>
                </m:r>
              </m:oMath>
            </m:oMathPara>
          </w:p>
        </w:tc>
        <w:tc>
          <w:tcPr>
            <w:tcW w:w="767" w:type="dxa"/>
            <w:vAlign w:val="center"/>
          </w:tcPr>
          <w:p w14:paraId="59D30F97" w14:textId="6B49BAFC" w:rsidR="000C1D8A" w:rsidRDefault="009B555C" w:rsidP="007023FC">
            <w:pPr>
              <w:spacing w:before="0" w:after="0"/>
              <w:jc w:val="right"/>
            </w:pPr>
            <w:r>
              <w:t>(</w:t>
            </w:r>
            <w:r w:rsidR="00427B33">
              <w:fldChar w:fldCharType="begin"/>
            </w:r>
            <w:r w:rsidR="00427B33">
              <w:instrText xml:space="preserve"> STYLEREF 1 \s </w:instrText>
            </w:r>
            <w:r w:rsidR="00427B33">
              <w:fldChar w:fldCharType="separate"/>
            </w:r>
            <w:r w:rsidR="00587AF0">
              <w:rPr>
                <w:noProof/>
              </w:rPr>
              <w:t>1</w:t>
            </w:r>
            <w:r w:rsidR="00427B33">
              <w:rPr>
                <w:noProof/>
              </w:rPr>
              <w:fldChar w:fldCharType="end"/>
            </w:r>
            <w:r w:rsidR="002C693A">
              <w:t>.</w:t>
            </w:r>
            <w:r w:rsidR="00427B33">
              <w:fldChar w:fldCharType="begin"/>
            </w:r>
            <w:r w:rsidR="00427B33">
              <w:instrText xml:space="preserve"> SEQ Equation \* ARABIC \s 1 </w:instrText>
            </w:r>
            <w:r w:rsidR="00427B33">
              <w:fldChar w:fldCharType="separate"/>
            </w:r>
            <w:r w:rsidR="00587AF0">
              <w:rPr>
                <w:noProof/>
              </w:rPr>
              <w:t>4</w:t>
            </w:r>
            <w:r w:rsidR="00427B33">
              <w:rPr>
                <w:noProof/>
              </w:rPr>
              <w:fldChar w:fldCharType="end"/>
            </w:r>
            <w:r>
              <w:t>)</w:t>
            </w:r>
          </w:p>
        </w:tc>
      </w:tr>
    </w:tbl>
    <w:p w14:paraId="3BEA2E8C" w14:textId="08AA91E4" w:rsidR="000C1D8A" w:rsidRDefault="000C1D8A" w:rsidP="0080333E">
      <w:r>
        <w:t xml:space="preserve">which represents a mathematical expectation of operability, and as such minimum system dependability can be used as a metric of </w:t>
      </w:r>
      <w:r w:rsidR="00DE0284">
        <w:t xml:space="preserve">the </w:t>
      </w:r>
      <w:r>
        <w:t>worst-case scenario:</w:t>
      </w:r>
    </w:p>
    <w:tbl>
      <w:tblPr>
        <w:tblpPr w:leftFromText="180" w:rightFromText="180" w:vertAnchor="text" w:horzAnchor="margin" w:tblpY="167"/>
        <w:tblW w:w="0" w:type="auto"/>
        <w:tblLook w:val="04A0" w:firstRow="1" w:lastRow="0" w:firstColumn="1" w:lastColumn="0" w:noHBand="0" w:noVBand="1"/>
      </w:tblPr>
      <w:tblGrid>
        <w:gridCol w:w="8250"/>
        <w:gridCol w:w="767"/>
      </w:tblGrid>
      <w:tr w:rsidR="000C1D8A" w14:paraId="7F81EC5C" w14:textId="77777777" w:rsidTr="007023FC">
        <w:tc>
          <w:tcPr>
            <w:tcW w:w="8250" w:type="dxa"/>
            <w:vAlign w:val="center"/>
          </w:tcPr>
          <w:p w14:paraId="271D5EFB" w14:textId="26504912" w:rsidR="000C1D8A" w:rsidRPr="006252AE" w:rsidRDefault="00427B33" w:rsidP="000C1D8A">
            <w:pPr>
              <w:jc w:val="center"/>
              <w:rPr>
                <w:lang w:val="en-GB"/>
              </w:rPr>
            </w:pPr>
            <m:oMath>
              <m:sSub>
                <m:sSubPr>
                  <m:ctrlPr>
                    <w:rPr>
                      <w:rFonts w:ascii="Cambria Math" w:hAnsi="Cambria Math"/>
                      <w:i/>
                      <w:lang w:val="en-GB"/>
                    </w:rPr>
                  </m:ctrlPr>
                </m:sSubPr>
                <m:e>
                  <m:acc>
                    <m:accPr>
                      <m:chr m:val="̅"/>
                      <m:ctrlPr>
                        <w:rPr>
                          <w:rFonts w:ascii="Cambria Math" w:hAnsi="Cambria Math"/>
                          <w:i/>
                          <w:lang w:val="en-GB"/>
                        </w:rPr>
                      </m:ctrlPr>
                    </m:accPr>
                    <m:e>
                      <m:r>
                        <w:rPr>
                          <w:rFonts w:ascii="Cambria Math" w:hAnsi="Cambria Math"/>
                          <w:lang w:val="en-GB"/>
                        </w:rPr>
                        <m:t>D</m:t>
                      </m:r>
                    </m:e>
                  </m:acc>
                </m:e>
                <m:sub>
                  <m:r>
                    <w:rPr>
                      <w:rFonts w:ascii="Cambria Math" w:hAnsi="Cambria Math"/>
                      <w:lang w:val="en-GB"/>
                    </w:rPr>
                    <m:t>s,min</m:t>
                  </m:r>
                </m:sub>
              </m:sSub>
              <m:r>
                <m:rPr>
                  <m:sty m:val="p"/>
                </m:rPr>
                <w:rPr>
                  <w:rFonts w:ascii="Cambria Math" w:hAnsi="Cambria Math"/>
                  <w:lang w:val="en-GB"/>
                </w:rPr>
                <m:t>=min[</m:t>
              </m:r>
              <m:r>
                <w:rPr>
                  <w:rFonts w:ascii="Cambria Math" w:hAnsi="Cambria Math"/>
                  <w:lang w:val="en-GB"/>
                </w:rPr>
                <m:t>O</m:t>
              </m:r>
              <m:r>
                <m:rPr>
                  <m:sty m:val="p"/>
                </m:rPr>
                <w:rPr>
                  <w:rFonts w:ascii="Cambria Math" w:hAnsi="Cambria Math"/>
                  <w:lang w:val="en-GB"/>
                </w:rPr>
                <m:t>]</m:t>
              </m:r>
            </m:oMath>
            <w:r w:rsidR="000C1D8A">
              <w:rPr>
                <w:rFonts w:eastAsiaTheme="minorEastAsia"/>
                <w:lang w:val="en-GB"/>
              </w:rPr>
              <w:t>.</w:t>
            </w:r>
          </w:p>
        </w:tc>
        <w:tc>
          <w:tcPr>
            <w:tcW w:w="767" w:type="dxa"/>
            <w:vAlign w:val="center"/>
          </w:tcPr>
          <w:p w14:paraId="2CD1965B" w14:textId="575478B8" w:rsidR="000C1D8A" w:rsidRDefault="009B555C" w:rsidP="007023FC">
            <w:pPr>
              <w:spacing w:before="0" w:after="0"/>
              <w:jc w:val="right"/>
            </w:pPr>
            <w:r>
              <w:t>(</w:t>
            </w:r>
            <w:r w:rsidR="00427B33">
              <w:fldChar w:fldCharType="begin"/>
            </w:r>
            <w:r w:rsidR="00427B33">
              <w:instrText xml:space="preserve"> STYLEREF 1 \s </w:instrText>
            </w:r>
            <w:r w:rsidR="00427B33">
              <w:fldChar w:fldCharType="separate"/>
            </w:r>
            <w:r w:rsidR="00587AF0">
              <w:rPr>
                <w:noProof/>
              </w:rPr>
              <w:t>1</w:t>
            </w:r>
            <w:r w:rsidR="00427B33">
              <w:rPr>
                <w:noProof/>
              </w:rPr>
              <w:fldChar w:fldCharType="end"/>
            </w:r>
            <w:r w:rsidR="002C693A">
              <w:t>.</w:t>
            </w:r>
            <w:r w:rsidR="00427B33">
              <w:fldChar w:fldCharType="begin"/>
            </w:r>
            <w:r w:rsidR="00427B33">
              <w:instrText xml:space="preserve"> SEQ Equation \* ARABIC \s 1 </w:instrText>
            </w:r>
            <w:r w:rsidR="00427B33">
              <w:fldChar w:fldCharType="separate"/>
            </w:r>
            <w:r w:rsidR="00587AF0">
              <w:rPr>
                <w:noProof/>
              </w:rPr>
              <w:t>5</w:t>
            </w:r>
            <w:r w:rsidR="00427B33">
              <w:rPr>
                <w:noProof/>
              </w:rPr>
              <w:fldChar w:fldCharType="end"/>
            </w:r>
            <w:r>
              <w:t>)</w:t>
            </w:r>
          </w:p>
        </w:tc>
      </w:tr>
    </w:tbl>
    <w:p w14:paraId="325123F0" w14:textId="3F5241C7" w:rsidR="00BB176D" w:rsidRDefault="00AB166A" w:rsidP="00AB166A">
      <w:r>
        <w:t>Although operability intuitively describes the performance of process health, it does not impose the functionality thresholds from which MDM can be done, both for diagnostic and prognostic purposes. However, some propose different thresholds in the sustainable maintenance domain using energy indicators.</w:t>
      </w:r>
      <w:r w:rsidR="00244AA8">
        <w:t xml:space="preserve"> For instance,</w:t>
      </w:r>
      <w:r w:rsidR="00A02252">
        <w:t xml:space="preserve"> Hoang et al. </w:t>
      </w:r>
      <w:r w:rsidR="00492A82">
        <w:fldChar w:fldCharType="begin" w:fldLock="1"/>
      </w:r>
      <w:r w:rsidR="00416869">
        <w:instrText>ADDIN CSL_CITATION {"citationItems":[{"id":"ITEM-1","itemData":{"DOI":"10.1109/PHM.2015.7380096","ISBN":"978-1-4673-8554-1","abstract":"Industrial plants are facing today with new challenges to well optimize performance of their operation and maintenance. For example, the sustainability paradigm is introducing new requirements to be taken into account in the decision-making process. In that way, energy consumption (EC) and energy efficiency (EE) are two critical performances impacting severely the plant effectiveness mainly with regards to its life cycle cost. Although there are models for following these two performances at the component level, there is a real need for modelling them at the function or system levels not only to support strategic decisions (and not only operational one) but also to forecast them to make decisions in advance for better optimization. Thus, the principles of a generic approach, which is focused on EE performance (EEP) and built on the modelling of this EEP at functional level, and its prognostics to calculate a Remaining Energy-Efficient Lifetime (REEL), are proposed in this paper. The REEL should integrate future mission profiles and operation conditions. The prognostics model is developed from a data-driven approach by using a nonlinear regression method. This generic approach is instantiated and validated on the TELMA platform (a motor-driven system) which is simulating a real industrial plant addressing unwinding metal bobbins. So, models are built from field data of two independent motors (the component level and electrical energy) in addition to data on the function supported by means of these two motors. It leads to prognostics models usable to predict the EE evolution - REEL (the input of the decision-making module) both at the component level from the relationships between speed performance (motor output), bearing deterioration (Gamma process) and EE, and at the functional level from the relationships between productivity performance (functional output on the product delivered), components deterioration level and EE.","author":[{"dropping-particle":"","family":"Hoang","given":"Anh","non-dropping-particle":"","parse-names":false,"suffix":""},{"dropping-particle":"","family":"Do","given":"Phuc","non-dropping-particle":"","parse-names":false,"suffix":""},{"dropping-particle":"","family":"Iung","given":"Benoit","non-dropping-particle":"","parse-names":false,"suffix":""}],"container-title":"2015 Prognostics and System Health Management Conference (PHM)","id":"ITEM-1","issued":{"date-parts":[["2015","10"]]},"note":"- Remaining Energy-Efficient Lifetime (REEL).\n- In this paper, a generic EE-based prognostic approach is proposed for predicting the energy efficiency performance (EEl - energy efficiency indicator; REEL - remaining energy efficient lifetime) introduced recently in [15] at both the component and the function/system levels. The proposed prognostic approach is applied on the platform TELMA.","page":"1-7","publisher":"IEEE","title":"Prognostics on energy efficiency performance for maintenance decision-making: Application to industrial platform TELMA","type":"paper-conference"},"uris":["http://www.mendeley.com/documents/?uuid=e8bca837-6e9b-4528-83a8-d45a2beffc02"]},{"id":"ITEM-2","itemData":{"DOI":"10.1016/j.jclepro.2016.10.185","ISSN":"09596526","abstract":"Nowadays, industrial enterprises are facing up to new challenges to well optimize their performances, with regards not only to conventional performances (e.g. reliability or productivity) but also to emerging ones as those related to sustainability issues. Indeed, sustainability indicators have to be considered now in the decision-making process of the plant to better control and maintain it to be consistent with Green Production requirements. In that way, indicators such as Energy Efficiency or Energy Consumption are promoted for the impact they have on these requirements in a Life Cycle Cost vision. Thus the core idea defended in this paper is addressing the necessary evolution of conventional maintenance decision-making process in industry for considering the energy efficiency indicator. To support the idea, the first objective is to define the concept of energy efficiency indicator which materializes the energy efficiency performance at a specific time. The definition is done for different abstraction levels such as component, function, system which are subjected to time-dependent degradation behaviors. So, the energy efficiency indicator concept is expressed as the amount of energy consumed per unit of useful output, which has to be seen as a sustainable performance measure of industrial system. Then a mathematical formulation is proposed to calculate energy efficiency indicator at any time of the performance by considering dependent factors (static and dynamic ones) impacting inputs and outputs of the system. The second objective is to propose a new concept named REEL (Remaining energy-efficient lifetime) for tracking the energy efficiency performance evolution. The REEL is defined by the time left before the system loses its energy efficiency property considered as a specific EEI value (EEI threshold) not to be exceeded. This specific value is technically and/or economically fixed in advance, given the current condition, past and future operation profiles. The REEL could be used as an appropriate indicator for maintenance decision-making process in a proactive vision. The third objective is to formalize a generic approach in the way assess the REEL value. The assessment requires to forecast the evolution of energy efficiency indicator (whatever the abstraction level is) by taking into account the static and dynamic factors. Finally, the feasibility and added value of our proposals are illustrated on a manufacturing platform named TELMA (TELeMAint…","author":[{"dropping-particle":"","family":"Hoang","given":"Anh","non-dropping-particle":"","parse-names":false,"suffix":""},{"dropping-particle":"","family":"Do","given":"Phuc","non-dropping-particle":"","parse-names":false,"suffix":""},{"dropping-particle":"","family":"Iung","given":"Benoît","non-dropping-particle":"","parse-names":false,"suffix":""}],"container-title":"Journal of Cleaner Production","id":"ITEM-2","issued":{"date-parts":[["2017"]]},"note":"- Overall they are speaking about the development of EEI as a future projection subjected to degradation with time in manufacturing systems and its environment. Having a result of physical-thermodynamic indicator properties, the model can be used to evaluate the amount of energy input per units produced. The model is then used to predict REEL.\n- Energy consumption is set by speed and bearing deterioration","page":"2838-2857","publisher":"Elsevier Ltd","title":"Energy efficiency performance-based prognostics for aided maintenance decision-making: Application to a manufacturing platform","type":"article-journal","volume":"142"},"uris":["http://www.mendeley.com/documents/?uuid=5d8ee8db-df63-4f33-ad89-b1ad0d0b66c0"]},{"id":"ITEM-3","itemData":{"DOI":"10.1177/1748006X18762282","ISSN":"17480078","abstract":"Condition-based maintenance has been developed and successfully applied in various industrial systems to preventively maintain the correct equipment at the right time with regard to its current health “condition” such as oil temperature, harmonics data, and vibration. The monitoring of these conventional indicators may however be costly. Moreover, energy efficiency addressed by sustainability requirements has been recently considered as an emerging key performance indicator to be controlled. Nevertheless, this emerging key performance indicator is not yet integrated in condition-based maintenance decision-making. To face these issues, the main objective of this article is to investigate the interests to use energy efficiency for condition-based maintenance decision-making. The first original contribution of this article is to propose a new energy efficiency–based condition-based maintenance model using energy efficiency indicator which is defined as the amount of energy consumption to produce one useful output unit. The proposed model leads to consider not only the maintenance cost but also energy and useful output performance in the condition-based maintenance optimization process. The second contribution concerns an investigation of the proposed energy efficiency–based condition-based maintenance model for the case study of the TELMA platform. The performance of the proposed model is verified by comparing to an extended traditional one. The obtained results allow to highlight the impacts of energy efficiency on existing condition-based maintenance strategies and to conclude on the interest of a new energy efficiency indicator–based condition-based maintenance practice in terms of both cost and efficiency.","author":[{"dropping-particle":"","family":"Do","given":"Phuc","non-dropping-particle":"","parse-names":false,"suffix":""},{"dropping-particle":"","family":"Hoang","given":"Anh","non-dropping-particle":"","parse-names":false,"suffix":""},{"dropping-particle":"","family":"Iung","given":"Benoit","non-dropping-particle":"","parse-names":false,"suffix":""},{"dropping-particle":"","family":"Vu","given":"Hai Canh","non-dropping-particle":"","parse-names":false,"suffix":""}],"container-title":"Proceedings of the Institution of Mechanical Engineers, Part O: Journal of Risk and Reliability","id":"ITEM-3","issue":"4","issued":{"date-parts":[["2018"]]},"note":"- Although it has recently been recognized as an emerging key performance indicator to be controlled, it is not yet fully integrated in MDM.\n- A preventive maintenance is triggered if the EEI’s value at Tk is higher than a critical threshold EEIp.\n- To ensure that the convergence of maintenance cost rate is reached, a large number of simulation realizations (each realization simulates one life cycle of the system) must be done.\n- The maintenance decision-making based on the dysfunctional degrada- tion information is enough.","page":"379-388","title":"Energy efficiency for condition-based maintenance decision-making: Application to a manufacturing platform","type":"article-journal","volume":"232"},"uris":["http://www.mendeley.com/documents/?uuid=56172653-f4dd-4c61-8230-f38fe207a076"]}],"mendeley":{"formattedCitation":"[23]–[25]","plainTextFormattedCitation":"[23]–[25]","previouslyFormattedCitation":"[23]–[25]"},"properties":{"noteIndex":0},"schema":"https://github.com/citation-style-language/schema/raw/master/csl-citation.json"}</w:instrText>
      </w:r>
      <w:r w:rsidR="00492A82">
        <w:fldChar w:fldCharType="separate"/>
      </w:r>
      <w:r w:rsidR="00246F3C" w:rsidRPr="00246F3C">
        <w:rPr>
          <w:noProof/>
        </w:rPr>
        <w:t>[23]–[25]</w:t>
      </w:r>
      <w:r w:rsidR="00492A82">
        <w:fldChar w:fldCharType="end"/>
      </w:r>
      <w:r w:rsidR="0050440C">
        <w:t xml:space="preserve"> </w:t>
      </w:r>
      <w:r w:rsidR="00244AA8">
        <w:t xml:space="preserve">defines </w:t>
      </w:r>
      <w:r w:rsidR="0050440C">
        <w:t xml:space="preserve">thresholds of energy efficiency using the concepts of Remaining </w:t>
      </w:r>
      <w:r>
        <w:t>E</w:t>
      </w:r>
      <w:r w:rsidR="0050440C">
        <w:t>nergy-</w:t>
      </w:r>
      <w:r>
        <w:t>E</w:t>
      </w:r>
      <w:r w:rsidR="0050440C">
        <w:t xml:space="preserve">fficient </w:t>
      </w:r>
      <w:r>
        <w:t>L</w:t>
      </w:r>
      <w:r w:rsidR="0050440C">
        <w:t>ifetime (REEL) for establishing prognosis</w:t>
      </w:r>
      <w:r w:rsidR="00244AA8">
        <w:t xml:space="preserve"> or remaining useful life (RUL)</w:t>
      </w:r>
      <w:r w:rsidR="0050440C">
        <w:t>:</w:t>
      </w:r>
    </w:p>
    <w:tbl>
      <w:tblPr>
        <w:tblpPr w:leftFromText="180" w:rightFromText="180" w:vertAnchor="text" w:horzAnchor="margin" w:tblpY="167"/>
        <w:tblW w:w="0" w:type="auto"/>
        <w:tblLook w:val="04A0" w:firstRow="1" w:lastRow="0" w:firstColumn="1" w:lastColumn="0" w:noHBand="0" w:noVBand="1"/>
      </w:tblPr>
      <w:tblGrid>
        <w:gridCol w:w="8250"/>
        <w:gridCol w:w="767"/>
      </w:tblGrid>
      <w:tr w:rsidR="0050440C" w14:paraId="450146BD" w14:textId="77777777" w:rsidTr="002D5632">
        <w:tc>
          <w:tcPr>
            <w:tcW w:w="8250" w:type="dxa"/>
            <w:vAlign w:val="center"/>
          </w:tcPr>
          <w:p w14:paraId="7034AF10" w14:textId="340689DD" w:rsidR="0050440C" w:rsidRPr="006252AE" w:rsidRDefault="0050440C" w:rsidP="002D5632">
            <w:pPr>
              <w:jc w:val="center"/>
              <w:rPr>
                <w:lang w:val="en-GB"/>
              </w:rPr>
            </w:pPr>
            <m:oMathPara>
              <m:oMath>
                <m:r>
                  <w:rPr>
                    <w:rFonts w:ascii="Cambria Math" w:hAnsi="Cambria Math"/>
                    <w:lang w:val="en-GB"/>
                  </w:rPr>
                  <m:t>REEL</m:t>
                </m:r>
                <m:d>
                  <m:dPr>
                    <m:ctrlPr>
                      <w:rPr>
                        <w:rFonts w:ascii="Cambria Math" w:hAnsi="Cambria Math"/>
                        <w:i/>
                        <w:lang w:val="en-GB"/>
                      </w:rPr>
                    </m:ctrlPr>
                  </m:dPr>
                  <m:e>
                    <m:r>
                      <w:rPr>
                        <w:rFonts w:ascii="Cambria Math" w:hAnsi="Cambria Math"/>
                        <w:lang w:val="en-GB"/>
                      </w:rPr>
                      <m:t>t</m:t>
                    </m:r>
                  </m:e>
                </m:d>
                <m:r>
                  <w:rPr>
                    <w:rFonts w:ascii="Cambria Math" w:hAnsi="Cambria Math"/>
                    <w:lang w:val="en-GB"/>
                  </w:rPr>
                  <m:t xml:space="preserve">= </m:t>
                </m:r>
                <m:d>
                  <m:dPr>
                    <m:begChr m:val="{"/>
                    <m:endChr m:val="}"/>
                    <m:ctrlPr>
                      <w:rPr>
                        <w:rFonts w:ascii="Cambria Math" w:hAnsi="Cambria Math"/>
                        <w:i/>
                        <w:lang w:val="en-GB"/>
                      </w:rPr>
                    </m:ctrlPr>
                  </m:dPr>
                  <m:e>
                    <m:r>
                      <w:rPr>
                        <w:rFonts w:ascii="Cambria Math" w:hAnsi="Cambria Math"/>
                        <w:lang w:val="en-GB"/>
                      </w:rPr>
                      <m:t>(T:EEI</m:t>
                    </m:r>
                    <m:d>
                      <m:dPr>
                        <m:ctrlPr>
                          <w:rPr>
                            <w:rFonts w:ascii="Cambria Math" w:hAnsi="Cambria Math"/>
                            <w:i/>
                            <w:lang w:val="en-GB"/>
                          </w:rPr>
                        </m:ctrlPr>
                      </m:dPr>
                      <m:e>
                        <m:r>
                          <w:rPr>
                            <w:rFonts w:ascii="Cambria Math" w:hAnsi="Cambria Math"/>
                            <w:lang w:val="en-GB"/>
                          </w:rPr>
                          <m:t>t+T</m:t>
                        </m:r>
                      </m:e>
                    </m:d>
                    <m:r>
                      <w:rPr>
                        <w:rFonts w:ascii="Cambria Math" w:hAnsi="Cambria Math"/>
                        <w:lang w:val="en-GB"/>
                      </w:rPr>
                      <m:t>=</m:t>
                    </m:r>
                    <m:sSub>
                      <m:sSubPr>
                        <m:ctrlPr>
                          <w:rPr>
                            <w:rFonts w:ascii="Cambria Math" w:hAnsi="Cambria Math"/>
                            <w:i/>
                            <w:lang w:val="en-GB"/>
                          </w:rPr>
                        </m:ctrlPr>
                      </m:sSubPr>
                      <m:e>
                        <m:r>
                          <w:rPr>
                            <w:rFonts w:ascii="Cambria Math" w:hAnsi="Cambria Math"/>
                            <w:lang w:val="en-GB"/>
                          </w:rPr>
                          <m:t>EEI</m:t>
                        </m:r>
                      </m:e>
                      <m:sub>
                        <m:r>
                          <w:rPr>
                            <w:rFonts w:ascii="Cambria Math" w:hAnsi="Cambria Math"/>
                            <w:lang w:val="en-GB"/>
                          </w:rPr>
                          <m:t>threshold</m:t>
                        </m:r>
                      </m:sub>
                    </m:sSub>
                    <m:d>
                      <m:dPr>
                        <m:begChr m:val="|"/>
                        <m:endChr m:val=""/>
                        <m:ctrlPr>
                          <w:rPr>
                            <w:rFonts w:ascii="Cambria Math" w:hAnsi="Cambria Math"/>
                            <w:i/>
                            <w:lang w:val="en-GB"/>
                          </w:rPr>
                        </m:ctrlPr>
                      </m:dPr>
                      <m:e>
                        <m:sSup>
                          <m:sSupPr>
                            <m:ctrlPr>
                              <w:rPr>
                                <w:rFonts w:ascii="Cambria Math" w:hAnsi="Cambria Math"/>
                                <w:i/>
                                <w:lang w:val="en-GB"/>
                              </w:rPr>
                            </m:ctrlPr>
                          </m:sSupPr>
                          <m:e>
                            <m:r>
                              <w:rPr>
                                <w:rFonts w:ascii="Cambria Math" w:hAnsi="Cambria Math"/>
                                <w:lang w:val="en-GB"/>
                              </w:rPr>
                              <m:t>EEI</m:t>
                            </m:r>
                          </m:e>
                          <m:sup>
                            <m:r>
                              <w:rPr>
                                <w:rFonts w:ascii="Cambria Math" w:hAnsi="Cambria Math"/>
                                <w:lang w:val="en-GB"/>
                              </w:rPr>
                              <m:t>t</m:t>
                            </m:r>
                          </m:sup>
                        </m:sSup>
                        <m:r>
                          <w:rPr>
                            <w:rFonts w:ascii="Cambria Math" w:hAnsi="Cambria Math"/>
                            <w:lang w:val="en-GB"/>
                          </w:rPr>
                          <m:t>&lt;</m:t>
                        </m:r>
                        <m:sSub>
                          <m:sSubPr>
                            <m:ctrlPr>
                              <w:rPr>
                                <w:rFonts w:ascii="Cambria Math" w:hAnsi="Cambria Math"/>
                                <w:i/>
                                <w:lang w:val="en-GB"/>
                              </w:rPr>
                            </m:ctrlPr>
                          </m:sSubPr>
                          <m:e>
                            <m:r>
                              <w:rPr>
                                <w:rFonts w:ascii="Cambria Math" w:hAnsi="Cambria Math"/>
                                <w:lang w:val="en-GB"/>
                              </w:rPr>
                              <m:t>EEI</m:t>
                            </m:r>
                          </m:e>
                          <m:sub>
                            <m:r>
                              <w:rPr>
                                <w:rFonts w:ascii="Cambria Math" w:hAnsi="Cambria Math"/>
                                <w:lang w:val="en-GB"/>
                              </w:rPr>
                              <m:t>threshold</m:t>
                            </m:r>
                          </m:sub>
                        </m:sSub>
                      </m:e>
                    </m:d>
                  </m:e>
                </m:d>
              </m:oMath>
            </m:oMathPara>
          </w:p>
        </w:tc>
        <w:tc>
          <w:tcPr>
            <w:tcW w:w="767" w:type="dxa"/>
            <w:vAlign w:val="center"/>
          </w:tcPr>
          <w:p w14:paraId="302CE2B0" w14:textId="38E36CB6" w:rsidR="0050440C" w:rsidRDefault="009B555C" w:rsidP="002D5632">
            <w:pPr>
              <w:spacing w:before="0" w:after="0"/>
              <w:jc w:val="right"/>
            </w:pPr>
            <w:r>
              <w:t>(</w:t>
            </w:r>
            <w:r w:rsidR="00427B33">
              <w:fldChar w:fldCharType="begin"/>
            </w:r>
            <w:r w:rsidR="00427B33">
              <w:instrText xml:space="preserve"> STYLEREF 1 \s </w:instrText>
            </w:r>
            <w:r w:rsidR="00427B33">
              <w:fldChar w:fldCharType="separate"/>
            </w:r>
            <w:r w:rsidR="00587AF0">
              <w:rPr>
                <w:noProof/>
              </w:rPr>
              <w:t>1</w:t>
            </w:r>
            <w:r w:rsidR="00427B33">
              <w:rPr>
                <w:noProof/>
              </w:rPr>
              <w:fldChar w:fldCharType="end"/>
            </w:r>
            <w:r w:rsidR="002C693A">
              <w:t>.</w:t>
            </w:r>
            <w:r w:rsidR="00427B33">
              <w:fldChar w:fldCharType="begin"/>
            </w:r>
            <w:r w:rsidR="00427B33">
              <w:instrText xml:space="preserve"> SEQ Equation \* ARABIC \s 1 </w:instrText>
            </w:r>
            <w:r w:rsidR="00427B33">
              <w:fldChar w:fldCharType="separate"/>
            </w:r>
            <w:r w:rsidR="00587AF0">
              <w:rPr>
                <w:noProof/>
              </w:rPr>
              <w:t>6</w:t>
            </w:r>
            <w:r w:rsidR="00427B33">
              <w:rPr>
                <w:noProof/>
              </w:rPr>
              <w:fldChar w:fldCharType="end"/>
            </w:r>
            <w:r>
              <w:t>)</w:t>
            </w:r>
          </w:p>
        </w:tc>
      </w:tr>
    </w:tbl>
    <w:p w14:paraId="4F9D5BA0" w14:textId="395775FA" w:rsidR="0050440C" w:rsidRPr="00244AA8" w:rsidRDefault="003E2DA4" w:rsidP="004C72C9">
      <w:pPr>
        <w:spacing w:after="0"/>
      </w:pPr>
      <w:r>
        <w:t>where</w:t>
      </w:r>
      <w:r w:rsidR="00663E99">
        <w:t xml:space="preserve"> </w:t>
      </w:r>
      <w:r w:rsidR="004C72C9" w:rsidRPr="004C72C9">
        <w:t>REEL</w:t>
      </w:r>
      <w:r w:rsidR="004C72C9">
        <w:t xml:space="preserve"> represents the </w:t>
      </w:r>
      <w:r w:rsidR="00244AA8">
        <w:t>e</w:t>
      </w:r>
      <w:r w:rsidR="004C72C9">
        <w:t xml:space="preserve">volution of the parameter </w:t>
      </w:r>
      <w:r w:rsidR="00663E99">
        <w:t>energy efficiency indicator</w:t>
      </w:r>
      <w:r w:rsidR="00244AA8">
        <w:t xml:space="preserve"> (</w:t>
      </w:r>
      <w:r w:rsidR="00244AA8" w:rsidRPr="00244AA8">
        <w:rPr>
          <w:i/>
          <w:iCs/>
        </w:rPr>
        <w:t>EEI</w:t>
      </w:r>
      <w:r w:rsidR="00244AA8">
        <w:t>):</w:t>
      </w:r>
    </w:p>
    <w:tbl>
      <w:tblPr>
        <w:tblpPr w:leftFromText="180" w:rightFromText="180" w:vertAnchor="text" w:horzAnchor="margin" w:tblpY="167"/>
        <w:tblW w:w="0" w:type="auto"/>
        <w:tblLook w:val="04A0" w:firstRow="1" w:lastRow="0" w:firstColumn="1" w:lastColumn="0" w:noHBand="0" w:noVBand="1"/>
      </w:tblPr>
      <w:tblGrid>
        <w:gridCol w:w="8250"/>
        <w:gridCol w:w="767"/>
      </w:tblGrid>
      <w:tr w:rsidR="00663E99" w14:paraId="656A7E6E" w14:textId="77777777" w:rsidTr="002D5632">
        <w:tc>
          <w:tcPr>
            <w:tcW w:w="8250" w:type="dxa"/>
            <w:vAlign w:val="center"/>
          </w:tcPr>
          <w:p w14:paraId="383F7FEA" w14:textId="1600AA98" w:rsidR="00663E99" w:rsidRPr="006252AE" w:rsidRDefault="00663E99" w:rsidP="002D5632">
            <w:pPr>
              <w:jc w:val="center"/>
              <w:rPr>
                <w:lang w:val="en-GB"/>
              </w:rPr>
            </w:pPr>
            <m:oMathPara>
              <m:oMath>
                <m:r>
                  <w:rPr>
                    <w:rFonts w:ascii="Cambria Math" w:hAnsi="Cambria Math"/>
                    <w:lang w:val="en-GB"/>
                  </w:rPr>
                  <m:t>EEI=</m:t>
                </m:r>
                <m:f>
                  <m:fPr>
                    <m:ctrlPr>
                      <w:rPr>
                        <w:rFonts w:ascii="Cambria Math" w:hAnsi="Cambria Math"/>
                        <w:i/>
                        <w:lang w:val="en-GB"/>
                      </w:rPr>
                    </m:ctrlPr>
                  </m:fPr>
                  <m:num>
                    <m:r>
                      <w:rPr>
                        <w:rFonts w:ascii="Cambria Math" w:hAnsi="Cambria Math"/>
                        <w:lang w:val="en-GB"/>
                      </w:rPr>
                      <m:t>E</m:t>
                    </m:r>
                  </m:num>
                  <m:den>
                    <m:r>
                      <w:rPr>
                        <w:rFonts w:ascii="Cambria Math" w:hAnsi="Cambria Math"/>
                        <w:lang w:val="en-GB"/>
                      </w:rPr>
                      <m:t>O</m:t>
                    </m:r>
                  </m:den>
                </m:f>
              </m:oMath>
            </m:oMathPara>
          </w:p>
        </w:tc>
        <w:tc>
          <w:tcPr>
            <w:tcW w:w="767" w:type="dxa"/>
            <w:vAlign w:val="center"/>
          </w:tcPr>
          <w:p w14:paraId="771B17BC" w14:textId="3FA02B65" w:rsidR="00663E99" w:rsidRDefault="009B555C" w:rsidP="002D5632">
            <w:pPr>
              <w:spacing w:before="0" w:after="0"/>
              <w:jc w:val="right"/>
            </w:pPr>
            <w:r>
              <w:t>(</w:t>
            </w:r>
            <w:r w:rsidR="00427B33">
              <w:fldChar w:fldCharType="begin"/>
            </w:r>
            <w:r w:rsidR="00427B33">
              <w:instrText xml:space="preserve"> STYLEREF 1 \s </w:instrText>
            </w:r>
            <w:r w:rsidR="00427B33">
              <w:fldChar w:fldCharType="separate"/>
            </w:r>
            <w:r w:rsidR="00587AF0">
              <w:rPr>
                <w:noProof/>
              </w:rPr>
              <w:t>1</w:t>
            </w:r>
            <w:r w:rsidR="00427B33">
              <w:rPr>
                <w:noProof/>
              </w:rPr>
              <w:fldChar w:fldCharType="end"/>
            </w:r>
            <w:r w:rsidR="002C693A">
              <w:t>.</w:t>
            </w:r>
            <w:r w:rsidR="00427B33">
              <w:fldChar w:fldCharType="begin"/>
            </w:r>
            <w:r w:rsidR="00427B33">
              <w:instrText xml:space="preserve"> SEQ Equation \* ARABIC \s 1 </w:instrText>
            </w:r>
            <w:r w:rsidR="00427B33">
              <w:fldChar w:fldCharType="separate"/>
            </w:r>
            <w:r w:rsidR="00587AF0">
              <w:rPr>
                <w:noProof/>
              </w:rPr>
              <w:t>7</w:t>
            </w:r>
            <w:r w:rsidR="00427B33">
              <w:rPr>
                <w:noProof/>
              </w:rPr>
              <w:fldChar w:fldCharType="end"/>
            </w:r>
            <w:r>
              <w:t>)</w:t>
            </w:r>
          </w:p>
        </w:tc>
      </w:tr>
    </w:tbl>
    <w:p w14:paraId="456A917E" w14:textId="239A6C8D" w:rsidR="00663E99" w:rsidRDefault="00663E99" w:rsidP="00B214E9">
      <w:r>
        <w:t xml:space="preserve">where </w:t>
      </w:r>
      <w:r>
        <w:rPr>
          <w:i/>
          <w:iCs/>
        </w:rPr>
        <w:t>E</w:t>
      </w:r>
      <w:r>
        <w:t xml:space="preserve"> is the total used energy input, and </w:t>
      </w:r>
      <w:r>
        <w:rPr>
          <w:i/>
          <w:iCs/>
        </w:rPr>
        <w:t>O</w:t>
      </w:r>
      <w:r>
        <w:t xml:space="preserve"> is the useful output in physical units. </w:t>
      </w:r>
      <w:r w:rsidR="00AB166A">
        <w:t>Logical presupposition</w:t>
      </w:r>
      <w:r w:rsidR="003830E0">
        <w:t xml:space="preserve"> reflects the energy consumed to produce a defined output unit.</w:t>
      </w:r>
      <w:r w:rsidR="00670D22">
        <w:t xml:space="preserve"> Moreover, further going into analysis, </w:t>
      </w:r>
      <w:r w:rsidR="00670D22">
        <w:rPr>
          <w:i/>
          <w:iCs/>
        </w:rPr>
        <w:t>QREEL</w:t>
      </w:r>
      <w:r w:rsidR="00AB166A">
        <w:rPr>
          <w:i/>
          <w:iCs/>
        </w:rPr>
        <w:t>,</w:t>
      </w:r>
      <w:r w:rsidR="00670D22">
        <w:t xml:space="preserve"> defined as the probability</w:t>
      </w:r>
      <w:r w:rsidR="00670D22">
        <w:rPr>
          <w:i/>
          <w:iCs/>
        </w:rPr>
        <w:t xml:space="preserve"> q</w:t>
      </w:r>
      <w:r w:rsidR="00670D22">
        <w:t xml:space="preserve"> of the </w:t>
      </w:r>
      <w:r w:rsidR="00670D22">
        <w:rPr>
          <w:i/>
          <w:iCs/>
        </w:rPr>
        <w:t>REEL</w:t>
      </w:r>
      <w:r w:rsidR="00AB166A">
        <w:rPr>
          <w:i/>
          <w:iCs/>
        </w:rPr>
        <w:t>,</w:t>
      </w:r>
      <w:r w:rsidR="0097472A">
        <w:t xml:space="preserve"> is defined as the time before an object los</w:t>
      </w:r>
      <w:r w:rsidR="00DE0284">
        <w:t>e</w:t>
      </w:r>
      <w:r w:rsidR="0097472A">
        <w:t>s its energy efficiency property:</w:t>
      </w:r>
    </w:p>
    <w:tbl>
      <w:tblPr>
        <w:tblpPr w:leftFromText="180" w:rightFromText="180" w:vertAnchor="text" w:horzAnchor="margin" w:tblpY="167"/>
        <w:tblW w:w="0" w:type="auto"/>
        <w:tblLook w:val="04A0" w:firstRow="1" w:lastRow="0" w:firstColumn="1" w:lastColumn="0" w:noHBand="0" w:noVBand="1"/>
      </w:tblPr>
      <w:tblGrid>
        <w:gridCol w:w="8250"/>
        <w:gridCol w:w="767"/>
      </w:tblGrid>
      <w:tr w:rsidR="0097472A" w14:paraId="47BB29DD" w14:textId="77777777" w:rsidTr="002D5632">
        <w:tc>
          <w:tcPr>
            <w:tcW w:w="8250" w:type="dxa"/>
            <w:vAlign w:val="center"/>
          </w:tcPr>
          <w:p w14:paraId="77337E3A" w14:textId="68F63EF3" w:rsidR="0097472A" w:rsidRPr="006252AE" w:rsidRDefault="0097472A" w:rsidP="002D5632">
            <w:pPr>
              <w:jc w:val="center"/>
              <w:rPr>
                <w:lang w:val="en-GB"/>
              </w:rPr>
            </w:pPr>
            <m:oMathPara>
              <m:oMath>
                <m:r>
                  <w:rPr>
                    <w:rFonts w:ascii="Cambria Math" w:hAnsi="Cambria Math"/>
                    <w:lang w:val="en-GB"/>
                  </w:rPr>
                  <m:t>QREEL</m:t>
                </m:r>
                <m:d>
                  <m:dPr>
                    <m:ctrlPr>
                      <w:rPr>
                        <w:rFonts w:ascii="Cambria Math" w:hAnsi="Cambria Math"/>
                        <w:i/>
                        <w:lang w:val="en-GB"/>
                      </w:rPr>
                    </m:ctrlPr>
                  </m:dPr>
                  <m:e>
                    <m:r>
                      <w:rPr>
                        <w:rFonts w:ascii="Cambria Math" w:hAnsi="Cambria Math"/>
                        <w:lang w:val="en-GB"/>
                      </w:rPr>
                      <m:t>t,q</m:t>
                    </m:r>
                  </m:e>
                </m:d>
                <m:r>
                  <w:rPr>
                    <w:rFonts w:ascii="Cambria Math" w:hAnsi="Cambria Math"/>
                    <w:lang w:val="en-GB"/>
                  </w:rPr>
                  <m:t xml:space="preserve">=sup </m:t>
                </m:r>
                <m:d>
                  <m:dPr>
                    <m:begChr m:val="{"/>
                    <m:endChr m:val="}"/>
                    <m:ctrlPr>
                      <w:rPr>
                        <w:rFonts w:ascii="Cambria Math" w:hAnsi="Cambria Math"/>
                        <w:i/>
                        <w:lang w:val="en-GB"/>
                      </w:rPr>
                    </m:ctrlPr>
                  </m:dPr>
                  <m:e>
                    <m:r>
                      <w:rPr>
                        <w:rFonts w:ascii="Cambria Math" w:hAnsi="Cambria Math"/>
                        <w:lang w:val="en-GB"/>
                      </w:rPr>
                      <m:t>v:P(EEI</m:t>
                    </m:r>
                    <m:d>
                      <m:dPr>
                        <m:ctrlPr>
                          <w:rPr>
                            <w:rFonts w:ascii="Cambria Math" w:hAnsi="Cambria Math"/>
                            <w:i/>
                            <w:lang w:val="en-GB"/>
                          </w:rPr>
                        </m:ctrlPr>
                      </m:dPr>
                      <m:e>
                        <m:r>
                          <w:rPr>
                            <w:rFonts w:ascii="Cambria Math" w:hAnsi="Cambria Math"/>
                            <w:lang w:val="en-GB"/>
                          </w:rPr>
                          <m:t>t+v</m:t>
                        </m:r>
                      </m:e>
                    </m:d>
                    <m:r>
                      <w:rPr>
                        <w:rFonts w:ascii="Cambria Math" w:hAnsi="Cambria Math"/>
                        <w:lang w:val="en-GB"/>
                      </w:rPr>
                      <m:t>&lt;</m:t>
                    </m:r>
                    <m:sSub>
                      <m:sSubPr>
                        <m:ctrlPr>
                          <w:rPr>
                            <w:rFonts w:ascii="Cambria Math" w:hAnsi="Cambria Math"/>
                            <w:i/>
                            <w:lang w:val="en-GB"/>
                          </w:rPr>
                        </m:ctrlPr>
                      </m:sSubPr>
                      <m:e>
                        <m:r>
                          <w:rPr>
                            <w:rFonts w:ascii="Cambria Math" w:hAnsi="Cambria Math"/>
                            <w:lang w:val="en-GB"/>
                          </w:rPr>
                          <m:t>EEI</m:t>
                        </m:r>
                      </m:e>
                      <m:sub>
                        <m:r>
                          <w:rPr>
                            <w:rFonts w:ascii="Cambria Math" w:hAnsi="Cambria Math"/>
                            <w:lang w:val="en-GB"/>
                          </w:rPr>
                          <m:t>threshold</m:t>
                        </m:r>
                      </m:sub>
                    </m:sSub>
                  </m:e>
                </m:d>
              </m:oMath>
            </m:oMathPara>
          </w:p>
        </w:tc>
        <w:tc>
          <w:tcPr>
            <w:tcW w:w="767" w:type="dxa"/>
            <w:vAlign w:val="center"/>
          </w:tcPr>
          <w:p w14:paraId="0D7E7780" w14:textId="2A878992" w:rsidR="0097472A" w:rsidRDefault="009B555C" w:rsidP="002D5632">
            <w:pPr>
              <w:spacing w:before="0" w:after="0"/>
              <w:jc w:val="right"/>
            </w:pPr>
            <w:r>
              <w:t>(</w:t>
            </w:r>
            <w:r w:rsidR="00427B33">
              <w:fldChar w:fldCharType="begin"/>
            </w:r>
            <w:r w:rsidR="00427B33">
              <w:instrText xml:space="preserve"> STYLEREF 1 \s </w:instrText>
            </w:r>
            <w:r w:rsidR="00427B33">
              <w:fldChar w:fldCharType="separate"/>
            </w:r>
            <w:r w:rsidR="00587AF0">
              <w:rPr>
                <w:noProof/>
              </w:rPr>
              <w:t>1</w:t>
            </w:r>
            <w:r w:rsidR="00427B33">
              <w:rPr>
                <w:noProof/>
              </w:rPr>
              <w:fldChar w:fldCharType="end"/>
            </w:r>
            <w:r w:rsidR="002C693A">
              <w:t>.</w:t>
            </w:r>
            <w:r w:rsidR="00427B33">
              <w:fldChar w:fldCharType="begin"/>
            </w:r>
            <w:r w:rsidR="00427B33">
              <w:instrText xml:space="preserve"> SEQ Equation \* ARABIC \s 1 </w:instrText>
            </w:r>
            <w:r w:rsidR="00427B33">
              <w:fldChar w:fldCharType="separate"/>
            </w:r>
            <w:r w:rsidR="00587AF0">
              <w:rPr>
                <w:noProof/>
              </w:rPr>
              <w:t>8</w:t>
            </w:r>
            <w:r w:rsidR="00427B33">
              <w:rPr>
                <w:noProof/>
              </w:rPr>
              <w:fldChar w:fldCharType="end"/>
            </w:r>
            <w:r>
              <w:t>)</w:t>
            </w:r>
          </w:p>
        </w:tc>
      </w:tr>
    </w:tbl>
    <w:p w14:paraId="10722391" w14:textId="2024903E" w:rsidR="0097472A" w:rsidRDefault="008E6D5D" w:rsidP="00B214E9">
      <w:r>
        <w:t xml:space="preserve">where </w:t>
      </w:r>
      <w:r>
        <w:rPr>
          <w:i/>
          <w:iCs/>
        </w:rPr>
        <w:t>sup</w:t>
      </w:r>
      <w:r>
        <w:t xml:space="preserve"> represents the suprem</w:t>
      </w:r>
      <w:r w:rsidR="00890FDC">
        <w:t>um</w:t>
      </w:r>
      <w:r>
        <w:t xml:space="preserve"> of the given </w:t>
      </w:r>
      <w:r w:rsidR="00783B3D">
        <w:t xml:space="preserve">subset </w:t>
      </w:r>
      <w:r>
        <w:t xml:space="preserve">probability </w:t>
      </w:r>
      <w:r>
        <w:rPr>
          <w:i/>
          <w:iCs/>
        </w:rPr>
        <w:t>EEI</w:t>
      </w:r>
      <w:r w:rsidR="00783B3D">
        <w:t xml:space="preserve"> and is usually perceived a</w:t>
      </w:r>
      <w:r w:rsidR="00CF01E5">
        <w:t>s the</w:t>
      </w:r>
      <w:r w:rsidR="00783B3D">
        <w:t xml:space="preserve"> least upper bound (LUB)</w:t>
      </w:r>
      <w:r w:rsidR="00AB166A">
        <w:t>, with</w:t>
      </w:r>
      <w:r w:rsidR="00D06581">
        <w:t xml:space="preserve"> </w:t>
      </w:r>
      <w:r w:rsidR="00AB166A">
        <w:t xml:space="preserve">the proposed </w:t>
      </w:r>
      <w:r w:rsidR="00D06581">
        <w:t xml:space="preserve">mathematical expectation of </w:t>
      </w:r>
      <w:r w:rsidR="00D06581">
        <w:rPr>
          <w:i/>
          <w:iCs/>
        </w:rPr>
        <w:t>REEL</w:t>
      </w:r>
      <w:r w:rsidR="00D06581">
        <w:t xml:space="preserve"> as:</w:t>
      </w:r>
    </w:p>
    <w:tbl>
      <w:tblPr>
        <w:tblpPr w:leftFromText="180" w:rightFromText="180" w:vertAnchor="text" w:horzAnchor="margin" w:tblpY="167"/>
        <w:tblW w:w="0" w:type="auto"/>
        <w:tblLook w:val="04A0" w:firstRow="1" w:lastRow="0" w:firstColumn="1" w:lastColumn="0" w:noHBand="0" w:noVBand="1"/>
      </w:tblPr>
      <w:tblGrid>
        <w:gridCol w:w="8250"/>
        <w:gridCol w:w="767"/>
      </w:tblGrid>
      <w:tr w:rsidR="00D06581" w14:paraId="551F2A41" w14:textId="77777777" w:rsidTr="002D5632">
        <w:tc>
          <w:tcPr>
            <w:tcW w:w="8250" w:type="dxa"/>
            <w:vAlign w:val="center"/>
          </w:tcPr>
          <w:p w14:paraId="58087489" w14:textId="76AB9803" w:rsidR="00D06581" w:rsidRPr="006252AE" w:rsidRDefault="00D06581" w:rsidP="00D06581">
            <w:pPr>
              <w:jc w:val="center"/>
              <w:rPr>
                <w:lang w:val="en-GB"/>
              </w:rPr>
            </w:pPr>
            <m:oMath>
              <m:r>
                <w:rPr>
                  <w:rFonts w:ascii="Cambria Math" w:hAnsi="Cambria Math"/>
                  <w:lang w:val="en-GB"/>
                </w:rPr>
                <m:t>MREEL(t)</m:t>
              </m:r>
              <m:r>
                <m:rPr>
                  <m:sty m:val="p"/>
                </m:rPr>
                <w:rPr>
                  <w:rFonts w:ascii="Cambria Math" w:hAnsi="Cambria Math"/>
                  <w:lang w:val="en-GB"/>
                </w:rPr>
                <m:t>=</m:t>
              </m:r>
              <m:r>
                <w:rPr>
                  <w:rFonts w:ascii="Cambria Math" w:hAnsi="Cambria Math"/>
                  <w:lang w:val="en-GB"/>
                </w:rPr>
                <m:t>E</m:t>
              </m:r>
              <m:r>
                <m:rPr>
                  <m:sty m:val="p"/>
                </m:rPr>
                <w:rPr>
                  <w:rFonts w:ascii="Cambria Math" w:hAnsi="Cambria Math"/>
                  <w:lang w:val="en-GB"/>
                </w:rPr>
                <m:t>[</m:t>
              </m:r>
              <m:r>
                <w:rPr>
                  <w:rFonts w:ascii="Cambria Math" w:hAnsi="Cambria Math"/>
                  <w:lang w:val="en-GB"/>
                </w:rPr>
                <m:t>REEL(t)</m:t>
              </m:r>
              <m:r>
                <m:rPr>
                  <m:sty m:val="p"/>
                </m:rPr>
                <w:rPr>
                  <w:rFonts w:ascii="Cambria Math" w:hAnsi="Cambria Math"/>
                  <w:lang w:val="en-GB"/>
                </w:rPr>
                <m:t>]</m:t>
              </m:r>
            </m:oMath>
            <w:r>
              <w:rPr>
                <w:rFonts w:eastAsiaTheme="minorEastAsia"/>
                <w:lang w:val="en-GB"/>
              </w:rPr>
              <w:t>.</w:t>
            </w:r>
          </w:p>
        </w:tc>
        <w:tc>
          <w:tcPr>
            <w:tcW w:w="767" w:type="dxa"/>
            <w:vAlign w:val="center"/>
          </w:tcPr>
          <w:p w14:paraId="576B9425" w14:textId="5A990992" w:rsidR="00D06581" w:rsidRDefault="009B555C" w:rsidP="002D5632">
            <w:pPr>
              <w:spacing w:before="0" w:after="0"/>
              <w:jc w:val="right"/>
            </w:pPr>
            <w:r>
              <w:t>(</w:t>
            </w:r>
            <w:r w:rsidR="00427B33">
              <w:fldChar w:fldCharType="begin"/>
            </w:r>
            <w:r w:rsidR="00427B33">
              <w:instrText xml:space="preserve"> STYLEREF 1 \s </w:instrText>
            </w:r>
            <w:r w:rsidR="00427B33">
              <w:fldChar w:fldCharType="separate"/>
            </w:r>
            <w:r w:rsidR="00587AF0">
              <w:rPr>
                <w:noProof/>
              </w:rPr>
              <w:t>1</w:t>
            </w:r>
            <w:r w:rsidR="00427B33">
              <w:rPr>
                <w:noProof/>
              </w:rPr>
              <w:fldChar w:fldCharType="end"/>
            </w:r>
            <w:r w:rsidR="002C693A">
              <w:t>.</w:t>
            </w:r>
            <w:r w:rsidR="00427B33">
              <w:fldChar w:fldCharType="begin"/>
            </w:r>
            <w:r w:rsidR="00427B33">
              <w:instrText xml:space="preserve"> SEQ Equation \* ARABIC \s 1 </w:instrText>
            </w:r>
            <w:r w:rsidR="00427B33">
              <w:fldChar w:fldCharType="separate"/>
            </w:r>
            <w:r w:rsidR="00587AF0">
              <w:rPr>
                <w:noProof/>
              </w:rPr>
              <w:t>9</w:t>
            </w:r>
            <w:r w:rsidR="00427B33">
              <w:rPr>
                <w:noProof/>
              </w:rPr>
              <w:fldChar w:fldCharType="end"/>
            </w:r>
            <w:r>
              <w:t>)</w:t>
            </w:r>
          </w:p>
        </w:tc>
      </w:tr>
    </w:tbl>
    <w:p w14:paraId="712DC1CC" w14:textId="5DA16D96" w:rsidR="00AB166A" w:rsidRDefault="00606695" w:rsidP="004F09D3">
      <w:r>
        <w:t>I</w:t>
      </w:r>
      <w:r w:rsidR="00D06581">
        <w:t xml:space="preserve">t can be understood that both </w:t>
      </w:r>
      <w:r w:rsidR="00D06581">
        <w:rPr>
          <w:i/>
          <w:iCs/>
        </w:rPr>
        <w:t>QREEL</w:t>
      </w:r>
      <w:r w:rsidR="00D06581">
        <w:t xml:space="preserve"> and </w:t>
      </w:r>
      <w:r w:rsidR="00D06581">
        <w:rPr>
          <w:i/>
          <w:iCs/>
        </w:rPr>
        <w:t>MREEL</w:t>
      </w:r>
      <w:r w:rsidR="00D06581">
        <w:t xml:space="preserve"> are deterministic</w:t>
      </w:r>
      <w:r w:rsidR="00AB166A">
        <w:t xml:space="preserve"> and, thus, used to evaluate the working system's operational state</w:t>
      </w:r>
      <w:r w:rsidR="00202960">
        <w:t xml:space="preserve">. </w:t>
      </w:r>
      <w:r w:rsidR="00AB166A">
        <w:t>I</w:t>
      </w:r>
      <w:r w:rsidR="00B33D23">
        <w:t>t can be infe</w:t>
      </w:r>
      <w:r w:rsidR="00DE0284">
        <w:t>r</w:t>
      </w:r>
      <w:r w:rsidR="00B33D23">
        <w:t xml:space="preserve">red that the </w:t>
      </w:r>
      <w:r w:rsidR="00E54A2D">
        <w:t>motivation and rational</w:t>
      </w:r>
      <w:r w:rsidR="009447D0">
        <w:t>e</w:t>
      </w:r>
      <w:r w:rsidR="00E54A2D">
        <w:t xml:space="preserve"> </w:t>
      </w:r>
      <w:r w:rsidR="009447D0">
        <w:t>for</w:t>
      </w:r>
      <w:r w:rsidR="00E54A2D">
        <w:t xml:space="preserve"> the research include</w:t>
      </w:r>
      <w:r w:rsidR="00AB166A">
        <w:t>:</w:t>
      </w:r>
    </w:p>
    <w:p w14:paraId="1A6DED09" w14:textId="625A22BD" w:rsidR="00AB166A" w:rsidRDefault="00AB166A" w:rsidP="00AB166A">
      <w:pPr>
        <w:pStyle w:val="ListParagraph"/>
        <w:numPr>
          <w:ilvl w:val="0"/>
          <w:numId w:val="26"/>
        </w:numPr>
      </w:pPr>
      <w:r>
        <w:t>The imposition of sustainability on industrial maintenance practice;</w:t>
      </w:r>
    </w:p>
    <w:p w14:paraId="432281BA" w14:textId="77777777" w:rsidR="00AB166A" w:rsidRDefault="00AB166A" w:rsidP="00AB166A">
      <w:pPr>
        <w:pStyle w:val="ListParagraph"/>
        <w:numPr>
          <w:ilvl w:val="0"/>
          <w:numId w:val="26"/>
        </w:numPr>
      </w:pPr>
      <w:r>
        <w:t>Switching the focus from energy-waste indicators to energy-usage indicators;</w:t>
      </w:r>
    </w:p>
    <w:p w14:paraId="31A0B565" w14:textId="0B4EC067" w:rsidR="00AB166A" w:rsidRDefault="00AB166A" w:rsidP="00AB166A">
      <w:pPr>
        <w:pStyle w:val="ListParagraph"/>
        <w:numPr>
          <w:ilvl w:val="0"/>
          <w:numId w:val="26"/>
        </w:numPr>
      </w:pPr>
      <w:r>
        <w:t>Limitation of markers for establishing healthy from non-healthy machine state;</w:t>
      </w:r>
    </w:p>
    <w:p w14:paraId="04D2A7CA" w14:textId="529BE82C" w:rsidR="00AB166A" w:rsidRDefault="00AB166A" w:rsidP="00AB166A">
      <w:pPr>
        <w:pStyle w:val="ListParagraph"/>
        <w:numPr>
          <w:ilvl w:val="0"/>
          <w:numId w:val="26"/>
        </w:numPr>
      </w:pPr>
      <w:r>
        <w:t>Lack of dynamic thresholds for establishing limits for conducting maintenance actions.</w:t>
      </w:r>
    </w:p>
    <w:p w14:paraId="45D65681" w14:textId="2243ECB0" w:rsidR="00042DAB" w:rsidRDefault="00042DAB" w:rsidP="00042DAB">
      <w:pPr>
        <w:pStyle w:val="Heading2"/>
      </w:pPr>
      <w:bookmarkStart w:id="35" w:name="_Toc62467365"/>
      <w:bookmarkStart w:id="36" w:name="_Toc91575371"/>
      <w:bookmarkStart w:id="37" w:name="_Toc93759850"/>
      <w:bookmarkStart w:id="38" w:name="_Toc93759954"/>
      <w:bookmarkStart w:id="39" w:name="_Toc101274318"/>
      <w:r>
        <w:lastRenderedPageBreak/>
        <w:t xml:space="preserve">Research </w:t>
      </w:r>
      <w:r w:rsidR="00C5534D">
        <w:t>P</w:t>
      </w:r>
      <w:r>
        <w:t>roblem</w:t>
      </w:r>
      <w:bookmarkEnd w:id="35"/>
      <w:bookmarkEnd w:id="36"/>
      <w:bookmarkEnd w:id="37"/>
      <w:bookmarkEnd w:id="38"/>
      <w:bookmarkEnd w:id="39"/>
    </w:p>
    <w:p w14:paraId="0248F8FE" w14:textId="679F64EC" w:rsidR="004B1295" w:rsidRDefault="004B1295" w:rsidP="004B1295">
      <w:r>
        <w:t>The production system’s functional state in the asset-intensive industry’s processes has become a significant issue. The maintenance literature on production systems</w:t>
      </w:r>
      <w:r w:rsidR="00050DF3">
        <w:t>’</w:t>
      </w:r>
      <w:r>
        <w:t xml:space="preserve"> proposed functionality thresholds and operability modes face difficulties in modelling deteriorating mechanisms. Most of the authors propose functionality boundaries either as static (rule-based) or moving average, in which failure control limits are defined either empirically or by chance. Hence, the thesis author set to accomplish </w:t>
      </w:r>
      <w:r w:rsidRPr="00E14B08">
        <w:rPr>
          <w:b/>
          <w:bCs/>
        </w:rPr>
        <w:t>functional-productiveness markers</w:t>
      </w:r>
      <w:r>
        <w:t xml:space="preserve"> (</w:t>
      </w:r>
      <w:r w:rsidRPr="00E14B08">
        <w:rPr>
          <w:b/>
          <w:bCs/>
        </w:rPr>
        <w:t>FPM</w:t>
      </w:r>
      <w:r>
        <w:t xml:space="preserve">) in light of the argument. To elaborate more closely on the new notion of FPM, the thesis’ author will briefly explain the proposed concept of </w:t>
      </w:r>
      <w:r w:rsidRPr="00905C8F">
        <w:rPr>
          <w:b/>
          <w:bCs/>
        </w:rPr>
        <w:t>functional-productiveness</w:t>
      </w:r>
      <w:r>
        <w:rPr>
          <w:b/>
          <w:bCs/>
        </w:rPr>
        <w:t xml:space="preserve"> control</w:t>
      </w:r>
      <w:r>
        <w:t xml:space="preserve"> (</w:t>
      </w:r>
      <w:r w:rsidRPr="00905C8F">
        <w:rPr>
          <w:b/>
          <w:bCs/>
        </w:rPr>
        <w:t>FP</w:t>
      </w:r>
      <w:r>
        <w:rPr>
          <w:b/>
          <w:bCs/>
        </w:rPr>
        <w:t>C</w:t>
      </w:r>
      <w:r>
        <w:t xml:space="preserve">) </w:t>
      </w:r>
      <w:r>
        <w:fldChar w:fldCharType="begin" w:fldLock="1"/>
      </w:r>
      <w:r w:rsidR="00416869">
        <w:instrText>ADDIN CSL_CITATION {"citationItems":[{"id":"ITEM-1","itemData":{"DOI":"10.1109/ICSRS53853.2021.9660739","ISBN":"978-1-6654-0049-7","author":[{"dropping-particle":"","family":"Orosnjak","given":"Marko","non-dropping-particle":"","parse-names":false,"suffix":""}],"container-title":"2021 5th International Conference on System Reliability and Safety (ICSRS)","id":"ITEM-1","issued":{"date-parts":[["2021","11","24"]]},"page":"108-114","publisher":"IEEE","title":"Maintenance Practice Performance Assessment of Hydraulic Machinery: West Balkan Meta-Statistics and Energy-Based Maintenance Paradigm","type":"paper-conference"},"uris":["http://www.mendeley.com/documents/?uuid=be38bd3e-19d6-4cab-a1ca-3a9c26c12953"]}],"mendeley":{"formattedCitation":"[26]","plainTextFormattedCitation":"[26]","previouslyFormattedCitation":"[26]"},"properties":{"noteIndex":0},"schema":"https://github.com/citation-style-language/schema/raw/master/csl-citation.json"}</w:instrText>
      </w:r>
      <w:r>
        <w:fldChar w:fldCharType="separate"/>
      </w:r>
      <w:r w:rsidR="00246F3C" w:rsidRPr="00246F3C">
        <w:rPr>
          <w:noProof/>
        </w:rPr>
        <w:t>[26]</w:t>
      </w:r>
      <w:r>
        <w:fldChar w:fldCharType="end"/>
      </w:r>
      <w:r>
        <w:t>.</w:t>
      </w:r>
    </w:p>
    <w:p w14:paraId="735749CE" w14:textId="551A2B63" w:rsidR="000B6166" w:rsidRDefault="004B1295" w:rsidP="004B1295">
      <w:r>
        <w:t>Defining failure by the BSI standard as: “…</w:t>
      </w:r>
      <w:r>
        <w:rPr>
          <w:i/>
          <w:iCs/>
        </w:rPr>
        <w:t>termination of the ability of a system to perform required function”</w:t>
      </w:r>
      <w:r>
        <w:t xml:space="preserve"> </w:t>
      </w:r>
      <w:r w:rsidR="00BF088C">
        <w:rPr>
          <w:lang w:val="sr-Latn-RS"/>
        </w:rPr>
        <w:fldChar w:fldCharType="begin" w:fldLock="1"/>
      </w:r>
      <w:r w:rsidR="00416869">
        <w:rPr>
          <w:lang w:val="sr-Latn-RS"/>
        </w:rPr>
        <w:instrText>ADDIN CSL_CITATION {"citationItems":[{"id":"ITEM-1","itemData":{"abstract":"These remarks were ones I made as the discussant of Koichi Meraâ€™s presidential address to the meeting of the Western Regional Science Association, Rio Rico, Arizona, February 2003. Rather than dwelling on the many points of agreement between Mera and myself, I offer a few thoughts of my own on the role of theory and policy in the field of regional science. Regional science can be seen as an agglomeration of a theory community and a policy community, and both are important to the success of the agglomeration. I describe some ways the two communities should relate to each other. ABSTRACT FROM AUTHOR Copyright of Annals of Regional Science is the property of Springer Science &amp; Business Media B.V. and its content may not be copied or emailed to multiple sites or posted to a listserv without the copyright holder's express written permission. However, users may print, download, or email articles for individual use. This abstract may be abridged. No warranty is given about the accuracy of the copy. Users should refer to the original published version of the material for the full abstract. (Copyright applies to all Abstracts.)","author":[{"dropping-particle":"","family":"BSI 13306:2010","given":"","non-dropping-particle":"","parse-names":false,"suffix":""}],"collection-title":"13306:2010","id":"ITEM-1","issued":{"date-parts":[["2010"]]},"number-of-pages":"36","publisher":"BSI Standards Publication","publisher-place":"United Kingdom","title":"Maintenance — Maintenance terminology","type":"report"},"uris":["http://www.mendeley.com/documents/?uuid=d4ab0d63-b118-4baa-a125-b3cb9e683c49"]}],"mendeley":{"formattedCitation":"[27]","plainTextFormattedCitation":"[27]","previouslyFormattedCitation":"[27]"},"properties":{"noteIndex":0},"schema":"https://github.com/citation-style-language/schema/raw/master/csl-citation.json"}</w:instrText>
      </w:r>
      <w:r w:rsidR="00BF088C">
        <w:rPr>
          <w:lang w:val="sr-Latn-RS"/>
        </w:rPr>
        <w:fldChar w:fldCharType="separate"/>
      </w:r>
      <w:r w:rsidR="00246F3C" w:rsidRPr="00246F3C">
        <w:rPr>
          <w:noProof/>
          <w:lang w:val="sr-Latn-RS"/>
        </w:rPr>
        <w:t>[27]</w:t>
      </w:r>
      <w:r w:rsidR="00BF088C">
        <w:rPr>
          <w:lang w:val="sr-Latn-RS"/>
        </w:rPr>
        <w:fldChar w:fldCharType="end"/>
      </w:r>
      <w:r w:rsidR="00BF088C">
        <w:rPr>
          <w:lang w:val="sr-Latn-RS"/>
        </w:rPr>
        <w:t xml:space="preserve"> </w:t>
      </w:r>
      <w:r>
        <w:t>can be considered formulaic since it lacks specific determination of the term ability and functionality. Instead</w:t>
      </w:r>
      <w:r w:rsidR="00FB18A1">
        <w:t>,</w:t>
      </w:r>
      <w:r>
        <w:t xml:space="preserve"> FPC is proposed to replace the notion of </w:t>
      </w:r>
      <w:r w:rsidRPr="005C263D">
        <w:rPr>
          <w:i/>
          <w:iCs/>
        </w:rPr>
        <w:t>functionality</w:t>
      </w:r>
      <w:r>
        <w:t xml:space="preserve"> with </w:t>
      </w:r>
      <w:r w:rsidRPr="005C263D">
        <w:rPr>
          <w:i/>
          <w:iCs/>
        </w:rPr>
        <w:t>functional-productiveness</w:t>
      </w:r>
      <w:r>
        <w:t xml:space="preserve"> in determining the working conditions (process performance) as binary values, true or false [0, 1]. The </w:t>
      </w:r>
      <w:r>
        <w:rPr>
          <w:i/>
          <w:iCs/>
        </w:rPr>
        <w:t>ability</w:t>
      </w:r>
      <w:r>
        <w:t xml:space="preserve"> is replaced with the notion of </w:t>
      </w:r>
      <w:r>
        <w:rPr>
          <w:i/>
          <w:iCs/>
        </w:rPr>
        <w:t>capability</w:t>
      </w:r>
      <w:r>
        <w:t xml:space="preserve"> as “…</w:t>
      </w:r>
      <w:r>
        <w:rPr>
          <w:i/>
          <w:iCs/>
        </w:rPr>
        <w:t>system or unit capacity to transfer power”</w:t>
      </w:r>
      <w:r>
        <w:t>, which quantifies the ability notion with binary values, true or false [0, 1].</w:t>
      </w:r>
    </w:p>
    <w:p w14:paraId="4484E14B" w14:textId="212AAD63" w:rsidR="004B1295" w:rsidRPr="008D0481" w:rsidRDefault="004B1295" w:rsidP="004B1295">
      <w:r>
        <w:t xml:space="preserve">It should suggest that </w:t>
      </w:r>
      <w:r w:rsidR="00F307B1">
        <w:t xml:space="preserve">the </w:t>
      </w:r>
      <w:r>
        <w:t>FPC concept</w:t>
      </w:r>
      <w:r w:rsidR="00F307B1">
        <w:t xml:space="preserve"> </w:t>
      </w:r>
      <w:r>
        <w:t>closely resembles process capability in Statistical Process Control (SPC)</w:t>
      </w:r>
      <w:r w:rsidR="00F307B1">
        <w:t>. The</w:t>
      </w:r>
      <w:r>
        <w:t xml:space="preserve"> difference is that</w:t>
      </w:r>
      <w:r w:rsidR="00F307B1">
        <w:t xml:space="preserve"> SPC quantifies</w:t>
      </w:r>
      <w:r>
        <w:t xml:space="preserve"> </w:t>
      </w:r>
      <w:r w:rsidR="00F307B1">
        <w:t xml:space="preserve">the capability of a </w:t>
      </w:r>
      <w:r>
        <w:t>product</w:t>
      </w:r>
      <w:r w:rsidR="00F307B1">
        <w:t>ion process</w:t>
      </w:r>
      <w:r>
        <w:t>, whereas</w:t>
      </w:r>
      <w:r w:rsidR="00F307B1">
        <w:t>,</w:t>
      </w:r>
      <w:r>
        <w:t xml:space="preserve"> in the FPC</w:t>
      </w:r>
      <w:r w:rsidR="00F307B1">
        <w:t>,</w:t>
      </w:r>
      <w:r>
        <w:t xml:space="preserve"> we are monitoring FPMs that are artificially created for measuring the ratio of machine or component </w:t>
      </w:r>
      <w:r w:rsidR="00A36995">
        <w:t>performance</w:t>
      </w:r>
      <w:r w:rsidR="00F307B1">
        <w:t xml:space="preserve">. Hence, the SPC </w:t>
      </w:r>
      <w:r w:rsidR="00343156">
        <w:t>explains</w:t>
      </w:r>
      <w:r w:rsidR="00F307B1">
        <w:t xml:space="preserve"> overall operational performance while FPC presents the machine health index.</w:t>
      </w:r>
      <w:r w:rsidR="008D0481">
        <w:t xml:space="preserve"> If we observe the system overall (specific machine) with </w:t>
      </w:r>
      <w:r w:rsidR="008D0481" w:rsidRPr="008D0481">
        <w:rPr>
          <w:i/>
          <w:iCs/>
        </w:rPr>
        <w:t>n</w:t>
      </w:r>
      <w:r w:rsidR="008D0481">
        <w:t xml:space="preserve"> subsystems, we can use the Specific Energy Consumption (SEC) indicator to set the thresholds used for classifying healthy from non-healthy systems (</w:t>
      </w:r>
      <w:r w:rsidR="008D0481">
        <w:fldChar w:fldCharType="begin"/>
      </w:r>
      <w:r w:rsidR="008D0481">
        <w:instrText xml:space="preserve"> REF _Ref100316851 \h </w:instrText>
      </w:r>
      <w:r w:rsidR="008D0481">
        <w:fldChar w:fldCharType="separate"/>
      </w:r>
      <w:r w:rsidR="00587AF0">
        <w:t xml:space="preserve">Figure </w:t>
      </w:r>
      <w:r w:rsidR="00587AF0">
        <w:rPr>
          <w:noProof/>
        </w:rPr>
        <w:t>3</w:t>
      </w:r>
      <w:r w:rsidR="008D0481">
        <w:fldChar w:fldCharType="end"/>
      </w:r>
      <w:r w:rsidR="008D0481">
        <w:t xml:space="preserve">). For instance, setting the rule-based threshold of at least </w:t>
      </w:r>
      <w:r w:rsidR="008D0481">
        <w:rPr>
          <w:i/>
          <w:iCs/>
        </w:rPr>
        <w:t>k</w:t>
      </w:r>
      <w:r w:rsidR="008D0481">
        <w:t xml:space="preserve"> out of </w:t>
      </w:r>
      <w:r w:rsidR="008D0481">
        <w:rPr>
          <w:i/>
          <w:iCs/>
        </w:rPr>
        <w:t>m</w:t>
      </w:r>
      <w:r w:rsidR="008D0481">
        <w:t xml:space="preserve"> required products for a specific input power of </w:t>
      </w:r>
      <w:r w:rsidR="008D0481">
        <w:rPr>
          <w:i/>
          <w:iCs/>
        </w:rPr>
        <w:t>P</w:t>
      </w:r>
      <w:r w:rsidR="008D0481">
        <w:t>. This can be explained by eq.6, suggesting that after a certain period, the system does not pose</w:t>
      </w:r>
      <w:r w:rsidR="00BD285C">
        <w:t>s</w:t>
      </w:r>
      <w:r w:rsidR="008D0481">
        <w:t xml:space="preserve"> the</w:t>
      </w:r>
      <w:r w:rsidR="00BD285C">
        <w:t xml:space="preserve"> </w:t>
      </w:r>
      <w:r w:rsidR="008D0481">
        <w:t>capacity to fulfil the needs of a production process, although the system can be considered operational and functional.</w:t>
      </w:r>
    </w:p>
    <w:p w14:paraId="6967D038" w14:textId="77777777" w:rsidR="001E287B" w:rsidRDefault="001E287B" w:rsidP="001E287B">
      <w:pPr>
        <w:keepNext/>
      </w:pPr>
      <w:r w:rsidRPr="001E287B">
        <w:rPr>
          <w:noProof/>
        </w:rPr>
        <w:drawing>
          <wp:inline distT="0" distB="0" distL="0" distR="0" wp14:anchorId="1D03CA66" wp14:editId="12DD5429">
            <wp:extent cx="5732145" cy="182118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2145" cy="1821180"/>
                    </a:xfrm>
                    <a:prstGeom prst="rect">
                      <a:avLst/>
                    </a:prstGeom>
                    <a:noFill/>
                    <a:ln>
                      <a:noFill/>
                    </a:ln>
                  </pic:spPr>
                </pic:pic>
              </a:graphicData>
            </a:graphic>
          </wp:inline>
        </w:drawing>
      </w:r>
    </w:p>
    <w:p w14:paraId="53FB9244" w14:textId="19D60095" w:rsidR="001E287B" w:rsidRPr="001E287B" w:rsidRDefault="001E287B" w:rsidP="001E287B">
      <w:pPr>
        <w:pStyle w:val="Caption"/>
      </w:pPr>
      <w:bookmarkStart w:id="40" w:name="_Ref100316851"/>
      <w:bookmarkStart w:id="41" w:name="_Toc101274525"/>
      <w:r>
        <w:t xml:space="preserve">Figure </w:t>
      </w:r>
      <w:fldSimple w:instr=" SEQ Figure \* ARABIC ">
        <w:r w:rsidR="00587AF0">
          <w:rPr>
            <w:noProof/>
          </w:rPr>
          <w:t>3</w:t>
        </w:r>
      </w:fldSimple>
      <w:bookmarkEnd w:id="40"/>
      <w:r>
        <w:t xml:space="preserve">. Three-layer system with </w:t>
      </w:r>
      <w:r>
        <w:rPr>
          <w:i/>
          <w:iCs w:val="0"/>
        </w:rPr>
        <w:t>n</w:t>
      </w:r>
      <w:r>
        <w:t xml:space="preserve"> sub-systems and </w:t>
      </w:r>
      <w:r>
        <w:rPr>
          <w:i/>
          <w:iCs w:val="0"/>
        </w:rPr>
        <w:t>n</w:t>
      </w:r>
      <w:r>
        <w:t xml:space="preserve"> units (components)</w:t>
      </w:r>
      <w:bookmarkEnd w:id="41"/>
    </w:p>
    <w:p w14:paraId="7CA7023A" w14:textId="64C41F12" w:rsidR="00C60ACB" w:rsidRDefault="00C60ACB" w:rsidP="006C0082">
      <w:r>
        <w:t>Going onto the second layer of observing a specific sub-system (hydraulic), one can infer the same principle without using a product-specific threshold but final actuation device (e.g., cylinder). For instance, if an input hydraulic power reaches a certain threshold where the speed and force of a cylinder drop below a defined range that corresponds to the minimum amount of products required to be produced at a specific interval.</w:t>
      </w:r>
      <w:r w:rsidR="00807448">
        <w:t xml:space="preserve"> At the lowest level of a unit or component, it can be observed that functional-productiveness is the loss between input and output energy, i.e., loss of unit</w:t>
      </w:r>
      <w:r w:rsidR="00682B7D">
        <w:t>s’</w:t>
      </w:r>
      <w:r w:rsidR="00807448">
        <w:t xml:space="preserve"> capacity to transfer power a</w:t>
      </w:r>
      <w:r w:rsidR="00682B7D">
        <w:t>fter reaching a</w:t>
      </w:r>
      <w:r w:rsidR="00807448">
        <w:t xml:space="preserve"> specific minimum defined threshold.</w:t>
      </w:r>
    </w:p>
    <w:p w14:paraId="516D25E6" w14:textId="50E66FBC" w:rsidR="00CA39DD" w:rsidRDefault="00BF088C" w:rsidP="006C0082">
      <w:r>
        <w:t>The</w:t>
      </w:r>
      <w:r w:rsidR="00BD4D22">
        <w:t xml:space="preserve"> literature </w:t>
      </w:r>
      <w:r>
        <w:t>on</w:t>
      </w:r>
      <w:r w:rsidR="00BD4D22">
        <w:t xml:space="preserve"> the </w:t>
      </w:r>
      <w:r>
        <w:t>current Predictive</w:t>
      </w:r>
      <w:r w:rsidR="00BD4D22">
        <w:t xml:space="preserve"> Maintenance (PdM)</w:t>
      </w:r>
      <w:r>
        <w:t xml:space="preserve"> research</w:t>
      </w:r>
      <w:r w:rsidR="00BD4D22">
        <w:t xml:space="preserve"> under the concept of I4.0 utilises modern </w:t>
      </w:r>
      <w:r w:rsidR="00037CBA">
        <w:t>Big</w:t>
      </w:r>
      <w:r w:rsidR="00736C2A">
        <w:t xml:space="preserve"> </w:t>
      </w:r>
      <w:r w:rsidR="00037CBA">
        <w:t>Data analytical tools</w:t>
      </w:r>
      <w:r w:rsidR="00BD4D22">
        <w:t xml:space="preserve"> in </w:t>
      </w:r>
      <w:r w:rsidR="00037CBA">
        <w:t xml:space="preserve">assessing failure (diagnosis and prognosis) and optimisation (resources) </w:t>
      </w:r>
      <w:r>
        <w:t xml:space="preserve">purposes. </w:t>
      </w:r>
      <w:r w:rsidR="00BA6FFE">
        <w:t>However,</w:t>
      </w:r>
      <w:r>
        <w:t xml:space="preserve"> </w:t>
      </w:r>
      <w:r w:rsidR="00B4321A">
        <w:t xml:space="preserve">the literature </w:t>
      </w:r>
      <w:r w:rsidR="00BA6FFE">
        <w:t>reports a</w:t>
      </w:r>
      <w:r w:rsidR="00DE0284">
        <w:t xml:space="preserve"> </w:t>
      </w:r>
      <w:r w:rsidR="00BD4D22">
        <w:t xml:space="preserve">rule-based approach while </w:t>
      </w:r>
      <w:r w:rsidR="00BD4D22">
        <w:lastRenderedPageBreak/>
        <w:t>upholding the same philosophy o</w:t>
      </w:r>
      <w:r w:rsidR="00037CBA">
        <w:t>f</w:t>
      </w:r>
      <w:r w:rsidR="00BD4D22">
        <w:t xml:space="preserve"> preventing stoppages</w:t>
      </w:r>
      <w:r w:rsidR="009C6AFC">
        <w:t xml:space="preserve"> </w:t>
      </w:r>
      <w:r w:rsidR="009C6AFC">
        <w:fldChar w:fldCharType="begin" w:fldLock="1"/>
      </w:r>
      <w:r w:rsidR="00C076B6">
        <w:instrText>ADDIN CSL_CITATION {"citationItems":[{"id":"ITEM-1","itemData":{"DOI":"10.1109/FUZZ48607.2020.9177762","ISBN":"9781728169323","ISSN":"10987584","abstract":"Detection of anomalous behaviors in data centers is crucial to predictive maintenance and data safety. With data centers, we mean any computer network that allows users to transmit and exchange data and information. In particular, we focus on the Tier-1 data center of the Italian Institute for Nuclear Physics (INFN), which supports the high-energy physics experiments at the Large Hadron Collider (LHC) in Geneva. The center provides resources and services needed for data processing, storage, analysis, and distribution. Log records in the data center is a stochastic and non-stationary phenomenon in nature. We propose a real-time approach to monitor and classify log records based on sliding time windows, and a time-varying evolving fuzzy-rule-based classification model. The most frequent log pattern according to a control chart is taken as the normal system status. We extract attributes from time windows to gradually develop and update an evolving Gaussian Fuzzy Classifier (eGFC) on the fly. The real-time anomaly monitoring system has to provide encouraging results in terms of accuracy, compactness, and real-time operation.","author":[{"dropping-particle":"","family":"Decker","given":"Leticia","non-dropping-particle":"","parse-names":false,"suffix":""},{"dropping-particle":"","family":"Leite","given":"Daniel","non-dropping-particle":"","parse-names":false,"suffix":""},{"dropping-particle":"","family":"Giommi","given":"Luca","non-dropping-particle":"","parse-names":false,"suffix":""},{"dropping-particle":"","family":"Bonacorsi","given":"Daniele","non-dropping-particle":"","parse-names":false,"suffix":""}],"container-title":"IEEE International Conference on Fuzzy Systems","id":"ITEM-1","issued":{"date-parts":[["2020"]]},"title":"Real-time anomaly detection in data centers for log-based predictive maintenance using an evolving fuzzy-rule-based approach","type":"article-journal","volume":"2020-July"},"uris":["http://www.mendeley.com/documents/?uuid=e74a097e-2ebf-4d52-b9ac-4d932c9a8c02"]},{"id":"ITEM-2","itemData":{"ISSN":"2331-8422","abstract":"Attribute Oriented Induction (AOI) is a data mining algorithm used for extracting knowledge of relational data, taking into account expert knowledge. It is a clustering algorithm that works by transforming the values of the attributes and converting an instance into others that are more generic or ambiguous. In this way, it seeks similarities between elements to generate data groupings. AOI was initially conceived as an algorithm for knowledge discovery in databases, but over the years it has been applied to other areas such as spatial patterns, intrusion detection or strategy making. In this paper, AOI has been extended to the field of Predictive Maintenance. The objective is to demonstrate that combining expert knowledge and data collected from the machine can provide good results in the Predictive Maintenance of industrial assets. To this end we adapted the algorithm and used an LSTM approach to perform both the Anomaly Detection (AD) and the Remaining Useful Life (RUL). The results obtained confirm the validity of the proposal, as the methodology was able to detect anomalies, and calculate the RUL until breakage with considerable degree of accuracy.","author":[{"dropping-particle":"","family":"Fernandez-Anakabe","given":"Javier","non-dropping-particle":"","parse-names":false,"suffix":""},{"dropping-particle":"","family":"Uriguen","given":"Ekhi Zugasti","non-dropping-particle":"","parse-names":false,"suffix":""},{"dropping-particle":"","family":"Ortega","given":"Urko Zurutuza","non-dropping-particle":"","parse-names":false,"suffix":""}],"id":"ITEM-2","issued":{"date-parts":[["2019"]]},"title":"An Attribute Oriented Induction based Methodology for Data Driven Predictive Maintenance","type":"report"},"uris":["http://www.mendeley.com/documents/?uuid=ab87218d-6701-4314-8acc-c30b8a167a92"]}],"mendeley":{"formattedCitation":"[28], [29]","plainTextFormattedCitation":"[28], [29]","previouslyFormattedCitation":"[28], [29]"},"properties":{"noteIndex":0},"schema":"https://github.com/citation-style-language/schema/raw/master/csl-citation.json"}</w:instrText>
      </w:r>
      <w:r w:rsidR="009C6AFC">
        <w:fldChar w:fldCharType="separate"/>
      </w:r>
      <w:r w:rsidR="00273FB8" w:rsidRPr="00273FB8">
        <w:rPr>
          <w:noProof/>
        </w:rPr>
        <w:t>[28], [29]</w:t>
      </w:r>
      <w:r w:rsidR="009C6AFC">
        <w:fldChar w:fldCharType="end"/>
      </w:r>
      <w:r w:rsidR="00BD4D22">
        <w:t>.</w:t>
      </w:r>
      <w:r w:rsidR="003D4D1D">
        <w:t xml:space="preserve"> </w:t>
      </w:r>
      <w:r w:rsidR="006C0082">
        <w:t>M</w:t>
      </w:r>
      <w:r w:rsidR="003D4D1D">
        <w:t xml:space="preserve">odelling the failure as a static time to an event with </w:t>
      </w:r>
      <w:r w:rsidR="00DE0284">
        <w:t xml:space="preserve">an </w:t>
      </w:r>
      <w:r w:rsidR="003D4D1D">
        <w:t>empirical pre-set failure threshold</w:t>
      </w:r>
      <w:r w:rsidR="006C0082">
        <w:t xml:space="preserve"> is usually set in the literature</w:t>
      </w:r>
      <w:r w:rsidR="008C5B8A">
        <w:t xml:space="preserve"> as rule-based control limits.</w:t>
      </w:r>
      <w:r w:rsidR="00CB2399">
        <w:t xml:space="preserve"> These fixed thresholds set either by chance or experience are a major problem in dynamic industrial processes. </w:t>
      </w:r>
      <w:r w:rsidR="00CA39DD">
        <w:t>For instance, some processes may start degrading earlier and maintain some stability over time but cause major problems and consumption of resources since they are working below static thresholds (</w:t>
      </w:r>
      <w:r w:rsidR="00AA0B5E">
        <w:t xml:space="preserve">left in </w:t>
      </w:r>
      <w:r w:rsidR="00CA39DD">
        <w:fldChar w:fldCharType="begin"/>
      </w:r>
      <w:r w:rsidR="00CA39DD">
        <w:instrText xml:space="preserve"> REF _Ref100320948 \h </w:instrText>
      </w:r>
      <w:r w:rsidR="00CA39DD">
        <w:fldChar w:fldCharType="separate"/>
      </w:r>
      <w:r w:rsidR="00587AF0">
        <w:t xml:space="preserve">Figure </w:t>
      </w:r>
      <w:r w:rsidR="00587AF0">
        <w:rPr>
          <w:noProof/>
        </w:rPr>
        <w:t>4</w:t>
      </w:r>
      <w:r w:rsidR="00CA39DD">
        <w:fldChar w:fldCharType="end"/>
      </w:r>
      <w:r w:rsidR="00CA39DD">
        <w:t xml:space="preserve">). These fixed thresholds do not work well over a longer period. Therefore, re-defining control limits after each specific production batch can cope with such instances since an expectation is that the process will have some degree of degradation over time. </w:t>
      </w:r>
      <w:r w:rsidR="00AA0B5E">
        <w:t xml:space="preserve">Therefore, the thesis author introduces the dynamic signal thresholds (right in </w:t>
      </w:r>
      <w:r w:rsidR="00AA0B5E">
        <w:fldChar w:fldCharType="begin"/>
      </w:r>
      <w:r w:rsidR="00AA0B5E">
        <w:instrText xml:space="preserve"> REF _Ref100320948 \h </w:instrText>
      </w:r>
      <w:r w:rsidR="00AA0B5E">
        <w:fldChar w:fldCharType="separate"/>
      </w:r>
      <w:r w:rsidR="00587AF0">
        <w:t xml:space="preserve">Figure </w:t>
      </w:r>
      <w:r w:rsidR="00587AF0">
        <w:rPr>
          <w:noProof/>
        </w:rPr>
        <w:t>4</w:t>
      </w:r>
      <w:r w:rsidR="00AA0B5E">
        <w:fldChar w:fldCharType="end"/>
      </w:r>
      <w:r w:rsidR="00AA0B5E">
        <w:t>) abstracted as quasi-faults (QF). This can help differentiate between total failure (TF) thresholds to optimise decision-making and conduct maintenance actions based on dynamic reasoning when a certain QF is surpassed. That way, processes can always be maintained at a “peak” efficiency without stoppages.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06"/>
      </w:tblGrid>
      <w:tr w:rsidR="00246F3C" w14:paraId="3505EC7C" w14:textId="77777777" w:rsidTr="00FC665F">
        <w:tc>
          <w:tcPr>
            <w:tcW w:w="4521" w:type="dxa"/>
          </w:tcPr>
          <w:p w14:paraId="64C378C4" w14:textId="051DD97F" w:rsidR="00246F3C" w:rsidRDefault="00246F3C" w:rsidP="00246F3C">
            <w:pPr>
              <w:keepNext/>
              <w:jc w:val="center"/>
            </w:pPr>
            <w:r>
              <w:rPr>
                <w:noProof/>
              </w:rPr>
              <w:drawing>
                <wp:inline distT="0" distB="0" distL="0" distR="0" wp14:anchorId="652D8479" wp14:editId="4FF25600">
                  <wp:extent cx="2795051" cy="1456055"/>
                  <wp:effectExtent l="0" t="0" r="5715" b="0"/>
                  <wp:docPr id="69" name="Picture 6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Diagram, engineering drawing&#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31726" cy="1475161"/>
                          </a:xfrm>
                          <a:prstGeom prst="rect">
                            <a:avLst/>
                          </a:prstGeom>
                          <a:noFill/>
                          <a:ln>
                            <a:noFill/>
                          </a:ln>
                        </pic:spPr>
                      </pic:pic>
                    </a:graphicData>
                  </a:graphic>
                </wp:inline>
              </w:drawing>
            </w:r>
          </w:p>
        </w:tc>
        <w:tc>
          <w:tcPr>
            <w:tcW w:w="4506" w:type="dxa"/>
          </w:tcPr>
          <w:p w14:paraId="39FCDF0E" w14:textId="598B47A3" w:rsidR="00246F3C" w:rsidRDefault="00246F3C" w:rsidP="00246F3C">
            <w:pPr>
              <w:keepNext/>
              <w:jc w:val="center"/>
            </w:pPr>
            <w:r>
              <w:rPr>
                <w:noProof/>
              </w:rPr>
              <w:drawing>
                <wp:inline distT="0" distB="0" distL="0" distR="0" wp14:anchorId="67AFD598" wp14:editId="1EDA252E">
                  <wp:extent cx="2790209" cy="1382753"/>
                  <wp:effectExtent l="0" t="0" r="0" b="825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94450" cy="1384855"/>
                          </a:xfrm>
                          <a:prstGeom prst="rect">
                            <a:avLst/>
                          </a:prstGeom>
                          <a:noFill/>
                          <a:ln>
                            <a:noFill/>
                          </a:ln>
                        </pic:spPr>
                      </pic:pic>
                    </a:graphicData>
                  </a:graphic>
                </wp:inline>
              </w:drawing>
            </w:r>
          </w:p>
        </w:tc>
      </w:tr>
    </w:tbl>
    <w:p w14:paraId="4746FB0D" w14:textId="5ED66E3D" w:rsidR="000B6166" w:rsidRDefault="00246F3C" w:rsidP="000B6166">
      <w:pPr>
        <w:pStyle w:val="Caption"/>
      </w:pPr>
      <w:bookmarkStart w:id="42" w:name="_Ref100320948"/>
      <w:bookmarkStart w:id="43" w:name="_Toc101274526"/>
      <w:r>
        <w:t xml:space="preserve">Figure </w:t>
      </w:r>
      <w:fldSimple w:instr=" SEQ Figure \* ARABIC ">
        <w:r w:rsidR="00587AF0">
          <w:rPr>
            <w:noProof/>
          </w:rPr>
          <w:t>4</w:t>
        </w:r>
      </w:fldSimple>
      <w:bookmarkEnd w:id="42"/>
      <w:r>
        <w:t>. Functional-productiveness control boundaries with quasi-faults (QF)</w:t>
      </w:r>
      <w:r>
        <w:fldChar w:fldCharType="begin" w:fldLock="1"/>
      </w:r>
      <w:r w:rsidR="00416869">
        <w:instrText>ADDIN CSL_CITATION {"citationItems":[{"id":"ITEM-1","itemData":{"DOI":"10.1109/ICSRS53853.2021.9660739","ISBN":"978-1-6654-0049-7","author":[{"dropping-particle":"","family":"Orosnjak","given":"Marko","non-dropping-particle":"","parse-names":false,"suffix":""}],"container-title":"2021 5th International Conference on System Reliability and Safety (ICSRS)","id":"ITEM-1","issued":{"date-parts":[["2021","11","24"]]},"page":"108-114","publisher":"IEEE","title":"Maintenance Practice Performance Assessment of Hydraulic Machinery: West Balkan Meta-Statistics and Energy-Based Maintenance Paradigm","type":"paper-conference"},"uris":["http://www.mendeley.com/documents/?uuid=be38bd3e-19d6-4cab-a1ca-3a9c26c12953"]}],"mendeley":{"formattedCitation":"[26]","plainTextFormattedCitation":"[26]","previouslyFormattedCitation":"[26]"},"properties":{"noteIndex":0},"schema":"https://github.com/citation-style-language/schema/raw/master/csl-citation.json"}</w:instrText>
      </w:r>
      <w:r>
        <w:fldChar w:fldCharType="separate"/>
      </w:r>
      <w:r w:rsidRPr="00246F3C">
        <w:rPr>
          <w:noProof/>
        </w:rPr>
        <w:t>[26]</w:t>
      </w:r>
      <w:r>
        <w:fldChar w:fldCharType="end"/>
      </w:r>
      <w:r w:rsidR="00E21D69">
        <w:t xml:space="preserve"> for static thresholds (left) and dynamic (right) thresholds</w:t>
      </w:r>
      <w:bookmarkEnd w:id="43"/>
      <w:r w:rsidR="000B6166">
        <w:t xml:space="preserve"> </w:t>
      </w:r>
    </w:p>
    <w:p w14:paraId="260DE966" w14:textId="233038AD" w:rsidR="00BD4D22" w:rsidRDefault="00B831C2" w:rsidP="006C0082">
      <w:r>
        <w:t>U</w:t>
      </w:r>
      <w:r w:rsidR="00CB2399">
        <w:t>nder the EBM paradigm, the goal is to allocate markers suitable for re-defining indicators for assessing machine state health.</w:t>
      </w:r>
      <w:r>
        <w:t xml:space="preserve"> The research problem being addressed in the thesis is the determination of markers important for binary classification (diagnostic) purposes in separating healthy from non-healthy states [0, 1]</w:t>
      </w:r>
      <w:r w:rsidR="00927300">
        <w:t>. At the same time,</w:t>
      </w:r>
      <w:r>
        <w:t xml:space="preserve"> these </w:t>
      </w:r>
      <w:r w:rsidR="00927300">
        <w:t xml:space="preserve">markers will be used </w:t>
      </w:r>
      <w:r w:rsidR="00BA6FFE">
        <w:t xml:space="preserve">for the </w:t>
      </w:r>
      <w:r w:rsidR="00927300">
        <w:t xml:space="preserve">reliability </w:t>
      </w:r>
      <w:r w:rsidR="00983270">
        <w:t>analysis</w:t>
      </w:r>
      <w:r w:rsidR="00FB1F3C">
        <w:t xml:space="preserve"> of different </w:t>
      </w:r>
      <w:r w:rsidR="00927300">
        <w:t>scenario</w:t>
      </w:r>
      <w:r w:rsidR="00FB1F3C">
        <w:t>s</w:t>
      </w:r>
      <w:r w:rsidR="00BA6FFE">
        <w:t xml:space="preserve"> to optimise maintenance decision-making</w:t>
      </w:r>
      <w:r w:rsidR="00927300">
        <w:t>.</w:t>
      </w:r>
      <w:r w:rsidR="000B6166">
        <w:t xml:space="preserve"> Therefore, several statistical parameters will be used to assess the system behaviour. For instance, the most commonly used markers of such kind are mean value (μ) and </w:t>
      </w:r>
      <w:r w:rsidR="003001DE">
        <w:t>variance (</w:t>
      </w:r>
      <w:r w:rsidR="003001DE" w:rsidRPr="003001DE">
        <w:t>σ</w:t>
      </w:r>
      <w:r w:rsidR="003001DE" w:rsidRPr="003001DE">
        <w:rPr>
          <w:vertAlign w:val="superscript"/>
        </w:rPr>
        <w:t>2</w:t>
      </w:r>
      <w:r w:rsidR="003001DE">
        <w:t>) or standard deviation (</w:t>
      </w:r>
      <w:r w:rsidR="003001DE" w:rsidRPr="003001DE">
        <w:t>σ</w:t>
      </w:r>
      <w:r w:rsidR="003001DE">
        <w:t>), which are used to establish the process behaviour compared with input and output values of different sources.</w:t>
      </w:r>
      <w:r w:rsidR="000B6166">
        <w:t xml:space="preserve"> </w:t>
      </w:r>
      <w:r w:rsidR="003001DE">
        <w:t>Aside from using the first raw mathematical moment (mean value) and second centralized moment (variance), the author will also include the third and fourth standardised moment (skewness and kurtosis) and other parameters for assessing the power signal behaviour.</w:t>
      </w:r>
    </w:p>
    <w:p w14:paraId="58FC4DB6" w14:textId="3522784A" w:rsidR="0014281F" w:rsidRDefault="0014281F" w:rsidP="0014281F">
      <w:pPr>
        <w:pStyle w:val="Heading2"/>
      </w:pPr>
      <w:bookmarkStart w:id="44" w:name="_Toc62467366"/>
      <w:bookmarkStart w:id="45" w:name="_Toc91575372"/>
      <w:bookmarkStart w:id="46" w:name="_Toc93759851"/>
      <w:bookmarkStart w:id="47" w:name="_Toc93759955"/>
      <w:bookmarkStart w:id="48" w:name="_Toc101274319"/>
      <w:r>
        <w:t>Research Aim</w:t>
      </w:r>
      <w:r w:rsidR="00061F70">
        <w:t>s</w:t>
      </w:r>
      <w:r>
        <w:t xml:space="preserve"> and Objectives</w:t>
      </w:r>
      <w:bookmarkEnd w:id="44"/>
      <w:bookmarkEnd w:id="45"/>
      <w:bookmarkEnd w:id="46"/>
      <w:bookmarkEnd w:id="47"/>
      <w:bookmarkEnd w:id="48"/>
    </w:p>
    <w:p w14:paraId="05D57111" w14:textId="73E6B510" w:rsidR="00006350" w:rsidRDefault="00D67C31" w:rsidP="00EC67C5">
      <w:r>
        <w:t>T</w:t>
      </w:r>
      <w:r w:rsidR="000C7745">
        <w:t xml:space="preserve">he thesis aims to provide a conceptual framework of </w:t>
      </w:r>
      <w:r w:rsidR="000B5099" w:rsidRPr="000B5099">
        <w:t>EBM</w:t>
      </w:r>
      <w:r w:rsidR="000C7745">
        <w:t xml:space="preserve"> and the mathematical formulation of functional</w:t>
      </w:r>
      <w:r w:rsidR="00CB2399">
        <w:t xml:space="preserve"> </w:t>
      </w:r>
      <w:r w:rsidR="000C7745">
        <w:t xml:space="preserve">productiveness </w:t>
      </w:r>
      <w:r w:rsidR="004A037B">
        <w:t>to determine</w:t>
      </w:r>
      <w:r w:rsidR="000C7745">
        <w:t xml:space="preserve"> </w:t>
      </w:r>
      <w:r w:rsidR="005F18AE">
        <w:t>quasi-faults</w:t>
      </w:r>
      <w:r w:rsidR="000B5099">
        <w:t xml:space="preserve"> (</w:t>
      </w:r>
      <w:r w:rsidR="004672F9">
        <w:t>degradation markers</w:t>
      </w:r>
      <w:r w:rsidR="000B5099">
        <w:t>)</w:t>
      </w:r>
      <w:r w:rsidR="005F18AE">
        <w:t xml:space="preserve"> </w:t>
      </w:r>
      <w:r w:rsidR="009C585A">
        <w:t xml:space="preserve">used </w:t>
      </w:r>
      <w:r w:rsidR="005F18AE">
        <w:t>for</w:t>
      </w:r>
      <w:r w:rsidR="009C585A">
        <w:t xml:space="preserve"> classification purposes</w:t>
      </w:r>
      <w:r w:rsidR="005F18AE">
        <w:t>.</w:t>
      </w:r>
      <w:r w:rsidR="004672F9">
        <w:t xml:space="preserve"> For instance,</w:t>
      </w:r>
      <w:r w:rsidR="004040EA">
        <w:t xml:space="preserve"> in the Preventive Maintenance (PM) and CBM </w:t>
      </w:r>
      <w:r w:rsidR="007833B4">
        <w:t>domain</w:t>
      </w:r>
      <w:r w:rsidR="00DF775B">
        <w:t>, the system could be considered operational and functional</w:t>
      </w:r>
      <w:r w:rsidR="001A6491">
        <w:t xml:space="preserve"> even if it </w:t>
      </w:r>
      <w:r w:rsidR="00D56779">
        <w:t xml:space="preserve">is </w:t>
      </w:r>
      <w:r w:rsidR="001A6491">
        <w:t xml:space="preserve">causing environmental </w:t>
      </w:r>
      <w:r w:rsidR="007833B4">
        <w:t>pollution</w:t>
      </w:r>
      <w:r w:rsidR="001A6491">
        <w:t xml:space="preserve"> and </w:t>
      </w:r>
      <w:r w:rsidR="00745BCB">
        <w:t>reduced</w:t>
      </w:r>
      <w:r w:rsidR="001A6491">
        <w:t xml:space="preserve"> operati</w:t>
      </w:r>
      <w:r w:rsidR="007833B4">
        <w:t>onal</w:t>
      </w:r>
      <w:r w:rsidR="001A6491">
        <w:t xml:space="preserve"> efficiency. </w:t>
      </w:r>
      <w:r w:rsidR="007833B4">
        <w:t>In such circumstances</w:t>
      </w:r>
      <w:r w:rsidR="00406492">
        <w:t>,</w:t>
      </w:r>
      <w:r w:rsidR="007833B4">
        <w:t xml:space="preserve"> </w:t>
      </w:r>
      <w:r w:rsidR="00745BCB">
        <w:t xml:space="preserve">it </w:t>
      </w:r>
      <w:r w:rsidR="007833B4">
        <w:t xml:space="preserve">causes </w:t>
      </w:r>
      <w:r w:rsidR="00745BCB">
        <w:t xml:space="preserve">energy </w:t>
      </w:r>
      <w:r w:rsidR="00DE0284">
        <w:t xml:space="preserve">to </w:t>
      </w:r>
      <w:r w:rsidR="007833B4">
        <w:t xml:space="preserve">waste </w:t>
      </w:r>
      <w:r w:rsidR="00745BCB">
        <w:t>on one side, while on the other</w:t>
      </w:r>
      <w:r w:rsidR="00B83405">
        <w:t>,</w:t>
      </w:r>
      <w:r w:rsidR="00745BCB">
        <w:t xml:space="preserve"> it </w:t>
      </w:r>
      <w:r w:rsidR="001A6491">
        <w:t>does not</w:t>
      </w:r>
      <w:r w:rsidR="00E934F5">
        <w:t xml:space="preserve"> produce enough output to be considered liable and held in operation</w:t>
      </w:r>
      <w:r w:rsidR="007833B4">
        <w:t>, depending on the quality practice imposed</w:t>
      </w:r>
      <w:r w:rsidR="001A6491">
        <w:t>.</w:t>
      </w:r>
      <w:r w:rsidR="00E934F5">
        <w:t xml:space="preserve"> </w:t>
      </w:r>
      <w:r w:rsidR="002F76E5">
        <w:t>T</w:t>
      </w:r>
      <w:r w:rsidR="0037754F">
        <w:t xml:space="preserve">he </w:t>
      </w:r>
      <w:r w:rsidR="001A6491">
        <w:t xml:space="preserve">system needs to be stopped and subjected to corrective actions </w:t>
      </w:r>
      <w:r w:rsidR="00006350">
        <w:t>before</w:t>
      </w:r>
      <w:r w:rsidR="001A6491">
        <w:t xml:space="preserve"> return</w:t>
      </w:r>
      <w:r w:rsidR="00006350">
        <w:t>ing</w:t>
      </w:r>
      <w:r w:rsidR="001A6491">
        <w:t xml:space="preserve"> to </w:t>
      </w:r>
      <w:r w:rsidR="001838B1">
        <w:t>a</w:t>
      </w:r>
      <w:r w:rsidR="0037754F">
        <w:t xml:space="preserve"> </w:t>
      </w:r>
      <w:r w:rsidR="001A6491" w:rsidRPr="002F76E5">
        <w:rPr>
          <w:b/>
          <w:bCs/>
          <w:i/>
          <w:iCs/>
        </w:rPr>
        <w:t>productive state</w:t>
      </w:r>
      <w:r w:rsidR="001A6491">
        <w:t xml:space="preserve">, </w:t>
      </w:r>
      <w:r w:rsidR="00CB2399">
        <w:t>consuming</w:t>
      </w:r>
      <w:r w:rsidR="001A6491">
        <w:t xml:space="preserve"> time, costs</w:t>
      </w:r>
      <w:r w:rsidR="006328E2">
        <w:t>,</w:t>
      </w:r>
      <w:r w:rsidR="001A6491">
        <w:t xml:space="preserve"> and energy.</w:t>
      </w:r>
    </w:p>
    <w:p w14:paraId="48B417C5" w14:textId="4CB841D1" w:rsidR="00E934F5" w:rsidRDefault="00EC67C5" w:rsidP="00EC67C5">
      <w:r>
        <w:t>The FP</w:t>
      </w:r>
      <w:r w:rsidR="004616FF">
        <w:t>C</w:t>
      </w:r>
      <w:r w:rsidR="00843776">
        <w:t xml:space="preserve"> concept</w:t>
      </w:r>
      <w:r w:rsidR="00016BE6">
        <w:t xml:space="preserve"> </w:t>
      </w:r>
      <w:r w:rsidR="004616FF">
        <w:t>takes</w:t>
      </w:r>
      <w:r w:rsidR="00016BE6">
        <w:t xml:space="preserve"> </w:t>
      </w:r>
      <w:r w:rsidR="004616FF">
        <w:t>predictors</w:t>
      </w:r>
      <w:r w:rsidR="00016BE6">
        <w:t xml:space="preserve"> for determining </w:t>
      </w:r>
      <w:r w:rsidR="00153EC6">
        <w:t xml:space="preserve">(un)functional-productivity </w:t>
      </w:r>
      <w:r w:rsidR="00016BE6">
        <w:t>–</w:t>
      </w:r>
      <w:r w:rsidR="00BA55DD">
        <w:t xml:space="preserve"> </w:t>
      </w:r>
      <w:r w:rsidR="00016BE6">
        <w:t>un</w:t>
      </w:r>
      <w:r w:rsidR="00BA55DD">
        <w:t xml:space="preserve">safe and </w:t>
      </w:r>
      <w:r w:rsidR="00016BE6">
        <w:t>polluti</w:t>
      </w:r>
      <w:r w:rsidR="00153EC6">
        <w:t>ng</w:t>
      </w:r>
      <w:r w:rsidR="00BA55DD">
        <w:t xml:space="preserve"> conditions</w:t>
      </w:r>
      <w:r w:rsidR="00016BE6">
        <w:t xml:space="preserve">, besides energy </w:t>
      </w:r>
      <w:r w:rsidR="003873A4">
        <w:t>(over)</w:t>
      </w:r>
      <w:r w:rsidR="00016BE6">
        <w:t>consumption</w:t>
      </w:r>
      <w:r w:rsidR="00BA55DD">
        <w:t>.</w:t>
      </w:r>
      <w:r w:rsidR="007202D9">
        <w:t xml:space="preserve"> </w:t>
      </w:r>
      <w:r>
        <w:t xml:space="preserve">The lack of defined control limits for </w:t>
      </w:r>
      <w:r w:rsidR="00BB433E">
        <w:t>these markers</w:t>
      </w:r>
      <w:r>
        <w:t xml:space="preserve"> that are not pre-defined </w:t>
      </w:r>
      <w:r w:rsidR="00153EC6">
        <w:t xml:space="preserve">is another </w:t>
      </w:r>
      <w:r>
        <w:t xml:space="preserve">cause </w:t>
      </w:r>
      <w:r w:rsidR="00BB433E">
        <w:t xml:space="preserve">why </w:t>
      </w:r>
      <w:r w:rsidR="00BA55DD">
        <w:t xml:space="preserve">data scientists </w:t>
      </w:r>
      <w:r w:rsidR="00BB433E">
        <w:t xml:space="preserve">fail </w:t>
      </w:r>
      <w:r w:rsidR="00BA55DD">
        <w:t xml:space="preserve">to determine and </w:t>
      </w:r>
      <w:r w:rsidR="00BA55DD">
        <w:lastRenderedPageBreak/>
        <w:t>understand</w:t>
      </w:r>
      <w:r>
        <w:t xml:space="preserve"> the f</w:t>
      </w:r>
      <w:r w:rsidR="00D2219D">
        <w:t>law</w:t>
      </w:r>
      <w:r>
        <w:t>s and failure mechanisms.</w:t>
      </w:r>
      <w:r w:rsidR="007202D9">
        <w:t xml:space="preserve"> </w:t>
      </w:r>
      <w:r w:rsidR="00B83405">
        <w:t>T</w:t>
      </w:r>
      <w:r>
        <w:t>o</w:t>
      </w:r>
      <w:r w:rsidR="00EB26D3">
        <w:t xml:space="preserve"> </w:t>
      </w:r>
      <w:r>
        <w:t xml:space="preserve">provide </w:t>
      </w:r>
      <w:r w:rsidR="0037754F">
        <w:t xml:space="preserve">a </w:t>
      </w:r>
      <w:r>
        <w:t>deeper understanding</w:t>
      </w:r>
      <w:r w:rsidR="00EB26D3">
        <w:t xml:space="preserve"> o</w:t>
      </w:r>
      <w:r w:rsidR="009C585A">
        <w:t xml:space="preserve">f </w:t>
      </w:r>
      <w:r>
        <w:t>the impact of the proposed solution</w:t>
      </w:r>
      <w:r w:rsidR="009C585A">
        <w:t>,</w:t>
      </w:r>
      <w:r w:rsidR="00EB26D3">
        <w:t xml:space="preserve"> the author set f</w:t>
      </w:r>
      <w:r w:rsidR="00B83405">
        <w:t>ive</w:t>
      </w:r>
      <w:r w:rsidR="00EB26D3">
        <w:t xml:space="preserve"> </w:t>
      </w:r>
      <w:r w:rsidR="00A26928">
        <w:t xml:space="preserve">research </w:t>
      </w:r>
      <w:r w:rsidR="00EB26D3">
        <w:t>objectives</w:t>
      </w:r>
      <w:r w:rsidR="0053697D">
        <w:t>.</w:t>
      </w:r>
    </w:p>
    <w:p w14:paraId="5EB38E9E" w14:textId="692E2D50" w:rsidR="001029AC" w:rsidRDefault="001029AC" w:rsidP="001029AC">
      <w:r>
        <w:t xml:space="preserve">The </w:t>
      </w:r>
      <w:r w:rsidR="00A26928">
        <w:t>first</w:t>
      </w:r>
      <w:r>
        <w:t xml:space="preserve"> objective is to investigate </w:t>
      </w:r>
      <w:r w:rsidR="001838B1">
        <w:t xml:space="preserve">the </w:t>
      </w:r>
      <w:r>
        <w:t>current</w:t>
      </w:r>
      <w:r w:rsidR="00A26928">
        <w:t xml:space="preserve"> philosophy of maintenance research by investigating</w:t>
      </w:r>
      <w:r>
        <w:t xml:space="preserve"> </w:t>
      </w:r>
      <w:r w:rsidR="00A26928">
        <w:t>scientific projects in the EU</w:t>
      </w:r>
      <w:r>
        <w:t xml:space="preserve"> </w:t>
      </w:r>
      <w:r w:rsidR="00A26928">
        <w:t xml:space="preserve">on industrial maintenance. </w:t>
      </w:r>
      <w:r w:rsidR="00DE0284">
        <w:t>The o</w:t>
      </w:r>
      <w:r w:rsidR="00D2219D">
        <w:t>bjective aim</w:t>
      </w:r>
      <w:r w:rsidR="00B23F2C">
        <w:t xml:space="preserve">s </w:t>
      </w:r>
      <w:r w:rsidR="00A26928">
        <w:t xml:space="preserve">to </w:t>
      </w:r>
      <w:r w:rsidR="00B83405">
        <w:t>understand</w:t>
      </w:r>
      <w:r w:rsidR="00A26928">
        <w:t xml:space="preserve"> the </w:t>
      </w:r>
      <w:r w:rsidR="00BC6A21">
        <w:t>maintenance technology</w:t>
      </w:r>
      <w:r w:rsidR="00A26928">
        <w:t xml:space="preserve"> researched behind </w:t>
      </w:r>
      <w:r w:rsidR="00B83405">
        <w:t xml:space="preserve">a </w:t>
      </w:r>
      <w:r w:rsidR="00A26928">
        <w:t>particular ideology</w:t>
      </w:r>
      <w:r>
        <w:t xml:space="preserve">. </w:t>
      </w:r>
      <w:r w:rsidR="00B23F2C">
        <w:t>Moreover, the</w:t>
      </w:r>
      <w:r>
        <w:t xml:space="preserve"> </w:t>
      </w:r>
      <w:r w:rsidR="00B23F2C">
        <w:t>specifics of the proposed research objective include (1) determining</w:t>
      </w:r>
      <w:r>
        <w:t xml:space="preserve"> the most common type</w:t>
      </w:r>
      <w:r w:rsidR="00B23F2C">
        <w:t>s</w:t>
      </w:r>
      <w:r>
        <w:t xml:space="preserve"> of maintenance policies/strategies</w:t>
      </w:r>
      <w:r w:rsidR="00B23F2C">
        <w:t>; (2) searching for</w:t>
      </w:r>
      <w:r>
        <w:t xml:space="preserve"> the presence of energy-oriented maintenance research within the R&amp;I projects funded by </w:t>
      </w:r>
      <w:r w:rsidR="0037754F">
        <w:t xml:space="preserve">the </w:t>
      </w:r>
      <w:r>
        <w:t>European Commission</w:t>
      </w:r>
      <w:r w:rsidR="00B23F2C">
        <w:t>; (3) and discuss the lack of achievements</w:t>
      </w:r>
      <w:r w:rsidR="00BC6A21">
        <w:t>,</w:t>
      </w:r>
      <w:r w:rsidR="00B23F2C">
        <w:t xml:space="preserve"> objectively</w:t>
      </w:r>
      <w:r w:rsidR="00BC6A21">
        <w:t>,</w:t>
      </w:r>
      <w:r w:rsidR="00B23F2C">
        <w:t xml:space="preserve"> in comparison to other actual research topics</w:t>
      </w:r>
      <w:r>
        <w:t>. The goal for specifically addressing these projects is eas</w:t>
      </w:r>
      <w:r w:rsidR="0037754F">
        <w:t>y</w:t>
      </w:r>
      <w:r>
        <w:t xml:space="preserve"> to access </w:t>
      </w:r>
      <w:r w:rsidR="00494EC2">
        <w:t xml:space="preserve">and transparent </w:t>
      </w:r>
      <w:r>
        <w:t xml:space="preserve">meta-data of Framework Programmes of R&amp;I projects through </w:t>
      </w:r>
      <w:r w:rsidR="00494EC2" w:rsidRPr="00494EC2">
        <w:t>The Community Research and Development Information Service (CORDIS)</w:t>
      </w:r>
      <w:r>
        <w:t xml:space="preserve"> database. Therefore, the author </w:t>
      </w:r>
      <w:r w:rsidR="00B23F2C">
        <w:t xml:space="preserve">formulates </w:t>
      </w:r>
      <w:r>
        <w:t>the objective as</w:t>
      </w:r>
      <w:r w:rsidR="00E53BDB">
        <w:t xml:space="preserve"> follows.</w:t>
      </w:r>
    </w:p>
    <w:p w14:paraId="5B37C2D9" w14:textId="22F74F3A" w:rsidR="001029AC" w:rsidRDefault="001029AC" w:rsidP="001029AC">
      <w:r w:rsidRPr="001029AC">
        <w:rPr>
          <w:b/>
          <w:bCs/>
        </w:rPr>
        <w:t>RO</w:t>
      </w:r>
      <w:r w:rsidR="00B23F2C">
        <w:rPr>
          <w:b/>
          <w:bCs/>
        </w:rPr>
        <w:t>1</w:t>
      </w:r>
      <w:r w:rsidRPr="001029AC">
        <w:rPr>
          <w:b/>
          <w:bCs/>
        </w:rPr>
        <w:t>.</w:t>
      </w:r>
      <w:r>
        <w:t xml:space="preserve"> </w:t>
      </w:r>
      <w:r w:rsidR="00EB036E" w:rsidRPr="00601224">
        <w:t>Investigat</w:t>
      </w:r>
      <w:r w:rsidR="00A664C1">
        <w:t>e</w:t>
      </w:r>
      <w:r w:rsidR="00EB036E" w:rsidRPr="00601224">
        <w:t xml:space="preserve"> the overall research results and dissemination activities related to industrial maintenance research within R&amp;I EU research projects. </w:t>
      </w:r>
      <w:r w:rsidR="0022234D" w:rsidRPr="00601224">
        <w:t>Allocate potential projects</w:t>
      </w:r>
      <w:r w:rsidR="00EB036E" w:rsidRPr="00601224">
        <w:t xml:space="preserve"> related to </w:t>
      </w:r>
      <w:r w:rsidR="001F26B2" w:rsidRPr="00601224">
        <w:t xml:space="preserve">the </w:t>
      </w:r>
      <w:r w:rsidR="00EB036E" w:rsidRPr="00601224">
        <w:t xml:space="preserve">energy-oriented research within </w:t>
      </w:r>
      <w:r w:rsidR="0022234D" w:rsidRPr="00601224">
        <w:t xml:space="preserve">the </w:t>
      </w:r>
      <w:r w:rsidR="00EB036E" w:rsidRPr="00601224">
        <w:t xml:space="preserve">industrial maintenance </w:t>
      </w:r>
      <w:r w:rsidR="0022234D" w:rsidRPr="00601224">
        <w:t xml:space="preserve">domain </w:t>
      </w:r>
      <w:r w:rsidR="00EB036E" w:rsidRPr="00601224">
        <w:t xml:space="preserve">and provide </w:t>
      </w:r>
      <w:r w:rsidR="0037754F" w:rsidRPr="00601224">
        <w:t xml:space="preserve">a </w:t>
      </w:r>
      <w:r w:rsidR="00EB036E" w:rsidRPr="00601224">
        <w:t>general conclusion regarding the current</w:t>
      </w:r>
      <w:r w:rsidR="00790A2D">
        <w:t>ly</w:t>
      </w:r>
      <w:r w:rsidR="00EB036E" w:rsidRPr="00601224">
        <w:t xml:space="preserve"> ongoing research of industrial maintenance for Horizon Europe</w:t>
      </w:r>
      <w:r w:rsidR="00EB036E">
        <w:t>.</w:t>
      </w:r>
    </w:p>
    <w:p w14:paraId="12E3F754" w14:textId="65CB84A2" w:rsidR="00560127" w:rsidRDefault="00EB036E" w:rsidP="00560127">
      <w:r>
        <w:t>The motivation for th</w:t>
      </w:r>
      <w:r w:rsidR="00560127">
        <w:t>is</w:t>
      </w:r>
      <w:r>
        <w:t xml:space="preserve"> research objective is seen through</w:t>
      </w:r>
      <w:r w:rsidR="00560127">
        <w:t xml:space="preserve"> (1) the lack of </w:t>
      </w:r>
      <w:r w:rsidR="00175EEB">
        <w:t>advancement</w:t>
      </w:r>
      <w:r>
        <w:t xml:space="preserve"> of industrial maintenance in I4.0</w:t>
      </w:r>
      <w:r w:rsidR="00175EEB">
        <w:t>;</w:t>
      </w:r>
      <w:r>
        <w:t xml:space="preserve"> </w:t>
      </w:r>
      <w:r w:rsidR="00560127">
        <w:t xml:space="preserve">(2) </w:t>
      </w:r>
      <w:r>
        <w:t xml:space="preserve">research </w:t>
      </w:r>
      <w:r w:rsidR="00175EEB">
        <w:t>agendas</w:t>
      </w:r>
      <w:r>
        <w:t xml:space="preserve"> imposed by the Green Deal initiative of </w:t>
      </w:r>
      <w:r w:rsidR="001838B1">
        <w:t xml:space="preserve">the </w:t>
      </w:r>
      <w:r>
        <w:t xml:space="preserve">European Commission regarding </w:t>
      </w:r>
      <w:r w:rsidR="00F46D30">
        <w:t xml:space="preserve">the </w:t>
      </w:r>
      <w:r>
        <w:t>decarboni</w:t>
      </w:r>
      <w:r w:rsidR="005F2B77">
        <w:t>s</w:t>
      </w:r>
      <w:r>
        <w:t>ation of industrial assets by the end of 2050</w:t>
      </w:r>
      <w:r w:rsidR="00175EEB">
        <w:t>;</w:t>
      </w:r>
      <w:r>
        <w:t xml:space="preserve"> </w:t>
      </w:r>
      <w:r w:rsidR="00560127">
        <w:t>(3) lack of industrial maintenance R&amp;I projects in terms of sustainable maintenance performance indicators</w:t>
      </w:r>
      <w:r w:rsidR="0022234D">
        <w:t xml:space="preserve"> (MPIs)</w:t>
      </w:r>
      <w:r w:rsidR="00560127">
        <w:t>.</w:t>
      </w:r>
    </w:p>
    <w:p w14:paraId="2182E549" w14:textId="491B6170" w:rsidR="00DD1CF9" w:rsidRDefault="00DD1CF9" w:rsidP="001029AC">
      <w:r>
        <w:t>The</w:t>
      </w:r>
      <w:r w:rsidR="00C65239">
        <w:t xml:space="preserve"> second</w:t>
      </w:r>
      <w:r>
        <w:t xml:space="preserve"> objective </w:t>
      </w:r>
      <w:r w:rsidR="00C65239">
        <w:t>inclu</w:t>
      </w:r>
      <w:r w:rsidR="00B83405">
        <w:t>d</w:t>
      </w:r>
      <w:r w:rsidR="00C65239">
        <w:t xml:space="preserve">es </w:t>
      </w:r>
      <w:r w:rsidR="00B83405">
        <w:t>applying</w:t>
      </w:r>
      <w:r>
        <w:t xml:space="preserve"> a systematic literature review (SLR) of ongoing </w:t>
      </w:r>
      <w:r w:rsidR="00BF134D">
        <w:t>energy-</w:t>
      </w:r>
      <w:r w:rsidR="009E2585">
        <w:t>dedicated</w:t>
      </w:r>
      <w:r w:rsidR="00BF134D">
        <w:t xml:space="preserve"> maintenance</w:t>
      </w:r>
      <w:r>
        <w:t xml:space="preserve"> research. </w:t>
      </w:r>
      <w:r w:rsidR="00C65239">
        <w:t xml:space="preserve">The specific sub-objectives </w:t>
      </w:r>
      <w:r w:rsidR="00790A2D">
        <w:t>include</w:t>
      </w:r>
      <w:r>
        <w:t xml:space="preserve"> </w:t>
      </w:r>
      <w:r w:rsidR="001C1642">
        <w:t xml:space="preserve">(1) </w:t>
      </w:r>
      <w:r w:rsidR="00C65239">
        <w:t xml:space="preserve">investigation of </w:t>
      </w:r>
      <w:r w:rsidR="00B83405">
        <w:t xml:space="preserve">the </w:t>
      </w:r>
      <w:r>
        <w:t xml:space="preserve">current </w:t>
      </w:r>
      <w:r w:rsidR="00C65239">
        <w:t>school of thought regarding energy-</w:t>
      </w:r>
      <w:r w:rsidR="00F433C8">
        <w:t>dedicated</w:t>
      </w:r>
      <w:r w:rsidR="00C65239">
        <w:t xml:space="preserve"> maintenance</w:t>
      </w:r>
      <w:r>
        <w:t xml:space="preserve"> </w:t>
      </w:r>
      <w:r w:rsidR="001C1642">
        <w:t xml:space="preserve">research </w:t>
      </w:r>
      <w:r>
        <w:t>under various decision-making levels</w:t>
      </w:r>
      <w:r w:rsidR="001C1642">
        <w:t>; (2)</w:t>
      </w:r>
      <w:r>
        <w:t xml:space="preserve"> elaborat</w:t>
      </w:r>
      <w:r w:rsidR="009034B8">
        <w:t>ion</w:t>
      </w:r>
      <w:r>
        <w:t xml:space="preserve"> and discuss</w:t>
      </w:r>
      <w:r w:rsidR="009034B8">
        <w:t>ion</w:t>
      </w:r>
      <w:r>
        <w:t xml:space="preserve"> </w:t>
      </w:r>
      <w:r w:rsidR="00DE0284">
        <w:t xml:space="preserve">of </w:t>
      </w:r>
      <w:r>
        <w:t>potential research gaps and limitations</w:t>
      </w:r>
      <w:r w:rsidR="001C1642">
        <w:t xml:space="preserve"> of the proposed methodology; (3) develop</w:t>
      </w:r>
      <w:r w:rsidR="009034B8">
        <w:t>ment of</w:t>
      </w:r>
      <w:r w:rsidR="001C1642">
        <w:t xml:space="preserve"> the</w:t>
      </w:r>
      <w:r w:rsidR="009034B8">
        <w:t xml:space="preserve"> EBM</w:t>
      </w:r>
      <w:r w:rsidR="001C1642">
        <w:t xml:space="preserve"> conceptual framework subjected to different MDML (Maintenance Decision-Making Level)</w:t>
      </w:r>
      <w:r>
        <w:t xml:space="preserve">. </w:t>
      </w:r>
      <w:r w:rsidR="009E2585">
        <w:t>The</w:t>
      </w:r>
      <w:r>
        <w:t xml:space="preserve"> </w:t>
      </w:r>
      <w:r w:rsidR="001C1642">
        <w:t>second re</w:t>
      </w:r>
      <w:r w:rsidR="00B83405">
        <w:t>se</w:t>
      </w:r>
      <w:r w:rsidR="001C1642">
        <w:t xml:space="preserve">arch </w:t>
      </w:r>
      <w:r>
        <w:t>objective is set as</w:t>
      </w:r>
      <w:r w:rsidR="004E2662">
        <w:t xml:space="preserve"> follows.</w:t>
      </w:r>
    </w:p>
    <w:p w14:paraId="40763593" w14:textId="221E9866" w:rsidR="005223CF" w:rsidRDefault="00DD1CF9" w:rsidP="001029AC">
      <w:r w:rsidRPr="00DD1CF9">
        <w:rPr>
          <w:b/>
          <w:bCs/>
        </w:rPr>
        <w:t>RO</w:t>
      </w:r>
      <w:r w:rsidR="001C1642">
        <w:rPr>
          <w:b/>
          <w:bCs/>
        </w:rPr>
        <w:t>2</w:t>
      </w:r>
      <w:r w:rsidRPr="00DD1CF9">
        <w:rPr>
          <w:b/>
          <w:bCs/>
        </w:rPr>
        <w:t>.</w:t>
      </w:r>
      <w:r>
        <w:t xml:space="preserve"> </w:t>
      </w:r>
      <w:r w:rsidR="00790A2D">
        <w:t>Using systematic analysis, investigate the existing energy-</w:t>
      </w:r>
      <w:r w:rsidR="009034B8">
        <w:t xml:space="preserve">dedicated </w:t>
      </w:r>
      <w:r w:rsidR="00790A2D">
        <w:t xml:space="preserve">maintenance research </w:t>
      </w:r>
      <w:r w:rsidR="004E2662">
        <w:t>related</w:t>
      </w:r>
      <w:r w:rsidR="00F46D30">
        <w:t xml:space="preserve"> to</w:t>
      </w:r>
      <w:r w:rsidR="00790A2D">
        <w:t xml:space="preserve"> MDM and the energy aspect</w:t>
      </w:r>
      <w:r w:rsidR="005223CF">
        <w:t>.</w:t>
      </w:r>
      <w:r w:rsidRPr="00DD1CF9">
        <w:rPr>
          <w:b/>
          <w:bCs/>
        </w:rPr>
        <w:t xml:space="preserve"> </w:t>
      </w:r>
      <w:r w:rsidR="005223CF">
        <w:t xml:space="preserve">Reflect </w:t>
      </w:r>
      <w:r w:rsidR="00DF775B">
        <w:t xml:space="preserve">on </w:t>
      </w:r>
      <w:r w:rsidR="005223CF">
        <w:t xml:space="preserve">the current </w:t>
      </w:r>
      <w:r w:rsidR="009034B8">
        <w:t xml:space="preserve">energy-dedicated maintenance </w:t>
      </w:r>
      <w:r w:rsidR="005223CF">
        <w:t>state-of-the-art research</w:t>
      </w:r>
      <w:r w:rsidR="009E2585">
        <w:t xml:space="preserve"> and</w:t>
      </w:r>
      <w:r w:rsidR="00790A2D">
        <w:t xml:space="preserve"> discuss potential limitations within studies</w:t>
      </w:r>
      <w:r w:rsidR="009E2585">
        <w:t>.</w:t>
      </w:r>
    </w:p>
    <w:p w14:paraId="1E892F34" w14:textId="63D90265" w:rsidR="007053C7" w:rsidRDefault="007053C7" w:rsidP="001029AC">
      <w:r>
        <w:t xml:space="preserve">The need for such </w:t>
      </w:r>
      <w:r w:rsidR="001838B1">
        <w:t xml:space="preserve">a </w:t>
      </w:r>
      <w:r>
        <w:t xml:space="preserve">study is noticed </w:t>
      </w:r>
      <w:r w:rsidR="00EA7249">
        <w:t>with</w:t>
      </w:r>
      <w:r>
        <w:t xml:space="preserve"> the exponential rise of the papers </w:t>
      </w:r>
      <w:r w:rsidR="0037601D">
        <w:t xml:space="preserve">investigating the </w:t>
      </w:r>
      <w:r w:rsidR="00581E08">
        <w:t>influence</w:t>
      </w:r>
      <w:r w:rsidR="00EA7249">
        <w:t xml:space="preserve"> between </w:t>
      </w:r>
      <w:r w:rsidR="0037601D">
        <w:t>maintenance activities</w:t>
      </w:r>
      <w:r w:rsidR="00EA7249">
        <w:t xml:space="preserve"> and energy consumption</w:t>
      </w:r>
      <w:r w:rsidR="00581E08">
        <w:t>.</w:t>
      </w:r>
      <w:r w:rsidR="00CE08E8">
        <w:t xml:space="preserve"> Thus, potential benefits are noticed </w:t>
      </w:r>
      <w:r w:rsidR="00A95B1C">
        <w:t xml:space="preserve">through increased </w:t>
      </w:r>
      <w:r w:rsidR="00CE08E8">
        <w:t>demand</w:t>
      </w:r>
      <w:r w:rsidR="00A95B1C">
        <w:t>s</w:t>
      </w:r>
      <w:r w:rsidR="00CE08E8">
        <w:t xml:space="preserve"> for energy-efficient solutions and imposed regulations on carbon</w:t>
      </w:r>
      <w:r w:rsidR="00F46D30">
        <w:t xml:space="preserve"> </w:t>
      </w:r>
      <w:r w:rsidR="00CE08E8">
        <w:t>footprint emission</w:t>
      </w:r>
      <w:r w:rsidR="00F46D30">
        <w:t>s</w:t>
      </w:r>
      <w:r w:rsidR="00FA1CBE">
        <w:t>, which could further justify the need for such maintenance transition</w:t>
      </w:r>
      <w:r w:rsidR="00A95B1C">
        <w:t>.</w:t>
      </w:r>
    </w:p>
    <w:p w14:paraId="4E164982" w14:textId="08F740A4" w:rsidR="00A26928" w:rsidRDefault="00A26928" w:rsidP="00A26928">
      <w:r>
        <w:t>The third objective is to conduct an industrial survey to investigate the current state</w:t>
      </w:r>
      <w:r w:rsidR="00790A2D">
        <w:t xml:space="preserve"> of the </w:t>
      </w:r>
      <w:r>
        <w:t xml:space="preserve">practice </w:t>
      </w:r>
      <w:r w:rsidR="000613B5">
        <w:t xml:space="preserve">regarding </w:t>
      </w:r>
      <w:r w:rsidR="00790A2D">
        <w:t>the maintenance of industrial hydraulic machines</w:t>
      </w:r>
      <w:r>
        <w:t xml:space="preserve">. </w:t>
      </w:r>
      <w:r w:rsidR="00EF2D08">
        <w:t>The driver for FP exemplification</w:t>
      </w:r>
      <w:r>
        <w:t xml:space="preserve"> </w:t>
      </w:r>
      <w:r w:rsidR="00EF2D08">
        <w:t>on the</w:t>
      </w:r>
      <w:r>
        <w:t xml:space="preserve"> hydraulic </w:t>
      </w:r>
      <w:r w:rsidR="00EF2D08">
        <w:t>system is because, arguably,</w:t>
      </w:r>
      <w:r w:rsidR="00757C3F">
        <w:t xml:space="preserve"> they are the</w:t>
      </w:r>
      <w:r w:rsidR="00EF2D08">
        <w:t xml:space="preserve"> </w:t>
      </w:r>
      <w:r>
        <w:t xml:space="preserve">highest source of energy </w:t>
      </w:r>
      <w:r w:rsidR="00261DAF">
        <w:t>dissipation of all</w:t>
      </w:r>
      <w:r>
        <w:t xml:space="preserve"> control systems</w:t>
      </w:r>
      <w:r w:rsidR="00CB79D6">
        <w:t xml:space="preserve"> and </w:t>
      </w:r>
      <w:r w:rsidR="00757C3F">
        <w:t>consequently are mostly subjected</w:t>
      </w:r>
      <w:r w:rsidR="00CB79D6">
        <w:t xml:space="preserve"> to energy-preserving studies</w:t>
      </w:r>
      <w:r>
        <w:t xml:space="preserve">. </w:t>
      </w:r>
      <w:r w:rsidR="000613B5">
        <w:t>A</w:t>
      </w:r>
      <w:r>
        <w:t>pplying different maintenance p</w:t>
      </w:r>
      <w:r w:rsidR="00AE0CFD">
        <w:t>ractices</w:t>
      </w:r>
      <w:r>
        <w:t xml:space="preserve">, </w:t>
      </w:r>
      <w:r w:rsidR="00AE0CFD">
        <w:t>tasks</w:t>
      </w:r>
      <w:r>
        <w:t xml:space="preserve">, </w:t>
      </w:r>
      <w:r w:rsidR="000613B5">
        <w:t xml:space="preserve">and </w:t>
      </w:r>
      <w:r w:rsidR="00AE0CFD">
        <w:t xml:space="preserve">actions </w:t>
      </w:r>
      <w:r w:rsidR="00B83405">
        <w:t xml:space="preserve">significantly influences </w:t>
      </w:r>
      <w:r w:rsidR="000613B5">
        <w:t>energy performance. Moreover, due to its intrinsic relationship in modelling the newly proposed failure-triggering mechanism, for instance</w:t>
      </w:r>
      <w:r w:rsidR="00B83405">
        <w:t>,</w:t>
      </w:r>
      <w:r w:rsidR="000613B5">
        <w:t xml:space="preserve"> </w:t>
      </w:r>
      <w:r w:rsidR="00C35BDF">
        <w:t>fluid</w:t>
      </w:r>
      <w:r w:rsidR="000613B5">
        <w:t xml:space="preserve"> </w:t>
      </w:r>
      <w:r w:rsidR="00F940E6">
        <w:t>degradation</w:t>
      </w:r>
      <w:r w:rsidR="000613B5">
        <w:t xml:space="preserve"> that can produce environmental consequences (</w:t>
      </w:r>
      <w:r w:rsidR="00F46D30">
        <w:t xml:space="preserve">e.g., </w:t>
      </w:r>
      <w:r w:rsidR="00F940E6">
        <w:t>leak</w:t>
      </w:r>
      <w:r w:rsidR="00DE0284">
        <w:t>a</w:t>
      </w:r>
      <w:r w:rsidR="00F940E6">
        <w:t>ge</w:t>
      </w:r>
      <w:r w:rsidR="000613B5">
        <w:t>)</w:t>
      </w:r>
      <w:r w:rsidR="00F46D30">
        <w:t xml:space="preserve"> </w:t>
      </w:r>
      <w:r w:rsidR="000613B5">
        <w:t>and economic consequences (</w:t>
      </w:r>
      <w:r w:rsidR="00F46D30">
        <w:t>e.g.,</w:t>
      </w:r>
      <w:r w:rsidR="000613B5">
        <w:t xml:space="preserve"> failures, energy consumption)</w:t>
      </w:r>
      <w:r w:rsidR="00F46D30">
        <w:t>,</w:t>
      </w:r>
      <w:r w:rsidR="00337E4F">
        <w:t xml:space="preserve">  it can be easier to a</w:t>
      </w:r>
      <w:r w:rsidR="00924BC0">
        <w:t>rticulate</w:t>
      </w:r>
      <w:r w:rsidR="00337E4F">
        <w:t xml:space="preserve"> the </w:t>
      </w:r>
      <w:r w:rsidR="00924BC0">
        <w:t xml:space="preserve">benefits of </w:t>
      </w:r>
      <w:r w:rsidR="00337E4F">
        <w:t>FP through a practical example</w:t>
      </w:r>
      <w:r w:rsidR="008466EE">
        <w:t>.</w:t>
      </w:r>
      <w:r w:rsidR="00924BC0">
        <w:t xml:space="preserve"> </w:t>
      </w:r>
      <w:r w:rsidR="008466EE">
        <w:t>The research will be beneficial and justified in a more practical and industrially-accepted context by extracting operational and conditional data from state-of-the-practice</w:t>
      </w:r>
      <w:r w:rsidR="00725423">
        <w:t>.</w:t>
      </w:r>
      <w:r w:rsidR="008466EE">
        <w:t xml:space="preserve"> Therefore the following research objective is proposed as follows.</w:t>
      </w:r>
    </w:p>
    <w:p w14:paraId="480ED98A" w14:textId="0A72A9FE" w:rsidR="00A26928" w:rsidRDefault="00A26928" w:rsidP="00A26928">
      <w:r w:rsidRPr="0080233F">
        <w:rPr>
          <w:b/>
          <w:bCs/>
        </w:rPr>
        <w:lastRenderedPageBreak/>
        <w:t>RO</w:t>
      </w:r>
      <w:r w:rsidR="001E07F8">
        <w:rPr>
          <w:b/>
          <w:bCs/>
        </w:rPr>
        <w:t>3</w:t>
      </w:r>
      <w:r w:rsidRPr="0080233F">
        <w:rPr>
          <w:b/>
          <w:bCs/>
        </w:rPr>
        <w:t>.</w:t>
      </w:r>
      <w:r>
        <w:rPr>
          <w:b/>
          <w:bCs/>
        </w:rPr>
        <w:t xml:space="preserve"> </w:t>
      </w:r>
      <w:r w:rsidR="00E8372D">
        <w:t xml:space="preserve">Develop and conduct </w:t>
      </w:r>
      <w:r w:rsidR="00DE0284">
        <w:t xml:space="preserve">a </w:t>
      </w:r>
      <w:r w:rsidR="00E8372D">
        <w:t>questionnaire-based survey that includes: (</w:t>
      </w:r>
      <w:r>
        <w:t>1) the type of machinery applied across industrial sectors – mobile and stationary machines; (2) maintenance policies</w:t>
      </w:r>
      <w:r w:rsidR="001C04BF">
        <w:t>,</w:t>
      </w:r>
      <w:r>
        <w:t xml:space="preserve"> programs </w:t>
      </w:r>
      <w:r w:rsidR="001C04BF">
        <w:t xml:space="preserve">and activities </w:t>
      </w:r>
      <w:r>
        <w:t>applied within manufacturing and service companies</w:t>
      </w:r>
      <w:r w:rsidR="001C04BF">
        <w:t xml:space="preserve"> on all levels of MDM</w:t>
      </w:r>
      <w:r>
        <w:t xml:space="preserve">; (3) the technology applied – type of data acquisition and data processing tools and methods; (4) most common types of failures and causes of stoppages/failures; (5) </w:t>
      </w:r>
      <w:r w:rsidR="001C04BF">
        <w:t xml:space="preserve">define and </w:t>
      </w:r>
      <w:r>
        <w:t xml:space="preserve">determine </w:t>
      </w:r>
      <w:r w:rsidR="001C04BF">
        <w:t>the</w:t>
      </w:r>
      <w:r>
        <w:t xml:space="preserve"> environmental </w:t>
      </w:r>
      <w:r w:rsidR="001C04BF">
        <w:t>and economic indicator</w:t>
      </w:r>
      <w:r w:rsidR="00E8372D">
        <w:t>s applied</w:t>
      </w:r>
      <w:r w:rsidR="001C04BF">
        <w:t xml:space="preserve"> for reflecting the success of various</w:t>
      </w:r>
      <w:r w:rsidR="00E8372D">
        <w:t xml:space="preserve"> practices</w:t>
      </w:r>
      <w:r w:rsidR="001C04BF">
        <w:t>.</w:t>
      </w:r>
    </w:p>
    <w:p w14:paraId="7CBC70C0" w14:textId="773D60F4" w:rsidR="00A26928" w:rsidRDefault="00A26928" w:rsidP="00A26928">
      <w:r>
        <w:t xml:space="preserve">This specific objective is not limited </w:t>
      </w:r>
      <w:r w:rsidR="0073616D">
        <w:t>by</w:t>
      </w:r>
      <w:r>
        <w:t xml:space="preserve"> </w:t>
      </w:r>
      <w:r w:rsidR="008466EE">
        <w:t>economic and environmental data</w:t>
      </w:r>
      <w:r>
        <w:t xml:space="preserve"> but </w:t>
      </w:r>
      <w:r w:rsidR="0073616D">
        <w:t>is also projected to determine</w:t>
      </w:r>
      <w:r>
        <w:t xml:space="preserve"> meta-data and variables that influence the system’s operational performances,</w:t>
      </w:r>
      <w:r w:rsidR="00CA5334">
        <w:t xml:space="preserve"> </w:t>
      </w:r>
      <w:r w:rsidR="00753150">
        <w:t>affecting</w:t>
      </w:r>
      <w:r>
        <w:t xml:space="preserve"> higher energy consumption</w:t>
      </w:r>
      <w:r w:rsidR="00BD6367">
        <w:t xml:space="preserve">. </w:t>
      </w:r>
      <w:r w:rsidR="00753150">
        <w:t>Such data is needed</w:t>
      </w:r>
      <w:r w:rsidR="00CA5334">
        <w:t xml:space="preserve"> because of</w:t>
      </w:r>
      <w:r>
        <w:t xml:space="preserve"> </w:t>
      </w:r>
      <w:r w:rsidR="00BD6367">
        <w:t xml:space="preserve">the </w:t>
      </w:r>
      <w:r>
        <w:t>stochastic</w:t>
      </w:r>
      <w:r w:rsidR="00BD6367">
        <w:t xml:space="preserve"> nature</w:t>
      </w:r>
      <w:r>
        <w:t xml:space="preserve"> of the bottom-line function</w:t>
      </w:r>
      <w:r w:rsidR="00CA5334">
        <w:t xml:space="preserve"> subjected to human </w:t>
      </w:r>
      <w:r w:rsidR="00BD6367">
        <w:t>activities, which is currently being subjected to multiple studies in multidisciplinary research.</w:t>
      </w:r>
      <w:r w:rsidR="00CA5334">
        <w:t xml:space="preserve"> This information </w:t>
      </w:r>
      <w:r w:rsidR="00BD6367">
        <w:t xml:space="preserve">can further </w:t>
      </w:r>
      <w:r w:rsidR="00061F70">
        <w:t>help</w:t>
      </w:r>
      <w:r w:rsidR="00CA5334">
        <w:t xml:space="preserve"> isolate the human factor or give a general understanding of </w:t>
      </w:r>
      <w:r w:rsidR="00B83405">
        <w:t xml:space="preserve">the </w:t>
      </w:r>
      <w:r w:rsidR="00CA5334">
        <w:t>intrinsic relationship between operational and maintenance activities and their overall performance</w:t>
      </w:r>
      <w:r w:rsidR="00753150">
        <w:t>.</w:t>
      </w:r>
    </w:p>
    <w:p w14:paraId="38ED8A41" w14:textId="33D3D2A6" w:rsidR="005223CF" w:rsidRDefault="00D01D90" w:rsidP="001029AC">
      <w:r>
        <w:t>A</w:t>
      </w:r>
      <w:r w:rsidR="004A6554">
        <w:t xml:space="preserve">lthough monitoring energy can help one understand operational efficiency, </w:t>
      </w:r>
      <w:r>
        <w:t>i.e.,</w:t>
      </w:r>
      <w:r w:rsidR="004A6554">
        <w:t xml:space="preserve"> system energy </w:t>
      </w:r>
      <w:r w:rsidR="006B19A5">
        <w:t>performance</w:t>
      </w:r>
      <w:r w:rsidR="004A6554">
        <w:t xml:space="preserve">, the lack of research is related to the difficulties in determining </w:t>
      </w:r>
      <w:r w:rsidR="008466EE">
        <w:t xml:space="preserve">the </w:t>
      </w:r>
      <w:r w:rsidR="004A6554">
        <w:t>appropriate functional</w:t>
      </w:r>
      <w:r w:rsidR="00520128">
        <w:t>ity</w:t>
      </w:r>
      <w:r w:rsidR="004A6554">
        <w:t xml:space="preserve"> of proposed models in the literature</w:t>
      </w:r>
      <w:r w:rsidR="006B19A5">
        <w:t xml:space="preserve"> that can help </w:t>
      </w:r>
      <w:r w:rsidR="00D7549C">
        <w:t>trigger</w:t>
      </w:r>
      <w:r w:rsidR="006B19A5">
        <w:t xml:space="preserve"> maintenance actions and return</w:t>
      </w:r>
      <w:r w:rsidR="00D7549C">
        <w:t xml:space="preserve"> </w:t>
      </w:r>
      <w:r w:rsidR="006B19A5">
        <w:t xml:space="preserve">or adjust the system into </w:t>
      </w:r>
      <w:r w:rsidR="00B83405">
        <w:t xml:space="preserve">the </w:t>
      </w:r>
      <w:r w:rsidR="00D7549C">
        <w:t xml:space="preserve">safe </w:t>
      </w:r>
      <w:r w:rsidR="00F15F84">
        <w:t xml:space="preserve">operational </w:t>
      </w:r>
      <w:r w:rsidR="006B19A5">
        <w:t>state.</w:t>
      </w:r>
      <w:r w:rsidR="00851E14" w:rsidRPr="00851E14">
        <w:t xml:space="preserve"> </w:t>
      </w:r>
      <w:r w:rsidR="00851E14">
        <w:t>Generally said, the FP</w:t>
      </w:r>
      <w:r>
        <w:t>Ms with FPC are</w:t>
      </w:r>
      <w:r w:rsidR="00851E14">
        <w:t xml:space="preserve"> considered discriminator</w:t>
      </w:r>
      <w:r>
        <w:t>s</w:t>
      </w:r>
      <w:r w:rsidR="00851E14">
        <w:t xml:space="preserve"> for classifying functional- from </w:t>
      </w:r>
      <w:r w:rsidR="00DE0284">
        <w:t xml:space="preserve">the </w:t>
      </w:r>
      <w:r w:rsidR="00851E14">
        <w:t>non-functional state.</w:t>
      </w:r>
      <w:r w:rsidR="006B19A5">
        <w:t xml:space="preserve"> </w:t>
      </w:r>
      <w:r>
        <w:t>T</w:t>
      </w:r>
      <w:r w:rsidR="00753150">
        <w:t>he fourth research objective is</w:t>
      </w:r>
      <w:r>
        <w:t xml:space="preserve"> to define markers important for </w:t>
      </w:r>
      <w:r w:rsidR="009E105E">
        <w:t>establishing the health status of a machine that can be used for diagnostic, prognostic and optimisation purposes.</w:t>
      </w:r>
    </w:p>
    <w:p w14:paraId="180D6B75" w14:textId="2BBE03C2" w:rsidR="009E105E" w:rsidRDefault="005223CF" w:rsidP="001029AC">
      <w:r w:rsidRPr="005223CF">
        <w:rPr>
          <w:b/>
          <w:bCs/>
        </w:rPr>
        <w:t>RO</w:t>
      </w:r>
      <w:r w:rsidR="00A219D5">
        <w:rPr>
          <w:b/>
          <w:bCs/>
        </w:rPr>
        <w:t>4</w:t>
      </w:r>
      <w:r w:rsidRPr="005223CF">
        <w:rPr>
          <w:b/>
          <w:bCs/>
        </w:rPr>
        <w:t>.</w:t>
      </w:r>
      <w:r>
        <w:t xml:space="preserve"> </w:t>
      </w:r>
      <w:r w:rsidR="009E105E">
        <w:t xml:space="preserve">Using supervised machine learning algorithms, determine healthy from </w:t>
      </w:r>
      <w:r w:rsidR="00D83EF5">
        <w:t xml:space="preserve">a </w:t>
      </w:r>
      <w:r w:rsidR="009E105E">
        <w:t xml:space="preserve">non-healthy machine </w:t>
      </w:r>
      <w:r w:rsidR="00D83EF5">
        <w:t>regarding the</w:t>
      </w:r>
      <w:r w:rsidR="00D11D18">
        <w:t xml:space="preserve"> hydraulic</w:t>
      </w:r>
      <w:r w:rsidR="009E105E">
        <w:t xml:space="preserve"> power</w:t>
      </w:r>
      <w:r w:rsidR="00D11D18">
        <w:t xml:space="preserve"> variable</w:t>
      </w:r>
      <w:r w:rsidR="009E105E">
        <w:t>. Upon determining the most appropriate learning algorithm, extract the most important predictors (</w:t>
      </w:r>
      <w:r w:rsidR="00D11D18">
        <w:t>markers</w:t>
      </w:r>
      <w:r w:rsidR="009E105E">
        <w:t>) that can be used to assess the system’s functional-productiveness.</w:t>
      </w:r>
    </w:p>
    <w:p w14:paraId="5FA1DA05" w14:textId="76488714" w:rsidR="00252538" w:rsidRDefault="00A219D5" w:rsidP="00A219D5">
      <w:r>
        <w:t>The</w:t>
      </w:r>
      <w:r w:rsidR="009E105E">
        <w:t xml:space="preserve"> fourth</w:t>
      </w:r>
      <w:r w:rsidR="00753150">
        <w:t xml:space="preserve"> thesis</w:t>
      </w:r>
      <w:r>
        <w:t xml:space="preserve"> objective</w:t>
      </w:r>
      <w:r w:rsidR="00252538">
        <w:t xml:space="preserve"> is directed at determining a machine learning model from a hypothesis space, in which the FPMs are extracted based on the most appropriate classification algorithm. The markers are then used to gain insight into machine health; consequently, they can be used for diagnostic, prognostic and optimisation purposes. Therefore, the final research objective is set to determine the system’s reliability analysis using the proposed markers and boolean operators to optimize machine performance.</w:t>
      </w:r>
    </w:p>
    <w:p w14:paraId="1B793C10" w14:textId="1E5A84E7" w:rsidR="00A219D5" w:rsidRPr="008466EE" w:rsidRDefault="00A219D5" w:rsidP="00A219D5">
      <w:r w:rsidRPr="008466EE">
        <w:rPr>
          <w:b/>
          <w:bCs/>
        </w:rPr>
        <w:t>RO</w:t>
      </w:r>
      <w:r w:rsidR="00D402D3" w:rsidRPr="008466EE">
        <w:rPr>
          <w:b/>
          <w:bCs/>
        </w:rPr>
        <w:t>5</w:t>
      </w:r>
      <w:r w:rsidRPr="008466EE">
        <w:rPr>
          <w:b/>
          <w:bCs/>
        </w:rPr>
        <w:t>.</w:t>
      </w:r>
      <w:r w:rsidRPr="008466EE">
        <w:t xml:space="preserve"> </w:t>
      </w:r>
      <w:r w:rsidR="00D15A0D" w:rsidRPr="008466EE">
        <w:t xml:space="preserve">Conduct a </w:t>
      </w:r>
      <w:r w:rsidR="00D83EF5">
        <w:t>reliability analysis</w:t>
      </w:r>
      <w:r w:rsidR="00D402D3" w:rsidRPr="008466EE">
        <w:t xml:space="preserve"> </w:t>
      </w:r>
      <w:r w:rsidR="00D83EF5">
        <w:t>with the</w:t>
      </w:r>
      <w:r w:rsidR="00DE0284" w:rsidRPr="008466EE">
        <w:t xml:space="preserve"> </w:t>
      </w:r>
      <w:r w:rsidR="00D15A0D" w:rsidRPr="008466EE">
        <w:t>proposed</w:t>
      </w:r>
      <w:r w:rsidR="00D402D3" w:rsidRPr="008466EE">
        <w:t xml:space="preserve"> </w:t>
      </w:r>
      <w:r w:rsidR="00D15A0D" w:rsidRPr="008466EE">
        <w:t>FP</w:t>
      </w:r>
      <w:r w:rsidR="008466EE" w:rsidRPr="008466EE">
        <w:t>Ms</w:t>
      </w:r>
      <w:r w:rsidR="00D402D3" w:rsidRPr="008466EE">
        <w:t xml:space="preserve"> </w:t>
      </w:r>
      <w:r w:rsidR="00D15A0D" w:rsidRPr="008466EE">
        <w:t xml:space="preserve">and compare it </w:t>
      </w:r>
      <w:r w:rsidRPr="008466EE">
        <w:t xml:space="preserve">with </w:t>
      </w:r>
      <w:r w:rsidR="00D15A0D" w:rsidRPr="008466EE">
        <w:t xml:space="preserve">the available </w:t>
      </w:r>
      <w:r w:rsidRPr="008466EE">
        <w:t xml:space="preserve">maintenance </w:t>
      </w:r>
      <w:r w:rsidR="00D15A0D" w:rsidRPr="008466EE">
        <w:t>practice applied. D</w:t>
      </w:r>
      <w:r w:rsidRPr="008466EE">
        <w:t xml:space="preserve">iscuss the potential benefits of implementing </w:t>
      </w:r>
      <w:r w:rsidR="00D15A0D" w:rsidRPr="008466EE">
        <w:t>FPC with</w:t>
      </w:r>
      <w:r w:rsidRPr="008466EE">
        <w:t xml:space="preserve"> EBM </w:t>
      </w:r>
      <w:r w:rsidR="00D15A0D" w:rsidRPr="008466EE">
        <w:t>prospect</w:t>
      </w:r>
      <w:r w:rsidR="00D813FF">
        <w:t>s</w:t>
      </w:r>
      <w:r w:rsidR="00D15A0D" w:rsidRPr="008466EE">
        <w:t xml:space="preserve"> and potential setbacks in implementing the EBM practice.</w:t>
      </w:r>
    </w:p>
    <w:p w14:paraId="43CC09F3" w14:textId="22FA7D93" w:rsidR="002F358D" w:rsidRPr="008466EE" w:rsidRDefault="002F358D" w:rsidP="002F358D">
      <w:r w:rsidRPr="008466EE">
        <w:t xml:space="preserve">The final objective is a milestone </w:t>
      </w:r>
      <w:r w:rsidR="000F3BF6" w:rsidRPr="008466EE">
        <w:t>for</w:t>
      </w:r>
      <w:r w:rsidRPr="008466EE">
        <w:t xml:space="preserve"> </w:t>
      </w:r>
      <w:r w:rsidR="00753150" w:rsidRPr="008466EE">
        <w:t>transitioning between the traditional static (failure) data maintenance practice and</w:t>
      </w:r>
      <w:r w:rsidRPr="008466EE">
        <w:t xml:space="preserve"> a dynamic (process) data maintenance </w:t>
      </w:r>
      <w:r w:rsidR="000F3BF6" w:rsidRPr="008466EE">
        <w:t>practice</w:t>
      </w:r>
      <w:r w:rsidRPr="008466EE">
        <w:t>. Hence, the benefits of accepting the concept of functional</w:t>
      </w:r>
      <w:r w:rsidR="00D813FF">
        <w:t xml:space="preserve"> </w:t>
      </w:r>
      <w:r w:rsidRPr="008466EE">
        <w:t>productiveness are threefold. Firstly,</w:t>
      </w:r>
      <w:r w:rsidR="00D813FF">
        <w:t xml:space="preserve"> power consumption</w:t>
      </w:r>
      <w:r w:rsidRPr="008466EE">
        <w:t xml:space="preserve"> can provide insight into the machine</w:t>
      </w:r>
      <w:r w:rsidR="00FA49E4">
        <w:t>’</w:t>
      </w:r>
      <w:r w:rsidR="00D813FF">
        <w:t>s</w:t>
      </w:r>
      <w:r w:rsidRPr="008466EE">
        <w:t xml:space="preserve"> health</w:t>
      </w:r>
      <w:r w:rsidR="00FA49E4">
        <w:t xml:space="preserve"> prediction (maintenance diagnostic and prognostics)</w:t>
      </w:r>
      <w:r w:rsidRPr="008466EE">
        <w:t xml:space="preserve"> and operational performance</w:t>
      </w:r>
      <w:r w:rsidR="00FA49E4">
        <w:t xml:space="preserve"> (production performance)</w:t>
      </w:r>
      <w:r w:rsidRPr="008466EE">
        <w:t>. Secondly, energy as a maintenance performance indicator (MPI) can serve as quality control of environmental responsibility in energy usage</w:t>
      </w:r>
      <w:r w:rsidR="00694DA7" w:rsidRPr="008466EE">
        <w:t>, and i</w:t>
      </w:r>
      <w:r w:rsidRPr="008466EE">
        <w:t>t can also be transformed into an ecological CO</w:t>
      </w:r>
      <w:r w:rsidRPr="008466EE">
        <w:rPr>
          <w:vertAlign w:val="subscript"/>
        </w:rPr>
        <w:t>2</w:t>
      </w:r>
      <w:r w:rsidRPr="008466EE">
        <w:t>eq indicat</w:t>
      </w:r>
      <w:r w:rsidR="00D813FF">
        <w:t>or</w:t>
      </w:r>
      <w:r w:rsidRPr="008466EE">
        <w:t xml:space="preserve">. Finally, energy as an MPI can be used </w:t>
      </w:r>
      <w:r w:rsidR="00FA49E4">
        <w:t>to prevent or reduce stoppages, thus, optimis</w:t>
      </w:r>
      <w:r w:rsidR="005A44E4">
        <w:t>ing</w:t>
      </w:r>
      <w:r w:rsidR="00FA49E4">
        <w:t xml:space="preserve"> the system by reducing the consumption of resources.</w:t>
      </w:r>
    </w:p>
    <w:p w14:paraId="41D4E800" w14:textId="77777777" w:rsidR="005620DD" w:rsidRDefault="005620DD">
      <w:pPr>
        <w:spacing w:before="0" w:after="160" w:line="259" w:lineRule="auto"/>
        <w:jc w:val="left"/>
        <w:rPr>
          <w:rFonts w:eastAsiaTheme="majorEastAsia" w:cstheme="majorBidi"/>
          <w:b/>
          <w:smallCaps/>
          <w:sz w:val="28"/>
          <w:szCs w:val="26"/>
          <w:lang w:val="en-GB"/>
        </w:rPr>
      </w:pPr>
      <w:r>
        <w:rPr>
          <w:lang w:val="en-GB"/>
        </w:rPr>
        <w:br w:type="page"/>
      </w:r>
    </w:p>
    <w:p w14:paraId="0BE37C95" w14:textId="19F20101" w:rsidR="00A66EE2" w:rsidRDefault="00F616B8" w:rsidP="00A66EE2">
      <w:pPr>
        <w:pStyle w:val="Heading2"/>
        <w:rPr>
          <w:lang w:val="en-GB"/>
        </w:rPr>
      </w:pPr>
      <w:bookmarkStart w:id="49" w:name="_Toc101274320"/>
      <w:r>
        <w:rPr>
          <w:lang w:val="en-GB"/>
        </w:rPr>
        <w:lastRenderedPageBreak/>
        <w:t>Thesis statement(s)</w:t>
      </w:r>
      <w:bookmarkEnd w:id="49"/>
    </w:p>
    <w:p w14:paraId="023BCD68" w14:textId="2941EF9F" w:rsidR="004C04B5" w:rsidRDefault="00491E49" w:rsidP="00491E49">
      <w:pPr>
        <w:rPr>
          <w:lang w:val="en-GB"/>
        </w:rPr>
      </w:pPr>
      <w:r>
        <w:rPr>
          <w:lang w:val="en-GB"/>
        </w:rPr>
        <w:t xml:space="preserve">In today’s dynamic but sustainable-oriented technological ecosystem scientific basis for cognising what observable facts constitute is merely a relative observation of the present states. Thus, one would constitute that for a hypothesis, and potential theory, to be falsifiable, it must be inert to changes. The underlying reason for engaging in this narrative is the lack of horisontal-type research studies </w:t>
      </w:r>
      <w:r w:rsidR="00AD0AFC">
        <w:rPr>
          <w:lang w:val="en-GB"/>
        </w:rPr>
        <w:t>by</w:t>
      </w:r>
      <w:r>
        <w:rPr>
          <w:lang w:val="en-GB"/>
        </w:rPr>
        <w:t xml:space="preserve"> initially test</w:t>
      </w:r>
      <w:r w:rsidR="00AD0AFC">
        <w:rPr>
          <w:lang w:val="en-GB"/>
        </w:rPr>
        <w:t>ing</w:t>
      </w:r>
      <w:r>
        <w:rPr>
          <w:lang w:val="en-GB"/>
        </w:rPr>
        <w:t xml:space="preserve"> the previously </w:t>
      </w:r>
      <w:r w:rsidR="005620DD">
        <w:rPr>
          <w:lang w:val="en-GB"/>
        </w:rPr>
        <w:t>“</w:t>
      </w:r>
      <w:r>
        <w:rPr>
          <w:lang w:val="en-GB"/>
        </w:rPr>
        <w:t>settled</w:t>
      </w:r>
      <w:r w:rsidR="005620DD">
        <w:rPr>
          <w:lang w:val="en-GB"/>
        </w:rPr>
        <w:t>”</w:t>
      </w:r>
      <w:r>
        <w:rPr>
          <w:lang w:val="en-GB"/>
        </w:rPr>
        <w:t xml:space="preserve"> statements </w:t>
      </w:r>
      <w:r w:rsidR="00AD0AFC">
        <w:rPr>
          <w:lang w:val="en-GB"/>
        </w:rPr>
        <w:t>and</w:t>
      </w:r>
      <w:r>
        <w:rPr>
          <w:lang w:val="en-GB"/>
        </w:rPr>
        <w:t xml:space="preserve"> conditional premises that can eventually mature into accepted theories.</w:t>
      </w:r>
    </w:p>
    <w:p w14:paraId="4D3D6BA0" w14:textId="7BA84A6A" w:rsidR="007A3A06" w:rsidRDefault="00491E49" w:rsidP="00491E49">
      <w:pPr>
        <w:rPr>
          <w:lang w:val="en-GB"/>
        </w:rPr>
      </w:pPr>
      <w:r>
        <w:rPr>
          <w:lang w:val="en-GB"/>
        </w:rPr>
        <w:t>Such criticism, primarily, can be easily verified by the lack of meta-analysis studies in industrial maintenance research. Secondarily, with the focus o</w:t>
      </w:r>
      <w:r w:rsidR="00786883">
        <w:rPr>
          <w:lang w:val="en-GB"/>
        </w:rPr>
        <w:t>n</w:t>
      </w:r>
      <w:r>
        <w:rPr>
          <w:lang w:val="en-GB"/>
        </w:rPr>
        <w:t xml:space="preserve"> replicating failure modes, i.e., physics of failure</w:t>
      </w:r>
      <w:r w:rsidR="00786883">
        <w:rPr>
          <w:lang w:val="en-GB"/>
        </w:rPr>
        <w:t xml:space="preserve">, that </w:t>
      </w:r>
      <w:r w:rsidR="00DE0284">
        <w:rPr>
          <w:lang w:val="en-GB"/>
        </w:rPr>
        <w:t>is</w:t>
      </w:r>
      <w:r>
        <w:rPr>
          <w:lang w:val="en-GB"/>
        </w:rPr>
        <w:t xml:space="preserve"> needed for developing Digital Twins (DT)</w:t>
      </w:r>
      <w:r w:rsidR="00786883">
        <w:rPr>
          <w:lang w:val="en-GB"/>
        </w:rPr>
        <w:t xml:space="preserve"> of failures (DTF)</w:t>
      </w:r>
      <w:r>
        <w:rPr>
          <w:lang w:val="en-GB"/>
        </w:rPr>
        <w:t>, how those digital replica</w:t>
      </w:r>
      <w:r w:rsidR="00786883">
        <w:rPr>
          <w:lang w:val="en-GB"/>
        </w:rPr>
        <w:t>te</w:t>
      </w:r>
      <w:r>
        <w:rPr>
          <w:lang w:val="en-GB"/>
        </w:rPr>
        <w:t xml:space="preserve">s </w:t>
      </w:r>
      <w:r w:rsidR="00786883">
        <w:rPr>
          <w:lang w:val="en-GB"/>
        </w:rPr>
        <w:t>will be</w:t>
      </w:r>
      <w:r>
        <w:rPr>
          <w:lang w:val="en-GB"/>
        </w:rPr>
        <w:t xml:space="preserve"> tested and verified according to the unknown (environmental) perturbations drags more questions </w:t>
      </w:r>
      <w:r w:rsidR="00786883">
        <w:rPr>
          <w:lang w:val="en-GB"/>
        </w:rPr>
        <w:t xml:space="preserve">into </w:t>
      </w:r>
      <w:r w:rsidR="005620DD">
        <w:rPr>
          <w:lang w:val="en-GB"/>
        </w:rPr>
        <w:t>states</w:t>
      </w:r>
      <w:r w:rsidR="00786883">
        <w:rPr>
          <w:lang w:val="en-GB"/>
        </w:rPr>
        <w:t xml:space="preserve"> and activities leading to a failure</w:t>
      </w:r>
      <w:r>
        <w:rPr>
          <w:lang w:val="en-GB"/>
        </w:rPr>
        <w:t>.</w:t>
      </w:r>
      <w:r w:rsidR="00786883">
        <w:rPr>
          <w:lang w:val="en-GB"/>
        </w:rPr>
        <w:t xml:space="preserve"> Thus, big data of causality between states before and after the failure and the process within is </w:t>
      </w:r>
      <w:r w:rsidR="005620DD">
        <w:rPr>
          <w:lang w:val="en-GB"/>
        </w:rPr>
        <w:t>in</w:t>
      </w:r>
      <w:r w:rsidR="00786883">
        <w:rPr>
          <w:lang w:val="en-GB"/>
        </w:rPr>
        <w:t>sufficient. The underlying reason</w:t>
      </w:r>
      <w:r w:rsidR="00B97CF2">
        <w:rPr>
          <w:lang w:val="en-GB"/>
        </w:rPr>
        <w:t xml:space="preserve"> for that</w:t>
      </w:r>
      <w:r w:rsidR="00786883">
        <w:rPr>
          <w:lang w:val="en-GB"/>
        </w:rPr>
        <w:t xml:space="preserve"> is quite evident – the </w:t>
      </w:r>
      <w:r w:rsidR="00B97CF2">
        <w:rPr>
          <w:lang w:val="en-GB"/>
        </w:rPr>
        <w:t xml:space="preserve">scarce resources and justifiability for conducting such </w:t>
      </w:r>
      <w:r w:rsidR="00DE0284">
        <w:rPr>
          <w:lang w:val="en-GB"/>
        </w:rPr>
        <w:t xml:space="preserve">a </w:t>
      </w:r>
      <w:r w:rsidR="00B97CF2">
        <w:rPr>
          <w:lang w:val="en-GB"/>
        </w:rPr>
        <w:t xml:space="preserve">study will </w:t>
      </w:r>
      <w:r w:rsidR="00DE0284">
        <w:rPr>
          <w:lang w:val="en-GB"/>
        </w:rPr>
        <w:t>undoubted</w:t>
      </w:r>
      <w:r w:rsidR="00B97CF2">
        <w:rPr>
          <w:lang w:val="en-GB"/>
        </w:rPr>
        <w:t>ly be ever accepted, regardless of the system or process.</w:t>
      </w:r>
    </w:p>
    <w:p w14:paraId="13E4EBB7" w14:textId="4B43BCDD" w:rsidR="00491E49" w:rsidRDefault="00B97CF2" w:rsidP="00491E49">
      <w:pPr>
        <w:rPr>
          <w:lang w:val="en-GB"/>
        </w:rPr>
      </w:pPr>
      <w:r>
        <w:rPr>
          <w:lang w:val="en-GB"/>
        </w:rPr>
        <w:t xml:space="preserve">Thus, all the research in the </w:t>
      </w:r>
      <w:r w:rsidR="005620DD">
        <w:rPr>
          <w:lang w:val="en-GB"/>
        </w:rPr>
        <w:t>maintenance domain</w:t>
      </w:r>
      <w:r>
        <w:rPr>
          <w:lang w:val="en-GB"/>
        </w:rPr>
        <w:t xml:space="preserve"> </w:t>
      </w:r>
      <w:r w:rsidR="005620DD">
        <w:rPr>
          <w:lang w:val="en-GB"/>
        </w:rPr>
        <w:t xml:space="preserve">focuses on avoiding or preventing the failure, thus prolonging the remaining useful life of the system or optimising maintenance activities to preserve the resources without the ability to observe and collect data on failure mechanisms. Therefore, the research </w:t>
      </w:r>
      <w:r w:rsidR="00757B22">
        <w:rPr>
          <w:lang w:val="en-GB"/>
        </w:rPr>
        <w:t>focus</w:t>
      </w:r>
      <w:r w:rsidR="00996EFF">
        <w:rPr>
          <w:lang w:val="en-GB"/>
        </w:rPr>
        <w:t>es on the</w:t>
      </w:r>
      <w:r w:rsidR="00757B22">
        <w:rPr>
          <w:lang w:val="en-GB"/>
        </w:rPr>
        <w:t xml:space="preserve"> degradational mechanism</w:t>
      </w:r>
      <w:r w:rsidR="00996EFF">
        <w:rPr>
          <w:lang w:val="en-GB"/>
        </w:rPr>
        <w:t>s</w:t>
      </w:r>
      <w:r w:rsidR="00757B22">
        <w:rPr>
          <w:lang w:val="en-GB"/>
        </w:rPr>
        <w:t xml:space="preserve"> and markers associated</w:t>
      </w:r>
      <w:r w:rsidR="00E75E6C">
        <w:rPr>
          <w:lang w:val="en-GB"/>
        </w:rPr>
        <w:t xml:space="preserve"> with</w:t>
      </w:r>
      <w:r w:rsidR="005620DD">
        <w:rPr>
          <w:lang w:val="en-GB"/>
        </w:rPr>
        <w:t xml:space="preserve">, i.e., classifying healthy from </w:t>
      </w:r>
      <w:r w:rsidR="00AB29A0">
        <w:rPr>
          <w:lang w:val="en-GB"/>
        </w:rPr>
        <w:t xml:space="preserve">the </w:t>
      </w:r>
      <w:r w:rsidR="005620DD">
        <w:rPr>
          <w:lang w:val="en-GB"/>
        </w:rPr>
        <w:t xml:space="preserve">non-healthy state by proposing </w:t>
      </w:r>
      <w:r w:rsidR="00AB29A0">
        <w:rPr>
          <w:lang w:val="en-GB"/>
        </w:rPr>
        <w:t>functional productivity for improving decision-making aimed at diagnosing, prognosing and/or optimising production system.</w:t>
      </w:r>
    </w:p>
    <w:p w14:paraId="29DD8C71" w14:textId="08BD5A38" w:rsidR="0031227C" w:rsidRDefault="00312379" w:rsidP="0031227C">
      <w:pPr>
        <w:rPr>
          <w:lang w:val="en-GB"/>
        </w:rPr>
      </w:pPr>
      <w:r>
        <w:rPr>
          <w:lang w:val="en-GB"/>
        </w:rPr>
        <w:t>T</w:t>
      </w:r>
      <w:r w:rsidR="00507655">
        <w:rPr>
          <w:lang w:val="en-GB"/>
        </w:rPr>
        <w:t>he author of the thesis aims at dissecting</w:t>
      </w:r>
      <w:r w:rsidR="004C04B5">
        <w:rPr>
          <w:lang w:val="en-GB"/>
        </w:rPr>
        <w:t xml:space="preserve"> </w:t>
      </w:r>
      <w:r>
        <w:rPr>
          <w:lang w:val="en-GB"/>
        </w:rPr>
        <w:t>“</w:t>
      </w:r>
      <w:r w:rsidR="00507655">
        <w:rPr>
          <w:lang w:val="en-GB"/>
        </w:rPr>
        <w:t>settled</w:t>
      </w:r>
      <w:r w:rsidR="004C04B5">
        <w:rPr>
          <w:lang w:val="en-GB"/>
        </w:rPr>
        <w:t xml:space="preserve"> </w:t>
      </w:r>
      <w:r w:rsidR="00507655">
        <w:rPr>
          <w:lang w:val="en-GB"/>
        </w:rPr>
        <w:t>statements</w:t>
      </w:r>
      <w:r>
        <w:rPr>
          <w:lang w:val="en-GB"/>
        </w:rPr>
        <w:t>”</w:t>
      </w:r>
      <w:r w:rsidR="00507655">
        <w:rPr>
          <w:lang w:val="en-GB"/>
        </w:rPr>
        <w:t xml:space="preserve"> of industrial maintenance scientific achievements by questioning the actual advancements regarding industrial maintenance</w:t>
      </w:r>
      <w:r w:rsidR="00507655" w:rsidRPr="00507655">
        <w:rPr>
          <w:lang w:val="en-GB"/>
        </w:rPr>
        <w:t xml:space="preserve"> </w:t>
      </w:r>
      <w:r w:rsidR="00507655">
        <w:rPr>
          <w:lang w:val="en-GB"/>
        </w:rPr>
        <w:t>in primary sources. As observed by the shift towards sustainability, maintenance indicators now include energy-dedicated and sustainable performance indicators.</w:t>
      </w:r>
      <w:r>
        <w:rPr>
          <w:lang w:val="en-GB"/>
        </w:rPr>
        <w:t xml:space="preserve"> Therefore, the author of the thesis will challenge the current “state of the maintenance research” by questioning advancements in maintenance through EU research projects. Secondly, allocate energy-dedicated maintenance literature and discuss potential benefits and setbacks in accepting such radical change. Thirdly, </w:t>
      </w:r>
      <w:r w:rsidR="0031227C">
        <w:rPr>
          <w:lang w:val="en-GB"/>
        </w:rPr>
        <w:t>the author of the thesis will challenge the hypothesis that contamination is the leading cause of stoppages in the hydraulic system through a state-of-the-practice questionnaire. Finally, an experimental investigation of hydraulic systems will be done by utilising power-consumption monitoring practice.</w:t>
      </w:r>
    </w:p>
    <w:p w14:paraId="7EC37E97" w14:textId="735548FA" w:rsidR="00B44191" w:rsidRDefault="00E54241" w:rsidP="0031227C">
      <w:pPr>
        <w:pStyle w:val="Heading3"/>
        <w:rPr>
          <w:lang w:val="en-GB"/>
        </w:rPr>
      </w:pPr>
      <w:bookmarkStart w:id="50" w:name="_Toc101274321"/>
      <w:r>
        <w:rPr>
          <w:lang w:val="en-GB"/>
        </w:rPr>
        <w:t xml:space="preserve">Questioning sustainability in maintenance </w:t>
      </w:r>
      <w:r w:rsidR="007A3A06">
        <w:rPr>
          <w:lang w:val="en-GB"/>
        </w:rPr>
        <w:t>research</w:t>
      </w:r>
      <w:r>
        <w:rPr>
          <w:lang w:val="en-GB"/>
        </w:rPr>
        <w:t xml:space="preserve"> projects</w:t>
      </w:r>
      <w:bookmarkEnd w:id="50"/>
    </w:p>
    <w:p w14:paraId="24E93A8E" w14:textId="00B66024" w:rsidR="000E1776" w:rsidRDefault="000E1776" w:rsidP="000E1776">
      <w:pPr>
        <w:rPr>
          <w:lang w:val="en-GB"/>
        </w:rPr>
      </w:pPr>
      <w:r>
        <w:rPr>
          <w:lang w:val="en-GB"/>
        </w:rPr>
        <w:t>Formalising the thesis statement will be conclusive if, and only if, all the argument’</w:t>
      </w:r>
      <w:r w:rsidR="00DE0284">
        <w:rPr>
          <w:lang w:val="en-GB"/>
        </w:rPr>
        <w:t>s</w:t>
      </w:r>
      <w:r>
        <w:rPr>
          <w:lang w:val="en-GB"/>
        </w:rPr>
        <w:t xml:space="preserve"> premises can be tested. Identifying that the hypothesis is clearly defined and empirically tested avoids ill-defined propositions not subjected to falsifiability.</w:t>
      </w:r>
      <w:r w:rsidR="007A3A06">
        <w:rPr>
          <w:lang w:val="en-GB"/>
        </w:rPr>
        <w:t xml:space="preserve"> To support the lack of achievement in the sustainable and energy-oriented maintenance domain, the author first challenges the evidence from state-of-the-projects by formalising the first major hypothesis as:</w:t>
      </w:r>
    </w:p>
    <w:p w14:paraId="5FDDE02F" w14:textId="0D9D4C12" w:rsidR="00A73686" w:rsidRDefault="00A73686" w:rsidP="00A73686">
      <w:pPr>
        <w:rPr>
          <w:lang w:val="sr-Latn-RS"/>
        </w:rPr>
      </w:pPr>
      <w:r w:rsidRPr="00525A0C">
        <w:rPr>
          <w:b/>
          <w:bCs/>
          <w:lang w:val="sr-Latn-RS"/>
        </w:rPr>
        <w:t>H</w:t>
      </w:r>
      <w:r w:rsidRPr="003048B6">
        <w:rPr>
          <w:b/>
          <w:bCs/>
          <w:vertAlign w:val="subscript"/>
          <w:lang w:val="sr-Latn-RS"/>
        </w:rPr>
        <w:t>1</w:t>
      </w:r>
      <w:r w:rsidRPr="00525A0C">
        <w:rPr>
          <w:b/>
          <w:bCs/>
          <w:lang w:val="sr-Latn-RS"/>
        </w:rPr>
        <w:t>:</w:t>
      </w:r>
      <w:r>
        <w:rPr>
          <w:lang w:val="sr-Latn-RS"/>
        </w:rPr>
        <w:t xml:space="preserve"> „</w:t>
      </w:r>
      <w:r w:rsidR="00996EFF">
        <w:rPr>
          <w:lang w:val="sr-Latn-RS"/>
        </w:rPr>
        <w:t xml:space="preserve">Lack of scientific </w:t>
      </w:r>
      <w:r w:rsidR="0031227C">
        <w:rPr>
          <w:lang w:val="sr-Latn-RS"/>
        </w:rPr>
        <w:t>advancements</w:t>
      </w:r>
      <w:r w:rsidR="00996EFF">
        <w:rPr>
          <w:lang w:val="sr-Latn-RS"/>
        </w:rPr>
        <w:t xml:space="preserve"> in industrial</w:t>
      </w:r>
      <w:r w:rsidR="00757B22">
        <w:rPr>
          <w:lang w:val="sr-Latn-RS"/>
        </w:rPr>
        <w:t xml:space="preserve"> maintenance</w:t>
      </w:r>
      <w:r w:rsidR="00996EFF">
        <w:rPr>
          <w:lang w:val="sr-Latn-RS"/>
        </w:rPr>
        <w:t xml:space="preserve"> domain</w:t>
      </w:r>
      <w:r w:rsidRPr="00A5455A">
        <w:rPr>
          <w:lang w:val="sr-Latn-RS"/>
        </w:rPr>
        <w:t xml:space="preserve"> </w:t>
      </w:r>
      <w:r w:rsidR="00996EFF">
        <w:rPr>
          <w:lang w:val="sr-Latn-RS"/>
        </w:rPr>
        <w:t>is</w:t>
      </w:r>
      <w:r w:rsidRPr="00A5455A">
        <w:rPr>
          <w:lang w:val="sr-Latn-RS"/>
        </w:rPr>
        <w:t xml:space="preserve"> seen </w:t>
      </w:r>
      <w:r w:rsidR="00996EFF">
        <w:rPr>
          <w:lang w:val="sr-Latn-RS"/>
        </w:rPr>
        <w:t>due to the lack of sustainability features within industrial maintenance projects funded by the EU</w:t>
      </w:r>
      <w:r w:rsidRPr="00A5455A">
        <w:rPr>
          <w:lang w:val="sr-Latn-RS"/>
        </w:rPr>
        <w:t>.“</w:t>
      </w:r>
    </w:p>
    <w:p w14:paraId="2ED6C117" w14:textId="3D517B72" w:rsidR="0031227C" w:rsidRDefault="00A73686" w:rsidP="00A73686">
      <w:pPr>
        <w:rPr>
          <w:i/>
          <w:iCs/>
          <w:lang w:val="en-GB"/>
        </w:rPr>
      </w:pPr>
      <w:r w:rsidRPr="00525A0C">
        <w:rPr>
          <w:b/>
          <w:bCs/>
          <w:lang w:val="en-GB"/>
        </w:rPr>
        <w:t>h</w:t>
      </w:r>
      <w:r w:rsidRPr="00525A0C">
        <w:rPr>
          <w:b/>
          <w:bCs/>
          <w:vertAlign w:val="superscript"/>
          <w:lang w:val="en-GB"/>
        </w:rPr>
        <w:t>1</w:t>
      </w:r>
      <w:r w:rsidR="00330429">
        <w:rPr>
          <w:b/>
          <w:bCs/>
          <w:vertAlign w:val="superscript"/>
          <w:lang w:val="en-GB"/>
        </w:rPr>
        <w:t>1</w:t>
      </w:r>
      <w:r w:rsidRPr="00525A0C">
        <w:rPr>
          <w:b/>
          <w:bCs/>
          <w:vertAlign w:val="subscript"/>
          <w:lang w:val="en-GB"/>
        </w:rPr>
        <w:t>0</w:t>
      </w:r>
      <w:r>
        <w:rPr>
          <w:lang w:val="en-GB"/>
        </w:rPr>
        <w:t>: “</w:t>
      </w:r>
      <w:r w:rsidRPr="00525A0C">
        <w:rPr>
          <w:i/>
          <w:iCs/>
          <w:lang w:val="en-GB"/>
        </w:rPr>
        <w:t>Industrial maintenance EU R&amp;I projects focus more</w:t>
      </w:r>
      <w:r w:rsidR="00CE2BCC">
        <w:rPr>
          <w:i/>
          <w:iCs/>
          <w:lang w:val="en-GB"/>
        </w:rPr>
        <w:t xml:space="preserve"> </w:t>
      </w:r>
      <w:r w:rsidRPr="00525A0C">
        <w:rPr>
          <w:i/>
          <w:iCs/>
          <w:lang w:val="en-GB"/>
        </w:rPr>
        <w:t xml:space="preserve">on </w:t>
      </w:r>
      <w:r w:rsidR="0031227C">
        <w:rPr>
          <w:i/>
          <w:iCs/>
          <w:lang w:val="en-GB"/>
        </w:rPr>
        <w:t>technological advancements than educational and structural repair in industrial maintenance technology.”</w:t>
      </w:r>
    </w:p>
    <w:p w14:paraId="77402B60" w14:textId="39CC00F2" w:rsidR="00CE2BCC" w:rsidRDefault="00CE2BCC" w:rsidP="0031227C">
      <w:pPr>
        <w:rPr>
          <w:lang w:val="en-GB"/>
        </w:rPr>
      </w:pPr>
      <w:r w:rsidRPr="00525A0C">
        <w:rPr>
          <w:b/>
          <w:bCs/>
          <w:lang w:val="en-GB"/>
        </w:rPr>
        <w:t>h</w:t>
      </w:r>
      <w:r w:rsidRPr="00525A0C">
        <w:rPr>
          <w:b/>
          <w:bCs/>
          <w:vertAlign w:val="superscript"/>
          <w:lang w:val="en-GB"/>
        </w:rPr>
        <w:t>1</w:t>
      </w:r>
      <w:r>
        <w:rPr>
          <w:b/>
          <w:bCs/>
          <w:vertAlign w:val="superscript"/>
          <w:lang w:val="en-GB"/>
        </w:rPr>
        <w:t>2</w:t>
      </w:r>
      <w:r w:rsidR="00996EFF">
        <w:rPr>
          <w:b/>
          <w:bCs/>
          <w:vertAlign w:val="subscript"/>
          <w:lang w:val="en-GB"/>
        </w:rPr>
        <w:t>a</w:t>
      </w:r>
      <w:r>
        <w:rPr>
          <w:lang w:val="en-GB"/>
        </w:rPr>
        <w:t>: “</w:t>
      </w:r>
      <w:r w:rsidR="0031227C" w:rsidRPr="0031227C">
        <w:rPr>
          <w:i/>
          <w:iCs/>
          <w:lang w:val="en-GB"/>
        </w:rPr>
        <w:t xml:space="preserve">Industrial maintenance EU R&amp;I projects focus more on </w:t>
      </w:r>
      <w:r w:rsidR="0031227C">
        <w:rPr>
          <w:i/>
          <w:iCs/>
          <w:lang w:val="en-GB"/>
        </w:rPr>
        <w:t>education and structural repairs than on technological advancements in the industrial maintenance domain.”</w:t>
      </w:r>
    </w:p>
    <w:p w14:paraId="18FED4DF" w14:textId="12D73BA8" w:rsidR="00A73686" w:rsidRDefault="00A73686" w:rsidP="00A73686">
      <w:pPr>
        <w:rPr>
          <w:lang w:val="en-GB"/>
        </w:rPr>
      </w:pPr>
      <w:r w:rsidRPr="00525A0C">
        <w:rPr>
          <w:b/>
          <w:bCs/>
          <w:lang w:val="en-GB"/>
        </w:rPr>
        <w:lastRenderedPageBreak/>
        <w:t>h</w:t>
      </w:r>
      <w:r w:rsidR="00853082">
        <w:rPr>
          <w:b/>
          <w:bCs/>
          <w:vertAlign w:val="superscript"/>
          <w:lang w:val="en-GB"/>
        </w:rPr>
        <w:t>13</w:t>
      </w:r>
      <w:r w:rsidR="00996EFF">
        <w:rPr>
          <w:b/>
          <w:bCs/>
          <w:vertAlign w:val="subscript"/>
          <w:lang w:val="en-GB"/>
        </w:rPr>
        <w:t>0</w:t>
      </w:r>
      <w:r>
        <w:rPr>
          <w:lang w:val="en-GB"/>
        </w:rPr>
        <w:t>: “</w:t>
      </w:r>
      <w:r w:rsidRPr="00525A0C">
        <w:rPr>
          <w:i/>
          <w:iCs/>
          <w:lang w:val="en-GB"/>
        </w:rPr>
        <w:t xml:space="preserve">Industrial maintenance EU R&amp;I projects show </w:t>
      </w:r>
      <w:r w:rsidR="00996EFF">
        <w:rPr>
          <w:i/>
          <w:iCs/>
          <w:lang w:val="en-GB"/>
        </w:rPr>
        <w:t xml:space="preserve">a </w:t>
      </w:r>
      <w:r w:rsidRPr="00525A0C">
        <w:rPr>
          <w:i/>
          <w:iCs/>
          <w:lang w:val="en-GB"/>
        </w:rPr>
        <w:t xml:space="preserve">statistically significant relationship between </w:t>
      </w:r>
      <w:r w:rsidR="00996EFF">
        <w:rPr>
          <w:i/>
          <w:iCs/>
          <w:lang w:val="en-GB"/>
        </w:rPr>
        <w:t>educational and structural repair projects</w:t>
      </w:r>
      <w:r w:rsidRPr="00525A0C">
        <w:rPr>
          <w:i/>
          <w:iCs/>
          <w:lang w:val="en-GB"/>
        </w:rPr>
        <w:t xml:space="preserve"> and </w:t>
      </w:r>
      <w:r w:rsidR="00996EFF">
        <w:rPr>
          <w:i/>
          <w:iCs/>
          <w:lang w:val="en-GB"/>
        </w:rPr>
        <w:t xml:space="preserve">dissemination activities </w:t>
      </w:r>
      <w:r w:rsidRPr="00525A0C">
        <w:rPr>
          <w:i/>
          <w:iCs/>
          <w:lang w:val="en-GB"/>
        </w:rPr>
        <w:t>in industrial maintenance technology</w:t>
      </w:r>
      <w:r>
        <w:rPr>
          <w:lang w:val="en-GB"/>
        </w:rPr>
        <w:t>.”</w:t>
      </w:r>
    </w:p>
    <w:p w14:paraId="4EC7FB08" w14:textId="4861EC46" w:rsidR="00CE2BCC" w:rsidRDefault="00CE2BCC" w:rsidP="00CE2BCC">
      <w:pPr>
        <w:rPr>
          <w:lang w:val="en-GB"/>
        </w:rPr>
      </w:pPr>
      <w:r w:rsidRPr="00525A0C">
        <w:rPr>
          <w:b/>
          <w:bCs/>
          <w:lang w:val="en-GB"/>
        </w:rPr>
        <w:t>h</w:t>
      </w:r>
      <w:r w:rsidR="00853082">
        <w:rPr>
          <w:b/>
          <w:bCs/>
          <w:vertAlign w:val="superscript"/>
          <w:lang w:val="en-GB"/>
        </w:rPr>
        <w:t>14</w:t>
      </w:r>
      <w:r w:rsidRPr="00525A0C">
        <w:rPr>
          <w:b/>
          <w:bCs/>
          <w:vertAlign w:val="subscript"/>
          <w:lang w:val="en-GB"/>
        </w:rPr>
        <w:t>a</w:t>
      </w:r>
      <w:r>
        <w:rPr>
          <w:lang w:val="en-GB"/>
        </w:rPr>
        <w:t>: “</w:t>
      </w:r>
      <w:r w:rsidRPr="00525A0C">
        <w:rPr>
          <w:i/>
          <w:iCs/>
          <w:lang w:val="en-GB"/>
        </w:rPr>
        <w:t>Industrial maintenance EU R&amp;I projects</w:t>
      </w:r>
      <w:r w:rsidR="00996EFF">
        <w:rPr>
          <w:i/>
          <w:iCs/>
          <w:lang w:val="en-GB"/>
        </w:rPr>
        <w:t xml:space="preserve"> do not</w:t>
      </w:r>
      <w:r w:rsidRPr="00525A0C">
        <w:rPr>
          <w:i/>
          <w:iCs/>
          <w:lang w:val="en-GB"/>
        </w:rPr>
        <w:t xml:space="preserve"> show </w:t>
      </w:r>
      <w:r w:rsidR="00996EFF">
        <w:rPr>
          <w:i/>
          <w:iCs/>
          <w:lang w:val="en-GB"/>
        </w:rPr>
        <w:t xml:space="preserve">a </w:t>
      </w:r>
      <w:r w:rsidRPr="00525A0C">
        <w:rPr>
          <w:i/>
          <w:iCs/>
          <w:lang w:val="en-GB"/>
        </w:rPr>
        <w:t xml:space="preserve">statistically significant relationship between </w:t>
      </w:r>
      <w:r w:rsidR="00996EFF">
        <w:rPr>
          <w:i/>
          <w:iCs/>
          <w:lang w:val="en-GB"/>
        </w:rPr>
        <w:t>educational and structural repair projects</w:t>
      </w:r>
      <w:r w:rsidRPr="00525A0C">
        <w:rPr>
          <w:i/>
          <w:iCs/>
          <w:lang w:val="en-GB"/>
        </w:rPr>
        <w:t xml:space="preserve"> and </w:t>
      </w:r>
      <w:r w:rsidR="00996EFF">
        <w:rPr>
          <w:i/>
          <w:iCs/>
          <w:lang w:val="en-GB"/>
        </w:rPr>
        <w:t>dissemination activities</w:t>
      </w:r>
      <w:r w:rsidRPr="00525A0C">
        <w:rPr>
          <w:i/>
          <w:iCs/>
          <w:lang w:val="en-GB"/>
        </w:rPr>
        <w:t xml:space="preserve"> in industrial maintenance technology</w:t>
      </w:r>
      <w:r>
        <w:rPr>
          <w:lang w:val="en-GB"/>
        </w:rPr>
        <w:t>.”</w:t>
      </w:r>
    </w:p>
    <w:p w14:paraId="48F0C4F9" w14:textId="6ECF6F28" w:rsidR="007A3A06" w:rsidRDefault="00D51CAB" w:rsidP="00D51CAB">
      <w:pPr>
        <w:rPr>
          <w:lang w:val="en-GB"/>
        </w:rPr>
      </w:pPr>
      <w:r>
        <w:rPr>
          <w:lang w:val="en-GB"/>
        </w:rPr>
        <w:t xml:space="preserve">The author’s intention here is not to set a majestic scope of the </w:t>
      </w:r>
      <w:r w:rsidR="00F55F52">
        <w:rPr>
          <w:lang w:val="en-GB"/>
        </w:rPr>
        <w:t>thesis impact</w:t>
      </w:r>
      <w:r>
        <w:rPr>
          <w:lang w:val="en-GB"/>
        </w:rPr>
        <w:t xml:space="preserve"> but rather a specific, well-defined frame </w:t>
      </w:r>
      <w:r w:rsidR="00FB488F">
        <w:rPr>
          <w:lang w:val="en-GB"/>
        </w:rPr>
        <w:t xml:space="preserve">for </w:t>
      </w:r>
      <w:r>
        <w:rPr>
          <w:lang w:val="en-GB"/>
        </w:rPr>
        <w:t>contributi</w:t>
      </w:r>
      <w:r w:rsidR="00FB488F">
        <w:rPr>
          <w:lang w:val="en-GB"/>
        </w:rPr>
        <w:t>ng</w:t>
      </w:r>
      <w:r>
        <w:rPr>
          <w:lang w:val="en-GB"/>
        </w:rPr>
        <w:t xml:space="preserve"> to the topic of </w:t>
      </w:r>
      <w:r w:rsidR="00E54241">
        <w:rPr>
          <w:lang w:val="en-GB"/>
        </w:rPr>
        <w:t>sustainable maintenance</w:t>
      </w:r>
      <w:r>
        <w:rPr>
          <w:lang w:val="en-GB"/>
        </w:rPr>
        <w:t xml:space="preserve">. Thus, these problems from which the hypothesis is derived reflect an inquiry </w:t>
      </w:r>
      <w:r w:rsidR="00D46F58">
        <w:rPr>
          <w:lang w:val="en-GB"/>
        </w:rPr>
        <w:t>into</w:t>
      </w:r>
      <w:r>
        <w:rPr>
          <w:lang w:val="en-GB"/>
        </w:rPr>
        <w:t xml:space="preserve"> resolving dynamic systems’ environmental and technical issues.</w:t>
      </w:r>
      <w:r w:rsidRPr="00D51CAB">
        <w:rPr>
          <w:lang w:val="en-GB"/>
        </w:rPr>
        <w:t xml:space="preserve"> </w:t>
      </w:r>
      <w:r>
        <w:rPr>
          <w:lang w:val="en-GB"/>
        </w:rPr>
        <w:t xml:space="preserve">The goal of such </w:t>
      </w:r>
      <w:r w:rsidR="00DE0284">
        <w:rPr>
          <w:lang w:val="en-GB"/>
        </w:rPr>
        <w:t xml:space="preserve">a </w:t>
      </w:r>
      <w:r>
        <w:rPr>
          <w:lang w:val="en-GB"/>
        </w:rPr>
        <w:t>propositional statement is to ensure continuity in the energy-oriented decision</w:t>
      </w:r>
      <w:r w:rsidR="00FB488F">
        <w:rPr>
          <w:lang w:val="en-GB"/>
        </w:rPr>
        <w:t>-</w:t>
      </w:r>
      <w:r>
        <w:rPr>
          <w:lang w:val="en-GB"/>
        </w:rPr>
        <w:t>making</w:t>
      </w:r>
      <w:r w:rsidR="00D46F58">
        <w:rPr>
          <w:lang w:val="en-GB"/>
        </w:rPr>
        <w:t>,</w:t>
      </w:r>
      <w:r>
        <w:rPr>
          <w:lang w:val="en-GB"/>
        </w:rPr>
        <w:t xml:space="preserve"> </w:t>
      </w:r>
      <w:r w:rsidR="00264ADF">
        <w:rPr>
          <w:lang w:val="en-GB"/>
        </w:rPr>
        <w:t xml:space="preserve">of which the focus is set </w:t>
      </w:r>
      <w:r w:rsidR="003E4491">
        <w:rPr>
          <w:lang w:val="en-GB"/>
        </w:rPr>
        <w:t>upon</w:t>
      </w:r>
      <w:r>
        <w:rPr>
          <w:lang w:val="en-GB"/>
        </w:rPr>
        <w:t xml:space="preserve"> </w:t>
      </w:r>
      <w:r w:rsidR="00DE0284">
        <w:rPr>
          <w:lang w:val="en-GB"/>
        </w:rPr>
        <w:t xml:space="preserve">a </w:t>
      </w:r>
      <w:r>
        <w:rPr>
          <w:lang w:val="en-GB"/>
        </w:rPr>
        <w:t>technologically-sustainable manufacturing ecosystem</w:t>
      </w:r>
      <w:r w:rsidR="007A3A06">
        <w:rPr>
          <w:lang w:val="en-GB"/>
        </w:rPr>
        <w:t xml:space="preserve"> and research projects dedicated to energy-</w:t>
      </w:r>
      <w:r w:rsidR="00FB488F">
        <w:rPr>
          <w:lang w:val="en-GB"/>
        </w:rPr>
        <w:t>oriented</w:t>
      </w:r>
      <w:r w:rsidR="007A3A06">
        <w:rPr>
          <w:lang w:val="en-GB"/>
        </w:rPr>
        <w:t xml:space="preserve"> solutions.</w:t>
      </w:r>
    </w:p>
    <w:p w14:paraId="29B736DF" w14:textId="2156EBCE" w:rsidR="00DE1E98" w:rsidRDefault="007776EA" w:rsidP="00DE1E98">
      <w:pPr>
        <w:pStyle w:val="Heading3"/>
        <w:rPr>
          <w:lang w:val="en-GB"/>
        </w:rPr>
      </w:pPr>
      <w:bookmarkStart w:id="51" w:name="_Toc101274322"/>
      <w:r>
        <w:rPr>
          <w:lang w:val="en-GB"/>
        </w:rPr>
        <w:t xml:space="preserve">Challenging </w:t>
      </w:r>
      <w:r w:rsidR="00B57905">
        <w:rPr>
          <w:lang w:val="en-GB"/>
        </w:rPr>
        <w:t xml:space="preserve">evidence from </w:t>
      </w:r>
      <w:r w:rsidR="00D84EC2">
        <w:rPr>
          <w:lang w:val="en-GB"/>
        </w:rPr>
        <w:t>maintenance practice</w:t>
      </w:r>
      <w:bookmarkEnd w:id="51"/>
    </w:p>
    <w:p w14:paraId="677569A2" w14:textId="7AD639A4" w:rsidR="00C7020A" w:rsidRDefault="002C23CD" w:rsidP="00C7020A">
      <w:pPr>
        <w:rPr>
          <w:lang w:val="en-GB"/>
        </w:rPr>
      </w:pPr>
      <w:r>
        <w:rPr>
          <w:lang w:val="en-GB"/>
        </w:rPr>
        <w:t xml:space="preserve">For testing the prospect of the EBM </w:t>
      </w:r>
      <w:r w:rsidR="00C7020A">
        <w:rPr>
          <w:lang w:val="en-GB"/>
        </w:rPr>
        <w:t>within the</w:t>
      </w:r>
      <w:r>
        <w:rPr>
          <w:lang w:val="en-GB"/>
        </w:rPr>
        <w:t xml:space="preserve"> technical</w:t>
      </w:r>
      <w:r w:rsidR="00C7020A">
        <w:rPr>
          <w:lang w:val="en-GB"/>
        </w:rPr>
        <w:t>,</w:t>
      </w:r>
      <w:r>
        <w:rPr>
          <w:lang w:val="en-GB"/>
        </w:rPr>
        <w:t xml:space="preserve"> </w:t>
      </w:r>
      <w:r w:rsidR="00C7020A">
        <w:rPr>
          <w:lang w:val="en-GB"/>
        </w:rPr>
        <w:t>organisational system</w:t>
      </w:r>
      <w:r>
        <w:rPr>
          <w:lang w:val="en-GB"/>
        </w:rPr>
        <w:t>, the first idea is to choose an appropriate system in which</w:t>
      </w:r>
      <w:r w:rsidR="00C7020A">
        <w:rPr>
          <w:lang w:val="en-GB"/>
        </w:rPr>
        <w:t xml:space="preserve"> maintenance strategies</w:t>
      </w:r>
      <w:r>
        <w:rPr>
          <w:lang w:val="en-GB"/>
        </w:rPr>
        <w:t xml:space="preserve"> have already been </w:t>
      </w:r>
      <w:r w:rsidR="00C7020A">
        <w:rPr>
          <w:lang w:val="en-GB"/>
        </w:rPr>
        <w:t>utilised</w:t>
      </w:r>
      <w:r>
        <w:rPr>
          <w:lang w:val="en-GB"/>
        </w:rPr>
        <w:t xml:space="preserve">. Thus, to accept the solution, let us first challenge and verify the conditional premises accepted before conducting an experimental verification. </w:t>
      </w:r>
      <w:r w:rsidR="00C7020A">
        <w:rPr>
          <w:lang w:val="en-GB"/>
        </w:rPr>
        <w:t>T</w:t>
      </w:r>
      <w:r>
        <w:rPr>
          <w:lang w:val="en-GB"/>
        </w:rPr>
        <w:t xml:space="preserve">he goal is to validate </w:t>
      </w:r>
      <w:r w:rsidR="00C7020A">
        <w:rPr>
          <w:lang w:val="en-GB"/>
        </w:rPr>
        <w:t>the acceptability of</w:t>
      </w:r>
      <w:r>
        <w:rPr>
          <w:lang w:val="en-GB"/>
        </w:rPr>
        <w:t xml:space="preserve"> </w:t>
      </w:r>
      <w:r w:rsidR="005B6B6A">
        <w:rPr>
          <w:lang w:val="en-GB"/>
        </w:rPr>
        <w:t>energy</w:t>
      </w:r>
      <w:r w:rsidR="00C7020A">
        <w:rPr>
          <w:lang w:val="en-GB"/>
        </w:rPr>
        <w:t xml:space="preserve"> </w:t>
      </w:r>
      <w:r>
        <w:rPr>
          <w:lang w:val="en-GB"/>
        </w:rPr>
        <w:t>condition monitoring</w:t>
      </w:r>
      <w:r w:rsidR="00C7020A">
        <w:rPr>
          <w:lang w:val="en-GB"/>
        </w:rPr>
        <w:t xml:space="preserve"> </w:t>
      </w:r>
      <w:r w:rsidR="00922076">
        <w:rPr>
          <w:lang w:val="en-GB"/>
        </w:rPr>
        <w:t>compared</w:t>
      </w:r>
      <w:r w:rsidR="00C7020A">
        <w:rPr>
          <w:lang w:val="en-GB"/>
        </w:rPr>
        <w:t xml:space="preserve"> to</w:t>
      </w:r>
      <w:r>
        <w:rPr>
          <w:lang w:val="en-GB"/>
        </w:rPr>
        <w:t xml:space="preserve"> </w:t>
      </w:r>
      <w:r w:rsidR="00C7020A">
        <w:rPr>
          <w:lang w:val="en-GB"/>
        </w:rPr>
        <w:t>waste energy p-f curve indicators</w:t>
      </w:r>
      <w:r>
        <w:rPr>
          <w:lang w:val="en-GB"/>
        </w:rPr>
        <w:t xml:space="preserve"> to conduct maintenance </w:t>
      </w:r>
      <w:r w:rsidR="00C7020A">
        <w:rPr>
          <w:lang w:val="en-GB"/>
        </w:rPr>
        <w:t>actions. Since the domain is a hydraulic control system, the first task is to collect as much evidence regarding the meta-data associated with the oil-hydraulic system.</w:t>
      </w:r>
    </w:p>
    <w:p w14:paraId="0FD90AFB" w14:textId="6B8FB173" w:rsidR="002C23CD" w:rsidRDefault="002C23CD" w:rsidP="002C23CD">
      <w:pPr>
        <w:rPr>
          <w:lang w:val="en-GB"/>
        </w:rPr>
      </w:pPr>
      <w:r>
        <w:rPr>
          <w:lang w:val="en-GB"/>
        </w:rPr>
        <w:t xml:space="preserve">The reason </w:t>
      </w:r>
      <w:r w:rsidR="00C7020A">
        <w:rPr>
          <w:lang w:val="en-GB"/>
        </w:rPr>
        <w:t>for conducting such a selective study</w:t>
      </w:r>
      <w:r>
        <w:rPr>
          <w:lang w:val="en-GB"/>
        </w:rPr>
        <w:t xml:space="preserve"> is that it is widely known </w:t>
      </w:r>
      <w:r w:rsidR="00C7020A">
        <w:rPr>
          <w:lang w:val="en-GB"/>
        </w:rPr>
        <w:t xml:space="preserve">that oil-hydraulic systems are low in </w:t>
      </w:r>
      <w:r>
        <w:rPr>
          <w:lang w:val="en-GB"/>
        </w:rPr>
        <w:t>energy</w:t>
      </w:r>
      <w:r w:rsidR="00C7020A">
        <w:rPr>
          <w:lang w:val="en-GB"/>
        </w:rPr>
        <w:t xml:space="preserve"> </w:t>
      </w:r>
      <w:r>
        <w:rPr>
          <w:lang w:val="en-GB"/>
        </w:rPr>
        <w:t>efficien</w:t>
      </w:r>
      <w:r w:rsidR="00C7020A">
        <w:rPr>
          <w:lang w:val="en-GB"/>
        </w:rPr>
        <w:t xml:space="preserve">cy. </w:t>
      </w:r>
      <w:r w:rsidR="002328EC">
        <w:rPr>
          <w:lang w:val="en-GB"/>
        </w:rPr>
        <w:t xml:space="preserve">So the first task is to find the most common failures appropriate for conducting analysis using instruments for condition monitoring </w:t>
      </w:r>
      <w:r w:rsidR="003912E0">
        <w:rPr>
          <w:lang w:val="en-GB"/>
        </w:rPr>
        <w:t xml:space="preserve">of the </w:t>
      </w:r>
      <w:r w:rsidR="002328EC">
        <w:rPr>
          <w:lang w:val="en-GB"/>
        </w:rPr>
        <w:t xml:space="preserve">p-f curve. At the same time </w:t>
      </w:r>
      <w:r w:rsidR="00D216F5">
        <w:rPr>
          <w:lang w:val="en-GB"/>
        </w:rPr>
        <w:t>monitoring hydraulic power for conducting diagnostics will be done by monitoring hydraulic power variables – flow and pressure.</w:t>
      </w:r>
    </w:p>
    <w:p w14:paraId="6160B598" w14:textId="4749F1FF" w:rsidR="00ED716E" w:rsidRDefault="00D353E0" w:rsidP="00ED716E">
      <w:pPr>
        <w:rPr>
          <w:lang w:val="en-GB"/>
        </w:rPr>
      </w:pPr>
      <w:r>
        <w:rPr>
          <w:lang w:val="en-GB"/>
        </w:rPr>
        <w:t>It has been an ever-present notion that the main cause of failures across hydraulic control systems, regardless of the application, are contaminants (particle contamina</w:t>
      </w:r>
      <w:r w:rsidR="00DE0284">
        <w:rPr>
          <w:lang w:val="en-GB"/>
        </w:rPr>
        <w:t>n</w:t>
      </w:r>
      <w:r>
        <w:rPr>
          <w:lang w:val="en-GB"/>
        </w:rPr>
        <w:t xml:space="preserve">ts </w:t>
      </w:r>
      <w:r>
        <w:rPr>
          <w:lang w:val="en-GB"/>
        </w:rPr>
        <w:fldChar w:fldCharType="begin" w:fldLock="1"/>
      </w:r>
      <w:r w:rsidR="00416869">
        <w:rPr>
          <w:lang w:val="en-GB"/>
        </w:rPr>
        <w:instrText>ADDIN CSL_CITATION {"citationItems":[{"id":"ITEM-1","itemData":{"DOI":"10.5545/sv-jme.2018.5856","ISSN":"00392480","author":[{"dropping-particle":"","family":"Karanović","given":"Velibor","non-dropping-particle":"","parse-names":false,"suffix":""},{"dropping-particle":"","family":"Jocanović","given":"Mitar","non-dropping-particle":"","parse-names":false,"suffix":""},{"dropping-particle":"","family":"Baloš","given":"Sebastian","non-dropping-particle":"","parse-names":false,"suffix":""},{"dropping-particle":"","family":"Knežević","given":"Darko","non-dropping-particle":"","parse-names":false,"suffix":""},{"dropping-particle":"","family":"Mačužić","given":"Ivan","non-dropping-particle":"","parse-names":false,"suffix":""}],"container-title":"Strojniski Vestnik/Journal of Mechanical Engineering","id":"ITEM-1","issue":"3","issued":{"date-parts":[["2019"]]},"page":"139-147","title":"Impact of contaminated fluid on the working performances of hydraulic directional control valves","type":"article-journal","volume":"65"},"uris":["http://www.mendeley.com/documents/?uuid=790f9a5c-2a35-4cef-bdc2-1f3a55104fe9"]}],"mendeley":{"formattedCitation":"[30]","plainTextFormattedCitation":"[30]","previouslyFormattedCitation":"[30]"},"properties":{"noteIndex":0},"schema":"https://github.com/citation-style-language/schema/raw/master/csl-citation.json"}</w:instrText>
      </w:r>
      <w:r>
        <w:rPr>
          <w:lang w:val="en-GB"/>
        </w:rPr>
        <w:fldChar w:fldCharType="separate"/>
      </w:r>
      <w:r w:rsidR="00246F3C" w:rsidRPr="00246F3C">
        <w:rPr>
          <w:noProof/>
          <w:lang w:val="en-GB"/>
        </w:rPr>
        <w:t>[30]</w:t>
      </w:r>
      <w:r>
        <w:rPr>
          <w:lang w:val="en-GB"/>
        </w:rPr>
        <w:fldChar w:fldCharType="end"/>
      </w:r>
      <w:r>
        <w:rPr>
          <w:lang w:val="en-GB"/>
        </w:rPr>
        <w:t xml:space="preserve">; air and water </w:t>
      </w:r>
      <w:r>
        <w:rPr>
          <w:lang w:val="en-GB"/>
        </w:rPr>
        <w:fldChar w:fldCharType="begin" w:fldLock="1"/>
      </w:r>
      <w:r w:rsidR="00416869">
        <w:rPr>
          <w:lang w:val="en-GB"/>
        </w:rPr>
        <w:instrText>ADDIN CSL_CITATION {"citationItems":[{"id":"ITEM-1","itemData":{"URL":"https://yorkpmh.com/resources/common-hydraulic-system-problems/","author":[{"dropping-particle":"","family":"Baker","given":"Michele","non-dropping-particle":"","parse-names":false,"suffix":""}],"container-title":"York Precision","id":"ITEM-1","issued":{"date-parts":[["2020"]]},"title":"Most common causes of hydraulic systems failure","type":"webpage"},"uris":["http://www.mendeley.com/documents/?uuid=34444196-b00c-4e06-a33a-33ebdb680950"]}],"mendeley":{"formattedCitation":"[31]","plainTextFormattedCitation":"[31]","previouslyFormattedCitation":"[31]"},"properties":{"noteIndex":0},"schema":"https://github.com/citation-style-language/schema/raw/master/csl-citation.json"}</w:instrText>
      </w:r>
      <w:r>
        <w:rPr>
          <w:lang w:val="en-GB"/>
        </w:rPr>
        <w:fldChar w:fldCharType="separate"/>
      </w:r>
      <w:r w:rsidR="00246F3C" w:rsidRPr="00246F3C">
        <w:rPr>
          <w:noProof/>
          <w:lang w:val="en-GB"/>
        </w:rPr>
        <w:t>[31]</w:t>
      </w:r>
      <w:r>
        <w:rPr>
          <w:lang w:val="en-GB"/>
        </w:rPr>
        <w:fldChar w:fldCharType="end"/>
      </w:r>
      <w:r>
        <w:rPr>
          <w:lang w:val="en-GB"/>
        </w:rPr>
        <w:t xml:space="preserve">; temperature </w:t>
      </w:r>
      <w:r>
        <w:rPr>
          <w:lang w:val="en-GB"/>
        </w:rPr>
        <w:fldChar w:fldCharType="begin" w:fldLock="1"/>
      </w:r>
      <w:r w:rsidR="00416869">
        <w:rPr>
          <w:lang w:val="en-GB"/>
        </w:rPr>
        <w:instrText>ADDIN CSL_CITATION {"citationItems":[{"id":"ITEM-1","itemData":{"URL":"https://mac-hyd.com/blog/hydraulic-system-temperatures/","author":[{"dropping-particle":"","family":"MAChydraulics","given":"","non-dropping-particle":"","parse-names":false,"suffix":""}],"id":"ITEM-1","issued":{"date-parts":[["0"]]},"title":"Effects of temperature on hydraulic systems","type":"webpage"},"uris":["http://www.mendeley.com/documents/?uuid=7718fa0e-fa94-4b93-92ce-ee4180824742"]}],"mendeley":{"formattedCitation":"[32]","plainTextFormattedCitation":"[32]","previouslyFormattedCitation":"[32]"},"properties":{"noteIndex":0},"schema":"https://github.com/citation-style-language/schema/raw/master/csl-citation.json"}</w:instrText>
      </w:r>
      <w:r>
        <w:rPr>
          <w:lang w:val="en-GB"/>
        </w:rPr>
        <w:fldChar w:fldCharType="separate"/>
      </w:r>
      <w:r w:rsidR="00246F3C" w:rsidRPr="00246F3C">
        <w:rPr>
          <w:noProof/>
          <w:lang w:val="en-GB"/>
        </w:rPr>
        <w:t>[32]</w:t>
      </w:r>
      <w:r>
        <w:rPr>
          <w:lang w:val="en-GB"/>
        </w:rPr>
        <w:fldChar w:fldCharType="end"/>
      </w:r>
      <w:r>
        <w:rPr>
          <w:lang w:val="en-GB"/>
        </w:rPr>
        <w:t>).</w:t>
      </w:r>
      <w:r w:rsidR="00ED716E" w:rsidRPr="00ED716E">
        <w:rPr>
          <w:lang w:val="en-GB"/>
        </w:rPr>
        <w:t xml:space="preserve"> </w:t>
      </w:r>
      <w:r w:rsidR="00ED716E">
        <w:rPr>
          <w:lang w:val="en-GB"/>
        </w:rPr>
        <w:t>Therefore, before using contamination as a non-random deteriorating failure</w:t>
      </w:r>
      <w:r w:rsidR="00853082">
        <w:rPr>
          <w:lang w:val="en-GB"/>
        </w:rPr>
        <w:t xml:space="preserve"> measure</w:t>
      </w:r>
      <w:r w:rsidR="00ED716E">
        <w:rPr>
          <w:lang w:val="en-GB"/>
        </w:rPr>
        <w:t xml:space="preserve"> and associated condition monitoring </w:t>
      </w:r>
      <w:r w:rsidR="00853082">
        <w:rPr>
          <w:lang w:val="en-GB"/>
        </w:rPr>
        <w:t>tools</w:t>
      </w:r>
      <w:r w:rsidR="00ED716E">
        <w:rPr>
          <w:lang w:val="en-GB"/>
        </w:rPr>
        <w:t xml:space="preserve"> </w:t>
      </w:r>
      <w:r w:rsidR="00853082">
        <w:rPr>
          <w:lang w:val="en-GB"/>
        </w:rPr>
        <w:t>(e.g.,</w:t>
      </w:r>
      <w:r w:rsidR="00ED716E">
        <w:rPr>
          <w:lang w:val="en-GB"/>
        </w:rPr>
        <w:t xml:space="preserve"> </w:t>
      </w:r>
      <w:r w:rsidR="00853082">
        <w:rPr>
          <w:lang w:val="en-GB"/>
        </w:rPr>
        <w:t>L</w:t>
      </w:r>
      <w:r w:rsidR="00ED716E">
        <w:rPr>
          <w:lang w:val="en-GB"/>
        </w:rPr>
        <w:t xml:space="preserve">ubricant </w:t>
      </w:r>
      <w:r w:rsidR="00853082">
        <w:rPr>
          <w:lang w:val="en-GB"/>
        </w:rPr>
        <w:t>C</w:t>
      </w:r>
      <w:r w:rsidR="00ED716E">
        <w:rPr>
          <w:lang w:val="en-GB"/>
        </w:rPr>
        <w:t xml:space="preserve">ondition </w:t>
      </w:r>
      <w:r w:rsidR="00853082">
        <w:rPr>
          <w:lang w:val="en-GB"/>
        </w:rPr>
        <w:t>M</w:t>
      </w:r>
      <w:r w:rsidR="00ED716E">
        <w:rPr>
          <w:lang w:val="en-GB"/>
        </w:rPr>
        <w:t xml:space="preserve">onitoring </w:t>
      </w:r>
      <w:r w:rsidR="003912E0">
        <w:rPr>
          <w:lang w:val="en-GB"/>
        </w:rPr>
        <w:t xml:space="preserve">– </w:t>
      </w:r>
      <w:r w:rsidR="00ED716E">
        <w:rPr>
          <w:lang w:val="en-GB"/>
        </w:rPr>
        <w:t xml:space="preserve">LCM), the hypothesis will be formulated to challenge the </w:t>
      </w:r>
      <w:r w:rsidR="00853082">
        <w:rPr>
          <w:lang w:val="en-GB"/>
        </w:rPr>
        <w:t>“settled”</w:t>
      </w:r>
      <w:r w:rsidR="00ED716E">
        <w:rPr>
          <w:lang w:val="en-GB"/>
        </w:rPr>
        <w:t xml:space="preserve"> </w:t>
      </w:r>
      <w:r w:rsidR="00CB3290">
        <w:rPr>
          <w:lang w:val="en-GB"/>
        </w:rPr>
        <w:t>statement</w:t>
      </w:r>
      <w:r w:rsidR="00853082">
        <w:rPr>
          <w:lang w:val="en-GB"/>
        </w:rPr>
        <w:t xml:space="preserve"> as follows:</w:t>
      </w:r>
    </w:p>
    <w:p w14:paraId="6A0E1938" w14:textId="2A02903F" w:rsidR="00B93819" w:rsidRDefault="00B93819" w:rsidP="00946F80">
      <w:pPr>
        <w:rPr>
          <w:lang w:val="en-GB"/>
        </w:rPr>
      </w:pPr>
      <w:r w:rsidRPr="00B93819">
        <w:rPr>
          <w:b/>
          <w:bCs/>
          <w:lang w:val="en-GB"/>
        </w:rPr>
        <w:t>H</w:t>
      </w:r>
      <w:r w:rsidRPr="003048B6">
        <w:rPr>
          <w:b/>
          <w:bCs/>
          <w:vertAlign w:val="subscript"/>
          <w:lang w:val="en-GB"/>
        </w:rPr>
        <w:t>2</w:t>
      </w:r>
      <w:r>
        <w:rPr>
          <w:lang w:val="en-GB"/>
        </w:rPr>
        <w:t>: “Particle contamination is the leading cause of failures of hydraulic systems</w:t>
      </w:r>
      <w:r w:rsidR="00AB5070">
        <w:rPr>
          <w:lang w:val="en-GB"/>
        </w:rPr>
        <w:t>.</w:t>
      </w:r>
      <w:r>
        <w:rPr>
          <w:lang w:val="en-GB"/>
        </w:rPr>
        <w:t>”</w:t>
      </w:r>
    </w:p>
    <w:p w14:paraId="3B372487" w14:textId="7A99209E" w:rsidR="00B93819" w:rsidRPr="00B93819" w:rsidRDefault="00B93819" w:rsidP="00946F80">
      <w:pPr>
        <w:rPr>
          <w:lang w:val="en-GB"/>
        </w:rPr>
      </w:pPr>
      <w:r w:rsidRPr="005E1684">
        <w:rPr>
          <w:b/>
          <w:bCs/>
          <w:lang w:val="en-GB"/>
        </w:rPr>
        <w:t>h</w:t>
      </w:r>
      <w:r w:rsidRPr="005E1684">
        <w:rPr>
          <w:b/>
          <w:bCs/>
          <w:vertAlign w:val="superscript"/>
          <w:lang w:val="en-GB"/>
        </w:rPr>
        <w:t>21</w:t>
      </w:r>
      <w:r w:rsidRPr="005E1684">
        <w:rPr>
          <w:b/>
          <w:bCs/>
          <w:vertAlign w:val="subscript"/>
          <w:lang w:val="en-GB"/>
        </w:rPr>
        <w:t>0</w:t>
      </w:r>
      <w:r>
        <w:rPr>
          <w:lang w:val="en-GB"/>
        </w:rPr>
        <w:t>: “</w:t>
      </w:r>
      <w:r w:rsidR="004E64AB" w:rsidRPr="004E64AB">
        <w:rPr>
          <w:i/>
          <w:iCs/>
          <w:lang w:val="en-GB"/>
        </w:rPr>
        <w:t>Contamination of hydraulic system, in general, is at least 70% responsible for all failures in the domain of hydraulic control systems, showing statistical</w:t>
      </w:r>
      <w:r w:rsidR="00DE0284">
        <w:rPr>
          <w:i/>
          <w:iCs/>
          <w:lang w:val="en-GB"/>
        </w:rPr>
        <w:t>ly</w:t>
      </w:r>
      <w:r w:rsidR="004E64AB" w:rsidRPr="004E64AB">
        <w:rPr>
          <w:i/>
          <w:iCs/>
          <w:lang w:val="en-GB"/>
        </w:rPr>
        <w:t xml:space="preserve"> significant difference p &lt; 0.05</w:t>
      </w:r>
      <w:r w:rsidR="00D30D4A">
        <w:rPr>
          <w:i/>
          <w:iCs/>
          <w:lang w:val="en-GB"/>
        </w:rPr>
        <w:t>.</w:t>
      </w:r>
      <w:r w:rsidR="004E64AB">
        <w:rPr>
          <w:lang w:val="en-GB"/>
        </w:rPr>
        <w:t>”</w:t>
      </w:r>
    </w:p>
    <w:p w14:paraId="7372302C" w14:textId="13FA0B88" w:rsidR="0057546A" w:rsidRDefault="005E2C14" w:rsidP="0057546A">
      <w:pPr>
        <w:rPr>
          <w:lang w:val="en-GB"/>
        </w:rPr>
      </w:pPr>
      <w:r w:rsidRPr="005E1684">
        <w:rPr>
          <w:b/>
          <w:bCs/>
          <w:lang w:val="sr-Latn-RS"/>
        </w:rPr>
        <w:t>h</w:t>
      </w:r>
      <w:r w:rsidRPr="005E1684">
        <w:rPr>
          <w:b/>
          <w:bCs/>
          <w:vertAlign w:val="superscript"/>
          <w:lang w:val="sr-Latn-RS"/>
        </w:rPr>
        <w:t>22</w:t>
      </w:r>
      <w:r w:rsidRPr="005E1684">
        <w:rPr>
          <w:b/>
          <w:bCs/>
          <w:vertAlign w:val="subscript"/>
          <w:lang w:val="sr-Latn-RS"/>
        </w:rPr>
        <w:t>a</w:t>
      </w:r>
      <w:r>
        <w:rPr>
          <w:lang w:val="sr-Latn-RS"/>
        </w:rPr>
        <w:t xml:space="preserve">: </w:t>
      </w:r>
      <w:r w:rsidR="004E64AB">
        <w:rPr>
          <w:lang w:val="en-GB"/>
        </w:rPr>
        <w:t>“</w:t>
      </w:r>
      <w:r w:rsidR="004E64AB" w:rsidRPr="004E64AB">
        <w:rPr>
          <w:i/>
          <w:iCs/>
          <w:lang w:val="en-GB"/>
        </w:rPr>
        <w:t>Contamination of hydraulic system, in general, is not 70% responsible for all failures in the domain of hydraulic control systems, showing statistical</w:t>
      </w:r>
      <w:r w:rsidR="00DE0284">
        <w:rPr>
          <w:i/>
          <w:iCs/>
          <w:lang w:val="en-GB"/>
        </w:rPr>
        <w:t>ly</w:t>
      </w:r>
      <w:r w:rsidR="004E64AB" w:rsidRPr="004E64AB">
        <w:rPr>
          <w:i/>
          <w:iCs/>
          <w:lang w:val="en-GB"/>
        </w:rPr>
        <w:t xml:space="preserve"> significant difference p &lt; 0.05</w:t>
      </w:r>
      <w:r w:rsidR="00D30D4A">
        <w:rPr>
          <w:i/>
          <w:iCs/>
          <w:lang w:val="en-GB"/>
        </w:rPr>
        <w:t>.</w:t>
      </w:r>
      <w:r w:rsidR="004E64AB">
        <w:rPr>
          <w:lang w:val="en-GB"/>
        </w:rPr>
        <w:t>”</w:t>
      </w:r>
    </w:p>
    <w:p w14:paraId="394775C3" w14:textId="0297847D" w:rsidR="00393B81" w:rsidRDefault="00ED716E" w:rsidP="0057546A">
      <w:pPr>
        <w:rPr>
          <w:lang w:val="en-GB"/>
        </w:rPr>
      </w:pPr>
      <w:r>
        <w:rPr>
          <w:lang w:val="en-GB"/>
        </w:rPr>
        <w:t xml:space="preserve">As presented with the evidence and to challenge the proposed </w:t>
      </w:r>
      <w:r w:rsidR="003D182B">
        <w:rPr>
          <w:b/>
          <w:bCs/>
          <w:lang w:val="en-GB"/>
        </w:rPr>
        <w:t>H</w:t>
      </w:r>
      <w:r w:rsidRPr="003D182B">
        <w:rPr>
          <w:b/>
          <w:bCs/>
          <w:vertAlign w:val="subscript"/>
          <w:lang w:val="en-GB"/>
        </w:rPr>
        <w:t>2</w:t>
      </w:r>
      <w:r>
        <w:rPr>
          <w:lang w:val="en-GB"/>
        </w:rPr>
        <w:t xml:space="preserve"> under the hypothesis research model, the survey data shows discrepancies in the actual state of failures regarding the root causes of hydraulic systems. However, divided opinions forced the author to validate the proposed hypothesis that at least 70% of failures can be attributed to contamination. That being said, one can conclude that reliability is strongly influenced by the contamination of the fluid leading to premature degradation and failure</w:t>
      </w:r>
      <w:r w:rsidR="005E35F3">
        <w:rPr>
          <w:lang w:val="en-GB"/>
        </w:rPr>
        <w:t>.</w:t>
      </w:r>
    </w:p>
    <w:p w14:paraId="09C25EB2" w14:textId="561BE603" w:rsidR="003912E0" w:rsidRDefault="003912E0" w:rsidP="003912E0">
      <w:pPr>
        <w:pStyle w:val="Heading3"/>
        <w:rPr>
          <w:lang w:val="en-GB"/>
        </w:rPr>
      </w:pPr>
      <w:bookmarkStart w:id="52" w:name="_Toc101274323"/>
      <w:r>
        <w:rPr>
          <w:lang w:val="en-GB"/>
        </w:rPr>
        <w:t>Experimental validation and comparison with LCM</w:t>
      </w:r>
      <w:bookmarkEnd w:id="52"/>
    </w:p>
    <w:p w14:paraId="27EAFCA9" w14:textId="18AC98D4" w:rsidR="00D71F23" w:rsidRDefault="00D71F23" w:rsidP="0057546A">
      <w:pPr>
        <w:rPr>
          <w:lang w:val="en-GB"/>
        </w:rPr>
      </w:pPr>
      <w:r>
        <w:rPr>
          <w:lang w:val="en-GB"/>
        </w:rPr>
        <w:t>Finally, from the evidence collected, a specific hydraulic control system of a rubber mixing machine process will be used to test whether LCM can be used as an indication for measuring energy reduction under the specific maintenance strategy applied. If so, then measuring hydraulic power variables (pressure and flow) would be multicollinear and redundant for decision-making since appropriate predictions can be made just by monitoring particle contamination. Therefore, the hypothesis is set as follows:</w:t>
      </w:r>
    </w:p>
    <w:p w14:paraId="1C8BF461" w14:textId="61026A15" w:rsidR="003912E0" w:rsidRDefault="0057546A" w:rsidP="0057546A">
      <w:pPr>
        <w:rPr>
          <w:lang w:val="en-GB"/>
        </w:rPr>
      </w:pPr>
      <w:r w:rsidRPr="007C3340">
        <w:rPr>
          <w:b/>
          <w:bCs/>
          <w:lang w:val="en-GB"/>
        </w:rPr>
        <w:lastRenderedPageBreak/>
        <w:t>H</w:t>
      </w:r>
      <w:r w:rsidR="00B93819" w:rsidRPr="003048B6">
        <w:rPr>
          <w:b/>
          <w:bCs/>
          <w:vertAlign w:val="subscript"/>
          <w:lang w:val="en-GB"/>
        </w:rPr>
        <w:t>3</w:t>
      </w:r>
      <w:r>
        <w:rPr>
          <w:lang w:val="en-GB"/>
        </w:rPr>
        <w:t>: “</w:t>
      </w:r>
      <w:r w:rsidR="003912E0">
        <w:rPr>
          <w:lang w:val="en-GB"/>
        </w:rPr>
        <w:t>Under the accepted condition monitoring procedure and maintenance practice applied, particle contamination strongly correlates between non-random deteriorating failure and hydraulic power consumption.”</w:t>
      </w:r>
    </w:p>
    <w:p w14:paraId="2BB4EC11" w14:textId="6A2E35D6" w:rsidR="00C41FD7" w:rsidRPr="00525A0C" w:rsidRDefault="00C41FD7" w:rsidP="0057546A">
      <w:pPr>
        <w:rPr>
          <w:lang w:val="en-GB"/>
        </w:rPr>
      </w:pPr>
      <w:r>
        <w:rPr>
          <w:lang w:val="en-GB"/>
        </w:rPr>
        <w:t>The supporting premises to be investigated are as follows.</w:t>
      </w:r>
    </w:p>
    <w:p w14:paraId="55AF1458" w14:textId="18267CCE" w:rsidR="0057546A" w:rsidRDefault="0057546A" w:rsidP="0057546A">
      <w:pPr>
        <w:rPr>
          <w:lang w:val="en-GB"/>
        </w:rPr>
      </w:pPr>
      <w:r w:rsidRPr="007C3340">
        <w:rPr>
          <w:b/>
          <w:bCs/>
          <w:lang w:val="en-GB"/>
        </w:rPr>
        <w:t>h</w:t>
      </w:r>
      <w:r w:rsidR="00B93819">
        <w:rPr>
          <w:b/>
          <w:bCs/>
          <w:vertAlign w:val="superscript"/>
          <w:lang w:val="en-GB"/>
        </w:rPr>
        <w:t>3</w:t>
      </w:r>
      <w:r w:rsidR="00DC210D">
        <w:rPr>
          <w:b/>
          <w:bCs/>
          <w:vertAlign w:val="superscript"/>
          <w:lang w:val="en-GB"/>
        </w:rPr>
        <w:t>1</w:t>
      </w:r>
      <w:r w:rsidRPr="007C3340">
        <w:rPr>
          <w:b/>
          <w:bCs/>
          <w:vertAlign w:val="subscript"/>
          <w:lang w:val="en-GB"/>
        </w:rPr>
        <w:t>0</w:t>
      </w:r>
      <w:r w:rsidRPr="00525A0C">
        <w:rPr>
          <w:b/>
          <w:bCs/>
          <w:lang w:val="en-GB"/>
        </w:rPr>
        <w:t>:</w:t>
      </w:r>
      <w:r>
        <w:rPr>
          <w:lang w:val="en-GB"/>
        </w:rPr>
        <w:t xml:space="preserve"> “</w:t>
      </w:r>
      <w:r w:rsidRPr="00E41CA0">
        <w:rPr>
          <w:i/>
          <w:iCs/>
          <w:lang w:val="en-GB"/>
        </w:rPr>
        <w:t xml:space="preserve">There is </w:t>
      </w:r>
      <w:r w:rsidR="00CA08B2">
        <w:rPr>
          <w:i/>
          <w:iCs/>
          <w:lang w:val="en-GB"/>
        </w:rPr>
        <w:t xml:space="preserve">a </w:t>
      </w:r>
      <w:r>
        <w:rPr>
          <w:i/>
          <w:iCs/>
          <w:lang w:val="en-GB"/>
        </w:rPr>
        <w:t>statistically sig</w:t>
      </w:r>
      <w:r w:rsidR="00531E0A">
        <w:rPr>
          <w:i/>
          <w:iCs/>
          <w:lang w:val="en-GB"/>
        </w:rPr>
        <w:t>n</w:t>
      </w:r>
      <w:r>
        <w:rPr>
          <w:i/>
          <w:iCs/>
          <w:lang w:val="en-GB"/>
        </w:rPr>
        <w:t>ificant</w:t>
      </w:r>
      <w:r w:rsidRPr="00E41CA0">
        <w:rPr>
          <w:i/>
          <w:iCs/>
          <w:lang w:val="en-GB"/>
        </w:rPr>
        <w:t xml:space="preserve"> relationship</w:t>
      </w:r>
      <w:r w:rsidR="002341B9">
        <w:rPr>
          <w:i/>
          <w:iCs/>
          <w:lang w:val="en-GB"/>
        </w:rPr>
        <w:t xml:space="preserve"> </w:t>
      </w:r>
      <w:r w:rsidR="002341B9">
        <w:rPr>
          <w:i/>
          <w:iCs/>
          <w:lang w:val="sr-Latn-RS"/>
        </w:rPr>
        <w:t>(p &lt; 0.05)</w:t>
      </w:r>
      <w:r w:rsidRPr="00E41CA0">
        <w:rPr>
          <w:i/>
          <w:iCs/>
          <w:lang w:val="en-GB"/>
        </w:rPr>
        <w:t xml:space="preserve"> between </w:t>
      </w:r>
      <w:r w:rsidR="00D169BE">
        <w:rPr>
          <w:i/>
          <w:iCs/>
          <w:lang w:val="en-GB"/>
        </w:rPr>
        <w:t xml:space="preserve">hydraulic </w:t>
      </w:r>
      <w:r w:rsidRPr="00E41CA0">
        <w:rPr>
          <w:i/>
          <w:iCs/>
          <w:lang w:val="en-GB"/>
        </w:rPr>
        <w:t>power</w:t>
      </w:r>
      <w:r w:rsidR="00DC210D">
        <w:rPr>
          <w:i/>
          <w:iCs/>
          <w:lang w:val="en-GB"/>
        </w:rPr>
        <w:t xml:space="preserve"> </w:t>
      </w:r>
      <w:r w:rsidR="00D169BE">
        <w:rPr>
          <w:i/>
          <w:iCs/>
          <w:lang w:val="en-GB"/>
        </w:rPr>
        <w:t xml:space="preserve">reduction </w:t>
      </w:r>
      <w:r w:rsidRPr="00E41CA0">
        <w:rPr>
          <w:i/>
          <w:iCs/>
          <w:lang w:val="en-GB"/>
        </w:rPr>
        <w:t xml:space="preserve">and particle contamination in </w:t>
      </w:r>
      <w:r w:rsidR="00DE0284">
        <w:rPr>
          <w:i/>
          <w:iCs/>
          <w:lang w:val="en-GB"/>
        </w:rPr>
        <w:t xml:space="preserve">a </w:t>
      </w:r>
      <w:r w:rsidRPr="00E41CA0">
        <w:rPr>
          <w:i/>
          <w:iCs/>
          <w:lang w:val="en-GB"/>
        </w:rPr>
        <w:t>hydraulic system</w:t>
      </w:r>
      <w:r>
        <w:rPr>
          <w:i/>
          <w:iCs/>
          <w:lang w:val="en-GB"/>
        </w:rPr>
        <w:t>.</w:t>
      </w:r>
      <w:r>
        <w:rPr>
          <w:lang w:val="en-GB"/>
        </w:rPr>
        <w:t>”</w:t>
      </w:r>
    </w:p>
    <w:p w14:paraId="38AC58E6" w14:textId="34AC849E" w:rsidR="0057546A" w:rsidRDefault="0057546A" w:rsidP="0057546A">
      <w:pPr>
        <w:rPr>
          <w:lang w:val="en-GB"/>
        </w:rPr>
      </w:pPr>
      <w:r w:rsidRPr="00525A0C">
        <w:rPr>
          <w:b/>
          <w:bCs/>
          <w:lang w:val="en-GB"/>
        </w:rPr>
        <w:t>h</w:t>
      </w:r>
      <w:r w:rsidR="00B93819">
        <w:rPr>
          <w:b/>
          <w:bCs/>
          <w:vertAlign w:val="superscript"/>
          <w:lang w:val="en-GB"/>
        </w:rPr>
        <w:t>3</w:t>
      </w:r>
      <w:r w:rsidR="00DC210D">
        <w:rPr>
          <w:b/>
          <w:bCs/>
          <w:vertAlign w:val="superscript"/>
          <w:lang w:val="en-GB"/>
        </w:rPr>
        <w:t>1</w:t>
      </w:r>
      <w:r w:rsidRPr="00525A0C">
        <w:rPr>
          <w:b/>
          <w:bCs/>
          <w:vertAlign w:val="subscript"/>
          <w:lang w:val="en-GB"/>
        </w:rPr>
        <w:t>a</w:t>
      </w:r>
      <w:r w:rsidRPr="00525A0C">
        <w:rPr>
          <w:b/>
          <w:bCs/>
          <w:lang w:val="en-GB"/>
        </w:rPr>
        <w:t>:</w:t>
      </w:r>
      <w:r>
        <w:rPr>
          <w:lang w:val="en-GB"/>
        </w:rPr>
        <w:t xml:space="preserve"> “</w:t>
      </w:r>
      <w:r w:rsidRPr="00E41CA0">
        <w:rPr>
          <w:i/>
          <w:iCs/>
          <w:lang w:val="en-GB"/>
        </w:rPr>
        <w:t>Th</w:t>
      </w:r>
      <w:r>
        <w:rPr>
          <w:i/>
          <w:iCs/>
          <w:lang w:val="en-GB"/>
        </w:rPr>
        <w:t>er</w:t>
      </w:r>
      <w:r w:rsidRPr="00E41CA0">
        <w:rPr>
          <w:i/>
          <w:iCs/>
          <w:lang w:val="en-GB"/>
        </w:rPr>
        <w:t>e</w:t>
      </w:r>
      <w:r>
        <w:rPr>
          <w:i/>
          <w:iCs/>
          <w:lang w:val="en-GB"/>
        </w:rPr>
        <w:t xml:space="preserve"> is </w:t>
      </w:r>
      <w:r w:rsidR="00CA08B2">
        <w:rPr>
          <w:i/>
          <w:iCs/>
          <w:lang w:val="en-GB"/>
        </w:rPr>
        <w:t>no</w:t>
      </w:r>
      <w:r w:rsidR="00DE0284">
        <w:rPr>
          <w:i/>
          <w:iCs/>
          <w:lang w:val="en-GB"/>
        </w:rPr>
        <w:t xml:space="preserve"> </w:t>
      </w:r>
      <w:r>
        <w:rPr>
          <w:i/>
          <w:iCs/>
          <w:lang w:val="en-GB"/>
        </w:rPr>
        <w:t>statistically significant</w:t>
      </w:r>
      <w:r w:rsidRPr="00E41CA0">
        <w:rPr>
          <w:i/>
          <w:iCs/>
          <w:lang w:val="en-GB"/>
        </w:rPr>
        <w:t xml:space="preserve"> relationship</w:t>
      </w:r>
      <w:r w:rsidR="002341B9">
        <w:rPr>
          <w:i/>
          <w:iCs/>
          <w:lang w:val="en-GB"/>
        </w:rPr>
        <w:t xml:space="preserve"> </w:t>
      </w:r>
      <w:r w:rsidR="002341B9">
        <w:rPr>
          <w:i/>
          <w:iCs/>
          <w:lang w:val="sr-Latn-RS"/>
        </w:rPr>
        <w:t>(p &lt; 0.05)</w:t>
      </w:r>
      <w:r w:rsidRPr="00E41CA0">
        <w:rPr>
          <w:i/>
          <w:iCs/>
          <w:lang w:val="en-GB"/>
        </w:rPr>
        <w:t xml:space="preserve"> between</w:t>
      </w:r>
      <w:r w:rsidR="00D169BE">
        <w:rPr>
          <w:i/>
          <w:iCs/>
          <w:lang w:val="en-GB"/>
        </w:rPr>
        <w:t xml:space="preserve"> hydraulic</w:t>
      </w:r>
      <w:r w:rsidRPr="00E41CA0">
        <w:rPr>
          <w:i/>
          <w:iCs/>
          <w:lang w:val="en-GB"/>
        </w:rPr>
        <w:t xml:space="preserve"> power</w:t>
      </w:r>
      <w:r w:rsidR="00DC210D">
        <w:rPr>
          <w:i/>
          <w:iCs/>
          <w:lang w:val="en-GB"/>
        </w:rPr>
        <w:t xml:space="preserve"> </w:t>
      </w:r>
      <w:r w:rsidR="00D169BE">
        <w:rPr>
          <w:i/>
          <w:iCs/>
          <w:lang w:val="en-GB"/>
        </w:rPr>
        <w:t>reduction</w:t>
      </w:r>
      <w:r w:rsidRPr="00E41CA0">
        <w:rPr>
          <w:i/>
          <w:iCs/>
          <w:lang w:val="en-GB"/>
        </w:rPr>
        <w:t xml:space="preserve"> and </w:t>
      </w:r>
      <w:r>
        <w:rPr>
          <w:i/>
          <w:iCs/>
          <w:lang w:val="en-GB"/>
        </w:rPr>
        <w:t xml:space="preserve">particle contamination in </w:t>
      </w:r>
      <w:r w:rsidR="00DE0284">
        <w:rPr>
          <w:i/>
          <w:iCs/>
          <w:lang w:val="en-GB"/>
        </w:rPr>
        <w:t xml:space="preserve">a </w:t>
      </w:r>
      <w:r>
        <w:rPr>
          <w:i/>
          <w:iCs/>
          <w:lang w:val="en-GB"/>
        </w:rPr>
        <w:t>hydraulic system.”</w:t>
      </w:r>
    </w:p>
    <w:p w14:paraId="596864D5" w14:textId="332DE23A" w:rsidR="003912E0" w:rsidRPr="003912E0" w:rsidRDefault="003912E0" w:rsidP="0057546A">
      <w:pPr>
        <w:rPr>
          <w:lang w:val="en-GB"/>
        </w:rPr>
      </w:pPr>
      <w:r>
        <w:rPr>
          <w:lang w:val="en-GB"/>
        </w:rPr>
        <w:t>The idea of proposing such a hypothesis is to investigate the existence of multicollinearity and question the need for power monitoring if acceptable predictions can be made by monitoring particle contamination using particle counters and elemental analysis.</w:t>
      </w:r>
    </w:p>
    <w:p w14:paraId="442F150A" w14:textId="7CEBAFB7" w:rsidR="007354F7" w:rsidRDefault="007354F7" w:rsidP="007354F7">
      <w:pPr>
        <w:pStyle w:val="Heading3"/>
        <w:rPr>
          <w:lang w:val="en-GB"/>
        </w:rPr>
      </w:pPr>
      <w:bookmarkStart w:id="53" w:name="_Toc101274324"/>
      <w:r>
        <w:rPr>
          <w:lang w:val="en-GB"/>
        </w:rPr>
        <w:t>Machine Learning Hypotheses space</w:t>
      </w:r>
      <w:bookmarkEnd w:id="53"/>
    </w:p>
    <w:p w14:paraId="73155CF9" w14:textId="77777777" w:rsidR="00367193" w:rsidRDefault="00C517F2" w:rsidP="004E4A1F">
      <w:pPr>
        <w:rPr>
          <w:lang w:val="en-GB"/>
        </w:rPr>
      </w:pPr>
      <w:r>
        <w:rPr>
          <w:lang w:val="en-GB"/>
        </w:rPr>
        <w:t>Machine learning algorithms consist of supervised, unsupervised and reinforcement learning algorithms. The experimental validation will be conducted akin to supervised learning algorithms. However, some unsupervised learning algorithms (e.g., PCA) will be used for data exploration and visualisation (e.g., removing outliers and selecting predictors). Since the prediction (inductive reasoning) includes diagnosing healthy from non-healthy, the outputs are given as a binary variable, i.e., true or false [1, 0].</w:t>
      </w:r>
    </w:p>
    <w:p w14:paraId="13551A59" w14:textId="517229B9" w:rsidR="004E4A1F" w:rsidRDefault="00367193" w:rsidP="004E4A1F">
      <w:pPr>
        <w:rPr>
          <w:lang w:val="en-GB"/>
        </w:rPr>
      </w:pPr>
      <w:r>
        <w:rPr>
          <w:lang w:val="en-GB"/>
        </w:rPr>
        <w:t>T</w:t>
      </w:r>
      <w:r w:rsidR="00C517F2">
        <w:rPr>
          <w:lang w:val="en-GB"/>
        </w:rPr>
        <w:t>he learning algorithms that are applied consider binary classification problems. Since the goal is to establish markers used for optimisation purposes by reliability modelling, the task considers selecting the most appropriate model (based on classification accuracy) from hypothesis space (</w:t>
      </w:r>
      <w:r w:rsidR="00C517F2" w:rsidRPr="00C517F2">
        <w:rPr>
          <w:i/>
          <w:iCs/>
          <w:lang w:val="en-GB"/>
        </w:rPr>
        <w:t>H</w:t>
      </w:r>
      <w:r w:rsidR="00C517F2">
        <w:rPr>
          <w:lang w:val="en-GB"/>
        </w:rPr>
        <w:t xml:space="preserve">). </w:t>
      </w:r>
      <w:r w:rsidR="006F3054">
        <w:rPr>
          <w:lang w:val="en-GB"/>
        </w:rPr>
        <w:t>These markers establish a target function by mapping inputs</w:t>
      </w:r>
      <w:r w:rsidR="00C517F2">
        <w:rPr>
          <w:lang w:val="en-GB"/>
        </w:rPr>
        <w:t xml:space="preserve"> (</w:t>
      </w:r>
      <w:r w:rsidR="00C517F2" w:rsidRPr="00C517F2">
        <w:rPr>
          <w:i/>
          <w:iCs/>
          <w:lang w:val="en-GB"/>
        </w:rPr>
        <w:t>x</w:t>
      </w:r>
      <w:r w:rsidR="00C517F2">
        <w:rPr>
          <w:lang w:val="en-GB"/>
        </w:rPr>
        <w:t>)</w:t>
      </w:r>
      <w:r w:rsidR="006F3054">
        <w:rPr>
          <w:lang w:val="en-GB"/>
        </w:rPr>
        <w:t xml:space="preserve"> to outputs</w:t>
      </w:r>
      <w:r w:rsidR="00C517F2">
        <w:rPr>
          <w:lang w:val="en-GB"/>
        </w:rPr>
        <w:t xml:space="preserve"> (</w:t>
      </w:r>
      <w:r w:rsidR="00C517F2" w:rsidRPr="00C517F2">
        <w:rPr>
          <w:i/>
          <w:iCs/>
          <w:lang w:val="en-GB"/>
        </w:rPr>
        <w:t>y</w:t>
      </w:r>
      <w:r w:rsidR="00C517F2">
        <w:rPr>
          <w:lang w:val="en-GB"/>
        </w:rPr>
        <w:t>)</w:t>
      </w:r>
      <w:r w:rsidR="006F3054">
        <w:rPr>
          <w:lang w:val="en-GB"/>
        </w:rPr>
        <w:t xml:space="preserve"> with machine learning algorithms (</w:t>
      </w:r>
      <w:r>
        <w:rPr>
          <w:lang w:val="en-GB"/>
        </w:rPr>
        <w:fldChar w:fldCharType="begin"/>
      </w:r>
      <w:r>
        <w:rPr>
          <w:lang w:val="en-GB"/>
        </w:rPr>
        <w:instrText xml:space="preserve"> REF _Ref100574673 \h </w:instrText>
      </w:r>
      <w:r>
        <w:rPr>
          <w:lang w:val="en-GB"/>
        </w:rPr>
      </w:r>
      <w:r>
        <w:rPr>
          <w:lang w:val="en-GB"/>
        </w:rPr>
        <w:fldChar w:fldCharType="separate"/>
      </w:r>
      <w:r w:rsidR="00587AF0">
        <w:t xml:space="preserve">Figure </w:t>
      </w:r>
      <w:r w:rsidR="00587AF0">
        <w:rPr>
          <w:noProof/>
        </w:rPr>
        <w:t>5</w:t>
      </w:r>
      <w:r>
        <w:rPr>
          <w:lang w:val="en-GB"/>
        </w:rPr>
        <w:fldChar w:fldCharType="end"/>
      </w:r>
      <w:r w:rsidR="006F3054">
        <w:rPr>
          <w:lang w:val="en-GB"/>
        </w:rPr>
        <w:t xml:space="preserve">). Therefore, target functions are comprised of hypothesis space (multiple models) in which the most accurate target function is the </w:t>
      </w:r>
      <w:r>
        <w:rPr>
          <w:lang w:val="en-GB"/>
        </w:rPr>
        <w:t>selected</w:t>
      </w:r>
      <w:r w:rsidR="006F3054">
        <w:rPr>
          <w:lang w:val="en-GB"/>
        </w:rPr>
        <w:t xml:space="preserve"> model (hypothesis)</w:t>
      </w:r>
      <w:r w:rsidR="00C517F2">
        <w:rPr>
          <w:lang w:val="en-GB"/>
        </w:rPr>
        <w:t>.</w:t>
      </w:r>
      <w:r w:rsidR="00B2733C">
        <w:rPr>
          <w:lang w:val="en-GB"/>
        </w:rPr>
        <w:t xml:space="preserve"> The outputs </w:t>
      </w:r>
      <w:r w:rsidR="00427C0B">
        <w:rPr>
          <w:lang w:val="en-GB"/>
        </w:rPr>
        <w:t>for</w:t>
      </w:r>
      <w:r w:rsidR="003A7601">
        <w:rPr>
          <w:lang w:val="en-GB"/>
        </w:rPr>
        <w:t xml:space="preserve"> classification</w:t>
      </w:r>
      <w:r w:rsidR="00427C0B">
        <w:rPr>
          <w:lang w:val="en-GB"/>
        </w:rPr>
        <w:t xml:space="preserve"> models are labelled as </w:t>
      </w:r>
      <w:r w:rsidR="006F3054">
        <w:rPr>
          <w:lang w:val="en-GB"/>
        </w:rPr>
        <w:t xml:space="preserve">healthy </w:t>
      </w:r>
      <w:r w:rsidR="003A7601">
        <w:rPr>
          <w:lang w:val="en-GB"/>
        </w:rPr>
        <w:t>–</w:t>
      </w:r>
      <w:r w:rsidR="006F3054">
        <w:rPr>
          <w:lang w:val="en-GB"/>
        </w:rPr>
        <w:t xml:space="preserve"> “None</w:t>
      </w:r>
      <w:r w:rsidR="00427C0B">
        <w:rPr>
          <w:lang w:val="en-GB"/>
        </w:rPr>
        <w:t>”</w:t>
      </w:r>
      <w:r w:rsidR="006F3054">
        <w:rPr>
          <w:lang w:val="en-GB"/>
        </w:rPr>
        <w:t xml:space="preserve"> – suggesting no </w:t>
      </w:r>
      <w:r w:rsidR="00C517F2">
        <w:rPr>
          <w:lang w:val="en-GB"/>
        </w:rPr>
        <w:t>faults or failures</w:t>
      </w:r>
      <w:r w:rsidR="006F3054">
        <w:rPr>
          <w:lang w:val="en-GB"/>
        </w:rPr>
        <w:t xml:space="preserve"> and non-health </w:t>
      </w:r>
      <w:r w:rsidR="003A7601">
        <w:rPr>
          <w:lang w:val="en-GB"/>
        </w:rPr>
        <w:t>–</w:t>
      </w:r>
      <w:r w:rsidR="006F3054">
        <w:rPr>
          <w:lang w:val="en-GB"/>
        </w:rPr>
        <w:t xml:space="preserve"> </w:t>
      </w:r>
      <w:r w:rsidR="00427C0B">
        <w:rPr>
          <w:lang w:val="en-GB"/>
        </w:rPr>
        <w:t xml:space="preserve"> “</w:t>
      </w:r>
      <w:r w:rsidR="006F3054">
        <w:rPr>
          <w:lang w:val="en-GB"/>
        </w:rPr>
        <w:t>Quasi-fault</w:t>
      </w:r>
      <w:r w:rsidR="00427C0B">
        <w:rPr>
          <w:lang w:val="en-GB"/>
        </w:rPr>
        <w:t xml:space="preserve">” </w:t>
      </w:r>
      <w:r w:rsidR="006F3054">
        <w:rPr>
          <w:lang w:val="en-GB"/>
        </w:rPr>
        <w:t xml:space="preserve">mode – where </w:t>
      </w:r>
      <w:r w:rsidR="00C517F2">
        <w:rPr>
          <w:lang w:val="en-GB"/>
        </w:rPr>
        <w:t>anomalies</w:t>
      </w:r>
      <w:r w:rsidR="006F3054">
        <w:rPr>
          <w:lang w:val="en-GB"/>
        </w:rPr>
        <w:t xml:space="preserve"> have been</w:t>
      </w:r>
      <w:r w:rsidR="00427C0B">
        <w:rPr>
          <w:lang w:val="en-GB"/>
        </w:rPr>
        <w:t xml:space="preserve"> </w:t>
      </w:r>
      <w:r w:rsidR="006F3054">
        <w:rPr>
          <w:lang w:val="en-GB"/>
        </w:rPr>
        <w:t>noticed and labelled</w:t>
      </w:r>
      <w:r w:rsidR="003A7601">
        <w:rPr>
          <w:lang w:val="en-GB"/>
        </w:rPr>
        <w:t xml:space="preserve"> accordingly</w:t>
      </w:r>
      <w:r w:rsidR="006F3054">
        <w:rPr>
          <w:lang w:val="en-GB"/>
        </w:rPr>
        <w:t>.</w:t>
      </w:r>
      <w:r w:rsidR="004E4A1F">
        <w:rPr>
          <w:lang w:val="en-GB"/>
        </w:rPr>
        <w:t xml:space="preserve"> The hypothesis set (</w:t>
      </w:r>
      <w:r w:rsidR="004E4A1F" w:rsidRPr="00507F10">
        <w:rPr>
          <w:i/>
          <w:iCs/>
          <w:lang w:val="en-GB"/>
        </w:rPr>
        <w:t>Η</w:t>
      </w:r>
      <w:r w:rsidR="004E4A1F">
        <w:rPr>
          <w:lang w:val="en-GB"/>
        </w:rPr>
        <w:t>) is a space of possible hypotheses</w:t>
      </w:r>
      <w:r w:rsidR="003A7601">
        <w:rPr>
          <w:lang w:val="en-GB"/>
        </w:rPr>
        <w:t xml:space="preserve"> </w:t>
      </w:r>
      <w:r w:rsidR="003A7601">
        <w:rPr>
          <w:i/>
          <w:iCs/>
          <w:lang w:val="en-GB"/>
        </w:rPr>
        <w:t>(h</w:t>
      </w:r>
      <w:r w:rsidR="00C517F2" w:rsidRPr="00C517F2">
        <w:rPr>
          <w:i/>
          <w:iCs/>
          <w:vertAlign w:val="subscript"/>
          <w:lang w:val="en-GB"/>
        </w:rPr>
        <w:t>i</w:t>
      </w:r>
      <w:r w:rsidR="003A7601">
        <w:rPr>
          <w:lang w:val="en-GB"/>
        </w:rPr>
        <w:t>)</w:t>
      </w:r>
      <w:r w:rsidR="004E4A1F">
        <w:rPr>
          <w:lang w:val="en-GB"/>
        </w:rPr>
        <w:t>, while hypothesis (</w:t>
      </w:r>
      <w:r w:rsidR="004E4A1F" w:rsidRPr="000D1A6F">
        <w:rPr>
          <w:i/>
          <w:iCs/>
          <w:lang w:val="en-GB"/>
        </w:rPr>
        <w:t>h</w:t>
      </w:r>
      <w:r w:rsidR="004E4A1F">
        <w:rPr>
          <w:lang w:val="en-GB"/>
        </w:rPr>
        <w:t xml:space="preserve">) is a specific candidate model </w:t>
      </w:r>
      <w:r w:rsidR="003A7601" w:rsidRPr="003A7601">
        <w:rPr>
          <w:i/>
          <w:iCs/>
          <w:lang w:val="en-GB"/>
        </w:rPr>
        <w:t>h</w:t>
      </w:r>
      <w:r w:rsidR="00C517F2">
        <w:rPr>
          <w:i/>
          <w:iCs/>
          <w:lang w:val="en-GB"/>
        </w:rPr>
        <w:t xml:space="preserve"> (∙)</w:t>
      </w:r>
      <w:r w:rsidR="003A7601">
        <w:rPr>
          <w:lang w:val="en-GB"/>
        </w:rPr>
        <w:t xml:space="preserve"> = </w:t>
      </w:r>
      <w:r w:rsidR="003A7601" w:rsidRPr="003A7601">
        <w:rPr>
          <w:i/>
          <w:iCs/>
          <w:lang w:val="en-GB"/>
        </w:rPr>
        <w:t>f</w:t>
      </w:r>
      <w:r w:rsidR="00C517F2">
        <w:rPr>
          <w:i/>
          <w:iCs/>
          <w:lang w:val="en-GB"/>
        </w:rPr>
        <w:t xml:space="preserve"> </w:t>
      </w:r>
      <w:r w:rsidR="003A7601">
        <w:rPr>
          <w:lang w:val="en-GB"/>
        </w:rPr>
        <w:t>(</w:t>
      </w:r>
      <w:r w:rsidR="00C517F2">
        <w:rPr>
          <w:i/>
          <w:iCs/>
          <w:lang w:val="en-GB"/>
        </w:rPr>
        <w:t>∙</w:t>
      </w:r>
      <w:r w:rsidR="003A7601">
        <w:rPr>
          <w:lang w:val="en-GB"/>
        </w:rPr>
        <w:t xml:space="preserve">) </w:t>
      </w:r>
      <w:r w:rsidR="004E4A1F">
        <w:rPr>
          <w:lang w:val="en-GB"/>
        </w:rPr>
        <w:t>that maps inputs</w:t>
      </w:r>
      <w:r w:rsidR="003A7601">
        <w:rPr>
          <w:lang w:val="en-GB"/>
        </w:rPr>
        <w:t xml:space="preserve"> (</w:t>
      </w:r>
      <w:r w:rsidR="00665A62">
        <w:rPr>
          <w:i/>
          <w:iCs/>
          <w:lang w:val="en-GB"/>
        </w:rPr>
        <w:t>x</w:t>
      </w:r>
      <w:r w:rsidR="003A7601">
        <w:rPr>
          <w:lang w:val="en-GB"/>
        </w:rPr>
        <w:t>)</w:t>
      </w:r>
      <w:r w:rsidR="004E4A1F">
        <w:rPr>
          <w:lang w:val="en-GB"/>
        </w:rPr>
        <w:t xml:space="preserve"> to outputs</w:t>
      </w:r>
      <w:r w:rsidR="003A7601">
        <w:rPr>
          <w:lang w:val="en-GB"/>
        </w:rPr>
        <w:t xml:space="preserve"> (</w:t>
      </w:r>
      <w:r w:rsidR="00665A62">
        <w:rPr>
          <w:i/>
          <w:iCs/>
          <w:lang w:val="en-GB"/>
        </w:rPr>
        <w:t>y</w:t>
      </w:r>
      <w:r w:rsidR="003A7601">
        <w:rPr>
          <w:lang w:val="en-GB"/>
        </w:rPr>
        <w:t>)</w:t>
      </w:r>
      <w:r w:rsidR="00CE1C55">
        <w:rPr>
          <w:lang w:val="en-GB"/>
        </w:rPr>
        <w:t>.</w:t>
      </w:r>
    </w:p>
    <w:p w14:paraId="629A37E0" w14:textId="524B4299" w:rsidR="00367193" w:rsidRDefault="00BC2409" w:rsidP="00367193">
      <w:pPr>
        <w:keepNext/>
        <w:jc w:val="center"/>
      </w:pPr>
      <w:r w:rsidRPr="00BC2409">
        <w:rPr>
          <w:noProof/>
        </w:rPr>
        <w:drawing>
          <wp:inline distT="0" distB="0" distL="0" distR="0" wp14:anchorId="67F379FD" wp14:editId="31D10DC2">
            <wp:extent cx="3944277" cy="3060000"/>
            <wp:effectExtent l="0" t="0" r="0" b="762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44277" cy="3060000"/>
                    </a:xfrm>
                    <a:prstGeom prst="rect">
                      <a:avLst/>
                    </a:prstGeom>
                    <a:noFill/>
                    <a:ln>
                      <a:noFill/>
                    </a:ln>
                  </pic:spPr>
                </pic:pic>
              </a:graphicData>
            </a:graphic>
          </wp:inline>
        </w:drawing>
      </w:r>
    </w:p>
    <w:p w14:paraId="7D2BDFCC" w14:textId="2849B9E9" w:rsidR="00367193" w:rsidRPr="00367193" w:rsidRDefault="00367193" w:rsidP="00367193">
      <w:pPr>
        <w:pStyle w:val="Caption"/>
      </w:pPr>
      <w:bookmarkStart w:id="54" w:name="_Ref100574673"/>
      <w:bookmarkStart w:id="55" w:name="_Toc101274527"/>
      <w:r>
        <w:t xml:space="preserve">Figure </w:t>
      </w:r>
      <w:fldSimple w:instr=" SEQ Figure \* ARABIC ">
        <w:r w:rsidR="00587AF0">
          <w:rPr>
            <w:noProof/>
          </w:rPr>
          <w:t>5</w:t>
        </w:r>
      </w:fldSimple>
      <w:bookmarkEnd w:id="54"/>
      <w:r>
        <w:t>. Inductive learning hypothesis testing in machine learning</w:t>
      </w:r>
      <w:bookmarkEnd w:id="55"/>
    </w:p>
    <w:p w14:paraId="06DF9124" w14:textId="69D7124C" w:rsidR="00367193" w:rsidRPr="00D90467" w:rsidRDefault="00367193" w:rsidP="007354F7">
      <w:pPr>
        <w:rPr>
          <w:lang w:val="en-GB"/>
        </w:rPr>
      </w:pPr>
      <w:r>
        <w:rPr>
          <w:lang w:val="en-GB"/>
        </w:rPr>
        <w:lastRenderedPageBreak/>
        <w:t xml:space="preserve">All possible objects described by the features </w:t>
      </w:r>
      <w:r w:rsidR="00B95B87">
        <w:rPr>
          <w:lang w:val="en-GB"/>
        </w:rPr>
        <w:t>are</w:t>
      </w:r>
      <w:r>
        <w:rPr>
          <w:lang w:val="en-GB"/>
        </w:rPr>
        <w:t xml:space="preserve"> called instance space</w:t>
      </w:r>
      <w:r w:rsidR="000C390F">
        <w:rPr>
          <w:lang w:val="en-GB"/>
        </w:rPr>
        <w:t xml:space="preserve"> (</w:t>
      </w:r>
      <w:r w:rsidR="000C390F" w:rsidRPr="000C390F">
        <w:rPr>
          <w:i/>
          <w:iCs/>
          <w:lang w:val="en-GB"/>
        </w:rPr>
        <w:t>S</w:t>
      </w:r>
      <w:r w:rsidR="000C390F">
        <w:rPr>
          <w:lang w:val="en-GB"/>
        </w:rPr>
        <w:t>)</w:t>
      </w:r>
      <w:r>
        <w:rPr>
          <w:lang w:val="en-GB"/>
        </w:rPr>
        <w:t>.</w:t>
      </w:r>
      <w:r w:rsidR="001D5811">
        <w:rPr>
          <w:lang w:val="en-GB"/>
        </w:rPr>
        <w:t xml:space="preserve"> Considering </w:t>
      </w:r>
      <w:r w:rsidR="00B95B87">
        <w:rPr>
          <w:lang w:val="en-GB"/>
        </w:rPr>
        <w:t xml:space="preserve">the </w:t>
      </w:r>
      <w:r w:rsidR="001D5811">
        <w:rPr>
          <w:lang w:val="en-GB"/>
        </w:rPr>
        <w:t>two-class classification [</w:t>
      </w:r>
      <w:r w:rsidR="000C390F">
        <w:rPr>
          <w:lang w:val="en-GB"/>
        </w:rPr>
        <w:t>1</w:t>
      </w:r>
      <w:r w:rsidR="001D5811">
        <w:rPr>
          <w:lang w:val="en-GB"/>
        </w:rPr>
        <w:t xml:space="preserve">, </w:t>
      </w:r>
      <w:r w:rsidR="000C390F">
        <w:rPr>
          <w:lang w:val="en-GB"/>
        </w:rPr>
        <w:t>0</w:t>
      </w:r>
      <w:r w:rsidR="001D5811">
        <w:rPr>
          <w:lang w:val="en-GB"/>
        </w:rPr>
        <w:t xml:space="preserve">] problem, </w:t>
      </w:r>
      <w:r w:rsidR="001549C6">
        <w:rPr>
          <w:lang w:val="en-GB"/>
        </w:rPr>
        <w:t xml:space="preserve">the </w:t>
      </w:r>
      <w:r w:rsidR="001D5811">
        <w:rPr>
          <w:lang w:val="en-GB"/>
        </w:rPr>
        <w:t xml:space="preserve">concept </w:t>
      </w:r>
      <w:r w:rsidR="001D5811">
        <w:rPr>
          <w:i/>
          <w:iCs/>
          <w:lang w:val="en-GB"/>
        </w:rPr>
        <w:t>c</w:t>
      </w:r>
      <w:r w:rsidR="001D5811">
        <w:rPr>
          <w:lang w:val="en-GB"/>
        </w:rPr>
        <w:t xml:space="preserve"> </w:t>
      </w:r>
      <w:r w:rsidR="001549C6">
        <w:rPr>
          <w:lang w:val="en-GB"/>
        </w:rPr>
        <w:t xml:space="preserve">is a function that explains a specific label feature as </w:t>
      </w:r>
      <w:r w:rsidR="001549C6" w:rsidRPr="001549C6">
        <w:rPr>
          <w:i/>
          <w:iCs/>
          <w:lang w:val="en-GB"/>
        </w:rPr>
        <w:t>c</w:t>
      </w:r>
      <w:r w:rsidR="001549C6">
        <w:rPr>
          <w:lang w:val="en-GB"/>
        </w:rPr>
        <w:t xml:space="preserve"> </w:t>
      </w:r>
      <w:r w:rsidR="001D5811">
        <w:rPr>
          <w:lang w:val="en-GB"/>
        </w:rPr>
        <w:t xml:space="preserve">= </w:t>
      </w:r>
      <w:r w:rsidR="001D5811" w:rsidRPr="001D5811">
        <w:rPr>
          <w:i/>
          <w:iCs/>
          <w:lang w:val="en-GB"/>
        </w:rPr>
        <w:t>f</w:t>
      </w:r>
      <w:r w:rsidR="001D5811">
        <w:rPr>
          <w:lang w:val="en-GB"/>
        </w:rPr>
        <w:t xml:space="preserve"> (</w:t>
      </w:r>
      <w:r w:rsidR="001D5811" w:rsidRPr="006F5EE3">
        <w:rPr>
          <w:i/>
          <w:iCs/>
          <w:lang w:val="en-GB"/>
        </w:rPr>
        <w:t>x</w:t>
      </w:r>
      <w:r w:rsidR="001D5811">
        <w:rPr>
          <w:lang w:val="en-GB"/>
        </w:rPr>
        <w:t>|</w:t>
      </w:r>
      <w:r w:rsidR="006F5EE3" w:rsidRPr="006F5EE3">
        <w:rPr>
          <w:i/>
          <w:iCs/>
          <w:lang w:val="en-GB"/>
        </w:rPr>
        <w:t>y</w:t>
      </w:r>
      <w:r w:rsidR="006F5EE3">
        <w:rPr>
          <w:lang w:val="en-GB"/>
        </w:rPr>
        <w:t xml:space="preserve"> = 1</w:t>
      </w:r>
      <w:r w:rsidR="001D5811">
        <w:rPr>
          <w:lang w:val="en-GB"/>
        </w:rPr>
        <w:t>)</w:t>
      </w:r>
      <w:r w:rsidR="001549C6">
        <w:rPr>
          <w:lang w:val="en-GB"/>
        </w:rPr>
        <w:t>. T</w:t>
      </w:r>
      <w:r w:rsidR="001D5811">
        <w:rPr>
          <w:lang w:val="en-GB"/>
        </w:rPr>
        <w:t>he</w:t>
      </w:r>
      <w:r w:rsidR="007100A4">
        <w:rPr>
          <w:lang w:val="en-GB"/>
        </w:rPr>
        <w:t>refore, the systems' goal</w:t>
      </w:r>
      <w:r w:rsidR="001D5811">
        <w:rPr>
          <w:lang w:val="en-GB"/>
        </w:rPr>
        <w:t xml:space="preserve"> is to learn the concept given </w:t>
      </w:r>
      <w:r w:rsidR="00B95B87">
        <w:rPr>
          <w:lang w:val="en-GB"/>
        </w:rPr>
        <w:t xml:space="preserve">the </w:t>
      </w:r>
      <w:r w:rsidR="001D5811">
        <w:rPr>
          <w:lang w:val="en-GB"/>
        </w:rPr>
        <w:t xml:space="preserve">classification outcome. </w:t>
      </w:r>
      <w:r w:rsidR="00190ED0">
        <w:rPr>
          <w:lang w:val="en-GB"/>
        </w:rPr>
        <w:t>C</w:t>
      </w:r>
      <w:r w:rsidR="001D5811">
        <w:rPr>
          <w:lang w:val="en-GB"/>
        </w:rPr>
        <w:t xml:space="preserve">oncept </w:t>
      </w:r>
      <w:r w:rsidR="001D5811">
        <w:rPr>
          <w:i/>
          <w:iCs/>
          <w:lang w:val="en-GB"/>
        </w:rPr>
        <w:t>c</w:t>
      </w:r>
      <w:r w:rsidR="001D5811">
        <w:rPr>
          <w:lang w:val="en-GB"/>
        </w:rPr>
        <w:t xml:space="preserve"> is considered </w:t>
      </w:r>
      <w:r w:rsidR="009575A1">
        <w:rPr>
          <w:lang w:val="en-GB"/>
        </w:rPr>
        <w:t>a</w:t>
      </w:r>
      <w:r w:rsidR="001D5811">
        <w:rPr>
          <w:lang w:val="en-GB"/>
        </w:rPr>
        <w:t xml:space="preserve"> subset of instance space</w:t>
      </w:r>
      <w:r w:rsidR="001D5811">
        <w:rPr>
          <w:i/>
          <w:iCs/>
          <w:lang w:val="en-GB"/>
        </w:rPr>
        <w:t xml:space="preserve"> </w:t>
      </w:r>
      <w:r w:rsidR="00114994">
        <w:rPr>
          <w:lang w:val="en-GB"/>
        </w:rPr>
        <w:t xml:space="preserve">for a given </w:t>
      </w:r>
      <w:r w:rsidR="00114994" w:rsidRPr="00114994">
        <w:rPr>
          <w:i/>
          <w:iCs/>
          <w:lang w:val="en-GB"/>
        </w:rPr>
        <w:t>X</w:t>
      </w:r>
      <w:r w:rsidR="00114994">
        <w:rPr>
          <w:lang w:val="en-GB"/>
        </w:rPr>
        <w:t>{</w:t>
      </w:r>
      <w:r w:rsidR="000C390F">
        <w:rPr>
          <w:lang w:val="en-GB"/>
        </w:rPr>
        <w:t>1</w:t>
      </w:r>
      <w:r w:rsidR="00114994">
        <w:rPr>
          <w:lang w:val="en-GB"/>
        </w:rPr>
        <w:t xml:space="preserve">, </w:t>
      </w:r>
      <w:r w:rsidR="000C390F">
        <w:rPr>
          <w:lang w:val="en-GB"/>
        </w:rPr>
        <w:t>0</w:t>
      </w:r>
      <w:r w:rsidR="00114994">
        <w:rPr>
          <w:lang w:val="en-GB"/>
        </w:rPr>
        <w:t>}.</w:t>
      </w:r>
      <w:r w:rsidR="00B95B87">
        <w:rPr>
          <w:lang w:val="en-GB"/>
        </w:rPr>
        <w:t xml:space="preserve"> Finding the concept </w:t>
      </w:r>
      <w:r w:rsidR="00B95B87">
        <w:rPr>
          <w:i/>
          <w:iCs/>
          <w:lang w:val="en-GB"/>
        </w:rPr>
        <w:t>c</w:t>
      </w:r>
      <w:r w:rsidR="007100A4">
        <w:rPr>
          <w:i/>
          <w:iCs/>
          <w:lang w:val="en-GB"/>
        </w:rPr>
        <w:t>,</w:t>
      </w:r>
      <w:r w:rsidR="00B95B87">
        <w:rPr>
          <w:lang w:val="en-GB"/>
        </w:rPr>
        <w:t xml:space="preserve"> we </w:t>
      </w:r>
      <w:r w:rsidR="009575A1">
        <w:rPr>
          <w:lang w:val="en-GB"/>
        </w:rPr>
        <w:t>determine the hypothesis (</w:t>
      </w:r>
      <w:r w:rsidR="009575A1" w:rsidRPr="006F5EE3">
        <w:rPr>
          <w:i/>
          <w:iCs/>
          <w:lang w:val="en-GB"/>
        </w:rPr>
        <w:t>h</w:t>
      </w:r>
      <w:r w:rsidR="009575A1">
        <w:rPr>
          <w:lang w:val="en-GB"/>
        </w:rPr>
        <w:t>),</w:t>
      </w:r>
      <w:r w:rsidR="001549C6">
        <w:rPr>
          <w:lang w:val="en-GB"/>
        </w:rPr>
        <w:t xml:space="preserve"> </w:t>
      </w:r>
      <w:r w:rsidR="0056545C">
        <w:rPr>
          <w:lang w:val="en-GB"/>
        </w:rPr>
        <w:t xml:space="preserve">which is </w:t>
      </w:r>
      <w:r w:rsidR="001549C6">
        <w:rPr>
          <w:lang w:val="en-GB"/>
        </w:rPr>
        <w:t>a function that approximates</w:t>
      </w:r>
      <w:r w:rsidR="00B95B87">
        <w:rPr>
          <w:lang w:val="en-GB"/>
        </w:rPr>
        <w:t xml:space="preserve"> </w:t>
      </w:r>
      <w:r w:rsidR="00B95B87" w:rsidRPr="003A7601">
        <w:rPr>
          <w:i/>
          <w:iCs/>
          <w:lang w:val="en-GB"/>
        </w:rPr>
        <w:t>f</w:t>
      </w:r>
      <w:r w:rsidR="00B95B87">
        <w:rPr>
          <w:i/>
          <w:iCs/>
          <w:lang w:val="en-GB"/>
        </w:rPr>
        <w:t xml:space="preserve"> </w:t>
      </w:r>
      <w:r w:rsidR="00B95B87">
        <w:rPr>
          <w:lang w:val="en-GB"/>
        </w:rPr>
        <w:t>(</w:t>
      </w:r>
      <w:r w:rsidR="00B95B87">
        <w:rPr>
          <w:i/>
          <w:iCs/>
          <w:lang w:val="en-GB"/>
        </w:rPr>
        <w:t>∙</w:t>
      </w:r>
      <w:r w:rsidR="00B95B87">
        <w:rPr>
          <w:lang w:val="en-GB"/>
        </w:rPr>
        <w:t xml:space="preserve">) </w:t>
      </w:r>
      <w:r w:rsidR="001549C6">
        <w:rPr>
          <w:lang w:val="en-GB"/>
        </w:rPr>
        <w:t>given label</w:t>
      </w:r>
      <w:r w:rsidR="00B95B87">
        <w:rPr>
          <w:lang w:val="en-GB"/>
        </w:rPr>
        <w:t xml:space="preserve"> </w:t>
      </w:r>
      <w:r w:rsidR="0056545C">
        <w:rPr>
          <w:lang w:val="en-GB"/>
        </w:rPr>
        <w:t>(</w:t>
      </w:r>
      <w:r w:rsidR="006F5EE3" w:rsidRPr="006F5EE3">
        <w:rPr>
          <w:i/>
          <w:iCs/>
          <w:lang w:val="en-GB"/>
        </w:rPr>
        <w:t>y</w:t>
      </w:r>
      <w:r w:rsidR="006F5EE3">
        <w:rPr>
          <w:i/>
          <w:iCs/>
          <w:vertAlign w:val="subscript"/>
          <w:lang w:val="en-GB"/>
        </w:rPr>
        <w:t>1</w:t>
      </w:r>
      <w:r w:rsidR="006F5EE3">
        <w:rPr>
          <w:lang w:val="en-GB"/>
        </w:rPr>
        <w:t xml:space="preserve"> or </w:t>
      </w:r>
      <w:r w:rsidR="006F5EE3">
        <w:rPr>
          <w:i/>
          <w:iCs/>
          <w:lang w:val="en-GB"/>
        </w:rPr>
        <w:t>y</w:t>
      </w:r>
      <w:r w:rsidR="006F5EE3">
        <w:rPr>
          <w:i/>
          <w:iCs/>
          <w:lang w:val="en-GB"/>
        </w:rPr>
        <w:softHyphen/>
      </w:r>
      <w:r w:rsidR="00927AD1">
        <w:rPr>
          <w:i/>
          <w:iCs/>
          <w:vertAlign w:val="subscript"/>
          <w:lang w:val="en-GB"/>
        </w:rPr>
        <w:t>0</w:t>
      </w:r>
      <w:r w:rsidR="0056545C">
        <w:rPr>
          <w:lang w:val="en-GB"/>
        </w:rPr>
        <w:t>) and imposed language bias (con</w:t>
      </w:r>
      <w:r w:rsidR="00F86FDB">
        <w:rPr>
          <w:lang w:val="en-GB"/>
        </w:rPr>
        <w:t>s</w:t>
      </w:r>
      <w:r w:rsidR="0056545C">
        <w:rPr>
          <w:lang w:val="en-GB"/>
        </w:rPr>
        <w:t>traint and preference). If we consider an example of determining all possible hypotheses space of binary feature space {</w:t>
      </w:r>
      <w:r w:rsidR="0056545C">
        <w:rPr>
          <w:i/>
          <w:iCs/>
          <w:lang w:val="en-GB"/>
        </w:rPr>
        <w:t>x</w:t>
      </w:r>
      <w:r w:rsidR="0056545C">
        <w:rPr>
          <w:i/>
          <w:iCs/>
          <w:vertAlign w:val="subscript"/>
          <w:lang w:val="en-GB"/>
        </w:rPr>
        <w:t>1</w:t>
      </w:r>
      <w:r w:rsidR="0056545C">
        <w:rPr>
          <w:i/>
          <w:iCs/>
          <w:lang w:val="en-GB"/>
        </w:rPr>
        <w:t>, x</w:t>
      </w:r>
      <w:r w:rsidR="0056545C">
        <w:rPr>
          <w:i/>
          <w:iCs/>
          <w:vertAlign w:val="subscript"/>
          <w:lang w:val="en-GB"/>
        </w:rPr>
        <w:t>2</w:t>
      </w:r>
      <w:r w:rsidR="0056545C">
        <w:rPr>
          <w:i/>
          <w:iCs/>
          <w:lang w:val="en-GB"/>
        </w:rPr>
        <w:t>…x</w:t>
      </w:r>
      <w:r w:rsidR="0056545C">
        <w:rPr>
          <w:i/>
          <w:iCs/>
          <w:vertAlign w:val="subscript"/>
          <w:lang w:val="en-GB"/>
        </w:rPr>
        <w:t>n</w:t>
      </w:r>
      <w:r w:rsidR="0056545C">
        <w:rPr>
          <w:i/>
          <w:iCs/>
          <w:lang w:val="en-GB"/>
        </w:rPr>
        <w:t>}</w:t>
      </w:r>
      <w:r w:rsidR="0056545C">
        <w:rPr>
          <w:lang w:val="en-GB"/>
        </w:rPr>
        <w:t xml:space="preserve"> the possible instances are 2</w:t>
      </w:r>
      <w:r w:rsidR="0056545C">
        <w:rPr>
          <w:vertAlign w:val="superscript"/>
          <w:lang w:val="en-GB"/>
        </w:rPr>
        <w:t>n</w:t>
      </w:r>
      <w:r w:rsidR="00F86FDB">
        <w:rPr>
          <w:vertAlign w:val="superscript"/>
          <w:lang w:val="en-GB"/>
        </w:rPr>
        <w:t>,</w:t>
      </w:r>
      <w:r w:rsidR="0056545C">
        <w:rPr>
          <w:lang w:val="en-GB"/>
        </w:rPr>
        <w:t xml:space="preserve"> and possible boolean functions </w:t>
      </w:r>
      <w:r w:rsidR="00F86FDB">
        <w:rPr>
          <w:lang w:val="en-GB"/>
        </w:rPr>
        <w:t>are</w:t>
      </w:r>
      <w:r w:rsidR="0056545C">
        <w:rPr>
          <w:lang w:val="en-GB"/>
        </w:rPr>
        <w:t xml:space="preserve"> then 2</w:t>
      </w:r>
      <w:r w:rsidR="0056545C">
        <w:rPr>
          <w:vertAlign w:val="superscript"/>
          <w:lang w:val="en-GB"/>
        </w:rPr>
        <w:t>2^n</w:t>
      </w:r>
      <w:r w:rsidR="0056545C">
        <w:rPr>
          <w:lang w:val="en-GB"/>
        </w:rPr>
        <w:t>. Given such hypothesis space</w:t>
      </w:r>
      <w:r w:rsidR="00F86FDB">
        <w:rPr>
          <w:lang w:val="en-GB"/>
        </w:rPr>
        <w:t>,</w:t>
      </w:r>
      <w:r w:rsidR="0056545C">
        <w:rPr>
          <w:lang w:val="en-GB"/>
        </w:rPr>
        <w:t xml:space="preserve"> it is impossible to examine all possible hypothes</w:t>
      </w:r>
      <w:r w:rsidR="00F86FDB">
        <w:rPr>
          <w:lang w:val="en-GB"/>
        </w:rPr>
        <w:t>e</w:t>
      </w:r>
      <w:r w:rsidR="0056545C">
        <w:rPr>
          <w:lang w:val="en-GB"/>
        </w:rPr>
        <w:t>s individually to select the best hypothesis. For such reasoning</w:t>
      </w:r>
      <w:r w:rsidR="00F86FDB">
        <w:rPr>
          <w:lang w:val="en-GB"/>
        </w:rPr>
        <w:t>,</w:t>
      </w:r>
      <w:r w:rsidR="0056545C">
        <w:rPr>
          <w:lang w:val="en-GB"/>
        </w:rPr>
        <w:t xml:space="preserve"> we impose restrictions and preferences. </w:t>
      </w:r>
      <w:r w:rsidR="00EF5A47">
        <w:rPr>
          <w:lang w:val="en-GB"/>
        </w:rPr>
        <w:t xml:space="preserve">The amount of hypotheses </w:t>
      </w:r>
      <w:r w:rsidR="00EF5A47">
        <w:rPr>
          <w:i/>
          <w:iCs/>
          <w:lang w:val="en-GB"/>
        </w:rPr>
        <w:t>h</w:t>
      </w:r>
      <w:r w:rsidR="00EF5A47">
        <w:rPr>
          <w:i/>
          <w:iCs/>
          <w:vertAlign w:val="subscript"/>
          <w:lang w:val="en-GB"/>
        </w:rPr>
        <w:t>i</w:t>
      </w:r>
      <w:r w:rsidR="00EF5A47">
        <w:rPr>
          <w:lang w:val="en-GB"/>
        </w:rPr>
        <w:t xml:space="preserve"> is restricted by the imposed language bias.</w:t>
      </w:r>
      <w:r w:rsidR="0056545C">
        <w:rPr>
          <w:lang w:val="en-GB"/>
        </w:rPr>
        <w:t xml:space="preserve"> The type of restriction bias is ML algorithm – linear function, polynomial function, logistic function, etc. The preference bias includes consider</w:t>
      </w:r>
      <w:r w:rsidR="00F86FDB">
        <w:rPr>
          <w:lang w:val="en-GB"/>
        </w:rPr>
        <w:t>ing</w:t>
      </w:r>
      <w:r w:rsidR="0056545C">
        <w:rPr>
          <w:lang w:val="en-GB"/>
        </w:rPr>
        <w:t xml:space="preserve"> </w:t>
      </w:r>
      <w:r w:rsidR="00F86FDB">
        <w:rPr>
          <w:lang w:val="en-GB"/>
        </w:rPr>
        <w:t xml:space="preserve">the </w:t>
      </w:r>
      <w:r w:rsidR="0056545C">
        <w:rPr>
          <w:lang w:val="en-GB"/>
        </w:rPr>
        <w:t>proposed function but a lower degree function, e.g., lower degree polynomial.</w:t>
      </w:r>
    </w:p>
    <w:p w14:paraId="353D1E10" w14:textId="55002D7A" w:rsidR="00496E0B" w:rsidRDefault="00E93E9D" w:rsidP="00306499">
      <w:pPr>
        <w:rPr>
          <w:rFonts w:cs="Cambria"/>
        </w:rPr>
      </w:pPr>
      <w:r>
        <w:t>Setting</w:t>
      </w:r>
      <w:r w:rsidR="001D3EDB">
        <w:t xml:space="preserve"> an input</w:t>
      </w:r>
      <w:r>
        <w:t xml:space="preserve"> (with learning data–training)</w:t>
      </w:r>
      <w:r w:rsidR="001D3EDB">
        <w:t xml:space="preserve"> </w:t>
      </w:r>
      <w:r>
        <w:rPr>
          <w:i/>
          <w:iCs/>
        </w:rPr>
        <w:t>S</w:t>
      </w:r>
      <w:r>
        <w:rPr>
          <w:i/>
          <w:iCs/>
          <w:vertAlign w:val="subscript"/>
        </w:rPr>
        <w:t>A</w:t>
      </w:r>
      <w:r w:rsidR="001D3EDB">
        <w:t xml:space="preserve"> </w:t>
      </w:r>
      <m:oMath>
        <m:r>
          <w:rPr>
            <w:rFonts w:ascii="Cambria Math" w:hAnsi="Cambria Math"/>
          </w:rPr>
          <m:t>⊆</m:t>
        </m:r>
      </m:oMath>
      <w:r w:rsidR="001D3EDB">
        <w:rPr>
          <w:rFonts w:eastAsiaTheme="minorEastAsia"/>
        </w:rPr>
        <w:t xml:space="preserve"> </w:t>
      </w:r>
      <w:r>
        <w:rPr>
          <w:rFonts w:eastAsiaTheme="minorEastAsia"/>
          <w:i/>
          <w:iCs/>
        </w:rPr>
        <w:t>S</w:t>
      </w:r>
      <w:r w:rsidR="001D3EDB">
        <w:rPr>
          <w:rFonts w:eastAsiaTheme="minorEastAsia"/>
        </w:rPr>
        <w:t xml:space="preserve"> and output as a hypothesis </w:t>
      </w:r>
      <w:r w:rsidR="001D3EDB">
        <w:rPr>
          <w:rFonts w:eastAsiaTheme="minorEastAsia"/>
          <w:i/>
          <w:iCs/>
        </w:rPr>
        <w:t>h</w:t>
      </w:r>
      <w:r w:rsidR="001D3EDB">
        <w:rPr>
          <w:rFonts w:eastAsiaTheme="minorEastAsia"/>
        </w:rPr>
        <w:t xml:space="preserve"> </w:t>
      </w:r>
      <w:r w:rsidR="001D3EDB" w:rsidRPr="00A8725D">
        <w:rPr>
          <w:rFonts w:ascii="Cambria" w:hAnsi="Cambria" w:cs="Cambria"/>
        </w:rPr>
        <w:t>ϵ</w:t>
      </w:r>
      <w:r w:rsidR="001D3EDB">
        <w:rPr>
          <w:rFonts w:ascii="Cambria" w:hAnsi="Cambria" w:cs="Cambria"/>
        </w:rPr>
        <w:t xml:space="preserve"> </w:t>
      </w:r>
      <w:r w:rsidR="001D3EDB" w:rsidRPr="001D3EDB">
        <w:rPr>
          <w:rFonts w:cs="Cambria"/>
          <w:i/>
          <w:iCs/>
        </w:rPr>
        <w:t>H</w:t>
      </w:r>
      <w:r w:rsidR="001D3EDB" w:rsidRPr="00306499">
        <w:rPr>
          <w:rFonts w:cs="Cambria"/>
          <w:i/>
          <w:iCs/>
        </w:rPr>
        <w:t>.</w:t>
      </w:r>
      <w:r w:rsidR="00306499" w:rsidRPr="00306499">
        <w:rPr>
          <w:rFonts w:cs="Cambria"/>
        </w:rPr>
        <w:t xml:space="preserve"> </w:t>
      </w:r>
      <w:r w:rsidR="00186778">
        <w:rPr>
          <w:rFonts w:cs="Cambria"/>
        </w:rPr>
        <w:t>To put restrictions on hypotheses space, we select the hypotheses language.</w:t>
      </w:r>
      <w:r>
        <w:rPr>
          <w:rFonts w:cs="Cambria"/>
        </w:rPr>
        <w:t xml:space="preserve"> </w:t>
      </w:r>
      <w:r w:rsidR="00496E0B">
        <w:rPr>
          <w:rFonts w:cs="Cambria"/>
        </w:rPr>
        <w:t xml:space="preserve">The restriction bias is set with the following machine learning </w:t>
      </w:r>
      <w:r w:rsidR="005953BB">
        <w:rPr>
          <w:rFonts w:cs="Cambria"/>
        </w:rPr>
        <w:t>candidate model</w:t>
      </w:r>
      <w:r w:rsidR="00496E0B">
        <w:rPr>
          <w:rFonts w:cs="Cambria"/>
        </w:rPr>
        <w:t>s</w:t>
      </w:r>
      <w:r w:rsidR="005953BB">
        <w:rPr>
          <w:rFonts w:cs="Cambria"/>
        </w:rPr>
        <w:t xml:space="preserve"> </w:t>
      </w:r>
      <w:r w:rsidR="005953BB">
        <w:rPr>
          <w:rFonts w:cs="Cambria"/>
          <w:i/>
          <w:iCs/>
        </w:rPr>
        <w:t>h</w:t>
      </w:r>
      <w:r w:rsidR="005953BB">
        <w:rPr>
          <w:rFonts w:cs="Cambria"/>
          <w:vertAlign w:val="subscript"/>
        </w:rPr>
        <w:t>i</w:t>
      </w:r>
      <w:r w:rsidR="00496E0B">
        <w:rPr>
          <w:rFonts w:cs="Cambria"/>
        </w:rPr>
        <w:t>:</w:t>
      </w:r>
    </w:p>
    <w:p w14:paraId="2D8648FA" w14:textId="77777777" w:rsidR="00496E0B" w:rsidRDefault="00496E0B" w:rsidP="00496E0B">
      <w:pPr>
        <w:pStyle w:val="ListParagraph"/>
        <w:numPr>
          <w:ilvl w:val="0"/>
          <w:numId w:val="27"/>
        </w:numPr>
        <w:rPr>
          <w:rFonts w:cs="Cambria"/>
        </w:rPr>
      </w:pPr>
      <w:r>
        <w:rPr>
          <w:rFonts w:cs="Cambria"/>
        </w:rPr>
        <w:t>Gaussian Naïve Bayes (GNB) classification algorithm;</w:t>
      </w:r>
    </w:p>
    <w:p w14:paraId="0CF7F566" w14:textId="77777777" w:rsidR="00496E0B" w:rsidRDefault="00496E0B" w:rsidP="00496E0B">
      <w:pPr>
        <w:pStyle w:val="ListParagraph"/>
        <w:numPr>
          <w:ilvl w:val="0"/>
          <w:numId w:val="27"/>
        </w:numPr>
        <w:rPr>
          <w:rFonts w:cs="Cambria"/>
        </w:rPr>
      </w:pPr>
      <w:r>
        <w:rPr>
          <w:rFonts w:cs="Cambria"/>
        </w:rPr>
        <w:t>Artificial Neural Network (ANN) classification algorithm with one hidden layer;</w:t>
      </w:r>
    </w:p>
    <w:p w14:paraId="284AFBF0" w14:textId="77777777" w:rsidR="00496E0B" w:rsidRDefault="00496E0B" w:rsidP="00496E0B">
      <w:pPr>
        <w:pStyle w:val="ListParagraph"/>
        <w:numPr>
          <w:ilvl w:val="0"/>
          <w:numId w:val="27"/>
        </w:numPr>
        <w:rPr>
          <w:rFonts w:cs="Cambria"/>
        </w:rPr>
      </w:pPr>
      <w:r>
        <w:rPr>
          <w:rFonts w:cs="Cambria"/>
        </w:rPr>
        <w:t>Logistic regression (LR) classification algorithm;</w:t>
      </w:r>
    </w:p>
    <w:p w14:paraId="61790BE5" w14:textId="620DB7D3" w:rsidR="00E93E9D" w:rsidRDefault="00496E0B" w:rsidP="00496E0B">
      <w:pPr>
        <w:pStyle w:val="ListParagraph"/>
        <w:numPr>
          <w:ilvl w:val="0"/>
          <w:numId w:val="27"/>
        </w:numPr>
        <w:rPr>
          <w:rFonts w:cs="Cambria"/>
        </w:rPr>
      </w:pPr>
      <w:r>
        <w:rPr>
          <w:rFonts w:cs="Cambria"/>
        </w:rPr>
        <w:t xml:space="preserve">Classification and Regression (CART) </w:t>
      </w:r>
      <w:r w:rsidR="007737B7">
        <w:rPr>
          <w:rFonts w:cs="Cambria"/>
        </w:rPr>
        <w:t>D</w:t>
      </w:r>
      <w:r>
        <w:rPr>
          <w:rFonts w:cs="Cambria"/>
        </w:rPr>
        <w:t xml:space="preserve">ecision </w:t>
      </w:r>
      <w:r w:rsidR="007737B7">
        <w:rPr>
          <w:rFonts w:cs="Cambria"/>
        </w:rPr>
        <w:t>T</w:t>
      </w:r>
      <w:r>
        <w:rPr>
          <w:rFonts w:cs="Cambria"/>
        </w:rPr>
        <w:t>ree classification algorithm;</w:t>
      </w:r>
    </w:p>
    <w:p w14:paraId="6D1EFD91" w14:textId="3425362A" w:rsidR="00496E0B" w:rsidRDefault="00496E0B" w:rsidP="00496E0B">
      <w:pPr>
        <w:pStyle w:val="ListParagraph"/>
        <w:numPr>
          <w:ilvl w:val="0"/>
          <w:numId w:val="27"/>
        </w:numPr>
        <w:rPr>
          <w:rFonts w:cs="Cambria"/>
        </w:rPr>
      </w:pPr>
      <w:r>
        <w:rPr>
          <w:rFonts w:cs="Cambria"/>
        </w:rPr>
        <w:t>k-Ne</w:t>
      </w:r>
      <w:r w:rsidR="00F86FDB">
        <w:rPr>
          <w:rFonts w:cs="Cambria"/>
        </w:rPr>
        <w:t>a</w:t>
      </w:r>
      <w:r>
        <w:rPr>
          <w:rFonts w:cs="Cambria"/>
        </w:rPr>
        <w:t>rest Neighbo</w:t>
      </w:r>
      <w:r w:rsidR="00F86FDB">
        <w:rPr>
          <w:rFonts w:cs="Cambria"/>
        </w:rPr>
        <w:t>u</w:t>
      </w:r>
      <w:r>
        <w:rPr>
          <w:rFonts w:cs="Cambria"/>
        </w:rPr>
        <w:t>r (kNN) classification algorithm.</w:t>
      </w:r>
    </w:p>
    <w:p w14:paraId="33B66C71" w14:textId="77873BD5" w:rsidR="008478C5" w:rsidRDefault="00A92F6D" w:rsidP="00306499">
      <w:pPr>
        <w:rPr>
          <w:rFonts w:cs="Cambria"/>
        </w:rPr>
      </w:pPr>
      <w:r>
        <w:rPr>
          <w:rFonts w:cs="Cambria"/>
        </w:rPr>
        <w:t>B</w:t>
      </w:r>
      <w:r w:rsidR="00496E0B">
        <w:rPr>
          <w:rFonts w:cs="Cambria"/>
        </w:rPr>
        <w:t>oth parametric and non-parametric</w:t>
      </w:r>
      <w:r w:rsidR="00355477">
        <w:rPr>
          <w:rFonts w:cs="Cambria"/>
        </w:rPr>
        <w:t xml:space="preserve"> as well as</w:t>
      </w:r>
      <w:r w:rsidR="00496E0B">
        <w:rPr>
          <w:rFonts w:cs="Cambria"/>
        </w:rPr>
        <w:t xml:space="preserve"> linear and non-linear learning algorithms are used. The preference of the learning outcome is that hypothesis (model) will be chosen for extracting predictors based on the </w:t>
      </w:r>
      <w:r w:rsidR="008478C5">
        <w:rPr>
          <w:rFonts w:cs="Cambria"/>
        </w:rPr>
        <w:t>performance metrics</w:t>
      </w:r>
      <w:r w:rsidR="00355477">
        <w:rPr>
          <w:rFonts w:cs="Cambria"/>
        </w:rPr>
        <w:t xml:space="preserve"> of</w:t>
      </w:r>
      <w:r w:rsidR="00496E0B">
        <w:rPr>
          <w:rFonts w:cs="Cambria"/>
        </w:rPr>
        <w:t xml:space="preserve"> given unseen (testing) data.</w:t>
      </w:r>
      <w:r w:rsidR="008478C5">
        <w:rPr>
          <w:rFonts w:cs="Cambria"/>
        </w:rPr>
        <w:t xml:space="preserve"> The performance metrics for classification include a considerable amount of calculations (e.g., Accuracy, Precision, F1, Recall); however, for the sake of simplicity, we will use the </w:t>
      </w:r>
      <w:r w:rsidR="008478C5" w:rsidRPr="008478C5">
        <w:rPr>
          <w:rFonts w:cs="Cambria"/>
          <w:i/>
          <w:iCs/>
        </w:rPr>
        <w:t>Accuracy</w:t>
      </w:r>
      <w:r w:rsidR="008478C5">
        <w:rPr>
          <w:rFonts w:cs="Cambria"/>
        </w:rPr>
        <w:t xml:space="preserve"> </w:t>
      </w:r>
      <w:r w:rsidR="00B0599D">
        <w:rPr>
          <w:rFonts w:cs="Cambria"/>
        </w:rPr>
        <w:t>metric</w:t>
      </w:r>
      <w:r w:rsidR="008478C5">
        <w:rPr>
          <w:rFonts w:cs="Cambria"/>
        </w:rPr>
        <w:t xml:space="preserve"> of the classification matrix given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35"/>
        <w:gridCol w:w="882"/>
      </w:tblGrid>
      <w:tr w:rsidR="008478C5" w14:paraId="71A89919" w14:textId="77777777" w:rsidTr="00380F33">
        <w:trPr>
          <w:trHeight w:val="481"/>
        </w:trPr>
        <w:tc>
          <w:tcPr>
            <w:tcW w:w="8135" w:type="dxa"/>
          </w:tcPr>
          <w:p w14:paraId="0EC6CCE1" w14:textId="7EA5068E" w:rsidR="008478C5" w:rsidRDefault="008478C5" w:rsidP="008478C5">
            <w:pPr>
              <w:spacing w:before="0" w:after="0"/>
              <w:jc w:val="center"/>
              <w:rPr>
                <w:rFonts w:cs="Cambria"/>
              </w:rPr>
            </w:pPr>
            <m:oMath>
              <m:r>
                <w:rPr>
                  <w:rFonts w:ascii="Cambria Math" w:hAnsi="Cambria Math" w:cs="Cambria"/>
                </w:rPr>
                <m:t xml:space="preserve">Accuracy= </m:t>
              </m:r>
              <m:f>
                <m:fPr>
                  <m:ctrlPr>
                    <w:rPr>
                      <w:rFonts w:ascii="Cambria Math" w:hAnsi="Cambria Math" w:cs="Cambria"/>
                      <w:i/>
                    </w:rPr>
                  </m:ctrlPr>
                </m:fPr>
                <m:num>
                  <m:r>
                    <w:rPr>
                      <w:rFonts w:ascii="Cambria Math" w:hAnsi="Cambria Math" w:cs="Cambria"/>
                    </w:rPr>
                    <m:t>TP+TN</m:t>
                  </m:r>
                </m:num>
                <m:den>
                  <m:r>
                    <w:rPr>
                      <w:rFonts w:ascii="Cambria Math" w:hAnsi="Cambria Math" w:cs="Cambria"/>
                    </w:rPr>
                    <m:t>TP+FP+TN+FN</m:t>
                  </m:r>
                </m:den>
              </m:f>
            </m:oMath>
            <w:r w:rsidR="00B0599D">
              <w:rPr>
                <w:rFonts w:eastAsiaTheme="minorEastAsia" w:cs="Cambria"/>
              </w:rPr>
              <w:t xml:space="preserve"> ,</w:t>
            </w:r>
          </w:p>
        </w:tc>
        <w:tc>
          <w:tcPr>
            <w:tcW w:w="882" w:type="dxa"/>
            <w:vAlign w:val="center"/>
          </w:tcPr>
          <w:p w14:paraId="7BAE881C" w14:textId="4C60B8D9" w:rsidR="008478C5" w:rsidRDefault="00380F33" w:rsidP="00380F33">
            <w:pPr>
              <w:spacing w:before="0" w:after="0"/>
              <w:jc w:val="right"/>
              <w:rPr>
                <w:rFonts w:cs="Cambria"/>
              </w:rPr>
            </w:pPr>
            <w:r>
              <w:rPr>
                <w:rFonts w:cs="Cambria"/>
              </w:rPr>
              <w:t>(</w:t>
            </w:r>
            <w:r w:rsidR="00427B33">
              <w:fldChar w:fldCharType="begin"/>
            </w:r>
            <w:r w:rsidR="00427B33">
              <w:instrText xml:space="preserve"> STYLEREF 1 \s </w:instrText>
            </w:r>
            <w:r w:rsidR="00427B33">
              <w:fldChar w:fldCharType="separate"/>
            </w:r>
            <w:r w:rsidR="00587AF0">
              <w:rPr>
                <w:noProof/>
              </w:rPr>
              <w:t>1</w:t>
            </w:r>
            <w:r w:rsidR="00427B33">
              <w:rPr>
                <w:noProof/>
              </w:rPr>
              <w:fldChar w:fldCharType="end"/>
            </w:r>
            <w:r w:rsidR="002C693A">
              <w:t>.</w:t>
            </w:r>
            <w:r w:rsidR="00427B33">
              <w:fldChar w:fldCharType="begin"/>
            </w:r>
            <w:r w:rsidR="00427B33">
              <w:instrText xml:space="preserve"> SEQ Equation \* ARABIC \s 1 </w:instrText>
            </w:r>
            <w:r w:rsidR="00427B33">
              <w:fldChar w:fldCharType="separate"/>
            </w:r>
            <w:r w:rsidR="00587AF0">
              <w:rPr>
                <w:noProof/>
              </w:rPr>
              <w:t>10</w:t>
            </w:r>
            <w:r w:rsidR="00427B33">
              <w:rPr>
                <w:noProof/>
              </w:rPr>
              <w:fldChar w:fldCharType="end"/>
            </w:r>
            <w:r>
              <w:rPr>
                <w:rFonts w:cs="Cambria"/>
              </w:rPr>
              <w:t>)</w:t>
            </w:r>
          </w:p>
        </w:tc>
      </w:tr>
    </w:tbl>
    <w:p w14:paraId="142F264D" w14:textId="77777777" w:rsidR="008478C5" w:rsidRPr="00BB7599" w:rsidRDefault="008478C5" w:rsidP="00306499">
      <w:pPr>
        <w:rPr>
          <w:rFonts w:cs="Cambria"/>
          <w:lang w:val="en-GB"/>
        </w:rPr>
      </w:pPr>
      <w:r>
        <w:rPr>
          <w:rFonts w:cs="Cambria"/>
        </w:rPr>
        <w:t>where TP represents true positive predicted; TN represents true negatives predicted; FP predicts false positives; FN predicts false-negative classes.</w:t>
      </w:r>
    </w:p>
    <w:p w14:paraId="70A75310" w14:textId="7D708AA7" w:rsidR="001D3EDB" w:rsidRDefault="008478C5" w:rsidP="00306499">
      <w:pPr>
        <w:rPr>
          <w:rFonts w:cs="Cambria"/>
        </w:rPr>
      </w:pPr>
      <w:r>
        <w:rPr>
          <w:rFonts w:cs="Cambria"/>
        </w:rPr>
        <w:t>Considering the information provided</w:t>
      </w:r>
      <w:r w:rsidR="00174D4E">
        <w:rPr>
          <w:rFonts w:cs="Cambria"/>
        </w:rPr>
        <w:t xml:space="preserve">, the </w:t>
      </w:r>
      <w:r w:rsidR="00174D4E" w:rsidRPr="008B2E5F">
        <w:rPr>
          <w:rFonts w:cs="Cambria"/>
        </w:rPr>
        <w:t>final thesis statement</w:t>
      </w:r>
      <w:r w:rsidR="00174D4E">
        <w:rPr>
          <w:rFonts w:cs="Cambria"/>
        </w:rPr>
        <w:t xml:space="preserve"> is set as follows.</w:t>
      </w:r>
    </w:p>
    <w:p w14:paraId="196E877D" w14:textId="261CEE11" w:rsidR="00D6470B" w:rsidRDefault="00E93E9D" w:rsidP="00F86FDB">
      <w:pPr>
        <w:jc w:val="center"/>
      </w:pPr>
      <w:r>
        <w:t>“</w:t>
      </w:r>
      <w:r w:rsidR="00B0599D" w:rsidRPr="00E5710D">
        <w:rPr>
          <w:color w:val="0000FF"/>
        </w:rPr>
        <w:t xml:space="preserve">Considering </w:t>
      </w:r>
      <w:r w:rsidR="00F86FDB" w:rsidRPr="00E5710D">
        <w:rPr>
          <w:color w:val="0000FF"/>
        </w:rPr>
        <w:t>an instan</w:t>
      </w:r>
      <w:r w:rsidR="008478C5" w:rsidRPr="00E5710D">
        <w:rPr>
          <w:color w:val="0000FF"/>
        </w:rPr>
        <w:t>ce</w:t>
      </w:r>
      <w:r w:rsidR="00F86FDB" w:rsidRPr="00E5710D">
        <w:rPr>
          <w:color w:val="0000FF"/>
        </w:rPr>
        <w:t xml:space="preserve"> space </w:t>
      </w:r>
      <w:r w:rsidR="00F86FDB" w:rsidRPr="00E5710D">
        <w:rPr>
          <w:i/>
          <w:iCs/>
          <w:color w:val="0000FF"/>
        </w:rPr>
        <w:t>S</w:t>
      </w:r>
      <w:r w:rsidR="004A30E8" w:rsidRPr="00E5710D">
        <w:rPr>
          <w:i/>
          <w:iCs/>
          <w:color w:val="0000FF"/>
          <w:vertAlign w:val="subscript"/>
        </w:rPr>
        <w:t>A</w:t>
      </w:r>
      <w:r w:rsidR="00513FC6" w:rsidRPr="00E5710D">
        <w:rPr>
          <w:color w:val="0000FF"/>
        </w:rPr>
        <w:t xml:space="preserve"> </w:t>
      </w:r>
      <w:r w:rsidR="00B0599D" w:rsidRPr="00E5710D">
        <w:rPr>
          <w:color w:val="0000FF"/>
        </w:rPr>
        <w:t xml:space="preserve">generated by the unknown function </w:t>
      </w:r>
      <w:r w:rsidR="00B0599D" w:rsidRPr="00E5710D">
        <w:rPr>
          <w:i/>
          <w:iCs/>
          <w:color w:val="0000FF"/>
        </w:rPr>
        <w:t>y</w:t>
      </w:r>
      <w:r w:rsidR="00B0599D" w:rsidRPr="00E5710D">
        <w:rPr>
          <w:color w:val="0000FF"/>
        </w:rPr>
        <w:t xml:space="preserve"> = </w:t>
      </w:r>
      <w:r w:rsidR="00B0599D" w:rsidRPr="00E5710D">
        <w:rPr>
          <w:i/>
          <w:iCs/>
          <w:color w:val="0000FF"/>
        </w:rPr>
        <w:t>f</w:t>
      </w:r>
      <w:r w:rsidR="00B0599D" w:rsidRPr="00E5710D">
        <w:rPr>
          <w:color w:val="0000FF"/>
        </w:rPr>
        <w:t>(</w:t>
      </w:r>
      <w:r w:rsidR="00B0599D" w:rsidRPr="00E5710D">
        <w:rPr>
          <w:i/>
          <w:iCs/>
          <w:color w:val="0000FF"/>
        </w:rPr>
        <w:t>x</w:t>
      </w:r>
      <w:r w:rsidR="00B0599D" w:rsidRPr="00E5710D">
        <w:rPr>
          <w:color w:val="0000FF"/>
        </w:rPr>
        <w:t>)</w:t>
      </w:r>
      <w:r w:rsidR="00F86FDB" w:rsidRPr="00E5710D">
        <w:rPr>
          <w:color w:val="0000FF"/>
        </w:rPr>
        <w:t>,</w:t>
      </w:r>
      <w:r w:rsidR="00EA52F2" w:rsidRPr="00E5710D">
        <w:rPr>
          <w:color w:val="0000FF"/>
        </w:rPr>
        <w:t xml:space="preserve"> </w:t>
      </w:r>
      <w:r w:rsidR="005279F2" w:rsidRPr="00E5710D">
        <w:rPr>
          <w:color w:val="0000FF"/>
        </w:rPr>
        <w:t>using functional-productiveness markers (</w:t>
      </w:r>
      <w:r w:rsidR="005279F2" w:rsidRPr="00E5710D">
        <w:rPr>
          <w:i/>
          <w:iCs/>
          <w:color w:val="0000FF"/>
        </w:rPr>
        <w:t>FP</w:t>
      </w:r>
      <w:r w:rsidR="005279F2" w:rsidRPr="00E5710D">
        <w:rPr>
          <w:i/>
          <w:iCs/>
          <w:color w:val="0000FF"/>
          <w:vertAlign w:val="subscript"/>
        </w:rPr>
        <w:t>m</w:t>
      </w:r>
      <w:r w:rsidR="005279F2" w:rsidRPr="00E5710D">
        <w:rPr>
          <w:i/>
          <w:iCs/>
          <w:color w:val="0000FF"/>
          <w:vertAlign w:val="superscript"/>
        </w:rPr>
        <w:t>(i)</w:t>
      </w:r>
      <w:r w:rsidR="005279F2" w:rsidRPr="00E5710D">
        <w:rPr>
          <w:color w:val="0000FF"/>
        </w:rPr>
        <w:t>)</w:t>
      </w:r>
      <w:r w:rsidR="00D6470B" w:rsidRPr="00E5710D">
        <w:rPr>
          <w:color w:val="0000FF"/>
        </w:rPr>
        <w:t>,</w:t>
      </w:r>
      <w:r w:rsidR="005279F2" w:rsidRPr="00E5710D">
        <w:rPr>
          <w:color w:val="0000FF"/>
        </w:rPr>
        <w:t xml:space="preserve"> </w:t>
      </w:r>
      <w:r w:rsidR="00D6470B" w:rsidRPr="00E5710D">
        <w:rPr>
          <w:color w:val="0000FF"/>
        </w:rPr>
        <w:t xml:space="preserve">it is possible to approximate the true function </w:t>
      </w:r>
      <w:r w:rsidR="00D6470B" w:rsidRPr="00E5710D">
        <w:rPr>
          <w:i/>
          <w:iCs/>
          <w:color w:val="0000FF"/>
        </w:rPr>
        <w:t>f</w:t>
      </w:r>
      <w:r w:rsidR="00D6470B" w:rsidRPr="00E5710D">
        <w:rPr>
          <w:color w:val="0000FF"/>
        </w:rPr>
        <w:t xml:space="preserve">(∙) with a given candidate model </w:t>
      </w:r>
      <w:r w:rsidR="00D6470B" w:rsidRPr="00E5710D">
        <w:rPr>
          <w:i/>
          <w:iCs/>
          <w:color w:val="0000FF"/>
        </w:rPr>
        <w:t>h</w:t>
      </w:r>
      <w:r w:rsidR="00D6470B" w:rsidRPr="00E5710D">
        <w:rPr>
          <w:color w:val="0000FF"/>
        </w:rPr>
        <w:t xml:space="preserve">(∙) </w:t>
      </w:r>
      <w:r w:rsidR="00D6470B" w:rsidRPr="00E5710D">
        <w:rPr>
          <w:rFonts w:ascii="Cambria" w:hAnsi="Cambria" w:cs="Cambria"/>
          <w:color w:val="0000FF"/>
        </w:rPr>
        <w:t xml:space="preserve">ϵ </w:t>
      </w:r>
      <w:r w:rsidR="00D6470B" w:rsidRPr="00E5710D">
        <w:rPr>
          <w:rFonts w:ascii="Cambria" w:hAnsi="Cambria" w:cs="Cambria"/>
          <w:i/>
          <w:iCs/>
          <w:color w:val="0000FF"/>
        </w:rPr>
        <w:t>H</w:t>
      </w:r>
      <w:r w:rsidR="00D6470B" w:rsidRPr="00E5710D">
        <w:rPr>
          <w:color w:val="0000FF"/>
        </w:rPr>
        <w:t xml:space="preserve"> that maps inputs (</w:t>
      </w:r>
      <w:r w:rsidR="00D6470B" w:rsidRPr="00E5710D">
        <w:rPr>
          <w:i/>
          <w:iCs/>
          <w:color w:val="0000FF"/>
        </w:rPr>
        <w:t>x</w:t>
      </w:r>
      <w:r w:rsidR="00D6470B" w:rsidRPr="00E5710D">
        <w:rPr>
          <w:i/>
          <w:iCs/>
          <w:color w:val="0000FF"/>
          <w:vertAlign w:val="subscript"/>
        </w:rPr>
        <w:t>i</w:t>
      </w:r>
      <w:r w:rsidR="00D6470B" w:rsidRPr="00E5710D">
        <w:rPr>
          <w:color w:val="0000FF"/>
        </w:rPr>
        <w:t>) to outputs (</w:t>
      </w:r>
      <w:r w:rsidR="00D6470B" w:rsidRPr="00E5710D">
        <w:rPr>
          <w:i/>
          <w:iCs/>
          <w:color w:val="0000FF"/>
        </w:rPr>
        <w:t>y</w:t>
      </w:r>
      <w:r w:rsidR="00D6470B" w:rsidRPr="00E5710D">
        <w:rPr>
          <w:i/>
          <w:iCs/>
          <w:color w:val="0000FF"/>
          <w:vertAlign w:val="subscript"/>
        </w:rPr>
        <w:t>i</w:t>
      </w:r>
      <w:r w:rsidR="00D6470B" w:rsidRPr="00E5710D">
        <w:rPr>
          <w:color w:val="0000FF"/>
        </w:rPr>
        <w:t>)</w:t>
      </w:r>
      <w:r w:rsidR="004A30E8" w:rsidRPr="00E5710D">
        <w:rPr>
          <w:color w:val="0000FF"/>
        </w:rPr>
        <w:t xml:space="preserve"> given unseen data </w:t>
      </w:r>
      <w:r w:rsidR="004A30E8" w:rsidRPr="00E5710D">
        <w:rPr>
          <w:i/>
          <w:iCs/>
          <w:color w:val="0000FF"/>
        </w:rPr>
        <w:t>S</w:t>
      </w:r>
      <w:r w:rsidR="004A30E8" w:rsidRPr="00E5710D">
        <w:rPr>
          <w:i/>
          <w:iCs/>
          <w:color w:val="0000FF"/>
          <w:vertAlign w:val="subscript"/>
        </w:rPr>
        <w:t>B</w:t>
      </w:r>
      <w:r w:rsidR="00D6470B">
        <w:t>.</w:t>
      </w:r>
      <w:r w:rsidR="00A37C6E">
        <w:t>”</w:t>
      </w:r>
    </w:p>
    <w:p w14:paraId="6B01C3E4" w14:textId="4384C065" w:rsidR="00D6470B" w:rsidRDefault="00A37C6E" w:rsidP="00A37C6E">
      <w:pPr>
        <w:jc w:val="left"/>
      </w:pPr>
      <w:r>
        <w:t>Given the thesis statement, the following restrictions and preferences are imposed:</w:t>
      </w:r>
    </w:p>
    <w:p w14:paraId="56D5B496" w14:textId="6DF88EE1" w:rsidR="00A37C6E" w:rsidRPr="004A30E8" w:rsidRDefault="004A30E8" w:rsidP="004A30E8">
      <w:pPr>
        <w:pStyle w:val="ListParagraph"/>
        <w:numPr>
          <w:ilvl w:val="0"/>
          <w:numId w:val="29"/>
        </w:numPr>
        <w:jc w:val="left"/>
      </w:pPr>
      <w:r>
        <w:t xml:space="preserve">The instance space </w:t>
      </w:r>
      <w:r>
        <w:rPr>
          <w:i/>
          <w:iCs/>
        </w:rPr>
        <w:t>S</w:t>
      </w:r>
      <w:r>
        <w:t xml:space="preserve"> is considered a dataset of all possible instances and attributes, where </w:t>
      </w:r>
      <w:r w:rsidRPr="004A30E8">
        <w:rPr>
          <w:i/>
          <w:iCs/>
        </w:rPr>
        <w:t>S</w:t>
      </w:r>
      <w:r w:rsidRPr="004A30E8">
        <w:rPr>
          <w:i/>
          <w:iCs/>
          <w:vertAlign w:val="subscript"/>
        </w:rPr>
        <w:t>A</w:t>
      </w:r>
      <w:r>
        <w:t xml:space="preserve"> is the learning (instance) space, a randomly generated sample consistent with </w:t>
      </w:r>
      <w:r>
        <w:rPr>
          <w:i/>
          <w:iCs/>
        </w:rPr>
        <w:t xml:space="preserve">S </w:t>
      </w:r>
      <w:r>
        <w:t>(</w:t>
      </w:r>
      <w:r w:rsidRPr="004A30E8">
        <w:rPr>
          <w:i/>
          <w:iCs/>
        </w:rPr>
        <w:t>S</w:t>
      </w:r>
      <w:r w:rsidRPr="004A30E8">
        <w:rPr>
          <w:i/>
          <w:iCs/>
          <w:vertAlign w:val="subscript"/>
        </w:rPr>
        <w:t>A</w:t>
      </w:r>
      <w:r>
        <w:t xml:space="preserve"> </w:t>
      </w:r>
      <w:r>
        <w:rPr>
          <w:rFonts w:ascii="Cambria" w:hAnsi="Cambria" w:cs="Cambria"/>
        </w:rPr>
        <w:t>ϵ</w:t>
      </w:r>
      <w:r>
        <w:t xml:space="preserve"> </w:t>
      </w:r>
      <w:r w:rsidRPr="004A30E8">
        <w:rPr>
          <w:i/>
          <w:iCs/>
        </w:rPr>
        <w:t>S</w:t>
      </w:r>
      <w:r>
        <w:t xml:space="preserve">), such that </w:t>
      </w:r>
      <w:r w:rsidRPr="004A30E8">
        <w:rPr>
          <w:i/>
          <w:iCs/>
        </w:rPr>
        <w:t>S</w:t>
      </w:r>
      <w:r w:rsidRPr="004A30E8">
        <w:rPr>
          <w:i/>
          <w:iCs/>
          <w:vertAlign w:val="subscript"/>
        </w:rPr>
        <w:t>A</w:t>
      </w:r>
      <w:r>
        <w:t xml:space="preserve"> ¬ </w:t>
      </w:r>
      <w:r w:rsidRPr="004A30E8">
        <w:rPr>
          <w:i/>
          <w:iCs/>
        </w:rPr>
        <w:t>S</w:t>
      </w:r>
      <w:r w:rsidRPr="004A30E8">
        <w:rPr>
          <w:i/>
          <w:iCs/>
          <w:vertAlign w:val="subscript"/>
        </w:rPr>
        <w:t>B</w:t>
      </w:r>
      <w:r>
        <w:t xml:space="preserve">, where </w:t>
      </w:r>
      <w:r w:rsidRPr="004A30E8">
        <w:rPr>
          <w:i/>
          <w:iCs/>
        </w:rPr>
        <w:t>S</w:t>
      </w:r>
      <w:r w:rsidRPr="004A30E8">
        <w:rPr>
          <w:i/>
          <w:iCs/>
          <w:vertAlign w:val="subscript"/>
        </w:rPr>
        <w:t>B</w:t>
      </w:r>
      <w:r>
        <w:t xml:space="preserve"> is the unseen data of the</w:t>
      </w:r>
      <w:r>
        <w:rPr>
          <w:bCs/>
        </w:rPr>
        <w:t xml:space="preserve"> learning algorithm.</w:t>
      </w:r>
    </w:p>
    <w:p w14:paraId="5C184635" w14:textId="24C88415" w:rsidR="00B0599D" w:rsidRDefault="004A30E8" w:rsidP="00D6470B">
      <w:pPr>
        <w:pStyle w:val="ListParagraph"/>
        <w:numPr>
          <w:ilvl w:val="0"/>
          <w:numId w:val="29"/>
        </w:numPr>
        <w:jc w:val="left"/>
      </w:pPr>
      <w:r w:rsidRPr="00D6470B">
        <w:rPr>
          <w:i/>
          <w:iCs/>
        </w:rPr>
        <w:t>y</w:t>
      </w:r>
      <w:r>
        <w:rPr>
          <w:vertAlign w:val="subscript"/>
        </w:rPr>
        <w:t>i</w:t>
      </w:r>
      <w:r>
        <w:rPr>
          <w:i/>
          <w:iCs/>
        </w:rPr>
        <w:t xml:space="preserve">, </w:t>
      </w:r>
      <w:r>
        <w:t xml:space="preserve">where class </w:t>
      </w:r>
      <w:r>
        <w:rPr>
          <w:i/>
          <w:iCs/>
        </w:rPr>
        <w:t>i</w:t>
      </w:r>
      <w:r>
        <w:t xml:space="preserve"> </w:t>
      </w:r>
      <w:r w:rsidRPr="00D6470B">
        <w:rPr>
          <w:rFonts w:ascii="Cambria" w:hAnsi="Cambria" w:cs="Cambria"/>
        </w:rPr>
        <w:t xml:space="preserve">ϵ </w:t>
      </w:r>
      <w:r w:rsidRPr="00D6470B">
        <w:rPr>
          <w:rFonts w:ascii="Times New Roman" w:hAnsi="Times New Roman" w:cs="Times New Roman"/>
        </w:rPr>
        <w:t>ℝ</w:t>
      </w:r>
      <w:r w:rsidRPr="00D6470B">
        <w:rPr>
          <w:rFonts w:cs="Cambria"/>
          <w:i/>
          <w:iCs/>
          <w:vertAlign w:val="superscript"/>
        </w:rPr>
        <w:t>d</w:t>
      </w:r>
      <w:r w:rsidRPr="00D6470B">
        <w:rPr>
          <w:rFonts w:cs="Cambria"/>
        </w:rPr>
        <w:t xml:space="preserve"> </w:t>
      </w:r>
      <w:r w:rsidRPr="00D6470B">
        <w:rPr>
          <w:rFonts w:cs="Cambria"/>
          <w:i/>
          <w:iCs/>
        </w:rPr>
        <w:t>d</w:t>
      </w:r>
      <w:r w:rsidRPr="00D6470B">
        <w:rPr>
          <w:rFonts w:cs="Cambria"/>
        </w:rPr>
        <w:t>=</w:t>
      </w:r>
      <w:r w:rsidRPr="00D6470B">
        <w:t>{</w:t>
      </w:r>
      <w:r>
        <w:t xml:space="preserve">1…n}, such that </w:t>
      </w:r>
      <w:r w:rsidRPr="00D6470B">
        <w:rPr>
          <w:i/>
          <w:iCs/>
        </w:rPr>
        <w:t>d</w:t>
      </w:r>
      <w:r>
        <w:t xml:space="preserve"> ≥ 2 for the classification problem.</w:t>
      </w:r>
    </w:p>
    <w:p w14:paraId="44799704" w14:textId="5F584AE7" w:rsidR="001B1AAD" w:rsidRDefault="004A30E8" w:rsidP="001B1AAD">
      <w:pPr>
        <w:pStyle w:val="ListParagraph"/>
        <w:numPr>
          <w:ilvl w:val="0"/>
          <w:numId w:val="29"/>
        </w:numPr>
        <w:jc w:val="left"/>
      </w:pPr>
      <w:r>
        <w:t xml:space="preserve">Functional-productiveness markers </w:t>
      </w:r>
      <w:r>
        <w:rPr>
          <w:i/>
          <w:iCs/>
        </w:rPr>
        <w:t>FP</w:t>
      </w:r>
      <w:r>
        <w:rPr>
          <w:i/>
          <w:iCs/>
          <w:vertAlign w:val="subscript"/>
        </w:rPr>
        <w:t>m</w:t>
      </w:r>
      <w:r>
        <w:rPr>
          <w:i/>
          <w:iCs/>
          <w:vertAlign w:val="superscript"/>
        </w:rPr>
        <w:t>(i)</w:t>
      </w:r>
      <w:r>
        <w:t xml:space="preserve"> </w:t>
      </w:r>
      <w:r w:rsidR="008B2E5F">
        <w:t xml:space="preserve">are probability parameters extrapolated </w:t>
      </w:r>
      <w:r w:rsidR="001A75C0">
        <w:t xml:space="preserve">from </w:t>
      </w:r>
      <w:r w:rsidR="008B2E5F">
        <w:t>an observed system</w:t>
      </w:r>
      <w:r w:rsidR="001A75C0">
        <w:t>’</w:t>
      </w:r>
      <w:r w:rsidR="008B2E5F">
        <w:t xml:space="preserve"> </w:t>
      </w:r>
      <w:r w:rsidR="00271C9D">
        <w:t>(</w:t>
      </w:r>
      <w:r w:rsidR="00271C9D" w:rsidRPr="00271C9D">
        <w:rPr>
          <w:i/>
          <w:iCs/>
        </w:rPr>
        <w:t>i</w:t>
      </w:r>
      <w:r w:rsidR="00271C9D">
        <w:t>)</w:t>
      </w:r>
      <w:r w:rsidR="001A75C0">
        <w:t xml:space="preserve"> power data (elaborated in </w:t>
      </w:r>
      <w:r w:rsidR="00BD7E14">
        <w:rPr>
          <w:color w:val="FF0000"/>
        </w:rPr>
        <w:fldChar w:fldCharType="begin"/>
      </w:r>
      <w:r w:rsidR="00BD7E14">
        <w:instrText xml:space="preserve"> REF _Ref101268138 \r \h </w:instrText>
      </w:r>
      <w:r w:rsidR="00BD7E14">
        <w:rPr>
          <w:color w:val="FF0000"/>
        </w:rPr>
      </w:r>
      <w:r w:rsidR="00BD7E14">
        <w:rPr>
          <w:color w:val="FF0000"/>
        </w:rPr>
        <w:fldChar w:fldCharType="separate"/>
      </w:r>
      <w:r w:rsidR="00587AF0">
        <w:t>10.1</w:t>
      </w:r>
      <w:r w:rsidR="00BD7E14">
        <w:rPr>
          <w:color w:val="FF0000"/>
        </w:rPr>
        <w:fldChar w:fldCharType="end"/>
      </w:r>
      <w:r w:rsidR="001A75C0">
        <w:t>)</w:t>
      </w:r>
      <w:r w:rsidR="005953BB">
        <w:t>, such that power data is a measure of hydraulic power in the thesis experiment.</w:t>
      </w:r>
    </w:p>
    <w:p w14:paraId="5DEB7CF6" w14:textId="37521C18" w:rsidR="001B1AAD" w:rsidRPr="00D6470B" w:rsidRDefault="001B1AAD" w:rsidP="001B1AAD">
      <w:pPr>
        <w:pStyle w:val="ListParagraph"/>
        <w:numPr>
          <w:ilvl w:val="0"/>
          <w:numId w:val="29"/>
        </w:numPr>
        <w:jc w:val="left"/>
      </w:pPr>
      <w:r w:rsidRPr="001B1AAD">
        <w:t xml:space="preserve">Functional-productiveness markers </w:t>
      </w:r>
      <w:r w:rsidRPr="001B1AAD">
        <w:rPr>
          <w:i/>
          <w:iCs/>
        </w:rPr>
        <w:t>FP</w:t>
      </w:r>
      <w:r w:rsidRPr="001B1AAD">
        <w:rPr>
          <w:i/>
          <w:iCs/>
          <w:vertAlign w:val="subscript"/>
        </w:rPr>
        <w:t>m</w:t>
      </w:r>
      <w:r w:rsidRPr="001B1AAD">
        <w:rPr>
          <w:i/>
          <w:iCs/>
          <w:vertAlign w:val="superscript"/>
        </w:rPr>
        <w:t>(i)</w:t>
      </w:r>
      <w:r>
        <w:rPr>
          <w:vertAlign w:val="subscript"/>
        </w:rPr>
        <w:t xml:space="preserve"> </w:t>
      </w:r>
      <w:r>
        <w:t xml:space="preserve">are statistically significant if the </w:t>
      </w:r>
      <w:r>
        <w:rPr>
          <w:i/>
          <w:iCs/>
        </w:rPr>
        <w:t xml:space="preserve">p value &lt; 0.05 </w:t>
      </w:r>
      <w:r>
        <w:t>criterion is satisfied.</w:t>
      </w:r>
    </w:p>
    <w:p w14:paraId="055167DC" w14:textId="77777777" w:rsidR="00575033" w:rsidRDefault="00575033">
      <w:pPr>
        <w:spacing w:before="0" w:after="160" w:line="259" w:lineRule="auto"/>
        <w:jc w:val="left"/>
      </w:pPr>
      <w:r>
        <w:br w:type="page"/>
      </w:r>
    </w:p>
    <w:p w14:paraId="3C430A89" w14:textId="6B465E2B" w:rsidR="001F460F" w:rsidRDefault="009E316A" w:rsidP="008C5415">
      <w:pPr>
        <w:pStyle w:val="Heading2"/>
        <w:rPr>
          <w:lang w:val="en-GB"/>
        </w:rPr>
      </w:pPr>
      <w:bookmarkStart w:id="56" w:name="_Toc62467368"/>
      <w:bookmarkStart w:id="57" w:name="_Toc91575376"/>
      <w:bookmarkStart w:id="58" w:name="_Toc93759856"/>
      <w:bookmarkStart w:id="59" w:name="_Toc93759960"/>
      <w:bookmarkStart w:id="60" w:name="_Toc101274325"/>
      <w:r>
        <w:rPr>
          <w:lang w:val="en-GB"/>
        </w:rPr>
        <w:lastRenderedPageBreak/>
        <w:t xml:space="preserve">Outline </w:t>
      </w:r>
      <w:bookmarkEnd w:id="56"/>
      <w:bookmarkEnd w:id="57"/>
      <w:bookmarkEnd w:id="58"/>
      <w:bookmarkEnd w:id="59"/>
      <w:r w:rsidR="00195D4B">
        <w:rPr>
          <w:lang w:val="en-GB"/>
        </w:rPr>
        <w:t>and key remarks of the thesis</w:t>
      </w:r>
      <w:bookmarkEnd w:id="60"/>
    </w:p>
    <w:p w14:paraId="5BE6AA3D" w14:textId="2BD23AFF" w:rsidR="00557CF1" w:rsidRDefault="00B529B8" w:rsidP="005D479C">
      <w:pPr>
        <w:rPr>
          <w:lang w:val="en-GB"/>
        </w:rPr>
      </w:pPr>
      <w:r>
        <w:rPr>
          <w:lang w:val="en-GB"/>
        </w:rPr>
        <w:t xml:space="preserve">This thesis consists of four </w:t>
      </w:r>
      <w:r w:rsidR="00ED7CF8">
        <w:rPr>
          <w:lang w:val="en-GB"/>
        </w:rPr>
        <w:t>chapters with sections within each chapter</w:t>
      </w:r>
      <w:r>
        <w:rPr>
          <w:lang w:val="en-GB"/>
        </w:rPr>
        <w:t xml:space="preserve">. </w:t>
      </w:r>
      <w:r w:rsidR="00557CF1">
        <w:rPr>
          <w:lang w:val="en-GB"/>
        </w:rPr>
        <w:t xml:space="preserve">For practicality, the reader is kindly asked to </w:t>
      </w:r>
      <w:r w:rsidR="00A15945">
        <w:rPr>
          <w:lang w:val="en-GB"/>
        </w:rPr>
        <w:t>follow up on</w:t>
      </w:r>
      <w:r w:rsidR="00557CF1">
        <w:rPr>
          <w:lang w:val="en-GB"/>
        </w:rPr>
        <w:t xml:space="preserve"> </w:t>
      </w:r>
      <w:r w:rsidR="00557CF1">
        <w:rPr>
          <w:lang w:val="en-GB"/>
        </w:rPr>
        <w:fldChar w:fldCharType="begin"/>
      </w:r>
      <w:r w:rsidR="00557CF1">
        <w:rPr>
          <w:lang w:val="en-GB"/>
        </w:rPr>
        <w:instrText xml:space="preserve"> REF _Ref100668395 \h </w:instrText>
      </w:r>
      <w:r w:rsidR="00557CF1">
        <w:rPr>
          <w:lang w:val="en-GB"/>
        </w:rPr>
      </w:r>
      <w:r w:rsidR="00557CF1">
        <w:rPr>
          <w:lang w:val="en-GB"/>
        </w:rPr>
        <w:fldChar w:fldCharType="separate"/>
      </w:r>
      <w:r w:rsidR="00587AF0">
        <w:t xml:space="preserve">Table </w:t>
      </w:r>
      <w:r w:rsidR="00587AF0">
        <w:rPr>
          <w:noProof/>
        </w:rPr>
        <w:t>1</w:t>
      </w:r>
      <w:r w:rsidR="00557CF1">
        <w:rPr>
          <w:lang w:val="en-GB"/>
        </w:rPr>
        <w:fldChar w:fldCharType="end"/>
      </w:r>
      <w:r w:rsidR="00A15945">
        <w:rPr>
          <w:lang w:val="en-GB"/>
        </w:rPr>
        <w:t>, where descriptions of limitations and opportunities are also given.</w:t>
      </w:r>
      <w:r w:rsidR="007933DB">
        <w:rPr>
          <w:lang w:val="en-GB"/>
        </w:rPr>
        <w:t xml:space="preserve"> By providing descriptions of limitations and opportunities, the goal is to identify potential research gaps, opportunities for research continuity and limitation of the provided information.</w:t>
      </w:r>
    </w:p>
    <w:p w14:paraId="055F2D9B" w14:textId="3B2FE024" w:rsidR="00ED7CF8" w:rsidRDefault="00B529B8" w:rsidP="005D479C">
      <w:pPr>
        <w:rPr>
          <w:lang w:val="en-GB"/>
        </w:rPr>
      </w:pPr>
      <w:r>
        <w:rPr>
          <w:lang w:val="en-GB"/>
        </w:rPr>
        <w:t xml:space="preserve">The </w:t>
      </w:r>
      <w:r w:rsidRPr="00ED7CF8">
        <w:rPr>
          <w:b/>
          <w:bCs/>
          <w:lang w:val="en-GB"/>
        </w:rPr>
        <w:t xml:space="preserve">first </w:t>
      </w:r>
      <w:r w:rsidR="00ED7CF8" w:rsidRPr="00ED7CF8">
        <w:rPr>
          <w:b/>
          <w:bCs/>
          <w:lang w:val="en-GB"/>
        </w:rPr>
        <w:t>chapter</w:t>
      </w:r>
      <w:r w:rsidR="00ED7CF8">
        <w:rPr>
          <w:lang w:val="en-GB"/>
        </w:rPr>
        <w:t xml:space="preserve"> </w:t>
      </w:r>
      <w:r>
        <w:rPr>
          <w:lang w:val="en-GB"/>
        </w:rPr>
        <w:t>explains</w:t>
      </w:r>
      <w:r w:rsidR="00ED7CF8">
        <w:rPr>
          <w:lang w:val="en-GB"/>
        </w:rPr>
        <w:t xml:space="preserve"> the </w:t>
      </w:r>
      <w:r>
        <w:rPr>
          <w:lang w:val="en-GB"/>
        </w:rPr>
        <w:t xml:space="preserve">theoretical foundation of </w:t>
      </w:r>
      <w:r w:rsidR="00ED7CF8">
        <w:rPr>
          <w:lang w:val="en-GB"/>
        </w:rPr>
        <w:t xml:space="preserve">existing </w:t>
      </w:r>
      <w:r>
        <w:rPr>
          <w:lang w:val="en-GB"/>
        </w:rPr>
        <w:t xml:space="preserve">empirical evidence regarding maintenance as a scientific </w:t>
      </w:r>
      <w:r w:rsidR="00ED7CF8">
        <w:rPr>
          <w:lang w:val="en-GB"/>
        </w:rPr>
        <w:t>discipline.</w:t>
      </w:r>
      <w:r>
        <w:rPr>
          <w:lang w:val="en-GB"/>
        </w:rPr>
        <w:t xml:space="preserve"> </w:t>
      </w:r>
      <w:r w:rsidR="00ED7CF8">
        <w:rPr>
          <w:lang w:val="en-GB"/>
        </w:rPr>
        <w:t>In addition</w:t>
      </w:r>
      <w:r w:rsidR="009D019F">
        <w:rPr>
          <w:lang w:val="en-GB"/>
        </w:rPr>
        <w:t>,</w:t>
      </w:r>
      <w:r w:rsidR="00F079BF">
        <w:rPr>
          <w:lang w:val="en-GB"/>
        </w:rPr>
        <w:t xml:space="preserve"> </w:t>
      </w:r>
      <w:r w:rsidR="00ED7CF8">
        <w:rPr>
          <w:lang w:val="en-GB"/>
        </w:rPr>
        <w:t xml:space="preserve">it </w:t>
      </w:r>
      <w:r w:rsidR="00F079BF">
        <w:rPr>
          <w:lang w:val="en-GB"/>
        </w:rPr>
        <w:t xml:space="preserve">explains the </w:t>
      </w:r>
      <w:r w:rsidR="00ED7CF8">
        <w:rPr>
          <w:lang w:val="en-GB"/>
        </w:rPr>
        <w:t>framework in which industrial maintenance finds itself in the technological “4</w:t>
      </w:r>
      <w:r w:rsidR="00ED7CF8" w:rsidRPr="00ED7CF8">
        <w:rPr>
          <w:vertAlign w:val="superscript"/>
          <w:lang w:val="en-GB"/>
        </w:rPr>
        <w:t>th</w:t>
      </w:r>
      <w:r w:rsidR="00ED7CF8">
        <w:rPr>
          <w:lang w:val="en-GB"/>
        </w:rPr>
        <w:t xml:space="preserve"> Wave”, emphasising the lack of achievements and latching on to the sustainability aspect. The fourth part of the first section provides a statement with supporting premises to be challenged for the final thesis statement to be valid, after which an outline is given as </w:t>
      </w:r>
      <w:r w:rsidR="00557CF1">
        <w:rPr>
          <w:lang w:val="en-GB"/>
        </w:rPr>
        <w:t xml:space="preserve">the </w:t>
      </w:r>
      <w:r w:rsidR="00ED7CF8">
        <w:rPr>
          <w:lang w:val="en-GB"/>
        </w:rPr>
        <w:t xml:space="preserve">reader </w:t>
      </w:r>
      <w:r w:rsidR="00742A8E">
        <w:rPr>
          <w:lang w:val="en-GB"/>
        </w:rPr>
        <w:t>present follow</w:t>
      </w:r>
      <w:r w:rsidR="00ED7CF8">
        <w:rPr>
          <w:lang w:val="en-GB"/>
        </w:rPr>
        <w:t>.</w:t>
      </w:r>
      <w:r w:rsidR="0040155D">
        <w:rPr>
          <w:lang w:val="en-GB"/>
        </w:rPr>
        <w:t xml:space="preserve"> The second section explains protocol</w:t>
      </w:r>
      <w:r w:rsidR="00534AA6">
        <w:rPr>
          <w:lang w:val="en-GB"/>
        </w:rPr>
        <w:t>s</w:t>
      </w:r>
      <w:r w:rsidR="0040155D">
        <w:rPr>
          <w:lang w:val="en-GB"/>
        </w:rPr>
        <w:t xml:space="preserve"> for extracting and dissecting evidence from various sources: (1) EU projects database; (2) scientific literature databases; (3) reports and empirical evidence from reports and databases established in practical working conditions. The last section provides key takeaways from the introduction and elaborates on the protocol and evidence applicability important for the thesis outcome.</w:t>
      </w:r>
    </w:p>
    <w:p w14:paraId="389F5D0B" w14:textId="72652B80" w:rsidR="00B332AF" w:rsidRDefault="00F079BF" w:rsidP="00B529B8">
      <w:pPr>
        <w:rPr>
          <w:lang w:val="en-GB"/>
        </w:rPr>
      </w:pPr>
      <w:r>
        <w:rPr>
          <w:lang w:val="en-GB"/>
        </w:rPr>
        <w:t xml:space="preserve">The </w:t>
      </w:r>
      <w:r w:rsidRPr="00557CF1">
        <w:rPr>
          <w:b/>
          <w:bCs/>
          <w:lang w:val="en-GB"/>
        </w:rPr>
        <w:t>second chapter</w:t>
      </w:r>
      <w:r>
        <w:rPr>
          <w:lang w:val="en-GB"/>
        </w:rPr>
        <w:t xml:space="preserve"> comprises </w:t>
      </w:r>
      <w:r w:rsidR="00E56449">
        <w:rPr>
          <w:lang w:val="en-GB"/>
        </w:rPr>
        <w:t xml:space="preserve">three </w:t>
      </w:r>
      <w:r w:rsidR="00B332AF">
        <w:rPr>
          <w:lang w:val="en-GB"/>
        </w:rPr>
        <w:t>pillars of</w:t>
      </w:r>
      <w:r w:rsidR="00E56449">
        <w:rPr>
          <w:lang w:val="en-GB"/>
        </w:rPr>
        <w:t xml:space="preserve"> evidence to justify</w:t>
      </w:r>
      <w:r>
        <w:rPr>
          <w:lang w:val="en-GB"/>
        </w:rPr>
        <w:t xml:space="preserve"> the conceptual framework of the </w:t>
      </w:r>
      <w:r w:rsidR="00B332AF">
        <w:rPr>
          <w:lang w:val="en-GB"/>
        </w:rPr>
        <w:t>Energy-Based Maintenance (EBM) paradigm as a new strategic manifesto for approaching diagnostic, prognostic and decision-making activities within maintenance decision-making layers</w:t>
      </w:r>
      <w:r>
        <w:rPr>
          <w:lang w:val="en-GB"/>
        </w:rPr>
        <w:t>. The underlying reason for evidence synthesis from these sources of evidence, i.e., practice, projects and literature</w:t>
      </w:r>
      <w:r w:rsidR="00E56449">
        <w:rPr>
          <w:lang w:val="en-GB"/>
        </w:rPr>
        <w:t>,</w:t>
      </w:r>
      <w:r>
        <w:rPr>
          <w:lang w:val="en-GB"/>
        </w:rPr>
        <w:t xml:space="preserve"> served as </w:t>
      </w:r>
      <w:r w:rsidR="00E56449">
        <w:rPr>
          <w:lang w:val="en-GB"/>
        </w:rPr>
        <w:t xml:space="preserve">an </w:t>
      </w:r>
      <w:r>
        <w:rPr>
          <w:lang w:val="en-GB"/>
        </w:rPr>
        <w:t>app</w:t>
      </w:r>
      <w:r w:rsidR="00E56449">
        <w:rPr>
          <w:lang w:val="en-GB"/>
        </w:rPr>
        <w:t>ar</w:t>
      </w:r>
      <w:r>
        <w:rPr>
          <w:lang w:val="en-GB"/>
        </w:rPr>
        <w:t>atus to just</w:t>
      </w:r>
      <w:r w:rsidR="00E56449">
        <w:rPr>
          <w:lang w:val="en-GB"/>
        </w:rPr>
        <w:t>i</w:t>
      </w:r>
      <w:r>
        <w:rPr>
          <w:lang w:val="en-GB"/>
        </w:rPr>
        <w:t>fy the arguments behind the concept of needing an EBM research framework.</w:t>
      </w:r>
      <w:r w:rsidR="00534AA6">
        <w:rPr>
          <w:lang w:val="en-GB"/>
        </w:rPr>
        <w:t xml:space="preserve"> The fourth section provides research results of collected evidence from research projects in the form of meta-data. The fifth section provides empirical evidence from collected primary research studies regarding energy-dedicated maintenance contributions of each layer of decision-making. The last section provides questionnaire-based survey results of hydraulic systems’ maintenance practice and results of implemented practice. Aside from practical results, the meta-data of collected evidence is used later for selecting an appropriate experimental system.</w:t>
      </w:r>
    </w:p>
    <w:p w14:paraId="04C76530" w14:textId="7FE8EBB7" w:rsidR="00534AA6" w:rsidRDefault="00F079BF" w:rsidP="00B529B8">
      <w:pPr>
        <w:rPr>
          <w:lang w:val="en-GB"/>
        </w:rPr>
      </w:pPr>
      <w:r>
        <w:rPr>
          <w:lang w:val="en-GB"/>
        </w:rPr>
        <w:t xml:space="preserve">The </w:t>
      </w:r>
      <w:r w:rsidRPr="00B332AF">
        <w:rPr>
          <w:b/>
          <w:bCs/>
          <w:lang w:val="en-GB"/>
        </w:rPr>
        <w:t>third chapter</w:t>
      </w:r>
      <w:r>
        <w:rPr>
          <w:lang w:val="en-GB"/>
        </w:rPr>
        <w:t xml:space="preserve"> </w:t>
      </w:r>
      <w:r w:rsidR="00534AA6">
        <w:rPr>
          <w:lang w:val="en-GB"/>
        </w:rPr>
        <w:t>utilises machine learning algorithms for selecting appropriate candidate models given extrapolated parameters abstracted as functional-productiveness markers</w:t>
      </w:r>
      <w:r w:rsidR="00E56449">
        <w:rPr>
          <w:lang w:val="en-GB"/>
        </w:rPr>
        <w:t>.</w:t>
      </w:r>
      <w:r w:rsidR="00534AA6">
        <w:rPr>
          <w:lang w:val="en-GB"/>
        </w:rPr>
        <w:t xml:space="preserve"> These</w:t>
      </w:r>
      <w:r w:rsidR="00E56449">
        <w:rPr>
          <w:lang w:val="en-GB"/>
        </w:rPr>
        <w:t xml:space="preserve"> </w:t>
      </w:r>
      <w:r w:rsidR="00534AA6">
        <w:rPr>
          <w:lang w:val="en-GB"/>
        </w:rPr>
        <w:t>are evaluated through their variable importance (VIP) for contributing to the model classification accuracy. After testing all candidate models, the model with the highest classification accuracy is chosen, and their associated predictors are used for reliability modelling. The reliability modelling is used for optimisation purposes where time to an event is chosen on boolean operators of functional-productiveness markers. The seventh section elaborates on setting and preparing the experiment, data collecting and filtering. The eighth section provides data extraction and pre-processing methodology for machine learning training and testing. The ninth section elaborates on each ML model utilised, parameters and results achieved through the accuracy of classification matrices. The last section of the third chapter includes reliability modelling and optimisation, suggesting improving a system's health through different maintenance actions.</w:t>
      </w:r>
    </w:p>
    <w:p w14:paraId="22352193" w14:textId="46DFDDE4" w:rsidR="00B529B8" w:rsidRDefault="00E56449" w:rsidP="00B529B8">
      <w:pPr>
        <w:rPr>
          <w:lang w:val="en-GB"/>
        </w:rPr>
      </w:pPr>
      <w:r>
        <w:rPr>
          <w:lang w:val="en-GB"/>
        </w:rPr>
        <w:t>T</w:t>
      </w:r>
      <w:r w:rsidR="00F079BF">
        <w:rPr>
          <w:lang w:val="en-GB"/>
        </w:rPr>
        <w:t xml:space="preserve">he </w:t>
      </w:r>
      <w:r w:rsidR="00B332AF" w:rsidRPr="00534AA6">
        <w:rPr>
          <w:b/>
          <w:bCs/>
          <w:lang w:val="en-GB"/>
        </w:rPr>
        <w:t>fourth</w:t>
      </w:r>
      <w:r w:rsidR="00F079BF" w:rsidRPr="00534AA6">
        <w:rPr>
          <w:b/>
          <w:bCs/>
          <w:lang w:val="en-GB"/>
        </w:rPr>
        <w:t xml:space="preserve"> chapter</w:t>
      </w:r>
      <w:r w:rsidR="00F079BF">
        <w:rPr>
          <w:lang w:val="en-GB"/>
        </w:rPr>
        <w:t xml:space="preserve"> consists of </w:t>
      </w:r>
      <w:r w:rsidR="00534AA6">
        <w:rPr>
          <w:lang w:val="en-GB"/>
        </w:rPr>
        <w:t>three sections: the 11</w:t>
      </w:r>
      <w:r w:rsidR="00534AA6" w:rsidRPr="00534AA6">
        <w:rPr>
          <w:vertAlign w:val="superscript"/>
          <w:lang w:val="en-GB"/>
        </w:rPr>
        <w:t>th</w:t>
      </w:r>
      <w:r w:rsidR="00534AA6">
        <w:rPr>
          <w:lang w:val="en-GB"/>
        </w:rPr>
        <w:t xml:space="preserve"> section discusses</w:t>
      </w:r>
      <w:r w:rsidR="00513ABD">
        <w:rPr>
          <w:lang w:val="en-GB"/>
        </w:rPr>
        <w:t xml:space="preserve"> empirical evidence and results associated with data collected</w:t>
      </w:r>
      <w:r w:rsidR="00534AA6">
        <w:rPr>
          <w:lang w:val="en-GB"/>
        </w:rPr>
        <w:t xml:space="preserve"> through the doctoral thesis; the 12</w:t>
      </w:r>
      <w:r w:rsidR="00534AA6" w:rsidRPr="00534AA6">
        <w:rPr>
          <w:vertAlign w:val="superscript"/>
          <w:lang w:val="en-GB"/>
        </w:rPr>
        <w:t>th</w:t>
      </w:r>
      <w:r w:rsidR="00534AA6">
        <w:rPr>
          <w:lang w:val="en-GB"/>
        </w:rPr>
        <w:t xml:space="preserve"> section provides concluding remarks </w:t>
      </w:r>
      <w:r w:rsidR="00513ABD">
        <w:rPr>
          <w:lang w:val="en-GB"/>
        </w:rPr>
        <w:t>as</w:t>
      </w:r>
      <w:r w:rsidR="00534AA6">
        <w:rPr>
          <w:lang w:val="en-GB"/>
        </w:rPr>
        <w:t xml:space="preserve"> an overview of the thesis</w:t>
      </w:r>
      <w:r w:rsidR="00513ABD">
        <w:rPr>
          <w:lang w:val="en-GB"/>
        </w:rPr>
        <w:t xml:space="preserve"> outcome</w:t>
      </w:r>
      <w:r w:rsidR="00534AA6">
        <w:rPr>
          <w:lang w:val="en-GB"/>
        </w:rPr>
        <w:t>, contributions to the literature and limitations of the study; the 13</w:t>
      </w:r>
      <w:r w:rsidR="00534AA6" w:rsidRPr="00534AA6">
        <w:rPr>
          <w:vertAlign w:val="superscript"/>
          <w:lang w:val="en-GB"/>
        </w:rPr>
        <w:t>th</w:t>
      </w:r>
      <w:r w:rsidR="00534AA6">
        <w:rPr>
          <w:lang w:val="en-GB"/>
        </w:rPr>
        <w:t xml:space="preserve"> and final section provide a brief overview of the future research work</w:t>
      </w:r>
      <w:r w:rsidR="00BB46A1">
        <w:rPr>
          <w:lang w:val="en-GB"/>
        </w:rPr>
        <w:t>, main limitations of the proposed solutions</w:t>
      </w:r>
      <w:r w:rsidR="00534AA6">
        <w:rPr>
          <w:lang w:val="en-GB"/>
        </w:rPr>
        <w:t xml:space="preserve"> and </w:t>
      </w:r>
      <w:r w:rsidR="00BB46A1">
        <w:rPr>
          <w:lang w:val="en-GB"/>
        </w:rPr>
        <w:t>research interest objectives for the post-doctoral research</w:t>
      </w:r>
      <w:r w:rsidR="00534AA6">
        <w:rPr>
          <w:lang w:val="en-GB"/>
        </w:rPr>
        <w:t>.</w:t>
      </w:r>
    </w:p>
    <w:p w14:paraId="73ADDAA2" w14:textId="5B248B7B" w:rsidR="00512232" w:rsidRDefault="00512232">
      <w:pPr>
        <w:spacing w:before="0" w:after="160" w:line="259" w:lineRule="auto"/>
        <w:jc w:val="left"/>
        <w:rPr>
          <w:lang w:val="en-GB"/>
        </w:rPr>
      </w:pPr>
      <w:r>
        <w:rPr>
          <w:lang w:val="en-GB"/>
        </w:rPr>
        <w:br w:type="page"/>
      </w:r>
    </w:p>
    <w:p w14:paraId="2407DDB4" w14:textId="1A7D9F1A" w:rsidR="00512232" w:rsidRDefault="00512232" w:rsidP="0089430D">
      <w:pPr>
        <w:pStyle w:val="Caption"/>
        <w:jc w:val="left"/>
        <w:rPr>
          <w:lang w:val="en-GB"/>
        </w:rPr>
      </w:pPr>
      <w:bookmarkStart w:id="61" w:name="_Ref100668395"/>
      <w:bookmarkStart w:id="62" w:name="_Toc65585491"/>
      <w:bookmarkStart w:id="63" w:name="_Toc101274441"/>
      <w:r>
        <w:lastRenderedPageBreak/>
        <w:t xml:space="preserve">Table </w:t>
      </w:r>
      <w:fldSimple w:instr=" SEQ Table \* ARABIC ">
        <w:r w:rsidR="00587AF0">
          <w:rPr>
            <w:noProof/>
          </w:rPr>
          <w:t>1</w:t>
        </w:r>
      </w:fldSimple>
      <w:bookmarkEnd w:id="61"/>
      <w:r>
        <w:t xml:space="preserve">. </w:t>
      </w:r>
      <w:bookmarkEnd w:id="62"/>
      <w:r w:rsidR="00046FE0">
        <w:t>Outline and organisation the thesis</w:t>
      </w:r>
      <w:bookmarkEnd w:id="63"/>
    </w:p>
    <w:tbl>
      <w:tblPr>
        <w:tblW w:w="5000" w:type="pct"/>
        <w:tblLook w:val="04A0" w:firstRow="1" w:lastRow="0" w:firstColumn="1" w:lastColumn="0" w:noHBand="0" w:noVBand="1"/>
      </w:tblPr>
      <w:tblGrid>
        <w:gridCol w:w="730"/>
        <w:gridCol w:w="2021"/>
        <w:gridCol w:w="3299"/>
        <w:gridCol w:w="1544"/>
        <w:gridCol w:w="1433"/>
      </w:tblGrid>
      <w:tr w:rsidR="00B7149C" w:rsidRPr="00011F74" w14:paraId="5CCCA131" w14:textId="77777777" w:rsidTr="008C2FD7">
        <w:trPr>
          <w:trHeight w:val="322"/>
        </w:trPr>
        <w:tc>
          <w:tcPr>
            <w:tcW w:w="404" w:type="pct"/>
            <w:tcBorders>
              <w:top w:val="single" w:sz="4" w:space="0" w:color="auto"/>
              <w:bottom w:val="single" w:sz="4" w:space="0" w:color="auto"/>
            </w:tcBorders>
            <w:vAlign w:val="center"/>
          </w:tcPr>
          <w:p w14:paraId="282C9F22" w14:textId="4C7BA683" w:rsidR="00FA21E4" w:rsidRPr="001A09DC" w:rsidRDefault="00CA111C" w:rsidP="00CA111C">
            <w:pPr>
              <w:spacing w:before="0" w:after="0"/>
              <w:contextualSpacing/>
              <w:jc w:val="center"/>
              <w:rPr>
                <w:b/>
                <w:bCs/>
                <w:sz w:val="20"/>
                <w:szCs w:val="20"/>
                <w:lang w:val="en-GB"/>
              </w:rPr>
            </w:pPr>
            <w:r>
              <w:rPr>
                <w:b/>
                <w:bCs/>
                <w:sz w:val="20"/>
                <w:szCs w:val="20"/>
                <w:lang w:val="en-GB"/>
              </w:rPr>
              <w:t>#</w:t>
            </w:r>
          </w:p>
        </w:tc>
        <w:tc>
          <w:tcPr>
            <w:tcW w:w="1119" w:type="pct"/>
            <w:tcBorders>
              <w:top w:val="single" w:sz="4" w:space="0" w:color="auto"/>
              <w:bottom w:val="single" w:sz="4" w:space="0" w:color="auto"/>
            </w:tcBorders>
            <w:vAlign w:val="center"/>
          </w:tcPr>
          <w:p w14:paraId="52E1B09E" w14:textId="77777777" w:rsidR="00FA21E4" w:rsidRPr="001A09DC" w:rsidRDefault="00FA21E4" w:rsidP="00CA111C">
            <w:pPr>
              <w:spacing w:before="0" w:after="0"/>
              <w:contextualSpacing/>
              <w:jc w:val="center"/>
              <w:rPr>
                <w:b/>
                <w:bCs/>
                <w:sz w:val="20"/>
                <w:szCs w:val="20"/>
                <w:lang w:val="en-GB"/>
              </w:rPr>
            </w:pPr>
            <w:r w:rsidRPr="001A09DC">
              <w:rPr>
                <w:b/>
                <w:bCs/>
                <w:sz w:val="20"/>
                <w:szCs w:val="20"/>
                <w:lang w:val="en-GB"/>
              </w:rPr>
              <w:t>Section</w:t>
            </w:r>
          </w:p>
        </w:tc>
        <w:tc>
          <w:tcPr>
            <w:tcW w:w="1827" w:type="pct"/>
            <w:tcBorders>
              <w:top w:val="single" w:sz="4" w:space="0" w:color="auto"/>
              <w:bottom w:val="single" w:sz="4" w:space="0" w:color="auto"/>
            </w:tcBorders>
            <w:vAlign w:val="center"/>
          </w:tcPr>
          <w:p w14:paraId="3741925D" w14:textId="62478B1E" w:rsidR="00FA21E4" w:rsidRPr="001A09DC" w:rsidRDefault="00D85DC9" w:rsidP="00CA111C">
            <w:pPr>
              <w:spacing w:before="0" w:after="0"/>
              <w:contextualSpacing/>
              <w:jc w:val="center"/>
              <w:rPr>
                <w:b/>
                <w:bCs/>
                <w:sz w:val="20"/>
                <w:szCs w:val="20"/>
                <w:lang w:val="en-GB"/>
              </w:rPr>
            </w:pPr>
            <w:r>
              <w:rPr>
                <w:b/>
                <w:bCs/>
                <w:sz w:val="20"/>
                <w:szCs w:val="20"/>
                <w:lang w:val="en-GB"/>
              </w:rPr>
              <w:t>Highlights</w:t>
            </w:r>
          </w:p>
        </w:tc>
        <w:tc>
          <w:tcPr>
            <w:tcW w:w="1649" w:type="pct"/>
            <w:gridSpan w:val="2"/>
            <w:tcBorders>
              <w:top w:val="single" w:sz="4" w:space="0" w:color="auto"/>
              <w:bottom w:val="single" w:sz="4" w:space="0" w:color="auto"/>
            </w:tcBorders>
            <w:vAlign w:val="center"/>
          </w:tcPr>
          <w:p w14:paraId="6998C204" w14:textId="60DEE069" w:rsidR="00FA21E4" w:rsidRPr="001A09DC" w:rsidRDefault="0059222D" w:rsidP="00DA2984">
            <w:pPr>
              <w:spacing w:before="0" w:after="0"/>
              <w:contextualSpacing/>
              <w:jc w:val="center"/>
              <w:rPr>
                <w:b/>
                <w:bCs/>
                <w:sz w:val="20"/>
                <w:szCs w:val="20"/>
                <w:lang w:val="en-GB"/>
              </w:rPr>
            </w:pPr>
            <w:r>
              <w:rPr>
                <w:b/>
                <w:bCs/>
                <w:color w:val="0070C0"/>
                <w:sz w:val="20"/>
                <w:szCs w:val="20"/>
                <w:lang w:val="en-GB"/>
              </w:rPr>
              <w:t>Oportunities</w:t>
            </w:r>
            <w:r w:rsidR="00FA21E4" w:rsidRPr="001A09DC">
              <w:rPr>
                <w:b/>
                <w:bCs/>
                <w:sz w:val="20"/>
                <w:szCs w:val="20"/>
                <w:lang w:val="en-GB"/>
              </w:rPr>
              <w:t>/</w:t>
            </w:r>
            <w:r w:rsidR="00FA21E4" w:rsidRPr="001700FE">
              <w:rPr>
                <w:b/>
                <w:bCs/>
                <w:color w:val="FF0000"/>
                <w:sz w:val="20"/>
                <w:szCs w:val="20"/>
                <w:lang w:val="en-GB"/>
              </w:rPr>
              <w:t>Limitations</w:t>
            </w:r>
          </w:p>
        </w:tc>
      </w:tr>
      <w:tr w:rsidR="009B6DDF" w:rsidRPr="00011F74" w14:paraId="60C7B5C5" w14:textId="77777777" w:rsidTr="00DA7E99">
        <w:trPr>
          <w:trHeight w:val="2153"/>
        </w:trPr>
        <w:tc>
          <w:tcPr>
            <w:tcW w:w="404" w:type="pct"/>
            <w:vMerge w:val="restart"/>
            <w:tcBorders>
              <w:top w:val="single" w:sz="4" w:space="0" w:color="auto"/>
            </w:tcBorders>
            <w:textDirection w:val="btLr"/>
            <w:vAlign w:val="center"/>
          </w:tcPr>
          <w:p w14:paraId="3150BE14" w14:textId="77777777" w:rsidR="00DA2984" w:rsidRPr="000F740D" w:rsidRDefault="00DA2984" w:rsidP="00505C90">
            <w:pPr>
              <w:spacing w:before="0" w:after="0"/>
              <w:ind w:left="113" w:right="113"/>
              <w:contextualSpacing/>
              <w:jc w:val="center"/>
              <w:rPr>
                <w:b/>
                <w:bCs/>
                <w:sz w:val="20"/>
                <w:szCs w:val="20"/>
                <w:lang w:val="en-GB"/>
              </w:rPr>
            </w:pPr>
            <w:r w:rsidRPr="000F740D">
              <w:rPr>
                <w:b/>
                <w:bCs/>
                <w:sz w:val="20"/>
                <w:szCs w:val="20"/>
                <w:lang w:val="en-GB"/>
              </w:rPr>
              <w:t>Chapter I</w:t>
            </w:r>
          </w:p>
        </w:tc>
        <w:tc>
          <w:tcPr>
            <w:tcW w:w="1119" w:type="pct"/>
            <w:tcBorders>
              <w:top w:val="single" w:sz="4" w:space="0" w:color="auto"/>
            </w:tcBorders>
          </w:tcPr>
          <w:p w14:paraId="0198C09D" w14:textId="412019E5" w:rsidR="00DA2984" w:rsidRPr="00011F74" w:rsidRDefault="00DA2984" w:rsidP="00EE49B2">
            <w:pPr>
              <w:numPr>
                <w:ilvl w:val="0"/>
                <w:numId w:val="10"/>
              </w:numPr>
              <w:spacing w:after="0"/>
              <w:ind w:left="357" w:hanging="357"/>
              <w:jc w:val="left"/>
              <w:rPr>
                <w:sz w:val="20"/>
                <w:szCs w:val="20"/>
                <w:lang w:val="en-GB"/>
              </w:rPr>
            </w:pPr>
            <w:r w:rsidRPr="00011F74">
              <w:rPr>
                <w:sz w:val="20"/>
                <w:szCs w:val="20"/>
                <w:lang w:val="en-GB"/>
              </w:rPr>
              <w:t>Introduction</w:t>
            </w:r>
          </w:p>
        </w:tc>
        <w:tc>
          <w:tcPr>
            <w:tcW w:w="1827" w:type="pct"/>
            <w:tcBorders>
              <w:top w:val="single" w:sz="4" w:space="0" w:color="auto"/>
            </w:tcBorders>
            <w:vAlign w:val="center"/>
          </w:tcPr>
          <w:p w14:paraId="0FA0D511" w14:textId="1112A600" w:rsidR="00DA2984" w:rsidRDefault="00D85DC9" w:rsidP="007A49E0">
            <w:pPr>
              <w:pStyle w:val="ListParagraph"/>
              <w:widowControl w:val="0"/>
              <w:numPr>
                <w:ilvl w:val="0"/>
                <w:numId w:val="23"/>
              </w:numPr>
              <w:spacing w:before="40" w:after="40"/>
              <w:ind w:left="397" w:hanging="340"/>
              <w:jc w:val="left"/>
              <w:rPr>
                <w:sz w:val="20"/>
                <w:szCs w:val="20"/>
                <w:lang w:val="en-GB"/>
              </w:rPr>
            </w:pPr>
            <w:r>
              <w:rPr>
                <w:sz w:val="20"/>
                <w:szCs w:val="20"/>
                <w:lang w:val="en-GB"/>
              </w:rPr>
              <w:t>Identifying setbacks of industrial maintenance advancements in the technological “4th Wave” era.</w:t>
            </w:r>
          </w:p>
          <w:p w14:paraId="1350A006" w14:textId="7E5CB3C8" w:rsidR="00DA2984" w:rsidRPr="00D82C94" w:rsidRDefault="00D85DC9" w:rsidP="007A49E0">
            <w:pPr>
              <w:pStyle w:val="ListParagraph"/>
              <w:widowControl w:val="0"/>
              <w:numPr>
                <w:ilvl w:val="0"/>
                <w:numId w:val="23"/>
              </w:numPr>
              <w:spacing w:before="40" w:after="40"/>
              <w:ind w:left="397" w:hanging="340"/>
              <w:jc w:val="left"/>
              <w:rPr>
                <w:sz w:val="20"/>
                <w:szCs w:val="20"/>
                <w:lang w:val="en-GB"/>
              </w:rPr>
            </w:pPr>
            <w:r>
              <w:rPr>
                <w:sz w:val="20"/>
                <w:szCs w:val="20"/>
              </w:rPr>
              <w:t>Elaboration on the need to transfer from static (failure) to dynamic (process) data.</w:t>
            </w:r>
          </w:p>
          <w:p w14:paraId="5C21F51D" w14:textId="5693CB80" w:rsidR="00DA2984" w:rsidRPr="00D82C94" w:rsidRDefault="00D85DC9" w:rsidP="007A49E0">
            <w:pPr>
              <w:pStyle w:val="ListParagraph"/>
              <w:widowControl w:val="0"/>
              <w:numPr>
                <w:ilvl w:val="0"/>
                <w:numId w:val="23"/>
              </w:numPr>
              <w:spacing w:before="40" w:after="40"/>
              <w:ind w:left="397" w:hanging="340"/>
              <w:jc w:val="left"/>
              <w:rPr>
                <w:sz w:val="20"/>
                <w:szCs w:val="20"/>
                <w:lang w:val="en-GB"/>
              </w:rPr>
            </w:pPr>
            <w:r>
              <w:rPr>
                <w:sz w:val="20"/>
                <w:szCs w:val="20"/>
                <w:lang w:val="en-GB"/>
              </w:rPr>
              <w:t>Proposition and statement on the functional-productiveness markers.</w:t>
            </w:r>
          </w:p>
        </w:tc>
        <w:tc>
          <w:tcPr>
            <w:tcW w:w="855" w:type="pct"/>
            <w:tcBorders>
              <w:top w:val="single" w:sz="4" w:space="0" w:color="auto"/>
            </w:tcBorders>
            <w:vAlign w:val="center"/>
          </w:tcPr>
          <w:p w14:paraId="7CAA63AF" w14:textId="03E1DF8A" w:rsidR="00F72343" w:rsidRDefault="00964279" w:rsidP="00F72343">
            <w:pPr>
              <w:spacing w:before="40" w:after="40"/>
              <w:contextualSpacing/>
              <w:jc w:val="right"/>
              <w:rPr>
                <w:sz w:val="20"/>
                <w:szCs w:val="20"/>
                <w:lang w:val="en-GB"/>
              </w:rPr>
            </w:pPr>
            <w:r>
              <w:rPr>
                <w:sz w:val="20"/>
                <w:szCs w:val="20"/>
                <w:lang w:val="en-GB"/>
              </w:rPr>
              <w:t>C</w:t>
            </w:r>
            <w:r w:rsidR="00FF693F">
              <w:rPr>
                <w:sz w:val="20"/>
                <w:szCs w:val="20"/>
                <w:lang w:val="en-GB"/>
              </w:rPr>
              <w:t>ontribution to the evidence collection.</w:t>
            </w:r>
          </w:p>
          <w:p w14:paraId="7A3F956C" w14:textId="0B495254" w:rsidR="00DA2984" w:rsidRPr="00011F74" w:rsidRDefault="00B1089E" w:rsidP="00F72343">
            <w:pPr>
              <w:spacing w:before="40" w:after="40"/>
              <w:contextualSpacing/>
              <w:jc w:val="right"/>
              <w:rPr>
                <w:sz w:val="20"/>
                <w:szCs w:val="20"/>
                <w:lang w:val="en-GB"/>
              </w:rPr>
            </w:pPr>
            <w:r>
              <w:rPr>
                <w:sz w:val="20"/>
                <w:szCs w:val="20"/>
                <w:lang w:val="en-GB"/>
              </w:rPr>
              <w:t>Sustainability</w:t>
            </w:r>
            <w:r w:rsidR="00FF693F">
              <w:rPr>
                <w:sz w:val="20"/>
                <w:szCs w:val="20"/>
                <w:lang w:val="en-GB"/>
              </w:rPr>
              <w:t xml:space="preserve"> in </w:t>
            </w:r>
            <w:r w:rsidR="00964279">
              <w:rPr>
                <w:sz w:val="20"/>
                <w:szCs w:val="20"/>
                <w:lang w:val="en-GB"/>
              </w:rPr>
              <w:t xml:space="preserve">the </w:t>
            </w:r>
            <w:r w:rsidR="00FF693F">
              <w:rPr>
                <w:sz w:val="20"/>
                <w:szCs w:val="20"/>
                <w:lang w:val="en-GB"/>
              </w:rPr>
              <w:t>maintenance sphere for data processing. Functionality markers.</w:t>
            </w:r>
          </w:p>
        </w:tc>
        <w:tc>
          <w:tcPr>
            <w:tcW w:w="794" w:type="pct"/>
            <w:tcBorders>
              <w:top w:val="single" w:sz="4" w:space="0" w:color="auto"/>
            </w:tcBorders>
            <w:vAlign w:val="center"/>
          </w:tcPr>
          <w:p w14:paraId="6FA9C468" w14:textId="32A1462C" w:rsidR="00BA60D4" w:rsidRDefault="008D7693" w:rsidP="00F72343">
            <w:pPr>
              <w:spacing w:before="40" w:after="40"/>
              <w:contextualSpacing/>
              <w:jc w:val="right"/>
              <w:rPr>
                <w:sz w:val="20"/>
                <w:szCs w:val="20"/>
                <w:lang w:val="en-GB"/>
              </w:rPr>
            </w:pPr>
            <w:r>
              <w:rPr>
                <w:sz w:val="20"/>
                <w:szCs w:val="20"/>
                <w:lang w:val="en-GB"/>
              </w:rPr>
              <w:t>Lack of meta-analysis studies in industrial maintenance</w:t>
            </w:r>
            <w:r w:rsidR="00BA60D4">
              <w:rPr>
                <w:sz w:val="20"/>
                <w:szCs w:val="20"/>
                <w:lang w:val="en-GB"/>
              </w:rPr>
              <w:t>.</w:t>
            </w:r>
          </w:p>
          <w:p w14:paraId="1DC54E94" w14:textId="46A1F14B" w:rsidR="00DA2984" w:rsidRPr="00011F74" w:rsidRDefault="00BA60D4" w:rsidP="00F72343">
            <w:pPr>
              <w:spacing w:before="40" w:after="40"/>
              <w:contextualSpacing/>
              <w:jc w:val="right"/>
              <w:rPr>
                <w:sz w:val="20"/>
                <w:szCs w:val="20"/>
                <w:lang w:val="en-GB"/>
              </w:rPr>
            </w:pPr>
            <w:r>
              <w:rPr>
                <w:sz w:val="20"/>
                <w:szCs w:val="20"/>
                <w:lang w:val="en-GB"/>
              </w:rPr>
              <w:t>Insufficient information regarding functional productivity.</w:t>
            </w:r>
          </w:p>
        </w:tc>
      </w:tr>
      <w:tr w:rsidR="009B6DDF" w:rsidRPr="00011F74" w14:paraId="6EE145A5" w14:textId="77777777" w:rsidTr="00F72343">
        <w:trPr>
          <w:trHeight w:val="433"/>
        </w:trPr>
        <w:tc>
          <w:tcPr>
            <w:tcW w:w="404" w:type="pct"/>
            <w:vMerge/>
            <w:tcBorders>
              <w:bottom w:val="single" w:sz="4" w:space="0" w:color="auto"/>
            </w:tcBorders>
            <w:vAlign w:val="center"/>
          </w:tcPr>
          <w:p w14:paraId="68953F59" w14:textId="77777777" w:rsidR="00776FEB" w:rsidRPr="000F740D" w:rsidRDefault="00776FEB" w:rsidP="00505C90">
            <w:pPr>
              <w:spacing w:before="0" w:after="0"/>
              <w:contextualSpacing/>
              <w:jc w:val="center"/>
              <w:rPr>
                <w:b/>
                <w:bCs/>
                <w:sz w:val="20"/>
                <w:szCs w:val="20"/>
                <w:lang w:val="en-GB"/>
              </w:rPr>
            </w:pPr>
          </w:p>
        </w:tc>
        <w:tc>
          <w:tcPr>
            <w:tcW w:w="1119" w:type="pct"/>
            <w:tcBorders>
              <w:bottom w:val="single" w:sz="4" w:space="0" w:color="auto"/>
            </w:tcBorders>
          </w:tcPr>
          <w:p w14:paraId="40AC320B" w14:textId="57D51F68" w:rsidR="00776FEB" w:rsidRPr="00011F74" w:rsidRDefault="00776FEB" w:rsidP="00EE49B2">
            <w:pPr>
              <w:numPr>
                <w:ilvl w:val="0"/>
                <w:numId w:val="10"/>
              </w:numPr>
              <w:spacing w:after="0"/>
              <w:ind w:left="357" w:hanging="357"/>
              <w:jc w:val="left"/>
              <w:rPr>
                <w:sz w:val="20"/>
                <w:szCs w:val="20"/>
                <w:lang w:val="en-GB"/>
              </w:rPr>
            </w:pPr>
            <w:r w:rsidRPr="00011F74">
              <w:rPr>
                <w:sz w:val="20"/>
                <w:szCs w:val="20"/>
                <w:lang w:val="en-GB"/>
              </w:rPr>
              <w:t>Protocol</w:t>
            </w:r>
          </w:p>
        </w:tc>
        <w:tc>
          <w:tcPr>
            <w:tcW w:w="1827" w:type="pct"/>
            <w:tcBorders>
              <w:bottom w:val="single" w:sz="4" w:space="0" w:color="auto"/>
            </w:tcBorders>
          </w:tcPr>
          <w:p w14:paraId="5B4AEF55" w14:textId="302E6A46" w:rsidR="00776FEB" w:rsidRDefault="00D85DC9" w:rsidP="00F72343">
            <w:pPr>
              <w:pStyle w:val="ListParagraph"/>
              <w:widowControl w:val="0"/>
              <w:numPr>
                <w:ilvl w:val="0"/>
                <w:numId w:val="24"/>
              </w:numPr>
              <w:spacing w:before="40" w:after="40"/>
              <w:ind w:left="397" w:hanging="340"/>
              <w:jc w:val="left"/>
              <w:rPr>
                <w:sz w:val="20"/>
                <w:szCs w:val="20"/>
                <w:lang w:val="en-GB"/>
              </w:rPr>
            </w:pPr>
            <w:r>
              <w:rPr>
                <w:sz w:val="20"/>
                <w:szCs w:val="20"/>
                <w:lang w:val="en-GB"/>
              </w:rPr>
              <w:t>R</w:t>
            </w:r>
            <w:r w:rsidR="00350440">
              <w:rPr>
                <w:sz w:val="20"/>
                <w:szCs w:val="20"/>
                <w:lang w:val="en-GB"/>
              </w:rPr>
              <w:t xml:space="preserve">esearch protocol </w:t>
            </w:r>
            <w:r>
              <w:rPr>
                <w:sz w:val="20"/>
                <w:szCs w:val="20"/>
                <w:lang w:val="en-GB"/>
              </w:rPr>
              <w:t>description for synthesising</w:t>
            </w:r>
            <w:r w:rsidR="00350440">
              <w:rPr>
                <w:sz w:val="20"/>
                <w:szCs w:val="20"/>
                <w:lang w:val="en-GB"/>
              </w:rPr>
              <w:t xml:space="preserve"> projects</w:t>
            </w:r>
            <w:r>
              <w:rPr>
                <w:sz w:val="20"/>
                <w:szCs w:val="20"/>
                <w:lang w:val="en-GB"/>
              </w:rPr>
              <w:t>’</w:t>
            </w:r>
            <w:r w:rsidR="00350440">
              <w:rPr>
                <w:sz w:val="20"/>
                <w:szCs w:val="20"/>
                <w:lang w:val="en-GB"/>
              </w:rPr>
              <w:t>, literature</w:t>
            </w:r>
            <w:r>
              <w:rPr>
                <w:sz w:val="20"/>
                <w:szCs w:val="20"/>
                <w:lang w:val="en-GB"/>
              </w:rPr>
              <w:t>’</w:t>
            </w:r>
            <w:r w:rsidR="00350440">
              <w:rPr>
                <w:sz w:val="20"/>
                <w:szCs w:val="20"/>
                <w:lang w:val="en-GB"/>
              </w:rPr>
              <w:t>,</w:t>
            </w:r>
            <w:r w:rsidR="00776FEB">
              <w:rPr>
                <w:sz w:val="20"/>
                <w:szCs w:val="20"/>
                <w:lang w:val="en-GB"/>
              </w:rPr>
              <w:t xml:space="preserve"> and practic</w:t>
            </w:r>
            <w:r>
              <w:rPr>
                <w:sz w:val="20"/>
                <w:szCs w:val="20"/>
                <w:lang w:val="en-GB"/>
              </w:rPr>
              <w:t>al evidence</w:t>
            </w:r>
            <w:r w:rsidR="00776FEB">
              <w:rPr>
                <w:sz w:val="20"/>
                <w:szCs w:val="20"/>
                <w:lang w:val="en-GB"/>
              </w:rPr>
              <w:t>.</w:t>
            </w:r>
          </w:p>
          <w:p w14:paraId="29089B60" w14:textId="147C5794" w:rsidR="00776FEB" w:rsidRPr="00F92AD5" w:rsidRDefault="00F92AD5" w:rsidP="00F72343">
            <w:pPr>
              <w:pStyle w:val="ListParagraph"/>
              <w:widowControl w:val="0"/>
              <w:numPr>
                <w:ilvl w:val="0"/>
                <w:numId w:val="24"/>
              </w:numPr>
              <w:spacing w:before="40" w:after="40"/>
              <w:ind w:left="397" w:hanging="340"/>
              <w:jc w:val="left"/>
              <w:rPr>
                <w:sz w:val="20"/>
                <w:szCs w:val="20"/>
                <w:lang w:val="en-GB"/>
              </w:rPr>
            </w:pPr>
            <w:r>
              <w:rPr>
                <w:sz w:val="20"/>
                <w:szCs w:val="20"/>
                <w:lang w:val="en-GB"/>
              </w:rPr>
              <w:t>In-detail description of each protocol for extracting evidence and data processing.</w:t>
            </w:r>
          </w:p>
        </w:tc>
        <w:tc>
          <w:tcPr>
            <w:tcW w:w="855" w:type="pct"/>
            <w:tcBorders>
              <w:bottom w:val="single" w:sz="4" w:space="0" w:color="auto"/>
            </w:tcBorders>
            <w:vAlign w:val="center"/>
          </w:tcPr>
          <w:p w14:paraId="0B0C0760" w14:textId="73B82F9B" w:rsidR="00776FEB" w:rsidRPr="00011F74" w:rsidRDefault="003B0010" w:rsidP="00F72343">
            <w:pPr>
              <w:spacing w:before="40" w:after="40"/>
              <w:contextualSpacing/>
              <w:jc w:val="right"/>
              <w:rPr>
                <w:sz w:val="20"/>
                <w:szCs w:val="20"/>
                <w:lang w:val="en-GB"/>
              </w:rPr>
            </w:pPr>
            <w:r>
              <w:rPr>
                <w:sz w:val="20"/>
                <w:szCs w:val="20"/>
                <w:lang w:val="en-GB"/>
              </w:rPr>
              <w:t>Effective in making conclusive arguments. Better research insight.</w:t>
            </w:r>
          </w:p>
        </w:tc>
        <w:tc>
          <w:tcPr>
            <w:tcW w:w="794" w:type="pct"/>
            <w:tcBorders>
              <w:bottom w:val="single" w:sz="4" w:space="0" w:color="auto"/>
            </w:tcBorders>
            <w:vAlign w:val="center"/>
          </w:tcPr>
          <w:p w14:paraId="4A3D8160" w14:textId="7683472E" w:rsidR="00776FEB" w:rsidRPr="00011F74" w:rsidRDefault="003B0010" w:rsidP="00F72343">
            <w:pPr>
              <w:spacing w:before="40" w:after="40"/>
              <w:contextualSpacing/>
              <w:jc w:val="right"/>
              <w:rPr>
                <w:sz w:val="20"/>
                <w:szCs w:val="20"/>
                <w:lang w:val="en-GB"/>
              </w:rPr>
            </w:pPr>
            <w:r>
              <w:rPr>
                <w:sz w:val="20"/>
                <w:szCs w:val="20"/>
                <w:lang w:val="en-GB"/>
              </w:rPr>
              <w:t>It takes a long time for evidence collection and processing</w:t>
            </w:r>
            <w:r w:rsidR="00D97554">
              <w:rPr>
                <w:sz w:val="20"/>
                <w:szCs w:val="20"/>
                <w:lang w:val="en-GB"/>
              </w:rPr>
              <w:t xml:space="preserve"> (updating)</w:t>
            </w:r>
            <w:r>
              <w:rPr>
                <w:sz w:val="20"/>
                <w:szCs w:val="20"/>
                <w:lang w:val="en-GB"/>
              </w:rPr>
              <w:t>.</w:t>
            </w:r>
          </w:p>
        </w:tc>
      </w:tr>
      <w:tr w:rsidR="009B6DDF" w:rsidRPr="00011F74" w14:paraId="34214A10" w14:textId="77777777" w:rsidTr="008C2FD7">
        <w:trPr>
          <w:trHeight w:val="433"/>
        </w:trPr>
        <w:tc>
          <w:tcPr>
            <w:tcW w:w="404" w:type="pct"/>
            <w:vMerge w:val="restart"/>
            <w:tcBorders>
              <w:top w:val="single" w:sz="4" w:space="0" w:color="auto"/>
            </w:tcBorders>
            <w:textDirection w:val="btLr"/>
            <w:vAlign w:val="center"/>
          </w:tcPr>
          <w:p w14:paraId="3E8D813D" w14:textId="1B5049A8" w:rsidR="00990808" w:rsidRPr="000F740D" w:rsidRDefault="00990808" w:rsidP="00505C90">
            <w:pPr>
              <w:spacing w:before="0" w:after="0"/>
              <w:ind w:left="113" w:right="113"/>
              <w:contextualSpacing/>
              <w:jc w:val="center"/>
              <w:rPr>
                <w:b/>
                <w:bCs/>
                <w:sz w:val="20"/>
                <w:szCs w:val="20"/>
                <w:lang w:val="en-GB"/>
              </w:rPr>
            </w:pPr>
            <w:r w:rsidRPr="000F740D">
              <w:rPr>
                <w:b/>
                <w:bCs/>
                <w:sz w:val="20"/>
                <w:szCs w:val="20"/>
                <w:lang w:val="en-GB"/>
              </w:rPr>
              <w:t>Chapter II</w:t>
            </w:r>
          </w:p>
        </w:tc>
        <w:tc>
          <w:tcPr>
            <w:tcW w:w="1119" w:type="pct"/>
            <w:tcBorders>
              <w:top w:val="single" w:sz="4" w:space="0" w:color="auto"/>
            </w:tcBorders>
          </w:tcPr>
          <w:p w14:paraId="55A3D35B" w14:textId="640D9BA8" w:rsidR="00990808" w:rsidRPr="00011F74" w:rsidRDefault="00990808" w:rsidP="00EE49B2">
            <w:pPr>
              <w:numPr>
                <w:ilvl w:val="0"/>
                <w:numId w:val="10"/>
              </w:numPr>
              <w:spacing w:after="0"/>
              <w:ind w:left="357" w:hanging="357"/>
              <w:jc w:val="left"/>
              <w:rPr>
                <w:sz w:val="20"/>
                <w:szCs w:val="20"/>
                <w:lang w:val="en-GB"/>
              </w:rPr>
            </w:pPr>
            <w:r>
              <w:rPr>
                <w:sz w:val="20"/>
                <w:szCs w:val="20"/>
                <w:lang w:val="en-GB"/>
              </w:rPr>
              <w:t>Projects</w:t>
            </w:r>
          </w:p>
        </w:tc>
        <w:tc>
          <w:tcPr>
            <w:tcW w:w="1827" w:type="pct"/>
            <w:tcBorders>
              <w:top w:val="single" w:sz="4" w:space="0" w:color="auto"/>
            </w:tcBorders>
            <w:vAlign w:val="center"/>
          </w:tcPr>
          <w:p w14:paraId="08F02DDE" w14:textId="17ACCBF3" w:rsidR="00990808" w:rsidRPr="00441FB4" w:rsidRDefault="00CB0555" w:rsidP="007A49E0">
            <w:pPr>
              <w:pStyle w:val="ListParagraph"/>
              <w:widowControl w:val="0"/>
              <w:numPr>
                <w:ilvl w:val="0"/>
                <w:numId w:val="25"/>
              </w:numPr>
              <w:spacing w:before="40" w:after="40"/>
              <w:ind w:left="397" w:hanging="340"/>
              <w:jc w:val="left"/>
              <w:rPr>
                <w:sz w:val="20"/>
                <w:szCs w:val="20"/>
                <w:lang w:val="en-GB"/>
              </w:rPr>
            </w:pPr>
            <w:r>
              <w:rPr>
                <w:sz w:val="20"/>
                <w:szCs w:val="20"/>
                <w:lang w:val="en-GB"/>
              </w:rPr>
              <w:t>Representation</w:t>
            </w:r>
            <w:r w:rsidR="007A49E0">
              <w:rPr>
                <w:sz w:val="20"/>
                <w:szCs w:val="20"/>
                <w:lang w:val="en-GB"/>
              </w:rPr>
              <w:t xml:space="preserve"> of results – </w:t>
            </w:r>
            <w:r>
              <w:rPr>
                <w:sz w:val="20"/>
                <w:szCs w:val="20"/>
                <w:lang w:val="en-GB"/>
              </w:rPr>
              <w:t>collected and processed evidence from research EU projects.</w:t>
            </w:r>
          </w:p>
        </w:tc>
        <w:tc>
          <w:tcPr>
            <w:tcW w:w="855" w:type="pct"/>
            <w:tcBorders>
              <w:top w:val="single" w:sz="4" w:space="0" w:color="auto"/>
            </w:tcBorders>
            <w:vAlign w:val="center"/>
          </w:tcPr>
          <w:p w14:paraId="6B76DCA3" w14:textId="680DD84F" w:rsidR="00990808" w:rsidRPr="00011F74" w:rsidRDefault="00CB0555" w:rsidP="007A49E0">
            <w:pPr>
              <w:spacing w:before="40" w:after="40"/>
              <w:contextualSpacing/>
              <w:jc w:val="right"/>
              <w:rPr>
                <w:sz w:val="20"/>
                <w:szCs w:val="20"/>
                <w:lang w:val="en-GB"/>
              </w:rPr>
            </w:pPr>
            <w:r>
              <w:rPr>
                <w:sz w:val="20"/>
                <w:szCs w:val="20"/>
                <w:lang w:val="en-GB"/>
              </w:rPr>
              <w:t xml:space="preserve">New sources of </w:t>
            </w:r>
            <w:r w:rsidR="007A49E0">
              <w:rPr>
                <w:sz w:val="20"/>
                <w:szCs w:val="20"/>
                <w:lang w:val="en-GB"/>
              </w:rPr>
              <w:t>empirical evidence</w:t>
            </w:r>
            <w:r>
              <w:rPr>
                <w:sz w:val="20"/>
                <w:szCs w:val="20"/>
                <w:lang w:val="en-GB"/>
              </w:rPr>
              <w:t>.</w:t>
            </w:r>
          </w:p>
        </w:tc>
        <w:tc>
          <w:tcPr>
            <w:tcW w:w="794" w:type="pct"/>
            <w:tcBorders>
              <w:top w:val="single" w:sz="4" w:space="0" w:color="auto"/>
            </w:tcBorders>
            <w:vAlign w:val="center"/>
          </w:tcPr>
          <w:p w14:paraId="011C4F08" w14:textId="6E4D7606" w:rsidR="00990808" w:rsidRPr="00011F74" w:rsidRDefault="007A49E0" w:rsidP="007A49E0">
            <w:pPr>
              <w:spacing w:before="40" w:after="40"/>
              <w:contextualSpacing/>
              <w:jc w:val="right"/>
              <w:rPr>
                <w:sz w:val="20"/>
                <w:szCs w:val="20"/>
                <w:lang w:val="en-GB"/>
              </w:rPr>
            </w:pPr>
            <w:r>
              <w:rPr>
                <w:sz w:val="20"/>
                <w:szCs w:val="20"/>
                <w:lang w:val="en-GB"/>
              </w:rPr>
              <w:t>Lack of meta-data from CORDIS base.</w:t>
            </w:r>
          </w:p>
        </w:tc>
      </w:tr>
      <w:tr w:rsidR="009B6DDF" w:rsidRPr="00011F74" w14:paraId="346763B6" w14:textId="77777777" w:rsidTr="008C2FD7">
        <w:trPr>
          <w:trHeight w:val="433"/>
        </w:trPr>
        <w:tc>
          <w:tcPr>
            <w:tcW w:w="404" w:type="pct"/>
            <w:vMerge/>
            <w:vAlign w:val="center"/>
          </w:tcPr>
          <w:p w14:paraId="7C231702" w14:textId="77777777" w:rsidR="00990808" w:rsidRPr="000F740D" w:rsidRDefault="00990808" w:rsidP="00505C90">
            <w:pPr>
              <w:spacing w:before="0" w:after="0"/>
              <w:contextualSpacing/>
              <w:jc w:val="center"/>
              <w:rPr>
                <w:b/>
                <w:bCs/>
                <w:sz w:val="20"/>
                <w:szCs w:val="20"/>
                <w:lang w:val="en-GB"/>
              </w:rPr>
            </w:pPr>
          </w:p>
        </w:tc>
        <w:tc>
          <w:tcPr>
            <w:tcW w:w="1119" w:type="pct"/>
          </w:tcPr>
          <w:p w14:paraId="6936A7B4" w14:textId="1CC4169A" w:rsidR="00990808" w:rsidRPr="00011F74" w:rsidRDefault="00990808" w:rsidP="00EE49B2">
            <w:pPr>
              <w:numPr>
                <w:ilvl w:val="0"/>
                <w:numId w:val="10"/>
              </w:numPr>
              <w:spacing w:after="0"/>
              <w:ind w:left="357" w:hanging="357"/>
              <w:jc w:val="left"/>
              <w:rPr>
                <w:sz w:val="20"/>
                <w:szCs w:val="20"/>
                <w:lang w:val="en-GB"/>
              </w:rPr>
            </w:pPr>
            <w:r>
              <w:rPr>
                <w:sz w:val="20"/>
                <w:szCs w:val="20"/>
                <w:lang w:val="en-GB"/>
              </w:rPr>
              <w:t>Literature</w:t>
            </w:r>
          </w:p>
        </w:tc>
        <w:tc>
          <w:tcPr>
            <w:tcW w:w="1827" w:type="pct"/>
            <w:vAlign w:val="center"/>
          </w:tcPr>
          <w:p w14:paraId="70CC8785" w14:textId="20108733" w:rsidR="00990808" w:rsidRPr="00441FB4" w:rsidRDefault="007A49E0" w:rsidP="007A49E0">
            <w:pPr>
              <w:pStyle w:val="ListParagraph"/>
              <w:widowControl w:val="0"/>
              <w:numPr>
                <w:ilvl w:val="0"/>
                <w:numId w:val="25"/>
              </w:numPr>
              <w:spacing w:before="40" w:after="40"/>
              <w:ind w:left="397" w:hanging="340"/>
              <w:jc w:val="left"/>
              <w:rPr>
                <w:sz w:val="20"/>
                <w:szCs w:val="20"/>
                <w:lang w:val="en-GB"/>
              </w:rPr>
            </w:pPr>
            <w:r>
              <w:rPr>
                <w:sz w:val="20"/>
                <w:szCs w:val="20"/>
                <w:lang w:val="en-GB"/>
              </w:rPr>
              <w:t>Representation of results – collected and processed evidence from energy-dedicated literature.</w:t>
            </w:r>
          </w:p>
        </w:tc>
        <w:tc>
          <w:tcPr>
            <w:tcW w:w="855" w:type="pct"/>
            <w:vAlign w:val="center"/>
          </w:tcPr>
          <w:p w14:paraId="08FCF77E" w14:textId="65E3CD94" w:rsidR="00990808" w:rsidRPr="00011F74" w:rsidRDefault="007A49E0" w:rsidP="007A49E0">
            <w:pPr>
              <w:spacing w:before="40" w:after="40"/>
              <w:contextualSpacing/>
              <w:jc w:val="right"/>
              <w:rPr>
                <w:sz w:val="20"/>
                <w:szCs w:val="20"/>
                <w:lang w:val="en-GB"/>
              </w:rPr>
            </w:pPr>
            <w:r>
              <w:rPr>
                <w:sz w:val="20"/>
                <w:szCs w:val="20"/>
                <w:lang w:val="en-GB"/>
              </w:rPr>
              <w:t>Opening the chapter on sustainable maintenance.</w:t>
            </w:r>
          </w:p>
        </w:tc>
        <w:tc>
          <w:tcPr>
            <w:tcW w:w="794" w:type="pct"/>
            <w:vAlign w:val="center"/>
          </w:tcPr>
          <w:p w14:paraId="7177DF11" w14:textId="22DFFCC2" w:rsidR="00990808" w:rsidRPr="00011F74" w:rsidRDefault="007A49E0" w:rsidP="007A49E0">
            <w:pPr>
              <w:spacing w:before="40" w:after="40"/>
              <w:contextualSpacing/>
              <w:jc w:val="right"/>
              <w:rPr>
                <w:sz w:val="20"/>
                <w:szCs w:val="20"/>
                <w:lang w:val="en-GB"/>
              </w:rPr>
            </w:pPr>
            <w:r>
              <w:rPr>
                <w:sz w:val="20"/>
                <w:szCs w:val="20"/>
                <w:lang w:val="en-GB"/>
              </w:rPr>
              <w:t>Insufficient and scarce original evidence.</w:t>
            </w:r>
          </w:p>
        </w:tc>
      </w:tr>
      <w:tr w:rsidR="009B6DDF" w:rsidRPr="00011F74" w14:paraId="5BAB74A3" w14:textId="77777777" w:rsidTr="008C2FD7">
        <w:trPr>
          <w:trHeight w:val="433"/>
        </w:trPr>
        <w:tc>
          <w:tcPr>
            <w:tcW w:w="404" w:type="pct"/>
            <w:vMerge/>
            <w:tcBorders>
              <w:bottom w:val="single" w:sz="4" w:space="0" w:color="auto"/>
            </w:tcBorders>
            <w:vAlign w:val="center"/>
          </w:tcPr>
          <w:p w14:paraId="7D691F45" w14:textId="77777777" w:rsidR="00990808" w:rsidRPr="000F740D" w:rsidRDefault="00990808" w:rsidP="00505C90">
            <w:pPr>
              <w:spacing w:before="0" w:after="0"/>
              <w:contextualSpacing/>
              <w:jc w:val="center"/>
              <w:rPr>
                <w:b/>
                <w:bCs/>
                <w:sz w:val="20"/>
                <w:szCs w:val="20"/>
                <w:lang w:val="en-GB"/>
              </w:rPr>
            </w:pPr>
          </w:p>
        </w:tc>
        <w:tc>
          <w:tcPr>
            <w:tcW w:w="1119" w:type="pct"/>
            <w:tcBorders>
              <w:bottom w:val="single" w:sz="4" w:space="0" w:color="auto"/>
            </w:tcBorders>
          </w:tcPr>
          <w:p w14:paraId="44E19852" w14:textId="169F451D" w:rsidR="00990808" w:rsidRPr="00011F74" w:rsidRDefault="00990808" w:rsidP="00EE49B2">
            <w:pPr>
              <w:numPr>
                <w:ilvl w:val="0"/>
                <w:numId w:val="10"/>
              </w:numPr>
              <w:spacing w:after="0"/>
              <w:ind w:left="357" w:hanging="357"/>
              <w:jc w:val="left"/>
              <w:rPr>
                <w:sz w:val="20"/>
                <w:szCs w:val="20"/>
                <w:lang w:val="en-GB"/>
              </w:rPr>
            </w:pPr>
            <w:r>
              <w:rPr>
                <w:sz w:val="20"/>
                <w:szCs w:val="20"/>
                <w:lang w:val="en-GB"/>
              </w:rPr>
              <w:t>Practice</w:t>
            </w:r>
          </w:p>
        </w:tc>
        <w:tc>
          <w:tcPr>
            <w:tcW w:w="1827" w:type="pct"/>
            <w:tcBorders>
              <w:bottom w:val="single" w:sz="4" w:space="0" w:color="auto"/>
            </w:tcBorders>
            <w:vAlign w:val="center"/>
          </w:tcPr>
          <w:p w14:paraId="1D9D5E2E" w14:textId="2BA4FED6" w:rsidR="00990808" w:rsidRPr="00EE49B2" w:rsidRDefault="008C2FD7" w:rsidP="007A49E0">
            <w:pPr>
              <w:pStyle w:val="ListParagraph"/>
              <w:numPr>
                <w:ilvl w:val="0"/>
                <w:numId w:val="30"/>
              </w:numPr>
              <w:spacing w:before="40" w:after="40"/>
              <w:ind w:left="397" w:hanging="340"/>
              <w:jc w:val="left"/>
              <w:rPr>
                <w:sz w:val="20"/>
                <w:szCs w:val="20"/>
                <w:lang w:val="en-GB"/>
              </w:rPr>
            </w:pPr>
            <w:r>
              <w:rPr>
                <w:sz w:val="20"/>
                <w:szCs w:val="20"/>
                <w:lang w:val="en-GB"/>
              </w:rPr>
              <w:t>Representation of results – collected and processed evidence from failures on hydraulic systems.</w:t>
            </w:r>
          </w:p>
        </w:tc>
        <w:tc>
          <w:tcPr>
            <w:tcW w:w="855" w:type="pct"/>
            <w:tcBorders>
              <w:bottom w:val="single" w:sz="4" w:space="0" w:color="auto"/>
            </w:tcBorders>
            <w:vAlign w:val="center"/>
          </w:tcPr>
          <w:p w14:paraId="4F11E44B" w14:textId="24EDB63B" w:rsidR="00990808" w:rsidRPr="00011F74" w:rsidRDefault="008C2FD7" w:rsidP="007A49E0">
            <w:pPr>
              <w:spacing w:before="40" w:after="40"/>
              <w:contextualSpacing/>
              <w:jc w:val="right"/>
              <w:rPr>
                <w:sz w:val="20"/>
                <w:szCs w:val="20"/>
                <w:lang w:val="en-GB"/>
              </w:rPr>
            </w:pPr>
            <w:r>
              <w:rPr>
                <w:sz w:val="20"/>
                <w:szCs w:val="20"/>
                <w:lang w:val="en-GB"/>
              </w:rPr>
              <w:t>Rejecting the hypothesis of contaminant-induced failures.</w:t>
            </w:r>
          </w:p>
        </w:tc>
        <w:tc>
          <w:tcPr>
            <w:tcW w:w="794" w:type="pct"/>
            <w:tcBorders>
              <w:bottom w:val="single" w:sz="4" w:space="0" w:color="auto"/>
            </w:tcBorders>
            <w:vAlign w:val="center"/>
          </w:tcPr>
          <w:p w14:paraId="3932BCC4" w14:textId="7E9254C7" w:rsidR="00990808" w:rsidRPr="00011F74" w:rsidRDefault="008C2FD7" w:rsidP="007A49E0">
            <w:pPr>
              <w:spacing w:before="40" w:after="40"/>
              <w:contextualSpacing/>
              <w:jc w:val="right"/>
              <w:rPr>
                <w:sz w:val="20"/>
                <w:szCs w:val="20"/>
                <w:lang w:val="en-GB"/>
              </w:rPr>
            </w:pPr>
            <w:r>
              <w:rPr>
                <w:sz w:val="20"/>
                <w:szCs w:val="20"/>
                <w:lang w:val="en-GB"/>
              </w:rPr>
              <w:t>Lack of original databases from respondents.</w:t>
            </w:r>
          </w:p>
        </w:tc>
      </w:tr>
      <w:tr w:rsidR="009B6DDF" w:rsidRPr="00011F74" w14:paraId="5737D274" w14:textId="77777777" w:rsidTr="008C2FD7">
        <w:trPr>
          <w:trHeight w:val="433"/>
        </w:trPr>
        <w:tc>
          <w:tcPr>
            <w:tcW w:w="404" w:type="pct"/>
            <w:vMerge w:val="restart"/>
            <w:tcBorders>
              <w:top w:val="single" w:sz="4" w:space="0" w:color="auto"/>
            </w:tcBorders>
            <w:textDirection w:val="btLr"/>
            <w:vAlign w:val="center"/>
          </w:tcPr>
          <w:p w14:paraId="5BA67EAF" w14:textId="0F4863D5" w:rsidR="00990808" w:rsidRPr="000F740D" w:rsidRDefault="00990808" w:rsidP="00505C90">
            <w:pPr>
              <w:spacing w:before="0" w:after="0"/>
              <w:ind w:left="113" w:right="113"/>
              <w:contextualSpacing/>
              <w:jc w:val="center"/>
              <w:rPr>
                <w:b/>
                <w:bCs/>
                <w:sz w:val="20"/>
                <w:szCs w:val="20"/>
                <w:lang w:val="en-GB"/>
              </w:rPr>
            </w:pPr>
            <w:r w:rsidRPr="000F740D">
              <w:rPr>
                <w:b/>
                <w:bCs/>
                <w:sz w:val="20"/>
                <w:szCs w:val="20"/>
                <w:lang w:val="en-GB"/>
              </w:rPr>
              <w:t>Chapter III</w:t>
            </w:r>
          </w:p>
        </w:tc>
        <w:tc>
          <w:tcPr>
            <w:tcW w:w="1119" w:type="pct"/>
            <w:tcBorders>
              <w:top w:val="single" w:sz="4" w:space="0" w:color="auto"/>
            </w:tcBorders>
          </w:tcPr>
          <w:p w14:paraId="1D56E7E0" w14:textId="63957934" w:rsidR="00990808" w:rsidRPr="00011F74" w:rsidRDefault="00990808" w:rsidP="00EE49B2">
            <w:pPr>
              <w:numPr>
                <w:ilvl w:val="0"/>
                <w:numId w:val="10"/>
              </w:numPr>
              <w:spacing w:after="0"/>
              <w:ind w:left="357" w:hanging="357"/>
              <w:jc w:val="left"/>
              <w:rPr>
                <w:sz w:val="20"/>
                <w:szCs w:val="20"/>
                <w:lang w:val="en-GB"/>
              </w:rPr>
            </w:pPr>
            <w:r>
              <w:rPr>
                <w:sz w:val="20"/>
                <w:szCs w:val="20"/>
                <w:lang w:val="en-GB"/>
              </w:rPr>
              <w:t>Experiment</w:t>
            </w:r>
          </w:p>
        </w:tc>
        <w:tc>
          <w:tcPr>
            <w:tcW w:w="1827" w:type="pct"/>
            <w:tcBorders>
              <w:top w:val="single" w:sz="4" w:space="0" w:color="auto"/>
            </w:tcBorders>
            <w:vAlign w:val="center"/>
          </w:tcPr>
          <w:p w14:paraId="2A0A5039" w14:textId="5453103A" w:rsidR="00990808" w:rsidRPr="00EE49B2" w:rsidRDefault="00BC050F" w:rsidP="007A49E0">
            <w:pPr>
              <w:pStyle w:val="ListParagraph"/>
              <w:numPr>
                <w:ilvl w:val="0"/>
                <w:numId w:val="30"/>
              </w:numPr>
              <w:spacing w:before="40" w:after="40"/>
              <w:ind w:left="397" w:hanging="340"/>
              <w:jc w:val="left"/>
              <w:rPr>
                <w:sz w:val="20"/>
                <w:szCs w:val="20"/>
                <w:lang w:val="en-GB"/>
              </w:rPr>
            </w:pPr>
            <w:r>
              <w:rPr>
                <w:sz w:val="20"/>
                <w:szCs w:val="20"/>
                <w:lang w:val="en-GB"/>
              </w:rPr>
              <w:t xml:space="preserve">Explanation of experimental set-up – given the acquired information from </w:t>
            </w:r>
            <w:r w:rsidR="00964279">
              <w:rPr>
                <w:sz w:val="20"/>
                <w:szCs w:val="20"/>
                <w:lang w:val="en-GB"/>
              </w:rPr>
              <w:t xml:space="preserve">the </w:t>
            </w:r>
            <w:r>
              <w:rPr>
                <w:sz w:val="20"/>
                <w:szCs w:val="20"/>
                <w:lang w:val="en-GB"/>
              </w:rPr>
              <w:t>practice.</w:t>
            </w:r>
          </w:p>
        </w:tc>
        <w:tc>
          <w:tcPr>
            <w:tcW w:w="855" w:type="pct"/>
            <w:tcBorders>
              <w:top w:val="single" w:sz="4" w:space="0" w:color="auto"/>
            </w:tcBorders>
            <w:vAlign w:val="center"/>
          </w:tcPr>
          <w:p w14:paraId="533D4E58" w14:textId="3F8530A1" w:rsidR="00990808" w:rsidRPr="00011F74" w:rsidRDefault="00BC050F" w:rsidP="007A49E0">
            <w:pPr>
              <w:spacing w:before="40" w:after="40"/>
              <w:contextualSpacing/>
              <w:jc w:val="right"/>
              <w:rPr>
                <w:sz w:val="20"/>
                <w:szCs w:val="20"/>
                <w:lang w:val="en-GB"/>
              </w:rPr>
            </w:pPr>
            <w:r>
              <w:rPr>
                <w:sz w:val="20"/>
                <w:szCs w:val="20"/>
                <w:lang w:val="en-GB"/>
              </w:rPr>
              <w:t xml:space="preserve">Data processing </w:t>
            </w:r>
            <w:r w:rsidR="00B1089E">
              <w:rPr>
                <w:sz w:val="20"/>
                <w:szCs w:val="20"/>
                <w:lang w:val="en-GB"/>
              </w:rPr>
              <w:t>with</w:t>
            </w:r>
            <w:r>
              <w:rPr>
                <w:sz w:val="20"/>
                <w:szCs w:val="20"/>
                <w:lang w:val="en-GB"/>
              </w:rPr>
              <w:t xml:space="preserve"> implement maint. policy.</w:t>
            </w:r>
          </w:p>
        </w:tc>
        <w:tc>
          <w:tcPr>
            <w:tcW w:w="794" w:type="pct"/>
            <w:tcBorders>
              <w:top w:val="single" w:sz="4" w:space="0" w:color="auto"/>
            </w:tcBorders>
            <w:vAlign w:val="center"/>
          </w:tcPr>
          <w:p w14:paraId="68B457FF" w14:textId="79E0478D" w:rsidR="00990808" w:rsidRPr="00011F74" w:rsidRDefault="00BC050F" w:rsidP="007A49E0">
            <w:pPr>
              <w:spacing w:before="40" w:after="40"/>
              <w:contextualSpacing/>
              <w:jc w:val="right"/>
              <w:rPr>
                <w:sz w:val="20"/>
                <w:szCs w:val="20"/>
                <w:lang w:val="en-GB"/>
              </w:rPr>
            </w:pPr>
            <w:r>
              <w:rPr>
                <w:sz w:val="20"/>
                <w:szCs w:val="20"/>
                <w:lang w:val="en-GB"/>
              </w:rPr>
              <w:t>“In vivo” machine process.</w:t>
            </w:r>
          </w:p>
        </w:tc>
      </w:tr>
      <w:tr w:rsidR="009B6DDF" w:rsidRPr="00011F74" w14:paraId="40482F93" w14:textId="77777777" w:rsidTr="008C2FD7">
        <w:trPr>
          <w:trHeight w:val="433"/>
        </w:trPr>
        <w:tc>
          <w:tcPr>
            <w:tcW w:w="404" w:type="pct"/>
            <w:vMerge/>
            <w:vAlign w:val="center"/>
          </w:tcPr>
          <w:p w14:paraId="13918515" w14:textId="77777777" w:rsidR="00990808" w:rsidRPr="000F740D" w:rsidRDefault="00990808" w:rsidP="00505C90">
            <w:pPr>
              <w:spacing w:before="0" w:after="0"/>
              <w:contextualSpacing/>
              <w:jc w:val="center"/>
              <w:rPr>
                <w:b/>
                <w:bCs/>
                <w:sz w:val="20"/>
                <w:szCs w:val="20"/>
                <w:lang w:val="en-GB"/>
              </w:rPr>
            </w:pPr>
          </w:p>
        </w:tc>
        <w:tc>
          <w:tcPr>
            <w:tcW w:w="1119" w:type="pct"/>
          </w:tcPr>
          <w:p w14:paraId="50AB4168" w14:textId="5CE9BFA8" w:rsidR="00990808" w:rsidRPr="00011F74" w:rsidRDefault="00990808" w:rsidP="00EE49B2">
            <w:pPr>
              <w:numPr>
                <w:ilvl w:val="0"/>
                <w:numId w:val="10"/>
              </w:numPr>
              <w:spacing w:after="0"/>
              <w:ind w:left="357" w:hanging="357"/>
              <w:jc w:val="left"/>
              <w:rPr>
                <w:sz w:val="20"/>
                <w:szCs w:val="20"/>
                <w:lang w:val="en-GB"/>
              </w:rPr>
            </w:pPr>
            <w:r>
              <w:rPr>
                <w:sz w:val="20"/>
                <w:szCs w:val="20"/>
                <w:lang w:val="en-GB"/>
              </w:rPr>
              <w:t>Data processing</w:t>
            </w:r>
          </w:p>
        </w:tc>
        <w:tc>
          <w:tcPr>
            <w:tcW w:w="1827" w:type="pct"/>
            <w:vAlign w:val="center"/>
          </w:tcPr>
          <w:p w14:paraId="54F91742" w14:textId="124F5636" w:rsidR="00990808" w:rsidRPr="00BC050F" w:rsidRDefault="00062B60" w:rsidP="00BC050F">
            <w:pPr>
              <w:pStyle w:val="ListParagraph"/>
              <w:numPr>
                <w:ilvl w:val="0"/>
                <w:numId w:val="30"/>
              </w:numPr>
              <w:spacing w:before="40" w:after="40"/>
              <w:ind w:left="397" w:hanging="340"/>
              <w:jc w:val="left"/>
              <w:rPr>
                <w:sz w:val="20"/>
                <w:szCs w:val="20"/>
                <w:lang w:val="en-GB"/>
              </w:rPr>
            </w:pPr>
            <w:r>
              <w:rPr>
                <w:sz w:val="20"/>
                <w:szCs w:val="20"/>
                <w:lang w:val="en-GB"/>
              </w:rPr>
              <w:t xml:space="preserve">Explanation of pre-processing and filtering of data. </w:t>
            </w:r>
            <w:r w:rsidR="00B1089E">
              <w:rPr>
                <w:sz w:val="20"/>
                <w:szCs w:val="20"/>
                <w:lang w:val="en-GB"/>
              </w:rPr>
              <w:t>Setting functional-productivity</w:t>
            </w:r>
            <w:r>
              <w:rPr>
                <w:sz w:val="20"/>
                <w:szCs w:val="20"/>
                <w:lang w:val="en-GB"/>
              </w:rPr>
              <w:t xml:space="preserve"> markers</w:t>
            </w:r>
            <w:r w:rsidR="00B1089E">
              <w:rPr>
                <w:sz w:val="20"/>
                <w:szCs w:val="20"/>
                <w:lang w:val="en-GB"/>
              </w:rPr>
              <w:t>.</w:t>
            </w:r>
          </w:p>
        </w:tc>
        <w:tc>
          <w:tcPr>
            <w:tcW w:w="855" w:type="pct"/>
            <w:vAlign w:val="center"/>
          </w:tcPr>
          <w:p w14:paraId="269CF312" w14:textId="3EA61876" w:rsidR="00990808" w:rsidRPr="00011F74" w:rsidRDefault="00062B60" w:rsidP="007A49E0">
            <w:pPr>
              <w:spacing w:before="40" w:after="40"/>
              <w:contextualSpacing/>
              <w:jc w:val="right"/>
              <w:rPr>
                <w:sz w:val="20"/>
                <w:szCs w:val="20"/>
                <w:lang w:val="en-GB"/>
              </w:rPr>
            </w:pPr>
            <w:r>
              <w:rPr>
                <w:sz w:val="20"/>
                <w:szCs w:val="20"/>
                <w:lang w:val="en-GB"/>
              </w:rPr>
              <w:t>Data exploration via unsupervised learning models.</w:t>
            </w:r>
          </w:p>
        </w:tc>
        <w:tc>
          <w:tcPr>
            <w:tcW w:w="794" w:type="pct"/>
            <w:vAlign w:val="center"/>
          </w:tcPr>
          <w:p w14:paraId="72FE2F11" w14:textId="2C25EF20" w:rsidR="00990808" w:rsidRPr="00011F74" w:rsidRDefault="00062B60" w:rsidP="007A49E0">
            <w:pPr>
              <w:spacing w:before="40" w:after="40"/>
              <w:contextualSpacing/>
              <w:jc w:val="right"/>
              <w:rPr>
                <w:sz w:val="20"/>
                <w:szCs w:val="20"/>
                <w:lang w:val="en-GB"/>
              </w:rPr>
            </w:pPr>
            <w:r>
              <w:rPr>
                <w:sz w:val="20"/>
                <w:szCs w:val="20"/>
                <w:lang w:val="en-GB"/>
              </w:rPr>
              <w:t>Missing data for association rules.</w:t>
            </w:r>
          </w:p>
        </w:tc>
      </w:tr>
      <w:tr w:rsidR="009B6DDF" w:rsidRPr="00011F74" w14:paraId="03AC9386" w14:textId="77777777" w:rsidTr="008C2FD7">
        <w:trPr>
          <w:trHeight w:val="433"/>
        </w:trPr>
        <w:tc>
          <w:tcPr>
            <w:tcW w:w="404" w:type="pct"/>
            <w:vMerge/>
            <w:vAlign w:val="center"/>
          </w:tcPr>
          <w:p w14:paraId="3746545D" w14:textId="77777777" w:rsidR="00990808" w:rsidRPr="000F740D" w:rsidRDefault="00990808" w:rsidP="00505C90">
            <w:pPr>
              <w:spacing w:before="0" w:after="0"/>
              <w:contextualSpacing/>
              <w:jc w:val="center"/>
              <w:rPr>
                <w:b/>
                <w:bCs/>
                <w:sz w:val="20"/>
                <w:szCs w:val="20"/>
                <w:lang w:val="en-GB"/>
              </w:rPr>
            </w:pPr>
          </w:p>
        </w:tc>
        <w:tc>
          <w:tcPr>
            <w:tcW w:w="1119" w:type="pct"/>
          </w:tcPr>
          <w:p w14:paraId="201F3AF8" w14:textId="3C1EE9C2" w:rsidR="00990808" w:rsidRDefault="00990808" w:rsidP="00EE49B2">
            <w:pPr>
              <w:numPr>
                <w:ilvl w:val="0"/>
                <w:numId w:val="10"/>
              </w:numPr>
              <w:spacing w:after="0"/>
              <w:ind w:left="357" w:hanging="357"/>
              <w:jc w:val="left"/>
              <w:rPr>
                <w:sz w:val="20"/>
                <w:szCs w:val="20"/>
                <w:lang w:val="en-GB"/>
              </w:rPr>
            </w:pPr>
            <w:r>
              <w:rPr>
                <w:sz w:val="20"/>
                <w:szCs w:val="20"/>
                <w:lang w:val="en-GB"/>
              </w:rPr>
              <w:t>ML models</w:t>
            </w:r>
          </w:p>
        </w:tc>
        <w:tc>
          <w:tcPr>
            <w:tcW w:w="1827" w:type="pct"/>
            <w:vAlign w:val="center"/>
          </w:tcPr>
          <w:p w14:paraId="692604FF" w14:textId="6639EED6" w:rsidR="00990808" w:rsidRPr="00F33DF5" w:rsidRDefault="00642718" w:rsidP="00F33DF5">
            <w:pPr>
              <w:pStyle w:val="ListParagraph"/>
              <w:numPr>
                <w:ilvl w:val="0"/>
                <w:numId w:val="30"/>
              </w:numPr>
              <w:spacing w:before="40" w:after="40"/>
              <w:ind w:left="397" w:hanging="340"/>
              <w:jc w:val="left"/>
              <w:rPr>
                <w:sz w:val="20"/>
                <w:szCs w:val="20"/>
                <w:lang w:val="en-GB"/>
              </w:rPr>
            </w:pPr>
            <w:r>
              <w:rPr>
                <w:sz w:val="20"/>
                <w:szCs w:val="20"/>
                <w:lang w:val="en-GB"/>
              </w:rPr>
              <w:t>Explanation of individual candidate models and applicability of markers for supervised learning with classification results.</w:t>
            </w:r>
          </w:p>
        </w:tc>
        <w:tc>
          <w:tcPr>
            <w:tcW w:w="855" w:type="pct"/>
            <w:vAlign w:val="center"/>
          </w:tcPr>
          <w:p w14:paraId="7202AEC5" w14:textId="08AB0786" w:rsidR="00990808" w:rsidRPr="00011F74" w:rsidRDefault="00642718" w:rsidP="007A49E0">
            <w:pPr>
              <w:spacing w:before="40" w:after="40"/>
              <w:contextualSpacing/>
              <w:jc w:val="right"/>
              <w:rPr>
                <w:sz w:val="20"/>
                <w:szCs w:val="20"/>
                <w:lang w:val="en-GB"/>
              </w:rPr>
            </w:pPr>
            <w:r>
              <w:rPr>
                <w:sz w:val="20"/>
                <w:szCs w:val="20"/>
                <w:lang w:val="en-GB"/>
              </w:rPr>
              <w:t>Setting parameters for improving accuracy.</w:t>
            </w:r>
          </w:p>
        </w:tc>
        <w:tc>
          <w:tcPr>
            <w:tcW w:w="794" w:type="pct"/>
            <w:vAlign w:val="center"/>
          </w:tcPr>
          <w:p w14:paraId="729AA0B9" w14:textId="244C521C" w:rsidR="00990808" w:rsidRPr="00011F74" w:rsidRDefault="00642718" w:rsidP="007A49E0">
            <w:pPr>
              <w:spacing w:before="40" w:after="40"/>
              <w:contextualSpacing/>
              <w:jc w:val="right"/>
              <w:rPr>
                <w:sz w:val="20"/>
                <w:szCs w:val="20"/>
                <w:lang w:val="en-GB"/>
              </w:rPr>
            </w:pPr>
            <w:r>
              <w:rPr>
                <w:sz w:val="20"/>
                <w:szCs w:val="20"/>
                <w:lang w:val="en-GB"/>
              </w:rPr>
              <w:t>Lack of algorithms (e.g., random forest).</w:t>
            </w:r>
          </w:p>
        </w:tc>
      </w:tr>
      <w:tr w:rsidR="009B6DDF" w:rsidRPr="00011F74" w14:paraId="534D11F9" w14:textId="77777777" w:rsidTr="008C2FD7">
        <w:trPr>
          <w:trHeight w:val="433"/>
        </w:trPr>
        <w:tc>
          <w:tcPr>
            <w:tcW w:w="404" w:type="pct"/>
            <w:vMerge/>
            <w:tcBorders>
              <w:bottom w:val="single" w:sz="4" w:space="0" w:color="auto"/>
            </w:tcBorders>
            <w:vAlign w:val="center"/>
          </w:tcPr>
          <w:p w14:paraId="2C55EBC7" w14:textId="77777777" w:rsidR="00990808" w:rsidRPr="000F740D" w:rsidRDefault="00990808" w:rsidP="00505C90">
            <w:pPr>
              <w:spacing w:before="0" w:after="0"/>
              <w:contextualSpacing/>
              <w:jc w:val="center"/>
              <w:rPr>
                <w:b/>
                <w:bCs/>
                <w:sz w:val="20"/>
                <w:szCs w:val="20"/>
                <w:lang w:val="en-GB"/>
              </w:rPr>
            </w:pPr>
          </w:p>
        </w:tc>
        <w:tc>
          <w:tcPr>
            <w:tcW w:w="1119" w:type="pct"/>
            <w:tcBorders>
              <w:bottom w:val="single" w:sz="4" w:space="0" w:color="auto"/>
            </w:tcBorders>
          </w:tcPr>
          <w:p w14:paraId="7742EECE" w14:textId="0C92A19D" w:rsidR="00990808" w:rsidRPr="00011F74" w:rsidRDefault="00990808" w:rsidP="00EE49B2">
            <w:pPr>
              <w:numPr>
                <w:ilvl w:val="0"/>
                <w:numId w:val="10"/>
              </w:numPr>
              <w:spacing w:after="0"/>
              <w:ind w:left="357" w:hanging="357"/>
              <w:jc w:val="left"/>
              <w:rPr>
                <w:sz w:val="20"/>
                <w:szCs w:val="20"/>
                <w:lang w:val="en-GB"/>
              </w:rPr>
            </w:pPr>
            <w:r>
              <w:rPr>
                <w:sz w:val="20"/>
                <w:szCs w:val="20"/>
                <w:lang w:val="en-GB"/>
              </w:rPr>
              <w:t xml:space="preserve">Reliability </w:t>
            </w:r>
            <w:r w:rsidR="00534AA6">
              <w:rPr>
                <w:sz w:val="20"/>
                <w:szCs w:val="20"/>
                <w:lang w:val="en-GB"/>
              </w:rPr>
              <w:t>analysis</w:t>
            </w:r>
          </w:p>
        </w:tc>
        <w:tc>
          <w:tcPr>
            <w:tcW w:w="1827" w:type="pct"/>
            <w:tcBorders>
              <w:bottom w:val="single" w:sz="4" w:space="0" w:color="auto"/>
            </w:tcBorders>
            <w:vAlign w:val="center"/>
          </w:tcPr>
          <w:p w14:paraId="5DD059E8" w14:textId="5F753986" w:rsidR="00990808" w:rsidRPr="00642718" w:rsidRDefault="00964279" w:rsidP="00642718">
            <w:pPr>
              <w:pStyle w:val="ListParagraph"/>
              <w:numPr>
                <w:ilvl w:val="0"/>
                <w:numId w:val="30"/>
              </w:numPr>
              <w:spacing w:before="40" w:after="40"/>
              <w:ind w:left="397" w:hanging="340"/>
              <w:jc w:val="left"/>
              <w:rPr>
                <w:sz w:val="20"/>
                <w:szCs w:val="20"/>
                <w:lang w:val="en-GB"/>
              </w:rPr>
            </w:pPr>
            <w:r>
              <w:rPr>
                <w:sz w:val="20"/>
                <w:szCs w:val="20"/>
                <w:lang w:val="en-GB"/>
              </w:rPr>
              <w:t>Optimisation of maintenance practice through reliability theory.</w:t>
            </w:r>
          </w:p>
        </w:tc>
        <w:tc>
          <w:tcPr>
            <w:tcW w:w="855" w:type="pct"/>
            <w:tcBorders>
              <w:bottom w:val="single" w:sz="4" w:space="0" w:color="auto"/>
            </w:tcBorders>
            <w:vAlign w:val="center"/>
          </w:tcPr>
          <w:p w14:paraId="6B50B5AC" w14:textId="4529C00E" w:rsidR="00990808" w:rsidRPr="00011F74" w:rsidRDefault="00964279" w:rsidP="007A49E0">
            <w:pPr>
              <w:spacing w:before="40" w:after="40"/>
              <w:contextualSpacing/>
              <w:jc w:val="right"/>
              <w:rPr>
                <w:sz w:val="20"/>
                <w:szCs w:val="20"/>
                <w:lang w:val="en-GB"/>
              </w:rPr>
            </w:pPr>
            <w:r>
              <w:rPr>
                <w:sz w:val="20"/>
                <w:szCs w:val="20"/>
                <w:lang w:val="en-GB"/>
              </w:rPr>
              <w:t>Improving maintenance decision-making.</w:t>
            </w:r>
          </w:p>
        </w:tc>
        <w:tc>
          <w:tcPr>
            <w:tcW w:w="794" w:type="pct"/>
            <w:tcBorders>
              <w:bottom w:val="single" w:sz="4" w:space="0" w:color="auto"/>
            </w:tcBorders>
            <w:vAlign w:val="center"/>
          </w:tcPr>
          <w:p w14:paraId="1D1609E7" w14:textId="6EB38AD2" w:rsidR="00990808" w:rsidRPr="00011F74" w:rsidRDefault="00964279" w:rsidP="007A49E0">
            <w:pPr>
              <w:spacing w:before="40" w:after="40"/>
              <w:contextualSpacing/>
              <w:jc w:val="right"/>
              <w:rPr>
                <w:sz w:val="20"/>
                <w:szCs w:val="20"/>
                <w:lang w:val="en-GB"/>
              </w:rPr>
            </w:pPr>
            <w:r>
              <w:rPr>
                <w:sz w:val="20"/>
                <w:szCs w:val="20"/>
                <w:lang w:val="en-GB"/>
              </w:rPr>
              <w:t>Lack of empirical evidence.</w:t>
            </w:r>
          </w:p>
        </w:tc>
      </w:tr>
      <w:tr w:rsidR="009B6DDF" w:rsidRPr="00011F74" w14:paraId="29C24221" w14:textId="77777777" w:rsidTr="008C2FD7">
        <w:trPr>
          <w:trHeight w:val="433"/>
        </w:trPr>
        <w:tc>
          <w:tcPr>
            <w:tcW w:w="404" w:type="pct"/>
            <w:vMerge w:val="restart"/>
            <w:tcBorders>
              <w:top w:val="single" w:sz="4" w:space="0" w:color="auto"/>
            </w:tcBorders>
            <w:textDirection w:val="btLr"/>
            <w:vAlign w:val="center"/>
          </w:tcPr>
          <w:p w14:paraId="4EB770EC" w14:textId="1B96AD02" w:rsidR="00990808" w:rsidRPr="000F740D" w:rsidRDefault="00990808" w:rsidP="00505C90">
            <w:pPr>
              <w:spacing w:before="0" w:after="0"/>
              <w:ind w:left="113" w:right="113"/>
              <w:contextualSpacing/>
              <w:jc w:val="center"/>
              <w:rPr>
                <w:b/>
                <w:bCs/>
                <w:sz w:val="20"/>
                <w:szCs w:val="20"/>
                <w:lang w:val="en-GB"/>
              </w:rPr>
            </w:pPr>
            <w:r w:rsidRPr="000F740D">
              <w:rPr>
                <w:b/>
                <w:bCs/>
                <w:sz w:val="20"/>
                <w:szCs w:val="20"/>
                <w:lang w:val="en-GB"/>
              </w:rPr>
              <w:t>Chapter IV</w:t>
            </w:r>
          </w:p>
        </w:tc>
        <w:tc>
          <w:tcPr>
            <w:tcW w:w="1119" w:type="pct"/>
            <w:tcBorders>
              <w:top w:val="single" w:sz="4" w:space="0" w:color="auto"/>
            </w:tcBorders>
          </w:tcPr>
          <w:p w14:paraId="6E73E40D" w14:textId="4EEC327E" w:rsidR="00990808" w:rsidRPr="00011F74" w:rsidRDefault="00990808" w:rsidP="00EE49B2">
            <w:pPr>
              <w:numPr>
                <w:ilvl w:val="0"/>
                <w:numId w:val="10"/>
              </w:numPr>
              <w:spacing w:after="0"/>
              <w:ind w:left="357" w:hanging="357"/>
              <w:jc w:val="left"/>
              <w:rPr>
                <w:sz w:val="20"/>
                <w:szCs w:val="20"/>
                <w:lang w:val="en-GB"/>
              </w:rPr>
            </w:pPr>
            <w:r>
              <w:rPr>
                <w:sz w:val="20"/>
                <w:szCs w:val="20"/>
                <w:lang w:val="en-GB"/>
              </w:rPr>
              <w:t>Discussion</w:t>
            </w:r>
          </w:p>
        </w:tc>
        <w:tc>
          <w:tcPr>
            <w:tcW w:w="1827" w:type="pct"/>
            <w:tcBorders>
              <w:top w:val="single" w:sz="4" w:space="0" w:color="auto"/>
            </w:tcBorders>
            <w:vAlign w:val="center"/>
          </w:tcPr>
          <w:p w14:paraId="6F00AA26" w14:textId="44A98777" w:rsidR="00990808" w:rsidRPr="007A49E0" w:rsidRDefault="007A49E0" w:rsidP="007A49E0">
            <w:pPr>
              <w:pStyle w:val="ListParagraph"/>
              <w:numPr>
                <w:ilvl w:val="0"/>
                <w:numId w:val="30"/>
              </w:numPr>
              <w:spacing w:before="40" w:after="40"/>
              <w:ind w:left="397" w:hanging="340"/>
              <w:jc w:val="left"/>
              <w:rPr>
                <w:sz w:val="20"/>
                <w:szCs w:val="20"/>
                <w:lang w:val="en-GB"/>
              </w:rPr>
            </w:pPr>
            <w:r w:rsidRPr="007A49E0">
              <w:rPr>
                <w:sz w:val="20"/>
                <w:szCs w:val="20"/>
                <w:lang w:val="en-GB"/>
              </w:rPr>
              <w:t xml:space="preserve">Explanatory remarks regarding </w:t>
            </w:r>
            <w:r>
              <w:rPr>
                <w:sz w:val="20"/>
                <w:szCs w:val="20"/>
                <w:lang w:val="en-GB"/>
              </w:rPr>
              <w:t xml:space="preserve">the </w:t>
            </w:r>
            <w:r w:rsidRPr="007A49E0">
              <w:rPr>
                <w:sz w:val="20"/>
                <w:szCs w:val="20"/>
                <w:lang w:val="en-GB"/>
              </w:rPr>
              <w:t>current state of energy-dedicated literature through</w:t>
            </w:r>
            <w:r w:rsidR="00964279">
              <w:rPr>
                <w:sz w:val="20"/>
                <w:szCs w:val="20"/>
                <w:lang w:val="en-GB"/>
              </w:rPr>
              <w:t xml:space="preserve"> projects, practice, literature and experiment.</w:t>
            </w:r>
          </w:p>
        </w:tc>
        <w:tc>
          <w:tcPr>
            <w:tcW w:w="855" w:type="pct"/>
            <w:tcBorders>
              <w:top w:val="single" w:sz="4" w:space="0" w:color="auto"/>
            </w:tcBorders>
            <w:vAlign w:val="center"/>
          </w:tcPr>
          <w:p w14:paraId="6EBEE55F" w14:textId="22B3C13E" w:rsidR="00990808" w:rsidRPr="00011F74" w:rsidRDefault="00581E0E" w:rsidP="007A49E0">
            <w:pPr>
              <w:spacing w:before="40" w:after="40"/>
              <w:contextualSpacing/>
              <w:jc w:val="right"/>
              <w:rPr>
                <w:sz w:val="20"/>
                <w:szCs w:val="20"/>
                <w:lang w:val="en-GB"/>
              </w:rPr>
            </w:pPr>
            <w:r>
              <w:rPr>
                <w:sz w:val="20"/>
                <w:szCs w:val="20"/>
                <w:lang w:val="en-GB"/>
              </w:rPr>
              <w:t>Differentiating between layers of CM applicability.</w:t>
            </w:r>
          </w:p>
        </w:tc>
        <w:tc>
          <w:tcPr>
            <w:tcW w:w="794" w:type="pct"/>
            <w:tcBorders>
              <w:top w:val="single" w:sz="4" w:space="0" w:color="auto"/>
            </w:tcBorders>
            <w:vAlign w:val="center"/>
          </w:tcPr>
          <w:p w14:paraId="078C7582" w14:textId="04E7E71E" w:rsidR="00990808" w:rsidRPr="00011F74" w:rsidRDefault="009B6DDF" w:rsidP="007A49E0">
            <w:pPr>
              <w:spacing w:before="40" w:after="40"/>
              <w:contextualSpacing/>
              <w:jc w:val="right"/>
              <w:rPr>
                <w:sz w:val="20"/>
                <w:szCs w:val="20"/>
                <w:lang w:val="en-GB"/>
              </w:rPr>
            </w:pPr>
            <w:r>
              <w:rPr>
                <w:sz w:val="20"/>
                <w:szCs w:val="20"/>
                <w:lang w:val="en-GB"/>
              </w:rPr>
              <w:t>Lack of energy-dedicated research studies.</w:t>
            </w:r>
          </w:p>
        </w:tc>
      </w:tr>
      <w:tr w:rsidR="009B6DDF" w:rsidRPr="00011F74" w14:paraId="74450A8F" w14:textId="77777777" w:rsidTr="008C2FD7">
        <w:trPr>
          <w:trHeight w:val="433"/>
        </w:trPr>
        <w:tc>
          <w:tcPr>
            <w:tcW w:w="404" w:type="pct"/>
            <w:vMerge/>
            <w:vAlign w:val="center"/>
          </w:tcPr>
          <w:p w14:paraId="1C6FBD96" w14:textId="77777777" w:rsidR="00990808" w:rsidRPr="00011F74" w:rsidRDefault="00990808" w:rsidP="00505C90">
            <w:pPr>
              <w:spacing w:before="0" w:after="0"/>
              <w:contextualSpacing/>
              <w:jc w:val="center"/>
              <w:rPr>
                <w:sz w:val="20"/>
                <w:szCs w:val="20"/>
                <w:lang w:val="en-GB"/>
              </w:rPr>
            </w:pPr>
          </w:p>
        </w:tc>
        <w:tc>
          <w:tcPr>
            <w:tcW w:w="1119" w:type="pct"/>
          </w:tcPr>
          <w:p w14:paraId="05C8F5EB" w14:textId="4E1E7F7C" w:rsidR="00990808" w:rsidRPr="00011F74" w:rsidRDefault="00990808" w:rsidP="00EE49B2">
            <w:pPr>
              <w:numPr>
                <w:ilvl w:val="0"/>
                <w:numId w:val="10"/>
              </w:numPr>
              <w:spacing w:after="0"/>
              <w:ind w:left="357" w:hanging="357"/>
              <w:jc w:val="left"/>
              <w:rPr>
                <w:sz w:val="20"/>
                <w:szCs w:val="20"/>
                <w:lang w:val="en-GB"/>
              </w:rPr>
            </w:pPr>
            <w:r>
              <w:rPr>
                <w:sz w:val="20"/>
                <w:szCs w:val="20"/>
                <w:lang w:val="en-GB"/>
              </w:rPr>
              <w:t>Conclusion</w:t>
            </w:r>
          </w:p>
        </w:tc>
        <w:tc>
          <w:tcPr>
            <w:tcW w:w="1827" w:type="pct"/>
            <w:vAlign w:val="center"/>
          </w:tcPr>
          <w:p w14:paraId="098EE45C" w14:textId="45804601" w:rsidR="00990808" w:rsidRPr="00964279" w:rsidRDefault="002B1BA1" w:rsidP="00964279">
            <w:pPr>
              <w:pStyle w:val="ListParagraph"/>
              <w:numPr>
                <w:ilvl w:val="0"/>
                <w:numId w:val="30"/>
              </w:numPr>
              <w:spacing w:before="40" w:after="40"/>
              <w:ind w:left="397" w:hanging="340"/>
              <w:jc w:val="left"/>
              <w:rPr>
                <w:sz w:val="20"/>
                <w:szCs w:val="20"/>
                <w:lang w:val="en-GB"/>
              </w:rPr>
            </w:pPr>
            <w:r>
              <w:rPr>
                <w:sz w:val="20"/>
                <w:szCs w:val="20"/>
                <w:lang w:val="en-GB"/>
              </w:rPr>
              <w:t>General thesis overview. Contributions to the literature. Implications of</w:t>
            </w:r>
            <w:r w:rsidR="00B7149C">
              <w:rPr>
                <w:sz w:val="20"/>
                <w:szCs w:val="20"/>
                <w:lang w:val="en-GB"/>
              </w:rPr>
              <w:t xml:space="preserve"> the</w:t>
            </w:r>
            <w:r>
              <w:rPr>
                <w:sz w:val="20"/>
                <w:szCs w:val="20"/>
                <w:lang w:val="en-GB"/>
              </w:rPr>
              <w:t xml:space="preserve"> </w:t>
            </w:r>
            <w:r w:rsidR="00B7149C">
              <w:rPr>
                <w:sz w:val="20"/>
                <w:szCs w:val="20"/>
                <w:lang w:val="en-GB"/>
              </w:rPr>
              <w:t>proposed idea.</w:t>
            </w:r>
          </w:p>
        </w:tc>
        <w:tc>
          <w:tcPr>
            <w:tcW w:w="855" w:type="pct"/>
            <w:vAlign w:val="center"/>
          </w:tcPr>
          <w:p w14:paraId="67101232" w14:textId="37B1288E" w:rsidR="00990808" w:rsidRPr="00011F74" w:rsidRDefault="00B7149C" w:rsidP="007A49E0">
            <w:pPr>
              <w:spacing w:before="40" w:after="40"/>
              <w:contextualSpacing/>
              <w:jc w:val="right"/>
              <w:rPr>
                <w:sz w:val="20"/>
                <w:szCs w:val="20"/>
                <w:lang w:val="en-GB"/>
              </w:rPr>
            </w:pPr>
            <w:r>
              <w:rPr>
                <w:sz w:val="20"/>
                <w:szCs w:val="20"/>
                <w:lang w:val="en-GB"/>
              </w:rPr>
              <w:t>Opportunities in diagnostics and prognostics.</w:t>
            </w:r>
          </w:p>
        </w:tc>
        <w:tc>
          <w:tcPr>
            <w:tcW w:w="794" w:type="pct"/>
            <w:vAlign w:val="center"/>
          </w:tcPr>
          <w:p w14:paraId="49DB4270" w14:textId="103ABE23" w:rsidR="00990808" w:rsidRPr="00011F74" w:rsidRDefault="00B7149C" w:rsidP="007A49E0">
            <w:pPr>
              <w:spacing w:before="40" w:after="40"/>
              <w:contextualSpacing/>
              <w:jc w:val="right"/>
              <w:rPr>
                <w:sz w:val="20"/>
                <w:szCs w:val="20"/>
                <w:lang w:val="en-GB"/>
              </w:rPr>
            </w:pPr>
            <w:r>
              <w:rPr>
                <w:sz w:val="20"/>
                <w:szCs w:val="20"/>
                <w:lang w:val="en-GB"/>
              </w:rPr>
              <w:t>Big data analytics and sensitivity of instruments.</w:t>
            </w:r>
          </w:p>
        </w:tc>
      </w:tr>
      <w:tr w:rsidR="009B6DDF" w:rsidRPr="00011F74" w14:paraId="0FC84D77" w14:textId="77777777" w:rsidTr="008C2FD7">
        <w:trPr>
          <w:trHeight w:val="433"/>
        </w:trPr>
        <w:tc>
          <w:tcPr>
            <w:tcW w:w="404" w:type="pct"/>
            <w:vMerge/>
            <w:tcBorders>
              <w:bottom w:val="single" w:sz="4" w:space="0" w:color="auto"/>
            </w:tcBorders>
            <w:vAlign w:val="center"/>
          </w:tcPr>
          <w:p w14:paraId="17B308F6" w14:textId="77777777" w:rsidR="00990808" w:rsidRPr="00011F74" w:rsidRDefault="00990808" w:rsidP="00505C90">
            <w:pPr>
              <w:spacing w:before="0" w:after="0"/>
              <w:contextualSpacing/>
              <w:jc w:val="center"/>
              <w:rPr>
                <w:sz w:val="20"/>
                <w:szCs w:val="20"/>
                <w:lang w:val="en-GB"/>
              </w:rPr>
            </w:pPr>
          </w:p>
        </w:tc>
        <w:tc>
          <w:tcPr>
            <w:tcW w:w="1119" w:type="pct"/>
            <w:tcBorders>
              <w:bottom w:val="single" w:sz="4" w:space="0" w:color="auto"/>
            </w:tcBorders>
          </w:tcPr>
          <w:p w14:paraId="4A6B8654" w14:textId="6028BA58" w:rsidR="00990808" w:rsidRPr="00011F74" w:rsidRDefault="00990808" w:rsidP="00EE49B2">
            <w:pPr>
              <w:numPr>
                <w:ilvl w:val="0"/>
                <w:numId w:val="10"/>
              </w:numPr>
              <w:spacing w:after="0"/>
              <w:ind w:left="357" w:hanging="357"/>
              <w:jc w:val="left"/>
              <w:rPr>
                <w:sz w:val="20"/>
                <w:szCs w:val="20"/>
                <w:lang w:val="en-GB"/>
              </w:rPr>
            </w:pPr>
            <w:r>
              <w:rPr>
                <w:sz w:val="20"/>
                <w:szCs w:val="20"/>
                <w:lang w:val="en-GB"/>
              </w:rPr>
              <w:t>Future research</w:t>
            </w:r>
          </w:p>
        </w:tc>
        <w:tc>
          <w:tcPr>
            <w:tcW w:w="1827" w:type="pct"/>
            <w:tcBorders>
              <w:bottom w:val="single" w:sz="4" w:space="0" w:color="auto"/>
            </w:tcBorders>
            <w:vAlign w:val="center"/>
          </w:tcPr>
          <w:p w14:paraId="1A0D30DD" w14:textId="77A3BEB5" w:rsidR="00990808" w:rsidRPr="00964279" w:rsidRDefault="002B1BA1" w:rsidP="00964279">
            <w:pPr>
              <w:pStyle w:val="ListParagraph"/>
              <w:numPr>
                <w:ilvl w:val="0"/>
                <w:numId w:val="30"/>
              </w:numPr>
              <w:spacing w:before="40" w:after="40"/>
              <w:ind w:left="397" w:hanging="340"/>
              <w:jc w:val="left"/>
              <w:rPr>
                <w:sz w:val="20"/>
                <w:szCs w:val="20"/>
                <w:lang w:val="en-GB"/>
              </w:rPr>
            </w:pPr>
            <w:r>
              <w:rPr>
                <w:sz w:val="20"/>
                <w:szCs w:val="20"/>
                <w:lang w:val="en-GB"/>
              </w:rPr>
              <w:t>Future research studies and research interest. Main limitations and setbacks of the proposed solutions.</w:t>
            </w:r>
          </w:p>
        </w:tc>
        <w:tc>
          <w:tcPr>
            <w:tcW w:w="855" w:type="pct"/>
            <w:tcBorders>
              <w:bottom w:val="single" w:sz="4" w:space="0" w:color="auto"/>
            </w:tcBorders>
            <w:vAlign w:val="center"/>
          </w:tcPr>
          <w:p w14:paraId="721DC952" w14:textId="47F9F128" w:rsidR="00990808" w:rsidRPr="00011F74" w:rsidRDefault="00B7149C" w:rsidP="007A49E0">
            <w:pPr>
              <w:spacing w:before="40" w:after="40"/>
              <w:contextualSpacing/>
              <w:jc w:val="right"/>
              <w:rPr>
                <w:sz w:val="20"/>
                <w:szCs w:val="20"/>
                <w:lang w:val="en-GB"/>
              </w:rPr>
            </w:pPr>
            <w:r>
              <w:rPr>
                <w:sz w:val="20"/>
                <w:szCs w:val="20"/>
                <w:lang w:val="en-GB"/>
              </w:rPr>
              <w:t>New research directions with unsupervised learning.</w:t>
            </w:r>
          </w:p>
        </w:tc>
        <w:tc>
          <w:tcPr>
            <w:tcW w:w="794" w:type="pct"/>
            <w:tcBorders>
              <w:bottom w:val="single" w:sz="4" w:space="0" w:color="auto"/>
            </w:tcBorders>
            <w:vAlign w:val="center"/>
          </w:tcPr>
          <w:p w14:paraId="07185ACA" w14:textId="26E5117E" w:rsidR="00990808" w:rsidRPr="00011F74" w:rsidRDefault="00B7149C" w:rsidP="007A49E0">
            <w:pPr>
              <w:spacing w:before="40" w:after="40"/>
              <w:contextualSpacing/>
              <w:jc w:val="right"/>
              <w:rPr>
                <w:sz w:val="20"/>
                <w:szCs w:val="20"/>
                <w:lang w:val="en-GB"/>
              </w:rPr>
            </w:pPr>
            <w:r>
              <w:rPr>
                <w:sz w:val="20"/>
                <w:szCs w:val="20"/>
                <w:lang w:val="en-GB"/>
              </w:rPr>
              <w:t>Lack of data for unsupervised learning (AR).</w:t>
            </w:r>
          </w:p>
        </w:tc>
      </w:tr>
    </w:tbl>
    <w:p w14:paraId="5796EA0C" w14:textId="77777777" w:rsidR="00741C19" w:rsidRDefault="00741C19" w:rsidP="00146D70">
      <w:pPr>
        <w:rPr>
          <w:szCs w:val="18"/>
        </w:rPr>
      </w:pPr>
      <w:r>
        <w:br w:type="page"/>
      </w:r>
    </w:p>
    <w:p w14:paraId="7ED43259" w14:textId="73131FAB" w:rsidR="002A385F" w:rsidRDefault="002A385F" w:rsidP="002A385F">
      <w:pPr>
        <w:pStyle w:val="Heading1"/>
      </w:pPr>
      <w:bookmarkStart w:id="64" w:name="_Toc62467369"/>
      <w:bookmarkStart w:id="65" w:name="_Toc91575377"/>
      <w:bookmarkStart w:id="66" w:name="_Toc93759857"/>
      <w:bookmarkStart w:id="67" w:name="_Toc93759961"/>
      <w:bookmarkStart w:id="68" w:name="_Toc101274326"/>
      <w:r>
        <w:lastRenderedPageBreak/>
        <w:t xml:space="preserve">Research </w:t>
      </w:r>
      <w:r w:rsidR="00697E06">
        <w:t>p</w:t>
      </w:r>
      <w:r w:rsidR="00153BB1">
        <w:t>rotocol</w:t>
      </w:r>
      <w:r w:rsidR="00613A6B">
        <w:t>s</w:t>
      </w:r>
      <w:r w:rsidR="00553FEE">
        <w:t xml:space="preserve"> and </w:t>
      </w:r>
      <w:r w:rsidR="00697E06">
        <w:t>m</w:t>
      </w:r>
      <w:r w:rsidR="00553FEE">
        <w:t>ethods</w:t>
      </w:r>
      <w:bookmarkEnd w:id="64"/>
      <w:bookmarkEnd w:id="65"/>
      <w:bookmarkEnd w:id="66"/>
      <w:bookmarkEnd w:id="67"/>
      <w:bookmarkEnd w:id="68"/>
    </w:p>
    <w:p w14:paraId="609370F9" w14:textId="257C3804" w:rsidR="0025700D" w:rsidRDefault="00E805BF" w:rsidP="0025700D">
      <w:pPr>
        <w:rPr>
          <w:lang w:val="sr-Latn-RS"/>
        </w:rPr>
      </w:pPr>
      <w:r>
        <w:rPr>
          <w:lang w:val="sr-Latn-RS"/>
        </w:rPr>
        <w:t xml:space="preserve">A systematic research protocol for every pillar is proposed to mitigate vagueness and systematic errors in extracting valuable </w:t>
      </w:r>
      <w:r w:rsidR="006638D7">
        <w:rPr>
          <w:lang w:val="sr-Latn-RS"/>
        </w:rPr>
        <w:t>information</w:t>
      </w:r>
      <w:r>
        <w:rPr>
          <w:lang w:val="sr-Latn-RS"/>
        </w:rPr>
        <w:t xml:space="preserve"> by respecting scientific ethics, thus distinguishing quality from quantity</w:t>
      </w:r>
      <w:r w:rsidR="0025700D">
        <w:rPr>
          <w:lang w:val="sr-Latn-RS"/>
        </w:rPr>
        <w:t xml:space="preserve">. </w:t>
      </w:r>
      <w:r w:rsidR="006638D7">
        <w:rPr>
          <w:lang w:val="sr-Latn-RS"/>
        </w:rPr>
        <w:t>T</w:t>
      </w:r>
      <w:r w:rsidR="00167099">
        <w:rPr>
          <w:lang w:val="sr-Latn-RS"/>
        </w:rPr>
        <w:t>o understand the other’s ability to make conclusions and outcomes with sophisticated exactitude, on</w:t>
      </w:r>
      <w:r w:rsidR="0025700D" w:rsidRPr="004E07F3">
        <w:rPr>
          <w:lang w:val="sr-Latn-RS"/>
        </w:rPr>
        <w:t>e must replicate the process of synthesising evidence</w:t>
      </w:r>
      <w:r w:rsidR="0025700D">
        <w:rPr>
          <w:lang w:val="sr-Latn-RS"/>
        </w:rPr>
        <w:t xml:space="preserve"> and reproduce the results</w:t>
      </w:r>
      <w:r w:rsidR="0025700D" w:rsidRPr="004E07F3">
        <w:rPr>
          <w:lang w:val="sr-Latn-RS"/>
        </w:rPr>
        <w:t xml:space="preserve"> </w:t>
      </w:r>
      <w:r w:rsidR="0025700D">
        <w:rPr>
          <w:lang w:val="sr-Latn-RS"/>
        </w:rPr>
        <w:t xml:space="preserve">provided by the priori. </w:t>
      </w:r>
      <w:r w:rsidR="006638D7">
        <w:rPr>
          <w:lang w:val="sr-Latn-RS"/>
        </w:rPr>
        <w:t>Following Karl Popper’s school of thought further</w:t>
      </w:r>
      <w:r w:rsidR="0025700D" w:rsidRPr="004E07F3">
        <w:rPr>
          <w:lang w:val="sr-Latn-RS"/>
        </w:rPr>
        <w:t xml:space="preserve"> </w:t>
      </w:r>
      <w:r w:rsidR="0025700D">
        <w:rPr>
          <w:lang w:val="sr-Latn-RS"/>
        </w:rPr>
        <w:t>motivated the author of the thesis to propose explicit research protocol</w:t>
      </w:r>
      <w:r w:rsidR="008010DB">
        <w:rPr>
          <w:lang w:val="sr-Latn-RS"/>
        </w:rPr>
        <w:t>s</w:t>
      </w:r>
      <w:r w:rsidR="0025700D">
        <w:rPr>
          <w:lang w:val="sr-Latn-RS"/>
        </w:rPr>
        <w:t xml:space="preserve"> </w:t>
      </w:r>
      <w:r w:rsidR="008010DB">
        <w:rPr>
          <w:lang w:val="sr-Latn-RS"/>
        </w:rPr>
        <w:t xml:space="preserve">for </w:t>
      </w:r>
      <w:r w:rsidR="0025700D">
        <w:rPr>
          <w:lang w:val="sr-Latn-RS"/>
        </w:rPr>
        <w:t>respecting transparency and reproducibility.</w:t>
      </w:r>
      <w:r w:rsidR="00167099">
        <w:rPr>
          <w:lang w:val="sr-Latn-RS"/>
        </w:rPr>
        <w:t xml:space="preserve"> These protocols</w:t>
      </w:r>
      <w:r w:rsidR="0025700D">
        <w:rPr>
          <w:lang w:val="sr-Latn-RS"/>
        </w:rPr>
        <w:t xml:space="preserve"> for extracting relevant </w:t>
      </w:r>
      <w:r w:rsidR="00175B6A">
        <w:rPr>
          <w:lang w:val="sr-Latn-RS"/>
        </w:rPr>
        <w:t>data</w:t>
      </w:r>
      <w:r w:rsidR="0025700D">
        <w:rPr>
          <w:lang w:val="sr-Latn-RS"/>
        </w:rPr>
        <w:t xml:space="preserve"> </w:t>
      </w:r>
      <w:r w:rsidR="00175B6A">
        <w:rPr>
          <w:lang w:val="sr-Latn-RS"/>
        </w:rPr>
        <w:t>utilise</w:t>
      </w:r>
      <w:r w:rsidR="0025700D">
        <w:rPr>
          <w:lang w:val="sr-Latn-RS"/>
        </w:rPr>
        <w:t xml:space="preserve"> Evidence-Based Practice (EBP) </w:t>
      </w:r>
      <w:r w:rsidR="0025700D">
        <w:rPr>
          <w:lang w:val="sr-Latn-RS"/>
        </w:rPr>
        <w:fldChar w:fldCharType="begin" w:fldLock="1"/>
      </w:r>
      <w:r w:rsidR="00416869">
        <w:rPr>
          <w:lang w:val="sr-Latn-RS"/>
        </w:rPr>
        <w:instrText>ADDIN CSL_CITATION {"citationItems":[{"id":"ITEM-1","itemData":{"DOI":"10.1111/j.1440-172X.2006.00587.x","ISSN":"1322-7114","abstract":"The evidence-based practice (EBP) framework emerged in the early 1970s as a means of improving clinical practice. This shift towards EBP allowed health professionals to move from a culture of delivering care based on tradition, intuition and authority, to a situation where decisions were guided and justified by the best available evidence. Despite the many advantages of EBP, many practitioners remain cautious about embracing the model. Part of this opposition is due to a misunderstanding of EBP, which this paper aims to address. ©2006 Blackwell Publishing Asia Pty Ltd.","author":[{"dropping-particle":"","family":"Leach","given":"Matthew J.","non-dropping-particle":"","parse-names":false,"suffix":""}],"container-title":"International Journal of Nursing Practice","id":"ITEM-1","issue":"5","issued":{"date-parts":[["2006","10"]]},"page":"248-251","title":"Evidence-based practice: A framework for clinical practice and research design","type":"article-journal","volume":"12"},"uris":["http://www.mendeley.com/documents/?uuid=e0723fac-d327-4899-8c0b-cbc8861f3fed"]}],"mendeley":{"formattedCitation":"[33]","plainTextFormattedCitation":"[33]","previouslyFormattedCitation":"[33]"},"properties":{"noteIndex":0},"schema":"https://github.com/citation-style-language/schema/raw/master/csl-citation.json"}</w:instrText>
      </w:r>
      <w:r w:rsidR="0025700D">
        <w:rPr>
          <w:lang w:val="sr-Latn-RS"/>
        </w:rPr>
        <w:fldChar w:fldCharType="separate"/>
      </w:r>
      <w:r w:rsidR="00246F3C" w:rsidRPr="00246F3C">
        <w:rPr>
          <w:noProof/>
          <w:lang w:val="sr-Latn-RS"/>
        </w:rPr>
        <w:t>[33]</w:t>
      </w:r>
      <w:r w:rsidR="0025700D">
        <w:rPr>
          <w:lang w:val="sr-Latn-RS"/>
        </w:rPr>
        <w:fldChar w:fldCharType="end"/>
      </w:r>
      <w:r w:rsidR="0025700D">
        <w:rPr>
          <w:lang w:val="sr-Latn-RS"/>
        </w:rPr>
        <w:t>. Although protocol</w:t>
      </w:r>
      <w:r w:rsidR="00167099">
        <w:rPr>
          <w:lang w:val="sr-Latn-RS"/>
        </w:rPr>
        <w:t>s</w:t>
      </w:r>
      <w:r w:rsidR="0025700D">
        <w:rPr>
          <w:lang w:val="sr-Latn-RS"/>
        </w:rPr>
        <w:t xml:space="preserve"> </w:t>
      </w:r>
      <w:r w:rsidR="00167099">
        <w:rPr>
          <w:lang w:val="sr-Latn-RS"/>
        </w:rPr>
        <w:t>are</w:t>
      </w:r>
      <w:r w:rsidR="0025700D">
        <w:rPr>
          <w:lang w:val="sr-Latn-RS"/>
        </w:rPr>
        <w:t xml:space="preserve"> mostly utilised in medical</w:t>
      </w:r>
      <w:r w:rsidR="00167099">
        <w:rPr>
          <w:lang w:val="sr-Latn-RS"/>
        </w:rPr>
        <w:t xml:space="preserve"> practice</w:t>
      </w:r>
      <w:r w:rsidR="0025700D">
        <w:rPr>
          <w:lang w:val="sr-Latn-RS"/>
        </w:rPr>
        <w:t xml:space="preserve">, knowledge transfer is ever-present in social, natural and engineering sciences. The EBP or EBA (Evidence-Based Approach) </w:t>
      </w:r>
      <w:r w:rsidR="0025700D">
        <w:rPr>
          <w:lang w:val="sr-Latn-RS"/>
        </w:rPr>
        <w:fldChar w:fldCharType="begin" w:fldLock="1"/>
      </w:r>
      <w:r w:rsidR="00416869">
        <w:rPr>
          <w:lang w:val="sr-Latn-RS"/>
        </w:rPr>
        <w:instrText>ADDIN CSL_CITATION {"citationItems":[{"id":"ITEM-1","itemData":{"DOI":"10.1111/j.1467-6486.2007.00755.x","ISSN":"00222380","abstract":"'Evidence based' management is a popular contemporary account of the relationship between research and practice in management studies. This paper critically examines the implications of this account from the perspective of Formalism: a narratological approach to critique that focuses on how narratives are made compelling, and hence powerful. Compelling narratives deploy devices that establish (i) credibility and (ii) defamiliarization. Using this approach the paper identifies and examines different ideological strands in the nascent literature on evidence based management: pragmatism, progress, systematization, technique, accumulation. These are the means by which advocates of evidence based approaches construct a compelling story about the value of this approach. Prior criticism of the evidence based approach has centred on epistemological and technical issues. The aim here is to use an aesthetic mode of criticism to highlight political and moral implications. These are important given the relationship between claims to knowledge and the use of power; and the interaction between management research, and management as practice. © Blackwell Publishing Ltd 2008.","author":[{"dropping-particle":"","family":"Morrell","given":"Kevin","non-dropping-particle":"","parse-names":false,"suffix":""}],"container-title":"Journal of Management Studies","id":"ITEM-1","issue":"3","issued":{"date-parts":[["2008"]]},"page":"613-635","title":"The narrative of 'evidence based' management: A polemic","type":"article-journal","volume":"45"},"uris":["http://www.mendeley.com/documents/?uuid=f815ef8d-01d1-44aa-95b1-a0e7f5782b18"]}],"mendeley":{"formattedCitation":"[34]","plainTextFormattedCitation":"[34]","previouslyFormattedCitation":"[34]"},"properties":{"noteIndex":0},"schema":"https://github.com/citation-style-language/schema/raw/master/csl-citation.json"}</w:instrText>
      </w:r>
      <w:r w:rsidR="0025700D">
        <w:rPr>
          <w:lang w:val="sr-Latn-RS"/>
        </w:rPr>
        <w:fldChar w:fldCharType="separate"/>
      </w:r>
      <w:r w:rsidR="00246F3C" w:rsidRPr="00246F3C">
        <w:rPr>
          <w:noProof/>
          <w:lang w:val="sr-Latn-RS"/>
        </w:rPr>
        <w:t>[34]</w:t>
      </w:r>
      <w:r w:rsidR="0025700D">
        <w:rPr>
          <w:lang w:val="sr-Latn-RS"/>
        </w:rPr>
        <w:fldChar w:fldCharType="end"/>
      </w:r>
      <w:r w:rsidR="0025700D">
        <w:rPr>
          <w:lang w:val="sr-Latn-RS"/>
        </w:rPr>
        <w:t xml:space="preserve"> is becoming popular through the use of systematic reporting of literature, usually under the notion of Systematic Literature Review (SLR) </w:t>
      </w:r>
      <w:r w:rsidR="0025700D">
        <w:rPr>
          <w:lang w:val="sr-Latn-RS"/>
        </w:rPr>
        <w:fldChar w:fldCharType="begin" w:fldLock="1"/>
      </w:r>
      <w:r w:rsidR="00416869">
        <w:rPr>
          <w:lang w:val="sr-Latn-RS"/>
        </w:rPr>
        <w:instrText>ADDIN CSL_CITATION {"citationItems":[{"id":"ITEM-1","itemData":{"DOI":"10.1186/s12874-018-0611-x","ISSN":"14712288","abstract":"Background: Scoping reviews are a relatively new approach to evidence synthesis and currently there exists little guidance regarding the decision to choose between a systematic review or scoping review approach when synthesising evidence. The purpose of this article is to clearly describe the differences in indications between scoping reviews and systematic reviews and to provide guidance for when a scoping review is (and is not) appropriate. Results: Researchers may conduct scoping reviews instead of systematic reviews where the purpose of the review is to identify knowledge gaps, scope a body of literature, clarify concepts or to investigate research conduct. While useful in their own right, scoping reviews may also be helpful precursors to systematic reviews and can be used to confirm the relevance of inclusion criteria and potential questions. Conclusions: Scoping reviews are a useful tool in the ever increasing arsenal of evidence synthesis approaches. Although conducted for different purposes compared to systematic reviews, scoping reviews still require rigorous and transparent methods in their conduct to ensure that the results are trustworthy. Our hope is that with clear guidance available regarding whether to conduct a scoping review or a systematic review, there will be less scoping reviews being performed for inappropriate indications better served by a systematic review, and vice-versa.","author":[{"dropping-particle":"","family":"Munn","given":"Zachary","non-dropping-particle":"","parse-names":false,"suffix":""},{"dropping-particle":"","family":"Peters","given":"Micah D.J.","non-dropping-particle":"","parse-names":false,"suffix":""},{"dropping-particle":"","family":"Stern","given":"Cindy","non-dropping-particle":"","parse-names":false,"suffix":""},{"dropping-particle":"","family":"Tufanaru","given":"Catalin","non-dropping-particle":"","parse-names":false,"suffix":""},{"dropping-particle":"","family":"McArthur","given":"Alexa","non-dropping-particle":"","parse-names":false,"suffix":""},{"dropping-particle":"","family":"Aromataris","given":"Edoardo","non-dropping-particle":"","parse-names":false,"suffix":""}],"container-title":"BMC Medical Research Methodology","id":"ITEM-1","issue":"1","issued":{"date-parts":[["2018"]]},"page":"1-7","publisher":"BMC Medical Research Methodology","title":"Systematic review or scoping review? Guidance for authors when choosing between a systematic or scoping review approach","type":"article-journal","volume":"18"},"uris":["http://www.mendeley.com/documents/?uuid=92227f44-3a74-4731-aa59-03de1cd9778b"]}],"mendeley":{"formattedCitation":"[35]","plainTextFormattedCitation":"[35]","previouslyFormattedCitation":"[35]"},"properties":{"noteIndex":0},"schema":"https://github.com/citation-style-language/schema/raw/master/csl-citation.json"}</w:instrText>
      </w:r>
      <w:r w:rsidR="0025700D">
        <w:rPr>
          <w:lang w:val="sr-Latn-RS"/>
        </w:rPr>
        <w:fldChar w:fldCharType="separate"/>
      </w:r>
      <w:r w:rsidR="00246F3C" w:rsidRPr="00246F3C">
        <w:rPr>
          <w:noProof/>
          <w:lang w:val="sr-Latn-RS"/>
        </w:rPr>
        <w:t>[35]</w:t>
      </w:r>
      <w:r w:rsidR="0025700D">
        <w:rPr>
          <w:lang w:val="sr-Latn-RS"/>
        </w:rPr>
        <w:fldChar w:fldCharType="end"/>
      </w:r>
      <w:r w:rsidR="0025700D">
        <w:rPr>
          <w:lang w:val="sr-Latn-RS"/>
        </w:rPr>
        <w:t>.</w:t>
      </w:r>
      <w:r w:rsidR="00167099">
        <w:rPr>
          <w:lang w:val="sr-Latn-RS"/>
        </w:rPr>
        <w:t xml:space="preserve"> </w:t>
      </w:r>
      <w:r w:rsidR="00175B6A">
        <w:rPr>
          <w:lang w:val="sr-Latn-RS"/>
        </w:rPr>
        <w:t>Each protocol for extracting relevant evidence will be elaborated in detail in the following sub-sections.</w:t>
      </w:r>
    </w:p>
    <w:p w14:paraId="7DB0A04F" w14:textId="40647C16" w:rsidR="00553FEE" w:rsidRDefault="00553FEE" w:rsidP="00553FEE">
      <w:pPr>
        <w:pStyle w:val="Heading2"/>
        <w:rPr>
          <w:lang w:val="sr-Latn-RS"/>
        </w:rPr>
      </w:pPr>
      <w:bookmarkStart w:id="69" w:name="_Toc62467370"/>
      <w:bookmarkStart w:id="70" w:name="_Toc91575378"/>
      <w:bookmarkStart w:id="71" w:name="_Toc93759858"/>
      <w:bookmarkStart w:id="72" w:name="_Toc93759962"/>
      <w:bookmarkStart w:id="73" w:name="_Toc101274327"/>
      <w:r>
        <w:rPr>
          <w:lang w:val="sr-Latn-RS"/>
        </w:rPr>
        <w:t xml:space="preserve">Research </w:t>
      </w:r>
      <w:r w:rsidR="00697E06">
        <w:rPr>
          <w:lang w:val="sr-Latn-RS"/>
        </w:rPr>
        <w:t>p</w:t>
      </w:r>
      <w:r>
        <w:rPr>
          <w:lang w:val="sr-Latn-RS"/>
        </w:rPr>
        <w:t xml:space="preserve">rotocol for </w:t>
      </w:r>
      <w:r w:rsidR="00697E06">
        <w:rPr>
          <w:lang w:val="sr-Latn-RS"/>
        </w:rPr>
        <w:t>e</w:t>
      </w:r>
      <w:r>
        <w:rPr>
          <w:lang w:val="sr-Latn-RS"/>
        </w:rPr>
        <w:t xml:space="preserve">xtracting </w:t>
      </w:r>
      <w:r w:rsidR="00697E06">
        <w:rPr>
          <w:lang w:val="sr-Latn-RS"/>
        </w:rPr>
        <w:t>e</w:t>
      </w:r>
      <w:r>
        <w:rPr>
          <w:lang w:val="sr-Latn-RS"/>
        </w:rPr>
        <w:t>vidence</w:t>
      </w:r>
      <w:bookmarkEnd w:id="69"/>
      <w:bookmarkEnd w:id="70"/>
      <w:bookmarkEnd w:id="71"/>
      <w:bookmarkEnd w:id="72"/>
      <w:bookmarkEnd w:id="73"/>
    </w:p>
    <w:p w14:paraId="262A9FE1" w14:textId="30385400" w:rsidR="00311887" w:rsidRPr="004E07F3" w:rsidRDefault="00156A36" w:rsidP="00311887">
      <w:pPr>
        <w:rPr>
          <w:lang w:val="sr-Latn-RS"/>
        </w:rPr>
      </w:pPr>
      <w:r>
        <w:rPr>
          <w:lang w:val="sr-Latn-RS"/>
        </w:rPr>
        <w:t>S</w:t>
      </w:r>
      <w:r w:rsidR="00311887" w:rsidRPr="004E07F3">
        <w:rPr>
          <w:lang w:val="sr-Latn-RS"/>
        </w:rPr>
        <w:t>ystematic review</w:t>
      </w:r>
      <w:r w:rsidR="008148C2">
        <w:rPr>
          <w:lang w:val="sr-Latn-RS"/>
        </w:rPr>
        <w:t>s</w:t>
      </w:r>
      <w:r w:rsidR="00311887" w:rsidRPr="004E07F3">
        <w:rPr>
          <w:lang w:val="sr-Latn-RS"/>
        </w:rPr>
        <w:t xml:space="preserve"> </w:t>
      </w:r>
      <w:r w:rsidR="008148C2">
        <w:rPr>
          <w:lang w:val="sr-Latn-RS"/>
        </w:rPr>
        <w:t>have</w:t>
      </w:r>
      <w:r w:rsidR="00311887" w:rsidRPr="004E07F3">
        <w:rPr>
          <w:lang w:val="sr-Latn-RS"/>
        </w:rPr>
        <w:t xml:space="preserve"> been celebrated in the last couple of years (</w:t>
      </w:r>
      <w:r w:rsidR="00311887">
        <w:rPr>
          <w:lang w:val="sr-Latn-RS"/>
        </w:rPr>
        <w:fldChar w:fldCharType="begin"/>
      </w:r>
      <w:r w:rsidR="00311887">
        <w:rPr>
          <w:lang w:val="sr-Latn-RS"/>
        </w:rPr>
        <w:instrText xml:space="preserve"> REF _Ref31795059 \h </w:instrText>
      </w:r>
      <w:r w:rsidR="00311887">
        <w:rPr>
          <w:lang w:val="sr-Latn-RS"/>
        </w:rPr>
      </w:r>
      <w:r w:rsidR="00311887">
        <w:rPr>
          <w:lang w:val="sr-Latn-RS"/>
        </w:rPr>
        <w:fldChar w:fldCharType="separate"/>
      </w:r>
      <w:r w:rsidR="00587AF0">
        <w:t xml:space="preserve">Figure </w:t>
      </w:r>
      <w:r w:rsidR="00587AF0">
        <w:rPr>
          <w:noProof/>
        </w:rPr>
        <w:t>6</w:t>
      </w:r>
      <w:r w:rsidR="00311887">
        <w:rPr>
          <w:lang w:val="sr-Latn-RS"/>
        </w:rPr>
        <w:fldChar w:fldCharType="end"/>
      </w:r>
      <w:r w:rsidR="00311887" w:rsidRPr="004E07F3">
        <w:rPr>
          <w:lang w:val="sr-Latn-RS"/>
        </w:rPr>
        <w:t xml:space="preserve">) due to </w:t>
      </w:r>
      <w:r w:rsidR="00F51E51">
        <w:rPr>
          <w:lang w:val="sr-Latn-RS"/>
        </w:rPr>
        <w:t>their</w:t>
      </w:r>
      <w:r w:rsidR="00311887" w:rsidRPr="004E07F3">
        <w:rPr>
          <w:lang w:val="sr-Latn-RS"/>
        </w:rPr>
        <w:t xml:space="preserve"> base princip</w:t>
      </w:r>
      <w:r w:rsidR="00F51E51">
        <w:rPr>
          <w:lang w:val="sr-Latn-RS"/>
        </w:rPr>
        <w:t>le</w:t>
      </w:r>
      <w:r w:rsidR="00311887" w:rsidRPr="004E07F3">
        <w:rPr>
          <w:lang w:val="sr-Latn-RS"/>
        </w:rPr>
        <w:t xml:space="preserve">s in mitigating bias – </w:t>
      </w:r>
      <w:r w:rsidR="005B1EF3">
        <w:rPr>
          <w:lang w:val="sr-Latn-RS"/>
        </w:rPr>
        <w:t xml:space="preserve">respecting </w:t>
      </w:r>
      <w:r w:rsidR="00311887" w:rsidRPr="004E07F3">
        <w:rPr>
          <w:lang w:val="sr-Latn-RS"/>
        </w:rPr>
        <w:t>transparency</w:t>
      </w:r>
      <w:r w:rsidR="005B1EF3">
        <w:rPr>
          <w:lang w:val="sr-Latn-RS"/>
        </w:rPr>
        <w:t xml:space="preserve"> and </w:t>
      </w:r>
      <w:r w:rsidR="005B1EF3" w:rsidRPr="004E07F3">
        <w:rPr>
          <w:lang w:val="sr-Latn-RS"/>
        </w:rPr>
        <w:t>replicability</w:t>
      </w:r>
      <w:r w:rsidR="00311887">
        <w:rPr>
          <w:lang w:val="sr-Latn-RS"/>
        </w:rPr>
        <w:t xml:space="preserve">. </w:t>
      </w:r>
      <w:r w:rsidR="00311887" w:rsidRPr="004E07F3">
        <w:rPr>
          <w:lang w:val="sr-Latn-RS"/>
        </w:rPr>
        <w:t xml:space="preserve">Although, by </w:t>
      </w:r>
      <w:r w:rsidR="00AD5D1A">
        <w:rPr>
          <w:lang w:val="sr-Latn-RS"/>
        </w:rPr>
        <w:t xml:space="preserve">the thesis </w:t>
      </w:r>
      <w:r w:rsidR="00311887" w:rsidRPr="004E07F3">
        <w:rPr>
          <w:lang w:val="sr-Latn-RS"/>
        </w:rPr>
        <w:t>author</w:t>
      </w:r>
      <w:r w:rsidR="00AD5D1A">
        <w:rPr>
          <w:lang w:val="sr-Latn-RS"/>
        </w:rPr>
        <w:t>’</w:t>
      </w:r>
      <w:r w:rsidR="00F51E51">
        <w:rPr>
          <w:lang w:val="sr-Latn-RS"/>
        </w:rPr>
        <w:t>s</w:t>
      </w:r>
      <w:r w:rsidR="00311887" w:rsidRPr="004E07F3">
        <w:rPr>
          <w:lang w:val="sr-Latn-RS"/>
        </w:rPr>
        <w:t xml:space="preserve"> experience, while some also argue for </w:t>
      </w:r>
      <w:r w:rsidR="00311887">
        <w:rPr>
          <w:lang w:val="sr-Latn-RS"/>
        </w:rPr>
        <w:fldChar w:fldCharType="begin" w:fldLock="1"/>
      </w:r>
      <w:r w:rsidR="00416869">
        <w:rPr>
          <w:lang w:val="sr-Latn-RS"/>
        </w:rPr>
        <w:instrText>ADDIN CSL_CITATION {"citationItems":[{"id":"ITEM-1","itemData":{"DOI":"10.1111/j.1467-6486.2007.00755.x","ISSN":"00222380","abstract":"'Evidence based' management is a popular contemporary account of the relationship between research and practice in management studies. This paper critically examines the implications of this account from the perspective of Formalism: a narratological approach to critique that focuses on how narratives are made compelling, and hence powerful. Compelling narratives deploy devices that establish (i) credibility and (ii) defamiliarization. Using this approach the paper identifies and examines different ideological strands in the nascent literature on evidence based management: pragmatism, progress, systematization, technique, accumulation. These are the means by which advocates of evidence based approaches construct a compelling story about the value of this approach. Prior criticism of the evidence based approach has centred on epistemological and technical issues. The aim here is to use an aesthetic mode of criticism to highlight political and moral implications. These are important given the relationship between claims to knowledge and the use of power; and the interaction between management research, and management as practice. © Blackwell Publishing Ltd 2008.","author":[{"dropping-particle":"","family":"Morrell","given":"Kevin","non-dropping-particle":"","parse-names":false,"suffix":""}],"container-title":"Journal of Management Studies","id":"ITEM-1","issue":"3","issued":{"date-parts":[["2008"]]},"page":"613-635","title":"The narrative of 'evidence based' management: A polemic","type":"article-journal","volume":"45"},"uris":["http://www.mendeley.com/documents/?uuid=f815ef8d-01d1-44aa-95b1-a0e7f5782b18"]}],"mendeley":{"formattedCitation":"[34]","plainTextFormattedCitation":"[34]","previouslyFormattedCitation":"[34]"},"properties":{"noteIndex":0},"schema":"https://github.com/citation-style-language/schema/raw/master/csl-citation.json"}</w:instrText>
      </w:r>
      <w:r w:rsidR="00311887">
        <w:rPr>
          <w:lang w:val="sr-Latn-RS"/>
        </w:rPr>
        <w:fldChar w:fldCharType="separate"/>
      </w:r>
      <w:r w:rsidR="00246F3C" w:rsidRPr="00246F3C">
        <w:rPr>
          <w:noProof/>
          <w:lang w:val="sr-Latn-RS"/>
        </w:rPr>
        <w:t>[34]</w:t>
      </w:r>
      <w:r w:rsidR="00311887">
        <w:rPr>
          <w:lang w:val="sr-Latn-RS"/>
        </w:rPr>
        <w:fldChar w:fldCharType="end"/>
      </w:r>
      <w:r w:rsidR="00311887" w:rsidRPr="004E07F3">
        <w:rPr>
          <w:lang w:val="sr-Latn-RS"/>
        </w:rPr>
        <w:t>, the SLRs paper seems to be privileg</w:t>
      </w:r>
      <w:r w:rsidR="00167099">
        <w:rPr>
          <w:lang w:val="sr-Latn-RS"/>
        </w:rPr>
        <w:t>ed</w:t>
      </w:r>
      <w:r w:rsidR="00311887" w:rsidRPr="004E07F3">
        <w:rPr>
          <w:lang w:val="sr-Latn-RS"/>
        </w:rPr>
        <w:t xml:space="preserve"> more narratological than critical approach</w:t>
      </w:r>
      <w:r w:rsidR="00233188">
        <w:rPr>
          <w:lang w:val="sr-Latn-RS"/>
        </w:rPr>
        <w:t>, especially</w:t>
      </w:r>
      <w:r w:rsidR="00AC632E">
        <w:rPr>
          <w:lang w:val="sr-Latn-RS"/>
        </w:rPr>
        <w:t xml:space="preserve"> in </w:t>
      </w:r>
      <w:r w:rsidR="00581CB9">
        <w:rPr>
          <w:lang w:val="sr-Latn-RS"/>
        </w:rPr>
        <w:t xml:space="preserve">the </w:t>
      </w:r>
      <w:r w:rsidR="00AC632E">
        <w:rPr>
          <w:lang w:val="sr-Latn-RS"/>
        </w:rPr>
        <w:t>industrial maintenance domain</w:t>
      </w:r>
      <w:r w:rsidR="00422A3C">
        <w:rPr>
          <w:lang w:val="sr-Latn-RS"/>
        </w:rPr>
        <w:t xml:space="preserve"> </w:t>
      </w:r>
      <w:r w:rsidR="00422A3C">
        <w:rPr>
          <w:lang w:val="sr-Latn-RS"/>
        </w:rPr>
        <w:fldChar w:fldCharType="begin" w:fldLock="1"/>
      </w:r>
      <w:r w:rsidR="00416869">
        <w:rPr>
          <w:lang w:val="sr-Latn-RS"/>
        </w:rPr>
        <w:instrText>ADDIN CSL_CITATION {"citationItems":[{"id":"ITEM-1","itemData":{"abstract":"Nowadays, organizational performance is no longer evaluated by considering economic aspects alone. The use of social and environmental-related indicators has experienced an increasing growth. The balancing of these three dimensions (the Triple Bottom Line-TBL) in day-to-day organizational activities to obtain higher levels of performance is a complex issue, involving the coordination of different areas with their demand for resources and competing objectives. Industrial maintenance plays a determinant role on TBL dimensions. The improvement of maintenance performance has recently been the target of semantic models, decision-making and interoperability studies. There is, however, a need to more substantially discuss the impacts of industrial maintenance on organizational sustainability and vice-versa. This work aims at filling this gap by characterizing industrial maintenance in a sustainability context through a systematic literature review of articles published in peerreviewed journals, with a focus on supporting topics such as interoperability, ontology and decision-making.","author":[{"dropping-particle":"","family":"Pires","given":"Sandro P.","non-dropping-particle":"","parse-names":false,"suffix":""},{"dropping-particle":"","family":"Sénéchal","given":"Olivier","non-dropping-particle":"","parse-names":false,"suffix":""},{"dropping-particle":"","family":"Deschamps","given":"Fernando","non-dropping-particle":"","parse-names":false,"suffix":""},{"dropping-particle":"","family":"Loures","given":"Eduardo F.Rocha","non-dropping-particle":"","parse-names":false,"suffix":""},{"dropping-particle":"","family":"Perroni","given":"Marcos Gonçalves","non-dropping-particle":"","parse-names":false,"suffix":""}],"container-title":"23rd International Conference for Production Research, ICPR 2015","id":"ITEM-1","issue":"23","issued":{"date-parts":[["2015"]]},"page":"1-15","title":"Industrial maintenance for sustainable performance: A systematic literature review","type":"paper-conference"},"uris":["http://www.mendeley.com/documents/?uuid=2ada90bc-94a7-4fee-8dfa-052084aa4976"]},{"id":"ITEM-2","itemData":{"DOI":"10.3233/978-1-61499-902-7-349","author":[{"dropping-particle":"","family":"Gandhi","given":"Kamika","non-dropping-particle":"","parse-names":false,"suffix":""},{"dropping-particle":"","family":"Ng","given":"Amos H. C.","non-dropping-particle":"","parse-names":false,"suffix":""}],"container-title":"Advances in Manufacturing Technology","id":"ITEM-2","issued":{"date-parts":[["2018"]]},"page":"349-354","publisher":"IOS Press","title":"Machine Maintenance Decision Support System: A Systematic Literature Review","type":"paper-conference"},"uris":["http://www.mendeley.com/documents/?uuid=0e4938ba-8b52-4b2a-a544-660052d2d25c"]}],"mendeley":{"formattedCitation":"[36], [37]","plainTextFormattedCitation":"[36], [37]","previouslyFormattedCitation":"[36], [37]"},"properties":{"noteIndex":0},"schema":"https://github.com/citation-style-language/schema/raw/master/csl-citation.json"}</w:instrText>
      </w:r>
      <w:r w:rsidR="00422A3C">
        <w:rPr>
          <w:lang w:val="sr-Latn-RS"/>
        </w:rPr>
        <w:fldChar w:fldCharType="separate"/>
      </w:r>
      <w:r w:rsidR="00246F3C" w:rsidRPr="00246F3C">
        <w:rPr>
          <w:noProof/>
          <w:lang w:val="sr-Latn-RS"/>
        </w:rPr>
        <w:t>[36], [37]</w:t>
      </w:r>
      <w:r w:rsidR="00422A3C">
        <w:rPr>
          <w:lang w:val="sr-Latn-RS"/>
        </w:rPr>
        <w:fldChar w:fldCharType="end"/>
      </w:r>
      <w:r w:rsidR="00311887" w:rsidRPr="004E07F3">
        <w:rPr>
          <w:lang w:val="sr-Latn-RS"/>
        </w:rPr>
        <w:t xml:space="preserve">. Namely, the SLR </w:t>
      </w:r>
      <w:r w:rsidR="00DD7409">
        <w:rPr>
          <w:lang w:val="sr-Latn-RS"/>
        </w:rPr>
        <w:t>must exclusively rely</w:t>
      </w:r>
      <w:r w:rsidR="00311887" w:rsidRPr="004E07F3">
        <w:rPr>
          <w:lang w:val="sr-Latn-RS"/>
        </w:rPr>
        <w:t xml:space="preserve"> on the primary-source studies </w:t>
      </w:r>
      <w:r w:rsidR="00311887">
        <w:rPr>
          <w:lang w:val="sr-Latn-RS"/>
        </w:rPr>
        <w:fldChar w:fldCharType="begin" w:fldLock="1"/>
      </w:r>
      <w:r w:rsidR="00416869">
        <w:rPr>
          <w:lang w:val="sr-Latn-RS"/>
        </w:rPr>
        <w:instrText>ADDIN CSL_CITATION {"citationItems":[{"id":"ITEM-1","itemData":{"DOI":"10.1080/00378941.1935.10832973","ISBN":"159593085X","ISSN":"0037-8941","author":[{"dropping-particle":"","family":"Budgen","given":"David","non-dropping-particle":"","parse-names":false,"suffix":""},{"dropping-particle":"","family":"Brereton","given":"Pearl","non-dropping-particle":"","parse-names":false,"suffix":""}],"container-title":"ICSE'06: Proceedings of the 28th international conference on Software engineering","id":"ITEM-1","issued":{"date-parts":[["2006"]]},"page":"1051-1052","title":"Performing Systematic Literature Reviews in Software Engineering","type":"paper-conference","volume":"6"},"uris":["http://www.mendeley.com/documents/?uuid=fcc2f693-8556-472a-9c12-c72f522c3e32"]}],"mendeley":{"formattedCitation":"[38]","plainTextFormattedCitation":"[38]","previouslyFormattedCitation":"[38]"},"properties":{"noteIndex":0},"schema":"https://github.com/citation-style-language/schema/raw/master/csl-citation.json"}</w:instrText>
      </w:r>
      <w:r w:rsidR="00311887">
        <w:rPr>
          <w:lang w:val="sr-Latn-RS"/>
        </w:rPr>
        <w:fldChar w:fldCharType="separate"/>
      </w:r>
      <w:r w:rsidR="00246F3C" w:rsidRPr="00246F3C">
        <w:rPr>
          <w:noProof/>
          <w:lang w:val="sr-Latn-RS"/>
        </w:rPr>
        <w:t>[38]</w:t>
      </w:r>
      <w:r w:rsidR="00311887">
        <w:rPr>
          <w:lang w:val="sr-Latn-RS"/>
        </w:rPr>
        <w:fldChar w:fldCharType="end"/>
      </w:r>
      <w:r w:rsidR="00311887" w:rsidRPr="004E07F3">
        <w:rPr>
          <w:lang w:val="sr-Latn-RS"/>
        </w:rPr>
        <w:t xml:space="preserve"> respecting the target of the research question, while the ScR </w:t>
      </w:r>
      <w:r w:rsidR="00DD7409">
        <w:rPr>
          <w:lang w:val="sr-Latn-RS"/>
        </w:rPr>
        <w:t xml:space="preserve">(Scoping Review) </w:t>
      </w:r>
      <w:r w:rsidR="00311887" w:rsidRPr="004E07F3">
        <w:rPr>
          <w:lang w:val="sr-Latn-RS"/>
        </w:rPr>
        <w:t>target</w:t>
      </w:r>
      <w:r w:rsidR="00DD7409">
        <w:rPr>
          <w:lang w:val="sr-Latn-RS"/>
        </w:rPr>
        <w:t>s</w:t>
      </w:r>
      <w:r w:rsidR="00311887" w:rsidRPr="004E07F3">
        <w:rPr>
          <w:lang w:val="sr-Latn-RS"/>
        </w:rPr>
        <w:t xml:space="preserve"> broader research question</w:t>
      </w:r>
      <w:r w:rsidR="00F51E51">
        <w:rPr>
          <w:lang w:val="sr-Latn-RS"/>
        </w:rPr>
        <w:t>s</w:t>
      </w:r>
      <w:r w:rsidR="00311887">
        <w:rPr>
          <w:lang w:val="sr-Latn-RS"/>
        </w:rPr>
        <w:t xml:space="preserve"> </w:t>
      </w:r>
      <w:r w:rsidR="00311887">
        <w:rPr>
          <w:lang w:val="sr-Latn-RS"/>
        </w:rPr>
        <w:fldChar w:fldCharType="begin" w:fldLock="1"/>
      </w:r>
      <w:r w:rsidR="00416869">
        <w:rPr>
          <w:lang w:val="sr-Latn-RS"/>
        </w:rPr>
        <w:instrText>ADDIN CSL_CITATION {"citationItems":[{"id":"ITEM-1","itemData":{"DOI":"10.7326/M18-0850","ISSN":"15393704","PMID":"30178033","abstract":"Scoping reviews, a type of knowledge synthesis, follow a systematic approach to map evidence on a topic and identify main concepts, theories, sources, and knowledge gaps. Although more scoping reviews are being done, their methodological and reporting quality need improvement. This document presents the PRISMA-ScR (Preferred Reporting Items for Systematic reviews and Meta-Analyses extension for Scoping Reviews) checklist and explanation. The checklist was developed by a 24-member expert panel and 2 research leads following published guidance from the EQUATOR (Enhancing the QUAlity and Transparency Of health Research) Network. The final checklist contains 20 essential reporting items and 2 optional items. The authors provide a rationale and an example of good reporting for each item. The intent of the PRISMA-ScR is to help readers (including researchers, publishers, commissioners, policymakers, health care providers, guideline developers, and patients or consumers) develop a greater understanding of relevant terminology, core concepts, and key items to report for scoping reviews.","author":[{"dropping-particle":"","family":"Tricco","given":"Andrea C.","non-dropping-particle":"","parse-names":false,"suffix":""},{"dropping-particle":"","family":"Lillie","given":"Erin","non-dropping-particle":"","parse-names":false,"suffix":""},{"dropping-particle":"","family":"Zarin","given":"Wasifa","non-dropping-particle":"","parse-names":false,"suffix":""},{"dropping-particle":"","family":"O'Brien","given":"Kelly K.","non-dropping-particle":"","parse-names":false,"suffix":""},{"dropping-particle":"","family":"Colquhoun","given":"Heather","non-dropping-particle":"","parse-names":false,"suffix":""},{"dropping-particle":"","family":"Levac","given":"Danielle","non-dropping-particle":"","parse-names":false,"suffix":""},{"dropping-particle":"","family":"Moher","given":"David","non-dropping-particle":"","parse-names":false,"suffix":""},{"dropping-particle":"","family":"Peters","given":"Micah D.J.","non-dropping-particle":"","parse-names":false,"suffix":""},{"dropping-particle":"","family":"Horsley","given":"Tanya","non-dropping-particle":"","parse-names":false,"suffix":""},{"dropping-particle":"","family":"Weeks","given":"Laura","non-dropping-particle":"","parse-names":false,"suffix":""},{"dropping-particle":"","family":"Hempel","given":"Susanne","non-dropping-particle":"","parse-names":false,"suffix":""},{"dropping-particle":"","family":"Akl","given":"Elie A.","non-dropping-particle":"","parse-names":false,"suffix":""},{"dropping-particle":"","family":"Chang","given":"Christine","non-dropping-particle":"","parse-names":false,"suffix":""},{"dropping-particle":"","family":"McGowan","given":"Jessie","non-dropping-particle":"","parse-names":false,"suffix":""},{"dropping-particle":"","family":"Stewart","given":"Lesley","non-dropping-particle":"","parse-names":false,"suffix":""},{"dropping-particle":"","family":"Hartling","given":"Lisa","non-dropping-particle":"","parse-names":false,"suffix":""},{"dropping-particle":"","family":"Aldcroft","given":"Adrian","non-dropping-particle":"","parse-names":false,"suffix":""},{"dropping-particle":"","family":"Wilson","given":"Michael G.","non-dropping-particle":"","parse-names":false,"suffix":""},{"dropping-particle":"","family":"Garritty","given":"Chantelle","non-dropping-particle":"","parse-names":false,"suffix":""},{"dropping-particle":"","family":"Lewin","given":"Simon","non-dropping-particle":"","parse-names":false,"suffix":""},{"dropping-particle":"","family":"Godfrey","given":"Christina M.","non-dropping-particle":"","parse-names":false,"suffix":""},{"dropping-particle":"","family":"MacDonald","given":"Marilyn T.","non-dropping-particle":"","parse-names":false,"suffix":""},{"dropping-particle":"V.","family":"Langlois","given":"Etienne","non-dropping-particle":"","parse-names":false,"suffix":""},{"dropping-particle":"","family":"Soares-Weiser","given":"Karla","non-dropping-particle":"","parse-names":false,"suffix":""},{"dropping-particle":"","family":"Moriarty","given":"Jo","non-dropping-particle":"","parse-names":false,"suffix":""},{"dropping-particle":"","family":"Clifford","given":"Tammy","non-dropping-particle":"","parse-names":false,"suffix":""},{"dropping-particle":"","family":"Tunçalp","given":"Özge","non-dropping-particle":"","parse-names":false,"suffix":""},{"dropping-particle":"","family":"Straus","given":"Sharon E.","non-dropping-particle":"","parse-names":false,"suffix":""}],"container-title":"Annals of Internal Medicine","id":"ITEM-1","issue":"7","issued":{"date-parts":[["2018"]]},"page":"467-473","title":"PRISMA extension for scoping reviews (PRISMA-ScR): Checklist and explanation","type":"article-journal","volume":"169"},"uris":["http://www.mendeley.com/documents/?uuid=533f0032-3ecb-4b93-a553-928f564d0b6f"]},{"id":"ITEM-2","itemData":{"DOI":"10.7326/0003-4819-151-4-200908180-00135","ISSN":"0003-4819","author":[{"dropping-particle":"","family":"Moher","given":"David","non-dropping-particle":"","parse-names":false,"suffix":""}],"container-title":"Annals of Internal Medicine","id":"ITEM-2","issue":"4","issued":{"date-parts":[["2009","8","18"]]},"page":"264","title":"Preferred Reporting Items for Systematic Reviews and Meta-Analyses: The PRISMA Statement","type":"article-journal","volume":"151"},"uris":["http://www.mendeley.com/documents/?uuid=3789ef9d-a50e-464c-bb7c-af6548bd4fcc"]}],"mendeley":{"formattedCitation":"[39], [40]","plainTextFormattedCitation":"[39], [40]","previouslyFormattedCitation":"[39], [40]"},"properties":{"noteIndex":0},"schema":"https://github.com/citation-style-language/schema/raw/master/csl-citation.json"}</w:instrText>
      </w:r>
      <w:r w:rsidR="00311887">
        <w:rPr>
          <w:lang w:val="sr-Latn-RS"/>
        </w:rPr>
        <w:fldChar w:fldCharType="separate"/>
      </w:r>
      <w:r w:rsidR="00246F3C" w:rsidRPr="00246F3C">
        <w:rPr>
          <w:noProof/>
          <w:lang w:val="sr-Latn-RS"/>
        </w:rPr>
        <w:t>[39], [40]</w:t>
      </w:r>
      <w:r w:rsidR="00311887">
        <w:rPr>
          <w:lang w:val="sr-Latn-RS"/>
        </w:rPr>
        <w:fldChar w:fldCharType="end"/>
      </w:r>
      <w:r w:rsidR="00311887" w:rsidRPr="004E07F3">
        <w:rPr>
          <w:lang w:val="sr-Latn-RS"/>
        </w:rPr>
        <w:t xml:space="preserve"> by which data includes primary and secondary sources</w:t>
      </w:r>
      <w:r w:rsidR="00DD7409">
        <w:rPr>
          <w:lang w:val="sr-Latn-RS"/>
        </w:rPr>
        <w:t>. U</w:t>
      </w:r>
      <w:r w:rsidR="00311887" w:rsidRPr="004E07F3">
        <w:rPr>
          <w:lang w:val="sr-Latn-RS"/>
        </w:rPr>
        <w:t>nlike the SLR</w:t>
      </w:r>
      <w:r w:rsidR="00581CB9">
        <w:rPr>
          <w:lang w:val="sr-Latn-RS"/>
        </w:rPr>
        <w:t>,</w:t>
      </w:r>
      <w:r w:rsidR="00311887" w:rsidRPr="004E07F3">
        <w:rPr>
          <w:lang w:val="sr-Latn-RS"/>
        </w:rPr>
        <w:t xml:space="preserve"> where the goal is to answer the proposed question utilising only primary publication sources</w:t>
      </w:r>
      <w:r w:rsidR="00DD7409">
        <w:rPr>
          <w:lang w:val="sr-Latn-RS"/>
        </w:rPr>
        <w:t xml:space="preserve"> with a hori</w:t>
      </w:r>
      <w:r w:rsidR="00A818C3">
        <w:rPr>
          <w:lang w:val="sr-Latn-RS"/>
        </w:rPr>
        <w:t>s</w:t>
      </w:r>
      <w:r w:rsidR="00DD7409">
        <w:rPr>
          <w:lang w:val="sr-Latn-RS"/>
        </w:rPr>
        <w:t>ontal question, the goal of the ScR is to answer a much br</w:t>
      </w:r>
      <w:r w:rsidR="006B7F68">
        <w:rPr>
          <w:lang w:val="sr-Latn-RS"/>
        </w:rPr>
        <w:t>oa</w:t>
      </w:r>
      <w:r w:rsidR="00DD7409">
        <w:rPr>
          <w:lang w:val="sr-Latn-RS"/>
        </w:rPr>
        <w:t>der, thus vertical</w:t>
      </w:r>
      <w:r w:rsidR="00581CB9">
        <w:rPr>
          <w:lang w:val="sr-Latn-RS"/>
        </w:rPr>
        <w:t>,</w:t>
      </w:r>
      <w:r w:rsidR="00DD7409">
        <w:rPr>
          <w:lang w:val="sr-Latn-RS"/>
        </w:rPr>
        <w:t xml:space="preserve"> research question.</w:t>
      </w:r>
    </w:p>
    <w:tbl>
      <w:tblPr>
        <w:tblW w:w="0" w:type="auto"/>
        <w:tblCellMar>
          <w:left w:w="70" w:type="dxa"/>
          <w:right w:w="70" w:type="dxa"/>
        </w:tblCellMar>
        <w:tblLook w:val="04A0" w:firstRow="1" w:lastRow="0" w:firstColumn="1" w:lastColumn="0" w:noHBand="0" w:noVBand="1"/>
      </w:tblPr>
      <w:tblGrid>
        <w:gridCol w:w="4550"/>
        <w:gridCol w:w="4477"/>
      </w:tblGrid>
      <w:tr w:rsidR="00311887" w14:paraId="18A4A424" w14:textId="77777777" w:rsidTr="00810491">
        <w:tc>
          <w:tcPr>
            <w:tcW w:w="4550" w:type="dxa"/>
          </w:tcPr>
          <w:p w14:paraId="5A078DE0" w14:textId="77777777" w:rsidR="00311887" w:rsidRDefault="00311887" w:rsidP="00810491">
            <w:pPr>
              <w:keepNext/>
              <w:jc w:val="center"/>
            </w:pPr>
            <w:r>
              <w:rPr>
                <w:noProof/>
              </w:rPr>
              <w:drawing>
                <wp:inline distT="0" distB="0" distL="0" distR="0" wp14:anchorId="1122D694" wp14:editId="3C09A039">
                  <wp:extent cx="2800350" cy="1790700"/>
                  <wp:effectExtent l="0" t="0" r="0" b="0"/>
                  <wp:docPr id="3" name="Chart 3">
                    <a:extLst xmlns:a="http://schemas.openxmlformats.org/drawingml/2006/main">
                      <a:ext uri="{FF2B5EF4-FFF2-40B4-BE49-F238E27FC236}">
                        <a16:creationId xmlns:a16="http://schemas.microsoft.com/office/drawing/2014/main" id="{75C22489-F24F-4EAC-812E-4381C21B11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C44527B" w14:textId="6DC4A44C" w:rsidR="00332AA2" w:rsidRDefault="00332AA2" w:rsidP="00810491">
            <w:pPr>
              <w:keepNext/>
              <w:jc w:val="center"/>
            </w:pPr>
            <w:r>
              <w:t>(a)</w:t>
            </w:r>
          </w:p>
        </w:tc>
        <w:tc>
          <w:tcPr>
            <w:tcW w:w="4477" w:type="dxa"/>
          </w:tcPr>
          <w:p w14:paraId="45840E50" w14:textId="77777777" w:rsidR="00311887" w:rsidRDefault="00311887" w:rsidP="00810491">
            <w:pPr>
              <w:keepNext/>
              <w:jc w:val="center"/>
            </w:pPr>
            <w:r>
              <w:rPr>
                <w:noProof/>
              </w:rPr>
              <w:drawing>
                <wp:inline distT="0" distB="0" distL="0" distR="0" wp14:anchorId="7E11F611" wp14:editId="58546EE4">
                  <wp:extent cx="2736850" cy="1790700"/>
                  <wp:effectExtent l="0" t="0" r="6350" b="0"/>
                  <wp:docPr id="2" name="Chart 2">
                    <a:extLst xmlns:a="http://schemas.openxmlformats.org/drawingml/2006/main">
                      <a:ext uri="{FF2B5EF4-FFF2-40B4-BE49-F238E27FC236}">
                        <a16:creationId xmlns:a16="http://schemas.microsoft.com/office/drawing/2014/main" id="{93D29170-2C68-4E70-9509-37D60587D8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41D070E" w14:textId="2B7C1F1F" w:rsidR="00332AA2" w:rsidRDefault="00332AA2" w:rsidP="00810491">
            <w:pPr>
              <w:keepNext/>
              <w:jc w:val="center"/>
            </w:pPr>
            <w:r>
              <w:t>(b)</w:t>
            </w:r>
          </w:p>
        </w:tc>
      </w:tr>
    </w:tbl>
    <w:p w14:paraId="7F39BCE2" w14:textId="42C6E65D" w:rsidR="00311887" w:rsidRDefault="00311887" w:rsidP="007B444D">
      <w:pPr>
        <w:pStyle w:val="Caption"/>
      </w:pPr>
      <w:bookmarkStart w:id="74" w:name="_Ref31795059"/>
      <w:bookmarkStart w:id="75" w:name="_Toc101274528"/>
      <w:r>
        <w:t xml:space="preserve">Figure </w:t>
      </w:r>
      <w:fldSimple w:instr=" SEQ Figure \* ARABIC ">
        <w:r w:rsidR="00587AF0">
          <w:rPr>
            <w:noProof/>
          </w:rPr>
          <w:t>6</w:t>
        </w:r>
      </w:fldSimple>
      <w:bookmarkEnd w:id="74"/>
      <w:r>
        <w:t>. SLR and ScR reviews overall (</w:t>
      </w:r>
      <w:r w:rsidR="00332AA2">
        <w:t>a</w:t>
      </w:r>
      <w:r>
        <w:t>) and engineering (</w:t>
      </w:r>
      <w:r w:rsidR="00332AA2">
        <w:t>b</w:t>
      </w:r>
      <w:r>
        <w:t>) by</w:t>
      </w:r>
      <w:r w:rsidR="008E5011">
        <w:t xml:space="preserve"> </w:t>
      </w:r>
      <w:r>
        <w:t>WoS and Scopus</w:t>
      </w:r>
      <w:bookmarkEnd w:id="75"/>
    </w:p>
    <w:p w14:paraId="7BFCAB4D" w14:textId="40845515" w:rsidR="00C0221C" w:rsidRDefault="001A3975" w:rsidP="001A3975">
      <w:r>
        <w:t xml:space="preserve">The lack of appropriate </w:t>
      </w:r>
      <w:r w:rsidR="00EE07F7">
        <w:t>methodology</w:t>
      </w:r>
      <w:r>
        <w:t xml:space="preserve"> and differing interpretations </w:t>
      </w:r>
      <w:r w:rsidR="00553FEE">
        <w:t>of evidence</w:t>
      </w:r>
      <w:r>
        <w:t xml:space="preserve"> does not allow </w:t>
      </w:r>
      <w:r w:rsidR="00EE07F7">
        <w:t>critical appraisal of evidence</w:t>
      </w:r>
      <w:r>
        <w:t xml:space="preserve">, thus lacking </w:t>
      </w:r>
      <w:r w:rsidR="00DF775B">
        <w:t>falsifiability criteria</w:t>
      </w:r>
      <w:r>
        <w:t xml:space="preserve">. </w:t>
      </w:r>
      <w:r w:rsidR="00EE07F7">
        <w:t xml:space="preserve">Without respecting </w:t>
      </w:r>
      <w:r w:rsidR="00562F7C">
        <w:t xml:space="preserve">the </w:t>
      </w:r>
      <w:r w:rsidR="00EE07F7">
        <w:t>replicability and rep</w:t>
      </w:r>
      <w:r w:rsidR="006B7F68">
        <w:t>r</w:t>
      </w:r>
      <w:r w:rsidR="00EE07F7">
        <w:t>oducibility of th</w:t>
      </w:r>
      <w:r w:rsidR="006B7F68">
        <w:t>e</w:t>
      </w:r>
      <w:r w:rsidR="00EE07F7">
        <w:t xml:space="preserve"> results, we</w:t>
      </w:r>
      <w:r w:rsidR="00DF775B">
        <w:t>,</w:t>
      </w:r>
      <w:r w:rsidR="00EE07F7">
        <w:t xml:space="preserve"> as research peers, cannot achieve theory advance. Recently, </w:t>
      </w:r>
      <w:r w:rsidR="00731010">
        <w:t xml:space="preserve">a </w:t>
      </w:r>
      <w:r w:rsidR="002049F8">
        <w:t xml:space="preserve">2016 poll reported in the journal </w:t>
      </w:r>
      <w:r w:rsidR="00F51E51">
        <w:rPr>
          <w:i/>
          <w:iCs/>
        </w:rPr>
        <w:t>N</w:t>
      </w:r>
      <w:r w:rsidR="002049F8">
        <w:rPr>
          <w:i/>
          <w:iCs/>
        </w:rPr>
        <w:t>ature</w:t>
      </w:r>
      <w:r w:rsidR="002049F8">
        <w:t xml:space="preserve"> suggests that over 70% of the 1500 respondents </w:t>
      </w:r>
      <w:r w:rsidR="001511F0">
        <w:t xml:space="preserve">were </w:t>
      </w:r>
      <w:r w:rsidR="009A1158">
        <w:t>u</w:t>
      </w:r>
      <w:r w:rsidR="001511F0">
        <w:t>nable or fail</w:t>
      </w:r>
      <w:r w:rsidR="00DF775B">
        <w:t>ed</w:t>
      </w:r>
      <w:r w:rsidR="001511F0">
        <w:t xml:space="preserve"> to</w:t>
      </w:r>
      <w:r w:rsidR="002049F8">
        <w:t xml:space="preserve"> reproduc</w:t>
      </w:r>
      <w:r w:rsidR="001511F0">
        <w:t>e</w:t>
      </w:r>
      <w:r w:rsidR="002049F8">
        <w:t xml:space="preserve"> another scientist’s experiment</w:t>
      </w:r>
      <w:r w:rsidR="00FE5E25">
        <w:t>al results</w:t>
      </w:r>
      <w:r w:rsidR="002049F8">
        <w:t xml:space="preserve">, and even more worrying is that 50% of scientists failed to reproduce their own </w:t>
      </w:r>
      <w:r w:rsidR="002049F8">
        <w:fldChar w:fldCharType="begin" w:fldLock="1"/>
      </w:r>
      <w:r w:rsidR="00416869">
        <w:instrText>ADDIN CSL_CITATION {"citationItems":[{"id":"ITEM-1","itemData":{"DOI":"10.1017/cts.2017.14","ISSN":"2059-8661","abstract":"Translational research as a discipline has experienced explosive growth over the last decade as evidenced by significant federal investment and the exponential increase in related publications. However, narrow project-focused or process-based measurement approaches have resulted in insufficient techniques to measure the translational progress of institutions or large-scale networks. A shift from traditional industrial engineering approaches to systematic investigation using the techniques of scientometrics and network science will be required to assess the impact of investments in translational research.","author":[{"dropping-particle":"","family":"Smith","given":"Caleb","non-dropping-particle":"","parse-names":false,"suffix":""},{"dropping-particle":"","family":"Baveja","given":"Roohi","non-dropping-particle":"","parse-names":false,"suffix":""},{"dropping-particle":"","family":"Grieb","given":"Teri","non-dropping-particle":"","parse-names":false,"suffix":""},{"dropping-particle":"","family":"Mashour","given":"George A.","non-dropping-particle":"","parse-names":false,"suffix":""}],"container-title":"Journal of Clinical and Translational Science","id":"ITEM-1","issue":"4","issued":{"date-parts":[["2017"]]},"page":"253-255","title":"Toward a science of translational science","type":"article-journal","volume":"1"},"uris":["http://www.mendeley.com/documents/?uuid=f3efb1e5-675b-4f62-9364-6626f01d170a"]}],"mendeley":{"formattedCitation":"[41]","plainTextFormattedCitation":"[41]","previouslyFormattedCitation":"[41]"},"properties":{"noteIndex":0},"schema":"https://github.com/citation-style-language/schema/raw/master/csl-citation.json"}</w:instrText>
      </w:r>
      <w:r w:rsidR="002049F8">
        <w:fldChar w:fldCharType="separate"/>
      </w:r>
      <w:r w:rsidR="00246F3C" w:rsidRPr="00246F3C">
        <w:rPr>
          <w:noProof/>
        </w:rPr>
        <w:t>[41]</w:t>
      </w:r>
      <w:r w:rsidR="002049F8">
        <w:fldChar w:fldCharType="end"/>
      </w:r>
      <w:r w:rsidR="002049F8">
        <w:t>.</w:t>
      </w:r>
      <w:r w:rsidR="00E50107">
        <w:t xml:space="preserve"> </w:t>
      </w:r>
      <w:r w:rsidR="00C0221C">
        <w:t>S</w:t>
      </w:r>
      <w:r w:rsidR="000D69B3">
        <w:t xml:space="preserve">tudies </w:t>
      </w:r>
      <w:r w:rsidR="00C0221C">
        <w:t xml:space="preserve">in industrial maintenance also </w:t>
      </w:r>
      <w:r w:rsidR="000D69B3">
        <w:t xml:space="preserve">fail to provide </w:t>
      </w:r>
      <w:r w:rsidR="00C0221C">
        <w:t>transparent</w:t>
      </w:r>
      <w:r w:rsidR="000D69B3">
        <w:t xml:space="preserve"> </w:t>
      </w:r>
      <w:r w:rsidR="00C0221C">
        <w:t>methodology</w:t>
      </w:r>
      <w:r w:rsidR="000D69B3">
        <w:t xml:space="preserve"> or </w:t>
      </w:r>
      <w:r w:rsidR="00C0221C">
        <w:t xml:space="preserve">protocol </w:t>
      </w:r>
      <w:r w:rsidR="000D69B3">
        <w:t xml:space="preserve">for extracting </w:t>
      </w:r>
      <w:r w:rsidR="00C0221C">
        <w:t xml:space="preserve">relevant </w:t>
      </w:r>
      <w:r w:rsidR="000D69B3">
        <w:t xml:space="preserve">evidence. For instance, a systematic review </w:t>
      </w:r>
      <w:r w:rsidR="00E50107">
        <w:t>stud</w:t>
      </w:r>
      <w:r w:rsidR="000D69B3">
        <w:t>y</w:t>
      </w:r>
      <w:r w:rsidR="00E50107">
        <w:t xml:space="preserve"> </w:t>
      </w:r>
      <w:r w:rsidR="00E50107">
        <w:fldChar w:fldCharType="begin" w:fldLock="1"/>
      </w:r>
      <w:r w:rsidR="00416869">
        <w:instrText>ADDIN CSL_CITATION {"citationItems":[{"id":"ITEM-1","itemData":{"DOI":"10.1016/j.ymssp.2018.08.039","ISSN":"08883270","abstract":"Lubrication Condition monitoring (LCM) is not only utilized as an early warning system in machinery but also, for fault diagnosis and prognosis under condition-based maintenance (CBM). LCM is considered as an important condition monitoring technique, due to the ample information derived from lubricant testing, which demonstrates an introspective reflection on the condition and state of the machinery and the lubricant. Central to the entire LCM program is the application concept, where information from lubricant analysis is evaluated (for knowledge extraction) and analyzed with a view of generating an output which is interpretable and applicable for maintenance decision support (knowledge application). For robust LCM, varying techniques and approaches are used for extracting, processing and analyzing information for decision support. For this reason, a comprehensive overview of applicative approaches for LCM is necessary, which would aid practitioners to address gaps as far as LCM is concerned in the context of maintenance decision support. However, such an overview, is to the best of our knowledge, lacking in the literature, hence the objective of this review article. This paper systematically reviews recent research trends and development of LCM based approaches applied for maintenance decision support, and specifically, applications in equipment diagnosis and prognosis. To contextualize this concern, an initial review of base oils, additives, sampling and testing as applied for LCM and maintenance decision support is discussed. Moreover, LCM tests and parameters are reviewed and classified under varying categories which include, physiochemical, elemental, contamination and additive analysis. Approaches applicable for analyzing data derived from LCM, here, lubricant analysis for maintenance decision support are also classified into four categories: statistical, model-based, artificial intelligence and hybrid approaches. Possible improvement to enhance the reliability of the judgement derived from the approaches towards maintenance decision support are further discussed. This paper concludes with a brief discussion of plausible future trends of LCM in the context of maintenance decision making. This present study, not only highlights gaps in existing literature, by reviewing approaches applicable for extracting knowledge from LCM data for maintenance decision support, it also reviews the functional and technical aspects of lubrication. This is expected …","author":[{"dropping-particle":"","family":"Wakiru","given":"James M.","non-dropping-particle":"","parse-names":false,"suffix":""},{"dropping-particle":"","family":"Pintelon","given":"Liliane","non-dropping-particle":"","parse-names":false,"suffix":""},{"dropping-particle":"","family":"Muchiri","given":"Peter N.","non-dropping-particle":"","parse-names":false,"suffix":""},{"dropping-particle":"","family":"Chemweno","given":"Peter K.","non-dropping-particle":"","parse-names":false,"suffix":""}],"container-title":"Mechanical Systems and Signal Processing","id":"ITEM-1","issued":{"date-parts":[["2019","3"]]},"note":"- LCM as a concept for decision support system.\n- Nemoguće je uraditi pregledni rad o opštem LCM programu iz više razloga. Prvi razlog je to što previše aplikacija postoji koji koristi različite tipove ulja, samim tim različite vrste ulja se koriste za različite uslove rada, mašine, kao i uslova okoline. Druga stvar je da svaka aplikacija je posebnih metalurških karakteristika, stoga svaki sistem može da pokazuje različite vrste i tipove ppm-ova pri čemu se i donošenje odluka sprovodi drugačije što utiče na decision support system. Treća stvar pritisci i protoci za svaki sistem su različiti, samim tim i fizičko hemijske karakteristike lubrikanta, čak i za iste hidrauličke aplikacije, moraju da imaju različite aditive, različito rukovanje aplikacijom, različite uslove okoline itd.\n- Ovo se može nazvati rad ne sekundarne literature nego tercijalne literature, zato što nije originalna studija, slabo pregledna studija jer obuhvata pregled i preglednih radova, što ga čini više podobnim za tercijalni tip literature. Pored toga u svojim poglavljima uključuje pregled notebook-ova pa čak i textbook-ova čime potvrđuje tercijalnu pripadnost.\n- 2.2.2. sekcija je tercijalni tip literature.\n- Place of oil diagnostic tool within maintenance realm.\n- Condition monitoring techniques for technical maintenance?\n-","page":"108-132","publisher":"Elsevier Ltd","title":"A review on lubricant condition monitoring information analysis for maintenance decision support","type":"article-journal","volume":"118"},"uris":["http://www.mendeley.com/documents/?uuid=7ee4d3e2-50a3-4317-8a7a-5d133dcbde27"]}],"mendeley":{"formattedCitation":"[42]","plainTextFormattedCitation":"[42]","previouslyFormattedCitation":"[42]"},"properties":{"noteIndex":0},"schema":"https://github.com/citation-style-language/schema/raw/master/csl-citation.json"}</w:instrText>
      </w:r>
      <w:r w:rsidR="00E50107">
        <w:fldChar w:fldCharType="separate"/>
      </w:r>
      <w:r w:rsidR="00246F3C" w:rsidRPr="00246F3C">
        <w:rPr>
          <w:noProof/>
        </w:rPr>
        <w:t>[42]</w:t>
      </w:r>
      <w:r w:rsidR="00E50107">
        <w:fldChar w:fldCharType="end"/>
      </w:r>
      <w:r w:rsidR="000D69B3">
        <w:t xml:space="preserve"> researching the benefits of LCM for MDM</w:t>
      </w:r>
      <w:r w:rsidR="00E50107">
        <w:t xml:space="preserve"> </w:t>
      </w:r>
      <w:r w:rsidR="000D69B3">
        <w:t>fail</w:t>
      </w:r>
      <w:r w:rsidR="00C0221C">
        <w:t>s</w:t>
      </w:r>
      <w:r w:rsidR="000D69B3">
        <w:t xml:space="preserve"> to show the methodology utilised</w:t>
      </w:r>
      <w:r w:rsidR="00C0221C">
        <w:t>;</w:t>
      </w:r>
      <w:r w:rsidR="000D69B3">
        <w:t xml:space="preserve"> hence the study cannot be replicated.</w:t>
      </w:r>
      <w:r w:rsidR="00E50107">
        <w:t xml:space="preserve"> </w:t>
      </w:r>
      <w:r w:rsidR="00F51E51">
        <w:t>A s</w:t>
      </w:r>
      <w:r w:rsidR="000D69B3">
        <w:t>imilar study</w:t>
      </w:r>
      <w:r w:rsidR="00E50107">
        <w:t xml:space="preserve"> </w:t>
      </w:r>
      <w:r w:rsidR="00E50107">
        <w:fldChar w:fldCharType="begin" w:fldLock="1"/>
      </w:r>
      <w:r w:rsidR="00416869">
        <w:instrText>ADDIN CSL_CITATION {"citationItems":[{"id":"ITEM-1","itemData":{"DOI":"10.1016/j.jmsy.2017.09.003","ISSN":"02786125","abstract":"The increasing competition among industries has leveraged the emergence of various tools and methods for maintenance decision-making support. This paper identifies in literature the application areas of industrial maintenance decision-making, the relationships between these areas and the ways in which authors integrate tools and methods. This information makes it possible to identify trends and deficiencies in this context, helping to centralize the efforts required for future work. This work follows a series of structured steps for a systematic literature review of papers related to the main topic available in online databases. The selected papers are subject to a content assessment and grouped according to the application areas. The direct comparison between these areas and the construction of a relational matrix provide a quantitative interpretation of the results and well-structured information. Additionally, this paper proposes a framework based on information from the literature, which summarizes the origin and flow of information used in the development of models, showing the relationship among application areas of decision making. The research undertaken identifies trends focused on joint production systems optimization and increasing the deployment of methods for autonomous equipment predictions.","author":[{"dropping-particle":"","family":"Ruschel","given":"Edson","non-dropping-particle":"","parse-names":false,"suffix":""},{"dropping-particle":"","family":"Santos","given":"Eduardo Alves Portela","non-dropping-particle":"","parse-names":false,"suffix":""},{"dropping-particle":"","family":"Loures","given":"Eduardo de Freitas Rocha","non-dropping-particle":"","parse-names":false,"suffix":""}],"container-title":"Journal of Manufacturing Systems","id":"ITEM-1","issued":{"date-parts":[["2017","10"]]},"page":"180-194","publisher":"The Society of Manufacturing Engineers","title":"Industrial maintenance decision-making: A systematic literature review","type":"article-journal","volume":"45"},"uris":["http://www.mendeley.com/documents/?uuid=07575f11-fefe-41ce-803b-b64b41a1cdc8"]}],"mendeley":{"formattedCitation":"[43]","plainTextFormattedCitation":"[43]","previouslyFormattedCitation":"[43]"},"properties":{"noteIndex":0},"schema":"https://github.com/citation-style-language/schema/raw/master/csl-citation.json"}</w:instrText>
      </w:r>
      <w:r w:rsidR="00E50107">
        <w:fldChar w:fldCharType="separate"/>
      </w:r>
      <w:r w:rsidR="00246F3C" w:rsidRPr="00246F3C">
        <w:rPr>
          <w:noProof/>
        </w:rPr>
        <w:t>[43]</w:t>
      </w:r>
      <w:r w:rsidR="00E50107">
        <w:fldChar w:fldCharType="end"/>
      </w:r>
      <w:r w:rsidR="00E50107">
        <w:t xml:space="preserve"> exclud</w:t>
      </w:r>
      <w:r w:rsidR="00440D42">
        <w:t>ed</w:t>
      </w:r>
      <w:r w:rsidR="00E50107">
        <w:t xml:space="preserve"> at least </w:t>
      </w:r>
      <w:r w:rsidR="00731010">
        <w:t>ten</w:t>
      </w:r>
      <w:r w:rsidR="00E50107">
        <w:t xml:space="preserve"> papers regarding the sustainability aspect </w:t>
      </w:r>
      <w:r w:rsidR="00440D42">
        <w:t>of</w:t>
      </w:r>
      <w:r w:rsidR="00E50107">
        <w:t xml:space="preserve"> MDM</w:t>
      </w:r>
      <w:r w:rsidR="00440D42">
        <w:t xml:space="preserve"> (research by the author of the thesis)</w:t>
      </w:r>
      <w:r w:rsidR="00E50107">
        <w:t>.</w:t>
      </w:r>
    </w:p>
    <w:p w14:paraId="3ED19E2C" w14:textId="163F3E6F" w:rsidR="00C25A89" w:rsidRDefault="00C0221C" w:rsidP="001A3975">
      <w:r>
        <w:lastRenderedPageBreak/>
        <w:t>Consequently, such</w:t>
      </w:r>
      <w:r w:rsidR="00EE07F7">
        <w:t xml:space="preserve"> </w:t>
      </w:r>
      <w:r w:rsidR="00E50107">
        <w:t>research</w:t>
      </w:r>
      <w:r w:rsidR="00EE07F7">
        <w:t xml:space="preserve"> report</w:t>
      </w:r>
      <w:r w:rsidR="00E50107">
        <w:t>s</w:t>
      </w:r>
      <w:r w:rsidR="001A3975">
        <w:t xml:space="preserve"> </w:t>
      </w:r>
      <w:r w:rsidR="00553FEE">
        <w:t>appear</w:t>
      </w:r>
      <w:r w:rsidR="00067A36">
        <w:t xml:space="preserve"> to be</w:t>
      </w:r>
      <w:r w:rsidR="001A3975">
        <w:t xml:space="preserve"> more elusive than exact due to </w:t>
      </w:r>
      <w:r w:rsidR="00553FEE">
        <w:t xml:space="preserve">latent </w:t>
      </w:r>
      <w:r w:rsidR="005C63E4">
        <w:t>research method</w:t>
      </w:r>
      <w:r w:rsidR="00793A7F">
        <w:t>s</w:t>
      </w:r>
      <w:r w:rsidR="000D69B3">
        <w:t>.</w:t>
      </w:r>
      <w:r w:rsidR="00067A36">
        <w:t xml:space="preserve"> </w:t>
      </w:r>
      <w:r w:rsidR="001A3975">
        <w:t>In that case, the author provide</w:t>
      </w:r>
      <w:r w:rsidR="00553FEE">
        <w:t>s</w:t>
      </w:r>
      <w:r w:rsidR="001A3975">
        <w:t xml:space="preserve"> a more reliable and well-established </w:t>
      </w:r>
      <w:r w:rsidR="00455A10">
        <w:t>protocol</w:t>
      </w:r>
      <w:r w:rsidR="001A3975">
        <w:t xml:space="preserve"> </w:t>
      </w:r>
      <w:r w:rsidR="007F5D83">
        <w:t>with</w:t>
      </w:r>
      <w:r w:rsidR="001A3975">
        <w:t xml:space="preserve"> exegesis of previous methods given by various authors within the same research field. These considerations </w:t>
      </w:r>
      <w:r w:rsidR="00C25A89">
        <w:t xml:space="preserve">forced the author to place </w:t>
      </w:r>
      <w:r w:rsidR="00DF775B">
        <w:t>a loop on evidence synthesis by providing a transparent and replicable research protocol</w:t>
      </w:r>
      <w:r w:rsidR="004A6E83">
        <w:t xml:space="preserve"> for extracting relevant evidence from various sources.</w:t>
      </w:r>
    </w:p>
    <w:p w14:paraId="13AD240C" w14:textId="6A39C97F" w:rsidR="002C10C4" w:rsidRPr="006348A7" w:rsidRDefault="002C10C4" w:rsidP="002C10C4">
      <w:pPr>
        <w:pStyle w:val="Heading2"/>
      </w:pPr>
      <w:bookmarkStart w:id="76" w:name="_Toc62467376"/>
      <w:bookmarkStart w:id="77" w:name="_Toc91575379"/>
      <w:bookmarkStart w:id="78" w:name="_Toc93759859"/>
      <w:bookmarkStart w:id="79" w:name="_Toc93759963"/>
      <w:bookmarkStart w:id="80" w:name="_Toc101274328"/>
      <w:r>
        <w:t xml:space="preserve">Research </w:t>
      </w:r>
      <w:r w:rsidR="00697E06">
        <w:t>p</w:t>
      </w:r>
      <w:r>
        <w:t xml:space="preserve">rotocol for </w:t>
      </w:r>
      <w:r w:rsidR="00697E06">
        <w:t>s</w:t>
      </w:r>
      <w:r>
        <w:t>tate-of-the-</w:t>
      </w:r>
      <w:r w:rsidR="00697E06">
        <w:t>p</w:t>
      </w:r>
      <w:r>
        <w:t>rojects</w:t>
      </w:r>
      <w:bookmarkEnd w:id="76"/>
      <w:bookmarkEnd w:id="77"/>
      <w:bookmarkEnd w:id="78"/>
      <w:bookmarkEnd w:id="79"/>
      <w:bookmarkEnd w:id="80"/>
    </w:p>
    <w:p w14:paraId="744C9601" w14:textId="5470D91C" w:rsidR="002C10C4" w:rsidRDefault="002C10C4" w:rsidP="002C10C4">
      <w:r>
        <w:t xml:space="preserve">Theoretically speaking, the technology-modern audience expects future industrial maintenance research and innovation (R&amp;I) projects to provide novel techniques and strategies for altering maintenance; however, statistics show it is not straightforward </w:t>
      </w:r>
      <w:r>
        <w:fldChar w:fldCharType="begin" w:fldLock="1"/>
      </w:r>
      <w:r w:rsidR="00416869">
        <w:instrText>ADDIN CSL_CITATION {"citationItems":[{"id":"ITEM-1","itemData":{"abstract":"Research and development projects are producing novel maintenance strategies and techniques. Anyway, it is not straightforward to transfer results from the lab to the real world, and thus many projects, both internal to a company and in cooperation between the members of a consortium, speculate how to perform this feat, called “exploitation” in the context of European projects. This paper discusses the necessity of novel techniques in modern maintenance, and then introduces a novel approach to the problem of transferring innovation from the lab to the market. The novel approach spawns from the “spiral software development” process and proceeds as a set of iterations that bring together different stakeholders to increase the number of products, techniques and results in general that can survive the end of a research and development project. The approach was applied to a large Euro- pean project, which is described as use case, and the paper reports on the encourag- ing results that were attained.","author":[{"dropping-particle":"","family":"Nino","given":"Carolina Mejia","non-dropping-particle":"","parse-names":false,"suffix":""},{"dropping-particle":"","family":"Albano","given":"Michele","non-dropping-particle":"","parse-names":false,"suffix":""},{"dropping-particle":"","family":"Jantunen","given":"Erkki","non-dropping-particle":"","parse-names":false,"suffix":""},{"dropping-particle":"","family":"Sharma","given":"Pankaj","non-dropping-particle":"","parse-names":false,"suffix":""},{"dropping-particle":"","family":"Campos","given":"Jaime","non-dropping-particle":"","parse-names":false,"suffix":""},{"dropping-particle":"","family":"Baglee","given":"David","non-dropping-particle":"","parse-names":false,"suffix":""}],"container-title":"incoME-III Conference","id":"ITEM-1","issued":{"date-parts":[["2018"]]},"page":"1-16","publisher":"CISTER Research Center","title":"An iterative process to extract value from maintenance projects","type":"paper-conference"},"uris":["http://www.mendeley.com/documents/?uuid=475b4fbd-218b-4a10-929d-11e02070933a"]}],"mendeley":{"formattedCitation":"[44]","plainTextFormattedCitation":"[44]","previouslyFormattedCitation":"[44]"},"properties":{"noteIndex":0},"schema":"https://github.com/citation-style-language/schema/raw/master/csl-citation.json"}</w:instrText>
      </w:r>
      <w:r>
        <w:fldChar w:fldCharType="separate"/>
      </w:r>
      <w:r w:rsidR="00246F3C" w:rsidRPr="00246F3C">
        <w:rPr>
          <w:noProof/>
        </w:rPr>
        <w:t>[44]</w:t>
      </w:r>
      <w:r>
        <w:fldChar w:fldCharType="end"/>
      </w:r>
      <w:r>
        <w:t>. It is uncertain whether or not the direction of R&amp;I solely focu</w:t>
      </w:r>
      <w:r w:rsidR="004352C8">
        <w:t>se</w:t>
      </w:r>
      <w:r>
        <w:t xml:space="preserve">s on the development of maintenance technology or maintenance repair per se, in which case, the benefits are quite dubious considering technological and economic growth. </w:t>
      </w:r>
      <w:r w:rsidR="004352C8">
        <w:t>E</w:t>
      </w:r>
      <w:r>
        <w:t xml:space="preserve">ven more worrying is that, in some instances, multimillion-maintenance-related projects after evaluation show a lack of achievement and impact </w:t>
      </w:r>
      <w:r>
        <w:fldChar w:fldCharType="begin" w:fldLock="1"/>
      </w:r>
      <w:r w:rsidR="00416869">
        <w:instrText>ADDIN CSL_CITATION {"citationItems":[{"id":"ITEM-1","itemData":{"author":[{"dropping-particle":"","family":"Deloitte","given":"","non-dropping-particle":"","parse-names":false,"suffix":""}],"id":"ITEM-1","issued":{"date-parts":[["2006"]]},"title":"Evaluation of the results and anticipated socio-economic impact of completed projects of the Growth Programme","type":"report"},"uris":["http://www.mendeley.com/documents/?uuid=a979023c-54fd-4a71-a19b-0d071dd87d42"]}],"mendeley":{"formattedCitation":"[45]","plainTextFormattedCitation":"[45]","previouslyFormattedCitation":"[45]"},"properties":{"noteIndex":0},"schema":"https://github.com/citation-style-language/schema/raw/master/csl-citation.json"}</w:instrText>
      </w:r>
      <w:r>
        <w:fldChar w:fldCharType="separate"/>
      </w:r>
      <w:r w:rsidR="00246F3C" w:rsidRPr="00246F3C">
        <w:rPr>
          <w:noProof/>
        </w:rPr>
        <w:t>[45]</w:t>
      </w:r>
      <w:r>
        <w:fldChar w:fldCharType="end"/>
      </w:r>
      <w:r>
        <w:t xml:space="preserve">. The research work on maintenance, on the other hand, shows </w:t>
      </w:r>
      <w:r w:rsidR="00F51E51">
        <w:t xml:space="preserve">the </w:t>
      </w:r>
      <w:r>
        <w:t xml:space="preserve">proliferation of narrative, critical, and systematic reviews </w:t>
      </w:r>
      <w:r>
        <w:fldChar w:fldCharType="begin" w:fldLock="1"/>
      </w:r>
      <w:r w:rsidR="00416869">
        <w:instrText>ADDIN CSL_CITATION {"citationItems":[{"id":"ITEM-1","itemData":{"DOI":"10.1016/j.cie.2019.106024","ISSN":"03608352","abstract":"The amount of data extracted from production processes has increased exponentially due to the proliferation of sensing technologies. When processed and analyzed, data can bring out valuable information and knowledge from manufacturing process, production system and equipment. In industries, equipment maintenance is an important key, and affects the operation time of equipment and its efficiency. Thus, equipment faults need to be identified and solved, avoiding shutdown in the production processes. Machine Learning (ML) methods have been emerged as a promising tool in Predictive Maintenance (PdM) applications to prevent failures in equipment that make up the production lines in the factory floor. However, the performance of PdM applications depends on the appropriate choice of the ML method. The aim of this paper is to present a systematic literature review of ML methods applied to PdM, showing which are being explored in this field and the performance of the current state-of-the-art ML techniques. This review focuses on two scientific databases and provides a useful foundation on the ML techniques, their main results, challenges and opportunities, as well as it supports new research works in the PdM field.","author":[{"dropping-particle":"","family":"Carvalho","given":"Thyago P.","non-dropping-particle":"","parse-names":false,"suffix":""},{"dropping-particle":"","family":"Soares","given":"Fabrízzio A.A.M.N.","non-dropping-particle":"","parse-names":false,"suffix":""},{"dropping-particle":"","family":"Vita","given":"Roberto","non-dropping-particle":"","parse-names":false,"suffix":""},{"dropping-particle":"","family":"Francisco","given":"Roberto da P.","non-dropping-particle":"","parse-names":false,"suffix":""},{"dropping-particle":"","family":"Basto","given":"João P.","non-dropping-particle":"","parse-names":false,"suffix":""},{"dropping-particle":"","family":"Alcalá","given":"Symone G.S.","non-dropping-particle":"","parse-names":false,"suffix":""}],"container-title":"Computers &amp; Industrial Engineering","id":"ITEM-1","issue":"August","issued":{"date-parts":[["2019","11"]]},"page":"106024","publisher":"Elsevier","title":"A systematic literature review of machine learning methods applied to predictive maintenance","type":"article-journal","volume":"137"},"uris":["http://www.mendeley.com/documents/?uuid=ad280624-fc22-4f69-83d2-08c6c97f1934"]},{"id":"ITEM-2","itemData":{"DOI":"10.3233/978-1-61499-902-7-349","author":[{"dropping-particle":"","family":"Gandhi","given":"Kamika","non-dropping-particle":"","parse-names":false,"suffix":""},{"dropping-particle":"","family":"Ng","given":"Amos H. C.","non-dropping-particle":"","parse-names":false,"suffix":""}],"container-title":"Advances in Manufacturing Technology","id":"ITEM-2","issued":{"date-parts":[["2018"]]},"page":"349-354","publisher":"IOS Press","title":"Machine Maintenance Decision Support System: A Systematic Literature Review","type":"paper-conference"},"uris":["http://www.mendeley.com/documents/?uuid=0e4938ba-8b52-4b2a-a544-660052d2d25c"]},{"id":"ITEM-3","itemData":{"DOI":"10.18178/jiii.6.2.45-49","ISSN":"23013745","author":[{"dropping-particle":"","family":"Muttaqin","given":"Prafajar Suksessanno","non-dropping-particle":"","parse-names":false,"suffix":""},{"dropping-particle":"","family":"Damayanti","given":"Dida Diah","non-dropping-particle":"","parse-names":false,"suffix":""}],"container-title":"Journal of Industrial and Intelligent Information","id":"ITEM-3","issue":"2","issued":{"date-parts":[["2018"]]},"page":"45-49","title":"Joint Optimization of Inventory and Preventive Maintenance: Systematic Literature Review and Research Agenda","type":"article-journal","volume":"6"},"uris":["http://www.mendeley.com/documents/?uuid=81155faf-3509-433e-82b9-e43441282bf6"]},{"id":"ITEM-4","itemData":{"DOI":"10.1260/0309-524X.37.5.535","ISSN":"0309-524X","abstract":"Wind power has become one of the popular renewable resources all over the world and is anticipated to occupy 12% of the total global electricity generation capacity by 2020. For the harsh environment that the wind turbine operates, fault diagnostic and condition monitoring are important for wind turbine safety and reliability. This paper employs a systematic literature review to report the most recent promotions in the wind turbine fault diagnostic, from 2005 to 2012. The frequent faults and failures in wind turbines are considered and different techniques which have been used by researchers are introduced, classified and discussed.","author":[{"dropping-particle":"","family":"Purarjomandlangrudi","given":"Afrooz","non-dropping-particle":"","parse-names":false,"suffix":""},{"dropping-particle":"","family":"Nourbakhsh","given":"Ghavameddin","non-dropping-particle":"","parse-names":false,"suffix":""},{"dropping-particle":"","family":"Esmalifalak","given":"Mohammad","non-dropping-particle":"","parse-names":false,"suffix":""},{"dropping-particle":"","family":"Tan","given":"Andy","non-dropping-particle":"","parse-names":false,"suffix":""}],"container-title":"Wind Engineering","id":"ITEM-4","issue":"5","issued":{"date-parts":[["2013","10"]]},"page":"535-547","title":"Fault Detection in Wind Turbine: A Systematic Literature Review","type":"article-journal","volume":"37"},"uris":["http://www.mendeley.com/documents/?uuid=82bc842e-fb99-498d-bf67-99dfb7814308"]}],"mendeley":{"formattedCitation":"[13], [37], [46], [47]","plainTextFormattedCitation":"[13], [37], [46], [47]","previouslyFormattedCitation":"[13], [37], [46], [47]"},"properties":{"noteIndex":0},"schema":"https://github.com/citation-style-language/schema/raw/master/csl-citation.json"}</w:instrText>
      </w:r>
      <w:r>
        <w:fldChar w:fldCharType="separate"/>
      </w:r>
      <w:r w:rsidR="00246F3C" w:rsidRPr="00246F3C">
        <w:rPr>
          <w:noProof/>
        </w:rPr>
        <w:t>[13], [37], [46], [47]</w:t>
      </w:r>
      <w:r>
        <w:fldChar w:fldCharType="end"/>
      </w:r>
      <w:r>
        <w:t xml:space="preserve">, emphasising saturation and the lack of maintenance progress in sustainable manufacturing </w:t>
      </w:r>
      <w:r>
        <w:fldChar w:fldCharType="begin" w:fldLock="1"/>
      </w:r>
      <w:r w:rsidR="00416869">
        <w:instrText>ADDIN CSL_CITATION {"citationItems":[{"id":"ITEM-1","itemData":{"DOI":"10.1016/j.ifacol.2018.08.438","ISSN":"24058963","author":[{"dropping-particle":"","family":"Sénéchal","given":"O","non-dropping-particle":"","parse-names":false,"suffix":""}],"container-title":"IFAC-PapersOnLine","id":"ITEM-1","issue":"11","issued":{"date-parts":[["2018"]]},"note":"- Sustainable Conditions Based Maintenance.\n- Remaining sustainable life and critical sustainable level.\n-","page":"1137-1142","publisher":"International Federation of Automatic Control","title":"Performance indicators nomenclatures for decision making in sustainable conditions based maintenance","type":"article-journal","volume":"51"},"uris":["http://www.mendeley.com/documents/?uuid=e200a472-3283-49b5-ab15-3d4be461a217"]}],"mendeley":{"formattedCitation":"[48]","plainTextFormattedCitation":"[48]","previouslyFormattedCitation":"[48]"},"properties":{"noteIndex":0},"schema":"https://github.com/citation-style-language/schema/raw/master/csl-citation.json"}</w:instrText>
      </w:r>
      <w:r>
        <w:fldChar w:fldCharType="separate"/>
      </w:r>
      <w:r w:rsidR="00246F3C" w:rsidRPr="00246F3C">
        <w:rPr>
          <w:noProof/>
        </w:rPr>
        <w:t>[48]</w:t>
      </w:r>
      <w:r>
        <w:fldChar w:fldCharType="end"/>
      </w:r>
      <w:r>
        <w:t>. On the other hand, proposing novel approaches with defamiliarisating narrative</w:t>
      </w:r>
      <w:r w:rsidR="00F51E51">
        <w:t>s</w:t>
      </w:r>
      <w:r>
        <w:t xml:space="preserve"> by reinventing existing concepts seems to resemble a strawman fallacy. Some argue </w:t>
      </w:r>
      <w:r>
        <w:fldChar w:fldCharType="begin" w:fldLock="1"/>
      </w:r>
      <w:r w:rsidR="00416869">
        <w:instrText>ADDIN CSL_CITATION {"citationItems":[{"id":"ITEM-1","itemData":{"DOI":"10.1016/j.jclepro.2016.10.185","ISSN":"09596526","abstract":"Nowadays, industrial enterprises are facing up to new challenges to well optimize their performances, with regards not only to conventional performances (e.g. reliability or productivity) but also to emerging ones as those related to sustainability issues. Indeed, sustainability indicators have to be considered now in the decision-making process of the plant to better control and maintain it to be consistent with Green Production requirements. In that way, indicators such as Energy Efficiency or Energy Consumption are promoted for the impact they have on these requirements in a Life Cycle Cost vision. Thus the core idea defended in this paper is addressing the necessary evolution of conventional maintenance decision-making process in industry for considering the energy efficiency indicator. To support the idea, the first objective is to define the concept of energy efficiency indicator which materializes the energy efficiency performance at a specific time. The definition is done for different abstraction levels such as component, function, system which are subjected to time-dependent degradation behaviors. So, the energy efficiency indicator concept is expressed as the amount of energy consumed per unit of useful output, which has to be seen as a sustainable performance measure of industrial system. Then a mathematical formulation is proposed to calculate energy efficiency indicator at any time of the performance by considering dependent factors (static and dynamic ones) impacting inputs and outputs of the system. The second objective is to propose a new concept named REEL (Remaining energy-efficient lifetime) for tracking the energy efficiency performance evolution. The REEL is defined by the time left before the system loses its energy efficiency property considered as a specific EEI value (EEI threshold) not to be exceeded. This specific value is technically and/or economically fixed in advance, given the current condition, past and future operation profiles. The REEL could be used as an appropriate indicator for maintenance decision-making process in a proactive vision. The third objective is to formalize a generic approach in the way assess the REEL value. The assessment requires to forecast the evolution of energy efficiency indicator (whatever the abstraction level is) by taking into account the static and dynamic factors. Finally, the feasibility and added value of our proposals are illustrated on a manufacturing platform named TELMA (TELeMAint…","author":[{"dropping-particle":"","family":"Hoang","given":"Anh","non-dropping-particle":"","parse-names":false,"suffix":""},{"dropping-particle":"","family":"Do","given":"Phuc","non-dropping-particle":"","parse-names":false,"suffix":""},{"dropping-particle":"","family":"Iung","given":"Benoît","non-dropping-particle":"","parse-names":false,"suffix":""}],"container-title":"Journal of Cleaner Production","id":"ITEM-1","issued":{"date-parts":[["2017"]]},"note":"- Overall they are speaking about the development of EEI as a future projection subjected to degradation with time in manufacturing systems and its environment. Having a result of physical-thermodynamic indicator properties, the model can be used to evaluate the amount of energy input per units produced. The model is then used to predict REEL.\n- Energy consumption is set by speed and bearing deterioration","page":"2838-2857","publisher":"Elsevier Ltd","title":"Energy efficiency performance-based prognostics for aided maintenance decision-making: Application to a manufacturing platform","type":"article-journal","volume":"142"},"uris":["http://www.mendeley.com/documents/?uuid=7409eb65-d3b0-4f3e-9508-cde53afca1e1"]}],"mendeley":{"formattedCitation":"[24]","plainTextFormattedCitation":"[24]","previouslyFormattedCitation":"[24]"},"properties":{"noteIndex":0},"schema":"https://github.com/citation-style-language/schema/raw/master/csl-citation.json"}</w:instrText>
      </w:r>
      <w:r>
        <w:fldChar w:fldCharType="separate"/>
      </w:r>
      <w:r w:rsidR="00246F3C" w:rsidRPr="00246F3C">
        <w:rPr>
          <w:noProof/>
        </w:rPr>
        <w:t>[24]</w:t>
      </w:r>
      <w:r>
        <w:fldChar w:fldCharType="end"/>
      </w:r>
      <w:r>
        <w:t xml:space="preserve"> that overlooking sustainability indicators </w:t>
      </w:r>
      <w:r>
        <w:fldChar w:fldCharType="begin" w:fldLock="1"/>
      </w:r>
      <w:r w:rsidR="00416869">
        <w:instrText>ADDIN CSL_CITATION {"citationItems":[{"id":"ITEM-1","itemData":{"DOI":"10.1016/j.ifacol.2018.08.459","ISSN":"24058963","abstract":"Industrial and manufacturing systems have a huge impact on energy and resources consumption, on the emissions to the environment and, hence, on the society. For these reasons, Sustainable Manufacturing is one of the most important issue to address for reaching a Sustainable Development of our society. In this frame, maintenance process that must ensure availability, reliability and safety of equipment, has a key role for sustainable operations. However, how maintenance can integrate the sustainability goal and contribute to this objective is not clearly defined: few studies addressing this topic are available in the current literature. These reasons have led the authors to conduct a Scoping Literature Review to investigate the role of maintenance for sustainable manufacturing, with particular focus on the 4th industrial revolution and the enabling technologies 4.0, with the aim of identifying future research directions in this field. The review was conducted following a protocol that minimizes subjectivity and allowing the critical evaluation of relevant studies. Two databases (Scopus and Web of Science) and a set of specific keywords were used to identify and select peer-reviewed papers that presented evidence on the relationship between maintenance and sustainability in the industrial field. The selected papers were assembled respect to specific thematic sections that allowed us to create research clusters in the field of interest. The analysis sheds light on the increasing interest in the last years on “maintenance &amp; sustainability” and the big potentiality of enabling technologies 4.0 in this frame. This paper motivates future researches aimed at the development of sustainable maintenance methodologies/policies, with particular focus on industry 4.0 context, and points out research challenges and opportunities for researchers/practitioners working on maintenance field.","author":[{"dropping-particle":"","family":"Franciosi","given":"Chiara","non-dropping-particle":"","parse-names":false,"suffix":""},{"dropping-particle":"","family":"Iung","given":"Benoit","non-dropping-particle":"","parse-names":false,"suffix":""},{"dropping-particle":"","family":"Miranda","given":"Salvatore","non-dropping-particle":"","parse-names":false,"suffix":""},{"dropping-particle":"","family":"Riemma","given":"Stefano","non-dropping-particle":"","parse-names":false,"suffix":""}],"container-title":"IFAC-PapersOnLine","id":"ITEM-1","issue":"11","issued":{"date-parts":[["2018"]]},"page":"903-908","publisher":"Elsevier B.V.","title":"Maintenance for Sustainability in the Industry 4.0 context: a Scoping Literature Review","type":"article-journal","volume":"51"},"uris":["http://www.mendeley.com/documents/?uuid=8eef14a4-cadd-4b62-a707-09c7fe2e29d1"]}],"mendeley":{"formattedCitation":"[49]","plainTextFormattedCitation":"[49]","previouslyFormattedCitation":"[49]"},"properties":{"noteIndex":0},"schema":"https://github.com/citation-style-language/schema/raw/master/csl-citation.json"}</w:instrText>
      </w:r>
      <w:r>
        <w:fldChar w:fldCharType="separate"/>
      </w:r>
      <w:r w:rsidR="00246F3C" w:rsidRPr="00246F3C">
        <w:rPr>
          <w:noProof/>
        </w:rPr>
        <w:t>[49]</w:t>
      </w:r>
      <w:r>
        <w:fldChar w:fldCharType="end"/>
      </w:r>
      <w:r>
        <w:t xml:space="preserve">, such as energy efficiency or carbon footprint in the decision-making process, as in the case of </w:t>
      </w:r>
      <w:r>
        <w:fldChar w:fldCharType="begin" w:fldLock="1"/>
      </w:r>
      <w:r w:rsidR="00416869">
        <w:instrText>ADDIN CSL_CITATION {"citationItems":[{"id":"ITEM-1","itemData":{"DOI":"10.1016/j.jmsy.2017.09.003","ISSN":"02786125","abstract":"The increasing competition among industries has leveraged the emergence of various tools and methods for maintenance decision-making support. This paper identifies in literature the application areas of industrial maintenance decision-making, the relationships between these areas and the ways in which authors integrate tools and methods. This information makes it possible to identify trends and deficiencies in this context, helping to centralize the efforts required for future work. This work follows a series of structured steps for a systematic literature review of papers related to the main topic available in online databases. The selected papers are subject to a content assessment and grouped according to the application areas. The direct comparison between these areas and the construction of a relational matrix provide a quantitative interpretation of the results and well-structured information. Additionally, this paper proposes a framework based on information from the literature, which summarizes the origin and flow of information used in the development of models, showing the relationship among application areas of decision making. The research undertaken identifies trends focused on joint production systems optimization and increasing the deployment of methods for autonomous equipment predictions.","author":[{"dropping-particle":"","family":"Ruschel","given":"Edson","non-dropping-particle":"","parse-names":false,"suffix":""},{"dropping-particle":"","family":"Santos","given":"Eduardo Alves Portela","non-dropping-particle":"","parse-names":false,"suffix":""},{"dropping-particle":"","family":"Loures","given":"Eduardo de Freitas Rocha","non-dropping-particle":"","parse-names":false,"suffix":""}],"container-title":"Journal of Manufacturing Systems","id":"ITEM-1","issued":{"date-parts":[["2017","10"]]},"page":"180-194","publisher":"The Society of Manufacturing Engineers","title":"Industrial maintenance decision-making: A systematic literature review","type":"article-journal","volume":"45"},"uris":["http://www.mendeley.com/documents/?uuid=07575f11-fefe-41ce-803b-b64b41a1cdc8"]}],"mendeley":{"formattedCitation":"[43]","plainTextFormattedCitation":"[43]","previouslyFormattedCitation":"[43]"},"properties":{"noteIndex":0},"schema":"https://github.com/citation-style-language/schema/raw/master/csl-citation.json"}</w:instrText>
      </w:r>
      <w:r>
        <w:fldChar w:fldCharType="separate"/>
      </w:r>
      <w:r w:rsidR="00246F3C" w:rsidRPr="00246F3C">
        <w:rPr>
          <w:noProof/>
        </w:rPr>
        <w:t>[43]</w:t>
      </w:r>
      <w:r>
        <w:fldChar w:fldCharType="end"/>
      </w:r>
      <w:r>
        <w:t>, are seen as setbacks for maintenance evolution.</w:t>
      </w:r>
    </w:p>
    <w:p w14:paraId="3923A6AA" w14:textId="66177ADE" w:rsidR="002C10C4" w:rsidRDefault="002C10C4" w:rsidP="002C10C4">
      <w:pPr>
        <w:pStyle w:val="Heading3"/>
      </w:pPr>
      <w:bookmarkStart w:id="81" w:name="_Toc62467377"/>
      <w:bookmarkStart w:id="82" w:name="_Toc91575380"/>
      <w:bookmarkStart w:id="83" w:name="_Toc93759860"/>
      <w:bookmarkStart w:id="84" w:name="_Toc93759964"/>
      <w:bookmarkStart w:id="85" w:name="_Toc101274329"/>
      <w:r>
        <w:t>Setting the research questions</w:t>
      </w:r>
      <w:bookmarkEnd w:id="81"/>
      <w:bookmarkEnd w:id="82"/>
      <w:bookmarkEnd w:id="83"/>
      <w:bookmarkEnd w:id="84"/>
      <w:bookmarkEnd w:id="85"/>
    </w:p>
    <w:p w14:paraId="27BD9CCE" w14:textId="546EFC83" w:rsidR="002C10C4" w:rsidRDefault="002C10C4" w:rsidP="002C10C4">
      <w:r>
        <w:t xml:space="preserve">Although existing maintenance policies help one </w:t>
      </w:r>
      <w:r w:rsidR="00925924">
        <w:t>understand their principles, none of them specifies which strategies should be utilised in the</w:t>
      </w:r>
      <w:r>
        <w:t xml:space="preserve"> specific industrial domain. Hence, t</w:t>
      </w:r>
      <w:r w:rsidR="00934C4D">
        <w:t xml:space="preserve">he author sets </w:t>
      </w:r>
      <w:r w:rsidR="00065FC4">
        <w:t>two</w:t>
      </w:r>
      <w:r w:rsidR="00934C4D">
        <w:t xml:space="preserve"> research question</w:t>
      </w:r>
      <w:r w:rsidR="00065FC4">
        <w:t>s</w:t>
      </w:r>
      <w:r w:rsidR="00934C4D">
        <w:t xml:space="preserve"> </w:t>
      </w:r>
      <w:r w:rsidR="00065FC4">
        <w:t>to respond</w:t>
      </w:r>
      <w:r w:rsidR="00934C4D">
        <w:t xml:space="preserve"> to the </w:t>
      </w:r>
      <w:r w:rsidR="00065FC4">
        <w:t>first research</w:t>
      </w:r>
      <w:r w:rsidR="00934C4D">
        <w:t xml:space="preserve"> objective.</w:t>
      </w:r>
    </w:p>
    <w:p w14:paraId="30354488" w14:textId="6B561083" w:rsidR="002C10C4" w:rsidRDefault="002C10C4" w:rsidP="002C10C4">
      <w:r w:rsidRPr="009C565F">
        <w:rPr>
          <w:b/>
          <w:bCs/>
        </w:rPr>
        <w:t>RQ</w:t>
      </w:r>
      <w:r>
        <w:rPr>
          <w:b/>
          <w:bCs/>
        </w:rPr>
        <w:t>1</w:t>
      </w:r>
      <w:r w:rsidRPr="009C565F">
        <w:rPr>
          <w:b/>
          <w:bCs/>
        </w:rPr>
        <w:t>.</w:t>
      </w:r>
      <w:r>
        <w:t xml:space="preserve"> </w:t>
      </w:r>
      <w:r w:rsidRPr="006D4104">
        <w:t xml:space="preserve">Within the research EU Framework Programmes (FP), </w:t>
      </w:r>
      <w:r w:rsidR="00F51E51">
        <w:t>which</w:t>
      </w:r>
      <w:r w:rsidRPr="006D4104">
        <w:t xml:space="preserve"> dedicates to industrial maintenance research, which maintenance strategies or programs stand out the most for </w:t>
      </w:r>
      <w:r w:rsidR="00925924">
        <w:t xml:space="preserve">a </w:t>
      </w:r>
      <w:r w:rsidRPr="006D4104">
        <w:t>particular industrial application?</w:t>
      </w:r>
    </w:p>
    <w:p w14:paraId="0692EA01" w14:textId="5312B3BB" w:rsidR="002C10C4" w:rsidRDefault="002C10C4" w:rsidP="002C10C4">
      <w:r w:rsidRPr="009C565F">
        <w:t xml:space="preserve">The proposed question </w:t>
      </w:r>
      <w:r w:rsidR="00925924">
        <w:t>distinguishes</w:t>
      </w:r>
      <w:r w:rsidRPr="009C565F">
        <w:t xml:space="preserve"> the number of research projects quantitatively within a specific industrial domain. </w:t>
      </w:r>
      <w:r>
        <w:t>T</w:t>
      </w:r>
      <w:r w:rsidRPr="009C565F">
        <w:t xml:space="preserve">he </w:t>
      </w:r>
      <w:r w:rsidR="00960BF9">
        <w:t>aim is twofold:</w:t>
      </w:r>
      <w:r w:rsidRPr="009C565F">
        <w:t xml:space="preserve"> to investigate the presence of energy-oriented maintenance research projects</w:t>
      </w:r>
      <w:r w:rsidR="00960BF9">
        <w:t xml:space="preserve"> and maintenance research interest within</w:t>
      </w:r>
      <w:r w:rsidRPr="009C565F">
        <w:t xml:space="preserve"> EU programmes. Furthermore, academics and practitioners would expect that R&amp;I projects provide novelty in terms of </w:t>
      </w:r>
      <w:r w:rsidR="00FF1983">
        <w:t xml:space="preserve">altering </w:t>
      </w:r>
      <w:r w:rsidRPr="009C565F">
        <w:t xml:space="preserve">maintenance </w:t>
      </w:r>
      <w:r w:rsidR="00FF1983">
        <w:t>fundamentals</w:t>
      </w:r>
      <w:r w:rsidRPr="009C565F">
        <w:t xml:space="preserve"> or perhaps Intellectual Property (e.g., patent, design, or know-how)</w:t>
      </w:r>
      <w:r>
        <w:t xml:space="preserve">. However, </w:t>
      </w:r>
      <w:r w:rsidR="00FF1983">
        <w:t>R&amp;I maintenance projects seem to focus more</w:t>
      </w:r>
      <w:r w:rsidRPr="009C565F">
        <w:t xml:space="preserve"> on </w:t>
      </w:r>
      <w:r w:rsidR="00934C4D">
        <w:t xml:space="preserve">the </w:t>
      </w:r>
      <w:r w:rsidR="00FF1983">
        <w:t>education</w:t>
      </w:r>
      <w:r w:rsidR="00934C4D">
        <w:t xml:space="preserve"> aspect</w:t>
      </w:r>
      <w:r w:rsidR="00FF1983">
        <w:t xml:space="preserve"> </w:t>
      </w:r>
      <w:r w:rsidRPr="009C565F">
        <w:t>and structural repair</w:t>
      </w:r>
      <w:r w:rsidR="00934C4D">
        <w:t>s</w:t>
      </w:r>
      <w:r w:rsidRPr="009C565F">
        <w:t xml:space="preserve"> than on technological advancement. </w:t>
      </w:r>
      <w:r w:rsidR="00934C4D">
        <w:t>Therefore</w:t>
      </w:r>
      <w:r w:rsidRPr="009C565F">
        <w:t xml:space="preserve">, the </w:t>
      </w:r>
      <w:r w:rsidR="00065FC4">
        <w:t>second</w:t>
      </w:r>
      <w:r w:rsidRPr="009C565F">
        <w:t xml:space="preserve"> question </w:t>
      </w:r>
      <w:r w:rsidR="00934C4D">
        <w:t>is proposed.</w:t>
      </w:r>
    </w:p>
    <w:p w14:paraId="4D27DE9C" w14:textId="60F02E71" w:rsidR="002C10C4" w:rsidRDefault="002C10C4" w:rsidP="002C10C4">
      <w:r w:rsidRPr="009C565F">
        <w:rPr>
          <w:b/>
          <w:bCs/>
        </w:rPr>
        <w:t>RQ</w:t>
      </w:r>
      <w:r>
        <w:rPr>
          <w:b/>
          <w:bCs/>
        </w:rPr>
        <w:t>2</w:t>
      </w:r>
      <w:r w:rsidRPr="009C565F">
        <w:rPr>
          <w:b/>
          <w:bCs/>
        </w:rPr>
        <w:t>.</w:t>
      </w:r>
      <w:r>
        <w:t xml:space="preserve"> </w:t>
      </w:r>
      <w:r w:rsidRPr="009C565F">
        <w:t xml:space="preserve">What are the overall research </w:t>
      </w:r>
      <w:r w:rsidR="003A02D5">
        <w:t>outcomes</w:t>
      </w:r>
      <w:r w:rsidRPr="009C565F">
        <w:t xml:space="preserve"> and dissemination activities of R&amp;I maintenance projects funded by the EU, and how are they portraying maintenance development?</w:t>
      </w:r>
    </w:p>
    <w:p w14:paraId="0D93F3FF" w14:textId="255F72C8" w:rsidR="002C10C4" w:rsidRDefault="002C10C4" w:rsidP="002C10C4">
      <w:r>
        <w:t xml:space="preserve">The </w:t>
      </w:r>
      <w:r w:rsidRPr="00E81BD4">
        <w:t xml:space="preserve">goal </w:t>
      </w:r>
      <w:r w:rsidR="003A02D5">
        <w:t>of</w:t>
      </w:r>
      <w:r w:rsidRPr="00E81BD4">
        <w:t xml:space="preserve"> proposing such a question is threefold: (1) to investigate the correlation between funds invested into R&amp;I projects with expected scientific and technological deliverables; (2) to highlight the uneven scientific and technological contribution of maintenance EU projects; and (3) to discuss the lack of achievement of industrial maintenance technology within EU maintenance-related projects</w:t>
      </w:r>
      <w:r>
        <w:t>.</w:t>
      </w:r>
    </w:p>
    <w:p w14:paraId="000431A4" w14:textId="043840CE" w:rsidR="002C10C4" w:rsidRDefault="002C10C4" w:rsidP="002C10C4">
      <w:pPr>
        <w:pStyle w:val="Heading3"/>
      </w:pPr>
      <w:bookmarkStart w:id="86" w:name="_Toc62467378"/>
      <w:bookmarkStart w:id="87" w:name="_Toc91575381"/>
      <w:bookmarkStart w:id="88" w:name="_Toc93759861"/>
      <w:bookmarkStart w:id="89" w:name="_Toc93759965"/>
      <w:bookmarkStart w:id="90" w:name="_Toc101274330"/>
      <w:r>
        <w:t xml:space="preserve">Setting </w:t>
      </w:r>
      <w:r w:rsidR="00531F4C">
        <w:t>e</w:t>
      </w:r>
      <w:r>
        <w:t xml:space="preserve">ligibility </w:t>
      </w:r>
      <w:r w:rsidR="00531F4C">
        <w:t>c</w:t>
      </w:r>
      <w:r>
        <w:t>riteria(s)</w:t>
      </w:r>
      <w:bookmarkEnd w:id="86"/>
      <w:bookmarkEnd w:id="87"/>
      <w:bookmarkEnd w:id="88"/>
      <w:bookmarkEnd w:id="89"/>
      <w:bookmarkEnd w:id="90"/>
    </w:p>
    <w:p w14:paraId="3A8E98DC" w14:textId="3E85A601" w:rsidR="0061718A" w:rsidRDefault="002C10C4" w:rsidP="002C10C4">
      <w:pPr>
        <w:rPr>
          <w:lang w:bidi="en-US"/>
        </w:rPr>
      </w:pPr>
      <w:r>
        <w:rPr>
          <w:lang w:bidi="en-US"/>
        </w:rPr>
        <w:t>A</w:t>
      </w:r>
      <w:r w:rsidRPr="00D836DD">
        <w:rPr>
          <w:lang w:bidi="en-US"/>
        </w:rPr>
        <w:t xml:space="preserve"> corpus of projects reali</w:t>
      </w:r>
      <w:r>
        <w:rPr>
          <w:lang w:bidi="en-US"/>
        </w:rPr>
        <w:t>s</w:t>
      </w:r>
      <w:r w:rsidRPr="00D836DD">
        <w:rPr>
          <w:lang w:bidi="en-US"/>
        </w:rPr>
        <w:t xml:space="preserve">ed between </w:t>
      </w:r>
      <w:r>
        <w:rPr>
          <w:lang w:bidi="en-US"/>
        </w:rPr>
        <w:t>2000</w:t>
      </w:r>
      <w:r w:rsidRPr="00D836DD">
        <w:rPr>
          <w:lang w:bidi="en-US"/>
        </w:rPr>
        <w:t xml:space="preserve"> and 2019 </w:t>
      </w:r>
      <w:r>
        <w:rPr>
          <w:lang w:bidi="en-US"/>
        </w:rPr>
        <w:t>using Community Research and Development Information Service – CORDIS (</w:t>
      </w:r>
      <w:hyperlink r:id="rId19" w:history="1">
        <w:r>
          <w:rPr>
            <w:rStyle w:val="Hyperlink"/>
          </w:rPr>
          <w:t>https://cordis.europa.eu/</w:t>
        </w:r>
      </w:hyperlink>
      <w:r>
        <w:rPr>
          <w:lang w:bidi="en-US"/>
        </w:rPr>
        <w:t xml:space="preserve">) is analysed. The CORDIS repository consists of all EU-funded research projects and their results </w:t>
      </w:r>
      <w:r>
        <w:rPr>
          <w:lang w:bidi="en-US"/>
        </w:rPr>
        <w:fldChar w:fldCharType="begin" w:fldLock="1"/>
      </w:r>
      <w:r w:rsidR="00416869">
        <w:rPr>
          <w:lang w:bidi="en-US"/>
        </w:rPr>
        <w:instrText>ADDIN CSL_CITATION {"citationItems":[{"id":"ITEM-1","itemData":{"DOI":"10.2777/015164","ISBN":"978-92-79-97421-2","author":[{"dropping-particle":"","family":"Commission","given":"European","non-dropping-particle":"","parse-names":false,"suffix":""}],"id":"ITEM-1","issued":{"date-parts":[["2018"]]},"number-of-pages":"1-28","publisher":"European Union","publisher-place":"Luxembourg","title":"Quick Guide to Horizon Dashboard: EU Research and Innovation data at your fingertips","type":"report"},"uris":["http://www.mendeley.com/documents/?uuid=9c08ab89-e0ce-4118-96a6-679f78ee431d"]}],"mendeley":{"formattedCitation":"[50]","plainTextFormattedCitation":"[50]","previouslyFormattedCitation":"[50]"},"properties":{"noteIndex":0},"schema":"https://github.com/citation-style-language/schema/raw/master/csl-citation.json"}</w:instrText>
      </w:r>
      <w:r>
        <w:rPr>
          <w:lang w:bidi="en-US"/>
        </w:rPr>
        <w:fldChar w:fldCharType="separate"/>
      </w:r>
      <w:r w:rsidR="00246F3C" w:rsidRPr="00246F3C">
        <w:rPr>
          <w:noProof/>
          <w:lang w:bidi="en-US"/>
        </w:rPr>
        <w:t>[50]</w:t>
      </w:r>
      <w:r>
        <w:rPr>
          <w:lang w:bidi="en-US"/>
        </w:rPr>
        <w:fldChar w:fldCharType="end"/>
      </w:r>
      <w:r>
        <w:rPr>
          <w:lang w:bidi="en-US"/>
        </w:rPr>
        <w:t xml:space="preserve">. The underlying reason for choosing CORDIS is because the network has transparent data of all </w:t>
      </w:r>
      <w:r>
        <w:rPr>
          <w:lang w:bidi="en-US"/>
        </w:rPr>
        <w:lastRenderedPageBreak/>
        <w:t>projects funded in the EU under the Framework Programmes. Moreover, the Green Deal initiative also served as an apparatus to illustrate why such legislation can be used as a research direction-finder. The Green Deal initiative is also one of the motivational aspects where the primary interest is to reduce carbon emission</w:t>
      </w:r>
      <w:r w:rsidR="003A02D5">
        <w:rPr>
          <w:lang w:bidi="en-US"/>
        </w:rPr>
        <w:t>s</w:t>
      </w:r>
      <w:r>
        <w:rPr>
          <w:lang w:bidi="en-US"/>
        </w:rPr>
        <w:t xml:space="preserve"> on a continental level, including sustainability in everyday industrial decision-making. Therefore, including the sustainability element, such as energy, </w:t>
      </w:r>
      <w:r w:rsidR="0061718A">
        <w:rPr>
          <w:lang w:bidi="en-US"/>
        </w:rPr>
        <w:t xml:space="preserve">cannot be overseen because </w:t>
      </w:r>
      <w:r w:rsidR="00680FCB">
        <w:rPr>
          <w:lang w:bidi="en-US"/>
        </w:rPr>
        <w:t xml:space="preserve">of </w:t>
      </w:r>
      <w:r>
        <w:rPr>
          <w:lang w:bidi="en-US"/>
        </w:rPr>
        <w:t>energy waste and carbon emission</w:t>
      </w:r>
      <w:r w:rsidR="00680FCB">
        <w:rPr>
          <w:lang w:bidi="en-US"/>
        </w:rPr>
        <w:t xml:space="preserve"> influence</w:t>
      </w:r>
      <w:r>
        <w:rPr>
          <w:lang w:bidi="en-US"/>
        </w:rPr>
        <w:t xml:space="preserve"> in MDM.</w:t>
      </w:r>
    </w:p>
    <w:p w14:paraId="3BF1164D" w14:textId="2DFE1A4D" w:rsidR="002C10C4" w:rsidRDefault="002C10C4" w:rsidP="002C10C4">
      <w:pPr>
        <w:rPr>
          <w:lang w:bidi="en-US"/>
        </w:rPr>
      </w:pPr>
      <w:r>
        <w:rPr>
          <w:lang w:bidi="en-US"/>
        </w:rPr>
        <w:t>The first step of systematic</w:t>
      </w:r>
      <w:r w:rsidR="00680FCB">
        <w:rPr>
          <w:lang w:bidi="en-US"/>
        </w:rPr>
        <w:t>ally reporting and extracting evidence is setting the eligibility criteria (Table 2), including</w:t>
      </w:r>
      <w:r>
        <w:rPr>
          <w:lang w:bidi="en-US"/>
        </w:rPr>
        <w:t xml:space="preserve"> inclusion</w:t>
      </w:r>
      <w:r w:rsidR="00A01E10">
        <w:rPr>
          <w:lang w:bidi="en-US"/>
        </w:rPr>
        <w:t xml:space="preserve"> and exclusion. Inclusion criteria </w:t>
      </w:r>
      <w:r w:rsidR="00680FCB">
        <w:rPr>
          <w:lang w:bidi="en-US"/>
        </w:rPr>
        <w:t>encompass main</w:t>
      </w:r>
      <w:r>
        <w:rPr>
          <w:lang w:bidi="en-US"/>
        </w:rPr>
        <w:t xml:space="preserve"> features of interest, while exclusion criteria serve</w:t>
      </w:r>
      <w:r w:rsidR="00A01E10">
        <w:rPr>
          <w:lang w:bidi="en-US"/>
        </w:rPr>
        <w:t xml:space="preserve"> as a tool</w:t>
      </w:r>
      <w:r>
        <w:rPr>
          <w:lang w:bidi="en-US"/>
        </w:rPr>
        <w:t xml:space="preserve"> to exclude non- and loosely</w:t>
      </w:r>
      <w:r w:rsidR="00680FCB">
        <w:rPr>
          <w:lang w:bidi="en-US"/>
        </w:rPr>
        <w:t>-</w:t>
      </w:r>
      <w:r>
        <w:rPr>
          <w:lang w:bidi="en-US"/>
        </w:rPr>
        <w:t>related projects regarding proposed RQ</w:t>
      </w:r>
      <w:r w:rsidR="00632DF3">
        <w:rPr>
          <w:lang w:bidi="en-US"/>
        </w:rPr>
        <w:t>1</w:t>
      </w:r>
      <w:r>
        <w:rPr>
          <w:lang w:bidi="en-US"/>
        </w:rPr>
        <w:t xml:space="preserve"> and RQ</w:t>
      </w:r>
      <w:r w:rsidR="00632DF3">
        <w:rPr>
          <w:lang w:bidi="en-US"/>
        </w:rPr>
        <w:t>2</w:t>
      </w:r>
      <w:r>
        <w:rPr>
          <w:lang w:bidi="en-US"/>
        </w:rPr>
        <w:t>. The goal is to search only for the projects dedicated to industrial maintenance research and exclude others. The time frame is based on the framework programmes realised from FP5 to FP8</w:t>
      </w:r>
      <w:r w:rsidR="009E1ABB">
        <w:rPr>
          <w:lang w:bidi="en-US"/>
        </w:rPr>
        <w:t xml:space="preserve"> (Horizon Europe).</w:t>
      </w:r>
    </w:p>
    <w:p w14:paraId="2AF16AE2" w14:textId="32F95FA0" w:rsidR="002C10C4" w:rsidRDefault="002C10C4" w:rsidP="002C10C4">
      <w:pPr>
        <w:pStyle w:val="Caption"/>
        <w:keepNext/>
        <w:jc w:val="both"/>
      </w:pPr>
      <w:bookmarkStart w:id="91" w:name="_Ref26301549"/>
      <w:bookmarkStart w:id="92" w:name="_Toc65585492"/>
      <w:bookmarkStart w:id="93" w:name="_Toc101274442"/>
      <w:r>
        <w:t xml:space="preserve">Table </w:t>
      </w:r>
      <w:fldSimple w:instr=" SEQ Table \* ARABIC ">
        <w:r w:rsidR="00587AF0">
          <w:rPr>
            <w:noProof/>
          </w:rPr>
          <w:t>2</w:t>
        </w:r>
      </w:fldSimple>
      <w:bookmarkEnd w:id="91"/>
      <w:r>
        <w:t>. Description of inclusion and exclusion (I/E) criteria</w:t>
      </w:r>
      <w:bookmarkEnd w:id="92"/>
      <w:bookmarkEnd w:id="93"/>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418"/>
        <w:gridCol w:w="2268"/>
        <w:gridCol w:w="5341"/>
      </w:tblGrid>
      <w:tr w:rsidR="002C10C4" w:rsidRPr="005E650E" w14:paraId="73EB9AD1" w14:textId="77777777" w:rsidTr="006F541B">
        <w:tc>
          <w:tcPr>
            <w:tcW w:w="1418" w:type="dxa"/>
            <w:tcBorders>
              <w:top w:val="single" w:sz="4" w:space="0" w:color="auto"/>
              <w:left w:val="nil"/>
              <w:bottom w:val="single" w:sz="4" w:space="0" w:color="auto"/>
            </w:tcBorders>
            <w:shd w:val="clear" w:color="auto" w:fill="auto"/>
            <w:vAlign w:val="center"/>
          </w:tcPr>
          <w:p w14:paraId="0A9E1874" w14:textId="77777777" w:rsidR="002C10C4" w:rsidRPr="005E650E" w:rsidRDefault="002C10C4" w:rsidP="006F541B">
            <w:pPr>
              <w:spacing w:before="0" w:after="0"/>
              <w:rPr>
                <w:b/>
                <w:sz w:val="20"/>
                <w:szCs w:val="20"/>
                <w:lang w:val="sr-Latn-RS"/>
              </w:rPr>
            </w:pPr>
            <w:r w:rsidRPr="005E650E">
              <w:rPr>
                <w:b/>
                <w:sz w:val="20"/>
                <w:szCs w:val="20"/>
                <w:lang w:val="sr-Latn-RS"/>
              </w:rPr>
              <w:t>I/E criteria</w:t>
            </w:r>
          </w:p>
        </w:tc>
        <w:tc>
          <w:tcPr>
            <w:tcW w:w="2268" w:type="dxa"/>
            <w:tcBorders>
              <w:top w:val="single" w:sz="4" w:space="0" w:color="auto"/>
              <w:bottom w:val="single" w:sz="4" w:space="0" w:color="auto"/>
            </w:tcBorders>
            <w:shd w:val="clear" w:color="auto" w:fill="auto"/>
            <w:vAlign w:val="center"/>
          </w:tcPr>
          <w:p w14:paraId="6E1CBE07" w14:textId="77777777" w:rsidR="002C10C4" w:rsidRPr="005E650E" w:rsidRDefault="002C10C4" w:rsidP="006F541B">
            <w:pPr>
              <w:spacing w:before="0" w:after="0"/>
              <w:rPr>
                <w:b/>
                <w:sz w:val="20"/>
                <w:szCs w:val="20"/>
                <w:lang w:val="sr-Latn-RS"/>
              </w:rPr>
            </w:pPr>
            <w:r w:rsidRPr="005E650E">
              <w:rPr>
                <w:b/>
                <w:sz w:val="20"/>
                <w:szCs w:val="20"/>
                <w:lang w:val="sr-Latn-RS"/>
              </w:rPr>
              <w:t>Sub-criteria</w:t>
            </w:r>
          </w:p>
        </w:tc>
        <w:tc>
          <w:tcPr>
            <w:tcW w:w="5341" w:type="dxa"/>
            <w:tcBorders>
              <w:top w:val="single" w:sz="4" w:space="0" w:color="auto"/>
              <w:bottom w:val="single" w:sz="4" w:space="0" w:color="auto"/>
              <w:right w:val="nil"/>
            </w:tcBorders>
            <w:shd w:val="clear" w:color="auto" w:fill="auto"/>
            <w:vAlign w:val="center"/>
          </w:tcPr>
          <w:p w14:paraId="5FB312F8" w14:textId="77777777" w:rsidR="002C10C4" w:rsidRPr="005E650E" w:rsidRDefault="002C10C4" w:rsidP="006F541B">
            <w:pPr>
              <w:spacing w:before="0" w:after="0"/>
              <w:rPr>
                <w:b/>
                <w:sz w:val="20"/>
                <w:szCs w:val="20"/>
                <w:lang w:val="sr-Latn-RS"/>
              </w:rPr>
            </w:pPr>
            <w:r w:rsidRPr="005E650E">
              <w:rPr>
                <w:b/>
                <w:sz w:val="20"/>
                <w:szCs w:val="20"/>
                <w:lang w:val="sr-Latn-RS"/>
              </w:rPr>
              <w:t>Description of criteria</w:t>
            </w:r>
          </w:p>
        </w:tc>
      </w:tr>
      <w:tr w:rsidR="002C10C4" w:rsidRPr="005E650E" w14:paraId="77BBDF10" w14:textId="77777777" w:rsidTr="006F541B">
        <w:tc>
          <w:tcPr>
            <w:tcW w:w="1418" w:type="dxa"/>
            <w:vMerge w:val="restart"/>
            <w:tcBorders>
              <w:top w:val="single" w:sz="4" w:space="0" w:color="auto"/>
              <w:left w:val="nil"/>
            </w:tcBorders>
            <w:shd w:val="clear" w:color="auto" w:fill="auto"/>
          </w:tcPr>
          <w:p w14:paraId="309F4541" w14:textId="77777777" w:rsidR="002C10C4" w:rsidRPr="00323D31" w:rsidRDefault="002C10C4" w:rsidP="00323D31">
            <w:pPr>
              <w:pStyle w:val="InTables"/>
            </w:pPr>
            <w:r w:rsidRPr="00323D31">
              <w:t>Inclusion criteria</w:t>
            </w:r>
          </w:p>
        </w:tc>
        <w:tc>
          <w:tcPr>
            <w:tcW w:w="2268" w:type="dxa"/>
            <w:tcBorders>
              <w:top w:val="single" w:sz="4" w:space="0" w:color="auto"/>
            </w:tcBorders>
            <w:shd w:val="clear" w:color="auto" w:fill="auto"/>
          </w:tcPr>
          <w:p w14:paraId="693095DE" w14:textId="77777777" w:rsidR="002C10C4" w:rsidRPr="00323D31" w:rsidRDefault="002C10C4" w:rsidP="00323D31">
            <w:pPr>
              <w:pStyle w:val="InTables"/>
            </w:pPr>
            <w:r w:rsidRPr="00323D31">
              <w:t>Projects funded by EU/EC (PEC)</w:t>
            </w:r>
          </w:p>
        </w:tc>
        <w:tc>
          <w:tcPr>
            <w:tcW w:w="5341" w:type="dxa"/>
            <w:tcBorders>
              <w:top w:val="single" w:sz="4" w:space="0" w:color="auto"/>
              <w:right w:val="nil"/>
            </w:tcBorders>
            <w:shd w:val="clear" w:color="auto" w:fill="auto"/>
            <w:vAlign w:val="center"/>
          </w:tcPr>
          <w:p w14:paraId="07F25BE4" w14:textId="77777777" w:rsidR="002C10C4" w:rsidRPr="00323D31" w:rsidRDefault="002C10C4" w:rsidP="00323D31">
            <w:pPr>
              <w:pStyle w:val="InTables"/>
            </w:pPr>
            <w:r w:rsidRPr="00323D31">
              <w:t>Projects included for evaluation can only be from the European Commission’s projects.</w:t>
            </w:r>
          </w:p>
        </w:tc>
      </w:tr>
      <w:tr w:rsidR="002C10C4" w:rsidRPr="005E650E" w14:paraId="329E7524" w14:textId="77777777" w:rsidTr="006F541B">
        <w:tc>
          <w:tcPr>
            <w:tcW w:w="1418" w:type="dxa"/>
            <w:vMerge/>
            <w:tcBorders>
              <w:left w:val="nil"/>
            </w:tcBorders>
            <w:shd w:val="clear" w:color="auto" w:fill="auto"/>
          </w:tcPr>
          <w:p w14:paraId="7D697394" w14:textId="77777777" w:rsidR="002C10C4" w:rsidRPr="00323D31" w:rsidRDefault="002C10C4" w:rsidP="00323D31">
            <w:pPr>
              <w:pStyle w:val="InTables"/>
            </w:pPr>
          </w:p>
        </w:tc>
        <w:tc>
          <w:tcPr>
            <w:tcW w:w="2268" w:type="dxa"/>
            <w:shd w:val="clear" w:color="auto" w:fill="auto"/>
          </w:tcPr>
          <w:p w14:paraId="5183DDE4" w14:textId="77777777" w:rsidR="002C10C4" w:rsidRPr="00323D31" w:rsidRDefault="002C10C4" w:rsidP="00323D31">
            <w:pPr>
              <w:pStyle w:val="InTables"/>
            </w:pPr>
            <w:r w:rsidRPr="00323D31">
              <w:t>Repository of Projects (RoP)</w:t>
            </w:r>
          </w:p>
        </w:tc>
        <w:tc>
          <w:tcPr>
            <w:tcW w:w="5341" w:type="dxa"/>
            <w:tcBorders>
              <w:right w:val="nil"/>
            </w:tcBorders>
            <w:shd w:val="clear" w:color="auto" w:fill="auto"/>
            <w:vAlign w:val="center"/>
          </w:tcPr>
          <w:p w14:paraId="4AE447AC" w14:textId="373968ED" w:rsidR="002C10C4" w:rsidRPr="00323D31" w:rsidRDefault="002C10C4" w:rsidP="00323D31">
            <w:pPr>
              <w:pStyle w:val="InTables"/>
            </w:pPr>
            <w:r w:rsidRPr="00323D31">
              <w:t>Results are from the repository of the CORDIS database (</w:t>
            </w:r>
            <w:hyperlink r:id="rId20" w:history="1">
              <w:r w:rsidRPr="00323D31">
                <w:rPr>
                  <w:rStyle w:val="Hyperlink"/>
                  <w:szCs w:val="20"/>
                </w:rPr>
                <w:t>https://cordis.europa.eu/</w:t>
              </w:r>
            </w:hyperlink>
            <w:r w:rsidRPr="00323D31">
              <w:t>).</w:t>
            </w:r>
          </w:p>
        </w:tc>
      </w:tr>
      <w:tr w:rsidR="002C10C4" w:rsidRPr="005E650E" w14:paraId="710687CC" w14:textId="77777777" w:rsidTr="006F541B">
        <w:tc>
          <w:tcPr>
            <w:tcW w:w="1418" w:type="dxa"/>
            <w:vMerge/>
            <w:tcBorders>
              <w:left w:val="nil"/>
            </w:tcBorders>
            <w:shd w:val="clear" w:color="auto" w:fill="auto"/>
          </w:tcPr>
          <w:p w14:paraId="0400AFE3" w14:textId="77777777" w:rsidR="002C10C4" w:rsidRPr="00323D31" w:rsidRDefault="002C10C4" w:rsidP="00323D31">
            <w:pPr>
              <w:pStyle w:val="InTables"/>
            </w:pPr>
          </w:p>
        </w:tc>
        <w:tc>
          <w:tcPr>
            <w:tcW w:w="2268" w:type="dxa"/>
            <w:shd w:val="clear" w:color="auto" w:fill="auto"/>
          </w:tcPr>
          <w:p w14:paraId="296847B8" w14:textId="77777777" w:rsidR="002C10C4" w:rsidRPr="00323D31" w:rsidRDefault="002C10C4" w:rsidP="00323D31">
            <w:pPr>
              <w:pStyle w:val="InTables"/>
            </w:pPr>
            <w:r w:rsidRPr="00323D31">
              <w:t>Framework Programme Projects (FPP)</w:t>
            </w:r>
          </w:p>
        </w:tc>
        <w:tc>
          <w:tcPr>
            <w:tcW w:w="5341" w:type="dxa"/>
            <w:tcBorders>
              <w:right w:val="nil"/>
            </w:tcBorders>
            <w:shd w:val="clear" w:color="auto" w:fill="auto"/>
            <w:vAlign w:val="center"/>
          </w:tcPr>
          <w:p w14:paraId="209436C9" w14:textId="77777777" w:rsidR="002C10C4" w:rsidRPr="00323D31" w:rsidRDefault="002C10C4" w:rsidP="00323D31">
            <w:pPr>
              <w:pStyle w:val="InTables"/>
            </w:pPr>
            <w:r w:rsidRPr="00323D31">
              <w:t>Framework Programmes for Research and Technological Development (FP5-FP7) and Research and Innovation FP8 (H2020) projects.</w:t>
            </w:r>
          </w:p>
        </w:tc>
      </w:tr>
      <w:tr w:rsidR="002C10C4" w:rsidRPr="005E650E" w14:paraId="30E54D08" w14:textId="77777777" w:rsidTr="006F541B">
        <w:tc>
          <w:tcPr>
            <w:tcW w:w="1418" w:type="dxa"/>
            <w:vMerge/>
            <w:tcBorders>
              <w:left w:val="nil"/>
              <w:bottom w:val="single" w:sz="4" w:space="0" w:color="auto"/>
            </w:tcBorders>
            <w:shd w:val="clear" w:color="auto" w:fill="auto"/>
          </w:tcPr>
          <w:p w14:paraId="22948197" w14:textId="77777777" w:rsidR="002C10C4" w:rsidRPr="00323D31" w:rsidRDefault="002C10C4" w:rsidP="00323D31">
            <w:pPr>
              <w:pStyle w:val="InTables"/>
            </w:pPr>
          </w:p>
        </w:tc>
        <w:tc>
          <w:tcPr>
            <w:tcW w:w="2268" w:type="dxa"/>
            <w:tcBorders>
              <w:bottom w:val="single" w:sz="4" w:space="0" w:color="auto"/>
            </w:tcBorders>
            <w:shd w:val="clear" w:color="auto" w:fill="auto"/>
          </w:tcPr>
          <w:p w14:paraId="363C47A9" w14:textId="77777777" w:rsidR="002C10C4" w:rsidRPr="00323D31" w:rsidRDefault="002C10C4" w:rsidP="00323D31">
            <w:pPr>
              <w:pStyle w:val="InTables"/>
            </w:pPr>
            <w:r w:rsidRPr="00323D31">
              <w:t>Time Frame (TF)</w:t>
            </w:r>
          </w:p>
        </w:tc>
        <w:tc>
          <w:tcPr>
            <w:tcW w:w="5341" w:type="dxa"/>
            <w:tcBorders>
              <w:bottom w:val="single" w:sz="4" w:space="0" w:color="auto"/>
              <w:right w:val="nil"/>
            </w:tcBorders>
            <w:shd w:val="clear" w:color="auto" w:fill="auto"/>
            <w:vAlign w:val="center"/>
          </w:tcPr>
          <w:p w14:paraId="4195F503" w14:textId="229682BF" w:rsidR="002C10C4" w:rsidRPr="00323D31" w:rsidRDefault="002C10C4" w:rsidP="00323D31">
            <w:pPr>
              <w:pStyle w:val="InTables"/>
            </w:pPr>
            <w:r w:rsidRPr="00323D31">
              <w:t>The time frame is set from 01.01.2000</w:t>
            </w:r>
            <w:r w:rsidR="00F51E51">
              <w:t xml:space="preserve"> to </w:t>
            </w:r>
            <w:r w:rsidRPr="00323D31">
              <w:t>01.01.2020.</w:t>
            </w:r>
          </w:p>
        </w:tc>
      </w:tr>
      <w:tr w:rsidR="002C10C4" w:rsidRPr="005E650E" w14:paraId="03199794" w14:textId="77777777" w:rsidTr="006F541B">
        <w:tc>
          <w:tcPr>
            <w:tcW w:w="1418" w:type="dxa"/>
            <w:vMerge w:val="restart"/>
            <w:tcBorders>
              <w:top w:val="single" w:sz="4" w:space="0" w:color="auto"/>
              <w:left w:val="nil"/>
              <w:bottom w:val="nil"/>
            </w:tcBorders>
            <w:shd w:val="clear" w:color="auto" w:fill="auto"/>
          </w:tcPr>
          <w:p w14:paraId="67C8F6AF" w14:textId="77777777" w:rsidR="002C10C4" w:rsidRPr="00323D31" w:rsidRDefault="002C10C4" w:rsidP="00323D31">
            <w:pPr>
              <w:pStyle w:val="InTables"/>
            </w:pPr>
            <w:r w:rsidRPr="00323D31">
              <w:t xml:space="preserve">Exclusion </w:t>
            </w:r>
            <w:r w:rsidRPr="00323D31">
              <w:rPr>
                <w:noProof/>
              </w:rPr>
              <w:t>criteria</w:t>
            </w:r>
          </w:p>
        </w:tc>
        <w:tc>
          <w:tcPr>
            <w:tcW w:w="2268" w:type="dxa"/>
            <w:vMerge w:val="restart"/>
            <w:tcBorders>
              <w:top w:val="single" w:sz="4" w:space="0" w:color="auto"/>
              <w:bottom w:val="nil"/>
            </w:tcBorders>
            <w:shd w:val="clear" w:color="auto" w:fill="auto"/>
          </w:tcPr>
          <w:p w14:paraId="23AC7C0E" w14:textId="77777777" w:rsidR="002C10C4" w:rsidRPr="00323D31" w:rsidRDefault="002C10C4" w:rsidP="00323D31">
            <w:pPr>
              <w:pStyle w:val="InTables"/>
            </w:pPr>
            <w:r w:rsidRPr="00323D31">
              <w:t>Non-Related (NR)</w:t>
            </w:r>
          </w:p>
        </w:tc>
        <w:tc>
          <w:tcPr>
            <w:tcW w:w="5341" w:type="dxa"/>
            <w:tcBorders>
              <w:top w:val="single" w:sz="4" w:space="0" w:color="auto"/>
              <w:bottom w:val="nil"/>
              <w:right w:val="nil"/>
            </w:tcBorders>
            <w:shd w:val="clear" w:color="auto" w:fill="auto"/>
            <w:vAlign w:val="center"/>
          </w:tcPr>
          <w:p w14:paraId="2B1FEED1" w14:textId="77777777" w:rsidR="002C10C4" w:rsidRPr="00323D31" w:rsidRDefault="002C10C4" w:rsidP="00323D31">
            <w:pPr>
              <w:pStyle w:val="InTables"/>
            </w:pPr>
            <w:r w:rsidRPr="00323D31">
              <w:t>NR1: Projects not dealing with industrial maintenance (e.g., medicine, biology) are excluded.</w:t>
            </w:r>
          </w:p>
        </w:tc>
      </w:tr>
      <w:tr w:rsidR="002C10C4" w:rsidRPr="005E650E" w14:paraId="70D6EDDA" w14:textId="77777777" w:rsidTr="006F541B">
        <w:trPr>
          <w:trHeight w:val="495"/>
        </w:trPr>
        <w:tc>
          <w:tcPr>
            <w:tcW w:w="1418" w:type="dxa"/>
            <w:vMerge/>
            <w:tcBorders>
              <w:top w:val="nil"/>
              <w:left w:val="nil"/>
            </w:tcBorders>
            <w:shd w:val="clear" w:color="auto" w:fill="auto"/>
            <w:vAlign w:val="center"/>
          </w:tcPr>
          <w:p w14:paraId="07D8BF78" w14:textId="77777777" w:rsidR="002C10C4" w:rsidRPr="00323D31" w:rsidRDefault="002C10C4" w:rsidP="00323D31">
            <w:pPr>
              <w:pStyle w:val="InTables"/>
              <w:rPr>
                <w:i/>
              </w:rPr>
            </w:pPr>
          </w:p>
        </w:tc>
        <w:tc>
          <w:tcPr>
            <w:tcW w:w="2268" w:type="dxa"/>
            <w:vMerge/>
            <w:tcBorders>
              <w:top w:val="nil"/>
            </w:tcBorders>
            <w:shd w:val="clear" w:color="auto" w:fill="auto"/>
            <w:vAlign w:val="center"/>
          </w:tcPr>
          <w:p w14:paraId="213602A4" w14:textId="77777777" w:rsidR="002C10C4" w:rsidRPr="00323D31" w:rsidRDefault="002C10C4" w:rsidP="00323D31">
            <w:pPr>
              <w:pStyle w:val="InTables"/>
            </w:pPr>
          </w:p>
        </w:tc>
        <w:tc>
          <w:tcPr>
            <w:tcW w:w="5341" w:type="dxa"/>
            <w:tcBorders>
              <w:top w:val="nil"/>
              <w:right w:val="nil"/>
            </w:tcBorders>
            <w:shd w:val="clear" w:color="auto" w:fill="auto"/>
            <w:vAlign w:val="center"/>
          </w:tcPr>
          <w:p w14:paraId="300FFFD9" w14:textId="77777777" w:rsidR="002C10C4" w:rsidRPr="00323D31" w:rsidRDefault="002C10C4" w:rsidP="00323D31">
            <w:pPr>
              <w:pStyle w:val="InTables"/>
              <w:rPr>
                <w:lang w:val="en-GB"/>
              </w:rPr>
            </w:pPr>
            <w:r w:rsidRPr="00323D31">
              <w:t>NR2: Projects that appear after the search due to keyword bias; however, they do not address research on industrial maintenance are excluded.</w:t>
            </w:r>
          </w:p>
        </w:tc>
      </w:tr>
      <w:tr w:rsidR="002C10C4" w:rsidRPr="005E650E" w14:paraId="4AFD9B6E" w14:textId="77777777" w:rsidTr="006F541B">
        <w:tc>
          <w:tcPr>
            <w:tcW w:w="1418" w:type="dxa"/>
            <w:vMerge/>
            <w:tcBorders>
              <w:left w:val="nil"/>
            </w:tcBorders>
            <w:shd w:val="clear" w:color="auto" w:fill="auto"/>
            <w:vAlign w:val="center"/>
          </w:tcPr>
          <w:p w14:paraId="006FA75E" w14:textId="77777777" w:rsidR="002C10C4" w:rsidRPr="00323D31" w:rsidRDefault="002C10C4" w:rsidP="00323D31">
            <w:pPr>
              <w:pStyle w:val="InTables"/>
              <w:rPr>
                <w:i/>
              </w:rPr>
            </w:pPr>
          </w:p>
        </w:tc>
        <w:tc>
          <w:tcPr>
            <w:tcW w:w="2268" w:type="dxa"/>
            <w:vMerge w:val="restart"/>
            <w:shd w:val="clear" w:color="auto" w:fill="auto"/>
          </w:tcPr>
          <w:p w14:paraId="567470E0" w14:textId="77777777" w:rsidR="002C10C4" w:rsidRPr="00323D31" w:rsidRDefault="002C10C4" w:rsidP="00323D31">
            <w:pPr>
              <w:pStyle w:val="InTables"/>
            </w:pPr>
            <w:r w:rsidRPr="00323D31">
              <w:t>Loosely-Related (LR)</w:t>
            </w:r>
          </w:p>
        </w:tc>
        <w:tc>
          <w:tcPr>
            <w:tcW w:w="5341" w:type="dxa"/>
            <w:tcBorders>
              <w:right w:val="nil"/>
            </w:tcBorders>
            <w:shd w:val="clear" w:color="auto" w:fill="auto"/>
            <w:vAlign w:val="center"/>
          </w:tcPr>
          <w:p w14:paraId="4C1B3644" w14:textId="4A4DA7E9" w:rsidR="002C10C4" w:rsidRPr="00323D31" w:rsidRDefault="002C10C4" w:rsidP="00323D31">
            <w:pPr>
              <w:pStyle w:val="InTables"/>
            </w:pPr>
            <w:r w:rsidRPr="00323D31">
              <w:t xml:space="preserve">LR1: Projects that </w:t>
            </w:r>
            <w:r w:rsidR="003F7EF8">
              <w:t>deal</w:t>
            </w:r>
            <w:r w:rsidRPr="00323D31">
              <w:t xml:space="preserve"> with the services of softwares, programs, or algorithms but not with industrial maintenance practice.</w:t>
            </w:r>
          </w:p>
        </w:tc>
      </w:tr>
      <w:tr w:rsidR="002C10C4" w:rsidRPr="005E650E" w14:paraId="3F2D5B59" w14:textId="77777777" w:rsidTr="006F541B">
        <w:tc>
          <w:tcPr>
            <w:tcW w:w="1418" w:type="dxa"/>
            <w:vMerge/>
            <w:tcBorders>
              <w:left w:val="nil"/>
            </w:tcBorders>
            <w:shd w:val="clear" w:color="auto" w:fill="auto"/>
            <w:vAlign w:val="center"/>
          </w:tcPr>
          <w:p w14:paraId="7E40A4CC" w14:textId="77777777" w:rsidR="002C10C4" w:rsidRPr="00323D31" w:rsidRDefault="002C10C4" w:rsidP="00323D31">
            <w:pPr>
              <w:pStyle w:val="InTables"/>
              <w:rPr>
                <w:i/>
              </w:rPr>
            </w:pPr>
          </w:p>
        </w:tc>
        <w:tc>
          <w:tcPr>
            <w:tcW w:w="2268" w:type="dxa"/>
            <w:vMerge/>
            <w:shd w:val="clear" w:color="auto" w:fill="auto"/>
            <w:vAlign w:val="center"/>
          </w:tcPr>
          <w:p w14:paraId="10FF1E26" w14:textId="77777777" w:rsidR="002C10C4" w:rsidRPr="00323D31" w:rsidRDefault="002C10C4" w:rsidP="00323D31">
            <w:pPr>
              <w:pStyle w:val="InTables"/>
            </w:pPr>
          </w:p>
        </w:tc>
        <w:tc>
          <w:tcPr>
            <w:tcW w:w="5341" w:type="dxa"/>
            <w:tcBorders>
              <w:right w:val="nil"/>
            </w:tcBorders>
            <w:shd w:val="clear" w:color="auto" w:fill="auto"/>
            <w:vAlign w:val="center"/>
          </w:tcPr>
          <w:p w14:paraId="26344AFC" w14:textId="5A1EF3D3" w:rsidR="002C10C4" w:rsidRPr="00323D31" w:rsidRDefault="002C10C4" w:rsidP="00323D31">
            <w:pPr>
              <w:pStyle w:val="InTables"/>
            </w:pPr>
            <w:r w:rsidRPr="00323D31">
              <w:t>LR2: Projects dealing with social challenges, ergonomics, business, and other non-specific industrial maintenance projects.</w:t>
            </w:r>
          </w:p>
        </w:tc>
      </w:tr>
    </w:tbl>
    <w:p w14:paraId="4A1628D8" w14:textId="7FBF146E" w:rsidR="002C10C4" w:rsidRDefault="002C10C4" w:rsidP="002C10C4">
      <w:pPr>
        <w:rPr>
          <w:lang w:bidi="en-US"/>
        </w:rPr>
      </w:pPr>
      <w:bookmarkStart w:id="94" w:name="_Ref26520985"/>
      <w:bookmarkStart w:id="95" w:name="_Ref62133528"/>
      <w:bookmarkStart w:id="96" w:name="_Ref26520963"/>
      <w:bookmarkStart w:id="97" w:name="_Ref62133522"/>
      <w:r>
        <w:rPr>
          <w:lang w:bidi="en-US"/>
        </w:rPr>
        <w:t xml:space="preserve">After setting the eligibility criteria </w:t>
      </w:r>
      <w:r w:rsidR="003F7EF8">
        <w:rPr>
          <w:lang w:bidi="en-US"/>
        </w:rPr>
        <w:t xml:space="preserve">and </w:t>
      </w:r>
      <w:r>
        <w:rPr>
          <w:lang w:bidi="en-US"/>
        </w:rPr>
        <w:t>extracting keywords and syntaxes from research question</w:t>
      </w:r>
      <w:r w:rsidR="001F7A47">
        <w:rPr>
          <w:lang w:bidi="en-US"/>
        </w:rPr>
        <w:t>s</w:t>
      </w:r>
      <w:r>
        <w:rPr>
          <w:lang w:bidi="en-US"/>
        </w:rPr>
        <w:t xml:space="preserve">, the following step </w:t>
      </w:r>
      <w:r w:rsidR="003F7EF8">
        <w:rPr>
          <w:lang w:bidi="en-US"/>
        </w:rPr>
        <w:t>defines</w:t>
      </w:r>
      <w:r>
        <w:rPr>
          <w:lang w:bidi="en-US"/>
        </w:rPr>
        <w:t xml:space="preserve"> strings for search</w:t>
      </w:r>
      <w:r w:rsidR="001F7A47">
        <w:rPr>
          <w:lang w:bidi="en-US"/>
        </w:rPr>
        <w:t>ing</w:t>
      </w:r>
      <w:r>
        <w:rPr>
          <w:lang w:bidi="en-US"/>
        </w:rPr>
        <w:t xml:space="preserve"> projects related to the proposed RQs while respecting eligibility </w:t>
      </w:r>
      <w:r w:rsidR="001F7A47">
        <w:rPr>
          <w:lang w:bidi="en-US"/>
        </w:rPr>
        <w:t>(</w:t>
      </w:r>
      <w:r>
        <w:rPr>
          <w:lang w:bidi="en-US"/>
        </w:rPr>
        <w:t>I/E</w:t>
      </w:r>
      <w:r w:rsidR="001F7A47">
        <w:rPr>
          <w:lang w:bidi="en-US"/>
        </w:rPr>
        <w:t>)</w:t>
      </w:r>
      <w:r>
        <w:rPr>
          <w:lang w:bidi="en-US"/>
        </w:rPr>
        <w:t xml:space="preserve"> criteria.</w:t>
      </w:r>
    </w:p>
    <w:p w14:paraId="4F29B332" w14:textId="77777777" w:rsidR="002C10C4" w:rsidRDefault="002C10C4" w:rsidP="002C10C4">
      <w:pPr>
        <w:pStyle w:val="Heading3"/>
        <w:rPr>
          <w:lang w:bidi="en-US"/>
        </w:rPr>
      </w:pPr>
      <w:bookmarkStart w:id="98" w:name="_Toc62467379"/>
      <w:bookmarkStart w:id="99" w:name="_Toc91575382"/>
      <w:bookmarkStart w:id="100" w:name="_Toc93759862"/>
      <w:bookmarkStart w:id="101" w:name="_Toc93759966"/>
      <w:bookmarkStart w:id="102" w:name="_Toc101274331"/>
      <w:r>
        <w:rPr>
          <w:lang w:bidi="en-US"/>
        </w:rPr>
        <w:t>Search strings and search protocol</w:t>
      </w:r>
      <w:bookmarkEnd w:id="98"/>
      <w:bookmarkEnd w:id="99"/>
      <w:bookmarkEnd w:id="100"/>
      <w:bookmarkEnd w:id="101"/>
      <w:bookmarkEnd w:id="102"/>
    </w:p>
    <w:p w14:paraId="0DCC5F02" w14:textId="29DAD556" w:rsidR="002C10C4" w:rsidRDefault="002C10C4" w:rsidP="00CB0555">
      <w:pPr>
        <w:spacing w:before="0" w:after="160" w:line="259" w:lineRule="auto"/>
        <w:rPr>
          <w:lang w:bidi="en-US"/>
        </w:rPr>
      </w:pPr>
      <w:r>
        <w:rPr>
          <w:lang w:bidi="en-US"/>
        </w:rPr>
        <w:t xml:space="preserve">Based on the proposed RQs, appropriate search strings are modelled and presented </w:t>
      </w:r>
      <w:r w:rsidR="003F7EF8">
        <w:rPr>
          <w:lang w:bidi="en-US"/>
        </w:rPr>
        <w:t>i</w:t>
      </w:r>
      <w:r w:rsidR="00CB0555">
        <w:rPr>
          <w:lang w:bidi="en-US"/>
        </w:rPr>
        <w:t xml:space="preserve">n </w:t>
      </w:r>
      <w:r w:rsidR="00CB0555">
        <w:rPr>
          <w:lang w:bidi="en-US"/>
        </w:rPr>
        <w:fldChar w:fldCharType="begin"/>
      </w:r>
      <w:r w:rsidR="00CB0555">
        <w:rPr>
          <w:lang w:bidi="en-US"/>
        </w:rPr>
        <w:instrText xml:space="preserve"> REF _Ref100680774 \h </w:instrText>
      </w:r>
      <w:r w:rsidR="00CB0555">
        <w:rPr>
          <w:lang w:bidi="en-US"/>
        </w:rPr>
      </w:r>
      <w:r w:rsidR="00CB0555">
        <w:rPr>
          <w:lang w:bidi="en-US"/>
        </w:rPr>
        <w:fldChar w:fldCharType="separate"/>
      </w:r>
      <w:r w:rsidR="00587AF0">
        <w:t xml:space="preserve">Table </w:t>
      </w:r>
      <w:r w:rsidR="00587AF0">
        <w:rPr>
          <w:noProof/>
        </w:rPr>
        <w:t>3</w:t>
      </w:r>
      <w:r w:rsidR="00CB0555">
        <w:rPr>
          <w:lang w:bidi="en-US"/>
        </w:rPr>
        <w:fldChar w:fldCharType="end"/>
      </w:r>
      <w:r>
        <w:rPr>
          <w:lang w:bidi="en-US"/>
        </w:rPr>
        <w:t xml:space="preserve">. The search strings should encompass the most common maintenance strategies and programs applied in the industrial maintenance research domain. After searching the most common strings in industrial maintenance research, an additional snowballing search is used for keywords with asterisks (*) </w:t>
      </w:r>
      <w:r w:rsidR="003F7EF8">
        <w:rPr>
          <w:lang w:bidi="en-US"/>
        </w:rPr>
        <w:t>to</w:t>
      </w:r>
      <w:r>
        <w:rPr>
          <w:lang w:bidi="en-US"/>
        </w:rPr>
        <w:t xml:space="preserve"> </w:t>
      </w:r>
      <w:r w:rsidR="003F7EF8">
        <w:rPr>
          <w:lang w:bidi="en-US"/>
        </w:rPr>
        <w:t>find related projects that the standard search may omit eventually</w:t>
      </w:r>
      <w:r>
        <w:rPr>
          <w:lang w:bidi="en-US"/>
        </w:rPr>
        <w:t>.</w:t>
      </w:r>
    </w:p>
    <w:p w14:paraId="0D3A2F37" w14:textId="2308A4E1" w:rsidR="005A541D" w:rsidRDefault="002C10C4" w:rsidP="005A541D">
      <w:pPr>
        <w:rPr>
          <w:lang w:val="sr-Latn-RS"/>
        </w:rPr>
      </w:pPr>
      <w:r>
        <w:rPr>
          <w:lang w:val="sr-Latn-RS"/>
        </w:rPr>
        <w:t>The project research and analysis follow t</w:t>
      </w:r>
      <w:r w:rsidR="005A541D">
        <w:rPr>
          <w:lang w:val="sr-Latn-RS"/>
        </w:rPr>
        <w:t>wo</w:t>
      </w:r>
      <w:r>
        <w:rPr>
          <w:lang w:val="sr-Latn-RS"/>
        </w:rPr>
        <w:t xml:space="preserve"> </w:t>
      </w:r>
      <w:r w:rsidR="005A541D">
        <w:rPr>
          <w:lang w:val="sr-Latn-RS"/>
        </w:rPr>
        <w:t>phases (</w:t>
      </w:r>
      <w:r w:rsidR="005A541D">
        <w:rPr>
          <w:lang w:bidi="en-US"/>
        </w:rPr>
        <w:fldChar w:fldCharType="begin"/>
      </w:r>
      <w:r w:rsidR="005A541D">
        <w:rPr>
          <w:lang w:bidi="en-US"/>
        </w:rPr>
        <w:instrText xml:space="preserve"> REF _Ref26362937 \h </w:instrText>
      </w:r>
      <w:r w:rsidR="005A541D">
        <w:rPr>
          <w:lang w:bidi="en-US"/>
        </w:rPr>
      </w:r>
      <w:r w:rsidR="005A541D">
        <w:rPr>
          <w:lang w:bidi="en-US"/>
        </w:rPr>
        <w:fldChar w:fldCharType="separate"/>
      </w:r>
      <w:r w:rsidR="00587AF0">
        <w:t xml:space="preserve">Figure </w:t>
      </w:r>
      <w:r w:rsidR="00587AF0">
        <w:rPr>
          <w:noProof/>
        </w:rPr>
        <w:t>7</w:t>
      </w:r>
      <w:r w:rsidR="005A541D">
        <w:rPr>
          <w:lang w:bidi="en-US"/>
        </w:rPr>
        <w:fldChar w:fldCharType="end"/>
      </w:r>
      <w:r w:rsidR="005A541D">
        <w:rPr>
          <w:lang w:val="sr-Latn-RS"/>
        </w:rPr>
        <w:t>)</w:t>
      </w:r>
      <w:r>
        <w:rPr>
          <w:lang w:val="sr-Latn-RS"/>
        </w:rPr>
        <w:t xml:space="preserve">. The first </w:t>
      </w:r>
      <w:r w:rsidR="005A541D">
        <w:rPr>
          <w:lang w:val="sr-Latn-RS"/>
        </w:rPr>
        <w:t>phase collects</w:t>
      </w:r>
      <w:r>
        <w:rPr>
          <w:lang w:val="sr-Latn-RS"/>
        </w:rPr>
        <w:t xml:space="preserve"> all the relevant projects into the database concerning inclusion (PEC, RoP, TF, FPP) and exclusion (NR1, NR2) criteria. This is done by screening the projects</w:t>
      </w:r>
      <w:r>
        <w:rPr>
          <w:lang w:val="en-GB"/>
        </w:rPr>
        <w:t>’</w:t>
      </w:r>
      <w:r>
        <w:rPr>
          <w:lang w:val="sr-Latn-RS"/>
        </w:rPr>
        <w:t xml:space="preserve"> factsheets provided by CORDIS meta-data and excluding the projects proposed by the criteria.</w:t>
      </w:r>
      <w:r w:rsidR="005A541D">
        <w:rPr>
          <w:lang w:val="sr-Latn-RS"/>
        </w:rPr>
        <w:t xml:space="preserve"> The residue of the projects, in the second step, follows an exhaustive review of projects evidence in its broadest sense. Exclusion LR1 and LR2 criteria exclude projects not related to maintenance practice. According to CORDIS search guidelines, a snowballing search is conducted using various search strings.</w:t>
      </w:r>
      <w:r w:rsidR="005A541D">
        <w:rPr>
          <w:lang w:bidi="en-US"/>
        </w:rPr>
        <w:t xml:space="preserve"> After </w:t>
      </w:r>
      <w:r w:rsidR="00371232">
        <w:rPr>
          <w:lang w:bidi="en-US"/>
        </w:rPr>
        <w:t>selecting</w:t>
      </w:r>
      <w:r w:rsidR="005A541D">
        <w:rPr>
          <w:lang w:bidi="en-US"/>
        </w:rPr>
        <w:t xml:space="preserve"> closely related projects, an in-detail description of projects’ meta-data, outcomes, dissemination activities, </w:t>
      </w:r>
      <w:r w:rsidR="00D3415F">
        <w:rPr>
          <w:lang w:bidi="en-US"/>
        </w:rPr>
        <w:t xml:space="preserve">and </w:t>
      </w:r>
      <w:r w:rsidR="005A541D">
        <w:rPr>
          <w:lang w:bidi="en-US"/>
        </w:rPr>
        <w:t>resources are presented and elaborated.</w:t>
      </w:r>
    </w:p>
    <w:p w14:paraId="74657B08" w14:textId="0C320489" w:rsidR="002C10C4" w:rsidRDefault="002C10C4" w:rsidP="00CB0555">
      <w:pPr>
        <w:rPr>
          <w:lang w:bidi="en-US"/>
        </w:rPr>
      </w:pPr>
    </w:p>
    <w:p w14:paraId="742DE1A8" w14:textId="6DED8D1F" w:rsidR="002C10C4" w:rsidRPr="00C323ED" w:rsidRDefault="002C10C4" w:rsidP="002C10C4">
      <w:pPr>
        <w:rPr>
          <w:vertAlign w:val="superscript"/>
        </w:rPr>
      </w:pPr>
      <w:bookmarkStart w:id="103" w:name="_Ref92203261"/>
      <w:bookmarkStart w:id="104" w:name="_Ref100680774"/>
      <w:bookmarkStart w:id="105" w:name="_Toc65585493"/>
      <w:bookmarkStart w:id="106" w:name="_Toc101274443"/>
      <w:r>
        <w:lastRenderedPageBreak/>
        <w:t xml:space="preserve">Table </w:t>
      </w:r>
      <w:fldSimple w:instr=" SEQ Table \* ARABIC ">
        <w:r w:rsidR="00587AF0">
          <w:rPr>
            <w:noProof/>
          </w:rPr>
          <w:t>3</w:t>
        </w:r>
      </w:fldSimple>
      <w:bookmarkEnd w:id="94"/>
      <w:bookmarkEnd w:id="95"/>
      <w:bookmarkEnd w:id="103"/>
      <w:bookmarkEnd w:id="104"/>
      <w:r>
        <w:t>. Search results of the projects using defined search strings</w:t>
      </w:r>
      <w:bookmarkEnd w:id="96"/>
      <w:bookmarkEnd w:id="97"/>
      <w:bookmarkEnd w:id="105"/>
      <w:bookmarkEnd w:id="106"/>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985"/>
        <w:gridCol w:w="5103"/>
        <w:gridCol w:w="1939"/>
      </w:tblGrid>
      <w:tr w:rsidR="002C10C4" w:rsidRPr="005E650E" w14:paraId="2B10D970" w14:textId="77777777" w:rsidTr="006F541B">
        <w:tc>
          <w:tcPr>
            <w:tcW w:w="1985" w:type="dxa"/>
            <w:tcBorders>
              <w:top w:val="single" w:sz="4" w:space="0" w:color="auto"/>
              <w:left w:val="nil"/>
              <w:bottom w:val="single" w:sz="4" w:space="0" w:color="auto"/>
            </w:tcBorders>
            <w:shd w:val="clear" w:color="auto" w:fill="auto"/>
            <w:vAlign w:val="center"/>
          </w:tcPr>
          <w:p w14:paraId="1F36DEB2" w14:textId="77777777" w:rsidR="002C10C4" w:rsidRPr="005E650E" w:rsidRDefault="002C10C4" w:rsidP="006F541B">
            <w:pPr>
              <w:spacing w:before="0" w:after="0"/>
              <w:rPr>
                <w:b/>
                <w:sz w:val="20"/>
                <w:szCs w:val="20"/>
                <w:lang w:val="sr-Latn-RS"/>
              </w:rPr>
            </w:pPr>
            <w:r w:rsidRPr="005E650E">
              <w:rPr>
                <w:b/>
                <w:sz w:val="20"/>
                <w:szCs w:val="20"/>
                <w:lang w:val="sr-Latn-RS"/>
              </w:rPr>
              <w:t>Search action</w:t>
            </w:r>
          </w:p>
        </w:tc>
        <w:tc>
          <w:tcPr>
            <w:tcW w:w="5103" w:type="dxa"/>
            <w:tcBorders>
              <w:top w:val="single" w:sz="4" w:space="0" w:color="auto"/>
              <w:bottom w:val="single" w:sz="4" w:space="0" w:color="auto"/>
            </w:tcBorders>
            <w:shd w:val="clear" w:color="auto" w:fill="auto"/>
            <w:vAlign w:val="center"/>
          </w:tcPr>
          <w:p w14:paraId="170A2576" w14:textId="77777777" w:rsidR="002C10C4" w:rsidRPr="005E650E" w:rsidRDefault="002C10C4" w:rsidP="006F541B">
            <w:pPr>
              <w:spacing w:before="0" w:after="0"/>
              <w:rPr>
                <w:b/>
                <w:sz w:val="20"/>
                <w:szCs w:val="20"/>
                <w:vertAlign w:val="superscript"/>
                <w:lang w:val="sr-Latn-RS"/>
              </w:rPr>
            </w:pPr>
            <w:r w:rsidRPr="005E650E">
              <w:rPr>
                <w:b/>
                <w:sz w:val="20"/>
                <w:szCs w:val="20"/>
                <w:lang w:val="sr-Latn-RS"/>
              </w:rPr>
              <w:t>Description of search strings</w:t>
            </w:r>
          </w:p>
        </w:tc>
        <w:tc>
          <w:tcPr>
            <w:tcW w:w="1939" w:type="dxa"/>
            <w:tcBorders>
              <w:top w:val="single" w:sz="4" w:space="0" w:color="auto"/>
              <w:bottom w:val="single" w:sz="4" w:space="0" w:color="auto"/>
              <w:right w:val="nil"/>
            </w:tcBorders>
            <w:shd w:val="clear" w:color="auto" w:fill="auto"/>
            <w:vAlign w:val="center"/>
          </w:tcPr>
          <w:p w14:paraId="7B4BEEB0" w14:textId="77777777" w:rsidR="002C10C4" w:rsidRPr="005E650E" w:rsidRDefault="002C10C4" w:rsidP="006F541B">
            <w:pPr>
              <w:spacing w:before="0" w:after="0"/>
              <w:jc w:val="right"/>
              <w:rPr>
                <w:b/>
                <w:sz w:val="20"/>
                <w:szCs w:val="20"/>
                <w:lang w:val="sr-Latn-RS"/>
              </w:rPr>
            </w:pPr>
            <w:r w:rsidRPr="005E650E">
              <w:rPr>
                <w:b/>
                <w:sz w:val="20"/>
                <w:szCs w:val="20"/>
                <w:lang w:val="sr-Latn-RS"/>
              </w:rPr>
              <w:t>No. projects</w:t>
            </w:r>
          </w:p>
        </w:tc>
      </w:tr>
      <w:tr w:rsidR="002C10C4" w:rsidRPr="005E650E" w14:paraId="6CACF287" w14:textId="77777777" w:rsidTr="006F541B">
        <w:trPr>
          <w:trHeight w:val="277"/>
        </w:trPr>
        <w:tc>
          <w:tcPr>
            <w:tcW w:w="1985" w:type="dxa"/>
            <w:tcBorders>
              <w:top w:val="single" w:sz="4" w:space="0" w:color="auto"/>
              <w:left w:val="nil"/>
              <w:bottom w:val="nil"/>
            </w:tcBorders>
            <w:shd w:val="clear" w:color="auto" w:fill="auto"/>
          </w:tcPr>
          <w:p w14:paraId="40726F23" w14:textId="77777777" w:rsidR="002C10C4" w:rsidRPr="005E650E" w:rsidRDefault="002C10C4" w:rsidP="006F541B">
            <w:pPr>
              <w:spacing w:before="0" w:after="0"/>
              <w:rPr>
                <w:sz w:val="20"/>
                <w:szCs w:val="20"/>
                <w:lang w:val="sr-Latn-RS"/>
              </w:rPr>
            </w:pPr>
            <w:r w:rsidRPr="005E650E">
              <w:rPr>
                <w:sz w:val="20"/>
                <w:szCs w:val="20"/>
                <w:lang w:val="sr-Latn-RS"/>
              </w:rPr>
              <w:t>Keywords</w:t>
            </w:r>
          </w:p>
        </w:tc>
        <w:tc>
          <w:tcPr>
            <w:tcW w:w="5103" w:type="dxa"/>
            <w:tcBorders>
              <w:top w:val="single" w:sz="4" w:space="0" w:color="auto"/>
              <w:bottom w:val="nil"/>
            </w:tcBorders>
            <w:shd w:val="clear" w:color="auto" w:fill="auto"/>
          </w:tcPr>
          <w:p w14:paraId="011E5634" w14:textId="77777777" w:rsidR="002C10C4" w:rsidRPr="005E650E" w:rsidRDefault="002C10C4" w:rsidP="006F541B">
            <w:pPr>
              <w:spacing w:before="0" w:after="0"/>
              <w:rPr>
                <w:i/>
                <w:sz w:val="20"/>
                <w:szCs w:val="20"/>
                <w:lang w:val="sr-Latn-RS"/>
              </w:rPr>
            </w:pPr>
            <w:r w:rsidRPr="005E650E">
              <w:rPr>
                <w:i/>
                <w:sz w:val="20"/>
                <w:szCs w:val="20"/>
                <w:lang w:val="sr-Latn-RS"/>
              </w:rPr>
              <w:t>“predictive maintenance”</w:t>
            </w:r>
          </w:p>
        </w:tc>
        <w:tc>
          <w:tcPr>
            <w:tcW w:w="1939" w:type="dxa"/>
            <w:tcBorders>
              <w:top w:val="single" w:sz="4" w:space="0" w:color="auto"/>
              <w:bottom w:val="nil"/>
              <w:right w:val="nil"/>
            </w:tcBorders>
            <w:shd w:val="clear" w:color="auto" w:fill="auto"/>
            <w:vAlign w:val="center"/>
          </w:tcPr>
          <w:p w14:paraId="03DDBD1F" w14:textId="77777777" w:rsidR="002C10C4" w:rsidRPr="005E650E" w:rsidRDefault="002C10C4" w:rsidP="006F541B">
            <w:pPr>
              <w:spacing w:before="0" w:after="0"/>
              <w:jc w:val="right"/>
              <w:rPr>
                <w:sz w:val="20"/>
                <w:szCs w:val="20"/>
                <w:lang w:val="sr-Latn-RS"/>
              </w:rPr>
            </w:pPr>
            <w:r w:rsidRPr="005E650E">
              <w:rPr>
                <w:sz w:val="20"/>
                <w:szCs w:val="20"/>
                <w:lang w:val="sr-Latn-RS"/>
              </w:rPr>
              <w:t>101</w:t>
            </w:r>
          </w:p>
        </w:tc>
      </w:tr>
      <w:tr w:rsidR="002C10C4" w:rsidRPr="005E650E" w14:paraId="64A4BA2F" w14:textId="77777777" w:rsidTr="006F541B">
        <w:trPr>
          <w:trHeight w:val="277"/>
        </w:trPr>
        <w:tc>
          <w:tcPr>
            <w:tcW w:w="1985" w:type="dxa"/>
            <w:tcBorders>
              <w:top w:val="nil"/>
              <w:left w:val="nil"/>
              <w:bottom w:val="nil"/>
            </w:tcBorders>
            <w:shd w:val="clear" w:color="auto" w:fill="auto"/>
          </w:tcPr>
          <w:p w14:paraId="41E10715" w14:textId="77777777" w:rsidR="002C10C4" w:rsidRPr="005E650E" w:rsidRDefault="002C10C4" w:rsidP="006F541B">
            <w:pPr>
              <w:spacing w:before="0" w:after="0"/>
              <w:rPr>
                <w:sz w:val="20"/>
                <w:szCs w:val="20"/>
                <w:lang w:val="sr-Latn-RS"/>
              </w:rPr>
            </w:pPr>
          </w:p>
        </w:tc>
        <w:tc>
          <w:tcPr>
            <w:tcW w:w="5103" w:type="dxa"/>
            <w:tcBorders>
              <w:top w:val="nil"/>
              <w:bottom w:val="nil"/>
            </w:tcBorders>
            <w:shd w:val="clear" w:color="auto" w:fill="auto"/>
          </w:tcPr>
          <w:p w14:paraId="70D989B7" w14:textId="77777777" w:rsidR="002C10C4" w:rsidRPr="005E650E" w:rsidRDefault="002C10C4" w:rsidP="006F541B">
            <w:pPr>
              <w:spacing w:before="0" w:after="0"/>
              <w:rPr>
                <w:i/>
                <w:sz w:val="20"/>
                <w:szCs w:val="20"/>
                <w:lang w:val="sr-Latn-RS"/>
              </w:rPr>
            </w:pPr>
            <w:r w:rsidRPr="005E650E">
              <w:rPr>
                <w:i/>
                <w:sz w:val="20"/>
                <w:szCs w:val="20"/>
                <w:lang w:val="sr-Latn-RS"/>
              </w:rPr>
              <w:t>“structural health monitoring”</w:t>
            </w:r>
          </w:p>
        </w:tc>
        <w:tc>
          <w:tcPr>
            <w:tcW w:w="1939" w:type="dxa"/>
            <w:tcBorders>
              <w:top w:val="nil"/>
              <w:bottom w:val="nil"/>
              <w:right w:val="nil"/>
            </w:tcBorders>
            <w:shd w:val="clear" w:color="auto" w:fill="auto"/>
            <w:vAlign w:val="center"/>
          </w:tcPr>
          <w:p w14:paraId="6485308F" w14:textId="77777777" w:rsidR="002C10C4" w:rsidRPr="005E650E" w:rsidRDefault="002C10C4" w:rsidP="006F541B">
            <w:pPr>
              <w:spacing w:before="0" w:after="0"/>
              <w:jc w:val="right"/>
              <w:rPr>
                <w:sz w:val="20"/>
                <w:szCs w:val="20"/>
                <w:lang w:val="sr-Latn-RS"/>
              </w:rPr>
            </w:pPr>
            <w:r w:rsidRPr="005E650E">
              <w:rPr>
                <w:sz w:val="20"/>
                <w:szCs w:val="20"/>
                <w:lang w:val="sr-Latn-RS"/>
              </w:rPr>
              <w:t>109</w:t>
            </w:r>
          </w:p>
        </w:tc>
      </w:tr>
      <w:tr w:rsidR="002C10C4" w:rsidRPr="005E650E" w14:paraId="331B8C6C" w14:textId="77777777" w:rsidTr="006F541B">
        <w:trPr>
          <w:trHeight w:val="277"/>
        </w:trPr>
        <w:tc>
          <w:tcPr>
            <w:tcW w:w="1985" w:type="dxa"/>
            <w:tcBorders>
              <w:top w:val="nil"/>
              <w:left w:val="nil"/>
              <w:bottom w:val="nil"/>
            </w:tcBorders>
            <w:shd w:val="clear" w:color="auto" w:fill="auto"/>
          </w:tcPr>
          <w:p w14:paraId="1E878DEB" w14:textId="77777777" w:rsidR="002C10C4" w:rsidRPr="005E650E" w:rsidRDefault="002C10C4" w:rsidP="006F541B">
            <w:pPr>
              <w:spacing w:before="0" w:after="0"/>
              <w:rPr>
                <w:sz w:val="20"/>
                <w:szCs w:val="20"/>
                <w:lang w:val="en-GB"/>
              </w:rPr>
            </w:pPr>
          </w:p>
        </w:tc>
        <w:tc>
          <w:tcPr>
            <w:tcW w:w="5103" w:type="dxa"/>
            <w:tcBorders>
              <w:top w:val="nil"/>
              <w:bottom w:val="nil"/>
            </w:tcBorders>
            <w:shd w:val="clear" w:color="auto" w:fill="auto"/>
          </w:tcPr>
          <w:p w14:paraId="515C38FA" w14:textId="77777777" w:rsidR="002C10C4" w:rsidRPr="005E650E" w:rsidRDefault="002C10C4" w:rsidP="006F541B">
            <w:pPr>
              <w:spacing w:before="0" w:after="0"/>
              <w:rPr>
                <w:i/>
                <w:sz w:val="20"/>
                <w:szCs w:val="20"/>
                <w:lang w:val="sr-Latn-RS"/>
              </w:rPr>
            </w:pPr>
            <w:r w:rsidRPr="005E650E">
              <w:rPr>
                <w:i/>
                <w:sz w:val="20"/>
                <w:szCs w:val="20"/>
                <w:lang w:val="sr-Latn-RS"/>
              </w:rPr>
              <w:t>“proactive maintenance”</w:t>
            </w:r>
          </w:p>
        </w:tc>
        <w:tc>
          <w:tcPr>
            <w:tcW w:w="1939" w:type="dxa"/>
            <w:tcBorders>
              <w:top w:val="nil"/>
              <w:bottom w:val="nil"/>
              <w:right w:val="nil"/>
            </w:tcBorders>
            <w:shd w:val="clear" w:color="auto" w:fill="auto"/>
            <w:vAlign w:val="center"/>
          </w:tcPr>
          <w:p w14:paraId="5A02A908" w14:textId="77777777" w:rsidR="002C10C4" w:rsidRPr="005E650E" w:rsidRDefault="002C10C4" w:rsidP="006F541B">
            <w:pPr>
              <w:spacing w:before="0" w:after="0"/>
              <w:jc w:val="right"/>
              <w:rPr>
                <w:sz w:val="20"/>
                <w:szCs w:val="20"/>
                <w:lang w:val="sr-Latn-RS"/>
              </w:rPr>
            </w:pPr>
            <w:r w:rsidRPr="005E650E">
              <w:rPr>
                <w:sz w:val="20"/>
                <w:szCs w:val="20"/>
                <w:lang w:val="sr-Latn-RS"/>
              </w:rPr>
              <w:t>11</w:t>
            </w:r>
          </w:p>
        </w:tc>
      </w:tr>
      <w:tr w:rsidR="002C10C4" w:rsidRPr="005E650E" w14:paraId="1B8B83FF" w14:textId="77777777" w:rsidTr="006F541B">
        <w:trPr>
          <w:trHeight w:val="277"/>
        </w:trPr>
        <w:tc>
          <w:tcPr>
            <w:tcW w:w="1985" w:type="dxa"/>
            <w:tcBorders>
              <w:top w:val="nil"/>
              <w:left w:val="nil"/>
              <w:bottom w:val="nil"/>
            </w:tcBorders>
            <w:shd w:val="clear" w:color="auto" w:fill="auto"/>
          </w:tcPr>
          <w:p w14:paraId="42E6D005" w14:textId="77777777" w:rsidR="002C10C4" w:rsidRPr="005E650E" w:rsidRDefault="002C10C4" w:rsidP="006F541B">
            <w:pPr>
              <w:spacing w:before="0" w:after="0"/>
              <w:rPr>
                <w:sz w:val="20"/>
                <w:szCs w:val="20"/>
                <w:lang w:val="en-GB"/>
              </w:rPr>
            </w:pPr>
          </w:p>
        </w:tc>
        <w:tc>
          <w:tcPr>
            <w:tcW w:w="5103" w:type="dxa"/>
            <w:tcBorders>
              <w:top w:val="nil"/>
              <w:bottom w:val="nil"/>
            </w:tcBorders>
            <w:shd w:val="clear" w:color="auto" w:fill="auto"/>
          </w:tcPr>
          <w:p w14:paraId="2BC71FEB" w14:textId="77777777" w:rsidR="002C10C4" w:rsidRPr="005E650E" w:rsidRDefault="002C10C4" w:rsidP="006F541B">
            <w:pPr>
              <w:spacing w:before="0" w:after="0"/>
              <w:rPr>
                <w:i/>
                <w:sz w:val="20"/>
                <w:szCs w:val="20"/>
                <w:lang w:val="sr-Latn-RS"/>
              </w:rPr>
            </w:pPr>
            <w:r w:rsidRPr="005E650E">
              <w:rPr>
                <w:i/>
                <w:sz w:val="20"/>
                <w:szCs w:val="20"/>
                <w:lang w:val="sr-Latn-RS"/>
              </w:rPr>
              <w:t>“condition-based maintenance”</w:t>
            </w:r>
          </w:p>
        </w:tc>
        <w:tc>
          <w:tcPr>
            <w:tcW w:w="1939" w:type="dxa"/>
            <w:tcBorders>
              <w:top w:val="nil"/>
              <w:bottom w:val="nil"/>
              <w:right w:val="nil"/>
            </w:tcBorders>
            <w:shd w:val="clear" w:color="auto" w:fill="auto"/>
            <w:vAlign w:val="center"/>
          </w:tcPr>
          <w:p w14:paraId="11203485" w14:textId="77777777" w:rsidR="002C10C4" w:rsidRPr="005E650E" w:rsidRDefault="002C10C4" w:rsidP="006F541B">
            <w:pPr>
              <w:spacing w:before="0" w:after="0"/>
              <w:jc w:val="right"/>
              <w:rPr>
                <w:sz w:val="20"/>
                <w:szCs w:val="20"/>
                <w:lang w:val="sr-Latn-RS"/>
              </w:rPr>
            </w:pPr>
            <w:r w:rsidRPr="005E650E">
              <w:rPr>
                <w:sz w:val="20"/>
                <w:szCs w:val="20"/>
                <w:lang w:val="sr-Latn-RS"/>
              </w:rPr>
              <w:t>34</w:t>
            </w:r>
          </w:p>
        </w:tc>
      </w:tr>
      <w:tr w:rsidR="002C10C4" w:rsidRPr="005E650E" w14:paraId="47DD0592" w14:textId="77777777" w:rsidTr="006F541B">
        <w:trPr>
          <w:trHeight w:val="277"/>
        </w:trPr>
        <w:tc>
          <w:tcPr>
            <w:tcW w:w="1985" w:type="dxa"/>
            <w:tcBorders>
              <w:top w:val="nil"/>
              <w:left w:val="nil"/>
              <w:bottom w:val="nil"/>
            </w:tcBorders>
            <w:shd w:val="clear" w:color="auto" w:fill="auto"/>
          </w:tcPr>
          <w:p w14:paraId="52539185" w14:textId="77777777" w:rsidR="002C10C4" w:rsidRPr="005E650E" w:rsidRDefault="002C10C4" w:rsidP="006F541B">
            <w:pPr>
              <w:spacing w:before="0" w:after="0"/>
              <w:rPr>
                <w:sz w:val="20"/>
                <w:szCs w:val="20"/>
                <w:lang w:val="en-GB"/>
              </w:rPr>
            </w:pPr>
          </w:p>
        </w:tc>
        <w:tc>
          <w:tcPr>
            <w:tcW w:w="5103" w:type="dxa"/>
            <w:tcBorders>
              <w:top w:val="nil"/>
              <w:bottom w:val="nil"/>
            </w:tcBorders>
            <w:shd w:val="clear" w:color="auto" w:fill="auto"/>
          </w:tcPr>
          <w:p w14:paraId="6B028AE2" w14:textId="77777777" w:rsidR="002C10C4" w:rsidRPr="005E650E" w:rsidRDefault="002C10C4" w:rsidP="006F541B">
            <w:pPr>
              <w:spacing w:before="0" w:after="0"/>
              <w:rPr>
                <w:i/>
                <w:sz w:val="20"/>
                <w:szCs w:val="20"/>
                <w:lang w:val="sr-Latn-RS"/>
              </w:rPr>
            </w:pPr>
            <w:r w:rsidRPr="005E650E">
              <w:rPr>
                <w:i/>
                <w:sz w:val="20"/>
                <w:szCs w:val="20"/>
                <w:lang w:val="sr-Latn-RS"/>
              </w:rPr>
              <w:t>“prognostics and health management”</w:t>
            </w:r>
          </w:p>
        </w:tc>
        <w:tc>
          <w:tcPr>
            <w:tcW w:w="1939" w:type="dxa"/>
            <w:tcBorders>
              <w:top w:val="nil"/>
              <w:bottom w:val="nil"/>
              <w:right w:val="nil"/>
            </w:tcBorders>
            <w:shd w:val="clear" w:color="auto" w:fill="auto"/>
            <w:vAlign w:val="center"/>
          </w:tcPr>
          <w:p w14:paraId="5B96EBB2" w14:textId="77777777" w:rsidR="002C10C4" w:rsidRPr="005E650E" w:rsidRDefault="002C10C4" w:rsidP="006F541B">
            <w:pPr>
              <w:spacing w:before="0" w:after="0"/>
              <w:jc w:val="right"/>
              <w:rPr>
                <w:sz w:val="20"/>
                <w:szCs w:val="20"/>
                <w:lang w:val="sr-Latn-RS"/>
              </w:rPr>
            </w:pPr>
            <w:r w:rsidRPr="005E650E">
              <w:rPr>
                <w:sz w:val="20"/>
                <w:szCs w:val="20"/>
                <w:lang w:val="sr-Latn-RS"/>
              </w:rPr>
              <w:t>4</w:t>
            </w:r>
          </w:p>
        </w:tc>
      </w:tr>
      <w:tr w:rsidR="002C10C4" w:rsidRPr="005E650E" w14:paraId="498AA5F2" w14:textId="77777777" w:rsidTr="006F541B">
        <w:trPr>
          <w:trHeight w:val="277"/>
        </w:trPr>
        <w:tc>
          <w:tcPr>
            <w:tcW w:w="1985" w:type="dxa"/>
            <w:tcBorders>
              <w:top w:val="nil"/>
              <w:left w:val="nil"/>
              <w:bottom w:val="single" w:sz="4" w:space="0" w:color="auto"/>
            </w:tcBorders>
            <w:shd w:val="clear" w:color="auto" w:fill="auto"/>
          </w:tcPr>
          <w:p w14:paraId="052BA030" w14:textId="77777777" w:rsidR="002C10C4" w:rsidRPr="005E650E" w:rsidRDefault="002C10C4" w:rsidP="006F541B">
            <w:pPr>
              <w:spacing w:before="0" w:after="0"/>
              <w:rPr>
                <w:sz w:val="20"/>
                <w:szCs w:val="20"/>
                <w:lang w:val="en-GB"/>
              </w:rPr>
            </w:pPr>
            <w:r w:rsidRPr="005E650E">
              <w:rPr>
                <w:sz w:val="20"/>
                <w:szCs w:val="20"/>
                <w:lang w:val="en-GB"/>
              </w:rPr>
              <w:t>Sub-total</w:t>
            </w:r>
          </w:p>
        </w:tc>
        <w:tc>
          <w:tcPr>
            <w:tcW w:w="5103" w:type="dxa"/>
            <w:tcBorders>
              <w:top w:val="nil"/>
              <w:bottom w:val="single" w:sz="4" w:space="0" w:color="auto"/>
            </w:tcBorders>
            <w:shd w:val="clear" w:color="auto" w:fill="auto"/>
          </w:tcPr>
          <w:p w14:paraId="75AD055C" w14:textId="77777777" w:rsidR="002C10C4" w:rsidRPr="005E650E" w:rsidRDefault="002C10C4" w:rsidP="006F541B">
            <w:pPr>
              <w:spacing w:before="0" w:after="0"/>
              <w:rPr>
                <w:i/>
                <w:sz w:val="20"/>
                <w:szCs w:val="20"/>
                <w:lang w:val="sr-Latn-RS"/>
              </w:rPr>
            </w:pPr>
          </w:p>
        </w:tc>
        <w:tc>
          <w:tcPr>
            <w:tcW w:w="1939" w:type="dxa"/>
            <w:tcBorders>
              <w:top w:val="nil"/>
              <w:bottom w:val="single" w:sz="4" w:space="0" w:color="auto"/>
              <w:right w:val="nil"/>
            </w:tcBorders>
            <w:shd w:val="clear" w:color="auto" w:fill="auto"/>
            <w:vAlign w:val="center"/>
          </w:tcPr>
          <w:p w14:paraId="09B395E8" w14:textId="77777777" w:rsidR="002C10C4" w:rsidRPr="005E650E" w:rsidRDefault="002C10C4" w:rsidP="006F541B">
            <w:pPr>
              <w:spacing w:before="0" w:after="0"/>
              <w:jc w:val="right"/>
              <w:rPr>
                <w:sz w:val="20"/>
                <w:szCs w:val="20"/>
                <w:lang w:val="sr-Latn-RS"/>
              </w:rPr>
            </w:pPr>
            <w:r w:rsidRPr="005E650E">
              <w:rPr>
                <w:sz w:val="20"/>
                <w:szCs w:val="20"/>
                <w:lang w:val="sr-Latn-RS"/>
              </w:rPr>
              <w:t>259</w:t>
            </w:r>
          </w:p>
        </w:tc>
      </w:tr>
      <w:tr w:rsidR="002C10C4" w:rsidRPr="005E650E" w14:paraId="25C52407" w14:textId="77777777" w:rsidTr="006F541B">
        <w:trPr>
          <w:trHeight w:val="277"/>
        </w:trPr>
        <w:tc>
          <w:tcPr>
            <w:tcW w:w="1985" w:type="dxa"/>
            <w:tcBorders>
              <w:top w:val="single" w:sz="4" w:space="0" w:color="auto"/>
              <w:left w:val="nil"/>
              <w:bottom w:val="nil"/>
            </w:tcBorders>
            <w:shd w:val="clear" w:color="auto" w:fill="auto"/>
          </w:tcPr>
          <w:p w14:paraId="670D0563" w14:textId="77777777" w:rsidR="002C10C4" w:rsidRPr="005E650E" w:rsidRDefault="002C10C4" w:rsidP="006F541B">
            <w:pPr>
              <w:spacing w:before="0" w:after="0"/>
              <w:rPr>
                <w:sz w:val="20"/>
                <w:szCs w:val="20"/>
                <w:lang w:val="sr-Latn-RS"/>
              </w:rPr>
            </w:pPr>
            <w:r w:rsidRPr="005E650E">
              <w:rPr>
                <w:sz w:val="20"/>
                <w:szCs w:val="20"/>
                <w:lang w:val="sr-Latn-RS"/>
              </w:rPr>
              <w:t>Inclusion criteria</w:t>
            </w:r>
          </w:p>
        </w:tc>
        <w:tc>
          <w:tcPr>
            <w:tcW w:w="5103" w:type="dxa"/>
            <w:tcBorders>
              <w:top w:val="single" w:sz="4" w:space="0" w:color="auto"/>
              <w:bottom w:val="nil"/>
            </w:tcBorders>
            <w:shd w:val="clear" w:color="auto" w:fill="auto"/>
          </w:tcPr>
          <w:p w14:paraId="799483F3" w14:textId="77777777" w:rsidR="002C10C4" w:rsidRPr="005E650E" w:rsidRDefault="002C10C4" w:rsidP="006F541B">
            <w:pPr>
              <w:spacing w:before="0" w:after="0"/>
              <w:rPr>
                <w:sz w:val="20"/>
                <w:szCs w:val="20"/>
                <w:lang w:val="sr-Latn-RS"/>
              </w:rPr>
            </w:pPr>
          </w:p>
        </w:tc>
        <w:tc>
          <w:tcPr>
            <w:tcW w:w="1939" w:type="dxa"/>
            <w:tcBorders>
              <w:top w:val="single" w:sz="4" w:space="0" w:color="auto"/>
              <w:bottom w:val="nil"/>
              <w:right w:val="nil"/>
            </w:tcBorders>
            <w:shd w:val="clear" w:color="auto" w:fill="auto"/>
            <w:vAlign w:val="center"/>
          </w:tcPr>
          <w:p w14:paraId="5196EB13" w14:textId="77777777" w:rsidR="002C10C4" w:rsidRPr="005E650E" w:rsidRDefault="002C10C4" w:rsidP="006F541B">
            <w:pPr>
              <w:spacing w:before="0" w:after="0"/>
              <w:jc w:val="right"/>
              <w:rPr>
                <w:sz w:val="20"/>
                <w:szCs w:val="20"/>
                <w:lang w:val="sr-Latn-RS"/>
              </w:rPr>
            </w:pPr>
            <w:r w:rsidRPr="005E650E">
              <w:rPr>
                <w:sz w:val="20"/>
                <w:szCs w:val="20"/>
                <w:lang w:val="sr-Latn-RS"/>
              </w:rPr>
              <w:t>-68</w:t>
            </w:r>
          </w:p>
        </w:tc>
      </w:tr>
      <w:tr w:rsidR="002C10C4" w:rsidRPr="005E650E" w14:paraId="786882D9" w14:textId="77777777" w:rsidTr="006F541B">
        <w:trPr>
          <w:trHeight w:val="277"/>
        </w:trPr>
        <w:tc>
          <w:tcPr>
            <w:tcW w:w="1985" w:type="dxa"/>
            <w:tcBorders>
              <w:top w:val="nil"/>
              <w:left w:val="nil"/>
              <w:bottom w:val="nil"/>
            </w:tcBorders>
            <w:shd w:val="clear" w:color="auto" w:fill="auto"/>
          </w:tcPr>
          <w:p w14:paraId="1703D825" w14:textId="77777777" w:rsidR="002C10C4" w:rsidRPr="005E650E" w:rsidRDefault="002C10C4" w:rsidP="006F541B">
            <w:pPr>
              <w:spacing w:before="0" w:after="0"/>
              <w:rPr>
                <w:sz w:val="20"/>
                <w:szCs w:val="20"/>
                <w:lang w:val="sr-Latn-RS"/>
              </w:rPr>
            </w:pPr>
            <w:r w:rsidRPr="005E650E">
              <w:rPr>
                <w:sz w:val="20"/>
                <w:szCs w:val="20"/>
                <w:lang w:val="sr-Latn-RS"/>
              </w:rPr>
              <w:t>Exclusion NR</w:t>
            </w:r>
          </w:p>
        </w:tc>
        <w:tc>
          <w:tcPr>
            <w:tcW w:w="5103" w:type="dxa"/>
            <w:tcBorders>
              <w:top w:val="nil"/>
              <w:bottom w:val="nil"/>
            </w:tcBorders>
            <w:shd w:val="clear" w:color="auto" w:fill="auto"/>
          </w:tcPr>
          <w:p w14:paraId="0987AE61" w14:textId="77777777" w:rsidR="002C10C4" w:rsidRPr="005E650E" w:rsidRDefault="002C10C4" w:rsidP="006F541B">
            <w:pPr>
              <w:spacing w:before="0" w:after="0"/>
              <w:rPr>
                <w:sz w:val="20"/>
                <w:szCs w:val="20"/>
                <w:lang w:val="sr-Latn-RS"/>
              </w:rPr>
            </w:pPr>
          </w:p>
        </w:tc>
        <w:tc>
          <w:tcPr>
            <w:tcW w:w="1939" w:type="dxa"/>
            <w:tcBorders>
              <w:top w:val="nil"/>
              <w:bottom w:val="nil"/>
              <w:right w:val="nil"/>
            </w:tcBorders>
            <w:shd w:val="clear" w:color="auto" w:fill="auto"/>
            <w:vAlign w:val="center"/>
          </w:tcPr>
          <w:p w14:paraId="353975C9" w14:textId="77777777" w:rsidR="002C10C4" w:rsidRPr="005E650E" w:rsidRDefault="002C10C4" w:rsidP="006F541B">
            <w:pPr>
              <w:spacing w:before="0" w:after="0"/>
              <w:jc w:val="right"/>
              <w:rPr>
                <w:sz w:val="20"/>
                <w:szCs w:val="20"/>
                <w:lang w:val="sr-Latn-RS"/>
              </w:rPr>
            </w:pPr>
            <w:r w:rsidRPr="005E650E">
              <w:rPr>
                <w:sz w:val="20"/>
                <w:szCs w:val="20"/>
                <w:lang w:val="sr-Latn-RS"/>
              </w:rPr>
              <w:t>-26</w:t>
            </w:r>
          </w:p>
        </w:tc>
      </w:tr>
      <w:tr w:rsidR="002C10C4" w:rsidRPr="005E650E" w14:paraId="3819175E" w14:textId="77777777" w:rsidTr="006F541B">
        <w:trPr>
          <w:trHeight w:val="277"/>
        </w:trPr>
        <w:tc>
          <w:tcPr>
            <w:tcW w:w="1985" w:type="dxa"/>
            <w:tcBorders>
              <w:top w:val="nil"/>
              <w:left w:val="nil"/>
              <w:bottom w:val="nil"/>
            </w:tcBorders>
            <w:shd w:val="clear" w:color="auto" w:fill="auto"/>
          </w:tcPr>
          <w:p w14:paraId="5C70AF13" w14:textId="77777777" w:rsidR="002C10C4" w:rsidRPr="005E650E" w:rsidRDefault="002C10C4" w:rsidP="006F541B">
            <w:pPr>
              <w:spacing w:before="0" w:after="0"/>
              <w:rPr>
                <w:sz w:val="20"/>
                <w:szCs w:val="20"/>
                <w:lang w:val="sr-Latn-RS"/>
              </w:rPr>
            </w:pPr>
            <w:r w:rsidRPr="005E650E">
              <w:rPr>
                <w:sz w:val="20"/>
                <w:szCs w:val="20"/>
                <w:lang w:val="sr-Latn-RS"/>
              </w:rPr>
              <w:t>Exclusion LR</w:t>
            </w:r>
          </w:p>
        </w:tc>
        <w:tc>
          <w:tcPr>
            <w:tcW w:w="5103" w:type="dxa"/>
            <w:tcBorders>
              <w:top w:val="nil"/>
              <w:bottom w:val="nil"/>
            </w:tcBorders>
            <w:shd w:val="clear" w:color="auto" w:fill="auto"/>
          </w:tcPr>
          <w:p w14:paraId="69F949A3" w14:textId="77777777" w:rsidR="002C10C4" w:rsidRPr="005E650E" w:rsidRDefault="002C10C4" w:rsidP="006F541B">
            <w:pPr>
              <w:spacing w:before="0" w:after="0"/>
              <w:rPr>
                <w:sz w:val="20"/>
                <w:szCs w:val="20"/>
                <w:lang w:val="sr-Latn-RS"/>
              </w:rPr>
            </w:pPr>
          </w:p>
        </w:tc>
        <w:tc>
          <w:tcPr>
            <w:tcW w:w="1939" w:type="dxa"/>
            <w:tcBorders>
              <w:top w:val="nil"/>
              <w:bottom w:val="nil"/>
              <w:right w:val="nil"/>
            </w:tcBorders>
            <w:shd w:val="clear" w:color="auto" w:fill="auto"/>
            <w:vAlign w:val="center"/>
          </w:tcPr>
          <w:p w14:paraId="1B8AD4F9" w14:textId="77777777" w:rsidR="002C10C4" w:rsidRPr="005E650E" w:rsidRDefault="002C10C4" w:rsidP="006F541B">
            <w:pPr>
              <w:spacing w:before="0" w:after="0"/>
              <w:jc w:val="right"/>
              <w:rPr>
                <w:sz w:val="20"/>
                <w:szCs w:val="20"/>
                <w:lang w:val="sr-Latn-RS"/>
              </w:rPr>
            </w:pPr>
            <w:r w:rsidRPr="005E650E">
              <w:rPr>
                <w:sz w:val="20"/>
                <w:szCs w:val="20"/>
                <w:lang w:val="sr-Latn-RS"/>
              </w:rPr>
              <w:t>-21</w:t>
            </w:r>
          </w:p>
        </w:tc>
      </w:tr>
      <w:tr w:rsidR="002C10C4" w:rsidRPr="005E650E" w14:paraId="31C23FD5" w14:textId="77777777" w:rsidTr="006F541B">
        <w:trPr>
          <w:trHeight w:val="277"/>
        </w:trPr>
        <w:tc>
          <w:tcPr>
            <w:tcW w:w="1985" w:type="dxa"/>
            <w:tcBorders>
              <w:top w:val="nil"/>
              <w:left w:val="nil"/>
              <w:bottom w:val="nil"/>
            </w:tcBorders>
            <w:shd w:val="clear" w:color="auto" w:fill="auto"/>
          </w:tcPr>
          <w:p w14:paraId="35A252DB" w14:textId="77777777" w:rsidR="002C10C4" w:rsidRPr="005E650E" w:rsidRDefault="002C10C4" w:rsidP="006F541B">
            <w:pPr>
              <w:spacing w:before="0" w:after="0"/>
              <w:rPr>
                <w:sz w:val="20"/>
                <w:szCs w:val="20"/>
                <w:lang w:val="sr-Latn-RS"/>
              </w:rPr>
            </w:pPr>
            <w:r w:rsidRPr="005E650E">
              <w:rPr>
                <w:sz w:val="20"/>
                <w:szCs w:val="20"/>
                <w:lang w:val="sr-Latn-RS"/>
              </w:rPr>
              <w:t>Duplicates</w:t>
            </w:r>
          </w:p>
        </w:tc>
        <w:tc>
          <w:tcPr>
            <w:tcW w:w="5103" w:type="dxa"/>
            <w:tcBorders>
              <w:top w:val="nil"/>
              <w:bottom w:val="nil"/>
            </w:tcBorders>
            <w:shd w:val="clear" w:color="auto" w:fill="auto"/>
          </w:tcPr>
          <w:p w14:paraId="2F517001" w14:textId="77777777" w:rsidR="002C10C4" w:rsidRPr="005E650E" w:rsidRDefault="002C10C4" w:rsidP="006F541B">
            <w:pPr>
              <w:spacing w:before="0" w:after="0"/>
              <w:rPr>
                <w:sz w:val="20"/>
                <w:szCs w:val="20"/>
                <w:lang w:val="sr-Latn-RS"/>
              </w:rPr>
            </w:pPr>
          </w:p>
        </w:tc>
        <w:tc>
          <w:tcPr>
            <w:tcW w:w="1939" w:type="dxa"/>
            <w:tcBorders>
              <w:top w:val="nil"/>
              <w:bottom w:val="nil"/>
              <w:right w:val="nil"/>
            </w:tcBorders>
            <w:shd w:val="clear" w:color="auto" w:fill="auto"/>
            <w:vAlign w:val="center"/>
          </w:tcPr>
          <w:p w14:paraId="6242A509" w14:textId="77777777" w:rsidR="002C10C4" w:rsidRPr="005E650E" w:rsidRDefault="002C10C4" w:rsidP="006F541B">
            <w:pPr>
              <w:spacing w:before="0" w:after="0"/>
              <w:jc w:val="right"/>
              <w:rPr>
                <w:sz w:val="20"/>
                <w:szCs w:val="20"/>
                <w:lang w:val="sr-Latn-RS"/>
              </w:rPr>
            </w:pPr>
            <w:r w:rsidRPr="005E650E">
              <w:rPr>
                <w:sz w:val="20"/>
                <w:szCs w:val="20"/>
                <w:lang w:val="sr-Latn-RS"/>
              </w:rPr>
              <w:t>-14</w:t>
            </w:r>
          </w:p>
        </w:tc>
      </w:tr>
      <w:tr w:rsidR="002C10C4" w:rsidRPr="005E650E" w14:paraId="22525416" w14:textId="77777777" w:rsidTr="006F541B">
        <w:trPr>
          <w:trHeight w:val="279"/>
        </w:trPr>
        <w:tc>
          <w:tcPr>
            <w:tcW w:w="1985" w:type="dxa"/>
            <w:tcBorders>
              <w:top w:val="nil"/>
              <w:left w:val="nil"/>
              <w:bottom w:val="single" w:sz="4" w:space="0" w:color="auto"/>
            </w:tcBorders>
            <w:shd w:val="clear" w:color="auto" w:fill="auto"/>
          </w:tcPr>
          <w:p w14:paraId="0417A7FF" w14:textId="77777777" w:rsidR="002C10C4" w:rsidRPr="005E650E" w:rsidRDefault="002C10C4" w:rsidP="006F541B">
            <w:pPr>
              <w:spacing w:before="0" w:after="0"/>
              <w:rPr>
                <w:sz w:val="20"/>
                <w:szCs w:val="20"/>
                <w:lang w:val="sr-Latn-RS"/>
              </w:rPr>
            </w:pPr>
            <w:r w:rsidRPr="005E650E">
              <w:rPr>
                <w:sz w:val="20"/>
                <w:szCs w:val="20"/>
                <w:lang w:val="sr-Latn-RS"/>
              </w:rPr>
              <w:t>Snowballing</w:t>
            </w:r>
          </w:p>
        </w:tc>
        <w:tc>
          <w:tcPr>
            <w:tcW w:w="5103" w:type="dxa"/>
            <w:tcBorders>
              <w:top w:val="nil"/>
              <w:bottom w:val="single" w:sz="4" w:space="0" w:color="auto"/>
            </w:tcBorders>
            <w:shd w:val="clear" w:color="auto" w:fill="auto"/>
          </w:tcPr>
          <w:p w14:paraId="1A949E68" w14:textId="77777777" w:rsidR="002C10C4" w:rsidRPr="005E650E" w:rsidRDefault="002C10C4" w:rsidP="006F541B">
            <w:pPr>
              <w:spacing w:before="0" w:after="0"/>
              <w:rPr>
                <w:i/>
                <w:sz w:val="20"/>
                <w:szCs w:val="20"/>
                <w:lang w:val="sr-Latn-RS"/>
              </w:rPr>
            </w:pPr>
            <w:r w:rsidRPr="005E650E">
              <w:rPr>
                <w:i/>
                <w:sz w:val="20"/>
                <w:szCs w:val="20"/>
                <w:lang w:val="sr-Latn-RS"/>
              </w:rPr>
              <w:t>contenttype='project' AND ('WITHIN' AND 'TITLE' AND ('mainten$' OR 'failur$' OR 'condition" AND "monitoring' OR 'diagnosis' OR 'prognosis'))</w:t>
            </w:r>
          </w:p>
        </w:tc>
        <w:tc>
          <w:tcPr>
            <w:tcW w:w="1939" w:type="dxa"/>
            <w:tcBorders>
              <w:top w:val="nil"/>
              <w:bottom w:val="single" w:sz="4" w:space="0" w:color="auto"/>
              <w:right w:val="nil"/>
            </w:tcBorders>
            <w:shd w:val="clear" w:color="auto" w:fill="auto"/>
            <w:vAlign w:val="center"/>
          </w:tcPr>
          <w:p w14:paraId="528DBB2B" w14:textId="77777777" w:rsidR="002C10C4" w:rsidRPr="005E650E" w:rsidRDefault="002C10C4" w:rsidP="006F541B">
            <w:pPr>
              <w:spacing w:before="0" w:after="0"/>
              <w:jc w:val="right"/>
              <w:rPr>
                <w:sz w:val="20"/>
                <w:szCs w:val="20"/>
              </w:rPr>
            </w:pPr>
            <w:r w:rsidRPr="005E650E">
              <w:rPr>
                <w:sz w:val="20"/>
                <w:szCs w:val="20"/>
              </w:rPr>
              <w:t>+45</w:t>
            </w:r>
          </w:p>
        </w:tc>
      </w:tr>
      <w:tr w:rsidR="002C10C4" w:rsidRPr="005E650E" w14:paraId="2F9B3B3B" w14:textId="77777777" w:rsidTr="006F541B">
        <w:trPr>
          <w:trHeight w:val="297"/>
        </w:trPr>
        <w:tc>
          <w:tcPr>
            <w:tcW w:w="1985" w:type="dxa"/>
            <w:tcBorders>
              <w:top w:val="single" w:sz="4" w:space="0" w:color="auto"/>
              <w:left w:val="nil"/>
            </w:tcBorders>
            <w:shd w:val="clear" w:color="auto" w:fill="auto"/>
            <w:vAlign w:val="center"/>
          </w:tcPr>
          <w:p w14:paraId="4B70A64F" w14:textId="77777777" w:rsidR="002C10C4" w:rsidRPr="005E650E" w:rsidRDefault="002C10C4" w:rsidP="006F541B">
            <w:pPr>
              <w:spacing w:before="0" w:after="0"/>
              <w:rPr>
                <w:sz w:val="20"/>
                <w:szCs w:val="20"/>
                <w:lang w:val="sr-Latn-RS"/>
              </w:rPr>
            </w:pPr>
            <w:r w:rsidRPr="005E650E">
              <w:rPr>
                <w:sz w:val="20"/>
                <w:szCs w:val="20"/>
                <w:lang w:val="sr-Latn-RS"/>
              </w:rPr>
              <w:t>Total Projects</w:t>
            </w:r>
          </w:p>
        </w:tc>
        <w:tc>
          <w:tcPr>
            <w:tcW w:w="5103" w:type="dxa"/>
            <w:tcBorders>
              <w:top w:val="single" w:sz="4" w:space="0" w:color="auto"/>
            </w:tcBorders>
            <w:shd w:val="clear" w:color="auto" w:fill="auto"/>
          </w:tcPr>
          <w:p w14:paraId="3BA90821" w14:textId="77777777" w:rsidR="002C10C4" w:rsidRPr="005E650E" w:rsidRDefault="002C10C4" w:rsidP="006F541B">
            <w:pPr>
              <w:spacing w:before="0" w:after="0"/>
              <w:rPr>
                <w:i/>
                <w:sz w:val="20"/>
                <w:szCs w:val="20"/>
                <w:lang w:val="sr-Latn-RS"/>
              </w:rPr>
            </w:pPr>
          </w:p>
        </w:tc>
        <w:tc>
          <w:tcPr>
            <w:tcW w:w="1939" w:type="dxa"/>
            <w:tcBorders>
              <w:top w:val="single" w:sz="4" w:space="0" w:color="auto"/>
              <w:right w:val="nil"/>
            </w:tcBorders>
            <w:shd w:val="clear" w:color="auto" w:fill="auto"/>
            <w:vAlign w:val="center"/>
          </w:tcPr>
          <w:p w14:paraId="5EA9B540" w14:textId="77777777" w:rsidR="002C10C4" w:rsidRPr="005E650E" w:rsidRDefault="002C10C4" w:rsidP="006F541B">
            <w:pPr>
              <w:spacing w:before="0" w:after="0"/>
              <w:jc w:val="right"/>
              <w:rPr>
                <w:sz w:val="20"/>
                <w:szCs w:val="20"/>
                <w:lang w:val="sr-Latn-RS"/>
              </w:rPr>
            </w:pPr>
            <w:r w:rsidRPr="005E650E">
              <w:rPr>
                <w:sz w:val="20"/>
                <w:szCs w:val="20"/>
                <w:lang w:val="sr-Latn-RS"/>
              </w:rPr>
              <w:t>175</w:t>
            </w:r>
          </w:p>
        </w:tc>
      </w:tr>
    </w:tbl>
    <w:p w14:paraId="0097AB0A" w14:textId="392DC031" w:rsidR="005A541D" w:rsidRPr="00EA6934" w:rsidRDefault="005A541D" w:rsidP="00EA6934">
      <w:pPr>
        <w:rPr>
          <w:lang w:val="sr-Latn-RS"/>
        </w:rPr>
      </w:pPr>
      <w:r>
        <w:rPr>
          <w:lang w:val="sr-Latn-RS"/>
        </w:rPr>
        <w:t xml:space="preserve">Besides CORDIS, </w:t>
      </w:r>
      <w:r w:rsidRPr="00520D90">
        <w:rPr>
          <w:i/>
          <w:iCs/>
          <w:lang w:val="sr-Latn-RS"/>
        </w:rPr>
        <w:t>OpenAIRE</w:t>
      </w:r>
      <w:r>
        <w:rPr>
          <w:lang w:val="sr-Latn-RS"/>
        </w:rPr>
        <w:t xml:space="preserve">, </w:t>
      </w:r>
      <w:r w:rsidRPr="00520D90">
        <w:rPr>
          <w:i/>
          <w:iCs/>
          <w:lang w:val="sr-Latn-RS"/>
        </w:rPr>
        <w:t>Google Scholar</w:t>
      </w:r>
      <w:r>
        <w:rPr>
          <w:lang w:val="sr-Latn-RS"/>
        </w:rPr>
        <w:t>, and websites are additionally covered for extracting essential deliverables (e.g., publications, patents). Two types of information are collected: meta-data and project report data. Projects’ meta-data consists of (1) title and acronym, (2) coordinator and country, (3) link to meta-data, (4) project FP program, (5) year (start to finish), (6) institutions (coordinator and partners), and (7) industrial sector. Project report data consists of (1) types of publications, and research outcomes, (2) overall project budget and EU funds, and (3) type of maintenance policy or program addressed.</w:t>
      </w:r>
    </w:p>
    <w:p w14:paraId="2A615298" w14:textId="7CD132D2" w:rsidR="002C10C4" w:rsidRPr="007E436A" w:rsidRDefault="00233046" w:rsidP="000369CD">
      <w:pPr>
        <w:jc w:val="center"/>
        <w:rPr>
          <w:lang w:val="en-GB"/>
        </w:rPr>
      </w:pPr>
      <w:r w:rsidRPr="00233046">
        <w:rPr>
          <w:noProof/>
        </w:rPr>
        <w:drawing>
          <wp:inline distT="0" distB="0" distL="0" distR="0" wp14:anchorId="5B3EA038" wp14:editId="3A2F05E8">
            <wp:extent cx="5661889" cy="3996000"/>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61889" cy="3996000"/>
                    </a:xfrm>
                    <a:prstGeom prst="rect">
                      <a:avLst/>
                    </a:prstGeom>
                    <a:noFill/>
                    <a:ln>
                      <a:noFill/>
                    </a:ln>
                  </pic:spPr>
                </pic:pic>
              </a:graphicData>
            </a:graphic>
          </wp:inline>
        </w:drawing>
      </w:r>
    </w:p>
    <w:p w14:paraId="72AA66DC" w14:textId="5DE5A923" w:rsidR="002C10C4" w:rsidRDefault="002C10C4" w:rsidP="002C10C4">
      <w:pPr>
        <w:pStyle w:val="Caption"/>
      </w:pPr>
      <w:bookmarkStart w:id="107" w:name="_Ref26362937"/>
      <w:bookmarkStart w:id="108" w:name="_Toc101274529"/>
      <w:r>
        <w:t xml:space="preserve">Figure </w:t>
      </w:r>
      <w:fldSimple w:instr=" SEQ Figure \* ARABIC ">
        <w:r w:rsidR="00587AF0">
          <w:rPr>
            <w:noProof/>
          </w:rPr>
          <w:t>7</w:t>
        </w:r>
      </w:fldSimple>
      <w:bookmarkEnd w:id="107"/>
      <w:r>
        <w:t>. The protocol for extracting projects in the corpus of evidence</w:t>
      </w:r>
      <w:bookmarkEnd w:id="108"/>
    </w:p>
    <w:p w14:paraId="7C9D3EC5" w14:textId="69816A77" w:rsidR="001A3975" w:rsidRDefault="00D5489D" w:rsidP="006348A7">
      <w:pPr>
        <w:pStyle w:val="Heading2"/>
      </w:pPr>
      <w:bookmarkStart w:id="109" w:name="_Toc62467371"/>
      <w:bookmarkStart w:id="110" w:name="_Toc91575383"/>
      <w:bookmarkStart w:id="111" w:name="_Toc93759863"/>
      <w:bookmarkStart w:id="112" w:name="_Toc93759967"/>
      <w:bookmarkStart w:id="113" w:name="_Toc101274332"/>
      <w:r>
        <w:lastRenderedPageBreak/>
        <w:t xml:space="preserve">Research </w:t>
      </w:r>
      <w:r w:rsidR="00697E06">
        <w:t>p</w:t>
      </w:r>
      <w:r>
        <w:t xml:space="preserve">rotocol for </w:t>
      </w:r>
      <w:r w:rsidR="00697E06">
        <w:t>s</w:t>
      </w:r>
      <w:r>
        <w:t>tate-of-the-</w:t>
      </w:r>
      <w:r w:rsidR="00697E06">
        <w:t>p</w:t>
      </w:r>
      <w:r>
        <w:t>ractice</w:t>
      </w:r>
      <w:bookmarkEnd w:id="109"/>
      <w:bookmarkEnd w:id="110"/>
      <w:bookmarkEnd w:id="111"/>
      <w:bookmarkEnd w:id="112"/>
      <w:bookmarkEnd w:id="113"/>
    </w:p>
    <w:p w14:paraId="6BA0D386" w14:textId="607C88FB" w:rsidR="006F21DE" w:rsidRDefault="006F21DE" w:rsidP="006F21DE">
      <w:pPr>
        <w:pStyle w:val="Heading3"/>
      </w:pPr>
      <w:bookmarkStart w:id="114" w:name="_Toc62467372"/>
      <w:bookmarkStart w:id="115" w:name="_Toc91575384"/>
      <w:bookmarkStart w:id="116" w:name="_Toc93759864"/>
      <w:bookmarkStart w:id="117" w:name="_Toc93759968"/>
      <w:bookmarkStart w:id="118" w:name="_Toc101274333"/>
      <w:r>
        <w:t xml:space="preserve">Setting the </w:t>
      </w:r>
      <w:r w:rsidR="00697E06">
        <w:t>r</w:t>
      </w:r>
      <w:r>
        <w:t xml:space="preserve">esearch </w:t>
      </w:r>
      <w:r w:rsidR="00697E06">
        <w:t>q</w:t>
      </w:r>
      <w:r>
        <w:t>uestions</w:t>
      </w:r>
      <w:bookmarkEnd w:id="114"/>
      <w:bookmarkEnd w:id="115"/>
      <w:bookmarkEnd w:id="116"/>
      <w:bookmarkEnd w:id="117"/>
      <w:bookmarkEnd w:id="118"/>
    </w:p>
    <w:p w14:paraId="6C1D8714" w14:textId="0EDF1147" w:rsidR="005B1E10" w:rsidRDefault="008C498C" w:rsidP="005B1E10">
      <w:r>
        <w:t>The first building block for achieving the</w:t>
      </w:r>
      <w:r w:rsidR="00371232">
        <w:t xml:space="preserve"> third</w:t>
      </w:r>
      <w:r>
        <w:t xml:space="preserve"> objective is to extract all the relevant evidence concerning industrial maintenance typologies and meta-data applied </w:t>
      </w:r>
      <w:r w:rsidR="000C1DB9">
        <w:t xml:space="preserve">to </w:t>
      </w:r>
      <w:r w:rsidR="00371232">
        <w:t>hydraulic control companie</w:t>
      </w:r>
      <w:r>
        <w:t xml:space="preserve">s. The survey investigating state-of-the-practice hydraulic system </w:t>
      </w:r>
      <w:r w:rsidR="00B15820">
        <w:t xml:space="preserve">properties and </w:t>
      </w:r>
      <w:r>
        <w:t>maintenance is shaped akin to EBA</w:t>
      </w:r>
      <w:r w:rsidR="00926839">
        <w:t>, and t</w:t>
      </w:r>
      <w:r>
        <w:t>herefore, the data collected is done through a survey.</w:t>
      </w:r>
      <w:r w:rsidR="009E302D">
        <w:t xml:space="preserve"> </w:t>
      </w:r>
      <w:r w:rsidR="00F653F5">
        <w:t>The third</w:t>
      </w:r>
      <w:r w:rsidR="005B1E10">
        <w:t xml:space="preserve"> research question </w:t>
      </w:r>
      <w:r w:rsidR="00E805BF">
        <w:t>establishes</w:t>
      </w:r>
      <w:r w:rsidR="00F653F5">
        <w:t xml:space="preserve"> the characteristics of interest for selecting </w:t>
      </w:r>
      <w:r w:rsidR="00F51E51">
        <w:t xml:space="preserve">an </w:t>
      </w:r>
      <w:r w:rsidR="00F653F5">
        <w:t>appropriate system</w:t>
      </w:r>
      <w:r w:rsidR="00B43667">
        <w:t>.</w:t>
      </w:r>
    </w:p>
    <w:p w14:paraId="2F014E03" w14:textId="54FC6F1D" w:rsidR="005B1E10" w:rsidRDefault="005B1E10" w:rsidP="005B1E10">
      <w:r w:rsidRPr="005B1E10">
        <w:rPr>
          <w:b/>
          <w:bCs/>
        </w:rPr>
        <w:t>RQ</w:t>
      </w:r>
      <w:r w:rsidR="002C10C4">
        <w:rPr>
          <w:b/>
          <w:bCs/>
        </w:rPr>
        <w:t>3</w:t>
      </w:r>
      <w:r>
        <w:rPr>
          <w:b/>
          <w:bCs/>
        </w:rPr>
        <w:t>:</w:t>
      </w:r>
      <w:r>
        <w:t xml:space="preserve"> What are the most common characteristics of </w:t>
      </w:r>
      <w:r w:rsidR="009A1158">
        <w:t xml:space="preserve">the </w:t>
      </w:r>
      <w:r>
        <w:t>hydraulic system</w:t>
      </w:r>
      <w:r w:rsidR="00F653F5">
        <w:t>s</w:t>
      </w:r>
      <w:r>
        <w:t xml:space="preserve"> applied in </w:t>
      </w:r>
      <w:r w:rsidR="009A1158">
        <w:t xml:space="preserve">an </w:t>
      </w:r>
      <w:r>
        <w:t>industrial envi</w:t>
      </w:r>
      <w:r w:rsidR="009A1158">
        <w:t>ro</w:t>
      </w:r>
      <w:r>
        <w:t>nment, including machine, fluid and working characteristics?</w:t>
      </w:r>
    </w:p>
    <w:p w14:paraId="28BC9DF3" w14:textId="3E32C7A9" w:rsidR="005B1E10" w:rsidRPr="005B1E10" w:rsidRDefault="00A8561D" w:rsidP="005B1E10">
      <w:r>
        <w:t>The</w:t>
      </w:r>
      <w:r w:rsidR="005B1E10">
        <w:t xml:space="preserve"> question </w:t>
      </w:r>
      <w:r>
        <w:t>should</w:t>
      </w:r>
      <w:r w:rsidR="00F10716">
        <w:t xml:space="preserve"> extract </w:t>
      </w:r>
      <w:r>
        <w:t xml:space="preserve">all the relevant </w:t>
      </w:r>
      <w:r w:rsidR="00F10716">
        <w:t>meta-</w:t>
      </w:r>
      <w:r>
        <w:t xml:space="preserve">data regarding the operational and environmental </w:t>
      </w:r>
      <w:r w:rsidR="00F10716">
        <w:t>working conditions</w:t>
      </w:r>
      <w:r>
        <w:t xml:space="preserve"> </w:t>
      </w:r>
      <w:r w:rsidR="001823C7">
        <w:t xml:space="preserve">interested </w:t>
      </w:r>
      <w:r w:rsidR="00F51E51">
        <w:t>in</w:t>
      </w:r>
      <w:r w:rsidR="001823C7">
        <w:t xml:space="preserve"> conducting</w:t>
      </w:r>
      <w:r>
        <w:t xml:space="preserve"> failure </w:t>
      </w:r>
      <w:r w:rsidR="001823C7">
        <w:t>analysis</w:t>
      </w:r>
      <w:r>
        <w:t xml:space="preserve">. The </w:t>
      </w:r>
      <w:r w:rsidR="00731010">
        <w:t>question</w:t>
      </w:r>
      <w:r w:rsidR="00521FB3">
        <w:t>’</w:t>
      </w:r>
      <w:r w:rsidR="00731010">
        <w:t>s goal</w:t>
      </w:r>
      <w:r>
        <w:t xml:space="preserve"> is to reflect the current state</w:t>
      </w:r>
      <w:r w:rsidR="00E805BF">
        <w:t xml:space="preserve"> of the </w:t>
      </w:r>
      <w:r>
        <w:t>practice of companies applying maintenance on hydra</w:t>
      </w:r>
      <w:r w:rsidR="009A1158">
        <w:t>u</w:t>
      </w:r>
      <w:r>
        <w:t>lic control systems.</w:t>
      </w:r>
      <w:r w:rsidR="00371232">
        <w:t xml:space="preserve"> </w:t>
      </w:r>
      <w:r>
        <w:t xml:space="preserve">The </w:t>
      </w:r>
      <w:r w:rsidR="001823C7">
        <w:t xml:space="preserve">following </w:t>
      </w:r>
      <w:r w:rsidR="005B1E10">
        <w:t>question encompasses the</w:t>
      </w:r>
      <w:r w:rsidR="00F10716">
        <w:t xml:space="preserve"> maintenance characteristics that include policies, programs and activities applied in a specific company and on specific machines. Therefore, the </w:t>
      </w:r>
      <w:r w:rsidR="001823C7">
        <w:t>fourth</w:t>
      </w:r>
      <w:r w:rsidR="00F10716">
        <w:t xml:space="preserve"> research question is defined as:</w:t>
      </w:r>
    </w:p>
    <w:p w14:paraId="59BE490D" w14:textId="2A628A3B" w:rsidR="00EB4511" w:rsidRDefault="005B1E10" w:rsidP="005B1E10">
      <w:r w:rsidRPr="0054101F">
        <w:rPr>
          <w:b/>
          <w:bCs/>
        </w:rPr>
        <w:t>RQ</w:t>
      </w:r>
      <w:r w:rsidR="002C10C4">
        <w:rPr>
          <w:b/>
          <w:bCs/>
        </w:rPr>
        <w:t>4</w:t>
      </w:r>
      <w:r>
        <w:t>: W</w:t>
      </w:r>
      <w:r w:rsidR="00746287">
        <w:t>ithin existing maintenance policies and programs of hydraulic machinery applied by industrial companies, what</w:t>
      </w:r>
      <w:r>
        <w:t xml:space="preserve"> are the</w:t>
      </w:r>
      <w:r w:rsidR="00746287">
        <w:t xml:space="preserve"> most common</w:t>
      </w:r>
      <w:r>
        <w:t xml:space="preserve"> </w:t>
      </w:r>
      <w:r w:rsidR="00EB4511">
        <w:t>activities and tools applied for improving maintenance performance, i.e. failures of hydraulic machines?</w:t>
      </w:r>
    </w:p>
    <w:p w14:paraId="53DF4F8B" w14:textId="73EDDB4A" w:rsidR="006106DB" w:rsidRDefault="00F90F0E" w:rsidP="005B1E10">
      <w:pPr>
        <w:rPr>
          <w:lang w:val="en-GB"/>
        </w:rPr>
      </w:pPr>
      <w:r>
        <w:t>The question implicitly should answer several issues</w:t>
      </w:r>
      <w:r w:rsidR="00371232">
        <w:t>:</w:t>
      </w:r>
      <w:r>
        <w:t xml:space="preserve"> (1) </w:t>
      </w:r>
      <w:r w:rsidR="00371232">
        <w:t>W</w:t>
      </w:r>
      <w:r>
        <w:t xml:space="preserve">hat </w:t>
      </w:r>
      <w:r w:rsidR="006A4FFE">
        <w:t>are</w:t>
      </w:r>
      <w:r w:rsidR="00DF775B">
        <w:t xml:space="preserve"> most</w:t>
      </w:r>
      <w:r w:rsidR="006A4FFE">
        <w:t>ly applied</w:t>
      </w:r>
      <w:r w:rsidR="00DF775B">
        <w:t xml:space="preserve"> maintenance </w:t>
      </w:r>
      <w:r w:rsidR="006A4FFE">
        <w:t>practices</w:t>
      </w:r>
      <w:r w:rsidR="00371232">
        <w:t>?</w:t>
      </w:r>
      <w:r>
        <w:rPr>
          <w:lang w:val="en-GB"/>
        </w:rPr>
        <w:t xml:space="preserve">; (2) </w:t>
      </w:r>
      <w:r w:rsidR="00371232">
        <w:rPr>
          <w:lang w:val="en-GB"/>
        </w:rPr>
        <w:t>W</w:t>
      </w:r>
      <w:r>
        <w:rPr>
          <w:lang w:val="en-GB"/>
        </w:rPr>
        <w:t xml:space="preserve">hat </w:t>
      </w:r>
      <w:r w:rsidR="00E805BF">
        <w:rPr>
          <w:lang w:val="en-GB"/>
        </w:rPr>
        <w:t>the most common oil analysis program applied is</w:t>
      </w:r>
      <w:r w:rsidR="00371232">
        <w:rPr>
          <w:lang w:val="en-GB"/>
        </w:rPr>
        <w:t>?</w:t>
      </w:r>
      <w:r>
        <w:rPr>
          <w:lang w:val="en-GB"/>
        </w:rPr>
        <w:t xml:space="preserve">; (3) what are the most common sensors and instruments used for </w:t>
      </w:r>
      <w:r w:rsidR="006A4FFE">
        <w:rPr>
          <w:lang w:val="en-GB"/>
        </w:rPr>
        <w:t>MDM</w:t>
      </w:r>
      <w:r w:rsidR="00371232">
        <w:rPr>
          <w:lang w:val="en-GB"/>
        </w:rPr>
        <w:t>?</w:t>
      </w:r>
      <w:r>
        <w:rPr>
          <w:lang w:val="en-GB"/>
        </w:rPr>
        <w:t xml:space="preserve"> The question</w:t>
      </w:r>
      <w:r w:rsidR="00371232">
        <w:rPr>
          <w:lang w:val="en-GB"/>
        </w:rPr>
        <w:t>s</w:t>
      </w:r>
      <w:r>
        <w:rPr>
          <w:lang w:val="en-GB"/>
        </w:rPr>
        <w:t xml:space="preserve"> should detect variables that a</w:t>
      </w:r>
      <w:r w:rsidR="00DF775B">
        <w:rPr>
          <w:lang w:val="en-GB"/>
        </w:rPr>
        <w:t xml:space="preserve">ffect </w:t>
      </w:r>
      <w:r w:rsidR="00731010">
        <w:rPr>
          <w:lang w:val="en-GB"/>
        </w:rPr>
        <w:t xml:space="preserve">the </w:t>
      </w:r>
      <w:r w:rsidR="00DF775B">
        <w:rPr>
          <w:lang w:val="en-GB"/>
        </w:rPr>
        <w:t>machinery deterioration process</w:t>
      </w:r>
      <w:r w:rsidR="00371232">
        <w:rPr>
          <w:lang w:val="en-GB"/>
        </w:rPr>
        <w:t xml:space="preserve">, i.e., </w:t>
      </w:r>
      <w:r>
        <w:rPr>
          <w:lang w:val="en-GB"/>
        </w:rPr>
        <w:t xml:space="preserve">indicators </w:t>
      </w:r>
      <w:r w:rsidR="00EB4511">
        <w:rPr>
          <w:lang w:val="en-GB"/>
        </w:rPr>
        <w:t>(e.g. oil waste, failure type</w:t>
      </w:r>
      <w:r w:rsidR="006A4FFE">
        <w:rPr>
          <w:lang w:val="en-GB"/>
        </w:rPr>
        <w:t>s, root causes</w:t>
      </w:r>
      <w:r w:rsidR="00EB4511">
        <w:rPr>
          <w:lang w:val="en-GB"/>
        </w:rPr>
        <w:t>).</w:t>
      </w:r>
    </w:p>
    <w:p w14:paraId="15DDDC55" w14:textId="1E439C26" w:rsidR="00603932" w:rsidRDefault="00603932" w:rsidP="005B1E10">
      <w:pPr>
        <w:rPr>
          <w:lang w:val="en-GB"/>
        </w:rPr>
      </w:pPr>
      <w:r w:rsidRPr="00603932">
        <w:rPr>
          <w:b/>
          <w:bCs/>
          <w:lang w:val="en-GB"/>
        </w:rPr>
        <w:t>RQ</w:t>
      </w:r>
      <w:r w:rsidR="002C10C4">
        <w:rPr>
          <w:b/>
          <w:bCs/>
          <w:lang w:val="en-GB"/>
        </w:rPr>
        <w:t>5</w:t>
      </w:r>
      <w:r>
        <w:rPr>
          <w:lang w:val="en-GB"/>
        </w:rPr>
        <w:t>: What are the overall results of various maintenance policies and programs applied in general maintenance performance indicators</w:t>
      </w:r>
      <w:r w:rsidR="00DF775B">
        <w:rPr>
          <w:lang w:val="en-GB"/>
        </w:rPr>
        <w:t>,</w:t>
      </w:r>
      <w:r>
        <w:rPr>
          <w:lang w:val="en-GB"/>
        </w:rPr>
        <w:t xml:space="preserve"> including environmental co</w:t>
      </w:r>
      <w:r w:rsidR="009A1158">
        <w:rPr>
          <w:lang w:val="en-GB"/>
        </w:rPr>
        <w:t>n</w:t>
      </w:r>
      <w:r>
        <w:rPr>
          <w:lang w:val="en-GB"/>
        </w:rPr>
        <w:t>sequences?</w:t>
      </w:r>
    </w:p>
    <w:p w14:paraId="1AABF735" w14:textId="665606F1" w:rsidR="00603932" w:rsidRPr="00F90F0E" w:rsidRDefault="00603932" w:rsidP="005B1E10">
      <w:pPr>
        <w:rPr>
          <w:lang w:val="en-GB"/>
        </w:rPr>
      </w:pPr>
      <w:r>
        <w:rPr>
          <w:lang w:val="en-GB"/>
        </w:rPr>
        <w:t xml:space="preserve">The </w:t>
      </w:r>
      <w:r w:rsidR="00537943">
        <w:rPr>
          <w:lang w:val="en-GB"/>
        </w:rPr>
        <w:t>final</w:t>
      </w:r>
      <w:r w:rsidR="00DF775B">
        <w:rPr>
          <w:lang w:val="en-GB"/>
        </w:rPr>
        <w:t xml:space="preserve"> question</w:t>
      </w:r>
      <w:r w:rsidR="00521FB3">
        <w:rPr>
          <w:lang w:val="en-GB"/>
        </w:rPr>
        <w:t>’</w:t>
      </w:r>
      <w:r w:rsidR="00DF775B">
        <w:rPr>
          <w:lang w:val="en-GB"/>
        </w:rPr>
        <w:t xml:space="preserve">s goal is to reflect the consequences of applying different maintenance policies </w:t>
      </w:r>
      <w:r w:rsidR="00E805BF">
        <w:rPr>
          <w:lang w:val="en-GB"/>
        </w:rPr>
        <w:t>regarding</w:t>
      </w:r>
      <w:r w:rsidR="00DF775B">
        <w:rPr>
          <w:lang w:val="en-GB"/>
        </w:rPr>
        <w:t xml:space="preserve"> maintenance technical and sustainability indicators</w:t>
      </w:r>
      <w:r w:rsidR="00541F5C">
        <w:rPr>
          <w:lang w:val="en-GB"/>
        </w:rPr>
        <w:t xml:space="preserve"> and </w:t>
      </w:r>
      <w:r w:rsidR="00537943">
        <w:rPr>
          <w:lang w:val="en-GB"/>
        </w:rPr>
        <w:t>draw</w:t>
      </w:r>
      <w:r w:rsidR="00541F5C">
        <w:rPr>
          <w:lang w:val="en-GB"/>
        </w:rPr>
        <w:t xml:space="preserve"> conclusions on </w:t>
      </w:r>
      <w:r w:rsidR="009A1158">
        <w:rPr>
          <w:lang w:val="en-GB"/>
        </w:rPr>
        <w:t xml:space="preserve">the </w:t>
      </w:r>
      <w:r w:rsidR="00541F5C">
        <w:rPr>
          <w:lang w:val="en-GB"/>
        </w:rPr>
        <w:t>importance of each variable and maintenance activities for improving those indicators.</w:t>
      </w:r>
    </w:p>
    <w:p w14:paraId="7387921F" w14:textId="74F96CD1" w:rsidR="008C498C" w:rsidRDefault="006F21DE" w:rsidP="001A5F26">
      <w:pPr>
        <w:pStyle w:val="Heading3"/>
      </w:pPr>
      <w:bookmarkStart w:id="119" w:name="_Toc62467373"/>
      <w:bookmarkStart w:id="120" w:name="_Toc91575385"/>
      <w:bookmarkStart w:id="121" w:name="_Toc93759865"/>
      <w:bookmarkStart w:id="122" w:name="_Toc93759969"/>
      <w:bookmarkStart w:id="123" w:name="_Toc101274334"/>
      <w:r>
        <w:t xml:space="preserve">Setting the </w:t>
      </w:r>
      <w:r w:rsidR="00697E06">
        <w:t>s</w:t>
      </w:r>
      <w:r>
        <w:t xml:space="preserve">urvey </w:t>
      </w:r>
      <w:r w:rsidR="00697E06">
        <w:t>t</w:t>
      </w:r>
      <w:r>
        <w:t>arget</w:t>
      </w:r>
      <w:bookmarkEnd w:id="119"/>
      <w:bookmarkEnd w:id="120"/>
      <w:bookmarkEnd w:id="121"/>
      <w:bookmarkEnd w:id="122"/>
      <w:bookmarkEnd w:id="123"/>
    </w:p>
    <w:p w14:paraId="0E3E2DE3" w14:textId="1DD29C25" w:rsidR="003E61AC" w:rsidRDefault="003E61AC" w:rsidP="003E61AC">
      <w:r>
        <w:t xml:space="preserve">A questionnaire-based survey is used as one of the data-driven research instruments to validate the evidence collected and highlight the importance of the need for such </w:t>
      </w:r>
      <w:r w:rsidR="009A1158">
        <w:t xml:space="preserve">a </w:t>
      </w:r>
      <w:r>
        <w:t xml:space="preserve">survey. The survey is conducted in </w:t>
      </w:r>
      <w:r w:rsidR="00371232">
        <w:t>three</w:t>
      </w:r>
      <w:r>
        <w:t xml:space="preserve"> phases</w:t>
      </w:r>
      <w:r w:rsidR="009E4289">
        <w:t xml:space="preserve"> (</w:t>
      </w:r>
      <w:r w:rsidR="009E4289">
        <w:fldChar w:fldCharType="begin"/>
      </w:r>
      <w:r w:rsidR="009E4289">
        <w:instrText xml:space="preserve"> REF _Ref100732054 \h </w:instrText>
      </w:r>
      <w:r w:rsidR="009E4289">
        <w:fldChar w:fldCharType="separate"/>
      </w:r>
      <w:r w:rsidR="00587AF0">
        <w:t xml:space="preserve">Figure </w:t>
      </w:r>
      <w:r w:rsidR="00587AF0">
        <w:rPr>
          <w:noProof/>
        </w:rPr>
        <w:t>8</w:t>
      </w:r>
      <w:r w:rsidR="009E4289">
        <w:fldChar w:fldCharType="end"/>
      </w:r>
      <w:r w:rsidR="009E4289">
        <w:t>)</w:t>
      </w:r>
      <w:r>
        <w:t>: (1) design and development</w:t>
      </w:r>
      <w:r w:rsidR="00371232">
        <w:t>; (2)</w:t>
      </w:r>
      <w:r>
        <w:t xml:space="preserve"> simulation and sensitivity analysis; (3) </w:t>
      </w:r>
      <w:r w:rsidR="00371232">
        <w:t xml:space="preserve">survey realisation – </w:t>
      </w:r>
      <w:r>
        <w:t xml:space="preserve">data collection and processing. The questionnaire is designed to encompass bottom-, mid- and upper-level maintenance hierarchy while </w:t>
      </w:r>
      <w:r w:rsidR="00371232">
        <w:t>targeting</w:t>
      </w:r>
      <w:r>
        <w:t>:</w:t>
      </w:r>
    </w:p>
    <w:p w14:paraId="027314FE" w14:textId="6D0DF2B2" w:rsidR="003E61AC" w:rsidRDefault="003E61AC" w:rsidP="003E61AC">
      <w:pPr>
        <w:numPr>
          <w:ilvl w:val="0"/>
          <w:numId w:val="9"/>
        </w:numPr>
      </w:pPr>
      <w:r>
        <w:rPr>
          <w:lang w:val="sr-Latn-RS"/>
        </w:rPr>
        <w:t>Operational</w:t>
      </w:r>
      <w:r w:rsidR="00371232">
        <w:rPr>
          <w:lang w:val="sr-Latn-RS"/>
        </w:rPr>
        <w:t xml:space="preserve"> aspect</w:t>
      </w:r>
      <w:r w:rsidRPr="00F51F1F">
        <w:rPr>
          <w:lang w:val="sr-Latn-RS"/>
        </w:rPr>
        <w:t xml:space="preserve">: </w:t>
      </w:r>
      <w:r>
        <w:rPr>
          <w:lang w:val="sr-Latn-RS"/>
        </w:rPr>
        <w:t xml:space="preserve">company </w:t>
      </w:r>
      <w:r w:rsidRPr="00F51F1F">
        <w:rPr>
          <w:lang w:val="sr-Latn-RS"/>
        </w:rPr>
        <w:t>size</w:t>
      </w:r>
      <w:r>
        <w:rPr>
          <w:lang w:val="sr-Latn-RS"/>
        </w:rPr>
        <w:t>;</w:t>
      </w:r>
      <w:r w:rsidRPr="00F51F1F">
        <w:rPr>
          <w:lang w:val="sr-Latn-RS"/>
        </w:rPr>
        <w:t xml:space="preserve"> </w:t>
      </w:r>
      <w:r>
        <w:rPr>
          <w:lang w:val="sr-Latn-RS"/>
        </w:rPr>
        <w:t xml:space="preserve">asset management </w:t>
      </w:r>
      <w:r w:rsidRPr="00F51F1F">
        <w:rPr>
          <w:lang w:val="sr-Latn-RS"/>
        </w:rPr>
        <w:t>resources</w:t>
      </w:r>
      <w:r>
        <w:rPr>
          <w:lang w:val="sr-Latn-RS"/>
        </w:rPr>
        <w:t>;</w:t>
      </w:r>
      <w:r w:rsidRPr="00F51F1F">
        <w:rPr>
          <w:lang w:val="sr-Latn-RS"/>
        </w:rPr>
        <w:t xml:space="preserve"> type of </w:t>
      </w:r>
      <w:r>
        <w:rPr>
          <w:lang w:val="sr-Latn-RS"/>
        </w:rPr>
        <w:t>technical systems</w:t>
      </w:r>
      <w:r w:rsidRPr="00F51F1F">
        <w:rPr>
          <w:lang w:val="sr-Latn-RS"/>
        </w:rPr>
        <w:t xml:space="preserve"> – industrial, mobile, marine, aerospace</w:t>
      </w:r>
      <w:r>
        <w:rPr>
          <w:lang w:val="sr-Latn-RS"/>
        </w:rPr>
        <w:t>;</w:t>
      </w:r>
      <w:r w:rsidRPr="00F51F1F">
        <w:rPr>
          <w:lang w:val="sr-Latn-RS"/>
        </w:rPr>
        <w:t xml:space="preserve"> the </w:t>
      </w:r>
      <w:r w:rsidR="00DF775B">
        <w:rPr>
          <w:lang w:val="sr-Latn-RS"/>
        </w:rPr>
        <w:t>system</w:t>
      </w:r>
      <w:r w:rsidR="00521FB3">
        <w:rPr>
          <w:lang w:val="sr-Latn-RS"/>
        </w:rPr>
        <w:t>’</w:t>
      </w:r>
      <w:r w:rsidR="00DF775B">
        <w:rPr>
          <w:lang w:val="sr-Latn-RS"/>
        </w:rPr>
        <w:t>s pressure</w:t>
      </w:r>
      <w:r>
        <w:rPr>
          <w:lang w:val="sr-Latn-RS"/>
        </w:rPr>
        <w:t>;</w:t>
      </w:r>
      <w:r w:rsidRPr="00F51F1F">
        <w:rPr>
          <w:lang w:val="sr-Latn-RS"/>
        </w:rPr>
        <w:t xml:space="preserve"> </w:t>
      </w:r>
      <w:r>
        <w:rPr>
          <w:lang w:val="sr-Latn-RS"/>
        </w:rPr>
        <w:t>technical</w:t>
      </w:r>
      <w:r w:rsidRPr="00F51F1F">
        <w:rPr>
          <w:lang w:val="sr-Latn-RS"/>
        </w:rPr>
        <w:t xml:space="preserve"> parameters</w:t>
      </w:r>
      <w:r>
        <w:rPr>
          <w:lang w:val="sr-Latn-RS"/>
        </w:rPr>
        <w:t xml:space="preserve"> – working conditions, forces, pressures, </w:t>
      </w:r>
      <w:r w:rsidR="00D3415F">
        <w:rPr>
          <w:lang w:val="sr-Latn-RS"/>
        </w:rPr>
        <w:t xml:space="preserve">and </w:t>
      </w:r>
      <w:r>
        <w:rPr>
          <w:lang w:val="sr-Latn-RS"/>
        </w:rPr>
        <w:t>flow</w:t>
      </w:r>
      <w:r>
        <w:t>.</w:t>
      </w:r>
    </w:p>
    <w:p w14:paraId="13F8F83E" w14:textId="7B7E0B1A" w:rsidR="003E61AC" w:rsidRDefault="003E61AC" w:rsidP="003E61AC">
      <w:pPr>
        <w:numPr>
          <w:ilvl w:val="0"/>
          <w:numId w:val="9"/>
        </w:numPr>
      </w:pPr>
      <w:r>
        <w:t>Maintenance</w:t>
      </w:r>
      <w:r w:rsidR="00371232">
        <w:t xml:space="preserve"> aspect</w:t>
      </w:r>
      <w:r>
        <w:t>: strategy and action plan; monitoring programs; instruments and sensors applied; activities employed; mathematical and statistical tools for processing and maintenance decision-making</w:t>
      </w:r>
      <w:r w:rsidR="00C91C88">
        <w:t>.</w:t>
      </w:r>
    </w:p>
    <w:p w14:paraId="51581D32" w14:textId="112268F1" w:rsidR="003E61AC" w:rsidRDefault="00371232" w:rsidP="003E61AC">
      <w:pPr>
        <w:numPr>
          <w:ilvl w:val="0"/>
          <w:numId w:val="9"/>
        </w:numPr>
      </w:pPr>
      <w:r>
        <w:t>Performance aspect</w:t>
      </w:r>
      <w:r w:rsidR="003E61AC">
        <w:t xml:space="preserve">: type of failures; root causes of failure; failures of particular components; the mean time between failures (MTBF); filter replacement period; oil consumption; </w:t>
      </w:r>
      <w:r w:rsidR="009B6DDF">
        <w:t xml:space="preserve">and </w:t>
      </w:r>
      <w:r w:rsidR="003E61AC">
        <w:t>oil refilling</w:t>
      </w:r>
      <w:r w:rsidR="009B6DDF">
        <w:t>.</w:t>
      </w:r>
    </w:p>
    <w:p w14:paraId="2162B034" w14:textId="0504615E" w:rsidR="005B40B9" w:rsidRDefault="00407753" w:rsidP="001A5F26">
      <w:r>
        <w:lastRenderedPageBreak/>
        <w:t xml:space="preserve">The pilot version of the survey </w:t>
      </w:r>
      <w:r w:rsidR="00DF775B">
        <w:t>contained</w:t>
      </w:r>
      <w:r>
        <w:t xml:space="preserve"> 80 questions </w:t>
      </w:r>
      <w:r w:rsidR="005945FB">
        <w:t xml:space="preserve">with </w:t>
      </w:r>
      <w:r w:rsidR="009A1158">
        <w:t xml:space="preserve">the </w:t>
      </w:r>
      <w:r w:rsidR="005945FB">
        <w:t xml:space="preserve">same targets and audience to investigate. However, after </w:t>
      </w:r>
      <w:r w:rsidR="00822781">
        <w:t xml:space="preserve">only </w:t>
      </w:r>
      <w:r w:rsidR="00F51E51">
        <w:t xml:space="preserve">a </w:t>
      </w:r>
      <w:r w:rsidR="00CE7608">
        <w:t>3</w:t>
      </w:r>
      <w:r w:rsidR="005945FB">
        <w:t>% response rate in the first couple of months, the survey was shorten</w:t>
      </w:r>
      <w:r w:rsidR="009A1158">
        <w:t>ed</w:t>
      </w:r>
      <w:r w:rsidR="005945FB">
        <w:t xml:space="preserve"> to </w:t>
      </w:r>
      <w:r w:rsidR="00822781">
        <w:t>20</w:t>
      </w:r>
      <w:r w:rsidR="005945FB">
        <w:t xml:space="preserve"> most important questions</w:t>
      </w:r>
      <w:r w:rsidR="00822781">
        <w:t xml:space="preserve"> (including subquestions)</w:t>
      </w:r>
      <w:r w:rsidR="005945FB">
        <w:t xml:space="preserve"> regarding the maintenance</w:t>
      </w:r>
      <w:r w:rsidR="00CE7608">
        <w:t xml:space="preserve"> practice</w:t>
      </w:r>
      <w:r w:rsidR="005945FB">
        <w:t xml:space="preserve"> of hydraulic system</w:t>
      </w:r>
      <w:r w:rsidR="00F51E51">
        <w:t>s</w:t>
      </w:r>
      <w:r w:rsidR="005945FB">
        <w:t xml:space="preserve"> while maintaining the </w:t>
      </w:r>
      <w:r w:rsidR="00E0642B">
        <w:t>proposed research objective.</w:t>
      </w:r>
      <w:r w:rsidR="008E1927">
        <w:t xml:space="preserve"> The design phase is realised through</w:t>
      </w:r>
      <w:r w:rsidR="00E0642B">
        <w:t xml:space="preserve"> discussion</w:t>
      </w:r>
      <w:r w:rsidR="00E805BF">
        <w:t>s</w:t>
      </w:r>
      <w:r w:rsidR="00E0642B">
        <w:t xml:space="preserve"> with the research </w:t>
      </w:r>
      <w:r w:rsidR="00822781">
        <w:t>scientists and industrialists.</w:t>
      </w:r>
      <w:r w:rsidR="00E0642B">
        <w:t xml:space="preserve"> </w:t>
      </w:r>
      <w:r w:rsidR="00F51E51">
        <w:t>T</w:t>
      </w:r>
      <w:r w:rsidR="00E805BF">
        <w:t>he survey</w:t>
      </w:r>
      <w:r w:rsidR="008E1927">
        <w:t xml:space="preserve"> is designed to be</w:t>
      </w:r>
      <w:r w:rsidR="00E805BF">
        <w:t xml:space="preserve"> transparent, </w:t>
      </w:r>
      <w:r w:rsidR="00663CD9">
        <w:t>broad</w:t>
      </w:r>
      <w:r w:rsidR="00E805BF">
        <w:t xml:space="preserve"> </w:t>
      </w:r>
      <w:r w:rsidR="00663CD9">
        <w:t xml:space="preserve">(including various </w:t>
      </w:r>
      <w:r w:rsidR="00E805BF">
        <w:t>regions</w:t>
      </w:r>
      <w:r w:rsidR="00663CD9">
        <w:t>)</w:t>
      </w:r>
      <w:r w:rsidR="00E805BF">
        <w:t xml:space="preserve">, </w:t>
      </w:r>
      <w:r w:rsidR="00663CD9">
        <w:t>and understandable (</w:t>
      </w:r>
      <w:r w:rsidR="00E805BF">
        <w:t>reworked with other experts in the field and tested to mitigate bias</w:t>
      </w:r>
      <w:r w:rsidR="00663CD9">
        <w:t>)</w:t>
      </w:r>
      <w:r w:rsidR="00E0642B">
        <w:t>. Hence, the survey was disseminated to several other researchers after design and in various geographical regions without prior cooperation with the researcher.</w:t>
      </w:r>
    </w:p>
    <w:p w14:paraId="63881993" w14:textId="1CC4525D" w:rsidR="003E19BA" w:rsidRDefault="00D911DA" w:rsidP="003E19BA">
      <w:pPr>
        <w:pStyle w:val="Heading3"/>
      </w:pPr>
      <w:bookmarkStart w:id="124" w:name="_Toc62467374"/>
      <w:bookmarkStart w:id="125" w:name="_Toc91575386"/>
      <w:bookmarkStart w:id="126" w:name="_Toc93759866"/>
      <w:bookmarkStart w:id="127" w:name="_Toc93759970"/>
      <w:bookmarkStart w:id="128" w:name="_Toc101274335"/>
      <w:r>
        <w:t>Improvement</w:t>
      </w:r>
      <w:r w:rsidR="003E19BA">
        <w:t xml:space="preserve"> of the </w:t>
      </w:r>
      <w:r w:rsidR="00697E06">
        <w:t>s</w:t>
      </w:r>
      <w:r w:rsidR="003E19BA">
        <w:t>urvey</w:t>
      </w:r>
      <w:bookmarkEnd w:id="124"/>
      <w:bookmarkEnd w:id="125"/>
      <w:bookmarkEnd w:id="126"/>
      <w:bookmarkEnd w:id="127"/>
      <w:bookmarkEnd w:id="128"/>
    </w:p>
    <w:p w14:paraId="39B656AA" w14:textId="349E7932" w:rsidR="00E3497F" w:rsidRDefault="003E19BA" w:rsidP="003E19BA">
      <w:r>
        <w:t>The s</w:t>
      </w:r>
      <w:r w:rsidR="00DF775B">
        <w:t>urvey design</w:t>
      </w:r>
      <w:r w:rsidR="00521FB3">
        <w:t>’</w:t>
      </w:r>
      <w:r w:rsidR="00DF775B">
        <w:t>s start date</w:t>
      </w:r>
      <w:r>
        <w:t xml:space="preserve"> was </w:t>
      </w:r>
      <w:r w:rsidR="00326D9F">
        <w:t>March</w:t>
      </w:r>
      <w:r>
        <w:t xml:space="preserve"> 2019 and lasted until June 2019. </w:t>
      </w:r>
      <w:r w:rsidR="00E805BF">
        <w:t>During</w:t>
      </w:r>
      <w:r>
        <w:t xml:space="preserve"> that period survey was redesigned</w:t>
      </w:r>
      <w:r w:rsidR="005F31CC">
        <w:t xml:space="preserve"> and improved </w:t>
      </w:r>
      <w:r>
        <w:t xml:space="preserve">according to suggestions from other researchers in the field. </w:t>
      </w:r>
      <w:r w:rsidR="0033451B">
        <w:t>T</w:t>
      </w:r>
      <w:r w:rsidR="00E805BF">
        <w:t xml:space="preserve">he </w:t>
      </w:r>
      <w:r>
        <w:t xml:space="preserve">survey was sent to </w:t>
      </w:r>
      <w:r w:rsidR="00731010">
        <w:t xml:space="preserve">the </w:t>
      </w:r>
      <w:r>
        <w:t xml:space="preserve">industry and redesigned according to environmental requirements for fulfilling such </w:t>
      </w:r>
      <w:r w:rsidR="00731010">
        <w:t xml:space="preserve">a </w:t>
      </w:r>
      <w:r>
        <w:t>document.</w:t>
      </w:r>
    </w:p>
    <w:p w14:paraId="124C0F72" w14:textId="77777777" w:rsidR="00E3497F" w:rsidRDefault="00E3497F" w:rsidP="003E19BA">
      <w:r>
        <w:t>T</w:t>
      </w:r>
      <w:r w:rsidR="003E19BA">
        <w:t xml:space="preserve">he survey is shaped </w:t>
      </w:r>
      <w:r w:rsidR="00DF775B">
        <w:t>to</w:t>
      </w:r>
      <w:r w:rsidR="003E19BA">
        <w:t xml:space="preserve"> provide mostly numerical quantitative data for descriptive statistics and better insight into the real problems and facets of hydraulic machines</w:t>
      </w:r>
      <w:r w:rsidR="00326D9F">
        <w:t>’ maintenance practice</w:t>
      </w:r>
      <w:r w:rsidR="003E19BA">
        <w:t xml:space="preserve"> in various sectors. In other words, </w:t>
      </w:r>
      <w:r w:rsidR="00731010">
        <w:t xml:space="preserve">the </w:t>
      </w:r>
      <w:r w:rsidR="00DF775B">
        <w:t>primary</w:t>
      </w:r>
      <w:r w:rsidR="003E19BA">
        <w:t xml:space="preserve"> aim</w:t>
      </w:r>
      <w:r>
        <w:t xml:space="preserve"> of the survey is</w:t>
      </w:r>
      <w:r w:rsidR="003E19BA">
        <w:t xml:space="preserve"> to reflect </w:t>
      </w:r>
      <w:r w:rsidR="00731010">
        <w:t xml:space="preserve">the </w:t>
      </w:r>
      <w:r w:rsidR="003E19BA">
        <w:t>current state</w:t>
      </w:r>
      <w:r w:rsidR="00E805BF">
        <w:t xml:space="preserve"> of the </w:t>
      </w:r>
      <w:r w:rsidR="003E19BA">
        <w:t xml:space="preserve">practice regarding operation &amp; maintenance (O&amp;M) activities </w:t>
      </w:r>
      <w:r w:rsidR="00326D9F">
        <w:t xml:space="preserve">of </w:t>
      </w:r>
      <w:r w:rsidR="003E19BA">
        <w:t>hydraulic systems</w:t>
      </w:r>
      <w:r>
        <w:t>.</w:t>
      </w:r>
    </w:p>
    <w:p w14:paraId="0536C46A" w14:textId="6FF40B99" w:rsidR="00E3497F" w:rsidRDefault="00E3497F" w:rsidP="003E19BA">
      <w:r>
        <w:t>The second aim is to extract essential information regarding the real-working conditions from which the experimental machine, i.e., the “in vivo” system, will be used for experimental validation using machine learning models and proposed functional-productiveness markers.</w:t>
      </w:r>
    </w:p>
    <w:p w14:paraId="774A0BC8" w14:textId="02200ED1" w:rsidR="003E19BA" w:rsidRDefault="00E3497F" w:rsidP="003E19BA">
      <w:r>
        <w:t xml:space="preserve">The third aim is to use meta-data from practical conditions, maintenance activities and associated actions to optimise maintenance activities via reliability modelling and analysis and discuss the contribution </w:t>
      </w:r>
      <w:r w:rsidR="00F4324D">
        <w:t>to the EBM practice.</w:t>
      </w:r>
    </w:p>
    <w:p w14:paraId="3BFC07AC" w14:textId="6D61E385" w:rsidR="008E1E65" w:rsidRDefault="00D26513" w:rsidP="008E1E65">
      <w:pPr>
        <w:pStyle w:val="Caption"/>
      </w:pPr>
      <w:r w:rsidRPr="00D26513">
        <w:rPr>
          <w:noProof/>
        </w:rPr>
        <w:drawing>
          <wp:inline distT="0" distB="0" distL="0" distR="0" wp14:anchorId="54B565D1" wp14:editId="39027065">
            <wp:extent cx="5617845" cy="2082800"/>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extLst>
                        <a:ext uri="{28A0092B-C50C-407E-A947-70E740481C1C}">
                          <a14:useLocalDpi xmlns:a14="http://schemas.microsoft.com/office/drawing/2010/main" val="0"/>
                        </a:ext>
                      </a:extLst>
                    </a:blip>
                    <a:srcRect l="1994" t="-1513" b="2299"/>
                    <a:stretch/>
                  </pic:blipFill>
                  <pic:spPr bwMode="auto">
                    <a:xfrm>
                      <a:off x="0" y="0"/>
                      <a:ext cx="5811564" cy="2154621"/>
                    </a:xfrm>
                    <a:prstGeom prst="rect">
                      <a:avLst/>
                    </a:prstGeom>
                    <a:noFill/>
                    <a:ln>
                      <a:noFill/>
                    </a:ln>
                    <a:extLst>
                      <a:ext uri="{53640926-AAD7-44D8-BBD7-CCE9431645EC}">
                        <a14:shadowObscured xmlns:a14="http://schemas.microsoft.com/office/drawing/2010/main"/>
                      </a:ext>
                    </a:extLst>
                  </pic:spPr>
                </pic:pic>
              </a:graphicData>
            </a:graphic>
          </wp:inline>
        </w:drawing>
      </w:r>
    </w:p>
    <w:p w14:paraId="18C671A4" w14:textId="32F1AF7A" w:rsidR="008E1E65" w:rsidRDefault="008E1E65" w:rsidP="008E1E65">
      <w:pPr>
        <w:pStyle w:val="Caption"/>
      </w:pPr>
      <w:bookmarkStart w:id="129" w:name="_Ref100732054"/>
      <w:bookmarkStart w:id="130" w:name="_Toc101274530"/>
      <w:r>
        <w:t xml:space="preserve">Figure </w:t>
      </w:r>
      <w:fldSimple w:instr=" SEQ Figure \* ARABIC ">
        <w:r w:rsidR="00587AF0">
          <w:rPr>
            <w:noProof/>
          </w:rPr>
          <w:t>8</w:t>
        </w:r>
      </w:fldSimple>
      <w:bookmarkEnd w:id="129"/>
      <w:r>
        <w:t xml:space="preserve">. </w:t>
      </w:r>
      <w:r w:rsidR="00A7735C">
        <w:t xml:space="preserve">Survey framework </w:t>
      </w:r>
      <w:r w:rsidR="00107C17">
        <w:t>draft</w:t>
      </w:r>
      <w:r w:rsidR="00A7735C">
        <w:t xml:space="preserve"> of hydraulic system </w:t>
      </w:r>
      <w:r>
        <w:t>maintenance</w:t>
      </w:r>
      <w:bookmarkEnd w:id="130"/>
    </w:p>
    <w:p w14:paraId="014F0C62" w14:textId="1F8CF385" w:rsidR="001D4126" w:rsidRDefault="003E19BA" w:rsidP="009B6DDF">
      <w:pPr>
        <w:pStyle w:val="Heading3"/>
      </w:pPr>
      <w:bookmarkStart w:id="131" w:name="_Toc62467375"/>
      <w:bookmarkStart w:id="132" w:name="_Toc91575387"/>
      <w:bookmarkStart w:id="133" w:name="_Toc93759867"/>
      <w:bookmarkStart w:id="134" w:name="_Toc93759971"/>
      <w:bookmarkStart w:id="135" w:name="_Toc101274336"/>
      <w:r>
        <w:t xml:space="preserve">Survey </w:t>
      </w:r>
      <w:r w:rsidR="00697E06">
        <w:t>r</w:t>
      </w:r>
      <w:r>
        <w:t>ealisation</w:t>
      </w:r>
      <w:bookmarkEnd w:id="131"/>
      <w:bookmarkEnd w:id="132"/>
      <w:bookmarkEnd w:id="133"/>
      <w:bookmarkEnd w:id="134"/>
      <w:bookmarkEnd w:id="135"/>
    </w:p>
    <w:p w14:paraId="2C009131" w14:textId="6C52A18D" w:rsidR="008C2AF8" w:rsidRDefault="00284634" w:rsidP="007100C5">
      <w:r>
        <w:t xml:space="preserve">The </w:t>
      </w:r>
      <w:r w:rsidR="00F4324D">
        <w:t>first draft of the</w:t>
      </w:r>
      <w:r>
        <w:t xml:space="preserve"> survey was sent to </w:t>
      </w:r>
      <w:r w:rsidR="004E71D8">
        <w:t>the two</w:t>
      </w:r>
      <w:r w:rsidR="004B02AA">
        <w:t xml:space="preserve"> industrial maintenance scientists </w:t>
      </w:r>
      <w:r w:rsidR="00DF775B">
        <w:t>on</w:t>
      </w:r>
      <w:r w:rsidR="004B02AA">
        <w:t xml:space="preserve"> hydraulic system maintenance research for review. </w:t>
      </w:r>
      <w:r w:rsidR="00DF775B">
        <w:t>T</w:t>
      </w:r>
      <w:r w:rsidR="004B02AA">
        <w:t xml:space="preserve">he survey is also sent to three </w:t>
      </w:r>
      <w:r>
        <w:t xml:space="preserve">companies </w:t>
      </w:r>
      <w:r w:rsidR="004B02AA">
        <w:t>to</w:t>
      </w:r>
      <w:r>
        <w:t xml:space="preserve"> review the survey structure</w:t>
      </w:r>
      <w:r w:rsidR="004B02AA">
        <w:t xml:space="preserve"> for clearness and transparency. The aim is </w:t>
      </w:r>
      <w:r w:rsidR="00DF775B">
        <w:t>t</w:t>
      </w:r>
      <w:r w:rsidR="004B02AA">
        <w:t>o acquire know</w:t>
      </w:r>
      <w:r w:rsidR="009A1158">
        <w:t>le</w:t>
      </w:r>
      <w:r w:rsidR="004B02AA">
        <w:t xml:space="preserve">dge regarding the survey structure and </w:t>
      </w:r>
      <w:r w:rsidR="00731010">
        <w:t>suggest</w:t>
      </w:r>
      <w:r>
        <w:t xml:space="preserve"> whether </w:t>
      </w:r>
      <w:r w:rsidR="002044F9">
        <w:t>it</w:t>
      </w:r>
      <w:r>
        <w:t xml:space="preserve"> was explained in detail for </w:t>
      </w:r>
      <w:r w:rsidR="009A1158">
        <w:t>surveying</w:t>
      </w:r>
      <w:r w:rsidR="004B02AA">
        <w:t xml:space="preserve"> </w:t>
      </w:r>
      <w:r>
        <w:t xml:space="preserve">within </w:t>
      </w:r>
      <w:r w:rsidR="009A1158">
        <w:t xml:space="preserve">an </w:t>
      </w:r>
      <w:r>
        <w:t>industrial envi</w:t>
      </w:r>
      <w:r w:rsidR="009A1158">
        <w:t>ro</w:t>
      </w:r>
      <w:r>
        <w:t xml:space="preserve">nment. The survey was </w:t>
      </w:r>
      <w:r w:rsidR="00BA788F">
        <w:t xml:space="preserve">reduced from 80 to </w:t>
      </w:r>
      <w:r w:rsidR="004E71D8">
        <w:t>3</w:t>
      </w:r>
      <w:r w:rsidR="00BA788F">
        <w:t>0 questions</w:t>
      </w:r>
      <w:r w:rsidR="006F2191">
        <w:t xml:space="preserve"> </w:t>
      </w:r>
      <w:r w:rsidR="00BA788F">
        <w:t xml:space="preserve">after </w:t>
      </w:r>
      <w:r w:rsidR="00DF775B">
        <w:t>experts</w:t>
      </w:r>
      <w:r w:rsidR="00521FB3">
        <w:t>’</w:t>
      </w:r>
      <w:r w:rsidR="00DF775B">
        <w:t xml:space="preserve"> suggestion</w:t>
      </w:r>
      <w:r w:rsidR="00BA788F">
        <w:t>s</w:t>
      </w:r>
      <w:r w:rsidR="006F2191">
        <w:t xml:space="preserve">. </w:t>
      </w:r>
      <w:r w:rsidR="00F4324D">
        <w:t>After the first test period, the response rate was less than 5%</w:t>
      </w:r>
      <w:r w:rsidR="00451E9B">
        <w:t>,</w:t>
      </w:r>
      <w:r w:rsidR="00F4324D">
        <w:t xml:space="preserve"> after which the survey was again shortened and redesigned such that the </w:t>
      </w:r>
      <w:r w:rsidR="006F2191">
        <w:t xml:space="preserve">final </w:t>
      </w:r>
      <w:r w:rsidR="00F4324D">
        <w:t xml:space="preserve">version of the </w:t>
      </w:r>
      <w:r w:rsidR="006F2191">
        <w:t>survey contain</w:t>
      </w:r>
      <w:r w:rsidR="00F4324D">
        <w:t>ed</w:t>
      </w:r>
      <w:r>
        <w:t xml:space="preserve"> 21 </w:t>
      </w:r>
      <w:r w:rsidR="00731010">
        <w:t>essential</w:t>
      </w:r>
      <w:r>
        <w:t xml:space="preserve"> questions split to target </w:t>
      </w:r>
      <w:r w:rsidR="00BA788F">
        <w:t xml:space="preserve">the </w:t>
      </w:r>
      <w:r>
        <w:t>aspects proposed</w:t>
      </w:r>
      <w:r w:rsidR="00F4324D">
        <w:t xml:space="preserve"> (</w:t>
      </w:r>
      <w:r w:rsidR="00DF2CEE">
        <w:rPr>
          <w:color w:val="FF0000"/>
        </w:rPr>
        <w:fldChar w:fldCharType="begin"/>
      </w:r>
      <w:r w:rsidR="00DF2CEE">
        <w:instrText xml:space="preserve"> REF _Ref93481980 \h </w:instrText>
      </w:r>
      <w:r w:rsidR="00DF2CEE">
        <w:rPr>
          <w:color w:val="FF0000"/>
        </w:rPr>
      </w:r>
      <w:r w:rsidR="00DF2CEE">
        <w:rPr>
          <w:color w:val="FF0000"/>
        </w:rPr>
        <w:fldChar w:fldCharType="separate"/>
      </w:r>
      <w:r w:rsidR="00587AF0">
        <w:t xml:space="preserve">Appendix </w:t>
      </w:r>
      <w:r w:rsidR="00587AF0">
        <w:rPr>
          <w:noProof/>
        </w:rPr>
        <w:t>1</w:t>
      </w:r>
      <w:r w:rsidR="00DF2CEE">
        <w:rPr>
          <w:color w:val="FF0000"/>
        </w:rPr>
        <w:fldChar w:fldCharType="end"/>
      </w:r>
      <w:r w:rsidR="00F4324D">
        <w:t>)</w:t>
      </w:r>
      <w:r>
        <w:t>.</w:t>
      </w:r>
    </w:p>
    <w:p w14:paraId="74D9C871" w14:textId="77777777" w:rsidR="00451E9B" w:rsidRDefault="00451E9B" w:rsidP="007100C5"/>
    <w:p w14:paraId="2CCECA56" w14:textId="1F9773F4" w:rsidR="008C2AF8" w:rsidRDefault="008C2AF8" w:rsidP="008C2AF8">
      <w:bookmarkStart w:id="136" w:name="_Toc65585494"/>
      <w:bookmarkStart w:id="137" w:name="_Toc101274444"/>
      <w:r>
        <w:lastRenderedPageBreak/>
        <w:t xml:space="preserve">Table </w:t>
      </w:r>
      <w:fldSimple w:instr=" SEQ Table \* ARABIC ">
        <w:r w:rsidR="00587AF0">
          <w:rPr>
            <w:noProof/>
          </w:rPr>
          <w:t>4</w:t>
        </w:r>
      </w:fldSimple>
      <w:r>
        <w:t>. Inclusion and exclusion criteria for survey validity</w:t>
      </w:r>
      <w:bookmarkEnd w:id="136"/>
      <w:bookmarkEnd w:id="137"/>
    </w:p>
    <w:tbl>
      <w:tblPr>
        <w:tblW w:w="0" w:type="auto"/>
        <w:tblLook w:val="04A0" w:firstRow="1" w:lastRow="0" w:firstColumn="1" w:lastColumn="0" w:noHBand="0" w:noVBand="1"/>
      </w:tblPr>
      <w:tblGrid>
        <w:gridCol w:w="3005"/>
        <w:gridCol w:w="4503"/>
        <w:gridCol w:w="1509"/>
      </w:tblGrid>
      <w:tr w:rsidR="008C2AF8" w:rsidRPr="00B84671" w14:paraId="73081196" w14:textId="77777777" w:rsidTr="008C281A">
        <w:tc>
          <w:tcPr>
            <w:tcW w:w="3005" w:type="dxa"/>
            <w:tcBorders>
              <w:top w:val="single" w:sz="4" w:space="0" w:color="auto"/>
              <w:left w:val="nil"/>
              <w:bottom w:val="single" w:sz="4" w:space="0" w:color="auto"/>
              <w:right w:val="nil"/>
            </w:tcBorders>
            <w:vAlign w:val="center"/>
          </w:tcPr>
          <w:p w14:paraId="14350E4D" w14:textId="77777777" w:rsidR="008C2AF8" w:rsidRPr="00B84671" w:rsidRDefault="008C2AF8" w:rsidP="008C281A">
            <w:pPr>
              <w:contextualSpacing/>
              <w:jc w:val="left"/>
              <w:rPr>
                <w:b/>
                <w:bCs/>
                <w:sz w:val="20"/>
                <w:szCs w:val="20"/>
              </w:rPr>
            </w:pPr>
            <w:r w:rsidRPr="00B84671">
              <w:rPr>
                <w:b/>
                <w:bCs/>
                <w:sz w:val="20"/>
                <w:szCs w:val="20"/>
              </w:rPr>
              <w:t>Criteria</w:t>
            </w:r>
          </w:p>
        </w:tc>
        <w:tc>
          <w:tcPr>
            <w:tcW w:w="4503" w:type="dxa"/>
            <w:tcBorders>
              <w:top w:val="single" w:sz="4" w:space="0" w:color="auto"/>
              <w:left w:val="nil"/>
              <w:bottom w:val="single" w:sz="4" w:space="0" w:color="auto"/>
              <w:right w:val="nil"/>
            </w:tcBorders>
            <w:vAlign w:val="center"/>
          </w:tcPr>
          <w:p w14:paraId="52725745" w14:textId="77777777" w:rsidR="008C2AF8" w:rsidRPr="00B84671" w:rsidRDefault="008C2AF8" w:rsidP="008C281A">
            <w:pPr>
              <w:contextualSpacing/>
              <w:jc w:val="left"/>
              <w:rPr>
                <w:b/>
                <w:bCs/>
                <w:sz w:val="20"/>
                <w:szCs w:val="20"/>
              </w:rPr>
            </w:pPr>
            <w:r w:rsidRPr="00B84671">
              <w:rPr>
                <w:b/>
                <w:bCs/>
                <w:sz w:val="20"/>
                <w:szCs w:val="20"/>
              </w:rPr>
              <w:t>Explanation</w:t>
            </w:r>
          </w:p>
        </w:tc>
        <w:tc>
          <w:tcPr>
            <w:tcW w:w="1509" w:type="dxa"/>
            <w:tcBorders>
              <w:top w:val="single" w:sz="4" w:space="0" w:color="auto"/>
              <w:left w:val="nil"/>
              <w:bottom w:val="single" w:sz="4" w:space="0" w:color="auto"/>
              <w:right w:val="nil"/>
            </w:tcBorders>
            <w:vAlign w:val="center"/>
          </w:tcPr>
          <w:p w14:paraId="078ACDDB" w14:textId="77777777" w:rsidR="008C2AF8" w:rsidRPr="00B84671" w:rsidRDefault="008C2AF8" w:rsidP="008C281A">
            <w:pPr>
              <w:contextualSpacing/>
              <w:jc w:val="right"/>
              <w:rPr>
                <w:b/>
                <w:bCs/>
                <w:sz w:val="20"/>
                <w:szCs w:val="20"/>
                <w:lang w:val="sr-Latn-RS"/>
              </w:rPr>
            </w:pPr>
            <w:r w:rsidRPr="00B84671">
              <w:rPr>
                <w:b/>
                <w:bCs/>
                <w:sz w:val="20"/>
                <w:szCs w:val="20"/>
                <w:lang w:val="sr-Latn-RS"/>
              </w:rPr>
              <w:t># Accepted</w:t>
            </w:r>
          </w:p>
        </w:tc>
      </w:tr>
      <w:tr w:rsidR="008C2AF8" w:rsidRPr="00B84671" w14:paraId="0EF2503F" w14:textId="77777777" w:rsidTr="008C281A">
        <w:tc>
          <w:tcPr>
            <w:tcW w:w="3005" w:type="dxa"/>
            <w:vMerge w:val="restart"/>
            <w:tcBorders>
              <w:top w:val="single" w:sz="4" w:space="0" w:color="auto"/>
              <w:left w:val="nil"/>
              <w:bottom w:val="nil"/>
              <w:right w:val="nil"/>
            </w:tcBorders>
            <w:vAlign w:val="center"/>
          </w:tcPr>
          <w:p w14:paraId="1797AF31" w14:textId="77777777" w:rsidR="008C2AF8" w:rsidRPr="00B84671" w:rsidRDefault="008C2AF8" w:rsidP="008C281A">
            <w:pPr>
              <w:contextualSpacing/>
              <w:jc w:val="left"/>
              <w:rPr>
                <w:sz w:val="20"/>
                <w:szCs w:val="20"/>
              </w:rPr>
            </w:pPr>
            <w:r w:rsidRPr="00B84671">
              <w:rPr>
                <w:sz w:val="20"/>
                <w:szCs w:val="20"/>
              </w:rPr>
              <w:t>Inclusion criteria</w:t>
            </w:r>
          </w:p>
        </w:tc>
        <w:tc>
          <w:tcPr>
            <w:tcW w:w="4503" w:type="dxa"/>
            <w:tcBorders>
              <w:top w:val="single" w:sz="4" w:space="0" w:color="auto"/>
              <w:left w:val="nil"/>
              <w:bottom w:val="nil"/>
              <w:right w:val="nil"/>
            </w:tcBorders>
            <w:vAlign w:val="center"/>
          </w:tcPr>
          <w:p w14:paraId="31289C7B" w14:textId="49C31327" w:rsidR="008C2AF8" w:rsidRPr="00B84671" w:rsidRDefault="008C2AF8" w:rsidP="008C281A">
            <w:pPr>
              <w:contextualSpacing/>
              <w:jc w:val="left"/>
              <w:rPr>
                <w:sz w:val="20"/>
                <w:szCs w:val="20"/>
                <w:lang w:val="en-GB"/>
              </w:rPr>
            </w:pPr>
            <w:r w:rsidRPr="00B84671">
              <w:rPr>
                <w:sz w:val="20"/>
                <w:szCs w:val="20"/>
              </w:rPr>
              <w:t>A company must have h</w:t>
            </w:r>
            <w:r w:rsidRPr="00B84671">
              <w:rPr>
                <w:sz w:val="20"/>
                <w:szCs w:val="20"/>
                <w:lang w:val="en-GB"/>
              </w:rPr>
              <w:t xml:space="preserve">ydraulic control systems within the </w:t>
            </w:r>
            <w:r w:rsidR="0021171A" w:rsidRPr="00B84671">
              <w:rPr>
                <w:sz w:val="20"/>
                <w:szCs w:val="20"/>
                <w:lang w:val="en-GB"/>
              </w:rPr>
              <w:t>proposed machine</w:t>
            </w:r>
            <w:r w:rsidR="00521FB3" w:rsidRPr="00B84671">
              <w:rPr>
                <w:sz w:val="20"/>
                <w:szCs w:val="20"/>
                <w:lang w:val="en-GB"/>
              </w:rPr>
              <w:t>’</w:t>
            </w:r>
            <w:r w:rsidR="0021171A" w:rsidRPr="00B84671">
              <w:rPr>
                <w:sz w:val="20"/>
                <w:szCs w:val="20"/>
                <w:lang w:val="en-GB"/>
              </w:rPr>
              <w:t>s working mechanism</w:t>
            </w:r>
            <w:r w:rsidRPr="00B84671">
              <w:rPr>
                <w:sz w:val="20"/>
                <w:szCs w:val="20"/>
                <w:lang w:val="en-GB"/>
              </w:rPr>
              <w:t>.</w:t>
            </w:r>
          </w:p>
        </w:tc>
        <w:tc>
          <w:tcPr>
            <w:tcW w:w="1509" w:type="dxa"/>
            <w:tcBorders>
              <w:top w:val="single" w:sz="4" w:space="0" w:color="auto"/>
              <w:left w:val="nil"/>
              <w:bottom w:val="nil"/>
              <w:right w:val="nil"/>
            </w:tcBorders>
            <w:vAlign w:val="center"/>
          </w:tcPr>
          <w:p w14:paraId="7E07DE91" w14:textId="77777777" w:rsidR="008C2AF8" w:rsidRPr="00B84671" w:rsidRDefault="008C2AF8" w:rsidP="008C281A">
            <w:pPr>
              <w:contextualSpacing/>
              <w:jc w:val="right"/>
              <w:rPr>
                <w:sz w:val="20"/>
                <w:szCs w:val="20"/>
              </w:rPr>
            </w:pPr>
            <w:r w:rsidRPr="00B84671">
              <w:rPr>
                <w:sz w:val="20"/>
                <w:szCs w:val="20"/>
              </w:rPr>
              <w:t>-2</w:t>
            </w:r>
          </w:p>
        </w:tc>
      </w:tr>
      <w:tr w:rsidR="008C2AF8" w:rsidRPr="00B84671" w14:paraId="41A1852D" w14:textId="77777777" w:rsidTr="008C281A">
        <w:tc>
          <w:tcPr>
            <w:tcW w:w="3005" w:type="dxa"/>
            <w:vMerge/>
            <w:tcBorders>
              <w:top w:val="nil"/>
              <w:left w:val="nil"/>
              <w:bottom w:val="nil"/>
              <w:right w:val="nil"/>
            </w:tcBorders>
            <w:vAlign w:val="center"/>
          </w:tcPr>
          <w:p w14:paraId="00FD4633" w14:textId="77777777" w:rsidR="008C2AF8" w:rsidRPr="00B84671" w:rsidRDefault="008C2AF8" w:rsidP="008C281A">
            <w:pPr>
              <w:contextualSpacing/>
              <w:jc w:val="left"/>
              <w:rPr>
                <w:sz w:val="20"/>
                <w:szCs w:val="20"/>
              </w:rPr>
            </w:pPr>
          </w:p>
        </w:tc>
        <w:tc>
          <w:tcPr>
            <w:tcW w:w="4503" w:type="dxa"/>
            <w:tcBorders>
              <w:top w:val="nil"/>
              <w:left w:val="nil"/>
              <w:bottom w:val="nil"/>
              <w:right w:val="nil"/>
            </w:tcBorders>
            <w:vAlign w:val="center"/>
          </w:tcPr>
          <w:p w14:paraId="0F7AC6AE" w14:textId="5C9A3AE0" w:rsidR="008C2AF8" w:rsidRPr="00B84671" w:rsidRDefault="008C2AF8" w:rsidP="008C281A">
            <w:pPr>
              <w:contextualSpacing/>
              <w:jc w:val="left"/>
              <w:rPr>
                <w:sz w:val="20"/>
                <w:szCs w:val="20"/>
              </w:rPr>
            </w:pPr>
            <w:r w:rsidRPr="00B84671">
              <w:rPr>
                <w:sz w:val="20"/>
                <w:szCs w:val="20"/>
              </w:rPr>
              <w:t xml:space="preserve">A company must have a maintenance department </w:t>
            </w:r>
            <w:r w:rsidR="008D1855" w:rsidRPr="00B84671">
              <w:rPr>
                <w:sz w:val="20"/>
                <w:szCs w:val="20"/>
              </w:rPr>
              <w:t xml:space="preserve">and personnel or outsource </w:t>
            </w:r>
            <w:r w:rsidR="00F51E51">
              <w:rPr>
                <w:sz w:val="20"/>
                <w:szCs w:val="20"/>
              </w:rPr>
              <w:t xml:space="preserve">a </w:t>
            </w:r>
            <w:r w:rsidR="008D1855" w:rsidRPr="00B84671">
              <w:rPr>
                <w:sz w:val="20"/>
                <w:szCs w:val="20"/>
              </w:rPr>
              <w:t xml:space="preserve">company with </w:t>
            </w:r>
            <w:r w:rsidR="00F51E51">
              <w:rPr>
                <w:sz w:val="20"/>
                <w:szCs w:val="20"/>
              </w:rPr>
              <w:t xml:space="preserve">a </w:t>
            </w:r>
            <w:r w:rsidR="008D1855" w:rsidRPr="00B84671">
              <w:rPr>
                <w:sz w:val="20"/>
                <w:szCs w:val="20"/>
              </w:rPr>
              <w:t>maintenance contract.</w:t>
            </w:r>
          </w:p>
        </w:tc>
        <w:tc>
          <w:tcPr>
            <w:tcW w:w="1509" w:type="dxa"/>
            <w:tcBorders>
              <w:top w:val="nil"/>
              <w:left w:val="nil"/>
              <w:bottom w:val="nil"/>
              <w:right w:val="nil"/>
            </w:tcBorders>
            <w:vAlign w:val="center"/>
          </w:tcPr>
          <w:p w14:paraId="7424C4DF" w14:textId="4FDB873E" w:rsidR="008C2AF8" w:rsidRPr="00B84671" w:rsidRDefault="008C2AF8" w:rsidP="008C281A">
            <w:pPr>
              <w:contextualSpacing/>
              <w:jc w:val="right"/>
              <w:rPr>
                <w:sz w:val="20"/>
                <w:szCs w:val="20"/>
              </w:rPr>
            </w:pPr>
            <w:r w:rsidRPr="00B84671">
              <w:rPr>
                <w:sz w:val="20"/>
                <w:szCs w:val="20"/>
              </w:rPr>
              <w:t>-</w:t>
            </w:r>
            <w:r w:rsidR="008D1855" w:rsidRPr="00B84671">
              <w:rPr>
                <w:sz w:val="20"/>
                <w:szCs w:val="20"/>
              </w:rPr>
              <w:t>6</w:t>
            </w:r>
          </w:p>
        </w:tc>
      </w:tr>
      <w:tr w:rsidR="008C2AF8" w:rsidRPr="00B84671" w14:paraId="29083AFA" w14:textId="77777777" w:rsidTr="008C281A">
        <w:tc>
          <w:tcPr>
            <w:tcW w:w="3005" w:type="dxa"/>
            <w:vMerge/>
            <w:tcBorders>
              <w:top w:val="nil"/>
              <w:left w:val="nil"/>
              <w:bottom w:val="single" w:sz="4" w:space="0" w:color="auto"/>
              <w:right w:val="nil"/>
            </w:tcBorders>
            <w:vAlign w:val="center"/>
          </w:tcPr>
          <w:p w14:paraId="6C7EEFA1" w14:textId="77777777" w:rsidR="008C2AF8" w:rsidRPr="00B84671" w:rsidRDefault="008C2AF8" w:rsidP="008C281A">
            <w:pPr>
              <w:contextualSpacing/>
              <w:jc w:val="left"/>
              <w:rPr>
                <w:sz w:val="20"/>
                <w:szCs w:val="20"/>
              </w:rPr>
            </w:pPr>
          </w:p>
        </w:tc>
        <w:tc>
          <w:tcPr>
            <w:tcW w:w="4503" w:type="dxa"/>
            <w:tcBorders>
              <w:top w:val="nil"/>
              <w:left w:val="nil"/>
              <w:bottom w:val="single" w:sz="4" w:space="0" w:color="auto"/>
              <w:right w:val="nil"/>
            </w:tcBorders>
            <w:vAlign w:val="center"/>
          </w:tcPr>
          <w:p w14:paraId="5CBBDCFC" w14:textId="700BA1B0" w:rsidR="008C2AF8" w:rsidRPr="00B84671" w:rsidRDefault="008C2AF8" w:rsidP="008C281A">
            <w:pPr>
              <w:contextualSpacing/>
              <w:jc w:val="left"/>
              <w:rPr>
                <w:sz w:val="20"/>
                <w:szCs w:val="20"/>
              </w:rPr>
            </w:pPr>
            <w:r w:rsidRPr="00B84671">
              <w:rPr>
                <w:sz w:val="20"/>
                <w:szCs w:val="20"/>
              </w:rPr>
              <w:t>A company must have information regarding the</w:t>
            </w:r>
            <w:r w:rsidR="00E805BF">
              <w:rPr>
                <w:sz w:val="20"/>
                <w:szCs w:val="20"/>
              </w:rPr>
              <w:t xml:space="preserve"> </w:t>
            </w:r>
            <w:r w:rsidR="0021171A" w:rsidRPr="00B84671">
              <w:rPr>
                <w:sz w:val="20"/>
                <w:szCs w:val="20"/>
              </w:rPr>
              <w:t xml:space="preserve">machines </w:t>
            </w:r>
            <w:r w:rsidR="00DA6146" w:rsidRPr="00B84671">
              <w:rPr>
                <w:sz w:val="20"/>
                <w:szCs w:val="20"/>
              </w:rPr>
              <w:t>and associated data.</w:t>
            </w:r>
          </w:p>
        </w:tc>
        <w:tc>
          <w:tcPr>
            <w:tcW w:w="1509" w:type="dxa"/>
            <w:tcBorders>
              <w:top w:val="nil"/>
              <w:left w:val="nil"/>
              <w:bottom w:val="single" w:sz="4" w:space="0" w:color="auto"/>
              <w:right w:val="nil"/>
            </w:tcBorders>
            <w:vAlign w:val="center"/>
          </w:tcPr>
          <w:p w14:paraId="2E19A629" w14:textId="77777777" w:rsidR="008C2AF8" w:rsidRPr="00B84671" w:rsidRDefault="008C2AF8" w:rsidP="008C281A">
            <w:pPr>
              <w:contextualSpacing/>
              <w:jc w:val="right"/>
              <w:rPr>
                <w:sz w:val="20"/>
                <w:szCs w:val="20"/>
              </w:rPr>
            </w:pPr>
            <w:r w:rsidRPr="00B84671">
              <w:rPr>
                <w:sz w:val="20"/>
                <w:szCs w:val="20"/>
              </w:rPr>
              <w:t>-2</w:t>
            </w:r>
          </w:p>
        </w:tc>
      </w:tr>
      <w:tr w:rsidR="003D0834" w:rsidRPr="00B84671" w14:paraId="699335BB" w14:textId="77777777" w:rsidTr="008C281A">
        <w:tc>
          <w:tcPr>
            <w:tcW w:w="3005" w:type="dxa"/>
            <w:vMerge w:val="restart"/>
            <w:tcBorders>
              <w:top w:val="single" w:sz="4" w:space="0" w:color="auto"/>
              <w:left w:val="nil"/>
              <w:right w:val="nil"/>
            </w:tcBorders>
            <w:vAlign w:val="center"/>
          </w:tcPr>
          <w:p w14:paraId="3BCB589F" w14:textId="77777777" w:rsidR="003D0834" w:rsidRPr="00B84671" w:rsidRDefault="003D0834" w:rsidP="008C281A">
            <w:pPr>
              <w:contextualSpacing/>
              <w:jc w:val="left"/>
              <w:rPr>
                <w:sz w:val="20"/>
                <w:szCs w:val="20"/>
              </w:rPr>
            </w:pPr>
            <w:r w:rsidRPr="00B84671">
              <w:rPr>
                <w:sz w:val="20"/>
                <w:szCs w:val="20"/>
              </w:rPr>
              <w:t>Exclusion criteria</w:t>
            </w:r>
          </w:p>
        </w:tc>
        <w:tc>
          <w:tcPr>
            <w:tcW w:w="4503" w:type="dxa"/>
            <w:tcBorders>
              <w:top w:val="single" w:sz="4" w:space="0" w:color="auto"/>
              <w:left w:val="nil"/>
              <w:bottom w:val="nil"/>
              <w:right w:val="nil"/>
            </w:tcBorders>
            <w:vAlign w:val="center"/>
          </w:tcPr>
          <w:p w14:paraId="03139066" w14:textId="1BE9D3D2" w:rsidR="003D0834" w:rsidRPr="00B84671" w:rsidRDefault="0021171A" w:rsidP="008C281A">
            <w:pPr>
              <w:contextualSpacing/>
              <w:jc w:val="left"/>
              <w:rPr>
                <w:sz w:val="20"/>
                <w:szCs w:val="20"/>
              </w:rPr>
            </w:pPr>
            <w:r w:rsidRPr="00B84671">
              <w:rPr>
                <w:sz w:val="20"/>
                <w:szCs w:val="20"/>
              </w:rPr>
              <w:t>The company is un</w:t>
            </w:r>
            <w:r w:rsidR="003D0834" w:rsidRPr="00B84671">
              <w:rPr>
                <w:sz w:val="20"/>
                <w:szCs w:val="20"/>
              </w:rPr>
              <w:t xml:space="preserve">willing to share </w:t>
            </w:r>
            <w:r w:rsidR="003D0834" w:rsidRPr="00B84671">
              <w:rPr>
                <w:b/>
                <w:bCs/>
                <w:sz w:val="20"/>
                <w:szCs w:val="20"/>
              </w:rPr>
              <w:t>all</w:t>
            </w:r>
            <w:r w:rsidR="003D0834" w:rsidRPr="00B84671">
              <w:rPr>
                <w:sz w:val="20"/>
                <w:szCs w:val="20"/>
              </w:rPr>
              <w:t xml:space="preserve"> the data </w:t>
            </w:r>
            <w:r w:rsidR="00E805BF">
              <w:rPr>
                <w:sz w:val="20"/>
                <w:szCs w:val="20"/>
              </w:rPr>
              <w:t>under its policy agreement for research purposes</w:t>
            </w:r>
            <w:r w:rsidR="003D0834" w:rsidRPr="00B84671">
              <w:rPr>
                <w:sz w:val="20"/>
                <w:szCs w:val="20"/>
              </w:rPr>
              <w:t>.</w:t>
            </w:r>
          </w:p>
        </w:tc>
        <w:tc>
          <w:tcPr>
            <w:tcW w:w="1509" w:type="dxa"/>
            <w:tcBorders>
              <w:top w:val="single" w:sz="4" w:space="0" w:color="auto"/>
              <w:left w:val="nil"/>
              <w:bottom w:val="nil"/>
              <w:right w:val="nil"/>
            </w:tcBorders>
            <w:vAlign w:val="center"/>
          </w:tcPr>
          <w:p w14:paraId="20975B38" w14:textId="503535FE" w:rsidR="003D0834" w:rsidRPr="00B84671" w:rsidRDefault="003D0834" w:rsidP="008C281A">
            <w:pPr>
              <w:contextualSpacing/>
              <w:jc w:val="right"/>
              <w:rPr>
                <w:sz w:val="20"/>
                <w:szCs w:val="20"/>
              </w:rPr>
            </w:pPr>
            <w:r w:rsidRPr="00B84671">
              <w:rPr>
                <w:sz w:val="20"/>
                <w:szCs w:val="20"/>
              </w:rPr>
              <w:t>-</w:t>
            </w:r>
            <w:r w:rsidR="00641F1F" w:rsidRPr="00B84671">
              <w:rPr>
                <w:sz w:val="20"/>
                <w:szCs w:val="20"/>
              </w:rPr>
              <w:t>2</w:t>
            </w:r>
          </w:p>
        </w:tc>
      </w:tr>
      <w:tr w:rsidR="003D0834" w:rsidRPr="00B84671" w14:paraId="14E116D3" w14:textId="77777777" w:rsidTr="008C281A">
        <w:tc>
          <w:tcPr>
            <w:tcW w:w="3005" w:type="dxa"/>
            <w:vMerge/>
            <w:tcBorders>
              <w:left w:val="nil"/>
              <w:right w:val="nil"/>
            </w:tcBorders>
            <w:vAlign w:val="center"/>
          </w:tcPr>
          <w:p w14:paraId="4F81353A" w14:textId="77777777" w:rsidR="003D0834" w:rsidRPr="00B84671" w:rsidRDefault="003D0834" w:rsidP="008C281A">
            <w:pPr>
              <w:contextualSpacing/>
              <w:jc w:val="left"/>
              <w:rPr>
                <w:sz w:val="20"/>
                <w:szCs w:val="20"/>
              </w:rPr>
            </w:pPr>
          </w:p>
        </w:tc>
        <w:tc>
          <w:tcPr>
            <w:tcW w:w="4503" w:type="dxa"/>
            <w:tcBorders>
              <w:top w:val="nil"/>
              <w:left w:val="nil"/>
              <w:bottom w:val="nil"/>
              <w:right w:val="nil"/>
            </w:tcBorders>
            <w:vAlign w:val="center"/>
          </w:tcPr>
          <w:p w14:paraId="2AE3DA4C" w14:textId="77777777" w:rsidR="003D0834" w:rsidRPr="00B84671" w:rsidRDefault="003D0834" w:rsidP="008C281A">
            <w:pPr>
              <w:contextualSpacing/>
              <w:jc w:val="left"/>
              <w:rPr>
                <w:sz w:val="20"/>
                <w:szCs w:val="20"/>
              </w:rPr>
            </w:pPr>
            <w:r w:rsidRPr="00B84671">
              <w:rPr>
                <w:sz w:val="20"/>
                <w:szCs w:val="20"/>
              </w:rPr>
              <w:t>The company did not complete the whole survey even after contacting again.</w:t>
            </w:r>
          </w:p>
        </w:tc>
        <w:tc>
          <w:tcPr>
            <w:tcW w:w="1509" w:type="dxa"/>
            <w:tcBorders>
              <w:top w:val="nil"/>
              <w:left w:val="nil"/>
              <w:bottom w:val="nil"/>
              <w:right w:val="nil"/>
            </w:tcBorders>
            <w:vAlign w:val="center"/>
          </w:tcPr>
          <w:p w14:paraId="023A627D" w14:textId="67111FE4" w:rsidR="003D0834" w:rsidRPr="00B84671" w:rsidRDefault="003D0834" w:rsidP="008C281A">
            <w:pPr>
              <w:contextualSpacing/>
              <w:jc w:val="right"/>
              <w:rPr>
                <w:sz w:val="20"/>
                <w:szCs w:val="20"/>
              </w:rPr>
            </w:pPr>
            <w:r w:rsidRPr="00B84671">
              <w:rPr>
                <w:sz w:val="20"/>
                <w:szCs w:val="20"/>
              </w:rPr>
              <w:t>-</w:t>
            </w:r>
            <w:r w:rsidR="00DA6146" w:rsidRPr="00B84671">
              <w:rPr>
                <w:sz w:val="20"/>
                <w:szCs w:val="20"/>
              </w:rPr>
              <w:t>5</w:t>
            </w:r>
          </w:p>
        </w:tc>
      </w:tr>
      <w:tr w:rsidR="003D0834" w:rsidRPr="00B84671" w14:paraId="1BCD5C17" w14:textId="77777777" w:rsidTr="008C281A">
        <w:tc>
          <w:tcPr>
            <w:tcW w:w="3005" w:type="dxa"/>
            <w:vMerge/>
            <w:tcBorders>
              <w:left w:val="nil"/>
              <w:right w:val="nil"/>
            </w:tcBorders>
            <w:vAlign w:val="center"/>
          </w:tcPr>
          <w:p w14:paraId="1A356616" w14:textId="77777777" w:rsidR="003D0834" w:rsidRPr="00B84671" w:rsidRDefault="003D0834" w:rsidP="008C281A">
            <w:pPr>
              <w:contextualSpacing/>
              <w:jc w:val="left"/>
              <w:rPr>
                <w:sz w:val="20"/>
                <w:szCs w:val="20"/>
              </w:rPr>
            </w:pPr>
          </w:p>
        </w:tc>
        <w:tc>
          <w:tcPr>
            <w:tcW w:w="4503" w:type="dxa"/>
            <w:tcBorders>
              <w:top w:val="nil"/>
              <w:left w:val="nil"/>
              <w:bottom w:val="nil"/>
              <w:right w:val="nil"/>
            </w:tcBorders>
            <w:vAlign w:val="center"/>
          </w:tcPr>
          <w:p w14:paraId="0D9A24C6" w14:textId="6EB59574" w:rsidR="003D0834" w:rsidRPr="00B84671" w:rsidRDefault="00DF775B" w:rsidP="008C281A">
            <w:pPr>
              <w:contextualSpacing/>
              <w:jc w:val="left"/>
              <w:rPr>
                <w:sz w:val="20"/>
                <w:szCs w:val="20"/>
              </w:rPr>
            </w:pPr>
            <w:r w:rsidRPr="00B84671">
              <w:rPr>
                <w:sz w:val="20"/>
                <w:szCs w:val="20"/>
              </w:rPr>
              <w:t>The data shows</w:t>
            </w:r>
            <w:r w:rsidR="0021171A" w:rsidRPr="00B84671">
              <w:rPr>
                <w:sz w:val="20"/>
                <w:szCs w:val="20"/>
              </w:rPr>
              <w:t xml:space="preserve"> </w:t>
            </w:r>
            <w:r w:rsidRPr="00B84671">
              <w:rPr>
                <w:sz w:val="20"/>
                <w:szCs w:val="20"/>
              </w:rPr>
              <w:t xml:space="preserve">a </w:t>
            </w:r>
            <w:r w:rsidR="0021171A" w:rsidRPr="00B84671">
              <w:rPr>
                <w:sz w:val="20"/>
                <w:szCs w:val="20"/>
              </w:rPr>
              <w:t>d</w:t>
            </w:r>
            <w:r w:rsidR="003D0834" w:rsidRPr="00B84671">
              <w:rPr>
                <w:sz w:val="20"/>
                <w:szCs w:val="20"/>
              </w:rPr>
              <w:t>iscrepanc</w:t>
            </w:r>
            <w:r w:rsidR="0021171A" w:rsidRPr="00B84671">
              <w:rPr>
                <w:sz w:val="20"/>
                <w:szCs w:val="20"/>
              </w:rPr>
              <w:t>y</w:t>
            </w:r>
            <w:r w:rsidR="003D0834" w:rsidRPr="00B84671">
              <w:rPr>
                <w:sz w:val="20"/>
                <w:szCs w:val="20"/>
              </w:rPr>
              <w:t xml:space="preserve"> </w:t>
            </w:r>
            <w:r w:rsidR="0021171A" w:rsidRPr="00B84671">
              <w:rPr>
                <w:sz w:val="20"/>
                <w:szCs w:val="20"/>
              </w:rPr>
              <w:t xml:space="preserve">in </w:t>
            </w:r>
            <w:r w:rsidR="00E805BF">
              <w:rPr>
                <w:sz w:val="20"/>
                <w:szCs w:val="20"/>
              </w:rPr>
              <w:t>the survey results while conducting the survey data's reliability and validity</w:t>
            </w:r>
            <w:r w:rsidR="002D0BEC" w:rsidRPr="00B84671">
              <w:rPr>
                <w:sz w:val="20"/>
                <w:szCs w:val="20"/>
              </w:rPr>
              <w:t>.</w:t>
            </w:r>
          </w:p>
        </w:tc>
        <w:tc>
          <w:tcPr>
            <w:tcW w:w="1509" w:type="dxa"/>
            <w:tcBorders>
              <w:top w:val="nil"/>
              <w:left w:val="nil"/>
              <w:bottom w:val="nil"/>
              <w:right w:val="nil"/>
            </w:tcBorders>
            <w:vAlign w:val="center"/>
          </w:tcPr>
          <w:p w14:paraId="6D817E0B" w14:textId="634D26FD" w:rsidR="003D0834" w:rsidRPr="00B84671" w:rsidRDefault="003D0834" w:rsidP="008C281A">
            <w:pPr>
              <w:contextualSpacing/>
              <w:jc w:val="right"/>
              <w:rPr>
                <w:sz w:val="20"/>
                <w:szCs w:val="20"/>
              </w:rPr>
            </w:pPr>
            <w:r w:rsidRPr="00B84671">
              <w:rPr>
                <w:sz w:val="20"/>
                <w:szCs w:val="20"/>
              </w:rPr>
              <w:t>-</w:t>
            </w:r>
            <w:r w:rsidR="00641F1F" w:rsidRPr="00B84671">
              <w:rPr>
                <w:sz w:val="20"/>
                <w:szCs w:val="20"/>
              </w:rPr>
              <w:t>4</w:t>
            </w:r>
          </w:p>
        </w:tc>
      </w:tr>
      <w:tr w:rsidR="003D0834" w:rsidRPr="00B84671" w14:paraId="505D4913" w14:textId="77777777" w:rsidTr="008C281A">
        <w:tc>
          <w:tcPr>
            <w:tcW w:w="3005" w:type="dxa"/>
            <w:vMerge/>
            <w:tcBorders>
              <w:left w:val="nil"/>
              <w:bottom w:val="nil"/>
              <w:right w:val="nil"/>
            </w:tcBorders>
            <w:vAlign w:val="center"/>
          </w:tcPr>
          <w:p w14:paraId="3052AE01" w14:textId="77777777" w:rsidR="003D0834" w:rsidRPr="00B84671" w:rsidRDefault="003D0834" w:rsidP="008C281A">
            <w:pPr>
              <w:contextualSpacing/>
              <w:jc w:val="left"/>
              <w:rPr>
                <w:sz w:val="20"/>
                <w:szCs w:val="20"/>
              </w:rPr>
            </w:pPr>
          </w:p>
        </w:tc>
        <w:tc>
          <w:tcPr>
            <w:tcW w:w="4503" w:type="dxa"/>
            <w:tcBorders>
              <w:top w:val="nil"/>
              <w:left w:val="nil"/>
              <w:bottom w:val="nil"/>
              <w:right w:val="nil"/>
            </w:tcBorders>
            <w:vAlign w:val="center"/>
          </w:tcPr>
          <w:p w14:paraId="6EEA396C" w14:textId="337C6121" w:rsidR="003D0834" w:rsidRPr="00B84671" w:rsidRDefault="00731010" w:rsidP="008C281A">
            <w:pPr>
              <w:contextualSpacing/>
              <w:jc w:val="left"/>
              <w:rPr>
                <w:sz w:val="20"/>
                <w:szCs w:val="20"/>
              </w:rPr>
            </w:pPr>
            <w:r w:rsidRPr="00B84671">
              <w:rPr>
                <w:sz w:val="20"/>
                <w:szCs w:val="20"/>
              </w:rPr>
              <w:t>A c</w:t>
            </w:r>
            <w:r w:rsidR="003D0834" w:rsidRPr="00B84671">
              <w:rPr>
                <w:sz w:val="20"/>
                <w:szCs w:val="20"/>
              </w:rPr>
              <w:t xml:space="preserve">ompany does not have </w:t>
            </w:r>
            <w:r w:rsidRPr="00B84671">
              <w:rPr>
                <w:sz w:val="20"/>
                <w:szCs w:val="20"/>
              </w:rPr>
              <w:t xml:space="preserve">a </w:t>
            </w:r>
            <w:r w:rsidR="0021171A" w:rsidRPr="00B84671">
              <w:rPr>
                <w:sz w:val="20"/>
                <w:szCs w:val="20"/>
              </w:rPr>
              <w:t>precise</w:t>
            </w:r>
            <w:r w:rsidR="003D0834" w:rsidRPr="00B84671">
              <w:rPr>
                <w:sz w:val="20"/>
                <w:szCs w:val="20"/>
              </w:rPr>
              <w:t>ly defined maintenance policy.</w:t>
            </w:r>
          </w:p>
        </w:tc>
        <w:tc>
          <w:tcPr>
            <w:tcW w:w="1509" w:type="dxa"/>
            <w:tcBorders>
              <w:top w:val="nil"/>
              <w:left w:val="nil"/>
              <w:bottom w:val="nil"/>
              <w:right w:val="nil"/>
            </w:tcBorders>
            <w:vAlign w:val="center"/>
          </w:tcPr>
          <w:p w14:paraId="2AA9D501" w14:textId="6F93B93C" w:rsidR="003D0834" w:rsidRPr="00B84671" w:rsidRDefault="003D0834" w:rsidP="008C281A">
            <w:pPr>
              <w:contextualSpacing/>
              <w:jc w:val="right"/>
              <w:rPr>
                <w:sz w:val="20"/>
                <w:szCs w:val="20"/>
              </w:rPr>
            </w:pPr>
            <w:r w:rsidRPr="00B84671">
              <w:rPr>
                <w:sz w:val="20"/>
                <w:szCs w:val="20"/>
              </w:rPr>
              <w:t>-</w:t>
            </w:r>
            <w:r w:rsidR="00641F1F" w:rsidRPr="00B84671">
              <w:rPr>
                <w:sz w:val="20"/>
                <w:szCs w:val="20"/>
              </w:rPr>
              <w:t>7</w:t>
            </w:r>
          </w:p>
        </w:tc>
      </w:tr>
      <w:tr w:rsidR="008C2AF8" w:rsidRPr="00B84671" w14:paraId="43CFE053" w14:textId="77777777" w:rsidTr="008C281A">
        <w:tc>
          <w:tcPr>
            <w:tcW w:w="7508" w:type="dxa"/>
            <w:gridSpan w:val="2"/>
            <w:tcBorders>
              <w:top w:val="nil"/>
              <w:left w:val="nil"/>
              <w:bottom w:val="single" w:sz="4" w:space="0" w:color="auto"/>
              <w:right w:val="nil"/>
            </w:tcBorders>
            <w:vAlign w:val="center"/>
          </w:tcPr>
          <w:p w14:paraId="25C94335" w14:textId="77777777" w:rsidR="008C2AF8" w:rsidRPr="00B84671" w:rsidRDefault="008C2AF8" w:rsidP="008C281A">
            <w:pPr>
              <w:contextualSpacing/>
              <w:jc w:val="right"/>
              <w:rPr>
                <w:sz w:val="20"/>
                <w:szCs w:val="20"/>
              </w:rPr>
            </w:pPr>
            <w:r w:rsidRPr="00B84671">
              <w:rPr>
                <w:sz w:val="20"/>
                <w:szCs w:val="20"/>
              </w:rPr>
              <w:t>SUM</w:t>
            </w:r>
          </w:p>
        </w:tc>
        <w:tc>
          <w:tcPr>
            <w:tcW w:w="1509" w:type="dxa"/>
            <w:tcBorders>
              <w:top w:val="nil"/>
              <w:left w:val="nil"/>
              <w:bottom w:val="single" w:sz="4" w:space="0" w:color="auto"/>
              <w:right w:val="nil"/>
            </w:tcBorders>
            <w:vAlign w:val="center"/>
          </w:tcPr>
          <w:p w14:paraId="352411E9" w14:textId="731C4053" w:rsidR="008C2AF8" w:rsidRPr="00B84671" w:rsidRDefault="002D0BEC" w:rsidP="008C281A">
            <w:pPr>
              <w:contextualSpacing/>
              <w:jc w:val="right"/>
              <w:rPr>
                <w:sz w:val="20"/>
                <w:szCs w:val="20"/>
              </w:rPr>
            </w:pPr>
            <w:r w:rsidRPr="00B84671">
              <w:rPr>
                <w:sz w:val="20"/>
                <w:szCs w:val="20"/>
              </w:rPr>
              <w:t>72</w:t>
            </w:r>
          </w:p>
        </w:tc>
      </w:tr>
    </w:tbl>
    <w:p w14:paraId="40DE0B22" w14:textId="22F43022" w:rsidR="00EA7430" w:rsidRPr="007100C5" w:rsidRDefault="007100C5" w:rsidP="007100C5">
      <w:bookmarkStart w:id="138" w:name="_Toc62467380"/>
      <w:bookmarkStart w:id="139" w:name="_Toc91575388"/>
      <w:r>
        <w:t>The test runs sending of the survey contained 297 companies, including firms that use hydraulic power static machines (e.g. presses, extrusion lines), mobile machines (e.g. mining companies), maritime (e.g. ship hydraulics) and aero (e.g. aeroplanes and helicopters).</w:t>
      </w:r>
      <w:r w:rsidRPr="00D92950">
        <w:t xml:space="preserve"> </w:t>
      </w:r>
      <w:r>
        <w:t>The region selected for the survey was the Balkan Peninsula. However, after the survey test, no response was received other than countries: Serbia, Montenegro, Bosnia &amp; Herzegovina and Croatia.</w:t>
      </w:r>
      <w:r w:rsidR="00AD5217">
        <w:t xml:space="preserve"> </w:t>
      </w:r>
      <w:r>
        <w:t xml:space="preserve">After eliminating the countries with no response, even after contacting, the research area was shorted and left with 235 companies. </w:t>
      </w:r>
      <w:r w:rsidR="00F51E51">
        <w:t>The s</w:t>
      </w:r>
      <w:r>
        <w:t xml:space="preserve">urvey was accomplished with </w:t>
      </w:r>
      <w:r w:rsidR="00F51E51">
        <w:t xml:space="preserve">a </w:t>
      </w:r>
      <w:r>
        <w:t>42.55% response rate. The author provided an inclusion and exclusion table to eliminate all those surveys that did not pass the analysis’s basic requirements to reduce the partiality and bias of results.</w:t>
      </w:r>
      <w:bookmarkStart w:id="140" w:name="_Toc93759868"/>
      <w:bookmarkStart w:id="141" w:name="_Toc93759972"/>
    </w:p>
    <w:p w14:paraId="4289D11D" w14:textId="49177E14" w:rsidR="006348A7" w:rsidRDefault="006348A7" w:rsidP="00171975">
      <w:pPr>
        <w:pStyle w:val="Heading2"/>
      </w:pPr>
      <w:bookmarkStart w:id="142" w:name="_Toc101274337"/>
      <w:r>
        <w:t xml:space="preserve">Research </w:t>
      </w:r>
      <w:r w:rsidR="00697E06">
        <w:t>p</w:t>
      </w:r>
      <w:r>
        <w:t xml:space="preserve">rotocol for </w:t>
      </w:r>
      <w:r w:rsidR="00697E06">
        <w:t>s</w:t>
      </w:r>
      <w:r>
        <w:t>tate-of-the-</w:t>
      </w:r>
      <w:r w:rsidR="00697E06">
        <w:t>l</w:t>
      </w:r>
      <w:r>
        <w:t>iterature</w:t>
      </w:r>
      <w:bookmarkEnd w:id="138"/>
      <w:bookmarkEnd w:id="139"/>
      <w:bookmarkEnd w:id="140"/>
      <w:bookmarkEnd w:id="141"/>
      <w:bookmarkEnd w:id="142"/>
    </w:p>
    <w:p w14:paraId="3C81DA37" w14:textId="586EE8D3" w:rsidR="003B0AFA" w:rsidRDefault="003B0AFA" w:rsidP="003B0AFA">
      <w:pPr>
        <w:pStyle w:val="Heading3"/>
        <w:rPr>
          <w:lang w:val="en-GB" w:bidi="en-US"/>
        </w:rPr>
      </w:pPr>
      <w:bookmarkStart w:id="143" w:name="_Toc62467381"/>
      <w:bookmarkStart w:id="144" w:name="_Toc91575389"/>
      <w:bookmarkStart w:id="145" w:name="_Toc93759869"/>
      <w:bookmarkStart w:id="146" w:name="_Toc93759973"/>
      <w:bookmarkStart w:id="147" w:name="_Toc101274338"/>
      <w:r>
        <w:rPr>
          <w:lang w:val="en-GB" w:bidi="en-US"/>
        </w:rPr>
        <w:t>Setting the research questions</w:t>
      </w:r>
      <w:bookmarkEnd w:id="143"/>
      <w:bookmarkEnd w:id="144"/>
      <w:bookmarkEnd w:id="145"/>
      <w:bookmarkEnd w:id="146"/>
      <w:bookmarkEnd w:id="147"/>
    </w:p>
    <w:p w14:paraId="0FF1010A" w14:textId="7AE5E3FE" w:rsidR="005F5D77" w:rsidRDefault="00ED1DE9" w:rsidP="005F5D77">
      <w:pPr>
        <w:rPr>
          <w:lang w:bidi="en-US"/>
        </w:rPr>
      </w:pPr>
      <w:r>
        <w:rPr>
          <w:lang w:bidi="en-US"/>
        </w:rPr>
        <w:t>Aligning with the Horizon Europe “Green Deal”</w:t>
      </w:r>
      <w:r w:rsidRPr="00823D0A">
        <w:rPr>
          <w:lang w:bidi="en-US"/>
        </w:rPr>
        <w:t xml:space="preserve"> </w:t>
      </w:r>
      <w:r>
        <w:rPr>
          <w:lang w:bidi="en-US"/>
        </w:rPr>
        <w:t xml:space="preserve">target </w:t>
      </w:r>
      <w:r>
        <w:rPr>
          <w:lang w:bidi="en-US"/>
        </w:rPr>
        <w:fldChar w:fldCharType="begin" w:fldLock="1"/>
      </w:r>
      <w:r w:rsidR="00416869">
        <w:rPr>
          <w:lang w:bidi="en-US"/>
        </w:rPr>
        <w:instrText>ADDIN CSL_CITATION {"citationItems":[{"id":"ITEM-1","itemData":{"URL":"https://ec.europa.eu/info/sites/info/files/research_and_innovation/strategy_on_research_and_innovation/documents/ec_rtd_he-orientations-towards-strategic-plan_102019.pdf","accessed":{"date-parts":[["2019","12","3"]]},"author":[{"dropping-particle":"","family":"European Commission","given":"","non-dropping-particle":"","parse-names":false,"suffix":""}],"id":"ITEM-1","issue":"October","issued":{"date-parts":[["2019"]]},"page":"1-164","title":"Orientations Towards the First Strategic Plan for Horizon Europe","type":"webpage"},"uris":["http://www.mendeley.com/documents/?uuid=e8ed60d7-927e-4071-b638-73d8b55822ab"]}],"mendeley":{"formattedCitation":"[51]","plainTextFormattedCitation":"[51]","previouslyFormattedCitation":"[51]"},"properties":{"noteIndex":0},"schema":"https://github.com/citation-style-language/schema/raw/master/csl-citation.json"}</w:instrText>
      </w:r>
      <w:r>
        <w:rPr>
          <w:lang w:bidi="en-US"/>
        </w:rPr>
        <w:fldChar w:fldCharType="separate"/>
      </w:r>
      <w:r w:rsidR="00246F3C" w:rsidRPr="00246F3C">
        <w:rPr>
          <w:noProof/>
          <w:lang w:bidi="en-US"/>
        </w:rPr>
        <w:t>[51]</w:t>
      </w:r>
      <w:r>
        <w:rPr>
          <w:lang w:bidi="en-US"/>
        </w:rPr>
        <w:fldChar w:fldCharType="end"/>
      </w:r>
      <w:r>
        <w:rPr>
          <w:lang w:bidi="en-US"/>
        </w:rPr>
        <w:t xml:space="preserve">,  the energy feature is linked with maintenance since researchers are providing evidence concerning the positive influence on decision-making regarding energy as a maintenance monitoring tool </w:t>
      </w:r>
      <w:r>
        <w:rPr>
          <w:lang w:bidi="en-US"/>
        </w:rPr>
        <w:fldChar w:fldCharType="begin" w:fldLock="1"/>
      </w:r>
      <w:r w:rsidR="00416869">
        <w:rPr>
          <w:lang w:bidi="en-US"/>
        </w:rPr>
        <w:instrText>ADDIN CSL_CITATION {"citationItems":[{"id":"ITEM-1","itemData":{"DOI":"10.1016/j.jclepro.2012.12.012","ISSN":"09596526","abstract":"Increasing energy costs, new environmental legislation, and concerns over energy security are driving efforts to increase industrial energy efficiency across the European Union and the world. Manufacturers are keen to identify the most cost-effective techniques to increase energy efficiency in their factories. To achieve the desired efficiency improvements, energy use should be measured in more detail and in real-time, to derive an awareness of the energy use patterns of every part of the manufacturing system. In this paper, we propose a framework for energy monitoring and management in the factory. This will allow decision support systems and enterprise services to take into consideration the energy used by each individual productive asset and related energy using processes, to facilitate both global and local energy optimization. The proposed framework incorporates standards for energy data exchange, on-line energy data analysis, performance measurement and display of energy usage. © 2012 Elsevier Ltd. All rights reserved.","author":[{"dropping-particle":"","family":"Vikhorev","given":"Konstantin","non-dropping-particle":"","parse-names":false,"suffix":""},{"dropping-particle":"","family":"Greenough","given":"Richard","non-dropping-particle":"","parse-names":false,"suffix":""},{"dropping-particle":"","family":"Brown","given":"Neil","non-dropping-particle":"","parse-names":false,"suffix":""}],"container-title":"Journal of Cleaner Production","id":"ITEM-1","issued":{"date-parts":[["2013"]]},"page":"103-112","publisher":"Elsevier Ltd","title":"An advanced energy management framework to promote energy awareness","type":"article-journal","volume":"43"},"uris":["http://www.mendeley.com/documents/?uuid=8dd60bb6-8e60-401e-ac5b-6d4697bf1ee2"]},{"id":"ITEM-2","itemData":{"DOI":"10.3390/en12183454","ISSN":"19961073","abstract":"In this paper, we address the problem of asset performance monitoring, with the intention of both detecting any potential reliability problem and predicting any loss of energy consumption efficiency. This is an important concern for many industries and utilities with very intensive capitalization in very long-lasting assets. To overcome this problem, in this paper we propose an approach to combine an Artificial Neural Network (ANN) with Data Mining (DM) tools, specifically with Association Rule (AR) Mining. The combination of these two techniques can now be done using software which can handle large volumes of data (big data), but the process still needs to ensure that the required amount of data will be available during the assets’ life cycle and that its quality is acceptable. The combination of these two techniques in the proposed sequence differs from previous works found in the literature, giving researchers new options to face the problem. Practical implementation of the proposed approach may lead to novel predictive maintenance models (emerging predictive analytics) that may detect with unprecedented precision any asset’s lack of performance and help manage assets’ O&amp;M accordingly. The approach is illustrated using specific examples where asset performance monitoring is rather complex under normal operational conditions.","author":[{"dropping-particle":"","family":"Márquez","given":"Adolfo Crespo","non-dropping-particle":"","parse-names":false,"suffix":""},{"dropping-particle":"","family":"la Fuente Carmona","given":"Antonio","non-dropping-particle":"de","parse-names":false,"suffix":""},{"dropping-particle":"","family":"Antomarioni","given":"Sara","non-dropping-particle":"","parse-names":false,"suffix":""}],"container-title":"Energies","id":"ITEM-2","issue":"18","issued":{"date-parts":[["2019"]]},"note":"- ANN + ARs Data mining technique to aid CBM.\n- Among other things for data normalization power is also included.\n- Stock and Flow Diagram of the ANN dynamic simulation is used with backpropagation for power consumption prediction.\n- In this paper, we address the problem of assets’ performance monitoring, with the intention of both\ndetecting any potential reliability problems and predicting any loss of energy consumption efficiency.\n- Modelling the functionality i.e. any operational and data related constraints and controls of system by IDEF0.\n- Secondary objective is to identify operating regimes of the equipment so that anomalies can be recorded.\n- To obtain loss of performance of the equpment when producing the anomalies detected.","title":"A process to implement an artificial neural network and association rules techniques to improve asset performance and energy efficiency","type":"article-journal","volume":"12"},"uris":["http://www.mendeley.com/documents/?uuid=98d428d4-63a7-4156-b761-9b5f145aac67"]},{"id":"ITEM-3","itemData":{"DOI":"10.1007/978-3-030-57745-2_49","ISBN":"978-3-030-57745-2","author":[{"dropping-particle":"","family":"Orošnjak","given":"Marko","non-dropping-particle":"","parse-names":false,"suffix":""},{"dropping-particle":"","family":"Jocanović","given":"Mitar","non-dropping-particle":"","parse-names":false,"suffix":""},{"dropping-particle":"","family":"Karanović","given":"Velibor","non-dropping-particle":"","parse-names":false,"suffix":""}],"container-title":"Advances in Asset Management and Condition Monitoring","id":"ITEM-3","issued":{"date-parts":[["2020"]]},"page":"583-596","publisher":"Springer Nature Switzerland AG 2020","title":"Applying Contamination Control for Improved Prognostics and Health Management of Hydraulic Systems","type":"chapter"},"uris":["http://www.mendeley.com/documents/?uuid=6a77570d-03b4-46ca-91cd-c63494ab37c8"]},{"id":"ITEM-4","itemData":{"DOI":"10.1108/13552511211265848","ISSN":"13552511","abstract":"Purpose - The purpose of this paper is to investigate the link between maintenance and energy saving in a commercial refrigeration setting. Design/methodology/approach - Since there is little data available from within the industrial sector, the authors have surveyed the literature for evidence of a link. Findings - Maintenance procedures play a major role in ensuring refrigeration equipment operates at maximum efficiency. Research limitations/implications - Little real world data is available and this is a major problem at present. Improved maintenance policies can only be developed. Practical implications - Substantial energy savings can be achieved if maintenance procedures are improved based on detailed measurement of energy usage. Monitoring the condition and performance of individual parts of a system are found to be crucial aspects in obtaining optimal performance. Originality/value - This paper highlights a neglected area in both energy saving and in maintenance planning. © Emerald Group Publishing Limited.","author":[{"dropping-particle":"","family":"Knowles","given":"Michael","non-dropping-particle":"","parse-names":false,"suffix":""},{"dropping-particle":"","family":"Baglee","given":"David","non-dropping-particle":"","parse-names":false,"suffix":""}],"container-title":"Journal of Quality in Maintenance Engineering","id":"ITEM-4","issue":"3","issued":{"date-parts":[["2012"]]},"page":"282-294","title":"The role of maintenance in energy saving in commercial refrigeration","type":"article-journal","volume":"18"},"uris":["http://www.mendeley.com/documents/?uuid=145ef56b-0267-4d80-88f4-c3ea92a5a7fd"]}],"mendeley":{"formattedCitation":"[52]–[55]","plainTextFormattedCitation":"[52]–[55]","previouslyFormattedCitation":"[52]–[55]"},"properties":{"noteIndex":0},"schema":"https://github.com/citation-style-language/schema/raw/master/csl-citation.json"}</w:instrText>
      </w:r>
      <w:r>
        <w:rPr>
          <w:lang w:bidi="en-US"/>
        </w:rPr>
        <w:fldChar w:fldCharType="separate"/>
      </w:r>
      <w:r w:rsidR="00246F3C" w:rsidRPr="00246F3C">
        <w:rPr>
          <w:noProof/>
          <w:lang w:bidi="en-US"/>
        </w:rPr>
        <w:t>[52]–[55]</w:t>
      </w:r>
      <w:r>
        <w:rPr>
          <w:lang w:bidi="en-US"/>
        </w:rPr>
        <w:fldChar w:fldCharType="end"/>
      </w:r>
      <w:r>
        <w:rPr>
          <w:lang w:bidi="en-US"/>
        </w:rPr>
        <w:t xml:space="preserve"> and sustainability indicator </w:t>
      </w:r>
      <w:r>
        <w:rPr>
          <w:lang w:bidi="en-US"/>
        </w:rPr>
        <w:fldChar w:fldCharType="begin" w:fldLock="1"/>
      </w:r>
      <w:r w:rsidR="00416869">
        <w:rPr>
          <w:lang w:bidi="en-US"/>
        </w:rPr>
        <w:instrText>ADDIN CSL_CITATION {"citationItems":[{"id":"ITEM-1","itemData":{"DOI":"10.1109/PHM.2015.7380096","ISBN":"978-1-4673-8554-1","abstract":"Industrial plants are facing today with new challenges to well optimize performance of their operation and maintenance. For example, the sustainability paradigm is introducing new requirements to be taken into account in the decision-making process. In that way, energy consumption (EC) and energy efficiency (EE) are two critical performances impacting severely the plant effectiveness mainly with regards to its life cycle cost. Although there are models for following these two performances at the component level, there is a real need for modelling them at the function or system levels not only to support strategic decisions (and not only operational one) but also to forecast them to make decisions in advance for better optimization. Thus, the principles of a generic approach, which is focused on EE performance (EEP) and built on the modelling of this EEP at functional level, and its prognostics to calculate a Remaining Energy-Efficient Lifetime (REEL), are proposed in this paper. The REEL should integrate future mission profiles and operation conditions. The prognostics model is developed from a data-driven approach by using a nonlinear regression method. This generic approach is instantiated and validated on the TELMA platform (a motor-driven system) which is simulating a real industrial plant addressing unwinding metal bobbins. So, models are built from field data of two independent motors (the component level and electrical energy) in addition to data on the function supported by means of these two motors. It leads to prognostics models usable to predict the EE evolution - REEL (the input of the decision-making module) both at the component level from the relationships between speed performance (motor output), bearing deterioration (Gamma process) and EE, and at the functional level from the relationships between productivity performance (functional output on the product delivered), components deterioration level and EE.","author":[{"dropping-particle":"","family":"Hoang","given":"Anh","non-dropping-particle":"","parse-names":false,"suffix":""},{"dropping-particle":"","family":"Do","given":"Phuc","non-dropping-particle":"","parse-names":false,"suffix":""},{"dropping-particle":"","family":"Iung","given":"Benoit","non-dropping-particle":"","parse-names":false,"suffix":""}],"container-title":"2015 Prognostics and System Health Management Conference (PHM)","id":"ITEM-1","issued":{"date-parts":[["2015","10"]]},"note":"- Remaining Energy-Efficient Lifetime (REEL).\n- In this paper, a generic EE-based prognostic approach is proposed for predicting the energy efficiency performance (EEl - energy efficiency indicator; REEL - remaining energy efficient lifetime) introduced recently in [15] at both the component and the function/system levels. The proposed prognostic approach is applied on the platform TELMA.","page":"1-7","publisher":"IEEE","title":"Prognostics on energy efficiency performance for maintenance decision-making: Application to industrial platform TELMA","type":"paper-conference"},"uris":["http://www.mendeley.com/documents/?uuid=e8bca837-6e9b-4528-83a8-d45a2beffc02"]},{"id":"ITEM-2","itemData":{"DOI":"10.1177/1748006X18762282","ISSN":"17480078","abstract":"Condition-based maintenance has been developed and successfully applied in various industrial systems to preventively maintain the correct equipment at the right time with regard to its current health “condition” such as oil temperature, harmonics data, and vibration. The monitoring of these conventional indicators may however be costly. Moreover, energy efficiency addressed by sustainability requirements has been recently considered as an emerging key performance indicator to be controlled. Nevertheless, this emerging key performance indicator is not yet integrated in condition-based maintenance decision-making. To face these issues, the main objective of this article is to investigate the interests to use energy efficiency for condition-based maintenance decision-making. The first original contribution of this article is to propose a new energy efficiency–based condition-based maintenance model using energy efficiency indicator which is defined as the amount of energy consumption to produce one useful output unit. The proposed model leads to consider not only the maintenance cost but also energy and useful output performance in the condition-based maintenance optimization process. The second contribution concerns an investigation of the proposed energy efficiency–based condition-based maintenance model for the case study of the TELMA platform. The performance of the proposed model is verified by comparing to an extended traditional one. The obtained results allow to highlight the impacts of energy efficiency on existing condition-based maintenance strategies and to conclude on the interest of a new energy efficiency indicator–based condition-based maintenance practice in terms of both cost and efficiency.","author":[{"dropping-particle":"","family":"Do","given":"Phuc","non-dropping-particle":"","parse-names":false,"suffix":""},{"dropping-particle":"","family":"Hoang","given":"Anh","non-dropping-particle":"","parse-names":false,"suffix":""},{"dropping-particle":"","family":"Iung","given":"Benoit","non-dropping-particle":"","parse-names":false,"suffix":""},{"dropping-particle":"","family":"Vu","given":"Hai Canh","non-dropping-particle":"","parse-names":false,"suffix":""}],"container-title":"Proceedings of the Institution of Mechanical Engineers, Part O: Journal of Risk and Reliability","id":"ITEM-2","issue":"4","issued":{"date-parts":[["2018"]]},"note":"- Although it has recently been recognized as an emerging key performance indicator to be controlled, it is not yet fully integrated in MDM.\n- A preventive maintenance is triggered if the EEI’s value at Tk is higher than a critical threshold EEIp.\n- To ensure that the convergence of maintenance cost rate is reached, a large number of simulation realizations (each realization simulates one life cycle of the system) must be done.\n- The maintenance decision-making based on the dysfunctional degrada- tion information is enough.","page":"379-388","title":"Energy efficiency for condition-based maintenance decision-making: Application to a manufacturing platform","type":"article-journal","volume":"232"},"uris":["http://www.mendeley.com/documents/?uuid=56172653-f4dd-4c61-8230-f38fe207a076"]},{"id":"ITEM-3","itemData":{"DOI":"10.1016/j.procir.2014.07.018","ISBN":"3338368445","ISSN":"22128271","abstract":"Ecology and industry, which have been many times considered as antagonists, are now associated together in the sustainability concept to support the three social/economic/environment pillars. In that way, industrial enterprises and more precisely manufacturing ones seek to integrate environment into their strategy by conducting an innovative rationalization of the production as promoted by industrial ecology and circular economy paradigms. This rationalization is favoring the evolution from product to a Product-Service Systems approach (PSS). The continuity of these services is mainly carried out by the maintenance which is no longer an aftermarket service needed for product (system) functionality but rather an inherent service function of the product (system). Thus this paper aims to investigate the role of maintenance to contribute to the development of these paradigms. It is based first on describing the main features of industrial ecology/circular economy transposing the nature concepts to industrial system. It leads to define key principles and levers to be addressed for the development of industrial ecosystems. Then maintenance activity is globally presented allowing, in a second step, to place maintenance services already existing in line with some of these principles and levers (ex. green maintenance), but also to explore advanced maintenance services more able to support promotion of industrial ecosystem by covering others principles and levers. These advanced services can be built from conventional maintenance processes but integrating sustainability goal (ex. prognostics of energy efficiency) or from innovative processes (ex. regenerative management). Finally scientific issues related to these advanced maintenance services are underlining and should concretize future research directions for researchers/practitioners working on maintenance field.","author":[{"dropping-particle":"","family":"Iung","given":"Benoit","non-dropping-particle":"","parse-names":false,"suffix":""},{"dropping-particle":"","family":"Levrat","given":"Eric","non-dropping-particle":"","parse-names":false,"suffix":""}],"container-title":"Procedia CIRP","id":"ITEM-3","issue":"1","issued":{"date-parts":[["2014"]]},"page":"15-22","title":"Advanced maintenance services for promoting sustainability","type":"article-journal","volume":"22"},"uris":["http://www.mendeley.com/documents/?uuid=7868ba4c-4faa-4cb8-a8c0-c44473f259cf"]}],"mendeley":{"formattedCitation":"[23], [25], [56]","plainTextFormattedCitation":"[23], [25], [56]","previouslyFormattedCitation":"[23], [25], [56]"},"properties":{"noteIndex":0},"schema":"https://github.com/citation-style-language/schema/raw/master/csl-citation.json"}</w:instrText>
      </w:r>
      <w:r>
        <w:rPr>
          <w:lang w:bidi="en-US"/>
        </w:rPr>
        <w:fldChar w:fldCharType="separate"/>
      </w:r>
      <w:r w:rsidR="00246F3C" w:rsidRPr="00246F3C">
        <w:rPr>
          <w:noProof/>
          <w:lang w:bidi="en-US"/>
        </w:rPr>
        <w:t>[23], [25], [56]</w:t>
      </w:r>
      <w:r>
        <w:rPr>
          <w:lang w:bidi="en-US"/>
        </w:rPr>
        <w:fldChar w:fldCharType="end"/>
      </w:r>
      <w:r>
        <w:rPr>
          <w:lang w:bidi="en-US"/>
        </w:rPr>
        <w:t xml:space="preserve">. </w:t>
      </w:r>
      <w:r w:rsidR="002737AE">
        <w:rPr>
          <w:lang w:bidi="en-US"/>
        </w:rPr>
        <w:t>T</w:t>
      </w:r>
      <w:r>
        <w:rPr>
          <w:lang w:bidi="en-US"/>
        </w:rPr>
        <w:t xml:space="preserve">he general notion is that literature </w:t>
      </w:r>
      <w:r w:rsidR="002737AE">
        <w:rPr>
          <w:lang w:bidi="en-US"/>
        </w:rPr>
        <w:t xml:space="preserve">on </w:t>
      </w:r>
      <w:r>
        <w:rPr>
          <w:lang w:bidi="en-US"/>
        </w:rPr>
        <w:t>energ</w:t>
      </w:r>
      <w:r>
        <w:rPr>
          <w:lang w:val="en-GB" w:bidi="en-US"/>
        </w:rPr>
        <w:t xml:space="preserve">y saving issues considers production-operational progress </w:t>
      </w:r>
      <w:r>
        <w:rPr>
          <w:lang w:val="en-GB" w:bidi="en-US"/>
        </w:rPr>
        <w:fldChar w:fldCharType="begin" w:fldLock="1"/>
      </w:r>
      <w:r w:rsidR="00416869">
        <w:rPr>
          <w:lang w:val="en-GB" w:bidi="en-US"/>
        </w:rPr>
        <w:instrText>ADDIN CSL_CITATION {"citationItems":[{"id":"ITEM-1","itemData":{"DOI":"10.1016/j.jclepro.2020.121540","ISSN":"09596526","abstract":"With the increase in awareness of energy conservation and emission reduction in the manufacturing sector, the energy efficiency optimization of the production process is considered an effective way to promote cleaner production and environmentally sustainable development. Moreover, the transportation process and its energy consumption are non-negligible during the entire workshop production process. In practice, cutting tool degradation during operation is inevitable, which causes the actual processing time of work to be extended, so it is necessary to consider the degradation effects and imperfect maintenance. To reduce the total energy consumption in the manufacturing workshop with degradation effects and imperfect maintenance, this paper constructs a novel integrated optimization model including the flexible job-shop scheduling problem (FJSP), forklift transportation and imperfect cutting tool maintenance. First, an imperfect cutting tool maintenance with degradation effect strategy is presented, which makes the actual processing time of each operation more closely approximate the real-world processing situation. Second, an integrated multi-objective optimization model is formulated to simultaneously minimize the makespan, total tardiness, total production cost and total energy consumption. Third, a hybrid multi-objective evolutionary algorithm with Pareto elite storage strategy (HMOEA/P) is proposed to address the model. More precisely, three improved operations are presented: hybrid dominance principle, local search algorithms and Pareto elite preservation strategy. The effectiveness and feasibility of the parameter setting, improved operations and the proposed algorithm are separately demonstrated by the comparative experiments. Last, the superiority of the integrated multi-objective optimization model is proven by comparing different maintenance strategies and energy consumption models.","author":[{"dropping-particle":"","family":"An","given":"Youjun","non-dropping-particle":"","parse-names":false,"suffix":""},{"dropping-particle":"","family":"Chen","given":"Xiaohui","non-dropping-particle":"","parse-names":false,"suffix":""},{"dropping-particle":"","family":"Zhang","given":"Ji","non-dropping-particle":"","parse-names":false,"suffix":""},{"dropping-particle":"","family":"Li","given":"Yinghe","non-dropping-particle":"","parse-names":false,"suffix":""}],"container-title":"Journal of Cleaner Production","id":"ITEM-1","issued":{"date-parts":[["2020","9"]]},"note":"- Superiority is validate by comparing different maintenance strategies and energy consumption models.\n- In summary, this study focuses on integrated multi-objective optimization problem of production scheduling and imperfect cutting tool PM considering total energy consumption.\n- Taguchi method\n-","page":"121540","publisher":"Elsevier Ltd","title":"A hybrid multi-objective evolutionary algorithm to integrate optimization of the production scheduling and imperfect cutting tool maintenance considering total energy consumption","type":"article-journal","volume":"268"},"uris":["http://www.mendeley.com/documents/?uuid=b56db35f-c996-4084-81a7-bd1fd4887628"]}],"mendeley":{"formattedCitation":"[57]","plainTextFormattedCitation":"[57]","previouslyFormattedCitation":"[57]"},"properties":{"noteIndex":0},"schema":"https://github.com/citation-style-language/schema/raw/master/csl-citation.json"}</w:instrText>
      </w:r>
      <w:r>
        <w:rPr>
          <w:lang w:val="en-GB" w:bidi="en-US"/>
        </w:rPr>
        <w:fldChar w:fldCharType="separate"/>
      </w:r>
      <w:r w:rsidR="00246F3C" w:rsidRPr="00246F3C">
        <w:rPr>
          <w:noProof/>
          <w:lang w:val="en-GB" w:bidi="en-US"/>
        </w:rPr>
        <w:t>[57]</w:t>
      </w:r>
      <w:r>
        <w:rPr>
          <w:lang w:val="en-GB" w:bidi="en-US"/>
        </w:rPr>
        <w:fldChar w:fldCharType="end"/>
      </w:r>
      <w:r>
        <w:rPr>
          <w:lang w:val="en-GB" w:bidi="en-US"/>
        </w:rPr>
        <w:t xml:space="preserve">, which provoked </w:t>
      </w:r>
      <w:r w:rsidR="004E60E0">
        <w:rPr>
          <w:lang w:val="en-GB" w:bidi="en-US"/>
        </w:rPr>
        <w:t>some</w:t>
      </w:r>
      <w:r>
        <w:rPr>
          <w:lang w:val="en-GB" w:bidi="en-US"/>
        </w:rPr>
        <w:t xml:space="preserve"> maintenance scholars to include energy in maintenance decision</w:t>
      </w:r>
      <w:r w:rsidR="008512C4">
        <w:rPr>
          <w:lang w:val="en-GB" w:bidi="en-US"/>
        </w:rPr>
        <w:t>s</w:t>
      </w:r>
      <w:r>
        <w:rPr>
          <w:lang w:val="en-GB" w:bidi="en-US"/>
        </w:rPr>
        <w:t xml:space="preserve"> and policy-making. </w:t>
      </w:r>
      <w:r w:rsidR="005F5D77">
        <w:rPr>
          <w:lang w:val="en-GB" w:bidi="en-US"/>
        </w:rPr>
        <w:t xml:space="preserve">Therefore, </w:t>
      </w:r>
      <w:r w:rsidR="004F0283">
        <w:rPr>
          <w:lang w:val="en-GB" w:bidi="en-US"/>
        </w:rPr>
        <w:t>the</w:t>
      </w:r>
      <w:r w:rsidR="005F5D77">
        <w:rPr>
          <w:lang w:val="en-GB" w:bidi="en-US"/>
        </w:rPr>
        <w:t xml:space="preserve"> question</w:t>
      </w:r>
      <w:r w:rsidR="004F0283">
        <w:rPr>
          <w:lang w:val="en-GB" w:bidi="en-US"/>
        </w:rPr>
        <w:t xml:space="preserve"> for surveying</w:t>
      </w:r>
      <w:r w:rsidR="005F5D77">
        <w:rPr>
          <w:lang w:val="en-GB" w:bidi="en-US"/>
        </w:rPr>
        <w:t xml:space="preserve"> the existing </w:t>
      </w:r>
      <w:r w:rsidR="004F0283">
        <w:rPr>
          <w:lang w:val="en-GB" w:bidi="en-US"/>
        </w:rPr>
        <w:t>literature is set</w:t>
      </w:r>
      <w:r>
        <w:rPr>
          <w:lang w:val="en-GB" w:bidi="en-US"/>
        </w:rPr>
        <w:t xml:space="preserve"> as</w:t>
      </w:r>
      <w:r w:rsidR="00190ED0">
        <w:rPr>
          <w:lang w:val="en-GB" w:bidi="en-US"/>
        </w:rPr>
        <w:t xml:space="preserve"> follows</w:t>
      </w:r>
      <w:r>
        <w:rPr>
          <w:lang w:val="en-GB" w:bidi="en-US"/>
        </w:rPr>
        <w:t>:</w:t>
      </w:r>
    </w:p>
    <w:p w14:paraId="2BC18F23" w14:textId="1309F606" w:rsidR="005F5D77" w:rsidRDefault="005F5D77" w:rsidP="005F5D77">
      <w:pPr>
        <w:rPr>
          <w:lang w:bidi="en-US"/>
        </w:rPr>
      </w:pPr>
      <w:r w:rsidRPr="00843BC3">
        <w:rPr>
          <w:b/>
          <w:lang w:bidi="en-US"/>
        </w:rPr>
        <w:t>RQ</w:t>
      </w:r>
      <w:r>
        <w:rPr>
          <w:b/>
          <w:lang w:bidi="en-US"/>
        </w:rPr>
        <w:t>6</w:t>
      </w:r>
      <w:r w:rsidRPr="00843BC3">
        <w:rPr>
          <w:b/>
          <w:lang w:bidi="en-US"/>
        </w:rPr>
        <w:t>.</w:t>
      </w:r>
      <w:r>
        <w:rPr>
          <w:lang w:bidi="en-US"/>
        </w:rPr>
        <w:t xml:space="preserve"> </w:t>
      </w:r>
      <w:bookmarkStart w:id="148" w:name="_Hlk52811742"/>
      <w:r>
        <w:rPr>
          <w:lang w:bidi="en-US"/>
        </w:rPr>
        <w:t xml:space="preserve">What </w:t>
      </w:r>
      <w:r w:rsidR="00E1586D">
        <w:rPr>
          <w:lang w:bidi="en-US"/>
        </w:rPr>
        <w:t>existing concepts and propositions in energy-</w:t>
      </w:r>
      <w:r w:rsidR="008512C4">
        <w:rPr>
          <w:lang w:bidi="en-US"/>
        </w:rPr>
        <w:t>dedicated</w:t>
      </w:r>
      <w:r w:rsidR="00E1586D">
        <w:rPr>
          <w:lang w:bidi="en-US"/>
        </w:rPr>
        <w:t xml:space="preserve"> maintenance research</w:t>
      </w:r>
      <w:r>
        <w:rPr>
          <w:lang w:bidi="en-US"/>
        </w:rPr>
        <w:t xml:space="preserve"> will contribute to </w:t>
      </w:r>
      <w:r w:rsidR="00DF775B">
        <w:rPr>
          <w:lang w:bidi="en-US"/>
        </w:rPr>
        <w:t>industrial maintenance</w:t>
      </w:r>
      <w:r w:rsidR="00521FB3">
        <w:rPr>
          <w:lang w:bidi="en-US"/>
        </w:rPr>
        <w:t>’</w:t>
      </w:r>
      <w:r w:rsidR="00DF775B">
        <w:rPr>
          <w:lang w:bidi="en-US"/>
        </w:rPr>
        <w:t>s technological progress</w:t>
      </w:r>
      <w:r>
        <w:rPr>
          <w:lang w:bidi="en-US"/>
        </w:rPr>
        <w:t xml:space="preserve"> in Horizon Europe?</w:t>
      </w:r>
      <w:bookmarkEnd w:id="148"/>
    </w:p>
    <w:p w14:paraId="4C969CB1" w14:textId="38EE33CE" w:rsidR="000D3220" w:rsidRDefault="005F5D77" w:rsidP="005F5D77">
      <w:pPr>
        <w:rPr>
          <w:lang w:bidi="en-US"/>
        </w:rPr>
      </w:pPr>
      <w:r>
        <w:rPr>
          <w:lang w:bidi="en-US"/>
        </w:rPr>
        <w:t xml:space="preserve">The interest here is </w:t>
      </w:r>
      <w:r w:rsidR="00DF775B">
        <w:rPr>
          <w:lang w:bidi="en-US"/>
        </w:rPr>
        <w:t>to overview maintenance concepts and programs</w:t>
      </w:r>
      <w:r w:rsidR="00E1586D">
        <w:rPr>
          <w:lang w:bidi="en-US"/>
        </w:rPr>
        <w:t xml:space="preserve">, investigate the benefits of a new research agenda, discuss potential gaps, and </w:t>
      </w:r>
      <w:r w:rsidR="00AD5217">
        <w:rPr>
          <w:lang w:bidi="en-US"/>
        </w:rPr>
        <w:t>investigate</w:t>
      </w:r>
      <w:r>
        <w:rPr>
          <w:lang w:bidi="en-US"/>
        </w:rPr>
        <w:t xml:space="preserve"> sustainability factors as a primary construct of maintenance advancement</w:t>
      </w:r>
      <w:r w:rsidR="00AD5217">
        <w:rPr>
          <w:lang w:bidi="en-US"/>
        </w:rPr>
        <w:t xml:space="preserve">. </w:t>
      </w:r>
      <w:r w:rsidR="000343E5">
        <w:rPr>
          <w:lang w:bidi="en-US"/>
        </w:rPr>
        <w:t xml:space="preserve">As discussed earlier, the main setback of maintenance time series analysis and prognostics </w:t>
      </w:r>
      <w:r w:rsidR="00E805BF">
        <w:rPr>
          <w:lang w:bidi="en-US"/>
        </w:rPr>
        <w:t>is related to static and rule-based failure-functionality thresholds,</w:t>
      </w:r>
      <w:r w:rsidR="000343E5">
        <w:rPr>
          <w:lang w:bidi="en-US"/>
        </w:rPr>
        <w:t xml:space="preserve"> resembling static and planned maintenance activities, instead of real-time activities aimed at hazard analysis of potential stoppages.</w:t>
      </w:r>
      <w:r>
        <w:rPr>
          <w:lang w:bidi="en-US"/>
        </w:rPr>
        <w:t xml:space="preserve"> Therefore, the final research question includes </w:t>
      </w:r>
      <w:r w:rsidR="00E3497F">
        <w:rPr>
          <w:lang w:bidi="en-US"/>
        </w:rPr>
        <w:t>reviewing and critically evaluating</w:t>
      </w:r>
      <w:r>
        <w:rPr>
          <w:lang w:bidi="en-US"/>
        </w:rPr>
        <w:t xml:space="preserve"> existing models within the </w:t>
      </w:r>
      <w:r w:rsidR="000343E5">
        <w:rPr>
          <w:lang w:bidi="en-US"/>
        </w:rPr>
        <w:t xml:space="preserve">energy-oriented maintenance research dedicated to transforming from rule-based to dynamic-based functionality and failure </w:t>
      </w:r>
      <w:r w:rsidR="00E84F25">
        <w:rPr>
          <w:lang w:bidi="en-US"/>
        </w:rPr>
        <w:t>thresholds. The final research question is defined in the following.</w:t>
      </w:r>
    </w:p>
    <w:p w14:paraId="7B191624" w14:textId="7249C19A" w:rsidR="000343E5" w:rsidRDefault="000343E5" w:rsidP="005F5D77">
      <w:pPr>
        <w:rPr>
          <w:lang w:bidi="en-US"/>
        </w:rPr>
      </w:pPr>
      <w:r w:rsidRPr="000343E5">
        <w:rPr>
          <w:b/>
          <w:bCs/>
          <w:lang w:bidi="en-US"/>
        </w:rPr>
        <w:lastRenderedPageBreak/>
        <w:t>RQ7.</w:t>
      </w:r>
      <w:r>
        <w:rPr>
          <w:lang w:bidi="en-US"/>
        </w:rPr>
        <w:t xml:space="preserve"> What </w:t>
      </w:r>
      <w:r w:rsidR="00E805BF">
        <w:rPr>
          <w:lang w:bidi="en-US"/>
        </w:rPr>
        <w:t>are statistical and mathematical models within the energy-based maintenance paradigm</w:t>
      </w:r>
      <w:r>
        <w:rPr>
          <w:lang w:bidi="en-US"/>
        </w:rPr>
        <w:t xml:space="preserve"> used </w:t>
      </w:r>
      <w:r w:rsidR="00D635A9">
        <w:rPr>
          <w:lang w:bidi="en-US"/>
        </w:rPr>
        <w:t>for different levels of maintenance decision-making, and what are</w:t>
      </w:r>
      <w:r>
        <w:rPr>
          <w:lang w:bidi="en-US"/>
        </w:rPr>
        <w:t xml:space="preserve"> </w:t>
      </w:r>
      <w:r w:rsidR="00D635A9">
        <w:rPr>
          <w:lang w:bidi="en-US"/>
        </w:rPr>
        <w:t xml:space="preserve">a </w:t>
      </w:r>
      <w:r>
        <w:rPr>
          <w:lang w:bidi="en-US"/>
        </w:rPr>
        <w:t>pre-defined failure or functionality thresholds</w:t>
      </w:r>
      <w:r w:rsidR="00D635A9">
        <w:rPr>
          <w:lang w:bidi="en-US"/>
        </w:rPr>
        <w:t xml:space="preserve"> for diagnostic purposes</w:t>
      </w:r>
      <w:r>
        <w:rPr>
          <w:lang w:bidi="en-US"/>
        </w:rPr>
        <w:t>?</w:t>
      </w:r>
    </w:p>
    <w:p w14:paraId="2D980F06" w14:textId="65624D59" w:rsidR="000343E5" w:rsidRDefault="000343E5" w:rsidP="00011F74">
      <w:pPr>
        <w:rPr>
          <w:lang w:bidi="en-US"/>
        </w:rPr>
      </w:pPr>
      <w:r>
        <w:rPr>
          <w:lang w:bidi="en-US"/>
        </w:rPr>
        <w:t xml:space="preserve">The primary aim of the question is </w:t>
      </w:r>
      <w:r w:rsidR="00D80EF9">
        <w:rPr>
          <w:lang w:bidi="en-US"/>
        </w:rPr>
        <w:t>to review existing models and discuss their inability to be used as dynamic boundaries and investigate the thresholds (fault) boundaries used at different layers of MDM, including process (control) data.</w:t>
      </w:r>
    </w:p>
    <w:p w14:paraId="6E5E62C8" w14:textId="5808CF0A" w:rsidR="00276D8B" w:rsidRDefault="00276D8B" w:rsidP="00276D8B">
      <w:pPr>
        <w:pStyle w:val="Caption"/>
        <w:keepNext/>
        <w:spacing w:after="60"/>
        <w:jc w:val="both"/>
      </w:pPr>
      <w:bookmarkStart w:id="149" w:name="_Ref48737483"/>
      <w:bookmarkStart w:id="150" w:name="_Toc65585495"/>
      <w:bookmarkStart w:id="151" w:name="_Toc101274445"/>
      <w:bookmarkStart w:id="152" w:name="_Hlk52811028"/>
      <w:r>
        <w:t xml:space="preserve">Table </w:t>
      </w:r>
      <w:fldSimple w:instr=" SEQ Table \* ARABIC ">
        <w:r w:rsidR="00587AF0">
          <w:rPr>
            <w:noProof/>
          </w:rPr>
          <w:t>5</w:t>
        </w:r>
      </w:fldSimple>
      <w:bookmarkEnd w:id="149"/>
      <w:r>
        <w:t>. Search strings for retrieval of publications</w:t>
      </w:r>
      <w:bookmarkEnd w:id="150"/>
      <w:bookmarkEnd w:id="151"/>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870"/>
        <w:gridCol w:w="4516"/>
        <w:gridCol w:w="522"/>
        <w:gridCol w:w="861"/>
        <w:gridCol w:w="631"/>
        <w:gridCol w:w="627"/>
      </w:tblGrid>
      <w:tr w:rsidR="00276D8B" w:rsidRPr="00CA78EE" w14:paraId="07FB7C63" w14:textId="77777777" w:rsidTr="00BD4DFC">
        <w:tc>
          <w:tcPr>
            <w:tcW w:w="1870" w:type="dxa"/>
            <w:tcBorders>
              <w:top w:val="single" w:sz="4" w:space="0" w:color="auto"/>
              <w:left w:val="nil"/>
              <w:bottom w:val="single" w:sz="4" w:space="0" w:color="auto"/>
            </w:tcBorders>
            <w:shd w:val="clear" w:color="auto" w:fill="auto"/>
            <w:vAlign w:val="center"/>
          </w:tcPr>
          <w:p w14:paraId="3600806D" w14:textId="77777777" w:rsidR="00276D8B" w:rsidRPr="00CA78EE" w:rsidRDefault="00276D8B" w:rsidP="008C281A">
            <w:pPr>
              <w:spacing w:before="100" w:beforeAutospacing="1" w:after="100" w:afterAutospacing="1"/>
              <w:rPr>
                <w:b/>
                <w:sz w:val="20"/>
                <w:szCs w:val="20"/>
                <w:lang w:val="sr-Latn-RS"/>
              </w:rPr>
            </w:pPr>
            <w:r w:rsidRPr="00CA78EE">
              <w:rPr>
                <w:b/>
                <w:sz w:val="20"/>
                <w:szCs w:val="20"/>
                <w:lang w:val="sr-Latn-RS"/>
              </w:rPr>
              <w:t>Feature</w:t>
            </w:r>
          </w:p>
        </w:tc>
        <w:tc>
          <w:tcPr>
            <w:tcW w:w="4308" w:type="dxa"/>
            <w:tcBorders>
              <w:top w:val="single" w:sz="4" w:space="0" w:color="auto"/>
              <w:bottom w:val="single" w:sz="4" w:space="0" w:color="auto"/>
            </w:tcBorders>
            <w:shd w:val="clear" w:color="auto" w:fill="auto"/>
            <w:vAlign w:val="center"/>
          </w:tcPr>
          <w:p w14:paraId="4C4BB37B" w14:textId="77777777" w:rsidR="00276D8B" w:rsidRPr="00CA78EE" w:rsidRDefault="00276D8B" w:rsidP="008C281A">
            <w:pPr>
              <w:spacing w:before="100" w:beforeAutospacing="1" w:after="100" w:afterAutospacing="1"/>
              <w:rPr>
                <w:b/>
                <w:sz w:val="20"/>
                <w:szCs w:val="20"/>
                <w:vertAlign w:val="superscript"/>
                <w:lang w:val="sr-Latn-RS"/>
              </w:rPr>
            </w:pPr>
            <w:r w:rsidRPr="00CA78EE">
              <w:rPr>
                <w:b/>
                <w:sz w:val="20"/>
                <w:szCs w:val="20"/>
                <w:lang w:val="sr-Latn-RS"/>
              </w:rPr>
              <w:t>Description of strings</w:t>
            </w:r>
          </w:p>
        </w:tc>
        <w:tc>
          <w:tcPr>
            <w:tcW w:w="0" w:type="auto"/>
            <w:tcBorders>
              <w:top w:val="single" w:sz="4" w:space="0" w:color="auto"/>
              <w:bottom w:val="single" w:sz="4" w:space="0" w:color="auto"/>
            </w:tcBorders>
            <w:vAlign w:val="center"/>
          </w:tcPr>
          <w:p w14:paraId="0F316661" w14:textId="77777777" w:rsidR="00276D8B" w:rsidRPr="00CA78EE" w:rsidRDefault="00276D8B" w:rsidP="008C281A">
            <w:pPr>
              <w:spacing w:before="100" w:beforeAutospacing="1" w:after="100" w:afterAutospacing="1"/>
              <w:jc w:val="right"/>
              <w:rPr>
                <w:b/>
                <w:sz w:val="20"/>
                <w:szCs w:val="20"/>
                <w:lang w:val="sr-Latn-RS"/>
              </w:rPr>
            </w:pPr>
            <w:r w:rsidRPr="00CA78EE">
              <w:rPr>
                <w:b/>
                <w:sz w:val="20"/>
                <w:szCs w:val="20"/>
                <w:lang w:val="sr-Latn-RS"/>
              </w:rPr>
              <w:t>SD</w:t>
            </w:r>
          </w:p>
        </w:tc>
        <w:tc>
          <w:tcPr>
            <w:tcW w:w="0" w:type="auto"/>
            <w:tcBorders>
              <w:top w:val="single" w:sz="4" w:space="0" w:color="auto"/>
              <w:bottom w:val="single" w:sz="4" w:space="0" w:color="auto"/>
            </w:tcBorders>
            <w:vAlign w:val="center"/>
          </w:tcPr>
          <w:p w14:paraId="753151E7" w14:textId="77777777" w:rsidR="00276D8B" w:rsidRPr="00CA78EE" w:rsidRDefault="00276D8B" w:rsidP="008C281A">
            <w:pPr>
              <w:spacing w:before="100" w:beforeAutospacing="1" w:after="100" w:afterAutospacing="1"/>
              <w:jc w:val="right"/>
              <w:rPr>
                <w:b/>
                <w:sz w:val="20"/>
                <w:szCs w:val="20"/>
                <w:lang w:val="sr-Latn-RS"/>
              </w:rPr>
            </w:pPr>
            <w:r w:rsidRPr="00CA78EE">
              <w:rPr>
                <w:b/>
                <w:sz w:val="20"/>
                <w:szCs w:val="20"/>
                <w:lang w:val="sr-Latn-RS"/>
              </w:rPr>
              <w:t>Scopus</w:t>
            </w:r>
          </w:p>
        </w:tc>
        <w:tc>
          <w:tcPr>
            <w:tcW w:w="0" w:type="auto"/>
            <w:tcBorders>
              <w:top w:val="single" w:sz="4" w:space="0" w:color="auto"/>
              <w:bottom w:val="single" w:sz="4" w:space="0" w:color="auto"/>
            </w:tcBorders>
            <w:vAlign w:val="center"/>
          </w:tcPr>
          <w:p w14:paraId="002013BE" w14:textId="77777777" w:rsidR="00276D8B" w:rsidRPr="00CA78EE" w:rsidRDefault="00276D8B" w:rsidP="008C281A">
            <w:pPr>
              <w:spacing w:before="100" w:beforeAutospacing="1" w:after="100" w:afterAutospacing="1"/>
              <w:jc w:val="right"/>
              <w:rPr>
                <w:b/>
                <w:sz w:val="20"/>
                <w:szCs w:val="20"/>
                <w:lang w:val="sr-Latn-RS"/>
              </w:rPr>
            </w:pPr>
            <w:r w:rsidRPr="00CA78EE">
              <w:rPr>
                <w:b/>
                <w:sz w:val="20"/>
                <w:szCs w:val="20"/>
                <w:lang w:val="sr-Latn-RS"/>
              </w:rPr>
              <w:t>WoS</w:t>
            </w:r>
          </w:p>
        </w:tc>
        <w:tc>
          <w:tcPr>
            <w:tcW w:w="0" w:type="auto"/>
            <w:tcBorders>
              <w:top w:val="single" w:sz="4" w:space="0" w:color="auto"/>
              <w:bottom w:val="single" w:sz="4" w:space="0" w:color="auto"/>
              <w:right w:val="nil"/>
            </w:tcBorders>
            <w:shd w:val="clear" w:color="auto" w:fill="auto"/>
            <w:vAlign w:val="center"/>
          </w:tcPr>
          <w:p w14:paraId="69A20735" w14:textId="77777777" w:rsidR="00276D8B" w:rsidRPr="00CA78EE" w:rsidRDefault="00276D8B" w:rsidP="008C281A">
            <w:pPr>
              <w:spacing w:before="100" w:beforeAutospacing="1" w:after="100" w:afterAutospacing="1"/>
              <w:jc w:val="right"/>
              <w:rPr>
                <w:b/>
                <w:sz w:val="20"/>
                <w:szCs w:val="20"/>
              </w:rPr>
            </w:pPr>
            <w:r w:rsidRPr="00CA78EE">
              <w:rPr>
                <w:b/>
                <w:sz w:val="20"/>
                <w:szCs w:val="20"/>
                <w:lang w:val="sr-Latn-RS"/>
              </w:rPr>
              <w:t>Sum</w:t>
            </w:r>
          </w:p>
        </w:tc>
      </w:tr>
      <w:tr w:rsidR="00276D8B" w:rsidRPr="00CA78EE" w14:paraId="1C463F04" w14:textId="77777777" w:rsidTr="00BD4DFC">
        <w:trPr>
          <w:trHeight w:val="277"/>
        </w:trPr>
        <w:tc>
          <w:tcPr>
            <w:tcW w:w="1870" w:type="dxa"/>
            <w:tcBorders>
              <w:top w:val="single" w:sz="4" w:space="0" w:color="auto"/>
              <w:left w:val="nil"/>
              <w:bottom w:val="nil"/>
            </w:tcBorders>
            <w:shd w:val="clear" w:color="auto" w:fill="auto"/>
          </w:tcPr>
          <w:p w14:paraId="55DF94B1" w14:textId="77777777" w:rsidR="00276D8B" w:rsidRPr="00CA78EE" w:rsidRDefault="00276D8B" w:rsidP="008C281A">
            <w:pPr>
              <w:spacing w:before="100" w:beforeAutospacing="1" w:after="100" w:afterAutospacing="1"/>
              <w:rPr>
                <w:sz w:val="20"/>
                <w:szCs w:val="20"/>
                <w:lang w:val="sr-Latn-RS"/>
              </w:rPr>
            </w:pPr>
            <w:r w:rsidRPr="00CA78EE">
              <w:rPr>
                <w:sz w:val="20"/>
                <w:szCs w:val="20"/>
                <w:lang w:val="sr-Latn-RS"/>
              </w:rPr>
              <w:t>Keywords</w:t>
            </w:r>
          </w:p>
        </w:tc>
        <w:tc>
          <w:tcPr>
            <w:tcW w:w="4308" w:type="dxa"/>
            <w:tcBorders>
              <w:top w:val="single" w:sz="4" w:space="0" w:color="auto"/>
              <w:bottom w:val="nil"/>
            </w:tcBorders>
            <w:shd w:val="clear" w:color="auto" w:fill="auto"/>
          </w:tcPr>
          <w:p w14:paraId="7D582303" w14:textId="77777777" w:rsidR="00276D8B" w:rsidRPr="00CA78EE" w:rsidRDefault="00276D8B" w:rsidP="008C281A">
            <w:pPr>
              <w:spacing w:before="100" w:beforeAutospacing="1" w:after="100" w:afterAutospacing="1"/>
              <w:rPr>
                <w:i/>
                <w:sz w:val="20"/>
                <w:szCs w:val="20"/>
                <w:lang w:val="sr-Latn-RS"/>
              </w:rPr>
            </w:pPr>
            <w:r w:rsidRPr="00CA78EE">
              <w:rPr>
                <w:i/>
                <w:sz w:val="20"/>
                <w:szCs w:val="20"/>
                <w:lang w:val="sr-Latn-RS"/>
              </w:rPr>
              <w:t>"energy efficiency" AND "condition-based maintenance" AND "energy consumption"</w:t>
            </w:r>
          </w:p>
        </w:tc>
        <w:tc>
          <w:tcPr>
            <w:tcW w:w="0" w:type="auto"/>
            <w:tcBorders>
              <w:top w:val="single" w:sz="4" w:space="0" w:color="auto"/>
              <w:bottom w:val="nil"/>
            </w:tcBorders>
            <w:vAlign w:val="center"/>
          </w:tcPr>
          <w:p w14:paraId="39442CB1" w14:textId="77777777" w:rsidR="00276D8B" w:rsidRPr="00CA78EE" w:rsidRDefault="00276D8B" w:rsidP="008C281A">
            <w:pPr>
              <w:spacing w:before="100" w:beforeAutospacing="1" w:after="100" w:afterAutospacing="1"/>
              <w:jc w:val="right"/>
              <w:rPr>
                <w:sz w:val="20"/>
                <w:szCs w:val="20"/>
                <w:lang w:val="sr-Latn-RS"/>
              </w:rPr>
            </w:pPr>
            <w:r w:rsidRPr="00CA78EE">
              <w:rPr>
                <w:sz w:val="20"/>
                <w:szCs w:val="20"/>
                <w:lang w:val="sr-Latn-RS"/>
              </w:rPr>
              <w:t>121</w:t>
            </w:r>
          </w:p>
        </w:tc>
        <w:tc>
          <w:tcPr>
            <w:tcW w:w="0" w:type="auto"/>
            <w:tcBorders>
              <w:top w:val="single" w:sz="4" w:space="0" w:color="auto"/>
              <w:bottom w:val="nil"/>
            </w:tcBorders>
            <w:vAlign w:val="center"/>
          </w:tcPr>
          <w:p w14:paraId="07734CDC" w14:textId="77777777" w:rsidR="00276D8B" w:rsidRPr="00CA78EE" w:rsidRDefault="00276D8B" w:rsidP="008C281A">
            <w:pPr>
              <w:spacing w:before="100" w:beforeAutospacing="1" w:after="100" w:afterAutospacing="1"/>
              <w:jc w:val="right"/>
              <w:rPr>
                <w:sz w:val="20"/>
                <w:szCs w:val="20"/>
                <w:lang w:val="sr-Latn-RS"/>
              </w:rPr>
            </w:pPr>
            <w:r w:rsidRPr="00CA78EE">
              <w:rPr>
                <w:sz w:val="20"/>
                <w:szCs w:val="20"/>
                <w:lang w:val="sr-Latn-RS"/>
              </w:rPr>
              <w:t>124</w:t>
            </w:r>
          </w:p>
        </w:tc>
        <w:tc>
          <w:tcPr>
            <w:tcW w:w="0" w:type="auto"/>
            <w:tcBorders>
              <w:top w:val="single" w:sz="4" w:space="0" w:color="auto"/>
              <w:bottom w:val="nil"/>
            </w:tcBorders>
            <w:vAlign w:val="center"/>
          </w:tcPr>
          <w:p w14:paraId="6D583D21" w14:textId="77777777" w:rsidR="00276D8B" w:rsidRPr="00CA78EE" w:rsidRDefault="00276D8B" w:rsidP="008C281A">
            <w:pPr>
              <w:spacing w:before="100" w:beforeAutospacing="1" w:after="100" w:afterAutospacing="1"/>
              <w:jc w:val="right"/>
              <w:rPr>
                <w:sz w:val="20"/>
                <w:szCs w:val="20"/>
                <w:lang w:val="sr-Latn-RS"/>
              </w:rPr>
            </w:pPr>
            <w:r w:rsidRPr="00CA78EE">
              <w:rPr>
                <w:sz w:val="20"/>
                <w:szCs w:val="20"/>
                <w:lang w:val="sr-Latn-RS"/>
              </w:rPr>
              <w:t>9</w:t>
            </w:r>
          </w:p>
        </w:tc>
        <w:tc>
          <w:tcPr>
            <w:tcW w:w="0" w:type="auto"/>
            <w:tcBorders>
              <w:top w:val="single" w:sz="4" w:space="0" w:color="auto"/>
              <w:bottom w:val="nil"/>
              <w:right w:val="nil"/>
            </w:tcBorders>
            <w:shd w:val="clear" w:color="auto" w:fill="auto"/>
            <w:vAlign w:val="center"/>
          </w:tcPr>
          <w:p w14:paraId="6D2E1771" w14:textId="77777777" w:rsidR="00276D8B" w:rsidRPr="00CA78EE" w:rsidRDefault="00276D8B" w:rsidP="008C281A">
            <w:pPr>
              <w:spacing w:before="100" w:beforeAutospacing="1" w:after="100" w:afterAutospacing="1"/>
              <w:jc w:val="right"/>
              <w:rPr>
                <w:sz w:val="20"/>
                <w:szCs w:val="20"/>
                <w:lang w:val="sr-Latn-RS"/>
              </w:rPr>
            </w:pPr>
            <w:r w:rsidRPr="00CA78EE">
              <w:rPr>
                <w:sz w:val="20"/>
                <w:szCs w:val="20"/>
                <w:lang w:val="sr-Latn-RS"/>
              </w:rPr>
              <w:t>254</w:t>
            </w:r>
          </w:p>
        </w:tc>
      </w:tr>
      <w:tr w:rsidR="00276D8B" w:rsidRPr="00CA78EE" w14:paraId="695011A1" w14:textId="77777777" w:rsidTr="00BD4DFC">
        <w:trPr>
          <w:trHeight w:val="277"/>
        </w:trPr>
        <w:tc>
          <w:tcPr>
            <w:tcW w:w="1870" w:type="dxa"/>
            <w:tcBorders>
              <w:top w:val="nil"/>
              <w:left w:val="nil"/>
              <w:bottom w:val="nil"/>
            </w:tcBorders>
            <w:shd w:val="clear" w:color="auto" w:fill="auto"/>
          </w:tcPr>
          <w:p w14:paraId="4DEC44C2" w14:textId="77777777" w:rsidR="00276D8B" w:rsidRPr="00CA78EE" w:rsidRDefault="00276D8B" w:rsidP="008C281A">
            <w:pPr>
              <w:spacing w:before="100" w:beforeAutospacing="1" w:after="100" w:afterAutospacing="1"/>
              <w:rPr>
                <w:sz w:val="20"/>
                <w:szCs w:val="20"/>
                <w:lang w:val="sr-Latn-RS"/>
              </w:rPr>
            </w:pPr>
          </w:p>
        </w:tc>
        <w:tc>
          <w:tcPr>
            <w:tcW w:w="4308" w:type="dxa"/>
            <w:tcBorders>
              <w:top w:val="nil"/>
              <w:bottom w:val="nil"/>
            </w:tcBorders>
            <w:shd w:val="clear" w:color="auto" w:fill="auto"/>
          </w:tcPr>
          <w:p w14:paraId="7C16AB2D" w14:textId="77777777" w:rsidR="00276D8B" w:rsidRPr="00CA78EE" w:rsidRDefault="00276D8B" w:rsidP="008C281A">
            <w:pPr>
              <w:spacing w:before="100" w:beforeAutospacing="1" w:after="100" w:afterAutospacing="1"/>
              <w:rPr>
                <w:i/>
                <w:sz w:val="20"/>
                <w:szCs w:val="20"/>
                <w:lang w:val="sr-Latn-RS"/>
              </w:rPr>
            </w:pPr>
            <w:r w:rsidRPr="00CA78EE">
              <w:rPr>
                <w:i/>
                <w:sz w:val="20"/>
                <w:szCs w:val="20"/>
                <w:lang w:val="sr-Latn-RS"/>
              </w:rPr>
              <w:t>"energy efficiency" AND "predictive maintenance" AND "energy consumption"</w:t>
            </w:r>
          </w:p>
        </w:tc>
        <w:tc>
          <w:tcPr>
            <w:tcW w:w="0" w:type="auto"/>
            <w:tcBorders>
              <w:top w:val="nil"/>
              <w:bottom w:val="nil"/>
            </w:tcBorders>
            <w:vAlign w:val="center"/>
          </w:tcPr>
          <w:p w14:paraId="0CB1E259" w14:textId="77777777" w:rsidR="00276D8B" w:rsidRPr="00CA78EE" w:rsidRDefault="00276D8B" w:rsidP="008C281A">
            <w:pPr>
              <w:spacing w:before="100" w:beforeAutospacing="1" w:after="100" w:afterAutospacing="1"/>
              <w:jc w:val="right"/>
              <w:rPr>
                <w:sz w:val="20"/>
                <w:szCs w:val="20"/>
                <w:lang w:val="sr-Latn-RS"/>
              </w:rPr>
            </w:pPr>
            <w:r w:rsidRPr="00CA78EE">
              <w:rPr>
                <w:sz w:val="20"/>
                <w:szCs w:val="20"/>
                <w:lang w:val="sr-Latn-RS"/>
              </w:rPr>
              <w:t>228</w:t>
            </w:r>
          </w:p>
        </w:tc>
        <w:tc>
          <w:tcPr>
            <w:tcW w:w="0" w:type="auto"/>
            <w:tcBorders>
              <w:top w:val="nil"/>
              <w:bottom w:val="nil"/>
            </w:tcBorders>
            <w:vAlign w:val="center"/>
          </w:tcPr>
          <w:p w14:paraId="1F4533B2" w14:textId="77777777" w:rsidR="00276D8B" w:rsidRPr="00CA78EE" w:rsidRDefault="00276D8B" w:rsidP="008C281A">
            <w:pPr>
              <w:spacing w:before="100" w:beforeAutospacing="1" w:after="100" w:afterAutospacing="1"/>
              <w:jc w:val="right"/>
              <w:rPr>
                <w:sz w:val="20"/>
                <w:szCs w:val="20"/>
                <w:lang w:val="sr-Latn-RS"/>
              </w:rPr>
            </w:pPr>
            <w:r w:rsidRPr="00CA78EE">
              <w:rPr>
                <w:sz w:val="20"/>
                <w:szCs w:val="20"/>
                <w:lang w:val="sr-Latn-RS"/>
              </w:rPr>
              <w:t>102</w:t>
            </w:r>
          </w:p>
        </w:tc>
        <w:tc>
          <w:tcPr>
            <w:tcW w:w="0" w:type="auto"/>
            <w:tcBorders>
              <w:top w:val="nil"/>
              <w:bottom w:val="nil"/>
            </w:tcBorders>
            <w:vAlign w:val="center"/>
          </w:tcPr>
          <w:p w14:paraId="3CDCF274" w14:textId="77777777" w:rsidR="00276D8B" w:rsidRPr="00CA78EE" w:rsidRDefault="00276D8B" w:rsidP="008C281A">
            <w:pPr>
              <w:spacing w:before="100" w:beforeAutospacing="1" w:after="100" w:afterAutospacing="1"/>
              <w:jc w:val="right"/>
              <w:rPr>
                <w:sz w:val="20"/>
                <w:szCs w:val="20"/>
                <w:lang w:val="sr-Latn-RS"/>
              </w:rPr>
            </w:pPr>
            <w:r w:rsidRPr="00CA78EE">
              <w:rPr>
                <w:sz w:val="20"/>
                <w:szCs w:val="20"/>
                <w:lang w:val="sr-Latn-RS"/>
              </w:rPr>
              <w:t>7</w:t>
            </w:r>
          </w:p>
        </w:tc>
        <w:tc>
          <w:tcPr>
            <w:tcW w:w="0" w:type="auto"/>
            <w:tcBorders>
              <w:top w:val="nil"/>
              <w:bottom w:val="nil"/>
              <w:right w:val="nil"/>
            </w:tcBorders>
            <w:shd w:val="clear" w:color="auto" w:fill="auto"/>
            <w:vAlign w:val="center"/>
          </w:tcPr>
          <w:p w14:paraId="034E2E3A" w14:textId="77777777" w:rsidR="00276D8B" w:rsidRPr="00CA78EE" w:rsidRDefault="00276D8B" w:rsidP="008C281A">
            <w:pPr>
              <w:spacing w:before="100" w:beforeAutospacing="1" w:after="100" w:afterAutospacing="1"/>
              <w:jc w:val="right"/>
              <w:rPr>
                <w:sz w:val="20"/>
                <w:szCs w:val="20"/>
                <w:lang w:val="sr-Latn-RS"/>
              </w:rPr>
            </w:pPr>
            <w:r w:rsidRPr="00CA78EE">
              <w:rPr>
                <w:sz w:val="20"/>
                <w:szCs w:val="20"/>
                <w:lang w:val="sr-Latn-RS"/>
              </w:rPr>
              <w:t>337</w:t>
            </w:r>
          </w:p>
        </w:tc>
      </w:tr>
      <w:tr w:rsidR="00276D8B" w:rsidRPr="00CA78EE" w14:paraId="560C6951" w14:textId="77777777" w:rsidTr="00BD4DFC">
        <w:trPr>
          <w:trHeight w:val="277"/>
        </w:trPr>
        <w:tc>
          <w:tcPr>
            <w:tcW w:w="1870" w:type="dxa"/>
            <w:tcBorders>
              <w:top w:val="nil"/>
              <w:left w:val="nil"/>
              <w:bottom w:val="nil"/>
            </w:tcBorders>
            <w:shd w:val="clear" w:color="auto" w:fill="auto"/>
          </w:tcPr>
          <w:p w14:paraId="3FC12DEC" w14:textId="77777777" w:rsidR="00276D8B" w:rsidRPr="00CA78EE" w:rsidRDefault="00276D8B" w:rsidP="008C281A">
            <w:pPr>
              <w:spacing w:before="100" w:beforeAutospacing="1" w:after="100" w:afterAutospacing="1"/>
              <w:rPr>
                <w:sz w:val="20"/>
                <w:szCs w:val="20"/>
                <w:lang w:val="sr-Latn-RS"/>
              </w:rPr>
            </w:pPr>
          </w:p>
        </w:tc>
        <w:tc>
          <w:tcPr>
            <w:tcW w:w="4308" w:type="dxa"/>
            <w:tcBorders>
              <w:top w:val="nil"/>
              <w:bottom w:val="nil"/>
            </w:tcBorders>
            <w:shd w:val="clear" w:color="auto" w:fill="auto"/>
          </w:tcPr>
          <w:p w14:paraId="710B9ECF" w14:textId="77777777" w:rsidR="00276D8B" w:rsidRPr="00CA78EE" w:rsidRDefault="00276D8B" w:rsidP="008C281A">
            <w:pPr>
              <w:spacing w:before="100" w:beforeAutospacing="1" w:after="100" w:afterAutospacing="1"/>
              <w:rPr>
                <w:i/>
                <w:sz w:val="20"/>
                <w:szCs w:val="20"/>
                <w:lang w:val="sr-Latn-RS"/>
              </w:rPr>
            </w:pPr>
            <w:r w:rsidRPr="00CA78EE">
              <w:rPr>
                <w:i/>
                <w:sz w:val="20"/>
                <w:szCs w:val="20"/>
                <w:lang w:val="sr-Latn-RS"/>
              </w:rPr>
              <w:t>“Energy-based maintenance” OR “maintenance based on energy” OR “energy-oriented maintenance”</w:t>
            </w:r>
          </w:p>
        </w:tc>
        <w:tc>
          <w:tcPr>
            <w:tcW w:w="0" w:type="auto"/>
            <w:tcBorders>
              <w:top w:val="nil"/>
              <w:bottom w:val="nil"/>
            </w:tcBorders>
            <w:vAlign w:val="center"/>
          </w:tcPr>
          <w:p w14:paraId="65D85080" w14:textId="77777777" w:rsidR="00276D8B" w:rsidRPr="00CA78EE" w:rsidRDefault="00276D8B" w:rsidP="008C281A">
            <w:pPr>
              <w:spacing w:before="100" w:beforeAutospacing="1" w:after="100" w:afterAutospacing="1"/>
              <w:jc w:val="right"/>
              <w:rPr>
                <w:sz w:val="20"/>
                <w:szCs w:val="20"/>
                <w:lang w:val="sr-Latn-RS"/>
              </w:rPr>
            </w:pPr>
            <w:r w:rsidRPr="00CA78EE">
              <w:rPr>
                <w:sz w:val="20"/>
                <w:szCs w:val="20"/>
                <w:lang w:val="sr-Latn-RS"/>
              </w:rPr>
              <w:t>14</w:t>
            </w:r>
          </w:p>
        </w:tc>
        <w:tc>
          <w:tcPr>
            <w:tcW w:w="0" w:type="auto"/>
            <w:tcBorders>
              <w:top w:val="nil"/>
              <w:bottom w:val="nil"/>
            </w:tcBorders>
            <w:vAlign w:val="center"/>
          </w:tcPr>
          <w:p w14:paraId="36952E85" w14:textId="77777777" w:rsidR="00276D8B" w:rsidRPr="00CA78EE" w:rsidRDefault="00276D8B" w:rsidP="008C281A">
            <w:pPr>
              <w:spacing w:before="100" w:beforeAutospacing="1" w:after="100" w:afterAutospacing="1"/>
              <w:jc w:val="right"/>
              <w:rPr>
                <w:sz w:val="20"/>
                <w:szCs w:val="20"/>
                <w:lang w:val="sr-Latn-RS"/>
              </w:rPr>
            </w:pPr>
            <w:r w:rsidRPr="00CA78EE">
              <w:rPr>
                <w:sz w:val="20"/>
                <w:szCs w:val="20"/>
                <w:lang w:val="sr-Latn-RS"/>
              </w:rPr>
              <w:t>18</w:t>
            </w:r>
          </w:p>
        </w:tc>
        <w:tc>
          <w:tcPr>
            <w:tcW w:w="0" w:type="auto"/>
            <w:tcBorders>
              <w:top w:val="nil"/>
              <w:bottom w:val="nil"/>
            </w:tcBorders>
            <w:vAlign w:val="center"/>
          </w:tcPr>
          <w:p w14:paraId="14266D00" w14:textId="77777777" w:rsidR="00276D8B" w:rsidRPr="00CA78EE" w:rsidRDefault="00276D8B" w:rsidP="008C281A">
            <w:pPr>
              <w:spacing w:before="100" w:beforeAutospacing="1" w:after="100" w:afterAutospacing="1"/>
              <w:jc w:val="right"/>
              <w:rPr>
                <w:sz w:val="20"/>
                <w:szCs w:val="20"/>
                <w:lang w:val="sr-Latn-RS"/>
              </w:rPr>
            </w:pPr>
            <w:r w:rsidRPr="00CA78EE">
              <w:rPr>
                <w:sz w:val="20"/>
                <w:szCs w:val="20"/>
                <w:lang w:val="sr-Latn-RS"/>
              </w:rPr>
              <w:t>4</w:t>
            </w:r>
          </w:p>
        </w:tc>
        <w:tc>
          <w:tcPr>
            <w:tcW w:w="0" w:type="auto"/>
            <w:tcBorders>
              <w:top w:val="nil"/>
              <w:bottom w:val="nil"/>
              <w:right w:val="nil"/>
            </w:tcBorders>
            <w:shd w:val="clear" w:color="auto" w:fill="auto"/>
            <w:vAlign w:val="center"/>
          </w:tcPr>
          <w:p w14:paraId="213053D2" w14:textId="77777777" w:rsidR="00276D8B" w:rsidRPr="00CA78EE" w:rsidRDefault="00276D8B" w:rsidP="008C281A">
            <w:pPr>
              <w:spacing w:before="100" w:beforeAutospacing="1" w:after="100" w:afterAutospacing="1"/>
              <w:jc w:val="right"/>
              <w:rPr>
                <w:sz w:val="20"/>
                <w:szCs w:val="20"/>
                <w:lang w:val="sr-Latn-RS"/>
              </w:rPr>
            </w:pPr>
            <w:r w:rsidRPr="00CA78EE">
              <w:rPr>
                <w:sz w:val="20"/>
                <w:szCs w:val="20"/>
                <w:lang w:val="sr-Latn-RS"/>
              </w:rPr>
              <w:t>36</w:t>
            </w:r>
          </w:p>
        </w:tc>
      </w:tr>
      <w:tr w:rsidR="00276D8B" w:rsidRPr="00CA78EE" w14:paraId="6D5A4675" w14:textId="77777777" w:rsidTr="00BD4DFC">
        <w:trPr>
          <w:trHeight w:val="277"/>
        </w:trPr>
        <w:tc>
          <w:tcPr>
            <w:tcW w:w="1870" w:type="dxa"/>
            <w:tcBorders>
              <w:top w:val="nil"/>
              <w:left w:val="nil"/>
              <w:bottom w:val="single" w:sz="4" w:space="0" w:color="auto"/>
            </w:tcBorders>
            <w:shd w:val="clear" w:color="auto" w:fill="auto"/>
          </w:tcPr>
          <w:p w14:paraId="353133F3" w14:textId="77777777" w:rsidR="00276D8B" w:rsidRPr="00CA78EE" w:rsidRDefault="00276D8B" w:rsidP="008C281A">
            <w:pPr>
              <w:spacing w:before="100" w:beforeAutospacing="1" w:after="100" w:afterAutospacing="1"/>
              <w:rPr>
                <w:sz w:val="20"/>
                <w:szCs w:val="20"/>
                <w:lang w:val="en-GB"/>
              </w:rPr>
            </w:pPr>
            <w:r w:rsidRPr="00CA78EE">
              <w:rPr>
                <w:sz w:val="20"/>
                <w:szCs w:val="20"/>
                <w:lang w:val="en-GB"/>
              </w:rPr>
              <w:t>Sub-total</w:t>
            </w:r>
          </w:p>
        </w:tc>
        <w:tc>
          <w:tcPr>
            <w:tcW w:w="7157" w:type="dxa"/>
            <w:gridSpan w:val="5"/>
            <w:tcBorders>
              <w:top w:val="nil"/>
              <w:bottom w:val="single" w:sz="4" w:space="0" w:color="auto"/>
              <w:right w:val="nil"/>
            </w:tcBorders>
            <w:shd w:val="clear" w:color="auto" w:fill="auto"/>
          </w:tcPr>
          <w:p w14:paraId="3BA2BDDB" w14:textId="77777777" w:rsidR="00276D8B" w:rsidRPr="00CA78EE" w:rsidRDefault="00276D8B" w:rsidP="008C281A">
            <w:pPr>
              <w:spacing w:before="100" w:beforeAutospacing="1" w:after="100" w:afterAutospacing="1"/>
              <w:jc w:val="right"/>
              <w:rPr>
                <w:sz w:val="20"/>
                <w:szCs w:val="20"/>
                <w:lang w:val="sr-Latn-RS"/>
              </w:rPr>
            </w:pPr>
            <w:r w:rsidRPr="00CA78EE">
              <w:rPr>
                <w:sz w:val="20"/>
                <w:szCs w:val="20"/>
                <w:lang w:val="sr-Latn-RS"/>
              </w:rPr>
              <w:t>627</w:t>
            </w:r>
          </w:p>
        </w:tc>
      </w:tr>
      <w:tr w:rsidR="00276D8B" w:rsidRPr="00CA78EE" w14:paraId="7D804BE0" w14:textId="77777777" w:rsidTr="00BD4DFC">
        <w:trPr>
          <w:trHeight w:val="277"/>
        </w:trPr>
        <w:tc>
          <w:tcPr>
            <w:tcW w:w="1870" w:type="dxa"/>
            <w:tcBorders>
              <w:top w:val="single" w:sz="4" w:space="0" w:color="auto"/>
              <w:left w:val="nil"/>
              <w:bottom w:val="nil"/>
            </w:tcBorders>
            <w:shd w:val="clear" w:color="auto" w:fill="auto"/>
          </w:tcPr>
          <w:p w14:paraId="3B4DF6C8" w14:textId="77777777" w:rsidR="00276D8B" w:rsidRPr="00CA78EE" w:rsidRDefault="00276D8B" w:rsidP="008C281A">
            <w:pPr>
              <w:spacing w:before="100" w:beforeAutospacing="1" w:after="100" w:afterAutospacing="1"/>
              <w:rPr>
                <w:sz w:val="20"/>
                <w:szCs w:val="20"/>
                <w:lang w:val="sr-Latn-RS"/>
              </w:rPr>
            </w:pPr>
            <w:r w:rsidRPr="00CA78EE">
              <w:rPr>
                <w:sz w:val="20"/>
                <w:szCs w:val="20"/>
                <w:lang w:val="sr-Latn-RS"/>
              </w:rPr>
              <w:t>Duplicates</w:t>
            </w:r>
          </w:p>
        </w:tc>
        <w:tc>
          <w:tcPr>
            <w:tcW w:w="7157" w:type="dxa"/>
            <w:gridSpan w:val="5"/>
            <w:tcBorders>
              <w:top w:val="single" w:sz="4" w:space="0" w:color="auto"/>
              <w:bottom w:val="nil"/>
              <w:right w:val="nil"/>
            </w:tcBorders>
            <w:shd w:val="clear" w:color="auto" w:fill="auto"/>
          </w:tcPr>
          <w:p w14:paraId="39012F4C" w14:textId="77777777" w:rsidR="00276D8B" w:rsidRPr="00CA78EE" w:rsidRDefault="00276D8B" w:rsidP="008C281A">
            <w:pPr>
              <w:spacing w:before="100" w:beforeAutospacing="1" w:after="100" w:afterAutospacing="1"/>
              <w:jc w:val="right"/>
              <w:rPr>
                <w:sz w:val="20"/>
                <w:szCs w:val="20"/>
                <w:lang w:val="sr-Latn-RS"/>
              </w:rPr>
            </w:pPr>
            <w:r w:rsidRPr="00CA78EE">
              <w:rPr>
                <w:sz w:val="20"/>
                <w:szCs w:val="20"/>
                <w:lang w:val="sr-Latn-RS"/>
              </w:rPr>
              <w:t>-185</w:t>
            </w:r>
          </w:p>
        </w:tc>
      </w:tr>
      <w:tr w:rsidR="00276D8B" w:rsidRPr="00CA78EE" w14:paraId="72256958" w14:textId="77777777" w:rsidTr="00BD4DFC">
        <w:trPr>
          <w:trHeight w:val="277"/>
        </w:trPr>
        <w:tc>
          <w:tcPr>
            <w:tcW w:w="1870" w:type="dxa"/>
            <w:tcBorders>
              <w:top w:val="nil"/>
              <w:left w:val="nil"/>
              <w:bottom w:val="nil"/>
            </w:tcBorders>
            <w:shd w:val="clear" w:color="auto" w:fill="auto"/>
          </w:tcPr>
          <w:p w14:paraId="3DEBC557" w14:textId="77777777" w:rsidR="00276D8B" w:rsidRPr="00CA78EE" w:rsidRDefault="00276D8B" w:rsidP="008C281A">
            <w:pPr>
              <w:spacing w:before="100" w:beforeAutospacing="1" w:after="100" w:afterAutospacing="1"/>
              <w:rPr>
                <w:sz w:val="20"/>
                <w:szCs w:val="20"/>
                <w:lang w:val="sr-Latn-RS"/>
              </w:rPr>
            </w:pPr>
            <w:r w:rsidRPr="00CA78EE">
              <w:rPr>
                <w:sz w:val="20"/>
                <w:szCs w:val="20"/>
                <w:lang w:val="sr-Latn-RS"/>
              </w:rPr>
              <w:t>Inclusion crit.</w:t>
            </w:r>
          </w:p>
        </w:tc>
        <w:tc>
          <w:tcPr>
            <w:tcW w:w="7157" w:type="dxa"/>
            <w:gridSpan w:val="5"/>
            <w:tcBorders>
              <w:top w:val="nil"/>
              <w:bottom w:val="nil"/>
              <w:right w:val="nil"/>
            </w:tcBorders>
            <w:shd w:val="clear" w:color="auto" w:fill="auto"/>
          </w:tcPr>
          <w:p w14:paraId="18FE62EA" w14:textId="77777777" w:rsidR="00276D8B" w:rsidRPr="00CA78EE" w:rsidRDefault="00276D8B" w:rsidP="008C281A">
            <w:pPr>
              <w:spacing w:before="100" w:beforeAutospacing="1" w:after="100" w:afterAutospacing="1"/>
              <w:jc w:val="right"/>
              <w:rPr>
                <w:sz w:val="20"/>
                <w:szCs w:val="20"/>
                <w:lang w:val="sr-Latn-RS"/>
              </w:rPr>
            </w:pPr>
            <w:r w:rsidRPr="00CA78EE">
              <w:rPr>
                <w:sz w:val="20"/>
                <w:szCs w:val="20"/>
                <w:lang w:val="sr-Latn-RS"/>
              </w:rPr>
              <w:t>-398</w:t>
            </w:r>
          </w:p>
        </w:tc>
      </w:tr>
      <w:tr w:rsidR="00276D8B" w:rsidRPr="00CA78EE" w14:paraId="5129414B" w14:textId="77777777" w:rsidTr="00BD4DFC">
        <w:trPr>
          <w:trHeight w:val="277"/>
        </w:trPr>
        <w:tc>
          <w:tcPr>
            <w:tcW w:w="1870" w:type="dxa"/>
            <w:tcBorders>
              <w:top w:val="nil"/>
              <w:left w:val="nil"/>
              <w:bottom w:val="nil"/>
            </w:tcBorders>
            <w:shd w:val="clear" w:color="auto" w:fill="auto"/>
          </w:tcPr>
          <w:p w14:paraId="204759F8" w14:textId="77777777" w:rsidR="00276D8B" w:rsidRPr="00CA78EE" w:rsidRDefault="00276D8B" w:rsidP="008C281A">
            <w:pPr>
              <w:spacing w:before="100" w:beforeAutospacing="1" w:after="100" w:afterAutospacing="1"/>
              <w:rPr>
                <w:sz w:val="20"/>
                <w:szCs w:val="20"/>
                <w:lang w:val="sr-Latn-RS"/>
              </w:rPr>
            </w:pPr>
            <w:r w:rsidRPr="00CA78EE">
              <w:rPr>
                <w:sz w:val="20"/>
                <w:szCs w:val="20"/>
                <w:lang w:val="sr-Latn-RS"/>
              </w:rPr>
              <w:t>Exclusion NR</w:t>
            </w:r>
          </w:p>
        </w:tc>
        <w:tc>
          <w:tcPr>
            <w:tcW w:w="7157" w:type="dxa"/>
            <w:gridSpan w:val="5"/>
            <w:tcBorders>
              <w:top w:val="nil"/>
              <w:bottom w:val="nil"/>
              <w:right w:val="nil"/>
            </w:tcBorders>
            <w:shd w:val="clear" w:color="auto" w:fill="auto"/>
          </w:tcPr>
          <w:p w14:paraId="6C534274" w14:textId="77777777" w:rsidR="00276D8B" w:rsidRPr="00CA78EE" w:rsidRDefault="00276D8B" w:rsidP="008C281A">
            <w:pPr>
              <w:spacing w:before="100" w:beforeAutospacing="1" w:after="100" w:afterAutospacing="1"/>
              <w:ind w:left="1440" w:hanging="1440"/>
              <w:jc w:val="right"/>
              <w:rPr>
                <w:sz w:val="20"/>
                <w:szCs w:val="20"/>
                <w:lang w:val="sr-Latn-RS"/>
              </w:rPr>
            </w:pPr>
            <w:r w:rsidRPr="00CA78EE">
              <w:rPr>
                <w:sz w:val="20"/>
                <w:szCs w:val="20"/>
                <w:lang w:val="sr-Latn-RS"/>
              </w:rPr>
              <w:t>-13</w:t>
            </w:r>
          </w:p>
        </w:tc>
      </w:tr>
      <w:tr w:rsidR="00276D8B" w:rsidRPr="00CA78EE" w14:paraId="2E9883E7" w14:textId="77777777" w:rsidTr="00BD4DFC">
        <w:trPr>
          <w:trHeight w:val="277"/>
        </w:trPr>
        <w:tc>
          <w:tcPr>
            <w:tcW w:w="1870" w:type="dxa"/>
            <w:tcBorders>
              <w:top w:val="nil"/>
              <w:left w:val="nil"/>
              <w:bottom w:val="nil"/>
            </w:tcBorders>
            <w:shd w:val="clear" w:color="auto" w:fill="auto"/>
          </w:tcPr>
          <w:p w14:paraId="36BABC7A" w14:textId="77777777" w:rsidR="00276D8B" w:rsidRPr="00CA78EE" w:rsidRDefault="00276D8B" w:rsidP="008C281A">
            <w:pPr>
              <w:spacing w:before="100" w:beforeAutospacing="1" w:after="100" w:afterAutospacing="1"/>
              <w:rPr>
                <w:sz w:val="20"/>
                <w:szCs w:val="20"/>
                <w:lang w:val="sr-Latn-RS"/>
              </w:rPr>
            </w:pPr>
            <w:r w:rsidRPr="00CA78EE">
              <w:rPr>
                <w:sz w:val="20"/>
                <w:szCs w:val="20"/>
                <w:lang w:val="sr-Latn-RS"/>
              </w:rPr>
              <w:t>Exclusion LR</w:t>
            </w:r>
          </w:p>
        </w:tc>
        <w:tc>
          <w:tcPr>
            <w:tcW w:w="7157" w:type="dxa"/>
            <w:gridSpan w:val="5"/>
            <w:tcBorders>
              <w:top w:val="nil"/>
              <w:bottom w:val="nil"/>
              <w:right w:val="nil"/>
            </w:tcBorders>
            <w:shd w:val="clear" w:color="auto" w:fill="auto"/>
          </w:tcPr>
          <w:p w14:paraId="34DD732E" w14:textId="77777777" w:rsidR="00276D8B" w:rsidRPr="00CA78EE" w:rsidRDefault="00276D8B" w:rsidP="008C281A">
            <w:pPr>
              <w:spacing w:before="100" w:beforeAutospacing="1" w:after="100" w:afterAutospacing="1"/>
              <w:jc w:val="right"/>
              <w:rPr>
                <w:sz w:val="20"/>
                <w:szCs w:val="20"/>
                <w:lang w:val="sr-Latn-RS"/>
              </w:rPr>
            </w:pPr>
            <w:r w:rsidRPr="00CA78EE">
              <w:rPr>
                <w:sz w:val="20"/>
                <w:szCs w:val="20"/>
                <w:lang w:val="sr-Latn-RS"/>
              </w:rPr>
              <w:t>-8</w:t>
            </w:r>
          </w:p>
        </w:tc>
      </w:tr>
      <w:tr w:rsidR="00276D8B" w:rsidRPr="00CA78EE" w14:paraId="4E261AE5" w14:textId="77777777" w:rsidTr="00BD4DFC">
        <w:trPr>
          <w:trHeight w:val="277"/>
        </w:trPr>
        <w:tc>
          <w:tcPr>
            <w:tcW w:w="1870" w:type="dxa"/>
            <w:tcBorders>
              <w:top w:val="nil"/>
              <w:left w:val="nil"/>
              <w:bottom w:val="nil"/>
            </w:tcBorders>
            <w:shd w:val="clear" w:color="auto" w:fill="auto"/>
          </w:tcPr>
          <w:p w14:paraId="2C0906BE" w14:textId="77777777" w:rsidR="00276D8B" w:rsidRPr="00CA78EE" w:rsidRDefault="00276D8B" w:rsidP="008C281A">
            <w:pPr>
              <w:spacing w:before="100" w:beforeAutospacing="1" w:after="100" w:afterAutospacing="1"/>
              <w:rPr>
                <w:sz w:val="20"/>
                <w:szCs w:val="20"/>
                <w:lang w:val="sr-Latn-RS"/>
              </w:rPr>
            </w:pPr>
            <w:r w:rsidRPr="00CA78EE">
              <w:rPr>
                <w:sz w:val="20"/>
                <w:szCs w:val="20"/>
                <w:lang w:val="sr-Latn-RS"/>
              </w:rPr>
              <w:t>Exclusion PR</w:t>
            </w:r>
          </w:p>
        </w:tc>
        <w:tc>
          <w:tcPr>
            <w:tcW w:w="7157" w:type="dxa"/>
            <w:gridSpan w:val="5"/>
            <w:tcBorders>
              <w:top w:val="nil"/>
              <w:bottom w:val="nil"/>
              <w:right w:val="nil"/>
            </w:tcBorders>
            <w:shd w:val="clear" w:color="auto" w:fill="auto"/>
          </w:tcPr>
          <w:p w14:paraId="715467FC" w14:textId="77777777" w:rsidR="00276D8B" w:rsidRPr="00CA78EE" w:rsidRDefault="00276D8B" w:rsidP="008C281A">
            <w:pPr>
              <w:spacing w:before="100" w:beforeAutospacing="1" w:after="100" w:afterAutospacing="1"/>
              <w:jc w:val="right"/>
              <w:rPr>
                <w:sz w:val="20"/>
                <w:szCs w:val="20"/>
                <w:lang w:val="sr-Latn-RS"/>
              </w:rPr>
            </w:pPr>
            <w:r w:rsidRPr="00CA78EE">
              <w:rPr>
                <w:sz w:val="20"/>
                <w:szCs w:val="20"/>
                <w:lang w:val="sr-Latn-RS"/>
              </w:rPr>
              <w:t>-3</w:t>
            </w:r>
          </w:p>
        </w:tc>
      </w:tr>
      <w:tr w:rsidR="00276D8B" w:rsidRPr="00CA78EE" w14:paraId="2C3FF366" w14:textId="77777777" w:rsidTr="00BD4DFC">
        <w:trPr>
          <w:trHeight w:val="277"/>
        </w:trPr>
        <w:tc>
          <w:tcPr>
            <w:tcW w:w="1870" w:type="dxa"/>
            <w:tcBorders>
              <w:top w:val="nil"/>
              <w:left w:val="nil"/>
              <w:bottom w:val="nil"/>
            </w:tcBorders>
            <w:shd w:val="clear" w:color="auto" w:fill="auto"/>
          </w:tcPr>
          <w:p w14:paraId="26E28FD8" w14:textId="77777777" w:rsidR="00276D8B" w:rsidRPr="00CA78EE" w:rsidRDefault="00276D8B" w:rsidP="008C281A">
            <w:pPr>
              <w:spacing w:before="100" w:beforeAutospacing="1" w:after="100" w:afterAutospacing="1"/>
              <w:rPr>
                <w:sz w:val="20"/>
                <w:szCs w:val="20"/>
                <w:lang w:val="sr-Latn-RS"/>
              </w:rPr>
            </w:pPr>
            <w:r w:rsidRPr="00CA78EE">
              <w:rPr>
                <w:sz w:val="20"/>
                <w:szCs w:val="20"/>
                <w:lang w:val="sr-Latn-RS"/>
              </w:rPr>
              <w:t>N/A papers</w:t>
            </w:r>
          </w:p>
        </w:tc>
        <w:tc>
          <w:tcPr>
            <w:tcW w:w="7157" w:type="dxa"/>
            <w:gridSpan w:val="5"/>
            <w:tcBorders>
              <w:top w:val="nil"/>
              <w:bottom w:val="nil"/>
              <w:right w:val="nil"/>
            </w:tcBorders>
            <w:shd w:val="clear" w:color="auto" w:fill="auto"/>
          </w:tcPr>
          <w:p w14:paraId="5CB52457" w14:textId="77777777" w:rsidR="00276D8B" w:rsidRPr="00CA78EE" w:rsidRDefault="00276D8B" w:rsidP="008C281A">
            <w:pPr>
              <w:spacing w:before="100" w:beforeAutospacing="1" w:after="100" w:afterAutospacing="1"/>
              <w:jc w:val="right"/>
              <w:rPr>
                <w:sz w:val="20"/>
                <w:szCs w:val="20"/>
                <w:lang w:val="sr-Latn-RS"/>
              </w:rPr>
            </w:pPr>
            <w:r w:rsidRPr="00CA78EE">
              <w:rPr>
                <w:sz w:val="20"/>
                <w:szCs w:val="20"/>
                <w:lang w:val="sr-Latn-RS"/>
              </w:rPr>
              <w:t>-1</w:t>
            </w:r>
          </w:p>
        </w:tc>
      </w:tr>
      <w:tr w:rsidR="00276D8B" w:rsidRPr="00CA78EE" w14:paraId="459B35E1" w14:textId="77777777" w:rsidTr="00BD4DFC">
        <w:trPr>
          <w:trHeight w:val="277"/>
        </w:trPr>
        <w:tc>
          <w:tcPr>
            <w:tcW w:w="1870" w:type="dxa"/>
            <w:tcBorders>
              <w:top w:val="nil"/>
              <w:left w:val="nil"/>
              <w:bottom w:val="nil"/>
            </w:tcBorders>
            <w:shd w:val="clear" w:color="auto" w:fill="auto"/>
          </w:tcPr>
          <w:p w14:paraId="2C696912" w14:textId="77777777" w:rsidR="00276D8B" w:rsidRPr="00CA78EE" w:rsidRDefault="00276D8B" w:rsidP="008C281A">
            <w:pPr>
              <w:spacing w:before="100" w:beforeAutospacing="1" w:after="100" w:afterAutospacing="1"/>
              <w:rPr>
                <w:sz w:val="20"/>
                <w:szCs w:val="20"/>
                <w:lang w:val="sr-Latn-RS"/>
              </w:rPr>
            </w:pPr>
            <w:r w:rsidRPr="00CA78EE">
              <w:rPr>
                <w:sz w:val="20"/>
                <w:szCs w:val="20"/>
                <w:lang w:val="sr-Latn-RS"/>
              </w:rPr>
              <w:t>Snowballing (SB)</w:t>
            </w:r>
          </w:p>
        </w:tc>
        <w:tc>
          <w:tcPr>
            <w:tcW w:w="7157" w:type="dxa"/>
            <w:gridSpan w:val="5"/>
            <w:tcBorders>
              <w:top w:val="nil"/>
              <w:bottom w:val="nil"/>
              <w:right w:val="nil"/>
            </w:tcBorders>
            <w:shd w:val="clear" w:color="auto" w:fill="auto"/>
          </w:tcPr>
          <w:p w14:paraId="62F0A949" w14:textId="2661B60D" w:rsidR="00276D8B" w:rsidRPr="00CA78EE" w:rsidRDefault="00276D8B" w:rsidP="008C281A">
            <w:pPr>
              <w:spacing w:before="100" w:beforeAutospacing="1" w:after="100" w:afterAutospacing="1"/>
              <w:jc w:val="right"/>
              <w:rPr>
                <w:sz w:val="20"/>
                <w:szCs w:val="20"/>
                <w:lang w:val="sr-Latn-RS"/>
              </w:rPr>
            </w:pPr>
            <w:r w:rsidRPr="00CA78EE">
              <w:rPr>
                <w:sz w:val="20"/>
                <w:szCs w:val="20"/>
                <w:lang w:val="sr-Latn-RS"/>
              </w:rPr>
              <w:t>+</w:t>
            </w:r>
            <w:r w:rsidR="00D1268C" w:rsidRPr="00CA78EE">
              <w:rPr>
                <w:sz w:val="20"/>
                <w:szCs w:val="20"/>
                <w:lang w:val="sr-Latn-RS"/>
              </w:rPr>
              <w:t>8</w:t>
            </w:r>
          </w:p>
        </w:tc>
      </w:tr>
      <w:tr w:rsidR="00276D8B" w:rsidRPr="00CA78EE" w14:paraId="66F84A09" w14:textId="77777777" w:rsidTr="00BD4DFC">
        <w:trPr>
          <w:trHeight w:val="297"/>
        </w:trPr>
        <w:tc>
          <w:tcPr>
            <w:tcW w:w="1870" w:type="dxa"/>
            <w:tcBorders>
              <w:top w:val="single" w:sz="4" w:space="0" w:color="auto"/>
              <w:left w:val="nil"/>
              <w:bottom w:val="single" w:sz="4" w:space="0" w:color="auto"/>
            </w:tcBorders>
            <w:shd w:val="clear" w:color="auto" w:fill="auto"/>
            <w:vAlign w:val="center"/>
          </w:tcPr>
          <w:p w14:paraId="6E6EC2D7" w14:textId="77777777" w:rsidR="00276D8B" w:rsidRPr="00CA78EE" w:rsidRDefault="00276D8B" w:rsidP="008C281A">
            <w:pPr>
              <w:spacing w:before="100" w:beforeAutospacing="1" w:after="100" w:afterAutospacing="1"/>
              <w:rPr>
                <w:sz w:val="20"/>
                <w:szCs w:val="20"/>
                <w:lang w:val="sr-Latn-RS"/>
              </w:rPr>
            </w:pPr>
            <w:r w:rsidRPr="00CA78EE">
              <w:rPr>
                <w:sz w:val="20"/>
                <w:szCs w:val="20"/>
                <w:lang w:val="sr-Latn-RS"/>
              </w:rPr>
              <w:t>CR papers</w:t>
            </w:r>
          </w:p>
        </w:tc>
        <w:tc>
          <w:tcPr>
            <w:tcW w:w="7157" w:type="dxa"/>
            <w:gridSpan w:val="5"/>
            <w:tcBorders>
              <w:top w:val="single" w:sz="4" w:space="0" w:color="auto"/>
              <w:bottom w:val="single" w:sz="4" w:space="0" w:color="auto"/>
              <w:right w:val="nil"/>
            </w:tcBorders>
            <w:shd w:val="clear" w:color="auto" w:fill="auto"/>
          </w:tcPr>
          <w:p w14:paraId="2A35A499" w14:textId="65179001" w:rsidR="00276D8B" w:rsidRPr="00CA78EE" w:rsidRDefault="00276D8B" w:rsidP="008C281A">
            <w:pPr>
              <w:spacing w:before="100" w:beforeAutospacing="1" w:after="100" w:afterAutospacing="1"/>
              <w:jc w:val="right"/>
              <w:rPr>
                <w:sz w:val="20"/>
                <w:szCs w:val="20"/>
                <w:lang w:val="sr-Latn-RS"/>
              </w:rPr>
            </w:pPr>
            <w:r w:rsidRPr="00CA78EE">
              <w:rPr>
                <w:sz w:val="20"/>
                <w:szCs w:val="20"/>
                <w:lang w:val="sr-Latn-RS"/>
              </w:rPr>
              <w:t>2</w:t>
            </w:r>
            <w:r w:rsidR="00D1268C" w:rsidRPr="00CA78EE">
              <w:rPr>
                <w:sz w:val="20"/>
                <w:szCs w:val="20"/>
                <w:lang w:val="sr-Latn-RS"/>
              </w:rPr>
              <w:t>7</w:t>
            </w:r>
          </w:p>
        </w:tc>
      </w:tr>
    </w:tbl>
    <w:p w14:paraId="5E3D2DE9" w14:textId="0831C99F" w:rsidR="00276D8B" w:rsidRDefault="00CC6586" w:rsidP="00CC6586">
      <w:pPr>
        <w:pStyle w:val="Heading3"/>
      </w:pPr>
      <w:bookmarkStart w:id="153" w:name="_Toc62467382"/>
      <w:bookmarkStart w:id="154" w:name="_Toc91575390"/>
      <w:bookmarkStart w:id="155" w:name="_Toc93759870"/>
      <w:bookmarkStart w:id="156" w:name="_Toc93759974"/>
      <w:bookmarkStart w:id="157" w:name="_Toc101274339"/>
      <w:bookmarkStart w:id="158" w:name="_Ref47940268"/>
      <w:bookmarkStart w:id="159" w:name="_Ref61615555"/>
      <w:r>
        <w:t>Defining eligibility criteria</w:t>
      </w:r>
      <w:bookmarkEnd w:id="153"/>
      <w:bookmarkEnd w:id="154"/>
      <w:bookmarkEnd w:id="155"/>
      <w:bookmarkEnd w:id="156"/>
      <w:bookmarkEnd w:id="157"/>
    </w:p>
    <w:p w14:paraId="7910A0EA" w14:textId="2DC3BBA5" w:rsidR="00F77C51" w:rsidRPr="00F77C51" w:rsidRDefault="003E2142" w:rsidP="00F77C51">
      <w:r>
        <w:t>Setting eligibility (I/E) criteria for extracting relevant information is done in two phases</w:t>
      </w:r>
      <w:r w:rsidR="000155BF">
        <w:t xml:space="preserve"> (</w:t>
      </w:r>
      <w:r w:rsidR="000155BF">
        <w:fldChar w:fldCharType="begin"/>
      </w:r>
      <w:r w:rsidR="000155BF">
        <w:instrText xml:space="preserve"> REF _Ref65069373 \h </w:instrText>
      </w:r>
      <w:r w:rsidR="000155BF">
        <w:fldChar w:fldCharType="separate"/>
      </w:r>
      <w:r w:rsidR="00587AF0">
        <w:t xml:space="preserve">Table </w:t>
      </w:r>
      <w:r w:rsidR="00587AF0">
        <w:rPr>
          <w:noProof/>
        </w:rPr>
        <w:t>6</w:t>
      </w:r>
      <w:r w:rsidR="000155BF">
        <w:fldChar w:fldCharType="end"/>
      </w:r>
      <w:r w:rsidR="000155BF">
        <w:t>)</w:t>
      </w:r>
      <w:r>
        <w:t xml:space="preserve">. Firstly, basic technical criteria for establishing the focus of extracting studies </w:t>
      </w:r>
      <w:r w:rsidR="00AD2383">
        <w:t>are</w:t>
      </w:r>
      <w:r>
        <w:t xml:space="preserve"> defined. Secondly, to narrow </w:t>
      </w:r>
      <w:r w:rsidR="00AD2383">
        <w:t>the search, three subcriteria are set to find</w:t>
      </w:r>
      <w:r>
        <w:t xml:space="preserve"> only the studies that correspond to the RQ providing </w:t>
      </w:r>
      <w:r w:rsidR="00F51E51">
        <w:t xml:space="preserve">an </w:t>
      </w:r>
      <w:r>
        <w:t>explicit relationship between energy and maintenance, either used as a parameter for diagnostic, prognostic or optimisation purposes.</w:t>
      </w:r>
    </w:p>
    <w:p w14:paraId="6C171A09" w14:textId="1B045709" w:rsidR="00276D8B" w:rsidRDefault="00276D8B" w:rsidP="00276D8B">
      <w:pPr>
        <w:pStyle w:val="Caption"/>
        <w:keepNext/>
        <w:spacing w:after="60"/>
        <w:jc w:val="both"/>
      </w:pPr>
      <w:bookmarkStart w:id="160" w:name="_Ref65069373"/>
      <w:bookmarkStart w:id="161" w:name="_Toc65585496"/>
      <w:bookmarkStart w:id="162" w:name="_Toc101274446"/>
      <w:r>
        <w:t xml:space="preserve">Table </w:t>
      </w:r>
      <w:fldSimple w:instr=" SEQ Table \* ARABIC ">
        <w:r w:rsidR="00587AF0">
          <w:rPr>
            <w:noProof/>
          </w:rPr>
          <w:t>6</w:t>
        </w:r>
      </w:fldSimple>
      <w:bookmarkEnd w:id="158"/>
      <w:bookmarkEnd w:id="159"/>
      <w:bookmarkEnd w:id="160"/>
      <w:r>
        <w:t>. Eligibility (I/E) criteria for evidence extraction from the publications</w:t>
      </w:r>
      <w:bookmarkEnd w:id="161"/>
      <w:bookmarkEnd w:id="162"/>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440"/>
        <w:gridCol w:w="2160"/>
        <w:gridCol w:w="5427"/>
      </w:tblGrid>
      <w:tr w:rsidR="00276D8B" w:rsidRPr="00CA78EE" w14:paraId="08A991F6" w14:textId="77777777" w:rsidTr="008C281A">
        <w:tc>
          <w:tcPr>
            <w:tcW w:w="1440" w:type="dxa"/>
            <w:tcBorders>
              <w:top w:val="single" w:sz="4" w:space="0" w:color="auto"/>
              <w:left w:val="nil"/>
              <w:bottom w:val="single" w:sz="4" w:space="0" w:color="auto"/>
            </w:tcBorders>
            <w:shd w:val="clear" w:color="auto" w:fill="auto"/>
            <w:vAlign w:val="center"/>
          </w:tcPr>
          <w:p w14:paraId="4D4EB5AB" w14:textId="77777777" w:rsidR="00276D8B" w:rsidRPr="00CA78EE" w:rsidRDefault="00276D8B" w:rsidP="008C281A">
            <w:pPr>
              <w:spacing w:before="100" w:beforeAutospacing="1" w:after="100" w:afterAutospacing="1"/>
              <w:rPr>
                <w:b/>
                <w:sz w:val="20"/>
                <w:szCs w:val="20"/>
                <w:lang w:val="sr-Latn-RS"/>
              </w:rPr>
            </w:pPr>
            <w:r w:rsidRPr="00CA78EE">
              <w:rPr>
                <w:b/>
                <w:sz w:val="20"/>
                <w:szCs w:val="20"/>
                <w:lang w:val="sr-Latn-RS"/>
              </w:rPr>
              <w:t>I/E criteria</w:t>
            </w:r>
          </w:p>
        </w:tc>
        <w:tc>
          <w:tcPr>
            <w:tcW w:w="2160" w:type="dxa"/>
            <w:tcBorders>
              <w:top w:val="single" w:sz="4" w:space="0" w:color="auto"/>
              <w:bottom w:val="single" w:sz="4" w:space="0" w:color="auto"/>
            </w:tcBorders>
            <w:shd w:val="clear" w:color="auto" w:fill="auto"/>
            <w:vAlign w:val="center"/>
          </w:tcPr>
          <w:p w14:paraId="5F9C3843" w14:textId="77777777" w:rsidR="00276D8B" w:rsidRPr="00CA78EE" w:rsidRDefault="00276D8B" w:rsidP="008C281A">
            <w:pPr>
              <w:spacing w:before="100" w:beforeAutospacing="1" w:after="100" w:afterAutospacing="1"/>
              <w:rPr>
                <w:b/>
                <w:sz w:val="20"/>
                <w:szCs w:val="20"/>
                <w:lang w:val="sr-Latn-RS"/>
              </w:rPr>
            </w:pPr>
            <w:r w:rsidRPr="00CA78EE">
              <w:rPr>
                <w:b/>
                <w:sz w:val="20"/>
                <w:szCs w:val="20"/>
                <w:lang w:val="sr-Latn-RS"/>
              </w:rPr>
              <w:t>Sub-criteria</w:t>
            </w:r>
          </w:p>
        </w:tc>
        <w:tc>
          <w:tcPr>
            <w:tcW w:w="5427" w:type="dxa"/>
            <w:tcBorders>
              <w:top w:val="single" w:sz="4" w:space="0" w:color="auto"/>
              <w:bottom w:val="single" w:sz="4" w:space="0" w:color="auto"/>
              <w:right w:val="nil"/>
            </w:tcBorders>
            <w:shd w:val="clear" w:color="auto" w:fill="auto"/>
            <w:vAlign w:val="center"/>
          </w:tcPr>
          <w:p w14:paraId="072745B3" w14:textId="77777777" w:rsidR="00276D8B" w:rsidRPr="00CA78EE" w:rsidRDefault="00276D8B" w:rsidP="008C281A">
            <w:pPr>
              <w:spacing w:before="100" w:beforeAutospacing="1" w:after="100" w:afterAutospacing="1"/>
              <w:rPr>
                <w:b/>
                <w:sz w:val="20"/>
                <w:szCs w:val="20"/>
                <w:lang w:val="sr-Latn-RS"/>
              </w:rPr>
            </w:pPr>
            <w:r w:rsidRPr="00CA78EE">
              <w:rPr>
                <w:b/>
                <w:sz w:val="20"/>
                <w:szCs w:val="20"/>
                <w:lang w:val="sr-Latn-RS"/>
              </w:rPr>
              <w:t>Description of criteria</w:t>
            </w:r>
          </w:p>
        </w:tc>
      </w:tr>
      <w:tr w:rsidR="00276D8B" w:rsidRPr="00CA78EE" w14:paraId="4CE28494" w14:textId="77777777" w:rsidTr="008C281A">
        <w:tc>
          <w:tcPr>
            <w:tcW w:w="1440" w:type="dxa"/>
            <w:vMerge w:val="restart"/>
            <w:tcBorders>
              <w:top w:val="single" w:sz="4" w:space="0" w:color="auto"/>
              <w:left w:val="nil"/>
            </w:tcBorders>
            <w:shd w:val="clear" w:color="auto" w:fill="auto"/>
          </w:tcPr>
          <w:p w14:paraId="6C514B1A" w14:textId="77777777" w:rsidR="00276D8B" w:rsidRPr="00CA78EE" w:rsidRDefault="00276D8B" w:rsidP="008C281A">
            <w:pPr>
              <w:spacing w:before="100" w:beforeAutospacing="1" w:after="100" w:afterAutospacing="1"/>
              <w:rPr>
                <w:sz w:val="20"/>
                <w:szCs w:val="20"/>
                <w:lang w:val="sr-Latn-RS"/>
              </w:rPr>
            </w:pPr>
            <w:r w:rsidRPr="00CA78EE">
              <w:rPr>
                <w:sz w:val="20"/>
                <w:szCs w:val="20"/>
                <w:lang w:val="sr-Latn-RS"/>
              </w:rPr>
              <w:t>Inclusion criteria</w:t>
            </w:r>
          </w:p>
        </w:tc>
        <w:tc>
          <w:tcPr>
            <w:tcW w:w="2160" w:type="dxa"/>
            <w:tcBorders>
              <w:top w:val="single" w:sz="4" w:space="0" w:color="auto"/>
            </w:tcBorders>
            <w:shd w:val="clear" w:color="auto" w:fill="auto"/>
          </w:tcPr>
          <w:p w14:paraId="05BB2241" w14:textId="77777777" w:rsidR="00276D8B" w:rsidRPr="00CA78EE" w:rsidRDefault="00276D8B" w:rsidP="008C281A">
            <w:pPr>
              <w:spacing w:before="100" w:beforeAutospacing="1" w:after="100" w:afterAutospacing="1"/>
              <w:rPr>
                <w:sz w:val="20"/>
                <w:szCs w:val="20"/>
                <w:lang w:val="sr-Latn-RS"/>
              </w:rPr>
            </w:pPr>
            <w:r w:rsidRPr="00CA78EE">
              <w:rPr>
                <w:sz w:val="20"/>
                <w:szCs w:val="20"/>
                <w:lang w:val="sr-Latn-RS"/>
              </w:rPr>
              <w:t>Papers must be full text (FT)</w:t>
            </w:r>
          </w:p>
        </w:tc>
        <w:tc>
          <w:tcPr>
            <w:tcW w:w="5427" w:type="dxa"/>
            <w:tcBorders>
              <w:top w:val="single" w:sz="4" w:space="0" w:color="auto"/>
              <w:right w:val="nil"/>
            </w:tcBorders>
            <w:shd w:val="clear" w:color="auto" w:fill="auto"/>
            <w:vAlign w:val="center"/>
          </w:tcPr>
          <w:p w14:paraId="771DCA30" w14:textId="77777777" w:rsidR="00276D8B" w:rsidRPr="00CA78EE" w:rsidRDefault="00276D8B" w:rsidP="008C281A">
            <w:pPr>
              <w:spacing w:before="100" w:beforeAutospacing="1" w:after="100" w:afterAutospacing="1"/>
              <w:rPr>
                <w:sz w:val="20"/>
                <w:szCs w:val="20"/>
                <w:lang w:val="sr-Latn-RS"/>
              </w:rPr>
            </w:pPr>
            <w:r w:rsidRPr="00CA78EE">
              <w:rPr>
                <w:sz w:val="20"/>
                <w:szCs w:val="20"/>
                <w:lang w:val="sr-Latn-RS"/>
              </w:rPr>
              <w:t>Publications such as posters, abstracts, and editorials, will not be included.</w:t>
            </w:r>
          </w:p>
        </w:tc>
      </w:tr>
      <w:tr w:rsidR="00276D8B" w:rsidRPr="00CA78EE" w14:paraId="07855AD4" w14:textId="77777777" w:rsidTr="008C281A">
        <w:tc>
          <w:tcPr>
            <w:tcW w:w="1440" w:type="dxa"/>
            <w:vMerge/>
            <w:tcBorders>
              <w:left w:val="nil"/>
            </w:tcBorders>
            <w:shd w:val="clear" w:color="auto" w:fill="auto"/>
          </w:tcPr>
          <w:p w14:paraId="29050665" w14:textId="77777777" w:rsidR="00276D8B" w:rsidRPr="00CA78EE" w:rsidRDefault="00276D8B" w:rsidP="008C281A">
            <w:pPr>
              <w:spacing w:before="100" w:beforeAutospacing="1" w:after="100" w:afterAutospacing="1"/>
              <w:rPr>
                <w:sz w:val="20"/>
                <w:szCs w:val="20"/>
                <w:lang w:val="sr-Latn-RS"/>
              </w:rPr>
            </w:pPr>
          </w:p>
        </w:tc>
        <w:tc>
          <w:tcPr>
            <w:tcW w:w="2160" w:type="dxa"/>
            <w:shd w:val="clear" w:color="auto" w:fill="auto"/>
          </w:tcPr>
          <w:p w14:paraId="40D3285C" w14:textId="158E67D8" w:rsidR="00276D8B" w:rsidRPr="00CA78EE" w:rsidRDefault="00276D8B" w:rsidP="008C281A">
            <w:pPr>
              <w:spacing w:before="100" w:beforeAutospacing="1" w:after="100" w:afterAutospacing="1"/>
              <w:rPr>
                <w:sz w:val="20"/>
                <w:szCs w:val="20"/>
                <w:lang w:val="sr-Latn-RS"/>
              </w:rPr>
            </w:pPr>
            <w:r w:rsidRPr="00CA78EE">
              <w:rPr>
                <w:sz w:val="20"/>
                <w:szCs w:val="20"/>
                <w:lang w:val="sr-Latn-RS"/>
              </w:rPr>
              <w:t xml:space="preserve">Papers must be </w:t>
            </w:r>
            <w:r w:rsidR="00DF775B" w:rsidRPr="00CA78EE">
              <w:rPr>
                <w:sz w:val="20"/>
                <w:szCs w:val="20"/>
                <w:lang w:val="sr-Latn-RS"/>
              </w:rPr>
              <w:t>i</w:t>
            </w:r>
            <w:r w:rsidRPr="00CA78EE">
              <w:rPr>
                <w:sz w:val="20"/>
                <w:szCs w:val="20"/>
                <w:lang w:val="sr-Latn-RS"/>
              </w:rPr>
              <w:t>n English (ENG)</w:t>
            </w:r>
          </w:p>
        </w:tc>
        <w:tc>
          <w:tcPr>
            <w:tcW w:w="5427" w:type="dxa"/>
            <w:tcBorders>
              <w:right w:val="nil"/>
            </w:tcBorders>
            <w:shd w:val="clear" w:color="auto" w:fill="auto"/>
            <w:vAlign w:val="center"/>
          </w:tcPr>
          <w:p w14:paraId="7FC018D3" w14:textId="77777777" w:rsidR="00276D8B" w:rsidRPr="00CA78EE" w:rsidRDefault="00276D8B" w:rsidP="008C281A">
            <w:pPr>
              <w:spacing w:before="100" w:beforeAutospacing="1" w:after="100" w:afterAutospacing="1"/>
              <w:rPr>
                <w:sz w:val="20"/>
                <w:szCs w:val="20"/>
                <w:lang w:val="sr-Latn-RS"/>
              </w:rPr>
            </w:pPr>
            <w:r w:rsidRPr="00CA78EE">
              <w:rPr>
                <w:sz w:val="20"/>
                <w:szCs w:val="20"/>
                <w:lang w:val="sr-Latn-RS"/>
              </w:rPr>
              <w:t>A research paper must be written in the English language to be included.</w:t>
            </w:r>
          </w:p>
        </w:tc>
      </w:tr>
      <w:tr w:rsidR="00276D8B" w:rsidRPr="00CA78EE" w14:paraId="1A4EEB0D" w14:textId="77777777" w:rsidTr="008C281A">
        <w:tc>
          <w:tcPr>
            <w:tcW w:w="1440" w:type="dxa"/>
            <w:vMerge/>
            <w:tcBorders>
              <w:left w:val="nil"/>
            </w:tcBorders>
            <w:shd w:val="clear" w:color="auto" w:fill="auto"/>
          </w:tcPr>
          <w:p w14:paraId="21FA3A61" w14:textId="77777777" w:rsidR="00276D8B" w:rsidRPr="00CA78EE" w:rsidRDefault="00276D8B" w:rsidP="008C281A">
            <w:pPr>
              <w:spacing w:before="100" w:beforeAutospacing="1" w:after="100" w:afterAutospacing="1"/>
              <w:rPr>
                <w:sz w:val="20"/>
                <w:szCs w:val="20"/>
                <w:lang w:val="sr-Latn-RS"/>
              </w:rPr>
            </w:pPr>
          </w:p>
        </w:tc>
        <w:tc>
          <w:tcPr>
            <w:tcW w:w="2160" w:type="dxa"/>
            <w:shd w:val="clear" w:color="auto" w:fill="auto"/>
          </w:tcPr>
          <w:p w14:paraId="179E5A08" w14:textId="77777777" w:rsidR="00276D8B" w:rsidRPr="00CA78EE" w:rsidRDefault="00276D8B" w:rsidP="008C281A">
            <w:pPr>
              <w:spacing w:before="100" w:beforeAutospacing="1" w:after="100" w:afterAutospacing="1"/>
              <w:rPr>
                <w:sz w:val="20"/>
                <w:szCs w:val="20"/>
                <w:lang w:val="sr-Latn-RS"/>
              </w:rPr>
            </w:pPr>
            <w:r w:rsidRPr="00CA78EE">
              <w:rPr>
                <w:sz w:val="20"/>
                <w:szCs w:val="20"/>
                <w:lang w:val="sr-Latn-RS"/>
              </w:rPr>
              <w:t>Original peer-review study (OPS)</w:t>
            </w:r>
          </w:p>
        </w:tc>
        <w:tc>
          <w:tcPr>
            <w:tcW w:w="5427" w:type="dxa"/>
            <w:tcBorders>
              <w:right w:val="nil"/>
            </w:tcBorders>
            <w:shd w:val="clear" w:color="auto" w:fill="auto"/>
            <w:vAlign w:val="center"/>
          </w:tcPr>
          <w:p w14:paraId="30F0A0A0" w14:textId="13773B83" w:rsidR="00276D8B" w:rsidRPr="00CA78EE" w:rsidRDefault="00276D8B" w:rsidP="008C281A">
            <w:pPr>
              <w:spacing w:before="100" w:beforeAutospacing="1" w:after="100" w:afterAutospacing="1"/>
              <w:rPr>
                <w:sz w:val="20"/>
                <w:szCs w:val="20"/>
                <w:lang w:val="sr-Latn-RS"/>
              </w:rPr>
            </w:pPr>
            <w:r w:rsidRPr="00CA78EE">
              <w:rPr>
                <w:sz w:val="20"/>
                <w:szCs w:val="20"/>
                <w:lang w:val="sr-Latn-RS"/>
              </w:rPr>
              <w:t xml:space="preserve">Studies are not included if they are not peer-review and original (primary) </w:t>
            </w:r>
            <w:r w:rsidR="00DF775B" w:rsidRPr="00CA78EE">
              <w:rPr>
                <w:sz w:val="20"/>
                <w:szCs w:val="20"/>
                <w:lang w:val="sr-Latn-RS"/>
              </w:rPr>
              <w:t>literature sources</w:t>
            </w:r>
            <w:r w:rsidRPr="00CA78EE">
              <w:rPr>
                <w:sz w:val="20"/>
                <w:szCs w:val="20"/>
                <w:lang w:val="sr-Latn-RS"/>
              </w:rPr>
              <w:t>.</w:t>
            </w:r>
          </w:p>
        </w:tc>
      </w:tr>
      <w:tr w:rsidR="00276D8B" w:rsidRPr="00CA78EE" w14:paraId="6C8DBF70" w14:textId="77777777" w:rsidTr="008C281A">
        <w:tc>
          <w:tcPr>
            <w:tcW w:w="1440" w:type="dxa"/>
            <w:vMerge/>
            <w:tcBorders>
              <w:left w:val="nil"/>
              <w:bottom w:val="single" w:sz="4" w:space="0" w:color="auto"/>
            </w:tcBorders>
            <w:shd w:val="clear" w:color="auto" w:fill="auto"/>
          </w:tcPr>
          <w:p w14:paraId="609C0BCA" w14:textId="77777777" w:rsidR="00276D8B" w:rsidRPr="00CA78EE" w:rsidRDefault="00276D8B" w:rsidP="008C281A">
            <w:pPr>
              <w:spacing w:before="100" w:beforeAutospacing="1" w:after="100" w:afterAutospacing="1"/>
              <w:rPr>
                <w:sz w:val="20"/>
                <w:szCs w:val="20"/>
                <w:lang w:val="sr-Latn-RS"/>
              </w:rPr>
            </w:pPr>
          </w:p>
        </w:tc>
        <w:tc>
          <w:tcPr>
            <w:tcW w:w="2160" w:type="dxa"/>
            <w:tcBorders>
              <w:bottom w:val="single" w:sz="4" w:space="0" w:color="auto"/>
            </w:tcBorders>
            <w:shd w:val="clear" w:color="auto" w:fill="auto"/>
          </w:tcPr>
          <w:p w14:paraId="5D7D3BD1" w14:textId="77777777" w:rsidR="00276D8B" w:rsidRPr="00CA78EE" w:rsidRDefault="00276D8B" w:rsidP="008C281A">
            <w:pPr>
              <w:spacing w:before="100" w:beforeAutospacing="1" w:after="100" w:afterAutospacing="1"/>
              <w:rPr>
                <w:sz w:val="20"/>
                <w:szCs w:val="20"/>
                <w:lang w:val="sr-Latn-RS"/>
              </w:rPr>
            </w:pPr>
            <w:r w:rsidRPr="00CA78EE">
              <w:rPr>
                <w:sz w:val="20"/>
                <w:szCs w:val="20"/>
                <w:lang w:val="sr-Latn-RS"/>
              </w:rPr>
              <w:t>Time Frame (TF)</w:t>
            </w:r>
          </w:p>
        </w:tc>
        <w:tc>
          <w:tcPr>
            <w:tcW w:w="5427" w:type="dxa"/>
            <w:tcBorders>
              <w:bottom w:val="single" w:sz="4" w:space="0" w:color="auto"/>
              <w:right w:val="nil"/>
            </w:tcBorders>
            <w:shd w:val="clear" w:color="auto" w:fill="auto"/>
            <w:vAlign w:val="center"/>
          </w:tcPr>
          <w:p w14:paraId="286CAF4C" w14:textId="07B3118E" w:rsidR="00276D8B" w:rsidRPr="00CA78EE" w:rsidRDefault="00276D8B" w:rsidP="008C281A">
            <w:pPr>
              <w:spacing w:before="100" w:beforeAutospacing="1" w:after="100" w:afterAutospacing="1"/>
              <w:rPr>
                <w:sz w:val="20"/>
                <w:szCs w:val="20"/>
                <w:lang w:val="sr-Latn-RS"/>
              </w:rPr>
            </w:pPr>
            <w:r w:rsidRPr="00CA78EE">
              <w:rPr>
                <w:sz w:val="20"/>
                <w:szCs w:val="20"/>
                <w:lang w:val="sr-Latn-RS"/>
              </w:rPr>
              <w:t>The time frame is set from 01.01.2011</w:t>
            </w:r>
            <w:r w:rsidR="00F51E51">
              <w:rPr>
                <w:sz w:val="20"/>
                <w:szCs w:val="20"/>
                <w:lang w:val="sr-Latn-RS"/>
              </w:rPr>
              <w:t xml:space="preserve">to </w:t>
            </w:r>
            <w:r w:rsidRPr="00CA78EE">
              <w:rPr>
                <w:sz w:val="20"/>
                <w:szCs w:val="20"/>
                <w:lang w:val="sr-Latn-RS"/>
              </w:rPr>
              <w:t>31.12.2020.</w:t>
            </w:r>
          </w:p>
        </w:tc>
      </w:tr>
      <w:tr w:rsidR="00276D8B" w:rsidRPr="00CA78EE" w14:paraId="6C8132B6" w14:textId="77777777" w:rsidTr="008C281A">
        <w:trPr>
          <w:trHeight w:val="170"/>
        </w:trPr>
        <w:tc>
          <w:tcPr>
            <w:tcW w:w="1440" w:type="dxa"/>
            <w:vMerge w:val="restart"/>
            <w:tcBorders>
              <w:top w:val="single" w:sz="4" w:space="0" w:color="auto"/>
              <w:left w:val="nil"/>
            </w:tcBorders>
            <w:shd w:val="clear" w:color="auto" w:fill="auto"/>
          </w:tcPr>
          <w:p w14:paraId="14F61ACF" w14:textId="77777777" w:rsidR="00276D8B" w:rsidRPr="00CA78EE" w:rsidRDefault="00276D8B" w:rsidP="008C281A">
            <w:pPr>
              <w:spacing w:before="100" w:beforeAutospacing="1" w:after="100" w:afterAutospacing="1"/>
              <w:rPr>
                <w:sz w:val="20"/>
                <w:szCs w:val="20"/>
                <w:lang w:val="sr-Latn-RS"/>
              </w:rPr>
            </w:pPr>
            <w:r w:rsidRPr="00CA78EE">
              <w:rPr>
                <w:sz w:val="20"/>
                <w:szCs w:val="20"/>
                <w:lang w:val="sr-Latn-RS"/>
              </w:rPr>
              <w:t xml:space="preserve">Exclusion </w:t>
            </w:r>
            <w:r w:rsidRPr="00CA78EE">
              <w:rPr>
                <w:noProof/>
                <w:sz w:val="20"/>
                <w:szCs w:val="20"/>
                <w:lang w:val="sr-Latn-RS"/>
              </w:rPr>
              <w:t>criteria</w:t>
            </w:r>
          </w:p>
        </w:tc>
        <w:tc>
          <w:tcPr>
            <w:tcW w:w="2160" w:type="dxa"/>
            <w:tcBorders>
              <w:top w:val="single" w:sz="4" w:space="0" w:color="auto"/>
              <w:bottom w:val="nil"/>
            </w:tcBorders>
            <w:shd w:val="clear" w:color="auto" w:fill="auto"/>
          </w:tcPr>
          <w:p w14:paraId="406F3910" w14:textId="77777777" w:rsidR="00276D8B" w:rsidRPr="00CA78EE" w:rsidRDefault="00276D8B" w:rsidP="008C281A">
            <w:pPr>
              <w:spacing w:before="100" w:beforeAutospacing="1" w:after="100" w:afterAutospacing="1"/>
              <w:rPr>
                <w:sz w:val="20"/>
                <w:szCs w:val="20"/>
                <w:lang w:val="sr-Latn-RS"/>
              </w:rPr>
            </w:pPr>
            <w:r w:rsidRPr="00CA78EE">
              <w:rPr>
                <w:sz w:val="20"/>
                <w:szCs w:val="20"/>
                <w:lang w:val="sr-Latn-RS"/>
              </w:rPr>
              <w:t>Non-Related (NR)</w:t>
            </w:r>
          </w:p>
        </w:tc>
        <w:tc>
          <w:tcPr>
            <w:tcW w:w="5427" w:type="dxa"/>
            <w:tcBorders>
              <w:top w:val="single" w:sz="4" w:space="0" w:color="auto"/>
              <w:right w:val="nil"/>
            </w:tcBorders>
            <w:shd w:val="clear" w:color="auto" w:fill="auto"/>
            <w:vAlign w:val="center"/>
          </w:tcPr>
          <w:p w14:paraId="05ECE7B1" w14:textId="77777777" w:rsidR="00276D8B" w:rsidRPr="00CA78EE" w:rsidRDefault="00276D8B" w:rsidP="008C281A">
            <w:pPr>
              <w:spacing w:before="100" w:beforeAutospacing="1" w:after="100" w:afterAutospacing="1"/>
              <w:rPr>
                <w:sz w:val="20"/>
                <w:szCs w:val="20"/>
              </w:rPr>
            </w:pPr>
            <w:r w:rsidRPr="00CA78EE">
              <w:rPr>
                <w:sz w:val="20"/>
                <w:szCs w:val="20"/>
              </w:rPr>
              <w:t>NR: Articles that appear but are not original research studies (e.g., materials, procedures, forewords).</w:t>
            </w:r>
          </w:p>
        </w:tc>
      </w:tr>
      <w:tr w:rsidR="00276D8B" w:rsidRPr="00CA78EE" w14:paraId="20CBE0CC" w14:textId="77777777" w:rsidTr="008C281A">
        <w:trPr>
          <w:trHeight w:val="180"/>
        </w:trPr>
        <w:tc>
          <w:tcPr>
            <w:tcW w:w="1440" w:type="dxa"/>
            <w:vMerge/>
            <w:tcBorders>
              <w:left w:val="nil"/>
            </w:tcBorders>
            <w:shd w:val="clear" w:color="auto" w:fill="auto"/>
            <w:vAlign w:val="center"/>
          </w:tcPr>
          <w:p w14:paraId="33835FE9" w14:textId="77777777" w:rsidR="00276D8B" w:rsidRPr="00CA78EE" w:rsidRDefault="00276D8B" w:rsidP="008C281A">
            <w:pPr>
              <w:spacing w:before="100" w:beforeAutospacing="1" w:after="100" w:afterAutospacing="1"/>
              <w:rPr>
                <w:i/>
                <w:sz w:val="20"/>
                <w:szCs w:val="20"/>
                <w:lang w:val="sr-Latn-RS"/>
              </w:rPr>
            </w:pPr>
          </w:p>
        </w:tc>
        <w:tc>
          <w:tcPr>
            <w:tcW w:w="2160" w:type="dxa"/>
            <w:shd w:val="clear" w:color="auto" w:fill="auto"/>
          </w:tcPr>
          <w:p w14:paraId="520347C8" w14:textId="77777777" w:rsidR="00276D8B" w:rsidRPr="00CA78EE" w:rsidRDefault="00276D8B" w:rsidP="008C281A">
            <w:pPr>
              <w:spacing w:before="100" w:beforeAutospacing="1" w:after="100" w:afterAutospacing="1"/>
              <w:rPr>
                <w:sz w:val="20"/>
                <w:szCs w:val="20"/>
                <w:lang w:val="sr-Latn-RS"/>
              </w:rPr>
            </w:pPr>
            <w:r w:rsidRPr="00CA78EE">
              <w:rPr>
                <w:sz w:val="20"/>
                <w:szCs w:val="20"/>
                <w:lang w:val="sr-Latn-RS"/>
              </w:rPr>
              <w:t>Loosely-Related (LR)</w:t>
            </w:r>
          </w:p>
        </w:tc>
        <w:tc>
          <w:tcPr>
            <w:tcW w:w="5427" w:type="dxa"/>
            <w:tcBorders>
              <w:right w:val="nil"/>
            </w:tcBorders>
            <w:shd w:val="clear" w:color="auto" w:fill="auto"/>
            <w:vAlign w:val="center"/>
          </w:tcPr>
          <w:p w14:paraId="62E5B133" w14:textId="702D3614" w:rsidR="00276D8B" w:rsidRPr="00CA78EE" w:rsidRDefault="00276D8B" w:rsidP="008C281A">
            <w:pPr>
              <w:spacing w:before="100" w:beforeAutospacing="1" w:after="100" w:afterAutospacing="1"/>
              <w:rPr>
                <w:sz w:val="20"/>
                <w:szCs w:val="20"/>
                <w:lang w:val="sr-Latn-RS"/>
              </w:rPr>
            </w:pPr>
            <w:r w:rsidRPr="00CA78EE">
              <w:rPr>
                <w:sz w:val="20"/>
                <w:szCs w:val="20"/>
                <w:lang w:val="sr-Latn-RS"/>
              </w:rPr>
              <w:t xml:space="preserve">LR: Research </w:t>
            </w:r>
            <w:r w:rsidR="00DF775B" w:rsidRPr="00CA78EE">
              <w:rPr>
                <w:sz w:val="20"/>
                <w:szCs w:val="20"/>
                <w:lang w:val="sr-Latn-RS"/>
              </w:rPr>
              <w:t>does not explicitly describe</w:t>
            </w:r>
            <w:r w:rsidRPr="00CA78EE">
              <w:rPr>
                <w:sz w:val="20"/>
                <w:szCs w:val="20"/>
                <w:lang w:val="sr-Latn-RS"/>
              </w:rPr>
              <w:t xml:space="preserve"> the relationship between maintenance influence on energy or using energy as an indicator for MDM.</w:t>
            </w:r>
          </w:p>
        </w:tc>
      </w:tr>
      <w:tr w:rsidR="00276D8B" w:rsidRPr="00CA78EE" w14:paraId="37F8C3F9" w14:textId="77777777" w:rsidTr="008C281A">
        <w:trPr>
          <w:trHeight w:val="162"/>
        </w:trPr>
        <w:tc>
          <w:tcPr>
            <w:tcW w:w="1440" w:type="dxa"/>
            <w:vMerge/>
            <w:tcBorders>
              <w:left w:val="nil"/>
            </w:tcBorders>
            <w:shd w:val="clear" w:color="auto" w:fill="auto"/>
            <w:vAlign w:val="center"/>
          </w:tcPr>
          <w:p w14:paraId="487BC1D5" w14:textId="77777777" w:rsidR="00276D8B" w:rsidRPr="00CA78EE" w:rsidRDefault="00276D8B" w:rsidP="008C281A">
            <w:pPr>
              <w:spacing w:before="100" w:beforeAutospacing="1" w:after="100" w:afterAutospacing="1"/>
              <w:rPr>
                <w:i/>
                <w:sz w:val="20"/>
                <w:szCs w:val="20"/>
                <w:lang w:val="sr-Latn-RS"/>
              </w:rPr>
            </w:pPr>
          </w:p>
        </w:tc>
        <w:tc>
          <w:tcPr>
            <w:tcW w:w="2160" w:type="dxa"/>
            <w:shd w:val="clear" w:color="auto" w:fill="auto"/>
          </w:tcPr>
          <w:p w14:paraId="4EC7EC68" w14:textId="77777777" w:rsidR="00276D8B" w:rsidRPr="00CA78EE" w:rsidRDefault="00276D8B" w:rsidP="008C281A">
            <w:pPr>
              <w:spacing w:before="100" w:beforeAutospacing="1" w:after="100" w:afterAutospacing="1"/>
              <w:rPr>
                <w:sz w:val="20"/>
                <w:szCs w:val="20"/>
                <w:lang w:val="sr-Latn-RS"/>
              </w:rPr>
            </w:pPr>
            <w:r w:rsidRPr="00CA78EE">
              <w:rPr>
                <w:sz w:val="20"/>
                <w:szCs w:val="20"/>
                <w:lang w:val="sr-Latn-RS"/>
              </w:rPr>
              <w:t>Partially-Related (PR)</w:t>
            </w:r>
          </w:p>
        </w:tc>
        <w:tc>
          <w:tcPr>
            <w:tcW w:w="5427" w:type="dxa"/>
            <w:tcBorders>
              <w:right w:val="nil"/>
            </w:tcBorders>
            <w:shd w:val="clear" w:color="auto" w:fill="auto"/>
            <w:vAlign w:val="center"/>
          </w:tcPr>
          <w:p w14:paraId="66C53E6D" w14:textId="1BE77026" w:rsidR="00276D8B" w:rsidRPr="00CA78EE" w:rsidRDefault="00276D8B" w:rsidP="008C281A">
            <w:pPr>
              <w:spacing w:before="100" w:beforeAutospacing="1" w:after="100" w:afterAutospacing="1"/>
              <w:rPr>
                <w:sz w:val="20"/>
                <w:szCs w:val="20"/>
                <w:lang w:val="sr-Latn-RS"/>
              </w:rPr>
            </w:pPr>
            <w:r w:rsidRPr="00CA78EE">
              <w:rPr>
                <w:sz w:val="20"/>
                <w:szCs w:val="20"/>
                <w:lang w:val="sr-Latn-RS"/>
              </w:rPr>
              <w:t xml:space="preserve">PR: Research is focused on monitoring </w:t>
            </w:r>
            <w:r w:rsidR="00F51E51">
              <w:rPr>
                <w:sz w:val="20"/>
                <w:szCs w:val="20"/>
                <w:lang w:val="sr-Latn-RS"/>
              </w:rPr>
              <w:t xml:space="preserve">the </w:t>
            </w:r>
            <w:r w:rsidRPr="00CA78EE">
              <w:rPr>
                <w:sz w:val="20"/>
                <w:szCs w:val="20"/>
                <w:lang w:val="sr-Latn-RS"/>
              </w:rPr>
              <w:t xml:space="preserve">energy aspect; however, </w:t>
            </w:r>
            <w:r w:rsidR="00A549FB">
              <w:rPr>
                <w:sz w:val="20"/>
                <w:szCs w:val="20"/>
                <w:lang w:val="sr-Latn-RS"/>
              </w:rPr>
              <w:t xml:space="preserve">it </w:t>
            </w:r>
            <w:r w:rsidRPr="00CA78EE">
              <w:rPr>
                <w:sz w:val="20"/>
                <w:szCs w:val="20"/>
                <w:lang w:val="sr-Latn-RS"/>
              </w:rPr>
              <w:t>only provide</w:t>
            </w:r>
            <w:r w:rsidR="00A549FB">
              <w:rPr>
                <w:sz w:val="20"/>
                <w:szCs w:val="20"/>
                <w:lang w:val="sr-Latn-RS"/>
              </w:rPr>
              <w:t>s</w:t>
            </w:r>
            <w:r w:rsidRPr="00CA78EE">
              <w:rPr>
                <w:sz w:val="20"/>
                <w:szCs w:val="20"/>
                <w:lang w:val="sr-Latn-RS"/>
              </w:rPr>
              <w:t xml:space="preserve"> statistical energy values with a poor relationship between maintenance and energy.</w:t>
            </w:r>
          </w:p>
        </w:tc>
      </w:tr>
      <w:tr w:rsidR="00276D8B" w:rsidRPr="00CA78EE" w14:paraId="4F43B4B8" w14:textId="77777777" w:rsidTr="008C281A">
        <w:trPr>
          <w:trHeight w:val="162"/>
        </w:trPr>
        <w:tc>
          <w:tcPr>
            <w:tcW w:w="1440" w:type="dxa"/>
            <w:tcBorders>
              <w:left w:val="nil"/>
            </w:tcBorders>
            <w:shd w:val="clear" w:color="auto" w:fill="auto"/>
          </w:tcPr>
          <w:p w14:paraId="5D830245" w14:textId="77777777" w:rsidR="00276D8B" w:rsidRPr="00CA78EE" w:rsidRDefault="00276D8B" w:rsidP="008C281A">
            <w:pPr>
              <w:spacing w:before="100" w:beforeAutospacing="1" w:after="100" w:afterAutospacing="1"/>
              <w:rPr>
                <w:iCs/>
                <w:sz w:val="20"/>
                <w:szCs w:val="20"/>
                <w:lang w:val="sr-Latn-RS"/>
              </w:rPr>
            </w:pPr>
            <w:r w:rsidRPr="00CA78EE">
              <w:rPr>
                <w:iCs/>
                <w:sz w:val="20"/>
                <w:szCs w:val="20"/>
                <w:lang w:val="sr-Latn-RS"/>
              </w:rPr>
              <w:t>Eligible</w:t>
            </w:r>
          </w:p>
        </w:tc>
        <w:tc>
          <w:tcPr>
            <w:tcW w:w="2160" w:type="dxa"/>
            <w:shd w:val="clear" w:color="auto" w:fill="auto"/>
          </w:tcPr>
          <w:p w14:paraId="05FAF09B" w14:textId="77777777" w:rsidR="00276D8B" w:rsidRPr="00CA78EE" w:rsidRDefault="00276D8B" w:rsidP="008C281A">
            <w:pPr>
              <w:spacing w:before="100" w:beforeAutospacing="1" w:after="100" w:afterAutospacing="1"/>
              <w:rPr>
                <w:sz w:val="20"/>
                <w:szCs w:val="20"/>
                <w:lang w:val="sr-Latn-RS"/>
              </w:rPr>
            </w:pPr>
            <w:r w:rsidRPr="00CA78EE">
              <w:rPr>
                <w:sz w:val="20"/>
                <w:szCs w:val="20"/>
                <w:lang w:val="sr-Latn-RS"/>
              </w:rPr>
              <w:t>Closely-Related (CR)</w:t>
            </w:r>
          </w:p>
        </w:tc>
        <w:tc>
          <w:tcPr>
            <w:tcW w:w="5427" w:type="dxa"/>
            <w:tcBorders>
              <w:right w:val="nil"/>
            </w:tcBorders>
            <w:shd w:val="clear" w:color="auto" w:fill="auto"/>
            <w:vAlign w:val="center"/>
          </w:tcPr>
          <w:p w14:paraId="06ED0E21" w14:textId="0C7C697C" w:rsidR="00276D8B" w:rsidRPr="00CA78EE" w:rsidRDefault="00276D8B" w:rsidP="008C281A">
            <w:pPr>
              <w:spacing w:before="100" w:beforeAutospacing="1" w:after="100" w:afterAutospacing="1"/>
              <w:rPr>
                <w:sz w:val="20"/>
                <w:szCs w:val="20"/>
                <w:lang w:val="sr-Latn-RS"/>
              </w:rPr>
            </w:pPr>
            <w:r w:rsidRPr="00CA78EE">
              <w:rPr>
                <w:sz w:val="20"/>
                <w:szCs w:val="20"/>
                <w:lang w:val="sr-Latn-RS"/>
              </w:rPr>
              <w:t>CR: Studies corresponding to the RQ provid</w:t>
            </w:r>
            <w:r w:rsidR="00F51E51">
              <w:rPr>
                <w:sz w:val="20"/>
                <w:szCs w:val="20"/>
                <w:lang w:val="sr-Latn-RS"/>
              </w:rPr>
              <w:t>e</w:t>
            </w:r>
            <w:r w:rsidRPr="00CA78EE">
              <w:rPr>
                <w:sz w:val="20"/>
                <w:szCs w:val="20"/>
                <w:lang w:val="sr-Latn-RS"/>
              </w:rPr>
              <w:t xml:space="preserve"> an explicit relationship between maintenance activities/actions and energy consumption.</w:t>
            </w:r>
          </w:p>
        </w:tc>
      </w:tr>
    </w:tbl>
    <w:bookmarkEnd w:id="152"/>
    <w:p w14:paraId="7378E18A" w14:textId="2292A938" w:rsidR="00276D8B" w:rsidRDefault="00276D8B" w:rsidP="00276D8B">
      <w:r>
        <w:t xml:space="preserve">Following the search strategy, </w:t>
      </w:r>
      <w:r w:rsidR="00E1586D">
        <w:t xml:space="preserve">the </w:t>
      </w:r>
      <w:r>
        <w:t>PRISMA protocol (</w:t>
      </w:r>
      <w:r>
        <w:fldChar w:fldCharType="begin"/>
      </w:r>
      <w:r>
        <w:instrText xml:space="preserve"> REF _Ref49750866 \h </w:instrText>
      </w:r>
      <w:r>
        <w:fldChar w:fldCharType="separate"/>
      </w:r>
      <w:r w:rsidR="00587AF0">
        <w:t xml:space="preserve">Figure </w:t>
      </w:r>
      <w:r w:rsidR="00587AF0">
        <w:rPr>
          <w:noProof/>
        </w:rPr>
        <w:t>9</w:t>
      </w:r>
      <w:r>
        <w:fldChar w:fldCharType="end"/>
      </w:r>
      <w:r>
        <w:t>) illustrat</w:t>
      </w:r>
      <w:r w:rsidR="00DF775B">
        <w:t>e</w:t>
      </w:r>
      <w:r>
        <w:t>s systematic reporting and extraction of evidence. For each included paper in the analysis, three types of information are collected and entered</w:t>
      </w:r>
      <w:r w:rsidR="00AD5217">
        <w:t>: article meta-data, study</w:t>
      </w:r>
      <w:r>
        <w:t xml:space="preserve"> application and policy, and content-based evidence. </w:t>
      </w:r>
      <w:r>
        <w:lastRenderedPageBreak/>
        <w:t xml:space="preserve">Information regarding the meta-data of collected articles consists of (1) title of the article, (2) first author, (3) year of publication, (4) institution, (5) category of publication (conference or journal article) and (6) database. Application and policy within a research article consist of evidence regarding (1) industrial sector or application, (2) efforts within </w:t>
      </w:r>
      <w:r w:rsidR="00A549FB">
        <w:t xml:space="preserve">a </w:t>
      </w:r>
      <w:r>
        <w:t xml:space="preserve">particular maintenance policy, </w:t>
      </w:r>
      <w:r w:rsidR="00A549FB">
        <w:t xml:space="preserve">and </w:t>
      </w:r>
      <w:r>
        <w:t xml:space="preserve">(3) maintenance concepts within those policies. Finally, content-based evidence includes (1) research methods or concepts used, (2) sustainability constraints, (3) failure limits or thresholds, </w:t>
      </w:r>
      <w:r w:rsidR="00A549FB">
        <w:t xml:space="preserve">and </w:t>
      </w:r>
      <w:r>
        <w:t>(4) maintenance aspect</w:t>
      </w:r>
      <w:r w:rsidR="00F51E51">
        <w:t>s</w:t>
      </w:r>
      <w:r>
        <w:t xml:space="preserve"> addressed (diagnosis or prognosis), if applicable.</w:t>
      </w:r>
    </w:p>
    <w:p w14:paraId="27167B87" w14:textId="2507ABE1" w:rsidR="003B0AFA" w:rsidRDefault="00CC6586" w:rsidP="00260B95">
      <w:pPr>
        <w:pStyle w:val="Heading3"/>
        <w:rPr>
          <w:lang w:val="en-GB"/>
        </w:rPr>
      </w:pPr>
      <w:bookmarkStart w:id="163" w:name="_Toc62467383"/>
      <w:bookmarkStart w:id="164" w:name="_Toc91575391"/>
      <w:bookmarkStart w:id="165" w:name="_Toc93759871"/>
      <w:bookmarkStart w:id="166" w:name="_Toc93759975"/>
      <w:bookmarkStart w:id="167" w:name="_Toc101274340"/>
      <w:r>
        <w:rPr>
          <w:lang w:val="en-GB"/>
        </w:rPr>
        <w:t xml:space="preserve">Prisma </w:t>
      </w:r>
      <w:r w:rsidR="00697E06">
        <w:rPr>
          <w:lang w:val="en-GB"/>
        </w:rPr>
        <w:t>p</w:t>
      </w:r>
      <w:r>
        <w:rPr>
          <w:lang w:val="en-GB"/>
        </w:rPr>
        <w:t xml:space="preserve">rotocol for </w:t>
      </w:r>
      <w:r w:rsidR="00697E06">
        <w:rPr>
          <w:lang w:val="en-GB"/>
        </w:rPr>
        <w:t>s</w:t>
      </w:r>
      <w:r>
        <w:rPr>
          <w:lang w:val="en-GB"/>
        </w:rPr>
        <w:t xml:space="preserve">urveying the </w:t>
      </w:r>
      <w:r w:rsidR="00697E06">
        <w:rPr>
          <w:lang w:val="en-GB"/>
        </w:rPr>
        <w:t>l</w:t>
      </w:r>
      <w:r>
        <w:rPr>
          <w:lang w:val="en-GB"/>
        </w:rPr>
        <w:t>iterature</w:t>
      </w:r>
      <w:bookmarkEnd w:id="163"/>
      <w:bookmarkEnd w:id="164"/>
      <w:bookmarkEnd w:id="165"/>
      <w:bookmarkEnd w:id="166"/>
      <w:bookmarkEnd w:id="167"/>
    </w:p>
    <w:p w14:paraId="71E06D6E" w14:textId="793AD3FF" w:rsidR="00D70D06" w:rsidRDefault="003B0AFA" w:rsidP="00AD5217">
      <w:r>
        <w:t xml:space="preserve">After finishing the </w:t>
      </w:r>
      <w:r w:rsidR="00DF775B">
        <w:t>state-of-the-projects review in the</w:t>
      </w:r>
      <w:r>
        <w:t xml:space="preserve"> EU, a literature survey is conducted following the PRISMA framework </w:t>
      </w:r>
      <w:r>
        <w:fldChar w:fldCharType="begin" w:fldLock="1"/>
      </w:r>
      <w:r w:rsidR="00416869">
        <w:instrText>ADDIN CSL_CITATION {"citationItems":[{"id":"ITEM-1","itemData":{"DOI":"10.1371/journal.pmed.1000097","ISBN":"2006062298","ISSN":"1549-1676","author":[{"dropping-particle":"","family":"Moher","given":"David","non-dropping-particle":"","parse-names":false,"suffix":""},{"dropping-particle":"","family":"Liberati","given":"Alessandro","non-dropping-particle":"","parse-names":false,"suffix":""},{"dropping-particle":"","family":"Tetzlaff","given":"Jennifer","non-dropping-particle":"","parse-names":false,"suffix":""},{"dropping-particle":"","family":"Altman","given":"Douglas G","non-dropping-particle":"","parse-names":false,"suffix":""}],"container-title":"PLoS Medicine","id":"ITEM-1","issue":"7","issued":{"date-parts":[["2009","7","21"]]},"page":"e1000097","title":"Preferred Reporting Items for Systematic Reviews and Meta-Analyses: The PRISMA Statement","type":"article-journal","volume":"6"},"uris":["http://www.mendeley.com/documents/?uuid=6e7cbe68-31af-4ce8-b3e5-1d656d68aa83"]}],"mendeley":{"formattedCitation":"[58]","plainTextFormattedCitation":"[58]","previouslyFormattedCitation":"[58]"},"properties":{"noteIndex":0},"schema":"https://github.com/citation-style-language/schema/raw/master/csl-citation.json"}</w:instrText>
      </w:r>
      <w:r>
        <w:fldChar w:fldCharType="separate"/>
      </w:r>
      <w:r w:rsidR="00246F3C" w:rsidRPr="00246F3C">
        <w:rPr>
          <w:noProof/>
        </w:rPr>
        <w:t>[58]</w:t>
      </w:r>
      <w:r>
        <w:fldChar w:fldCharType="end"/>
      </w:r>
      <w:r>
        <w:t xml:space="preserve"> guidelines. </w:t>
      </w:r>
      <w:r w:rsidR="00DF775B">
        <w:t>B</w:t>
      </w:r>
      <w:r>
        <w:t>ased on the research question</w:t>
      </w:r>
      <w:r w:rsidR="006C531A">
        <w:t>s</w:t>
      </w:r>
      <w:r>
        <w:t xml:space="preserve"> (RQ</w:t>
      </w:r>
      <w:r w:rsidR="006C531A">
        <w:t>6-7</w:t>
      </w:r>
      <w:r>
        <w:t>), keywords and Boolean operators were modelled to form search strings (</w:t>
      </w:r>
      <w:r>
        <w:fldChar w:fldCharType="begin"/>
      </w:r>
      <w:r>
        <w:instrText xml:space="preserve"> REF _Ref48737483 \h </w:instrText>
      </w:r>
      <w:r>
        <w:fldChar w:fldCharType="separate"/>
      </w:r>
      <w:r w:rsidR="00587AF0">
        <w:t xml:space="preserve">Table </w:t>
      </w:r>
      <w:r w:rsidR="00587AF0">
        <w:rPr>
          <w:noProof/>
        </w:rPr>
        <w:t>5</w:t>
      </w:r>
      <w:r>
        <w:fldChar w:fldCharType="end"/>
      </w:r>
      <w:r>
        <w:t xml:space="preserve">). Encompassing search strings concerning eligibility criteria </w:t>
      </w:r>
      <w:r w:rsidR="00260B95">
        <w:t>(</w:t>
      </w:r>
      <w:r w:rsidR="00260B95">
        <w:fldChar w:fldCharType="begin"/>
      </w:r>
      <w:r w:rsidR="00260B95">
        <w:instrText xml:space="preserve"> REF _Ref65069373 \h </w:instrText>
      </w:r>
      <w:r w:rsidR="00260B95">
        <w:fldChar w:fldCharType="separate"/>
      </w:r>
      <w:r w:rsidR="00587AF0">
        <w:t xml:space="preserve">Table </w:t>
      </w:r>
      <w:r w:rsidR="00587AF0">
        <w:rPr>
          <w:noProof/>
        </w:rPr>
        <w:t>6</w:t>
      </w:r>
      <w:r w:rsidR="00260B95">
        <w:fldChar w:fldCharType="end"/>
      </w:r>
      <w:r w:rsidR="00260B95">
        <w:t>) s</w:t>
      </w:r>
      <w:r>
        <w:t>howed that 19 articles were eligible for review.</w:t>
      </w:r>
      <w:r w:rsidRPr="00964CA8">
        <w:t xml:space="preserve"> </w:t>
      </w:r>
      <w:r>
        <w:t xml:space="preserve">Besides, after </w:t>
      </w:r>
      <w:r w:rsidR="00A549FB">
        <w:t>screening</w:t>
      </w:r>
      <w:r>
        <w:t xml:space="preserve"> references within these papers, seven more papers </w:t>
      </w:r>
      <w:r w:rsidR="00DF775B">
        <w:t>were found to answer</w:t>
      </w:r>
      <w:r>
        <w:t xml:space="preserve"> the proposed RQ. In total, 27 papers were suitable for critical appraisal of evidence.</w:t>
      </w:r>
    </w:p>
    <w:p w14:paraId="7F715E25" w14:textId="637DB26F" w:rsidR="00276D8B" w:rsidRDefault="00D70D06" w:rsidP="00276D8B">
      <w:pPr>
        <w:keepNext/>
        <w:spacing w:before="0" w:after="0"/>
        <w:jc w:val="center"/>
      </w:pPr>
      <w:r>
        <w:rPr>
          <w:noProof/>
        </w:rPr>
        <w:drawing>
          <wp:inline distT="0" distB="0" distL="0" distR="0" wp14:anchorId="68334928" wp14:editId="2D9EA7BD">
            <wp:extent cx="5732145" cy="5834380"/>
            <wp:effectExtent l="0" t="0" r="1905" b="0"/>
            <wp:docPr id="77" name="Picture 7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Diagram&#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5732145" cy="5834380"/>
                    </a:xfrm>
                    <a:prstGeom prst="rect">
                      <a:avLst/>
                    </a:prstGeom>
                  </pic:spPr>
                </pic:pic>
              </a:graphicData>
            </a:graphic>
          </wp:inline>
        </w:drawing>
      </w:r>
    </w:p>
    <w:p w14:paraId="31B407CF" w14:textId="74E6D32E" w:rsidR="00437920" w:rsidRDefault="00276D8B" w:rsidP="007C6F59">
      <w:pPr>
        <w:pStyle w:val="Caption"/>
        <w:spacing w:before="60" w:after="60"/>
        <w:rPr>
          <w:rFonts w:eastAsiaTheme="majorEastAsia" w:cstheme="majorBidi"/>
          <w:b/>
          <w:spacing w:val="-10"/>
          <w:kern w:val="28"/>
          <w:sz w:val="48"/>
          <w:szCs w:val="56"/>
          <w:lang w:val="en-GB"/>
        </w:rPr>
      </w:pPr>
      <w:bookmarkStart w:id="168" w:name="_Ref49750866"/>
      <w:bookmarkStart w:id="169" w:name="_Toc101274531"/>
      <w:r>
        <w:t xml:space="preserve">Figure </w:t>
      </w:r>
      <w:fldSimple w:instr=" SEQ Figure \* ARABIC ">
        <w:r w:rsidR="00587AF0">
          <w:rPr>
            <w:noProof/>
          </w:rPr>
          <w:t>9</w:t>
        </w:r>
      </w:fldSimple>
      <w:bookmarkEnd w:id="168"/>
      <w:r>
        <w:t xml:space="preserve">. PRISMA framework for </w:t>
      </w:r>
      <w:r w:rsidR="00A549FB">
        <w:t>retr</w:t>
      </w:r>
      <w:r w:rsidR="006F2191">
        <w:t>ie</w:t>
      </w:r>
      <w:r w:rsidR="00A549FB">
        <w:t>ving research articles</w:t>
      </w:r>
      <w:bookmarkEnd w:id="169"/>
      <w:r w:rsidR="00437920">
        <w:rPr>
          <w:lang w:val="en-GB"/>
        </w:rPr>
        <w:br w:type="page"/>
      </w:r>
    </w:p>
    <w:p w14:paraId="2C42F47D" w14:textId="6B9441FA" w:rsidR="002A385F" w:rsidRDefault="00EE2C97" w:rsidP="00737DC3">
      <w:pPr>
        <w:pStyle w:val="Title"/>
        <w:rPr>
          <w:lang w:val="en-GB"/>
        </w:rPr>
      </w:pPr>
      <w:bookmarkStart w:id="170" w:name="_Toc101274341"/>
      <w:r>
        <w:rPr>
          <w:lang w:val="en-GB"/>
        </w:rPr>
        <w:lastRenderedPageBreak/>
        <w:t>Chapter II</w:t>
      </w:r>
      <w:bookmarkEnd w:id="170"/>
    </w:p>
    <w:p w14:paraId="598732EF" w14:textId="688EBEEE" w:rsidR="00EE2C97" w:rsidRPr="00437920" w:rsidRDefault="00437920" w:rsidP="00EE2C97">
      <w:pPr>
        <w:jc w:val="right"/>
        <w:rPr>
          <w:i/>
          <w:iCs/>
          <w:lang w:val="en-GB"/>
        </w:rPr>
      </w:pPr>
      <w:r>
        <w:rPr>
          <w:lang w:val="en-GB"/>
        </w:rPr>
        <w:t>“</w:t>
      </w:r>
      <w:r>
        <w:rPr>
          <w:i/>
          <w:iCs/>
          <w:lang w:val="en-GB"/>
        </w:rPr>
        <w:t>Rather than love, than money, than fame…give me truth.”</w:t>
      </w:r>
      <w:r>
        <w:rPr>
          <w:i/>
          <w:iCs/>
          <w:lang w:val="en-GB"/>
        </w:rPr>
        <w:br/>
        <w:t xml:space="preserve">Henry David Thoreau </w:t>
      </w:r>
    </w:p>
    <w:p w14:paraId="4731E2BE" w14:textId="5D7FE49B" w:rsidR="009E316A" w:rsidRDefault="00197268" w:rsidP="004D1884">
      <w:pPr>
        <w:pStyle w:val="Heading1"/>
        <w:rPr>
          <w:lang w:val="en-GB"/>
        </w:rPr>
      </w:pPr>
      <w:bookmarkStart w:id="171" w:name="_Toc62467389"/>
      <w:bookmarkStart w:id="172" w:name="_Toc91575393"/>
      <w:bookmarkStart w:id="173" w:name="_Toc93759873"/>
      <w:bookmarkStart w:id="174" w:name="_Toc93759977"/>
      <w:bookmarkStart w:id="175" w:name="_Toc101274342"/>
      <w:r>
        <w:rPr>
          <w:lang w:val="en-GB"/>
        </w:rPr>
        <w:t>State-of-the-</w:t>
      </w:r>
      <w:r w:rsidR="00697E06">
        <w:rPr>
          <w:lang w:val="en-GB"/>
        </w:rPr>
        <w:t>p</w:t>
      </w:r>
      <w:r>
        <w:rPr>
          <w:lang w:val="en-GB"/>
        </w:rPr>
        <w:t>rojects</w:t>
      </w:r>
      <w:bookmarkEnd w:id="171"/>
      <w:bookmarkEnd w:id="172"/>
      <w:r w:rsidR="0067472D">
        <w:rPr>
          <w:lang w:val="en-GB"/>
        </w:rPr>
        <w:t xml:space="preserve"> </w:t>
      </w:r>
      <w:r w:rsidR="00697E06">
        <w:rPr>
          <w:lang w:val="en-GB"/>
        </w:rPr>
        <w:t>r</w:t>
      </w:r>
      <w:r w:rsidR="00A94CCF">
        <w:rPr>
          <w:lang w:val="en-GB"/>
        </w:rPr>
        <w:t xml:space="preserve">esearch </w:t>
      </w:r>
      <w:r w:rsidR="00697E06">
        <w:rPr>
          <w:lang w:val="en-GB"/>
        </w:rPr>
        <w:t>r</w:t>
      </w:r>
      <w:r w:rsidR="0067472D">
        <w:rPr>
          <w:lang w:val="en-GB"/>
        </w:rPr>
        <w:t>esults</w:t>
      </w:r>
      <w:bookmarkEnd w:id="173"/>
      <w:bookmarkEnd w:id="174"/>
      <w:bookmarkEnd w:id="175"/>
    </w:p>
    <w:p w14:paraId="319A2B71" w14:textId="647695BB" w:rsidR="00C775FA" w:rsidRDefault="00C775FA" w:rsidP="00C775FA">
      <w:r>
        <w:t xml:space="preserve">Like many research projects and </w:t>
      </w:r>
      <w:r w:rsidR="005A3E6D">
        <w:t>scientists</w:t>
      </w:r>
      <w:r>
        <w:t xml:space="preserve"> associated, which presumably are justifiably warranted with funds for the research that, again, presumably resonates with the zeitgeist, the scientific topics under those projects provide a perfect illustration of </w:t>
      </w:r>
      <w:r w:rsidR="004E6103">
        <w:t xml:space="preserve">a </w:t>
      </w:r>
      <w:r>
        <w:t>maintenance manifesto with their impact on resolving global (or at least EU) issues. Research frontiers of different maintenance facets seem to be reaching their steep slope towards horizontal-type studies</w:t>
      </w:r>
      <w:r w:rsidR="008108B8">
        <w:t xml:space="preserve"> –</w:t>
      </w:r>
      <w:r>
        <w:t xml:space="preserve"> </w:t>
      </w:r>
      <w:r w:rsidR="008108B8">
        <w:t>suggesting</w:t>
      </w:r>
      <w:r>
        <w:t xml:space="preserve"> </w:t>
      </w:r>
      <w:r w:rsidR="008108B8">
        <w:t>saturation in</w:t>
      </w:r>
      <w:r>
        <w:t xml:space="preserve"> </w:t>
      </w:r>
      <w:r w:rsidR="00843A58">
        <w:t xml:space="preserve">the </w:t>
      </w:r>
      <w:r w:rsidR="005A3E6D">
        <w:t xml:space="preserve">industrial </w:t>
      </w:r>
      <w:r>
        <w:t>maintenance</w:t>
      </w:r>
      <w:r w:rsidR="008108B8">
        <w:t xml:space="preserve"> </w:t>
      </w:r>
      <w:r>
        <w:t>field. From a scientific perspective, current maintenance scientists provide un-sound reasoning, both in primary and secondary source studies, claiming that maintenance as science has experienced transformation along with Industry 4.0. These arguments, however, only show slight advancements and re-invention of existing concepts while latching onto catchphrases of the I4.0 lingo.</w:t>
      </w:r>
      <w:r w:rsidRPr="00524B4A">
        <w:rPr>
          <w:color w:val="FF0000"/>
        </w:rPr>
        <w:t xml:space="preserve"> </w:t>
      </w:r>
      <w:r>
        <w:t>T</w:t>
      </w:r>
      <w:r w:rsidRPr="00F8744D">
        <w:t xml:space="preserve">o avoid synthetic buzzwords of “maintenance 4.0” and distorted arguments of maintenance advancements </w:t>
      </w:r>
      <w:r w:rsidR="00843A58">
        <w:t>led the author</w:t>
      </w:r>
      <w:r w:rsidRPr="00F8744D">
        <w:t xml:space="preserve"> of the </w:t>
      </w:r>
      <w:r w:rsidR="00843A58">
        <w:t>thesis to use</w:t>
      </w:r>
      <w:r>
        <w:t xml:space="preserve"> CORDIS </w:t>
      </w:r>
      <w:r w:rsidRPr="00F8744D">
        <w:t xml:space="preserve">project’s data as an apparatus to rationalise and provide a clearer understanding of </w:t>
      </w:r>
      <w:r>
        <w:t xml:space="preserve">the </w:t>
      </w:r>
      <w:r w:rsidRPr="00F8744D">
        <w:t>obsolete maintenance indoctrination.</w:t>
      </w:r>
    </w:p>
    <w:p w14:paraId="7C57CFD9" w14:textId="107B5B9D" w:rsidR="0069335D" w:rsidRDefault="0067472D" w:rsidP="00D82107">
      <w:pPr>
        <w:pStyle w:val="Heading2"/>
      </w:pPr>
      <w:bookmarkStart w:id="176" w:name="_Toc93759874"/>
      <w:bookmarkStart w:id="177" w:name="_Toc93759978"/>
      <w:bookmarkStart w:id="178" w:name="_Toc101274343"/>
      <w:r>
        <w:t>Maintenance practices investigated within EU projects</w:t>
      </w:r>
      <w:bookmarkEnd w:id="176"/>
      <w:bookmarkEnd w:id="177"/>
      <w:bookmarkEnd w:id="178"/>
    </w:p>
    <w:p w14:paraId="24427053" w14:textId="2B60D43E" w:rsidR="0069335D" w:rsidRDefault="006F2191" w:rsidP="0069335D">
      <w:r>
        <w:t>The findings are enveloped by synthesising projects’ research maintenance concepts and relevant industrial applications to answer the RQ</w:t>
      </w:r>
      <w:r w:rsidR="00EF29C5">
        <w:t>s</w:t>
      </w:r>
      <w:r>
        <w:t xml:space="preserve"> according to the available meta-data</w:t>
      </w:r>
      <w:r w:rsidR="0069335D">
        <w:t xml:space="preserve">. Because projects </w:t>
      </w:r>
      <w:r w:rsidR="00F51E51">
        <w:t xml:space="preserve">are </w:t>
      </w:r>
      <w:r w:rsidR="0069335D">
        <w:t>dedicate</w:t>
      </w:r>
      <w:r w:rsidR="00DF775B">
        <w:t>d</w:t>
      </w:r>
      <w:r w:rsidR="0069335D">
        <w:t xml:space="preserve"> to the research of different maintenance philosophies and different layers of abstraction (operational, tactical and strategical), the </w:t>
      </w:r>
      <w:r w:rsidR="004E6103">
        <w:t xml:space="preserve">thesis’ </w:t>
      </w:r>
      <w:r w:rsidR="0069335D">
        <w:t xml:space="preserve">author argues that CBM and PdM are not the same, especially in the pre and post-Internet-of-Things (IoT) era </w:t>
      </w:r>
      <w:r w:rsidR="00CF55B4">
        <w:fldChar w:fldCharType="begin" w:fldLock="1"/>
      </w:r>
      <w:r w:rsidR="00416869">
        <w:instrText>ADDIN CSL_CITATION {"citationItems":[{"id":"ITEM-1","itemData":{"URL":"https://www.rfidjournal.com/articles/view?4986","accessed":{"date-parts":[["2019","11","30"]]},"author":[{"dropping-particle":"","family":"Ashton","given":"Kevin","non-dropping-particle":"","parse-names":false,"suffix":""}],"container-title":"RFID Journal","id":"ITEM-1","issued":{"date-parts":[["2009"]]},"page":"1","title":"That 'Internet of Things' Thing","type":"webpage"},"uris":["http://www.mendeley.com/documents/?uuid=f41cfc49-9a2e-4b81-bd02-292f8dc75309"]},{"id":"ITEM-2","itemData":{"author":[{"dropping-particle":"","family":"Goetz","given":"Thomas","non-dropping-particle":"","parse-names":false,"suffix":""}],"container-title":"Wired Magazine","id":"ITEM-2","issued":{"date-parts":[["2011"]]},"title":"Harnessing the Power of Feedback Loops","type":"article-magazine"},"uris":["http://www.mendeley.com/documents/?uuid=9b817a64-9fc5-4386-bc6b-84e8cfcd9adc"]}],"mendeley":{"formattedCitation":"[59], [60]","plainTextFormattedCitation":"[59], [60]","previouslyFormattedCitation":"[59], [60]"},"properties":{"noteIndex":0},"schema":"https://github.com/citation-style-language/schema/raw/master/csl-citation.json"}</w:instrText>
      </w:r>
      <w:r w:rsidR="00CF55B4">
        <w:fldChar w:fldCharType="separate"/>
      </w:r>
      <w:r w:rsidR="00246F3C" w:rsidRPr="00246F3C">
        <w:rPr>
          <w:noProof/>
        </w:rPr>
        <w:t>[59], [60]</w:t>
      </w:r>
      <w:r w:rsidR="00CF55B4">
        <w:fldChar w:fldCharType="end"/>
      </w:r>
      <w:r w:rsidR="00CF55B4">
        <w:t xml:space="preserve">. </w:t>
      </w:r>
      <w:r w:rsidR="0069335D">
        <w:t>Besides traditional corrective (C</w:t>
      </w:r>
      <w:r w:rsidR="004E6103">
        <w:t>r</w:t>
      </w:r>
      <w:r w:rsidR="0069335D">
        <w:t>M) and preventive (PM) maintenance, where PM consists of Time-Based and Condition-Based Maintenance (CBM) that uses maintenance (failure) data, PdM</w:t>
      </w:r>
      <w:r>
        <w:t>,</w:t>
      </w:r>
      <w:r w:rsidR="0069335D">
        <w:t xml:space="preserve"> on the other hand, implies CBM (diagnosis and prognosis) aspects but relies on control (process) data for MDM. Hence, if the research within the project </w:t>
      </w:r>
      <w:r w:rsidR="00DF775B">
        <w:t>emphasises</w:t>
      </w:r>
      <w:r w:rsidR="0069335D">
        <w:t xml:space="preserve"> PdM or CBM approach but relies on failure data, the strategy is </w:t>
      </w:r>
      <w:r w:rsidR="004E6103">
        <w:t>noted</w:t>
      </w:r>
      <w:r w:rsidR="0069335D">
        <w:t xml:space="preserve"> as PM-CBM. However, if the project </w:t>
      </w:r>
      <w:r w:rsidR="00DF775B">
        <w:t>deals with the research on prognosis/diagnosis but relies</w:t>
      </w:r>
      <w:r w:rsidR="0069335D">
        <w:t xml:space="preserve"> on control (process) data, then the strategy is abstracted as PdM-CBM research. </w:t>
      </w:r>
      <w:r w:rsidR="00E818FA">
        <w:t>The d</w:t>
      </w:r>
      <w:r w:rsidR="0069335D">
        <w:t>evelopment of sensor technology, remote monitoring (e-maintenance</w:t>
      </w:r>
      <w:r w:rsidR="00CF55B4">
        <w:fldChar w:fldCharType="begin" w:fldLock="1"/>
      </w:r>
      <w:r w:rsidR="00416869">
        <w:instrText>ADDIN CSL_CITATION {"citationItems":[{"id":"ITEM-1","itemData":{"DOI":"10.1080/09537280802062571","ISSN":"0953-7287","author":[{"dropping-particle":"","family":"Levrat","given":"E.","non-dropping-particle":"","parse-names":false,"suffix":""},{"dropping-particle":"","family":"Iung","given":"B.","non-dropping-particle":"","parse-names":false,"suffix":""},{"dropping-particle":"","family":"Crespo Marquez","given":"A.","non-dropping-particle":"","parse-names":false,"suffix":""}],"container-title":"Production Planning &amp; Control","id":"ITEM-1","issue":"4","issued":{"date-parts":[["2008","6","19"]]},"page":"408-429","title":"E-maintenance: review and conceptual framework","type":"article-journal","volume":"19"},"uris":["http://www.mendeley.com/documents/?uuid=21d52970-45d2-4988-9083-0bc32142fa3b"]}],"mendeley":{"formattedCitation":"[61]","plainTextFormattedCitation":"[61]","previouslyFormattedCitation":"[61]"},"properties":{"noteIndex":0},"schema":"https://github.com/citation-style-language/schema/raw/master/csl-citation.json"}</w:instrText>
      </w:r>
      <w:r w:rsidR="00CF55B4">
        <w:fldChar w:fldCharType="separate"/>
      </w:r>
      <w:r w:rsidR="00246F3C" w:rsidRPr="00246F3C">
        <w:rPr>
          <w:noProof/>
        </w:rPr>
        <w:t>[61]</w:t>
      </w:r>
      <w:r w:rsidR="00CF55B4">
        <w:fldChar w:fldCharType="end"/>
      </w:r>
      <w:r w:rsidR="0069335D">
        <w:t>), and typologies suggested by Veldman et al</w:t>
      </w:r>
      <w:r w:rsidR="00CF55B4">
        <w:t xml:space="preserve">. </w:t>
      </w:r>
      <w:r w:rsidR="00CF55B4">
        <w:fldChar w:fldCharType="begin" w:fldLock="1"/>
      </w:r>
      <w:r w:rsidR="00416869">
        <w:instrText>ADDIN CSL_CITATION {"citationItems":[{"id":"ITEM-1","itemData":{"DOI":"10.1108/13552511111134600","ISBN":"1355251111111","ISSN":"1355-2511","abstract":"Purpose: The purpose of this paper is the development of an empirically based typology of condition based maintenance (CBM) approaches, including the relevant characteristics and requirements. Design/methodology/approach: An exploratory case study was conducted in a major gas production facility. The CBM typology that resulted from this case study was subsequently tested against a large set of CBM literature. Findings: In the literature, CBM is usually presented as a single theory or practice. The paper finds that CBM in fact includes several different approaches and that each of the approaches is only suitable in situations where the specific characteristics of the approach match the situational characteristics. Aided by these findings, a new typology for CBM was developed. The typology is based on the method for obtaining the expected value, or trend (through statistical vs analytical modeling) and the type of data used (process vs failure data). A subsequent literature survey reveals that the proposed typology is applicable for the categorization of a large number of CBM cases found in the literature. Practical implications: One of the most important requirements in selecting and using a CBM approach is the availability and integration of various types of knowledge, in particular process engineering and maintenance engineering knowledge. Practitioners can use these insights to assess current CBM cases, and identify the key characteristics of current and future use of various CBM types. Originality/value: This paper presents a novel and empirically based framework for the classification of the different CBM types. Such frameworks were lacking in the current literature. The paper adds to maintenance engineering literature by identifying the key dimensions of the various types along with their key requirements. © Emerald Group Publishing Limited 1355-2511.","author":[{"dropping-particle":"","family":"Veldman","given":"Jasper","non-dropping-particle":"","parse-names":false,"suffix":""},{"dropping-particle":"","family":"Wortmann","given":"Hans","non-dropping-particle":"","parse-names":false,"suffix":""},{"dropping-particle":"","family":"Klingenberg","given":"Warse","non-dropping-particle":"","parse-names":false,"suffix":""}],"container-title":"Journal of Quality in Maintenance Engineering","id":"ITEM-1","issue":"2","issued":{"date-parts":[["2011","5","31"]]},"note":"- One of the most widely used analytical tool in CBMl;\n- In theory building research it is common to verify case study outcomes with conflicting and similar literature to increase internal validity and generalizability (Eisenhardt, 1989).\n\n- PHM was compared with an extension of PCA in a paper by Makis et al. (2006) in the analysis of oil data. They found that PHM outperforms PCA considerably when it comes to failure reduction and the prediction of replacement dates.\n\n- Recognizing that this is not always the case, Sun et al. (2006) provided an alternative model (called the Proportional Covariate Model).","page":"183-202","title":"Typology of condition based maintenance","type":"article-journal","volume":"17"},"uris":["http://www.mendeley.com/documents/?uuid=55307b79-9391-4e83-abc2-40540c142ca7"]}],"mendeley":{"formattedCitation":"[62]","plainTextFormattedCitation":"[62]","previouslyFormattedCitation":"[62]"},"properties":{"noteIndex":0},"schema":"https://github.com/citation-style-language/schema/raw/master/csl-citation.json"}</w:instrText>
      </w:r>
      <w:r w:rsidR="00CF55B4">
        <w:fldChar w:fldCharType="separate"/>
      </w:r>
      <w:r w:rsidR="00246F3C" w:rsidRPr="00246F3C">
        <w:rPr>
          <w:noProof/>
        </w:rPr>
        <w:t>[62]</w:t>
      </w:r>
      <w:r w:rsidR="00CF55B4">
        <w:fldChar w:fldCharType="end"/>
      </w:r>
      <w:r w:rsidR="0069335D">
        <w:t xml:space="preserve">, inspired </w:t>
      </w:r>
      <w:r w:rsidR="004E6103">
        <w:t xml:space="preserve">the author of the thesis to propose </w:t>
      </w:r>
      <w:r w:rsidR="003030FF">
        <w:t>this</w:t>
      </w:r>
      <w:r w:rsidR="0069335D">
        <w:t xml:space="preserve"> maintenance juxtaposition. Likewise, the “semantics” of maintenance approaches are important since </w:t>
      </w:r>
      <w:r w:rsidR="00DF775B">
        <w:t>various</w:t>
      </w:r>
      <w:r w:rsidR="0069335D">
        <w:t xml:space="preserve"> concepts are utilised and researched within the projects. For instance, Structural Health Monitoring (SHM), Prognostics and Health Management (PHM), e-Maintenance, and other approaches, depending on the decision-making level under which they are researched</w:t>
      </w:r>
      <w:r w:rsidR="00E818FA">
        <w:t>,</w:t>
      </w:r>
      <w:r w:rsidR="0069335D">
        <w:t xml:space="preserve"> are included in the study. After evaluati</w:t>
      </w:r>
      <w:r w:rsidR="00DF775B">
        <w:t>ng and categorising</w:t>
      </w:r>
      <w:r w:rsidR="0069335D">
        <w:t xml:space="preserve"> maintenance concepts across industrial domains, </w:t>
      </w:r>
      <w:r w:rsidR="00FB321C">
        <w:t>the analysis shows the following.</w:t>
      </w:r>
    </w:p>
    <w:p w14:paraId="17FC708F" w14:textId="5556F32C" w:rsidR="0069335D" w:rsidRDefault="00C85CAC" w:rsidP="0069335D">
      <w:r>
        <w:fldChar w:fldCharType="begin"/>
      </w:r>
      <w:r>
        <w:instrText xml:space="preserve"> REF _Ref61614679 \h </w:instrText>
      </w:r>
      <w:r>
        <w:fldChar w:fldCharType="separate"/>
      </w:r>
      <w:r w:rsidR="00587AF0">
        <w:t xml:space="preserve">Figure </w:t>
      </w:r>
      <w:r w:rsidR="00587AF0">
        <w:rPr>
          <w:noProof/>
        </w:rPr>
        <w:t>10</w:t>
      </w:r>
      <w:r>
        <w:fldChar w:fldCharType="end"/>
      </w:r>
      <w:r>
        <w:t xml:space="preserve"> </w:t>
      </w:r>
      <w:r w:rsidR="0069335D">
        <w:t xml:space="preserve">shows that projects are dedicated most commonly to SHM and PdM-CBM research philosophy, especially in </w:t>
      </w:r>
      <w:r w:rsidR="00E818FA">
        <w:t xml:space="preserve">the </w:t>
      </w:r>
      <w:r w:rsidR="0069335D">
        <w:t xml:space="preserve">aerospace, infrastructure, railways, petroleum and manufacturing sector. Although </w:t>
      </w:r>
      <w:r w:rsidR="00DF775B">
        <w:t xml:space="preserve">SHM </w:t>
      </w:r>
      <w:r w:rsidR="006F2191">
        <w:t>has been</w:t>
      </w:r>
      <w:r w:rsidR="00DF775B">
        <w:t xml:space="preserve"> mostly utilised in the infrastructure and aerospace domain for structural damage detection in recent years, PdM-CBM concepts are mostly applied in energy-transfer utilities, railways,</w:t>
      </w:r>
      <w:r w:rsidR="0069335D">
        <w:t xml:space="preserve"> and most notably in the manufacturing sector, relying on vibration acoustic data, mainly for prognostic purposes. </w:t>
      </w:r>
      <w:r w:rsidR="00E818FA">
        <w:t xml:space="preserve">Prognostics and Health Management (PHM) </w:t>
      </w:r>
      <w:r w:rsidR="00E818FA">
        <w:lastRenderedPageBreak/>
        <w:t>research</w:t>
      </w:r>
      <w:r w:rsidR="0069335D">
        <w:t xml:space="preserve"> is mostly applied in energy transfer utilities such as wind turbines, </w:t>
      </w:r>
      <w:r w:rsidR="00DF775B">
        <w:t>supporting</w:t>
      </w:r>
      <w:r w:rsidR="0069335D">
        <w:t xml:space="preserve"> the rise of literature papers on this topic. </w:t>
      </w:r>
      <w:r w:rsidR="003030FF">
        <w:t>T</w:t>
      </w:r>
      <w:r w:rsidR="0069335D">
        <w:t xml:space="preserve">he rise of projects regarding PdM-CBM in energy transfer dealing with signal processing in real-time overlaps with </w:t>
      </w:r>
      <w:r w:rsidR="00E818FA">
        <w:t xml:space="preserve">the </w:t>
      </w:r>
      <w:r w:rsidR="0069335D">
        <w:t xml:space="preserve">PHM concept, however, depending on the level of decision-making – strategic, tactical or operational level. Even though the evidence provides </w:t>
      </w:r>
      <w:r w:rsidR="00DF775B">
        <w:t>various</w:t>
      </w:r>
      <w:r w:rsidR="0069335D">
        <w:t xml:space="preserve"> maintenance approaches across different industrial sectors, </w:t>
      </w:r>
      <w:r w:rsidR="00E818FA">
        <w:t xml:space="preserve">none of the projects was explicitly dedicated to energy-oriented maintenance </w:t>
      </w:r>
      <w:r w:rsidR="008C7CC1">
        <w:t xml:space="preserve">practice </w:t>
      </w:r>
      <w:r w:rsidR="00E818FA">
        <w:t>after evaluation</w:t>
      </w:r>
      <w:r w:rsidR="0069335D">
        <w:t>.</w:t>
      </w:r>
    </w:p>
    <w:p w14:paraId="1C3A215D" w14:textId="77777777" w:rsidR="00CF55B4" w:rsidRDefault="00CF55B4" w:rsidP="00CF55B4">
      <w:pPr>
        <w:keepNext/>
      </w:pPr>
      <w:r>
        <w:rPr>
          <w:noProof/>
        </w:rPr>
        <w:drawing>
          <wp:inline distT="0" distB="0" distL="0" distR="0" wp14:anchorId="4A05E979" wp14:editId="3A95B75B">
            <wp:extent cx="5697827" cy="6671462"/>
            <wp:effectExtent l="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97827" cy="6671462"/>
                    </a:xfrm>
                    <a:prstGeom prst="rect">
                      <a:avLst/>
                    </a:prstGeom>
                    <a:noFill/>
                  </pic:spPr>
                </pic:pic>
              </a:graphicData>
            </a:graphic>
          </wp:inline>
        </w:drawing>
      </w:r>
    </w:p>
    <w:p w14:paraId="7474523F" w14:textId="49D8C558" w:rsidR="00CF55B4" w:rsidRDefault="00CF55B4" w:rsidP="003C65CC">
      <w:pPr>
        <w:pStyle w:val="Caption"/>
      </w:pPr>
      <w:bookmarkStart w:id="179" w:name="_Ref61614679"/>
      <w:bookmarkStart w:id="180" w:name="_Toc101274532"/>
      <w:r>
        <w:t xml:space="preserve">Figure </w:t>
      </w:r>
      <w:fldSimple w:instr=" SEQ Figure \* ARABIC ">
        <w:r w:rsidR="00587AF0">
          <w:rPr>
            <w:noProof/>
          </w:rPr>
          <w:t>10</w:t>
        </w:r>
      </w:fldSimple>
      <w:bookmarkEnd w:id="179"/>
      <w:r>
        <w:t>. Maintenance approaches across industries by year</w:t>
      </w:r>
      <w:bookmarkEnd w:id="180"/>
    </w:p>
    <w:p w14:paraId="7018E7E4" w14:textId="285B0FA2" w:rsidR="00165DE9" w:rsidRPr="00165DE9" w:rsidRDefault="00165DE9" w:rsidP="00165DE9">
      <w:r w:rsidRPr="00165DE9">
        <w:t>Regarding the project report data</w:t>
      </w:r>
      <w:r w:rsidR="00D053B8">
        <w:t>,</w:t>
      </w:r>
      <w:r w:rsidRPr="00165DE9">
        <w:t xml:space="preserve"> we depict </w:t>
      </w:r>
      <w:r w:rsidR="00D053B8">
        <w:t xml:space="preserve">the </w:t>
      </w:r>
      <w:r w:rsidRPr="00165DE9">
        <w:t xml:space="preserve">following statistics via charts. </w:t>
      </w:r>
      <w:r w:rsidR="00C85CAC">
        <w:fldChar w:fldCharType="begin"/>
      </w:r>
      <w:r w:rsidR="00C85CAC">
        <w:instrText xml:space="preserve"> REF _Ref26532737 \h </w:instrText>
      </w:r>
      <w:r w:rsidR="00C85CAC">
        <w:fldChar w:fldCharType="separate"/>
      </w:r>
      <w:r w:rsidR="00587AF0">
        <w:t xml:space="preserve">Figure </w:t>
      </w:r>
      <w:r w:rsidR="00587AF0">
        <w:rPr>
          <w:noProof/>
        </w:rPr>
        <w:t>11</w:t>
      </w:r>
      <w:r w:rsidR="00C85CAC">
        <w:fldChar w:fldCharType="end"/>
      </w:r>
      <w:r w:rsidR="00C85CAC">
        <w:t xml:space="preserve">a </w:t>
      </w:r>
      <w:r w:rsidRPr="00165DE9">
        <w:t>show</w:t>
      </w:r>
      <w:r w:rsidR="003D79DC">
        <w:t>s</w:t>
      </w:r>
      <w:r w:rsidRPr="00165DE9">
        <w:t xml:space="preserve"> peaks of projects funds realised and 548 million Euros spent on the R&amp;I industrial maintenance projects (347 million Euros co-funded by the European Commission). </w:t>
      </w:r>
      <w:r w:rsidR="00D053B8">
        <w:t>Besides</w:t>
      </w:r>
      <w:r w:rsidRPr="00165DE9">
        <w:t>, projects realised by 2010 had significantly higher investments; however, projects realised after 2010 ha</w:t>
      </w:r>
      <w:r w:rsidR="008C7CC1">
        <w:t xml:space="preserve">d lower initial </w:t>
      </w:r>
      <w:r w:rsidR="008C7CC1">
        <w:lastRenderedPageBreak/>
        <w:t>investments and lower co-funds but</w:t>
      </w:r>
      <w:r w:rsidRPr="00165DE9">
        <w:t xml:space="preserve"> had a higher research impact. Moreover, another worrying statistic is that in comparison with the total budget of 161,5 billion Euros from FP5 to FP8 (H2020)</w:t>
      </w:r>
      <w:r w:rsidR="00C85CAC">
        <w:t xml:space="preserve"> </w:t>
      </w:r>
      <w:r w:rsidR="00C85CAC">
        <w:fldChar w:fldCharType="begin" w:fldLock="1"/>
      </w:r>
      <w:r w:rsidR="00416869">
        <w:instrText>ADDIN CSL_CITATION {"citationItems":[{"id":"ITEM-1","itemData":{"URL":"https://ec.europa.eu/research/fp7/index_en.cfm?pg=budget","accessed":{"date-parts":[["2019","12","4"]]},"author":[{"dropping-particle":"","family":"European Commission","given":"","non-dropping-particle":"","parse-names":false,"suffix":""}],"id":"ITEM-1","issued":{"date-parts":[["2015"]]},"title":"30 years of EU investment in Research and Innovation!","type":"webpage"},"uris":["http://www.mendeley.com/documents/?uuid=d27d678e-0f6d-4529-a1d1-667fd04b587e"]},{"id":"ITEM-2","itemData":{"URL":"http://ec.europa.eu/programmes/horizon2020/en/news/research-and-innovation-funding-making-real-difference","accessed":{"date-parts":[["2019","12","4"]]},"author":[{"dropping-particle":"","family":"European Commission","given":"","non-dropping-particle":"","parse-names":false,"suffix":""}],"id":"ITEM-2","issued":{"date-parts":[["2016"]]},"publisher":"European Union","title":"Research and Innovation Funding: making a real difference","type":"webpage"},"uris":["http://www.mendeley.com/documents/?uuid=de93f6fc-d04d-4927-9cd3-4e086ad0b5d7"]}],"mendeley":{"formattedCitation":"[63], [64]","plainTextFormattedCitation":"[63], [64]","previouslyFormattedCitation":"[63], [64]"},"properties":{"noteIndex":0},"schema":"https://github.com/citation-style-language/schema/raw/master/csl-citation.json"}</w:instrText>
      </w:r>
      <w:r w:rsidR="00C85CAC">
        <w:fldChar w:fldCharType="separate"/>
      </w:r>
      <w:r w:rsidR="00246F3C" w:rsidRPr="00246F3C">
        <w:rPr>
          <w:noProof/>
        </w:rPr>
        <w:t>[63], [64]</w:t>
      </w:r>
      <w:r w:rsidR="00C85CAC">
        <w:fldChar w:fldCharType="end"/>
      </w:r>
      <w:r w:rsidRPr="00165DE9">
        <w:t>, industrial maintenance received no more than 0,2118% of the total R&amp;I budget.</w:t>
      </w:r>
    </w:p>
    <w:tbl>
      <w:tblPr>
        <w:tblW w:w="5000" w:type="pct"/>
        <w:tblLook w:val="04A0" w:firstRow="1" w:lastRow="0" w:firstColumn="1" w:lastColumn="0" w:noHBand="0" w:noVBand="1"/>
      </w:tblPr>
      <w:tblGrid>
        <w:gridCol w:w="4626"/>
        <w:gridCol w:w="4401"/>
      </w:tblGrid>
      <w:tr w:rsidR="004C68C6" w14:paraId="63E154B8" w14:textId="77777777" w:rsidTr="00882BB2">
        <w:tc>
          <w:tcPr>
            <w:tcW w:w="4566" w:type="dxa"/>
          </w:tcPr>
          <w:p w14:paraId="0246893E" w14:textId="4B0B3636" w:rsidR="00165DE9" w:rsidRDefault="004C68C6" w:rsidP="00165DE9">
            <w:pPr>
              <w:keepNext/>
              <w:spacing w:before="60" w:after="60"/>
              <w:jc w:val="center"/>
            </w:pPr>
            <w:r>
              <w:rPr>
                <w:noProof/>
              </w:rPr>
              <w:drawing>
                <wp:inline distT="0" distB="0" distL="0" distR="0" wp14:anchorId="3ADDB696" wp14:editId="1CA7F2A8">
                  <wp:extent cx="2791257" cy="1789006"/>
                  <wp:effectExtent l="0" t="0" r="9525" b="190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10118" cy="1801095"/>
                          </a:xfrm>
                          <a:prstGeom prst="rect">
                            <a:avLst/>
                          </a:prstGeom>
                          <a:noFill/>
                        </pic:spPr>
                      </pic:pic>
                    </a:graphicData>
                  </a:graphic>
                </wp:inline>
              </w:drawing>
            </w:r>
          </w:p>
          <w:p w14:paraId="670BC3AC" w14:textId="77777777" w:rsidR="00165DE9" w:rsidRDefault="00165DE9" w:rsidP="00165DE9">
            <w:pPr>
              <w:keepNext/>
              <w:spacing w:before="60" w:after="60"/>
              <w:jc w:val="center"/>
            </w:pPr>
            <w:r>
              <w:t>(a)</w:t>
            </w:r>
          </w:p>
        </w:tc>
        <w:tc>
          <w:tcPr>
            <w:tcW w:w="4461" w:type="dxa"/>
            <w:vAlign w:val="center"/>
          </w:tcPr>
          <w:p w14:paraId="495E8783" w14:textId="17AFB6DA" w:rsidR="00165DE9" w:rsidRDefault="004C68C6" w:rsidP="00165DE9">
            <w:pPr>
              <w:keepNext/>
              <w:spacing w:before="60" w:after="60"/>
              <w:jc w:val="center"/>
            </w:pPr>
            <w:r>
              <w:rPr>
                <w:noProof/>
              </w:rPr>
              <w:drawing>
                <wp:inline distT="0" distB="0" distL="0" distR="0" wp14:anchorId="7E6BD5F5" wp14:editId="7214CD47">
                  <wp:extent cx="2401392" cy="1767456"/>
                  <wp:effectExtent l="0" t="0" r="0" b="444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20495" cy="1781516"/>
                          </a:xfrm>
                          <a:prstGeom prst="rect">
                            <a:avLst/>
                          </a:prstGeom>
                          <a:noFill/>
                        </pic:spPr>
                      </pic:pic>
                    </a:graphicData>
                  </a:graphic>
                </wp:inline>
              </w:drawing>
            </w:r>
          </w:p>
          <w:p w14:paraId="4A8177E4" w14:textId="77777777" w:rsidR="00165DE9" w:rsidRDefault="00165DE9" w:rsidP="00165DE9">
            <w:pPr>
              <w:keepNext/>
              <w:spacing w:before="60" w:after="60"/>
              <w:jc w:val="center"/>
            </w:pPr>
            <w:r>
              <w:t>(b)</w:t>
            </w:r>
          </w:p>
        </w:tc>
      </w:tr>
    </w:tbl>
    <w:p w14:paraId="567C1074" w14:textId="12E9239D" w:rsidR="00165DE9" w:rsidRDefault="00165DE9" w:rsidP="00A5375A">
      <w:pPr>
        <w:jc w:val="center"/>
      </w:pPr>
      <w:bookmarkStart w:id="181" w:name="_Ref26532737"/>
      <w:bookmarkStart w:id="182" w:name="_Toc101274533"/>
      <w:r>
        <w:t xml:space="preserve">Figure </w:t>
      </w:r>
      <w:fldSimple w:instr=" SEQ Figure \* ARABIC ">
        <w:r w:rsidR="00587AF0">
          <w:rPr>
            <w:noProof/>
          </w:rPr>
          <w:t>11</w:t>
        </w:r>
      </w:fldSimple>
      <w:bookmarkEnd w:id="181"/>
      <w:r>
        <w:t>. Analysis of projects’ research fundings by year (a) and funds by industry (b)</w:t>
      </w:r>
      <w:bookmarkEnd w:id="182"/>
    </w:p>
    <w:p w14:paraId="34EDD635" w14:textId="67C8C340" w:rsidR="00A33148" w:rsidRPr="00A0336A" w:rsidRDefault="00A33148" w:rsidP="00A33148">
      <w:r w:rsidRPr="00165DE9">
        <w:t>The most significant funds for the research were spent on research within the aerospace, energy transfer (</w:t>
      </w:r>
      <w:r w:rsidR="00CB1267">
        <w:t>mostly</w:t>
      </w:r>
      <w:r w:rsidRPr="00165DE9">
        <w:t xml:space="preserve"> wind </w:t>
      </w:r>
      <w:r w:rsidR="00CB1267">
        <w:t>turbines’ research</w:t>
      </w:r>
      <w:r w:rsidRPr="00165DE9">
        <w:t xml:space="preserve">), railways and manufacturing industry, as shown </w:t>
      </w:r>
      <w:r>
        <w:t xml:space="preserve">in </w:t>
      </w:r>
      <w:r>
        <w:fldChar w:fldCharType="begin"/>
      </w:r>
      <w:r>
        <w:instrText xml:space="preserve"> REF _Ref26532737 \h </w:instrText>
      </w:r>
      <w:r>
        <w:fldChar w:fldCharType="separate"/>
      </w:r>
      <w:r w:rsidR="00587AF0">
        <w:t xml:space="preserve">Figure </w:t>
      </w:r>
      <w:r w:rsidR="00587AF0">
        <w:rPr>
          <w:noProof/>
        </w:rPr>
        <w:t>11</w:t>
      </w:r>
      <w:r>
        <w:fldChar w:fldCharType="end"/>
      </w:r>
      <w:r>
        <w:t>b</w:t>
      </w:r>
      <w:r w:rsidRPr="00165DE9">
        <w:t>. Regarding the total budget spent on the research, the three most funded projects (more than 30M €) were in aerospace (2 projects) and energy transfer (1 project) applications.</w:t>
      </w:r>
    </w:p>
    <w:p w14:paraId="031EDBD8" w14:textId="1E2D3292" w:rsidR="00E81BD4" w:rsidRDefault="00A5375A" w:rsidP="00A5375A">
      <w:pPr>
        <w:pStyle w:val="Heading2"/>
      </w:pPr>
      <w:bookmarkStart w:id="183" w:name="_Toc62467391"/>
      <w:bookmarkStart w:id="184" w:name="_Toc91575395"/>
      <w:bookmarkStart w:id="185" w:name="_Toc93759875"/>
      <w:bookmarkStart w:id="186" w:name="_Toc93759979"/>
      <w:bookmarkStart w:id="187" w:name="_Toc101274344"/>
      <w:r>
        <w:t>Scientific contribution and impact of EU maintenance projects</w:t>
      </w:r>
      <w:bookmarkEnd w:id="183"/>
      <w:bookmarkEnd w:id="184"/>
      <w:bookmarkEnd w:id="185"/>
      <w:bookmarkEnd w:id="186"/>
      <w:bookmarkEnd w:id="187"/>
    </w:p>
    <w:p w14:paraId="1F5F9E29" w14:textId="0933E98E" w:rsidR="00A5375A" w:rsidRDefault="00A33148" w:rsidP="00A5375A">
      <w:r>
        <w:t>P</w:t>
      </w:r>
      <w:r w:rsidR="00A5375A" w:rsidRPr="00A5375A">
        <w:t>roject report data concerning the elements of scientific deliverables and funds invested in the research</w:t>
      </w:r>
      <w:r>
        <w:t xml:space="preserve"> were collected and filtered</w:t>
      </w:r>
      <w:r w:rsidR="00A5375A" w:rsidRPr="00A5375A">
        <w:t>. The elements are quantitatively expressed to investigate the actual impact of the research projects’ outcomes and funds invested in the research to make a more straightforward approach in delineating the projects with actual scientific deliverables and projects that are more bias</w:t>
      </w:r>
      <w:r w:rsidR="00F51E51">
        <w:t>ed</w:t>
      </w:r>
      <w:r w:rsidR="00A5375A" w:rsidRPr="00A5375A">
        <w:t xml:space="preserve"> towards the educational aspect and structural repair, thus lacking original scientific contributions.</w:t>
      </w:r>
    </w:p>
    <w:p w14:paraId="2E8005EF" w14:textId="286EA83C" w:rsidR="00A5375A" w:rsidRDefault="00A5375A" w:rsidP="00A5375A">
      <w:pPr>
        <w:pStyle w:val="Heading3"/>
      </w:pPr>
      <w:bookmarkStart w:id="188" w:name="_Toc62467392"/>
      <w:bookmarkStart w:id="189" w:name="_Toc91575396"/>
      <w:bookmarkStart w:id="190" w:name="_Toc93759876"/>
      <w:bookmarkStart w:id="191" w:name="_Toc93759980"/>
      <w:bookmarkStart w:id="192" w:name="_Toc101274345"/>
      <w:r>
        <w:t>Projects research results and dissemination activ</w:t>
      </w:r>
      <w:r w:rsidR="00C23638">
        <w:t>it</w:t>
      </w:r>
      <w:r>
        <w:t>ies</w:t>
      </w:r>
      <w:bookmarkEnd w:id="188"/>
      <w:bookmarkEnd w:id="189"/>
      <w:bookmarkEnd w:id="190"/>
      <w:bookmarkEnd w:id="191"/>
      <w:bookmarkEnd w:id="192"/>
    </w:p>
    <w:p w14:paraId="5041C9DC" w14:textId="2BDBDE18" w:rsidR="00A5375A" w:rsidRDefault="00A5375A" w:rsidP="00A5375A">
      <w:r w:rsidRPr="00A5375A">
        <w:t>As proposed by the question, the collected data considering scientific deliverables and dissemination activities</w:t>
      </w:r>
      <w:r w:rsidR="00A33148">
        <w:t xml:space="preserve"> are filtered and processed</w:t>
      </w:r>
      <w:r w:rsidRPr="00A5375A">
        <w:t>. The included deliverables and dissemination activities were extracted using CORDIS, OpenAIRE, and Google scholar</w:t>
      </w:r>
      <w:r w:rsidR="00A33148">
        <w:t>,</w:t>
      </w:r>
      <w:r w:rsidRPr="00A5375A">
        <w:t xml:space="preserve"> illustrated in </w:t>
      </w:r>
      <w:r w:rsidR="00C64100">
        <w:fldChar w:fldCharType="begin"/>
      </w:r>
      <w:r w:rsidR="00C64100">
        <w:instrText xml:space="preserve"> REF _Ref26870285 \h </w:instrText>
      </w:r>
      <w:r w:rsidR="00C64100">
        <w:fldChar w:fldCharType="separate"/>
      </w:r>
      <w:r w:rsidR="00587AF0">
        <w:t xml:space="preserve">Figure </w:t>
      </w:r>
      <w:r w:rsidR="00587AF0">
        <w:rPr>
          <w:noProof/>
        </w:rPr>
        <w:t>12</w:t>
      </w:r>
      <w:r w:rsidR="00C64100">
        <w:fldChar w:fldCharType="end"/>
      </w:r>
      <w:r w:rsidRPr="00A5375A">
        <w:t xml:space="preserve">a. Data show that projects’ results consist of conferences (458), journal peer-review articles (438), technical reports (304), patents (79), doctoral thesis (66), book chapters (17), books (12), and other deliverables (185). Additionally, </w:t>
      </w:r>
      <w:r w:rsidR="00D3415F">
        <w:t>no research outcomes were found for 21 projects after searching all the repositorie</w:t>
      </w:r>
      <w:r w:rsidRPr="00A5375A">
        <w:t xml:space="preserve">s. </w:t>
      </w:r>
      <w:r w:rsidR="00C64100">
        <w:fldChar w:fldCharType="begin"/>
      </w:r>
      <w:r w:rsidR="00C64100">
        <w:instrText xml:space="preserve"> REF _Ref26870285 \h </w:instrText>
      </w:r>
      <w:r w:rsidR="00C64100">
        <w:fldChar w:fldCharType="separate"/>
      </w:r>
      <w:r w:rsidR="00587AF0">
        <w:t xml:space="preserve">Figure </w:t>
      </w:r>
      <w:r w:rsidR="00587AF0">
        <w:rPr>
          <w:noProof/>
        </w:rPr>
        <w:t>12</w:t>
      </w:r>
      <w:r w:rsidR="00C64100">
        <w:fldChar w:fldCharType="end"/>
      </w:r>
      <w:r w:rsidRPr="00A5375A">
        <w:t xml:space="preserve">a also shows that most research results are in conference proceedings and peer-review articles, </w:t>
      </w:r>
      <w:r w:rsidR="00E818FA">
        <w:t>lacking</w:t>
      </w:r>
      <w:r w:rsidRPr="00A5375A">
        <w:t xml:space="preserve"> original contributions such as doctoral thesis and patents. </w:t>
      </w:r>
      <w:r w:rsidR="00C64100">
        <w:fldChar w:fldCharType="begin"/>
      </w:r>
      <w:r w:rsidR="00C64100">
        <w:instrText xml:space="preserve"> REF _Ref26870285 \h </w:instrText>
      </w:r>
      <w:r w:rsidR="00C64100">
        <w:fldChar w:fldCharType="separate"/>
      </w:r>
      <w:r w:rsidR="00587AF0">
        <w:t xml:space="preserve">Figure </w:t>
      </w:r>
      <w:r w:rsidR="00587AF0">
        <w:rPr>
          <w:noProof/>
        </w:rPr>
        <w:t>12</w:t>
      </w:r>
      <w:r w:rsidR="00C64100">
        <w:fldChar w:fldCharType="end"/>
      </w:r>
      <w:r w:rsidRPr="00A5375A">
        <w:t>b shows that most research projects are mainly conducted in aerospace and manufacturing sector</w:t>
      </w:r>
      <w:r w:rsidR="00DF775B">
        <w:t>s, whereby aerospace doubles the research funds</w:t>
      </w:r>
      <w:r w:rsidRPr="00A5375A">
        <w:t xml:space="preserve"> (</w:t>
      </w:r>
      <w:r w:rsidR="000A2D19">
        <w:fldChar w:fldCharType="begin"/>
      </w:r>
      <w:r w:rsidR="000A2D19">
        <w:instrText xml:space="preserve"> REF _Ref26532737 \h </w:instrText>
      </w:r>
      <w:r w:rsidR="000A2D19">
        <w:fldChar w:fldCharType="separate"/>
      </w:r>
      <w:r w:rsidR="00587AF0">
        <w:t xml:space="preserve">Figure </w:t>
      </w:r>
      <w:r w:rsidR="00587AF0">
        <w:rPr>
          <w:noProof/>
        </w:rPr>
        <w:t>11</w:t>
      </w:r>
      <w:r w:rsidR="000A2D19">
        <w:fldChar w:fldCharType="end"/>
      </w:r>
      <w:r w:rsidRPr="00A5375A">
        <w:t xml:space="preserve">b). Reflecting </w:t>
      </w:r>
      <w:r w:rsidR="00DF775B">
        <w:t xml:space="preserve">on </w:t>
      </w:r>
      <w:r w:rsidRPr="00A5375A">
        <w:t>the evidence collected, most of the projects dedicated to producing patent</w:t>
      </w:r>
      <w:r w:rsidR="00F51E51">
        <w:t>s</w:t>
      </w:r>
      <w:r w:rsidRPr="00A5375A">
        <w:t xml:space="preserve"> as a research deliverable (40/175) do not have scientific dissemination such as doctoral thesis and peer</w:t>
      </w:r>
      <w:r w:rsidR="001B4668">
        <w:t>-</w:t>
      </w:r>
      <w:r w:rsidRPr="00A5375A">
        <w:t xml:space="preserve">review articles, thus, suggesting that the research is industry-oriented. On the other </w:t>
      </w:r>
      <w:r w:rsidR="00CB1267">
        <w:t>hand, projects with a doctoral thesis (22/175) as a research deliverable show almost three times the number of peer-reviewed</w:t>
      </w:r>
      <w:r w:rsidRPr="00A5375A">
        <w:t xml:space="preserve"> articles</w:t>
      </w:r>
      <w:r w:rsidR="00A33148">
        <w:t xml:space="preserve"> compared to the hypothesised industry-oriented projects</w:t>
      </w:r>
      <w:r w:rsidRPr="00A5375A">
        <w:t>.</w:t>
      </w:r>
    </w:p>
    <w:tbl>
      <w:tblPr>
        <w:tblW w:w="0" w:type="auto"/>
        <w:tblLook w:val="04A0" w:firstRow="1" w:lastRow="0" w:firstColumn="1" w:lastColumn="0" w:noHBand="0" w:noVBand="1"/>
      </w:tblPr>
      <w:tblGrid>
        <w:gridCol w:w="4626"/>
        <w:gridCol w:w="4401"/>
      </w:tblGrid>
      <w:tr w:rsidR="00A5375A" w:rsidRPr="007C7421" w14:paraId="09B84256" w14:textId="77777777" w:rsidTr="00882BB2">
        <w:tc>
          <w:tcPr>
            <w:tcW w:w="4611" w:type="dxa"/>
            <w:shd w:val="clear" w:color="auto" w:fill="auto"/>
          </w:tcPr>
          <w:p w14:paraId="23BCC92F" w14:textId="38B48F77" w:rsidR="00A5375A" w:rsidRDefault="008C3BC1" w:rsidP="00A5375A">
            <w:pPr>
              <w:spacing w:before="60" w:after="60"/>
              <w:jc w:val="center"/>
              <w:rPr>
                <w:bCs/>
                <w:lang w:val="en-GB"/>
              </w:rPr>
            </w:pPr>
            <w:r>
              <w:rPr>
                <w:bCs/>
                <w:noProof/>
                <w:lang w:val="en-GB"/>
              </w:rPr>
              <w:lastRenderedPageBreak/>
              <w:drawing>
                <wp:inline distT="0" distB="0" distL="0" distR="0" wp14:anchorId="1EA23008" wp14:editId="23140A1E">
                  <wp:extent cx="2798013" cy="1957678"/>
                  <wp:effectExtent l="0" t="0" r="2540" b="508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10301" cy="1966276"/>
                          </a:xfrm>
                          <a:prstGeom prst="rect">
                            <a:avLst/>
                          </a:prstGeom>
                          <a:noFill/>
                        </pic:spPr>
                      </pic:pic>
                    </a:graphicData>
                  </a:graphic>
                </wp:inline>
              </w:drawing>
            </w:r>
          </w:p>
          <w:p w14:paraId="1C7EC859" w14:textId="77777777" w:rsidR="00A5375A" w:rsidRPr="007C7421" w:rsidRDefault="00A5375A" w:rsidP="00F4109D">
            <w:pPr>
              <w:spacing w:before="0" w:after="0"/>
              <w:jc w:val="center"/>
              <w:rPr>
                <w:bCs/>
                <w:lang w:val="en-GB"/>
              </w:rPr>
            </w:pPr>
            <w:r>
              <w:rPr>
                <w:bCs/>
                <w:lang w:val="en-GB"/>
              </w:rPr>
              <w:t>(a)</w:t>
            </w:r>
          </w:p>
        </w:tc>
        <w:tc>
          <w:tcPr>
            <w:tcW w:w="4416" w:type="dxa"/>
            <w:shd w:val="clear" w:color="auto" w:fill="auto"/>
          </w:tcPr>
          <w:p w14:paraId="46D8C19E" w14:textId="337E10B8" w:rsidR="00A5375A" w:rsidRDefault="008C3BC1" w:rsidP="00A5375A">
            <w:pPr>
              <w:spacing w:before="60" w:after="60"/>
              <w:jc w:val="center"/>
              <w:rPr>
                <w:bCs/>
                <w:lang w:val="en-GB"/>
              </w:rPr>
            </w:pPr>
            <w:r>
              <w:rPr>
                <w:bCs/>
                <w:noProof/>
                <w:lang w:val="en-GB"/>
              </w:rPr>
              <w:drawing>
                <wp:inline distT="0" distB="0" distL="0" distR="0" wp14:anchorId="13C85E1B" wp14:editId="52D4D4F9">
                  <wp:extent cx="2412492" cy="1940525"/>
                  <wp:effectExtent l="0" t="0" r="6985" b="317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28755" cy="1953606"/>
                          </a:xfrm>
                          <a:prstGeom prst="rect">
                            <a:avLst/>
                          </a:prstGeom>
                          <a:noFill/>
                        </pic:spPr>
                      </pic:pic>
                    </a:graphicData>
                  </a:graphic>
                </wp:inline>
              </w:drawing>
            </w:r>
          </w:p>
          <w:p w14:paraId="0488A896" w14:textId="77777777" w:rsidR="00A5375A" w:rsidRPr="007C7421" w:rsidRDefault="00A5375A" w:rsidP="00F4109D">
            <w:pPr>
              <w:spacing w:before="0" w:after="0"/>
              <w:jc w:val="center"/>
              <w:rPr>
                <w:bCs/>
                <w:lang w:val="en-GB"/>
              </w:rPr>
            </w:pPr>
            <w:r>
              <w:rPr>
                <w:bCs/>
                <w:lang w:val="en-GB"/>
              </w:rPr>
              <w:t>(b)</w:t>
            </w:r>
          </w:p>
        </w:tc>
      </w:tr>
    </w:tbl>
    <w:p w14:paraId="7CD5876C" w14:textId="3DDE1DD2" w:rsidR="00A5375A" w:rsidRDefault="00A5375A" w:rsidP="00A5375A">
      <w:pPr>
        <w:pStyle w:val="Caption"/>
        <w:rPr>
          <w:bCs/>
          <w:lang w:val="en-GB"/>
        </w:rPr>
      </w:pPr>
      <w:bookmarkStart w:id="193" w:name="_Ref26870285"/>
      <w:bookmarkStart w:id="194" w:name="_Toc101274534"/>
      <w:r>
        <w:t xml:space="preserve">Figure </w:t>
      </w:r>
      <w:fldSimple w:instr=" SEQ Figure \* ARABIC ">
        <w:r w:rsidR="00587AF0">
          <w:rPr>
            <w:noProof/>
          </w:rPr>
          <w:t>12</w:t>
        </w:r>
      </w:fldSimple>
      <w:bookmarkEnd w:id="193"/>
      <w:r>
        <w:t>. Analysis of projects’ research results (a)</w:t>
      </w:r>
      <w:r>
        <w:rPr>
          <w:bCs/>
          <w:lang w:val="en-GB"/>
        </w:rPr>
        <w:t xml:space="preserve"> and industrial application (b)</w:t>
      </w:r>
      <w:bookmarkEnd w:id="194"/>
    </w:p>
    <w:p w14:paraId="2D7E2393" w14:textId="53D28BA6" w:rsidR="00A5375A" w:rsidRDefault="002D342A" w:rsidP="00A5375A">
      <w:r>
        <w:fldChar w:fldCharType="begin"/>
      </w:r>
      <w:r>
        <w:instrText xml:space="preserve"> REF _Ref49752083 \h </w:instrText>
      </w:r>
      <w:r>
        <w:fldChar w:fldCharType="separate"/>
      </w:r>
      <w:r w:rsidR="00587AF0">
        <w:t xml:space="preserve">Figure </w:t>
      </w:r>
      <w:r w:rsidR="00587AF0">
        <w:rPr>
          <w:noProof/>
        </w:rPr>
        <w:t>13</w:t>
      </w:r>
      <w:r>
        <w:fldChar w:fldCharType="end"/>
      </w:r>
      <w:r>
        <w:t xml:space="preserve"> </w:t>
      </w:r>
      <w:r w:rsidR="00A5375A" w:rsidRPr="00A5375A">
        <w:t xml:space="preserve">shows the rise of workshops and conference publications, while on the other side, </w:t>
      </w:r>
      <w:r w:rsidR="00A33148">
        <w:t xml:space="preserve">there is a </w:t>
      </w:r>
      <w:r w:rsidR="00A5375A" w:rsidRPr="00A5375A">
        <w:t>drop</w:t>
      </w:r>
      <w:r w:rsidR="00CB1267">
        <w:t xml:space="preserve"> </w:t>
      </w:r>
      <w:r w:rsidR="00F51E51">
        <w:t>in</w:t>
      </w:r>
      <w:r w:rsidR="00A5375A" w:rsidRPr="00A5375A">
        <w:t xml:space="preserve"> peer</w:t>
      </w:r>
      <w:r w:rsidR="00CB1267">
        <w:t>-</w:t>
      </w:r>
      <w:r w:rsidR="00A5375A" w:rsidRPr="00A5375A">
        <w:t>review articles and doctoral dissertations (from 2011</w:t>
      </w:r>
      <w:r w:rsidR="00A33148">
        <w:t xml:space="preserve">to </w:t>
      </w:r>
      <w:r w:rsidR="00A5375A" w:rsidRPr="00A5375A">
        <w:t xml:space="preserve">2017). There is also a slight rise in projects’ technical reports and non-peer review articles </w:t>
      </w:r>
      <w:r w:rsidR="00DF775B">
        <w:t>questioning</w:t>
      </w:r>
      <w:r w:rsidR="00A5375A" w:rsidRPr="00A5375A">
        <w:t xml:space="preserve"> the projects’ outcomes. Results between 2014</w:t>
      </w:r>
      <w:r w:rsidR="00A33148">
        <w:t xml:space="preserve"> and </w:t>
      </w:r>
      <w:r w:rsidR="00A5375A" w:rsidRPr="00A5375A">
        <w:t xml:space="preserve">2016 show more workshops than published peer-review papers. Interestingly, the rise of patents </w:t>
      </w:r>
      <w:r w:rsidR="00A33148">
        <w:t>has been</w:t>
      </w:r>
      <w:r w:rsidR="00A5375A" w:rsidRPr="00A5375A">
        <w:t xml:space="preserve"> noticed in the last decade, suggesting higher quality in industry-oriented solutions. This propensity for academic patent inventions is arguabl</w:t>
      </w:r>
      <w:r w:rsidR="00A33148">
        <w:t>y related to the crucial role of industry-university partnerships</w:t>
      </w:r>
      <w:r w:rsidR="008D25E9">
        <w:t xml:space="preserve"> </w:t>
      </w:r>
      <w:r w:rsidR="00A33148">
        <w:t>[65], although questioning the quality of inventions compared</w:t>
      </w:r>
      <w:r w:rsidR="00A5375A" w:rsidRPr="00A5375A">
        <w:t xml:space="preserve"> to financial returns </w:t>
      </w:r>
      <w:r w:rsidR="00804CE5">
        <w:fldChar w:fldCharType="begin" w:fldLock="1"/>
      </w:r>
      <w:r w:rsidR="00645D0B">
        <w:instrText>ADDIN CSL_CITATION {"citationItems":[{"id":"ITEM-1","itemData":{"DOI":"10.1080/08956308.1997.11671126","ISSN":"0895-6308","abstract":"Improvements in the standard of living depend to a remarkable degree on the success of industrial innovations, but the odds of any one idea becoming an economic success are so very low that many ideas are needed. Success curves for industrial innovation have beqweqween developed from three major sources, including: the project literature, patent literature and experience, and venture capitalists. Remarkably similar results were found from all three sources of information. Understanding success curves is important for at least three reasons: 1. To set expectations of those involved in industrial innovation; 2. To benchmark one s own process against others in the industry; and, 3. To calculate future expected benefits from current innovation spending as a function of the stage of the new product development process and the typical success rates found for each stage.","author":[{"dropping-particle":"","family":"Stevens","given":"Greg A.","non-dropping-particle":"","parse-names":false,"suffix":""},{"dropping-particle":"","family":"Burley","given":"James","non-dropping-particle":"","parse-names":false,"suffix":""}],"container-title":"Research-Technology Management","id":"ITEM-1","issue":"3","issued":{"date-parts":[["1997","5","27"]]},"page":"16-27","title":"3,000 Raw Ideas = 1 Commercial Success!","type":"article-journal","volume":"40"},"uris":["http://www.mendeley.com/documents/?uuid=72a3c270-6189-4e5e-88fa-6c549968856c"]}],"mendeley":{"formattedCitation":"[65]","plainTextFormattedCitation":"[65]","previouslyFormattedCitation":"[65]"},"properties":{"noteIndex":0},"schema":"https://github.com/citation-style-language/schema/raw/master/csl-citation.json"}</w:instrText>
      </w:r>
      <w:r w:rsidR="00804CE5">
        <w:fldChar w:fldCharType="separate"/>
      </w:r>
      <w:r w:rsidR="00416869" w:rsidRPr="00416869">
        <w:rPr>
          <w:noProof/>
        </w:rPr>
        <w:t>[65]</w:t>
      </w:r>
      <w:r w:rsidR="00804CE5">
        <w:fldChar w:fldCharType="end"/>
      </w:r>
      <w:r w:rsidR="00A5375A" w:rsidRPr="00A5375A">
        <w:t>.</w:t>
      </w:r>
    </w:p>
    <w:p w14:paraId="43F4ED7F" w14:textId="465911BA" w:rsidR="00BC32E0" w:rsidRPr="00456A9A" w:rsidRDefault="009D6BC1" w:rsidP="00BC32E0">
      <w:pPr>
        <w:spacing w:before="60" w:after="60"/>
        <w:jc w:val="center"/>
      </w:pPr>
      <w:r>
        <w:rPr>
          <w:noProof/>
        </w:rPr>
        <w:drawing>
          <wp:inline distT="0" distB="0" distL="0" distR="0" wp14:anchorId="6041FD80" wp14:editId="49FB3783">
            <wp:extent cx="5695177" cy="3888000"/>
            <wp:effectExtent l="0" t="0" r="127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95177" cy="3888000"/>
                    </a:xfrm>
                    <a:prstGeom prst="rect">
                      <a:avLst/>
                    </a:prstGeom>
                    <a:noFill/>
                  </pic:spPr>
                </pic:pic>
              </a:graphicData>
            </a:graphic>
          </wp:inline>
        </w:drawing>
      </w:r>
    </w:p>
    <w:p w14:paraId="264800E6" w14:textId="23281BB4" w:rsidR="00BC32E0" w:rsidRDefault="00BC32E0" w:rsidP="00D1327A">
      <w:pPr>
        <w:pStyle w:val="Caption"/>
        <w:spacing w:line="360" w:lineRule="auto"/>
      </w:pPr>
      <w:bookmarkStart w:id="195" w:name="_Ref49752083"/>
      <w:bookmarkStart w:id="196" w:name="_Toc101274535"/>
      <w:r>
        <w:t xml:space="preserve">Figure </w:t>
      </w:r>
      <w:fldSimple w:instr=" SEQ Figure \* ARABIC ">
        <w:r w:rsidR="00587AF0">
          <w:rPr>
            <w:noProof/>
          </w:rPr>
          <w:t>13</w:t>
        </w:r>
      </w:fldSimple>
      <w:bookmarkEnd w:id="195"/>
      <w:r>
        <w:t>. Maintenance projects’ dissemination activities and deliverables by year</w:t>
      </w:r>
      <w:bookmarkEnd w:id="196"/>
    </w:p>
    <w:p w14:paraId="1B9E1482" w14:textId="3DFEAA34" w:rsidR="00BC32E0" w:rsidRDefault="009275B1" w:rsidP="00BC32E0">
      <w:pPr>
        <w:pStyle w:val="Heading3"/>
      </w:pPr>
      <w:bookmarkStart w:id="197" w:name="_Toc62467393"/>
      <w:bookmarkStart w:id="198" w:name="_Toc91575397"/>
      <w:bookmarkStart w:id="199" w:name="_Toc93759877"/>
      <w:bookmarkStart w:id="200" w:name="_Toc93759981"/>
      <w:bookmarkStart w:id="201" w:name="_Toc101274346"/>
      <w:r>
        <w:lastRenderedPageBreak/>
        <w:t>Q</w:t>
      </w:r>
      <w:r w:rsidR="00BC32E0">
        <w:t xml:space="preserve">uantification of </w:t>
      </w:r>
      <w:r w:rsidR="00697E06">
        <w:t>p</w:t>
      </w:r>
      <w:r w:rsidR="00BC32E0">
        <w:t xml:space="preserve">rojects’ </w:t>
      </w:r>
      <w:r w:rsidR="00697E06">
        <w:t>r</w:t>
      </w:r>
      <w:r w:rsidR="00BC32E0">
        <w:t xml:space="preserve">esearch </w:t>
      </w:r>
      <w:r w:rsidR="00697E06">
        <w:t>o</w:t>
      </w:r>
      <w:r w:rsidR="00BC32E0">
        <w:t>utcome</w:t>
      </w:r>
      <w:bookmarkEnd w:id="197"/>
      <w:bookmarkEnd w:id="198"/>
      <w:bookmarkEnd w:id="199"/>
      <w:bookmarkEnd w:id="200"/>
      <w:r w:rsidR="00DA3E7D">
        <w:t>s</w:t>
      </w:r>
      <w:bookmarkEnd w:id="201"/>
    </w:p>
    <w:p w14:paraId="19F8E0E4" w14:textId="2285A11B" w:rsidR="00BC32E0" w:rsidRDefault="00BC32E0" w:rsidP="00BC32E0">
      <w:r>
        <w:t xml:space="preserve">The Cronbach’s </w:t>
      </w:r>
      <w:r w:rsidRPr="00407EF4">
        <w:rPr>
          <w:rFonts w:cs="Times New Roman"/>
          <w:i/>
          <w:iCs/>
        </w:rPr>
        <w:t>α</w:t>
      </w:r>
      <w:r>
        <w:rPr>
          <w:rFonts w:cs="Times New Roman"/>
        </w:rPr>
        <w:t xml:space="preserve"> is</w:t>
      </w:r>
      <w:r>
        <w:t xml:space="preserve"> used for reliability analysis for internal consistency for the </w:t>
      </w:r>
      <w:r w:rsidR="00DF775B">
        <w:t>analysis</w:t>
      </w:r>
      <w:r w:rsidR="00521FB3">
        <w:t>’</w:t>
      </w:r>
      <w:r w:rsidR="00DF775B">
        <w:t>s component</w:t>
      </w:r>
      <w:r>
        <w:t>s. A higher value (above 0.7) show</w:t>
      </w:r>
      <w:r w:rsidR="008F5E32">
        <w:t>s</w:t>
      </w:r>
      <w:r>
        <w:t xml:space="preserve"> strong reliability, while in our case, ranges between 0.5 – 0.7 show moderate reliability for </w:t>
      </w:r>
      <w:r w:rsidR="008F5E32">
        <w:t xml:space="preserve">the </w:t>
      </w:r>
      <w:r>
        <w:t xml:space="preserve">internal consistency of items </w:t>
      </w:r>
      <w:r>
        <w:fldChar w:fldCharType="begin" w:fldLock="1"/>
      </w:r>
      <w:r w:rsidR="00645D0B">
        <w:instrText>ADDIN CSL_CITATION {"citationItems":[{"id":"ITEM-1","itemData":{"author":[{"dropping-particle":"","family":"Hinton","given":"Perry R","non-dropping-particle":"","parse-names":false,"suffix":""},{"dropping-particle":"","family":"McMurray","given":"Isabella","non-dropping-particle":"","parse-names":false,"suffix":""},{"dropping-particle":"","family":"Brownlow","given":"Charlotte","non-dropping-particle":"","parse-names":false,"suffix":""}],"edition":"1st","id":"ITEM-1","issued":{"date-parts":[["2004"]]},"number-of-pages":"400","publisher":"Routledge","title":"SPSS Explained","type":"book"},"uris":["http://www.mendeley.com/documents/?uuid=adcf251c-b982-4143-a861-b9c0e51e0e96"]}],"mendeley":{"formattedCitation":"[66]","plainTextFormattedCitation":"[66]","previouslyFormattedCitation":"[66]"},"properties":{"noteIndex":0},"schema":"https://github.com/citation-style-language/schema/raw/master/csl-citation.json"}</w:instrText>
      </w:r>
      <w:r>
        <w:fldChar w:fldCharType="separate"/>
      </w:r>
      <w:r w:rsidR="00416869" w:rsidRPr="00416869">
        <w:rPr>
          <w:noProof/>
        </w:rPr>
        <w:t>[66]</w:t>
      </w:r>
      <w:r>
        <w:fldChar w:fldCharType="end"/>
      </w:r>
      <w:r>
        <w:t xml:space="preserve">. Furthermore, </w:t>
      </w:r>
      <w:r w:rsidR="00E548D0">
        <w:t xml:space="preserve">the </w:t>
      </w:r>
      <w:r>
        <w:t>Pearson</w:t>
      </w:r>
      <w:r w:rsidR="00F717F5">
        <w:t>s</w:t>
      </w:r>
      <w:r w:rsidR="00F717F5">
        <w:rPr>
          <w:lang w:val="en-GB"/>
        </w:rPr>
        <w:t>’</w:t>
      </w:r>
      <w:r>
        <w:t xml:space="preserve"> correlation test is used to comprehend the relationship between variables investigated. Values above 0.7 indicate a strong relationship (correlation) between variables, while values within 0.3-0.7 indicate </w:t>
      </w:r>
      <w:r w:rsidR="00A30F54">
        <w:t xml:space="preserve">a </w:t>
      </w:r>
      <w:r>
        <w:t xml:space="preserve">moderate relationship. Before conducting a correlation analysis, </w:t>
      </w:r>
      <w:r w:rsidR="008F5E32">
        <w:t>the first task is to divide projects into groups due to their research motivation</w:t>
      </w:r>
      <w:r>
        <w:t xml:space="preserve">. </w:t>
      </w:r>
      <w:r w:rsidR="008F5E32">
        <w:t>T</w:t>
      </w:r>
      <w:r>
        <w:t xml:space="preserve">he projects are divided into three groups based on the scientific deliverables: (1) projects with patents; (2) projects with doctoral theses; and (3) projects that do have patents nor theses as deliverables. The primary dependent variable is the </w:t>
      </w:r>
      <w:r w:rsidR="00DF775B">
        <w:t>genera</w:t>
      </w:r>
      <w:r>
        <w:t xml:space="preserve">l funds (OF) invested in the research project. The independent variables include peer-review journal articles (PRJ), conference proceeding papers (CP), doctoral thesis (DT), book and book chapters (BC), patents (PAT) and workshops/seminars (WS). </w:t>
      </w:r>
      <w:r w:rsidR="00DF775B">
        <w:t>Considering</w:t>
      </w:r>
      <w:r>
        <w:t xml:space="preserve"> all meta-data collected besides research deliverables, the </w:t>
      </w:r>
      <w:r w:rsidR="00A30F54">
        <w:t>project's length</w:t>
      </w:r>
      <w:r>
        <w:t xml:space="preserve"> (LE) and the number of institutions (INST)</w:t>
      </w:r>
      <w:r w:rsidR="008F5E32">
        <w:t xml:space="preserve"> are also included</w:t>
      </w:r>
      <w:r>
        <w:t>.</w:t>
      </w:r>
    </w:p>
    <w:p w14:paraId="7BD85108" w14:textId="6B87337D" w:rsidR="00BC32E0" w:rsidRDefault="00BC32E0" w:rsidP="00BC32E0">
      <w:r>
        <w:t xml:space="preserve">In </w:t>
      </w:r>
      <w:r>
        <w:fldChar w:fldCharType="begin"/>
      </w:r>
      <w:r>
        <w:instrText xml:space="preserve"> REF _Ref57214724 \h </w:instrText>
      </w:r>
      <w:r>
        <w:fldChar w:fldCharType="separate"/>
      </w:r>
      <w:r w:rsidR="00587AF0">
        <w:t xml:space="preserve">Table </w:t>
      </w:r>
      <w:r w:rsidR="00587AF0">
        <w:rPr>
          <w:noProof/>
        </w:rPr>
        <w:t>7</w:t>
      </w:r>
      <w:r>
        <w:fldChar w:fldCharType="end"/>
      </w:r>
      <w:r>
        <w:t>, the first correlation matrix shows that the number of institutions involved in the project has the highest correlation (</w:t>
      </w:r>
      <w:r w:rsidR="008F5E32">
        <w:rPr>
          <w:i/>
          <w:iCs/>
        </w:rPr>
        <w:t xml:space="preserve">r = </w:t>
      </w:r>
      <w:r>
        <w:t>0.912) with the amount of funding, followed by conference proceedings (0.717) and doctoral thesis (</w:t>
      </w:r>
      <w:r w:rsidR="008F5E32">
        <w:rPr>
          <w:i/>
          <w:iCs/>
        </w:rPr>
        <w:t xml:space="preserve">r = </w:t>
      </w:r>
      <w:r>
        <w:t xml:space="preserve">0.580), besides lower </w:t>
      </w:r>
      <w:r>
        <w:rPr>
          <w:i/>
          <w:iCs/>
        </w:rPr>
        <w:t>p</w:t>
      </w:r>
      <w:r>
        <w:t>-value book chapters (</w:t>
      </w:r>
      <w:r w:rsidR="008F5E32">
        <w:rPr>
          <w:i/>
          <w:iCs/>
        </w:rPr>
        <w:t xml:space="preserve">r = </w:t>
      </w:r>
      <w:r>
        <w:t xml:space="preserve">0.461) also show significant correlation with the amount of funding invested. </w:t>
      </w:r>
      <w:r w:rsidRPr="002119B4">
        <w:t>The</w:t>
      </w:r>
      <w:r>
        <w:t xml:space="preserve"> results also show a relatively high positive correlation between independent variables. For instance, the project duration </w:t>
      </w:r>
      <w:r w:rsidR="008F5E32">
        <w:t>tends</w:t>
      </w:r>
      <w:r>
        <w:t xml:space="preserve"> to include more workshops within the project outcome, assuming to increase the project impact. The number of partners (institutions) involved in the project shows a tendency to produce more conference papers (</w:t>
      </w:r>
      <w:r w:rsidR="00511E47">
        <w:rPr>
          <w:i/>
          <w:iCs/>
        </w:rPr>
        <w:t xml:space="preserve">r = </w:t>
      </w:r>
      <w:r>
        <w:t>0.599), doctoral thesis (</w:t>
      </w:r>
      <w:r w:rsidR="00511E47">
        <w:rPr>
          <w:i/>
          <w:iCs/>
        </w:rPr>
        <w:t xml:space="preserve">r = </w:t>
      </w:r>
      <w:r>
        <w:t>0.610) and book chapters (</w:t>
      </w:r>
      <w:r w:rsidR="00511E47">
        <w:rPr>
          <w:i/>
          <w:iCs/>
        </w:rPr>
        <w:t xml:space="preserve">r = </w:t>
      </w:r>
      <w:r>
        <w:t xml:space="preserve">0.520, </w:t>
      </w:r>
      <w:r>
        <w:rPr>
          <w:i/>
          <w:iCs/>
        </w:rPr>
        <w:t>p &lt;0.05</w:t>
      </w:r>
      <w:r>
        <w:t>). The production of the doctoral thesis within this particular project shows a tendency with workshops hosted (</w:t>
      </w:r>
      <w:r w:rsidR="00511E47">
        <w:rPr>
          <w:i/>
          <w:iCs/>
        </w:rPr>
        <w:t xml:space="preserve">r = </w:t>
      </w:r>
      <w:r>
        <w:t>0.551) and books (</w:t>
      </w:r>
      <w:r w:rsidR="00511E47">
        <w:rPr>
          <w:i/>
          <w:iCs/>
        </w:rPr>
        <w:t xml:space="preserve">r = </w:t>
      </w:r>
      <w:r>
        <w:t xml:space="preserve">0.600), while the output of books/chapters output shows </w:t>
      </w:r>
      <w:r w:rsidR="00A30F54">
        <w:t xml:space="preserve">a </w:t>
      </w:r>
      <w:r>
        <w:t>high correlation with doctoral dissertations (</w:t>
      </w:r>
      <w:r w:rsidR="00511E47">
        <w:rPr>
          <w:i/>
          <w:iCs/>
        </w:rPr>
        <w:t xml:space="preserve">r = </w:t>
      </w:r>
      <w:r>
        <w:t>0.798).</w:t>
      </w:r>
    </w:p>
    <w:p w14:paraId="0F4525BA" w14:textId="441BA5BF" w:rsidR="00BC32E0" w:rsidRDefault="00BC32E0" w:rsidP="00FC6982">
      <w:pPr>
        <w:pStyle w:val="Caption"/>
        <w:keepNext/>
        <w:jc w:val="both"/>
      </w:pPr>
      <w:bookmarkStart w:id="202" w:name="_Ref57214724"/>
      <w:bookmarkStart w:id="203" w:name="_Toc65585497"/>
      <w:bookmarkStart w:id="204" w:name="_Toc101274447"/>
      <w:r>
        <w:t xml:space="preserve">Table </w:t>
      </w:r>
      <w:fldSimple w:instr=" SEQ Table \* ARABIC ">
        <w:r w:rsidR="00587AF0">
          <w:rPr>
            <w:noProof/>
          </w:rPr>
          <w:t>7</w:t>
        </w:r>
      </w:fldSimple>
      <w:bookmarkEnd w:id="202"/>
      <w:r>
        <w:t>. Correlation matrix for projects having a doctoral thesis as a research deliverable</w:t>
      </w:r>
      <w:bookmarkEnd w:id="203"/>
      <w:bookmarkEnd w:id="204"/>
    </w:p>
    <w:tbl>
      <w:tblPr>
        <w:tblW w:w="0" w:type="auto"/>
        <w:tblLook w:val="04A0" w:firstRow="1" w:lastRow="0" w:firstColumn="1" w:lastColumn="0" w:noHBand="0" w:noVBand="1"/>
      </w:tblPr>
      <w:tblGrid>
        <w:gridCol w:w="841"/>
        <w:gridCol w:w="1098"/>
        <w:gridCol w:w="908"/>
        <w:gridCol w:w="1098"/>
        <w:gridCol w:w="1002"/>
        <w:gridCol w:w="1002"/>
        <w:gridCol w:w="1098"/>
        <w:gridCol w:w="1098"/>
        <w:gridCol w:w="882"/>
      </w:tblGrid>
      <w:tr w:rsidR="00BC32E0" w:rsidRPr="00DE7306" w14:paraId="5F5E4CB8" w14:textId="77777777" w:rsidTr="00882BB2">
        <w:trPr>
          <w:trHeight w:val="330"/>
        </w:trPr>
        <w:tc>
          <w:tcPr>
            <w:tcW w:w="0" w:type="auto"/>
            <w:tcBorders>
              <w:top w:val="single" w:sz="4" w:space="0" w:color="auto"/>
              <w:left w:val="nil"/>
              <w:bottom w:val="single" w:sz="4" w:space="0" w:color="auto"/>
              <w:right w:val="nil"/>
            </w:tcBorders>
            <w:shd w:val="clear" w:color="auto" w:fill="auto"/>
            <w:noWrap/>
            <w:vAlign w:val="center"/>
            <w:hideMark/>
          </w:tcPr>
          <w:p w14:paraId="6AC4FD26" w14:textId="77777777" w:rsidR="00BC32E0" w:rsidRPr="00DE7306" w:rsidRDefault="00BC32E0" w:rsidP="00882BB2">
            <w:pPr>
              <w:spacing w:before="0" w:after="0"/>
              <w:rPr>
                <w:rFonts w:eastAsia="Times New Roman" w:cs="Times New Roman"/>
                <w:i/>
                <w:iCs/>
                <w:color w:val="000000"/>
                <w:sz w:val="20"/>
                <w:szCs w:val="20"/>
              </w:rPr>
            </w:pPr>
            <w:r w:rsidRPr="00DE7306">
              <w:rPr>
                <w:rFonts w:eastAsia="Times New Roman" w:cs="Times New Roman"/>
                <w:i/>
                <w:iCs/>
                <w:color w:val="000000"/>
                <w:sz w:val="20"/>
                <w:szCs w:val="20"/>
              </w:rPr>
              <w:t> </w:t>
            </w:r>
          </w:p>
        </w:tc>
        <w:tc>
          <w:tcPr>
            <w:tcW w:w="0" w:type="auto"/>
            <w:tcBorders>
              <w:top w:val="single" w:sz="4" w:space="0" w:color="auto"/>
              <w:left w:val="nil"/>
              <w:bottom w:val="single" w:sz="4" w:space="0" w:color="auto"/>
              <w:right w:val="nil"/>
            </w:tcBorders>
            <w:shd w:val="clear" w:color="auto" w:fill="auto"/>
            <w:noWrap/>
            <w:vAlign w:val="center"/>
            <w:hideMark/>
          </w:tcPr>
          <w:p w14:paraId="22309DEE" w14:textId="77777777" w:rsidR="00BC32E0" w:rsidRPr="00DE7306" w:rsidRDefault="00BC32E0" w:rsidP="00882BB2">
            <w:pPr>
              <w:spacing w:before="0" w:after="0"/>
              <w:jc w:val="center"/>
              <w:rPr>
                <w:rFonts w:eastAsia="Times New Roman" w:cs="Times New Roman"/>
                <w:color w:val="000000"/>
                <w:sz w:val="20"/>
                <w:szCs w:val="20"/>
              </w:rPr>
            </w:pPr>
            <w:r w:rsidRPr="00DE7306">
              <w:rPr>
                <w:rFonts w:eastAsia="Times New Roman" w:cs="Times New Roman"/>
                <w:color w:val="000000"/>
                <w:sz w:val="20"/>
                <w:szCs w:val="20"/>
              </w:rPr>
              <w:t>OF</w:t>
            </w:r>
          </w:p>
        </w:tc>
        <w:tc>
          <w:tcPr>
            <w:tcW w:w="0" w:type="auto"/>
            <w:tcBorders>
              <w:top w:val="single" w:sz="4" w:space="0" w:color="auto"/>
              <w:left w:val="nil"/>
              <w:bottom w:val="single" w:sz="4" w:space="0" w:color="auto"/>
              <w:right w:val="nil"/>
            </w:tcBorders>
            <w:shd w:val="clear" w:color="auto" w:fill="auto"/>
            <w:noWrap/>
            <w:vAlign w:val="center"/>
            <w:hideMark/>
          </w:tcPr>
          <w:p w14:paraId="3E278881" w14:textId="77777777" w:rsidR="00BC32E0" w:rsidRPr="00DE7306" w:rsidRDefault="00BC32E0" w:rsidP="00882BB2">
            <w:pPr>
              <w:spacing w:before="0" w:after="0"/>
              <w:jc w:val="center"/>
              <w:rPr>
                <w:rFonts w:eastAsia="Times New Roman" w:cs="Times New Roman"/>
                <w:color w:val="000000"/>
                <w:sz w:val="20"/>
                <w:szCs w:val="20"/>
              </w:rPr>
            </w:pPr>
            <w:r w:rsidRPr="00DE7306">
              <w:rPr>
                <w:rFonts w:eastAsia="Times New Roman" w:cs="Times New Roman"/>
                <w:color w:val="000000"/>
                <w:sz w:val="20"/>
                <w:szCs w:val="20"/>
              </w:rPr>
              <w:t>PLE</w:t>
            </w:r>
          </w:p>
        </w:tc>
        <w:tc>
          <w:tcPr>
            <w:tcW w:w="0" w:type="auto"/>
            <w:tcBorders>
              <w:top w:val="single" w:sz="4" w:space="0" w:color="auto"/>
              <w:left w:val="nil"/>
              <w:bottom w:val="single" w:sz="4" w:space="0" w:color="auto"/>
              <w:right w:val="nil"/>
            </w:tcBorders>
            <w:shd w:val="clear" w:color="auto" w:fill="auto"/>
            <w:noWrap/>
            <w:vAlign w:val="center"/>
            <w:hideMark/>
          </w:tcPr>
          <w:p w14:paraId="0DAC9CED" w14:textId="77777777" w:rsidR="00BC32E0" w:rsidRPr="00DE7306" w:rsidRDefault="00BC32E0" w:rsidP="00882BB2">
            <w:pPr>
              <w:spacing w:before="0" w:after="0"/>
              <w:jc w:val="center"/>
              <w:rPr>
                <w:rFonts w:eastAsia="Times New Roman" w:cs="Times New Roman"/>
                <w:color w:val="000000"/>
                <w:sz w:val="20"/>
                <w:szCs w:val="20"/>
              </w:rPr>
            </w:pPr>
            <w:r w:rsidRPr="00DE7306">
              <w:rPr>
                <w:rFonts w:eastAsia="Times New Roman" w:cs="Times New Roman"/>
                <w:color w:val="000000"/>
                <w:sz w:val="20"/>
                <w:szCs w:val="20"/>
              </w:rPr>
              <w:t>INST</w:t>
            </w:r>
          </w:p>
        </w:tc>
        <w:tc>
          <w:tcPr>
            <w:tcW w:w="0" w:type="auto"/>
            <w:tcBorders>
              <w:top w:val="single" w:sz="4" w:space="0" w:color="auto"/>
              <w:left w:val="nil"/>
              <w:bottom w:val="single" w:sz="4" w:space="0" w:color="auto"/>
              <w:right w:val="nil"/>
            </w:tcBorders>
            <w:shd w:val="clear" w:color="auto" w:fill="auto"/>
            <w:noWrap/>
            <w:vAlign w:val="center"/>
            <w:hideMark/>
          </w:tcPr>
          <w:p w14:paraId="320CDE54" w14:textId="77777777" w:rsidR="00BC32E0" w:rsidRPr="00DE7306" w:rsidRDefault="00BC32E0" w:rsidP="00882BB2">
            <w:pPr>
              <w:spacing w:before="0" w:after="0"/>
              <w:jc w:val="center"/>
              <w:rPr>
                <w:rFonts w:eastAsia="Times New Roman" w:cs="Times New Roman"/>
                <w:color w:val="000000"/>
                <w:sz w:val="20"/>
                <w:szCs w:val="20"/>
              </w:rPr>
            </w:pPr>
            <w:r w:rsidRPr="00DE7306">
              <w:rPr>
                <w:rFonts w:eastAsia="Times New Roman" w:cs="Times New Roman"/>
                <w:color w:val="000000"/>
                <w:sz w:val="20"/>
                <w:szCs w:val="20"/>
              </w:rPr>
              <w:t>PRJ</w:t>
            </w:r>
          </w:p>
        </w:tc>
        <w:tc>
          <w:tcPr>
            <w:tcW w:w="0" w:type="auto"/>
            <w:tcBorders>
              <w:top w:val="single" w:sz="4" w:space="0" w:color="auto"/>
              <w:left w:val="nil"/>
              <w:bottom w:val="single" w:sz="4" w:space="0" w:color="auto"/>
              <w:right w:val="nil"/>
            </w:tcBorders>
            <w:shd w:val="clear" w:color="auto" w:fill="auto"/>
            <w:noWrap/>
            <w:vAlign w:val="center"/>
            <w:hideMark/>
          </w:tcPr>
          <w:p w14:paraId="32BA1921" w14:textId="77777777" w:rsidR="00BC32E0" w:rsidRPr="00DE7306" w:rsidRDefault="00BC32E0" w:rsidP="00882BB2">
            <w:pPr>
              <w:spacing w:before="0" w:after="0"/>
              <w:jc w:val="center"/>
              <w:rPr>
                <w:rFonts w:eastAsia="Times New Roman" w:cs="Times New Roman"/>
                <w:color w:val="000000"/>
                <w:sz w:val="20"/>
                <w:szCs w:val="20"/>
              </w:rPr>
            </w:pPr>
            <w:r w:rsidRPr="00DE7306">
              <w:rPr>
                <w:rFonts w:eastAsia="Times New Roman" w:cs="Times New Roman"/>
                <w:color w:val="000000"/>
                <w:sz w:val="20"/>
                <w:szCs w:val="20"/>
              </w:rPr>
              <w:t>CP</w:t>
            </w:r>
          </w:p>
        </w:tc>
        <w:tc>
          <w:tcPr>
            <w:tcW w:w="0" w:type="auto"/>
            <w:tcBorders>
              <w:top w:val="single" w:sz="4" w:space="0" w:color="auto"/>
              <w:left w:val="nil"/>
              <w:bottom w:val="single" w:sz="4" w:space="0" w:color="auto"/>
              <w:right w:val="nil"/>
            </w:tcBorders>
            <w:shd w:val="clear" w:color="auto" w:fill="auto"/>
            <w:noWrap/>
            <w:vAlign w:val="center"/>
            <w:hideMark/>
          </w:tcPr>
          <w:p w14:paraId="2862CDF2" w14:textId="77777777" w:rsidR="00BC32E0" w:rsidRPr="00DE7306" w:rsidRDefault="00BC32E0" w:rsidP="00882BB2">
            <w:pPr>
              <w:spacing w:before="0" w:after="0"/>
              <w:jc w:val="center"/>
              <w:rPr>
                <w:rFonts w:eastAsia="Times New Roman" w:cs="Times New Roman"/>
                <w:color w:val="000000"/>
                <w:sz w:val="20"/>
                <w:szCs w:val="20"/>
              </w:rPr>
            </w:pPr>
            <w:r w:rsidRPr="00DE7306">
              <w:rPr>
                <w:rFonts w:eastAsia="Times New Roman" w:cs="Times New Roman"/>
                <w:color w:val="000000"/>
                <w:sz w:val="20"/>
                <w:szCs w:val="20"/>
              </w:rPr>
              <w:t>WS</w:t>
            </w:r>
          </w:p>
        </w:tc>
        <w:tc>
          <w:tcPr>
            <w:tcW w:w="0" w:type="auto"/>
            <w:tcBorders>
              <w:top w:val="single" w:sz="4" w:space="0" w:color="auto"/>
              <w:left w:val="nil"/>
              <w:bottom w:val="single" w:sz="4" w:space="0" w:color="auto"/>
              <w:right w:val="nil"/>
            </w:tcBorders>
            <w:shd w:val="clear" w:color="auto" w:fill="auto"/>
            <w:noWrap/>
            <w:vAlign w:val="center"/>
            <w:hideMark/>
          </w:tcPr>
          <w:p w14:paraId="71839746" w14:textId="77777777" w:rsidR="00BC32E0" w:rsidRPr="00DE7306" w:rsidRDefault="00BC32E0" w:rsidP="00882BB2">
            <w:pPr>
              <w:spacing w:before="0" w:after="0"/>
              <w:jc w:val="center"/>
              <w:rPr>
                <w:rFonts w:eastAsia="Times New Roman" w:cs="Times New Roman"/>
                <w:color w:val="000000"/>
                <w:sz w:val="20"/>
                <w:szCs w:val="20"/>
              </w:rPr>
            </w:pPr>
            <w:r w:rsidRPr="00DE7306">
              <w:rPr>
                <w:rFonts w:eastAsia="Times New Roman" w:cs="Times New Roman"/>
                <w:color w:val="000000"/>
                <w:sz w:val="20"/>
                <w:szCs w:val="20"/>
              </w:rPr>
              <w:t>DT</w:t>
            </w:r>
          </w:p>
        </w:tc>
        <w:tc>
          <w:tcPr>
            <w:tcW w:w="0" w:type="auto"/>
            <w:tcBorders>
              <w:top w:val="single" w:sz="4" w:space="0" w:color="auto"/>
              <w:left w:val="nil"/>
              <w:bottom w:val="single" w:sz="4" w:space="0" w:color="auto"/>
              <w:right w:val="nil"/>
            </w:tcBorders>
            <w:shd w:val="clear" w:color="auto" w:fill="auto"/>
            <w:noWrap/>
            <w:vAlign w:val="center"/>
            <w:hideMark/>
          </w:tcPr>
          <w:p w14:paraId="604F5AE1" w14:textId="77777777" w:rsidR="00BC32E0" w:rsidRPr="00DE7306" w:rsidRDefault="00BC32E0" w:rsidP="00882BB2">
            <w:pPr>
              <w:spacing w:before="0" w:after="0"/>
              <w:jc w:val="center"/>
              <w:rPr>
                <w:rFonts w:eastAsia="Times New Roman" w:cs="Times New Roman"/>
                <w:color w:val="000000"/>
                <w:sz w:val="20"/>
                <w:szCs w:val="20"/>
              </w:rPr>
            </w:pPr>
            <w:r w:rsidRPr="00DE7306">
              <w:rPr>
                <w:rFonts w:eastAsia="Times New Roman" w:cs="Times New Roman"/>
                <w:color w:val="000000"/>
                <w:sz w:val="20"/>
                <w:szCs w:val="20"/>
              </w:rPr>
              <w:t>BC</w:t>
            </w:r>
          </w:p>
        </w:tc>
      </w:tr>
      <w:tr w:rsidR="00BC32E0" w:rsidRPr="00DE7306" w14:paraId="563BB413" w14:textId="77777777" w:rsidTr="00882BB2">
        <w:trPr>
          <w:trHeight w:val="315"/>
        </w:trPr>
        <w:tc>
          <w:tcPr>
            <w:tcW w:w="0" w:type="auto"/>
            <w:tcBorders>
              <w:top w:val="nil"/>
              <w:left w:val="nil"/>
              <w:bottom w:val="nil"/>
              <w:right w:val="nil"/>
            </w:tcBorders>
            <w:shd w:val="clear" w:color="auto" w:fill="auto"/>
            <w:noWrap/>
            <w:vAlign w:val="center"/>
            <w:hideMark/>
          </w:tcPr>
          <w:p w14:paraId="19649473" w14:textId="77777777" w:rsidR="00BC32E0" w:rsidRPr="00DE7306" w:rsidRDefault="00BC32E0" w:rsidP="00882BB2">
            <w:pPr>
              <w:spacing w:before="0" w:after="0"/>
              <w:rPr>
                <w:rFonts w:eastAsia="Times New Roman" w:cs="Times New Roman"/>
                <w:color w:val="000000"/>
                <w:sz w:val="20"/>
                <w:szCs w:val="20"/>
              </w:rPr>
            </w:pPr>
            <w:r w:rsidRPr="00DE7306">
              <w:rPr>
                <w:rFonts w:eastAsia="Times New Roman" w:cs="Times New Roman"/>
                <w:color w:val="000000"/>
                <w:sz w:val="20"/>
                <w:szCs w:val="20"/>
              </w:rPr>
              <w:t>PLE</w:t>
            </w:r>
          </w:p>
        </w:tc>
        <w:tc>
          <w:tcPr>
            <w:tcW w:w="0" w:type="auto"/>
            <w:tcBorders>
              <w:top w:val="nil"/>
              <w:left w:val="nil"/>
              <w:bottom w:val="nil"/>
              <w:right w:val="nil"/>
            </w:tcBorders>
            <w:shd w:val="clear" w:color="auto" w:fill="auto"/>
            <w:noWrap/>
            <w:vAlign w:val="center"/>
            <w:hideMark/>
          </w:tcPr>
          <w:p w14:paraId="429FCE14"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0.408</w:t>
            </w:r>
            <w:r>
              <w:rPr>
                <w:rFonts w:cs="Times New Roman"/>
                <w:sz w:val="20"/>
                <w:szCs w:val="20"/>
              </w:rPr>
              <w:t>*</w:t>
            </w:r>
          </w:p>
        </w:tc>
        <w:tc>
          <w:tcPr>
            <w:tcW w:w="0" w:type="auto"/>
            <w:tcBorders>
              <w:top w:val="nil"/>
              <w:left w:val="nil"/>
              <w:bottom w:val="nil"/>
              <w:right w:val="nil"/>
            </w:tcBorders>
            <w:shd w:val="clear" w:color="auto" w:fill="auto"/>
            <w:noWrap/>
            <w:vAlign w:val="center"/>
            <w:hideMark/>
          </w:tcPr>
          <w:p w14:paraId="07B1A7FD" w14:textId="77777777" w:rsidR="00BC32E0" w:rsidRPr="00DE7306"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45865CC4" w14:textId="77777777" w:rsidR="00BC32E0" w:rsidRPr="00DE7306"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4EA1AC76" w14:textId="77777777" w:rsidR="00BC32E0" w:rsidRPr="00DE7306" w:rsidRDefault="00BC32E0" w:rsidP="00882BB2">
            <w:pPr>
              <w:spacing w:before="0" w:after="0"/>
              <w:jc w:val="center"/>
              <w:rPr>
                <w:rFonts w:eastAsia="Times New Roman" w:cs="Times New Roman"/>
                <w:sz w:val="20"/>
                <w:szCs w:val="20"/>
              </w:rPr>
            </w:pPr>
          </w:p>
        </w:tc>
        <w:tc>
          <w:tcPr>
            <w:tcW w:w="0" w:type="auto"/>
            <w:tcBorders>
              <w:top w:val="nil"/>
              <w:left w:val="nil"/>
              <w:bottom w:val="nil"/>
              <w:right w:val="nil"/>
            </w:tcBorders>
            <w:shd w:val="clear" w:color="auto" w:fill="auto"/>
            <w:noWrap/>
            <w:vAlign w:val="center"/>
            <w:hideMark/>
          </w:tcPr>
          <w:p w14:paraId="2B61FBDE" w14:textId="77777777" w:rsidR="00BC32E0" w:rsidRPr="00DE7306" w:rsidRDefault="00BC32E0" w:rsidP="00882BB2">
            <w:pPr>
              <w:spacing w:before="0" w:after="0"/>
              <w:jc w:val="center"/>
              <w:rPr>
                <w:rFonts w:eastAsia="Times New Roman" w:cs="Times New Roman"/>
                <w:sz w:val="20"/>
                <w:szCs w:val="20"/>
              </w:rPr>
            </w:pPr>
          </w:p>
        </w:tc>
        <w:tc>
          <w:tcPr>
            <w:tcW w:w="0" w:type="auto"/>
            <w:tcBorders>
              <w:top w:val="nil"/>
              <w:left w:val="nil"/>
              <w:bottom w:val="nil"/>
              <w:right w:val="nil"/>
            </w:tcBorders>
            <w:shd w:val="clear" w:color="auto" w:fill="auto"/>
            <w:noWrap/>
            <w:vAlign w:val="center"/>
            <w:hideMark/>
          </w:tcPr>
          <w:p w14:paraId="690834AF" w14:textId="77777777" w:rsidR="00BC32E0" w:rsidRPr="00DE7306" w:rsidRDefault="00BC32E0" w:rsidP="00882BB2">
            <w:pPr>
              <w:spacing w:before="0" w:after="0"/>
              <w:jc w:val="center"/>
              <w:rPr>
                <w:rFonts w:eastAsia="Times New Roman" w:cs="Times New Roman"/>
                <w:sz w:val="20"/>
                <w:szCs w:val="20"/>
              </w:rPr>
            </w:pPr>
          </w:p>
        </w:tc>
        <w:tc>
          <w:tcPr>
            <w:tcW w:w="0" w:type="auto"/>
            <w:tcBorders>
              <w:top w:val="nil"/>
              <w:left w:val="nil"/>
              <w:bottom w:val="nil"/>
              <w:right w:val="nil"/>
            </w:tcBorders>
            <w:shd w:val="clear" w:color="auto" w:fill="auto"/>
            <w:noWrap/>
            <w:vAlign w:val="center"/>
            <w:hideMark/>
          </w:tcPr>
          <w:p w14:paraId="7ADA10E3" w14:textId="77777777" w:rsidR="00BC32E0" w:rsidRPr="00DE7306" w:rsidRDefault="00BC32E0" w:rsidP="00882BB2">
            <w:pPr>
              <w:spacing w:before="0" w:after="0"/>
              <w:jc w:val="center"/>
              <w:rPr>
                <w:rFonts w:eastAsia="Times New Roman" w:cs="Times New Roman"/>
                <w:sz w:val="20"/>
                <w:szCs w:val="20"/>
              </w:rPr>
            </w:pPr>
          </w:p>
        </w:tc>
        <w:tc>
          <w:tcPr>
            <w:tcW w:w="0" w:type="auto"/>
            <w:tcBorders>
              <w:top w:val="nil"/>
              <w:left w:val="nil"/>
              <w:bottom w:val="nil"/>
              <w:right w:val="nil"/>
            </w:tcBorders>
            <w:shd w:val="clear" w:color="auto" w:fill="auto"/>
            <w:noWrap/>
            <w:vAlign w:val="center"/>
            <w:hideMark/>
          </w:tcPr>
          <w:p w14:paraId="1AC6C336" w14:textId="77777777" w:rsidR="00BC32E0" w:rsidRPr="00DE7306" w:rsidRDefault="00BC32E0" w:rsidP="00882BB2">
            <w:pPr>
              <w:spacing w:before="0" w:after="0"/>
              <w:jc w:val="center"/>
              <w:rPr>
                <w:rFonts w:eastAsia="Times New Roman" w:cs="Times New Roman"/>
                <w:sz w:val="20"/>
                <w:szCs w:val="20"/>
              </w:rPr>
            </w:pPr>
          </w:p>
        </w:tc>
      </w:tr>
      <w:tr w:rsidR="00BC32E0" w:rsidRPr="00DE7306" w14:paraId="44BF4310" w14:textId="77777777" w:rsidTr="00882BB2">
        <w:trPr>
          <w:trHeight w:val="315"/>
        </w:trPr>
        <w:tc>
          <w:tcPr>
            <w:tcW w:w="0" w:type="auto"/>
            <w:tcBorders>
              <w:top w:val="nil"/>
              <w:left w:val="nil"/>
              <w:bottom w:val="nil"/>
              <w:right w:val="nil"/>
            </w:tcBorders>
            <w:shd w:val="clear" w:color="auto" w:fill="auto"/>
            <w:noWrap/>
            <w:vAlign w:val="center"/>
            <w:hideMark/>
          </w:tcPr>
          <w:p w14:paraId="4B78255A" w14:textId="77777777" w:rsidR="00BC32E0" w:rsidRPr="00DE7306" w:rsidRDefault="00BC32E0" w:rsidP="00882BB2">
            <w:pPr>
              <w:spacing w:before="0" w:after="0"/>
              <w:rPr>
                <w:rFonts w:eastAsia="Times New Roman" w:cs="Times New Roman"/>
                <w:color w:val="000000"/>
                <w:sz w:val="20"/>
                <w:szCs w:val="20"/>
              </w:rPr>
            </w:pPr>
            <w:r w:rsidRPr="00DE7306">
              <w:rPr>
                <w:rFonts w:eastAsia="Times New Roman" w:cs="Times New Roman"/>
                <w:color w:val="000000"/>
                <w:sz w:val="20"/>
                <w:szCs w:val="20"/>
              </w:rPr>
              <w:t>INST</w:t>
            </w:r>
          </w:p>
        </w:tc>
        <w:tc>
          <w:tcPr>
            <w:tcW w:w="0" w:type="auto"/>
            <w:tcBorders>
              <w:top w:val="nil"/>
              <w:left w:val="nil"/>
              <w:bottom w:val="nil"/>
              <w:right w:val="nil"/>
            </w:tcBorders>
            <w:shd w:val="clear" w:color="auto" w:fill="auto"/>
            <w:noWrap/>
            <w:vAlign w:val="center"/>
            <w:hideMark/>
          </w:tcPr>
          <w:p w14:paraId="5B3DCF7A"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0.912</w:t>
            </w:r>
            <w:r>
              <w:rPr>
                <w:rFonts w:cs="Times New Roman"/>
                <w:sz w:val="20"/>
                <w:szCs w:val="20"/>
              </w:rPr>
              <w:t>***</w:t>
            </w:r>
          </w:p>
        </w:tc>
        <w:tc>
          <w:tcPr>
            <w:tcW w:w="0" w:type="auto"/>
            <w:tcBorders>
              <w:top w:val="nil"/>
              <w:left w:val="nil"/>
              <w:bottom w:val="nil"/>
              <w:right w:val="nil"/>
            </w:tcBorders>
            <w:shd w:val="clear" w:color="auto" w:fill="auto"/>
            <w:noWrap/>
            <w:vAlign w:val="center"/>
            <w:hideMark/>
          </w:tcPr>
          <w:p w14:paraId="6D4D56BB"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0.399</w:t>
            </w:r>
            <w:r>
              <w:rPr>
                <w:rFonts w:cs="Times New Roman"/>
                <w:sz w:val="20"/>
                <w:szCs w:val="20"/>
              </w:rPr>
              <w:t>*</w:t>
            </w:r>
          </w:p>
        </w:tc>
        <w:tc>
          <w:tcPr>
            <w:tcW w:w="0" w:type="auto"/>
            <w:tcBorders>
              <w:top w:val="nil"/>
              <w:left w:val="nil"/>
              <w:bottom w:val="nil"/>
              <w:right w:val="nil"/>
            </w:tcBorders>
            <w:shd w:val="clear" w:color="auto" w:fill="auto"/>
            <w:noWrap/>
            <w:vAlign w:val="center"/>
            <w:hideMark/>
          </w:tcPr>
          <w:p w14:paraId="4B0534DA" w14:textId="77777777" w:rsidR="00BC32E0" w:rsidRPr="00DE7306"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21C95ED9" w14:textId="77777777" w:rsidR="00BC32E0" w:rsidRPr="00DE7306"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45486188" w14:textId="77777777" w:rsidR="00BC32E0" w:rsidRPr="00DE7306" w:rsidRDefault="00BC32E0" w:rsidP="00882BB2">
            <w:pPr>
              <w:spacing w:before="0" w:after="0"/>
              <w:jc w:val="center"/>
              <w:rPr>
                <w:rFonts w:eastAsia="Times New Roman" w:cs="Times New Roman"/>
                <w:sz w:val="20"/>
                <w:szCs w:val="20"/>
              </w:rPr>
            </w:pPr>
          </w:p>
        </w:tc>
        <w:tc>
          <w:tcPr>
            <w:tcW w:w="0" w:type="auto"/>
            <w:tcBorders>
              <w:top w:val="nil"/>
              <w:left w:val="nil"/>
              <w:bottom w:val="nil"/>
              <w:right w:val="nil"/>
            </w:tcBorders>
            <w:shd w:val="clear" w:color="auto" w:fill="auto"/>
            <w:noWrap/>
            <w:vAlign w:val="center"/>
            <w:hideMark/>
          </w:tcPr>
          <w:p w14:paraId="04D268D0" w14:textId="77777777" w:rsidR="00BC32E0" w:rsidRPr="00DE7306" w:rsidRDefault="00BC32E0" w:rsidP="00882BB2">
            <w:pPr>
              <w:spacing w:before="0" w:after="0"/>
              <w:jc w:val="center"/>
              <w:rPr>
                <w:rFonts w:eastAsia="Times New Roman" w:cs="Times New Roman"/>
                <w:sz w:val="20"/>
                <w:szCs w:val="20"/>
              </w:rPr>
            </w:pPr>
          </w:p>
        </w:tc>
        <w:tc>
          <w:tcPr>
            <w:tcW w:w="0" w:type="auto"/>
            <w:tcBorders>
              <w:top w:val="nil"/>
              <w:left w:val="nil"/>
              <w:bottom w:val="nil"/>
              <w:right w:val="nil"/>
            </w:tcBorders>
            <w:shd w:val="clear" w:color="auto" w:fill="auto"/>
            <w:noWrap/>
            <w:vAlign w:val="center"/>
            <w:hideMark/>
          </w:tcPr>
          <w:p w14:paraId="170BB534" w14:textId="77777777" w:rsidR="00BC32E0" w:rsidRPr="00DE7306" w:rsidRDefault="00BC32E0" w:rsidP="00882BB2">
            <w:pPr>
              <w:spacing w:before="0" w:after="0"/>
              <w:jc w:val="center"/>
              <w:rPr>
                <w:rFonts w:eastAsia="Times New Roman" w:cs="Times New Roman"/>
                <w:sz w:val="20"/>
                <w:szCs w:val="20"/>
              </w:rPr>
            </w:pPr>
          </w:p>
        </w:tc>
        <w:tc>
          <w:tcPr>
            <w:tcW w:w="0" w:type="auto"/>
            <w:tcBorders>
              <w:top w:val="nil"/>
              <w:left w:val="nil"/>
              <w:bottom w:val="nil"/>
              <w:right w:val="nil"/>
            </w:tcBorders>
            <w:shd w:val="clear" w:color="auto" w:fill="auto"/>
            <w:noWrap/>
            <w:vAlign w:val="center"/>
            <w:hideMark/>
          </w:tcPr>
          <w:p w14:paraId="373343DD" w14:textId="77777777" w:rsidR="00BC32E0" w:rsidRPr="00DE7306" w:rsidRDefault="00BC32E0" w:rsidP="00882BB2">
            <w:pPr>
              <w:spacing w:before="0" w:after="0"/>
              <w:jc w:val="center"/>
              <w:rPr>
                <w:rFonts w:eastAsia="Times New Roman" w:cs="Times New Roman"/>
                <w:sz w:val="20"/>
                <w:szCs w:val="20"/>
              </w:rPr>
            </w:pPr>
          </w:p>
        </w:tc>
      </w:tr>
      <w:tr w:rsidR="00BC32E0" w:rsidRPr="00DE7306" w14:paraId="4F6F6A39" w14:textId="77777777" w:rsidTr="00882BB2">
        <w:trPr>
          <w:trHeight w:val="315"/>
        </w:trPr>
        <w:tc>
          <w:tcPr>
            <w:tcW w:w="0" w:type="auto"/>
            <w:tcBorders>
              <w:top w:val="nil"/>
              <w:left w:val="nil"/>
              <w:bottom w:val="nil"/>
              <w:right w:val="nil"/>
            </w:tcBorders>
            <w:shd w:val="clear" w:color="auto" w:fill="auto"/>
            <w:noWrap/>
            <w:vAlign w:val="center"/>
            <w:hideMark/>
          </w:tcPr>
          <w:p w14:paraId="787C851D" w14:textId="77777777" w:rsidR="00BC32E0" w:rsidRPr="00DE7306" w:rsidRDefault="00BC32E0" w:rsidP="00882BB2">
            <w:pPr>
              <w:spacing w:before="0" w:after="0"/>
              <w:rPr>
                <w:rFonts w:eastAsia="Times New Roman" w:cs="Times New Roman"/>
                <w:color w:val="000000"/>
                <w:sz w:val="20"/>
                <w:szCs w:val="20"/>
              </w:rPr>
            </w:pPr>
            <w:r w:rsidRPr="00DE7306">
              <w:rPr>
                <w:rFonts w:eastAsia="Times New Roman" w:cs="Times New Roman"/>
                <w:color w:val="000000"/>
                <w:sz w:val="20"/>
                <w:szCs w:val="20"/>
              </w:rPr>
              <w:t>PRJ</w:t>
            </w:r>
          </w:p>
        </w:tc>
        <w:tc>
          <w:tcPr>
            <w:tcW w:w="0" w:type="auto"/>
            <w:tcBorders>
              <w:top w:val="nil"/>
              <w:left w:val="nil"/>
              <w:bottom w:val="nil"/>
              <w:right w:val="nil"/>
            </w:tcBorders>
            <w:shd w:val="clear" w:color="auto" w:fill="auto"/>
            <w:noWrap/>
            <w:vAlign w:val="center"/>
            <w:hideMark/>
          </w:tcPr>
          <w:p w14:paraId="5C0BB49A"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0.140</w:t>
            </w:r>
          </w:p>
        </w:tc>
        <w:tc>
          <w:tcPr>
            <w:tcW w:w="0" w:type="auto"/>
            <w:tcBorders>
              <w:top w:val="nil"/>
              <w:left w:val="nil"/>
              <w:bottom w:val="nil"/>
              <w:right w:val="nil"/>
            </w:tcBorders>
            <w:shd w:val="clear" w:color="auto" w:fill="auto"/>
            <w:noWrap/>
            <w:vAlign w:val="center"/>
            <w:hideMark/>
          </w:tcPr>
          <w:p w14:paraId="481C5694"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0.217</w:t>
            </w:r>
          </w:p>
        </w:tc>
        <w:tc>
          <w:tcPr>
            <w:tcW w:w="0" w:type="auto"/>
            <w:tcBorders>
              <w:top w:val="nil"/>
              <w:left w:val="nil"/>
              <w:bottom w:val="nil"/>
              <w:right w:val="nil"/>
            </w:tcBorders>
            <w:shd w:val="clear" w:color="auto" w:fill="auto"/>
            <w:noWrap/>
            <w:vAlign w:val="center"/>
            <w:hideMark/>
          </w:tcPr>
          <w:p w14:paraId="0232556B"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0.053</w:t>
            </w:r>
          </w:p>
        </w:tc>
        <w:tc>
          <w:tcPr>
            <w:tcW w:w="0" w:type="auto"/>
            <w:tcBorders>
              <w:top w:val="nil"/>
              <w:left w:val="nil"/>
              <w:bottom w:val="nil"/>
              <w:right w:val="nil"/>
            </w:tcBorders>
            <w:shd w:val="clear" w:color="auto" w:fill="auto"/>
            <w:noWrap/>
            <w:vAlign w:val="center"/>
            <w:hideMark/>
          </w:tcPr>
          <w:p w14:paraId="6003A1B1" w14:textId="77777777" w:rsidR="00BC32E0" w:rsidRPr="00DE7306"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065EE982" w14:textId="77777777" w:rsidR="00BC32E0" w:rsidRPr="00DE7306"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0230E16B" w14:textId="77777777" w:rsidR="00BC32E0" w:rsidRPr="00DE7306" w:rsidRDefault="00BC32E0" w:rsidP="00882BB2">
            <w:pPr>
              <w:spacing w:before="0" w:after="0"/>
              <w:jc w:val="center"/>
              <w:rPr>
                <w:rFonts w:eastAsia="Times New Roman" w:cs="Times New Roman"/>
                <w:sz w:val="20"/>
                <w:szCs w:val="20"/>
              </w:rPr>
            </w:pPr>
          </w:p>
        </w:tc>
        <w:tc>
          <w:tcPr>
            <w:tcW w:w="0" w:type="auto"/>
            <w:tcBorders>
              <w:top w:val="nil"/>
              <w:left w:val="nil"/>
              <w:bottom w:val="nil"/>
              <w:right w:val="nil"/>
            </w:tcBorders>
            <w:shd w:val="clear" w:color="auto" w:fill="auto"/>
            <w:noWrap/>
            <w:vAlign w:val="center"/>
            <w:hideMark/>
          </w:tcPr>
          <w:p w14:paraId="28447A66" w14:textId="77777777" w:rsidR="00BC32E0" w:rsidRPr="00DE7306" w:rsidRDefault="00BC32E0" w:rsidP="00882BB2">
            <w:pPr>
              <w:spacing w:before="0" w:after="0"/>
              <w:jc w:val="center"/>
              <w:rPr>
                <w:rFonts w:eastAsia="Times New Roman" w:cs="Times New Roman"/>
                <w:sz w:val="20"/>
                <w:szCs w:val="20"/>
              </w:rPr>
            </w:pPr>
          </w:p>
        </w:tc>
        <w:tc>
          <w:tcPr>
            <w:tcW w:w="0" w:type="auto"/>
            <w:tcBorders>
              <w:top w:val="nil"/>
              <w:left w:val="nil"/>
              <w:bottom w:val="nil"/>
              <w:right w:val="nil"/>
            </w:tcBorders>
            <w:shd w:val="clear" w:color="auto" w:fill="auto"/>
            <w:noWrap/>
            <w:vAlign w:val="center"/>
            <w:hideMark/>
          </w:tcPr>
          <w:p w14:paraId="66185B32" w14:textId="77777777" w:rsidR="00BC32E0" w:rsidRPr="00DE7306" w:rsidRDefault="00BC32E0" w:rsidP="00882BB2">
            <w:pPr>
              <w:spacing w:before="0" w:after="0"/>
              <w:jc w:val="center"/>
              <w:rPr>
                <w:rFonts w:eastAsia="Times New Roman" w:cs="Times New Roman"/>
                <w:sz w:val="20"/>
                <w:szCs w:val="20"/>
              </w:rPr>
            </w:pPr>
          </w:p>
        </w:tc>
      </w:tr>
      <w:tr w:rsidR="00BC32E0" w:rsidRPr="00DE7306" w14:paraId="05AF13FC" w14:textId="77777777" w:rsidTr="00882BB2">
        <w:trPr>
          <w:trHeight w:val="330"/>
        </w:trPr>
        <w:tc>
          <w:tcPr>
            <w:tcW w:w="0" w:type="auto"/>
            <w:tcBorders>
              <w:top w:val="nil"/>
              <w:left w:val="nil"/>
              <w:bottom w:val="nil"/>
              <w:right w:val="nil"/>
            </w:tcBorders>
            <w:shd w:val="clear" w:color="auto" w:fill="auto"/>
            <w:noWrap/>
            <w:vAlign w:val="center"/>
            <w:hideMark/>
          </w:tcPr>
          <w:p w14:paraId="004AFD7A" w14:textId="77777777" w:rsidR="00BC32E0" w:rsidRPr="00DE7306" w:rsidRDefault="00BC32E0" w:rsidP="00882BB2">
            <w:pPr>
              <w:spacing w:before="0" w:after="0"/>
              <w:rPr>
                <w:rFonts w:eastAsia="Times New Roman" w:cs="Times New Roman"/>
                <w:color w:val="000000"/>
                <w:sz w:val="20"/>
                <w:szCs w:val="20"/>
              </w:rPr>
            </w:pPr>
            <w:r w:rsidRPr="00DE7306">
              <w:rPr>
                <w:rFonts w:eastAsia="Times New Roman" w:cs="Times New Roman"/>
                <w:color w:val="000000"/>
                <w:sz w:val="20"/>
                <w:szCs w:val="20"/>
              </w:rPr>
              <w:t>CP</w:t>
            </w:r>
          </w:p>
        </w:tc>
        <w:tc>
          <w:tcPr>
            <w:tcW w:w="0" w:type="auto"/>
            <w:tcBorders>
              <w:top w:val="nil"/>
              <w:left w:val="nil"/>
              <w:bottom w:val="nil"/>
              <w:right w:val="nil"/>
            </w:tcBorders>
            <w:shd w:val="clear" w:color="auto" w:fill="auto"/>
            <w:noWrap/>
            <w:vAlign w:val="center"/>
            <w:hideMark/>
          </w:tcPr>
          <w:p w14:paraId="57EAF2F5"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0.717</w:t>
            </w:r>
            <w:r>
              <w:rPr>
                <w:rFonts w:cs="Times New Roman"/>
                <w:sz w:val="20"/>
                <w:szCs w:val="20"/>
              </w:rPr>
              <w:t>***</w:t>
            </w:r>
          </w:p>
        </w:tc>
        <w:tc>
          <w:tcPr>
            <w:tcW w:w="0" w:type="auto"/>
            <w:tcBorders>
              <w:top w:val="nil"/>
              <w:left w:val="nil"/>
              <w:bottom w:val="nil"/>
              <w:right w:val="nil"/>
            </w:tcBorders>
            <w:shd w:val="clear" w:color="auto" w:fill="auto"/>
            <w:noWrap/>
            <w:vAlign w:val="center"/>
            <w:hideMark/>
          </w:tcPr>
          <w:p w14:paraId="6B777F56"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0.193</w:t>
            </w:r>
          </w:p>
        </w:tc>
        <w:tc>
          <w:tcPr>
            <w:tcW w:w="0" w:type="auto"/>
            <w:tcBorders>
              <w:top w:val="nil"/>
              <w:left w:val="nil"/>
              <w:bottom w:val="nil"/>
              <w:right w:val="nil"/>
            </w:tcBorders>
            <w:shd w:val="clear" w:color="auto" w:fill="auto"/>
            <w:noWrap/>
            <w:vAlign w:val="center"/>
            <w:hideMark/>
          </w:tcPr>
          <w:p w14:paraId="625D08C4"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0.599</w:t>
            </w:r>
            <w:r>
              <w:rPr>
                <w:rFonts w:cs="Times New Roman"/>
                <w:sz w:val="20"/>
                <w:szCs w:val="20"/>
              </w:rPr>
              <w:t>***</w:t>
            </w:r>
          </w:p>
        </w:tc>
        <w:tc>
          <w:tcPr>
            <w:tcW w:w="0" w:type="auto"/>
            <w:tcBorders>
              <w:top w:val="nil"/>
              <w:left w:val="nil"/>
              <w:bottom w:val="nil"/>
              <w:right w:val="nil"/>
            </w:tcBorders>
            <w:shd w:val="clear" w:color="auto" w:fill="auto"/>
            <w:noWrap/>
            <w:vAlign w:val="center"/>
            <w:hideMark/>
          </w:tcPr>
          <w:p w14:paraId="2626313B"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0.475</w:t>
            </w:r>
            <w:r>
              <w:rPr>
                <w:rFonts w:cs="Times New Roman"/>
                <w:sz w:val="20"/>
                <w:szCs w:val="20"/>
              </w:rPr>
              <w:t>**</w:t>
            </w:r>
          </w:p>
        </w:tc>
        <w:tc>
          <w:tcPr>
            <w:tcW w:w="0" w:type="auto"/>
            <w:tcBorders>
              <w:top w:val="nil"/>
              <w:left w:val="nil"/>
              <w:bottom w:val="nil"/>
              <w:right w:val="nil"/>
            </w:tcBorders>
            <w:shd w:val="clear" w:color="auto" w:fill="auto"/>
            <w:noWrap/>
            <w:vAlign w:val="center"/>
            <w:hideMark/>
          </w:tcPr>
          <w:p w14:paraId="223B58BC" w14:textId="77777777" w:rsidR="00BC32E0" w:rsidRPr="00DE7306"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59C7F5E4" w14:textId="77777777" w:rsidR="00BC32E0" w:rsidRPr="00DE7306"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6731249C" w14:textId="77777777" w:rsidR="00BC32E0" w:rsidRPr="00DE7306" w:rsidRDefault="00BC32E0" w:rsidP="00882BB2">
            <w:pPr>
              <w:spacing w:before="0" w:after="0"/>
              <w:jc w:val="center"/>
              <w:rPr>
                <w:rFonts w:eastAsia="Times New Roman" w:cs="Times New Roman"/>
                <w:sz w:val="20"/>
                <w:szCs w:val="20"/>
              </w:rPr>
            </w:pPr>
          </w:p>
        </w:tc>
        <w:tc>
          <w:tcPr>
            <w:tcW w:w="0" w:type="auto"/>
            <w:tcBorders>
              <w:top w:val="nil"/>
              <w:left w:val="nil"/>
              <w:bottom w:val="nil"/>
              <w:right w:val="nil"/>
            </w:tcBorders>
            <w:shd w:val="clear" w:color="auto" w:fill="auto"/>
            <w:noWrap/>
            <w:vAlign w:val="center"/>
            <w:hideMark/>
          </w:tcPr>
          <w:p w14:paraId="63566D61" w14:textId="77777777" w:rsidR="00BC32E0" w:rsidRPr="00DE7306" w:rsidRDefault="00BC32E0" w:rsidP="00882BB2">
            <w:pPr>
              <w:spacing w:before="0" w:after="0"/>
              <w:jc w:val="center"/>
              <w:rPr>
                <w:rFonts w:eastAsia="Times New Roman" w:cs="Times New Roman"/>
                <w:sz w:val="20"/>
                <w:szCs w:val="20"/>
              </w:rPr>
            </w:pPr>
          </w:p>
        </w:tc>
      </w:tr>
      <w:tr w:rsidR="00BC32E0" w:rsidRPr="00DE7306" w14:paraId="2C5819D0" w14:textId="77777777" w:rsidTr="00882BB2">
        <w:trPr>
          <w:trHeight w:val="315"/>
        </w:trPr>
        <w:tc>
          <w:tcPr>
            <w:tcW w:w="0" w:type="auto"/>
            <w:tcBorders>
              <w:top w:val="nil"/>
              <w:left w:val="nil"/>
              <w:bottom w:val="nil"/>
              <w:right w:val="nil"/>
            </w:tcBorders>
            <w:shd w:val="clear" w:color="auto" w:fill="auto"/>
            <w:noWrap/>
            <w:vAlign w:val="center"/>
            <w:hideMark/>
          </w:tcPr>
          <w:p w14:paraId="289E53AF" w14:textId="77777777" w:rsidR="00BC32E0" w:rsidRPr="00DE7306" w:rsidRDefault="00BC32E0" w:rsidP="00882BB2">
            <w:pPr>
              <w:spacing w:before="0" w:after="0"/>
              <w:rPr>
                <w:rFonts w:eastAsia="Times New Roman" w:cs="Times New Roman"/>
                <w:color w:val="000000"/>
                <w:sz w:val="20"/>
                <w:szCs w:val="20"/>
              </w:rPr>
            </w:pPr>
            <w:r w:rsidRPr="00DE7306">
              <w:rPr>
                <w:rFonts w:eastAsia="Times New Roman" w:cs="Times New Roman"/>
                <w:color w:val="000000"/>
                <w:sz w:val="20"/>
                <w:szCs w:val="20"/>
              </w:rPr>
              <w:t>WS</w:t>
            </w:r>
          </w:p>
        </w:tc>
        <w:tc>
          <w:tcPr>
            <w:tcW w:w="0" w:type="auto"/>
            <w:tcBorders>
              <w:top w:val="nil"/>
              <w:left w:val="nil"/>
              <w:bottom w:val="nil"/>
              <w:right w:val="nil"/>
            </w:tcBorders>
            <w:shd w:val="clear" w:color="auto" w:fill="auto"/>
            <w:noWrap/>
            <w:vAlign w:val="center"/>
            <w:hideMark/>
          </w:tcPr>
          <w:p w14:paraId="5CFD2FB2"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0.159</w:t>
            </w:r>
          </w:p>
        </w:tc>
        <w:tc>
          <w:tcPr>
            <w:tcW w:w="0" w:type="auto"/>
            <w:tcBorders>
              <w:top w:val="nil"/>
              <w:left w:val="nil"/>
              <w:bottom w:val="nil"/>
              <w:right w:val="nil"/>
            </w:tcBorders>
            <w:shd w:val="clear" w:color="auto" w:fill="auto"/>
            <w:noWrap/>
            <w:vAlign w:val="center"/>
            <w:hideMark/>
          </w:tcPr>
          <w:p w14:paraId="781BB8AC"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0.417</w:t>
            </w:r>
            <w:r>
              <w:rPr>
                <w:rFonts w:cs="Times New Roman"/>
                <w:sz w:val="20"/>
                <w:szCs w:val="20"/>
              </w:rPr>
              <w:t>*</w:t>
            </w:r>
          </w:p>
        </w:tc>
        <w:tc>
          <w:tcPr>
            <w:tcW w:w="0" w:type="auto"/>
            <w:tcBorders>
              <w:top w:val="nil"/>
              <w:left w:val="nil"/>
              <w:bottom w:val="nil"/>
              <w:right w:val="nil"/>
            </w:tcBorders>
            <w:shd w:val="clear" w:color="auto" w:fill="auto"/>
            <w:noWrap/>
            <w:vAlign w:val="center"/>
            <w:hideMark/>
          </w:tcPr>
          <w:p w14:paraId="5A8885BC"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0.331</w:t>
            </w:r>
          </w:p>
        </w:tc>
        <w:tc>
          <w:tcPr>
            <w:tcW w:w="0" w:type="auto"/>
            <w:tcBorders>
              <w:top w:val="nil"/>
              <w:left w:val="nil"/>
              <w:bottom w:val="nil"/>
              <w:right w:val="nil"/>
            </w:tcBorders>
            <w:shd w:val="clear" w:color="auto" w:fill="auto"/>
            <w:noWrap/>
            <w:vAlign w:val="center"/>
            <w:hideMark/>
          </w:tcPr>
          <w:p w14:paraId="427F62D3"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0.089</w:t>
            </w:r>
          </w:p>
        </w:tc>
        <w:tc>
          <w:tcPr>
            <w:tcW w:w="0" w:type="auto"/>
            <w:tcBorders>
              <w:top w:val="nil"/>
              <w:left w:val="nil"/>
              <w:bottom w:val="nil"/>
              <w:right w:val="nil"/>
            </w:tcBorders>
            <w:shd w:val="clear" w:color="auto" w:fill="auto"/>
            <w:noWrap/>
            <w:vAlign w:val="center"/>
            <w:hideMark/>
          </w:tcPr>
          <w:p w14:paraId="2BFF1737"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0.175</w:t>
            </w:r>
          </w:p>
        </w:tc>
        <w:tc>
          <w:tcPr>
            <w:tcW w:w="0" w:type="auto"/>
            <w:tcBorders>
              <w:top w:val="nil"/>
              <w:left w:val="nil"/>
              <w:bottom w:val="nil"/>
              <w:right w:val="nil"/>
            </w:tcBorders>
            <w:shd w:val="clear" w:color="auto" w:fill="auto"/>
            <w:noWrap/>
            <w:vAlign w:val="center"/>
            <w:hideMark/>
          </w:tcPr>
          <w:p w14:paraId="742A554B" w14:textId="77777777" w:rsidR="00BC32E0" w:rsidRPr="00DE7306"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171726EB" w14:textId="77777777" w:rsidR="00BC32E0" w:rsidRPr="00DE7306"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6E3CC4D5" w14:textId="77777777" w:rsidR="00BC32E0" w:rsidRPr="00DE7306" w:rsidRDefault="00BC32E0" w:rsidP="00882BB2">
            <w:pPr>
              <w:spacing w:before="0" w:after="0"/>
              <w:jc w:val="center"/>
              <w:rPr>
                <w:rFonts w:eastAsia="Times New Roman" w:cs="Times New Roman"/>
                <w:sz w:val="20"/>
                <w:szCs w:val="20"/>
              </w:rPr>
            </w:pPr>
          </w:p>
        </w:tc>
      </w:tr>
      <w:tr w:rsidR="00BC32E0" w:rsidRPr="00DE7306" w14:paraId="73808180" w14:textId="77777777" w:rsidTr="00882BB2">
        <w:trPr>
          <w:trHeight w:val="315"/>
        </w:trPr>
        <w:tc>
          <w:tcPr>
            <w:tcW w:w="0" w:type="auto"/>
            <w:tcBorders>
              <w:top w:val="nil"/>
              <w:left w:val="nil"/>
              <w:bottom w:val="nil"/>
              <w:right w:val="nil"/>
            </w:tcBorders>
            <w:shd w:val="clear" w:color="auto" w:fill="auto"/>
            <w:noWrap/>
            <w:vAlign w:val="center"/>
            <w:hideMark/>
          </w:tcPr>
          <w:p w14:paraId="4AE312E9" w14:textId="77777777" w:rsidR="00BC32E0" w:rsidRPr="00DE7306" w:rsidRDefault="00BC32E0" w:rsidP="00882BB2">
            <w:pPr>
              <w:spacing w:before="0" w:after="0"/>
              <w:rPr>
                <w:rFonts w:eastAsia="Times New Roman" w:cs="Times New Roman"/>
                <w:color w:val="000000"/>
                <w:sz w:val="20"/>
                <w:szCs w:val="20"/>
              </w:rPr>
            </w:pPr>
            <w:r w:rsidRPr="00DE7306">
              <w:rPr>
                <w:rFonts w:eastAsia="Times New Roman" w:cs="Times New Roman"/>
                <w:color w:val="000000"/>
                <w:sz w:val="20"/>
                <w:szCs w:val="20"/>
              </w:rPr>
              <w:t>DT</w:t>
            </w:r>
          </w:p>
        </w:tc>
        <w:tc>
          <w:tcPr>
            <w:tcW w:w="0" w:type="auto"/>
            <w:tcBorders>
              <w:top w:val="nil"/>
              <w:left w:val="nil"/>
              <w:bottom w:val="nil"/>
              <w:right w:val="nil"/>
            </w:tcBorders>
            <w:shd w:val="clear" w:color="auto" w:fill="auto"/>
            <w:noWrap/>
            <w:vAlign w:val="center"/>
            <w:hideMark/>
          </w:tcPr>
          <w:p w14:paraId="04594007"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0.580</w:t>
            </w:r>
            <w:r>
              <w:rPr>
                <w:rFonts w:cs="Times New Roman"/>
                <w:sz w:val="20"/>
                <w:szCs w:val="20"/>
              </w:rPr>
              <w:t>***</w:t>
            </w:r>
          </w:p>
        </w:tc>
        <w:tc>
          <w:tcPr>
            <w:tcW w:w="0" w:type="auto"/>
            <w:tcBorders>
              <w:top w:val="nil"/>
              <w:left w:val="nil"/>
              <w:bottom w:val="nil"/>
              <w:right w:val="nil"/>
            </w:tcBorders>
            <w:shd w:val="clear" w:color="auto" w:fill="auto"/>
            <w:noWrap/>
            <w:vAlign w:val="center"/>
            <w:hideMark/>
          </w:tcPr>
          <w:p w14:paraId="6EF9F5AD"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0.176</w:t>
            </w:r>
          </w:p>
        </w:tc>
        <w:tc>
          <w:tcPr>
            <w:tcW w:w="0" w:type="auto"/>
            <w:tcBorders>
              <w:top w:val="nil"/>
              <w:left w:val="nil"/>
              <w:bottom w:val="nil"/>
              <w:right w:val="nil"/>
            </w:tcBorders>
            <w:shd w:val="clear" w:color="auto" w:fill="auto"/>
            <w:noWrap/>
            <w:vAlign w:val="center"/>
            <w:hideMark/>
          </w:tcPr>
          <w:p w14:paraId="0652E357"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0.610</w:t>
            </w:r>
            <w:r>
              <w:rPr>
                <w:rFonts w:cs="Times New Roman"/>
                <w:sz w:val="20"/>
                <w:szCs w:val="20"/>
              </w:rPr>
              <w:t>***</w:t>
            </w:r>
          </w:p>
        </w:tc>
        <w:tc>
          <w:tcPr>
            <w:tcW w:w="0" w:type="auto"/>
            <w:tcBorders>
              <w:top w:val="nil"/>
              <w:left w:val="nil"/>
              <w:bottom w:val="nil"/>
              <w:right w:val="nil"/>
            </w:tcBorders>
            <w:shd w:val="clear" w:color="auto" w:fill="auto"/>
            <w:noWrap/>
            <w:vAlign w:val="center"/>
            <w:hideMark/>
          </w:tcPr>
          <w:p w14:paraId="34E82CE4"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0.099</w:t>
            </w:r>
          </w:p>
        </w:tc>
        <w:tc>
          <w:tcPr>
            <w:tcW w:w="0" w:type="auto"/>
            <w:tcBorders>
              <w:top w:val="nil"/>
              <w:left w:val="nil"/>
              <w:bottom w:val="nil"/>
              <w:right w:val="nil"/>
            </w:tcBorders>
            <w:shd w:val="clear" w:color="auto" w:fill="auto"/>
            <w:noWrap/>
            <w:vAlign w:val="center"/>
            <w:hideMark/>
          </w:tcPr>
          <w:p w14:paraId="4A0EE7B7"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0.530</w:t>
            </w:r>
            <w:r>
              <w:rPr>
                <w:rFonts w:cs="Times New Roman"/>
                <w:sz w:val="20"/>
                <w:szCs w:val="20"/>
              </w:rPr>
              <w:t>**</w:t>
            </w:r>
          </w:p>
        </w:tc>
        <w:tc>
          <w:tcPr>
            <w:tcW w:w="0" w:type="auto"/>
            <w:tcBorders>
              <w:top w:val="nil"/>
              <w:left w:val="nil"/>
              <w:bottom w:val="nil"/>
              <w:right w:val="nil"/>
            </w:tcBorders>
            <w:shd w:val="clear" w:color="auto" w:fill="auto"/>
            <w:noWrap/>
            <w:vAlign w:val="center"/>
            <w:hideMark/>
          </w:tcPr>
          <w:p w14:paraId="38DC3CDC"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0.551</w:t>
            </w:r>
            <w:r>
              <w:rPr>
                <w:rFonts w:cs="Times New Roman"/>
                <w:sz w:val="20"/>
                <w:szCs w:val="20"/>
              </w:rPr>
              <w:t>***</w:t>
            </w:r>
          </w:p>
        </w:tc>
        <w:tc>
          <w:tcPr>
            <w:tcW w:w="0" w:type="auto"/>
            <w:tcBorders>
              <w:top w:val="nil"/>
              <w:left w:val="nil"/>
              <w:bottom w:val="nil"/>
              <w:right w:val="nil"/>
            </w:tcBorders>
            <w:shd w:val="clear" w:color="auto" w:fill="auto"/>
            <w:noWrap/>
            <w:vAlign w:val="center"/>
            <w:hideMark/>
          </w:tcPr>
          <w:p w14:paraId="7417948B" w14:textId="77777777" w:rsidR="00BC32E0" w:rsidRPr="00DE7306"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47AA836B" w14:textId="77777777" w:rsidR="00BC32E0" w:rsidRPr="00DE7306" w:rsidRDefault="00BC32E0" w:rsidP="00882BB2">
            <w:pPr>
              <w:spacing w:before="0" w:after="0"/>
              <w:jc w:val="center"/>
              <w:rPr>
                <w:rFonts w:eastAsia="Times New Roman" w:cs="Times New Roman"/>
                <w:color w:val="000000"/>
                <w:sz w:val="20"/>
                <w:szCs w:val="20"/>
              </w:rPr>
            </w:pPr>
          </w:p>
        </w:tc>
      </w:tr>
      <w:tr w:rsidR="00BC32E0" w:rsidRPr="00DE7306" w14:paraId="2B82ECB9" w14:textId="77777777" w:rsidTr="00882BB2">
        <w:trPr>
          <w:trHeight w:val="315"/>
        </w:trPr>
        <w:tc>
          <w:tcPr>
            <w:tcW w:w="0" w:type="auto"/>
            <w:tcBorders>
              <w:top w:val="nil"/>
              <w:left w:val="nil"/>
              <w:bottom w:val="nil"/>
              <w:right w:val="nil"/>
            </w:tcBorders>
            <w:shd w:val="clear" w:color="auto" w:fill="auto"/>
            <w:noWrap/>
            <w:vAlign w:val="center"/>
            <w:hideMark/>
          </w:tcPr>
          <w:p w14:paraId="23F4FF57" w14:textId="77777777" w:rsidR="00BC32E0" w:rsidRPr="00DE7306" w:rsidRDefault="00BC32E0" w:rsidP="00882BB2">
            <w:pPr>
              <w:spacing w:before="0" w:after="0"/>
              <w:rPr>
                <w:rFonts w:eastAsia="Times New Roman" w:cs="Times New Roman"/>
                <w:color w:val="000000"/>
                <w:sz w:val="20"/>
                <w:szCs w:val="20"/>
              </w:rPr>
            </w:pPr>
            <w:r w:rsidRPr="00DE7306">
              <w:rPr>
                <w:rFonts w:eastAsia="Times New Roman" w:cs="Times New Roman"/>
                <w:color w:val="000000"/>
                <w:sz w:val="20"/>
                <w:szCs w:val="20"/>
              </w:rPr>
              <w:t>BC</w:t>
            </w:r>
          </w:p>
        </w:tc>
        <w:tc>
          <w:tcPr>
            <w:tcW w:w="0" w:type="auto"/>
            <w:tcBorders>
              <w:top w:val="nil"/>
              <w:left w:val="nil"/>
              <w:bottom w:val="nil"/>
              <w:right w:val="nil"/>
            </w:tcBorders>
            <w:shd w:val="clear" w:color="auto" w:fill="auto"/>
            <w:noWrap/>
            <w:vAlign w:val="center"/>
            <w:hideMark/>
          </w:tcPr>
          <w:p w14:paraId="08F47F8E"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0.461</w:t>
            </w:r>
            <w:r>
              <w:rPr>
                <w:rFonts w:cs="Times New Roman"/>
                <w:sz w:val="20"/>
                <w:szCs w:val="20"/>
              </w:rPr>
              <w:t>**</w:t>
            </w:r>
          </w:p>
        </w:tc>
        <w:tc>
          <w:tcPr>
            <w:tcW w:w="0" w:type="auto"/>
            <w:tcBorders>
              <w:top w:val="nil"/>
              <w:left w:val="nil"/>
              <w:bottom w:val="nil"/>
              <w:right w:val="nil"/>
            </w:tcBorders>
            <w:shd w:val="clear" w:color="auto" w:fill="auto"/>
            <w:noWrap/>
            <w:vAlign w:val="center"/>
            <w:hideMark/>
          </w:tcPr>
          <w:p w14:paraId="26CE20FC"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0.244</w:t>
            </w:r>
          </w:p>
        </w:tc>
        <w:tc>
          <w:tcPr>
            <w:tcW w:w="0" w:type="auto"/>
            <w:tcBorders>
              <w:top w:val="nil"/>
              <w:left w:val="nil"/>
              <w:bottom w:val="nil"/>
              <w:right w:val="nil"/>
            </w:tcBorders>
            <w:shd w:val="clear" w:color="auto" w:fill="auto"/>
            <w:noWrap/>
            <w:vAlign w:val="center"/>
            <w:hideMark/>
          </w:tcPr>
          <w:p w14:paraId="4CD43871"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0.520</w:t>
            </w:r>
            <w:r>
              <w:rPr>
                <w:rFonts w:cs="Times New Roman"/>
                <w:sz w:val="20"/>
                <w:szCs w:val="20"/>
              </w:rPr>
              <w:t>**</w:t>
            </w:r>
          </w:p>
        </w:tc>
        <w:tc>
          <w:tcPr>
            <w:tcW w:w="0" w:type="auto"/>
            <w:tcBorders>
              <w:top w:val="nil"/>
              <w:left w:val="nil"/>
              <w:bottom w:val="nil"/>
              <w:right w:val="nil"/>
            </w:tcBorders>
            <w:shd w:val="clear" w:color="auto" w:fill="auto"/>
            <w:noWrap/>
            <w:vAlign w:val="center"/>
            <w:hideMark/>
          </w:tcPr>
          <w:p w14:paraId="0486192D"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-0.010</w:t>
            </w:r>
          </w:p>
        </w:tc>
        <w:tc>
          <w:tcPr>
            <w:tcW w:w="0" w:type="auto"/>
            <w:tcBorders>
              <w:top w:val="nil"/>
              <w:left w:val="nil"/>
              <w:bottom w:val="nil"/>
              <w:right w:val="nil"/>
            </w:tcBorders>
            <w:shd w:val="clear" w:color="auto" w:fill="auto"/>
            <w:noWrap/>
            <w:vAlign w:val="center"/>
            <w:hideMark/>
          </w:tcPr>
          <w:p w14:paraId="278089D3"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0.297</w:t>
            </w:r>
          </w:p>
        </w:tc>
        <w:tc>
          <w:tcPr>
            <w:tcW w:w="0" w:type="auto"/>
            <w:tcBorders>
              <w:top w:val="nil"/>
              <w:left w:val="nil"/>
              <w:bottom w:val="nil"/>
              <w:right w:val="nil"/>
            </w:tcBorders>
            <w:shd w:val="clear" w:color="auto" w:fill="auto"/>
            <w:noWrap/>
            <w:vAlign w:val="center"/>
            <w:hideMark/>
          </w:tcPr>
          <w:p w14:paraId="09341928"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0.600</w:t>
            </w:r>
            <w:r>
              <w:rPr>
                <w:rFonts w:cs="Times New Roman"/>
                <w:sz w:val="20"/>
                <w:szCs w:val="20"/>
              </w:rPr>
              <w:t>***</w:t>
            </w:r>
          </w:p>
        </w:tc>
        <w:tc>
          <w:tcPr>
            <w:tcW w:w="0" w:type="auto"/>
            <w:tcBorders>
              <w:top w:val="nil"/>
              <w:left w:val="nil"/>
              <w:bottom w:val="nil"/>
              <w:right w:val="nil"/>
            </w:tcBorders>
            <w:shd w:val="clear" w:color="auto" w:fill="auto"/>
            <w:noWrap/>
            <w:vAlign w:val="center"/>
            <w:hideMark/>
          </w:tcPr>
          <w:p w14:paraId="2EB5BB2B"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0.798</w:t>
            </w:r>
            <w:r>
              <w:rPr>
                <w:rFonts w:cs="Times New Roman"/>
                <w:sz w:val="20"/>
                <w:szCs w:val="20"/>
              </w:rPr>
              <w:t>***</w:t>
            </w:r>
          </w:p>
        </w:tc>
        <w:tc>
          <w:tcPr>
            <w:tcW w:w="0" w:type="auto"/>
            <w:tcBorders>
              <w:top w:val="nil"/>
              <w:left w:val="nil"/>
              <w:bottom w:val="nil"/>
              <w:right w:val="nil"/>
            </w:tcBorders>
            <w:shd w:val="clear" w:color="auto" w:fill="auto"/>
            <w:noWrap/>
            <w:vAlign w:val="center"/>
            <w:hideMark/>
          </w:tcPr>
          <w:p w14:paraId="0CDA3DD6" w14:textId="77777777" w:rsidR="00BC32E0" w:rsidRPr="00DE7306" w:rsidRDefault="00BC32E0" w:rsidP="00882BB2">
            <w:pPr>
              <w:spacing w:before="0" w:after="0"/>
              <w:jc w:val="center"/>
              <w:rPr>
                <w:rFonts w:eastAsia="Times New Roman" w:cs="Times New Roman"/>
                <w:color w:val="000000"/>
                <w:sz w:val="20"/>
                <w:szCs w:val="20"/>
              </w:rPr>
            </w:pPr>
          </w:p>
        </w:tc>
      </w:tr>
      <w:tr w:rsidR="00BC32E0" w:rsidRPr="00DE7306" w14:paraId="73F4E26B" w14:textId="77777777" w:rsidTr="00882BB2">
        <w:trPr>
          <w:trHeight w:val="330"/>
        </w:trPr>
        <w:tc>
          <w:tcPr>
            <w:tcW w:w="0" w:type="auto"/>
            <w:tcBorders>
              <w:top w:val="nil"/>
              <w:left w:val="nil"/>
              <w:bottom w:val="single" w:sz="4" w:space="0" w:color="auto"/>
              <w:right w:val="nil"/>
            </w:tcBorders>
            <w:shd w:val="clear" w:color="auto" w:fill="auto"/>
            <w:noWrap/>
            <w:vAlign w:val="center"/>
            <w:hideMark/>
          </w:tcPr>
          <w:p w14:paraId="58C02E9A" w14:textId="77777777" w:rsidR="00BC32E0" w:rsidRPr="00DE7306" w:rsidRDefault="00BC32E0" w:rsidP="00882BB2">
            <w:pPr>
              <w:spacing w:before="0" w:after="0"/>
              <w:rPr>
                <w:rFonts w:eastAsia="Times New Roman" w:cs="Times New Roman"/>
                <w:color w:val="000000"/>
                <w:sz w:val="20"/>
                <w:szCs w:val="20"/>
              </w:rPr>
            </w:pPr>
            <w:r w:rsidRPr="00DE7306">
              <w:rPr>
                <w:rFonts w:eastAsia="Times New Roman" w:cs="Times New Roman"/>
                <w:color w:val="000000"/>
                <w:sz w:val="20"/>
                <w:szCs w:val="20"/>
              </w:rPr>
              <w:t>PAT</w:t>
            </w:r>
          </w:p>
        </w:tc>
        <w:tc>
          <w:tcPr>
            <w:tcW w:w="0" w:type="auto"/>
            <w:tcBorders>
              <w:top w:val="nil"/>
              <w:left w:val="nil"/>
              <w:bottom w:val="single" w:sz="4" w:space="0" w:color="auto"/>
              <w:right w:val="nil"/>
            </w:tcBorders>
            <w:shd w:val="clear" w:color="auto" w:fill="auto"/>
            <w:noWrap/>
            <w:vAlign w:val="center"/>
            <w:hideMark/>
          </w:tcPr>
          <w:p w14:paraId="5FC8A907"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-0.100</w:t>
            </w:r>
          </w:p>
        </w:tc>
        <w:tc>
          <w:tcPr>
            <w:tcW w:w="0" w:type="auto"/>
            <w:tcBorders>
              <w:top w:val="nil"/>
              <w:left w:val="nil"/>
              <w:bottom w:val="single" w:sz="4" w:space="0" w:color="auto"/>
              <w:right w:val="nil"/>
            </w:tcBorders>
            <w:shd w:val="clear" w:color="auto" w:fill="auto"/>
            <w:noWrap/>
            <w:vAlign w:val="center"/>
            <w:hideMark/>
          </w:tcPr>
          <w:p w14:paraId="30095EA4"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-0.124</w:t>
            </w:r>
          </w:p>
        </w:tc>
        <w:tc>
          <w:tcPr>
            <w:tcW w:w="0" w:type="auto"/>
            <w:tcBorders>
              <w:top w:val="nil"/>
              <w:left w:val="nil"/>
              <w:bottom w:val="single" w:sz="4" w:space="0" w:color="auto"/>
              <w:right w:val="nil"/>
            </w:tcBorders>
            <w:shd w:val="clear" w:color="auto" w:fill="auto"/>
            <w:noWrap/>
            <w:vAlign w:val="center"/>
            <w:hideMark/>
          </w:tcPr>
          <w:p w14:paraId="72807F09"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-0.111</w:t>
            </w:r>
          </w:p>
        </w:tc>
        <w:tc>
          <w:tcPr>
            <w:tcW w:w="0" w:type="auto"/>
            <w:tcBorders>
              <w:top w:val="nil"/>
              <w:left w:val="nil"/>
              <w:bottom w:val="single" w:sz="4" w:space="0" w:color="auto"/>
              <w:right w:val="nil"/>
            </w:tcBorders>
            <w:shd w:val="clear" w:color="auto" w:fill="auto"/>
            <w:noWrap/>
            <w:vAlign w:val="center"/>
            <w:hideMark/>
          </w:tcPr>
          <w:p w14:paraId="469664B8"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0.023</w:t>
            </w:r>
          </w:p>
        </w:tc>
        <w:tc>
          <w:tcPr>
            <w:tcW w:w="0" w:type="auto"/>
            <w:tcBorders>
              <w:top w:val="nil"/>
              <w:left w:val="nil"/>
              <w:bottom w:val="single" w:sz="4" w:space="0" w:color="auto"/>
              <w:right w:val="nil"/>
            </w:tcBorders>
            <w:shd w:val="clear" w:color="auto" w:fill="auto"/>
            <w:noWrap/>
            <w:vAlign w:val="center"/>
            <w:hideMark/>
          </w:tcPr>
          <w:p w14:paraId="12A2C8C7"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-0.180</w:t>
            </w:r>
          </w:p>
        </w:tc>
        <w:tc>
          <w:tcPr>
            <w:tcW w:w="0" w:type="auto"/>
            <w:tcBorders>
              <w:top w:val="nil"/>
              <w:left w:val="nil"/>
              <w:bottom w:val="single" w:sz="4" w:space="0" w:color="auto"/>
              <w:right w:val="nil"/>
            </w:tcBorders>
            <w:shd w:val="clear" w:color="auto" w:fill="auto"/>
            <w:noWrap/>
            <w:vAlign w:val="center"/>
            <w:hideMark/>
          </w:tcPr>
          <w:p w14:paraId="09FD3D48"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-0.123</w:t>
            </w:r>
          </w:p>
        </w:tc>
        <w:tc>
          <w:tcPr>
            <w:tcW w:w="0" w:type="auto"/>
            <w:tcBorders>
              <w:top w:val="nil"/>
              <w:left w:val="nil"/>
              <w:bottom w:val="single" w:sz="4" w:space="0" w:color="auto"/>
              <w:right w:val="nil"/>
            </w:tcBorders>
            <w:shd w:val="clear" w:color="auto" w:fill="auto"/>
            <w:noWrap/>
            <w:vAlign w:val="center"/>
            <w:hideMark/>
          </w:tcPr>
          <w:p w14:paraId="5324B578"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0.000</w:t>
            </w:r>
          </w:p>
        </w:tc>
        <w:tc>
          <w:tcPr>
            <w:tcW w:w="0" w:type="auto"/>
            <w:tcBorders>
              <w:top w:val="nil"/>
              <w:left w:val="nil"/>
              <w:bottom w:val="single" w:sz="4" w:space="0" w:color="auto"/>
              <w:right w:val="nil"/>
            </w:tcBorders>
            <w:shd w:val="clear" w:color="auto" w:fill="auto"/>
            <w:noWrap/>
            <w:vAlign w:val="center"/>
            <w:hideMark/>
          </w:tcPr>
          <w:p w14:paraId="42528CEB" w14:textId="77777777" w:rsidR="00BC32E0" w:rsidRPr="00DE7306" w:rsidRDefault="00BC32E0" w:rsidP="00882BB2">
            <w:pPr>
              <w:spacing w:before="0" w:after="0"/>
              <w:jc w:val="center"/>
              <w:rPr>
                <w:rFonts w:eastAsia="Times New Roman" w:cs="Times New Roman"/>
                <w:color w:val="000000"/>
                <w:sz w:val="20"/>
                <w:szCs w:val="20"/>
              </w:rPr>
            </w:pPr>
            <w:r w:rsidRPr="00DE7306">
              <w:rPr>
                <w:rFonts w:cs="Times New Roman"/>
                <w:sz w:val="20"/>
                <w:szCs w:val="20"/>
              </w:rPr>
              <w:t>-0.125</w:t>
            </w:r>
          </w:p>
        </w:tc>
      </w:tr>
      <w:tr w:rsidR="00BC32E0" w:rsidRPr="00DE7306" w14:paraId="35F21A2B" w14:textId="77777777" w:rsidTr="00882BB2">
        <w:trPr>
          <w:trHeight w:val="330"/>
        </w:trPr>
        <w:tc>
          <w:tcPr>
            <w:tcW w:w="0" w:type="auto"/>
            <w:gridSpan w:val="9"/>
            <w:tcBorders>
              <w:top w:val="single" w:sz="4" w:space="0" w:color="auto"/>
              <w:left w:val="nil"/>
              <w:bottom w:val="nil"/>
              <w:right w:val="nil"/>
            </w:tcBorders>
            <w:shd w:val="clear" w:color="auto" w:fill="auto"/>
            <w:noWrap/>
            <w:vAlign w:val="center"/>
          </w:tcPr>
          <w:p w14:paraId="149F14EA" w14:textId="77777777" w:rsidR="00BC32E0" w:rsidRPr="00DE7306" w:rsidRDefault="00BC32E0" w:rsidP="00882BB2">
            <w:pPr>
              <w:spacing w:before="0" w:after="0"/>
              <w:rPr>
                <w:rFonts w:eastAsia="Times New Roman" w:cs="Times New Roman"/>
                <w:color w:val="000000"/>
                <w:sz w:val="20"/>
                <w:szCs w:val="20"/>
              </w:rPr>
            </w:pPr>
            <w:r w:rsidRPr="00DE7306">
              <w:rPr>
                <w:rFonts w:eastAsia="Times New Roman" w:cs="Times New Roman"/>
                <w:color w:val="000000"/>
                <w:sz w:val="20"/>
                <w:szCs w:val="20"/>
              </w:rPr>
              <w:t xml:space="preserve">Note: Chronbach’s </w:t>
            </w:r>
            <w:r w:rsidRPr="00DE7306">
              <w:rPr>
                <w:rFonts w:cs="Times New Roman"/>
                <w:i/>
                <w:iCs/>
                <w:sz w:val="20"/>
                <w:szCs w:val="20"/>
              </w:rPr>
              <w:t xml:space="preserve">α = </w:t>
            </w:r>
            <w:r w:rsidRPr="00DE7306">
              <w:rPr>
                <w:rFonts w:cs="Times New Roman"/>
                <w:sz w:val="20"/>
                <w:szCs w:val="20"/>
              </w:rPr>
              <w:t>0.54 value, showing moderate relationship.</w:t>
            </w:r>
            <w:r w:rsidRPr="00DE7306">
              <w:rPr>
                <w:rFonts w:eastAsia="Times New Roman" w:cs="Times New Roman"/>
                <w:color w:val="000000"/>
                <w:sz w:val="20"/>
                <w:szCs w:val="20"/>
              </w:rPr>
              <w:t xml:space="preserve"> For two-tailed test and degrees of freedom </w:t>
            </w:r>
            <w:r w:rsidRPr="00DE7306">
              <w:rPr>
                <w:rFonts w:eastAsia="Times New Roman" w:cs="Times New Roman"/>
                <w:i/>
                <w:iCs/>
                <w:color w:val="000000"/>
                <w:sz w:val="20"/>
                <w:szCs w:val="20"/>
              </w:rPr>
              <w:t>v=</w:t>
            </w:r>
            <w:r w:rsidRPr="00DE7306">
              <w:rPr>
                <w:rFonts w:eastAsia="Times New Roman" w:cs="Times New Roman"/>
                <w:color w:val="000000"/>
                <w:sz w:val="20"/>
                <w:szCs w:val="20"/>
              </w:rPr>
              <w:t>20, correlations are significant at *</w:t>
            </w:r>
            <w:r w:rsidRPr="00DE7306">
              <w:rPr>
                <w:rFonts w:eastAsia="Times New Roman" w:cs="Times New Roman"/>
                <w:i/>
                <w:iCs/>
                <w:color w:val="000000"/>
                <w:sz w:val="20"/>
                <w:szCs w:val="20"/>
              </w:rPr>
              <w:t xml:space="preserve">p&lt;0.1; **p&lt;0.05; ***p&lt;0.01 </w:t>
            </w:r>
            <w:r w:rsidRPr="00DE7306">
              <w:rPr>
                <w:rFonts w:eastAsia="Times New Roman" w:cs="Times New Roman"/>
                <w:color w:val="000000"/>
                <w:sz w:val="20"/>
                <w:szCs w:val="20"/>
              </w:rPr>
              <w:t>(two-tailed), respectively.</w:t>
            </w:r>
          </w:p>
        </w:tc>
      </w:tr>
    </w:tbl>
    <w:p w14:paraId="4A8E606E" w14:textId="39FBB854" w:rsidR="00BC32E0" w:rsidRDefault="004D3124" w:rsidP="004D3124">
      <w:r>
        <w:t>Considering projects dedicated to industrial-oriented solutions, i.e., patent deliverables (</w:t>
      </w:r>
      <w:r>
        <w:fldChar w:fldCharType="begin"/>
      </w:r>
      <w:r>
        <w:instrText xml:space="preserve"> REF _Ref62218919 \h </w:instrText>
      </w:r>
      <w:r>
        <w:fldChar w:fldCharType="separate"/>
      </w:r>
      <w:r w:rsidR="00587AF0">
        <w:t xml:space="preserve">Table </w:t>
      </w:r>
      <w:r w:rsidR="00587AF0">
        <w:rPr>
          <w:noProof/>
        </w:rPr>
        <w:t>8</w:t>
      </w:r>
      <w:r>
        <w:fldChar w:fldCharType="end"/>
      </w:r>
      <w:r>
        <w:t>)</w:t>
      </w:r>
      <w:r w:rsidR="00A30F54">
        <w:t>,</w:t>
      </w:r>
      <w:r>
        <w:t xml:space="preserve"> </w:t>
      </w:r>
      <w:r w:rsidR="00BC32E0">
        <w:t>results show the following. The number of institutions (</w:t>
      </w:r>
      <w:r w:rsidR="00010E01">
        <w:rPr>
          <w:i/>
          <w:iCs/>
        </w:rPr>
        <w:t xml:space="preserve">r = </w:t>
      </w:r>
      <w:r w:rsidR="00BC32E0">
        <w:t>0.930), patent deliverables (</w:t>
      </w:r>
      <w:r w:rsidR="00010E01">
        <w:rPr>
          <w:i/>
          <w:iCs/>
        </w:rPr>
        <w:t xml:space="preserve">r = </w:t>
      </w:r>
      <w:r w:rsidR="00BC32E0">
        <w:t>0.745), followed by project duration (</w:t>
      </w:r>
      <w:r w:rsidR="00010E01">
        <w:rPr>
          <w:i/>
          <w:iCs/>
        </w:rPr>
        <w:t xml:space="preserve">r = </w:t>
      </w:r>
      <w:r w:rsidR="00BC32E0">
        <w:t>0.574)</w:t>
      </w:r>
      <w:r w:rsidR="00010E01">
        <w:t>,</w:t>
      </w:r>
      <w:r w:rsidR="00BC32E0">
        <w:t xml:space="preserve"> show the highest correlation to the funds invested, which is reasonable considering the aims of the project. However, there is also a high correlation between independent variables. For instance, dissemination activities such as conference papers (0.789), workshops hosted (0.648), and most notably</w:t>
      </w:r>
      <w:r w:rsidR="00010E01">
        <w:t>,</w:t>
      </w:r>
      <w:r w:rsidR="00BC32E0">
        <w:t xml:space="preserve"> book chapters (0.954) show a tendency to produce more peer review articles and vice versa. </w:t>
      </w:r>
      <w:r w:rsidR="00CB1267">
        <w:t>I</w:t>
      </w:r>
      <w:r w:rsidR="00010E01">
        <w:t>t is plausible to expect that patent results have been communicated to increase the scientific impact through various dissemination activities</w:t>
      </w:r>
      <w:r w:rsidR="00BC32E0">
        <w:t>.</w:t>
      </w:r>
      <w:bookmarkStart w:id="205" w:name="_Ref57216858"/>
    </w:p>
    <w:p w14:paraId="66F08596" w14:textId="77777777" w:rsidR="00CB1267" w:rsidRDefault="00CB1267" w:rsidP="004D3124"/>
    <w:p w14:paraId="531635E0" w14:textId="2D365369" w:rsidR="00BC32E0" w:rsidRDefault="00BC32E0" w:rsidP="00F51E51">
      <w:pPr>
        <w:spacing w:before="0" w:after="160" w:line="259" w:lineRule="auto"/>
        <w:jc w:val="left"/>
      </w:pPr>
      <w:bookmarkStart w:id="206" w:name="_Ref61615093"/>
      <w:bookmarkStart w:id="207" w:name="_Ref62218919"/>
      <w:bookmarkStart w:id="208" w:name="_Ref61615080"/>
      <w:bookmarkStart w:id="209" w:name="_Toc65585498"/>
      <w:bookmarkStart w:id="210" w:name="_Toc101274448"/>
      <w:r>
        <w:lastRenderedPageBreak/>
        <w:t xml:space="preserve">Table </w:t>
      </w:r>
      <w:fldSimple w:instr=" SEQ Table \* ARABIC ">
        <w:r w:rsidR="00587AF0">
          <w:rPr>
            <w:noProof/>
          </w:rPr>
          <w:t>8</w:t>
        </w:r>
      </w:fldSimple>
      <w:bookmarkEnd w:id="205"/>
      <w:bookmarkEnd w:id="206"/>
      <w:bookmarkEnd w:id="207"/>
      <w:r>
        <w:t>. Correlation matrix for projects having a patent as a research deliverable</w:t>
      </w:r>
      <w:bookmarkEnd w:id="208"/>
      <w:bookmarkEnd w:id="209"/>
      <w:bookmarkEnd w:id="210"/>
    </w:p>
    <w:tbl>
      <w:tblPr>
        <w:tblW w:w="0" w:type="auto"/>
        <w:tblLook w:val="04A0" w:firstRow="1" w:lastRow="0" w:firstColumn="1" w:lastColumn="0" w:noHBand="0" w:noVBand="1"/>
      </w:tblPr>
      <w:tblGrid>
        <w:gridCol w:w="830"/>
        <w:gridCol w:w="1086"/>
        <w:gridCol w:w="1087"/>
        <w:gridCol w:w="1087"/>
        <w:gridCol w:w="1087"/>
        <w:gridCol w:w="1087"/>
        <w:gridCol w:w="1087"/>
        <w:gridCol w:w="873"/>
        <w:gridCol w:w="803"/>
      </w:tblGrid>
      <w:tr w:rsidR="00BC32E0" w:rsidRPr="004932B4" w14:paraId="3054EC55" w14:textId="77777777" w:rsidTr="00882BB2">
        <w:trPr>
          <w:trHeight w:val="330"/>
        </w:trPr>
        <w:tc>
          <w:tcPr>
            <w:tcW w:w="0" w:type="auto"/>
            <w:tcBorders>
              <w:top w:val="single" w:sz="4" w:space="0" w:color="auto"/>
              <w:left w:val="nil"/>
              <w:bottom w:val="single" w:sz="4" w:space="0" w:color="auto"/>
              <w:right w:val="nil"/>
            </w:tcBorders>
            <w:shd w:val="clear" w:color="auto" w:fill="auto"/>
            <w:noWrap/>
            <w:vAlign w:val="center"/>
            <w:hideMark/>
          </w:tcPr>
          <w:p w14:paraId="161DAB05" w14:textId="77777777" w:rsidR="00BC32E0" w:rsidRPr="004932B4" w:rsidRDefault="00BC32E0" w:rsidP="00882BB2">
            <w:pPr>
              <w:spacing w:before="0" w:after="0"/>
              <w:rPr>
                <w:rFonts w:eastAsia="Times New Roman" w:cs="Times New Roman"/>
                <w:i/>
                <w:iCs/>
                <w:color w:val="000000"/>
                <w:sz w:val="20"/>
                <w:szCs w:val="20"/>
              </w:rPr>
            </w:pPr>
            <w:r w:rsidRPr="004932B4">
              <w:rPr>
                <w:rFonts w:eastAsia="Times New Roman" w:cs="Times New Roman"/>
                <w:i/>
                <w:iCs/>
                <w:color w:val="000000"/>
                <w:sz w:val="20"/>
                <w:szCs w:val="20"/>
              </w:rPr>
              <w:t> </w:t>
            </w:r>
          </w:p>
        </w:tc>
        <w:tc>
          <w:tcPr>
            <w:tcW w:w="0" w:type="auto"/>
            <w:tcBorders>
              <w:top w:val="single" w:sz="4" w:space="0" w:color="auto"/>
              <w:left w:val="nil"/>
              <w:bottom w:val="single" w:sz="4" w:space="0" w:color="auto"/>
              <w:right w:val="nil"/>
            </w:tcBorders>
            <w:shd w:val="clear" w:color="auto" w:fill="auto"/>
            <w:noWrap/>
            <w:vAlign w:val="center"/>
            <w:hideMark/>
          </w:tcPr>
          <w:p w14:paraId="0B368DBA" w14:textId="77777777" w:rsidR="00BC32E0" w:rsidRPr="00DA3E7D" w:rsidRDefault="00BC32E0" w:rsidP="00882BB2">
            <w:pPr>
              <w:spacing w:before="0" w:after="0"/>
              <w:jc w:val="center"/>
              <w:rPr>
                <w:rFonts w:eastAsia="Times New Roman" w:cs="Times New Roman"/>
                <w:b/>
                <w:bCs/>
                <w:color w:val="000000"/>
                <w:sz w:val="20"/>
                <w:szCs w:val="20"/>
              </w:rPr>
            </w:pPr>
            <w:r w:rsidRPr="00DA3E7D">
              <w:rPr>
                <w:rFonts w:eastAsia="Times New Roman" w:cs="Times New Roman"/>
                <w:b/>
                <w:bCs/>
                <w:color w:val="000000"/>
                <w:sz w:val="20"/>
                <w:szCs w:val="20"/>
              </w:rPr>
              <w:t>OF</w:t>
            </w:r>
          </w:p>
        </w:tc>
        <w:tc>
          <w:tcPr>
            <w:tcW w:w="0" w:type="auto"/>
            <w:tcBorders>
              <w:top w:val="single" w:sz="4" w:space="0" w:color="auto"/>
              <w:left w:val="nil"/>
              <w:bottom w:val="single" w:sz="4" w:space="0" w:color="auto"/>
              <w:right w:val="nil"/>
            </w:tcBorders>
            <w:shd w:val="clear" w:color="auto" w:fill="auto"/>
            <w:noWrap/>
            <w:vAlign w:val="center"/>
            <w:hideMark/>
          </w:tcPr>
          <w:p w14:paraId="46E7C0CF" w14:textId="77777777" w:rsidR="00BC32E0" w:rsidRPr="00DA3E7D" w:rsidRDefault="00BC32E0" w:rsidP="00882BB2">
            <w:pPr>
              <w:spacing w:before="0" w:after="0"/>
              <w:jc w:val="center"/>
              <w:rPr>
                <w:rFonts w:eastAsia="Times New Roman" w:cs="Times New Roman"/>
                <w:b/>
                <w:bCs/>
                <w:color w:val="000000"/>
                <w:sz w:val="20"/>
                <w:szCs w:val="20"/>
              </w:rPr>
            </w:pPr>
            <w:r w:rsidRPr="00DA3E7D">
              <w:rPr>
                <w:rFonts w:eastAsia="Times New Roman" w:cs="Times New Roman"/>
                <w:b/>
                <w:bCs/>
                <w:color w:val="000000"/>
                <w:sz w:val="20"/>
                <w:szCs w:val="20"/>
              </w:rPr>
              <w:t>PLE</w:t>
            </w:r>
          </w:p>
        </w:tc>
        <w:tc>
          <w:tcPr>
            <w:tcW w:w="0" w:type="auto"/>
            <w:tcBorders>
              <w:top w:val="single" w:sz="4" w:space="0" w:color="auto"/>
              <w:left w:val="nil"/>
              <w:bottom w:val="single" w:sz="4" w:space="0" w:color="auto"/>
              <w:right w:val="nil"/>
            </w:tcBorders>
            <w:shd w:val="clear" w:color="auto" w:fill="auto"/>
            <w:noWrap/>
            <w:vAlign w:val="center"/>
            <w:hideMark/>
          </w:tcPr>
          <w:p w14:paraId="43DC8D6E" w14:textId="77777777" w:rsidR="00BC32E0" w:rsidRPr="00DA3E7D" w:rsidRDefault="00BC32E0" w:rsidP="00882BB2">
            <w:pPr>
              <w:spacing w:before="0" w:after="0"/>
              <w:jc w:val="center"/>
              <w:rPr>
                <w:rFonts w:eastAsia="Times New Roman" w:cs="Times New Roman"/>
                <w:b/>
                <w:bCs/>
                <w:color w:val="000000"/>
                <w:sz w:val="20"/>
                <w:szCs w:val="20"/>
              </w:rPr>
            </w:pPr>
            <w:r w:rsidRPr="00DA3E7D">
              <w:rPr>
                <w:rFonts w:eastAsia="Times New Roman" w:cs="Times New Roman"/>
                <w:b/>
                <w:bCs/>
                <w:color w:val="000000"/>
                <w:sz w:val="20"/>
                <w:szCs w:val="20"/>
              </w:rPr>
              <w:t>INST</w:t>
            </w:r>
          </w:p>
        </w:tc>
        <w:tc>
          <w:tcPr>
            <w:tcW w:w="0" w:type="auto"/>
            <w:tcBorders>
              <w:top w:val="single" w:sz="4" w:space="0" w:color="auto"/>
              <w:left w:val="nil"/>
              <w:bottom w:val="single" w:sz="4" w:space="0" w:color="auto"/>
              <w:right w:val="nil"/>
            </w:tcBorders>
            <w:shd w:val="clear" w:color="auto" w:fill="auto"/>
            <w:noWrap/>
            <w:vAlign w:val="center"/>
            <w:hideMark/>
          </w:tcPr>
          <w:p w14:paraId="7F2A92B1" w14:textId="77777777" w:rsidR="00BC32E0" w:rsidRPr="00DA3E7D" w:rsidRDefault="00BC32E0" w:rsidP="00882BB2">
            <w:pPr>
              <w:spacing w:before="0" w:after="0"/>
              <w:jc w:val="center"/>
              <w:rPr>
                <w:rFonts w:eastAsia="Times New Roman" w:cs="Times New Roman"/>
                <w:b/>
                <w:bCs/>
                <w:color w:val="000000"/>
                <w:sz w:val="20"/>
                <w:szCs w:val="20"/>
              </w:rPr>
            </w:pPr>
            <w:r w:rsidRPr="00DA3E7D">
              <w:rPr>
                <w:rFonts w:eastAsia="Times New Roman" w:cs="Times New Roman"/>
                <w:b/>
                <w:bCs/>
                <w:color w:val="000000"/>
                <w:sz w:val="20"/>
                <w:szCs w:val="20"/>
              </w:rPr>
              <w:t>PRJ</w:t>
            </w:r>
          </w:p>
        </w:tc>
        <w:tc>
          <w:tcPr>
            <w:tcW w:w="0" w:type="auto"/>
            <w:tcBorders>
              <w:top w:val="single" w:sz="4" w:space="0" w:color="auto"/>
              <w:left w:val="nil"/>
              <w:bottom w:val="single" w:sz="4" w:space="0" w:color="auto"/>
              <w:right w:val="nil"/>
            </w:tcBorders>
            <w:shd w:val="clear" w:color="auto" w:fill="auto"/>
            <w:noWrap/>
            <w:vAlign w:val="center"/>
            <w:hideMark/>
          </w:tcPr>
          <w:p w14:paraId="1F4A996C" w14:textId="77777777" w:rsidR="00BC32E0" w:rsidRPr="00DA3E7D" w:rsidRDefault="00BC32E0" w:rsidP="00882BB2">
            <w:pPr>
              <w:spacing w:before="0" w:after="0"/>
              <w:jc w:val="center"/>
              <w:rPr>
                <w:rFonts w:eastAsia="Times New Roman" w:cs="Times New Roman"/>
                <w:b/>
                <w:bCs/>
                <w:color w:val="000000"/>
                <w:sz w:val="20"/>
                <w:szCs w:val="20"/>
              </w:rPr>
            </w:pPr>
            <w:r w:rsidRPr="00DA3E7D">
              <w:rPr>
                <w:rFonts w:eastAsia="Times New Roman" w:cs="Times New Roman"/>
                <w:b/>
                <w:bCs/>
                <w:color w:val="000000"/>
                <w:sz w:val="20"/>
                <w:szCs w:val="20"/>
              </w:rPr>
              <w:t>CP</w:t>
            </w:r>
          </w:p>
        </w:tc>
        <w:tc>
          <w:tcPr>
            <w:tcW w:w="0" w:type="auto"/>
            <w:tcBorders>
              <w:top w:val="single" w:sz="4" w:space="0" w:color="auto"/>
              <w:left w:val="nil"/>
              <w:bottom w:val="single" w:sz="4" w:space="0" w:color="auto"/>
              <w:right w:val="nil"/>
            </w:tcBorders>
            <w:shd w:val="clear" w:color="auto" w:fill="auto"/>
            <w:noWrap/>
            <w:vAlign w:val="center"/>
            <w:hideMark/>
          </w:tcPr>
          <w:p w14:paraId="0BEC874C" w14:textId="77777777" w:rsidR="00BC32E0" w:rsidRPr="00DA3E7D" w:rsidRDefault="00BC32E0" w:rsidP="00882BB2">
            <w:pPr>
              <w:spacing w:before="0" w:after="0"/>
              <w:jc w:val="center"/>
              <w:rPr>
                <w:rFonts w:eastAsia="Times New Roman" w:cs="Times New Roman"/>
                <w:b/>
                <w:bCs/>
                <w:color w:val="000000"/>
                <w:sz w:val="20"/>
                <w:szCs w:val="20"/>
              </w:rPr>
            </w:pPr>
            <w:r w:rsidRPr="00DA3E7D">
              <w:rPr>
                <w:rFonts w:eastAsia="Times New Roman" w:cs="Times New Roman"/>
                <w:b/>
                <w:bCs/>
                <w:color w:val="000000"/>
                <w:sz w:val="20"/>
                <w:szCs w:val="20"/>
              </w:rPr>
              <w:t>WS</w:t>
            </w:r>
          </w:p>
        </w:tc>
        <w:tc>
          <w:tcPr>
            <w:tcW w:w="0" w:type="auto"/>
            <w:tcBorders>
              <w:top w:val="single" w:sz="4" w:space="0" w:color="auto"/>
              <w:left w:val="nil"/>
              <w:bottom w:val="single" w:sz="4" w:space="0" w:color="auto"/>
              <w:right w:val="nil"/>
            </w:tcBorders>
            <w:shd w:val="clear" w:color="auto" w:fill="auto"/>
            <w:noWrap/>
            <w:vAlign w:val="center"/>
            <w:hideMark/>
          </w:tcPr>
          <w:p w14:paraId="0C0F37E5" w14:textId="77777777" w:rsidR="00BC32E0" w:rsidRPr="00DA3E7D" w:rsidRDefault="00BC32E0" w:rsidP="00882BB2">
            <w:pPr>
              <w:spacing w:before="0" w:after="0"/>
              <w:jc w:val="center"/>
              <w:rPr>
                <w:rFonts w:eastAsia="Times New Roman" w:cs="Times New Roman"/>
                <w:b/>
                <w:bCs/>
                <w:color w:val="000000"/>
                <w:sz w:val="20"/>
                <w:szCs w:val="20"/>
              </w:rPr>
            </w:pPr>
            <w:r w:rsidRPr="00DA3E7D">
              <w:rPr>
                <w:rFonts w:eastAsia="Times New Roman" w:cs="Times New Roman"/>
                <w:b/>
                <w:bCs/>
                <w:color w:val="000000"/>
                <w:sz w:val="20"/>
                <w:szCs w:val="20"/>
              </w:rPr>
              <w:t>DT</w:t>
            </w:r>
          </w:p>
        </w:tc>
        <w:tc>
          <w:tcPr>
            <w:tcW w:w="0" w:type="auto"/>
            <w:tcBorders>
              <w:top w:val="single" w:sz="4" w:space="0" w:color="auto"/>
              <w:left w:val="nil"/>
              <w:bottom w:val="single" w:sz="4" w:space="0" w:color="auto"/>
              <w:right w:val="nil"/>
            </w:tcBorders>
            <w:shd w:val="clear" w:color="auto" w:fill="auto"/>
            <w:noWrap/>
            <w:vAlign w:val="center"/>
            <w:hideMark/>
          </w:tcPr>
          <w:p w14:paraId="3EDFF208" w14:textId="77777777" w:rsidR="00BC32E0" w:rsidRPr="00DA3E7D" w:rsidRDefault="00BC32E0" w:rsidP="00882BB2">
            <w:pPr>
              <w:spacing w:before="0" w:after="0"/>
              <w:jc w:val="center"/>
              <w:rPr>
                <w:rFonts w:eastAsia="Times New Roman" w:cs="Times New Roman"/>
                <w:b/>
                <w:bCs/>
                <w:color w:val="000000"/>
                <w:sz w:val="20"/>
                <w:szCs w:val="20"/>
              </w:rPr>
            </w:pPr>
            <w:r w:rsidRPr="00DA3E7D">
              <w:rPr>
                <w:rFonts w:eastAsia="Times New Roman" w:cs="Times New Roman"/>
                <w:b/>
                <w:bCs/>
                <w:color w:val="000000"/>
                <w:sz w:val="20"/>
                <w:szCs w:val="20"/>
              </w:rPr>
              <w:t>BC</w:t>
            </w:r>
          </w:p>
        </w:tc>
      </w:tr>
      <w:tr w:rsidR="00BC32E0" w:rsidRPr="004932B4" w14:paraId="5647EC23" w14:textId="77777777" w:rsidTr="00882BB2">
        <w:trPr>
          <w:trHeight w:val="315"/>
        </w:trPr>
        <w:tc>
          <w:tcPr>
            <w:tcW w:w="0" w:type="auto"/>
            <w:tcBorders>
              <w:top w:val="nil"/>
              <w:left w:val="nil"/>
              <w:bottom w:val="nil"/>
              <w:right w:val="nil"/>
            </w:tcBorders>
            <w:shd w:val="clear" w:color="auto" w:fill="auto"/>
            <w:noWrap/>
            <w:vAlign w:val="center"/>
            <w:hideMark/>
          </w:tcPr>
          <w:p w14:paraId="0ACF2030" w14:textId="77777777" w:rsidR="00BC32E0" w:rsidRPr="004932B4" w:rsidRDefault="00BC32E0" w:rsidP="00882BB2">
            <w:pPr>
              <w:spacing w:before="0" w:after="0"/>
              <w:rPr>
                <w:rFonts w:eastAsia="Times New Roman" w:cs="Times New Roman"/>
                <w:color w:val="000000"/>
                <w:sz w:val="20"/>
                <w:szCs w:val="20"/>
              </w:rPr>
            </w:pPr>
            <w:r w:rsidRPr="004932B4">
              <w:rPr>
                <w:rFonts w:eastAsia="Times New Roman" w:cs="Times New Roman"/>
                <w:color w:val="000000"/>
                <w:sz w:val="20"/>
                <w:szCs w:val="20"/>
              </w:rPr>
              <w:t>PLE</w:t>
            </w:r>
          </w:p>
        </w:tc>
        <w:tc>
          <w:tcPr>
            <w:tcW w:w="0" w:type="auto"/>
            <w:tcBorders>
              <w:top w:val="nil"/>
              <w:left w:val="nil"/>
              <w:bottom w:val="nil"/>
              <w:right w:val="nil"/>
            </w:tcBorders>
            <w:shd w:val="clear" w:color="auto" w:fill="auto"/>
            <w:noWrap/>
            <w:vAlign w:val="center"/>
            <w:hideMark/>
          </w:tcPr>
          <w:p w14:paraId="47128D9B"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0.574***</w:t>
            </w:r>
          </w:p>
        </w:tc>
        <w:tc>
          <w:tcPr>
            <w:tcW w:w="0" w:type="auto"/>
            <w:tcBorders>
              <w:top w:val="nil"/>
              <w:left w:val="nil"/>
              <w:bottom w:val="nil"/>
              <w:right w:val="nil"/>
            </w:tcBorders>
            <w:shd w:val="clear" w:color="auto" w:fill="auto"/>
            <w:noWrap/>
            <w:vAlign w:val="center"/>
            <w:hideMark/>
          </w:tcPr>
          <w:p w14:paraId="2DCF47AE" w14:textId="77777777" w:rsidR="00BC32E0" w:rsidRPr="004932B4"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03FDA5EC" w14:textId="77777777" w:rsidR="00BC32E0" w:rsidRPr="004932B4"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34D2FBB1" w14:textId="77777777" w:rsidR="00BC32E0" w:rsidRPr="004932B4" w:rsidRDefault="00BC32E0" w:rsidP="00882BB2">
            <w:pPr>
              <w:spacing w:before="0" w:after="0"/>
              <w:jc w:val="center"/>
              <w:rPr>
                <w:rFonts w:eastAsia="Times New Roman" w:cs="Times New Roman"/>
                <w:sz w:val="20"/>
                <w:szCs w:val="20"/>
              </w:rPr>
            </w:pPr>
          </w:p>
        </w:tc>
        <w:tc>
          <w:tcPr>
            <w:tcW w:w="0" w:type="auto"/>
            <w:tcBorders>
              <w:top w:val="nil"/>
              <w:left w:val="nil"/>
              <w:bottom w:val="nil"/>
              <w:right w:val="nil"/>
            </w:tcBorders>
            <w:shd w:val="clear" w:color="auto" w:fill="auto"/>
            <w:noWrap/>
            <w:vAlign w:val="center"/>
            <w:hideMark/>
          </w:tcPr>
          <w:p w14:paraId="1D0E8E8B" w14:textId="77777777" w:rsidR="00BC32E0" w:rsidRPr="004932B4" w:rsidRDefault="00BC32E0" w:rsidP="00882BB2">
            <w:pPr>
              <w:spacing w:before="0" w:after="0"/>
              <w:jc w:val="center"/>
              <w:rPr>
                <w:rFonts w:eastAsia="Times New Roman" w:cs="Times New Roman"/>
                <w:sz w:val="20"/>
                <w:szCs w:val="20"/>
              </w:rPr>
            </w:pPr>
          </w:p>
        </w:tc>
        <w:tc>
          <w:tcPr>
            <w:tcW w:w="0" w:type="auto"/>
            <w:tcBorders>
              <w:top w:val="nil"/>
              <w:left w:val="nil"/>
              <w:bottom w:val="nil"/>
              <w:right w:val="nil"/>
            </w:tcBorders>
            <w:shd w:val="clear" w:color="auto" w:fill="auto"/>
            <w:noWrap/>
            <w:vAlign w:val="center"/>
            <w:hideMark/>
          </w:tcPr>
          <w:p w14:paraId="527F2AC9" w14:textId="77777777" w:rsidR="00BC32E0" w:rsidRPr="004932B4" w:rsidRDefault="00BC32E0" w:rsidP="00882BB2">
            <w:pPr>
              <w:spacing w:before="0" w:after="0"/>
              <w:jc w:val="center"/>
              <w:rPr>
                <w:rFonts w:eastAsia="Times New Roman" w:cs="Times New Roman"/>
                <w:sz w:val="20"/>
                <w:szCs w:val="20"/>
              </w:rPr>
            </w:pPr>
          </w:p>
        </w:tc>
        <w:tc>
          <w:tcPr>
            <w:tcW w:w="0" w:type="auto"/>
            <w:tcBorders>
              <w:top w:val="nil"/>
              <w:left w:val="nil"/>
              <w:bottom w:val="nil"/>
              <w:right w:val="nil"/>
            </w:tcBorders>
            <w:shd w:val="clear" w:color="auto" w:fill="auto"/>
            <w:noWrap/>
            <w:vAlign w:val="center"/>
            <w:hideMark/>
          </w:tcPr>
          <w:p w14:paraId="73993503" w14:textId="77777777" w:rsidR="00BC32E0" w:rsidRPr="004932B4" w:rsidRDefault="00BC32E0" w:rsidP="00882BB2">
            <w:pPr>
              <w:spacing w:before="0" w:after="0"/>
              <w:jc w:val="center"/>
              <w:rPr>
                <w:rFonts w:eastAsia="Times New Roman" w:cs="Times New Roman"/>
                <w:sz w:val="20"/>
                <w:szCs w:val="20"/>
              </w:rPr>
            </w:pPr>
          </w:p>
        </w:tc>
        <w:tc>
          <w:tcPr>
            <w:tcW w:w="0" w:type="auto"/>
            <w:tcBorders>
              <w:top w:val="nil"/>
              <w:left w:val="nil"/>
              <w:bottom w:val="nil"/>
              <w:right w:val="nil"/>
            </w:tcBorders>
            <w:shd w:val="clear" w:color="auto" w:fill="auto"/>
            <w:noWrap/>
            <w:vAlign w:val="center"/>
            <w:hideMark/>
          </w:tcPr>
          <w:p w14:paraId="5793A5AE" w14:textId="77777777" w:rsidR="00BC32E0" w:rsidRPr="004932B4" w:rsidRDefault="00BC32E0" w:rsidP="00882BB2">
            <w:pPr>
              <w:spacing w:before="0" w:after="0"/>
              <w:jc w:val="center"/>
              <w:rPr>
                <w:rFonts w:eastAsia="Times New Roman" w:cs="Times New Roman"/>
                <w:sz w:val="20"/>
                <w:szCs w:val="20"/>
              </w:rPr>
            </w:pPr>
          </w:p>
        </w:tc>
      </w:tr>
      <w:tr w:rsidR="00BC32E0" w:rsidRPr="004932B4" w14:paraId="64511279" w14:textId="77777777" w:rsidTr="00882BB2">
        <w:trPr>
          <w:trHeight w:val="315"/>
        </w:trPr>
        <w:tc>
          <w:tcPr>
            <w:tcW w:w="0" w:type="auto"/>
            <w:tcBorders>
              <w:top w:val="nil"/>
              <w:left w:val="nil"/>
              <w:bottom w:val="nil"/>
              <w:right w:val="nil"/>
            </w:tcBorders>
            <w:shd w:val="clear" w:color="auto" w:fill="auto"/>
            <w:noWrap/>
            <w:vAlign w:val="center"/>
            <w:hideMark/>
          </w:tcPr>
          <w:p w14:paraId="203AD215" w14:textId="77777777" w:rsidR="00BC32E0" w:rsidRPr="004932B4" w:rsidRDefault="00BC32E0" w:rsidP="00882BB2">
            <w:pPr>
              <w:spacing w:before="0" w:after="0"/>
              <w:rPr>
                <w:rFonts w:eastAsia="Times New Roman" w:cs="Times New Roman"/>
                <w:color w:val="000000"/>
                <w:sz w:val="20"/>
                <w:szCs w:val="20"/>
              </w:rPr>
            </w:pPr>
            <w:r w:rsidRPr="004932B4">
              <w:rPr>
                <w:rFonts w:eastAsia="Times New Roman" w:cs="Times New Roman"/>
                <w:color w:val="000000"/>
                <w:sz w:val="20"/>
                <w:szCs w:val="20"/>
              </w:rPr>
              <w:t>INST</w:t>
            </w:r>
          </w:p>
        </w:tc>
        <w:tc>
          <w:tcPr>
            <w:tcW w:w="0" w:type="auto"/>
            <w:tcBorders>
              <w:top w:val="nil"/>
              <w:left w:val="nil"/>
              <w:bottom w:val="nil"/>
              <w:right w:val="nil"/>
            </w:tcBorders>
            <w:shd w:val="clear" w:color="auto" w:fill="auto"/>
            <w:noWrap/>
            <w:vAlign w:val="center"/>
            <w:hideMark/>
          </w:tcPr>
          <w:p w14:paraId="0B9A4187"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0.930***</w:t>
            </w:r>
          </w:p>
        </w:tc>
        <w:tc>
          <w:tcPr>
            <w:tcW w:w="0" w:type="auto"/>
            <w:tcBorders>
              <w:top w:val="nil"/>
              <w:left w:val="nil"/>
              <w:bottom w:val="nil"/>
              <w:right w:val="nil"/>
            </w:tcBorders>
            <w:shd w:val="clear" w:color="auto" w:fill="auto"/>
            <w:noWrap/>
            <w:vAlign w:val="center"/>
            <w:hideMark/>
          </w:tcPr>
          <w:p w14:paraId="37D09FFA"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0.450***</w:t>
            </w:r>
          </w:p>
        </w:tc>
        <w:tc>
          <w:tcPr>
            <w:tcW w:w="0" w:type="auto"/>
            <w:tcBorders>
              <w:top w:val="nil"/>
              <w:left w:val="nil"/>
              <w:bottom w:val="nil"/>
              <w:right w:val="nil"/>
            </w:tcBorders>
            <w:shd w:val="clear" w:color="auto" w:fill="auto"/>
            <w:noWrap/>
            <w:vAlign w:val="center"/>
            <w:hideMark/>
          </w:tcPr>
          <w:p w14:paraId="5995FBAE" w14:textId="77777777" w:rsidR="00BC32E0" w:rsidRPr="004932B4"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69E53573" w14:textId="77777777" w:rsidR="00BC32E0" w:rsidRPr="004932B4"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1940648E" w14:textId="77777777" w:rsidR="00BC32E0" w:rsidRPr="004932B4" w:rsidRDefault="00BC32E0" w:rsidP="00882BB2">
            <w:pPr>
              <w:spacing w:before="0" w:after="0"/>
              <w:jc w:val="center"/>
              <w:rPr>
                <w:rFonts w:eastAsia="Times New Roman" w:cs="Times New Roman"/>
                <w:sz w:val="20"/>
                <w:szCs w:val="20"/>
              </w:rPr>
            </w:pPr>
          </w:p>
        </w:tc>
        <w:tc>
          <w:tcPr>
            <w:tcW w:w="0" w:type="auto"/>
            <w:tcBorders>
              <w:top w:val="nil"/>
              <w:left w:val="nil"/>
              <w:bottom w:val="nil"/>
              <w:right w:val="nil"/>
            </w:tcBorders>
            <w:shd w:val="clear" w:color="auto" w:fill="auto"/>
            <w:noWrap/>
            <w:vAlign w:val="center"/>
            <w:hideMark/>
          </w:tcPr>
          <w:p w14:paraId="565E6504" w14:textId="77777777" w:rsidR="00BC32E0" w:rsidRPr="004932B4" w:rsidRDefault="00BC32E0" w:rsidP="00882BB2">
            <w:pPr>
              <w:spacing w:before="0" w:after="0"/>
              <w:jc w:val="center"/>
              <w:rPr>
                <w:rFonts w:eastAsia="Times New Roman" w:cs="Times New Roman"/>
                <w:sz w:val="20"/>
                <w:szCs w:val="20"/>
              </w:rPr>
            </w:pPr>
          </w:p>
        </w:tc>
        <w:tc>
          <w:tcPr>
            <w:tcW w:w="0" w:type="auto"/>
            <w:tcBorders>
              <w:top w:val="nil"/>
              <w:left w:val="nil"/>
              <w:bottom w:val="nil"/>
              <w:right w:val="nil"/>
            </w:tcBorders>
            <w:shd w:val="clear" w:color="auto" w:fill="auto"/>
            <w:noWrap/>
            <w:vAlign w:val="center"/>
            <w:hideMark/>
          </w:tcPr>
          <w:p w14:paraId="7E562497" w14:textId="77777777" w:rsidR="00BC32E0" w:rsidRPr="004932B4" w:rsidRDefault="00BC32E0" w:rsidP="00882BB2">
            <w:pPr>
              <w:spacing w:before="0" w:after="0"/>
              <w:jc w:val="center"/>
              <w:rPr>
                <w:rFonts w:eastAsia="Times New Roman" w:cs="Times New Roman"/>
                <w:sz w:val="20"/>
                <w:szCs w:val="20"/>
              </w:rPr>
            </w:pPr>
          </w:p>
        </w:tc>
        <w:tc>
          <w:tcPr>
            <w:tcW w:w="0" w:type="auto"/>
            <w:tcBorders>
              <w:top w:val="nil"/>
              <w:left w:val="nil"/>
              <w:bottom w:val="nil"/>
              <w:right w:val="nil"/>
            </w:tcBorders>
            <w:shd w:val="clear" w:color="auto" w:fill="auto"/>
            <w:noWrap/>
            <w:vAlign w:val="center"/>
            <w:hideMark/>
          </w:tcPr>
          <w:p w14:paraId="49C6A266" w14:textId="77777777" w:rsidR="00BC32E0" w:rsidRPr="004932B4" w:rsidRDefault="00BC32E0" w:rsidP="00882BB2">
            <w:pPr>
              <w:spacing w:before="0" w:after="0"/>
              <w:jc w:val="center"/>
              <w:rPr>
                <w:rFonts w:eastAsia="Times New Roman" w:cs="Times New Roman"/>
                <w:sz w:val="20"/>
                <w:szCs w:val="20"/>
              </w:rPr>
            </w:pPr>
          </w:p>
        </w:tc>
      </w:tr>
      <w:tr w:rsidR="00BC32E0" w:rsidRPr="004932B4" w14:paraId="1F0AC884" w14:textId="77777777" w:rsidTr="00882BB2">
        <w:trPr>
          <w:trHeight w:val="315"/>
        </w:trPr>
        <w:tc>
          <w:tcPr>
            <w:tcW w:w="0" w:type="auto"/>
            <w:tcBorders>
              <w:top w:val="nil"/>
              <w:left w:val="nil"/>
              <w:bottom w:val="nil"/>
              <w:right w:val="nil"/>
            </w:tcBorders>
            <w:shd w:val="clear" w:color="auto" w:fill="auto"/>
            <w:noWrap/>
            <w:vAlign w:val="center"/>
            <w:hideMark/>
          </w:tcPr>
          <w:p w14:paraId="153E899F" w14:textId="77777777" w:rsidR="00BC32E0" w:rsidRPr="004932B4" w:rsidRDefault="00BC32E0" w:rsidP="00882BB2">
            <w:pPr>
              <w:spacing w:before="0" w:after="0"/>
              <w:rPr>
                <w:rFonts w:eastAsia="Times New Roman" w:cs="Times New Roman"/>
                <w:color w:val="000000"/>
                <w:sz w:val="20"/>
                <w:szCs w:val="20"/>
              </w:rPr>
            </w:pPr>
            <w:r w:rsidRPr="004932B4">
              <w:rPr>
                <w:rFonts w:eastAsia="Times New Roman" w:cs="Times New Roman"/>
                <w:color w:val="000000"/>
                <w:sz w:val="20"/>
                <w:szCs w:val="20"/>
              </w:rPr>
              <w:t>PRJ</w:t>
            </w:r>
          </w:p>
        </w:tc>
        <w:tc>
          <w:tcPr>
            <w:tcW w:w="0" w:type="auto"/>
            <w:tcBorders>
              <w:top w:val="nil"/>
              <w:left w:val="nil"/>
              <w:bottom w:val="nil"/>
              <w:right w:val="nil"/>
            </w:tcBorders>
            <w:shd w:val="clear" w:color="auto" w:fill="auto"/>
            <w:noWrap/>
            <w:vAlign w:val="center"/>
            <w:hideMark/>
          </w:tcPr>
          <w:p w14:paraId="1B324E30"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-0.015</w:t>
            </w:r>
          </w:p>
        </w:tc>
        <w:tc>
          <w:tcPr>
            <w:tcW w:w="0" w:type="auto"/>
            <w:tcBorders>
              <w:top w:val="nil"/>
              <w:left w:val="nil"/>
              <w:bottom w:val="nil"/>
              <w:right w:val="nil"/>
            </w:tcBorders>
            <w:shd w:val="clear" w:color="auto" w:fill="auto"/>
            <w:noWrap/>
            <w:vAlign w:val="center"/>
            <w:hideMark/>
          </w:tcPr>
          <w:p w14:paraId="73EE4E77"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0.366**</w:t>
            </w:r>
          </w:p>
        </w:tc>
        <w:tc>
          <w:tcPr>
            <w:tcW w:w="0" w:type="auto"/>
            <w:tcBorders>
              <w:top w:val="nil"/>
              <w:left w:val="nil"/>
              <w:bottom w:val="nil"/>
              <w:right w:val="nil"/>
            </w:tcBorders>
            <w:shd w:val="clear" w:color="auto" w:fill="auto"/>
            <w:noWrap/>
            <w:vAlign w:val="center"/>
            <w:hideMark/>
          </w:tcPr>
          <w:p w14:paraId="184532EE"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-0.006</w:t>
            </w:r>
          </w:p>
        </w:tc>
        <w:tc>
          <w:tcPr>
            <w:tcW w:w="0" w:type="auto"/>
            <w:tcBorders>
              <w:top w:val="nil"/>
              <w:left w:val="nil"/>
              <w:bottom w:val="nil"/>
              <w:right w:val="nil"/>
            </w:tcBorders>
            <w:shd w:val="clear" w:color="auto" w:fill="auto"/>
            <w:noWrap/>
            <w:vAlign w:val="center"/>
            <w:hideMark/>
          </w:tcPr>
          <w:p w14:paraId="31BF8624" w14:textId="77777777" w:rsidR="00BC32E0" w:rsidRPr="004932B4"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1B89D6F7" w14:textId="77777777" w:rsidR="00BC32E0" w:rsidRPr="004932B4"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12088AF0" w14:textId="77777777" w:rsidR="00BC32E0" w:rsidRPr="004932B4" w:rsidRDefault="00BC32E0" w:rsidP="00882BB2">
            <w:pPr>
              <w:spacing w:before="0" w:after="0"/>
              <w:jc w:val="center"/>
              <w:rPr>
                <w:rFonts w:eastAsia="Times New Roman" w:cs="Times New Roman"/>
                <w:sz w:val="20"/>
                <w:szCs w:val="20"/>
              </w:rPr>
            </w:pPr>
          </w:p>
        </w:tc>
        <w:tc>
          <w:tcPr>
            <w:tcW w:w="0" w:type="auto"/>
            <w:tcBorders>
              <w:top w:val="nil"/>
              <w:left w:val="nil"/>
              <w:bottom w:val="nil"/>
              <w:right w:val="nil"/>
            </w:tcBorders>
            <w:shd w:val="clear" w:color="auto" w:fill="auto"/>
            <w:noWrap/>
            <w:vAlign w:val="center"/>
            <w:hideMark/>
          </w:tcPr>
          <w:p w14:paraId="6CC6DE6B" w14:textId="77777777" w:rsidR="00BC32E0" w:rsidRPr="004932B4" w:rsidRDefault="00BC32E0" w:rsidP="00882BB2">
            <w:pPr>
              <w:spacing w:before="0" w:after="0"/>
              <w:jc w:val="center"/>
              <w:rPr>
                <w:rFonts w:eastAsia="Times New Roman" w:cs="Times New Roman"/>
                <w:sz w:val="20"/>
                <w:szCs w:val="20"/>
              </w:rPr>
            </w:pPr>
          </w:p>
        </w:tc>
        <w:tc>
          <w:tcPr>
            <w:tcW w:w="0" w:type="auto"/>
            <w:tcBorders>
              <w:top w:val="nil"/>
              <w:left w:val="nil"/>
              <w:bottom w:val="nil"/>
              <w:right w:val="nil"/>
            </w:tcBorders>
            <w:shd w:val="clear" w:color="auto" w:fill="auto"/>
            <w:noWrap/>
            <w:vAlign w:val="center"/>
            <w:hideMark/>
          </w:tcPr>
          <w:p w14:paraId="244FA8C8" w14:textId="77777777" w:rsidR="00BC32E0" w:rsidRPr="004932B4" w:rsidRDefault="00BC32E0" w:rsidP="00882BB2">
            <w:pPr>
              <w:spacing w:before="0" w:after="0"/>
              <w:jc w:val="center"/>
              <w:rPr>
                <w:rFonts w:eastAsia="Times New Roman" w:cs="Times New Roman"/>
                <w:sz w:val="20"/>
                <w:szCs w:val="20"/>
              </w:rPr>
            </w:pPr>
          </w:p>
        </w:tc>
      </w:tr>
      <w:tr w:rsidR="00BC32E0" w:rsidRPr="004932B4" w14:paraId="74D1B15F" w14:textId="77777777" w:rsidTr="00882BB2">
        <w:trPr>
          <w:trHeight w:val="315"/>
        </w:trPr>
        <w:tc>
          <w:tcPr>
            <w:tcW w:w="0" w:type="auto"/>
            <w:tcBorders>
              <w:top w:val="nil"/>
              <w:left w:val="nil"/>
              <w:bottom w:val="nil"/>
              <w:right w:val="nil"/>
            </w:tcBorders>
            <w:shd w:val="clear" w:color="auto" w:fill="auto"/>
            <w:noWrap/>
            <w:vAlign w:val="center"/>
            <w:hideMark/>
          </w:tcPr>
          <w:p w14:paraId="7BBB2AD8" w14:textId="77777777" w:rsidR="00BC32E0" w:rsidRPr="004932B4" w:rsidRDefault="00BC32E0" w:rsidP="00882BB2">
            <w:pPr>
              <w:spacing w:before="0" w:after="0"/>
              <w:rPr>
                <w:rFonts w:eastAsia="Times New Roman" w:cs="Times New Roman"/>
                <w:color w:val="000000"/>
                <w:sz w:val="20"/>
                <w:szCs w:val="20"/>
              </w:rPr>
            </w:pPr>
            <w:r w:rsidRPr="004932B4">
              <w:rPr>
                <w:rFonts w:eastAsia="Times New Roman" w:cs="Times New Roman"/>
                <w:color w:val="000000"/>
                <w:sz w:val="20"/>
                <w:szCs w:val="20"/>
              </w:rPr>
              <w:t>CP</w:t>
            </w:r>
          </w:p>
        </w:tc>
        <w:tc>
          <w:tcPr>
            <w:tcW w:w="0" w:type="auto"/>
            <w:tcBorders>
              <w:top w:val="nil"/>
              <w:left w:val="nil"/>
              <w:bottom w:val="nil"/>
              <w:right w:val="nil"/>
            </w:tcBorders>
            <w:shd w:val="clear" w:color="auto" w:fill="auto"/>
            <w:noWrap/>
            <w:vAlign w:val="center"/>
            <w:hideMark/>
          </w:tcPr>
          <w:p w14:paraId="566797D4"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-0.003</w:t>
            </w:r>
          </w:p>
        </w:tc>
        <w:tc>
          <w:tcPr>
            <w:tcW w:w="0" w:type="auto"/>
            <w:tcBorders>
              <w:top w:val="nil"/>
              <w:left w:val="nil"/>
              <w:bottom w:val="nil"/>
              <w:right w:val="nil"/>
            </w:tcBorders>
            <w:shd w:val="clear" w:color="auto" w:fill="auto"/>
            <w:noWrap/>
            <w:vAlign w:val="center"/>
            <w:hideMark/>
          </w:tcPr>
          <w:p w14:paraId="5F38877D"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0.327**</w:t>
            </w:r>
          </w:p>
        </w:tc>
        <w:tc>
          <w:tcPr>
            <w:tcW w:w="0" w:type="auto"/>
            <w:tcBorders>
              <w:top w:val="nil"/>
              <w:left w:val="nil"/>
              <w:bottom w:val="nil"/>
              <w:right w:val="nil"/>
            </w:tcBorders>
            <w:shd w:val="clear" w:color="auto" w:fill="auto"/>
            <w:noWrap/>
            <w:vAlign w:val="center"/>
            <w:hideMark/>
          </w:tcPr>
          <w:p w14:paraId="16B2C0B2"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-0.058</w:t>
            </w:r>
          </w:p>
        </w:tc>
        <w:tc>
          <w:tcPr>
            <w:tcW w:w="0" w:type="auto"/>
            <w:tcBorders>
              <w:top w:val="nil"/>
              <w:left w:val="nil"/>
              <w:bottom w:val="nil"/>
              <w:right w:val="nil"/>
            </w:tcBorders>
            <w:shd w:val="clear" w:color="auto" w:fill="auto"/>
            <w:noWrap/>
            <w:vAlign w:val="center"/>
            <w:hideMark/>
          </w:tcPr>
          <w:p w14:paraId="629730EC"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0.789***</w:t>
            </w:r>
          </w:p>
        </w:tc>
        <w:tc>
          <w:tcPr>
            <w:tcW w:w="0" w:type="auto"/>
            <w:tcBorders>
              <w:top w:val="nil"/>
              <w:left w:val="nil"/>
              <w:bottom w:val="nil"/>
              <w:right w:val="nil"/>
            </w:tcBorders>
            <w:shd w:val="clear" w:color="auto" w:fill="auto"/>
            <w:noWrap/>
            <w:vAlign w:val="center"/>
            <w:hideMark/>
          </w:tcPr>
          <w:p w14:paraId="5D3CB9C8" w14:textId="77777777" w:rsidR="00BC32E0" w:rsidRPr="004932B4"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7DB004A5" w14:textId="77777777" w:rsidR="00BC32E0" w:rsidRPr="004932B4"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64AF29B9" w14:textId="77777777" w:rsidR="00BC32E0" w:rsidRPr="004932B4" w:rsidRDefault="00BC32E0" w:rsidP="00882BB2">
            <w:pPr>
              <w:spacing w:before="0" w:after="0"/>
              <w:jc w:val="center"/>
              <w:rPr>
                <w:rFonts w:eastAsia="Times New Roman" w:cs="Times New Roman"/>
                <w:sz w:val="20"/>
                <w:szCs w:val="20"/>
              </w:rPr>
            </w:pPr>
          </w:p>
        </w:tc>
        <w:tc>
          <w:tcPr>
            <w:tcW w:w="0" w:type="auto"/>
            <w:tcBorders>
              <w:top w:val="nil"/>
              <w:left w:val="nil"/>
              <w:bottom w:val="nil"/>
              <w:right w:val="nil"/>
            </w:tcBorders>
            <w:shd w:val="clear" w:color="auto" w:fill="auto"/>
            <w:noWrap/>
            <w:vAlign w:val="center"/>
            <w:hideMark/>
          </w:tcPr>
          <w:p w14:paraId="2EE07ABF" w14:textId="77777777" w:rsidR="00BC32E0" w:rsidRPr="004932B4" w:rsidRDefault="00BC32E0" w:rsidP="00882BB2">
            <w:pPr>
              <w:spacing w:before="0" w:after="0"/>
              <w:jc w:val="center"/>
              <w:rPr>
                <w:rFonts w:eastAsia="Times New Roman" w:cs="Times New Roman"/>
                <w:sz w:val="20"/>
                <w:szCs w:val="20"/>
              </w:rPr>
            </w:pPr>
          </w:p>
        </w:tc>
      </w:tr>
      <w:tr w:rsidR="00BC32E0" w:rsidRPr="004932B4" w14:paraId="4F31A64E" w14:textId="77777777" w:rsidTr="00882BB2">
        <w:trPr>
          <w:trHeight w:val="330"/>
        </w:trPr>
        <w:tc>
          <w:tcPr>
            <w:tcW w:w="0" w:type="auto"/>
            <w:tcBorders>
              <w:top w:val="nil"/>
              <w:left w:val="nil"/>
              <w:bottom w:val="nil"/>
              <w:right w:val="nil"/>
            </w:tcBorders>
            <w:shd w:val="clear" w:color="auto" w:fill="auto"/>
            <w:noWrap/>
            <w:vAlign w:val="center"/>
            <w:hideMark/>
          </w:tcPr>
          <w:p w14:paraId="2B8E8E5C" w14:textId="77777777" w:rsidR="00BC32E0" w:rsidRPr="004932B4" w:rsidRDefault="00BC32E0" w:rsidP="00882BB2">
            <w:pPr>
              <w:spacing w:before="0" w:after="0"/>
              <w:rPr>
                <w:rFonts w:eastAsia="Times New Roman" w:cs="Times New Roman"/>
                <w:color w:val="000000"/>
                <w:sz w:val="20"/>
                <w:szCs w:val="20"/>
              </w:rPr>
            </w:pPr>
            <w:r w:rsidRPr="004932B4">
              <w:rPr>
                <w:rFonts w:eastAsia="Times New Roman" w:cs="Times New Roman"/>
                <w:color w:val="000000"/>
                <w:sz w:val="20"/>
                <w:szCs w:val="20"/>
              </w:rPr>
              <w:t>WS</w:t>
            </w:r>
          </w:p>
        </w:tc>
        <w:tc>
          <w:tcPr>
            <w:tcW w:w="0" w:type="auto"/>
            <w:tcBorders>
              <w:top w:val="nil"/>
              <w:left w:val="nil"/>
              <w:bottom w:val="nil"/>
              <w:right w:val="nil"/>
            </w:tcBorders>
            <w:shd w:val="clear" w:color="auto" w:fill="auto"/>
            <w:noWrap/>
            <w:vAlign w:val="center"/>
            <w:hideMark/>
          </w:tcPr>
          <w:p w14:paraId="16F83B36"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0.251</w:t>
            </w:r>
          </w:p>
        </w:tc>
        <w:tc>
          <w:tcPr>
            <w:tcW w:w="0" w:type="auto"/>
            <w:tcBorders>
              <w:top w:val="nil"/>
              <w:left w:val="nil"/>
              <w:bottom w:val="nil"/>
              <w:right w:val="nil"/>
            </w:tcBorders>
            <w:shd w:val="clear" w:color="auto" w:fill="auto"/>
            <w:noWrap/>
            <w:vAlign w:val="center"/>
            <w:hideMark/>
          </w:tcPr>
          <w:p w14:paraId="4C044DA6"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0.427***</w:t>
            </w:r>
          </w:p>
        </w:tc>
        <w:tc>
          <w:tcPr>
            <w:tcW w:w="0" w:type="auto"/>
            <w:tcBorders>
              <w:top w:val="nil"/>
              <w:left w:val="nil"/>
              <w:bottom w:val="nil"/>
              <w:right w:val="nil"/>
            </w:tcBorders>
            <w:shd w:val="clear" w:color="auto" w:fill="auto"/>
            <w:noWrap/>
            <w:vAlign w:val="center"/>
            <w:hideMark/>
          </w:tcPr>
          <w:p w14:paraId="5C23BAA3"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0.289*</w:t>
            </w:r>
          </w:p>
        </w:tc>
        <w:tc>
          <w:tcPr>
            <w:tcW w:w="0" w:type="auto"/>
            <w:tcBorders>
              <w:top w:val="nil"/>
              <w:left w:val="nil"/>
              <w:bottom w:val="nil"/>
              <w:right w:val="nil"/>
            </w:tcBorders>
            <w:shd w:val="clear" w:color="auto" w:fill="auto"/>
            <w:noWrap/>
            <w:vAlign w:val="center"/>
            <w:hideMark/>
          </w:tcPr>
          <w:p w14:paraId="61BBD72E"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0.648***</w:t>
            </w:r>
          </w:p>
        </w:tc>
        <w:tc>
          <w:tcPr>
            <w:tcW w:w="0" w:type="auto"/>
            <w:tcBorders>
              <w:top w:val="nil"/>
              <w:left w:val="nil"/>
              <w:bottom w:val="nil"/>
              <w:right w:val="nil"/>
            </w:tcBorders>
            <w:shd w:val="clear" w:color="auto" w:fill="auto"/>
            <w:noWrap/>
            <w:vAlign w:val="center"/>
            <w:hideMark/>
          </w:tcPr>
          <w:p w14:paraId="7E3AE2FD"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0.771***</w:t>
            </w:r>
          </w:p>
        </w:tc>
        <w:tc>
          <w:tcPr>
            <w:tcW w:w="0" w:type="auto"/>
            <w:tcBorders>
              <w:top w:val="nil"/>
              <w:left w:val="nil"/>
              <w:bottom w:val="nil"/>
              <w:right w:val="nil"/>
            </w:tcBorders>
            <w:shd w:val="clear" w:color="auto" w:fill="auto"/>
            <w:noWrap/>
            <w:vAlign w:val="center"/>
            <w:hideMark/>
          </w:tcPr>
          <w:p w14:paraId="3422F79A" w14:textId="77777777" w:rsidR="00BC32E0" w:rsidRPr="004932B4"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3C8193CE" w14:textId="77777777" w:rsidR="00BC32E0" w:rsidRPr="004932B4"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52101CE7" w14:textId="77777777" w:rsidR="00BC32E0" w:rsidRPr="004932B4" w:rsidRDefault="00BC32E0" w:rsidP="00882BB2">
            <w:pPr>
              <w:spacing w:before="0" w:after="0"/>
              <w:jc w:val="center"/>
              <w:rPr>
                <w:rFonts w:eastAsia="Times New Roman" w:cs="Times New Roman"/>
                <w:sz w:val="20"/>
                <w:szCs w:val="20"/>
              </w:rPr>
            </w:pPr>
          </w:p>
        </w:tc>
      </w:tr>
      <w:tr w:rsidR="00BC32E0" w:rsidRPr="004932B4" w14:paraId="14726D9E" w14:textId="77777777" w:rsidTr="00882BB2">
        <w:trPr>
          <w:trHeight w:val="315"/>
        </w:trPr>
        <w:tc>
          <w:tcPr>
            <w:tcW w:w="0" w:type="auto"/>
            <w:tcBorders>
              <w:top w:val="nil"/>
              <w:left w:val="nil"/>
              <w:bottom w:val="nil"/>
              <w:right w:val="nil"/>
            </w:tcBorders>
            <w:shd w:val="clear" w:color="auto" w:fill="auto"/>
            <w:noWrap/>
            <w:vAlign w:val="center"/>
            <w:hideMark/>
          </w:tcPr>
          <w:p w14:paraId="3EC5D6C0" w14:textId="77777777" w:rsidR="00BC32E0" w:rsidRPr="004932B4" w:rsidRDefault="00BC32E0" w:rsidP="00882BB2">
            <w:pPr>
              <w:spacing w:before="0" w:after="0"/>
              <w:rPr>
                <w:rFonts w:eastAsia="Times New Roman" w:cs="Times New Roman"/>
                <w:color w:val="000000"/>
                <w:sz w:val="20"/>
                <w:szCs w:val="20"/>
              </w:rPr>
            </w:pPr>
            <w:r w:rsidRPr="004932B4">
              <w:rPr>
                <w:rFonts w:eastAsia="Times New Roman" w:cs="Times New Roman"/>
                <w:color w:val="000000"/>
                <w:sz w:val="20"/>
                <w:szCs w:val="20"/>
              </w:rPr>
              <w:t>DT</w:t>
            </w:r>
          </w:p>
        </w:tc>
        <w:tc>
          <w:tcPr>
            <w:tcW w:w="0" w:type="auto"/>
            <w:tcBorders>
              <w:top w:val="nil"/>
              <w:left w:val="nil"/>
              <w:bottom w:val="nil"/>
              <w:right w:val="nil"/>
            </w:tcBorders>
            <w:shd w:val="clear" w:color="auto" w:fill="auto"/>
            <w:noWrap/>
            <w:vAlign w:val="center"/>
            <w:hideMark/>
          </w:tcPr>
          <w:p w14:paraId="46CC6A7A"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0.091</w:t>
            </w:r>
          </w:p>
        </w:tc>
        <w:tc>
          <w:tcPr>
            <w:tcW w:w="0" w:type="auto"/>
            <w:tcBorders>
              <w:top w:val="nil"/>
              <w:left w:val="nil"/>
              <w:bottom w:val="nil"/>
              <w:right w:val="nil"/>
            </w:tcBorders>
            <w:shd w:val="clear" w:color="auto" w:fill="auto"/>
            <w:noWrap/>
            <w:vAlign w:val="center"/>
            <w:hideMark/>
          </w:tcPr>
          <w:p w14:paraId="2B1DA549"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0.178</w:t>
            </w:r>
          </w:p>
        </w:tc>
        <w:tc>
          <w:tcPr>
            <w:tcW w:w="0" w:type="auto"/>
            <w:tcBorders>
              <w:top w:val="nil"/>
              <w:left w:val="nil"/>
              <w:bottom w:val="nil"/>
              <w:right w:val="nil"/>
            </w:tcBorders>
            <w:shd w:val="clear" w:color="auto" w:fill="auto"/>
            <w:noWrap/>
            <w:vAlign w:val="center"/>
            <w:hideMark/>
          </w:tcPr>
          <w:p w14:paraId="2B5AA8A1"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0.089</w:t>
            </w:r>
          </w:p>
        </w:tc>
        <w:tc>
          <w:tcPr>
            <w:tcW w:w="0" w:type="auto"/>
            <w:tcBorders>
              <w:top w:val="nil"/>
              <w:left w:val="nil"/>
              <w:bottom w:val="nil"/>
              <w:right w:val="nil"/>
            </w:tcBorders>
            <w:shd w:val="clear" w:color="auto" w:fill="auto"/>
            <w:noWrap/>
            <w:vAlign w:val="center"/>
            <w:hideMark/>
          </w:tcPr>
          <w:p w14:paraId="5003EA6D"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0.261*</w:t>
            </w:r>
          </w:p>
        </w:tc>
        <w:tc>
          <w:tcPr>
            <w:tcW w:w="0" w:type="auto"/>
            <w:tcBorders>
              <w:top w:val="nil"/>
              <w:left w:val="nil"/>
              <w:bottom w:val="nil"/>
              <w:right w:val="nil"/>
            </w:tcBorders>
            <w:shd w:val="clear" w:color="auto" w:fill="auto"/>
            <w:noWrap/>
            <w:vAlign w:val="center"/>
            <w:hideMark/>
          </w:tcPr>
          <w:p w14:paraId="41452B71"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-0.042</w:t>
            </w:r>
          </w:p>
        </w:tc>
        <w:tc>
          <w:tcPr>
            <w:tcW w:w="0" w:type="auto"/>
            <w:tcBorders>
              <w:top w:val="nil"/>
              <w:left w:val="nil"/>
              <w:bottom w:val="nil"/>
              <w:right w:val="nil"/>
            </w:tcBorders>
            <w:shd w:val="clear" w:color="auto" w:fill="auto"/>
            <w:noWrap/>
            <w:vAlign w:val="center"/>
            <w:hideMark/>
          </w:tcPr>
          <w:p w14:paraId="15A071B5"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-0.077</w:t>
            </w:r>
          </w:p>
        </w:tc>
        <w:tc>
          <w:tcPr>
            <w:tcW w:w="0" w:type="auto"/>
            <w:tcBorders>
              <w:top w:val="nil"/>
              <w:left w:val="nil"/>
              <w:bottom w:val="nil"/>
              <w:right w:val="nil"/>
            </w:tcBorders>
            <w:shd w:val="clear" w:color="auto" w:fill="auto"/>
            <w:noWrap/>
            <w:vAlign w:val="center"/>
            <w:hideMark/>
          </w:tcPr>
          <w:p w14:paraId="4736F68F" w14:textId="77777777" w:rsidR="00BC32E0" w:rsidRPr="004932B4"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229DA292" w14:textId="77777777" w:rsidR="00BC32E0" w:rsidRPr="004932B4" w:rsidRDefault="00BC32E0" w:rsidP="00882BB2">
            <w:pPr>
              <w:spacing w:before="0" w:after="0"/>
              <w:jc w:val="center"/>
              <w:rPr>
                <w:rFonts w:eastAsia="Times New Roman" w:cs="Times New Roman"/>
                <w:color w:val="000000"/>
                <w:sz w:val="20"/>
                <w:szCs w:val="20"/>
              </w:rPr>
            </w:pPr>
          </w:p>
        </w:tc>
      </w:tr>
      <w:tr w:rsidR="00BC32E0" w:rsidRPr="004932B4" w14:paraId="6C404192" w14:textId="77777777" w:rsidTr="00882BB2">
        <w:trPr>
          <w:trHeight w:val="315"/>
        </w:trPr>
        <w:tc>
          <w:tcPr>
            <w:tcW w:w="0" w:type="auto"/>
            <w:tcBorders>
              <w:top w:val="nil"/>
              <w:left w:val="nil"/>
              <w:bottom w:val="nil"/>
              <w:right w:val="nil"/>
            </w:tcBorders>
            <w:shd w:val="clear" w:color="auto" w:fill="auto"/>
            <w:noWrap/>
            <w:vAlign w:val="center"/>
            <w:hideMark/>
          </w:tcPr>
          <w:p w14:paraId="04E4112E" w14:textId="77777777" w:rsidR="00BC32E0" w:rsidRPr="004932B4" w:rsidRDefault="00BC32E0" w:rsidP="00882BB2">
            <w:pPr>
              <w:spacing w:before="0" w:after="0"/>
              <w:rPr>
                <w:rFonts w:eastAsia="Times New Roman" w:cs="Times New Roman"/>
                <w:color w:val="000000"/>
                <w:sz w:val="20"/>
                <w:szCs w:val="20"/>
              </w:rPr>
            </w:pPr>
            <w:r w:rsidRPr="004932B4">
              <w:rPr>
                <w:rFonts w:eastAsia="Times New Roman" w:cs="Times New Roman"/>
                <w:color w:val="000000"/>
                <w:sz w:val="20"/>
                <w:szCs w:val="20"/>
              </w:rPr>
              <w:t>BC</w:t>
            </w:r>
          </w:p>
        </w:tc>
        <w:tc>
          <w:tcPr>
            <w:tcW w:w="0" w:type="auto"/>
            <w:tcBorders>
              <w:top w:val="nil"/>
              <w:left w:val="nil"/>
              <w:bottom w:val="nil"/>
              <w:right w:val="nil"/>
            </w:tcBorders>
            <w:shd w:val="clear" w:color="auto" w:fill="auto"/>
            <w:noWrap/>
            <w:vAlign w:val="center"/>
            <w:hideMark/>
          </w:tcPr>
          <w:p w14:paraId="3C73CFD4"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-0.076</w:t>
            </w:r>
          </w:p>
        </w:tc>
        <w:tc>
          <w:tcPr>
            <w:tcW w:w="0" w:type="auto"/>
            <w:tcBorders>
              <w:top w:val="nil"/>
              <w:left w:val="nil"/>
              <w:bottom w:val="nil"/>
              <w:right w:val="nil"/>
            </w:tcBorders>
            <w:shd w:val="clear" w:color="auto" w:fill="auto"/>
            <w:noWrap/>
            <w:vAlign w:val="center"/>
            <w:hideMark/>
          </w:tcPr>
          <w:p w14:paraId="41F8C1BF"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0.293*</w:t>
            </w:r>
          </w:p>
        </w:tc>
        <w:tc>
          <w:tcPr>
            <w:tcW w:w="0" w:type="auto"/>
            <w:tcBorders>
              <w:top w:val="nil"/>
              <w:left w:val="nil"/>
              <w:bottom w:val="nil"/>
              <w:right w:val="nil"/>
            </w:tcBorders>
            <w:shd w:val="clear" w:color="auto" w:fill="auto"/>
            <w:noWrap/>
            <w:vAlign w:val="center"/>
            <w:hideMark/>
          </w:tcPr>
          <w:p w14:paraId="7F2D8C08"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-0.048</w:t>
            </w:r>
          </w:p>
        </w:tc>
        <w:tc>
          <w:tcPr>
            <w:tcW w:w="0" w:type="auto"/>
            <w:tcBorders>
              <w:top w:val="nil"/>
              <w:left w:val="nil"/>
              <w:bottom w:val="nil"/>
              <w:right w:val="nil"/>
            </w:tcBorders>
            <w:shd w:val="clear" w:color="auto" w:fill="auto"/>
            <w:noWrap/>
            <w:vAlign w:val="center"/>
            <w:hideMark/>
          </w:tcPr>
          <w:p w14:paraId="11621255"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0.954***</w:t>
            </w:r>
          </w:p>
        </w:tc>
        <w:tc>
          <w:tcPr>
            <w:tcW w:w="0" w:type="auto"/>
            <w:tcBorders>
              <w:top w:val="nil"/>
              <w:left w:val="nil"/>
              <w:bottom w:val="nil"/>
              <w:right w:val="nil"/>
            </w:tcBorders>
            <w:shd w:val="clear" w:color="auto" w:fill="auto"/>
            <w:noWrap/>
            <w:vAlign w:val="center"/>
            <w:hideMark/>
          </w:tcPr>
          <w:p w14:paraId="7A66116E"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0.817***</w:t>
            </w:r>
          </w:p>
        </w:tc>
        <w:tc>
          <w:tcPr>
            <w:tcW w:w="0" w:type="auto"/>
            <w:tcBorders>
              <w:top w:val="nil"/>
              <w:left w:val="nil"/>
              <w:bottom w:val="nil"/>
              <w:right w:val="nil"/>
            </w:tcBorders>
            <w:shd w:val="clear" w:color="auto" w:fill="auto"/>
            <w:noWrap/>
            <w:vAlign w:val="center"/>
            <w:hideMark/>
          </w:tcPr>
          <w:p w14:paraId="38B79EE6"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0.694***</w:t>
            </w:r>
          </w:p>
        </w:tc>
        <w:tc>
          <w:tcPr>
            <w:tcW w:w="0" w:type="auto"/>
            <w:tcBorders>
              <w:top w:val="nil"/>
              <w:left w:val="nil"/>
              <w:bottom w:val="nil"/>
              <w:right w:val="nil"/>
            </w:tcBorders>
            <w:shd w:val="clear" w:color="auto" w:fill="auto"/>
            <w:noWrap/>
            <w:vAlign w:val="center"/>
            <w:hideMark/>
          </w:tcPr>
          <w:p w14:paraId="7757B3CB"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-0.026</w:t>
            </w:r>
          </w:p>
        </w:tc>
        <w:tc>
          <w:tcPr>
            <w:tcW w:w="0" w:type="auto"/>
            <w:tcBorders>
              <w:top w:val="nil"/>
              <w:left w:val="nil"/>
              <w:bottom w:val="nil"/>
              <w:right w:val="nil"/>
            </w:tcBorders>
            <w:shd w:val="clear" w:color="auto" w:fill="auto"/>
            <w:noWrap/>
            <w:vAlign w:val="center"/>
            <w:hideMark/>
          </w:tcPr>
          <w:p w14:paraId="7A997591" w14:textId="77777777" w:rsidR="00BC32E0" w:rsidRPr="004932B4" w:rsidRDefault="00BC32E0" w:rsidP="00882BB2">
            <w:pPr>
              <w:spacing w:before="0" w:after="0"/>
              <w:jc w:val="center"/>
              <w:rPr>
                <w:rFonts w:eastAsia="Times New Roman" w:cs="Times New Roman"/>
                <w:color w:val="000000"/>
                <w:sz w:val="20"/>
                <w:szCs w:val="20"/>
              </w:rPr>
            </w:pPr>
          </w:p>
        </w:tc>
      </w:tr>
      <w:tr w:rsidR="00BC32E0" w:rsidRPr="004932B4" w14:paraId="5BBDBE99" w14:textId="77777777" w:rsidTr="00882BB2">
        <w:trPr>
          <w:trHeight w:val="330"/>
        </w:trPr>
        <w:tc>
          <w:tcPr>
            <w:tcW w:w="0" w:type="auto"/>
            <w:tcBorders>
              <w:top w:val="nil"/>
              <w:left w:val="nil"/>
              <w:bottom w:val="single" w:sz="4" w:space="0" w:color="auto"/>
              <w:right w:val="nil"/>
            </w:tcBorders>
            <w:shd w:val="clear" w:color="auto" w:fill="auto"/>
            <w:noWrap/>
            <w:vAlign w:val="center"/>
            <w:hideMark/>
          </w:tcPr>
          <w:p w14:paraId="78206EA7" w14:textId="77777777" w:rsidR="00BC32E0" w:rsidRPr="004932B4" w:rsidRDefault="00BC32E0" w:rsidP="00882BB2">
            <w:pPr>
              <w:spacing w:before="0" w:after="0"/>
              <w:rPr>
                <w:rFonts w:eastAsia="Times New Roman" w:cs="Times New Roman"/>
                <w:color w:val="000000"/>
                <w:sz w:val="20"/>
                <w:szCs w:val="20"/>
              </w:rPr>
            </w:pPr>
            <w:r w:rsidRPr="004932B4">
              <w:rPr>
                <w:rFonts w:eastAsia="Times New Roman" w:cs="Times New Roman"/>
                <w:color w:val="000000"/>
                <w:sz w:val="20"/>
                <w:szCs w:val="20"/>
              </w:rPr>
              <w:t>PAT</w:t>
            </w:r>
          </w:p>
        </w:tc>
        <w:tc>
          <w:tcPr>
            <w:tcW w:w="0" w:type="auto"/>
            <w:tcBorders>
              <w:top w:val="nil"/>
              <w:left w:val="nil"/>
              <w:bottom w:val="single" w:sz="4" w:space="0" w:color="auto"/>
              <w:right w:val="nil"/>
            </w:tcBorders>
            <w:shd w:val="clear" w:color="auto" w:fill="auto"/>
            <w:noWrap/>
            <w:vAlign w:val="center"/>
            <w:hideMark/>
          </w:tcPr>
          <w:p w14:paraId="0F41FD2C"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0.745***</w:t>
            </w:r>
          </w:p>
        </w:tc>
        <w:tc>
          <w:tcPr>
            <w:tcW w:w="0" w:type="auto"/>
            <w:tcBorders>
              <w:top w:val="nil"/>
              <w:left w:val="nil"/>
              <w:bottom w:val="single" w:sz="4" w:space="0" w:color="auto"/>
              <w:right w:val="nil"/>
            </w:tcBorders>
            <w:shd w:val="clear" w:color="auto" w:fill="auto"/>
            <w:noWrap/>
            <w:vAlign w:val="center"/>
            <w:hideMark/>
          </w:tcPr>
          <w:p w14:paraId="719A483D"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0.578***</w:t>
            </w:r>
          </w:p>
        </w:tc>
        <w:tc>
          <w:tcPr>
            <w:tcW w:w="0" w:type="auto"/>
            <w:tcBorders>
              <w:top w:val="nil"/>
              <w:left w:val="nil"/>
              <w:bottom w:val="single" w:sz="4" w:space="0" w:color="auto"/>
              <w:right w:val="nil"/>
            </w:tcBorders>
            <w:shd w:val="clear" w:color="auto" w:fill="auto"/>
            <w:noWrap/>
            <w:vAlign w:val="center"/>
            <w:hideMark/>
          </w:tcPr>
          <w:p w14:paraId="46D24266"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0.633***</w:t>
            </w:r>
          </w:p>
        </w:tc>
        <w:tc>
          <w:tcPr>
            <w:tcW w:w="0" w:type="auto"/>
            <w:tcBorders>
              <w:top w:val="nil"/>
              <w:left w:val="nil"/>
              <w:bottom w:val="single" w:sz="4" w:space="0" w:color="auto"/>
              <w:right w:val="nil"/>
            </w:tcBorders>
            <w:shd w:val="clear" w:color="auto" w:fill="auto"/>
            <w:noWrap/>
            <w:vAlign w:val="center"/>
            <w:hideMark/>
          </w:tcPr>
          <w:p w14:paraId="0B4A0ED0"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0.227</w:t>
            </w:r>
          </w:p>
        </w:tc>
        <w:tc>
          <w:tcPr>
            <w:tcW w:w="0" w:type="auto"/>
            <w:tcBorders>
              <w:top w:val="nil"/>
              <w:left w:val="nil"/>
              <w:bottom w:val="single" w:sz="4" w:space="0" w:color="auto"/>
              <w:right w:val="nil"/>
            </w:tcBorders>
            <w:shd w:val="clear" w:color="auto" w:fill="auto"/>
            <w:noWrap/>
            <w:vAlign w:val="center"/>
            <w:hideMark/>
          </w:tcPr>
          <w:p w14:paraId="3326E72D"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0.254***</w:t>
            </w:r>
          </w:p>
        </w:tc>
        <w:tc>
          <w:tcPr>
            <w:tcW w:w="0" w:type="auto"/>
            <w:tcBorders>
              <w:top w:val="nil"/>
              <w:left w:val="nil"/>
              <w:bottom w:val="single" w:sz="4" w:space="0" w:color="auto"/>
              <w:right w:val="nil"/>
            </w:tcBorders>
            <w:shd w:val="clear" w:color="auto" w:fill="auto"/>
            <w:noWrap/>
            <w:vAlign w:val="center"/>
            <w:hideMark/>
          </w:tcPr>
          <w:p w14:paraId="767F8A3A"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0.343**</w:t>
            </w:r>
          </w:p>
        </w:tc>
        <w:tc>
          <w:tcPr>
            <w:tcW w:w="0" w:type="auto"/>
            <w:tcBorders>
              <w:top w:val="nil"/>
              <w:left w:val="nil"/>
              <w:bottom w:val="single" w:sz="4" w:space="0" w:color="auto"/>
              <w:right w:val="nil"/>
            </w:tcBorders>
            <w:shd w:val="clear" w:color="auto" w:fill="auto"/>
            <w:noWrap/>
            <w:vAlign w:val="center"/>
            <w:hideMark/>
          </w:tcPr>
          <w:p w14:paraId="15E6CDF5"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-0.082</w:t>
            </w:r>
          </w:p>
        </w:tc>
        <w:tc>
          <w:tcPr>
            <w:tcW w:w="0" w:type="auto"/>
            <w:tcBorders>
              <w:top w:val="nil"/>
              <w:left w:val="nil"/>
              <w:bottom w:val="single" w:sz="4" w:space="0" w:color="auto"/>
              <w:right w:val="nil"/>
            </w:tcBorders>
            <w:shd w:val="clear" w:color="auto" w:fill="auto"/>
            <w:noWrap/>
            <w:vAlign w:val="center"/>
            <w:hideMark/>
          </w:tcPr>
          <w:p w14:paraId="5277DF48" w14:textId="77777777" w:rsidR="00BC32E0" w:rsidRPr="004932B4" w:rsidRDefault="00BC32E0" w:rsidP="00882BB2">
            <w:pPr>
              <w:spacing w:before="0" w:after="0"/>
              <w:jc w:val="center"/>
              <w:rPr>
                <w:rFonts w:eastAsia="Times New Roman" w:cs="Times New Roman"/>
                <w:color w:val="000000"/>
                <w:sz w:val="20"/>
                <w:szCs w:val="20"/>
              </w:rPr>
            </w:pPr>
            <w:r w:rsidRPr="004932B4">
              <w:rPr>
                <w:rFonts w:eastAsia="Times New Roman" w:cs="Times New Roman"/>
                <w:color w:val="000000"/>
                <w:sz w:val="20"/>
                <w:szCs w:val="20"/>
              </w:rPr>
              <w:t>0.210</w:t>
            </w:r>
          </w:p>
        </w:tc>
      </w:tr>
      <w:tr w:rsidR="00BC32E0" w:rsidRPr="004932B4" w14:paraId="25EC39A6" w14:textId="77777777" w:rsidTr="00882BB2">
        <w:trPr>
          <w:trHeight w:val="330"/>
        </w:trPr>
        <w:tc>
          <w:tcPr>
            <w:tcW w:w="0" w:type="auto"/>
            <w:gridSpan w:val="9"/>
            <w:tcBorders>
              <w:top w:val="single" w:sz="4" w:space="0" w:color="auto"/>
              <w:left w:val="nil"/>
              <w:right w:val="nil"/>
            </w:tcBorders>
            <w:shd w:val="clear" w:color="auto" w:fill="auto"/>
            <w:noWrap/>
            <w:vAlign w:val="center"/>
          </w:tcPr>
          <w:p w14:paraId="1945CD93" w14:textId="77777777" w:rsidR="00BC32E0" w:rsidRPr="004932B4" w:rsidRDefault="00BC32E0" w:rsidP="00882BB2">
            <w:pPr>
              <w:spacing w:before="0" w:after="0"/>
              <w:rPr>
                <w:rFonts w:eastAsia="Times New Roman" w:cs="Times New Roman"/>
                <w:color w:val="000000"/>
                <w:sz w:val="20"/>
                <w:szCs w:val="20"/>
              </w:rPr>
            </w:pPr>
            <w:r w:rsidRPr="004932B4">
              <w:rPr>
                <w:rFonts w:eastAsia="Times New Roman" w:cs="Times New Roman"/>
                <w:color w:val="000000"/>
                <w:sz w:val="20"/>
                <w:szCs w:val="20"/>
              </w:rPr>
              <w:t xml:space="preserve">Note: Chronbach’s </w:t>
            </w:r>
            <w:r w:rsidRPr="004932B4">
              <w:rPr>
                <w:rFonts w:cs="Times New Roman"/>
                <w:i/>
                <w:iCs/>
                <w:sz w:val="20"/>
                <w:szCs w:val="20"/>
              </w:rPr>
              <w:t xml:space="preserve">α = </w:t>
            </w:r>
            <w:r w:rsidRPr="004932B4">
              <w:rPr>
                <w:rFonts w:cs="Times New Roman"/>
                <w:sz w:val="20"/>
                <w:szCs w:val="20"/>
              </w:rPr>
              <w:t>0.57 value, showing moderate relationship.</w:t>
            </w:r>
            <w:r w:rsidRPr="004932B4">
              <w:rPr>
                <w:rFonts w:eastAsia="Times New Roman" w:cs="Times New Roman"/>
                <w:color w:val="000000"/>
                <w:sz w:val="20"/>
                <w:szCs w:val="20"/>
              </w:rPr>
              <w:t xml:space="preserve"> For two-tailed test and degrees of freedom </w:t>
            </w:r>
            <w:r w:rsidRPr="004932B4">
              <w:rPr>
                <w:rFonts w:eastAsia="Times New Roman" w:cs="Times New Roman"/>
                <w:i/>
                <w:iCs/>
                <w:color w:val="000000"/>
                <w:sz w:val="20"/>
                <w:szCs w:val="20"/>
              </w:rPr>
              <w:t>v=</w:t>
            </w:r>
            <w:r w:rsidRPr="004932B4">
              <w:rPr>
                <w:rFonts w:eastAsia="Times New Roman" w:cs="Times New Roman"/>
                <w:color w:val="000000"/>
                <w:sz w:val="20"/>
                <w:szCs w:val="20"/>
              </w:rPr>
              <w:t>38, correlations are significant at *</w:t>
            </w:r>
            <w:r w:rsidRPr="004932B4">
              <w:rPr>
                <w:rFonts w:eastAsia="Times New Roman" w:cs="Times New Roman"/>
                <w:i/>
                <w:iCs/>
                <w:color w:val="000000"/>
                <w:sz w:val="20"/>
                <w:szCs w:val="20"/>
              </w:rPr>
              <w:t xml:space="preserve">p&lt;0.1; **p&lt;0.05; ***p&lt;0.01 </w:t>
            </w:r>
            <w:r w:rsidRPr="004932B4">
              <w:rPr>
                <w:rFonts w:eastAsia="Times New Roman" w:cs="Times New Roman"/>
                <w:color w:val="000000"/>
                <w:sz w:val="20"/>
                <w:szCs w:val="20"/>
              </w:rPr>
              <w:t>(two-tailed), respectively.</w:t>
            </w:r>
          </w:p>
        </w:tc>
      </w:tr>
    </w:tbl>
    <w:p w14:paraId="726C6673" w14:textId="0F212047" w:rsidR="00BC32E0" w:rsidRPr="00BA785B" w:rsidRDefault="00BC32E0" w:rsidP="00BC32E0">
      <w:r>
        <w:t xml:space="preserve">In </w:t>
      </w:r>
      <w:r>
        <w:fldChar w:fldCharType="begin"/>
      </w:r>
      <w:r>
        <w:instrText xml:space="preserve"> REF _Ref57366809 \h </w:instrText>
      </w:r>
      <w:r>
        <w:fldChar w:fldCharType="separate"/>
      </w:r>
      <w:r w:rsidR="00587AF0">
        <w:t xml:space="preserve">Table </w:t>
      </w:r>
      <w:r w:rsidR="00587AF0">
        <w:rPr>
          <w:noProof/>
        </w:rPr>
        <w:t>9</w:t>
      </w:r>
      <w:r>
        <w:fldChar w:fldCharType="end"/>
      </w:r>
      <w:r w:rsidR="00A30F54">
        <w:t>,</w:t>
      </w:r>
      <w:r>
        <w:t xml:space="preserve"> </w:t>
      </w:r>
      <w:r w:rsidR="00010E01">
        <w:t xml:space="preserve">the </w:t>
      </w:r>
      <w:r>
        <w:t xml:space="preserve">results show that the most significant factors within the correlation of overall funds invested in the research with </w:t>
      </w:r>
      <w:r>
        <w:rPr>
          <w:i/>
          <w:iCs/>
        </w:rPr>
        <w:t xml:space="preserve">p &lt; </w:t>
      </w:r>
      <w:r w:rsidRPr="005539A8">
        <w:t>0.01</w:t>
      </w:r>
      <w:r>
        <w:t xml:space="preserve"> are the number of institutions involved (</w:t>
      </w:r>
      <w:r w:rsidR="00010E01">
        <w:rPr>
          <w:i/>
          <w:iCs/>
        </w:rPr>
        <w:t xml:space="preserve">r = </w:t>
      </w:r>
      <w:r>
        <w:t>0.726), project length (</w:t>
      </w:r>
      <w:r w:rsidR="00010E01">
        <w:rPr>
          <w:i/>
          <w:iCs/>
        </w:rPr>
        <w:t xml:space="preserve">r = </w:t>
      </w:r>
      <w:r>
        <w:t>0.546), workshops (</w:t>
      </w:r>
      <w:r w:rsidR="00010E01">
        <w:rPr>
          <w:i/>
          <w:iCs/>
        </w:rPr>
        <w:t xml:space="preserve">r = </w:t>
      </w:r>
      <w:r>
        <w:t>0.382), and conference publications (</w:t>
      </w:r>
      <w:r w:rsidR="00010E01">
        <w:rPr>
          <w:i/>
          <w:iCs/>
        </w:rPr>
        <w:t xml:space="preserve">r = </w:t>
      </w:r>
      <w:r>
        <w:t>0.288), respectively. The correlation between independent variables shows a high correlation between project duration and the number of institutions (</w:t>
      </w:r>
      <w:r w:rsidR="00010E01">
        <w:rPr>
          <w:i/>
          <w:iCs/>
        </w:rPr>
        <w:t xml:space="preserve">r = </w:t>
      </w:r>
      <w:r>
        <w:t>0.494), conference publications (</w:t>
      </w:r>
      <w:r w:rsidR="00010E01">
        <w:rPr>
          <w:i/>
          <w:iCs/>
        </w:rPr>
        <w:t xml:space="preserve">r = </w:t>
      </w:r>
      <w:r>
        <w:t>0.320) and published peer-review articles (</w:t>
      </w:r>
      <w:r w:rsidR="00010E01">
        <w:rPr>
          <w:i/>
          <w:iCs/>
        </w:rPr>
        <w:t xml:space="preserve">r = </w:t>
      </w:r>
      <w:r>
        <w:t>0.302), and workshops (</w:t>
      </w:r>
      <w:r w:rsidR="00010E01">
        <w:rPr>
          <w:i/>
          <w:iCs/>
        </w:rPr>
        <w:t xml:space="preserve">r = </w:t>
      </w:r>
      <w:r>
        <w:t>0.197;</w:t>
      </w:r>
      <w:r w:rsidRPr="00433F54">
        <w:rPr>
          <w:i/>
          <w:iCs/>
        </w:rPr>
        <w:t xml:space="preserve"> </w:t>
      </w:r>
      <w:r>
        <w:rPr>
          <w:i/>
          <w:iCs/>
        </w:rPr>
        <w:t>p-value</w:t>
      </w:r>
      <w:r>
        <w:t xml:space="preserve"> &lt; 0.1). The tendency to publish more papers in peer-review articles and conferences is linked to the number of institutions involved in the project. As a consequence of projects that do not include </w:t>
      </w:r>
      <w:r w:rsidR="00010E01">
        <w:t xml:space="preserve">a </w:t>
      </w:r>
      <w:r>
        <w:t xml:space="preserve">thesis </w:t>
      </w:r>
      <w:r w:rsidR="00DF775B">
        <w:t xml:space="preserve">or patent as a research deliverable, the theoretical probability of hosting </w:t>
      </w:r>
      <w:r w:rsidR="00010E01">
        <w:t>workshops is relatively high compared to other deliverables</w:t>
      </w:r>
      <w:r>
        <w:t xml:space="preserve">. Although the causality is difficult to prove and is beyond the scope of this article, however, the presence of </w:t>
      </w:r>
      <w:r w:rsidR="00A30F54">
        <w:t xml:space="preserve">a </w:t>
      </w:r>
      <w:r>
        <w:t>statistically significant (</w:t>
      </w:r>
      <w:r>
        <w:rPr>
          <w:i/>
          <w:iCs/>
        </w:rPr>
        <w:t xml:space="preserve">p </w:t>
      </w:r>
      <w:r>
        <w:t xml:space="preserve">&lt; 0.01) correlation between funds and the number of workshops held </w:t>
      </w:r>
      <w:r w:rsidR="00010E01">
        <w:t>suggests</w:t>
      </w:r>
      <w:r>
        <w:t xml:space="preserve"> </w:t>
      </w:r>
      <w:r w:rsidR="00A30F54">
        <w:t xml:space="preserve">a </w:t>
      </w:r>
      <w:r>
        <w:t xml:space="preserve">lack of original scientific advancement </w:t>
      </w:r>
      <w:r w:rsidR="00010E01">
        <w:t>in</w:t>
      </w:r>
      <w:r>
        <w:t xml:space="preserve"> industrial maintenance technology in terms of primary (original) source articles.</w:t>
      </w:r>
    </w:p>
    <w:p w14:paraId="43A33F1D" w14:textId="60F147E7" w:rsidR="00BC32E0" w:rsidRDefault="00BC32E0" w:rsidP="00E04979">
      <w:pPr>
        <w:pStyle w:val="Caption"/>
        <w:keepNext/>
        <w:jc w:val="both"/>
      </w:pPr>
      <w:bookmarkStart w:id="211" w:name="_Ref57366809"/>
      <w:bookmarkStart w:id="212" w:name="_Ref57805630"/>
      <w:bookmarkStart w:id="213" w:name="_Toc65585499"/>
      <w:bookmarkStart w:id="214" w:name="_Toc101274449"/>
      <w:r>
        <w:t xml:space="preserve">Table </w:t>
      </w:r>
      <w:fldSimple w:instr=" SEQ Table \* ARABIC ">
        <w:r w:rsidR="00587AF0">
          <w:rPr>
            <w:noProof/>
          </w:rPr>
          <w:t>9</w:t>
        </w:r>
      </w:fldSimple>
      <w:bookmarkEnd w:id="211"/>
      <w:r>
        <w:t xml:space="preserve">. Correlation matrix for projects without </w:t>
      </w:r>
      <w:r w:rsidR="00A04482">
        <w:t xml:space="preserve">a </w:t>
      </w:r>
      <w:r>
        <w:t>thesis or patent</w:t>
      </w:r>
      <w:bookmarkEnd w:id="212"/>
      <w:bookmarkEnd w:id="213"/>
      <w:bookmarkEnd w:id="214"/>
    </w:p>
    <w:tbl>
      <w:tblPr>
        <w:tblW w:w="0" w:type="auto"/>
        <w:tblLook w:val="04A0" w:firstRow="1" w:lastRow="0" w:firstColumn="1" w:lastColumn="0" w:noHBand="0" w:noVBand="1"/>
      </w:tblPr>
      <w:tblGrid>
        <w:gridCol w:w="942"/>
        <w:gridCol w:w="1237"/>
        <w:gridCol w:w="1237"/>
        <w:gridCol w:w="1237"/>
        <w:gridCol w:w="1237"/>
        <w:gridCol w:w="1237"/>
        <w:gridCol w:w="990"/>
        <w:gridCol w:w="910"/>
      </w:tblGrid>
      <w:tr w:rsidR="00BC32E0" w:rsidRPr="00DB74C2" w14:paraId="73974AD3" w14:textId="77777777" w:rsidTr="00882BB2">
        <w:trPr>
          <w:trHeight w:val="300"/>
        </w:trPr>
        <w:tc>
          <w:tcPr>
            <w:tcW w:w="0" w:type="auto"/>
            <w:tcBorders>
              <w:top w:val="single" w:sz="4" w:space="0" w:color="auto"/>
              <w:left w:val="nil"/>
              <w:bottom w:val="single" w:sz="4" w:space="0" w:color="auto"/>
              <w:right w:val="nil"/>
            </w:tcBorders>
            <w:shd w:val="clear" w:color="auto" w:fill="auto"/>
            <w:noWrap/>
            <w:vAlign w:val="center"/>
            <w:hideMark/>
          </w:tcPr>
          <w:p w14:paraId="68B926C1" w14:textId="77777777" w:rsidR="00BC32E0" w:rsidRPr="00DB74C2" w:rsidRDefault="00BC32E0" w:rsidP="00882BB2">
            <w:pPr>
              <w:spacing w:before="0" w:after="0"/>
              <w:jc w:val="center"/>
              <w:rPr>
                <w:rFonts w:eastAsia="Times New Roman" w:cs="Times New Roman"/>
                <w:color w:val="000000"/>
                <w:sz w:val="20"/>
                <w:szCs w:val="20"/>
              </w:rPr>
            </w:pPr>
            <w:r w:rsidRPr="00DB74C2">
              <w:rPr>
                <w:rFonts w:eastAsia="Times New Roman" w:cs="Times New Roman"/>
                <w:color w:val="000000"/>
                <w:sz w:val="20"/>
                <w:szCs w:val="20"/>
              </w:rPr>
              <w:t> </w:t>
            </w:r>
          </w:p>
        </w:tc>
        <w:tc>
          <w:tcPr>
            <w:tcW w:w="0" w:type="auto"/>
            <w:tcBorders>
              <w:top w:val="single" w:sz="4" w:space="0" w:color="auto"/>
              <w:left w:val="nil"/>
              <w:bottom w:val="single" w:sz="4" w:space="0" w:color="auto"/>
              <w:right w:val="nil"/>
            </w:tcBorders>
            <w:shd w:val="clear" w:color="auto" w:fill="auto"/>
            <w:noWrap/>
            <w:vAlign w:val="center"/>
            <w:hideMark/>
          </w:tcPr>
          <w:p w14:paraId="2210B78C" w14:textId="77777777" w:rsidR="00BC32E0" w:rsidRPr="00DA3E7D" w:rsidRDefault="00BC32E0" w:rsidP="00882BB2">
            <w:pPr>
              <w:spacing w:before="0" w:after="0"/>
              <w:jc w:val="center"/>
              <w:rPr>
                <w:rFonts w:eastAsia="Times New Roman" w:cs="Times New Roman"/>
                <w:b/>
                <w:bCs/>
                <w:color w:val="000000"/>
                <w:sz w:val="20"/>
                <w:szCs w:val="20"/>
              </w:rPr>
            </w:pPr>
            <w:r w:rsidRPr="00DA3E7D">
              <w:rPr>
                <w:rFonts w:eastAsia="Times New Roman" w:cs="Times New Roman"/>
                <w:b/>
                <w:bCs/>
                <w:color w:val="000000"/>
                <w:sz w:val="20"/>
                <w:szCs w:val="20"/>
              </w:rPr>
              <w:t>OF</w:t>
            </w:r>
          </w:p>
        </w:tc>
        <w:tc>
          <w:tcPr>
            <w:tcW w:w="0" w:type="auto"/>
            <w:tcBorders>
              <w:top w:val="single" w:sz="4" w:space="0" w:color="auto"/>
              <w:left w:val="nil"/>
              <w:bottom w:val="single" w:sz="4" w:space="0" w:color="auto"/>
              <w:right w:val="nil"/>
            </w:tcBorders>
            <w:shd w:val="clear" w:color="auto" w:fill="auto"/>
            <w:noWrap/>
            <w:vAlign w:val="center"/>
            <w:hideMark/>
          </w:tcPr>
          <w:p w14:paraId="765E2BE1" w14:textId="77777777" w:rsidR="00BC32E0" w:rsidRPr="00DA3E7D" w:rsidRDefault="00BC32E0" w:rsidP="00882BB2">
            <w:pPr>
              <w:spacing w:before="0" w:after="0"/>
              <w:jc w:val="center"/>
              <w:rPr>
                <w:rFonts w:eastAsia="Times New Roman" w:cs="Times New Roman"/>
                <w:b/>
                <w:bCs/>
                <w:color w:val="000000"/>
                <w:sz w:val="20"/>
                <w:szCs w:val="20"/>
              </w:rPr>
            </w:pPr>
            <w:r w:rsidRPr="00DA3E7D">
              <w:rPr>
                <w:rFonts w:eastAsia="Times New Roman" w:cs="Times New Roman"/>
                <w:b/>
                <w:bCs/>
                <w:color w:val="000000"/>
                <w:sz w:val="20"/>
                <w:szCs w:val="20"/>
              </w:rPr>
              <w:t>PLE</w:t>
            </w:r>
          </w:p>
        </w:tc>
        <w:tc>
          <w:tcPr>
            <w:tcW w:w="0" w:type="auto"/>
            <w:tcBorders>
              <w:top w:val="single" w:sz="4" w:space="0" w:color="auto"/>
              <w:left w:val="nil"/>
              <w:bottom w:val="single" w:sz="4" w:space="0" w:color="auto"/>
              <w:right w:val="nil"/>
            </w:tcBorders>
            <w:shd w:val="clear" w:color="auto" w:fill="auto"/>
            <w:noWrap/>
            <w:vAlign w:val="center"/>
            <w:hideMark/>
          </w:tcPr>
          <w:p w14:paraId="15C65585" w14:textId="77777777" w:rsidR="00BC32E0" w:rsidRPr="00DA3E7D" w:rsidRDefault="00BC32E0" w:rsidP="00882BB2">
            <w:pPr>
              <w:spacing w:before="0" w:after="0"/>
              <w:jc w:val="center"/>
              <w:rPr>
                <w:rFonts w:eastAsia="Times New Roman" w:cs="Times New Roman"/>
                <w:b/>
                <w:bCs/>
                <w:color w:val="000000"/>
                <w:sz w:val="20"/>
                <w:szCs w:val="20"/>
              </w:rPr>
            </w:pPr>
            <w:r w:rsidRPr="00DA3E7D">
              <w:rPr>
                <w:rFonts w:eastAsia="Times New Roman" w:cs="Times New Roman"/>
                <w:b/>
                <w:bCs/>
                <w:color w:val="000000"/>
                <w:sz w:val="20"/>
                <w:szCs w:val="20"/>
              </w:rPr>
              <w:t>INST</w:t>
            </w:r>
          </w:p>
        </w:tc>
        <w:tc>
          <w:tcPr>
            <w:tcW w:w="0" w:type="auto"/>
            <w:tcBorders>
              <w:top w:val="single" w:sz="4" w:space="0" w:color="auto"/>
              <w:left w:val="nil"/>
              <w:bottom w:val="single" w:sz="4" w:space="0" w:color="auto"/>
              <w:right w:val="nil"/>
            </w:tcBorders>
            <w:shd w:val="clear" w:color="auto" w:fill="auto"/>
            <w:noWrap/>
            <w:vAlign w:val="center"/>
            <w:hideMark/>
          </w:tcPr>
          <w:p w14:paraId="74CB8FAD" w14:textId="77777777" w:rsidR="00BC32E0" w:rsidRPr="00DA3E7D" w:rsidRDefault="00BC32E0" w:rsidP="00882BB2">
            <w:pPr>
              <w:spacing w:before="0" w:after="0"/>
              <w:jc w:val="center"/>
              <w:rPr>
                <w:rFonts w:eastAsia="Times New Roman" w:cs="Times New Roman"/>
                <w:b/>
                <w:bCs/>
                <w:color w:val="000000"/>
                <w:sz w:val="20"/>
                <w:szCs w:val="20"/>
              </w:rPr>
            </w:pPr>
            <w:r w:rsidRPr="00DA3E7D">
              <w:rPr>
                <w:rFonts w:eastAsia="Times New Roman" w:cs="Times New Roman"/>
                <w:b/>
                <w:bCs/>
                <w:color w:val="000000"/>
                <w:sz w:val="20"/>
                <w:szCs w:val="20"/>
              </w:rPr>
              <w:t>PRJ</w:t>
            </w:r>
          </w:p>
        </w:tc>
        <w:tc>
          <w:tcPr>
            <w:tcW w:w="0" w:type="auto"/>
            <w:tcBorders>
              <w:top w:val="single" w:sz="4" w:space="0" w:color="auto"/>
              <w:left w:val="nil"/>
              <w:bottom w:val="single" w:sz="4" w:space="0" w:color="auto"/>
              <w:right w:val="nil"/>
            </w:tcBorders>
            <w:shd w:val="clear" w:color="auto" w:fill="auto"/>
            <w:noWrap/>
            <w:vAlign w:val="center"/>
            <w:hideMark/>
          </w:tcPr>
          <w:p w14:paraId="4053E12D" w14:textId="77777777" w:rsidR="00BC32E0" w:rsidRPr="00DA3E7D" w:rsidRDefault="00BC32E0" w:rsidP="00882BB2">
            <w:pPr>
              <w:spacing w:before="0" w:after="0"/>
              <w:jc w:val="center"/>
              <w:rPr>
                <w:rFonts w:eastAsia="Times New Roman" w:cs="Times New Roman"/>
                <w:b/>
                <w:bCs/>
                <w:color w:val="000000"/>
                <w:sz w:val="20"/>
                <w:szCs w:val="20"/>
              </w:rPr>
            </w:pPr>
            <w:r w:rsidRPr="00DA3E7D">
              <w:rPr>
                <w:rFonts w:eastAsia="Times New Roman" w:cs="Times New Roman"/>
                <w:b/>
                <w:bCs/>
                <w:color w:val="000000"/>
                <w:sz w:val="20"/>
                <w:szCs w:val="20"/>
              </w:rPr>
              <w:t>CP</w:t>
            </w:r>
          </w:p>
        </w:tc>
        <w:tc>
          <w:tcPr>
            <w:tcW w:w="0" w:type="auto"/>
            <w:tcBorders>
              <w:top w:val="single" w:sz="4" w:space="0" w:color="auto"/>
              <w:left w:val="nil"/>
              <w:bottom w:val="single" w:sz="4" w:space="0" w:color="auto"/>
              <w:right w:val="nil"/>
            </w:tcBorders>
            <w:shd w:val="clear" w:color="auto" w:fill="auto"/>
            <w:noWrap/>
            <w:vAlign w:val="center"/>
            <w:hideMark/>
          </w:tcPr>
          <w:p w14:paraId="6CF2429A" w14:textId="77777777" w:rsidR="00BC32E0" w:rsidRPr="00DA3E7D" w:rsidRDefault="00BC32E0" w:rsidP="00882BB2">
            <w:pPr>
              <w:spacing w:before="0" w:after="0"/>
              <w:jc w:val="center"/>
              <w:rPr>
                <w:rFonts w:eastAsia="Times New Roman" w:cs="Times New Roman"/>
                <w:b/>
                <w:bCs/>
                <w:color w:val="000000"/>
                <w:sz w:val="20"/>
                <w:szCs w:val="20"/>
              </w:rPr>
            </w:pPr>
            <w:r w:rsidRPr="00DA3E7D">
              <w:rPr>
                <w:rFonts w:eastAsia="Times New Roman" w:cs="Times New Roman"/>
                <w:b/>
                <w:bCs/>
                <w:color w:val="000000"/>
                <w:sz w:val="20"/>
                <w:szCs w:val="20"/>
              </w:rPr>
              <w:t>BC</w:t>
            </w:r>
          </w:p>
        </w:tc>
        <w:tc>
          <w:tcPr>
            <w:tcW w:w="0" w:type="auto"/>
            <w:tcBorders>
              <w:top w:val="single" w:sz="4" w:space="0" w:color="auto"/>
              <w:left w:val="nil"/>
              <w:bottom w:val="single" w:sz="4" w:space="0" w:color="auto"/>
              <w:right w:val="nil"/>
            </w:tcBorders>
            <w:shd w:val="clear" w:color="auto" w:fill="auto"/>
            <w:noWrap/>
            <w:vAlign w:val="center"/>
            <w:hideMark/>
          </w:tcPr>
          <w:p w14:paraId="24F2042F" w14:textId="77777777" w:rsidR="00BC32E0" w:rsidRPr="00DA3E7D" w:rsidRDefault="00BC32E0" w:rsidP="00882BB2">
            <w:pPr>
              <w:spacing w:before="0" w:after="0"/>
              <w:jc w:val="center"/>
              <w:rPr>
                <w:rFonts w:eastAsia="Times New Roman" w:cs="Times New Roman"/>
                <w:b/>
                <w:bCs/>
                <w:color w:val="000000"/>
                <w:sz w:val="20"/>
                <w:szCs w:val="20"/>
              </w:rPr>
            </w:pPr>
            <w:r w:rsidRPr="00DA3E7D">
              <w:rPr>
                <w:rFonts w:eastAsia="Times New Roman" w:cs="Times New Roman"/>
                <w:b/>
                <w:bCs/>
                <w:color w:val="000000"/>
                <w:sz w:val="20"/>
                <w:szCs w:val="20"/>
              </w:rPr>
              <w:t>TR</w:t>
            </w:r>
          </w:p>
        </w:tc>
      </w:tr>
      <w:tr w:rsidR="00BC32E0" w:rsidRPr="00DB74C2" w14:paraId="27B951D9" w14:textId="77777777" w:rsidTr="00882BB2">
        <w:trPr>
          <w:trHeight w:val="300"/>
        </w:trPr>
        <w:tc>
          <w:tcPr>
            <w:tcW w:w="0" w:type="auto"/>
            <w:tcBorders>
              <w:top w:val="nil"/>
              <w:left w:val="nil"/>
              <w:bottom w:val="nil"/>
              <w:right w:val="nil"/>
            </w:tcBorders>
            <w:shd w:val="clear" w:color="auto" w:fill="auto"/>
            <w:noWrap/>
            <w:vAlign w:val="center"/>
            <w:hideMark/>
          </w:tcPr>
          <w:p w14:paraId="67114F41" w14:textId="77777777" w:rsidR="00BC32E0" w:rsidRPr="00DB74C2" w:rsidRDefault="00BC32E0" w:rsidP="00882BB2">
            <w:pPr>
              <w:spacing w:before="0" w:after="0"/>
              <w:rPr>
                <w:rFonts w:eastAsia="Times New Roman" w:cs="Times New Roman"/>
                <w:color w:val="000000"/>
                <w:sz w:val="20"/>
                <w:szCs w:val="20"/>
              </w:rPr>
            </w:pPr>
            <w:r w:rsidRPr="00DB74C2">
              <w:rPr>
                <w:rFonts w:eastAsia="Times New Roman" w:cs="Times New Roman"/>
                <w:color w:val="000000"/>
                <w:sz w:val="20"/>
                <w:szCs w:val="20"/>
              </w:rPr>
              <w:t>PLE</w:t>
            </w:r>
          </w:p>
        </w:tc>
        <w:tc>
          <w:tcPr>
            <w:tcW w:w="0" w:type="auto"/>
            <w:tcBorders>
              <w:top w:val="nil"/>
              <w:left w:val="nil"/>
              <w:bottom w:val="nil"/>
              <w:right w:val="nil"/>
            </w:tcBorders>
            <w:shd w:val="clear" w:color="auto" w:fill="auto"/>
            <w:noWrap/>
            <w:vAlign w:val="center"/>
            <w:hideMark/>
          </w:tcPr>
          <w:p w14:paraId="1E1A4C7A" w14:textId="77777777" w:rsidR="00BC32E0" w:rsidRPr="00DB74C2" w:rsidRDefault="00BC32E0" w:rsidP="00882BB2">
            <w:pPr>
              <w:spacing w:before="0" w:after="0"/>
              <w:jc w:val="center"/>
              <w:rPr>
                <w:rFonts w:eastAsia="Times New Roman" w:cs="Times New Roman"/>
                <w:color w:val="000000"/>
                <w:sz w:val="20"/>
                <w:szCs w:val="20"/>
              </w:rPr>
            </w:pPr>
            <w:r w:rsidRPr="00DB74C2">
              <w:rPr>
                <w:rFonts w:eastAsia="Times New Roman" w:cs="Times New Roman"/>
                <w:color w:val="000000"/>
                <w:sz w:val="20"/>
                <w:szCs w:val="20"/>
              </w:rPr>
              <w:t>0.546</w:t>
            </w:r>
            <w:r>
              <w:rPr>
                <w:rFonts w:eastAsia="Times New Roman" w:cs="Times New Roman"/>
                <w:color w:val="000000"/>
                <w:sz w:val="20"/>
                <w:szCs w:val="20"/>
              </w:rPr>
              <w:t>***</w:t>
            </w:r>
          </w:p>
        </w:tc>
        <w:tc>
          <w:tcPr>
            <w:tcW w:w="0" w:type="auto"/>
            <w:tcBorders>
              <w:top w:val="nil"/>
              <w:left w:val="nil"/>
              <w:bottom w:val="nil"/>
              <w:right w:val="nil"/>
            </w:tcBorders>
            <w:shd w:val="clear" w:color="auto" w:fill="auto"/>
            <w:noWrap/>
            <w:vAlign w:val="center"/>
            <w:hideMark/>
          </w:tcPr>
          <w:p w14:paraId="71F4B251" w14:textId="77777777" w:rsidR="00BC32E0" w:rsidRPr="00DB74C2"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5369D100" w14:textId="77777777" w:rsidR="00BC32E0" w:rsidRPr="00DB74C2"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1D83C558" w14:textId="77777777" w:rsidR="00BC32E0" w:rsidRPr="00DB74C2" w:rsidRDefault="00BC32E0" w:rsidP="00882BB2">
            <w:pPr>
              <w:spacing w:before="0" w:after="0"/>
              <w:jc w:val="center"/>
              <w:rPr>
                <w:rFonts w:eastAsia="Times New Roman" w:cs="Times New Roman"/>
                <w:sz w:val="20"/>
                <w:szCs w:val="20"/>
              </w:rPr>
            </w:pPr>
          </w:p>
        </w:tc>
        <w:tc>
          <w:tcPr>
            <w:tcW w:w="0" w:type="auto"/>
            <w:tcBorders>
              <w:top w:val="nil"/>
              <w:left w:val="nil"/>
              <w:bottom w:val="nil"/>
              <w:right w:val="nil"/>
            </w:tcBorders>
            <w:shd w:val="clear" w:color="auto" w:fill="auto"/>
            <w:noWrap/>
            <w:vAlign w:val="center"/>
            <w:hideMark/>
          </w:tcPr>
          <w:p w14:paraId="63367A5D" w14:textId="77777777" w:rsidR="00BC32E0" w:rsidRPr="00DB74C2" w:rsidRDefault="00BC32E0" w:rsidP="00882BB2">
            <w:pPr>
              <w:spacing w:before="0" w:after="0"/>
              <w:jc w:val="center"/>
              <w:rPr>
                <w:rFonts w:eastAsia="Times New Roman" w:cs="Times New Roman"/>
                <w:sz w:val="20"/>
                <w:szCs w:val="20"/>
              </w:rPr>
            </w:pPr>
          </w:p>
        </w:tc>
        <w:tc>
          <w:tcPr>
            <w:tcW w:w="0" w:type="auto"/>
            <w:tcBorders>
              <w:top w:val="nil"/>
              <w:left w:val="nil"/>
              <w:bottom w:val="nil"/>
              <w:right w:val="nil"/>
            </w:tcBorders>
            <w:shd w:val="clear" w:color="auto" w:fill="auto"/>
            <w:noWrap/>
            <w:vAlign w:val="center"/>
            <w:hideMark/>
          </w:tcPr>
          <w:p w14:paraId="3C0120DF" w14:textId="77777777" w:rsidR="00BC32E0" w:rsidRPr="00DB74C2" w:rsidRDefault="00BC32E0" w:rsidP="00882BB2">
            <w:pPr>
              <w:spacing w:before="0" w:after="0"/>
              <w:jc w:val="center"/>
              <w:rPr>
                <w:rFonts w:eastAsia="Times New Roman" w:cs="Times New Roman"/>
                <w:sz w:val="20"/>
                <w:szCs w:val="20"/>
              </w:rPr>
            </w:pPr>
          </w:p>
        </w:tc>
        <w:tc>
          <w:tcPr>
            <w:tcW w:w="0" w:type="auto"/>
            <w:tcBorders>
              <w:top w:val="nil"/>
              <w:left w:val="nil"/>
              <w:bottom w:val="nil"/>
              <w:right w:val="nil"/>
            </w:tcBorders>
            <w:shd w:val="clear" w:color="auto" w:fill="auto"/>
            <w:noWrap/>
            <w:vAlign w:val="center"/>
            <w:hideMark/>
          </w:tcPr>
          <w:p w14:paraId="1256D1BF" w14:textId="77777777" w:rsidR="00BC32E0" w:rsidRPr="00DB74C2" w:rsidRDefault="00BC32E0" w:rsidP="00882BB2">
            <w:pPr>
              <w:spacing w:before="0" w:after="0"/>
              <w:jc w:val="center"/>
              <w:rPr>
                <w:rFonts w:eastAsia="Times New Roman" w:cs="Times New Roman"/>
                <w:sz w:val="20"/>
                <w:szCs w:val="20"/>
              </w:rPr>
            </w:pPr>
          </w:p>
        </w:tc>
      </w:tr>
      <w:tr w:rsidR="00BC32E0" w:rsidRPr="00DB74C2" w14:paraId="12B99542" w14:textId="77777777" w:rsidTr="00882BB2">
        <w:trPr>
          <w:trHeight w:val="300"/>
        </w:trPr>
        <w:tc>
          <w:tcPr>
            <w:tcW w:w="0" w:type="auto"/>
            <w:tcBorders>
              <w:top w:val="nil"/>
              <w:left w:val="nil"/>
              <w:bottom w:val="nil"/>
              <w:right w:val="nil"/>
            </w:tcBorders>
            <w:shd w:val="clear" w:color="auto" w:fill="auto"/>
            <w:noWrap/>
            <w:vAlign w:val="center"/>
            <w:hideMark/>
          </w:tcPr>
          <w:p w14:paraId="0B85B3EC" w14:textId="77777777" w:rsidR="00BC32E0" w:rsidRPr="00DB74C2" w:rsidRDefault="00BC32E0" w:rsidP="00882BB2">
            <w:pPr>
              <w:spacing w:before="0" w:after="0"/>
              <w:rPr>
                <w:rFonts w:eastAsia="Times New Roman" w:cs="Times New Roman"/>
                <w:color w:val="000000"/>
                <w:sz w:val="20"/>
                <w:szCs w:val="20"/>
              </w:rPr>
            </w:pPr>
            <w:r w:rsidRPr="00DB74C2">
              <w:rPr>
                <w:rFonts w:eastAsia="Times New Roman" w:cs="Times New Roman"/>
                <w:color w:val="000000"/>
                <w:sz w:val="20"/>
                <w:szCs w:val="20"/>
              </w:rPr>
              <w:t>INST</w:t>
            </w:r>
          </w:p>
        </w:tc>
        <w:tc>
          <w:tcPr>
            <w:tcW w:w="0" w:type="auto"/>
            <w:tcBorders>
              <w:top w:val="nil"/>
              <w:left w:val="nil"/>
              <w:bottom w:val="nil"/>
              <w:right w:val="nil"/>
            </w:tcBorders>
            <w:shd w:val="clear" w:color="auto" w:fill="auto"/>
            <w:noWrap/>
            <w:vAlign w:val="center"/>
            <w:hideMark/>
          </w:tcPr>
          <w:p w14:paraId="23542028" w14:textId="77777777" w:rsidR="00BC32E0" w:rsidRPr="00DB74C2" w:rsidRDefault="00BC32E0" w:rsidP="00882BB2">
            <w:pPr>
              <w:spacing w:before="0" w:after="0"/>
              <w:jc w:val="center"/>
              <w:rPr>
                <w:rFonts w:eastAsia="Times New Roman" w:cs="Times New Roman"/>
                <w:color w:val="000000"/>
                <w:sz w:val="20"/>
                <w:szCs w:val="20"/>
              </w:rPr>
            </w:pPr>
            <w:r w:rsidRPr="00DB74C2">
              <w:rPr>
                <w:rFonts w:eastAsia="Times New Roman" w:cs="Times New Roman"/>
                <w:color w:val="000000"/>
                <w:sz w:val="20"/>
                <w:szCs w:val="20"/>
              </w:rPr>
              <w:t>0.726</w:t>
            </w:r>
            <w:r>
              <w:rPr>
                <w:rFonts w:eastAsia="Times New Roman" w:cs="Times New Roman"/>
                <w:color w:val="000000"/>
                <w:sz w:val="20"/>
                <w:szCs w:val="20"/>
              </w:rPr>
              <w:t>***</w:t>
            </w:r>
          </w:p>
        </w:tc>
        <w:tc>
          <w:tcPr>
            <w:tcW w:w="0" w:type="auto"/>
            <w:tcBorders>
              <w:top w:val="nil"/>
              <w:left w:val="nil"/>
              <w:bottom w:val="nil"/>
              <w:right w:val="nil"/>
            </w:tcBorders>
            <w:shd w:val="clear" w:color="auto" w:fill="auto"/>
            <w:noWrap/>
            <w:vAlign w:val="center"/>
            <w:hideMark/>
          </w:tcPr>
          <w:p w14:paraId="6D625394" w14:textId="77777777" w:rsidR="00BC32E0" w:rsidRPr="00DB74C2" w:rsidRDefault="00BC32E0" w:rsidP="00882BB2">
            <w:pPr>
              <w:spacing w:before="0" w:after="0"/>
              <w:jc w:val="center"/>
              <w:rPr>
                <w:rFonts w:eastAsia="Times New Roman" w:cs="Times New Roman"/>
                <w:color w:val="000000"/>
                <w:sz w:val="20"/>
                <w:szCs w:val="20"/>
              </w:rPr>
            </w:pPr>
            <w:r w:rsidRPr="00DB74C2">
              <w:rPr>
                <w:rFonts w:eastAsia="Times New Roman" w:cs="Times New Roman"/>
                <w:color w:val="000000"/>
                <w:sz w:val="20"/>
                <w:szCs w:val="20"/>
              </w:rPr>
              <w:t>0.494</w:t>
            </w:r>
            <w:r>
              <w:rPr>
                <w:rFonts w:eastAsia="Times New Roman" w:cs="Times New Roman"/>
                <w:color w:val="000000"/>
                <w:sz w:val="20"/>
                <w:szCs w:val="20"/>
              </w:rPr>
              <w:t>***</w:t>
            </w:r>
          </w:p>
        </w:tc>
        <w:tc>
          <w:tcPr>
            <w:tcW w:w="0" w:type="auto"/>
            <w:tcBorders>
              <w:top w:val="nil"/>
              <w:left w:val="nil"/>
              <w:bottom w:val="nil"/>
              <w:right w:val="nil"/>
            </w:tcBorders>
            <w:shd w:val="clear" w:color="auto" w:fill="auto"/>
            <w:noWrap/>
            <w:vAlign w:val="center"/>
            <w:hideMark/>
          </w:tcPr>
          <w:p w14:paraId="702D45AE" w14:textId="77777777" w:rsidR="00BC32E0" w:rsidRPr="00DB74C2"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13D71A3A" w14:textId="77777777" w:rsidR="00BC32E0" w:rsidRPr="00DB74C2"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3E15D9D8" w14:textId="77777777" w:rsidR="00BC32E0" w:rsidRPr="00DB74C2" w:rsidRDefault="00BC32E0" w:rsidP="00882BB2">
            <w:pPr>
              <w:spacing w:before="0" w:after="0"/>
              <w:jc w:val="center"/>
              <w:rPr>
                <w:rFonts w:eastAsia="Times New Roman" w:cs="Times New Roman"/>
                <w:sz w:val="20"/>
                <w:szCs w:val="20"/>
              </w:rPr>
            </w:pPr>
          </w:p>
        </w:tc>
        <w:tc>
          <w:tcPr>
            <w:tcW w:w="0" w:type="auto"/>
            <w:tcBorders>
              <w:top w:val="nil"/>
              <w:left w:val="nil"/>
              <w:bottom w:val="nil"/>
              <w:right w:val="nil"/>
            </w:tcBorders>
            <w:shd w:val="clear" w:color="auto" w:fill="auto"/>
            <w:noWrap/>
            <w:vAlign w:val="center"/>
            <w:hideMark/>
          </w:tcPr>
          <w:p w14:paraId="675304D7" w14:textId="77777777" w:rsidR="00BC32E0" w:rsidRPr="00DB74C2" w:rsidRDefault="00BC32E0" w:rsidP="00882BB2">
            <w:pPr>
              <w:spacing w:before="0" w:after="0"/>
              <w:jc w:val="center"/>
              <w:rPr>
                <w:rFonts w:eastAsia="Times New Roman" w:cs="Times New Roman"/>
                <w:sz w:val="20"/>
                <w:szCs w:val="20"/>
              </w:rPr>
            </w:pPr>
          </w:p>
        </w:tc>
        <w:tc>
          <w:tcPr>
            <w:tcW w:w="0" w:type="auto"/>
            <w:tcBorders>
              <w:top w:val="nil"/>
              <w:left w:val="nil"/>
              <w:bottom w:val="nil"/>
              <w:right w:val="nil"/>
            </w:tcBorders>
            <w:shd w:val="clear" w:color="auto" w:fill="auto"/>
            <w:noWrap/>
            <w:vAlign w:val="center"/>
            <w:hideMark/>
          </w:tcPr>
          <w:p w14:paraId="76ED8FFB" w14:textId="77777777" w:rsidR="00BC32E0" w:rsidRPr="00DB74C2" w:rsidRDefault="00BC32E0" w:rsidP="00882BB2">
            <w:pPr>
              <w:spacing w:before="0" w:after="0"/>
              <w:jc w:val="center"/>
              <w:rPr>
                <w:rFonts w:eastAsia="Times New Roman" w:cs="Times New Roman"/>
                <w:sz w:val="20"/>
                <w:szCs w:val="20"/>
              </w:rPr>
            </w:pPr>
          </w:p>
        </w:tc>
      </w:tr>
      <w:tr w:rsidR="00BC32E0" w:rsidRPr="00DB74C2" w14:paraId="1AF0E819" w14:textId="77777777" w:rsidTr="00882BB2">
        <w:trPr>
          <w:trHeight w:val="300"/>
        </w:trPr>
        <w:tc>
          <w:tcPr>
            <w:tcW w:w="0" w:type="auto"/>
            <w:tcBorders>
              <w:top w:val="nil"/>
              <w:left w:val="nil"/>
              <w:bottom w:val="nil"/>
              <w:right w:val="nil"/>
            </w:tcBorders>
            <w:shd w:val="clear" w:color="auto" w:fill="auto"/>
            <w:noWrap/>
            <w:vAlign w:val="center"/>
            <w:hideMark/>
          </w:tcPr>
          <w:p w14:paraId="749FCF3A" w14:textId="77777777" w:rsidR="00BC32E0" w:rsidRPr="00DB74C2" w:rsidRDefault="00BC32E0" w:rsidP="00882BB2">
            <w:pPr>
              <w:spacing w:before="0" w:after="0"/>
              <w:rPr>
                <w:rFonts w:eastAsia="Times New Roman" w:cs="Times New Roman"/>
                <w:color w:val="000000"/>
                <w:sz w:val="20"/>
                <w:szCs w:val="20"/>
              </w:rPr>
            </w:pPr>
            <w:r w:rsidRPr="00DB74C2">
              <w:rPr>
                <w:rFonts w:eastAsia="Times New Roman" w:cs="Times New Roman"/>
                <w:color w:val="000000"/>
                <w:sz w:val="20"/>
                <w:szCs w:val="20"/>
              </w:rPr>
              <w:t>PRJ</w:t>
            </w:r>
          </w:p>
        </w:tc>
        <w:tc>
          <w:tcPr>
            <w:tcW w:w="0" w:type="auto"/>
            <w:tcBorders>
              <w:top w:val="nil"/>
              <w:left w:val="nil"/>
              <w:bottom w:val="nil"/>
              <w:right w:val="nil"/>
            </w:tcBorders>
            <w:shd w:val="clear" w:color="auto" w:fill="auto"/>
            <w:noWrap/>
            <w:vAlign w:val="center"/>
            <w:hideMark/>
          </w:tcPr>
          <w:p w14:paraId="31DDE480" w14:textId="77777777" w:rsidR="00BC32E0" w:rsidRPr="00DB74C2" w:rsidRDefault="00BC32E0" w:rsidP="00882BB2">
            <w:pPr>
              <w:spacing w:before="0" w:after="0"/>
              <w:jc w:val="center"/>
              <w:rPr>
                <w:rFonts w:eastAsia="Times New Roman" w:cs="Times New Roman"/>
                <w:color w:val="000000"/>
                <w:sz w:val="20"/>
                <w:szCs w:val="20"/>
              </w:rPr>
            </w:pPr>
            <w:r w:rsidRPr="00DB74C2">
              <w:rPr>
                <w:rFonts w:eastAsia="Times New Roman" w:cs="Times New Roman"/>
                <w:color w:val="000000"/>
                <w:sz w:val="20"/>
                <w:szCs w:val="20"/>
              </w:rPr>
              <w:t>0.168</w:t>
            </w:r>
          </w:p>
        </w:tc>
        <w:tc>
          <w:tcPr>
            <w:tcW w:w="0" w:type="auto"/>
            <w:tcBorders>
              <w:top w:val="nil"/>
              <w:left w:val="nil"/>
              <w:bottom w:val="nil"/>
              <w:right w:val="nil"/>
            </w:tcBorders>
            <w:shd w:val="clear" w:color="auto" w:fill="auto"/>
            <w:noWrap/>
            <w:vAlign w:val="center"/>
            <w:hideMark/>
          </w:tcPr>
          <w:p w14:paraId="2893C2DD" w14:textId="77777777" w:rsidR="00BC32E0" w:rsidRPr="00DB74C2" w:rsidRDefault="00BC32E0" w:rsidP="00882BB2">
            <w:pPr>
              <w:spacing w:before="0" w:after="0"/>
              <w:jc w:val="center"/>
              <w:rPr>
                <w:rFonts w:eastAsia="Times New Roman" w:cs="Times New Roman"/>
                <w:color w:val="000000"/>
                <w:sz w:val="20"/>
                <w:szCs w:val="20"/>
              </w:rPr>
            </w:pPr>
            <w:r w:rsidRPr="00DB74C2">
              <w:rPr>
                <w:rFonts w:eastAsia="Times New Roman" w:cs="Times New Roman"/>
                <w:color w:val="000000"/>
                <w:sz w:val="20"/>
                <w:szCs w:val="20"/>
              </w:rPr>
              <w:t>0.302</w:t>
            </w:r>
            <w:r>
              <w:rPr>
                <w:rFonts w:eastAsia="Times New Roman" w:cs="Times New Roman"/>
                <w:color w:val="000000"/>
                <w:sz w:val="20"/>
                <w:szCs w:val="20"/>
              </w:rPr>
              <w:t>***</w:t>
            </w:r>
          </w:p>
        </w:tc>
        <w:tc>
          <w:tcPr>
            <w:tcW w:w="0" w:type="auto"/>
            <w:tcBorders>
              <w:top w:val="nil"/>
              <w:left w:val="nil"/>
              <w:bottom w:val="nil"/>
              <w:right w:val="nil"/>
            </w:tcBorders>
            <w:shd w:val="clear" w:color="auto" w:fill="auto"/>
            <w:noWrap/>
            <w:vAlign w:val="center"/>
            <w:hideMark/>
          </w:tcPr>
          <w:p w14:paraId="47A7733F" w14:textId="77777777" w:rsidR="00BC32E0" w:rsidRPr="00DB74C2" w:rsidRDefault="00BC32E0" w:rsidP="00882BB2">
            <w:pPr>
              <w:spacing w:before="0" w:after="0"/>
              <w:jc w:val="center"/>
              <w:rPr>
                <w:rFonts w:eastAsia="Times New Roman" w:cs="Times New Roman"/>
                <w:color w:val="000000"/>
                <w:sz w:val="20"/>
                <w:szCs w:val="20"/>
              </w:rPr>
            </w:pPr>
            <w:r w:rsidRPr="00DB74C2">
              <w:rPr>
                <w:rFonts w:eastAsia="Times New Roman" w:cs="Times New Roman"/>
                <w:color w:val="000000"/>
                <w:sz w:val="20"/>
                <w:szCs w:val="20"/>
              </w:rPr>
              <w:t>0.229</w:t>
            </w:r>
            <w:r>
              <w:rPr>
                <w:rFonts w:eastAsia="Times New Roman" w:cs="Times New Roman"/>
                <w:color w:val="000000"/>
                <w:sz w:val="20"/>
                <w:szCs w:val="20"/>
              </w:rPr>
              <w:t>**</w:t>
            </w:r>
          </w:p>
        </w:tc>
        <w:tc>
          <w:tcPr>
            <w:tcW w:w="0" w:type="auto"/>
            <w:tcBorders>
              <w:top w:val="nil"/>
              <w:left w:val="nil"/>
              <w:bottom w:val="nil"/>
              <w:right w:val="nil"/>
            </w:tcBorders>
            <w:shd w:val="clear" w:color="auto" w:fill="auto"/>
            <w:noWrap/>
            <w:vAlign w:val="center"/>
            <w:hideMark/>
          </w:tcPr>
          <w:p w14:paraId="7DFD255A" w14:textId="77777777" w:rsidR="00BC32E0" w:rsidRPr="00DB74C2"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738EFC5B" w14:textId="77777777" w:rsidR="00BC32E0" w:rsidRPr="00DB74C2"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4F742944" w14:textId="77777777" w:rsidR="00BC32E0" w:rsidRPr="00DB74C2" w:rsidRDefault="00BC32E0" w:rsidP="00882BB2">
            <w:pPr>
              <w:spacing w:before="0" w:after="0"/>
              <w:jc w:val="center"/>
              <w:rPr>
                <w:rFonts w:eastAsia="Times New Roman" w:cs="Times New Roman"/>
                <w:sz w:val="20"/>
                <w:szCs w:val="20"/>
              </w:rPr>
            </w:pPr>
          </w:p>
        </w:tc>
        <w:tc>
          <w:tcPr>
            <w:tcW w:w="0" w:type="auto"/>
            <w:tcBorders>
              <w:top w:val="nil"/>
              <w:left w:val="nil"/>
              <w:bottom w:val="nil"/>
              <w:right w:val="nil"/>
            </w:tcBorders>
            <w:shd w:val="clear" w:color="auto" w:fill="auto"/>
            <w:noWrap/>
            <w:vAlign w:val="center"/>
            <w:hideMark/>
          </w:tcPr>
          <w:p w14:paraId="365FF96F" w14:textId="77777777" w:rsidR="00BC32E0" w:rsidRPr="00DB74C2" w:rsidRDefault="00BC32E0" w:rsidP="00882BB2">
            <w:pPr>
              <w:spacing w:before="0" w:after="0"/>
              <w:jc w:val="center"/>
              <w:rPr>
                <w:rFonts w:eastAsia="Times New Roman" w:cs="Times New Roman"/>
                <w:sz w:val="20"/>
                <w:szCs w:val="20"/>
              </w:rPr>
            </w:pPr>
          </w:p>
        </w:tc>
      </w:tr>
      <w:tr w:rsidR="00BC32E0" w:rsidRPr="00DB74C2" w14:paraId="0100E7A9" w14:textId="77777777" w:rsidTr="00882BB2">
        <w:trPr>
          <w:trHeight w:val="300"/>
        </w:trPr>
        <w:tc>
          <w:tcPr>
            <w:tcW w:w="0" w:type="auto"/>
            <w:tcBorders>
              <w:top w:val="nil"/>
              <w:left w:val="nil"/>
              <w:bottom w:val="nil"/>
              <w:right w:val="nil"/>
            </w:tcBorders>
            <w:shd w:val="clear" w:color="auto" w:fill="auto"/>
            <w:noWrap/>
            <w:vAlign w:val="center"/>
            <w:hideMark/>
          </w:tcPr>
          <w:p w14:paraId="2704D994" w14:textId="77777777" w:rsidR="00BC32E0" w:rsidRPr="00DB74C2" w:rsidRDefault="00BC32E0" w:rsidP="00882BB2">
            <w:pPr>
              <w:spacing w:before="0" w:after="0"/>
              <w:rPr>
                <w:rFonts w:eastAsia="Times New Roman" w:cs="Times New Roman"/>
                <w:color w:val="000000"/>
                <w:sz w:val="20"/>
                <w:szCs w:val="20"/>
              </w:rPr>
            </w:pPr>
            <w:r w:rsidRPr="00DB74C2">
              <w:rPr>
                <w:rFonts w:eastAsia="Times New Roman" w:cs="Times New Roman"/>
                <w:color w:val="000000"/>
                <w:sz w:val="20"/>
                <w:szCs w:val="20"/>
              </w:rPr>
              <w:t>CP</w:t>
            </w:r>
          </w:p>
        </w:tc>
        <w:tc>
          <w:tcPr>
            <w:tcW w:w="0" w:type="auto"/>
            <w:tcBorders>
              <w:top w:val="nil"/>
              <w:left w:val="nil"/>
              <w:bottom w:val="nil"/>
              <w:right w:val="nil"/>
            </w:tcBorders>
            <w:shd w:val="clear" w:color="auto" w:fill="auto"/>
            <w:noWrap/>
            <w:vAlign w:val="center"/>
            <w:hideMark/>
          </w:tcPr>
          <w:p w14:paraId="001BDC16" w14:textId="77777777" w:rsidR="00BC32E0" w:rsidRPr="00DB74C2" w:rsidRDefault="00BC32E0" w:rsidP="00882BB2">
            <w:pPr>
              <w:spacing w:before="0" w:after="0"/>
              <w:jc w:val="center"/>
              <w:rPr>
                <w:rFonts w:eastAsia="Times New Roman" w:cs="Times New Roman"/>
                <w:color w:val="000000"/>
                <w:sz w:val="20"/>
                <w:szCs w:val="20"/>
              </w:rPr>
            </w:pPr>
            <w:r w:rsidRPr="00DB74C2">
              <w:rPr>
                <w:rFonts w:eastAsia="Times New Roman" w:cs="Times New Roman"/>
                <w:color w:val="000000"/>
                <w:sz w:val="20"/>
                <w:szCs w:val="20"/>
              </w:rPr>
              <w:t>0.288</w:t>
            </w:r>
            <w:r>
              <w:rPr>
                <w:rFonts w:eastAsia="Times New Roman" w:cs="Times New Roman"/>
                <w:color w:val="000000"/>
                <w:sz w:val="20"/>
                <w:szCs w:val="20"/>
              </w:rPr>
              <w:t>***</w:t>
            </w:r>
          </w:p>
        </w:tc>
        <w:tc>
          <w:tcPr>
            <w:tcW w:w="0" w:type="auto"/>
            <w:tcBorders>
              <w:top w:val="nil"/>
              <w:left w:val="nil"/>
              <w:bottom w:val="nil"/>
              <w:right w:val="nil"/>
            </w:tcBorders>
            <w:shd w:val="clear" w:color="auto" w:fill="auto"/>
            <w:noWrap/>
            <w:vAlign w:val="center"/>
            <w:hideMark/>
          </w:tcPr>
          <w:p w14:paraId="47D6D8E3" w14:textId="77777777" w:rsidR="00BC32E0" w:rsidRPr="00DB74C2" w:rsidRDefault="00BC32E0" w:rsidP="00882BB2">
            <w:pPr>
              <w:spacing w:before="0" w:after="0"/>
              <w:jc w:val="center"/>
              <w:rPr>
                <w:rFonts w:eastAsia="Times New Roman" w:cs="Times New Roman"/>
                <w:color w:val="000000"/>
                <w:sz w:val="20"/>
                <w:szCs w:val="20"/>
              </w:rPr>
            </w:pPr>
            <w:r w:rsidRPr="00DB74C2">
              <w:rPr>
                <w:rFonts w:eastAsia="Times New Roman" w:cs="Times New Roman"/>
                <w:color w:val="000000"/>
                <w:sz w:val="20"/>
                <w:szCs w:val="20"/>
              </w:rPr>
              <w:t>0.320</w:t>
            </w:r>
            <w:r>
              <w:rPr>
                <w:rFonts w:eastAsia="Times New Roman" w:cs="Times New Roman"/>
                <w:color w:val="000000"/>
                <w:sz w:val="20"/>
                <w:szCs w:val="20"/>
              </w:rPr>
              <w:t>***</w:t>
            </w:r>
          </w:p>
        </w:tc>
        <w:tc>
          <w:tcPr>
            <w:tcW w:w="0" w:type="auto"/>
            <w:tcBorders>
              <w:top w:val="nil"/>
              <w:left w:val="nil"/>
              <w:bottom w:val="nil"/>
              <w:right w:val="nil"/>
            </w:tcBorders>
            <w:shd w:val="clear" w:color="auto" w:fill="auto"/>
            <w:noWrap/>
            <w:vAlign w:val="center"/>
            <w:hideMark/>
          </w:tcPr>
          <w:p w14:paraId="184B4C58" w14:textId="77777777" w:rsidR="00BC32E0" w:rsidRPr="00DB74C2" w:rsidRDefault="00BC32E0" w:rsidP="00882BB2">
            <w:pPr>
              <w:spacing w:before="0" w:after="0"/>
              <w:jc w:val="center"/>
              <w:rPr>
                <w:rFonts w:eastAsia="Times New Roman" w:cs="Times New Roman"/>
                <w:color w:val="000000"/>
                <w:sz w:val="20"/>
                <w:szCs w:val="20"/>
              </w:rPr>
            </w:pPr>
            <w:r w:rsidRPr="00DB74C2">
              <w:rPr>
                <w:rFonts w:eastAsia="Times New Roman" w:cs="Times New Roman"/>
                <w:color w:val="000000"/>
                <w:sz w:val="20"/>
                <w:szCs w:val="20"/>
              </w:rPr>
              <w:t>0.279</w:t>
            </w:r>
            <w:r>
              <w:rPr>
                <w:rFonts w:eastAsia="Times New Roman" w:cs="Times New Roman"/>
                <w:color w:val="000000"/>
                <w:sz w:val="20"/>
                <w:szCs w:val="20"/>
              </w:rPr>
              <w:t>***</w:t>
            </w:r>
          </w:p>
        </w:tc>
        <w:tc>
          <w:tcPr>
            <w:tcW w:w="0" w:type="auto"/>
            <w:tcBorders>
              <w:top w:val="nil"/>
              <w:left w:val="nil"/>
              <w:bottom w:val="nil"/>
              <w:right w:val="nil"/>
            </w:tcBorders>
            <w:shd w:val="clear" w:color="auto" w:fill="auto"/>
            <w:noWrap/>
            <w:vAlign w:val="center"/>
            <w:hideMark/>
          </w:tcPr>
          <w:p w14:paraId="1BBC7F99" w14:textId="77777777" w:rsidR="00BC32E0" w:rsidRPr="00DB74C2" w:rsidRDefault="00BC32E0" w:rsidP="00882BB2">
            <w:pPr>
              <w:spacing w:before="0" w:after="0"/>
              <w:jc w:val="center"/>
              <w:rPr>
                <w:rFonts w:eastAsia="Times New Roman" w:cs="Times New Roman"/>
                <w:color w:val="000000"/>
                <w:sz w:val="20"/>
                <w:szCs w:val="20"/>
              </w:rPr>
            </w:pPr>
            <w:r w:rsidRPr="00DB74C2">
              <w:rPr>
                <w:rFonts w:eastAsia="Times New Roman" w:cs="Times New Roman"/>
                <w:color w:val="000000"/>
                <w:sz w:val="20"/>
                <w:szCs w:val="20"/>
              </w:rPr>
              <w:t>0.467</w:t>
            </w:r>
            <w:r>
              <w:rPr>
                <w:rFonts w:eastAsia="Times New Roman" w:cs="Times New Roman"/>
                <w:color w:val="000000"/>
                <w:sz w:val="20"/>
                <w:szCs w:val="20"/>
              </w:rPr>
              <w:t>***</w:t>
            </w:r>
          </w:p>
        </w:tc>
        <w:tc>
          <w:tcPr>
            <w:tcW w:w="0" w:type="auto"/>
            <w:tcBorders>
              <w:top w:val="nil"/>
              <w:left w:val="nil"/>
              <w:bottom w:val="nil"/>
              <w:right w:val="nil"/>
            </w:tcBorders>
            <w:shd w:val="clear" w:color="auto" w:fill="auto"/>
            <w:noWrap/>
            <w:vAlign w:val="center"/>
            <w:hideMark/>
          </w:tcPr>
          <w:p w14:paraId="2977C9D4" w14:textId="77777777" w:rsidR="00BC32E0" w:rsidRPr="00DB74C2"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73869B29" w14:textId="77777777" w:rsidR="00BC32E0" w:rsidRPr="00DB74C2"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0DFB693C" w14:textId="77777777" w:rsidR="00BC32E0" w:rsidRPr="00DB74C2" w:rsidRDefault="00BC32E0" w:rsidP="00882BB2">
            <w:pPr>
              <w:spacing w:before="0" w:after="0"/>
              <w:jc w:val="center"/>
              <w:rPr>
                <w:rFonts w:eastAsia="Times New Roman" w:cs="Times New Roman"/>
                <w:sz w:val="20"/>
                <w:szCs w:val="20"/>
              </w:rPr>
            </w:pPr>
          </w:p>
        </w:tc>
      </w:tr>
      <w:tr w:rsidR="00BC32E0" w:rsidRPr="00DB74C2" w14:paraId="5231E968" w14:textId="77777777" w:rsidTr="00882BB2">
        <w:trPr>
          <w:trHeight w:val="300"/>
        </w:trPr>
        <w:tc>
          <w:tcPr>
            <w:tcW w:w="0" w:type="auto"/>
            <w:tcBorders>
              <w:top w:val="nil"/>
              <w:left w:val="nil"/>
              <w:bottom w:val="nil"/>
              <w:right w:val="nil"/>
            </w:tcBorders>
            <w:shd w:val="clear" w:color="auto" w:fill="auto"/>
            <w:noWrap/>
            <w:vAlign w:val="center"/>
            <w:hideMark/>
          </w:tcPr>
          <w:p w14:paraId="1AC3EF1A" w14:textId="77777777" w:rsidR="00BC32E0" w:rsidRPr="00DB74C2" w:rsidRDefault="00BC32E0" w:rsidP="00882BB2">
            <w:pPr>
              <w:spacing w:before="0" w:after="0"/>
              <w:rPr>
                <w:rFonts w:eastAsia="Times New Roman" w:cs="Times New Roman"/>
                <w:color w:val="000000"/>
                <w:sz w:val="20"/>
                <w:szCs w:val="20"/>
              </w:rPr>
            </w:pPr>
            <w:r w:rsidRPr="00DB74C2">
              <w:rPr>
                <w:rFonts w:eastAsia="Times New Roman" w:cs="Times New Roman"/>
                <w:color w:val="000000"/>
                <w:sz w:val="20"/>
                <w:szCs w:val="20"/>
              </w:rPr>
              <w:t>BC</w:t>
            </w:r>
          </w:p>
        </w:tc>
        <w:tc>
          <w:tcPr>
            <w:tcW w:w="0" w:type="auto"/>
            <w:tcBorders>
              <w:top w:val="nil"/>
              <w:left w:val="nil"/>
              <w:bottom w:val="nil"/>
              <w:right w:val="nil"/>
            </w:tcBorders>
            <w:shd w:val="clear" w:color="auto" w:fill="auto"/>
            <w:noWrap/>
            <w:vAlign w:val="center"/>
            <w:hideMark/>
          </w:tcPr>
          <w:p w14:paraId="69B86E78" w14:textId="77777777" w:rsidR="00BC32E0" w:rsidRPr="00DB74C2" w:rsidRDefault="00BC32E0" w:rsidP="00882BB2">
            <w:pPr>
              <w:spacing w:before="0" w:after="0"/>
              <w:jc w:val="center"/>
              <w:rPr>
                <w:rFonts w:eastAsia="Times New Roman" w:cs="Times New Roman"/>
                <w:color w:val="000000"/>
                <w:sz w:val="20"/>
                <w:szCs w:val="20"/>
              </w:rPr>
            </w:pPr>
            <w:r w:rsidRPr="00DB74C2">
              <w:rPr>
                <w:rFonts w:eastAsia="Times New Roman" w:cs="Times New Roman"/>
                <w:color w:val="000000"/>
                <w:sz w:val="20"/>
                <w:szCs w:val="20"/>
              </w:rPr>
              <w:t>-0.033</w:t>
            </w:r>
          </w:p>
        </w:tc>
        <w:tc>
          <w:tcPr>
            <w:tcW w:w="0" w:type="auto"/>
            <w:tcBorders>
              <w:top w:val="nil"/>
              <w:left w:val="nil"/>
              <w:bottom w:val="nil"/>
              <w:right w:val="nil"/>
            </w:tcBorders>
            <w:shd w:val="clear" w:color="auto" w:fill="auto"/>
            <w:noWrap/>
            <w:vAlign w:val="center"/>
            <w:hideMark/>
          </w:tcPr>
          <w:p w14:paraId="6372D582" w14:textId="77777777" w:rsidR="00BC32E0" w:rsidRPr="00DB74C2" w:rsidRDefault="00BC32E0" w:rsidP="00882BB2">
            <w:pPr>
              <w:spacing w:before="0" w:after="0"/>
              <w:jc w:val="center"/>
              <w:rPr>
                <w:rFonts w:eastAsia="Times New Roman" w:cs="Times New Roman"/>
                <w:color w:val="000000"/>
                <w:sz w:val="20"/>
                <w:szCs w:val="20"/>
              </w:rPr>
            </w:pPr>
            <w:r w:rsidRPr="00DB74C2">
              <w:rPr>
                <w:rFonts w:eastAsia="Times New Roman" w:cs="Times New Roman"/>
                <w:color w:val="000000"/>
                <w:sz w:val="20"/>
                <w:szCs w:val="20"/>
              </w:rPr>
              <w:t>0.122</w:t>
            </w:r>
          </w:p>
        </w:tc>
        <w:tc>
          <w:tcPr>
            <w:tcW w:w="0" w:type="auto"/>
            <w:tcBorders>
              <w:top w:val="nil"/>
              <w:left w:val="nil"/>
              <w:bottom w:val="nil"/>
              <w:right w:val="nil"/>
            </w:tcBorders>
            <w:shd w:val="clear" w:color="auto" w:fill="auto"/>
            <w:noWrap/>
            <w:vAlign w:val="center"/>
            <w:hideMark/>
          </w:tcPr>
          <w:p w14:paraId="4775D190" w14:textId="77777777" w:rsidR="00BC32E0" w:rsidRPr="00DB74C2" w:rsidRDefault="00BC32E0" w:rsidP="00882BB2">
            <w:pPr>
              <w:spacing w:before="0" w:after="0"/>
              <w:jc w:val="center"/>
              <w:rPr>
                <w:rFonts w:eastAsia="Times New Roman" w:cs="Times New Roman"/>
                <w:color w:val="000000"/>
                <w:sz w:val="20"/>
                <w:szCs w:val="20"/>
              </w:rPr>
            </w:pPr>
            <w:r w:rsidRPr="00DB74C2">
              <w:rPr>
                <w:rFonts w:eastAsia="Times New Roman" w:cs="Times New Roman"/>
                <w:color w:val="000000"/>
                <w:sz w:val="20"/>
                <w:szCs w:val="20"/>
              </w:rPr>
              <w:t>0.045</w:t>
            </w:r>
          </w:p>
        </w:tc>
        <w:tc>
          <w:tcPr>
            <w:tcW w:w="0" w:type="auto"/>
            <w:tcBorders>
              <w:top w:val="nil"/>
              <w:left w:val="nil"/>
              <w:bottom w:val="nil"/>
              <w:right w:val="nil"/>
            </w:tcBorders>
            <w:shd w:val="clear" w:color="auto" w:fill="auto"/>
            <w:noWrap/>
            <w:vAlign w:val="center"/>
            <w:hideMark/>
          </w:tcPr>
          <w:p w14:paraId="0DF56C63" w14:textId="77777777" w:rsidR="00BC32E0" w:rsidRPr="00DB74C2" w:rsidRDefault="00BC32E0" w:rsidP="00882BB2">
            <w:pPr>
              <w:spacing w:before="0" w:after="0"/>
              <w:jc w:val="center"/>
              <w:rPr>
                <w:rFonts w:eastAsia="Times New Roman" w:cs="Times New Roman"/>
                <w:color w:val="000000"/>
                <w:sz w:val="20"/>
                <w:szCs w:val="20"/>
              </w:rPr>
            </w:pPr>
            <w:r w:rsidRPr="00DB74C2">
              <w:rPr>
                <w:rFonts w:eastAsia="Times New Roman" w:cs="Times New Roman"/>
                <w:color w:val="000000"/>
                <w:sz w:val="20"/>
                <w:szCs w:val="20"/>
              </w:rPr>
              <w:t>0.040</w:t>
            </w:r>
          </w:p>
        </w:tc>
        <w:tc>
          <w:tcPr>
            <w:tcW w:w="0" w:type="auto"/>
            <w:tcBorders>
              <w:top w:val="nil"/>
              <w:left w:val="nil"/>
              <w:bottom w:val="nil"/>
              <w:right w:val="nil"/>
            </w:tcBorders>
            <w:shd w:val="clear" w:color="auto" w:fill="auto"/>
            <w:noWrap/>
            <w:vAlign w:val="center"/>
            <w:hideMark/>
          </w:tcPr>
          <w:p w14:paraId="1B4BDB19" w14:textId="77777777" w:rsidR="00BC32E0" w:rsidRPr="00DB74C2" w:rsidRDefault="00BC32E0" w:rsidP="00882BB2">
            <w:pPr>
              <w:spacing w:before="0" w:after="0"/>
              <w:jc w:val="center"/>
              <w:rPr>
                <w:rFonts w:eastAsia="Times New Roman" w:cs="Times New Roman"/>
                <w:color w:val="000000"/>
                <w:sz w:val="20"/>
                <w:szCs w:val="20"/>
              </w:rPr>
            </w:pPr>
            <w:r w:rsidRPr="00DB74C2">
              <w:rPr>
                <w:rFonts w:eastAsia="Times New Roman" w:cs="Times New Roman"/>
                <w:color w:val="000000"/>
                <w:sz w:val="20"/>
                <w:szCs w:val="20"/>
              </w:rPr>
              <w:t>0.092</w:t>
            </w:r>
          </w:p>
        </w:tc>
        <w:tc>
          <w:tcPr>
            <w:tcW w:w="0" w:type="auto"/>
            <w:tcBorders>
              <w:top w:val="nil"/>
              <w:left w:val="nil"/>
              <w:bottom w:val="nil"/>
              <w:right w:val="nil"/>
            </w:tcBorders>
            <w:shd w:val="clear" w:color="auto" w:fill="auto"/>
            <w:noWrap/>
            <w:vAlign w:val="center"/>
            <w:hideMark/>
          </w:tcPr>
          <w:p w14:paraId="48210C59" w14:textId="77777777" w:rsidR="00BC32E0" w:rsidRPr="00DB74C2" w:rsidRDefault="00BC32E0" w:rsidP="00882BB2">
            <w:pPr>
              <w:spacing w:before="0" w:after="0"/>
              <w:jc w:val="center"/>
              <w:rPr>
                <w:rFonts w:eastAsia="Times New Roman" w:cs="Times New Roman"/>
                <w:color w:val="000000"/>
                <w:sz w:val="20"/>
                <w:szCs w:val="20"/>
              </w:rPr>
            </w:pPr>
          </w:p>
        </w:tc>
        <w:tc>
          <w:tcPr>
            <w:tcW w:w="0" w:type="auto"/>
            <w:tcBorders>
              <w:top w:val="nil"/>
              <w:left w:val="nil"/>
              <w:bottom w:val="nil"/>
              <w:right w:val="nil"/>
            </w:tcBorders>
            <w:shd w:val="clear" w:color="auto" w:fill="auto"/>
            <w:noWrap/>
            <w:vAlign w:val="center"/>
            <w:hideMark/>
          </w:tcPr>
          <w:p w14:paraId="36E38A00" w14:textId="77777777" w:rsidR="00BC32E0" w:rsidRPr="00DB74C2" w:rsidRDefault="00BC32E0" w:rsidP="00882BB2">
            <w:pPr>
              <w:spacing w:before="0" w:after="0"/>
              <w:jc w:val="center"/>
              <w:rPr>
                <w:rFonts w:eastAsia="Times New Roman" w:cs="Times New Roman"/>
                <w:color w:val="000000"/>
                <w:sz w:val="20"/>
                <w:szCs w:val="20"/>
              </w:rPr>
            </w:pPr>
          </w:p>
        </w:tc>
      </w:tr>
      <w:tr w:rsidR="00BC32E0" w:rsidRPr="00DB74C2" w14:paraId="21F54F14" w14:textId="77777777" w:rsidTr="00882BB2">
        <w:trPr>
          <w:trHeight w:val="300"/>
        </w:trPr>
        <w:tc>
          <w:tcPr>
            <w:tcW w:w="0" w:type="auto"/>
            <w:tcBorders>
              <w:top w:val="nil"/>
              <w:left w:val="nil"/>
              <w:bottom w:val="nil"/>
              <w:right w:val="nil"/>
            </w:tcBorders>
            <w:shd w:val="clear" w:color="auto" w:fill="auto"/>
            <w:noWrap/>
            <w:vAlign w:val="center"/>
            <w:hideMark/>
          </w:tcPr>
          <w:p w14:paraId="5FD41897" w14:textId="77777777" w:rsidR="00BC32E0" w:rsidRPr="00DB74C2" w:rsidRDefault="00BC32E0" w:rsidP="00882BB2">
            <w:pPr>
              <w:spacing w:before="0" w:after="0"/>
              <w:rPr>
                <w:rFonts w:eastAsia="Times New Roman" w:cs="Times New Roman"/>
                <w:color w:val="000000"/>
                <w:sz w:val="20"/>
                <w:szCs w:val="20"/>
              </w:rPr>
            </w:pPr>
            <w:r w:rsidRPr="00DB74C2">
              <w:rPr>
                <w:rFonts w:eastAsia="Times New Roman" w:cs="Times New Roman"/>
                <w:color w:val="000000"/>
                <w:sz w:val="20"/>
                <w:szCs w:val="20"/>
              </w:rPr>
              <w:t>TR</w:t>
            </w:r>
          </w:p>
        </w:tc>
        <w:tc>
          <w:tcPr>
            <w:tcW w:w="0" w:type="auto"/>
            <w:tcBorders>
              <w:top w:val="nil"/>
              <w:left w:val="nil"/>
              <w:bottom w:val="nil"/>
              <w:right w:val="nil"/>
            </w:tcBorders>
            <w:shd w:val="clear" w:color="auto" w:fill="auto"/>
            <w:noWrap/>
            <w:vAlign w:val="center"/>
            <w:hideMark/>
          </w:tcPr>
          <w:p w14:paraId="66C04294" w14:textId="77777777" w:rsidR="00BC32E0" w:rsidRPr="00DB74C2" w:rsidRDefault="00BC32E0" w:rsidP="00882BB2">
            <w:pPr>
              <w:spacing w:before="0" w:after="0"/>
              <w:jc w:val="center"/>
              <w:rPr>
                <w:rFonts w:eastAsia="Times New Roman" w:cs="Times New Roman"/>
                <w:color w:val="000000"/>
                <w:sz w:val="20"/>
                <w:szCs w:val="20"/>
              </w:rPr>
            </w:pPr>
            <w:r w:rsidRPr="00DB74C2">
              <w:rPr>
                <w:rFonts w:eastAsia="Times New Roman" w:cs="Times New Roman"/>
                <w:color w:val="000000"/>
                <w:sz w:val="20"/>
                <w:szCs w:val="20"/>
              </w:rPr>
              <w:t>0.053</w:t>
            </w:r>
          </w:p>
        </w:tc>
        <w:tc>
          <w:tcPr>
            <w:tcW w:w="0" w:type="auto"/>
            <w:tcBorders>
              <w:top w:val="nil"/>
              <w:left w:val="nil"/>
              <w:bottom w:val="nil"/>
              <w:right w:val="nil"/>
            </w:tcBorders>
            <w:shd w:val="clear" w:color="auto" w:fill="auto"/>
            <w:noWrap/>
            <w:vAlign w:val="center"/>
            <w:hideMark/>
          </w:tcPr>
          <w:p w14:paraId="78C70CEA" w14:textId="77777777" w:rsidR="00BC32E0" w:rsidRPr="00DB74C2" w:rsidRDefault="00BC32E0" w:rsidP="00882BB2">
            <w:pPr>
              <w:spacing w:before="0" w:after="0"/>
              <w:jc w:val="center"/>
              <w:rPr>
                <w:rFonts w:eastAsia="Times New Roman" w:cs="Times New Roman"/>
                <w:color w:val="000000"/>
                <w:sz w:val="20"/>
                <w:szCs w:val="20"/>
              </w:rPr>
            </w:pPr>
            <w:r w:rsidRPr="00DB74C2">
              <w:rPr>
                <w:rFonts w:eastAsia="Times New Roman" w:cs="Times New Roman"/>
                <w:color w:val="000000"/>
                <w:sz w:val="20"/>
                <w:szCs w:val="20"/>
              </w:rPr>
              <w:t>0.106</w:t>
            </w:r>
          </w:p>
        </w:tc>
        <w:tc>
          <w:tcPr>
            <w:tcW w:w="0" w:type="auto"/>
            <w:tcBorders>
              <w:top w:val="nil"/>
              <w:left w:val="nil"/>
              <w:bottom w:val="nil"/>
              <w:right w:val="nil"/>
            </w:tcBorders>
            <w:shd w:val="clear" w:color="auto" w:fill="auto"/>
            <w:noWrap/>
            <w:vAlign w:val="center"/>
            <w:hideMark/>
          </w:tcPr>
          <w:p w14:paraId="07477575" w14:textId="77777777" w:rsidR="00BC32E0" w:rsidRPr="00DB74C2" w:rsidRDefault="00BC32E0" w:rsidP="00882BB2">
            <w:pPr>
              <w:spacing w:before="0" w:after="0"/>
              <w:jc w:val="center"/>
              <w:rPr>
                <w:rFonts w:eastAsia="Times New Roman" w:cs="Times New Roman"/>
                <w:color w:val="000000"/>
                <w:sz w:val="20"/>
                <w:szCs w:val="20"/>
              </w:rPr>
            </w:pPr>
            <w:r w:rsidRPr="00DB74C2">
              <w:rPr>
                <w:rFonts w:eastAsia="Times New Roman" w:cs="Times New Roman"/>
                <w:color w:val="000000"/>
                <w:sz w:val="20"/>
                <w:szCs w:val="20"/>
              </w:rPr>
              <w:t>-0.010</w:t>
            </w:r>
          </w:p>
        </w:tc>
        <w:tc>
          <w:tcPr>
            <w:tcW w:w="0" w:type="auto"/>
            <w:tcBorders>
              <w:top w:val="nil"/>
              <w:left w:val="nil"/>
              <w:bottom w:val="nil"/>
              <w:right w:val="nil"/>
            </w:tcBorders>
            <w:shd w:val="clear" w:color="auto" w:fill="auto"/>
            <w:noWrap/>
            <w:vAlign w:val="center"/>
            <w:hideMark/>
          </w:tcPr>
          <w:p w14:paraId="5B71B423" w14:textId="77777777" w:rsidR="00BC32E0" w:rsidRPr="00DB74C2" w:rsidRDefault="00BC32E0" w:rsidP="00882BB2">
            <w:pPr>
              <w:spacing w:before="0" w:after="0"/>
              <w:jc w:val="center"/>
              <w:rPr>
                <w:rFonts w:eastAsia="Times New Roman" w:cs="Times New Roman"/>
                <w:color w:val="000000"/>
                <w:sz w:val="20"/>
                <w:szCs w:val="20"/>
              </w:rPr>
            </w:pPr>
            <w:r w:rsidRPr="00DB74C2">
              <w:rPr>
                <w:rFonts w:eastAsia="Times New Roman" w:cs="Times New Roman"/>
                <w:color w:val="000000"/>
                <w:sz w:val="20"/>
                <w:szCs w:val="20"/>
              </w:rPr>
              <w:t>0.021</w:t>
            </w:r>
          </w:p>
        </w:tc>
        <w:tc>
          <w:tcPr>
            <w:tcW w:w="0" w:type="auto"/>
            <w:tcBorders>
              <w:top w:val="nil"/>
              <w:left w:val="nil"/>
              <w:bottom w:val="nil"/>
              <w:right w:val="nil"/>
            </w:tcBorders>
            <w:shd w:val="clear" w:color="auto" w:fill="auto"/>
            <w:noWrap/>
            <w:vAlign w:val="center"/>
            <w:hideMark/>
          </w:tcPr>
          <w:p w14:paraId="34188A1E" w14:textId="77777777" w:rsidR="00BC32E0" w:rsidRPr="00DB74C2" w:rsidRDefault="00BC32E0" w:rsidP="00882BB2">
            <w:pPr>
              <w:spacing w:before="0" w:after="0"/>
              <w:jc w:val="center"/>
              <w:rPr>
                <w:rFonts w:eastAsia="Times New Roman" w:cs="Times New Roman"/>
                <w:color w:val="000000"/>
                <w:sz w:val="20"/>
                <w:szCs w:val="20"/>
              </w:rPr>
            </w:pPr>
            <w:r w:rsidRPr="00DB74C2">
              <w:rPr>
                <w:rFonts w:eastAsia="Times New Roman" w:cs="Times New Roman"/>
                <w:color w:val="000000"/>
                <w:sz w:val="20"/>
                <w:szCs w:val="20"/>
              </w:rPr>
              <w:t>0.266</w:t>
            </w:r>
            <w:r>
              <w:rPr>
                <w:rFonts w:eastAsia="Times New Roman" w:cs="Times New Roman"/>
                <w:color w:val="000000"/>
                <w:sz w:val="20"/>
                <w:szCs w:val="20"/>
              </w:rPr>
              <w:t>**</w:t>
            </w:r>
          </w:p>
        </w:tc>
        <w:tc>
          <w:tcPr>
            <w:tcW w:w="0" w:type="auto"/>
            <w:tcBorders>
              <w:top w:val="nil"/>
              <w:left w:val="nil"/>
              <w:bottom w:val="nil"/>
              <w:right w:val="nil"/>
            </w:tcBorders>
            <w:shd w:val="clear" w:color="auto" w:fill="auto"/>
            <w:noWrap/>
            <w:vAlign w:val="center"/>
            <w:hideMark/>
          </w:tcPr>
          <w:p w14:paraId="2C776DDA" w14:textId="77777777" w:rsidR="00BC32E0" w:rsidRPr="00DB74C2" w:rsidRDefault="00BC32E0" w:rsidP="00882BB2">
            <w:pPr>
              <w:spacing w:before="0" w:after="0"/>
              <w:jc w:val="center"/>
              <w:rPr>
                <w:rFonts w:eastAsia="Times New Roman" w:cs="Times New Roman"/>
                <w:color w:val="000000"/>
                <w:sz w:val="20"/>
                <w:szCs w:val="20"/>
              </w:rPr>
            </w:pPr>
            <w:r w:rsidRPr="00DB74C2">
              <w:rPr>
                <w:rFonts w:eastAsia="Times New Roman" w:cs="Times New Roman"/>
                <w:color w:val="000000"/>
                <w:sz w:val="20"/>
                <w:szCs w:val="20"/>
              </w:rPr>
              <w:t>0.158</w:t>
            </w:r>
          </w:p>
        </w:tc>
        <w:tc>
          <w:tcPr>
            <w:tcW w:w="0" w:type="auto"/>
            <w:tcBorders>
              <w:top w:val="nil"/>
              <w:left w:val="nil"/>
              <w:bottom w:val="nil"/>
              <w:right w:val="nil"/>
            </w:tcBorders>
            <w:shd w:val="clear" w:color="auto" w:fill="auto"/>
            <w:noWrap/>
            <w:vAlign w:val="center"/>
            <w:hideMark/>
          </w:tcPr>
          <w:p w14:paraId="7CBE0C93" w14:textId="77777777" w:rsidR="00BC32E0" w:rsidRPr="00DB74C2" w:rsidRDefault="00BC32E0" w:rsidP="00882BB2">
            <w:pPr>
              <w:spacing w:before="0" w:after="0"/>
              <w:jc w:val="center"/>
              <w:rPr>
                <w:rFonts w:eastAsia="Times New Roman" w:cs="Times New Roman"/>
                <w:color w:val="000000"/>
                <w:sz w:val="20"/>
                <w:szCs w:val="20"/>
              </w:rPr>
            </w:pPr>
          </w:p>
        </w:tc>
      </w:tr>
      <w:tr w:rsidR="00BC32E0" w:rsidRPr="00DB74C2" w14:paraId="7B20252B" w14:textId="77777777" w:rsidTr="00882BB2">
        <w:trPr>
          <w:trHeight w:val="315"/>
        </w:trPr>
        <w:tc>
          <w:tcPr>
            <w:tcW w:w="0" w:type="auto"/>
            <w:tcBorders>
              <w:top w:val="nil"/>
              <w:left w:val="nil"/>
              <w:bottom w:val="single" w:sz="4" w:space="0" w:color="auto"/>
              <w:right w:val="nil"/>
            </w:tcBorders>
            <w:shd w:val="clear" w:color="auto" w:fill="auto"/>
            <w:noWrap/>
            <w:vAlign w:val="center"/>
            <w:hideMark/>
          </w:tcPr>
          <w:p w14:paraId="5AE7667D" w14:textId="77777777" w:rsidR="00BC32E0" w:rsidRPr="00DB74C2" w:rsidRDefault="00BC32E0" w:rsidP="00882BB2">
            <w:pPr>
              <w:spacing w:before="0" w:after="0"/>
              <w:rPr>
                <w:rFonts w:eastAsia="Times New Roman" w:cs="Times New Roman"/>
                <w:color w:val="000000"/>
                <w:sz w:val="20"/>
                <w:szCs w:val="20"/>
              </w:rPr>
            </w:pPr>
            <w:r w:rsidRPr="00DB74C2">
              <w:rPr>
                <w:rFonts w:eastAsia="Times New Roman" w:cs="Times New Roman"/>
                <w:color w:val="000000"/>
                <w:sz w:val="20"/>
                <w:szCs w:val="20"/>
              </w:rPr>
              <w:t>WS</w:t>
            </w:r>
          </w:p>
        </w:tc>
        <w:tc>
          <w:tcPr>
            <w:tcW w:w="0" w:type="auto"/>
            <w:tcBorders>
              <w:top w:val="nil"/>
              <w:left w:val="nil"/>
              <w:bottom w:val="single" w:sz="4" w:space="0" w:color="auto"/>
              <w:right w:val="nil"/>
            </w:tcBorders>
            <w:shd w:val="clear" w:color="auto" w:fill="auto"/>
            <w:noWrap/>
            <w:vAlign w:val="center"/>
            <w:hideMark/>
          </w:tcPr>
          <w:p w14:paraId="7A53BA66" w14:textId="77777777" w:rsidR="00BC32E0" w:rsidRPr="00DB74C2" w:rsidRDefault="00BC32E0" w:rsidP="00882BB2">
            <w:pPr>
              <w:spacing w:before="0" w:after="0"/>
              <w:jc w:val="center"/>
              <w:rPr>
                <w:rFonts w:eastAsia="Times New Roman" w:cs="Times New Roman"/>
                <w:color w:val="000000"/>
                <w:sz w:val="20"/>
                <w:szCs w:val="20"/>
              </w:rPr>
            </w:pPr>
            <w:r w:rsidRPr="00DB74C2">
              <w:rPr>
                <w:rFonts w:eastAsia="Times New Roman" w:cs="Times New Roman"/>
                <w:color w:val="000000"/>
                <w:sz w:val="20"/>
                <w:szCs w:val="20"/>
              </w:rPr>
              <w:t>0.382</w:t>
            </w:r>
            <w:r>
              <w:rPr>
                <w:rFonts w:eastAsia="Times New Roman" w:cs="Times New Roman"/>
                <w:color w:val="000000"/>
                <w:sz w:val="20"/>
                <w:szCs w:val="20"/>
              </w:rPr>
              <w:t>***</w:t>
            </w:r>
          </w:p>
        </w:tc>
        <w:tc>
          <w:tcPr>
            <w:tcW w:w="0" w:type="auto"/>
            <w:tcBorders>
              <w:top w:val="nil"/>
              <w:left w:val="nil"/>
              <w:bottom w:val="single" w:sz="4" w:space="0" w:color="auto"/>
              <w:right w:val="nil"/>
            </w:tcBorders>
            <w:shd w:val="clear" w:color="auto" w:fill="auto"/>
            <w:noWrap/>
            <w:vAlign w:val="center"/>
            <w:hideMark/>
          </w:tcPr>
          <w:p w14:paraId="7922D7F5" w14:textId="77777777" w:rsidR="00BC32E0" w:rsidRPr="00DB74C2" w:rsidRDefault="00BC32E0" w:rsidP="00882BB2">
            <w:pPr>
              <w:spacing w:before="0" w:after="0"/>
              <w:jc w:val="center"/>
              <w:rPr>
                <w:rFonts w:eastAsia="Times New Roman" w:cs="Times New Roman"/>
                <w:color w:val="000000"/>
                <w:sz w:val="20"/>
                <w:szCs w:val="20"/>
              </w:rPr>
            </w:pPr>
            <w:r w:rsidRPr="00DB74C2">
              <w:rPr>
                <w:rFonts w:eastAsia="Times New Roman" w:cs="Times New Roman"/>
                <w:color w:val="000000"/>
                <w:sz w:val="20"/>
                <w:szCs w:val="20"/>
              </w:rPr>
              <w:t>0.197</w:t>
            </w:r>
            <w:r>
              <w:rPr>
                <w:rFonts w:eastAsia="Times New Roman" w:cs="Times New Roman"/>
                <w:color w:val="000000"/>
                <w:sz w:val="20"/>
                <w:szCs w:val="20"/>
              </w:rPr>
              <w:t>*</w:t>
            </w:r>
          </w:p>
        </w:tc>
        <w:tc>
          <w:tcPr>
            <w:tcW w:w="0" w:type="auto"/>
            <w:tcBorders>
              <w:top w:val="nil"/>
              <w:left w:val="nil"/>
              <w:bottom w:val="single" w:sz="4" w:space="0" w:color="auto"/>
              <w:right w:val="nil"/>
            </w:tcBorders>
            <w:shd w:val="clear" w:color="auto" w:fill="auto"/>
            <w:noWrap/>
            <w:vAlign w:val="center"/>
            <w:hideMark/>
          </w:tcPr>
          <w:p w14:paraId="48C3CA6A" w14:textId="77777777" w:rsidR="00BC32E0" w:rsidRPr="00DB74C2" w:rsidRDefault="00BC32E0" w:rsidP="00882BB2">
            <w:pPr>
              <w:spacing w:before="0" w:after="0"/>
              <w:jc w:val="center"/>
              <w:rPr>
                <w:rFonts w:eastAsia="Times New Roman" w:cs="Times New Roman"/>
                <w:color w:val="000000"/>
                <w:sz w:val="20"/>
                <w:szCs w:val="20"/>
              </w:rPr>
            </w:pPr>
            <w:r w:rsidRPr="00DB74C2">
              <w:rPr>
                <w:rFonts w:eastAsia="Times New Roman" w:cs="Times New Roman"/>
                <w:color w:val="000000"/>
                <w:sz w:val="20"/>
                <w:szCs w:val="20"/>
              </w:rPr>
              <w:t>0.352</w:t>
            </w:r>
            <w:r>
              <w:rPr>
                <w:rFonts w:eastAsia="Times New Roman" w:cs="Times New Roman"/>
                <w:color w:val="000000"/>
                <w:sz w:val="20"/>
                <w:szCs w:val="20"/>
              </w:rPr>
              <w:t>***</w:t>
            </w:r>
          </w:p>
        </w:tc>
        <w:tc>
          <w:tcPr>
            <w:tcW w:w="0" w:type="auto"/>
            <w:tcBorders>
              <w:top w:val="nil"/>
              <w:left w:val="nil"/>
              <w:bottom w:val="single" w:sz="4" w:space="0" w:color="auto"/>
              <w:right w:val="nil"/>
            </w:tcBorders>
            <w:shd w:val="clear" w:color="auto" w:fill="auto"/>
            <w:noWrap/>
            <w:vAlign w:val="center"/>
            <w:hideMark/>
          </w:tcPr>
          <w:p w14:paraId="1A391A74" w14:textId="77777777" w:rsidR="00BC32E0" w:rsidRPr="00DB74C2" w:rsidRDefault="00BC32E0" w:rsidP="00882BB2">
            <w:pPr>
              <w:spacing w:before="0" w:after="0"/>
              <w:jc w:val="center"/>
              <w:rPr>
                <w:rFonts w:eastAsia="Times New Roman" w:cs="Times New Roman"/>
                <w:color w:val="000000"/>
                <w:sz w:val="20"/>
                <w:szCs w:val="20"/>
              </w:rPr>
            </w:pPr>
            <w:r w:rsidRPr="00DB74C2">
              <w:rPr>
                <w:rFonts w:eastAsia="Times New Roman" w:cs="Times New Roman"/>
                <w:color w:val="000000"/>
                <w:sz w:val="20"/>
                <w:szCs w:val="20"/>
              </w:rPr>
              <w:t>0.047</w:t>
            </w:r>
          </w:p>
        </w:tc>
        <w:tc>
          <w:tcPr>
            <w:tcW w:w="0" w:type="auto"/>
            <w:tcBorders>
              <w:top w:val="nil"/>
              <w:left w:val="nil"/>
              <w:bottom w:val="single" w:sz="4" w:space="0" w:color="auto"/>
              <w:right w:val="nil"/>
            </w:tcBorders>
            <w:shd w:val="clear" w:color="auto" w:fill="auto"/>
            <w:noWrap/>
            <w:vAlign w:val="center"/>
            <w:hideMark/>
          </w:tcPr>
          <w:p w14:paraId="1BB894BB" w14:textId="77777777" w:rsidR="00BC32E0" w:rsidRPr="00DB74C2" w:rsidRDefault="00BC32E0" w:rsidP="00882BB2">
            <w:pPr>
              <w:spacing w:before="0" w:after="0"/>
              <w:jc w:val="center"/>
              <w:rPr>
                <w:rFonts w:eastAsia="Times New Roman" w:cs="Times New Roman"/>
                <w:color w:val="000000"/>
                <w:sz w:val="20"/>
                <w:szCs w:val="20"/>
              </w:rPr>
            </w:pPr>
            <w:r w:rsidRPr="00DB74C2">
              <w:rPr>
                <w:rFonts w:eastAsia="Times New Roman" w:cs="Times New Roman"/>
                <w:color w:val="000000"/>
                <w:sz w:val="20"/>
                <w:szCs w:val="20"/>
              </w:rPr>
              <w:t>0.578</w:t>
            </w:r>
            <w:r>
              <w:rPr>
                <w:rFonts w:eastAsia="Times New Roman" w:cs="Times New Roman"/>
                <w:color w:val="000000"/>
                <w:sz w:val="20"/>
                <w:szCs w:val="20"/>
              </w:rPr>
              <w:t>***</w:t>
            </w:r>
          </w:p>
        </w:tc>
        <w:tc>
          <w:tcPr>
            <w:tcW w:w="0" w:type="auto"/>
            <w:tcBorders>
              <w:top w:val="nil"/>
              <w:left w:val="nil"/>
              <w:bottom w:val="single" w:sz="4" w:space="0" w:color="auto"/>
              <w:right w:val="nil"/>
            </w:tcBorders>
            <w:shd w:val="clear" w:color="auto" w:fill="auto"/>
            <w:noWrap/>
            <w:vAlign w:val="center"/>
            <w:hideMark/>
          </w:tcPr>
          <w:p w14:paraId="132E9371" w14:textId="77777777" w:rsidR="00BC32E0" w:rsidRPr="00DB74C2" w:rsidRDefault="00BC32E0" w:rsidP="00882BB2">
            <w:pPr>
              <w:spacing w:before="0" w:after="0"/>
              <w:jc w:val="center"/>
              <w:rPr>
                <w:rFonts w:eastAsia="Times New Roman" w:cs="Times New Roman"/>
                <w:color w:val="000000"/>
                <w:sz w:val="20"/>
                <w:szCs w:val="20"/>
              </w:rPr>
            </w:pPr>
            <w:r w:rsidRPr="00DB74C2">
              <w:rPr>
                <w:rFonts w:eastAsia="Times New Roman" w:cs="Times New Roman"/>
                <w:color w:val="000000"/>
                <w:sz w:val="20"/>
                <w:szCs w:val="20"/>
              </w:rPr>
              <w:t>-0.035</w:t>
            </w:r>
          </w:p>
        </w:tc>
        <w:tc>
          <w:tcPr>
            <w:tcW w:w="0" w:type="auto"/>
            <w:tcBorders>
              <w:top w:val="nil"/>
              <w:left w:val="nil"/>
              <w:bottom w:val="single" w:sz="4" w:space="0" w:color="auto"/>
              <w:right w:val="nil"/>
            </w:tcBorders>
            <w:shd w:val="clear" w:color="auto" w:fill="auto"/>
            <w:noWrap/>
            <w:vAlign w:val="center"/>
            <w:hideMark/>
          </w:tcPr>
          <w:p w14:paraId="7CDB10CB" w14:textId="77777777" w:rsidR="00BC32E0" w:rsidRPr="00DB74C2" w:rsidRDefault="00BC32E0" w:rsidP="00882BB2">
            <w:pPr>
              <w:spacing w:before="0" w:after="0"/>
              <w:jc w:val="center"/>
              <w:rPr>
                <w:rFonts w:eastAsia="Times New Roman" w:cs="Times New Roman"/>
                <w:color w:val="000000"/>
                <w:sz w:val="20"/>
                <w:szCs w:val="20"/>
              </w:rPr>
            </w:pPr>
            <w:r w:rsidRPr="00DB74C2">
              <w:rPr>
                <w:rFonts w:eastAsia="Times New Roman" w:cs="Times New Roman"/>
                <w:color w:val="000000"/>
                <w:sz w:val="20"/>
                <w:szCs w:val="20"/>
              </w:rPr>
              <w:t>0.028</w:t>
            </w:r>
          </w:p>
        </w:tc>
      </w:tr>
      <w:tr w:rsidR="00BC32E0" w:rsidRPr="00DB74C2" w14:paraId="541826DA" w14:textId="77777777" w:rsidTr="00882BB2">
        <w:trPr>
          <w:trHeight w:val="315"/>
        </w:trPr>
        <w:tc>
          <w:tcPr>
            <w:tcW w:w="0" w:type="auto"/>
            <w:gridSpan w:val="8"/>
            <w:tcBorders>
              <w:top w:val="single" w:sz="4" w:space="0" w:color="auto"/>
              <w:left w:val="nil"/>
              <w:right w:val="nil"/>
            </w:tcBorders>
            <w:shd w:val="clear" w:color="auto" w:fill="auto"/>
            <w:noWrap/>
            <w:vAlign w:val="center"/>
          </w:tcPr>
          <w:p w14:paraId="1B3ED257" w14:textId="77777777" w:rsidR="00BC32E0" w:rsidRPr="00DB74C2" w:rsidRDefault="00BC32E0" w:rsidP="00882BB2">
            <w:pPr>
              <w:spacing w:before="0" w:after="0"/>
              <w:rPr>
                <w:rFonts w:eastAsia="Times New Roman" w:cs="Times New Roman"/>
                <w:color w:val="000000"/>
                <w:sz w:val="20"/>
                <w:szCs w:val="20"/>
              </w:rPr>
            </w:pPr>
            <w:r>
              <w:rPr>
                <w:rFonts w:eastAsia="Times New Roman" w:cs="Times New Roman"/>
                <w:color w:val="000000"/>
                <w:sz w:val="20"/>
                <w:szCs w:val="20"/>
              </w:rPr>
              <w:t>Note:</w:t>
            </w:r>
            <w:r w:rsidRPr="00A7650D">
              <w:rPr>
                <w:rFonts w:eastAsia="Times New Roman" w:cs="Times New Roman"/>
                <w:color w:val="000000"/>
                <w:sz w:val="20"/>
                <w:szCs w:val="20"/>
              </w:rPr>
              <w:t xml:space="preserve"> Chronbach’s </w:t>
            </w:r>
            <w:r w:rsidRPr="00A7650D">
              <w:rPr>
                <w:rFonts w:cs="Times New Roman"/>
                <w:i/>
                <w:iCs/>
                <w:sz w:val="20"/>
                <w:szCs w:val="20"/>
              </w:rPr>
              <w:t xml:space="preserve">α = </w:t>
            </w:r>
            <w:r w:rsidRPr="00A7650D">
              <w:rPr>
                <w:rFonts w:cs="Times New Roman"/>
                <w:sz w:val="20"/>
                <w:szCs w:val="20"/>
              </w:rPr>
              <w:t>0.</w:t>
            </w:r>
            <w:r>
              <w:rPr>
                <w:rFonts w:cs="Times New Roman"/>
                <w:sz w:val="20"/>
                <w:szCs w:val="20"/>
              </w:rPr>
              <w:t xml:space="preserve">61 </w:t>
            </w:r>
            <w:r w:rsidRPr="00A7650D">
              <w:rPr>
                <w:rFonts w:cs="Times New Roman"/>
                <w:sz w:val="20"/>
                <w:szCs w:val="20"/>
              </w:rPr>
              <w:t>value, showing moderate relationship.</w:t>
            </w:r>
            <w:r w:rsidRPr="00A7650D">
              <w:rPr>
                <w:rFonts w:eastAsia="Times New Roman" w:cs="Times New Roman"/>
                <w:color w:val="000000"/>
                <w:sz w:val="20"/>
                <w:szCs w:val="20"/>
              </w:rPr>
              <w:t xml:space="preserve"> For two-tailed test and degrees of freedom </w:t>
            </w:r>
            <w:r w:rsidRPr="00A7650D">
              <w:rPr>
                <w:rFonts w:eastAsia="Times New Roman" w:cs="Times New Roman"/>
                <w:i/>
                <w:iCs/>
                <w:color w:val="000000"/>
                <w:sz w:val="20"/>
                <w:szCs w:val="20"/>
              </w:rPr>
              <w:t>v=</w:t>
            </w:r>
            <w:r>
              <w:rPr>
                <w:rFonts w:eastAsia="Times New Roman" w:cs="Times New Roman"/>
                <w:color w:val="000000"/>
                <w:sz w:val="20"/>
                <w:szCs w:val="20"/>
              </w:rPr>
              <w:t>90</w:t>
            </w:r>
            <w:r w:rsidRPr="00A7650D">
              <w:rPr>
                <w:rFonts w:eastAsia="Times New Roman" w:cs="Times New Roman"/>
                <w:color w:val="000000"/>
                <w:sz w:val="20"/>
                <w:szCs w:val="20"/>
              </w:rPr>
              <w:t>, correlations are significant at *</w:t>
            </w:r>
            <w:r w:rsidRPr="00A7650D">
              <w:rPr>
                <w:rFonts w:eastAsia="Times New Roman" w:cs="Times New Roman"/>
                <w:i/>
                <w:iCs/>
                <w:color w:val="000000"/>
                <w:sz w:val="20"/>
                <w:szCs w:val="20"/>
              </w:rPr>
              <w:t>p</w:t>
            </w:r>
            <w:r>
              <w:rPr>
                <w:rFonts w:eastAsia="Times New Roman" w:cs="Times New Roman"/>
                <w:i/>
                <w:iCs/>
                <w:color w:val="000000"/>
                <w:sz w:val="20"/>
                <w:szCs w:val="20"/>
              </w:rPr>
              <w:t>&lt;</w:t>
            </w:r>
            <w:r w:rsidRPr="00A7650D">
              <w:rPr>
                <w:rFonts w:eastAsia="Times New Roman" w:cs="Times New Roman"/>
                <w:i/>
                <w:iCs/>
                <w:color w:val="000000"/>
                <w:sz w:val="20"/>
                <w:szCs w:val="20"/>
              </w:rPr>
              <w:t>0.1; **p</w:t>
            </w:r>
            <w:r>
              <w:rPr>
                <w:rFonts w:eastAsia="Times New Roman" w:cs="Times New Roman"/>
                <w:i/>
                <w:iCs/>
                <w:color w:val="000000"/>
                <w:sz w:val="20"/>
                <w:szCs w:val="20"/>
              </w:rPr>
              <w:t>&lt;</w:t>
            </w:r>
            <w:r w:rsidRPr="00A7650D">
              <w:rPr>
                <w:rFonts w:eastAsia="Times New Roman" w:cs="Times New Roman"/>
                <w:i/>
                <w:iCs/>
                <w:color w:val="000000"/>
                <w:sz w:val="20"/>
                <w:szCs w:val="20"/>
              </w:rPr>
              <w:t>0.05; ***p</w:t>
            </w:r>
            <w:r>
              <w:rPr>
                <w:rFonts w:eastAsia="Times New Roman" w:cs="Times New Roman"/>
                <w:i/>
                <w:iCs/>
                <w:color w:val="000000"/>
                <w:sz w:val="20"/>
                <w:szCs w:val="20"/>
              </w:rPr>
              <w:t>&lt;</w:t>
            </w:r>
            <w:r w:rsidRPr="00A7650D">
              <w:rPr>
                <w:rFonts w:eastAsia="Times New Roman" w:cs="Times New Roman"/>
                <w:i/>
                <w:iCs/>
                <w:color w:val="000000"/>
                <w:sz w:val="20"/>
                <w:szCs w:val="20"/>
              </w:rPr>
              <w:t xml:space="preserve">0.01 </w:t>
            </w:r>
            <w:r w:rsidRPr="00A7650D">
              <w:rPr>
                <w:rFonts w:eastAsia="Times New Roman" w:cs="Times New Roman"/>
                <w:color w:val="000000"/>
                <w:sz w:val="20"/>
                <w:szCs w:val="20"/>
              </w:rPr>
              <w:t>(two-tailed), respectively.</w:t>
            </w:r>
          </w:p>
        </w:tc>
      </w:tr>
    </w:tbl>
    <w:p w14:paraId="31815AC4" w14:textId="77777777" w:rsidR="00583802" w:rsidRDefault="00583802" w:rsidP="00583802">
      <w:bookmarkStart w:id="215" w:name="_Toc62467394"/>
      <w:bookmarkStart w:id="216" w:name="_Toc91575398"/>
      <w:bookmarkStart w:id="217" w:name="_Toc93759878"/>
      <w:bookmarkStart w:id="218" w:name="_Toc93759982"/>
    </w:p>
    <w:p w14:paraId="3E22819B" w14:textId="77777777" w:rsidR="00583802" w:rsidRDefault="00583802">
      <w:pPr>
        <w:spacing w:before="0" w:after="160" w:line="259" w:lineRule="auto"/>
        <w:jc w:val="left"/>
        <w:rPr>
          <w:rFonts w:eastAsiaTheme="majorEastAsia" w:cstheme="majorBidi"/>
          <w:smallCaps/>
          <w:szCs w:val="24"/>
        </w:rPr>
      </w:pPr>
      <w:r>
        <w:br w:type="page"/>
      </w:r>
    </w:p>
    <w:p w14:paraId="2F7A8AB6" w14:textId="4A83D22A" w:rsidR="00BC32E0" w:rsidRPr="00BC32E0" w:rsidRDefault="00BC32E0" w:rsidP="00BC32E0">
      <w:pPr>
        <w:pStyle w:val="Heading3"/>
      </w:pPr>
      <w:bookmarkStart w:id="219" w:name="_Toc101274347"/>
      <w:r>
        <w:lastRenderedPageBreak/>
        <w:t>Publication Weight Factor</w:t>
      </w:r>
      <w:bookmarkEnd w:id="215"/>
      <w:bookmarkEnd w:id="216"/>
      <w:bookmarkEnd w:id="217"/>
      <w:bookmarkEnd w:id="218"/>
      <w:bookmarkEnd w:id="219"/>
    </w:p>
    <w:p w14:paraId="60C97CD3" w14:textId="1969754A" w:rsidR="00882BB2" w:rsidRDefault="00BC32E0" w:rsidP="00BC32E0">
      <w:r w:rsidRPr="00BC32E0">
        <w:t>A</w:t>
      </w:r>
      <w:r w:rsidR="00173EB5">
        <w:t xml:space="preserve"> quantitative scale of disseminated activities is proposed after evaluating the project research outcomes compared to the funds invested in the research</w:t>
      </w:r>
      <w:r w:rsidRPr="00BC32E0">
        <w:t xml:space="preserve">. The underlying reason for proposing such a quantitative estimation measurement abstracted as Publication Weight Factor (PWF) is to highlight </w:t>
      </w:r>
      <w:r w:rsidR="00173EB5">
        <w:t>industrial maintenance research projects' scientific and technological contributions</w:t>
      </w:r>
      <w:r w:rsidRPr="00BC32E0">
        <w:t xml:space="preserve"> </w:t>
      </w:r>
      <w:r w:rsidR="00DF775B">
        <w:t>considering</w:t>
      </w:r>
      <w:r w:rsidRPr="00BC32E0">
        <w:t xml:space="preserve"> all research activities for which the project(s) have been funded. Therefore, by referring to the Rulebook that evaluates the quality of scientific contribution by quantitative expression of research results proposed by the Ministry of Serbia as a part of </w:t>
      </w:r>
      <w:r w:rsidR="00173EB5">
        <w:t xml:space="preserve">the </w:t>
      </w:r>
      <w:r w:rsidRPr="00BC32E0">
        <w:t xml:space="preserve">Law on Scientific Research Activity </w:t>
      </w:r>
      <w:r>
        <w:fldChar w:fldCharType="begin" w:fldLock="1"/>
      </w:r>
      <w:r w:rsidR="00645D0B">
        <w:instrText>ADDIN CSL_CITATION {"citationItems":[{"id":"ITEM-1","itemData":{"author":[{"dropping-particle":"","family":"MESTD","given":"","non-dropping-particle":"","parse-names":false,"suffix":""}],"collection-title":"21","id":"ITEM-1","issued":{"date-parts":[["2017"]]},"number-of-pages":"1-51","publisher":"Ministry of Education, Science and Technological Development","publisher-place":"Belgrade, Serbia","title":"The Rulebook on the procedure, method of evaluation and quantitative statement of scientific research results of researchers","type":"report"},"uris":["http://www.mendeley.com/documents/?uuid=39071807-65d8-4749-9c29-d178a3df1eee"]}],"mendeley":{"formattedCitation":"[67]","plainTextFormattedCitation":"[67]","previouslyFormattedCitation":"[67]"},"properties":{"noteIndex":0},"schema":"https://github.com/citation-style-language/schema/raw/master/csl-citation.json"}</w:instrText>
      </w:r>
      <w:r>
        <w:fldChar w:fldCharType="separate"/>
      </w:r>
      <w:r w:rsidR="00416869" w:rsidRPr="00416869">
        <w:rPr>
          <w:noProof/>
        </w:rPr>
        <w:t>[67]</w:t>
      </w:r>
      <w:r>
        <w:fldChar w:fldCharType="end"/>
      </w:r>
      <w:r w:rsidR="00173EB5">
        <w:t>, the PWF is elaborated</w:t>
      </w:r>
      <w:r>
        <w:t xml:space="preserve">. </w:t>
      </w:r>
      <w:r w:rsidRPr="00BC32E0">
        <w:t xml:space="preserve">The proposed </w:t>
      </w:r>
      <w:r w:rsidR="008D25E9">
        <w:rPr>
          <w:i/>
          <w:iCs/>
        </w:rPr>
        <w:t>R</w:t>
      </w:r>
      <w:r w:rsidRPr="00BC32E0">
        <w:t xml:space="preserve"> values (</w:t>
      </w:r>
      <w:r w:rsidR="007164B9">
        <w:fldChar w:fldCharType="begin"/>
      </w:r>
      <w:r w:rsidR="007164B9">
        <w:instrText xml:space="preserve"> REF _Ref57728168 \h </w:instrText>
      </w:r>
      <w:r w:rsidR="007164B9">
        <w:fldChar w:fldCharType="separate"/>
      </w:r>
      <w:r w:rsidR="00587AF0">
        <w:t xml:space="preserve">Table </w:t>
      </w:r>
      <w:r w:rsidR="00587AF0">
        <w:rPr>
          <w:noProof/>
        </w:rPr>
        <w:t>10</w:t>
      </w:r>
      <w:r w:rsidR="007164B9">
        <w:fldChar w:fldCharType="end"/>
      </w:r>
      <w:r w:rsidRPr="00BC32E0">
        <w:t>) within the Rulebook are expressed as integer values according to the rank of the scientific publications proposed.</w:t>
      </w:r>
    </w:p>
    <w:p w14:paraId="2CC686E4" w14:textId="3988A480" w:rsidR="00882BB2" w:rsidRPr="00F64422" w:rsidRDefault="00882BB2" w:rsidP="00882BB2">
      <w:pPr>
        <w:pStyle w:val="Caption"/>
        <w:keepNext/>
        <w:jc w:val="both"/>
      </w:pPr>
      <w:bookmarkStart w:id="220" w:name="_Ref57728168"/>
      <w:bookmarkStart w:id="221" w:name="_Toc65585500"/>
      <w:bookmarkStart w:id="222" w:name="_Toc101274450"/>
      <w:r>
        <w:t xml:space="preserve">Table </w:t>
      </w:r>
      <w:fldSimple w:instr=" SEQ Table \* ARABIC ">
        <w:r w:rsidR="00587AF0">
          <w:rPr>
            <w:noProof/>
          </w:rPr>
          <w:t>10</w:t>
        </w:r>
      </w:fldSimple>
      <w:bookmarkEnd w:id="220"/>
      <w:r>
        <w:t xml:space="preserve">. Respected </w:t>
      </w:r>
      <w:r w:rsidR="008D25E9">
        <w:rPr>
          <w:i/>
          <w:iCs w:val="0"/>
        </w:rPr>
        <w:t>R</w:t>
      </w:r>
      <w:r>
        <w:rPr>
          <w:i/>
          <w:iCs w:val="0"/>
        </w:rPr>
        <w:t xml:space="preserve"> </w:t>
      </w:r>
      <w:r>
        <w:t>values for quantitative estimation of research deliverables</w:t>
      </w:r>
      <w:bookmarkEnd w:id="221"/>
      <w:bookmarkEnd w:id="222"/>
    </w:p>
    <w:tbl>
      <w:tblPr>
        <w:tblW w:w="5000" w:type="pct"/>
        <w:tblLook w:val="04A0" w:firstRow="1" w:lastRow="0" w:firstColumn="1" w:lastColumn="0" w:noHBand="0" w:noVBand="1"/>
      </w:tblPr>
      <w:tblGrid>
        <w:gridCol w:w="1162"/>
        <w:gridCol w:w="1171"/>
        <w:gridCol w:w="1352"/>
        <w:gridCol w:w="1172"/>
        <w:gridCol w:w="1266"/>
        <w:gridCol w:w="1443"/>
        <w:gridCol w:w="1461"/>
      </w:tblGrid>
      <w:tr w:rsidR="00882BB2" w:rsidRPr="00BF04FB" w14:paraId="32DD82A9" w14:textId="77777777" w:rsidTr="004D1884">
        <w:trPr>
          <w:trHeight w:val="157"/>
        </w:trPr>
        <w:tc>
          <w:tcPr>
            <w:tcW w:w="644" w:type="pct"/>
            <w:tcBorders>
              <w:top w:val="single" w:sz="4" w:space="0" w:color="auto"/>
              <w:bottom w:val="single" w:sz="4" w:space="0" w:color="auto"/>
            </w:tcBorders>
            <w:shd w:val="clear" w:color="auto" w:fill="auto"/>
            <w:vAlign w:val="center"/>
            <w:hideMark/>
          </w:tcPr>
          <w:p w14:paraId="5731A34E" w14:textId="77777777" w:rsidR="00882BB2" w:rsidRPr="00BF04FB" w:rsidRDefault="00882BB2" w:rsidP="004D1884">
            <w:pPr>
              <w:spacing w:before="0" w:after="0"/>
              <w:jc w:val="center"/>
              <w:rPr>
                <w:rFonts w:eastAsia="Times New Roman" w:cs="Times New Roman"/>
                <w:sz w:val="20"/>
                <w:szCs w:val="20"/>
              </w:rPr>
            </w:pPr>
          </w:p>
        </w:tc>
        <w:tc>
          <w:tcPr>
            <w:tcW w:w="2748" w:type="pct"/>
            <w:gridSpan w:val="4"/>
            <w:tcBorders>
              <w:top w:val="single" w:sz="4" w:space="0" w:color="auto"/>
              <w:bottom w:val="single" w:sz="4" w:space="0" w:color="auto"/>
              <w:right w:val="nil"/>
            </w:tcBorders>
            <w:shd w:val="clear" w:color="auto" w:fill="auto"/>
            <w:vAlign w:val="center"/>
            <w:hideMark/>
          </w:tcPr>
          <w:p w14:paraId="2652D64E" w14:textId="68D0B9C2" w:rsidR="00882BB2" w:rsidRPr="00DA3E7D" w:rsidRDefault="008D25E9" w:rsidP="004D1884">
            <w:pPr>
              <w:spacing w:before="0" w:after="0"/>
              <w:jc w:val="center"/>
              <w:rPr>
                <w:rFonts w:eastAsia="Times New Roman" w:cs="Times New Roman"/>
                <w:b/>
                <w:bCs/>
                <w:i/>
                <w:iCs/>
                <w:sz w:val="20"/>
                <w:szCs w:val="20"/>
              </w:rPr>
            </w:pPr>
            <w:r>
              <w:rPr>
                <w:rFonts w:eastAsia="Times New Roman" w:cs="Times New Roman"/>
                <w:b/>
                <w:bCs/>
                <w:i/>
                <w:iCs/>
                <w:sz w:val="20"/>
                <w:szCs w:val="20"/>
              </w:rPr>
              <w:t>R</w:t>
            </w:r>
            <w:r w:rsidR="00882BB2" w:rsidRPr="00DA3E7D">
              <w:rPr>
                <w:rFonts w:eastAsia="Times New Roman" w:cs="Times New Roman"/>
                <w:b/>
                <w:bCs/>
                <w:i/>
                <w:iCs/>
                <w:sz w:val="20"/>
                <w:szCs w:val="20"/>
              </w:rPr>
              <w:t xml:space="preserve"> values</w:t>
            </w:r>
          </w:p>
        </w:tc>
        <w:tc>
          <w:tcPr>
            <w:tcW w:w="799" w:type="pct"/>
            <w:tcBorders>
              <w:top w:val="single" w:sz="4" w:space="0" w:color="auto"/>
              <w:left w:val="nil"/>
              <w:bottom w:val="single" w:sz="4" w:space="0" w:color="auto"/>
              <w:right w:val="nil"/>
            </w:tcBorders>
            <w:shd w:val="clear" w:color="auto" w:fill="auto"/>
            <w:noWrap/>
            <w:vAlign w:val="center"/>
            <w:hideMark/>
          </w:tcPr>
          <w:p w14:paraId="52F4488C" w14:textId="77777777" w:rsidR="00882BB2" w:rsidRPr="00DA3E7D" w:rsidRDefault="00882BB2" w:rsidP="004D1884">
            <w:pPr>
              <w:spacing w:before="0" w:after="0"/>
              <w:jc w:val="center"/>
              <w:rPr>
                <w:rFonts w:eastAsia="Times New Roman" w:cs="Times New Roman"/>
                <w:b/>
                <w:bCs/>
                <w:sz w:val="20"/>
                <w:szCs w:val="20"/>
              </w:rPr>
            </w:pPr>
            <w:r w:rsidRPr="00DA3E7D">
              <w:rPr>
                <w:rFonts w:eastAsia="Times New Roman" w:cs="Times New Roman"/>
                <w:b/>
                <w:bCs/>
                <w:i/>
                <w:iCs/>
                <w:sz w:val="20"/>
                <w:szCs w:val="20"/>
              </w:rPr>
              <w:t>μ</w:t>
            </w:r>
            <w:r w:rsidRPr="00DA3E7D">
              <w:rPr>
                <w:rFonts w:eastAsia="Times New Roman" w:cs="Times New Roman"/>
                <w:b/>
                <w:bCs/>
                <w:sz w:val="20"/>
                <w:szCs w:val="20"/>
                <w:vertAlign w:val="subscript"/>
              </w:rPr>
              <w:t>Rij</w:t>
            </w:r>
          </w:p>
        </w:tc>
        <w:tc>
          <w:tcPr>
            <w:tcW w:w="809" w:type="pct"/>
            <w:tcBorders>
              <w:top w:val="single" w:sz="4" w:space="0" w:color="auto"/>
              <w:left w:val="nil"/>
              <w:bottom w:val="single" w:sz="4" w:space="0" w:color="auto"/>
            </w:tcBorders>
            <w:shd w:val="clear" w:color="auto" w:fill="auto"/>
            <w:noWrap/>
            <w:vAlign w:val="center"/>
            <w:hideMark/>
          </w:tcPr>
          <w:p w14:paraId="00901761" w14:textId="77777777" w:rsidR="00882BB2" w:rsidRPr="00DA3E7D" w:rsidRDefault="00882BB2" w:rsidP="004D1884">
            <w:pPr>
              <w:spacing w:before="0" w:after="0"/>
              <w:jc w:val="center"/>
              <w:rPr>
                <w:rFonts w:eastAsia="Times New Roman" w:cs="Times New Roman"/>
                <w:b/>
                <w:bCs/>
                <w:sz w:val="20"/>
                <w:szCs w:val="20"/>
              </w:rPr>
            </w:pPr>
            <w:r w:rsidRPr="00DA3E7D">
              <w:rPr>
                <w:rFonts w:eastAsia="Times New Roman" w:cs="Times New Roman"/>
                <w:b/>
                <w:bCs/>
                <w:i/>
                <w:iCs/>
                <w:sz w:val="20"/>
                <w:szCs w:val="20"/>
              </w:rPr>
              <w:t>σ</w:t>
            </w:r>
            <w:r w:rsidRPr="00DA3E7D">
              <w:rPr>
                <w:rFonts w:eastAsia="Times New Roman" w:cs="Times New Roman"/>
                <w:b/>
                <w:bCs/>
                <w:sz w:val="20"/>
                <w:szCs w:val="20"/>
                <w:vertAlign w:val="subscript"/>
              </w:rPr>
              <w:t>Rij</w:t>
            </w:r>
          </w:p>
        </w:tc>
      </w:tr>
      <w:tr w:rsidR="00882BB2" w:rsidRPr="00ED48A5" w14:paraId="04CD52F9" w14:textId="77777777" w:rsidTr="004D1884">
        <w:trPr>
          <w:trHeight w:val="293"/>
        </w:trPr>
        <w:tc>
          <w:tcPr>
            <w:tcW w:w="644" w:type="pct"/>
            <w:tcBorders>
              <w:top w:val="single" w:sz="4" w:space="0" w:color="auto"/>
              <w:bottom w:val="nil"/>
            </w:tcBorders>
            <w:shd w:val="clear" w:color="auto" w:fill="auto"/>
            <w:vAlign w:val="center"/>
            <w:hideMark/>
          </w:tcPr>
          <w:p w14:paraId="76EA5D7E" w14:textId="77777777" w:rsidR="00882BB2" w:rsidRPr="00BF04FB" w:rsidRDefault="00882BB2" w:rsidP="004D1884">
            <w:pPr>
              <w:spacing w:before="0" w:after="0"/>
              <w:jc w:val="right"/>
              <w:rPr>
                <w:rFonts w:eastAsia="Times New Roman" w:cs="Times New Roman"/>
                <w:sz w:val="20"/>
                <w:szCs w:val="20"/>
              </w:rPr>
            </w:pPr>
            <w:r w:rsidRPr="00BF04FB">
              <w:rPr>
                <w:rFonts w:eastAsia="Times New Roman" w:cs="Times New Roman"/>
                <w:sz w:val="20"/>
                <w:szCs w:val="20"/>
              </w:rPr>
              <w:t>Category</w:t>
            </w:r>
          </w:p>
        </w:tc>
        <w:tc>
          <w:tcPr>
            <w:tcW w:w="649" w:type="pct"/>
            <w:tcBorders>
              <w:top w:val="single" w:sz="4" w:space="0" w:color="auto"/>
              <w:bottom w:val="nil"/>
            </w:tcBorders>
            <w:shd w:val="clear" w:color="auto" w:fill="auto"/>
            <w:vAlign w:val="center"/>
            <w:hideMark/>
          </w:tcPr>
          <w:p w14:paraId="181196C9"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i/>
                <w:iCs/>
                <w:sz w:val="20"/>
                <w:szCs w:val="20"/>
              </w:rPr>
              <w:t>R</w:t>
            </w:r>
            <w:r w:rsidRPr="00BF04FB">
              <w:rPr>
                <w:rFonts w:eastAsia="Times New Roman" w:cs="Times New Roman"/>
                <w:sz w:val="20"/>
                <w:szCs w:val="20"/>
                <w:vertAlign w:val="subscript"/>
              </w:rPr>
              <w:t>1</w:t>
            </w:r>
          </w:p>
        </w:tc>
        <w:tc>
          <w:tcPr>
            <w:tcW w:w="749" w:type="pct"/>
            <w:tcBorders>
              <w:top w:val="single" w:sz="4" w:space="0" w:color="auto"/>
              <w:bottom w:val="nil"/>
            </w:tcBorders>
            <w:shd w:val="clear" w:color="auto" w:fill="auto"/>
            <w:vAlign w:val="center"/>
            <w:hideMark/>
          </w:tcPr>
          <w:p w14:paraId="75D25D61"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i/>
                <w:iCs/>
                <w:sz w:val="20"/>
                <w:szCs w:val="20"/>
              </w:rPr>
              <w:t>R</w:t>
            </w:r>
            <w:r w:rsidRPr="00BF04FB">
              <w:rPr>
                <w:rFonts w:eastAsia="Times New Roman" w:cs="Times New Roman"/>
                <w:sz w:val="20"/>
                <w:szCs w:val="20"/>
                <w:vertAlign w:val="subscript"/>
              </w:rPr>
              <w:t>2</w:t>
            </w:r>
          </w:p>
        </w:tc>
        <w:tc>
          <w:tcPr>
            <w:tcW w:w="649" w:type="pct"/>
            <w:tcBorders>
              <w:top w:val="single" w:sz="4" w:space="0" w:color="auto"/>
              <w:bottom w:val="nil"/>
            </w:tcBorders>
            <w:shd w:val="clear" w:color="auto" w:fill="auto"/>
            <w:noWrap/>
            <w:vAlign w:val="center"/>
            <w:hideMark/>
          </w:tcPr>
          <w:p w14:paraId="22555391"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i/>
                <w:iCs/>
                <w:sz w:val="20"/>
                <w:szCs w:val="20"/>
              </w:rPr>
              <w:t>R</w:t>
            </w:r>
            <w:r w:rsidRPr="00BF04FB">
              <w:rPr>
                <w:rFonts w:eastAsia="Times New Roman" w:cs="Times New Roman"/>
                <w:sz w:val="20"/>
                <w:szCs w:val="20"/>
                <w:vertAlign w:val="subscript"/>
              </w:rPr>
              <w:t>3</w:t>
            </w:r>
          </w:p>
        </w:tc>
        <w:tc>
          <w:tcPr>
            <w:tcW w:w="700" w:type="pct"/>
            <w:tcBorders>
              <w:top w:val="single" w:sz="4" w:space="0" w:color="auto"/>
              <w:bottom w:val="nil"/>
            </w:tcBorders>
            <w:shd w:val="clear" w:color="auto" w:fill="auto"/>
            <w:noWrap/>
            <w:vAlign w:val="center"/>
            <w:hideMark/>
          </w:tcPr>
          <w:p w14:paraId="3E73A8EF"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i/>
                <w:iCs/>
                <w:sz w:val="20"/>
                <w:szCs w:val="20"/>
              </w:rPr>
              <w:t>R</w:t>
            </w:r>
            <w:r w:rsidRPr="00BF04FB">
              <w:rPr>
                <w:rFonts w:eastAsia="Times New Roman" w:cs="Times New Roman"/>
                <w:sz w:val="20"/>
                <w:szCs w:val="20"/>
                <w:vertAlign w:val="subscript"/>
              </w:rPr>
              <w:t>4</w:t>
            </w:r>
          </w:p>
        </w:tc>
        <w:tc>
          <w:tcPr>
            <w:tcW w:w="799" w:type="pct"/>
            <w:tcBorders>
              <w:top w:val="single" w:sz="4" w:space="0" w:color="auto"/>
              <w:bottom w:val="nil"/>
            </w:tcBorders>
            <w:shd w:val="clear" w:color="auto" w:fill="auto"/>
            <w:noWrap/>
            <w:vAlign w:val="center"/>
            <w:hideMark/>
          </w:tcPr>
          <w:p w14:paraId="7624A8B2" w14:textId="77777777" w:rsidR="00882BB2" w:rsidRPr="00BF04FB" w:rsidRDefault="00882BB2" w:rsidP="004D1884">
            <w:pPr>
              <w:spacing w:before="0" w:after="0"/>
              <w:jc w:val="center"/>
              <w:rPr>
                <w:rFonts w:eastAsia="Times New Roman" w:cs="Times New Roman"/>
                <w:color w:val="000000"/>
                <w:sz w:val="20"/>
                <w:szCs w:val="20"/>
              </w:rPr>
            </w:pPr>
          </w:p>
        </w:tc>
        <w:tc>
          <w:tcPr>
            <w:tcW w:w="809" w:type="pct"/>
            <w:tcBorders>
              <w:top w:val="single" w:sz="4" w:space="0" w:color="auto"/>
              <w:bottom w:val="nil"/>
            </w:tcBorders>
            <w:shd w:val="clear" w:color="auto" w:fill="auto"/>
            <w:noWrap/>
            <w:vAlign w:val="center"/>
            <w:hideMark/>
          </w:tcPr>
          <w:p w14:paraId="7768A6A0" w14:textId="77777777" w:rsidR="00882BB2" w:rsidRPr="00BF04FB" w:rsidRDefault="00882BB2" w:rsidP="004D1884">
            <w:pPr>
              <w:spacing w:before="0" w:after="0"/>
              <w:jc w:val="center"/>
              <w:rPr>
                <w:rFonts w:eastAsia="Times New Roman" w:cs="Times New Roman"/>
                <w:color w:val="000000"/>
                <w:sz w:val="20"/>
                <w:szCs w:val="20"/>
              </w:rPr>
            </w:pPr>
          </w:p>
        </w:tc>
      </w:tr>
      <w:tr w:rsidR="00882BB2" w:rsidRPr="00ED48A5" w14:paraId="4E981CD6" w14:textId="77777777" w:rsidTr="004D1884">
        <w:trPr>
          <w:trHeight w:val="147"/>
        </w:trPr>
        <w:tc>
          <w:tcPr>
            <w:tcW w:w="644" w:type="pct"/>
            <w:tcBorders>
              <w:top w:val="nil"/>
              <w:bottom w:val="nil"/>
            </w:tcBorders>
            <w:shd w:val="clear" w:color="auto" w:fill="auto"/>
            <w:vAlign w:val="center"/>
            <w:hideMark/>
          </w:tcPr>
          <w:p w14:paraId="53F4BDE6" w14:textId="77777777" w:rsidR="00882BB2" w:rsidRPr="00BF04FB" w:rsidRDefault="00882BB2" w:rsidP="004D1884">
            <w:pPr>
              <w:spacing w:before="0" w:after="0"/>
              <w:rPr>
                <w:rFonts w:eastAsia="Times New Roman" w:cs="Times New Roman"/>
                <w:sz w:val="20"/>
                <w:szCs w:val="20"/>
              </w:rPr>
            </w:pPr>
            <w:r w:rsidRPr="00ED48A5">
              <w:rPr>
                <w:rFonts w:eastAsia="Times New Roman" w:cs="Times New Roman"/>
                <w:sz w:val="20"/>
                <w:szCs w:val="20"/>
              </w:rPr>
              <w:t>PAT</w:t>
            </w:r>
          </w:p>
        </w:tc>
        <w:tc>
          <w:tcPr>
            <w:tcW w:w="649" w:type="pct"/>
            <w:tcBorders>
              <w:top w:val="nil"/>
              <w:bottom w:val="nil"/>
            </w:tcBorders>
            <w:shd w:val="clear" w:color="auto" w:fill="auto"/>
            <w:vAlign w:val="center"/>
            <w:hideMark/>
          </w:tcPr>
          <w:p w14:paraId="6F25F72B"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sz w:val="20"/>
                <w:szCs w:val="20"/>
              </w:rPr>
              <w:t>16</w:t>
            </w:r>
          </w:p>
        </w:tc>
        <w:tc>
          <w:tcPr>
            <w:tcW w:w="749" w:type="pct"/>
            <w:tcBorders>
              <w:top w:val="nil"/>
              <w:bottom w:val="nil"/>
            </w:tcBorders>
            <w:shd w:val="clear" w:color="auto" w:fill="auto"/>
            <w:vAlign w:val="center"/>
            <w:hideMark/>
          </w:tcPr>
          <w:p w14:paraId="1E882BED"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sz w:val="20"/>
                <w:szCs w:val="20"/>
              </w:rPr>
              <w:t>12</w:t>
            </w:r>
          </w:p>
        </w:tc>
        <w:tc>
          <w:tcPr>
            <w:tcW w:w="649" w:type="pct"/>
            <w:tcBorders>
              <w:top w:val="nil"/>
              <w:bottom w:val="nil"/>
            </w:tcBorders>
            <w:shd w:val="clear" w:color="auto" w:fill="auto"/>
            <w:noWrap/>
            <w:vAlign w:val="center"/>
            <w:hideMark/>
          </w:tcPr>
          <w:p w14:paraId="6909EDF3"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sz w:val="20"/>
                <w:szCs w:val="20"/>
              </w:rPr>
              <w:t>9</w:t>
            </w:r>
          </w:p>
        </w:tc>
        <w:tc>
          <w:tcPr>
            <w:tcW w:w="700" w:type="pct"/>
            <w:tcBorders>
              <w:top w:val="nil"/>
              <w:bottom w:val="nil"/>
            </w:tcBorders>
            <w:shd w:val="clear" w:color="auto" w:fill="auto"/>
            <w:noWrap/>
            <w:vAlign w:val="center"/>
            <w:hideMark/>
          </w:tcPr>
          <w:p w14:paraId="3CFA6EBA"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sz w:val="20"/>
                <w:szCs w:val="20"/>
              </w:rPr>
              <w:t>7</w:t>
            </w:r>
          </w:p>
        </w:tc>
        <w:tc>
          <w:tcPr>
            <w:tcW w:w="799" w:type="pct"/>
            <w:tcBorders>
              <w:top w:val="nil"/>
              <w:bottom w:val="nil"/>
            </w:tcBorders>
            <w:shd w:val="clear" w:color="auto" w:fill="auto"/>
            <w:noWrap/>
            <w:vAlign w:val="center"/>
            <w:hideMark/>
          </w:tcPr>
          <w:p w14:paraId="6E769B2D"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sz w:val="20"/>
                <w:szCs w:val="20"/>
              </w:rPr>
              <w:t>11</w:t>
            </w:r>
          </w:p>
        </w:tc>
        <w:tc>
          <w:tcPr>
            <w:tcW w:w="809" w:type="pct"/>
            <w:tcBorders>
              <w:top w:val="nil"/>
              <w:bottom w:val="nil"/>
            </w:tcBorders>
            <w:shd w:val="clear" w:color="auto" w:fill="auto"/>
            <w:noWrap/>
            <w:vAlign w:val="center"/>
            <w:hideMark/>
          </w:tcPr>
          <w:p w14:paraId="572C03BC"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sz w:val="20"/>
                <w:szCs w:val="20"/>
              </w:rPr>
              <w:t>3.91</w:t>
            </w:r>
            <w:r w:rsidRPr="00ED48A5">
              <w:rPr>
                <w:rFonts w:eastAsia="Times New Roman" w:cs="Times New Roman"/>
                <w:sz w:val="20"/>
                <w:szCs w:val="20"/>
              </w:rPr>
              <w:t>6</w:t>
            </w:r>
          </w:p>
        </w:tc>
      </w:tr>
      <w:tr w:rsidR="00882BB2" w:rsidRPr="00ED48A5" w14:paraId="3102083F" w14:textId="77777777" w:rsidTr="004D1884">
        <w:trPr>
          <w:trHeight w:val="185"/>
        </w:trPr>
        <w:tc>
          <w:tcPr>
            <w:tcW w:w="644" w:type="pct"/>
            <w:tcBorders>
              <w:top w:val="nil"/>
              <w:bottom w:val="nil"/>
            </w:tcBorders>
            <w:shd w:val="clear" w:color="auto" w:fill="auto"/>
            <w:vAlign w:val="center"/>
            <w:hideMark/>
          </w:tcPr>
          <w:p w14:paraId="3C9719E8" w14:textId="77777777" w:rsidR="00882BB2" w:rsidRPr="00BF04FB" w:rsidRDefault="00882BB2" w:rsidP="004D1884">
            <w:pPr>
              <w:spacing w:before="0" w:after="0"/>
              <w:rPr>
                <w:rFonts w:eastAsia="Times New Roman" w:cs="Times New Roman"/>
                <w:sz w:val="20"/>
                <w:szCs w:val="20"/>
              </w:rPr>
            </w:pPr>
            <w:r w:rsidRPr="00ED48A5">
              <w:rPr>
                <w:rFonts w:eastAsia="Times New Roman" w:cs="Times New Roman"/>
                <w:sz w:val="20"/>
                <w:szCs w:val="20"/>
              </w:rPr>
              <w:t>PRJ</w:t>
            </w:r>
          </w:p>
        </w:tc>
        <w:tc>
          <w:tcPr>
            <w:tcW w:w="649" w:type="pct"/>
            <w:tcBorders>
              <w:top w:val="nil"/>
              <w:bottom w:val="nil"/>
            </w:tcBorders>
            <w:shd w:val="clear" w:color="auto" w:fill="auto"/>
            <w:vAlign w:val="center"/>
            <w:hideMark/>
          </w:tcPr>
          <w:p w14:paraId="0BC99CCC"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sz w:val="20"/>
                <w:szCs w:val="20"/>
              </w:rPr>
              <w:t>10</w:t>
            </w:r>
          </w:p>
        </w:tc>
        <w:tc>
          <w:tcPr>
            <w:tcW w:w="749" w:type="pct"/>
            <w:tcBorders>
              <w:top w:val="nil"/>
              <w:bottom w:val="nil"/>
            </w:tcBorders>
            <w:shd w:val="clear" w:color="auto" w:fill="auto"/>
            <w:vAlign w:val="center"/>
            <w:hideMark/>
          </w:tcPr>
          <w:p w14:paraId="5090E479"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sz w:val="20"/>
                <w:szCs w:val="20"/>
              </w:rPr>
              <w:t>8</w:t>
            </w:r>
          </w:p>
        </w:tc>
        <w:tc>
          <w:tcPr>
            <w:tcW w:w="649" w:type="pct"/>
            <w:tcBorders>
              <w:top w:val="nil"/>
              <w:bottom w:val="nil"/>
            </w:tcBorders>
            <w:shd w:val="clear" w:color="auto" w:fill="auto"/>
            <w:noWrap/>
            <w:vAlign w:val="center"/>
            <w:hideMark/>
          </w:tcPr>
          <w:p w14:paraId="6199CFCB"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sz w:val="20"/>
                <w:szCs w:val="20"/>
              </w:rPr>
              <w:t>5</w:t>
            </w:r>
          </w:p>
        </w:tc>
        <w:tc>
          <w:tcPr>
            <w:tcW w:w="700" w:type="pct"/>
            <w:tcBorders>
              <w:top w:val="nil"/>
              <w:bottom w:val="nil"/>
            </w:tcBorders>
            <w:shd w:val="clear" w:color="auto" w:fill="auto"/>
            <w:noWrap/>
            <w:vAlign w:val="center"/>
            <w:hideMark/>
          </w:tcPr>
          <w:p w14:paraId="64C596C7"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sz w:val="20"/>
                <w:szCs w:val="20"/>
              </w:rPr>
              <w:t>3</w:t>
            </w:r>
          </w:p>
        </w:tc>
        <w:tc>
          <w:tcPr>
            <w:tcW w:w="799" w:type="pct"/>
            <w:tcBorders>
              <w:top w:val="nil"/>
              <w:bottom w:val="nil"/>
            </w:tcBorders>
            <w:shd w:val="clear" w:color="auto" w:fill="auto"/>
            <w:noWrap/>
            <w:vAlign w:val="center"/>
            <w:hideMark/>
          </w:tcPr>
          <w:p w14:paraId="0B36500D"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sz w:val="20"/>
                <w:szCs w:val="20"/>
              </w:rPr>
              <w:t>6.5</w:t>
            </w:r>
          </w:p>
        </w:tc>
        <w:tc>
          <w:tcPr>
            <w:tcW w:w="809" w:type="pct"/>
            <w:tcBorders>
              <w:top w:val="nil"/>
              <w:bottom w:val="nil"/>
            </w:tcBorders>
            <w:shd w:val="clear" w:color="auto" w:fill="auto"/>
            <w:noWrap/>
            <w:vAlign w:val="center"/>
            <w:hideMark/>
          </w:tcPr>
          <w:p w14:paraId="3DA9AA96"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sz w:val="20"/>
                <w:szCs w:val="20"/>
              </w:rPr>
              <w:t>3.10</w:t>
            </w:r>
            <w:r w:rsidRPr="00ED48A5">
              <w:rPr>
                <w:rFonts w:eastAsia="Times New Roman" w:cs="Times New Roman"/>
                <w:sz w:val="20"/>
                <w:szCs w:val="20"/>
              </w:rPr>
              <w:t>9</w:t>
            </w:r>
          </w:p>
        </w:tc>
      </w:tr>
      <w:tr w:rsidR="00882BB2" w:rsidRPr="00ED48A5" w14:paraId="2D86C5E4" w14:textId="77777777" w:rsidTr="004D1884">
        <w:trPr>
          <w:trHeight w:val="66"/>
        </w:trPr>
        <w:tc>
          <w:tcPr>
            <w:tcW w:w="644" w:type="pct"/>
            <w:tcBorders>
              <w:top w:val="nil"/>
              <w:bottom w:val="nil"/>
            </w:tcBorders>
            <w:shd w:val="clear" w:color="auto" w:fill="auto"/>
            <w:vAlign w:val="center"/>
            <w:hideMark/>
          </w:tcPr>
          <w:p w14:paraId="360324DD" w14:textId="77777777" w:rsidR="00882BB2" w:rsidRPr="00BF04FB" w:rsidRDefault="00882BB2" w:rsidP="004D1884">
            <w:pPr>
              <w:spacing w:before="0" w:after="0"/>
              <w:rPr>
                <w:rFonts w:eastAsia="Times New Roman" w:cs="Times New Roman"/>
                <w:sz w:val="20"/>
                <w:szCs w:val="20"/>
              </w:rPr>
            </w:pPr>
            <w:r w:rsidRPr="00ED48A5">
              <w:rPr>
                <w:rFonts w:eastAsia="Times New Roman" w:cs="Times New Roman"/>
                <w:sz w:val="20"/>
                <w:szCs w:val="20"/>
              </w:rPr>
              <w:t>BC</w:t>
            </w:r>
          </w:p>
        </w:tc>
        <w:tc>
          <w:tcPr>
            <w:tcW w:w="649" w:type="pct"/>
            <w:tcBorders>
              <w:top w:val="nil"/>
              <w:bottom w:val="nil"/>
            </w:tcBorders>
            <w:shd w:val="clear" w:color="auto" w:fill="auto"/>
            <w:vAlign w:val="center"/>
            <w:hideMark/>
          </w:tcPr>
          <w:p w14:paraId="31AA132B"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sz w:val="20"/>
                <w:szCs w:val="20"/>
              </w:rPr>
              <w:t>7</w:t>
            </w:r>
          </w:p>
        </w:tc>
        <w:tc>
          <w:tcPr>
            <w:tcW w:w="749" w:type="pct"/>
            <w:tcBorders>
              <w:top w:val="nil"/>
              <w:bottom w:val="nil"/>
            </w:tcBorders>
            <w:shd w:val="clear" w:color="auto" w:fill="auto"/>
            <w:vAlign w:val="center"/>
            <w:hideMark/>
          </w:tcPr>
          <w:p w14:paraId="64AE2D23"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sz w:val="20"/>
                <w:szCs w:val="20"/>
              </w:rPr>
              <w:t>4</w:t>
            </w:r>
          </w:p>
        </w:tc>
        <w:tc>
          <w:tcPr>
            <w:tcW w:w="649" w:type="pct"/>
            <w:tcBorders>
              <w:top w:val="nil"/>
              <w:bottom w:val="nil"/>
            </w:tcBorders>
            <w:shd w:val="clear" w:color="auto" w:fill="auto"/>
            <w:noWrap/>
            <w:vAlign w:val="center"/>
            <w:hideMark/>
          </w:tcPr>
          <w:p w14:paraId="090693BA"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sz w:val="20"/>
                <w:szCs w:val="20"/>
              </w:rPr>
              <w:t>2</w:t>
            </w:r>
          </w:p>
        </w:tc>
        <w:tc>
          <w:tcPr>
            <w:tcW w:w="700" w:type="pct"/>
            <w:tcBorders>
              <w:top w:val="nil"/>
              <w:bottom w:val="nil"/>
            </w:tcBorders>
            <w:shd w:val="clear" w:color="auto" w:fill="auto"/>
            <w:noWrap/>
            <w:vAlign w:val="center"/>
            <w:hideMark/>
          </w:tcPr>
          <w:p w14:paraId="5C5DEB49"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sz w:val="20"/>
                <w:szCs w:val="20"/>
              </w:rPr>
              <w:t>1.5</w:t>
            </w:r>
          </w:p>
        </w:tc>
        <w:tc>
          <w:tcPr>
            <w:tcW w:w="799" w:type="pct"/>
            <w:tcBorders>
              <w:top w:val="nil"/>
              <w:bottom w:val="nil"/>
            </w:tcBorders>
            <w:shd w:val="clear" w:color="auto" w:fill="auto"/>
            <w:noWrap/>
            <w:vAlign w:val="center"/>
            <w:hideMark/>
          </w:tcPr>
          <w:p w14:paraId="1A182983"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sz w:val="20"/>
                <w:szCs w:val="20"/>
              </w:rPr>
              <w:t>3.6</w:t>
            </w:r>
          </w:p>
        </w:tc>
        <w:tc>
          <w:tcPr>
            <w:tcW w:w="809" w:type="pct"/>
            <w:tcBorders>
              <w:top w:val="nil"/>
              <w:bottom w:val="nil"/>
            </w:tcBorders>
            <w:shd w:val="clear" w:color="auto" w:fill="auto"/>
            <w:noWrap/>
            <w:vAlign w:val="center"/>
            <w:hideMark/>
          </w:tcPr>
          <w:p w14:paraId="2BFD3FD6"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sz w:val="20"/>
                <w:szCs w:val="20"/>
              </w:rPr>
              <w:t>2.49</w:t>
            </w:r>
            <w:r w:rsidRPr="00ED48A5">
              <w:rPr>
                <w:rFonts w:eastAsia="Times New Roman" w:cs="Times New Roman"/>
                <w:sz w:val="20"/>
                <w:szCs w:val="20"/>
              </w:rPr>
              <w:t>6</w:t>
            </w:r>
          </w:p>
        </w:tc>
      </w:tr>
      <w:tr w:rsidR="00882BB2" w:rsidRPr="00ED48A5" w14:paraId="20D82788" w14:textId="77777777" w:rsidTr="004D1884">
        <w:trPr>
          <w:trHeight w:val="223"/>
        </w:trPr>
        <w:tc>
          <w:tcPr>
            <w:tcW w:w="644" w:type="pct"/>
            <w:tcBorders>
              <w:top w:val="nil"/>
              <w:bottom w:val="nil"/>
            </w:tcBorders>
            <w:shd w:val="clear" w:color="auto" w:fill="auto"/>
            <w:vAlign w:val="center"/>
            <w:hideMark/>
          </w:tcPr>
          <w:p w14:paraId="26628ACE" w14:textId="77777777" w:rsidR="00882BB2" w:rsidRPr="00BF04FB" w:rsidRDefault="00882BB2" w:rsidP="004D1884">
            <w:pPr>
              <w:spacing w:before="0" w:after="0"/>
              <w:rPr>
                <w:rFonts w:eastAsia="Times New Roman" w:cs="Times New Roman"/>
                <w:sz w:val="20"/>
                <w:szCs w:val="20"/>
              </w:rPr>
            </w:pPr>
            <w:r w:rsidRPr="00ED48A5">
              <w:rPr>
                <w:rFonts w:eastAsia="Times New Roman" w:cs="Times New Roman"/>
                <w:sz w:val="20"/>
                <w:szCs w:val="20"/>
              </w:rPr>
              <w:t>CP</w:t>
            </w:r>
          </w:p>
        </w:tc>
        <w:tc>
          <w:tcPr>
            <w:tcW w:w="649" w:type="pct"/>
            <w:tcBorders>
              <w:top w:val="nil"/>
              <w:bottom w:val="nil"/>
            </w:tcBorders>
            <w:shd w:val="clear" w:color="auto" w:fill="auto"/>
            <w:vAlign w:val="center"/>
            <w:hideMark/>
          </w:tcPr>
          <w:p w14:paraId="2D73C58C"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sz w:val="20"/>
                <w:szCs w:val="20"/>
              </w:rPr>
              <w:t>3.5</w:t>
            </w:r>
          </w:p>
        </w:tc>
        <w:tc>
          <w:tcPr>
            <w:tcW w:w="749" w:type="pct"/>
            <w:tcBorders>
              <w:top w:val="nil"/>
              <w:bottom w:val="nil"/>
            </w:tcBorders>
            <w:shd w:val="clear" w:color="auto" w:fill="auto"/>
            <w:vAlign w:val="center"/>
            <w:hideMark/>
          </w:tcPr>
          <w:p w14:paraId="4D6E54FD"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sz w:val="20"/>
                <w:szCs w:val="20"/>
              </w:rPr>
              <w:t>1.5</w:t>
            </w:r>
          </w:p>
        </w:tc>
        <w:tc>
          <w:tcPr>
            <w:tcW w:w="649" w:type="pct"/>
            <w:tcBorders>
              <w:top w:val="nil"/>
              <w:bottom w:val="nil"/>
            </w:tcBorders>
            <w:shd w:val="clear" w:color="auto" w:fill="auto"/>
            <w:noWrap/>
            <w:vAlign w:val="center"/>
            <w:hideMark/>
          </w:tcPr>
          <w:p w14:paraId="1CBF528B"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sz w:val="20"/>
                <w:szCs w:val="20"/>
              </w:rPr>
              <w:t>1</w:t>
            </w:r>
          </w:p>
        </w:tc>
        <w:tc>
          <w:tcPr>
            <w:tcW w:w="700" w:type="pct"/>
            <w:tcBorders>
              <w:top w:val="nil"/>
              <w:bottom w:val="nil"/>
            </w:tcBorders>
            <w:shd w:val="clear" w:color="auto" w:fill="auto"/>
            <w:noWrap/>
            <w:vAlign w:val="center"/>
            <w:hideMark/>
          </w:tcPr>
          <w:p w14:paraId="72CE4FCC"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sz w:val="20"/>
                <w:szCs w:val="20"/>
              </w:rPr>
              <w:t>0.5</w:t>
            </w:r>
          </w:p>
        </w:tc>
        <w:tc>
          <w:tcPr>
            <w:tcW w:w="799" w:type="pct"/>
            <w:tcBorders>
              <w:top w:val="nil"/>
              <w:bottom w:val="nil"/>
            </w:tcBorders>
            <w:shd w:val="clear" w:color="auto" w:fill="auto"/>
            <w:noWrap/>
            <w:vAlign w:val="center"/>
            <w:hideMark/>
          </w:tcPr>
          <w:p w14:paraId="6FD832E0"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sz w:val="20"/>
                <w:szCs w:val="20"/>
              </w:rPr>
              <w:t>1.6</w:t>
            </w:r>
          </w:p>
        </w:tc>
        <w:tc>
          <w:tcPr>
            <w:tcW w:w="809" w:type="pct"/>
            <w:tcBorders>
              <w:top w:val="nil"/>
              <w:bottom w:val="nil"/>
            </w:tcBorders>
            <w:shd w:val="clear" w:color="auto" w:fill="auto"/>
            <w:noWrap/>
            <w:vAlign w:val="center"/>
            <w:hideMark/>
          </w:tcPr>
          <w:p w14:paraId="5424BF9F"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sz w:val="20"/>
                <w:szCs w:val="20"/>
              </w:rPr>
              <w:t>1.31</w:t>
            </w:r>
            <w:r w:rsidRPr="00ED48A5">
              <w:rPr>
                <w:rFonts w:eastAsia="Times New Roman" w:cs="Times New Roman"/>
                <w:sz w:val="20"/>
                <w:szCs w:val="20"/>
              </w:rPr>
              <w:t>5</w:t>
            </w:r>
          </w:p>
        </w:tc>
      </w:tr>
      <w:tr w:rsidR="00882BB2" w:rsidRPr="00ED48A5" w14:paraId="6E83D369" w14:textId="77777777" w:rsidTr="004D1884">
        <w:trPr>
          <w:trHeight w:val="66"/>
        </w:trPr>
        <w:tc>
          <w:tcPr>
            <w:tcW w:w="644" w:type="pct"/>
            <w:tcBorders>
              <w:top w:val="nil"/>
              <w:bottom w:val="single" w:sz="4" w:space="0" w:color="auto"/>
            </w:tcBorders>
            <w:shd w:val="clear" w:color="auto" w:fill="auto"/>
            <w:vAlign w:val="center"/>
            <w:hideMark/>
          </w:tcPr>
          <w:p w14:paraId="1F714E0C" w14:textId="77777777" w:rsidR="00882BB2" w:rsidRPr="00BF04FB" w:rsidRDefault="00882BB2" w:rsidP="004D1884">
            <w:pPr>
              <w:spacing w:before="0" w:after="0"/>
              <w:rPr>
                <w:rFonts w:eastAsia="Times New Roman" w:cs="Times New Roman"/>
                <w:sz w:val="20"/>
                <w:szCs w:val="20"/>
              </w:rPr>
            </w:pPr>
            <w:r w:rsidRPr="00ED48A5">
              <w:rPr>
                <w:rFonts w:eastAsia="Times New Roman" w:cs="Times New Roman"/>
                <w:sz w:val="20"/>
                <w:szCs w:val="20"/>
              </w:rPr>
              <w:t>DT</w:t>
            </w:r>
          </w:p>
        </w:tc>
        <w:tc>
          <w:tcPr>
            <w:tcW w:w="649" w:type="pct"/>
            <w:tcBorders>
              <w:top w:val="nil"/>
              <w:bottom w:val="single" w:sz="4" w:space="0" w:color="auto"/>
            </w:tcBorders>
            <w:shd w:val="clear" w:color="auto" w:fill="auto"/>
            <w:vAlign w:val="center"/>
            <w:hideMark/>
          </w:tcPr>
          <w:p w14:paraId="58CBDA54"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sz w:val="20"/>
                <w:szCs w:val="20"/>
              </w:rPr>
              <w:t>6</w:t>
            </w:r>
          </w:p>
        </w:tc>
        <w:tc>
          <w:tcPr>
            <w:tcW w:w="749" w:type="pct"/>
            <w:tcBorders>
              <w:top w:val="nil"/>
              <w:bottom w:val="single" w:sz="4" w:space="0" w:color="auto"/>
            </w:tcBorders>
            <w:shd w:val="clear" w:color="auto" w:fill="auto"/>
            <w:vAlign w:val="center"/>
            <w:hideMark/>
          </w:tcPr>
          <w:p w14:paraId="1F83BCA8"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sz w:val="20"/>
                <w:szCs w:val="20"/>
              </w:rPr>
              <w:t>6</w:t>
            </w:r>
          </w:p>
        </w:tc>
        <w:tc>
          <w:tcPr>
            <w:tcW w:w="649" w:type="pct"/>
            <w:tcBorders>
              <w:top w:val="nil"/>
              <w:bottom w:val="single" w:sz="4" w:space="0" w:color="auto"/>
            </w:tcBorders>
            <w:shd w:val="clear" w:color="auto" w:fill="auto"/>
            <w:vAlign w:val="center"/>
            <w:hideMark/>
          </w:tcPr>
          <w:p w14:paraId="1BE94157"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sz w:val="20"/>
                <w:szCs w:val="20"/>
              </w:rPr>
              <w:t>6</w:t>
            </w:r>
          </w:p>
        </w:tc>
        <w:tc>
          <w:tcPr>
            <w:tcW w:w="700" w:type="pct"/>
            <w:tcBorders>
              <w:top w:val="nil"/>
              <w:bottom w:val="single" w:sz="4" w:space="0" w:color="auto"/>
            </w:tcBorders>
            <w:shd w:val="clear" w:color="auto" w:fill="auto"/>
            <w:vAlign w:val="center"/>
            <w:hideMark/>
          </w:tcPr>
          <w:p w14:paraId="5E7C64F2"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sz w:val="20"/>
                <w:szCs w:val="20"/>
              </w:rPr>
              <w:t>6</w:t>
            </w:r>
          </w:p>
        </w:tc>
        <w:tc>
          <w:tcPr>
            <w:tcW w:w="799" w:type="pct"/>
            <w:tcBorders>
              <w:top w:val="nil"/>
              <w:bottom w:val="single" w:sz="4" w:space="0" w:color="auto"/>
            </w:tcBorders>
            <w:shd w:val="clear" w:color="auto" w:fill="auto"/>
            <w:noWrap/>
            <w:vAlign w:val="center"/>
            <w:hideMark/>
          </w:tcPr>
          <w:p w14:paraId="6539768C"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sz w:val="20"/>
                <w:szCs w:val="20"/>
              </w:rPr>
              <w:t>6</w:t>
            </w:r>
          </w:p>
        </w:tc>
        <w:tc>
          <w:tcPr>
            <w:tcW w:w="809" w:type="pct"/>
            <w:tcBorders>
              <w:top w:val="nil"/>
              <w:bottom w:val="single" w:sz="4" w:space="0" w:color="auto"/>
            </w:tcBorders>
            <w:shd w:val="clear" w:color="auto" w:fill="auto"/>
            <w:noWrap/>
            <w:vAlign w:val="center"/>
            <w:hideMark/>
          </w:tcPr>
          <w:p w14:paraId="6885C282" w14:textId="77777777" w:rsidR="00882BB2" w:rsidRPr="00BF04FB" w:rsidRDefault="00882BB2" w:rsidP="004D1884">
            <w:pPr>
              <w:spacing w:before="0" w:after="0"/>
              <w:jc w:val="center"/>
              <w:rPr>
                <w:rFonts w:eastAsia="Times New Roman" w:cs="Times New Roman"/>
                <w:sz w:val="20"/>
                <w:szCs w:val="20"/>
              </w:rPr>
            </w:pPr>
            <w:r w:rsidRPr="00BF04FB">
              <w:rPr>
                <w:rFonts w:eastAsia="Times New Roman" w:cs="Times New Roman"/>
                <w:sz w:val="20"/>
                <w:szCs w:val="20"/>
              </w:rPr>
              <w:t>0</w:t>
            </w:r>
          </w:p>
        </w:tc>
      </w:tr>
    </w:tbl>
    <w:p w14:paraId="52524959" w14:textId="1AEB7BA5" w:rsidR="00882BB2" w:rsidRPr="002E32FE" w:rsidRDefault="00882BB2" w:rsidP="00882BB2">
      <w:pPr>
        <w:rPr>
          <w:lang w:val="en-GB"/>
        </w:rPr>
      </w:pPr>
      <w:r>
        <w:rPr>
          <w:lang w:val="en-GB"/>
        </w:rPr>
        <w:t xml:space="preserve">The </w:t>
      </w:r>
      <w:r>
        <w:rPr>
          <w:i/>
          <w:iCs/>
          <w:lang w:val="en-GB"/>
        </w:rPr>
        <w:t xml:space="preserve">K </w:t>
      </w:r>
      <w:r w:rsidRPr="00125CE5">
        <w:rPr>
          <w:lang w:val="en-GB"/>
        </w:rPr>
        <w:t>(</w:t>
      </w:r>
      <w:r w:rsidRPr="00125CE5">
        <w:rPr>
          <w:i/>
          <w:iCs/>
          <w:lang w:val="en-GB"/>
        </w:rPr>
        <w:t>X</w:t>
      </w:r>
      <w:r w:rsidRPr="00125CE5">
        <w:rPr>
          <w:i/>
          <w:iCs/>
          <w:vertAlign w:val="subscript"/>
          <w:lang w:val="en-GB"/>
        </w:rPr>
        <w:t>Rij</w:t>
      </w:r>
      <w:r>
        <w:rPr>
          <w:lang w:val="en-GB"/>
        </w:rPr>
        <w:t xml:space="preserve">) </w:t>
      </w:r>
      <w:r w:rsidRPr="00442273">
        <w:rPr>
          <w:lang w:val="en-GB"/>
        </w:rPr>
        <w:t>values</w:t>
      </w:r>
      <w:r>
        <w:rPr>
          <w:lang w:val="en-GB"/>
        </w:rPr>
        <w:t xml:space="preserve"> are determined by the ranking (</w:t>
      </w:r>
      <w:r>
        <w:rPr>
          <w:i/>
          <w:iCs/>
          <w:lang w:val="en-GB"/>
        </w:rPr>
        <w:t>R</w:t>
      </w:r>
      <w:r>
        <w:rPr>
          <w:i/>
          <w:iCs/>
          <w:vertAlign w:val="subscript"/>
          <w:lang w:val="en-GB"/>
        </w:rPr>
        <w:t>j</w:t>
      </w:r>
      <w:r>
        <w:rPr>
          <w:lang w:val="en-GB"/>
        </w:rPr>
        <w:t xml:space="preserve">) of </w:t>
      </w:r>
      <w:r w:rsidR="00A30F54">
        <w:rPr>
          <w:lang w:val="en-GB"/>
        </w:rPr>
        <w:t xml:space="preserve">the </w:t>
      </w:r>
      <w:r>
        <w:rPr>
          <w:lang w:val="en-GB"/>
        </w:rPr>
        <w:t xml:space="preserve">deliverables category respecting their quality and contribution. The values can be referenced in the proposed Rulebook </w:t>
      </w:r>
      <w:r>
        <w:fldChar w:fldCharType="begin" w:fldLock="1"/>
      </w:r>
      <w:r w:rsidR="00645D0B">
        <w:instrText>ADDIN CSL_CITATION {"citationItems":[{"id":"ITEM-1","itemData":{"URL":"http://www.pravno-informacioni-sistem.rs/SlGlasnikPortal/eli/rep/sgrs/ministarstva/pravilnik/2020/159/18/reg/","accessed":{"date-parts":[["2020","9","1"]]},"author":[{"dropping-particle":"","family":"MESTD","given":"","non-dropping-particle":"","parse-names":false,"suffix":""}],"id":"ITEM-1","issued":{"date-parts":[["2020"]]},"page":"1-51","title":"The Rulebook on the procedure, method of evaluation and quantitative statement of scientific research results of researchers","type":"webpage"},"uris":["http://www.mendeley.com/documents/?uuid=019c7353-c99a-4c8c-8d84-597000f51f7f"]}],"mendeley":{"formattedCitation":"[68]","plainTextFormattedCitation":"[68]","previouslyFormattedCitation":"[68]"},"properties":{"noteIndex":0},"schema":"https://github.com/citation-style-language/schema/raw/master/csl-citation.json"}</w:instrText>
      </w:r>
      <w:r>
        <w:fldChar w:fldCharType="separate"/>
      </w:r>
      <w:r w:rsidR="00416869" w:rsidRPr="00416869">
        <w:rPr>
          <w:noProof/>
        </w:rPr>
        <w:t>[68]</w:t>
      </w:r>
      <w:r>
        <w:fldChar w:fldCharType="end"/>
      </w:r>
      <w:r>
        <w:t xml:space="preserve">. </w:t>
      </w:r>
      <w:r w:rsidR="00E548D0">
        <w:t>T</w:t>
      </w:r>
      <w:r w:rsidR="00173EB5">
        <w:t xml:space="preserve">he following equation for transforming </w:t>
      </w:r>
      <w:r w:rsidR="00FB77AC" w:rsidRPr="00FB77AC">
        <w:rPr>
          <w:i/>
          <w:iCs/>
        </w:rPr>
        <w:t>R</w:t>
      </w:r>
      <w:r w:rsidR="00173EB5">
        <w:t xml:space="preserve"> values into </w:t>
      </w:r>
      <w:r w:rsidR="00173EB5" w:rsidRPr="00FB77AC">
        <w:rPr>
          <w:i/>
          <w:iCs/>
        </w:rPr>
        <w:t>Q</w:t>
      </w:r>
      <w:r w:rsidR="00FB77AC">
        <w:rPr>
          <w:i/>
          <w:iCs/>
          <w:vertAlign w:val="superscript"/>
        </w:rPr>
        <w:t>R</w:t>
      </w:r>
      <w:r w:rsidR="00173EB5">
        <w:t xml:space="preserve"> values is proposed to validate the ranking according to their respected position </w:t>
      </w:r>
      <w:r w:rsidR="00396E79">
        <w:t>compared to</w:t>
      </w:r>
      <w:r w:rsidR="00173EB5">
        <w:t xml:space="preserve"> other research deliverables by relying on projects’ factsheets and meta-data.</w:t>
      </w:r>
    </w:p>
    <w:tbl>
      <w:tblPr>
        <w:tblW w:w="0" w:type="auto"/>
        <w:tblLook w:val="04A0" w:firstRow="1" w:lastRow="0" w:firstColumn="1" w:lastColumn="0" w:noHBand="0" w:noVBand="1"/>
      </w:tblPr>
      <w:tblGrid>
        <w:gridCol w:w="8140"/>
        <w:gridCol w:w="877"/>
      </w:tblGrid>
      <w:tr w:rsidR="00882BB2" w14:paraId="6550FDFA" w14:textId="77777777" w:rsidTr="0088551E">
        <w:tc>
          <w:tcPr>
            <w:tcW w:w="8140" w:type="dxa"/>
            <w:vAlign w:val="center"/>
          </w:tcPr>
          <w:p w14:paraId="39D4ABE1" w14:textId="2E142366" w:rsidR="00882BB2" w:rsidRPr="006D5198" w:rsidRDefault="00427B33" w:rsidP="00882BB2">
            <w:pPr>
              <w:jc w:val="center"/>
              <w:rPr>
                <w:rFonts w:ascii="Cambria Math" w:hAnsi="Cambria Math"/>
                <w:i/>
              </w:rPr>
            </w:pPr>
            <m:oMathPara>
              <m:oMath>
                <m:sSubSup>
                  <m:sSubSupPr>
                    <m:ctrlPr>
                      <w:rPr>
                        <w:rFonts w:ascii="Cambria Math" w:hAnsi="Cambria Math"/>
                        <w:i/>
                      </w:rPr>
                    </m:ctrlPr>
                  </m:sSubSupPr>
                  <m:e>
                    <m:r>
                      <w:rPr>
                        <w:rFonts w:ascii="Cambria Math" w:hAnsi="Cambria Math"/>
                      </w:rPr>
                      <m:t>Q</m:t>
                    </m:r>
                  </m:e>
                  <m:sub>
                    <m:r>
                      <w:rPr>
                        <w:rFonts w:ascii="Cambria Math" w:hAnsi="Cambria Math"/>
                      </w:rPr>
                      <m:t>ij</m:t>
                    </m:r>
                  </m:sub>
                  <m:sup>
                    <m:r>
                      <w:rPr>
                        <w:rFonts w:ascii="Cambria Math" w:hAnsi="Cambria Math"/>
                      </w:rPr>
                      <m:t>R</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sSub>
                          <m:sSubPr>
                            <m:ctrlPr>
                              <w:rPr>
                                <w:rFonts w:ascii="Cambria Math" w:hAnsi="Cambria Math"/>
                                <w:i/>
                              </w:rPr>
                            </m:ctrlPr>
                          </m:sSubPr>
                          <m:e>
                            <m:r>
                              <w:rPr>
                                <w:rFonts w:ascii="Cambria Math" w:hAnsi="Cambria Math"/>
                              </w:rPr>
                              <m:t>R</m:t>
                            </m:r>
                          </m:e>
                          <m:sub>
                            <m:r>
                              <w:rPr>
                                <w:rFonts w:ascii="Cambria Math" w:hAnsi="Cambria Math"/>
                              </w:rPr>
                              <m:t>ij</m:t>
                            </m:r>
                          </m:sub>
                        </m:sSub>
                      </m:sub>
                    </m:sSub>
                  </m:num>
                  <m:den>
                    <m:nary>
                      <m:naryPr>
                        <m:chr m:val="∑"/>
                        <m:limLoc m:val="undOvr"/>
                        <m:ctrlPr>
                          <w:rPr>
                            <w:rFonts w:ascii="Cambria Math" w:hAnsi="Cambria Math"/>
                            <w:i/>
                          </w:rPr>
                        </m:ctrlPr>
                      </m:naryPr>
                      <m:sub>
                        <m:r>
                          <w:rPr>
                            <w:rFonts w:ascii="Cambria Math" w:hAnsi="Cambria Math"/>
                          </w:rPr>
                          <m:t>j</m:t>
                        </m:r>
                        <m:r>
                          <w:rPr>
                            <w:rFonts w:ascii="Cambria Math" w:hAnsi="Cambria Math"/>
                            <w:lang w:val="en-GB"/>
                          </w:rPr>
                          <m:t>=</m:t>
                        </m:r>
                        <m:r>
                          <w:rPr>
                            <w:rFonts w:ascii="Cambria Math" w:hAnsi="Cambria Math"/>
                          </w:rPr>
                          <m:t>1</m:t>
                        </m:r>
                      </m:sub>
                      <m:sup>
                        <m:r>
                          <w:rPr>
                            <w:rFonts w:ascii="Cambria Math" w:hAnsi="Cambria Math"/>
                          </w:rPr>
                          <m:t>n=5</m:t>
                        </m:r>
                      </m:sup>
                      <m:e>
                        <m:sSub>
                          <m:sSubPr>
                            <m:ctrlPr>
                              <w:rPr>
                                <w:rFonts w:ascii="Cambria Math" w:hAnsi="Cambria Math"/>
                                <w:i/>
                              </w:rPr>
                            </m:ctrlPr>
                          </m:sSubPr>
                          <m:e>
                            <m:r>
                              <w:rPr>
                                <w:rFonts w:ascii="Cambria Math" w:hAnsi="Cambria Math"/>
                              </w:rPr>
                              <m:t>X</m:t>
                            </m:r>
                          </m:e>
                          <m:sub>
                            <m:sSub>
                              <m:sSubPr>
                                <m:ctrlPr>
                                  <w:rPr>
                                    <w:rFonts w:ascii="Cambria Math" w:hAnsi="Cambria Math"/>
                                    <w:i/>
                                  </w:rPr>
                                </m:ctrlPr>
                              </m:sSubPr>
                              <m:e>
                                <m:r>
                                  <w:rPr>
                                    <w:rFonts w:ascii="Cambria Math" w:hAnsi="Cambria Math"/>
                                  </w:rPr>
                                  <m:t>R</m:t>
                                </m:r>
                              </m:e>
                              <m:sub>
                                <m:r>
                                  <w:rPr>
                                    <w:rFonts w:ascii="Cambria Math" w:hAnsi="Cambria Math"/>
                                  </w:rPr>
                                  <m:t>j</m:t>
                                </m:r>
                              </m:sub>
                            </m:sSub>
                          </m:sub>
                        </m:sSub>
                      </m:e>
                    </m:nary>
                  </m:den>
                </m:f>
                <m:r>
                  <w:rPr>
                    <w:rFonts w:ascii="Cambria Math" w:hAnsi="Cambria Math"/>
                  </w:rPr>
                  <m:t xml:space="preserve"> </m:t>
                </m:r>
                <m:r>
                  <w:rPr>
                    <w:rFonts w:ascii="Cambria Math" w:eastAsiaTheme="minorEastAsia" w:hAnsi="Cambria Math"/>
                  </w:rPr>
                  <m:t>.</m:t>
                </m:r>
              </m:oMath>
            </m:oMathPara>
          </w:p>
        </w:tc>
        <w:tc>
          <w:tcPr>
            <w:tcW w:w="877" w:type="dxa"/>
            <w:vAlign w:val="center"/>
          </w:tcPr>
          <w:p w14:paraId="2ED2BAB2" w14:textId="53C6F39C" w:rsidR="00882BB2" w:rsidRDefault="00882BB2" w:rsidP="00882BB2">
            <w:pPr>
              <w:jc w:val="right"/>
            </w:pPr>
            <w:r>
              <w:t>(</w:t>
            </w:r>
            <w:r w:rsidR="00427B33">
              <w:fldChar w:fldCharType="begin"/>
            </w:r>
            <w:r w:rsidR="00427B33">
              <w:instrText xml:space="preserve"> STYLEREF 1 \s </w:instrText>
            </w:r>
            <w:r w:rsidR="00427B33">
              <w:fldChar w:fldCharType="separate"/>
            </w:r>
            <w:r w:rsidR="00587AF0">
              <w:rPr>
                <w:noProof/>
              </w:rPr>
              <w:t>3</w:t>
            </w:r>
            <w:r w:rsidR="00427B33">
              <w:rPr>
                <w:noProof/>
              </w:rPr>
              <w:fldChar w:fldCharType="end"/>
            </w:r>
            <w:r w:rsidR="002C693A">
              <w:t>.</w:t>
            </w:r>
            <w:r w:rsidR="00427B33">
              <w:fldChar w:fldCharType="begin"/>
            </w:r>
            <w:r w:rsidR="00427B33">
              <w:instrText xml:space="preserve"> SEQ Equation \* ARABIC \s 1 </w:instrText>
            </w:r>
            <w:r w:rsidR="00427B33">
              <w:fldChar w:fldCharType="separate"/>
            </w:r>
            <w:r w:rsidR="00587AF0">
              <w:rPr>
                <w:noProof/>
              </w:rPr>
              <w:t>1</w:t>
            </w:r>
            <w:r w:rsidR="00427B33">
              <w:rPr>
                <w:noProof/>
              </w:rPr>
              <w:fldChar w:fldCharType="end"/>
            </w:r>
            <w:r>
              <w:t>)</w:t>
            </w:r>
          </w:p>
        </w:tc>
      </w:tr>
    </w:tbl>
    <w:p w14:paraId="6F2C4C50" w14:textId="54928ADE" w:rsidR="00882BB2" w:rsidRPr="008C7494" w:rsidRDefault="00882BB2" w:rsidP="00882BB2">
      <w:r>
        <w:t xml:space="preserve">Where </w:t>
      </w:r>
      <w:r w:rsidRPr="006D5198">
        <w:rPr>
          <w:i/>
          <w:iCs/>
        </w:rPr>
        <w:t>X</w:t>
      </w:r>
      <w:r w:rsidRPr="006D5198">
        <w:rPr>
          <w:i/>
          <w:iCs/>
          <w:vertAlign w:val="subscript"/>
        </w:rPr>
        <w:t>Rij</w:t>
      </w:r>
      <w:r>
        <w:t xml:space="preserve"> represent</w:t>
      </w:r>
      <w:r w:rsidR="00173EB5">
        <w:t>s</w:t>
      </w:r>
      <w:r>
        <w:t xml:space="preserve"> values according to the type of publication </w:t>
      </w:r>
      <w:r>
        <w:rPr>
          <w:i/>
          <w:iCs/>
        </w:rPr>
        <w:t>i</w:t>
      </w:r>
      <w:r w:rsidRPr="0035609B">
        <w:t xml:space="preserve"> </w:t>
      </w:r>
      <w:r>
        <w:rPr>
          <w:lang w:val="en-GB"/>
        </w:rPr>
        <w:t xml:space="preserve">and ranking </w:t>
      </w:r>
      <w:r>
        <w:rPr>
          <w:i/>
          <w:iCs/>
          <w:lang w:val="en-GB"/>
        </w:rPr>
        <w:t>j</w:t>
      </w:r>
      <w:r>
        <w:rPr>
          <w:lang w:val="en-GB"/>
        </w:rPr>
        <w:t xml:space="preserve">. Hence, the PWF is determined by the average of ranking category values </w:t>
      </w:r>
      <w:r>
        <w:rPr>
          <w:i/>
          <w:iCs/>
          <w:lang w:val="en-GB"/>
        </w:rPr>
        <w:t>Q</w:t>
      </w:r>
      <w:r>
        <w:rPr>
          <w:i/>
          <w:iCs/>
          <w:lang w:val="en-GB"/>
        </w:rPr>
        <w:softHyphen/>
      </w:r>
      <w:r>
        <w:rPr>
          <w:i/>
          <w:iCs/>
          <w:vertAlign w:val="subscript"/>
          <w:lang w:val="en-GB"/>
        </w:rPr>
        <w:t>i</w:t>
      </w:r>
      <w:r>
        <w:rPr>
          <w:vertAlign w:val="subscript"/>
          <w:lang w:val="en-GB"/>
        </w:rPr>
        <w:t xml:space="preserve">  </w:t>
      </w:r>
      <w:r>
        <w:rPr>
          <w:lang w:val="en-GB"/>
        </w:rPr>
        <w:t xml:space="preserve">for the type of publication </w:t>
      </w:r>
      <w:r>
        <w:rPr>
          <w:i/>
          <w:iCs/>
          <w:lang w:val="en-GB"/>
        </w:rPr>
        <w:t>j</w:t>
      </w:r>
      <w:r>
        <w:rPr>
          <w:lang w:val="en-GB"/>
        </w:rPr>
        <w:t xml:space="preserve"> as:</w:t>
      </w:r>
    </w:p>
    <w:tbl>
      <w:tblPr>
        <w:tblW w:w="0" w:type="auto"/>
        <w:tblLook w:val="04A0" w:firstRow="1" w:lastRow="0" w:firstColumn="1" w:lastColumn="0" w:noHBand="0" w:noVBand="1"/>
      </w:tblPr>
      <w:tblGrid>
        <w:gridCol w:w="8140"/>
        <w:gridCol w:w="877"/>
      </w:tblGrid>
      <w:tr w:rsidR="00882BB2" w14:paraId="369E4643" w14:textId="77777777" w:rsidTr="0088551E">
        <w:tc>
          <w:tcPr>
            <w:tcW w:w="8140" w:type="dxa"/>
            <w:vAlign w:val="center"/>
          </w:tcPr>
          <w:p w14:paraId="117899DE" w14:textId="33F7F9D4" w:rsidR="00882BB2" w:rsidRPr="006D5198" w:rsidRDefault="00427B33" w:rsidP="00882BB2">
            <w:pPr>
              <w:jc w:val="center"/>
              <w:rPr>
                <w:rFonts w:ascii="Cambria Math" w:hAnsi="Cambria Math"/>
                <w:i/>
              </w:rPr>
            </w:pPr>
            <m:oMathPara>
              <m:oMath>
                <m:sSub>
                  <m:sSubPr>
                    <m:ctrlPr>
                      <w:rPr>
                        <w:rFonts w:ascii="Cambria Math" w:hAnsi="Cambria Math"/>
                        <w:i/>
                        <w:iCs/>
                        <w:lang w:val="en-GB"/>
                      </w:rPr>
                    </m:ctrlPr>
                  </m:sSubPr>
                  <m:e>
                    <m:r>
                      <w:rPr>
                        <w:rFonts w:ascii="Cambria Math" w:hAnsi="Cambria Math"/>
                        <w:lang w:val="en-GB"/>
                      </w:rPr>
                      <m:t>PWF</m:t>
                    </m:r>
                  </m:e>
                  <m:sub>
                    <m:sSup>
                      <m:sSupPr>
                        <m:ctrlPr>
                          <w:rPr>
                            <w:rFonts w:ascii="Cambria Math" w:hAnsi="Cambria Math"/>
                            <w:i/>
                            <w:lang w:val="en-GB"/>
                          </w:rPr>
                        </m:ctrlPr>
                      </m:sSupPr>
                      <m:e>
                        <m:r>
                          <w:rPr>
                            <w:rFonts w:ascii="Cambria Math" w:hAnsi="Cambria Math"/>
                            <w:lang w:val="en-GB"/>
                          </w:rPr>
                          <m:t>Q</m:t>
                        </m:r>
                      </m:e>
                      <m:sup>
                        <m:r>
                          <w:rPr>
                            <w:rFonts w:ascii="Cambria Math" w:hAnsi="Cambria Math"/>
                            <w:lang w:val="en-GB"/>
                          </w:rPr>
                          <m:t>R</m:t>
                        </m:r>
                      </m:sup>
                    </m:sSup>
                  </m:sub>
                </m:sSub>
                <m:r>
                  <w:rPr>
                    <w:rFonts w:ascii="Cambria Math" w:hAnsi="Cambria Math"/>
                    <w:lang w:val="en-GB"/>
                  </w:rPr>
                  <m:t>=</m:t>
                </m:r>
                <m:f>
                  <m:fPr>
                    <m:ctrlPr>
                      <w:rPr>
                        <w:rFonts w:ascii="Cambria Math" w:hAnsi="Cambria Math"/>
                        <w:i/>
                        <w:iCs/>
                        <w:lang w:val="en-GB"/>
                      </w:rPr>
                    </m:ctrlPr>
                  </m:fPr>
                  <m:num>
                    <m:r>
                      <w:rPr>
                        <w:rFonts w:ascii="Cambria Math" w:hAnsi="Cambria Math"/>
                        <w:lang w:val="en-GB"/>
                      </w:rPr>
                      <m:t>1</m:t>
                    </m:r>
                  </m:num>
                  <m:den>
                    <m:r>
                      <w:rPr>
                        <w:rFonts w:ascii="Cambria Math" w:hAnsi="Cambria Math"/>
                        <w:lang w:val="en-GB"/>
                      </w:rPr>
                      <m:t>n</m:t>
                    </m:r>
                  </m:den>
                </m:f>
                <m:nary>
                  <m:naryPr>
                    <m:chr m:val="∑"/>
                    <m:ctrlPr>
                      <w:rPr>
                        <w:rFonts w:ascii="Cambria Math" w:hAnsi="Cambria Math"/>
                        <w:i/>
                        <w:iCs/>
                        <w:lang w:val="en-GB"/>
                      </w:rPr>
                    </m:ctrlPr>
                  </m:naryPr>
                  <m:sub>
                    <m:r>
                      <w:rPr>
                        <w:rFonts w:ascii="Cambria Math" w:hAnsi="Cambria Math"/>
                        <w:lang w:val="en-GB"/>
                      </w:rPr>
                      <m:t>i=1</m:t>
                    </m:r>
                  </m:sub>
                  <m:sup>
                    <m:r>
                      <w:rPr>
                        <w:rFonts w:ascii="Cambria Math" w:hAnsi="Cambria Math"/>
                        <w:lang w:val="en-GB"/>
                      </w:rPr>
                      <m:t>n=4</m:t>
                    </m:r>
                  </m:sup>
                  <m:e>
                    <m:sSubSup>
                      <m:sSubSupPr>
                        <m:ctrlPr>
                          <w:rPr>
                            <w:rFonts w:ascii="Cambria Math" w:hAnsi="Cambria Math"/>
                            <w:i/>
                            <w:iCs/>
                            <w:lang w:val="en-GB"/>
                          </w:rPr>
                        </m:ctrlPr>
                      </m:sSubSupPr>
                      <m:e>
                        <m:r>
                          <w:rPr>
                            <w:rFonts w:ascii="Cambria Math" w:hAnsi="Cambria Math"/>
                            <w:lang w:val="en-GB"/>
                          </w:rPr>
                          <m:t>Q</m:t>
                        </m:r>
                      </m:e>
                      <m:sub>
                        <m:r>
                          <w:rPr>
                            <w:rFonts w:ascii="Cambria Math" w:hAnsi="Cambria Math"/>
                            <w:lang w:val="en-GB"/>
                          </w:rPr>
                          <m:t>i</m:t>
                        </m:r>
                      </m:sub>
                      <m:sup>
                        <m:r>
                          <w:rPr>
                            <w:rFonts w:ascii="Cambria Math" w:hAnsi="Cambria Math"/>
                            <w:lang w:val="en-GB"/>
                          </w:rPr>
                          <m:t>R</m:t>
                        </m:r>
                      </m:sup>
                    </m:sSubSup>
                    <m:r>
                      <w:rPr>
                        <w:rFonts w:ascii="Cambria Math" w:hAnsi="Cambria Math"/>
                        <w:lang w:val="en-GB"/>
                      </w:rPr>
                      <m:t xml:space="preserve"> .</m:t>
                    </m:r>
                  </m:e>
                </m:nary>
              </m:oMath>
            </m:oMathPara>
          </w:p>
        </w:tc>
        <w:tc>
          <w:tcPr>
            <w:tcW w:w="877" w:type="dxa"/>
            <w:vAlign w:val="center"/>
          </w:tcPr>
          <w:p w14:paraId="5AB3966A" w14:textId="6D937421" w:rsidR="00882BB2" w:rsidRDefault="002C693A" w:rsidP="00882BB2">
            <w:pPr>
              <w:jc w:val="right"/>
            </w:pPr>
            <w:r>
              <w:t>(</w:t>
            </w:r>
            <w:r w:rsidR="00427B33">
              <w:fldChar w:fldCharType="begin"/>
            </w:r>
            <w:r w:rsidR="00427B33">
              <w:instrText xml:space="preserve"> STYLEREF 1 \s </w:instrText>
            </w:r>
            <w:r w:rsidR="00427B33">
              <w:fldChar w:fldCharType="separate"/>
            </w:r>
            <w:r w:rsidR="00587AF0">
              <w:rPr>
                <w:noProof/>
              </w:rPr>
              <w:t>3</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2</w:t>
            </w:r>
            <w:r w:rsidR="00427B33">
              <w:rPr>
                <w:noProof/>
              </w:rPr>
              <w:fldChar w:fldCharType="end"/>
            </w:r>
            <w:r w:rsidR="00882BB2">
              <w:t>)</w:t>
            </w:r>
          </w:p>
        </w:tc>
      </w:tr>
    </w:tbl>
    <w:p w14:paraId="70FA4570" w14:textId="73EF3A2B" w:rsidR="0003223C" w:rsidRDefault="00882BB2" w:rsidP="00882BB2">
      <w:r>
        <w:t xml:space="preserve">Finally, the given values are represented in the following </w:t>
      </w:r>
      <w:r w:rsidR="007164B9">
        <w:fldChar w:fldCharType="begin"/>
      </w:r>
      <w:r w:rsidR="007164B9">
        <w:instrText xml:space="preserve"> REF _Ref57729061 \h </w:instrText>
      </w:r>
      <w:r w:rsidR="007164B9">
        <w:fldChar w:fldCharType="separate"/>
      </w:r>
      <w:r w:rsidR="00587AF0">
        <w:t xml:space="preserve">Table </w:t>
      </w:r>
      <w:r w:rsidR="00587AF0">
        <w:rPr>
          <w:noProof/>
        </w:rPr>
        <w:t>11</w:t>
      </w:r>
      <w:r w:rsidR="007164B9">
        <w:fldChar w:fldCharType="end"/>
      </w:r>
      <w:r>
        <w:t xml:space="preserve">, and the same is used for quantitatively representing the actual scientific and technological impact of maintenance-related research projects </w:t>
      </w:r>
      <w:r w:rsidR="00A30F54">
        <w:t>concerning</w:t>
      </w:r>
      <w:r>
        <w:t xml:space="preserve"> their overall investment.</w:t>
      </w:r>
    </w:p>
    <w:p w14:paraId="4C46D65E" w14:textId="11A59D43" w:rsidR="00882BB2" w:rsidRDefault="00882BB2" w:rsidP="00882BB2">
      <w:pPr>
        <w:pStyle w:val="Caption"/>
        <w:keepNext/>
        <w:jc w:val="both"/>
      </w:pPr>
      <w:bookmarkStart w:id="223" w:name="_Ref57729061"/>
      <w:bookmarkStart w:id="224" w:name="_Toc65585501"/>
      <w:bookmarkStart w:id="225" w:name="_Toc101274451"/>
      <w:r>
        <w:t xml:space="preserve">Table </w:t>
      </w:r>
      <w:fldSimple w:instr=" SEQ Table \* ARABIC ">
        <w:r w:rsidR="00587AF0">
          <w:rPr>
            <w:noProof/>
          </w:rPr>
          <w:t>11</w:t>
        </w:r>
      </w:fldSimple>
      <w:bookmarkEnd w:id="223"/>
      <w:r>
        <w:t>. Publication Weight Factor values for research dissemination activities</w:t>
      </w:r>
      <w:bookmarkEnd w:id="224"/>
      <w:bookmarkEnd w:id="225"/>
    </w:p>
    <w:tbl>
      <w:tblPr>
        <w:tblW w:w="5000" w:type="pct"/>
        <w:tblBorders>
          <w:top w:val="single" w:sz="4" w:space="0" w:color="auto"/>
          <w:bottom w:val="single" w:sz="4" w:space="0" w:color="auto"/>
        </w:tblBorders>
        <w:tblLook w:val="04A0" w:firstRow="1" w:lastRow="0" w:firstColumn="1" w:lastColumn="0" w:noHBand="0" w:noVBand="1"/>
      </w:tblPr>
      <w:tblGrid>
        <w:gridCol w:w="1131"/>
        <w:gridCol w:w="1182"/>
        <w:gridCol w:w="1358"/>
        <w:gridCol w:w="1183"/>
        <w:gridCol w:w="1264"/>
        <w:gridCol w:w="1448"/>
        <w:gridCol w:w="1461"/>
      </w:tblGrid>
      <w:tr w:rsidR="00882BB2" w:rsidRPr="00ED48A5" w14:paraId="11A7FC65" w14:textId="77777777" w:rsidTr="00882BB2">
        <w:trPr>
          <w:trHeight w:val="390"/>
        </w:trPr>
        <w:tc>
          <w:tcPr>
            <w:tcW w:w="627" w:type="pct"/>
            <w:tcBorders>
              <w:top w:val="single" w:sz="4" w:space="0" w:color="auto"/>
              <w:bottom w:val="single" w:sz="4" w:space="0" w:color="auto"/>
            </w:tcBorders>
            <w:shd w:val="clear" w:color="auto" w:fill="auto"/>
            <w:vAlign w:val="center"/>
            <w:hideMark/>
          </w:tcPr>
          <w:p w14:paraId="549AB794" w14:textId="77777777" w:rsidR="00882BB2" w:rsidRPr="00E21AF4" w:rsidRDefault="00882BB2" w:rsidP="00882BB2">
            <w:pPr>
              <w:spacing w:before="0" w:after="0"/>
              <w:rPr>
                <w:rFonts w:eastAsia="Times New Roman" w:cs="Times New Roman"/>
                <w:sz w:val="20"/>
                <w:szCs w:val="20"/>
              </w:rPr>
            </w:pPr>
            <w:r w:rsidRPr="00E21AF4">
              <w:rPr>
                <w:rFonts w:eastAsia="Times New Roman" w:cs="Times New Roman"/>
                <w:sz w:val="20"/>
                <w:szCs w:val="20"/>
              </w:rPr>
              <w:t> </w:t>
            </w:r>
          </w:p>
        </w:tc>
        <w:tc>
          <w:tcPr>
            <w:tcW w:w="655" w:type="pct"/>
            <w:tcBorders>
              <w:top w:val="single" w:sz="4" w:space="0" w:color="auto"/>
              <w:bottom w:val="single" w:sz="4" w:space="0" w:color="auto"/>
            </w:tcBorders>
            <w:shd w:val="clear" w:color="auto" w:fill="auto"/>
            <w:vAlign w:val="center"/>
            <w:hideMark/>
          </w:tcPr>
          <w:p w14:paraId="4E818407" w14:textId="397CBA4F" w:rsidR="00882BB2" w:rsidRPr="00FB77AC" w:rsidRDefault="00882BB2" w:rsidP="00882BB2">
            <w:pPr>
              <w:spacing w:before="0" w:after="0"/>
              <w:jc w:val="center"/>
              <w:rPr>
                <w:rFonts w:eastAsia="Times New Roman" w:cs="Times New Roman"/>
                <w:b/>
                <w:bCs/>
                <w:sz w:val="20"/>
                <w:szCs w:val="20"/>
                <w:vertAlign w:val="superscript"/>
              </w:rPr>
            </w:pPr>
            <w:r w:rsidRPr="00DA3E7D">
              <w:rPr>
                <w:rFonts w:eastAsia="Times New Roman" w:cs="Times New Roman"/>
                <w:b/>
                <w:bCs/>
                <w:sz w:val="20"/>
                <w:szCs w:val="20"/>
              </w:rPr>
              <w:t>Q</w:t>
            </w:r>
            <w:r w:rsidRPr="00DA3E7D">
              <w:rPr>
                <w:rFonts w:eastAsia="Times New Roman" w:cs="Times New Roman"/>
                <w:b/>
                <w:bCs/>
                <w:sz w:val="20"/>
                <w:szCs w:val="20"/>
                <w:vertAlign w:val="subscript"/>
              </w:rPr>
              <w:t>1</w:t>
            </w:r>
            <w:r w:rsidR="00FB77AC">
              <w:rPr>
                <w:rFonts w:eastAsia="Times New Roman" w:cs="Times New Roman"/>
                <w:b/>
                <w:bCs/>
                <w:sz w:val="20"/>
                <w:szCs w:val="20"/>
                <w:vertAlign w:val="superscript"/>
              </w:rPr>
              <w:t>R</w:t>
            </w:r>
          </w:p>
        </w:tc>
        <w:tc>
          <w:tcPr>
            <w:tcW w:w="752" w:type="pct"/>
            <w:tcBorders>
              <w:top w:val="single" w:sz="4" w:space="0" w:color="auto"/>
              <w:bottom w:val="single" w:sz="4" w:space="0" w:color="auto"/>
            </w:tcBorders>
            <w:shd w:val="clear" w:color="auto" w:fill="auto"/>
            <w:vAlign w:val="center"/>
            <w:hideMark/>
          </w:tcPr>
          <w:p w14:paraId="59B2E386" w14:textId="57627BCF" w:rsidR="00882BB2" w:rsidRPr="00FB77AC" w:rsidRDefault="00882BB2" w:rsidP="00882BB2">
            <w:pPr>
              <w:spacing w:before="0" w:after="0"/>
              <w:jc w:val="center"/>
              <w:rPr>
                <w:rFonts w:eastAsia="Times New Roman" w:cs="Times New Roman"/>
                <w:b/>
                <w:bCs/>
                <w:sz w:val="20"/>
                <w:szCs w:val="20"/>
                <w:vertAlign w:val="superscript"/>
              </w:rPr>
            </w:pPr>
            <w:r w:rsidRPr="00DA3E7D">
              <w:rPr>
                <w:rFonts w:eastAsia="Times New Roman" w:cs="Times New Roman"/>
                <w:b/>
                <w:bCs/>
                <w:sz w:val="20"/>
                <w:szCs w:val="20"/>
              </w:rPr>
              <w:t>Q</w:t>
            </w:r>
            <w:r w:rsidRPr="00DA3E7D">
              <w:rPr>
                <w:rFonts w:eastAsia="Times New Roman" w:cs="Times New Roman"/>
                <w:b/>
                <w:bCs/>
                <w:sz w:val="20"/>
                <w:szCs w:val="20"/>
                <w:vertAlign w:val="subscript"/>
              </w:rPr>
              <w:t>2</w:t>
            </w:r>
            <w:r w:rsidR="00FB77AC">
              <w:rPr>
                <w:rFonts w:eastAsia="Times New Roman" w:cs="Times New Roman"/>
                <w:b/>
                <w:bCs/>
                <w:sz w:val="20"/>
                <w:szCs w:val="20"/>
                <w:vertAlign w:val="superscript"/>
              </w:rPr>
              <w:t>R</w:t>
            </w:r>
          </w:p>
        </w:tc>
        <w:tc>
          <w:tcPr>
            <w:tcW w:w="655" w:type="pct"/>
            <w:tcBorders>
              <w:top w:val="single" w:sz="4" w:space="0" w:color="auto"/>
              <w:bottom w:val="single" w:sz="4" w:space="0" w:color="auto"/>
            </w:tcBorders>
            <w:shd w:val="clear" w:color="auto" w:fill="auto"/>
            <w:noWrap/>
            <w:vAlign w:val="center"/>
            <w:hideMark/>
          </w:tcPr>
          <w:p w14:paraId="3ECF637F" w14:textId="78349215" w:rsidR="00882BB2" w:rsidRPr="00FB77AC" w:rsidRDefault="00882BB2" w:rsidP="00882BB2">
            <w:pPr>
              <w:spacing w:before="0" w:after="0"/>
              <w:jc w:val="center"/>
              <w:rPr>
                <w:rFonts w:eastAsia="Times New Roman" w:cs="Times New Roman"/>
                <w:b/>
                <w:bCs/>
                <w:sz w:val="20"/>
                <w:szCs w:val="20"/>
                <w:vertAlign w:val="superscript"/>
              </w:rPr>
            </w:pPr>
            <w:r w:rsidRPr="00DA3E7D">
              <w:rPr>
                <w:rFonts w:eastAsia="Times New Roman" w:cs="Times New Roman"/>
                <w:b/>
                <w:bCs/>
                <w:sz w:val="20"/>
                <w:szCs w:val="20"/>
              </w:rPr>
              <w:t>Q</w:t>
            </w:r>
            <w:r w:rsidRPr="00DA3E7D">
              <w:rPr>
                <w:rFonts w:eastAsia="Times New Roman" w:cs="Times New Roman"/>
                <w:b/>
                <w:bCs/>
                <w:sz w:val="20"/>
                <w:szCs w:val="20"/>
                <w:vertAlign w:val="subscript"/>
              </w:rPr>
              <w:t>3</w:t>
            </w:r>
            <w:r w:rsidR="00FB77AC">
              <w:rPr>
                <w:rFonts w:eastAsia="Times New Roman" w:cs="Times New Roman"/>
                <w:b/>
                <w:bCs/>
                <w:sz w:val="20"/>
                <w:szCs w:val="20"/>
                <w:vertAlign w:val="superscript"/>
              </w:rPr>
              <w:t>R</w:t>
            </w:r>
          </w:p>
        </w:tc>
        <w:tc>
          <w:tcPr>
            <w:tcW w:w="700" w:type="pct"/>
            <w:tcBorders>
              <w:top w:val="single" w:sz="4" w:space="0" w:color="auto"/>
              <w:bottom w:val="single" w:sz="4" w:space="0" w:color="auto"/>
            </w:tcBorders>
            <w:shd w:val="clear" w:color="auto" w:fill="auto"/>
            <w:noWrap/>
            <w:vAlign w:val="center"/>
            <w:hideMark/>
          </w:tcPr>
          <w:p w14:paraId="3528D47B" w14:textId="13D52053" w:rsidR="00882BB2" w:rsidRPr="00FB77AC" w:rsidRDefault="00882BB2" w:rsidP="00882BB2">
            <w:pPr>
              <w:spacing w:before="0" w:after="0"/>
              <w:jc w:val="center"/>
              <w:rPr>
                <w:rFonts w:eastAsia="Times New Roman" w:cs="Times New Roman"/>
                <w:b/>
                <w:bCs/>
                <w:sz w:val="20"/>
                <w:szCs w:val="20"/>
                <w:vertAlign w:val="superscript"/>
              </w:rPr>
            </w:pPr>
            <w:r w:rsidRPr="00DA3E7D">
              <w:rPr>
                <w:rFonts w:eastAsia="Times New Roman" w:cs="Times New Roman"/>
                <w:b/>
                <w:bCs/>
                <w:sz w:val="20"/>
                <w:szCs w:val="20"/>
              </w:rPr>
              <w:t>Q</w:t>
            </w:r>
            <w:r w:rsidRPr="00DA3E7D">
              <w:rPr>
                <w:rFonts w:eastAsia="Times New Roman" w:cs="Times New Roman"/>
                <w:b/>
                <w:bCs/>
                <w:sz w:val="20"/>
                <w:szCs w:val="20"/>
                <w:vertAlign w:val="subscript"/>
              </w:rPr>
              <w:t>4</w:t>
            </w:r>
            <w:r w:rsidR="00FB77AC">
              <w:rPr>
                <w:rFonts w:eastAsia="Times New Roman" w:cs="Times New Roman"/>
                <w:b/>
                <w:bCs/>
                <w:sz w:val="20"/>
                <w:szCs w:val="20"/>
                <w:vertAlign w:val="superscript"/>
              </w:rPr>
              <w:t>R</w:t>
            </w:r>
          </w:p>
        </w:tc>
        <w:tc>
          <w:tcPr>
            <w:tcW w:w="802" w:type="pct"/>
            <w:tcBorders>
              <w:top w:val="single" w:sz="4" w:space="0" w:color="auto"/>
              <w:bottom w:val="single" w:sz="4" w:space="0" w:color="auto"/>
            </w:tcBorders>
            <w:shd w:val="clear" w:color="auto" w:fill="auto"/>
            <w:noWrap/>
            <w:vAlign w:val="center"/>
            <w:hideMark/>
          </w:tcPr>
          <w:p w14:paraId="7A6C4840" w14:textId="77777777" w:rsidR="00882BB2" w:rsidRPr="00DA3E7D" w:rsidRDefault="00882BB2" w:rsidP="00882BB2">
            <w:pPr>
              <w:spacing w:before="0" w:after="0"/>
              <w:jc w:val="center"/>
              <w:rPr>
                <w:rFonts w:eastAsia="Times New Roman" w:cs="Times New Roman"/>
                <w:b/>
                <w:bCs/>
                <w:sz w:val="20"/>
                <w:szCs w:val="20"/>
              </w:rPr>
            </w:pPr>
            <w:r w:rsidRPr="00DA3E7D">
              <w:rPr>
                <w:rFonts w:eastAsia="Times New Roman" w:cs="Times New Roman"/>
                <w:b/>
                <w:bCs/>
                <w:sz w:val="20"/>
                <w:szCs w:val="20"/>
              </w:rPr>
              <w:t>Sum</w:t>
            </w:r>
            <w:r w:rsidRPr="00DA3E7D">
              <w:rPr>
                <w:rFonts w:eastAsia="Times New Roman" w:cs="Times New Roman"/>
                <w:b/>
                <w:bCs/>
                <w:i/>
                <w:iCs/>
                <w:sz w:val="20"/>
                <w:szCs w:val="20"/>
                <w:vertAlign w:val="subscript"/>
              </w:rPr>
              <w:t>Qi</w:t>
            </w:r>
          </w:p>
        </w:tc>
        <w:tc>
          <w:tcPr>
            <w:tcW w:w="809" w:type="pct"/>
            <w:tcBorders>
              <w:top w:val="single" w:sz="4" w:space="0" w:color="auto"/>
              <w:bottom w:val="single" w:sz="4" w:space="0" w:color="auto"/>
            </w:tcBorders>
            <w:shd w:val="clear" w:color="auto" w:fill="auto"/>
            <w:noWrap/>
            <w:vAlign w:val="center"/>
            <w:hideMark/>
          </w:tcPr>
          <w:p w14:paraId="271CA9BA" w14:textId="77777777" w:rsidR="00882BB2" w:rsidRPr="00DA3E7D" w:rsidRDefault="00882BB2" w:rsidP="00882BB2">
            <w:pPr>
              <w:spacing w:before="0" w:after="0"/>
              <w:jc w:val="center"/>
              <w:rPr>
                <w:rFonts w:eastAsia="Times New Roman" w:cs="Times New Roman"/>
                <w:b/>
                <w:bCs/>
                <w:sz w:val="20"/>
                <w:szCs w:val="20"/>
              </w:rPr>
            </w:pPr>
            <w:r w:rsidRPr="00DA3E7D">
              <w:rPr>
                <w:rFonts w:eastAsia="Times New Roman" w:cs="Times New Roman"/>
                <w:b/>
                <w:bCs/>
                <w:sz w:val="20"/>
                <w:szCs w:val="20"/>
              </w:rPr>
              <w:t>PWF</w:t>
            </w:r>
            <w:r w:rsidRPr="00DA3E7D">
              <w:rPr>
                <w:rFonts w:eastAsia="Times New Roman" w:cs="Times New Roman"/>
                <w:b/>
                <w:bCs/>
                <w:i/>
                <w:iCs/>
                <w:sz w:val="20"/>
                <w:szCs w:val="20"/>
                <w:vertAlign w:val="subscript"/>
              </w:rPr>
              <w:t>Qi</w:t>
            </w:r>
          </w:p>
        </w:tc>
      </w:tr>
      <w:tr w:rsidR="00882BB2" w:rsidRPr="00ED48A5" w14:paraId="46370E85" w14:textId="77777777" w:rsidTr="00882BB2">
        <w:trPr>
          <w:trHeight w:val="315"/>
        </w:trPr>
        <w:tc>
          <w:tcPr>
            <w:tcW w:w="627" w:type="pct"/>
            <w:tcBorders>
              <w:top w:val="single" w:sz="4" w:space="0" w:color="auto"/>
            </w:tcBorders>
            <w:shd w:val="clear" w:color="auto" w:fill="auto"/>
            <w:vAlign w:val="center"/>
            <w:hideMark/>
          </w:tcPr>
          <w:p w14:paraId="748A6E87" w14:textId="77777777" w:rsidR="00882BB2" w:rsidRPr="00E21AF4" w:rsidRDefault="00882BB2" w:rsidP="00882BB2">
            <w:pPr>
              <w:spacing w:before="0" w:after="0"/>
              <w:rPr>
                <w:rFonts w:eastAsia="Times New Roman" w:cs="Times New Roman"/>
                <w:sz w:val="20"/>
                <w:szCs w:val="20"/>
              </w:rPr>
            </w:pPr>
            <w:r w:rsidRPr="00ED48A5">
              <w:rPr>
                <w:rFonts w:eastAsia="Times New Roman" w:cs="Times New Roman"/>
                <w:sz w:val="20"/>
                <w:szCs w:val="20"/>
              </w:rPr>
              <w:t>PAT</w:t>
            </w:r>
          </w:p>
        </w:tc>
        <w:tc>
          <w:tcPr>
            <w:tcW w:w="655" w:type="pct"/>
            <w:tcBorders>
              <w:top w:val="single" w:sz="4" w:space="0" w:color="auto"/>
            </w:tcBorders>
            <w:shd w:val="clear" w:color="auto" w:fill="auto"/>
            <w:vAlign w:val="center"/>
            <w:hideMark/>
          </w:tcPr>
          <w:p w14:paraId="7DBF27F3" w14:textId="77777777" w:rsidR="00882BB2" w:rsidRPr="00E21AF4" w:rsidRDefault="00882BB2" w:rsidP="00882BB2">
            <w:pPr>
              <w:spacing w:before="0" w:after="0"/>
              <w:jc w:val="center"/>
              <w:rPr>
                <w:rFonts w:eastAsia="Times New Roman" w:cs="Times New Roman"/>
                <w:sz w:val="20"/>
                <w:szCs w:val="20"/>
              </w:rPr>
            </w:pPr>
            <w:r w:rsidRPr="00E21AF4">
              <w:rPr>
                <w:rFonts w:eastAsia="Times New Roman" w:cs="Times New Roman"/>
                <w:sz w:val="20"/>
                <w:szCs w:val="20"/>
              </w:rPr>
              <w:t>0.376</w:t>
            </w:r>
          </w:p>
        </w:tc>
        <w:tc>
          <w:tcPr>
            <w:tcW w:w="752" w:type="pct"/>
            <w:tcBorders>
              <w:top w:val="single" w:sz="4" w:space="0" w:color="auto"/>
            </w:tcBorders>
            <w:shd w:val="clear" w:color="auto" w:fill="auto"/>
            <w:vAlign w:val="center"/>
            <w:hideMark/>
          </w:tcPr>
          <w:p w14:paraId="296C9FAC" w14:textId="77777777" w:rsidR="00882BB2" w:rsidRPr="00E21AF4" w:rsidRDefault="00882BB2" w:rsidP="00882BB2">
            <w:pPr>
              <w:spacing w:before="0" w:after="0"/>
              <w:jc w:val="center"/>
              <w:rPr>
                <w:rFonts w:eastAsia="Times New Roman" w:cs="Times New Roman"/>
                <w:sz w:val="20"/>
                <w:szCs w:val="20"/>
              </w:rPr>
            </w:pPr>
            <w:r w:rsidRPr="00E21AF4">
              <w:rPr>
                <w:rFonts w:eastAsia="Times New Roman" w:cs="Times New Roman"/>
                <w:sz w:val="20"/>
                <w:szCs w:val="20"/>
              </w:rPr>
              <w:t>0.38</w:t>
            </w:r>
            <w:r w:rsidRPr="00ED48A5">
              <w:rPr>
                <w:rFonts w:eastAsia="Times New Roman" w:cs="Times New Roman"/>
                <w:sz w:val="20"/>
                <w:szCs w:val="20"/>
              </w:rPr>
              <w:t>1</w:t>
            </w:r>
          </w:p>
        </w:tc>
        <w:tc>
          <w:tcPr>
            <w:tcW w:w="655" w:type="pct"/>
            <w:tcBorders>
              <w:top w:val="single" w:sz="4" w:space="0" w:color="auto"/>
            </w:tcBorders>
            <w:shd w:val="clear" w:color="auto" w:fill="auto"/>
            <w:vAlign w:val="center"/>
            <w:hideMark/>
          </w:tcPr>
          <w:p w14:paraId="47364FD8" w14:textId="77777777" w:rsidR="00882BB2" w:rsidRPr="00E21AF4" w:rsidRDefault="00882BB2" w:rsidP="00882BB2">
            <w:pPr>
              <w:spacing w:before="0" w:after="0"/>
              <w:jc w:val="center"/>
              <w:rPr>
                <w:rFonts w:eastAsia="Times New Roman" w:cs="Times New Roman"/>
                <w:sz w:val="20"/>
                <w:szCs w:val="20"/>
              </w:rPr>
            </w:pPr>
            <w:r w:rsidRPr="00E21AF4">
              <w:rPr>
                <w:rFonts w:eastAsia="Times New Roman" w:cs="Times New Roman"/>
                <w:sz w:val="20"/>
                <w:szCs w:val="20"/>
              </w:rPr>
              <w:t>0.39</w:t>
            </w:r>
            <w:r w:rsidRPr="00ED48A5">
              <w:rPr>
                <w:rFonts w:eastAsia="Times New Roman" w:cs="Times New Roman"/>
                <w:sz w:val="20"/>
                <w:szCs w:val="20"/>
              </w:rPr>
              <w:t>1</w:t>
            </w:r>
          </w:p>
        </w:tc>
        <w:tc>
          <w:tcPr>
            <w:tcW w:w="700" w:type="pct"/>
            <w:tcBorders>
              <w:top w:val="single" w:sz="4" w:space="0" w:color="auto"/>
            </w:tcBorders>
            <w:shd w:val="clear" w:color="auto" w:fill="auto"/>
            <w:vAlign w:val="center"/>
            <w:hideMark/>
          </w:tcPr>
          <w:p w14:paraId="09A1DA74" w14:textId="77777777" w:rsidR="00882BB2" w:rsidRPr="00E21AF4" w:rsidRDefault="00882BB2" w:rsidP="00882BB2">
            <w:pPr>
              <w:spacing w:before="0" w:after="0"/>
              <w:jc w:val="center"/>
              <w:rPr>
                <w:rFonts w:eastAsia="Times New Roman" w:cs="Times New Roman"/>
                <w:sz w:val="20"/>
                <w:szCs w:val="20"/>
              </w:rPr>
            </w:pPr>
            <w:r w:rsidRPr="00E21AF4">
              <w:rPr>
                <w:rFonts w:eastAsia="Times New Roman" w:cs="Times New Roman"/>
                <w:sz w:val="20"/>
                <w:szCs w:val="20"/>
              </w:rPr>
              <w:t>0.38</w:t>
            </w:r>
            <w:r w:rsidRPr="00ED48A5">
              <w:rPr>
                <w:rFonts w:eastAsia="Times New Roman" w:cs="Times New Roman"/>
                <w:sz w:val="20"/>
                <w:szCs w:val="20"/>
              </w:rPr>
              <w:t>9</w:t>
            </w:r>
          </w:p>
        </w:tc>
        <w:tc>
          <w:tcPr>
            <w:tcW w:w="802" w:type="pct"/>
            <w:tcBorders>
              <w:top w:val="single" w:sz="4" w:space="0" w:color="auto"/>
            </w:tcBorders>
            <w:shd w:val="clear" w:color="auto" w:fill="auto"/>
            <w:noWrap/>
            <w:vAlign w:val="center"/>
            <w:hideMark/>
          </w:tcPr>
          <w:p w14:paraId="21464479" w14:textId="77777777" w:rsidR="00882BB2" w:rsidRPr="00E21AF4" w:rsidRDefault="00882BB2" w:rsidP="00882BB2">
            <w:pPr>
              <w:spacing w:before="0" w:after="0"/>
              <w:jc w:val="center"/>
              <w:rPr>
                <w:rFonts w:eastAsia="Times New Roman" w:cs="Times New Roman"/>
                <w:sz w:val="20"/>
                <w:szCs w:val="20"/>
              </w:rPr>
            </w:pPr>
            <w:r w:rsidRPr="00E21AF4">
              <w:rPr>
                <w:rFonts w:eastAsia="Times New Roman" w:cs="Times New Roman"/>
                <w:sz w:val="20"/>
                <w:szCs w:val="20"/>
              </w:rPr>
              <w:t>1.53</w:t>
            </w:r>
            <w:r w:rsidRPr="00ED48A5">
              <w:rPr>
                <w:rFonts w:eastAsia="Times New Roman" w:cs="Times New Roman"/>
                <w:sz w:val="20"/>
                <w:szCs w:val="20"/>
              </w:rPr>
              <w:t>8</w:t>
            </w:r>
          </w:p>
        </w:tc>
        <w:tc>
          <w:tcPr>
            <w:tcW w:w="809" w:type="pct"/>
            <w:tcBorders>
              <w:top w:val="single" w:sz="4" w:space="0" w:color="auto"/>
            </w:tcBorders>
            <w:shd w:val="clear" w:color="auto" w:fill="auto"/>
            <w:noWrap/>
            <w:vAlign w:val="center"/>
            <w:hideMark/>
          </w:tcPr>
          <w:p w14:paraId="1FBD8F81" w14:textId="77777777" w:rsidR="00882BB2" w:rsidRPr="00E21AF4" w:rsidRDefault="00882BB2" w:rsidP="00882BB2">
            <w:pPr>
              <w:spacing w:before="0" w:after="0"/>
              <w:jc w:val="center"/>
              <w:rPr>
                <w:rFonts w:eastAsia="Times New Roman" w:cs="Times New Roman"/>
                <w:sz w:val="20"/>
                <w:szCs w:val="20"/>
              </w:rPr>
            </w:pPr>
            <w:r w:rsidRPr="00E21AF4">
              <w:rPr>
                <w:rFonts w:eastAsia="Times New Roman" w:cs="Times New Roman"/>
                <w:sz w:val="20"/>
                <w:szCs w:val="20"/>
              </w:rPr>
              <w:t>0.384</w:t>
            </w:r>
          </w:p>
        </w:tc>
      </w:tr>
      <w:tr w:rsidR="00882BB2" w:rsidRPr="00ED48A5" w14:paraId="1E61DE2B" w14:textId="77777777" w:rsidTr="00882BB2">
        <w:trPr>
          <w:trHeight w:val="315"/>
        </w:trPr>
        <w:tc>
          <w:tcPr>
            <w:tcW w:w="627" w:type="pct"/>
            <w:shd w:val="clear" w:color="auto" w:fill="auto"/>
            <w:vAlign w:val="center"/>
            <w:hideMark/>
          </w:tcPr>
          <w:p w14:paraId="4934E92B" w14:textId="77777777" w:rsidR="00882BB2" w:rsidRPr="00E21AF4" w:rsidRDefault="00882BB2" w:rsidP="00882BB2">
            <w:pPr>
              <w:spacing w:before="0" w:after="0"/>
              <w:rPr>
                <w:rFonts w:eastAsia="Times New Roman" w:cs="Times New Roman"/>
                <w:sz w:val="20"/>
                <w:szCs w:val="20"/>
              </w:rPr>
            </w:pPr>
            <w:r w:rsidRPr="00ED48A5">
              <w:rPr>
                <w:rFonts w:eastAsia="Times New Roman" w:cs="Times New Roman"/>
                <w:sz w:val="20"/>
                <w:szCs w:val="20"/>
              </w:rPr>
              <w:t>PRJ</w:t>
            </w:r>
          </w:p>
        </w:tc>
        <w:tc>
          <w:tcPr>
            <w:tcW w:w="655" w:type="pct"/>
            <w:shd w:val="clear" w:color="auto" w:fill="auto"/>
            <w:vAlign w:val="center"/>
            <w:hideMark/>
          </w:tcPr>
          <w:p w14:paraId="0DE20332" w14:textId="77777777" w:rsidR="00882BB2" w:rsidRPr="00E21AF4" w:rsidRDefault="00882BB2" w:rsidP="00882BB2">
            <w:pPr>
              <w:spacing w:before="0" w:after="0"/>
              <w:jc w:val="center"/>
              <w:rPr>
                <w:rFonts w:eastAsia="Times New Roman" w:cs="Times New Roman"/>
                <w:sz w:val="20"/>
                <w:szCs w:val="20"/>
              </w:rPr>
            </w:pPr>
            <w:r w:rsidRPr="00E21AF4">
              <w:rPr>
                <w:rFonts w:eastAsia="Times New Roman" w:cs="Times New Roman"/>
                <w:sz w:val="20"/>
                <w:szCs w:val="20"/>
              </w:rPr>
              <w:t>0.235</w:t>
            </w:r>
          </w:p>
        </w:tc>
        <w:tc>
          <w:tcPr>
            <w:tcW w:w="752" w:type="pct"/>
            <w:shd w:val="clear" w:color="auto" w:fill="auto"/>
            <w:vAlign w:val="center"/>
            <w:hideMark/>
          </w:tcPr>
          <w:p w14:paraId="32A15035" w14:textId="77777777" w:rsidR="00882BB2" w:rsidRPr="00E21AF4" w:rsidRDefault="00882BB2" w:rsidP="00882BB2">
            <w:pPr>
              <w:spacing w:before="0" w:after="0"/>
              <w:jc w:val="center"/>
              <w:rPr>
                <w:rFonts w:eastAsia="Times New Roman" w:cs="Times New Roman"/>
                <w:sz w:val="20"/>
                <w:szCs w:val="20"/>
              </w:rPr>
            </w:pPr>
            <w:r w:rsidRPr="00E21AF4">
              <w:rPr>
                <w:rFonts w:eastAsia="Times New Roman" w:cs="Times New Roman"/>
                <w:sz w:val="20"/>
                <w:szCs w:val="20"/>
              </w:rPr>
              <w:t>0.25</w:t>
            </w:r>
            <w:r w:rsidRPr="00ED48A5">
              <w:rPr>
                <w:rFonts w:eastAsia="Times New Roman" w:cs="Times New Roman"/>
                <w:sz w:val="20"/>
                <w:szCs w:val="20"/>
              </w:rPr>
              <w:t>4</w:t>
            </w:r>
          </w:p>
        </w:tc>
        <w:tc>
          <w:tcPr>
            <w:tcW w:w="655" w:type="pct"/>
            <w:shd w:val="clear" w:color="auto" w:fill="auto"/>
            <w:vAlign w:val="center"/>
            <w:hideMark/>
          </w:tcPr>
          <w:p w14:paraId="718EE02F" w14:textId="77777777" w:rsidR="00882BB2" w:rsidRPr="00E21AF4" w:rsidRDefault="00882BB2" w:rsidP="00882BB2">
            <w:pPr>
              <w:spacing w:before="0" w:after="0"/>
              <w:jc w:val="center"/>
              <w:rPr>
                <w:rFonts w:eastAsia="Times New Roman" w:cs="Times New Roman"/>
                <w:sz w:val="20"/>
                <w:szCs w:val="20"/>
              </w:rPr>
            </w:pPr>
            <w:r w:rsidRPr="00E21AF4">
              <w:rPr>
                <w:rFonts w:eastAsia="Times New Roman" w:cs="Times New Roman"/>
                <w:sz w:val="20"/>
                <w:szCs w:val="20"/>
              </w:rPr>
              <w:t>0.217</w:t>
            </w:r>
          </w:p>
        </w:tc>
        <w:tc>
          <w:tcPr>
            <w:tcW w:w="700" w:type="pct"/>
            <w:shd w:val="clear" w:color="auto" w:fill="auto"/>
            <w:vAlign w:val="center"/>
            <w:hideMark/>
          </w:tcPr>
          <w:p w14:paraId="113B709A" w14:textId="77777777" w:rsidR="00882BB2" w:rsidRPr="00E21AF4" w:rsidRDefault="00882BB2" w:rsidP="00882BB2">
            <w:pPr>
              <w:spacing w:before="0" w:after="0"/>
              <w:jc w:val="center"/>
              <w:rPr>
                <w:rFonts w:eastAsia="Times New Roman" w:cs="Times New Roman"/>
                <w:sz w:val="20"/>
                <w:szCs w:val="20"/>
              </w:rPr>
            </w:pPr>
            <w:r w:rsidRPr="00E21AF4">
              <w:rPr>
                <w:rFonts w:eastAsia="Times New Roman" w:cs="Times New Roman"/>
                <w:sz w:val="20"/>
                <w:szCs w:val="20"/>
              </w:rPr>
              <w:t>0.16</w:t>
            </w:r>
            <w:r w:rsidRPr="00ED48A5">
              <w:rPr>
                <w:rFonts w:eastAsia="Times New Roman" w:cs="Times New Roman"/>
                <w:sz w:val="20"/>
                <w:szCs w:val="20"/>
              </w:rPr>
              <w:t>7</w:t>
            </w:r>
          </w:p>
        </w:tc>
        <w:tc>
          <w:tcPr>
            <w:tcW w:w="802" w:type="pct"/>
            <w:shd w:val="clear" w:color="auto" w:fill="auto"/>
            <w:noWrap/>
            <w:vAlign w:val="center"/>
            <w:hideMark/>
          </w:tcPr>
          <w:p w14:paraId="305B6B6F" w14:textId="77777777" w:rsidR="00882BB2" w:rsidRPr="00E21AF4" w:rsidRDefault="00882BB2" w:rsidP="00882BB2">
            <w:pPr>
              <w:spacing w:before="0" w:after="0"/>
              <w:jc w:val="center"/>
              <w:rPr>
                <w:rFonts w:eastAsia="Times New Roman" w:cs="Times New Roman"/>
                <w:sz w:val="20"/>
                <w:szCs w:val="20"/>
              </w:rPr>
            </w:pPr>
            <w:r w:rsidRPr="00E21AF4">
              <w:rPr>
                <w:rFonts w:eastAsia="Times New Roman" w:cs="Times New Roman"/>
                <w:sz w:val="20"/>
                <w:szCs w:val="20"/>
              </w:rPr>
              <w:t>0.87</w:t>
            </w:r>
            <w:r w:rsidRPr="00ED48A5">
              <w:rPr>
                <w:rFonts w:eastAsia="Times New Roman" w:cs="Times New Roman"/>
                <w:sz w:val="20"/>
                <w:szCs w:val="20"/>
              </w:rPr>
              <w:t>3</w:t>
            </w:r>
          </w:p>
        </w:tc>
        <w:tc>
          <w:tcPr>
            <w:tcW w:w="809" w:type="pct"/>
            <w:shd w:val="clear" w:color="auto" w:fill="auto"/>
            <w:noWrap/>
            <w:vAlign w:val="center"/>
            <w:hideMark/>
          </w:tcPr>
          <w:p w14:paraId="3E355099" w14:textId="77777777" w:rsidR="00882BB2" w:rsidRPr="00E21AF4" w:rsidRDefault="00882BB2" w:rsidP="00882BB2">
            <w:pPr>
              <w:spacing w:before="0" w:after="0"/>
              <w:jc w:val="center"/>
              <w:rPr>
                <w:rFonts w:eastAsia="Times New Roman" w:cs="Times New Roman"/>
                <w:sz w:val="20"/>
                <w:szCs w:val="20"/>
              </w:rPr>
            </w:pPr>
            <w:r w:rsidRPr="00E21AF4">
              <w:rPr>
                <w:rFonts w:eastAsia="Times New Roman" w:cs="Times New Roman"/>
                <w:sz w:val="20"/>
                <w:szCs w:val="20"/>
              </w:rPr>
              <w:t>0.218</w:t>
            </w:r>
          </w:p>
        </w:tc>
      </w:tr>
      <w:tr w:rsidR="00882BB2" w:rsidRPr="00ED48A5" w14:paraId="208B2927" w14:textId="77777777" w:rsidTr="00882BB2">
        <w:trPr>
          <w:trHeight w:val="315"/>
        </w:trPr>
        <w:tc>
          <w:tcPr>
            <w:tcW w:w="627" w:type="pct"/>
            <w:shd w:val="clear" w:color="auto" w:fill="auto"/>
            <w:vAlign w:val="center"/>
            <w:hideMark/>
          </w:tcPr>
          <w:p w14:paraId="2B94D045" w14:textId="77777777" w:rsidR="00882BB2" w:rsidRPr="00E21AF4" w:rsidRDefault="00882BB2" w:rsidP="00882BB2">
            <w:pPr>
              <w:spacing w:before="0" w:after="0"/>
              <w:rPr>
                <w:rFonts w:eastAsia="Times New Roman" w:cs="Times New Roman"/>
                <w:sz w:val="20"/>
                <w:szCs w:val="20"/>
              </w:rPr>
            </w:pPr>
            <w:r w:rsidRPr="00ED48A5">
              <w:rPr>
                <w:rFonts w:eastAsia="Times New Roman" w:cs="Times New Roman"/>
                <w:sz w:val="20"/>
                <w:szCs w:val="20"/>
              </w:rPr>
              <w:t>BC</w:t>
            </w:r>
          </w:p>
        </w:tc>
        <w:tc>
          <w:tcPr>
            <w:tcW w:w="655" w:type="pct"/>
            <w:shd w:val="clear" w:color="auto" w:fill="auto"/>
            <w:vAlign w:val="center"/>
            <w:hideMark/>
          </w:tcPr>
          <w:p w14:paraId="0706A6D6" w14:textId="77777777" w:rsidR="00882BB2" w:rsidRPr="00E21AF4" w:rsidRDefault="00882BB2" w:rsidP="00882BB2">
            <w:pPr>
              <w:spacing w:before="0" w:after="0"/>
              <w:jc w:val="center"/>
              <w:rPr>
                <w:rFonts w:eastAsia="Times New Roman" w:cs="Times New Roman"/>
                <w:sz w:val="20"/>
                <w:szCs w:val="20"/>
              </w:rPr>
            </w:pPr>
            <w:r w:rsidRPr="00E21AF4">
              <w:rPr>
                <w:rFonts w:eastAsia="Times New Roman" w:cs="Times New Roman"/>
                <w:sz w:val="20"/>
                <w:szCs w:val="20"/>
              </w:rPr>
              <w:t>0.16</w:t>
            </w:r>
            <w:r w:rsidRPr="00ED48A5">
              <w:rPr>
                <w:rFonts w:eastAsia="Times New Roman" w:cs="Times New Roman"/>
                <w:sz w:val="20"/>
                <w:szCs w:val="20"/>
              </w:rPr>
              <w:t>5</w:t>
            </w:r>
          </w:p>
        </w:tc>
        <w:tc>
          <w:tcPr>
            <w:tcW w:w="752" w:type="pct"/>
            <w:shd w:val="clear" w:color="auto" w:fill="auto"/>
            <w:vAlign w:val="center"/>
            <w:hideMark/>
          </w:tcPr>
          <w:p w14:paraId="253B02F6" w14:textId="77777777" w:rsidR="00882BB2" w:rsidRPr="00E21AF4" w:rsidRDefault="00882BB2" w:rsidP="00882BB2">
            <w:pPr>
              <w:spacing w:before="0" w:after="0"/>
              <w:jc w:val="center"/>
              <w:rPr>
                <w:rFonts w:eastAsia="Times New Roman" w:cs="Times New Roman"/>
                <w:sz w:val="20"/>
                <w:szCs w:val="20"/>
              </w:rPr>
            </w:pPr>
            <w:r w:rsidRPr="00E21AF4">
              <w:rPr>
                <w:rFonts w:eastAsia="Times New Roman" w:cs="Times New Roman"/>
                <w:sz w:val="20"/>
                <w:szCs w:val="20"/>
              </w:rPr>
              <w:t>0.12</w:t>
            </w:r>
            <w:r w:rsidRPr="00ED48A5">
              <w:rPr>
                <w:rFonts w:eastAsia="Times New Roman" w:cs="Times New Roman"/>
                <w:sz w:val="20"/>
                <w:szCs w:val="20"/>
              </w:rPr>
              <w:t>7</w:t>
            </w:r>
          </w:p>
        </w:tc>
        <w:tc>
          <w:tcPr>
            <w:tcW w:w="655" w:type="pct"/>
            <w:shd w:val="clear" w:color="auto" w:fill="auto"/>
            <w:vAlign w:val="center"/>
            <w:hideMark/>
          </w:tcPr>
          <w:p w14:paraId="63ED5914" w14:textId="77777777" w:rsidR="00882BB2" w:rsidRPr="00E21AF4" w:rsidRDefault="00882BB2" w:rsidP="00882BB2">
            <w:pPr>
              <w:spacing w:before="0" w:after="0"/>
              <w:jc w:val="center"/>
              <w:rPr>
                <w:rFonts w:eastAsia="Times New Roman" w:cs="Times New Roman"/>
                <w:sz w:val="20"/>
                <w:szCs w:val="20"/>
              </w:rPr>
            </w:pPr>
            <w:r w:rsidRPr="00E21AF4">
              <w:rPr>
                <w:rFonts w:eastAsia="Times New Roman" w:cs="Times New Roman"/>
                <w:sz w:val="20"/>
                <w:szCs w:val="20"/>
              </w:rPr>
              <w:t>0.08</w:t>
            </w:r>
            <w:r w:rsidRPr="00ED48A5">
              <w:rPr>
                <w:rFonts w:eastAsia="Times New Roman" w:cs="Times New Roman"/>
                <w:sz w:val="20"/>
                <w:szCs w:val="20"/>
              </w:rPr>
              <w:t>7</w:t>
            </w:r>
          </w:p>
        </w:tc>
        <w:tc>
          <w:tcPr>
            <w:tcW w:w="700" w:type="pct"/>
            <w:shd w:val="clear" w:color="auto" w:fill="auto"/>
            <w:vAlign w:val="center"/>
            <w:hideMark/>
          </w:tcPr>
          <w:p w14:paraId="237F3992" w14:textId="77777777" w:rsidR="00882BB2" w:rsidRPr="00E21AF4" w:rsidRDefault="00882BB2" w:rsidP="00882BB2">
            <w:pPr>
              <w:spacing w:before="0" w:after="0"/>
              <w:jc w:val="center"/>
              <w:rPr>
                <w:rFonts w:eastAsia="Times New Roman" w:cs="Times New Roman"/>
                <w:sz w:val="20"/>
                <w:szCs w:val="20"/>
              </w:rPr>
            </w:pPr>
            <w:r w:rsidRPr="00E21AF4">
              <w:rPr>
                <w:rFonts w:eastAsia="Times New Roman" w:cs="Times New Roman"/>
                <w:sz w:val="20"/>
                <w:szCs w:val="20"/>
              </w:rPr>
              <w:t>0.083</w:t>
            </w:r>
          </w:p>
        </w:tc>
        <w:tc>
          <w:tcPr>
            <w:tcW w:w="802" w:type="pct"/>
            <w:shd w:val="clear" w:color="auto" w:fill="auto"/>
            <w:noWrap/>
            <w:vAlign w:val="center"/>
            <w:hideMark/>
          </w:tcPr>
          <w:p w14:paraId="62D05FB1" w14:textId="77777777" w:rsidR="00882BB2" w:rsidRPr="00E21AF4" w:rsidRDefault="00882BB2" w:rsidP="00882BB2">
            <w:pPr>
              <w:spacing w:before="0" w:after="0"/>
              <w:jc w:val="center"/>
              <w:rPr>
                <w:rFonts w:eastAsia="Times New Roman" w:cs="Times New Roman"/>
                <w:sz w:val="20"/>
                <w:szCs w:val="20"/>
              </w:rPr>
            </w:pPr>
            <w:r w:rsidRPr="00E21AF4">
              <w:rPr>
                <w:rFonts w:eastAsia="Times New Roman" w:cs="Times New Roman"/>
                <w:sz w:val="20"/>
                <w:szCs w:val="20"/>
              </w:rPr>
              <w:t>0.46</w:t>
            </w:r>
            <w:r w:rsidRPr="00ED48A5">
              <w:rPr>
                <w:rFonts w:eastAsia="Times New Roman" w:cs="Times New Roman"/>
                <w:sz w:val="20"/>
                <w:szCs w:val="20"/>
              </w:rPr>
              <w:t>2</w:t>
            </w:r>
          </w:p>
        </w:tc>
        <w:tc>
          <w:tcPr>
            <w:tcW w:w="809" w:type="pct"/>
            <w:shd w:val="clear" w:color="auto" w:fill="auto"/>
            <w:noWrap/>
            <w:vAlign w:val="center"/>
            <w:hideMark/>
          </w:tcPr>
          <w:p w14:paraId="6EF3F858" w14:textId="77777777" w:rsidR="00882BB2" w:rsidRPr="00E21AF4" w:rsidRDefault="00882BB2" w:rsidP="00882BB2">
            <w:pPr>
              <w:spacing w:before="0" w:after="0"/>
              <w:jc w:val="center"/>
              <w:rPr>
                <w:rFonts w:eastAsia="Times New Roman" w:cs="Times New Roman"/>
                <w:sz w:val="20"/>
                <w:szCs w:val="20"/>
              </w:rPr>
            </w:pPr>
            <w:r w:rsidRPr="00E21AF4">
              <w:rPr>
                <w:rFonts w:eastAsia="Times New Roman" w:cs="Times New Roman"/>
                <w:sz w:val="20"/>
                <w:szCs w:val="20"/>
              </w:rPr>
              <w:t>0.115</w:t>
            </w:r>
          </w:p>
        </w:tc>
      </w:tr>
      <w:tr w:rsidR="00882BB2" w:rsidRPr="00ED48A5" w14:paraId="4146B4DE" w14:textId="77777777" w:rsidTr="00882BB2">
        <w:trPr>
          <w:trHeight w:val="315"/>
        </w:trPr>
        <w:tc>
          <w:tcPr>
            <w:tcW w:w="627" w:type="pct"/>
            <w:shd w:val="clear" w:color="auto" w:fill="auto"/>
            <w:vAlign w:val="center"/>
            <w:hideMark/>
          </w:tcPr>
          <w:p w14:paraId="15B68746" w14:textId="77777777" w:rsidR="00882BB2" w:rsidRPr="00E21AF4" w:rsidRDefault="00882BB2" w:rsidP="00882BB2">
            <w:pPr>
              <w:spacing w:before="0" w:after="0"/>
              <w:rPr>
                <w:rFonts w:eastAsia="Times New Roman" w:cs="Times New Roman"/>
                <w:sz w:val="20"/>
                <w:szCs w:val="20"/>
              </w:rPr>
            </w:pPr>
            <w:r w:rsidRPr="00ED48A5">
              <w:rPr>
                <w:rFonts w:eastAsia="Times New Roman" w:cs="Times New Roman"/>
                <w:sz w:val="20"/>
                <w:szCs w:val="20"/>
              </w:rPr>
              <w:t>CP</w:t>
            </w:r>
          </w:p>
        </w:tc>
        <w:tc>
          <w:tcPr>
            <w:tcW w:w="655" w:type="pct"/>
            <w:shd w:val="clear" w:color="auto" w:fill="auto"/>
            <w:vAlign w:val="center"/>
            <w:hideMark/>
          </w:tcPr>
          <w:p w14:paraId="1670548F" w14:textId="77777777" w:rsidR="00882BB2" w:rsidRPr="00E21AF4" w:rsidRDefault="00882BB2" w:rsidP="00882BB2">
            <w:pPr>
              <w:spacing w:before="0" w:after="0"/>
              <w:jc w:val="center"/>
              <w:rPr>
                <w:rFonts w:eastAsia="Times New Roman" w:cs="Times New Roman"/>
                <w:sz w:val="20"/>
                <w:szCs w:val="20"/>
              </w:rPr>
            </w:pPr>
            <w:r w:rsidRPr="00E21AF4">
              <w:rPr>
                <w:rFonts w:eastAsia="Times New Roman" w:cs="Times New Roman"/>
                <w:sz w:val="20"/>
                <w:szCs w:val="20"/>
              </w:rPr>
              <w:t>0.082</w:t>
            </w:r>
          </w:p>
        </w:tc>
        <w:tc>
          <w:tcPr>
            <w:tcW w:w="752" w:type="pct"/>
            <w:shd w:val="clear" w:color="auto" w:fill="auto"/>
            <w:vAlign w:val="center"/>
            <w:hideMark/>
          </w:tcPr>
          <w:p w14:paraId="6E68BA67" w14:textId="77777777" w:rsidR="00882BB2" w:rsidRPr="00E21AF4" w:rsidRDefault="00882BB2" w:rsidP="00882BB2">
            <w:pPr>
              <w:spacing w:before="0" w:after="0"/>
              <w:jc w:val="center"/>
              <w:rPr>
                <w:rFonts w:eastAsia="Times New Roman" w:cs="Times New Roman"/>
                <w:sz w:val="20"/>
                <w:szCs w:val="20"/>
              </w:rPr>
            </w:pPr>
            <w:r w:rsidRPr="00E21AF4">
              <w:rPr>
                <w:rFonts w:eastAsia="Times New Roman" w:cs="Times New Roman"/>
                <w:sz w:val="20"/>
                <w:szCs w:val="20"/>
              </w:rPr>
              <w:t>0.047</w:t>
            </w:r>
            <w:r w:rsidRPr="00ED48A5">
              <w:rPr>
                <w:rFonts w:eastAsia="Times New Roman" w:cs="Times New Roman"/>
                <w:sz w:val="20"/>
                <w:szCs w:val="20"/>
              </w:rPr>
              <w:t>6</w:t>
            </w:r>
          </w:p>
        </w:tc>
        <w:tc>
          <w:tcPr>
            <w:tcW w:w="655" w:type="pct"/>
            <w:shd w:val="clear" w:color="auto" w:fill="auto"/>
            <w:vAlign w:val="center"/>
            <w:hideMark/>
          </w:tcPr>
          <w:p w14:paraId="42C3F40F" w14:textId="77777777" w:rsidR="00882BB2" w:rsidRPr="00E21AF4" w:rsidRDefault="00882BB2" w:rsidP="00882BB2">
            <w:pPr>
              <w:spacing w:before="0" w:after="0"/>
              <w:jc w:val="center"/>
              <w:rPr>
                <w:rFonts w:eastAsia="Times New Roman" w:cs="Times New Roman"/>
                <w:sz w:val="20"/>
                <w:szCs w:val="20"/>
              </w:rPr>
            </w:pPr>
            <w:r w:rsidRPr="00E21AF4">
              <w:rPr>
                <w:rFonts w:eastAsia="Times New Roman" w:cs="Times New Roman"/>
                <w:sz w:val="20"/>
                <w:szCs w:val="20"/>
              </w:rPr>
              <w:t>0.043</w:t>
            </w:r>
          </w:p>
        </w:tc>
        <w:tc>
          <w:tcPr>
            <w:tcW w:w="700" w:type="pct"/>
            <w:shd w:val="clear" w:color="auto" w:fill="auto"/>
            <w:vAlign w:val="center"/>
            <w:hideMark/>
          </w:tcPr>
          <w:p w14:paraId="7276B9FD" w14:textId="77777777" w:rsidR="00882BB2" w:rsidRPr="00E21AF4" w:rsidRDefault="00882BB2" w:rsidP="00882BB2">
            <w:pPr>
              <w:spacing w:before="0" w:after="0"/>
              <w:jc w:val="center"/>
              <w:rPr>
                <w:rFonts w:eastAsia="Times New Roman" w:cs="Times New Roman"/>
                <w:sz w:val="20"/>
                <w:szCs w:val="20"/>
              </w:rPr>
            </w:pPr>
            <w:r w:rsidRPr="00E21AF4">
              <w:rPr>
                <w:rFonts w:eastAsia="Times New Roman" w:cs="Times New Roman"/>
                <w:sz w:val="20"/>
                <w:szCs w:val="20"/>
              </w:rPr>
              <w:t>0.02</w:t>
            </w:r>
            <w:r w:rsidRPr="00ED48A5">
              <w:rPr>
                <w:rFonts w:eastAsia="Times New Roman" w:cs="Times New Roman"/>
                <w:sz w:val="20"/>
                <w:szCs w:val="20"/>
              </w:rPr>
              <w:t>8</w:t>
            </w:r>
          </w:p>
        </w:tc>
        <w:tc>
          <w:tcPr>
            <w:tcW w:w="802" w:type="pct"/>
            <w:shd w:val="clear" w:color="auto" w:fill="auto"/>
            <w:noWrap/>
            <w:vAlign w:val="center"/>
            <w:hideMark/>
          </w:tcPr>
          <w:p w14:paraId="4FCA173F" w14:textId="77777777" w:rsidR="00882BB2" w:rsidRPr="00E21AF4" w:rsidRDefault="00882BB2" w:rsidP="00882BB2">
            <w:pPr>
              <w:spacing w:before="0" w:after="0"/>
              <w:jc w:val="center"/>
              <w:rPr>
                <w:rFonts w:eastAsia="Times New Roman" w:cs="Times New Roman"/>
                <w:sz w:val="20"/>
                <w:szCs w:val="20"/>
              </w:rPr>
            </w:pPr>
            <w:r w:rsidRPr="00E21AF4">
              <w:rPr>
                <w:rFonts w:eastAsia="Times New Roman" w:cs="Times New Roman"/>
                <w:sz w:val="20"/>
                <w:szCs w:val="20"/>
              </w:rPr>
              <w:t>0.201</w:t>
            </w:r>
          </w:p>
        </w:tc>
        <w:tc>
          <w:tcPr>
            <w:tcW w:w="809" w:type="pct"/>
            <w:shd w:val="clear" w:color="auto" w:fill="auto"/>
            <w:noWrap/>
            <w:vAlign w:val="center"/>
            <w:hideMark/>
          </w:tcPr>
          <w:p w14:paraId="16EA9AF0" w14:textId="77777777" w:rsidR="00882BB2" w:rsidRPr="00E21AF4" w:rsidRDefault="00882BB2" w:rsidP="00882BB2">
            <w:pPr>
              <w:spacing w:before="0" w:after="0"/>
              <w:jc w:val="center"/>
              <w:rPr>
                <w:rFonts w:eastAsia="Times New Roman" w:cs="Times New Roman"/>
                <w:sz w:val="20"/>
                <w:szCs w:val="20"/>
              </w:rPr>
            </w:pPr>
            <w:r w:rsidRPr="00E21AF4">
              <w:rPr>
                <w:rFonts w:eastAsia="Times New Roman" w:cs="Times New Roman"/>
                <w:sz w:val="20"/>
                <w:szCs w:val="20"/>
              </w:rPr>
              <w:t>0.05</w:t>
            </w:r>
            <w:r w:rsidRPr="00ED48A5">
              <w:rPr>
                <w:rFonts w:eastAsia="Times New Roman" w:cs="Times New Roman"/>
                <w:sz w:val="20"/>
                <w:szCs w:val="20"/>
              </w:rPr>
              <w:t>0</w:t>
            </w:r>
          </w:p>
        </w:tc>
      </w:tr>
      <w:tr w:rsidR="00882BB2" w:rsidRPr="00ED48A5" w14:paraId="59F2AC09" w14:textId="77777777" w:rsidTr="00882BB2">
        <w:trPr>
          <w:trHeight w:val="330"/>
        </w:trPr>
        <w:tc>
          <w:tcPr>
            <w:tcW w:w="627" w:type="pct"/>
            <w:shd w:val="clear" w:color="auto" w:fill="auto"/>
            <w:vAlign w:val="center"/>
            <w:hideMark/>
          </w:tcPr>
          <w:p w14:paraId="50956DA8" w14:textId="77777777" w:rsidR="00882BB2" w:rsidRPr="00E21AF4" w:rsidRDefault="00882BB2" w:rsidP="00882BB2">
            <w:pPr>
              <w:spacing w:before="0" w:after="0"/>
              <w:rPr>
                <w:rFonts w:eastAsia="Times New Roman" w:cs="Times New Roman"/>
                <w:sz w:val="20"/>
                <w:szCs w:val="20"/>
              </w:rPr>
            </w:pPr>
            <w:r w:rsidRPr="00ED48A5">
              <w:rPr>
                <w:rFonts w:eastAsia="Times New Roman" w:cs="Times New Roman"/>
                <w:sz w:val="20"/>
                <w:szCs w:val="20"/>
              </w:rPr>
              <w:t>DT</w:t>
            </w:r>
          </w:p>
        </w:tc>
        <w:tc>
          <w:tcPr>
            <w:tcW w:w="655" w:type="pct"/>
            <w:shd w:val="clear" w:color="auto" w:fill="auto"/>
            <w:vAlign w:val="center"/>
            <w:hideMark/>
          </w:tcPr>
          <w:p w14:paraId="0F9CAB0A" w14:textId="77777777" w:rsidR="00882BB2" w:rsidRPr="00E21AF4" w:rsidRDefault="00882BB2" w:rsidP="00882BB2">
            <w:pPr>
              <w:spacing w:before="0" w:after="0"/>
              <w:jc w:val="center"/>
              <w:rPr>
                <w:rFonts w:eastAsia="Times New Roman" w:cs="Times New Roman"/>
                <w:sz w:val="20"/>
                <w:szCs w:val="20"/>
              </w:rPr>
            </w:pPr>
            <w:r w:rsidRPr="00E21AF4">
              <w:rPr>
                <w:rFonts w:eastAsia="Times New Roman" w:cs="Times New Roman"/>
                <w:sz w:val="20"/>
                <w:szCs w:val="20"/>
              </w:rPr>
              <w:t>0.14</w:t>
            </w:r>
            <w:r w:rsidRPr="00ED48A5">
              <w:rPr>
                <w:rFonts w:eastAsia="Times New Roman" w:cs="Times New Roman"/>
                <w:sz w:val="20"/>
                <w:szCs w:val="20"/>
              </w:rPr>
              <w:t>1</w:t>
            </w:r>
          </w:p>
        </w:tc>
        <w:tc>
          <w:tcPr>
            <w:tcW w:w="752" w:type="pct"/>
            <w:shd w:val="clear" w:color="auto" w:fill="auto"/>
            <w:vAlign w:val="center"/>
            <w:hideMark/>
          </w:tcPr>
          <w:p w14:paraId="085A4C6B" w14:textId="77777777" w:rsidR="00882BB2" w:rsidRPr="00E21AF4" w:rsidRDefault="00882BB2" w:rsidP="00882BB2">
            <w:pPr>
              <w:spacing w:before="0" w:after="0"/>
              <w:jc w:val="center"/>
              <w:rPr>
                <w:rFonts w:eastAsia="Times New Roman" w:cs="Times New Roman"/>
                <w:sz w:val="20"/>
                <w:szCs w:val="20"/>
              </w:rPr>
            </w:pPr>
            <w:r w:rsidRPr="00E21AF4">
              <w:rPr>
                <w:rFonts w:eastAsia="Times New Roman" w:cs="Times New Roman"/>
                <w:sz w:val="20"/>
                <w:szCs w:val="20"/>
              </w:rPr>
              <w:t>0.19</w:t>
            </w:r>
            <w:r w:rsidRPr="00ED48A5">
              <w:rPr>
                <w:rFonts w:eastAsia="Times New Roman" w:cs="Times New Roman"/>
                <w:sz w:val="20"/>
                <w:szCs w:val="20"/>
              </w:rPr>
              <w:t>0</w:t>
            </w:r>
          </w:p>
        </w:tc>
        <w:tc>
          <w:tcPr>
            <w:tcW w:w="655" w:type="pct"/>
            <w:shd w:val="clear" w:color="auto" w:fill="auto"/>
            <w:vAlign w:val="center"/>
            <w:hideMark/>
          </w:tcPr>
          <w:p w14:paraId="0B3257AD" w14:textId="77777777" w:rsidR="00882BB2" w:rsidRPr="00E21AF4" w:rsidRDefault="00882BB2" w:rsidP="00882BB2">
            <w:pPr>
              <w:spacing w:before="0" w:after="0"/>
              <w:jc w:val="center"/>
              <w:rPr>
                <w:rFonts w:eastAsia="Times New Roman" w:cs="Times New Roman"/>
                <w:sz w:val="20"/>
                <w:szCs w:val="20"/>
              </w:rPr>
            </w:pPr>
            <w:r w:rsidRPr="00E21AF4">
              <w:rPr>
                <w:rFonts w:eastAsia="Times New Roman" w:cs="Times New Roman"/>
                <w:sz w:val="20"/>
                <w:szCs w:val="20"/>
              </w:rPr>
              <w:t>0.26</w:t>
            </w:r>
            <w:r w:rsidRPr="00ED48A5">
              <w:rPr>
                <w:rFonts w:eastAsia="Times New Roman" w:cs="Times New Roman"/>
                <w:sz w:val="20"/>
                <w:szCs w:val="20"/>
              </w:rPr>
              <w:t>1</w:t>
            </w:r>
          </w:p>
        </w:tc>
        <w:tc>
          <w:tcPr>
            <w:tcW w:w="700" w:type="pct"/>
            <w:shd w:val="clear" w:color="auto" w:fill="auto"/>
            <w:vAlign w:val="center"/>
            <w:hideMark/>
          </w:tcPr>
          <w:p w14:paraId="255A412B" w14:textId="77777777" w:rsidR="00882BB2" w:rsidRPr="00E21AF4" w:rsidRDefault="00882BB2" w:rsidP="00882BB2">
            <w:pPr>
              <w:spacing w:before="0" w:after="0"/>
              <w:jc w:val="center"/>
              <w:rPr>
                <w:rFonts w:eastAsia="Times New Roman" w:cs="Times New Roman"/>
                <w:sz w:val="20"/>
                <w:szCs w:val="20"/>
              </w:rPr>
            </w:pPr>
            <w:r w:rsidRPr="00E21AF4">
              <w:rPr>
                <w:rFonts w:eastAsia="Times New Roman" w:cs="Times New Roman"/>
                <w:sz w:val="20"/>
                <w:szCs w:val="20"/>
              </w:rPr>
              <w:t>0.33</w:t>
            </w:r>
            <w:r w:rsidRPr="00ED48A5">
              <w:rPr>
                <w:rFonts w:eastAsia="Times New Roman" w:cs="Times New Roman"/>
                <w:sz w:val="20"/>
                <w:szCs w:val="20"/>
              </w:rPr>
              <w:t>3</w:t>
            </w:r>
          </w:p>
        </w:tc>
        <w:tc>
          <w:tcPr>
            <w:tcW w:w="802" w:type="pct"/>
            <w:shd w:val="clear" w:color="auto" w:fill="auto"/>
            <w:noWrap/>
            <w:vAlign w:val="center"/>
            <w:hideMark/>
          </w:tcPr>
          <w:p w14:paraId="1282E6BD" w14:textId="77777777" w:rsidR="00882BB2" w:rsidRPr="00E21AF4" w:rsidRDefault="00882BB2" w:rsidP="00882BB2">
            <w:pPr>
              <w:spacing w:before="0" w:after="0"/>
              <w:jc w:val="center"/>
              <w:rPr>
                <w:rFonts w:eastAsia="Times New Roman" w:cs="Times New Roman"/>
                <w:sz w:val="20"/>
                <w:szCs w:val="20"/>
              </w:rPr>
            </w:pPr>
            <w:r w:rsidRPr="00E21AF4">
              <w:rPr>
                <w:rFonts w:eastAsia="Times New Roman" w:cs="Times New Roman"/>
                <w:sz w:val="20"/>
                <w:szCs w:val="20"/>
              </w:rPr>
              <w:t>0.92</w:t>
            </w:r>
            <w:r w:rsidRPr="00ED48A5">
              <w:rPr>
                <w:rFonts w:eastAsia="Times New Roman" w:cs="Times New Roman"/>
                <w:sz w:val="20"/>
                <w:szCs w:val="20"/>
              </w:rPr>
              <w:t>6</w:t>
            </w:r>
          </w:p>
        </w:tc>
        <w:tc>
          <w:tcPr>
            <w:tcW w:w="809" w:type="pct"/>
            <w:shd w:val="clear" w:color="auto" w:fill="auto"/>
            <w:noWrap/>
            <w:vAlign w:val="center"/>
            <w:hideMark/>
          </w:tcPr>
          <w:p w14:paraId="42DAAB84" w14:textId="77777777" w:rsidR="00882BB2" w:rsidRPr="00E21AF4" w:rsidRDefault="00882BB2" w:rsidP="00882BB2">
            <w:pPr>
              <w:spacing w:before="0" w:after="0"/>
              <w:jc w:val="center"/>
              <w:rPr>
                <w:rFonts w:eastAsia="Times New Roman" w:cs="Times New Roman"/>
                <w:sz w:val="20"/>
                <w:szCs w:val="20"/>
              </w:rPr>
            </w:pPr>
            <w:r w:rsidRPr="00E21AF4">
              <w:rPr>
                <w:rFonts w:eastAsia="Times New Roman" w:cs="Times New Roman"/>
                <w:sz w:val="20"/>
                <w:szCs w:val="20"/>
              </w:rPr>
              <w:t>0.23</w:t>
            </w:r>
            <w:r w:rsidRPr="00ED48A5">
              <w:rPr>
                <w:rFonts w:eastAsia="Times New Roman" w:cs="Times New Roman"/>
                <w:sz w:val="20"/>
                <w:szCs w:val="20"/>
              </w:rPr>
              <w:t>1</w:t>
            </w:r>
          </w:p>
        </w:tc>
      </w:tr>
    </w:tbl>
    <w:p w14:paraId="4DBEC13E" w14:textId="03EE0DD7" w:rsidR="00882BB2" w:rsidRDefault="00882BB2" w:rsidP="00882BB2">
      <w:pPr>
        <w:rPr>
          <w:rFonts w:cs="Times New Roman"/>
        </w:rPr>
      </w:pPr>
      <w:r>
        <w:t xml:space="preserve">Based on the proposed PWF values for </w:t>
      </w:r>
      <w:r>
        <w:rPr>
          <w:i/>
          <w:iCs/>
        </w:rPr>
        <w:t>j</w:t>
      </w:r>
      <w:r>
        <w:t xml:space="preserve"> type of publications, the expected score of all industrial maintenance EU funded projects shows an average </w:t>
      </w:r>
      <w:r w:rsidRPr="00E96C04">
        <w:rPr>
          <w:rFonts w:cs="Times New Roman"/>
          <w:i/>
          <w:iCs/>
        </w:rPr>
        <w:t>μ</w:t>
      </w:r>
      <w:r w:rsidRPr="009D296C">
        <w:rPr>
          <w:vertAlign w:val="subscript"/>
        </w:rPr>
        <w:t>PWF</w:t>
      </w:r>
      <w:r>
        <w:t xml:space="preserve"> = 1.024 and </w:t>
      </w:r>
      <w:r w:rsidRPr="00E96C04">
        <w:rPr>
          <w:rFonts w:cs="Times New Roman"/>
          <w:i/>
          <w:iCs/>
        </w:rPr>
        <w:t>σ</w:t>
      </w:r>
      <w:r>
        <w:rPr>
          <w:vertAlign w:val="subscript"/>
        </w:rPr>
        <w:t xml:space="preserve">PWF </w:t>
      </w:r>
      <w:r>
        <w:t>=</w:t>
      </w:r>
      <w:r w:rsidRPr="009D296C">
        <w:t>2</w:t>
      </w:r>
      <w:r>
        <w:t xml:space="preserve">.021. Average PWF </w:t>
      </w:r>
      <w:r>
        <w:lastRenderedPageBreak/>
        <w:t>shows that only 43/175 projects are higher than the average value. Hence, the correlation between Publication Weight Factor – PWF (</w:t>
      </w:r>
      <w:r>
        <w:fldChar w:fldCharType="begin"/>
      </w:r>
      <w:r>
        <w:instrText xml:space="preserve"> REF _Ref57729070 \h </w:instrText>
      </w:r>
      <w:r>
        <w:fldChar w:fldCharType="separate"/>
      </w:r>
      <w:r w:rsidR="00587AF0">
        <w:t xml:space="preserve">Figure </w:t>
      </w:r>
      <w:r w:rsidR="00587AF0">
        <w:rPr>
          <w:noProof/>
        </w:rPr>
        <w:t>14</w:t>
      </w:r>
      <w:r>
        <w:fldChar w:fldCharType="end"/>
      </w:r>
      <w:r>
        <w:t>) and overall funds of R&amp;I projects for assessment</w:t>
      </w:r>
      <w:r w:rsidR="00173EB5" w:rsidRPr="00173EB5">
        <w:t xml:space="preserve"> </w:t>
      </w:r>
      <w:r w:rsidR="00173EB5">
        <w:t>is additionally screened and charted</w:t>
      </w:r>
      <w:r>
        <w:t xml:space="preserve">. </w:t>
      </w:r>
      <w:r w:rsidR="00DF775B">
        <w:t xml:space="preserve">However, </w:t>
      </w:r>
      <w:r w:rsidR="00A30F54">
        <w:t>a stochastic correlation can be see</w:t>
      </w:r>
      <w:r w:rsidR="00DF775B">
        <w:t>n;</w:t>
      </w:r>
      <w:r>
        <w:t xml:space="preserve"> most successful projects’ PWF </w:t>
      </w:r>
      <w:r w:rsidR="00173EB5">
        <w:t>is</w:t>
      </w:r>
      <w:r>
        <w:t xml:space="preserve"> up to </w:t>
      </w:r>
      <w:r>
        <w:rPr>
          <w:rFonts w:cs="Times New Roman"/>
        </w:rPr>
        <w:t>€</w:t>
      </w:r>
      <w:r>
        <w:t xml:space="preserve">5M R&amp;I funds, though projects above </w:t>
      </w:r>
      <w:r>
        <w:rPr>
          <w:rFonts w:cs="Times New Roman"/>
        </w:rPr>
        <w:t>€</w:t>
      </w:r>
      <w:r>
        <w:t xml:space="preserve">5M show </w:t>
      </w:r>
      <w:r w:rsidR="00A30F54">
        <w:t xml:space="preserve">a </w:t>
      </w:r>
      <w:r>
        <w:t xml:space="preserve">drop </w:t>
      </w:r>
      <w:r w:rsidR="00173EB5">
        <w:t>in</w:t>
      </w:r>
      <w:r>
        <w:t xml:space="preserve"> PWF. Concerning the type of projects proposed individually, </w:t>
      </w:r>
      <w:r w:rsidR="00173EB5">
        <w:t xml:space="preserve">the </w:t>
      </w:r>
      <w:r>
        <w:t xml:space="preserve">average values are the following: for projects with patents is </w:t>
      </w:r>
      <w:r w:rsidRPr="00E96C04">
        <w:rPr>
          <w:rFonts w:cs="Times New Roman"/>
          <w:i/>
          <w:iCs/>
        </w:rPr>
        <w:t>μ</w:t>
      </w:r>
      <w:r w:rsidRPr="009D296C">
        <w:rPr>
          <w:vertAlign w:val="subscript"/>
        </w:rPr>
        <w:t>PWF</w:t>
      </w:r>
      <w:r>
        <w:rPr>
          <w:vertAlign w:val="subscript"/>
        </w:rPr>
        <w:t>-PAT</w:t>
      </w:r>
      <w:r>
        <w:t xml:space="preserve"> = 1.063; for projects with </w:t>
      </w:r>
      <w:r w:rsidR="00173EB5">
        <w:t xml:space="preserve">a </w:t>
      </w:r>
      <w:r>
        <w:t>doctoral thesis</w:t>
      </w:r>
      <w:r w:rsidR="00173EB5">
        <w:t>,</w:t>
      </w:r>
      <w:r>
        <w:t xml:space="preserve"> </w:t>
      </w:r>
      <w:r w:rsidRPr="00E96C04">
        <w:rPr>
          <w:rFonts w:cs="Times New Roman"/>
          <w:i/>
          <w:iCs/>
        </w:rPr>
        <w:t>μ</w:t>
      </w:r>
      <w:r w:rsidRPr="009D296C">
        <w:rPr>
          <w:vertAlign w:val="subscript"/>
        </w:rPr>
        <w:t>PWF</w:t>
      </w:r>
      <w:r>
        <w:rPr>
          <w:vertAlign w:val="subscript"/>
        </w:rPr>
        <w:t>-DT</w:t>
      </w:r>
      <w:r>
        <w:t xml:space="preserve"> = 2.756; and for projects only with publications</w:t>
      </w:r>
      <w:r w:rsidR="00173EB5">
        <w:t>,</w:t>
      </w:r>
      <w:r>
        <w:t xml:space="preserve"> </w:t>
      </w:r>
      <w:r w:rsidRPr="00E96C04">
        <w:rPr>
          <w:rFonts w:cs="Times New Roman"/>
          <w:i/>
          <w:iCs/>
        </w:rPr>
        <w:t>μ</w:t>
      </w:r>
      <w:r w:rsidRPr="009D296C">
        <w:rPr>
          <w:vertAlign w:val="subscript"/>
        </w:rPr>
        <w:t>PWF</w:t>
      </w:r>
      <w:r>
        <w:rPr>
          <w:vertAlign w:val="subscript"/>
        </w:rPr>
        <w:t>-PUB</w:t>
      </w:r>
      <w:r>
        <w:t xml:space="preserve"> = 0.578. </w:t>
      </w:r>
      <w:r>
        <w:rPr>
          <w:rFonts w:cs="Times New Roman"/>
        </w:rPr>
        <w:t xml:space="preserve">Finally, to make a more </w:t>
      </w:r>
      <w:r w:rsidR="00DF775B">
        <w:rPr>
          <w:rFonts w:cs="Times New Roman"/>
        </w:rPr>
        <w:t>straightforward</w:t>
      </w:r>
      <w:r>
        <w:rPr>
          <w:rFonts w:cs="Times New Roman"/>
        </w:rPr>
        <w:t xml:space="preserve"> approach </w:t>
      </w:r>
      <w:r w:rsidR="00DF775B">
        <w:rPr>
          <w:rFonts w:cs="Times New Roman"/>
        </w:rPr>
        <w:t xml:space="preserve">to presenting actual scientific achievements </w:t>
      </w:r>
      <w:r w:rsidR="00A30F54">
        <w:rPr>
          <w:rFonts w:cs="Times New Roman"/>
        </w:rPr>
        <w:t>than</w:t>
      </w:r>
      <w:r>
        <w:rPr>
          <w:rFonts w:cs="Times New Roman"/>
        </w:rPr>
        <w:t xml:space="preserve"> the total funds invested, the correlation between overall funds and PWF of the proposed project groups i</w:t>
      </w:r>
      <w:r w:rsidR="00173EB5">
        <w:rPr>
          <w:rFonts w:cs="Times New Roman"/>
        </w:rPr>
        <w:t>s plotted in</w:t>
      </w:r>
      <w:r>
        <w:rPr>
          <w:rFonts w:cs="Times New Roman"/>
        </w:rPr>
        <w:t xml:space="preserve"> </w:t>
      </w:r>
      <w:r>
        <w:rPr>
          <w:rFonts w:cs="Times New Roman"/>
        </w:rPr>
        <w:fldChar w:fldCharType="begin"/>
      </w:r>
      <w:r>
        <w:rPr>
          <w:rFonts w:cs="Times New Roman"/>
        </w:rPr>
        <w:instrText xml:space="preserve"> REF _Ref57729070 \h </w:instrText>
      </w:r>
      <w:r>
        <w:rPr>
          <w:rFonts w:cs="Times New Roman"/>
        </w:rPr>
      </w:r>
      <w:r>
        <w:rPr>
          <w:rFonts w:cs="Times New Roman"/>
        </w:rPr>
        <w:fldChar w:fldCharType="separate"/>
      </w:r>
      <w:r w:rsidR="00587AF0">
        <w:t xml:space="preserve">Figure </w:t>
      </w:r>
      <w:r w:rsidR="00587AF0">
        <w:rPr>
          <w:noProof/>
        </w:rPr>
        <w:t>14</w:t>
      </w:r>
      <w:r>
        <w:rPr>
          <w:rFonts w:cs="Times New Roman"/>
        </w:rPr>
        <w:fldChar w:fldCharType="end"/>
      </w:r>
      <w:r>
        <w:rPr>
          <w:rFonts w:cs="Times New Roman"/>
        </w:rPr>
        <w:t>. The evidence suggests that the most successful projects in terms of PWF and funds invested are within 2M-5M € of overall funds. It can be noticed that PWF does not increase after the investments of 5M €</w:t>
      </w:r>
      <w:r w:rsidR="00A30F54">
        <w:rPr>
          <w:rFonts w:cs="Times New Roman"/>
        </w:rPr>
        <w:t>. O</w:t>
      </w:r>
      <w:r>
        <w:rPr>
          <w:rFonts w:cs="Times New Roman"/>
        </w:rPr>
        <w:t>n the contrary</w:t>
      </w:r>
      <w:r w:rsidR="00A30F54">
        <w:rPr>
          <w:rFonts w:cs="Times New Roman"/>
        </w:rPr>
        <w:t>, projects without a thesis or patent seem</w:t>
      </w:r>
      <w:r>
        <w:rPr>
          <w:rFonts w:cs="Times New Roman"/>
        </w:rPr>
        <w:t xml:space="preserve"> to drop, while workshops and seminars within project activities tend to rise. It should be noticed that the use of PWF of research deliverables </w:t>
      </w:r>
      <w:r w:rsidR="00173EB5">
        <w:rPr>
          <w:rFonts w:cs="Times New Roman"/>
        </w:rPr>
        <w:t>is</w:t>
      </w:r>
      <w:r>
        <w:rPr>
          <w:rFonts w:cs="Times New Roman"/>
        </w:rPr>
        <w:t xml:space="preserve"> only used as a point of reference by comparing the amount of research contribution, and later on, to objectively compare the PWF with current</w:t>
      </w:r>
      <w:r w:rsidR="00E548D0">
        <w:rPr>
          <w:rFonts w:cs="Times New Roman"/>
        </w:rPr>
        <w:t>ly</w:t>
      </w:r>
      <w:r>
        <w:rPr>
          <w:rFonts w:cs="Times New Roman"/>
        </w:rPr>
        <w:t xml:space="preserve"> active research, for instance, sustainable manufacturing projects.</w:t>
      </w:r>
    </w:p>
    <w:tbl>
      <w:tblPr>
        <w:tblW w:w="0" w:type="auto"/>
        <w:tblLook w:val="04A0" w:firstRow="1" w:lastRow="0" w:firstColumn="1" w:lastColumn="0" w:noHBand="0" w:noVBand="1"/>
      </w:tblPr>
      <w:tblGrid>
        <w:gridCol w:w="4351"/>
        <w:gridCol w:w="4676"/>
      </w:tblGrid>
      <w:tr w:rsidR="00882BB2" w14:paraId="41EC378C" w14:textId="77777777" w:rsidTr="00882BB2">
        <w:tc>
          <w:tcPr>
            <w:tcW w:w="4350" w:type="dxa"/>
          </w:tcPr>
          <w:p w14:paraId="667F8A6E" w14:textId="77777777" w:rsidR="00882BB2" w:rsidRDefault="00882BB2" w:rsidP="00882BB2">
            <w:pPr>
              <w:keepNext/>
              <w:spacing w:before="60" w:after="60"/>
              <w:jc w:val="center"/>
            </w:pPr>
            <w:r>
              <w:rPr>
                <w:noProof/>
              </w:rPr>
              <w:drawing>
                <wp:inline distT="0" distB="0" distL="0" distR="0" wp14:anchorId="7BE3AEF5" wp14:editId="458D7B60">
                  <wp:extent cx="2668137" cy="2142490"/>
                  <wp:effectExtent l="0" t="0" r="0" b="0"/>
                  <wp:docPr id="32" name="Chart 32">
                    <a:extLst xmlns:a="http://schemas.openxmlformats.org/drawingml/2006/main">
                      <a:ext uri="{FF2B5EF4-FFF2-40B4-BE49-F238E27FC236}">
                        <a16:creationId xmlns:a16="http://schemas.microsoft.com/office/drawing/2014/main" id="{CEBAA1EF-A5E0-4696-9F12-A5AA845B16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5EE9A1E" w14:textId="77777777" w:rsidR="00882BB2" w:rsidRDefault="00882BB2" w:rsidP="002F4463">
            <w:pPr>
              <w:keepNext/>
              <w:spacing w:before="0" w:after="0"/>
              <w:jc w:val="center"/>
            </w:pPr>
            <w:r>
              <w:t>(a)</w:t>
            </w:r>
          </w:p>
        </w:tc>
        <w:tc>
          <w:tcPr>
            <w:tcW w:w="4677" w:type="dxa"/>
          </w:tcPr>
          <w:p w14:paraId="6D9B49E9" w14:textId="77777777" w:rsidR="00882BB2" w:rsidRDefault="00882BB2" w:rsidP="00882BB2">
            <w:pPr>
              <w:keepNext/>
              <w:spacing w:before="60" w:after="60"/>
              <w:jc w:val="center"/>
            </w:pPr>
            <w:r>
              <w:rPr>
                <w:noProof/>
              </w:rPr>
              <w:drawing>
                <wp:inline distT="0" distB="0" distL="0" distR="0" wp14:anchorId="0979FF2E" wp14:editId="5FC2E318">
                  <wp:extent cx="2877820" cy="21399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77820" cy="2139950"/>
                          </a:xfrm>
                          <a:prstGeom prst="rect">
                            <a:avLst/>
                          </a:prstGeom>
                          <a:noFill/>
                        </pic:spPr>
                      </pic:pic>
                    </a:graphicData>
                  </a:graphic>
                </wp:inline>
              </w:drawing>
            </w:r>
          </w:p>
          <w:p w14:paraId="796F67C0" w14:textId="77777777" w:rsidR="00882BB2" w:rsidRDefault="00882BB2" w:rsidP="002F4463">
            <w:pPr>
              <w:keepNext/>
              <w:spacing w:before="0" w:after="0"/>
              <w:jc w:val="center"/>
            </w:pPr>
            <w:r>
              <w:t>(b)</w:t>
            </w:r>
          </w:p>
        </w:tc>
      </w:tr>
      <w:tr w:rsidR="00882BB2" w14:paraId="7C984E07" w14:textId="77777777" w:rsidTr="00882BB2">
        <w:tc>
          <w:tcPr>
            <w:tcW w:w="4350" w:type="dxa"/>
          </w:tcPr>
          <w:p w14:paraId="1E1BC702" w14:textId="77777777" w:rsidR="00882BB2" w:rsidRDefault="00882BB2" w:rsidP="00882BB2">
            <w:pPr>
              <w:keepNext/>
              <w:spacing w:before="60" w:after="60"/>
              <w:jc w:val="center"/>
            </w:pPr>
            <w:r>
              <w:rPr>
                <w:noProof/>
              </w:rPr>
              <w:drawing>
                <wp:inline distT="0" distB="0" distL="0" distR="0" wp14:anchorId="1F0A7860" wp14:editId="528F0C06">
                  <wp:extent cx="2609215" cy="2048510"/>
                  <wp:effectExtent l="0" t="0" r="635"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09215" cy="2048510"/>
                          </a:xfrm>
                          <a:prstGeom prst="rect">
                            <a:avLst/>
                          </a:prstGeom>
                          <a:noFill/>
                        </pic:spPr>
                      </pic:pic>
                    </a:graphicData>
                  </a:graphic>
                </wp:inline>
              </w:drawing>
            </w:r>
          </w:p>
          <w:p w14:paraId="2AAE66B4" w14:textId="77777777" w:rsidR="00882BB2" w:rsidRDefault="00882BB2" w:rsidP="002F4463">
            <w:pPr>
              <w:keepNext/>
              <w:spacing w:before="0" w:after="0"/>
              <w:jc w:val="center"/>
            </w:pPr>
            <w:r>
              <w:t>(c)</w:t>
            </w:r>
          </w:p>
        </w:tc>
        <w:tc>
          <w:tcPr>
            <w:tcW w:w="4677" w:type="dxa"/>
          </w:tcPr>
          <w:p w14:paraId="7FA6CC19" w14:textId="77777777" w:rsidR="00882BB2" w:rsidRDefault="00882BB2" w:rsidP="00882BB2">
            <w:pPr>
              <w:keepNext/>
              <w:spacing w:before="60" w:after="60"/>
              <w:jc w:val="center"/>
            </w:pPr>
            <w:r>
              <w:rPr>
                <w:noProof/>
              </w:rPr>
              <w:drawing>
                <wp:inline distT="0" distB="0" distL="0" distR="0" wp14:anchorId="1E893BE4" wp14:editId="54CD2921">
                  <wp:extent cx="2847340" cy="2048510"/>
                  <wp:effectExtent l="0" t="0" r="0"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47340" cy="2048510"/>
                          </a:xfrm>
                          <a:prstGeom prst="rect">
                            <a:avLst/>
                          </a:prstGeom>
                          <a:noFill/>
                        </pic:spPr>
                      </pic:pic>
                    </a:graphicData>
                  </a:graphic>
                </wp:inline>
              </w:drawing>
            </w:r>
          </w:p>
          <w:p w14:paraId="3CF0CA93" w14:textId="77777777" w:rsidR="00882BB2" w:rsidRDefault="00882BB2" w:rsidP="002F4463">
            <w:pPr>
              <w:keepNext/>
              <w:spacing w:before="0" w:after="0"/>
              <w:jc w:val="center"/>
            </w:pPr>
            <w:r>
              <w:t>(d)</w:t>
            </w:r>
          </w:p>
        </w:tc>
      </w:tr>
    </w:tbl>
    <w:p w14:paraId="79F66092" w14:textId="1658CC8F" w:rsidR="00882BB2" w:rsidRDefault="00882BB2" w:rsidP="003B753F">
      <w:pPr>
        <w:pStyle w:val="Caption"/>
        <w:spacing w:before="60"/>
      </w:pPr>
      <w:bookmarkStart w:id="226" w:name="_Ref57729070"/>
      <w:bookmarkStart w:id="227" w:name="_Toc101274536"/>
      <w:r>
        <w:t xml:space="preserve">Figure </w:t>
      </w:r>
      <w:fldSimple w:instr=" SEQ Figure \* ARABIC ">
        <w:r w:rsidR="00587AF0">
          <w:rPr>
            <w:noProof/>
          </w:rPr>
          <w:t>14</w:t>
        </w:r>
      </w:fldSimple>
      <w:bookmarkEnd w:id="226"/>
      <w:r>
        <w:t>. Correlation between PWF and overall funds: (a) projects with doctoral thesis; (b) projects with patents; (c) projects without thesis and patents; (d) all industrial maintenance-related projects</w:t>
      </w:r>
      <w:bookmarkEnd w:id="227"/>
    </w:p>
    <w:p w14:paraId="5BBA32C9" w14:textId="553B0FDF" w:rsidR="00882BB2" w:rsidRDefault="00882BB2" w:rsidP="00882BB2">
      <w:r>
        <w:t>Finally, we turn towards the geographical project assessment to illustrate the uneven scientific contribution of maintenance-related EU projects. Using available meta-data, we present the following evidence. Institutions that have participated in EU maintenance projects (</w:t>
      </w:r>
      <w:r>
        <w:fldChar w:fldCharType="begin"/>
      </w:r>
      <w:r>
        <w:instrText xml:space="preserve"> REF _Ref26543353 \h </w:instrText>
      </w:r>
      <w:r>
        <w:fldChar w:fldCharType="separate"/>
      </w:r>
      <w:r w:rsidR="00587AF0">
        <w:t xml:space="preserve">Figure </w:t>
      </w:r>
      <w:r w:rsidR="00587AF0">
        <w:rPr>
          <w:noProof/>
        </w:rPr>
        <w:t>15</w:t>
      </w:r>
      <w:r>
        <w:fldChar w:fldCharType="end"/>
      </w:r>
      <w:r>
        <w:t>) [</w:t>
      </w:r>
      <w:r w:rsidRPr="00D77347">
        <w:rPr>
          <w:i/>
        </w:rPr>
        <w:t>as coordinator%</w:t>
      </w:r>
      <w:r>
        <w:t xml:space="preserve">; </w:t>
      </w:r>
      <w:r w:rsidRPr="00D77347">
        <w:rPr>
          <w:i/>
        </w:rPr>
        <w:t>as partner%</w:t>
      </w:r>
      <w:r>
        <w:t xml:space="preserve">] are from United Kingdom [18,29%; 14%], Germany [13,71%; 13%], </w:t>
      </w:r>
      <w:r>
        <w:lastRenderedPageBreak/>
        <w:t>France [9,71%; 13%], and Spain [16%; 9%]. The rest of the countries showed the following: Italy [8,57%; 8%], Greece &amp; Belgium [4,57%; 6%], Sweden [2,29%; 4%], Netherlands [5,71%;3%], while below 3%, are institutions from other countries, as coordinator and partner, respectively.</w:t>
      </w:r>
    </w:p>
    <w:p w14:paraId="2F46CB83" w14:textId="1966A471" w:rsidR="00882BB2" w:rsidRDefault="001A5C28" w:rsidP="00F8075A">
      <w:pPr>
        <w:keepNext/>
        <w:spacing w:before="60" w:after="60"/>
        <w:jc w:val="center"/>
      </w:pPr>
      <w:r>
        <w:rPr>
          <w:noProof/>
        </w:rPr>
        <w:drawing>
          <wp:inline distT="0" distB="0" distL="0" distR="0" wp14:anchorId="1C687E4D" wp14:editId="5DAFC6DB">
            <wp:extent cx="5794757" cy="2170559"/>
            <wp:effectExtent l="0" t="0" r="0" b="127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06470" cy="2174946"/>
                    </a:xfrm>
                    <a:prstGeom prst="rect">
                      <a:avLst/>
                    </a:prstGeom>
                    <a:noFill/>
                  </pic:spPr>
                </pic:pic>
              </a:graphicData>
            </a:graphic>
          </wp:inline>
        </w:drawing>
      </w:r>
    </w:p>
    <w:p w14:paraId="49FA254C" w14:textId="35F01A7E" w:rsidR="00882BB2" w:rsidRDefault="00882BB2" w:rsidP="00882BB2">
      <w:pPr>
        <w:pStyle w:val="Caption"/>
        <w:spacing w:before="60" w:after="60"/>
      </w:pPr>
      <w:bookmarkStart w:id="228" w:name="_Ref26543353"/>
      <w:bookmarkStart w:id="229" w:name="_Toc101274537"/>
      <w:r>
        <w:t xml:space="preserve">Figure </w:t>
      </w:r>
      <w:fldSimple w:instr=" SEQ Figure \* ARABIC ">
        <w:r w:rsidR="00587AF0">
          <w:rPr>
            <w:noProof/>
          </w:rPr>
          <w:t>15</w:t>
        </w:r>
      </w:fldSimple>
      <w:bookmarkEnd w:id="228"/>
      <w:r>
        <w:t xml:space="preserve">. Institutions from countries </w:t>
      </w:r>
      <w:r w:rsidR="00A30F54">
        <w:t xml:space="preserve">that </w:t>
      </w:r>
      <w:r>
        <w:t>participated as partners and as coordinators</w:t>
      </w:r>
      <w:bookmarkEnd w:id="229"/>
    </w:p>
    <w:p w14:paraId="43A7491A" w14:textId="55DC2449" w:rsidR="00A765D4" w:rsidRDefault="005F6974" w:rsidP="00882BB2">
      <w:r>
        <w:t xml:space="preserve">Investigating the </w:t>
      </w:r>
      <w:r w:rsidR="00663A11">
        <w:t>research interest</w:t>
      </w:r>
      <w:r>
        <w:t xml:space="preserve"> </w:t>
      </w:r>
      <w:r w:rsidR="00663A11">
        <w:t>of EU countries by associating the projects’</w:t>
      </w:r>
      <w:r>
        <w:t xml:space="preserve"> particular industrial domain</w:t>
      </w:r>
      <w:r w:rsidR="00663A11">
        <w:t xml:space="preserve"> and countries involved (</w:t>
      </w:r>
      <w:r>
        <w:fldChar w:fldCharType="begin"/>
      </w:r>
      <w:r>
        <w:instrText xml:space="preserve"> REF _Ref92282285 \h </w:instrText>
      </w:r>
      <w:r>
        <w:fldChar w:fldCharType="separate"/>
      </w:r>
      <w:r w:rsidR="00587AF0">
        <w:t xml:space="preserve">Figure </w:t>
      </w:r>
      <w:r w:rsidR="00587AF0">
        <w:rPr>
          <w:noProof/>
        </w:rPr>
        <w:t>16</w:t>
      </w:r>
      <w:r>
        <w:fldChar w:fldCharType="end"/>
      </w:r>
      <w:r w:rsidR="00663A11">
        <w:t>)</w:t>
      </w:r>
      <w:r w:rsidR="00173EB5">
        <w:t>,</w:t>
      </w:r>
      <w:r w:rsidR="00663A11">
        <w:t xml:space="preserve"> it can be seen that western EU countries mostly dedicate their industrial maintenance research </w:t>
      </w:r>
      <w:r w:rsidR="00173EB5">
        <w:t>to</w:t>
      </w:r>
      <w:r w:rsidR="00663A11">
        <w:t xml:space="preserve"> aerospace, manufacturing</w:t>
      </w:r>
      <w:r w:rsidR="00C3186A">
        <w:t>, energy utilities</w:t>
      </w:r>
      <w:r w:rsidR="00663A11">
        <w:t xml:space="preserve"> and railway sector. </w:t>
      </w:r>
      <w:r w:rsidR="00173EB5">
        <w:t>Interestingly,</w:t>
      </w:r>
      <w:r w:rsidR="00663A11">
        <w:t xml:space="preserve"> all countries</w:t>
      </w:r>
      <w:r w:rsidR="00222A71">
        <w:t>'</w:t>
      </w:r>
      <w:r w:rsidR="00663A11">
        <w:t xml:space="preserve"> research involves research within </w:t>
      </w:r>
      <w:r w:rsidR="00222A71">
        <w:t xml:space="preserve">the </w:t>
      </w:r>
      <w:r w:rsidR="00663A11">
        <w:t>manufacturing sector</w:t>
      </w:r>
      <w:r w:rsidR="00173EB5">
        <w:t>,</w:t>
      </w:r>
      <w:r w:rsidR="00663A11">
        <w:t xml:space="preserve"> where</w:t>
      </w:r>
      <w:r w:rsidR="00222A71">
        <w:t>as</w:t>
      </w:r>
      <w:r w:rsidR="00663A11">
        <w:t xml:space="preserve"> Germany and Spain have the most projects associated with the sector.</w:t>
      </w:r>
    </w:p>
    <w:p w14:paraId="7BD3202C" w14:textId="2C76307D" w:rsidR="00750AB4" w:rsidRDefault="001A5C28" w:rsidP="00F8075A">
      <w:pPr>
        <w:keepNext/>
        <w:jc w:val="center"/>
      </w:pPr>
      <w:r>
        <w:rPr>
          <w:noProof/>
        </w:rPr>
        <w:drawing>
          <wp:inline distT="0" distB="0" distL="0" distR="0" wp14:anchorId="0B6D57FD" wp14:editId="3B6CA0AB">
            <wp:extent cx="5602615" cy="215392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12562" cy="2157744"/>
                    </a:xfrm>
                    <a:prstGeom prst="rect">
                      <a:avLst/>
                    </a:prstGeom>
                    <a:noFill/>
                  </pic:spPr>
                </pic:pic>
              </a:graphicData>
            </a:graphic>
          </wp:inline>
        </w:drawing>
      </w:r>
    </w:p>
    <w:p w14:paraId="6D863EDA" w14:textId="364E027E" w:rsidR="00750AB4" w:rsidRDefault="00750AB4" w:rsidP="00750AB4">
      <w:pPr>
        <w:pStyle w:val="Caption"/>
      </w:pPr>
      <w:bookmarkStart w:id="230" w:name="_Ref92282285"/>
      <w:bookmarkStart w:id="231" w:name="_Toc101274538"/>
      <w:r>
        <w:t xml:space="preserve">Figure </w:t>
      </w:r>
      <w:fldSimple w:instr=" SEQ Figure \* ARABIC ">
        <w:r w:rsidR="00587AF0">
          <w:rPr>
            <w:noProof/>
          </w:rPr>
          <w:t>16</w:t>
        </w:r>
      </w:fldSimple>
      <w:bookmarkEnd w:id="230"/>
      <w:r>
        <w:t>. Representation of cou</w:t>
      </w:r>
      <w:r w:rsidR="00222A71">
        <w:t>n</w:t>
      </w:r>
      <w:r>
        <w:t xml:space="preserve">tries </w:t>
      </w:r>
      <w:r w:rsidR="00222A71">
        <w:t xml:space="preserve">that </w:t>
      </w:r>
      <w:r>
        <w:t xml:space="preserve">participated in </w:t>
      </w:r>
      <w:r w:rsidR="00222A71">
        <w:t xml:space="preserve">the </w:t>
      </w:r>
      <w:r>
        <w:t>project (</w:t>
      </w:r>
      <w:r w:rsidR="009A3332">
        <w:t>x-axis</w:t>
      </w:r>
      <w:r>
        <w:t xml:space="preserve">) within </w:t>
      </w:r>
      <w:r w:rsidR="00222A71">
        <w:t xml:space="preserve">the </w:t>
      </w:r>
      <w:r>
        <w:t>industrial domain of research (y left axis)</w:t>
      </w:r>
      <w:bookmarkEnd w:id="231"/>
    </w:p>
    <w:p w14:paraId="1C75C41B" w14:textId="5900D49B" w:rsidR="00882BB2" w:rsidRPr="00BB57D0" w:rsidRDefault="00882BB2" w:rsidP="00882BB2">
      <w:pPr>
        <w:rPr>
          <w:lang w:val="en-GB"/>
        </w:rPr>
      </w:pPr>
      <w:r>
        <w:fldChar w:fldCharType="begin"/>
      </w:r>
      <w:r>
        <w:instrText xml:space="preserve"> REF _Ref26980059 \h </w:instrText>
      </w:r>
      <w:r>
        <w:fldChar w:fldCharType="separate"/>
      </w:r>
      <w:r w:rsidR="00587AF0">
        <w:t xml:space="preserve">Figure </w:t>
      </w:r>
      <w:r w:rsidR="00587AF0">
        <w:rPr>
          <w:noProof/>
        </w:rPr>
        <w:t>17</w:t>
      </w:r>
      <w:r>
        <w:fldChar w:fldCharType="end"/>
      </w:r>
      <w:r>
        <w:t xml:space="preserve"> illustrates that industrial maintenance research in the last 20 years </w:t>
      </w:r>
      <w:r w:rsidR="0076099E">
        <w:t>has been</w:t>
      </w:r>
      <w:r>
        <w:t xml:space="preserve"> mostly conducted in Western European countries, highlighting the correlation between research technological achievements and </w:t>
      </w:r>
      <w:r w:rsidR="00A30F54">
        <w:t xml:space="preserve">the </w:t>
      </w:r>
      <w:r>
        <w:t xml:space="preserve">“Iron Curtain” dichotomy. Taking into account that </w:t>
      </w:r>
      <w:r w:rsidR="0076099E">
        <w:t xml:space="preserve">the </w:t>
      </w:r>
      <w:r>
        <w:t>quality of industrial maintenance (e.g. analytical tools, knowledge, instruments) is highly dependent on the industrial technology who</w:t>
      </w:r>
      <w:r w:rsidR="0076099E">
        <w:t>se</w:t>
      </w:r>
      <w:r>
        <w:t xml:space="preserve"> activities are conducted by knowledge of machine failure mechanisms, however, evidence shows a lack of proper scientific and engineering research support and capacity on the other side of the Iron Curtain.</w:t>
      </w:r>
    </w:p>
    <w:p w14:paraId="6937722E" w14:textId="77777777" w:rsidR="005D2041" w:rsidRPr="003D45AD" w:rsidRDefault="005D2041" w:rsidP="005D2041">
      <w:pPr>
        <w:jc w:val="center"/>
      </w:pPr>
    </w:p>
    <w:p w14:paraId="23ED1287" w14:textId="77777777" w:rsidR="00882BB2" w:rsidRDefault="00882BB2" w:rsidP="00882BB2">
      <w:pPr>
        <w:keepNext/>
        <w:spacing w:before="60" w:after="60"/>
        <w:jc w:val="center"/>
      </w:pPr>
      <w:r>
        <w:rPr>
          <w:noProof/>
        </w:rPr>
        <w:lastRenderedPageBreak/>
        <w:drawing>
          <wp:inline distT="0" distB="0" distL="0" distR="0" wp14:anchorId="084D5924" wp14:editId="515C832E">
            <wp:extent cx="5610759" cy="3905217"/>
            <wp:effectExtent l="0" t="0" r="0" b="635"/>
            <wp:docPr id="30" name="Picture 30"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urope Research Projects.png"/>
                    <pic:cNvPicPr/>
                  </pic:nvPicPr>
                  <pic:blipFill>
                    <a:blip r:embed="rId36" cstate="print">
                      <a:extLst>
                        <a:ext uri="{BEBA8EAE-BF5A-486C-A8C5-ECC9F3942E4B}">
                          <a14:imgProps xmlns:a14="http://schemas.microsoft.com/office/drawing/2010/main">
                            <a14:imgLayer r:embed="rId3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610759" cy="3905217"/>
                    </a:xfrm>
                    <a:prstGeom prst="rect">
                      <a:avLst/>
                    </a:prstGeom>
                  </pic:spPr>
                </pic:pic>
              </a:graphicData>
            </a:graphic>
          </wp:inline>
        </w:drawing>
      </w:r>
    </w:p>
    <w:p w14:paraId="58EC9CEF" w14:textId="322CD2FE" w:rsidR="00882BB2" w:rsidRDefault="00882BB2" w:rsidP="003C65CC">
      <w:pPr>
        <w:pStyle w:val="Caption"/>
      </w:pPr>
      <w:bookmarkStart w:id="232" w:name="_Ref26980059"/>
      <w:bookmarkStart w:id="233" w:name="_Ref26980050"/>
      <w:bookmarkStart w:id="234" w:name="_Toc101274539"/>
      <w:r>
        <w:t xml:space="preserve">Figure </w:t>
      </w:r>
      <w:fldSimple w:instr=" SEQ Figure \* ARABIC ">
        <w:r w:rsidR="00587AF0">
          <w:rPr>
            <w:noProof/>
          </w:rPr>
          <w:t>17</w:t>
        </w:r>
      </w:fldSimple>
      <w:bookmarkEnd w:id="232"/>
      <w:r>
        <w:t>. Maintenance-related research projects and institutions coordinators</w:t>
      </w:r>
      <w:bookmarkEnd w:id="233"/>
      <w:bookmarkEnd w:id="234"/>
    </w:p>
    <w:p w14:paraId="22F7D9C7" w14:textId="0141172C" w:rsidR="0016260D" w:rsidRDefault="0016260D" w:rsidP="003233D2">
      <w:pPr>
        <w:pStyle w:val="Heading2"/>
      </w:pPr>
      <w:bookmarkStart w:id="235" w:name="_Toc62467398"/>
      <w:bookmarkStart w:id="236" w:name="_Toc91575402"/>
      <w:bookmarkStart w:id="237" w:name="_Toc93759882"/>
      <w:bookmarkStart w:id="238" w:name="_Toc93759986"/>
      <w:bookmarkStart w:id="239" w:name="_Toc101274348"/>
      <w:r>
        <w:t xml:space="preserve">Remarks and </w:t>
      </w:r>
      <w:r w:rsidR="00697E06">
        <w:t>i</w:t>
      </w:r>
      <w:r>
        <w:t>mplications</w:t>
      </w:r>
      <w:bookmarkEnd w:id="235"/>
      <w:bookmarkEnd w:id="236"/>
      <w:bookmarkEnd w:id="237"/>
      <w:bookmarkEnd w:id="238"/>
      <w:bookmarkEnd w:id="239"/>
    </w:p>
    <w:p w14:paraId="5BDA911F" w14:textId="77777777" w:rsidR="0040567A" w:rsidRDefault="0016260D" w:rsidP="0016260D">
      <w:r w:rsidRPr="0016260D">
        <w:t xml:space="preserve">Evidence from R&amp;I projects provides an exciting insight into the state of practical and academic scientific research of industrial maintenance in the EU. Still, </w:t>
      </w:r>
      <w:r w:rsidR="001A3F71">
        <w:t xml:space="preserve">it </w:t>
      </w:r>
      <w:r w:rsidRPr="0016260D">
        <w:t>implicitly show</w:t>
      </w:r>
      <w:r w:rsidR="00222A71">
        <w:t>s</w:t>
      </w:r>
      <w:r w:rsidRPr="0016260D">
        <w:t xml:space="preserve"> a lack of achievement and inconsistency with ongoing maintenance research propositions due to various reasons.</w:t>
      </w:r>
    </w:p>
    <w:p w14:paraId="341666B1" w14:textId="77BF3814" w:rsidR="0040567A" w:rsidRDefault="005B46BD" w:rsidP="005B46BD">
      <w:pPr>
        <w:pStyle w:val="ListParagraph"/>
        <w:numPr>
          <w:ilvl w:val="0"/>
          <w:numId w:val="31"/>
        </w:numPr>
      </w:pPr>
      <w:r>
        <w:t>T</w:t>
      </w:r>
      <w:r w:rsidR="0016260D" w:rsidRPr="0016260D">
        <w:t xml:space="preserve">echnological progress is mostly present in western countries, while scientists in eastern countries are </w:t>
      </w:r>
      <w:r w:rsidR="001A3F71">
        <w:t>more involved in research</w:t>
      </w:r>
      <w:r w:rsidR="0016260D" w:rsidRPr="0016260D">
        <w:t xml:space="preserve"> as research critics. Hence, to flatten the technological landscape by reducing the apparent differences between socio-technological entropies, future R&amp;I funds for maintenance projects must, on one side, focus on gentrification and technology transfer activities in non-associated countries and </w:t>
      </w:r>
      <w:r w:rsidR="001A3F71">
        <w:t xml:space="preserve">on </w:t>
      </w:r>
      <w:r w:rsidR="0016260D" w:rsidRPr="0016260D">
        <w:t>the other on improving PWF dedicated to energy-oriented maintenance research.</w:t>
      </w:r>
    </w:p>
    <w:p w14:paraId="299D1275" w14:textId="6019757E" w:rsidR="005B46BD" w:rsidRDefault="005B46BD" w:rsidP="005B46BD">
      <w:pPr>
        <w:pStyle w:val="ListParagraph"/>
        <w:numPr>
          <w:ilvl w:val="0"/>
          <w:numId w:val="31"/>
        </w:numPr>
      </w:pPr>
      <w:r>
        <w:t>W</w:t>
      </w:r>
      <w:r w:rsidR="0016260D" w:rsidRPr="0016260D">
        <w:t xml:space="preserve">ith the emergence of Green Deal targets and the probability of getting outside the continental level, maintenance academicians and industrialists must understand the </w:t>
      </w:r>
      <w:r w:rsidR="00DF775B">
        <w:t>sustainability aspect's importance</w:t>
      </w:r>
      <w:r w:rsidR="0016260D" w:rsidRPr="0016260D">
        <w:t xml:space="preserve"> as a vital</w:t>
      </w:r>
      <w:r w:rsidR="00D9559B">
        <w:t xml:space="preserve"> MPI</w:t>
      </w:r>
      <w:r w:rsidR="0016260D" w:rsidRPr="0016260D">
        <w:t>. Although it may sound like a simple task for maintenance, the literature shows that it will become a complicated ordeal due to the lack of maintenance scientist</w:t>
      </w:r>
      <w:r w:rsidR="00222A71">
        <w:t>s</w:t>
      </w:r>
      <w:r w:rsidR="0016260D" w:rsidRPr="0016260D">
        <w:t xml:space="preserve"> in the data science domain.</w:t>
      </w:r>
    </w:p>
    <w:p w14:paraId="732A6A2D" w14:textId="05B265F1" w:rsidR="00DD1BA1" w:rsidRDefault="00DD1BA1" w:rsidP="005B46BD">
      <w:pPr>
        <w:pStyle w:val="ListParagraph"/>
        <w:numPr>
          <w:ilvl w:val="0"/>
          <w:numId w:val="31"/>
        </w:numPr>
      </w:pPr>
      <w:r>
        <w:t>Present</w:t>
      </w:r>
      <w:r w:rsidR="0016260D" w:rsidRPr="0016260D">
        <w:t xml:space="preserve"> maintenance indicators </w:t>
      </w:r>
      <w:r w:rsidR="00222A71">
        <w:t xml:space="preserve">such </w:t>
      </w:r>
      <w:r w:rsidR="0016260D" w:rsidRPr="0016260D">
        <w:t>as cost and availability are</w:t>
      </w:r>
      <w:r>
        <w:t xml:space="preserve"> that the scientific research direction is still relying on reducing costs; therefore, no projects were found to deal</w:t>
      </w:r>
      <w:r w:rsidR="00D9559B">
        <w:t xml:space="preserve"> with the sustainability issues in </w:t>
      </w:r>
      <w:r w:rsidR="003E6956">
        <w:t xml:space="preserve">the </w:t>
      </w:r>
      <w:r w:rsidR="00D9559B">
        <w:t xml:space="preserve">maintenance research domain, thus emphasising that this kind of research proposal </w:t>
      </w:r>
      <w:r w:rsidR="001A3F71">
        <w:t>is</w:t>
      </w:r>
      <w:r w:rsidR="00D9559B">
        <w:t xml:space="preserve"> yet to be expected.</w:t>
      </w:r>
    </w:p>
    <w:p w14:paraId="17326EAB" w14:textId="156702AD" w:rsidR="00F55DCD" w:rsidRPr="00D9559B" w:rsidRDefault="00DD1BA1" w:rsidP="005B46BD">
      <w:pPr>
        <w:pStyle w:val="ListParagraph"/>
        <w:numPr>
          <w:ilvl w:val="0"/>
          <w:numId w:val="31"/>
        </w:numPr>
      </w:pPr>
      <w:r>
        <w:t>The overall conclusion of the research data shows the drop in scientific deliverables, such as primary research studies (e.g., doctoral thesis and original studies), which is the reason why imposing a new paradigm shift could help improve and provide a rationale for improving original scientific production of papers in industrial maintenance domain.</w:t>
      </w:r>
      <w:r w:rsidR="00F55DCD">
        <w:br w:type="page"/>
      </w:r>
    </w:p>
    <w:p w14:paraId="72803FB1" w14:textId="4F2A1C24" w:rsidR="00912DAA" w:rsidRDefault="00F55DCD" w:rsidP="00AF34E8">
      <w:pPr>
        <w:pStyle w:val="Heading1"/>
        <w:rPr>
          <w:lang w:val="en-GB"/>
        </w:rPr>
      </w:pPr>
      <w:bookmarkStart w:id="240" w:name="_Toc62467399"/>
      <w:bookmarkStart w:id="241" w:name="_Toc91575403"/>
      <w:bookmarkStart w:id="242" w:name="_Toc93759883"/>
      <w:bookmarkStart w:id="243" w:name="_Toc93759987"/>
      <w:bookmarkStart w:id="244" w:name="_Toc101274349"/>
      <w:r>
        <w:lastRenderedPageBreak/>
        <w:t>State-of-the-literature</w:t>
      </w:r>
      <w:bookmarkEnd w:id="240"/>
      <w:bookmarkEnd w:id="241"/>
      <w:r w:rsidR="00A94CCF">
        <w:t xml:space="preserve"> </w:t>
      </w:r>
      <w:r w:rsidR="00697E06">
        <w:t>r</w:t>
      </w:r>
      <w:r w:rsidR="00A94CCF">
        <w:t xml:space="preserve">esearch </w:t>
      </w:r>
      <w:r w:rsidR="00697E06">
        <w:t>r</w:t>
      </w:r>
      <w:r w:rsidR="00A94CCF">
        <w:t>esults</w:t>
      </w:r>
      <w:bookmarkEnd w:id="242"/>
      <w:bookmarkEnd w:id="243"/>
      <w:bookmarkEnd w:id="244"/>
    </w:p>
    <w:p w14:paraId="39EDCDD6" w14:textId="598353B3" w:rsidR="00912DAA" w:rsidRDefault="00912DAA" w:rsidP="00912DAA">
      <w:pPr>
        <w:rPr>
          <w:lang w:val="en-GB"/>
        </w:rPr>
      </w:pPr>
      <w:bookmarkStart w:id="245" w:name="_Hlk61867203"/>
      <w:r>
        <w:rPr>
          <w:lang w:val="en-GB"/>
        </w:rPr>
        <w:t>Until World War II</w:t>
      </w:r>
      <w:r w:rsidR="00A30F54">
        <w:rPr>
          <w:lang w:val="en-GB"/>
        </w:rPr>
        <w:t>,</w:t>
      </w:r>
      <w:r>
        <w:rPr>
          <w:lang w:val="en-GB"/>
        </w:rPr>
        <w:t xml:space="preserve"> </w:t>
      </w:r>
      <w:r w:rsidR="00A30F54">
        <w:rPr>
          <w:lang w:val="en-GB"/>
        </w:rPr>
        <w:t xml:space="preserve">the </w:t>
      </w:r>
      <w:r>
        <w:rPr>
          <w:lang w:val="en-GB"/>
        </w:rPr>
        <w:t xml:space="preserve">industry was highly mechanised, machines were mostly robust, and the consequences of failure, at the time, were not considered a severe threat </w:t>
      </w:r>
      <w:r w:rsidR="00436444">
        <w:rPr>
          <w:lang w:val="en-GB"/>
        </w:rPr>
        <w:t>to</w:t>
      </w:r>
      <w:r>
        <w:rPr>
          <w:lang w:val="en-GB"/>
        </w:rPr>
        <w:t xml:space="preserve"> gaining profit </w:t>
      </w:r>
      <w:r>
        <w:rPr>
          <w:lang w:val="en-GB"/>
        </w:rPr>
        <w:fldChar w:fldCharType="begin" w:fldLock="1"/>
      </w:r>
      <w:r w:rsidR="00273FB8">
        <w:rPr>
          <w:lang w:val="en-GB"/>
        </w:rPr>
        <w:instrText>ADDIN CSL_CITATION {"citationItems":[{"id":"ITEM-1","itemData":{"DOI":"10.1016/j.ijpe.2004.06.057","ISSN":"09255273","abstract":"This paper illustrates how an effective maintenance policy could influence the productivity and profitability of a manufacturing process. It was possible to show how changes in the productivity affect profit, separately from the effects of changes in the uncontrollable factors, i.e. price recovery. The main results of the case study performed at a Swedish paper-mill showed that a paper-mill machine could, ideally, generate extra profit of at least 7.8 million Swedish kronor (SEK) (approximately US$ 0.975 million) per year, i.e. 12.5% of its yearly maintenance budget, if it avoids all unplanned stoppages and bad quality production due to maintenance-related causes. Thus, maintenance is not a cost centre, but a profit generating function. © 2006 Elsevier B.V. All rights reserved.","author":[{"dropping-particle":"","family":"Alsyouf","given":"Imad","non-dropping-particle":"","parse-names":false,"suffix":""}],"container-title":"International Journal of Production Economics","id":"ITEM-1","issue":"1","issued":{"date-parts":[["2007"]]},"page":"70-78","title":"The role of maintenance in improving companies' productivity and profitability","type":"article-journal","volume":"105"},"uris":["http://www.mendeley.com/documents/?uuid=5dd9e99b-612f-4c40-871e-92947ccd9bd3"]}],"mendeley":{"formattedCitation":"[4]","plainTextFormattedCitation":"[4]","previouslyFormattedCitation":"[4]"},"properties":{"noteIndex":0},"schema":"https://github.com/citation-style-language/schema/raw/master/csl-citation.json"}</w:instrText>
      </w:r>
      <w:r>
        <w:rPr>
          <w:lang w:val="en-GB"/>
        </w:rPr>
        <w:fldChar w:fldCharType="separate"/>
      </w:r>
      <w:r w:rsidR="00405EBD" w:rsidRPr="00405EBD">
        <w:rPr>
          <w:noProof/>
          <w:lang w:val="en-GB"/>
        </w:rPr>
        <w:t>[4]</w:t>
      </w:r>
      <w:r>
        <w:rPr>
          <w:lang w:val="en-GB"/>
        </w:rPr>
        <w:fldChar w:fldCharType="end"/>
      </w:r>
      <w:r>
        <w:rPr>
          <w:lang w:val="en-GB"/>
        </w:rPr>
        <w:t>. Operational management usually underestimate</w:t>
      </w:r>
      <w:r w:rsidR="00436444">
        <w:rPr>
          <w:lang w:val="en-GB"/>
        </w:rPr>
        <w:t>s</w:t>
      </w:r>
      <w:r>
        <w:rPr>
          <w:lang w:val="en-GB"/>
        </w:rPr>
        <w:t xml:space="preserve"> maintenance, stating that the costs are accidental rather than controllable </w:t>
      </w:r>
      <w:r>
        <w:rPr>
          <w:lang w:val="en-GB"/>
        </w:rPr>
        <w:fldChar w:fldCharType="begin" w:fldLock="1"/>
      </w:r>
      <w:r w:rsidR="00645D0B">
        <w:rPr>
          <w:lang w:val="en-GB"/>
        </w:rPr>
        <w:instrText>ADDIN CSL_CITATION {"citationItems":[{"id":"ITEM-1","itemData":{"DOI":"10.1080/00207549408957005","ISSN":"0020-7543","abstract":"Proper management of maintenance offers many companies significant potential for improving productivity and profitability. Traditional management thinking regards maintenance costs as accidental, rather than planned and controllable. Additionally, research in maintenance management has focused on preventive maintenance and has ignored corrective maintenance even though the latter is also considered to be a critical activity in industry. This study proposes a decision model that could assist in a comparative evaluation of alternative corrective maintenance policies. This decision model consists of a simulation model and economic analysis. The simulation model predicts inventory costs and delivery performance of a corrective maintenance policy in various production systems. Based on simulation results, an economic analysis, consisting of a net present value model and breakeven models, determines the economic value of alternative maintenance policies. A detailed example is offered to evaluate two particular corrective maintenance policies (machine redundancy and worker flexibility) although the decision model can be applied to other options. The results of the example demonstrate the decision model’s capability to assist managers in selecting the best corrective maintenance policy. © 1994 Taylor &amp; Francis Group, LLC.","author":[{"dropping-particle":"","family":"Sheut","given":"C.","non-dropping-particle":"","parse-names":false,"suffix":""},{"dropping-particle":"","family":"Krajewski","given":"L. J.","non-dropping-particle":"","parse-names":false,"suffix":""}],"container-title":"International Journal of Production Research","id":"ITEM-1","issue":"6","issued":{"date-parts":[["1994","6"]]},"page":"1365-1382","title":"A decision model for corrective maintenance management","type":"article-journal","volume":"32"},"uris":["http://www.mendeley.com/documents/?uuid=a560d2f0-d6b9-41ed-b2b6-b429f4a7b0b3"]}],"mendeley":{"formattedCitation":"[69]","plainTextFormattedCitation":"[69]","previouslyFormattedCitation":"[69]"},"properties":{"noteIndex":0},"schema":"https://github.com/citation-style-language/schema/raw/master/csl-citation.json"}</w:instrText>
      </w:r>
      <w:r>
        <w:rPr>
          <w:lang w:val="en-GB"/>
        </w:rPr>
        <w:fldChar w:fldCharType="separate"/>
      </w:r>
      <w:r w:rsidR="00416869" w:rsidRPr="00416869">
        <w:rPr>
          <w:noProof/>
          <w:lang w:val="en-GB"/>
        </w:rPr>
        <w:t>[69]</w:t>
      </w:r>
      <w:r>
        <w:rPr>
          <w:lang w:val="en-GB"/>
        </w:rPr>
        <w:fldChar w:fldCharType="end"/>
      </w:r>
      <w:r>
        <w:rPr>
          <w:lang w:val="en-GB"/>
        </w:rPr>
        <w:t xml:space="preserve">. </w:t>
      </w:r>
      <w:r w:rsidRPr="00F41271">
        <w:rPr>
          <w:lang w:val="en-GB"/>
        </w:rPr>
        <w:t xml:space="preserve">However, when academics began to impose maintenance strategies </w:t>
      </w:r>
      <w:r>
        <w:rPr>
          <w:lang w:val="en-GB"/>
        </w:rPr>
        <w:t>for</w:t>
      </w:r>
      <w:r w:rsidRPr="00F41271">
        <w:rPr>
          <w:lang w:val="en-GB"/>
        </w:rPr>
        <w:t xml:space="preserve"> improv</w:t>
      </w:r>
      <w:r>
        <w:rPr>
          <w:lang w:val="en-GB"/>
        </w:rPr>
        <w:t>ing</w:t>
      </w:r>
      <w:r w:rsidRPr="00F41271">
        <w:rPr>
          <w:lang w:val="en-GB"/>
        </w:rPr>
        <w:t xml:space="preserve"> operational performance, </w:t>
      </w:r>
      <w:r>
        <w:rPr>
          <w:lang w:val="en-GB"/>
        </w:rPr>
        <w:t>maintenance technology gained significant interest in</w:t>
      </w:r>
      <w:r w:rsidRPr="00F41271">
        <w:rPr>
          <w:lang w:val="en-GB"/>
        </w:rPr>
        <w:t xml:space="preserve"> </w:t>
      </w:r>
      <w:r>
        <w:rPr>
          <w:lang w:val="en-GB"/>
        </w:rPr>
        <w:t>reducing production losses</w:t>
      </w:r>
      <w:r>
        <w:rPr>
          <w:lang w:val="sr-Cyrl-RS"/>
        </w:rPr>
        <w:t xml:space="preserve">. </w:t>
      </w:r>
      <w:r w:rsidR="00DF775B">
        <w:t>The</w:t>
      </w:r>
      <w:r>
        <w:rPr>
          <w:lang w:val="en-GB"/>
        </w:rPr>
        <w:t xml:space="preserve"> Peter Jost report (1966 </w:t>
      </w:r>
      <w:r>
        <w:rPr>
          <w:lang w:val="en-GB"/>
        </w:rPr>
        <w:fldChar w:fldCharType="begin" w:fldLock="1"/>
      </w:r>
      <w:r w:rsidR="00645D0B">
        <w:rPr>
          <w:lang w:val="en-GB"/>
        </w:rPr>
        <w:instrText>ADDIN CSL_CITATION {"citationItems":[{"id":"ITEM-1","itemData":{"author":[{"dropping-particle":"","family":"Jost","given":"Peter","non-dropping-particle":"","parse-names":false,"suffix":""}],"id":"ITEM-1","issued":{"date-parts":[["1966"]]},"publisher-place":"London, United Kingdom","title":"Lubrication (Tribology) - A report on the present position and industry's needs","type":"report"},"uris":["http://www.mendeley.com/documents/?uuid=022bdee4-6d1f-4932-9fa7-705b89f1a5b5"]}],"mendeley":{"formattedCitation":"[70]","plainTextFormattedCitation":"[70]","previouslyFormattedCitation":"[70]"},"properties":{"noteIndex":0},"schema":"https://github.com/citation-style-language/schema/raw/master/csl-citation.json"}</w:instrText>
      </w:r>
      <w:r>
        <w:rPr>
          <w:lang w:val="en-GB"/>
        </w:rPr>
        <w:fldChar w:fldCharType="separate"/>
      </w:r>
      <w:r w:rsidR="00416869" w:rsidRPr="00416869">
        <w:rPr>
          <w:noProof/>
          <w:lang w:val="en-GB"/>
        </w:rPr>
        <w:t>[70]</w:t>
      </w:r>
      <w:r>
        <w:rPr>
          <w:lang w:val="en-GB"/>
        </w:rPr>
        <w:fldChar w:fldCharType="end"/>
      </w:r>
      <w:r>
        <w:rPr>
          <w:lang w:val="en-GB"/>
        </w:rPr>
        <w:t>) stres</w:t>
      </w:r>
      <w:r w:rsidR="00436444">
        <w:rPr>
          <w:lang w:val="en-GB"/>
        </w:rPr>
        <w:t>se</w:t>
      </w:r>
      <w:r>
        <w:rPr>
          <w:lang w:val="en-GB"/>
        </w:rPr>
        <w:t xml:space="preserve">s that the UK </w:t>
      </w:r>
      <w:r w:rsidR="00436444">
        <w:rPr>
          <w:lang w:val="en-GB"/>
        </w:rPr>
        <w:t>loses</w:t>
      </w:r>
      <w:r>
        <w:rPr>
          <w:lang w:val="en-GB"/>
        </w:rPr>
        <w:t xml:space="preserve"> between 1,1 – 1,4 GDP due to friction and wear. </w:t>
      </w:r>
      <w:r>
        <w:t xml:space="preserve">Likewise, in </w:t>
      </w:r>
      <w:r w:rsidR="00A30F54">
        <w:t xml:space="preserve">a </w:t>
      </w:r>
      <w:r>
        <w:t xml:space="preserve">postdictional paper </w:t>
      </w:r>
      <w:r>
        <w:fldChar w:fldCharType="begin" w:fldLock="1"/>
      </w:r>
      <w:r w:rsidR="00645D0B">
        <w:instrText>ADDIN CSL_CITATION {"citationItems":[{"id":"ITEM-1","itemData":{"DOI":"10.1007/s40544-017-0183-5","ISSN":"22237704","abstract":"Calculations of the impact of friction and wear on energy consumption, economic expenditure, and CO2 emissions are presented on a global scale. This impact study covers the four main energy consuming sectors: transportation, manufacturing, power generation, and residential. Previously published four case studies on passenger cars, trucks and buses, paper machines and the mining industry were included in our detailed calculations as reference data in our current analyses. The following can be concluded:In total, ~23% (119 EJ) of the world’s total energy consumption originates from tribological contacts. Of that 20% (103 EJ) is used to overcome friction and 3% (16 EJ) is used to remanufacture worn parts and spare equipment due to wear and wear-related failures.By taking advantage of the new surface, materials, and lubrication technologies for friction reduction and wear protection in vehicles, machinery and other equipment worldwide, energy losses due to friction and wear could potentially be reduced by 40% in the long term (15 years)and by 18% in the short term (8 years). On global scale, these savings would amount to 1.4% of the GDP annually and 8.7% of the total energy consumption in the long term.The largest short term energy savings are envisioned in transportation (25%) and in the power generation (20%) while the potential savings in the manufacturing and residential sectors are estimated to be ~10%. In the longer terms, the savings would be 55%, 40%, 25%, and 20%, respectively.Implementing advanced tribological technologies can also reduce the CO2 emissions globally by as much as 1,460 MtCO2 and result in 450,000 million Euros cost savings in the short term. In the longer term, the reduction can be 3,140 MtCO2 and the cost savings 970,000 million Euros. Fifty years ago, wear and wear-related failures were a major concern for UK industry and their mitigation was considered to be the major contributor to potential economic savings by as much as 95% in ten years by the development and deployment of new tribological solutions. The corresponding estimated savings are today still of the same orders but the calculated contribution to cost reduction is about 74% by friction reduction and to 26% from better wear protection. Overall, wear appears to be more critical than friction as it may result in catastrophic failures and operational breakdowns that can adversely impact productivity and hence cost.","author":[{"dropping-particle":"","family":"Holmberg","given":"Kenneth","non-dropping-particle":"","parse-names":false,"suffix":""},{"dropping-particle":"","family":"Erdemir","given":"Ali","non-dropping-particle":"","parse-names":false,"suffix":""}],"container-title":"Friction","id":"ITEM-1","issue":"3","issued":{"date-parts":[["2017"]]},"page":"263-284","title":"Influence of tribology on global energy consumption, costs and emissions","type":"article-journal","volume":"5"},"uris":["http://www.mendeley.com/documents/?uuid=0a3c58e1-c7c7-45b6-81c5-df001ee2e0f9"]}],"mendeley":{"formattedCitation":"[71]","plainTextFormattedCitation":"[71]","previouslyFormattedCitation":"[71]"},"properties":{"noteIndex":0},"schema":"https://github.com/citation-style-language/schema/raw/master/csl-citation.json"}</w:instrText>
      </w:r>
      <w:r>
        <w:fldChar w:fldCharType="separate"/>
      </w:r>
      <w:r w:rsidR="00416869" w:rsidRPr="00416869">
        <w:rPr>
          <w:noProof/>
        </w:rPr>
        <w:t>[71]</w:t>
      </w:r>
      <w:r>
        <w:fldChar w:fldCharType="end"/>
      </w:r>
      <w:r w:rsidR="00436444">
        <w:t>,</w:t>
      </w:r>
      <w:r>
        <w:t xml:space="preserve"> Holmberg &amp; Erdemir state that 23% of the world's global energy consumption is needed to overcome friction and wear,</w:t>
      </w:r>
      <w:r>
        <w:rPr>
          <w:lang w:val="en-GB"/>
        </w:rPr>
        <w:t xml:space="preserve"> thus highlighting the much-needed involvement of maintenance technology.</w:t>
      </w:r>
      <w:r>
        <w:t xml:space="preserve"> </w:t>
      </w:r>
      <w:r>
        <w:rPr>
          <w:lang w:val="en-GB"/>
        </w:rPr>
        <w:t>Gaining attention from the general public, maintenance managers and engineers firmly focused on reducing these losses in t</w:t>
      </w:r>
      <w:r w:rsidR="00A30F54">
        <w:rPr>
          <w:lang w:val="en-GB"/>
        </w:rPr>
        <w:t>ime and money</w:t>
      </w:r>
      <w:r>
        <w:rPr>
          <w:lang w:val="en-GB"/>
        </w:rPr>
        <w:t>, overlooking the energy factor. The absence of sensors and sophisticated data-acquisition techniques w</w:t>
      </w:r>
      <w:r w:rsidR="003C05C5">
        <w:rPr>
          <w:lang w:val="en-GB"/>
        </w:rPr>
        <w:t>as</w:t>
      </w:r>
      <w:r>
        <w:rPr>
          <w:lang w:val="en-GB"/>
        </w:rPr>
        <w:t xml:space="preserve"> the hindsight of neglecting energy as an indicator.</w:t>
      </w:r>
      <w:r w:rsidR="00A30F54">
        <w:rPr>
          <w:lang w:val="en-GB"/>
        </w:rPr>
        <w:t xml:space="preserve"> </w:t>
      </w:r>
      <w:r w:rsidR="009B064C">
        <w:rPr>
          <w:lang w:val="en-GB"/>
        </w:rPr>
        <w:t>Hence, giving a</w:t>
      </w:r>
      <w:r>
        <w:rPr>
          <w:lang w:val="en-GB"/>
        </w:rPr>
        <w:t xml:space="preserve"> brief overview of the maintenance </w:t>
      </w:r>
      <w:r w:rsidR="00436444">
        <w:rPr>
          <w:lang w:val="en-GB"/>
        </w:rPr>
        <w:t>of</w:t>
      </w:r>
      <w:r>
        <w:rPr>
          <w:lang w:val="en-GB"/>
        </w:rPr>
        <w:t xml:space="preserve"> </w:t>
      </w:r>
      <w:r w:rsidR="00436444">
        <w:rPr>
          <w:lang w:val="en-GB"/>
        </w:rPr>
        <w:t xml:space="preserve">the </w:t>
      </w:r>
      <w:r>
        <w:rPr>
          <w:lang w:val="en-GB"/>
        </w:rPr>
        <w:t>pre</w:t>
      </w:r>
      <w:r w:rsidR="00222A71">
        <w:rPr>
          <w:lang w:val="en-GB"/>
        </w:rPr>
        <w:t>-</w:t>
      </w:r>
      <w:r w:rsidR="00436444">
        <w:rPr>
          <w:lang w:val="en-GB"/>
        </w:rPr>
        <w:t xml:space="preserve"> </w:t>
      </w:r>
      <w:r>
        <w:rPr>
          <w:lang w:val="en-GB"/>
        </w:rPr>
        <w:t xml:space="preserve">and post-Internet-of-Things (IoT) era </w:t>
      </w:r>
      <w:r>
        <w:rPr>
          <w:lang w:val="en-GB"/>
        </w:rPr>
        <w:fldChar w:fldCharType="begin" w:fldLock="1"/>
      </w:r>
      <w:r w:rsidR="00645D0B">
        <w:rPr>
          <w:lang w:val="en-GB"/>
        </w:rPr>
        <w:instrText>ADDIN CSL_CITATION {"citationItems":[{"id":"ITEM-1","itemData":{"URL":"https://www.rfidjournal.com/articles/view?4986","accessed":{"date-parts":[["2019","11","30"]]},"author":[{"dropping-particle":"","family":"Ashton","given":"Kevin","non-dropping-particle":"","parse-names":false,"suffix":""}],"container-title":"RFID Journal","id":"ITEM-1","issued":{"date-parts":[["2009"]]},"page":"1","title":"That 'Internet of Things' Thing","type":"webpage"},"uris":["http://www.mendeley.com/documents/?uuid=82590c4e-3e87-48ad-a762-ae979aba2e75"]},{"id":"ITEM-2","itemData":{"URL":"https://www.wired.com/2011/06/ff-feedbackloop/","accessed":{"date-parts":[["2019","11","30"]]},"author":[{"dropping-particle":"","family":"Goetz","given":"Thomas","non-dropping-particle":"","parse-names":false,"suffix":""}],"id":"ITEM-2","issued":{"date-parts":[["2011"]]},"title":"Harnessing the Power of Feedback Loops","type":"webpage"},"uris":["http://www.mendeley.com/documents/?uuid=84d8d55a-832a-4b8a-921c-cd39d5dc8db3"]}],"mendeley":{"formattedCitation":"[59], [72]","plainTextFormattedCitation":"[59], [72]","previouslyFormattedCitation":"[59], [72]"},"properties":{"noteIndex":0},"schema":"https://github.com/citation-style-language/schema/raw/master/csl-citation.json"}</w:instrText>
      </w:r>
      <w:r>
        <w:rPr>
          <w:lang w:val="en-GB"/>
        </w:rPr>
        <w:fldChar w:fldCharType="separate"/>
      </w:r>
      <w:r w:rsidR="00416869" w:rsidRPr="00416869">
        <w:rPr>
          <w:noProof/>
          <w:lang w:val="en-GB"/>
        </w:rPr>
        <w:t>[59], [72]</w:t>
      </w:r>
      <w:r>
        <w:rPr>
          <w:lang w:val="en-GB"/>
        </w:rPr>
        <w:fldChar w:fldCharType="end"/>
      </w:r>
      <w:r w:rsidR="009B064C">
        <w:rPr>
          <w:lang w:val="en-GB"/>
        </w:rPr>
        <w:t xml:space="preserve"> will contribute to the originality of the proposed solution.</w:t>
      </w:r>
      <w:r>
        <w:rPr>
          <w:lang w:val="en-GB"/>
        </w:rPr>
        <w:t xml:space="preserve"> The development of sensors (e.g., RFIDs and MEMS), and analytical tools to process data, often remotely, served as an apparatus to illustrate and validate why</w:t>
      </w:r>
      <w:r w:rsidR="00FB321C">
        <w:rPr>
          <w:lang w:val="en-GB"/>
        </w:rPr>
        <w:t xml:space="preserve"> such maintenance cohorts are proposed.</w:t>
      </w:r>
    </w:p>
    <w:p w14:paraId="72FE4DA6" w14:textId="100005F3" w:rsidR="00912DAA" w:rsidRPr="006250BA" w:rsidRDefault="00912DAA" w:rsidP="009A3AED">
      <w:pPr>
        <w:pStyle w:val="Heading2"/>
        <w:rPr>
          <w:lang w:val="fr-FR"/>
        </w:rPr>
      </w:pPr>
      <w:bookmarkStart w:id="246" w:name="_Toc53558761"/>
      <w:bookmarkStart w:id="247" w:name="_Toc53559755"/>
      <w:bookmarkStart w:id="248" w:name="_Toc62467400"/>
      <w:bookmarkStart w:id="249" w:name="_Toc91575404"/>
      <w:bookmarkStart w:id="250" w:name="_Toc93759884"/>
      <w:bookmarkStart w:id="251" w:name="_Toc93759988"/>
      <w:bookmarkStart w:id="252" w:name="_Toc101274350"/>
      <w:bookmarkEnd w:id="245"/>
      <w:r w:rsidRPr="006250BA">
        <w:rPr>
          <w:lang w:val="fr-FR"/>
        </w:rPr>
        <w:t>Traditional maintenance strategies – pre IoT era</w:t>
      </w:r>
      <w:bookmarkEnd w:id="246"/>
      <w:bookmarkEnd w:id="247"/>
      <w:bookmarkEnd w:id="248"/>
      <w:bookmarkEnd w:id="249"/>
      <w:bookmarkEnd w:id="250"/>
      <w:bookmarkEnd w:id="251"/>
      <w:bookmarkEnd w:id="252"/>
    </w:p>
    <w:p w14:paraId="0C431BC7" w14:textId="145E413C" w:rsidR="00C36C3D" w:rsidRDefault="00912DAA" w:rsidP="00912DAA">
      <w:pPr>
        <w:rPr>
          <w:rFonts w:cs="Arial"/>
          <w:lang w:val="en-GB"/>
        </w:rPr>
      </w:pPr>
      <w:bookmarkStart w:id="253" w:name="_Hlk61867346"/>
      <w:r>
        <w:rPr>
          <w:lang w:val="en-GB"/>
        </w:rPr>
        <w:t>Academicians occupied with industrial maintenance have long sought to explain how maintenance should be perceived and employed practically in an industrial environment. To frame it, the BSI</w:t>
      </w:r>
      <w:r>
        <w:t xml:space="preserve"> (British Standards Institution) published a standard </w:t>
      </w:r>
      <w:r w:rsidR="00A129FB">
        <w:t>that</w:t>
      </w:r>
      <w:r>
        <w:t xml:space="preserve"> defines maintenance as: "…</w:t>
      </w:r>
      <w:r w:rsidRPr="00547B8D">
        <w:rPr>
          <w:i/>
        </w:rPr>
        <w:t>the combination of all technical and administrative actions, intended to retain an item in or restore it to, a state in which it can perform its desired function</w:t>
      </w:r>
      <w:r>
        <w:t>"</w:t>
      </w:r>
      <w:r>
        <w:fldChar w:fldCharType="begin" w:fldLock="1"/>
      </w:r>
      <w:r w:rsidR="00416869">
        <w:instrText>ADDIN CSL_CITATION {"citationItems":[{"id":"ITEM-1","itemData":{"abstract":"These remarks were ones I made as the discussant of Koichi Meraâ€™s presidential address to the meeting of the Western Regional Science Association, Rio Rico, Arizona, February 2003. Rather than dwelling on the many points of agreement between Mera and myself, I offer a few thoughts of my own on the role of theory and policy in the field of regional science. Regional science can be seen as an agglomeration of a theory community and a policy community, and both are important to the success of the agglomeration. I describe some ways the two communities should relate to each other. ABSTRACT FROM AUTHOR Copyright of Annals of Regional Science is the property of Springer Science &amp; Business Media B.V. and its content may not be copied or emailed to multiple sites or posted to a listserv without the copyright holder's express written permission. However, users may print, download, or email articles for individual use. This abstract may be abridged. No warranty is given about the accuracy of the copy. Users should refer to the original published version of the material for the full abstract. (Copyright applies to all Abstracts.)","author":[{"dropping-particle":"","family":"BSI 13306:2010","given":"","non-dropping-particle":"","parse-names":false,"suffix":""}],"collection-title":"13306:2010","id":"ITEM-1","issued":{"date-parts":[["2010"]]},"number-of-pages":"36","publisher":"BSI Standards Publication","publisher-place":"United Kingdom","title":"Maintenance — Maintenance terminology","type":"report"},"uris":["http://www.mendeley.com/documents/?uuid=d4ab0d63-b118-4baa-a125-b3cb9e683c49"]}],"mendeley":{"formattedCitation":"[27]","plainTextFormattedCitation":"[27]","previouslyFormattedCitation":"[27]"},"properties":{"noteIndex":0},"schema":"https://github.com/citation-style-language/schema/raw/master/csl-citation.json"}</w:instrText>
      </w:r>
      <w:r>
        <w:fldChar w:fldCharType="separate"/>
      </w:r>
      <w:r w:rsidR="00246F3C" w:rsidRPr="00246F3C">
        <w:rPr>
          <w:noProof/>
        </w:rPr>
        <w:t>[27]</w:t>
      </w:r>
      <w:r>
        <w:fldChar w:fldCharType="end"/>
      </w:r>
      <w:r>
        <w:t xml:space="preserve">. The BSI definition of maintenance implicates two basic maintenance strategies by whom most researchers oblige: </w:t>
      </w:r>
      <w:r>
        <w:rPr>
          <w:rFonts w:cs="Arial"/>
          <w:lang w:val="en-GB"/>
        </w:rPr>
        <w:t>Corrective Maintenance (C</w:t>
      </w:r>
      <w:r w:rsidR="003B5CF3">
        <w:rPr>
          <w:rFonts w:cs="Arial"/>
          <w:lang w:val="en-GB"/>
        </w:rPr>
        <w:t>r</w:t>
      </w:r>
      <w:r>
        <w:rPr>
          <w:rFonts w:cs="Arial"/>
          <w:lang w:val="en-GB"/>
        </w:rPr>
        <w:t xml:space="preserve">M) and Preventive Maintenance (PM) </w:t>
      </w:r>
      <w:r>
        <w:rPr>
          <w:rFonts w:cs="Arial"/>
          <w:lang w:val="en-GB"/>
        </w:rPr>
        <w:fldChar w:fldCharType="begin" w:fldLock="1"/>
      </w:r>
      <w:r w:rsidR="00645D0B">
        <w:rPr>
          <w:rFonts w:cs="Arial"/>
          <w:lang w:val="en-GB"/>
        </w:rPr>
        <w:instrText>ADDIN CSL_CITATION {"citationItems":[{"id":"ITEM-1","itemData":{"ISSN":"1355-2511","abstract":"For Authors: If you would like to write for this, or any other Emerald publication, then please use our Emerald for Authors service. Information about how to choose which publication to write for and submission guidelines are available for all. Please visit www.emeraldinsight.com/authors for more information. About Emerald www.emeraldinsight.com With over forty years' experience, Emerald Group Publishing is a leading independent publisher of global research with impact in business, society, public policy and education. In total, Emerald publishes over 275 journals and more than 130 book series, as well as an extensive range of online products and services. Emerald is both COUNTER 3 and TRANSFER compliant. The organization is a partner of the Committee on Publication Ethics (COPE) and also works with Portico and the LOCKSS initiative for digital archive preservation.","author":[{"dropping-particle":"","family":"Tsang","given":"Albert H.C.","non-dropping-particle":"","parse-names":false,"suffix":""}],"container-title":"Journal of Quality in Maintenance Engineering","editor":[{"dropping-particle":"","family":"Worzala","given":"Elaine","non-dropping-particle":"","parse-names":false,"suffix":""}],"id":"ITEM-1","issue":"3","issued":{"date-parts":[["1995","9","12"]]},"page":"3-17","title":"Condition</w:instrText>
      </w:r>
      <w:r w:rsidR="00645D0B">
        <w:rPr>
          <w:rFonts w:ascii="Times New Roman" w:hAnsi="Times New Roman" w:cs="Times New Roman"/>
          <w:lang w:val="en-GB"/>
        </w:rPr>
        <w:instrText>‐</w:instrText>
      </w:r>
      <w:r w:rsidR="00645D0B">
        <w:rPr>
          <w:rFonts w:cs="Arial"/>
          <w:lang w:val="en-GB"/>
        </w:rPr>
        <w:instrText>based maintenance: tools and decision making","type":"article-journal","volume":"1"},"uris":["http://www.mendeley.com/documents/?uuid=0fcf2900-1cbb-4dbe-b913-a9491280b1f3"]},{"id":"ITEM-2","itemData":{"DOI":"10.1108/13552511111134600","ISBN":"1355251111111","ISSN":"1355-2511","abstract":"Purpose: The purpose of this paper is the development of an empirically based typology of condition based maintenance (CBM) approaches, including the relevant characteristics and requirements. Design/methodology/approach: An exploratory case study was conducted in a major gas production facility. The CBM typology that resulted from this case study was subsequently tested against a large set of CBM literature. Findings: In the literature, CBM is usually presented as a single theory or practice. The paper finds that CBM in fact includes several different approaches and that each of the approaches is only suitable in situations where the specific characteristics of the approach match the situational characteristics. Aided by these findings, a new typology for CBM was developed. The typology is based on the method for obtaining the expected value, or trend (through statistical vs analytical modeling) and the type of data used (process vs failure data). A subsequent literature survey reveals that the proposed typology is applicable for the categorization of a large number of CBM cases found in the literature. Practical implications: One of the most important requirements in selecting and using a CBM approach is the availability and integration of various types of knowledge, in particular process engineering and maintenance engineering knowledge. Practitioners can use these insights to assess current CBM cases, and identify the key characteristics of current and future use of various CBM types. Originality/value: This paper presents a novel and empirically based framework for the classification of the different CBM types. Such frameworks were lacking in the current literature. The paper adds to maintenance engineering literature by identifying the key dimensions of the various types along with their key requirements. © Emerald Group Publishing Limited 1355-2511.","author":[{"dropping-particle":"","family":"Veldman","given":"Jasper","non-dropping-particle":"","parse-names":false,"suffix":""},{"dropping-particle":"","family":"Wortmann","given":"Hans","non-dropping-particle":"","parse-names":false,"suffix":""},{"dropping-particle":"","family":"Klingenberg","given":"Warse","non-dropping-particle":"","parse-names":false,"suffix":""}],"container-title":"Journal of Quality in Maintenance Engineering","id":"ITEM-2","issue":"2","issued":{"date-parts":[["2011","5","31"]]},"note":"- One of the most widely used analytical tool in CBMl;\n- In theory building research it is common to verify case study outcomes with conflicting and similar literature to increase internal validity and generalizability (Eisenhardt, 1989).\n\n- PHM was compared with an extension of PCA in a paper by Makis et al. (2006) in the analysis of oil data. They found that PHM outperforms PCA considerably when it comes to failure reduction and the prediction of replacement dates.\n\n- Recognizing that this is not always the case, Sun et al. (2006) provided an alternative model (called the Proportional Covariate Model).","page":"183-202","title":"Typology of condition based maintenance","type":"article-journal","volume":"17"},"uris":["http://www.mendeley.com/documents/?uuid=1cb4be5b-af8b-46f8-8397-907366b04f92"]},{"id":"ITEM-3","itemData":{"DOI":"10.1007/s001700170173","ISSN":"02683768","abstract":"The high costs in maintaining today's complex and sophisticated equipment make it necessary to enhance modern maintenance management systems. Conventional condition-based maintenance (CBM) reduces the uncertainty of maintenance according to the needs indicated by the equipment condition. The intelligent predictive decision support system (IPDSS) for condition-based maintenance (CBM) supplements the conventional CBM approach by adding the capability of intelligent condition-based fault diagnosis and the power of predicting the trend of equipment deterioration. An IPDSS model, based on the recurrent neural network (RNN) approach, was developed and tested and run for the critical equipment of a power plant. The results showed that the IPDSS model provided reliable fault diagnosis and strong predictive power for the trend of equipment deterioration. These valuable results could be used as input to an integrated maintenance management system to pre-plan and pre-schedule maintenance work, to reduce inventory costs for spare parts, to cut down unplanned forced outage and to minimise the risk of catastrophic failure.","author":[{"dropping-particle":"","family":"Yam","given":"R. C.M.","non-dropping-particle":"","parse-names":false,"suffix":""},{"dropping-particle":"","family":"Tse","given":"P. W.","non-dropping-particle":"","parse-names":false,"suffix":""},{"dropping-particle":"","family":"Li","given":"L.","non-dropping-particle":"","parse-names":false,"suffix":""},{"dropping-particle":"","family":"Tu","given":"P.","non-dropping-particle":"","parse-names":false,"suffix":""}],"container-title":"International Journal of Advanced Manufacturing Technology","id":"ITEM-3","issue":"5","issued":{"date-parts":[["2001"]]},"page":"383-391","title":"Intelligent predictive decision support system for condition-based maintenance","type":"article-journal","volume":"17"},"uris":["http://www.mendeley.com/documents/?uuid=21f65256-dab0-4171-a40c-6e4061709a54"]},{"id":"ITEM-4","itemData":{"DOI":"10.1109/ICECA.2019.8822191","ISBN":"978-1-7281-0167-5","author":[{"dropping-particle":"","family":"Francis","given":"Freceena","non-dropping-particle":"","parse-names":false,"suffix":""},{"dropping-particle":"","family":"Mohan","given":"Maya","non-dropping-particle":"","parse-names":false,"suffix":""}],"container-title":"2019 3rd International conference on Electronics, Communication and Aerospace Technology (ICECA)","id":"ITEM-4","issued":{"date-parts":[["2019","6"]]},"page":"735-739","publisher":"IEEE","title":"ARIMA Model based Real Time Trend Analysis for Predictive Maintenance","type":"paper-conference"},"uris":["http://www.mendeley.com/documents/?uuid=cb75137e-4f96-4814-8e42-6ed400b710b8"]}],"mendeley":{"formattedCitation":"[62], [73]–[75]","plainTextFormattedCitation":"[62], [73]–[75]","previouslyFormattedCitation":"[62], [73]–[75]"},"properties":{"noteIndex":0},"schema":"https://github.com/citation-style-language/schema/raw/master/csl-citation.json"}</w:instrText>
      </w:r>
      <w:r>
        <w:rPr>
          <w:rFonts w:cs="Arial"/>
          <w:lang w:val="en-GB"/>
        </w:rPr>
        <w:fldChar w:fldCharType="separate"/>
      </w:r>
      <w:r w:rsidR="00416869" w:rsidRPr="00416869">
        <w:rPr>
          <w:rFonts w:cs="Arial"/>
          <w:noProof/>
          <w:lang w:val="en-GB"/>
        </w:rPr>
        <w:t>[62], [73]–[75]</w:t>
      </w:r>
      <w:r>
        <w:rPr>
          <w:rFonts w:cs="Arial"/>
          <w:lang w:val="en-GB"/>
        </w:rPr>
        <w:fldChar w:fldCharType="end"/>
      </w:r>
      <w:r>
        <w:rPr>
          <w:rFonts w:cs="Arial"/>
          <w:lang w:val="en-GB"/>
        </w:rPr>
        <w:t>. The C</w:t>
      </w:r>
      <w:r w:rsidR="003B5CF3">
        <w:rPr>
          <w:rFonts w:cs="Arial"/>
          <w:lang w:val="en-GB"/>
        </w:rPr>
        <w:t>r</w:t>
      </w:r>
      <w:r>
        <w:rPr>
          <w:rFonts w:cs="Arial"/>
          <w:lang w:val="en-GB"/>
        </w:rPr>
        <w:t xml:space="preserve">M is also known as run-to-failure </w:t>
      </w:r>
      <w:r w:rsidR="00C36C3D">
        <w:rPr>
          <w:rFonts w:cs="Arial"/>
          <w:lang w:val="en-GB"/>
        </w:rPr>
        <w:t xml:space="preserve">(RTF) </w:t>
      </w:r>
      <w:r>
        <w:rPr>
          <w:rFonts w:cs="Arial"/>
          <w:lang w:val="en-GB"/>
        </w:rPr>
        <w:t xml:space="preserve">or reactive maintenance, while PM consists of Time-Based Maintenance (TBM) and Condition-Based Maintenance (CBM). </w:t>
      </w:r>
      <w:r w:rsidR="00F76D64">
        <w:rPr>
          <w:rFonts w:cs="Arial"/>
          <w:lang w:val="en-GB"/>
        </w:rPr>
        <w:t xml:space="preserve">Although </w:t>
      </w:r>
      <w:r w:rsidR="00A129FB">
        <w:rPr>
          <w:rFonts w:cs="Arial"/>
          <w:lang w:val="en-GB"/>
        </w:rPr>
        <w:t>academics usually attach RTF with CrM to the author's knowledge</w:t>
      </w:r>
      <w:r w:rsidR="00F76D64">
        <w:rPr>
          <w:rFonts w:cs="Arial"/>
          <w:lang w:val="en-GB"/>
        </w:rPr>
        <w:t xml:space="preserve">, it can be highly debatable depending on the complexity of </w:t>
      </w:r>
      <w:r w:rsidR="009158EB">
        <w:rPr>
          <w:rFonts w:cs="Arial"/>
          <w:lang w:val="en-GB"/>
        </w:rPr>
        <w:t xml:space="preserve">a system or organization. Although it is beyond the scope of the thesis, the author would like to draw attention, for the sake of clearness, that </w:t>
      </w:r>
      <w:r w:rsidR="00B948E8">
        <w:rPr>
          <w:rFonts w:cs="Arial"/>
          <w:lang w:val="en-GB"/>
        </w:rPr>
        <w:t xml:space="preserve">RTF can </w:t>
      </w:r>
      <w:r w:rsidR="00A95162">
        <w:rPr>
          <w:rFonts w:cs="Arial"/>
          <w:lang w:val="en-GB"/>
        </w:rPr>
        <w:t>indicate</w:t>
      </w:r>
      <w:r w:rsidR="00B948E8">
        <w:rPr>
          <w:rFonts w:cs="Arial"/>
          <w:lang w:val="en-GB"/>
        </w:rPr>
        <w:t xml:space="preserve"> C</w:t>
      </w:r>
      <w:r w:rsidR="007A7EB9">
        <w:rPr>
          <w:rFonts w:cs="Arial"/>
          <w:lang w:val="en-GB"/>
        </w:rPr>
        <w:t>r</w:t>
      </w:r>
      <w:r w:rsidR="00B948E8">
        <w:rPr>
          <w:rFonts w:cs="Arial"/>
          <w:lang w:val="en-GB"/>
        </w:rPr>
        <w:t xml:space="preserve">M but not the other way around. </w:t>
      </w:r>
      <w:r w:rsidR="00A95162">
        <w:rPr>
          <w:rFonts w:cs="Arial"/>
          <w:lang w:val="en-GB"/>
        </w:rPr>
        <w:t xml:space="preserve">The RTF uses the </w:t>
      </w:r>
      <w:r w:rsidR="004465F3">
        <w:rPr>
          <w:rFonts w:cs="Arial"/>
          <w:lang w:val="en-GB"/>
        </w:rPr>
        <w:t xml:space="preserve">proposition of replacing the parts when they reach </w:t>
      </w:r>
      <w:r w:rsidR="007A7EB9">
        <w:rPr>
          <w:rFonts w:cs="Arial"/>
          <w:lang w:val="en-GB"/>
        </w:rPr>
        <w:t>a total failure state</w:t>
      </w:r>
      <w:r w:rsidR="00A129FB">
        <w:rPr>
          <w:rFonts w:cs="Arial"/>
          <w:lang w:val="en-GB"/>
        </w:rPr>
        <w:t>, and t</w:t>
      </w:r>
      <w:r w:rsidR="004465F3">
        <w:rPr>
          <w:rFonts w:cs="Arial"/>
          <w:lang w:val="en-GB"/>
        </w:rPr>
        <w:t>here is no methodology</w:t>
      </w:r>
      <w:r w:rsidR="007A7EB9">
        <w:rPr>
          <w:rFonts w:cs="Arial"/>
          <w:lang w:val="en-GB"/>
        </w:rPr>
        <w:t xml:space="preserve"> </w:t>
      </w:r>
      <w:r w:rsidR="004465F3">
        <w:rPr>
          <w:rFonts w:cs="Arial"/>
          <w:lang w:val="en-GB"/>
        </w:rPr>
        <w:t xml:space="preserve">or spare parts, logistics, </w:t>
      </w:r>
      <w:r w:rsidR="003B5CF3">
        <w:rPr>
          <w:rFonts w:cs="Arial"/>
          <w:lang w:val="en-GB"/>
        </w:rPr>
        <w:t>or any other layer of MDM. The CrM</w:t>
      </w:r>
      <w:r w:rsidR="00A129FB">
        <w:rPr>
          <w:rFonts w:cs="Arial"/>
          <w:lang w:val="en-GB"/>
        </w:rPr>
        <w:t>,</w:t>
      </w:r>
      <w:r w:rsidR="003B5CF3">
        <w:rPr>
          <w:rFonts w:cs="Arial"/>
          <w:lang w:val="en-GB"/>
        </w:rPr>
        <w:t xml:space="preserve"> on the other hand</w:t>
      </w:r>
      <w:r w:rsidR="00A129FB">
        <w:rPr>
          <w:rFonts w:cs="Arial"/>
          <w:lang w:val="en-GB"/>
        </w:rPr>
        <w:t>,</w:t>
      </w:r>
      <w:r w:rsidR="003B5CF3">
        <w:rPr>
          <w:rFonts w:cs="Arial"/>
          <w:lang w:val="en-GB"/>
        </w:rPr>
        <w:t xml:space="preserve"> is </w:t>
      </w:r>
      <w:r w:rsidR="006E5996">
        <w:rPr>
          <w:rFonts w:cs="Arial"/>
          <w:lang w:val="en-GB"/>
        </w:rPr>
        <w:t xml:space="preserve">a </w:t>
      </w:r>
      <w:r w:rsidR="00F57B93">
        <w:rPr>
          <w:rFonts w:cs="Arial"/>
          <w:lang w:val="en-GB"/>
        </w:rPr>
        <w:t xml:space="preserve">form of a strategy that is in use even today, which uses strategic planning, tactical decision-making and operational activities of calculating appropriate replacement decisions, spare parts </w:t>
      </w:r>
      <w:r w:rsidR="006C6715">
        <w:rPr>
          <w:rFonts w:cs="Arial"/>
          <w:lang w:val="en-GB"/>
        </w:rPr>
        <w:t>inventory, stocks estimation,</w:t>
      </w:r>
      <w:r w:rsidR="007A7EB9">
        <w:rPr>
          <w:rFonts w:cs="Arial"/>
          <w:lang w:val="en-GB"/>
        </w:rPr>
        <w:t xml:space="preserve"> and</w:t>
      </w:r>
      <w:r w:rsidR="006C6715">
        <w:rPr>
          <w:rFonts w:cs="Arial"/>
          <w:lang w:val="en-GB"/>
        </w:rPr>
        <w:t xml:space="preserve"> cost-benefit analysis</w:t>
      </w:r>
      <w:r w:rsidR="007A7EB9">
        <w:rPr>
          <w:rFonts w:cs="Arial"/>
          <w:lang w:val="en-GB"/>
        </w:rPr>
        <w:t>.</w:t>
      </w:r>
    </w:p>
    <w:p w14:paraId="54E4D5C4" w14:textId="2D025C1B" w:rsidR="001156BD" w:rsidRDefault="00912DAA" w:rsidP="00912DAA">
      <w:pPr>
        <w:rPr>
          <w:rFonts w:cs="Arial"/>
          <w:lang w:val="en-GB"/>
        </w:rPr>
      </w:pPr>
      <w:r>
        <w:rPr>
          <w:lang w:val="en-GB"/>
        </w:rPr>
        <w:t>Unlike the C</w:t>
      </w:r>
      <w:r w:rsidR="00524067">
        <w:rPr>
          <w:lang w:val="en-GB"/>
        </w:rPr>
        <w:t>r</w:t>
      </w:r>
      <w:r>
        <w:rPr>
          <w:lang w:val="en-GB"/>
        </w:rPr>
        <w:t>M approach</w:t>
      </w:r>
      <w:r w:rsidR="001156BD">
        <w:rPr>
          <w:lang w:val="en-GB"/>
        </w:rPr>
        <w:t>,</w:t>
      </w:r>
      <w:r>
        <w:rPr>
          <w:lang w:val="en-GB"/>
        </w:rPr>
        <w:t xml:space="preserve"> where the goal </w:t>
      </w:r>
      <w:r w:rsidR="00856DF1">
        <w:rPr>
          <w:lang w:val="en-GB"/>
        </w:rPr>
        <w:t>was</w:t>
      </w:r>
      <w:r>
        <w:rPr>
          <w:lang w:val="en-GB"/>
        </w:rPr>
        <w:t xml:space="preserve"> to </w:t>
      </w:r>
      <w:r w:rsidR="00524067">
        <w:rPr>
          <w:lang w:val="en-GB"/>
        </w:rPr>
        <w:t>coupe with the consequences</w:t>
      </w:r>
      <w:r>
        <w:rPr>
          <w:lang w:val="en-GB"/>
        </w:rPr>
        <w:t xml:space="preserve"> of </w:t>
      </w:r>
      <w:r w:rsidR="001156BD">
        <w:rPr>
          <w:lang w:val="en-GB"/>
        </w:rPr>
        <w:t xml:space="preserve">the </w:t>
      </w:r>
      <w:r>
        <w:rPr>
          <w:lang w:val="en-GB"/>
        </w:rPr>
        <w:t>failure</w:t>
      </w:r>
      <w:r w:rsidR="001156BD">
        <w:rPr>
          <w:lang w:val="en-GB"/>
        </w:rPr>
        <w:t>,</w:t>
      </w:r>
      <w:r>
        <w:rPr>
          <w:lang w:val="en-GB"/>
        </w:rPr>
        <w:t xml:space="preserve"> the PM dedicates </w:t>
      </w:r>
      <w:r w:rsidR="00DF775B">
        <w:rPr>
          <w:lang w:val="en-GB"/>
        </w:rPr>
        <w:t>to</w:t>
      </w:r>
      <w:r>
        <w:rPr>
          <w:lang w:val="en-GB"/>
        </w:rPr>
        <w:t xml:space="preserve"> finding and preventing, or in other instances, reducing the frequency of failures. The C</w:t>
      </w:r>
      <w:r w:rsidR="00524067">
        <w:rPr>
          <w:lang w:val="en-GB"/>
        </w:rPr>
        <w:t>r</w:t>
      </w:r>
      <w:r>
        <w:rPr>
          <w:lang w:val="en-GB"/>
        </w:rPr>
        <w:t>M approach deal</w:t>
      </w:r>
      <w:r w:rsidR="00856DF1">
        <w:rPr>
          <w:lang w:val="en-GB"/>
        </w:rPr>
        <w:t>t</w:t>
      </w:r>
      <w:r>
        <w:rPr>
          <w:lang w:val="en-GB"/>
        </w:rPr>
        <w:t xml:space="preserve"> with supplying standby machines, stocks of spare parts, and providing labour training for repair, which, in turn, consume</w:t>
      </w:r>
      <w:r w:rsidR="00856DF1">
        <w:rPr>
          <w:lang w:val="en-GB"/>
        </w:rPr>
        <w:t>d</w:t>
      </w:r>
      <w:r>
        <w:rPr>
          <w:lang w:val="en-GB"/>
        </w:rPr>
        <w:t xml:space="preserve"> a significant portion of time and money. </w:t>
      </w:r>
      <w:r w:rsidR="00DF775B">
        <w:rPr>
          <w:lang w:val="en-GB"/>
        </w:rPr>
        <w:t>At the time, these alternatives</w:t>
      </w:r>
      <w:r w:rsidRPr="00AD02DC">
        <w:rPr>
          <w:lang w:val="en-GB"/>
        </w:rPr>
        <w:t xml:space="preserve"> </w:t>
      </w:r>
      <w:r>
        <w:rPr>
          <w:lang w:val="en-GB"/>
        </w:rPr>
        <w:t>soon</w:t>
      </w:r>
      <w:r w:rsidRPr="00AD02DC">
        <w:rPr>
          <w:lang w:val="en-GB"/>
        </w:rPr>
        <w:t xml:space="preserve"> fall short </w:t>
      </w:r>
      <w:r w:rsidR="001156BD">
        <w:rPr>
          <w:lang w:val="en-GB"/>
        </w:rPr>
        <w:t>of</w:t>
      </w:r>
      <w:r w:rsidRPr="00AD02DC">
        <w:rPr>
          <w:lang w:val="en-GB"/>
        </w:rPr>
        <w:t xml:space="preserve"> the expectations</w:t>
      </w:r>
      <w:r>
        <w:rPr>
          <w:lang w:val="en-GB"/>
        </w:rPr>
        <w:t>, making PM (TBM</w:t>
      </w:r>
      <w:r w:rsidR="00856DF1">
        <w:rPr>
          <w:lang w:val="en-GB"/>
        </w:rPr>
        <w:t xml:space="preserve"> and CBM</w:t>
      </w:r>
      <w:r>
        <w:rPr>
          <w:lang w:val="en-GB"/>
        </w:rPr>
        <w:t>) more compelling. Regardless</w:t>
      </w:r>
      <w:r w:rsidR="00DF775B">
        <w:rPr>
          <w:lang w:val="en-GB"/>
        </w:rPr>
        <w:t xml:space="preserve">, TBM provided opportunities to improve operational </w:t>
      </w:r>
      <w:r w:rsidR="00C40AD5">
        <w:rPr>
          <w:lang w:val="en-GB"/>
        </w:rPr>
        <w:t>efficiency</w:t>
      </w:r>
      <w:r w:rsidR="00DF775B">
        <w:rPr>
          <w:lang w:val="en-GB"/>
        </w:rPr>
        <w:t xml:space="preserve"> and eventually</w:t>
      </w:r>
      <w:r>
        <w:rPr>
          <w:rFonts w:cs="Arial"/>
          <w:lang w:val="en-GB"/>
        </w:rPr>
        <w:t xml:space="preserve"> have a hard time fulfilling the needs of more complex and sophisticated systems.</w:t>
      </w:r>
      <w:r w:rsidR="001156BD">
        <w:rPr>
          <w:rFonts w:cs="Arial"/>
          <w:lang w:val="en-GB"/>
        </w:rPr>
        <w:t xml:space="preserve"> Leveraging stoppage</w:t>
      </w:r>
      <w:r w:rsidR="00B312D3">
        <w:rPr>
          <w:rFonts w:cs="Arial"/>
          <w:lang w:val="en-GB"/>
        </w:rPr>
        <w:t>’</w:t>
      </w:r>
      <w:r w:rsidR="001156BD">
        <w:rPr>
          <w:rFonts w:cs="Arial"/>
          <w:lang w:val="en-GB"/>
        </w:rPr>
        <w:t xml:space="preserve"> expenses while conducting maintenance activities and preventing failures, maintenance optimisation became an extensively popular topic </w:t>
      </w:r>
      <w:r w:rsidR="001156BD">
        <w:fldChar w:fldCharType="begin" w:fldLock="1"/>
      </w:r>
      <w:r w:rsidR="00645D0B">
        <w:instrText>ADDIN CSL_CITATION {"citationItems":[{"id":"ITEM-1","itemData":{"DOI":"10.1007/s13198-011-0045-x","ISBN":"09756809","ISSN":"09756809","abstract":"Due to widespread automation and the high capital tied up in production equipment, the importance of maintenance is ever increasing. This makes maintenance an investment opportunity to be optimized, not a cost to be minimized. Academics have recognized this and many maintenance optimization models have been published over the years. Most of these models focus on one optimization criterion or objective, making multi-objective optimization models an underexplored area of maintenance optimization. Moreover, there is a big gap between academic models and application in practice. It is very difficult for industrial companies to adapt these models to their specific business context. This article reviews the literature on maintenance optimization models, with special focus on the optimization criteria and objectives used. To overcome flaws in present optimization models, a generic classification framework of maintenance optimization models is presented. All factors that have an influence on the optimization model will be made explicit and their links will be established. The framework is a starting point to develop business specific optimization models and enables decision making in e-maintenance. Moreover, it ensures a fit between the business model of a company and the maintenance optimization model right from the beginning. Future research will be on the development of a maintenance optimization model taking into account the most relevant optimization influence factors and criteria for a situation at hand.","author":[{"dropping-particle":"","family":"Horenbeek","given":"Adriaan","non-dropping-particle":"Van","parse-names":false,"suffix":""},{"dropping-particle":"","family":"Pintelon","given":"Liliane","non-dropping-particle":"","parse-names":false,"suffix":""},{"dropping-particle":"","family":"Muchiri","given":"Peter","non-dropping-particle":"","parse-names":false,"suffix":""}],"container-title":"International Journal of Systems Assurance Engineering and Management","id":"ITEM-1","issue":"3","issued":{"date-parts":[["2010"]]},"page":"189-200","title":"Maintenance optimization models and criteria","type":"article-journal","volume":"1"},"uris":["http://www.mendeley.com/documents/?uuid=61b79e7a-5eb7-4b5c-afc0-2e1c2f100678"]},{"id":"ITEM-2","itemData":{"DOI":"10.1016/j.jksues.2018.02.003","ISSN":"10183639","abstract":"This study uses bibliometric analysis techniques to provide an overview of the research conducted in the condition based maintenance (CBM) sciences. The paper objective is to determine the most influential research that has been conducted in this field. In this paper, a methodology is proposed. First, collect the articles using Web of Science based on selected keywords from 1970 to December 31, 2017. Next, determine the most influential journals, articles, keywords, authors, and institutions in CBM. Then, the analysis of country has been performed to analyze CBM studies with respect to its geographical distribution. Finally, The VOSviewer software is used to visualize the bibliographic material through co-authorship, co-occurrence, citation, bibliographic coupling, and co-citation analysis. The outcomes of the study show that Wang W from China has been the most effective researcher, citations, and common reference with other authors in the subject of CBM. The USA was solely the most effective country in the subject of CBM. Centre National De La Recherché Scientifique is the most influential organization in this field. Finally, Berenguer C has the greatest co-authorship among the other authors considered.","author":[{"dropping-particle":"","family":"Noman","given":"Mohammed A.","non-dropping-particle":"","parse-names":false,"suffix":""},{"dropping-particle":"","family":"Nasr","given":"Emad S.Abouel","non-dropping-particle":"","parse-names":false,"suffix":""},{"dropping-particle":"","family":"Al-Shayea","given":"Adel","non-dropping-particle":"","parse-names":false,"suffix":""},{"dropping-particle":"","family":"Kaid","given":"Husam","non-dropping-particle":"","parse-names":false,"suffix":""}],"container-title":"Journal of King Saud University - Engineering Sciences","id":"ITEM-2","issue":"4","issued":{"date-parts":[["2018"]]},"note":"- Currently, at least 100 publications are being distributed in this subject area each year, considering more than 261 publications were dis- tributed in 2017, as shown in Fig.1;\n-","page":"355-367","publisher":"King Saud University","title":"Overview of predictive condition based maintenance research using bibliometric indicators","type":"article-journal","volume":"31"},"uris":["http://www.mendeley.com/documents/?uuid=186b72ab-9444-41dc-96d6-2689dbc6f01c"]}],"mendeley":{"formattedCitation":"[6], [76]","plainTextFormattedCitation":"[6], [76]","previouslyFormattedCitation":"[6], [76]"},"properties":{"noteIndex":0},"schema":"https://github.com/citation-style-language/schema/raw/master/csl-citation.json"}</w:instrText>
      </w:r>
      <w:r w:rsidR="001156BD">
        <w:fldChar w:fldCharType="separate"/>
      </w:r>
      <w:r w:rsidR="00416869" w:rsidRPr="00416869">
        <w:rPr>
          <w:noProof/>
        </w:rPr>
        <w:t>[6], [76]</w:t>
      </w:r>
      <w:r w:rsidR="001156BD">
        <w:fldChar w:fldCharType="end"/>
      </w:r>
      <w:r w:rsidR="001156BD">
        <w:t>.</w:t>
      </w:r>
    </w:p>
    <w:p w14:paraId="13D3F452" w14:textId="7F26A790" w:rsidR="00912DAA" w:rsidRPr="00DB4C1D" w:rsidRDefault="001156BD" w:rsidP="00912DAA">
      <w:r>
        <w:t>The m</w:t>
      </w:r>
      <w:r w:rsidR="00912DAA">
        <w:t>aintenance optimisation era forced peers to shift more attention to optimal strategies</w:t>
      </w:r>
      <w:r w:rsidR="007F2FE8">
        <w:t xml:space="preserve"> and tactics</w:t>
      </w:r>
      <w:r w:rsidR="00912DAA">
        <w:t>, aiming to reduce unnecessary activities, thus</w:t>
      </w:r>
      <w:r w:rsidR="00912DAA">
        <w:rPr>
          <w:rFonts w:cs="Arial"/>
          <w:lang w:val="en-GB"/>
        </w:rPr>
        <w:t xml:space="preserve">, creating a solution space for the CBM approach. </w:t>
      </w:r>
      <w:r w:rsidR="00912DAA">
        <w:t xml:space="preserve">Acceptance of the CBM paradigm experienced unprecedented interest in academia </w:t>
      </w:r>
      <w:r w:rsidR="00912DAA">
        <w:fldChar w:fldCharType="begin" w:fldLock="1"/>
      </w:r>
      <w:r w:rsidR="00645D0B">
        <w:instrText>ADDIN CSL_CITATION {"citationItems":[{"id":"ITEM-1","itemData":{"DOI":"10.1080/0951192X.2019.1667033","ISSN":"0951-192X","author":[{"dropping-particle":"","family":"Turner","given":"C. J.","non-dropping-particle":"","parse-names":false,"suffix":""},{"dropping-particle":"","family":"Emmanouilidis","given":"C.","non-dropping-particle":"","parse-names":false,"suffix":""},{"dropping-particle":"","family":"Tomiyama","given":"T.","non-dropping-particle":"","parse-names":false,"suffix":""},{"dropping-particle":"","family":"Tiwari","given":"A.","non-dropping-particle":"","parse-names":false,"suffix":""},{"dropping-particle":"","family":"Roy","given":"R.","non-dropping-particle":"","parse-names":false,"suffix":""}],"container-title":"International Journal of Computer Integrated Manufacturing","id":"ITEM-1","issue":"10","issued":{"date-parts":[["2019","10","3"]]},"page":"936-959","title":"Intelligent decision support for maintenance: an overview and future trends","type":"article-journal","volume":"32"},"uris":["http://www.mendeley.com/documents/?uuid=636ca84e-1e30-4953-bb71-fb82d14b97f4"]},{"id":"ITEM-2","itemData":{"DOI":"10.1016/j.jksues.2018.02.003","ISSN":"10183639","abstract":"This study uses bibliometric analysis techniques to provide an overview of the research conducted in the condition based maintenance (CBM) sciences. The paper objective is to determine the most influential research that has been conducted in this field. In this paper, a methodology is proposed. First, collect the articles using Web of Science based on selected keywords from 1970 to December 31, 2017. Next, determine the most influential journals, articles, keywords, authors, and institutions in CBM. Then, the analysis of country has been performed to analyze CBM studies with respect to its geographical distribution. Finally, The VOSviewer software is used to visualize the bibliographic material through co-authorship, co-occurrence, citation, bibliographic coupling, and co-citation analysis. The outcomes of the study show that Wang W from China has been the most effective researcher, citations, and common reference with other authors in the subject of CBM. The USA was solely the most effective country in the subject of CBM. Centre National De La Recherché Scientifique is the most influential organization in this field. Finally, Berenguer C has the greatest co-authorship among the other authors considered.","author":[{"dropping-particle":"","family":"Noman","given":"Mohammed A.","non-dropping-particle":"","parse-names":false,"suffix":""},{"dropping-particle":"","family":"Nasr","given":"Emad S.Abouel","non-dropping-particle":"","parse-names":false,"suffix":""},{"dropping-particle":"","family":"Al-Shayea","given":"Adel","non-dropping-particle":"","parse-names":false,"suffix":""},{"dropping-particle":"","family":"Kaid","given":"Husam","non-dropping-particle":"","parse-names":false,"suffix":""}],"container-title":"Journal of King Saud University - Engineering Sciences","id":"ITEM-2","issue":"4","issued":{"date-parts":[["2018"]]},"note":"- Currently, at least 100 publications are being distributed in this subject area each year, considering more than 261 publications were dis- tributed in 2017, as shown in Fig.1;\n-","page":"355-367","publisher":"King Saud University","title":"Overview of predictive condition based maintenance research using bibliometric indicators","type":"article-journal","volume":"31"},"uris":["http://www.mendeley.com/documents/?uuid=186b72ab-9444-41dc-96d6-2689dbc6f01c"]}],"mendeley":{"formattedCitation":"[7], [76]","plainTextFormattedCitation":"[7], [76]","previouslyFormattedCitation":"[7], [76]"},"properties":{"noteIndex":0},"schema":"https://github.com/citation-style-language/schema/raw/master/csl-citation.json"}</w:instrText>
      </w:r>
      <w:r w:rsidR="00912DAA">
        <w:fldChar w:fldCharType="separate"/>
      </w:r>
      <w:r w:rsidR="00416869" w:rsidRPr="00416869">
        <w:rPr>
          <w:noProof/>
        </w:rPr>
        <w:t xml:space="preserve">[7], </w:t>
      </w:r>
      <w:r w:rsidR="00416869" w:rsidRPr="00416869">
        <w:rPr>
          <w:noProof/>
        </w:rPr>
        <w:lastRenderedPageBreak/>
        <w:t>[76]</w:t>
      </w:r>
      <w:r w:rsidR="00912DAA">
        <w:fldChar w:fldCharType="end"/>
      </w:r>
      <w:r w:rsidR="00912DAA">
        <w:t xml:space="preserve"> and mostly due to disruptive technologies. S</w:t>
      </w:r>
      <w:r w:rsidR="00912DAA">
        <w:rPr>
          <w:rFonts w:cs="Arial"/>
          <w:lang w:val="en-GB"/>
        </w:rPr>
        <w:t xml:space="preserve">ome argue that CBM was introduced in 1975 </w:t>
      </w:r>
      <w:r w:rsidR="00912DAA">
        <w:rPr>
          <w:rFonts w:cs="Arial"/>
          <w:lang w:val="en-GB"/>
        </w:rPr>
        <w:fldChar w:fldCharType="begin" w:fldLock="1"/>
      </w:r>
      <w:r w:rsidR="00645D0B">
        <w:rPr>
          <w:rFonts w:cs="Arial"/>
          <w:lang w:val="en-GB"/>
        </w:rPr>
        <w:instrText>ADDIN CSL_CITATION {"citationItems":[{"id":"ITEM-1","itemData":{"DOI":"10.1504/EJIE.2012.048854","ISSN":"17515254","abstract":"Condition-based maintenance (CBM) has been a research topic since 1975. It has been introduced as an alternative approach to enhance the effectiveness of preventive maintenance strategy. Currently, CBM research is growing rapidly. Compared with the traditional time-based maintenance approach, CBM application is more beneficial and realistic. With CBM, better maintenance decisions can be made to avoid or minimise unnecessary maintenance costs. This paper attempts to explore how exactly CBM decision-making is conducted, with the methods of decision-making classified into current-condition-evaluation-based and future-condition-prediction-based. This paper systematically reviews the applications of these methods by focusing on the techniques used, as well as on case studies. It concludes with findings based on the academic and industrial perspectives. Copyright © 2012 Inderscience Enterprises Ltd.","author":[{"dropping-particle":"","family":"Ahmad","given":"Rosmaini","non-dropping-particle":"","parse-names":false,"suffix":""},{"dropping-particle":"","family":"Kamaruddin","given":"Shahrul","non-dropping-particle":"","parse-names":false,"suffix":""}],"container-title":"European Journal of Industrial Engineering","id":"ITEM-1","issue":"5","issued":{"date-parts":[["2012"]]},"page":"519-541","title":"A review of condition-based maintenance decision-making","type":"article-journal","volume":"6"},"uris":["http://www.mendeley.com/documents/?uuid=b1734d0f-f1b7-4a51-8c26-087fb8b64be2"]}],"mendeley":{"formattedCitation":"[77]","plainTextFormattedCitation":"[77]","previouslyFormattedCitation":"[77]"},"properties":{"noteIndex":0},"schema":"https://github.com/citation-style-language/schema/raw/master/csl-citation.json"}</w:instrText>
      </w:r>
      <w:r w:rsidR="00912DAA">
        <w:rPr>
          <w:rFonts w:cs="Arial"/>
          <w:lang w:val="en-GB"/>
        </w:rPr>
        <w:fldChar w:fldCharType="separate"/>
      </w:r>
      <w:r w:rsidR="00416869" w:rsidRPr="00416869">
        <w:rPr>
          <w:rFonts w:cs="Arial"/>
          <w:noProof/>
          <w:lang w:val="en-GB"/>
        </w:rPr>
        <w:t>[77]</w:t>
      </w:r>
      <w:r w:rsidR="00912DAA">
        <w:rPr>
          <w:rFonts w:cs="Arial"/>
          <w:lang w:val="en-GB"/>
        </w:rPr>
        <w:fldChar w:fldCharType="end"/>
      </w:r>
      <w:r w:rsidR="00912DAA">
        <w:rPr>
          <w:rFonts w:cs="Arial"/>
          <w:lang w:val="en-GB"/>
        </w:rPr>
        <w:t>, while others state that it dates back to the late 1940s</w:t>
      </w:r>
      <w:r w:rsidR="00912DAA">
        <w:rPr>
          <w:lang w:val="en-GB"/>
        </w:rPr>
        <w:t xml:space="preserve"> whe</w:t>
      </w:r>
      <w:r w:rsidR="006E5996">
        <w:rPr>
          <w:lang w:val="en-GB"/>
        </w:rPr>
        <w:t>n</w:t>
      </w:r>
      <w:r w:rsidR="00912DAA">
        <w:rPr>
          <w:lang w:val="en-GB"/>
        </w:rPr>
        <w:t xml:space="preserve"> Rio Grande Railway Steel Company introduced the concept, later adopted by the US Army </w:t>
      </w:r>
      <w:r w:rsidR="00912DAA">
        <w:rPr>
          <w:lang w:val="en-GB"/>
        </w:rPr>
        <w:fldChar w:fldCharType="begin" w:fldLock="1"/>
      </w:r>
      <w:r w:rsidR="00645D0B">
        <w:rPr>
          <w:lang w:val="en-GB"/>
        </w:rPr>
        <w:instrText>ADDIN CSL_CITATION {"citationItems":[{"id":"ITEM-1","itemData":{"DOI":"10.1108/13552511211281552","ISSN":"1355-2511","abstract":"Purpose - The purpose of this paper is to provide a brief overview of condition based maintenance (CBM) with definitions of various terms, overview of some history, recent developments, applications, and research challenges in the CBM domain. Design/methodology/approach - The article presents the insight into various maintenance strategies and provides their respective merits and demerits in various aspects. It then provides the detailed discussion of CBM that includes applications of various methodologies and technologies that are being implemented in the field. Finally, it ends with open challenges in implementing condition based maintenance systems. Findings - This paper surveys research articles and describes how CBM can be used to optimize maintenance strategies and increase the feasibility and practicality of a CBM system. Practical implications - CBM systems are completely practical to implement and applicable to various domains including automotive, manufacturing, aviation, medical, etc. This paper presents a brief overview of literature on CBM and an insight into CBM as a maintenance strategy. CBM has wide applications in automotive, aviation, manufacturing, defense, and other industries. It involves various disciplines like data mining, artificial intelligence, and statistics to enable the systems to be maintenance intelligent. These disciplines help in predicting the future consequences based on the past and current system conditions. Based on the authors' studies, implementation of such a system is easy and cost effective because it uses existing subsystems to collect statistical data. On top of that it requires building a software layer to process the data and to implement the prognosis techniques in the form of algorithms. Social implications - The design of CBM systems highly impact the society in terms of maintenance cost (i.e. reduces the maintenance cost of automobiles, safety by providing real time reporting of the fault using prognosis). Originality/value - To the best of the authors' knowledge, this paper is first of its kind in the literature which presents several maintenance strategies and provides a number of possible research directions listed in open research challenges. © Emerald Group Publishing Limited.","author":[{"dropping-particle":"","family":"Prajapati","given":"Ashok","non-dropping-particle":"","parse-names":false,"suffix":""},{"dropping-particle":"","family":"Bechtel","given":"James","non-dropping-particle":"","parse-names":false,"suffix":""},{"dropping-particle":"","family":"Ganesan","given":"Subramaniam","non-dropping-particle":"","parse-names":false,"suffix":""}],"container-title":"Journal of Quality in Maintenance Engineering","id":"ITEM-1","issue":"4","issued":{"date-parts":[["2012","10","19"]]},"page":"384-400","title":"Condition based maintenance: a survey","type":"article-journal","volume":"18"},"uris":["http://www.mendeley.com/documents/?uuid=3477efd5-ddd6-4453-8d20-51850fe17c7c"]}],"mendeley":{"formattedCitation":"[78]","plainTextFormattedCitation":"[78]","previouslyFormattedCitation":"[78]"},"properties":{"noteIndex":0},"schema":"https://github.com/citation-style-language/schema/raw/master/csl-citation.json"}</w:instrText>
      </w:r>
      <w:r w:rsidR="00912DAA">
        <w:rPr>
          <w:lang w:val="en-GB"/>
        </w:rPr>
        <w:fldChar w:fldCharType="separate"/>
      </w:r>
      <w:r w:rsidR="00416869" w:rsidRPr="00416869">
        <w:rPr>
          <w:noProof/>
          <w:lang w:val="en-GB"/>
        </w:rPr>
        <w:t>[78]</w:t>
      </w:r>
      <w:r w:rsidR="00912DAA">
        <w:rPr>
          <w:lang w:val="en-GB"/>
        </w:rPr>
        <w:fldChar w:fldCharType="end"/>
      </w:r>
      <w:r w:rsidR="00912DAA">
        <w:rPr>
          <w:lang w:val="en-GB"/>
        </w:rPr>
        <w:t xml:space="preserve">. The exceptionality of CBM became apparent in its unique way to reduce unnecessary activities by taking action only in the case of abnormality. </w:t>
      </w:r>
      <w:r w:rsidR="00F53792">
        <w:rPr>
          <w:lang w:val="en-GB"/>
        </w:rPr>
        <w:t>Although lacking proper characterisation, the CBM became extensively attractive in practical and academic circles</w:t>
      </w:r>
      <w:r w:rsidR="00912DAA">
        <w:rPr>
          <w:lang w:val="en-GB"/>
        </w:rPr>
        <w:t xml:space="preserve">. Eventually, Jardine </w:t>
      </w:r>
      <w:r w:rsidR="00640E92">
        <w:rPr>
          <w:lang w:val="en-GB"/>
        </w:rPr>
        <w:t xml:space="preserve">et al. </w:t>
      </w:r>
      <w:r w:rsidR="00912DAA">
        <w:rPr>
          <w:lang w:val="en-GB"/>
        </w:rPr>
        <w:fldChar w:fldCharType="begin" w:fldLock="1"/>
      </w:r>
      <w:r w:rsidR="00645D0B">
        <w:rPr>
          <w:lang w:val="en-GB"/>
        </w:rPr>
        <w:instrText>ADDIN CSL_CITATION {"citationItems":[{"id":"ITEM-1","itemData":{"DOI":"10.1016/j.ymssp.2005.09.012","ISSN":"08883270","abstract":"Condition-based maintenance (CBM) is a maintenance program that recommends maintenance decisions based on the information collected through condition monitoring. It consists of three main steps: data acquisition, data processing and maintenance decision-making. Diagnostics and prognostics are two important aspects of a CBM program. Research in the CBM area grows rapidly. Hundreds of papers in this area, including theory and practical applications, appear every year in academic journals, conference proceedings and technical reports. This paper attempts to summarise and review the recent research and developments in diagnostics and prognostics of mechanical systems implementing CBM with emphasis on models, algorithms and technologies for data processing and maintenance decision-making. Realising the increasing trend of using multiple sensors in condition monitoring, the authors also discuss different techniques for multiple sensor data fusion. The paper concludes with a brief discussion on current practices and possible future trends of CBM. © 2005 Elsevier Ltd. All rights reserved.","author":[{"dropping-particle":"","family":"Jardine","given":"Andrew K.S.","non-dropping-particle":"","parse-names":false,"suffix":""},{"dropping-particle":"","family":"Lin","given":"Daming","non-dropping-particle":"","parse-names":false,"suffix":""},{"dropping-particle":"","family":"Banjevic","given":"Dragan","non-dropping-particle":"","parse-names":false,"suffix":""}],"container-title":"Mechanical Systems and Signal Processing","id":"ITEM-1","issue":"7","issued":{"date-parts":[["2006"]]},"page":"1483-1510","title":"A review on machinery diagnostics and prognostics implementing condition-based maintenance","type":"article-journal","volume":"20"},"uris":["http://www.mendeley.com/documents/?uuid=dbc8972f-3848-4d4b-b270-1067056fbbac"]}],"mendeley":{"formattedCitation":"[79]","plainTextFormattedCitation":"[79]","previouslyFormattedCitation":"[79]"},"properties":{"noteIndex":0},"schema":"https://github.com/citation-style-language/schema/raw/master/csl-citation.json"}</w:instrText>
      </w:r>
      <w:r w:rsidR="00912DAA">
        <w:rPr>
          <w:lang w:val="en-GB"/>
        </w:rPr>
        <w:fldChar w:fldCharType="separate"/>
      </w:r>
      <w:r w:rsidR="00416869" w:rsidRPr="00416869">
        <w:rPr>
          <w:noProof/>
          <w:lang w:val="en-GB"/>
        </w:rPr>
        <w:t>[79]</w:t>
      </w:r>
      <w:r w:rsidR="00912DAA">
        <w:rPr>
          <w:lang w:val="en-GB"/>
        </w:rPr>
        <w:fldChar w:fldCharType="end"/>
      </w:r>
      <w:r w:rsidR="00912DAA">
        <w:rPr>
          <w:lang w:val="en-GB"/>
        </w:rPr>
        <w:t xml:space="preserve"> took the credit by stating</w:t>
      </w:r>
      <w:r w:rsidR="00912DAA">
        <w:rPr>
          <w:lang w:val="sr-Cyrl-RS"/>
        </w:rPr>
        <w:t xml:space="preserve"> </w:t>
      </w:r>
      <w:r w:rsidR="00912DAA">
        <w:t>that CBM</w:t>
      </w:r>
      <w:r w:rsidR="00912DAA">
        <w:rPr>
          <w:lang w:val="en-GB"/>
        </w:rPr>
        <w:t>: "</w:t>
      </w:r>
      <w:r w:rsidR="00912DAA">
        <w:rPr>
          <w:i/>
          <w:lang w:val="en-GB"/>
        </w:rPr>
        <w:t>…is a maintenance program that recommends maintenance actions based on the information collected through condition monitoring.</w:t>
      </w:r>
      <w:r w:rsidR="00912DAA">
        <w:rPr>
          <w:lang w:val="en-GB"/>
        </w:rPr>
        <w:t xml:space="preserve">" Although elusive, one can conclude that, unlike TBM, actions are applied only when acquired data shows abnormal behaviour. </w:t>
      </w:r>
      <w:r w:rsidR="00F53792">
        <w:rPr>
          <w:lang w:val="en-GB"/>
        </w:rPr>
        <w:t>For CBM to be effective, Jardine argues that</w:t>
      </w:r>
      <w:r w:rsidR="00912DAA">
        <w:rPr>
          <w:lang w:val="en-GB"/>
        </w:rPr>
        <w:t xml:space="preserve"> two data types are required: event data (e.g., repair or preventive actions) and monitoring data (e.g., temperature and pressure)</w:t>
      </w:r>
      <w:r w:rsidR="00912DAA">
        <w:t>.</w:t>
      </w:r>
      <w:r w:rsidR="00912DAA">
        <w:rPr>
          <w:lang w:val="en-GB"/>
        </w:rPr>
        <w:t xml:space="preserve"> </w:t>
      </w:r>
      <w:r w:rsidR="003A1CE6">
        <w:rPr>
          <w:lang w:val="en-GB"/>
        </w:rPr>
        <w:t>I</w:t>
      </w:r>
      <w:r w:rsidR="007C6F59">
        <w:rPr>
          <w:lang w:val="en-GB"/>
        </w:rPr>
        <w:t>nterestingly,</w:t>
      </w:r>
      <w:r w:rsidR="00912DAA">
        <w:rPr>
          <w:lang w:val="en-GB"/>
        </w:rPr>
        <w:t xml:space="preserve"> t</w:t>
      </w:r>
      <w:r w:rsidR="00912DAA">
        <w:rPr>
          <w:rFonts w:cs="Arial"/>
          <w:lang w:val="en-GB"/>
        </w:rPr>
        <w:t xml:space="preserve">he CBM is considered the same as PdM by various authors </w:t>
      </w:r>
      <w:r w:rsidR="00912DAA">
        <w:rPr>
          <w:rFonts w:cs="Arial"/>
          <w:lang w:val="en-GB"/>
        </w:rPr>
        <w:fldChar w:fldCharType="begin" w:fldLock="1"/>
      </w:r>
      <w:r w:rsidR="00645D0B">
        <w:rPr>
          <w:rFonts w:cs="Arial"/>
          <w:lang w:val="en-GB"/>
        </w:rPr>
        <w:instrText>ADDIN CSL_CITATION {"citationItems":[{"id":"ITEM-1","itemData":{"DOI":"10.1504/EJIE.2012.048854","ISSN":"17515254","abstract":"Condition-based maintenance (CBM) has been a research topic since 1975. It has been introduced as an alternative approach to enhance the effectiveness of preventive maintenance strategy. Currently, CBM research is growing rapidly. Compared with the traditional time-based maintenance approach, CBM application is more beneficial and realistic. With CBM, better maintenance decisions can be made to avoid or minimise unnecessary maintenance costs. This paper attempts to explore how exactly CBM decision-making is conducted, with the methods of decision-making classified into current-condition-evaluation-based and future-condition-prediction-based. This paper systematically reviews the applications of these methods by focusing on the techniques used, as well as on case studies. It concludes with findings based on the academic and industrial perspectives. Copyright © 2012 Inderscience Enterprises Ltd.","author":[{"dropping-particle":"","family":"Ahmad","given":"Rosmaini","non-dropping-particle":"","parse-names":false,"suffix":""},{"dropping-particle":"","family":"Kamaruddin","given":"Shahrul","non-dropping-particle":"","parse-names":false,"suffix":""}],"container-title":"European Journal of Industrial Engineering","id":"ITEM-1","issue":"5","issued":{"date-parts":[["2012"]]},"page":"519-541","title":"A review of condition-based maintenance decision-making","type":"article-journal","volume":"6"},"uris":["http://www.mendeley.com/documents/?uuid=b1734d0f-f1b7-4a51-8c26-087fb8b64be2"]},{"id":"ITEM-2","itemData":{"DOI":"10.1108/13552511111134600","ISBN":"1355251111111","ISSN":"1355-2511","abstract":"Purpose: The purpose of this paper is the development of an empirically based typology of condition based maintenance (CBM) approaches, including the relevant characteristics and requirements. Design/methodology/approach: An exploratory case study was conducted in a major gas production facility. The CBM typology that resulted from this case study was subsequently tested against a large set of CBM literature. Findings: In the literature, CBM is usually presented as a single theory or practice. The paper finds that CBM in fact includes several different approaches and that each of the approaches is only suitable in situations where the specific characteristics of the approach match the situational characteristics. Aided by these findings, a new typology for CBM was developed. The typology is based on the method for obtaining the expected value, or trend (through statistical vs analytical modeling) and the type of data used (process vs failure data). A subsequent literature survey reveals that the proposed typology is applicable for the categorization of a large number of CBM cases found in the literature. Practical implications: One of the most important requirements in selecting and using a CBM approach is the availability and integration of various types of knowledge, in particular process engineering and maintenance engineering knowledge. Practitioners can use these insights to assess current CBM cases, and identify the key characteristics of current and future use of various CBM types. Originality/value: This paper presents a novel and empirically based framework for the classification of the different CBM types. Such frameworks were lacking in the current literature. The paper adds to maintenance engineering literature by identifying the key dimensions of the various types along with their key requirements. © Emerald Group Publishing Limited 1355-2511.","author":[{"dropping-particle":"","family":"Veldman","given":"Jasper","non-dropping-particle":"","parse-names":false,"suffix":""},{"dropping-particle":"","family":"Wortmann","given":"Hans","non-dropping-particle":"","parse-names":false,"suffix":""},{"dropping-particle":"","family":"Klingenberg","given":"Warse","non-dropping-particle":"","parse-names":false,"suffix":""}],"container-title":"Journal of Quality in Maintenance Engineering","id":"ITEM-2","issue":"2","issued":{"date-parts":[["2011","5","31"]]},"note":"- One of the most widely used analytical tool in CBMl;\n- In theory building research it is common to verify case study outcomes with conflicting and similar literature to increase internal validity and generalizability (Eisenhardt, 1989).\n\n- PHM was compared with an extension of PCA in a paper by Makis et al. (2006) in the analysis of oil data. They found that PHM outperforms PCA considerably when it comes to failure reduction and the prediction of replacement dates.\n\n- Recognizing that this is not always the case, Sun et al. (2006) provided an alternative model (called the Proportional Covariate Model).","page":"183-202","title":"Typology of condition based maintenance","type":"article-journal","volume":"17"},"uris":["http://www.mendeley.com/documents/?uuid=1cb4be5b-af8b-46f8-8397-907366b04f92"]},{"id":"ITEM-3","itemData":{"DOI":"10.1016/j.ijpe.2004.06.057","ISSN":"09255273","abstract":"This paper illustrates how an effective maintenance policy could influence the productivity and profitability of a manufacturing process. It was possible to show how changes in the productivity affect profit, separately from the effects of changes in the uncontrollable factors, i.e. price recovery. The main results of the case study performed at a Swedish paper-mill showed that a paper-mill machine could, ideally, generate extra profit of at least 7.8 million Swedish kronor (SEK) (approximately US$ 0.975 million) per year, i.e. 12.5% of its yearly maintenance budget, if it avoids all unplanned stoppages and bad quality production due to maintenance-related causes. Thus, maintenance is not a cost centre, but a profit generating function. © 2006 Elsevier B.V. All rights reserved.","author":[{"dropping-particle":"","family":"Alsyouf","given":"Imad","non-dropping-particle":"","parse-names":false,"suffix":""}],"container-title":"International Journal of Production Economics","id":"ITEM-3","issue":"1","issued":{"date-parts":[["2007"]]},"page":"70-78","title":"The role of maintenance in improving companies' productivity and profitability","type":"article-journal","volume":"105"},"uris":["http://www.mendeley.com/documents/?uuid=5dd9e99b-612f-4c40-871e-92947ccd9bd3"]},{"id":"ITEM-4","itemData":{"DOI":"10.1108/13552511211281552","ISSN":"1355-2511","abstract":"Purpose - The purpose of this paper is to provide a brief overview of condition based maintenance (CBM) with definitions of various terms, overview of some history, recent developments, applications, and research challenges in the CBM domain. Design/methodology/approach - The article presents the insight into various maintenance strategies and provides their respective merits and demerits in various aspects. It then provides the detailed discussion of CBM that includes applications of various methodologies and technologies that are being implemented in the field. Finally, it ends with open challenges in implementing condition based maintenance systems. Findings - This paper surveys research articles and describes how CBM can be used to optimize maintenance strategies and increase the feasibility and practicality of a CBM system. Practical implications - CBM systems are completely practical to implement and applicable to various domains including automotive, manufacturing, aviation, medical, etc. This paper presents a brief overview of literature on CBM and an insight into CBM as a maintenance strategy. CBM has wide applications in automotive, aviation, manufacturing, defense, and other industries. It involves various disciplines like data mining, artificial intelligence, and statistics to enable the systems to be maintenance intelligent. These disciplines help in predicting the future consequences based on the past and current system conditions. Based on the authors' studies, implementation of such a system is easy and cost effective because it uses existing subsystems to collect statistical data. On top of that it requires building a software layer to process the data and to implement the prognosis techniques in the form of algorithms. Social implications - The design of CBM systems highly impact the society in terms of maintenance cost (i.e. reduces the maintenance cost of automobiles, safety by providing real time reporting of the fault using prognosis). Originality/value - To the best of the authors' knowledge, this paper is first of its kind in the literature which presents several maintenance strategies and provides a number of possible research directions listed in open research challenges. © Emerald Group Publishing Limited.","author":[{"dropping-particle":"","family":"Prajapati","given":"Ashok","non-dropping-particle":"","parse-names":false,"suffix":""},{"dropping-particle":"","family":"Bechtel","given":"James","non-dropping-particle":"","parse-names":false,"suffix":""},{"dropping-particle":"","family":"Ganesan","given":"Subramaniam","non-dropping-particle":"","parse-names":false,"suffix":""}],"container-title":"Journal of Quality in Maintenance Engineering","id":"ITEM-4","issue":"4","issued":{"date-parts":[["2012","10","19"]]},"page":"384-400","title":"Condition based maintenance: a survey","type":"article-journal","volume":"18"},"uris":["http://www.mendeley.com/documents/?uuid=3477efd5-ddd6-4453-8d20-51850fe17c7c"]}],"mendeley":{"formattedCitation":"[4], [62], [77], [78]","plainTextFormattedCitation":"[4], [62], [77], [78]","previouslyFormattedCitation":"[4], [62], [77], [78]"},"properties":{"noteIndex":0},"schema":"https://github.com/citation-style-language/schema/raw/master/csl-citation.json"}</w:instrText>
      </w:r>
      <w:r w:rsidR="00912DAA">
        <w:rPr>
          <w:rFonts w:cs="Arial"/>
          <w:lang w:val="en-GB"/>
        </w:rPr>
        <w:fldChar w:fldCharType="separate"/>
      </w:r>
      <w:r w:rsidR="00416869" w:rsidRPr="00416869">
        <w:rPr>
          <w:rFonts w:cs="Arial"/>
          <w:noProof/>
          <w:lang w:val="en-GB"/>
        </w:rPr>
        <w:t>[4], [62], [77], [78]</w:t>
      </w:r>
      <w:r w:rsidR="00912DAA">
        <w:rPr>
          <w:rFonts w:cs="Arial"/>
          <w:lang w:val="en-GB"/>
        </w:rPr>
        <w:fldChar w:fldCharType="end"/>
      </w:r>
      <w:r w:rsidR="001F7E3C">
        <w:rPr>
          <w:rFonts w:cs="Arial"/>
          <w:lang w:val="en-GB"/>
        </w:rPr>
        <w:t>. The author of the thesis argues that this could be a misconception and misinterpretation</w:t>
      </w:r>
      <w:bookmarkEnd w:id="253"/>
      <w:r w:rsidR="001F7E3C">
        <w:rPr>
          <w:rFonts w:cs="Arial"/>
          <w:lang w:val="en-GB"/>
        </w:rPr>
        <w:t xml:space="preserve"> of the terms</w:t>
      </w:r>
      <w:r w:rsidR="00230B32">
        <w:rPr>
          <w:rFonts w:cs="Arial"/>
          <w:lang w:val="en-GB"/>
        </w:rPr>
        <w:t xml:space="preserve"> because</w:t>
      </w:r>
      <w:r w:rsidR="007E31D6">
        <w:rPr>
          <w:rFonts w:cs="Arial"/>
          <w:lang w:val="en-GB"/>
        </w:rPr>
        <w:t xml:space="preserve"> different underlying concepts drive each of the methodologies to different goal-oriented objectives.</w:t>
      </w:r>
    </w:p>
    <w:p w14:paraId="4550BC77" w14:textId="77777777" w:rsidR="00912DAA" w:rsidRDefault="00912DAA" w:rsidP="009A3AED">
      <w:pPr>
        <w:pStyle w:val="Heading2"/>
        <w:rPr>
          <w:lang w:val="en-GB"/>
        </w:rPr>
      </w:pPr>
      <w:bookmarkStart w:id="254" w:name="_Toc53558762"/>
      <w:bookmarkStart w:id="255" w:name="_Toc53559756"/>
      <w:bookmarkStart w:id="256" w:name="_Toc62467401"/>
      <w:bookmarkStart w:id="257" w:name="_Toc91575405"/>
      <w:bookmarkStart w:id="258" w:name="_Toc93759885"/>
      <w:bookmarkStart w:id="259" w:name="_Toc93759989"/>
      <w:bookmarkStart w:id="260" w:name="_Toc101274351"/>
      <w:bookmarkStart w:id="261" w:name="_Hlk61867534"/>
      <w:r>
        <w:rPr>
          <w:lang w:val="en-GB"/>
        </w:rPr>
        <w:t>Maintenance strategies – post IoT era</w:t>
      </w:r>
      <w:bookmarkEnd w:id="254"/>
      <w:bookmarkEnd w:id="255"/>
      <w:bookmarkEnd w:id="256"/>
      <w:bookmarkEnd w:id="257"/>
      <w:bookmarkEnd w:id="258"/>
      <w:bookmarkEnd w:id="259"/>
      <w:bookmarkEnd w:id="260"/>
    </w:p>
    <w:p w14:paraId="455AF06E" w14:textId="7380AD67" w:rsidR="00912DAA" w:rsidRDefault="003C05C5" w:rsidP="00912DAA">
      <w:bookmarkStart w:id="262" w:name="_Hlk61867563"/>
      <w:bookmarkEnd w:id="261"/>
      <w:r>
        <w:t>T</w:t>
      </w:r>
      <w:r w:rsidR="00F53792">
        <w:t>he author proposes that CBM is not identical to PdM to present the claims</w:t>
      </w:r>
      <w:r w:rsidR="00912DAA">
        <w:t xml:space="preserve">. </w:t>
      </w:r>
      <w:r w:rsidR="00F53792">
        <w:t>S</w:t>
      </w:r>
      <w:r w:rsidR="00912DAA">
        <w:t>imilarities exist</w:t>
      </w:r>
      <w:r w:rsidR="00F53792">
        <w:t xml:space="preserve"> to some extent; however,</w:t>
      </w:r>
      <w:r w:rsidR="00912DAA">
        <w:t xml:space="preserve"> </w:t>
      </w:r>
      <w:r w:rsidR="00F53792">
        <w:t xml:space="preserve">although </w:t>
      </w:r>
      <w:r w:rsidR="00912DAA">
        <w:t xml:space="preserve">PdM somewhat implies CBM (diagnosis and prognosis), </w:t>
      </w:r>
      <w:r w:rsidR="00B713F9">
        <w:t xml:space="preserve">it </w:t>
      </w:r>
      <w:r w:rsidR="00912DAA">
        <w:t xml:space="preserve">does not address the same processing data. Namely, the CBM program belongs to preventive and predictive maintenance strategies, stated herein as PM-CBM and PdM-CBM, respectively. The first aspect of CBM, the diagnostic aspect </w:t>
      </w:r>
      <w:r w:rsidR="00912DAA">
        <w:fldChar w:fldCharType="begin" w:fldLock="1"/>
      </w:r>
      <w:r w:rsidR="00645D0B">
        <w:instrText>ADDIN CSL_CITATION {"citationItems":[{"id":"ITEM-1","itemData":{"DOI":"10.1016/j.ymssp.2006.11.003","ISSN":"08883270","abstract":"This paper presents a novel method for fault diagnosis based on empirical mode decomposition (EMD), an improved distance evaluation technique and the combination of multiple adaptive neuro-fuzzy inference systems (ANFISs). The method consists of three stages. First, prior to feature extraction, some preprocessing techniques, like filtration, demodulation and EMD are performed on vibration signals to acquire more fault characteristic information. Then, six feature sets, including time- and frequency-domain statistical features of both the raw and preprocessed signals, are extracted. Second, an improved distance evaluation technique is proposed, and with it, six salient feature sets are selected from the six original feature sets, respectively. Finally, the six salient feature sets are input into the multiple ANFIS combination with genetic algorithms (GAs) to identify different abnormal cases. The proposed method is applied to the fault diagnosis of rolling element bearings, and testing results show that the multiple ANFIS combination can reliably recognise different fault categories and severities, which has a better classification performance compared to the individual classifiers based on ANFIS. Moreover, the effectiveness of the proposed feature selection method based on the improved distance evaluation technique is also demonstrated by the testing results. © 2006 Elsevier Ltd. All rights reserved.","author":[{"dropping-particle":"","family":"Lei","given":"Yaguo","non-dropping-particle":"","parse-names":false,"suffix":""},{"dropping-particle":"","family":"He","given":"Zhengjia","non-dropping-particle":"","parse-names":false,"suffix":""},{"dropping-particle":"","family":"Zi","given":"Yanyang","non-dropping-particle":"","parse-names":false,"suffix":""},{"dropping-particle":"","family":"Hu","given":"Qiao","non-dropping-particle":"","parse-names":false,"suffix":""}],"container-title":"Mechanical Systems and Signal Processing","id":"ITEM-1","issue":"5","issued":{"date-parts":[["2007"]]},"page":"2280-2294","title":"Fault diagnosis of rotating machinery based on multiple ANFIS combination with GAs","type":"article-journal","volume":"21"},"uris":["http://www.mendeley.com/documents/?uuid=e9e0a5a4-1e1a-42b4-bdba-2ab7f5d30325"]},{"id":"ITEM-2","itemData":{"DOI":"10.1016/j.renene.2012.03.003","ISSN":"09601481","abstract":"Wind Turbines (WT) are one of the fastest growing sources of power production in the world today and there is a constant need to reduce the costs of operating and maintaining them. Condition monitoring (CM) is a tool commonly employed for the early detection of faults/failures so as to minimise downtime and maximize productivity. This paper provides a review of the state-of-the-art in the CM of wind turbines, describing the different maintenance strategies, CM techniques and methods, and highlighting in a table the various combinations of these that have been reported in the literature. Future research opportunities in fault diagnostics are identified using a qualitative fault tree analysis. © 2012 .","author":[{"dropping-particle":"","family":"García Márquez","given":"Fausto Pedro","non-dropping-particle":"","parse-names":false,"suffix":""},{"dropping-particle":"","family":"Tobias","given":"Andrew Mark","non-dropping-particle":"","parse-names":false,"suffix":""},{"dropping-particle":"","family":"Pinar Pérez","given":"Jesús María","non-dropping-particle":"","parse-names":false,"suffix":""},{"dropping-particle":"","family":"Papaelias","given":"Mayorkinos","non-dropping-particle":"","parse-names":false,"suffix":""}],"container-title":"Renewable Energy","id":"ITEM-2","issued":{"date-parts":[["2012"]]},"page":"169-178","publisher":"Elsevier Ltd","title":"Condition monitoring of wind turbines: Techniques and methods","type":"article-journal","volume":"46"},"uris":["http://www.mendeley.com/documents/?uuid=3ae52501-bcef-4327-8244-ae1b118a7e92"]},{"id":"ITEM-3","itemData":{"DOI":"10.1016/j.eswa.2007.08.072","ISSN":"09574174","abstract":"This paper presents a new approach to intelligent fault diagnosis based on statistics analysis, an improved distance evaluation technique and adaptive neuro-fuzzy inference system (ANFIS). The approach consists of three stages. First, different features, including time-domain statistical characteristics, frequency-domain statistical characteristics and empirical mode decomposition (EMD) energy entropies, are extracted to acquire more fault characteristic information. Second, an improved distance evaluation technique is proposed, and with it, the most superior features are selected from the original feature set. Finally, the most superior features are fed into ANFIS to identify different abnormal cases. The proposed approach is applied to fault diagnosis of rolling element bearings, and testing results show that the proposed approach can reliably recognise different fault categories and severities. Moreover, the effectiveness of the proposed feature selection method is also demonstrated by the testing results. © 2007 Elsevier Ltd. All rights reserved.","author":[{"dropping-particle":"","family":"Lei","given":"Yaguo","non-dropping-particle":"","parse-names":false,"suffix":""},{"dropping-particle":"","family":"He","given":"Zhengjia","non-dropping-particle":"","parse-names":false,"suffix":""},{"dropping-particle":"","family":"Zi","given":"Yanyang","non-dropping-particle":"","parse-names":false,"suffix":""}],"container-title":"Expert Systems with Applications","id":"ITEM-3","issue":"4","issued":{"date-parts":[["2008"]]},"page":"1593-1600","title":"A new approach to intelligent fault diagnosis of rotating machinery","type":"article-journal","volume":"35"},"uris":["http://www.mendeley.com/documents/?uuid=cfccde9c-4d2d-4897-a608-89922e3dcd81"]}],"mendeley":{"formattedCitation":"[80]–[82]","plainTextFormattedCitation":"[80]–[82]","previouslyFormattedCitation":"[80]–[82]"},"properties":{"noteIndex":0},"schema":"https://github.com/citation-style-language/schema/raw/master/csl-citation.json"}</w:instrText>
      </w:r>
      <w:r w:rsidR="00912DAA">
        <w:fldChar w:fldCharType="separate"/>
      </w:r>
      <w:r w:rsidR="00416869" w:rsidRPr="00416869">
        <w:rPr>
          <w:noProof/>
        </w:rPr>
        <w:t>[80]–[82]</w:t>
      </w:r>
      <w:r w:rsidR="00912DAA">
        <w:fldChar w:fldCharType="end"/>
      </w:r>
      <w:r w:rsidR="00912DAA">
        <w:t xml:space="preserve">, or Fault Detection and Isolation (FDI) </w:t>
      </w:r>
      <w:r w:rsidR="00912DAA">
        <w:fldChar w:fldCharType="begin" w:fldLock="1"/>
      </w:r>
      <w:r w:rsidR="00645D0B">
        <w:instrText>ADDIN CSL_CITATION {"citationItems":[{"id":"ITEM-1","itemData":{"DOI":"10.1109/TVT.2007.897219","ISSN":"0018-9545","author":[{"dropping-particle":"","family":"Li Liu","given":"","non-dropping-particle":"","parse-names":false,"suffix":""},{"dropping-particle":"","family":"Logan","given":"K.P.","non-dropping-particle":"","parse-names":false,"suffix":""},{"dropping-particle":"","family":"Cartes","given":"D.A.","non-dropping-particle":"","parse-names":false,"suffix":""},{"dropping-particle":"","family":"Srivastava","given":"S.K.","non-dropping-particle":"","parse-names":false,"suffix":""}],"container-title":"IEEE Transactions on Vehicular Technology","id":"ITEM-1","issue":"4","issued":{"date-parts":[["2007","7"]]},"page":"1613-1622","title":"Fault Detection, Diagnostics, and Prognostics: Software Agent Solutions","type":"article-journal","volume":"56"},"uris":["http://www.mendeley.com/documents/?uuid=3716dee1-21de-4ba7-b82d-2536d061b945"]},{"id":"ITEM-2","itemData":{"DOI":"10.1109/AERO.2008.4526641","ISBN":"978-1-4244-1487-1","ISSN":"1095-323X","abstract":"Since its beginning in late 1990s, Prognostics and Health Management (PHM), or Condition Based Maintenance Plus (CBM+), has not only spawned a vital research community, but has also become a requirement for complex systems, like air and space vehicles, to achieve the goals of Condition Base Maintenance (CBM) and Reliability Centered Maintenance (RCM), CBM+ extends the traditional capabilities of fault detection and isolation with the capabilities of prognostics and logistics. To enable these extended capabilities, a modern CBM+ system requires two essential components: 1) an on-board monitoring unit; and 2) an off-board (or ground-based) information system. The CBM+ Research Environment is an implementation of the off-board information system to facilitate CBM and RCM practices. Historically, aircraft propulsion systems (or engines) have led the way in deploying CBM+ capabilities, because of their criticality on flight safely and their significance in driving maintenance cost. By using the propulsion system as the target application, this paper describes the off-board information system being designed by the authors. It also presents some examples to demonstrate the concept of the CBM+ research environment. ©2008 IEEE.","author":[{"dropping-particle":"","family":"Jaw","given":"Link C.","non-dropping-particle":"","parse-names":false,"suffix":""},{"dropping-particle":"","family":"Merrill","given":"Walt","non-dropping-particle":"","parse-names":false,"suffix":""}],"container-title":"2008 IEEE Aerospace Conference","id":"ITEM-2","issued":{"date-parts":[["2008","3"]]},"page":"1-6","publisher":"IEEE","title":"CBM+ Research Environment - Facilitating Technology Development, Experimentation, and Maturation","type":"paper-conference"},"uris":["http://www.mendeley.com/documents/?uuid=04e6a0da-e6d3-48c0-872c-68e8dc7b9ead"]}],"mendeley":{"formattedCitation":"[83], [84]","plainTextFormattedCitation":"[83], [84]","previouslyFormattedCitation":"[83], [84]"},"properties":{"noteIndex":0},"schema":"https://github.com/citation-style-language/schema/raw/master/csl-citation.json"}</w:instrText>
      </w:r>
      <w:r w:rsidR="00912DAA">
        <w:fldChar w:fldCharType="separate"/>
      </w:r>
      <w:r w:rsidR="00416869" w:rsidRPr="00416869">
        <w:rPr>
          <w:noProof/>
        </w:rPr>
        <w:t>[83], [84]</w:t>
      </w:r>
      <w:r w:rsidR="00912DAA">
        <w:fldChar w:fldCharType="end"/>
      </w:r>
      <w:r w:rsidR="00912DAA">
        <w:t xml:space="preserve"> ex. RCA (Root Cause Analysis) </w:t>
      </w:r>
      <w:r w:rsidR="00912DAA">
        <w:fldChar w:fldCharType="begin" w:fldLock="1"/>
      </w:r>
      <w:r w:rsidR="00645D0B">
        <w:instrText>ADDIN CSL_CITATION {"citationItems":[{"id":"ITEM-1","itemData":{"DOI":"10.1016/j.ymssp.2018.08.039","ISSN":"08883270","abstract":"Lubrication Condition monitoring (LCM) is not only utilized as an early warning system in machinery but also, for fault diagnosis and prognosis under condition-based maintenance (CBM). LCM is considered as an important condition monitoring technique, due to the ample information derived from lubricant testing, which demonstrates an introspective reflection on the condition and state of the machinery and the lubricant. Central to the entire LCM program is the application concept, where information from lubricant analysis is evaluated (for knowledge extraction) and analyzed with a view of generating an output which is interpretable and applicable for maintenance decision support (knowledge application). For robust LCM, varying techniques and approaches are used for extracting, processing and analyzing information for decision support. For this reason, a comprehensive overview of applicative approaches for LCM is necessary, which would aid practitioners to address gaps as far as LCM is concerned in the context of maintenance decision support. However, such an overview, is to the best of our knowledge, lacking in the literature, hence the objective of this review article. This paper systematically reviews recent research trends and development of LCM based approaches applied for maintenance decision support, and specifically, applications in equipment diagnosis and prognosis. To contextualize this concern, an initial review of base oils, additives, sampling and testing as applied for LCM and maintenance decision support is discussed. Moreover, LCM tests and parameters are reviewed and classified under varying categories which include, physiochemical, elemental, contamination and additive analysis. Approaches applicable for analyzing data derived from LCM, here, lubricant analysis for maintenance decision support are also classified into four categories: statistical, model-based, artificial intelligence and hybrid approaches. Possible improvement to enhance the reliability of the judgement derived from the approaches towards maintenance decision support are further discussed. This paper concludes with a brief discussion of plausible future trends of LCM in the context of maintenance decision making. This present study, not only highlights gaps in existing literature, by reviewing approaches applicable for extracting knowledge from LCM data for maintenance decision support, it also reviews the functional and technical aspects of lubrication. This is expected …","author":[{"dropping-particle":"","family":"Wakiru","given":"James M.","non-dropping-particle":"","parse-names":false,"suffix":""},{"dropping-particle":"","family":"Pintelon","given":"Liliane","non-dropping-particle":"","parse-names":false,"suffix":""},{"dropping-particle":"","family":"Muchiri","given":"Peter N.","non-dropping-particle":"","parse-names":false,"suffix":""},{"dropping-particle":"","family":"Chemweno","given":"Peter K.","non-dropping-particle":"","parse-names":false,"suffix":""}],"container-title":"Mechanical Systems and Signal Processing","id":"ITEM-1","issued":{"date-parts":[["2019","3"]]},"page":"108-132","publisher":"Elsevier Ltd","title":"A review on lubricant condition monitoring information analysis for maintenance decision support","type":"article-journal","volume":"118"},"uris":["http://www.mendeley.com/documents/?uuid=6426adb5-e2fd-4779-816e-b39322f2bf87"]}],"mendeley":{"formattedCitation":"[85]","plainTextFormattedCitation":"[85]","previouslyFormattedCitation":"[85]"},"properties":{"noteIndex":0},"schema":"https://github.com/citation-style-language/schema/raw/master/csl-citation.json"}</w:instrText>
      </w:r>
      <w:r w:rsidR="00912DAA">
        <w:fldChar w:fldCharType="separate"/>
      </w:r>
      <w:r w:rsidR="00416869" w:rsidRPr="00416869">
        <w:rPr>
          <w:noProof/>
        </w:rPr>
        <w:t>[85]</w:t>
      </w:r>
      <w:r w:rsidR="00912DAA">
        <w:fldChar w:fldCharType="end"/>
      </w:r>
      <w:r w:rsidR="00912DAA">
        <w:t xml:space="preserve"> deals with fault detection, isolation and identification when </w:t>
      </w:r>
      <w:r w:rsidR="00F53792">
        <w:t>a</w:t>
      </w:r>
      <w:r w:rsidR="00912DAA">
        <w:t xml:space="preserve"> failure occurs. </w:t>
      </w:r>
      <w:r w:rsidR="00F53792">
        <w:t>Conversely, prognostics deals</w:t>
      </w:r>
      <w:r w:rsidR="00912DAA">
        <w:t xml:space="preserve"> with fault anticipation, i.e. providing decision support before the failure occurs. These two aspects frame the CBM program </w:t>
      </w:r>
      <w:r w:rsidR="00912DAA">
        <w:fldChar w:fldCharType="begin" w:fldLock="1"/>
      </w:r>
      <w:r w:rsidR="00645D0B">
        <w:instrText>ADDIN CSL_CITATION {"citationItems":[{"id":"ITEM-1","itemData":{"DOI":"10.1016/j.ymssp.2005.09.012","ISSN":"08883270","abstract":"Condition-based maintenance (CBM) is a maintenance program that recommends maintenance decisions based on the information collected through condition monitoring. It consists of three main steps: data acquisition, data processing and maintenance decision-making. Diagnostics and prognostics are two important aspects of a CBM program. Research in the CBM area grows rapidly. Hundreds of papers in this area, including theory and practical applications, appear every year in academic journals, conference proceedings and technical reports. This paper attempts to summarise and review the recent research and developments in diagnostics and prognostics of mechanical systems implementing CBM with emphasis on models, algorithms and technologies for data processing and maintenance decision-making. Realising the increasing trend of using multiple sensors in condition monitoring, the authors also discuss different techniques for multiple sensor data fusion. The paper concludes with a brief discussion on current practices and possible future trends of CBM. © 2005 Elsevier Ltd. All rights reserved.","author":[{"dropping-particle":"","family":"Jardine","given":"Andrew K.S.","non-dropping-particle":"","parse-names":false,"suffix":""},{"dropping-particle":"","family":"Lin","given":"Daming","non-dropping-particle":"","parse-names":false,"suffix":""},{"dropping-particle":"","family":"Banjevic","given":"Dragan","non-dropping-particle":"","parse-names":false,"suffix":""}],"container-title":"Mechanical Systems and Signal Processing","id":"ITEM-1","issue":"7","issued":{"date-parts":[["2006"]]},"page":"1483-1510","title":"A review on machinery diagnostics and prognostics implementing condition-based maintenance","type":"article-journal","volume":"20"},"uris":["http://www.mendeley.com/documents/?uuid=dbc8972f-3848-4d4b-b270-1067056fbbac"]},{"id":"ITEM-2","itemData":{"ISSN":"1355-2511","abstract":"For Authors: If you would like to write for this, or any other Emerald publication, then please use our Emerald for Authors service. Information about how to choose which publication to write for and submission guidelines are available for all. Please visit www.emeraldinsight.com/authors for more information. About Emerald www.emeraldinsight.com With over forty years' experience, Emerald Group Publishing is a leading independent publisher of global research with impact in business, society, public policy and education. In total, Emerald publishes over 275 journals and more than 130 book series, as well as an extensive range of online products and services. Emerald is both COUNTER 3 and TRANSFER compliant. The organization is a partner of the Committee on Publication Ethics (COPE) and also works with Portico and the LOCKSS initiative for digital archive preservation.","author":[{"dropping-particle":"","family":"Tsang","given":"Albert H.C.","non-dropping-particle":"","parse-names":false,"suffix":""}],"container-title":"Journal of Quality in Maintenance Engineering","editor":[{"dropping-particle":"","family":"Worzala","given":"Elaine","non-dropping-particle":"","parse-names":false,"suffix":""}],"id":"ITEM-2","issue":"3","issued":{"date-parts":[["1995","9","12"]]},"page":"3-17","title":"Condition</w:instrText>
      </w:r>
      <w:r w:rsidR="00645D0B">
        <w:rPr>
          <w:rFonts w:ascii="Times New Roman" w:hAnsi="Times New Roman" w:cs="Times New Roman"/>
        </w:rPr>
        <w:instrText>‐</w:instrText>
      </w:r>
      <w:r w:rsidR="00645D0B">
        <w:instrText>based maintenance: tools and decision making","type":"article-journal","volume":"1"},"uris":["http://www.mendeley.com/documents/?uuid=0fcf2900-1cbb-4dbe-b913-a9491280b1f3"]},{"id":"ITEM-3","itemData":{"DOI":"10.1108/13552511111134600","ISBN":"1355251111111","ISSN":"1355-2511","abstract":"Purpose: The purpose of this paper is the development of an empirically based typology of condition based maintenance (CBM) approaches, including the relevant characteristics and requirements. Design/methodology/approach: An exploratory case study was conducted in a major gas production facility. The CBM typology that resulted from this case study was subsequently tested against a large set of CBM literature. Findings: In the literature, CBM is usually presented as a single theory or practice. The paper finds that CBM in fact includes several different approaches and that each of the approaches is only suitable in situations where the specific characteristics of the approach match the situational characteristics. Aided by these findings, a new typology for CBM was developed. The typology is based on the method for obtaining the expected value, or trend (through statistical vs analytical modeling) and the type of data used (process vs failure data). A subsequent literature survey reveals that the proposed typology is applicable for the categorization of a large number of CBM cases found in the literature. Practical implications: One of the most important requirements in selecting and using a CBM approach is the availability and integration of various types of knowledge, in particular process engineering and maintenance engineering knowledge. Practitioners can use these insights to assess current CBM cases, and identify the key characteristics of current and future use of various CBM types. Originality/value: This paper presents a novel and empirically based framework for the classification of the different CBM types. Such frameworks were lacking in the current literature. The paper adds to maintenance engineering literature by identifying the key dimensions of the various types along with their key requirements. © Emerald Group Publishing Limited 1355-2511.","author":[{"dropping-particle":"","family":"Veldman","given":"Jasper","non-dropping-particle":"","parse-names":false,"suffix":""},{"dropping-particle":"","family":"Wortmann","given":"Hans","non-dropping-particle":"","parse-names":false,"suffix":""},{"dropping-particle":"","family":"Klingenberg","given":"Warse","non-dropping-particle":"","parse-names":false,"suffix":""}],"container-title":"Journal of Quality in Maintenance Engineering","id":"ITEM-3","issue":"2","issued":{"date-parts":[["2011","5","31"]]},"note":"- One of the most widely used analytical tool in CBMl;\n- In theory building research it is common to verify case study outcomes with conflicting and similar literature to increase internal validity and generalizability (Eisenhardt, 1989).\n\n- PHM was compared with an extension of PCA in a paper by Makis et al. (2006) in the analysis of oil data. They found that PHM outperforms PCA considerably when it comes to failure reduction and the prediction of replacement dates.\n\n- Recognizing that this is not always the case, Sun et al. (2006) provided an alternative model (called the Proportional Covariate Model).","page":"183-202","title":"Typology of condition based maintenance","type":"article-journal","volume":"17"},"uris":["http://www.mendeley.com/documents/?uuid=1cb4be5b-af8b-46f8-8397-907366b04f92"]},{"id":"ITEM-4","itemData":{"DOI":"10.1016/j.cie.2012.02.002","ISSN":"03608352","abstract":"This paper presents an overview of two maintenance techniques widely discussed in the literature: time-based maintenance (TBM) and condition-based maintenance (CBM). The paper discusses how the TBM and CBM techniques work toward maintenance decision making. Recent research articles covering the application of each technique are reviewed. The paper then compares the challenges of implementing each technique from a practical point of view, focusing on the issues of required data determination and collection, data analysis/modelling, and decision making. The paper concludes with significant considerations for future research. Each of the techniques was found to have unique concepts/principles, procedures, and challenges for real industrial practise. It can be concluded that the application of the CBM technique is more realistic, and thus more worthwhile to apply, than the TBM one. However, further research on CBM must be carried out in order to make it more realistic for making maintenance decisions. The paper provides useful information regarding the application of the TBM and CBM techniques in maintenance decision making and explores the challenges in implementing each technique from a practical perspective.© 2012 Elsevier Ltd. All rights reserved.","author":[{"dropping-particle":"","family":"Ahmad","given":"Rosmaini","non-dropping-particle":"","parse-names":false,"suffix":""},{"dropping-particle":"","family":"Kamaruddin","given":"Shahrul","non-dropping-particle":"","parse-names":false,"suffix":""}],"container-title":"Computers and Industrial Engineering","id":"ITEM-4","issue":"1","issued":{"date-parts":[["2012"]]},"page":"135-149","publisher":"Elsevier Ltd","title":"An overview of time-based and condition-based maintenance in industrial application","type":"article-journal","volume":"63"},"uris":["http://www.mendeley.com/documents/?uuid=9ed23ae0-29e3-4f08-8e62-663e1ac5394d"]}],"mendeley":{"formattedCitation":"[62], [73], [79], [86]","plainTextFormattedCitation":"[62], [73], [79], [86]","previouslyFormattedCitation":"[62], [73], [79], [86]"},"properties":{"noteIndex":0},"schema":"https://github.com/citation-style-language/schema/raw/master/csl-citation.json"}</w:instrText>
      </w:r>
      <w:r w:rsidR="00912DAA">
        <w:fldChar w:fldCharType="separate"/>
      </w:r>
      <w:r w:rsidR="00416869" w:rsidRPr="00416869">
        <w:rPr>
          <w:noProof/>
        </w:rPr>
        <w:t>[62], [73], [79], [86]</w:t>
      </w:r>
      <w:r w:rsidR="00912DAA">
        <w:fldChar w:fldCharType="end"/>
      </w:r>
      <w:r w:rsidR="00912DAA">
        <w:t xml:space="preserve">, in addition to data acquisition, data processing, and decision-making, which are three </w:t>
      </w:r>
      <w:r w:rsidR="00912DAA">
        <w:rPr>
          <w:lang w:val="en-GB"/>
        </w:rPr>
        <w:t>essential</w:t>
      </w:r>
      <w:r w:rsidR="00912DAA">
        <w:t xml:space="preserve"> steps of CBM. Neo-Jardinians, who champion </w:t>
      </w:r>
      <w:r w:rsidR="009037A6">
        <w:t xml:space="preserve">the </w:t>
      </w:r>
      <w:r w:rsidR="00912DAA">
        <w:t>CBM program over other maintenance concepts, however, mostly focu</w:t>
      </w:r>
      <w:r>
        <w:t>s</w:t>
      </w:r>
      <w:r w:rsidR="00912DAA">
        <w:t xml:space="preserve"> on </w:t>
      </w:r>
      <w:r w:rsidR="009037A6">
        <w:t xml:space="preserve">the </w:t>
      </w:r>
      <w:r w:rsidR="00912DAA">
        <w:t xml:space="preserve">prognostics aspect </w:t>
      </w:r>
      <w:r w:rsidR="00912DAA">
        <w:fldChar w:fldCharType="begin" w:fldLock="1"/>
      </w:r>
      <w:r w:rsidR="00645D0B">
        <w:instrText>ADDIN CSL_CITATION {"citationItems":[{"id":"ITEM-1","itemData":{"DOI":"10.1016/j.ejor.2010.11.018","ISSN":"03772217","abstract":"Remaining useful life (RUL) is the useful life left on an asset at a particular time of operation. Its estimation is central to condition based maintenance and prognostics and health management. RUL is typically random and unknown, and as such it must be estimated from available sources of information such as the information obtained in condition and health monitoring. The research on how to best estimate the RUL has gained popularity recently due to the rapid advances in condition and health monitoring techniques. However, due to its complicated relationship with observable health information, there is no such best approach which can be used universally to achieve the best estimate. As such this paper reviews the recent modeling developments for estimating the RUL. The review is centred on statistical data driven approaches which rely only on available past observed data and statistical models. The approaches are classified into two broad types of models, that is, models that rely on directly observed state information of the asset, and those do not. We systematically review the models and approaches reported in the literature and finally highlight future research challenges. © 2011 Elsevier B.V. All rights reserved.","author":[{"dropping-particle":"","family":"Si","given":"Xiao Sheng","non-dropping-particle":"","parse-names":false,"suffix":""},{"dropping-particle":"","family":"Wang","given":"Wenbin","non-dropping-particle":"","parse-names":false,"suffix":""},{"dropping-particle":"","family":"Hu","given":"Chang Hua","non-dropping-particle":"","parse-names":false,"suffix":""},{"dropping-particle":"","family":"Zhou","given":"Dong Hua","non-dropping-particle":"","parse-names":false,"suffix":""}],"container-title":"European Journal of Operational Research","id":"ITEM-1","issue":"1","issued":{"date-parts":[["2011"]]},"page":"1-14","publisher":"Elsevier B.V.","title":"Remaining useful life estimation - A review on the statistical data driven approaches","type":"article-journal","volume":"213"},"uris":["http://www.mendeley.com/documents/?uuid=915dc41e-ad7d-4d7d-abe3-659270da3fb4"]},{"id":"ITEM-2","itemData":{"DOI":"10.1016/j.ymssp.2012.08.016","ISSN":"08883270","abstract":"Remaining useful life estimation (RUL) is an essential part in prognostics and health management. This paper addresses the problem of estimating the RUL from the observed degradation data. A Wiener-process-based degradation model with a recursive filter algorithm is developed to achieve the aim. A novel contribution made in this paper is the use of both a recursive filter to update the drift coefficient in the Wiener process and the expectation maximization (EM) algorithm to update all other parameters. Both updating are done at the time that a new piece of degradation data becomes available. This makes the model depend on the observed degradation data history, which the conventional Wiener-process-based models did not consider. Another contribution is to take into account the distribution in the drift coefficient when updating, rather than using a point estimate as an approximation. An exact RUL distribution considering the distribution of the drift coefficient is obtained based on the concept of the first hitting time. A practical case study for gyros in an inertial navigation system is provided to substantiate the superiority of the proposed model compared with competing models reported in the literature. The results show that our developed model can provide better RUL estimation accuracy. © 2012 Elsevier Ltd. All rights reserved.","author":[{"dropping-particle":"","family":"Si","given":"Xiao Sheng","non-dropping-particle":"","parse-names":false,"suffix":""},{"dropping-particle":"","family":"Wang","given":"Wenbin","non-dropping-particle":"","parse-names":false,"suffix":""},{"dropping-particle":"","family":"Hu","given":"Chang Hua","non-dropping-particle":"","parse-names":false,"suffix":""},{"dropping-particle":"","family":"Chen","given":"Mao Yin","non-dropping-particle":"","parse-names":false,"suffix":""},{"dropping-particle":"","family":"Zhou","given":"Dong Hua","non-dropping-particle":"","parse-names":false,"suffix":""}],"container-title":"Mechanical Systems and Signal Processing","id":"ITEM-2","issue":"1-2","issued":{"date-parts":[["2013"]]},"page":"219-237","publisher":"Elsevier","title":"A Wiener-process-based degradation model with a recursive filter algorithm for remaining useful life estimation","type":"article-journal","volume":"35"},"uris":["http://www.mendeley.com/documents/?uuid=96fcbfb9-3d8f-4cd2-bdb0-e6fbd1b81bef"]},{"id":"ITEM-3","itemData":{"DOI":"10.1016/j.ymssp.2010.11.018","ISSN":"08883270","abstract":"Over recent years a significant amount of research has been undertaken to develop prognostic models that can be used to predict the remaining useful life of engineering assets. Implementations by industry have only had limited success. By design, models are subject to specific assumptions and approximations, some of which are mathematical, while others relate to practical implementation issues such as the amount of data required to validate and verify a proposed model. Therefore, appropriate model selection for successful practical implementation requires not only a mathematical understanding of each model type, but also an appreciation of how a particular business intends to utilise a model and its outputs. This paper discusses business issues that need to be considered when selecting an appropriate modelling approach for trial. It also presents classification tables and process flow diagrams to assist industry and research personnel select appropriate prognostic models for predicting the remaining useful life of engineering assets within their specific business environment. The paper then explores the strengths and weaknesses of the main prognostics model classes to establish what makes them better suited to certain applications than to others and summarises how each have been applied to engineering prognostics. Consequently, this paper should provide a starting point for young researchers first considering options for remaining useful life prediction. The models described in this paper are Knowledge-based (expert and fuzzy), Life expectancy (stochastic and statistical), Artificial Neural Networks, and Physical models. © 2010 Elsevier Ltd. All rights reserved.","author":[{"dropping-particle":"","family":"Sikorska","given":"J. Z.","non-dropping-particle":"","parse-names":false,"suffix":""},{"dropping-particle":"","family":"Hodkiewicz","given":"M.","non-dropping-particle":"","parse-names":false,"suffix":""},{"dropping-particle":"","family":"Ma","given":"L.","non-dropping-particle":"","parse-names":false,"suffix":""}],"container-title":"Mechanical Systems and Signal Processing","id":"ITEM-3","issue":"5","issued":{"date-parts":[["2011"]]},"page":"1803-1836","title":"Prognostic modelling options for remaining useful life estimation by industry","type":"article-journal","volume":"25"},"uris":["http://www.mendeley.com/documents/?uuid=7cf6934d-5f2e-4f61-b5b1-ed22fd5ee95f"]},{"id":"ITEM-4","itemData":{"DOI":"10.1016/j.ymssp.2008.06.009","ISSN":"08883270","abstract":"Machinery prognosis is the forecast of the remaining operational life, future condition, or probability of reliable operation of an equipment based on the acquired condition monitoring data. This approach to modern maintenance practice promises to reduce downtime, spares inventory, maintenance costs, and safety hazards. Given the significance of prognostics capabilities and the maturity of condition monitoring technology, there have been an increasing number of publications on rotating machinery prognostics in the past few years. These publications covered a wide spectrum of prognostics techniques. This review article first synthesises and places these individual pieces of information in context, while identifying their merits and weaknesses. It then discusses the identified challenges, and in doing so, alerts researchers to opportunities for conducting advanced research in the field. Current methods for predicting rotating machinery failures are summarised and classified as conventional reliability models, condition-based prognostics models and models integrating reliability and prognostics. Areas in need of development or improvement include the integration of condition monitoring and reliability, utilisation of incomplete trending data, consideration of effects from maintenance actions and variable operating conditions, derivation of the non-linear relationship between measured data and actual asset health, consideration of failure interactions, practicability of requirements and assumptions, as well as development of performance evaluation frameworks. Crown Copyright © 2008.","author":[{"dropping-particle":"","family":"Heng","given":"Aiwina","non-dropping-particle":"","parse-names":false,"suffix":""},{"dropping-particle":"","family":"Zhang","given":"Sheng","non-dropping-particle":"","parse-names":false,"suffix":""},{"dropping-particle":"","family":"Tan","given":"Andy C.C.","non-dropping-particle":"","parse-names":false,"suffix":""},{"dropping-particle":"","family":"Mathew","given":"Joseph","non-dropping-particle":"","parse-names":false,"suffix":""}],"container-title":"Mechanical Systems and Signal Processing","id":"ITEM-4","issue":"3","issued":{"date-parts":[["2009"]]},"page":"724-739","title":"Rotating machinery prognostics: State of the art, challenges and opportunities","type":"article-journal","volume":"23"},"uris":["http://www.mendeley.com/documents/?uuid=2d9822c5-7db9-4727-9a95-ad1c62dc3776"]},{"id":"ITEM-5","itemData":{"DOI":"10.1016/j.ress.2009.08.001","ISSN":"09518320","abstract":"This paper presents a similarity-based approach for prognostics of the Remaining Useful Life (RUL) of a system, i.e. the lifetime remaining between the present and the instance when the system can no longer perform its function. Data from failure dynamic scenarios of the system are used to create a library of reference trajectory patterns to failure. Given a failure scenario developing in the system, the remaining time before failure is predicted by comparing by fuzzy similarity analysis its evolution data to the reference trajectory patterns and aggregating their times to failure in a weighted sum which accounts for their similarity to the developing pattern. The prediction on the failure time is dynamically updated as time goes by and measurements of signals representative of the system state are collected. The approach allows for the on-line estimation of the RUL. For illustration, a case study is considered regarding the estimation of RUL in failure scenarios of the Lead Bismuth Eutectic eXperimental Accelerator Driven System (LBE-XADS). © 2009 Elsevier Ltd. All rights reserved.","author":[{"dropping-particle":"","family":"Zio","given":"Enrico","non-dropping-particle":"","parse-names":false,"suffix":""},{"dropping-particle":"","family":"Maio","given":"Francesco","non-dropping-particle":"Di","parse-names":false,"suffix":""}],"container-title":"Reliability Engineering and System Safety","id":"ITEM-5","issue":"1","issued":{"date-parts":[["2010"]]},"page":"49-57","publisher":"Elsevier","title":"A data-driven fuzzy approach for predicting the remaining useful life in dynamic failure scenarios of a nuclear system","type":"article-journal","volume":"95"},"uris":["http://www.mendeley.com/documents/?uuid=5f93736c-861a-497c-afda-926b4ff4fd6a"]},{"id":"ITEM-6","itemData":{"DOI":"10.1016/j.jpowsour.2011.03.101","ISSN":"03787753","abstract":"The functionality and reliability of Li-ion batteries as major energy storage devices have received more and more attention from a wide spectrum of stakeholders, including federal/state policymakers, business leaders, technical researchers, environmental groups and the general public. Failures of Li-ion battery not only result in serious inconvenience and enormous replacement/repair costs, but also risk catastrophic consequences such as explosion due to overheating and short circuiting. In order to prevent severe failures from occurring, and to optimize Li-ion battery maintenance schedules, breakthroughs in prognostics and health monitoring of Li-ion batteries, with an emphasis on fault detection, correction and remaining-useful-life prediction, must be achieved. This paper reviews various aspects of recent research and developments in Li-ion battery prognostics and health monitoring, and summarizes the techniques, algorithms and models used for state-of-charge (SOC) estimation, current/voltage estimation, capacity estimation and remaining-useful-life (RUL) prediction. © 2011 Elsevier B.V. All rights reserved.","author":[{"dropping-particle":"","family":"Zhang","given":"Jingliang","non-dropping-particle":"","parse-names":false,"suffix":""},{"dropping-particle":"","family":"Lee","given":"Jay","non-dropping-particle":"","parse-names":false,"suffix":""}],"container-title":"Journal of Power Sources","id":"ITEM-6","issue":"15","issued":{"date-parts":[["2011"]]},"page":"6007-6014","publisher":"Elsevier B.V.","title":"A review on prognostics and health monitoring of Li-ion battery","type":"article-journal","volume":"196"},"uris":["http://www.mendeley.com/documents/?uuid=632468cd-79fe-4b15-be35-4e1c0427717f"]}],"mendeley":{"formattedCitation":"[87]–[92]","plainTextFormattedCitation":"[87]–[92]","previouslyFormattedCitation":"[87]–[92]"},"properties":{"noteIndex":0},"schema":"https://github.com/citation-style-language/schema/raw/master/csl-citation.json"}</w:instrText>
      </w:r>
      <w:r w:rsidR="00912DAA">
        <w:fldChar w:fldCharType="separate"/>
      </w:r>
      <w:r w:rsidR="00416869" w:rsidRPr="00416869">
        <w:rPr>
          <w:noProof/>
        </w:rPr>
        <w:t>[87]–[92]</w:t>
      </w:r>
      <w:r w:rsidR="00912DAA">
        <w:fldChar w:fldCharType="end"/>
      </w:r>
      <w:r w:rsidR="00912DAA">
        <w:t xml:space="preserve">, especially the Remaining Useful Life (RUL) prediction. Prognostics evaluate the historical diagnosis results and anticipate </w:t>
      </w:r>
      <w:r w:rsidR="00F53792">
        <w:t xml:space="preserve">the </w:t>
      </w:r>
      <w:r w:rsidR="00912DAA">
        <w:t xml:space="preserve">RUL of safe operation, relying mostly on statistical approaches </w:t>
      </w:r>
      <w:r w:rsidR="00912DAA">
        <w:fldChar w:fldCharType="begin" w:fldLock="1"/>
      </w:r>
      <w:r w:rsidR="00645D0B">
        <w:instrText>ADDIN CSL_CITATION {"citationItems":[{"id":"ITEM-1","itemData":{"DOI":"10.1108/13552511211281552","ISSN":"1355-2511","abstract":"Purpose - The purpose of this paper is to provide a brief overview of condition based maintenance (CBM) with definitions of various terms, overview of some history, recent developments, applications, and research challenges in the CBM domain. Design/methodology/approach - The article presents the insight into various maintenance strategies and provides their respective merits and demerits in various aspects. It then provides the detailed discussion of CBM that includes applications of various methodologies and technologies that are being implemented in the field. Finally, it ends with open challenges in implementing condition based maintenance systems. Findings - This paper surveys research articles and describes how CBM can be used to optimize maintenance strategies and increase the feasibility and practicality of a CBM system. Practical implications - CBM systems are completely practical to implement and applicable to various domains including automotive, manufacturing, aviation, medical, etc. This paper presents a brief overview of literature on CBM and an insight into CBM as a maintenance strategy. CBM has wide applications in automotive, aviation, manufacturing, defense, and other industries. It involves various disciplines like data mining, artificial intelligence, and statistics to enable the systems to be maintenance intelligent. These disciplines help in predicting the future consequences based on the past and current system conditions. Based on the authors' studies, implementation of such a system is easy and cost effective because it uses existing subsystems to collect statistical data. On top of that it requires building a software layer to process the data and to implement the prognosis techniques in the form of algorithms. Social implications - The design of CBM systems highly impact the society in terms of maintenance cost (i.e. reduces the maintenance cost of automobiles, safety by providing real time reporting of the fault using prognosis). Originality/value - To the best of the authors' knowledge, this paper is first of its kind in the literature which presents several maintenance strategies and provides a number of possible research directions listed in open research challenges. © Emerald Group Publishing Limited.","author":[{"dropping-particle":"","family":"Prajapati","given":"Ashok","non-dropping-particle":"","parse-names":false,"suffix":""},{"dropping-particle":"","family":"Bechtel","given":"James","non-dropping-particle":"","parse-names":false,"suffix":""},{"dropping-particle":"","family":"Ganesan","given":"Subramaniam","non-dropping-particle":"","parse-names":false,"suffix":""}],"container-title":"Journal of Quality in Maintenance Engineering","id":"ITEM-1","issue":"4","issued":{"date-parts":[["2012","10","19"]]},"page":"384-400","title":"Condition based maintenance: a survey","type":"article-journal","volume":"18"},"uris":["http://www.mendeley.com/documents/?uuid=3477efd5-ddd6-4453-8d20-51850fe17c7c"]}],"mendeley":{"formattedCitation":"[78]","plainTextFormattedCitation":"[78]","previouslyFormattedCitation":"[78]"},"properties":{"noteIndex":0},"schema":"https://github.com/citation-style-language/schema/raw/master/csl-citation.json"}</w:instrText>
      </w:r>
      <w:r w:rsidR="00912DAA">
        <w:fldChar w:fldCharType="separate"/>
      </w:r>
      <w:r w:rsidR="00416869" w:rsidRPr="00416869">
        <w:rPr>
          <w:noProof/>
        </w:rPr>
        <w:t>[78]</w:t>
      </w:r>
      <w:r w:rsidR="00912DAA">
        <w:fldChar w:fldCharType="end"/>
      </w:r>
      <w:r w:rsidR="00912DAA">
        <w:t>.</w:t>
      </w:r>
    </w:p>
    <w:p w14:paraId="4CC68593" w14:textId="3C395FB3" w:rsidR="00912DAA" w:rsidRDefault="00912DAA" w:rsidP="00D01BEF">
      <w:r>
        <w:t>With that in mind, the PM-CBM approach to conduct</w:t>
      </w:r>
      <w:r w:rsidR="00F53792">
        <w:t>ing</w:t>
      </w:r>
      <w:r>
        <w:t xml:space="preserve"> maintenance activities relies mostly on failure data with statistical or analytical modelling to predict and perform needed actions. For instance, using Cox'</w:t>
      </w:r>
      <w:r w:rsidR="006E5996">
        <w:t>s</w:t>
      </w:r>
      <w:r>
        <w:t xml:space="preserve"> Proportional Hazard Modeling in PM-CBM emphasises high dependence on failure data for diagnosis </w:t>
      </w:r>
      <w:r>
        <w:fldChar w:fldCharType="begin" w:fldLock="1"/>
      </w:r>
      <w:r w:rsidR="00645D0B">
        <w:instrText>ADDIN CSL_CITATION {"citationItems":[{"id":"ITEM-1","itemData":{"ISSN":"1355-2511","abstract":"For Authors: If you would like to write for this, or any other Emerald publication, then please use our Emerald for Authors service. Information about how to choose which publication to write for and submission guidelines are available for all. Please visit www.emeraldinsight.com/authors for more information. About Emerald www.emeraldinsight.com With over forty years' experience, Emerald Group Publishing is a leading independent publisher of global research with impact in business, society, public policy and education. In total, Emerald publishes over 275 journals and more than 130 book series, as well as an extensive range of online products and services. Emerald is both COUNTER 3 and TRANSFER compliant. The organization is a partner of the Committee on Publication Ethics (COPE) and also works with Portico and the LOCKSS initiative for digital archive preservation.","author":[{"dropping-particle":"","family":"Tsang","given":"Albert H.C.","non-dropping-particle":"","parse-names":false,"suffix":""}],"container-title":"Journal of Quality in Maintenance Engineering","editor":[{"dropping-particle":"","family":"Worzala","given":"Elaine","non-dropping-particle":"","parse-names":false,"suffix":""}],"id":"ITEM-1","issue":"3","issued":{"date-parts":[["1995","9","12"]]},"page":"3-17","title":"Condition</w:instrText>
      </w:r>
      <w:r w:rsidR="00645D0B">
        <w:rPr>
          <w:rFonts w:ascii="Times New Roman" w:hAnsi="Times New Roman" w:cs="Times New Roman"/>
        </w:rPr>
        <w:instrText>‐</w:instrText>
      </w:r>
      <w:r w:rsidR="00645D0B">
        <w:instrText>based maintenance: tools and decision making","type":"article-journal","volume":"1"},"uris":["http://www.mendeley.com/documents/?uuid=0fcf2900-1cbb-4dbe-b913-a9491280b1f3"]},{"id":"ITEM-2","itemData":{"DOI":"10.1108/EUM0000000006007","ISSN":"1355-2511","abstract":"Discusses work completed at Cardinal River Coals in Canada to improve the existing oil analysis condition monitoring program being undertaken for wheel motors. Oil analysis results from a fleet of 55 haul truck wheel motors were analyzed along with their respective failures and repairs over a nine-year period. Detailed data cleaning procedures were applied to prepare data for modeling. In addition, definitions of failure and suspension were clarified depending on equipment condition at replacement. Using the proportional hazards model approach, the key condition variables relating to failures were found from among the 19 elements monitored, plus sediment and viscosity. Those key variables were then incorporated into a decision model that provided an unambiguous and optimal recommendation on whether to continue operating a wheel motor or to remove it for overhaul on the basis of data obtained from an oil sample. Wheel motor failure implied extensive planetary gear or sun gear damage necessitating the replacement of one or more major internal components in a general overhaul. The decision model, when triggered by incoming data, provided both a recommendation based on an optimal decision policy as well as an estimate of the unit's remaining useful life. By optimizing the times of repair as a function both of age and condition data a 20-30 percent potential savings in overhaul costs over existing practice was identified.","author":[{"dropping-particle":"","family":"Jardine","given":"A.K.S.","non-dropping-particle":"","parse-names":false,"suffix":""},{"dropping-particle":"","family":"Banjevic","given":"D.","non-dropping-particle":"","parse-names":false,"suffix":""},{"dropping-particle":"","family":"Wiseman","given":"M.","non-dropping-particle":"","parse-names":false,"suffix":""},{"dropping-particle":"","family":"Buck","given":"S.","non-dropping-particle":"","parse-names":false,"suffix":""},{"dropping-particle":"","family":"Joseph","given":"T.","non-dropping-particle":"","parse-names":false,"suffix":""}],"container-title":"Journal of Quality in Maintenance Engineering","id":"ITEM-2","issue":"4","issued":{"date-parts":[["2001","12"]]},"page":"286-302","title":"Optimizing a mine haul truck wheel motors’ condition monitoring program Use of proportional hazards modeling","type":"article-journal","volume":"7"},"uris":["http://www.mendeley.com/documents/?uuid=55da92a5-21e3-4350-8d66-66648f0120ca"]}],"mendeley":{"formattedCitation":"[73], [93]","plainTextFormattedCitation":"[73], [93]","previouslyFormattedCitation":"[73], [93]"},"properties":{"noteIndex":0},"schema":"https://github.com/citation-style-language/schema/raw/master/csl-citation.json"}</w:instrText>
      </w:r>
      <w:r>
        <w:fldChar w:fldCharType="separate"/>
      </w:r>
      <w:r w:rsidR="00416869" w:rsidRPr="00416869">
        <w:rPr>
          <w:noProof/>
        </w:rPr>
        <w:t>[73], [93]</w:t>
      </w:r>
      <w:r>
        <w:fldChar w:fldCharType="end"/>
      </w:r>
      <w:r>
        <w:t xml:space="preserve">. </w:t>
      </w:r>
      <w:r w:rsidR="00F53792">
        <w:t>Conversely</w:t>
      </w:r>
      <w:r>
        <w:t xml:space="preserve">, PdM-CBM </w:t>
      </w:r>
      <w:r w:rsidR="00CB7747">
        <w:t>relies</w:t>
      </w:r>
      <w:r>
        <w:t xml:space="preserve"> more on process control data (e.g., vibration, noise, temperature) to predict the impact on operational performances. In this particular realm of maintenance (PdM-CBM), PCA (Principal Component Analysis) gained prominence after the 2000s </w:t>
      </w:r>
      <w:r>
        <w:fldChar w:fldCharType="begin" w:fldLock="1"/>
      </w:r>
      <w:r w:rsidR="00645D0B">
        <w:instrText>ADDIN CSL_CITATION {"citationItems":[{"id":"ITEM-1","itemData":{"DOI":"10.1016/j.ymssp.2005.11.005","ISSN":"08883270","abstract":"This paper presents a case study of the application of a data-driven monitoring technique to diagnose air leaks in an automotive diesel engine. Using measurement signals taken from the sensors/actuators which are present in a modern automotive vehicle, a data-driven diagnostic model is built for condition monitoring purposes. Detailed investigations have shown that measured signals taken from the experimental test-bed often contain redundant information and noise due to the nature of the process. In order to deliver a clear interpretation of these measured signals, they therefore need to undergo a 'compression' and an 'extraction' stage in the modelling process. It is at this stage that the proposed data-driven monitoring technique plays a significant role by taking only the important information of the original measured signals for fault diagnosis purposes. The status of the engine's performance is then monitored using this diagnostic model. This condition monitoring process involves two separate stages of fault detection and root-cause diagnosis. The effectiveness of this diagnostic model was validated using an experimental automotive 1.9 L four-cylinder diesel engine embedded in a chassis dynamometer in an engine test-bed. Two joint diagnostics plots were used to provide an accurate and sensitive fault detection process. Using the proposed model, small air leaks in the inlet manifold plenum chamber with a diameter size of 2-6 mm were accurately detected. Further analyses using contribution to T 2 and Q statistics show the effect of these air leaks on fuel consumption. It was later discovered that these air leaks may contribute to emissions fault. In comparison to the existing model-based approaches, the proposed method has several benefits: (i) it makes no simplifying assumptions, as the model is built entirely from the measured signals; (ii) it is simple and straight-forward; (iii) there is no additional hardware required for modelling; (iv) it is a time and cost-efficient way to deliver condition monitoring (i.e. fault diagnosis application); (v) it is capable of pin-pointing the root-cause and the effect of the problem; and (vi) it is feasible to be implemented in practice. © 2005 Elsevier Ltd. All rights reserved.","author":[{"dropping-particle":"","family":"Antory","given":"David","non-dropping-particle":"","parse-names":false,"suffix":""}],"container-title":"Mechanical Systems and Signal Processing","id":"ITEM-1","issue":"2","issued":{"date-parts":[["2007"]]},"page":"795-808","title":"Application of a data-driven monitoring technique to diagnose air leaks in an automotive diesel engine: A case study","type":"article-journal","volume":"21"},"uris":["http://www.mendeley.com/documents/?uuid=c1626518-74b2-4cf2-ab54-b7c0ef6bc4c8"]},{"id":"ITEM-2","itemData":{"DOI":"10.1057/palgrave.jors.2602058","ISSN":"01605682","abstract":"This paper proposes the application of a principal components proportional hazards regression model in condition-based maintenance (CBM) optimization. The Cox proportional hazards model with time-dependent covariates is considered. Principal component analysis (PCA) can be applied to covariates (measurements) to reduce the number of variables included in the model, as well as to eliminate possible collinearity between the covariates. The main issues and problems in using the proposed methodology are discussed. PCA is applied to a simulated CBM data set and two real data sets obtained from industry: oil analysis data and vibration data. Reasonable results are obtained. © 2006 Operational Research Society Ltd. All rights reserved.","author":[{"dropping-particle":"","family":"Lin","given":"D.","non-dropping-particle":"","parse-names":false,"suffix":""},{"dropping-particle":"","family":"Banjevic","given":"D.","non-dropping-particle":"","parse-names":false,"suffix":""},{"dropping-particle":"","family":"Jardine","given":"A. K.S.","non-dropping-particle":"","parse-names":false,"suffix":""}],"container-title":"Journal of the Operational Research Society","id":"ITEM-2","issue":"8","issued":{"date-parts":[["2006"]]},"page":"910-919","title":"Using principal components in a proportional hazards model with applications in condition-based maintenance","type":"article-journal","volume":"57"},"uris":["http://www.mendeley.com/documents/?uuid=1f5b643a-4471-4146-a333-4f29c9d8e38e"]}],"mendeley":{"formattedCitation":"[94], [95]","plainTextFormattedCitation":"[94], [95]","previouslyFormattedCitation":"[94], [95]"},"properties":{"noteIndex":0},"schema":"https://github.com/citation-style-language/schema/raw/master/csl-citation.json"}</w:instrText>
      </w:r>
      <w:r>
        <w:fldChar w:fldCharType="separate"/>
      </w:r>
      <w:r w:rsidR="00416869" w:rsidRPr="00416869">
        <w:rPr>
          <w:noProof/>
        </w:rPr>
        <w:t>[94], [95]</w:t>
      </w:r>
      <w:r>
        <w:fldChar w:fldCharType="end"/>
      </w:r>
      <w:r>
        <w:t xml:space="preserve"> for determining the replacement control</w:t>
      </w:r>
      <w:r w:rsidR="006E5996">
        <w:t xml:space="preserve"> </w:t>
      </w:r>
      <w:r>
        <w:t xml:space="preserve">limits. More recently, the method of PCA has been applied in manufacturing </w:t>
      </w:r>
      <w:r>
        <w:fldChar w:fldCharType="begin" w:fldLock="1"/>
      </w:r>
      <w:r w:rsidR="00645D0B">
        <w:instrText>ADDIN CSL_CITATION {"citationItems":[{"id":"ITEM-1","itemData":{"abstract":"Modern manufacturing industries are increasingly looking to predictive analytics to gain decision making information from process data. This is driven by high levels of competition and a need to reduce operating costs. The presented work takes data in the form of a power measurement recorded during a medical device manufacturing process and uses multivariate data analysis (MVDA) to extract information leading to the proposal of a predictive maintenance scheduling algorithm. The proposed MVDA model was able to predict with 100 % accuracy the condition of a grinding tool.","author":[{"dropping-particle":"","family":"Whitaker","given":"Darren A","non-dropping-particle":"","parse-names":false,"suffix":""},{"dropping-particle":"","family":"Egan","given":"David","non-dropping-particle":"","parse-names":false,"suffix":""},{"dropping-particle":"","family":"OBrien","given":"Eoin","non-dropping-particle":"","parse-names":false,"suffix":""},{"dropping-particle":"","family":"Kinnear","given":"David","non-dropping-particle":"","parse-names":false,"suffix":""}],"id":"ITEM-1","issue":"February","issued":{"date-parts":[["2018","2","22"]]},"title":"Application of Multivariate Data Analysis to machine power measurements as a means of tool life Predictive Maintenance for reducing product waste","type":"article-journal"},"uris":["http://www.mendeley.com/documents/?uuid=56bea432-65b7-4e66-bf0f-03a6018be2cd"]}],"mendeley":{"formattedCitation":"[96]","plainTextFormattedCitation":"[96]","previouslyFormattedCitation":"[96]"},"properties":{"noteIndex":0},"schema":"https://github.com/citation-style-language/schema/raw/master/csl-citation.json"}</w:instrText>
      </w:r>
      <w:r>
        <w:fldChar w:fldCharType="separate"/>
      </w:r>
      <w:r w:rsidR="00416869" w:rsidRPr="00416869">
        <w:rPr>
          <w:noProof/>
        </w:rPr>
        <w:t>[96]</w:t>
      </w:r>
      <w:r>
        <w:fldChar w:fldCharType="end"/>
      </w:r>
      <w:r>
        <w:t xml:space="preserve">, aerospace industry </w:t>
      </w:r>
      <w:r>
        <w:fldChar w:fldCharType="begin" w:fldLock="1"/>
      </w:r>
      <w:r w:rsidR="00645D0B">
        <w:instrText>ADDIN CSL_CITATION {"citationItems":[{"id":"ITEM-1","itemData":{"DOI":"10.1007/s12652-018-0997-7","ISBN":"0123456789","ISSN":"18685145","abstract":"In aviation industry, prediction of engine failure time is very important. The engine is the main power device for aircraft flight and the consequences if they fail could be extremely serious. Predicting engine failure is a key task in airline repair control. This study predicts engine failure using principal component analysis (PCA). Variable replacement is a well-known technique to improve PCA prediction performance, hence we propose a hybrid method incorporating PCA, categorical regression tree and a back propagation network (PCA–CART–BPN) to engine failure time prediction. The proposed PCA–CART–BPN method effectively improved prediction accuracy and achieved satisfactory results. The proposed method first applies PCA analysis and classification and regression tree (CART) clustering, and then inputs these outcomes into a back propagation network (BPN) for training and testing. Experimental and analytical comparisons show that the proposed PCA–CART–BPN method provided significantly improved prediction accuracy to the PCA–CART method. The proposed PCA–CART–BPN method improved the performance by 2.9% (MAPE) and 39% (RMSE) over PCA–CART alone.","author":[{"dropping-particle":"","family":"Wang","given":"Yu Cheng","non-dropping-particle":"","parse-names":false,"suffix":""}],"container-title":"Journal of Ambient Intelligence and Humanized Computing","id":"ITEM-1","issue":"0","issued":{"date-parts":[["2018"]]},"page":"0","publisher":"Springer Berlin Heidelberg","title":"Prediction of engine failure time using principal component analysis, categorical regression tree, and back propagation network","type":"article-journal","volume":"0"},"uris":["http://www.mendeley.com/documents/?uuid=e86c7922-1657-40be-bec1-713e5503fe3c"]}],"mendeley":{"formattedCitation":"[97]","plainTextFormattedCitation":"[97]","previouslyFormattedCitation":"[97]"},"properties":{"noteIndex":0},"schema":"https://github.com/citation-style-language/schema/raw/master/csl-citation.json"}</w:instrText>
      </w:r>
      <w:r>
        <w:fldChar w:fldCharType="separate"/>
      </w:r>
      <w:r w:rsidR="00416869" w:rsidRPr="00416869">
        <w:rPr>
          <w:noProof/>
        </w:rPr>
        <w:t>[97]</w:t>
      </w:r>
      <w:r>
        <w:fldChar w:fldCharType="end"/>
      </w:r>
      <w:r>
        <w:t xml:space="preserve">, and infrastructure </w:t>
      </w:r>
      <w:r>
        <w:fldChar w:fldCharType="begin" w:fldLock="1"/>
      </w:r>
      <w:r w:rsidR="00416869">
        <w:instrText>ADDIN CSL_CITATION {"citationItems":[{"id":"ITEM-1","itemData":{"author":[{"dropping-particle":"","family":"Tripathi","given":"Siddharth","non-dropping-particle":"","parse-names":false,"suffix":""},{"dropping-particle":"","family":"Budhraja","given":"Ashwin","non-dropping-particle":"","parse-names":false,"suffix":""}],"container-title":"International Research Journal of Engineering and Technology (IRJET)","id":"ITEM-1","issue":"4","issued":{"date-parts":[["2019"]]},"page":"2282-2287","title":"Cloud Based Sewerage Monitoring and Predictive Maintenance Using Machine Learning","type":"article-journal","volume":"6"},"uris":["http://www.mendeley.com/documents/?uuid=1cd46057-ed62-481a-a241-0c04221599dc"]}],"mendeley":{"formattedCitation":"[14]","plainTextFormattedCitation":"[14]","previouslyFormattedCitation":"[14]"},"properties":{"noteIndex":0},"schema":"https://github.com/citation-style-language/schema/raw/master/csl-citation.json"}</w:instrText>
      </w:r>
      <w:r>
        <w:fldChar w:fldCharType="separate"/>
      </w:r>
      <w:r w:rsidR="00246F3C" w:rsidRPr="00246F3C">
        <w:rPr>
          <w:noProof/>
        </w:rPr>
        <w:t>[14]</w:t>
      </w:r>
      <w:r>
        <w:fldChar w:fldCharType="end"/>
      </w:r>
      <w:r>
        <w:t xml:space="preserve">, also extended with </w:t>
      </w:r>
      <w:r w:rsidR="00123C0D">
        <w:t xml:space="preserve">an </w:t>
      </w:r>
      <w:r>
        <w:t xml:space="preserve">unsupervised machine learning approach </w:t>
      </w:r>
      <w:r>
        <w:fldChar w:fldCharType="begin" w:fldLock="1"/>
      </w:r>
      <w:r w:rsidR="00416869">
        <w:instrText>ADDIN CSL_CITATION {"citationItems":[{"id":"ITEM-1","itemData":{"DOI":"10.1109/IEA.2018.8387124","ISBN":"9781538657478","abstract":"The area of predictive maintenance has taken a lot of prominence in the last couple of years due to various reasons. With new algorithms and methodologies growing across different learning methods, it has remained a challenge for industries to adopt which method is fit, robust and provide most accurate detection. Fault detection is one of the critical components of predictive maintenance; it is very much needed for industries to detect faults early and accurately. In a production environment, to minimize the cost of maintenance, sometimes it is required to build a model with minimal or no historical data. In such cases, unsupervised learning would be a better option model building. In this paper, we have chosen a simple vibration data collected from an exhaust fan, and have fit different unsupervised learning algorithms such as PCA T 2 statistic, Hierarchical clustering, K-Means, Fuzzy C-Means clustering and model-based clustering to test its accuracy, performance, and robustness. In the end, we have proposed a methodology to benchmark different algorithms and choosing the final model.","author":[{"dropping-particle":"","family":"Amruthnath","given":"Nagdev","non-dropping-particle":"","parse-names":false,"suffix":""},{"dropping-particle":"","family":"Gupta","given":"Tarun","non-dropping-particle":"","parse-names":false,"suffix":""}],"container-title":"2018 5th International Conference on Industrial Engineering and Applications, ICIEA 2018","id":"ITEM-1","issue":"August 1993","issued":{"date-parts":[["2018"]]},"page":"355-361","publisher":"IEEE","title":"A research study on unsupervised machine learning algorithms for early fault detection in predictive maintenance","type":"article-journal"},"uris":["http://www.mendeley.com/documents/?uuid=013c8d12-1f0d-48e1-babf-9daba7966299"]}],"mendeley":{"formattedCitation":"[11]","plainTextFormattedCitation":"[11]","previouslyFormattedCitation":"[11]"},"properties":{"noteIndex":0},"schema":"https://github.com/citation-style-language/schema/raw/master/csl-citation.json"}</w:instrText>
      </w:r>
      <w:r>
        <w:fldChar w:fldCharType="separate"/>
      </w:r>
      <w:r w:rsidR="00246F3C" w:rsidRPr="00246F3C">
        <w:rPr>
          <w:noProof/>
        </w:rPr>
        <w:t>[11]</w:t>
      </w:r>
      <w:r>
        <w:fldChar w:fldCharType="end"/>
      </w:r>
      <w:r>
        <w:t xml:space="preserve">. </w:t>
      </w:r>
      <w:r w:rsidR="00123C0D">
        <w:t>The d</w:t>
      </w:r>
      <w:r>
        <w:t>evelopment of sensor technology, remote monitoring (e-maintenance</w:t>
      </w:r>
      <w:r>
        <w:fldChar w:fldCharType="begin" w:fldLock="1"/>
      </w:r>
      <w:r w:rsidR="00416869">
        <w:instrText>ADDIN CSL_CITATION {"citationItems":[{"id":"ITEM-1","itemData":{"DOI":"10.1080/09537280802062571","ISSN":"0953-7287","author":[{"dropping-particle":"","family":"Levrat","given":"E.","non-dropping-particle":"","parse-names":false,"suffix":""},{"dropping-particle":"","family":"Iung","given":"B.","non-dropping-particle":"","parse-names":false,"suffix":""},{"dropping-particle":"","family":"Crespo Marquez","given":"A.","non-dropping-particle":"","parse-names":false,"suffix":""}],"container-title":"Production Planning &amp; Control","id":"ITEM-1","issue":"4","issued":{"date-parts":[["2008","6","19"]]},"page":"408-429","title":"E-maintenance: review and conceptual framework","type":"article-journal","volume":"19"},"uris":["http://www.mendeley.com/documents/?uuid=88f205f9-1874-4189-9170-db2a746e6145"]}],"mendeley":{"formattedCitation":"[61]","plainTextFormattedCitation":"[61]","previouslyFormattedCitation":"[61]"},"properties":{"noteIndex":0},"schema":"https://github.com/citation-style-language/schema/raw/master/csl-citation.json"}</w:instrText>
      </w:r>
      <w:r>
        <w:fldChar w:fldCharType="separate"/>
      </w:r>
      <w:r w:rsidR="00246F3C" w:rsidRPr="00246F3C">
        <w:rPr>
          <w:noProof/>
        </w:rPr>
        <w:t>[61]</w:t>
      </w:r>
      <w:r>
        <w:fldChar w:fldCharType="end"/>
      </w:r>
      <w:r>
        <w:t xml:space="preserve">), and typologies suggested by Veldman et al. </w:t>
      </w:r>
      <w:r>
        <w:fldChar w:fldCharType="begin" w:fldLock="1"/>
      </w:r>
      <w:r w:rsidR="00416869">
        <w:instrText>ADDIN CSL_CITATION {"citationItems":[{"id":"ITEM-1","itemData":{"DOI":"10.1108/13552511111134600","ISBN":"1355251111111","ISSN":"1355-2511","abstract":"Purpose: The purpose of this paper is the development of an empirically based typology of condition based maintenance (CBM) approaches, including the relevant characteristics and requirements. Design/methodology/approach: An exploratory case study was conducted in a major gas production facility. The CBM typology that resulted from this case study was subsequently tested against a large set of CBM literature. Findings: In the literature, CBM is usually presented as a single theory or practice. The paper finds that CBM in fact includes several different approaches and that each of the approaches is only suitable in situations where the specific characteristics of the approach match the situational characteristics. Aided by these findings, a new typology for CBM was developed. The typology is based on the method for obtaining the expected value, or trend (through statistical vs analytical modeling) and the type of data used (process vs failure data). A subsequent literature survey reveals that the proposed typology is applicable for the categorization of a large number of CBM cases found in the literature. Practical implications: One of the most important requirements in selecting and using a CBM approach is the availability and integration of various types of knowledge, in particular process engineering and maintenance engineering knowledge. Practitioners can use these insights to assess current CBM cases, and identify the key characteristics of current and future use of various CBM types. Originality/value: This paper presents a novel and empirically based framework for the classification of the different CBM types. Such frameworks were lacking in the current literature. The paper adds to maintenance engineering literature by identifying the key dimensions of the various types along with their key requirements. © Emerald Group Publishing Limited 1355-2511.","author":[{"dropping-particle":"","family":"Veldman","given":"Jasper","non-dropping-particle":"","parse-names":false,"suffix":""},{"dropping-particle":"","family":"Wortmann","given":"Hans","non-dropping-particle":"","parse-names":false,"suffix":""},{"dropping-particle":"","family":"Klingenberg","given":"Warse","non-dropping-particle":"","parse-names":false,"suffix":""}],"container-title":"Journal of Quality in Maintenance Engineering","id":"ITEM-1","issue":"2","issued":{"date-parts":[["2011","5","31"]]},"note":"- One of the most widely used analytical tool in CBMl;\n- In theory building research it is common to verify case study outcomes with conflicting and similar literature to increase internal validity and generalizability (Eisenhardt, 1989).\n\n- PHM was compared with an extension of PCA in a paper by Makis et al. (2006) in the analysis of oil data. They found that PHM outperforms PCA considerably when it comes to failure reduction and the prediction of replacement dates.\n\n- Recognizing that this is not always the case, Sun et al. (2006) provided an alternative model (called the Proportional Covariate Model).","page":"183-202","title":"Typology of condition based maintenance","type":"article-journal","volume":"17"},"uris":["http://www.mendeley.com/documents/?uuid=1cb4be5b-af8b-46f8-8397-907366b04f92"]}],"mendeley":{"formattedCitation":"[62]","plainTextFormattedCitation":"[62]","previouslyFormattedCitation":"[62]"},"properties":{"noteIndex":0},"schema":"https://github.com/citation-style-language/schema/raw/master/csl-citation.json"}</w:instrText>
      </w:r>
      <w:r>
        <w:fldChar w:fldCharType="separate"/>
      </w:r>
      <w:r w:rsidR="00246F3C" w:rsidRPr="00246F3C">
        <w:rPr>
          <w:noProof/>
        </w:rPr>
        <w:t>[62]</w:t>
      </w:r>
      <w:r>
        <w:fldChar w:fldCharType="end"/>
      </w:r>
      <w:r>
        <w:t xml:space="preserve">, inspired </w:t>
      </w:r>
      <w:r w:rsidR="00B87AED">
        <w:t>the author</w:t>
      </w:r>
      <w:r>
        <w:t xml:space="preserve"> to propose this maintenance juxtaposition. Likewise, numerous programs exist within the literature</w:t>
      </w:r>
      <w:r w:rsidR="00CB7747">
        <w:t xml:space="preserve">; for instance, </w:t>
      </w:r>
      <w:r>
        <w:t>PHM (Prognostics and Health Management) program</w:t>
      </w:r>
      <w:r w:rsidR="00CB7747">
        <w:t xml:space="preserve"> </w:t>
      </w:r>
      <w:r>
        <w:t xml:space="preserve">extends the traditional CBM’s diagnostic and prognostic aspects with LCM (Life Cycle Management) capabilities. Some authors consider PHM a synonym for CBM </w:t>
      </w:r>
      <w:r>
        <w:fldChar w:fldCharType="begin" w:fldLock="1"/>
      </w:r>
      <w:r w:rsidR="00645D0B">
        <w:instrText>ADDIN CSL_CITATION {"citationItems":[{"id":"ITEM-1","itemData":{"DOI":"10.1109/AERO.2008.4526641","ISBN":"978-1-4244-1487-1","ISSN":"1095-323X","abstract":"Since its beginning in late 1990s, Prognostics and Health Management (PHM), or Condition Based Maintenance Plus (CBM+), has not only spawned a vital research community, but has also become a requirement for complex systems, like air and space vehicles, to achieve the goals of Condition Base Maintenance (CBM) and Reliability Centered Maintenance (RCM), CBM+ extends the traditional capabilities of fault detection and isolation with the capabilities of prognostics and logistics. To enable these extended capabilities, a modern CBM+ system requires two essential components: 1) an on-board monitoring unit; and 2) an off-board (or ground-based) information system. The CBM+ Research Environment is an implementation of the off-board information system to facilitate CBM and RCM practices. Historically, aircraft propulsion systems (or engines) have led the way in deploying CBM+ capabilities, because of their criticality on flight safely and their significance in driving maintenance cost. By using the propulsion system as the target application, this paper describes the off-board information system being designed by the authors. It also presents some examples to demonstrate the concept of the CBM+ research environment. ©2008 IEEE.","author":[{"dropping-particle":"","family":"Jaw","given":"Link C.","non-dropping-particle":"","parse-names":false,"suffix":""},{"dropping-particle":"","family":"Merrill","given":"Walt","non-dropping-particle":"","parse-names":false,"suffix":""}],"container-title":"2008 IEEE Aerospace Conference","id":"ITEM-1","issued":{"date-parts":[["2008","3"]]},"page":"1-6","publisher":"IEEE","title":"CBM+ Research Environment - Facilitating Technology Development, Experimentation, and Maturation","type":"paper-conference"},"uris":["http://www.mendeley.com/documents/?uuid=04e6a0da-e6d3-48c0-872c-68e8dc7b9ead"]},{"id":"ITEM-2","itemData":{"DOI":"10.1007/978-3-319-55852-3_3","abstract":"This book proposes the formulation of an efficient methodology that estimates energy system uncertainty and predicts Remaining Useful Life (RUL) accurately with significantly reduced RUL prediction uncertainty. Renewable and non-renewable sources of energy are being used to supply the demands of societies worldwide. These sources are mainly thermo-chemo-electro-mechanical systems that are subject to uncertainty in future loading conditions, material properties, process noise, and other design parameters. It book informs the reader of existing and new ideas that will be implemented in RUL prediction of energy systems in the future. The book provides case studies, illustrations, graphs, and charts. Its chapters consider engineering, reliability, prognostics and health management, probabilistic multibody dynamical analysis, peridynamic and finite-element modelling, computer science, and mathematics.","author":[{"dropping-particle":"","family":"Sheng","given":"Shuangwen","non-dropping-particle":"","parse-names":false,"suffix":""}],"container-title":"Probabilistic Prognostics and Health Management of Energy Systems","editor":[{"dropping-particle":"","family":"Ekwaro-Osire","given":"Stephen","non-dropping-particle":"","parse-names":false,"suffix":""},{"dropping-particle":"","family":"Gonçalves","given":"Aparecido Carlos","non-dropping-particle":"","parse-names":false,"suffix":""},{"dropping-particle":"","family":"Alemayehu","given":"Fisseha M.","non-dropping-particle":"","parse-names":false,"suffix":""}],"id":"ITEM-2","issued":{"date-parts":[["2017"]]},"page":"33-47","publisher":"Springer International Publishing","publisher-place":"Cham","title":"Prognostics and Health Management of Wind Turbines—Current Status and Future Opportunities","type":"chapter"},"uris":["http://www.mendeley.com/documents/?uuid=dd2f4f85-3ee1-4d62-8f30-6b6d97ed0741"]}],"mendeley":{"formattedCitation":"[84], [98]","plainTextFormattedCitation":"[84], [98]","previouslyFormattedCitation":"[84], [98]"},"properties":{"noteIndex":0},"schema":"https://github.com/citation-style-language/schema/raw/master/csl-citation.json"}</w:instrText>
      </w:r>
      <w:r>
        <w:fldChar w:fldCharType="separate"/>
      </w:r>
      <w:r w:rsidR="00416869" w:rsidRPr="00416869">
        <w:rPr>
          <w:noProof/>
        </w:rPr>
        <w:t>[84], [98]</w:t>
      </w:r>
      <w:r>
        <w:fldChar w:fldCharType="end"/>
      </w:r>
      <w:r>
        <w:t>, although without proper terminological explanation to support such claims. Similarly, the SHM (Structural Health Monitoring) program closely reflects CBM</w:t>
      </w:r>
      <w:r w:rsidR="00123C0D">
        <w:t>. Only the condition-monitoring part of CBM emphasises</w:t>
      </w:r>
      <w:r>
        <w:t xml:space="preserve"> structural damage detection. The SHM has been widely applied in aerospace </w:t>
      </w:r>
      <w:r>
        <w:fldChar w:fldCharType="begin" w:fldLock="1"/>
      </w:r>
      <w:r w:rsidR="00645D0B">
        <w:instrText>ADDIN CSL_CITATION {"citationItems":[{"id":"ITEM-1","itemData":{"DOI":"10.1016/j.prostr.2017.07.025","ISSN":"24523216","abstract":"This paper provides information on the development of a landing gear Structural Health Monitoring (SHM) system that provides prognostic/diagnostic HUMS capabilities through direct load measurement in addition to strut servicing detection algorithms. The system provides advanced monitoring technology via the incorporation of new sensors integrated into the landing gear assembly. The direct load measurement approach is a paradigm shift from current methods of tracking fatigue damage of airframe landing gear systems and fuselage support structures, which depend on data collection of aircraft parameters recorded onboard at various sampling rates by SHM devices. The landing gear SHM provides direct loads measurement, weight/balance calculations, and the ability to perform Condition Based Maintenance (CBM) on the landing gear components. NAVAIR contracted with ES3 to support the development of the landing gear SHM via the Small Business Innovative Research (SBIR) program, via a Phase II award on the N121-043 topic. The proposed solution will be directly transferable to other Navy, military and commercial aircraft platforms. This paper will address the following topics in the area of HUMS and CBM: (1) advanced landing gear sensors for direct load measurement; (2) data fusion of direct loads monitoring data into fatigue life assessments; (3) paradigm shifts in aircraft maintenance utilizing strut servicing detection algorithms; (4) system verification and validation; and (5) safety and maintenance benefits. Prior work in the field of spectrum development and usage monitoring has typically focused on the aircraft structure, with assumptions translated to the landing gear components without any direct measurement. The benefits of usage monitoring can also be realized for landing gear. Direct loads measurement provides the ability to extend service life, remove components based on actual loading, improve safety, increase aircraft availability, and save maintenance costs with incorporation of CBM data into the maintenance practices. This paper advances the state-of-the-art via the miniaturization of sensors rated for the severe landing gear environment at a high Technological Readiness Level (TRL). The technological readiness of the landing gear SHM sensors has advanced, with several SHM sensors currently flying on aircraft for loads spectrum data collection purposes. This paper varies from prior publications for the European Workshop on Structural Health Monitorin…","author":[{"dropping-particle":"","family":"Forrest","given":"Chad","non-dropping-particle":"","parse-names":false,"suffix":""},{"dropping-particle":"","family":"Forrest","given":"Clint","non-dropping-particle":"","parse-names":false,"suffix":""},{"dropping-particle":"","family":"Wiser","given":"Doug","non-dropping-particle":"","parse-names":false,"suffix":""}],"container-title":"Procedia Structural Integrity","id":"ITEM-1","issued":{"date-parts":[["2017"]]},"page":"1153-1159","publisher":"Elsevier B.V.","title":"Landing Gear Structural Health Monitoring (SHM)","type":"article-journal","volume":"5"},"uris":["http://www.mendeley.com/documents/?uuid=6c2e83d0-b0ad-4fef-ac8d-4561eda1d67a"]}],"mendeley":{"formattedCitation":"[99]","plainTextFormattedCitation":"[99]","previouslyFormattedCitation":"[99]"},"properties":{"noteIndex":0},"schema":"https://github.com/citation-style-language/schema/raw/master/csl-citation.json"}</w:instrText>
      </w:r>
      <w:r>
        <w:fldChar w:fldCharType="separate"/>
      </w:r>
      <w:r w:rsidR="00416869" w:rsidRPr="00416869">
        <w:rPr>
          <w:noProof/>
        </w:rPr>
        <w:t>[99]</w:t>
      </w:r>
      <w:r>
        <w:fldChar w:fldCharType="end"/>
      </w:r>
      <w:r>
        <w:t xml:space="preserve">, civil </w:t>
      </w:r>
      <w:r>
        <w:fldChar w:fldCharType="begin" w:fldLock="1"/>
      </w:r>
      <w:r w:rsidR="00645D0B">
        <w:instrText>ADDIN CSL_CITATION {"citationItems":[{"id":"ITEM-1","itemData":{"DOI":"10.1098/rsta.2006.1925","ISSN":"1364503X","abstract":"Structural health monitoring (SHM) is a term increasingly used in the last decade to describe a range of systems implemented on full-scale civil infrastructures and whose purposes are to assist and inform operators about continued 'fitness for purpose' of structures under gradual or sudden changes to their state, to learn about either or both of the load and response mechanisms. Arguably, various forms of SHM have been employed in civil infrastructure for at least half a century, but it is only in the last decade or two that computer-based systems are being designed for the purpose of assisting owners/operators of ageing infrastructure with timely information for their continued safe and economic operation. This paper describes the motivations for and recent history of SHM applications to various forms of civil infrastructure and provides case studies on specific types of structure. It ends with a discussion of the present state-of-the-art and future developments in terms of instrumentation, data acquisition, communication systems and data mining and presentation procedures for diagnosis of infrastructural 'health'. © 2006 The Royal Society.","author":[{"dropping-particle":"","family":"Brownjohn","given":"J. M.W.","non-dropping-particle":"","parse-names":false,"suffix":""}],"container-title":"Philosophical Transactions of the Royal Society A: Mathematical, Physical and Engineering Sciences","id":"ITEM-1","issue":"1851","issued":{"date-parts":[["2007"]]},"page":"589-622","title":"Structural health monitoring of civil infrastructure","type":"article-journal","volume":"365"},"uris":["http://www.mendeley.com/documents/?uuid=f4a9c2cf-bba3-4b3f-9737-c0ce26fbe51c"]},{"id":"ITEM-2","itemData":{"DOI":"10.1016/j.engstruct.2005.02.021","ISSN":"01410296","abstract":"The significance of implementing long-term structural health monitoring systems for large-scale bridges, in order to secure structural and operational safety and issue early warnings on damage or deterioration prior to costly repair or even catastrophic collapse, has been recognized by bridge administrative authorities. Developing a long-term monitoring system for a large-scale bridge-one that is really able to provide information for evaluating structural integrity, durability and reliability throughout the bridge life cycle and ensuring optimal maintenance planning and safe bridge operation - Poses technological challenges at different levels, from the selection of proper sensors to the design of a structural health evaluation system. This paper explores recent technology developments in the field of structural health monitoring and their application to large-scale bridge projects. The need for technological fusion from different disciplines, and for a structural health evaluation paradigm that is really able to help prioritize bridge rehabilitation, maintenance and emergency repair, is highlighted. © 2005 Elsevier Ltd. All rights reserved.","author":[{"dropping-particle":"","family":"Ko","given":"J. M.","non-dropping-particle":"","parse-names":false,"suffix":""},{"dropping-particle":"","family":"Ni","given":"Y. Q.","non-dropping-particle":"","parse-names":false,"suffix":""}],"container-title":"Engineering Structures","id":"ITEM-2","issue":"12 SPEC. ISS.","issued":{"date-parts":[["2005"]]},"page":"1715-1725","title":"Technology developments in structural health monitoring of large-scale bridges","type":"article-journal","volume":"27"},"uris":["http://www.mendeley.com/documents/?uuid=9ae86626-0bb6-43ee-9952-1d52d7201485"]},{"id":"ITEM-3","itemData":{"abstract":"The development of structural health monitoring (SHM) technology has evolved for over fifteen years in Hong Kong since the implementation of the “Wind And Structural Health Monitoring System (WASHMS)” on the suspension Tsing Ma Bridge in 1997. Five cable-supported bridges in Hong Kong, namely the Tsing Ma (suspension) Bridge, the Kap Shui Mun (cable-stayed) Bridge, the Ting Kau (cable-stayed) Bridge, the Western Corridor (cable-stayed) Bridge, and the Stonecutters (cable-stayed) Bridge, have been instrumented with sophisticated long-term SHM systems. These SHM systems mainly focus on the tracing of structural behavior and condition of the long-span bridges over their lifetime. Recently, a structural health monitoring and maintenance management system (SHM&amp;MMS) has been designed and will be implemented on twenty-one sea-crossing viaduct bridges with a total length of 9,283 km in the Hong Kong Link Road (HKLR) of the Hong Kong – Zhuhai – Macao Bridge of which the construction commenced in mid-2012. The SHM&amp;MMS gives more emphasis on durability monitoring of the reinforced concrete viaduct bridges in marine environment and integration of the SHM system and bridge maintenance management system. It is targeted to realize the transition from traditional corrective and preventive maintenance to condition-based maintenance (CBM) of in-service bridges. The CBM uses real-time and continuous monitoring data and monitoring-derived information on the condition of bridges (including structural performance and deterioration mechanisms) to identify when the actual maintenance is necessary and how cost-effective maintenance can be conducted. This paper outlines how to incorporate SHM technology into bridge maintenance strategy to realize CBM management of bridges.","author":[{"dropping-particle":"","family":"Ni","given":"Y Q","non-dropping-particle":"","parse-names":false,"suffix":""},{"dropping-particle":"","family":"Wong","given":"K Y","non-dropping-particle":"","parse-names":false,"suffix":""}],"container-title":"4th International Workshop on Civil Structural Health Monitoring","id":"ITEM-3","issued":{"date-parts":[["2012"]]},"page":"6-8","title":"Integrating Bridge Structural Health Monitoring and Condition-Based Maintenance Management","type":"article-journal"},"uris":["http://www.mendeley.com/documents/?uuid=6f2c9a3c-ab22-444f-90c7-2f4714f458ee"]}],"mendeley":{"formattedCitation":"[100]–[102]","plainTextFormattedCitation":"[100]–[102]","previouslyFormattedCitation":"[100]–[102]"},"properties":{"noteIndex":0},"schema":"https://github.com/citation-style-language/schema/raw/master/csl-citation.json"}</w:instrText>
      </w:r>
      <w:r>
        <w:fldChar w:fldCharType="separate"/>
      </w:r>
      <w:r w:rsidR="00416869" w:rsidRPr="00416869">
        <w:rPr>
          <w:noProof/>
        </w:rPr>
        <w:t>[100]–[102]</w:t>
      </w:r>
      <w:r>
        <w:fldChar w:fldCharType="end"/>
      </w:r>
      <w:r>
        <w:t xml:space="preserve">, and mechanical engineering structures </w:t>
      </w:r>
      <w:r>
        <w:fldChar w:fldCharType="begin" w:fldLock="1"/>
      </w:r>
      <w:r w:rsidR="00645D0B">
        <w:instrText>ADDIN CSL_CITATION {"citationItems":[{"id":"ITEM-1","itemData":{"abstract":"Staff members at Los Alamos National Laboratory (LANL) produced a summary of the structural health monitoring literature in 1995. This presentation will summarize the outcome of an updated review covering the years 1996-2001. The updated review follows the LANL statistical pattern recognition paradigm for SHM, which addresses four topics: 1. Operational Evaluation; 2. Data Acquisition and Cleansing; 3. Feature Extraction; and 4. Statistical Modeling for Feature Discrimination. The literature has been reviewed based on how a particular study addresses these four topics. A significant observation from this review is that although there are many more SHM studies being reported, the investigators, in general, have not yet fully embraced the well-developed tools from statistical pattern recognition. As such, the discrimination procedures employed are often lacking the appropriate rigor necessary for this technology to evolve beyond demonstration problems carried out in laboratory setting.","author":[{"dropping-particle":"","family":"Sohn","given":"Hoon","non-dropping-particle":"","parse-names":false,"suffix":""},{"dropping-particle":"","family":"Farrar","given":"Charles R","non-dropping-particle":"","parse-names":false,"suffix":""},{"dropping-particle":"","family":"Hemez","given":"Francois","non-dropping-particle":"","parse-names":false,"suffix":""},{"dropping-particle":"","family":"Czarnecki","given":"Jerry","non-dropping-particle":"","parse-names":false,"suffix":""}],"container-title":"Library.Lanl.Gov","id":"ITEM-1","issued":{"date-parts":[["2001"]]},"page":"1-7","title":"A Review of Structural Health Monitoring Literature 1996-2001","type":"article-journal"},"uris":["http://www.mendeley.com/documents/?uuid=bb131d5c-b750-4e32-9eca-e6773a6ff592"]}],"mendeley":{"formattedCitation":"[103]","plainTextFormattedCitation":"[103]","previouslyFormattedCitation":"[103]"},"properties":{"noteIndex":0},"schema":"https://github.com/citation-style-language/schema/raw/master/csl-citation.json"}</w:instrText>
      </w:r>
      <w:r>
        <w:fldChar w:fldCharType="separate"/>
      </w:r>
      <w:r w:rsidR="00416869" w:rsidRPr="00416869">
        <w:rPr>
          <w:noProof/>
        </w:rPr>
        <w:t>[103]</w:t>
      </w:r>
      <w:r>
        <w:fldChar w:fldCharType="end"/>
      </w:r>
      <w:r>
        <w:t xml:space="preserve">. Unlike </w:t>
      </w:r>
      <w:r w:rsidR="00123C0D">
        <w:t>many</w:t>
      </w:r>
      <w:r>
        <w:t xml:space="preserve"> condition-monitoring techniques that CBM and PHM consist of, the SHM</w:t>
      </w:r>
      <w:r w:rsidR="00C167CE">
        <w:t xml:space="preserve"> </w:t>
      </w:r>
      <w:r w:rsidR="00C167CE">
        <w:fldChar w:fldCharType="begin" w:fldLock="1"/>
      </w:r>
      <w:r w:rsidR="00645D0B">
        <w:instrText>ADDIN CSL_CITATION {"citationItems":[{"id":"ITEM-1","itemData":{"DOI":"10.1098/rspa.2007.1834","ISSN":"14712946","abstract":"Based on the extensive literature that has developed on structural health monitoring over the last 20 years, it can be argued that this field has matured to the point where several fundamental axioms, or gen eral principles, have emerged. The intention of this paper is to explicitly state and justify these axioms. In so doing, it is hoped that two subsequent goals are facilitated. First, the statement of such axioms will give new researchers in the field a starting point that alleviates the need to review the vast amounts of literature in this field. Second, the authors hope to stimulate discussion and thought within the community regarding these axioms. © 2007 The Royal Society.","author":[{"dropping-particle":"","family":"Worden","given":"Keith","non-dropping-particle":"","parse-names":false,"suffix":""},{"dropping-particle":"","family":"Farrar","given":"Charles R.","non-dropping-particle":"","parse-names":false,"suffix":""},{"dropping-particle":"","family":"Manson","given":"Graeme","non-dropping-particle":"","parse-names":false,"suffix":""},{"dropping-particle":"","family":"Park","given":"Gyuhae","non-dropping-particle":"","parse-names":false,"suffix":""}],"container-title":"Proceedings of the Royal Society A: Mathematical, Physical and Engineering Sciences","id":"ITEM-1","issue":"2082","issued":{"date-parts":[["2007"]]},"page":"1639-1664","title":"The fundamental axioms of structural health monitoring","type":"article-journal","volume":"463"},"uris":["http://www.mendeley.com/documents/?uuid=807cda31-abf2-43b5-ab4a-b7df81d0d6c7"]}],"mendeley":{"formattedCitation":"[104]","plainTextFormattedCitation":"[104]","previouslyFormattedCitation":"[104]"},"properties":{"noteIndex":0},"schema":"https://github.com/citation-style-language/schema/raw/master/csl-citation.json"}</w:instrText>
      </w:r>
      <w:r w:rsidR="00C167CE">
        <w:fldChar w:fldCharType="separate"/>
      </w:r>
      <w:r w:rsidR="00416869" w:rsidRPr="00416869">
        <w:rPr>
          <w:noProof/>
        </w:rPr>
        <w:t>[104]</w:t>
      </w:r>
      <w:r w:rsidR="00C167CE">
        <w:fldChar w:fldCharType="end"/>
      </w:r>
      <w:r w:rsidR="00123C0D">
        <w:t>,</w:t>
      </w:r>
      <w:r>
        <w:t xml:space="preserve"> however, mostly relies only on vibration or noise data for pattern recognition </w:t>
      </w:r>
      <w:r>
        <w:fldChar w:fldCharType="begin" w:fldLock="1"/>
      </w:r>
      <w:r w:rsidR="00645D0B">
        <w:instrText>ADDIN CSL_CITATION {"citationItems":[{"id":"ITEM-1","itemData":{"DOI":"10.1115/1.1410933","ISSN":"15289028","abstract":"This paper casts structural health monitoring in the context of a statistical pattern recognition paradigm. Two pattern recognition techniques based on time series analysis are applied to fiber optic strain gauge data obtained from two different structural conditions of a surface-effect fast patrol boat. The first technique is based on a two-stage time series analysis combining Auto-Regressive (AR) and Auto-Regressive with eXogenous inputs (ARX) prediction models. The second technique employs an outlier analysis with the Mahalanobis distance measure. The main objective is to extract features and construct a statistical model that distinguishes the signals recorded under the different structural conditions of the boat. These two techniques were successfully applied to the patrol boat data clearly distinguishing data sets obtained from different structural conditions. © 2001 by ASME.","author":[{"dropping-particle":"","family":"Sohn","given":"Hoon","non-dropping-particle":"","parse-names":false,"suffix":""},{"dropping-particle":"","family":"Farrar","given":"Charles R.","non-dropping-particle":"","parse-names":false,"suffix":""},{"dropping-particle":"","family":"Hunter","given":"Norman F.","non-dropping-particle":"","parse-names":false,"suffix":""},{"dropping-particle":"","family":"Worden","given":"Keith","non-dropping-particle":"","parse-names":false,"suffix":""}],"container-title":"Journal of Dynamic Systems, Measurement and Control, Transactions of the ASME","id":"ITEM-1","issue":"4","issued":{"date-parts":[["2001"]]},"page":"706-711","title":"Structural health monitoring using statistical pattern recognition techniques","type":"article-journal","volume":"123"},"uris":["http://www.mendeley.com/documents/?uuid=a116854f-389d-43e9-9c6a-3645d696679e"]}],"mendeley":{"formattedCitation":"[105]","plainTextFormattedCitation":"[105]","previouslyFormattedCitation":"[105]"},"properties":{"noteIndex":0},"schema":"https://github.com/citation-style-language/schema/raw/master/csl-citation.json"}</w:instrText>
      </w:r>
      <w:r>
        <w:fldChar w:fldCharType="separate"/>
      </w:r>
      <w:r w:rsidR="00416869" w:rsidRPr="00416869">
        <w:rPr>
          <w:noProof/>
        </w:rPr>
        <w:t>[105]</w:t>
      </w:r>
      <w:r>
        <w:fldChar w:fldCharType="end"/>
      </w:r>
      <w:r>
        <w:t xml:space="preserve">, with more details in </w:t>
      </w:r>
      <w:r w:rsidR="00123C0D">
        <w:t xml:space="preserve">the </w:t>
      </w:r>
      <w:r>
        <w:t xml:space="preserve">diagnostic aspect </w:t>
      </w:r>
      <w:r>
        <w:fldChar w:fldCharType="begin" w:fldLock="1"/>
      </w:r>
      <w:r w:rsidR="00645D0B">
        <w:instrText>ADDIN CSL_CITATION {"citationItems":[{"id":"ITEM-1","itemData":{"ISBN":"978-1-936263-16-5","abstract":"In this work the three disciplines of condition based maintenance (CBM), structural health monitoring (SHM) and prognostics and health management (PHM) are described and the characteristics of the disciplines are compared. The three approaches are then demonstrated using three different case studies on bearing vibration monitoring, composite panel structural health monitoring and helicopter landing gear prognostics, respectively. After a discussion on the benefits of understanding the system (failure) behaviour, an integrated approach is proposed in\\r\\nwhich the three disciplines are aligned. This approach starts from defining an appropriate monitoring strategy and eventually leads to decision support in taking the decisions that lead to an optimal maintenance process throughout the life cycle of the asset.","author":[{"dropping-particle":"","family":"Tinga","given":"T","non-dropping-particle":"","parse-names":false,"suffix":""},{"dropping-particle":"","family":"Loendersloot","given":"R","non-dropping-particle":"","parse-names":false,"suffix":""}],"container-title":"European Conference of the Prognostics and Health Management Society","id":"ITEM-1","issued":{"date-parts":[["2014"]]},"page":"162-171","title":"Aligning PHM, SHM and CBM by understanding the system failure behaviour","type":"article-journal","volume":"2"},"uris":["http://www.mendeley.com/documents/?uuid=5d970094-cce9-4f2b-b86b-fcf94ed80a2b"]}],"mendeley":{"formattedCitation":"[106]","plainTextFormattedCitation":"[106]","previouslyFormattedCitation":"[106]"},"properties":{"noteIndex":0},"schema":"https://github.com/citation-style-language/schema/raw/master/csl-citation.json"}</w:instrText>
      </w:r>
      <w:r>
        <w:fldChar w:fldCharType="separate"/>
      </w:r>
      <w:r w:rsidR="00416869" w:rsidRPr="00416869">
        <w:rPr>
          <w:noProof/>
        </w:rPr>
        <w:t>[106]</w:t>
      </w:r>
      <w:r>
        <w:fldChar w:fldCharType="end"/>
      </w:r>
      <w:r>
        <w:t>.</w:t>
      </w:r>
      <w:r w:rsidR="00F51F7A">
        <w:t xml:space="preserve"> </w:t>
      </w:r>
      <w:r>
        <w:t xml:space="preserve">Putting all together, one can conclude that SHM and CBM closely relate </w:t>
      </w:r>
      <w:r>
        <w:lastRenderedPageBreak/>
        <w:t xml:space="preserve">to each other, with differences in </w:t>
      </w:r>
      <w:r w:rsidR="00601BE0">
        <w:t>analysis and layer of decision-making since SHM mostly encompass the tactical layer, while CBM encompasses mostly the</w:t>
      </w:r>
      <w:r w:rsidR="00E572E9">
        <w:t xml:space="preserve"> strategic layer</w:t>
      </w:r>
      <w:r w:rsidR="00F76783">
        <w:t>.</w:t>
      </w:r>
      <w:r>
        <w:t xml:space="preserve"> Although, unlike SHM, </w:t>
      </w:r>
      <w:r w:rsidR="0094591C">
        <w:t>recently</w:t>
      </w:r>
      <w:r w:rsidR="00601BE0">
        <w:t>,</w:t>
      </w:r>
      <w:r w:rsidR="0094591C">
        <w:t xml:space="preserve"> </w:t>
      </w:r>
      <w:r>
        <w:t xml:space="preserve">the PHM </w:t>
      </w:r>
      <w:r w:rsidR="00601BE0">
        <w:t>has extended</w:t>
      </w:r>
      <w:r>
        <w:t xml:space="preserve"> the CBM program with LCM</w:t>
      </w:r>
      <w:r w:rsidR="00A31E5D">
        <w:t>. This is a question of debate and is observed by</w:t>
      </w:r>
      <w:r>
        <w:t xml:space="preserve"> the rise of review papers focusing on the proper classification of various CBM techniques resembling secondary source literature.</w:t>
      </w:r>
      <w:r w:rsidR="00D25AEC">
        <w:t xml:space="preserve"> </w:t>
      </w:r>
      <w:r w:rsidR="00601BE0">
        <w:t>However,</w:t>
      </w:r>
      <w:r w:rsidR="00D25AEC">
        <w:t xml:space="preserve"> these strategies resembl</w:t>
      </w:r>
      <w:r w:rsidR="006E5996">
        <w:t>e</w:t>
      </w:r>
      <w:r w:rsidR="00991EAB">
        <w:t xml:space="preserve"> a practice in which decision-making and maintenance activities are provided </w:t>
      </w:r>
      <w:r w:rsidR="00601BE0">
        <w:t>to avoid</w:t>
      </w:r>
      <w:r w:rsidR="00991EAB">
        <w:t xml:space="preserve"> failures using non-primary energy-induced indicators like vibration or sound</w:t>
      </w:r>
      <w:r w:rsidR="00E7309A">
        <w:t>. The prospect of EBM focuse</w:t>
      </w:r>
      <w:r w:rsidR="008F00F6">
        <w:t>s more attention on input-output energy usage and waste in which functionality is observed by monitoring deviations within the same.</w:t>
      </w:r>
    </w:p>
    <w:p w14:paraId="08160B89" w14:textId="792DEA0C" w:rsidR="00912DAA" w:rsidRDefault="00F55DCD" w:rsidP="009A3AED">
      <w:pPr>
        <w:pStyle w:val="Heading2"/>
      </w:pPr>
      <w:bookmarkStart w:id="263" w:name="_Toc62467402"/>
      <w:bookmarkStart w:id="264" w:name="_Toc91575406"/>
      <w:bookmarkStart w:id="265" w:name="_Toc93759886"/>
      <w:bookmarkStart w:id="266" w:name="_Toc93759990"/>
      <w:bookmarkStart w:id="267" w:name="_Toc101274352"/>
      <w:bookmarkEnd w:id="262"/>
      <w:r>
        <w:t>Energy-</w:t>
      </w:r>
      <w:bookmarkEnd w:id="263"/>
      <w:bookmarkEnd w:id="264"/>
      <w:r w:rsidR="0084449D">
        <w:t xml:space="preserve"> and sustainable-</w:t>
      </w:r>
      <w:bookmarkEnd w:id="265"/>
      <w:bookmarkEnd w:id="266"/>
      <w:r w:rsidR="0084449D">
        <w:t xml:space="preserve">oriented maintenance </w:t>
      </w:r>
      <w:r w:rsidR="006D429B">
        <w:t>research</w:t>
      </w:r>
      <w:bookmarkEnd w:id="267"/>
    </w:p>
    <w:p w14:paraId="66DDC341" w14:textId="0363F702" w:rsidR="009B5DBE" w:rsidRDefault="009B5DBE" w:rsidP="009B5DBE">
      <w:pPr>
        <w:pStyle w:val="Heading3"/>
      </w:pPr>
      <w:bookmarkStart w:id="268" w:name="_Toc93759887"/>
      <w:bookmarkStart w:id="269" w:name="_Toc93759991"/>
      <w:bookmarkStart w:id="270" w:name="_Toc101274353"/>
      <w:bookmarkStart w:id="271" w:name="_Toc53558770"/>
      <w:bookmarkStart w:id="272" w:name="_Toc53559764"/>
      <w:r>
        <w:t>Meta-</w:t>
      </w:r>
      <w:r w:rsidR="00697E06">
        <w:t>d</w:t>
      </w:r>
      <w:r>
        <w:t>ata of publications</w:t>
      </w:r>
      <w:bookmarkEnd w:id="268"/>
      <w:bookmarkEnd w:id="269"/>
      <w:bookmarkEnd w:id="270"/>
    </w:p>
    <w:p w14:paraId="0B9DB294" w14:textId="62D2C530" w:rsidR="003919FC" w:rsidRPr="00026C32" w:rsidRDefault="00E7309A" w:rsidP="003919FC">
      <w:r>
        <w:t>Results show the following from the systematic EBA approach of synthesizing papers relevant to the study</w:t>
      </w:r>
      <w:r w:rsidR="002F3A0F">
        <w:t xml:space="preserve">. </w:t>
      </w:r>
      <w:r w:rsidR="003919FC">
        <w:t>In sum, 27 publications were eligible for analysis (</w:t>
      </w:r>
      <w:r w:rsidR="003919FC">
        <w:fldChar w:fldCharType="begin"/>
      </w:r>
      <w:r w:rsidR="003919FC">
        <w:instrText xml:space="preserve"> REF _Ref48742411 \h </w:instrText>
      </w:r>
      <w:r w:rsidR="003919FC">
        <w:fldChar w:fldCharType="separate"/>
      </w:r>
      <w:r w:rsidR="00587AF0">
        <w:t xml:space="preserve">Figure </w:t>
      </w:r>
      <w:r w:rsidR="00587AF0">
        <w:rPr>
          <w:noProof/>
        </w:rPr>
        <w:t>18</w:t>
      </w:r>
      <w:r w:rsidR="003919FC">
        <w:fldChar w:fldCharType="end"/>
      </w:r>
      <w:r w:rsidR="003919FC">
        <w:t>a). Firstly, based on the publications</w:t>
      </w:r>
      <w:r w:rsidR="006E5996">
        <w:t>'</w:t>
      </w:r>
      <w:r w:rsidR="003919FC">
        <w:t xml:space="preserve"> meta-data, most studies were indexed in the Scopus database. Additionally, it was discovered that 16 out of 27 studies were carried out on institutions or universities from Europe, following China, the US and others (</w:t>
      </w:r>
      <w:r w:rsidR="003919FC">
        <w:fldChar w:fldCharType="begin"/>
      </w:r>
      <w:r w:rsidR="003919FC">
        <w:instrText xml:space="preserve"> REF _Ref48742411 \h </w:instrText>
      </w:r>
      <w:r w:rsidR="003919FC">
        <w:fldChar w:fldCharType="separate"/>
      </w:r>
      <w:r w:rsidR="00587AF0">
        <w:t xml:space="preserve">Figure </w:t>
      </w:r>
      <w:r w:rsidR="00587AF0">
        <w:rPr>
          <w:noProof/>
        </w:rPr>
        <w:t>18</w:t>
      </w:r>
      <w:r w:rsidR="003919FC">
        <w:fldChar w:fldCharType="end"/>
      </w:r>
      <w:r w:rsidR="003919FC">
        <w:t xml:space="preserve">b), mostly at the University of Lorraine, by Hoang et al. </w:t>
      </w:r>
      <w:r w:rsidR="003919FC">
        <w:fldChar w:fldCharType="begin" w:fldLock="1"/>
      </w:r>
      <w:r w:rsidR="00645D0B">
        <w:instrText>ADDIN CSL_CITATION {"citationItems":[{"id":"ITEM-1","itemData":{"DOI":"10.1109/PHM.2015.7380096","ISBN":"978-1-4673-8554-1","abstract":"Industrial plants are facing today with new challenges to well optimize performance of their operation and maintenance. For example, the sustainability paradigm is introducing new requirements to be taken into account in the decision-making process. In that way, energy consumption (EC) and energy efficiency (EE) are two critical performances impacting severely the plant effectiveness mainly with regards to its life cycle cost. Although there are models for following these two performances at the component level, there is a real need for modelling them at the function or system levels not only to support strategic decisions (and not only operational one) but also to forecast them to make decisions in advance for better optimization. Thus, the principles of a generic approach, which is focused on EE performance (EEP) and built on the modelling of this EEP at functional level, and its prognostics to calculate a Remaining Energy-Efficient Lifetime (REEL), are proposed in this paper. The REEL should integrate future mission profiles and operation conditions. The prognostics model is developed from a data-driven approach by using a nonlinear regression method. This generic approach is instantiated and validated on the TELMA platform (a motor-driven system) which is simulating a real industrial plant addressing unwinding metal bobbins. So, models are built from field data of two independent motors (the component level and electrical energy) in addition to data on the function supported by means of these two motors. It leads to prognostics models usable to predict the EE evolution - REEL (the input of the decision-making module) both at the component level from the relationships between speed performance (motor output), bearing deterioration (Gamma process) and EE, and at the functional level from the relationships between productivity performance (functional output on the product delivered), components deterioration level and EE.","author":[{"dropping-particle":"","family":"Hoang","given":"Anh","non-dropping-particle":"","parse-names":false,"suffix":""},{"dropping-particle":"","family":"Do","given":"Phuc","non-dropping-particle":"","parse-names":false,"suffix":""},{"dropping-particle":"","family":"Iung","given":"Benoit","non-dropping-particle":"","parse-names":false,"suffix":""}],"container-title":"2015 Prognostics and System Health Management Conference (PHM)","id":"ITEM-1","issued":{"date-parts":[["2015","10"]]},"note":"- Remaining Energy-Efficient Lifetime (REEL).\n- In this paper, a generic EE-based prognostic approach is proposed for predicting the energy efficiency performance (EEl - energy efficiency indicator; REEL - remaining energy efficient lifetime) introduced recently in [15] at both the component and the function/system levels. The proposed prognostic approach is applied on the platform TELMA.","page":"1-7","publisher":"IEEE","title":"Prognostics on energy efficiency performance for maintenance decision-making: Application to industrial platform TELMA","type":"paper-conference"},"uris":["http://www.mendeley.com/documents/?uuid=e8bca837-6e9b-4528-83a8-d45a2beffc02"]},{"id":"ITEM-2","itemData":{"DOI":"10.1016/j.jclepro.2016.10.185","ISSN":"09596526","abstract":"Nowadays, industrial enterprises are facing up to new challenges to well optimize their performances, with regards not only to conventional performances (e.g. reliability or productivity) but also to emerging ones as those related to sustainability issues. Indeed, sustainability indicators have to be considered now in the decision-making process of the plant to better control and maintain it to be consistent with Green Production requirements. In that way, indicators such as Energy Efficiency or Energy Consumption are promoted for the impact they have on these requirements in a Life Cycle Cost vision. Thus the core idea defended in this paper is addressing the necessary evolution of conventional maintenance decision-making process in industry for considering the energy efficiency indicator. To support the idea, the first objective is to define the concept of energy efficiency indicator which materializes the energy efficiency performance at a specific time. The definition is done for different abstraction levels such as component, function, system which are subjected to time-dependent degradation behaviors. So, the energy efficiency indicator concept is expressed as the amount of energy consumed per unit of useful output, which has to be seen as a sustainable performance measure of industrial system. Then a mathematical formulation is proposed to calculate energy efficiency indicator at any time of the performance by considering dependent factors (static and dynamic ones) impacting inputs and outputs of the system. The second objective is to propose a new concept named REEL (Remaining energy-efficient lifetime) for tracking the energy efficiency performance evolution. The REEL is defined by the time left before the system loses its energy efficiency property considered as a specific EEI value (EEI threshold) not to be exceeded. This specific value is technically and/or economically fixed in advance, given the current condition, past and future operation profiles. The REEL could be used as an appropriate indicator for maintenance decision-making process in a proactive vision. The third objective is to formalize a generic approach in the way assess the REEL value. The assessment requires to forecast the evolution of energy efficiency indicator (whatever the abstraction level is) by taking into account the static and dynamic factors. Finally, the feasibility and added value of our proposals are illustrated on a manufacturing platform named TELMA (TELeMAint…","author":[{"dropping-particle":"","family":"Hoang","given":"Anh","non-dropping-particle":"","parse-names":false,"suffix":""},{"dropping-particle":"","family":"Do","given":"Phuc","non-dropping-particle":"","parse-names":false,"suffix":""},{"dropping-particle":"","family":"Iung","given":"Benoît","non-dropping-particle":"","parse-names":false,"suffix":""}],"container-title":"Journal of Cleaner Production","id":"ITEM-2","issued":{"date-parts":[["2017"]]},"note":"- Overall they are speaking about the development of EEI as a future projection subjected to degradation with time in manufacturing systems and its environment. Having a result of physical-thermodynamic indicator properties, the model can be used to evaluate the amount of energy input per units produced. The model is then used to predict REEL.\n- Energy consumption is set by speed and bearing deterioration","page":"2838-2857","publisher":"Elsevier Ltd","title":"Energy efficiency performance-based prognostics for aided maintenance decision-making: Application to a manufacturing platform","type":"article-journal","volume":"142"},"uris":["http://www.mendeley.com/documents/?uuid=5d8ee8db-df63-4f33-ad89-b1ad0d0b66c0"]},{"id":"ITEM-3","itemData":{"DOI":"10.1177/1748006X18762282","ISSN":"17480078","abstract":"Condition-based maintenance has been developed and successfully applied in various industrial systems to preventively maintain the correct equipment at the right time with regard to its current health “condition” such as oil temperature, harmonics data, and vibration. The monitoring of these conventional indicators may however be costly. Moreover, energy efficiency addressed by sustainability requirements has been recently considered as an emerging key performance indicator to be controlled. Nevertheless, this emerging key performance indicator is not yet integrated in condition-based maintenance decision-making. To face these issues, the main objective of this article is to investigate the interests to use energy efficiency for condition-based maintenance decision-making. The first original contribution of this article is to propose a new energy efficiency–based condition-based maintenance model using energy efficiency indicator which is defined as the amount of energy consumption to produce one useful output unit. The proposed model leads to consider not only the maintenance cost but also energy and useful output performance in the condition-based maintenance optimization process. The second contribution concerns an investigation of the proposed energy efficiency–based condition-based maintenance model for the case study of the TELMA platform. The performance of the proposed model is verified by comparing to an extended traditional one. The obtained results allow to highlight the impacts of energy efficiency on existing condition-based maintenance strategies and to conclude on the interest of a new energy efficiency indicator–based condition-based maintenance practice in terms of both cost and efficiency.","author":[{"dropping-particle":"","family":"Do","given":"Phuc","non-dropping-particle":"","parse-names":false,"suffix":""},{"dropping-particle":"","family":"Hoang","given":"Anh","non-dropping-particle":"","parse-names":false,"suffix":""},{"dropping-particle":"","family":"Iung","given":"Benoit","non-dropping-particle":"","parse-names":false,"suffix":""},{"dropping-particle":"","family":"Vu","given":"Hai Canh","non-dropping-particle":"","parse-names":false,"suffix":""}],"container-title":"Proceedings of the Institution of Mechanical Engineers, Part O: Journal of Risk and Reliability","id":"ITEM-3","issue":"4","issued":{"date-parts":[["2018"]]},"note":"- Although it has recently been recognized as an emerging key performance indicator to be controlled, it is not yet fully integrated in MDM.\n- A preventive maintenance is triggered if the EEI’s value at Tk is higher than a critical threshold EEIp.\n- To ensure that the convergence of maintenance cost rate is reached, a large number of simulation realizations (each realization simulates one life cycle of the system) must be done.\n- The maintenance decision-making based on the dysfunctional degrada- tion information is enough.","page":"379-388","title":"Energy efficiency for condition-based maintenance decision-making: Application to a manufacturing platform","type":"article-journal","volume":"232"},"uris":["http://www.mendeley.com/documents/?uuid=56172653-f4dd-4c61-8230-f38fe207a076"]},{"id":"ITEM-4","itemData":{"DOI":"10.1016/j.ifacol.2016.11.013","ISSN":"24058963","abstract":"Condition-based maintenance (CBM) has been introduced in industrial systems to maintain preventively the correct equipment at the right time with regards to its current health “condition” represented mainly the conventional indicators such as oil temperature, harmonics data, vibration, etc. The monitoring of these indicators is done through sensors or inspection tasks leading to incorporate in the maintenance optimization models, additional costs related to CBM. Nevertheless, while this practice is quite mastered in terms of benefits and costs, it is not well adapted to face now the new challenge encountered by the “industry of the future” such as the sustainable one. Indeed CBM indicators and maintenance cost model are not really taken into account today emergent indicators (and their impacts) related to energy consumption, energy efficiency or footprint tracking. In that way, this paper is investigating the interest to use energy efficiency (EE) for CBM decision-making. Investigation is consisting first to propose a new EE-based CBM model by using energy efficiency indicator (EEI) which is defined as the amount of energy consumption to produce one useful output unit. The proposed model leads to consider energy directly in the maintenance optimization. An extension of an existing CBM by integrating energy consumption in optimization model is also investigated in the way to compare the new CBM approach with conventional (extended) one. The comparison step is developed on the case study of the TELMA platform allowing to assess the impact of EE on existing CBM strategies and to conclude on the interest of a new EE-based CBM practice both in terms of cost and efficiency.","author":[{"dropping-particle":"","family":"Hoang","given":"Anh","non-dropping-particle":"","parse-names":false,"suffix":""},{"dropping-particle":"","family":"Do","given":"Phuc","non-dropping-particle":"","parse-names":false,"suffix":""},{"dropping-particle":"","family":"Iung","given":"Benoît","non-dropping-particle":"","parse-names":false,"suffix":""}],"container-title":"IFAC-PapersOnLine","id":"ITEM-4","issue":"28","issued":{"date-parts":[["2016"]]},"note":"-","page":"73-78","title":"Investigation on the use of energy efficiency for condition-based maintenance decision-making","type":"article-journal","volume":"49"},"uris":["http://www.mendeley.com/documents/?uuid=78998f16-68fd-45d0-b652-8de89f284ae2"]}],"mendeley":{"formattedCitation":"[23]–[25], [107]","plainTextFormattedCitation":"[23]–[25], [107]","previouslyFormattedCitation":"[23]–[25], [107]"},"properties":{"noteIndex":0},"schema":"https://github.com/citation-style-language/schema/raw/master/csl-citation.json"}</w:instrText>
      </w:r>
      <w:r w:rsidR="003919FC">
        <w:fldChar w:fldCharType="separate"/>
      </w:r>
      <w:r w:rsidR="00416869" w:rsidRPr="00416869">
        <w:rPr>
          <w:noProof/>
        </w:rPr>
        <w:t>[23]–[25], [107]</w:t>
      </w:r>
      <w:r w:rsidR="003919FC">
        <w:fldChar w:fldCharType="end"/>
      </w:r>
      <w:r w:rsidR="003919FC">
        <w:t>.</w:t>
      </w:r>
    </w:p>
    <w:tbl>
      <w:tblPr>
        <w:tblW w:w="0" w:type="auto"/>
        <w:tblLook w:val="04A0" w:firstRow="1" w:lastRow="0" w:firstColumn="1" w:lastColumn="0" w:noHBand="0" w:noVBand="1"/>
      </w:tblPr>
      <w:tblGrid>
        <w:gridCol w:w="4251"/>
        <w:gridCol w:w="4776"/>
      </w:tblGrid>
      <w:tr w:rsidR="002B60EA" w14:paraId="2FBCCDB2" w14:textId="77777777" w:rsidTr="00174B48">
        <w:tc>
          <w:tcPr>
            <w:tcW w:w="4251" w:type="dxa"/>
            <w:vAlign w:val="center"/>
          </w:tcPr>
          <w:p w14:paraId="3BD881CD" w14:textId="22CF950E" w:rsidR="003919FC" w:rsidRDefault="002B60EA" w:rsidP="00174B48">
            <w:pPr>
              <w:spacing w:before="0" w:after="0"/>
              <w:jc w:val="center"/>
            </w:pPr>
            <w:r>
              <w:rPr>
                <w:noProof/>
              </w:rPr>
              <w:drawing>
                <wp:inline distT="0" distB="0" distL="0" distR="0" wp14:anchorId="12CA94C3" wp14:editId="65216B5A">
                  <wp:extent cx="2522352" cy="21009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31209" cy="2108277"/>
                          </a:xfrm>
                          <a:prstGeom prst="rect">
                            <a:avLst/>
                          </a:prstGeom>
                          <a:noFill/>
                        </pic:spPr>
                      </pic:pic>
                    </a:graphicData>
                  </a:graphic>
                </wp:inline>
              </w:drawing>
            </w:r>
          </w:p>
          <w:p w14:paraId="7BF86B7D" w14:textId="77777777" w:rsidR="003919FC" w:rsidRDefault="003919FC" w:rsidP="00174B48">
            <w:pPr>
              <w:spacing w:before="0" w:after="0"/>
              <w:jc w:val="center"/>
            </w:pPr>
            <w:r>
              <w:t>(a)</w:t>
            </w:r>
          </w:p>
        </w:tc>
        <w:tc>
          <w:tcPr>
            <w:tcW w:w="4776" w:type="dxa"/>
            <w:vAlign w:val="center"/>
          </w:tcPr>
          <w:p w14:paraId="04408855" w14:textId="1A2AAD14" w:rsidR="003919FC" w:rsidRDefault="002B60EA" w:rsidP="00174B48">
            <w:pPr>
              <w:keepNext/>
              <w:spacing w:before="0" w:after="0"/>
            </w:pPr>
            <w:r>
              <w:rPr>
                <w:noProof/>
              </w:rPr>
              <w:drawing>
                <wp:inline distT="0" distB="0" distL="0" distR="0" wp14:anchorId="08EE25CC" wp14:editId="4E204E43">
                  <wp:extent cx="2874381" cy="2019771"/>
                  <wp:effectExtent l="0" t="0" r="254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5221" cy="2027388"/>
                          </a:xfrm>
                          <a:prstGeom prst="rect">
                            <a:avLst/>
                          </a:prstGeom>
                          <a:noFill/>
                        </pic:spPr>
                      </pic:pic>
                    </a:graphicData>
                  </a:graphic>
                </wp:inline>
              </w:drawing>
            </w:r>
          </w:p>
          <w:p w14:paraId="3ABAEA57" w14:textId="77777777" w:rsidR="003919FC" w:rsidRDefault="003919FC" w:rsidP="00174B48">
            <w:pPr>
              <w:keepNext/>
              <w:spacing w:before="0" w:after="0"/>
              <w:jc w:val="center"/>
            </w:pPr>
            <w:r>
              <w:t xml:space="preserve">(b) </w:t>
            </w:r>
          </w:p>
        </w:tc>
      </w:tr>
    </w:tbl>
    <w:p w14:paraId="792BE114" w14:textId="653A033C" w:rsidR="003919FC" w:rsidRDefault="003919FC" w:rsidP="003919FC">
      <w:pPr>
        <w:pStyle w:val="Caption"/>
        <w:spacing w:before="60"/>
      </w:pPr>
      <w:bookmarkStart w:id="273" w:name="_Ref48742411"/>
      <w:bookmarkStart w:id="274" w:name="_Toc101274540"/>
      <w:r>
        <w:t xml:space="preserve">Figure </w:t>
      </w:r>
      <w:fldSimple w:instr=" SEQ Figure \* ARABIC ">
        <w:r w:rsidR="00587AF0">
          <w:rPr>
            <w:noProof/>
          </w:rPr>
          <w:t>18</w:t>
        </w:r>
      </w:fldSimple>
      <w:bookmarkEnd w:id="273"/>
      <w:r>
        <w:t xml:space="preserve">. </w:t>
      </w:r>
      <w:r w:rsidR="0022311E">
        <w:t>M</w:t>
      </w:r>
      <w:r>
        <w:t>eta-data</w:t>
      </w:r>
      <w:r w:rsidR="0022311E">
        <w:t xml:space="preserve"> of</w:t>
      </w:r>
      <w:r>
        <w:t xml:space="preserve"> (a) publications and (b) studies conducted by institutions</w:t>
      </w:r>
      <w:bookmarkEnd w:id="274"/>
    </w:p>
    <w:p w14:paraId="07F87EAF" w14:textId="1C97CEA2" w:rsidR="002F3A0F" w:rsidRDefault="003919FC" w:rsidP="003919FC">
      <w:r>
        <w:t>Secondly, concerning industrial applications and maintenance policies (</w:t>
      </w:r>
      <w:r>
        <w:fldChar w:fldCharType="begin"/>
      </w:r>
      <w:r>
        <w:instrText xml:space="preserve"> REF _Ref48748486 \h </w:instrText>
      </w:r>
      <w:r>
        <w:fldChar w:fldCharType="separate"/>
      </w:r>
      <w:r w:rsidR="00587AF0">
        <w:t xml:space="preserve">Figure </w:t>
      </w:r>
      <w:r w:rsidR="00587AF0">
        <w:rPr>
          <w:noProof/>
        </w:rPr>
        <w:t>19</w:t>
      </w:r>
      <w:r>
        <w:fldChar w:fldCharType="end"/>
      </w:r>
      <w:r>
        <w:t xml:space="preserve">), the evidence suggests that most studies were dedicated to the manufacturing applications (13 studies) and case studies on the TELMA platform </w:t>
      </w:r>
      <w:r>
        <w:fldChar w:fldCharType="begin" w:fldLock="1"/>
      </w:r>
      <w:r w:rsidR="00416869">
        <w:instrText>ADDIN CSL_CITATION {"citationItems":[{"id":"ITEM-1","itemData":{"DOI":"10.1016/j.jclepro.2016.10.185","ISSN":"09596526","abstract":"Nowadays, industrial enterprises are facing up to new challenges to well optimize their performances, with regards not only to conventional performances (e.g. reliability or productivity) but also to emerging ones as those related to sustainability issues. Indeed, sustainability indicators have to be considered now in the decision-making process of the plant to better control and maintain it to be consistent with Green Production requirements. In that way, indicators such as Energy Efficiency or Energy Consumption are promoted for the impact they have on these requirements in a Life Cycle Cost vision. Thus the core idea defended in this paper is addressing the necessary evolution of conventional maintenance decision-making process in industry for considering the energy efficiency indicator. To support the idea, the first objective is to define the concept of energy efficiency indicator which materializes the energy efficiency performance at a specific time. The definition is done for different abstraction levels such as component, function, system which are subjected to time-dependent degradation behaviors. So, the energy efficiency indicator concept is expressed as the amount of energy consumed per unit of useful output, which has to be seen as a sustainable performance measure of industrial system. Then a mathematical formulation is proposed to calculate energy efficiency indicator at any time of the performance by considering dependent factors (static and dynamic ones) impacting inputs and outputs of the system. The second objective is to propose a new concept named REEL (Remaining energy-efficient lifetime) for tracking the energy efficiency performance evolution. The REEL is defined by the time left before the system loses its energy efficiency property considered as a specific EEI value (EEI threshold) not to be exceeded. This specific value is technically and/or economically fixed in advance, given the current condition, past and future operation profiles. The REEL could be used as an appropriate indicator for maintenance decision-making process in a proactive vision. The third objective is to formalize a generic approach in the way assess the REEL value. The assessment requires to forecast the evolution of energy efficiency indicator (whatever the abstraction level is) by taking into account the static and dynamic factors. Finally, the feasibility and added value of our proposals are illustrated on a manufacturing platform named TELMA (TELeMAint…","author":[{"dropping-particle":"","family":"Hoang","given":"Anh","non-dropping-particle":"","parse-names":false,"suffix":""},{"dropping-particle":"","family":"Do","given":"Phuc","non-dropping-particle":"","parse-names":false,"suffix":""},{"dropping-particle":"","family":"Iung","given":"Benoît","non-dropping-particle":"","parse-names":false,"suffix":""}],"container-title":"Journal of Cleaner Production","id":"ITEM-1","issued":{"date-parts":[["2017"]]},"note":"- Overall they are speaking about the development of EEI as a future projection subjected to degradation with time in manufacturing systems and its environment. Having a result of physical-thermodynamic indicator properties, the model can be used to evaluate the amount of energy input per units produced. The model is then used to predict REEL.\n- Energy consumption is set by speed and bearing deterioration","page":"2838-2857","publisher":"Elsevier Ltd","title":"Energy efficiency performance-based prognostics for aided maintenance decision-making: Application to a manufacturing platform","type":"article-journal","volume":"142"},"uris":["http://www.mendeley.com/documents/?uuid=5d8ee8db-df63-4f33-ad89-b1ad0d0b66c0"]}],"mendeley":{"formattedCitation":"[24]","plainTextFormattedCitation":"[24]","previouslyFormattedCitation":"[24]"},"properties":{"noteIndex":0},"schema":"https://github.com/citation-style-language/schema/raw/master/csl-citation.json"}</w:instrText>
      </w:r>
      <w:r>
        <w:fldChar w:fldCharType="separate"/>
      </w:r>
      <w:r w:rsidR="00246F3C" w:rsidRPr="00246F3C">
        <w:rPr>
          <w:noProof/>
        </w:rPr>
        <w:t>[24]</w:t>
      </w:r>
      <w:r>
        <w:fldChar w:fldCharType="end"/>
      </w:r>
      <w:r>
        <w:t xml:space="preserve"> (4 studies), while most of the other applications were relying on specific case study (e.g., motor, pump) and numerical experiments (</w:t>
      </w:r>
      <w:r>
        <w:fldChar w:fldCharType="begin"/>
      </w:r>
      <w:r>
        <w:instrText xml:space="preserve"> REF _Ref48748486 \h </w:instrText>
      </w:r>
      <w:r>
        <w:fldChar w:fldCharType="separate"/>
      </w:r>
      <w:r w:rsidR="00587AF0">
        <w:t xml:space="preserve">Figure </w:t>
      </w:r>
      <w:r w:rsidR="00587AF0">
        <w:rPr>
          <w:noProof/>
        </w:rPr>
        <w:t>19</w:t>
      </w:r>
      <w:r>
        <w:fldChar w:fldCharType="end"/>
      </w:r>
      <w:r>
        <w:t>a).</w:t>
      </w:r>
    </w:p>
    <w:p w14:paraId="2366BE0B" w14:textId="6E85D10D" w:rsidR="003919FC" w:rsidRDefault="003919FC" w:rsidP="003919FC">
      <w:r>
        <w:t xml:space="preserve">Regarding the research efforts and addressing specific points of studies, such as utilising energy performance indicators as trigger points to conduct specific corrective or preventive actions, mostly fall under the CBM. </w:t>
      </w:r>
      <w:r>
        <w:fldChar w:fldCharType="begin"/>
      </w:r>
      <w:r>
        <w:instrText xml:space="preserve"> REF _Ref48748486 \h </w:instrText>
      </w:r>
      <w:r>
        <w:fldChar w:fldCharType="separate"/>
      </w:r>
      <w:r w:rsidR="00587AF0">
        <w:t xml:space="preserve">Figure </w:t>
      </w:r>
      <w:r w:rsidR="00587AF0">
        <w:rPr>
          <w:noProof/>
        </w:rPr>
        <w:t>19</w:t>
      </w:r>
      <w:r>
        <w:fldChar w:fldCharType="end"/>
      </w:r>
      <w:r>
        <w:t xml:space="preserve">b depicts that most of the studies encompass CBM and PM policies since energy-oriented solutions within these research studies are modelled on a lower level of decision-making such as tactical </w:t>
      </w:r>
      <w:r>
        <w:fldChar w:fldCharType="begin" w:fldLock="1"/>
      </w:r>
      <w:r w:rsidR="00645D0B">
        <w:instrText>ADDIN CSL_CITATION {"citationItems":[{"id":"ITEM-1","itemData":{"DOI":"10.1007/s00170-014-5834-3","ISSN":"0268-3768","abstract":"In this study, we analyze an integrated production-preventive maintenance planning problem where product processing times are affected by machine degradation. Preventive maintenance and repair can return the degraded machines/equipment to normal conditions, which can improve the job processing times and the amount of energy consumed. We propose a mathematical model for an integrated production and preventive maintenance planning problem in a multi-product, multi-period, single-machine manufacturing environment with minimal repair and energy consumption considerations in order to minimize the overall cost of production, inventory, energy, maintenance, and repair. The model investigates the impact of imperfect and “as-good-as-new” (AGAN) maintenance strategies on production plan and total cost. Experimental analyses provide insights about the proposed model: when the sensitivity of processing times to machine health status increases, the required number of maintenance actions increases. In addition, enforcing more number of maintenance actions into a production plan decreases energy cost of the system.","author":[{"dropping-particle":"","family":"Yildirim","given":"Mehmet Bayram","non-dropping-particle":"","parse-names":false,"suffix":""},{"dropping-particle":"","family":"Nezami","given":"Farnaz Ghazi","non-dropping-particle":"","parse-names":false,"suffix":""}],"container-title":"The International Journal of Advanced Manufacturing Technology","id":"ITEM-1","issue":"9-12","issued":{"date-parts":[["2014","10","3"]]},"note":"- Impact of imperfect and AGAN on production plan and total cost.\n- More maintenance actions decreases energy cost of the system. \n- Integrated preventive maintenance and production planning can optimize machine performance and total energy consumption.\n- Production-Preventive Maintenance Plan.\n- Minimize overall system production, maintenance and energy costs.\n- Investigating the maintenance decisions on production plan and total energy consumption at a tactical level.\n-","page":"1419-1430","title":"Integrated maintenance and production planning with energy consumption and minimal repair","type":"article-journal","volume":"74"},"uris":["http://www.mendeley.com/documents/?uuid=861520f3-26ec-4b34-a6c1-f42da599a70d"]}],"mendeley":{"formattedCitation":"[108]","plainTextFormattedCitation":"[108]","previouslyFormattedCitation":"[108]"},"properties":{"noteIndex":0},"schema":"https://github.com/citation-style-language/schema/raw/master/csl-citation.json"}</w:instrText>
      </w:r>
      <w:r>
        <w:fldChar w:fldCharType="separate"/>
      </w:r>
      <w:r w:rsidR="00416869" w:rsidRPr="00416869">
        <w:rPr>
          <w:noProof/>
        </w:rPr>
        <w:t>[108]</w:t>
      </w:r>
      <w:r>
        <w:fldChar w:fldCharType="end"/>
      </w:r>
      <w:r>
        <w:t xml:space="preserve"> and operational level </w:t>
      </w:r>
      <w:r>
        <w:fldChar w:fldCharType="begin" w:fldLock="1"/>
      </w:r>
      <w:r w:rsidR="00645D0B">
        <w:instrText>ADDIN CSL_CITATION {"citationItems":[{"id":"ITEM-1","itemData":{"DOI":"10.1109/PHM.2015.7380096","ISBN":"978-1-4673-8554-1","abstract":"Industrial plants are facing today with new challenges to well optimize performance of their operation and maintenance. For example, the sustainability paradigm is introducing new requirements to be taken into account in the decision-making process. In that way, energy consumption (EC) and energy efficiency (EE) are two critical performances impacting severely the plant effectiveness mainly with regards to its life cycle cost. Although there are models for following these two performances at the component level, there is a real need for modelling them at the function or system levels not only to support strategic decisions (and not only operational one) but also to forecast them to make decisions in advance for better optimization. Thus, the principles of a generic approach, which is focused on EE performance (EEP) and built on the modelling of this EEP at functional level, and its prognostics to calculate a Remaining Energy-Efficient Lifetime (REEL), are proposed in this paper. The REEL should integrate future mission profiles and operation conditions. The prognostics model is developed from a data-driven approach by using a nonlinear regression method. This generic approach is instantiated and validated on the TELMA platform (a motor-driven system) which is simulating a real industrial plant addressing unwinding metal bobbins. So, models are built from field data of two independent motors (the component level and electrical energy) in addition to data on the function supported by means of these two motors. It leads to prognostics models usable to predict the EE evolution - REEL (the input of the decision-making module) both at the component level from the relationships between speed performance (motor output), bearing deterioration (Gamma process) and EE, and at the functional level from the relationships between productivity performance (functional output on the product delivered), components deterioration level and EE.","author":[{"dropping-particle":"","family":"Hoang","given":"Anh","non-dropping-particle":"","parse-names":false,"suffix":""},{"dropping-particle":"","family":"Do","given":"Phuc","non-dropping-particle":"","parse-names":false,"suffix":""},{"dropping-particle":"","family":"Iung","given":"Benoit","non-dropping-particle":"","parse-names":false,"suffix":""}],"container-title":"2015 Prognostics and System Health Management Conference (PHM)","id":"ITEM-1","issued":{"date-parts":[["2015","10"]]},"note":"- Remaining Energy-Efficient Lifetime (REEL).\n- In this paper, a generic EE-based prognostic approach is proposed for predicting the energy efficiency performance (EEl - energy efficiency indicator; REEL - remaining energy efficient lifetime) introduced recently in [15] at both the component and the function/system levels. The proposed prognostic approach is applied on the platform TELMA.","page":"1-7","publisher":"IEEE","title":"Prognostics on energy efficiency performance for maintenance decision-making: Application to industrial platform TELMA","type":"paper-conference"},"uris":["http://www.mendeley.com/documents/?uuid=e8bca837-6e9b-4528-83a8-d45a2beffc02"]},{"id":"ITEM-2","itemData":{"DOI":"10.1080/0951192X.2017.1339914","ISSN":"0951-192X","abstract":"This paper presents an original methodology and related algorithms that are dedicated to monitoring energy efficiency in discrete production stations. The learning phase of the algorithm is executed during the regular production process and is based on observations of the behaviour of the production station and energy consumption measurements. The collected information is then processed using data-mining procedures in order to find the clusters that reflect the energy consumption profiles that are specific for different variants of production. The profiles are used to monitor energy efficiency and detect anomalies. The main benefit of the proposed approach is its flexibility. No additional calibrating operations or technological knowledge are required. Although the presented proof by research results are focussed on pneumatic air installations, the proposed methodology can also be used for other media. The output of the proposed solution is a very precise estimation of energy consumption in reference to a given variant of production. It allows for the accurate detection of compressed air consumption anomalies. Such anomalies can be caused by technical (machine faults) and technological (human errors) problems. The proposed methodology can be applied for the optimisation of energy consumption and for the detection of machine maintenance problems that are visible through abnormal compressed air consumption.","author":[{"dropping-particle":"","family":"Cupek","given":"Rafal","non-dropping-particle":"","parse-names":false,"suffix":""},{"dropping-particle":"","family":"Ziebinski","given":"Adam","non-dropping-particle":"","parse-names":false,"suffix":""},{"dropping-particle":"","family":"Zonenberg","given":"Dariusz","non-dropping-particle":"","parse-names":false,"suffix":""},{"dropping-particle":"","family":"Drewniak","given":"Marek","non-dropping-particle":"","parse-names":false,"suffix":""}],"container-title":"International Journal of Computer Integrated Manufacturing","id":"ITEM-2","issue":"6","issued":{"date-parts":[["2017","6","3"]]},"note":"- The energy consumption profiles are used to assess energy efficiency and detect anomalies.\n- Operational level of monitoring energy consumption profile.\n- Observation of the machine cycle and automatic clustering using k-mean method.\n- Predictive maintenance.\n- System architecture consists of SCADA, Man. execution system and ERP, and HMI for detecting anomalies.\n- The proposed solution is online assessment tool for monitoring machine and production station levels.\n- Energy-efficiency monitoring block\n- Energy efficiency control block and machine learing block.\n- The research simulates leakage in CAS system and uses k means to cluster data and determine needs for maintenance actions.","page":"537-561","publisher":"Taylor &amp; Francis","title":"Determination of the machine energy consumption profiles in the mass-customised manufacturing","type":"article-journal","volume":"31"},"uris":["http://www.mendeley.com/documents/?uuid=32a98996-3e40-46f1-81b5-88e5e5150b3d"]}],"mendeley":{"formattedCitation":"[23], [109]","plainTextFormattedCitation":"[23], [109]","previouslyFormattedCitation":"[23], [109]"},"properties":{"noteIndex":0},"schema":"https://github.com/citation-style-language/schema/raw/master/csl-citation.json"}</w:instrText>
      </w:r>
      <w:r>
        <w:fldChar w:fldCharType="separate"/>
      </w:r>
      <w:r w:rsidR="00416869" w:rsidRPr="00416869">
        <w:rPr>
          <w:noProof/>
        </w:rPr>
        <w:t>[23], [109]</w:t>
      </w:r>
      <w:r>
        <w:fldChar w:fldCharType="end"/>
      </w:r>
      <w:r>
        <w:t>, emphasising the low maturity level for the concept of policy.</w:t>
      </w:r>
    </w:p>
    <w:tbl>
      <w:tblPr>
        <w:tblW w:w="9234" w:type="dxa"/>
        <w:tblLook w:val="04A0" w:firstRow="1" w:lastRow="0" w:firstColumn="1" w:lastColumn="0" w:noHBand="0" w:noVBand="1"/>
      </w:tblPr>
      <w:tblGrid>
        <w:gridCol w:w="4575"/>
        <w:gridCol w:w="4659"/>
      </w:tblGrid>
      <w:tr w:rsidR="003919FC" w14:paraId="17D6ED02" w14:textId="77777777" w:rsidTr="00174B48">
        <w:trPr>
          <w:trHeight w:val="3312"/>
        </w:trPr>
        <w:tc>
          <w:tcPr>
            <w:tcW w:w="4479" w:type="dxa"/>
            <w:vAlign w:val="center"/>
          </w:tcPr>
          <w:p w14:paraId="3795768D" w14:textId="1AE27C6F" w:rsidR="003919FC" w:rsidRDefault="007D2499" w:rsidP="00174B48">
            <w:pPr>
              <w:spacing w:before="0" w:after="0"/>
              <w:jc w:val="center"/>
            </w:pPr>
            <w:r>
              <w:rPr>
                <w:noProof/>
              </w:rPr>
              <w:lastRenderedPageBreak/>
              <w:drawing>
                <wp:inline distT="0" distB="0" distL="0" distR="0" wp14:anchorId="7725C9D6" wp14:editId="48672FC3">
                  <wp:extent cx="2768349" cy="20574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77019" cy="2063844"/>
                          </a:xfrm>
                          <a:prstGeom prst="rect">
                            <a:avLst/>
                          </a:prstGeom>
                          <a:noFill/>
                        </pic:spPr>
                      </pic:pic>
                    </a:graphicData>
                  </a:graphic>
                </wp:inline>
              </w:drawing>
            </w:r>
          </w:p>
          <w:p w14:paraId="7BF1CECB" w14:textId="77777777" w:rsidR="003919FC" w:rsidRDefault="003919FC" w:rsidP="00174B48">
            <w:pPr>
              <w:spacing w:before="0" w:after="0"/>
              <w:jc w:val="center"/>
            </w:pPr>
            <w:r>
              <w:t>(a)</w:t>
            </w:r>
          </w:p>
        </w:tc>
        <w:tc>
          <w:tcPr>
            <w:tcW w:w="4755" w:type="dxa"/>
            <w:vAlign w:val="center"/>
          </w:tcPr>
          <w:p w14:paraId="06973E35" w14:textId="0C6AF412" w:rsidR="003919FC" w:rsidRDefault="004159EC" w:rsidP="00174B48">
            <w:pPr>
              <w:keepNext/>
              <w:spacing w:before="0" w:after="0"/>
              <w:jc w:val="center"/>
            </w:pPr>
            <w:r>
              <w:rPr>
                <w:noProof/>
              </w:rPr>
              <w:drawing>
                <wp:inline distT="0" distB="0" distL="0" distR="0" wp14:anchorId="15E4D3F3" wp14:editId="39A03A5C">
                  <wp:extent cx="2775585" cy="2157930"/>
                  <wp:effectExtent l="0" t="0" r="571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83653" cy="2164203"/>
                          </a:xfrm>
                          <a:prstGeom prst="rect">
                            <a:avLst/>
                          </a:prstGeom>
                          <a:noFill/>
                        </pic:spPr>
                      </pic:pic>
                    </a:graphicData>
                  </a:graphic>
                </wp:inline>
              </w:drawing>
            </w:r>
          </w:p>
          <w:p w14:paraId="733A1F7D" w14:textId="77777777" w:rsidR="003919FC" w:rsidRDefault="003919FC" w:rsidP="00174B48">
            <w:pPr>
              <w:keepNext/>
              <w:spacing w:before="0" w:after="0"/>
              <w:jc w:val="center"/>
            </w:pPr>
            <w:r>
              <w:t>(b)</w:t>
            </w:r>
          </w:p>
        </w:tc>
      </w:tr>
    </w:tbl>
    <w:p w14:paraId="2B4F1D1A" w14:textId="272305F3" w:rsidR="003919FC" w:rsidRDefault="003919FC" w:rsidP="003919FC">
      <w:pPr>
        <w:pStyle w:val="Caption"/>
      </w:pPr>
      <w:bookmarkStart w:id="275" w:name="_Ref48748486"/>
      <w:bookmarkStart w:id="276" w:name="_Toc101274541"/>
      <w:r>
        <w:t xml:space="preserve">Figure </w:t>
      </w:r>
      <w:fldSimple w:instr=" SEQ Figure \* ARABIC ">
        <w:r w:rsidR="00587AF0">
          <w:rPr>
            <w:noProof/>
          </w:rPr>
          <w:t>19</w:t>
        </w:r>
      </w:fldSimple>
      <w:bookmarkEnd w:id="275"/>
      <w:r>
        <w:t>. Analysis of application: (a) industrial sector and (b) maintenance policy</w:t>
      </w:r>
      <w:bookmarkEnd w:id="276"/>
    </w:p>
    <w:p w14:paraId="151C2AD7" w14:textId="4D2E6C17" w:rsidR="003919FC" w:rsidRDefault="003919FC" w:rsidP="003919FC">
      <w:r>
        <w:t xml:space="preserve">Finally, content-based evidence suggests the following: (1) most of the studies </w:t>
      </w:r>
      <w:r w:rsidR="005701BB">
        <w:t>utilise</w:t>
      </w:r>
      <w:r>
        <w:t xml:space="preserve"> modelling and optimisation methods</w:t>
      </w:r>
      <w:r w:rsidR="00D3415F">
        <w:t xml:space="preserve"> and</w:t>
      </w:r>
      <w:r>
        <w:t xml:space="preserve"> time-series analysis and AI techniques (</w:t>
      </w:r>
      <w:r>
        <w:fldChar w:fldCharType="begin"/>
      </w:r>
      <w:r>
        <w:instrText xml:space="preserve"> REF _Ref48824839 \h </w:instrText>
      </w:r>
      <w:r>
        <w:fldChar w:fldCharType="separate"/>
      </w:r>
      <w:r w:rsidR="00587AF0">
        <w:t xml:space="preserve">Figure </w:t>
      </w:r>
      <w:r w:rsidR="00587AF0">
        <w:rPr>
          <w:noProof/>
        </w:rPr>
        <w:t>20</w:t>
      </w:r>
      <w:r>
        <w:fldChar w:fldCharType="end"/>
      </w:r>
      <w:r>
        <w:t xml:space="preserve">a). On the other hand, </w:t>
      </w:r>
      <w:r>
        <w:fldChar w:fldCharType="begin"/>
      </w:r>
      <w:r>
        <w:instrText xml:space="preserve"> REF _Ref48824839 \h </w:instrText>
      </w:r>
      <w:r>
        <w:fldChar w:fldCharType="separate"/>
      </w:r>
      <w:r w:rsidR="00587AF0">
        <w:t xml:space="preserve">Figure </w:t>
      </w:r>
      <w:r w:rsidR="00587AF0">
        <w:rPr>
          <w:noProof/>
        </w:rPr>
        <w:t>20</w:t>
      </w:r>
      <w:r>
        <w:fldChar w:fldCharType="end"/>
      </w:r>
      <w:r>
        <w:t xml:space="preserve">b depicts that two approaches were used for proposed models: economic and cost-benefit analysis, which is applied </w:t>
      </w:r>
      <w:r w:rsidR="00AC6097">
        <w:t>to validate the proposed maintenance concepts or use</w:t>
      </w:r>
      <w:r>
        <w:t xml:space="preserve"> simple regression analysis to verify the outcome of the proposed solutions.</w:t>
      </w:r>
    </w:p>
    <w:tbl>
      <w:tblPr>
        <w:tblW w:w="0" w:type="auto"/>
        <w:tblLook w:val="04A0" w:firstRow="1" w:lastRow="0" w:firstColumn="1" w:lastColumn="0" w:noHBand="0" w:noVBand="1"/>
      </w:tblPr>
      <w:tblGrid>
        <w:gridCol w:w="4571"/>
        <w:gridCol w:w="4456"/>
      </w:tblGrid>
      <w:tr w:rsidR="003919FC" w14:paraId="3341C65B" w14:textId="77777777" w:rsidTr="00174B48">
        <w:tc>
          <w:tcPr>
            <w:tcW w:w="4461" w:type="dxa"/>
          </w:tcPr>
          <w:p w14:paraId="74A43D03" w14:textId="561053FE" w:rsidR="003919FC" w:rsidRDefault="00380587" w:rsidP="00174B48">
            <w:pPr>
              <w:spacing w:before="60" w:after="60"/>
              <w:jc w:val="center"/>
            </w:pPr>
            <w:bookmarkStart w:id="277" w:name="_Hlk52811964"/>
            <w:r>
              <w:rPr>
                <w:noProof/>
              </w:rPr>
              <w:drawing>
                <wp:inline distT="0" distB="0" distL="0" distR="0" wp14:anchorId="5ED2DDFA" wp14:editId="52EBB230">
                  <wp:extent cx="2765425" cy="2152763"/>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70735" cy="2156896"/>
                          </a:xfrm>
                          <a:prstGeom prst="rect">
                            <a:avLst/>
                          </a:prstGeom>
                          <a:noFill/>
                        </pic:spPr>
                      </pic:pic>
                    </a:graphicData>
                  </a:graphic>
                </wp:inline>
              </w:drawing>
            </w:r>
          </w:p>
          <w:p w14:paraId="5BC5A429" w14:textId="77777777" w:rsidR="003919FC" w:rsidRDefault="003919FC" w:rsidP="00174B48">
            <w:pPr>
              <w:spacing w:before="0" w:after="60"/>
              <w:jc w:val="center"/>
            </w:pPr>
            <w:r>
              <w:t>(a)</w:t>
            </w:r>
          </w:p>
        </w:tc>
        <w:tc>
          <w:tcPr>
            <w:tcW w:w="4566" w:type="dxa"/>
          </w:tcPr>
          <w:p w14:paraId="48378D57" w14:textId="1C822255" w:rsidR="003919FC" w:rsidRDefault="00380587" w:rsidP="00174B48">
            <w:pPr>
              <w:spacing w:before="60" w:after="60"/>
              <w:jc w:val="center"/>
              <w:rPr>
                <w:noProof/>
              </w:rPr>
            </w:pPr>
            <w:r>
              <w:rPr>
                <w:noProof/>
              </w:rPr>
              <w:drawing>
                <wp:inline distT="0" distB="0" distL="0" distR="0" wp14:anchorId="405F336F" wp14:editId="371FC251">
                  <wp:extent cx="2692305" cy="217297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02269" cy="2181012"/>
                          </a:xfrm>
                          <a:prstGeom prst="rect">
                            <a:avLst/>
                          </a:prstGeom>
                          <a:noFill/>
                        </pic:spPr>
                      </pic:pic>
                    </a:graphicData>
                  </a:graphic>
                </wp:inline>
              </w:drawing>
            </w:r>
          </w:p>
          <w:p w14:paraId="16361148" w14:textId="77777777" w:rsidR="003919FC" w:rsidRDefault="003919FC" w:rsidP="00174B48">
            <w:pPr>
              <w:spacing w:before="60" w:after="60"/>
              <w:jc w:val="center"/>
            </w:pPr>
            <w:r>
              <w:t>(b)</w:t>
            </w:r>
          </w:p>
        </w:tc>
      </w:tr>
    </w:tbl>
    <w:p w14:paraId="7D636AAB" w14:textId="30CD3870" w:rsidR="003919FC" w:rsidRDefault="003919FC" w:rsidP="003919FC">
      <w:pPr>
        <w:pStyle w:val="Caption"/>
        <w:spacing w:before="60" w:after="60"/>
      </w:pPr>
      <w:bookmarkStart w:id="278" w:name="_Ref48824839"/>
      <w:bookmarkStart w:id="279" w:name="_Toc101274542"/>
      <w:r>
        <w:t xml:space="preserve">Figure </w:t>
      </w:r>
      <w:fldSimple w:instr=" SEQ Figure \* ARABIC ">
        <w:r w:rsidR="00587AF0">
          <w:rPr>
            <w:noProof/>
          </w:rPr>
          <w:t>20</w:t>
        </w:r>
      </w:fldSimple>
      <w:bookmarkEnd w:id="278"/>
      <w:r>
        <w:t xml:space="preserve">. </w:t>
      </w:r>
      <w:r w:rsidR="00E6511D">
        <w:t>S</w:t>
      </w:r>
      <w:r>
        <w:t>ystematic analysis of research: (a) methodologies and (b) source of verification</w:t>
      </w:r>
      <w:bookmarkEnd w:id="279"/>
      <w:r>
        <w:t xml:space="preserve"> </w:t>
      </w:r>
    </w:p>
    <w:p w14:paraId="21FD8B20" w14:textId="7781018F" w:rsidR="009B5DBE" w:rsidRDefault="009B5DBE" w:rsidP="009B5DBE">
      <w:pPr>
        <w:pStyle w:val="Heading3"/>
      </w:pPr>
      <w:bookmarkStart w:id="280" w:name="_Toc93759888"/>
      <w:bookmarkStart w:id="281" w:name="_Toc93759992"/>
      <w:bookmarkStart w:id="282" w:name="_Toc101274354"/>
      <w:bookmarkEnd w:id="277"/>
      <w:r>
        <w:t>Energy-</w:t>
      </w:r>
      <w:r w:rsidR="009A173C">
        <w:t>dedicated</w:t>
      </w:r>
      <w:r>
        <w:t xml:space="preserve"> maintenance prospects and concepts</w:t>
      </w:r>
      <w:bookmarkEnd w:id="280"/>
      <w:bookmarkEnd w:id="281"/>
      <w:bookmarkEnd w:id="282"/>
    </w:p>
    <w:p w14:paraId="1EA19C1D" w14:textId="118213EE" w:rsidR="003919FC" w:rsidRDefault="003919FC" w:rsidP="003919FC">
      <w:pPr>
        <w:sectPr w:rsidR="003919FC" w:rsidSect="008D7D41">
          <w:pgSz w:w="11907" w:h="16840" w:code="9"/>
          <w:pgMar w:top="1440" w:right="1440" w:bottom="1440" w:left="1440" w:header="706" w:footer="706" w:gutter="0"/>
          <w:pgNumType w:start="1"/>
          <w:cols w:space="708"/>
          <w:docGrid w:linePitch="360"/>
        </w:sectPr>
      </w:pPr>
      <w:r>
        <w:t xml:space="preserve">There are </w:t>
      </w:r>
      <w:r w:rsidR="006E5996">
        <w:t xml:space="preserve">a </w:t>
      </w:r>
      <w:r>
        <w:t>few examples where researchers</w:t>
      </w:r>
      <w:r w:rsidRPr="00BC23F5">
        <w:t xml:space="preserve"> started creating new models</w:t>
      </w:r>
      <w:r>
        <w:t>-policies</w:t>
      </w:r>
      <w:r w:rsidR="009A173C">
        <w:t>,</w:t>
      </w:r>
      <w:r w:rsidRPr="00BC23F5">
        <w:t xml:space="preserve"> such as Sustainable Condition-Based M</w:t>
      </w:r>
      <w:r>
        <w:t>aintenance</w:t>
      </w:r>
      <w:r w:rsidRPr="00BC23F5">
        <w:t xml:space="preserve"> (SCBM) </w:t>
      </w:r>
      <w:r w:rsidRPr="00BC23F5">
        <w:fldChar w:fldCharType="begin" w:fldLock="1"/>
      </w:r>
      <w:r w:rsidR="00645D0B">
        <w:instrText>ADDIN CSL_CITATION {"citationItems":[{"id":"ITEM-1","itemData":{"DOI":"10.1016/j.eiar.2019.02.007","ISSN":"01959255","abstract":"For decades, maintenance of facilities and equipment, as well as related activities (from fault detection to prognostics and health management), has a proven impact on efficiency of production systems and is thus still the subject of numerous developments (from corrective to proactive maintenance). These developments are supported by the increase in digital pervasiveness accompanying the Industry 4.0. concept, based in particular on the use of Cyber-Physical Systems. In addition, we are witnessing the growing interest of the political and academic world and public opinion with regard to the sustainable impact of human activity. For company decision-makers, triple bottom line accounting frameworks have been introduced at higher decision levels (strategic) based on economic, social, and environmental performance indicators. This triple preoccupation has not yet been integrated into studies on middle (tactical) and lower (operational) decision levels, and paradoxically, not into production facility health management either. In this paper, we propose the deployment of a framework helping decisions makers to be environmentally aware in the maintenance of cyber physical systems. This framework consists of three key elements: a new maintenance policy called Sustainable Condition-Based Maintenance (SCBM), which requires the assessment of the Remaining Sustainable Life (RSL) as a key indicator; an adaptation and extension of a generic prognostic business process initially proposed for traditional Conditions Based Maintenance (CBM); and an organization adapted to the prognosis of the environmental performance of systems, based on holonic structures. We present the implementation of such a framework on a real Cyber Physical Systems under development.","author":[{"dropping-particle":"","family":"Sénéchal","given":"Olivier","non-dropping-particle":"","parse-names":false,"suffix":""},{"dropping-particle":"","family":"Trentesaux","given":"Damien","non-dropping-particle":"","parse-names":false,"suffix":""}],"container-title":"Environmental Impact Assessment Review","id":"ITEM-1","issue":"March","issued":{"date-parts":[["2019"]]},"note":"- Also argues that pro-active is CBM.\n- The primary aim is to bridge the gap of including sustainable elements in MDM. Hence, the aim is to propose a framework helping decision-makers to be aware of environmental impacts in maintenance activities.\n- Prognostic of sustainable perofrmance ...\n- RSL + CL + Future environmental perofmrance (FEP)\n- FEP are emissions and resources consumption considered in LCI but only induced by the exploitation phase starting from the environemntal diagnosis time.\n-","page":"11-22","publisher":"Elsevier","title":"A framework to help decision makers to be environmentally aware during the maintenance of cyber physical systems","type":"article-journal","volume":"77"},"uris":["http://www.mendeley.com/documents/?uuid=8438580c-b281-42c8-8c98-51c4b56d70fc"]}],"mendeley":{"formattedCitation":"[110]","plainTextFormattedCitation":"[110]","previouslyFormattedCitation":"[110]"},"properties":{"noteIndex":0},"schema":"https://github.com/citation-style-language/schema/raw/master/csl-citation.json"}</w:instrText>
      </w:r>
      <w:r w:rsidRPr="00BC23F5">
        <w:fldChar w:fldCharType="separate"/>
      </w:r>
      <w:r w:rsidR="00416869" w:rsidRPr="00416869">
        <w:rPr>
          <w:noProof/>
        </w:rPr>
        <w:t>[110]</w:t>
      </w:r>
      <w:r w:rsidRPr="00BC23F5">
        <w:fldChar w:fldCharType="end"/>
      </w:r>
      <w:r>
        <w:t xml:space="preserve"> and </w:t>
      </w:r>
      <w:r w:rsidRPr="00BC23F5">
        <w:t xml:space="preserve">Energy-Based Maintenance (EBM) </w:t>
      </w:r>
      <w:r w:rsidRPr="00BC23F5">
        <w:fldChar w:fldCharType="begin" w:fldLock="1"/>
      </w:r>
      <w:r w:rsidR="00645D0B">
        <w:instrText>ADDIN CSL_CITATION {"citationItems":[{"id":"ITEM-1","itemData":{"DOI":"10.1016/j.procir.2016.01.111","ISSN":"22128271","abstract":"Improving the overall equipment effectiveness of machine tools will improve resource-efficiency and productivity in manufacturing. First step to achieve more effectiveness would require sensors for monitoring of machine availability and quality of machining processes. Abnormal machine conditions are characterized by fault-pattern, which can indicate failure and quality losses. Further, machine failure can shorten the remaining useful life of the components and affect the products. Therefore, it is essential to determine a valuable data source which will enable the extraction of fault-pattern and the allocation of these pattern to machining processes. However, this can be challenging due to lack of open source control architecture, different machine types and automation degree, changing operating loads, and dynamic failure rates in a real environment. Retrofit for online analysis of electrical power intake of machine tools seems to satisfy this challenge. A fault-monitoring framework for manufacturing equipment has been proposed in this paper, based on data stream mining techniques for online pattern matching in electrical power data streams. Complex event processing is applied to ensure scalable data processing for large data volumes and automate the reporting in order to assign the fault-patterns to machining processes and products. This concept is introduced as energy-based maintenance and validated for a powertrain machining line in milling and drilling machines.","author":[{"dropping-particle":"","family":"Emec","given":"Soner","non-dropping-particle":"","parse-names":false,"suffix":""},{"dropping-particle":"","family":"Krüger","given":"Jörg","non-dropping-particle":"","parse-names":false,"suffix":""},{"dropping-particle":"","family":"Seliger","given":"Günther","non-dropping-particle":"","parse-names":false,"suffix":""}],"container-title":"Procedia CIRP","id":"ITEM-1","issued":{"date-parts":[["2016"]]},"page":"236-243","publisher":"Elsevier B.V.","title":"Online Fault-monitoring in Machine Tools Based on Energy Consumption Analysis and Non-invasive Data Acquisition for Improved Resource-efficiency","type":"article-journal","volume":"40"},"uris":["http://www.mendeley.com/documents/?uuid=37b1bdc1-aae6-4693-b0a0-5544860f4986"]}],"mendeley":{"formattedCitation":"[111]","plainTextFormattedCitation":"[111]","previouslyFormattedCitation":"[111]"},"properties":{"noteIndex":0},"schema":"https://github.com/citation-style-language/schema/raw/master/csl-citation.json"}</w:instrText>
      </w:r>
      <w:r w:rsidRPr="00BC23F5">
        <w:fldChar w:fldCharType="separate"/>
      </w:r>
      <w:r w:rsidR="00416869" w:rsidRPr="00416869">
        <w:rPr>
          <w:noProof/>
        </w:rPr>
        <w:t>[111]</w:t>
      </w:r>
      <w:r w:rsidRPr="00BC23F5">
        <w:fldChar w:fldCharType="end"/>
      </w:r>
      <w:r w:rsidR="00EE137B">
        <w:t>,</w:t>
      </w:r>
      <w:r>
        <w:t xml:space="preserve"> encompassing a higher level of decision-making.</w:t>
      </w:r>
      <w:r w:rsidRPr="00BC23F5">
        <w:t xml:space="preserve"> </w:t>
      </w:r>
      <w:r>
        <w:t xml:space="preserve">Hence, the studies address the strategical level by proposing novel maintenance policies, including energy indicators </w:t>
      </w:r>
      <w:r w:rsidR="006E5996">
        <w:t xml:space="preserve">such </w:t>
      </w:r>
      <w:r>
        <w:t xml:space="preserve">as CBM-ESOW (Energy Saving Opportunity Window) </w:t>
      </w:r>
      <w:r>
        <w:fldChar w:fldCharType="begin" w:fldLock="1"/>
      </w:r>
      <w:r w:rsidR="00645D0B">
        <w:instrText>ADDIN CSL_CITATION {"citationItems":[{"id":"ITEM-1","itemData":{"DOI":"10.1016/j.jclepro.2019.119791","ISSN":"09596526","abstract":"Nowadays the manufacturing enterprises are driven towards significant energy improvements by increasing energy costs and sustainability awareness, and energy consumption and energy efficiency are taking a more and more dominating position in the decision-making process of manufacturing enterprises. However, in the process of production, existing researches rarely integrate energy management with conducting preventive maintenance at the strategic level, ignoring energy-saving opportunities that may arise during machines’ downtime. This paper considers a serial production system with intermediate finite buffers. Based on the concept of “energy-saving opportunity window” and the modelling of the continuous deterioration process of each machine, the window of energy-saving opportunity of the production system is regarded as a window of opportunity for the preventive maintenance, thus a proactive preventive maintenance strategy is proposed. The serial production system is modeled and the impact of different maintenance thresholds on the energy efficiency is explored by means of Monte Carlo simulation. For purpose of maximizing the energy efficiency of the entire production system, an iterative algorithm for solving the optimal preventive maintenance thresholds is presented as well. The numerical analysis with other maintenance strategies shows that the proposed strategy is more competitive in improving the effective throughput while reducing the overall energy consumption.","author":[{"dropping-particle":"","family":"Zhou","given":"Binghai","non-dropping-particle":"","parse-names":false,"suffix":""},{"dropping-particle":"","family":"Qi","given":"Yi","non-dropping-particle":"","parse-names":false,"suffix":""},{"dropping-particle":"","family":"Liu","given":"Yuwang","non-dropping-particle":"","parse-names":false,"suffix":""}],"container-title":"Journal of Cleaner Production","id":"ITEM-1","issued":{"date-parts":[["2020"]]},"note":"Monte Carlo to help algorithm.\nAccording to the researches on the energy consumption unit time under different operating conditions of equipment, the equipment operating state is divided into the following stages: start-up, warm- up, normal operation, standby (idle) and shutdown.","title":"Proactive preventive maintenance policy for buffered serial production systems based on energy saving opportunistic windows","type":"article-journal","volume":"253"},"uris":["http://www.mendeley.com/documents/?uuid=bf853058-fc4a-490b-972f-6e25a6156239"]}],"mendeley":{"formattedCitation":"[112]","plainTextFormattedCitation":"[112]","previouslyFormattedCitation":"[112]"},"properties":{"noteIndex":0},"schema":"https://github.com/citation-style-language/schema/raw/master/csl-citation.json"}</w:instrText>
      </w:r>
      <w:r>
        <w:fldChar w:fldCharType="separate"/>
      </w:r>
      <w:r w:rsidR="00416869" w:rsidRPr="00416869">
        <w:rPr>
          <w:noProof/>
        </w:rPr>
        <w:t>[112]</w:t>
      </w:r>
      <w:r>
        <w:fldChar w:fldCharType="end"/>
      </w:r>
      <w:r>
        <w:t xml:space="preserve"> and CBOM (Condition-Based Opportunity Maintenance) </w:t>
      </w:r>
      <w:r>
        <w:fldChar w:fldCharType="begin" w:fldLock="1"/>
      </w:r>
      <w:r w:rsidR="00645D0B">
        <w:instrText>ADDIN CSL_CITATION {"citationItems":[{"id":"ITEM-1","itemData":{"DOI":"10.3926/jiem.2649","ISSN":"2013-0953","abstract":"Purpose: In order to improve the energy utilization and achieve sustainable development, this paper integrates energy efficiency into condition-based maintenance(CBM) decision-making for two-component parallel systems. The objective is to obtain the optimal maintenance policy by minimizing total cost.Design/methodology/approach: Based on energy efficiency, the paper considers the economic dependence between the two components to take opportunistic maintenance. Specifically, the objective function consists of traditional maintenance cost and energy cost incurred by energy consumption of components. In order to assess the performance of the proposed new maintenance policy, the paper uses Monte-Carlo method to evaluate the total cost and find the optimal maintenance policy.Findings: Simulation results indicate that the new maintenance policy is superior to the classical condition-based opportunistic maintenance policy in terms of total economic costs.Originality/value: For two-component parallel systems, previous researches usually simply establish a condition-based opportunistic maintenance model based on real deterioration data, but ignore energy consumption, energy efficiency (EE) and their contributions of sustainable development. This paper creatively takes energy efficiency into condition-based maintenance(CBM) decision-making process, and proposes a new condition-based opportunistic maintenance policy by using energy efficiency indicator(EEI).","author":[{"dropping-particle":"","family":"Jiang","given":"Aiping","non-dropping-particle":"","parse-names":false,"suffix":""},{"dropping-particle":"","family":"Wang","given":"Yuanyuan","non-dropping-particle":"","parse-names":false,"suffix":""},{"dropping-particle":"","family":"Cheng","given":"Yide","non-dropping-particle":"","parse-names":false,"suffix":""}],"container-title":"Journal of Industrial Engineering and Management","id":"ITEM-1","issue":"4","issued":{"date-parts":[["2018","10","24"]]},"note":"Thus, the aim of the article is to propose a new maintenance model with ecological consciousness for two-component parallel systems, which can improve the energy utilization and achieve sustainable development.\n- In addition, they can integrate energy efficiency into maintenance decision-making if possible.\nIn addition, indicators that energy efficiency and any other ecological impacts will be taken into maintenance decision-making. This would be a rather interesting research field in the future.","page":"749","title":"A condition-based opportunistic maintenance policy integrated with energy efficiency for two-component parallel systems","type":"article-journal","volume":"11"},"uris":["http://www.mendeley.com/documents/?uuid=4b7e4c2b-d645-467e-8303-913756a09374"]}],"mendeley":{"formattedCitation":"[113]","plainTextFormattedCitation":"[113]","previouslyFormattedCitation":"[113]"},"properties":{"noteIndex":0},"schema":"https://github.com/citation-style-language/schema/raw/master/csl-citation.json"}</w:instrText>
      </w:r>
      <w:r>
        <w:fldChar w:fldCharType="separate"/>
      </w:r>
      <w:r w:rsidR="00416869" w:rsidRPr="00416869">
        <w:rPr>
          <w:noProof/>
        </w:rPr>
        <w:t>[113]</w:t>
      </w:r>
      <w:r>
        <w:fldChar w:fldCharType="end"/>
      </w:r>
      <w:r>
        <w:t xml:space="preserve">) are still in the infancy stage, thus lacking practical case studies. As </w:t>
      </w:r>
      <w:r w:rsidR="009A173C">
        <w:t>shown</w:t>
      </w:r>
      <w:r>
        <w:t xml:space="preserve"> in </w:t>
      </w:r>
      <w:r>
        <w:fldChar w:fldCharType="begin"/>
      </w:r>
      <w:r>
        <w:instrText xml:space="preserve"> REF _Ref48748486 \h </w:instrText>
      </w:r>
      <w:r>
        <w:fldChar w:fldCharType="separate"/>
      </w:r>
      <w:r w:rsidR="00587AF0">
        <w:t xml:space="preserve">Figure </w:t>
      </w:r>
      <w:r w:rsidR="00587AF0">
        <w:rPr>
          <w:noProof/>
        </w:rPr>
        <w:t>19</w:t>
      </w:r>
      <w:r>
        <w:fldChar w:fldCharType="end"/>
      </w:r>
      <w:r>
        <w:t>b, most of the EBM concepts provided rely on traditional maintenance actions (e.g., CM, PM). However, even though the concepts proposed argue that it would be beneficial to include environmental elements in such concepts, most still consider the economic/profit factor as a primary optimisation function. Nevertheless, we provide an overview of existing models and maintenance concepts, considering the effect of energy consumption, energy</w:t>
      </w:r>
      <w:r w:rsidR="009A173C">
        <w:t xml:space="preserve"> </w:t>
      </w:r>
      <w:r>
        <w:t xml:space="preserve">efficiency or related indicators for different aspects and decision-making levels of maintenance </w:t>
      </w:r>
      <w:r w:rsidRPr="00DB7DAA">
        <w:t>(</w:t>
      </w:r>
      <w:r w:rsidRPr="00DB7DAA">
        <w:fldChar w:fldCharType="begin"/>
      </w:r>
      <w:r w:rsidRPr="00DB7DAA">
        <w:instrText xml:space="preserve"> REF _Ref48758977 \h  \* MERGEFORMAT </w:instrText>
      </w:r>
      <w:r w:rsidRPr="00DB7DAA">
        <w:fldChar w:fldCharType="separate"/>
      </w:r>
      <w:r w:rsidR="00587AF0" w:rsidRPr="00587AF0">
        <w:t>Table 12</w:t>
      </w:r>
      <w:r w:rsidRPr="00DB7DAA">
        <w:fldChar w:fldCharType="end"/>
      </w:r>
      <w:r w:rsidRPr="00BC23F5">
        <w:t xml:space="preserve">). An in-detail discussion is given in the </w:t>
      </w:r>
      <w:r>
        <w:t xml:space="preserve">following </w:t>
      </w:r>
      <w:r w:rsidR="00FD2912">
        <w:t>sub-section</w:t>
      </w:r>
      <w:r w:rsidR="007A4004">
        <w:t>.</w:t>
      </w:r>
    </w:p>
    <w:p w14:paraId="341CAC4D" w14:textId="67BE882F" w:rsidR="003919FC" w:rsidRPr="00E17C2C" w:rsidRDefault="003919FC" w:rsidP="003919FC">
      <w:pPr>
        <w:pStyle w:val="Caption"/>
        <w:spacing w:before="60" w:after="60"/>
        <w:jc w:val="left"/>
        <w:rPr>
          <w:sz w:val="22"/>
          <w:szCs w:val="16"/>
        </w:rPr>
      </w:pPr>
      <w:bookmarkStart w:id="283" w:name="_Ref48758977"/>
      <w:bookmarkStart w:id="284" w:name="_Toc65585502"/>
      <w:bookmarkStart w:id="285" w:name="_Toc101274452"/>
      <w:r w:rsidRPr="00E17C2C">
        <w:rPr>
          <w:sz w:val="22"/>
          <w:szCs w:val="16"/>
        </w:rPr>
        <w:lastRenderedPageBreak/>
        <w:t xml:space="preserve">Table </w:t>
      </w:r>
      <w:r w:rsidRPr="00E17C2C">
        <w:rPr>
          <w:sz w:val="22"/>
          <w:szCs w:val="16"/>
        </w:rPr>
        <w:fldChar w:fldCharType="begin"/>
      </w:r>
      <w:r w:rsidRPr="00E17C2C">
        <w:rPr>
          <w:sz w:val="22"/>
          <w:szCs w:val="16"/>
        </w:rPr>
        <w:instrText xml:space="preserve"> SEQ Table \* ARABIC </w:instrText>
      </w:r>
      <w:r w:rsidRPr="00E17C2C">
        <w:rPr>
          <w:sz w:val="22"/>
          <w:szCs w:val="16"/>
        </w:rPr>
        <w:fldChar w:fldCharType="separate"/>
      </w:r>
      <w:r w:rsidR="00587AF0">
        <w:rPr>
          <w:noProof/>
          <w:sz w:val="22"/>
          <w:szCs w:val="16"/>
        </w:rPr>
        <w:t>12</w:t>
      </w:r>
      <w:r w:rsidRPr="00E17C2C">
        <w:rPr>
          <w:noProof/>
          <w:sz w:val="22"/>
          <w:szCs w:val="16"/>
        </w:rPr>
        <w:fldChar w:fldCharType="end"/>
      </w:r>
      <w:bookmarkEnd w:id="283"/>
      <w:r w:rsidRPr="00E17C2C">
        <w:rPr>
          <w:sz w:val="22"/>
          <w:szCs w:val="16"/>
        </w:rPr>
        <w:t>. EBM models and maintenance concepts proposed</w:t>
      </w:r>
      <w:bookmarkEnd w:id="284"/>
      <w:r w:rsidR="00097878">
        <w:rPr>
          <w:sz w:val="22"/>
          <w:szCs w:val="16"/>
        </w:rPr>
        <w:t xml:space="preserve"> with thresholds prospects</w:t>
      </w:r>
      <w:bookmarkEnd w:id="285"/>
    </w:p>
    <w:tbl>
      <w:tblPr>
        <w:tblW w:w="4942" w:type="pct"/>
        <w:tblBorders>
          <w:top w:val="single" w:sz="8" w:space="0" w:color="auto"/>
          <w:bottom w:val="single" w:sz="8" w:space="0" w:color="auto"/>
        </w:tblBorders>
        <w:tblLook w:val="04A0" w:firstRow="1" w:lastRow="0" w:firstColumn="1" w:lastColumn="0" w:noHBand="0" w:noVBand="1"/>
      </w:tblPr>
      <w:tblGrid>
        <w:gridCol w:w="1631"/>
        <w:gridCol w:w="1278"/>
        <w:gridCol w:w="1475"/>
        <w:gridCol w:w="2358"/>
        <w:gridCol w:w="1751"/>
        <w:gridCol w:w="1779"/>
        <w:gridCol w:w="1202"/>
        <w:gridCol w:w="1139"/>
        <w:gridCol w:w="1185"/>
      </w:tblGrid>
      <w:tr w:rsidR="003919FC" w:rsidRPr="00E17C2C" w14:paraId="3856B1DE" w14:textId="77777777" w:rsidTr="006E5996">
        <w:trPr>
          <w:trHeight w:val="219"/>
        </w:trPr>
        <w:tc>
          <w:tcPr>
            <w:tcW w:w="593" w:type="pct"/>
            <w:tcBorders>
              <w:top w:val="single" w:sz="8" w:space="0" w:color="auto"/>
              <w:bottom w:val="single" w:sz="8" w:space="0" w:color="auto"/>
            </w:tcBorders>
            <w:vAlign w:val="center"/>
          </w:tcPr>
          <w:p w14:paraId="4B0ACB48" w14:textId="77777777" w:rsidR="003919FC" w:rsidRPr="006E5996" w:rsidRDefault="003919FC" w:rsidP="00174B48">
            <w:pPr>
              <w:spacing w:before="0" w:after="0"/>
              <w:rPr>
                <w:b/>
                <w:bCs/>
                <w:sz w:val="18"/>
                <w:szCs w:val="18"/>
              </w:rPr>
            </w:pPr>
            <w:r w:rsidRPr="006E5996">
              <w:rPr>
                <w:b/>
                <w:bCs/>
                <w:sz w:val="18"/>
                <w:szCs w:val="18"/>
              </w:rPr>
              <w:t>Concept</w:t>
            </w:r>
          </w:p>
        </w:tc>
        <w:tc>
          <w:tcPr>
            <w:tcW w:w="465" w:type="pct"/>
            <w:tcBorders>
              <w:top w:val="single" w:sz="8" w:space="0" w:color="auto"/>
              <w:bottom w:val="single" w:sz="8" w:space="0" w:color="auto"/>
            </w:tcBorders>
            <w:vAlign w:val="center"/>
          </w:tcPr>
          <w:p w14:paraId="782563AB" w14:textId="77777777" w:rsidR="003919FC" w:rsidRPr="006E5996" w:rsidRDefault="003919FC" w:rsidP="00174B48">
            <w:pPr>
              <w:spacing w:before="0" w:after="0"/>
              <w:rPr>
                <w:b/>
                <w:bCs/>
                <w:sz w:val="18"/>
                <w:szCs w:val="18"/>
              </w:rPr>
            </w:pPr>
            <w:r w:rsidRPr="006E5996">
              <w:rPr>
                <w:b/>
                <w:bCs/>
                <w:sz w:val="18"/>
                <w:szCs w:val="18"/>
              </w:rPr>
              <w:t>Aspect</w:t>
            </w:r>
          </w:p>
        </w:tc>
        <w:tc>
          <w:tcPr>
            <w:tcW w:w="536" w:type="pct"/>
            <w:tcBorders>
              <w:top w:val="single" w:sz="8" w:space="0" w:color="auto"/>
              <w:bottom w:val="single" w:sz="8" w:space="0" w:color="auto"/>
            </w:tcBorders>
            <w:vAlign w:val="center"/>
          </w:tcPr>
          <w:p w14:paraId="4D6D8125" w14:textId="77777777" w:rsidR="003919FC" w:rsidRPr="006E5996" w:rsidRDefault="003919FC" w:rsidP="00174B48">
            <w:pPr>
              <w:spacing w:before="0" w:after="0"/>
              <w:rPr>
                <w:b/>
                <w:bCs/>
                <w:sz w:val="18"/>
                <w:szCs w:val="18"/>
              </w:rPr>
            </w:pPr>
            <w:r w:rsidRPr="006E5996">
              <w:rPr>
                <w:b/>
                <w:bCs/>
                <w:sz w:val="18"/>
                <w:szCs w:val="18"/>
              </w:rPr>
              <w:t>Application</w:t>
            </w:r>
          </w:p>
        </w:tc>
        <w:tc>
          <w:tcPr>
            <w:tcW w:w="856" w:type="pct"/>
            <w:tcBorders>
              <w:top w:val="single" w:sz="8" w:space="0" w:color="auto"/>
              <w:bottom w:val="single" w:sz="8" w:space="0" w:color="auto"/>
            </w:tcBorders>
            <w:vAlign w:val="center"/>
          </w:tcPr>
          <w:p w14:paraId="7D00432D" w14:textId="77777777" w:rsidR="003919FC" w:rsidRPr="006E5996" w:rsidRDefault="003919FC" w:rsidP="00174B48">
            <w:pPr>
              <w:spacing w:before="0" w:after="0"/>
              <w:rPr>
                <w:b/>
                <w:bCs/>
                <w:sz w:val="18"/>
                <w:szCs w:val="18"/>
              </w:rPr>
            </w:pPr>
            <w:r w:rsidRPr="006E5996">
              <w:rPr>
                <w:b/>
                <w:bCs/>
                <w:sz w:val="18"/>
                <w:szCs w:val="18"/>
              </w:rPr>
              <w:t>Model/Method</w:t>
            </w:r>
          </w:p>
        </w:tc>
        <w:tc>
          <w:tcPr>
            <w:tcW w:w="636" w:type="pct"/>
            <w:tcBorders>
              <w:top w:val="single" w:sz="8" w:space="0" w:color="auto"/>
              <w:bottom w:val="single" w:sz="8" w:space="0" w:color="auto"/>
            </w:tcBorders>
            <w:vAlign w:val="center"/>
          </w:tcPr>
          <w:p w14:paraId="0E1E1448" w14:textId="3761C7FB" w:rsidR="003919FC" w:rsidRPr="006E5996" w:rsidRDefault="003919FC" w:rsidP="00174B48">
            <w:pPr>
              <w:spacing w:before="0" w:after="0"/>
              <w:rPr>
                <w:b/>
                <w:bCs/>
                <w:sz w:val="18"/>
                <w:szCs w:val="18"/>
              </w:rPr>
            </w:pPr>
            <w:r w:rsidRPr="006E5996">
              <w:rPr>
                <w:b/>
                <w:bCs/>
                <w:sz w:val="18"/>
                <w:szCs w:val="18"/>
              </w:rPr>
              <w:t>Indicator/</w:t>
            </w:r>
            <w:r w:rsidR="005701BB">
              <w:rPr>
                <w:b/>
                <w:bCs/>
                <w:sz w:val="18"/>
                <w:szCs w:val="18"/>
              </w:rPr>
              <w:t>Markers</w:t>
            </w:r>
          </w:p>
        </w:tc>
        <w:tc>
          <w:tcPr>
            <w:tcW w:w="646" w:type="pct"/>
            <w:tcBorders>
              <w:top w:val="single" w:sz="8" w:space="0" w:color="auto"/>
              <w:bottom w:val="single" w:sz="8" w:space="0" w:color="auto"/>
            </w:tcBorders>
            <w:vAlign w:val="center"/>
          </w:tcPr>
          <w:p w14:paraId="32FCB63E" w14:textId="77777777" w:rsidR="003919FC" w:rsidRPr="006E5996" w:rsidRDefault="003919FC" w:rsidP="00174B48">
            <w:pPr>
              <w:spacing w:before="0" w:after="0"/>
              <w:jc w:val="right"/>
              <w:rPr>
                <w:b/>
                <w:bCs/>
                <w:sz w:val="18"/>
                <w:szCs w:val="18"/>
              </w:rPr>
            </w:pPr>
            <w:r w:rsidRPr="006E5996">
              <w:rPr>
                <w:b/>
                <w:bCs/>
                <w:sz w:val="18"/>
                <w:szCs w:val="18"/>
              </w:rPr>
              <w:t>Threshold</w:t>
            </w:r>
          </w:p>
        </w:tc>
        <w:tc>
          <w:tcPr>
            <w:tcW w:w="437" w:type="pct"/>
            <w:tcBorders>
              <w:top w:val="single" w:sz="8" w:space="0" w:color="auto"/>
              <w:bottom w:val="single" w:sz="8" w:space="0" w:color="auto"/>
            </w:tcBorders>
            <w:vAlign w:val="center"/>
          </w:tcPr>
          <w:p w14:paraId="23E8492F" w14:textId="77777777" w:rsidR="003919FC" w:rsidRPr="006E5996" w:rsidRDefault="003919FC" w:rsidP="00174B48">
            <w:pPr>
              <w:spacing w:before="0" w:after="0"/>
              <w:jc w:val="right"/>
              <w:rPr>
                <w:b/>
                <w:bCs/>
                <w:sz w:val="18"/>
                <w:szCs w:val="18"/>
              </w:rPr>
            </w:pPr>
            <w:r w:rsidRPr="006E5996">
              <w:rPr>
                <w:b/>
                <w:bCs/>
                <w:sz w:val="18"/>
                <w:szCs w:val="18"/>
              </w:rPr>
              <w:t>Data</w:t>
            </w:r>
          </w:p>
        </w:tc>
        <w:tc>
          <w:tcPr>
            <w:tcW w:w="400" w:type="pct"/>
            <w:tcBorders>
              <w:top w:val="single" w:sz="8" w:space="0" w:color="auto"/>
              <w:bottom w:val="single" w:sz="8" w:space="0" w:color="auto"/>
            </w:tcBorders>
            <w:vAlign w:val="center"/>
          </w:tcPr>
          <w:p w14:paraId="214C4FB1" w14:textId="77777777" w:rsidR="003919FC" w:rsidRPr="006E5996" w:rsidRDefault="003919FC" w:rsidP="00174B48">
            <w:pPr>
              <w:spacing w:before="0" w:after="0"/>
              <w:jc w:val="right"/>
              <w:rPr>
                <w:b/>
                <w:bCs/>
                <w:sz w:val="18"/>
                <w:szCs w:val="18"/>
              </w:rPr>
            </w:pPr>
            <w:r w:rsidRPr="006E5996">
              <w:rPr>
                <w:b/>
                <w:bCs/>
                <w:sz w:val="18"/>
                <w:szCs w:val="18"/>
              </w:rPr>
              <w:t>Level</w:t>
            </w:r>
          </w:p>
        </w:tc>
        <w:tc>
          <w:tcPr>
            <w:tcW w:w="432" w:type="pct"/>
            <w:tcBorders>
              <w:top w:val="single" w:sz="8" w:space="0" w:color="auto"/>
              <w:bottom w:val="single" w:sz="8" w:space="0" w:color="auto"/>
            </w:tcBorders>
            <w:vAlign w:val="center"/>
          </w:tcPr>
          <w:p w14:paraId="0799F4F3" w14:textId="77777777" w:rsidR="003919FC" w:rsidRPr="006E5996" w:rsidRDefault="003919FC" w:rsidP="00174B48">
            <w:pPr>
              <w:spacing w:before="0" w:after="0"/>
              <w:jc w:val="right"/>
              <w:rPr>
                <w:b/>
                <w:bCs/>
                <w:sz w:val="18"/>
                <w:szCs w:val="18"/>
              </w:rPr>
            </w:pPr>
            <w:r w:rsidRPr="006E5996">
              <w:rPr>
                <w:b/>
                <w:bCs/>
                <w:sz w:val="18"/>
                <w:szCs w:val="18"/>
              </w:rPr>
              <w:t>Policy</w:t>
            </w:r>
          </w:p>
        </w:tc>
      </w:tr>
      <w:tr w:rsidR="003919FC" w:rsidRPr="00E17C2C" w14:paraId="775CA5C7" w14:textId="77777777" w:rsidTr="006E5996">
        <w:trPr>
          <w:trHeight w:val="192"/>
        </w:trPr>
        <w:tc>
          <w:tcPr>
            <w:tcW w:w="593" w:type="pct"/>
            <w:tcBorders>
              <w:top w:val="single" w:sz="8" w:space="0" w:color="auto"/>
            </w:tcBorders>
            <w:vAlign w:val="center"/>
          </w:tcPr>
          <w:p w14:paraId="70F27633" w14:textId="25D838E0" w:rsidR="003919FC" w:rsidRPr="00E17C2C" w:rsidRDefault="003919FC" w:rsidP="008966C6">
            <w:pPr>
              <w:spacing w:before="0" w:after="0"/>
              <w:jc w:val="left"/>
              <w:rPr>
                <w:sz w:val="18"/>
                <w:szCs w:val="18"/>
              </w:rPr>
            </w:pPr>
            <w:r w:rsidRPr="00E17C2C">
              <w:rPr>
                <w:sz w:val="18"/>
                <w:szCs w:val="18"/>
              </w:rPr>
              <w:t xml:space="preserve">MAM-ESW </w:t>
            </w:r>
            <w:r w:rsidRPr="00E17C2C">
              <w:rPr>
                <w:sz w:val="18"/>
                <w:szCs w:val="18"/>
              </w:rPr>
              <w:fldChar w:fldCharType="begin" w:fldLock="1"/>
            </w:r>
            <w:r w:rsidR="00645D0B">
              <w:rPr>
                <w:sz w:val="18"/>
                <w:szCs w:val="18"/>
              </w:rPr>
              <w:instrText>ADDIN CSL_CITATION {"citationItems":[{"id":"ITEM-1","itemData":{"DOI":"10.1115/1.4038996","ISSN":"15288935","abstract":"In recent years, the industry's responsibility to join in sustainable manufacturing becomes huge, while innovating sustainability has been a new trend. Industrial enterprises are pursuing energy reduction to meet future needs for sustainable globalization and government legislations for green manufacturing. To run a manufacturing line in an energy-efficient manner, an energy-oriented maintenance methodology is developed. At the machine layer, the multi-Attribute model (MAM) method is extended by modeling the energy attribute. Preventive maintenance (PM) intervals of each machine are dynamically scheduled according to the machine deterioration, maintenance effects, and environmental conditions. At the system layer, a novel energy saving window (ESW) policy is proposed to reduce energy for the whole line. Energy consumption interactivities, batch production characteristics, and system-layer maintenance opportunities are comprehensively considered. Real-Time choice of PM adjustments is scheduled by comparing the energy savings of advanced PM and delayed PM. The results prove the energy reduction achieved by this MAM-ESW methodology. It effectively utilizes standby power, reduces energy consumption, avoids manufacturing breakdown, and decreases scheduling complexity. Furthermore, this energy-oriented maintenance framework can be applied not only in the automotive industry but also for a broader range of manufacturing domains such as the aerospace, semiconductor, and chemical industries.","author":[{"dropping-particle":"","family":"Xia","given":"Tangbin","non-dropping-particle":"","parse-names":false,"suffix":""},{"dropping-particle":"","family":"Xi","given":"Lifeng","non-dropping-particle":"","parse-names":false,"suffix":""},{"dropping-particle":"","family":"Du","given":"Shichang","non-dropping-particle":"","parse-names":false,"suffix":""},{"dropping-particle":"","family":"Xiao","given":"Lei","non-dropping-particle":"","parse-names":false,"suffix":""},{"dropping-particle":"","family":"Pan","given":"Ershun","non-dropping-particle":"","parse-names":false,"suffix":""}],"container-title":"Journal of Manufacturing Science and Engineering, Transactions of the ASME","id":"ITEM-1","issue":"5","issued":{"date-parts":[["2018"]]},"page":"1-12","title":"Energy-oriented maintenance decision-making for sustainable manufacturing based on energy saving window","type":"article-journal","volume":"140"},"uris":["http://www.mendeley.com/documents/?uuid=1d41858c-b5b0-46d8-8d40-ea72dd8746dd"]}],"mendeley":{"formattedCitation":"[114]","plainTextFormattedCitation":"[114]","previouslyFormattedCitation":"[114]"},"properties":{"noteIndex":0},"schema":"https://github.com/citation-style-language/schema/raw/master/csl-citation.json"}</w:instrText>
            </w:r>
            <w:r w:rsidRPr="00E17C2C">
              <w:rPr>
                <w:sz w:val="18"/>
                <w:szCs w:val="18"/>
              </w:rPr>
              <w:fldChar w:fldCharType="separate"/>
            </w:r>
            <w:r w:rsidR="00416869" w:rsidRPr="00416869">
              <w:rPr>
                <w:noProof/>
                <w:sz w:val="18"/>
                <w:szCs w:val="18"/>
              </w:rPr>
              <w:t>[114]</w:t>
            </w:r>
            <w:r w:rsidRPr="00E17C2C">
              <w:rPr>
                <w:sz w:val="18"/>
                <w:szCs w:val="18"/>
              </w:rPr>
              <w:fldChar w:fldCharType="end"/>
            </w:r>
            <w:r w:rsidRPr="00E17C2C">
              <w:rPr>
                <w:sz w:val="18"/>
                <w:szCs w:val="18"/>
              </w:rPr>
              <w:t xml:space="preserve"> </w:t>
            </w:r>
          </w:p>
        </w:tc>
        <w:tc>
          <w:tcPr>
            <w:tcW w:w="465" w:type="pct"/>
            <w:tcBorders>
              <w:top w:val="single" w:sz="8" w:space="0" w:color="auto"/>
            </w:tcBorders>
            <w:vAlign w:val="center"/>
          </w:tcPr>
          <w:p w14:paraId="20AD7997" w14:textId="77777777" w:rsidR="003919FC" w:rsidRPr="00E17C2C" w:rsidRDefault="003919FC" w:rsidP="00174B48">
            <w:pPr>
              <w:spacing w:before="0" w:after="0"/>
              <w:rPr>
                <w:sz w:val="18"/>
                <w:szCs w:val="18"/>
              </w:rPr>
            </w:pPr>
            <w:r>
              <w:rPr>
                <w:sz w:val="18"/>
                <w:szCs w:val="18"/>
              </w:rPr>
              <w:t>Optimisation</w:t>
            </w:r>
          </w:p>
        </w:tc>
        <w:tc>
          <w:tcPr>
            <w:tcW w:w="536" w:type="pct"/>
            <w:tcBorders>
              <w:top w:val="single" w:sz="8" w:space="0" w:color="auto"/>
            </w:tcBorders>
            <w:vAlign w:val="center"/>
          </w:tcPr>
          <w:p w14:paraId="3A1E6175" w14:textId="77777777" w:rsidR="003919FC" w:rsidRPr="00E17C2C" w:rsidRDefault="003919FC" w:rsidP="00174B48">
            <w:pPr>
              <w:spacing w:before="0" w:after="0"/>
              <w:rPr>
                <w:sz w:val="18"/>
                <w:szCs w:val="18"/>
              </w:rPr>
            </w:pPr>
            <w:r w:rsidRPr="00E17C2C">
              <w:rPr>
                <w:sz w:val="18"/>
                <w:szCs w:val="18"/>
              </w:rPr>
              <w:t>Manufacturing</w:t>
            </w:r>
          </w:p>
        </w:tc>
        <w:tc>
          <w:tcPr>
            <w:tcW w:w="856" w:type="pct"/>
            <w:tcBorders>
              <w:top w:val="single" w:sz="8" w:space="0" w:color="auto"/>
            </w:tcBorders>
            <w:vAlign w:val="center"/>
          </w:tcPr>
          <w:p w14:paraId="3A8DA9E9" w14:textId="77777777" w:rsidR="003919FC" w:rsidRPr="00E17C2C" w:rsidRDefault="003919FC" w:rsidP="00174B48">
            <w:pPr>
              <w:spacing w:before="0" w:after="0"/>
              <w:rPr>
                <w:sz w:val="18"/>
                <w:szCs w:val="18"/>
              </w:rPr>
            </w:pPr>
            <w:r>
              <w:rPr>
                <w:sz w:val="18"/>
                <w:szCs w:val="18"/>
              </w:rPr>
              <w:t>Optimisation and programming algorithm. Reliability modelling.</w:t>
            </w:r>
          </w:p>
        </w:tc>
        <w:tc>
          <w:tcPr>
            <w:tcW w:w="636" w:type="pct"/>
            <w:tcBorders>
              <w:top w:val="single" w:sz="8" w:space="0" w:color="auto"/>
            </w:tcBorders>
            <w:vAlign w:val="center"/>
          </w:tcPr>
          <w:p w14:paraId="67BC1267" w14:textId="77777777" w:rsidR="003919FC" w:rsidRDefault="003919FC" w:rsidP="00174B48">
            <w:pPr>
              <w:spacing w:before="0" w:after="0"/>
              <w:rPr>
                <w:sz w:val="18"/>
                <w:szCs w:val="18"/>
              </w:rPr>
            </w:pPr>
            <w:r w:rsidRPr="00E17C2C">
              <w:rPr>
                <w:sz w:val="18"/>
                <w:szCs w:val="18"/>
              </w:rPr>
              <w:t xml:space="preserve">Energy </w:t>
            </w:r>
            <w:r>
              <w:rPr>
                <w:sz w:val="18"/>
                <w:szCs w:val="18"/>
              </w:rPr>
              <w:t>data</w:t>
            </w:r>
            <w:r w:rsidRPr="00E17C2C">
              <w:rPr>
                <w:sz w:val="18"/>
                <w:szCs w:val="18"/>
              </w:rPr>
              <w:br/>
            </w:r>
            <w:r>
              <w:rPr>
                <w:sz w:val="18"/>
                <w:szCs w:val="18"/>
              </w:rPr>
              <w:t>Production data</w:t>
            </w:r>
          </w:p>
          <w:p w14:paraId="351AF38D" w14:textId="77777777" w:rsidR="003919FC" w:rsidRPr="00E17C2C" w:rsidRDefault="003919FC" w:rsidP="00174B48">
            <w:pPr>
              <w:spacing w:before="0" w:after="0"/>
              <w:rPr>
                <w:sz w:val="18"/>
                <w:szCs w:val="18"/>
              </w:rPr>
            </w:pPr>
            <w:r>
              <w:rPr>
                <w:sz w:val="18"/>
                <w:szCs w:val="18"/>
              </w:rPr>
              <w:t>Maintenance data</w:t>
            </w:r>
          </w:p>
        </w:tc>
        <w:tc>
          <w:tcPr>
            <w:tcW w:w="646" w:type="pct"/>
            <w:tcBorders>
              <w:top w:val="single" w:sz="8" w:space="0" w:color="auto"/>
            </w:tcBorders>
            <w:vAlign w:val="center"/>
          </w:tcPr>
          <w:p w14:paraId="65FE44E8" w14:textId="77777777" w:rsidR="003919FC" w:rsidRPr="00E17C2C" w:rsidRDefault="003919FC" w:rsidP="00174B48">
            <w:pPr>
              <w:spacing w:before="0" w:after="0"/>
              <w:jc w:val="right"/>
              <w:rPr>
                <w:sz w:val="18"/>
                <w:szCs w:val="18"/>
              </w:rPr>
            </w:pPr>
            <w:r w:rsidRPr="00E17C2C">
              <w:rPr>
                <w:sz w:val="18"/>
                <w:szCs w:val="18"/>
              </w:rPr>
              <w:t>Changeover/batch cycles</w:t>
            </w:r>
          </w:p>
        </w:tc>
        <w:tc>
          <w:tcPr>
            <w:tcW w:w="437" w:type="pct"/>
            <w:tcBorders>
              <w:top w:val="single" w:sz="8" w:space="0" w:color="auto"/>
            </w:tcBorders>
            <w:vAlign w:val="center"/>
          </w:tcPr>
          <w:p w14:paraId="66A66C91" w14:textId="77777777" w:rsidR="003919FC" w:rsidRPr="00E17C2C" w:rsidRDefault="003919FC" w:rsidP="00174B48">
            <w:pPr>
              <w:spacing w:before="0" w:after="0"/>
              <w:jc w:val="right"/>
              <w:rPr>
                <w:sz w:val="18"/>
                <w:szCs w:val="18"/>
              </w:rPr>
            </w:pPr>
            <w:r w:rsidRPr="00E17C2C">
              <w:rPr>
                <w:sz w:val="18"/>
                <w:szCs w:val="18"/>
              </w:rPr>
              <w:t>Failure data</w:t>
            </w:r>
          </w:p>
        </w:tc>
        <w:tc>
          <w:tcPr>
            <w:tcW w:w="400" w:type="pct"/>
            <w:tcBorders>
              <w:top w:val="single" w:sz="8" w:space="0" w:color="auto"/>
            </w:tcBorders>
            <w:vAlign w:val="center"/>
          </w:tcPr>
          <w:p w14:paraId="199FF349" w14:textId="77777777" w:rsidR="003919FC" w:rsidRPr="00E17C2C" w:rsidRDefault="003919FC" w:rsidP="00174B48">
            <w:pPr>
              <w:spacing w:before="0" w:after="0"/>
              <w:jc w:val="right"/>
              <w:rPr>
                <w:sz w:val="18"/>
                <w:szCs w:val="18"/>
              </w:rPr>
            </w:pPr>
            <w:r>
              <w:rPr>
                <w:sz w:val="18"/>
                <w:szCs w:val="18"/>
              </w:rPr>
              <w:t>Operational/ Tactical</w:t>
            </w:r>
          </w:p>
        </w:tc>
        <w:tc>
          <w:tcPr>
            <w:tcW w:w="432" w:type="pct"/>
            <w:tcBorders>
              <w:top w:val="single" w:sz="8" w:space="0" w:color="auto"/>
            </w:tcBorders>
            <w:vAlign w:val="center"/>
          </w:tcPr>
          <w:p w14:paraId="2844ED9F" w14:textId="77777777" w:rsidR="003919FC" w:rsidRPr="00E17C2C" w:rsidRDefault="003919FC" w:rsidP="00174B48">
            <w:pPr>
              <w:spacing w:before="0" w:after="0"/>
              <w:jc w:val="right"/>
              <w:rPr>
                <w:sz w:val="18"/>
                <w:szCs w:val="18"/>
              </w:rPr>
            </w:pPr>
            <w:r w:rsidRPr="00E17C2C">
              <w:rPr>
                <w:sz w:val="18"/>
                <w:szCs w:val="18"/>
              </w:rPr>
              <w:t>EOM</w:t>
            </w:r>
          </w:p>
        </w:tc>
      </w:tr>
      <w:tr w:rsidR="003919FC" w:rsidRPr="00E17C2C" w14:paraId="51CAA54F" w14:textId="77777777" w:rsidTr="006E5996">
        <w:trPr>
          <w:trHeight w:val="217"/>
        </w:trPr>
        <w:tc>
          <w:tcPr>
            <w:tcW w:w="593" w:type="pct"/>
            <w:vAlign w:val="center"/>
          </w:tcPr>
          <w:p w14:paraId="3850CC43" w14:textId="3EC6D1C3" w:rsidR="003919FC" w:rsidRPr="00E17C2C" w:rsidRDefault="003919FC" w:rsidP="008966C6">
            <w:pPr>
              <w:spacing w:before="0" w:after="0"/>
              <w:jc w:val="left"/>
              <w:rPr>
                <w:sz w:val="18"/>
                <w:szCs w:val="18"/>
              </w:rPr>
            </w:pPr>
            <w:r>
              <w:rPr>
                <w:sz w:val="18"/>
                <w:szCs w:val="18"/>
              </w:rPr>
              <w:t>CBM-E</w:t>
            </w:r>
            <w:r w:rsidRPr="00E17C2C">
              <w:rPr>
                <w:sz w:val="18"/>
                <w:szCs w:val="18"/>
              </w:rPr>
              <w:t>S</w:t>
            </w:r>
            <w:r>
              <w:rPr>
                <w:sz w:val="18"/>
                <w:szCs w:val="18"/>
              </w:rPr>
              <w:t>O</w:t>
            </w:r>
            <w:r w:rsidRPr="00E17C2C">
              <w:rPr>
                <w:sz w:val="18"/>
                <w:szCs w:val="18"/>
              </w:rPr>
              <w:t xml:space="preserve">W </w:t>
            </w:r>
            <w:r w:rsidRPr="00E17C2C">
              <w:rPr>
                <w:sz w:val="18"/>
                <w:szCs w:val="18"/>
              </w:rPr>
              <w:fldChar w:fldCharType="begin" w:fldLock="1"/>
            </w:r>
            <w:r w:rsidR="00645D0B">
              <w:rPr>
                <w:sz w:val="18"/>
                <w:szCs w:val="18"/>
              </w:rPr>
              <w:instrText>ADDIN CSL_CITATION {"citationItems":[{"id":"ITEM-1","itemData":{"DOI":"10.1016/j.jclepro.2019.119791","ISSN":"09596526","abstract":"Nowadays the manufacturing enterprises are driven towards significant energy improvements by increasing energy costs and sustainability awareness, and energy consumption and energy efficiency are taking a more and more dominating position in the decision-making process of manufacturing enterprises. However, in the process of production, existing researches rarely integrate energy management with conducting preventive maintenance at the strategic level, ignoring energy-saving opportunities that may arise during machines’ downtime. This paper considers a serial production system with intermediate finite buffers. Based on the concept of “energy-saving opportunity window” and the modelling of the continuous deterioration process of each machine, the window of energy-saving opportunity of the production system is regarded as a window of opportunity for the preventive maintenance, thus a proactive preventive maintenance strategy is proposed. The serial production system is modeled and the impact of different maintenance thresholds on the energy efficiency is explored by means of Monte Carlo simulation. For purpose of maximizing the energy efficiency of the entire production system, an iterative algorithm for solving the optimal preventive maintenance thresholds is presented as well. The numerical analysis with other maintenance strategies shows that the proposed strategy is more competitive in improving the effective throughput while reducing the overall energy consumption.","author":[{"dropping-particle":"","family":"Zhou","given":"Binghai","non-dropping-particle":"","parse-names":false,"suffix":""},{"dropping-particle":"","family":"Qi","given":"Yi","non-dropping-particle":"","parse-names":false,"suffix":""},{"dropping-particle":"","family":"Liu","given":"Yuwang","non-dropping-particle":"","parse-names":false,"suffix":""}],"container-title":"Journal of Cleaner Production","id":"ITEM-1","issued":{"date-parts":[["2020"]]},"note":"Monte Carlo to help algorithm.\nAccording to the researches on the energy consumption unit time under different operating conditions of equipment, the equipment operating state is divided into the following stages: start-up, warm- up, normal operation, standby (idle) and shutdown.","title":"Proactive preventive maintenance policy for buffered serial production systems based on energy saving opportunistic windows","type":"article-journal","volume":"253"},"uris":["http://www.mendeley.com/documents/?uuid=bf853058-fc4a-490b-972f-6e25a6156239"]}],"mendeley":{"formattedCitation":"[112]","plainTextFormattedCitation":"[112]","previouslyFormattedCitation":"[112]"},"properties":{"noteIndex":0},"schema":"https://github.com/citation-style-language/schema/raw/master/csl-citation.json"}</w:instrText>
            </w:r>
            <w:r w:rsidRPr="00E17C2C">
              <w:rPr>
                <w:sz w:val="18"/>
                <w:szCs w:val="18"/>
              </w:rPr>
              <w:fldChar w:fldCharType="separate"/>
            </w:r>
            <w:r w:rsidR="00416869" w:rsidRPr="00416869">
              <w:rPr>
                <w:noProof/>
                <w:sz w:val="18"/>
                <w:szCs w:val="18"/>
              </w:rPr>
              <w:t>[112]</w:t>
            </w:r>
            <w:r w:rsidRPr="00E17C2C">
              <w:rPr>
                <w:sz w:val="18"/>
                <w:szCs w:val="18"/>
              </w:rPr>
              <w:fldChar w:fldCharType="end"/>
            </w:r>
          </w:p>
        </w:tc>
        <w:tc>
          <w:tcPr>
            <w:tcW w:w="465" w:type="pct"/>
            <w:vAlign w:val="center"/>
          </w:tcPr>
          <w:p w14:paraId="0EB901AE" w14:textId="77777777" w:rsidR="003919FC" w:rsidRPr="00E17C2C" w:rsidRDefault="003919FC" w:rsidP="00174B48">
            <w:pPr>
              <w:spacing w:before="0" w:after="0"/>
              <w:rPr>
                <w:sz w:val="18"/>
                <w:szCs w:val="18"/>
              </w:rPr>
            </w:pPr>
            <w:r>
              <w:rPr>
                <w:sz w:val="18"/>
                <w:szCs w:val="18"/>
              </w:rPr>
              <w:t>Optimisation</w:t>
            </w:r>
          </w:p>
        </w:tc>
        <w:tc>
          <w:tcPr>
            <w:tcW w:w="536" w:type="pct"/>
            <w:vAlign w:val="center"/>
          </w:tcPr>
          <w:p w14:paraId="6A8233CB" w14:textId="77777777" w:rsidR="003919FC" w:rsidRPr="00E17C2C" w:rsidRDefault="003919FC" w:rsidP="00174B48">
            <w:pPr>
              <w:spacing w:before="0" w:after="0"/>
              <w:rPr>
                <w:sz w:val="18"/>
                <w:szCs w:val="18"/>
              </w:rPr>
            </w:pPr>
            <w:r w:rsidRPr="00E17C2C">
              <w:rPr>
                <w:sz w:val="18"/>
                <w:szCs w:val="18"/>
              </w:rPr>
              <w:t>Manufacturing</w:t>
            </w:r>
          </w:p>
        </w:tc>
        <w:tc>
          <w:tcPr>
            <w:tcW w:w="856" w:type="pct"/>
            <w:vAlign w:val="center"/>
          </w:tcPr>
          <w:p w14:paraId="2009ECCE" w14:textId="77777777" w:rsidR="003919FC" w:rsidRPr="00E17C2C" w:rsidRDefault="003919FC" w:rsidP="00174B48">
            <w:pPr>
              <w:spacing w:before="0" w:after="0"/>
              <w:rPr>
                <w:sz w:val="18"/>
                <w:szCs w:val="18"/>
              </w:rPr>
            </w:pPr>
            <w:r w:rsidRPr="00E17C2C">
              <w:rPr>
                <w:sz w:val="18"/>
                <w:szCs w:val="18"/>
              </w:rPr>
              <w:t>Algorithm. Reliability</w:t>
            </w:r>
            <w:r>
              <w:rPr>
                <w:sz w:val="18"/>
                <w:szCs w:val="18"/>
              </w:rPr>
              <w:t xml:space="preserve"> modelling</w:t>
            </w:r>
            <w:r w:rsidRPr="00E17C2C">
              <w:rPr>
                <w:sz w:val="18"/>
                <w:szCs w:val="18"/>
              </w:rPr>
              <w:t>. Monte Carlo.</w:t>
            </w:r>
          </w:p>
        </w:tc>
        <w:tc>
          <w:tcPr>
            <w:tcW w:w="636" w:type="pct"/>
            <w:vAlign w:val="center"/>
          </w:tcPr>
          <w:p w14:paraId="37CE708E" w14:textId="77777777" w:rsidR="003919FC" w:rsidRPr="00E17C2C" w:rsidRDefault="003919FC" w:rsidP="00174B48">
            <w:pPr>
              <w:spacing w:before="0" w:after="0"/>
              <w:rPr>
                <w:sz w:val="18"/>
                <w:szCs w:val="18"/>
              </w:rPr>
            </w:pPr>
            <w:r w:rsidRPr="00E17C2C">
              <w:rPr>
                <w:sz w:val="18"/>
                <w:szCs w:val="18"/>
              </w:rPr>
              <w:t>Effective Energy Efficiency (EEE)</w:t>
            </w:r>
          </w:p>
        </w:tc>
        <w:tc>
          <w:tcPr>
            <w:tcW w:w="646" w:type="pct"/>
            <w:vAlign w:val="center"/>
          </w:tcPr>
          <w:p w14:paraId="05C0C9A3" w14:textId="77777777" w:rsidR="003919FC" w:rsidRPr="008579B8" w:rsidRDefault="003919FC" w:rsidP="00174B48">
            <w:pPr>
              <w:spacing w:before="0" w:after="0"/>
              <w:jc w:val="right"/>
              <w:rPr>
                <w:i/>
                <w:iCs/>
                <w:sz w:val="18"/>
                <w:szCs w:val="18"/>
              </w:rPr>
            </w:pPr>
            <w:r>
              <w:rPr>
                <w:sz w:val="18"/>
                <w:szCs w:val="18"/>
              </w:rPr>
              <w:t>Gamma process (</w:t>
            </w:r>
            <w:r w:rsidRPr="00447FA3">
              <w:rPr>
                <w:sz w:val="18"/>
                <w:szCs w:val="18"/>
              </w:rPr>
              <w:t>X</w:t>
            </w:r>
            <w:r w:rsidRPr="00447FA3">
              <w:rPr>
                <w:sz w:val="18"/>
                <w:szCs w:val="18"/>
                <w:vertAlign w:val="subscript"/>
              </w:rPr>
              <w:t>j</w:t>
            </w:r>
            <w:r>
              <w:rPr>
                <w:sz w:val="18"/>
                <w:szCs w:val="18"/>
                <w:vertAlign w:val="superscript"/>
              </w:rPr>
              <w:t>p</w:t>
            </w:r>
            <w:r>
              <w:rPr>
                <w:sz w:val="18"/>
                <w:szCs w:val="18"/>
              </w:rPr>
              <w:t>=</w:t>
            </w:r>
            <w:r>
              <w:rPr>
                <w:rFonts w:cs="Times New Roman"/>
                <w:sz w:val="18"/>
                <w:szCs w:val="18"/>
              </w:rPr>
              <w:t>ω</w:t>
            </w:r>
            <w:r>
              <w:rPr>
                <w:rFonts w:asciiTheme="minorBidi" w:hAnsiTheme="minorBidi"/>
                <w:sz w:val="18"/>
                <w:szCs w:val="18"/>
              </w:rPr>
              <w:t>∙</w:t>
            </w:r>
            <w:r>
              <w:rPr>
                <w:sz w:val="18"/>
                <w:szCs w:val="18"/>
              </w:rPr>
              <w:t>X</w:t>
            </w:r>
            <w:r>
              <w:rPr>
                <w:sz w:val="18"/>
                <w:szCs w:val="18"/>
                <w:vertAlign w:val="subscript"/>
              </w:rPr>
              <w:t>j</w:t>
            </w:r>
            <w:r w:rsidRPr="00BD29C4">
              <w:rPr>
                <w:sz w:val="18"/>
                <w:szCs w:val="18"/>
                <w:vertAlign w:val="superscript"/>
              </w:rPr>
              <w:t>f</w:t>
            </w:r>
            <w:r w:rsidRPr="008579B8">
              <w:rPr>
                <w:sz w:val="18"/>
                <w:szCs w:val="18"/>
              </w:rPr>
              <w:t>)</w:t>
            </w:r>
          </w:p>
        </w:tc>
        <w:tc>
          <w:tcPr>
            <w:tcW w:w="437" w:type="pct"/>
            <w:vAlign w:val="center"/>
          </w:tcPr>
          <w:p w14:paraId="500421B8" w14:textId="77777777" w:rsidR="003919FC" w:rsidRPr="00E17C2C" w:rsidRDefault="003919FC" w:rsidP="00174B48">
            <w:pPr>
              <w:spacing w:before="0" w:after="0"/>
              <w:jc w:val="right"/>
              <w:rPr>
                <w:sz w:val="18"/>
                <w:szCs w:val="18"/>
              </w:rPr>
            </w:pPr>
            <w:r w:rsidRPr="00E17C2C">
              <w:rPr>
                <w:sz w:val="18"/>
                <w:szCs w:val="18"/>
              </w:rPr>
              <w:t>Failure data</w:t>
            </w:r>
          </w:p>
        </w:tc>
        <w:tc>
          <w:tcPr>
            <w:tcW w:w="400" w:type="pct"/>
            <w:vAlign w:val="center"/>
          </w:tcPr>
          <w:p w14:paraId="498E6FD4" w14:textId="77777777" w:rsidR="003919FC" w:rsidRPr="00E17C2C" w:rsidRDefault="003919FC" w:rsidP="00174B48">
            <w:pPr>
              <w:spacing w:before="0" w:after="0"/>
              <w:jc w:val="right"/>
              <w:rPr>
                <w:sz w:val="18"/>
                <w:szCs w:val="18"/>
              </w:rPr>
            </w:pPr>
            <w:r>
              <w:rPr>
                <w:sz w:val="18"/>
                <w:szCs w:val="18"/>
              </w:rPr>
              <w:t>Strategical</w:t>
            </w:r>
          </w:p>
        </w:tc>
        <w:tc>
          <w:tcPr>
            <w:tcW w:w="432" w:type="pct"/>
            <w:vAlign w:val="center"/>
          </w:tcPr>
          <w:p w14:paraId="7864E5A3" w14:textId="77777777" w:rsidR="003919FC" w:rsidRPr="00E17C2C" w:rsidRDefault="003919FC" w:rsidP="00174B48">
            <w:pPr>
              <w:spacing w:before="0" w:after="0"/>
              <w:jc w:val="right"/>
              <w:rPr>
                <w:sz w:val="18"/>
                <w:szCs w:val="18"/>
              </w:rPr>
            </w:pPr>
            <w:r w:rsidRPr="00E17C2C">
              <w:rPr>
                <w:sz w:val="18"/>
                <w:szCs w:val="18"/>
              </w:rPr>
              <w:t>PM-CBM</w:t>
            </w:r>
          </w:p>
        </w:tc>
      </w:tr>
      <w:tr w:rsidR="003919FC" w:rsidRPr="00E17C2C" w14:paraId="6B0266D0" w14:textId="77777777" w:rsidTr="006E5996">
        <w:trPr>
          <w:trHeight w:val="409"/>
        </w:trPr>
        <w:tc>
          <w:tcPr>
            <w:tcW w:w="593" w:type="pct"/>
            <w:vAlign w:val="center"/>
          </w:tcPr>
          <w:p w14:paraId="6634B4B8" w14:textId="6DED8F59" w:rsidR="003919FC" w:rsidRPr="00E17C2C" w:rsidRDefault="003919FC" w:rsidP="008966C6">
            <w:pPr>
              <w:spacing w:before="0" w:after="0"/>
              <w:jc w:val="left"/>
              <w:rPr>
                <w:sz w:val="18"/>
                <w:szCs w:val="18"/>
              </w:rPr>
            </w:pPr>
            <w:r w:rsidRPr="00E17C2C">
              <w:rPr>
                <w:sz w:val="18"/>
                <w:szCs w:val="18"/>
              </w:rPr>
              <w:t xml:space="preserve">E(D)-CBM </w:t>
            </w:r>
            <w:r w:rsidRPr="00E17C2C">
              <w:rPr>
                <w:sz w:val="18"/>
                <w:szCs w:val="18"/>
              </w:rPr>
              <w:fldChar w:fldCharType="begin" w:fldLock="1"/>
            </w:r>
            <w:r w:rsidR="00645D0B">
              <w:rPr>
                <w:sz w:val="18"/>
                <w:szCs w:val="18"/>
              </w:rPr>
              <w:instrText>ADDIN CSL_CITATION {"citationItems":[{"id":"ITEM-1","itemData":{"DOI":"10.1016/j.ifacol.2016.11.013","ISSN":"24058963","abstract":"Condition-based maintenance (CBM) has been introduced in industrial systems to maintain preventively the correct equipment at the right time with regards to its current health “condition” represented mainly the conventional indicators such as oil temperature, harmonics data, vibration, etc. The monitoring of these indicators is done through sensors or inspection tasks leading to incorporate in the maintenance optimization models, additional costs related to CBM. Nevertheless, while this practice is quite mastered in terms of benefits and costs, it is not well adapted to face now the new challenge encountered by the “industry of the future” such as the sustainable one. Indeed CBM indicators and maintenance cost model are not really taken into account today emergent indicators (and their impacts) related to energy consumption, energy efficiency or footprint tracking. In that way, this paper is investigating the interest to use energy efficiency (EE) for CBM decision-making. Investigation is consisting first to propose a new EE-based CBM model by using energy efficiency indicator (EEI) which is defined as the amount of energy consumption to produce one useful output unit. The proposed model leads to consider energy directly in the maintenance optimization. An extension of an existing CBM by integrating energy consumption in optimization model is also investigated in the way to compare the new CBM approach with conventional (extended) one. The comparison step is developed on the case study of the TELMA platform allowing to assess the impact of EE on existing CBM strategies and to conclude on the interest of a new EE-based CBM practice both in terms of cost and efficiency.","author":[{"dropping-particle":"","family":"Hoang","given":"Anh","non-dropping-particle":"","parse-names":false,"suffix":""},{"dropping-particle":"","family":"Do","given":"Phuc","non-dropping-particle":"","parse-names":false,"suffix":""},{"dropping-particle":"","family":"Iung","given":"Benoît","non-dropping-particle":"","parse-names":false,"suffix":""}],"container-title":"IFAC-PapersOnLine","id":"ITEM-1","issue":"28","issued":{"date-parts":[["2016"]]},"note":"-","page":"73-78","title":"Investigation on the use of energy efficiency for condition-based maintenance decision-making","type":"article-journal","volume":"49"},"uris":["http://www.mendeley.com/documents/?uuid=78998f16-68fd-45d0-b652-8de89f284ae2"]},{"id":"ITEM-2","itemData":{"DOI":"10.1177/1748006X18762282","ISSN":"17480078","abstract":"Condition-based maintenance has been developed and successfully applied in various industrial systems to preventively maintain the correct equipment at the right time with regard to its current health “condition” such as oil temperature, harmonics data, and vibration. The monitoring of these conventional indicators may however be costly. Moreover, energy efficiency addressed by sustainability requirements has been recently considered as an emerging key performance indicator to be controlled. Nevertheless, this emerging key performance indicator is not yet integrated in condition-based maintenance decision-making. To face these issues, the main objective of this article is to investigate the interests to use energy efficiency for condition-based maintenance decision-making. The first original contribution of this article is to propose a new energy efficiency–based condition-based maintenance model using energy efficiency indicator which is defined as the amount of energy consumption to produce one useful output unit. The proposed model leads to consider not only the maintenance cost but also energy and useful output performance in the condition-based maintenance optimization process. The second contribution concerns an investigation of the proposed energy efficiency–based condition-based maintenance model for the case study of the TELMA platform. The performance of the proposed model is verified by comparing to an extended traditional one. The obtained results allow to highlight the impacts of energy efficiency on existing condition-based maintenance strategies and to conclude on the interest of a new energy efficiency indicator–based condition-based maintenance practice in terms of both cost and efficiency.","author":[{"dropping-particle":"","family":"Do","given":"Phuc","non-dropping-particle":"","parse-names":false,"suffix":""},{"dropping-particle":"","family":"Hoang","given":"Anh","non-dropping-particle":"","parse-names":false,"suffix":""},{"dropping-particle":"","family":"Iung","given":"Benoit","non-dropping-particle":"","parse-names":false,"suffix":""},{"dropping-particle":"","family":"Vu","given":"Hai Canh","non-dropping-particle":"","parse-names":false,"suffix":""}],"container-title":"Proceedings of the Institution of Mechanical Engineers, Part O: Journal of Risk and Reliability","id":"ITEM-2","issue":"4","issued":{"date-parts":[["2018"]]},"note":"- Although it has recently been recognized as an emerging key performance indicator to be controlled, it is not yet fully integrated in MDM.\n- A preventive maintenance is triggered if the EEI’s value at Tk is higher than a critical threshold EEIp.\n- To ensure that the convergence of maintenance cost rate is reached, a large number of simulation realizations (each realization simulates one life cycle of the system) must be done.\n- The maintenance decision-making based on the dysfunctional degrada- tion information is enough.","page":"379-388","title":"Energy efficiency for condition-based maintenance decision-making: Application to a manufacturing platform","type":"article-journal","volume":"232"},"uris":["http://www.mendeley.com/documents/?uuid=56172653-f4dd-4c61-8230-f38fe207a076"]}],"mendeley":{"formattedCitation":"[25], [107]","plainTextFormattedCitation":"[25], [107]","previouslyFormattedCitation":"[25], [107]"},"properties":{"noteIndex":0},"schema":"https://github.com/citation-style-language/schema/raw/master/csl-citation.json"}</w:instrText>
            </w:r>
            <w:r w:rsidRPr="00E17C2C">
              <w:rPr>
                <w:sz w:val="18"/>
                <w:szCs w:val="18"/>
              </w:rPr>
              <w:fldChar w:fldCharType="separate"/>
            </w:r>
            <w:r w:rsidR="00416869" w:rsidRPr="00416869">
              <w:rPr>
                <w:noProof/>
                <w:sz w:val="18"/>
                <w:szCs w:val="18"/>
              </w:rPr>
              <w:t>[25], [107]</w:t>
            </w:r>
            <w:r w:rsidRPr="00E17C2C">
              <w:rPr>
                <w:sz w:val="18"/>
                <w:szCs w:val="18"/>
              </w:rPr>
              <w:fldChar w:fldCharType="end"/>
            </w:r>
          </w:p>
        </w:tc>
        <w:tc>
          <w:tcPr>
            <w:tcW w:w="465" w:type="pct"/>
            <w:vAlign w:val="center"/>
          </w:tcPr>
          <w:p w14:paraId="0F05DBB3" w14:textId="77777777" w:rsidR="003919FC" w:rsidRDefault="003919FC" w:rsidP="00174B48">
            <w:pPr>
              <w:spacing w:before="0" w:after="0"/>
              <w:rPr>
                <w:sz w:val="18"/>
                <w:szCs w:val="18"/>
              </w:rPr>
            </w:pPr>
            <w:r w:rsidRPr="00E17C2C">
              <w:rPr>
                <w:sz w:val="18"/>
                <w:szCs w:val="18"/>
              </w:rPr>
              <w:t>Prognosis</w:t>
            </w:r>
            <w:r>
              <w:rPr>
                <w:sz w:val="18"/>
                <w:szCs w:val="18"/>
              </w:rPr>
              <w:t>/</w:t>
            </w:r>
          </w:p>
          <w:p w14:paraId="6ECA283C" w14:textId="77777777" w:rsidR="003919FC" w:rsidRPr="00E17C2C" w:rsidRDefault="003919FC" w:rsidP="00174B48">
            <w:pPr>
              <w:spacing w:before="0" w:after="0"/>
              <w:rPr>
                <w:sz w:val="18"/>
                <w:szCs w:val="18"/>
              </w:rPr>
            </w:pPr>
            <w:r>
              <w:rPr>
                <w:sz w:val="18"/>
                <w:szCs w:val="18"/>
              </w:rPr>
              <w:t>Optimisation</w:t>
            </w:r>
          </w:p>
        </w:tc>
        <w:tc>
          <w:tcPr>
            <w:tcW w:w="536" w:type="pct"/>
            <w:vAlign w:val="center"/>
          </w:tcPr>
          <w:p w14:paraId="5C766734" w14:textId="77777777" w:rsidR="003919FC" w:rsidRPr="00E17C2C" w:rsidRDefault="003919FC" w:rsidP="00174B48">
            <w:pPr>
              <w:spacing w:before="0" w:after="0"/>
              <w:rPr>
                <w:sz w:val="18"/>
                <w:szCs w:val="18"/>
              </w:rPr>
            </w:pPr>
            <w:r w:rsidRPr="00E17C2C">
              <w:rPr>
                <w:sz w:val="18"/>
                <w:szCs w:val="18"/>
              </w:rPr>
              <w:t>TELMA platform</w:t>
            </w:r>
          </w:p>
        </w:tc>
        <w:tc>
          <w:tcPr>
            <w:tcW w:w="856" w:type="pct"/>
            <w:vAlign w:val="center"/>
          </w:tcPr>
          <w:p w14:paraId="456214D3" w14:textId="77777777" w:rsidR="003919FC" w:rsidRPr="00E17C2C" w:rsidRDefault="003919FC" w:rsidP="00174B48">
            <w:pPr>
              <w:spacing w:before="0" w:after="0"/>
              <w:rPr>
                <w:sz w:val="18"/>
                <w:szCs w:val="18"/>
              </w:rPr>
            </w:pPr>
            <w:r w:rsidRPr="00E17C2C">
              <w:rPr>
                <w:sz w:val="18"/>
                <w:szCs w:val="18"/>
              </w:rPr>
              <w:t>Cost-Benefit model. Monte Carlo</w:t>
            </w:r>
            <w:r>
              <w:rPr>
                <w:sz w:val="18"/>
                <w:szCs w:val="18"/>
              </w:rPr>
              <w:t xml:space="preserve"> simulation</w:t>
            </w:r>
            <w:r w:rsidRPr="00E17C2C">
              <w:rPr>
                <w:sz w:val="18"/>
                <w:szCs w:val="18"/>
              </w:rPr>
              <w:t>.</w:t>
            </w:r>
          </w:p>
        </w:tc>
        <w:tc>
          <w:tcPr>
            <w:tcW w:w="636" w:type="pct"/>
            <w:vAlign w:val="center"/>
          </w:tcPr>
          <w:p w14:paraId="5EC5C1CF" w14:textId="77777777" w:rsidR="003919FC" w:rsidRPr="00E17C2C" w:rsidRDefault="003919FC" w:rsidP="00174B48">
            <w:pPr>
              <w:spacing w:before="0" w:after="0"/>
              <w:rPr>
                <w:sz w:val="18"/>
                <w:szCs w:val="18"/>
              </w:rPr>
            </w:pPr>
            <w:r w:rsidRPr="00E17C2C">
              <w:rPr>
                <w:sz w:val="18"/>
                <w:szCs w:val="18"/>
              </w:rPr>
              <w:t>Energy/Maint. cost</w:t>
            </w:r>
          </w:p>
          <w:p w14:paraId="63A91643" w14:textId="77777777" w:rsidR="003919FC" w:rsidRPr="00E17C2C" w:rsidRDefault="003919FC" w:rsidP="00174B48">
            <w:pPr>
              <w:spacing w:before="0" w:after="0"/>
              <w:rPr>
                <w:sz w:val="18"/>
                <w:szCs w:val="18"/>
              </w:rPr>
            </w:pPr>
            <w:r w:rsidRPr="00E17C2C">
              <w:rPr>
                <w:sz w:val="18"/>
                <w:szCs w:val="18"/>
              </w:rPr>
              <w:t>System availability</w:t>
            </w:r>
          </w:p>
        </w:tc>
        <w:tc>
          <w:tcPr>
            <w:tcW w:w="646" w:type="pct"/>
            <w:vAlign w:val="center"/>
          </w:tcPr>
          <w:p w14:paraId="68C7F00A" w14:textId="77777777" w:rsidR="003919FC" w:rsidRPr="00E17C2C" w:rsidRDefault="003919FC" w:rsidP="00174B48">
            <w:pPr>
              <w:spacing w:before="0" w:after="0"/>
              <w:jc w:val="right"/>
              <w:rPr>
                <w:sz w:val="18"/>
                <w:szCs w:val="18"/>
              </w:rPr>
            </w:pPr>
            <w:r w:rsidRPr="008C409D">
              <w:rPr>
                <w:sz w:val="18"/>
                <w:szCs w:val="18"/>
              </w:rPr>
              <w:t>Fixed</w:t>
            </w:r>
            <w:r w:rsidRPr="008C409D">
              <w:rPr>
                <w:i/>
                <w:iCs/>
                <w:sz w:val="18"/>
                <w:szCs w:val="18"/>
              </w:rPr>
              <w:t xml:space="preserve"> L </w:t>
            </w:r>
            <w:r w:rsidRPr="008C409D">
              <w:rPr>
                <w:sz w:val="18"/>
                <w:szCs w:val="18"/>
              </w:rPr>
              <w:t>threshold (</w:t>
            </w:r>
            <w:r w:rsidRPr="008C409D">
              <w:rPr>
                <w:i/>
                <w:iCs/>
                <w:sz w:val="18"/>
                <w:szCs w:val="18"/>
              </w:rPr>
              <w:t>EEI</w:t>
            </w:r>
            <w:r w:rsidRPr="008C409D">
              <w:rPr>
                <w:i/>
                <w:iCs/>
                <w:sz w:val="18"/>
                <w:szCs w:val="18"/>
                <w:vertAlign w:val="subscript"/>
              </w:rPr>
              <w:t>Threshold</w:t>
            </w:r>
            <w:r>
              <w:rPr>
                <w:i/>
                <w:iCs/>
                <w:sz w:val="18"/>
                <w:szCs w:val="18"/>
              </w:rPr>
              <w:t>&lt;EEI</w:t>
            </w:r>
            <w:r w:rsidRPr="008C409D">
              <w:rPr>
                <w:sz w:val="18"/>
                <w:szCs w:val="18"/>
              </w:rPr>
              <w:t>)</w:t>
            </w:r>
          </w:p>
        </w:tc>
        <w:tc>
          <w:tcPr>
            <w:tcW w:w="437" w:type="pct"/>
            <w:vAlign w:val="center"/>
          </w:tcPr>
          <w:p w14:paraId="59509875" w14:textId="77777777" w:rsidR="003919FC" w:rsidRPr="00E17C2C" w:rsidRDefault="003919FC" w:rsidP="00174B48">
            <w:pPr>
              <w:spacing w:before="0" w:after="0"/>
              <w:jc w:val="right"/>
              <w:rPr>
                <w:sz w:val="18"/>
                <w:szCs w:val="18"/>
              </w:rPr>
            </w:pPr>
            <w:r w:rsidRPr="00E17C2C">
              <w:rPr>
                <w:sz w:val="18"/>
                <w:szCs w:val="18"/>
              </w:rPr>
              <w:t>Process data</w:t>
            </w:r>
          </w:p>
        </w:tc>
        <w:tc>
          <w:tcPr>
            <w:tcW w:w="400" w:type="pct"/>
            <w:vAlign w:val="center"/>
          </w:tcPr>
          <w:p w14:paraId="03F59EC5" w14:textId="77777777" w:rsidR="003919FC" w:rsidRPr="00E17C2C" w:rsidRDefault="003919FC" w:rsidP="00174B48">
            <w:pPr>
              <w:spacing w:before="0" w:after="0"/>
              <w:jc w:val="right"/>
              <w:rPr>
                <w:sz w:val="18"/>
                <w:szCs w:val="18"/>
              </w:rPr>
            </w:pPr>
            <w:r w:rsidRPr="00E17C2C">
              <w:rPr>
                <w:sz w:val="18"/>
                <w:szCs w:val="18"/>
              </w:rPr>
              <w:t>Operational/</w:t>
            </w:r>
          </w:p>
          <w:p w14:paraId="00D88C04" w14:textId="77777777" w:rsidR="003919FC" w:rsidRPr="00E17C2C" w:rsidRDefault="003919FC" w:rsidP="00174B48">
            <w:pPr>
              <w:spacing w:before="0" w:after="0"/>
              <w:jc w:val="right"/>
              <w:rPr>
                <w:sz w:val="18"/>
                <w:szCs w:val="18"/>
              </w:rPr>
            </w:pPr>
            <w:r w:rsidRPr="00E17C2C">
              <w:rPr>
                <w:sz w:val="18"/>
                <w:szCs w:val="18"/>
              </w:rPr>
              <w:t>Tactical/</w:t>
            </w:r>
          </w:p>
          <w:p w14:paraId="0E801B85" w14:textId="77777777" w:rsidR="003919FC" w:rsidRPr="00E17C2C" w:rsidRDefault="003919FC" w:rsidP="00174B48">
            <w:pPr>
              <w:spacing w:before="0" w:after="0"/>
              <w:jc w:val="right"/>
              <w:rPr>
                <w:sz w:val="18"/>
                <w:szCs w:val="18"/>
              </w:rPr>
            </w:pPr>
            <w:r w:rsidRPr="00E17C2C">
              <w:rPr>
                <w:sz w:val="18"/>
                <w:szCs w:val="18"/>
              </w:rPr>
              <w:t>Strategical</w:t>
            </w:r>
          </w:p>
        </w:tc>
        <w:tc>
          <w:tcPr>
            <w:tcW w:w="432" w:type="pct"/>
            <w:vAlign w:val="center"/>
          </w:tcPr>
          <w:p w14:paraId="63AC7B48" w14:textId="77777777" w:rsidR="003919FC" w:rsidRPr="00E17C2C" w:rsidRDefault="003919FC" w:rsidP="00174B48">
            <w:pPr>
              <w:spacing w:before="0" w:after="0"/>
              <w:jc w:val="right"/>
              <w:rPr>
                <w:sz w:val="18"/>
                <w:szCs w:val="18"/>
              </w:rPr>
            </w:pPr>
            <w:r w:rsidRPr="00E17C2C">
              <w:rPr>
                <w:sz w:val="18"/>
                <w:szCs w:val="18"/>
              </w:rPr>
              <w:t>EE-CBM</w:t>
            </w:r>
          </w:p>
        </w:tc>
      </w:tr>
      <w:tr w:rsidR="003919FC" w:rsidRPr="00E17C2C" w14:paraId="6C6AC71E" w14:textId="77777777" w:rsidTr="006E5996">
        <w:trPr>
          <w:trHeight w:val="409"/>
        </w:trPr>
        <w:tc>
          <w:tcPr>
            <w:tcW w:w="593" w:type="pct"/>
            <w:vAlign w:val="center"/>
          </w:tcPr>
          <w:p w14:paraId="562F2010" w14:textId="36FEBD50" w:rsidR="003919FC" w:rsidRPr="008C409D" w:rsidRDefault="003919FC" w:rsidP="008966C6">
            <w:pPr>
              <w:spacing w:before="0" w:after="0"/>
              <w:jc w:val="left"/>
              <w:rPr>
                <w:sz w:val="18"/>
                <w:szCs w:val="18"/>
              </w:rPr>
            </w:pPr>
            <w:r w:rsidRPr="008C409D">
              <w:rPr>
                <w:sz w:val="18"/>
                <w:szCs w:val="18"/>
              </w:rPr>
              <w:t xml:space="preserve">REEL </w:t>
            </w:r>
            <w:r w:rsidRPr="008C409D">
              <w:rPr>
                <w:sz w:val="18"/>
                <w:szCs w:val="18"/>
              </w:rPr>
              <w:fldChar w:fldCharType="begin" w:fldLock="1"/>
            </w:r>
            <w:r w:rsidR="00416869">
              <w:rPr>
                <w:sz w:val="18"/>
                <w:szCs w:val="18"/>
              </w:rPr>
              <w:instrText>ADDIN CSL_CITATION {"citationItems":[{"id":"ITEM-1","itemData":{"DOI":"10.1016/j.jclepro.2016.10.185","ISSN":"09596526","abstract":"Nowadays, industrial enterprises are facing up to new challenges to well optimize their performances, with regards not only to conventional performances (e.g. reliability or productivity) but also to emerging ones as those related to sustainability issues. Indeed, sustainability indicators have to be considered now in the decision-making process of the plant to better control and maintain it to be consistent with Green Production requirements. In that way, indicators such as Energy Efficiency or Energy Consumption are promoted for the impact they have on these requirements in a Life Cycle Cost vision. Thus the core idea defended in this paper is addressing the necessary evolution of conventional maintenance decision-making process in industry for considering the energy efficiency indicator. To support the idea, the first objective is to define the concept of energy efficiency indicator which materializes the energy efficiency performance at a specific time. The definition is done for different abstraction levels such as component, function, system which are subjected to time-dependent degradation behaviors. So, the energy efficiency indicator concept is expressed as the amount of energy consumed per unit of useful output, which has to be seen as a sustainable performance measure of industrial system. Then a mathematical formulation is proposed to calculate energy efficiency indicator at any time of the performance by considering dependent factors (static and dynamic ones) impacting inputs and outputs of the system. The second objective is to propose a new concept named REEL (Remaining energy-efficient lifetime) for tracking the energy efficiency performance evolution. The REEL is defined by the time left before the system loses its energy efficiency property considered as a specific EEI value (EEI threshold) not to be exceeded. This specific value is technically and/or economically fixed in advance, given the current condition, past and future operation profiles. The REEL could be used as an appropriate indicator for maintenance decision-making process in a proactive vision. The third objective is to formalize a generic approach in the way assess the REEL value. The assessment requires to forecast the evolution of energy efficiency indicator (whatever the abstraction level is) by taking into account the static and dynamic factors. Finally, the feasibility and added value of our proposals are illustrated on a manufacturing platform named TELMA (TELeMAint…","author":[{"dropping-particle":"","family":"Hoang","given":"Anh","non-dropping-particle":"","parse-names":false,"suffix":""},{"dropping-particle":"","family":"Do","given":"Phuc","non-dropping-particle":"","parse-names":false,"suffix":""},{"dropping-particle":"","family":"Iung","given":"Benoît","non-dropping-particle":"","parse-names":false,"suffix":""}],"container-title":"Journal of Cleaner Production","id":"ITEM-1","issued":{"date-parts":[["2017"]]},"note":"- Overall they are speaking about the development of EEI as a future projection subjected to degradation with time in manufacturing systems and its environment. Having a result of physical-thermodynamic indicator properties, the model can be used to evaluate the amount of energy input per units produced. The model is then used to predict REEL.\n- Energy consumption is set by speed and bearing deterioration","page":"2838-2857","publisher":"Elsevier Ltd","title":"Energy efficiency performance-based prognostics for aided maintenance decision-making: Application to a manufacturing platform","type":"article-journal","volume":"142"},"uris":["http://www.mendeley.com/documents/?uuid=5d8ee8db-df63-4f33-ad89-b1ad0d0b66c0"]},{"id":"ITEM-2","itemData":{"DOI":"10.1109/PHM.2015.7380096","ISBN":"978-1-4673-8554-1","abstract":"Industrial plants are facing today with new challenges to well optimize performance of their operation and maintenance. For example, the sustainability paradigm is introducing new requirements to be taken into account in the decision-making process. In that way, energy consumption (EC) and energy efficiency (EE) are two critical performances impacting severely the plant effectiveness mainly with regards to its life cycle cost. Although there are models for following these two performances at the component level, there is a real need for modelling them at the function or system levels not only to support strategic decisions (and not only operational one) but also to forecast them to make decisions in advance for better optimization. Thus, the principles of a generic approach, which is focused on EE performance (EEP) and built on the modelling of this EEP at functional level, and its prognostics to calculate a Remaining Energy-Efficient Lifetime (REEL), are proposed in this paper. The REEL should integrate future mission profiles and operation conditions. The prognostics model is developed from a data-driven approach by using a nonlinear regression method. This generic approach is instantiated and validated on the TELMA platform (a motor-driven system) which is simulating a real industrial plant addressing unwinding metal bobbins. So, models are built from field data of two independent motors (the component level and electrical energy) in addition to data on the function supported by means of these two motors. It leads to prognostics models usable to predict the EE evolution - REEL (the input of the decision-making module) both at the component level from the relationships between speed performance (motor output), bearing deterioration (Gamma process) and EE, and at the functional level from the relationships between productivity performance (functional output on the product delivered), components deterioration level and EE.","author":[{"dropping-particle":"","family":"Hoang","given":"Anh","non-dropping-particle":"","parse-names":false,"suffix":""},{"dropping-particle":"","family":"Do","given":"Phuc","non-dropping-particle":"","parse-names":false,"suffix":""},{"dropping-particle":"","family":"Iung","given":"Benoit","non-dropping-particle":"","parse-names":false,"suffix":""}],"container-title":"2015 Prognostics and System Health Management Conference (PHM)","id":"ITEM-2","issued":{"date-parts":[["2015","10"]]},"note":"- Remaining Energy-Efficient Lifetime (REEL).\n- In this paper, a generic EE-based prognostic approach is proposed for predicting the energy efficiency performance (EEl - energy efficiency indicator; REEL - remaining energy efficient lifetime) introduced recently in [15] at both the component and the function/system levels. The proposed prognostic approach is applied on the platform TELMA.","page":"1-7","publisher":"IEEE","title":"Prognostics on energy efficiency performance for maintenance decision-making: Application to industrial platform TELMA","type":"paper-conference"},"uris":["http://www.mendeley.com/documents/?uuid=e8bca837-6e9b-4528-83a8-d45a2beffc02"]}],"mendeley":{"formattedCitation":"[23], [24]","plainTextFormattedCitation":"[23], [24]","previouslyFormattedCitation":"[23], [24]"},"properties":{"noteIndex":0},"schema":"https://github.com/citation-style-language/schema/raw/master/csl-citation.json"}</w:instrText>
            </w:r>
            <w:r w:rsidRPr="008C409D">
              <w:rPr>
                <w:sz w:val="18"/>
                <w:szCs w:val="18"/>
              </w:rPr>
              <w:fldChar w:fldCharType="separate"/>
            </w:r>
            <w:r w:rsidR="00246F3C" w:rsidRPr="00246F3C">
              <w:rPr>
                <w:noProof/>
                <w:sz w:val="18"/>
                <w:szCs w:val="18"/>
              </w:rPr>
              <w:t>[23], [24]</w:t>
            </w:r>
            <w:r w:rsidRPr="008C409D">
              <w:rPr>
                <w:sz w:val="18"/>
                <w:szCs w:val="18"/>
              </w:rPr>
              <w:fldChar w:fldCharType="end"/>
            </w:r>
          </w:p>
        </w:tc>
        <w:tc>
          <w:tcPr>
            <w:tcW w:w="465" w:type="pct"/>
            <w:vAlign w:val="center"/>
          </w:tcPr>
          <w:p w14:paraId="68EDF23B" w14:textId="77777777" w:rsidR="003919FC" w:rsidRPr="008C409D" w:rsidRDefault="003919FC" w:rsidP="00174B48">
            <w:pPr>
              <w:spacing w:before="0" w:after="0"/>
              <w:rPr>
                <w:sz w:val="18"/>
                <w:szCs w:val="18"/>
              </w:rPr>
            </w:pPr>
            <w:r w:rsidRPr="008C409D">
              <w:rPr>
                <w:sz w:val="18"/>
                <w:szCs w:val="18"/>
              </w:rPr>
              <w:t>Prognosis</w:t>
            </w:r>
          </w:p>
        </w:tc>
        <w:tc>
          <w:tcPr>
            <w:tcW w:w="536" w:type="pct"/>
            <w:vAlign w:val="center"/>
          </w:tcPr>
          <w:p w14:paraId="0B72BB45" w14:textId="77777777" w:rsidR="003919FC" w:rsidRPr="008C409D" w:rsidRDefault="003919FC" w:rsidP="00174B48">
            <w:pPr>
              <w:spacing w:before="0" w:after="0"/>
              <w:rPr>
                <w:sz w:val="18"/>
                <w:szCs w:val="18"/>
              </w:rPr>
            </w:pPr>
            <w:r w:rsidRPr="008C409D">
              <w:rPr>
                <w:sz w:val="18"/>
                <w:szCs w:val="18"/>
              </w:rPr>
              <w:t>TELMA platform</w:t>
            </w:r>
          </w:p>
        </w:tc>
        <w:tc>
          <w:tcPr>
            <w:tcW w:w="856" w:type="pct"/>
            <w:vAlign w:val="center"/>
          </w:tcPr>
          <w:p w14:paraId="4B8706E1" w14:textId="77777777" w:rsidR="003919FC" w:rsidRPr="008C409D" w:rsidRDefault="003919FC" w:rsidP="00174B48">
            <w:pPr>
              <w:spacing w:before="0" w:after="0"/>
              <w:rPr>
                <w:sz w:val="18"/>
                <w:szCs w:val="18"/>
              </w:rPr>
            </w:pPr>
            <w:r w:rsidRPr="008C409D">
              <w:rPr>
                <w:sz w:val="18"/>
                <w:szCs w:val="18"/>
              </w:rPr>
              <w:t>Multiple linear regression. Gamma stochastic process.</w:t>
            </w:r>
          </w:p>
        </w:tc>
        <w:tc>
          <w:tcPr>
            <w:tcW w:w="636" w:type="pct"/>
            <w:vAlign w:val="center"/>
          </w:tcPr>
          <w:p w14:paraId="161FC427" w14:textId="77777777" w:rsidR="003919FC" w:rsidRPr="008C409D" w:rsidRDefault="003919FC" w:rsidP="00174B48">
            <w:pPr>
              <w:spacing w:before="0" w:after="0"/>
              <w:rPr>
                <w:sz w:val="18"/>
                <w:szCs w:val="18"/>
              </w:rPr>
            </w:pPr>
            <w:r w:rsidRPr="008C409D">
              <w:rPr>
                <w:sz w:val="18"/>
                <w:szCs w:val="18"/>
              </w:rPr>
              <w:t>Motor speed and deterioration (bearing) level.</w:t>
            </w:r>
          </w:p>
        </w:tc>
        <w:tc>
          <w:tcPr>
            <w:tcW w:w="646" w:type="pct"/>
            <w:vAlign w:val="center"/>
          </w:tcPr>
          <w:p w14:paraId="5BB4BA8C" w14:textId="77777777" w:rsidR="003919FC" w:rsidRPr="008C409D" w:rsidRDefault="003919FC" w:rsidP="00174B48">
            <w:pPr>
              <w:spacing w:before="0" w:after="0"/>
              <w:jc w:val="right"/>
              <w:rPr>
                <w:i/>
                <w:iCs/>
                <w:sz w:val="18"/>
                <w:szCs w:val="18"/>
              </w:rPr>
            </w:pPr>
            <w:r w:rsidRPr="008C409D">
              <w:rPr>
                <w:sz w:val="18"/>
                <w:szCs w:val="18"/>
              </w:rPr>
              <w:t>Fixed</w:t>
            </w:r>
            <w:r w:rsidRPr="008C409D">
              <w:rPr>
                <w:i/>
                <w:iCs/>
                <w:sz w:val="18"/>
                <w:szCs w:val="18"/>
              </w:rPr>
              <w:t xml:space="preserve"> L </w:t>
            </w:r>
            <w:r w:rsidRPr="008C409D">
              <w:rPr>
                <w:sz w:val="18"/>
                <w:szCs w:val="18"/>
              </w:rPr>
              <w:t>threshold (</w:t>
            </w:r>
            <w:r w:rsidRPr="008C409D">
              <w:rPr>
                <w:i/>
                <w:iCs/>
                <w:sz w:val="18"/>
                <w:szCs w:val="18"/>
              </w:rPr>
              <w:t>EEI</w:t>
            </w:r>
            <w:r w:rsidRPr="008C409D">
              <w:rPr>
                <w:i/>
                <w:iCs/>
                <w:sz w:val="18"/>
                <w:szCs w:val="18"/>
                <w:vertAlign w:val="subscript"/>
              </w:rPr>
              <w:t>Threshold</w:t>
            </w:r>
            <w:r>
              <w:rPr>
                <w:i/>
                <w:iCs/>
                <w:sz w:val="18"/>
                <w:szCs w:val="18"/>
              </w:rPr>
              <w:t>&lt;EEI</w:t>
            </w:r>
            <w:r w:rsidRPr="008C409D">
              <w:rPr>
                <w:sz w:val="18"/>
                <w:szCs w:val="18"/>
              </w:rPr>
              <w:t>)</w:t>
            </w:r>
          </w:p>
        </w:tc>
        <w:tc>
          <w:tcPr>
            <w:tcW w:w="437" w:type="pct"/>
            <w:vAlign w:val="center"/>
          </w:tcPr>
          <w:p w14:paraId="3F657768" w14:textId="77777777" w:rsidR="003919FC" w:rsidRPr="008C409D" w:rsidRDefault="003919FC" w:rsidP="00174B48">
            <w:pPr>
              <w:spacing w:before="0" w:after="0"/>
              <w:jc w:val="right"/>
              <w:rPr>
                <w:sz w:val="18"/>
                <w:szCs w:val="18"/>
              </w:rPr>
            </w:pPr>
            <w:r w:rsidRPr="008C409D">
              <w:rPr>
                <w:sz w:val="18"/>
                <w:szCs w:val="18"/>
              </w:rPr>
              <w:t>Process data</w:t>
            </w:r>
          </w:p>
        </w:tc>
        <w:tc>
          <w:tcPr>
            <w:tcW w:w="400" w:type="pct"/>
            <w:vAlign w:val="center"/>
          </w:tcPr>
          <w:p w14:paraId="32A2B5DC" w14:textId="77777777" w:rsidR="003919FC" w:rsidRPr="008C409D" w:rsidRDefault="003919FC" w:rsidP="00174B48">
            <w:pPr>
              <w:spacing w:before="0" w:after="0"/>
              <w:jc w:val="right"/>
              <w:rPr>
                <w:sz w:val="18"/>
                <w:szCs w:val="18"/>
              </w:rPr>
            </w:pPr>
            <w:r w:rsidRPr="008C409D">
              <w:rPr>
                <w:sz w:val="18"/>
                <w:szCs w:val="18"/>
              </w:rPr>
              <w:t>Operational/</w:t>
            </w:r>
          </w:p>
          <w:p w14:paraId="27279409" w14:textId="77777777" w:rsidR="003919FC" w:rsidRPr="008C409D" w:rsidRDefault="003919FC" w:rsidP="00174B48">
            <w:pPr>
              <w:spacing w:before="0" w:after="0"/>
              <w:jc w:val="right"/>
              <w:rPr>
                <w:sz w:val="18"/>
                <w:szCs w:val="18"/>
              </w:rPr>
            </w:pPr>
            <w:r w:rsidRPr="008C409D">
              <w:rPr>
                <w:sz w:val="18"/>
                <w:szCs w:val="18"/>
              </w:rPr>
              <w:t>Tactical</w:t>
            </w:r>
          </w:p>
        </w:tc>
        <w:tc>
          <w:tcPr>
            <w:tcW w:w="432" w:type="pct"/>
            <w:vAlign w:val="center"/>
          </w:tcPr>
          <w:p w14:paraId="3466F250" w14:textId="77777777" w:rsidR="003919FC" w:rsidRPr="008C409D" w:rsidRDefault="003919FC" w:rsidP="00174B48">
            <w:pPr>
              <w:spacing w:before="0" w:after="0"/>
              <w:jc w:val="right"/>
              <w:rPr>
                <w:sz w:val="18"/>
                <w:szCs w:val="18"/>
              </w:rPr>
            </w:pPr>
            <w:r w:rsidRPr="008C409D">
              <w:rPr>
                <w:sz w:val="18"/>
                <w:szCs w:val="18"/>
              </w:rPr>
              <w:t>PdM-CBM</w:t>
            </w:r>
          </w:p>
        </w:tc>
      </w:tr>
      <w:tr w:rsidR="003919FC" w:rsidRPr="00E17C2C" w14:paraId="21B26FE4" w14:textId="77777777" w:rsidTr="006E5996">
        <w:trPr>
          <w:trHeight w:val="373"/>
        </w:trPr>
        <w:tc>
          <w:tcPr>
            <w:tcW w:w="593" w:type="pct"/>
            <w:vAlign w:val="center"/>
          </w:tcPr>
          <w:p w14:paraId="5765C4DB" w14:textId="011B1EB3" w:rsidR="003919FC" w:rsidRPr="008C409D" w:rsidRDefault="003919FC" w:rsidP="008966C6">
            <w:pPr>
              <w:spacing w:before="0" w:after="0"/>
              <w:jc w:val="left"/>
              <w:rPr>
                <w:sz w:val="18"/>
                <w:szCs w:val="18"/>
              </w:rPr>
            </w:pPr>
            <w:r w:rsidRPr="008C409D">
              <w:rPr>
                <w:sz w:val="18"/>
                <w:szCs w:val="18"/>
              </w:rPr>
              <w:t xml:space="preserve">SCS </w:t>
            </w:r>
            <w:r w:rsidRPr="008C409D">
              <w:rPr>
                <w:sz w:val="18"/>
                <w:szCs w:val="18"/>
              </w:rPr>
              <w:fldChar w:fldCharType="begin" w:fldLock="1"/>
            </w:r>
            <w:r w:rsidR="00645D0B">
              <w:rPr>
                <w:sz w:val="18"/>
                <w:szCs w:val="18"/>
              </w:rPr>
              <w:instrText>ADDIN CSL_CITATION {"citationItems":[{"id":"ITEM-1","itemData":{"DOI":"10.1109/ACCESS.2017.2726017","ISSN":"21693536","abstract":"This paper presents a supervisory control strategy for resilient chiller plants in the presence of condenser fouling. Fouling results in off-nominal performance of chiller parameters, such as increased refrigerant mass flow rate, compressor motor speed, discharge pressure, and discharge temperature. These effects further lead to faster deterioration of condenser pipes and tubes, and increase the risk of early motor failures. Thus, the main objective of this paper is to provide resilience, i.e., to bring the system parameters back to normalcy, and thereby protect the system from the adverse effects of fouling and improve its life expectancy while ensuring energy efficiency and meeting the desired cooling load. The supervisory control strategy presented here incorporates fault detection and diagnosis (FDD) and resilient control for mitigating the effects of condenser fouling. A computationally efficient and robust FDD scheme enables the estimation of the condenser fouling level using optimal sensor selection and statistical classifiers, thus facilitating condition-based maintenance. On the other hand, the resilient control scheme enables redistribution of load between chillers in order to reduce the load on faulty equipment in an energy-efficient manner, while still providing the required overall cooling load. The performance of this method is tested and validated using a high-fidelity chiller plant model and the proposed strategy is shown to diagnose condenser fouling with a high accuracy and effectively mitigate the effects of fouling at low computational cost. It is shown that the supervisory controller is able to meet the desired building load requirements at lower energy consumption, as compared with no supervisory control.","author":[{"dropping-particle":"","family":"Mittal","given":"Khushboo","non-dropping-particle":"","parse-names":false,"suffix":""},{"dropping-particle":"","family":"Wilson","given":"James P.","non-dropping-particle":"","parse-names":false,"suffix":""},{"dropping-particle":"","family":"Baillie","given":"Brian P.","non-dropping-particle":"","parse-names":false,"suffix":""},{"dropping-particle":"","family":"Gupta","given":"Shalabh","non-dropping-particle":"","parse-names":false,"suffix":""},{"dropping-particle":"","family":"Bollas","given":"George M.","non-dropping-particle":"","parse-names":false,"suffix":""},{"dropping-particle":"","family":"Luh","given":"Peter B.","non-dropping-particle":"","parse-names":false,"suffix":""}],"container-title":"IEEE Access","id":"ITEM-1","issued":{"date-parts":[["2017"]]},"note":"Consider faulty operating conditions (faulty modes).\nDeveloped supervisory control strategy based on physics-based high-fidelity chiller plant model.\n- SCS works with Nominal Controller (NC) and Resilient Controller (RC).","page":"14028-14046","publisher":"IEEE","title":"Supervisory control for resilient chiller plants under condenser fouling","type":"article-journal","volume":"5"},"uris":["http://www.mendeley.com/documents/?uuid=43fcdf0d-854a-4202-bce3-6dd985dbf553"]}],"mendeley":{"formattedCitation":"[115]","plainTextFormattedCitation":"[115]","previouslyFormattedCitation":"[115]"},"properties":{"noteIndex":0},"schema":"https://github.com/citation-style-language/schema/raw/master/csl-citation.json"}</w:instrText>
            </w:r>
            <w:r w:rsidRPr="008C409D">
              <w:rPr>
                <w:sz w:val="18"/>
                <w:szCs w:val="18"/>
              </w:rPr>
              <w:fldChar w:fldCharType="separate"/>
            </w:r>
            <w:r w:rsidR="00416869" w:rsidRPr="00416869">
              <w:rPr>
                <w:noProof/>
                <w:sz w:val="18"/>
                <w:szCs w:val="18"/>
              </w:rPr>
              <w:t>[115]</w:t>
            </w:r>
            <w:r w:rsidRPr="008C409D">
              <w:rPr>
                <w:sz w:val="18"/>
                <w:szCs w:val="18"/>
              </w:rPr>
              <w:fldChar w:fldCharType="end"/>
            </w:r>
          </w:p>
        </w:tc>
        <w:tc>
          <w:tcPr>
            <w:tcW w:w="465" w:type="pct"/>
            <w:vAlign w:val="center"/>
          </w:tcPr>
          <w:p w14:paraId="763DE23E" w14:textId="77777777" w:rsidR="003919FC" w:rsidRPr="008C409D" w:rsidRDefault="003919FC" w:rsidP="00174B48">
            <w:pPr>
              <w:spacing w:before="0" w:after="0"/>
              <w:rPr>
                <w:sz w:val="18"/>
                <w:szCs w:val="18"/>
              </w:rPr>
            </w:pPr>
            <w:r w:rsidRPr="008C409D">
              <w:rPr>
                <w:sz w:val="18"/>
                <w:szCs w:val="18"/>
              </w:rPr>
              <w:t>Diagnosis</w:t>
            </w:r>
          </w:p>
        </w:tc>
        <w:tc>
          <w:tcPr>
            <w:tcW w:w="536" w:type="pct"/>
            <w:vAlign w:val="center"/>
          </w:tcPr>
          <w:p w14:paraId="3F1D58D0" w14:textId="77777777" w:rsidR="003919FC" w:rsidRPr="008C409D" w:rsidRDefault="003919FC" w:rsidP="00174B48">
            <w:pPr>
              <w:spacing w:before="0" w:after="0"/>
              <w:rPr>
                <w:sz w:val="18"/>
                <w:szCs w:val="18"/>
              </w:rPr>
            </w:pPr>
            <w:r w:rsidRPr="008C409D">
              <w:rPr>
                <w:sz w:val="18"/>
                <w:szCs w:val="18"/>
              </w:rPr>
              <w:t>Chiller plant</w:t>
            </w:r>
          </w:p>
        </w:tc>
        <w:tc>
          <w:tcPr>
            <w:tcW w:w="856" w:type="pct"/>
            <w:vAlign w:val="center"/>
          </w:tcPr>
          <w:p w14:paraId="63E4F9CE" w14:textId="77777777" w:rsidR="003919FC" w:rsidRPr="008C409D" w:rsidRDefault="003919FC" w:rsidP="00174B48">
            <w:pPr>
              <w:spacing w:before="0" w:after="0"/>
              <w:rPr>
                <w:sz w:val="18"/>
                <w:szCs w:val="18"/>
              </w:rPr>
            </w:pPr>
            <w:r w:rsidRPr="008C409D">
              <w:rPr>
                <w:sz w:val="18"/>
                <w:szCs w:val="18"/>
              </w:rPr>
              <w:t>k-Nearest Neighbour classifier, k-Means cl.</w:t>
            </w:r>
          </w:p>
        </w:tc>
        <w:tc>
          <w:tcPr>
            <w:tcW w:w="636" w:type="pct"/>
            <w:vAlign w:val="center"/>
          </w:tcPr>
          <w:p w14:paraId="6250304C" w14:textId="77777777" w:rsidR="003919FC" w:rsidRPr="008C409D" w:rsidRDefault="003919FC" w:rsidP="00174B48">
            <w:pPr>
              <w:spacing w:before="0" w:after="0"/>
              <w:rPr>
                <w:sz w:val="18"/>
                <w:szCs w:val="18"/>
              </w:rPr>
            </w:pPr>
            <w:r w:rsidRPr="008C409D">
              <w:rPr>
                <w:sz w:val="18"/>
                <w:szCs w:val="18"/>
              </w:rPr>
              <w:t>Power savings</w:t>
            </w:r>
          </w:p>
        </w:tc>
        <w:tc>
          <w:tcPr>
            <w:tcW w:w="646" w:type="pct"/>
            <w:vAlign w:val="center"/>
          </w:tcPr>
          <w:p w14:paraId="3959B2FE" w14:textId="77777777" w:rsidR="003919FC" w:rsidRPr="008C409D" w:rsidRDefault="003919FC" w:rsidP="00174B48">
            <w:pPr>
              <w:spacing w:before="0" w:after="0"/>
              <w:jc w:val="right"/>
              <w:rPr>
                <w:i/>
                <w:iCs/>
                <w:sz w:val="18"/>
                <w:szCs w:val="18"/>
              </w:rPr>
            </w:pPr>
            <w:r w:rsidRPr="008C409D">
              <w:rPr>
                <w:sz w:val="18"/>
                <w:szCs w:val="18"/>
              </w:rPr>
              <w:t>H/Ca/Cr (%) fouling severity</w:t>
            </w:r>
          </w:p>
        </w:tc>
        <w:tc>
          <w:tcPr>
            <w:tcW w:w="437" w:type="pct"/>
            <w:vAlign w:val="center"/>
          </w:tcPr>
          <w:p w14:paraId="41349CE1" w14:textId="77777777" w:rsidR="003919FC" w:rsidRPr="008C409D" w:rsidRDefault="003919FC" w:rsidP="00174B48">
            <w:pPr>
              <w:spacing w:before="0" w:after="0"/>
              <w:jc w:val="right"/>
              <w:rPr>
                <w:sz w:val="18"/>
                <w:szCs w:val="18"/>
              </w:rPr>
            </w:pPr>
            <w:r w:rsidRPr="008C409D">
              <w:rPr>
                <w:sz w:val="18"/>
                <w:szCs w:val="18"/>
              </w:rPr>
              <w:t>Process data</w:t>
            </w:r>
          </w:p>
        </w:tc>
        <w:tc>
          <w:tcPr>
            <w:tcW w:w="400" w:type="pct"/>
            <w:vAlign w:val="center"/>
          </w:tcPr>
          <w:p w14:paraId="1A733F14" w14:textId="77777777" w:rsidR="003919FC" w:rsidRPr="008C409D" w:rsidRDefault="003919FC" w:rsidP="00174B48">
            <w:pPr>
              <w:spacing w:before="0" w:after="0"/>
              <w:jc w:val="right"/>
              <w:rPr>
                <w:sz w:val="18"/>
                <w:szCs w:val="18"/>
              </w:rPr>
            </w:pPr>
            <w:r w:rsidRPr="008C409D">
              <w:rPr>
                <w:sz w:val="18"/>
                <w:szCs w:val="18"/>
              </w:rPr>
              <w:t>Tactical</w:t>
            </w:r>
          </w:p>
        </w:tc>
        <w:tc>
          <w:tcPr>
            <w:tcW w:w="432" w:type="pct"/>
            <w:vAlign w:val="center"/>
          </w:tcPr>
          <w:p w14:paraId="5247A5DA" w14:textId="77777777" w:rsidR="003919FC" w:rsidRPr="008C409D" w:rsidRDefault="003919FC" w:rsidP="00174B48">
            <w:pPr>
              <w:spacing w:before="0" w:after="0"/>
              <w:jc w:val="right"/>
              <w:rPr>
                <w:sz w:val="18"/>
                <w:szCs w:val="18"/>
              </w:rPr>
            </w:pPr>
            <w:r w:rsidRPr="008C409D">
              <w:rPr>
                <w:sz w:val="18"/>
                <w:szCs w:val="18"/>
              </w:rPr>
              <w:t>D-CBM</w:t>
            </w:r>
          </w:p>
        </w:tc>
      </w:tr>
      <w:tr w:rsidR="003919FC" w:rsidRPr="00E17C2C" w14:paraId="117D3C5A" w14:textId="77777777" w:rsidTr="006E5996">
        <w:trPr>
          <w:trHeight w:val="511"/>
        </w:trPr>
        <w:tc>
          <w:tcPr>
            <w:tcW w:w="593" w:type="pct"/>
            <w:vAlign w:val="center"/>
          </w:tcPr>
          <w:p w14:paraId="557B538C" w14:textId="5F696ED9" w:rsidR="003919FC" w:rsidRPr="008C409D" w:rsidRDefault="003919FC" w:rsidP="008966C6">
            <w:pPr>
              <w:spacing w:before="0" w:after="0"/>
              <w:jc w:val="left"/>
              <w:rPr>
                <w:sz w:val="18"/>
                <w:szCs w:val="18"/>
              </w:rPr>
            </w:pPr>
            <w:r w:rsidRPr="008C409D">
              <w:rPr>
                <w:sz w:val="18"/>
                <w:szCs w:val="18"/>
              </w:rPr>
              <w:t xml:space="preserve">EBM </w:t>
            </w:r>
            <w:r w:rsidRPr="008C409D">
              <w:rPr>
                <w:sz w:val="18"/>
                <w:szCs w:val="18"/>
              </w:rPr>
              <w:fldChar w:fldCharType="begin" w:fldLock="1"/>
            </w:r>
            <w:r w:rsidR="00645D0B">
              <w:rPr>
                <w:sz w:val="18"/>
                <w:szCs w:val="18"/>
              </w:rPr>
              <w:instrText>ADDIN CSL_CITATION {"citationItems":[{"id":"ITEM-1","itemData":{"DOI":"10.1016/j.procir.2016.01.111","ISSN":"22128271","abstract":"Improving the overall equipment effectiveness of machine tools will improve resource-efficiency and productivity in manufacturing. First step to achieve more effectiveness would require sensors for monitoring of machine availability and quality of machining processes. Abnormal machine conditions are characterized by fault-pattern, which can indicate failure and quality losses. Further, machine failure can shorten the remaining useful life of the components and affect the products. Therefore, it is essential to determine a valuable data source which will enable the extraction of fault-pattern and the allocation of these pattern to machining processes. However, this can be challenging due to lack of open source control architecture, different machine types and automation degree, changing operating loads, and dynamic failure rates in a real environment. Retrofit for online analysis of electrical power intake of machine tools seems to satisfy this challenge. A fault-monitoring framework for manufacturing equipment has been proposed in this paper, based on data stream mining techniques for online pattern matching in electrical power data streams. Complex event processing is applied to ensure scalable data processing for large data volumes and automate the reporting in order to assign the fault-patterns to machining processes and products. This concept is introduced as energy-based maintenance and validated for a powertrain machining line in milling and drilling machines.","author":[{"dropping-particle":"","family":"Emec","given":"Soner","non-dropping-particle":"","parse-names":false,"suffix":""},{"dropping-particle":"","family":"Krüger","given":"Jörg","non-dropping-particle":"","parse-names":false,"suffix":""},{"dropping-particle":"","family":"Seliger","given":"Günther","non-dropping-particle":"","parse-names":false,"suffix":""}],"container-title":"Procedia CIRP","id":"ITEM-1","issued":{"date-parts":[["2016"]]},"page":"236-243","publisher":"Elsevier B.V.","title":"Online Fault-monitoring in Machine Tools Based on Energy Consumption Analysis and Non-invasive Data Acquisition for Improved Resource-efficiency","type":"article-journal","volume":"40"},"uris":["http://www.mendeley.com/documents/?uuid=37b1bdc1-aae6-4693-b0a0-5544860f4986"]}],"mendeley":{"formattedCitation":"[111]","plainTextFormattedCitation":"[111]","previouslyFormattedCitation":"[111]"},"properties":{"noteIndex":0},"schema":"https://github.com/citation-style-language/schema/raw/master/csl-citation.json"}</w:instrText>
            </w:r>
            <w:r w:rsidRPr="008C409D">
              <w:rPr>
                <w:sz w:val="18"/>
                <w:szCs w:val="18"/>
              </w:rPr>
              <w:fldChar w:fldCharType="separate"/>
            </w:r>
            <w:r w:rsidR="00416869" w:rsidRPr="00416869">
              <w:rPr>
                <w:noProof/>
                <w:sz w:val="18"/>
                <w:szCs w:val="18"/>
              </w:rPr>
              <w:t>[111]</w:t>
            </w:r>
            <w:r w:rsidRPr="008C409D">
              <w:rPr>
                <w:sz w:val="18"/>
                <w:szCs w:val="18"/>
              </w:rPr>
              <w:fldChar w:fldCharType="end"/>
            </w:r>
          </w:p>
        </w:tc>
        <w:tc>
          <w:tcPr>
            <w:tcW w:w="465" w:type="pct"/>
            <w:vAlign w:val="center"/>
          </w:tcPr>
          <w:p w14:paraId="7740F3E7" w14:textId="77777777" w:rsidR="003919FC" w:rsidRPr="008C409D" w:rsidRDefault="003919FC" w:rsidP="00174B48">
            <w:pPr>
              <w:spacing w:before="0" w:after="0"/>
              <w:rPr>
                <w:sz w:val="18"/>
                <w:szCs w:val="18"/>
              </w:rPr>
            </w:pPr>
            <w:r w:rsidRPr="008C409D">
              <w:rPr>
                <w:sz w:val="18"/>
                <w:szCs w:val="18"/>
              </w:rPr>
              <w:t>Diagnosis</w:t>
            </w:r>
          </w:p>
        </w:tc>
        <w:tc>
          <w:tcPr>
            <w:tcW w:w="536" w:type="pct"/>
            <w:vAlign w:val="center"/>
          </w:tcPr>
          <w:p w14:paraId="11D9E127" w14:textId="77777777" w:rsidR="003919FC" w:rsidRPr="008C409D" w:rsidRDefault="003919FC" w:rsidP="00174B48">
            <w:pPr>
              <w:spacing w:before="0" w:after="0"/>
              <w:rPr>
                <w:sz w:val="18"/>
                <w:szCs w:val="18"/>
              </w:rPr>
            </w:pPr>
            <w:r w:rsidRPr="008C409D">
              <w:rPr>
                <w:sz w:val="18"/>
                <w:szCs w:val="18"/>
              </w:rPr>
              <w:t>Manufacturing</w:t>
            </w:r>
          </w:p>
        </w:tc>
        <w:tc>
          <w:tcPr>
            <w:tcW w:w="856" w:type="pct"/>
            <w:vAlign w:val="center"/>
          </w:tcPr>
          <w:p w14:paraId="6E9F4EEF" w14:textId="77777777" w:rsidR="003919FC" w:rsidRPr="008C409D" w:rsidRDefault="003919FC" w:rsidP="00174B48">
            <w:pPr>
              <w:spacing w:before="0" w:after="0"/>
              <w:rPr>
                <w:sz w:val="18"/>
                <w:szCs w:val="18"/>
              </w:rPr>
            </w:pPr>
            <w:r w:rsidRPr="008C409D">
              <w:rPr>
                <w:sz w:val="18"/>
                <w:szCs w:val="18"/>
              </w:rPr>
              <w:t>SPRING algorithm with Dynamic Time Warping.</w:t>
            </w:r>
          </w:p>
        </w:tc>
        <w:tc>
          <w:tcPr>
            <w:tcW w:w="636" w:type="pct"/>
            <w:vAlign w:val="center"/>
          </w:tcPr>
          <w:p w14:paraId="70A428BF" w14:textId="77777777" w:rsidR="003919FC" w:rsidRPr="008C409D" w:rsidRDefault="003919FC" w:rsidP="00174B48">
            <w:pPr>
              <w:spacing w:before="0" w:after="0"/>
              <w:rPr>
                <w:sz w:val="18"/>
                <w:szCs w:val="18"/>
              </w:rPr>
            </w:pPr>
            <w:r w:rsidRPr="008C409D">
              <w:rPr>
                <w:sz w:val="18"/>
                <w:szCs w:val="18"/>
              </w:rPr>
              <w:t>Electrical power intake fault-pattern</w:t>
            </w:r>
          </w:p>
        </w:tc>
        <w:tc>
          <w:tcPr>
            <w:tcW w:w="646" w:type="pct"/>
            <w:vAlign w:val="center"/>
          </w:tcPr>
          <w:p w14:paraId="64BC2663" w14:textId="77777777" w:rsidR="003919FC" w:rsidRPr="008C409D" w:rsidRDefault="003919FC" w:rsidP="00174B48">
            <w:pPr>
              <w:spacing w:before="0" w:after="0"/>
              <w:jc w:val="right"/>
              <w:rPr>
                <w:sz w:val="18"/>
                <w:szCs w:val="18"/>
              </w:rPr>
            </w:pPr>
            <w:r w:rsidRPr="008C409D">
              <w:rPr>
                <w:sz w:val="18"/>
                <w:szCs w:val="18"/>
              </w:rPr>
              <w:t>Hierarchical Agglomerative clustering</w:t>
            </w:r>
          </w:p>
        </w:tc>
        <w:tc>
          <w:tcPr>
            <w:tcW w:w="437" w:type="pct"/>
            <w:vAlign w:val="center"/>
          </w:tcPr>
          <w:p w14:paraId="21199FAC" w14:textId="77777777" w:rsidR="003919FC" w:rsidRPr="008C409D" w:rsidRDefault="003919FC" w:rsidP="00174B48">
            <w:pPr>
              <w:spacing w:before="0" w:after="0"/>
              <w:jc w:val="right"/>
              <w:rPr>
                <w:sz w:val="18"/>
                <w:szCs w:val="18"/>
              </w:rPr>
            </w:pPr>
            <w:r w:rsidRPr="008C409D">
              <w:rPr>
                <w:sz w:val="18"/>
                <w:szCs w:val="18"/>
              </w:rPr>
              <w:t>Process data</w:t>
            </w:r>
          </w:p>
        </w:tc>
        <w:tc>
          <w:tcPr>
            <w:tcW w:w="400" w:type="pct"/>
            <w:vAlign w:val="center"/>
          </w:tcPr>
          <w:p w14:paraId="6F0F5F0D" w14:textId="77777777" w:rsidR="003919FC" w:rsidRPr="008C409D" w:rsidRDefault="003919FC" w:rsidP="00174B48">
            <w:pPr>
              <w:spacing w:before="0" w:after="0"/>
              <w:jc w:val="right"/>
              <w:rPr>
                <w:sz w:val="18"/>
                <w:szCs w:val="18"/>
              </w:rPr>
            </w:pPr>
            <w:r>
              <w:rPr>
                <w:sz w:val="18"/>
                <w:szCs w:val="18"/>
              </w:rPr>
              <w:t>Operational</w:t>
            </w:r>
          </w:p>
        </w:tc>
        <w:tc>
          <w:tcPr>
            <w:tcW w:w="432" w:type="pct"/>
            <w:vAlign w:val="center"/>
          </w:tcPr>
          <w:p w14:paraId="3BBE6032" w14:textId="77777777" w:rsidR="003919FC" w:rsidRPr="008C409D" w:rsidRDefault="003919FC" w:rsidP="00174B48">
            <w:pPr>
              <w:spacing w:before="0" w:after="0"/>
              <w:jc w:val="right"/>
              <w:rPr>
                <w:sz w:val="18"/>
                <w:szCs w:val="18"/>
              </w:rPr>
            </w:pPr>
            <w:r w:rsidRPr="008C409D">
              <w:rPr>
                <w:sz w:val="18"/>
                <w:szCs w:val="18"/>
              </w:rPr>
              <w:t>EBM-CBM</w:t>
            </w:r>
          </w:p>
        </w:tc>
      </w:tr>
      <w:tr w:rsidR="003919FC" w:rsidRPr="00E17C2C" w14:paraId="2EF9CD5B" w14:textId="77777777" w:rsidTr="006E5996">
        <w:trPr>
          <w:trHeight w:val="584"/>
        </w:trPr>
        <w:tc>
          <w:tcPr>
            <w:tcW w:w="593" w:type="pct"/>
            <w:vAlign w:val="center"/>
          </w:tcPr>
          <w:p w14:paraId="0C81088A" w14:textId="016B6CF4" w:rsidR="003919FC" w:rsidRPr="008C409D" w:rsidRDefault="003919FC" w:rsidP="008966C6">
            <w:pPr>
              <w:spacing w:before="0" w:after="0"/>
              <w:jc w:val="left"/>
              <w:rPr>
                <w:sz w:val="18"/>
                <w:szCs w:val="18"/>
              </w:rPr>
            </w:pPr>
            <w:r w:rsidRPr="008C409D">
              <w:rPr>
                <w:sz w:val="18"/>
                <w:szCs w:val="18"/>
              </w:rPr>
              <w:t xml:space="preserve">PPMP </w:t>
            </w:r>
            <w:r w:rsidRPr="008C409D">
              <w:rPr>
                <w:sz w:val="18"/>
                <w:szCs w:val="18"/>
              </w:rPr>
              <w:fldChar w:fldCharType="begin" w:fldLock="1"/>
            </w:r>
            <w:r w:rsidR="00645D0B">
              <w:rPr>
                <w:sz w:val="18"/>
                <w:szCs w:val="18"/>
              </w:rPr>
              <w:instrText>ADDIN CSL_CITATION {"citationItems":[{"id":"ITEM-1","itemData":{"DOI":"10.1007/s00170-014-5834-3","ISSN":"0268-3768","abstract":"In this study, we analyze an integrated production-preventive maintenance planning problem where product processing times are affected by machine degradation. Preventive maintenance and repair can return the degraded machines/equipment to normal conditions, which can improve the job processing times and the amount of energy consumed. We propose a mathematical model for an integrated production and preventive maintenance planning problem in a multi-product, multi-period, single-machine manufacturing environment with minimal repair and energy consumption considerations in order to minimize the overall cost of production, inventory, energy, maintenance, and repair. The model investigates the impact of imperfect and “as-good-as-new” (AGAN) maintenance strategies on production plan and total cost. Experimental analyses provide insights about the proposed model: when the sensitivity of processing times to machine health status increases, the required number of maintenance actions increases. In addition, enforcing more number of maintenance actions into a production plan decreases energy cost of the system.","author":[{"dropping-particle":"","family":"Yildirim","given":"Mehmet Bayram","non-dropping-particle":"","parse-names":false,"suffix":""},{"dropping-particle":"","family":"Nezami","given":"Farnaz Ghazi","non-dropping-particle":"","parse-names":false,"suffix":""}],"container-title":"The International Journal of Advanced Manufacturing Technology","id":"ITEM-1","issue":"9-12","issued":{"date-parts":[["2014","10","3"]]},"note":"- Impact of imperfect and AGAN on production plan and total cost.\n- More maintenance actions decreases energy cost of the system. \n- Integrated preventive maintenance and production planning can optimize machine performance and total energy consumption.\n- Production-Preventive Maintenance Plan.\n- Minimize overall system production, maintenance and energy costs.\n- Investigating the maintenance decisions on production plan and total energy consumption at a tactical level.\n-","page":"1419-1430","title":"Integrated maintenance and production planning with energy consumption and minimal repair","type":"article-journal","volume":"74"},"uris":["http://www.mendeley.com/documents/?uuid=861520f3-26ec-4b34-a6c1-f42da599a70d"]}],"mendeley":{"formattedCitation":"[108]","plainTextFormattedCitation":"[108]","previouslyFormattedCitation":"[108]"},"properties":{"noteIndex":0},"schema":"https://github.com/citation-style-language/schema/raw/master/csl-citation.json"}</w:instrText>
            </w:r>
            <w:r w:rsidRPr="008C409D">
              <w:rPr>
                <w:sz w:val="18"/>
                <w:szCs w:val="18"/>
              </w:rPr>
              <w:fldChar w:fldCharType="separate"/>
            </w:r>
            <w:r w:rsidR="00416869" w:rsidRPr="00416869">
              <w:rPr>
                <w:noProof/>
                <w:sz w:val="18"/>
                <w:szCs w:val="18"/>
              </w:rPr>
              <w:t>[108]</w:t>
            </w:r>
            <w:r w:rsidRPr="008C409D">
              <w:rPr>
                <w:sz w:val="18"/>
                <w:szCs w:val="18"/>
              </w:rPr>
              <w:fldChar w:fldCharType="end"/>
            </w:r>
          </w:p>
        </w:tc>
        <w:tc>
          <w:tcPr>
            <w:tcW w:w="465" w:type="pct"/>
            <w:vAlign w:val="center"/>
          </w:tcPr>
          <w:p w14:paraId="4D314051" w14:textId="77777777" w:rsidR="003919FC" w:rsidRPr="008C409D" w:rsidRDefault="003919FC" w:rsidP="00174B48">
            <w:pPr>
              <w:spacing w:before="0" w:after="0"/>
              <w:rPr>
                <w:sz w:val="18"/>
                <w:szCs w:val="18"/>
              </w:rPr>
            </w:pPr>
            <w:r w:rsidRPr="008C409D">
              <w:rPr>
                <w:sz w:val="18"/>
                <w:szCs w:val="18"/>
              </w:rPr>
              <w:t>Optimisation</w:t>
            </w:r>
          </w:p>
        </w:tc>
        <w:tc>
          <w:tcPr>
            <w:tcW w:w="536" w:type="pct"/>
            <w:vAlign w:val="center"/>
          </w:tcPr>
          <w:p w14:paraId="757D4761" w14:textId="77777777" w:rsidR="003919FC" w:rsidRPr="008C409D" w:rsidRDefault="003919FC" w:rsidP="00174B48">
            <w:pPr>
              <w:spacing w:before="0" w:after="0"/>
              <w:rPr>
                <w:sz w:val="18"/>
                <w:szCs w:val="18"/>
              </w:rPr>
            </w:pPr>
            <w:r w:rsidRPr="008C409D">
              <w:rPr>
                <w:sz w:val="18"/>
                <w:szCs w:val="18"/>
              </w:rPr>
              <w:t>Manufacturing</w:t>
            </w:r>
          </w:p>
        </w:tc>
        <w:tc>
          <w:tcPr>
            <w:tcW w:w="856" w:type="pct"/>
            <w:vAlign w:val="center"/>
          </w:tcPr>
          <w:p w14:paraId="622839EA" w14:textId="77777777" w:rsidR="003919FC" w:rsidRPr="008C409D" w:rsidRDefault="003919FC" w:rsidP="00174B48">
            <w:pPr>
              <w:spacing w:before="0" w:after="0"/>
              <w:rPr>
                <w:sz w:val="18"/>
                <w:szCs w:val="18"/>
              </w:rPr>
            </w:pPr>
            <w:r w:rsidRPr="008C409D">
              <w:rPr>
                <w:sz w:val="18"/>
                <w:szCs w:val="18"/>
              </w:rPr>
              <w:t>Mixed Integer Non-Linear Programming</w:t>
            </w:r>
          </w:p>
        </w:tc>
        <w:tc>
          <w:tcPr>
            <w:tcW w:w="636" w:type="pct"/>
            <w:vAlign w:val="center"/>
          </w:tcPr>
          <w:p w14:paraId="3C42B294" w14:textId="77777777" w:rsidR="003919FC" w:rsidRPr="008C409D" w:rsidRDefault="003919FC" w:rsidP="00174B48">
            <w:pPr>
              <w:spacing w:before="0" w:after="0"/>
              <w:rPr>
                <w:sz w:val="18"/>
                <w:szCs w:val="18"/>
              </w:rPr>
            </w:pPr>
            <w:r w:rsidRPr="008C409D">
              <w:rPr>
                <w:sz w:val="18"/>
                <w:szCs w:val="18"/>
              </w:rPr>
              <w:t>Production costs</w:t>
            </w:r>
          </w:p>
          <w:p w14:paraId="65C9B92C" w14:textId="77777777" w:rsidR="003919FC" w:rsidRPr="008C409D" w:rsidRDefault="003919FC" w:rsidP="00174B48">
            <w:pPr>
              <w:spacing w:before="0" w:after="0"/>
              <w:rPr>
                <w:sz w:val="18"/>
                <w:szCs w:val="18"/>
              </w:rPr>
            </w:pPr>
            <w:r w:rsidRPr="008C409D">
              <w:rPr>
                <w:sz w:val="18"/>
                <w:szCs w:val="18"/>
              </w:rPr>
              <w:t>Maintenance costs</w:t>
            </w:r>
          </w:p>
          <w:p w14:paraId="06D1ABEC" w14:textId="77777777" w:rsidR="003919FC" w:rsidRPr="008C409D" w:rsidRDefault="003919FC" w:rsidP="00174B48">
            <w:pPr>
              <w:spacing w:before="0" w:after="0"/>
              <w:rPr>
                <w:sz w:val="18"/>
                <w:szCs w:val="18"/>
              </w:rPr>
            </w:pPr>
            <w:r w:rsidRPr="008C409D">
              <w:rPr>
                <w:sz w:val="18"/>
                <w:szCs w:val="18"/>
              </w:rPr>
              <w:t>Inventory cost</w:t>
            </w:r>
          </w:p>
          <w:p w14:paraId="34BD3588" w14:textId="77777777" w:rsidR="003919FC" w:rsidRPr="008C409D" w:rsidRDefault="003919FC" w:rsidP="00174B48">
            <w:pPr>
              <w:spacing w:before="0" w:after="0"/>
              <w:rPr>
                <w:sz w:val="18"/>
                <w:szCs w:val="18"/>
              </w:rPr>
            </w:pPr>
            <w:r w:rsidRPr="008C409D">
              <w:rPr>
                <w:sz w:val="18"/>
                <w:szCs w:val="18"/>
              </w:rPr>
              <w:t>Energy costs</w:t>
            </w:r>
          </w:p>
        </w:tc>
        <w:tc>
          <w:tcPr>
            <w:tcW w:w="646" w:type="pct"/>
            <w:vAlign w:val="center"/>
          </w:tcPr>
          <w:p w14:paraId="59BB701B" w14:textId="77777777" w:rsidR="003919FC" w:rsidRPr="008C409D" w:rsidRDefault="003919FC" w:rsidP="00174B48">
            <w:pPr>
              <w:spacing w:before="0" w:after="0"/>
              <w:jc w:val="right"/>
              <w:rPr>
                <w:sz w:val="18"/>
                <w:szCs w:val="18"/>
              </w:rPr>
            </w:pPr>
            <w:r w:rsidRPr="008C409D">
              <w:rPr>
                <w:sz w:val="18"/>
                <w:szCs w:val="18"/>
              </w:rPr>
              <w:t>Increase in processing time</w:t>
            </w:r>
          </w:p>
        </w:tc>
        <w:tc>
          <w:tcPr>
            <w:tcW w:w="437" w:type="pct"/>
            <w:vAlign w:val="center"/>
          </w:tcPr>
          <w:p w14:paraId="06C8A383" w14:textId="77777777" w:rsidR="003919FC" w:rsidRPr="008C409D" w:rsidRDefault="003919FC" w:rsidP="00174B48">
            <w:pPr>
              <w:spacing w:before="0" w:after="0"/>
              <w:jc w:val="right"/>
              <w:rPr>
                <w:sz w:val="18"/>
                <w:szCs w:val="18"/>
              </w:rPr>
            </w:pPr>
            <w:r w:rsidRPr="008C409D">
              <w:rPr>
                <w:sz w:val="18"/>
                <w:szCs w:val="18"/>
              </w:rPr>
              <w:t>Failure data</w:t>
            </w:r>
          </w:p>
        </w:tc>
        <w:tc>
          <w:tcPr>
            <w:tcW w:w="400" w:type="pct"/>
            <w:vAlign w:val="center"/>
          </w:tcPr>
          <w:p w14:paraId="5A359B0D" w14:textId="77777777" w:rsidR="003919FC" w:rsidRPr="008C409D" w:rsidRDefault="003919FC" w:rsidP="00174B48">
            <w:pPr>
              <w:spacing w:before="0" w:after="0"/>
              <w:jc w:val="right"/>
              <w:rPr>
                <w:sz w:val="18"/>
                <w:szCs w:val="18"/>
              </w:rPr>
            </w:pPr>
            <w:r w:rsidRPr="008C409D">
              <w:rPr>
                <w:sz w:val="18"/>
                <w:szCs w:val="18"/>
              </w:rPr>
              <w:t>Tactical</w:t>
            </w:r>
          </w:p>
        </w:tc>
        <w:tc>
          <w:tcPr>
            <w:tcW w:w="432" w:type="pct"/>
            <w:vAlign w:val="center"/>
          </w:tcPr>
          <w:p w14:paraId="558A1FFB" w14:textId="77777777" w:rsidR="003919FC" w:rsidRPr="008C409D" w:rsidRDefault="003919FC" w:rsidP="00174B48">
            <w:pPr>
              <w:spacing w:before="0" w:after="0"/>
              <w:jc w:val="right"/>
              <w:rPr>
                <w:sz w:val="18"/>
                <w:szCs w:val="18"/>
              </w:rPr>
            </w:pPr>
            <w:r w:rsidRPr="008C409D">
              <w:rPr>
                <w:sz w:val="18"/>
                <w:szCs w:val="18"/>
              </w:rPr>
              <w:t>PM-CBM</w:t>
            </w:r>
          </w:p>
        </w:tc>
      </w:tr>
      <w:tr w:rsidR="003919FC" w:rsidRPr="00E17C2C" w14:paraId="0A393C14" w14:textId="77777777" w:rsidTr="006E5996">
        <w:trPr>
          <w:trHeight w:val="373"/>
        </w:trPr>
        <w:tc>
          <w:tcPr>
            <w:tcW w:w="593" w:type="pct"/>
            <w:vAlign w:val="center"/>
          </w:tcPr>
          <w:p w14:paraId="4047E87C" w14:textId="49287680" w:rsidR="003919FC" w:rsidRPr="00E17C2C" w:rsidRDefault="003919FC" w:rsidP="008966C6">
            <w:pPr>
              <w:spacing w:before="0" w:after="0"/>
              <w:jc w:val="left"/>
              <w:rPr>
                <w:sz w:val="18"/>
                <w:szCs w:val="18"/>
              </w:rPr>
            </w:pPr>
            <w:r w:rsidRPr="00E17C2C">
              <w:rPr>
                <w:sz w:val="18"/>
                <w:szCs w:val="18"/>
              </w:rPr>
              <w:t xml:space="preserve">EEM </w:t>
            </w:r>
            <w:r w:rsidRPr="00E17C2C">
              <w:rPr>
                <w:sz w:val="18"/>
                <w:szCs w:val="18"/>
              </w:rPr>
              <w:fldChar w:fldCharType="begin" w:fldLock="1"/>
            </w:r>
            <w:r w:rsidR="00645D0B">
              <w:rPr>
                <w:sz w:val="18"/>
                <w:szCs w:val="18"/>
              </w:rPr>
              <w:instrText>ADDIN CSL_CITATION {"citationItems":[{"id":"ITEM-1","itemData":{"DOI":"10.1080/0951192X.2017.1339914","ISSN":"0951-192X","abstract":"This paper presents an original methodology and related algorithms that are dedicated to monitoring energy efficiency in discrete production stations. The learning phase of the algorithm is executed during the regular production process and is based on observations of the behaviour of the production station and energy consumption measurements. The collected information is then processed using data-mining procedures in order to find the clusters that reflect the energy consumption profiles that are specific for different variants of production. The profiles are used to monitor energy efficiency and detect anomalies. The main benefit of the proposed approach is its flexibility. No additional calibrating operations or technological knowledge are required. Although the presented proof by research results are focussed on pneumatic air installations, the proposed methodology can also be used for other media. The output of the proposed solution is a very precise estimation of energy consumption in reference to a given variant of production. It allows for the accurate detection of compressed air consumption anomalies. Such anomalies can be caused by technical (machine faults) and technological (human errors) problems. The proposed methodology can be applied for the optimisation of energy consumption and for the detection of machine maintenance problems that are visible through abnormal compressed air consumption.","author":[{"dropping-particle":"","family":"Cupek","given":"Rafal","non-dropping-particle":"","parse-names":false,"suffix":""},{"dropping-particle":"","family":"Ziebinski","given":"Adam","non-dropping-particle":"","parse-names":false,"suffix":""},{"dropping-particle":"","family":"Zonenberg","given":"Dariusz","non-dropping-particle":"","parse-names":false,"suffix":""},{"dropping-particle":"","family":"Drewniak","given":"Marek","non-dropping-particle":"","parse-names":false,"suffix":""}],"container-title":"International Journal of Computer Integrated Manufacturing","id":"ITEM-1","issue":"6","issued":{"date-parts":[["2017","6","3"]]},"note":"- The energy consumption profiles are used to assess energy efficiency and detect anomalies.\n- Operational level of monitoring energy consumption profile.\n- Observation of the machine cycle and automatic clustering using k-mean method.\n- Predictive maintenance.\n- System architecture consists of SCADA, Man. execution system and ERP, and HMI for detecting anomalies.\n- The proposed solution is online assessment tool for monitoring machine and production station levels.\n- Energy-efficiency monitoring block\n- Energy efficiency control block and machine learing block.\n- The research simulates leakage in CAS system and uses k means to cluster data and determine needs for maintenance actions.","page":"537-561","publisher":"Taylor &amp; Francis","title":"Determination of the machine energy consumption profiles in the mass-customised manufacturing","type":"article-journal","volume":"31"},"uris":["http://www.mendeley.com/documents/?uuid=32a98996-3e40-46f1-81b5-88e5e5150b3d"]}],"mendeley":{"formattedCitation":"[109]","plainTextFormattedCitation":"[109]","previouslyFormattedCitation":"[109]"},"properties":{"noteIndex":0},"schema":"https://github.com/citation-style-language/schema/raw/master/csl-citation.json"}</w:instrText>
            </w:r>
            <w:r w:rsidRPr="00E17C2C">
              <w:rPr>
                <w:sz w:val="18"/>
                <w:szCs w:val="18"/>
              </w:rPr>
              <w:fldChar w:fldCharType="separate"/>
            </w:r>
            <w:r w:rsidR="00416869" w:rsidRPr="00416869">
              <w:rPr>
                <w:noProof/>
                <w:sz w:val="18"/>
                <w:szCs w:val="18"/>
              </w:rPr>
              <w:t>[109]</w:t>
            </w:r>
            <w:r w:rsidRPr="00E17C2C">
              <w:rPr>
                <w:sz w:val="18"/>
                <w:szCs w:val="18"/>
              </w:rPr>
              <w:fldChar w:fldCharType="end"/>
            </w:r>
          </w:p>
        </w:tc>
        <w:tc>
          <w:tcPr>
            <w:tcW w:w="465" w:type="pct"/>
            <w:vAlign w:val="center"/>
          </w:tcPr>
          <w:p w14:paraId="21AEC161" w14:textId="77777777" w:rsidR="003919FC" w:rsidRPr="00E17C2C" w:rsidRDefault="003919FC" w:rsidP="00174B48">
            <w:pPr>
              <w:spacing w:before="0" w:after="0"/>
              <w:rPr>
                <w:sz w:val="18"/>
                <w:szCs w:val="18"/>
              </w:rPr>
            </w:pPr>
            <w:r w:rsidRPr="00E17C2C">
              <w:rPr>
                <w:sz w:val="18"/>
                <w:szCs w:val="18"/>
              </w:rPr>
              <w:t>Diagnosis</w:t>
            </w:r>
          </w:p>
        </w:tc>
        <w:tc>
          <w:tcPr>
            <w:tcW w:w="536" w:type="pct"/>
            <w:vAlign w:val="center"/>
          </w:tcPr>
          <w:p w14:paraId="483D6208" w14:textId="77777777" w:rsidR="003919FC" w:rsidRPr="00E17C2C" w:rsidRDefault="003919FC" w:rsidP="00174B48">
            <w:pPr>
              <w:spacing w:before="0" w:after="0"/>
              <w:rPr>
                <w:sz w:val="18"/>
                <w:szCs w:val="18"/>
              </w:rPr>
            </w:pPr>
            <w:r w:rsidRPr="00E17C2C">
              <w:rPr>
                <w:sz w:val="18"/>
                <w:szCs w:val="18"/>
              </w:rPr>
              <w:t>Manufacturing</w:t>
            </w:r>
          </w:p>
        </w:tc>
        <w:tc>
          <w:tcPr>
            <w:tcW w:w="856" w:type="pct"/>
            <w:vAlign w:val="center"/>
          </w:tcPr>
          <w:p w14:paraId="75E6A4CB" w14:textId="77777777" w:rsidR="003919FC" w:rsidRPr="00E17C2C" w:rsidRDefault="003919FC" w:rsidP="00174B48">
            <w:pPr>
              <w:spacing w:before="0" w:after="0"/>
              <w:rPr>
                <w:sz w:val="18"/>
                <w:szCs w:val="18"/>
              </w:rPr>
            </w:pPr>
            <w:r w:rsidRPr="00E17C2C">
              <w:rPr>
                <w:sz w:val="18"/>
                <w:szCs w:val="18"/>
              </w:rPr>
              <w:t>Machine learning. Data mining. k-Means clustering</w:t>
            </w:r>
          </w:p>
        </w:tc>
        <w:tc>
          <w:tcPr>
            <w:tcW w:w="636" w:type="pct"/>
            <w:vAlign w:val="center"/>
          </w:tcPr>
          <w:p w14:paraId="2C4D026C" w14:textId="77777777" w:rsidR="003919FC" w:rsidRPr="00E17C2C" w:rsidRDefault="003919FC" w:rsidP="00174B48">
            <w:pPr>
              <w:spacing w:before="0" w:after="0"/>
              <w:rPr>
                <w:sz w:val="18"/>
                <w:szCs w:val="18"/>
              </w:rPr>
            </w:pPr>
            <w:r w:rsidRPr="00E17C2C">
              <w:rPr>
                <w:sz w:val="18"/>
                <w:szCs w:val="18"/>
              </w:rPr>
              <w:t>Energy consumption profiles</w:t>
            </w:r>
          </w:p>
        </w:tc>
        <w:tc>
          <w:tcPr>
            <w:tcW w:w="646" w:type="pct"/>
            <w:vAlign w:val="center"/>
          </w:tcPr>
          <w:p w14:paraId="2162BAAF" w14:textId="77777777" w:rsidR="003919FC" w:rsidRPr="00E17C2C" w:rsidRDefault="003919FC" w:rsidP="00174B48">
            <w:pPr>
              <w:spacing w:before="0" w:after="0"/>
              <w:jc w:val="right"/>
              <w:rPr>
                <w:sz w:val="18"/>
                <w:szCs w:val="18"/>
              </w:rPr>
            </w:pPr>
            <w:r w:rsidRPr="00E17C2C">
              <w:rPr>
                <w:i/>
                <w:iCs/>
                <w:sz w:val="18"/>
                <w:szCs w:val="18"/>
              </w:rPr>
              <w:t>x</w:t>
            </w:r>
            <w:r w:rsidRPr="00E17C2C">
              <w:rPr>
                <w:sz w:val="18"/>
                <w:szCs w:val="18"/>
              </w:rPr>
              <w:t xml:space="preserve"> and σ value of air consumption</w:t>
            </w:r>
          </w:p>
          <w:p w14:paraId="63A0900F" w14:textId="77777777" w:rsidR="003919FC" w:rsidRPr="00E17C2C" w:rsidRDefault="003919FC" w:rsidP="00174B48">
            <w:pPr>
              <w:spacing w:before="0" w:after="0"/>
              <w:jc w:val="right"/>
              <w:rPr>
                <w:sz w:val="18"/>
                <w:szCs w:val="18"/>
              </w:rPr>
            </w:pPr>
            <w:r w:rsidRPr="00E17C2C">
              <w:rPr>
                <w:i/>
                <w:iCs/>
                <w:sz w:val="18"/>
                <w:szCs w:val="18"/>
              </w:rPr>
              <w:t>x</w:t>
            </w:r>
            <w:r w:rsidRPr="00E17C2C">
              <w:rPr>
                <w:i/>
                <w:iCs/>
                <w:sz w:val="18"/>
                <w:szCs w:val="18"/>
                <w:vertAlign w:val="subscript"/>
              </w:rPr>
              <w:t>i</w:t>
            </w:r>
            <w:r w:rsidRPr="00E17C2C">
              <w:rPr>
                <w:i/>
                <w:iCs/>
                <w:sz w:val="18"/>
                <w:szCs w:val="18"/>
              </w:rPr>
              <w:t xml:space="preserve"> - 3σ</w:t>
            </w:r>
            <w:r w:rsidRPr="00E17C2C">
              <w:rPr>
                <w:sz w:val="18"/>
                <w:szCs w:val="18"/>
              </w:rPr>
              <w:t xml:space="preserve"> </w:t>
            </w:r>
            <w:r w:rsidRPr="00E17C2C">
              <w:rPr>
                <w:rFonts w:cs="Times New Roman"/>
                <w:sz w:val="18"/>
                <w:szCs w:val="18"/>
              </w:rPr>
              <w:t xml:space="preserve">≤ </w:t>
            </w:r>
            <w:r w:rsidRPr="00E17C2C">
              <w:rPr>
                <w:i/>
                <w:iCs/>
                <w:sz w:val="18"/>
                <w:szCs w:val="18"/>
              </w:rPr>
              <w:t>x</w:t>
            </w:r>
            <w:r w:rsidRPr="00E17C2C">
              <w:rPr>
                <w:i/>
                <w:iCs/>
                <w:sz w:val="18"/>
                <w:szCs w:val="18"/>
                <w:vertAlign w:val="subscript"/>
              </w:rPr>
              <w:t>i</w:t>
            </w:r>
            <w:r w:rsidRPr="00E17C2C">
              <w:rPr>
                <w:rFonts w:cs="Times New Roman"/>
                <w:sz w:val="18"/>
                <w:szCs w:val="18"/>
              </w:rPr>
              <w:t xml:space="preserve"> ≤</w:t>
            </w:r>
            <w:r w:rsidRPr="00E17C2C">
              <w:rPr>
                <w:sz w:val="18"/>
                <w:szCs w:val="18"/>
              </w:rPr>
              <w:t xml:space="preserve"> </w:t>
            </w:r>
            <w:r w:rsidRPr="00E17C2C">
              <w:rPr>
                <w:i/>
                <w:iCs/>
                <w:sz w:val="18"/>
                <w:szCs w:val="18"/>
              </w:rPr>
              <w:t>x</w:t>
            </w:r>
            <w:r w:rsidRPr="00E17C2C">
              <w:rPr>
                <w:i/>
                <w:iCs/>
                <w:sz w:val="18"/>
                <w:szCs w:val="18"/>
                <w:vertAlign w:val="subscript"/>
              </w:rPr>
              <w:t>i</w:t>
            </w:r>
            <w:r w:rsidRPr="00E17C2C">
              <w:rPr>
                <w:i/>
                <w:iCs/>
                <w:sz w:val="18"/>
                <w:szCs w:val="18"/>
              </w:rPr>
              <w:t xml:space="preserve"> + 3σ</w:t>
            </w:r>
          </w:p>
        </w:tc>
        <w:tc>
          <w:tcPr>
            <w:tcW w:w="437" w:type="pct"/>
            <w:vAlign w:val="center"/>
          </w:tcPr>
          <w:p w14:paraId="21C36A0A" w14:textId="77777777" w:rsidR="003919FC" w:rsidRPr="00E17C2C" w:rsidRDefault="003919FC" w:rsidP="00174B48">
            <w:pPr>
              <w:spacing w:before="0" w:after="0"/>
              <w:jc w:val="right"/>
              <w:rPr>
                <w:sz w:val="18"/>
                <w:szCs w:val="18"/>
              </w:rPr>
            </w:pPr>
            <w:r w:rsidRPr="00E17C2C">
              <w:rPr>
                <w:sz w:val="18"/>
                <w:szCs w:val="18"/>
              </w:rPr>
              <w:t>Process data</w:t>
            </w:r>
          </w:p>
        </w:tc>
        <w:tc>
          <w:tcPr>
            <w:tcW w:w="400" w:type="pct"/>
            <w:vAlign w:val="center"/>
          </w:tcPr>
          <w:p w14:paraId="60C7CC42" w14:textId="77777777" w:rsidR="003919FC" w:rsidRPr="00E17C2C" w:rsidRDefault="003919FC" w:rsidP="00174B48">
            <w:pPr>
              <w:spacing w:before="0" w:after="0"/>
              <w:jc w:val="right"/>
              <w:rPr>
                <w:sz w:val="18"/>
                <w:szCs w:val="18"/>
              </w:rPr>
            </w:pPr>
            <w:r w:rsidRPr="00E17C2C">
              <w:rPr>
                <w:sz w:val="18"/>
                <w:szCs w:val="18"/>
              </w:rPr>
              <w:t>Operational/</w:t>
            </w:r>
            <w:r w:rsidRPr="00E17C2C">
              <w:rPr>
                <w:sz w:val="18"/>
                <w:szCs w:val="18"/>
              </w:rPr>
              <w:br/>
              <w:t>Tactical</w:t>
            </w:r>
          </w:p>
        </w:tc>
        <w:tc>
          <w:tcPr>
            <w:tcW w:w="432" w:type="pct"/>
            <w:vAlign w:val="center"/>
          </w:tcPr>
          <w:p w14:paraId="6BF3FCE1" w14:textId="77777777" w:rsidR="003919FC" w:rsidRPr="00E17C2C" w:rsidRDefault="003919FC" w:rsidP="00174B48">
            <w:pPr>
              <w:spacing w:before="0" w:after="0"/>
              <w:jc w:val="right"/>
              <w:rPr>
                <w:sz w:val="18"/>
                <w:szCs w:val="18"/>
              </w:rPr>
            </w:pPr>
            <w:r w:rsidRPr="00E17C2C">
              <w:rPr>
                <w:sz w:val="18"/>
                <w:szCs w:val="18"/>
              </w:rPr>
              <w:t>PdM-CBM</w:t>
            </w:r>
          </w:p>
        </w:tc>
      </w:tr>
      <w:tr w:rsidR="003919FC" w:rsidRPr="00E17C2C" w14:paraId="3B5E02FE" w14:textId="77777777" w:rsidTr="006E5996">
        <w:trPr>
          <w:trHeight w:val="373"/>
        </w:trPr>
        <w:tc>
          <w:tcPr>
            <w:tcW w:w="593" w:type="pct"/>
            <w:vAlign w:val="center"/>
          </w:tcPr>
          <w:p w14:paraId="50C273F3" w14:textId="2A1D4DF1" w:rsidR="003919FC" w:rsidRPr="00E17C2C" w:rsidRDefault="003919FC" w:rsidP="008966C6">
            <w:pPr>
              <w:spacing w:before="0" w:after="0"/>
              <w:jc w:val="left"/>
              <w:rPr>
                <w:sz w:val="18"/>
                <w:szCs w:val="18"/>
              </w:rPr>
            </w:pPr>
            <w:r w:rsidRPr="00E17C2C">
              <w:rPr>
                <w:sz w:val="18"/>
                <w:szCs w:val="18"/>
              </w:rPr>
              <w:t xml:space="preserve">CSC-CCE </w:t>
            </w:r>
            <w:r w:rsidRPr="00E17C2C">
              <w:rPr>
                <w:sz w:val="18"/>
                <w:szCs w:val="18"/>
              </w:rPr>
              <w:fldChar w:fldCharType="begin" w:fldLock="1"/>
            </w:r>
            <w:r w:rsidR="00645D0B">
              <w:rPr>
                <w:sz w:val="18"/>
                <w:szCs w:val="18"/>
              </w:rPr>
              <w:instrText>ADDIN CSL_CITATION {"citationItems":[{"id":"ITEM-1","itemData":{"DOI":"10.3390/pr6030025","ISSN":"2227-9717","abstract":"Energy saving is an important issue for any industrial sector; in particular, for the process industry, it can help to minimize both energy costs and environmental impact. Maintenance optimization and operational procedures can offer margins to increase energy efficiency in process plants, even if they are seldom explicitly taken into account in the predictive models guiding the energy saving policies. To ensure that the plant achieves the desired performance, maintenance operations and maintenance results should be monitored, and the connection between the inputs and the outcomes of the maintenance process, in terms of total contribution to manufacturing performance, should be explicit. In this study, a model for the energy efficiency analysis was developed, based on cost and benefits balance. It is aimed at supporting the decision making in terms of technical and operational solutions for energy efficiency, through the optimization of maintenance interventions and operational procedures. A case study is here described: the effects on energy efficiency of technical and operational optimization measures for bituminous materials production process equipment. The idea of the Conservation Supply Curve (CSC) was used to capture both the cost effectiveness of the measures and the energy efficiency effectiveness. The optimization was thus based on the energy consumption data registered on-site: data collection and modelling of the relevant data were used as a base to implement a prognostic and health management (PHM) policy in the company. Based on the results from the analysis, efficiency measures for the industrial case study were proposed, also in relation to maintenance optimization and operating procedures. In the end, the impacts of the implementation of energy saving measures on the performance of the system, in terms of technical and economic feasibility, were demonstrated. The results showed that maintenance optimization could help in reaching an energy costs recovery equal to the 10% of the total costs for an electric motor system.","author":[{"dropping-particle":"","family":"Demichela","given":"Micaela","non-dropping-particle":"","parse-names":false,"suffix":""},{"dropping-particle":"","family":"Baldissone","given":"Gabriele","non-dropping-particle":"","parse-names":false,"suffix":""},{"dropping-particle":"","family":"Darabnia","given":"Behnoush","non-dropping-particle":"","parse-names":false,"suffix":""}],"container-title":"Processes","id":"ITEM-1","issue":"3","issued":{"date-parts":[["2018","3","11"]]},"note":"- CCE model as the cost of conserved energy as an indicator of EE measure in euros per kWh.\n- tenfold energy cost recovery.\n- 10% increase with predictive maintenance program.","page":"25","title":"Using Field Data for Energy Efficiency Based on Maintenance and Operational Optimisation. A Step towards PHM in Process Plants","type":"article-journal","volume":"6"},"uris":["http://www.mendeley.com/documents/?uuid=58c76eea-fd71-4279-9bcf-785cfd95d2a9"]}],"mendeley":{"formattedCitation":"[116]","plainTextFormattedCitation":"[116]","previouslyFormattedCitation":"[116]"},"properties":{"noteIndex":0},"schema":"https://github.com/citation-style-language/schema/raw/master/csl-citation.json"}</w:instrText>
            </w:r>
            <w:r w:rsidRPr="00E17C2C">
              <w:rPr>
                <w:sz w:val="18"/>
                <w:szCs w:val="18"/>
              </w:rPr>
              <w:fldChar w:fldCharType="separate"/>
            </w:r>
            <w:r w:rsidR="00416869" w:rsidRPr="00416869">
              <w:rPr>
                <w:noProof/>
                <w:sz w:val="18"/>
                <w:szCs w:val="18"/>
              </w:rPr>
              <w:t>[116]</w:t>
            </w:r>
            <w:r w:rsidRPr="00E17C2C">
              <w:rPr>
                <w:sz w:val="18"/>
                <w:szCs w:val="18"/>
              </w:rPr>
              <w:fldChar w:fldCharType="end"/>
            </w:r>
          </w:p>
        </w:tc>
        <w:tc>
          <w:tcPr>
            <w:tcW w:w="465" w:type="pct"/>
            <w:vAlign w:val="center"/>
          </w:tcPr>
          <w:p w14:paraId="4EE72351" w14:textId="77777777" w:rsidR="003919FC" w:rsidRPr="00E17C2C" w:rsidRDefault="003919FC" w:rsidP="00174B48">
            <w:pPr>
              <w:spacing w:before="0" w:after="0"/>
              <w:rPr>
                <w:sz w:val="18"/>
                <w:szCs w:val="18"/>
              </w:rPr>
            </w:pPr>
            <w:r w:rsidRPr="00E17C2C">
              <w:rPr>
                <w:sz w:val="18"/>
                <w:szCs w:val="18"/>
              </w:rPr>
              <w:t>Optimisation</w:t>
            </w:r>
          </w:p>
        </w:tc>
        <w:tc>
          <w:tcPr>
            <w:tcW w:w="536" w:type="pct"/>
            <w:vAlign w:val="center"/>
          </w:tcPr>
          <w:p w14:paraId="1442C5CD" w14:textId="77777777" w:rsidR="003919FC" w:rsidRPr="00E17C2C" w:rsidRDefault="003919FC" w:rsidP="00174B48">
            <w:pPr>
              <w:spacing w:before="0" w:after="0"/>
              <w:rPr>
                <w:sz w:val="18"/>
                <w:szCs w:val="18"/>
              </w:rPr>
            </w:pPr>
            <w:r w:rsidRPr="00E17C2C">
              <w:rPr>
                <w:sz w:val="18"/>
                <w:szCs w:val="18"/>
              </w:rPr>
              <w:t>Process plant</w:t>
            </w:r>
          </w:p>
        </w:tc>
        <w:tc>
          <w:tcPr>
            <w:tcW w:w="856" w:type="pct"/>
            <w:vAlign w:val="center"/>
          </w:tcPr>
          <w:p w14:paraId="60AB081C" w14:textId="77777777" w:rsidR="003919FC" w:rsidRPr="00E17C2C" w:rsidRDefault="003919FC" w:rsidP="00174B48">
            <w:pPr>
              <w:spacing w:before="0" w:after="0"/>
              <w:rPr>
                <w:sz w:val="18"/>
                <w:szCs w:val="18"/>
              </w:rPr>
            </w:pPr>
            <w:r w:rsidRPr="00E17C2C">
              <w:rPr>
                <w:sz w:val="18"/>
                <w:szCs w:val="18"/>
              </w:rPr>
              <w:t>Energy efficiency modelling</w:t>
            </w:r>
            <w:r w:rsidRPr="00E17C2C">
              <w:rPr>
                <w:sz w:val="18"/>
                <w:szCs w:val="18"/>
              </w:rPr>
              <w:br/>
              <w:t>Cost Benefit Analysis.</w:t>
            </w:r>
          </w:p>
        </w:tc>
        <w:tc>
          <w:tcPr>
            <w:tcW w:w="636" w:type="pct"/>
            <w:vAlign w:val="center"/>
          </w:tcPr>
          <w:p w14:paraId="1C6314AF" w14:textId="77777777" w:rsidR="003919FC" w:rsidRPr="00E17C2C" w:rsidRDefault="003919FC" w:rsidP="00174B48">
            <w:pPr>
              <w:spacing w:before="0" w:after="0"/>
              <w:rPr>
                <w:sz w:val="18"/>
                <w:szCs w:val="18"/>
              </w:rPr>
            </w:pPr>
            <w:r w:rsidRPr="00E17C2C">
              <w:rPr>
                <w:sz w:val="18"/>
                <w:szCs w:val="18"/>
              </w:rPr>
              <w:t>Energy consumption</w:t>
            </w:r>
            <w:r w:rsidRPr="00E17C2C">
              <w:rPr>
                <w:sz w:val="18"/>
                <w:szCs w:val="18"/>
              </w:rPr>
              <w:br/>
              <w:t>Maintenance activity</w:t>
            </w:r>
            <w:r w:rsidRPr="00E17C2C">
              <w:rPr>
                <w:sz w:val="18"/>
                <w:szCs w:val="18"/>
              </w:rPr>
              <w:br/>
              <w:t>Failure occu</w:t>
            </w:r>
            <w:r>
              <w:rPr>
                <w:sz w:val="18"/>
                <w:szCs w:val="18"/>
              </w:rPr>
              <w:t>r</w:t>
            </w:r>
            <w:r w:rsidRPr="00E17C2C">
              <w:rPr>
                <w:sz w:val="18"/>
                <w:szCs w:val="18"/>
              </w:rPr>
              <w:t>rence</w:t>
            </w:r>
            <w:r>
              <w:rPr>
                <w:sz w:val="18"/>
                <w:szCs w:val="18"/>
              </w:rPr>
              <w:t>.</w:t>
            </w:r>
          </w:p>
        </w:tc>
        <w:tc>
          <w:tcPr>
            <w:tcW w:w="646" w:type="pct"/>
            <w:vAlign w:val="center"/>
          </w:tcPr>
          <w:p w14:paraId="201D3061" w14:textId="3916EC3E" w:rsidR="003919FC" w:rsidRPr="00E17C2C" w:rsidRDefault="00791AB9" w:rsidP="00174B48">
            <w:pPr>
              <w:spacing w:before="0" w:after="0"/>
              <w:jc w:val="right"/>
              <w:rPr>
                <w:sz w:val="18"/>
                <w:szCs w:val="18"/>
              </w:rPr>
            </w:pPr>
            <w:r>
              <w:rPr>
                <w:sz w:val="18"/>
                <w:szCs w:val="18"/>
              </w:rPr>
              <w:t>-</w:t>
            </w:r>
          </w:p>
        </w:tc>
        <w:tc>
          <w:tcPr>
            <w:tcW w:w="437" w:type="pct"/>
            <w:vAlign w:val="center"/>
          </w:tcPr>
          <w:p w14:paraId="1AD5B290" w14:textId="77777777" w:rsidR="003919FC" w:rsidRPr="00E17C2C" w:rsidRDefault="003919FC" w:rsidP="00174B48">
            <w:pPr>
              <w:spacing w:before="0" w:after="0"/>
              <w:jc w:val="right"/>
              <w:rPr>
                <w:sz w:val="18"/>
                <w:szCs w:val="18"/>
              </w:rPr>
            </w:pPr>
            <w:r w:rsidRPr="00E17C2C">
              <w:rPr>
                <w:sz w:val="18"/>
                <w:szCs w:val="18"/>
              </w:rPr>
              <w:t>Process data</w:t>
            </w:r>
          </w:p>
        </w:tc>
        <w:tc>
          <w:tcPr>
            <w:tcW w:w="400" w:type="pct"/>
            <w:vAlign w:val="center"/>
          </w:tcPr>
          <w:p w14:paraId="132FF011" w14:textId="77777777" w:rsidR="003919FC" w:rsidRPr="00E17C2C" w:rsidRDefault="003919FC" w:rsidP="00174B48">
            <w:pPr>
              <w:spacing w:before="0" w:after="0"/>
              <w:jc w:val="right"/>
              <w:rPr>
                <w:sz w:val="18"/>
                <w:szCs w:val="18"/>
              </w:rPr>
            </w:pPr>
            <w:r w:rsidRPr="00E17C2C">
              <w:rPr>
                <w:sz w:val="18"/>
                <w:szCs w:val="18"/>
              </w:rPr>
              <w:t>Tactical/</w:t>
            </w:r>
            <w:r w:rsidRPr="00E17C2C">
              <w:rPr>
                <w:sz w:val="18"/>
                <w:szCs w:val="18"/>
              </w:rPr>
              <w:br/>
              <w:t>Strategical</w:t>
            </w:r>
          </w:p>
        </w:tc>
        <w:tc>
          <w:tcPr>
            <w:tcW w:w="432" w:type="pct"/>
            <w:vAlign w:val="center"/>
          </w:tcPr>
          <w:p w14:paraId="31198708" w14:textId="77777777" w:rsidR="003919FC" w:rsidRPr="00E17C2C" w:rsidRDefault="003919FC" w:rsidP="00174B48">
            <w:pPr>
              <w:spacing w:before="0" w:after="0"/>
              <w:jc w:val="right"/>
              <w:rPr>
                <w:sz w:val="18"/>
                <w:szCs w:val="18"/>
              </w:rPr>
            </w:pPr>
            <w:r w:rsidRPr="00E17C2C">
              <w:rPr>
                <w:sz w:val="18"/>
                <w:szCs w:val="18"/>
              </w:rPr>
              <w:t>PdM-CBM</w:t>
            </w:r>
          </w:p>
        </w:tc>
      </w:tr>
      <w:tr w:rsidR="003919FC" w:rsidRPr="00E17C2C" w14:paraId="4F6A8C4A" w14:textId="77777777" w:rsidTr="006E5996">
        <w:trPr>
          <w:trHeight w:val="511"/>
        </w:trPr>
        <w:tc>
          <w:tcPr>
            <w:tcW w:w="593" w:type="pct"/>
            <w:vAlign w:val="center"/>
          </w:tcPr>
          <w:p w14:paraId="20A58FE2" w14:textId="477A6F14" w:rsidR="003919FC" w:rsidRPr="00E17C2C" w:rsidRDefault="003919FC" w:rsidP="008966C6">
            <w:pPr>
              <w:spacing w:before="0" w:after="0"/>
              <w:jc w:val="left"/>
              <w:rPr>
                <w:sz w:val="18"/>
                <w:szCs w:val="18"/>
              </w:rPr>
            </w:pPr>
            <w:r w:rsidRPr="00E17C2C">
              <w:rPr>
                <w:sz w:val="18"/>
                <w:szCs w:val="18"/>
              </w:rPr>
              <w:t xml:space="preserve">SCBM </w:t>
            </w:r>
            <w:r w:rsidRPr="00E17C2C">
              <w:rPr>
                <w:sz w:val="18"/>
                <w:szCs w:val="18"/>
              </w:rPr>
              <w:fldChar w:fldCharType="begin" w:fldLock="1"/>
            </w:r>
            <w:r w:rsidR="00645D0B">
              <w:rPr>
                <w:sz w:val="18"/>
                <w:szCs w:val="18"/>
              </w:rPr>
              <w:instrText>ADDIN CSL_CITATION {"citationItems":[{"id":"ITEM-1","itemData":{"DOI":"10.1016/j.eiar.2019.02.007","ISSN":"01959255","abstract":"For decades, maintenance of facilities and equipment, as well as related activities (from fault detection to prognostics and health management), has a proven impact on efficiency of production systems and is thus still the subject of numerous developments (from corrective to proactive maintenance). These developments are supported by the increase in digital pervasiveness accompanying the Industry 4.0. concept, based in particular on the use of Cyber-Physical Systems. In addition, we are witnessing the growing interest of the political and academic world and public opinion with regard to the sustainable impact of human activity. For company decision-makers, triple bottom line accounting frameworks have been introduced at higher decision levels (strategic) based on economic, social, and environmental performance indicators. This triple preoccupation has not yet been integrated into studies on middle (tactical) and lower (operational) decision levels, and paradoxically, not into production facility health management either. In this paper, we propose the deployment of a framework helping decisions makers to be environmentally aware in the maintenance of cyber physical systems. This framework consists of three key elements: a new maintenance policy called Sustainable Condition-Based Maintenance (SCBM), which requires the assessment of the Remaining Sustainable Life (RSL) as a key indicator; an adaptation and extension of a generic prognostic business process initially proposed for traditional Conditions Based Maintenance (CBM); and an organization adapted to the prognosis of the environmental performance of systems, based on holonic structures. We present the implementation of such a framework on a real Cyber Physical Systems under development.","author":[{"dropping-particle":"","family":"Sénéchal","given":"Olivier","non-dropping-particle":"","parse-names":false,"suffix":""},{"dropping-particle":"","family":"Trentesaux","given":"Damien","non-dropping-particle":"","parse-names":false,"suffix":""}],"container-title":"Environmental Impact Assessment Review","id":"ITEM-1","issue":"March","issued":{"date-parts":[["2019"]]},"note":"- Also argues that pro-active is CBM.\n- The primary aim is to bridge the gap of including sustainable elements in MDM. Hence, the aim is to propose a framework helping decision-makers to be aware of environmental impacts in maintenance activities.\n- Prognostic of sustainable perofrmance ...\n- RSL + CL + Future environmental perofmrance (FEP)\n- FEP are emissions and resources consumption considered in LCI but only induced by the exploitation phase starting from the environemntal diagnosis time.\n-","page":"11-22","publisher":"Elsevier","title":"A framework to help decision makers to be environmentally aware during the maintenance of cyber physical systems","type":"article-journal","volume":"77"},"uris":["http://www.mendeley.com/documents/?uuid=8438580c-b281-42c8-8c98-51c4b56d70fc"]}],"mendeley":{"formattedCitation":"[110]","plainTextFormattedCitation":"[110]","previouslyFormattedCitation":"[110]"},"properties":{"noteIndex":0},"schema":"https://github.com/citation-style-language/schema/raw/master/csl-citation.json"}</w:instrText>
            </w:r>
            <w:r w:rsidRPr="00E17C2C">
              <w:rPr>
                <w:sz w:val="18"/>
                <w:szCs w:val="18"/>
              </w:rPr>
              <w:fldChar w:fldCharType="separate"/>
            </w:r>
            <w:r w:rsidR="00416869" w:rsidRPr="00416869">
              <w:rPr>
                <w:noProof/>
                <w:sz w:val="18"/>
                <w:szCs w:val="18"/>
              </w:rPr>
              <w:t>[110]</w:t>
            </w:r>
            <w:r w:rsidRPr="00E17C2C">
              <w:rPr>
                <w:sz w:val="18"/>
                <w:szCs w:val="18"/>
              </w:rPr>
              <w:fldChar w:fldCharType="end"/>
            </w:r>
          </w:p>
        </w:tc>
        <w:tc>
          <w:tcPr>
            <w:tcW w:w="465" w:type="pct"/>
            <w:vAlign w:val="center"/>
          </w:tcPr>
          <w:p w14:paraId="0A8DA121" w14:textId="77777777" w:rsidR="003919FC" w:rsidRPr="00E17C2C" w:rsidRDefault="003919FC" w:rsidP="00174B48">
            <w:pPr>
              <w:spacing w:before="0" w:after="0"/>
              <w:rPr>
                <w:sz w:val="18"/>
                <w:szCs w:val="18"/>
              </w:rPr>
            </w:pPr>
            <w:r w:rsidRPr="00E17C2C">
              <w:rPr>
                <w:sz w:val="18"/>
                <w:szCs w:val="18"/>
              </w:rPr>
              <w:t>Prognosis</w:t>
            </w:r>
          </w:p>
        </w:tc>
        <w:tc>
          <w:tcPr>
            <w:tcW w:w="536" w:type="pct"/>
            <w:vAlign w:val="center"/>
          </w:tcPr>
          <w:p w14:paraId="766B2229" w14:textId="77777777" w:rsidR="003919FC" w:rsidRPr="00E17C2C" w:rsidRDefault="003919FC" w:rsidP="00174B48">
            <w:pPr>
              <w:spacing w:before="0" w:after="0"/>
              <w:rPr>
                <w:sz w:val="18"/>
                <w:szCs w:val="18"/>
              </w:rPr>
            </w:pPr>
            <w:r>
              <w:rPr>
                <w:sz w:val="18"/>
                <w:szCs w:val="18"/>
              </w:rPr>
              <w:t>TELMA platform</w:t>
            </w:r>
          </w:p>
        </w:tc>
        <w:tc>
          <w:tcPr>
            <w:tcW w:w="856" w:type="pct"/>
            <w:vAlign w:val="center"/>
          </w:tcPr>
          <w:p w14:paraId="070A816C" w14:textId="77777777" w:rsidR="003919FC" w:rsidRPr="00E17C2C" w:rsidRDefault="003919FC" w:rsidP="00174B48">
            <w:pPr>
              <w:spacing w:before="0" w:after="0"/>
              <w:rPr>
                <w:sz w:val="18"/>
                <w:szCs w:val="18"/>
              </w:rPr>
            </w:pPr>
            <w:r w:rsidRPr="00E17C2C">
              <w:rPr>
                <w:sz w:val="18"/>
                <w:szCs w:val="18"/>
              </w:rPr>
              <w:t>MDM framework</w:t>
            </w:r>
          </w:p>
        </w:tc>
        <w:tc>
          <w:tcPr>
            <w:tcW w:w="636" w:type="pct"/>
            <w:vAlign w:val="center"/>
          </w:tcPr>
          <w:p w14:paraId="3913CFE5" w14:textId="77777777" w:rsidR="003919FC" w:rsidRPr="00E17C2C" w:rsidRDefault="003919FC" w:rsidP="00174B48">
            <w:pPr>
              <w:spacing w:before="0" w:after="0"/>
              <w:rPr>
                <w:sz w:val="18"/>
                <w:szCs w:val="18"/>
              </w:rPr>
            </w:pPr>
            <w:r w:rsidRPr="00E17C2C">
              <w:rPr>
                <w:sz w:val="18"/>
                <w:szCs w:val="18"/>
              </w:rPr>
              <w:t>Remaining Sustainable Life</w:t>
            </w:r>
          </w:p>
        </w:tc>
        <w:tc>
          <w:tcPr>
            <w:tcW w:w="646" w:type="pct"/>
            <w:vAlign w:val="center"/>
          </w:tcPr>
          <w:p w14:paraId="481B5EDB" w14:textId="77777777" w:rsidR="003919FC" w:rsidRPr="00E17C2C" w:rsidRDefault="003919FC" w:rsidP="00174B48">
            <w:pPr>
              <w:spacing w:before="0" w:after="0"/>
              <w:jc w:val="right"/>
              <w:rPr>
                <w:sz w:val="18"/>
                <w:szCs w:val="18"/>
              </w:rPr>
            </w:pPr>
            <w:r w:rsidRPr="00E17C2C">
              <w:rPr>
                <w:sz w:val="18"/>
                <w:szCs w:val="18"/>
              </w:rPr>
              <w:t>Critical Sustainab</w:t>
            </w:r>
            <w:r>
              <w:rPr>
                <w:sz w:val="18"/>
                <w:szCs w:val="18"/>
              </w:rPr>
              <w:t>ility</w:t>
            </w:r>
            <w:r w:rsidRPr="00E17C2C">
              <w:rPr>
                <w:sz w:val="18"/>
                <w:szCs w:val="18"/>
              </w:rPr>
              <w:t xml:space="preserve"> </w:t>
            </w:r>
            <w:r>
              <w:rPr>
                <w:sz w:val="18"/>
                <w:szCs w:val="18"/>
              </w:rPr>
              <w:t>Level</w:t>
            </w:r>
          </w:p>
        </w:tc>
        <w:tc>
          <w:tcPr>
            <w:tcW w:w="437" w:type="pct"/>
            <w:vAlign w:val="center"/>
          </w:tcPr>
          <w:p w14:paraId="5D12C927" w14:textId="77777777" w:rsidR="003919FC" w:rsidRPr="00E17C2C" w:rsidRDefault="003919FC" w:rsidP="00174B48">
            <w:pPr>
              <w:spacing w:before="0" w:after="0"/>
              <w:jc w:val="right"/>
              <w:rPr>
                <w:sz w:val="18"/>
                <w:szCs w:val="18"/>
              </w:rPr>
            </w:pPr>
            <w:r w:rsidRPr="00E17C2C">
              <w:rPr>
                <w:sz w:val="18"/>
                <w:szCs w:val="18"/>
              </w:rPr>
              <w:t>Process data</w:t>
            </w:r>
          </w:p>
        </w:tc>
        <w:tc>
          <w:tcPr>
            <w:tcW w:w="400" w:type="pct"/>
            <w:vAlign w:val="center"/>
          </w:tcPr>
          <w:p w14:paraId="34BBD5F4" w14:textId="77777777" w:rsidR="003919FC" w:rsidRPr="00E17C2C" w:rsidRDefault="003919FC" w:rsidP="00174B48">
            <w:pPr>
              <w:spacing w:before="0" w:after="0"/>
              <w:jc w:val="right"/>
              <w:rPr>
                <w:sz w:val="18"/>
                <w:szCs w:val="18"/>
              </w:rPr>
            </w:pPr>
            <w:r>
              <w:rPr>
                <w:sz w:val="18"/>
                <w:szCs w:val="18"/>
              </w:rPr>
              <w:t>Strategical</w:t>
            </w:r>
          </w:p>
        </w:tc>
        <w:tc>
          <w:tcPr>
            <w:tcW w:w="432" w:type="pct"/>
            <w:vAlign w:val="center"/>
          </w:tcPr>
          <w:p w14:paraId="250BC3FD" w14:textId="77777777" w:rsidR="003919FC" w:rsidRPr="00E17C2C" w:rsidRDefault="003919FC" w:rsidP="00174B48">
            <w:pPr>
              <w:spacing w:before="0" w:after="0"/>
              <w:jc w:val="right"/>
              <w:rPr>
                <w:sz w:val="18"/>
                <w:szCs w:val="18"/>
              </w:rPr>
            </w:pPr>
            <w:r w:rsidRPr="00E17C2C">
              <w:rPr>
                <w:sz w:val="18"/>
                <w:szCs w:val="18"/>
              </w:rPr>
              <w:t>CBM</w:t>
            </w:r>
          </w:p>
        </w:tc>
      </w:tr>
      <w:tr w:rsidR="003919FC" w:rsidRPr="00E17C2C" w14:paraId="63F404F9" w14:textId="77777777" w:rsidTr="006E5996">
        <w:trPr>
          <w:trHeight w:val="33"/>
        </w:trPr>
        <w:tc>
          <w:tcPr>
            <w:tcW w:w="593" w:type="pct"/>
            <w:vAlign w:val="center"/>
          </w:tcPr>
          <w:p w14:paraId="4594C262" w14:textId="5290968E" w:rsidR="003919FC" w:rsidRPr="00E17C2C" w:rsidRDefault="003919FC" w:rsidP="008966C6">
            <w:pPr>
              <w:spacing w:before="0" w:after="0"/>
              <w:jc w:val="left"/>
              <w:rPr>
                <w:sz w:val="18"/>
                <w:szCs w:val="18"/>
              </w:rPr>
            </w:pPr>
            <w:r>
              <w:rPr>
                <w:sz w:val="18"/>
                <w:szCs w:val="18"/>
              </w:rPr>
              <w:t xml:space="preserve">CBOM </w:t>
            </w:r>
            <w:r>
              <w:rPr>
                <w:sz w:val="18"/>
                <w:szCs w:val="18"/>
              </w:rPr>
              <w:fldChar w:fldCharType="begin" w:fldLock="1"/>
            </w:r>
            <w:r w:rsidR="00645D0B">
              <w:rPr>
                <w:sz w:val="18"/>
                <w:szCs w:val="18"/>
              </w:rPr>
              <w:instrText>ADDIN CSL_CITATION {"citationItems":[{"id":"ITEM-1","itemData":{"DOI":"10.3926/jiem.2649","ISSN":"2013-0953","abstract":"Purpose: In order to improve the energy utilization and achieve sustainable development, this paper integrates energy efficiency into condition-based maintenance(CBM) decision-making for two-component parallel systems. The objective is to obtain the optimal maintenance policy by minimizing total cost.Design/methodology/approach: Based on energy efficiency, the paper considers the economic dependence between the two components to take opportunistic maintenance. Specifically, the objective function consists of traditional maintenance cost and energy cost incurred by energy consumption of components. In order to assess the performance of the proposed new maintenance policy, the paper uses Monte-Carlo method to evaluate the total cost and find the optimal maintenance policy.Findings: Simulation results indicate that the new maintenance policy is superior to the classical condition-based opportunistic maintenance policy in terms of total economic costs.Originality/value: For two-component parallel systems, previous researches usually simply establish a condition-based opportunistic maintenance model based on real deterioration data, but ignore energy consumption, energy efficiency (EE) and their contributions of sustainable development. This paper creatively takes energy efficiency into condition-based maintenance(CBM) decision-making process, and proposes a new condition-based opportunistic maintenance policy by using energy efficiency indicator(EEI).","author":[{"dropping-particle":"","family":"Jiang","given":"Aiping","non-dropping-particle":"","parse-names":false,"suffix":""},{"dropping-particle":"","family":"Wang","given":"Yuanyuan","non-dropping-particle":"","parse-names":false,"suffix":""},{"dropping-particle":"","family":"Cheng","given":"Yide","non-dropping-particle":"","parse-names":false,"suffix":""}],"container-title":"Journal of Industrial Engineering and Management","id":"ITEM-1","issue":"4","issued":{"date-parts":[["2018","10","24"]]},"note":"Thus, the aim of the article is to propose a new maintenance model with ecological consciousness for two-component parallel systems, which can improve the energy utilization and achieve sustainable development.\n- In addition, they can integrate energy efficiency into maintenance decision-making if possible.\nIn addition, indicators that energy efficiency and any other ecological impacts will be taken into maintenance decision-making. This would be a rather interesting research field in the future.","page":"749","title":"A condition-based opportunistic maintenance policy integrated with energy efficiency for two-component parallel systems","type":"article-journal","volume":"11"},"uris":["http://www.mendeley.com/documents/?uuid=4b7e4c2b-d645-467e-8303-913756a09374"]}],"mendeley":{"formattedCitation":"[113]","plainTextFormattedCitation":"[113]","previouslyFormattedCitation":"[113]"},"properties":{"noteIndex":0},"schema":"https://github.com/citation-style-language/schema/raw/master/csl-citation.json"}</w:instrText>
            </w:r>
            <w:r>
              <w:rPr>
                <w:sz w:val="18"/>
                <w:szCs w:val="18"/>
              </w:rPr>
              <w:fldChar w:fldCharType="separate"/>
            </w:r>
            <w:r w:rsidR="00416869" w:rsidRPr="00416869">
              <w:rPr>
                <w:noProof/>
                <w:sz w:val="18"/>
                <w:szCs w:val="18"/>
              </w:rPr>
              <w:t>[113]</w:t>
            </w:r>
            <w:r>
              <w:rPr>
                <w:sz w:val="18"/>
                <w:szCs w:val="18"/>
              </w:rPr>
              <w:fldChar w:fldCharType="end"/>
            </w:r>
          </w:p>
        </w:tc>
        <w:tc>
          <w:tcPr>
            <w:tcW w:w="465" w:type="pct"/>
            <w:vAlign w:val="center"/>
          </w:tcPr>
          <w:p w14:paraId="76F1F8B9" w14:textId="77777777" w:rsidR="003919FC" w:rsidRPr="00E17C2C" w:rsidRDefault="003919FC" w:rsidP="00174B48">
            <w:pPr>
              <w:spacing w:before="0" w:after="0"/>
              <w:rPr>
                <w:sz w:val="18"/>
                <w:szCs w:val="18"/>
              </w:rPr>
            </w:pPr>
            <w:r>
              <w:rPr>
                <w:sz w:val="18"/>
                <w:szCs w:val="18"/>
              </w:rPr>
              <w:t>Prognosis</w:t>
            </w:r>
          </w:p>
        </w:tc>
        <w:tc>
          <w:tcPr>
            <w:tcW w:w="536" w:type="pct"/>
            <w:vAlign w:val="center"/>
          </w:tcPr>
          <w:p w14:paraId="3BDFCA38" w14:textId="77777777" w:rsidR="003919FC" w:rsidRPr="00E17C2C" w:rsidRDefault="003919FC" w:rsidP="00174B48">
            <w:pPr>
              <w:spacing w:before="0" w:after="0"/>
              <w:rPr>
                <w:sz w:val="18"/>
                <w:szCs w:val="18"/>
              </w:rPr>
            </w:pPr>
            <w:r>
              <w:rPr>
                <w:sz w:val="18"/>
                <w:szCs w:val="18"/>
              </w:rPr>
              <w:t>Manufacturing</w:t>
            </w:r>
          </w:p>
        </w:tc>
        <w:tc>
          <w:tcPr>
            <w:tcW w:w="856" w:type="pct"/>
            <w:vAlign w:val="center"/>
          </w:tcPr>
          <w:p w14:paraId="135D874F" w14:textId="77777777" w:rsidR="003919FC" w:rsidRPr="00E17C2C" w:rsidRDefault="003919FC" w:rsidP="00174B48">
            <w:pPr>
              <w:spacing w:before="0" w:after="0"/>
              <w:rPr>
                <w:sz w:val="18"/>
                <w:szCs w:val="18"/>
              </w:rPr>
            </w:pPr>
            <w:r>
              <w:rPr>
                <w:sz w:val="18"/>
                <w:szCs w:val="18"/>
              </w:rPr>
              <w:t>Monte Carlo simulation. Dynamic programming.</w:t>
            </w:r>
          </w:p>
        </w:tc>
        <w:tc>
          <w:tcPr>
            <w:tcW w:w="636" w:type="pct"/>
            <w:vAlign w:val="center"/>
          </w:tcPr>
          <w:p w14:paraId="061CA7B0" w14:textId="77777777" w:rsidR="003919FC" w:rsidRDefault="003919FC" w:rsidP="00174B48">
            <w:pPr>
              <w:spacing w:before="0" w:after="0"/>
              <w:rPr>
                <w:sz w:val="18"/>
                <w:szCs w:val="18"/>
              </w:rPr>
            </w:pPr>
            <w:r>
              <w:rPr>
                <w:sz w:val="18"/>
                <w:szCs w:val="18"/>
              </w:rPr>
              <w:t>Inspection cost</w:t>
            </w:r>
          </w:p>
          <w:p w14:paraId="1459B114" w14:textId="77777777" w:rsidR="003919FC" w:rsidRDefault="003919FC" w:rsidP="00174B48">
            <w:pPr>
              <w:spacing w:before="0" w:after="0"/>
              <w:rPr>
                <w:sz w:val="18"/>
                <w:szCs w:val="18"/>
              </w:rPr>
            </w:pPr>
            <w:r>
              <w:rPr>
                <w:sz w:val="18"/>
                <w:szCs w:val="18"/>
              </w:rPr>
              <w:t>Maintenance cost</w:t>
            </w:r>
          </w:p>
          <w:p w14:paraId="4FEB1133" w14:textId="77777777" w:rsidR="003919FC" w:rsidRPr="00C408FC" w:rsidRDefault="003919FC" w:rsidP="00174B48">
            <w:pPr>
              <w:spacing w:before="0" w:after="0"/>
              <w:rPr>
                <w:sz w:val="18"/>
                <w:szCs w:val="18"/>
                <w:lang w:val="en-GB"/>
              </w:rPr>
            </w:pPr>
            <w:r>
              <w:rPr>
                <w:sz w:val="18"/>
                <w:szCs w:val="18"/>
              </w:rPr>
              <w:t>Energy cost</w:t>
            </w:r>
          </w:p>
        </w:tc>
        <w:tc>
          <w:tcPr>
            <w:tcW w:w="646" w:type="pct"/>
            <w:vAlign w:val="center"/>
          </w:tcPr>
          <w:p w14:paraId="07FFAF91" w14:textId="77777777" w:rsidR="003919FC" w:rsidRPr="00E17C2C" w:rsidRDefault="003919FC" w:rsidP="00174B48">
            <w:pPr>
              <w:spacing w:before="0" w:after="0"/>
              <w:jc w:val="right"/>
              <w:rPr>
                <w:sz w:val="18"/>
                <w:szCs w:val="18"/>
              </w:rPr>
            </w:pPr>
            <w:r>
              <w:rPr>
                <w:sz w:val="18"/>
                <w:szCs w:val="18"/>
              </w:rPr>
              <w:t>(</w:t>
            </w:r>
            <w:r w:rsidRPr="00C408FC">
              <w:rPr>
                <w:i/>
                <w:iCs/>
                <w:sz w:val="18"/>
                <w:szCs w:val="18"/>
              </w:rPr>
              <w:t>L</w:t>
            </w:r>
            <w:r w:rsidRPr="00C408FC">
              <w:rPr>
                <w:i/>
                <w:iCs/>
                <w:sz w:val="18"/>
                <w:szCs w:val="18"/>
                <w:vertAlign w:val="subscript"/>
              </w:rPr>
              <w:t>i</w:t>
            </w:r>
            <w:r w:rsidRPr="00C408FC">
              <w:rPr>
                <w:i/>
                <w:iCs/>
                <w:sz w:val="18"/>
                <w:szCs w:val="18"/>
              </w:rPr>
              <w:t>)</w:t>
            </w:r>
            <w:r w:rsidRPr="00C408FC">
              <w:rPr>
                <w:sz w:val="18"/>
                <w:szCs w:val="18"/>
              </w:rPr>
              <w:t>EEIL</w:t>
            </w:r>
            <w:r>
              <w:rPr>
                <w:sz w:val="18"/>
                <w:szCs w:val="18"/>
              </w:rPr>
              <w:t xml:space="preserve"> (corrective)</w:t>
            </w:r>
            <w:r>
              <w:rPr>
                <w:sz w:val="18"/>
                <w:szCs w:val="18"/>
              </w:rPr>
              <w:br/>
              <w:t>(</w:t>
            </w:r>
            <w:r>
              <w:rPr>
                <w:i/>
                <w:iCs/>
                <w:sz w:val="18"/>
                <w:szCs w:val="18"/>
              </w:rPr>
              <w:t>M</w:t>
            </w:r>
            <w:r>
              <w:rPr>
                <w:i/>
                <w:iCs/>
                <w:sz w:val="18"/>
                <w:szCs w:val="18"/>
                <w:vertAlign w:val="subscript"/>
              </w:rPr>
              <w:t>i</w:t>
            </w:r>
            <w:r>
              <w:rPr>
                <w:sz w:val="18"/>
                <w:szCs w:val="18"/>
              </w:rPr>
              <w:t>)EEIM (prevent.)</w:t>
            </w:r>
          </w:p>
        </w:tc>
        <w:tc>
          <w:tcPr>
            <w:tcW w:w="437" w:type="pct"/>
            <w:vAlign w:val="center"/>
          </w:tcPr>
          <w:p w14:paraId="76FEFF93" w14:textId="77777777" w:rsidR="003919FC" w:rsidRPr="00E17C2C" w:rsidRDefault="003919FC" w:rsidP="00174B48">
            <w:pPr>
              <w:spacing w:before="0" w:after="0"/>
              <w:jc w:val="right"/>
              <w:rPr>
                <w:sz w:val="18"/>
                <w:szCs w:val="18"/>
              </w:rPr>
            </w:pPr>
            <w:r>
              <w:rPr>
                <w:sz w:val="18"/>
                <w:szCs w:val="18"/>
              </w:rPr>
              <w:t>Process data</w:t>
            </w:r>
          </w:p>
        </w:tc>
        <w:tc>
          <w:tcPr>
            <w:tcW w:w="400" w:type="pct"/>
            <w:vAlign w:val="center"/>
          </w:tcPr>
          <w:p w14:paraId="2F9FA98F" w14:textId="77777777" w:rsidR="003919FC" w:rsidRPr="00E17C2C" w:rsidRDefault="003919FC" w:rsidP="00174B48">
            <w:pPr>
              <w:spacing w:before="0" w:after="0"/>
              <w:jc w:val="right"/>
              <w:rPr>
                <w:sz w:val="18"/>
                <w:szCs w:val="18"/>
              </w:rPr>
            </w:pPr>
            <w:r>
              <w:rPr>
                <w:sz w:val="18"/>
                <w:szCs w:val="18"/>
              </w:rPr>
              <w:t>Strategical</w:t>
            </w:r>
          </w:p>
        </w:tc>
        <w:tc>
          <w:tcPr>
            <w:tcW w:w="432" w:type="pct"/>
            <w:vAlign w:val="center"/>
          </w:tcPr>
          <w:p w14:paraId="1B388FDE" w14:textId="77777777" w:rsidR="003919FC" w:rsidRPr="00E17C2C" w:rsidRDefault="003919FC" w:rsidP="00174B48">
            <w:pPr>
              <w:spacing w:before="0" w:after="0"/>
              <w:jc w:val="right"/>
              <w:rPr>
                <w:sz w:val="18"/>
                <w:szCs w:val="18"/>
              </w:rPr>
            </w:pPr>
            <w:r>
              <w:rPr>
                <w:sz w:val="18"/>
                <w:szCs w:val="18"/>
              </w:rPr>
              <w:t>CBM</w:t>
            </w:r>
          </w:p>
        </w:tc>
      </w:tr>
    </w:tbl>
    <w:p w14:paraId="6A002B9D" w14:textId="28CB69AB" w:rsidR="003919FC" w:rsidRPr="00893ACF" w:rsidRDefault="003919FC" w:rsidP="003919FC">
      <w:pPr>
        <w:sectPr w:rsidR="003919FC" w:rsidRPr="00893ACF" w:rsidSect="00DF6121">
          <w:pgSz w:w="16840" w:h="11907" w:orient="landscape" w:code="9"/>
          <w:pgMar w:top="1440" w:right="1440" w:bottom="1440" w:left="1440" w:header="706" w:footer="706" w:gutter="0"/>
          <w:cols w:space="708"/>
          <w:docGrid w:linePitch="360"/>
        </w:sectPr>
      </w:pPr>
    </w:p>
    <w:p w14:paraId="2811DB8E" w14:textId="4E6F6E3A" w:rsidR="00CB3F9B" w:rsidRDefault="00CB3F9B" w:rsidP="00CB3F9B">
      <w:pPr>
        <w:pStyle w:val="Heading1"/>
        <w:rPr>
          <w:lang w:val="en-GB"/>
        </w:rPr>
      </w:pPr>
      <w:bookmarkStart w:id="286" w:name="_Toc62467385"/>
      <w:bookmarkStart w:id="287" w:name="_Toc91575409"/>
      <w:bookmarkStart w:id="288" w:name="_Toc93759894"/>
      <w:bookmarkStart w:id="289" w:name="_Toc93759998"/>
      <w:bookmarkStart w:id="290" w:name="_Toc101274355"/>
      <w:r>
        <w:rPr>
          <w:lang w:val="en-GB"/>
        </w:rPr>
        <w:lastRenderedPageBreak/>
        <w:t>State-of-the-</w:t>
      </w:r>
      <w:r w:rsidR="00697E06">
        <w:rPr>
          <w:lang w:val="en-GB"/>
        </w:rPr>
        <w:t>p</w:t>
      </w:r>
      <w:r>
        <w:rPr>
          <w:lang w:val="en-GB"/>
        </w:rPr>
        <w:t>ractice</w:t>
      </w:r>
      <w:bookmarkEnd w:id="286"/>
      <w:bookmarkEnd w:id="287"/>
      <w:r w:rsidR="00A94CCF">
        <w:rPr>
          <w:lang w:val="en-GB"/>
        </w:rPr>
        <w:t xml:space="preserve"> </w:t>
      </w:r>
      <w:r w:rsidR="00697E06">
        <w:rPr>
          <w:lang w:val="en-GB"/>
        </w:rPr>
        <w:t>s</w:t>
      </w:r>
      <w:r w:rsidR="00A94CCF">
        <w:rPr>
          <w:lang w:val="en-GB"/>
        </w:rPr>
        <w:t xml:space="preserve">urvey </w:t>
      </w:r>
      <w:r w:rsidR="00697E06">
        <w:rPr>
          <w:lang w:val="en-GB"/>
        </w:rPr>
        <w:t>r</w:t>
      </w:r>
      <w:r w:rsidR="00A94CCF">
        <w:rPr>
          <w:lang w:val="en-GB"/>
        </w:rPr>
        <w:t>esults</w:t>
      </w:r>
      <w:bookmarkEnd w:id="288"/>
      <w:bookmarkEnd w:id="289"/>
      <w:bookmarkEnd w:id="290"/>
    </w:p>
    <w:p w14:paraId="5455BEBB" w14:textId="58F7BD28" w:rsidR="00C775FA" w:rsidRPr="00AD748F" w:rsidRDefault="00C775FA" w:rsidP="00C775FA">
      <w:pPr>
        <w:rPr>
          <w:lang w:val="en-GB"/>
        </w:rPr>
      </w:pPr>
      <w:r>
        <w:rPr>
          <w:lang w:val="sr-Latn-RS"/>
        </w:rPr>
        <w:t xml:space="preserve">As the previous paragraph goes into slight detail about the motivation for conducting the research by exploring scientific projects funded by the EU, the state-of-the-practice purpose, however, is to back up the outcome of the thesis. Namely, the general outcome is to provide </w:t>
      </w:r>
      <w:r w:rsidR="00C00305">
        <w:rPr>
          <w:lang w:val="sr-Latn-RS"/>
        </w:rPr>
        <w:t>an easy-to-</w:t>
      </w:r>
      <w:r>
        <w:rPr>
          <w:lang w:val="sr-Latn-RS"/>
        </w:rPr>
        <w:t xml:space="preserve">understand sustainable </w:t>
      </w:r>
      <w:r w:rsidR="00304E15">
        <w:rPr>
          <w:lang w:val="sr-Latn-RS"/>
        </w:rPr>
        <w:t xml:space="preserve">maintenance paradigm </w:t>
      </w:r>
      <w:r w:rsidR="00D3415F">
        <w:rPr>
          <w:lang w:val="sr-Latn-RS"/>
        </w:rPr>
        <w:t>for</w:t>
      </w:r>
      <w:r w:rsidR="00304E15">
        <w:rPr>
          <w:lang w:val="sr-Latn-RS"/>
        </w:rPr>
        <w:t xml:space="preserve"> </w:t>
      </w:r>
      <w:r w:rsidR="00D3415F">
        <w:rPr>
          <w:lang w:val="sr-Latn-RS"/>
        </w:rPr>
        <w:t xml:space="preserve">an </w:t>
      </w:r>
      <w:r>
        <w:rPr>
          <w:lang w:val="sr-Latn-RS"/>
        </w:rPr>
        <w:t>energy-oriented society</w:t>
      </w:r>
      <w:r w:rsidR="00C00305">
        <w:rPr>
          <w:lang w:val="sr-Latn-RS"/>
        </w:rPr>
        <w:t xml:space="preserve"> b</w:t>
      </w:r>
      <w:r>
        <w:rPr>
          <w:lang w:val="sr-Latn-RS"/>
        </w:rPr>
        <w:t xml:space="preserve">y collecting evidence from the practical </w:t>
      </w:r>
      <w:r w:rsidR="00C00305">
        <w:rPr>
          <w:lang w:val="sr-Latn-RS"/>
        </w:rPr>
        <w:t xml:space="preserve">machine </w:t>
      </w:r>
      <w:r>
        <w:rPr>
          <w:lang w:val="sr-Latn-RS"/>
        </w:rPr>
        <w:t>processes. In that way, the impact of the thesis will have a larger research impact and contribution. By extracting information such as industrial machines' working conditions, work-load, type of instruments utilised, and similar, the scientific community can gain much more insight into real-working conditions and face the challenging issues extracted from the practical environment.</w:t>
      </w:r>
    </w:p>
    <w:p w14:paraId="0BED1306" w14:textId="4A5FB454" w:rsidR="00CB3F9B" w:rsidRDefault="00CB3F9B" w:rsidP="005701BB">
      <w:pPr>
        <w:pStyle w:val="Heading2"/>
        <w:spacing w:before="120" w:after="120"/>
        <w:rPr>
          <w:lang w:val="en-GB"/>
        </w:rPr>
      </w:pPr>
      <w:bookmarkStart w:id="291" w:name="_Toc62467386"/>
      <w:bookmarkStart w:id="292" w:name="_Toc91575410"/>
      <w:bookmarkStart w:id="293" w:name="_Toc93759895"/>
      <w:bookmarkStart w:id="294" w:name="_Toc93759999"/>
      <w:bookmarkStart w:id="295" w:name="_Toc101274356"/>
      <w:r>
        <w:rPr>
          <w:lang w:val="en-GB"/>
        </w:rPr>
        <w:t xml:space="preserve">Industrial </w:t>
      </w:r>
      <w:r w:rsidR="00CA5C5A">
        <w:rPr>
          <w:lang w:val="en-GB"/>
        </w:rPr>
        <w:t xml:space="preserve">and </w:t>
      </w:r>
      <w:r w:rsidR="00697E06">
        <w:rPr>
          <w:lang w:val="en-GB"/>
        </w:rPr>
        <w:t>m</w:t>
      </w:r>
      <w:r w:rsidR="00CA5C5A">
        <w:rPr>
          <w:lang w:val="en-GB"/>
        </w:rPr>
        <w:t xml:space="preserve">obile </w:t>
      </w:r>
      <w:r w:rsidR="00697E06">
        <w:rPr>
          <w:lang w:val="en-GB"/>
        </w:rPr>
        <w:t>m</w:t>
      </w:r>
      <w:r w:rsidR="00CA5C5A">
        <w:rPr>
          <w:lang w:val="en-GB"/>
        </w:rPr>
        <w:t xml:space="preserve">achines </w:t>
      </w:r>
      <w:r w:rsidR="00697E06">
        <w:rPr>
          <w:lang w:val="en-GB"/>
        </w:rPr>
        <w:t>d</w:t>
      </w:r>
      <w:r>
        <w:rPr>
          <w:lang w:val="en-GB"/>
        </w:rPr>
        <w:t xml:space="preserve">ata </w:t>
      </w:r>
      <w:r w:rsidR="00697E06">
        <w:rPr>
          <w:lang w:val="en-GB"/>
        </w:rPr>
        <w:t>r</w:t>
      </w:r>
      <w:r>
        <w:rPr>
          <w:lang w:val="en-GB"/>
        </w:rPr>
        <w:t>esults</w:t>
      </w:r>
      <w:bookmarkEnd w:id="291"/>
      <w:bookmarkEnd w:id="292"/>
      <w:bookmarkEnd w:id="293"/>
      <w:bookmarkEnd w:id="294"/>
      <w:bookmarkEnd w:id="295"/>
    </w:p>
    <w:p w14:paraId="48392B8E" w14:textId="6D478F5A" w:rsidR="00A04C9E" w:rsidRDefault="00DB761C" w:rsidP="00A04C9E">
      <w:pPr>
        <w:rPr>
          <w:lang w:val="en-GB"/>
        </w:rPr>
      </w:pPr>
      <w:r>
        <w:t xml:space="preserve">Research that </w:t>
      </w:r>
      <w:r w:rsidR="00F241C1">
        <w:t>provides</w:t>
      </w:r>
      <w:r>
        <w:t xml:space="preserve"> a new solution in </w:t>
      </w:r>
      <w:r w:rsidR="00F241C1">
        <w:t xml:space="preserve">the </w:t>
      </w:r>
      <w:r>
        <w:t>hydraulic system maintenance</w:t>
      </w:r>
      <w:r w:rsidR="00AC7FB6">
        <w:t xml:space="preserve"> domain</w:t>
      </w:r>
      <w:r>
        <w:t xml:space="preserve"> is not so straightforward. The underlying reason is that results are hard to transfer </w:t>
      </w:r>
      <w:r w:rsidR="00852B38">
        <w:t>to real-world operating conditions from the laboratory</w:t>
      </w:r>
      <w:r>
        <w:t xml:space="preserve">. The survey </w:t>
      </w:r>
      <w:r w:rsidR="00E5034A">
        <w:t xml:space="preserve">is used </w:t>
      </w:r>
      <w:r>
        <w:t xml:space="preserve">to target specific characteristics of systems for selecting the most common type for the analysis in the thesis. Besides, looking at the various suggestions from textbooks (e.g., Bosch Rexroth </w:t>
      </w:r>
      <w:r w:rsidRPr="00116F6B">
        <w:rPr>
          <w:bCs/>
        </w:rPr>
        <w:fldChar w:fldCharType="begin" w:fldLock="1"/>
      </w:r>
      <w:r w:rsidR="00645D0B">
        <w:rPr>
          <w:bCs/>
        </w:rPr>
        <w:instrText>ADDIN CSL_CITATION {"citationItems":[{"id":"ITEM-1","itemData":{"ISSN":"3-8023-0266-4","author":[{"dropping-particle":"","family":"Drexler","given":"P.","non-dropping-particle":"","parse-names":false,"suffix":""},{"dropping-particle":"","family":"Faatz","given":"H.","non-dropping-particle":"","parse-names":false,"suffix":""},{"dropping-particle":"","family":"Feicht","given":"F.","non-dropping-particle":"","parse-names":false,"suffix":""},{"dropping-particle":"","family":"Geis","given":"H.","non-dropping-particle":"","parse-names":false,"suffix":""},{"dropping-particle":"","family":"Morlok","given":"J.","non-dropping-particle":"","parse-names":false,"suffix":""},{"dropping-particle":"","family":"Wiesmann","given":"E.","non-dropping-particle":"","parse-names":false,"suffix":""},{"dropping-particle":"","family":"Krielen","given":"A.","non-dropping-particle":"","parse-names":false,"suffix":""},{"dropping-particle":"","family":"Achten","given":"N.","non-dropping-particle":"","parse-names":false,"suffix":""},{"dropping-particle":"","family":"Reik","given":"M.","non-dropping-particle":"","parse-names":false,"suffix":""}],"edition":"3rd","editor":[{"dropping-particle":"","family":"Faatz","given":"Hans H.","non-dropping-particle":"","parse-names":false,"suffix":""},{"dropping-particle":"","family":"Lang","given":"Rudi A.","non-dropping-particle":"","parse-names":false,"suffix":""}],"id":"ITEM-1","issued":{"date-parts":[["1988"]]},"number-of-pages":"1-341","publisher":"Mannesmann Rexroth AG","publisher-place":"Lohr a. Main","title":"Planning and Design of Hydraulic Power Systems: The Hydraulic Trainer","type":"book","volume":"3"},"uris":["http://www.mendeley.com/documents/?uuid=7141b937-025b-4dad-be17-a49cad03bb62"]}],"mendeley":{"formattedCitation":"[117]","plainTextFormattedCitation":"[117]","previouslyFormattedCitation":"[117]"},"properties":{"noteIndex":0},"schema":"https://github.com/citation-style-language/schema/raw/master/csl-citation.json"}</w:instrText>
      </w:r>
      <w:r w:rsidRPr="00116F6B">
        <w:rPr>
          <w:bCs/>
        </w:rPr>
        <w:fldChar w:fldCharType="separate"/>
      </w:r>
      <w:r w:rsidR="00416869" w:rsidRPr="00416869">
        <w:rPr>
          <w:bCs/>
          <w:noProof/>
        </w:rPr>
        <w:t>[117]</w:t>
      </w:r>
      <w:r w:rsidRPr="00116F6B">
        <w:rPr>
          <w:bCs/>
        </w:rPr>
        <w:fldChar w:fldCharType="end"/>
      </w:r>
      <w:r w:rsidRPr="00907FB5">
        <w:t>)</w:t>
      </w:r>
      <w:r>
        <w:rPr>
          <w:b/>
        </w:rPr>
        <w:t xml:space="preserve"> </w:t>
      </w:r>
      <w:r>
        <w:t>regarding the type of hydraulic systems utilised</w:t>
      </w:r>
      <w:r w:rsidR="00F85067">
        <w:t>,</w:t>
      </w:r>
      <w:r w:rsidR="00A67063">
        <w:t xml:space="preserve"> it was hard to determine </w:t>
      </w:r>
      <w:r w:rsidR="00F85067">
        <w:t xml:space="preserve">the </w:t>
      </w:r>
      <w:r w:rsidR="00A67063">
        <w:t>appropriate experimental set-up (e.g., working conditions, flow and pressure set</w:t>
      </w:r>
      <w:r w:rsidR="00F85067">
        <w:t>-</w:t>
      </w:r>
      <w:r w:rsidR="00A67063">
        <w:t>up). Therefore, the main point of extracting such data is to provide a meta-evidence of real operating conditions.</w:t>
      </w:r>
      <w:r w:rsidR="00852B38">
        <w:t xml:space="preserve"> R</w:t>
      </w:r>
      <w:r>
        <w:t>esults could be</w:t>
      </w:r>
      <w:r w:rsidR="00A67063">
        <w:t xml:space="preserve"> used</w:t>
      </w:r>
      <w:r>
        <w:t xml:space="preserve"> in the experimental </w:t>
      </w:r>
      <w:r w:rsidR="002F4F72">
        <w:t xml:space="preserve">study or </w:t>
      </w:r>
      <w:r w:rsidR="007071B1">
        <w:t>depict</w:t>
      </w:r>
      <w:r w:rsidR="00AF372D">
        <w:t>ed</w:t>
      </w:r>
      <w:r w:rsidR="007071B1">
        <w:t xml:space="preserve"> </w:t>
      </w:r>
      <w:r w:rsidR="00AF372D">
        <w:t xml:space="preserve">by </w:t>
      </w:r>
      <w:r w:rsidR="00852B38">
        <w:t xml:space="preserve">a </w:t>
      </w:r>
      <w:r w:rsidR="007071B1">
        <w:t>distribution of operational characteristics.</w:t>
      </w:r>
      <w:r w:rsidR="001F63C1">
        <w:t xml:space="preserve"> </w:t>
      </w:r>
      <w:r w:rsidR="00A04C9E">
        <w:rPr>
          <w:lang w:val="en-GB"/>
        </w:rPr>
        <w:t>The survey acqu</w:t>
      </w:r>
      <w:r w:rsidR="00852B38">
        <w:rPr>
          <w:lang w:val="en-GB"/>
        </w:rPr>
        <w:t>i</w:t>
      </w:r>
      <w:r w:rsidR="00A04C9E">
        <w:rPr>
          <w:lang w:val="en-GB"/>
        </w:rPr>
        <w:t>sition</w:t>
      </w:r>
      <w:r w:rsidR="00B22644">
        <w:rPr>
          <w:lang w:val="en-GB"/>
        </w:rPr>
        <w:t xml:space="preserve"> started in </w:t>
      </w:r>
      <w:r w:rsidR="00852B38">
        <w:rPr>
          <w:lang w:val="en-GB"/>
        </w:rPr>
        <w:t>M</w:t>
      </w:r>
      <w:r w:rsidR="00B22644">
        <w:rPr>
          <w:lang w:val="en-GB"/>
        </w:rPr>
        <w:t>ay 2019, while</w:t>
      </w:r>
      <w:r w:rsidR="00A04C9E">
        <w:rPr>
          <w:lang w:val="en-GB"/>
        </w:rPr>
        <w:t xml:space="preserve"> reliability</w:t>
      </w:r>
      <w:r w:rsidR="00B22644">
        <w:rPr>
          <w:lang w:val="en-GB"/>
        </w:rPr>
        <w:t>-</w:t>
      </w:r>
      <w:r w:rsidR="00A04C9E">
        <w:rPr>
          <w:lang w:val="en-GB"/>
        </w:rPr>
        <w:t xml:space="preserve">validity </w:t>
      </w:r>
      <w:r w:rsidR="00B22644">
        <w:rPr>
          <w:lang w:val="en-GB"/>
        </w:rPr>
        <w:t>testing concluded</w:t>
      </w:r>
      <w:r w:rsidR="00A04C9E">
        <w:rPr>
          <w:lang w:val="en-GB"/>
        </w:rPr>
        <w:t xml:space="preserve"> on </w:t>
      </w:r>
      <w:r w:rsidR="00852B38">
        <w:rPr>
          <w:lang w:val="en-GB"/>
        </w:rPr>
        <w:t xml:space="preserve">the </w:t>
      </w:r>
      <w:r w:rsidR="00A04C9E">
        <w:rPr>
          <w:lang w:val="en-GB"/>
        </w:rPr>
        <w:t>31</w:t>
      </w:r>
      <w:r w:rsidR="00A04C9E" w:rsidRPr="00E11EA3">
        <w:rPr>
          <w:vertAlign w:val="superscript"/>
          <w:lang w:val="en-GB"/>
        </w:rPr>
        <w:t>st</w:t>
      </w:r>
      <w:r w:rsidR="00A04C9E">
        <w:rPr>
          <w:lang w:val="en-GB"/>
        </w:rPr>
        <w:t xml:space="preserve"> of December 2020. The results show </w:t>
      </w:r>
      <w:r w:rsidR="00852B38">
        <w:rPr>
          <w:lang w:val="en-GB"/>
        </w:rPr>
        <w:t xml:space="preserve">a </w:t>
      </w:r>
      <w:r w:rsidR="00A04C9E">
        <w:rPr>
          <w:lang w:val="en-GB"/>
        </w:rPr>
        <w:t xml:space="preserve">42.55% response rate, while I/E criteria excluded additional 28 companies due to lack of information, bias, validity and reliability </w:t>
      </w:r>
      <w:r w:rsidR="00B22644">
        <w:rPr>
          <w:lang w:val="en-GB"/>
        </w:rPr>
        <w:t>testing</w:t>
      </w:r>
      <w:r w:rsidR="00A04C9E">
        <w:rPr>
          <w:lang w:val="en-GB"/>
        </w:rPr>
        <w:t xml:space="preserve">. The </w:t>
      </w:r>
      <w:r w:rsidR="009B59D0">
        <w:rPr>
          <w:lang w:val="en-GB"/>
        </w:rPr>
        <w:t>analysis</w:t>
      </w:r>
      <w:r w:rsidR="00B424AD">
        <w:rPr>
          <w:lang w:val="en-GB"/>
        </w:rPr>
        <w:t>’</w:t>
      </w:r>
      <w:r w:rsidR="009B59D0">
        <w:rPr>
          <w:lang w:val="en-GB"/>
        </w:rPr>
        <w:t>s final size</w:t>
      </w:r>
      <w:r w:rsidR="00A04C9E">
        <w:rPr>
          <w:lang w:val="en-GB"/>
        </w:rPr>
        <w:t xml:space="preserve"> is 72,</w:t>
      </w:r>
      <w:r w:rsidR="009B59D0">
        <w:rPr>
          <w:lang w:val="en-GB"/>
        </w:rPr>
        <w:t xml:space="preserve"> encompassing</w:t>
      </w:r>
      <w:r w:rsidR="00A04C9E">
        <w:rPr>
          <w:lang w:val="en-GB"/>
        </w:rPr>
        <w:t xml:space="preserve"> 3442 </w:t>
      </w:r>
      <w:r w:rsidR="00852B38">
        <w:rPr>
          <w:lang w:val="en-GB"/>
        </w:rPr>
        <w:t>hydraulic control machines</w:t>
      </w:r>
      <w:r w:rsidR="00A04C9E">
        <w:rPr>
          <w:lang w:val="en-GB"/>
        </w:rPr>
        <w:t xml:space="preserve"> (1110 industrial; 2332 mobile).</w:t>
      </w:r>
    </w:p>
    <w:p w14:paraId="03D73513" w14:textId="121025B7" w:rsidR="00DB761C" w:rsidRDefault="00DB761C" w:rsidP="00DB761C">
      <w:pPr>
        <w:pStyle w:val="Heading3"/>
      </w:pPr>
      <w:bookmarkStart w:id="296" w:name="_Toc93759896"/>
      <w:bookmarkStart w:id="297" w:name="_Toc93760000"/>
      <w:bookmarkStart w:id="298" w:name="_Toc101274357"/>
      <w:bookmarkStart w:id="299" w:name="_Toc53558759"/>
      <w:bookmarkStart w:id="300" w:name="_Toc53559753"/>
      <w:r>
        <w:t xml:space="preserve">Hydraulic operational and technical </w:t>
      </w:r>
      <w:r w:rsidR="00E42D78">
        <w:t>descriptive</w:t>
      </w:r>
      <w:r w:rsidR="000813EC">
        <w:t xml:space="preserve"> survey</w:t>
      </w:r>
      <w:r>
        <w:t xml:space="preserve"> results</w:t>
      </w:r>
      <w:bookmarkEnd w:id="296"/>
      <w:bookmarkEnd w:id="297"/>
      <w:bookmarkEnd w:id="298"/>
    </w:p>
    <w:p w14:paraId="02C4180E" w14:textId="121B5E5A" w:rsidR="00CB3F9B" w:rsidRDefault="005B75BD" w:rsidP="005B75BD">
      <w:r>
        <w:t>From the initial data overview</w:t>
      </w:r>
      <w:r w:rsidR="00852B38">
        <w:t>,</w:t>
      </w:r>
      <w:r>
        <w:t xml:space="preserve"> </w:t>
      </w:r>
      <w:r w:rsidR="009600E3">
        <w:t>it can</w:t>
      </w:r>
      <w:r>
        <w:t xml:space="preserve"> be seen that most of the mobile machine</w:t>
      </w:r>
      <w:r w:rsidR="00852B38">
        <w:t>s</w:t>
      </w:r>
      <w:r>
        <w:t xml:space="preserve"> include excavators</w:t>
      </w:r>
      <w:r w:rsidR="009B2174">
        <w:t xml:space="preserve"> (</w:t>
      </w:r>
      <w:r w:rsidR="009B2174">
        <w:fldChar w:fldCharType="begin"/>
      </w:r>
      <w:r w:rsidR="009B2174">
        <w:instrText xml:space="preserve"> REF _Ref92287894 \h </w:instrText>
      </w:r>
      <w:r w:rsidR="009B2174">
        <w:fldChar w:fldCharType="separate"/>
      </w:r>
      <w:r w:rsidR="00587AF0">
        <w:t xml:space="preserve">Figure </w:t>
      </w:r>
      <w:r w:rsidR="00587AF0">
        <w:rPr>
          <w:noProof/>
        </w:rPr>
        <w:t>21</w:t>
      </w:r>
      <w:r w:rsidR="009B2174">
        <w:fldChar w:fldCharType="end"/>
      </w:r>
      <w:r w:rsidR="009B2174">
        <w:t>a)</w:t>
      </w:r>
      <w:r>
        <w:t>, while stationary hydraulic systems consist of presses and CNC machines</w:t>
      </w:r>
      <w:r w:rsidR="009B2174">
        <w:t xml:space="preserve"> (</w:t>
      </w:r>
      <w:r w:rsidR="009B2174">
        <w:fldChar w:fldCharType="begin"/>
      </w:r>
      <w:r w:rsidR="009B2174">
        <w:instrText xml:space="preserve"> REF _Ref92287894 \h </w:instrText>
      </w:r>
      <w:r w:rsidR="009B2174">
        <w:fldChar w:fldCharType="separate"/>
      </w:r>
      <w:r w:rsidR="00587AF0">
        <w:t xml:space="preserve">Figure </w:t>
      </w:r>
      <w:r w:rsidR="00587AF0">
        <w:rPr>
          <w:noProof/>
        </w:rPr>
        <w:t>21</w:t>
      </w:r>
      <w:r w:rsidR="009B2174">
        <w:fldChar w:fldCharType="end"/>
      </w:r>
      <w:r w:rsidR="009B2174">
        <w:t>b)</w:t>
      </w:r>
      <w:r>
        <w:t>.</w:t>
      </w:r>
      <w:r w:rsidR="0006541F">
        <w:t xml:space="preserve"> </w:t>
      </w:r>
      <w:r w:rsidR="00852B38">
        <w:t>Because</w:t>
      </w:r>
      <w:r w:rsidR="000F7751">
        <w:t xml:space="preserve"> hydraulic</w:t>
      </w:r>
      <w:r w:rsidR="00E46794">
        <w:t xml:space="preserve"> control</w:t>
      </w:r>
      <w:r w:rsidR="000F7751">
        <w:t xml:space="preserve"> systems are </w:t>
      </w:r>
      <w:r w:rsidR="00E46794">
        <w:t>high</w:t>
      </w:r>
      <w:r w:rsidR="009B2174">
        <w:t xml:space="preserve"> in </w:t>
      </w:r>
      <w:r w:rsidR="00E46794">
        <w:t>energy</w:t>
      </w:r>
      <w:r w:rsidR="009B2174">
        <w:t xml:space="preserve"> consumption</w:t>
      </w:r>
      <w:r w:rsidR="00852B38">
        <w:t>, most of the machines include heavy</w:t>
      </w:r>
      <w:r w:rsidR="00857C42">
        <w:t>-</w:t>
      </w:r>
      <w:r w:rsidR="00852B38">
        <w:t>duty machines working at a</w:t>
      </w:r>
      <w:r w:rsidR="00E46794">
        <w:t xml:space="preserve"> high range of pressure and flow.</w:t>
      </w:r>
    </w:p>
    <w:tbl>
      <w:tblPr>
        <w:tblW w:w="0" w:type="auto"/>
        <w:tblLook w:val="04A0" w:firstRow="1" w:lastRow="0" w:firstColumn="1" w:lastColumn="0" w:noHBand="0" w:noVBand="1"/>
      </w:tblPr>
      <w:tblGrid>
        <w:gridCol w:w="4558"/>
        <w:gridCol w:w="4469"/>
      </w:tblGrid>
      <w:tr w:rsidR="00F9736A" w14:paraId="534C01A6" w14:textId="77777777" w:rsidTr="009C7463">
        <w:tc>
          <w:tcPr>
            <w:tcW w:w="4396" w:type="dxa"/>
          </w:tcPr>
          <w:p w14:paraId="1D8C03AC" w14:textId="30C31AE2" w:rsidR="00F9736A" w:rsidRDefault="009B2174" w:rsidP="00F07CCF">
            <w:pPr>
              <w:spacing w:after="0"/>
            </w:pPr>
            <w:r>
              <w:rPr>
                <w:noProof/>
              </w:rPr>
              <w:drawing>
                <wp:inline distT="0" distB="0" distL="0" distR="0" wp14:anchorId="47EB22E6" wp14:editId="586E5FF6">
                  <wp:extent cx="2781300" cy="2279650"/>
                  <wp:effectExtent l="0" t="0" r="0" b="6350"/>
                  <wp:docPr id="9" name="Chart 9">
                    <a:extLst xmlns:a="http://schemas.openxmlformats.org/drawingml/2006/main">
                      <a:ext uri="{FF2B5EF4-FFF2-40B4-BE49-F238E27FC236}">
                        <a16:creationId xmlns:a16="http://schemas.microsoft.com/office/drawing/2014/main" id="{5E99DE0A-48E3-4052-9300-28FED0ED13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BD4CC52" w14:textId="2A9C29A7" w:rsidR="006B15B2" w:rsidRDefault="006B15B2" w:rsidP="00F07CCF">
            <w:pPr>
              <w:spacing w:before="0" w:after="0"/>
              <w:jc w:val="center"/>
            </w:pPr>
            <w:r>
              <w:t>(a)</w:t>
            </w:r>
          </w:p>
        </w:tc>
        <w:tc>
          <w:tcPr>
            <w:tcW w:w="4631" w:type="dxa"/>
          </w:tcPr>
          <w:p w14:paraId="1730EFEA" w14:textId="4225F3A7" w:rsidR="00F9736A" w:rsidRDefault="009B2174" w:rsidP="00F07CCF">
            <w:pPr>
              <w:spacing w:after="0"/>
            </w:pPr>
            <w:r>
              <w:rPr>
                <w:noProof/>
              </w:rPr>
              <w:drawing>
                <wp:inline distT="0" distB="0" distL="0" distR="0" wp14:anchorId="4501360B" wp14:editId="1D644599">
                  <wp:extent cx="2724150" cy="2279650"/>
                  <wp:effectExtent l="0" t="0" r="0" b="6350"/>
                  <wp:docPr id="1" name="Chart 1">
                    <a:extLst xmlns:a="http://schemas.openxmlformats.org/drawingml/2006/main">
                      <a:ext uri="{FF2B5EF4-FFF2-40B4-BE49-F238E27FC236}">
                        <a16:creationId xmlns:a16="http://schemas.microsoft.com/office/drawing/2014/main" id="{45692D24-F960-405D-986C-95FABB8DDE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DAF25DA" w14:textId="57C2CB8F" w:rsidR="006B15B2" w:rsidRDefault="006B15B2" w:rsidP="00F07CCF">
            <w:pPr>
              <w:spacing w:before="0" w:after="0"/>
              <w:jc w:val="center"/>
            </w:pPr>
            <w:r>
              <w:t>(b)</w:t>
            </w:r>
          </w:p>
        </w:tc>
      </w:tr>
    </w:tbl>
    <w:p w14:paraId="7BB89723" w14:textId="47579B92" w:rsidR="00CB3F9B" w:rsidRDefault="00CB3F9B" w:rsidP="00CB3F9B">
      <w:pPr>
        <w:pStyle w:val="Caption"/>
        <w:spacing w:before="0"/>
      </w:pPr>
      <w:bookmarkStart w:id="301" w:name="_Ref92287894"/>
      <w:bookmarkStart w:id="302" w:name="_Toc101274543"/>
      <w:r>
        <w:t xml:space="preserve">Figure </w:t>
      </w:r>
      <w:fldSimple w:instr=" SEQ Figure \* ARABIC ">
        <w:r w:rsidR="00587AF0">
          <w:rPr>
            <w:noProof/>
          </w:rPr>
          <w:t>21</w:t>
        </w:r>
      </w:fldSimple>
      <w:bookmarkEnd w:id="301"/>
      <w:r>
        <w:t>. Stationary</w:t>
      </w:r>
      <w:r w:rsidR="00F02C82">
        <w:t xml:space="preserve"> (a) and mobile (b) </w:t>
      </w:r>
      <w:r>
        <w:t>machines employing hydraulic control systems</w:t>
      </w:r>
      <w:bookmarkEnd w:id="302"/>
    </w:p>
    <w:p w14:paraId="1651CE49" w14:textId="585D4EA1" w:rsidR="00CB3F9B" w:rsidRDefault="00236042" w:rsidP="00156831">
      <w:r>
        <w:lastRenderedPageBreak/>
        <w:t>Operational characteristics of heavy</w:t>
      </w:r>
      <w:r w:rsidR="0095274F">
        <w:t>-</w:t>
      </w:r>
      <w:r>
        <w:t xml:space="preserve">duty machines are important </w:t>
      </w:r>
      <w:r w:rsidR="00083D7B">
        <w:t>for gaining</w:t>
      </w:r>
      <w:r>
        <w:t xml:space="preserve"> insight into energy consumption</w:t>
      </w:r>
      <w:r w:rsidR="0095274F">
        <w:t>,</w:t>
      </w:r>
      <w:r>
        <w:t xml:space="preserve"> workload,</w:t>
      </w:r>
      <w:r w:rsidR="00941E6D">
        <w:t xml:space="preserve"> </w:t>
      </w:r>
      <w:r w:rsidR="00083D7B">
        <w:t xml:space="preserve">and </w:t>
      </w:r>
      <w:r>
        <w:t>intensity</w:t>
      </w:r>
      <w:r w:rsidR="00941E6D">
        <w:t>.</w:t>
      </w:r>
      <w:r>
        <w:t xml:space="preserve"> Such data can be used to further justify, for instance</w:t>
      </w:r>
      <w:r w:rsidR="0095274F">
        <w:t>, experimental investigation of particular pumps, oils, cylinders, and equipment for gaining the importance of such test-beds</w:t>
      </w:r>
      <w:r w:rsidR="00E82F14">
        <w:t>. Hence</w:t>
      </w:r>
      <w:r w:rsidR="00C47D0A">
        <w:t xml:space="preserve">, the </w:t>
      </w:r>
      <w:r w:rsidR="00CB3F9B">
        <w:t xml:space="preserve">Nominal </w:t>
      </w:r>
      <w:r w:rsidR="00C47D0A">
        <w:t>W</w:t>
      </w:r>
      <w:r w:rsidR="00CB3F9B">
        <w:t xml:space="preserve">orking </w:t>
      </w:r>
      <w:r w:rsidR="00C47D0A">
        <w:t>P</w:t>
      </w:r>
      <w:r w:rsidR="00CB3F9B">
        <w:t>ressures</w:t>
      </w:r>
      <w:r w:rsidR="00D36E09">
        <w:t xml:space="preserve"> (NWP) and </w:t>
      </w:r>
      <w:r w:rsidR="00C47D0A">
        <w:t>N</w:t>
      </w:r>
      <w:r w:rsidR="00D36E09">
        <w:t xml:space="preserve">ominal </w:t>
      </w:r>
      <w:r w:rsidR="00C47D0A">
        <w:t>W</w:t>
      </w:r>
      <w:r w:rsidR="00D36E09">
        <w:t xml:space="preserve">orking </w:t>
      </w:r>
      <w:r w:rsidR="00C47D0A">
        <w:t>F</w:t>
      </w:r>
      <w:r w:rsidR="00D36E09">
        <w:t xml:space="preserve">low (NWF) are </w:t>
      </w:r>
      <w:r w:rsidR="001C6EAE">
        <w:t>divided into different regimes (</w:t>
      </w:r>
      <w:r w:rsidR="001C6EAE">
        <w:fldChar w:fldCharType="begin"/>
      </w:r>
      <w:r w:rsidR="001C6EAE">
        <w:instrText xml:space="preserve"> REF _Ref92806318 \h </w:instrText>
      </w:r>
      <w:r w:rsidR="001C6EAE">
        <w:fldChar w:fldCharType="separate"/>
      </w:r>
      <w:r w:rsidR="00587AF0">
        <w:t xml:space="preserve">Figure </w:t>
      </w:r>
      <w:r w:rsidR="00587AF0">
        <w:rPr>
          <w:noProof/>
        </w:rPr>
        <w:t>22</w:t>
      </w:r>
      <w:r w:rsidR="001C6EAE">
        <w:fldChar w:fldCharType="end"/>
      </w:r>
      <w:r w:rsidR="001C6EAE">
        <w:t xml:space="preserve">) and show that most of the </w:t>
      </w:r>
      <w:r w:rsidR="00862CA9">
        <w:t>machine</w:t>
      </w:r>
      <w:r w:rsidR="0095274F">
        <w:t>s</w:t>
      </w:r>
      <w:r w:rsidR="00862CA9">
        <w:t xml:space="preserve"> are working at the range of NWP = 60</w:t>
      </w:r>
      <w:r w:rsidR="003A74A5">
        <w:t>-</w:t>
      </w:r>
      <w:r w:rsidR="00862CA9">
        <w:t>210 bars (mostly 140-210) bars, while NWF =</w:t>
      </w:r>
      <w:r w:rsidR="00FA240D">
        <w:t xml:space="preserve"> 50</w:t>
      </w:r>
      <w:r w:rsidR="003A74A5">
        <w:t>-</w:t>
      </w:r>
      <w:r w:rsidR="00FA240D">
        <w:t>140 l/min.</w:t>
      </w:r>
    </w:p>
    <w:tbl>
      <w:tblPr>
        <w:tblW w:w="0" w:type="auto"/>
        <w:tblLook w:val="04A0" w:firstRow="1" w:lastRow="0" w:firstColumn="1" w:lastColumn="0" w:noHBand="0" w:noVBand="1"/>
      </w:tblPr>
      <w:tblGrid>
        <w:gridCol w:w="4603"/>
        <w:gridCol w:w="4424"/>
      </w:tblGrid>
      <w:tr w:rsidR="00565AFD" w14:paraId="3EB9ADF2" w14:textId="77777777" w:rsidTr="004E6615">
        <w:tc>
          <w:tcPr>
            <w:tcW w:w="4581" w:type="dxa"/>
          </w:tcPr>
          <w:p w14:paraId="5B6394D1" w14:textId="289C4A09" w:rsidR="00CB3F9B" w:rsidRDefault="004E6615" w:rsidP="00DF2331">
            <w:pPr>
              <w:jc w:val="center"/>
            </w:pPr>
            <w:r>
              <w:rPr>
                <w:noProof/>
              </w:rPr>
              <w:drawing>
                <wp:inline distT="0" distB="0" distL="0" distR="0" wp14:anchorId="0ED10334" wp14:editId="2ACEC145">
                  <wp:extent cx="2794000" cy="1983105"/>
                  <wp:effectExtent l="0" t="0" r="6350" b="0"/>
                  <wp:docPr id="28" name="Chart 28">
                    <a:extLst xmlns:a="http://schemas.openxmlformats.org/drawingml/2006/main">
                      <a:ext uri="{FF2B5EF4-FFF2-40B4-BE49-F238E27FC236}">
                        <a16:creationId xmlns:a16="http://schemas.microsoft.com/office/drawing/2014/main" id="{67C28456-A959-4C4A-AB1E-9DB17F9E2F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c>
        <w:tc>
          <w:tcPr>
            <w:tcW w:w="4446" w:type="dxa"/>
          </w:tcPr>
          <w:p w14:paraId="16510F03" w14:textId="41B78D92" w:rsidR="00CB3F9B" w:rsidRDefault="003E210B" w:rsidP="00DF2331">
            <w:pPr>
              <w:jc w:val="center"/>
            </w:pPr>
            <w:r>
              <w:rPr>
                <w:noProof/>
              </w:rPr>
              <w:drawing>
                <wp:inline distT="0" distB="0" distL="0" distR="0" wp14:anchorId="39BEE4AB" wp14:editId="58D940DE">
                  <wp:extent cx="2677215" cy="1983402"/>
                  <wp:effectExtent l="0" t="0" r="8890" b="0"/>
                  <wp:docPr id="117" name="Chart 117">
                    <a:extLst xmlns:a="http://schemas.openxmlformats.org/drawingml/2006/main">
                      <a:ext uri="{FF2B5EF4-FFF2-40B4-BE49-F238E27FC236}">
                        <a16:creationId xmlns:a16="http://schemas.microsoft.com/office/drawing/2014/main" id="{DA72C1A3-F709-427C-BF63-9F5A7DA639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c>
      </w:tr>
      <w:tr w:rsidR="00565AFD" w14:paraId="6F5EBAA8" w14:textId="77777777" w:rsidTr="004E6615">
        <w:tc>
          <w:tcPr>
            <w:tcW w:w="4581" w:type="dxa"/>
          </w:tcPr>
          <w:p w14:paraId="7452FE2B" w14:textId="77777777" w:rsidR="00CB3F9B" w:rsidRDefault="00CB3F9B" w:rsidP="00E2626F">
            <w:pPr>
              <w:spacing w:before="0" w:after="0"/>
              <w:jc w:val="center"/>
            </w:pPr>
            <w:r>
              <w:t>(a)</w:t>
            </w:r>
          </w:p>
        </w:tc>
        <w:tc>
          <w:tcPr>
            <w:tcW w:w="4446" w:type="dxa"/>
          </w:tcPr>
          <w:p w14:paraId="2EEDAEFC" w14:textId="77777777" w:rsidR="00CB3F9B" w:rsidRDefault="00CB3F9B" w:rsidP="00E2626F">
            <w:pPr>
              <w:keepNext/>
              <w:spacing w:before="0" w:after="0"/>
              <w:jc w:val="center"/>
            </w:pPr>
            <w:r>
              <w:t>(b)</w:t>
            </w:r>
          </w:p>
        </w:tc>
      </w:tr>
    </w:tbl>
    <w:p w14:paraId="202BB951" w14:textId="5B9D0E7A" w:rsidR="00CB3F9B" w:rsidRDefault="00CB3F9B" w:rsidP="00CB3F9B">
      <w:pPr>
        <w:pStyle w:val="Caption"/>
      </w:pPr>
      <w:bookmarkStart w:id="303" w:name="_Ref92806318"/>
      <w:bookmarkStart w:id="304" w:name="_Toc101274544"/>
      <w:r>
        <w:t xml:space="preserve">Figure </w:t>
      </w:r>
      <w:fldSimple w:instr=" SEQ Figure \* ARABIC ">
        <w:r w:rsidR="00587AF0">
          <w:rPr>
            <w:noProof/>
          </w:rPr>
          <w:t>22</w:t>
        </w:r>
      </w:fldSimple>
      <w:bookmarkEnd w:id="303"/>
      <w:r>
        <w:t xml:space="preserve">. </w:t>
      </w:r>
      <w:r w:rsidR="000B0727">
        <w:t>Nominal working domain</w:t>
      </w:r>
      <w:r w:rsidR="00F54775">
        <w:t>s</w:t>
      </w:r>
      <w:r w:rsidR="000B0727">
        <w:t xml:space="preserve"> of</w:t>
      </w:r>
      <w:r>
        <w:t xml:space="preserve"> pressures (a) and flow (b)</w:t>
      </w:r>
      <w:bookmarkEnd w:id="304"/>
    </w:p>
    <w:p w14:paraId="0C22B99E" w14:textId="024C024F" w:rsidR="003C12D3" w:rsidRPr="000A20B0" w:rsidRDefault="004612F5" w:rsidP="000A20B0">
      <w:r>
        <w:t>L</w:t>
      </w:r>
      <w:r w:rsidR="007F60FD">
        <w:t>iterature regarding the maintenance of hydraulic systems</w:t>
      </w:r>
      <w:r>
        <w:t xml:space="preserve"> and experimentation shows the lack of</w:t>
      </w:r>
      <w:r w:rsidR="007F60FD">
        <w:t xml:space="preserve"> data regarding the</w:t>
      </w:r>
      <w:r>
        <w:t xml:space="preserve"> viscosity and</w:t>
      </w:r>
      <w:r w:rsidR="007F60FD">
        <w:t xml:space="preserve"> type of </w:t>
      </w:r>
      <w:r>
        <w:t>fluid used</w:t>
      </w:r>
      <w:r w:rsidR="007F60FD">
        <w:t xml:space="preserve">. </w:t>
      </w:r>
      <w:r>
        <w:t>S</w:t>
      </w:r>
      <w:r w:rsidR="00B96B0B">
        <w:t xml:space="preserve">ince such data is lacking </w:t>
      </w:r>
      <w:r>
        <w:t xml:space="preserve">(e.g., </w:t>
      </w:r>
      <w:r w:rsidR="00BD1F07">
        <w:t xml:space="preserve">the </w:t>
      </w:r>
      <w:r>
        <w:t>base oil used, viscosity, a</w:t>
      </w:r>
      <w:r w:rsidR="00BD1F07">
        <w:t>d</w:t>
      </w:r>
      <w:r>
        <w:t xml:space="preserve">ditives, viscosity index, density) </w:t>
      </w:r>
      <w:r w:rsidR="00B96B0B">
        <w:t xml:space="preserve">and is </w:t>
      </w:r>
      <w:r w:rsidR="00D83A4D">
        <w:t>important</w:t>
      </w:r>
      <w:r w:rsidR="00B96B0B">
        <w:t xml:space="preserve"> for conducting </w:t>
      </w:r>
      <w:r w:rsidR="00BD1F07">
        <w:t xml:space="preserve">a </w:t>
      </w:r>
      <w:r w:rsidR="00B96B0B">
        <w:t>stud</w:t>
      </w:r>
      <w:r>
        <w:t>y,</w:t>
      </w:r>
      <w:r w:rsidR="00B96B0B">
        <w:t xml:space="preserve"> </w:t>
      </w:r>
      <w:r>
        <w:t>these variables are included</w:t>
      </w:r>
      <w:r w:rsidR="005D5F12">
        <w:t xml:space="preserve">. </w:t>
      </w:r>
      <w:r w:rsidR="00F13984">
        <w:t xml:space="preserve">It </w:t>
      </w:r>
      <w:r w:rsidR="00BD1F07">
        <w:t xml:space="preserve">was </w:t>
      </w:r>
      <w:r w:rsidR="00F13984">
        <w:t>noticed that HV, HM, HL and HFD</w:t>
      </w:r>
      <w:r>
        <w:t xml:space="preserve"> (</w:t>
      </w:r>
      <w:r>
        <w:fldChar w:fldCharType="begin"/>
      </w:r>
      <w:r>
        <w:instrText xml:space="preserve"> REF _Ref92806821 \h </w:instrText>
      </w:r>
      <w:r>
        <w:fldChar w:fldCharType="separate"/>
      </w:r>
      <w:r w:rsidR="00587AF0">
        <w:t xml:space="preserve">Figure </w:t>
      </w:r>
      <w:r w:rsidR="00587AF0">
        <w:rPr>
          <w:noProof/>
        </w:rPr>
        <w:t>23</w:t>
      </w:r>
      <w:r>
        <w:fldChar w:fldCharType="end"/>
      </w:r>
      <w:r w:rsidR="003C12D3">
        <w:t>a</w:t>
      </w:r>
      <w:r>
        <w:t>)</w:t>
      </w:r>
      <w:r w:rsidR="00F13984">
        <w:t xml:space="preserve"> oils are mostly utilised, while most are on viscosity grade ISO VG 46</w:t>
      </w:r>
      <w:r w:rsidR="003C12D3">
        <w:t xml:space="preserve"> (</w:t>
      </w:r>
      <w:r w:rsidR="003C12D3">
        <w:fldChar w:fldCharType="begin"/>
      </w:r>
      <w:r w:rsidR="003C12D3">
        <w:instrText xml:space="preserve"> REF _Ref92806821 \h </w:instrText>
      </w:r>
      <w:r w:rsidR="003C12D3">
        <w:fldChar w:fldCharType="separate"/>
      </w:r>
      <w:r w:rsidR="00587AF0">
        <w:t xml:space="preserve">Figure </w:t>
      </w:r>
      <w:r w:rsidR="00587AF0">
        <w:rPr>
          <w:noProof/>
        </w:rPr>
        <w:t>23</w:t>
      </w:r>
      <w:r w:rsidR="003C12D3">
        <w:fldChar w:fldCharType="end"/>
      </w:r>
      <w:r w:rsidR="003C12D3">
        <w:t>b)</w:t>
      </w:r>
      <w:r w:rsidR="00F13984">
        <w:t>.</w:t>
      </w:r>
      <w:r w:rsidR="003C12D3">
        <w:t xml:space="preserve"> With such data</w:t>
      </w:r>
      <w:r w:rsidR="00BD1F07">
        <w:t>,</w:t>
      </w:r>
      <w:r w:rsidR="003C12D3">
        <w:t xml:space="preserve"> one can gain more validation into research since it </w:t>
      </w:r>
      <w:r w:rsidR="00BD1F07">
        <w:t xml:space="preserve">is </w:t>
      </w:r>
      <w:r w:rsidR="00216702">
        <w:t>more practically justified.</w:t>
      </w:r>
    </w:p>
    <w:tbl>
      <w:tblPr>
        <w:tblW w:w="0" w:type="auto"/>
        <w:tblLook w:val="04A0" w:firstRow="1" w:lastRow="0" w:firstColumn="1" w:lastColumn="0" w:noHBand="0" w:noVBand="1"/>
      </w:tblPr>
      <w:tblGrid>
        <w:gridCol w:w="4611"/>
        <w:gridCol w:w="4416"/>
      </w:tblGrid>
      <w:tr w:rsidR="00F11FE6" w14:paraId="0F10590B" w14:textId="77777777" w:rsidTr="005850B6">
        <w:tc>
          <w:tcPr>
            <w:tcW w:w="4727" w:type="dxa"/>
          </w:tcPr>
          <w:p w14:paraId="4DF6A1BF" w14:textId="42F6890B" w:rsidR="00F11FE6" w:rsidRPr="00BA498A" w:rsidRDefault="00E03779" w:rsidP="00DF2331">
            <w:pPr>
              <w:keepNext/>
              <w:spacing w:before="0" w:after="0"/>
              <w:jc w:val="center"/>
            </w:pPr>
            <w:r>
              <w:rPr>
                <w:noProof/>
              </w:rPr>
              <w:drawing>
                <wp:inline distT="0" distB="0" distL="0" distR="0" wp14:anchorId="06F4376D" wp14:editId="219A6575">
                  <wp:extent cx="2743200" cy="2171700"/>
                  <wp:effectExtent l="0" t="0" r="0" b="0"/>
                  <wp:docPr id="13" name="Chart 13">
                    <a:extLst xmlns:a="http://schemas.openxmlformats.org/drawingml/2006/main">
                      <a:ext uri="{FF2B5EF4-FFF2-40B4-BE49-F238E27FC236}">
                        <a16:creationId xmlns:a16="http://schemas.microsoft.com/office/drawing/2014/main" id="{D57A0106-6CE6-46DA-94BB-1F18F79875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c>
          <w:tcPr>
            <w:tcW w:w="4300" w:type="dxa"/>
          </w:tcPr>
          <w:p w14:paraId="09A80D3B" w14:textId="180ECAE5" w:rsidR="00F11FE6" w:rsidRDefault="005850B6" w:rsidP="00DF2331">
            <w:pPr>
              <w:keepNext/>
              <w:spacing w:before="0" w:after="0"/>
              <w:jc w:val="center"/>
            </w:pPr>
            <w:r>
              <w:rPr>
                <w:noProof/>
              </w:rPr>
              <w:drawing>
                <wp:inline distT="0" distB="0" distL="0" distR="0" wp14:anchorId="0A8A797A" wp14:editId="3B33070E">
                  <wp:extent cx="2667000" cy="2171700"/>
                  <wp:effectExtent l="0" t="0" r="0" b="0"/>
                  <wp:docPr id="15" name="Chart 15">
                    <a:extLst xmlns:a="http://schemas.openxmlformats.org/drawingml/2006/main">
                      <a:ext uri="{FF2B5EF4-FFF2-40B4-BE49-F238E27FC236}">
                        <a16:creationId xmlns:a16="http://schemas.microsoft.com/office/drawing/2014/main" id="{10626756-B642-4D60-87C9-6E46F62C82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r>
      <w:tr w:rsidR="00F11FE6" w14:paraId="5DA7F055" w14:textId="77777777" w:rsidTr="005850B6">
        <w:tc>
          <w:tcPr>
            <w:tcW w:w="4727" w:type="dxa"/>
          </w:tcPr>
          <w:p w14:paraId="0134AEDA" w14:textId="4008EC67" w:rsidR="00F11FE6" w:rsidRDefault="00F11FE6" w:rsidP="00F11FE6">
            <w:pPr>
              <w:keepNext/>
              <w:spacing w:before="0" w:after="0"/>
              <w:jc w:val="center"/>
            </w:pPr>
            <w:r>
              <w:t>(a)</w:t>
            </w:r>
          </w:p>
        </w:tc>
        <w:tc>
          <w:tcPr>
            <w:tcW w:w="4300" w:type="dxa"/>
          </w:tcPr>
          <w:p w14:paraId="5D2488FB" w14:textId="1412CBBC" w:rsidR="00F11FE6" w:rsidRDefault="00F11FE6" w:rsidP="00F11FE6">
            <w:pPr>
              <w:keepNext/>
              <w:spacing w:before="0" w:after="0"/>
              <w:jc w:val="center"/>
            </w:pPr>
            <w:r>
              <w:t>(b)</w:t>
            </w:r>
          </w:p>
        </w:tc>
      </w:tr>
    </w:tbl>
    <w:p w14:paraId="3666519F" w14:textId="30ABF147" w:rsidR="00CB3F9B" w:rsidRDefault="00CB3F9B" w:rsidP="00CB3F9B">
      <w:pPr>
        <w:pStyle w:val="Caption"/>
      </w:pPr>
      <w:bookmarkStart w:id="305" w:name="_Ref92806821"/>
      <w:bookmarkStart w:id="306" w:name="_Toc101274545"/>
      <w:r>
        <w:t xml:space="preserve">Figure </w:t>
      </w:r>
      <w:fldSimple w:instr=" SEQ Figure \* ARABIC ">
        <w:r w:rsidR="00587AF0">
          <w:rPr>
            <w:noProof/>
          </w:rPr>
          <w:t>23</w:t>
        </w:r>
      </w:fldSimple>
      <w:bookmarkEnd w:id="305"/>
      <w:r>
        <w:t xml:space="preserve">. Type of hydraulic fluid employed </w:t>
      </w:r>
      <w:r w:rsidR="00F11FE6">
        <w:t>(a) and viscosity grade (b)</w:t>
      </w:r>
      <w:bookmarkEnd w:id="306"/>
    </w:p>
    <w:p w14:paraId="0C846AF8" w14:textId="008644B9" w:rsidR="008B3F4E" w:rsidRPr="008B3F4E" w:rsidRDefault="00364D58" w:rsidP="008B3F4E">
      <w:r>
        <w:t xml:space="preserve">Furthermore, it is also interesting that within the sphere of experimentation, mostly on diagnostics and prognostics, while in some cases also for optimisation purposes, the lack of </w:t>
      </w:r>
      <w:r w:rsidR="00E22907">
        <w:t>data regarding the size of the</w:t>
      </w:r>
      <w:r w:rsidR="0094401E">
        <w:t xml:space="preserve"> hydraulic system</w:t>
      </w:r>
      <w:r w:rsidR="00E22907">
        <w:t xml:space="preserve"> oil filling</w:t>
      </w:r>
      <w:r w:rsidR="00371EEC">
        <w:t xml:space="preserve"> </w:t>
      </w:r>
      <w:r w:rsidR="00D002C5">
        <w:t xml:space="preserve">is </w:t>
      </w:r>
      <w:r w:rsidR="0094401E">
        <w:t>noticeable</w:t>
      </w:r>
      <w:r w:rsidR="00E22907">
        <w:t xml:space="preserve">. </w:t>
      </w:r>
      <w:r w:rsidR="00F85067">
        <w:t>The l</w:t>
      </w:r>
      <w:r w:rsidR="00B424AD">
        <w:t xml:space="preserve">ack of such evidence </w:t>
      </w:r>
      <w:r w:rsidR="00F85067">
        <w:t>also forced the author to include such variables, a</w:t>
      </w:r>
      <w:r w:rsidR="00B424AD">
        <w:t>s</w:t>
      </w:r>
      <w:r w:rsidR="0087032F">
        <w:t xml:space="preserve"> depicted in </w:t>
      </w:r>
      <w:r w:rsidR="0087032F">
        <w:fldChar w:fldCharType="begin"/>
      </w:r>
      <w:r w:rsidR="0087032F">
        <w:instrText xml:space="preserve"> REF _Ref92807426 \h </w:instrText>
      </w:r>
      <w:r w:rsidR="0087032F">
        <w:fldChar w:fldCharType="separate"/>
      </w:r>
      <w:r w:rsidR="00587AF0">
        <w:t xml:space="preserve">Figure </w:t>
      </w:r>
      <w:r w:rsidR="00587AF0">
        <w:rPr>
          <w:noProof/>
        </w:rPr>
        <w:t>24</w:t>
      </w:r>
      <w:r w:rsidR="0087032F">
        <w:fldChar w:fldCharType="end"/>
      </w:r>
      <w:r w:rsidR="0087032F">
        <w:t xml:space="preserve">. </w:t>
      </w:r>
      <w:r w:rsidR="00D002C5">
        <w:t>D</w:t>
      </w:r>
      <w:r w:rsidR="00E22907">
        <w:t xml:space="preserve">efining </w:t>
      </w:r>
      <w:r w:rsidR="009458CE">
        <w:t xml:space="preserve">critical points or allowable </w:t>
      </w:r>
      <w:r w:rsidR="00E22907">
        <w:t xml:space="preserve">thresholds for determining </w:t>
      </w:r>
      <w:r w:rsidR="009458CE">
        <w:t>wear of a hydraulic pump</w:t>
      </w:r>
      <w:r w:rsidR="00D002C5">
        <w:t xml:space="preserve"> by</w:t>
      </w:r>
      <w:r w:rsidR="00F64C8F">
        <w:t xml:space="preserve"> spectrophotometric analysis given in ppm</w:t>
      </w:r>
      <w:r w:rsidR="008F21E3">
        <w:t xml:space="preserve"> (~mg/l)</w:t>
      </w:r>
      <w:r w:rsidR="00F64C8F">
        <w:t xml:space="preserve"> largely affect</w:t>
      </w:r>
      <w:r w:rsidR="00D002C5">
        <w:t>s</w:t>
      </w:r>
      <w:r w:rsidR="00F64C8F">
        <w:t xml:space="preserve"> the amount of fluid within the system and the wear-lag</w:t>
      </w:r>
      <w:r w:rsidR="00C86AA9">
        <w:t xml:space="preserve"> indicator that can </w:t>
      </w:r>
      <w:r w:rsidR="00C86AA9">
        <w:lastRenderedPageBreak/>
        <w:t>show below</w:t>
      </w:r>
      <w:r w:rsidR="00D83A4D">
        <w:t>-</w:t>
      </w:r>
      <w:r w:rsidR="00C86AA9">
        <w:t>defined limit (rule of thumb for ferrous particles between 5-15 ppm).</w:t>
      </w:r>
      <w:r w:rsidR="008F21E3">
        <w:t xml:space="preserve"> Th</w:t>
      </w:r>
      <w:r w:rsidR="00D002C5">
        <w:t>e</w:t>
      </w:r>
      <w:r w:rsidR="008F21E3">
        <w:t xml:space="preserve">refore, it is also important to gain insight into </w:t>
      </w:r>
      <w:r w:rsidR="00E22360">
        <w:t xml:space="preserve">this variable and search whether there is </w:t>
      </w:r>
      <w:r w:rsidR="00D002C5">
        <w:t xml:space="preserve">a </w:t>
      </w:r>
      <w:r w:rsidR="00E22360">
        <w:t xml:space="preserve">correlation between </w:t>
      </w:r>
      <w:r w:rsidR="00D002C5">
        <w:t>them</w:t>
      </w:r>
      <w:r w:rsidR="00E22360">
        <w:t>.</w:t>
      </w:r>
    </w:p>
    <w:p w14:paraId="7AFD4CDF" w14:textId="77777777" w:rsidR="009C0379" w:rsidRDefault="009C0379" w:rsidP="009C0379">
      <w:pPr>
        <w:keepNext/>
        <w:spacing w:before="0" w:after="0"/>
      </w:pPr>
      <w:r>
        <w:rPr>
          <w:noProof/>
        </w:rPr>
        <w:drawing>
          <wp:inline distT="0" distB="0" distL="0" distR="0" wp14:anchorId="2166C20B" wp14:editId="2FA27DDA">
            <wp:extent cx="5732145" cy="1828800"/>
            <wp:effectExtent l="0" t="0" r="1905" b="0"/>
            <wp:docPr id="45" name="Chart 45">
              <a:extLst xmlns:a="http://schemas.openxmlformats.org/drawingml/2006/main">
                <a:ext uri="{FF2B5EF4-FFF2-40B4-BE49-F238E27FC236}">
                  <a16:creationId xmlns:a16="http://schemas.microsoft.com/office/drawing/2014/main" id="{1E838FCA-ECE7-43BA-A22E-833AD92499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27AF06F" w14:textId="79B1BC21" w:rsidR="009C0379" w:rsidRDefault="009C0379" w:rsidP="009C0379">
      <w:pPr>
        <w:pStyle w:val="Caption"/>
      </w:pPr>
      <w:bookmarkStart w:id="307" w:name="_Ref92807426"/>
      <w:bookmarkStart w:id="308" w:name="_Toc101274546"/>
      <w:r>
        <w:t xml:space="preserve">Figure </w:t>
      </w:r>
      <w:fldSimple w:instr=" SEQ Figure \* ARABIC ">
        <w:r w:rsidR="00587AF0">
          <w:rPr>
            <w:noProof/>
          </w:rPr>
          <w:t>24</w:t>
        </w:r>
      </w:fldSimple>
      <w:bookmarkEnd w:id="307"/>
      <w:r>
        <w:t>. Hydraulic fluid fillings within the whole control system or a machine</w:t>
      </w:r>
      <w:bookmarkEnd w:id="308"/>
    </w:p>
    <w:p w14:paraId="0E5617C2" w14:textId="5F91FF58" w:rsidR="00CB3F9B" w:rsidRDefault="00815BD4" w:rsidP="00CB3F9B">
      <w:r>
        <w:t>Acquired data should serve as a descriptive notion of industrial</w:t>
      </w:r>
      <w:r w:rsidR="00E615A2">
        <w:t xml:space="preserve"> state-of-the-practice for establishing the median or mean operational characteristics for justifying the proposed experimental design and </w:t>
      </w:r>
      <w:r w:rsidR="00857C42">
        <w:t>later validati</w:t>
      </w:r>
      <w:r w:rsidR="00E615A2">
        <w:t>on. Moreover, since</w:t>
      </w:r>
      <w:r w:rsidR="00E91B02">
        <w:t xml:space="preserve"> operational characteristics are not </w:t>
      </w:r>
      <w:r w:rsidR="00734AC5">
        <w:t xml:space="preserve">large </w:t>
      </w:r>
      <w:r w:rsidR="00E91B02">
        <w:t xml:space="preserve">enough </w:t>
      </w:r>
      <w:r w:rsidR="00016AC1">
        <w:t xml:space="preserve">to gain insight into </w:t>
      </w:r>
      <w:r w:rsidR="00857C42">
        <w:t xml:space="preserve">the </w:t>
      </w:r>
      <w:r w:rsidR="00016AC1">
        <w:t>current state</w:t>
      </w:r>
      <w:r w:rsidR="00857C42">
        <w:t xml:space="preserve"> of the </w:t>
      </w:r>
      <w:r w:rsidR="00016AC1">
        <w:t>practice, maintenance performances, activities and indicators are also used to evaluate the type of failures, programs,</w:t>
      </w:r>
      <w:r w:rsidR="00C70D81">
        <w:t xml:space="preserve"> and associated activities and are represented in the following. Such data is used to gain insight into market-maintenance intelligence and technology</w:t>
      </w:r>
      <w:r w:rsidR="00B17787">
        <w:t xml:space="preserve"> for concluding whether the market is available for accepting radical changes in sustainable</w:t>
      </w:r>
      <w:r w:rsidR="003F202D">
        <w:t xml:space="preserve"> </w:t>
      </w:r>
      <w:r w:rsidR="00734AC5">
        <w:t>practice</w:t>
      </w:r>
      <w:r w:rsidR="00B17787">
        <w:t>.</w:t>
      </w:r>
    </w:p>
    <w:p w14:paraId="5D0446C4" w14:textId="704756E7" w:rsidR="000A0BCC" w:rsidRDefault="000A0BCC" w:rsidP="000A0BCC">
      <w:pPr>
        <w:pStyle w:val="Heading3"/>
      </w:pPr>
      <w:bookmarkStart w:id="309" w:name="_Toc93759897"/>
      <w:bookmarkStart w:id="310" w:name="_Toc93760001"/>
      <w:bookmarkStart w:id="311" w:name="_Toc101274358"/>
      <w:r>
        <w:t xml:space="preserve">Maintenance practice </w:t>
      </w:r>
      <w:r w:rsidR="000813EC">
        <w:t>descriptive survey results of West Balkan</w:t>
      </w:r>
      <w:bookmarkEnd w:id="309"/>
      <w:bookmarkEnd w:id="310"/>
      <w:bookmarkEnd w:id="311"/>
    </w:p>
    <w:p w14:paraId="7EDE56F6" w14:textId="1449C7E1" w:rsidR="00C370C6" w:rsidRDefault="00C370C6" w:rsidP="00C370C6">
      <w:r>
        <w:t xml:space="preserve">The author considers that </w:t>
      </w:r>
      <w:r w:rsidR="00016AC1">
        <w:t xml:space="preserve">top </w:t>
      </w:r>
      <w:r w:rsidR="00B424AD">
        <w:t xml:space="preserve">maintenance </w:t>
      </w:r>
      <w:r w:rsidR="00016AC1">
        <w:t>management often misunderstood and misinterpreted most maintenance practices, leading to inadequate strategy, maintenance actions,</w:t>
      </w:r>
      <w:r>
        <w:t xml:space="preserve"> and logistic support. T</w:t>
      </w:r>
      <w:r w:rsidR="00016AC1">
        <w:t xml:space="preserve">he author surveyed </w:t>
      </w:r>
      <w:r w:rsidR="00D83A4D">
        <w:t xml:space="preserve">the </w:t>
      </w:r>
      <w:r w:rsidR="00016AC1">
        <w:t>top management of various companies employing a hydraulic system to support such a clai</w:t>
      </w:r>
      <w:r>
        <w:t>m</w:t>
      </w:r>
      <w:r w:rsidR="00016AC1">
        <w:t>. T</w:t>
      </w:r>
      <w:r>
        <w:t xml:space="preserve">he results show that </w:t>
      </w:r>
      <w:r w:rsidR="00016AC1">
        <w:t xml:space="preserve">the </w:t>
      </w:r>
      <w:r>
        <w:t>maintenance policy is still</w:t>
      </w:r>
      <w:r w:rsidR="0016774D">
        <w:t xml:space="preserve"> poorly developed</w:t>
      </w:r>
      <w:r>
        <w:t xml:space="preserve"> (</w:t>
      </w:r>
      <w:r>
        <w:fldChar w:fldCharType="begin"/>
      </w:r>
      <w:r>
        <w:instrText xml:space="preserve"> REF _Ref64968325 \h </w:instrText>
      </w:r>
      <w:r>
        <w:fldChar w:fldCharType="separate"/>
      </w:r>
      <w:r w:rsidR="00587AF0">
        <w:t xml:space="preserve">Figure </w:t>
      </w:r>
      <w:r w:rsidR="00587AF0">
        <w:rPr>
          <w:noProof/>
        </w:rPr>
        <w:t>25</w:t>
      </w:r>
      <w:r>
        <w:fldChar w:fldCharType="end"/>
      </w:r>
      <w:r>
        <w:t xml:space="preserve">a). Looking at the programs utilised within various maintenance policies, </w:t>
      </w:r>
      <w:r w:rsidR="00016AC1">
        <w:t xml:space="preserve">the </w:t>
      </w:r>
      <w:r>
        <w:t>chart (</w:t>
      </w:r>
      <w:r w:rsidR="000823A0">
        <w:fldChar w:fldCharType="begin"/>
      </w:r>
      <w:r w:rsidR="000823A0">
        <w:instrText xml:space="preserve"> REF _Ref64968325 \h </w:instrText>
      </w:r>
      <w:r w:rsidR="000823A0">
        <w:fldChar w:fldCharType="separate"/>
      </w:r>
      <w:r w:rsidR="00587AF0">
        <w:t xml:space="preserve">Figure </w:t>
      </w:r>
      <w:r w:rsidR="00587AF0">
        <w:rPr>
          <w:noProof/>
        </w:rPr>
        <w:t>25</w:t>
      </w:r>
      <w:r w:rsidR="000823A0">
        <w:fldChar w:fldCharType="end"/>
      </w:r>
      <w:r>
        <w:t xml:space="preserve">b) shows that most companies rely </w:t>
      </w:r>
      <w:r w:rsidR="00E57DB0">
        <w:t xml:space="preserve">only </w:t>
      </w:r>
      <w:r w:rsidR="00636DAB">
        <w:t>on visual conditioning</w:t>
      </w:r>
      <w:r w:rsidR="0016774D">
        <w:t xml:space="preserve"> and inspections</w:t>
      </w:r>
      <w:r>
        <w:t xml:space="preserve"> (4</w:t>
      </w:r>
      <w:r w:rsidR="00294750">
        <w:t>1</w:t>
      </w:r>
      <w:r>
        <w:t>%)</w:t>
      </w:r>
      <w:r w:rsidR="00973B92">
        <w:t>.</w:t>
      </w:r>
    </w:p>
    <w:tbl>
      <w:tblPr>
        <w:tblW w:w="0" w:type="auto"/>
        <w:tblLayout w:type="fixed"/>
        <w:tblLook w:val="04A0" w:firstRow="1" w:lastRow="0" w:firstColumn="1" w:lastColumn="0" w:noHBand="0" w:noVBand="1"/>
      </w:tblPr>
      <w:tblGrid>
        <w:gridCol w:w="4620"/>
        <w:gridCol w:w="4407"/>
      </w:tblGrid>
      <w:tr w:rsidR="00FE0777" w14:paraId="0DB40468" w14:textId="77777777" w:rsidTr="00223747">
        <w:tc>
          <w:tcPr>
            <w:tcW w:w="4620" w:type="dxa"/>
          </w:tcPr>
          <w:p w14:paraId="258569F2" w14:textId="7A02143E" w:rsidR="00CB3F9B" w:rsidRDefault="00223747" w:rsidP="005D45D0">
            <w:pPr>
              <w:spacing w:before="0" w:after="0"/>
              <w:jc w:val="center"/>
            </w:pPr>
            <w:r>
              <w:rPr>
                <w:noProof/>
              </w:rPr>
              <w:drawing>
                <wp:inline distT="0" distB="0" distL="0" distR="0" wp14:anchorId="3CCF7B52" wp14:editId="07C2DEE7">
                  <wp:extent cx="2796540" cy="1902460"/>
                  <wp:effectExtent l="0" t="0" r="3810" b="2540"/>
                  <wp:docPr id="5" name="Chart 5">
                    <a:extLst xmlns:a="http://schemas.openxmlformats.org/drawingml/2006/main">
                      <a:ext uri="{FF2B5EF4-FFF2-40B4-BE49-F238E27FC236}">
                        <a16:creationId xmlns:a16="http://schemas.microsoft.com/office/drawing/2014/main" id="{02B247CE-C27B-41D4-A693-E1CA5C64D4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c>
          <w:tcPr>
            <w:tcW w:w="4407" w:type="dxa"/>
          </w:tcPr>
          <w:p w14:paraId="0A3E28E8" w14:textId="6D12CA41" w:rsidR="00CB3F9B" w:rsidRDefault="00C370C6" w:rsidP="005D45D0">
            <w:pPr>
              <w:jc w:val="center"/>
            </w:pPr>
            <w:r>
              <w:rPr>
                <w:noProof/>
              </w:rPr>
              <w:drawing>
                <wp:inline distT="0" distB="0" distL="0" distR="0" wp14:anchorId="04E60E70" wp14:editId="59EDFB10">
                  <wp:extent cx="2628265" cy="1824823"/>
                  <wp:effectExtent l="0" t="0" r="635" b="4445"/>
                  <wp:docPr id="46" name="Chart 46">
                    <a:extLst xmlns:a="http://schemas.openxmlformats.org/drawingml/2006/main">
                      <a:ext uri="{FF2B5EF4-FFF2-40B4-BE49-F238E27FC236}">
                        <a16:creationId xmlns:a16="http://schemas.microsoft.com/office/drawing/2014/main" id="{1A94BF74-D17E-46FD-BE40-B38A113DBC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r>
      <w:tr w:rsidR="00FE0777" w14:paraId="6BE236F5" w14:textId="77777777" w:rsidTr="00D514FD">
        <w:tc>
          <w:tcPr>
            <w:tcW w:w="4620" w:type="dxa"/>
          </w:tcPr>
          <w:p w14:paraId="4E19BF21" w14:textId="77777777" w:rsidR="00CB3F9B" w:rsidRDefault="00CB3F9B" w:rsidP="00E2626F">
            <w:pPr>
              <w:spacing w:before="0" w:after="0"/>
              <w:jc w:val="center"/>
            </w:pPr>
            <w:r>
              <w:t>(a)</w:t>
            </w:r>
          </w:p>
        </w:tc>
        <w:tc>
          <w:tcPr>
            <w:tcW w:w="4407" w:type="dxa"/>
          </w:tcPr>
          <w:p w14:paraId="4CC63B6A" w14:textId="77777777" w:rsidR="00CB3F9B" w:rsidRDefault="00CB3F9B" w:rsidP="00E2626F">
            <w:pPr>
              <w:keepNext/>
              <w:spacing w:before="0" w:after="0"/>
              <w:jc w:val="center"/>
            </w:pPr>
            <w:r>
              <w:t>(b)</w:t>
            </w:r>
          </w:p>
        </w:tc>
      </w:tr>
    </w:tbl>
    <w:p w14:paraId="606352F5" w14:textId="6A8BCEF9" w:rsidR="00CB3F9B" w:rsidRDefault="00CB3F9B" w:rsidP="00CB3F9B">
      <w:pPr>
        <w:pStyle w:val="Caption"/>
      </w:pPr>
      <w:bookmarkStart w:id="312" w:name="_Ref64968325"/>
      <w:bookmarkStart w:id="313" w:name="_Toc101274547"/>
      <w:r>
        <w:t xml:space="preserve">Figure </w:t>
      </w:r>
      <w:fldSimple w:instr=" SEQ Figure \* ARABIC ">
        <w:r w:rsidR="00587AF0">
          <w:rPr>
            <w:noProof/>
          </w:rPr>
          <w:t>25</w:t>
        </w:r>
      </w:fldSimple>
      <w:bookmarkEnd w:id="312"/>
      <w:r>
        <w:t>. Maintenance</w:t>
      </w:r>
      <w:r w:rsidR="00772EDA">
        <w:t xml:space="preserve"> practice</w:t>
      </w:r>
      <w:r>
        <w:t xml:space="preserve"> (a) and </w:t>
      </w:r>
      <w:r w:rsidR="00772EDA">
        <w:t>available sensors</w:t>
      </w:r>
      <w:r>
        <w:t xml:space="preserve"> (b) of</w:t>
      </w:r>
      <w:r w:rsidR="00772EDA">
        <w:t xml:space="preserve"> respondents</w:t>
      </w:r>
      <w:bookmarkEnd w:id="313"/>
    </w:p>
    <w:p w14:paraId="06F64D58" w14:textId="452A39A9" w:rsidR="001B3A68" w:rsidRPr="001B3A68" w:rsidRDefault="0055798F" w:rsidP="001B3A68">
      <w:r>
        <w:t>By far</w:t>
      </w:r>
      <w:r w:rsidR="006218A3">
        <w:t>,</w:t>
      </w:r>
      <w:r>
        <w:t xml:space="preserve"> </w:t>
      </w:r>
      <w:r w:rsidR="00EA578E">
        <w:t xml:space="preserve">the </w:t>
      </w:r>
      <w:r>
        <w:t xml:space="preserve">most important factor lacking in various studies (e.g. </w:t>
      </w:r>
      <w:r w:rsidR="00EA578E">
        <w:fldChar w:fldCharType="begin" w:fldLock="1"/>
      </w:r>
      <w:r w:rsidR="00645D0B">
        <w:instrText>ADDIN CSL_CITATION {"citationItems":[{"id":"ITEM-1","itemData":{"DOI":"10.1016/j.ymssp.2016.06.006","ISSN":"0888-3270","author":[{"dropping-particle":"","family":"Ng","given":"Felix","non-dropping-particle":"","parse-names":false,"suffix":""},{"dropping-particle":"","family":"Harding","given":"Jennifer A","non-dropping-particle":"","parse-names":false,"suffix":""},{"dropping-particle":"","family":"Glass","given":"Jacqueline","non-dropping-particle":"","parse-names":false,"suffix":""}],"container-title":"Mechanical Systems and Signal Processing","id":"ITEM-1","issue":"2","issued":{"date-parts":[["2017"]]},"page":"176-193","publisher":"Elsevier","title":"Improving hydraulic excavator performance through in line hydraulic oil contamination monitoring","type":"article-journal","volume":"83"},"uris":["http://www.mendeley.com/documents/?uuid=800d33dd-fa44-4317-9883-b9de45574479"]},{"id":"ITEM-2","itemData":{"DOI":"10.5937/vojtehg62-4676","ISSN":"0042-8469","author":[{"dropping-particle":"","family":"Jocanović","given":"Mitar T.","non-dropping-particle":"","parse-names":false,"suffix":""},{"dropping-particle":"V.","family":"Karanović","given":"Velibor","non-dropping-particle":"","parse-names":false,"suffix":""},{"dropping-particle":"V.","family":"Ivanišević","given":"Andrea","non-dropping-particle":"","parse-names":false,"suffix":""},{"dropping-particle":"","family":"Knežević","given":"Darko M.","non-dropping-particle":"","parse-names":false,"suffix":""}],"container-title":"Vojnotehnicki glasnik","id":"ITEM-2","issue":"1","issued":{"date-parts":[["2014"]]},"page":"112-129","title":"Hydraulic hammer excavator failure due to solid particle contamination","type":"article-journal","volume":"62"},"uris":["http://www.mendeley.com/documents/?uuid=1e30dc55-d778-4fb9-9a52-e2292997ff81"]}],"mendeley":{"formattedCitation":"[118], [119]","plainTextFormattedCitation":"[118], [119]","previouslyFormattedCitation":"[118], [119]"},"properties":{"noteIndex":0},"schema":"https://github.com/citation-style-language/schema/raw/master/csl-citation.json"}</w:instrText>
      </w:r>
      <w:r w:rsidR="00EA578E">
        <w:fldChar w:fldCharType="separate"/>
      </w:r>
      <w:r w:rsidR="00416869" w:rsidRPr="00416869">
        <w:rPr>
          <w:noProof/>
        </w:rPr>
        <w:t>[118], [119]</w:t>
      </w:r>
      <w:r w:rsidR="00EA578E">
        <w:fldChar w:fldCharType="end"/>
      </w:r>
      <w:r w:rsidR="00EA578E">
        <w:t>) is the machine age</w:t>
      </w:r>
      <w:r w:rsidR="002667DE">
        <w:t xml:space="preserve"> of the system or machine being investigated.</w:t>
      </w:r>
      <w:r w:rsidR="0016774D">
        <w:t xml:space="preserve"> </w:t>
      </w:r>
      <w:r w:rsidR="00DB01A6">
        <w:t xml:space="preserve">This is extremely </w:t>
      </w:r>
      <w:r w:rsidR="0016774D">
        <w:t>important</w:t>
      </w:r>
      <w:r w:rsidR="00DB01A6">
        <w:t xml:space="preserve"> </w:t>
      </w:r>
      <w:r w:rsidR="00284032">
        <w:t xml:space="preserve">in </w:t>
      </w:r>
      <w:r w:rsidR="0016774D">
        <w:t>evaluating the</w:t>
      </w:r>
      <w:r w:rsidR="00284032">
        <w:t xml:space="preserve"> hydraulic components</w:t>
      </w:r>
      <w:r w:rsidR="0016774D">
        <w:t xml:space="preserve"> and </w:t>
      </w:r>
      <w:r w:rsidR="00D3415F">
        <w:t xml:space="preserve">the </w:t>
      </w:r>
      <w:r w:rsidR="0016774D">
        <w:t xml:space="preserve">state </w:t>
      </w:r>
      <w:r w:rsidR="00284032">
        <w:t>since the contaminant-induced wear, e.g. hydraulic pump</w:t>
      </w:r>
      <w:r w:rsidR="00D3415F">
        <w:t>,</w:t>
      </w:r>
      <w:r w:rsidR="00284032">
        <w:t xml:space="preserve"> causes further </w:t>
      </w:r>
      <w:r w:rsidR="00284032">
        <w:lastRenderedPageBreak/>
        <w:t xml:space="preserve">contamination and degradation of </w:t>
      </w:r>
      <w:r w:rsidR="00481EAA">
        <w:t>different sensitive components.</w:t>
      </w:r>
      <w:r w:rsidR="0016774D">
        <w:t xml:space="preserve"> S</w:t>
      </w:r>
      <w:r w:rsidR="00DA0CFD">
        <w:t xml:space="preserve">uspecting that different machines and their associated </w:t>
      </w:r>
      <w:r w:rsidR="00680C1B">
        <w:t>frequency of</w:t>
      </w:r>
      <w:r w:rsidR="00DA0CFD">
        <w:t xml:space="preserve"> failure</w:t>
      </w:r>
      <w:r w:rsidR="00680C1B">
        <w:t>s (of components)</w:t>
      </w:r>
      <w:r w:rsidR="00DA0CFD">
        <w:t xml:space="preserve"> is exponential</w:t>
      </w:r>
      <w:r w:rsidR="009F725A">
        <w:t xml:space="preserve"> (or </w:t>
      </w:r>
      <w:r w:rsidR="006218A3">
        <w:t>W</w:t>
      </w:r>
      <w:r w:rsidR="009F725A">
        <w:t>eibull)</w:t>
      </w:r>
      <w:r w:rsidR="006218A3">
        <w:t>,</w:t>
      </w:r>
      <w:r w:rsidR="009F725A">
        <w:t xml:space="preserve"> it is important to emphasise the machine state investigated</w:t>
      </w:r>
      <w:r w:rsidR="0056094B">
        <w:t xml:space="preserve"> in terms of </w:t>
      </w:r>
      <w:r w:rsidR="006218A3">
        <w:t xml:space="preserve">the </w:t>
      </w:r>
      <w:r w:rsidR="0056094B">
        <w:t>machine age</w:t>
      </w:r>
      <w:r w:rsidR="009F725A">
        <w:t>.</w:t>
      </w:r>
      <w:r w:rsidR="0056094B">
        <w:t xml:space="preserve"> It can be seen that most of the machines are</w:t>
      </w:r>
      <w:r w:rsidR="00317644">
        <w:t xml:space="preserve"> at </w:t>
      </w:r>
      <w:r w:rsidR="006218A3">
        <w:t xml:space="preserve">a </w:t>
      </w:r>
      <w:r w:rsidR="00317644">
        <w:t>somewhat mid exploitation age state, presumably (</w:t>
      </w:r>
      <w:r w:rsidR="00317644">
        <w:fldChar w:fldCharType="begin"/>
      </w:r>
      <w:r w:rsidR="00317644">
        <w:instrText xml:space="preserve"> REF _Ref92808904 \h </w:instrText>
      </w:r>
      <w:r w:rsidR="00317644">
        <w:fldChar w:fldCharType="separate"/>
      </w:r>
      <w:r w:rsidR="00587AF0">
        <w:t xml:space="preserve">Figure </w:t>
      </w:r>
      <w:r w:rsidR="00587AF0">
        <w:rPr>
          <w:noProof/>
        </w:rPr>
        <w:t>26</w:t>
      </w:r>
      <w:r w:rsidR="00317644">
        <w:fldChar w:fldCharType="end"/>
      </w:r>
      <w:r w:rsidR="000B53E4">
        <w:t>a</w:t>
      </w:r>
      <w:r w:rsidR="00317644">
        <w:t>).</w:t>
      </w:r>
      <w:r w:rsidR="001E6817">
        <w:t xml:space="preserve"> Earlier mentioned that machine state </w:t>
      </w:r>
      <w:r w:rsidR="008A59AC">
        <w:t>is monit</w:t>
      </w:r>
      <w:r w:rsidR="006218A3">
        <w:t>or</w:t>
      </w:r>
      <w:r w:rsidR="008A59AC">
        <w:t>ed most</w:t>
      </w:r>
      <w:r w:rsidR="0097493B">
        <w:t>l</w:t>
      </w:r>
      <w:r w:rsidR="008A59AC">
        <w:t xml:space="preserve">y on visual (regular) inspection intervals, the </w:t>
      </w:r>
      <w:r w:rsidR="007B21A5">
        <w:t>specified failure arrival</w:t>
      </w:r>
      <w:r w:rsidR="008A59AC">
        <w:t xml:space="preserve"> </w:t>
      </w:r>
      <w:r w:rsidR="0097493B">
        <w:t>i</w:t>
      </w:r>
      <w:r w:rsidR="008A59AC">
        <w:t>s important</w:t>
      </w:r>
      <w:r w:rsidR="0097493B">
        <w:t xml:space="preserve"> to predict.</w:t>
      </w:r>
      <w:r w:rsidR="008A59AC">
        <w:t xml:space="preserve"> </w:t>
      </w:r>
      <w:r w:rsidR="000B53E4">
        <w:fldChar w:fldCharType="begin"/>
      </w:r>
      <w:r w:rsidR="000B53E4">
        <w:instrText xml:space="preserve"> REF _Ref92808904 \h </w:instrText>
      </w:r>
      <w:r w:rsidR="000B53E4">
        <w:fldChar w:fldCharType="separate"/>
      </w:r>
      <w:r w:rsidR="00587AF0">
        <w:t xml:space="preserve">Figure </w:t>
      </w:r>
      <w:r w:rsidR="00587AF0">
        <w:rPr>
          <w:noProof/>
        </w:rPr>
        <w:t>26</w:t>
      </w:r>
      <w:r w:rsidR="000B53E4">
        <w:fldChar w:fldCharType="end"/>
      </w:r>
      <w:r w:rsidR="000B53E4">
        <w:t>b</w:t>
      </w:r>
      <w:r w:rsidR="001E6817">
        <w:t xml:space="preserve"> </w:t>
      </w:r>
      <w:r w:rsidR="0097493B">
        <w:t>shows that most companies</w:t>
      </w:r>
      <w:r w:rsidR="000127B8">
        <w:t xml:space="preserve"> rely on </w:t>
      </w:r>
      <w:r w:rsidR="006218A3">
        <w:t>a machine</w:t>
      </w:r>
      <w:r w:rsidR="00925A1B">
        <w:t>’</w:t>
      </w:r>
      <w:r w:rsidR="006218A3">
        <w:t>s pressure, temperature, and flow state</w:t>
      </w:r>
      <w:r w:rsidR="000127B8">
        <w:t xml:space="preserve"> </w:t>
      </w:r>
      <w:r w:rsidR="000E6DC4">
        <w:t>for op</w:t>
      </w:r>
      <w:r w:rsidR="006218A3">
        <w:t>t</w:t>
      </w:r>
      <w:r w:rsidR="000E6DC4">
        <w:t>imising maintenance</w:t>
      </w:r>
      <w:r w:rsidR="000127B8">
        <w:t xml:space="preserve"> decision-making activities</w:t>
      </w:r>
      <w:r w:rsidR="0016774D">
        <w:t>, which could be a beneficial argument for emphasising EBM practice.</w:t>
      </w:r>
    </w:p>
    <w:tbl>
      <w:tblPr>
        <w:tblW w:w="0" w:type="auto"/>
        <w:tblLook w:val="04A0" w:firstRow="1" w:lastRow="0" w:firstColumn="1" w:lastColumn="0" w:noHBand="0" w:noVBand="1"/>
      </w:tblPr>
      <w:tblGrid>
        <w:gridCol w:w="4506"/>
        <w:gridCol w:w="4521"/>
      </w:tblGrid>
      <w:tr w:rsidR="00FE14D9" w14:paraId="14B35172" w14:textId="77777777" w:rsidTr="00FE14D9">
        <w:tc>
          <w:tcPr>
            <w:tcW w:w="4506" w:type="dxa"/>
          </w:tcPr>
          <w:p w14:paraId="5D7267E1" w14:textId="2B6D2707" w:rsidR="00CB3F9B" w:rsidRDefault="004D42F2" w:rsidP="00272FF3">
            <w:pPr>
              <w:spacing w:before="0" w:after="0"/>
              <w:jc w:val="center"/>
            </w:pPr>
            <w:r>
              <w:rPr>
                <w:noProof/>
              </w:rPr>
              <w:drawing>
                <wp:inline distT="0" distB="0" distL="0" distR="0" wp14:anchorId="157F02A0" wp14:editId="19C58907">
                  <wp:extent cx="2724150" cy="2057400"/>
                  <wp:effectExtent l="0" t="0" r="0" b="0"/>
                  <wp:docPr id="11" name="Chart 11">
                    <a:extLst xmlns:a="http://schemas.openxmlformats.org/drawingml/2006/main">
                      <a:ext uri="{FF2B5EF4-FFF2-40B4-BE49-F238E27FC236}">
                        <a16:creationId xmlns:a16="http://schemas.microsoft.com/office/drawing/2014/main" id="{19131422-D023-46C1-A791-094CA03464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c>
        <w:tc>
          <w:tcPr>
            <w:tcW w:w="4521" w:type="dxa"/>
          </w:tcPr>
          <w:p w14:paraId="09080BA4" w14:textId="7622BE35" w:rsidR="00CB3F9B" w:rsidRDefault="00C370C6" w:rsidP="00272FF3">
            <w:pPr>
              <w:spacing w:before="0" w:after="0"/>
              <w:jc w:val="center"/>
            </w:pPr>
            <w:r>
              <w:rPr>
                <w:noProof/>
              </w:rPr>
              <w:drawing>
                <wp:inline distT="0" distB="0" distL="0" distR="0" wp14:anchorId="2DE7DD88" wp14:editId="4A26A0D1">
                  <wp:extent cx="2714625" cy="2029364"/>
                  <wp:effectExtent l="0" t="0" r="0" b="0"/>
                  <wp:docPr id="121" name="Chart 121">
                    <a:extLst xmlns:a="http://schemas.openxmlformats.org/drawingml/2006/main">
                      <a:ext uri="{FF2B5EF4-FFF2-40B4-BE49-F238E27FC236}">
                        <a16:creationId xmlns:a16="http://schemas.microsoft.com/office/drawing/2014/main" id="{9C02B2AA-80C7-414F-8A98-3DD5C4062D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tc>
      </w:tr>
      <w:tr w:rsidR="00996294" w14:paraId="274228B2" w14:textId="77777777" w:rsidTr="00FE14D9">
        <w:tc>
          <w:tcPr>
            <w:tcW w:w="4506" w:type="dxa"/>
          </w:tcPr>
          <w:p w14:paraId="3E48451A" w14:textId="77777777" w:rsidR="00CB3F9B" w:rsidRDefault="00CB3F9B" w:rsidP="00E2626F">
            <w:pPr>
              <w:spacing w:before="0" w:after="0"/>
              <w:jc w:val="center"/>
            </w:pPr>
            <w:r>
              <w:t>(a)</w:t>
            </w:r>
          </w:p>
        </w:tc>
        <w:tc>
          <w:tcPr>
            <w:tcW w:w="4521" w:type="dxa"/>
          </w:tcPr>
          <w:p w14:paraId="758FC33E" w14:textId="77777777" w:rsidR="00CB3F9B" w:rsidRDefault="00CB3F9B" w:rsidP="00E2626F">
            <w:pPr>
              <w:keepNext/>
              <w:spacing w:before="0" w:after="0"/>
              <w:jc w:val="center"/>
            </w:pPr>
            <w:r>
              <w:t>(b)</w:t>
            </w:r>
          </w:p>
        </w:tc>
      </w:tr>
    </w:tbl>
    <w:p w14:paraId="30200237" w14:textId="013B5ECF" w:rsidR="00CB3F9B" w:rsidRPr="009A2F4A" w:rsidRDefault="00CB3F9B" w:rsidP="00CB3F9B">
      <w:pPr>
        <w:pStyle w:val="Caption"/>
      </w:pPr>
      <w:bookmarkStart w:id="314" w:name="_Ref92808904"/>
      <w:bookmarkStart w:id="315" w:name="_Toc101274548"/>
      <w:r>
        <w:t xml:space="preserve">Figure </w:t>
      </w:r>
      <w:fldSimple w:instr=" SEQ Figure \* ARABIC ">
        <w:r w:rsidR="00587AF0">
          <w:rPr>
            <w:noProof/>
          </w:rPr>
          <w:t>26</w:t>
        </w:r>
      </w:fldSimple>
      <w:bookmarkEnd w:id="314"/>
      <w:r>
        <w:t xml:space="preserve">. </w:t>
      </w:r>
      <w:r w:rsidR="00E03779">
        <w:t>Machine age distribution</w:t>
      </w:r>
      <w:r>
        <w:t xml:space="preserve"> (a) </w:t>
      </w:r>
      <w:r w:rsidR="00FE14D9">
        <w:t>and machine state analysis program</w:t>
      </w:r>
      <w:r>
        <w:t xml:space="preserve"> (b)</w:t>
      </w:r>
      <w:bookmarkEnd w:id="315"/>
    </w:p>
    <w:p w14:paraId="3E40ABBD" w14:textId="15FAAEB5" w:rsidR="00CB3F9B" w:rsidRDefault="00EF7A12" w:rsidP="00CB3F9B">
      <w:r>
        <w:t>Going into the depth of the maintenance practice</w:t>
      </w:r>
      <w:r w:rsidR="006153A1">
        <w:t>,</w:t>
      </w:r>
      <w:r w:rsidR="001924D6">
        <w:t xml:space="preserve"> it is important to see whether the department size (</w:t>
      </w:r>
      <w:r w:rsidR="00A20A7E">
        <w:fldChar w:fldCharType="begin"/>
      </w:r>
      <w:r w:rsidR="00A20A7E">
        <w:instrText xml:space="preserve"> REF _Ref92809328 \h </w:instrText>
      </w:r>
      <w:r w:rsidR="00A20A7E">
        <w:fldChar w:fldCharType="separate"/>
      </w:r>
      <w:r w:rsidR="00587AF0">
        <w:t xml:space="preserve">Figure </w:t>
      </w:r>
      <w:r w:rsidR="00587AF0">
        <w:rPr>
          <w:noProof/>
        </w:rPr>
        <w:t>27</w:t>
      </w:r>
      <w:r w:rsidR="00A20A7E">
        <w:fldChar w:fldCharType="end"/>
      </w:r>
      <w:r w:rsidR="001924D6">
        <w:t>) or maintenance personnel (</w:t>
      </w:r>
      <w:r w:rsidR="00A20A7E">
        <w:fldChar w:fldCharType="begin"/>
      </w:r>
      <w:r w:rsidR="00A20A7E">
        <w:instrText xml:space="preserve"> REF _Ref92809328 \h </w:instrText>
      </w:r>
      <w:r w:rsidR="00A20A7E">
        <w:fldChar w:fldCharType="separate"/>
      </w:r>
      <w:r w:rsidR="00587AF0">
        <w:t xml:space="preserve">Figure </w:t>
      </w:r>
      <w:r w:rsidR="00587AF0">
        <w:rPr>
          <w:noProof/>
        </w:rPr>
        <w:t>27</w:t>
      </w:r>
      <w:r w:rsidR="00A20A7E">
        <w:fldChar w:fldCharType="end"/>
      </w:r>
      <w:r w:rsidR="001924D6">
        <w:t xml:space="preserve">) influences </w:t>
      </w:r>
      <w:r w:rsidR="00A20A7E">
        <w:t>or</w:t>
      </w:r>
      <w:r w:rsidR="001924D6">
        <w:t xml:space="preserve"> correlat</w:t>
      </w:r>
      <w:r w:rsidR="00A20A7E">
        <w:t>es with</w:t>
      </w:r>
      <w:r w:rsidR="00C2150E">
        <w:t xml:space="preserve"> </w:t>
      </w:r>
      <w:r w:rsidR="006153A1">
        <w:t xml:space="preserve">the </w:t>
      </w:r>
      <w:r w:rsidR="00C2150E">
        <w:t>MTBF</w:t>
      </w:r>
      <w:r w:rsidR="00A20A7E">
        <w:t xml:space="preserve"> indicator</w:t>
      </w:r>
      <w:r w:rsidR="00C2150E">
        <w:t>.</w:t>
      </w:r>
    </w:p>
    <w:tbl>
      <w:tblPr>
        <w:tblW w:w="0" w:type="auto"/>
        <w:tblLook w:val="04A0" w:firstRow="1" w:lastRow="0" w:firstColumn="1" w:lastColumn="0" w:noHBand="0" w:noVBand="1"/>
      </w:tblPr>
      <w:tblGrid>
        <w:gridCol w:w="4510"/>
        <w:gridCol w:w="4517"/>
      </w:tblGrid>
      <w:tr w:rsidR="00CB3F9B" w14:paraId="46BA0789" w14:textId="77777777" w:rsidTr="009B2C18">
        <w:tc>
          <w:tcPr>
            <w:tcW w:w="4510" w:type="dxa"/>
          </w:tcPr>
          <w:p w14:paraId="5209570A" w14:textId="6DA6D5CB" w:rsidR="00CB3F9B" w:rsidRDefault="009B2C18" w:rsidP="00E2626F">
            <w:pPr>
              <w:jc w:val="left"/>
            </w:pPr>
            <w:r>
              <w:rPr>
                <w:noProof/>
              </w:rPr>
              <w:drawing>
                <wp:inline distT="0" distB="0" distL="0" distR="0" wp14:anchorId="3464B905" wp14:editId="46F45282">
                  <wp:extent cx="2724150" cy="2153920"/>
                  <wp:effectExtent l="0" t="0" r="0" b="0"/>
                  <wp:docPr id="44" name="Chart 44">
                    <a:extLst xmlns:a="http://schemas.openxmlformats.org/drawingml/2006/main">
                      <a:ext uri="{FF2B5EF4-FFF2-40B4-BE49-F238E27FC236}">
                        <a16:creationId xmlns:a16="http://schemas.microsoft.com/office/drawing/2014/main" id="{74FACCBB-69BD-468A-9E20-D0DF30624C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c>
        <w:tc>
          <w:tcPr>
            <w:tcW w:w="4517" w:type="dxa"/>
          </w:tcPr>
          <w:p w14:paraId="4B5CEB41" w14:textId="02136A2F" w:rsidR="00CB3F9B" w:rsidRDefault="00C14883" w:rsidP="00E2626F">
            <w:pPr>
              <w:jc w:val="center"/>
            </w:pPr>
            <w:r>
              <w:rPr>
                <w:noProof/>
              </w:rPr>
              <w:drawing>
                <wp:inline distT="0" distB="0" distL="0" distR="0" wp14:anchorId="3DDD45B8" wp14:editId="260E243D">
                  <wp:extent cx="2635885" cy="2154447"/>
                  <wp:effectExtent l="0" t="0" r="0" b="0"/>
                  <wp:docPr id="40" name="Chart 40">
                    <a:extLst xmlns:a="http://schemas.openxmlformats.org/drawingml/2006/main">
                      <a:ext uri="{FF2B5EF4-FFF2-40B4-BE49-F238E27FC236}">
                        <a16:creationId xmlns:a16="http://schemas.microsoft.com/office/drawing/2014/main" id="{1A9D6DB6-9545-46D8-B47F-3066CD778D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c>
      </w:tr>
      <w:tr w:rsidR="00CB3F9B" w14:paraId="01ED1A1A" w14:textId="77777777" w:rsidTr="00C14883">
        <w:tc>
          <w:tcPr>
            <w:tcW w:w="4510" w:type="dxa"/>
          </w:tcPr>
          <w:p w14:paraId="69BFF453" w14:textId="77777777" w:rsidR="00CB3F9B" w:rsidRDefault="00CB3F9B" w:rsidP="00E2626F">
            <w:pPr>
              <w:spacing w:before="0" w:after="0"/>
              <w:jc w:val="center"/>
            </w:pPr>
            <w:r>
              <w:t>(a)</w:t>
            </w:r>
          </w:p>
        </w:tc>
        <w:tc>
          <w:tcPr>
            <w:tcW w:w="4517" w:type="dxa"/>
          </w:tcPr>
          <w:p w14:paraId="040D0107" w14:textId="77777777" w:rsidR="00CB3F9B" w:rsidRDefault="00CB3F9B" w:rsidP="00E2626F">
            <w:pPr>
              <w:keepNext/>
              <w:spacing w:before="0" w:after="0"/>
              <w:jc w:val="center"/>
            </w:pPr>
            <w:r>
              <w:t>(b)</w:t>
            </w:r>
          </w:p>
        </w:tc>
      </w:tr>
    </w:tbl>
    <w:p w14:paraId="000EFF89" w14:textId="165DF2C2" w:rsidR="00CB3F9B" w:rsidRDefault="00CB3F9B" w:rsidP="00CB3F9B">
      <w:pPr>
        <w:pStyle w:val="Caption"/>
      </w:pPr>
      <w:bookmarkStart w:id="316" w:name="_Ref92809328"/>
      <w:bookmarkStart w:id="317" w:name="_Toc101274549"/>
      <w:r>
        <w:t xml:space="preserve">Figure </w:t>
      </w:r>
      <w:fldSimple w:instr=" SEQ Figure \* ARABIC ">
        <w:r w:rsidR="00587AF0">
          <w:rPr>
            <w:noProof/>
          </w:rPr>
          <w:t>27</w:t>
        </w:r>
      </w:fldSimple>
      <w:bookmarkEnd w:id="316"/>
      <w:r>
        <w:t>. Maintenance department size</w:t>
      </w:r>
      <w:r w:rsidR="00834FEB">
        <w:t xml:space="preserve"> (a)</w:t>
      </w:r>
      <w:r>
        <w:t xml:space="preserve"> and </w:t>
      </w:r>
      <w:r w:rsidR="006A36CC">
        <w:t>maintenance department team (b)</w:t>
      </w:r>
      <w:bookmarkEnd w:id="317"/>
    </w:p>
    <w:p w14:paraId="17DDBABD" w14:textId="3AE15D71" w:rsidR="003B6356" w:rsidRPr="003B6356" w:rsidRDefault="006153A1" w:rsidP="003B6356">
      <w:r>
        <w:t>Data from an associated descriptive graph of maintenance department size</w:t>
      </w:r>
      <w:r w:rsidR="00B62667">
        <w:t xml:space="preserve"> </w:t>
      </w:r>
      <w:r>
        <w:t xml:space="preserve">suggests </w:t>
      </w:r>
      <w:r w:rsidR="00B62667">
        <w:t xml:space="preserve">that </w:t>
      </w:r>
      <w:r>
        <w:t xml:space="preserve">up to </w:t>
      </w:r>
      <w:r w:rsidR="00046D63">
        <w:t>70</w:t>
      </w:r>
      <w:r w:rsidR="00B62667">
        <w:t xml:space="preserve">% of </w:t>
      </w:r>
      <w:r w:rsidR="00B3135B">
        <w:t>the companies</w:t>
      </w:r>
      <w:r>
        <w:t xml:space="preserve"> employ</w:t>
      </w:r>
      <w:r w:rsidR="008A0412">
        <w:t xml:space="preserve"> 0.15</w:t>
      </w:r>
      <w:r w:rsidR="002C1AB7">
        <w:t xml:space="preserve"> to </w:t>
      </w:r>
      <w:r w:rsidR="008A0412">
        <w:t>0.</w:t>
      </w:r>
      <w:r w:rsidR="007645A0">
        <w:t>25</w:t>
      </w:r>
      <w:r w:rsidR="00B558B3">
        <w:t xml:space="preserve"> maintenance personnel per machine (MPPM)</w:t>
      </w:r>
      <w:r w:rsidR="008418FC">
        <w:t>,</w:t>
      </w:r>
      <w:r w:rsidR="00386231">
        <w:t xml:space="preserve"> i.e. </w:t>
      </w:r>
      <w:r w:rsidR="00C940D0">
        <w:t>one</w:t>
      </w:r>
      <w:r w:rsidR="00386231">
        <w:t xml:space="preserve"> person is</w:t>
      </w:r>
      <w:r w:rsidR="007645A0">
        <w:t xml:space="preserve"> responsible for</w:t>
      </w:r>
      <w:r w:rsidR="00386231">
        <w:t xml:space="preserve"> maintaining </w:t>
      </w:r>
      <w:r w:rsidR="007645A0">
        <w:t>f</w:t>
      </w:r>
      <w:r w:rsidR="00C118F0">
        <w:t>our</w:t>
      </w:r>
      <w:r w:rsidR="00386231">
        <w:t xml:space="preserve"> machines </w:t>
      </w:r>
      <w:r w:rsidR="00C118F0">
        <w:t xml:space="preserve">at least </w:t>
      </w:r>
      <w:r w:rsidR="00C940D0">
        <w:t>(</w:t>
      </w:r>
      <w:r w:rsidR="00C940D0">
        <w:fldChar w:fldCharType="begin"/>
      </w:r>
      <w:r w:rsidR="00C940D0">
        <w:instrText xml:space="preserve"> REF _Ref92809736 \h </w:instrText>
      </w:r>
      <w:r w:rsidR="00C940D0">
        <w:fldChar w:fldCharType="separate"/>
      </w:r>
      <w:r w:rsidR="00587AF0">
        <w:t xml:space="preserve">Figure </w:t>
      </w:r>
      <w:r w:rsidR="00587AF0">
        <w:rPr>
          <w:noProof/>
        </w:rPr>
        <w:t>28</w:t>
      </w:r>
      <w:r w:rsidR="00C940D0">
        <w:fldChar w:fldCharType="end"/>
      </w:r>
      <w:r w:rsidR="00C940D0">
        <w:t>a)</w:t>
      </w:r>
      <w:r w:rsidR="00386231">
        <w:t>.</w:t>
      </w:r>
      <w:r w:rsidR="00046D63">
        <w:t xml:space="preserve"> On the other hand, </w:t>
      </w:r>
      <w:r w:rsidR="00C37894">
        <w:fldChar w:fldCharType="begin"/>
      </w:r>
      <w:r w:rsidR="00C37894">
        <w:instrText xml:space="preserve"> REF _Ref92809736 \h </w:instrText>
      </w:r>
      <w:r w:rsidR="00C37894">
        <w:fldChar w:fldCharType="separate"/>
      </w:r>
      <w:r w:rsidR="00587AF0">
        <w:t xml:space="preserve">Figure </w:t>
      </w:r>
      <w:r w:rsidR="00587AF0">
        <w:rPr>
          <w:noProof/>
        </w:rPr>
        <w:t>28</w:t>
      </w:r>
      <w:r w:rsidR="00C37894">
        <w:fldChar w:fldCharType="end"/>
      </w:r>
      <w:r w:rsidR="00C37894">
        <w:t xml:space="preserve">b shows that </w:t>
      </w:r>
      <w:r w:rsidR="00E30F27">
        <w:t xml:space="preserve">30% </w:t>
      </w:r>
      <w:r w:rsidR="00C37894">
        <w:t xml:space="preserve">of personnel </w:t>
      </w:r>
      <w:r w:rsidR="00E30F27">
        <w:t>are mostly technicians, while 25% are</w:t>
      </w:r>
      <w:r w:rsidR="00282224">
        <w:t xml:space="preserve"> engineers. More worrying is th</w:t>
      </w:r>
      <w:r w:rsidR="008418FC">
        <w:t>at almost 15% rely</w:t>
      </w:r>
      <w:r w:rsidR="00282224">
        <w:t xml:space="preserve"> on </w:t>
      </w:r>
      <w:r w:rsidR="00C37894">
        <w:t>outsource</w:t>
      </w:r>
      <w:r w:rsidR="008418FC">
        <w:t>d</w:t>
      </w:r>
      <w:r w:rsidR="00C37894">
        <w:t xml:space="preserve"> maintenance personnel</w:t>
      </w:r>
      <w:r w:rsidR="000130E6">
        <w:t>, while only up to 5% are laboratorians and LCM experts.</w:t>
      </w:r>
      <w:r w:rsidR="00192E0B">
        <w:t xml:space="preserve"> </w:t>
      </w:r>
      <w:r w:rsidR="003C71F1">
        <w:t xml:space="preserve">However, </w:t>
      </w:r>
      <w:r w:rsidR="008418FC">
        <w:t xml:space="preserve">the </w:t>
      </w:r>
      <w:r w:rsidR="00F85067">
        <w:t>“contradicting”</w:t>
      </w:r>
      <w:r w:rsidR="003C71F1">
        <w:t xml:space="preserve"> </w:t>
      </w:r>
      <w:r w:rsidR="00F85067">
        <w:t>factor</w:t>
      </w:r>
      <w:r w:rsidR="003C71F1">
        <w:t xml:space="preserve"> is that companies </w:t>
      </w:r>
      <w:r w:rsidR="00F85067">
        <w:t>who practice predictive analytics – trained personnel and sophisticated instruments – show</w:t>
      </w:r>
      <w:r w:rsidR="00AA04AF">
        <w:t xml:space="preserve"> </w:t>
      </w:r>
      <w:r w:rsidR="00F85067">
        <w:t xml:space="preserve">excellent </w:t>
      </w:r>
      <w:r w:rsidR="00AA04AF">
        <w:t xml:space="preserve">MTBF results, </w:t>
      </w:r>
      <w:r w:rsidR="00F85067">
        <w:t>resulting in even fewer</w:t>
      </w:r>
      <w:r w:rsidR="00AA04AF">
        <w:t xml:space="preserve"> maintenance personnel</w:t>
      </w:r>
      <w:r w:rsidR="00F85067">
        <w:t xml:space="preserve"> per machine. These results impose </w:t>
      </w:r>
      <w:r w:rsidR="00F85067">
        <w:lastRenderedPageBreak/>
        <w:t>questions: Does the maintenance quality in avoiding failures depend</w:t>
      </w:r>
      <w:r w:rsidR="00A97183">
        <w:t xml:space="preserve"> on </w:t>
      </w:r>
      <w:r w:rsidR="008418FC">
        <w:t xml:space="preserve">the </w:t>
      </w:r>
      <w:r w:rsidR="00A97183">
        <w:t>department team</w:t>
      </w:r>
      <w:r w:rsidR="000602D6">
        <w:t>, personnel</w:t>
      </w:r>
      <w:r w:rsidR="00A97183">
        <w:t xml:space="preserve"> or technology?</w:t>
      </w:r>
      <w:r w:rsidR="000602D6">
        <w:t xml:space="preserve"> The </w:t>
      </w:r>
      <w:r w:rsidR="003D04CF">
        <w:t>evidence shows conflicting reasoning.</w:t>
      </w:r>
    </w:p>
    <w:tbl>
      <w:tblPr>
        <w:tblW w:w="0" w:type="auto"/>
        <w:tblLook w:val="04A0" w:firstRow="1" w:lastRow="0" w:firstColumn="1" w:lastColumn="0" w:noHBand="0" w:noVBand="1"/>
      </w:tblPr>
      <w:tblGrid>
        <w:gridCol w:w="4528"/>
        <w:gridCol w:w="4499"/>
      </w:tblGrid>
      <w:tr w:rsidR="00565917" w14:paraId="60DA8CDA" w14:textId="77777777" w:rsidTr="004B50AA">
        <w:tc>
          <w:tcPr>
            <w:tcW w:w="4626" w:type="dxa"/>
          </w:tcPr>
          <w:p w14:paraId="603303A0" w14:textId="46DD1E05" w:rsidR="003244B4" w:rsidRDefault="003244B4" w:rsidP="004F4BB8">
            <w:pPr>
              <w:spacing w:after="0"/>
              <w:jc w:val="center"/>
            </w:pPr>
            <w:r>
              <w:rPr>
                <w:noProof/>
              </w:rPr>
              <mc:AlternateContent>
                <mc:Choice Requires="cx1">
                  <w:drawing>
                    <wp:inline distT="0" distB="0" distL="0" distR="0" wp14:anchorId="2BD5904B" wp14:editId="0790F7EE">
                      <wp:extent cx="2787650" cy="1676840"/>
                      <wp:effectExtent l="0" t="0" r="12700" b="0"/>
                      <wp:docPr id="29" name="Chart 29">
                        <a:extLst xmlns:a="http://schemas.openxmlformats.org/drawingml/2006/main">
                          <a:ext uri="{FF2B5EF4-FFF2-40B4-BE49-F238E27FC236}">
                            <a16:creationId xmlns:a16="http://schemas.microsoft.com/office/drawing/2014/main" id="{C3ECDDD5-3E55-4F3B-A213-B774ED8910CB}"/>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7"/>
                        </a:graphicData>
                      </a:graphic>
                    </wp:inline>
                  </w:drawing>
                </mc:Choice>
                <mc:Fallback>
                  <w:drawing>
                    <wp:inline distT="0" distB="0" distL="0" distR="0" wp14:anchorId="2BD5904B" wp14:editId="0790F7EE">
                      <wp:extent cx="2787650" cy="1676840"/>
                      <wp:effectExtent l="0" t="0" r="12700" b="0"/>
                      <wp:docPr id="29" name="Chart 29">
                        <a:extLst xmlns:a="http://schemas.openxmlformats.org/drawingml/2006/main">
                          <a:ext uri="{FF2B5EF4-FFF2-40B4-BE49-F238E27FC236}">
                            <a16:creationId xmlns:a16="http://schemas.microsoft.com/office/drawing/2014/main" id="{C3ECDDD5-3E55-4F3B-A213-B774ED8910CB}"/>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9" name="Chart 29">
                                <a:extLst>
                                  <a:ext uri="{FF2B5EF4-FFF2-40B4-BE49-F238E27FC236}">
                                    <a16:creationId xmlns:a16="http://schemas.microsoft.com/office/drawing/2014/main" id="{C3ECDDD5-3E55-4F3B-A213-B774ED8910CB}"/>
                                  </a:ext>
                                </a:extLst>
                              </pic:cNvPr>
                              <pic:cNvPicPr>
                                <a:picLocks noGrp="1" noRot="1" noChangeAspect="1" noMove="1" noResize="1" noEditPoints="1" noAdjustHandles="1" noChangeArrowheads="1" noChangeShapeType="1"/>
                              </pic:cNvPicPr>
                            </pic:nvPicPr>
                            <pic:blipFill>
                              <a:blip r:embed="rId58"/>
                              <a:stretch>
                                <a:fillRect/>
                              </a:stretch>
                            </pic:blipFill>
                            <pic:spPr>
                              <a:xfrm>
                                <a:off x="0" y="0"/>
                                <a:ext cx="2787650" cy="1676400"/>
                              </a:xfrm>
                              <a:prstGeom prst="rect">
                                <a:avLst/>
                              </a:prstGeom>
                            </pic:spPr>
                          </pic:pic>
                        </a:graphicData>
                      </a:graphic>
                    </wp:inline>
                  </w:drawing>
                </mc:Fallback>
              </mc:AlternateContent>
            </w:r>
          </w:p>
        </w:tc>
        <w:tc>
          <w:tcPr>
            <w:tcW w:w="4401" w:type="dxa"/>
          </w:tcPr>
          <w:p w14:paraId="201F039E" w14:textId="77116711" w:rsidR="003244B4" w:rsidRDefault="004B50AA" w:rsidP="004F4BB8">
            <w:pPr>
              <w:spacing w:after="0"/>
              <w:jc w:val="center"/>
            </w:pPr>
            <w:r>
              <w:rPr>
                <w:noProof/>
              </w:rPr>
              <mc:AlternateContent>
                <mc:Choice Requires="cx1">
                  <w:drawing>
                    <wp:inline distT="0" distB="0" distL="0" distR="0" wp14:anchorId="71ABE77E" wp14:editId="5F8408AD">
                      <wp:extent cx="2763575" cy="1781810"/>
                      <wp:effectExtent l="0" t="0" r="17780" b="8890"/>
                      <wp:docPr id="4" name="Chart 4">
                        <a:extLst xmlns:a="http://schemas.openxmlformats.org/drawingml/2006/main">
                          <a:ext uri="{FF2B5EF4-FFF2-40B4-BE49-F238E27FC236}">
                            <a16:creationId xmlns:a16="http://schemas.microsoft.com/office/drawing/2014/main" id="{B9E999BE-1047-4E0C-813F-2A2C61A97A03}"/>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9"/>
                        </a:graphicData>
                      </a:graphic>
                    </wp:inline>
                  </w:drawing>
                </mc:Choice>
                <mc:Fallback>
                  <w:drawing>
                    <wp:inline distT="0" distB="0" distL="0" distR="0" wp14:anchorId="71ABE77E" wp14:editId="5F8408AD">
                      <wp:extent cx="2763575" cy="1781810"/>
                      <wp:effectExtent l="0" t="0" r="17780" b="8890"/>
                      <wp:docPr id="4" name="Chart 4">
                        <a:extLst xmlns:a="http://schemas.openxmlformats.org/drawingml/2006/main">
                          <a:ext uri="{FF2B5EF4-FFF2-40B4-BE49-F238E27FC236}">
                            <a16:creationId xmlns:a16="http://schemas.microsoft.com/office/drawing/2014/main" id="{B9E999BE-1047-4E0C-813F-2A2C61A97A03}"/>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 name="Chart 4">
                                <a:extLst>
                                  <a:ext uri="{FF2B5EF4-FFF2-40B4-BE49-F238E27FC236}">
                                    <a16:creationId xmlns:a16="http://schemas.microsoft.com/office/drawing/2014/main" id="{B9E999BE-1047-4E0C-813F-2A2C61A97A03}"/>
                                  </a:ext>
                                </a:extLst>
                              </pic:cNvPr>
                              <pic:cNvPicPr>
                                <a:picLocks noGrp="1" noRot="1" noChangeAspect="1" noMove="1" noResize="1" noEditPoints="1" noAdjustHandles="1" noChangeArrowheads="1" noChangeShapeType="1"/>
                              </pic:cNvPicPr>
                            </pic:nvPicPr>
                            <pic:blipFill>
                              <a:blip r:embed="rId60"/>
                              <a:stretch>
                                <a:fillRect/>
                              </a:stretch>
                            </pic:blipFill>
                            <pic:spPr>
                              <a:xfrm>
                                <a:off x="0" y="0"/>
                                <a:ext cx="2763520" cy="1781810"/>
                              </a:xfrm>
                              <a:prstGeom prst="rect">
                                <a:avLst/>
                              </a:prstGeom>
                            </pic:spPr>
                          </pic:pic>
                        </a:graphicData>
                      </a:graphic>
                    </wp:inline>
                  </w:drawing>
                </mc:Fallback>
              </mc:AlternateContent>
            </w:r>
          </w:p>
        </w:tc>
      </w:tr>
      <w:tr w:rsidR="004F4BB8" w14:paraId="51304BC0" w14:textId="77777777" w:rsidTr="00565917">
        <w:tc>
          <w:tcPr>
            <w:tcW w:w="4626" w:type="dxa"/>
          </w:tcPr>
          <w:p w14:paraId="3B5A79D6" w14:textId="77777777" w:rsidR="003244B4" w:rsidRDefault="003244B4" w:rsidP="00F512AB">
            <w:pPr>
              <w:spacing w:before="0" w:after="0"/>
              <w:jc w:val="center"/>
            </w:pPr>
            <w:r>
              <w:t>(a)</w:t>
            </w:r>
          </w:p>
        </w:tc>
        <w:tc>
          <w:tcPr>
            <w:tcW w:w="4401" w:type="dxa"/>
          </w:tcPr>
          <w:p w14:paraId="1900DD23" w14:textId="77777777" w:rsidR="003244B4" w:rsidRDefault="003244B4" w:rsidP="00F512AB">
            <w:pPr>
              <w:keepNext/>
              <w:spacing w:before="0" w:after="0"/>
              <w:jc w:val="center"/>
            </w:pPr>
            <w:r>
              <w:t>(b)</w:t>
            </w:r>
          </w:p>
        </w:tc>
      </w:tr>
    </w:tbl>
    <w:p w14:paraId="2B595502" w14:textId="1C4AF4D1" w:rsidR="003244B4" w:rsidRDefault="003244B4" w:rsidP="003244B4">
      <w:pPr>
        <w:pStyle w:val="Caption"/>
      </w:pPr>
      <w:bookmarkStart w:id="318" w:name="_Ref92809736"/>
      <w:bookmarkStart w:id="319" w:name="_Toc101274550"/>
      <w:r>
        <w:t xml:space="preserve">Figure </w:t>
      </w:r>
      <w:fldSimple w:instr=" SEQ Figure \* ARABIC ">
        <w:r w:rsidR="00587AF0">
          <w:rPr>
            <w:noProof/>
          </w:rPr>
          <w:t>28</w:t>
        </w:r>
      </w:fldSimple>
      <w:bookmarkEnd w:id="318"/>
      <w:r>
        <w:t>. Maintenance personnel per machine (a)</w:t>
      </w:r>
      <w:r w:rsidR="00B517BE">
        <w:t xml:space="preserve"> and failure analysis personnel (b)</w:t>
      </w:r>
      <w:bookmarkEnd w:id="319"/>
    </w:p>
    <w:p w14:paraId="66CC98F6" w14:textId="18EF125F" w:rsidR="00A674B6" w:rsidRPr="00A674B6" w:rsidRDefault="0062756E" w:rsidP="00A674B6">
      <w:r>
        <w:t xml:space="preserve">Timely oil replacement is crucial for </w:t>
      </w:r>
      <w:r w:rsidR="0082488B">
        <w:t xml:space="preserve">maintaining equipment </w:t>
      </w:r>
      <w:r w:rsidR="003D04CF">
        <w:t>reliability</w:t>
      </w:r>
      <w:r w:rsidR="001414EE">
        <w:t xml:space="preserve">. </w:t>
      </w:r>
      <w:r w:rsidR="003D04CF">
        <w:t>Results show t</w:t>
      </w:r>
      <w:r w:rsidR="001414EE">
        <w:t xml:space="preserve">hat most companies replace the oil at </w:t>
      </w:r>
      <w:r>
        <w:t>a</w:t>
      </w:r>
      <w:r w:rsidR="001414EE">
        <w:t xml:space="preserve"> reasonable time</w:t>
      </w:r>
      <w:r w:rsidR="002C7EAC">
        <w:t xml:space="preserve"> (</w:t>
      </w:r>
      <w:r w:rsidR="002C7EAC">
        <w:fldChar w:fldCharType="begin"/>
      </w:r>
      <w:r w:rsidR="002C7EAC">
        <w:instrText xml:space="preserve"> REF _Ref92812912 \h </w:instrText>
      </w:r>
      <w:r w:rsidR="002C7EAC">
        <w:fldChar w:fldCharType="separate"/>
      </w:r>
      <w:r w:rsidR="00587AF0">
        <w:t xml:space="preserve">Figure </w:t>
      </w:r>
      <w:r w:rsidR="00587AF0">
        <w:rPr>
          <w:noProof/>
        </w:rPr>
        <w:t>29</w:t>
      </w:r>
      <w:r w:rsidR="002C7EAC">
        <w:fldChar w:fldCharType="end"/>
      </w:r>
      <w:r w:rsidR="002C7EAC">
        <w:t>)</w:t>
      </w:r>
      <w:r w:rsidR="00B929E8">
        <w:t xml:space="preserve">, while </w:t>
      </w:r>
      <w:r>
        <w:t>some</w:t>
      </w:r>
      <w:r w:rsidR="00B929E8">
        <w:t xml:space="preserve"> do no</w:t>
      </w:r>
      <w:r>
        <w:t>t</w:t>
      </w:r>
      <w:r w:rsidR="00B929E8">
        <w:t xml:space="preserve"> replace the </w:t>
      </w:r>
      <w:r w:rsidR="003D04CF">
        <w:t xml:space="preserve">hydraulic oil even </w:t>
      </w:r>
      <w:r w:rsidR="00B929E8">
        <w:t>after 10k hours</w:t>
      </w:r>
      <w:r w:rsidR="003D04CF">
        <w:t xml:space="preserve"> – questioning </w:t>
      </w:r>
      <w:r>
        <w:t xml:space="preserve">the </w:t>
      </w:r>
      <w:r w:rsidR="003D04CF">
        <w:t xml:space="preserve">oil </w:t>
      </w:r>
      <w:r>
        <w:t xml:space="preserve">quality </w:t>
      </w:r>
      <w:r w:rsidR="003D04CF">
        <w:t>and application workload</w:t>
      </w:r>
      <w:r w:rsidR="00D87876">
        <w:t xml:space="preserve">. </w:t>
      </w:r>
      <w:r w:rsidR="00DD4D61">
        <w:t>M</w:t>
      </w:r>
      <w:r w:rsidR="00D87876">
        <w:t>ost companies</w:t>
      </w:r>
      <w:r w:rsidR="00DD4D61">
        <w:t>, however,</w:t>
      </w:r>
      <w:r w:rsidR="00D87876">
        <w:t xml:space="preserve"> </w:t>
      </w:r>
      <w:r w:rsidR="002C7EAC">
        <w:t>rely on OEM suggestion</w:t>
      </w:r>
      <w:r>
        <w:t>s</w:t>
      </w:r>
      <w:r w:rsidR="002C7EAC">
        <w:t xml:space="preserve"> </w:t>
      </w:r>
      <w:r w:rsidR="00C06665">
        <w:t>without</w:t>
      </w:r>
      <w:r w:rsidR="002C7EAC">
        <w:t xml:space="preserve"> </w:t>
      </w:r>
      <w:r w:rsidR="003D04CF">
        <w:t xml:space="preserve">inspecting the </w:t>
      </w:r>
      <w:r w:rsidR="00C06665">
        <w:t xml:space="preserve">oil </w:t>
      </w:r>
      <w:r w:rsidR="003D04CF">
        <w:t>quality.</w:t>
      </w:r>
    </w:p>
    <w:p w14:paraId="43E1DEFF" w14:textId="4F80ECEE" w:rsidR="00CB3F9B" w:rsidRDefault="00E003E3" w:rsidP="00CB3F9B">
      <w:r w:rsidRPr="003D04CF">
        <w:rPr>
          <w:noProof/>
          <w:color w:val="0000FF"/>
        </w:rPr>
        <w:drawing>
          <wp:inline distT="0" distB="0" distL="0" distR="0" wp14:anchorId="200E37E9" wp14:editId="674DBCEC">
            <wp:extent cx="5724000" cy="1800000"/>
            <wp:effectExtent l="0" t="0" r="0" b="0"/>
            <wp:docPr id="27" name="Chart 27">
              <a:extLst xmlns:a="http://schemas.openxmlformats.org/drawingml/2006/main">
                <a:ext uri="{FF2B5EF4-FFF2-40B4-BE49-F238E27FC236}">
                  <a16:creationId xmlns:a16="http://schemas.microsoft.com/office/drawing/2014/main" id="{3BE918C9-D21C-42A4-AB61-47C30D1E41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118AE568" w14:textId="2E201C2B" w:rsidR="004E488F" w:rsidRDefault="004E488F" w:rsidP="004E488F">
      <w:pPr>
        <w:pStyle w:val="Caption"/>
      </w:pPr>
      <w:bookmarkStart w:id="320" w:name="_Ref92812912"/>
      <w:bookmarkStart w:id="321" w:name="_Toc101274551"/>
      <w:r>
        <w:t xml:space="preserve">Figure </w:t>
      </w:r>
      <w:fldSimple w:instr=" SEQ Figure \* ARABIC ">
        <w:r w:rsidR="00587AF0">
          <w:rPr>
            <w:noProof/>
          </w:rPr>
          <w:t>29</w:t>
        </w:r>
      </w:fldSimple>
      <w:bookmarkEnd w:id="320"/>
      <w:r>
        <w:t xml:space="preserve">. </w:t>
      </w:r>
      <w:r w:rsidR="00105E4A">
        <w:t>Criteria</w:t>
      </w:r>
      <w:r w:rsidR="003D04CF">
        <w:t xml:space="preserve"> for oil replacement</w:t>
      </w:r>
      <w:r w:rsidR="00105E4A">
        <w:t xml:space="preserve"> (y</w:t>
      </w:r>
      <w:r w:rsidR="00105E4A">
        <w:rPr>
          <w:vertAlign w:val="subscript"/>
        </w:rPr>
        <w:t>1</w:t>
      </w:r>
      <w:r w:rsidR="003D04CF">
        <w:t>-</w:t>
      </w:r>
      <w:r w:rsidR="00105E4A">
        <w:t>axis) and time</w:t>
      </w:r>
      <w:r w:rsidR="002C7EAC">
        <w:t xml:space="preserve"> to complete oil change (y</w:t>
      </w:r>
      <w:r w:rsidR="002C7EAC">
        <w:rPr>
          <w:vertAlign w:val="subscript"/>
        </w:rPr>
        <w:t>2</w:t>
      </w:r>
      <w:r w:rsidR="003D04CF">
        <w:t>-</w:t>
      </w:r>
      <w:r w:rsidR="002C7EAC">
        <w:t>axis)</w:t>
      </w:r>
      <w:bookmarkEnd w:id="321"/>
    </w:p>
    <w:p w14:paraId="49B9AA7B" w14:textId="3B5926B6" w:rsidR="00A674B6" w:rsidRPr="00A674B6" w:rsidRDefault="00B77CF5" w:rsidP="00A674B6">
      <w:r>
        <w:t>A</w:t>
      </w:r>
      <w:r w:rsidR="008504FD">
        <w:t xml:space="preserve">nother important indicator </w:t>
      </w:r>
      <w:r w:rsidR="002C1AB7">
        <w:t>of</w:t>
      </w:r>
      <w:r w:rsidR="008504FD">
        <w:t xml:space="preserve"> </w:t>
      </w:r>
      <w:r w:rsidR="0062756E">
        <w:t xml:space="preserve">the </w:t>
      </w:r>
      <w:r w:rsidR="00C06665">
        <w:t xml:space="preserve">maintenance practice’ is </w:t>
      </w:r>
      <w:r>
        <w:t xml:space="preserve">filter replacement </w:t>
      </w:r>
      <w:r w:rsidR="006C4A1F">
        <w:t>time (FRT)</w:t>
      </w:r>
      <w:r w:rsidR="00610F59">
        <w:t xml:space="preserve"> (</w:t>
      </w:r>
      <w:r w:rsidR="00610F59">
        <w:fldChar w:fldCharType="begin"/>
      </w:r>
      <w:r w:rsidR="00610F59">
        <w:instrText xml:space="preserve"> REF _Ref92813380 \h </w:instrText>
      </w:r>
      <w:r w:rsidR="00610F59">
        <w:fldChar w:fldCharType="separate"/>
      </w:r>
      <w:r w:rsidR="00587AF0">
        <w:t xml:space="preserve">Figure </w:t>
      </w:r>
      <w:r w:rsidR="00587AF0">
        <w:rPr>
          <w:noProof/>
        </w:rPr>
        <w:t>30</w:t>
      </w:r>
      <w:r w:rsidR="00610F59">
        <w:fldChar w:fldCharType="end"/>
      </w:r>
      <w:r w:rsidR="00610F59">
        <w:t>)</w:t>
      </w:r>
      <w:r>
        <w:t>. Namely, adequat</w:t>
      </w:r>
      <w:r w:rsidR="0062756E">
        <w:t>e</w:t>
      </w:r>
      <w:r>
        <w:t>ly and timely replacement of filters significantly reduce</w:t>
      </w:r>
      <w:r w:rsidR="002C1AB7">
        <w:t>s</w:t>
      </w:r>
      <w:r>
        <w:t xml:space="preserve"> wear-induced </w:t>
      </w:r>
      <w:r w:rsidR="00801D24">
        <w:t>stoppages</w:t>
      </w:r>
      <w:r>
        <w:t>, particle ingression and clo</w:t>
      </w:r>
      <w:r w:rsidR="0062756E">
        <w:t>g</w:t>
      </w:r>
      <w:r>
        <w:t xml:space="preserve">ging, thus reducing the </w:t>
      </w:r>
      <w:r w:rsidR="00801D24">
        <w:t>risk</w:t>
      </w:r>
      <w:r>
        <w:t xml:space="preserve"> </w:t>
      </w:r>
      <w:r w:rsidR="00801D24">
        <w:t>of premature wear out of</w:t>
      </w:r>
      <w:r>
        <w:t xml:space="preserve"> the system. </w:t>
      </w:r>
      <w:r w:rsidR="001B353F">
        <w:t xml:space="preserve">If </w:t>
      </w:r>
      <w:r>
        <w:t>such practice</w:t>
      </w:r>
      <w:r w:rsidR="000A5ABC">
        <w:t xml:space="preserve"> </w:t>
      </w:r>
      <w:r w:rsidR="001B353F">
        <w:t xml:space="preserve">or </w:t>
      </w:r>
      <w:r w:rsidR="000A5ABC">
        <w:t xml:space="preserve">activities </w:t>
      </w:r>
      <w:r w:rsidR="001B353F">
        <w:t>are performed</w:t>
      </w:r>
      <w:r w:rsidR="0062756E">
        <w:t>,</w:t>
      </w:r>
      <w:r w:rsidR="000A5ABC">
        <w:t xml:space="preserve"> </w:t>
      </w:r>
      <w:r w:rsidR="00C06665">
        <w:t xml:space="preserve">the inference is </w:t>
      </w:r>
      <w:r w:rsidR="000A5ABC">
        <w:t xml:space="preserve">that </w:t>
      </w:r>
      <w:r w:rsidR="006C4A1F">
        <w:t>FRT</w:t>
      </w:r>
      <w:r w:rsidR="000A5ABC">
        <w:t xml:space="preserve"> correlates with MTBF, suggesting that FRT contributes to preserving the system </w:t>
      </w:r>
      <w:r w:rsidR="001B353F">
        <w:t>and prolongs</w:t>
      </w:r>
      <w:r w:rsidR="007A6A38">
        <w:t xml:space="preserve"> T</w:t>
      </w:r>
      <w:r w:rsidR="00316656">
        <w:t>B</w:t>
      </w:r>
      <w:r w:rsidR="007A6A38">
        <w:t>F event</w:t>
      </w:r>
      <w:r w:rsidR="00316656">
        <w:t>s</w:t>
      </w:r>
      <w:r w:rsidR="007A6A38">
        <w:t>.</w:t>
      </w:r>
    </w:p>
    <w:p w14:paraId="2AB34920" w14:textId="77777777" w:rsidR="008B7D18" w:rsidRDefault="008B7D18" w:rsidP="008B7D18">
      <w:pPr>
        <w:keepNext/>
        <w:jc w:val="center"/>
      </w:pPr>
      <w:r>
        <w:rPr>
          <w:noProof/>
        </w:rPr>
        <w:drawing>
          <wp:inline distT="0" distB="0" distL="0" distR="0" wp14:anchorId="68FCB0EB" wp14:editId="2C558F0A">
            <wp:extent cx="5732145" cy="1800000"/>
            <wp:effectExtent l="0" t="0" r="1905" b="0"/>
            <wp:docPr id="51" name="Chart 51">
              <a:extLst xmlns:a="http://schemas.openxmlformats.org/drawingml/2006/main">
                <a:ext uri="{FF2B5EF4-FFF2-40B4-BE49-F238E27FC236}">
                  <a16:creationId xmlns:a16="http://schemas.microsoft.com/office/drawing/2014/main" id="{34ED92AA-C513-4F39-8F75-C0489E1D1C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B0925D2" w14:textId="4F5C23AA" w:rsidR="008B7D18" w:rsidRDefault="008B7D18" w:rsidP="008B7D18">
      <w:pPr>
        <w:pStyle w:val="Caption"/>
      </w:pPr>
      <w:bookmarkStart w:id="322" w:name="_Ref92813380"/>
      <w:bookmarkStart w:id="323" w:name="_Toc101274552"/>
      <w:r>
        <w:t xml:space="preserve">Figure </w:t>
      </w:r>
      <w:fldSimple w:instr=" SEQ Figure \* ARABIC ">
        <w:r w:rsidR="00587AF0">
          <w:rPr>
            <w:noProof/>
          </w:rPr>
          <w:t>30</w:t>
        </w:r>
      </w:fldSimple>
      <w:bookmarkEnd w:id="322"/>
      <w:r>
        <w:t xml:space="preserve">. </w:t>
      </w:r>
      <w:r w:rsidR="009B22A0">
        <w:t>Percentage of companies obliging with proposed FRT</w:t>
      </w:r>
      <w:r w:rsidR="00E43C10">
        <w:t xml:space="preserve"> reported</w:t>
      </w:r>
      <w:bookmarkEnd w:id="323"/>
    </w:p>
    <w:p w14:paraId="6FFBD1FA" w14:textId="68BD43E5" w:rsidR="008B7D18" w:rsidRPr="008B7D18" w:rsidRDefault="00C06665" w:rsidP="008B7D18">
      <w:r>
        <w:lastRenderedPageBreak/>
        <w:t>A</w:t>
      </w:r>
      <w:r w:rsidR="000A6A01">
        <w:t xml:space="preserve"> </w:t>
      </w:r>
      <w:r w:rsidR="00171097">
        <w:t xml:space="preserve">good indication of </w:t>
      </w:r>
      <w:r w:rsidR="0046290C">
        <w:t xml:space="preserve">the </w:t>
      </w:r>
      <w:r w:rsidR="00171097">
        <w:t>quality of the maintenance practic</w:t>
      </w:r>
      <w:r>
        <w:t>e</w:t>
      </w:r>
      <w:r w:rsidR="00171097">
        <w:t xml:space="preserve"> is</w:t>
      </w:r>
      <w:r w:rsidR="00AF354F">
        <w:t xml:space="preserve"> the time for </w:t>
      </w:r>
      <w:r w:rsidR="0046290C">
        <w:t xml:space="preserve">the </w:t>
      </w:r>
      <w:r w:rsidR="000A6A01">
        <w:t>oil refilling</w:t>
      </w:r>
      <w:r w:rsidR="00AF354F">
        <w:t xml:space="preserve"> within the system (</w:t>
      </w:r>
      <w:r w:rsidR="00AF354F">
        <w:fldChar w:fldCharType="begin"/>
      </w:r>
      <w:r w:rsidR="00AF354F">
        <w:instrText xml:space="preserve"> REF _Ref92813687 \h </w:instrText>
      </w:r>
      <w:r w:rsidR="00AF354F">
        <w:fldChar w:fldCharType="separate"/>
      </w:r>
      <w:r w:rsidR="00587AF0">
        <w:t xml:space="preserve">Figure </w:t>
      </w:r>
      <w:r w:rsidR="00587AF0">
        <w:rPr>
          <w:noProof/>
        </w:rPr>
        <w:t>31</w:t>
      </w:r>
      <w:r w:rsidR="00AF354F">
        <w:fldChar w:fldCharType="end"/>
      </w:r>
      <w:r w:rsidR="00AF354F">
        <w:t xml:space="preserve">). It has been observed that </w:t>
      </w:r>
      <w:r w:rsidR="008A6767">
        <w:t xml:space="preserve">companies, to preserve the system and not </w:t>
      </w:r>
      <w:r w:rsidR="007B12D5">
        <w:t>replace oil with small degradation of oil constantly</w:t>
      </w:r>
      <w:r w:rsidR="0046290C">
        <w:t>,</w:t>
      </w:r>
      <w:r w:rsidR="008A6767">
        <w:t xml:space="preserve"> usually refill the </w:t>
      </w:r>
      <w:r w:rsidR="000A6A01">
        <w:t>system</w:t>
      </w:r>
      <w:r w:rsidR="008A6767">
        <w:t xml:space="preserve"> after some time. </w:t>
      </w:r>
      <w:r w:rsidR="003810AD">
        <w:t>Figure 31 shows that even though companies do not refill the system constantly, some peaks around 100h and 500h show</w:t>
      </w:r>
      <w:r w:rsidR="000A6A01">
        <w:t xml:space="preserve"> a potential bias in</w:t>
      </w:r>
      <w:r w:rsidR="00A16E78">
        <w:t xml:space="preserve"> oil analysis. </w:t>
      </w:r>
      <w:r w:rsidR="000A6A01">
        <w:t>Some</w:t>
      </w:r>
      <w:r w:rsidR="00A16E78">
        <w:t xml:space="preserve"> data</w:t>
      </w:r>
      <w:r w:rsidR="000A6A01">
        <w:t>, therefore,</w:t>
      </w:r>
      <w:r w:rsidR="00A16E78">
        <w:t xml:space="preserve"> may be prone to bias in terms of viscosity measurement after some time since oil is "refreshed” and returned to </w:t>
      </w:r>
      <w:r w:rsidR="007B12D5">
        <w:t xml:space="preserve">the </w:t>
      </w:r>
      <w:r w:rsidR="005E5523">
        <w:t xml:space="preserve">appropriate state of viscosity quality level. </w:t>
      </w:r>
      <w:r w:rsidR="003810AD">
        <w:t>F</w:t>
      </w:r>
      <w:r w:rsidR="007B12D5">
        <w:t>urther analysis should be investigated</w:t>
      </w:r>
      <w:r w:rsidR="00857C42">
        <w:t>,</w:t>
      </w:r>
      <w:r w:rsidR="007B12D5">
        <w:t xml:space="preserve"> and potential degradation and particle rise in the system can </w:t>
      </w:r>
      <w:r w:rsidR="00510272">
        <w:t>cause bias</w:t>
      </w:r>
      <w:r w:rsidR="007B21A5">
        <w:t xml:space="preserve"> in</w:t>
      </w:r>
      <w:r w:rsidR="00510272">
        <w:t xml:space="preserve"> oil analysis</w:t>
      </w:r>
      <w:r w:rsidR="00D24B0A">
        <w:t>.</w:t>
      </w:r>
    </w:p>
    <w:p w14:paraId="723C355F" w14:textId="3B5594DD" w:rsidR="00D9491B" w:rsidRPr="00A860F5" w:rsidRDefault="0003615C" w:rsidP="00CB3F9B">
      <w:r>
        <w:rPr>
          <w:noProof/>
        </w:rPr>
        <w:drawing>
          <wp:inline distT="0" distB="0" distL="0" distR="0" wp14:anchorId="5D3CAA11" wp14:editId="695D3C49">
            <wp:extent cx="5724000" cy="1980000"/>
            <wp:effectExtent l="0" t="0" r="0" b="1270"/>
            <wp:docPr id="18" name="Chart 18">
              <a:extLst xmlns:a="http://schemas.openxmlformats.org/drawingml/2006/main">
                <a:ext uri="{FF2B5EF4-FFF2-40B4-BE49-F238E27FC236}">
                  <a16:creationId xmlns:a16="http://schemas.microsoft.com/office/drawing/2014/main" id="{52ABB6BB-E029-4025-BE5E-4FD0E18FEE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796F312F" w14:textId="5F24FD41" w:rsidR="00CB3F9B" w:rsidRDefault="0003615C" w:rsidP="0003615C">
      <w:pPr>
        <w:pStyle w:val="Caption"/>
      </w:pPr>
      <w:bookmarkStart w:id="324" w:name="_Ref92813687"/>
      <w:bookmarkStart w:id="325" w:name="_Toc101274553"/>
      <w:r>
        <w:t xml:space="preserve">Figure </w:t>
      </w:r>
      <w:fldSimple w:instr=" SEQ Figure \* ARABIC ">
        <w:r w:rsidR="00587AF0">
          <w:rPr>
            <w:noProof/>
          </w:rPr>
          <w:t>31</w:t>
        </w:r>
      </w:fldSimple>
      <w:bookmarkEnd w:id="324"/>
      <w:r>
        <w:t>. Time to refill the system with the oil</w:t>
      </w:r>
      <w:bookmarkEnd w:id="325"/>
    </w:p>
    <w:p w14:paraId="20EF0BA0" w14:textId="2EF96015" w:rsidR="009C0379" w:rsidRPr="009C0379" w:rsidRDefault="00510272" w:rsidP="009C0379">
      <w:r>
        <w:t>T</w:t>
      </w:r>
      <w:r w:rsidR="005C25B5">
        <w:t xml:space="preserve">he variables above suggest that </w:t>
      </w:r>
      <w:r w:rsidR="00857C42">
        <w:t>the analysis results can be biased when conducting the lubricant condition monitoring (LCM) program</w:t>
      </w:r>
      <w:r w:rsidR="007B12D5">
        <w:t>. T</w:t>
      </w:r>
      <w:r w:rsidR="00EC24B7">
        <w:t xml:space="preserve">hese variables must be available and included in </w:t>
      </w:r>
      <w:r w:rsidR="00C14B53">
        <w:t xml:space="preserve">the </w:t>
      </w:r>
      <w:r w:rsidR="00EC24B7">
        <w:t>final analysis</w:t>
      </w:r>
      <w:r>
        <w:t xml:space="preserve"> and will be </w:t>
      </w:r>
      <w:r w:rsidR="003660D9">
        <w:t xml:space="preserve">prone to </w:t>
      </w:r>
      <w:r w:rsidR="007B21A5">
        <w:t xml:space="preserve">the </w:t>
      </w:r>
      <w:r w:rsidR="003660D9">
        <w:t xml:space="preserve">investigation </w:t>
      </w:r>
      <w:r w:rsidR="007C7339">
        <w:t>later in the experiment</w:t>
      </w:r>
      <w:r w:rsidR="003660D9">
        <w:t>.</w:t>
      </w:r>
    </w:p>
    <w:p w14:paraId="3CCE23DC" w14:textId="507D7D5E" w:rsidR="009C0379" w:rsidRDefault="009C0379" w:rsidP="009C0379">
      <w:pPr>
        <w:pStyle w:val="Heading3"/>
      </w:pPr>
      <w:bookmarkStart w:id="326" w:name="_Toc93759898"/>
      <w:bookmarkStart w:id="327" w:name="_Toc93760002"/>
      <w:bookmarkStart w:id="328" w:name="_Toc101274359"/>
      <w:r>
        <w:t>Maintenance performance indicators</w:t>
      </w:r>
      <w:r w:rsidR="000813EC">
        <w:t xml:space="preserve"> descriptive research results</w:t>
      </w:r>
      <w:bookmarkEnd w:id="326"/>
      <w:bookmarkEnd w:id="327"/>
      <w:bookmarkEnd w:id="328"/>
    </w:p>
    <w:p w14:paraId="400A952E" w14:textId="35D5DD7D" w:rsidR="009C0379" w:rsidRPr="009C0379" w:rsidRDefault="00B964B2" w:rsidP="009C0379">
      <w:r>
        <w:t>B</w:t>
      </w:r>
      <w:r w:rsidR="00C14B53">
        <w:t>esides maintenance practice and associated activities</w:t>
      </w:r>
      <w:r>
        <w:t xml:space="preserve"> (e.g. FRT, LCM), the performance indicators (e.g.,</w:t>
      </w:r>
      <w:r w:rsidR="00C14B53">
        <w:t xml:space="preserve"> MTBF, fluid waste, type</w:t>
      </w:r>
      <w:r>
        <w:t xml:space="preserve"> and the root cause</w:t>
      </w:r>
      <w:r w:rsidR="00C14B53">
        <w:t xml:space="preserve"> of failures</w:t>
      </w:r>
      <w:r>
        <w:t>) will</w:t>
      </w:r>
      <w:r w:rsidR="00C14B53">
        <w:t xml:space="preserve"> be discussed</w:t>
      </w:r>
      <w:r w:rsidR="00FF2B54">
        <w:t xml:space="preserve"> further. Hence, looking at MTBF depicted </w:t>
      </w:r>
      <w:r w:rsidR="00C14B53">
        <w:t>in</w:t>
      </w:r>
      <w:r w:rsidR="00FF2B54">
        <w:t xml:space="preserve"> </w:t>
      </w:r>
      <w:r w:rsidR="00FF2B54">
        <w:fldChar w:fldCharType="begin"/>
      </w:r>
      <w:r w:rsidR="00FF2B54">
        <w:instrText xml:space="preserve"> REF _Ref92814154 \h </w:instrText>
      </w:r>
      <w:r w:rsidR="00FF2B54">
        <w:fldChar w:fldCharType="separate"/>
      </w:r>
      <w:r w:rsidR="00587AF0">
        <w:t xml:space="preserve">Figure </w:t>
      </w:r>
      <w:r w:rsidR="00587AF0">
        <w:rPr>
          <w:noProof/>
        </w:rPr>
        <w:t>32</w:t>
      </w:r>
      <w:r w:rsidR="00FF2B54">
        <w:fldChar w:fldCharType="end"/>
      </w:r>
      <w:r w:rsidR="00FF2B54">
        <w:t xml:space="preserve">, conclusions are difficult to be </w:t>
      </w:r>
      <w:r w:rsidR="00C73B77">
        <w:t>established. Th</w:t>
      </w:r>
      <w:r w:rsidR="00C14B53">
        <w:t>e</w:t>
      </w:r>
      <w:r w:rsidR="00C73B77">
        <w:t xml:space="preserve">refore, </w:t>
      </w:r>
      <w:r>
        <w:t>multiple linear regression (MLR) will be used to investigate variables affecting MTBF</w:t>
      </w:r>
      <w:r w:rsidR="007D1FF3">
        <w:t>.</w:t>
      </w:r>
    </w:p>
    <w:p w14:paraId="381AF899" w14:textId="43AE661B" w:rsidR="00C51069" w:rsidRDefault="00822342" w:rsidP="00AD06F0">
      <w:pPr>
        <w:keepNext/>
        <w:jc w:val="center"/>
      </w:pPr>
      <w:r>
        <w:rPr>
          <w:noProof/>
        </w:rPr>
        <w:drawing>
          <wp:inline distT="0" distB="0" distL="0" distR="0" wp14:anchorId="148FF560" wp14:editId="38DEAB90">
            <wp:extent cx="5732145" cy="1800000"/>
            <wp:effectExtent l="0" t="0" r="1905" b="0"/>
            <wp:docPr id="12" name="Chart 12">
              <a:extLst xmlns:a="http://schemas.openxmlformats.org/drawingml/2006/main">
                <a:ext uri="{FF2B5EF4-FFF2-40B4-BE49-F238E27FC236}">
                  <a16:creationId xmlns:a16="http://schemas.microsoft.com/office/drawing/2014/main" id="{713E925A-C9C8-49EC-951B-175EA8AF1F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7DBFE2B7" w14:textId="01B94CBD" w:rsidR="00C51069" w:rsidRDefault="00C51069" w:rsidP="00C51069">
      <w:pPr>
        <w:pStyle w:val="Caption"/>
      </w:pPr>
      <w:bookmarkStart w:id="329" w:name="_Ref92814154"/>
      <w:bookmarkStart w:id="330" w:name="_Toc101274554"/>
      <w:r>
        <w:t xml:space="preserve">Figure </w:t>
      </w:r>
      <w:fldSimple w:instr=" SEQ Figure \* ARABIC ">
        <w:r w:rsidR="00587AF0">
          <w:rPr>
            <w:noProof/>
          </w:rPr>
          <w:t>32</w:t>
        </w:r>
      </w:fldSimple>
      <w:bookmarkEnd w:id="329"/>
      <w:r>
        <w:t xml:space="preserve">. </w:t>
      </w:r>
      <w:r w:rsidR="001C6166">
        <w:t xml:space="preserve">Mean Time Between Failures </w:t>
      </w:r>
      <w:r w:rsidR="00225145">
        <w:t>of industrial and mobile machines</w:t>
      </w:r>
      <w:bookmarkEnd w:id="330"/>
    </w:p>
    <w:p w14:paraId="42DFBE72" w14:textId="45B4BD0E" w:rsidR="00E140EE" w:rsidRPr="00AD7CEA" w:rsidRDefault="009565BE" w:rsidP="00E50057">
      <w:r>
        <w:rPr>
          <w:lang w:val="en-GB"/>
        </w:rPr>
        <w:t>C</w:t>
      </w:r>
      <w:r w:rsidR="00E140EE">
        <w:rPr>
          <w:lang w:val="en-GB"/>
        </w:rPr>
        <w:t xml:space="preserve">onsidering failures within </w:t>
      </w:r>
      <w:r w:rsidR="00C14B53">
        <w:rPr>
          <w:lang w:val="en-GB"/>
        </w:rPr>
        <w:t xml:space="preserve">the </w:t>
      </w:r>
      <w:r w:rsidR="00E140EE">
        <w:rPr>
          <w:lang w:val="en-GB"/>
        </w:rPr>
        <w:t>hydraulic system (</w:t>
      </w:r>
      <w:r w:rsidR="00E140EE">
        <w:rPr>
          <w:lang w:val="en-GB"/>
        </w:rPr>
        <w:fldChar w:fldCharType="begin"/>
      </w:r>
      <w:r w:rsidR="00E140EE">
        <w:rPr>
          <w:lang w:val="en-GB"/>
        </w:rPr>
        <w:instrText xml:space="preserve"> REF _Ref92783819 \h </w:instrText>
      </w:r>
      <w:r w:rsidR="00E140EE">
        <w:rPr>
          <w:lang w:val="en-GB"/>
        </w:rPr>
      </w:r>
      <w:r w:rsidR="00E140EE">
        <w:rPr>
          <w:lang w:val="en-GB"/>
        </w:rPr>
        <w:fldChar w:fldCharType="separate"/>
      </w:r>
      <w:r w:rsidR="00587AF0">
        <w:t xml:space="preserve">Figure </w:t>
      </w:r>
      <w:r w:rsidR="00587AF0">
        <w:rPr>
          <w:noProof/>
        </w:rPr>
        <w:t>33</w:t>
      </w:r>
      <w:r w:rsidR="00E140EE">
        <w:rPr>
          <w:lang w:val="en-GB"/>
        </w:rPr>
        <w:fldChar w:fldCharType="end"/>
      </w:r>
      <w:r w:rsidR="00E140EE">
        <w:rPr>
          <w:lang w:val="en-GB"/>
        </w:rPr>
        <w:t>a) and their associated causes (</w:t>
      </w:r>
      <w:r w:rsidR="00E140EE">
        <w:rPr>
          <w:lang w:val="en-GB"/>
        </w:rPr>
        <w:fldChar w:fldCharType="begin"/>
      </w:r>
      <w:r w:rsidR="00E140EE">
        <w:rPr>
          <w:lang w:val="en-GB"/>
        </w:rPr>
        <w:instrText xml:space="preserve"> REF _Ref92783819 \h </w:instrText>
      </w:r>
      <w:r w:rsidR="00E140EE">
        <w:rPr>
          <w:lang w:val="en-GB"/>
        </w:rPr>
      </w:r>
      <w:r w:rsidR="00E140EE">
        <w:rPr>
          <w:lang w:val="en-GB"/>
        </w:rPr>
        <w:fldChar w:fldCharType="separate"/>
      </w:r>
      <w:r w:rsidR="00587AF0">
        <w:t xml:space="preserve">Figure </w:t>
      </w:r>
      <w:r w:rsidR="00587AF0">
        <w:rPr>
          <w:noProof/>
        </w:rPr>
        <w:t>33</w:t>
      </w:r>
      <w:r w:rsidR="00E140EE">
        <w:rPr>
          <w:lang w:val="en-GB"/>
        </w:rPr>
        <w:fldChar w:fldCharType="end"/>
      </w:r>
      <w:r w:rsidR="00E140EE">
        <w:rPr>
          <w:lang w:val="en-GB"/>
        </w:rPr>
        <w:t>b)</w:t>
      </w:r>
      <w:r w:rsidR="00C14B53">
        <w:rPr>
          <w:lang w:val="en-GB"/>
        </w:rPr>
        <w:t>,</w:t>
      </w:r>
      <w:r w:rsidR="00E140EE">
        <w:rPr>
          <w:lang w:val="en-GB"/>
        </w:rPr>
        <w:t xml:space="preserve"> it can be seen that bursts of hoses and pipes are the most common </w:t>
      </w:r>
      <w:r w:rsidR="0039161B">
        <w:rPr>
          <w:lang w:val="en-GB"/>
        </w:rPr>
        <w:t xml:space="preserve">stoppage </w:t>
      </w:r>
      <w:r w:rsidR="00E140EE">
        <w:rPr>
          <w:lang w:val="en-GB"/>
        </w:rPr>
        <w:t>within the hydraulic system, logically justifying the causes (</w:t>
      </w:r>
      <w:r>
        <w:rPr>
          <w:lang w:val="en-GB"/>
        </w:rPr>
        <w:t xml:space="preserve">or </w:t>
      </w:r>
      <w:r w:rsidR="00E140EE">
        <w:rPr>
          <w:lang w:val="en-GB"/>
        </w:rPr>
        <w:t xml:space="preserve">consequences) of </w:t>
      </w:r>
      <w:r w:rsidR="00C14B53">
        <w:rPr>
          <w:lang w:val="en-GB"/>
        </w:rPr>
        <w:t xml:space="preserve">the </w:t>
      </w:r>
      <w:r w:rsidR="00E140EE">
        <w:rPr>
          <w:lang w:val="en-GB"/>
        </w:rPr>
        <w:t>system overload and leakage.</w:t>
      </w:r>
      <w:r w:rsidR="00C14B53">
        <w:rPr>
          <w:lang w:val="en-GB"/>
        </w:rPr>
        <w:t xml:space="preserve"> O</w:t>
      </w:r>
      <w:r w:rsidR="00E140EE">
        <w:rPr>
          <w:lang w:val="en-GB"/>
        </w:rPr>
        <w:t>utside of</w:t>
      </w:r>
      <w:r w:rsidR="007C5DC2">
        <w:rPr>
          <w:lang w:val="en-GB"/>
        </w:rPr>
        <w:t xml:space="preserve"> the spectrum of presumably inadequate operation</w:t>
      </w:r>
      <w:r w:rsidR="00C14B53">
        <w:rPr>
          <w:lang w:val="en-GB"/>
        </w:rPr>
        <w:t>s</w:t>
      </w:r>
      <w:r w:rsidR="007C5DC2">
        <w:rPr>
          <w:lang w:val="en-GB"/>
        </w:rPr>
        <w:t xml:space="preserve"> </w:t>
      </w:r>
      <w:r w:rsidR="00E50057">
        <w:rPr>
          <w:lang w:val="en-GB"/>
        </w:rPr>
        <w:t>leading to overload,</w:t>
      </w:r>
      <w:r w:rsidR="00E140EE">
        <w:rPr>
          <w:lang w:val="en-GB"/>
        </w:rPr>
        <w:t xml:space="preserve"> contamination</w:t>
      </w:r>
      <w:r w:rsidRPr="009565BE">
        <w:rPr>
          <w:lang w:val="en-GB"/>
        </w:rPr>
        <w:t xml:space="preserve"> </w:t>
      </w:r>
      <w:r w:rsidR="00E140EE">
        <w:rPr>
          <w:lang w:val="en-GB"/>
        </w:rPr>
        <w:t xml:space="preserve">(particle, water, air, temperature) </w:t>
      </w:r>
      <w:r w:rsidR="00C14B53">
        <w:rPr>
          <w:lang w:val="en-GB"/>
        </w:rPr>
        <w:t>is the secondary cause of failures but not the most common cause of hydraulic system failure</w:t>
      </w:r>
      <w:r w:rsidR="003810AD">
        <w:rPr>
          <w:lang w:val="en-GB"/>
        </w:rPr>
        <w:t>,</w:t>
      </w:r>
      <w:r w:rsidR="00E140EE">
        <w:rPr>
          <w:lang w:val="en-GB"/>
        </w:rPr>
        <w:t xml:space="preserve"> as previously </w:t>
      </w:r>
      <w:r w:rsidR="00E50057">
        <w:rPr>
          <w:lang w:val="en-GB"/>
        </w:rPr>
        <w:t>reported throughout the literature.</w:t>
      </w:r>
      <w:r w:rsidR="00E140EE">
        <w:t xml:space="preserve"> </w:t>
      </w:r>
    </w:p>
    <w:tbl>
      <w:tblPr>
        <w:tblW w:w="0" w:type="auto"/>
        <w:tblLook w:val="04A0" w:firstRow="1" w:lastRow="0" w:firstColumn="1" w:lastColumn="0" w:noHBand="0" w:noVBand="1"/>
      </w:tblPr>
      <w:tblGrid>
        <w:gridCol w:w="4365"/>
        <w:gridCol w:w="4662"/>
      </w:tblGrid>
      <w:tr w:rsidR="00085E23" w14:paraId="0E09F4E2" w14:textId="77777777" w:rsidTr="006B5207">
        <w:tc>
          <w:tcPr>
            <w:tcW w:w="4365" w:type="dxa"/>
          </w:tcPr>
          <w:p w14:paraId="509BFDB2" w14:textId="77777777" w:rsidR="00085E23" w:rsidRDefault="00085E23" w:rsidP="00F512AB">
            <w:pPr>
              <w:spacing w:after="0"/>
              <w:jc w:val="left"/>
            </w:pPr>
            <w:r>
              <w:rPr>
                <w:noProof/>
              </w:rPr>
              <w:lastRenderedPageBreak/>
              <w:drawing>
                <wp:inline distT="0" distB="0" distL="0" distR="0" wp14:anchorId="2BC6C18E" wp14:editId="5168947E">
                  <wp:extent cx="2652588" cy="2205990"/>
                  <wp:effectExtent l="0" t="0" r="0" b="3810"/>
                  <wp:docPr id="49" name="Chart 49">
                    <a:extLst xmlns:a="http://schemas.openxmlformats.org/drawingml/2006/main">
                      <a:ext uri="{FF2B5EF4-FFF2-40B4-BE49-F238E27FC236}">
                        <a16:creationId xmlns:a16="http://schemas.microsoft.com/office/drawing/2014/main" id="{54508CCC-5681-4080-A8FD-230F32DB11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tc>
        <w:tc>
          <w:tcPr>
            <w:tcW w:w="4662" w:type="dxa"/>
          </w:tcPr>
          <w:p w14:paraId="0B607234" w14:textId="77777777" w:rsidR="00085E23" w:rsidRDefault="00085E23" w:rsidP="00F512AB">
            <w:pPr>
              <w:spacing w:after="0"/>
              <w:jc w:val="center"/>
            </w:pPr>
            <w:r>
              <w:rPr>
                <w:noProof/>
              </w:rPr>
              <w:drawing>
                <wp:inline distT="0" distB="0" distL="0" distR="0" wp14:anchorId="203EC0EE" wp14:editId="3415962B">
                  <wp:extent cx="2843088" cy="2205990"/>
                  <wp:effectExtent l="0" t="0" r="0" b="3810"/>
                  <wp:docPr id="50" name="Chart 50">
                    <a:extLst xmlns:a="http://schemas.openxmlformats.org/drawingml/2006/main">
                      <a:ext uri="{FF2B5EF4-FFF2-40B4-BE49-F238E27FC236}">
                        <a16:creationId xmlns:a16="http://schemas.microsoft.com/office/drawing/2014/main" id="{F16308BE-CB44-42BE-ABE9-0AF0056B8A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c>
      </w:tr>
      <w:tr w:rsidR="00085E23" w14:paraId="6E2A874C" w14:textId="77777777" w:rsidTr="006B5207">
        <w:tc>
          <w:tcPr>
            <w:tcW w:w="4365" w:type="dxa"/>
          </w:tcPr>
          <w:p w14:paraId="2F043A39" w14:textId="77777777" w:rsidR="00085E23" w:rsidRDefault="00085E23" w:rsidP="00F512AB">
            <w:pPr>
              <w:spacing w:before="0" w:after="0"/>
              <w:jc w:val="center"/>
            </w:pPr>
            <w:r>
              <w:t>(a)</w:t>
            </w:r>
          </w:p>
        </w:tc>
        <w:tc>
          <w:tcPr>
            <w:tcW w:w="4662" w:type="dxa"/>
          </w:tcPr>
          <w:p w14:paraId="503A786B" w14:textId="77777777" w:rsidR="00085E23" w:rsidRDefault="00085E23" w:rsidP="00F512AB">
            <w:pPr>
              <w:keepNext/>
              <w:spacing w:before="0" w:after="0"/>
              <w:jc w:val="center"/>
            </w:pPr>
            <w:r>
              <w:t>(b)</w:t>
            </w:r>
          </w:p>
        </w:tc>
      </w:tr>
    </w:tbl>
    <w:p w14:paraId="7095540F" w14:textId="77CF5873" w:rsidR="00085E23" w:rsidRDefault="00085E23" w:rsidP="00085E23">
      <w:pPr>
        <w:pStyle w:val="Caption"/>
      </w:pPr>
      <w:bookmarkStart w:id="331" w:name="_Ref92783819"/>
      <w:bookmarkStart w:id="332" w:name="_Toc101274555"/>
      <w:r>
        <w:t xml:space="preserve">Figure </w:t>
      </w:r>
      <w:fldSimple w:instr=" SEQ Figure \* ARABIC ">
        <w:r w:rsidR="00587AF0">
          <w:rPr>
            <w:noProof/>
          </w:rPr>
          <w:t>33</w:t>
        </w:r>
      </w:fldSimple>
      <w:bookmarkEnd w:id="331"/>
      <w:r>
        <w:t>. The most common component failures (a) and root causes of failures (b) reported</w:t>
      </w:r>
      <w:bookmarkEnd w:id="332"/>
    </w:p>
    <w:p w14:paraId="3F755660" w14:textId="137F788B" w:rsidR="00DD1BA6" w:rsidRPr="00DD1BA6" w:rsidRDefault="00DD1BA6" w:rsidP="00DD1BA6">
      <w:r>
        <w:t>Although failures due to contamination (particle, temperature, air, water) are significantly lower than previously reported in the literature, it helps support the premise that future maintenance should switch focus on monitoring energy parameters, i.e. flow and leakage.</w:t>
      </w:r>
    </w:p>
    <w:p w14:paraId="23C810B5" w14:textId="1F62F120" w:rsidR="00D84F92" w:rsidRDefault="00D84F92" w:rsidP="00D84F92">
      <w:pPr>
        <w:pStyle w:val="Heading3"/>
        <w:rPr>
          <w:lang w:val="en-GB"/>
        </w:rPr>
      </w:pPr>
      <w:bookmarkStart w:id="333" w:name="_Toc93759900"/>
      <w:bookmarkStart w:id="334" w:name="_Toc93760004"/>
      <w:bookmarkStart w:id="335" w:name="_Toc101274360"/>
      <w:r>
        <w:rPr>
          <w:lang w:val="en-GB"/>
        </w:rPr>
        <w:t xml:space="preserve">Influence </w:t>
      </w:r>
      <w:r w:rsidR="00053FEA">
        <w:rPr>
          <w:lang w:val="en-GB"/>
        </w:rPr>
        <w:t>of</w:t>
      </w:r>
      <w:r>
        <w:rPr>
          <w:lang w:val="en-GB"/>
        </w:rPr>
        <w:t xml:space="preserve"> energy and environmental indicators</w:t>
      </w:r>
      <w:bookmarkEnd w:id="333"/>
      <w:bookmarkEnd w:id="334"/>
      <w:bookmarkEnd w:id="335"/>
    </w:p>
    <w:p w14:paraId="4033B7FF" w14:textId="520FFA4C" w:rsidR="00AD7CEA" w:rsidRDefault="00DF39E6" w:rsidP="00DF39E6">
      <w:pPr>
        <w:rPr>
          <w:lang w:val="en-GB"/>
        </w:rPr>
      </w:pPr>
      <w:r>
        <w:rPr>
          <w:lang w:val="en-GB"/>
        </w:rPr>
        <w:t>Obtaining data</w:t>
      </w:r>
      <w:r w:rsidR="005456BB">
        <w:rPr>
          <w:lang w:val="en-GB"/>
        </w:rPr>
        <w:t xml:space="preserve"> </w:t>
      </w:r>
      <w:r w:rsidR="00E81E52">
        <w:rPr>
          <w:lang w:val="en-GB"/>
        </w:rPr>
        <w:t xml:space="preserve">from the survey and </w:t>
      </w:r>
      <w:r>
        <w:rPr>
          <w:lang w:val="en-GB"/>
        </w:rPr>
        <w:t>associating</w:t>
      </w:r>
      <w:r w:rsidR="00E81E52">
        <w:rPr>
          <w:lang w:val="en-GB"/>
        </w:rPr>
        <w:t xml:space="preserve"> </w:t>
      </w:r>
      <w:r w:rsidR="003810AD">
        <w:rPr>
          <w:lang w:val="en-GB"/>
        </w:rPr>
        <w:t xml:space="preserve">it </w:t>
      </w:r>
      <w:r w:rsidR="00E81E52">
        <w:rPr>
          <w:lang w:val="en-GB"/>
        </w:rPr>
        <w:t>with appropriate maintenance practice (reported policy)</w:t>
      </w:r>
      <w:r w:rsidR="001A26CB">
        <w:rPr>
          <w:lang w:val="en-GB"/>
        </w:rPr>
        <w:t>,</w:t>
      </w:r>
      <w:r w:rsidR="00E81E52">
        <w:rPr>
          <w:lang w:val="en-GB"/>
        </w:rPr>
        <w:t xml:space="preserve"> the idea is to </w:t>
      </w:r>
      <w:r w:rsidR="00EF1C85">
        <w:rPr>
          <w:lang w:val="en-GB"/>
        </w:rPr>
        <w:t>question</w:t>
      </w:r>
      <w:r>
        <w:rPr>
          <w:lang w:val="en-GB"/>
        </w:rPr>
        <w:t xml:space="preserve"> the relationship between maintenance activities and MPIs.</w:t>
      </w:r>
      <w:r w:rsidR="003D38B6">
        <w:rPr>
          <w:lang w:val="en-GB"/>
        </w:rPr>
        <w:t xml:space="preserve"> </w:t>
      </w:r>
      <w:r>
        <w:rPr>
          <w:lang w:val="en-GB"/>
        </w:rPr>
        <w:t xml:space="preserve">By </w:t>
      </w:r>
      <w:r w:rsidR="001A26CB">
        <w:rPr>
          <w:lang w:val="en-GB"/>
        </w:rPr>
        <w:t>obtain</w:t>
      </w:r>
      <w:r>
        <w:rPr>
          <w:lang w:val="en-GB"/>
        </w:rPr>
        <w:t>ing</w:t>
      </w:r>
      <w:r w:rsidR="001A26CB">
        <w:rPr>
          <w:lang w:val="en-GB"/>
        </w:rPr>
        <w:t xml:space="preserve"> </w:t>
      </w:r>
      <w:r>
        <w:rPr>
          <w:lang w:val="en-GB"/>
        </w:rPr>
        <w:t xml:space="preserve">evidence </w:t>
      </w:r>
      <w:r w:rsidR="001A26CB">
        <w:rPr>
          <w:lang w:val="en-GB"/>
        </w:rPr>
        <w:t>o</w:t>
      </w:r>
      <w:r w:rsidR="003810AD">
        <w:rPr>
          <w:lang w:val="en-GB"/>
        </w:rPr>
        <w:t>n</w:t>
      </w:r>
      <w:r w:rsidR="001A26CB">
        <w:rPr>
          <w:lang w:val="en-GB"/>
        </w:rPr>
        <w:t xml:space="preserve"> </w:t>
      </w:r>
      <w:r>
        <w:rPr>
          <w:lang w:val="en-GB"/>
        </w:rPr>
        <w:t>the relationship between maintenance practice and MPIs (e.g., MTBF, energy, oil waste)</w:t>
      </w:r>
      <w:r w:rsidR="00F8139B">
        <w:rPr>
          <w:lang w:val="en-GB"/>
        </w:rPr>
        <w:t>,</w:t>
      </w:r>
      <w:r>
        <w:rPr>
          <w:lang w:val="en-GB"/>
        </w:rPr>
        <w:t xml:space="preserve"> the idea is to use such evidence for contributing to the EBM practice.</w:t>
      </w:r>
      <w:r w:rsidR="008E422C">
        <w:rPr>
          <w:lang w:val="en-GB"/>
        </w:rPr>
        <w:t xml:space="preserve"> </w:t>
      </w:r>
      <w:r w:rsidR="000C56B9">
        <w:rPr>
          <w:lang w:val="en-GB"/>
        </w:rPr>
        <w:t xml:space="preserve">Nevertheless, </w:t>
      </w:r>
      <w:r w:rsidR="009230D3">
        <w:rPr>
          <w:lang w:val="en-GB"/>
        </w:rPr>
        <w:t xml:space="preserve">the first goal is to </w:t>
      </w:r>
      <w:r w:rsidR="00F851D3">
        <w:rPr>
          <w:lang w:val="en-GB"/>
        </w:rPr>
        <w:t>use</w:t>
      </w:r>
      <w:r w:rsidR="001A26CB">
        <w:rPr>
          <w:lang w:val="en-GB"/>
        </w:rPr>
        <w:t xml:space="preserve"> </w:t>
      </w:r>
      <w:r w:rsidR="00F851D3">
        <w:rPr>
          <w:lang w:val="en-GB"/>
        </w:rPr>
        <w:t>box and whisker plot</w:t>
      </w:r>
      <w:r>
        <w:rPr>
          <w:lang w:val="en-GB"/>
        </w:rPr>
        <w:t>s</w:t>
      </w:r>
      <w:r w:rsidR="00F851D3">
        <w:rPr>
          <w:lang w:val="en-GB"/>
        </w:rPr>
        <w:t xml:space="preserve"> to illustrate the </w:t>
      </w:r>
      <w:r>
        <w:rPr>
          <w:lang w:val="en-GB"/>
        </w:rPr>
        <w:t xml:space="preserve">relationship between maintenance practices and MPIs, namely hydraulic power utilised </w:t>
      </w:r>
      <w:r w:rsidR="00E678E1">
        <w:rPr>
          <w:lang w:val="en-GB"/>
        </w:rPr>
        <w:t>(</w:t>
      </w:r>
      <w:r w:rsidR="00E678E1">
        <w:rPr>
          <w:lang w:val="en-GB"/>
        </w:rPr>
        <w:fldChar w:fldCharType="begin"/>
      </w:r>
      <w:r w:rsidR="00E678E1">
        <w:rPr>
          <w:lang w:val="en-GB"/>
        </w:rPr>
        <w:instrText xml:space="preserve"> REF _Ref92819391 \h </w:instrText>
      </w:r>
      <w:r w:rsidR="00E678E1">
        <w:rPr>
          <w:lang w:val="en-GB"/>
        </w:rPr>
      </w:r>
      <w:r w:rsidR="00E678E1">
        <w:rPr>
          <w:lang w:val="en-GB"/>
        </w:rPr>
        <w:fldChar w:fldCharType="separate"/>
      </w:r>
      <w:r w:rsidR="00587AF0">
        <w:t xml:space="preserve">Figure </w:t>
      </w:r>
      <w:r w:rsidR="00587AF0">
        <w:rPr>
          <w:noProof/>
        </w:rPr>
        <w:t>34</w:t>
      </w:r>
      <w:r w:rsidR="00E678E1">
        <w:rPr>
          <w:lang w:val="en-GB"/>
        </w:rPr>
        <w:fldChar w:fldCharType="end"/>
      </w:r>
      <w:r w:rsidR="006C4C67">
        <w:rPr>
          <w:lang w:val="en-GB"/>
        </w:rPr>
        <w:t>a</w:t>
      </w:r>
      <w:r w:rsidR="00E678E1">
        <w:rPr>
          <w:lang w:val="en-GB"/>
        </w:rPr>
        <w:t>)</w:t>
      </w:r>
      <w:r>
        <w:rPr>
          <w:lang w:val="en-GB"/>
        </w:rPr>
        <w:t xml:space="preserve"> and MTBF </w:t>
      </w:r>
      <w:r w:rsidR="006C4C67">
        <w:rPr>
          <w:lang w:val="en-GB"/>
        </w:rPr>
        <w:t>(</w:t>
      </w:r>
      <w:r w:rsidR="006C4C67">
        <w:rPr>
          <w:lang w:val="en-GB"/>
        </w:rPr>
        <w:fldChar w:fldCharType="begin"/>
      </w:r>
      <w:r w:rsidR="006C4C67">
        <w:rPr>
          <w:lang w:val="en-GB"/>
        </w:rPr>
        <w:instrText xml:space="preserve"> REF _Ref92819391 \h </w:instrText>
      </w:r>
      <w:r w:rsidR="006C4C67">
        <w:rPr>
          <w:lang w:val="en-GB"/>
        </w:rPr>
      </w:r>
      <w:r w:rsidR="006C4C67">
        <w:rPr>
          <w:lang w:val="en-GB"/>
        </w:rPr>
        <w:fldChar w:fldCharType="separate"/>
      </w:r>
      <w:r w:rsidR="00587AF0">
        <w:t xml:space="preserve">Figure </w:t>
      </w:r>
      <w:r w:rsidR="00587AF0">
        <w:rPr>
          <w:noProof/>
        </w:rPr>
        <w:t>34</w:t>
      </w:r>
      <w:r w:rsidR="006C4C67">
        <w:rPr>
          <w:lang w:val="en-GB"/>
        </w:rPr>
        <w:fldChar w:fldCharType="end"/>
      </w:r>
      <w:r w:rsidR="006C4C67">
        <w:rPr>
          <w:lang w:val="en-GB"/>
        </w:rPr>
        <w:t>b).</w:t>
      </w:r>
    </w:p>
    <w:tbl>
      <w:tblPr>
        <w:tblW w:w="0" w:type="auto"/>
        <w:tblLook w:val="04A0" w:firstRow="1" w:lastRow="0" w:firstColumn="1" w:lastColumn="0" w:noHBand="0" w:noVBand="1"/>
      </w:tblPr>
      <w:tblGrid>
        <w:gridCol w:w="4536"/>
        <w:gridCol w:w="4491"/>
      </w:tblGrid>
      <w:tr w:rsidR="003667A0" w14:paraId="188DFF8B" w14:textId="77777777" w:rsidTr="00C32DA7">
        <w:tc>
          <w:tcPr>
            <w:tcW w:w="4536" w:type="dxa"/>
            <w:vAlign w:val="center"/>
          </w:tcPr>
          <w:p w14:paraId="0AD794A4" w14:textId="4CEDDD7C" w:rsidR="00E77E3B" w:rsidRPr="002C635F" w:rsidRDefault="002C635F" w:rsidP="001C7FEF">
            <w:pPr>
              <w:spacing w:after="0"/>
              <w:jc w:val="center"/>
              <w:rPr>
                <w:sz w:val="18"/>
                <w:szCs w:val="18"/>
              </w:rPr>
            </w:pPr>
            <w:r w:rsidRPr="002C635F">
              <w:rPr>
                <w:noProof/>
                <w:sz w:val="18"/>
                <w:szCs w:val="18"/>
              </w:rPr>
              <mc:AlternateContent>
                <mc:Choice Requires="cx1">
                  <w:drawing>
                    <wp:inline distT="0" distB="0" distL="0" distR="0" wp14:anchorId="5C56CF0A" wp14:editId="3B2EB4C8">
                      <wp:extent cx="2727960" cy="2160000"/>
                      <wp:effectExtent l="0" t="0" r="15240" b="12065"/>
                      <wp:docPr id="23" name="Chart 23">
                        <a:extLst xmlns:a="http://schemas.openxmlformats.org/drawingml/2006/main">
                          <a:ext uri="{FF2B5EF4-FFF2-40B4-BE49-F238E27FC236}">
                            <a16:creationId xmlns:a16="http://schemas.microsoft.com/office/drawing/2014/main" id="{E7CB99C5-80BA-4564-AE10-7B303F35EE17}"/>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7"/>
                        </a:graphicData>
                      </a:graphic>
                    </wp:inline>
                  </w:drawing>
                </mc:Choice>
                <mc:Fallback>
                  <w:drawing>
                    <wp:inline distT="0" distB="0" distL="0" distR="0" wp14:anchorId="5C56CF0A" wp14:editId="3B2EB4C8">
                      <wp:extent cx="2727960" cy="2160000"/>
                      <wp:effectExtent l="0" t="0" r="15240" b="12065"/>
                      <wp:docPr id="23" name="Chart 23">
                        <a:extLst xmlns:a="http://schemas.openxmlformats.org/drawingml/2006/main">
                          <a:ext uri="{FF2B5EF4-FFF2-40B4-BE49-F238E27FC236}">
                            <a16:creationId xmlns:a16="http://schemas.microsoft.com/office/drawing/2014/main" id="{E7CB99C5-80BA-4564-AE10-7B303F35EE17}"/>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3" name="Chart 23">
                                <a:extLst>
                                  <a:ext uri="{FF2B5EF4-FFF2-40B4-BE49-F238E27FC236}">
                                    <a16:creationId xmlns:a16="http://schemas.microsoft.com/office/drawing/2014/main" id="{E7CB99C5-80BA-4564-AE10-7B303F35EE17}"/>
                                  </a:ext>
                                </a:extLst>
                              </pic:cNvPr>
                              <pic:cNvPicPr>
                                <a:picLocks noGrp="1" noRot="1" noChangeAspect="1" noMove="1" noResize="1" noEditPoints="1" noAdjustHandles="1" noChangeArrowheads="1" noChangeShapeType="1"/>
                              </pic:cNvPicPr>
                            </pic:nvPicPr>
                            <pic:blipFill>
                              <a:blip r:embed="rId68"/>
                              <a:stretch>
                                <a:fillRect/>
                              </a:stretch>
                            </pic:blipFill>
                            <pic:spPr>
                              <a:xfrm>
                                <a:off x="0" y="0"/>
                                <a:ext cx="2727960" cy="2159635"/>
                              </a:xfrm>
                              <a:prstGeom prst="rect">
                                <a:avLst/>
                              </a:prstGeom>
                            </pic:spPr>
                          </pic:pic>
                        </a:graphicData>
                      </a:graphic>
                    </wp:inline>
                  </w:drawing>
                </mc:Fallback>
              </mc:AlternateContent>
            </w:r>
          </w:p>
        </w:tc>
        <w:tc>
          <w:tcPr>
            <w:tcW w:w="4491" w:type="dxa"/>
          </w:tcPr>
          <w:p w14:paraId="0B6E10FA" w14:textId="41450F5F" w:rsidR="00E77E3B" w:rsidRDefault="003667A0" w:rsidP="00C32DA7">
            <w:pPr>
              <w:spacing w:after="0"/>
              <w:jc w:val="center"/>
            </w:pPr>
            <w:r>
              <w:rPr>
                <w:noProof/>
              </w:rPr>
              <mc:AlternateContent>
                <mc:Choice Requires="cx1">
                  <w:drawing>
                    <wp:inline distT="0" distB="0" distL="0" distR="0" wp14:anchorId="116B8768" wp14:editId="09DA293D">
                      <wp:extent cx="2625090" cy="2160000"/>
                      <wp:effectExtent l="0" t="0" r="3810" b="12065"/>
                      <wp:docPr id="24" name="Chart 24">
                        <a:extLst xmlns:a="http://schemas.openxmlformats.org/drawingml/2006/main">
                          <a:ext uri="{FF2B5EF4-FFF2-40B4-BE49-F238E27FC236}">
                            <a16:creationId xmlns:a16="http://schemas.microsoft.com/office/drawing/2014/main" id="{E43CC184-120D-4B0E-82D0-B892332794C1}"/>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9"/>
                        </a:graphicData>
                      </a:graphic>
                    </wp:inline>
                  </w:drawing>
                </mc:Choice>
                <mc:Fallback>
                  <w:drawing>
                    <wp:inline distT="0" distB="0" distL="0" distR="0" wp14:anchorId="116B8768" wp14:editId="09DA293D">
                      <wp:extent cx="2625090" cy="2160000"/>
                      <wp:effectExtent l="0" t="0" r="3810" b="12065"/>
                      <wp:docPr id="24" name="Chart 24">
                        <a:extLst xmlns:a="http://schemas.openxmlformats.org/drawingml/2006/main">
                          <a:ext uri="{FF2B5EF4-FFF2-40B4-BE49-F238E27FC236}">
                            <a16:creationId xmlns:a16="http://schemas.microsoft.com/office/drawing/2014/main" id="{E43CC184-120D-4B0E-82D0-B892332794C1}"/>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4" name="Chart 24">
                                <a:extLst>
                                  <a:ext uri="{FF2B5EF4-FFF2-40B4-BE49-F238E27FC236}">
                                    <a16:creationId xmlns:a16="http://schemas.microsoft.com/office/drawing/2014/main" id="{E43CC184-120D-4B0E-82D0-B892332794C1}"/>
                                  </a:ext>
                                </a:extLst>
                              </pic:cNvPr>
                              <pic:cNvPicPr>
                                <a:picLocks noGrp="1" noRot="1" noChangeAspect="1" noMove="1" noResize="1" noEditPoints="1" noAdjustHandles="1" noChangeArrowheads="1" noChangeShapeType="1"/>
                              </pic:cNvPicPr>
                            </pic:nvPicPr>
                            <pic:blipFill>
                              <a:blip r:embed="rId70"/>
                              <a:stretch>
                                <a:fillRect/>
                              </a:stretch>
                            </pic:blipFill>
                            <pic:spPr>
                              <a:xfrm>
                                <a:off x="0" y="0"/>
                                <a:ext cx="2625090" cy="2159635"/>
                              </a:xfrm>
                              <a:prstGeom prst="rect">
                                <a:avLst/>
                              </a:prstGeom>
                            </pic:spPr>
                          </pic:pic>
                        </a:graphicData>
                      </a:graphic>
                    </wp:inline>
                  </w:drawing>
                </mc:Fallback>
              </mc:AlternateContent>
            </w:r>
          </w:p>
        </w:tc>
      </w:tr>
      <w:tr w:rsidR="00E77E3B" w14:paraId="00006D48" w14:textId="77777777" w:rsidTr="003667A0">
        <w:tc>
          <w:tcPr>
            <w:tcW w:w="4536" w:type="dxa"/>
            <w:vAlign w:val="center"/>
          </w:tcPr>
          <w:p w14:paraId="1A913E3B" w14:textId="77777777" w:rsidR="00E77E3B" w:rsidRDefault="00E77E3B" w:rsidP="001C7FEF">
            <w:pPr>
              <w:spacing w:before="0" w:after="0"/>
              <w:jc w:val="center"/>
            </w:pPr>
            <w:r>
              <w:t>(a)</w:t>
            </w:r>
          </w:p>
        </w:tc>
        <w:tc>
          <w:tcPr>
            <w:tcW w:w="4491" w:type="dxa"/>
            <w:vAlign w:val="center"/>
          </w:tcPr>
          <w:p w14:paraId="510D22E4" w14:textId="77777777" w:rsidR="00E77E3B" w:rsidRDefault="00E77E3B" w:rsidP="001C7FEF">
            <w:pPr>
              <w:keepNext/>
              <w:spacing w:before="0" w:after="0"/>
              <w:jc w:val="center"/>
            </w:pPr>
            <w:r>
              <w:t>(b)</w:t>
            </w:r>
          </w:p>
        </w:tc>
      </w:tr>
    </w:tbl>
    <w:p w14:paraId="637A8AFE" w14:textId="39B34921" w:rsidR="00154298" w:rsidRDefault="00E77E3B" w:rsidP="00E77E3B">
      <w:pPr>
        <w:pStyle w:val="Caption"/>
      </w:pPr>
      <w:bookmarkStart w:id="336" w:name="_Ref92819391"/>
      <w:bookmarkStart w:id="337" w:name="_Toc101274556"/>
      <w:r>
        <w:t xml:space="preserve">Figure </w:t>
      </w:r>
      <w:fldSimple w:instr=" SEQ Figure \* ARABIC ">
        <w:r w:rsidR="00587AF0">
          <w:rPr>
            <w:noProof/>
          </w:rPr>
          <w:t>34</w:t>
        </w:r>
      </w:fldSimple>
      <w:bookmarkEnd w:id="336"/>
      <w:r>
        <w:t xml:space="preserve">. </w:t>
      </w:r>
      <w:r w:rsidR="00F851D3">
        <w:t xml:space="preserve">Box and whisker plot of </w:t>
      </w:r>
      <w:r w:rsidR="00CA4996">
        <w:t>P</w:t>
      </w:r>
      <w:r w:rsidR="00A67040">
        <w:t>RC</w:t>
      </w:r>
      <w:r w:rsidR="00CA4996">
        <w:t>M</w:t>
      </w:r>
      <w:r>
        <w:t xml:space="preserve"> (a) and </w:t>
      </w:r>
      <w:r w:rsidR="00A67040">
        <w:t>MTBF</w:t>
      </w:r>
      <w:r w:rsidR="001C7FEF">
        <w:t xml:space="preserve"> (b) of different </w:t>
      </w:r>
      <w:r w:rsidR="006A3A20">
        <w:t>MP</w:t>
      </w:r>
      <w:bookmarkEnd w:id="337"/>
    </w:p>
    <w:p w14:paraId="64AE8C74" w14:textId="42D1F1C5" w:rsidR="00923685" w:rsidRPr="00923685" w:rsidRDefault="00486768" w:rsidP="00923685">
      <w:r>
        <w:t xml:space="preserve">The results depicted in </w:t>
      </w:r>
      <w:r>
        <w:fldChar w:fldCharType="begin"/>
      </w:r>
      <w:r>
        <w:instrText xml:space="preserve"> REF _Ref92819391 \h </w:instrText>
      </w:r>
      <w:r>
        <w:fldChar w:fldCharType="separate"/>
      </w:r>
      <w:r w:rsidR="00587AF0">
        <w:t xml:space="preserve">Figure </w:t>
      </w:r>
      <w:r w:rsidR="00587AF0">
        <w:rPr>
          <w:noProof/>
        </w:rPr>
        <w:t>34</w:t>
      </w:r>
      <w:r>
        <w:fldChar w:fldCharType="end"/>
      </w:r>
      <w:r w:rsidR="004475F7">
        <w:t>a</w:t>
      </w:r>
      <w:r>
        <w:t xml:space="preserve"> show that power units (</w:t>
      </w:r>
      <w:r w:rsidR="003F0713">
        <w:t xml:space="preserve">NWF and NWP) are at </w:t>
      </w:r>
      <w:r w:rsidR="003C1016">
        <w:t xml:space="preserve">the </w:t>
      </w:r>
      <w:r w:rsidR="003F0713">
        <w:t>lowest at CBM and CM practice</w:t>
      </w:r>
      <w:r w:rsidR="003C1016">
        <w:t>;</w:t>
      </w:r>
      <w:r w:rsidR="003F0713">
        <w:t xml:space="preserve"> presumably</w:t>
      </w:r>
      <w:r w:rsidR="003C1016">
        <w:t>,</w:t>
      </w:r>
      <w:r w:rsidR="003F0713">
        <w:t xml:space="preserve"> it can affect </w:t>
      </w:r>
      <w:r w:rsidR="003C1016">
        <w:t xml:space="preserve">the </w:t>
      </w:r>
      <w:r w:rsidR="003F0713">
        <w:t>MTBF</w:t>
      </w:r>
      <w:r w:rsidR="004475F7">
        <w:t xml:space="preserve"> indicator. However, the obtained results from </w:t>
      </w:r>
      <w:r w:rsidR="004475F7">
        <w:fldChar w:fldCharType="begin"/>
      </w:r>
      <w:r w:rsidR="004475F7">
        <w:instrText xml:space="preserve"> REF _Ref92819391 \h </w:instrText>
      </w:r>
      <w:r w:rsidR="004475F7">
        <w:fldChar w:fldCharType="separate"/>
      </w:r>
      <w:r w:rsidR="00587AF0">
        <w:t xml:space="preserve">Figure </w:t>
      </w:r>
      <w:r w:rsidR="00587AF0">
        <w:rPr>
          <w:noProof/>
        </w:rPr>
        <w:t>34</w:t>
      </w:r>
      <w:r w:rsidR="004475F7">
        <w:fldChar w:fldCharType="end"/>
      </w:r>
      <w:r w:rsidR="004475F7">
        <w:t xml:space="preserve">b shows that MTBF </w:t>
      </w:r>
      <w:r w:rsidR="003C1016">
        <w:t>is</w:t>
      </w:r>
      <w:r w:rsidR="004475F7">
        <w:t xml:space="preserve"> somewhat </w:t>
      </w:r>
      <w:r w:rsidR="008E0D1D">
        <w:t>close (mean and median)</w:t>
      </w:r>
      <w:r w:rsidR="004475F7">
        <w:t xml:space="preserve"> and should not bias results</w:t>
      </w:r>
      <w:r w:rsidR="008E0D1D">
        <w:t>.</w:t>
      </w:r>
    </w:p>
    <w:p w14:paraId="1E7199A4" w14:textId="1697EA6D" w:rsidR="00923685" w:rsidRDefault="008C3F33" w:rsidP="00923685">
      <w:pPr>
        <w:keepNext/>
        <w:jc w:val="center"/>
      </w:pPr>
      <w:r w:rsidRPr="00AD06F0">
        <w:rPr>
          <w:noProof/>
          <w:color w:val="0000FF"/>
        </w:rPr>
        <w:lastRenderedPageBreak/>
        <w:drawing>
          <wp:inline distT="0" distB="0" distL="0" distR="0" wp14:anchorId="5D092659" wp14:editId="2AF31FF9">
            <wp:extent cx="5732145" cy="2160000"/>
            <wp:effectExtent l="0" t="0" r="1905" b="0"/>
            <wp:docPr id="20" name="Chart 20">
              <a:extLst xmlns:a="http://schemas.openxmlformats.org/drawingml/2006/main">
                <a:ext uri="{FF2B5EF4-FFF2-40B4-BE49-F238E27FC236}">
                  <a16:creationId xmlns:a16="http://schemas.microsoft.com/office/drawing/2014/main" id="{673463A7-3319-4E75-996C-D7806B09D5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071FF9F4" w14:textId="168EF05D" w:rsidR="00923685" w:rsidRDefault="00923685" w:rsidP="00923685">
      <w:pPr>
        <w:pStyle w:val="Caption"/>
      </w:pPr>
      <w:bookmarkStart w:id="338" w:name="_Ref101164877"/>
      <w:bookmarkStart w:id="339" w:name="_Toc101274557"/>
      <w:r>
        <w:t xml:space="preserve">Figure </w:t>
      </w:r>
      <w:fldSimple w:instr=" SEQ Figure \* ARABIC ">
        <w:r w:rsidR="00587AF0">
          <w:rPr>
            <w:noProof/>
          </w:rPr>
          <w:t>35</w:t>
        </w:r>
      </w:fldSimple>
      <w:bookmarkEnd w:id="338"/>
      <w:r>
        <w:t>. Companies utilising different MP fluid waste per machine</w:t>
      </w:r>
      <w:r w:rsidR="003810AD">
        <w:t xml:space="preserve"> </w:t>
      </w:r>
      <w:r>
        <w:t>month (y</w:t>
      </w:r>
      <w:r>
        <w:rPr>
          <w:vertAlign w:val="subscript"/>
        </w:rPr>
        <w:t>1</w:t>
      </w:r>
      <w:r w:rsidR="006D4960">
        <w:t>-</w:t>
      </w:r>
      <w:r>
        <w:t>axis) and power consumption per machine monthly (y</w:t>
      </w:r>
      <w:r>
        <w:rPr>
          <w:vertAlign w:val="subscript"/>
        </w:rPr>
        <w:t>2</w:t>
      </w:r>
      <w:r w:rsidR="006D4960">
        <w:t>-</w:t>
      </w:r>
      <w:r>
        <w:t>axis)</w:t>
      </w:r>
      <w:bookmarkEnd w:id="339"/>
    </w:p>
    <w:p w14:paraId="37E51A6C" w14:textId="69906B38" w:rsidR="00490150" w:rsidRDefault="002F22D1" w:rsidP="002F22D1">
      <w:r>
        <w:t xml:space="preserve">Furthermore, </w:t>
      </w:r>
      <w:r w:rsidR="003810AD">
        <w:t xml:space="preserve">reported overload and leakage as primary causes of stoppages </w:t>
      </w:r>
      <w:r w:rsidR="00CA3918">
        <w:t>across</w:t>
      </w:r>
      <w:r w:rsidR="003810AD">
        <w:t xml:space="preserve"> the </w:t>
      </w:r>
      <w:r w:rsidR="00CA3918">
        <w:t xml:space="preserve">MPs </w:t>
      </w:r>
      <w:r w:rsidR="003810AD">
        <w:t>do</w:t>
      </w:r>
      <w:r w:rsidR="006E1C12">
        <w:t xml:space="preserve"> not </w:t>
      </w:r>
      <w:r w:rsidR="00133D60">
        <w:t>correlate</w:t>
      </w:r>
      <w:r w:rsidR="006E1C12">
        <w:t xml:space="preserve"> with fluid waste per month. On</w:t>
      </w:r>
      <w:r w:rsidR="003C1016">
        <w:t xml:space="preserve"> the</w:t>
      </w:r>
      <w:r w:rsidR="006E1C12">
        <w:t xml:space="preserve"> contrary, in some small instances</w:t>
      </w:r>
      <w:r w:rsidR="00EC016D">
        <w:t xml:space="preserve"> under CM practice</w:t>
      </w:r>
      <w:r w:rsidR="003C1016">
        <w:t>,</w:t>
      </w:r>
      <w:r w:rsidR="00EC016D">
        <w:t xml:space="preserve"> the higher the hydraulic power unit</w:t>
      </w:r>
      <w:r w:rsidR="003C1016">
        <w:t>,</w:t>
      </w:r>
      <w:r w:rsidR="00EC016D">
        <w:t xml:space="preserve"> the less it wastes fluid</w:t>
      </w:r>
      <w:r w:rsidR="00490150">
        <w:t xml:space="preserve">. </w:t>
      </w:r>
      <w:r w:rsidR="003C1016">
        <w:t xml:space="preserve">A </w:t>
      </w:r>
      <w:r w:rsidR="003810AD">
        <w:t>monthly scatter plot (</w:t>
      </w:r>
      <w:r w:rsidR="002C03D4">
        <w:fldChar w:fldCharType="begin"/>
      </w:r>
      <w:r w:rsidR="002C03D4">
        <w:instrText xml:space="preserve"> REF _Ref92884627 \h </w:instrText>
      </w:r>
      <w:r w:rsidR="002C03D4">
        <w:fldChar w:fldCharType="separate"/>
      </w:r>
      <w:r w:rsidR="00587AF0">
        <w:t xml:space="preserve">Figure </w:t>
      </w:r>
      <w:r w:rsidR="00587AF0">
        <w:rPr>
          <w:noProof/>
        </w:rPr>
        <w:t>36</w:t>
      </w:r>
      <w:r w:rsidR="002C03D4">
        <w:fldChar w:fldCharType="end"/>
      </w:r>
      <w:r w:rsidR="002C03D4">
        <w:t xml:space="preserve">) </w:t>
      </w:r>
      <w:r w:rsidR="003810AD">
        <w:t>of fluid waste and power consumption</w:t>
      </w:r>
      <w:r w:rsidR="003C1016">
        <w:t xml:space="preserve"> is used and subjected to MP to get closer to the proposed thematic</w:t>
      </w:r>
      <w:r w:rsidR="00EB6A00">
        <w:t xml:space="preserve">. It can be seen that there is no correlation between </w:t>
      </w:r>
      <w:r w:rsidR="0028727E">
        <w:t>observations.</w:t>
      </w:r>
      <w:r w:rsidR="00E77548">
        <w:t xml:space="preserve"> Therefore, although one may expect </w:t>
      </w:r>
      <w:r w:rsidR="00AB3885">
        <w:t>higher energy utilisation of hydraulic power unit</w:t>
      </w:r>
      <w:r w:rsidR="003C1016">
        <w:t>s</w:t>
      </w:r>
      <w:r w:rsidR="00AB3885">
        <w:t xml:space="preserve"> and information obtained – overload and leakage – </w:t>
      </w:r>
      <w:r w:rsidR="009F486E">
        <w:t xml:space="preserve">that fluid waste </w:t>
      </w:r>
      <w:r w:rsidR="003C1016">
        <w:t>monthly</w:t>
      </w:r>
      <w:r w:rsidR="009F486E">
        <w:t xml:space="preserve"> should result in </w:t>
      </w:r>
      <w:r w:rsidR="003C1016">
        <w:t xml:space="preserve">a </w:t>
      </w:r>
      <w:r w:rsidR="009F486E">
        <w:t xml:space="preserve">somewhat positive correlation </w:t>
      </w:r>
      <w:r w:rsidR="006D1C41">
        <w:t xml:space="preserve">between the variables. Although depicted </w:t>
      </w:r>
      <w:r w:rsidR="003C1016">
        <w:t>in</w:t>
      </w:r>
      <w:r w:rsidR="002C03D4">
        <w:t xml:space="preserve"> </w:t>
      </w:r>
      <w:r w:rsidR="002C03D4">
        <w:fldChar w:fldCharType="begin"/>
      </w:r>
      <w:r w:rsidR="002C03D4">
        <w:instrText xml:space="preserve"> REF _Ref92884627 \h </w:instrText>
      </w:r>
      <w:r w:rsidR="002C03D4">
        <w:fldChar w:fldCharType="separate"/>
      </w:r>
      <w:r w:rsidR="00587AF0">
        <w:t xml:space="preserve">Figure </w:t>
      </w:r>
      <w:r w:rsidR="00587AF0">
        <w:rPr>
          <w:noProof/>
        </w:rPr>
        <w:t>36</w:t>
      </w:r>
      <w:r w:rsidR="002C03D4">
        <w:fldChar w:fldCharType="end"/>
      </w:r>
      <w:r w:rsidR="003C1016">
        <w:t>,</w:t>
      </w:r>
      <w:r w:rsidR="006D1C41">
        <w:t xml:space="preserve"> it shows the absence of </w:t>
      </w:r>
      <w:r w:rsidR="0066630A">
        <w:t xml:space="preserve">such a </w:t>
      </w:r>
      <w:r w:rsidR="00073339">
        <w:t>correlation.</w:t>
      </w:r>
    </w:p>
    <w:p w14:paraId="1D481D32" w14:textId="77777777" w:rsidR="002C03D4" w:rsidRDefault="002C03D4" w:rsidP="002C03D4">
      <w:pPr>
        <w:keepNext/>
        <w:spacing w:after="0"/>
        <w:jc w:val="center"/>
      </w:pPr>
      <w:r>
        <w:rPr>
          <w:noProof/>
        </w:rPr>
        <w:drawing>
          <wp:inline distT="0" distB="0" distL="0" distR="0" wp14:anchorId="50CB801A" wp14:editId="286CA005">
            <wp:extent cx="5732145" cy="4104000"/>
            <wp:effectExtent l="0" t="0" r="1905" b="0"/>
            <wp:docPr id="7" name="Chart 7">
              <a:extLst xmlns:a="http://schemas.openxmlformats.org/drawingml/2006/main">
                <a:ext uri="{FF2B5EF4-FFF2-40B4-BE49-F238E27FC236}">
                  <a16:creationId xmlns:a16="http://schemas.microsoft.com/office/drawing/2014/main" id="{92BC8DDF-51B8-48B8-9233-CB661A3E45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7294C80D" w14:textId="76EDAE3F" w:rsidR="002C03D4" w:rsidRPr="00474B1B" w:rsidRDefault="002C03D4" w:rsidP="002C03D4">
      <w:pPr>
        <w:pStyle w:val="Caption"/>
      </w:pPr>
      <w:bookmarkStart w:id="340" w:name="_Ref92884627"/>
      <w:bookmarkStart w:id="341" w:name="_Toc101274558"/>
      <w:r>
        <w:t xml:space="preserve">Figure </w:t>
      </w:r>
      <w:r w:rsidR="00427B33">
        <w:fldChar w:fldCharType="begin"/>
      </w:r>
      <w:r w:rsidR="00427B33">
        <w:instrText xml:space="preserve"> SEQ Figure \* ARABIC </w:instrText>
      </w:r>
      <w:r w:rsidR="00427B33">
        <w:fldChar w:fldCharType="separate"/>
      </w:r>
      <w:r w:rsidR="00587AF0">
        <w:rPr>
          <w:noProof/>
        </w:rPr>
        <w:t>36</w:t>
      </w:r>
      <w:r w:rsidR="00427B33">
        <w:rPr>
          <w:noProof/>
        </w:rPr>
        <w:fldChar w:fldCharType="end"/>
      </w:r>
      <w:bookmarkEnd w:id="340"/>
      <w:r>
        <w:t>. Scatter plot – PCM (y-axis) and FWMM (x-axis)</w:t>
      </w:r>
      <w:bookmarkEnd w:id="341"/>
    </w:p>
    <w:p w14:paraId="3B2533FC" w14:textId="77777777" w:rsidR="002C03D4" w:rsidRDefault="002C03D4" w:rsidP="002F22D1"/>
    <w:p w14:paraId="3684C475" w14:textId="0F03D351" w:rsidR="00923685" w:rsidRDefault="00195FAF" w:rsidP="00923685">
      <w:r>
        <w:t>I</w:t>
      </w:r>
      <w:r w:rsidR="000F7589">
        <w:t>nvestigating the influence between MTBF and fluid waste per machine</w:t>
      </w:r>
      <w:r w:rsidR="008E422C">
        <w:t>-</w:t>
      </w:r>
      <w:r w:rsidR="000F7589">
        <w:t>monthly</w:t>
      </w:r>
      <w:r w:rsidR="008E422C">
        <w:t xml:space="preserve"> (FWM)</w:t>
      </w:r>
      <w:r w:rsidR="000F7589">
        <w:t xml:space="preserve"> </w:t>
      </w:r>
      <w:r w:rsidR="0042189E">
        <w:t>reveals</w:t>
      </w:r>
      <w:r w:rsidR="000F7589">
        <w:t xml:space="preserve"> </w:t>
      </w:r>
      <w:r w:rsidR="0042189E">
        <w:t>that variables</w:t>
      </w:r>
      <w:r w:rsidR="0010770C">
        <w:t xml:space="preserve"> </w:t>
      </w:r>
      <w:r w:rsidR="00594D35">
        <w:t>subjected to DM, CM, P</w:t>
      </w:r>
      <w:r w:rsidR="00A53C76">
        <w:t>dM</w:t>
      </w:r>
      <w:r w:rsidR="00D359B8">
        <w:t>,</w:t>
      </w:r>
      <w:r w:rsidR="00A53C76">
        <w:t xml:space="preserve"> </w:t>
      </w:r>
      <w:r w:rsidR="007100EB">
        <w:t>or PM do not correlate</w:t>
      </w:r>
      <w:r w:rsidR="00A53C76">
        <w:t xml:space="preserve">. </w:t>
      </w:r>
      <w:r w:rsidR="00601CD5">
        <w:t>However, CBM and OM practi</w:t>
      </w:r>
      <w:r w:rsidR="00D359B8">
        <w:t>c</w:t>
      </w:r>
      <w:r w:rsidR="00601CD5">
        <w:t>e shows that with higher</w:t>
      </w:r>
      <w:r w:rsidR="00797E6A">
        <w:t xml:space="preserve"> and improved MTBF, FWM </w:t>
      </w:r>
      <w:r w:rsidR="00133D60">
        <w:t>correlates</w:t>
      </w:r>
      <w:r w:rsidR="00797E6A">
        <w:t>. Namely, one of the reasons</w:t>
      </w:r>
      <w:r w:rsidR="00C32002">
        <w:t xml:space="preserve"> </w:t>
      </w:r>
      <w:r w:rsidR="001E746C">
        <w:t>associate</w:t>
      </w:r>
      <w:r w:rsidR="00D359B8">
        <w:t>d</w:t>
      </w:r>
      <w:r w:rsidR="00C32002">
        <w:t xml:space="preserve"> with </w:t>
      </w:r>
      <w:r w:rsidR="001E746C">
        <w:t xml:space="preserve">activities for </w:t>
      </w:r>
      <w:r w:rsidR="00C32002">
        <w:t xml:space="preserve">maintaining the system as operational as possible at the cost of </w:t>
      </w:r>
      <w:r w:rsidR="00252E5F">
        <w:t xml:space="preserve">allowing non-random deteriorating </w:t>
      </w:r>
      <w:r w:rsidR="00041B09">
        <w:t>“quasi-</w:t>
      </w:r>
      <w:r w:rsidR="00252E5F">
        <w:t>failures</w:t>
      </w:r>
      <w:r w:rsidR="00041B09">
        <w:t>”</w:t>
      </w:r>
      <w:r w:rsidR="00252E5F">
        <w:t xml:space="preserve">, such as wear, to </w:t>
      </w:r>
      <w:r w:rsidR="001E746C">
        <w:t>take charge</w:t>
      </w:r>
      <w:r w:rsidR="00252E5F">
        <w:t xml:space="preserve">. Other cases can include </w:t>
      </w:r>
      <w:r w:rsidR="005023BB">
        <w:t>conducting conditional or opportunity maintenance inspection</w:t>
      </w:r>
      <w:r>
        <w:t>s</w:t>
      </w:r>
      <w:r w:rsidR="00985E4D">
        <w:t xml:space="preserve"> and acting upon</w:t>
      </w:r>
      <w:r w:rsidR="00D03FF0">
        <w:t xml:space="preserve"> deviation</w:t>
      </w:r>
      <w:r w:rsidR="00985E4D">
        <w:t>s</w:t>
      </w:r>
      <w:r w:rsidR="00D03FF0">
        <w:t xml:space="preserve"> in machine performance (e.g., noise, temperature)</w:t>
      </w:r>
      <w:r w:rsidR="00C32002">
        <w:t xml:space="preserve"> </w:t>
      </w:r>
      <w:r w:rsidR="00985E4D">
        <w:t>with</w:t>
      </w:r>
      <w:r w:rsidR="00D03FF0">
        <w:t xml:space="preserve"> appropriate activities </w:t>
      </w:r>
      <w:r w:rsidR="00D359B8">
        <w:t>to reduce leakage or prevent</w:t>
      </w:r>
      <w:r w:rsidR="00B66B95">
        <w:t xml:space="preserve"> overload, consequently preventing stoppages</w:t>
      </w:r>
      <w:r w:rsidR="00D03FF0">
        <w:t>. Extreme cases would be</w:t>
      </w:r>
      <w:r w:rsidR="00163369">
        <w:t>, as stated earlier, to replace the oil based on degradation characteristics with results obtained from the lab. This case would be the most logical since it preserves the system</w:t>
      </w:r>
      <w:r w:rsidR="003C28CF">
        <w:t xml:space="preserve"> in </w:t>
      </w:r>
      <w:r w:rsidR="00D359B8">
        <w:t>a good state and prevents degradation while maintaining the</w:t>
      </w:r>
      <w:r w:rsidR="0069718D">
        <w:t xml:space="preserve"> </w:t>
      </w:r>
      <w:r w:rsidR="005A2167">
        <w:t>quality level of fluid</w:t>
      </w:r>
      <w:r w:rsidR="00861CC5">
        <w:t>. All of the reasons require in</w:t>
      </w:r>
      <w:r w:rsidR="00D359B8">
        <w:t>-</w:t>
      </w:r>
      <w:r w:rsidR="00861CC5">
        <w:t>depth analysis</w:t>
      </w:r>
      <w:r w:rsidR="00F013D7">
        <w:t xml:space="preserve"> within specific monitoring</w:t>
      </w:r>
      <w:r w:rsidR="00362823">
        <w:t xml:space="preserve"> practice</w:t>
      </w:r>
      <w:r w:rsidR="00477DDA">
        <w:t>s</w:t>
      </w:r>
      <w:r w:rsidR="00D359B8">
        <w:t>;</w:t>
      </w:r>
      <w:r w:rsidR="00F013D7">
        <w:t xml:space="preserve"> however, such data is beyond the scope of the s</w:t>
      </w:r>
      <w:r w:rsidR="008E422C">
        <w:t>tudy</w:t>
      </w:r>
      <w:r w:rsidR="00647EC0">
        <w:t>.</w:t>
      </w:r>
    </w:p>
    <w:p w14:paraId="2DBAED57" w14:textId="77777777" w:rsidR="00B24CAF" w:rsidRDefault="00B24CAF" w:rsidP="00B24CAF">
      <w:pPr>
        <w:keepNext/>
        <w:spacing w:after="0"/>
        <w:jc w:val="center"/>
      </w:pPr>
      <w:r>
        <w:rPr>
          <w:noProof/>
        </w:rPr>
        <w:drawing>
          <wp:inline distT="0" distB="0" distL="0" distR="0" wp14:anchorId="04E66AC2" wp14:editId="44CF5527">
            <wp:extent cx="5732145" cy="3960000"/>
            <wp:effectExtent l="0" t="0" r="1905" b="2540"/>
            <wp:docPr id="19" name="Chart 19">
              <a:extLst xmlns:a="http://schemas.openxmlformats.org/drawingml/2006/main">
                <a:ext uri="{FF2B5EF4-FFF2-40B4-BE49-F238E27FC236}">
                  <a16:creationId xmlns:a16="http://schemas.microsoft.com/office/drawing/2014/main" id="{DD210827-F378-4EE7-9BFD-9AE8EF83EF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772FEEBB" w14:textId="3C1AD6B3" w:rsidR="00B24CAF" w:rsidRDefault="00B24CAF" w:rsidP="00B24CAF">
      <w:pPr>
        <w:pStyle w:val="Caption"/>
      </w:pPr>
      <w:bookmarkStart w:id="342" w:name="_Ref92882762"/>
      <w:bookmarkStart w:id="343" w:name="_Toc101274559"/>
      <w:r>
        <w:t xml:space="preserve">Figure </w:t>
      </w:r>
      <w:r w:rsidR="00427B33">
        <w:fldChar w:fldCharType="begin"/>
      </w:r>
      <w:r w:rsidR="00427B33">
        <w:instrText xml:space="preserve"> SEQ Figure \* ARABIC </w:instrText>
      </w:r>
      <w:r w:rsidR="00427B33">
        <w:fldChar w:fldCharType="separate"/>
      </w:r>
      <w:r w:rsidR="00587AF0">
        <w:rPr>
          <w:noProof/>
        </w:rPr>
        <w:t>37</w:t>
      </w:r>
      <w:r w:rsidR="00427B33">
        <w:rPr>
          <w:noProof/>
        </w:rPr>
        <w:fldChar w:fldCharType="end"/>
      </w:r>
      <w:bookmarkEnd w:id="342"/>
      <w:r>
        <w:t>. Scatter plot – FWMh (y-axis) and MTBF (x-axis) of different MP</w:t>
      </w:r>
      <w:bookmarkEnd w:id="343"/>
    </w:p>
    <w:p w14:paraId="02873347" w14:textId="034E44E1" w:rsidR="00B24CAF" w:rsidRDefault="00B24CAF" w:rsidP="00B24CAF">
      <w:r>
        <w:t>Observing the scatterplot (</w:t>
      </w:r>
      <w:r>
        <w:fldChar w:fldCharType="begin"/>
      </w:r>
      <w:r>
        <w:instrText xml:space="preserve"> REF _Ref92820079 \h </w:instrText>
      </w:r>
      <w:r>
        <w:fldChar w:fldCharType="separate"/>
      </w:r>
      <w:r w:rsidR="00587AF0">
        <w:t xml:space="preserve">Figure </w:t>
      </w:r>
      <w:r w:rsidR="00587AF0">
        <w:rPr>
          <w:noProof/>
        </w:rPr>
        <w:t>38</w:t>
      </w:r>
      <w:r>
        <w:fldChar w:fldCharType="end"/>
      </w:r>
      <w:r>
        <w:t xml:space="preserve">), the results show a negative correlation between MTBF and power consumption requirements of specific machines, i.e., hydraulic power units. Namely, it can be observed that regardless of the maintenance practice being subjected, most of the companies (machines within) show a higher MTBF with smaller power units expressed in kW. So, the argument goes to the importance of understanding the impact of pressure on flow on some failures reported. An objective viewpoint validating the importance of transitioning into the energy-dedicated maintenance realm further supports the previous argument. It can be observed that most of the power units above 40 kW of required power show stable MTBF varying around 700-900 hours. With a decrease below 40 kW hydraulic power unit, MTBF is clustered around 1300 hours (MTBF) regardless of the maintenance practice. Below 40 kW shows a negative exponential decrease towards higher MTBF, suggesting that smaller power units show exponentially </w:t>
      </w:r>
      <w:r w:rsidR="000624F0">
        <w:t>reduced</w:t>
      </w:r>
      <w:r>
        <w:t xml:space="preserve"> </w:t>
      </w:r>
      <w:r w:rsidR="000624F0">
        <w:t>TBFs</w:t>
      </w:r>
      <w:r>
        <w:t xml:space="preserve">. Hence, this also questions other factors influencing MTBF, especially the high amount of </w:t>
      </w:r>
      <w:r>
        <w:lastRenderedPageBreak/>
        <w:t xml:space="preserve">required power machines. Since most industrial systems are at low power unit requirements, this also adds a validity dimension in accepting that the mobile machines with higher input power tend to fail faster, resulting in pipes and hoses bursting, leakages and exposure to harsh working environments. </w:t>
      </w:r>
      <w:r w:rsidR="000624F0">
        <w:t>I</w:t>
      </w:r>
      <w:r>
        <w:t xml:space="preserve">t also </w:t>
      </w:r>
      <w:r w:rsidR="000624F0">
        <w:t>supports</w:t>
      </w:r>
      <w:r>
        <w:t xml:space="preserve"> monitoring this type of indicat</w:t>
      </w:r>
      <w:r w:rsidR="000624F0">
        <w:t>ion for</w:t>
      </w:r>
      <w:r>
        <w:t xml:space="preserve"> preventive maintenance inspection periods.</w:t>
      </w:r>
    </w:p>
    <w:p w14:paraId="6D04587E" w14:textId="5C4B8518" w:rsidR="002C03D4" w:rsidRDefault="002C03D4" w:rsidP="00923685">
      <w:r>
        <w:rPr>
          <w:noProof/>
        </w:rPr>
        <w:drawing>
          <wp:inline distT="0" distB="0" distL="0" distR="0" wp14:anchorId="583DDFE1" wp14:editId="690B0744">
            <wp:extent cx="5732145" cy="3959860"/>
            <wp:effectExtent l="0" t="0" r="1905" b="2540"/>
            <wp:docPr id="56" name="Chart 56">
              <a:extLst xmlns:a="http://schemas.openxmlformats.org/drawingml/2006/main">
                <a:ext uri="{FF2B5EF4-FFF2-40B4-BE49-F238E27FC236}">
                  <a16:creationId xmlns:a16="http://schemas.microsoft.com/office/drawing/2014/main" id="{6FB43ED0-431B-486A-8C89-BD9D36D33B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1C270318" w14:textId="02E56C14" w:rsidR="002C03D4" w:rsidRDefault="002C03D4" w:rsidP="002C03D4">
      <w:pPr>
        <w:pStyle w:val="Caption"/>
        <w:rPr>
          <w:lang w:val="en-GB"/>
        </w:rPr>
      </w:pPr>
      <w:bookmarkStart w:id="344" w:name="_Ref92820079"/>
      <w:bookmarkStart w:id="345" w:name="_Toc101274560"/>
      <w:r>
        <w:t xml:space="preserve">Figure </w:t>
      </w:r>
      <w:r w:rsidR="00427B33">
        <w:fldChar w:fldCharType="begin"/>
      </w:r>
      <w:r w:rsidR="00427B33">
        <w:instrText xml:space="preserve"> SEQ Figure \* ARABIC </w:instrText>
      </w:r>
      <w:r w:rsidR="00427B33">
        <w:fldChar w:fldCharType="separate"/>
      </w:r>
      <w:r w:rsidR="00587AF0">
        <w:rPr>
          <w:noProof/>
        </w:rPr>
        <w:t>38</w:t>
      </w:r>
      <w:r w:rsidR="00427B33">
        <w:rPr>
          <w:noProof/>
        </w:rPr>
        <w:fldChar w:fldCharType="end"/>
      </w:r>
      <w:bookmarkEnd w:id="344"/>
      <w:r>
        <w:t>. Scatter plot – Power unit [lit./machine-hour] and MTBF [hours]</w:t>
      </w:r>
      <w:bookmarkEnd w:id="345"/>
      <w:r>
        <w:t xml:space="preserve"> </w:t>
      </w:r>
    </w:p>
    <w:p w14:paraId="5C775233" w14:textId="4A553706" w:rsidR="00484511" w:rsidRDefault="00133D60" w:rsidP="00484511">
      <w:r>
        <w:t>T</w:t>
      </w:r>
      <w:r w:rsidR="00ED76A0">
        <w:t xml:space="preserve">he information collected regarding </w:t>
      </w:r>
      <w:r w:rsidR="00D9773F">
        <w:t>PCM, FWM and MTBF variables</w:t>
      </w:r>
      <w:r w:rsidR="00ED76A0">
        <w:t xml:space="preserve"> </w:t>
      </w:r>
      <w:r>
        <w:t>leads to the following conclusion</w:t>
      </w:r>
      <w:r w:rsidR="00E00802">
        <w:t>.</w:t>
      </w:r>
      <w:r w:rsidR="00E14800">
        <w:t xml:space="preserve"> Even though MTBF shows</w:t>
      </w:r>
      <w:r>
        <w:t>,</w:t>
      </w:r>
      <w:r w:rsidR="00E14800">
        <w:t xml:space="preserve"> </w:t>
      </w:r>
      <w:r w:rsidR="003810AD">
        <w:t xml:space="preserve">a </w:t>
      </w:r>
      <w:r>
        <w:t>low</w:t>
      </w:r>
      <w:r w:rsidR="00E14800">
        <w:t xml:space="preserve"> to </w:t>
      </w:r>
      <w:r>
        <w:t xml:space="preserve">mild </w:t>
      </w:r>
      <w:r w:rsidR="00E14800">
        <w:t xml:space="preserve">correlation (tendency) </w:t>
      </w:r>
      <w:r w:rsidR="003810AD">
        <w:t>with</w:t>
      </w:r>
      <w:r w:rsidR="00E14800">
        <w:t xml:space="preserve"> </w:t>
      </w:r>
      <w:r w:rsidR="00ED76A0">
        <w:t xml:space="preserve">the </w:t>
      </w:r>
      <w:r w:rsidR="00E14800">
        <w:t>previous two variables</w:t>
      </w:r>
      <w:r w:rsidR="003810AD">
        <w:t>,</w:t>
      </w:r>
      <w:r w:rsidR="00E14800">
        <w:t xml:space="preserve"> the correlation between PCM</w:t>
      </w:r>
      <w:r w:rsidR="001067A8">
        <w:t xml:space="preserve"> and FWM </w:t>
      </w:r>
      <w:r>
        <w:t>is absent</w:t>
      </w:r>
      <w:r w:rsidR="001067A8">
        <w:t>.</w:t>
      </w:r>
      <w:r w:rsidR="00C03D64">
        <w:t xml:space="preserve"> Since it has been reported that both overload and leakage are the primary causes of failures, </w:t>
      </w:r>
      <w:r w:rsidR="00C11708">
        <w:t xml:space="preserve">the observed data supports such </w:t>
      </w:r>
      <w:r w:rsidR="00ED76A0">
        <w:t xml:space="preserve">a </w:t>
      </w:r>
      <w:r w:rsidR="00C11708">
        <w:t>claim.</w:t>
      </w:r>
      <w:r>
        <w:t xml:space="preserve"> Namely, different latent indicators and causes of failure between different industrial applications and machines lead to different types of failures (e.g., constructional or functional); the presence between MTBF and PCM cannot be confirmed by deductive reasoning. This hypothesis needs to be challenged by inductive reasoning and classifying different root causes of failures – further supporting the premise of the causality between functional-productiveness markers and faulty operating conditions to reach the machine's operating state.</w:t>
      </w:r>
    </w:p>
    <w:p w14:paraId="61AAEE00" w14:textId="77777777" w:rsidR="007B5659" w:rsidRDefault="007B5659">
      <w:pPr>
        <w:spacing w:before="0" w:after="160" w:line="259" w:lineRule="auto"/>
        <w:jc w:val="left"/>
        <w:rPr>
          <w:rFonts w:eastAsiaTheme="majorEastAsia" w:cstheme="majorBidi"/>
          <w:b/>
          <w:smallCaps/>
          <w:sz w:val="28"/>
          <w:szCs w:val="26"/>
          <w:lang w:val="en-GB"/>
        </w:rPr>
      </w:pPr>
      <w:bookmarkStart w:id="346" w:name="_Toc93759901"/>
      <w:bookmarkStart w:id="347" w:name="_Toc93760005"/>
      <w:r>
        <w:rPr>
          <w:lang w:val="en-GB"/>
        </w:rPr>
        <w:br w:type="page"/>
      </w:r>
    </w:p>
    <w:p w14:paraId="363CACA8" w14:textId="4A6361C7" w:rsidR="005F7911" w:rsidRDefault="005F7911" w:rsidP="00504F90">
      <w:pPr>
        <w:pStyle w:val="Heading2"/>
        <w:rPr>
          <w:lang w:val="en-GB"/>
        </w:rPr>
      </w:pPr>
      <w:bookmarkStart w:id="348" w:name="_Toc101274361"/>
      <w:r>
        <w:rPr>
          <w:lang w:val="en-GB"/>
        </w:rPr>
        <w:lastRenderedPageBreak/>
        <w:t>Correlation and regression analysis</w:t>
      </w:r>
      <w:r w:rsidR="0099286C">
        <w:rPr>
          <w:lang w:val="en-GB"/>
        </w:rPr>
        <w:t xml:space="preserve"> of survey data</w:t>
      </w:r>
      <w:bookmarkEnd w:id="346"/>
      <w:bookmarkEnd w:id="347"/>
      <w:bookmarkEnd w:id="348"/>
    </w:p>
    <w:p w14:paraId="1B090CD2" w14:textId="035467E7" w:rsidR="00504F90" w:rsidRPr="00504F90" w:rsidRDefault="00504F90" w:rsidP="00504F90">
      <w:pPr>
        <w:pStyle w:val="Heading3"/>
        <w:rPr>
          <w:lang w:val="en-GB"/>
        </w:rPr>
      </w:pPr>
      <w:bookmarkStart w:id="349" w:name="_Toc93759902"/>
      <w:bookmarkStart w:id="350" w:name="_Toc93760006"/>
      <w:bookmarkStart w:id="351" w:name="_Toc101274362"/>
      <w:r>
        <w:rPr>
          <w:lang w:val="en-GB"/>
        </w:rPr>
        <w:t xml:space="preserve">Contamination </w:t>
      </w:r>
      <w:r w:rsidR="007C7339">
        <w:rPr>
          <w:lang w:val="en-GB"/>
        </w:rPr>
        <w:t xml:space="preserve">– </w:t>
      </w:r>
      <w:r>
        <w:rPr>
          <w:lang w:val="en-GB"/>
        </w:rPr>
        <w:t>the primary cause of stoppages</w:t>
      </w:r>
      <w:bookmarkEnd w:id="349"/>
      <w:bookmarkEnd w:id="350"/>
      <w:r w:rsidR="007C7339">
        <w:rPr>
          <w:lang w:val="en-GB"/>
        </w:rPr>
        <w:t>?</w:t>
      </w:r>
      <w:bookmarkEnd w:id="351"/>
    </w:p>
    <w:p w14:paraId="562F4C94" w14:textId="14D343F7" w:rsidR="002348ED" w:rsidRDefault="00756E21" w:rsidP="002348ED">
      <w:pPr>
        <w:spacing w:after="0"/>
        <w:rPr>
          <w:lang w:val="en-GB"/>
        </w:rPr>
      </w:pPr>
      <w:r>
        <w:t>The first hypothesis from state-of-the-practice is to challenge</w:t>
      </w:r>
      <w:r w:rsidR="00634E89">
        <w:t xml:space="preserve"> the argument that contamination (&gt;70%) is the lead cause of failures within the hydraulic systems</w:t>
      </w:r>
      <w:r>
        <w:t>.</w:t>
      </w:r>
      <w:r w:rsidR="00634E89">
        <w:t xml:space="preserve"> One may conclude that there</w:t>
      </w:r>
      <w:r w:rsidR="000D4122">
        <w:t xml:space="preserve"> is</w:t>
      </w:r>
      <w:r w:rsidR="00634E89">
        <w:t xml:space="preserve"> a strong correlation then between wear-induced mechanisms of leakage and consequently question the true cause of </w:t>
      </w:r>
      <w:r w:rsidR="000D4122">
        <w:t xml:space="preserve">the </w:t>
      </w:r>
      <w:r w:rsidR="00634E89">
        <w:t>stoppage.</w:t>
      </w:r>
      <w:r w:rsidR="008B31ED">
        <w:t xml:space="preserve"> Therefore, </w:t>
      </w:r>
      <w:r w:rsidR="000D4122">
        <w:t xml:space="preserve">the </w:t>
      </w:r>
      <w:r w:rsidR="008B31ED" w:rsidRPr="002368FF">
        <w:rPr>
          <w:i/>
          <w:iCs/>
        </w:rPr>
        <w:t xml:space="preserve">Z </w:t>
      </w:r>
      <w:r w:rsidR="008B31ED">
        <w:t>test shows the following results:</w:t>
      </w:r>
    </w:p>
    <w:tbl>
      <w:tblPr>
        <w:tblpPr w:leftFromText="180" w:rightFromText="180" w:vertAnchor="text" w:horzAnchor="margin" w:tblpY="234"/>
        <w:tblW w:w="9130" w:type="dxa"/>
        <w:tblCellMar>
          <w:left w:w="70" w:type="dxa"/>
          <w:right w:w="70" w:type="dxa"/>
        </w:tblCellMar>
        <w:tblLook w:val="04A0" w:firstRow="1" w:lastRow="0" w:firstColumn="1" w:lastColumn="0" w:noHBand="0" w:noVBand="1"/>
      </w:tblPr>
      <w:tblGrid>
        <w:gridCol w:w="8250"/>
        <w:gridCol w:w="880"/>
      </w:tblGrid>
      <w:tr w:rsidR="002348ED" w14:paraId="54EECED4" w14:textId="77777777" w:rsidTr="00FF4E21">
        <w:tc>
          <w:tcPr>
            <w:tcW w:w="8250" w:type="dxa"/>
          </w:tcPr>
          <w:p w14:paraId="6F99B968" w14:textId="51A5D0D3" w:rsidR="002348ED" w:rsidRPr="00D021DD" w:rsidRDefault="002348ED" w:rsidP="00C56D9F">
            <w:pPr>
              <w:jc w:val="center"/>
              <w:rPr>
                <w:rFonts w:ascii="Cambria Math" w:hAnsi="Cambria Math"/>
                <w:i/>
              </w:rPr>
            </w:pPr>
            <m:oMath>
              <m:r>
                <w:rPr>
                  <w:rFonts w:ascii="Cambria Math" w:hAnsi="Cambria Math"/>
                </w:rPr>
                <m:t>z</m:t>
              </m:r>
              <m:r>
                <m:rPr>
                  <m:sty m:val="p"/>
                </m:rPr>
                <w:rPr>
                  <w:rFonts w:ascii="Cambria Math" w:hAnsi="Cambria Math"/>
                </w:rPr>
                <m:t>=</m:t>
              </m:r>
              <m:f>
                <m:fPr>
                  <m:ctrlPr>
                    <w:rPr>
                      <w:rFonts w:ascii="Cambria Math" w:hAnsi="Cambria Math"/>
                    </w:rPr>
                  </m:ctrlPr>
                </m:fPr>
                <m:num>
                  <m:acc>
                    <m:accPr>
                      <m:ctrlPr>
                        <w:rPr>
                          <w:rFonts w:ascii="Cambria Math" w:hAnsi="Cambria Math"/>
                        </w:rPr>
                      </m:ctrlPr>
                    </m:accPr>
                    <m:e>
                      <m:r>
                        <w:rPr>
                          <w:rFonts w:ascii="Cambria Math" w:hAnsi="Cambria Math"/>
                        </w:rPr>
                        <m:t>P</m:t>
                      </m:r>
                    </m:e>
                  </m:acc>
                  <m:r>
                    <m:rPr>
                      <m:sty m:val="p"/>
                    </m:rPr>
                    <w:rPr>
                      <w:rFonts w:ascii="Cambria Math" w:hAnsi="Cambria Math"/>
                    </w:rPr>
                    <m:t>-</m:t>
                  </m:r>
                  <m:r>
                    <w:rPr>
                      <w:rFonts w:ascii="Cambria Math" w:hAnsi="Cambria Math"/>
                    </w:rPr>
                    <m:t>P</m:t>
                  </m:r>
                </m:num>
                <m:den>
                  <m:rad>
                    <m:radPr>
                      <m:degHide m:val="1"/>
                      <m:ctrlPr>
                        <w:rPr>
                          <w:rFonts w:ascii="Cambria Math" w:hAnsi="Cambria Math"/>
                        </w:rPr>
                      </m:ctrlPr>
                    </m:radPr>
                    <m:deg/>
                    <m:e>
                      <m:f>
                        <m:fPr>
                          <m:ctrlPr>
                            <w:rPr>
                              <w:rFonts w:ascii="Cambria Math" w:hAnsi="Cambria Math"/>
                            </w:rPr>
                          </m:ctrlPr>
                        </m:fPr>
                        <m:num>
                          <m:r>
                            <w:rPr>
                              <w:rFonts w:ascii="Cambria Math" w:hAnsi="Cambria Math"/>
                            </w:rPr>
                            <m:t>P</m:t>
                          </m:r>
                          <m:r>
                            <m:rPr>
                              <m:sty m:val="p"/>
                            </m:rPr>
                            <w:rPr>
                              <w:rFonts w:ascii="Cambria Math" w:hAnsi="Cambria Math"/>
                            </w:rPr>
                            <m:t>∙</m:t>
                          </m:r>
                          <m:r>
                            <w:rPr>
                              <w:rFonts w:ascii="Cambria Math" w:hAnsi="Cambria Math"/>
                            </w:rPr>
                            <m:t>q</m:t>
                          </m:r>
                        </m:num>
                        <m:den>
                          <m:r>
                            <w:rPr>
                              <w:rFonts w:ascii="Cambria Math" w:hAnsi="Cambria Math"/>
                            </w:rPr>
                            <m:t>n</m:t>
                          </m:r>
                        </m:den>
                      </m:f>
                    </m:e>
                  </m:rad>
                </m:den>
              </m:f>
              <m:r>
                <m:rPr>
                  <m:sty m:val="p"/>
                </m:rPr>
                <w:rPr>
                  <w:rFonts w:ascii="Cambria Math" w:hAnsi="Cambria Math"/>
                </w:rPr>
                <m:t>=</m:t>
              </m:r>
              <m:f>
                <m:fPr>
                  <m:ctrlPr>
                    <w:rPr>
                      <w:rFonts w:ascii="Cambria Math" w:hAnsi="Cambria Math"/>
                    </w:rPr>
                  </m:ctrlPr>
                </m:fPr>
                <m:num>
                  <m:r>
                    <m:rPr>
                      <m:sty m:val="p"/>
                    </m:rPr>
                    <w:rPr>
                      <w:rFonts w:ascii="Cambria Math" w:hAnsi="Cambria Math"/>
                    </w:rPr>
                    <m:t>0.3893-0.7</m:t>
                  </m:r>
                </m:num>
                <m:den>
                  <m:rad>
                    <m:radPr>
                      <m:degHide m:val="1"/>
                      <m:ctrlPr>
                        <w:rPr>
                          <w:rFonts w:ascii="Cambria Math" w:hAnsi="Cambria Math"/>
                        </w:rPr>
                      </m:ctrlPr>
                    </m:radPr>
                    <m:deg/>
                    <m:e>
                      <m:f>
                        <m:fPr>
                          <m:ctrlPr>
                            <w:rPr>
                              <w:rFonts w:ascii="Cambria Math" w:hAnsi="Cambria Math"/>
                            </w:rPr>
                          </m:ctrlPr>
                        </m:fPr>
                        <m:num>
                          <m:r>
                            <m:rPr>
                              <m:sty m:val="p"/>
                            </m:rPr>
                            <w:rPr>
                              <w:rFonts w:ascii="Cambria Math" w:hAnsi="Cambria Math"/>
                            </w:rPr>
                            <m:t>0.7∙0.3</m:t>
                          </m:r>
                        </m:num>
                        <m:den>
                          <m:r>
                            <m:rPr>
                              <m:sty m:val="p"/>
                            </m:rPr>
                            <w:rPr>
                              <w:rFonts w:ascii="Cambria Math" w:hAnsi="Cambria Math"/>
                            </w:rPr>
                            <m:t>72</m:t>
                          </m:r>
                        </m:den>
                      </m:f>
                    </m:e>
                  </m:rad>
                </m:den>
              </m:f>
              <m:r>
                <m:rPr>
                  <m:sty m:val="p"/>
                </m:rPr>
                <w:rPr>
                  <w:rFonts w:ascii="Cambria Math" w:hAnsi="Cambria Math"/>
                </w:rPr>
                <m:t>=-5.75</m:t>
              </m:r>
            </m:oMath>
            <w:r w:rsidR="00C56D9F">
              <w:rPr>
                <w:rFonts w:ascii="Cambria Math" w:eastAsiaTheme="minorEastAsia" w:hAnsi="Cambria Math"/>
                <w:i/>
              </w:rPr>
              <w:t>.</w:t>
            </w:r>
          </w:p>
        </w:tc>
        <w:tc>
          <w:tcPr>
            <w:tcW w:w="880" w:type="dxa"/>
            <w:vAlign w:val="center"/>
          </w:tcPr>
          <w:p w14:paraId="776ABD58" w14:textId="3C6838BD" w:rsidR="002348ED" w:rsidRDefault="002348ED" w:rsidP="00FF4E21">
            <w:pPr>
              <w:jc w:val="right"/>
            </w:pPr>
            <w:r>
              <w:t>(</w:t>
            </w:r>
            <w:r w:rsidR="00427B33">
              <w:fldChar w:fldCharType="begin"/>
            </w:r>
            <w:r w:rsidR="00427B33">
              <w:instrText xml:space="preserve"> STYLEREF 1 \s </w:instrText>
            </w:r>
            <w:r w:rsidR="00427B33">
              <w:fldChar w:fldCharType="separate"/>
            </w:r>
            <w:r w:rsidR="00587AF0">
              <w:rPr>
                <w:noProof/>
              </w:rPr>
              <w:t>5</w:t>
            </w:r>
            <w:r w:rsidR="00427B33">
              <w:rPr>
                <w:noProof/>
              </w:rPr>
              <w:fldChar w:fldCharType="end"/>
            </w:r>
            <w:r w:rsidR="002C693A">
              <w:t>.</w:t>
            </w:r>
            <w:r w:rsidR="00427B33">
              <w:fldChar w:fldCharType="begin"/>
            </w:r>
            <w:r w:rsidR="00427B33">
              <w:instrText xml:space="preserve"> SEQ Equation \* ARABIC \s 1 </w:instrText>
            </w:r>
            <w:r w:rsidR="00427B33">
              <w:fldChar w:fldCharType="separate"/>
            </w:r>
            <w:r w:rsidR="00587AF0">
              <w:rPr>
                <w:noProof/>
              </w:rPr>
              <w:t>1</w:t>
            </w:r>
            <w:r w:rsidR="00427B33">
              <w:rPr>
                <w:noProof/>
              </w:rPr>
              <w:fldChar w:fldCharType="end"/>
            </w:r>
            <w:r>
              <w:t>)</w:t>
            </w:r>
          </w:p>
        </w:tc>
      </w:tr>
    </w:tbl>
    <w:p w14:paraId="68819093" w14:textId="2434ED87" w:rsidR="002348ED" w:rsidRDefault="002348ED" w:rsidP="002348ED">
      <w:pPr>
        <w:rPr>
          <w:lang w:val="en-GB"/>
        </w:rPr>
      </w:pPr>
      <w:r>
        <w:rPr>
          <w:lang w:val="en-GB"/>
        </w:rPr>
        <w:t>Following previous claims</w:t>
      </w:r>
      <w:r w:rsidR="00A27AE1">
        <w:rPr>
          <w:lang w:val="en-GB"/>
        </w:rPr>
        <w:t xml:space="preserve"> </w:t>
      </w:r>
      <w:r w:rsidR="00A27AE1">
        <w:rPr>
          <w:lang w:val="en-GB"/>
        </w:rPr>
        <w:fldChar w:fldCharType="begin" w:fldLock="1"/>
      </w:r>
      <w:r w:rsidR="00645D0B">
        <w:rPr>
          <w:lang w:val="en-GB"/>
        </w:rPr>
        <w:instrText>ADDIN CSL_CITATION {"citationItems":[{"id":"ITEM-1","itemData":{"DOI":"10.13140/RG.2.2.23561.98408","author":[{"dropping-particle":"","family":"Orošnjak","given":"Marko","non-dropping-particle":"","parse-names":false,"suffix":""},{"dropping-particle":"","family":"Delić","given":"Milan","non-dropping-particle":"","parse-names":false,"suffix":""},{"dropping-particle":"","family":"Ramos","given":"Sandra","non-dropping-particle":"","parse-names":false,"suffix":""}],"container-title":"The 11th International Conference on Machine and Industrial Design in Mechanical Engineering (KOD 2021)","editor":[{"dropping-particle":"","family":"Mitrović","given":"Radivoje","non-dropping-particle":"","parse-names":false,"suffix":""},{"dropping-particle":"","family":"Čavić","given":"Maja","non-dropping-particle":"","parse-names":false,"suffix":""},{"dropping-particle":"","family":"Rackov","given":"Milan","non-dropping-particle":"","parse-names":false,"suffix":""}],"id":"ITEM-1","issue":"11","issued":{"date-parts":[["2021"]]},"page":"1-8","publisher":"Springer","publisher-place":"Novi Sad","title":"Influence of Maintenance Practice on MTBF of Industrial and Mobile Hydraulic Machines: A West Balkan Study","type":"paper-conference"},"uris":["http://www.mendeley.com/documents/?uuid=eab0e4e5-3450-466f-be31-2093b16f90da"]}],"mendeley":{"formattedCitation":"[120]","plainTextFormattedCitation":"[120]","previouslyFormattedCitation":"[120]"},"properties":{"noteIndex":0},"schema":"https://github.com/citation-style-language/schema/raw/master/csl-citation.json"}</w:instrText>
      </w:r>
      <w:r w:rsidR="00A27AE1">
        <w:rPr>
          <w:lang w:val="en-GB"/>
        </w:rPr>
        <w:fldChar w:fldCharType="separate"/>
      </w:r>
      <w:r w:rsidR="00416869" w:rsidRPr="00416869">
        <w:rPr>
          <w:noProof/>
          <w:lang w:val="en-GB"/>
        </w:rPr>
        <w:t>[120]</w:t>
      </w:r>
      <w:r w:rsidR="00A27AE1">
        <w:rPr>
          <w:lang w:val="en-GB"/>
        </w:rPr>
        <w:fldChar w:fldCharType="end"/>
      </w:r>
      <w:r>
        <w:rPr>
          <w:lang w:val="en-GB"/>
        </w:rPr>
        <w:t xml:space="preserve"> </w:t>
      </w:r>
      <w:r w:rsidR="008B31ED">
        <w:rPr>
          <w:lang w:val="en-GB"/>
        </w:rPr>
        <w:t>regarding</w:t>
      </w:r>
      <w:r>
        <w:rPr>
          <w:lang w:val="en-GB"/>
        </w:rPr>
        <w:t xml:space="preserve"> the influence between failures and</w:t>
      </w:r>
      <w:r w:rsidR="00E325BB">
        <w:rPr>
          <w:lang w:val="en-GB"/>
        </w:rPr>
        <w:t>,</w:t>
      </w:r>
      <w:r>
        <w:rPr>
          <w:lang w:val="en-GB"/>
        </w:rPr>
        <w:t xml:space="preserve"> thus, associated maintenance activities of filter replacement time (FRT) that must have </w:t>
      </w:r>
      <w:r w:rsidR="00E325BB">
        <w:rPr>
          <w:lang w:val="en-GB"/>
        </w:rPr>
        <w:t xml:space="preserve">a </w:t>
      </w:r>
      <w:r>
        <w:rPr>
          <w:lang w:val="en-GB"/>
        </w:rPr>
        <w:t xml:space="preserve">negative correlation or positively influence </w:t>
      </w:r>
      <w:r w:rsidR="00E325BB">
        <w:rPr>
          <w:lang w:val="en-GB"/>
        </w:rPr>
        <w:t xml:space="preserve">a </w:t>
      </w:r>
      <w:r>
        <w:rPr>
          <w:lang w:val="en-GB"/>
        </w:rPr>
        <w:t xml:space="preserve">reduction in MTBF, </w:t>
      </w:r>
      <w:r w:rsidR="008B31ED">
        <w:rPr>
          <w:lang w:val="en-GB"/>
        </w:rPr>
        <w:t>the results</w:t>
      </w:r>
      <w:r>
        <w:rPr>
          <w:lang w:val="en-GB"/>
        </w:rPr>
        <w:t xml:space="preserve"> support such claim</w:t>
      </w:r>
      <w:r w:rsidR="002368FF">
        <w:rPr>
          <w:lang w:val="en-GB"/>
        </w:rPr>
        <w:t>.</w:t>
      </w:r>
      <w:r w:rsidR="00956FD3">
        <w:rPr>
          <w:lang w:val="en-GB"/>
        </w:rPr>
        <w:t xml:space="preserve"> </w:t>
      </w:r>
      <w:r w:rsidR="00900301">
        <w:rPr>
          <w:lang w:val="en-GB"/>
        </w:rPr>
        <w:t>Although</w:t>
      </w:r>
      <w:r w:rsidR="006D2A68">
        <w:rPr>
          <w:lang w:val="en-GB"/>
        </w:rPr>
        <w:t xml:space="preserve"> </w:t>
      </w:r>
      <w:r w:rsidR="00E325BB">
        <w:rPr>
          <w:lang w:val="en-GB"/>
        </w:rPr>
        <w:t xml:space="preserve">the </w:t>
      </w:r>
      <w:r w:rsidR="006D2A68">
        <w:rPr>
          <w:lang w:val="en-GB"/>
        </w:rPr>
        <w:t>maintenance analysis program (MAP) and maintenance department team (MDT) do</w:t>
      </w:r>
      <w:r w:rsidR="00E325BB">
        <w:rPr>
          <w:lang w:val="en-GB"/>
        </w:rPr>
        <w:t xml:space="preserve"> not show a correlatio</w:t>
      </w:r>
      <w:r w:rsidR="004F1D41">
        <w:rPr>
          <w:lang w:val="en-GB"/>
        </w:rPr>
        <w:t xml:space="preserve">n affecting MTBF, </w:t>
      </w:r>
      <w:r w:rsidR="001119D9">
        <w:rPr>
          <w:lang w:val="en-GB"/>
        </w:rPr>
        <w:t>they</w:t>
      </w:r>
      <w:r w:rsidR="004F1D41">
        <w:rPr>
          <w:lang w:val="en-GB"/>
        </w:rPr>
        <w:t xml:space="preserve"> will be further investigated.</w:t>
      </w:r>
    </w:p>
    <w:p w14:paraId="4D945761" w14:textId="24D4A583" w:rsidR="002348ED" w:rsidRDefault="002348ED" w:rsidP="002348ED">
      <w:pPr>
        <w:pStyle w:val="Caption"/>
        <w:jc w:val="left"/>
      </w:pPr>
      <w:bookmarkStart w:id="352" w:name="_Toc101274453"/>
      <w:r>
        <w:t xml:space="preserve">Table </w:t>
      </w:r>
      <w:fldSimple w:instr=" SEQ Table \* ARABIC ">
        <w:r w:rsidR="00587AF0">
          <w:rPr>
            <w:noProof/>
          </w:rPr>
          <w:t>13</w:t>
        </w:r>
      </w:fldSimple>
      <w:r>
        <w:t xml:space="preserve">. </w:t>
      </w:r>
      <w:r w:rsidR="00462F35">
        <w:t xml:space="preserve">Correlation matrix – </w:t>
      </w:r>
      <w:r>
        <w:t>MTBF and associated maintenance variables</w:t>
      </w:r>
      <w:bookmarkEnd w:id="352"/>
    </w:p>
    <w:tbl>
      <w:tblPr>
        <w:tblW w:w="0" w:type="auto"/>
        <w:tblLook w:val="04A0" w:firstRow="1" w:lastRow="0" w:firstColumn="1" w:lastColumn="0" w:noHBand="0" w:noVBand="1"/>
      </w:tblPr>
      <w:tblGrid>
        <w:gridCol w:w="897"/>
        <w:gridCol w:w="887"/>
        <w:gridCol w:w="887"/>
        <w:gridCol w:w="887"/>
        <w:gridCol w:w="801"/>
        <w:gridCol w:w="835"/>
        <w:gridCol w:w="756"/>
        <w:gridCol w:w="744"/>
        <w:gridCol w:w="763"/>
        <w:gridCol w:w="809"/>
        <w:gridCol w:w="761"/>
      </w:tblGrid>
      <w:tr w:rsidR="00EA7430" w:rsidRPr="00EA7430" w14:paraId="3C5AD921" w14:textId="77777777" w:rsidTr="00EA7430">
        <w:trPr>
          <w:trHeight w:val="315"/>
        </w:trPr>
        <w:tc>
          <w:tcPr>
            <w:tcW w:w="0" w:type="auto"/>
            <w:tcBorders>
              <w:top w:val="single" w:sz="8" w:space="0" w:color="auto"/>
              <w:left w:val="nil"/>
              <w:bottom w:val="single" w:sz="8" w:space="0" w:color="auto"/>
              <w:right w:val="nil"/>
            </w:tcBorders>
            <w:shd w:val="clear" w:color="auto" w:fill="auto"/>
            <w:noWrap/>
            <w:vAlign w:val="center"/>
            <w:hideMark/>
          </w:tcPr>
          <w:p w14:paraId="15542A99" w14:textId="77777777" w:rsidR="00EA7430" w:rsidRPr="00EA7430" w:rsidRDefault="00EA7430" w:rsidP="00EA7430">
            <w:pPr>
              <w:spacing w:before="0" w:after="0"/>
              <w:jc w:val="left"/>
              <w:rPr>
                <w:rFonts w:ascii="Calibri" w:eastAsia="Times New Roman" w:hAnsi="Calibri" w:cs="Calibri"/>
                <w:color w:val="000000"/>
                <w:sz w:val="22"/>
                <w:lang w:val="sr-Latn-RS" w:eastAsia="sr-Latn-RS"/>
              </w:rPr>
            </w:pPr>
            <w:r w:rsidRPr="00EA7430">
              <w:rPr>
                <w:rFonts w:ascii="Calibri" w:eastAsia="Times New Roman" w:hAnsi="Calibri" w:cs="Calibri"/>
                <w:color w:val="000000"/>
                <w:sz w:val="22"/>
                <w:lang w:val="sr-Latn-RS" w:eastAsia="sr-Latn-RS"/>
              </w:rPr>
              <w:t> </w:t>
            </w:r>
          </w:p>
        </w:tc>
        <w:tc>
          <w:tcPr>
            <w:tcW w:w="0" w:type="auto"/>
            <w:tcBorders>
              <w:top w:val="single" w:sz="8" w:space="0" w:color="auto"/>
              <w:left w:val="nil"/>
              <w:bottom w:val="single" w:sz="8" w:space="0" w:color="auto"/>
              <w:right w:val="nil"/>
            </w:tcBorders>
            <w:shd w:val="clear" w:color="auto" w:fill="auto"/>
            <w:noWrap/>
            <w:vAlign w:val="center"/>
            <w:hideMark/>
          </w:tcPr>
          <w:p w14:paraId="58F2F33E" w14:textId="77777777" w:rsidR="00EA7430" w:rsidRPr="00EA7430" w:rsidRDefault="00EA7430" w:rsidP="00EA7430">
            <w:pPr>
              <w:spacing w:before="0" w:after="0"/>
              <w:jc w:val="center"/>
              <w:rPr>
                <w:rFonts w:eastAsia="Times New Roman" w:cs="Calibri"/>
                <w:i/>
                <w:iCs/>
                <w:color w:val="000000"/>
                <w:sz w:val="20"/>
                <w:szCs w:val="20"/>
                <w:lang w:val="sr-Latn-RS" w:eastAsia="sr-Latn-RS"/>
              </w:rPr>
            </w:pPr>
            <w:r w:rsidRPr="00EA7430">
              <w:rPr>
                <w:rFonts w:eastAsia="Times New Roman" w:cs="Calibri"/>
                <w:i/>
                <w:iCs/>
                <w:color w:val="000000"/>
                <w:sz w:val="20"/>
                <w:szCs w:val="20"/>
                <w:lang w:val="sr-Latn-RS" w:eastAsia="sr-Latn-RS"/>
              </w:rPr>
              <w:t>MA</w:t>
            </w:r>
          </w:p>
        </w:tc>
        <w:tc>
          <w:tcPr>
            <w:tcW w:w="0" w:type="auto"/>
            <w:tcBorders>
              <w:top w:val="single" w:sz="8" w:space="0" w:color="auto"/>
              <w:left w:val="nil"/>
              <w:bottom w:val="single" w:sz="8" w:space="0" w:color="auto"/>
              <w:right w:val="nil"/>
            </w:tcBorders>
            <w:shd w:val="clear" w:color="auto" w:fill="auto"/>
            <w:noWrap/>
            <w:vAlign w:val="center"/>
            <w:hideMark/>
          </w:tcPr>
          <w:p w14:paraId="7B6A6C2F" w14:textId="77777777" w:rsidR="00EA7430" w:rsidRPr="00EA7430" w:rsidRDefault="00EA7430" w:rsidP="00EA7430">
            <w:pPr>
              <w:spacing w:before="0" w:after="0"/>
              <w:jc w:val="center"/>
              <w:rPr>
                <w:rFonts w:eastAsia="Times New Roman" w:cs="Calibri"/>
                <w:i/>
                <w:iCs/>
                <w:color w:val="000000"/>
                <w:sz w:val="20"/>
                <w:szCs w:val="20"/>
                <w:lang w:val="sr-Latn-RS" w:eastAsia="sr-Latn-RS"/>
              </w:rPr>
            </w:pPr>
            <w:r w:rsidRPr="00EA7430">
              <w:rPr>
                <w:rFonts w:eastAsia="Times New Roman" w:cs="Calibri"/>
                <w:i/>
                <w:iCs/>
                <w:color w:val="000000"/>
                <w:sz w:val="20"/>
                <w:szCs w:val="20"/>
                <w:lang w:val="sr-Latn-RS" w:eastAsia="sr-Latn-RS"/>
              </w:rPr>
              <w:t>NWP</w:t>
            </w:r>
          </w:p>
        </w:tc>
        <w:tc>
          <w:tcPr>
            <w:tcW w:w="0" w:type="auto"/>
            <w:tcBorders>
              <w:top w:val="single" w:sz="8" w:space="0" w:color="auto"/>
              <w:left w:val="nil"/>
              <w:bottom w:val="single" w:sz="8" w:space="0" w:color="auto"/>
              <w:right w:val="nil"/>
            </w:tcBorders>
            <w:shd w:val="clear" w:color="auto" w:fill="auto"/>
            <w:noWrap/>
            <w:vAlign w:val="center"/>
            <w:hideMark/>
          </w:tcPr>
          <w:p w14:paraId="3CC53F09" w14:textId="77777777" w:rsidR="00EA7430" w:rsidRPr="00EA7430" w:rsidRDefault="00EA7430" w:rsidP="00EA7430">
            <w:pPr>
              <w:spacing w:before="0" w:after="0"/>
              <w:jc w:val="center"/>
              <w:rPr>
                <w:rFonts w:eastAsia="Times New Roman" w:cs="Calibri"/>
                <w:i/>
                <w:iCs/>
                <w:color w:val="000000"/>
                <w:sz w:val="20"/>
                <w:szCs w:val="20"/>
                <w:lang w:val="sr-Latn-RS" w:eastAsia="sr-Latn-RS"/>
              </w:rPr>
            </w:pPr>
            <w:r w:rsidRPr="00EA7430">
              <w:rPr>
                <w:rFonts w:eastAsia="Times New Roman" w:cs="Calibri"/>
                <w:i/>
                <w:iCs/>
                <w:color w:val="000000"/>
                <w:sz w:val="20"/>
                <w:szCs w:val="20"/>
                <w:lang w:val="sr-Latn-RS" w:eastAsia="sr-Latn-RS"/>
              </w:rPr>
              <w:t>NWF</w:t>
            </w:r>
          </w:p>
        </w:tc>
        <w:tc>
          <w:tcPr>
            <w:tcW w:w="0" w:type="auto"/>
            <w:tcBorders>
              <w:top w:val="single" w:sz="8" w:space="0" w:color="auto"/>
              <w:left w:val="nil"/>
              <w:bottom w:val="single" w:sz="8" w:space="0" w:color="auto"/>
              <w:right w:val="nil"/>
            </w:tcBorders>
            <w:shd w:val="clear" w:color="auto" w:fill="auto"/>
            <w:noWrap/>
            <w:vAlign w:val="center"/>
            <w:hideMark/>
          </w:tcPr>
          <w:p w14:paraId="76100EC3" w14:textId="77777777" w:rsidR="00EA7430" w:rsidRPr="00EA7430" w:rsidRDefault="00EA7430" w:rsidP="00EA7430">
            <w:pPr>
              <w:spacing w:before="0" w:after="0"/>
              <w:jc w:val="center"/>
              <w:rPr>
                <w:rFonts w:eastAsia="Times New Roman" w:cs="Calibri"/>
                <w:i/>
                <w:iCs/>
                <w:color w:val="000000"/>
                <w:sz w:val="20"/>
                <w:szCs w:val="20"/>
                <w:lang w:val="sr-Latn-RS" w:eastAsia="sr-Latn-RS"/>
              </w:rPr>
            </w:pPr>
            <w:r w:rsidRPr="00EA7430">
              <w:rPr>
                <w:rFonts w:eastAsia="Times New Roman" w:cs="Calibri"/>
                <w:i/>
                <w:iCs/>
                <w:color w:val="000000"/>
                <w:sz w:val="20"/>
                <w:szCs w:val="20"/>
                <w:lang w:val="sr-Latn-RS" w:eastAsia="sr-Latn-RS"/>
              </w:rPr>
              <w:t>MPPM</w:t>
            </w:r>
          </w:p>
        </w:tc>
        <w:tc>
          <w:tcPr>
            <w:tcW w:w="0" w:type="auto"/>
            <w:tcBorders>
              <w:top w:val="single" w:sz="8" w:space="0" w:color="auto"/>
              <w:left w:val="nil"/>
              <w:bottom w:val="single" w:sz="8" w:space="0" w:color="auto"/>
              <w:right w:val="nil"/>
            </w:tcBorders>
            <w:shd w:val="clear" w:color="auto" w:fill="auto"/>
            <w:noWrap/>
            <w:vAlign w:val="center"/>
            <w:hideMark/>
          </w:tcPr>
          <w:p w14:paraId="61134E84" w14:textId="77777777" w:rsidR="00EA7430" w:rsidRPr="00EA7430" w:rsidRDefault="00EA7430" w:rsidP="00EA7430">
            <w:pPr>
              <w:spacing w:before="0" w:after="0"/>
              <w:jc w:val="center"/>
              <w:rPr>
                <w:rFonts w:eastAsia="Times New Roman" w:cs="Calibri"/>
                <w:i/>
                <w:iCs/>
                <w:color w:val="000000"/>
                <w:sz w:val="20"/>
                <w:szCs w:val="20"/>
                <w:lang w:val="sr-Latn-RS" w:eastAsia="sr-Latn-RS"/>
              </w:rPr>
            </w:pPr>
            <w:r w:rsidRPr="00EA7430">
              <w:rPr>
                <w:rFonts w:eastAsia="Times New Roman" w:cs="Calibri"/>
                <w:i/>
                <w:iCs/>
                <w:color w:val="000000"/>
                <w:sz w:val="20"/>
                <w:szCs w:val="20"/>
                <w:lang w:val="sr-Latn-RS" w:eastAsia="sr-Latn-RS"/>
              </w:rPr>
              <w:t>MDT</w:t>
            </w:r>
          </w:p>
        </w:tc>
        <w:tc>
          <w:tcPr>
            <w:tcW w:w="0" w:type="auto"/>
            <w:tcBorders>
              <w:top w:val="single" w:sz="8" w:space="0" w:color="auto"/>
              <w:left w:val="nil"/>
              <w:bottom w:val="single" w:sz="8" w:space="0" w:color="auto"/>
              <w:right w:val="nil"/>
            </w:tcBorders>
            <w:shd w:val="clear" w:color="auto" w:fill="auto"/>
            <w:noWrap/>
            <w:vAlign w:val="center"/>
            <w:hideMark/>
          </w:tcPr>
          <w:p w14:paraId="3CB80B93" w14:textId="77777777" w:rsidR="00EA7430" w:rsidRPr="00EA7430" w:rsidRDefault="00EA7430" w:rsidP="00EA7430">
            <w:pPr>
              <w:spacing w:before="0" w:after="0"/>
              <w:jc w:val="center"/>
              <w:rPr>
                <w:rFonts w:eastAsia="Times New Roman" w:cs="Calibri"/>
                <w:i/>
                <w:iCs/>
                <w:color w:val="000000"/>
                <w:sz w:val="20"/>
                <w:szCs w:val="20"/>
                <w:lang w:val="sr-Latn-RS" w:eastAsia="sr-Latn-RS"/>
              </w:rPr>
            </w:pPr>
            <w:r w:rsidRPr="00EA7430">
              <w:rPr>
                <w:rFonts w:eastAsia="Times New Roman" w:cs="Calibri"/>
                <w:i/>
                <w:iCs/>
                <w:color w:val="000000"/>
                <w:sz w:val="20"/>
                <w:szCs w:val="20"/>
                <w:lang w:val="sr-Latn-RS" w:eastAsia="sr-Latn-RS"/>
              </w:rPr>
              <w:t>MAP</w:t>
            </w:r>
          </w:p>
        </w:tc>
        <w:tc>
          <w:tcPr>
            <w:tcW w:w="0" w:type="auto"/>
            <w:tcBorders>
              <w:top w:val="single" w:sz="8" w:space="0" w:color="auto"/>
              <w:left w:val="nil"/>
              <w:bottom w:val="single" w:sz="8" w:space="0" w:color="auto"/>
              <w:right w:val="nil"/>
            </w:tcBorders>
            <w:shd w:val="clear" w:color="auto" w:fill="auto"/>
            <w:noWrap/>
            <w:vAlign w:val="center"/>
            <w:hideMark/>
          </w:tcPr>
          <w:p w14:paraId="7BA0D646" w14:textId="77777777" w:rsidR="00EA7430" w:rsidRPr="00EA7430" w:rsidRDefault="00EA7430" w:rsidP="00EA7430">
            <w:pPr>
              <w:spacing w:before="0" w:after="0"/>
              <w:jc w:val="center"/>
              <w:rPr>
                <w:rFonts w:eastAsia="Times New Roman" w:cs="Calibri"/>
                <w:i/>
                <w:iCs/>
                <w:color w:val="000000"/>
                <w:sz w:val="20"/>
                <w:szCs w:val="20"/>
                <w:lang w:val="sr-Latn-RS" w:eastAsia="sr-Latn-RS"/>
              </w:rPr>
            </w:pPr>
            <w:r w:rsidRPr="00EA7430">
              <w:rPr>
                <w:rFonts w:eastAsia="Times New Roman" w:cs="Calibri"/>
                <w:i/>
                <w:iCs/>
                <w:color w:val="000000"/>
                <w:sz w:val="20"/>
                <w:szCs w:val="20"/>
                <w:lang w:val="sr-Latn-RS" w:eastAsia="sr-Latn-RS"/>
              </w:rPr>
              <w:t>FAP</w:t>
            </w:r>
          </w:p>
        </w:tc>
        <w:tc>
          <w:tcPr>
            <w:tcW w:w="0" w:type="auto"/>
            <w:tcBorders>
              <w:top w:val="single" w:sz="8" w:space="0" w:color="auto"/>
              <w:left w:val="nil"/>
              <w:bottom w:val="single" w:sz="8" w:space="0" w:color="auto"/>
              <w:right w:val="nil"/>
            </w:tcBorders>
            <w:shd w:val="clear" w:color="auto" w:fill="auto"/>
            <w:noWrap/>
            <w:vAlign w:val="center"/>
            <w:hideMark/>
          </w:tcPr>
          <w:p w14:paraId="64492D65" w14:textId="77777777" w:rsidR="00EA7430" w:rsidRPr="00EA7430" w:rsidRDefault="00EA7430" w:rsidP="00EA7430">
            <w:pPr>
              <w:spacing w:before="0" w:after="0"/>
              <w:jc w:val="center"/>
              <w:rPr>
                <w:rFonts w:eastAsia="Times New Roman" w:cs="Calibri"/>
                <w:i/>
                <w:iCs/>
                <w:color w:val="000000"/>
                <w:sz w:val="20"/>
                <w:szCs w:val="20"/>
                <w:lang w:val="sr-Latn-RS" w:eastAsia="sr-Latn-RS"/>
              </w:rPr>
            </w:pPr>
            <w:r w:rsidRPr="00EA7430">
              <w:rPr>
                <w:rFonts w:eastAsia="Times New Roman" w:cs="Calibri"/>
                <w:i/>
                <w:iCs/>
                <w:color w:val="000000"/>
                <w:sz w:val="20"/>
                <w:szCs w:val="20"/>
                <w:lang w:val="sr-Latn-RS" w:eastAsia="sr-Latn-RS"/>
              </w:rPr>
              <w:t>CMT</w:t>
            </w:r>
          </w:p>
        </w:tc>
        <w:tc>
          <w:tcPr>
            <w:tcW w:w="0" w:type="auto"/>
            <w:tcBorders>
              <w:top w:val="single" w:sz="8" w:space="0" w:color="auto"/>
              <w:left w:val="nil"/>
              <w:bottom w:val="single" w:sz="8" w:space="0" w:color="auto"/>
              <w:right w:val="nil"/>
            </w:tcBorders>
            <w:shd w:val="clear" w:color="auto" w:fill="auto"/>
            <w:noWrap/>
            <w:vAlign w:val="center"/>
            <w:hideMark/>
          </w:tcPr>
          <w:p w14:paraId="665F602B" w14:textId="77777777" w:rsidR="00EA7430" w:rsidRPr="00EA7430" w:rsidRDefault="00EA7430" w:rsidP="00EA7430">
            <w:pPr>
              <w:spacing w:before="0" w:after="0"/>
              <w:jc w:val="center"/>
              <w:rPr>
                <w:rFonts w:eastAsia="Times New Roman" w:cs="Calibri"/>
                <w:i/>
                <w:iCs/>
                <w:color w:val="000000"/>
                <w:sz w:val="20"/>
                <w:szCs w:val="20"/>
                <w:lang w:val="sr-Latn-RS" w:eastAsia="sr-Latn-RS"/>
              </w:rPr>
            </w:pPr>
            <w:r w:rsidRPr="00EA7430">
              <w:rPr>
                <w:rFonts w:eastAsia="Times New Roman" w:cs="Calibri"/>
                <w:i/>
                <w:iCs/>
                <w:color w:val="000000"/>
                <w:sz w:val="20"/>
                <w:szCs w:val="20"/>
                <w:lang w:val="sr-Latn-RS" w:eastAsia="sr-Latn-RS"/>
              </w:rPr>
              <w:t>FRT</w:t>
            </w:r>
          </w:p>
        </w:tc>
        <w:tc>
          <w:tcPr>
            <w:tcW w:w="0" w:type="auto"/>
            <w:tcBorders>
              <w:top w:val="single" w:sz="8" w:space="0" w:color="auto"/>
              <w:left w:val="nil"/>
              <w:bottom w:val="single" w:sz="8" w:space="0" w:color="auto"/>
              <w:right w:val="nil"/>
            </w:tcBorders>
            <w:shd w:val="clear" w:color="auto" w:fill="auto"/>
            <w:noWrap/>
            <w:vAlign w:val="center"/>
            <w:hideMark/>
          </w:tcPr>
          <w:p w14:paraId="73F941B6" w14:textId="77777777" w:rsidR="00EA7430" w:rsidRPr="00EA7430" w:rsidRDefault="00EA7430" w:rsidP="00EA7430">
            <w:pPr>
              <w:spacing w:before="0" w:after="0"/>
              <w:jc w:val="center"/>
              <w:rPr>
                <w:rFonts w:eastAsia="Times New Roman" w:cs="Calibri"/>
                <w:i/>
                <w:iCs/>
                <w:color w:val="000000"/>
                <w:sz w:val="20"/>
                <w:szCs w:val="20"/>
                <w:lang w:val="sr-Latn-RS" w:eastAsia="sr-Latn-RS"/>
              </w:rPr>
            </w:pPr>
            <w:r w:rsidRPr="00EA7430">
              <w:rPr>
                <w:rFonts w:eastAsia="Times New Roman" w:cs="Calibri"/>
                <w:i/>
                <w:iCs/>
                <w:color w:val="000000"/>
                <w:sz w:val="20"/>
                <w:szCs w:val="20"/>
                <w:lang w:val="sr-Latn-RS" w:eastAsia="sr-Latn-RS"/>
              </w:rPr>
              <w:t>TTOR</w:t>
            </w:r>
          </w:p>
        </w:tc>
      </w:tr>
      <w:tr w:rsidR="00EA7430" w:rsidRPr="00EA7430" w14:paraId="51B94D9E" w14:textId="77777777" w:rsidTr="0064735C">
        <w:trPr>
          <w:trHeight w:val="300"/>
        </w:trPr>
        <w:tc>
          <w:tcPr>
            <w:tcW w:w="0" w:type="auto"/>
            <w:tcBorders>
              <w:top w:val="nil"/>
              <w:left w:val="nil"/>
              <w:bottom w:val="nil"/>
              <w:right w:val="nil"/>
            </w:tcBorders>
            <w:shd w:val="clear" w:color="auto" w:fill="auto"/>
            <w:noWrap/>
            <w:vAlign w:val="center"/>
            <w:hideMark/>
          </w:tcPr>
          <w:p w14:paraId="0448A421" w14:textId="77777777" w:rsidR="00EA7430" w:rsidRPr="00EA7430" w:rsidRDefault="00EA7430" w:rsidP="00EA7430">
            <w:pPr>
              <w:spacing w:before="0" w:after="0"/>
              <w:jc w:val="left"/>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NWP</w:t>
            </w:r>
          </w:p>
        </w:tc>
        <w:tc>
          <w:tcPr>
            <w:tcW w:w="0" w:type="auto"/>
            <w:tcBorders>
              <w:top w:val="nil"/>
              <w:left w:val="nil"/>
              <w:bottom w:val="nil"/>
              <w:right w:val="nil"/>
            </w:tcBorders>
            <w:shd w:val="clear" w:color="auto" w:fill="auto"/>
            <w:noWrap/>
            <w:vAlign w:val="center"/>
            <w:hideMark/>
          </w:tcPr>
          <w:p w14:paraId="71CD30FF"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-0.01</w:t>
            </w:r>
          </w:p>
        </w:tc>
        <w:tc>
          <w:tcPr>
            <w:tcW w:w="0" w:type="auto"/>
            <w:tcBorders>
              <w:top w:val="nil"/>
              <w:left w:val="nil"/>
              <w:bottom w:val="nil"/>
              <w:right w:val="nil"/>
            </w:tcBorders>
            <w:shd w:val="clear" w:color="auto" w:fill="auto"/>
            <w:noWrap/>
            <w:vAlign w:val="center"/>
            <w:hideMark/>
          </w:tcPr>
          <w:p w14:paraId="67DD8A84" w14:textId="77777777" w:rsidR="00EA7430" w:rsidRPr="00EA7430" w:rsidRDefault="00EA7430" w:rsidP="00EA7430">
            <w:pPr>
              <w:spacing w:before="0" w:after="0"/>
              <w:jc w:val="center"/>
              <w:rPr>
                <w:rFonts w:eastAsia="Times New Roman" w:cs="Calibri"/>
                <w:color w:val="000000"/>
                <w:sz w:val="20"/>
                <w:szCs w:val="20"/>
                <w:lang w:val="sr-Latn-RS" w:eastAsia="sr-Latn-RS"/>
              </w:rPr>
            </w:pPr>
          </w:p>
        </w:tc>
        <w:tc>
          <w:tcPr>
            <w:tcW w:w="0" w:type="auto"/>
            <w:tcBorders>
              <w:top w:val="nil"/>
              <w:left w:val="nil"/>
              <w:bottom w:val="nil"/>
              <w:right w:val="nil"/>
            </w:tcBorders>
            <w:shd w:val="clear" w:color="auto" w:fill="auto"/>
            <w:noWrap/>
            <w:vAlign w:val="center"/>
            <w:hideMark/>
          </w:tcPr>
          <w:p w14:paraId="3917C8BD"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c>
          <w:tcPr>
            <w:tcW w:w="0" w:type="auto"/>
            <w:tcBorders>
              <w:top w:val="nil"/>
              <w:left w:val="nil"/>
              <w:bottom w:val="nil"/>
              <w:right w:val="nil"/>
            </w:tcBorders>
            <w:shd w:val="clear" w:color="auto" w:fill="auto"/>
            <w:noWrap/>
            <w:vAlign w:val="center"/>
            <w:hideMark/>
          </w:tcPr>
          <w:p w14:paraId="607CCBE1"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c>
          <w:tcPr>
            <w:tcW w:w="0" w:type="auto"/>
            <w:tcBorders>
              <w:top w:val="nil"/>
              <w:left w:val="nil"/>
              <w:bottom w:val="nil"/>
              <w:right w:val="nil"/>
            </w:tcBorders>
            <w:shd w:val="clear" w:color="auto" w:fill="auto"/>
            <w:noWrap/>
            <w:vAlign w:val="center"/>
            <w:hideMark/>
          </w:tcPr>
          <w:p w14:paraId="2EA6730C"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c>
          <w:tcPr>
            <w:tcW w:w="0" w:type="auto"/>
            <w:tcBorders>
              <w:top w:val="nil"/>
              <w:left w:val="nil"/>
              <w:bottom w:val="nil"/>
              <w:right w:val="nil"/>
            </w:tcBorders>
            <w:shd w:val="clear" w:color="auto" w:fill="auto"/>
            <w:noWrap/>
            <w:vAlign w:val="center"/>
            <w:hideMark/>
          </w:tcPr>
          <w:p w14:paraId="429853F3"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c>
          <w:tcPr>
            <w:tcW w:w="0" w:type="auto"/>
            <w:tcBorders>
              <w:top w:val="nil"/>
              <w:left w:val="nil"/>
              <w:bottom w:val="nil"/>
              <w:right w:val="nil"/>
            </w:tcBorders>
            <w:shd w:val="clear" w:color="auto" w:fill="auto"/>
            <w:noWrap/>
            <w:vAlign w:val="center"/>
            <w:hideMark/>
          </w:tcPr>
          <w:p w14:paraId="68D95AC8"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c>
          <w:tcPr>
            <w:tcW w:w="0" w:type="auto"/>
            <w:tcBorders>
              <w:top w:val="nil"/>
              <w:left w:val="nil"/>
              <w:bottom w:val="nil"/>
              <w:right w:val="nil"/>
            </w:tcBorders>
            <w:shd w:val="clear" w:color="auto" w:fill="auto"/>
            <w:noWrap/>
            <w:vAlign w:val="center"/>
            <w:hideMark/>
          </w:tcPr>
          <w:p w14:paraId="757C8BC3"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c>
          <w:tcPr>
            <w:tcW w:w="0" w:type="auto"/>
            <w:tcBorders>
              <w:top w:val="nil"/>
              <w:left w:val="nil"/>
              <w:bottom w:val="nil"/>
              <w:right w:val="nil"/>
            </w:tcBorders>
            <w:shd w:val="clear" w:color="auto" w:fill="auto"/>
            <w:noWrap/>
            <w:vAlign w:val="center"/>
            <w:hideMark/>
          </w:tcPr>
          <w:p w14:paraId="460AA144"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c>
          <w:tcPr>
            <w:tcW w:w="0" w:type="auto"/>
            <w:tcBorders>
              <w:top w:val="nil"/>
              <w:left w:val="nil"/>
              <w:bottom w:val="nil"/>
              <w:right w:val="nil"/>
            </w:tcBorders>
            <w:shd w:val="clear" w:color="auto" w:fill="auto"/>
            <w:noWrap/>
            <w:vAlign w:val="center"/>
            <w:hideMark/>
          </w:tcPr>
          <w:p w14:paraId="20D9770F"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r>
      <w:tr w:rsidR="00EA7430" w:rsidRPr="00EA7430" w14:paraId="08CADFD3" w14:textId="77777777" w:rsidTr="0064735C">
        <w:trPr>
          <w:trHeight w:val="300"/>
        </w:trPr>
        <w:tc>
          <w:tcPr>
            <w:tcW w:w="0" w:type="auto"/>
            <w:tcBorders>
              <w:top w:val="nil"/>
              <w:left w:val="nil"/>
              <w:bottom w:val="nil"/>
              <w:right w:val="nil"/>
            </w:tcBorders>
            <w:shd w:val="clear" w:color="auto" w:fill="auto"/>
            <w:noWrap/>
            <w:vAlign w:val="center"/>
            <w:hideMark/>
          </w:tcPr>
          <w:p w14:paraId="4CE39810" w14:textId="77777777" w:rsidR="00EA7430" w:rsidRPr="00EA7430" w:rsidRDefault="00EA7430" w:rsidP="00EA7430">
            <w:pPr>
              <w:spacing w:before="0" w:after="0"/>
              <w:jc w:val="left"/>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NWF</w:t>
            </w:r>
          </w:p>
        </w:tc>
        <w:tc>
          <w:tcPr>
            <w:tcW w:w="0" w:type="auto"/>
            <w:tcBorders>
              <w:top w:val="nil"/>
              <w:left w:val="nil"/>
              <w:bottom w:val="nil"/>
              <w:right w:val="nil"/>
            </w:tcBorders>
            <w:shd w:val="clear" w:color="auto" w:fill="auto"/>
            <w:noWrap/>
            <w:vAlign w:val="center"/>
            <w:hideMark/>
          </w:tcPr>
          <w:p w14:paraId="524D8CB5"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-0.05</w:t>
            </w:r>
          </w:p>
        </w:tc>
        <w:tc>
          <w:tcPr>
            <w:tcW w:w="0" w:type="auto"/>
            <w:tcBorders>
              <w:top w:val="nil"/>
              <w:left w:val="nil"/>
              <w:bottom w:val="nil"/>
              <w:right w:val="nil"/>
            </w:tcBorders>
            <w:shd w:val="clear" w:color="auto" w:fill="auto"/>
            <w:noWrap/>
            <w:vAlign w:val="center"/>
            <w:hideMark/>
          </w:tcPr>
          <w:p w14:paraId="041BCF01"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0.45***</w:t>
            </w:r>
          </w:p>
        </w:tc>
        <w:tc>
          <w:tcPr>
            <w:tcW w:w="0" w:type="auto"/>
            <w:tcBorders>
              <w:top w:val="nil"/>
              <w:left w:val="nil"/>
              <w:bottom w:val="nil"/>
              <w:right w:val="nil"/>
            </w:tcBorders>
            <w:shd w:val="clear" w:color="auto" w:fill="auto"/>
            <w:noWrap/>
            <w:vAlign w:val="center"/>
            <w:hideMark/>
          </w:tcPr>
          <w:p w14:paraId="39E10546" w14:textId="77777777" w:rsidR="00EA7430" w:rsidRPr="00EA7430" w:rsidRDefault="00EA7430" w:rsidP="00EA7430">
            <w:pPr>
              <w:spacing w:before="0" w:after="0"/>
              <w:jc w:val="center"/>
              <w:rPr>
                <w:rFonts w:eastAsia="Times New Roman" w:cs="Calibri"/>
                <w:color w:val="000000"/>
                <w:sz w:val="20"/>
                <w:szCs w:val="20"/>
                <w:lang w:val="sr-Latn-RS" w:eastAsia="sr-Latn-RS"/>
              </w:rPr>
            </w:pPr>
          </w:p>
        </w:tc>
        <w:tc>
          <w:tcPr>
            <w:tcW w:w="0" w:type="auto"/>
            <w:tcBorders>
              <w:top w:val="nil"/>
              <w:left w:val="nil"/>
              <w:bottom w:val="nil"/>
              <w:right w:val="nil"/>
            </w:tcBorders>
            <w:shd w:val="clear" w:color="auto" w:fill="auto"/>
            <w:noWrap/>
            <w:vAlign w:val="center"/>
            <w:hideMark/>
          </w:tcPr>
          <w:p w14:paraId="089412D8"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c>
          <w:tcPr>
            <w:tcW w:w="0" w:type="auto"/>
            <w:tcBorders>
              <w:top w:val="nil"/>
              <w:left w:val="nil"/>
              <w:bottom w:val="nil"/>
              <w:right w:val="nil"/>
            </w:tcBorders>
            <w:shd w:val="clear" w:color="auto" w:fill="auto"/>
            <w:noWrap/>
            <w:vAlign w:val="center"/>
            <w:hideMark/>
          </w:tcPr>
          <w:p w14:paraId="33A395BA"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c>
          <w:tcPr>
            <w:tcW w:w="0" w:type="auto"/>
            <w:tcBorders>
              <w:top w:val="nil"/>
              <w:left w:val="nil"/>
              <w:bottom w:val="nil"/>
              <w:right w:val="nil"/>
            </w:tcBorders>
            <w:shd w:val="clear" w:color="auto" w:fill="auto"/>
            <w:noWrap/>
            <w:vAlign w:val="center"/>
            <w:hideMark/>
          </w:tcPr>
          <w:p w14:paraId="25B3CF52"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c>
          <w:tcPr>
            <w:tcW w:w="0" w:type="auto"/>
            <w:tcBorders>
              <w:top w:val="nil"/>
              <w:left w:val="nil"/>
              <w:bottom w:val="nil"/>
              <w:right w:val="nil"/>
            </w:tcBorders>
            <w:shd w:val="clear" w:color="auto" w:fill="auto"/>
            <w:noWrap/>
            <w:vAlign w:val="center"/>
            <w:hideMark/>
          </w:tcPr>
          <w:p w14:paraId="7E2552F4"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c>
          <w:tcPr>
            <w:tcW w:w="0" w:type="auto"/>
            <w:tcBorders>
              <w:top w:val="nil"/>
              <w:left w:val="nil"/>
              <w:bottom w:val="nil"/>
              <w:right w:val="nil"/>
            </w:tcBorders>
            <w:shd w:val="clear" w:color="auto" w:fill="auto"/>
            <w:noWrap/>
            <w:vAlign w:val="center"/>
            <w:hideMark/>
          </w:tcPr>
          <w:p w14:paraId="78EC567E"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c>
          <w:tcPr>
            <w:tcW w:w="0" w:type="auto"/>
            <w:tcBorders>
              <w:top w:val="nil"/>
              <w:left w:val="nil"/>
              <w:bottom w:val="nil"/>
              <w:right w:val="nil"/>
            </w:tcBorders>
            <w:shd w:val="clear" w:color="auto" w:fill="auto"/>
            <w:noWrap/>
            <w:vAlign w:val="center"/>
            <w:hideMark/>
          </w:tcPr>
          <w:p w14:paraId="1DBF29B8"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c>
          <w:tcPr>
            <w:tcW w:w="0" w:type="auto"/>
            <w:tcBorders>
              <w:top w:val="nil"/>
              <w:left w:val="nil"/>
              <w:bottom w:val="nil"/>
              <w:right w:val="nil"/>
            </w:tcBorders>
            <w:shd w:val="clear" w:color="auto" w:fill="auto"/>
            <w:noWrap/>
            <w:vAlign w:val="center"/>
            <w:hideMark/>
          </w:tcPr>
          <w:p w14:paraId="49B03AC1"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r>
      <w:tr w:rsidR="00EA7430" w:rsidRPr="00EA7430" w14:paraId="3BEC109B" w14:textId="77777777" w:rsidTr="0064735C">
        <w:trPr>
          <w:trHeight w:val="300"/>
        </w:trPr>
        <w:tc>
          <w:tcPr>
            <w:tcW w:w="0" w:type="auto"/>
            <w:tcBorders>
              <w:top w:val="nil"/>
              <w:left w:val="nil"/>
              <w:bottom w:val="nil"/>
              <w:right w:val="nil"/>
            </w:tcBorders>
            <w:shd w:val="clear" w:color="auto" w:fill="auto"/>
            <w:noWrap/>
            <w:vAlign w:val="center"/>
            <w:hideMark/>
          </w:tcPr>
          <w:p w14:paraId="69F94FBB" w14:textId="77777777" w:rsidR="00EA7430" w:rsidRPr="00EA7430" w:rsidRDefault="00EA7430" w:rsidP="00EA7430">
            <w:pPr>
              <w:spacing w:before="0" w:after="0"/>
              <w:jc w:val="left"/>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MPPM</w:t>
            </w:r>
          </w:p>
        </w:tc>
        <w:tc>
          <w:tcPr>
            <w:tcW w:w="0" w:type="auto"/>
            <w:tcBorders>
              <w:top w:val="nil"/>
              <w:left w:val="nil"/>
              <w:bottom w:val="nil"/>
              <w:right w:val="nil"/>
            </w:tcBorders>
            <w:shd w:val="clear" w:color="auto" w:fill="auto"/>
            <w:noWrap/>
            <w:vAlign w:val="center"/>
            <w:hideMark/>
          </w:tcPr>
          <w:p w14:paraId="1C74ADF9"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-0.12</w:t>
            </w:r>
          </w:p>
        </w:tc>
        <w:tc>
          <w:tcPr>
            <w:tcW w:w="0" w:type="auto"/>
            <w:tcBorders>
              <w:top w:val="nil"/>
              <w:left w:val="nil"/>
              <w:bottom w:val="nil"/>
              <w:right w:val="nil"/>
            </w:tcBorders>
            <w:shd w:val="clear" w:color="auto" w:fill="auto"/>
            <w:noWrap/>
            <w:vAlign w:val="center"/>
            <w:hideMark/>
          </w:tcPr>
          <w:p w14:paraId="4342F8A8"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0.20*</w:t>
            </w:r>
          </w:p>
        </w:tc>
        <w:tc>
          <w:tcPr>
            <w:tcW w:w="0" w:type="auto"/>
            <w:tcBorders>
              <w:top w:val="nil"/>
              <w:left w:val="nil"/>
              <w:bottom w:val="nil"/>
              <w:right w:val="nil"/>
            </w:tcBorders>
            <w:shd w:val="clear" w:color="auto" w:fill="auto"/>
            <w:noWrap/>
            <w:vAlign w:val="center"/>
            <w:hideMark/>
          </w:tcPr>
          <w:p w14:paraId="7B4A1EA4"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-0.07</w:t>
            </w:r>
          </w:p>
        </w:tc>
        <w:tc>
          <w:tcPr>
            <w:tcW w:w="0" w:type="auto"/>
            <w:tcBorders>
              <w:top w:val="nil"/>
              <w:left w:val="nil"/>
              <w:bottom w:val="nil"/>
              <w:right w:val="nil"/>
            </w:tcBorders>
            <w:shd w:val="clear" w:color="auto" w:fill="auto"/>
            <w:noWrap/>
            <w:vAlign w:val="center"/>
            <w:hideMark/>
          </w:tcPr>
          <w:p w14:paraId="65868312" w14:textId="77777777" w:rsidR="00EA7430" w:rsidRPr="00EA7430" w:rsidRDefault="00EA7430" w:rsidP="00EA7430">
            <w:pPr>
              <w:spacing w:before="0" w:after="0"/>
              <w:jc w:val="center"/>
              <w:rPr>
                <w:rFonts w:eastAsia="Times New Roman" w:cs="Calibri"/>
                <w:color w:val="000000"/>
                <w:sz w:val="20"/>
                <w:szCs w:val="20"/>
                <w:lang w:val="sr-Latn-RS" w:eastAsia="sr-Latn-RS"/>
              </w:rPr>
            </w:pPr>
          </w:p>
        </w:tc>
        <w:tc>
          <w:tcPr>
            <w:tcW w:w="0" w:type="auto"/>
            <w:tcBorders>
              <w:top w:val="nil"/>
              <w:left w:val="nil"/>
              <w:bottom w:val="nil"/>
              <w:right w:val="nil"/>
            </w:tcBorders>
            <w:shd w:val="clear" w:color="auto" w:fill="auto"/>
            <w:noWrap/>
            <w:vAlign w:val="center"/>
            <w:hideMark/>
          </w:tcPr>
          <w:p w14:paraId="745F2F5D"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c>
          <w:tcPr>
            <w:tcW w:w="0" w:type="auto"/>
            <w:tcBorders>
              <w:top w:val="nil"/>
              <w:left w:val="nil"/>
              <w:bottom w:val="nil"/>
              <w:right w:val="nil"/>
            </w:tcBorders>
            <w:shd w:val="clear" w:color="auto" w:fill="auto"/>
            <w:noWrap/>
            <w:vAlign w:val="center"/>
            <w:hideMark/>
          </w:tcPr>
          <w:p w14:paraId="02A8FD39"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c>
          <w:tcPr>
            <w:tcW w:w="0" w:type="auto"/>
            <w:tcBorders>
              <w:top w:val="nil"/>
              <w:left w:val="nil"/>
              <w:bottom w:val="nil"/>
              <w:right w:val="nil"/>
            </w:tcBorders>
            <w:shd w:val="clear" w:color="auto" w:fill="auto"/>
            <w:noWrap/>
            <w:vAlign w:val="center"/>
            <w:hideMark/>
          </w:tcPr>
          <w:p w14:paraId="28071FB1"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c>
          <w:tcPr>
            <w:tcW w:w="0" w:type="auto"/>
            <w:tcBorders>
              <w:top w:val="nil"/>
              <w:left w:val="nil"/>
              <w:bottom w:val="nil"/>
              <w:right w:val="nil"/>
            </w:tcBorders>
            <w:shd w:val="clear" w:color="auto" w:fill="auto"/>
            <w:noWrap/>
            <w:vAlign w:val="center"/>
            <w:hideMark/>
          </w:tcPr>
          <w:p w14:paraId="345794AF"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c>
          <w:tcPr>
            <w:tcW w:w="0" w:type="auto"/>
            <w:tcBorders>
              <w:top w:val="nil"/>
              <w:left w:val="nil"/>
              <w:bottom w:val="nil"/>
              <w:right w:val="nil"/>
            </w:tcBorders>
            <w:shd w:val="clear" w:color="auto" w:fill="auto"/>
            <w:noWrap/>
            <w:vAlign w:val="center"/>
            <w:hideMark/>
          </w:tcPr>
          <w:p w14:paraId="1EEFBDB7"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c>
          <w:tcPr>
            <w:tcW w:w="0" w:type="auto"/>
            <w:tcBorders>
              <w:top w:val="nil"/>
              <w:left w:val="nil"/>
              <w:bottom w:val="nil"/>
              <w:right w:val="nil"/>
            </w:tcBorders>
            <w:shd w:val="clear" w:color="auto" w:fill="auto"/>
            <w:noWrap/>
            <w:vAlign w:val="center"/>
            <w:hideMark/>
          </w:tcPr>
          <w:p w14:paraId="6E4DDB89"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r>
      <w:tr w:rsidR="00EA7430" w:rsidRPr="00EA7430" w14:paraId="729B338C" w14:textId="77777777" w:rsidTr="0064735C">
        <w:trPr>
          <w:trHeight w:val="300"/>
        </w:trPr>
        <w:tc>
          <w:tcPr>
            <w:tcW w:w="0" w:type="auto"/>
            <w:tcBorders>
              <w:top w:val="nil"/>
              <w:left w:val="nil"/>
              <w:bottom w:val="nil"/>
              <w:right w:val="nil"/>
            </w:tcBorders>
            <w:shd w:val="clear" w:color="auto" w:fill="auto"/>
            <w:noWrap/>
            <w:vAlign w:val="center"/>
            <w:hideMark/>
          </w:tcPr>
          <w:p w14:paraId="6A45CB45" w14:textId="77777777" w:rsidR="00EA7430" w:rsidRPr="00EA7430" w:rsidRDefault="00EA7430" w:rsidP="00EA7430">
            <w:pPr>
              <w:spacing w:before="0" w:after="0"/>
              <w:jc w:val="left"/>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MDT</w:t>
            </w:r>
          </w:p>
        </w:tc>
        <w:tc>
          <w:tcPr>
            <w:tcW w:w="0" w:type="auto"/>
            <w:tcBorders>
              <w:top w:val="nil"/>
              <w:left w:val="nil"/>
              <w:bottom w:val="nil"/>
              <w:right w:val="nil"/>
            </w:tcBorders>
            <w:shd w:val="clear" w:color="auto" w:fill="auto"/>
            <w:noWrap/>
            <w:vAlign w:val="center"/>
            <w:hideMark/>
          </w:tcPr>
          <w:p w14:paraId="1294026A"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-0.18</w:t>
            </w:r>
          </w:p>
        </w:tc>
        <w:tc>
          <w:tcPr>
            <w:tcW w:w="0" w:type="auto"/>
            <w:tcBorders>
              <w:top w:val="nil"/>
              <w:left w:val="nil"/>
              <w:bottom w:val="nil"/>
              <w:right w:val="nil"/>
            </w:tcBorders>
            <w:shd w:val="clear" w:color="auto" w:fill="auto"/>
            <w:noWrap/>
            <w:vAlign w:val="center"/>
            <w:hideMark/>
          </w:tcPr>
          <w:p w14:paraId="532D6902"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0.13</w:t>
            </w:r>
          </w:p>
        </w:tc>
        <w:tc>
          <w:tcPr>
            <w:tcW w:w="0" w:type="auto"/>
            <w:tcBorders>
              <w:top w:val="nil"/>
              <w:left w:val="nil"/>
              <w:bottom w:val="nil"/>
              <w:right w:val="nil"/>
            </w:tcBorders>
            <w:shd w:val="clear" w:color="auto" w:fill="auto"/>
            <w:noWrap/>
            <w:vAlign w:val="center"/>
            <w:hideMark/>
          </w:tcPr>
          <w:p w14:paraId="10225D07"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-0.11</w:t>
            </w:r>
          </w:p>
        </w:tc>
        <w:tc>
          <w:tcPr>
            <w:tcW w:w="0" w:type="auto"/>
            <w:tcBorders>
              <w:top w:val="nil"/>
              <w:left w:val="nil"/>
              <w:bottom w:val="nil"/>
              <w:right w:val="nil"/>
            </w:tcBorders>
            <w:shd w:val="clear" w:color="auto" w:fill="auto"/>
            <w:noWrap/>
            <w:vAlign w:val="center"/>
            <w:hideMark/>
          </w:tcPr>
          <w:p w14:paraId="11578D38"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-0.06</w:t>
            </w:r>
          </w:p>
        </w:tc>
        <w:tc>
          <w:tcPr>
            <w:tcW w:w="0" w:type="auto"/>
            <w:tcBorders>
              <w:top w:val="nil"/>
              <w:left w:val="nil"/>
              <w:bottom w:val="nil"/>
              <w:right w:val="nil"/>
            </w:tcBorders>
            <w:shd w:val="clear" w:color="auto" w:fill="auto"/>
            <w:noWrap/>
            <w:vAlign w:val="center"/>
            <w:hideMark/>
          </w:tcPr>
          <w:p w14:paraId="66D14F3E" w14:textId="77777777" w:rsidR="00EA7430" w:rsidRPr="00EA7430" w:rsidRDefault="00EA7430" w:rsidP="00EA7430">
            <w:pPr>
              <w:spacing w:before="0" w:after="0"/>
              <w:jc w:val="center"/>
              <w:rPr>
                <w:rFonts w:eastAsia="Times New Roman" w:cs="Calibri"/>
                <w:color w:val="000000"/>
                <w:sz w:val="20"/>
                <w:szCs w:val="20"/>
                <w:lang w:val="sr-Latn-RS" w:eastAsia="sr-Latn-RS"/>
              </w:rPr>
            </w:pPr>
          </w:p>
        </w:tc>
        <w:tc>
          <w:tcPr>
            <w:tcW w:w="0" w:type="auto"/>
            <w:tcBorders>
              <w:top w:val="nil"/>
              <w:left w:val="nil"/>
              <w:bottom w:val="nil"/>
              <w:right w:val="nil"/>
            </w:tcBorders>
            <w:shd w:val="clear" w:color="auto" w:fill="auto"/>
            <w:noWrap/>
            <w:vAlign w:val="center"/>
            <w:hideMark/>
          </w:tcPr>
          <w:p w14:paraId="06D9FCAE"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c>
          <w:tcPr>
            <w:tcW w:w="0" w:type="auto"/>
            <w:tcBorders>
              <w:top w:val="nil"/>
              <w:left w:val="nil"/>
              <w:bottom w:val="nil"/>
              <w:right w:val="nil"/>
            </w:tcBorders>
            <w:shd w:val="clear" w:color="auto" w:fill="auto"/>
            <w:noWrap/>
            <w:vAlign w:val="center"/>
            <w:hideMark/>
          </w:tcPr>
          <w:p w14:paraId="73BF5C0D"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c>
          <w:tcPr>
            <w:tcW w:w="0" w:type="auto"/>
            <w:tcBorders>
              <w:top w:val="nil"/>
              <w:left w:val="nil"/>
              <w:bottom w:val="nil"/>
              <w:right w:val="nil"/>
            </w:tcBorders>
            <w:shd w:val="clear" w:color="auto" w:fill="auto"/>
            <w:noWrap/>
            <w:vAlign w:val="center"/>
            <w:hideMark/>
          </w:tcPr>
          <w:p w14:paraId="0F3B4B72"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c>
          <w:tcPr>
            <w:tcW w:w="0" w:type="auto"/>
            <w:tcBorders>
              <w:top w:val="nil"/>
              <w:left w:val="nil"/>
              <w:bottom w:val="nil"/>
              <w:right w:val="nil"/>
            </w:tcBorders>
            <w:shd w:val="clear" w:color="auto" w:fill="auto"/>
            <w:noWrap/>
            <w:vAlign w:val="center"/>
            <w:hideMark/>
          </w:tcPr>
          <w:p w14:paraId="70CA1D77"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c>
          <w:tcPr>
            <w:tcW w:w="0" w:type="auto"/>
            <w:tcBorders>
              <w:top w:val="nil"/>
              <w:left w:val="nil"/>
              <w:bottom w:val="nil"/>
              <w:right w:val="nil"/>
            </w:tcBorders>
            <w:shd w:val="clear" w:color="auto" w:fill="auto"/>
            <w:noWrap/>
            <w:vAlign w:val="center"/>
            <w:hideMark/>
          </w:tcPr>
          <w:p w14:paraId="14D96242"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r>
      <w:tr w:rsidR="00EA7430" w:rsidRPr="00EA7430" w14:paraId="654C1EA0" w14:textId="77777777" w:rsidTr="0064735C">
        <w:trPr>
          <w:trHeight w:val="300"/>
        </w:trPr>
        <w:tc>
          <w:tcPr>
            <w:tcW w:w="0" w:type="auto"/>
            <w:tcBorders>
              <w:top w:val="nil"/>
              <w:left w:val="nil"/>
              <w:bottom w:val="nil"/>
              <w:right w:val="nil"/>
            </w:tcBorders>
            <w:shd w:val="clear" w:color="auto" w:fill="auto"/>
            <w:noWrap/>
            <w:vAlign w:val="center"/>
            <w:hideMark/>
          </w:tcPr>
          <w:p w14:paraId="47157D31" w14:textId="77777777" w:rsidR="00EA7430" w:rsidRPr="00EA7430" w:rsidRDefault="00EA7430" w:rsidP="00EA7430">
            <w:pPr>
              <w:spacing w:before="0" w:after="0"/>
              <w:jc w:val="left"/>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MAP</w:t>
            </w:r>
          </w:p>
        </w:tc>
        <w:tc>
          <w:tcPr>
            <w:tcW w:w="0" w:type="auto"/>
            <w:tcBorders>
              <w:top w:val="nil"/>
              <w:left w:val="nil"/>
              <w:bottom w:val="nil"/>
              <w:right w:val="nil"/>
            </w:tcBorders>
            <w:shd w:val="clear" w:color="auto" w:fill="auto"/>
            <w:noWrap/>
            <w:vAlign w:val="center"/>
            <w:hideMark/>
          </w:tcPr>
          <w:p w14:paraId="1E709A0B"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-0.11</w:t>
            </w:r>
          </w:p>
        </w:tc>
        <w:tc>
          <w:tcPr>
            <w:tcW w:w="0" w:type="auto"/>
            <w:tcBorders>
              <w:top w:val="nil"/>
              <w:left w:val="nil"/>
              <w:bottom w:val="nil"/>
              <w:right w:val="nil"/>
            </w:tcBorders>
            <w:shd w:val="clear" w:color="auto" w:fill="auto"/>
            <w:noWrap/>
            <w:vAlign w:val="center"/>
            <w:hideMark/>
          </w:tcPr>
          <w:p w14:paraId="60D25848"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-0.02</w:t>
            </w:r>
          </w:p>
        </w:tc>
        <w:tc>
          <w:tcPr>
            <w:tcW w:w="0" w:type="auto"/>
            <w:tcBorders>
              <w:top w:val="nil"/>
              <w:left w:val="nil"/>
              <w:bottom w:val="nil"/>
              <w:right w:val="nil"/>
            </w:tcBorders>
            <w:shd w:val="clear" w:color="auto" w:fill="auto"/>
            <w:noWrap/>
            <w:vAlign w:val="center"/>
            <w:hideMark/>
          </w:tcPr>
          <w:p w14:paraId="0091BC85"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0.03</w:t>
            </w:r>
          </w:p>
        </w:tc>
        <w:tc>
          <w:tcPr>
            <w:tcW w:w="0" w:type="auto"/>
            <w:tcBorders>
              <w:top w:val="nil"/>
              <w:left w:val="nil"/>
              <w:bottom w:val="nil"/>
              <w:right w:val="nil"/>
            </w:tcBorders>
            <w:shd w:val="clear" w:color="auto" w:fill="auto"/>
            <w:noWrap/>
            <w:vAlign w:val="center"/>
            <w:hideMark/>
          </w:tcPr>
          <w:p w14:paraId="71F9DF2E"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0.22*</w:t>
            </w:r>
          </w:p>
        </w:tc>
        <w:tc>
          <w:tcPr>
            <w:tcW w:w="0" w:type="auto"/>
            <w:tcBorders>
              <w:top w:val="nil"/>
              <w:left w:val="nil"/>
              <w:bottom w:val="nil"/>
              <w:right w:val="nil"/>
            </w:tcBorders>
            <w:shd w:val="clear" w:color="auto" w:fill="auto"/>
            <w:noWrap/>
            <w:vAlign w:val="center"/>
            <w:hideMark/>
          </w:tcPr>
          <w:p w14:paraId="19F3CFA4"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0.06</w:t>
            </w:r>
          </w:p>
        </w:tc>
        <w:tc>
          <w:tcPr>
            <w:tcW w:w="0" w:type="auto"/>
            <w:tcBorders>
              <w:top w:val="nil"/>
              <w:left w:val="nil"/>
              <w:bottom w:val="nil"/>
              <w:right w:val="nil"/>
            </w:tcBorders>
            <w:shd w:val="clear" w:color="auto" w:fill="auto"/>
            <w:noWrap/>
            <w:vAlign w:val="center"/>
            <w:hideMark/>
          </w:tcPr>
          <w:p w14:paraId="39718332" w14:textId="77777777" w:rsidR="00EA7430" w:rsidRPr="00EA7430" w:rsidRDefault="00EA7430" w:rsidP="00EA7430">
            <w:pPr>
              <w:spacing w:before="0" w:after="0"/>
              <w:jc w:val="center"/>
              <w:rPr>
                <w:rFonts w:eastAsia="Times New Roman" w:cs="Calibri"/>
                <w:color w:val="000000"/>
                <w:sz w:val="20"/>
                <w:szCs w:val="20"/>
                <w:lang w:val="sr-Latn-RS" w:eastAsia="sr-Latn-RS"/>
              </w:rPr>
            </w:pPr>
          </w:p>
        </w:tc>
        <w:tc>
          <w:tcPr>
            <w:tcW w:w="0" w:type="auto"/>
            <w:tcBorders>
              <w:top w:val="nil"/>
              <w:left w:val="nil"/>
              <w:bottom w:val="nil"/>
              <w:right w:val="nil"/>
            </w:tcBorders>
            <w:shd w:val="clear" w:color="auto" w:fill="auto"/>
            <w:noWrap/>
            <w:vAlign w:val="center"/>
            <w:hideMark/>
          </w:tcPr>
          <w:p w14:paraId="52C2ECFB"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c>
          <w:tcPr>
            <w:tcW w:w="0" w:type="auto"/>
            <w:tcBorders>
              <w:top w:val="nil"/>
              <w:left w:val="nil"/>
              <w:bottom w:val="nil"/>
              <w:right w:val="nil"/>
            </w:tcBorders>
            <w:shd w:val="clear" w:color="auto" w:fill="auto"/>
            <w:noWrap/>
            <w:vAlign w:val="center"/>
            <w:hideMark/>
          </w:tcPr>
          <w:p w14:paraId="1B0A2E88"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c>
          <w:tcPr>
            <w:tcW w:w="0" w:type="auto"/>
            <w:tcBorders>
              <w:top w:val="nil"/>
              <w:left w:val="nil"/>
              <w:bottom w:val="nil"/>
              <w:right w:val="nil"/>
            </w:tcBorders>
            <w:shd w:val="clear" w:color="auto" w:fill="auto"/>
            <w:noWrap/>
            <w:vAlign w:val="center"/>
            <w:hideMark/>
          </w:tcPr>
          <w:p w14:paraId="70A7C69C"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c>
          <w:tcPr>
            <w:tcW w:w="0" w:type="auto"/>
            <w:tcBorders>
              <w:top w:val="nil"/>
              <w:left w:val="nil"/>
              <w:bottom w:val="nil"/>
              <w:right w:val="nil"/>
            </w:tcBorders>
            <w:shd w:val="clear" w:color="auto" w:fill="auto"/>
            <w:noWrap/>
            <w:vAlign w:val="center"/>
            <w:hideMark/>
          </w:tcPr>
          <w:p w14:paraId="6F7B3924"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r>
      <w:tr w:rsidR="00EA7430" w:rsidRPr="00EA7430" w14:paraId="516DED4E" w14:textId="77777777" w:rsidTr="0064735C">
        <w:trPr>
          <w:trHeight w:val="300"/>
        </w:trPr>
        <w:tc>
          <w:tcPr>
            <w:tcW w:w="0" w:type="auto"/>
            <w:tcBorders>
              <w:top w:val="nil"/>
              <w:left w:val="nil"/>
              <w:bottom w:val="nil"/>
              <w:right w:val="nil"/>
            </w:tcBorders>
            <w:shd w:val="clear" w:color="auto" w:fill="auto"/>
            <w:noWrap/>
            <w:vAlign w:val="center"/>
            <w:hideMark/>
          </w:tcPr>
          <w:p w14:paraId="343FC667" w14:textId="77777777" w:rsidR="00EA7430" w:rsidRPr="00EA7430" w:rsidRDefault="00EA7430" w:rsidP="00EA7430">
            <w:pPr>
              <w:spacing w:before="0" w:after="0"/>
              <w:jc w:val="left"/>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FAP</w:t>
            </w:r>
          </w:p>
        </w:tc>
        <w:tc>
          <w:tcPr>
            <w:tcW w:w="0" w:type="auto"/>
            <w:tcBorders>
              <w:top w:val="nil"/>
              <w:left w:val="nil"/>
              <w:bottom w:val="nil"/>
              <w:right w:val="nil"/>
            </w:tcBorders>
            <w:shd w:val="clear" w:color="auto" w:fill="auto"/>
            <w:noWrap/>
            <w:vAlign w:val="center"/>
            <w:hideMark/>
          </w:tcPr>
          <w:p w14:paraId="0DAB34F0"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-0.14</w:t>
            </w:r>
          </w:p>
        </w:tc>
        <w:tc>
          <w:tcPr>
            <w:tcW w:w="0" w:type="auto"/>
            <w:tcBorders>
              <w:top w:val="nil"/>
              <w:left w:val="nil"/>
              <w:bottom w:val="nil"/>
              <w:right w:val="nil"/>
            </w:tcBorders>
            <w:shd w:val="clear" w:color="auto" w:fill="auto"/>
            <w:noWrap/>
            <w:vAlign w:val="center"/>
            <w:hideMark/>
          </w:tcPr>
          <w:p w14:paraId="7C1A94A7"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-0.08</w:t>
            </w:r>
          </w:p>
        </w:tc>
        <w:tc>
          <w:tcPr>
            <w:tcW w:w="0" w:type="auto"/>
            <w:tcBorders>
              <w:top w:val="nil"/>
              <w:left w:val="nil"/>
              <w:bottom w:val="nil"/>
              <w:right w:val="nil"/>
            </w:tcBorders>
            <w:shd w:val="clear" w:color="auto" w:fill="auto"/>
            <w:noWrap/>
            <w:vAlign w:val="center"/>
            <w:hideMark/>
          </w:tcPr>
          <w:p w14:paraId="22C5D716"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0.03</w:t>
            </w:r>
          </w:p>
        </w:tc>
        <w:tc>
          <w:tcPr>
            <w:tcW w:w="0" w:type="auto"/>
            <w:tcBorders>
              <w:top w:val="nil"/>
              <w:left w:val="nil"/>
              <w:bottom w:val="nil"/>
              <w:right w:val="nil"/>
            </w:tcBorders>
            <w:shd w:val="clear" w:color="auto" w:fill="auto"/>
            <w:noWrap/>
            <w:vAlign w:val="center"/>
            <w:hideMark/>
          </w:tcPr>
          <w:p w14:paraId="1AD929C2"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0.04</w:t>
            </w:r>
          </w:p>
        </w:tc>
        <w:tc>
          <w:tcPr>
            <w:tcW w:w="0" w:type="auto"/>
            <w:tcBorders>
              <w:top w:val="nil"/>
              <w:left w:val="nil"/>
              <w:bottom w:val="nil"/>
              <w:right w:val="nil"/>
            </w:tcBorders>
            <w:shd w:val="clear" w:color="auto" w:fill="auto"/>
            <w:noWrap/>
            <w:vAlign w:val="center"/>
            <w:hideMark/>
          </w:tcPr>
          <w:p w14:paraId="1823A4E3"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0.40***</w:t>
            </w:r>
          </w:p>
        </w:tc>
        <w:tc>
          <w:tcPr>
            <w:tcW w:w="0" w:type="auto"/>
            <w:tcBorders>
              <w:top w:val="nil"/>
              <w:left w:val="nil"/>
              <w:bottom w:val="nil"/>
              <w:right w:val="nil"/>
            </w:tcBorders>
            <w:shd w:val="clear" w:color="auto" w:fill="auto"/>
            <w:noWrap/>
            <w:vAlign w:val="center"/>
            <w:hideMark/>
          </w:tcPr>
          <w:p w14:paraId="2A794ECA"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0.13</w:t>
            </w:r>
          </w:p>
        </w:tc>
        <w:tc>
          <w:tcPr>
            <w:tcW w:w="0" w:type="auto"/>
            <w:tcBorders>
              <w:top w:val="nil"/>
              <w:left w:val="nil"/>
              <w:bottom w:val="nil"/>
              <w:right w:val="nil"/>
            </w:tcBorders>
            <w:shd w:val="clear" w:color="auto" w:fill="auto"/>
            <w:noWrap/>
            <w:vAlign w:val="center"/>
            <w:hideMark/>
          </w:tcPr>
          <w:p w14:paraId="0AD06950" w14:textId="77777777" w:rsidR="00EA7430" w:rsidRPr="00EA7430" w:rsidRDefault="00EA7430" w:rsidP="00EA7430">
            <w:pPr>
              <w:spacing w:before="0" w:after="0"/>
              <w:jc w:val="center"/>
              <w:rPr>
                <w:rFonts w:eastAsia="Times New Roman" w:cs="Calibri"/>
                <w:color w:val="000000"/>
                <w:sz w:val="20"/>
                <w:szCs w:val="20"/>
                <w:lang w:val="sr-Latn-RS" w:eastAsia="sr-Latn-RS"/>
              </w:rPr>
            </w:pPr>
          </w:p>
        </w:tc>
        <w:tc>
          <w:tcPr>
            <w:tcW w:w="0" w:type="auto"/>
            <w:tcBorders>
              <w:top w:val="nil"/>
              <w:left w:val="nil"/>
              <w:bottom w:val="nil"/>
              <w:right w:val="nil"/>
            </w:tcBorders>
            <w:shd w:val="clear" w:color="auto" w:fill="auto"/>
            <w:noWrap/>
            <w:vAlign w:val="center"/>
            <w:hideMark/>
          </w:tcPr>
          <w:p w14:paraId="7864D1F0"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c>
          <w:tcPr>
            <w:tcW w:w="0" w:type="auto"/>
            <w:tcBorders>
              <w:top w:val="nil"/>
              <w:left w:val="nil"/>
              <w:bottom w:val="nil"/>
              <w:right w:val="nil"/>
            </w:tcBorders>
            <w:shd w:val="clear" w:color="auto" w:fill="auto"/>
            <w:noWrap/>
            <w:vAlign w:val="center"/>
            <w:hideMark/>
          </w:tcPr>
          <w:p w14:paraId="4ED6E703"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c>
          <w:tcPr>
            <w:tcW w:w="0" w:type="auto"/>
            <w:tcBorders>
              <w:top w:val="nil"/>
              <w:left w:val="nil"/>
              <w:bottom w:val="nil"/>
              <w:right w:val="nil"/>
            </w:tcBorders>
            <w:shd w:val="clear" w:color="auto" w:fill="auto"/>
            <w:noWrap/>
            <w:vAlign w:val="center"/>
            <w:hideMark/>
          </w:tcPr>
          <w:p w14:paraId="25693DA0"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r>
      <w:tr w:rsidR="00EA7430" w:rsidRPr="00EA7430" w14:paraId="0B456A8B" w14:textId="77777777" w:rsidTr="0064735C">
        <w:trPr>
          <w:trHeight w:val="300"/>
        </w:trPr>
        <w:tc>
          <w:tcPr>
            <w:tcW w:w="0" w:type="auto"/>
            <w:tcBorders>
              <w:top w:val="nil"/>
              <w:left w:val="nil"/>
              <w:bottom w:val="nil"/>
              <w:right w:val="nil"/>
            </w:tcBorders>
            <w:shd w:val="clear" w:color="auto" w:fill="auto"/>
            <w:noWrap/>
            <w:vAlign w:val="center"/>
            <w:hideMark/>
          </w:tcPr>
          <w:p w14:paraId="01359C70" w14:textId="77777777" w:rsidR="00EA7430" w:rsidRPr="00EA7430" w:rsidRDefault="00EA7430" w:rsidP="00EA7430">
            <w:pPr>
              <w:spacing w:before="0" w:after="0"/>
              <w:jc w:val="left"/>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CMT</w:t>
            </w:r>
          </w:p>
        </w:tc>
        <w:tc>
          <w:tcPr>
            <w:tcW w:w="0" w:type="auto"/>
            <w:tcBorders>
              <w:top w:val="nil"/>
              <w:left w:val="nil"/>
              <w:bottom w:val="nil"/>
              <w:right w:val="nil"/>
            </w:tcBorders>
            <w:shd w:val="clear" w:color="auto" w:fill="auto"/>
            <w:noWrap/>
            <w:vAlign w:val="center"/>
            <w:hideMark/>
          </w:tcPr>
          <w:p w14:paraId="00BF12AA"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0.03</w:t>
            </w:r>
          </w:p>
        </w:tc>
        <w:tc>
          <w:tcPr>
            <w:tcW w:w="0" w:type="auto"/>
            <w:tcBorders>
              <w:top w:val="nil"/>
              <w:left w:val="nil"/>
              <w:bottom w:val="nil"/>
              <w:right w:val="nil"/>
            </w:tcBorders>
            <w:shd w:val="clear" w:color="auto" w:fill="auto"/>
            <w:noWrap/>
            <w:vAlign w:val="center"/>
            <w:hideMark/>
          </w:tcPr>
          <w:p w14:paraId="3D3BAA0C"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0.09</w:t>
            </w:r>
          </w:p>
        </w:tc>
        <w:tc>
          <w:tcPr>
            <w:tcW w:w="0" w:type="auto"/>
            <w:tcBorders>
              <w:top w:val="nil"/>
              <w:left w:val="nil"/>
              <w:bottom w:val="nil"/>
              <w:right w:val="nil"/>
            </w:tcBorders>
            <w:shd w:val="clear" w:color="auto" w:fill="auto"/>
            <w:noWrap/>
            <w:vAlign w:val="center"/>
            <w:hideMark/>
          </w:tcPr>
          <w:p w14:paraId="34F76CBB"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0.02</w:t>
            </w:r>
          </w:p>
        </w:tc>
        <w:tc>
          <w:tcPr>
            <w:tcW w:w="0" w:type="auto"/>
            <w:tcBorders>
              <w:top w:val="nil"/>
              <w:left w:val="nil"/>
              <w:bottom w:val="nil"/>
              <w:right w:val="nil"/>
            </w:tcBorders>
            <w:shd w:val="clear" w:color="auto" w:fill="auto"/>
            <w:noWrap/>
            <w:vAlign w:val="center"/>
            <w:hideMark/>
          </w:tcPr>
          <w:p w14:paraId="13130F6A"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0.1</w:t>
            </w:r>
          </w:p>
        </w:tc>
        <w:tc>
          <w:tcPr>
            <w:tcW w:w="0" w:type="auto"/>
            <w:tcBorders>
              <w:top w:val="nil"/>
              <w:left w:val="nil"/>
              <w:bottom w:val="nil"/>
              <w:right w:val="nil"/>
            </w:tcBorders>
            <w:shd w:val="clear" w:color="auto" w:fill="auto"/>
            <w:noWrap/>
            <w:vAlign w:val="center"/>
            <w:hideMark/>
          </w:tcPr>
          <w:p w14:paraId="5D4301F0"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0.02</w:t>
            </w:r>
          </w:p>
        </w:tc>
        <w:tc>
          <w:tcPr>
            <w:tcW w:w="0" w:type="auto"/>
            <w:tcBorders>
              <w:top w:val="nil"/>
              <w:left w:val="nil"/>
              <w:bottom w:val="nil"/>
              <w:right w:val="nil"/>
            </w:tcBorders>
            <w:shd w:val="clear" w:color="auto" w:fill="auto"/>
            <w:noWrap/>
            <w:vAlign w:val="center"/>
            <w:hideMark/>
          </w:tcPr>
          <w:p w14:paraId="6EAE495F"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0.5***</w:t>
            </w:r>
          </w:p>
        </w:tc>
        <w:tc>
          <w:tcPr>
            <w:tcW w:w="0" w:type="auto"/>
            <w:tcBorders>
              <w:top w:val="nil"/>
              <w:left w:val="nil"/>
              <w:bottom w:val="nil"/>
              <w:right w:val="nil"/>
            </w:tcBorders>
            <w:shd w:val="clear" w:color="auto" w:fill="auto"/>
            <w:noWrap/>
            <w:vAlign w:val="center"/>
            <w:hideMark/>
          </w:tcPr>
          <w:p w14:paraId="2F41C503"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0.07</w:t>
            </w:r>
          </w:p>
        </w:tc>
        <w:tc>
          <w:tcPr>
            <w:tcW w:w="0" w:type="auto"/>
            <w:tcBorders>
              <w:top w:val="nil"/>
              <w:left w:val="nil"/>
              <w:bottom w:val="nil"/>
              <w:right w:val="nil"/>
            </w:tcBorders>
            <w:shd w:val="clear" w:color="auto" w:fill="auto"/>
            <w:noWrap/>
            <w:vAlign w:val="center"/>
            <w:hideMark/>
          </w:tcPr>
          <w:p w14:paraId="092FD58A" w14:textId="77777777" w:rsidR="00EA7430" w:rsidRPr="00EA7430" w:rsidRDefault="00EA7430" w:rsidP="00EA7430">
            <w:pPr>
              <w:spacing w:before="0" w:after="0"/>
              <w:jc w:val="center"/>
              <w:rPr>
                <w:rFonts w:eastAsia="Times New Roman" w:cs="Calibri"/>
                <w:color w:val="000000"/>
                <w:sz w:val="20"/>
                <w:szCs w:val="20"/>
                <w:lang w:val="sr-Latn-RS" w:eastAsia="sr-Latn-RS"/>
              </w:rPr>
            </w:pPr>
          </w:p>
        </w:tc>
        <w:tc>
          <w:tcPr>
            <w:tcW w:w="0" w:type="auto"/>
            <w:tcBorders>
              <w:top w:val="nil"/>
              <w:left w:val="nil"/>
              <w:bottom w:val="nil"/>
              <w:right w:val="nil"/>
            </w:tcBorders>
            <w:shd w:val="clear" w:color="auto" w:fill="auto"/>
            <w:noWrap/>
            <w:vAlign w:val="center"/>
            <w:hideMark/>
          </w:tcPr>
          <w:p w14:paraId="0B1FD39F"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c>
          <w:tcPr>
            <w:tcW w:w="0" w:type="auto"/>
            <w:tcBorders>
              <w:top w:val="nil"/>
              <w:left w:val="nil"/>
              <w:bottom w:val="nil"/>
              <w:right w:val="nil"/>
            </w:tcBorders>
            <w:shd w:val="clear" w:color="auto" w:fill="auto"/>
            <w:noWrap/>
            <w:vAlign w:val="center"/>
            <w:hideMark/>
          </w:tcPr>
          <w:p w14:paraId="5F062EFC"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r>
      <w:tr w:rsidR="00EA7430" w:rsidRPr="00EA7430" w14:paraId="5C3AD80A" w14:textId="77777777" w:rsidTr="0064735C">
        <w:trPr>
          <w:trHeight w:val="300"/>
        </w:trPr>
        <w:tc>
          <w:tcPr>
            <w:tcW w:w="0" w:type="auto"/>
            <w:tcBorders>
              <w:top w:val="nil"/>
              <w:left w:val="nil"/>
              <w:bottom w:val="nil"/>
              <w:right w:val="nil"/>
            </w:tcBorders>
            <w:shd w:val="clear" w:color="auto" w:fill="auto"/>
            <w:noWrap/>
            <w:vAlign w:val="center"/>
            <w:hideMark/>
          </w:tcPr>
          <w:p w14:paraId="011506AE" w14:textId="77777777" w:rsidR="00EA7430" w:rsidRPr="00EA7430" w:rsidRDefault="00EA7430" w:rsidP="00EA7430">
            <w:pPr>
              <w:spacing w:before="0" w:after="0"/>
              <w:jc w:val="left"/>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FRT</w:t>
            </w:r>
          </w:p>
        </w:tc>
        <w:tc>
          <w:tcPr>
            <w:tcW w:w="0" w:type="auto"/>
            <w:tcBorders>
              <w:top w:val="nil"/>
              <w:left w:val="nil"/>
              <w:bottom w:val="nil"/>
              <w:right w:val="nil"/>
            </w:tcBorders>
            <w:shd w:val="clear" w:color="auto" w:fill="auto"/>
            <w:noWrap/>
            <w:vAlign w:val="center"/>
            <w:hideMark/>
          </w:tcPr>
          <w:p w14:paraId="1EADECD2"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0.04</w:t>
            </w:r>
          </w:p>
        </w:tc>
        <w:tc>
          <w:tcPr>
            <w:tcW w:w="0" w:type="auto"/>
            <w:tcBorders>
              <w:top w:val="nil"/>
              <w:left w:val="nil"/>
              <w:bottom w:val="nil"/>
              <w:right w:val="nil"/>
            </w:tcBorders>
            <w:shd w:val="clear" w:color="auto" w:fill="auto"/>
            <w:noWrap/>
            <w:vAlign w:val="center"/>
            <w:hideMark/>
          </w:tcPr>
          <w:p w14:paraId="11630331"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0.1</w:t>
            </w:r>
          </w:p>
        </w:tc>
        <w:tc>
          <w:tcPr>
            <w:tcW w:w="0" w:type="auto"/>
            <w:tcBorders>
              <w:top w:val="nil"/>
              <w:left w:val="nil"/>
              <w:bottom w:val="nil"/>
              <w:right w:val="nil"/>
            </w:tcBorders>
            <w:shd w:val="clear" w:color="auto" w:fill="auto"/>
            <w:noWrap/>
            <w:vAlign w:val="center"/>
            <w:hideMark/>
          </w:tcPr>
          <w:p w14:paraId="1E7E380C"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0.06</w:t>
            </w:r>
          </w:p>
        </w:tc>
        <w:tc>
          <w:tcPr>
            <w:tcW w:w="0" w:type="auto"/>
            <w:tcBorders>
              <w:top w:val="nil"/>
              <w:left w:val="nil"/>
              <w:bottom w:val="nil"/>
              <w:right w:val="nil"/>
            </w:tcBorders>
            <w:shd w:val="clear" w:color="auto" w:fill="auto"/>
            <w:noWrap/>
            <w:vAlign w:val="center"/>
            <w:hideMark/>
          </w:tcPr>
          <w:p w14:paraId="6B38D9E5"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-0.1</w:t>
            </w:r>
          </w:p>
        </w:tc>
        <w:tc>
          <w:tcPr>
            <w:tcW w:w="0" w:type="auto"/>
            <w:tcBorders>
              <w:top w:val="nil"/>
              <w:left w:val="nil"/>
              <w:bottom w:val="nil"/>
              <w:right w:val="nil"/>
            </w:tcBorders>
            <w:shd w:val="clear" w:color="auto" w:fill="auto"/>
            <w:noWrap/>
            <w:vAlign w:val="center"/>
            <w:hideMark/>
          </w:tcPr>
          <w:p w14:paraId="7F0C0ADB"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0.06</w:t>
            </w:r>
          </w:p>
        </w:tc>
        <w:tc>
          <w:tcPr>
            <w:tcW w:w="0" w:type="auto"/>
            <w:tcBorders>
              <w:top w:val="nil"/>
              <w:left w:val="nil"/>
              <w:bottom w:val="nil"/>
              <w:right w:val="nil"/>
            </w:tcBorders>
            <w:shd w:val="clear" w:color="auto" w:fill="auto"/>
            <w:noWrap/>
            <w:vAlign w:val="center"/>
            <w:hideMark/>
          </w:tcPr>
          <w:p w14:paraId="0C0961EE"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-0.14</w:t>
            </w:r>
          </w:p>
        </w:tc>
        <w:tc>
          <w:tcPr>
            <w:tcW w:w="0" w:type="auto"/>
            <w:tcBorders>
              <w:top w:val="nil"/>
              <w:left w:val="nil"/>
              <w:bottom w:val="nil"/>
              <w:right w:val="nil"/>
            </w:tcBorders>
            <w:shd w:val="clear" w:color="auto" w:fill="auto"/>
            <w:noWrap/>
            <w:vAlign w:val="center"/>
            <w:hideMark/>
          </w:tcPr>
          <w:p w14:paraId="5EFEB05D"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-0.22*</w:t>
            </w:r>
          </w:p>
        </w:tc>
        <w:tc>
          <w:tcPr>
            <w:tcW w:w="0" w:type="auto"/>
            <w:tcBorders>
              <w:top w:val="nil"/>
              <w:left w:val="nil"/>
              <w:bottom w:val="nil"/>
              <w:right w:val="nil"/>
            </w:tcBorders>
            <w:shd w:val="clear" w:color="auto" w:fill="auto"/>
            <w:noWrap/>
            <w:vAlign w:val="center"/>
            <w:hideMark/>
          </w:tcPr>
          <w:p w14:paraId="6BC0D5DF"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-0.18*</w:t>
            </w:r>
          </w:p>
        </w:tc>
        <w:tc>
          <w:tcPr>
            <w:tcW w:w="0" w:type="auto"/>
            <w:tcBorders>
              <w:top w:val="nil"/>
              <w:left w:val="nil"/>
              <w:bottom w:val="nil"/>
              <w:right w:val="nil"/>
            </w:tcBorders>
            <w:shd w:val="clear" w:color="auto" w:fill="auto"/>
            <w:noWrap/>
            <w:vAlign w:val="center"/>
            <w:hideMark/>
          </w:tcPr>
          <w:p w14:paraId="5FD9B00A" w14:textId="77777777" w:rsidR="00EA7430" w:rsidRPr="00EA7430" w:rsidRDefault="00EA7430" w:rsidP="00EA7430">
            <w:pPr>
              <w:spacing w:before="0" w:after="0"/>
              <w:jc w:val="center"/>
              <w:rPr>
                <w:rFonts w:eastAsia="Times New Roman" w:cs="Calibri"/>
                <w:color w:val="000000"/>
                <w:sz w:val="20"/>
                <w:szCs w:val="20"/>
                <w:lang w:val="sr-Latn-RS" w:eastAsia="sr-Latn-RS"/>
              </w:rPr>
            </w:pPr>
          </w:p>
        </w:tc>
        <w:tc>
          <w:tcPr>
            <w:tcW w:w="0" w:type="auto"/>
            <w:tcBorders>
              <w:top w:val="nil"/>
              <w:left w:val="nil"/>
              <w:bottom w:val="nil"/>
              <w:right w:val="nil"/>
            </w:tcBorders>
            <w:shd w:val="clear" w:color="auto" w:fill="auto"/>
            <w:noWrap/>
            <w:vAlign w:val="center"/>
            <w:hideMark/>
          </w:tcPr>
          <w:p w14:paraId="3D435C5B" w14:textId="77777777" w:rsidR="00EA7430" w:rsidRPr="00EA7430" w:rsidRDefault="00EA7430" w:rsidP="00EA7430">
            <w:pPr>
              <w:spacing w:before="0" w:after="0"/>
              <w:jc w:val="left"/>
              <w:rPr>
                <w:rFonts w:ascii="Times New Roman" w:eastAsia="Times New Roman" w:hAnsi="Times New Roman" w:cs="Times New Roman"/>
                <w:sz w:val="20"/>
                <w:szCs w:val="20"/>
                <w:lang w:val="sr-Latn-RS" w:eastAsia="sr-Latn-RS"/>
              </w:rPr>
            </w:pPr>
          </w:p>
        </w:tc>
      </w:tr>
      <w:tr w:rsidR="00EA7430" w:rsidRPr="00EA7430" w14:paraId="6B9C0574" w14:textId="77777777" w:rsidTr="0064735C">
        <w:trPr>
          <w:trHeight w:val="300"/>
        </w:trPr>
        <w:tc>
          <w:tcPr>
            <w:tcW w:w="0" w:type="auto"/>
            <w:tcBorders>
              <w:top w:val="nil"/>
              <w:left w:val="nil"/>
              <w:bottom w:val="nil"/>
              <w:right w:val="nil"/>
            </w:tcBorders>
            <w:shd w:val="clear" w:color="auto" w:fill="auto"/>
            <w:noWrap/>
            <w:vAlign w:val="center"/>
            <w:hideMark/>
          </w:tcPr>
          <w:p w14:paraId="587ECE53" w14:textId="77777777" w:rsidR="00EA7430" w:rsidRPr="00EA7430" w:rsidRDefault="00EA7430" w:rsidP="00EA7430">
            <w:pPr>
              <w:spacing w:before="0" w:after="0"/>
              <w:jc w:val="left"/>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TTOR</w:t>
            </w:r>
          </w:p>
        </w:tc>
        <w:tc>
          <w:tcPr>
            <w:tcW w:w="0" w:type="auto"/>
            <w:tcBorders>
              <w:top w:val="nil"/>
              <w:left w:val="nil"/>
              <w:bottom w:val="nil"/>
              <w:right w:val="nil"/>
            </w:tcBorders>
            <w:shd w:val="clear" w:color="auto" w:fill="auto"/>
            <w:noWrap/>
            <w:vAlign w:val="center"/>
            <w:hideMark/>
          </w:tcPr>
          <w:p w14:paraId="13BE2610"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-0.12</w:t>
            </w:r>
          </w:p>
        </w:tc>
        <w:tc>
          <w:tcPr>
            <w:tcW w:w="0" w:type="auto"/>
            <w:tcBorders>
              <w:top w:val="nil"/>
              <w:left w:val="nil"/>
              <w:bottom w:val="nil"/>
              <w:right w:val="nil"/>
            </w:tcBorders>
            <w:shd w:val="clear" w:color="auto" w:fill="auto"/>
            <w:noWrap/>
            <w:vAlign w:val="center"/>
            <w:hideMark/>
          </w:tcPr>
          <w:p w14:paraId="00C6FA79"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-0.14</w:t>
            </w:r>
          </w:p>
        </w:tc>
        <w:tc>
          <w:tcPr>
            <w:tcW w:w="0" w:type="auto"/>
            <w:tcBorders>
              <w:top w:val="nil"/>
              <w:left w:val="nil"/>
              <w:bottom w:val="nil"/>
              <w:right w:val="nil"/>
            </w:tcBorders>
            <w:shd w:val="clear" w:color="auto" w:fill="auto"/>
            <w:noWrap/>
            <w:vAlign w:val="center"/>
            <w:hideMark/>
          </w:tcPr>
          <w:p w14:paraId="6C83B272"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-0.06</w:t>
            </w:r>
          </w:p>
        </w:tc>
        <w:tc>
          <w:tcPr>
            <w:tcW w:w="0" w:type="auto"/>
            <w:tcBorders>
              <w:top w:val="nil"/>
              <w:left w:val="nil"/>
              <w:bottom w:val="nil"/>
              <w:right w:val="nil"/>
            </w:tcBorders>
            <w:shd w:val="clear" w:color="auto" w:fill="auto"/>
            <w:noWrap/>
            <w:vAlign w:val="center"/>
            <w:hideMark/>
          </w:tcPr>
          <w:p w14:paraId="1361ABFD"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-0.22*</w:t>
            </w:r>
          </w:p>
        </w:tc>
        <w:tc>
          <w:tcPr>
            <w:tcW w:w="0" w:type="auto"/>
            <w:tcBorders>
              <w:top w:val="nil"/>
              <w:left w:val="nil"/>
              <w:bottom w:val="nil"/>
              <w:right w:val="nil"/>
            </w:tcBorders>
            <w:shd w:val="clear" w:color="auto" w:fill="auto"/>
            <w:noWrap/>
            <w:vAlign w:val="center"/>
            <w:hideMark/>
          </w:tcPr>
          <w:p w14:paraId="250FCF92"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0.25*</w:t>
            </w:r>
          </w:p>
        </w:tc>
        <w:tc>
          <w:tcPr>
            <w:tcW w:w="0" w:type="auto"/>
            <w:tcBorders>
              <w:top w:val="nil"/>
              <w:left w:val="nil"/>
              <w:bottom w:val="nil"/>
              <w:right w:val="nil"/>
            </w:tcBorders>
            <w:shd w:val="clear" w:color="auto" w:fill="auto"/>
            <w:noWrap/>
            <w:vAlign w:val="center"/>
            <w:hideMark/>
          </w:tcPr>
          <w:p w14:paraId="6A9AD287"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0.20*</w:t>
            </w:r>
          </w:p>
        </w:tc>
        <w:tc>
          <w:tcPr>
            <w:tcW w:w="0" w:type="auto"/>
            <w:tcBorders>
              <w:top w:val="nil"/>
              <w:left w:val="nil"/>
              <w:bottom w:val="nil"/>
              <w:right w:val="nil"/>
            </w:tcBorders>
            <w:shd w:val="clear" w:color="auto" w:fill="auto"/>
            <w:noWrap/>
            <w:vAlign w:val="center"/>
            <w:hideMark/>
          </w:tcPr>
          <w:p w14:paraId="508B719D"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0.01</w:t>
            </w:r>
          </w:p>
        </w:tc>
        <w:tc>
          <w:tcPr>
            <w:tcW w:w="0" w:type="auto"/>
            <w:tcBorders>
              <w:top w:val="nil"/>
              <w:left w:val="nil"/>
              <w:bottom w:val="nil"/>
              <w:right w:val="nil"/>
            </w:tcBorders>
            <w:shd w:val="clear" w:color="auto" w:fill="auto"/>
            <w:noWrap/>
            <w:vAlign w:val="center"/>
            <w:hideMark/>
          </w:tcPr>
          <w:p w14:paraId="10927572"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-0.11</w:t>
            </w:r>
          </w:p>
        </w:tc>
        <w:tc>
          <w:tcPr>
            <w:tcW w:w="0" w:type="auto"/>
            <w:tcBorders>
              <w:top w:val="nil"/>
              <w:left w:val="nil"/>
              <w:bottom w:val="nil"/>
              <w:right w:val="nil"/>
            </w:tcBorders>
            <w:shd w:val="clear" w:color="auto" w:fill="auto"/>
            <w:noWrap/>
            <w:vAlign w:val="center"/>
            <w:hideMark/>
          </w:tcPr>
          <w:p w14:paraId="5DB04EFC"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0.1</w:t>
            </w:r>
          </w:p>
        </w:tc>
        <w:tc>
          <w:tcPr>
            <w:tcW w:w="0" w:type="auto"/>
            <w:tcBorders>
              <w:top w:val="nil"/>
              <w:left w:val="nil"/>
              <w:bottom w:val="nil"/>
              <w:right w:val="nil"/>
            </w:tcBorders>
            <w:shd w:val="clear" w:color="auto" w:fill="auto"/>
            <w:noWrap/>
            <w:vAlign w:val="center"/>
            <w:hideMark/>
          </w:tcPr>
          <w:p w14:paraId="4FD2F8B5" w14:textId="77777777" w:rsidR="00EA7430" w:rsidRPr="00EA7430" w:rsidRDefault="00EA7430" w:rsidP="00EA7430">
            <w:pPr>
              <w:spacing w:before="0" w:after="0"/>
              <w:jc w:val="center"/>
              <w:rPr>
                <w:rFonts w:eastAsia="Times New Roman" w:cs="Calibri"/>
                <w:color w:val="000000"/>
                <w:sz w:val="20"/>
                <w:szCs w:val="20"/>
                <w:lang w:val="sr-Latn-RS" w:eastAsia="sr-Latn-RS"/>
              </w:rPr>
            </w:pPr>
          </w:p>
        </w:tc>
      </w:tr>
      <w:tr w:rsidR="00EA7430" w:rsidRPr="00EA7430" w14:paraId="0085F89B" w14:textId="77777777" w:rsidTr="0064735C">
        <w:trPr>
          <w:trHeight w:val="300"/>
        </w:trPr>
        <w:tc>
          <w:tcPr>
            <w:tcW w:w="0" w:type="auto"/>
            <w:tcBorders>
              <w:top w:val="nil"/>
              <w:left w:val="nil"/>
              <w:bottom w:val="nil"/>
              <w:right w:val="nil"/>
            </w:tcBorders>
            <w:shd w:val="clear" w:color="auto" w:fill="auto"/>
            <w:noWrap/>
            <w:vAlign w:val="center"/>
            <w:hideMark/>
          </w:tcPr>
          <w:p w14:paraId="5B8A1AD7" w14:textId="77777777" w:rsidR="00EA7430" w:rsidRPr="00EA7430" w:rsidRDefault="00EA7430" w:rsidP="00EA7430">
            <w:pPr>
              <w:spacing w:before="0" w:after="0"/>
              <w:jc w:val="left"/>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TTCOC</w:t>
            </w:r>
          </w:p>
        </w:tc>
        <w:tc>
          <w:tcPr>
            <w:tcW w:w="0" w:type="auto"/>
            <w:tcBorders>
              <w:top w:val="nil"/>
              <w:left w:val="nil"/>
              <w:bottom w:val="nil"/>
              <w:right w:val="nil"/>
            </w:tcBorders>
            <w:shd w:val="clear" w:color="auto" w:fill="auto"/>
            <w:noWrap/>
            <w:vAlign w:val="center"/>
            <w:hideMark/>
          </w:tcPr>
          <w:p w14:paraId="5C3492EE"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-0.02</w:t>
            </w:r>
          </w:p>
        </w:tc>
        <w:tc>
          <w:tcPr>
            <w:tcW w:w="0" w:type="auto"/>
            <w:tcBorders>
              <w:top w:val="nil"/>
              <w:left w:val="nil"/>
              <w:bottom w:val="nil"/>
              <w:right w:val="nil"/>
            </w:tcBorders>
            <w:shd w:val="clear" w:color="auto" w:fill="auto"/>
            <w:noWrap/>
            <w:vAlign w:val="center"/>
            <w:hideMark/>
          </w:tcPr>
          <w:p w14:paraId="67F592B8"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-0.03</w:t>
            </w:r>
          </w:p>
        </w:tc>
        <w:tc>
          <w:tcPr>
            <w:tcW w:w="0" w:type="auto"/>
            <w:tcBorders>
              <w:top w:val="nil"/>
              <w:left w:val="nil"/>
              <w:bottom w:val="nil"/>
              <w:right w:val="nil"/>
            </w:tcBorders>
            <w:shd w:val="clear" w:color="auto" w:fill="auto"/>
            <w:noWrap/>
            <w:vAlign w:val="center"/>
            <w:hideMark/>
          </w:tcPr>
          <w:p w14:paraId="530A8A03"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-0.11</w:t>
            </w:r>
          </w:p>
        </w:tc>
        <w:tc>
          <w:tcPr>
            <w:tcW w:w="0" w:type="auto"/>
            <w:tcBorders>
              <w:top w:val="nil"/>
              <w:left w:val="nil"/>
              <w:bottom w:val="nil"/>
              <w:right w:val="nil"/>
            </w:tcBorders>
            <w:shd w:val="clear" w:color="auto" w:fill="auto"/>
            <w:noWrap/>
            <w:vAlign w:val="center"/>
            <w:hideMark/>
          </w:tcPr>
          <w:p w14:paraId="565D87E1"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-0.04</w:t>
            </w:r>
          </w:p>
        </w:tc>
        <w:tc>
          <w:tcPr>
            <w:tcW w:w="0" w:type="auto"/>
            <w:tcBorders>
              <w:top w:val="nil"/>
              <w:left w:val="nil"/>
              <w:bottom w:val="nil"/>
              <w:right w:val="nil"/>
            </w:tcBorders>
            <w:shd w:val="clear" w:color="auto" w:fill="auto"/>
            <w:noWrap/>
            <w:vAlign w:val="center"/>
            <w:hideMark/>
          </w:tcPr>
          <w:p w14:paraId="5D32A711"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0.25*</w:t>
            </w:r>
          </w:p>
        </w:tc>
        <w:tc>
          <w:tcPr>
            <w:tcW w:w="0" w:type="auto"/>
            <w:tcBorders>
              <w:top w:val="nil"/>
              <w:left w:val="nil"/>
              <w:bottom w:val="nil"/>
              <w:right w:val="nil"/>
            </w:tcBorders>
            <w:shd w:val="clear" w:color="auto" w:fill="auto"/>
            <w:noWrap/>
            <w:vAlign w:val="center"/>
            <w:hideMark/>
          </w:tcPr>
          <w:p w14:paraId="7B401954"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0.25*</w:t>
            </w:r>
          </w:p>
        </w:tc>
        <w:tc>
          <w:tcPr>
            <w:tcW w:w="0" w:type="auto"/>
            <w:tcBorders>
              <w:top w:val="nil"/>
              <w:left w:val="nil"/>
              <w:bottom w:val="nil"/>
              <w:right w:val="nil"/>
            </w:tcBorders>
            <w:shd w:val="clear" w:color="auto" w:fill="auto"/>
            <w:noWrap/>
            <w:vAlign w:val="center"/>
            <w:hideMark/>
          </w:tcPr>
          <w:p w14:paraId="6518A9C5"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-0.09</w:t>
            </w:r>
          </w:p>
        </w:tc>
        <w:tc>
          <w:tcPr>
            <w:tcW w:w="0" w:type="auto"/>
            <w:tcBorders>
              <w:top w:val="nil"/>
              <w:left w:val="nil"/>
              <w:bottom w:val="nil"/>
              <w:right w:val="nil"/>
            </w:tcBorders>
            <w:shd w:val="clear" w:color="auto" w:fill="auto"/>
            <w:noWrap/>
            <w:vAlign w:val="center"/>
            <w:hideMark/>
          </w:tcPr>
          <w:p w14:paraId="7E35C6F3"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-0.1</w:t>
            </w:r>
          </w:p>
        </w:tc>
        <w:tc>
          <w:tcPr>
            <w:tcW w:w="0" w:type="auto"/>
            <w:tcBorders>
              <w:top w:val="nil"/>
              <w:left w:val="nil"/>
              <w:bottom w:val="nil"/>
              <w:right w:val="nil"/>
            </w:tcBorders>
            <w:shd w:val="clear" w:color="auto" w:fill="auto"/>
            <w:noWrap/>
            <w:vAlign w:val="center"/>
            <w:hideMark/>
          </w:tcPr>
          <w:p w14:paraId="701E570E"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0.1</w:t>
            </w:r>
          </w:p>
        </w:tc>
        <w:tc>
          <w:tcPr>
            <w:tcW w:w="0" w:type="auto"/>
            <w:tcBorders>
              <w:top w:val="nil"/>
              <w:left w:val="nil"/>
              <w:bottom w:val="nil"/>
              <w:right w:val="nil"/>
            </w:tcBorders>
            <w:shd w:val="clear" w:color="auto" w:fill="auto"/>
            <w:noWrap/>
            <w:vAlign w:val="center"/>
            <w:hideMark/>
          </w:tcPr>
          <w:p w14:paraId="56FE9AD0"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0.6***</w:t>
            </w:r>
          </w:p>
        </w:tc>
      </w:tr>
      <w:tr w:rsidR="00EA7430" w:rsidRPr="00EA7430" w14:paraId="2090EDD8" w14:textId="77777777" w:rsidTr="0064735C">
        <w:trPr>
          <w:trHeight w:val="315"/>
        </w:trPr>
        <w:tc>
          <w:tcPr>
            <w:tcW w:w="0" w:type="auto"/>
            <w:tcBorders>
              <w:top w:val="nil"/>
              <w:left w:val="nil"/>
              <w:bottom w:val="single" w:sz="8" w:space="0" w:color="auto"/>
              <w:right w:val="nil"/>
            </w:tcBorders>
            <w:shd w:val="clear" w:color="auto" w:fill="auto"/>
            <w:noWrap/>
            <w:vAlign w:val="center"/>
            <w:hideMark/>
          </w:tcPr>
          <w:p w14:paraId="2E9EFA06" w14:textId="77777777" w:rsidR="00EA7430" w:rsidRPr="00EA7430" w:rsidRDefault="00EA7430" w:rsidP="00EA7430">
            <w:pPr>
              <w:spacing w:before="0" w:after="0"/>
              <w:jc w:val="left"/>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MTBF</w:t>
            </w:r>
          </w:p>
        </w:tc>
        <w:tc>
          <w:tcPr>
            <w:tcW w:w="0" w:type="auto"/>
            <w:tcBorders>
              <w:top w:val="nil"/>
              <w:left w:val="nil"/>
              <w:bottom w:val="single" w:sz="8" w:space="0" w:color="auto"/>
              <w:right w:val="nil"/>
            </w:tcBorders>
            <w:shd w:val="clear" w:color="auto" w:fill="auto"/>
            <w:noWrap/>
            <w:vAlign w:val="center"/>
            <w:hideMark/>
          </w:tcPr>
          <w:p w14:paraId="23EA7600"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-0.38***</w:t>
            </w:r>
          </w:p>
        </w:tc>
        <w:tc>
          <w:tcPr>
            <w:tcW w:w="0" w:type="auto"/>
            <w:tcBorders>
              <w:top w:val="nil"/>
              <w:left w:val="nil"/>
              <w:bottom w:val="single" w:sz="8" w:space="0" w:color="auto"/>
              <w:right w:val="nil"/>
            </w:tcBorders>
            <w:shd w:val="clear" w:color="auto" w:fill="auto"/>
            <w:noWrap/>
            <w:vAlign w:val="center"/>
            <w:hideMark/>
          </w:tcPr>
          <w:p w14:paraId="74BD975B"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-0.50***</w:t>
            </w:r>
          </w:p>
        </w:tc>
        <w:tc>
          <w:tcPr>
            <w:tcW w:w="0" w:type="auto"/>
            <w:tcBorders>
              <w:top w:val="nil"/>
              <w:left w:val="nil"/>
              <w:bottom w:val="single" w:sz="8" w:space="0" w:color="auto"/>
              <w:right w:val="nil"/>
            </w:tcBorders>
            <w:shd w:val="clear" w:color="auto" w:fill="auto"/>
            <w:noWrap/>
            <w:vAlign w:val="center"/>
            <w:hideMark/>
          </w:tcPr>
          <w:p w14:paraId="28646CD8"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-0.33***</w:t>
            </w:r>
          </w:p>
        </w:tc>
        <w:tc>
          <w:tcPr>
            <w:tcW w:w="0" w:type="auto"/>
            <w:tcBorders>
              <w:top w:val="nil"/>
              <w:left w:val="nil"/>
              <w:bottom w:val="single" w:sz="8" w:space="0" w:color="auto"/>
              <w:right w:val="nil"/>
            </w:tcBorders>
            <w:shd w:val="clear" w:color="auto" w:fill="auto"/>
            <w:noWrap/>
            <w:vAlign w:val="center"/>
            <w:hideMark/>
          </w:tcPr>
          <w:p w14:paraId="2FB05032"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0.02</w:t>
            </w:r>
          </w:p>
        </w:tc>
        <w:tc>
          <w:tcPr>
            <w:tcW w:w="0" w:type="auto"/>
            <w:tcBorders>
              <w:top w:val="nil"/>
              <w:left w:val="nil"/>
              <w:bottom w:val="single" w:sz="8" w:space="0" w:color="auto"/>
              <w:right w:val="nil"/>
            </w:tcBorders>
            <w:shd w:val="clear" w:color="auto" w:fill="auto"/>
            <w:noWrap/>
            <w:vAlign w:val="center"/>
            <w:hideMark/>
          </w:tcPr>
          <w:p w14:paraId="1A014AB5"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0.14</w:t>
            </w:r>
          </w:p>
        </w:tc>
        <w:tc>
          <w:tcPr>
            <w:tcW w:w="0" w:type="auto"/>
            <w:tcBorders>
              <w:top w:val="nil"/>
              <w:left w:val="nil"/>
              <w:bottom w:val="single" w:sz="8" w:space="0" w:color="auto"/>
              <w:right w:val="nil"/>
            </w:tcBorders>
            <w:shd w:val="clear" w:color="auto" w:fill="auto"/>
            <w:noWrap/>
            <w:vAlign w:val="center"/>
            <w:hideMark/>
          </w:tcPr>
          <w:p w14:paraId="3E9BD29A"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0.07</w:t>
            </w:r>
          </w:p>
        </w:tc>
        <w:tc>
          <w:tcPr>
            <w:tcW w:w="0" w:type="auto"/>
            <w:tcBorders>
              <w:top w:val="nil"/>
              <w:left w:val="nil"/>
              <w:bottom w:val="single" w:sz="8" w:space="0" w:color="auto"/>
              <w:right w:val="nil"/>
            </w:tcBorders>
            <w:shd w:val="clear" w:color="auto" w:fill="auto"/>
            <w:noWrap/>
            <w:vAlign w:val="center"/>
            <w:hideMark/>
          </w:tcPr>
          <w:p w14:paraId="7AEB3768"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0.23*</w:t>
            </w:r>
          </w:p>
        </w:tc>
        <w:tc>
          <w:tcPr>
            <w:tcW w:w="0" w:type="auto"/>
            <w:tcBorders>
              <w:top w:val="nil"/>
              <w:left w:val="nil"/>
              <w:bottom w:val="single" w:sz="8" w:space="0" w:color="auto"/>
              <w:right w:val="nil"/>
            </w:tcBorders>
            <w:shd w:val="clear" w:color="auto" w:fill="auto"/>
            <w:noWrap/>
            <w:vAlign w:val="center"/>
            <w:hideMark/>
          </w:tcPr>
          <w:p w14:paraId="2CB98C57"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0.25**</w:t>
            </w:r>
          </w:p>
        </w:tc>
        <w:tc>
          <w:tcPr>
            <w:tcW w:w="0" w:type="auto"/>
            <w:tcBorders>
              <w:top w:val="nil"/>
              <w:left w:val="nil"/>
              <w:bottom w:val="single" w:sz="8" w:space="0" w:color="auto"/>
              <w:right w:val="nil"/>
            </w:tcBorders>
            <w:shd w:val="clear" w:color="auto" w:fill="auto"/>
            <w:noWrap/>
            <w:vAlign w:val="center"/>
            <w:hideMark/>
          </w:tcPr>
          <w:p w14:paraId="6549AD4F"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-0.4***</w:t>
            </w:r>
          </w:p>
        </w:tc>
        <w:tc>
          <w:tcPr>
            <w:tcW w:w="0" w:type="auto"/>
            <w:tcBorders>
              <w:top w:val="nil"/>
              <w:left w:val="nil"/>
              <w:bottom w:val="single" w:sz="8" w:space="0" w:color="auto"/>
              <w:right w:val="nil"/>
            </w:tcBorders>
            <w:shd w:val="clear" w:color="auto" w:fill="auto"/>
            <w:noWrap/>
            <w:vAlign w:val="center"/>
            <w:hideMark/>
          </w:tcPr>
          <w:p w14:paraId="568AA962" w14:textId="77777777" w:rsidR="00EA7430" w:rsidRPr="00EA7430" w:rsidRDefault="00EA7430" w:rsidP="00EA7430">
            <w:pPr>
              <w:spacing w:before="0" w:after="0"/>
              <w:jc w:val="center"/>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0.1</w:t>
            </w:r>
          </w:p>
        </w:tc>
      </w:tr>
      <w:tr w:rsidR="00EA7430" w:rsidRPr="00EA7430" w14:paraId="10C4E179" w14:textId="77777777" w:rsidTr="00EA7430">
        <w:trPr>
          <w:trHeight w:val="300"/>
        </w:trPr>
        <w:tc>
          <w:tcPr>
            <w:tcW w:w="0" w:type="auto"/>
            <w:gridSpan w:val="11"/>
            <w:tcBorders>
              <w:top w:val="single" w:sz="4" w:space="0" w:color="auto"/>
              <w:left w:val="nil"/>
              <w:bottom w:val="nil"/>
              <w:right w:val="nil"/>
            </w:tcBorders>
            <w:shd w:val="clear" w:color="auto" w:fill="auto"/>
            <w:noWrap/>
            <w:vAlign w:val="center"/>
            <w:hideMark/>
          </w:tcPr>
          <w:p w14:paraId="730137C1" w14:textId="77777777" w:rsidR="00EA7430" w:rsidRPr="00EA7430" w:rsidRDefault="00EA7430" w:rsidP="00EA7430">
            <w:pPr>
              <w:spacing w:before="0" w:after="0"/>
              <w:rPr>
                <w:rFonts w:eastAsia="Times New Roman" w:cs="Calibri"/>
                <w:color w:val="000000"/>
                <w:sz w:val="20"/>
                <w:szCs w:val="20"/>
                <w:lang w:val="sr-Latn-RS" w:eastAsia="sr-Latn-RS"/>
              </w:rPr>
            </w:pPr>
            <w:r w:rsidRPr="00EA7430">
              <w:rPr>
                <w:rFonts w:eastAsia="Times New Roman" w:cs="Calibri"/>
                <w:color w:val="000000"/>
                <w:sz w:val="20"/>
                <w:szCs w:val="20"/>
                <w:lang w:val="sr-Latn-RS" w:eastAsia="sr-Latn-RS"/>
              </w:rPr>
              <w:t>NOTE: MTBF = Mean Time Between Failures; MP = Maintenance Policy; MAP = Maintenance Analysis Program; MPPM = Maintenance Personnel Per Machine; MDT = Maintenance Department Team; FAP = Failure Analysis Personnel; MA = Machine Age; FRT = Filter Replacement Time; CMT = Condition Monitoring Technology; TTOR = Time To Oil Replacement; TTCOC = Time To Complete Oil Change;. p-value &lt; .01***, p-value &lt; .05**; p-value &lt; .1*</w:t>
            </w:r>
          </w:p>
        </w:tc>
      </w:tr>
    </w:tbl>
    <w:p w14:paraId="5EC5B079" w14:textId="78F71DE4" w:rsidR="00484511" w:rsidRDefault="002348ED" w:rsidP="002348ED">
      <w:pPr>
        <w:rPr>
          <w:lang w:val="en-GB"/>
        </w:rPr>
      </w:pPr>
      <w:r w:rsidRPr="003C7F9C">
        <w:rPr>
          <w:lang w:val="en-GB"/>
        </w:rPr>
        <w:t xml:space="preserve">Displayed results show a low p-value of </w:t>
      </w:r>
      <w:r>
        <w:rPr>
          <w:lang w:val="en-GB"/>
        </w:rPr>
        <w:t>MA</w:t>
      </w:r>
      <w:r w:rsidRPr="003C7F9C">
        <w:rPr>
          <w:lang w:val="en-GB"/>
        </w:rPr>
        <w:t xml:space="preserve">, </w:t>
      </w:r>
      <w:r>
        <w:rPr>
          <w:lang w:val="en-GB"/>
        </w:rPr>
        <w:t>NWP, NWF, FRT, FAP, CMT</w:t>
      </w:r>
      <w:r w:rsidRPr="003C7F9C">
        <w:rPr>
          <w:lang w:val="en-GB"/>
        </w:rPr>
        <w:t>, and after running a</w:t>
      </w:r>
      <w:r w:rsidR="002368FF">
        <w:rPr>
          <w:lang w:val="en-GB"/>
        </w:rPr>
        <w:t xml:space="preserve"> Stepwise Multiple Regression (</w:t>
      </w:r>
      <w:r w:rsidRPr="003C7F9C">
        <w:rPr>
          <w:lang w:val="en-GB"/>
        </w:rPr>
        <w:t>SMR</w:t>
      </w:r>
      <w:r w:rsidR="002368FF">
        <w:rPr>
          <w:lang w:val="en-GB"/>
        </w:rPr>
        <w:t>)</w:t>
      </w:r>
      <w:r w:rsidRPr="003C7F9C">
        <w:rPr>
          <w:lang w:val="en-GB"/>
        </w:rPr>
        <w:t xml:space="preserve"> in MINITAB and using ANOVA, the coefficients show the </w:t>
      </w:r>
      <w:r w:rsidRPr="00124E1D">
        <w:rPr>
          <w:i/>
          <w:iCs/>
          <w:lang w:val="en-GB"/>
        </w:rPr>
        <w:t>p</w:t>
      </w:r>
      <w:r w:rsidRPr="003C7F9C">
        <w:rPr>
          <w:lang w:val="en-GB"/>
        </w:rPr>
        <w:t xml:space="preserve"> &gt; </w:t>
      </w:r>
      <w:r w:rsidR="00756E21">
        <w:rPr>
          <w:lang w:val="en-GB"/>
        </w:rPr>
        <w:t>0</w:t>
      </w:r>
      <w:r w:rsidRPr="003C7F9C">
        <w:rPr>
          <w:lang w:val="en-GB"/>
        </w:rPr>
        <w:t xml:space="preserve">.05 and are excluded from the modelling. Besides, </w:t>
      </w:r>
      <w:r>
        <w:rPr>
          <w:lang w:val="en-GB"/>
        </w:rPr>
        <w:t xml:space="preserve">a </w:t>
      </w:r>
      <w:r w:rsidRPr="003C7F9C">
        <w:rPr>
          <w:lang w:val="en-GB"/>
        </w:rPr>
        <w:t>Grubbs test</w:t>
      </w:r>
      <w:r>
        <w:rPr>
          <w:lang w:val="en-GB"/>
        </w:rPr>
        <w:t xml:space="preserve"> (</w:t>
      </w:r>
      <w:r w:rsidRPr="00DA3625">
        <w:rPr>
          <w:i/>
          <w:iCs/>
          <w:lang w:val="en-GB"/>
        </w:rPr>
        <w:t>G</w:t>
      </w:r>
      <w:r>
        <w:rPr>
          <w:lang w:val="en-GB"/>
        </w:rPr>
        <w:t xml:space="preserve"> = 2.77)</w:t>
      </w:r>
      <w:r w:rsidRPr="003C7F9C">
        <w:rPr>
          <w:lang w:val="en-GB"/>
        </w:rPr>
        <w:t xml:space="preserve"> </w:t>
      </w:r>
      <w:r>
        <w:rPr>
          <w:lang w:val="en-GB"/>
        </w:rPr>
        <w:t>showed no outliers (</w:t>
      </w:r>
      <w:r>
        <w:rPr>
          <w:i/>
          <w:iCs/>
          <w:lang w:val="en-GB"/>
        </w:rPr>
        <w:t>p</w:t>
      </w:r>
      <w:r>
        <w:rPr>
          <w:lang w:val="en-GB"/>
        </w:rPr>
        <w:t xml:space="preserve"> &lt; 0.05)</w:t>
      </w:r>
      <w:r w:rsidR="00E325BB">
        <w:rPr>
          <w:lang w:val="en-GB"/>
        </w:rPr>
        <w:t>,</w:t>
      </w:r>
      <w:r w:rsidRPr="003C7F9C">
        <w:rPr>
          <w:lang w:val="en-GB"/>
        </w:rPr>
        <w:t xml:space="preserve"> </w:t>
      </w:r>
      <w:r>
        <w:rPr>
          <w:lang w:val="en-GB"/>
        </w:rPr>
        <w:t xml:space="preserve">and a </w:t>
      </w:r>
      <w:r w:rsidRPr="003C7F9C">
        <w:rPr>
          <w:lang w:val="en-GB"/>
        </w:rPr>
        <w:t xml:space="preserve">scatter plot </w:t>
      </w:r>
      <w:r w:rsidR="007C7339">
        <w:rPr>
          <w:lang w:val="en-GB"/>
        </w:rPr>
        <w:t>wa</w:t>
      </w:r>
      <w:r>
        <w:rPr>
          <w:lang w:val="en-GB"/>
        </w:rPr>
        <w:t xml:space="preserve">s used </w:t>
      </w:r>
      <w:r w:rsidRPr="003C7F9C">
        <w:rPr>
          <w:lang w:val="en-GB"/>
        </w:rPr>
        <w:t>to check linearity.</w:t>
      </w:r>
    </w:p>
    <w:p w14:paraId="73D29896" w14:textId="16F67C4E" w:rsidR="002348ED" w:rsidRDefault="002348ED" w:rsidP="002348ED">
      <w:pPr>
        <w:rPr>
          <w:lang w:val="en-GB"/>
        </w:rPr>
      </w:pPr>
      <w:r w:rsidRPr="003C7F9C">
        <w:rPr>
          <w:lang w:val="en-GB"/>
        </w:rPr>
        <w:t>The second assumption is to check multivariate normality, i.e. errors of observed and predicted values are normally distributed (</w:t>
      </w:r>
      <w:r w:rsidR="00E325BB">
        <w:rPr>
          <w:lang w:val="en-GB"/>
        </w:rPr>
        <w:fldChar w:fldCharType="begin"/>
      </w:r>
      <w:r w:rsidR="00E325BB">
        <w:rPr>
          <w:lang w:val="en-GB"/>
        </w:rPr>
        <w:instrText xml:space="preserve"> REF _Ref92789585 \h </w:instrText>
      </w:r>
      <w:r w:rsidR="00E325BB">
        <w:rPr>
          <w:lang w:val="en-GB"/>
        </w:rPr>
      </w:r>
      <w:r w:rsidR="00E325BB">
        <w:rPr>
          <w:lang w:val="en-GB"/>
        </w:rPr>
        <w:fldChar w:fldCharType="separate"/>
      </w:r>
      <w:r w:rsidR="00587AF0">
        <w:t xml:space="preserve">Figure </w:t>
      </w:r>
      <w:r w:rsidR="00587AF0">
        <w:rPr>
          <w:noProof/>
        </w:rPr>
        <w:t>39</w:t>
      </w:r>
      <w:r w:rsidR="00E325BB">
        <w:rPr>
          <w:lang w:val="en-GB"/>
        </w:rPr>
        <w:fldChar w:fldCharType="end"/>
      </w:r>
      <w:r w:rsidRPr="003C7F9C">
        <w:rPr>
          <w:lang w:val="en-GB"/>
        </w:rPr>
        <w:t xml:space="preserve">). The third assumption is to check the absence of multicollinearity, proven with no coefficients between independent variables </w:t>
      </w:r>
      <w:r w:rsidRPr="00045363">
        <w:rPr>
          <w:i/>
          <w:iCs/>
          <w:lang w:val="en-GB"/>
        </w:rPr>
        <w:t>r &gt;</w:t>
      </w:r>
      <w:r w:rsidRPr="003C7F9C">
        <w:rPr>
          <w:lang w:val="en-GB"/>
        </w:rPr>
        <w:t xml:space="preserve"> </w:t>
      </w:r>
      <w:r w:rsidR="00756E21">
        <w:rPr>
          <w:lang w:val="en-GB"/>
        </w:rPr>
        <w:t>0</w:t>
      </w:r>
      <w:r w:rsidRPr="003C7F9C">
        <w:rPr>
          <w:lang w:val="en-GB"/>
        </w:rPr>
        <w:t xml:space="preserve">.80. The final </w:t>
      </w:r>
      <w:r>
        <w:rPr>
          <w:lang w:val="en-GB"/>
        </w:rPr>
        <w:t xml:space="preserve">proposition for validating </w:t>
      </w:r>
      <w:r w:rsidR="00E325BB">
        <w:rPr>
          <w:lang w:val="en-GB"/>
        </w:rPr>
        <w:t xml:space="preserve">the </w:t>
      </w:r>
      <w:r>
        <w:rPr>
          <w:lang w:val="en-GB"/>
        </w:rPr>
        <w:t xml:space="preserve">regression model is </w:t>
      </w:r>
      <w:r w:rsidRPr="003C7F9C">
        <w:rPr>
          <w:lang w:val="en-GB"/>
        </w:rPr>
        <w:t xml:space="preserve">to check </w:t>
      </w:r>
      <w:r>
        <w:rPr>
          <w:lang w:val="en-GB"/>
        </w:rPr>
        <w:t>the presence of</w:t>
      </w:r>
      <w:r w:rsidRPr="003C7F9C">
        <w:rPr>
          <w:lang w:val="en-GB"/>
        </w:rPr>
        <w:t xml:space="preserve"> heteroscedasticity in the data</w:t>
      </w:r>
      <w:r w:rsidR="00D346FE">
        <w:rPr>
          <w:lang w:val="en-GB"/>
        </w:rPr>
        <w:t>, and t</w:t>
      </w:r>
      <w:r w:rsidRPr="003C7F9C">
        <w:rPr>
          <w:lang w:val="en-GB"/>
        </w:rPr>
        <w:t>he model’s linearity suggests homoscedastic</w:t>
      </w:r>
      <w:r w:rsidR="00D346FE">
        <w:rPr>
          <w:lang w:val="en-GB"/>
        </w:rPr>
        <w:t>ity</w:t>
      </w:r>
      <w:r w:rsidRPr="003C7F9C">
        <w:rPr>
          <w:lang w:val="en-GB"/>
        </w:rPr>
        <w:t xml:space="preserve"> (</w:t>
      </w:r>
      <w:r>
        <w:rPr>
          <w:lang w:val="en-GB"/>
        </w:rPr>
        <w:fldChar w:fldCharType="begin"/>
      </w:r>
      <w:r>
        <w:rPr>
          <w:lang w:val="en-GB"/>
        </w:rPr>
        <w:instrText xml:space="preserve"> REF _Ref92789585 \h </w:instrText>
      </w:r>
      <w:r>
        <w:rPr>
          <w:lang w:val="en-GB"/>
        </w:rPr>
      </w:r>
      <w:r>
        <w:rPr>
          <w:lang w:val="en-GB"/>
        </w:rPr>
        <w:fldChar w:fldCharType="separate"/>
      </w:r>
      <w:r w:rsidR="00587AF0">
        <w:t xml:space="preserve">Figure </w:t>
      </w:r>
      <w:r w:rsidR="00587AF0">
        <w:rPr>
          <w:noProof/>
        </w:rPr>
        <w:t>39</w:t>
      </w:r>
      <w:r>
        <w:rPr>
          <w:lang w:val="en-GB"/>
        </w:rPr>
        <w:fldChar w:fldCharType="end"/>
      </w:r>
      <w:r w:rsidRPr="003C7F9C">
        <w:rPr>
          <w:lang w:val="en-GB"/>
        </w:rPr>
        <w:t>).</w:t>
      </w:r>
    </w:p>
    <w:p w14:paraId="7134ABB9" w14:textId="77777777" w:rsidR="002348ED" w:rsidRDefault="002348ED" w:rsidP="002348ED">
      <w:pPr>
        <w:keepNext/>
        <w:jc w:val="center"/>
      </w:pPr>
      <w:r w:rsidRPr="00D74B25">
        <w:rPr>
          <w:noProof/>
          <w:lang w:val="en-GB"/>
        </w:rPr>
        <w:lastRenderedPageBreak/>
        <w:drawing>
          <wp:inline distT="0" distB="0" distL="0" distR="0" wp14:anchorId="64563AF2" wp14:editId="77036A23">
            <wp:extent cx="5486400" cy="3657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0CACD484" w14:textId="16354DC0" w:rsidR="002348ED" w:rsidRDefault="002348ED" w:rsidP="002348ED">
      <w:pPr>
        <w:pStyle w:val="Caption"/>
        <w:rPr>
          <w:lang w:val="en-GB"/>
        </w:rPr>
      </w:pPr>
      <w:bookmarkStart w:id="353" w:name="_Ref92789585"/>
      <w:bookmarkStart w:id="354" w:name="_Toc101274561"/>
      <w:r>
        <w:t xml:space="preserve">Figure </w:t>
      </w:r>
      <w:fldSimple w:instr=" SEQ Figure \* ARABIC ">
        <w:r w:rsidR="00587AF0">
          <w:rPr>
            <w:noProof/>
          </w:rPr>
          <w:t>39</w:t>
        </w:r>
      </w:fldSimple>
      <w:bookmarkEnd w:id="353"/>
      <w:r>
        <w:t>. Residual plot analysis for MTBF</w:t>
      </w:r>
      <w:bookmarkEnd w:id="354"/>
    </w:p>
    <w:p w14:paraId="5D618C9D" w14:textId="6E769EAB" w:rsidR="002348ED" w:rsidRDefault="002348ED" w:rsidP="009B3AB0">
      <w:pPr>
        <w:spacing w:after="0"/>
        <w:rPr>
          <w:lang w:val="en-GB"/>
        </w:rPr>
      </w:pPr>
      <w:r>
        <w:rPr>
          <w:lang w:val="en-GB"/>
        </w:rPr>
        <w:t xml:space="preserve">Confirming </w:t>
      </w:r>
      <w:r w:rsidR="007C7339">
        <w:rPr>
          <w:lang w:val="en-GB"/>
        </w:rPr>
        <w:t xml:space="preserve">the </w:t>
      </w:r>
      <w:r>
        <w:rPr>
          <w:lang w:val="en-GB"/>
        </w:rPr>
        <w:t>linearity assumption</w:t>
      </w:r>
      <w:r w:rsidR="001B18BE">
        <w:rPr>
          <w:lang w:val="en-GB"/>
        </w:rPr>
        <w:t>,</w:t>
      </w:r>
      <w:r>
        <w:rPr>
          <w:lang w:val="en-GB"/>
        </w:rPr>
        <w:t xml:space="preserve"> a general MLR analysis model is formulated as:</w:t>
      </w:r>
    </w:p>
    <w:tbl>
      <w:tblPr>
        <w:tblpPr w:leftFromText="180" w:rightFromText="180" w:vertAnchor="text" w:horzAnchor="margin" w:tblpY="234"/>
        <w:tblW w:w="9130" w:type="dxa"/>
        <w:tblCellMar>
          <w:left w:w="70" w:type="dxa"/>
          <w:right w:w="70" w:type="dxa"/>
        </w:tblCellMar>
        <w:tblLook w:val="04A0" w:firstRow="1" w:lastRow="0" w:firstColumn="1" w:lastColumn="0" w:noHBand="0" w:noVBand="1"/>
      </w:tblPr>
      <w:tblGrid>
        <w:gridCol w:w="8250"/>
        <w:gridCol w:w="880"/>
      </w:tblGrid>
      <w:tr w:rsidR="002348ED" w14:paraId="48C3CC70" w14:textId="77777777" w:rsidTr="00FF4E21">
        <w:tc>
          <w:tcPr>
            <w:tcW w:w="8250" w:type="dxa"/>
          </w:tcPr>
          <w:p w14:paraId="025C59E0" w14:textId="77777777" w:rsidR="002348ED" w:rsidRPr="00D021DD" w:rsidRDefault="002348ED" w:rsidP="00FF4E21">
            <w:pPr>
              <w:rPr>
                <w:rFonts w:ascii="Cambria Math" w:hAnsi="Cambria Math"/>
                <w:i/>
              </w:rPr>
            </w:pPr>
            <m:oMathPara>
              <m:oMath>
                <m:r>
                  <w:rPr>
                    <w:rFonts w:ascii="Cambria Math" w:hAnsi="Cambria Math"/>
                  </w:rPr>
                  <m:t>y=</m:t>
                </m:r>
                <m:sSub>
                  <m:sSubPr>
                    <m:ctrlPr>
                      <w:rPr>
                        <w:rFonts w:ascii="Cambria Math" w:hAnsi="Cambria Math"/>
                        <w:i/>
                      </w:rPr>
                    </m:ctrlPr>
                  </m:sSubPr>
                  <m:e>
                    <m: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n</m:t>
                    </m:r>
                  </m:sub>
                </m:sSub>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+ε ,</m:t>
                </m:r>
              </m:oMath>
            </m:oMathPara>
          </w:p>
        </w:tc>
        <w:tc>
          <w:tcPr>
            <w:tcW w:w="880" w:type="dxa"/>
            <w:vAlign w:val="center"/>
          </w:tcPr>
          <w:p w14:paraId="2BF09D00" w14:textId="6DF9CF5E" w:rsidR="002348ED" w:rsidRDefault="002348ED" w:rsidP="00FF4E21">
            <w:pPr>
              <w:jc w:val="right"/>
            </w:pPr>
            <w:r>
              <w:t>(</w:t>
            </w:r>
            <w:r w:rsidR="00427B33">
              <w:fldChar w:fldCharType="begin"/>
            </w:r>
            <w:r w:rsidR="00427B33">
              <w:instrText xml:space="preserve"> STYLEREF 1 \s </w:instrText>
            </w:r>
            <w:r w:rsidR="00427B33">
              <w:fldChar w:fldCharType="separate"/>
            </w:r>
            <w:r w:rsidR="00587AF0">
              <w:rPr>
                <w:noProof/>
              </w:rPr>
              <w:t>5</w:t>
            </w:r>
            <w:r w:rsidR="00427B33">
              <w:rPr>
                <w:noProof/>
              </w:rPr>
              <w:fldChar w:fldCharType="end"/>
            </w:r>
            <w:r w:rsidR="002C693A">
              <w:t>.</w:t>
            </w:r>
            <w:r w:rsidR="00427B33">
              <w:fldChar w:fldCharType="begin"/>
            </w:r>
            <w:r w:rsidR="00427B33">
              <w:instrText xml:space="preserve"> SEQ Equation \* ARABIC \s 1 </w:instrText>
            </w:r>
            <w:r w:rsidR="00427B33">
              <w:fldChar w:fldCharType="separate"/>
            </w:r>
            <w:r w:rsidR="00587AF0">
              <w:rPr>
                <w:noProof/>
              </w:rPr>
              <w:t>2</w:t>
            </w:r>
            <w:r w:rsidR="00427B33">
              <w:rPr>
                <w:noProof/>
              </w:rPr>
              <w:fldChar w:fldCharType="end"/>
            </w:r>
            <w:r>
              <w:t>)</w:t>
            </w:r>
          </w:p>
        </w:tc>
      </w:tr>
    </w:tbl>
    <w:p w14:paraId="1A86C174" w14:textId="102FBBE1" w:rsidR="002348ED" w:rsidRDefault="001B18BE" w:rsidP="007A2242">
      <w:pPr>
        <w:spacing w:after="0"/>
        <w:rPr>
          <w:lang w:val="en-GB"/>
        </w:rPr>
      </w:pPr>
      <w:r>
        <w:rPr>
          <w:lang w:val="en-GB"/>
        </w:rPr>
        <w:t>W</w:t>
      </w:r>
      <w:r w:rsidR="002348ED">
        <w:rPr>
          <w:lang w:val="en-GB"/>
        </w:rPr>
        <w:t xml:space="preserve">here </w:t>
      </w:r>
      <w:r w:rsidR="002348ED" w:rsidRPr="00125DD7">
        <w:rPr>
          <w:i/>
          <w:iCs/>
          <w:lang w:val="en-GB"/>
        </w:rPr>
        <w:t>y</w:t>
      </w:r>
      <w:r w:rsidR="002348ED">
        <w:rPr>
          <w:i/>
          <w:iCs/>
          <w:lang w:val="en-GB"/>
        </w:rPr>
        <w:t xml:space="preserve"> </w:t>
      </w:r>
      <w:r w:rsidR="002348ED">
        <w:rPr>
          <w:lang w:val="en-GB"/>
        </w:rPr>
        <w:t xml:space="preserve">is </w:t>
      </w:r>
      <w:r>
        <w:rPr>
          <w:lang w:val="en-GB"/>
        </w:rPr>
        <w:t xml:space="preserve">an </w:t>
      </w:r>
      <w:r w:rsidR="002348ED">
        <w:rPr>
          <w:lang w:val="en-GB"/>
        </w:rPr>
        <w:t>independent variable,</w:t>
      </w:r>
      <w:r w:rsidR="002348ED" w:rsidRPr="00125DD7">
        <w:rPr>
          <w:lang w:val="sr-Latn-RS"/>
        </w:rPr>
        <w:t xml:space="preserve"> </w:t>
      </w:r>
      <w:r w:rsidR="002348ED">
        <w:rPr>
          <w:i/>
          <w:iCs/>
          <w:lang w:val="sr-Latn-RS"/>
        </w:rPr>
        <w:t>β</w:t>
      </w:r>
      <w:r w:rsidR="002348ED">
        <w:rPr>
          <w:i/>
          <w:iCs/>
          <w:vertAlign w:val="subscript"/>
          <w:lang w:val="sr-Latn-RS"/>
        </w:rPr>
        <w:t>0</w:t>
      </w:r>
      <w:r w:rsidR="002348ED">
        <w:rPr>
          <w:lang w:val="sr-Latn-RS"/>
        </w:rPr>
        <w:t xml:space="preserve"> is </w:t>
      </w:r>
      <w:r>
        <w:rPr>
          <w:lang w:val="sr-Latn-RS"/>
        </w:rPr>
        <w:t xml:space="preserve">the </w:t>
      </w:r>
      <w:r w:rsidR="002348ED">
        <w:rPr>
          <w:lang w:val="sr-Latn-RS"/>
        </w:rPr>
        <w:t xml:space="preserve">intercept, </w:t>
      </w:r>
      <w:r w:rsidR="002348ED">
        <w:rPr>
          <w:i/>
          <w:iCs/>
          <w:lang w:val="sr-Latn-RS"/>
        </w:rPr>
        <w:t>β</w:t>
      </w:r>
      <w:r w:rsidR="002348ED">
        <w:rPr>
          <w:i/>
          <w:iCs/>
          <w:vertAlign w:val="subscript"/>
          <w:lang w:val="sr-Latn-RS"/>
        </w:rPr>
        <w:t>i</w:t>
      </w:r>
      <w:r w:rsidR="002348ED">
        <w:rPr>
          <w:lang w:val="sr-Latn-RS"/>
        </w:rPr>
        <w:t xml:space="preserve"> </w:t>
      </w:r>
      <w:r w:rsidR="002368FF">
        <w:rPr>
          <w:lang w:val="sr-Latn-RS"/>
        </w:rPr>
        <w:t xml:space="preserve">are </w:t>
      </w:r>
      <w:r w:rsidR="002348ED">
        <w:rPr>
          <w:lang w:val="sr-Latn-RS"/>
        </w:rPr>
        <w:t>coefficient</w:t>
      </w:r>
      <w:r w:rsidR="002368FF">
        <w:rPr>
          <w:lang w:val="sr-Latn-RS"/>
        </w:rPr>
        <w:t>s</w:t>
      </w:r>
      <w:r w:rsidR="002348ED">
        <w:rPr>
          <w:lang w:val="sr-Latn-RS"/>
        </w:rPr>
        <w:t>,</w:t>
      </w:r>
      <w:r w:rsidR="002348ED" w:rsidRPr="00125DD7">
        <w:rPr>
          <w:i/>
          <w:iCs/>
          <w:lang w:val="sr-Latn-RS"/>
        </w:rPr>
        <w:t xml:space="preserve"> </w:t>
      </w:r>
      <w:r w:rsidR="002348ED">
        <w:rPr>
          <w:i/>
          <w:iCs/>
          <w:lang w:val="sr-Latn-RS"/>
        </w:rPr>
        <w:t>x</w:t>
      </w:r>
      <w:r w:rsidR="002348ED">
        <w:rPr>
          <w:i/>
          <w:iCs/>
          <w:vertAlign w:val="subscript"/>
          <w:lang w:val="sr-Latn-RS"/>
        </w:rPr>
        <w:t>i</w:t>
      </w:r>
      <w:r w:rsidR="002348ED">
        <w:rPr>
          <w:lang w:val="sr-Latn-RS"/>
        </w:rPr>
        <w:t xml:space="preserve"> </w:t>
      </w:r>
      <w:r w:rsidR="002368FF">
        <w:rPr>
          <w:lang w:val="sr-Latn-RS"/>
        </w:rPr>
        <w:t xml:space="preserve">is the </w:t>
      </w:r>
      <w:r w:rsidR="002348ED">
        <w:rPr>
          <w:lang w:val="sr-Latn-RS"/>
        </w:rPr>
        <w:t>associated dependent variable</w:t>
      </w:r>
      <w:r w:rsidR="002368FF">
        <w:rPr>
          <w:lang w:val="sr-Latn-RS"/>
        </w:rPr>
        <w:t xml:space="preserve"> with</w:t>
      </w:r>
      <w:r w:rsidR="002348ED">
        <w:rPr>
          <w:lang w:val="en-GB"/>
        </w:rPr>
        <w:t xml:space="preserve"> error ε </w:t>
      </w:r>
      <w:r w:rsidR="002348ED">
        <w:rPr>
          <w:lang w:val="sr-Latn-RS"/>
        </w:rPr>
        <w:t xml:space="preserve">~ </w:t>
      </w:r>
      <w:r w:rsidR="002348ED">
        <w:rPr>
          <w:i/>
          <w:iCs/>
          <w:lang w:val="sr-Latn-RS"/>
        </w:rPr>
        <w:t>N</w:t>
      </w:r>
      <w:r w:rsidR="002348ED">
        <w:rPr>
          <w:lang w:val="sr-Latn-RS"/>
        </w:rPr>
        <w:t>( μ, σ</w:t>
      </w:r>
      <w:r w:rsidR="002348ED">
        <w:rPr>
          <w:vertAlign w:val="superscript"/>
          <w:lang w:val="sr-Latn-RS"/>
        </w:rPr>
        <w:t xml:space="preserve">2 </w:t>
      </w:r>
      <w:r w:rsidR="002348ED">
        <w:rPr>
          <w:lang w:val="sr-Latn-RS"/>
        </w:rPr>
        <w:t xml:space="preserve">). </w:t>
      </w:r>
      <w:r w:rsidR="002348ED">
        <w:rPr>
          <w:lang w:val="en-GB"/>
        </w:rPr>
        <w:t>Replacing with MTBF model target function, we get:</w:t>
      </w:r>
    </w:p>
    <w:tbl>
      <w:tblPr>
        <w:tblpPr w:leftFromText="180" w:rightFromText="180" w:vertAnchor="text" w:horzAnchor="margin" w:tblpY="234"/>
        <w:tblW w:w="9130" w:type="dxa"/>
        <w:tblCellMar>
          <w:left w:w="70" w:type="dxa"/>
          <w:right w:w="70" w:type="dxa"/>
        </w:tblCellMar>
        <w:tblLook w:val="04A0" w:firstRow="1" w:lastRow="0" w:firstColumn="1" w:lastColumn="0" w:noHBand="0" w:noVBand="1"/>
      </w:tblPr>
      <w:tblGrid>
        <w:gridCol w:w="8250"/>
        <w:gridCol w:w="880"/>
      </w:tblGrid>
      <w:tr w:rsidR="002348ED" w14:paraId="7D8DA424" w14:textId="77777777" w:rsidTr="00FF4E21">
        <w:tc>
          <w:tcPr>
            <w:tcW w:w="8250" w:type="dxa"/>
          </w:tcPr>
          <w:p w14:paraId="3EB82DAC" w14:textId="210C7EEC" w:rsidR="002348ED" w:rsidRPr="00D021DD" w:rsidRDefault="002348ED" w:rsidP="00C56D9F">
            <w:pPr>
              <w:jc w:val="center"/>
              <w:rPr>
                <w:rFonts w:ascii="Cambria Math" w:hAnsi="Cambria Math"/>
                <w:i/>
              </w:rPr>
            </w:pPr>
            <m:oMath>
              <m:r>
                <w:rPr>
                  <w:rFonts w:ascii="Cambria Math" w:hAnsi="Cambria Math"/>
                  <w:sz w:val="22"/>
                  <w:szCs w:val="20"/>
                </w:rPr>
                <m:t>MTBF=1224-0.079 FRT-0.76 MA+0.443 TTOR-1.578 NWP-1.063 NWF+MP+MAP+FAP+CMT</m:t>
              </m:r>
            </m:oMath>
            <w:r w:rsidR="00C56D9F" w:rsidRPr="00BC4998">
              <w:rPr>
                <w:rFonts w:ascii="Cambria Math" w:eastAsiaTheme="minorEastAsia" w:hAnsi="Cambria Math"/>
                <w:i/>
                <w:sz w:val="28"/>
                <w:szCs w:val="24"/>
              </w:rPr>
              <w:t xml:space="preserve"> </w:t>
            </w:r>
            <w:r w:rsidR="00C56D9F">
              <w:rPr>
                <w:rFonts w:ascii="Cambria Math" w:eastAsiaTheme="minorEastAsia" w:hAnsi="Cambria Math"/>
                <w:i/>
              </w:rPr>
              <w:t>.</w:t>
            </w:r>
          </w:p>
        </w:tc>
        <w:tc>
          <w:tcPr>
            <w:tcW w:w="880" w:type="dxa"/>
            <w:vAlign w:val="center"/>
          </w:tcPr>
          <w:p w14:paraId="3ABCF19B" w14:textId="2C682AA2" w:rsidR="002348ED" w:rsidRDefault="002348ED" w:rsidP="00FF4E21">
            <w:pPr>
              <w:jc w:val="right"/>
            </w:pPr>
            <w:r>
              <w:t>(</w:t>
            </w:r>
            <w:r w:rsidR="00427B33">
              <w:fldChar w:fldCharType="begin"/>
            </w:r>
            <w:r w:rsidR="00427B33">
              <w:instrText xml:space="preserve"> STYLEREF 1 \s </w:instrText>
            </w:r>
            <w:r w:rsidR="00427B33">
              <w:fldChar w:fldCharType="separate"/>
            </w:r>
            <w:r w:rsidR="00587AF0">
              <w:rPr>
                <w:noProof/>
              </w:rPr>
              <w:t>5</w:t>
            </w:r>
            <w:r w:rsidR="00427B33">
              <w:rPr>
                <w:noProof/>
              </w:rPr>
              <w:fldChar w:fldCharType="end"/>
            </w:r>
            <w:r w:rsidR="002C693A">
              <w:t>.</w:t>
            </w:r>
            <w:r w:rsidR="00427B33">
              <w:fldChar w:fldCharType="begin"/>
            </w:r>
            <w:r w:rsidR="00427B33">
              <w:instrText xml:space="preserve"> SEQ Equation \* ARABIC \s 1 </w:instrText>
            </w:r>
            <w:r w:rsidR="00427B33">
              <w:fldChar w:fldCharType="separate"/>
            </w:r>
            <w:r w:rsidR="00587AF0">
              <w:rPr>
                <w:noProof/>
              </w:rPr>
              <w:t>3</w:t>
            </w:r>
            <w:r w:rsidR="00427B33">
              <w:rPr>
                <w:noProof/>
              </w:rPr>
              <w:fldChar w:fldCharType="end"/>
            </w:r>
            <w:r>
              <w:t>)</w:t>
            </w:r>
          </w:p>
        </w:tc>
      </w:tr>
    </w:tbl>
    <w:p w14:paraId="3DDEFB4E" w14:textId="77777777" w:rsidR="002348ED" w:rsidRDefault="002348ED" w:rsidP="002348ED">
      <w:pPr>
        <w:rPr>
          <w:i/>
          <w:iCs/>
          <w:lang w:val="en-GB"/>
        </w:rPr>
      </w:pPr>
      <w:r>
        <w:rPr>
          <w:lang w:val="en-GB"/>
        </w:rPr>
        <w:t xml:space="preserve">Since categorical variables like MP, MAP, FAP and CMT are used, dummy values are used for modelling (0, 1). The resulting model shows somewhat average prediction properties of </w:t>
      </w:r>
      <w:r>
        <w:rPr>
          <w:i/>
          <w:iCs/>
          <w:lang w:val="en-GB"/>
        </w:rPr>
        <w:t>R</w:t>
      </w:r>
      <w:r>
        <w:rPr>
          <w:i/>
          <w:iCs/>
          <w:vertAlign w:val="superscript"/>
          <w:lang w:val="en-GB"/>
        </w:rPr>
        <w:t>2</w:t>
      </w:r>
      <w:r>
        <w:rPr>
          <w:i/>
          <w:iCs/>
          <w:lang w:val="en-GB"/>
        </w:rPr>
        <w:t xml:space="preserve"> = 60%.</w:t>
      </w:r>
    </w:p>
    <w:p w14:paraId="2E5BAD7D" w14:textId="2B8BE34A" w:rsidR="002348ED" w:rsidRPr="002B4D9D" w:rsidRDefault="002348ED" w:rsidP="002348ED">
      <w:pPr>
        <w:pStyle w:val="Caption"/>
        <w:jc w:val="left"/>
        <w:rPr>
          <w:rFonts w:ascii="CIDFont+F4" w:eastAsia="CIDFont+F4" w:hAnsiTheme="minorHAnsi" w:cs="CIDFont+F4"/>
          <w:sz w:val="17"/>
          <w:szCs w:val="17"/>
          <w:lang w:val="sr-Latn-RS"/>
        </w:rPr>
      </w:pPr>
      <w:bookmarkStart w:id="355" w:name="_Toc101274454"/>
      <w:r>
        <w:t xml:space="preserve">Table </w:t>
      </w:r>
      <w:fldSimple w:instr=" SEQ Table \* ARABIC ">
        <w:r w:rsidR="00587AF0">
          <w:rPr>
            <w:noProof/>
          </w:rPr>
          <w:t>14</w:t>
        </w:r>
      </w:fldSimple>
      <w:r>
        <w:t xml:space="preserve">. Resulting </w:t>
      </w:r>
      <w:r>
        <w:rPr>
          <w:i/>
          <w:iCs w:val="0"/>
        </w:rPr>
        <w:t>R</w:t>
      </w:r>
      <w:r>
        <w:rPr>
          <w:vertAlign w:val="superscript"/>
        </w:rPr>
        <w:t>2</w:t>
      </w:r>
      <w:r>
        <w:t xml:space="preserve"> values for </w:t>
      </w:r>
      <w:r w:rsidR="001B18BE">
        <w:t xml:space="preserve">the </w:t>
      </w:r>
      <w:r>
        <w:t>proposed MTBF linear function model</w:t>
      </w:r>
      <w:bookmarkEnd w:id="355"/>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530"/>
        <w:gridCol w:w="1978"/>
        <w:gridCol w:w="2254"/>
        <w:gridCol w:w="2255"/>
      </w:tblGrid>
      <w:tr w:rsidR="002348ED" w:rsidRPr="002C2B83" w14:paraId="4F88AA42" w14:textId="77777777" w:rsidTr="009755CD">
        <w:tc>
          <w:tcPr>
            <w:tcW w:w="2530" w:type="dxa"/>
            <w:tcBorders>
              <w:bottom w:val="single" w:sz="4" w:space="0" w:color="auto"/>
            </w:tcBorders>
          </w:tcPr>
          <w:p w14:paraId="0E1B5933" w14:textId="77777777" w:rsidR="002348ED" w:rsidRPr="002C2B83" w:rsidRDefault="002348ED" w:rsidP="00FF4E21">
            <w:pPr>
              <w:spacing w:before="0" w:after="0"/>
              <w:jc w:val="center"/>
              <w:rPr>
                <w:rFonts w:eastAsia="CIDFont+F4" w:cs="CIDFont+F4"/>
                <w:b/>
                <w:bCs/>
                <w:i/>
                <w:iCs/>
                <w:sz w:val="20"/>
                <w:szCs w:val="20"/>
                <w:lang w:val="sr-Latn-RS"/>
              </w:rPr>
            </w:pPr>
            <w:r w:rsidRPr="002C2B83">
              <w:rPr>
                <w:rFonts w:eastAsia="CIDFont+F4" w:cs="CIDFont+F4"/>
                <w:b/>
                <w:bCs/>
                <w:i/>
                <w:iCs/>
                <w:sz w:val="20"/>
                <w:szCs w:val="20"/>
                <w:lang w:val="sr-Latn-RS"/>
              </w:rPr>
              <w:t>Model</w:t>
            </w:r>
          </w:p>
        </w:tc>
        <w:tc>
          <w:tcPr>
            <w:tcW w:w="1978" w:type="dxa"/>
            <w:tcBorders>
              <w:bottom w:val="single" w:sz="4" w:space="0" w:color="auto"/>
            </w:tcBorders>
          </w:tcPr>
          <w:p w14:paraId="4A39A343" w14:textId="77777777" w:rsidR="002348ED" w:rsidRPr="002C2B83" w:rsidRDefault="002348ED" w:rsidP="00FF4E21">
            <w:pPr>
              <w:spacing w:before="0" w:after="0"/>
              <w:jc w:val="center"/>
              <w:rPr>
                <w:rFonts w:eastAsia="CIDFont+F4" w:cs="CIDFont+F4"/>
                <w:b/>
                <w:bCs/>
                <w:i/>
                <w:iCs/>
                <w:sz w:val="20"/>
                <w:szCs w:val="20"/>
                <w:lang w:val="sr-Latn-RS"/>
              </w:rPr>
            </w:pPr>
            <w:r w:rsidRPr="002C2B83">
              <w:rPr>
                <w:rFonts w:eastAsia="CIDFont+F4" w:cs="CIDFont+F4"/>
                <w:b/>
                <w:bCs/>
                <w:i/>
                <w:iCs/>
                <w:sz w:val="20"/>
                <w:szCs w:val="20"/>
                <w:lang w:val="sr-Latn-RS"/>
              </w:rPr>
              <w:t>S</w:t>
            </w:r>
          </w:p>
        </w:tc>
        <w:tc>
          <w:tcPr>
            <w:tcW w:w="2254" w:type="dxa"/>
            <w:tcBorders>
              <w:bottom w:val="single" w:sz="4" w:space="0" w:color="auto"/>
            </w:tcBorders>
          </w:tcPr>
          <w:p w14:paraId="203921DA" w14:textId="77777777" w:rsidR="002348ED" w:rsidRPr="002C2B83" w:rsidRDefault="002348ED" w:rsidP="00FF4E21">
            <w:pPr>
              <w:spacing w:before="0" w:after="0"/>
              <w:jc w:val="center"/>
              <w:rPr>
                <w:rFonts w:eastAsia="CIDFont+F4" w:cs="CIDFont+F4"/>
                <w:b/>
                <w:bCs/>
                <w:i/>
                <w:iCs/>
                <w:sz w:val="20"/>
                <w:szCs w:val="20"/>
                <w:lang w:val="sr-Latn-RS"/>
              </w:rPr>
            </w:pPr>
            <w:r w:rsidRPr="002C2B83">
              <w:rPr>
                <w:rFonts w:eastAsia="CIDFont+F4" w:cs="CIDFont+F4"/>
                <w:b/>
                <w:bCs/>
                <w:i/>
                <w:iCs/>
                <w:sz w:val="20"/>
                <w:szCs w:val="20"/>
                <w:lang w:val="sr-Latn-RS"/>
              </w:rPr>
              <w:t>R</w:t>
            </w:r>
            <w:r w:rsidRPr="002C2B83">
              <w:rPr>
                <w:rFonts w:eastAsia="CIDFont+F4" w:cs="CIDFont+F4"/>
                <w:b/>
                <w:bCs/>
                <w:i/>
                <w:iCs/>
                <w:sz w:val="20"/>
                <w:szCs w:val="20"/>
                <w:vertAlign w:val="superscript"/>
                <w:lang w:val="sr-Latn-RS"/>
              </w:rPr>
              <w:t>2</w:t>
            </w:r>
          </w:p>
        </w:tc>
        <w:tc>
          <w:tcPr>
            <w:tcW w:w="2255" w:type="dxa"/>
            <w:tcBorders>
              <w:bottom w:val="single" w:sz="4" w:space="0" w:color="auto"/>
            </w:tcBorders>
          </w:tcPr>
          <w:p w14:paraId="4AD459DF" w14:textId="77777777" w:rsidR="002348ED" w:rsidRPr="002C2B83" w:rsidRDefault="002348ED" w:rsidP="00FF4E21">
            <w:pPr>
              <w:spacing w:before="0" w:after="0"/>
              <w:jc w:val="center"/>
              <w:rPr>
                <w:rFonts w:eastAsia="CIDFont+F4" w:cs="CIDFont+F4"/>
                <w:b/>
                <w:bCs/>
                <w:i/>
                <w:iCs/>
                <w:sz w:val="20"/>
                <w:szCs w:val="20"/>
                <w:lang w:val="sr-Latn-RS"/>
              </w:rPr>
            </w:pPr>
            <w:r w:rsidRPr="002C2B83">
              <w:rPr>
                <w:rFonts w:eastAsia="CIDFont+F4" w:cs="CIDFont+F4"/>
                <w:b/>
                <w:bCs/>
                <w:i/>
                <w:iCs/>
                <w:sz w:val="20"/>
                <w:szCs w:val="20"/>
                <w:lang w:val="sr-Latn-RS"/>
              </w:rPr>
              <w:t>R</w:t>
            </w:r>
            <w:r w:rsidRPr="002C2B83">
              <w:rPr>
                <w:rFonts w:eastAsia="CIDFont+F4" w:cs="CIDFont+F4"/>
                <w:b/>
                <w:bCs/>
                <w:i/>
                <w:iCs/>
                <w:sz w:val="20"/>
                <w:szCs w:val="20"/>
                <w:vertAlign w:val="superscript"/>
                <w:lang w:val="sr-Latn-RS"/>
              </w:rPr>
              <w:t>2</w:t>
            </w:r>
            <w:r w:rsidRPr="002C2B83">
              <w:rPr>
                <w:rFonts w:eastAsia="CIDFont+F4" w:cs="CIDFont+F4"/>
                <w:b/>
                <w:bCs/>
                <w:i/>
                <w:iCs/>
                <w:sz w:val="20"/>
                <w:szCs w:val="20"/>
                <w:vertAlign w:val="subscript"/>
                <w:lang w:val="sr-Latn-RS"/>
              </w:rPr>
              <w:t>adj</w:t>
            </w:r>
          </w:p>
        </w:tc>
      </w:tr>
      <w:tr w:rsidR="002348ED" w:rsidRPr="002C2B83" w14:paraId="2B75B87D" w14:textId="77777777" w:rsidTr="009755CD">
        <w:tc>
          <w:tcPr>
            <w:tcW w:w="2530" w:type="dxa"/>
            <w:tcBorders>
              <w:bottom w:val="nil"/>
              <w:right w:val="nil"/>
            </w:tcBorders>
          </w:tcPr>
          <w:p w14:paraId="48F8958B" w14:textId="77777777" w:rsidR="002348ED" w:rsidRPr="002C2B83" w:rsidRDefault="002348ED" w:rsidP="00FF4E21">
            <w:pPr>
              <w:spacing w:before="0" w:after="0"/>
              <w:jc w:val="center"/>
              <w:rPr>
                <w:rFonts w:eastAsia="CIDFont+F4" w:cs="CIDFont+F4"/>
                <w:sz w:val="20"/>
                <w:szCs w:val="20"/>
                <w:lang w:val="sr-Latn-RS"/>
              </w:rPr>
            </w:pPr>
            <w:r w:rsidRPr="002C2B83">
              <w:rPr>
                <w:rFonts w:eastAsia="CIDFont+F4" w:cs="CIDFont+F4"/>
                <w:i/>
                <w:iCs/>
                <w:sz w:val="20"/>
                <w:szCs w:val="20"/>
                <w:lang w:val="sr-Latn-RS"/>
              </w:rPr>
              <w:t>MTBF</w:t>
            </w:r>
            <w:r w:rsidRPr="002C2B83">
              <w:rPr>
                <w:rFonts w:eastAsia="CIDFont+F4" w:cs="CIDFont+F4"/>
                <w:i/>
                <w:iCs/>
                <w:sz w:val="20"/>
                <w:szCs w:val="20"/>
                <w:vertAlign w:val="subscript"/>
                <w:lang w:val="sr-Latn-RS"/>
              </w:rPr>
              <w:t>lin</w:t>
            </w:r>
            <w:r w:rsidRPr="002C2B83">
              <w:rPr>
                <w:rFonts w:eastAsia="CIDFont+F4" w:cs="CIDFont+F4"/>
                <w:sz w:val="20"/>
                <w:szCs w:val="20"/>
                <w:vertAlign w:val="subscript"/>
                <w:lang w:val="sr-Latn-RS"/>
              </w:rPr>
              <w:t xml:space="preserve"> </w:t>
            </w:r>
            <w:r w:rsidRPr="002C2B83">
              <w:rPr>
                <w:rFonts w:eastAsia="CIDFont+F4" w:cs="CIDFont+F4"/>
                <w:sz w:val="20"/>
                <w:szCs w:val="20"/>
                <w:lang w:val="sr-Latn-RS"/>
              </w:rPr>
              <w:t>with intercept</w:t>
            </w:r>
          </w:p>
        </w:tc>
        <w:tc>
          <w:tcPr>
            <w:tcW w:w="1978" w:type="dxa"/>
            <w:tcBorders>
              <w:left w:val="nil"/>
              <w:bottom w:val="nil"/>
              <w:right w:val="nil"/>
            </w:tcBorders>
          </w:tcPr>
          <w:p w14:paraId="038DE119" w14:textId="77777777" w:rsidR="002348ED" w:rsidRPr="002C2B83" w:rsidRDefault="002348ED" w:rsidP="00FF4E21">
            <w:pPr>
              <w:spacing w:before="0" w:after="0"/>
              <w:jc w:val="center"/>
              <w:rPr>
                <w:rFonts w:eastAsia="CIDFont+F4" w:cs="CIDFont+F4"/>
                <w:sz w:val="20"/>
                <w:szCs w:val="20"/>
                <w:lang w:val="sr-Latn-RS"/>
              </w:rPr>
            </w:pPr>
            <w:r w:rsidRPr="002C2B83">
              <w:rPr>
                <w:rFonts w:eastAsia="CIDFont+F4" w:cs="CIDFont+F4"/>
                <w:sz w:val="20"/>
                <w:szCs w:val="20"/>
                <w:lang w:val="sr-Latn-RS"/>
              </w:rPr>
              <w:t>348.487</w:t>
            </w:r>
          </w:p>
        </w:tc>
        <w:tc>
          <w:tcPr>
            <w:tcW w:w="2254" w:type="dxa"/>
            <w:tcBorders>
              <w:left w:val="nil"/>
              <w:bottom w:val="nil"/>
              <w:right w:val="nil"/>
            </w:tcBorders>
          </w:tcPr>
          <w:p w14:paraId="75012943" w14:textId="77777777" w:rsidR="002348ED" w:rsidRPr="002C2B83" w:rsidRDefault="002348ED" w:rsidP="00FF4E21">
            <w:pPr>
              <w:spacing w:before="0" w:after="0"/>
              <w:jc w:val="center"/>
              <w:rPr>
                <w:rFonts w:eastAsia="CIDFont+F4" w:cs="CIDFont+F4"/>
                <w:sz w:val="20"/>
                <w:szCs w:val="20"/>
                <w:lang w:val="sr-Latn-RS"/>
              </w:rPr>
            </w:pPr>
            <w:r w:rsidRPr="002C2B83">
              <w:rPr>
                <w:rFonts w:eastAsia="CIDFont+F4" w:cs="CIDFont+F4"/>
                <w:sz w:val="20"/>
                <w:szCs w:val="20"/>
                <w:lang w:val="sr-Latn-RS"/>
              </w:rPr>
              <w:t>60.61%</w:t>
            </w:r>
          </w:p>
        </w:tc>
        <w:tc>
          <w:tcPr>
            <w:tcW w:w="2255" w:type="dxa"/>
            <w:tcBorders>
              <w:left w:val="nil"/>
              <w:bottom w:val="nil"/>
            </w:tcBorders>
          </w:tcPr>
          <w:p w14:paraId="4898DD7C" w14:textId="77777777" w:rsidR="002348ED" w:rsidRPr="002C2B83" w:rsidRDefault="002348ED" w:rsidP="00FF4E21">
            <w:pPr>
              <w:spacing w:before="0" w:after="0"/>
              <w:jc w:val="center"/>
              <w:rPr>
                <w:rFonts w:eastAsia="CIDFont+F4" w:cs="CIDFont+F4"/>
                <w:sz w:val="20"/>
                <w:szCs w:val="20"/>
                <w:lang w:val="sr-Latn-RS"/>
              </w:rPr>
            </w:pPr>
            <w:r w:rsidRPr="002C2B83">
              <w:rPr>
                <w:rFonts w:eastAsia="CIDFont+F4" w:cs="CIDFont+F4"/>
                <w:sz w:val="20"/>
                <w:szCs w:val="20"/>
                <w:lang w:val="sr-Latn-RS"/>
              </w:rPr>
              <w:t>46.22%</w:t>
            </w:r>
          </w:p>
        </w:tc>
      </w:tr>
      <w:tr w:rsidR="009755CD" w:rsidRPr="002C2B83" w14:paraId="76CA7FB8" w14:textId="77777777" w:rsidTr="009755CD">
        <w:tc>
          <w:tcPr>
            <w:tcW w:w="2530" w:type="dxa"/>
            <w:tcBorders>
              <w:top w:val="nil"/>
              <w:bottom w:val="single" w:sz="4" w:space="0" w:color="auto"/>
              <w:right w:val="nil"/>
            </w:tcBorders>
          </w:tcPr>
          <w:p w14:paraId="5DDC767D" w14:textId="54DD5852" w:rsidR="009755CD" w:rsidRPr="009755CD" w:rsidRDefault="009755CD" w:rsidP="00FF4E21">
            <w:pPr>
              <w:spacing w:before="0" w:after="0"/>
              <w:jc w:val="center"/>
              <w:rPr>
                <w:rFonts w:eastAsia="CIDFont+F4" w:cs="CIDFont+F4"/>
                <w:sz w:val="20"/>
                <w:szCs w:val="20"/>
                <w:lang w:val="sr-Latn-RS"/>
              </w:rPr>
            </w:pPr>
            <w:r>
              <w:rPr>
                <w:rFonts w:eastAsia="CIDFont+F4" w:cs="CIDFont+F4"/>
                <w:i/>
                <w:iCs/>
                <w:sz w:val="20"/>
                <w:szCs w:val="20"/>
                <w:lang w:val="sr-Latn-RS"/>
              </w:rPr>
              <w:t>MTBF</w:t>
            </w:r>
            <w:r>
              <w:rPr>
                <w:rFonts w:eastAsia="CIDFont+F4" w:cs="CIDFont+F4"/>
                <w:i/>
                <w:iCs/>
                <w:sz w:val="20"/>
                <w:szCs w:val="20"/>
                <w:vertAlign w:val="subscript"/>
                <w:lang w:val="sr-Latn-RS"/>
              </w:rPr>
              <w:t>LN</w:t>
            </w:r>
            <w:r>
              <w:rPr>
                <w:rFonts w:eastAsia="CIDFont+F4" w:cs="CIDFont+F4"/>
                <w:i/>
                <w:iCs/>
                <w:sz w:val="20"/>
                <w:szCs w:val="20"/>
                <w:lang w:val="sr-Latn-RS"/>
              </w:rPr>
              <w:t xml:space="preserve"> </w:t>
            </w:r>
            <w:r>
              <w:rPr>
                <w:rFonts w:eastAsia="CIDFont+F4" w:cs="CIDFont+F4"/>
                <w:sz w:val="20"/>
                <w:szCs w:val="20"/>
                <w:lang w:val="sr-Latn-RS"/>
              </w:rPr>
              <w:t>without intercept</w:t>
            </w:r>
          </w:p>
        </w:tc>
        <w:tc>
          <w:tcPr>
            <w:tcW w:w="1978" w:type="dxa"/>
            <w:tcBorders>
              <w:top w:val="nil"/>
              <w:left w:val="nil"/>
              <w:bottom w:val="single" w:sz="4" w:space="0" w:color="auto"/>
              <w:right w:val="nil"/>
            </w:tcBorders>
          </w:tcPr>
          <w:p w14:paraId="6DBA8C6C" w14:textId="43E5570D" w:rsidR="009755CD" w:rsidRPr="002C2B83" w:rsidRDefault="009755CD" w:rsidP="00FF4E21">
            <w:pPr>
              <w:spacing w:before="0" w:after="0"/>
              <w:jc w:val="center"/>
              <w:rPr>
                <w:rFonts w:eastAsia="CIDFont+F4" w:cs="CIDFont+F4"/>
                <w:sz w:val="20"/>
                <w:szCs w:val="20"/>
                <w:lang w:val="sr-Latn-RS"/>
              </w:rPr>
            </w:pPr>
            <w:r>
              <w:rPr>
                <w:rFonts w:eastAsia="CIDFont+F4" w:cs="CIDFont+F4"/>
                <w:sz w:val="20"/>
                <w:szCs w:val="20"/>
                <w:lang w:val="sr-Latn-RS"/>
              </w:rPr>
              <w:t>367.616</w:t>
            </w:r>
          </w:p>
        </w:tc>
        <w:tc>
          <w:tcPr>
            <w:tcW w:w="2254" w:type="dxa"/>
            <w:tcBorders>
              <w:top w:val="nil"/>
              <w:left w:val="nil"/>
              <w:bottom w:val="single" w:sz="4" w:space="0" w:color="auto"/>
              <w:right w:val="nil"/>
            </w:tcBorders>
          </w:tcPr>
          <w:p w14:paraId="28AA0478" w14:textId="16464452" w:rsidR="009755CD" w:rsidRPr="002C2B83" w:rsidRDefault="009755CD" w:rsidP="00FF4E21">
            <w:pPr>
              <w:spacing w:before="0" w:after="0"/>
              <w:jc w:val="center"/>
              <w:rPr>
                <w:rFonts w:eastAsia="CIDFont+F4" w:cs="CIDFont+F4"/>
                <w:sz w:val="20"/>
                <w:szCs w:val="20"/>
                <w:lang w:val="sr-Latn-RS"/>
              </w:rPr>
            </w:pPr>
            <w:r>
              <w:rPr>
                <w:rFonts w:eastAsia="CIDFont+F4" w:cs="CIDFont+F4"/>
                <w:sz w:val="20"/>
                <w:szCs w:val="20"/>
                <w:lang w:val="sr-Latn-RS"/>
              </w:rPr>
              <w:t>94.86%</w:t>
            </w:r>
          </w:p>
        </w:tc>
        <w:tc>
          <w:tcPr>
            <w:tcW w:w="2255" w:type="dxa"/>
            <w:tcBorders>
              <w:top w:val="nil"/>
              <w:left w:val="nil"/>
              <w:bottom w:val="single" w:sz="4" w:space="0" w:color="auto"/>
            </w:tcBorders>
          </w:tcPr>
          <w:p w14:paraId="1D7A458A" w14:textId="1F6F9854" w:rsidR="009755CD" w:rsidRPr="002C2B83" w:rsidRDefault="009755CD" w:rsidP="00FF4E21">
            <w:pPr>
              <w:spacing w:before="0" w:after="0"/>
              <w:jc w:val="center"/>
              <w:rPr>
                <w:rFonts w:eastAsia="CIDFont+F4" w:cs="CIDFont+F4"/>
                <w:sz w:val="20"/>
                <w:szCs w:val="20"/>
                <w:lang w:val="sr-Latn-RS"/>
              </w:rPr>
            </w:pPr>
            <w:r>
              <w:rPr>
                <w:rFonts w:eastAsia="CIDFont+F4" w:cs="CIDFont+F4"/>
                <w:sz w:val="20"/>
                <w:szCs w:val="20"/>
                <w:lang w:val="sr-Latn-RS"/>
              </w:rPr>
              <w:t>93.01%</w:t>
            </w:r>
          </w:p>
        </w:tc>
      </w:tr>
    </w:tbl>
    <w:p w14:paraId="55524E85" w14:textId="4EB65BE4" w:rsidR="002348ED" w:rsidRDefault="008E726C" w:rsidP="008C7387">
      <w:pPr>
        <w:rPr>
          <w:lang w:val="sr-Latn-RS"/>
        </w:rPr>
      </w:pPr>
      <w:r>
        <w:rPr>
          <w:lang w:val="sr-Latn-RS"/>
        </w:rPr>
        <w:t xml:space="preserve">Although the model with intercept shows </w:t>
      </w:r>
      <w:r w:rsidR="001B18BE">
        <w:rPr>
          <w:lang w:val="sr-Latn-RS"/>
        </w:rPr>
        <w:t xml:space="preserve">a </w:t>
      </w:r>
      <w:r>
        <w:rPr>
          <w:lang w:val="sr-Latn-RS"/>
        </w:rPr>
        <w:t xml:space="preserve">somewhat moderate </w:t>
      </w:r>
      <w:r w:rsidR="000C246E">
        <w:rPr>
          <w:i/>
          <w:iCs/>
          <w:lang w:val="sr-Latn-RS"/>
        </w:rPr>
        <w:t>R</w:t>
      </w:r>
      <w:r w:rsidR="000C246E">
        <w:rPr>
          <w:i/>
          <w:iCs/>
          <w:vertAlign w:val="superscript"/>
          <w:lang w:val="sr-Latn-RS"/>
        </w:rPr>
        <w:t>2</w:t>
      </w:r>
      <w:r w:rsidR="000C246E">
        <w:rPr>
          <w:lang w:val="sr-Latn-RS"/>
        </w:rPr>
        <w:t xml:space="preserve"> value, </w:t>
      </w:r>
      <w:r w:rsidR="001B18BE">
        <w:rPr>
          <w:lang w:val="sr-Latn-RS"/>
        </w:rPr>
        <w:t>the amount of accuracy of extracted data from the survey is questionable</w:t>
      </w:r>
      <w:r w:rsidR="002903F5">
        <w:rPr>
          <w:lang w:val="sr-Latn-RS"/>
        </w:rPr>
        <w:t>. Namely, some variables consisting of</w:t>
      </w:r>
      <w:r w:rsidR="00091B4D">
        <w:rPr>
          <w:lang w:val="sr-Latn-RS"/>
        </w:rPr>
        <w:t xml:space="preserve"> dummy values (MP, MAP, FAP) fail to prove the validity considering </w:t>
      </w:r>
      <w:r w:rsidR="00091B4D">
        <w:rPr>
          <w:i/>
          <w:iCs/>
          <w:lang w:val="sr-Latn-RS"/>
        </w:rPr>
        <w:t>p</w:t>
      </w:r>
      <w:r w:rsidR="001B18BE">
        <w:rPr>
          <w:lang w:val="sr-Latn-RS"/>
        </w:rPr>
        <w:t>-</w:t>
      </w:r>
      <w:r w:rsidR="0063797D">
        <w:rPr>
          <w:lang w:val="sr-Latn-RS"/>
        </w:rPr>
        <w:t>value</w:t>
      </w:r>
      <w:r w:rsidR="002368FF">
        <w:rPr>
          <w:lang w:val="sr-Latn-RS"/>
        </w:rPr>
        <w:t>.</w:t>
      </w:r>
    </w:p>
    <w:p w14:paraId="20CC9B1E" w14:textId="46698B95" w:rsidR="00832E61" w:rsidRDefault="00832E61" w:rsidP="00832E61">
      <w:pPr>
        <w:pStyle w:val="Heading3"/>
      </w:pPr>
      <w:bookmarkStart w:id="356" w:name="_Toc93759903"/>
      <w:bookmarkStart w:id="357" w:name="_Toc93760007"/>
      <w:bookmarkStart w:id="358" w:name="_Toc101274363"/>
      <w:r>
        <w:t>Model and coefficients influence and validity</w:t>
      </w:r>
      <w:bookmarkEnd w:id="356"/>
      <w:bookmarkEnd w:id="357"/>
      <w:bookmarkEnd w:id="358"/>
    </w:p>
    <w:p w14:paraId="225C9B04" w14:textId="4EFB3E30" w:rsidR="004269AB" w:rsidRDefault="004269AB" w:rsidP="008C7387">
      <w:r>
        <w:t>ANOVA results (</w:t>
      </w:r>
      <w:r>
        <w:fldChar w:fldCharType="begin"/>
      </w:r>
      <w:r>
        <w:instrText xml:space="preserve"> REF _Ref92798728 \h </w:instrText>
      </w:r>
      <w:r>
        <w:fldChar w:fldCharType="separate"/>
      </w:r>
      <w:r w:rsidR="00587AF0">
        <w:t xml:space="preserve">Table </w:t>
      </w:r>
      <w:r w:rsidR="00587AF0">
        <w:rPr>
          <w:noProof/>
        </w:rPr>
        <w:t>15</w:t>
      </w:r>
      <w:r>
        <w:fldChar w:fldCharType="end"/>
      </w:r>
      <w:r>
        <w:t xml:space="preserve">) show that most associated variables show </w:t>
      </w:r>
      <w:r>
        <w:rPr>
          <w:i/>
          <w:iCs/>
        </w:rPr>
        <w:t>p</w:t>
      </w:r>
      <w:r>
        <w:t xml:space="preserve"> value</w:t>
      </w:r>
      <w:r w:rsidR="001B18BE">
        <w:t>s</w:t>
      </w:r>
      <w:r>
        <w:t xml:space="preserve"> less than 0.05. However, although variables such as MP, FAP and NWF in both proposed models deviate from the value, the inference is that </w:t>
      </w:r>
      <w:r w:rsidR="007C7339">
        <w:t xml:space="preserve">a </w:t>
      </w:r>
      <w:r>
        <w:t xml:space="preserve">correlation exists between MTBF and mentioned. However, since the model does not have good prediction properties with associated variables, thus reducing the </w:t>
      </w:r>
      <w:r>
        <w:rPr>
          <w:i/>
          <w:iCs/>
        </w:rPr>
        <w:t>R</w:t>
      </w:r>
      <w:r>
        <w:rPr>
          <w:vertAlign w:val="superscript"/>
        </w:rPr>
        <w:t>2</w:t>
      </w:r>
      <w:r>
        <w:t xml:space="preserve"> value (in </w:t>
      </w:r>
      <w:r w:rsidR="001B18BE">
        <w:t xml:space="preserve">the </w:t>
      </w:r>
      <w:r>
        <w:t>first case), the model i</w:t>
      </w:r>
      <w:r w:rsidR="001B18BE">
        <w:t>llustrates the impact of variables that</w:t>
      </w:r>
      <w:r>
        <w:t xml:space="preserve"> show good correlation </w:t>
      </w:r>
      <w:r>
        <w:rPr>
          <w:i/>
          <w:iCs/>
        </w:rPr>
        <w:t>r</w:t>
      </w:r>
      <w:r>
        <w:t xml:space="preserve"> values with the dependent variable MTBF. Looking at the categorical variables of the MP </w:t>
      </w:r>
      <w:r>
        <w:lastRenderedPageBreak/>
        <w:t>influence, there is not enough evidence to reject the claim that MP increases MTBF</w:t>
      </w:r>
      <w:r w:rsidR="001B18BE">
        <w:t>.</w:t>
      </w:r>
      <w:r>
        <w:t xml:space="preserve"> </w:t>
      </w:r>
      <w:r w:rsidR="001B18BE">
        <w:t>E</w:t>
      </w:r>
      <w:r>
        <w:t xml:space="preserve">ven though the logical inference that practices like CBM and PdM should increase MTBF, which </w:t>
      </w:r>
      <w:r w:rsidR="001B18BE">
        <w:t>the model confirms</w:t>
      </w:r>
      <w:r>
        <w:t xml:space="preserve">, the </w:t>
      </w:r>
      <w:r>
        <w:rPr>
          <w:i/>
          <w:iCs/>
        </w:rPr>
        <w:t>p</w:t>
      </w:r>
      <w:r w:rsidR="001B18BE">
        <w:t>-</w:t>
      </w:r>
      <w:r>
        <w:t>value does not reject the null.</w:t>
      </w:r>
    </w:p>
    <w:p w14:paraId="519B2174" w14:textId="1DA24F84" w:rsidR="002348ED" w:rsidRDefault="002348ED" w:rsidP="002348ED">
      <w:pPr>
        <w:pStyle w:val="Caption"/>
        <w:jc w:val="left"/>
      </w:pPr>
      <w:bookmarkStart w:id="359" w:name="_Ref92798728"/>
      <w:bookmarkStart w:id="360" w:name="_Toc101274455"/>
      <w:r>
        <w:t xml:space="preserve">Table </w:t>
      </w:r>
      <w:fldSimple w:instr=" SEQ Table \* ARABIC ">
        <w:r w:rsidR="00587AF0">
          <w:rPr>
            <w:noProof/>
          </w:rPr>
          <w:t>15</w:t>
        </w:r>
      </w:fldSimple>
      <w:bookmarkEnd w:id="359"/>
      <w:r>
        <w:t>. ANOVA results of coefficients used in the MLR models</w:t>
      </w:r>
      <w:bookmarkEnd w:id="360"/>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613"/>
        <w:gridCol w:w="1576"/>
        <w:gridCol w:w="1292"/>
        <w:gridCol w:w="1565"/>
        <w:gridCol w:w="1565"/>
        <w:gridCol w:w="1416"/>
      </w:tblGrid>
      <w:tr w:rsidR="002348ED" w:rsidRPr="005F1EE5" w14:paraId="4CA9B761" w14:textId="77777777" w:rsidTr="00FF4E21">
        <w:tc>
          <w:tcPr>
            <w:tcW w:w="1613" w:type="dxa"/>
          </w:tcPr>
          <w:p w14:paraId="475F3083" w14:textId="77777777" w:rsidR="002348ED" w:rsidRPr="00D943D6" w:rsidRDefault="002348ED" w:rsidP="00FF4E21">
            <w:pPr>
              <w:spacing w:before="0" w:after="0"/>
              <w:jc w:val="center"/>
              <w:rPr>
                <w:rFonts w:eastAsia="CIDFont+F4" w:cs="CIDFont+F4"/>
                <w:b/>
                <w:bCs/>
                <w:i/>
                <w:iCs/>
                <w:sz w:val="20"/>
                <w:szCs w:val="20"/>
                <w:lang w:val="sr-Latn-RS"/>
              </w:rPr>
            </w:pPr>
            <w:r>
              <w:rPr>
                <w:rFonts w:eastAsia="CIDFont+F4" w:cs="CIDFont+F4"/>
                <w:b/>
                <w:bCs/>
                <w:i/>
                <w:iCs/>
                <w:sz w:val="20"/>
                <w:szCs w:val="20"/>
                <w:lang w:val="sr-Latn-RS"/>
              </w:rPr>
              <w:t>Source</w:t>
            </w:r>
          </w:p>
        </w:tc>
        <w:tc>
          <w:tcPr>
            <w:tcW w:w="1576" w:type="dxa"/>
            <w:tcBorders>
              <w:bottom w:val="single" w:sz="4" w:space="0" w:color="auto"/>
            </w:tcBorders>
          </w:tcPr>
          <w:p w14:paraId="29D4F579" w14:textId="77777777" w:rsidR="002348ED" w:rsidRPr="00D943D6" w:rsidRDefault="002348ED" w:rsidP="00FF4E21">
            <w:pPr>
              <w:spacing w:before="0" w:after="0"/>
              <w:jc w:val="center"/>
              <w:rPr>
                <w:rFonts w:eastAsia="CIDFont+F4" w:cs="CIDFont+F4"/>
                <w:b/>
                <w:bCs/>
                <w:i/>
                <w:iCs/>
                <w:sz w:val="20"/>
                <w:szCs w:val="20"/>
                <w:lang w:val="sr-Latn-RS"/>
              </w:rPr>
            </w:pPr>
            <w:r>
              <w:rPr>
                <w:rFonts w:eastAsia="CIDFont+F4" w:cs="CIDFont+F4"/>
                <w:b/>
                <w:bCs/>
                <w:i/>
                <w:iCs/>
                <w:sz w:val="20"/>
                <w:szCs w:val="20"/>
                <w:lang w:val="sr-Latn-RS"/>
              </w:rPr>
              <w:t>df</w:t>
            </w:r>
          </w:p>
        </w:tc>
        <w:tc>
          <w:tcPr>
            <w:tcW w:w="1292" w:type="dxa"/>
            <w:tcBorders>
              <w:bottom w:val="single" w:sz="4" w:space="0" w:color="auto"/>
            </w:tcBorders>
          </w:tcPr>
          <w:p w14:paraId="69D9DB4D" w14:textId="77777777" w:rsidR="002348ED" w:rsidRPr="00D943D6" w:rsidRDefault="002348ED" w:rsidP="00FF4E21">
            <w:pPr>
              <w:spacing w:before="0" w:after="0"/>
              <w:jc w:val="center"/>
              <w:rPr>
                <w:rFonts w:eastAsia="CIDFont+F4" w:cs="CIDFont+F4"/>
                <w:b/>
                <w:bCs/>
                <w:i/>
                <w:iCs/>
                <w:sz w:val="20"/>
                <w:szCs w:val="20"/>
                <w:lang w:val="sr-Latn-RS"/>
              </w:rPr>
            </w:pPr>
            <w:r>
              <w:rPr>
                <w:rFonts w:eastAsia="CIDFont+F4" w:cs="CIDFont+F4"/>
                <w:b/>
                <w:bCs/>
                <w:i/>
                <w:iCs/>
                <w:sz w:val="20"/>
                <w:szCs w:val="20"/>
                <w:lang w:val="sr-Latn-RS"/>
              </w:rPr>
              <w:t>Adj SS</w:t>
            </w:r>
          </w:p>
        </w:tc>
        <w:tc>
          <w:tcPr>
            <w:tcW w:w="1565" w:type="dxa"/>
            <w:tcBorders>
              <w:bottom w:val="single" w:sz="4" w:space="0" w:color="auto"/>
            </w:tcBorders>
          </w:tcPr>
          <w:p w14:paraId="65BF0997" w14:textId="77777777" w:rsidR="002348ED" w:rsidRPr="00D943D6" w:rsidRDefault="002348ED" w:rsidP="00FF4E21">
            <w:pPr>
              <w:spacing w:before="0" w:after="0"/>
              <w:jc w:val="center"/>
              <w:rPr>
                <w:rFonts w:eastAsia="CIDFont+F4" w:cs="CIDFont+F4"/>
                <w:b/>
                <w:bCs/>
                <w:i/>
                <w:iCs/>
                <w:sz w:val="20"/>
                <w:szCs w:val="20"/>
                <w:lang w:val="sr-Latn-RS"/>
              </w:rPr>
            </w:pPr>
            <w:r>
              <w:rPr>
                <w:rFonts w:eastAsia="CIDFont+F4" w:cs="CIDFont+F4"/>
                <w:b/>
                <w:bCs/>
                <w:i/>
                <w:iCs/>
                <w:sz w:val="20"/>
                <w:szCs w:val="20"/>
                <w:lang w:val="sr-Latn-RS"/>
              </w:rPr>
              <w:t>Adj MS</w:t>
            </w:r>
          </w:p>
        </w:tc>
        <w:tc>
          <w:tcPr>
            <w:tcW w:w="1565" w:type="dxa"/>
          </w:tcPr>
          <w:p w14:paraId="6CDFBFEB" w14:textId="77777777" w:rsidR="002348ED" w:rsidRPr="00D943D6" w:rsidRDefault="002348ED" w:rsidP="00FF4E21">
            <w:pPr>
              <w:spacing w:before="0" w:after="0"/>
              <w:jc w:val="center"/>
              <w:rPr>
                <w:rFonts w:eastAsia="CIDFont+F4" w:cs="CIDFont+F4"/>
                <w:b/>
                <w:bCs/>
                <w:i/>
                <w:iCs/>
                <w:sz w:val="20"/>
                <w:szCs w:val="20"/>
                <w:lang w:val="sr-Latn-RS"/>
              </w:rPr>
            </w:pPr>
            <w:r>
              <w:rPr>
                <w:rFonts w:eastAsia="CIDFont+F4" w:cs="CIDFont+F4"/>
                <w:b/>
                <w:bCs/>
                <w:i/>
                <w:iCs/>
                <w:sz w:val="20"/>
                <w:szCs w:val="20"/>
                <w:lang w:val="sr-Latn-RS"/>
              </w:rPr>
              <w:t>F value</w:t>
            </w:r>
          </w:p>
        </w:tc>
        <w:tc>
          <w:tcPr>
            <w:tcW w:w="1416" w:type="dxa"/>
            <w:tcBorders>
              <w:bottom w:val="single" w:sz="4" w:space="0" w:color="auto"/>
            </w:tcBorders>
          </w:tcPr>
          <w:p w14:paraId="5ED280F2" w14:textId="7506C4A7" w:rsidR="002348ED" w:rsidRPr="00D943D6" w:rsidRDefault="002348ED" w:rsidP="00FF4E21">
            <w:pPr>
              <w:spacing w:before="0" w:after="0"/>
              <w:jc w:val="center"/>
              <w:rPr>
                <w:rFonts w:eastAsia="CIDFont+F4" w:cs="CIDFont+F4"/>
                <w:b/>
                <w:bCs/>
                <w:i/>
                <w:iCs/>
                <w:sz w:val="20"/>
                <w:szCs w:val="20"/>
                <w:lang w:val="sr-Latn-RS"/>
              </w:rPr>
            </w:pPr>
            <w:r>
              <w:rPr>
                <w:rFonts w:eastAsia="CIDFont+F4" w:cs="CIDFont+F4"/>
                <w:b/>
                <w:bCs/>
                <w:i/>
                <w:iCs/>
                <w:sz w:val="20"/>
                <w:szCs w:val="20"/>
                <w:lang w:val="sr-Latn-RS"/>
              </w:rPr>
              <w:t>p</w:t>
            </w:r>
            <w:r w:rsidR="00DB64A2">
              <w:rPr>
                <w:rFonts w:eastAsia="CIDFont+F4" w:cs="CIDFont+F4"/>
                <w:b/>
                <w:bCs/>
                <w:i/>
                <w:iCs/>
                <w:sz w:val="20"/>
                <w:szCs w:val="20"/>
                <w:lang w:val="sr-Latn-RS"/>
              </w:rPr>
              <w:t>-</w:t>
            </w:r>
            <w:r>
              <w:rPr>
                <w:rFonts w:eastAsia="CIDFont+F4" w:cs="CIDFont+F4"/>
                <w:b/>
                <w:bCs/>
                <w:i/>
                <w:iCs/>
                <w:sz w:val="20"/>
                <w:szCs w:val="20"/>
                <w:lang w:val="sr-Latn-RS"/>
              </w:rPr>
              <w:t>value</w:t>
            </w:r>
          </w:p>
        </w:tc>
      </w:tr>
      <w:tr w:rsidR="002348ED" w:rsidRPr="005F1EE5" w14:paraId="0A895D05" w14:textId="77777777" w:rsidTr="00FF4E21">
        <w:tc>
          <w:tcPr>
            <w:tcW w:w="9027" w:type="dxa"/>
            <w:gridSpan w:val="6"/>
            <w:tcBorders>
              <w:bottom w:val="nil"/>
            </w:tcBorders>
          </w:tcPr>
          <w:p w14:paraId="25ECDA8F"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Multiple linear regression model for MTBF with intercept</w:t>
            </w:r>
          </w:p>
        </w:tc>
      </w:tr>
      <w:tr w:rsidR="002348ED" w:rsidRPr="005F1EE5" w14:paraId="335E67C7" w14:textId="77777777" w:rsidTr="00FF4E21">
        <w:tc>
          <w:tcPr>
            <w:tcW w:w="1613" w:type="dxa"/>
            <w:tcBorders>
              <w:bottom w:val="nil"/>
              <w:right w:val="nil"/>
            </w:tcBorders>
          </w:tcPr>
          <w:p w14:paraId="52C23DB7" w14:textId="77777777" w:rsidR="002348ED" w:rsidRPr="005F1EE5"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Regression</w:t>
            </w:r>
          </w:p>
        </w:tc>
        <w:tc>
          <w:tcPr>
            <w:tcW w:w="1576" w:type="dxa"/>
            <w:tcBorders>
              <w:left w:val="nil"/>
              <w:bottom w:val="nil"/>
              <w:right w:val="nil"/>
            </w:tcBorders>
          </w:tcPr>
          <w:p w14:paraId="00C67877" w14:textId="77777777" w:rsidR="002348ED" w:rsidRPr="005F1EE5"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19</w:t>
            </w:r>
          </w:p>
        </w:tc>
        <w:tc>
          <w:tcPr>
            <w:tcW w:w="1292" w:type="dxa"/>
            <w:tcBorders>
              <w:left w:val="nil"/>
              <w:bottom w:val="nil"/>
              <w:right w:val="nil"/>
            </w:tcBorders>
          </w:tcPr>
          <w:p w14:paraId="59081EAF" w14:textId="77777777" w:rsidR="002348ED" w:rsidRDefault="002348ED" w:rsidP="00FF4E21">
            <w:pPr>
              <w:spacing w:before="0" w:after="0"/>
              <w:jc w:val="center"/>
              <w:rPr>
                <w:rFonts w:eastAsia="CIDFont+F4" w:cs="CIDFont+F4"/>
                <w:sz w:val="20"/>
                <w:szCs w:val="20"/>
                <w:lang w:val="sr-Latn-RS"/>
              </w:rPr>
            </w:pPr>
            <w:r w:rsidRPr="00201364">
              <w:rPr>
                <w:rFonts w:eastAsia="CIDFont+F4" w:cs="CIDFont+F4"/>
                <w:sz w:val="20"/>
                <w:szCs w:val="20"/>
                <w:lang w:val="sr-Latn-RS"/>
              </w:rPr>
              <w:t>9718237</w:t>
            </w:r>
          </w:p>
        </w:tc>
        <w:tc>
          <w:tcPr>
            <w:tcW w:w="1565" w:type="dxa"/>
            <w:tcBorders>
              <w:left w:val="nil"/>
              <w:bottom w:val="nil"/>
              <w:right w:val="nil"/>
            </w:tcBorders>
          </w:tcPr>
          <w:p w14:paraId="278DF4EC" w14:textId="77777777" w:rsidR="002348ED" w:rsidRPr="005F1EE5" w:rsidRDefault="002348ED" w:rsidP="00FF4E21">
            <w:pPr>
              <w:spacing w:before="0" w:after="0"/>
              <w:jc w:val="center"/>
              <w:rPr>
                <w:rFonts w:eastAsia="CIDFont+F4" w:cs="CIDFont+F4"/>
                <w:sz w:val="20"/>
                <w:szCs w:val="20"/>
                <w:lang w:val="sr-Latn-RS"/>
              </w:rPr>
            </w:pPr>
            <w:r w:rsidRPr="00201364">
              <w:rPr>
                <w:rFonts w:eastAsia="CIDFont+F4" w:cs="CIDFont+F4"/>
                <w:sz w:val="20"/>
                <w:szCs w:val="20"/>
                <w:lang w:val="sr-Latn-RS"/>
              </w:rPr>
              <w:t>511486</w:t>
            </w:r>
          </w:p>
        </w:tc>
        <w:tc>
          <w:tcPr>
            <w:tcW w:w="1565" w:type="dxa"/>
            <w:tcBorders>
              <w:left w:val="nil"/>
              <w:bottom w:val="nil"/>
              <w:right w:val="nil"/>
            </w:tcBorders>
          </w:tcPr>
          <w:p w14:paraId="0BF9BC68" w14:textId="77777777" w:rsidR="002348ED" w:rsidRPr="005F1EE5" w:rsidRDefault="002348ED" w:rsidP="00FF4E21">
            <w:pPr>
              <w:spacing w:before="0" w:after="0"/>
              <w:jc w:val="center"/>
              <w:rPr>
                <w:rFonts w:eastAsia="CIDFont+F4" w:cs="CIDFont+F4"/>
                <w:sz w:val="20"/>
                <w:szCs w:val="20"/>
                <w:lang w:val="sr-Latn-RS"/>
              </w:rPr>
            </w:pPr>
            <w:r w:rsidRPr="00CF1D7C">
              <w:rPr>
                <w:rFonts w:eastAsia="CIDFont+F4" w:cs="CIDFont+F4"/>
                <w:sz w:val="20"/>
                <w:szCs w:val="20"/>
                <w:lang w:val="sr-Latn-RS"/>
              </w:rPr>
              <w:t>4</w:t>
            </w:r>
            <w:r>
              <w:rPr>
                <w:rFonts w:eastAsia="CIDFont+F4" w:cs="CIDFont+F4"/>
                <w:sz w:val="20"/>
                <w:szCs w:val="20"/>
                <w:lang w:val="sr-Latn-RS"/>
              </w:rPr>
              <w:t>.</w:t>
            </w:r>
            <w:r w:rsidRPr="00CF1D7C">
              <w:rPr>
                <w:rFonts w:eastAsia="CIDFont+F4" w:cs="CIDFont+F4"/>
                <w:sz w:val="20"/>
                <w:szCs w:val="20"/>
                <w:lang w:val="sr-Latn-RS"/>
              </w:rPr>
              <w:t>21</w:t>
            </w:r>
          </w:p>
        </w:tc>
        <w:tc>
          <w:tcPr>
            <w:tcW w:w="1416" w:type="dxa"/>
            <w:tcBorders>
              <w:left w:val="nil"/>
              <w:bottom w:val="nil"/>
            </w:tcBorders>
          </w:tcPr>
          <w:p w14:paraId="06BD9DE1"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0.00</w:t>
            </w:r>
          </w:p>
        </w:tc>
      </w:tr>
      <w:tr w:rsidR="002348ED" w:rsidRPr="005F1EE5" w14:paraId="74E28DAE" w14:textId="77777777" w:rsidTr="00FF4E21">
        <w:tc>
          <w:tcPr>
            <w:tcW w:w="1613" w:type="dxa"/>
            <w:tcBorders>
              <w:top w:val="nil"/>
              <w:bottom w:val="nil"/>
              <w:right w:val="nil"/>
            </w:tcBorders>
          </w:tcPr>
          <w:p w14:paraId="47C0091F" w14:textId="77777777" w:rsidR="002348ED" w:rsidRPr="005F1EE5"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FRT</w:t>
            </w:r>
          </w:p>
        </w:tc>
        <w:tc>
          <w:tcPr>
            <w:tcW w:w="1576" w:type="dxa"/>
            <w:tcBorders>
              <w:top w:val="nil"/>
              <w:left w:val="nil"/>
              <w:bottom w:val="nil"/>
              <w:right w:val="nil"/>
            </w:tcBorders>
          </w:tcPr>
          <w:p w14:paraId="2D2ABD35" w14:textId="77777777" w:rsidR="002348ED" w:rsidRPr="005F1EE5"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w:t>
            </w:r>
          </w:p>
        </w:tc>
        <w:tc>
          <w:tcPr>
            <w:tcW w:w="1292" w:type="dxa"/>
            <w:tcBorders>
              <w:top w:val="nil"/>
              <w:left w:val="nil"/>
              <w:bottom w:val="nil"/>
              <w:right w:val="nil"/>
            </w:tcBorders>
          </w:tcPr>
          <w:p w14:paraId="5BA97704" w14:textId="77777777" w:rsidR="002348ED" w:rsidRPr="005F1EE5" w:rsidRDefault="002348ED" w:rsidP="00FF4E21">
            <w:pPr>
              <w:spacing w:before="0" w:after="0"/>
              <w:jc w:val="center"/>
              <w:rPr>
                <w:rFonts w:eastAsia="CIDFont+F4" w:cs="CIDFont+F4"/>
                <w:sz w:val="20"/>
                <w:szCs w:val="20"/>
                <w:lang w:val="sr-Latn-RS"/>
              </w:rPr>
            </w:pPr>
            <w:r w:rsidRPr="005F72BC">
              <w:rPr>
                <w:rFonts w:eastAsia="CIDFont+F4" w:cs="CIDFont+F4"/>
                <w:sz w:val="20"/>
                <w:szCs w:val="20"/>
                <w:lang w:val="sr-Latn-RS"/>
              </w:rPr>
              <w:t>136746</w:t>
            </w:r>
          </w:p>
        </w:tc>
        <w:tc>
          <w:tcPr>
            <w:tcW w:w="1565" w:type="dxa"/>
            <w:tcBorders>
              <w:top w:val="nil"/>
              <w:left w:val="nil"/>
              <w:bottom w:val="nil"/>
              <w:right w:val="nil"/>
            </w:tcBorders>
          </w:tcPr>
          <w:p w14:paraId="0F47A95A" w14:textId="77777777" w:rsidR="002348ED" w:rsidRPr="005F1EE5" w:rsidRDefault="002348ED" w:rsidP="00FF4E21">
            <w:pPr>
              <w:spacing w:before="0" w:after="0"/>
              <w:jc w:val="center"/>
              <w:rPr>
                <w:rFonts w:eastAsia="CIDFont+F4" w:cs="CIDFont+F4"/>
                <w:sz w:val="20"/>
                <w:szCs w:val="20"/>
                <w:lang w:val="sr-Latn-RS"/>
              </w:rPr>
            </w:pPr>
            <w:r w:rsidRPr="00DC6B00">
              <w:rPr>
                <w:rFonts w:eastAsia="CIDFont+F4" w:cs="CIDFont+F4"/>
                <w:sz w:val="20"/>
                <w:szCs w:val="20"/>
                <w:lang w:val="sr-Latn-RS"/>
              </w:rPr>
              <w:t>136746</w:t>
            </w:r>
          </w:p>
        </w:tc>
        <w:tc>
          <w:tcPr>
            <w:tcW w:w="1565" w:type="dxa"/>
            <w:tcBorders>
              <w:top w:val="nil"/>
              <w:left w:val="nil"/>
              <w:bottom w:val="nil"/>
              <w:right w:val="nil"/>
            </w:tcBorders>
          </w:tcPr>
          <w:p w14:paraId="4B388D74" w14:textId="77777777" w:rsidR="002348ED" w:rsidRPr="005F1EE5"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1.13</w:t>
            </w:r>
          </w:p>
        </w:tc>
        <w:tc>
          <w:tcPr>
            <w:tcW w:w="1416" w:type="dxa"/>
            <w:tcBorders>
              <w:top w:val="nil"/>
              <w:left w:val="nil"/>
              <w:bottom w:val="nil"/>
            </w:tcBorders>
          </w:tcPr>
          <w:p w14:paraId="539777FA" w14:textId="77777777" w:rsidR="002348ED" w:rsidRPr="005F1EE5"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0.29</w:t>
            </w:r>
          </w:p>
        </w:tc>
      </w:tr>
      <w:tr w:rsidR="002348ED" w:rsidRPr="005F1EE5" w14:paraId="607592EF" w14:textId="77777777" w:rsidTr="00FF4E21">
        <w:tc>
          <w:tcPr>
            <w:tcW w:w="1613" w:type="dxa"/>
            <w:tcBorders>
              <w:top w:val="nil"/>
              <w:bottom w:val="nil"/>
              <w:right w:val="nil"/>
            </w:tcBorders>
          </w:tcPr>
          <w:p w14:paraId="32624093" w14:textId="77777777" w:rsidR="002348ED"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MA</w:t>
            </w:r>
          </w:p>
        </w:tc>
        <w:tc>
          <w:tcPr>
            <w:tcW w:w="1576" w:type="dxa"/>
            <w:tcBorders>
              <w:top w:val="nil"/>
              <w:left w:val="nil"/>
              <w:bottom w:val="nil"/>
              <w:right w:val="nil"/>
            </w:tcBorders>
          </w:tcPr>
          <w:p w14:paraId="7E5424AF"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w:t>
            </w:r>
          </w:p>
        </w:tc>
        <w:tc>
          <w:tcPr>
            <w:tcW w:w="1292" w:type="dxa"/>
            <w:tcBorders>
              <w:top w:val="nil"/>
              <w:left w:val="nil"/>
              <w:bottom w:val="nil"/>
              <w:right w:val="nil"/>
            </w:tcBorders>
          </w:tcPr>
          <w:p w14:paraId="7D10533E" w14:textId="77777777" w:rsidR="002348ED" w:rsidRPr="005F72BC" w:rsidRDefault="002348ED" w:rsidP="00FF4E21">
            <w:pPr>
              <w:spacing w:before="0" w:after="0"/>
              <w:jc w:val="center"/>
              <w:rPr>
                <w:rFonts w:eastAsia="CIDFont+F4" w:cs="CIDFont+F4"/>
                <w:sz w:val="20"/>
                <w:szCs w:val="20"/>
                <w:lang w:val="sr-Latn-RS"/>
              </w:rPr>
            </w:pPr>
            <w:r w:rsidRPr="001249A2">
              <w:rPr>
                <w:rFonts w:eastAsia="CIDFont+F4" w:cs="CIDFont+F4"/>
                <w:sz w:val="20"/>
                <w:szCs w:val="20"/>
                <w:lang w:val="sr-Latn-RS"/>
              </w:rPr>
              <w:t>2765909</w:t>
            </w:r>
          </w:p>
        </w:tc>
        <w:tc>
          <w:tcPr>
            <w:tcW w:w="1565" w:type="dxa"/>
            <w:tcBorders>
              <w:top w:val="nil"/>
              <w:left w:val="nil"/>
              <w:bottom w:val="nil"/>
              <w:right w:val="nil"/>
            </w:tcBorders>
          </w:tcPr>
          <w:p w14:paraId="76567385" w14:textId="77777777" w:rsidR="002348ED" w:rsidRPr="00DC6B00" w:rsidRDefault="002348ED" w:rsidP="00FF4E21">
            <w:pPr>
              <w:spacing w:before="0" w:after="0"/>
              <w:jc w:val="center"/>
              <w:rPr>
                <w:rFonts w:eastAsia="CIDFont+F4" w:cs="CIDFont+F4"/>
                <w:sz w:val="20"/>
                <w:szCs w:val="20"/>
                <w:lang w:val="sr-Latn-RS"/>
              </w:rPr>
            </w:pPr>
            <w:r w:rsidRPr="001249A2">
              <w:rPr>
                <w:rFonts w:eastAsia="CIDFont+F4" w:cs="CIDFont+F4"/>
                <w:sz w:val="20"/>
                <w:szCs w:val="20"/>
                <w:lang w:val="sr-Latn-RS"/>
              </w:rPr>
              <w:t>2765909</w:t>
            </w:r>
          </w:p>
        </w:tc>
        <w:tc>
          <w:tcPr>
            <w:tcW w:w="1565" w:type="dxa"/>
            <w:tcBorders>
              <w:top w:val="nil"/>
              <w:left w:val="nil"/>
              <w:bottom w:val="nil"/>
              <w:right w:val="nil"/>
            </w:tcBorders>
          </w:tcPr>
          <w:p w14:paraId="6D9ABB36"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22.78</w:t>
            </w:r>
          </w:p>
        </w:tc>
        <w:tc>
          <w:tcPr>
            <w:tcW w:w="1416" w:type="dxa"/>
            <w:tcBorders>
              <w:top w:val="nil"/>
              <w:left w:val="nil"/>
              <w:bottom w:val="nil"/>
            </w:tcBorders>
          </w:tcPr>
          <w:p w14:paraId="640CF73C"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0.00</w:t>
            </w:r>
          </w:p>
        </w:tc>
      </w:tr>
      <w:tr w:rsidR="002348ED" w:rsidRPr="005F1EE5" w14:paraId="24943579" w14:textId="77777777" w:rsidTr="00FF4E21">
        <w:tc>
          <w:tcPr>
            <w:tcW w:w="1613" w:type="dxa"/>
            <w:tcBorders>
              <w:top w:val="nil"/>
              <w:bottom w:val="nil"/>
              <w:right w:val="nil"/>
            </w:tcBorders>
          </w:tcPr>
          <w:p w14:paraId="1992C85F" w14:textId="77777777" w:rsidR="002348ED"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TTOR</w:t>
            </w:r>
          </w:p>
        </w:tc>
        <w:tc>
          <w:tcPr>
            <w:tcW w:w="1576" w:type="dxa"/>
            <w:tcBorders>
              <w:top w:val="nil"/>
              <w:left w:val="nil"/>
              <w:bottom w:val="nil"/>
              <w:right w:val="nil"/>
            </w:tcBorders>
          </w:tcPr>
          <w:p w14:paraId="2F1DAD6B"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w:t>
            </w:r>
          </w:p>
        </w:tc>
        <w:tc>
          <w:tcPr>
            <w:tcW w:w="1292" w:type="dxa"/>
            <w:tcBorders>
              <w:top w:val="nil"/>
              <w:left w:val="nil"/>
              <w:bottom w:val="nil"/>
              <w:right w:val="nil"/>
            </w:tcBorders>
          </w:tcPr>
          <w:p w14:paraId="2092B199" w14:textId="77777777" w:rsidR="002348ED" w:rsidRPr="005F72BC"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380276</w:t>
            </w:r>
          </w:p>
        </w:tc>
        <w:tc>
          <w:tcPr>
            <w:tcW w:w="1565" w:type="dxa"/>
            <w:tcBorders>
              <w:top w:val="nil"/>
              <w:left w:val="nil"/>
              <w:bottom w:val="nil"/>
              <w:right w:val="nil"/>
            </w:tcBorders>
          </w:tcPr>
          <w:p w14:paraId="36B3F840"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380276</w:t>
            </w:r>
          </w:p>
        </w:tc>
        <w:tc>
          <w:tcPr>
            <w:tcW w:w="1565" w:type="dxa"/>
            <w:tcBorders>
              <w:top w:val="nil"/>
              <w:left w:val="nil"/>
              <w:bottom w:val="nil"/>
              <w:right w:val="nil"/>
            </w:tcBorders>
          </w:tcPr>
          <w:p w14:paraId="31477589"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3.13</w:t>
            </w:r>
          </w:p>
        </w:tc>
        <w:tc>
          <w:tcPr>
            <w:tcW w:w="1416" w:type="dxa"/>
            <w:tcBorders>
              <w:top w:val="nil"/>
              <w:left w:val="nil"/>
              <w:bottom w:val="nil"/>
            </w:tcBorders>
          </w:tcPr>
          <w:p w14:paraId="1D74CAC9"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0.08</w:t>
            </w:r>
          </w:p>
        </w:tc>
      </w:tr>
      <w:tr w:rsidR="002348ED" w:rsidRPr="005F1EE5" w14:paraId="7C9774D2" w14:textId="77777777" w:rsidTr="00FF4E21">
        <w:tc>
          <w:tcPr>
            <w:tcW w:w="1613" w:type="dxa"/>
            <w:tcBorders>
              <w:top w:val="nil"/>
              <w:bottom w:val="nil"/>
              <w:right w:val="nil"/>
            </w:tcBorders>
          </w:tcPr>
          <w:p w14:paraId="64D41C20" w14:textId="77777777" w:rsidR="002348ED"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NWP</w:t>
            </w:r>
          </w:p>
        </w:tc>
        <w:tc>
          <w:tcPr>
            <w:tcW w:w="1576" w:type="dxa"/>
            <w:tcBorders>
              <w:top w:val="nil"/>
              <w:left w:val="nil"/>
              <w:bottom w:val="nil"/>
              <w:right w:val="nil"/>
            </w:tcBorders>
          </w:tcPr>
          <w:p w14:paraId="3847E82B"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w:t>
            </w:r>
          </w:p>
        </w:tc>
        <w:tc>
          <w:tcPr>
            <w:tcW w:w="1292" w:type="dxa"/>
            <w:tcBorders>
              <w:top w:val="nil"/>
              <w:left w:val="nil"/>
              <w:bottom w:val="nil"/>
              <w:right w:val="nil"/>
            </w:tcBorders>
          </w:tcPr>
          <w:p w14:paraId="39A28CB8" w14:textId="77777777" w:rsidR="002348ED" w:rsidRPr="005F72BC"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1033465</w:t>
            </w:r>
          </w:p>
        </w:tc>
        <w:tc>
          <w:tcPr>
            <w:tcW w:w="1565" w:type="dxa"/>
            <w:tcBorders>
              <w:top w:val="nil"/>
              <w:left w:val="nil"/>
              <w:bottom w:val="nil"/>
              <w:right w:val="nil"/>
            </w:tcBorders>
          </w:tcPr>
          <w:p w14:paraId="2BFD332E"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1033465</w:t>
            </w:r>
          </w:p>
        </w:tc>
        <w:tc>
          <w:tcPr>
            <w:tcW w:w="1565" w:type="dxa"/>
            <w:tcBorders>
              <w:top w:val="nil"/>
              <w:left w:val="nil"/>
              <w:bottom w:val="nil"/>
              <w:right w:val="nil"/>
            </w:tcBorders>
          </w:tcPr>
          <w:p w14:paraId="2BA1385D"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8.51</w:t>
            </w:r>
          </w:p>
        </w:tc>
        <w:tc>
          <w:tcPr>
            <w:tcW w:w="1416" w:type="dxa"/>
            <w:tcBorders>
              <w:top w:val="nil"/>
              <w:left w:val="nil"/>
              <w:bottom w:val="nil"/>
            </w:tcBorders>
          </w:tcPr>
          <w:p w14:paraId="62FC1AA7"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0.00</w:t>
            </w:r>
          </w:p>
        </w:tc>
      </w:tr>
      <w:tr w:rsidR="002348ED" w:rsidRPr="005F1EE5" w14:paraId="1021D8BF" w14:textId="77777777" w:rsidTr="00FF4E21">
        <w:tc>
          <w:tcPr>
            <w:tcW w:w="1613" w:type="dxa"/>
            <w:tcBorders>
              <w:top w:val="nil"/>
              <w:bottom w:val="nil"/>
              <w:right w:val="nil"/>
            </w:tcBorders>
          </w:tcPr>
          <w:p w14:paraId="59699BAA" w14:textId="77777777" w:rsidR="002348ED"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NWF</w:t>
            </w:r>
          </w:p>
        </w:tc>
        <w:tc>
          <w:tcPr>
            <w:tcW w:w="1576" w:type="dxa"/>
            <w:tcBorders>
              <w:top w:val="nil"/>
              <w:left w:val="nil"/>
              <w:bottom w:val="nil"/>
              <w:right w:val="nil"/>
            </w:tcBorders>
          </w:tcPr>
          <w:p w14:paraId="4385C0DE"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w:t>
            </w:r>
          </w:p>
        </w:tc>
        <w:tc>
          <w:tcPr>
            <w:tcW w:w="1292" w:type="dxa"/>
            <w:tcBorders>
              <w:top w:val="nil"/>
              <w:left w:val="nil"/>
              <w:bottom w:val="nil"/>
              <w:right w:val="nil"/>
            </w:tcBorders>
          </w:tcPr>
          <w:p w14:paraId="7D44E501" w14:textId="77777777" w:rsidR="002348ED" w:rsidRPr="005F72BC"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257000</w:t>
            </w:r>
          </w:p>
        </w:tc>
        <w:tc>
          <w:tcPr>
            <w:tcW w:w="1565" w:type="dxa"/>
            <w:tcBorders>
              <w:top w:val="nil"/>
              <w:left w:val="nil"/>
              <w:bottom w:val="nil"/>
              <w:right w:val="nil"/>
            </w:tcBorders>
          </w:tcPr>
          <w:p w14:paraId="571247D4"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257000</w:t>
            </w:r>
          </w:p>
        </w:tc>
        <w:tc>
          <w:tcPr>
            <w:tcW w:w="1565" w:type="dxa"/>
            <w:tcBorders>
              <w:top w:val="nil"/>
              <w:left w:val="nil"/>
              <w:bottom w:val="nil"/>
              <w:right w:val="nil"/>
            </w:tcBorders>
          </w:tcPr>
          <w:p w14:paraId="735A8294"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2.12</w:t>
            </w:r>
          </w:p>
        </w:tc>
        <w:tc>
          <w:tcPr>
            <w:tcW w:w="1416" w:type="dxa"/>
            <w:tcBorders>
              <w:top w:val="nil"/>
              <w:left w:val="nil"/>
              <w:bottom w:val="nil"/>
            </w:tcBorders>
          </w:tcPr>
          <w:p w14:paraId="72505D8D"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0.15</w:t>
            </w:r>
          </w:p>
        </w:tc>
      </w:tr>
      <w:tr w:rsidR="002348ED" w:rsidRPr="005F1EE5" w14:paraId="25731064" w14:textId="77777777" w:rsidTr="00FF4E21">
        <w:tc>
          <w:tcPr>
            <w:tcW w:w="1613" w:type="dxa"/>
            <w:tcBorders>
              <w:top w:val="nil"/>
              <w:bottom w:val="nil"/>
              <w:right w:val="nil"/>
            </w:tcBorders>
          </w:tcPr>
          <w:p w14:paraId="7D84C7DD" w14:textId="77777777" w:rsidR="002348ED"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MP</w:t>
            </w:r>
          </w:p>
        </w:tc>
        <w:tc>
          <w:tcPr>
            <w:tcW w:w="1576" w:type="dxa"/>
            <w:tcBorders>
              <w:top w:val="nil"/>
              <w:left w:val="nil"/>
              <w:bottom w:val="nil"/>
              <w:right w:val="nil"/>
            </w:tcBorders>
          </w:tcPr>
          <w:p w14:paraId="69F45721"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5</w:t>
            </w:r>
          </w:p>
        </w:tc>
        <w:tc>
          <w:tcPr>
            <w:tcW w:w="1292" w:type="dxa"/>
            <w:tcBorders>
              <w:top w:val="nil"/>
              <w:left w:val="nil"/>
              <w:bottom w:val="nil"/>
              <w:right w:val="nil"/>
            </w:tcBorders>
          </w:tcPr>
          <w:p w14:paraId="5DBF71EA" w14:textId="77777777" w:rsidR="002348ED" w:rsidRPr="005F72BC"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358924</w:t>
            </w:r>
          </w:p>
        </w:tc>
        <w:tc>
          <w:tcPr>
            <w:tcW w:w="1565" w:type="dxa"/>
            <w:tcBorders>
              <w:top w:val="nil"/>
              <w:left w:val="nil"/>
              <w:bottom w:val="nil"/>
              <w:right w:val="nil"/>
            </w:tcBorders>
          </w:tcPr>
          <w:p w14:paraId="1482118D"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71785</w:t>
            </w:r>
          </w:p>
        </w:tc>
        <w:tc>
          <w:tcPr>
            <w:tcW w:w="1565" w:type="dxa"/>
            <w:tcBorders>
              <w:top w:val="nil"/>
              <w:left w:val="nil"/>
              <w:bottom w:val="nil"/>
              <w:right w:val="nil"/>
            </w:tcBorders>
          </w:tcPr>
          <w:p w14:paraId="5CE80525"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0.59</w:t>
            </w:r>
          </w:p>
        </w:tc>
        <w:tc>
          <w:tcPr>
            <w:tcW w:w="1416" w:type="dxa"/>
            <w:tcBorders>
              <w:top w:val="nil"/>
              <w:left w:val="nil"/>
              <w:bottom w:val="nil"/>
            </w:tcBorders>
          </w:tcPr>
          <w:p w14:paraId="4C1A3BC0"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0.71</w:t>
            </w:r>
          </w:p>
        </w:tc>
      </w:tr>
      <w:tr w:rsidR="002348ED" w:rsidRPr="005F1EE5" w14:paraId="71D92EF2" w14:textId="77777777" w:rsidTr="00FF4E21">
        <w:tc>
          <w:tcPr>
            <w:tcW w:w="1613" w:type="dxa"/>
            <w:tcBorders>
              <w:top w:val="nil"/>
              <w:bottom w:val="nil"/>
              <w:right w:val="nil"/>
            </w:tcBorders>
          </w:tcPr>
          <w:p w14:paraId="4A48856C" w14:textId="77777777" w:rsidR="002348ED"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MAP</w:t>
            </w:r>
          </w:p>
        </w:tc>
        <w:tc>
          <w:tcPr>
            <w:tcW w:w="1576" w:type="dxa"/>
            <w:tcBorders>
              <w:top w:val="nil"/>
              <w:left w:val="nil"/>
              <w:bottom w:val="nil"/>
              <w:right w:val="nil"/>
            </w:tcBorders>
          </w:tcPr>
          <w:p w14:paraId="5B3369CF"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3</w:t>
            </w:r>
          </w:p>
        </w:tc>
        <w:tc>
          <w:tcPr>
            <w:tcW w:w="1292" w:type="dxa"/>
            <w:tcBorders>
              <w:top w:val="nil"/>
              <w:left w:val="nil"/>
              <w:bottom w:val="nil"/>
              <w:right w:val="nil"/>
            </w:tcBorders>
          </w:tcPr>
          <w:p w14:paraId="5E6F016A" w14:textId="77777777" w:rsidR="002348ED" w:rsidRPr="005F72BC"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1149065</w:t>
            </w:r>
          </w:p>
        </w:tc>
        <w:tc>
          <w:tcPr>
            <w:tcW w:w="1565" w:type="dxa"/>
            <w:tcBorders>
              <w:top w:val="nil"/>
              <w:left w:val="nil"/>
              <w:bottom w:val="nil"/>
              <w:right w:val="nil"/>
            </w:tcBorders>
          </w:tcPr>
          <w:p w14:paraId="639629D4"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383022</w:t>
            </w:r>
          </w:p>
        </w:tc>
        <w:tc>
          <w:tcPr>
            <w:tcW w:w="1565" w:type="dxa"/>
            <w:tcBorders>
              <w:top w:val="nil"/>
              <w:left w:val="nil"/>
              <w:bottom w:val="nil"/>
              <w:right w:val="nil"/>
            </w:tcBorders>
          </w:tcPr>
          <w:p w14:paraId="12CFA08E"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3.15</w:t>
            </w:r>
          </w:p>
        </w:tc>
        <w:tc>
          <w:tcPr>
            <w:tcW w:w="1416" w:type="dxa"/>
            <w:tcBorders>
              <w:top w:val="nil"/>
              <w:left w:val="nil"/>
              <w:bottom w:val="nil"/>
            </w:tcBorders>
          </w:tcPr>
          <w:p w14:paraId="424F28B3"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0.03</w:t>
            </w:r>
          </w:p>
        </w:tc>
      </w:tr>
      <w:tr w:rsidR="002348ED" w:rsidRPr="005F1EE5" w14:paraId="53A1EB99" w14:textId="77777777" w:rsidTr="00FF4E21">
        <w:tc>
          <w:tcPr>
            <w:tcW w:w="1613" w:type="dxa"/>
            <w:tcBorders>
              <w:top w:val="nil"/>
              <w:bottom w:val="nil"/>
              <w:right w:val="nil"/>
            </w:tcBorders>
          </w:tcPr>
          <w:p w14:paraId="33EAE48A" w14:textId="77777777" w:rsidR="002348ED"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FAP</w:t>
            </w:r>
          </w:p>
        </w:tc>
        <w:tc>
          <w:tcPr>
            <w:tcW w:w="1576" w:type="dxa"/>
            <w:tcBorders>
              <w:top w:val="nil"/>
              <w:left w:val="nil"/>
              <w:bottom w:val="nil"/>
              <w:right w:val="nil"/>
            </w:tcBorders>
          </w:tcPr>
          <w:p w14:paraId="554E47E4"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3</w:t>
            </w:r>
          </w:p>
        </w:tc>
        <w:tc>
          <w:tcPr>
            <w:tcW w:w="1292" w:type="dxa"/>
            <w:tcBorders>
              <w:top w:val="nil"/>
              <w:left w:val="nil"/>
              <w:bottom w:val="nil"/>
              <w:right w:val="nil"/>
            </w:tcBorders>
          </w:tcPr>
          <w:p w14:paraId="3728D3CA" w14:textId="77777777" w:rsidR="002348ED" w:rsidRPr="005F72BC"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115429</w:t>
            </w:r>
          </w:p>
        </w:tc>
        <w:tc>
          <w:tcPr>
            <w:tcW w:w="1565" w:type="dxa"/>
            <w:tcBorders>
              <w:top w:val="nil"/>
              <w:left w:val="nil"/>
              <w:bottom w:val="nil"/>
              <w:right w:val="nil"/>
            </w:tcBorders>
          </w:tcPr>
          <w:p w14:paraId="3451BDAE"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38476</w:t>
            </w:r>
          </w:p>
        </w:tc>
        <w:tc>
          <w:tcPr>
            <w:tcW w:w="1565" w:type="dxa"/>
            <w:tcBorders>
              <w:top w:val="nil"/>
              <w:left w:val="nil"/>
              <w:bottom w:val="nil"/>
              <w:right w:val="nil"/>
            </w:tcBorders>
          </w:tcPr>
          <w:p w14:paraId="3EE6991F"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0.32</w:t>
            </w:r>
          </w:p>
        </w:tc>
        <w:tc>
          <w:tcPr>
            <w:tcW w:w="1416" w:type="dxa"/>
            <w:tcBorders>
              <w:top w:val="nil"/>
              <w:left w:val="nil"/>
              <w:bottom w:val="nil"/>
            </w:tcBorders>
          </w:tcPr>
          <w:p w14:paraId="2F8D1D18"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0.81</w:t>
            </w:r>
          </w:p>
        </w:tc>
      </w:tr>
      <w:tr w:rsidR="002348ED" w:rsidRPr="005F1EE5" w14:paraId="6D501083" w14:textId="77777777" w:rsidTr="00FF4E21">
        <w:tc>
          <w:tcPr>
            <w:tcW w:w="1613" w:type="dxa"/>
            <w:tcBorders>
              <w:top w:val="nil"/>
              <w:bottom w:val="nil"/>
              <w:right w:val="nil"/>
            </w:tcBorders>
          </w:tcPr>
          <w:p w14:paraId="05D82A2C" w14:textId="77777777" w:rsidR="002348ED"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CMT</w:t>
            </w:r>
          </w:p>
        </w:tc>
        <w:tc>
          <w:tcPr>
            <w:tcW w:w="1576" w:type="dxa"/>
            <w:tcBorders>
              <w:top w:val="nil"/>
              <w:left w:val="nil"/>
              <w:bottom w:val="nil"/>
              <w:right w:val="nil"/>
            </w:tcBorders>
          </w:tcPr>
          <w:p w14:paraId="50D68870"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3</w:t>
            </w:r>
          </w:p>
        </w:tc>
        <w:tc>
          <w:tcPr>
            <w:tcW w:w="1292" w:type="dxa"/>
            <w:tcBorders>
              <w:top w:val="nil"/>
              <w:left w:val="nil"/>
              <w:bottom w:val="nil"/>
              <w:right w:val="nil"/>
            </w:tcBorders>
          </w:tcPr>
          <w:p w14:paraId="513D2234" w14:textId="77777777" w:rsidR="002348ED" w:rsidRPr="005F72BC"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6315047</w:t>
            </w:r>
          </w:p>
        </w:tc>
        <w:tc>
          <w:tcPr>
            <w:tcW w:w="1565" w:type="dxa"/>
            <w:tcBorders>
              <w:top w:val="nil"/>
              <w:left w:val="nil"/>
              <w:bottom w:val="nil"/>
              <w:right w:val="nil"/>
            </w:tcBorders>
          </w:tcPr>
          <w:p w14:paraId="315605D9"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121443</w:t>
            </w:r>
          </w:p>
        </w:tc>
        <w:tc>
          <w:tcPr>
            <w:tcW w:w="1565" w:type="dxa"/>
            <w:tcBorders>
              <w:top w:val="nil"/>
              <w:left w:val="nil"/>
              <w:bottom w:val="nil"/>
              <w:right w:val="nil"/>
            </w:tcBorders>
          </w:tcPr>
          <w:p w14:paraId="4C2B3152"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6.35</w:t>
            </w:r>
          </w:p>
        </w:tc>
        <w:tc>
          <w:tcPr>
            <w:tcW w:w="1416" w:type="dxa"/>
            <w:tcBorders>
              <w:top w:val="nil"/>
              <w:left w:val="nil"/>
              <w:bottom w:val="nil"/>
            </w:tcBorders>
          </w:tcPr>
          <w:p w14:paraId="300FE850"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0.00</w:t>
            </w:r>
          </w:p>
        </w:tc>
      </w:tr>
      <w:tr w:rsidR="002348ED" w:rsidRPr="005F1EE5" w14:paraId="4296D3EF" w14:textId="77777777" w:rsidTr="00FF4E21">
        <w:tc>
          <w:tcPr>
            <w:tcW w:w="1613" w:type="dxa"/>
            <w:tcBorders>
              <w:top w:val="nil"/>
              <w:bottom w:val="nil"/>
              <w:right w:val="nil"/>
            </w:tcBorders>
          </w:tcPr>
          <w:p w14:paraId="33966E6C" w14:textId="77777777" w:rsidR="002348ED"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Error</w:t>
            </w:r>
          </w:p>
        </w:tc>
        <w:tc>
          <w:tcPr>
            <w:tcW w:w="1576" w:type="dxa"/>
            <w:tcBorders>
              <w:top w:val="nil"/>
              <w:left w:val="nil"/>
              <w:bottom w:val="nil"/>
              <w:right w:val="nil"/>
            </w:tcBorders>
          </w:tcPr>
          <w:p w14:paraId="2D16F064"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52</w:t>
            </w:r>
          </w:p>
        </w:tc>
        <w:tc>
          <w:tcPr>
            <w:tcW w:w="1292" w:type="dxa"/>
            <w:tcBorders>
              <w:top w:val="nil"/>
              <w:left w:val="nil"/>
              <w:bottom w:val="nil"/>
              <w:right w:val="nil"/>
            </w:tcBorders>
          </w:tcPr>
          <w:p w14:paraId="6410E6EC" w14:textId="77777777" w:rsidR="002348ED" w:rsidRPr="005F72BC"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2312777</w:t>
            </w:r>
          </w:p>
        </w:tc>
        <w:tc>
          <w:tcPr>
            <w:tcW w:w="1565" w:type="dxa"/>
            <w:tcBorders>
              <w:top w:val="nil"/>
              <w:left w:val="nil"/>
              <w:bottom w:val="nil"/>
              <w:right w:val="nil"/>
            </w:tcBorders>
          </w:tcPr>
          <w:p w14:paraId="7777C738"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770926</w:t>
            </w:r>
          </w:p>
        </w:tc>
        <w:tc>
          <w:tcPr>
            <w:tcW w:w="1565" w:type="dxa"/>
            <w:tcBorders>
              <w:top w:val="nil"/>
              <w:left w:val="nil"/>
              <w:bottom w:val="nil"/>
              <w:right w:val="nil"/>
            </w:tcBorders>
          </w:tcPr>
          <w:p w14:paraId="4922A73B" w14:textId="77777777" w:rsidR="002348ED" w:rsidRDefault="002348ED" w:rsidP="00FF4E21">
            <w:pPr>
              <w:spacing w:before="0" w:after="0"/>
              <w:jc w:val="center"/>
              <w:rPr>
                <w:rFonts w:eastAsia="CIDFont+F4" w:cs="CIDFont+F4"/>
                <w:sz w:val="20"/>
                <w:szCs w:val="20"/>
                <w:lang w:val="sr-Latn-RS"/>
              </w:rPr>
            </w:pPr>
          </w:p>
        </w:tc>
        <w:tc>
          <w:tcPr>
            <w:tcW w:w="1416" w:type="dxa"/>
            <w:tcBorders>
              <w:top w:val="nil"/>
              <w:left w:val="nil"/>
              <w:bottom w:val="nil"/>
            </w:tcBorders>
          </w:tcPr>
          <w:p w14:paraId="51764DE3" w14:textId="77777777" w:rsidR="002348ED" w:rsidRDefault="002348ED" w:rsidP="00FF4E21">
            <w:pPr>
              <w:spacing w:before="0" w:after="0"/>
              <w:jc w:val="center"/>
              <w:rPr>
                <w:rFonts w:eastAsia="CIDFont+F4" w:cs="CIDFont+F4"/>
                <w:sz w:val="20"/>
                <w:szCs w:val="20"/>
                <w:lang w:val="sr-Latn-RS"/>
              </w:rPr>
            </w:pPr>
          </w:p>
        </w:tc>
      </w:tr>
      <w:tr w:rsidR="002348ED" w:rsidRPr="005F1EE5" w14:paraId="4FFF8344" w14:textId="77777777" w:rsidTr="00FF4E21">
        <w:tc>
          <w:tcPr>
            <w:tcW w:w="1613" w:type="dxa"/>
            <w:tcBorders>
              <w:top w:val="nil"/>
              <w:bottom w:val="single" w:sz="4" w:space="0" w:color="auto"/>
              <w:right w:val="nil"/>
            </w:tcBorders>
          </w:tcPr>
          <w:p w14:paraId="2F4D42D4" w14:textId="77777777" w:rsidR="002348ED"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Total</w:t>
            </w:r>
          </w:p>
        </w:tc>
        <w:tc>
          <w:tcPr>
            <w:tcW w:w="1576" w:type="dxa"/>
            <w:tcBorders>
              <w:top w:val="nil"/>
              <w:left w:val="nil"/>
              <w:bottom w:val="single" w:sz="4" w:space="0" w:color="auto"/>
              <w:right w:val="nil"/>
            </w:tcBorders>
          </w:tcPr>
          <w:p w14:paraId="42099209"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71</w:t>
            </w:r>
          </w:p>
        </w:tc>
        <w:tc>
          <w:tcPr>
            <w:tcW w:w="1292" w:type="dxa"/>
            <w:tcBorders>
              <w:top w:val="nil"/>
              <w:left w:val="nil"/>
              <w:bottom w:val="single" w:sz="4" w:space="0" w:color="auto"/>
              <w:right w:val="nil"/>
            </w:tcBorders>
          </w:tcPr>
          <w:p w14:paraId="04344701" w14:textId="77777777" w:rsidR="002348ED" w:rsidRPr="005F72BC"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16033284</w:t>
            </w:r>
          </w:p>
        </w:tc>
        <w:tc>
          <w:tcPr>
            <w:tcW w:w="1565" w:type="dxa"/>
            <w:tcBorders>
              <w:top w:val="nil"/>
              <w:left w:val="nil"/>
              <w:bottom w:val="single" w:sz="4" w:space="0" w:color="auto"/>
              <w:right w:val="nil"/>
            </w:tcBorders>
          </w:tcPr>
          <w:p w14:paraId="64949BC5" w14:textId="77777777" w:rsidR="002348ED" w:rsidRPr="00DC6B00" w:rsidRDefault="002348ED" w:rsidP="00FF4E21">
            <w:pPr>
              <w:spacing w:before="0" w:after="0"/>
              <w:jc w:val="center"/>
              <w:rPr>
                <w:rFonts w:eastAsia="CIDFont+F4" w:cs="CIDFont+F4"/>
                <w:sz w:val="20"/>
                <w:szCs w:val="20"/>
                <w:lang w:val="sr-Latn-RS"/>
              </w:rPr>
            </w:pPr>
          </w:p>
        </w:tc>
        <w:tc>
          <w:tcPr>
            <w:tcW w:w="1565" w:type="dxa"/>
            <w:tcBorders>
              <w:top w:val="nil"/>
              <w:left w:val="nil"/>
              <w:bottom w:val="single" w:sz="4" w:space="0" w:color="auto"/>
              <w:right w:val="nil"/>
            </w:tcBorders>
          </w:tcPr>
          <w:p w14:paraId="3428CD6D" w14:textId="77777777" w:rsidR="002348ED" w:rsidRDefault="002348ED" w:rsidP="00FF4E21">
            <w:pPr>
              <w:spacing w:before="0" w:after="0"/>
              <w:jc w:val="center"/>
              <w:rPr>
                <w:rFonts w:eastAsia="CIDFont+F4" w:cs="CIDFont+F4"/>
                <w:sz w:val="20"/>
                <w:szCs w:val="20"/>
                <w:lang w:val="sr-Latn-RS"/>
              </w:rPr>
            </w:pPr>
          </w:p>
        </w:tc>
        <w:tc>
          <w:tcPr>
            <w:tcW w:w="1416" w:type="dxa"/>
            <w:tcBorders>
              <w:top w:val="nil"/>
              <w:left w:val="nil"/>
              <w:bottom w:val="single" w:sz="4" w:space="0" w:color="auto"/>
            </w:tcBorders>
          </w:tcPr>
          <w:p w14:paraId="1C5DA7EA" w14:textId="77777777" w:rsidR="002348ED" w:rsidRDefault="002348ED" w:rsidP="00FF4E21">
            <w:pPr>
              <w:spacing w:before="0" w:after="0"/>
              <w:jc w:val="center"/>
              <w:rPr>
                <w:rFonts w:eastAsia="CIDFont+F4" w:cs="CIDFont+F4"/>
                <w:sz w:val="20"/>
                <w:szCs w:val="20"/>
                <w:lang w:val="sr-Latn-RS"/>
              </w:rPr>
            </w:pPr>
          </w:p>
        </w:tc>
      </w:tr>
      <w:tr w:rsidR="002348ED" w:rsidRPr="005F1EE5" w14:paraId="0CD2D45F" w14:textId="77777777" w:rsidTr="00FF4E21">
        <w:tc>
          <w:tcPr>
            <w:tcW w:w="9027" w:type="dxa"/>
            <w:gridSpan w:val="6"/>
            <w:tcBorders>
              <w:top w:val="single" w:sz="4" w:space="0" w:color="auto"/>
              <w:bottom w:val="single" w:sz="4" w:space="0" w:color="auto"/>
            </w:tcBorders>
          </w:tcPr>
          <w:p w14:paraId="185B9794"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Multiple linear regression model for MTBF without intercept</w:t>
            </w:r>
          </w:p>
        </w:tc>
      </w:tr>
      <w:tr w:rsidR="002348ED" w:rsidRPr="005F1EE5" w14:paraId="544EAB9F" w14:textId="77777777" w:rsidTr="00FF4E21">
        <w:tc>
          <w:tcPr>
            <w:tcW w:w="1613" w:type="dxa"/>
            <w:tcBorders>
              <w:top w:val="single" w:sz="4" w:space="0" w:color="auto"/>
              <w:bottom w:val="nil"/>
              <w:right w:val="nil"/>
            </w:tcBorders>
          </w:tcPr>
          <w:p w14:paraId="0F29FE8E" w14:textId="77777777" w:rsidR="002348ED" w:rsidRDefault="002348ED" w:rsidP="00FF4E21">
            <w:pPr>
              <w:spacing w:before="0" w:after="0"/>
              <w:jc w:val="center"/>
              <w:rPr>
                <w:rFonts w:eastAsia="CIDFont+F4" w:cs="CIDFont+F4"/>
                <w:i/>
                <w:iCs/>
                <w:sz w:val="20"/>
                <w:szCs w:val="20"/>
                <w:lang w:val="sr-Latn-RS"/>
              </w:rPr>
            </w:pPr>
            <w:r>
              <w:rPr>
                <w:rFonts w:eastAsia="CIDFont+F4" w:cs="CIDFont+F4"/>
                <w:sz w:val="20"/>
                <w:szCs w:val="20"/>
                <w:lang w:val="sr-Latn-RS"/>
              </w:rPr>
              <w:t>Regression</w:t>
            </w:r>
          </w:p>
        </w:tc>
        <w:tc>
          <w:tcPr>
            <w:tcW w:w="1576" w:type="dxa"/>
            <w:tcBorders>
              <w:top w:val="single" w:sz="4" w:space="0" w:color="auto"/>
              <w:left w:val="nil"/>
              <w:bottom w:val="nil"/>
              <w:right w:val="nil"/>
            </w:tcBorders>
          </w:tcPr>
          <w:p w14:paraId="59175059"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19</w:t>
            </w:r>
          </w:p>
        </w:tc>
        <w:tc>
          <w:tcPr>
            <w:tcW w:w="1292" w:type="dxa"/>
            <w:tcBorders>
              <w:top w:val="single" w:sz="4" w:space="0" w:color="auto"/>
              <w:left w:val="nil"/>
              <w:bottom w:val="nil"/>
              <w:right w:val="nil"/>
            </w:tcBorders>
          </w:tcPr>
          <w:p w14:paraId="6E723A19"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132076521</w:t>
            </w:r>
          </w:p>
        </w:tc>
        <w:tc>
          <w:tcPr>
            <w:tcW w:w="1565" w:type="dxa"/>
            <w:tcBorders>
              <w:top w:val="single" w:sz="4" w:space="0" w:color="auto"/>
              <w:left w:val="nil"/>
              <w:bottom w:val="nil"/>
              <w:right w:val="nil"/>
            </w:tcBorders>
          </w:tcPr>
          <w:p w14:paraId="2F2BD422"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6951396</w:t>
            </w:r>
          </w:p>
        </w:tc>
        <w:tc>
          <w:tcPr>
            <w:tcW w:w="1565" w:type="dxa"/>
            <w:tcBorders>
              <w:top w:val="single" w:sz="4" w:space="0" w:color="auto"/>
              <w:left w:val="nil"/>
              <w:bottom w:val="nil"/>
              <w:right w:val="nil"/>
            </w:tcBorders>
          </w:tcPr>
          <w:p w14:paraId="3F75EA5A"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51.44</w:t>
            </w:r>
          </w:p>
        </w:tc>
        <w:tc>
          <w:tcPr>
            <w:tcW w:w="1416" w:type="dxa"/>
            <w:tcBorders>
              <w:top w:val="single" w:sz="4" w:space="0" w:color="auto"/>
              <w:left w:val="nil"/>
              <w:bottom w:val="nil"/>
            </w:tcBorders>
          </w:tcPr>
          <w:p w14:paraId="29AC5BE8"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0.00</w:t>
            </w:r>
          </w:p>
        </w:tc>
      </w:tr>
      <w:tr w:rsidR="002348ED" w:rsidRPr="005F1EE5" w14:paraId="35176F7D" w14:textId="77777777" w:rsidTr="00FF4E21">
        <w:tc>
          <w:tcPr>
            <w:tcW w:w="1613" w:type="dxa"/>
            <w:tcBorders>
              <w:top w:val="nil"/>
              <w:bottom w:val="nil"/>
              <w:right w:val="nil"/>
            </w:tcBorders>
          </w:tcPr>
          <w:p w14:paraId="691AD285" w14:textId="77777777" w:rsidR="002348ED"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FRT</w:t>
            </w:r>
          </w:p>
        </w:tc>
        <w:tc>
          <w:tcPr>
            <w:tcW w:w="1576" w:type="dxa"/>
            <w:tcBorders>
              <w:top w:val="nil"/>
              <w:left w:val="nil"/>
              <w:bottom w:val="nil"/>
              <w:right w:val="nil"/>
            </w:tcBorders>
          </w:tcPr>
          <w:p w14:paraId="450B1767"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w:t>
            </w:r>
          </w:p>
        </w:tc>
        <w:tc>
          <w:tcPr>
            <w:tcW w:w="1292" w:type="dxa"/>
            <w:tcBorders>
              <w:top w:val="nil"/>
              <w:left w:val="nil"/>
              <w:bottom w:val="nil"/>
              <w:right w:val="nil"/>
            </w:tcBorders>
          </w:tcPr>
          <w:p w14:paraId="558D9126"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662397</w:t>
            </w:r>
          </w:p>
        </w:tc>
        <w:tc>
          <w:tcPr>
            <w:tcW w:w="1565" w:type="dxa"/>
            <w:tcBorders>
              <w:top w:val="nil"/>
              <w:left w:val="nil"/>
              <w:bottom w:val="nil"/>
              <w:right w:val="nil"/>
            </w:tcBorders>
          </w:tcPr>
          <w:p w14:paraId="33064AA1"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662397</w:t>
            </w:r>
          </w:p>
        </w:tc>
        <w:tc>
          <w:tcPr>
            <w:tcW w:w="1565" w:type="dxa"/>
            <w:tcBorders>
              <w:top w:val="nil"/>
              <w:left w:val="nil"/>
              <w:bottom w:val="nil"/>
              <w:right w:val="nil"/>
            </w:tcBorders>
          </w:tcPr>
          <w:p w14:paraId="1369C494"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4.90</w:t>
            </w:r>
          </w:p>
        </w:tc>
        <w:tc>
          <w:tcPr>
            <w:tcW w:w="1416" w:type="dxa"/>
            <w:tcBorders>
              <w:top w:val="nil"/>
              <w:left w:val="nil"/>
              <w:bottom w:val="nil"/>
            </w:tcBorders>
          </w:tcPr>
          <w:p w14:paraId="5BA71D2F"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0.03</w:t>
            </w:r>
          </w:p>
        </w:tc>
      </w:tr>
      <w:tr w:rsidR="002348ED" w:rsidRPr="005F1EE5" w14:paraId="0DCF5F7D" w14:textId="77777777" w:rsidTr="00FF4E21">
        <w:tc>
          <w:tcPr>
            <w:tcW w:w="1613" w:type="dxa"/>
            <w:tcBorders>
              <w:top w:val="nil"/>
              <w:bottom w:val="nil"/>
              <w:right w:val="nil"/>
            </w:tcBorders>
          </w:tcPr>
          <w:p w14:paraId="5F1CD8F6" w14:textId="77777777" w:rsidR="002348ED"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MA</w:t>
            </w:r>
          </w:p>
        </w:tc>
        <w:tc>
          <w:tcPr>
            <w:tcW w:w="1576" w:type="dxa"/>
            <w:tcBorders>
              <w:top w:val="nil"/>
              <w:left w:val="nil"/>
              <w:bottom w:val="nil"/>
              <w:right w:val="nil"/>
            </w:tcBorders>
          </w:tcPr>
          <w:p w14:paraId="70BC4B4D"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w:t>
            </w:r>
          </w:p>
        </w:tc>
        <w:tc>
          <w:tcPr>
            <w:tcW w:w="1292" w:type="dxa"/>
            <w:tcBorders>
              <w:top w:val="nil"/>
              <w:left w:val="nil"/>
              <w:bottom w:val="nil"/>
              <w:right w:val="nil"/>
            </w:tcBorders>
          </w:tcPr>
          <w:p w14:paraId="02A1C56F"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2052868</w:t>
            </w:r>
          </w:p>
        </w:tc>
        <w:tc>
          <w:tcPr>
            <w:tcW w:w="1565" w:type="dxa"/>
            <w:tcBorders>
              <w:top w:val="nil"/>
              <w:left w:val="nil"/>
              <w:bottom w:val="nil"/>
              <w:right w:val="nil"/>
            </w:tcBorders>
          </w:tcPr>
          <w:p w14:paraId="131FDB90"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2052868</w:t>
            </w:r>
          </w:p>
        </w:tc>
        <w:tc>
          <w:tcPr>
            <w:tcW w:w="1565" w:type="dxa"/>
            <w:tcBorders>
              <w:top w:val="nil"/>
              <w:left w:val="nil"/>
              <w:bottom w:val="nil"/>
              <w:right w:val="nil"/>
            </w:tcBorders>
          </w:tcPr>
          <w:p w14:paraId="4836EB8C"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15.19</w:t>
            </w:r>
          </w:p>
        </w:tc>
        <w:tc>
          <w:tcPr>
            <w:tcW w:w="1416" w:type="dxa"/>
            <w:tcBorders>
              <w:top w:val="nil"/>
              <w:left w:val="nil"/>
              <w:bottom w:val="nil"/>
            </w:tcBorders>
          </w:tcPr>
          <w:p w14:paraId="7DF7283B"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0.00</w:t>
            </w:r>
          </w:p>
        </w:tc>
      </w:tr>
      <w:tr w:rsidR="002348ED" w:rsidRPr="005F1EE5" w14:paraId="3D7E732E" w14:textId="77777777" w:rsidTr="00FF4E21">
        <w:tc>
          <w:tcPr>
            <w:tcW w:w="1613" w:type="dxa"/>
            <w:tcBorders>
              <w:top w:val="nil"/>
              <w:bottom w:val="nil"/>
              <w:right w:val="nil"/>
            </w:tcBorders>
          </w:tcPr>
          <w:p w14:paraId="678F0238" w14:textId="77777777" w:rsidR="002348ED"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TTOR</w:t>
            </w:r>
          </w:p>
        </w:tc>
        <w:tc>
          <w:tcPr>
            <w:tcW w:w="1576" w:type="dxa"/>
            <w:tcBorders>
              <w:top w:val="nil"/>
              <w:left w:val="nil"/>
              <w:bottom w:val="nil"/>
              <w:right w:val="nil"/>
            </w:tcBorders>
          </w:tcPr>
          <w:p w14:paraId="745506F1"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w:t>
            </w:r>
          </w:p>
        </w:tc>
        <w:tc>
          <w:tcPr>
            <w:tcW w:w="1292" w:type="dxa"/>
            <w:tcBorders>
              <w:top w:val="nil"/>
              <w:left w:val="nil"/>
              <w:bottom w:val="nil"/>
              <w:right w:val="nil"/>
            </w:tcBorders>
          </w:tcPr>
          <w:p w14:paraId="7CF83B44"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467583</w:t>
            </w:r>
          </w:p>
        </w:tc>
        <w:tc>
          <w:tcPr>
            <w:tcW w:w="1565" w:type="dxa"/>
            <w:tcBorders>
              <w:top w:val="nil"/>
              <w:left w:val="nil"/>
              <w:bottom w:val="nil"/>
              <w:right w:val="nil"/>
            </w:tcBorders>
          </w:tcPr>
          <w:p w14:paraId="5A06994F"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467583</w:t>
            </w:r>
          </w:p>
        </w:tc>
        <w:tc>
          <w:tcPr>
            <w:tcW w:w="1565" w:type="dxa"/>
            <w:tcBorders>
              <w:top w:val="nil"/>
              <w:left w:val="nil"/>
              <w:bottom w:val="nil"/>
              <w:right w:val="nil"/>
            </w:tcBorders>
          </w:tcPr>
          <w:p w14:paraId="4A346469"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3.46</w:t>
            </w:r>
          </w:p>
        </w:tc>
        <w:tc>
          <w:tcPr>
            <w:tcW w:w="1416" w:type="dxa"/>
            <w:tcBorders>
              <w:top w:val="nil"/>
              <w:left w:val="nil"/>
              <w:bottom w:val="nil"/>
            </w:tcBorders>
          </w:tcPr>
          <w:p w14:paraId="56FCDB85"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0.07</w:t>
            </w:r>
          </w:p>
        </w:tc>
      </w:tr>
      <w:tr w:rsidR="002348ED" w:rsidRPr="005F1EE5" w14:paraId="07194CEE" w14:textId="77777777" w:rsidTr="00FF4E21">
        <w:tc>
          <w:tcPr>
            <w:tcW w:w="1613" w:type="dxa"/>
            <w:tcBorders>
              <w:top w:val="nil"/>
              <w:bottom w:val="nil"/>
              <w:right w:val="nil"/>
            </w:tcBorders>
          </w:tcPr>
          <w:p w14:paraId="37157AD6" w14:textId="77777777" w:rsidR="002348ED"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NWP</w:t>
            </w:r>
          </w:p>
        </w:tc>
        <w:tc>
          <w:tcPr>
            <w:tcW w:w="1576" w:type="dxa"/>
            <w:tcBorders>
              <w:top w:val="nil"/>
              <w:left w:val="nil"/>
              <w:bottom w:val="nil"/>
              <w:right w:val="nil"/>
            </w:tcBorders>
          </w:tcPr>
          <w:p w14:paraId="4E163663"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w:t>
            </w:r>
          </w:p>
        </w:tc>
        <w:tc>
          <w:tcPr>
            <w:tcW w:w="1292" w:type="dxa"/>
            <w:tcBorders>
              <w:top w:val="nil"/>
              <w:left w:val="nil"/>
              <w:bottom w:val="nil"/>
              <w:right w:val="nil"/>
            </w:tcBorders>
          </w:tcPr>
          <w:p w14:paraId="45315B37"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1234608</w:t>
            </w:r>
          </w:p>
        </w:tc>
        <w:tc>
          <w:tcPr>
            <w:tcW w:w="1565" w:type="dxa"/>
            <w:tcBorders>
              <w:top w:val="nil"/>
              <w:left w:val="nil"/>
              <w:bottom w:val="nil"/>
              <w:right w:val="nil"/>
            </w:tcBorders>
          </w:tcPr>
          <w:p w14:paraId="1185325D"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1234608</w:t>
            </w:r>
          </w:p>
        </w:tc>
        <w:tc>
          <w:tcPr>
            <w:tcW w:w="1565" w:type="dxa"/>
            <w:tcBorders>
              <w:top w:val="nil"/>
              <w:left w:val="nil"/>
              <w:bottom w:val="nil"/>
              <w:right w:val="nil"/>
            </w:tcBorders>
          </w:tcPr>
          <w:p w14:paraId="3DE9C40C"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9.14</w:t>
            </w:r>
          </w:p>
        </w:tc>
        <w:tc>
          <w:tcPr>
            <w:tcW w:w="1416" w:type="dxa"/>
            <w:tcBorders>
              <w:top w:val="nil"/>
              <w:left w:val="nil"/>
              <w:bottom w:val="nil"/>
            </w:tcBorders>
          </w:tcPr>
          <w:p w14:paraId="4C12C4EB"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0.00</w:t>
            </w:r>
          </w:p>
        </w:tc>
      </w:tr>
      <w:tr w:rsidR="002348ED" w:rsidRPr="005F1EE5" w14:paraId="2FAD17EB" w14:textId="77777777" w:rsidTr="00FF4E21">
        <w:tc>
          <w:tcPr>
            <w:tcW w:w="1613" w:type="dxa"/>
            <w:tcBorders>
              <w:top w:val="nil"/>
              <w:bottom w:val="nil"/>
              <w:right w:val="nil"/>
            </w:tcBorders>
          </w:tcPr>
          <w:p w14:paraId="70A90CF7" w14:textId="77777777" w:rsidR="002348ED"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NWF</w:t>
            </w:r>
          </w:p>
        </w:tc>
        <w:tc>
          <w:tcPr>
            <w:tcW w:w="1576" w:type="dxa"/>
            <w:tcBorders>
              <w:top w:val="nil"/>
              <w:left w:val="nil"/>
              <w:bottom w:val="nil"/>
              <w:right w:val="nil"/>
            </w:tcBorders>
          </w:tcPr>
          <w:p w14:paraId="20635D03"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w:t>
            </w:r>
          </w:p>
        </w:tc>
        <w:tc>
          <w:tcPr>
            <w:tcW w:w="1292" w:type="dxa"/>
            <w:tcBorders>
              <w:top w:val="nil"/>
              <w:left w:val="nil"/>
              <w:bottom w:val="nil"/>
              <w:right w:val="nil"/>
            </w:tcBorders>
          </w:tcPr>
          <w:p w14:paraId="1EF40A8B"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187712</w:t>
            </w:r>
          </w:p>
        </w:tc>
        <w:tc>
          <w:tcPr>
            <w:tcW w:w="1565" w:type="dxa"/>
            <w:tcBorders>
              <w:top w:val="nil"/>
              <w:left w:val="nil"/>
              <w:bottom w:val="nil"/>
              <w:right w:val="nil"/>
            </w:tcBorders>
          </w:tcPr>
          <w:p w14:paraId="134530CB"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187712</w:t>
            </w:r>
          </w:p>
        </w:tc>
        <w:tc>
          <w:tcPr>
            <w:tcW w:w="1565" w:type="dxa"/>
            <w:tcBorders>
              <w:top w:val="nil"/>
              <w:left w:val="nil"/>
              <w:bottom w:val="nil"/>
              <w:right w:val="nil"/>
            </w:tcBorders>
          </w:tcPr>
          <w:p w14:paraId="606D9B5C"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1.39</w:t>
            </w:r>
          </w:p>
        </w:tc>
        <w:tc>
          <w:tcPr>
            <w:tcW w:w="1416" w:type="dxa"/>
            <w:tcBorders>
              <w:top w:val="nil"/>
              <w:left w:val="nil"/>
              <w:bottom w:val="nil"/>
            </w:tcBorders>
          </w:tcPr>
          <w:p w14:paraId="67EDFA6D"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0.24</w:t>
            </w:r>
          </w:p>
        </w:tc>
      </w:tr>
      <w:tr w:rsidR="002348ED" w:rsidRPr="005F1EE5" w14:paraId="44F18086" w14:textId="77777777" w:rsidTr="00FF4E21">
        <w:tc>
          <w:tcPr>
            <w:tcW w:w="1613" w:type="dxa"/>
            <w:tcBorders>
              <w:top w:val="nil"/>
              <w:bottom w:val="nil"/>
              <w:right w:val="nil"/>
            </w:tcBorders>
          </w:tcPr>
          <w:p w14:paraId="1E7B5090" w14:textId="77777777" w:rsidR="002348ED"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MP</w:t>
            </w:r>
          </w:p>
        </w:tc>
        <w:tc>
          <w:tcPr>
            <w:tcW w:w="1576" w:type="dxa"/>
            <w:tcBorders>
              <w:top w:val="nil"/>
              <w:left w:val="nil"/>
              <w:bottom w:val="nil"/>
              <w:right w:val="nil"/>
            </w:tcBorders>
          </w:tcPr>
          <w:p w14:paraId="7BCE7502"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5</w:t>
            </w:r>
          </w:p>
        </w:tc>
        <w:tc>
          <w:tcPr>
            <w:tcW w:w="1292" w:type="dxa"/>
            <w:tcBorders>
              <w:top w:val="nil"/>
              <w:left w:val="nil"/>
              <w:bottom w:val="nil"/>
              <w:right w:val="nil"/>
            </w:tcBorders>
          </w:tcPr>
          <w:p w14:paraId="3A6BBF9E"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2922886</w:t>
            </w:r>
          </w:p>
        </w:tc>
        <w:tc>
          <w:tcPr>
            <w:tcW w:w="1565" w:type="dxa"/>
            <w:tcBorders>
              <w:top w:val="nil"/>
              <w:left w:val="nil"/>
              <w:bottom w:val="nil"/>
              <w:right w:val="nil"/>
            </w:tcBorders>
          </w:tcPr>
          <w:p w14:paraId="52A2EDD5"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58577</w:t>
            </w:r>
          </w:p>
        </w:tc>
        <w:tc>
          <w:tcPr>
            <w:tcW w:w="1565" w:type="dxa"/>
            <w:tcBorders>
              <w:top w:val="nil"/>
              <w:left w:val="nil"/>
              <w:bottom w:val="nil"/>
              <w:right w:val="nil"/>
            </w:tcBorders>
          </w:tcPr>
          <w:p w14:paraId="4F8AF1A0"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0.43</w:t>
            </w:r>
          </w:p>
        </w:tc>
        <w:tc>
          <w:tcPr>
            <w:tcW w:w="1416" w:type="dxa"/>
            <w:tcBorders>
              <w:top w:val="nil"/>
              <w:left w:val="nil"/>
              <w:bottom w:val="nil"/>
            </w:tcBorders>
          </w:tcPr>
          <w:p w14:paraId="20645A86"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0.83</w:t>
            </w:r>
          </w:p>
        </w:tc>
      </w:tr>
      <w:tr w:rsidR="002348ED" w:rsidRPr="005F1EE5" w14:paraId="587477AB" w14:textId="77777777" w:rsidTr="00FF4E21">
        <w:tc>
          <w:tcPr>
            <w:tcW w:w="1613" w:type="dxa"/>
            <w:tcBorders>
              <w:top w:val="nil"/>
              <w:bottom w:val="nil"/>
              <w:right w:val="nil"/>
            </w:tcBorders>
          </w:tcPr>
          <w:p w14:paraId="7FDC7735" w14:textId="77777777" w:rsidR="002348ED"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MAP</w:t>
            </w:r>
          </w:p>
        </w:tc>
        <w:tc>
          <w:tcPr>
            <w:tcW w:w="1576" w:type="dxa"/>
            <w:tcBorders>
              <w:top w:val="nil"/>
              <w:left w:val="nil"/>
              <w:bottom w:val="nil"/>
              <w:right w:val="nil"/>
            </w:tcBorders>
          </w:tcPr>
          <w:p w14:paraId="47D626FC"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3</w:t>
            </w:r>
          </w:p>
        </w:tc>
        <w:tc>
          <w:tcPr>
            <w:tcW w:w="1292" w:type="dxa"/>
            <w:tcBorders>
              <w:top w:val="nil"/>
              <w:left w:val="nil"/>
              <w:bottom w:val="nil"/>
              <w:right w:val="nil"/>
            </w:tcBorders>
          </w:tcPr>
          <w:p w14:paraId="7DA27FC3"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1813295</w:t>
            </w:r>
          </w:p>
        </w:tc>
        <w:tc>
          <w:tcPr>
            <w:tcW w:w="1565" w:type="dxa"/>
            <w:tcBorders>
              <w:top w:val="nil"/>
              <w:left w:val="nil"/>
              <w:bottom w:val="nil"/>
              <w:right w:val="nil"/>
            </w:tcBorders>
          </w:tcPr>
          <w:p w14:paraId="5E0C6375"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604432</w:t>
            </w:r>
          </w:p>
        </w:tc>
        <w:tc>
          <w:tcPr>
            <w:tcW w:w="1565" w:type="dxa"/>
            <w:tcBorders>
              <w:top w:val="nil"/>
              <w:left w:val="nil"/>
              <w:bottom w:val="nil"/>
              <w:right w:val="nil"/>
            </w:tcBorders>
          </w:tcPr>
          <w:p w14:paraId="1C507704"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4.47</w:t>
            </w:r>
          </w:p>
        </w:tc>
        <w:tc>
          <w:tcPr>
            <w:tcW w:w="1416" w:type="dxa"/>
            <w:tcBorders>
              <w:top w:val="nil"/>
              <w:left w:val="nil"/>
              <w:bottom w:val="nil"/>
            </w:tcBorders>
          </w:tcPr>
          <w:p w14:paraId="55F2A36D"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0.00</w:t>
            </w:r>
          </w:p>
        </w:tc>
      </w:tr>
      <w:tr w:rsidR="002348ED" w:rsidRPr="005F1EE5" w14:paraId="1F2E80E9" w14:textId="77777777" w:rsidTr="00FF4E21">
        <w:tc>
          <w:tcPr>
            <w:tcW w:w="1613" w:type="dxa"/>
            <w:tcBorders>
              <w:top w:val="nil"/>
              <w:bottom w:val="nil"/>
              <w:right w:val="nil"/>
            </w:tcBorders>
          </w:tcPr>
          <w:p w14:paraId="071FCA9E" w14:textId="77777777" w:rsidR="002348ED"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FAP</w:t>
            </w:r>
          </w:p>
        </w:tc>
        <w:tc>
          <w:tcPr>
            <w:tcW w:w="1576" w:type="dxa"/>
            <w:tcBorders>
              <w:top w:val="nil"/>
              <w:left w:val="nil"/>
              <w:bottom w:val="nil"/>
              <w:right w:val="nil"/>
            </w:tcBorders>
          </w:tcPr>
          <w:p w14:paraId="69ACCDA9"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3</w:t>
            </w:r>
          </w:p>
        </w:tc>
        <w:tc>
          <w:tcPr>
            <w:tcW w:w="1292" w:type="dxa"/>
            <w:tcBorders>
              <w:top w:val="nil"/>
              <w:left w:val="nil"/>
              <w:bottom w:val="nil"/>
              <w:right w:val="nil"/>
            </w:tcBorders>
          </w:tcPr>
          <w:p w14:paraId="255ACA6D"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263942</w:t>
            </w:r>
          </w:p>
        </w:tc>
        <w:tc>
          <w:tcPr>
            <w:tcW w:w="1565" w:type="dxa"/>
            <w:tcBorders>
              <w:top w:val="nil"/>
              <w:left w:val="nil"/>
              <w:bottom w:val="nil"/>
              <w:right w:val="nil"/>
            </w:tcBorders>
          </w:tcPr>
          <w:p w14:paraId="27147F02"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87981</w:t>
            </w:r>
          </w:p>
        </w:tc>
        <w:tc>
          <w:tcPr>
            <w:tcW w:w="1565" w:type="dxa"/>
            <w:tcBorders>
              <w:top w:val="nil"/>
              <w:left w:val="nil"/>
              <w:bottom w:val="nil"/>
              <w:right w:val="nil"/>
            </w:tcBorders>
          </w:tcPr>
          <w:p w14:paraId="5859272C"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0.65</w:t>
            </w:r>
          </w:p>
        </w:tc>
        <w:tc>
          <w:tcPr>
            <w:tcW w:w="1416" w:type="dxa"/>
            <w:tcBorders>
              <w:top w:val="nil"/>
              <w:left w:val="nil"/>
              <w:bottom w:val="nil"/>
            </w:tcBorders>
          </w:tcPr>
          <w:p w14:paraId="6F40ACB5"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0.59</w:t>
            </w:r>
          </w:p>
        </w:tc>
      </w:tr>
      <w:tr w:rsidR="002348ED" w:rsidRPr="005F1EE5" w14:paraId="1F751A72" w14:textId="77777777" w:rsidTr="00FF4E21">
        <w:tc>
          <w:tcPr>
            <w:tcW w:w="1613" w:type="dxa"/>
            <w:tcBorders>
              <w:top w:val="nil"/>
              <w:bottom w:val="nil"/>
              <w:right w:val="nil"/>
            </w:tcBorders>
          </w:tcPr>
          <w:p w14:paraId="56142683" w14:textId="77777777" w:rsidR="002348ED"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CMT</w:t>
            </w:r>
          </w:p>
        </w:tc>
        <w:tc>
          <w:tcPr>
            <w:tcW w:w="1576" w:type="dxa"/>
            <w:tcBorders>
              <w:top w:val="nil"/>
              <w:left w:val="nil"/>
              <w:bottom w:val="nil"/>
              <w:right w:val="nil"/>
            </w:tcBorders>
          </w:tcPr>
          <w:p w14:paraId="5E164E73"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3</w:t>
            </w:r>
          </w:p>
        </w:tc>
        <w:tc>
          <w:tcPr>
            <w:tcW w:w="1292" w:type="dxa"/>
            <w:tcBorders>
              <w:top w:val="nil"/>
              <w:left w:val="nil"/>
              <w:bottom w:val="nil"/>
              <w:right w:val="nil"/>
            </w:tcBorders>
          </w:tcPr>
          <w:p w14:paraId="18CC69F8"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7096473</w:t>
            </w:r>
          </w:p>
        </w:tc>
        <w:tc>
          <w:tcPr>
            <w:tcW w:w="1565" w:type="dxa"/>
            <w:tcBorders>
              <w:top w:val="nil"/>
              <w:left w:val="nil"/>
              <w:bottom w:val="nil"/>
              <w:right w:val="nil"/>
            </w:tcBorders>
          </w:tcPr>
          <w:p w14:paraId="750A20EA"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2365491</w:t>
            </w:r>
          </w:p>
        </w:tc>
        <w:tc>
          <w:tcPr>
            <w:tcW w:w="1565" w:type="dxa"/>
            <w:tcBorders>
              <w:top w:val="nil"/>
              <w:left w:val="nil"/>
              <w:bottom w:val="nil"/>
              <w:right w:val="nil"/>
            </w:tcBorders>
          </w:tcPr>
          <w:p w14:paraId="209D9856"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17.5</w:t>
            </w:r>
          </w:p>
        </w:tc>
        <w:tc>
          <w:tcPr>
            <w:tcW w:w="1416" w:type="dxa"/>
            <w:tcBorders>
              <w:top w:val="nil"/>
              <w:left w:val="nil"/>
              <w:bottom w:val="nil"/>
            </w:tcBorders>
          </w:tcPr>
          <w:p w14:paraId="58E9E14D"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0.00</w:t>
            </w:r>
          </w:p>
        </w:tc>
      </w:tr>
      <w:tr w:rsidR="002348ED" w:rsidRPr="005F1EE5" w14:paraId="62C3F435" w14:textId="77777777" w:rsidTr="00824C2C">
        <w:tc>
          <w:tcPr>
            <w:tcW w:w="1613" w:type="dxa"/>
            <w:tcBorders>
              <w:top w:val="nil"/>
              <w:bottom w:val="nil"/>
              <w:right w:val="nil"/>
            </w:tcBorders>
          </w:tcPr>
          <w:p w14:paraId="6A84483A" w14:textId="77777777" w:rsidR="002348ED"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Error</w:t>
            </w:r>
          </w:p>
        </w:tc>
        <w:tc>
          <w:tcPr>
            <w:tcW w:w="1576" w:type="dxa"/>
            <w:tcBorders>
              <w:top w:val="nil"/>
              <w:left w:val="nil"/>
              <w:bottom w:val="nil"/>
              <w:right w:val="nil"/>
            </w:tcBorders>
          </w:tcPr>
          <w:p w14:paraId="6FD3B77A"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52</w:t>
            </w:r>
          </w:p>
        </w:tc>
        <w:tc>
          <w:tcPr>
            <w:tcW w:w="1292" w:type="dxa"/>
            <w:tcBorders>
              <w:top w:val="nil"/>
              <w:left w:val="nil"/>
              <w:bottom w:val="nil"/>
              <w:right w:val="nil"/>
            </w:tcBorders>
          </w:tcPr>
          <w:p w14:paraId="2832BE6E" w14:textId="77777777" w:rsidR="002348ED" w:rsidRDefault="002348ED" w:rsidP="00FF4E21">
            <w:pPr>
              <w:spacing w:before="0" w:after="0"/>
              <w:jc w:val="center"/>
              <w:rPr>
                <w:rFonts w:eastAsia="CIDFont+F4" w:cs="CIDFont+F4"/>
                <w:sz w:val="20"/>
                <w:szCs w:val="20"/>
                <w:lang w:val="sr-Latn-RS"/>
              </w:rPr>
            </w:pPr>
            <w:r w:rsidRPr="001878B9">
              <w:rPr>
                <w:rFonts w:eastAsia="CIDFont+F4" w:cs="CIDFont+F4"/>
                <w:sz w:val="20"/>
                <w:szCs w:val="20"/>
                <w:lang w:val="sr-Latn-RS"/>
              </w:rPr>
              <w:t>7162516</w:t>
            </w:r>
          </w:p>
        </w:tc>
        <w:tc>
          <w:tcPr>
            <w:tcW w:w="1565" w:type="dxa"/>
            <w:tcBorders>
              <w:top w:val="nil"/>
              <w:left w:val="nil"/>
              <w:bottom w:val="nil"/>
              <w:right w:val="nil"/>
            </w:tcBorders>
          </w:tcPr>
          <w:p w14:paraId="3DC04639" w14:textId="77777777" w:rsidR="002348ED" w:rsidRPr="00DC6B00" w:rsidRDefault="002348ED" w:rsidP="00FF4E21">
            <w:pPr>
              <w:spacing w:before="0" w:after="0"/>
              <w:jc w:val="center"/>
              <w:rPr>
                <w:rFonts w:eastAsia="CIDFont+F4" w:cs="CIDFont+F4"/>
                <w:sz w:val="20"/>
                <w:szCs w:val="20"/>
                <w:lang w:val="sr-Latn-RS"/>
              </w:rPr>
            </w:pPr>
            <w:r w:rsidRPr="00B87AA4">
              <w:rPr>
                <w:rFonts w:eastAsia="CIDFont+F4" w:cs="CIDFont+F4"/>
                <w:sz w:val="20"/>
                <w:szCs w:val="20"/>
                <w:lang w:val="sr-Latn-RS"/>
              </w:rPr>
              <w:t>135142</w:t>
            </w:r>
          </w:p>
        </w:tc>
        <w:tc>
          <w:tcPr>
            <w:tcW w:w="1565" w:type="dxa"/>
            <w:tcBorders>
              <w:top w:val="nil"/>
              <w:left w:val="nil"/>
              <w:bottom w:val="nil"/>
              <w:right w:val="nil"/>
            </w:tcBorders>
          </w:tcPr>
          <w:p w14:paraId="1452BE65" w14:textId="77777777" w:rsidR="002348ED" w:rsidRDefault="002348ED" w:rsidP="00FF4E21">
            <w:pPr>
              <w:spacing w:before="0" w:after="0"/>
              <w:jc w:val="center"/>
              <w:rPr>
                <w:rFonts w:eastAsia="CIDFont+F4" w:cs="CIDFont+F4"/>
                <w:sz w:val="20"/>
                <w:szCs w:val="20"/>
                <w:lang w:val="sr-Latn-RS"/>
              </w:rPr>
            </w:pPr>
          </w:p>
        </w:tc>
        <w:tc>
          <w:tcPr>
            <w:tcW w:w="1416" w:type="dxa"/>
            <w:tcBorders>
              <w:top w:val="nil"/>
              <w:left w:val="nil"/>
              <w:bottom w:val="nil"/>
            </w:tcBorders>
          </w:tcPr>
          <w:p w14:paraId="455ED952" w14:textId="77777777" w:rsidR="002348ED" w:rsidRDefault="002348ED" w:rsidP="00FF4E21">
            <w:pPr>
              <w:spacing w:before="0" w:after="0"/>
              <w:jc w:val="center"/>
              <w:rPr>
                <w:rFonts w:eastAsia="CIDFont+F4" w:cs="CIDFont+F4"/>
                <w:sz w:val="20"/>
                <w:szCs w:val="20"/>
                <w:lang w:val="sr-Latn-RS"/>
              </w:rPr>
            </w:pPr>
          </w:p>
        </w:tc>
      </w:tr>
      <w:tr w:rsidR="002348ED" w:rsidRPr="005F1EE5" w14:paraId="3AA06727" w14:textId="77777777" w:rsidTr="00824C2C">
        <w:tc>
          <w:tcPr>
            <w:tcW w:w="1613" w:type="dxa"/>
            <w:tcBorders>
              <w:top w:val="nil"/>
              <w:bottom w:val="single" w:sz="4" w:space="0" w:color="auto"/>
              <w:right w:val="nil"/>
            </w:tcBorders>
          </w:tcPr>
          <w:p w14:paraId="127C71CB" w14:textId="77777777" w:rsidR="002348ED"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Total</w:t>
            </w:r>
          </w:p>
        </w:tc>
        <w:tc>
          <w:tcPr>
            <w:tcW w:w="1576" w:type="dxa"/>
            <w:tcBorders>
              <w:top w:val="nil"/>
              <w:left w:val="nil"/>
              <w:bottom w:val="single" w:sz="4" w:space="0" w:color="auto"/>
              <w:right w:val="nil"/>
            </w:tcBorders>
          </w:tcPr>
          <w:p w14:paraId="4B2638BC"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71</w:t>
            </w:r>
          </w:p>
        </w:tc>
        <w:tc>
          <w:tcPr>
            <w:tcW w:w="1292" w:type="dxa"/>
            <w:tcBorders>
              <w:top w:val="nil"/>
              <w:left w:val="nil"/>
              <w:bottom w:val="single" w:sz="4" w:space="0" w:color="auto"/>
              <w:right w:val="nil"/>
            </w:tcBorders>
          </w:tcPr>
          <w:p w14:paraId="145B62C9" w14:textId="77777777" w:rsidR="002348ED" w:rsidRDefault="002348ED" w:rsidP="00FF4E21">
            <w:pPr>
              <w:spacing w:before="0" w:after="0"/>
              <w:jc w:val="center"/>
              <w:rPr>
                <w:rFonts w:eastAsia="CIDFont+F4" w:cs="CIDFont+F4"/>
                <w:sz w:val="20"/>
                <w:szCs w:val="20"/>
                <w:lang w:val="sr-Latn-RS"/>
              </w:rPr>
            </w:pPr>
            <w:r w:rsidRPr="00B87AA4">
              <w:rPr>
                <w:rFonts w:eastAsia="CIDFont+F4" w:cs="CIDFont+F4"/>
                <w:sz w:val="20"/>
                <w:szCs w:val="20"/>
                <w:lang w:val="sr-Latn-RS"/>
              </w:rPr>
              <w:t>139239037</w:t>
            </w:r>
          </w:p>
        </w:tc>
        <w:tc>
          <w:tcPr>
            <w:tcW w:w="1565" w:type="dxa"/>
            <w:tcBorders>
              <w:top w:val="nil"/>
              <w:left w:val="nil"/>
              <w:bottom w:val="single" w:sz="4" w:space="0" w:color="auto"/>
              <w:right w:val="nil"/>
            </w:tcBorders>
          </w:tcPr>
          <w:p w14:paraId="10E96E5F" w14:textId="77777777" w:rsidR="002348ED" w:rsidRPr="00DC6B00" w:rsidRDefault="002348ED" w:rsidP="00FF4E21">
            <w:pPr>
              <w:spacing w:before="0" w:after="0"/>
              <w:jc w:val="center"/>
              <w:rPr>
                <w:rFonts w:eastAsia="CIDFont+F4" w:cs="CIDFont+F4"/>
                <w:sz w:val="20"/>
                <w:szCs w:val="20"/>
                <w:lang w:val="sr-Latn-RS"/>
              </w:rPr>
            </w:pPr>
          </w:p>
        </w:tc>
        <w:tc>
          <w:tcPr>
            <w:tcW w:w="1565" w:type="dxa"/>
            <w:tcBorders>
              <w:top w:val="nil"/>
              <w:left w:val="nil"/>
              <w:bottom w:val="single" w:sz="4" w:space="0" w:color="auto"/>
              <w:right w:val="nil"/>
            </w:tcBorders>
          </w:tcPr>
          <w:p w14:paraId="663BF293" w14:textId="77777777" w:rsidR="002348ED" w:rsidRDefault="002348ED" w:rsidP="00FF4E21">
            <w:pPr>
              <w:spacing w:before="0" w:after="0"/>
              <w:jc w:val="center"/>
              <w:rPr>
                <w:rFonts w:eastAsia="CIDFont+F4" w:cs="CIDFont+F4"/>
                <w:sz w:val="20"/>
                <w:szCs w:val="20"/>
                <w:lang w:val="sr-Latn-RS"/>
              </w:rPr>
            </w:pPr>
          </w:p>
        </w:tc>
        <w:tc>
          <w:tcPr>
            <w:tcW w:w="1416" w:type="dxa"/>
            <w:tcBorders>
              <w:top w:val="nil"/>
              <w:left w:val="nil"/>
              <w:bottom w:val="single" w:sz="4" w:space="0" w:color="auto"/>
            </w:tcBorders>
          </w:tcPr>
          <w:p w14:paraId="24D5D6DB" w14:textId="77777777" w:rsidR="002348ED" w:rsidRDefault="002348ED" w:rsidP="00FF4E21">
            <w:pPr>
              <w:spacing w:before="0" w:after="0"/>
              <w:jc w:val="center"/>
              <w:rPr>
                <w:rFonts w:eastAsia="CIDFont+F4" w:cs="CIDFont+F4"/>
                <w:sz w:val="20"/>
                <w:szCs w:val="20"/>
                <w:lang w:val="sr-Latn-RS"/>
              </w:rPr>
            </w:pPr>
          </w:p>
        </w:tc>
      </w:tr>
    </w:tbl>
    <w:p w14:paraId="38E01BAF" w14:textId="47DA4DEB" w:rsidR="007C7339" w:rsidRDefault="00D346FE" w:rsidP="007138D0">
      <w:r>
        <w:fldChar w:fldCharType="begin"/>
      </w:r>
      <w:r>
        <w:instrText xml:space="preserve"> REF _Ref100840575 \h </w:instrText>
      </w:r>
      <w:r>
        <w:fldChar w:fldCharType="separate"/>
      </w:r>
      <w:r w:rsidR="00587AF0">
        <w:t xml:space="preserve">Table </w:t>
      </w:r>
      <w:r w:rsidR="00587AF0">
        <w:rPr>
          <w:noProof/>
        </w:rPr>
        <w:t>16</w:t>
      </w:r>
      <w:r>
        <w:fldChar w:fldCharType="end"/>
      </w:r>
      <w:r>
        <w:t xml:space="preserve"> </w:t>
      </w:r>
      <w:r w:rsidR="004269AB">
        <w:t>show</w:t>
      </w:r>
      <w:r w:rsidR="00460E73">
        <w:t>s</w:t>
      </w:r>
      <w:r w:rsidR="004269AB">
        <w:t xml:space="preserve"> that FAP </w:t>
      </w:r>
      <w:r w:rsidR="00DB64A2">
        <w:t>improves MTBF, although the discrepancy and somewhat contradictory claim that technicians outperform engineers</w:t>
      </w:r>
      <w:r w:rsidR="004269AB">
        <w:t xml:space="preserve"> in determining failure is questionable</w:t>
      </w:r>
      <w:r w:rsidR="00DB64A2">
        <w:t>.</w:t>
      </w:r>
    </w:p>
    <w:p w14:paraId="0358ACF7" w14:textId="019906A5" w:rsidR="007C7339" w:rsidRDefault="00DB64A2" w:rsidP="007138D0">
      <w:r>
        <w:t xml:space="preserve">It </w:t>
      </w:r>
      <w:r w:rsidR="004269AB">
        <w:t xml:space="preserve">should be investigated to see whether or not experience and not education contributes </w:t>
      </w:r>
      <w:r w:rsidR="007C7339">
        <w:t>to</w:t>
      </w:r>
      <w:r w:rsidR="00B23322">
        <w:t xml:space="preserve"> diagnostics and</w:t>
      </w:r>
      <w:r w:rsidR="004269AB">
        <w:t xml:space="preserve"> prognostics, in which case, it can be justif</w:t>
      </w:r>
      <w:r>
        <w:t>i</w:t>
      </w:r>
      <w:r w:rsidR="004269AB">
        <w:t xml:space="preserve">able. Finally, </w:t>
      </w:r>
      <w:r>
        <w:t xml:space="preserve">a </w:t>
      </w:r>
      <w:r w:rsidR="004269AB">
        <w:t xml:space="preserve">CMT with </w:t>
      </w:r>
      <w:r>
        <w:t xml:space="preserve">a </w:t>
      </w:r>
      <w:r w:rsidR="004269AB">
        <w:t xml:space="preserve">statistically significant value at </w:t>
      </w:r>
      <w:r w:rsidR="004269AB">
        <w:rPr>
          <w:i/>
          <w:iCs/>
        </w:rPr>
        <w:t>p</w:t>
      </w:r>
      <w:r w:rsidR="004269AB">
        <w:t xml:space="preserve"> &lt; 0.05 shows that personnel </w:t>
      </w:r>
      <w:r>
        <w:t>using sophisticated technology increase</w:t>
      </w:r>
      <w:r w:rsidR="004269AB">
        <w:t xml:space="preserve"> MTBF value, where</w:t>
      </w:r>
      <w:r>
        <w:t>as</w:t>
      </w:r>
      <w:r w:rsidR="004269AB">
        <w:t xml:space="preserve"> organisations that lack instruments (e.g., pressure, flow, temperature, contamination sensors) </w:t>
      </w:r>
      <w:r>
        <w:t>decrease</w:t>
      </w:r>
      <w:r w:rsidR="004269AB">
        <w:t xml:space="preserve"> MTBF.</w:t>
      </w:r>
    </w:p>
    <w:p w14:paraId="0E46E3DF" w14:textId="6E5C2F9B" w:rsidR="004269AB" w:rsidRPr="0090105E" w:rsidRDefault="00DB64A2" w:rsidP="007138D0">
      <w:pPr>
        <w:rPr>
          <w:lang w:val="en-GB"/>
        </w:rPr>
      </w:pPr>
      <w:r>
        <w:t>However, what is questionable</w:t>
      </w:r>
      <w:r w:rsidR="004269AB">
        <w:t xml:space="preserve"> is the Variance Inflation Factor that</w:t>
      </w:r>
      <w:r w:rsidR="00B23322">
        <w:t xml:space="preserve"> (</w:t>
      </w:r>
      <w:r w:rsidR="004269AB">
        <w:t>rule of thumb VIF</w:t>
      </w:r>
      <w:r w:rsidR="000074E7">
        <w:t xml:space="preserve"> </w:t>
      </w:r>
      <w:r w:rsidR="004269AB">
        <w:t>&lt;</w:t>
      </w:r>
      <w:r w:rsidR="000074E7">
        <w:t xml:space="preserve"> </w:t>
      </w:r>
      <w:r w:rsidR="004269AB">
        <w:t>10) influences multiple colline</w:t>
      </w:r>
      <w:r>
        <w:t>a</w:t>
      </w:r>
      <w:r w:rsidR="004269AB">
        <w:t>rit</w:t>
      </w:r>
      <w:r>
        <w:t>ies</w:t>
      </w:r>
      <w:r w:rsidR="004269AB">
        <w:t xml:space="preserve">, i.e., FAP and MAP are correlated with the CMT and can be left from the model. As such, it can be seen that </w:t>
      </w:r>
      <w:r>
        <w:t xml:space="preserve">the </w:t>
      </w:r>
      <w:r w:rsidR="004269AB">
        <w:t>LCM analysis program significan</w:t>
      </w:r>
      <w:r>
        <w:t>tl</w:t>
      </w:r>
      <w:r w:rsidR="004269AB">
        <w:t xml:space="preserve">y outperforms other maintenance programs for improving </w:t>
      </w:r>
      <w:r w:rsidR="00FA7A3F">
        <w:t xml:space="preserve">the </w:t>
      </w:r>
      <w:r w:rsidR="004269AB">
        <w:t xml:space="preserve">time </w:t>
      </w:r>
      <w:r w:rsidR="002368FF">
        <w:t>between</w:t>
      </w:r>
      <w:r w:rsidR="004269AB">
        <w:t xml:space="preserve"> failure</w:t>
      </w:r>
      <w:r w:rsidR="002368FF">
        <w:t>s</w:t>
      </w:r>
      <w:r w:rsidR="004269AB">
        <w:t xml:space="preserve"> due to </w:t>
      </w:r>
      <w:r>
        <w:t xml:space="preserve">the </w:t>
      </w:r>
      <w:r w:rsidR="004269AB">
        <w:t>usage of sensor and lubricant condition technology.</w:t>
      </w:r>
    </w:p>
    <w:p w14:paraId="6275739E" w14:textId="77777777" w:rsidR="007C7339" w:rsidRDefault="007C7339">
      <w:pPr>
        <w:spacing w:before="0" w:after="160" w:line="259" w:lineRule="auto"/>
        <w:jc w:val="left"/>
        <w:rPr>
          <w:iCs/>
          <w:szCs w:val="18"/>
        </w:rPr>
      </w:pPr>
      <w:bookmarkStart w:id="361" w:name="_Ref92798238"/>
      <w:r>
        <w:br w:type="page"/>
      </w:r>
    </w:p>
    <w:p w14:paraId="0071333E" w14:textId="23E17D03" w:rsidR="002348ED" w:rsidRDefault="002348ED" w:rsidP="002348ED">
      <w:pPr>
        <w:pStyle w:val="Caption"/>
        <w:jc w:val="left"/>
      </w:pPr>
      <w:bookmarkStart w:id="362" w:name="_Ref100840575"/>
      <w:bookmarkStart w:id="363" w:name="_Toc101274456"/>
      <w:r>
        <w:lastRenderedPageBreak/>
        <w:t xml:space="preserve">Table </w:t>
      </w:r>
      <w:fldSimple w:instr=" SEQ Table \* ARABIC ">
        <w:r w:rsidR="00587AF0">
          <w:rPr>
            <w:noProof/>
          </w:rPr>
          <w:t>16</w:t>
        </w:r>
      </w:fldSimple>
      <w:bookmarkEnd w:id="361"/>
      <w:bookmarkEnd w:id="362"/>
      <w:r>
        <w:t>. MTBF</w:t>
      </w:r>
      <w:r>
        <w:rPr>
          <w:vertAlign w:val="subscript"/>
        </w:rPr>
        <w:t>LR</w:t>
      </w:r>
      <w:r>
        <w:t xml:space="preserve"> for continuous and categorical coefficients</w:t>
      </w:r>
      <w:bookmarkEnd w:id="363"/>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648"/>
        <w:gridCol w:w="1569"/>
        <w:gridCol w:w="1287"/>
        <w:gridCol w:w="1557"/>
        <w:gridCol w:w="1557"/>
        <w:gridCol w:w="1409"/>
      </w:tblGrid>
      <w:tr w:rsidR="002348ED" w:rsidRPr="005F1EE5" w14:paraId="42012732" w14:textId="77777777" w:rsidTr="00FF4E21">
        <w:tc>
          <w:tcPr>
            <w:tcW w:w="1648" w:type="dxa"/>
          </w:tcPr>
          <w:p w14:paraId="11C79483" w14:textId="77777777" w:rsidR="002348ED" w:rsidRPr="00D943D6" w:rsidRDefault="002348ED" w:rsidP="00FF4E21">
            <w:pPr>
              <w:spacing w:before="0" w:after="0"/>
              <w:jc w:val="center"/>
              <w:rPr>
                <w:rFonts w:eastAsia="CIDFont+F4" w:cs="CIDFont+F4"/>
                <w:b/>
                <w:bCs/>
                <w:i/>
                <w:iCs/>
                <w:sz w:val="20"/>
                <w:szCs w:val="20"/>
                <w:lang w:val="sr-Latn-RS"/>
              </w:rPr>
            </w:pPr>
            <w:r>
              <w:rPr>
                <w:rFonts w:eastAsia="CIDFont+F4" w:cs="CIDFont+F4"/>
                <w:b/>
                <w:bCs/>
                <w:i/>
                <w:iCs/>
                <w:sz w:val="20"/>
                <w:szCs w:val="20"/>
                <w:lang w:val="sr-Latn-RS"/>
              </w:rPr>
              <w:t>Term</w:t>
            </w:r>
          </w:p>
        </w:tc>
        <w:tc>
          <w:tcPr>
            <w:tcW w:w="1569" w:type="dxa"/>
            <w:tcBorders>
              <w:bottom w:val="single" w:sz="4" w:space="0" w:color="auto"/>
            </w:tcBorders>
          </w:tcPr>
          <w:p w14:paraId="309927E7" w14:textId="77777777" w:rsidR="002348ED" w:rsidRPr="00D943D6" w:rsidRDefault="002348ED" w:rsidP="00FF4E21">
            <w:pPr>
              <w:spacing w:before="0" w:after="0"/>
              <w:jc w:val="center"/>
              <w:rPr>
                <w:rFonts w:eastAsia="CIDFont+F4" w:cs="CIDFont+F4"/>
                <w:b/>
                <w:bCs/>
                <w:i/>
                <w:iCs/>
                <w:sz w:val="20"/>
                <w:szCs w:val="20"/>
                <w:lang w:val="sr-Latn-RS"/>
              </w:rPr>
            </w:pPr>
            <w:r>
              <w:rPr>
                <w:rFonts w:eastAsia="CIDFont+F4" w:cs="CIDFont+F4"/>
                <w:b/>
                <w:bCs/>
                <w:i/>
                <w:iCs/>
                <w:sz w:val="20"/>
                <w:szCs w:val="20"/>
                <w:lang w:val="sr-Latn-RS"/>
              </w:rPr>
              <w:t>Coeff</w:t>
            </w:r>
          </w:p>
        </w:tc>
        <w:tc>
          <w:tcPr>
            <w:tcW w:w="1287" w:type="dxa"/>
            <w:tcBorders>
              <w:bottom w:val="single" w:sz="4" w:space="0" w:color="auto"/>
            </w:tcBorders>
          </w:tcPr>
          <w:p w14:paraId="7E9CA4BD" w14:textId="77777777" w:rsidR="002348ED" w:rsidRPr="00D943D6" w:rsidRDefault="002348ED" w:rsidP="00FF4E21">
            <w:pPr>
              <w:spacing w:before="0" w:after="0"/>
              <w:jc w:val="center"/>
              <w:rPr>
                <w:rFonts w:eastAsia="CIDFont+F4" w:cs="CIDFont+F4"/>
                <w:b/>
                <w:bCs/>
                <w:i/>
                <w:iCs/>
                <w:sz w:val="20"/>
                <w:szCs w:val="20"/>
                <w:lang w:val="sr-Latn-RS"/>
              </w:rPr>
            </w:pPr>
            <w:r>
              <w:rPr>
                <w:rFonts w:eastAsia="CIDFont+F4" w:cs="CIDFont+F4"/>
                <w:b/>
                <w:bCs/>
                <w:i/>
                <w:iCs/>
                <w:sz w:val="20"/>
                <w:szCs w:val="20"/>
                <w:lang w:val="sr-Latn-RS"/>
              </w:rPr>
              <w:t>SE Coeff</w:t>
            </w:r>
          </w:p>
        </w:tc>
        <w:tc>
          <w:tcPr>
            <w:tcW w:w="1557" w:type="dxa"/>
            <w:tcBorders>
              <w:bottom w:val="single" w:sz="4" w:space="0" w:color="auto"/>
            </w:tcBorders>
          </w:tcPr>
          <w:p w14:paraId="5A68EAB8" w14:textId="77777777" w:rsidR="002348ED" w:rsidRPr="00D943D6" w:rsidRDefault="002348ED" w:rsidP="00FF4E21">
            <w:pPr>
              <w:spacing w:before="0" w:after="0"/>
              <w:jc w:val="center"/>
              <w:rPr>
                <w:rFonts w:eastAsia="CIDFont+F4" w:cs="CIDFont+F4"/>
                <w:b/>
                <w:bCs/>
                <w:i/>
                <w:iCs/>
                <w:sz w:val="20"/>
                <w:szCs w:val="20"/>
                <w:lang w:val="sr-Latn-RS"/>
              </w:rPr>
            </w:pPr>
            <w:r>
              <w:rPr>
                <w:rFonts w:eastAsia="CIDFont+F4" w:cs="CIDFont+F4"/>
                <w:b/>
                <w:bCs/>
                <w:i/>
                <w:iCs/>
                <w:sz w:val="20"/>
                <w:szCs w:val="20"/>
                <w:lang w:val="sr-Latn-RS"/>
              </w:rPr>
              <w:t>T value</w:t>
            </w:r>
          </w:p>
        </w:tc>
        <w:tc>
          <w:tcPr>
            <w:tcW w:w="1557" w:type="dxa"/>
          </w:tcPr>
          <w:p w14:paraId="0601876A" w14:textId="77777777" w:rsidR="002348ED" w:rsidRPr="00D943D6" w:rsidRDefault="002348ED" w:rsidP="00FF4E21">
            <w:pPr>
              <w:spacing w:before="0" w:after="0"/>
              <w:jc w:val="center"/>
              <w:rPr>
                <w:rFonts w:eastAsia="CIDFont+F4" w:cs="CIDFont+F4"/>
                <w:b/>
                <w:bCs/>
                <w:i/>
                <w:iCs/>
                <w:sz w:val="20"/>
                <w:szCs w:val="20"/>
                <w:lang w:val="sr-Latn-RS"/>
              </w:rPr>
            </w:pPr>
            <w:r>
              <w:rPr>
                <w:rFonts w:eastAsia="CIDFont+F4" w:cs="CIDFont+F4"/>
                <w:b/>
                <w:bCs/>
                <w:i/>
                <w:iCs/>
                <w:sz w:val="20"/>
                <w:szCs w:val="20"/>
                <w:lang w:val="sr-Latn-RS"/>
              </w:rPr>
              <w:t>p value</w:t>
            </w:r>
          </w:p>
        </w:tc>
        <w:tc>
          <w:tcPr>
            <w:tcW w:w="1409" w:type="dxa"/>
            <w:tcBorders>
              <w:bottom w:val="single" w:sz="4" w:space="0" w:color="auto"/>
            </w:tcBorders>
          </w:tcPr>
          <w:p w14:paraId="03B49693" w14:textId="77777777" w:rsidR="002348ED" w:rsidRPr="00D943D6" w:rsidRDefault="002348ED" w:rsidP="00FF4E21">
            <w:pPr>
              <w:spacing w:before="0" w:after="0"/>
              <w:jc w:val="center"/>
              <w:rPr>
                <w:rFonts w:eastAsia="CIDFont+F4" w:cs="CIDFont+F4"/>
                <w:b/>
                <w:bCs/>
                <w:i/>
                <w:iCs/>
                <w:sz w:val="20"/>
                <w:szCs w:val="20"/>
                <w:lang w:val="sr-Latn-RS"/>
              </w:rPr>
            </w:pPr>
            <w:r>
              <w:rPr>
                <w:rFonts w:eastAsia="CIDFont+F4" w:cs="CIDFont+F4"/>
                <w:b/>
                <w:bCs/>
                <w:i/>
                <w:iCs/>
                <w:sz w:val="20"/>
                <w:szCs w:val="20"/>
                <w:lang w:val="sr-Latn-RS"/>
              </w:rPr>
              <w:t>VIF</w:t>
            </w:r>
          </w:p>
        </w:tc>
      </w:tr>
      <w:tr w:rsidR="002348ED" w:rsidRPr="005F1EE5" w14:paraId="59EA46E6" w14:textId="77777777" w:rsidTr="00FF4E21">
        <w:tc>
          <w:tcPr>
            <w:tcW w:w="1648" w:type="dxa"/>
            <w:tcBorders>
              <w:bottom w:val="nil"/>
              <w:right w:val="nil"/>
            </w:tcBorders>
          </w:tcPr>
          <w:p w14:paraId="41497FEE" w14:textId="77777777" w:rsidR="002348ED" w:rsidRPr="005F1EE5"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Constant</w:t>
            </w:r>
          </w:p>
        </w:tc>
        <w:tc>
          <w:tcPr>
            <w:tcW w:w="1569" w:type="dxa"/>
            <w:tcBorders>
              <w:left w:val="nil"/>
              <w:bottom w:val="nil"/>
              <w:right w:val="nil"/>
            </w:tcBorders>
          </w:tcPr>
          <w:p w14:paraId="3BBDB457" w14:textId="77777777" w:rsidR="002348ED" w:rsidRPr="005F1EE5"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1224</w:t>
            </w:r>
          </w:p>
        </w:tc>
        <w:tc>
          <w:tcPr>
            <w:tcW w:w="1287" w:type="dxa"/>
            <w:tcBorders>
              <w:left w:val="nil"/>
              <w:bottom w:val="nil"/>
              <w:right w:val="nil"/>
            </w:tcBorders>
          </w:tcPr>
          <w:p w14:paraId="77BC3024"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463</w:t>
            </w:r>
          </w:p>
        </w:tc>
        <w:tc>
          <w:tcPr>
            <w:tcW w:w="1557" w:type="dxa"/>
            <w:tcBorders>
              <w:left w:val="nil"/>
              <w:bottom w:val="nil"/>
              <w:right w:val="nil"/>
            </w:tcBorders>
          </w:tcPr>
          <w:p w14:paraId="098FBA4F" w14:textId="77777777" w:rsidR="002348ED" w:rsidRPr="005F1EE5"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2.64</w:t>
            </w:r>
          </w:p>
        </w:tc>
        <w:tc>
          <w:tcPr>
            <w:tcW w:w="1557" w:type="dxa"/>
            <w:tcBorders>
              <w:left w:val="nil"/>
              <w:bottom w:val="nil"/>
              <w:right w:val="nil"/>
            </w:tcBorders>
          </w:tcPr>
          <w:p w14:paraId="69EB2B75" w14:textId="77777777" w:rsidR="002348ED" w:rsidRPr="005F1EE5"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0.011</w:t>
            </w:r>
          </w:p>
        </w:tc>
        <w:tc>
          <w:tcPr>
            <w:tcW w:w="1409" w:type="dxa"/>
            <w:tcBorders>
              <w:left w:val="nil"/>
              <w:bottom w:val="nil"/>
            </w:tcBorders>
          </w:tcPr>
          <w:p w14:paraId="7DEF21A2" w14:textId="77777777" w:rsidR="002348ED" w:rsidRDefault="002348ED" w:rsidP="00FF4E21">
            <w:pPr>
              <w:spacing w:before="0" w:after="0"/>
              <w:jc w:val="center"/>
              <w:rPr>
                <w:rFonts w:eastAsia="CIDFont+F4" w:cs="CIDFont+F4"/>
                <w:sz w:val="20"/>
                <w:szCs w:val="20"/>
                <w:lang w:val="sr-Latn-RS"/>
              </w:rPr>
            </w:pPr>
          </w:p>
        </w:tc>
      </w:tr>
      <w:tr w:rsidR="002348ED" w:rsidRPr="005F1EE5" w14:paraId="69907FC9" w14:textId="77777777" w:rsidTr="00FF4E21">
        <w:tc>
          <w:tcPr>
            <w:tcW w:w="1648" w:type="dxa"/>
            <w:tcBorders>
              <w:top w:val="nil"/>
              <w:bottom w:val="nil"/>
              <w:right w:val="nil"/>
            </w:tcBorders>
          </w:tcPr>
          <w:p w14:paraId="0BAED9EC" w14:textId="77777777" w:rsidR="002348ED" w:rsidRPr="005F1EE5"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FRT</w:t>
            </w:r>
          </w:p>
        </w:tc>
        <w:tc>
          <w:tcPr>
            <w:tcW w:w="1569" w:type="dxa"/>
            <w:tcBorders>
              <w:top w:val="nil"/>
              <w:left w:val="nil"/>
              <w:bottom w:val="nil"/>
              <w:right w:val="nil"/>
            </w:tcBorders>
          </w:tcPr>
          <w:p w14:paraId="4DEAE995" w14:textId="77777777" w:rsidR="002348ED" w:rsidRPr="005F1EE5"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-0.079</w:t>
            </w:r>
          </w:p>
        </w:tc>
        <w:tc>
          <w:tcPr>
            <w:tcW w:w="1287" w:type="dxa"/>
            <w:tcBorders>
              <w:top w:val="nil"/>
              <w:left w:val="nil"/>
              <w:bottom w:val="nil"/>
              <w:right w:val="nil"/>
            </w:tcBorders>
          </w:tcPr>
          <w:p w14:paraId="480FD178" w14:textId="77777777" w:rsidR="002348ED" w:rsidRPr="005F1EE5"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0.0744</w:t>
            </w:r>
          </w:p>
        </w:tc>
        <w:tc>
          <w:tcPr>
            <w:tcW w:w="1557" w:type="dxa"/>
            <w:tcBorders>
              <w:top w:val="nil"/>
              <w:left w:val="nil"/>
              <w:bottom w:val="nil"/>
              <w:right w:val="nil"/>
            </w:tcBorders>
          </w:tcPr>
          <w:p w14:paraId="21E3C85B" w14:textId="77777777" w:rsidR="002348ED" w:rsidRPr="005F1EE5"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1.06</w:t>
            </w:r>
          </w:p>
        </w:tc>
        <w:tc>
          <w:tcPr>
            <w:tcW w:w="1557" w:type="dxa"/>
            <w:tcBorders>
              <w:top w:val="nil"/>
              <w:left w:val="nil"/>
              <w:bottom w:val="nil"/>
              <w:right w:val="nil"/>
            </w:tcBorders>
          </w:tcPr>
          <w:p w14:paraId="3A8A03C8" w14:textId="77777777" w:rsidR="002348ED" w:rsidRPr="005F1EE5"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0.294</w:t>
            </w:r>
          </w:p>
        </w:tc>
        <w:tc>
          <w:tcPr>
            <w:tcW w:w="1409" w:type="dxa"/>
            <w:tcBorders>
              <w:top w:val="nil"/>
              <w:left w:val="nil"/>
              <w:bottom w:val="nil"/>
            </w:tcBorders>
          </w:tcPr>
          <w:p w14:paraId="5BBFD663" w14:textId="77777777" w:rsidR="002348ED" w:rsidRPr="005F1EE5"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1.79</w:t>
            </w:r>
          </w:p>
        </w:tc>
      </w:tr>
      <w:tr w:rsidR="002348ED" w:rsidRPr="005F1EE5" w14:paraId="46A448E4" w14:textId="77777777" w:rsidTr="00FF4E21">
        <w:tc>
          <w:tcPr>
            <w:tcW w:w="1648" w:type="dxa"/>
            <w:tcBorders>
              <w:top w:val="nil"/>
              <w:bottom w:val="nil"/>
              <w:right w:val="nil"/>
            </w:tcBorders>
          </w:tcPr>
          <w:p w14:paraId="67832A78" w14:textId="77777777" w:rsidR="002348ED"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MA</w:t>
            </w:r>
          </w:p>
        </w:tc>
        <w:tc>
          <w:tcPr>
            <w:tcW w:w="1569" w:type="dxa"/>
            <w:tcBorders>
              <w:top w:val="nil"/>
              <w:left w:val="nil"/>
              <w:bottom w:val="nil"/>
              <w:right w:val="nil"/>
            </w:tcBorders>
          </w:tcPr>
          <w:p w14:paraId="2E011F60"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-78.6</w:t>
            </w:r>
          </w:p>
        </w:tc>
        <w:tc>
          <w:tcPr>
            <w:tcW w:w="1287" w:type="dxa"/>
            <w:tcBorders>
              <w:top w:val="nil"/>
              <w:left w:val="nil"/>
              <w:bottom w:val="nil"/>
              <w:right w:val="nil"/>
            </w:tcBorders>
          </w:tcPr>
          <w:p w14:paraId="7C1D8149" w14:textId="77777777" w:rsidR="002348ED" w:rsidRPr="005F72BC"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16.5</w:t>
            </w:r>
          </w:p>
        </w:tc>
        <w:tc>
          <w:tcPr>
            <w:tcW w:w="1557" w:type="dxa"/>
            <w:tcBorders>
              <w:top w:val="nil"/>
              <w:left w:val="nil"/>
              <w:bottom w:val="nil"/>
              <w:right w:val="nil"/>
            </w:tcBorders>
          </w:tcPr>
          <w:p w14:paraId="12F5BE71"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-4.77</w:t>
            </w:r>
          </w:p>
        </w:tc>
        <w:tc>
          <w:tcPr>
            <w:tcW w:w="1557" w:type="dxa"/>
            <w:tcBorders>
              <w:top w:val="nil"/>
              <w:left w:val="nil"/>
              <w:bottom w:val="nil"/>
              <w:right w:val="nil"/>
            </w:tcBorders>
          </w:tcPr>
          <w:p w14:paraId="78979E55"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0.000</w:t>
            </w:r>
          </w:p>
        </w:tc>
        <w:tc>
          <w:tcPr>
            <w:tcW w:w="1409" w:type="dxa"/>
            <w:tcBorders>
              <w:top w:val="nil"/>
              <w:left w:val="nil"/>
              <w:bottom w:val="nil"/>
            </w:tcBorders>
          </w:tcPr>
          <w:p w14:paraId="6BA2264D"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1.19</w:t>
            </w:r>
          </w:p>
        </w:tc>
      </w:tr>
      <w:tr w:rsidR="002348ED" w:rsidRPr="005F1EE5" w14:paraId="56049024" w14:textId="77777777" w:rsidTr="00FF4E21">
        <w:tc>
          <w:tcPr>
            <w:tcW w:w="1648" w:type="dxa"/>
            <w:tcBorders>
              <w:top w:val="nil"/>
              <w:bottom w:val="nil"/>
              <w:right w:val="nil"/>
            </w:tcBorders>
          </w:tcPr>
          <w:p w14:paraId="278D227B" w14:textId="77777777" w:rsidR="002348ED"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TTOR</w:t>
            </w:r>
          </w:p>
        </w:tc>
        <w:tc>
          <w:tcPr>
            <w:tcW w:w="1569" w:type="dxa"/>
            <w:tcBorders>
              <w:top w:val="nil"/>
              <w:left w:val="nil"/>
              <w:bottom w:val="nil"/>
              <w:right w:val="nil"/>
            </w:tcBorders>
          </w:tcPr>
          <w:p w14:paraId="6C707F61"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0.443</w:t>
            </w:r>
          </w:p>
        </w:tc>
        <w:tc>
          <w:tcPr>
            <w:tcW w:w="1287" w:type="dxa"/>
            <w:tcBorders>
              <w:top w:val="nil"/>
              <w:left w:val="nil"/>
              <w:bottom w:val="nil"/>
              <w:right w:val="nil"/>
            </w:tcBorders>
          </w:tcPr>
          <w:p w14:paraId="32D39D02" w14:textId="77777777" w:rsidR="002348ED" w:rsidRPr="005F72BC"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0.250</w:t>
            </w:r>
          </w:p>
        </w:tc>
        <w:tc>
          <w:tcPr>
            <w:tcW w:w="1557" w:type="dxa"/>
            <w:tcBorders>
              <w:top w:val="nil"/>
              <w:left w:val="nil"/>
              <w:bottom w:val="nil"/>
              <w:right w:val="nil"/>
            </w:tcBorders>
          </w:tcPr>
          <w:p w14:paraId="7B3B176F"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1.77</w:t>
            </w:r>
          </w:p>
        </w:tc>
        <w:tc>
          <w:tcPr>
            <w:tcW w:w="1557" w:type="dxa"/>
            <w:tcBorders>
              <w:top w:val="nil"/>
              <w:left w:val="nil"/>
              <w:bottom w:val="nil"/>
              <w:right w:val="nil"/>
            </w:tcBorders>
          </w:tcPr>
          <w:p w14:paraId="24FF08FE"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0.083</w:t>
            </w:r>
          </w:p>
        </w:tc>
        <w:tc>
          <w:tcPr>
            <w:tcW w:w="1409" w:type="dxa"/>
            <w:tcBorders>
              <w:top w:val="nil"/>
              <w:left w:val="nil"/>
              <w:bottom w:val="nil"/>
            </w:tcBorders>
          </w:tcPr>
          <w:p w14:paraId="6708C1ED"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1.25</w:t>
            </w:r>
          </w:p>
        </w:tc>
      </w:tr>
      <w:tr w:rsidR="002348ED" w:rsidRPr="005F1EE5" w14:paraId="2FDECC89" w14:textId="77777777" w:rsidTr="00FF4E21">
        <w:tc>
          <w:tcPr>
            <w:tcW w:w="1648" w:type="dxa"/>
            <w:tcBorders>
              <w:top w:val="nil"/>
              <w:bottom w:val="nil"/>
              <w:right w:val="nil"/>
            </w:tcBorders>
          </w:tcPr>
          <w:p w14:paraId="081A9644" w14:textId="77777777" w:rsidR="002348ED"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NWP</w:t>
            </w:r>
          </w:p>
        </w:tc>
        <w:tc>
          <w:tcPr>
            <w:tcW w:w="1569" w:type="dxa"/>
            <w:tcBorders>
              <w:top w:val="nil"/>
              <w:left w:val="nil"/>
              <w:bottom w:val="nil"/>
              <w:right w:val="nil"/>
            </w:tcBorders>
          </w:tcPr>
          <w:p w14:paraId="7F03525E"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-1.578</w:t>
            </w:r>
          </w:p>
        </w:tc>
        <w:tc>
          <w:tcPr>
            <w:tcW w:w="1287" w:type="dxa"/>
            <w:tcBorders>
              <w:top w:val="nil"/>
              <w:left w:val="nil"/>
              <w:bottom w:val="nil"/>
              <w:right w:val="nil"/>
            </w:tcBorders>
          </w:tcPr>
          <w:p w14:paraId="3D7BCBAC" w14:textId="77777777" w:rsidR="002348ED" w:rsidRPr="005F72BC"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0.541</w:t>
            </w:r>
          </w:p>
        </w:tc>
        <w:tc>
          <w:tcPr>
            <w:tcW w:w="1557" w:type="dxa"/>
            <w:tcBorders>
              <w:top w:val="nil"/>
              <w:left w:val="nil"/>
              <w:bottom w:val="nil"/>
              <w:right w:val="nil"/>
            </w:tcBorders>
          </w:tcPr>
          <w:p w14:paraId="51415223"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-2.92</w:t>
            </w:r>
          </w:p>
        </w:tc>
        <w:tc>
          <w:tcPr>
            <w:tcW w:w="1557" w:type="dxa"/>
            <w:tcBorders>
              <w:top w:val="nil"/>
              <w:left w:val="nil"/>
              <w:bottom w:val="nil"/>
              <w:right w:val="nil"/>
            </w:tcBorders>
          </w:tcPr>
          <w:p w14:paraId="51F8DB96"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0.005</w:t>
            </w:r>
          </w:p>
        </w:tc>
        <w:tc>
          <w:tcPr>
            <w:tcW w:w="1409" w:type="dxa"/>
            <w:tcBorders>
              <w:top w:val="nil"/>
              <w:left w:val="nil"/>
              <w:bottom w:val="nil"/>
            </w:tcBorders>
          </w:tcPr>
          <w:p w14:paraId="530CDF49"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1.36</w:t>
            </w:r>
          </w:p>
        </w:tc>
      </w:tr>
      <w:tr w:rsidR="002348ED" w:rsidRPr="005F1EE5" w14:paraId="38E9FBCD" w14:textId="77777777" w:rsidTr="00FF4E21">
        <w:tc>
          <w:tcPr>
            <w:tcW w:w="1648" w:type="dxa"/>
            <w:tcBorders>
              <w:top w:val="nil"/>
              <w:bottom w:val="nil"/>
              <w:right w:val="nil"/>
            </w:tcBorders>
          </w:tcPr>
          <w:p w14:paraId="11597585" w14:textId="77777777" w:rsidR="002348ED"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NWF</w:t>
            </w:r>
          </w:p>
        </w:tc>
        <w:tc>
          <w:tcPr>
            <w:tcW w:w="1569" w:type="dxa"/>
            <w:tcBorders>
              <w:top w:val="nil"/>
              <w:left w:val="nil"/>
              <w:bottom w:val="nil"/>
              <w:right w:val="nil"/>
            </w:tcBorders>
          </w:tcPr>
          <w:p w14:paraId="2FFE2950"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-1.063</w:t>
            </w:r>
          </w:p>
        </w:tc>
        <w:tc>
          <w:tcPr>
            <w:tcW w:w="1287" w:type="dxa"/>
            <w:tcBorders>
              <w:top w:val="nil"/>
              <w:left w:val="nil"/>
              <w:bottom w:val="nil"/>
              <w:right w:val="nil"/>
            </w:tcBorders>
          </w:tcPr>
          <w:p w14:paraId="4483AC2B" w14:textId="77777777" w:rsidR="002348ED" w:rsidRPr="005F72BC"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0.731</w:t>
            </w:r>
          </w:p>
        </w:tc>
        <w:tc>
          <w:tcPr>
            <w:tcW w:w="1557" w:type="dxa"/>
            <w:tcBorders>
              <w:top w:val="nil"/>
              <w:left w:val="nil"/>
              <w:bottom w:val="nil"/>
              <w:right w:val="nil"/>
            </w:tcBorders>
          </w:tcPr>
          <w:p w14:paraId="0A70B9C0"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-1.45</w:t>
            </w:r>
          </w:p>
        </w:tc>
        <w:tc>
          <w:tcPr>
            <w:tcW w:w="1557" w:type="dxa"/>
            <w:tcBorders>
              <w:top w:val="nil"/>
              <w:left w:val="nil"/>
              <w:bottom w:val="nil"/>
              <w:right w:val="nil"/>
            </w:tcBorders>
          </w:tcPr>
          <w:p w14:paraId="2192C335" w14:textId="0EC8DE0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w:t>
            </w:r>
            <w:r w:rsidR="002368FF">
              <w:rPr>
                <w:rFonts w:eastAsia="CIDFont+F4" w:cs="CIDFont+F4"/>
                <w:sz w:val="20"/>
                <w:szCs w:val="20"/>
                <w:lang w:val="sr-Latn-RS"/>
              </w:rPr>
              <w:t>00</w:t>
            </w:r>
            <w:r>
              <w:rPr>
                <w:rFonts w:eastAsia="CIDFont+F4" w:cs="CIDFont+F4"/>
                <w:sz w:val="20"/>
                <w:szCs w:val="20"/>
                <w:lang w:val="sr-Latn-RS"/>
              </w:rPr>
              <w:t>2</w:t>
            </w:r>
          </w:p>
        </w:tc>
        <w:tc>
          <w:tcPr>
            <w:tcW w:w="1409" w:type="dxa"/>
            <w:tcBorders>
              <w:top w:val="nil"/>
              <w:left w:val="nil"/>
              <w:bottom w:val="nil"/>
            </w:tcBorders>
          </w:tcPr>
          <w:p w14:paraId="16579489"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1.31</w:t>
            </w:r>
          </w:p>
        </w:tc>
      </w:tr>
      <w:tr w:rsidR="002348ED" w:rsidRPr="005F1EE5" w14:paraId="62DEC5DF" w14:textId="77777777" w:rsidTr="00FF4E21">
        <w:tc>
          <w:tcPr>
            <w:tcW w:w="1648" w:type="dxa"/>
            <w:tcBorders>
              <w:top w:val="nil"/>
              <w:bottom w:val="nil"/>
              <w:right w:val="nil"/>
            </w:tcBorders>
          </w:tcPr>
          <w:p w14:paraId="036DAB83" w14:textId="77777777" w:rsidR="002348ED"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MP</w:t>
            </w:r>
          </w:p>
        </w:tc>
        <w:tc>
          <w:tcPr>
            <w:tcW w:w="1569" w:type="dxa"/>
            <w:tcBorders>
              <w:top w:val="nil"/>
              <w:left w:val="nil"/>
              <w:bottom w:val="nil"/>
              <w:right w:val="nil"/>
            </w:tcBorders>
          </w:tcPr>
          <w:p w14:paraId="2159715F" w14:textId="77777777" w:rsidR="002348ED" w:rsidRDefault="002348ED" w:rsidP="00FF4E21">
            <w:pPr>
              <w:spacing w:before="0" w:after="0"/>
              <w:jc w:val="center"/>
              <w:rPr>
                <w:rFonts w:eastAsia="CIDFont+F4" w:cs="CIDFont+F4"/>
                <w:sz w:val="20"/>
                <w:szCs w:val="20"/>
                <w:lang w:val="sr-Latn-RS"/>
              </w:rPr>
            </w:pPr>
          </w:p>
        </w:tc>
        <w:tc>
          <w:tcPr>
            <w:tcW w:w="1287" w:type="dxa"/>
            <w:tcBorders>
              <w:top w:val="nil"/>
              <w:left w:val="nil"/>
              <w:bottom w:val="nil"/>
              <w:right w:val="nil"/>
            </w:tcBorders>
          </w:tcPr>
          <w:p w14:paraId="7F5F0680" w14:textId="77777777" w:rsidR="002348ED" w:rsidRPr="005F72BC" w:rsidRDefault="002348ED" w:rsidP="00FF4E21">
            <w:pPr>
              <w:spacing w:before="0" w:after="0"/>
              <w:jc w:val="center"/>
              <w:rPr>
                <w:rFonts w:eastAsia="CIDFont+F4" w:cs="CIDFont+F4"/>
                <w:sz w:val="20"/>
                <w:szCs w:val="20"/>
                <w:lang w:val="sr-Latn-RS"/>
              </w:rPr>
            </w:pPr>
          </w:p>
        </w:tc>
        <w:tc>
          <w:tcPr>
            <w:tcW w:w="1557" w:type="dxa"/>
            <w:tcBorders>
              <w:top w:val="nil"/>
              <w:left w:val="nil"/>
              <w:bottom w:val="nil"/>
              <w:right w:val="nil"/>
            </w:tcBorders>
          </w:tcPr>
          <w:p w14:paraId="7B895728" w14:textId="77777777" w:rsidR="002348ED" w:rsidRPr="00DC6B00" w:rsidRDefault="002348ED" w:rsidP="00FF4E21">
            <w:pPr>
              <w:spacing w:before="0" w:after="0"/>
              <w:jc w:val="center"/>
              <w:rPr>
                <w:rFonts w:eastAsia="CIDFont+F4" w:cs="CIDFont+F4"/>
                <w:sz w:val="20"/>
                <w:szCs w:val="20"/>
                <w:lang w:val="sr-Latn-RS"/>
              </w:rPr>
            </w:pPr>
          </w:p>
        </w:tc>
        <w:tc>
          <w:tcPr>
            <w:tcW w:w="1557" w:type="dxa"/>
            <w:tcBorders>
              <w:top w:val="nil"/>
              <w:left w:val="nil"/>
              <w:bottom w:val="nil"/>
              <w:right w:val="nil"/>
            </w:tcBorders>
          </w:tcPr>
          <w:p w14:paraId="5EE180B5" w14:textId="77777777" w:rsidR="002348ED" w:rsidRDefault="002348ED" w:rsidP="00FF4E21">
            <w:pPr>
              <w:spacing w:before="0" w:after="0"/>
              <w:jc w:val="center"/>
              <w:rPr>
                <w:rFonts w:eastAsia="CIDFont+F4" w:cs="CIDFont+F4"/>
                <w:sz w:val="20"/>
                <w:szCs w:val="20"/>
                <w:lang w:val="sr-Latn-RS"/>
              </w:rPr>
            </w:pPr>
          </w:p>
        </w:tc>
        <w:tc>
          <w:tcPr>
            <w:tcW w:w="1409" w:type="dxa"/>
            <w:tcBorders>
              <w:top w:val="nil"/>
              <w:left w:val="nil"/>
              <w:bottom w:val="nil"/>
            </w:tcBorders>
          </w:tcPr>
          <w:p w14:paraId="0C137E3E" w14:textId="77777777" w:rsidR="002348ED" w:rsidRDefault="002348ED" w:rsidP="00FF4E21">
            <w:pPr>
              <w:spacing w:before="0" w:after="0"/>
              <w:jc w:val="center"/>
              <w:rPr>
                <w:rFonts w:eastAsia="CIDFont+F4" w:cs="CIDFont+F4"/>
                <w:sz w:val="20"/>
                <w:szCs w:val="20"/>
                <w:lang w:val="sr-Latn-RS"/>
              </w:rPr>
            </w:pPr>
          </w:p>
        </w:tc>
      </w:tr>
      <w:tr w:rsidR="002348ED" w:rsidRPr="005F1EE5" w14:paraId="0C8674B1" w14:textId="77777777" w:rsidTr="00FF4E21">
        <w:tc>
          <w:tcPr>
            <w:tcW w:w="1648" w:type="dxa"/>
            <w:tcBorders>
              <w:top w:val="nil"/>
              <w:bottom w:val="nil"/>
              <w:right w:val="nil"/>
            </w:tcBorders>
          </w:tcPr>
          <w:p w14:paraId="1759E271" w14:textId="77777777" w:rsidR="002348ED" w:rsidRDefault="002348ED" w:rsidP="00FF4E21">
            <w:pPr>
              <w:spacing w:before="0" w:after="0"/>
              <w:ind w:left="720"/>
              <w:jc w:val="center"/>
              <w:rPr>
                <w:rFonts w:eastAsia="CIDFont+F4" w:cs="CIDFont+F4"/>
                <w:i/>
                <w:iCs/>
                <w:sz w:val="20"/>
                <w:szCs w:val="20"/>
                <w:lang w:val="sr-Latn-RS"/>
              </w:rPr>
            </w:pPr>
            <w:r>
              <w:rPr>
                <w:rFonts w:eastAsia="CIDFont+F4" w:cs="CIDFont+F4"/>
                <w:i/>
                <w:iCs/>
                <w:sz w:val="20"/>
                <w:szCs w:val="20"/>
                <w:lang w:val="sr-Latn-RS"/>
              </w:rPr>
              <w:t>CBM</w:t>
            </w:r>
          </w:p>
        </w:tc>
        <w:tc>
          <w:tcPr>
            <w:tcW w:w="1569" w:type="dxa"/>
            <w:tcBorders>
              <w:top w:val="nil"/>
              <w:left w:val="nil"/>
              <w:bottom w:val="nil"/>
              <w:right w:val="nil"/>
            </w:tcBorders>
          </w:tcPr>
          <w:p w14:paraId="6E50C823"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w:t>
            </w:r>
          </w:p>
        </w:tc>
        <w:tc>
          <w:tcPr>
            <w:tcW w:w="1287" w:type="dxa"/>
            <w:tcBorders>
              <w:top w:val="nil"/>
              <w:left w:val="nil"/>
              <w:bottom w:val="nil"/>
              <w:right w:val="nil"/>
            </w:tcBorders>
          </w:tcPr>
          <w:p w14:paraId="2C1AE4AC" w14:textId="77777777" w:rsidR="002348ED" w:rsidRPr="005F72BC"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w:t>
            </w:r>
          </w:p>
        </w:tc>
        <w:tc>
          <w:tcPr>
            <w:tcW w:w="1557" w:type="dxa"/>
            <w:tcBorders>
              <w:top w:val="nil"/>
              <w:left w:val="nil"/>
              <w:bottom w:val="nil"/>
              <w:right w:val="nil"/>
            </w:tcBorders>
          </w:tcPr>
          <w:p w14:paraId="1EC35B00"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w:t>
            </w:r>
          </w:p>
        </w:tc>
        <w:tc>
          <w:tcPr>
            <w:tcW w:w="1557" w:type="dxa"/>
            <w:tcBorders>
              <w:top w:val="nil"/>
              <w:left w:val="nil"/>
              <w:bottom w:val="nil"/>
              <w:right w:val="nil"/>
            </w:tcBorders>
          </w:tcPr>
          <w:p w14:paraId="4786D189"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w:t>
            </w:r>
          </w:p>
        </w:tc>
        <w:tc>
          <w:tcPr>
            <w:tcW w:w="1409" w:type="dxa"/>
            <w:tcBorders>
              <w:top w:val="nil"/>
              <w:left w:val="nil"/>
              <w:bottom w:val="nil"/>
            </w:tcBorders>
          </w:tcPr>
          <w:p w14:paraId="1A215A00"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w:t>
            </w:r>
          </w:p>
        </w:tc>
      </w:tr>
      <w:tr w:rsidR="002348ED" w:rsidRPr="005F1EE5" w14:paraId="2A019602" w14:textId="77777777" w:rsidTr="00FF4E21">
        <w:tc>
          <w:tcPr>
            <w:tcW w:w="1648" w:type="dxa"/>
            <w:tcBorders>
              <w:top w:val="nil"/>
              <w:bottom w:val="nil"/>
              <w:right w:val="nil"/>
            </w:tcBorders>
          </w:tcPr>
          <w:p w14:paraId="1D3750BE" w14:textId="77777777" w:rsidR="002348ED" w:rsidRDefault="002348ED" w:rsidP="00FF4E21">
            <w:pPr>
              <w:spacing w:before="0" w:after="0"/>
              <w:ind w:left="720"/>
              <w:jc w:val="center"/>
              <w:rPr>
                <w:rFonts w:eastAsia="CIDFont+F4" w:cs="CIDFont+F4"/>
                <w:i/>
                <w:iCs/>
                <w:sz w:val="20"/>
                <w:szCs w:val="20"/>
                <w:lang w:val="sr-Latn-RS"/>
              </w:rPr>
            </w:pPr>
            <w:r>
              <w:rPr>
                <w:rFonts w:eastAsia="CIDFont+F4" w:cs="CIDFont+F4"/>
                <w:i/>
                <w:iCs/>
                <w:sz w:val="20"/>
                <w:szCs w:val="20"/>
                <w:lang w:val="sr-Latn-RS"/>
              </w:rPr>
              <w:t>CM</w:t>
            </w:r>
          </w:p>
        </w:tc>
        <w:tc>
          <w:tcPr>
            <w:tcW w:w="1569" w:type="dxa"/>
            <w:tcBorders>
              <w:top w:val="nil"/>
              <w:left w:val="nil"/>
              <w:bottom w:val="nil"/>
              <w:right w:val="nil"/>
            </w:tcBorders>
          </w:tcPr>
          <w:p w14:paraId="6E214377"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-285</w:t>
            </w:r>
          </w:p>
        </w:tc>
        <w:tc>
          <w:tcPr>
            <w:tcW w:w="1287" w:type="dxa"/>
            <w:tcBorders>
              <w:top w:val="nil"/>
              <w:left w:val="nil"/>
              <w:bottom w:val="nil"/>
              <w:right w:val="nil"/>
            </w:tcBorders>
          </w:tcPr>
          <w:p w14:paraId="0D262026" w14:textId="77777777" w:rsidR="002348ED" w:rsidRPr="005F72BC"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220</w:t>
            </w:r>
          </w:p>
        </w:tc>
        <w:tc>
          <w:tcPr>
            <w:tcW w:w="1557" w:type="dxa"/>
            <w:tcBorders>
              <w:top w:val="nil"/>
              <w:left w:val="nil"/>
              <w:bottom w:val="nil"/>
              <w:right w:val="nil"/>
            </w:tcBorders>
          </w:tcPr>
          <w:p w14:paraId="0AAC0549"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-1.30</w:t>
            </w:r>
          </w:p>
        </w:tc>
        <w:tc>
          <w:tcPr>
            <w:tcW w:w="1557" w:type="dxa"/>
            <w:tcBorders>
              <w:top w:val="nil"/>
              <w:left w:val="nil"/>
              <w:bottom w:val="nil"/>
              <w:right w:val="nil"/>
            </w:tcBorders>
          </w:tcPr>
          <w:p w14:paraId="04536CD5"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0.199</w:t>
            </w:r>
          </w:p>
        </w:tc>
        <w:tc>
          <w:tcPr>
            <w:tcW w:w="1409" w:type="dxa"/>
            <w:tcBorders>
              <w:top w:val="nil"/>
              <w:left w:val="nil"/>
              <w:bottom w:val="nil"/>
            </w:tcBorders>
          </w:tcPr>
          <w:p w14:paraId="0F82DA69"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3.7</w:t>
            </w:r>
          </w:p>
        </w:tc>
      </w:tr>
      <w:tr w:rsidR="002348ED" w:rsidRPr="005F1EE5" w14:paraId="24411D93" w14:textId="77777777" w:rsidTr="00FF4E21">
        <w:tc>
          <w:tcPr>
            <w:tcW w:w="1648" w:type="dxa"/>
            <w:tcBorders>
              <w:top w:val="nil"/>
              <w:bottom w:val="nil"/>
              <w:right w:val="nil"/>
            </w:tcBorders>
          </w:tcPr>
          <w:p w14:paraId="19E4967B" w14:textId="77777777" w:rsidR="002348ED" w:rsidRDefault="002348ED" w:rsidP="00FF4E21">
            <w:pPr>
              <w:spacing w:before="0" w:after="0"/>
              <w:ind w:left="720"/>
              <w:jc w:val="center"/>
              <w:rPr>
                <w:rFonts w:eastAsia="CIDFont+F4" w:cs="CIDFont+F4"/>
                <w:i/>
                <w:iCs/>
                <w:sz w:val="20"/>
                <w:szCs w:val="20"/>
                <w:lang w:val="sr-Latn-RS"/>
              </w:rPr>
            </w:pPr>
            <w:r>
              <w:rPr>
                <w:rFonts w:eastAsia="CIDFont+F4" w:cs="CIDFont+F4"/>
                <w:i/>
                <w:iCs/>
                <w:sz w:val="20"/>
                <w:szCs w:val="20"/>
                <w:lang w:val="sr-Latn-RS"/>
              </w:rPr>
              <w:t>DM</w:t>
            </w:r>
          </w:p>
        </w:tc>
        <w:tc>
          <w:tcPr>
            <w:tcW w:w="1569" w:type="dxa"/>
            <w:tcBorders>
              <w:top w:val="nil"/>
              <w:left w:val="nil"/>
              <w:bottom w:val="nil"/>
              <w:right w:val="nil"/>
            </w:tcBorders>
          </w:tcPr>
          <w:p w14:paraId="716DB8A8"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7</w:t>
            </w:r>
          </w:p>
        </w:tc>
        <w:tc>
          <w:tcPr>
            <w:tcW w:w="1287" w:type="dxa"/>
            <w:tcBorders>
              <w:top w:val="nil"/>
              <w:left w:val="nil"/>
              <w:bottom w:val="nil"/>
              <w:right w:val="nil"/>
            </w:tcBorders>
          </w:tcPr>
          <w:p w14:paraId="19520C48" w14:textId="77777777" w:rsidR="002348ED" w:rsidRPr="005F72BC"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295</w:t>
            </w:r>
          </w:p>
        </w:tc>
        <w:tc>
          <w:tcPr>
            <w:tcW w:w="1557" w:type="dxa"/>
            <w:tcBorders>
              <w:top w:val="nil"/>
              <w:left w:val="nil"/>
              <w:bottom w:val="nil"/>
              <w:right w:val="nil"/>
            </w:tcBorders>
          </w:tcPr>
          <w:p w14:paraId="7BADD462"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0.02</w:t>
            </w:r>
          </w:p>
        </w:tc>
        <w:tc>
          <w:tcPr>
            <w:tcW w:w="1557" w:type="dxa"/>
            <w:tcBorders>
              <w:top w:val="nil"/>
              <w:left w:val="nil"/>
              <w:bottom w:val="nil"/>
              <w:right w:val="nil"/>
            </w:tcBorders>
          </w:tcPr>
          <w:p w14:paraId="56B9B693"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0.981</w:t>
            </w:r>
          </w:p>
        </w:tc>
        <w:tc>
          <w:tcPr>
            <w:tcW w:w="1409" w:type="dxa"/>
            <w:tcBorders>
              <w:top w:val="nil"/>
              <w:left w:val="nil"/>
              <w:bottom w:val="nil"/>
            </w:tcBorders>
          </w:tcPr>
          <w:p w14:paraId="2D9E12B9"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2.06</w:t>
            </w:r>
          </w:p>
        </w:tc>
      </w:tr>
      <w:tr w:rsidR="002348ED" w:rsidRPr="005F1EE5" w14:paraId="6E1E7625" w14:textId="77777777" w:rsidTr="00FF4E21">
        <w:tc>
          <w:tcPr>
            <w:tcW w:w="1648" w:type="dxa"/>
            <w:tcBorders>
              <w:top w:val="nil"/>
              <w:bottom w:val="nil"/>
              <w:right w:val="nil"/>
            </w:tcBorders>
          </w:tcPr>
          <w:p w14:paraId="71184620" w14:textId="77777777" w:rsidR="002348ED" w:rsidRDefault="002348ED" w:rsidP="00FF4E21">
            <w:pPr>
              <w:spacing w:before="0" w:after="0"/>
              <w:ind w:left="720"/>
              <w:jc w:val="center"/>
              <w:rPr>
                <w:rFonts w:eastAsia="CIDFont+F4" w:cs="CIDFont+F4"/>
                <w:i/>
                <w:iCs/>
                <w:sz w:val="20"/>
                <w:szCs w:val="20"/>
                <w:lang w:val="sr-Latn-RS"/>
              </w:rPr>
            </w:pPr>
            <w:r>
              <w:rPr>
                <w:rFonts w:eastAsia="CIDFont+F4" w:cs="CIDFont+F4"/>
                <w:i/>
                <w:iCs/>
                <w:sz w:val="20"/>
                <w:szCs w:val="20"/>
                <w:lang w:val="sr-Latn-RS"/>
              </w:rPr>
              <w:t>OM</w:t>
            </w:r>
          </w:p>
        </w:tc>
        <w:tc>
          <w:tcPr>
            <w:tcW w:w="1569" w:type="dxa"/>
            <w:tcBorders>
              <w:top w:val="nil"/>
              <w:left w:val="nil"/>
              <w:bottom w:val="nil"/>
              <w:right w:val="nil"/>
            </w:tcBorders>
          </w:tcPr>
          <w:p w14:paraId="4B471C88"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-154</w:t>
            </w:r>
          </w:p>
        </w:tc>
        <w:tc>
          <w:tcPr>
            <w:tcW w:w="1287" w:type="dxa"/>
            <w:tcBorders>
              <w:top w:val="nil"/>
              <w:left w:val="nil"/>
              <w:bottom w:val="nil"/>
              <w:right w:val="nil"/>
            </w:tcBorders>
          </w:tcPr>
          <w:p w14:paraId="021E5E42" w14:textId="77777777" w:rsidR="002348ED" w:rsidRPr="005F72BC"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252</w:t>
            </w:r>
          </w:p>
        </w:tc>
        <w:tc>
          <w:tcPr>
            <w:tcW w:w="1557" w:type="dxa"/>
            <w:tcBorders>
              <w:top w:val="nil"/>
              <w:left w:val="nil"/>
              <w:bottom w:val="nil"/>
              <w:right w:val="nil"/>
            </w:tcBorders>
          </w:tcPr>
          <w:p w14:paraId="6212BD13"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-0.61</w:t>
            </w:r>
          </w:p>
        </w:tc>
        <w:tc>
          <w:tcPr>
            <w:tcW w:w="1557" w:type="dxa"/>
            <w:tcBorders>
              <w:top w:val="nil"/>
              <w:left w:val="nil"/>
              <w:bottom w:val="nil"/>
              <w:right w:val="nil"/>
            </w:tcBorders>
          </w:tcPr>
          <w:p w14:paraId="03EC7D77"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0.544</w:t>
            </w:r>
          </w:p>
        </w:tc>
        <w:tc>
          <w:tcPr>
            <w:tcW w:w="1409" w:type="dxa"/>
            <w:tcBorders>
              <w:top w:val="nil"/>
              <w:left w:val="nil"/>
              <w:bottom w:val="nil"/>
            </w:tcBorders>
          </w:tcPr>
          <w:p w14:paraId="2295F681"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2.88</w:t>
            </w:r>
          </w:p>
        </w:tc>
      </w:tr>
      <w:tr w:rsidR="002348ED" w:rsidRPr="005F1EE5" w14:paraId="04D5354D" w14:textId="77777777" w:rsidTr="00FF4E21">
        <w:tc>
          <w:tcPr>
            <w:tcW w:w="1648" w:type="dxa"/>
            <w:tcBorders>
              <w:top w:val="nil"/>
              <w:bottom w:val="nil"/>
              <w:right w:val="nil"/>
            </w:tcBorders>
          </w:tcPr>
          <w:p w14:paraId="21A76DFE" w14:textId="77777777" w:rsidR="002348ED" w:rsidRDefault="002348ED" w:rsidP="00FF4E21">
            <w:pPr>
              <w:spacing w:before="0" w:after="0"/>
              <w:ind w:left="720"/>
              <w:jc w:val="center"/>
              <w:rPr>
                <w:rFonts w:eastAsia="CIDFont+F4" w:cs="CIDFont+F4"/>
                <w:i/>
                <w:iCs/>
                <w:sz w:val="20"/>
                <w:szCs w:val="20"/>
                <w:lang w:val="sr-Latn-RS"/>
              </w:rPr>
            </w:pPr>
            <w:r>
              <w:rPr>
                <w:rFonts w:eastAsia="CIDFont+F4" w:cs="CIDFont+F4"/>
                <w:i/>
                <w:iCs/>
                <w:sz w:val="20"/>
                <w:szCs w:val="20"/>
                <w:lang w:val="sr-Latn-RS"/>
              </w:rPr>
              <w:t>PdM</w:t>
            </w:r>
          </w:p>
        </w:tc>
        <w:tc>
          <w:tcPr>
            <w:tcW w:w="1569" w:type="dxa"/>
            <w:tcBorders>
              <w:top w:val="nil"/>
              <w:left w:val="nil"/>
              <w:bottom w:val="nil"/>
              <w:right w:val="nil"/>
            </w:tcBorders>
          </w:tcPr>
          <w:p w14:paraId="2F336930"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60</w:t>
            </w:r>
          </w:p>
        </w:tc>
        <w:tc>
          <w:tcPr>
            <w:tcW w:w="1287" w:type="dxa"/>
            <w:tcBorders>
              <w:top w:val="nil"/>
              <w:left w:val="nil"/>
              <w:bottom w:val="nil"/>
              <w:right w:val="nil"/>
            </w:tcBorders>
          </w:tcPr>
          <w:p w14:paraId="62572DF4" w14:textId="77777777" w:rsidR="002348ED" w:rsidRPr="005F72BC"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206</w:t>
            </w:r>
          </w:p>
        </w:tc>
        <w:tc>
          <w:tcPr>
            <w:tcW w:w="1557" w:type="dxa"/>
            <w:tcBorders>
              <w:top w:val="nil"/>
              <w:left w:val="nil"/>
              <w:bottom w:val="nil"/>
              <w:right w:val="nil"/>
            </w:tcBorders>
          </w:tcPr>
          <w:p w14:paraId="458AC979"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0.29</w:t>
            </w:r>
          </w:p>
        </w:tc>
        <w:tc>
          <w:tcPr>
            <w:tcW w:w="1557" w:type="dxa"/>
            <w:tcBorders>
              <w:top w:val="nil"/>
              <w:left w:val="nil"/>
              <w:bottom w:val="nil"/>
              <w:right w:val="nil"/>
            </w:tcBorders>
          </w:tcPr>
          <w:p w14:paraId="78600D02"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0.771</w:t>
            </w:r>
          </w:p>
        </w:tc>
        <w:tc>
          <w:tcPr>
            <w:tcW w:w="1409" w:type="dxa"/>
            <w:tcBorders>
              <w:top w:val="nil"/>
              <w:left w:val="nil"/>
              <w:bottom w:val="nil"/>
            </w:tcBorders>
          </w:tcPr>
          <w:p w14:paraId="17DFEEB4"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1.63</w:t>
            </w:r>
          </w:p>
        </w:tc>
      </w:tr>
      <w:tr w:rsidR="002348ED" w:rsidRPr="005F1EE5" w14:paraId="17C2E4F4" w14:textId="77777777" w:rsidTr="00FF4E21">
        <w:tc>
          <w:tcPr>
            <w:tcW w:w="1648" w:type="dxa"/>
            <w:tcBorders>
              <w:top w:val="nil"/>
              <w:bottom w:val="nil"/>
              <w:right w:val="nil"/>
            </w:tcBorders>
          </w:tcPr>
          <w:p w14:paraId="026A9083" w14:textId="77777777" w:rsidR="002348ED" w:rsidRDefault="002348ED" w:rsidP="00FF4E21">
            <w:pPr>
              <w:spacing w:before="0" w:after="0"/>
              <w:ind w:left="720"/>
              <w:jc w:val="center"/>
              <w:rPr>
                <w:rFonts w:eastAsia="CIDFont+F4" w:cs="CIDFont+F4"/>
                <w:i/>
                <w:iCs/>
                <w:sz w:val="20"/>
                <w:szCs w:val="20"/>
                <w:lang w:val="sr-Latn-RS"/>
              </w:rPr>
            </w:pPr>
            <w:r>
              <w:rPr>
                <w:rFonts w:eastAsia="CIDFont+F4" w:cs="CIDFont+F4"/>
                <w:i/>
                <w:iCs/>
                <w:sz w:val="20"/>
                <w:szCs w:val="20"/>
                <w:lang w:val="sr-Latn-RS"/>
              </w:rPr>
              <w:t>PM</w:t>
            </w:r>
          </w:p>
        </w:tc>
        <w:tc>
          <w:tcPr>
            <w:tcW w:w="1569" w:type="dxa"/>
            <w:tcBorders>
              <w:top w:val="nil"/>
              <w:left w:val="nil"/>
              <w:bottom w:val="nil"/>
              <w:right w:val="nil"/>
            </w:tcBorders>
          </w:tcPr>
          <w:p w14:paraId="4D369448"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-115</w:t>
            </w:r>
          </w:p>
        </w:tc>
        <w:tc>
          <w:tcPr>
            <w:tcW w:w="1287" w:type="dxa"/>
            <w:tcBorders>
              <w:top w:val="nil"/>
              <w:left w:val="nil"/>
              <w:bottom w:val="nil"/>
              <w:right w:val="nil"/>
            </w:tcBorders>
          </w:tcPr>
          <w:p w14:paraId="41E36BD2" w14:textId="77777777" w:rsidR="002348ED" w:rsidRPr="005F72BC"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185</w:t>
            </w:r>
          </w:p>
        </w:tc>
        <w:tc>
          <w:tcPr>
            <w:tcW w:w="1557" w:type="dxa"/>
            <w:tcBorders>
              <w:top w:val="nil"/>
              <w:left w:val="nil"/>
              <w:bottom w:val="nil"/>
              <w:right w:val="nil"/>
            </w:tcBorders>
          </w:tcPr>
          <w:p w14:paraId="4CAC23B7"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-0.62</w:t>
            </w:r>
          </w:p>
        </w:tc>
        <w:tc>
          <w:tcPr>
            <w:tcW w:w="1557" w:type="dxa"/>
            <w:tcBorders>
              <w:top w:val="nil"/>
              <w:left w:val="nil"/>
              <w:bottom w:val="nil"/>
              <w:right w:val="nil"/>
            </w:tcBorders>
          </w:tcPr>
          <w:p w14:paraId="02E307D0"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0.537</w:t>
            </w:r>
          </w:p>
        </w:tc>
        <w:tc>
          <w:tcPr>
            <w:tcW w:w="1409" w:type="dxa"/>
            <w:tcBorders>
              <w:top w:val="nil"/>
              <w:left w:val="nil"/>
              <w:bottom w:val="nil"/>
            </w:tcBorders>
          </w:tcPr>
          <w:p w14:paraId="5AAF725B"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5.01</w:t>
            </w:r>
          </w:p>
        </w:tc>
      </w:tr>
      <w:tr w:rsidR="002348ED" w:rsidRPr="005F1EE5" w14:paraId="38C547F8" w14:textId="77777777" w:rsidTr="00FF4E21">
        <w:tc>
          <w:tcPr>
            <w:tcW w:w="1648" w:type="dxa"/>
            <w:tcBorders>
              <w:top w:val="nil"/>
              <w:bottom w:val="nil"/>
              <w:right w:val="nil"/>
            </w:tcBorders>
          </w:tcPr>
          <w:p w14:paraId="2AD63198" w14:textId="77777777" w:rsidR="002348ED"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MAP</w:t>
            </w:r>
          </w:p>
        </w:tc>
        <w:tc>
          <w:tcPr>
            <w:tcW w:w="1569" w:type="dxa"/>
            <w:tcBorders>
              <w:top w:val="nil"/>
              <w:left w:val="nil"/>
              <w:bottom w:val="nil"/>
              <w:right w:val="nil"/>
            </w:tcBorders>
          </w:tcPr>
          <w:p w14:paraId="76395C99" w14:textId="77777777" w:rsidR="002348ED" w:rsidRDefault="002348ED" w:rsidP="00FF4E21">
            <w:pPr>
              <w:spacing w:before="0" w:after="0"/>
              <w:jc w:val="center"/>
              <w:rPr>
                <w:rFonts w:eastAsia="CIDFont+F4" w:cs="CIDFont+F4"/>
                <w:sz w:val="20"/>
                <w:szCs w:val="20"/>
                <w:lang w:val="sr-Latn-RS"/>
              </w:rPr>
            </w:pPr>
          </w:p>
        </w:tc>
        <w:tc>
          <w:tcPr>
            <w:tcW w:w="1287" w:type="dxa"/>
            <w:tcBorders>
              <w:top w:val="nil"/>
              <w:left w:val="nil"/>
              <w:bottom w:val="nil"/>
              <w:right w:val="nil"/>
            </w:tcBorders>
          </w:tcPr>
          <w:p w14:paraId="11A24542" w14:textId="77777777" w:rsidR="002348ED" w:rsidRPr="005F72BC" w:rsidRDefault="002348ED" w:rsidP="00FF4E21">
            <w:pPr>
              <w:spacing w:before="0" w:after="0"/>
              <w:jc w:val="center"/>
              <w:rPr>
                <w:rFonts w:eastAsia="CIDFont+F4" w:cs="CIDFont+F4"/>
                <w:sz w:val="20"/>
                <w:szCs w:val="20"/>
                <w:lang w:val="sr-Latn-RS"/>
              </w:rPr>
            </w:pPr>
          </w:p>
        </w:tc>
        <w:tc>
          <w:tcPr>
            <w:tcW w:w="1557" w:type="dxa"/>
            <w:tcBorders>
              <w:top w:val="nil"/>
              <w:left w:val="nil"/>
              <w:bottom w:val="nil"/>
              <w:right w:val="nil"/>
            </w:tcBorders>
          </w:tcPr>
          <w:p w14:paraId="1947A934" w14:textId="77777777" w:rsidR="002348ED" w:rsidRPr="00DC6B00" w:rsidRDefault="002348ED" w:rsidP="00FF4E21">
            <w:pPr>
              <w:spacing w:before="0" w:after="0"/>
              <w:jc w:val="center"/>
              <w:rPr>
                <w:rFonts w:eastAsia="CIDFont+F4" w:cs="CIDFont+F4"/>
                <w:sz w:val="20"/>
                <w:szCs w:val="20"/>
                <w:lang w:val="sr-Latn-RS"/>
              </w:rPr>
            </w:pPr>
          </w:p>
        </w:tc>
        <w:tc>
          <w:tcPr>
            <w:tcW w:w="1557" w:type="dxa"/>
            <w:tcBorders>
              <w:top w:val="nil"/>
              <w:left w:val="nil"/>
              <w:bottom w:val="nil"/>
              <w:right w:val="nil"/>
            </w:tcBorders>
          </w:tcPr>
          <w:p w14:paraId="6D32FA84" w14:textId="77777777" w:rsidR="002348ED" w:rsidRDefault="002348ED" w:rsidP="00FF4E21">
            <w:pPr>
              <w:spacing w:before="0" w:after="0"/>
              <w:jc w:val="center"/>
              <w:rPr>
                <w:rFonts w:eastAsia="CIDFont+F4" w:cs="CIDFont+F4"/>
                <w:sz w:val="20"/>
                <w:szCs w:val="20"/>
                <w:lang w:val="sr-Latn-RS"/>
              </w:rPr>
            </w:pPr>
          </w:p>
        </w:tc>
        <w:tc>
          <w:tcPr>
            <w:tcW w:w="1409" w:type="dxa"/>
            <w:tcBorders>
              <w:top w:val="nil"/>
              <w:left w:val="nil"/>
              <w:bottom w:val="nil"/>
            </w:tcBorders>
          </w:tcPr>
          <w:p w14:paraId="57C196DC" w14:textId="77777777" w:rsidR="002348ED" w:rsidRDefault="002348ED" w:rsidP="00FF4E21">
            <w:pPr>
              <w:spacing w:before="0" w:after="0"/>
              <w:jc w:val="center"/>
              <w:rPr>
                <w:rFonts w:eastAsia="CIDFont+F4" w:cs="CIDFont+F4"/>
                <w:sz w:val="20"/>
                <w:szCs w:val="20"/>
                <w:lang w:val="sr-Latn-RS"/>
              </w:rPr>
            </w:pPr>
          </w:p>
        </w:tc>
      </w:tr>
      <w:tr w:rsidR="002348ED" w:rsidRPr="005F1EE5" w14:paraId="03DEA567" w14:textId="77777777" w:rsidTr="00FF4E21">
        <w:tc>
          <w:tcPr>
            <w:tcW w:w="1648" w:type="dxa"/>
            <w:tcBorders>
              <w:top w:val="nil"/>
              <w:bottom w:val="nil"/>
              <w:right w:val="nil"/>
            </w:tcBorders>
          </w:tcPr>
          <w:p w14:paraId="0366CAF7" w14:textId="77777777" w:rsidR="002348ED" w:rsidRDefault="002348ED" w:rsidP="00FF4E21">
            <w:pPr>
              <w:spacing w:before="0" w:after="0"/>
              <w:ind w:left="720"/>
              <w:jc w:val="center"/>
              <w:rPr>
                <w:rFonts w:eastAsia="CIDFont+F4" w:cs="CIDFont+F4"/>
                <w:i/>
                <w:iCs/>
                <w:sz w:val="20"/>
                <w:szCs w:val="20"/>
                <w:lang w:val="sr-Latn-RS"/>
              </w:rPr>
            </w:pPr>
            <w:r>
              <w:rPr>
                <w:rFonts w:eastAsia="CIDFont+F4" w:cs="CIDFont+F4"/>
                <w:i/>
                <w:iCs/>
                <w:sz w:val="20"/>
                <w:szCs w:val="20"/>
                <w:lang w:val="sr-Latn-RS"/>
              </w:rPr>
              <w:t>CC</w:t>
            </w:r>
          </w:p>
        </w:tc>
        <w:tc>
          <w:tcPr>
            <w:tcW w:w="1569" w:type="dxa"/>
            <w:tcBorders>
              <w:top w:val="nil"/>
              <w:left w:val="nil"/>
              <w:bottom w:val="nil"/>
              <w:right w:val="nil"/>
            </w:tcBorders>
          </w:tcPr>
          <w:p w14:paraId="19851F5A"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w:t>
            </w:r>
          </w:p>
        </w:tc>
        <w:tc>
          <w:tcPr>
            <w:tcW w:w="1287" w:type="dxa"/>
            <w:tcBorders>
              <w:top w:val="nil"/>
              <w:left w:val="nil"/>
              <w:bottom w:val="nil"/>
              <w:right w:val="nil"/>
            </w:tcBorders>
          </w:tcPr>
          <w:p w14:paraId="23108D53" w14:textId="77777777" w:rsidR="002348ED" w:rsidRPr="005F72BC"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w:t>
            </w:r>
          </w:p>
        </w:tc>
        <w:tc>
          <w:tcPr>
            <w:tcW w:w="1557" w:type="dxa"/>
            <w:tcBorders>
              <w:top w:val="nil"/>
              <w:left w:val="nil"/>
              <w:bottom w:val="nil"/>
              <w:right w:val="nil"/>
            </w:tcBorders>
          </w:tcPr>
          <w:p w14:paraId="4D0A6385"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w:t>
            </w:r>
          </w:p>
        </w:tc>
        <w:tc>
          <w:tcPr>
            <w:tcW w:w="1557" w:type="dxa"/>
            <w:tcBorders>
              <w:top w:val="nil"/>
              <w:left w:val="nil"/>
              <w:bottom w:val="nil"/>
              <w:right w:val="nil"/>
            </w:tcBorders>
          </w:tcPr>
          <w:p w14:paraId="2298D244"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w:t>
            </w:r>
          </w:p>
        </w:tc>
        <w:tc>
          <w:tcPr>
            <w:tcW w:w="1409" w:type="dxa"/>
            <w:tcBorders>
              <w:top w:val="nil"/>
              <w:left w:val="nil"/>
              <w:bottom w:val="nil"/>
            </w:tcBorders>
          </w:tcPr>
          <w:p w14:paraId="5BC73239"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w:t>
            </w:r>
          </w:p>
        </w:tc>
      </w:tr>
      <w:tr w:rsidR="002348ED" w:rsidRPr="005F1EE5" w14:paraId="78DEF84E" w14:textId="77777777" w:rsidTr="00FF4E21">
        <w:tc>
          <w:tcPr>
            <w:tcW w:w="1648" w:type="dxa"/>
            <w:tcBorders>
              <w:top w:val="nil"/>
              <w:bottom w:val="nil"/>
              <w:right w:val="nil"/>
            </w:tcBorders>
          </w:tcPr>
          <w:p w14:paraId="0F7C1B17" w14:textId="77777777" w:rsidR="002348ED" w:rsidRDefault="002348ED" w:rsidP="00FF4E21">
            <w:pPr>
              <w:spacing w:before="0" w:after="0"/>
              <w:ind w:left="720"/>
              <w:jc w:val="center"/>
              <w:rPr>
                <w:rFonts w:eastAsia="CIDFont+F4" w:cs="CIDFont+F4"/>
                <w:i/>
                <w:iCs/>
                <w:sz w:val="20"/>
                <w:szCs w:val="20"/>
                <w:lang w:val="sr-Latn-RS"/>
              </w:rPr>
            </w:pPr>
            <w:r>
              <w:rPr>
                <w:rFonts w:eastAsia="CIDFont+F4" w:cs="CIDFont+F4"/>
                <w:i/>
                <w:iCs/>
                <w:sz w:val="20"/>
                <w:szCs w:val="20"/>
                <w:lang w:val="sr-Latn-RS"/>
              </w:rPr>
              <w:t>LCM</w:t>
            </w:r>
          </w:p>
        </w:tc>
        <w:tc>
          <w:tcPr>
            <w:tcW w:w="1569" w:type="dxa"/>
            <w:tcBorders>
              <w:top w:val="nil"/>
              <w:left w:val="nil"/>
              <w:bottom w:val="nil"/>
              <w:right w:val="nil"/>
            </w:tcBorders>
          </w:tcPr>
          <w:p w14:paraId="2727FD73"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529</w:t>
            </w:r>
          </w:p>
        </w:tc>
        <w:tc>
          <w:tcPr>
            <w:tcW w:w="1287" w:type="dxa"/>
            <w:tcBorders>
              <w:top w:val="nil"/>
              <w:left w:val="nil"/>
              <w:bottom w:val="nil"/>
              <w:right w:val="nil"/>
            </w:tcBorders>
          </w:tcPr>
          <w:p w14:paraId="4432F22E" w14:textId="77777777" w:rsidR="002348ED" w:rsidRPr="005F72BC"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204</w:t>
            </w:r>
          </w:p>
        </w:tc>
        <w:tc>
          <w:tcPr>
            <w:tcW w:w="1557" w:type="dxa"/>
            <w:tcBorders>
              <w:top w:val="nil"/>
              <w:left w:val="nil"/>
              <w:bottom w:val="nil"/>
              <w:right w:val="nil"/>
            </w:tcBorders>
          </w:tcPr>
          <w:p w14:paraId="71819A89"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2.59</w:t>
            </w:r>
          </w:p>
        </w:tc>
        <w:tc>
          <w:tcPr>
            <w:tcW w:w="1557" w:type="dxa"/>
            <w:tcBorders>
              <w:top w:val="nil"/>
              <w:left w:val="nil"/>
              <w:bottom w:val="nil"/>
              <w:right w:val="nil"/>
            </w:tcBorders>
          </w:tcPr>
          <w:p w14:paraId="14127315"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0.013</w:t>
            </w:r>
          </w:p>
        </w:tc>
        <w:tc>
          <w:tcPr>
            <w:tcW w:w="1409" w:type="dxa"/>
            <w:tcBorders>
              <w:top w:val="nil"/>
              <w:left w:val="nil"/>
              <w:bottom w:val="nil"/>
            </w:tcBorders>
          </w:tcPr>
          <w:p w14:paraId="22D5A31B"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2.45</w:t>
            </w:r>
          </w:p>
        </w:tc>
      </w:tr>
      <w:tr w:rsidR="002348ED" w:rsidRPr="005F1EE5" w14:paraId="1AC8683A" w14:textId="77777777" w:rsidTr="00FF4E21">
        <w:tc>
          <w:tcPr>
            <w:tcW w:w="1648" w:type="dxa"/>
            <w:tcBorders>
              <w:top w:val="nil"/>
              <w:bottom w:val="nil"/>
              <w:right w:val="nil"/>
            </w:tcBorders>
          </w:tcPr>
          <w:p w14:paraId="1CE8BCB4" w14:textId="77777777" w:rsidR="002348ED" w:rsidRDefault="002348ED" w:rsidP="00FF4E21">
            <w:pPr>
              <w:spacing w:before="0" w:after="0"/>
              <w:ind w:left="720"/>
              <w:jc w:val="center"/>
              <w:rPr>
                <w:rFonts w:eastAsia="CIDFont+F4" w:cs="CIDFont+F4"/>
                <w:i/>
                <w:iCs/>
                <w:sz w:val="20"/>
                <w:szCs w:val="20"/>
                <w:lang w:val="sr-Latn-RS"/>
              </w:rPr>
            </w:pPr>
            <w:r>
              <w:rPr>
                <w:rFonts w:eastAsia="CIDFont+F4" w:cs="CIDFont+F4"/>
                <w:i/>
                <w:iCs/>
                <w:sz w:val="20"/>
                <w:szCs w:val="20"/>
                <w:lang w:val="sr-Latn-RS"/>
              </w:rPr>
              <w:t>PHM</w:t>
            </w:r>
          </w:p>
        </w:tc>
        <w:tc>
          <w:tcPr>
            <w:tcW w:w="1569" w:type="dxa"/>
            <w:tcBorders>
              <w:top w:val="nil"/>
              <w:left w:val="nil"/>
              <w:bottom w:val="nil"/>
              <w:right w:val="nil"/>
            </w:tcBorders>
          </w:tcPr>
          <w:p w14:paraId="279BFC51"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-23</w:t>
            </w:r>
          </w:p>
        </w:tc>
        <w:tc>
          <w:tcPr>
            <w:tcW w:w="1287" w:type="dxa"/>
            <w:tcBorders>
              <w:top w:val="nil"/>
              <w:left w:val="nil"/>
              <w:bottom w:val="nil"/>
              <w:right w:val="nil"/>
            </w:tcBorders>
          </w:tcPr>
          <w:p w14:paraId="262B6860" w14:textId="77777777" w:rsidR="002348ED" w:rsidRPr="005F72BC"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193</w:t>
            </w:r>
          </w:p>
        </w:tc>
        <w:tc>
          <w:tcPr>
            <w:tcW w:w="1557" w:type="dxa"/>
            <w:tcBorders>
              <w:top w:val="nil"/>
              <w:left w:val="nil"/>
              <w:bottom w:val="nil"/>
              <w:right w:val="nil"/>
            </w:tcBorders>
          </w:tcPr>
          <w:p w14:paraId="6A4FE026"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-0.12</w:t>
            </w:r>
          </w:p>
        </w:tc>
        <w:tc>
          <w:tcPr>
            <w:tcW w:w="1557" w:type="dxa"/>
            <w:tcBorders>
              <w:top w:val="nil"/>
              <w:left w:val="nil"/>
              <w:bottom w:val="nil"/>
              <w:right w:val="nil"/>
            </w:tcBorders>
          </w:tcPr>
          <w:p w14:paraId="1556F144"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0.906</w:t>
            </w:r>
          </w:p>
        </w:tc>
        <w:tc>
          <w:tcPr>
            <w:tcW w:w="1409" w:type="dxa"/>
            <w:tcBorders>
              <w:top w:val="nil"/>
              <w:left w:val="nil"/>
              <w:bottom w:val="nil"/>
            </w:tcBorders>
          </w:tcPr>
          <w:p w14:paraId="437280EA"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4.68</w:t>
            </w:r>
          </w:p>
        </w:tc>
      </w:tr>
      <w:tr w:rsidR="002348ED" w:rsidRPr="005F1EE5" w14:paraId="4FB543E6" w14:textId="77777777" w:rsidTr="00FF4E21">
        <w:tc>
          <w:tcPr>
            <w:tcW w:w="1648" w:type="dxa"/>
            <w:tcBorders>
              <w:top w:val="nil"/>
              <w:bottom w:val="nil"/>
              <w:right w:val="nil"/>
            </w:tcBorders>
          </w:tcPr>
          <w:p w14:paraId="15533D09" w14:textId="77777777" w:rsidR="002348ED" w:rsidRDefault="002348ED" w:rsidP="00FF4E21">
            <w:pPr>
              <w:spacing w:before="0" w:after="0"/>
              <w:ind w:left="720"/>
              <w:jc w:val="center"/>
              <w:rPr>
                <w:rFonts w:eastAsia="CIDFont+F4" w:cs="CIDFont+F4"/>
                <w:i/>
                <w:iCs/>
                <w:sz w:val="20"/>
                <w:szCs w:val="20"/>
                <w:lang w:val="sr-Latn-RS"/>
              </w:rPr>
            </w:pPr>
            <w:r>
              <w:rPr>
                <w:rFonts w:eastAsia="CIDFont+F4" w:cs="CIDFont+F4"/>
                <w:i/>
                <w:iCs/>
                <w:sz w:val="20"/>
                <w:szCs w:val="20"/>
                <w:lang w:val="sr-Latn-RS"/>
              </w:rPr>
              <w:t>Visual</w:t>
            </w:r>
          </w:p>
        </w:tc>
        <w:tc>
          <w:tcPr>
            <w:tcW w:w="1569" w:type="dxa"/>
            <w:tcBorders>
              <w:top w:val="nil"/>
              <w:left w:val="nil"/>
              <w:bottom w:val="nil"/>
              <w:right w:val="nil"/>
            </w:tcBorders>
          </w:tcPr>
          <w:p w14:paraId="35592C15"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248</w:t>
            </w:r>
          </w:p>
        </w:tc>
        <w:tc>
          <w:tcPr>
            <w:tcW w:w="1287" w:type="dxa"/>
            <w:tcBorders>
              <w:top w:val="nil"/>
              <w:left w:val="nil"/>
              <w:bottom w:val="nil"/>
              <w:right w:val="nil"/>
            </w:tcBorders>
          </w:tcPr>
          <w:p w14:paraId="38FCE2BE" w14:textId="77777777" w:rsidR="002348ED" w:rsidRPr="005F72BC"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163</w:t>
            </w:r>
          </w:p>
        </w:tc>
        <w:tc>
          <w:tcPr>
            <w:tcW w:w="1557" w:type="dxa"/>
            <w:tcBorders>
              <w:top w:val="nil"/>
              <w:left w:val="nil"/>
              <w:bottom w:val="nil"/>
              <w:right w:val="nil"/>
            </w:tcBorders>
          </w:tcPr>
          <w:p w14:paraId="589366F1"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1.52</w:t>
            </w:r>
          </w:p>
        </w:tc>
        <w:tc>
          <w:tcPr>
            <w:tcW w:w="1557" w:type="dxa"/>
            <w:tcBorders>
              <w:top w:val="nil"/>
              <w:left w:val="nil"/>
              <w:bottom w:val="nil"/>
              <w:right w:val="nil"/>
            </w:tcBorders>
          </w:tcPr>
          <w:p w14:paraId="29E1162D"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0.134</w:t>
            </w:r>
          </w:p>
        </w:tc>
        <w:tc>
          <w:tcPr>
            <w:tcW w:w="1409" w:type="dxa"/>
            <w:tcBorders>
              <w:top w:val="nil"/>
              <w:left w:val="nil"/>
              <w:bottom w:val="nil"/>
            </w:tcBorders>
          </w:tcPr>
          <w:p w14:paraId="3B1C8208"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3.93</w:t>
            </w:r>
          </w:p>
        </w:tc>
      </w:tr>
      <w:tr w:rsidR="002348ED" w:rsidRPr="005F1EE5" w14:paraId="2D71185E" w14:textId="77777777" w:rsidTr="00FF4E21">
        <w:trPr>
          <w:trHeight w:val="66"/>
        </w:trPr>
        <w:tc>
          <w:tcPr>
            <w:tcW w:w="1648" w:type="dxa"/>
            <w:tcBorders>
              <w:top w:val="nil"/>
              <w:bottom w:val="nil"/>
              <w:right w:val="nil"/>
            </w:tcBorders>
          </w:tcPr>
          <w:p w14:paraId="77FAA3F8" w14:textId="77777777" w:rsidR="002348ED"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FAP</w:t>
            </w:r>
          </w:p>
        </w:tc>
        <w:tc>
          <w:tcPr>
            <w:tcW w:w="1569" w:type="dxa"/>
            <w:tcBorders>
              <w:top w:val="nil"/>
              <w:left w:val="nil"/>
              <w:bottom w:val="nil"/>
              <w:right w:val="nil"/>
            </w:tcBorders>
          </w:tcPr>
          <w:p w14:paraId="657163FE" w14:textId="77777777" w:rsidR="002348ED" w:rsidRDefault="002348ED" w:rsidP="00FF4E21">
            <w:pPr>
              <w:spacing w:before="0" w:after="0"/>
              <w:jc w:val="center"/>
              <w:rPr>
                <w:rFonts w:eastAsia="CIDFont+F4" w:cs="CIDFont+F4"/>
                <w:sz w:val="20"/>
                <w:szCs w:val="20"/>
                <w:lang w:val="sr-Latn-RS"/>
              </w:rPr>
            </w:pPr>
          </w:p>
        </w:tc>
        <w:tc>
          <w:tcPr>
            <w:tcW w:w="1287" w:type="dxa"/>
            <w:tcBorders>
              <w:top w:val="nil"/>
              <w:left w:val="nil"/>
              <w:bottom w:val="nil"/>
              <w:right w:val="nil"/>
            </w:tcBorders>
          </w:tcPr>
          <w:p w14:paraId="4A15EDB3" w14:textId="77777777" w:rsidR="002348ED" w:rsidRPr="005F72BC" w:rsidRDefault="002348ED" w:rsidP="00FF4E21">
            <w:pPr>
              <w:spacing w:before="0" w:after="0"/>
              <w:jc w:val="center"/>
              <w:rPr>
                <w:rFonts w:eastAsia="CIDFont+F4" w:cs="CIDFont+F4"/>
                <w:sz w:val="20"/>
                <w:szCs w:val="20"/>
                <w:lang w:val="sr-Latn-RS"/>
              </w:rPr>
            </w:pPr>
          </w:p>
        </w:tc>
        <w:tc>
          <w:tcPr>
            <w:tcW w:w="1557" w:type="dxa"/>
            <w:tcBorders>
              <w:top w:val="nil"/>
              <w:left w:val="nil"/>
              <w:bottom w:val="nil"/>
              <w:right w:val="nil"/>
            </w:tcBorders>
          </w:tcPr>
          <w:p w14:paraId="464CD17B" w14:textId="77777777" w:rsidR="002348ED" w:rsidRPr="00DC6B00" w:rsidRDefault="002348ED" w:rsidP="00FF4E21">
            <w:pPr>
              <w:spacing w:before="0" w:after="0"/>
              <w:jc w:val="center"/>
              <w:rPr>
                <w:rFonts w:eastAsia="CIDFont+F4" w:cs="CIDFont+F4"/>
                <w:sz w:val="20"/>
                <w:szCs w:val="20"/>
                <w:lang w:val="sr-Latn-RS"/>
              </w:rPr>
            </w:pPr>
          </w:p>
        </w:tc>
        <w:tc>
          <w:tcPr>
            <w:tcW w:w="1557" w:type="dxa"/>
            <w:tcBorders>
              <w:top w:val="nil"/>
              <w:left w:val="nil"/>
              <w:bottom w:val="nil"/>
              <w:right w:val="nil"/>
            </w:tcBorders>
          </w:tcPr>
          <w:p w14:paraId="0C0D3347" w14:textId="77777777" w:rsidR="002348ED" w:rsidRDefault="002348ED" w:rsidP="00FF4E21">
            <w:pPr>
              <w:spacing w:before="0" w:after="0"/>
              <w:jc w:val="center"/>
              <w:rPr>
                <w:rFonts w:eastAsia="CIDFont+F4" w:cs="CIDFont+F4"/>
                <w:sz w:val="20"/>
                <w:szCs w:val="20"/>
                <w:lang w:val="sr-Latn-RS"/>
              </w:rPr>
            </w:pPr>
          </w:p>
        </w:tc>
        <w:tc>
          <w:tcPr>
            <w:tcW w:w="1409" w:type="dxa"/>
            <w:tcBorders>
              <w:top w:val="nil"/>
              <w:left w:val="nil"/>
              <w:bottom w:val="nil"/>
            </w:tcBorders>
          </w:tcPr>
          <w:p w14:paraId="7174EB3B" w14:textId="77777777" w:rsidR="002348ED" w:rsidRDefault="002348ED" w:rsidP="00FF4E21">
            <w:pPr>
              <w:spacing w:before="0" w:after="0"/>
              <w:jc w:val="center"/>
              <w:rPr>
                <w:rFonts w:eastAsia="CIDFont+F4" w:cs="CIDFont+F4"/>
                <w:sz w:val="20"/>
                <w:szCs w:val="20"/>
                <w:lang w:val="sr-Latn-RS"/>
              </w:rPr>
            </w:pPr>
          </w:p>
        </w:tc>
      </w:tr>
      <w:tr w:rsidR="002348ED" w:rsidRPr="005F1EE5" w14:paraId="76EDD0FF" w14:textId="77777777" w:rsidTr="00FF4E21">
        <w:tc>
          <w:tcPr>
            <w:tcW w:w="1648" w:type="dxa"/>
            <w:tcBorders>
              <w:top w:val="nil"/>
              <w:bottom w:val="nil"/>
              <w:right w:val="nil"/>
            </w:tcBorders>
          </w:tcPr>
          <w:p w14:paraId="66C09135" w14:textId="77777777" w:rsidR="002348ED" w:rsidRDefault="002348ED" w:rsidP="00FF4E21">
            <w:pPr>
              <w:spacing w:before="0" w:after="0"/>
              <w:ind w:left="720"/>
              <w:jc w:val="center"/>
              <w:rPr>
                <w:rFonts w:eastAsia="CIDFont+F4" w:cs="CIDFont+F4"/>
                <w:i/>
                <w:iCs/>
                <w:sz w:val="20"/>
                <w:szCs w:val="20"/>
                <w:lang w:val="sr-Latn-RS"/>
              </w:rPr>
            </w:pPr>
            <w:r>
              <w:rPr>
                <w:rFonts w:eastAsia="CIDFont+F4" w:cs="CIDFont+F4"/>
                <w:i/>
                <w:iCs/>
                <w:sz w:val="20"/>
                <w:szCs w:val="20"/>
                <w:lang w:val="sr-Latn-RS"/>
              </w:rPr>
              <w:t>Engineer</w:t>
            </w:r>
          </w:p>
        </w:tc>
        <w:tc>
          <w:tcPr>
            <w:tcW w:w="1569" w:type="dxa"/>
            <w:tcBorders>
              <w:top w:val="nil"/>
              <w:left w:val="nil"/>
              <w:bottom w:val="nil"/>
              <w:right w:val="nil"/>
            </w:tcBorders>
          </w:tcPr>
          <w:p w14:paraId="048F8DE7"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w:t>
            </w:r>
          </w:p>
        </w:tc>
        <w:tc>
          <w:tcPr>
            <w:tcW w:w="1287" w:type="dxa"/>
            <w:tcBorders>
              <w:top w:val="nil"/>
              <w:left w:val="nil"/>
              <w:bottom w:val="nil"/>
              <w:right w:val="nil"/>
            </w:tcBorders>
          </w:tcPr>
          <w:p w14:paraId="12437CC3" w14:textId="77777777" w:rsidR="002348ED" w:rsidRPr="005F72BC"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w:t>
            </w:r>
          </w:p>
        </w:tc>
        <w:tc>
          <w:tcPr>
            <w:tcW w:w="1557" w:type="dxa"/>
            <w:tcBorders>
              <w:top w:val="nil"/>
              <w:left w:val="nil"/>
              <w:bottom w:val="nil"/>
              <w:right w:val="nil"/>
            </w:tcBorders>
          </w:tcPr>
          <w:p w14:paraId="4215EDE7"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w:t>
            </w:r>
          </w:p>
        </w:tc>
        <w:tc>
          <w:tcPr>
            <w:tcW w:w="1557" w:type="dxa"/>
            <w:tcBorders>
              <w:top w:val="nil"/>
              <w:left w:val="nil"/>
              <w:bottom w:val="nil"/>
              <w:right w:val="nil"/>
            </w:tcBorders>
          </w:tcPr>
          <w:p w14:paraId="5E547F13"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w:t>
            </w:r>
          </w:p>
        </w:tc>
        <w:tc>
          <w:tcPr>
            <w:tcW w:w="1409" w:type="dxa"/>
            <w:tcBorders>
              <w:top w:val="nil"/>
              <w:left w:val="nil"/>
              <w:bottom w:val="nil"/>
            </w:tcBorders>
          </w:tcPr>
          <w:p w14:paraId="6A9BD2AB"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w:t>
            </w:r>
          </w:p>
        </w:tc>
      </w:tr>
      <w:tr w:rsidR="002348ED" w:rsidRPr="005F1EE5" w14:paraId="6091B347" w14:textId="77777777" w:rsidTr="00FF4E21">
        <w:tc>
          <w:tcPr>
            <w:tcW w:w="1648" w:type="dxa"/>
            <w:tcBorders>
              <w:top w:val="nil"/>
              <w:bottom w:val="nil"/>
              <w:right w:val="nil"/>
            </w:tcBorders>
          </w:tcPr>
          <w:p w14:paraId="1C77AF8A" w14:textId="77777777" w:rsidR="002348ED" w:rsidRDefault="002348ED" w:rsidP="00FF4E21">
            <w:pPr>
              <w:spacing w:before="0" w:after="0"/>
              <w:ind w:left="720"/>
              <w:jc w:val="center"/>
              <w:rPr>
                <w:rFonts w:eastAsia="CIDFont+F4" w:cs="CIDFont+F4"/>
                <w:i/>
                <w:iCs/>
                <w:sz w:val="20"/>
                <w:szCs w:val="20"/>
                <w:lang w:val="sr-Latn-RS"/>
              </w:rPr>
            </w:pPr>
            <w:r>
              <w:rPr>
                <w:rFonts w:eastAsia="CIDFont+F4" w:cs="CIDFont+F4"/>
                <w:i/>
                <w:iCs/>
                <w:sz w:val="20"/>
                <w:szCs w:val="20"/>
                <w:lang w:val="sr-Latn-RS"/>
              </w:rPr>
              <w:t>None</w:t>
            </w:r>
          </w:p>
        </w:tc>
        <w:tc>
          <w:tcPr>
            <w:tcW w:w="1569" w:type="dxa"/>
            <w:tcBorders>
              <w:top w:val="nil"/>
              <w:left w:val="nil"/>
              <w:bottom w:val="nil"/>
              <w:right w:val="nil"/>
            </w:tcBorders>
          </w:tcPr>
          <w:p w14:paraId="36960000"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98</w:t>
            </w:r>
          </w:p>
        </w:tc>
        <w:tc>
          <w:tcPr>
            <w:tcW w:w="1287" w:type="dxa"/>
            <w:tcBorders>
              <w:top w:val="nil"/>
              <w:left w:val="nil"/>
              <w:bottom w:val="nil"/>
              <w:right w:val="nil"/>
            </w:tcBorders>
          </w:tcPr>
          <w:p w14:paraId="338AC2B0" w14:textId="77777777" w:rsidR="002348ED" w:rsidRPr="005F72BC"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154</w:t>
            </w:r>
          </w:p>
        </w:tc>
        <w:tc>
          <w:tcPr>
            <w:tcW w:w="1557" w:type="dxa"/>
            <w:tcBorders>
              <w:top w:val="nil"/>
              <w:left w:val="nil"/>
              <w:bottom w:val="nil"/>
              <w:right w:val="nil"/>
            </w:tcBorders>
          </w:tcPr>
          <w:p w14:paraId="6D5BA6BD"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0.64</w:t>
            </w:r>
          </w:p>
        </w:tc>
        <w:tc>
          <w:tcPr>
            <w:tcW w:w="1557" w:type="dxa"/>
            <w:tcBorders>
              <w:top w:val="nil"/>
              <w:left w:val="nil"/>
              <w:bottom w:val="nil"/>
              <w:right w:val="nil"/>
            </w:tcBorders>
          </w:tcPr>
          <w:p w14:paraId="70188177"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0.528</w:t>
            </w:r>
          </w:p>
        </w:tc>
        <w:tc>
          <w:tcPr>
            <w:tcW w:w="1409" w:type="dxa"/>
            <w:tcBorders>
              <w:top w:val="nil"/>
              <w:left w:val="nil"/>
              <w:bottom w:val="nil"/>
            </w:tcBorders>
          </w:tcPr>
          <w:p w14:paraId="772BA624"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2.19</w:t>
            </w:r>
          </w:p>
        </w:tc>
      </w:tr>
      <w:tr w:rsidR="002348ED" w:rsidRPr="005F1EE5" w14:paraId="634BDA9D" w14:textId="77777777" w:rsidTr="00FF4E21">
        <w:tc>
          <w:tcPr>
            <w:tcW w:w="1648" w:type="dxa"/>
            <w:tcBorders>
              <w:top w:val="nil"/>
              <w:bottom w:val="nil"/>
              <w:right w:val="nil"/>
            </w:tcBorders>
          </w:tcPr>
          <w:p w14:paraId="5097A2E7" w14:textId="77777777" w:rsidR="002348ED" w:rsidRDefault="002348ED" w:rsidP="00FF4E21">
            <w:pPr>
              <w:spacing w:before="0" w:after="0"/>
              <w:ind w:left="720"/>
              <w:jc w:val="center"/>
              <w:rPr>
                <w:rFonts w:eastAsia="CIDFont+F4" w:cs="CIDFont+F4"/>
                <w:i/>
                <w:iCs/>
                <w:sz w:val="20"/>
                <w:szCs w:val="20"/>
                <w:lang w:val="sr-Latn-RS"/>
              </w:rPr>
            </w:pPr>
            <w:r>
              <w:rPr>
                <w:rFonts w:eastAsia="CIDFont+F4" w:cs="CIDFont+F4"/>
                <w:i/>
                <w:iCs/>
                <w:sz w:val="20"/>
                <w:szCs w:val="20"/>
                <w:lang w:val="sr-Latn-RS"/>
              </w:rPr>
              <w:t>Specialist</w:t>
            </w:r>
          </w:p>
        </w:tc>
        <w:tc>
          <w:tcPr>
            <w:tcW w:w="1569" w:type="dxa"/>
            <w:tcBorders>
              <w:top w:val="nil"/>
              <w:left w:val="nil"/>
              <w:bottom w:val="nil"/>
              <w:right w:val="nil"/>
            </w:tcBorders>
          </w:tcPr>
          <w:p w14:paraId="64515846"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49</w:t>
            </w:r>
          </w:p>
        </w:tc>
        <w:tc>
          <w:tcPr>
            <w:tcW w:w="1287" w:type="dxa"/>
            <w:tcBorders>
              <w:top w:val="nil"/>
              <w:left w:val="nil"/>
              <w:bottom w:val="nil"/>
              <w:right w:val="nil"/>
            </w:tcBorders>
          </w:tcPr>
          <w:p w14:paraId="1FB465E6" w14:textId="77777777" w:rsidR="002348ED" w:rsidRPr="005F72BC"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112</w:t>
            </w:r>
          </w:p>
        </w:tc>
        <w:tc>
          <w:tcPr>
            <w:tcW w:w="1557" w:type="dxa"/>
            <w:tcBorders>
              <w:top w:val="nil"/>
              <w:left w:val="nil"/>
              <w:bottom w:val="nil"/>
              <w:right w:val="nil"/>
            </w:tcBorders>
          </w:tcPr>
          <w:p w14:paraId="66B5F4AE"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0.43</w:t>
            </w:r>
          </w:p>
        </w:tc>
        <w:tc>
          <w:tcPr>
            <w:tcW w:w="1557" w:type="dxa"/>
            <w:tcBorders>
              <w:top w:val="nil"/>
              <w:left w:val="nil"/>
              <w:bottom w:val="nil"/>
              <w:right w:val="nil"/>
            </w:tcBorders>
          </w:tcPr>
          <w:p w14:paraId="6D78A607"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0.667</w:t>
            </w:r>
          </w:p>
        </w:tc>
        <w:tc>
          <w:tcPr>
            <w:tcW w:w="1409" w:type="dxa"/>
            <w:tcBorders>
              <w:top w:val="nil"/>
              <w:left w:val="nil"/>
              <w:bottom w:val="nil"/>
            </w:tcBorders>
          </w:tcPr>
          <w:p w14:paraId="48864D2F"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1.86</w:t>
            </w:r>
          </w:p>
        </w:tc>
      </w:tr>
      <w:tr w:rsidR="002348ED" w:rsidRPr="005F1EE5" w14:paraId="7AE0068E" w14:textId="77777777" w:rsidTr="00FF4E21">
        <w:tc>
          <w:tcPr>
            <w:tcW w:w="1648" w:type="dxa"/>
            <w:tcBorders>
              <w:top w:val="nil"/>
              <w:bottom w:val="nil"/>
              <w:right w:val="nil"/>
            </w:tcBorders>
          </w:tcPr>
          <w:p w14:paraId="700EB15E" w14:textId="77777777" w:rsidR="002348ED" w:rsidRDefault="002348ED" w:rsidP="00FF4E21">
            <w:pPr>
              <w:spacing w:before="0" w:after="0"/>
              <w:ind w:left="720"/>
              <w:jc w:val="center"/>
              <w:rPr>
                <w:rFonts w:eastAsia="CIDFont+F4" w:cs="CIDFont+F4"/>
                <w:i/>
                <w:iCs/>
                <w:sz w:val="20"/>
                <w:szCs w:val="20"/>
                <w:lang w:val="sr-Latn-RS"/>
              </w:rPr>
            </w:pPr>
            <w:r>
              <w:rPr>
                <w:rFonts w:eastAsia="CIDFont+F4" w:cs="CIDFont+F4"/>
                <w:i/>
                <w:iCs/>
                <w:sz w:val="20"/>
                <w:szCs w:val="20"/>
                <w:lang w:val="sr-Latn-RS"/>
              </w:rPr>
              <w:t>Technician</w:t>
            </w:r>
          </w:p>
        </w:tc>
        <w:tc>
          <w:tcPr>
            <w:tcW w:w="1569" w:type="dxa"/>
            <w:tcBorders>
              <w:top w:val="nil"/>
              <w:left w:val="nil"/>
              <w:bottom w:val="nil"/>
              <w:right w:val="nil"/>
            </w:tcBorders>
          </w:tcPr>
          <w:p w14:paraId="7EB75868"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146</w:t>
            </w:r>
          </w:p>
        </w:tc>
        <w:tc>
          <w:tcPr>
            <w:tcW w:w="1287" w:type="dxa"/>
            <w:tcBorders>
              <w:top w:val="nil"/>
              <w:left w:val="nil"/>
              <w:bottom w:val="nil"/>
              <w:right w:val="nil"/>
            </w:tcBorders>
          </w:tcPr>
          <w:p w14:paraId="5AC79853" w14:textId="77777777" w:rsidR="002348ED" w:rsidRPr="005F72BC"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162</w:t>
            </w:r>
          </w:p>
        </w:tc>
        <w:tc>
          <w:tcPr>
            <w:tcW w:w="1557" w:type="dxa"/>
            <w:tcBorders>
              <w:top w:val="nil"/>
              <w:left w:val="nil"/>
              <w:bottom w:val="nil"/>
              <w:right w:val="nil"/>
            </w:tcBorders>
          </w:tcPr>
          <w:p w14:paraId="362B7C73"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0.9</w:t>
            </w:r>
          </w:p>
        </w:tc>
        <w:tc>
          <w:tcPr>
            <w:tcW w:w="1557" w:type="dxa"/>
            <w:tcBorders>
              <w:top w:val="nil"/>
              <w:left w:val="nil"/>
              <w:bottom w:val="nil"/>
              <w:right w:val="nil"/>
            </w:tcBorders>
          </w:tcPr>
          <w:p w14:paraId="3D520884"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0.370</w:t>
            </w:r>
          </w:p>
        </w:tc>
        <w:tc>
          <w:tcPr>
            <w:tcW w:w="1409" w:type="dxa"/>
            <w:tcBorders>
              <w:top w:val="nil"/>
              <w:left w:val="nil"/>
              <w:bottom w:val="nil"/>
            </w:tcBorders>
          </w:tcPr>
          <w:p w14:paraId="0F1D8766"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1.53</w:t>
            </w:r>
          </w:p>
        </w:tc>
      </w:tr>
      <w:tr w:rsidR="002348ED" w:rsidRPr="005F1EE5" w14:paraId="1BDF15D7" w14:textId="77777777" w:rsidTr="00FF4E21">
        <w:tc>
          <w:tcPr>
            <w:tcW w:w="1648" w:type="dxa"/>
            <w:tcBorders>
              <w:top w:val="nil"/>
              <w:bottom w:val="nil"/>
              <w:right w:val="nil"/>
            </w:tcBorders>
          </w:tcPr>
          <w:p w14:paraId="7F685FC1" w14:textId="77777777" w:rsidR="002348ED" w:rsidRDefault="002348ED" w:rsidP="00FF4E21">
            <w:pPr>
              <w:spacing w:before="0" w:after="0"/>
              <w:jc w:val="center"/>
              <w:rPr>
                <w:rFonts w:eastAsia="CIDFont+F4" w:cs="CIDFont+F4"/>
                <w:i/>
                <w:iCs/>
                <w:sz w:val="20"/>
                <w:szCs w:val="20"/>
                <w:lang w:val="sr-Latn-RS"/>
              </w:rPr>
            </w:pPr>
            <w:r>
              <w:rPr>
                <w:rFonts w:eastAsia="CIDFont+F4" w:cs="CIDFont+F4"/>
                <w:i/>
                <w:iCs/>
                <w:sz w:val="20"/>
                <w:szCs w:val="20"/>
                <w:lang w:val="sr-Latn-RS"/>
              </w:rPr>
              <w:t>CMT</w:t>
            </w:r>
          </w:p>
        </w:tc>
        <w:tc>
          <w:tcPr>
            <w:tcW w:w="1569" w:type="dxa"/>
            <w:tcBorders>
              <w:top w:val="nil"/>
              <w:left w:val="nil"/>
              <w:bottom w:val="nil"/>
              <w:right w:val="nil"/>
            </w:tcBorders>
          </w:tcPr>
          <w:p w14:paraId="622E7E26" w14:textId="77777777" w:rsidR="002348ED" w:rsidRDefault="002348ED" w:rsidP="00FF4E21">
            <w:pPr>
              <w:spacing w:before="0" w:after="0"/>
              <w:jc w:val="center"/>
              <w:rPr>
                <w:rFonts w:eastAsia="CIDFont+F4" w:cs="CIDFont+F4"/>
                <w:sz w:val="20"/>
                <w:szCs w:val="20"/>
                <w:lang w:val="sr-Latn-RS"/>
              </w:rPr>
            </w:pPr>
          </w:p>
        </w:tc>
        <w:tc>
          <w:tcPr>
            <w:tcW w:w="1287" w:type="dxa"/>
            <w:tcBorders>
              <w:top w:val="nil"/>
              <w:left w:val="nil"/>
              <w:bottom w:val="nil"/>
              <w:right w:val="nil"/>
            </w:tcBorders>
          </w:tcPr>
          <w:p w14:paraId="2CAA6E91" w14:textId="77777777" w:rsidR="002348ED" w:rsidRPr="005F72BC" w:rsidRDefault="002348ED" w:rsidP="00FF4E21">
            <w:pPr>
              <w:spacing w:before="0" w:after="0"/>
              <w:jc w:val="center"/>
              <w:rPr>
                <w:rFonts w:eastAsia="CIDFont+F4" w:cs="CIDFont+F4"/>
                <w:sz w:val="20"/>
                <w:szCs w:val="20"/>
                <w:lang w:val="sr-Latn-RS"/>
              </w:rPr>
            </w:pPr>
          </w:p>
        </w:tc>
        <w:tc>
          <w:tcPr>
            <w:tcW w:w="1557" w:type="dxa"/>
            <w:tcBorders>
              <w:top w:val="nil"/>
              <w:left w:val="nil"/>
              <w:bottom w:val="nil"/>
              <w:right w:val="nil"/>
            </w:tcBorders>
          </w:tcPr>
          <w:p w14:paraId="216086B2" w14:textId="77777777" w:rsidR="002348ED" w:rsidRPr="00DC6B00" w:rsidRDefault="002348ED" w:rsidP="00FF4E21">
            <w:pPr>
              <w:spacing w:before="0" w:after="0"/>
              <w:jc w:val="center"/>
              <w:rPr>
                <w:rFonts w:eastAsia="CIDFont+F4" w:cs="CIDFont+F4"/>
                <w:sz w:val="20"/>
                <w:szCs w:val="20"/>
                <w:lang w:val="sr-Latn-RS"/>
              </w:rPr>
            </w:pPr>
          </w:p>
        </w:tc>
        <w:tc>
          <w:tcPr>
            <w:tcW w:w="1557" w:type="dxa"/>
            <w:tcBorders>
              <w:top w:val="nil"/>
              <w:left w:val="nil"/>
              <w:bottom w:val="nil"/>
              <w:right w:val="nil"/>
            </w:tcBorders>
          </w:tcPr>
          <w:p w14:paraId="0F1C2239" w14:textId="77777777" w:rsidR="002348ED" w:rsidRDefault="002348ED" w:rsidP="00FF4E21">
            <w:pPr>
              <w:spacing w:before="0" w:after="0"/>
              <w:jc w:val="center"/>
              <w:rPr>
                <w:rFonts w:eastAsia="CIDFont+F4" w:cs="CIDFont+F4"/>
                <w:sz w:val="20"/>
                <w:szCs w:val="20"/>
                <w:lang w:val="sr-Latn-RS"/>
              </w:rPr>
            </w:pPr>
          </w:p>
        </w:tc>
        <w:tc>
          <w:tcPr>
            <w:tcW w:w="1409" w:type="dxa"/>
            <w:tcBorders>
              <w:top w:val="nil"/>
              <w:left w:val="nil"/>
              <w:bottom w:val="nil"/>
            </w:tcBorders>
          </w:tcPr>
          <w:p w14:paraId="4559AA17" w14:textId="77777777" w:rsidR="002348ED" w:rsidRDefault="002348ED" w:rsidP="00FF4E21">
            <w:pPr>
              <w:spacing w:before="0" w:after="0"/>
              <w:jc w:val="center"/>
              <w:rPr>
                <w:rFonts w:eastAsia="CIDFont+F4" w:cs="CIDFont+F4"/>
                <w:sz w:val="20"/>
                <w:szCs w:val="20"/>
                <w:lang w:val="sr-Latn-RS"/>
              </w:rPr>
            </w:pPr>
          </w:p>
        </w:tc>
      </w:tr>
      <w:tr w:rsidR="002348ED" w:rsidRPr="005F1EE5" w14:paraId="7E0492D4" w14:textId="77777777" w:rsidTr="00FF4E21">
        <w:tc>
          <w:tcPr>
            <w:tcW w:w="1648" w:type="dxa"/>
            <w:tcBorders>
              <w:top w:val="nil"/>
              <w:bottom w:val="nil"/>
              <w:right w:val="nil"/>
            </w:tcBorders>
          </w:tcPr>
          <w:p w14:paraId="585598A5" w14:textId="77777777" w:rsidR="002348ED" w:rsidRDefault="002348ED" w:rsidP="00FF4E21">
            <w:pPr>
              <w:spacing w:before="0" w:after="0"/>
              <w:ind w:left="720"/>
              <w:jc w:val="center"/>
              <w:rPr>
                <w:rFonts w:eastAsia="CIDFont+F4" w:cs="CIDFont+F4"/>
                <w:i/>
                <w:iCs/>
                <w:sz w:val="20"/>
                <w:szCs w:val="20"/>
                <w:lang w:val="sr-Latn-RS"/>
              </w:rPr>
            </w:pPr>
            <w:r>
              <w:rPr>
                <w:rFonts w:eastAsia="CIDFont+F4" w:cs="CIDFont+F4"/>
                <w:i/>
                <w:iCs/>
                <w:sz w:val="20"/>
                <w:szCs w:val="20"/>
                <w:lang w:val="sr-Latn-RS"/>
              </w:rPr>
              <w:t>None</w:t>
            </w:r>
          </w:p>
        </w:tc>
        <w:tc>
          <w:tcPr>
            <w:tcW w:w="1569" w:type="dxa"/>
            <w:tcBorders>
              <w:top w:val="nil"/>
              <w:left w:val="nil"/>
              <w:bottom w:val="nil"/>
              <w:right w:val="nil"/>
            </w:tcBorders>
          </w:tcPr>
          <w:p w14:paraId="66CDCCFA"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w:t>
            </w:r>
          </w:p>
        </w:tc>
        <w:tc>
          <w:tcPr>
            <w:tcW w:w="1287" w:type="dxa"/>
            <w:tcBorders>
              <w:top w:val="nil"/>
              <w:left w:val="nil"/>
              <w:bottom w:val="nil"/>
              <w:right w:val="nil"/>
            </w:tcBorders>
          </w:tcPr>
          <w:p w14:paraId="003D8743" w14:textId="77777777" w:rsidR="002348ED" w:rsidRPr="005F72BC"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w:t>
            </w:r>
          </w:p>
        </w:tc>
        <w:tc>
          <w:tcPr>
            <w:tcW w:w="1557" w:type="dxa"/>
            <w:tcBorders>
              <w:top w:val="nil"/>
              <w:left w:val="nil"/>
              <w:bottom w:val="nil"/>
              <w:right w:val="nil"/>
            </w:tcBorders>
          </w:tcPr>
          <w:p w14:paraId="537AD328"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w:t>
            </w:r>
          </w:p>
        </w:tc>
        <w:tc>
          <w:tcPr>
            <w:tcW w:w="1557" w:type="dxa"/>
            <w:tcBorders>
              <w:top w:val="nil"/>
              <w:left w:val="nil"/>
              <w:bottom w:val="nil"/>
              <w:right w:val="nil"/>
            </w:tcBorders>
          </w:tcPr>
          <w:p w14:paraId="2A0379C1"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w:t>
            </w:r>
          </w:p>
        </w:tc>
        <w:tc>
          <w:tcPr>
            <w:tcW w:w="1409" w:type="dxa"/>
            <w:tcBorders>
              <w:top w:val="nil"/>
              <w:left w:val="nil"/>
              <w:bottom w:val="nil"/>
            </w:tcBorders>
          </w:tcPr>
          <w:p w14:paraId="6262A944"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w:t>
            </w:r>
          </w:p>
        </w:tc>
      </w:tr>
      <w:tr w:rsidR="002348ED" w:rsidRPr="005F1EE5" w14:paraId="7976A27E" w14:textId="77777777" w:rsidTr="00FF4E21">
        <w:tc>
          <w:tcPr>
            <w:tcW w:w="1648" w:type="dxa"/>
            <w:tcBorders>
              <w:top w:val="nil"/>
              <w:bottom w:val="nil"/>
              <w:right w:val="nil"/>
            </w:tcBorders>
          </w:tcPr>
          <w:p w14:paraId="1081DC42" w14:textId="77777777" w:rsidR="002348ED" w:rsidRDefault="002348ED" w:rsidP="00FF4E21">
            <w:pPr>
              <w:spacing w:before="0" w:after="0"/>
              <w:ind w:left="720"/>
              <w:jc w:val="center"/>
              <w:rPr>
                <w:rFonts w:eastAsia="CIDFont+F4" w:cs="CIDFont+F4"/>
                <w:i/>
                <w:iCs/>
                <w:sz w:val="20"/>
                <w:szCs w:val="20"/>
                <w:lang w:val="sr-Latn-RS"/>
              </w:rPr>
            </w:pPr>
            <w:r>
              <w:rPr>
                <w:rFonts w:eastAsia="CIDFont+F4" w:cs="CIDFont+F4"/>
                <w:i/>
                <w:iCs/>
                <w:sz w:val="20"/>
                <w:szCs w:val="20"/>
                <w:lang w:val="sr-Latn-RS"/>
              </w:rPr>
              <w:t>PF</w:t>
            </w:r>
          </w:p>
        </w:tc>
        <w:tc>
          <w:tcPr>
            <w:tcW w:w="1569" w:type="dxa"/>
            <w:tcBorders>
              <w:top w:val="nil"/>
              <w:left w:val="nil"/>
              <w:bottom w:val="nil"/>
              <w:right w:val="nil"/>
            </w:tcBorders>
          </w:tcPr>
          <w:p w14:paraId="60EB9296"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760</w:t>
            </w:r>
          </w:p>
        </w:tc>
        <w:tc>
          <w:tcPr>
            <w:tcW w:w="1287" w:type="dxa"/>
            <w:tcBorders>
              <w:top w:val="nil"/>
              <w:left w:val="nil"/>
              <w:bottom w:val="nil"/>
              <w:right w:val="nil"/>
            </w:tcBorders>
          </w:tcPr>
          <w:p w14:paraId="486370B0" w14:textId="77777777" w:rsidR="002348ED" w:rsidRPr="005F72BC"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325</w:t>
            </w:r>
          </w:p>
        </w:tc>
        <w:tc>
          <w:tcPr>
            <w:tcW w:w="1557" w:type="dxa"/>
            <w:tcBorders>
              <w:top w:val="nil"/>
              <w:left w:val="nil"/>
              <w:bottom w:val="nil"/>
              <w:right w:val="nil"/>
            </w:tcBorders>
          </w:tcPr>
          <w:p w14:paraId="29E6F4DE" w14:textId="77777777" w:rsidR="002348ED" w:rsidRPr="00DC6B00"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2.34</w:t>
            </w:r>
          </w:p>
        </w:tc>
        <w:tc>
          <w:tcPr>
            <w:tcW w:w="1557" w:type="dxa"/>
            <w:tcBorders>
              <w:top w:val="nil"/>
              <w:left w:val="nil"/>
              <w:bottom w:val="nil"/>
              <w:right w:val="nil"/>
            </w:tcBorders>
          </w:tcPr>
          <w:p w14:paraId="1C4CB5D4"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0.023</w:t>
            </w:r>
          </w:p>
        </w:tc>
        <w:tc>
          <w:tcPr>
            <w:tcW w:w="1409" w:type="dxa"/>
            <w:tcBorders>
              <w:top w:val="nil"/>
              <w:left w:val="nil"/>
              <w:bottom w:val="nil"/>
            </w:tcBorders>
          </w:tcPr>
          <w:p w14:paraId="45E83CF0"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14.67</w:t>
            </w:r>
          </w:p>
        </w:tc>
      </w:tr>
      <w:tr w:rsidR="002348ED" w:rsidRPr="005F1EE5" w14:paraId="7BEFC6B4" w14:textId="77777777" w:rsidTr="00FF4E21">
        <w:tc>
          <w:tcPr>
            <w:tcW w:w="1648" w:type="dxa"/>
            <w:tcBorders>
              <w:top w:val="nil"/>
              <w:bottom w:val="nil"/>
              <w:right w:val="nil"/>
            </w:tcBorders>
          </w:tcPr>
          <w:p w14:paraId="5744BDC6" w14:textId="77777777" w:rsidR="002348ED" w:rsidRDefault="002348ED" w:rsidP="00FF4E21">
            <w:pPr>
              <w:spacing w:before="0" w:after="0"/>
              <w:ind w:left="720"/>
              <w:jc w:val="center"/>
              <w:rPr>
                <w:rFonts w:eastAsia="CIDFont+F4" w:cs="CIDFont+F4"/>
                <w:i/>
                <w:iCs/>
                <w:sz w:val="20"/>
                <w:szCs w:val="20"/>
                <w:lang w:val="sr-Latn-RS"/>
              </w:rPr>
            </w:pPr>
            <w:r>
              <w:rPr>
                <w:rFonts w:eastAsia="CIDFont+F4" w:cs="CIDFont+F4"/>
                <w:i/>
                <w:iCs/>
                <w:sz w:val="20"/>
                <w:szCs w:val="20"/>
                <w:lang w:val="sr-Latn-RS"/>
              </w:rPr>
              <w:t>PFT</w:t>
            </w:r>
          </w:p>
        </w:tc>
        <w:tc>
          <w:tcPr>
            <w:tcW w:w="1569" w:type="dxa"/>
            <w:tcBorders>
              <w:top w:val="nil"/>
              <w:left w:val="nil"/>
              <w:bottom w:val="nil"/>
              <w:right w:val="nil"/>
            </w:tcBorders>
          </w:tcPr>
          <w:p w14:paraId="03313478"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695</w:t>
            </w:r>
          </w:p>
        </w:tc>
        <w:tc>
          <w:tcPr>
            <w:tcW w:w="1287" w:type="dxa"/>
            <w:tcBorders>
              <w:top w:val="nil"/>
              <w:left w:val="nil"/>
              <w:bottom w:val="nil"/>
              <w:right w:val="nil"/>
            </w:tcBorders>
          </w:tcPr>
          <w:p w14:paraId="11B6836A"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363</w:t>
            </w:r>
          </w:p>
        </w:tc>
        <w:tc>
          <w:tcPr>
            <w:tcW w:w="1557" w:type="dxa"/>
            <w:tcBorders>
              <w:top w:val="nil"/>
              <w:left w:val="nil"/>
              <w:bottom w:val="nil"/>
              <w:right w:val="nil"/>
            </w:tcBorders>
          </w:tcPr>
          <w:p w14:paraId="21DC263F"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1.92</w:t>
            </w:r>
          </w:p>
        </w:tc>
        <w:tc>
          <w:tcPr>
            <w:tcW w:w="1557" w:type="dxa"/>
            <w:tcBorders>
              <w:top w:val="nil"/>
              <w:left w:val="nil"/>
              <w:bottom w:val="nil"/>
              <w:right w:val="nil"/>
            </w:tcBorders>
          </w:tcPr>
          <w:p w14:paraId="15B3F3DD"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0.061</w:t>
            </w:r>
          </w:p>
        </w:tc>
        <w:tc>
          <w:tcPr>
            <w:tcW w:w="1409" w:type="dxa"/>
            <w:tcBorders>
              <w:top w:val="nil"/>
              <w:left w:val="nil"/>
              <w:bottom w:val="nil"/>
            </w:tcBorders>
          </w:tcPr>
          <w:p w14:paraId="339F28DF"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15.66</w:t>
            </w:r>
          </w:p>
        </w:tc>
      </w:tr>
      <w:tr w:rsidR="002348ED" w:rsidRPr="005F1EE5" w14:paraId="57667E00" w14:textId="77777777" w:rsidTr="00FF4E21">
        <w:tc>
          <w:tcPr>
            <w:tcW w:w="1648" w:type="dxa"/>
            <w:tcBorders>
              <w:top w:val="nil"/>
              <w:bottom w:val="single" w:sz="4" w:space="0" w:color="auto"/>
              <w:right w:val="nil"/>
            </w:tcBorders>
          </w:tcPr>
          <w:p w14:paraId="38A6E379" w14:textId="77777777" w:rsidR="002348ED" w:rsidRDefault="002348ED" w:rsidP="00FF4E21">
            <w:pPr>
              <w:spacing w:before="0" w:after="0"/>
              <w:ind w:left="720"/>
              <w:jc w:val="center"/>
              <w:rPr>
                <w:rFonts w:eastAsia="CIDFont+F4" w:cs="CIDFont+F4"/>
                <w:i/>
                <w:iCs/>
                <w:sz w:val="20"/>
                <w:szCs w:val="20"/>
                <w:lang w:val="sr-Latn-RS"/>
              </w:rPr>
            </w:pPr>
            <w:r>
              <w:rPr>
                <w:rFonts w:eastAsia="CIDFont+F4" w:cs="CIDFont+F4"/>
                <w:i/>
                <w:iCs/>
                <w:sz w:val="20"/>
                <w:szCs w:val="20"/>
                <w:lang w:val="sr-Latn-RS"/>
              </w:rPr>
              <w:t>PFTC</w:t>
            </w:r>
          </w:p>
        </w:tc>
        <w:tc>
          <w:tcPr>
            <w:tcW w:w="1569" w:type="dxa"/>
            <w:tcBorders>
              <w:top w:val="nil"/>
              <w:left w:val="nil"/>
              <w:bottom w:val="single" w:sz="4" w:space="0" w:color="auto"/>
              <w:right w:val="nil"/>
            </w:tcBorders>
          </w:tcPr>
          <w:p w14:paraId="75716B00"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1206</w:t>
            </w:r>
          </w:p>
        </w:tc>
        <w:tc>
          <w:tcPr>
            <w:tcW w:w="1287" w:type="dxa"/>
            <w:tcBorders>
              <w:top w:val="nil"/>
              <w:left w:val="nil"/>
              <w:bottom w:val="single" w:sz="4" w:space="0" w:color="auto"/>
              <w:right w:val="nil"/>
            </w:tcBorders>
          </w:tcPr>
          <w:p w14:paraId="1B22DB3C"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366</w:t>
            </w:r>
          </w:p>
        </w:tc>
        <w:tc>
          <w:tcPr>
            <w:tcW w:w="1557" w:type="dxa"/>
            <w:tcBorders>
              <w:top w:val="nil"/>
              <w:left w:val="nil"/>
              <w:bottom w:val="single" w:sz="4" w:space="0" w:color="auto"/>
              <w:right w:val="nil"/>
            </w:tcBorders>
          </w:tcPr>
          <w:p w14:paraId="23414692"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3.30</w:t>
            </w:r>
          </w:p>
        </w:tc>
        <w:tc>
          <w:tcPr>
            <w:tcW w:w="1557" w:type="dxa"/>
            <w:tcBorders>
              <w:top w:val="nil"/>
              <w:left w:val="nil"/>
              <w:bottom w:val="single" w:sz="4" w:space="0" w:color="auto"/>
              <w:right w:val="nil"/>
            </w:tcBorders>
          </w:tcPr>
          <w:p w14:paraId="1A3D043E"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0.002</w:t>
            </w:r>
          </w:p>
        </w:tc>
        <w:tc>
          <w:tcPr>
            <w:tcW w:w="1409" w:type="dxa"/>
            <w:tcBorders>
              <w:top w:val="nil"/>
              <w:left w:val="nil"/>
              <w:bottom w:val="single" w:sz="4" w:space="0" w:color="auto"/>
            </w:tcBorders>
          </w:tcPr>
          <w:p w14:paraId="31D870A7" w14:textId="77777777" w:rsidR="002348ED" w:rsidRDefault="002348ED" w:rsidP="00FF4E21">
            <w:pPr>
              <w:spacing w:before="0" w:after="0"/>
              <w:jc w:val="center"/>
              <w:rPr>
                <w:rFonts w:eastAsia="CIDFont+F4" w:cs="CIDFont+F4"/>
                <w:sz w:val="20"/>
                <w:szCs w:val="20"/>
                <w:lang w:val="sr-Latn-RS"/>
              </w:rPr>
            </w:pPr>
            <w:r>
              <w:rPr>
                <w:rFonts w:eastAsia="CIDFont+F4" w:cs="CIDFont+F4"/>
                <w:sz w:val="20"/>
                <w:szCs w:val="20"/>
                <w:lang w:val="sr-Latn-RS"/>
              </w:rPr>
              <w:t>17.26</w:t>
            </w:r>
          </w:p>
        </w:tc>
      </w:tr>
    </w:tbl>
    <w:p w14:paraId="30E11687" w14:textId="5731A81E" w:rsidR="00E830EE" w:rsidRDefault="00CF52D9" w:rsidP="00E40341">
      <w:r>
        <w:t xml:space="preserve">Although maintenance programs </w:t>
      </w:r>
      <w:r w:rsidR="00231680">
        <w:t>are mostly investigated in the research domain of maintenance</w:t>
      </w:r>
      <w:r w:rsidR="00544A54">
        <w:t xml:space="preserve">, it still lacks </w:t>
      </w:r>
      <w:r w:rsidR="00231680">
        <w:t xml:space="preserve">an </w:t>
      </w:r>
      <w:r w:rsidR="00544A54">
        <w:t>industry-accepted approach and methodology as means of technical and technological intelligence of engineer</w:t>
      </w:r>
      <w:r w:rsidR="001274B1">
        <w:t xml:space="preserve">s in determining degradation and failure patterns. </w:t>
      </w:r>
      <w:r w:rsidR="007C7339">
        <w:t>I</w:t>
      </w:r>
      <w:r w:rsidR="001274B1">
        <w:t xml:space="preserve">t shows </w:t>
      </w:r>
      <w:r w:rsidR="00231680">
        <w:t>a high p</w:t>
      </w:r>
      <w:r w:rsidR="007C7339">
        <w:t>-</w:t>
      </w:r>
      <w:r w:rsidR="00231680">
        <w:t>value, which</w:t>
      </w:r>
      <w:r w:rsidR="001274B1">
        <w:t xml:space="preserve"> cannot be used to determine the validity </w:t>
      </w:r>
      <w:r w:rsidR="007C7339">
        <w:t>of</w:t>
      </w:r>
      <w:r w:rsidR="0051354A">
        <w:t xml:space="preserve"> using </w:t>
      </w:r>
      <w:r w:rsidR="00231680">
        <w:t xml:space="preserve">a </w:t>
      </w:r>
      <w:r w:rsidR="00EB66FF">
        <w:t xml:space="preserve">binary </w:t>
      </w:r>
      <w:r w:rsidR="0051354A">
        <w:t xml:space="preserve">variable </w:t>
      </w:r>
      <w:r w:rsidR="001F7E52">
        <w:t>[</w:t>
      </w:r>
      <w:r w:rsidR="0051354A">
        <w:t>0,</w:t>
      </w:r>
      <w:r w:rsidR="001F7E52">
        <w:t xml:space="preserve"> </w:t>
      </w:r>
      <w:r w:rsidR="0051354A">
        <w:t>1</w:t>
      </w:r>
      <w:r w:rsidR="001F7E52">
        <w:t>]</w:t>
      </w:r>
      <w:r w:rsidR="0051354A">
        <w:t xml:space="preserve"> in model validity. </w:t>
      </w:r>
      <w:r w:rsidR="000B67F4">
        <w:t>Perhaps</w:t>
      </w:r>
      <w:r w:rsidR="00231680">
        <w:t xml:space="preserve"> companies using the PHM approach </w:t>
      </w:r>
      <w:r w:rsidR="007C7339">
        <w:t xml:space="preserve">fail to address and implement </w:t>
      </w:r>
      <w:r w:rsidR="0064735C">
        <w:t xml:space="preserve">the </w:t>
      </w:r>
      <w:r w:rsidR="007C7339">
        <w:t xml:space="preserve">appropriate methodology, resulting in inadequate </w:t>
      </w:r>
      <w:r w:rsidR="0064735C">
        <w:t>failure analysis</w:t>
      </w:r>
      <w:r w:rsidR="00E273BE">
        <w:t>.</w:t>
      </w:r>
    </w:p>
    <w:p w14:paraId="3D761CD5" w14:textId="1EC2A349" w:rsidR="001E1152" w:rsidRDefault="00E273BE" w:rsidP="00E40341">
      <w:r>
        <w:t xml:space="preserve">Furthermore, it can also suggest that industrial maintenance practitioners </w:t>
      </w:r>
      <w:r w:rsidR="00520F4E">
        <w:t>lack knowledge on the usage of such technology</w:t>
      </w:r>
      <w:r w:rsidR="00231680">
        <w:t>,</w:t>
      </w:r>
      <w:r w:rsidR="00520F4E">
        <w:t xml:space="preserve"> or </w:t>
      </w:r>
      <w:r w:rsidR="00231680">
        <w:t>other factors can impede the data. S</w:t>
      </w:r>
      <w:r w:rsidR="00520F4E">
        <w:t>uch</w:t>
      </w:r>
      <w:r w:rsidR="00231680">
        <w:t xml:space="preserve"> factors include</w:t>
      </w:r>
      <w:r w:rsidR="00520F4E">
        <w:t xml:space="preserve"> </w:t>
      </w:r>
      <w:r w:rsidR="001E1152">
        <w:t>personnel mistakes, higher power units,</w:t>
      </w:r>
      <w:r w:rsidR="001B4783">
        <w:t xml:space="preserve"> available personnel for analysis (MPPM),</w:t>
      </w:r>
      <w:r w:rsidR="001E1152">
        <w:t xml:space="preserve"> hard</w:t>
      </w:r>
      <w:r w:rsidR="00231680">
        <w:t>-</w:t>
      </w:r>
      <w:r w:rsidR="001E1152">
        <w:t>working environments</w:t>
      </w:r>
      <w:r w:rsidR="00231680">
        <w:t>, or not using</w:t>
      </w:r>
      <w:r w:rsidR="001E1152">
        <w:t xml:space="preserve"> instruments. Either way, the question remains open and should be a debate of further discussion and investigation</w:t>
      </w:r>
      <w:r w:rsidR="00FA7A3F">
        <w:t>.</w:t>
      </w:r>
    </w:p>
    <w:p w14:paraId="034D15C9" w14:textId="1AE0DBA0" w:rsidR="00EE5021" w:rsidRPr="0049196A" w:rsidRDefault="00EE5021" w:rsidP="0049196A">
      <w:pPr>
        <w:rPr>
          <w:rFonts w:eastAsiaTheme="majorEastAsia" w:cstheme="majorBidi"/>
          <w:sz w:val="28"/>
          <w:szCs w:val="26"/>
        </w:rPr>
      </w:pPr>
      <w:bookmarkStart w:id="364" w:name="_Toc62467403"/>
      <w:bookmarkEnd w:id="271"/>
      <w:bookmarkEnd w:id="272"/>
      <w:bookmarkEnd w:id="299"/>
      <w:bookmarkEnd w:id="300"/>
      <w:r>
        <w:rPr>
          <w:lang w:val="sr-Latn-RS"/>
        </w:rPr>
        <w:br w:type="page"/>
      </w:r>
    </w:p>
    <w:p w14:paraId="3D864CD9" w14:textId="0333B0E7" w:rsidR="00963495" w:rsidRDefault="00963495" w:rsidP="00737DC3">
      <w:pPr>
        <w:pStyle w:val="Title"/>
        <w:rPr>
          <w:lang w:val="sr-Latn-RS"/>
        </w:rPr>
      </w:pPr>
      <w:bookmarkStart w:id="365" w:name="_Toc101274364"/>
      <w:r>
        <w:rPr>
          <w:lang w:val="sr-Latn-RS"/>
        </w:rPr>
        <w:lastRenderedPageBreak/>
        <w:t>Chapter III</w:t>
      </w:r>
      <w:bookmarkEnd w:id="365"/>
    </w:p>
    <w:p w14:paraId="7116461D" w14:textId="4869BF4A" w:rsidR="00866D94" w:rsidRPr="00821187" w:rsidRDefault="00866D94" w:rsidP="00866D94">
      <w:pPr>
        <w:jc w:val="right"/>
        <w:rPr>
          <w:i/>
          <w:iCs/>
          <w:lang w:val="sr-Latn-RS"/>
        </w:rPr>
      </w:pPr>
      <w:r w:rsidRPr="00821187">
        <w:rPr>
          <w:i/>
          <w:iCs/>
          <w:lang w:val="sr-Latn-RS"/>
        </w:rPr>
        <w:t>„</w:t>
      </w:r>
      <w:r w:rsidR="00821187" w:rsidRPr="00821187">
        <w:rPr>
          <w:i/>
          <w:iCs/>
          <w:lang w:val="sr-Latn-RS"/>
        </w:rPr>
        <w:t>...mass men lead lives of quiet desperation</w:t>
      </w:r>
      <w:r w:rsidRPr="00821187">
        <w:rPr>
          <w:i/>
          <w:iCs/>
          <w:lang w:val="sr-Latn-RS"/>
        </w:rPr>
        <w:t>.“</w:t>
      </w:r>
    </w:p>
    <w:p w14:paraId="09D07446" w14:textId="33B4FF69" w:rsidR="000F56F4" w:rsidRPr="00866D94" w:rsidRDefault="00821187" w:rsidP="000F56F4">
      <w:pPr>
        <w:jc w:val="right"/>
        <w:rPr>
          <w:lang w:val="sr-Latn-RS"/>
        </w:rPr>
      </w:pPr>
      <w:r>
        <w:rPr>
          <w:lang w:val="sr-Latn-RS"/>
        </w:rPr>
        <w:t>Henry David Thoreau</w:t>
      </w:r>
    </w:p>
    <w:p w14:paraId="4E5C743D" w14:textId="789255EA" w:rsidR="00D448FD" w:rsidRDefault="00CA45F0" w:rsidP="00D448FD">
      <w:pPr>
        <w:pStyle w:val="Heading1"/>
        <w:rPr>
          <w:lang w:val="sr-Latn-RS"/>
        </w:rPr>
      </w:pPr>
      <w:bookmarkStart w:id="366" w:name="_Toc93759905"/>
      <w:bookmarkStart w:id="367" w:name="_Toc93760009"/>
      <w:bookmarkStart w:id="368" w:name="_Toc101274365"/>
      <w:bookmarkEnd w:id="364"/>
      <w:r>
        <w:rPr>
          <w:lang w:val="sr-Latn-RS"/>
        </w:rPr>
        <w:t xml:space="preserve">Experimental </w:t>
      </w:r>
      <w:bookmarkEnd w:id="366"/>
      <w:bookmarkEnd w:id="367"/>
      <w:r w:rsidR="001631BC">
        <w:rPr>
          <w:lang w:val="sr-Latn-RS"/>
        </w:rPr>
        <w:t>setup</w:t>
      </w:r>
      <w:bookmarkEnd w:id="368"/>
    </w:p>
    <w:p w14:paraId="2A26DADD" w14:textId="6EC87525" w:rsidR="00037BD5" w:rsidRDefault="00A308B2" w:rsidP="00037BD5">
      <w:pPr>
        <w:rPr>
          <w:lang w:val="sr-Latn-RS"/>
        </w:rPr>
      </w:pPr>
      <w:r>
        <w:rPr>
          <w:lang w:val="sr-Latn-RS"/>
        </w:rPr>
        <w:t>Considering all acquired informat</w:t>
      </w:r>
      <w:r w:rsidR="005D7B3F">
        <w:rPr>
          <w:lang w:val="sr-Latn-RS"/>
        </w:rPr>
        <w:t>ion</w:t>
      </w:r>
      <w:r w:rsidR="007C7339">
        <w:rPr>
          <w:lang w:val="sr-Latn-RS"/>
        </w:rPr>
        <w:t>, the</w:t>
      </w:r>
      <w:r w:rsidR="00B42E19">
        <w:rPr>
          <w:lang w:val="sr-Latn-RS"/>
        </w:rPr>
        <w:t xml:space="preserve"> domain in which </w:t>
      </w:r>
      <w:r w:rsidR="007C7339">
        <w:rPr>
          <w:lang w:val="sr-Latn-RS"/>
        </w:rPr>
        <w:t xml:space="preserve">the </w:t>
      </w:r>
      <w:r w:rsidR="00B42E19">
        <w:rPr>
          <w:lang w:val="sr-Latn-RS"/>
        </w:rPr>
        <w:t xml:space="preserve">model needs to be verified must provide </w:t>
      </w:r>
      <w:r>
        <w:rPr>
          <w:lang w:val="sr-Latn-RS"/>
        </w:rPr>
        <w:t xml:space="preserve">a </w:t>
      </w:r>
      <w:r w:rsidR="00C95A1E">
        <w:rPr>
          <w:lang w:val="sr-Latn-RS"/>
        </w:rPr>
        <w:t xml:space="preserve">high </w:t>
      </w:r>
      <w:r w:rsidR="00C8574A">
        <w:rPr>
          <w:lang w:val="sr-Latn-RS"/>
        </w:rPr>
        <w:t>energy-</w:t>
      </w:r>
      <w:r w:rsidR="00C95A1E">
        <w:rPr>
          <w:lang w:val="sr-Latn-RS"/>
        </w:rPr>
        <w:t xml:space="preserve">utilisation </w:t>
      </w:r>
      <w:r w:rsidR="001704A6">
        <w:rPr>
          <w:lang w:val="sr-Latn-RS"/>
        </w:rPr>
        <w:t>process</w:t>
      </w:r>
      <w:r w:rsidR="00C95A1E">
        <w:rPr>
          <w:lang w:val="sr-Latn-RS"/>
        </w:rPr>
        <w:t xml:space="preserve"> within</w:t>
      </w:r>
      <w:r w:rsidR="006A4A29">
        <w:rPr>
          <w:lang w:val="sr-Latn-RS"/>
        </w:rPr>
        <w:t xml:space="preserve"> </w:t>
      </w:r>
      <w:r>
        <w:rPr>
          <w:lang w:val="sr-Latn-RS"/>
        </w:rPr>
        <w:t xml:space="preserve">the </w:t>
      </w:r>
      <w:r w:rsidR="006A4A29">
        <w:rPr>
          <w:lang w:val="sr-Latn-RS"/>
        </w:rPr>
        <w:t>manufacturing</w:t>
      </w:r>
      <w:r w:rsidR="001704A6">
        <w:rPr>
          <w:lang w:val="sr-Latn-RS"/>
        </w:rPr>
        <w:t xml:space="preserve"> </w:t>
      </w:r>
      <w:r w:rsidR="008B271F">
        <w:rPr>
          <w:lang w:val="sr-Latn-RS"/>
        </w:rPr>
        <w:t>domain</w:t>
      </w:r>
      <w:r w:rsidR="00C8574A">
        <w:rPr>
          <w:lang w:val="sr-Latn-RS"/>
        </w:rPr>
        <w:t xml:space="preserve">. </w:t>
      </w:r>
      <w:r w:rsidR="005D7B3F">
        <w:rPr>
          <w:lang w:val="sr-Latn-RS"/>
        </w:rPr>
        <w:t xml:space="preserve">Justifying </w:t>
      </w:r>
      <w:r>
        <w:rPr>
          <w:lang w:val="sr-Latn-RS"/>
        </w:rPr>
        <w:t xml:space="preserve">the proposed model </w:t>
      </w:r>
      <w:r w:rsidR="00045EE7">
        <w:rPr>
          <w:lang w:val="sr-Latn-RS"/>
        </w:rPr>
        <w:t>reduces</w:t>
      </w:r>
      <w:r>
        <w:rPr>
          <w:lang w:val="sr-Latn-RS"/>
        </w:rPr>
        <w:t xml:space="preserve"> resource consumption, pollution,</w:t>
      </w:r>
      <w:r w:rsidR="005D7B3F">
        <w:rPr>
          <w:lang w:val="sr-Latn-RS"/>
        </w:rPr>
        <w:t xml:space="preserve"> and financial </w:t>
      </w:r>
      <w:r w:rsidR="00C97A68">
        <w:rPr>
          <w:lang w:val="sr-Latn-RS"/>
        </w:rPr>
        <w:t>loss</w:t>
      </w:r>
      <w:r w:rsidR="005D7B3F">
        <w:rPr>
          <w:lang w:val="sr-Latn-RS"/>
        </w:rPr>
        <w:t xml:space="preserve">. </w:t>
      </w:r>
      <w:r w:rsidR="0074202D">
        <w:rPr>
          <w:lang w:val="sr-Latn-RS"/>
        </w:rPr>
        <w:t>Moreover,</w:t>
      </w:r>
      <w:r w:rsidR="002B337C">
        <w:rPr>
          <w:lang w:val="sr-Latn-RS"/>
        </w:rPr>
        <w:t xml:space="preserve"> </w:t>
      </w:r>
      <w:r w:rsidR="0074202D">
        <w:rPr>
          <w:lang w:val="sr-Latn-RS"/>
        </w:rPr>
        <w:t xml:space="preserve">for EBM to be effective, </w:t>
      </w:r>
      <w:r w:rsidR="00E86F6B">
        <w:rPr>
          <w:lang w:val="sr-Latn-RS"/>
        </w:rPr>
        <w:t xml:space="preserve">a new </w:t>
      </w:r>
      <w:r w:rsidR="00C8586A">
        <w:rPr>
          <w:lang w:val="sr-Latn-RS"/>
        </w:rPr>
        <w:t xml:space="preserve">model </w:t>
      </w:r>
      <w:r w:rsidR="00E86F6B">
        <w:rPr>
          <w:lang w:val="sr-Latn-RS"/>
        </w:rPr>
        <w:t xml:space="preserve">must be proposed </w:t>
      </w:r>
      <w:r>
        <w:rPr>
          <w:lang w:val="sr-Latn-RS"/>
        </w:rPr>
        <w:t>to estimate quasi-failure states as binary values [0, 1] as normal and faulty-mode states</w:t>
      </w:r>
      <w:r w:rsidR="00E86F6B">
        <w:rPr>
          <w:lang w:val="sr-Latn-RS"/>
        </w:rPr>
        <w:t>.</w:t>
      </w:r>
      <w:r w:rsidR="006F2361">
        <w:rPr>
          <w:lang w:val="sr-Latn-RS"/>
        </w:rPr>
        <w:t xml:space="preserve"> </w:t>
      </w:r>
      <w:r>
        <w:rPr>
          <w:lang w:val="sr-Latn-RS"/>
        </w:rPr>
        <w:t>The c</w:t>
      </w:r>
      <w:r w:rsidR="003D0FF3">
        <w:rPr>
          <w:lang w:val="sr-Latn-RS"/>
        </w:rPr>
        <w:t xml:space="preserve">lassification </w:t>
      </w:r>
      <w:r>
        <w:rPr>
          <w:lang w:val="sr-Latn-RS"/>
        </w:rPr>
        <w:t>learning problem is used for</w:t>
      </w:r>
      <w:r w:rsidR="003D0FF3">
        <w:rPr>
          <w:lang w:val="sr-Latn-RS"/>
        </w:rPr>
        <w:t xml:space="preserve"> dynamic changing boundaries and clusters.</w:t>
      </w:r>
      <w:r w:rsidR="00681CA2">
        <w:rPr>
          <w:lang w:val="sr-Latn-RS"/>
        </w:rPr>
        <w:t xml:space="preserve"> Since we are dealing with</w:t>
      </w:r>
      <w:r w:rsidR="00C97A68">
        <w:rPr>
          <w:lang w:val="sr-Latn-RS"/>
        </w:rPr>
        <w:t xml:space="preserve"> both discrete and</w:t>
      </w:r>
      <w:r w:rsidR="00681CA2">
        <w:rPr>
          <w:lang w:val="sr-Latn-RS"/>
        </w:rPr>
        <w:t xml:space="preserve"> </w:t>
      </w:r>
      <w:r w:rsidR="00C30C24">
        <w:rPr>
          <w:lang w:val="sr-Latn-RS"/>
        </w:rPr>
        <w:t xml:space="preserve">continuous values, the following sub-sections will first deal with </w:t>
      </w:r>
      <w:r w:rsidR="004732A8">
        <w:rPr>
          <w:lang w:val="sr-Latn-RS"/>
        </w:rPr>
        <w:t>testing does the contamination</w:t>
      </w:r>
      <w:r>
        <w:rPr>
          <w:lang w:val="sr-Latn-RS"/>
        </w:rPr>
        <w:t>,</w:t>
      </w:r>
      <w:r w:rsidR="004732A8">
        <w:rPr>
          <w:lang w:val="sr-Latn-RS"/>
        </w:rPr>
        <w:t xml:space="preserve"> in fact</w:t>
      </w:r>
      <w:r>
        <w:rPr>
          <w:lang w:val="sr-Latn-RS"/>
        </w:rPr>
        <w:t>,</w:t>
      </w:r>
      <w:r w:rsidR="004732A8">
        <w:rPr>
          <w:lang w:val="sr-Latn-RS"/>
        </w:rPr>
        <w:t xml:space="preserve"> i</w:t>
      </w:r>
      <w:r>
        <w:rPr>
          <w:lang w:val="sr-Latn-RS"/>
        </w:rPr>
        <w:t>n</w:t>
      </w:r>
      <w:r w:rsidR="004732A8">
        <w:rPr>
          <w:lang w:val="sr-Latn-RS"/>
        </w:rPr>
        <w:t>fluence</w:t>
      </w:r>
      <w:r>
        <w:rPr>
          <w:lang w:val="sr-Latn-RS"/>
        </w:rPr>
        <w:t>s</w:t>
      </w:r>
      <w:r w:rsidR="004732A8">
        <w:rPr>
          <w:lang w:val="sr-Latn-RS"/>
        </w:rPr>
        <w:t xml:space="preserve">, directly or indirectly, energy consumption </w:t>
      </w:r>
      <w:r>
        <w:rPr>
          <w:lang w:val="sr-Latn-RS"/>
        </w:rPr>
        <w:t>and if the value represents multicollinearity and redundancy of EBM markers</w:t>
      </w:r>
      <w:r w:rsidR="005B71B2">
        <w:rPr>
          <w:lang w:val="sr-Latn-RS"/>
        </w:rPr>
        <w:t xml:space="preserve">. </w:t>
      </w:r>
      <w:r w:rsidR="00FB3647">
        <w:rPr>
          <w:lang w:val="sr-Latn-RS"/>
        </w:rPr>
        <w:t xml:space="preserve">The idea is to create </w:t>
      </w:r>
      <w:r>
        <w:rPr>
          <w:lang w:val="sr-Latn-RS"/>
        </w:rPr>
        <w:t xml:space="preserve">functional-productiveness markers for </w:t>
      </w:r>
      <w:r w:rsidR="00C97A68">
        <w:rPr>
          <w:lang w:val="sr-Latn-RS"/>
        </w:rPr>
        <w:t>performing classification</w:t>
      </w:r>
      <w:r w:rsidR="00206939">
        <w:rPr>
          <w:lang w:val="sr-Latn-RS"/>
        </w:rPr>
        <w:t>.</w:t>
      </w:r>
    </w:p>
    <w:p w14:paraId="4BF632B3" w14:textId="56C43C7E" w:rsidR="008855FF" w:rsidRDefault="005D442A" w:rsidP="00655BB1">
      <w:pPr>
        <w:pStyle w:val="Heading2"/>
        <w:rPr>
          <w:lang w:val="en-GB"/>
        </w:rPr>
      </w:pPr>
      <w:bookmarkStart w:id="369" w:name="_Toc93759906"/>
      <w:bookmarkStart w:id="370" w:name="_Toc93760010"/>
      <w:bookmarkStart w:id="371" w:name="_Toc101274366"/>
      <w:r>
        <w:rPr>
          <w:lang w:val="en-GB"/>
        </w:rPr>
        <w:t xml:space="preserve">Industrial </w:t>
      </w:r>
      <w:r w:rsidR="0025764A">
        <w:rPr>
          <w:lang w:val="en-GB"/>
        </w:rPr>
        <w:t>practice</w:t>
      </w:r>
      <w:r w:rsidR="00242910">
        <w:rPr>
          <w:lang w:val="en-GB"/>
        </w:rPr>
        <w:t xml:space="preserve"> data</w:t>
      </w:r>
      <w:r>
        <w:rPr>
          <w:lang w:val="en-GB"/>
        </w:rPr>
        <w:t xml:space="preserve"> </w:t>
      </w:r>
      <w:r w:rsidR="00242910">
        <w:rPr>
          <w:lang w:val="en-GB"/>
        </w:rPr>
        <w:t>and</w:t>
      </w:r>
      <w:r>
        <w:rPr>
          <w:lang w:val="en-GB"/>
        </w:rPr>
        <w:t xml:space="preserve"> </w:t>
      </w:r>
      <w:r w:rsidR="00430F8A">
        <w:rPr>
          <w:lang w:val="en-GB"/>
        </w:rPr>
        <w:t>machine selection</w:t>
      </w:r>
      <w:bookmarkEnd w:id="369"/>
      <w:bookmarkEnd w:id="370"/>
      <w:bookmarkEnd w:id="371"/>
    </w:p>
    <w:p w14:paraId="16A37A13" w14:textId="4151A4FC" w:rsidR="00F96F21" w:rsidRDefault="00F96F21" w:rsidP="00F96F21">
      <w:pPr>
        <w:pStyle w:val="Heading3"/>
        <w:rPr>
          <w:lang w:val="en-GB"/>
        </w:rPr>
      </w:pPr>
      <w:bookmarkStart w:id="372" w:name="_Toc93759907"/>
      <w:bookmarkStart w:id="373" w:name="_Toc93760011"/>
      <w:bookmarkStart w:id="374" w:name="_Toc101274367"/>
      <w:r>
        <w:rPr>
          <w:lang w:val="en-GB"/>
        </w:rPr>
        <w:t>Working conditions and characteristics from practice</w:t>
      </w:r>
      <w:bookmarkEnd w:id="372"/>
      <w:bookmarkEnd w:id="373"/>
      <w:bookmarkEnd w:id="374"/>
    </w:p>
    <w:p w14:paraId="2033C904" w14:textId="56631046" w:rsidR="00852B5A" w:rsidRDefault="00736FE7" w:rsidP="00852B5A">
      <w:pPr>
        <w:rPr>
          <w:lang w:val="en-GB"/>
        </w:rPr>
      </w:pPr>
      <w:r>
        <w:rPr>
          <w:lang w:val="en-GB"/>
        </w:rPr>
        <w:t xml:space="preserve">State-of-the-practice meta-data </w:t>
      </w:r>
      <w:r w:rsidR="00A308B2">
        <w:rPr>
          <w:lang w:val="en-GB"/>
        </w:rPr>
        <w:t>is</w:t>
      </w:r>
      <w:r>
        <w:rPr>
          <w:lang w:val="en-GB"/>
        </w:rPr>
        <w:t xml:space="preserve"> used </w:t>
      </w:r>
      <w:r w:rsidR="00A308B2">
        <w:rPr>
          <w:lang w:val="en-GB"/>
        </w:rPr>
        <w:t>to assess experimental validation of the proposed model through a</w:t>
      </w:r>
      <w:r w:rsidR="00F7279D">
        <w:rPr>
          <w:lang w:val="en-GB"/>
        </w:rPr>
        <w:t xml:space="preserve"> similar</w:t>
      </w:r>
      <w:r>
        <w:rPr>
          <w:lang w:val="en-GB"/>
        </w:rPr>
        <w:t xml:space="preserve"> system. That is to say, all variables taken from practical envi</w:t>
      </w:r>
      <w:r w:rsidR="00A308B2">
        <w:rPr>
          <w:lang w:val="en-GB"/>
        </w:rPr>
        <w:t>ro</w:t>
      </w:r>
      <w:r>
        <w:rPr>
          <w:lang w:val="en-GB"/>
        </w:rPr>
        <w:t xml:space="preserve">nments are encapsulated in such </w:t>
      </w:r>
      <w:r w:rsidR="00A308B2">
        <w:rPr>
          <w:lang w:val="en-GB"/>
        </w:rPr>
        <w:t xml:space="preserve">a </w:t>
      </w:r>
      <w:r>
        <w:rPr>
          <w:lang w:val="en-GB"/>
        </w:rPr>
        <w:t xml:space="preserve">way that </w:t>
      </w:r>
      <w:r w:rsidR="00A308B2">
        <w:rPr>
          <w:lang w:val="en-GB"/>
        </w:rPr>
        <w:t xml:space="preserve">they </w:t>
      </w:r>
      <w:r>
        <w:rPr>
          <w:lang w:val="en-GB"/>
        </w:rPr>
        <w:t xml:space="preserve">are suitable </w:t>
      </w:r>
      <w:r w:rsidR="00F7279D">
        <w:rPr>
          <w:lang w:val="en-GB"/>
        </w:rPr>
        <w:t xml:space="preserve">for </w:t>
      </w:r>
      <w:r w:rsidR="00480354">
        <w:rPr>
          <w:lang w:val="en-GB"/>
        </w:rPr>
        <w:t>experimenting</w:t>
      </w:r>
      <w:r>
        <w:rPr>
          <w:lang w:val="en-GB"/>
        </w:rPr>
        <w:t xml:space="preserve">. The underlying reason is to subject the system to disturbances and perturbations that are </w:t>
      </w:r>
      <w:r w:rsidR="00FB3A26">
        <w:rPr>
          <w:lang w:val="en-GB"/>
        </w:rPr>
        <w:t>dealt</w:t>
      </w:r>
      <w:r>
        <w:rPr>
          <w:lang w:val="en-GB"/>
        </w:rPr>
        <w:t xml:space="preserve"> </w:t>
      </w:r>
      <w:r w:rsidR="00A308B2">
        <w:rPr>
          <w:lang w:val="en-GB"/>
        </w:rPr>
        <w:t xml:space="preserve">with </w:t>
      </w:r>
      <w:r>
        <w:rPr>
          <w:lang w:val="en-GB"/>
        </w:rPr>
        <w:t>in real operating</w:t>
      </w:r>
      <w:r w:rsidR="00FB3A26">
        <w:rPr>
          <w:lang w:val="en-GB"/>
        </w:rPr>
        <w:t xml:space="preserve"> conditions –</w:t>
      </w:r>
      <w:r>
        <w:rPr>
          <w:lang w:val="en-GB"/>
        </w:rPr>
        <w:t xml:space="preserve"> verifying the model in </w:t>
      </w:r>
      <w:r w:rsidR="00852B5A">
        <w:rPr>
          <w:lang w:val="en-GB"/>
        </w:rPr>
        <w:t xml:space="preserve">an </w:t>
      </w:r>
      <w:r>
        <w:rPr>
          <w:lang w:val="en-GB"/>
        </w:rPr>
        <w:t>industrial encirclement.</w:t>
      </w:r>
      <w:r w:rsidR="00852B5A">
        <w:rPr>
          <w:lang w:val="en-GB"/>
        </w:rPr>
        <w:t xml:space="preserve"> </w:t>
      </w:r>
      <w:r w:rsidR="00852B5A">
        <w:rPr>
          <w:lang w:val="en-GB"/>
        </w:rPr>
        <w:fldChar w:fldCharType="begin"/>
      </w:r>
      <w:r w:rsidR="00852B5A">
        <w:rPr>
          <w:lang w:val="en-GB"/>
        </w:rPr>
        <w:instrText xml:space="preserve"> REF _Ref93065463 \h </w:instrText>
      </w:r>
      <w:r w:rsidR="00852B5A">
        <w:rPr>
          <w:lang w:val="en-GB"/>
        </w:rPr>
      </w:r>
      <w:r w:rsidR="00852B5A">
        <w:rPr>
          <w:lang w:val="en-GB"/>
        </w:rPr>
        <w:fldChar w:fldCharType="separate"/>
      </w:r>
      <w:r w:rsidR="00587AF0">
        <w:t xml:space="preserve">Table </w:t>
      </w:r>
      <w:r w:rsidR="00587AF0">
        <w:rPr>
          <w:noProof/>
        </w:rPr>
        <w:t>17</w:t>
      </w:r>
      <w:r w:rsidR="00852B5A">
        <w:rPr>
          <w:lang w:val="en-GB"/>
        </w:rPr>
        <w:fldChar w:fldCharType="end"/>
      </w:r>
      <w:r w:rsidR="00852B5A">
        <w:rPr>
          <w:lang w:val="en-GB"/>
        </w:rPr>
        <w:t xml:space="preserve"> provide</w:t>
      </w:r>
      <w:r w:rsidR="00665396">
        <w:rPr>
          <w:lang w:val="en-GB"/>
        </w:rPr>
        <w:t>s</w:t>
      </w:r>
      <w:r w:rsidR="00852B5A">
        <w:rPr>
          <w:lang w:val="en-GB"/>
        </w:rPr>
        <w:t xml:space="preserve"> descriptive statistics of </w:t>
      </w:r>
      <w:r w:rsidR="00A308B2">
        <w:rPr>
          <w:lang w:val="en-GB"/>
        </w:rPr>
        <w:t xml:space="preserve">questionnaire-based survey </w:t>
      </w:r>
      <w:r w:rsidR="00480354">
        <w:rPr>
          <w:lang w:val="en-GB"/>
        </w:rPr>
        <w:t>meta-</w:t>
      </w:r>
      <w:r w:rsidR="00A308B2">
        <w:rPr>
          <w:lang w:val="en-GB"/>
        </w:rPr>
        <w:t>results</w:t>
      </w:r>
      <w:r w:rsidR="00665396">
        <w:rPr>
          <w:lang w:val="en-GB"/>
        </w:rPr>
        <w:t xml:space="preserve">. </w:t>
      </w:r>
      <w:r w:rsidR="00852B5A">
        <w:rPr>
          <w:lang w:val="en-GB"/>
        </w:rPr>
        <w:t xml:space="preserve">As observed, </w:t>
      </w:r>
      <w:r w:rsidR="00852B5A">
        <w:rPr>
          <w:lang w:val="en-GB"/>
        </w:rPr>
        <w:fldChar w:fldCharType="begin"/>
      </w:r>
      <w:r w:rsidR="00852B5A">
        <w:rPr>
          <w:lang w:val="en-GB"/>
        </w:rPr>
        <w:instrText xml:space="preserve"> REF _Ref93065463 \h </w:instrText>
      </w:r>
      <w:r w:rsidR="00852B5A">
        <w:rPr>
          <w:lang w:val="en-GB"/>
        </w:rPr>
      </w:r>
      <w:r w:rsidR="00852B5A">
        <w:rPr>
          <w:lang w:val="en-GB"/>
        </w:rPr>
        <w:fldChar w:fldCharType="separate"/>
      </w:r>
      <w:r w:rsidR="00587AF0">
        <w:t xml:space="preserve">Table </w:t>
      </w:r>
      <w:r w:rsidR="00587AF0">
        <w:rPr>
          <w:noProof/>
        </w:rPr>
        <w:t>17</w:t>
      </w:r>
      <w:r w:rsidR="00852B5A">
        <w:rPr>
          <w:lang w:val="en-GB"/>
        </w:rPr>
        <w:fldChar w:fldCharType="end"/>
      </w:r>
      <w:r w:rsidR="00852B5A">
        <w:rPr>
          <w:lang w:val="en-GB"/>
        </w:rPr>
        <w:t>, which includes industrial applications, show</w:t>
      </w:r>
      <w:r w:rsidR="00A308B2">
        <w:rPr>
          <w:lang w:val="en-GB"/>
        </w:rPr>
        <w:t>s a</w:t>
      </w:r>
      <w:r w:rsidR="00852B5A">
        <w:rPr>
          <w:lang w:val="en-GB"/>
        </w:rPr>
        <w:t xml:space="preserve"> mid to average range of working conditions, hence, hydraulic power units of around 17 kW, while mobile machines are </w:t>
      </w:r>
      <w:r w:rsidR="00045EE7">
        <w:rPr>
          <w:lang w:val="en-GB"/>
        </w:rPr>
        <w:t>more than</w:t>
      </w:r>
      <w:r w:rsidR="00852B5A">
        <w:rPr>
          <w:lang w:val="en-GB"/>
        </w:rPr>
        <w:t xml:space="preserve"> </w:t>
      </w:r>
      <w:r w:rsidR="00045EE7">
        <w:rPr>
          <w:lang w:val="en-GB"/>
        </w:rPr>
        <w:t>two</w:t>
      </w:r>
      <w:r w:rsidR="00852B5A">
        <w:rPr>
          <w:lang w:val="en-GB"/>
        </w:rPr>
        <w:t xml:space="preserve"> times higher working loads with power units ranging above 40 kW</w:t>
      </w:r>
      <w:r w:rsidR="00045EE7">
        <w:rPr>
          <w:lang w:val="en-GB"/>
        </w:rPr>
        <w:t>.</w:t>
      </w:r>
      <w:r w:rsidR="00852B5A">
        <w:rPr>
          <w:lang w:val="en-GB"/>
        </w:rPr>
        <w:t xml:space="preserve"> </w:t>
      </w:r>
      <w:r w:rsidR="00665396">
        <w:rPr>
          <w:lang w:val="en-GB"/>
        </w:rPr>
        <w:t>T</w:t>
      </w:r>
      <w:r w:rsidR="00852B5A">
        <w:rPr>
          <w:lang w:val="en-GB"/>
        </w:rPr>
        <w:t xml:space="preserve">his suggests that this feature shows the higher intensity of variations </w:t>
      </w:r>
      <w:r w:rsidR="00665396">
        <w:rPr>
          <w:lang w:val="en-GB"/>
        </w:rPr>
        <w:t>in</w:t>
      </w:r>
      <w:r w:rsidR="00852B5A">
        <w:rPr>
          <w:lang w:val="en-GB"/>
        </w:rPr>
        <w:t xml:space="preserve"> reducing MTBF, aside from all other factors included.</w:t>
      </w:r>
    </w:p>
    <w:p w14:paraId="58DE6E29" w14:textId="74CA3215" w:rsidR="00736FE7" w:rsidRDefault="002E79D5" w:rsidP="002E79D5">
      <w:pPr>
        <w:pStyle w:val="Caption"/>
        <w:jc w:val="left"/>
        <w:rPr>
          <w:lang w:val="en-GB"/>
        </w:rPr>
      </w:pPr>
      <w:bookmarkStart w:id="375" w:name="_Ref93065463"/>
      <w:bookmarkStart w:id="376" w:name="_Toc101274457"/>
      <w:r>
        <w:t xml:space="preserve">Table </w:t>
      </w:r>
      <w:fldSimple w:instr=" SEQ Table \* ARABIC ">
        <w:r w:rsidR="00587AF0">
          <w:rPr>
            <w:noProof/>
          </w:rPr>
          <w:t>17</w:t>
        </w:r>
      </w:fldSimple>
      <w:bookmarkEnd w:id="375"/>
      <w:r>
        <w:t xml:space="preserve">. Industrial machines </w:t>
      </w:r>
      <w:r w:rsidR="00A86D02">
        <w:t xml:space="preserve">utilising hydraulic control systems - </w:t>
      </w:r>
      <w:r>
        <w:t>descriptive statistics</w:t>
      </w:r>
      <w:bookmarkEnd w:id="376"/>
    </w:p>
    <w:tbl>
      <w:tblPr>
        <w:tblW w:w="0" w:type="auto"/>
        <w:tblLook w:val="04A0" w:firstRow="1" w:lastRow="0" w:firstColumn="1" w:lastColumn="0" w:noHBand="0" w:noVBand="1"/>
      </w:tblPr>
      <w:tblGrid>
        <w:gridCol w:w="1063"/>
        <w:gridCol w:w="841"/>
        <w:gridCol w:w="983"/>
        <w:gridCol w:w="847"/>
        <w:gridCol w:w="1028"/>
        <w:gridCol w:w="1167"/>
        <w:gridCol w:w="732"/>
        <w:gridCol w:w="841"/>
        <w:gridCol w:w="624"/>
        <w:gridCol w:w="901"/>
      </w:tblGrid>
      <w:tr w:rsidR="0061649B" w:rsidRPr="005F1EE5" w14:paraId="6DA40D93" w14:textId="15A55A1F" w:rsidTr="004336FC">
        <w:tc>
          <w:tcPr>
            <w:tcW w:w="0" w:type="auto"/>
            <w:tcBorders>
              <w:top w:val="single" w:sz="4" w:space="0" w:color="auto"/>
              <w:bottom w:val="single" w:sz="4" w:space="0" w:color="auto"/>
            </w:tcBorders>
          </w:tcPr>
          <w:p w14:paraId="754D8206" w14:textId="0CFDAF6E" w:rsidR="002A3A74" w:rsidRPr="00D943D6" w:rsidRDefault="002A3A74" w:rsidP="00D51694">
            <w:pPr>
              <w:spacing w:before="0" w:after="0"/>
              <w:jc w:val="center"/>
              <w:rPr>
                <w:rFonts w:eastAsia="CIDFont+F4" w:cs="CIDFont+F4"/>
                <w:b/>
                <w:bCs/>
                <w:i/>
                <w:iCs/>
                <w:sz w:val="20"/>
                <w:szCs w:val="20"/>
                <w:lang w:val="sr-Latn-RS"/>
              </w:rPr>
            </w:pPr>
            <w:r>
              <w:rPr>
                <w:rFonts w:eastAsia="CIDFont+F4" w:cs="CIDFont+F4"/>
                <w:b/>
                <w:bCs/>
                <w:i/>
                <w:iCs/>
                <w:sz w:val="20"/>
                <w:szCs w:val="20"/>
                <w:lang w:val="sr-Latn-RS"/>
              </w:rPr>
              <w:t>Variable</w:t>
            </w:r>
          </w:p>
        </w:tc>
        <w:tc>
          <w:tcPr>
            <w:tcW w:w="0" w:type="auto"/>
            <w:tcBorders>
              <w:top w:val="single" w:sz="4" w:space="0" w:color="auto"/>
              <w:bottom w:val="single" w:sz="4" w:space="0" w:color="auto"/>
            </w:tcBorders>
          </w:tcPr>
          <w:p w14:paraId="3982251A" w14:textId="2327C5E4" w:rsidR="002A3A74" w:rsidRPr="00D943D6" w:rsidRDefault="002A3A74" w:rsidP="00D51694">
            <w:pPr>
              <w:spacing w:before="0" w:after="0"/>
              <w:jc w:val="center"/>
              <w:rPr>
                <w:rFonts w:eastAsia="CIDFont+F4" w:cs="CIDFont+F4"/>
                <w:b/>
                <w:bCs/>
                <w:i/>
                <w:iCs/>
                <w:sz w:val="20"/>
                <w:szCs w:val="20"/>
                <w:lang w:val="sr-Latn-RS"/>
              </w:rPr>
            </w:pPr>
            <w:r>
              <w:rPr>
                <w:rFonts w:eastAsia="CIDFont+F4" w:cs="CIDFont+F4"/>
                <w:b/>
                <w:bCs/>
                <w:i/>
                <w:iCs/>
                <w:sz w:val="20"/>
                <w:szCs w:val="20"/>
                <w:lang w:val="sr-Latn-RS"/>
              </w:rPr>
              <w:t>mean</w:t>
            </w:r>
          </w:p>
        </w:tc>
        <w:tc>
          <w:tcPr>
            <w:tcW w:w="0" w:type="auto"/>
            <w:tcBorders>
              <w:top w:val="single" w:sz="4" w:space="0" w:color="auto"/>
              <w:bottom w:val="single" w:sz="4" w:space="0" w:color="auto"/>
            </w:tcBorders>
          </w:tcPr>
          <w:p w14:paraId="50D63946" w14:textId="6410DA3C" w:rsidR="002A3A74" w:rsidRPr="00D943D6" w:rsidRDefault="002A3A74" w:rsidP="00D51694">
            <w:pPr>
              <w:spacing w:before="0" w:after="0"/>
              <w:jc w:val="center"/>
              <w:rPr>
                <w:rFonts w:eastAsia="CIDFont+F4" w:cs="CIDFont+F4"/>
                <w:b/>
                <w:bCs/>
                <w:i/>
                <w:iCs/>
                <w:sz w:val="20"/>
                <w:szCs w:val="20"/>
                <w:lang w:val="sr-Latn-RS"/>
              </w:rPr>
            </w:pPr>
            <w:r>
              <w:rPr>
                <w:rFonts w:eastAsia="CIDFont+F4" w:cs="CIDFont+F4"/>
                <w:b/>
                <w:bCs/>
                <w:i/>
                <w:iCs/>
                <w:sz w:val="20"/>
                <w:szCs w:val="20"/>
                <w:lang w:val="sr-Latn-RS"/>
              </w:rPr>
              <w:t>median</w:t>
            </w:r>
          </w:p>
        </w:tc>
        <w:tc>
          <w:tcPr>
            <w:tcW w:w="0" w:type="auto"/>
            <w:tcBorders>
              <w:top w:val="single" w:sz="4" w:space="0" w:color="auto"/>
              <w:bottom w:val="single" w:sz="4" w:space="0" w:color="auto"/>
            </w:tcBorders>
          </w:tcPr>
          <w:p w14:paraId="456022AC" w14:textId="487F491A" w:rsidR="002A3A74" w:rsidRPr="00D943D6" w:rsidRDefault="002A3A74" w:rsidP="00D51694">
            <w:pPr>
              <w:spacing w:before="0" w:after="0"/>
              <w:jc w:val="center"/>
              <w:rPr>
                <w:rFonts w:eastAsia="CIDFont+F4" w:cs="CIDFont+F4"/>
                <w:b/>
                <w:bCs/>
                <w:i/>
                <w:iCs/>
                <w:sz w:val="20"/>
                <w:szCs w:val="20"/>
                <w:lang w:val="sr-Latn-RS"/>
              </w:rPr>
            </w:pPr>
            <w:r>
              <w:rPr>
                <w:rFonts w:eastAsia="CIDFont+F4" w:cs="CIDFont+F4"/>
                <w:b/>
                <w:bCs/>
                <w:i/>
                <w:iCs/>
                <w:sz w:val="20"/>
                <w:szCs w:val="20"/>
                <w:lang w:val="sr-Latn-RS"/>
              </w:rPr>
              <w:t>st.</w:t>
            </w:r>
            <w:r w:rsidR="00665396">
              <w:rPr>
                <w:rFonts w:eastAsia="CIDFont+F4" w:cs="CIDFont+F4"/>
                <w:b/>
                <w:bCs/>
                <w:i/>
                <w:iCs/>
                <w:sz w:val="20"/>
                <w:szCs w:val="20"/>
                <w:lang w:val="sr-Latn-RS"/>
              </w:rPr>
              <w:t xml:space="preserve"> </w:t>
            </w:r>
            <w:r>
              <w:rPr>
                <w:rFonts w:eastAsia="CIDFont+F4" w:cs="CIDFont+F4"/>
                <w:b/>
                <w:bCs/>
                <w:i/>
                <w:iCs/>
                <w:sz w:val="20"/>
                <w:szCs w:val="20"/>
                <w:lang w:val="sr-Latn-RS"/>
              </w:rPr>
              <w:t>dev</w:t>
            </w:r>
          </w:p>
        </w:tc>
        <w:tc>
          <w:tcPr>
            <w:tcW w:w="0" w:type="auto"/>
            <w:tcBorders>
              <w:top w:val="single" w:sz="4" w:space="0" w:color="auto"/>
              <w:bottom w:val="single" w:sz="4" w:space="0" w:color="auto"/>
            </w:tcBorders>
          </w:tcPr>
          <w:p w14:paraId="141EFE13" w14:textId="7BAAEDC2" w:rsidR="002A3A74" w:rsidRPr="00D943D6" w:rsidRDefault="002A3A74" w:rsidP="00D51694">
            <w:pPr>
              <w:spacing w:before="0" w:after="0"/>
              <w:jc w:val="center"/>
              <w:rPr>
                <w:rFonts w:eastAsia="CIDFont+F4" w:cs="CIDFont+F4"/>
                <w:b/>
                <w:bCs/>
                <w:i/>
                <w:iCs/>
                <w:sz w:val="20"/>
                <w:szCs w:val="20"/>
                <w:lang w:val="sr-Latn-RS"/>
              </w:rPr>
            </w:pPr>
            <w:r>
              <w:rPr>
                <w:rFonts w:eastAsia="CIDFont+F4" w:cs="CIDFont+F4"/>
                <w:b/>
                <w:bCs/>
                <w:i/>
                <w:iCs/>
                <w:sz w:val="20"/>
                <w:szCs w:val="20"/>
                <w:lang w:val="sr-Latn-RS"/>
              </w:rPr>
              <w:t>kurtosis</w:t>
            </w:r>
          </w:p>
        </w:tc>
        <w:tc>
          <w:tcPr>
            <w:tcW w:w="0" w:type="auto"/>
            <w:tcBorders>
              <w:top w:val="single" w:sz="4" w:space="0" w:color="auto"/>
              <w:bottom w:val="single" w:sz="4" w:space="0" w:color="auto"/>
            </w:tcBorders>
          </w:tcPr>
          <w:p w14:paraId="0405CD5D" w14:textId="20216E6E" w:rsidR="002A3A74" w:rsidRPr="00D943D6" w:rsidRDefault="002A3A74" w:rsidP="00D51694">
            <w:pPr>
              <w:spacing w:before="0" w:after="0"/>
              <w:jc w:val="center"/>
              <w:rPr>
                <w:rFonts w:eastAsia="CIDFont+F4" w:cs="CIDFont+F4"/>
                <w:b/>
                <w:bCs/>
                <w:i/>
                <w:iCs/>
                <w:sz w:val="20"/>
                <w:szCs w:val="20"/>
                <w:lang w:val="sr-Latn-RS"/>
              </w:rPr>
            </w:pPr>
            <w:r>
              <w:rPr>
                <w:rFonts w:eastAsia="CIDFont+F4" w:cs="CIDFont+F4"/>
                <w:b/>
                <w:bCs/>
                <w:i/>
                <w:iCs/>
                <w:sz w:val="20"/>
                <w:szCs w:val="20"/>
                <w:lang w:val="sr-Latn-RS"/>
              </w:rPr>
              <w:t>skewness</w:t>
            </w:r>
          </w:p>
        </w:tc>
        <w:tc>
          <w:tcPr>
            <w:tcW w:w="0" w:type="auto"/>
            <w:tcBorders>
              <w:top w:val="single" w:sz="4" w:space="0" w:color="auto"/>
              <w:bottom w:val="single" w:sz="4" w:space="0" w:color="auto"/>
            </w:tcBorders>
          </w:tcPr>
          <w:p w14:paraId="4A69413F" w14:textId="47589CDC" w:rsidR="002A3A74" w:rsidRDefault="002A3A74" w:rsidP="00D51694">
            <w:pPr>
              <w:spacing w:before="0" w:after="0"/>
              <w:jc w:val="center"/>
              <w:rPr>
                <w:rFonts w:eastAsia="CIDFont+F4" w:cs="CIDFont+F4"/>
                <w:b/>
                <w:bCs/>
                <w:i/>
                <w:iCs/>
                <w:sz w:val="20"/>
                <w:szCs w:val="20"/>
                <w:lang w:val="sr-Latn-RS"/>
              </w:rPr>
            </w:pPr>
            <w:r>
              <w:rPr>
                <w:rFonts w:eastAsia="CIDFont+F4" w:cs="CIDFont+F4"/>
                <w:b/>
                <w:bCs/>
                <w:i/>
                <w:iCs/>
                <w:sz w:val="20"/>
                <w:szCs w:val="20"/>
                <w:lang w:val="sr-Latn-RS"/>
              </w:rPr>
              <w:t>min</w:t>
            </w:r>
          </w:p>
        </w:tc>
        <w:tc>
          <w:tcPr>
            <w:tcW w:w="0" w:type="auto"/>
            <w:tcBorders>
              <w:top w:val="single" w:sz="4" w:space="0" w:color="auto"/>
              <w:bottom w:val="single" w:sz="4" w:space="0" w:color="auto"/>
            </w:tcBorders>
          </w:tcPr>
          <w:p w14:paraId="6B1756AB" w14:textId="60F8BF9C" w:rsidR="002A3A74" w:rsidRDefault="002A3A74" w:rsidP="00D51694">
            <w:pPr>
              <w:spacing w:before="0" w:after="0"/>
              <w:jc w:val="center"/>
              <w:rPr>
                <w:rFonts w:eastAsia="CIDFont+F4" w:cs="CIDFont+F4"/>
                <w:b/>
                <w:bCs/>
                <w:i/>
                <w:iCs/>
                <w:sz w:val="20"/>
                <w:szCs w:val="20"/>
                <w:lang w:val="sr-Latn-RS"/>
              </w:rPr>
            </w:pPr>
            <w:r>
              <w:rPr>
                <w:rFonts w:eastAsia="CIDFont+F4" w:cs="CIDFont+F4"/>
                <w:b/>
                <w:bCs/>
                <w:i/>
                <w:iCs/>
                <w:sz w:val="20"/>
                <w:szCs w:val="20"/>
                <w:lang w:val="sr-Latn-RS"/>
              </w:rPr>
              <w:t>max</w:t>
            </w:r>
          </w:p>
        </w:tc>
        <w:tc>
          <w:tcPr>
            <w:tcW w:w="0" w:type="auto"/>
            <w:tcBorders>
              <w:top w:val="single" w:sz="4" w:space="0" w:color="auto"/>
              <w:bottom w:val="single" w:sz="4" w:space="0" w:color="auto"/>
            </w:tcBorders>
          </w:tcPr>
          <w:p w14:paraId="0C9C43E9" w14:textId="55B128CB" w:rsidR="002A3A74" w:rsidRDefault="002A3A74" w:rsidP="00D51694">
            <w:pPr>
              <w:spacing w:before="0" w:after="0"/>
              <w:jc w:val="center"/>
              <w:rPr>
                <w:rFonts w:eastAsia="CIDFont+F4" w:cs="CIDFont+F4"/>
                <w:b/>
                <w:bCs/>
                <w:i/>
                <w:iCs/>
                <w:sz w:val="20"/>
                <w:szCs w:val="20"/>
                <w:lang w:val="sr-Latn-RS"/>
              </w:rPr>
            </w:pPr>
            <w:r>
              <w:rPr>
                <w:rFonts w:eastAsia="CIDFont+F4" w:cs="CIDFont+F4"/>
                <w:b/>
                <w:bCs/>
                <w:i/>
                <w:iCs/>
                <w:sz w:val="20"/>
                <w:szCs w:val="20"/>
                <w:lang w:val="sr-Latn-RS"/>
              </w:rPr>
              <w:t>A*</w:t>
            </w:r>
          </w:p>
        </w:tc>
        <w:tc>
          <w:tcPr>
            <w:tcW w:w="0" w:type="auto"/>
            <w:tcBorders>
              <w:top w:val="single" w:sz="4" w:space="0" w:color="auto"/>
              <w:bottom w:val="single" w:sz="4" w:space="0" w:color="auto"/>
            </w:tcBorders>
          </w:tcPr>
          <w:p w14:paraId="037F02A6" w14:textId="3D5A33BA" w:rsidR="002A3A74" w:rsidRDefault="002A3A74" w:rsidP="00D51694">
            <w:pPr>
              <w:spacing w:before="0" w:after="0"/>
              <w:jc w:val="center"/>
              <w:rPr>
                <w:rFonts w:eastAsia="CIDFont+F4" w:cs="CIDFont+F4"/>
                <w:b/>
                <w:bCs/>
                <w:i/>
                <w:iCs/>
                <w:sz w:val="20"/>
                <w:szCs w:val="20"/>
                <w:lang w:val="sr-Latn-RS"/>
              </w:rPr>
            </w:pPr>
            <w:r>
              <w:rPr>
                <w:rFonts w:eastAsia="CIDFont+F4" w:cs="CIDFont+F4"/>
                <w:b/>
                <w:bCs/>
                <w:i/>
                <w:iCs/>
                <w:sz w:val="20"/>
                <w:szCs w:val="20"/>
                <w:lang w:val="sr-Latn-RS"/>
              </w:rPr>
              <w:t>p</w:t>
            </w:r>
            <w:r w:rsidR="00665396">
              <w:rPr>
                <w:rFonts w:eastAsia="CIDFont+F4" w:cs="CIDFont+F4"/>
                <w:b/>
                <w:bCs/>
                <w:i/>
                <w:iCs/>
                <w:sz w:val="20"/>
                <w:szCs w:val="20"/>
                <w:lang w:val="sr-Latn-RS"/>
              </w:rPr>
              <w:t>-</w:t>
            </w:r>
            <w:r>
              <w:rPr>
                <w:rFonts w:eastAsia="CIDFont+F4" w:cs="CIDFont+F4"/>
                <w:b/>
                <w:bCs/>
                <w:i/>
                <w:iCs/>
                <w:sz w:val="20"/>
                <w:szCs w:val="20"/>
                <w:lang w:val="sr-Latn-RS"/>
              </w:rPr>
              <w:t>value</w:t>
            </w:r>
          </w:p>
        </w:tc>
      </w:tr>
      <w:tr w:rsidR="004336FC" w:rsidRPr="005F1EE5" w14:paraId="5F79121A" w14:textId="77777777" w:rsidTr="004336FC">
        <w:tc>
          <w:tcPr>
            <w:tcW w:w="0" w:type="auto"/>
            <w:tcBorders>
              <w:top w:val="single" w:sz="4" w:space="0" w:color="auto"/>
            </w:tcBorders>
          </w:tcPr>
          <w:p w14:paraId="1CD11A31" w14:textId="77777777" w:rsidR="004336FC" w:rsidRPr="00A86D02"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FRT</w:t>
            </w:r>
          </w:p>
        </w:tc>
        <w:tc>
          <w:tcPr>
            <w:tcW w:w="0" w:type="auto"/>
            <w:tcBorders>
              <w:top w:val="single" w:sz="4" w:space="0" w:color="auto"/>
            </w:tcBorders>
          </w:tcPr>
          <w:p w14:paraId="1CE68333" w14:textId="77777777" w:rsidR="004336FC"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817.53</w:t>
            </w:r>
          </w:p>
        </w:tc>
        <w:tc>
          <w:tcPr>
            <w:tcW w:w="0" w:type="auto"/>
            <w:tcBorders>
              <w:top w:val="single" w:sz="4" w:space="0" w:color="auto"/>
            </w:tcBorders>
          </w:tcPr>
          <w:p w14:paraId="5243F43F" w14:textId="77777777" w:rsidR="004336FC" w:rsidRPr="005F72BC"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742.50</w:t>
            </w:r>
          </w:p>
        </w:tc>
        <w:tc>
          <w:tcPr>
            <w:tcW w:w="0" w:type="auto"/>
            <w:tcBorders>
              <w:top w:val="single" w:sz="4" w:space="0" w:color="auto"/>
            </w:tcBorders>
          </w:tcPr>
          <w:p w14:paraId="13FE01FC" w14:textId="77777777" w:rsidR="004336FC" w:rsidRPr="00DC6B00"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406.3</w:t>
            </w:r>
          </w:p>
        </w:tc>
        <w:tc>
          <w:tcPr>
            <w:tcW w:w="0" w:type="auto"/>
            <w:tcBorders>
              <w:top w:val="single" w:sz="4" w:space="0" w:color="auto"/>
            </w:tcBorders>
          </w:tcPr>
          <w:p w14:paraId="129EE602" w14:textId="77777777" w:rsidR="004336FC"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1.57</w:t>
            </w:r>
          </w:p>
        </w:tc>
        <w:tc>
          <w:tcPr>
            <w:tcW w:w="0" w:type="auto"/>
            <w:tcBorders>
              <w:top w:val="single" w:sz="4" w:space="0" w:color="auto"/>
            </w:tcBorders>
          </w:tcPr>
          <w:p w14:paraId="74EA9CCF" w14:textId="77777777" w:rsidR="004336FC"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1.17</w:t>
            </w:r>
          </w:p>
        </w:tc>
        <w:tc>
          <w:tcPr>
            <w:tcW w:w="0" w:type="auto"/>
            <w:tcBorders>
              <w:top w:val="single" w:sz="4" w:space="0" w:color="auto"/>
            </w:tcBorders>
          </w:tcPr>
          <w:p w14:paraId="678EB958" w14:textId="77777777" w:rsidR="004336FC"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200</w:t>
            </w:r>
          </w:p>
        </w:tc>
        <w:tc>
          <w:tcPr>
            <w:tcW w:w="0" w:type="auto"/>
            <w:tcBorders>
              <w:top w:val="single" w:sz="4" w:space="0" w:color="auto"/>
            </w:tcBorders>
          </w:tcPr>
          <w:p w14:paraId="69694074" w14:textId="77777777" w:rsidR="004336FC"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2000</w:t>
            </w:r>
          </w:p>
        </w:tc>
        <w:tc>
          <w:tcPr>
            <w:tcW w:w="0" w:type="auto"/>
            <w:tcBorders>
              <w:top w:val="single" w:sz="4" w:space="0" w:color="auto"/>
            </w:tcBorders>
          </w:tcPr>
          <w:p w14:paraId="05DA9A08" w14:textId="77777777" w:rsidR="004336FC"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1.15</w:t>
            </w:r>
          </w:p>
        </w:tc>
        <w:tc>
          <w:tcPr>
            <w:tcW w:w="0" w:type="auto"/>
            <w:tcBorders>
              <w:top w:val="single" w:sz="4" w:space="0" w:color="auto"/>
            </w:tcBorders>
          </w:tcPr>
          <w:p w14:paraId="2E53C9FF" w14:textId="77777777" w:rsidR="004336FC"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&lt;0.005</w:t>
            </w:r>
          </w:p>
        </w:tc>
      </w:tr>
      <w:tr w:rsidR="004336FC" w:rsidRPr="005F1EE5" w14:paraId="3783139D" w14:textId="77777777" w:rsidTr="0061649B">
        <w:tc>
          <w:tcPr>
            <w:tcW w:w="0" w:type="auto"/>
          </w:tcPr>
          <w:p w14:paraId="42B860D0" w14:textId="77777777" w:rsidR="004336FC" w:rsidRPr="00A86D02"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FWMh</w:t>
            </w:r>
          </w:p>
        </w:tc>
        <w:tc>
          <w:tcPr>
            <w:tcW w:w="0" w:type="auto"/>
          </w:tcPr>
          <w:p w14:paraId="3666DE95" w14:textId="77777777" w:rsidR="004336F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0.123</w:t>
            </w:r>
          </w:p>
        </w:tc>
        <w:tc>
          <w:tcPr>
            <w:tcW w:w="0" w:type="auto"/>
          </w:tcPr>
          <w:p w14:paraId="2375DDDC" w14:textId="77777777" w:rsidR="004336FC" w:rsidRPr="005F72B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0.094</w:t>
            </w:r>
          </w:p>
        </w:tc>
        <w:tc>
          <w:tcPr>
            <w:tcW w:w="0" w:type="auto"/>
          </w:tcPr>
          <w:p w14:paraId="7BCD11B1" w14:textId="77777777" w:rsidR="004336FC" w:rsidRPr="00DC6B00"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0.092</w:t>
            </w:r>
          </w:p>
        </w:tc>
        <w:tc>
          <w:tcPr>
            <w:tcW w:w="0" w:type="auto"/>
          </w:tcPr>
          <w:p w14:paraId="052CAC2A" w14:textId="77777777" w:rsidR="004336F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1.76</w:t>
            </w:r>
          </w:p>
        </w:tc>
        <w:tc>
          <w:tcPr>
            <w:tcW w:w="0" w:type="auto"/>
          </w:tcPr>
          <w:p w14:paraId="1DD57A49" w14:textId="77777777" w:rsidR="004336F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1.26</w:t>
            </w:r>
          </w:p>
        </w:tc>
        <w:tc>
          <w:tcPr>
            <w:tcW w:w="0" w:type="auto"/>
          </w:tcPr>
          <w:p w14:paraId="21C110BF" w14:textId="77777777" w:rsidR="004336F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0.007</w:t>
            </w:r>
          </w:p>
        </w:tc>
        <w:tc>
          <w:tcPr>
            <w:tcW w:w="0" w:type="auto"/>
          </w:tcPr>
          <w:p w14:paraId="06AC3B25" w14:textId="77777777" w:rsidR="004336F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0.4159</w:t>
            </w:r>
          </w:p>
        </w:tc>
        <w:tc>
          <w:tcPr>
            <w:tcW w:w="0" w:type="auto"/>
          </w:tcPr>
          <w:p w14:paraId="1865A00F" w14:textId="77777777" w:rsidR="004336F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1.02</w:t>
            </w:r>
          </w:p>
        </w:tc>
        <w:tc>
          <w:tcPr>
            <w:tcW w:w="0" w:type="auto"/>
          </w:tcPr>
          <w:p w14:paraId="0DBA19F9" w14:textId="77777777" w:rsidR="004336F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0.010</w:t>
            </w:r>
          </w:p>
        </w:tc>
      </w:tr>
      <w:tr w:rsidR="004336FC" w:rsidRPr="005F1EE5" w14:paraId="5D72ED5E" w14:textId="77777777" w:rsidTr="004336FC">
        <w:tc>
          <w:tcPr>
            <w:tcW w:w="0" w:type="auto"/>
          </w:tcPr>
          <w:p w14:paraId="3A9443AE" w14:textId="77777777" w:rsidR="004336FC" w:rsidRPr="005F1EE5"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MA</w:t>
            </w:r>
          </w:p>
        </w:tc>
        <w:tc>
          <w:tcPr>
            <w:tcW w:w="0" w:type="auto"/>
          </w:tcPr>
          <w:p w14:paraId="64F5354A" w14:textId="77777777" w:rsidR="004336FC" w:rsidRPr="005F1EE5"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9.34</w:t>
            </w:r>
          </w:p>
        </w:tc>
        <w:tc>
          <w:tcPr>
            <w:tcW w:w="0" w:type="auto"/>
          </w:tcPr>
          <w:p w14:paraId="2E0A31E0" w14:textId="77777777" w:rsidR="004336FC"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8.80</w:t>
            </w:r>
          </w:p>
        </w:tc>
        <w:tc>
          <w:tcPr>
            <w:tcW w:w="0" w:type="auto"/>
          </w:tcPr>
          <w:p w14:paraId="5828179E" w14:textId="77777777" w:rsidR="004336FC" w:rsidRPr="005F1EE5"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2.09</w:t>
            </w:r>
          </w:p>
        </w:tc>
        <w:tc>
          <w:tcPr>
            <w:tcW w:w="0" w:type="auto"/>
          </w:tcPr>
          <w:p w14:paraId="151EFFE9" w14:textId="77777777" w:rsidR="004336FC" w:rsidRPr="005F1EE5"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-0.95</w:t>
            </w:r>
          </w:p>
        </w:tc>
        <w:tc>
          <w:tcPr>
            <w:tcW w:w="0" w:type="auto"/>
          </w:tcPr>
          <w:p w14:paraId="614C5C9E" w14:textId="77777777" w:rsidR="004336FC"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0.12</w:t>
            </w:r>
          </w:p>
        </w:tc>
        <w:tc>
          <w:tcPr>
            <w:tcW w:w="0" w:type="auto"/>
          </w:tcPr>
          <w:p w14:paraId="498A0479" w14:textId="77777777" w:rsidR="004336FC"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5.6</w:t>
            </w:r>
          </w:p>
        </w:tc>
        <w:tc>
          <w:tcPr>
            <w:tcW w:w="0" w:type="auto"/>
          </w:tcPr>
          <w:p w14:paraId="4EDA5F16" w14:textId="77777777" w:rsidR="004336FC"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13.3</w:t>
            </w:r>
          </w:p>
        </w:tc>
        <w:tc>
          <w:tcPr>
            <w:tcW w:w="0" w:type="auto"/>
          </w:tcPr>
          <w:p w14:paraId="2A7EB39F" w14:textId="77777777" w:rsidR="004336FC"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0.51</w:t>
            </w:r>
          </w:p>
        </w:tc>
        <w:tc>
          <w:tcPr>
            <w:tcW w:w="0" w:type="auto"/>
          </w:tcPr>
          <w:p w14:paraId="59BDB26D" w14:textId="77777777" w:rsidR="004336FC"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0.187</w:t>
            </w:r>
          </w:p>
        </w:tc>
      </w:tr>
      <w:tr w:rsidR="004336FC" w:rsidRPr="005F1EE5" w14:paraId="3DD8E8C7" w14:textId="77777777" w:rsidTr="004336FC">
        <w:tc>
          <w:tcPr>
            <w:tcW w:w="0" w:type="auto"/>
          </w:tcPr>
          <w:p w14:paraId="1D090CF6" w14:textId="77777777" w:rsidR="004336FC" w:rsidRPr="00A86D02" w:rsidRDefault="004336FC" w:rsidP="000C1FE8">
            <w:pPr>
              <w:spacing w:before="0" w:after="0"/>
              <w:jc w:val="center"/>
              <w:rPr>
                <w:rFonts w:eastAsia="CIDFont+F4" w:cs="CIDFont+F4"/>
                <w:sz w:val="20"/>
                <w:szCs w:val="20"/>
                <w:lang w:val="sr-Latn-RS"/>
              </w:rPr>
            </w:pPr>
            <w:r>
              <w:rPr>
                <w:rFonts w:eastAsia="CIDFont+F4" w:cs="CIDFont+F4"/>
                <w:sz w:val="20"/>
                <w:szCs w:val="20"/>
                <w:lang w:val="sr-Latn-RS"/>
              </w:rPr>
              <w:t>MFV</w:t>
            </w:r>
          </w:p>
        </w:tc>
        <w:tc>
          <w:tcPr>
            <w:tcW w:w="0" w:type="auto"/>
          </w:tcPr>
          <w:p w14:paraId="7F42FCB9" w14:textId="77777777" w:rsidR="004336FC" w:rsidRDefault="004336FC" w:rsidP="000C1FE8">
            <w:pPr>
              <w:spacing w:before="0" w:after="0"/>
              <w:jc w:val="center"/>
              <w:rPr>
                <w:rFonts w:eastAsia="CIDFont+F4" w:cs="CIDFont+F4"/>
                <w:sz w:val="20"/>
                <w:szCs w:val="20"/>
                <w:lang w:val="sr-Latn-RS"/>
              </w:rPr>
            </w:pPr>
            <w:r>
              <w:rPr>
                <w:rFonts w:eastAsia="CIDFont+F4" w:cs="CIDFont+F4"/>
                <w:sz w:val="20"/>
                <w:szCs w:val="20"/>
                <w:lang w:val="sr-Latn-RS"/>
              </w:rPr>
              <w:t>385.30</w:t>
            </w:r>
          </w:p>
        </w:tc>
        <w:tc>
          <w:tcPr>
            <w:tcW w:w="0" w:type="auto"/>
          </w:tcPr>
          <w:p w14:paraId="47E650B9" w14:textId="77777777" w:rsidR="004336FC" w:rsidRDefault="004336FC" w:rsidP="000C1FE8">
            <w:pPr>
              <w:spacing w:before="0" w:after="0"/>
              <w:jc w:val="center"/>
              <w:rPr>
                <w:rFonts w:eastAsia="CIDFont+F4" w:cs="CIDFont+F4"/>
                <w:sz w:val="20"/>
                <w:szCs w:val="20"/>
                <w:lang w:val="sr-Latn-RS"/>
              </w:rPr>
            </w:pPr>
            <w:r>
              <w:rPr>
                <w:rFonts w:eastAsia="CIDFont+F4" w:cs="CIDFont+F4"/>
                <w:sz w:val="20"/>
                <w:szCs w:val="20"/>
                <w:lang w:val="sr-Latn-RS"/>
              </w:rPr>
              <w:t>175</w:t>
            </w:r>
          </w:p>
        </w:tc>
        <w:tc>
          <w:tcPr>
            <w:tcW w:w="0" w:type="auto"/>
          </w:tcPr>
          <w:p w14:paraId="69B3AB70" w14:textId="77777777" w:rsidR="004336FC" w:rsidRDefault="004336FC" w:rsidP="000C1FE8">
            <w:pPr>
              <w:spacing w:before="0" w:after="0"/>
              <w:jc w:val="center"/>
              <w:rPr>
                <w:rFonts w:eastAsia="CIDFont+F4" w:cs="CIDFont+F4"/>
                <w:sz w:val="20"/>
                <w:szCs w:val="20"/>
                <w:lang w:val="sr-Latn-RS"/>
              </w:rPr>
            </w:pPr>
            <w:r>
              <w:rPr>
                <w:rFonts w:eastAsia="CIDFont+F4" w:cs="CIDFont+F4"/>
                <w:sz w:val="20"/>
                <w:szCs w:val="20"/>
                <w:lang w:val="sr-Latn-RS"/>
              </w:rPr>
              <w:t>517.87</w:t>
            </w:r>
          </w:p>
        </w:tc>
        <w:tc>
          <w:tcPr>
            <w:tcW w:w="0" w:type="auto"/>
          </w:tcPr>
          <w:p w14:paraId="2CC4C68C" w14:textId="77777777" w:rsidR="004336FC" w:rsidRDefault="004336FC" w:rsidP="000C1FE8">
            <w:pPr>
              <w:spacing w:before="0" w:after="0"/>
              <w:jc w:val="center"/>
              <w:rPr>
                <w:rFonts w:eastAsia="CIDFont+F4" w:cs="CIDFont+F4"/>
                <w:sz w:val="20"/>
                <w:szCs w:val="20"/>
                <w:lang w:val="sr-Latn-RS"/>
              </w:rPr>
            </w:pPr>
            <w:r>
              <w:rPr>
                <w:rFonts w:eastAsia="CIDFont+F4" w:cs="CIDFont+F4"/>
                <w:sz w:val="20"/>
                <w:szCs w:val="20"/>
                <w:lang w:val="sr-Latn-RS"/>
              </w:rPr>
              <w:t>3.11</w:t>
            </w:r>
          </w:p>
        </w:tc>
        <w:tc>
          <w:tcPr>
            <w:tcW w:w="0" w:type="auto"/>
          </w:tcPr>
          <w:p w14:paraId="1401C10E" w14:textId="77777777" w:rsidR="004336FC" w:rsidRDefault="004336FC" w:rsidP="000C1FE8">
            <w:pPr>
              <w:spacing w:before="0" w:after="0"/>
              <w:jc w:val="center"/>
              <w:rPr>
                <w:rFonts w:eastAsia="CIDFont+F4" w:cs="CIDFont+F4"/>
                <w:sz w:val="20"/>
                <w:szCs w:val="20"/>
                <w:lang w:val="sr-Latn-RS"/>
              </w:rPr>
            </w:pPr>
            <w:r>
              <w:rPr>
                <w:rFonts w:eastAsia="CIDFont+F4" w:cs="CIDFont+F4"/>
                <w:sz w:val="20"/>
                <w:szCs w:val="20"/>
                <w:lang w:val="sr-Latn-RS"/>
              </w:rPr>
              <w:t>2.04</w:t>
            </w:r>
          </w:p>
        </w:tc>
        <w:tc>
          <w:tcPr>
            <w:tcW w:w="0" w:type="auto"/>
          </w:tcPr>
          <w:p w14:paraId="2257E18C" w14:textId="77777777" w:rsidR="004336FC" w:rsidRDefault="004336FC" w:rsidP="000C1FE8">
            <w:pPr>
              <w:spacing w:before="0" w:after="0"/>
              <w:jc w:val="center"/>
              <w:rPr>
                <w:rFonts w:eastAsia="CIDFont+F4" w:cs="CIDFont+F4"/>
                <w:sz w:val="20"/>
                <w:szCs w:val="20"/>
                <w:lang w:val="sr-Latn-RS"/>
              </w:rPr>
            </w:pPr>
            <w:r>
              <w:rPr>
                <w:rFonts w:eastAsia="CIDFont+F4" w:cs="CIDFont+F4"/>
                <w:sz w:val="20"/>
                <w:szCs w:val="20"/>
                <w:lang w:val="sr-Latn-RS"/>
              </w:rPr>
              <w:t>53</w:t>
            </w:r>
          </w:p>
        </w:tc>
        <w:tc>
          <w:tcPr>
            <w:tcW w:w="0" w:type="auto"/>
          </w:tcPr>
          <w:p w14:paraId="207478D3" w14:textId="77777777" w:rsidR="004336FC" w:rsidRDefault="004336FC" w:rsidP="000C1FE8">
            <w:pPr>
              <w:spacing w:before="0" w:after="0"/>
              <w:jc w:val="center"/>
              <w:rPr>
                <w:rFonts w:eastAsia="CIDFont+F4" w:cs="CIDFont+F4"/>
                <w:sz w:val="20"/>
                <w:szCs w:val="20"/>
                <w:lang w:val="sr-Latn-RS"/>
              </w:rPr>
            </w:pPr>
            <w:r>
              <w:rPr>
                <w:rFonts w:eastAsia="CIDFont+F4" w:cs="CIDFont+F4"/>
                <w:sz w:val="20"/>
                <w:szCs w:val="20"/>
                <w:lang w:val="sr-Latn-RS"/>
              </w:rPr>
              <w:t>2000</w:t>
            </w:r>
          </w:p>
        </w:tc>
        <w:tc>
          <w:tcPr>
            <w:tcW w:w="0" w:type="auto"/>
          </w:tcPr>
          <w:p w14:paraId="2F4BFCA3" w14:textId="77777777" w:rsidR="004336FC" w:rsidRDefault="004336FC" w:rsidP="000C1FE8">
            <w:pPr>
              <w:spacing w:before="0" w:after="0"/>
              <w:jc w:val="center"/>
              <w:rPr>
                <w:rFonts w:eastAsia="CIDFont+F4" w:cs="CIDFont+F4"/>
                <w:sz w:val="20"/>
                <w:szCs w:val="20"/>
                <w:lang w:val="sr-Latn-RS"/>
              </w:rPr>
            </w:pPr>
            <w:r>
              <w:rPr>
                <w:rFonts w:eastAsia="CIDFont+F4" w:cs="CIDFont+F4"/>
                <w:sz w:val="20"/>
                <w:szCs w:val="20"/>
                <w:lang w:val="sr-Latn-RS"/>
              </w:rPr>
              <w:t>5.32</w:t>
            </w:r>
          </w:p>
        </w:tc>
        <w:tc>
          <w:tcPr>
            <w:tcW w:w="0" w:type="auto"/>
          </w:tcPr>
          <w:p w14:paraId="1127C5B8" w14:textId="77777777" w:rsidR="004336FC" w:rsidRDefault="004336FC" w:rsidP="000C1FE8">
            <w:pPr>
              <w:spacing w:before="0" w:after="0"/>
              <w:jc w:val="center"/>
              <w:rPr>
                <w:rFonts w:eastAsia="CIDFont+F4" w:cs="CIDFont+F4"/>
                <w:sz w:val="20"/>
                <w:szCs w:val="20"/>
                <w:lang w:val="sr-Latn-RS"/>
              </w:rPr>
            </w:pPr>
            <w:r>
              <w:rPr>
                <w:rFonts w:eastAsia="CIDFont+F4" w:cs="CIDFont+F4"/>
                <w:sz w:val="20"/>
                <w:szCs w:val="20"/>
                <w:lang w:val="sr-Latn-RS"/>
              </w:rPr>
              <w:t>&lt;0.005</w:t>
            </w:r>
          </w:p>
        </w:tc>
      </w:tr>
      <w:tr w:rsidR="004336FC" w:rsidRPr="005F1EE5" w14:paraId="4CD3ADA5" w14:textId="77777777" w:rsidTr="0061649B">
        <w:tc>
          <w:tcPr>
            <w:tcW w:w="0" w:type="auto"/>
          </w:tcPr>
          <w:p w14:paraId="4566F854" w14:textId="77777777" w:rsidR="004336FC" w:rsidRPr="00A86D02"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MPPM</w:t>
            </w:r>
          </w:p>
        </w:tc>
        <w:tc>
          <w:tcPr>
            <w:tcW w:w="0" w:type="auto"/>
          </w:tcPr>
          <w:p w14:paraId="1A5186C9" w14:textId="77777777" w:rsidR="004336F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0.68</w:t>
            </w:r>
          </w:p>
        </w:tc>
        <w:tc>
          <w:tcPr>
            <w:tcW w:w="0" w:type="auto"/>
          </w:tcPr>
          <w:p w14:paraId="44AC7F72" w14:textId="77777777" w:rsidR="004336FC" w:rsidRPr="005F72B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0.3</w:t>
            </w:r>
          </w:p>
        </w:tc>
        <w:tc>
          <w:tcPr>
            <w:tcW w:w="0" w:type="auto"/>
          </w:tcPr>
          <w:p w14:paraId="28A21B9F" w14:textId="77777777" w:rsidR="004336FC" w:rsidRPr="00DC6B00"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0.845</w:t>
            </w:r>
          </w:p>
        </w:tc>
        <w:tc>
          <w:tcPr>
            <w:tcW w:w="0" w:type="auto"/>
          </w:tcPr>
          <w:p w14:paraId="6E0A691E" w14:textId="77777777" w:rsidR="004336F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6.58</w:t>
            </w:r>
          </w:p>
        </w:tc>
        <w:tc>
          <w:tcPr>
            <w:tcW w:w="0" w:type="auto"/>
          </w:tcPr>
          <w:p w14:paraId="206F933F" w14:textId="77777777" w:rsidR="004336F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2.43</w:t>
            </w:r>
          </w:p>
        </w:tc>
        <w:tc>
          <w:tcPr>
            <w:tcW w:w="0" w:type="auto"/>
          </w:tcPr>
          <w:p w14:paraId="7370885D" w14:textId="77777777" w:rsidR="004336F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0.04</w:t>
            </w:r>
          </w:p>
        </w:tc>
        <w:tc>
          <w:tcPr>
            <w:tcW w:w="0" w:type="auto"/>
          </w:tcPr>
          <w:p w14:paraId="3F2C45A1" w14:textId="77777777" w:rsidR="004336F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3.93</w:t>
            </w:r>
          </w:p>
        </w:tc>
        <w:tc>
          <w:tcPr>
            <w:tcW w:w="0" w:type="auto"/>
          </w:tcPr>
          <w:p w14:paraId="2078166B" w14:textId="77777777" w:rsidR="004336F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3.69</w:t>
            </w:r>
          </w:p>
        </w:tc>
        <w:tc>
          <w:tcPr>
            <w:tcW w:w="0" w:type="auto"/>
          </w:tcPr>
          <w:p w14:paraId="3A00D40C" w14:textId="77777777" w:rsidR="004336F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&lt;0.005</w:t>
            </w:r>
          </w:p>
        </w:tc>
      </w:tr>
      <w:tr w:rsidR="004336FC" w:rsidRPr="005F1EE5" w14:paraId="75797771" w14:textId="77777777" w:rsidTr="0061649B">
        <w:tc>
          <w:tcPr>
            <w:tcW w:w="0" w:type="auto"/>
          </w:tcPr>
          <w:p w14:paraId="6FB9723F" w14:textId="77777777" w:rsidR="004336FC" w:rsidRPr="00A86D02"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MTBF</w:t>
            </w:r>
          </w:p>
        </w:tc>
        <w:tc>
          <w:tcPr>
            <w:tcW w:w="0" w:type="auto"/>
          </w:tcPr>
          <w:p w14:paraId="3860DCE3" w14:textId="77777777" w:rsidR="004336F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1381.5</w:t>
            </w:r>
          </w:p>
        </w:tc>
        <w:tc>
          <w:tcPr>
            <w:tcW w:w="0" w:type="auto"/>
          </w:tcPr>
          <w:p w14:paraId="7706CFFF" w14:textId="77777777" w:rsidR="004336FC" w:rsidRPr="005F72B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1423.0</w:t>
            </w:r>
          </w:p>
        </w:tc>
        <w:tc>
          <w:tcPr>
            <w:tcW w:w="0" w:type="auto"/>
          </w:tcPr>
          <w:p w14:paraId="5B665A2D" w14:textId="77777777" w:rsidR="004336FC" w:rsidRPr="00DC6B00"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382.9</w:t>
            </w:r>
          </w:p>
        </w:tc>
        <w:tc>
          <w:tcPr>
            <w:tcW w:w="0" w:type="auto"/>
          </w:tcPr>
          <w:p w14:paraId="009E69F6" w14:textId="77777777" w:rsidR="004336F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-0.66</w:t>
            </w:r>
          </w:p>
        </w:tc>
        <w:tc>
          <w:tcPr>
            <w:tcW w:w="0" w:type="auto"/>
          </w:tcPr>
          <w:p w14:paraId="5853AE46" w14:textId="77777777" w:rsidR="004336F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0.09</w:t>
            </w:r>
          </w:p>
        </w:tc>
        <w:tc>
          <w:tcPr>
            <w:tcW w:w="0" w:type="auto"/>
          </w:tcPr>
          <w:p w14:paraId="1D519E35" w14:textId="77777777" w:rsidR="004336F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635</w:t>
            </w:r>
          </w:p>
        </w:tc>
        <w:tc>
          <w:tcPr>
            <w:tcW w:w="0" w:type="auto"/>
          </w:tcPr>
          <w:p w14:paraId="5F2F0FF9" w14:textId="77777777" w:rsidR="004336F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2262</w:t>
            </w:r>
          </w:p>
        </w:tc>
        <w:tc>
          <w:tcPr>
            <w:tcW w:w="0" w:type="auto"/>
          </w:tcPr>
          <w:p w14:paraId="2B84B08E" w14:textId="77777777" w:rsidR="004336F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0.32</w:t>
            </w:r>
          </w:p>
        </w:tc>
        <w:tc>
          <w:tcPr>
            <w:tcW w:w="0" w:type="auto"/>
          </w:tcPr>
          <w:p w14:paraId="1C75FD0C" w14:textId="77777777" w:rsidR="004336F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0.516</w:t>
            </w:r>
          </w:p>
        </w:tc>
      </w:tr>
      <w:tr w:rsidR="004336FC" w:rsidRPr="005F1EE5" w14:paraId="3329FCAF" w14:textId="77777777" w:rsidTr="0061649B">
        <w:tc>
          <w:tcPr>
            <w:tcW w:w="0" w:type="auto"/>
          </w:tcPr>
          <w:p w14:paraId="4FE83232" w14:textId="77777777" w:rsidR="004336FC" w:rsidRPr="00A86D02"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NWF</w:t>
            </w:r>
          </w:p>
        </w:tc>
        <w:tc>
          <w:tcPr>
            <w:tcW w:w="0" w:type="auto"/>
          </w:tcPr>
          <w:p w14:paraId="19DA83A7" w14:textId="77777777" w:rsidR="004336FC"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52.3</w:t>
            </w:r>
          </w:p>
        </w:tc>
        <w:tc>
          <w:tcPr>
            <w:tcW w:w="0" w:type="auto"/>
          </w:tcPr>
          <w:p w14:paraId="6EF96F30" w14:textId="77777777" w:rsidR="004336FC" w:rsidRPr="005F72BC"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38</w:t>
            </w:r>
          </w:p>
        </w:tc>
        <w:tc>
          <w:tcPr>
            <w:tcW w:w="0" w:type="auto"/>
          </w:tcPr>
          <w:p w14:paraId="722B7640" w14:textId="77777777" w:rsidR="004336FC" w:rsidRPr="00DC6B00"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32.74</w:t>
            </w:r>
          </w:p>
        </w:tc>
        <w:tc>
          <w:tcPr>
            <w:tcW w:w="0" w:type="auto"/>
          </w:tcPr>
          <w:p w14:paraId="08647229" w14:textId="77777777" w:rsidR="004336FC"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.020</w:t>
            </w:r>
          </w:p>
        </w:tc>
        <w:tc>
          <w:tcPr>
            <w:tcW w:w="0" w:type="auto"/>
          </w:tcPr>
          <w:p w14:paraId="107C3A95" w14:textId="77777777" w:rsidR="004336FC"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0.91</w:t>
            </w:r>
          </w:p>
        </w:tc>
        <w:tc>
          <w:tcPr>
            <w:tcW w:w="0" w:type="auto"/>
          </w:tcPr>
          <w:p w14:paraId="08E015A3" w14:textId="77777777" w:rsidR="004336FC"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10</w:t>
            </w:r>
          </w:p>
        </w:tc>
        <w:tc>
          <w:tcPr>
            <w:tcW w:w="0" w:type="auto"/>
          </w:tcPr>
          <w:p w14:paraId="17AAC7D6" w14:textId="77777777" w:rsidR="004336FC"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130.5</w:t>
            </w:r>
          </w:p>
        </w:tc>
        <w:tc>
          <w:tcPr>
            <w:tcW w:w="0" w:type="auto"/>
          </w:tcPr>
          <w:p w14:paraId="0DC12A5F" w14:textId="77777777" w:rsidR="004336FC"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1.68</w:t>
            </w:r>
          </w:p>
        </w:tc>
        <w:tc>
          <w:tcPr>
            <w:tcW w:w="0" w:type="auto"/>
          </w:tcPr>
          <w:p w14:paraId="468338E1" w14:textId="77777777" w:rsidR="004336FC"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&lt;0.005</w:t>
            </w:r>
          </w:p>
        </w:tc>
      </w:tr>
      <w:tr w:rsidR="004336FC" w:rsidRPr="005F1EE5" w14:paraId="159295F1" w14:textId="77777777" w:rsidTr="0061649B">
        <w:tc>
          <w:tcPr>
            <w:tcW w:w="0" w:type="auto"/>
          </w:tcPr>
          <w:p w14:paraId="6CCFA375" w14:textId="77777777" w:rsidR="004336FC" w:rsidRPr="00A86D02"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NWP</w:t>
            </w:r>
          </w:p>
        </w:tc>
        <w:tc>
          <w:tcPr>
            <w:tcW w:w="0" w:type="auto"/>
          </w:tcPr>
          <w:p w14:paraId="74BEB031" w14:textId="77777777" w:rsidR="004336FC" w:rsidRPr="005F1EE5"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145.21</w:t>
            </w:r>
          </w:p>
        </w:tc>
        <w:tc>
          <w:tcPr>
            <w:tcW w:w="0" w:type="auto"/>
          </w:tcPr>
          <w:p w14:paraId="527A4F32" w14:textId="77777777" w:rsidR="004336FC" w:rsidRPr="005F1EE5"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114.33</w:t>
            </w:r>
          </w:p>
        </w:tc>
        <w:tc>
          <w:tcPr>
            <w:tcW w:w="0" w:type="auto"/>
          </w:tcPr>
          <w:p w14:paraId="393D13B2" w14:textId="77777777" w:rsidR="004336FC" w:rsidRPr="005F1EE5"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84.2</w:t>
            </w:r>
          </w:p>
        </w:tc>
        <w:tc>
          <w:tcPr>
            <w:tcW w:w="0" w:type="auto"/>
          </w:tcPr>
          <w:p w14:paraId="77296808" w14:textId="77777777" w:rsidR="004336FC" w:rsidRPr="005F1EE5"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14.73</w:t>
            </w:r>
          </w:p>
        </w:tc>
        <w:tc>
          <w:tcPr>
            <w:tcW w:w="0" w:type="auto"/>
          </w:tcPr>
          <w:p w14:paraId="0A88E8FB" w14:textId="77777777" w:rsidR="004336FC" w:rsidRPr="005F1EE5"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3.26</w:t>
            </w:r>
          </w:p>
        </w:tc>
        <w:tc>
          <w:tcPr>
            <w:tcW w:w="0" w:type="auto"/>
          </w:tcPr>
          <w:p w14:paraId="415E9237" w14:textId="77777777" w:rsidR="004336FC" w:rsidRPr="005F1EE5"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65</w:t>
            </w:r>
          </w:p>
        </w:tc>
        <w:tc>
          <w:tcPr>
            <w:tcW w:w="0" w:type="auto"/>
          </w:tcPr>
          <w:p w14:paraId="641C2830" w14:textId="77777777" w:rsidR="004336FC" w:rsidRPr="005F1EE5"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550.5</w:t>
            </w:r>
          </w:p>
        </w:tc>
        <w:tc>
          <w:tcPr>
            <w:tcW w:w="0" w:type="auto"/>
          </w:tcPr>
          <w:p w14:paraId="273E9BF8" w14:textId="77777777" w:rsidR="004336FC" w:rsidRPr="005F1EE5"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3.00</w:t>
            </w:r>
          </w:p>
        </w:tc>
        <w:tc>
          <w:tcPr>
            <w:tcW w:w="0" w:type="auto"/>
          </w:tcPr>
          <w:p w14:paraId="27F24D77" w14:textId="77777777" w:rsidR="004336FC" w:rsidRPr="005F1EE5" w:rsidRDefault="004336FC" w:rsidP="00D51694">
            <w:pPr>
              <w:spacing w:before="0" w:after="0"/>
              <w:jc w:val="center"/>
              <w:rPr>
                <w:rFonts w:eastAsia="CIDFont+F4" w:cs="CIDFont+F4"/>
                <w:sz w:val="20"/>
                <w:szCs w:val="20"/>
                <w:lang w:val="sr-Latn-RS"/>
              </w:rPr>
            </w:pPr>
            <w:r>
              <w:rPr>
                <w:rFonts w:eastAsia="CIDFont+F4" w:cs="CIDFont+F4"/>
                <w:sz w:val="20"/>
                <w:szCs w:val="20"/>
                <w:lang w:val="sr-Latn-RS"/>
              </w:rPr>
              <w:t>&lt;0.005</w:t>
            </w:r>
          </w:p>
        </w:tc>
      </w:tr>
      <w:tr w:rsidR="004336FC" w:rsidRPr="005F1EE5" w14:paraId="14B5F52D" w14:textId="77777777" w:rsidTr="0061649B">
        <w:tc>
          <w:tcPr>
            <w:tcW w:w="0" w:type="auto"/>
          </w:tcPr>
          <w:p w14:paraId="338EEB82" w14:textId="77777777" w:rsidR="004336FC" w:rsidRPr="00A86D02"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PCM</w:t>
            </w:r>
          </w:p>
        </w:tc>
        <w:tc>
          <w:tcPr>
            <w:tcW w:w="0" w:type="auto"/>
          </w:tcPr>
          <w:p w14:paraId="0CEDB378" w14:textId="77777777" w:rsidR="004336F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17.20</w:t>
            </w:r>
          </w:p>
        </w:tc>
        <w:tc>
          <w:tcPr>
            <w:tcW w:w="0" w:type="auto"/>
          </w:tcPr>
          <w:p w14:paraId="160AC2E3" w14:textId="77777777" w:rsidR="004336FC" w:rsidRPr="005F72B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10.75</w:t>
            </w:r>
          </w:p>
        </w:tc>
        <w:tc>
          <w:tcPr>
            <w:tcW w:w="0" w:type="auto"/>
          </w:tcPr>
          <w:p w14:paraId="35E32C19" w14:textId="77777777" w:rsidR="004336FC" w:rsidRPr="00DC6B00"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20.07</w:t>
            </w:r>
          </w:p>
        </w:tc>
        <w:tc>
          <w:tcPr>
            <w:tcW w:w="0" w:type="auto"/>
          </w:tcPr>
          <w:p w14:paraId="671F864F" w14:textId="77777777" w:rsidR="004336F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9.99</w:t>
            </w:r>
          </w:p>
        </w:tc>
        <w:tc>
          <w:tcPr>
            <w:tcW w:w="0" w:type="auto"/>
          </w:tcPr>
          <w:p w14:paraId="3F706CA0" w14:textId="77777777" w:rsidR="004336F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2.90</w:t>
            </w:r>
          </w:p>
        </w:tc>
        <w:tc>
          <w:tcPr>
            <w:tcW w:w="0" w:type="auto"/>
          </w:tcPr>
          <w:p w14:paraId="57040D7E" w14:textId="77777777" w:rsidR="004336F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1.26</w:t>
            </w:r>
          </w:p>
        </w:tc>
        <w:tc>
          <w:tcPr>
            <w:tcW w:w="0" w:type="auto"/>
          </w:tcPr>
          <w:p w14:paraId="51866CAB" w14:textId="77777777" w:rsidR="004336F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104.02</w:t>
            </w:r>
          </w:p>
        </w:tc>
        <w:tc>
          <w:tcPr>
            <w:tcW w:w="0" w:type="auto"/>
          </w:tcPr>
          <w:p w14:paraId="2D03CA6B" w14:textId="77777777" w:rsidR="004336F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3.71</w:t>
            </w:r>
          </w:p>
        </w:tc>
        <w:tc>
          <w:tcPr>
            <w:tcW w:w="0" w:type="auto"/>
          </w:tcPr>
          <w:p w14:paraId="05792CBD" w14:textId="77777777" w:rsidR="004336FC" w:rsidRDefault="004336FC" w:rsidP="00B01E93">
            <w:pPr>
              <w:spacing w:before="0" w:after="0"/>
              <w:jc w:val="center"/>
              <w:rPr>
                <w:rFonts w:eastAsia="CIDFont+F4" w:cs="CIDFont+F4"/>
                <w:sz w:val="20"/>
                <w:szCs w:val="20"/>
                <w:lang w:val="sr-Latn-RS"/>
              </w:rPr>
            </w:pPr>
            <w:r>
              <w:rPr>
                <w:rFonts w:eastAsia="CIDFont+F4" w:cs="CIDFont+F4"/>
                <w:sz w:val="20"/>
                <w:szCs w:val="20"/>
                <w:lang w:val="sr-Latn-RS"/>
              </w:rPr>
              <w:t>&lt;0.005</w:t>
            </w:r>
          </w:p>
        </w:tc>
      </w:tr>
      <w:tr w:rsidR="004336FC" w:rsidRPr="005F1EE5" w14:paraId="4C6A5785" w14:textId="77777777" w:rsidTr="0061649B">
        <w:tc>
          <w:tcPr>
            <w:tcW w:w="0" w:type="auto"/>
          </w:tcPr>
          <w:p w14:paraId="238B80C3" w14:textId="77777777" w:rsidR="004336FC" w:rsidRDefault="004336FC" w:rsidP="000C1FE8">
            <w:pPr>
              <w:spacing w:before="0" w:after="0"/>
              <w:jc w:val="center"/>
              <w:rPr>
                <w:rFonts w:eastAsia="CIDFont+F4" w:cs="CIDFont+F4"/>
                <w:sz w:val="20"/>
                <w:szCs w:val="20"/>
                <w:lang w:val="sr-Latn-RS"/>
              </w:rPr>
            </w:pPr>
            <w:r>
              <w:rPr>
                <w:rFonts w:eastAsia="CIDFont+F4" w:cs="CIDFont+F4"/>
                <w:sz w:val="20"/>
                <w:szCs w:val="20"/>
                <w:lang w:val="sr-Latn-RS"/>
              </w:rPr>
              <w:t>TTCOC</w:t>
            </w:r>
          </w:p>
        </w:tc>
        <w:tc>
          <w:tcPr>
            <w:tcW w:w="0" w:type="auto"/>
          </w:tcPr>
          <w:p w14:paraId="39D78245" w14:textId="77777777" w:rsidR="004336FC" w:rsidRDefault="004336FC" w:rsidP="000C1FE8">
            <w:pPr>
              <w:spacing w:before="0" w:after="0"/>
              <w:jc w:val="center"/>
              <w:rPr>
                <w:rFonts w:eastAsia="CIDFont+F4" w:cs="CIDFont+F4"/>
                <w:sz w:val="20"/>
                <w:szCs w:val="20"/>
                <w:lang w:val="sr-Latn-RS"/>
              </w:rPr>
            </w:pPr>
            <w:r>
              <w:rPr>
                <w:rFonts w:eastAsia="CIDFont+F4" w:cs="CIDFont+F4"/>
                <w:sz w:val="20"/>
                <w:szCs w:val="20"/>
                <w:lang w:val="sr-Latn-RS"/>
              </w:rPr>
              <w:t>2672.4</w:t>
            </w:r>
          </w:p>
        </w:tc>
        <w:tc>
          <w:tcPr>
            <w:tcW w:w="0" w:type="auto"/>
          </w:tcPr>
          <w:p w14:paraId="1BAD6B35" w14:textId="77777777" w:rsidR="004336FC" w:rsidRDefault="004336FC" w:rsidP="000C1FE8">
            <w:pPr>
              <w:spacing w:before="0" w:after="0"/>
              <w:jc w:val="center"/>
              <w:rPr>
                <w:rFonts w:eastAsia="CIDFont+F4" w:cs="CIDFont+F4"/>
                <w:sz w:val="20"/>
                <w:szCs w:val="20"/>
                <w:lang w:val="sr-Latn-RS"/>
              </w:rPr>
            </w:pPr>
            <w:r>
              <w:rPr>
                <w:rFonts w:eastAsia="CIDFont+F4" w:cs="CIDFont+F4"/>
                <w:sz w:val="20"/>
                <w:szCs w:val="20"/>
                <w:lang w:val="sr-Latn-RS"/>
              </w:rPr>
              <w:t>1800</w:t>
            </w:r>
          </w:p>
        </w:tc>
        <w:tc>
          <w:tcPr>
            <w:tcW w:w="0" w:type="auto"/>
          </w:tcPr>
          <w:p w14:paraId="66F6976F" w14:textId="77777777" w:rsidR="004336FC" w:rsidRDefault="004336FC" w:rsidP="000C1FE8">
            <w:pPr>
              <w:spacing w:before="0" w:after="0"/>
              <w:jc w:val="center"/>
              <w:rPr>
                <w:rFonts w:eastAsia="CIDFont+F4" w:cs="CIDFont+F4"/>
                <w:sz w:val="20"/>
                <w:szCs w:val="20"/>
                <w:lang w:val="sr-Latn-RS"/>
              </w:rPr>
            </w:pPr>
            <w:r>
              <w:rPr>
                <w:rFonts w:eastAsia="CIDFont+F4" w:cs="CIDFont+F4"/>
                <w:sz w:val="20"/>
                <w:szCs w:val="20"/>
                <w:lang w:val="sr-Latn-RS"/>
              </w:rPr>
              <w:t>2147.2</w:t>
            </w:r>
          </w:p>
        </w:tc>
        <w:tc>
          <w:tcPr>
            <w:tcW w:w="0" w:type="auto"/>
          </w:tcPr>
          <w:p w14:paraId="1D1C6C98" w14:textId="77777777" w:rsidR="004336FC" w:rsidRDefault="004336FC" w:rsidP="000C1FE8">
            <w:pPr>
              <w:spacing w:before="0" w:after="0"/>
              <w:jc w:val="center"/>
              <w:rPr>
                <w:rFonts w:eastAsia="CIDFont+F4" w:cs="CIDFont+F4"/>
                <w:sz w:val="20"/>
                <w:szCs w:val="20"/>
                <w:lang w:val="sr-Latn-RS"/>
              </w:rPr>
            </w:pPr>
            <w:r>
              <w:rPr>
                <w:rFonts w:eastAsia="CIDFont+F4" w:cs="CIDFont+F4"/>
                <w:sz w:val="20"/>
                <w:szCs w:val="20"/>
                <w:lang w:val="sr-Latn-RS"/>
              </w:rPr>
              <w:t>2.67</w:t>
            </w:r>
          </w:p>
        </w:tc>
        <w:tc>
          <w:tcPr>
            <w:tcW w:w="0" w:type="auto"/>
          </w:tcPr>
          <w:p w14:paraId="667ED2F1" w14:textId="77777777" w:rsidR="004336FC" w:rsidRDefault="004336FC" w:rsidP="000C1FE8">
            <w:pPr>
              <w:spacing w:before="0" w:after="0"/>
              <w:jc w:val="center"/>
              <w:rPr>
                <w:rFonts w:eastAsia="CIDFont+F4" w:cs="CIDFont+F4"/>
                <w:sz w:val="20"/>
                <w:szCs w:val="20"/>
                <w:lang w:val="sr-Latn-RS"/>
              </w:rPr>
            </w:pPr>
            <w:r>
              <w:rPr>
                <w:rFonts w:eastAsia="CIDFont+F4" w:cs="CIDFont+F4"/>
                <w:sz w:val="20"/>
                <w:szCs w:val="20"/>
                <w:lang w:val="sr-Latn-RS"/>
              </w:rPr>
              <w:t>1.76</w:t>
            </w:r>
          </w:p>
        </w:tc>
        <w:tc>
          <w:tcPr>
            <w:tcW w:w="0" w:type="auto"/>
          </w:tcPr>
          <w:p w14:paraId="2A6F4B95" w14:textId="77777777" w:rsidR="004336FC" w:rsidRDefault="004336FC" w:rsidP="000C1FE8">
            <w:pPr>
              <w:spacing w:before="0" w:after="0"/>
              <w:jc w:val="center"/>
              <w:rPr>
                <w:rFonts w:eastAsia="CIDFont+F4" w:cs="CIDFont+F4"/>
                <w:sz w:val="20"/>
                <w:szCs w:val="20"/>
                <w:lang w:val="sr-Latn-RS"/>
              </w:rPr>
            </w:pPr>
            <w:r>
              <w:rPr>
                <w:rFonts w:eastAsia="CIDFont+F4" w:cs="CIDFont+F4"/>
                <w:sz w:val="20"/>
                <w:szCs w:val="20"/>
                <w:lang w:val="sr-Latn-RS"/>
              </w:rPr>
              <w:t>620</w:t>
            </w:r>
          </w:p>
        </w:tc>
        <w:tc>
          <w:tcPr>
            <w:tcW w:w="0" w:type="auto"/>
          </w:tcPr>
          <w:p w14:paraId="0AB3596A" w14:textId="77777777" w:rsidR="004336FC" w:rsidRDefault="004336FC" w:rsidP="000C1FE8">
            <w:pPr>
              <w:spacing w:before="0" w:after="0"/>
              <w:jc w:val="center"/>
              <w:rPr>
                <w:rFonts w:eastAsia="CIDFont+F4" w:cs="CIDFont+F4"/>
                <w:sz w:val="20"/>
                <w:szCs w:val="20"/>
                <w:lang w:val="sr-Latn-RS"/>
              </w:rPr>
            </w:pPr>
            <w:r>
              <w:rPr>
                <w:rFonts w:eastAsia="CIDFont+F4" w:cs="CIDFont+F4"/>
                <w:sz w:val="20"/>
                <w:szCs w:val="20"/>
                <w:lang w:val="sr-Latn-RS"/>
              </w:rPr>
              <w:t>8640</w:t>
            </w:r>
          </w:p>
        </w:tc>
        <w:tc>
          <w:tcPr>
            <w:tcW w:w="0" w:type="auto"/>
          </w:tcPr>
          <w:p w14:paraId="1D79F986" w14:textId="77777777" w:rsidR="004336FC" w:rsidRDefault="004336FC" w:rsidP="000C1FE8">
            <w:pPr>
              <w:spacing w:before="0" w:after="0"/>
              <w:jc w:val="center"/>
              <w:rPr>
                <w:rFonts w:eastAsia="CIDFont+F4" w:cs="CIDFont+F4"/>
                <w:sz w:val="20"/>
                <w:szCs w:val="20"/>
                <w:lang w:val="sr-Latn-RS"/>
              </w:rPr>
            </w:pPr>
            <w:r>
              <w:rPr>
                <w:rFonts w:eastAsia="CIDFont+F4" w:cs="CIDFont+F4"/>
                <w:sz w:val="20"/>
                <w:szCs w:val="20"/>
                <w:lang w:val="sr-Latn-RS"/>
              </w:rPr>
              <w:t>3.63</w:t>
            </w:r>
          </w:p>
        </w:tc>
        <w:tc>
          <w:tcPr>
            <w:tcW w:w="0" w:type="auto"/>
          </w:tcPr>
          <w:p w14:paraId="6B663E21" w14:textId="77777777" w:rsidR="004336FC" w:rsidRDefault="004336FC" w:rsidP="000C1FE8">
            <w:pPr>
              <w:spacing w:before="0" w:after="0"/>
              <w:jc w:val="center"/>
              <w:rPr>
                <w:rFonts w:eastAsia="CIDFont+F4" w:cs="CIDFont+F4"/>
                <w:sz w:val="20"/>
                <w:szCs w:val="20"/>
                <w:lang w:val="sr-Latn-RS"/>
              </w:rPr>
            </w:pPr>
            <w:r>
              <w:rPr>
                <w:rFonts w:eastAsia="CIDFont+F4" w:cs="CIDFont+F4"/>
                <w:sz w:val="20"/>
                <w:szCs w:val="20"/>
                <w:lang w:val="sr-Latn-RS"/>
              </w:rPr>
              <w:t>&lt;0.005</w:t>
            </w:r>
          </w:p>
        </w:tc>
      </w:tr>
      <w:tr w:rsidR="004336FC" w:rsidRPr="005F1EE5" w14:paraId="6030A042" w14:textId="77777777" w:rsidTr="004336FC">
        <w:tc>
          <w:tcPr>
            <w:tcW w:w="0" w:type="auto"/>
            <w:tcBorders>
              <w:bottom w:val="single" w:sz="4" w:space="0" w:color="auto"/>
            </w:tcBorders>
          </w:tcPr>
          <w:p w14:paraId="26AC79EF" w14:textId="77777777" w:rsidR="004336FC" w:rsidRDefault="004336FC" w:rsidP="000C1FE8">
            <w:pPr>
              <w:spacing w:before="0" w:after="0"/>
              <w:jc w:val="center"/>
              <w:rPr>
                <w:rFonts w:eastAsia="CIDFont+F4" w:cs="CIDFont+F4"/>
                <w:sz w:val="20"/>
                <w:szCs w:val="20"/>
                <w:lang w:val="sr-Latn-RS"/>
              </w:rPr>
            </w:pPr>
            <w:r>
              <w:rPr>
                <w:rFonts w:eastAsia="CIDFont+F4" w:cs="CIDFont+F4"/>
                <w:sz w:val="20"/>
                <w:szCs w:val="20"/>
                <w:lang w:val="sr-Latn-RS"/>
              </w:rPr>
              <w:t>TTOR</w:t>
            </w:r>
          </w:p>
        </w:tc>
        <w:tc>
          <w:tcPr>
            <w:tcW w:w="0" w:type="auto"/>
            <w:tcBorders>
              <w:bottom w:val="single" w:sz="4" w:space="0" w:color="auto"/>
            </w:tcBorders>
          </w:tcPr>
          <w:p w14:paraId="41CE9FE3" w14:textId="77777777" w:rsidR="004336FC" w:rsidRDefault="004336FC" w:rsidP="000C1FE8">
            <w:pPr>
              <w:spacing w:before="0" w:after="0"/>
              <w:jc w:val="center"/>
              <w:rPr>
                <w:rFonts w:eastAsia="CIDFont+F4" w:cs="CIDFont+F4"/>
                <w:sz w:val="20"/>
                <w:szCs w:val="20"/>
                <w:lang w:val="sr-Latn-RS"/>
              </w:rPr>
            </w:pPr>
            <w:r>
              <w:rPr>
                <w:rFonts w:eastAsia="CIDFont+F4" w:cs="CIDFont+F4"/>
                <w:sz w:val="20"/>
                <w:szCs w:val="20"/>
                <w:lang w:val="sr-Latn-RS"/>
              </w:rPr>
              <w:t>166.80</w:t>
            </w:r>
          </w:p>
        </w:tc>
        <w:tc>
          <w:tcPr>
            <w:tcW w:w="0" w:type="auto"/>
            <w:tcBorders>
              <w:bottom w:val="single" w:sz="4" w:space="0" w:color="auto"/>
            </w:tcBorders>
          </w:tcPr>
          <w:p w14:paraId="2ED8AE0B" w14:textId="77777777" w:rsidR="004336FC" w:rsidRDefault="004336FC" w:rsidP="000C1FE8">
            <w:pPr>
              <w:spacing w:before="0" w:after="0"/>
              <w:jc w:val="center"/>
              <w:rPr>
                <w:rFonts w:eastAsia="CIDFont+F4" w:cs="CIDFont+F4"/>
                <w:sz w:val="20"/>
                <w:szCs w:val="20"/>
                <w:lang w:val="sr-Latn-RS"/>
              </w:rPr>
            </w:pPr>
            <w:r>
              <w:rPr>
                <w:rFonts w:eastAsia="CIDFont+F4" w:cs="CIDFont+F4"/>
                <w:sz w:val="20"/>
                <w:szCs w:val="20"/>
                <w:lang w:val="sr-Latn-RS"/>
              </w:rPr>
              <w:t>91</w:t>
            </w:r>
          </w:p>
        </w:tc>
        <w:tc>
          <w:tcPr>
            <w:tcW w:w="0" w:type="auto"/>
            <w:tcBorders>
              <w:bottom w:val="single" w:sz="4" w:space="0" w:color="auto"/>
            </w:tcBorders>
          </w:tcPr>
          <w:p w14:paraId="4999A906" w14:textId="77777777" w:rsidR="004336FC" w:rsidRDefault="004336FC" w:rsidP="000C1FE8">
            <w:pPr>
              <w:spacing w:before="0" w:after="0"/>
              <w:jc w:val="center"/>
              <w:rPr>
                <w:rFonts w:eastAsia="CIDFont+F4" w:cs="CIDFont+F4"/>
                <w:sz w:val="20"/>
                <w:szCs w:val="20"/>
                <w:lang w:val="sr-Latn-RS"/>
              </w:rPr>
            </w:pPr>
            <w:r>
              <w:rPr>
                <w:rFonts w:eastAsia="CIDFont+F4" w:cs="CIDFont+F4"/>
                <w:sz w:val="20"/>
                <w:szCs w:val="20"/>
                <w:lang w:val="sr-Latn-RS"/>
              </w:rPr>
              <w:t>171.04</w:t>
            </w:r>
          </w:p>
        </w:tc>
        <w:tc>
          <w:tcPr>
            <w:tcW w:w="0" w:type="auto"/>
            <w:tcBorders>
              <w:bottom w:val="single" w:sz="4" w:space="0" w:color="auto"/>
            </w:tcBorders>
          </w:tcPr>
          <w:p w14:paraId="26F61A88" w14:textId="77777777" w:rsidR="004336FC" w:rsidRDefault="004336FC" w:rsidP="000C1FE8">
            <w:pPr>
              <w:spacing w:before="0" w:after="0"/>
              <w:jc w:val="center"/>
              <w:rPr>
                <w:rFonts w:eastAsia="CIDFont+F4" w:cs="CIDFont+F4"/>
                <w:sz w:val="20"/>
                <w:szCs w:val="20"/>
                <w:lang w:val="sr-Latn-RS"/>
              </w:rPr>
            </w:pPr>
            <w:r>
              <w:rPr>
                <w:rFonts w:eastAsia="CIDFont+F4" w:cs="CIDFont+F4"/>
                <w:sz w:val="20"/>
                <w:szCs w:val="20"/>
                <w:lang w:val="sr-Latn-RS"/>
              </w:rPr>
              <w:t>3.47</w:t>
            </w:r>
          </w:p>
        </w:tc>
        <w:tc>
          <w:tcPr>
            <w:tcW w:w="0" w:type="auto"/>
            <w:tcBorders>
              <w:bottom w:val="single" w:sz="4" w:space="0" w:color="auto"/>
            </w:tcBorders>
          </w:tcPr>
          <w:p w14:paraId="4A649498" w14:textId="77777777" w:rsidR="004336FC" w:rsidRDefault="004336FC" w:rsidP="000C1FE8">
            <w:pPr>
              <w:spacing w:before="0" w:after="0"/>
              <w:jc w:val="center"/>
              <w:rPr>
                <w:rFonts w:eastAsia="CIDFont+F4" w:cs="CIDFont+F4"/>
                <w:sz w:val="20"/>
                <w:szCs w:val="20"/>
                <w:lang w:val="sr-Latn-RS"/>
              </w:rPr>
            </w:pPr>
            <w:r>
              <w:rPr>
                <w:rFonts w:eastAsia="CIDFont+F4" w:cs="CIDFont+F4"/>
                <w:sz w:val="20"/>
                <w:szCs w:val="20"/>
                <w:lang w:val="sr-Latn-RS"/>
              </w:rPr>
              <w:t>1.91</w:t>
            </w:r>
          </w:p>
        </w:tc>
        <w:tc>
          <w:tcPr>
            <w:tcW w:w="0" w:type="auto"/>
            <w:tcBorders>
              <w:bottom w:val="single" w:sz="4" w:space="0" w:color="auto"/>
            </w:tcBorders>
          </w:tcPr>
          <w:p w14:paraId="0FA5661C" w14:textId="77777777" w:rsidR="004336FC" w:rsidRDefault="004336FC" w:rsidP="000C1FE8">
            <w:pPr>
              <w:spacing w:before="0" w:after="0"/>
              <w:jc w:val="center"/>
              <w:rPr>
                <w:rFonts w:eastAsia="CIDFont+F4" w:cs="CIDFont+F4"/>
                <w:sz w:val="20"/>
                <w:szCs w:val="20"/>
                <w:lang w:val="sr-Latn-RS"/>
              </w:rPr>
            </w:pPr>
            <w:r>
              <w:rPr>
                <w:rFonts w:eastAsia="CIDFont+F4" w:cs="CIDFont+F4"/>
                <w:sz w:val="20"/>
                <w:szCs w:val="20"/>
                <w:lang w:val="sr-Latn-RS"/>
              </w:rPr>
              <w:t>250</w:t>
            </w:r>
          </w:p>
        </w:tc>
        <w:tc>
          <w:tcPr>
            <w:tcW w:w="0" w:type="auto"/>
            <w:tcBorders>
              <w:bottom w:val="single" w:sz="4" w:space="0" w:color="auto"/>
            </w:tcBorders>
          </w:tcPr>
          <w:p w14:paraId="574B004F" w14:textId="77777777" w:rsidR="004336FC" w:rsidRDefault="004336FC" w:rsidP="000C1FE8">
            <w:pPr>
              <w:spacing w:before="0" w:after="0"/>
              <w:jc w:val="center"/>
              <w:rPr>
                <w:rFonts w:eastAsia="CIDFont+F4" w:cs="CIDFont+F4"/>
                <w:sz w:val="20"/>
                <w:szCs w:val="20"/>
                <w:lang w:val="sr-Latn-RS"/>
              </w:rPr>
            </w:pPr>
            <w:r>
              <w:rPr>
                <w:rFonts w:eastAsia="CIDFont+F4" w:cs="CIDFont+F4"/>
                <w:sz w:val="20"/>
                <w:szCs w:val="20"/>
                <w:lang w:val="sr-Latn-RS"/>
              </w:rPr>
              <w:t>739</w:t>
            </w:r>
          </w:p>
        </w:tc>
        <w:tc>
          <w:tcPr>
            <w:tcW w:w="0" w:type="auto"/>
            <w:tcBorders>
              <w:bottom w:val="single" w:sz="4" w:space="0" w:color="auto"/>
            </w:tcBorders>
          </w:tcPr>
          <w:p w14:paraId="7357C31E" w14:textId="77777777" w:rsidR="004336FC" w:rsidRDefault="004336FC" w:rsidP="000C1FE8">
            <w:pPr>
              <w:spacing w:before="0" w:after="0"/>
              <w:jc w:val="center"/>
              <w:rPr>
                <w:rFonts w:eastAsia="CIDFont+F4" w:cs="CIDFont+F4"/>
                <w:sz w:val="20"/>
                <w:szCs w:val="20"/>
                <w:lang w:val="sr-Latn-RS"/>
              </w:rPr>
            </w:pPr>
            <w:r>
              <w:rPr>
                <w:rFonts w:eastAsia="CIDFont+F4" w:cs="CIDFont+F4"/>
                <w:sz w:val="20"/>
                <w:szCs w:val="20"/>
                <w:lang w:val="sr-Latn-RS"/>
              </w:rPr>
              <w:t>3.46</w:t>
            </w:r>
          </w:p>
        </w:tc>
        <w:tc>
          <w:tcPr>
            <w:tcW w:w="0" w:type="auto"/>
            <w:tcBorders>
              <w:bottom w:val="single" w:sz="4" w:space="0" w:color="auto"/>
            </w:tcBorders>
          </w:tcPr>
          <w:p w14:paraId="08E54FBC" w14:textId="77777777" w:rsidR="004336FC" w:rsidRDefault="004336FC" w:rsidP="000C1FE8">
            <w:pPr>
              <w:spacing w:before="0" w:after="0"/>
              <w:jc w:val="center"/>
              <w:rPr>
                <w:rFonts w:eastAsia="CIDFont+F4" w:cs="CIDFont+F4"/>
                <w:sz w:val="20"/>
                <w:szCs w:val="20"/>
                <w:lang w:val="sr-Latn-RS"/>
              </w:rPr>
            </w:pPr>
            <w:r>
              <w:rPr>
                <w:rFonts w:eastAsia="CIDFont+F4" w:cs="CIDFont+F4"/>
                <w:sz w:val="20"/>
                <w:szCs w:val="20"/>
                <w:lang w:val="sr-Latn-RS"/>
              </w:rPr>
              <w:t>&lt;0.005</w:t>
            </w:r>
          </w:p>
        </w:tc>
      </w:tr>
      <w:tr w:rsidR="000C1FE8" w:rsidRPr="005F1EE5" w14:paraId="202503CE" w14:textId="77777777" w:rsidTr="004336FC">
        <w:tc>
          <w:tcPr>
            <w:tcW w:w="0" w:type="auto"/>
            <w:gridSpan w:val="10"/>
            <w:tcBorders>
              <w:top w:val="single" w:sz="4" w:space="0" w:color="auto"/>
            </w:tcBorders>
          </w:tcPr>
          <w:p w14:paraId="3C4E3A72" w14:textId="525BDB84" w:rsidR="000C1FE8" w:rsidRDefault="000C1FE8" w:rsidP="000C1FE8">
            <w:pPr>
              <w:spacing w:before="0" w:after="0"/>
              <w:rPr>
                <w:rFonts w:eastAsia="CIDFont+F4" w:cs="CIDFont+F4"/>
                <w:sz w:val="20"/>
                <w:szCs w:val="20"/>
                <w:lang w:val="sr-Latn-RS"/>
              </w:rPr>
            </w:pPr>
            <w:r w:rsidRPr="008927CB">
              <w:rPr>
                <w:rFonts w:eastAsia="Times New Roman" w:cs="Calibri"/>
                <w:color w:val="000000"/>
                <w:sz w:val="18"/>
                <w:szCs w:val="18"/>
                <w:lang w:val="sr-Latn-RS" w:eastAsia="sr-Latn-RS"/>
              </w:rPr>
              <w:t xml:space="preserve">NOTE: MA = Machine Age; </w:t>
            </w:r>
            <w:r>
              <w:rPr>
                <w:rFonts w:eastAsia="Times New Roman" w:cs="Calibri"/>
                <w:color w:val="000000"/>
                <w:sz w:val="18"/>
                <w:szCs w:val="18"/>
                <w:lang w:val="sr-Latn-RS" w:eastAsia="sr-Latn-RS"/>
              </w:rPr>
              <w:t xml:space="preserve">NWP = Nominal Working Pressure; NWF = Nominal Working Flow; </w:t>
            </w:r>
            <w:r w:rsidRPr="008927CB">
              <w:rPr>
                <w:rFonts w:eastAsia="Times New Roman" w:cs="Calibri"/>
                <w:color w:val="000000"/>
                <w:sz w:val="18"/>
                <w:szCs w:val="18"/>
                <w:lang w:val="sr-Latn-RS" w:eastAsia="sr-Latn-RS"/>
              </w:rPr>
              <w:t xml:space="preserve">FRT = Filter Replacement Time; </w:t>
            </w:r>
            <w:r>
              <w:rPr>
                <w:rFonts w:eastAsia="Times New Roman" w:cs="Calibri"/>
                <w:color w:val="000000"/>
                <w:sz w:val="18"/>
                <w:szCs w:val="18"/>
                <w:lang w:val="sr-Latn-RS" w:eastAsia="sr-Latn-RS"/>
              </w:rPr>
              <w:t xml:space="preserve">MFV = Machine Fluid Volume; </w:t>
            </w:r>
            <w:r w:rsidRPr="008927CB">
              <w:rPr>
                <w:rFonts w:eastAsia="Times New Roman" w:cs="Calibri"/>
                <w:color w:val="000000"/>
                <w:sz w:val="18"/>
                <w:szCs w:val="18"/>
                <w:lang w:val="sr-Latn-RS" w:eastAsia="sr-Latn-RS"/>
              </w:rPr>
              <w:t>TTOR = Time To Oil Re</w:t>
            </w:r>
            <w:r>
              <w:rPr>
                <w:rFonts w:eastAsia="Times New Roman" w:cs="Calibri"/>
                <w:color w:val="000000"/>
                <w:sz w:val="18"/>
                <w:szCs w:val="18"/>
                <w:lang w:val="sr-Latn-RS" w:eastAsia="sr-Latn-RS"/>
              </w:rPr>
              <w:t>filling</w:t>
            </w:r>
            <w:r w:rsidRPr="008927CB">
              <w:rPr>
                <w:rFonts w:eastAsia="Times New Roman" w:cs="Calibri"/>
                <w:color w:val="000000"/>
                <w:sz w:val="18"/>
                <w:szCs w:val="18"/>
                <w:lang w:val="sr-Latn-RS" w:eastAsia="sr-Latn-RS"/>
              </w:rPr>
              <w:t xml:space="preserve">; TTCOC = Time To Complete Oil Change;. MTBF = Mean Time Between Failures; </w:t>
            </w:r>
            <w:r>
              <w:rPr>
                <w:rFonts w:eastAsia="Times New Roman" w:cs="Calibri"/>
                <w:color w:val="000000"/>
                <w:sz w:val="18"/>
                <w:szCs w:val="18"/>
                <w:lang w:val="sr-Latn-RS" w:eastAsia="sr-Latn-RS"/>
              </w:rPr>
              <w:t>FWMh = Fluid Waste per Machine-hour; PCM = Power Consumed (required) Machine – hydraulic power unit;</w:t>
            </w:r>
            <w:r w:rsidRPr="008927CB">
              <w:rPr>
                <w:rFonts w:eastAsia="Times New Roman" w:cs="Calibri"/>
                <w:color w:val="000000"/>
                <w:sz w:val="18"/>
                <w:szCs w:val="18"/>
                <w:lang w:val="sr-Latn-RS" w:eastAsia="sr-Latn-RS"/>
              </w:rPr>
              <w:t xml:space="preserve"> MPPM = Maintenance Personnel Per Machine; </w:t>
            </w:r>
            <w:r w:rsidRPr="00A61E09">
              <w:rPr>
                <w:rFonts w:eastAsia="Times New Roman" w:cs="Calibri"/>
                <w:b/>
                <w:bCs/>
                <w:color w:val="000000"/>
                <w:sz w:val="18"/>
                <w:szCs w:val="18"/>
                <w:lang w:val="sr-Latn-RS" w:eastAsia="sr-Latn-RS"/>
              </w:rPr>
              <w:t>A*</w:t>
            </w:r>
            <w:r>
              <w:rPr>
                <w:rFonts w:eastAsia="Times New Roman" w:cs="Calibri"/>
                <w:color w:val="000000"/>
                <w:sz w:val="18"/>
                <w:szCs w:val="18"/>
                <w:lang w:val="sr-Latn-RS" w:eastAsia="sr-Latn-RS"/>
              </w:rPr>
              <w:t xml:space="preserve"> = Anderson-Darling normality test score.</w:t>
            </w:r>
          </w:p>
        </w:tc>
      </w:tr>
    </w:tbl>
    <w:p w14:paraId="3F9A3E10" w14:textId="1937F98F" w:rsidR="00736FE7" w:rsidRDefault="0025764A" w:rsidP="00010622">
      <w:pPr>
        <w:pStyle w:val="Heading3"/>
        <w:rPr>
          <w:lang w:val="en-GB"/>
        </w:rPr>
      </w:pPr>
      <w:bookmarkStart w:id="377" w:name="_Toc93759908"/>
      <w:bookmarkStart w:id="378" w:name="_Toc93760012"/>
      <w:bookmarkStart w:id="379" w:name="_Toc101274368"/>
      <w:r>
        <w:rPr>
          <w:lang w:val="en-GB"/>
        </w:rPr>
        <w:lastRenderedPageBreak/>
        <w:t>Experimental setup</w:t>
      </w:r>
      <w:r w:rsidR="00F96F21" w:rsidRPr="000F56F4">
        <w:rPr>
          <w:lang w:val="en-GB"/>
        </w:rPr>
        <w:t xml:space="preserve"> – Rubber Mixing Machine</w:t>
      </w:r>
      <w:bookmarkEnd w:id="377"/>
      <w:bookmarkEnd w:id="378"/>
      <w:r w:rsidR="00A504DD">
        <w:rPr>
          <w:lang w:val="en-GB"/>
        </w:rPr>
        <w:t xml:space="preserve"> (RMM)</w:t>
      </w:r>
      <w:bookmarkEnd w:id="379"/>
    </w:p>
    <w:p w14:paraId="317F939F" w14:textId="099A40FA" w:rsidR="00477E62" w:rsidRDefault="00665396" w:rsidP="00A41DC4">
      <w:pPr>
        <w:rPr>
          <w:color w:val="FF0000"/>
          <w:lang w:val="en-GB"/>
        </w:rPr>
      </w:pPr>
      <w:r>
        <w:rPr>
          <w:lang w:val="en-GB"/>
        </w:rPr>
        <w:t>Considering</w:t>
      </w:r>
      <w:r w:rsidR="00096349">
        <w:rPr>
          <w:lang w:val="en-GB"/>
        </w:rPr>
        <w:t xml:space="preserve"> that companies’ most important goal is to achieve the finest market quality of their products, </w:t>
      </w:r>
      <w:r w:rsidR="009D507E">
        <w:rPr>
          <w:lang w:val="en-GB"/>
        </w:rPr>
        <w:t xml:space="preserve">improving process control is </w:t>
      </w:r>
      <w:r w:rsidR="008C2425">
        <w:rPr>
          <w:lang w:val="en-GB"/>
        </w:rPr>
        <w:t>important</w:t>
      </w:r>
      <w:r w:rsidR="00096349">
        <w:rPr>
          <w:lang w:val="en-GB"/>
        </w:rPr>
        <w:t xml:space="preserve">. Such </w:t>
      </w:r>
      <w:r>
        <w:rPr>
          <w:lang w:val="en-GB"/>
        </w:rPr>
        <w:t xml:space="preserve">an </w:t>
      </w:r>
      <w:r w:rsidR="00096349">
        <w:rPr>
          <w:lang w:val="en-GB"/>
        </w:rPr>
        <w:t xml:space="preserve">approach </w:t>
      </w:r>
      <w:r w:rsidR="005E6801">
        <w:rPr>
          <w:lang w:val="en-GB"/>
        </w:rPr>
        <w:t xml:space="preserve">requires that </w:t>
      </w:r>
      <w:r w:rsidR="00096349">
        <w:rPr>
          <w:lang w:val="en-GB"/>
        </w:rPr>
        <w:t xml:space="preserve">the process (regardless of </w:t>
      </w:r>
      <w:r>
        <w:rPr>
          <w:lang w:val="en-GB"/>
        </w:rPr>
        <w:t xml:space="preserve">the </w:t>
      </w:r>
      <w:r w:rsidR="00096349">
        <w:rPr>
          <w:lang w:val="en-GB"/>
        </w:rPr>
        <w:t xml:space="preserve">decision-making layer) from </w:t>
      </w:r>
      <w:r w:rsidR="008C2425">
        <w:rPr>
          <w:lang w:val="en-GB"/>
        </w:rPr>
        <w:t>raw material</w:t>
      </w:r>
      <w:r w:rsidR="00096349">
        <w:rPr>
          <w:lang w:val="en-GB"/>
        </w:rPr>
        <w:t xml:space="preserve"> to </w:t>
      </w:r>
      <w:r>
        <w:rPr>
          <w:lang w:val="en-GB"/>
        </w:rPr>
        <w:t xml:space="preserve">the </w:t>
      </w:r>
      <w:r w:rsidR="00096349">
        <w:rPr>
          <w:lang w:val="en-GB"/>
        </w:rPr>
        <w:t xml:space="preserve">final product (even service) </w:t>
      </w:r>
      <w:r w:rsidR="00E90865">
        <w:rPr>
          <w:lang w:val="en-GB"/>
        </w:rPr>
        <w:t xml:space="preserve">maintains </w:t>
      </w:r>
      <w:r w:rsidR="008C2425">
        <w:rPr>
          <w:lang w:val="en-GB"/>
        </w:rPr>
        <w:t xml:space="preserve">a </w:t>
      </w:r>
      <w:r w:rsidR="00E90865">
        <w:rPr>
          <w:lang w:val="en-GB"/>
        </w:rPr>
        <w:t>defined</w:t>
      </w:r>
      <w:r w:rsidR="00096349">
        <w:rPr>
          <w:lang w:val="en-GB"/>
        </w:rPr>
        <w:t xml:space="preserve"> quality </w:t>
      </w:r>
      <w:r w:rsidR="008C2425">
        <w:rPr>
          <w:lang w:val="en-GB"/>
        </w:rPr>
        <w:t>level</w:t>
      </w:r>
      <w:r w:rsidR="00096349">
        <w:rPr>
          <w:lang w:val="en-GB"/>
        </w:rPr>
        <w:t>.</w:t>
      </w:r>
      <w:r w:rsidR="00F77F0A">
        <w:rPr>
          <w:lang w:val="en-GB"/>
        </w:rPr>
        <w:t xml:space="preserve"> </w:t>
      </w:r>
      <w:r w:rsidR="00E90865">
        <w:rPr>
          <w:lang w:val="en-GB"/>
        </w:rPr>
        <w:t>From</w:t>
      </w:r>
      <w:r w:rsidR="00F572EA">
        <w:rPr>
          <w:lang w:val="en-GB"/>
        </w:rPr>
        <w:t xml:space="preserve"> </w:t>
      </w:r>
      <w:r>
        <w:rPr>
          <w:lang w:val="en-GB"/>
        </w:rPr>
        <w:t xml:space="preserve">a technical/technological stance, the point of characterisation and discussion will focus only on a specific production process utilising a </w:t>
      </w:r>
      <w:r w:rsidR="00F572EA">
        <w:rPr>
          <w:lang w:val="en-GB"/>
        </w:rPr>
        <w:t xml:space="preserve">hydraulic control system. One such system is </w:t>
      </w:r>
      <w:r>
        <w:rPr>
          <w:lang w:val="en-GB"/>
        </w:rPr>
        <w:t xml:space="preserve">a </w:t>
      </w:r>
      <w:r w:rsidR="00F572EA">
        <w:rPr>
          <w:lang w:val="en-GB"/>
        </w:rPr>
        <w:t>rubber mixing machine</w:t>
      </w:r>
      <w:r w:rsidR="005E6801">
        <w:rPr>
          <w:lang w:val="en-GB"/>
        </w:rPr>
        <w:t xml:space="preserve"> (</w:t>
      </w:r>
      <w:r w:rsidR="005E6801">
        <w:rPr>
          <w:lang w:val="en-GB"/>
        </w:rPr>
        <w:fldChar w:fldCharType="begin"/>
      </w:r>
      <w:r w:rsidR="005E6801">
        <w:rPr>
          <w:lang w:val="en-GB"/>
        </w:rPr>
        <w:instrText xml:space="preserve"> REF _Ref93317401 \h </w:instrText>
      </w:r>
      <w:r w:rsidR="005E6801">
        <w:rPr>
          <w:lang w:val="en-GB"/>
        </w:rPr>
      </w:r>
      <w:r w:rsidR="005E6801">
        <w:rPr>
          <w:lang w:val="en-GB"/>
        </w:rPr>
        <w:fldChar w:fldCharType="separate"/>
      </w:r>
      <w:r w:rsidR="00587AF0">
        <w:t xml:space="preserve">Figure </w:t>
      </w:r>
      <w:r w:rsidR="00587AF0">
        <w:rPr>
          <w:noProof/>
        </w:rPr>
        <w:t>40</w:t>
      </w:r>
      <w:r w:rsidR="005E6801">
        <w:rPr>
          <w:lang w:val="en-GB"/>
        </w:rPr>
        <w:fldChar w:fldCharType="end"/>
      </w:r>
      <w:r w:rsidR="005E6801">
        <w:rPr>
          <w:lang w:val="en-GB"/>
        </w:rPr>
        <w:t>)</w:t>
      </w:r>
      <w:r w:rsidR="00F572EA">
        <w:rPr>
          <w:lang w:val="en-GB"/>
        </w:rPr>
        <w:t>. Although the process consists of multiple stages from transformation into a final product</w:t>
      </w:r>
      <w:r w:rsidR="005E6801">
        <w:rPr>
          <w:lang w:val="en-GB"/>
        </w:rPr>
        <w:t xml:space="preserve"> (tyre)</w:t>
      </w:r>
      <w:r w:rsidR="00F572EA">
        <w:rPr>
          <w:lang w:val="en-GB"/>
        </w:rPr>
        <w:t xml:space="preserve">, the only part of the </w:t>
      </w:r>
      <w:r w:rsidR="008C2425">
        <w:rPr>
          <w:lang w:val="en-GB"/>
        </w:rPr>
        <w:t>experimental design and monitoring system</w:t>
      </w:r>
      <w:r w:rsidR="004F1BA6">
        <w:rPr>
          <w:lang w:val="en-GB"/>
        </w:rPr>
        <w:t xml:space="preserve"> will be </w:t>
      </w:r>
      <w:r w:rsidR="00F572EA">
        <w:rPr>
          <w:lang w:val="en-GB"/>
        </w:rPr>
        <w:t xml:space="preserve">disposing </w:t>
      </w:r>
      <w:r>
        <w:rPr>
          <w:lang w:val="en-GB"/>
        </w:rPr>
        <w:t xml:space="preserve">of </w:t>
      </w:r>
      <w:r w:rsidR="00F572EA">
        <w:rPr>
          <w:lang w:val="en-GB"/>
        </w:rPr>
        <w:t xml:space="preserve">rubber on the roller line by opening and closing </w:t>
      </w:r>
      <w:r>
        <w:rPr>
          <w:lang w:val="en-GB"/>
        </w:rPr>
        <w:t xml:space="preserve">the </w:t>
      </w:r>
      <w:r w:rsidR="00F572EA">
        <w:rPr>
          <w:lang w:val="en-GB"/>
        </w:rPr>
        <w:t>mix</w:t>
      </w:r>
      <w:r w:rsidR="005E6801">
        <w:rPr>
          <w:lang w:val="en-GB"/>
        </w:rPr>
        <w:t>er</w:t>
      </w:r>
      <w:r w:rsidR="00F572EA">
        <w:rPr>
          <w:lang w:val="en-GB"/>
        </w:rPr>
        <w:t xml:space="preserve"> saddle.</w:t>
      </w:r>
      <w:r w:rsidR="00491F31">
        <w:rPr>
          <w:lang w:val="en-GB"/>
        </w:rPr>
        <w:t xml:space="preserve"> The working system consist</w:t>
      </w:r>
      <w:r>
        <w:rPr>
          <w:lang w:val="en-GB"/>
        </w:rPr>
        <w:t>s</w:t>
      </w:r>
      <w:r w:rsidR="00491F31">
        <w:rPr>
          <w:lang w:val="en-GB"/>
        </w:rPr>
        <w:t xml:space="preserve"> of </w:t>
      </w:r>
      <w:r>
        <w:rPr>
          <w:lang w:val="en-GB"/>
        </w:rPr>
        <w:t xml:space="preserve">a </w:t>
      </w:r>
      <w:r w:rsidR="00491F31">
        <w:rPr>
          <w:lang w:val="en-GB"/>
        </w:rPr>
        <w:t>tank (1)</w:t>
      </w:r>
      <w:r>
        <w:rPr>
          <w:lang w:val="en-GB"/>
        </w:rPr>
        <w:t>,</w:t>
      </w:r>
      <w:r w:rsidR="00491F31">
        <w:rPr>
          <w:lang w:val="en-GB"/>
        </w:rPr>
        <w:t xml:space="preserve"> EC motor (2)</w:t>
      </w:r>
      <w:r>
        <w:rPr>
          <w:lang w:val="en-GB"/>
        </w:rPr>
        <w:t>,</w:t>
      </w:r>
      <w:r w:rsidR="00491F31">
        <w:rPr>
          <w:lang w:val="en-GB"/>
        </w:rPr>
        <w:t xml:space="preserve"> </w:t>
      </w:r>
      <w:r w:rsidR="00A0297D">
        <w:rPr>
          <w:lang w:val="en-GB"/>
        </w:rPr>
        <w:t xml:space="preserve">axial </w:t>
      </w:r>
      <w:r w:rsidR="00491F31">
        <w:rPr>
          <w:lang w:val="en-GB"/>
        </w:rPr>
        <w:t>piston pump (3)</w:t>
      </w:r>
      <w:r>
        <w:rPr>
          <w:lang w:val="en-GB"/>
        </w:rPr>
        <w:t>,</w:t>
      </w:r>
      <w:r w:rsidR="00491F31">
        <w:rPr>
          <w:lang w:val="en-GB"/>
        </w:rPr>
        <w:t xml:space="preserve"> manifold block</w:t>
      </w:r>
      <w:r w:rsidR="00A0297D">
        <w:rPr>
          <w:lang w:val="en-GB"/>
        </w:rPr>
        <w:t xml:space="preserve"> with directional</w:t>
      </w:r>
      <w:r w:rsidR="00760273">
        <w:rPr>
          <w:lang w:val="en-GB"/>
        </w:rPr>
        <w:t>-control</w:t>
      </w:r>
      <w:r w:rsidR="00A0297D">
        <w:rPr>
          <w:lang w:val="en-GB"/>
        </w:rPr>
        <w:t xml:space="preserve"> valves</w:t>
      </w:r>
      <w:r w:rsidR="00491F31">
        <w:rPr>
          <w:lang w:val="en-GB"/>
        </w:rPr>
        <w:t xml:space="preserve"> (4) and hydraulic actuators (5). </w:t>
      </w:r>
      <w:r w:rsidR="00E90865">
        <w:rPr>
          <w:lang w:val="en-GB"/>
        </w:rPr>
        <w:t>The monitoring apparatus for data acqu</w:t>
      </w:r>
      <w:r>
        <w:rPr>
          <w:lang w:val="en-GB"/>
        </w:rPr>
        <w:t>i</w:t>
      </w:r>
      <w:r w:rsidR="00E90865">
        <w:rPr>
          <w:lang w:val="en-GB"/>
        </w:rPr>
        <w:t>sition consists of instruments with sensors and data transformation units consisting of: (6) water sensor for measuring water saturation; (7) contamination sensor for measuring particle contamination; (8) turbine flow meter for measuring working flow and pressure; (9) data acqu</w:t>
      </w:r>
      <w:r>
        <w:rPr>
          <w:lang w:val="en-GB"/>
        </w:rPr>
        <w:t>i</w:t>
      </w:r>
      <w:r w:rsidR="00E90865">
        <w:rPr>
          <w:lang w:val="en-GB"/>
        </w:rPr>
        <w:t>sition instrument for flow and pressure; (10) communication module; (11) laptop; (12) SCADA system.</w:t>
      </w:r>
    </w:p>
    <w:p w14:paraId="61CC0F75" w14:textId="09A185E9" w:rsidR="00477E62" w:rsidRDefault="008A5E23" w:rsidP="00477E62">
      <w:pPr>
        <w:keepNext/>
      </w:pPr>
      <w:r>
        <w:rPr>
          <w:noProof/>
        </w:rPr>
        <w:drawing>
          <wp:inline distT="0" distB="0" distL="0" distR="0" wp14:anchorId="149AF438" wp14:editId="590BAF4F">
            <wp:extent cx="5667375" cy="4171950"/>
            <wp:effectExtent l="0" t="0" r="0" b="0"/>
            <wp:docPr id="53" name="Picture 53"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Text&#10;&#10;Description automatically generated with low confidence"/>
                    <pic:cNvPicPr/>
                  </pic:nvPicPr>
                  <pic:blipFill rotWithShape="1">
                    <a:blip r:embed="rId76" cstate="print">
                      <a:extLst>
                        <a:ext uri="{28A0092B-C50C-407E-A947-70E740481C1C}">
                          <a14:useLocalDpi xmlns:a14="http://schemas.microsoft.com/office/drawing/2010/main" val="0"/>
                        </a:ext>
                      </a:extLst>
                    </a:blip>
                    <a:srcRect t="4211" r="1130" b="3579"/>
                    <a:stretch/>
                  </pic:blipFill>
                  <pic:spPr bwMode="auto">
                    <a:xfrm>
                      <a:off x="0" y="0"/>
                      <a:ext cx="5667375" cy="4171950"/>
                    </a:xfrm>
                    <a:prstGeom prst="rect">
                      <a:avLst/>
                    </a:prstGeom>
                    <a:ln>
                      <a:noFill/>
                    </a:ln>
                    <a:extLst>
                      <a:ext uri="{53640926-AAD7-44D8-BBD7-CCE9431645EC}">
                        <a14:shadowObscured xmlns:a14="http://schemas.microsoft.com/office/drawing/2010/main"/>
                      </a:ext>
                    </a:extLst>
                  </pic:spPr>
                </pic:pic>
              </a:graphicData>
            </a:graphic>
          </wp:inline>
        </w:drawing>
      </w:r>
    </w:p>
    <w:p w14:paraId="5EB042DC" w14:textId="5AC3EB31" w:rsidR="00866D94" w:rsidRPr="00E90865" w:rsidRDefault="00477E62" w:rsidP="00E90865">
      <w:pPr>
        <w:pStyle w:val="Caption"/>
      </w:pPr>
      <w:bookmarkStart w:id="380" w:name="_Ref93317401"/>
      <w:bookmarkStart w:id="381" w:name="_Toc101274562"/>
      <w:r>
        <w:t xml:space="preserve">Figure </w:t>
      </w:r>
      <w:fldSimple w:instr=" SEQ Figure \* ARABIC ">
        <w:r w:rsidR="00587AF0">
          <w:rPr>
            <w:noProof/>
          </w:rPr>
          <w:t>40</w:t>
        </w:r>
      </w:fldSimple>
      <w:bookmarkEnd w:id="380"/>
      <w:r>
        <w:t>. Experimental installation o</w:t>
      </w:r>
      <w:r w:rsidR="00372DEA">
        <w:t>f the</w:t>
      </w:r>
      <w:r>
        <w:t xml:space="preserve"> rubber mixing machine</w:t>
      </w:r>
      <w:bookmarkStart w:id="382" w:name="_Toc62467404"/>
      <w:bookmarkStart w:id="383" w:name="_Toc91575415"/>
      <w:bookmarkEnd w:id="381"/>
    </w:p>
    <w:p w14:paraId="61B2DBB5" w14:textId="035CF933" w:rsidR="004D0217" w:rsidRPr="004D0217" w:rsidRDefault="003256E2" w:rsidP="004D0217">
      <w:pPr>
        <w:rPr>
          <w:lang w:val="en-GB"/>
        </w:rPr>
      </w:pPr>
      <w:r>
        <w:rPr>
          <w:lang w:val="sr-Latn-RS"/>
        </w:rPr>
        <w:t>Depending on the technological recipe for manufacturing a tyre, i.e. transform</w:t>
      </w:r>
      <w:r w:rsidR="00ED70C7">
        <w:rPr>
          <w:lang w:val="sr-Latn-RS"/>
        </w:rPr>
        <w:t>ation from</w:t>
      </w:r>
      <w:r>
        <w:rPr>
          <w:lang w:val="sr-Latn-RS"/>
        </w:rPr>
        <w:t xml:space="preserve"> the process mass through mixing into a final </w:t>
      </w:r>
      <w:r w:rsidR="00ED70C7">
        <w:rPr>
          <w:lang w:val="sr-Latn-RS"/>
        </w:rPr>
        <w:t>product</w:t>
      </w:r>
      <w:r w:rsidR="00277536">
        <w:rPr>
          <w:lang w:val="sr-Latn-RS"/>
        </w:rPr>
        <w:t>,</w:t>
      </w:r>
      <w:r w:rsidR="00ED70C7">
        <w:rPr>
          <w:lang w:val="sr-Latn-RS"/>
        </w:rPr>
        <w:t xml:space="preserve"> i.e. </w:t>
      </w:r>
      <w:r>
        <w:rPr>
          <w:lang w:val="sr-Latn-RS"/>
        </w:rPr>
        <w:t xml:space="preserve">tyre, </w:t>
      </w:r>
      <w:r w:rsidR="00ED70C7">
        <w:rPr>
          <w:lang w:val="sr-Latn-RS"/>
        </w:rPr>
        <w:t xml:space="preserve">an example of a specific work process flow is given as a technological fingerprint of energy consumption for </w:t>
      </w:r>
      <w:r w:rsidR="00460821">
        <w:rPr>
          <w:lang w:val="sr-Latn-RS"/>
        </w:rPr>
        <w:t xml:space="preserve">a </w:t>
      </w:r>
      <w:r w:rsidR="00ED70C7">
        <w:rPr>
          <w:lang w:val="sr-Latn-RS"/>
        </w:rPr>
        <w:t>rubber mixer (</w:t>
      </w:r>
      <w:r w:rsidR="00652818">
        <w:rPr>
          <w:lang w:val="sr-Latn-RS"/>
        </w:rPr>
        <w:fldChar w:fldCharType="begin"/>
      </w:r>
      <w:r w:rsidR="00652818">
        <w:rPr>
          <w:lang w:val="sr-Latn-RS"/>
        </w:rPr>
        <w:instrText xml:space="preserve"> REF _Ref93318206 \h </w:instrText>
      </w:r>
      <w:r w:rsidR="00652818">
        <w:rPr>
          <w:lang w:val="sr-Latn-RS"/>
        </w:rPr>
      </w:r>
      <w:r w:rsidR="00652818">
        <w:rPr>
          <w:lang w:val="sr-Latn-RS"/>
        </w:rPr>
        <w:fldChar w:fldCharType="separate"/>
      </w:r>
      <w:r w:rsidR="00587AF0">
        <w:t xml:space="preserve">Figure </w:t>
      </w:r>
      <w:r w:rsidR="00587AF0">
        <w:rPr>
          <w:noProof/>
        </w:rPr>
        <w:t>41</w:t>
      </w:r>
      <w:r w:rsidR="00652818">
        <w:rPr>
          <w:lang w:val="sr-Latn-RS"/>
        </w:rPr>
        <w:fldChar w:fldCharType="end"/>
      </w:r>
      <w:r w:rsidR="00ED70C7">
        <w:rPr>
          <w:lang w:val="sr-Latn-RS"/>
        </w:rPr>
        <w:t xml:space="preserve">). </w:t>
      </w:r>
      <w:r w:rsidR="004D0217">
        <w:rPr>
          <w:lang w:val="sr-Latn-RS"/>
        </w:rPr>
        <w:t xml:space="preserve">The steps of mixing the mass for a specific batch starts includes (1) loading (feed); (2) soot filling; (3) mixing with batt; (4) ventilation; (5) mixing with batt with </w:t>
      </w:r>
      <w:r w:rsidR="00277536">
        <w:rPr>
          <w:lang w:val="sr-Latn-RS"/>
        </w:rPr>
        <w:t xml:space="preserve">an </w:t>
      </w:r>
      <w:r w:rsidR="004D0217">
        <w:rPr>
          <w:lang w:val="sr-Latn-RS"/>
        </w:rPr>
        <w:t>increas</w:t>
      </w:r>
      <w:r w:rsidR="002C0296">
        <w:rPr>
          <w:lang w:val="sr-Latn-RS"/>
        </w:rPr>
        <w:t>ing</w:t>
      </w:r>
      <w:r w:rsidR="004D0217">
        <w:rPr>
          <w:lang w:val="sr-Latn-RS"/>
        </w:rPr>
        <w:t xml:space="preserve"> percentage of pressure; (6) oil filling; (7) again mixing with batt pressure; (8) release of batt pressure and retraction in addition to ventilation; and finally, (9) release of the mass for the next operation by opening and closing the saddle via </w:t>
      </w:r>
      <w:r w:rsidR="002C0296">
        <w:rPr>
          <w:lang w:val="sr-Latn-RS"/>
        </w:rPr>
        <w:t xml:space="preserve">the </w:t>
      </w:r>
      <w:r w:rsidR="004D0217">
        <w:rPr>
          <w:lang w:val="sr-Latn-RS"/>
        </w:rPr>
        <w:t>hydraulic control system.</w:t>
      </w:r>
    </w:p>
    <w:p w14:paraId="5E33893B" w14:textId="12C85251" w:rsidR="00ED70C7" w:rsidRDefault="00B61725" w:rsidP="00ED70C7">
      <w:pPr>
        <w:jc w:val="center"/>
        <w:rPr>
          <w:lang w:val="sr-Latn-RS"/>
        </w:rPr>
      </w:pPr>
      <w:r>
        <w:rPr>
          <w:noProof/>
          <w:lang w:val="sr-Latn-RS"/>
        </w:rPr>
        <w:lastRenderedPageBreak/>
        <w:drawing>
          <wp:inline distT="0" distB="0" distL="0" distR="0" wp14:anchorId="2A0AAD44" wp14:editId="30514770">
            <wp:extent cx="5260234" cy="3024000"/>
            <wp:effectExtent l="0" t="0" r="0" b="5080"/>
            <wp:docPr id="55" name="Picture 55"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 bar chart, histogram&#10;&#10;Description automatically generated"/>
                    <pic:cNvPicPr/>
                  </pic:nvPicPr>
                  <pic:blipFill rotWithShape="1">
                    <a:blip r:embed="rId77">
                      <a:extLst>
                        <a:ext uri="{28A0092B-C50C-407E-A947-70E740481C1C}">
                          <a14:useLocalDpi xmlns:a14="http://schemas.microsoft.com/office/drawing/2010/main" val="0"/>
                        </a:ext>
                      </a:extLst>
                    </a:blip>
                    <a:srcRect b="2252"/>
                    <a:stretch/>
                  </pic:blipFill>
                  <pic:spPr bwMode="auto">
                    <a:xfrm>
                      <a:off x="0" y="0"/>
                      <a:ext cx="5260234" cy="3024000"/>
                    </a:xfrm>
                    <a:prstGeom prst="rect">
                      <a:avLst/>
                    </a:prstGeom>
                    <a:ln>
                      <a:noFill/>
                    </a:ln>
                    <a:extLst>
                      <a:ext uri="{53640926-AAD7-44D8-BBD7-CCE9431645EC}">
                        <a14:shadowObscured xmlns:a14="http://schemas.microsoft.com/office/drawing/2010/main"/>
                      </a:ext>
                    </a:extLst>
                  </pic:spPr>
                </pic:pic>
              </a:graphicData>
            </a:graphic>
          </wp:inline>
        </w:drawing>
      </w:r>
    </w:p>
    <w:p w14:paraId="68E1F329" w14:textId="440B6CB0" w:rsidR="00ED70C7" w:rsidRDefault="00ED70C7" w:rsidP="00ED70C7">
      <w:pPr>
        <w:pStyle w:val="Caption"/>
      </w:pPr>
      <w:bookmarkStart w:id="384" w:name="_Ref93318206"/>
      <w:bookmarkStart w:id="385" w:name="_Toc101274563"/>
      <w:r>
        <w:t xml:space="preserve">Figure </w:t>
      </w:r>
      <w:fldSimple w:instr=" SEQ Figure \* ARABIC ">
        <w:r w:rsidR="00587AF0">
          <w:rPr>
            <w:noProof/>
          </w:rPr>
          <w:t>41</w:t>
        </w:r>
      </w:fldSimple>
      <w:bookmarkEnd w:id="384"/>
      <w:r>
        <w:t xml:space="preserve">. </w:t>
      </w:r>
      <w:r w:rsidR="00195037">
        <w:t>Energy</w:t>
      </w:r>
      <w:r>
        <w:t xml:space="preserve"> consumption and act step of a rubber mixing </w:t>
      </w:r>
      <w:r w:rsidR="00E626A6">
        <w:t>process</w:t>
      </w:r>
      <w:bookmarkEnd w:id="385"/>
    </w:p>
    <w:p w14:paraId="66EB8EB4" w14:textId="41B5298D" w:rsidR="00A504DD" w:rsidRDefault="00DD4BB3" w:rsidP="00277536">
      <w:pPr>
        <w:rPr>
          <w:lang w:val="sr-Latn-RS"/>
        </w:rPr>
      </w:pPr>
      <w:r>
        <w:rPr>
          <w:lang w:val="sr-Latn-RS"/>
        </w:rPr>
        <w:fldChar w:fldCharType="begin"/>
      </w:r>
      <w:r>
        <w:rPr>
          <w:lang w:val="sr-Latn-RS"/>
        </w:rPr>
        <w:instrText xml:space="preserve"> REF _Ref93318206 \h </w:instrText>
      </w:r>
      <w:r>
        <w:rPr>
          <w:lang w:val="sr-Latn-RS"/>
        </w:rPr>
      </w:r>
      <w:r>
        <w:rPr>
          <w:lang w:val="sr-Latn-RS"/>
        </w:rPr>
        <w:fldChar w:fldCharType="separate"/>
      </w:r>
      <w:r w:rsidR="00587AF0">
        <w:t xml:space="preserve">Figure </w:t>
      </w:r>
      <w:r w:rsidR="00587AF0">
        <w:rPr>
          <w:noProof/>
        </w:rPr>
        <w:t>41</w:t>
      </w:r>
      <w:r>
        <w:rPr>
          <w:lang w:val="sr-Latn-RS"/>
        </w:rPr>
        <w:fldChar w:fldCharType="end"/>
      </w:r>
      <w:r>
        <w:rPr>
          <w:lang w:val="sr-Latn-RS"/>
        </w:rPr>
        <w:t xml:space="preserve"> shows that energy consumption is the highest at the start of </w:t>
      </w:r>
      <w:r w:rsidR="00277536">
        <w:rPr>
          <w:lang w:val="sr-Latn-RS"/>
        </w:rPr>
        <w:t xml:space="preserve">the </w:t>
      </w:r>
      <w:r>
        <w:rPr>
          <w:lang w:val="sr-Latn-RS"/>
        </w:rPr>
        <w:t>hydraulic control system that control</w:t>
      </w:r>
      <w:r w:rsidR="00277536">
        <w:rPr>
          <w:lang w:val="sr-Latn-RS"/>
        </w:rPr>
        <w:t>s</w:t>
      </w:r>
      <w:r>
        <w:rPr>
          <w:lang w:val="sr-Latn-RS"/>
        </w:rPr>
        <w:t xml:space="preserve"> </w:t>
      </w:r>
      <w:r w:rsidR="00277536">
        <w:rPr>
          <w:lang w:val="sr-Latn-RS"/>
        </w:rPr>
        <w:t xml:space="preserve">the </w:t>
      </w:r>
      <w:r>
        <w:rPr>
          <w:lang w:val="sr-Latn-RS"/>
        </w:rPr>
        <w:t xml:space="preserve">opening and closing </w:t>
      </w:r>
      <w:r w:rsidR="00277536">
        <w:rPr>
          <w:lang w:val="sr-Latn-RS"/>
        </w:rPr>
        <w:t xml:space="preserve">of </w:t>
      </w:r>
      <w:r>
        <w:rPr>
          <w:lang w:val="sr-Latn-RS"/>
        </w:rPr>
        <w:t xml:space="preserve">the saddle door. The specific operation is triggered by the temperature </w:t>
      </w:r>
      <w:r w:rsidR="00EA10C0">
        <w:rPr>
          <w:lang w:val="sr-Latn-RS"/>
        </w:rPr>
        <w:t xml:space="preserve">set at a specific </w:t>
      </w:r>
      <w:r>
        <w:rPr>
          <w:lang w:val="sr-Latn-RS"/>
        </w:rPr>
        <w:t xml:space="preserve">value. Moreover, the graph </w:t>
      </w:r>
      <w:r w:rsidR="0074036D">
        <w:rPr>
          <w:lang w:val="sr-Latn-RS"/>
        </w:rPr>
        <w:t xml:space="preserve">depicts the energy consumption of </w:t>
      </w:r>
      <w:r>
        <w:rPr>
          <w:lang w:val="sr-Latn-RS"/>
        </w:rPr>
        <w:t>electric motors</w:t>
      </w:r>
      <w:r w:rsidR="00877985">
        <w:rPr>
          <w:lang w:val="sr-Latn-RS"/>
        </w:rPr>
        <w:t xml:space="preserve"> (rotor speed and moment)</w:t>
      </w:r>
      <w:r>
        <w:rPr>
          <w:lang w:val="sr-Latn-RS"/>
        </w:rPr>
        <w:t xml:space="preserve"> required for the mixing process.</w:t>
      </w:r>
      <w:r w:rsidR="00877985">
        <w:rPr>
          <w:lang w:val="sr-Latn-RS"/>
        </w:rPr>
        <w:t xml:space="preserve"> These </w:t>
      </w:r>
      <w:r w:rsidR="00277536">
        <w:rPr>
          <w:lang w:val="sr-Latn-RS"/>
        </w:rPr>
        <w:t>controllable parameters</w:t>
      </w:r>
      <w:r w:rsidR="00877985">
        <w:rPr>
          <w:lang w:val="sr-Latn-RS"/>
        </w:rPr>
        <w:t xml:space="preserve"> include rotor speed, mixing time, ram pressure, and chamber temperature. </w:t>
      </w:r>
    </w:p>
    <w:p w14:paraId="0D59AF12" w14:textId="34C3F729" w:rsidR="00A504DD" w:rsidRDefault="00D3415F" w:rsidP="00A504DD">
      <w:pPr>
        <w:pStyle w:val="Heading2"/>
        <w:rPr>
          <w:lang w:val="sr-Latn-RS"/>
        </w:rPr>
      </w:pPr>
      <w:bookmarkStart w:id="386" w:name="_Toc101274369"/>
      <w:r>
        <w:rPr>
          <w:lang w:val="sr-Latn-RS"/>
        </w:rPr>
        <w:t>The h</w:t>
      </w:r>
      <w:r w:rsidR="00A504DD">
        <w:rPr>
          <w:lang w:val="sr-Latn-RS"/>
        </w:rPr>
        <w:t>ydraulic control system of RMM</w:t>
      </w:r>
      <w:bookmarkEnd w:id="386"/>
    </w:p>
    <w:p w14:paraId="1A929788" w14:textId="2FA6B835" w:rsidR="007B193E" w:rsidRDefault="0074036D" w:rsidP="00277536">
      <w:r>
        <w:rPr>
          <w:lang w:val="sr-Latn-RS"/>
        </w:rPr>
        <w:t>The mixer's defined chamber temperature (inner temperature) is the point of the hydraulic system's starting process (and monitoring)</w:t>
      </w:r>
      <w:r w:rsidR="00877985">
        <w:rPr>
          <w:lang w:val="sr-Latn-RS"/>
        </w:rPr>
        <w:t>.</w:t>
      </w:r>
      <w:r w:rsidR="001C4FA2">
        <w:rPr>
          <w:lang w:val="sr-Latn-RS"/>
        </w:rPr>
        <w:t xml:space="preserve"> </w:t>
      </w:r>
      <w:r w:rsidR="00277536">
        <w:rPr>
          <w:lang w:val="sr-Latn-RS"/>
        </w:rPr>
        <w:t>T</w:t>
      </w:r>
      <w:r w:rsidR="00343014">
        <w:rPr>
          <w:lang w:val="sr-Latn-RS"/>
        </w:rPr>
        <w:t>he following subsection will be given a complete hydraulic installation (</w:t>
      </w:r>
      <w:r w:rsidR="00343014">
        <w:rPr>
          <w:lang w:val="sr-Latn-RS"/>
        </w:rPr>
        <w:fldChar w:fldCharType="begin"/>
      </w:r>
      <w:r w:rsidR="00343014">
        <w:rPr>
          <w:lang w:val="sr-Latn-RS"/>
        </w:rPr>
        <w:instrText xml:space="preserve"> REF _Ref93422019 \h </w:instrText>
      </w:r>
      <w:r w:rsidR="00343014">
        <w:rPr>
          <w:lang w:val="sr-Latn-RS"/>
        </w:rPr>
      </w:r>
      <w:r w:rsidR="00343014">
        <w:rPr>
          <w:lang w:val="sr-Latn-RS"/>
        </w:rPr>
        <w:fldChar w:fldCharType="separate"/>
      </w:r>
      <w:r w:rsidR="00587AF0">
        <w:t xml:space="preserve">Figure </w:t>
      </w:r>
      <w:r w:rsidR="00587AF0">
        <w:rPr>
          <w:noProof/>
        </w:rPr>
        <w:t>42</w:t>
      </w:r>
      <w:r w:rsidR="00343014">
        <w:rPr>
          <w:lang w:val="sr-Latn-RS"/>
        </w:rPr>
        <w:fldChar w:fldCharType="end"/>
      </w:r>
      <w:r w:rsidR="00343014">
        <w:rPr>
          <w:lang w:val="sr-Latn-RS"/>
        </w:rPr>
        <w:t>) and step diagram (</w:t>
      </w:r>
      <w:r w:rsidR="00343014">
        <w:rPr>
          <w:lang w:val="sr-Latn-RS"/>
        </w:rPr>
        <w:fldChar w:fldCharType="begin"/>
      </w:r>
      <w:r w:rsidR="00343014">
        <w:rPr>
          <w:lang w:val="sr-Latn-RS"/>
        </w:rPr>
        <w:instrText xml:space="preserve"> REF _Ref93476793 \h </w:instrText>
      </w:r>
      <w:r w:rsidR="00343014">
        <w:rPr>
          <w:lang w:val="sr-Latn-RS"/>
        </w:rPr>
      </w:r>
      <w:r w:rsidR="00343014">
        <w:rPr>
          <w:lang w:val="sr-Latn-RS"/>
        </w:rPr>
        <w:fldChar w:fldCharType="separate"/>
      </w:r>
      <w:r w:rsidR="00587AF0">
        <w:t xml:space="preserve">Figure </w:t>
      </w:r>
      <w:r w:rsidR="00587AF0">
        <w:rPr>
          <w:noProof/>
        </w:rPr>
        <w:t>43</w:t>
      </w:r>
      <w:r w:rsidR="00343014">
        <w:rPr>
          <w:lang w:val="sr-Latn-RS"/>
        </w:rPr>
        <w:fldChar w:fldCharType="end"/>
      </w:r>
      <w:r w:rsidR="00343014">
        <w:rPr>
          <w:lang w:val="sr-Latn-RS"/>
        </w:rPr>
        <w:t>) to fully understand the hydraulic system operation</w:t>
      </w:r>
      <w:r w:rsidR="001C4FA2">
        <w:rPr>
          <w:lang w:val="sr-Latn-RS"/>
        </w:rPr>
        <w:t>.</w:t>
      </w:r>
      <w:r w:rsidR="00277536">
        <w:rPr>
          <w:lang w:val="sr-Latn-RS"/>
        </w:rPr>
        <w:t xml:space="preserve"> </w:t>
      </w:r>
      <w:r w:rsidR="009D507E">
        <w:t>The c</w:t>
      </w:r>
      <w:r w:rsidR="00277536">
        <w:t>omponents of a</w:t>
      </w:r>
      <w:r w:rsidR="00D31D4B">
        <w:t xml:space="preserve"> </w:t>
      </w:r>
      <w:r w:rsidR="00D91E20">
        <w:t xml:space="preserve">hydraulic </w:t>
      </w:r>
      <w:r w:rsidR="00D31D4B">
        <w:t xml:space="preserve">installation </w:t>
      </w:r>
      <w:r w:rsidR="009D507E">
        <w:t>are</w:t>
      </w:r>
      <w:r w:rsidR="00D31D4B">
        <w:t xml:space="preserve"> </w:t>
      </w:r>
      <w:r w:rsidR="00277536">
        <w:t xml:space="preserve">given in </w:t>
      </w:r>
      <w:r w:rsidR="00277536">
        <w:fldChar w:fldCharType="begin"/>
      </w:r>
      <w:r w:rsidR="00277536">
        <w:instrText xml:space="preserve"> REF _Ref100742388 \h </w:instrText>
      </w:r>
      <w:r w:rsidR="00277536">
        <w:fldChar w:fldCharType="separate"/>
      </w:r>
      <w:r w:rsidR="00587AF0">
        <w:t xml:space="preserve">Table </w:t>
      </w:r>
      <w:r w:rsidR="00587AF0">
        <w:rPr>
          <w:noProof/>
        </w:rPr>
        <w:t>18</w:t>
      </w:r>
      <w:r w:rsidR="00277536">
        <w:fldChar w:fldCharType="end"/>
      </w:r>
      <w:r w:rsidR="00D91E20">
        <w:t>.</w:t>
      </w:r>
    </w:p>
    <w:p w14:paraId="71E5EF2B" w14:textId="252DCDA5" w:rsidR="00277536" w:rsidRDefault="00277536" w:rsidP="00277536">
      <w:pPr>
        <w:pStyle w:val="Caption"/>
        <w:jc w:val="left"/>
      </w:pPr>
      <w:bookmarkStart w:id="387" w:name="_Ref100742388"/>
      <w:bookmarkStart w:id="388" w:name="_Toc101274458"/>
      <w:r>
        <w:t xml:space="preserve">Table </w:t>
      </w:r>
      <w:fldSimple w:instr=" SEQ Table \* ARABIC ">
        <w:r w:rsidR="00587AF0">
          <w:rPr>
            <w:noProof/>
          </w:rPr>
          <w:t>18</w:t>
        </w:r>
      </w:fldSimple>
      <w:bookmarkEnd w:id="387"/>
      <w:r>
        <w:t>. Hydraulic system components of a rubber mixing machine</w:t>
      </w:r>
      <w:bookmarkEnd w:id="388"/>
    </w:p>
    <w:tbl>
      <w:tblPr>
        <w:tblW w:w="5000" w:type="pct"/>
        <w:tblLayout w:type="fixed"/>
        <w:tblLook w:val="04A0" w:firstRow="1" w:lastRow="0" w:firstColumn="1" w:lastColumn="0" w:noHBand="0" w:noVBand="1"/>
      </w:tblPr>
      <w:tblGrid>
        <w:gridCol w:w="769"/>
        <w:gridCol w:w="2091"/>
        <w:gridCol w:w="2860"/>
        <w:gridCol w:w="3307"/>
      </w:tblGrid>
      <w:tr w:rsidR="00277536" w:rsidRPr="005F1EE5" w14:paraId="7B66D8A0" w14:textId="77777777" w:rsidTr="00A67B21">
        <w:trPr>
          <w:trHeight w:val="273"/>
        </w:trPr>
        <w:tc>
          <w:tcPr>
            <w:tcW w:w="426" w:type="pct"/>
            <w:tcBorders>
              <w:top w:val="single" w:sz="4" w:space="0" w:color="auto"/>
              <w:bottom w:val="single" w:sz="4" w:space="0" w:color="auto"/>
            </w:tcBorders>
          </w:tcPr>
          <w:p w14:paraId="1D152E6C" w14:textId="77777777" w:rsidR="00277536" w:rsidRDefault="00277536" w:rsidP="00A67B21">
            <w:pPr>
              <w:spacing w:before="0" w:after="0"/>
              <w:jc w:val="center"/>
              <w:rPr>
                <w:rFonts w:eastAsia="CIDFont+F4" w:cs="CIDFont+F4"/>
                <w:b/>
                <w:bCs/>
                <w:i/>
                <w:iCs/>
                <w:sz w:val="20"/>
                <w:szCs w:val="20"/>
                <w:lang w:val="sr-Latn-RS"/>
              </w:rPr>
            </w:pPr>
            <w:r>
              <w:rPr>
                <w:rFonts w:eastAsia="CIDFont+F4" w:cs="CIDFont+F4"/>
                <w:b/>
                <w:bCs/>
                <w:i/>
                <w:iCs/>
                <w:sz w:val="20"/>
                <w:szCs w:val="20"/>
                <w:lang w:val="sr-Latn-RS"/>
              </w:rPr>
              <w:t>n</w:t>
            </w:r>
          </w:p>
        </w:tc>
        <w:tc>
          <w:tcPr>
            <w:tcW w:w="1158" w:type="pct"/>
            <w:tcBorders>
              <w:top w:val="single" w:sz="4" w:space="0" w:color="auto"/>
              <w:bottom w:val="single" w:sz="4" w:space="0" w:color="auto"/>
            </w:tcBorders>
          </w:tcPr>
          <w:p w14:paraId="50A2AAFE" w14:textId="77777777" w:rsidR="00277536" w:rsidRPr="00D943D6" w:rsidRDefault="00277536" w:rsidP="00A67B21">
            <w:pPr>
              <w:spacing w:before="0" w:after="0"/>
              <w:jc w:val="center"/>
              <w:rPr>
                <w:rFonts w:eastAsia="CIDFont+F4" w:cs="CIDFont+F4"/>
                <w:b/>
                <w:bCs/>
                <w:i/>
                <w:iCs/>
                <w:sz w:val="20"/>
                <w:szCs w:val="20"/>
                <w:lang w:val="sr-Latn-RS"/>
              </w:rPr>
            </w:pPr>
            <w:r>
              <w:rPr>
                <w:rFonts w:eastAsia="CIDFont+F4" w:cs="CIDFont+F4"/>
                <w:b/>
                <w:bCs/>
                <w:i/>
                <w:iCs/>
                <w:sz w:val="20"/>
                <w:szCs w:val="20"/>
                <w:lang w:val="sr-Latn-RS"/>
              </w:rPr>
              <w:t>Component</w:t>
            </w:r>
          </w:p>
        </w:tc>
        <w:tc>
          <w:tcPr>
            <w:tcW w:w="1584" w:type="pct"/>
            <w:tcBorders>
              <w:top w:val="single" w:sz="4" w:space="0" w:color="auto"/>
              <w:bottom w:val="single" w:sz="4" w:space="0" w:color="auto"/>
            </w:tcBorders>
          </w:tcPr>
          <w:p w14:paraId="0B86B03D" w14:textId="77777777" w:rsidR="00277536" w:rsidRPr="00D943D6" w:rsidRDefault="00277536" w:rsidP="00A67B21">
            <w:pPr>
              <w:spacing w:before="0" w:after="0"/>
              <w:jc w:val="center"/>
              <w:rPr>
                <w:rFonts w:eastAsia="CIDFont+F4" w:cs="CIDFont+F4"/>
                <w:b/>
                <w:bCs/>
                <w:i/>
                <w:iCs/>
                <w:sz w:val="20"/>
                <w:szCs w:val="20"/>
                <w:lang w:val="sr-Latn-RS"/>
              </w:rPr>
            </w:pPr>
            <w:r>
              <w:rPr>
                <w:rFonts w:eastAsia="CIDFont+F4" w:cs="CIDFont+F4"/>
                <w:b/>
                <w:bCs/>
                <w:i/>
                <w:iCs/>
                <w:sz w:val="20"/>
                <w:szCs w:val="20"/>
                <w:lang w:val="sr-Latn-RS"/>
              </w:rPr>
              <w:t>Type</w:t>
            </w:r>
          </w:p>
        </w:tc>
        <w:tc>
          <w:tcPr>
            <w:tcW w:w="1832" w:type="pct"/>
            <w:tcBorders>
              <w:top w:val="single" w:sz="4" w:space="0" w:color="auto"/>
              <w:bottom w:val="single" w:sz="4" w:space="0" w:color="auto"/>
            </w:tcBorders>
          </w:tcPr>
          <w:p w14:paraId="4923BF18" w14:textId="77777777" w:rsidR="00277536" w:rsidRPr="00D943D6" w:rsidRDefault="00277536" w:rsidP="00A67B21">
            <w:pPr>
              <w:spacing w:before="0" w:after="0"/>
              <w:jc w:val="center"/>
              <w:rPr>
                <w:rFonts w:eastAsia="CIDFont+F4" w:cs="CIDFont+F4"/>
                <w:b/>
                <w:bCs/>
                <w:i/>
                <w:iCs/>
                <w:sz w:val="20"/>
                <w:szCs w:val="20"/>
                <w:lang w:val="sr-Latn-RS"/>
              </w:rPr>
            </w:pPr>
            <w:r>
              <w:rPr>
                <w:rFonts w:eastAsia="CIDFont+F4" w:cs="CIDFont+F4"/>
                <w:b/>
                <w:bCs/>
                <w:i/>
                <w:iCs/>
                <w:sz w:val="20"/>
                <w:szCs w:val="20"/>
                <w:lang w:val="sr-Latn-RS"/>
              </w:rPr>
              <w:t>Characteristics/function</w:t>
            </w:r>
          </w:p>
        </w:tc>
      </w:tr>
      <w:tr w:rsidR="00277536" w:rsidRPr="005F1EE5" w14:paraId="32497580" w14:textId="77777777" w:rsidTr="00A67B21">
        <w:trPr>
          <w:trHeight w:val="291"/>
        </w:trPr>
        <w:tc>
          <w:tcPr>
            <w:tcW w:w="426" w:type="pct"/>
            <w:tcBorders>
              <w:top w:val="single" w:sz="4" w:space="0" w:color="auto"/>
            </w:tcBorders>
          </w:tcPr>
          <w:p w14:paraId="33917B52" w14:textId="77777777" w:rsidR="00277536"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1.</w:t>
            </w:r>
          </w:p>
        </w:tc>
        <w:tc>
          <w:tcPr>
            <w:tcW w:w="1158" w:type="pct"/>
            <w:tcBorders>
              <w:top w:val="single" w:sz="4" w:space="0" w:color="auto"/>
            </w:tcBorders>
          </w:tcPr>
          <w:p w14:paraId="6F34C2BE" w14:textId="40B766DE" w:rsidR="00277536" w:rsidRPr="00A86D02"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Reservoir</w:t>
            </w:r>
          </w:p>
        </w:tc>
        <w:tc>
          <w:tcPr>
            <w:tcW w:w="1584" w:type="pct"/>
            <w:tcBorders>
              <w:top w:val="single" w:sz="4" w:space="0" w:color="auto"/>
            </w:tcBorders>
          </w:tcPr>
          <w:p w14:paraId="561FD794" w14:textId="77777777" w:rsidR="00277536"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Hydraulic tank</w:t>
            </w:r>
          </w:p>
        </w:tc>
        <w:tc>
          <w:tcPr>
            <w:tcW w:w="1832" w:type="pct"/>
            <w:tcBorders>
              <w:top w:val="single" w:sz="4" w:space="0" w:color="auto"/>
            </w:tcBorders>
          </w:tcPr>
          <w:p w14:paraId="1E9E199E" w14:textId="076C57BC" w:rsidR="00277536" w:rsidRPr="00B34348"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200-litre hydraulic reservoir</w:t>
            </w:r>
          </w:p>
        </w:tc>
      </w:tr>
      <w:tr w:rsidR="00277536" w:rsidRPr="005F1EE5" w14:paraId="722F46D8" w14:textId="77777777" w:rsidTr="00A67B21">
        <w:trPr>
          <w:trHeight w:val="273"/>
        </w:trPr>
        <w:tc>
          <w:tcPr>
            <w:tcW w:w="426" w:type="pct"/>
          </w:tcPr>
          <w:p w14:paraId="472D84B1" w14:textId="77777777" w:rsidR="00277536"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2.</w:t>
            </w:r>
          </w:p>
        </w:tc>
        <w:tc>
          <w:tcPr>
            <w:tcW w:w="1158" w:type="pct"/>
          </w:tcPr>
          <w:p w14:paraId="3848684C" w14:textId="77777777" w:rsidR="00277536" w:rsidRPr="00A86D02"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Filter</w:t>
            </w:r>
          </w:p>
        </w:tc>
        <w:tc>
          <w:tcPr>
            <w:tcW w:w="1584" w:type="pct"/>
          </w:tcPr>
          <w:p w14:paraId="4CD5F7F6" w14:textId="4E3648E0" w:rsidR="00277536"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Suction filter at the pump</w:t>
            </w:r>
          </w:p>
        </w:tc>
        <w:tc>
          <w:tcPr>
            <w:tcW w:w="1832" w:type="pct"/>
          </w:tcPr>
          <w:p w14:paraId="479675BA" w14:textId="12D3F412" w:rsidR="00277536" w:rsidRPr="00B204AD"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90-micron suction filter</w:t>
            </w:r>
          </w:p>
        </w:tc>
      </w:tr>
      <w:tr w:rsidR="00277536" w:rsidRPr="005F1EE5" w14:paraId="10AD466D" w14:textId="77777777" w:rsidTr="00A67B21">
        <w:trPr>
          <w:trHeight w:val="273"/>
        </w:trPr>
        <w:tc>
          <w:tcPr>
            <w:tcW w:w="426" w:type="pct"/>
          </w:tcPr>
          <w:p w14:paraId="1ABDCA5A" w14:textId="77777777" w:rsidR="00277536"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3.</w:t>
            </w:r>
          </w:p>
        </w:tc>
        <w:tc>
          <w:tcPr>
            <w:tcW w:w="1158" w:type="pct"/>
          </w:tcPr>
          <w:p w14:paraId="7E089829" w14:textId="77777777" w:rsidR="00277536"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Pump</w:t>
            </w:r>
          </w:p>
        </w:tc>
        <w:tc>
          <w:tcPr>
            <w:tcW w:w="1584" w:type="pct"/>
          </w:tcPr>
          <w:p w14:paraId="2AC26950" w14:textId="77777777" w:rsidR="00277536"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Variable displacement axial piston</w:t>
            </w:r>
          </w:p>
        </w:tc>
        <w:tc>
          <w:tcPr>
            <w:tcW w:w="1832" w:type="pct"/>
          </w:tcPr>
          <w:p w14:paraId="7F4EE4D2" w14:textId="77777777" w:rsidR="00277536"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46 cm</w:t>
            </w:r>
            <w:r>
              <w:rPr>
                <w:rFonts w:eastAsia="CIDFont+F4" w:cs="CIDFont+F4"/>
                <w:sz w:val="20"/>
                <w:szCs w:val="20"/>
                <w:vertAlign w:val="superscript"/>
                <w:lang w:val="sr-Latn-RS"/>
              </w:rPr>
              <w:t>3</w:t>
            </w:r>
            <w:r>
              <w:rPr>
                <w:rFonts w:eastAsia="CIDFont+F4" w:cs="CIDFont+F4"/>
                <w:sz w:val="20"/>
                <w:szCs w:val="20"/>
                <w:lang w:val="sr-Latn-RS"/>
              </w:rPr>
              <w:t>/rev size axial pump</w:t>
            </w:r>
          </w:p>
        </w:tc>
      </w:tr>
      <w:tr w:rsidR="00277536" w:rsidRPr="005F1EE5" w14:paraId="3282E7F9" w14:textId="77777777" w:rsidTr="00A67B21">
        <w:trPr>
          <w:trHeight w:val="273"/>
        </w:trPr>
        <w:tc>
          <w:tcPr>
            <w:tcW w:w="426" w:type="pct"/>
          </w:tcPr>
          <w:p w14:paraId="62737A12" w14:textId="77777777" w:rsidR="00277536"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4.</w:t>
            </w:r>
          </w:p>
        </w:tc>
        <w:tc>
          <w:tcPr>
            <w:tcW w:w="1158" w:type="pct"/>
          </w:tcPr>
          <w:p w14:paraId="031EE068" w14:textId="77777777" w:rsidR="00277536"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Electromotor</w:t>
            </w:r>
          </w:p>
        </w:tc>
        <w:tc>
          <w:tcPr>
            <w:tcW w:w="1584" w:type="pct"/>
          </w:tcPr>
          <w:p w14:paraId="52939D6B" w14:textId="77777777" w:rsidR="00277536"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Three phase electric motor</w:t>
            </w:r>
          </w:p>
        </w:tc>
        <w:tc>
          <w:tcPr>
            <w:tcW w:w="1832" w:type="pct"/>
          </w:tcPr>
          <w:p w14:paraId="040AEF17" w14:textId="77777777" w:rsidR="00277536"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18.5 kW electric motor</w:t>
            </w:r>
          </w:p>
        </w:tc>
      </w:tr>
      <w:tr w:rsidR="00277536" w:rsidRPr="005F1EE5" w14:paraId="633DF03F" w14:textId="77777777" w:rsidTr="00A67B21">
        <w:trPr>
          <w:trHeight w:val="273"/>
        </w:trPr>
        <w:tc>
          <w:tcPr>
            <w:tcW w:w="426" w:type="pct"/>
          </w:tcPr>
          <w:p w14:paraId="630A1226" w14:textId="77777777" w:rsidR="00277536"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5.</w:t>
            </w:r>
          </w:p>
        </w:tc>
        <w:tc>
          <w:tcPr>
            <w:tcW w:w="1158" w:type="pct"/>
          </w:tcPr>
          <w:p w14:paraId="14671BB7" w14:textId="77777777" w:rsidR="00277536"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Valve_05</w:t>
            </w:r>
          </w:p>
        </w:tc>
        <w:tc>
          <w:tcPr>
            <w:tcW w:w="1584" w:type="pct"/>
          </w:tcPr>
          <w:p w14:paraId="529F0223" w14:textId="758D7108" w:rsidR="00277536"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Pump displacement reg.-valve</w:t>
            </w:r>
          </w:p>
        </w:tc>
        <w:tc>
          <w:tcPr>
            <w:tcW w:w="1832" w:type="pct"/>
          </w:tcPr>
          <w:p w14:paraId="3921DD92" w14:textId="77777777" w:rsidR="00277536"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Regulating swash plate angle</w:t>
            </w:r>
          </w:p>
        </w:tc>
      </w:tr>
      <w:tr w:rsidR="00277536" w:rsidRPr="005F1EE5" w14:paraId="73EA0E8E" w14:textId="77777777" w:rsidTr="00A67B21">
        <w:trPr>
          <w:trHeight w:val="273"/>
        </w:trPr>
        <w:tc>
          <w:tcPr>
            <w:tcW w:w="426" w:type="pct"/>
          </w:tcPr>
          <w:p w14:paraId="5A36824B" w14:textId="77777777" w:rsidR="00277536"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6.</w:t>
            </w:r>
          </w:p>
        </w:tc>
        <w:tc>
          <w:tcPr>
            <w:tcW w:w="1158" w:type="pct"/>
          </w:tcPr>
          <w:p w14:paraId="7831562D" w14:textId="77777777" w:rsidR="00277536"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Valve_06</w:t>
            </w:r>
          </w:p>
        </w:tc>
        <w:tc>
          <w:tcPr>
            <w:tcW w:w="1584" w:type="pct"/>
          </w:tcPr>
          <w:p w14:paraId="17C401DF" w14:textId="77777777" w:rsidR="00277536"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Solenoid 2-position valve</w:t>
            </w:r>
          </w:p>
        </w:tc>
        <w:tc>
          <w:tcPr>
            <w:tcW w:w="1832" w:type="pct"/>
          </w:tcPr>
          <w:p w14:paraId="558895DC" w14:textId="77777777" w:rsidR="00277536"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Idle-working system valve</w:t>
            </w:r>
          </w:p>
        </w:tc>
      </w:tr>
      <w:tr w:rsidR="00277536" w:rsidRPr="005F1EE5" w14:paraId="5C8897EA" w14:textId="77777777" w:rsidTr="00A67B21">
        <w:trPr>
          <w:trHeight w:val="291"/>
        </w:trPr>
        <w:tc>
          <w:tcPr>
            <w:tcW w:w="426" w:type="pct"/>
          </w:tcPr>
          <w:p w14:paraId="753D6487" w14:textId="77777777" w:rsidR="00277536" w:rsidRPr="005F1EE5"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7.</w:t>
            </w:r>
          </w:p>
        </w:tc>
        <w:tc>
          <w:tcPr>
            <w:tcW w:w="1158" w:type="pct"/>
          </w:tcPr>
          <w:p w14:paraId="4F46947D" w14:textId="77777777" w:rsidR="00277536" w:rsidRPr="005F1EE5"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Valve_07</w:t>
            </w:r>
          </w:p>
        </w:tc>
        <w:tc>
          <w:tcPr>
            <w:tcW w:w="1584" w:type="pct"/>
          </w:tcPr>
          <w:p w14:paraId="61BB6C94" w14:textId="77777777" w:rsidR="00277536" w:rsidRPr="005F1EE5"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Non-return valve</w:t>
            </w:r>
          </w:p>
        </w:tc>
        <w:tc>
          <w:tcPr>
            <w:tcW w:w="1832" w:type="pct"/>
          </w:tcPr>
          <w:p w14:paraId="6E415C8E" w14:textId="77777777" w:rsidR="00277536" w:rsidRPr="005B246F"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Valve for securing return pressure</w:t>
            </w:r>
          </w:p>
        </w:tc>
      </w:tr>
      <w:tr w:rsidR="00277536" w:rsidRPr="005F1EE5" w14:paraId="17D330F8" w14:textId="77777777" w:rsidTr="00A67B21">
        <w:trPr>
          <w:trHeight w:val="291"/>
        </w:trPr>
        <w:tc>
          <w:tcPr>
            <w:tcW w:w="426" w:type="pct"/>
          </w:tcPr>
          <w:p w14:paraId="7F38CE3C" w14:textId="77777777" w:rsidR="00277536"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8.</w:t>
            </w:r>
          </w:p>
        </w:tc>
        <w:tc>
          <w:tcPr>
            <w:tcW w:w="1158" w:type="pct"/>
          </w:tcPr>
          <w:p w14:paraId="414CD905" w14:textId="77777777" w:rsidR="00277536" w:rsidRPr="005F1EE5"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Multihandy 2045</w:t>
            </w:r>
          </w:p>
        </w:tc>
        <w:tc>
          <w:tcPr>
            <w:tcW w:w="1584" w:type="pct"/>
          </w:tcPr>
          <w:p w14:paraId="3C2E6D28" w14:textId="77777777" w:rsidR="00277536" w:rsidRPr="005F1EE5"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Pressure and flow sensor</w:t>
            </w:r>
          </w:p>
        </w:tc>
        <w:tc>
          <w:tcPr>
            <w:tcW w:w="1832" w:type="pct"/>
          </w:tcPr>
          <w:p w14:paraId="5C1E774A" w14:textId="77777777" w:rsidR="00277536" w:rsidRPr="005B246F"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Monitoring working flow and pressure</w:t>
            </w:r>
          </w:p>
        </w:tc>
      </w:tr>
      <w:tr w:rsidR="00277536" w:rsidRPr="005F1EE5" w14:paraId="7CAB96B9" w14:textId="77777777" w:rsidTr="00A67B21">
        <w:trPr>
          <w:trHeight w:val="291"/>
        </w:trPr>
        <w:tc>
          <w:tcPr>
            <w:tcW w:w="426" w:type="pct"/>
          </w:tcPr>
          <w:p w14:paraId="1C0A60D4" w14:textId="77777777" w:rsidR="00277536"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9.</w:t>
            </w:r>
          </w:p>
        </w:tc>
        <w:tc>
          <w:tcPr>
            <w:tcW w:w="1158" w:type="pct"/>
          </w:tcPr>
          <w:p w14:paraId="55316A79" w14:textId="77777777" w:rsidR="00277536" w:rsidRPr="005F1EE5"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Filter</w:t>
            </w:r>
          </w:p>
        </w:tc>
        <w:tc>
          <w:tcPr>
            <w:tcW w:w="1584" w:type="pct"/>
          </w:tcPr>
          <w:p w14:paraId="63CE8C68" w14:textId="77777777" w:rsidR="00277536" w:rsidRPr="005F1EE5"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Pressure filter</w:t>
            </w:r>
          </w:p>
        </w:tc>
        <w:tc>
          <w:tcPr>
            <w:tcW w:w="1832" w:type="pct"/>
          </w:tcPr>
          <w:p w14:paraId="05ED5391" w14:textId="6CAD1FC2" w:rsidR="00277536" w:rsidRPr="005B246F"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10-micron pressure filter</w:t>
            </w:r>
          </w:p>
        </w:tc>
      </w:tr>
      <w:tr w:rsidR="00277536" w:rsidRPr="005F1EE5" w14:paraId="04F53B18" w14:textId="77777777" w:rsidTr="00A67B21">
        <w:trPr>
          <w:trHeight w:val="291"/>
        </w:trPr>
        <w:tc>
          <w:tcPr>
            <w:tcW w:w="426" w:type="pct"/>
          </w:tcPr>
          <w:p w14:paraId="5DC2281F" w14:textId="77777777" w:rsidR="00277536"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10.</w:t>
            </w:r>
          </w:p>
        </w:tc>
        <w:tc>
          <w:tcPr>
            <w:tcW w:w="1158" w:type="pct"/>
          </w:tcPr>
          <w:p w14:paraId="7C8A2345" w14:textId="77777777" w:rsidR="00277536" w:rsidRPr="005F1EE5"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Directional valve</w:t>
            </w:r>
          </w:p>
        </w:tc>
        <w:tc>
          <w:tcPr>
            <w:tcW w:w="1584" w:type="pct"/>
          </w:tcPr>
          <w:p w14:paraId="5A78117D" w14:textId="77777777" w:rsidR="00277536" w:rsidRPr="005F1EE5"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4/3 solenoid valve</w:t>
            </w:r>
          </w:p>
        </w:tc>
        <w:tc>
          <w:tcPr>
            <w:tcW w:w="1832" w:type="pct"/>
          </w:tcPr>
          <w:p w14:paraId="4B43D954" w14:textId="54383A82" w:rsidR="00277536" w:rsidRPr="005B246F"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Controlling actuators’ position</w:t>
            </w:r>
          </w:p>
        </w:tc>
      </w:tr>
      <w:tr w:rsidR="00277536" w:rsidRPr="005F1EE5" w14:paraId="137C3012" w14:textId="77777777" w:rsidTr="00A67B21">
        <w:trPr>
          <w:trHeight w:val="291"/>
        </w:trPr>
        <w:tc>
          <w:tcPr>
            <w:tcW w:w="426" w:type="pct"/>
          </w:tcPr>
          <w:p w14:paraId="4EE8B773" w14:textId="77777777" w:rsidR="00277536"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11.</w:t>
            </w:r>
          </w:p>
        </w:tc>
        <w:tc>
          <w:tcPr>
            <w:tcW w:w="1158" w:type="pct"/>
          </w:tcPr>
          <w:p w14:paraId="50D2854D" w14:textId="77777777" w:rsidR="00277536" w:rsidRPr="005F1EE5"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Directional valve</w:t>
            </w:r>
          </w:p>
        </w:tc>
        <w:tc>
          <w:tcPr>
            <w:tcW w:w="1584" w:type="pct"/>
          </w:tcPr>
          <w:p w14:paraId="3750C299" w14:textId="77777777" w:rsidR="00277536" w:rsidRPr="005F1EE5"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4/3 Proportional directional valve</w:t>
            </w:r>
          </w:p>
        </w:tc>
        <w:tc>
          <w:tcPr>
            <w:tcW w:w="1832" w:type="pct"/>
          </w:tcPr>
          <w:p w14:paraId="30464971" w14:textId="532A0AEE" w:rsidR="00277536" w:rsidRPr="005B246F"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Flow control to the actuator</w:t>
            </w:r>
          </w:p>
        </w:tc>
      </w:tr>
      <w:tr w:rsidR="00277536" w:rsidRPr="005F1EE5" w14:paraId="769F7C51" w14:textId="77777777" w:rsidTr="00A67B21">
        <w:trPr>
          <w:trHeight w:val="291"/>
        </w:trPr>
        <w:tc>
          <w:tcPr>
            <w:tcW w:w="426" w:type="pct"/>
          </w:tcPr>
          <w:p w14:paraId="1E4CE8F9" w14:textId="77777777" w:rsidR="00277536"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12.</w:t>
            </w:r>
          </w:p>
        </w:tc>
        <w:tc>
          <w:tcPr>
            <w:tcW w:w="1158" w:type="pct"/>
          </w:tcPr>
          <w:p w14:paraId="07926869" w14:textId="77777777" w:rsidR="00277536" w:rsidRPr="005F1EE5"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Flow regulators</w:t>
            </w:r>
          </w:p>
        </w:tc>
        <w:tc>
          <w:tcPr>
            <w:tcW w:w="1584" w:type="pct"/>
          </w:tcPr>
          <w:p w14:paraId="16BC305B" w14:textId="77777777" w:rsidR="00277536" w:rsidRPr="005F1EE5"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Flow regulating valves</w:t>
            </w:r>
          </w:p>
        </w:tc>
        <w:tc>
          <w:tcPr>
            <w:tcW w:w="1832" w:type="pct"/>
          </w:tcPr>
          <w:p w14:paraId="4C97CCFA" w14:textId="1901E5D6" w:rsidR="00277536" w:rsidRPr="005B246F"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Controlling the saddle</w:t>
            </w:r>
          </w:p>
        </w:tc>
      </w:tr>
      <w:tr w:rsidR="00277536" w:rsidRPr="005F1EE5" w14:paraId="2566991D" w14:textId="77777777" w:rsidTr="00A67B21">
        <w:trPr>
          <w:trHeight w:val="291"/>
        </w:trPr>
        <w:tc>
          <w:tcPr>
            <w:tcW w:w="426" w:type="pct"/>
          </w:tcPr>
          <w:p w14:paraId="5F712609" w14:textId="77777777" w:rsidR="00277536"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13.</w:t>
            </w:r>
          </w:p>
        </w:tc>
        <w:tc>
          <w:tcPr>
            <w:tcW w:w="1158" w:type="pct"/>
          </w:tcPr>
          <w:p w14:paraId="12CD15CB" w14:textId="77777777" w:rsidR="00277536" w:rsidRPr="005F1EE5"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Actuators</w:t>
            </w:r>
          </w:p>
        </w:tc>
        <w:tc>
          <w:tcPr>
            <w:tcW w:w="1584" w:type="pct"/>
          </w:tcPr>
          <w:p w14:paraId="60C9BD26" w14:textId="1CF2BF88" w:rsidR="00277536" w:rsidRPr="005F1EE5"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Rock &amp; pinion cylinder</w:t>
            </w:r>
          </w:p>
        </w:tc>
        <w:tc>
          <w:tcPr>
            <w:tcW w:w="1832" w:type="pct"/>
          </w:tcPr>
          <w:p w14:paraId="366A41AF" w14:textId="46C37A50" w:rsidR="00277536" w:rsidRPr="005B246F"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Controlling the position of the saddle</w:t>
            </w:r>
          </w:p>
        </w:tc>
      </w:tr>
      <w:tr w:rsidR="00277536" w:rsidRPr="005F1EE5" w14:paraId="28E47D40" w14:textId="77777777" w:rsidTr="00A67B21">
        <w:trPr>
          <w:trHeight w:val="291"/>
        </w:trPr>
        <w:tc>
          <w:tcPr>
            <w:tcW w:w="426" w:type="pct"/>
            <w:tcBorders>
              <w:bottom w:val="single" w:sz="4" w:space="0" w:color="auto"/>
            </w:tcBorders>
          </w:tcPr>
          <w:p w14:paraId="61A592F7" w14:textId="6B482C49" w:rsidR="00277536"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1</w:t>
            </w:r>
            <w:r w:rsidR="00A504DD">
              <w:rPr>
                <w:rFonts w:eastAsia="CIDFont+F4" w:cs="CIDFont+F4"/>
                <w:sz w:val="20"/>
                <w:szCs w:val="20"/>
                <w:lang w:val="sr-Latn-RS"/>
              </w:rPr>
              <w:t>4</w:t>
            </w:r>
            <w:r>
              <w:rPr>
                <w:rFonts w:eastAsia="CIDFont+F4" w:cs="CIDFont+F4"/>
                <w:sz w:val="20"/>
                <w:szCs w:val="20"/>
                <w:lang w:val="sr-Latn-RS"/>
              </w:rPr>
              <w:t>.</w:t>
            </w:r>
          </w:p>
        </w:tc>
        <w:tc>
          <w:tcPr>
            <w:tcW w:w="1158" w:type="pct"/>
            <w:tcBorders>
              <w:bottom w:val="single" w:sz="4" w:space="0" w:color="auto"/>
            </w:tcBorders>
          </w:tcPr>
          <w:p w14:paraId="2803F7C1" w14:textId="77777777" w:rsidR="00277536" w:rsidRPr="005F1EE5"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Contamination sensors</w:t>
            </w:r>
          </w:p>
        </w:tc>
        <w:tc>
          <w:tcPr>
            <w:tcW w:w="1584" w:type="pct"/>
            <w:tcBorders>
              <w:bottom w:val="single" w:sz="4" w:space="0" w:color="auto"/>
            </w:tcBorders>
          </w:tcPr>
          <w:p w14:paraId="3B4481C7" w14:textId="296A2916" w:rsidR="00277536" w:rsidRPr="005F1EE5"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Particle and water sensors</w:t>
            </w:r>
          </w:p>
        </w:tc>
        <w:tc>
          <w:tcPr>
            <w:tcW w:w="1832" w:type="pct"/>
            <w:tcBorders>
              <w:bottom w:val="single" w:sz="4" w:space="0" w:color="auto"/>
            </w:tcBorders>
          </w:tcPr>
          <w:p w14:paraId="4E3380E4" w14:textId="7C3CA601" w:rsidR="00277536" w:rsidRPr="005B246F" w:rsidRDefault="00277536" w:rsidP="00A67B21">
            <w:pPr>
              <w:spacing w:before="0" w:after="0"/>
              <w:jc w:val="center"/>
              <w:rPr>
                <w:rFonts w:eastAsia="CIDFont+F4" w:cs="CIDFont+F4"/>
                <w:sz w:val="20"/>
                <w:szCs w:val="20"/>
                <w:lang w:val="sr-Latn-RS"/>
              </w:rPr>
            </w:pPr>
            <w:r>
              <w:rPr>
                <w:rFonts w:eastAsia="CIDFont+F4" w:cs="CIDFont+F4"/>
                <w:sz w:val="20"/>
                <w:szCs w:val="20"/>
                <w:lang w:val="sr-Latn-RS"/>
              </w:rPr>
              <w:t>Monitoring water sat. and particles</w:t>
            </w:r>
          </w:p>
        </w:tc>
      </w:tr>
    </w:tbl>
    <w:p w14:paraId="0FE0D1C8" w14:textId="772B03F5" w:rsidR="007B193E" w:rsidRDefault="00385505" w:rsidP="00D91E20">
      <w:pPr>
        <w:keepNext/>
        <w:jc w:val="center"/>
      </w:pPr>
      <w:r w:rsidRPr="00385505">
        <w:rPr>
          <w:noProof/>
        </w:rPr>
        <w:lastRenderedPageBreak/>
        <w:drawing>
          <wp:inline distT="0" distB="0" distL="0" distR="0" wp14:anchorId="3DA4DDD3" wp14:editId="392E5015">
            <wp:extent cx="5732145" cy="6469380"/>
            <wp:effectExtent l="0" t="0" r="1905"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32145" cy="6469380"/>
                    </a:xfrm>
                    <a:prstGeom prst="rect">
                      <a:avLst/>
                    </a:prstGeom>
                    <a:noFill/>
                    <a:ln>
                      <a:noFill/>
                    </a:ln>
                  </pic:spPr>
                </pic:pic>
              </a:graphicData>
            </a:graphic>
          </wp:inline>
        </w:drawing>
      </w:r>
    </w:p>
    <w:p w14:paraId="22A9B5A4" w14:textId="11244956" w:rsidR="007B193E" w:rsidRDefault="00CB6DC6" w:rsidP="00CB6DC6">
      <w:pPr>
        <w:pStyle w:val="Caption"/>
      </w:pPr>
      <w:bookmarkStart w:id="389" w:name="_Ref93422019"/>
      <w:bookmarkStart w:id="390" w:name="_Toc101274564"/>
      <w:r>
        <w:t xml:space="preserve">Figure </w:t>
      </w:r>
      <w:fldSimple w:instr=" SEQ Figure \* ARABIC ">
        <w:r w:rsidR="00587AF0">
          <w:rPr>
            <w:noProof/>
          </w:rPr>
          <w:t>42</w:t>
        </w:r>
      </w:fldSimple>
      <w:bookmarkEnd w:id="389"/>
      <w:r>
        <w:t xml:space="preserve">. Hydraulic </w:t>
      </w:r>
      <w:r w:rsidR="00B34348">
        <w:t xml:space="preserve">scheme </w:t>
      </w:r>
      <w:r>
        <w:t>for rubber mixing machine for opening and closing the saddle</w:t>
      </w:r>
      <w:bookmarkEnd w:id="390"/>
    </w:p>
    <w:p w14:paraId="23353214" w14:textId="47227ED3" w:rsidR="00B34348" w:rsidRPr="00B34348" w:rsidRDefault="0074036D" w:rsidP="00B34348">
      <w:r>
        <w:t xml:space="preserve">The system works based on the following. In </w:t>
      </w:r>
      <w:r w:rsidR="00D31D4B">
        <w:t xml:space="preserve">the idle </w:t>
      </w:r>
      <w:r>
        <w:t xml:space="preserve">(pre-start) </w:t>
      </w:r>
      <w:r w:rsidR="00D31D4B">
        <w:t>phase, the pump is working at low pressure before the temperature sensor triggers the regulation valve of the pump (6) for starting the hydraulic cycle. After the initiation of the pressure rise solenoid valve (10) is activated, and the flow is transferred to cylinders (13). The cylinders are returned from the fully opened position to the fully closed. Immediately after cylinders (13) retraction, the Rack and pinion cylinder (14) are activated over the proportional valve (11). The saddle speed is regulated by fast movement in the first 2 seconds and slowed down approximately 2.5 seconds. This is the opening saddle (OS) position. Before the position sensor activates the proportional valve, the approximate time is around 8 seconds. This is the idle saddle (IS) position and is used to allow the process mass of the rubber to be ejected from the mixer. The closing saddle (CS) regime is performed the same way as it was a regime in closing. The rack and pinion cylinder (13) return the saddle to the primary position, and linear cylinders (11) act as a saddle's security door.</w:t>
      </w:r>
    </w:p>
    <w:p w14:paraId="54CDC744" w14:textId="12983C63" w:rsidR="00866D94" w:rsidRDefault="005A4639" w:rsidP="002F245B">
      <w:pPr>
        <w:keepNext/>
        <w:jc w:val="center"/>
      </w:pPr>
      <w:r>
        <w:rPr>
          <w:noProof/>
        </w:rPr>
        <w:lastRenderedPageBreak/>
        <w:drawing>
          <wp:inline distT="0" distB="0" distL="0" distR="0" wp14:anchorId="75516CD1" wp14:editId="40C2F88A">
            <wp:extent cx="5732145" cy="3689985"/>
            <wp:effectExtent l="0" t="0" r="0" b="5715"/>
            <wp:docPr id="37" name="Picture 3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32145" cy="3689985"/>
                    </a:xfrm>
                    <a:prstGeom prst="rect">
                      <a:avLst/>
                    </a:prstGeom>
                  </pic:spPr>
                </pic:pic>
              </a:graphicData>
            </a:graphic>
          </wp:inline>
        </w:drawing>
      </w:r>
    </w:p>
    <w:p w14:paraId="75626F9D" w14:textId="7F89D90E" w:rsidR="00866D94" w:rsidRDefault="00866D94" w:rsidP="00866D94">
      <w:pPr>
        <w:pStyle w:val="Caption"/>
      </w:pPr>
      <w:bookmarkStart w:id="391" w:name="_Ref93476793"/>
      <w:bookmarkStart w:id="392" w:name="_Toc101274565"/>
      <w:r>
        <w:t xml:space="preserve">Figure </w:t>
      </w:r>
      <w:fldSimple w:instr=" SEQ Figure \* ARABIC ">
        <w:r w:rsidR="00587AF0">
          <w:rPr>
            <w:noProof/>
          </w:rPr>
          <w:t>43</w:t>
        </w:r>
      </w:fldSimple>
      <w:bookmarkEnd w:id="391"/>
      <w:r>
        <w:t xml:space="preserve">. Work tact of the </w:t>
      </w:r>
      <w:r w:rsidR="002C0296">
        <w:t>experimental hydraulic</w:t>
      </w:r>
      <w:r>
        <w:t xml:space="preserve"> system</w:t>
      </w:r>
      <w:bookmarkEnd w:id="392"/>
    </w:p>
    <w:p w14:paraId="0A9E481D" w14:textId="1224F601" w:rsidR="00866D94" w:rsidRDefault="00A504DD" w:rsidP="00554046">
      <w:pPr>
        <w:pStyle w:val="Heading3"/>
      </w:pPr>
      <w:bookmarkStart w:id="393" w:name="_Ref100910132"/>
      <w:bookmarkStart w:id="394" w:name="_Toc101274370"/>
      <w:r>
        <w:t>Lubricant condition monitoring data – hydraulic fluid</w:t>
      </w:r>
      <w:bookmarkEnd w:id="393"/>
      <w:bookmarkEnd w:id="394"/>
    </w:p>
    <w:p w14:paraId="110D47C6" w14:textId="58C1FE61" w:rsidR="00A43584" w:rsidRDefault="00A43584" w:rsidP="00A43584">
      <w:pPr>
        <w:rPr>
          <w:lang w:val="sr-Latn-RS"/>
        </w:rPr>
      </w:pPr>
      <w:r>
        <w:rPr>
          <w:lang w:val="sr-Latn-RS"/>
        </w:rPr>
        <w:t>The fluid’s primary function in the hydraulic system is trans</w:t>
      </w:r>
      <w:r w:rsidR="00485DA8">
        <w:rPr>
          <w:lang w:val="sr-Latn-RS"/>
        </w:rPr>
        <w:t>ferring</w:t>
      </w:r>
      <w:r>
        <w:rPr>
          <w:lang w:val="sr-Latn-RS"/>
        </w:rPr>
        <w:t xml:space="preserve"> forces and motion</w:t>
      </w:r>
      <w:r w:rsidR="00485DA8">
        <w:rPr>
          <w:lang w:val="sr-Latn-RS"/>
        </w:rPr>
        <w:t>, i.e.,</w:t>
      </w:r>
      <w:r w:rsidR="00377964">
        <w:rPr>
          <w:lang w:val="sr-Latn-RS"/>
        </w:rPr>
        <w:t xml:space="preserve"> </w:t>
      </w:r>
      <w:r w:rsidR="00377964" w:rsidRPr="00377964">
        <w:rPr>
          <w:lang w:val="sr-Latn-RS"/>
        </w:rPr>
        <w:t>transferring power</w:t>
      </w:r>
      <w:r>
        <w:rPr>
          <w:lang w:val="sr-Latn-RS"/>
        </w:rPr>
        <w:t xml:space="preserve">. Besides, hydraulic fluid is also responsible for lubricating the components’, </w:t>
      </w:r>
      <w:r w:rsidR="0074036D">
        <w:rPr>
          <w:lang w:val="sr-Latn-RS"/>
        </w:rPr>
        <w:t xml:space="preserve">behaving as </w:t>
      </w:r>
      <w:r>
        <w:rPr>
          <w:lang w:val="sr-Latn-RS"/>
        </w:rPr>
        <w:t xml:space="preserve">heat medium, sealing medium, antiwear and antioxidant medium. Considering the system’s reliability and energy-conserving properties, it is crucial to </w:t>
      </w:r>
      <w:r w:rsidR="00045EE7">
        <w:rPr>
          <w:lang w:val="sr-Latn-RS"/>
        </w:rPr>
        <w:t>select fluids based on the working conditions properly</w:t>
      </w:r>
      <w:r>
        <w:rPr>
          <w:lang w:val="sr-Latn-RS"/>
        </w:rPr>
        <w:t xml:space="preserve"> (</w:t>
      </w:r>
      <w:r w:rsidR="00045EE7">
        <w:rPr>
          <w:lang w:val="sr-Latn-RS"/>
        </w:rPr>
        <w:t xml:space="preserve">e.g., </w:t>
      </w:r>
      <w:r>
        <w:rPr>
          <w:lang w:val="sr-Latn-RS"/>
        </w:rPr>
        <w:t>working pressure, environment temperature, working regime). Depending on the features (e.g., EP-AW additives, resistance to ageing, thermal stability, viscosity, water mixing ability)</w:t>
      </w:r>
      <w:r w:rsidR="004D2604">
        <w:rPr>
          <w:lang w:val="sr-Latn-RS"/>
        </w:rPr>
        <w:t>,</w:t>
      </w:r>
      <w:r>
        <w:rPr>
          <w:lang w:val="sr-Latn-RS"/>
        </w:rPr>
        <w:t xml:space="preserve"> oil with proper characteristics must be selected to sustain the required demands.</w:t>
      </w:r>
      <w:r w:rsidR="001F71CF">
        <w:rPr>
          <w:lang w:val="sr-Latn-RS"/>
        </w:rPr>
        <w:t xml:space="preserve"> As suggested by the OEM for the specific machine used in the experiment</w:t>
      </w:r>
      <w:r w:rsidR="004D2604">
        <w:rPr>
          <w:lang w:val="sr-Latn-RS"/>
        </w:rPr>
        <w:t>,</w:t>
      </w:r>
      <w:r w:rsidR="001F71CF">
        <w:rPr>
          <w:lang w:val="sr-Latn-RS"/>
        </w:rPr>
        <w:t xml:space="preserve"> HLP 46 hydraulic fluid is used. The HLP</w:t>
      </w:r>
      <w:r w:rsidR="0074036D">
        <w:rPr>
          <w:lang w:val="sr-Latn-RS"/>
        </w:rPr>
        <w:t xml:space="preserve"> </w:t>
      </w:r>
      <w:r w:rsidR="001F71CF">
        <w:rPr>
          <w:lang w:val="sr-Latn-RS"/>
        </w:rPr>
        <w:t>46 is a conventional hydraulic mineral fluid with anti-wear additives meeting DIN 51524 part 2 standard requirements and ISO viscosity grade</w:t>
      </w:r>
      <w:r w:rsidR="0018193A">
        <w:rPr>
          <w:lang w:val="sr-Latn-RS"/>
        </w:rPr>
        <w:t xml:space="preserve">, and as </w:t>
      </w:r>
      <w:r w:rsidR="0074036D">
        <w:rPr>
          <w:lang w:val="sr-Latn-RS"/>
        </w:rPr>
        <w:t>such will be used for analysis by online (instruments) and offline (sampling) monitoring.</w:t>
      </w:r>
    </w:p>
    <w:p w14:paraId="108A865F" w14:textId="15E9FBFE" w:rsidR="00654A19" w:rsidRDefault="00654A19" w:rsidP="00654A19">
      <w:pPr>
        <w:pStyle w:val="Caption"/>
        <w:jc w:val="left"/>
      </w:pPr>
      <w:bookmarkStart w:id="395" w:name="_Toc101274459"/>
      <w:r>
        <w:t xml:space="preserve">Table </w:t>
      </w:r>
      <w:fldSimple w:instr=" SEQ Table \* ARABIC ">
        <w:r w:rsidR="00587AF0">
          <w:rPr>
            <w:noProof/>
          </w:rPr>
          <w:t>19</w:t>
        </w:r>
      </w:fldSimple>
      <w:r>
        <w:t>. HLP 46 fluid characteristics from OEM</w:t>
      </w:r>
      <w:bookmarkEnd w:id="395"/>
    </w:p>
    <w:tbl>
      <w:tblPr>
        <w:tblW w:w="5000" w:type="pct"/>
        <w:tblLook w:val="04A0" w:firstRow="1" w:lastRow="0" w:firstColumn="1" w:lastColumn="0" w:noHBand="0" w:noVBand="1"/>
      </w:tblPr>
      <w:tblGrid>
        <w:gridCol w:w="2910"/>
        <w:gridCol w:w="2620"/>
        <w:gridCol w:w="1609"/>
        <w:gridCol w:w="1888"/>
      </w:tblGrid>
      <w:tr w:rsidR="00654A19" w:rsidRPr="005F1EE5" w14:paraId="10F3CD17" w14:textId="168A9EF3" w:rsidTr="00B204AD">
        <w:trPr>
          <w:trHeight w:val="273"/>
        </w:trPr>
        <w:tc>
          <w:tcPr>
            <w:tcW w:w="1612" w:type="pct"/>
            <w:tcBorders>
              <w:top w:val="single" w:sz="4" w:space="0" w:color="auto"/>
              <w:bottom w:val="single" w:sz="4" w:space="0" w:color="auto"/>
            </w:tcBorders>
          </w:tcPr>
          <w:p w14:paraId="07EFFA81" w14:textId="22AB0187" w:rsidR="00654A19" w:rsidRPr="00D943D6" w:rsidRDefault="00654A19" w:rsidP="00C05E86">
            <w:pPr>
              <w:spacing w:before="0" w:after="0"/>
              <w:jc w:val="center"/>
              <w:rPr>
                <w:rFonts w:eastAsia="CIDFont+F4" w:cs="CIDFont+F4"/>
                <w:b/>
                <w:bCs/>
                <w:i/>
                <w:iCs/>
                <w:sz w:val="20"/>
                <w:szCs w:val="20"/>
                <w:lang w:val="sr-Latn-RS"/>
              </w:rPr>
            </w:pPr>
            <w:r>
              <w:rPr>
                <w:rFonts w:eastAsia="CIDFont+F4" w:cs="CIDFont+F4"/>
                <w:b/>
                <w:bCs/>
                <w:i/>
                <w:iCs/>
                <w:sz w:val="20"/>
                <w:szCs w:val="20"/>
                <w:lang w:val="sr-Latn-RS"/>
              </w:rPr>
              <w:t>Propert</w:t>
            </w:r>
            <w:r w:rsidR="00B204AD">
              <w:rPr>
                <w:rFonts w:eastAsia="CIDFont+F4" w:cs="CIDFont+F4"/>
                <w:b/>
                <w:bCs/>
                <w:i/>
                <w:iCs/>
                <w:sz w:val="20"/>
                <w:szCs w:val="20"/>
                <w:lang w:val="sr-Latn-RS"/>
              </w:rPr>
              <w:t>ies</w:t>
            </w:r>
          </w:p>
        </w:tc>
        <w:tc>
          <w:tcPr>
            <w:tcW w:w="1451" w:type="pct"/>
            <w:tcBorders>
              <w:top w:val="single" w:sz="4" w:space="0" w:color="auto"/>
              <w:bottom w:val="single" w:sz="4" w:space="0" w:color="auto"/>
            </w:tcBorders>
          </w:tcPr>
          <w:p w14:paraId="1C69E79B" w14:textId="301CD6AA" w:rsidR="00654A19" w:rsidRPr="00D943D6" w:rsidRDefault="00654A19" w:rsidP="00C05E86">
            <w:pPr>
              <w:spacing w:before="0" w:after="0"/>
              <w:jc w:val="center"/>
              <w:rPr>
                <w:rFonts w:eastAsia="CIDFont+F4" w:cs="CIDFont+F4"/>
                <w:b/>
                <w:bCs/>
                <w:i/>
                <w:iCs/>
                <w:sz w:val="20"/>
                <w:szCs w:val="20"/>
                <w:lang w:val="sr-Latn-RS"/>
              </w:rPr>
            </w:pPr>
            <w:r>
              <w:rPr>
                <w:rFonts w:eastAsia="CIDFont+F4" w:cs="CIDFont+F4"/>
                <w:b/>
                <w:bCs/>
                <w:i/>
                <w:iCs/>
                <w:sz w:val="20"/>
                <w:szCs w:val="20"/>
                <w:lang w:val="sr-Latn-RS"/>
              </w:rPr>
              <w:t>Standard</w:t>
            </w:r>
          </w:p>
        </w:tc>
        <w:tc>
          <w:tcPr>
            <w:tcW w:w="891" w:type="pct"/>
            <w:tcBorders>
              <w:top w:val="single" w:sz="4" w:space="0" w:color="auto"/>
              <w:bottom w:val="single" w:sz="4" w:space="0" w:color="auto"/>
            </w:tcBorders>
          </w:tcPr>
          <w:p w14:paraId="25E6D663" w14:textId="2787B4BB" w:rsidR="00654A19" w:rsidRPr="00D943D6" w:rsidRDefault="00654A19" w:rsidP="00C05E86">
            <w:pPr>
              <w:spacing w:before="0" w:after="0"/>
              <w:jc w:val="center"/>
              <w:rPr>
                <w:rFonts w:eastAsia="CIDFont+F4" w:cs="CIDFont+F4"/>
                <w:b/>
                <w:bCs/>
                <w:i/>
                <w:iCs/>
                <w:sz w:val="20"/>
                <w:szCs w:val="20"/>
                <w:lang w:val="sr-Latn-RS"/>
              </w:rPr>
            </w:pPr>
            <w:r>
              <w:rPr>
                <w:rFonts w:eastAsia="CIDFont+F4" w:cs="CIDFont+F4"/>
                <w:b/>
                <w:bCs/>
                <w:i/>
                <w:iCs/>
                <w:sz w:val="20"/>
                <w:szCs w:val="20"/>
                <w:lang w:val="sr-Latn-RS"/>
              </w:rPr>
              <w:t>Unit</w:t>
            </w:r>
          </w:p>
        </w:tc>
        <w:tc>
          <w:tcPr>
            <w:tcW w:w="1047" w:type="pct"/>
            <w:tcBorders>
              <w:top w:val="single" w:sz="4" w:space="0" w:color="auto"/>
              <w:bottom w:val="single" w:sz="4" w:space="0" w:color="auto"/>
            </w:tcBorders>
          </w:tcPr>
          <w:p w14:paraId="5F008480" w14:textId="6B899B6D" w:rsidR="00654A19" w:rsidRDefault="00654A19" w:rsidP="00C05E86">
            <w:pPr>
              <w:spacing w:before="0" w:after="0"/>
              <w:jc w:val="center"/>
              <w:rPr>
                <w:rFonts w:eastAsia="CIDFont+F4" w:cs="CIDFont+F4"/>
                <w:b/>
                <w:bCs/>
                <w:i/>
                <w:iCs/>
                <w:sz w:val="20"/>
                <w:szCs w:val="20"/>
                <w:lang w:val="sr-Latn-RS"/>
              </w:rPr>
            </w:pPr>
            <w:r>
              <w:rPr>
                <w:rFonts w:eastAsia="CIDFont+F4" w:cs="CIDFont+F4"/>
                <w:b/>
                <w:bCs/>
                <w:i/>
                <w:iCs/>
                <w:sz w:val="20"/>
                <w:szCs w:val="20"/>
                <w:lang w:val="sr-Latn-RS"/>
              </w:rPr>
              <w:t>Value</w:t>
            </w:r>
          </w:p>
        </w:tc>
      </w:tr>
      <w:tr w:rsidR="00654A19" w:rsidRPr="005F1EE5" w14:paraId="08CF107D" w14:textId="31E8137E" w:rsidTr="00B204AD">
        <w:trPr>
          <w:trHeight w:val="291"/>
        </w:trPr>
        <w:tc>
          <w:tcPr>
            <w:tcW w:w="1612" w:type="pct"/>
            <w:tcBorders>
              <w:top w:val="single" w:sz="4" w:space="0" w:color="auto"/>
            </w:tcBorders>
          </w:tcPr>
          <w:p w14:paraId="740F9803" w14:textId="507C6101" w:rsidR="00654A19" w:rsidRPr="00A86D02" w:rsidRDefault="00B204AD" w:rsidP="00C05E86">
            <w:pPr>
              <w:spacing w:before="0" w:after="0"/>
              <w:jc w:val="center"/>
              <w:rPr>
                <w:rFonts w:eastAsia="CIDFont+F4" w:cs="CIDFont+F4"/>
                <w:sz w:val="20"/>
                <w:szCs w:val="20"/>
                <w:lang w:val="sr-Latn-RS"/>
              </w:rPr>
            </w:pPr>
            <w:r>
              <w:rPr>
                <w:rFonts w:eastAsia="CIDFont+F4" w:cs="CIDFont+F4"/>
                <w:sz w:val="20"/>
                <w:szCs w:val="20"/>
                <w:lang w:val="sr-Latn-RS"/>
              </w:rPr>
              <w:t>Colo</w:t>
            </w:r>
            <w:r w:rsidR="002C0296">
              <w:rPr>
                <w:rFonts w:eastAsia="CIDFont+F4" w:cs="CIDFont+F4"/>
                <w:sz w:val="20"/>
                <w:szCs w:val="20"/>
                <w:lang w:val="sr-Latn-RS"/>
              </w:rPr>
              <w:t>u</w:t>
            </w:r>
            <w:r>
              <w:rPr>
                <w:rFonts w:eastAsia="CIDFont+F4" w:cs="CIDFont+F4"/>
                <w:sz w:val="20"/>
                <w:szCs w:val="20"/>
                <w:lang w:val="sr-Latn-RS"/>
              </w:rPr>
              <w:t>r</w:t>
            </w:r>
          </w:p>
        </w:tc>
        <w:tc>
          <w:tcPr>
            <w:tcW w:w="1451" w:type="pct"/>
            <w:tcBorders>
              <w:top w:val="single" w:sz="4" w:space="0" w:color="auto"/>
            </w:tcBorders>
          </w:tcPr>
          <w:p w14:paraId="15478ED3" w14:textId="23706CEF" w:rsidR="00654A19" w:rsidRDefault="00B204AD" w:rsidP="00C05E86">
            <w:pPr>
              <w:spacing w:before="0" w:after="0"/>
              <w:jc w:val="center"/>
              <w:rPr>
                <w:rFonts w:eastAsia="CIDFont+F4" w:cs="CIDFont+F4"/>
                <w:sz w:val="20"/>
                <w:szCs w:val="20"/>
                <w:lang w:val="sr-Latn-RS"/>
              </w:rPr>
            </w:pPr>
            <w:r>
              <w:rPr>
                <w:rFonts w:eastAsia="CIDFont+F4" w:cs="CIDFont+F4"/>
                <w:sz w:val="20"/>
                <w:szCs w:val="20"/>
                <w:lang w:val="sr-Latn-RS"/>
              </w:rPr>
              <w:t>ASTM D 1500</w:t>
            </w:r>
          </w:p>
        </w:tc>
        <w:tc>
          <w:tcPr>
            <w:tcW w:w="891" w:type="pct"/>
            <w:tcBorders>
              <w:top w:val="single" w:sz="4" w:space="0" w:color="auto"/>
            </w:tcBorders>
          </w:tcPr>
          <w:p w14:paraId="753EDF22" w14:textId="2B0FD714" w:rsidR="00654A19" w:rsidRPr="005F72BC" w:rsidRDefault="00B204AD" w:rsidP="00C05E86">
            <w:pPr>
              <w:spacing w:before="0" w:after="0"/>
              <w:jc w:val="center"/>
              <w:rPr>
                <w:rFonts w:eastAsia="CIDFont+F4" w:cs="CIDFont+F4"/>
                <w:sz w:val="20"/>
                <w:szCs w:val="20"/>
                <w:lang w:val="sr-Latn-RS"/>
              </w:rPr>
            </w:pPr>
            <w:r>
              <w:rPr>
                <w:rFonts w:eastAsia="CIDFont+F4" w:cs="CIDFont+F4"/>
                <w:sz w:val="20"/>
                <w:szCs w:val="20"/>
                <w:lang w:val="sr-Latn-RS"/>
              </w:rPr>
              <w:t>-</w:t>
            </w:r>
          </w:p>
        </w:tc>
        <w:tc>
          <w:tcPr>
            <w:tcW w:w="1047" w:type="pct"/>
            <w:tcBorders>
              <w:top w:val="single" w:sz="4" w:space="0" w:color="auto"/>
            </w:tcBorders>
          </w:tcPr>
          <w:p w14:paraId="2F409F51" w14:textId="01CE62C0" w:rsidR="00654A19" w:rsidRDefault="00B204AD" w:rsidP="00C05E86">
            <w:pPr>
              <w:spacing w:before="0" w:after="0"/>
              <w:jc w:val="center"/>
              <w:rPr>
                <w:rFonts w:eastAsia="CIDFont+F4" w:cs="CIDFont+F4"/>
                <w:sz w:val="20"/>
                <w:szCs w:val="20"/>
                <w:lang w:val="sr-Latn-RS"/>
              </w:rPr>
            </w:pPr>
            <w:r>
              <w:rPr>
                <w:rFonts w:eastAsia="CIDFont+F4" w:cs="CIDFont+F4"/>
                <w:sz w:val="20"/>
                <w:szCs w:val="20"/>
                <w:lang w:val="sr-Latn-RS"/>
              </w:rPr>
              <w:t>1.5</w:t>
            </w:r>
          </w:p>
        </w:tc>
      </w:tr>
      <w:tr w:rsidR="00654A19" w:rsidRPr="005F1EE5" w14:paraId="5ACE7656" w14:textId="5D2CB865" w:rsidTr="00B204AD">
        <w:trPr>
          <w:trHeight w:val="273"/>
        </w:trPr>
        <w:tc>
          <w:tcPr>
            <w:tcW w:w="1612" w:type="pct"/>
          </w:tcPr>
          <w:p w14:paraId="0AB84B67" w14:textId="5EF2CCC4" w:rsidR="00654A19" w:rsidRPr="00A86D02" w:rsidRDefault="00B204AD" w:rsidP="00C05E86">
            <w:pPr>
              <w:spacing w:before="0" w:after="0"/>
              <w:jc w:val="center"/>
              <w:rPr>
                <w:rFonts w:eastAsia="CIDFont+F4" w:cs="CIDFont+F4"/>
                <w:sz w:val="20"/>
                <w:szCs w:val="20"/>
                <w:lang w:val="sr-Latn-RS"/>
              </w:rPr>
            </w:pPr>
            <w:r>
              <w:rPr>
                <w:rFonts w:eastAsia="CIDFont+F4" w:cs="CIDFont+F4"/>
                <w:sz w:val="20"/>
                <w:szCs w:val="20"/>
                <w:lang w:val="sr-Latn-RS"/>
              </w:rPr>
              <w:t>Kinematic viscosity 40°C</w:t>
            </w:r>
          </w:p>
        </w:tc>
        <w:tc>
          <w:tcPr>
            <w:tcW w:w="1451" w:type="pct"/>
          </w:tcPr>
          <w:p w14:paraId="5B31668A" w14:textId="54FE18F2" w:rsidR="00654A19" w:rsidRDefault="00B204AD" w:rsidP="00C05E86">
            <w:pPr>
              <w:spacing w:before="0" w:after="0"/>
              <w:jc w:val="center"/>
              <w:rPr>
                <w:rFonts w:eastAsia="CIDFont+F4" w:cs="CIDFont+F4"/>
                <w:sz w:val="20"/>
                <w:szCs w:val="20"/>
                <w:lang w:val="sr-Latn-RS"/>
              </w:rPr>
            </w:pPr>
            <w:r>
              <w:rPr>
                <w:rFonts w:eastAsia="CIDFont+F4" w:cs="CIDFont+F4"/>
                <w:sz w:val="20"/>
                <w:szCs w:val="20"/>
                <w:lang w:val="sr-Latn-RS"/>
              </w:rPr>
              <w:t>ASTM D</w:t>
            </w:r>
            <w:r w:rsidR="005B246F">
              <w:rPr>
                <w:rFonts w:eastAsia="CIDFont+F4" w:cs="CIDFont+F4"/>
                <w:sz w:val="20"/>
                <w:szCs w:val="20"/>
                <w:lang w:val="sr-Latn-RS"/>
              </w:rPr>
              <w:t xml:space="preserve"> </w:t>
            </w:r>
            <w:r>
              <w:rPr>
                <w:rFonts w:eastAsia="CIDFont+F4" w:cs="CIDFont+F4"/>
                <w:sz w:val="20"/>
                <w:szCs w:val="20"/>
                <w:lang w:val="sr-Latn-RS"/>
              </w:rPr>
              <w:t>445</w:t>
            </w:r>
          </w:p>
        </w:tc>
        <w:tc>
          <w:tcPr>
            <w:tcW w:w="891" w:type="pct"/>
          </w:tcPr>
          <w:p w14:paraId="113797D9" w14:textId="64D28E13" w:rsidR="00654A19" w:rsidRPr="00B204AD" w:rsidRDefault="00B204AD" w:rsidP="00C05E86">
            <w:pPr>
              <w:spacing w:before="0" w:after="0"/>
              <w:jc w:val="center"/>
              <w:rPr>
                <w:rFonts w:eastAsia="CIDFont+F4" w:cs="CIDFont+F4"/>
                <w:sz w:val="20"/>
                <w:szCs w:val="20"/>
                <w:lang w:val="sr-Latn-RS"/>
              </w:rPr>
            </w:pPr>
            <w:r>
              <w:rPr>
                <w:rFonts w:eastAsia="CIDFont+F4" w:cs="CIDFont+F4"/>
                <w:sz w:val="20"/>
                <w:szCs w:val="20"/>
                <w:lang w:val="sr-Latn-RS"/>
              </w:rPr>
              <w:t>mm</w:t>
            </w:r>
            <w:r>
              <w:rPr>
                <w:rFonts w:eastAsia="CIDFont+F4" w:cs="CIDFont+F4"/>
                <w:sz w:val="20"/>
                <w:szCs w:val="20"/>
                <w:vertAlign w:val="superscript"/>
                <w:lang w:val="sr-Latn-RS"/>
              </w:rPr>
              <w:t>2</w:t>
            </w:r>
            <w:r>
              <w:rPr>
                <w:rFonts w:eastAsia="CIDFont+F4" w:cs="CIDFont+F4"/>
                <w:sz w:val="20"/>
                <w:szCs w:val="20"/>
                <w:lang w:val="sr-Latn-RS"/>
              </w:rPr>
              <w:t>/s</w:t>
            </w:r>
          </w:p>
        </w:tc>
        <w:tc>
          <w:tcPr>
            <w:tcW w:w="1047" w:type="pct"/>
          </w:tcPr>
          <w:p w14:paraId="17AAEFF5" w14:textId="5AD87E00" w:rsidR="00654A19" w:rsidRDefault="00B204AD" w:rsidP="00C05E86">
            <w:pPr>
              <w:spacing w:before="0" w:after="0"/>
              <w:jc w:val="center"/>
              <w:rPr>
                <w:rFonts w:eastAsia="CIDFont+F4" w:cs="CIDFont+F4"/>
                <w:sz w:val="20"/>
                <w:szCs w:val="20"/>
                <w:lang w:val="sr-Latn-RS"/>
              </w:rPr>
            </w:pPr>
            <w:r>
              <w:rPr>
                <w:rFonts w:eastAsia="CIDFont+F4" w:cs="CIDFont+F4"/>
                <w:sz w:val="20"/>
                <w:szCs w:val="20"/>
                <w:lang w:val="sr-Latn-RS"/>
              </w:rPr>
              <w:t>46</w:t>
            </w:r>
          </w:p>
        </w:tc>
      </w:tr>
      <w:tr w:rsidR="00B204AD" w:rsidRPr="005F1EE5" w14:paraId="13357EF9" w14:textId="77777777" w:rsidTr="00B204AD">
        <w:trPr>
          <w:trHeight w:val="273"/>
        </w:trPr>
        <w:tc>
          <w:tcPr>
            <w:tcW w:w="1612" w:type="pct"/>
          </w:tcPr>
          <w:p w14:paraId="70375E33" w14:textId="23A66B86" w:rsidR="00B204AD" w:rsidRDefault="00B204AD" w:rsidP="00C05E86">
            <w:pPr>
              <w:spacing w:before="0" w:after="0"/>
              <w:jc w:val="center"/>
              <w:rPr>
                <w:rFonts w:eastAsia="CIDFont+F4" w:cs="CIDFont+F4"/>
                <w:sz w:val="20"/>
                <w:szCs w:val="20"/>
                <w:lang w:val="sr-Latn-RS"/>
              </w:rPr>
            </w:pPr>
            <w:r>
              <w:rPr>
                <w:rFonts w:eastAsia="CIDFont+F4" w:cs="CIDFont+F4"/>
                <w:sz w:val="20"/>
                <w:szCs w:val="20"/>
                <w:lang w:val="sr-Latn-RS"/>
              </w:rPr>
              <w:t>Kinematic viscosity 100°C</w:t>
            </w:r>
          </w:p>
        </w:tc>
        <w:tc>
          <w:tcPr>
            <w:tcW w:w="1451" w:type="pct"/>
          </w:tcPr>
          <w:p w14:paraId="1725ADE3" w14:textId="2A1DD195" w:rsidR="00B204AD" w:rsidRDefault="00B204AD" w:rsidP="00C05E86">
            <w:pPr>
              <w:spacing w:before="0" w:after="0"/>
              <w:jc w:val="center"/>
              <w:rPr>
                <w:rFonts w:eastAsia="CIDFont+F4" w:cs="CIDFont+F4"/>
                <w:sz w:val="20"/>
                <w:szCs w:val="20"/>
                <w:lang w:val="sr-Latn-RS"/>
              </w:rPr>
            </w:pPr>
            <w:r>
              <w:rPr>
                <w:rFonts w:eastAsia="CIDFont+F4" w:cs="CIDFont+F4"/>
                <w:sz w:val="20"/>
                <w:szCs w:val="20"/>
                <w:lang w:val="sr-Latn-RS"/>
              </w:rPr>
              <w:t>ASTM D</w:t>
            </w:r>
            <w:r w:rsidR="005B246F">
              <w:rPr>
                <w:rFonts w:eastAsia="CIDFont+F4" w:cs="CIDFont+F4"/>
                <w:sz w:val="20"/>
                <w:szCs w:val="20"/>
                <w:lang w:val="sr-Latn-RS"/>
              </w:rPr>
              <w:t xml:space="preserve"> </w:t>
            </w:r>
            <w:r>
              <w:rPr>
                <w:rFonts w:eastAsia="CIDFont+F4" w:cs="CIDFont+F4"/>
                <w:sz w:val="20"/>
                <w:szCs w:val="20"/>
                <w:lang w:val="sr-Latn-RS"/>
              </w:rPr>
              <w:t>445</w:t>
            </w:r>
          </w:p>
        </w:tc>
        <w:tc>
          <w:tcPr>
            <w:tcW w:w="891" w:type="pct"/>
          </w:tcPr>
          <w:p w14:paraId="1B8C8B8C" w14:textId="43225984" w:rsidR="00B204AD" w:rsidRDefault="00B204AD" w:rsidP="00C05E86">
            <w:pPr>
              <w:spacing w:before="0" w:after="0"/>
              <w:jc w:val="center"/>
              <w:rPr>
                <w:rFonts w:eastAsia="CIDFont+F4" w:cs="CIDFont+F4"/>
                <w:sz w:val="20"/>
                <w:szCs w:val="20"/>
                <w:lang w:val="sr-Latn-RS"/>
              </w:rPr>
            </w:pPr>
            <w:r>
              <w:rPr>
                <w:rFonts w:eastAsia="CIDFont+F4" w:cs="CIDFont+F4"/>
                <w:sz w:val="20"/>
                <w:szCs w:val="20"/>
                <w:lang w:val="sr-Latn-RS"/>
              </w:rPr>
              <w:t>mm</w:t>
            </w:r>
            <w:r>
              <w:rPr>
                <w:rFonts w:eastAsia="CIDFont+F4" w:cs="CIDFont+F4"/>
                <w:sz w:val="20"/>
                <w:szCs w:val="20"/>
                <w:vertAlign w:val="superscript"/>
                <w:lang w:val="sr-Latn-RS"/>
              </w:rPr>
              <w:t>2</w:t>
            </w:r>
            <w:r>
              <w:rPr>
                <w:rFonts w:eastAsia="CIDFont+F4" w:cs="CIDFont+F4"/>
                <w:sz w:val="20"/>
                <w:szCs w:val="20"/>
                <w:lang w:val="sr-Latn-RS"/>
              </w:rPr>
              <w:t>/s</w:t>
            </w:r>
          </w:p>
        </w:tc>
        <w:tc>
          <w:tcPr>
            <w:tcW w:w="1047" w:type="pct"/>
          </w:tcPr>
          <w:p w14:paraId="79D24888" w14:textId="08D52C06" w:rsidR="00B204AD" w:rsidRDefault="00B204AD" w:rsidP="00C05E86">
            <w:pPr>
              <w:spacing w:before="0" w:after="0"/>
              <w:jc w:val="center"/>
              <w:rPr>
                <w:rFonts w:eastAsia="CIDFont+F4" w:cs="CIDFont+F4"/>
                <w:sz w:val="20"/>
                <w:szCs w:val="20"/>
                <w:lang w:val="sr-Latn-RS"/>
              </w:rPr>
            </w:pPr>
            <w:r>
              <w:rPr>
                <w:rFonts w:eastAsia="CIDFont+F4" w:cs="CIDFont+F4"/>
                <w:sz w:val="20"/>
                <w:szCs w:val="20"/>
                <w:lang w:val="sr-Latn-RS"/>
              </w:rPr>
              <w:t>97</w:t>
            </w:r>
          </w:p>
        </w:tc>
      </w:tr>
      <w:tr w:rsidR="00B204AD" w:rsidRPr="005F1EE5" w14:paraId="1EC94CF0" w14:textId="77777777" w:rsidTr="00B204AD">
        <w:trPr>
          <w:trHeight w:val="273"/>
        </w:trPr>
        <w:tc>
          <w:tcPr>
            <w:tcW w:w="1612" w:type="pct"/>
          </w:tcPr>
          <w:p w14:paraId="78ED84F3" w14:textId="470C851B" w:rsidR="00B204AD" w:rsidRDefault="00B204AD" w:rsidP="00C05E86">
            <w:pPr>
              <w:spacing w:before="0" w:after="0"/>
              <w:jc w:val="center"/>
              <w:rPr>
                <w:rFonts w:eastAsia="CIDFont+F4" w:cs="CIDFont+F4"/>
                <w:sz w:val="20"/>
                <w:szCs w:val="20"/>
                <w:lang w:val="sr-Latn-RS"/>
              </w:rPr>
            </w:pPr>
            <w:r>
              <w:rPr>
                <w:rFonts w:eastAsia="CIDFont+F4" w:cs="CIDFont+F4"/>
                <w:sz w:val="20"/>
                <w:szCs w:val="20"/>
                <w:lang w:val="sr-Latn-RS"/>
              </w:rPr>
              <w:t>Viscosity index</w:t>
            </w:r>
          </w:p>
        </w:tc>
        <w:tc>
          <w:tcPr>
            <w:tcW w:w="1451" w:type="pct"/>
          </w:tcPr>
          <w:p w14:paraId="4B124F58" w14:textId="788FB395" w:rsidR="00B204AD" w:rsidRDefault="00B204AD" w:rsidP="00C05E86">
            <w:pPr>
              <w:spacing w:before="0" w:after="0"/>
              <w:jc w:val="center"/>
              <w:rPr>
                <w:rFonts w:eastAsia="CIDFont+F4" w:cs="CIDFont+F4"/>
                <w:sz w:val="20"/>
                <w:szCs w:val="20"/>
                <w:lang w:val="sr-Latn-RS"/>
              </w:rPr>
            </w:pPr>
            <w:r>
              <w:rPr>
                <w:rFonts w:eastAsia="CIDFont+F4" w:cs="CIDFont+F4"/>
                <w:sz w:val="20"/>
                <w:szCs w:val="20"/>
                <w:lang w:val="sr-Latn-RS"/>
              </w:rPr>
              <w:t>ASTM D 2270</w:t>
            </w:r>
          </w:p>
        </w:tc>
        <w:tc>
          <w:tcPr>
            <w:tcW w:w="891" w:type="pct"/>
          </w:tcPr>
          <w:p w14:paraId="187AC08F" w14:textId="17D10362" w:rsidR="00B204AD" w:rsidRDefault="00B204AD" w:rsidP="00C05E86">
            <w:pPr>
              <w:spacing w:before="0" w:after="0"/>
              <w:jc w:val="center"/>
              <w:rPr>
                <w:rFonts w:eastAsia="CIDFont+F4" w:cs="CIDFont+F4"/>
                <w:sz w:val="20"/>
                <w:szCs w:val="20"/>
                <w:lang w:val="sr-Latn-RS"/>
              </w:rPr>
            </w:pPr>
            <w:r>
              <w:rPr>
                <w:rFonts w:eastAsia="CIDFont+F4" w:cs="CIDFont+F4"/>
                <w:sz w:val="20"/>
                <w:szCs w:val="20"/>
                <w:lang w:val="sr-Latn-RS"/>
              </w:rPr>
              <w:t>-</w:t>
            </w:r>
          </w:p>
        </w:tc>
        <w:tc>
          <w:tcPr>
            <w:tcW w:w="1047" w:type="pct"/>
          </w:tcPr>
          <w:p w14:paraId="3839DC68" w14:textId="45C4AEE4" w:rsidR="00B204AD" w:rsidRDefault="00B204AD" w:rsidP="00C05E86">
            <w:pPr>
              <w:spacing w:before="0" w:after="0"/>
              <w:jc w:val="center"/>
              <w:rPr>
                <w:rFonts w:eastAsia="CIDFont+F4" w:cs="CIDFont+F4"/>
                <w:sz w:val="20"/>
                <w:szCs w:val="20"/>
                <w:lang w:val="sr-Latn-RS"/>
              </w:rPr>
            </w:pPr>
            <w:r>
              <w:rPr>
                <w:rFonts w:eastAsia="CIDFont+F4" w:cs="CIDFont+F4"/>
                <w:sz w:val="20"/>
                <w:szCs w:val="20"/>
                <w:lang w:val="sr-Latn-RS"/>
              </w:rPr>
              <w:t>97</w:t>
            </w:r>
          </w:p>
        </w:tc>
      </w:tr>
      <w:tr w:rsidR="00B204AD" w:rsidRPr="005F1EE5" w14:paraId="4CE95606" w14:textId="77777777" w:rsidTr="00B204AD">
        <w:trPr>
          <w:trHeight w:val="273"/>
        </w:trPr>
        <w:tc>
          <w:tcPr>
            <w:tcW w:w="1612" w:type="pct"/>
          </w:tcPr>
          <w:p w14:paraId="73D5518A" w14:textId="079A9496" w:rsidR="00B204AD" w:rsidRDefault="005B246F" w:rsidP="00C05E86">
            <w:pPr>
              <w:spacing w:before="0" w:after="0"/>
              <w:jc w:val="center"/>
              <w:rPr>
                <w:rFonts w:eastAsia="CIDFont+F4" w:cs="CIDFont+F4"/>
                <w:sz w:val="20"/>
                <w:szCs w:val="20"/>
                <w:lang w:val="sr-Latn-RS"/>
              </w:rPr>
            </w:pPr>
            <w:r>
              <w:rPr>
                <w:rFonts w:eastAsia="CIDFont+F4" w:cs="CIDFont+F4"/>
                <w:sz w:val="20"/>
                <w:szCs w:val="20"/>
                <w:lang w:val="sr-Latn-RS"/>
              </w:rPr>
              <w:t>Total acid number</w:t>
            </w:r>
          </w:p>
        </w:tc>
        <w:tc>
          <w:tcPr>
            <w:tcW w:w="1451" w:type="pct"/>
          </w:tcPr>
          <w:p w14:paraId="59A60C80" w14:textId="2C894B63" w:rsidR="00B204AD" w:rsidRDefault="005B246F" w:rsidP="00C05E86">
            <w:pPr>
              <w:spacing w:before="0" w:after="0"/>
              <w:jc w:val="center"/>
              <w:rPr>
                <w:rFonts w:eastAsia="CIDFont+F4" w:cs="CIDFont+F4"/>
                <w:sz w:val="20"/>
                <w:szCs w:val="20"/>
                <w:lang w:val="sr-Latn-RS"/>
              </w:rPr>
            </w:pPr>
            <w:r>
              <w:rPr>
                <w:rFonts w:eastAsia="CIDFont+F4" w:cs="CIDFont+F4"/>
                <w:sz w:val="20"/>
                <w:szCs w:val="20"/>
                <w:lang w:val="sr-Latn-RS"/>
              </w:rPr>
              <w:t>ASTM D 664</w:t>
            </w:r>
          </w:p>
        </w:tc>
        <w:tc>
          <w:tcPr>
            <w:tcW w:w="891" w:type="pct"/>
          </w:tcPr>
          <w:p w14:paraId="523A5D98" w14:textId="322FADAD" w:rsidR="00B204AD" w:rsidRDefault="005B246F" w:rsidP="00C05E86">
            <w:pPr>
              <w:spacing w:before="0" w:after="0"/>
              <w:jc w:val="center"/>
              <w:rPr>
                <w:rFonts w:eastAsia="CIDFont+F4" w:cs="CIDFont+F4"/>
                <w:sz w:val="20"/>
                <w:szCs w:val="20"/>
                <w:lang w:val="sr-Latn-RS"/>
              </w:rPr>
            </w:pPr>
            <w:r>
              <w:rPr>
                <w:rFonts w:eastAsia="CIDFont+F4" w:cs="CIDFont+F4"/>
                <w:sz w:val="20"/>
                <w:szCs w:val="20"/>
                <w:lang w:val="sr-Latn-RS"/>
              </w:rPr>
              <w:t>mg KOH/g</w:t>
            </w:r>
          </w:p>
        </w:tc>
        <w:tc>
          <w:tcPr>
            <w:tcW w:w="1047" w:type="pct"/>
          </w:tcPr>
          <w:p w14:paraId="24257AEB" w14:textId="05910CF9" w:rsidR="00B204AD" w:rsidRDefault="005B246F" w:rsidP="00C05E86">
            <w:pPr>
              <w:spacing w:before="0" w:after="0"/>
              <w:jc w:val="center"/>
              <w:rPr>
                <w:rFonts w:eastAsia="CIDFont+F4" w:cs="CIDFont+F4"/>
                <w:sz w:val="20"/>
                <w:szCs w:val="20"/>
                <w:lang w:val="sr-Latn-RS"/>
              </w:rPr>
            </w:pPr>
            <w:r>
              <w:rPr>
                <w:rFonts w:eastAsia="CIDFont+F4" w:cs="CIDFont+F4"/>
                <w:sz w:val="20"/>
                <w:szCs w:val="20"/>
                <w:lang w:val="sr-Latn-RS"/>
              </w:rPr>
              <w:t>0.8</w:t>
            </w:r>
          </w:p>
        </w:tc>
      </w:tr>
      <w:tr w:rsidR="00B204AD" w:rsidRPr="005F1EE5" w14:paraId="59B1425F" w14:textId="77777777" w:rsidTr="00B204AD">
        <w:trPr>
          <w:trHeight w:val="273"/>
        </w:trPr>
        <w:tc>
          <w:tcPr>
            <w:tcW w:w="1612" w:type="pct"/>
          </w:tcPr>
          <w:p w14:paraId="54AE7676" w14:textId="66C84693" w:rsidR="00B204AD" w:rsidRDefault="005B246F" w:rsidP="00C05E86">
            <w:pPr>
              <w:spacing w:before="0" w:after="0"/>
              <w:jc w:val="center"/>
              <w:rPr>
                <w:rFonts w:eastAsia="CIDFont+F4" w:cs="CIDFont+F4"/>
                <w:sz w:val="20"/>
                <w:szCs w:val="20"/>
                <w:lang w:val="sr-Latn-RS"/>
              </w:rPr>
            </w:pPr>
            <w:r>
              <w:rPr>
                <w:rFonts w:eastAsia="CIDFont+F4" w:cs="CIDFont+F4"/>
                <w:sz w:val="20"/>
                <w:szCs w:val="20"/>
                <w:lang w:val="sr-Latn-RS"/>
              </w:rPr>
              <w:t>Pour point</w:t>
            </w:r>
          </w:p>
        </w:tc>
        <w:tc>
          <w:tcPr>
            <w:tcW w:w="1451" w:type="pct"/>
          </w:tcPr>
          <w:p w14:paraId="44037D56" w14:textId="0BEE7719" w:rsidR="00B204AD" w:rsidRDefault="005B246F" w:rsidP="00C05E86">
            <w:pPr>
              <w:spacing w:before="0" w:after="0"/>
              <w:jc w:val="center"/>
              <w:rPr>
                <w:rFonts w:eastAsia="CIDFont+F4" w:cs="CIDFont+F4"/>
                <w:sz w:val="20"/>
                <w:szCs w:val="20"/>
                <w:lang w:val="sr-Latn-RS"/>
              </w:rPr>
            </w:pPr>
            <w:r>
              <w:rPr>
                <w:rFonts w:eastAsia="CIDFont+F4" w:cs="CIDFont+F4"/>
                <w:sz w:val="20"/>
                <w:szCs w:val="20"/>
                <w:lang w:val="sr-Latn-RS"/>
              </w:rPr>
              <w:t>ASTM D 5949</w:t>
            </w:r>
          </w:p>
        </w:tc>
        <w:tc>
          <w:tcPr>
            <w:tcW w:w="891" w:type="pct"/>
          </w:tcPr>
          <w:p w14:paraId="54EC185E" w14:textId="577B8DD0" w:rsidR="00B204AD" w:rsidRDefault="005B246F" w:rsidP="00C05E86">
            <w:pPr>
              <w:spacing w:before="0" w:after="0"/>
              <w:jc w:val="center"/>
              <w:rPr>
                <w:rFonts w:eastAsia="CIDFont+F4" w:cs="CIDFont+F4"/>
                <w:sz w:val="20"/>
                <w:szCs w:val="20"/>
                <w:lang w:val="sr-Latn-RS"/>
              </w:rPr>
            </w:pPr>
            <w:r>
              <w:rPr>
                <w:rFonts w:eastAsia="CIDFont+F4" w:cs="CIDFont+F4"/>
                <w:sz w:val="20"/>
                <w:szCs w:val="20"/>
                <w:lang w:val="sr-Latn-RS"/>
              </w:rPr>
              <w:t>°C</w:t>
            </w:r>
          </w:p>
        </w:tc>
        <w:tc>
          <w:tcPr>
            <w:tcW w:w="1047" w:type="pct"/>
          </w:tcPr>
          <w:p w14:paraId="006FBCF9" w14:textId="31A737D1" w:rsidR="00B204AD" w:rsidRDefault="005B246F" w:rsidP="00C05E86">
            <w:pPr>
              <w:spacing w:before="0" w:after="0"/>
              <w:jc w:val="center"/>
              <w:rPr>
                <w:rFonts w:eastAsia="CIDFont+F4" w:cs="CIDFont+F4"/>
                <w:sz w:val="20"/>
                <w:szCs w:val="20"/>
                <w:lang w:val="sr-Latn-RS"/>
              </w:rPr>
            </w:pPr>
            <w:r>
              <w:rPr>
                <w:rFonts w:eastAsia="CIDFont+F4" w:cs="CIDFont+F4"/>
                <w:sz w:val="20"/>
                <w:szCs w:val="20"/>
                <w:lang w:val="sr-Latn-RS"/>
              </w:rPr>
              <w:t>-30</w:t>
            </w:r>
          </w:p>
        </w:tc>
      </w:tr>
      <w:tr w:rsidR="00654A19" w:rsidRPr="005F1EE5" w14:paraId="4A3ADA2A" w14:textId="13C447BF" w:rsidTr="00B204AD">
        <w:trPr>
          <w:trHeight w:val="291"/>
        </w:trPr>
        <w:tc>
          <w:tcPr>
            <w:tcW w:w="1612" w:type="pct"/>
          </w:tcPr>
          <w:p w14:paraId="3D9EA20D" w14:textId="7382D61B" w:rsidR="00654A19" w:rsidRPr="005F1EE5" w:rsidRDefault="005B246F" w:rsidP="00C05E86">
            <w:pPr>
              <w:spacing w:before="0" w:after="0"/>
              <w:jc w:val="center"/>
              <w:rPr>
                <w:rFonts w:eastAsia="CIDFont+F4" w:cs="CIDFont+F4"/>
                <w:sz w:val="20"/>
                <w:szCs w:val="20"/>
                <w:lang w:val="sr-Latn-RS"/>
              </w:rPr>
            </w:pPr>
            <w:r>
              <w:rPr>
                <w:rFonts w:eastAsia="CIDFont+F4" w:cs="CIDFont+F4"/>
                <w:sz w:val="20"/>
                <w:szCs w:val="20"/>
                <w:lang w:val="sr-Latn-RS"/>
              </w:rPr>
              <w:t>Specific gravity @ 15.6 °C</w:t>
            </w:r>
          </w:p>
        </w:tc>
        <w:tc>
          <w:tcPr>
            <w:tcW w:w="1451" w:type="pct"/>
          </w:tcPr>
          <w:p w14:paraId="09BB9A47" w14:textId="57E45AE2" w:rsidR="00654A19" w:rsidRPr="005F1EE5" w:rsidRDefault="005B246F" w:rsidP="00C05E86">
            <w:pPr>
              <w:spacing w:before="0" w:after="0"/>
              <w:jc w:val="center"/>
              <w:rPr>
                <w:rFonts w:eastAsia="CIDFont+F4" w:cs="CIDFont+F4"/>
                <w:sz w:val="20"/>
                <w:szCs w:val="20"/>
                <w:lang w:val="sr-Latn-RS"/>
              </w:rPr>
            </w:pPr>
            <w:r>
              <w:rPr>
                <w:rFonts w:eastAsia="CIDFont+F4" w:cs="CIDFont+F4"/>
                <w:sz w:val="20"/>
                <w:szCs w:val="20"/>
                <w:lang w:val="sr-Latn-RS"/>
              </w:rPr>
              <w:t>ASTM D 4052</w:t>
            </w:r>
          </w:p>
        </w:tc>
        <w:tc>
          <w:tcPr>
            <w:tcW w:w="891" w:type="pct"/>
          </w:tcPr>
          <w:p w14:paraId="7D1A4931" w14:textId="1C337376" w:rsidR="00654A19" w:rsidRPr="005B246F" w:rsidRDefault="005B246F" w:rsidP="00C05E86">
            <w:pPr>
              <w:spacing w:before="0" w:after="0"/>
              <w:jc w:val="center"/>
              <w:rPr>
                <w:rFonts w:eastAsia="CIDFont+F4" w:cs="CIDFont+F4"/>
                <w:sz w:val="20"/>
                <w:szCs w:val="20"/>
                <w:lang w:val="sr-Latn-RS"/>
              </w:rPr>
            </w:pPr>
            <w:r w:rsidRPr="005B246F">
              <w:rPr>
                <w:rFonts w:eastAsia="CIDFont+F4" w:cs="CIDFont+F4"/>
                <w:sz w:val="20"/>
                <w:szCs w:val="20"/>
                <w:lang w:val="sr-Latn-RS"/>
              </w:rPr>
              <w:t>g/cm</w:t>
            </w:r>
            <w:r w:rsidRPr="005B246F">
              <w:rPr>
                <w:rFonts w:eastAsia="CIDFont+F4" w:cs="CIDFont+F4"/>
                <w:sz w:val="20"/>
                <w:szCs w:val="20"/>
                <w:vertAlign w:val="superscript"/>
                <w:lang w:val="sr-Latn-RS"/>
              </w:rPr>
              <w:t>3</w:t>
            </w:r>
          </w:p>
        </w:tc>
        <w:tc>
          <w:tcPr>
            <w:tcW w:w="1047" w:type="pct"/>
          </w:tcPr>
          <w:p w14:paraId="6C0137A3" w14:textId="3000F442" w:rsidR="00654A19" w:rsidRDefault="005B246F" w:rsidP="00C05E86">
            <w:pPr>
              <w:spacing w:before="0" w:after="0"/>
              <w:jc w:val="center"/>
              <w:rPr>
                <w:rFonts w:eastAsia="CIDFont+F4" w:cs="CIDFont+F4"/>
                <w:sz w:val="20"/>
                <w:szCs w:val="20"/>
                <w:lang w:val="sr-Latn-RS"/>
              </w:rPr>
            </w:pPr>
            <w:r>
              <w:rPr>
                <w:rFonts w:eastAsia="CIDFont+F4" w:cs="CIDFont+F4"/>
                <w:sz w:val="20"/>
                <w:szCs w:val="20"/>
                <w:lang w:val="sr-Latn-RS"/>
              </w:rPr>
              <w:t>0.878</w:t>
            </w:r>
          </w:p>
        </w:tc>
      </w:tr>
      <w:tr w:rsidR="00654A19" w:rsidRPr="005F1EE5" w14:paraId="1584709A" w14:textId="05C04C79" w:rsidTr="00B204AD">
        <w:trPr>
          <w:trHeight w:val="273"/>
        </w:trPr>
        <w:tc>
          <w:tcPr>
            <w:tcW w:w="1612" w:type="pct"/>
            <w:tcBorders>
              <w:bottom w:val="single" w:sz="4" w:space="0" w:color="auto"/>
            </w:tcBorders>
          </w:tcPr>
          <w:p w14:paraId="23DBCAFE" w14:textId="50F43BE0" w:rsidR="00654A19" w:rsidRDefault="005B246F" w:rsidP="00C05E86">
            <w:pPr>
              <w:spacing w:before="0" w:after="0"/>
              <w:jc w:val="center"/>
              <w:rPr>
                <w:rFonts w:eastAsia="CIDFont+F4" w:cs="CIDFont+F4"/>
                <w:sz w:val="20"/>
                <w:szCs w:val="20"/>
                <w:lang w:val="sr-Latn-RS"/>
              </w:rPr>
            </w:pPr>
            <w:r>
              <w:rPr>
                <w:rFonts w:eastAsia="CIDFont+F4" w:cs="CIDFont+F4"/>
                <w:sz w:val="20"/>
                <w:szCs w:val="20"/>
                <w:lang w:val="sr-Latn-RS"/>
              </w:rPr>
              <w:t>Flash point</w:t>
            </w:r>
          </w:p>
        </w:tc>
        <w:tc>
          <w:tcPr>
            <w:tcW w:w="1451" w:type="pct"/>
            <w:tcBorders>
              <w:bottom w:val="single" w:sz="4" w:space="0" w:color="auto"/>
            </w:tcBorders>
          </w:tcPr>
          <w:p w14:paraId="42072F7D" w14:textId="19344777" w:rsidR="00654A19" w:rsidRDefault="005B246F" w:rsidP="00C05E86">
            <w:pPr>
              <w:spacing w:before="0" w:after="0"/>
              <w:jc w:val="center"/>
              <w:rPr>
                <w:rFonts w:eastAsia="CIDFont+F4" w:cs="CIDFont+F4"/>
                <w:sz w:val="20"/>
                <w:szCs w:val="20"/>
                <w:lang w:val="sr-Latn-RS"/>
              </w:rPr>
            </w:pPr>
            <w:r>
              <w:rPr>
                <w:rFonts w:eastAsia="CIDFont+F4" w:cs="CIDFont+F4"/>
                <w:sz w:val="20"/>
                <w:szCs w:val="20"/>
                <w:lang w:val="sr-Latn-RS"/>
              </w:rPr>
              <w:t>ASTM 92</w:t>
            </w:r>
          </w:p>
        </w:tc>
        <w:tc>
          <w:tcPr>
            <w:tcW w:w="891" w:type="pct"/>
            <w:tcBorders>
              <w:bottom w:val="single" w:sz="4" w:space="0" w:color="auto"/>
            </w:tcBorders>
          </w:tcPr>
          <w:p w14:paraId="28B5B79C" w14:textId="5ABD8337" w:rsidR="00654A19" w:rsidRPr="005F72BC" w:rsidRDefault="005B246F" w:rsidP="00C05E86">
            <w:pPr>
              <w:spacing w:before="0" w:after="0"/>
              <w:jc w:val="center"/>
              <w:rPr>
                <w:rFonts w:eastAsia="CIDFont+F4" w:cs="CIDFont+F4"/>
                <w:sz w:val="20"/>
                <w:szCs w:val="20"/>
                <w:lang w:val="sr-Latn-RS"/>
              </w:rPr>
            </w:pPr>
            <w:r>
              <w:rPr>
                <w:rFonts w:eastAsia="CIDFont+F4" w:cs="CIDFont+F4"/>
                <w:sz w:val="20"/>
                <w:szCs w:val="20"/>
                <w:lang w:val="sr-Latn-RS"/>
              </w:rPr>
              <w:t>°C</w:t>
            </w:r>
          </w:p>
        </w:tc>
        <w:tc>
          <w:tcPr>
            <w:tcW w:w="1047" w:type="pct"/>
            <w:tcBorders>
              <w:bottom w:val="single" w:sz="4" w:space="0" w:color="auto"/>
            </w:tcBorders>
          </w:tcPr>
          <w:p w14:paraId="3D4272EF" w14:textId="30F670FC" w:rsidR="00654A19" w:rsidRDefault="005B246F" w:rsidP="00C05E86">
            <w:pPr>
              <w:spacing w:before="0" w:after="0"/>
              <w:jc w:val="center"/>
              <w:rPr>
                <w:rFonts w:eastAsia="CIDFont+F4" w:cs="CIDFont+F4"/>
                <w:sz w:val="20"/>
                <w:szCs w:val="20"/>
                <w:lang w:val="sr-Latn-RS"/>
              </w:rPr>
            </w:pPr>
            <w:r>
              <w:rPr>
                <w:rFonts w:eastAsia="CIDFont+F4" w:cs="CIDFont+F4"/>
                <w:sz w:val="20"/>
                <w:szCs w:val="20"/>
                <w:lang w:val="sr-Latn-RS"/>
              </w:rPr>
              <w:t>227</w:t>
            </w:r>
          </w:p>
        </w:tc>
      </w:tr>
    </w:tbl>
    <w:p w14:paraId="36A9E278" w14:textId="0F13B5FD" w:rsidR="00545B1C" w:rsidRDefault="00545B1C" w:rsidP="0082760D">
      <w:r w:rsidRPr="00545B1C">
        <w:t>The first goal of extracting oil samples from the system is to maximize the information density</w:t>
      </w:r>
      <w:r w:rsidR="000A3209">
        <w:t xml:space="preserve"> </w:t>
      </w:r>
      <w:r w:rsidR="000A3209">
        <w:fldChar w:fldCharType="begin" w:fldLock="1"/>
      </w:r>
      <w:r w:rsidR="00645D0B">
        <w:instrText>ADDIN CSL_CITATION {"citationItems":[{"id":"ITEM-1","itemData":{"ISSN":"15363937","author":[{"dropping-particle":"","family":"Fitch","given":"Jim","non-dropping-particle":"","parse-names":false,"suffix":""},{"dropping-particle":"","family":"Troyer","given":"Drew","non-dropping-particle":"","parse-names":false,"suffix":""}],"container-title":"Practicing Oil Analysis","id":"ITEM-1","issue":"SEP./OCT.","issued":{"date-parts":[["2004"]]},"page":"1-7","title":"Best practices: The basics of used oil sampling","type":"article-journal"},"uris":["http://www.mendeley.com/documents/?uuid=434b0d9b-1892-4a85-9b86-2fc9c507eda5"]}],"mendeley":{"formattedCitation":"[121]","plainTextFormattedCitation":"[121]","previouslyFormattedCitation":"[121]"},"properties":{"noteIndex":0},"schema":"https://github.com/citation-style-language/schema/raw/master/csl-citation.json"}</w:instrText>
      </w:r>
      <w:r w:rsidR="000A3209">
        <w:fldChar w:fldCharType="separate"/>
      </w:r>
      <w:r w:rsidR="00416869" w:rsidRPr="00416869">
        <w:rPr>
          <w:noProof/>
        </w:rPr>
        <w:t>[121]</w:t>
      </w:r>
      <w:r w:rsidR="000A3209">
        <w:fldChar w:fldCharType="end"/>
      </w:r>
      <w:r w:rsidRPr="00545B1C">
        <w:t>,</w:t>
      </w:r>
      <w:r>
        <w:t xml:space="preserve"> i.e. ensure that samples taken have as much information per millilitre of fluid as possible. The second goal is to minimize data error as much as possible by guaranteeing no bias </w:t>
      </w:r>
      <w:r w:rsidR="00343014">
        <w:t>in</w:t>
      </w:r>
      <w:r>
        <w:t xml:space="preserve"> the fluid sample analysis</w:t>
      </w:r>
      <w:r w:rsidR="00CD6A23">
        <w:t xml:space="preserve">. </w:t>
      </w:r>
      <w:r>
        <w:t xml:space="preserve">Oil sampling on system returns includes procedures dependent on system design, </w:t>
      </w:r>
      <w:r>
        <w:lastRenderedPageBreak/>
        <w:t xml:space="preserve">ports, pipes and hoses, application, conditions, </w:t>
      </w:r>
      <w:r w:rsidR="00D3415F">
        <w:t xml:space="preserve">and </w:t>
      </w:r>
      <w:r>
        <w:t xml:space="preserve">work regime. However, with high consistency, it can be said that </w:t>
      </w:r>
      <w:r w:rsidRPr="0058335E">
        <w:t>turbulent areas</w:t>
      </w:r>
      <w:r>
        <w:t xml:space="preserve"> are the best sampling locations because fluid is not at a laminar flow regime, thus avoiding the error of particle swarm leaving the sample (fly-by) – samples taken at elbows. </w:t>
      </w:r>
      <w:r w:rsidRPr="0058335E">
        <w:t xml:space="preserve">Ingression points </w:t>
      </w:r>
      <w:r>
        <w:t xml:space="preserve">should be taken downstream of the components that wear and away from areas where particles and moisture ingress – returning and drain lines. </w:t>
      </w:r>
      <w:r w:rsidR="0058335E">
        <w:t>Hence, oil samples are taken at return lines before f</w:t>
      </w:r>
      <w:r w:rsidRPr="0058335E">
        <w:t>iltration</w:t>
      </w:r>
      <w:r>
        <w:t xml:space="preserve"> points</w:t>
      </w:r>
      <w:r w:rsidR="0058335E">
        <w:t xml:space="preserve"> (</w:t>
      </w:r>
      <w:r w:rsidR="0058335E">
        <w:fldChar w:fldCharType="begin"/>
      </w:r>
      <w:r w:rsidR="0058335E">
        <w:instrText xml:space="preserve"> REF _Ref93422019 \h </w:instrText>
      </w:r>
      <w:r w:rsidR="0058335E">
        <w:fldChar w:fldCharType="separate"/>
      </w:r>
      <w:r w:rsidR="00587AF0">
        <w:t xml:space="preserve">Figure </w:t>
      </w:r>
      <w:r w:rsidR="00587AF0">
        <w:rPr>
          <w:noProof/>
        </w:rPr>
        <w:t>42</w:t>
      </w:r>
      <w:r w:rsidR="0058335E">
        <w:fldChar w:fldCharType="end"/>
      </w:r>
      <w:r w:rsidR="0058335E">
        <w:t>)</w:t>
      </w:r>
      <w:r>
        <w:t>.</w:t>
      </w:r>
      <w:r w:rsidR="00B8305B">
        <w:t xml:space="preserve"> According to defined labe</w:t>
      </w:r>
      <w:r w:rsidR="002C0296">
        <w:t>l</w:t>
      </w:r>
      <w:r w:rsidR="00B8305B">
        <w:t xml:space="preserve">ling and information collected from the sampling, a specific procedure and table of important information </w:t>
      </w:r>
      <w:r w:rsidR="002C0296">
        <w:t>are</w:t>
      </w:r>
      <w:r w:rsidR="00B8305B">
        <w:t xml:space="preserve"> given for gaining more insight after </w:t>
      </w:r>
      <w:r w:rsidR="00B83B39">
        <w:t>hydraulic fluid</w:t>
      </w:r>
      <w:r w:rsidR="00B8305B">
        <w:t xml:space="preserve"> analysis. Every sample is recorded and analysed.</w:t>
      </w:r>
    </w:p>
    <w:p w14:paraId="7A8E4B92" w14:textId="4A3644F8" w:rsidR="00B8305B" w:rsidRDefault="00B8305B" w:rsidP="00B8305B">
      <w:pPr>
        <w:pStyle w:val="Caption"/>
        <w:jc w:val="left"/>
      </w:pPr>
      <w:bookmarkStart w:id="396" w:name="_Toc101274460"/>
      <w:r>
        <w:t xml:space="preserve">Table </w:t>
      </w:r>
      <w:fldSimple w:instr=" SEQ Table \* ARABIC ">
        <w:r w:rsidR="00587AF0">
          <w:rPr>
            <w:noProof/>
          </w:rPr>
          <w:t>20</w:t>
        </w:r>
      </w:fldSimple>
      <w:r>
        <w:t xml:space="preserve">. </w:t>
      </w:r>
      <w:r w:rsidR="00C35BDF">
        <w:t xml:space="preserve">Hydraulic fluid </w:t>
      </w:r>
      <w:r>
        <w:t>samples labe</w:t>
      </w:r>
      <w:r w:rsidR="004D2604">
        <w:t>l</w:t>
      </w:r>
      <w:r>
        <w:t xml:space="preserve">ling and data </w:t>
      </w:r>
      <w:r w:rsidR="00473AD5">
        <w:t>explanation</w:t>
      </w:r>
      <w:bookmarkEnd w:id="396"/>
    </w:p>
    <w:tbl>
      <w:tblPr>
        <w:tblW w:w="5000" w:type="pct"/>
        <w:tblLook w:val="04A0" w:firstRow="1" w:lastRow="0" w:firstColumn="1" w:lastColumn="0" w:noHBand="0" w:noVBand="1"/>
      </w:tblPr>
      <w:tblGrid>
        <w:gridCol w:w="1847"/>
        <w:gridCol w:w="3354"/>
        <w:gridCol w:w="3826"/>
      </w:tblGrid>
      <w:tr w:rsidR="00F13A1B" w:rsidRPr="00F67691" w14:paraId="5169C718" w14:textId="535147F2" w:rsidTr="00F13A1B">
        <w:tc>
          <w:tcPr>
            <w:tcW w:w="1023" w:type="pct"/>
            <w:tcBorders>
              <w:top w:val="single" w:sz="4" w:space="0" w:color="auto"/>
              <w:bottom w:val="single" w:sz="4" w:space="0" w:color="auto"/>
            </w:tcBorders>
          </w:tcPr>
          <w:p w14:paraId="243B7CC0" w14:textId="0498046F" w:rsidR="00F13A1B" w:rsidRPr="00F67691" w:rsidRDefault="00DA12B1" w:rsidP="00894A0A">
            <w:pPr>
              <w:spacing w:before="0" w:after="0"/>
              <w:rPr>
                <w:b/>
                <w:bCs/>
                <w:sz w:val="20"/>
                <w:szCs w:val="20"/>
              </w:rPr>
            </w:pPr>
            <w:r>
              <w:rPr>
                <w:b/>
                <w:bCs/>
                <w:sz w:val="20"/>
                <w:szCs w:val="20"/>
              </w:rPr>
              <w:t>Label</w:t>
            </w:r>
          </w:p>
        </w:tc>
        <w:tc>
          <w:tcPr>
            <w:tcW w:w="1858" w:type="pct"/>
            <w:tcBorders>
              <w:top w:val="single" w:sz="4" w:space="0" w:color="auto"/>
              <w:bottom w:val="single" w:sz="4" w:space="0" w:color="auto"/>
            </w:tcBorders>
          </w:tcPr>
          <w:p w14:paraId="192D92A4" w14:textId="5625020B" w:rsidR="00F13A1B" w:rsidRPr="00F67691" w:rsidRDefault="00DA12B1" w:rsidP="00894A0A">
            <w:pPr>
              <w:spacing w:before="0" w:after="0"/>
              <w:rPr>
                <w:b/>
                <w:bCs/>
                <w:sz w:val="20"/>
                <w:szCs w:val="20"/>
              </w:rPr>
            </w:pPr>
            <w:r>
              <w:rPr>
                <w:b/>
                <w:bCs/>
                <w:sz w:val="20"/>
                <w:szCs w:val="20"/>
              </w:rPr>
              <w:t>Properties</w:t>
            </w:r>
          </w:p>
        </w:tc>
        <w:tc>
          <w:tcPr>
            <w:tcW w:w="2119" w:type="pct"/>
            <w:tcBorders>
              <w:top w:val="single" w:sz="4" w:space="0" w:color="auto"/>
              <w:bottom w:val="single" w:sz="4" w:space="0" w:color="auto"/>
            </w:tcBorders>
            <w:vAlign w:val="center"/>
          </w:tcPr>
          <w:p w14:paraId="045F6819" w14:textId="742DECAB" w:rsidR="00F13A1B" w:rsidRPr="00F67691" w:rsidRDefault="00DA12B1" w:rsidP="00894A0A">
            <w:pPr>
              <w:spacing w:before="0" w:after="0"/>
              <w:jc w:val="right"/>
              <w:rPr>
                <w:b/>
                <w:bCs/>
                <w:sz w:val="20"/>
                <w:szCs w:val="20"/>
              </w:rPr>
            </w:pPr>
            <w:r>
              <w:rPr>
                <w:b/>
                <w:bCs/>
                <w:sz w:val="20"/>
                <w:szCs w:val="20"/>
              </w:rPr>
              <w:t>Explanation of the property defined</w:t>
            </w:r>
          </w:p>
        </w:tc>
      </w:tr>
      <w:tr w:rsidR="00F13A1B" w:rsidRPr="00F67691" w14:paraId="2122B6D0" w14:textId="2EDDDF82" w:rsidTr="00F13A1B">
        <w:tc>
          <w:tcPr>
            <w:tcW w:w="1023" w:type="pct"/>
            <w:tcBorders>
              <w:top w:val="single" w:sz="4" w:space="0" w:color="auto"/>
            </w:tcBorders>
          </w:tcPr>
          <w:p w14:paraId="6207B683" w14:textId="670BF677" w:rsidR="00F13A1B" w:rsidRPr="00F67691" w:rsidRDefault="00F13A1B" w:rsidP="00894A0A">
            <w:pPr>
              <w:spacing w:before="0" w:after="0"/>
              <w:rPr>
                <w:sz w:val="20"/>
                <w:szCs w:val="20"/>
              </w:rPr>
            </w:pPr>
            <w:r>
              <w:rPr>
                <w:sz w:val="20"/>
                <w:szCs w:val="20"/>
              </w:rPr>
              <w:t>Fluid type</w:t>
            </w:r>
          </w:p>
        </w:tc>
        <w:tc>
          <w:tcPr>
            <w:tcW w:w="1858" w:type="pct"/>
            <w:tcBorders>
              <w:top w:val="single" w:sz="4" w:space="0" w:color="auto"/>
            </w:tcBorders>
          </w:tcPr>
          <w:p w14:paraId="5CF1B4C7" w14:textId="1DB9C42B" w:rsidR="00F13A1B" w:rsidRPr="00F67691" w:rsidRDefault="00F13A1B" w:rsidP="00894A0A">
            <w:pPr>
              <w:spacing w:before="0" w:after="0"/>
              <w:rPr>
                <w:sz w:val="20"/>
                <w:szCs w:val="20"/>
              </w:rPr>
            </w:pPr>
            <w:r>
              <w:rPr>
                <w:sz w:val="20"/>
                <w:szCs w:val="20"/>
              </w:rPr>
              <w:t>Fluid base type</w:t>
            </w:r>
          </w:p>
        </w:tc>
        <w:tc>
          <w:tcPr>
            <w:tcW w:w="2119" w:type="pct"/>
            <w:tcBorders>
              <w:top w:val="single" w:sz="4" w:space="0" w:color="auto"/>
            </w:tcBorders>
            <w:vAlign w:val="center"/>
          </w:tcPr>
          <w:p w14:paraId="3FB1136E" w14:textId="1C430ECC" w:rsidR="00F13A1B" w:rsidRPr="00F67691" w:rsidRDefault="00F13A1B" w:rsidP="00894A0A">
            <w:pPr>
              <w:spacing w:before="0" w:after="0"/>
              <w:jc w:val="right"/>
              <w:rPr>
                <w:sz w:val="20"/>
                <w:szCs w:val="20"/>
              </w:rPr>
            </w:pPr>
            <w:r>
              <w:rPr>
                <w:sz w:val="20"/>
                <w:szCs w:val="20"/>
              </w:rPr>
              <w:t>Hydraulic fluid</w:t>
            </w:r>
          </w:p>
        </w:tc>
      </w:tr>
      <w:tr w:rsidR="00F13A1B" w:rsidRPr="00F67691" w14:paraId="40B3DEC6" w14:textId="38A30B21" w:rsidTr="00F13A1B">
        <w:tc>
          <w:tcPr>
            <w:tcW w:w="1023" w:type="pct"/>
          </w:tcPr>
          <w:p w14:paraId="4BCC18E9" w14:textId="3A276F85" w:rsidR="00F13A1B" w:rsidRPr="00F67691" w:rsidRDefault="00F13A1B" w:rsidP="00894A0A">
            <w:pPr>
              <w:spacing w:before="0" w:after="0"/>
              <w:rPr>
                <w:sz w:val="20"/>
                <w:szCs w:val="20"/>
              </w:rPr>
            </w:pPr>
            <w:r>
              <w:rPr>
                <w:sz w:val="20"/>
                <w:szCs w:val="20"/>
              </w:rPr>
              <w:t>Manufacturer</w:t>
            </w:r>
          </w:p>
        </w:tc>
        <w:tc>
          <w:tcPr>
            <w:tcW w:w="1858" w:type="pct"/>
          </w:tcPr>
          <w:p w14:paraId="6FE48A31" w14:textId="057E72CE" w:rsidR="00F13A1B" w:rsidRPr="00F67691" w:rsidRDefault="00F13A1B" w:rsidP="00894A0A">
            <w:pPr>
              <w:spacing w:before="0" w:after="0"/>
              <w:rPr>
                <w:sz w:val="20"/>
                <w:szCs w:val="20"/>
              </w:rPr>
            </w:pPr>
            <w:r>
              <w:rPr>
                <w:sz w:val="20"/>
                <w:szCs w:val="20"/>
              </w:rPr>
              <w:t>Fluid manufacturer</w:t>
            </w:r>
          </w:p>
        </w:tc>
        <w:tc>
          <w:tcPr>
            <w:tcW w:w="2119" w:type="pct"/>
            <w:vAlign w:val="center"/>
          </w:tcPr>
          <w:p w14:paraId="2D967B0E" w14:textId="0A2A4B85" w:rsidR="00F13A1B" w:rsidRPr="00F67691" w:rsidRDefault="00F13A1B" w:rsidP="00894A0A">
            <w:pPr>
              <w:spacing w:before="0" w:after="0"/>
              <w:jc w:val="right"/>
              <w:rPr>
                <w:sz w:val="20"/>
                <w:szCs w:val="20"/>
              </w:rPr>
            </w:pPr>
            <w:r>
              <w:rPr>
                <w:sz w:val="20"/>
                <w:szCs w:val="20"/>
              </w:rPr>
              <w:t>Original hydraulic fluid manufacturer</w:t>
            </w:r>
          </w:p>
        </w:tc>
      </w:tr>
      <w:tr w:rsidR="00F13A1B" w:rsidRPr="00F67691" w14:paraId="3ABD6AF3" w14:textId="22522865" w:rsidTr="00F13A1B">
        <w:tc>
          <w:tcPr>
            <w:tcW w:w="1023" w:type="pct"/>
          </w:tcPr>
          <w:p w14:paraId="4F763AC1" w14:textId="5F82C95B" w:rsidR="00F13A1B" w:rsidRPr="00F67691" w:rsidRDefault="00F13A1B" w:rsidP="00894A0A">
            <w:pPr>
              <w:spacing w:before="0" w:after="0"/>
              <w:rPr>
                <w:sz w:val="20"/>
                <w:szCs w:val="20"/>
              </w:rPr>
            </w:pPr>
            <w:r>
              <w:rPr>
                <w:sz w:val="20"/>
                <w:szCs w:val="20"/>
              </w:rPr>
              <w:t>Fluid system</w:t>
            </w:r>
          </w:p>
        </w:tc>
        <w:tc>
          <w:tcPr>
            <w:tcW w:w="1858" w:type="pct"/>
          </w:tcPr>
          <w:p w14:paraId="05B8DC61" w14:textId="281BF0FB" w:rsidR="00F13A1B" w:rsidRPr="00F67691" w:rsidRDefault="00F13A1B" w:rsidP="00894A0A">
            <w:pPr>
              <w:spacing w:before="0" w:after="0"/>
              <w:rPr>
                <w:sz w:val="20"/>
                <w:szCs w:val="20"/>
              </w:rPr>
            </w:pPr>
            <w:r>
              <w:rPr>
                <w:sz w:val="20"/>
                <w:szCs w:val="20"/>
              </w:rPr>
              <w:t>Machine or system name</w:t>
            </w:r>
          </w:p>
        </w:tc>
        <w:tc>
          <w:tcPr>
            <w:tcW w:w="2119" w:type="pct"/>
            <w:vAlign w:val="center"/>
          </w:tcPr>
          <w:p w14:paraId="1FEB15AF" w14:textId="5A0D4433" w:rsidR="00F13A1B" w:rsidRPr="00F67691" w:rsidRDefault="0039490C" w:rsidP="00894A0A">
            <w:pPr>
              <w:spacing w:before="0" w:after="0"/>
              <w:jc w:val="right"/>
              <w:rPr>
                <w:sz w:val="20"/>
                <w:szCs w:val="20"/>
              </w:rPr>
            </w:pPr>
            <w:r>
              <w:rPr>
                <w:sz w:val="20"/>
                <w:szCs w:val="20"/>
              </w:rPr>
              <w:t xml:space="preserve">e.g. </w:t>
            </w:r>
            <w:r w:rsidR="00F13A1B">
              <w:rPr>
                <w:sz w:val="20"/>
                <w:szCs w:val="20"/>
              </w:rPr>
              <w:t>Rubber mixing machine</w:t>
            </w:r>
          </w:p>
        </w:tc>
      </w:tr>
      <w:tr w:rsidR="00F13A1B" w:rsidRPr="00F67691" w14:paraId="2641DEB3" w14:textId="0A984B4B" w:rsidTr="00F13A1B">
        <w:tc>
          <w:tcPr>
            <w:tcW w:w="1023" w:type="pct"/>
          </w:tcPr>
          <w:p w14:paraId="70CD66AC" w14:textId="54157624" w:rsidR="00F13A1B" w:rsidRPr="00F67691" w:rsidRDefault="0039490C" w:rsidP="00894A0A">
            <w:pPr>
              <w:spacing w:before="0" w:after="0"/>
              <w:rPr>
                <w:sz w:val="20"/>
                <w:szCs w:val="20"/>
              </w:rPr>
            </w:pPr>
            <w:r>
              <w:rPr>
                <w:sz w:val="20"/>
                <w:szCs w:val="20"/>
              </w:rPr>
              <w:t>Sample date</w:t>
            </w:r>
          </w:p>
        </w:tc>
        <w:tc>
          <w:tcPr>
            <w:tcW w:w="1858" w:type="pct"/>
          </w:tcPr>
          <w:p w14:paraId="12E8C39B" w14:textId="5C0EE303" w:rsidR="00F13A1B" w:rsidRPr="00F67691" w:rsidRDefault="0039490C" w:rsidP="00894A0A">
            <w:pPr>
              <w:spacing w:before="0" w:after="0"/>
              <w:rPr>
                <w:sz w:val="20"/>
                <w:szCs w:val="20"/>
              </w:rPr>
            </w:pPr>
            <w:r>
              <w:rPr>
                <w:sz w:val="20"/>
                <w:szCs w:val="20"/>
              </w:rPr>
              <w:t>Sampling date and time</w:t>
            </w:r>
          </w:p>
        </w:tc>
        <w:tc>
          <w:tcPr>
            <w:tcW w:w="2119" w:type="pct"/>
            <w:vAlign w:val="center"/>
          </w:tcPr>
          <w:p w14:paraId="06A4D32D" w14:textId="643FFF36" w:rsidR="00F13A1B" w:rsidRPr="00F67691" w:rsidRDefault="0039490C" w:rsidP="00894A0A">
            <w:pPr>
              <w:spacing w:before="0" w:after="0"/>
              <w:jc w:val="right"/>
              <w:rPr>
                <w:sz w:val="20"/>
                <w:szCs w:val="20"/>
              </w:rPr>
            </w:pPr>
            <w:r>
              <w:rPr>
                <w:sz w:val="20"/>
                <w:szCs w:val="20"/>
              </w:rPr>
              <w:t>Exact time and date of sampling</w:t>
            </w:r>
          </w:p>
        </w:tc>
      </w:tr>
      <w:tr w:rsidR="00F13A1B" w:rsidRPr="00F67691" w14:paraId="0F31D265" w14:textId="36CE597C" w:rsidTr="00F13A1B">
        <w:tc>
          <w:tcPr>
            <w:tcW w:w="1023" w:type="pct"/>
          </w:tcPr>
          <w:p w14:paraId="2610E180" w14:textId="71D0D174" w:rsidR="00F13A1B" w:rsidRPr="00F67691" w:rsidRDefault="00BE1EA0" w:rsidP="00894A0A">
            <w:pPr>
              <w:spacing w:before="0" w:after="0"/>
              <w:rPr>
                <w:sz w:val="20"/>
                <w:szCs w:val="20"/>
              </w:rPr>
            </w:pPr>
            <w:r>
              <w:rPr>
                <w:sz w:val="20"/>
                <w:szCs w:val="20"/>
              </w:rPr>
              <w:t>Sampling hours</w:t>
            </w:r>
          </w:p>
        </w:tc>
        <w:tc>
          <w:tcPr>
            <w:tcW w:w="1858" w:type="pct"/>
          </w:tcPr>
          <w:p w14:paraId="70A7BAFF" w14:textId="216ED997" w:rsidR="00F13A1B" w:rsidRPr="00F67691" w:rsidRDefault="00BE1EA0" w:rsidP="00894A0A">
            <w:pPr>
              <w:spacing w:before="0" w:after="0"/>
              <w:rPr>
                <w:sz w:val="20"/>
                <w:szCs w:val="20"/>
              </w:rPr>
            </w:pPr>
            <w:r>
              <w:rPr>
                <w:sz w:val="20"/>
                <w:szCs w:val="20"/>
              </w:rPr>
              <w:t xml:space="preserve">Hours before </w:t>
            </w:r>
            <w:r w:rsidR="002C0296">
              <w:rPr>
                <w:sz w:val="20"/>
                <w:szCs w:val="20"/>
              </w:rPr>
              <w:t xml:space="preserve">the </w:t>
            </w:r>
            <w:r>
              <w:rPr>
                <w:sz w:val="20"/>
                <w:szCs w:val="20"/>
              </w:rPr>
              <w:t>last sample period</w:t>
            </w:r>
          </w:p>
        </w:tc>
        <w:tc>
          <w:tcPr>
            <w:tcW w:w="2119" w:type="pct"/>
            <w:vAlign w:val="center"/>
          </w:tcPr>
          <w:p w14:paraId="6DBDBE1F" w14:textId="349E35EC" w:rsidR="00F13A1B" w:rsidRPr="00F67691" w:rsidRDefault="00BE1EA0" w:rsidP="00894A0A">
            <w:pPr>
              <w:spacing w:before="0" w:after="0"/>
              <w:jc w:val="right"/>
              <w:rPr>
                <w:sz w:val="20"/>
                <w:szCs w:val="20"/>
              </w:rPr>
            </w:pPr>
            <w:r>
              <w:rPr>
                <w:sz w:val="20"/>
                <w:szCs w:val="20"/>
              </w:rPr>
              <w:t xml:space="preserve">Hours before </w:t>
            </w:r>
            <w:r w:rsidR="002C0296">
              <w:rPr>
                <w:sz w:val="20"/>
                <w:szCs w:val="20"/>
              </w:rPr>
              <w:t xml:space="preserve">the </w:t>
            </w:r>
            <w:r>
              <w:rPr>
                <w:sz w:val="20"/>
                <w:szCs w:val="20"/>
              </w:rPr>
              <w:t>last sampling</w:t>
            </w:r>
          </w:p>
        </w:tc>
      </w:tr>
      <w:tr w:rsidR="00F13A1B" w:rsidRPr="00F67691" w14:paraId="6319A6B8" w14:textId="62D5591B" w:rsidTr="00F13A1B">
        <w:tc>
          <w:tcPr>
            <w:tcW w:w="1023" w:type="pct"/>
          </w:tcPr>
          <w:p w14:paraId="20A0AAF3" w14:textId="3C4A0536" w:rsidR="00F13A1B" w:rsidRPr="00F67691" w:rsidRDefault="00BE1EA0" w:rsidP="00894A0A">
            <w:pPr>
              <w:spacing w:before="0" w:after="0"/>
              <w:rPr>
                <w:sz w:val="20"/>
                <w:szCs w:val="20"/>
              </w:rPr>
            </w:pPr>
            <w:r>
              <w:rPr>
                <w:sz w:val="20"/>
                <w:szCs w:val="20"/>
              </w:rPr>
              <w:t>Sampling op. hours</w:t>
            </w:r>
          </w:p>
        </w:tc>
        <w:tc>
          <w:tcPr>
            <w:tcW w:w="1858" w:type="pct"/>
          </w:tcPr>
          <w:p w14:paraId="4ECAEA34" w14:textId="1EE648EB" w:rsidR="00F13A1B" w:rsidRPr="00F67691" w:rsidRDefault="00BE1EA0" w:rsidP="00894A0A">
            <w:pPr>
              <w:spacing w:before="0" w:after="0"/>
              <w:rPr>
                <w:sz w:val="20"/>
                <w:szCs w:val="20"/>
              </w:rPr>
            </w:pPr>
            <w:r>
              <w:rPr>
                <w:sz w:val="20"/>
                <w:szCs w:val="20"/>
              </w:rPr>
              <w:t xml:space="preserve">Operating hours before </w:t>
            </w:r>
            <w:r w:rsidR="002C0296">
              <w:rPr>
                <w:sz w:val="20"/>
                <w:szCs w:val="20"/>
              </w:rPr>
              <w:t xml:space="preserve">the </w:t>
            </w:r>
            <w:r>
              <w:rPr>
                <w:sz w:val="20"/>
                <w:szCs w:val="20"/>
              </w:rPr>
              <w:t>last sampling</w:t>
            </w:r>
          </w:p>
        </w:tc>
        <w:tc>
          <w:tcPr>
            <w:tcW w:w="2119" w:type="pct"/>
            <w:vAlign w:val="center"/>
          </w:tcPr>
          <w:p w14:paraId="5987BEBE" w14:textId="5EC29615" w:rsidR="00F13A1B" w:rsidRPr="00F67691" w:rsidRDefault="002C0296" w:rsidP="00894A0A">
            <w:pPr>
              <w:spacing w:before="0" w:after="0"/>
              <w:jc w:val="right"/>
              <w:rPr>
                <w:sz w:val="20"/>
                <w:szCs w:val="20"/>
              </w:rPr>
            </w:pPr>
            <w:r>
              <w:rPr>
                <w:sz w:val="20"/>
                <w:szCs w:val="20"/>
              </w:rPr>
              <w:t>O</w:t>
            </w:r>
            <w:r w:rsidR="00BE1EA0">
              <w:rPr>
                <w:sz w:val="20"/>
                <w:szCs w:val="20"/>
              </w:rPr>
              <w:t xml:space="preserve">perating hours before </w:t>
            </w:r>
            <w:r>
              <w:rPr>
                <w:sz w:val="20"/>
                <w:szCs w:val="20"/>
              </w:rPr>
              <w:t xml:space="preserve">the </w:t>
            </w:r>
            <w:r w:rsidR="00BE1EA0">
              <w:rPr>
                <w:sz w:val="20"/>
                <w:szCs w:val="20"/>
              </w:rPr>
              <w:t>last sample</w:t>
            </w:r>
          </w:p>
        </w:tc>
      </w:tr>
      <w:tr w:rsidR="00F13A1B" w:rsidRPr="00F67691" w14:paraId="66DADF0F" w14:textId="786FE217" w:rsidTr="00F13A1B">
        <w:tc>
          <w:tcPr>
            <w:tcW w:w="1023" w:type="pct"/>
          </w:tcPr>
          <w:p w14:paraId="5A9A2D86" w14:textId="4F485DE2" w:rsidR="00F13A1B" w:rsidRPr="00F67691" w:rsidRDefault="00BE1EA0" w:rsidP="00894A0A">
            <w:pPr>
              <w:spacing w:before="0" w:after="0"/>
              <w:rPr>
                <w:sz w:val="20"/>
                <w:szCs w:val="20"/>
              </w:rPr>
            </w:pPr>
            <w:r>
              <w:rPr>
                <w:sz w:val="20"/>
                <w:szCs w:val="20"/>
              </w:rPr>
              <w:t>Disturbances</w:t>
            </w:r>
          </w:p>
        </w:tc>
        <w:tc>
          <w:tcPr>
            <w:tcW w:w="1858" w:type="pct"/>
          </w:tcPr>
          <w:p w14:paraId="67D143C5" w14:textId="03744777" w:rsidR="00F13A1B" w:rsidRPr="00F67691" w:rsidRDefault="00BE1EA0" w:rsidP="00894A0A">
            <w:pPr>
              <w:spacing w:before="0" w:after="0"/>
              <w:rPr>
                <w:sz w:val="20"/>
                <w:szCs w:val="20"/>
              </w:rPr>
            </w:pPr>
            <w:r>
              <w:rPr>
                <w:sz w:val="20"/>
                <w:szCs w:val="20"/>
              </w:rPr>
              <w:t xml:space="preserve">Fluid added before </w:t>
            </w:r>
            <w:r w:rsidR="002C0296">
              <w:rPr>
                <w:sz w:val="20"/>
                <w:szCs w:val="20"/>
              </w:rPr>
              <w:t xml:space="preserve">the </w:t>
            </w:r>
            <w:r>
              <w:rPr>
                <w:sz w:val="20"/>
                <w:szCs w:val="20"/>
              </w:rPr>
              <w:t>last sample?</w:t>
            </w:r>
          </w:p>
        </w:tc>
        <w:tc>
          <w:tcPr>
            <w:tcW w:w="2119" w:type="pct"/>
            <w:vAlign w:val="center"/>
          </w:tcPr>
          <w:p w14:paraId="6221D174" w14:textId="6A048CFA" w:rsidR="00F13A1B" w:rsidRPr="00F67691" w:rsidRDefault="00BE1EA0" w:rsidP="00894A0A">
            <w:pPr>
              <w:spacing w:before="0" w:after="0"/>
              <w:jc w:val="right"/>
              <w:rPr>
                <w:sz w:val="20"/>
                <w:szCs w:val="20"/>
              </w:rPr>
            </w:pPr>
            <w:r>
              <w:rPr>
                <w:sz w:val="20"/>
                <w:szCs w:val="20"/>
              </w:rPr>
              <w:t xml:space="preserve">Amount of fluid added after </w:t>
            </w:r>
            <w:r w:rsidR="002C0296">
              <w:rPr>
                <w:sz w:val="20"/>
                <w:szCs w:val="20"/>
              </w:rPr>
              <w:t xml:space="preserve">the </w:t>
            </w:r>
            <w:r>
              <w:rPr>
                <w:sz w:val="20"/>
                <w:szCs w:val="20"/>
              </w:rPr>
              <w:t>last sample</w:t>
            </w:r>
          </w:p>
        </w:tc>
      </w:tr>
      <w:tr w:rsidR="00BE1EA0" w:rsidRPr="00F67691" w14:paraId="2081A528" w14:textId="77777777" w:rsidTr="00F13A1B">
        <w:tc>
          <w:tcPr>
            <w:tcW w:w="1023" w:type="pct"/>
          </w:tcPr>
          <w:p w14:paraId="45A695B4" w14:textId="030880B1" w:rsidR="00BE1EA0" w:rsidRDefault="00473AD5" w:rsidP="00894A0A">
            <w:pPr>
              <w:spacing w:before="0" w:after="0"/>
              <w:rPr>
                <w:sz w:val="20"/>
                <w:szCs w:val="20"/>
              </w:rPr>
            </w:pPr>
            <w:r>
              <w:rPr>
                <w:sz w:val="20"/>
                <w:szCs w:val="20"/>
              </w:rPr>
              <w:t>Sampling type</w:t>
            </w:r>
          </w:p>
        </w:tc>
        <w:tc>
          <w:tcPr>
            <w:tcW w:w="1858" w:type="pct"/>
          </w:tcPr>
          <w:p w14:paraId="22C9FBCD" w14:textId="2FD38699" w:rsidR="00BE1EA0" w:rsidRDefault="00473AD5" w:rsidP="00894A0A">
            <w:pPr>
              <w:spacing w:before="0" w:after="0"/>
              <w:rPr>
                <w:sz w:val="20"/>
                <w:szCs w:val="20"/>
              </w:rPr>
            </w:pPr>
            <w:r>
              <w:rPr>
                <w:sz w:val="20"/>
                <w:szCs w:val="20"/>
              </w:rPr>
              <w:t>Offline, online or inline?</w:t>
            </w:r>
          </w:p>
        </w:tc>
        <w:tc>
          <w:tcPr>
            <w:tcW w:w="2119" w:type="pct"/>
            <w:vAlign w:val="center"/>
          </w:tcPr>
          <w:p w14:paraId="39CDA00B" w14:textId="4BA13B7F" w:rsidR="00BE1EA0" w:rsidRDefault="00473AD5" w:rsidP="00894A0A">
            <w:pPr>
              <w:spacing w:before="0" w:after="0"/>
              <w:jc w:val="right"/>
              <w:rPr>
                <w:sz w:val="20"/>
                <w:szCs w:val="20"/>
              </w:rPr>
            </w:pPr>
            <w:r>
              <w:rPr>
                <w:sz w:val="20"/>
                <w:szCs w:val="20"/>
              </w:rPr>
              <w:t>Type of fluid extraction from the system</w:t>
            </w:r>
          </w:p>
        </w:tc>
      </w:tr>
      <w:tr w:rsidR="00BE1EA0" w:rsidRPr="00F67691" w14:paraId="63CB1D48" w14:textId="77777777" w:rsidTr="00F13A1B">
        <w:tc>
          <w:tcPr>
            <w:tcW w:w="1023" w:type="pct"/>
          </w:tcPr>
          <w:p w14:paraId="1DD2A19C" w14:textId="78EB01C6" w:rsidR="00BE1EA0" w:rsidRDefault="00473AD5" w:rsidP="00894A0A">
            <w:pPr>
              <w:spacing w:before="0" w:after="0"/>
              <w:rPr>
                <w:sz w:val="20"/>
                <w:szCs w:val="20"/>
              </w:rPr>
            </w:pPr>
            <w:r>
              <w:rPr>
                <w:sz w:val="20"/>
                <w:szCs w:val="20"/>
              </w:rPr>
              <w:t>Place of sample</w:t>
            </w:r>
          </w:p>
        </w:tc>
        <w:tc>
          <w:tcPr>
            <w:tcW w:w="1858" w:type="pct"/>
          </w:tcPr>
          <w:p w14:paraId="348EA4A1" w14:textId="2BEEF79E" w:rsidR="00BE1EA0" w:rsidRDefault="00473AD5" w:rsidP="00894A0A">
            <w:pPr>
              <w:spacing w:before="0" w:after="0"/>
              <w:rPr>
                <w:sz w:val="20"/>
                <w:szCs w:val="20"/>
              </w:rPr>
            </w:pPr>
            <w:r>
              <w:rPr>
                <w:sz w:val="20"/>
                <w:szCs w:val="20"/>
              </w:rPr>
              <w:t>Place where the fluid is sampled?</w:t>
            </w:r>
          </w:p>
        </w:tc>
        <w:tc>
          <w:tcPr>
            <w:tcW w:w="2119" w:type="pct"/>
            <w:vAlign w:val="center"/>
          </w:tcPr>
          <w:p w14:paraId="5F4E8EDA" w14:textId="29751293" w:rsidR="00BE1EA0" w:rsidRDefault="00473AD5" w:rsidP="00894A0A">
            <w:pPr>
              <w:spacing w:before="0" w:after="0"/>
              <w:jc w:val="right"/>
              <w:rPr>
                <w:sz w:val="20"/>
                <w:szCs w:val="20"/>
              </w:rPr>
            </w:pPr>
            <w:r>
              <w:rPr>
                <w:sz w:val="20"/>
                <w:szCs w:val="20"/>
              </w:rPr>
              <w:t>Barrel, tank, pump, valve, drainage, etc.</w:t>
            </w:r>
          </w:p>
        </w:tc>
      </w:tr>
      <w:tr w:rsidR="00BE1EA0" w:rsidRPr="00F67691" w14:paraId="6CCB9E16" w14:textId="77777777" w:rsidTr="006C0FA8">
        <w:tc>
          <w:tcPr>
            <w:tcW w:w="1023" w:type="pct"/>
          </w:tcPr>
          <w:p w14:paraId="557F541E" w14:textId="25946911" w:rsidR="00BE1EA0" w:rsidRDefault="00473AD5" w:rsidP="00894A0A">
            <w:pPr>
              <w:spacing w:before="0" w:after="0"/>
              <w:rPr>
                <w:sz w:val="20"/>
                <w:szCs w:val="20"/>
              </w:rPr>
            </w:pPr>
            <w:r>
              <w:rPr>
                <w:sz w:val="20"/>
                <w:szCs w:val="20"/>
              </w:rPr>
              <w:t>Sampling method</w:t>
            </w:r>
          </w:p>
        </w:tc>
        <w:tc>
          <w:tcPr>
            <w:tcW w:w="1858" w:type="pct"/>
          </w:tcPr>
          <w:p w14:paraId="10CAE7D4" w14:textId="236BCC86" w:rsidR="00BE1EA0" w:rsidRDefault="002C0296" w:rsidP="00894A0A">
            <w:pPr>
              <w:spacing w:before="0" w:after="0"/>
              <w:rPr>
                <w:sz w:val="20"/>
                <w:szCs w:val="20"/>
              </w:rPr>
            </w:pPr>
            <w:r>
              <w:rPr>
                <w:sz w:val="20"/>
                <w:szCs w:val="20"/>
              </w:rPr>
              <w:t>A b</w:t>
            </w:r>
            <w:r w:rsidR="00473AD5">
              <w:rPr>
                <w:sz w:val="20"/>
                <w:szCs w:val="20"/>
              </w:rPr>
              <w:t>all</w:t>
            </w:r>
            <w:r>
              <w:rPr>
                <w:sz w:val="20"/>
                <w:szCs w:val="20"/>
              </w:rPr>
              <w:t xml:space="preserve"> and</w:t>
            </w:r>
            <w:r w:rsidR="00473AD5">
              <w:rPr>
                <w:sz w:val="20"/>
                <w:szCs w:val="20"/>
              </w:rPr>
              <w:t xml:space="preserve"> sample valve, vacuum pump?</w:t>
            </w:r>
          </w:p>
        </w:tc>
        <w:tc>
          <w:tcPr>
            <w:tcW w:w="2119" w:type="pct"/>
            <w:vAlign w:val="center"/>
          </w:tcPr>
          <w:p w14:paraId="532C7D31" w14:textId="68830E42" w:rsidR="00BE1EA0" w:rsidRDefault="00473AD5" w:rsidP="00894A0A">
            <w:pPr>
              <w:spacing w:before="0" w:after="0"/>
              <w:jc w:val="right"/>
              <w:rPr>
                <w:sz w:val="20"/>
                <w:szCs w:val="20"/>
              </w:rPr>
            </w:pPr>
            <w:r>
              <w:rPr>
                <w:sz w:val="20"/>
                <w:szCs w:val="20"/>
              </w:rPr>
              <w:t>Type of</w:t>
            </w:r>
            <w:r w:rsidR="002C0296">
              <w:rPr>
                <w:sz w:val="20"/>
                <w:szCs w:val="20"/>
              </w:rPr>
              <w:t xml:space="preserve"> fluid sampling</w:t>
            </w:r>
            <w:r>
              <w:rPr>
                <w:sz w:val="20"/>
                <w:szCs w:val="20"/>
              </w:rPr>
              <w:t xml:space="preserve"> from the system</w:t>
            </w:r>
          </w:p>
        </w:tc>
      </w:tr>
      <w:tr w:rsidR="00F13A1B" w:rsidRPr="00F67691" w14:paraId="27EDB573" w14:textId="27D4260B" w:rsidTr="006C0FA8">
        <w:tc>
          <w:tcPr>
            <w:tcW w:w="1023" w:type="pct"/>
            <w:tcBorders>
              <w:bottom w:val="single" w:sz="4" w:space="0" w:color="auto"/>
            </w:tcBorders>
          </w:tcPr>
          <w:p w14:paraId="0FBCC6DE" w14:textId="47DBBB13" w:rsidR="00F13A1B" w:rsidRPr="00F67691" w:rsidRDefault="00473AD5" w:rsidP="00894A0A">
            <w:pPr>
              <w:spacing w:before="0" w:after="0"/>
              <w:rPr>
                <w:sz w:val="20"/>
                <w:szCs w:val="20"/>
              </w:rPr>
            </w:pPr>
            <w:r>
              <w:rPr>
                <w:sz w:val="20"/>
                <w:szCs w:val="20"/>
              </w:rPr>
              <w:t>Sample amount</w:t>
            </w:r>
          </w:p>
        </w:tc>
        <w:tc>
          <w:tcPr>
            <w:tcW w:w="1858" w:type="pct"/>
            <w:tcBorders>
              <w:bottom w:val="single" w:sz="4" w:space="0" w:color="auto"/>
            </w:tcBorders>
          </w:tcPr>
          <w:p w14:paraId="5825FD47" w14:textId="34DD49B1" w:rsidR="00F13A1B" w:rsidRPr="00F67691" w:rsidRDefault="00473AD5" w:rsidP="00894A0A">
            <w:pPr>
              <w:spacing w:before="0" w:after="0"/>
              <w:rPr>
                <w:sz w:val="20"/>
                <w:szCs w:val="20"/>
              </w:rPr>
            </w:pPr>
            <w:r>
              <w:rPr>
                <w:sz w:val="20"/>
                <w:szCs w:val="20"/>
              </w:rPr>
              <w:t>Amount of fluid taken?</w:t>
            </w:r>
          </w:p>
        </w:tc>
        <w:tc>
          <w:tcPr>
            <w:tcW w:w="2119" w:type="pct"/>
            <w:tcBorders>
              <w:bottom w:val="single" w:sz="4" w:space="0" w:color="auto"/>
            </w:tcBorders>
            <w:vAlign w:val="center"/>
          </w:tcPr>
          <w:p w14:paraId="44726356" w14:textId="7407CF38" w:rsidR="00F13A1B" w:rsidRPr="00F67691" w:rsidRDefault="00473AD5" w:rsidP="00894A0A">
            <w:pPr>
              <w:spacing w:before="0" w:after="0"/>
              <w:jc w:val="right"/>
              <w:rPr>
                <w:sz w:val="20"/>
                <w:szCs w:val="20"/>
              </w:rPr>
            </w:pPr>
            <w:r>
              <w:rPr>
                <w:sz w:val="20"/>
                <w:szCs w:val="20"/>
              </w:rPr>
              <w:t>Amount of fluid taken in ml or bottle size</w:t>
            </w:r>
          </w:p>
        </w:tc>
      </w:tr>
    </w:tbl>
    <w:p w14:paraId="2CE5B0E3" w14:textId="417D8B9C" w:rsidR="000C69E1" w:rsidRDefault="006F6689" w:rsidP="009D507E">
      <w:r>
        <w:t xml:space="preserve">Data </w:t>
      </w:r>
      <w:r w:rsidR="00BB417F">
        <w:t>is collected from</w:t>
      </w:r>
      <w:r>
        <w:t xml:space="preserve"> oil samples </w:t>
      </w:r>
      <w:r w:rsidR="00BB417F">
        <w:t>by two</w:t>
      </w:r>
      <w:r>
        <w:t xml:space="preserve"> offline laboratory analys</w:t>
      </w:r>
      <w:r w:rsidR="00BB417F">
        <w:t>e</w:t>
      </w:r>
      <w:r>
        <w:t xml:space="preserve">s. Namely, </w:t>
      </w:r>
      <w:r w:rsidR="002C0296">
        <w:t xml:space="preserve">the </w:t>
      </w:r>
      <w:r>
        <w:t xml:space="preserve">data collected is done as a double test to ensure </w:t>
      </w:r>
      <w:r w:rsidR="002C0296">
        <w:t>data reliability</w:t>
      </w:r>
      <w:r>
        <w:t>. For instance, viscosity at 40°C and 100°C are analysed in two different laboratories to ensure data is</w:t>
      </w:r>
      <w:r w:rsidR="00BB417F">
        <w:t xml:space="preserve"> valid</w:t>
      </w:r>
      <w:r>
        <w:t xml:space="preserve"> </w:t>
      </w:r>
      <w:r w:rsidR="00BB417F">
        <w:t>through a single</w:t>
      </w:r>
      <w:r>
        <w:t xml:space="preserve">-blind </w:t>
      </w:r>
      <w:r w:rsidR="00BB417F">
        <w:t>study</w:t>
      </w:r>
      <w:r>
        <w:t xml:space="preserve"> – not providing previous information about the fluid characteristics nor the fluid sample property to </w:t>
      </w:r>
      <w:r w:rsidR="00BB417F">
        <w:t xml:space="preserve">the </w:t>
      </w:r>
      <w:r>
        <w:t>laboratorian.</w:t>
      </w:r>
      <w:r w:rsidR="00FC4E3E">
        <w:t xml:space="preserve"> Although not previously done, the author wanted to ensure </w:t>
      </w:r>
      <w:r w:rsidR="002C0296">
        <w:t xml:space="preserve">a </w:t>
      </w:r>
      <w:r w:rsidR="00FC4E3E">
        <w:t>limited amount of bias in oil analysis.</w:t>
      </w:r>
    </w:p>
    <w:p w14:paraId="7F444A5C" w14:textId="4D1B2FA7" w:rsidR="00895A4C" w:rsidRDefault="00C35BDF" w:rsidP="002C0296">
      <w:pPr>
        <w:pStyle w:val="Heading3"/>
      </w:pPr>
      <w:bookmarkStart w:id="397" w:name="_Toc93759913"/>
      <w:bookmarkStart w:id="398" w:name="_Toc93760017"/>
      <w:bookmarkStart w:id="399" w:name="_Toc101274371"/>
      <w:r>
        <w:t>Fluid</w:t>
      </w:r>
      <w:r w:rsidR="002B0106">
        <w:t xml:space="preserve"> </w:t>
      </w:r>
      <w:r w:rsidR="000E448E">
        <w:t>sampling and analysis of fluid properties</w:t>
      </w:r>
      <w:bookmarkEnd w:id="397"/>
      <w:bookmarkEnd w:id="398"/>
      <w:bookmarkEnd w:id="399"/>
    </w:p>
    <w:p w14:paraId="562ED81E" w14:textId="42B33EE0" w:rsidR="001B7DFB" w:rsidRDefault="000E448E" w:rsidP="001B7DFB">
      <w:r>
        <w:t>Hydraulic f</w:t>
      </w:r>
      <w:r w:rsidR="006D5286">
        <w:t>luid sampling is</w:t>
      </w:r>
      <w:r w:rsidR="00BB417F">
        <w:t xml:space="preserve"> usually</w:t>
      </w:r>
      <w:r>
        <w:t xml:space="preserve"> </w:t>
      </w:r>
      <w:r w:rsidR="006D5286">
        <w:t>done between 250-400</w:t>
      </w:r>
      <w:r w:rsidR="00721183">
        <w:t xml:space="preserve"> </w:t>
      </w:r>
      <w:r w:rsidR="006D5286">
        <w:t>hours</w:t>
      </w:r>
      <w:r w:rsidR="00721183">
        <w:t xml:space="preserve"> </w:t>
      </w:r>
      <w:r w:rsidR="00721183">
        <w:fldChar w:fldCharType="begin" w:fldLock="1"/>
      </w:r>
      <w:r w:rsidR="00645D0B">
        <w:instrText>ADDIN CSL_CITATION {"citationItems":[{"id":"ITEM-1","itemData":{"URL":"https://testoil.com/program-management/oil-analysis-test-frequency-guidelines/","author":[{"dropping-particle":"","family":"TestOil","given":"","non-dropping-particle":"","parse-names":false,"suffix":""}],"container-title":"Program management","id":"ITEM-1","issued":{"date-parts":[["2017"]]},"title":"Oil Analysis Test Frequency Guideliness","type":"webpage"},"uris":["http://www.mendeley.com/documents/?uuid=a6cf0bf3-7013-4de6-a3fc-367a4355a12e"]},{"id":"ITEM-2","itemData":{"author":[{"dropping-particle":"","family":"PALL","given":"","non-dropping-particle":"","parse-names":false,"suffix":""}],"container-title":"Pall Corporation","id":"ITEM-2","issued":{"date-parts":[["2006"]]},"page":"1-4","title":"Fluid Sampling Protocol","type":"article-magazine"},"uris":["http://www.mendeley.com/documents/?uuid=b24375e8-b26f-4c38-a3cc-0142d1d8f47c"]},{"id":"ITEM-3","itemData":{"DOI":"10.1007/978-3-030-57745-2_49","ISBN":"978-3-030-57745-2","author":[{"dropping-particle":"","family":"Orošnjak","given":"Marko","non-dropping-particle":"","parse-names":false,"suffix":""},{"dropping-particle":"","family":"Jocanović","given":"Mitar","non-dropping-particle":"","parse-names":false,"suffix":""},{"dropping-particle":"","family":"Karanović","given":"Velibor","non-dropping-particle":"","parse-names":false,"suffix":""}],"container-title":"Advances in Asset Management and Condition Monitoring","id":"ITEM-3","issued":{"date-parts":[["2020"]]},"page":"583-596","publisher":"Springer Nature Switzerland AG 2020","title":"Applying Contamination Control for Improved Prognostics and Health Management of Hydraulic Systems","type":"chapter"},"uris":["http://www.mendeley.com/documents/?uuid=ad92f9de-197b-4317-8e0c-5956948f101d"]}],"mendeley":{"formattedCitation":"[54], [122], [123]","plainTextFormattedCitation":"[54], [122], [123]","previouslyFormattedCitation":"[54], [122], [123]"},"properties":{"noteIndex":0},"schema":"https://github.com/citation-style-language/schema/raw/master/csl-citation.json"}</w:instrText>
      </w:r>
      <w:r w:rsidR="00721183">
        <w:fldChar w:fldCharType="separate"/>
      </w:r>
      <w:r w:rsidR="00416869" w:rsidRPr="00416869">
        <w:rPr>
          <w:noProof/>
        </w:rPr>
        <w:t>[54], [122], [123]</w:t>
      </w:r>
      <w:r w:rsidR="00721183">
        <w:fldChar w:fldCharType="end"/>
      </w:r>
      <w:r w:rsidR="001E56C2">
        <w:t xml:space="preserve">, </w:t>
      </w:r>
      <w:r w:rsidR="00721183">
        <w:t>depending on the application</w:t>
      </w:r>
      <w:r>
        <w:t>.</w:t>
      </w:r>
      <w:r w:rsidR="001E56C2">
        <w:t xml:space="preserve"> </w:t>
      </w:r>
      <w:r w:rsidR="002C0296">
        <w:t>The e</w:t>
      </w:r>
      <w:r w:rsidR="000D536B">
        <w:t xml:space="preserve">xact values of sampling </w:t>
      </w:r>
      <w:r w:rsidR="002C0296">
        <w:t>are</w:t>
      </w:r>
      <w:r w:rsidR="000D536B">
        <w:t xml:space="preserve"> given in </w:t>
      </w:r>
      <w:r w:rsidR="000D536B">
        <w:fldChar w:fldCharType="begin"/>
      </w:r>
      <w:r w:rsidR="000D536B">
        <w:instrText xml:space="preserve"> REF _Ref93481776 \h </w:instrText>
      </w:r>
      <w:r w:rsidR="000D536B">
        <w:fldChar w:fldCharType="separate"/>
      </w:r>
      <w:r w:rsidR="00587AF0">
        <w:t xml:space="preserve">Table </w:t>
      </w:r>
      <w:r w:rsidR="00587AF0">
        <w:rPr>
          <w:noProof/>
        </w:rPr>
        <w:t>21</w:t>
      </w:r>
      <w:r w:rsidR="000D536B">
        <w:fldChar w:fldCharType="end"/>
      </w:r>
      <w:r w:rsidR="000D536B">
        <w:t>.</w:t>
      </w:r>
      <w:r w:rsidR="002C0296">
        <w:t xml:space="preserve"> Collected fluid samples are additionally sent to laboratories for analysis to avoid bias and non-replicable results.</w:t>
      </w:r>
      <w:r w:rsidR="001B7DFB" w:rsidRPr="001B7DFB">
        <w:t xml:space="preserve"> </w:t>
      </w:r>
      <w:r w:rsidR="001B7DFB">
        <w:t xml:space="preserve">The information regarding the samples, protocol, method, </w:t>
      </w:r>
      <w:r w:rsidR="00BB417F">
        <w:t xml:space="preserve">instrument </w:t>
      </w:r>
      <w:r w:rsidR="001B7DFB">
        <w:t xml:space="preserve">and overall analysis results are given in </w:t>
      </w:r>
      <w:r w:rsidR="001B7DFB">
        <w:fldChar w:fldCharType="begin"/>
      </w:r>
      <w:r w:rsidR="001B7DFB">
        <w:instrText xml:space="preserve"> REF _Ref100839664 \h </w:instrText>
      </w:r>
      <w:r w:rsidR="001B7DFB">
        <w:fldChar w:fldCharType="separate"/>
      </w:r>
      <w:r w:rsidR="00587AF0">
        <w:t xml:space="preserve">Appendix </w:t>
      </w:r>
      <w:r w:rsidR="00587AF0">
        <w:rPr>
          <w:noProof/>
        </w:rPr>
        <w:t>2</w:t>
      </w:r>
      <w:r w:rsidR="001B7DFB">
        <w:fldChar w:fldCharType="end"/>
      </w:r>
      <w:r w:rsidR="001B7DFB">
        <w:t xml:space="preserve">. </w:t>
      </w:r>
      <w:r w:rsidR="00651643">
        <w:t xml:space="preserve">In addition, laboratory </w:t>
      </w:r>
      <w:r w:rsidR="00BB417F">
        <w:t>elemental analysi</w:t>
      </w:r>
      <w:r w:rsidR="001B7DFB">
        <w:t>s</w:t>
      </w:r>
      <w:r w:rsidR="00651643">
        <w:t xml:space="preserve"> is performed</w:t>
      </w:r>
      <w:r w:rsidR="001B7DFB">
        <w:t xml:space="preserve"> via </w:t>
      </w:r>
      <w:r w:rsidR="001B7DFB" w:rsidRPr="00F335E2">
        <w:t>Wavelength Dispersive X-ray Fluorescence</w:t>
      </w:r>
      <w:r w:rsidR="001B7DFB">
        <w:t xml:space="preserve"> (WDXRF) spectroscopy.</w:t>
      </w:r>
    </w:p>
    <w:p w14:paraId="43FC2EEB" w14:textId="44302A2A" w:rsidR="0054296F" w:rsidRDefault="0054296F" w:rsidP="0054296F">
      <w:pPr>
        <w:pStyle w:val="Caption"/>
        <w:jc w:val="left"/>
      </w:pPr>
      <w:bookmarkStart w:id="400" w:name="_Ref93481776"/>
      <w:bookmarkStart w:id="401" w:name="_Toc101274461"/>
      <w:r>
        <w:t xml:space="preserve">Table </w:t>
      </w:r>
      <w:fldSimple w:instr=" SEQ Table \* ARABIC ">
        <w:r w:rsidR="00587AF0">
          <w:rPr>
            <w:noProof/>
          </w:rPr>
          <w:t>21</w:t>
        </w:r>
      </w:fldSimple>
      <w:bookmarkEnd w:id="400"/>
      <w:r>
        <w:t xml:space="preserve">. </w:t>
      </w:r>
      <w:r w:rsidR="00C35BDF">
        <w:t xml:space="preserve">Fluid </w:t>
      </w:r>
      <w:r>
        <w:t>sampl</w:t>
      </w:r>
      <w:r w:rsidR="00CD62AC">
        <w:t>ing</w:t>
      </w:r>
      <w:r>
        <w:t xml:space="preserve"> </w:t>
      </w:r>
      <w:r w:rsidR="00CD62AC">
        <w:t>frequency with amounts and sampling method</w:t>
      </w:r>
      <w:bookmarkEnd w:id="401"/>
    </w:p>
    <w:tbl>
      <w:tblPr>
        <w:tblW w:w="5000" w:type="pct"/>
        <w:tblLook w:val="04A0" w:firstRow="1" w:lastRow="0" w:firstColumn="1" w:lastColumn="0" w:noHBand="0" w:noVBand="1"/>
      </w:tblPr>
      <w:tblGrid>
        <w:gridCol w:w="658"/>
        <w:gridCol w:w="1278"/>
        <w:gridCol w:w="1049"/>
        <w:gridCol w:w="984"/>
        <w:gridCol w:w="1271"/>
        <w:gridCol w:w="1096"/>
        <w:gridCol w:w="1675"/>
        <w:gridCol w:w="1016"/>
      </w:tblGrid>
      <w:tr w:rsidR="00157DF4" w:rsidRPr="00F67691" w14:paraId="2A6275C7" w14:textId="148F7CB2" w:rsidTr="00157DF4">
        <w:tc>
          <w:tcPr>
            <w:tcW w:w="364" w:type="pct"/>
            <w:tcBorders>
              <w:top w:val="single" w:sz="4" w:space="0" w:color="auto"/>
              <w:bottom w:val="single" w:sz="4" w:space="0" w:color="auto"/>
            </w:tcBorders>
          </w:tcPr>
          <w:p w14:paraId="00C8871C" w14:textId="1F86EAD0" w:rsidR="00157DF4" w:rsidRPr="00F67691" w:rsidRDefault="00157DF4" w:rsidP="00FF53AF">
            <w:pPr>
              <w:spacing w:before="0" w:after="0"/>
              <w:jc w:val="center"/>
              <w:rPr>
                <w:b/>
                <w:bCs/>
                <w:sz w:val="20"/>
                <w:szCs w:val="20"/>
              </w:rPr>
            </w:pPr>
            <w:r>
              <w:rPr>
                <w:b/>
                <w:bCs/>
                <w:sz w:val="20"/>
                <w:szCs w:val="20"/>
              </w:rPr>
              <w:t>No.</w:t>
            </w:r>
          </w:p>
        </w:tc>
        <w:tc>
          <w:tcPr>
            <w:tcW w:w="708" w:type="pct"/>
            <w:tcBorders>
              <w:top w:val="single" w:sz="4" w:space="0" w:color="auto"/>
              <w:bottom w:val="single" w:sz="4" w:space="0" w:color="auto"/>
            </w:tcBorders>
          </w:tcPr>
          <w:p w14:paraId="27F3F824" w14:textId="6DEA4A8A" w:rsidR="00157DF4" w:rsidRPr="00F67691" w:rsidRDefault="00157DF4" w:rsidP="00553BCA">
            <w:pPr>
              <w:spacing w:before="0" w:after="0"/>
              <w:rPr>
                <w:b/>
                <w:bCs/>
                <w:sz w:val="20"/>
                <w:szCs w:val="20"/>
              </w:rPr>
            </w:pPr>
            <w:r>
              <w:rPr>
                <w:b/>
                <w:bCs/>
                <w:sz w:val="20"/>
                <w:szCs w:val="20"/>
              </w:rPr>
              <w:t>Date</w:t>
            </w:r>
          </w:p>
        </w:tc>
        <w:tc>
          <w:tcPr>
            <w:tcW w:w="581" w:type="pct"/>
            <w:tcBorders>
              <w:top w:val="single" w:sz="4" w:space="0" w:color="auto"/>
              <w:bottom w:val="single" w:sz="4" w:space="0" w:color="auto"/>
            </w:tcBorders>
          </w:tcPr>
          <w:p w14:paraId="28FECDC5" w14:textId="69436214" w:rsidR="00157DF4" w:rsidRPr="00F67691" w:rsidRDefault="00157DF4" w:rsidP="00553BCA">
            <w:pPr>
              <w:spacing w:before="0" w:after="0"/>
              <w:rPr>
                <w:b/>
                <w:bCs/>
                <w:sz w:val="20"/>
                <w:szCs w:val="20"/>
              </w:rPr>
            </w:pPr>
            <w:r>
              <w:rPr>
                <w:b/>
                <w:bCs/>
                <w:sz w:val="20"/>
                <w:szCs w:val="20"/>
              </w:rPr>
              <w:t>Time</w:t>
            </w:r>
          </w:p>
        </w:tc>
        <w:tc>
          <w:tcPr>
            <w:tcW w:w="545" w:type="pct"/>
            <w:tcBorders>
              <w:top w:val="single" w:sz="4" w:space="0" w:color="auto"/>
              <w:bottom w:val="single" w:sz="4" w:space="0" w:color="auto"/>
            </w:tcBorders>
          </w:tcPr>
          <w:p w14:paraId="405268EF" w14:textId="097FD48E" w:rsidR="00157DF4" w:rsidRPr="00F67691" w:rsidRDefault="00157DF4" w:rsidP="00553BCA">
            <w:pPr>
              <w:spacing w:before="0" w:after="0"/>
              <w:rPr>
                <w:b/>
                <w:bCs/>
                <w:sz w:val="20"/>
                <w:szCs w:val="20"/>
              </w:rPr>
            </w:pPr>
            <w:r>
              <w:rPr>
                <w:b/>
                <w:bCs/>
                <w:sz w:val="20"/>
                <w:szCs w:val="20"/>
              </w:rPr>
              <w:t>Place</w:t>
            </w:r>
          </w:p>
        </w:tc>
        <w:tc>
          <w:tcPr>
            <w:tcW w:w="704" w:type="pct"/>
            <w:tcBorders>
              <w:top w:val="single" w:sz="4" w:space="0" w:color="auto"/>
              <w:bottom w:val="single" w:sz="4" w:space="0" w:color="auto"/>
            </w:tcBorders>
          </w:tcPr>
          <w:p w14:paraId="34B4A70F" w14:textId="73BF9CA7" w:rsidR="00157DF4" w:rsidRPr="00F67691" w:rsidRDefault="00631563" w:rsidP="00553BCA">
            <w:pPr>
              <w:spacing w:before="0" w:after="0"/>
              <w:rPr>
                <w:b/>
                <w:bCs/>
                <w:sz w:val="20"/>
                <w:szCs w:val="20"/>
              </w:rPr>
            </w:pPr>
            <w:r>
              <w:rPr>
                <w:b/>
                <w:bCs/>
                <w:sz w:val="20"/>
                <w:szCs w:val="20"/>
              </w:rPr>
              <w:t>Sampling</w:t>
            </w:r>
          </w:p>
        </w:tc>
        <w:tc>
          <w:tcPr>
            <w:tcW w:w="607" w:type="pct"/>
            <w:tcBorders>
              <w:top w:val="single" w:sz="4" w:space="0" w:color="auto"/>
              <w:bottom w:val="single" w:sz="4" w:space="0" w:color="auto"/>
            </w:tcBorders>
          </w:tcPr>
          <w:p w14:paraId="7A000AEE" w14:textId="1374DCAE" w:rsidR="00157DF4" w:rsidRPr="00F67691" w:rsidRDefault="00157DF4" w:rsidP="00553BCA">
            <w:pPr>
              <w:spacing w:before="0" w:after="0"/>
              <w:rPr>
                <w:b/>
                <w:bCs/>
                <w:sz w:val="20"/>
                <w:szCs w:val="20"/>
              </w:rPr>
            </w:pPr>
            <w:r>
              <w:rPr>
                <w:b/>
                <w:bCs/>
                <w:sz w:val="20"/>
                <w:szCs w:val="20"/>
              </w:rPr>
              <w:t>Amount</w:t>
            </w:r>
          </w:p>
        </w:tc>
        <w:tc>
          <w:tcPr>
            <w:tcW w:w="928" w:type="pct"/>
            <w:tcBorders>
              <w:top w:val="single" w:sz="4" w:space="0" w:color="auto"/>
              <w:bottom w:val="single" w:sz="4" w:space="0" w:color="auto"/>
            </w:tcBorders>
          </w:tcPr>
          <w:p w14:paraId="3D46066D" w14:textId="55503627" w:rsidR="00157DF4" w:rsidRPr="00F67691" w:rsidRDefault="00157DF4" w:rsidP="00553BCA">
            <w:pPr>
              <w:spacing w:before="0" w:after="0"/>
              <w:rPr>
                <w:b/>
                <w:bCs/>
                <w:sz w:val="20"/>
                <w:szCs w:val="20"/>
              </w:rPr>
            </w:pPr>
            <w:r>
              <w:rPr>
                <w:b/>
                <w:bCs/>
                <w:sz w:val="20"/>
                <w:szCs w:val="20"/>
              </w:rPr>
              <w:t>Analysis</w:t>
            </w:r>
          </w:p>
        </w:tc>
        <w:tc>
          <w:tcPr>
            <w:tcW w:w="563" w:type="pct"/>
            <w:tcBorders>
              <w:top w:val="single" w:sz="4" w:space="0" w:color="auto"/>
              <w:bottom w:val="single" w:sz="4" w:space="0" w:color="auto"/>
            </w:tcBorders>
          </w:tcPr>
          <w:p w14:paraId="1BBECFE5" w14:textId="6A55A773" w:rsidR="00157DF4" w:rsidRPr="00F67691" w:rsidRDefault="00157DF4" w:rsidP="008F5121">
            <w:pPr>
              <w:spacing w:before="0" w:after="0"/>
              <w:jc w:val="right"/>
              <w:rPr>
                <w:b/>
                <w:bCs/>
                <w:sz w:val="20"/>
                <w:szCs w:val="20"/>
              </w:rPr>
            </w:pPr>
            <w:r>
              <w:rPr>
                <w:b/>
                <w:bCs/>
                <w:sz w:val="20"/>
                <w:szCs w:val="20"/>
              </w:rPr>
              <w:t>TBS-H</w:t>
            </w:r>
          </w:p>
        </w:tc>
      </w:tr>
      <w:tr w:rsidR="00157DF4" w:rsidRPr="00F67691" w14:paraId="639CC325" w14:textId="67811680" w:rsidTr="00157DF4">
        <w:tc>
          <w:tcPr>
            <w:tcW w:w="364" w:type="pct"/>
            <w:tcBorders>
              <w:top w:val="single" w:sz="4" w:space="0" w:color="auto"/>
            </w:tcBorders>
          </w:tcPr>
          <w:p w14:paraId="1E4D2F4F" w14:textId="3817CB37" w:rsidR="00157DF4" w:rsidRPr="00F67691" w:rsidRDefault="00157DF4" w:rsidP="00FF53AF">
            <w:pPr>
              <w:spacing w:before="0" w:after="0"/>
              <w:jc w:val="center"/>
              <w:rPr>
                <w:sz w:val="20"/>
                <w:szCs w:val="20"/>
              </w:rPr>
            </w:pPr>
            <w:r>
              <w:rPr>
                <w:sz w:val="20"/>
                <w:szCs w:val="20"/>
              </w:rPr>
              <w:t>0</w:t>
            </w:r>
          </w:p>
        </w:tc>
        <w:tc>
          <w:tcPr>
            <w:tcW w:w="708" w:type="pct"/>
            <w:tcBorders>
              <w:top w:val="single" w:sz="4" w:space="0" w:color="auto"/>
            </w:tcBorders>
          </w:tcPr>
          <w:p w14:paraId="121C9F47" w14:textId="2E8E435E" w:rsidR="00157DF4" w:rsidRPr="00F67691" w:rsidRDefault="00157DF4" w:rsidP="00553BCA">
            <w:pPr>
              <w:spacing w:before="0" w:after="0"/>
              <w:rPr>
                <w:sz w:val="20"/>
                <w:szCs w:val="20"/>
              </w:rPr>
            </w:pPr>
            <w:r>
              <w:rPr>
                <w:sz w:val="20"/>
                <w:szCs w:val="20"/>
              </w:rPr>
              <w:t>06.10.2021</w:t>
            </w:r>
          </w:p>
        </w:tc>
        <w:tc>
          <w:tcPr>
            <w:tcW w:w="581" w:type="pct"/>
            <w:tcBorders>
              <w:top w:val="single" w:sz="4" w:space="0" w:color="auto"/>
            </w:tcBorders>
          </w:tcPr>
          <w:p w14:paraId="7F3496CD" w14:textId="4D942BA5" w:rsidR="00157DF4" w:rsidRPr="00F67691" w:rsidRDefault="00157DF4" w:rsidP="00553BCA">
            <w:pPr>
              <w:spacing w:before="0" w:after="0"/>
              <w:rPr>
                <w:sz w:val="20"/>
                <w:szCs w:val="20"/>
              </w:rPr>
            </w:pPr>
            <w:r>
              <w:rPr>
                <w:sz w:val="20"/>
                <w:szCs w:val="20"/>
              </w:rPr>
              <w:t>11:44:00</w:t>
            </w:r>
          </w:p>
        </w:tc>
        <w:tc>
          <w:tcPr>
            <w:tcW w:w="545" w:type="pct"/>
            <w:tcBorders>
              <w:top w:val="single" w:sz="4" w:space="0" w:color="auto"/>
            </w:tcBorders>
          </w:tcPr>
          <w:p w14:paraId="251B6EF7" w14:textId="0E9B8B6A" w:rsidR="00157DF4" w:rsidRPr="00F67691" w:rsidRDefault="00157DF4" w:rsidP="00553BCA">
            <w:pPr>
              <w:spacing w:before="0" w:after="0"/>
              <w:rPr>
                <w:sz w:val="20"/>
                <w:szCs w:val="20"/>
              </w:rPr>
            </w:pPr>
            <w:r>
              <w:rPr>
                <w:sz w:val="20"/>
                <w:szCs w:val="20"/>
              </w:rPr>
              <w:t>Barrel</w:t>
            </w:r>
          </w:p>
        </w:tc>
        <w:tc>
          <w:tcPr>
            <w:tcW w:w="704" w:type="pct"/>
            <w:tcBorders>
              <w:top w:val="single" w:sz="4" w:space="0" w:color="auto"/>
            </w:tcBorders>
          </w:tcPr>
          <w:p w14:paraId="053E75A6" w14:textId="69C8F84F" w:rsidR="00157DF4" w:rsidRPr="00F67691" w:rsidRDefault="00157DF4" w:rsidP="00553BCA">
            <w:pPr>
              <w:spacing w:before="0" w:after="0"/>
              <w:rPr>
                <w:sz w:val="20"/>
                <w:szCs w:val="20"/>
              </w:rPr>
            </w:pPr>
            <w:r>
              <w:rPr>
                <w:sz w:val="20"/>
                <w:szCs w:val="20"/>
              </w:rPr>
              <w:t>Offline</w:t>
            </w:r>
          </w:p>
        </w:tc>
        <w:tc>
          <w:tcPr>
            <w:tcW w:w="607" w:type="pct"/>
            <w:tcBorders>
              <w:top w:val="single" w:sz="4" w:space="0" w:color="auto"/>
            </w:tcBorders>
          </w:tcPr>
          <w:p w14:paraId="79F044BB" w14:textId="169287D8" w:rsidR="00157DF4" w:rsidRPr="00F67691" w:rsidRDefault="00157DF4" w:rsidP="00553BCA">
            <w:pPr>
              <w:spacing w:before="0" w:after="0"/>
              <w:rPr>
                <w:sz w:val="20"/>
                <w:szCs w:val="20"/>
              </w:rPr>
            </w:pPr>
            <w:r>
              <w:rPr>
                <w:sz w:val="20"/>
                <w:szCs w:val="20"/>
              </w:rPr>
              <w:t>500 ml</w:t>
            </w:r>
          </w:p>
        </w:tc>
        <w:tc>
          <w:tcPr>
            <w:tcW w:w="928" w:type="pct"/>
            <w:tcBorders>
              <w:top w:val="single" w:sz="4" w:space="0" w:color="auto"/>
            </w:tcBorders>
          </w:tcPr>
          <w:p w14:paraId="0FFDFBAD" w14:textId="7AEC82A5" w:rsidR="00157DF4" w:rsidRPr="00F67691" w:rsidRDefault="00157DF4" w:rsidP="00553BCA">
            <w:pPr>
              <w:spacing w:before="0" w:after="0"/>
              <w:rPr>
                <w:sz w:val="20"/>
                <w:szCs w:val="20"/>
              </w:rPr>
            </w:pPr>
            <w:r>
              <w:rPr>
                <w:sz w:val="20"/>
                <w:szCs w:val="20"/>
              </w:rPr>
              <w:t>Phys. proerties</w:t>
            </w:r>
          </w:p>
        </w:tc>
        <w:tc>
          <w:tcPr>
            <w:tcW w:w="563" w:type="pct"/>
            <w:tcBorders>
              <w:top w:val="single" w:sz="4" w:space="0" w:color="auto"/>
            </w:tcBorders>
          </w:tcPr>
          <w:p w14:paraId="0DA1B65E" w14:textId="4C1AB590" w:rsidR="00157DF4" w:rsidRPr="00F67691" w:rsidRDefault="008F5121" w:rsidP="008F5121">
            <w:pPr>
              <w:spacing w:before="0" w:after="0"/>
              <w:jc w:val="right"/>
              <w:rPr>
                <w:sz w:val="20"/>
                <w:szCs w:val="20"/>
              </w:rPr>
            </w:pPr>
            <w:r>
              <w:rPr>
                <w:sz w:val="20"/>
                <w:szCs w:val="20"/>
              </w:rPr>
              <w:t>0</w:t>
            </w:r>
            <w:r w:rsidR="00CB4855">
              <w:rPr>
                <w:sz w:val="20"/>
                <w:szCs w:val="20"/>
              </w:rPr>
              <w:t>.00</w:t>
            </w:r>
          </w:p>
        </w:tc>
      </w:tr>
      <w:tr w:rsidR="00157DF4" w:rsidRPr="00F67691" w14:paraId="2E45462B" w14:textId="331D626D" w:rsidTr="00157DF4">
        <w:tc>
          <w:tcPr>
            <w:tcW w:w="364" w:type="pct"/>
          </w:tcPr>
          <w:p w14:paraId="0FF73B3C" w14:textId="240DAFC3" w:rsidR="00157DF4" w:rsidRPr="00F67691" w:rsidRDefault="00157DF4" w:rsidP="00FF53AF">
            <w:pPr>
              <w:spacing w:before="0" w:after="0"/>
              <w:jc w:val="center"/>
              <w:rPr>
                <w:sz w:val="20"/>
                <w:szCs w:val="20"/>
              </w:rPr>
            </w:pPr>
            <w:r>
              <w:rPr>
                <w:sz w:val="20"/>
                <w:szCs w:val="20"/>
              </w:rPr>
              <w:t>0</w:t>
            </w:r>
          </w:p>
        </w:tc>
        <w:tc>
          <w:tcPr>
            <w:tcW w:w="708" w:type="pct"/>
          </w:tcPr>
          <w:p w14:paraId="1AA829A4" w14:textId="0A3CE53A" w:rsidR="00157DF4" w:rsidRPr="00F67691" w:rsidRDefault="00157DF4" w:rsidP="00FF53AF">
            <w:pPr>
              <w:spacing w:before="0" w:after="0"/>
              <w:rPr>
                <w:sz w:val="20"/>
                <w:szCs w:val="20"/>
              </w:rPr>
            </w:pPr>
            <w:r>
              <w:rPr>
                <w:sz w:val="20"/>
                <w:szCs w:val="20"/>
              </w:rPr>
              <w:t>06.10.2021</w:t>
            </w:r>
          </w:p>
        </w:tc>
        <w:tc>
          <w:tcPr>
            <w:tcW w:w="581" w:type="pct"/>
          </w:tcPr>
          <w:p w14:paraId="142C9EED" w14:textId="573ED73A" w:rsidR="00157DF4" w:rsidRPr="00F67691" w:rsidRDefault="00157DF4" w:rsidP="00FF53AF">
            <w:pPr>
              <w:spacing w:before="0" w:after="0"/>
              <w:rPr>
                <w:sz w:val="20"/>
                <w:szCs w:val="20"/>
              </w:rPr>
            </w:pPr>
            <w:r>
              <w:rPr>
                <w:sz w:val="20"/>
                <w:szCs w:val="20"/>
              </w:rPr>
              <w:t>11:45:00</w:t>
            </w:r>
          </w:p>
        </w:tc>
        <w:tc>
          <w:tcPr>
            <w:tcW w:w="545" w:type="pct"/>
          </w:tcPr>
          <w:p w14:paraId="5599F30F" w14:textId="5889A5CB" w:rsidR="00157DF4" w:rsidRPr="00F67691" w:rsidRDefault="00157DF4" w:rsidP="00FF53AF">
            <w:pPr>
              <w:spacing w:before="0" w:after="0"/>
              <w:rPr>
                <w:sz w:val="20"/>
                <w:szCs w:val="20"/>
              </w:rPr>
            </w:pPr>
            <w:r>
              <w:rPr>
                <w:sz w:val="20"/>
                <w:szCs w:val="20"/>
              </w:rPr>
              <w:t>Barrel</w:t>
            </w:r>
          </w:p>
        </w:tc>
        <w:tc>
          <w:tcPr>
            <w:tcW w:w="704" w:type="pct"/>
          </w:tcPr>
          <w:p w14:paraId="101119B6" w14:textId="225A03C0" w:rsidR="00157DF4" w:rsidRPr="00F67691" w:rsidRDefault="00157DF4" w:rsidP="00FF53AF">
            <w:pPr>
              <w:spacing w:before="0" w:after="0"/>
              <w:rPr>
                <w:sz w:val="20"/>
                <w:szCs w:val="20"/>
              </w:rPr>
            </w:pPr>
            <w:r>
              <w:rPr>
                <w:sz w:val="20"/>
                <w:szCs w:val="20"/>
              </w:rPr>
              <w:t>Offline</w:t>
            </w:r>
          </w:p>
        </w:tc>
        <w:tc>
          <w:tcPr>
            <w:tcW w:w="607" w:type="pct"/>
          </w:tcPr>
          <w:p w14:paraId="688C06EE" w14:textId="414DBEE3" w:rsidR="00157DF4" w:rsidRPr="00F67691" w:rsidRDefault="00157DF4" w:rsidP="00FF53AF">
            <w:pPr>
              <w:spacing w:before="0" w:after="0"/>
              <w:rPr>
                <w:sz w:val="20"/>
                <w:szCs w:val="20"/>
              </w:rPr>
            </w:pPr>
            <w:r>
              <w:rPr>
                <w:sz w:val="20"/>
                <w:szCs w:val="20"/>
              </w:rPr>
              <w:t>100 ml</w:t>
            </w:r>
          </w:p>
        </w:tc>
        <w:tc>
          <w:tcPr>
            <w:tcW w:w="928" w:type="pct"/>
          </w:tcPr>
          <w:p w14:paraId="0AA8A8AC" w14:textId="12340D97" w:rsidR="00157DF4" w:rsidRPr="00F67691" w:rsidRDefault="00157DF4" w:rsidP="00FF53AF">
            <w:pPr>
              <w:spacing w:before="0" w:after="0"/>
              <w:rPr>
                <w:sz w:val="20"/>
                <w:szCs w:val="20"/>
              </w:rPr>
            </w:pPr>
            <w:r>
              <w:rPr>
                <w:sz w:val="20"/>
                <w:szCs w:val="20"/>
              </w:rPr>
              <w:t>Elemental+Phys.</w:t>
            </w:r>
          </w:p>
        </w:tc>
        <w:tc>
          <w:tcPr>
            <w:tcW w:w="563" w:type="pct"/>
          </w:tcPr>
          <w:p w14:paraId="4EAFD1F0" w14:textId="75FF4167" w:rsidR="00157DF4" w:rsidRPr="00F67691" w:rsidRDefault="008F5121" w:rsidP="008F5121">
            <w:pPr>
              <w:spacing w:before="0" w:after="0"/>
              <w:jc w:val="right"/>
              <w:rPr>
                <w:sz w:val="20"/>
                <w:szCs w:val="20"/>
              </w:rPr>
            </w:pPr>
            <w:r>
              <w:rPr>
                <w:sz w:val="20"/>
                <w:szCs w:val="20"/>
              </w:rPr>
              <w:t>0</w:t>
            </w:r>
            <w:r w:rsidR="00CB4855">
              <w:rPr>
                <w:sz w:val="20"/>
                <w:szCs w:val="20"/>
              </w:rPr>
              <w:t>.00</w:t>
            </w:r>
          </w:p>
        </w:tc>
      </w:tr>
      <w:tr w:rsidR="00157DF4" w:rsidRPr="00F67691" w14:paraId="05F6E265" w14:textId="370FEE0C" w:rsidTr="00157DF4">
        <w:tc>
          <w:tcPr>
            <w:tcW w:w="364" w:type="pct"/>
          </w:tcPr>
          <w:p w14:paraId="32A1B650" w14:textId="3C1C9A37" w:rsidR="00157DF4" w:rsidRPr="00F67691" w:rsidRDefault="00157DF4" w:rsidP="00157DF4">
            <w:pPr>
              <w:spacing w:before="0" w:after="0"/>
              <w:jc w:val="center"/>
              <w:rPr>
                <w:sz w:val="20"/>
                <w:szCs w:val="20"/>
              </w:rPr>
            </w:pPr>
            <w:r>
              <w:rPr>
                <w:sz w:val="20"/>
                <w:szCs w:val="20"/>
              </w:rPr>
              <w:t>1</w:t>
            </w:r>
          </w:p>
        </w:tc>
        <w:tc>
          <w:tcPr>
            <w:tcW w:w="708" w:type="pct"/>
          </w:tcPr>
          <w:p w14:paraId="00DBFAFA" w14:textId="77F543B2" w:rsidR="00157DF4" w:rsidRPr="00F67691" w:rsidRDefault="00157DF4" w:rsidP="00157DF4">
            <w:pPr>
              <w:spacing w:before="0" w:after="0"/>
              <w:rPr>
                <w:sz w:val="20"/>
                <w:szCs w:val="20"/>
              </w:rPr>
            </w:pPr>
            <w:r>
              <w:rPr>
                <w:sz w:val="20"/>
                <w:szCs w:val="20"/>
              </w:rPr>
              <w:t>22.10.2021</w:t>
            </w:r>
          </w:p>
        </w:tc>
        <w:tc>
          <w:tcPr>
            <w:tcW w:w="581" w:type="pct"/>
          </w:tcPr>
          <w:p w14:paraId="4E173B38" w14:textId="6F141DB4" w:rsidR="00157DF4" w:rsidRPr="00F67691" w:rsidRDefault="00157DF4" w:rsidP="00157DF4">
            <w:pPr>
              <w:spacing w:before="0" w:after="0"/>
              <w:rPr>
                <w:sz w:val="20"/>
                <w:szCs w:val="20"/>
              </w:rPr>
            </w:pPr>
            <w:r>
              <w:rPr>
                <w:sz w:val="20"/>
                <w:szCs w:val="20"/>
              </w:rPr>
              <w:t>19:41:</w:t>
            </w:r>
            <w:r w:rsidR="001B7DFB">
              <w:rPr>
                <w:sz w:val="20"/>
                <w:szCs w:val="20"/>
              </w:rPr>
              <w:t>00</w:t>
            </w:r>
          </w:p>
        </w:tc>
        <w:tc>
          <w:tcPr>
            <w:tcW w:w="545" w:type="pct"/>
          </w:tcPr>
          <w:p w14:paraId="58D005B5" w14:textId="140CCADC" w:rsidR="00157DF4" w:rsidRPr="00F67691" w:rsidRDefault="00157DF4" w:rsidP="00157DF4">
            <w:pPr>
              <w:spacing w:before="0" w:after="0"/>
              <w:rPr>
                <w:sz w:val="20"/>
                <w:szCs w:val="20"/>
              </w:rPr>
            </w:pPr>
            <w:r>
              <w:rPr>
                <w:sz w:val="20"/>
                <w:szCs w:val="20"/>
              </w:rPr>
              <w:t>DV-T</w:t>
            </w:r>
          </w:p>
        </w:tc>
        <w:tc>
          <w:tcPr>
            <w:tcW w:w="704" w:type="pct"/>
          </w:tcPr>
          <w:p w14:paraId="4E0A51AA" w14:textId="0291B292" w:rsidR="00157DF4" w:rsidRPr="00F67691" w:rsidRDefault="00157DF4" w:rsidP="00157DF4">
            <w:pPr>
              <w:spacing w:before="0" w:after="0"/>
              <w:rPr>
                <w:sz w:val="20"/>
                <w:szCs w:val="20"/>
              </w:rPr>
            </w:pPr>
            <w:r w:rsidRPr="00FB7636">
              <w:rPr>
                <w:sz w:val="20"/>
                <w:szCs w:val="20"/>
              </w:rPr>
              <w:t>Online</w:t>
            </w:r>
          </w:p>
        </w:tc>
        <w:tc>
          <w:tcPr>
            <w:tcW w:w="607" w:type="pct"/>
          </w:tcPr>
          <w:p w14:paraId="225846FF" w14:textId="7592A965" w:rsidR="00157DF4" w:rsidRPr="00F67691" w:rsidRDefault="00157DF4" w:rsidP="00157DF4">
            <w:pPr>
              <w:spacing w:before="0" w:after="0"/>
              <w:rPr>
                <w:sz w:val="20"/>
                <w:szCs w:val="20"/>
              </w:rPr>
            </w:pPr>
            <w:r>
              <w:rPr>
                <w:sz w:val="20"/>
                <w:szCs w:val="20"/>
              </w:rPr>
              <w:t>500 ml</w:t>
            </w:r>
          </w:p>
        </w:tc>
        <w:tc>
          <w:tcPr>
            <w:tcW w:w="928" w:type="pct"/>
          </w:tcPr>
          <w:p w14:paraId="67F49347" w14:textId="50BED924" w:rsidR="00157DF4" w:rsidRPr="00F67691" w:rsidRDefault="00157DF4" w:rsidP="00157DF4">
            <w:pPr>
              <w:spacing w:before="0" w:after="0"/>
              <w:rPr>
                <w:sz w:val="20"/>
                <w:szCs w:val="20"/>
              </w:rPr>
            </w:pPr>
            <w:r>
              <w:rPr>
                <w:sz w:val="20"/>
                <w:szCs w:val="20"/>
              </w:rPr>
              <w:t>Phys. proerties</w:t>
            </w:r>
          </w:p>
        </w:tc>
        <w:tc>
          <w:tcPr>
            <w:tcW w:w="563" w:type="pct"/>
          </w:tcPr>
          <w:p w14:paraId="403EB7AC" w14:textId="7B450BEB" w:rsidR="00157DF4" w:rsidRPr="00F67691" w:rsidRDefault="008F5121" w:rsidP="008F5121">
            <w:pPr>
              <w:spacing w:before="0" w:after="0"/>
              <w:jc w:val="right"/>
              <w:rPr>
                <w:sz w:val="20"/>
                <w:szCs w:val="20"/>
              </w:rPr>
            </w:pPr>
            <w:r>
              <w:rPr>
                <w:sz w:val="20"/>
                <w:szCs w:val="20"/>
              </w:rPr>
              <w:t>391.95</w:t>
            </w:r>
          </w:p>
        </w:tc>
      </w:tr>
      <w:tr w:rsidR="00157DF4" w:rsidRPr="00F67691" w14:paraId="7420F65F" w14:textId="2AEC9197" w:rsidTr="00157DF4">
        <w:tc>
          <w:tcPr>
            <w:tcW w:w="364" w:type="pct"/>
          </w:tcPr>
          <w:p w14:paraId="6B57E809" w14:textId="305509AC" w:rsidR="00157DF4" w:rsidRPr="00F67691" w:rsidRDefault="00157DF4" w:rsidP="00157DF4">
            <w:pPr>
              <w:spacing w:before="0" w:after="0"/>
              <w:jc w:val="center"/>
              <w:rPr>
                <w:sz w:val="20"/>
                <w:szCs w:val="20"/>
              </w:rPr>
            </w:pPr>
            <w:r>
              <w:rPr>
                <w:sz w:val="20"/>
                <w:szCs w:val="20"/>
              </w:rPr>
              <w:t>1</w:t>
            </w:r>
          </w:p>
        </w:tc>
        <w:tc>
          <w:tcPr>
            <w:tcW w:w="708" w:type="pct"/>
          </w:tcPr>
          <w:p w14:paraId="266D9154" w14:textId="028BBB46" w:rsidR="00157DF4" w:rsidRPr="00F67691" w:rsidRDefault="00157DF4" w:rsidP="00157DF4">
            <w:pPr>
              <w:spacing w:before="0" w:after="0"/>
              <w:rPr>
                <w:sz w:val="20"/>
                <w:szCs w:val="20"/>
              </w:rPr>
            </w:pPr>
            <w:r>
              <w:rPr>
                <w:sz w:val="20"/>
                <w:szCs w:val="20"/>
              </w:rPr>
              <w:t>22.10.2021</w:t>
            </w:r>
          </w:p>
        </w:tc>
        <w:tc>
          <w:tcPr>
            <w:tcW w:w="581" w:type="pct"/>
          </w:tcPr>
          <w:p w14:paraId="167DC239" w14:textId="7BBBB19E" w:rsidR="00157DF4" w:rsidRPr="00F67691" w:rsidRDefault="00157DF4" w:rsidP="00157DF4">
            <w:pPr>
              <w:spacing w:before="0" w:after="0"/>
              <w:rPr>
                <w:sz w:val="20"/>
                <w:szCs w:val="20"/>
              </w:rPr>
            </w:pPr>
            <w:r>
              <w:rPr>
                <w:sz w:val="20"/>
                <w:szCs w:val="20"/>
              </w:rPr>
              <w:t>1</w:t>
            </w:r>
            <w:r w:rsidR="00023CE5">
              <w:rPr>
                <w:sz w:val="20"/>
                <w:szCs w:val="20"/>
              </w:rPr>
              <w:t>9</w:t>
            </w:r>
            <w:r>
              <w:rPr>
                <w:sz w:val="20"/>
                <w:szCs w:val="20"/>
              </w:rPr>
              <w:t>:43:</w:t>
            </w:r>
            <w:r w:rsidR="001B7DFB">
              <w:rPr>
                <w:sz w:val="20"/>
                <w:szCs w:val="20"/>
              </w:rPr>
              <w:t>00</w:t>
            </w:r>
          </w:p>
        </w:tc>
        <w:tc>
          <w:tcPr>
            <w:tcW w:w="545" w:type="pct"/>
          </w:tcPr>
          <w:p w14:paraId="753BD181" w14:textId="08E2B10C" w:rsidR="00157DF4" w:rsidRPr="00F67691" w:rsidRDefault="00157DF4" w:rsidP="00157DF4">
            <w:pPr>
              <w:spacing w:before="0" w:after="0"/>
              <w:rPr>
                <w:sz w:val="20"/>
                <w:szCs w:val="20"/>
              </w:rPr>
            </w:pPr>
            <w:r>
              <w:rPr>
                <w:sz w:val="20"/>
                <w:szCs w:val="20"/>
              </w:rPr>
              <w:t>DV-T</w:t>
            </w:r>
          </w:p>
        </w:tc>
        <w:tc>
          <w:tcPr>
            <w:tcW w:w="704" w:type="pct"/>
          </w:tcPr>
          <w:p w14:paraId="799F1264" w14:textId="2A7C31DB" w:rsidR="00157DF4" w:rsidRPr="00F67691" w:rsidRDefault="00157DF4" w:rsidP="00157DF4">
            <w:pPr>
              <w:spacing w:before="0" w:after="0"/>
              <w:rPr>
                <w:sz w:val="20"/>
                <w:szCs w:val="20"/>
              </w:rPr>
            </w:pPr>
            <w:r w:rsidRPr="00FB7636">
              <w:rPr>
                <w:sz w:val="20"/>
                <w:szCs w:val="20"/>
              </w:rPr>
              <w:t>Online</w:t>
            </w:r>
          </w:p>
        </w:tc>
        <w:tc>
          <w:tcPr>
            <w:tcW w:w="607" w:type="pct"/>
          </w:tcPr>
          <w:p w14:paraId="6B541F28" w14:textId="16796FB2" w:rsidR="00157DF4" w:rsidRPr="00F67691" w:rsidRDefault="00157DF4" w:rsidP="00157DF4">
            <w:pPr>
              <w:spacing w:before="0" w:after="0"/>
              <w:rPr>
                <w:sz w:val="20"/>
                <w:szCs w:val="20"/>
              </w:rPr>
            </w:pPr>
            <w:r>
              <w:rPr>
                <w:sz w:val="20"/>
                <w:szCs w:val="20"/>
              </w:rPr>
              <w:t>100 ml</w:t>
            </w:r>
          </w:p>
        </w:tc>
        <w:tc>
          <w:tcPr>
            <w:tcW w:w="928" w:type="pct"/>
          </w:tcPr>
          <w:p w14:paraId="518F6A0D" w14:textId="449D266D" w:rsidR="00157DF4" w:rsidRPr="00F67691" w:rsidRDefault="00157DF4" w:rsidP="00157DF4">
            <w:pPr>
              <w:spacing w:before="0" w:after="0"/>
              <w:rPr>
                <w:sz w:val="20"/>
                <w:szCs w:val="20"/>
              </w:rPr>
            </w:pPr>
            <w:r>
              <w:rPr>
                <w:sz w:val="20"/>
                <w:szCs w:val="20"/>
              </w:rPr>
              <w:t>Elemental+Phys.</w:t>
            </w:r>
          </w:p>
        </w:tc>
        <w:tc>
          <w:tcPr>
            <w:tcW w:w="563" w:type="pct"/>
          </w:tcPr>
          <w:p w14:paraId="78BECD67" w14:textId="489845E4" w:rsidR="00157DF4" w:rsidRPr="00F67691" w:rsidRDefault="008F5121" w:rsidP="008F5121">
            <w:pPr>
              <w:spacing w:before="0" w:after="0"/>
              <w:jc w:val="right"/>
              <w:rPr>
                <w:sz w:val="20"/>
                <w:szCs w:val="20"/>
              </w:rPr>
            </w:pPr>
            <w:r>
              <w:rPr>
                <w:sz w:val="20"/>
                <w:szCs w:val="20"/>
              </w:rPr>
              <w:t>3</w:t>
            </w:r>
            <w:r w:rsidR="00023CE5">
              <w:rPr>
                <w:sz w:val="20"/>
                <w:szCs w:val="20"/>
              </w:rPr>
              <w:t>92</w:t>
            </w:r>
            <w:r>
              <w:rPr>
                <w:sz w:val="20"/>
                <w:szCs w:val="20"/>
              </w:rPr>
              <w:t>.</w:t>
            </w:r>
            <w:r w:rsidR="00023CE5">
              <w:rPr>
                <w:sz w:val="20"/>
                <w:szCs w:val="20"/>
              </w:rPr>
              <w:t>00</w:t>
            </w:r>
          </w:p>
        </w:tc>
      </w:tr>
      <w:tr w:rsidR="00157DF4" w:rsidRPr="00F67691" w14:paraId="4618E71F" w14:textId="43A43856" w:rsidTr="00157DF4">
        <w:tc>
          <w:tcPr>
            <w:tcW w:w="364" w:type="pct"/>
          </w:tcPr>
          <w:p w14:paraId="2F989C37" w14:textId="4960CF38" w:rsidR="00157DF4" w:rsidRPr="00F67691" w:rsidRDefault="00157DF4" w:rsidP="00157DF4">
            <w:pPr>
              <w:spacing w:before="0" w:after="0"/>
              <w:jc w:val="center"/>
              <w:rPr>
                <w:sz w:val="20"/>
                <w:szCs w:val="20"/>
              </w:rPr>
            </w:pPr>
            <w:r>
              <w:rPr>
                <w:sz w:val="20"/>
                <w:szCs w:val="20"/>
              </w:rPr>
              <w:t>2</w:t>
            </w:r>
          </w:p>
        </w:tc>
        <w:tc>
          <w:tcPr>
            <w:tcW w:w="708" w:type="pct"/>
          </w:tcPr>
          <w:p w14:paraId="0CADADA5" w14:textId="7B073CF9" w:rsidR="00157DF4" w:rsidRPr="00F67691" w:rsidRDefault="00157DF4" w:rsidP="00157DF4">
            <w:pPr>
              <w:spacing w:before="0" w:after="0"/>
              <w:rPr>
                <w:sz w:val="20"/>
                <w:szCs w:val="20"/>
              </w:rPr>
            </w:pPr>
            <w:r>
              <w:rPr>
                <w:sz w:val="20"/>
                <w:szCs w:val="20"/>
              </w:rPr>
              <w:t>09.11.2021</w:t>
            </w:r>
          </w:p>
        </w:tc>
        <w:tc>
          <w:tcPr>
            <w:tcW w:w="581" w:type="pct"/>
          </w:tcPr>
          <w:p w14:paraId="56A38401" w14:textId="0D649F93" w:rsidR="00157DF4" w:rsidRPr="00F67691" w:rsidRDefault="00157DF4" w:rsidP="00157DF4">
            <w:pPr>
              <w:spacing w:before="0" w:after="0"/>
              <w:rPr>
                <w:sz w:val="20"/>
                <w:szCs w:val="20"/>
              </w:rPr>
            </w:pPr>
            <w:r>
              <w:rPr>
                <w:sz w:val="20"/>
                <w:szCs w:val="20"/>
              </w:rPr>
              <w:t>15:05:00</w:t>
            </w:r>
          </w:p>
        </w:tc>
        <w:tc>
          <w:tcPr>
            <w:tcW w:w="545" w:type="pct"/>
          </w:tcPr>
          <w:p w14:paraId="64773187" w14:textId="04A418BA" w:rsidR="00157DF4" w:rsidRPr="00F67691" w:rsidRDefault="00157DF4" w:rsidP="00157DF4">
            <w:pPr>
              <w:spacing w:before="0" w:after="0"/>
              <w:rPr>
                <w:sz w:val="20"/>
                <w:szCs w:val="20"/>
              </w:rPr>
            </w:pPr>
            <w:r>
              <w:rPr>
                <w:sz w:val="20"/>
                <w:szCs w:val="20"/>
              </w:rPr>
              <w:t>DV-T</w:t>
            </w:r>
          </w:p>
        </w:tc>
        <w:tc>
          <w:tcPr>
            <w:tcW w:w="704" w:type="pct"/>
          </w:tcPr>
          <w:p w14:paraId="7741E864" w14:textId="7991557B" w:rsidR="00157DF4" w:rsidRPr="00F67691" w:rsidRDefault="00157DF4" w:rsidP="00157DF4">
            <w:pPr>
              <w:spacing w:before="0" w:after="0"/>
              <w:rPr>
                <w:sz w:val="20"/>
                <w:szCs w:val="20"/>
              </w:rPr>
            </w:pPr>
            <w:r w:rsidRPr="00FB7636">
              <w:rPr>
                <w:sz w:val="20"/>
                <w:szCs w:val="20"/>
              </w:rPr>
              <w:t>Online</w:t>
            </w:r>
          </w:p>
        </w:tc>
        <w:tc>
          <w:tcPr>
            <w:tcW w:w="607" w:type="pct"/>
          </w:tcPr>
          <w:p w14:paraId="42FD831E" w14:textId="5A968009" w:rsidR="00157DF4" w:rsidRPr="00F67691" w:rsidRDefault="00157DF4" w:rsidP="00157DF4">
            <w:pPr>
              <w:spacing w:before="0" w:after="0"/>
              <w:rPr>
                <w:sz w:val="20"/>
                <w:szCs w:val="20"/>
              </w:rPr>
            </w:pPr>
            <w:r>
              <w:rPr>
                <w:sz w:val="20"/>
                <w:szCs w:val="20"/>
              </w:rPr>
              <w:t>500 ml</w:t>
            </w:r>
          </w:p>
        </w:tc>
        <w:tc>
          <w:tcPr>
            <w:tcW w:w="928" w:type="pct"/>
          </w:tcPr>
          <w:p w14:paraId="21594AFD" w14:textId="4CCC8775" w:rsidR="00157DF4" w:rsidRPr="00F67691" w:rsidRDefault="00157DF4" w:rsidP="00157DF4">
            <w:pPr>
              <w:spacing w:before="0" w:after="0"/>
              <w:rPr>
                <w:sz w:val="20"/>
                <w:szCs w:val="20"/>
              </w:rPr>
            </w:pPr>
            <w:r>
              <w:rPr>
                <w:sz w:val="20"/>
                <w:szCs w:val="20"/>
              </w:rPr>
              <w:t>Phys. proerties</w:t>
            </w:r>
          </w:p>
        </w:tc>
        <w:tc>
          <w:tcPr>
            <w:tcW w:w="563" w:type="pct"/>
          </w:tcPr>
          <w:p w14:paraId="498B5F69" w14:textId="3CE9F3CB" w:rsidR="00157DF4" w:rsidRPr="00F67691" w:rsidRDefault="008F5121" w:rsidP="008F5121">
            <w:pPr>
              <w:spacing w:before="0" w:after="0"/>
              <w:jc w:val="right"/>
              <w:rPr>
                <w:sz w:val="20"/>
                <w:szCs w:val="20"/>
              </w:rPr>
            </w:pPr>
            <w:r>
              <w:rPr>
                <w:sz w:val="20"/>
                <w:szCs w:val="20"/>
              </w:rPr>
              <w:t>427.40</w:t>
            </w:r>
          </w:p>
        </w:tc>
      </w:tr>
      <w:tr w:rsidR="00157DF4" w:rsidRPr="00F67691" w14:paraId="5F4DEA3C" w14:textId="6954BA8E" w:rsidTr="00157DF4">
        <w:tc>
          <w:tcPr>
            <w:tcW w:w="364" w:type="pct"/>
          </w:tcPr>
          <w:p w14:paraId="446762C2" w14:textId="21FA78FA" w:rsidR="00157DF4" w:rsidRPr="00F67691" w:rsidRDefault="00157DF4" w:rsidP="00157DF4">
            <w:pPr>
              <w:spacing w:before="0" w:after="0"/>
              <w:jc w:val="center"/>
              <w:rPr>
                <w:sz w:val="20"/>
                <w:szCs w:val="20"/>
              </w:rPr>
            </w:pPr>
            <w:r>
              <w:rPr>
                <w:sz w:val="20"/>
                <w:szCs w:val="20"/>
              </w:rPr>
              <w:t>2</w:t>
            </w:r>
          </w:p>
        </w:tc>
        <w:tc>
          <w:tcPr>
            <w:tcW w:w="708" w:type="pct"/>
          </w:tcPr>
          <w:p w14:paraId="4D4485CA" w14:textId="29280CA7" w:rsidR="00157DF4" w:rsidRPr="00F67691" w:rsidRDefault="008F5121" w:rsidP="00157DF4">
            <w:pPr>
              <w:spacing w:before="0" w:after="0"/>
              <w:rPr>
                <w:sz w:val="20"/>
                <w:szCs w:val="20"/>
              </w:rPr>
            </w:pPr>
            <w:r>
              <w:rPr>
                <w:sz w:val="20"/>
                <w:szCs w:val="20"/>
              </w:rPr>
              <w:t>09.11.2021</w:t>
            </w:r>
          </w:p>
        </w:tc>
        <w:tc>
          <w:tcPr>
            <w:tcW w:w="581" w:type="pct"/>
          </w:tcPr>
          <w:p w14:paraId="1B759498" w14:textId="75D338A3" w:rsidR="00157DF4" w:rsidRPr="00F67691" w:rsidRDefault="008F5121" w:rsidP="00157DF4">
            <w:pPr>
              <w:spacing w:before="0" w:after="0"/>
              <w:rPr>
                <w:sz w:val="20"/>
                <w:szCs w:val="20"/>
              </w:rPr>
            </w:pPr>
            <w:r>
              <w:rPr>
                <w:sz w:val="20"/>
                <w:szCs w:val="20"/>
              </w:rPr>
              <w:t>15:07:00</w:t>
            </w:r>
          </w:p>
        </w:tc>
        <w:tc>
          <w:tcPr>
            <w:tcW w:w="545" w:type="pct"/>
          </w:tcPr>
          <w:p w14:paraId="51742FAD" w14:textId="593E5F88" w:rsidR="00157DF4" w:rsidRPr="00F67691" w:rsidRDefault="00157DF4" w:rsidP="00157DF4">
            <w:pPr>
              <w:spacing w:before="0" w:after="0"/>
              <w:rPr>
                <w:sz w:val="20"/>
                <w:szCs w:val="20"/>
              </w:rPr>
            </w:pPr>
            <w:r>
              <w:rPr>
                <w:sz w:val="20"/>
                <w:szCs w:val="20"/>
              </w:rPr>
              <w:t>DV-T</w:t>
            </w:r>
          </w:p>
        </w:tc>
        <w:tc>
          <w:tcPr>
            <w:tcW w:w="704" w:type="pct"/>
          </w:tcPr>
          <w:p w14:paraId="7FCBFAF0" w14:textId="578945FF" w:rsidR="00157DF4" w:rsidRPr="00F67691" w:rsidRDefault="00157DF4" w:rsidP="00157DF4">
            <w:pPr>
              <w:spacing w:before="0" w:after="0"/>
              <w:rPr>
                <w:sz w:val="20"/>
                <w:szCs w:val="20"/>
              </w:rPr>
            </w:pPr>
            <w:r w:rsidRPr="00FB7636">
              <w:rPr>
                <w:sz w:val="20"/>
                <w:szCs w:val="20"/>
              </w:rPr>
              <w:t>Online</w:t>
            </w:r>
          </w:p>
        </w:tc>
        <w:tc>
          <w:tcPr>
            <w:tcW w:w="607" w:type="pct"/>
          </w:tcPr>
          <w:p w14:paraId="01E1A780" w14:textId="5ABACC6F" w:rsidR="00157DF4" w:rsidRPr="00F67691" w:rsidRDefault="00157DF4" w:rsidP="00157DF4">
            <w:pPr>
              <w:spacing w:before="0" w:after="0"/>
              <w:rPr>
                <w:sz w:val="20"/>
                <w:szCs w:val="20"/>
              </w:rPr>
            </w:pPr>
            <w:r>
              <w:rPr>
                <w:sz w:val="20"/>
                <w:szCs w:val="20"/>
              </w:rPr>
              <w:t>100 ml</w:t>
            </w:r>
          </w:p>
        </w:tc>
        <w:tc>
          <w:tcPr>
            <w:tcW w:w="928" w:type="pct"/>
          </w:tcPr>
          <w:p w14:paraId="531EECE4" w14:textId="5D756759" w:rsidR="00157DF4" w:rsidRPr="00F67691" w:rsidRDefault="00157DF4" w:rsidP="00157DF4">
            <w:pPr>
              <w:spacing w:before="0" w:after="0"/>
              <w:rPr>
                <w:sz w:val="20"/>
                <w:szCs w:val="20"/>
              </w:rPr>
            </w:pPr>
            <w:r>
              <w:rPr>
                <w:sz w:val="20"/>
                <w:szCs w:val="20"/>
              </w:rPr>
              <w:t>Elemental+Phys.</w:t>
            </w:r>
          </w:p>
        </w:tc>
        <w:tc>
          <w:tcPr>
            <w:tcW w:w="563" w:type="pct"/>
          </w:tcPr>
          <w:p w14:paraId="36CD7286" w14:textId="25CFDF98" w:rsidR="00157DF4" w:rsidRPr="00F67691" w:rsidRDefault="008F5121" w:rsidP="008F5121">
            <w:pPr>
              <w:spacing w:before="0" w:after="0"/>
              <w:jc w:val="right"/>
              <w:rPr>
                <w:sz w:val="20"/>
                <w:szCs w:val="20"/>
              </w:rPr>
            </w:pPr>
            <w:r>
              <w:rPr>
                <w:sz w:val="20"/>
                <w:szCs w:val="20"/>
              </w:rPr>
              <w:t>4</w:t>
            </w:r>
            <w:r w:rsidR="00023CE5">
              <w:rPr>
                <w:sz w:val="20"/>
                <w:szCs w:val="20"/>
              </w:rPr>
              <w:t>27</w:t>
            </w:r>
            <w:r>
              <w:rPr>
                <w:sz w:val="20"/>
                <w:szCs w:val="20"/>
              </w:rPr>
              <w:t>.39</w:t>
            </w:r>
          </w:p>
        </w:tc>
      </w:tr>
      <w:tr w:rsidR="00157DF4" w:rsidRPr="00F67691" w14:paraId="5B29B513" w14:textId="0FDF1BA6" w:rsidTr="00157DF4">
        <w:tc>
          <w:tcPr>
            <w:tcW w:w="364" w:type="pct"/>
          </w:tcPr>
          <w:p w14:paraId="4B1FF1C3" w14:textId="20FFDC4C" w:rsidR="00157DF4" w:rsidRPr="00F67691" w:rsidRDefault="00157DF4" w:rsidP="00157DF4">
            <w:pPr>
              <w:spacing w:before="0" w:after="0"/>
              <w:jc w:val="center"/>
              <w:rPr>
                <w:sz w:val="20"/>
                <w:szCs w:val="20"/>
              </w:rPr>
            </w:pPr>
            <w:r>
              <w:rPr>
                <w:sz w:val="20"/>
                <w:szCs w:val="20"/>
              </w:rPr>
              <w:t>3</w:t>
            </w:r>
          </w:p>
        </w:tc>
        <w:tc>
          <w:tcPr>
            <w:tcW w:w="708" w:type="pct"/>
          </w:tcPr>
          <w:p w14:paraId="238AAA3F" w14:textId="193668FF" w:rsidR="00157DF4" w:rsidRPr="00F67691" w:rsidRDefault="008F5121" w:rsidP="00157DF4">
            <w:pPr>
              <w:spacing w:before="0" w:after="0"/>
              <w:rPr>
                <w:sz w:val="20"/>
                <w:szCs w:val="20"/>
              </w:rPr>
            </w:pPr>
            <w:r>
              <w:rPr>
                <w:sz w:val="20"/>
                <w:szCs w:val="20"/>
              </w:rPr>
              <w:t>20.11.2021</w:t>
            </w:r>
          </w:p>
        </w:tc>
        <w:tc>
          <w:tcPr>
            <w:tcW w:w="581" w:type="pct"/>
          </w:tcPr>
          <w:p w14:paraId="0768258F" w14:textId="4147097E" w:rsidR="00157DF4" w:rsidRPr="00F67691" w:rsidRDefault="008F5121" w:rsidP="00157DF4">
            <w:pPr>
              <w:spacing w:before="0" w:after="0"/>
              <w:rPr>
                <w:sz w:val="20"/>
                <w:szCs w:val="20"/>
              </w:rPr>
            </w:pPr>
            <w:r>
              <w:rPr>
                <w:sz w:val="20"/>
                <w:szCs w:val="20"/>
              </w:rPr>
              <w:t>21:30:00</w:t>
            </w:r>
          </w:p>
        </w:tc>
        <w:tc>
          <w:tcPr>
            <w:tcW w:w="545" w:type="pct"/>
          </w:tcPr>
          <w:p w14:paraId="0481B2A4" w14:textId="48E3B900" w:rsidR="00157DF4" w:rsidRPr="00F67691" w:rsidRDefault="00157DF4" w:rsidP="00157DF4">
            <w:pPr>
              <w:spacing w:before="0" w:after="0"/>
              <w:rPr>
                <w:sz w:val="20"/>
                <w:szCs w:val="20"/>
              </w:rPr>
            </w:pPr>
            <w:r>
              <w:rPr>
                <w:sz w:val="20"/>
                <w:szCs w:val="20"/>
              </w:rPr>
              <w:t>DV-T</w:t>
            </w:r>
          </w:p>
        </w:tc>
        <w:tc>
          <w:tcPr>
            <w:tcW w:w="704" w:type="pct"/>
          </w:tcPr>
          <w:p w14:paraId="36206974" w14:textId="484F1A48" w:rsidR="00157DF4" w:rsidRPr="00F67691" w:rsidRDefault="00157DF4" w:rsidP="00157DF4">
            <w:pPr>
              <w:spacing w:before="0" w:after="0"/>
              <w:rPr>
                <w:sz w:val="20"/>
                <w:szCs w:val="20"/>
              </w:rPr>
            </w:pPr>
            <w:r w:rsidRPr="00FB7636">
              <w:rPr>
                <w:sz w:val="20"/>
                <w:szCs w:val="20"/>
              </w:rPr>
              <w:t>Online</w:t>
            </w:r>
          </w:p>
        </w:tc>
        <w:tc>
          <w:tcPr>
            <w:tcW w:w="607" w:type="pct"/>
          </w:tcPr>
          <w:p w14:paraId="5F0868F2" w14:textId="4B419F22" w:rsidR="00157DF4" w:rsidRPr="00F67691" w:rsidRDefault="00157DF4" w:rsidP="00157DF4">
            <w:pPr>
              <w:spacing w:before="0" w:after="0"/>
              <w:rPr>
                <w:sz w:val="20"/>
                <w:szCs w:val="20"/>
              </w:rPr>
            </w:pPr>
            <w:r>
              <w:rPr>
                <w:sz w:val="20"/>
                <w:szCs w:val="20"/>
              </w:rPr>
              <w:t>500 ml</w:t>
            </w:r>
          </w:p>
        </w:tc>
        <w:tc>
          <w:tcPr>
            <w:tcW w:w="928" w:type="pct"/>
          </w:tcPr>
          <w:p w14:paraId="22F41F2C" w14:textId="178050DA" w:rsidR="00157DF4" w:rsidRPr="00F67691" w:rsidRDefault="00157DF4" w:rsidP="00157DF4">
            <w:pPr>
              <w:spacing w:before="0" w:after="0"/>
              <w:rPr>
                <w:sz w:val="20"/>
                <w:szCs w:val="20"/>
              </w:rPr>
            </w:pPr>
            <w:r>
              <w:rPr>
                <w:sz w:val="20"/>
                <w:szCs w:val="20"/>
              </w:rPr>
              <w:t>Phys. proerties</w:t>
            </w:r>
          </w:p>
        </w:tc>
        <w:tc>
          <w:tcPr>
            <w:tcW w:w="563" w:type="pct"/>
          </w:tcPr>
          <w:p w14:paraId="1865D737" w14:textId="49B7282E" w:rsidR="00157DF4" w:rsidRPr="00F67691" w:rsidRDefault="008F5121" w:rsidP="008F5121">
            <w:pPr>
              <w:spacing w:before="0" w:after="0"/>
              <w:jc w:val="right"/>
              <w:rPr>
                <w:sz w:val="20"/>
                <w:szCs w:val="20"/>
              </w:rPr>
            </w:pPr>
            <w:r>
              <w:rPr>
                <w:sz w:val="20"/>
                <w:szCs w:val="20"/>
              </w:rPr>
              <w:t>270.42</w:t>
            </w:r>
          </w:p>
        </w:tc>
      </w:tr>
      <w:tr w:rsidR="00157DF4" w:rsidRPr="00F67691" w14:paraId="2DEDD605" w14:textId="60C0C1AB" w:rsidTr="00157DF4">
        <w:tc>
          <w:tcPr>
            <w:tcW w:w="364" w:type="pct"/>
          </w:tcPr>
          <w:p w14:paraId="6A147696" w14:textId="12B32269" w:rsidR="00157DF4" w:rsidRDefault="00157DF4" w:rsidP="00157DF4">
            <w:pPr>
              <w:spacing w:before="0" w:after="0"/>
              <w:jc w:val="center"/>
              <w:rPr>
                <w:sz w:val="20"/>
                <w:szCs w:val="20"/>
              </w:rPr>
            </w:pPr>
            <w:r>
              <w:rPr>
                <w:sz w:val="20"/>
                <w:szCs w:val="20"/>
              </w:rPr>
              <w:t>3</w:t>
            </w:r>
          </w:p>
        </w:tc>
        <w:tc>
          <w:tcPr>
            <w:tcW w:w="708" w:type="pct"/>
          </w:tcPr>
          <w:p w14:paraId="2E164CC8" w14:textId="46FDB13F" w:rsidR="00157DF4" w:rsidRDefault="008F5121" w:rsidP="00157DF4">
            <w:pPr>
              <w:spacing w:before="0" w:after="0"/>
              <w:rPr>
                <w:sz w:val="20"/>
                <w:szCs w:val="20"/>
              </w:rPr>
            </w:pPr>
            <w:r>
              <w:rPr>
                <w:sz w:val="20"/>
                <w:szCs w:val="20"/>
              </w:rPr>
              <w:t>20.11.2021</w:t>
            </w:r>
          </w:p>
        </w:tc>
        <w:tc>
          <w:tcPr>
            <w:tcW w:w="581" w:type="pct"/>
          </w:tcPr>
          <w:p w14:paraId="58EC1555" w14:textId="2BA9008E" w:rsidR="00157DF4" w:rsidRDefault="008F5121" w:rsidP="00157DF4">
            <w:pPr>
              <w:spacing w:before="0" w:after="0"/>
              <w:rPr>
                <w:sz w:val="20"/>
                <w:szCs w:val="20"/>
              </w:rPr>
            </w:pPr>
            <w:r>
              <w:rPr>
                <w:sz w:val="20"/>
                <w:szCs w:val="20"/>
              </w:rPr>
              <w:t>21:35:00</w:t>
            </w:r>
          </w:p>
        </w:tc>
        <w:tc>
          <w:tcPr>
            <w:tcW w:w="545" w:type="pct"/>
          </w:tcPr>
          <w:p w14:paraId="1845B90E" w14:textId="633D119C" w:rsidR="00157DF4" w:rsidRDefault="00157DF4" w:rsidP="00157DF4">
            <w:pPr>
              <w:spacing w:before="0" w:after="0"/>
              <w:rPr>
                <w:sz w:val="20"/>
                <w:szCs w:val="20"/>
              </w:rPr>
            </w:pPr>
            <w:r>
              <w:rPr>
                <w:sz w:val="20"/>
                <w:szCs w:val="20"/>
              </w:rPr>
              <w:t>DV-T</w:t>
            </w:r>
          </w:p>
        </w:tc>
        <w:tc>
          <w:tcPr>
            <w:tcW w:w="704" w:type="pct"/>
          </w:tcPr>
          <w:p w14:paraId="31D99D8B" w14:textId="1DB02369" w:rsidR="00157DF4" w:rsidRDefault="00157DF4" w:rsidP="00157DF4">
            <w:pPr>
              <w:spacing w:before="0" w:after="0"/>
              <w:rPr>
                <w:sz w:val="20"/>
                <w:szCs w:val="20"/>
              </w:rPr>
            </w:pPr>
            <w:r w:rsidRPr="00FB7636">
              <w:rPr>
                <w:sz w:val="20"/>
                <w:szCs w:val="20"/>
              </w:rPr>
              <w:t>Online</w:t>
            </w:r>
          </w:p>
        </w:tc>
        <w:tc>
          <w:tcPr>
            <w:tcW w:w="607" w:type="pct"/>
          </w:tcPr>
          <w:p w14:paraId="34C17FF8" w14:textId="2F82A8E7" w:rsidR="00157DF4" w:rsidRDefault="00157DF4" w:rsidP="00157DF4">
            <w:pPr>
              <w:spacing w:before="0" w:after="0"/>
              <w:rPr>
                <w:sz w:val="20"/>
                <w:szCs w:val="20"/>
              </w:rPr>
            </w:pPr>
            <w:r>
              <w:rPr>
                <w:sz w:val="20"/>
                <w:szCs w:val="20"/>
              </w:rPr>
              <w:t>100 ml</w:t>
            </w:r>
          </w:p>
        </w:tc>
        <w:tc>
          <w:tcPr>
            <w:tcW w:w="928" w:type="pct"/>
          </w:tcPr>
          <w:p w14:paraId="1ECEB424" w14:textId="30AA79B0" w:rsidR="00157DF4" w:rsidRDefault="00157DF4" w:rsidP="00157DF4">
            <w:pPr>
              <w:spacing w:before="0" w:after="0"/>
              <w:rPr>
                <w:sz w:val="20"/>
                <w:szCs w:val="20"/>
              </w:rPr>
            </w:pPr>
            <w:r>
              <w:rPr>
                <w:sz w:val="20"/>
                <w:szCs w:val="20"/>
              </w:rPr>
              <w:t>Elemental+Phys.</w:t>
            </w:r>
          </w:p>
        </w:tc>
        <w:tc>
          <w:tcPr>
            <w:tcW w:w="563" w:type="pct"/>
          </w:tcPr>
          <w:p w14:paraId="4F1C8293" w14:textId="72FC2496" w:rsidR="00157DF4" w:rsidRDefault="00CB4855" w:rsidP="008F5121">
            <w:pPr>
              <w:spacing w:before="0" w:after="0"/>
              <w:jc w:val="right"/>
              <w:rPr>
                <w:sz w:val="20"/>
                <w:szCs w:val="20"/>
              </w:rPr>
            </w:pPr>
            <w:r>
              <w:rPr>
                <w:sz w:val="20"/>
                <w:szCs w:val="20"/>
              </w:rPr>
              <w:t>270.47</w:t>
            </w:r>
          </w:p>
        </w:tc>
      </w:tr>
      <w:tr w:rsidR="00CB4855" w:rsidRPr="00F67691" w14:paraId="4EA8F912" w14:textId="74211F96" w:rsidTr="00157DF4">
        <w:tc>
          <w:tcPr>
            <w:tcW w:w="364" w:type="pct"/>
          </w:tcPr>
          <w:p w14:paraId="183836D7" w14:textId="7D3BBE9A" w:rsidR="00CB4855" w:rsidRDefault="00CB4855" w:rsidP="00CB4855">
            <w:pPr>
              <w:spacing w:before="0" w:after="0"/>
              <w:jc w:val="center"/>
              <w:rPr>
                <w:sz w:val="20"/>
                <w:szCs w:val="20"/>
              </w:rPr>
            </w:pPr>
            <w:r>
              <w:rPr>
                <w:sz w:val="20"/>
                <w:szCs w:val="20"/>
              </w:rPr>
              <w:t>4</w:t>
            </w:r>
          </w:p>
        </w:tc>
        <w:tc>
          <w:tcPr>
            <w:tcW w:w="708" w:type="pct"/>
          </w:tcPr>
          <w:p w14:paraId="3F9C9259" w14:textId="6A2084B5" w:rsidR="00CB4855" w:rsidRDefault="00CB4855" w:rsidP="00CB4855">
            <w:pPr>
              <w:spacing w:before="0" w:after="0"/>
              <w:rPr>
                <w:sz w:val="20"/>
                <w:szCs w:val="20"/>
              </w:rPr>
            </w:pPr>
            <w:r>
              <w:rPr>
                <w:sz w:val="20"/>
                <w:szCs w:val="20"/>
              </w:rPr>
              <w:t>01.12.2021</w:t>
            </w:r>
          </w:p>
        </w:tc>
        <w:tc>
          <w:tcPr>
            <w:tcW w:w="581" w:type="pct"/>
          </w:tcPr>
          <w:p w14:paraId="0C18EB88" w14:textId="26A1A7B8" w:rsidR="00CB4855" w:rsidRDefault="00CB4855" w:rsidP="00CB4855">
            <w:pPr>
              <w:spacing w:before="0" w:after="0"/>
              <w:rPr>
                <w:sz w:val="20"/>
                <w:szCs w:val="20"/>
              </w:rPr>
            </w:pPr>
            <w:r>
              <w:rPr>
                <w:sz w:val="20"/>
                <w:szCs w:val="20"/>
              </w:rPr>
              <w:t>10:15:00</w:t>
            </w:r>
          </w:p>
        </w:tc>
        <w:tc>
          <w:tcPr>
            <w:tcW w:w="545" w:type="pct"/>
          </w:tcPr>
          <w:p w14:paraId="3179BED9" w14:textId="37B24196" w:rsidR="00CB4855" w:rsidRDefault="00CB4855" w:rsidP="00CB4855">
            <w:pPr>
              <w:spacing w:before="0" w:after="0"/>
              <w:rPr>
                <w:sz w:val="20"/>
                <w:szCs w:val="20"/>
              </w:rPr>
            </w:pPr>
            <w:r>
              <w:rPr>
                <w:sz w:val="20"/>
                <w:szCs w:val="20"/>
              </w:rPr>
              <w:t>DV-T</w:t>
            </w:r>
          </w:p>
        </w:tc>
        <w:tc>
          <w:tcPr>
            <w:tcW w:w="704" w:type="pct"/>
          </w:tcPr>
          <w:p w14:paraId="64991F4D" w14:textId="094B322A" w:rsidR="00CB4855" w:rsidRDefault="00CB4855" w:rsidP="00CB4855">
            <w:pPr>
              <w:spacing w:before="0" w:after="0"/>
              <w:rPr>
                <w:sz w:val="20"/>
                <w:szCs w:val="20"/>
              </w:rPr>
            </w:pPr>
            <w:r w:rsidRPr="00FB7636">
              <w:rPr>
                <w:sz w:val="20"/>
                <w:szCs w:val="20"/>
              </w:rPr>
              <w:t>Online</w:t>
            </w:r>
          </w:p>
        </w:tc>
        <w:tc>
          <w:tcPr>
            <w:tcW w:w="607" w:type="pct"/>
          </w:tcPr>
          <w:p w14:paraId="7112E9C5" w14:textId="0D38D2B7" w:rsidR="00CB4855" w:rsidRDefault="00CB4855" w:rsidP="00CB4855">
            <w:pPr>
              <w:spacing w:before="0" w:after="0"/>
              <w:rPr>
                <w:sz w:val="20"/>
                <w:szCs w:val="20"/>
              </w:rPr>
            </w:pPr>
            <w:r>
              <w:rPr>
                <w:sz w:val="20"/>
                <w:szCs w:val="20"/>
              </w:rPr>
              <w:t>500 ml</w:t>
            </w:r>
          </w:p>
        </w:tc>
        <w:tc>
          <w:tcPr>
            <w:tcW w:w="928" w:type="pct"/>
          </w:tcPr>
          <w:p w14:paraId="39D589D7" w14:textId="0C0B257D" w:rsidR="00CB4855" w:rsidRDefault="00CB4855" w:rsidP="00CB4855">
            <w:pPr>
              <w:spacing w:before="0" w:after="0"/>
              <w:rPr>
                <w:sz w:val="20"/>
                <w:szCs w:val="20"/>
              </w:rPr>
            </w:pPr>
            <w:r>
              <w:rPr>
                <w:sz w:val="20"/>
                <w:szCs w:val="20"/>
              </w:rPr>
              <w:t>Phys. proerties</w:t>
            </w:r>
          </w:p>
        </w:tc>
        <w:tc>
          <w:tcPr>
            <w:tcW w:w="563" w:type="pct"/>
          </w:tcPr>
          <w:p w14:paraId="4B308EF2" w14:textId="639C0B2E" w:rsidR="00CB4855" w:rsidRDefault="00CB4855" w:rsidP="00CB4855">
            <w:pPr>
              <w:spacing w:before="0" w:after="0"/>
              <w:jc w:val="right"/>
              <w:rPr>
                <w:sz w:val="20"/>
                <w:szCs w:val="20"/>
              </w:rPr>
            </w:pPr>
            <w:r>
              <w:rPr>
                <w:sz w:val="20"/>
                <w:szCs w:val="20"/>
              </w:rPr>
              <w:t>252.75</w:t>
            </w:r>
          </w:p>
        </w:tc>
      </w:tr>
      <w:tr w:rsidR="00CB4855" w:rsidRPr="00F67691" w14:paraId="0F62FA47" w14:textId="7CFCF390" w:rsidTr="00157DF4">
        <w:tc>
          <w:tcPr>
            <w:tcW w:w="364" w:type="pct"/>
          </w:tcPr>
          <w:p w14:paraId="4367FB62" w14:textId="780C1D71" w:rsidR="00CB4855" w:rsidRDefault="00CB4855" w:rsidP="00CB4855">
            <w:pPr>
              <w:spacing w:before="0" w:after="0"/>
              <w:jc w:val="center"/>
              <w:rPr>
                <w:sz w:val="20"/>
                <w:szCs w:val="20"/>
              </w:rPr>
            </w:pPr>
            <w:r>
              <w:rPr>
                <w:sz w:val="20"/>
                <w:szCs w:val="20"/>
              </w:rPr>
              <w:t>4</w:t>
            </w:r>
          </w:p>
        </w:tc>
        <w:tc>
          <w:tcPr>
            <w:tcW w:w="708" w:type="pct"/>
          </w:tcPr>
          <w:p w14:paraId="0723C243" w14:textId="08FF84B6" w:rsidR="00CB4855" w:rsidRDefault="00CB4855" w:rsidP="00CB4855">
            <w:pPr>
              <w:spacing w:before="0" w:after="0"/>
              <w:rPr>
                <w:sz w:val="20"/>
                <w:szCs w:val="20"/>
              </w:rPr>
            </w:pPr>
            <w:r>
              <w:rPr>
                <w:sz w:val="20"/>
                <w:szCs w:val="20"/>
              </w:rPr>
              <w:t>01.12.2021</w:t>
            </w:r>
          </w:p>
        </w:tc>
        <w:tc>
          <w:tcPr>
            <w:tcW w:w="581" w:type="pct"/>
          </w:tcPr>
          <w:p w14:paraId="181B03B5" w14:textId="3659A9A4" w:rsidR="00CB4855" w:rsidRDefault="00CB4855" w:rsidP="00CB4855">
            <w:pPr>
              <w:spacing w:before="0" w:after="0"/>
              <w:rPr>
                <w:sz w:val="20"/>
                <w:szCs w:val="20"/>
              </w:rPr>
            </w:pPr>
            <w:r>
              <w:rPr>
                <w:sz w:val="20"/>
                <w:szCs w:val="20"/>
              </w:rPr>
              <w:t>10:18:00</w:t>
            </w:r>
          </w:p>
        </w:tc>
        <w:tc>
          <w:tcPr>
            <w:tcW w:w="545" w:type="pct"/>
          </w:tcPr>
          <w:p w14:paraId="2FDCC9E7" w14:textId="4C8AF0F5" w:rsidR="00CB4855" w:rsidRDefault="00CB4855" w:rsidP="00CB4855">
            <w:pPr>
              <w:spacing w:before="0" w:after="0"/>
              <w:rPr>
                <w:sz w:val="20"/>
                <w:szCs w:val="20"/>
              </w:rPr>
            </w:pPr>
            <w:r>
              <w:rPr>
                <w:sz w:val="20"/>
                <w:szCs w:val="20"/>
              </w:rPr>
              <w:t>DV-T</w:t>
            </w:r>
          </w:p>
        </w:tc>
        <w:tc>
          <w:tcPr>
            <w:tcW w:w="704" w:type="pct"/>
          </w:tcPr>
          <w:p w14:paraId="3F45B827" w14:textId="24D01F85" w:rsidR="00CB4855" w:rsidRDefault="00CB4855" w:rsidP="00CB4855">
            <w:pPr>
              <w:spacing w:before="0" w:after="0"/>
              <w:rPr>
                <w:sz w:val="20"/>
                <w:szCs w:val="20"/>
              </w:rPr>
            </w:pPr>
            <w:r w:rsidRPr="00FB7636">
              <w:rPr>
                <w:sz w:val="20"/>
                <w:szCs w:val="20"/>
              </w:rPr>
              <w:t>Online</w:t>
            </w:r>
          </w:p>
        </w:tc>
        <w:tc>
          <w:tcPr>
            <w:tcW w:w="607" w:type="pct"/>
          </w:tcPr>
          <w:p w14:paraId="5ACEC0A0" w14:textId="57F870B3" w:rsidR="00CB4855" w:rsidRDefault="00CB4855" w:rsidP="00CB4855">
            <w:pPr>
              <w:spacing w:before="0" w:after="0"/>
              <w:rPr>
                <w:sz w:val="20"/>
                <w:szCs w:val="20"/>
              </w:rPr>
            </w:pPr>
            <w:r>
              <w:rPr>
                <w:sz w:val="20"/>
                <w:szCs w:val="20"/>
              </w:rPr>
              <w:t>100 ml</w:t>
            </w:r>
          </w:p>
        </w:tc>
        <w:tc>
          <w:tcPr>
            <w:tcW w:w="928" w:type="pct"/>
          </w:tcPr>
          <w:p w14:paraId="7225C519" w14:textId="22A9EDC0" w:rsidR="00CB4855" w:rsidRDefault="00CB4855" w:rsidP="00CB4855">
            <w:pPr>
              <w:spacing w:before="0" w:after="0"/>
              <w:rPr>
                <w:sz w:val="20"/>
                <w:szCs w:val="20"/>
              </w:rPr>
            </w:pPr>
            <w:r>
              <w:rPr>
                <w:sz w:val="20"/>
                <w:szCs w:val="20"/>
              </w:rPr>
              <w:t>Elemental+Phys.</w:t>
            </w:r>
          </w:p>
        </w:tc>
        <w:tc>
          <w:tcPr>
            <w:tcW w:w="563" w:type="pct"/>
          </w:tcPr>
          <w:p w14:paraId="1ADD1DEF" w14:textId="36468C3F" w:rsidR="00CB4855" w:rsidRDefault="00CB4855" w:rsidP="00CB4855">
            <w:pPr>
              <w:spacing w:before="0" w:after="0"/>
              <w:jc w:val="right"/>
              <w:rPr>
                <w:sz w:val="20"/>
                <w:szCs w:val="20"/>
              </w:rPr>
            </w:pPr>
            <w:r>
              <w:rPr>
                <w:sz w:val="20"/>
                <w:szCs w:val="20"/>
              </w:rPr>
              <w:t>252.72</w:t>
            </w:r>
          </w:p>
        </w:tc>
      </w:tr>
      <w:tr w:rsidR="00CB4855" w:rsidRPr="00F67691" w14:paraId="651472B8" w14:textId="4933F6E8" w:rsidTr="00157DF4">
        <w:tc>
          <w:tcPr>
            <w:tcW w:w="364" w:type="pct"/>
          </w:tcPr>
          <w:p w14:paraId="3C9BEC99" w14:textId="5C81E824" w:rsidR="00CB4855" w:rsidRDefault="00CB4855" w:rsidP="00CB4855">
            <w:pPr>
              <w:spacing w:before="0" w:after="0"/>
              <w:jc w:val="center"/>
              <w:rPr>
                <w:sz w:val="20"/>
                <w:szCs w:val="20"/>
              </w:rPr>
            </w:pPr>
            <w:r>
              <w:rPr>
                <w:sz w:val="20"/>
                <w:szCs w:val="20"/>
              </w:rPr>
              <w:t>5</w:t>
            </w:r>
          </w:p>
        </w:tc>
        <w:tc>
          <w:tcPr>
            <w:tcW w:w="708" w:type="pct"/>
          </w:tcPr>
          <w:p w14:paraId="44D08871" w14:textId="1657AAB7" w:rsidR="00CB4855" w:rsidRDefault="00CB4855" w:rsidP="00CB4855">
            <w:pPr>
              <w:spacing w:before="0" w:after="0"/>
              <w:rPr>
                <w:sz w:val="20"/>
                <w:szCs w:val="20"/>
              </w:rPr>
            </w:pPr>
            <w:r>
              <w:rPr>
                <w:sz w:val="20"/>
                <w:szCs w:val="20"/>
              </w:rPr>
              <w:t>10.12.2021</w:t>
            </w:r>
          </w:p>
        </w:tc>
        <w:tc>
          <w:tcPr>
            <w:tcW w:w="581" w:type="pct"/>
          </w:tcPr>
          <w:p w14:paraId="0F0F2F3F" w14:textId="1B2E82BD" w:rsidR="00CB4855" w:rsidRDefault="00CB4855" w:rsidP="00CB4855">
            <w:pPr>
              <w:spacing w:before="0" w:after="0"/>
              <w:rPr>
                <w:sz w:val="20"/>
                <w:szCs w:val="20"/>
              </w:rPr>
            </w:pPr>
            <w:r>
              <w:rPr>
                <w:sz w:val="20"/>
                <w:szCs w:val="20"/>
              </w:rPr>
              <w:t>15:50:00</w:t>
            </w:r>
          </w:p>
        </w:tc>
        <w:tc>
          <w:tcPr>
            <w:tcW w:w="545" w:type="pct"/>
          </w:tcPr>
          <w:p w14:paraId="54942F58" w14:textId="094ABC33" w:rsidR="00CB4855" w:rsidRDefault="00CB4855" w:rsidP="00CB4855">
            <w:pPr>
              <w:spacing w:before="0" w:after="0"/>
              <w:rPr>
                <w:sz w:val="20"/>
                <w:szCs w:val="20"/>
              </w:rPr>
            </w:pPr>
            <w:r>
              <w:rPr>
                <w:sz w:val="20"/>
                <w:szCs w:val="20"/>
              </w:rPr>
              <w:t>DV-T</w:t>
            </w:r>
          </w:p>
        </w:tc>
        <w:tc>
          <w:tcPr>
            <w:tcW w:w="704" w:type="pct"/>
          </w:tcPr>
          <w:p w14:paraId="53E92A4B" w14:textId="5F55F5E0" w:rsidR="00CB4855" w:rsidRDefault="00CB4855" w:rsidP="00CB4855">
            <w:pPr>
              <w:spacing w:before="0" w:after="0"/>
              <w:rPr>
                <w:sz w:val="20"/>
                <w:szCs w:val="20"/>
              </w:rPr>
            </w:pPr>
            <w:r w:rsidRPr="00FB7636">
              <w:rPr>
                <w:sz w:val="20"/>
                <w:szCs w:val="20"/>
              </w:rPr>
              <w:t>Online</w:t>
            </w:r>
          </w:p>
        </w:tc>
        <w:tc>
          <w:tcPr>
            <w:tcW w:w="607" w:type="pct"/>
          </w:tcPr>
          <w:p w14:paraId="33086B98" w14:textId="71086209" w:rsidR="00CB4855" w:rsidRDefault="00CB4855" w:rsidP="00CB4855">
            <w:pPr>
              <w:spacing w:before="0" w:after="0"/>
              <w:rPr>
                <w:sz w:val="20"/>
                <w:szCs w:val="20"/>
              </w:rPr>
            </w:pPr>
            <w:r>
              <w:rPr>
                <w:sz w:val="20"/>
                <w:szCs w:val="20"/>
              </w:rPr>
              <w:t>500 ml</w:t>
            </w:r>
          </w:p>
        </w:tc>
        <w:tc>
          <w:tcPr>
            <w:tcW w:w="928" w:type="pct"/>
          </w:tcPr>
          <w:p w14:paraId="6960951C" w14:textId="32C81BA2" w:rsidR="00CB4855" w:rsidRDefault="00CB4855" w:rsidP="00CB4855">
            <w:pPr>
              <w:spacing w:before="0" w:after="0"/>
              <w:rPr>
                <w:sz w:val="20"/>
                <w:szCs w:val="20"/>
              </w:rPr>
            </w:pPr>
            <w:r>
              <w:rPr>
                <w:sz w:val="20"/>
                <w:szCs w:val="20"/>
              </w:rPr>
              <w:t>Phys. proerties</w:t>
            </w:r>
          </w:p>
        </w:tc>
        <w:tc>
          <w:tcPr>
            <w:tcW w:w="563" w:type="pct"/>
          </w:tcPr>
          <w:p w14:paraId="2A07211E" w14:textId="500A3825" w:rsidR="00CB4855" w:rsidRDefault="00CB4855" w:rsidP="00CB4855">
            <w:pPr>
              <w:spacing w:before="0" w:after="0"/>
              <w:jc w:val="right"/>
              <w:rPr>
                <w:sz w:val="20"/>
                <w:szCs w:val="20"/>
              </w:rPr>
            </w:pPr>
            <w:r>
              <w:rPr>
                <w:sz w:val="20"/>
                <w:szCs w:val="20"/>
              </w:rPr>
              <w:t>221.58</w:t>
            </w:r>
          </w:p>
        </w:tc>
      </w:tr>
      <w:tr w:rsidR="00CB4855" w:rsidRPr="00F67691" w14:paraId="7CF02BF2" w14:textId="6ECB90F4" w:rsidTr="00CB4855">
        <w:tc>
          <w:tcPr>
            <w:tcW w:w="364" w:type="pct"/>
            <w:tcBorders>
              <w:bottom w:val="single" w:sz="4" w:space="0" w:color="auto"/>
            </w:tcBorders>
          </w:tcPr>
          <w:p w14:paraId="6328285F" w14:textId="03D26FDD" w:rsidR="00CB4855" w:rsidRPr="00F67691" w:rsidRDefault="00CB4855" w:rsidP="00CB4855">
            <w:pPr>
              <w:spacing w:before="0" w:after="0"/>
              <w:jc w:val="center"/>
              <w:rPr>
                <w:sz w:val="20"/>
                <w:szCs w:val="20"/>
              </w:rPr>
            </w:pPr>
            <w:r>
              <w:rPr>
                <w:sz w:val="20"/>
                <w:szCs w:val="20"/>
              </w:rPr>
              <w:t>5</w:t>
            </w:r>
          </w:p>
        </w:tc>
        <w:tc>
          <w:tcPr>
            <w:tcW w:w="708" w:type="pct"/>
            <w:tcBorders>
              <w:bottom w:val="single" w:sz="4" w:space="0" w:color="auto"/>
            </w:tcBorders>
          </w:tcPr>
          <w:p w14:paraId="16A1A64C" w14:textId="21B7B804" w:rsidR="00CB4855" w:rsidRPr="00F67691" w:rsidRDefault="00CB4855" w:rsidP="00CB4855">
            <w:pPr>
              <w:spacing w:before="0" w:after="0"/>
              <w:rPr>
                <w:sz w:val="20"/>
                <w:szCs w:val="20"/>
              </w:rPr>
            </w:pPr>
            <w:r>
              <w:rPr>
                <w:sz w:val="20"/>
                <w:szCs w:val="20"/>
              </w:rPr>
              <w:t>10.12.2021</w:t>
            </w:r>
          </w:p>
        </w:tc>
        <w:tc>
          <w:tcPr>
            <w:tcW w:w="581" w:type="pct"/>
            <w:tcBorders>
              <w:bottom w:val="single" w:sz="4" w:space="0" w:color="auto"/>
            </w:tcBorders>
          </w:tcPr>
          <w:p w14:paraId="017EBABE" w14:textId="6A59827F" w:rsidR="00CB4855" w:rsidRPr="00F67691" w:rsidRDefault="00CB4855" w:rsidP="00CB4855">
            <w:pPr>
              <w:spacing w:before="0" w:after="0"/>
              <w:rPr>
                <w:sz w:val="20"/>
                <w:szCs w:val="20"/>
              </w:rPr>
            </w:pPr>
            <w:r>
              <w:rPr>
                <w:sz w:val="20"/>
                <w:szCs w:val="20"/>
              </w:rPr>
              <w:t>15:54:00</w:t>
            </w:r>
          </w:p>
        </w:tc>
        <w:tc>
          <w:tcPr>
            <w:tcW w:w="545" w:type="pct"/>
            <w:tcBorders>
              <w:bottom w:val="single" w:sz="4" w:space="0" w:color="auto"/>
            </w:tcBorders>
          </w:tcPr>
          <w:p w14:paraId="11108454" w14:textId="75FE7E29" w:rsidR="00CB4855" w:rsidRPr="00F67691" w:rsidRDefault="00CB4855" w:rsidP="00CB4855">
            <w:pPr>
              <w:spacing w:before="0" w:after="0"/>
              <w:rPr>
                <w:sz w:val="20"/>
                <w:szCs w:val="20"/>
              </w:rPr>
            </w:pPr>
            <w:r>
              <w:rPr>
                <w:sz w:val="20"/>
                <w:szCs w:val="20"/>
              </w:rPr>
              <w:t>DV-T</w:t>
            </w:r>
          </w:p>
        </w:tc>
        <w:tc>
          <w:tcPr>
            <w:tcW w:w="704" w:type="pct"/>
            <w:tcBorders>
              <w:bottom w:val="single" w:sz="4" w:space="0" w:color="auto"/>
            </w:tcBorders>
          </w:tcPr>
          <w:p w14:paraId="234CBDC2" w14:textId="7FC673EE" w:rsidR="00CB4855" w:rsidRPr="00F67691" w:rsidRDefault="00CB4855" w:rsidP="00CB4855">
            <w:pPr>
              <w:spacing w:before="0" w:after="0"/>
              <w:rPr>
                <w:sz w:val="20"/>
                <w:szCs w:val="20"/>
              </w:rPr>
            </w:pPr>
            <w:r w:rsidRPr="00FB7636">
              <w:rPr>
                <w:sz w:val="20"/>
                <w:szCs w:val="20"/>
              </w:rPr>
              <w:t>Online</w:t>
            </w:r>
          </w:p>
        </w:tc>
        <w:tc>
          <w:tcPr>
            <w:tcW w:w="607" w:type="pct"/>
            <w:tcBorders>
              <w:bottom w:val="single" w:sz="4" w:space="0" w:color="auto"/>
            </w:tcBorders>
          </w:tcPr>
          <w:p w14:paraId="23BC0592" w14:textId="69A5D965" w:rsidR="00CB4855" w:rsidRPr="00F67691" w:rsidRDefault="00CB4855" w:rsidP="00CB4855">
            <w:pPr>
              <w:spacing w:before="0" w:after="0"/>
              <w:rPr>
                <w:sz w:val="20"/>
                <w:szCs w:val="20"/>
              </w:rPr>
            </w:pPr>
            <w:r>
              <w:rPr>
                <w:sz w:val="20"/>
                <w:szCs w:val="20"/>
              </w:rPr>
              <w:t>100 ml</w:t>
            </w:r>
          </w:p>
        </w:tc>
        <w:tc>
          <w:tcPr>
            <w:tcW w:w="928" w:type="pct"/>
            <w:tcBorders>
              <w:bottom w:val="single" w:sz="4" w:space="0" w:color="auto"/>
            </w:tcBorders>
          </w:tcPr>
          <w:p w14:paraId="30ED5A75" w14:textId="41D8D265" w:rsidR="00CB4855" w:rsidRPr="00F67691" w:rsidRDefault="00CB4855" w:rsidP="00CB4855">
            <w:pPr>
              <w:spacing w:before="0" w:after="0"/>
              <w:rPr>
                <w:sz w:val="20"/>
                <w:szCs w:val="20"/>
              </w:rPr>
            </w:pPr>
            <w:r>
              <w:rPr>
                <w:sz w:val="20"/>
                <w:szCs w:val="20"/>
              </w:rPr>
              <w:t>Elemental+Phys.</w:t>
            </w:r>
          </w:p>
        </w:tc>
        <w:tc>
          <w:tcPr>
            <w:tcW w:w="563" w:type="pct"/>
            <w:tcBorders>
              <w:bottom w:val="single" w:sz="4" w:space="0" w:color="auto"/>
            </w:tcBorders>
          </w:tcPr>
          <w:p w14:paraId="6425F4B8" w14:textId="19910FD1" w:rsidR="00CB4855" w:rsidRPr="00F67691" w:rsidRDefault="00CB4855" w:rsidP="00CB4855">
            <w:pPr>
              <w:spacing w:before="0" w:after="0"/>
              <w:jc w:val="right"/>
              <w:rPr>
                <w:sz w:val="20"/>
                <w:szCs w:val="20"/>
              </w:rPr>
            </w:pPr>
            <w:r>
              <w:rPr>
                <w:sz w:val="20"/>
                <w:szCs w:val="20"/>
              </w:rPr>
              <w:t>221.60</w:t>
            </w:r>
          </w:p>
        </w:tc>
      </w:tr>
      <w:tr w:rsidR="00CB4855" w:rsidRPr="00F67691" w14:paraId="371EF99D" w14:textId="77777777" w:rsidTr="00CB4855">
        <w:tc>
          <w:tcPr>
            <w:tcW w:w="5000" w:type="pct"/>
            <w:gridSpan w:val="8"/>
            <w:tcBorders>
              <w:top w:val="single" w:sz="4" w:space="0" w:color="auto"/>
            </w:tcBorders>
          </w:tcPr>
          <w:p w14:paraId="0CBC83F5" w14:textId="41045EBA" w:rsidR="00CB4855" w:rsidRPr="00F67691" w:rsidRDefault="00CB4855" w:rsidP="00CB4855">
            <w:pPr>
              <w:spacing w:before="0" w:after="0"/>
              <w:jc w:val="left"/>
              <w:rPr>
                <w:sz w:val="20"/>
                <w:szCs w:val="20"/>
              </w:rPr>
            </w:pPr>
            <w:r>
              <w:rPr>
                <w:sz w:val="20"/>
                <w:szCs w:val="20"/>
              </w:rPr>
              <w:t>NOTE: DV-T = Directional Valve after T port sample place; TBS-H = Time Between Sample is taken in hours (time is expressed individually for 100ml samples and 500ml samples, respectfully).</w:t>
            </w:r>
          </w:p>
        </w:tc>
      </w:tr>
    </w:tbl>
    <w:p w14:paraId="36A8CA85" w14:textId="1B909602" w:rsidR="00383F24" w:rsidRDefault="002A2D3B" w:rsidP="002A2D3B">
      <w:pPr>
        <w:pStyle w:val="Heading3"/>
      </w:pPr>
      <w:bookmarkStart w:id="402" w:name="_Toc93759914"/>
      <w:bookmarkStart w:id="403" w:name="_Toc93760018"/>
      <w:bookmarkStart w:id="404" w:name="_Toc101274372"/>
      <w:r>
        <w:lastRenderedPageBreak/>
        <w:t>Automatic Particle Counter</w:t>
      </w:r>
      <w:r w:rsidR="009D507E">
        <w:t xml:space="preserve"> (APC)</w:t>
      </w:r>
      <w:r w:rsidR="0020763F">
        <w:t xml:space="preserve"> </w:t>
      </w:r>
      <w:r>
        <w:t xml:space="preserve">and </w:t>
      </w:r>
      <w:bookmarkEnd w:id="402"/>
      <w:bookmarkEnd w:id="403"/>
      <w:r w:rsidR="009D507E">
        <w:t>Water saturation (WS) sensor</w:t>
      </w:r>
      <w:bookmarkEnd w:id="404"/>
    </w:p>
    <w:p w14:paraId="06B5F912" w14:textId="6F579B93" w:rsidR="00C670A0" w:rsidRDefault="009D507E" w:rsidP="00EE0555">
      <w:pPr>
        <w:rPr>
          <w:rFonts w:eastAsiaTheme="majorEastAsia" w:cstheme="majorBidi"/>
          <w:smallCaps/>
          <w:szCs w:val="24"/>
        </w:rPr>
      </w:pPr>
      <w:r>
        <w:t>APC (ISO 4406 particle measurement) monitors 24h hydraulic fluid contamination during the experimental investig</w:t>
      </w:r>
      <w:r w:rsidR="0020763F">
        <w:t xml:space="preserve">ation. </w:t>
      </w:r>
      <w:r>
        <w:t>The p</w:t>
      </w:r>
      <w:r w:rsidR="00712A7B">
        <w:t>article counter used is HYDAC CS1220</w:t>
      </w:r>
      <w:r w:rsidR="00EE0555">
        <w:t xml:space="preserve"> (</w:t>
      </w:r>
      <w:r w:rsidR="00EE0555">
        <w:fldChar w:fldCharType="begin"/>
      </w:r>
      <w:r w:rsidR="00EE0555">
        <w:instrText xml:space="preserve"> REF _Ref93580331 \h </w:instrText>
      </w:r>
      <w:r w:rsidR="00EE0555">
        <w:fldChar w:fldCharType="separate"/>
      </w:r>
      <w:r w:rsidR="00587AF0">
        <w:t xml:space="preserve">Figure </w:t>
      </w:r>
      <w:r w:rsidR="00587AF0">
        <w:rPr>
          <w:noProof/>
        </w:rPr>
        <w:t>44</w:t>
      </w:r>
      <w:r w:rsidR="00EE0555">
        <w:fldChar w:fldCharType="end"/>
      </w:r>
      <w:r w:rsidR="00EE0555">
        <w:t>)</w:t>
      </w:r>
      <w:r w:rsidR="00712A7B">
        <w:t xml:space="preserve">. The instrument is mounted online with </w:t>
      </w:r>
      <w:r>
        <w:t xml:space="preserve">a </w:t>
      </w:r>
      <w:r w:rsidR="00712A7B">
        <w:t>recording rate every</w:t>
      </w:r>
      <w:r w:rsidR="00712A7B">
        <w:rPr>
          <w:lang w:val="en-GB"/>
        </w:rPr>
        <w:t xml:space="preserve"> 10 sec. Monitoring is done 24h daily since the machine is working for three shifts. </w:t>
      </w:r>
      <w:r w:rsidR="0020763F">
        <w:t xml:space="preserve">Moreover, </w:t>
      </w:r>
      <w:r w:rsidR="00712A7B">
        <w:t>measuring water saturation is done by AquaSensor HYDAC AS2000</w:t>
      </w:r>
      <w:r w:rsidR="00EE0555">
        <w:t xml:space="preserve"> (</w:t>
      </w:r>
      <w:r w:rsidR="00EE0555">
        <w:fldChar w:fldCharType="begin"/>
      </w:r>
      <w:r w:rsidR="00EE0555">
        <w:instrText xml:space="preserve"> REF _Ref93580331 \h </w:instrText>
      </w:r>
      <w:r w:rsidR="00EE0555">
        <w:fldChar w:fldCharType="separate"/>
      </w:r>
      <w:r w:rsidR="00587AF0">
        <w:t xml:space="preserve">Figure </w:t>
      </w:r>
      <w:r w:rsidR="00587AF0">
        <w:rPr>
          <w:noProof/>
        </w:rPr>
        <w:t>44</w:t>
      </w:r>
      <w:r w:rsidR="00EE0555">
        <w:fldChar w:fldCharType="end"/>
      </w:r>
      <w:r w:rsidR="00EE0555">
        <w:t>)</w:t>
      </w:r>
      <w:r w:rsidR="00712A7B">
        <w:t xml:space="preserve">. </w:t>
      </w:r>
      <w:r>
        <w:t>Temperature is used as a feature from both instruments</w:t>
      </w:r>
      <w:r w:rsidR="0020763F">
        <w:t xml:space="preserve"> and correlated with variables to detect potential effects between the variables. Although temperature strongly affects viscosity, performance and system response, due to its effect on hydraulic fluid, the fluid temperature measured never surpassed the temperature higher than 50°C. Even though the system works for 24h, however workload of the hydraulic system is maintained at around </w:t>
      </w:r>
      <w:r w:rsidR="00AF4C6E">
        <w:t>25 bars</w:t>
      </w:r>
      <w:r>
        <w:t xml:space="preserve"> (hydraulic system idle state). Therefore</w:t>
      </w:r>
      <w:r w:rsidR="00712A7B">
        <w:t xml:space="preserve">, </w:t>
      </w:r>
      <w:r>
        <w:t xml:space="preserve">the </w:t>
      </w:r>
      <w:r w:rsidR="00712A7B">
        <w:t xml:space="preserve">intensity did not increasingly affect </w:t>
      </w:r>
      <w:r>
        <w:t xml:space="preserve">the </w:t>
      </w:r>
      <w:r w:rsidR="00712A7B">
        <w:t>temperature rise in the system.</w:t>
      </w:r>
      <w:bookmarkStart w:id="405" w:name="_Toc93759915"/>
      <w:bookmarkStart w:id="406" w:name="_Toc93760019"/>
    </w:p>
    <w:p w14:paraId="5546CC9C" w14:textId="4102A7F5" w:rsidR="005C5063" w:rsidRDefault="005C5063" w:rsidP="005C5063">
      <w:pPr>
        <w:pStyle w:val="Heading2"/>
      </w:pPr>
      <w:bookmarkStart w:id="407" w:name="_Toc101274373"/>
      <w:r>
        <w:t>Hydraulic power data</w:t>
      </w:r>
      <w:bookmarkEnd w:id="407"/>
    </w:p>
    <w:p w14:paraId="0F655BCC" w14:textId="6D2F93D2" w:rsidR="00C670A0" w:rsidRDefault="00C670A0" w:rsidP="00C670A0">
      <w:pPr>
        <w:pStyle w:val="Heading3"/>
      </w:pPr>
      <w:bookmarkStart w:id="408" w:name="_Toc101274374"/>
      <w:r>
        <w:t>Flow and pressure monitoring data</w:t>
      </w:r>
      <w:bookmarkEnd w:id="408"/>
    </w:p>
    <w:p w14:paraId="3E7F5F3A" w14:textId="19931FF4" w:rsidR="00C670A0" w:rsidRDefault="00C670A0" w:rsidP="00C670A0">
      <w:r>
        <w:t>Flow and pressure monitoring data is done via MultiHandy 2045 HYDROTECHNIK (</w:t>
      </w:r>
      <w:r>
        <w:fldChar w:fldCharType="begin"/>
      </w:r>
      <w:r>
        <w:instrText xml:space="preserve"> REF _Ref93580331 \h </w:instrText>
      </w:r>
      <w:r>
        <w:fldChar w:fldCharType="separate"/>
      </w:r>
      <w:r w:rsidR="00587AF0">
        <w:t xml:space="preserve">Figure </w:t>
      </w:r>
      <w:r w:rsidR="00587AF0">
        <w:rPr>
          <w:noProof/>
        </w:rPr>
        <w:t>44</w:t>
      </w:r>
      <w:r>
        <w:fldChar w:fldCharType="end"/>
      </w:r>
      <w:r>
        <w:t>). The device measures on-site real-time data at the recording rate of 50ms, 100ms and 1000ms. Namely, the data has limited records data about 65000 storage records. Hence, the data for 20 cycles, taking into account that it requires approximately 2 minutes to start performing a hydraulic cycle, usually takes around 40-50min to record 20 hydraulic cycles. Therefore, aside from recording 1000ms, to gain exact insight into system degradation, 50ms per 20 cycles is used for diagnostic purposes for storing records of two memory channels, pressure and flow, respectfully.</w:t>
      </w:r>
    </w:p>
    <w:p w14:paraId="3774FDCD" w14:textId="77777777" w:rsidR="00C670A0" w:rsidRDefault="00C670A0" w:rsidP="00C670A0">
      <w:pPr>
        <w:keepNext/>
        <w:jc w:val="center"/>
      </w:pPr>
      <w:r>
        <w:rPr>
          <w:noProof/>
        </w:rPr>
        <w:drawing>
          <wp:inline distT="0" distB="0" distL="0" distR="0" wp14:anchorId="7F457752" wp14:editId="12C5A7D8">
            <wp:extent cx="4499460" cy="4320000"/>
            <wp:effectExtent l="0" t="0" r="0" b="4445"/>
            <wp:docPr id="65" name="Picture 6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Graphical user interface, website&#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99460" cy="4320000"/>
                    </a:xfrm>
                    <a:prstGeom prst="rect">
                      <a:avLst/>
                    </a:prstGeom>
                    <a:noFill/>
                  </pic:spPr>
                </pic:pic>
              </a:graphicData>
            </a:graphic>
          </wp:inline>
        </w:drawing>
      </w:r>
    </w:p>
    <w:p w14:paraId="1E397120" w14:textId="1A9C94E2" w:rsidR="00C670A0" w:rsidRDefault="00C670A0" w:rsidP="00C670A0">
      <w:pPr>
        <w:pStyle w:val="Caption"/>
      </w:pPr>
      <w:bookmarkStart w:id="409" w:name="_Ref93580331"/>
      <w:bookmarkStart w:id="410" w:name="_Toc101274566"/>
      <w:r>
        <w:t xml:space="preserve">Figure </w:t>
      </w:r>
      <w:r w:rsidR="00427B33">
        <w:fldChar w:fldCharType="begin"/>
      </w:r>
      <w:r w:rsidR="00427B33">
        <w:instrText xml:space="preserve"> SEQ Figure \* ARABIC </w:instrText>
      </w:r>
      <w:r w:rsidR="00427B33">
        <w:fldChar w:fldCharType="separate"/>
      </w:r>
      <w:r w:rsidR="00587AF0">
        <w:rPr>
          <w:noProof/>
        </w:rPr>
        <w:t>44</w:t>
      </w:r>
      <w:r w:rsidR="00427B33">
        <w:rPr>
          <w:noProof/>
        </w:rPr>
        <w:fldChar w:fldCharType="end"/>
      </w:r>
      <w:bookmarkEnd w:id="409"/>
      <w:r>
        <w:t>. Experimental installation of mixers’ hydraulic control system</w:t>
      </w:r>
      <w:bookmarkEnd w:id="410"/>
    </w:p>
    <w:p w14:paraId="58088A7D" w14:textId="4990C07A" w:rsidR="00F0440E" w:rsidRDefault="00F0440E" w:rsidP="00F0440E">
      <w:r>
        <w:lastRenderedPageBreak/>
        <w:t xml:space="preserve">Setting the experiment monitoring interval, the author first performed 1000ms monitoring to understand </w:t>
      </w:r>
      <w:r w:rsidR="00C670A0">
        <w:t xml:space="preserve">the intensity of production batches, deviations, </w:t>
      </w:r>
      <w:r>
        <w:t>potential stoppages, disturbances, preventive activities, etc</w:t>
      </w:r>
      <w:r w:rsidR="00C670A0">
        <w:t xml:space="preserve">. </w:t>
      </w:r>
      <w:r>
        <w:t>Although 1000ms does not provide valid information for diagnostic purposes by evaluating pressure and flow anomalies, they can be a good source of information regarding hydraulic system failures or stoppages. For instance, a pressure drop to 0 can be observed at the 3900-sec mark. Moreover, around the 4500sec mark, slight disturbances also happened, caused by deviations in directional valve response due to electronic issues. Monitoring flow and pressure are performed via MultiHandy 2045, and HydroCom software (</w:t>
      </w:r>
      <w:r>
        <w:fldChar w:fldCharType="begin"/>
      </w:r>
      <w:r>
        <w:instrText xml:space="preserve"> REF _Ref93473579 \h </w:instrText>
      </w:r>
      <w:r>
        <w:fldChar w:fldCharType="separate"/>
      </w:r>
      <w:r w:rsidR="00587AF0">
        <w:t xml:space="preserve">Figure </w:t>
      </w:r>
      <w:r w:rsidR="00587AF0">
        <w:rPr>
          <w:noProof/>
        </w:rPr>
        <w:t>45</w:t>
      </w:r>
      <w:r>
        <w:fldChar w:fldCharType="end"/>
      </w:r>
      <w:r>
        <w:t>) is used for data acquisition. Monitoring flow and pressure for establishing hydraulic power variables are performed at a 50ms data acquisition frequency.</w:t>
      </w:r>
    </w:p>
    <w:p w14:paraId="7C482D8E" w14:textId="77777777" w:rsidR="00C670A0" w:rsidRDefault="00C670A0" w:rsidP="00C670A0">
      <w:pPr>
        <w:keepNext/>
      </w:pPr>
      <w:r>
        <w:rPr>
          <w:noProof/>
        </w:rPr>
        <w:drawing>
          <wp:inline distT="0" distB="0" distL="0" distR="0" wp14:anchorId="3583A017" wp14:editId="43C4B78D">
            <wp:extent cx="5732145" cy="3486785"/>
            <wp:effectExtent l="0" t="0" r="1905" b="0"/>
            <wp:docPr id="31" name="Picture 3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32145" cy="3486785"/>
                    </a:xfrm>
                    <a:prstGeom prst="rect">
                      <a:avLst/>
                    </a:prstGeom>
                  </pic:spPr>
                </pic:pic>
              </a:graphicData>
            </a:graphic>
          </wp:inline>
        </w:drawing>
      </w:r>
    </w:p>
    <w:p w14:paraId="78088895" w14:textId="2A720BF6" w:rsidR="00C670A0" w:rsidRDefault="00C670A0" w:rsidP="00C670A0">
      <w:pPr>
        <w:pStyle w:val="Caption"/>
      </w:pPr>
      <w:bookmarkStart w:id="411" w:name="_Ref93473579"/>
      <w:bookmarkStart w:id="412" w:name="_Toc101274567"/>
      <w:r>
        <w:t xml:space="preserve">Figure </w:t>
      </w:r>
      <w:r w:rsidR="00427B33">
        <w:fldChar w:fldCharType="begin"/>
      </w:r>
      <w:r w:rsidR="00427B33">
        <w:instrText xml:space="preserve"> SEQ Figure \* ARABIC </w:instrText>
      </w:r>
      <w:r w:rsidR="00427B33">
        <w:fldChar w:fldCharType="separate"/>
      </w:r>
      <w:r w:rsidR="00587AF0">
        <w:rPr>
          <w:noProof/>
        </w:rPr>
        <w:t>45</w:t>
      </w:r>
      <w:r w:rsidR="00427B33">
        <w:rPr>
          <w:noProof/>
        </w:rPr>
        <w:fldChar w:fldCharType="end"/>
      </w:r>
      <w:bookmarkEnd w:id="411"/>
      <w:r>
        <w:t>. Records of pressure and flow via Multihandy2045 via HydroCom</w:t>
      </w:r>
      <w:bookmarkEnd w:id="412"/>
    </w:p>
    <w:p w14:paraId="7A6CC0D3" w14:textId="7DC98389" w:rsidR="00C670A0" w:rsidRDefault="00C670A0" w:rsidP="00C670A0">
      <w:r>
        <w:t xml:space="preserve">An example of a stored record of a specific hydraulic cycle at 50ms is depicted in </w:t>
      </w:r>
      <w:r>
        <w:fldChar w:fldCharType="begin"/>
      </w:r>
      <w:r>
        <w:instrText xml:space="preserve"> REF _Ref93473050 \h </w:instrText>
      </w:r>
      <w:r>
        <w:fldChar w:fldCharType="separate"/>
      </w:r>
      <w:r w:rsidR="00587AF0">
        <w:t xml:space="preserve">Figure </w:t>
      </w:r>
      <w:r w:rsidR="00587AF0">
        <w:rPr>
          <w:noProof/>
        </w:rPr>
        <w:t>46</w:t>
      </w:r>
      <w:r>
        <w:fldChar w:fldCharType="end"/>
      </w:r>
      <w:r>
        <w:t>.</w:t>
      </w:r>
    </w:p>
    <w:p w14:paraId="392E52DE" w14:textId="77777777" w:rsidR="00C670A0" w:rsidRDefault="00C670A0" w:rsidP="00C670A0">
      <w:pPr>
        <w:keepNext/>
      </w:pPr>
      <w:r>
        <w:rPr>
          <w:noProof/>
        </w:rPr>
        <w:drawing>
          <wp:inline distT="0" distB="0" distL="0" distR="0" wp14:anchorId="6BCC36D4" wp14:editId="64F2EC1B">
            <wp:extent cx="5732145" cy="2286000"/>
            <wp:effectExtent l="0" t="0" r="1905" b="0"/>
            <wp:docPr id="21" name="Chart 21">
              <a:extLst xmlns:a="http://schemas.openxmlformats.org/drawingml/2006/main">
                <a:ext uri="{FF2B5EF4-FFF2-40B4-BE49-F238E27FC236}">
                  <a16:creationId xmlns:a16="http://schemas.microsoft.com/office/drawing/2014/main" id="{3FAE0373-B95F-4125-B44C-3D5BE64C5E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412DDDFF" w14:textId="415DF0F2" w:rsidR="00C670A0" w:rsidRPr="007C226A" w:rsidRDefault="00C670A0" w:rsidP="00C670A0">
      <w:pPr>
        <w:pStyle w:val="Caption"/>
      </w:pPr>
      <w:bookmarkStart w:id="413" w:name="_Ref93473050"/>
      <w:bookmarkStart w:id="414" w:name="_Toc101274568"/>
      <w:r>
        <w:t xml:space="preserve">Figure </w:t>
      </w:r>
      <w:r w:rsidR="00427B33">
        <w:fldChar w:fldCharType="begin"/>
      </w:r>
      <w:r w:rsidR="00427B33">
        <w:instrText xml:space="preserve"> SEQ</w:instrText>
      </w:r>
      <w:r w:rsidR="00427B33">
        <w:instrText xml:space="preserve"> Figure \* ARABIC </w:instrText>
      </w:r>
      <w:r w:rsidR="00427B33">
        <w:fldChar w:fldCharType="separate"/>
      </w:r>
      <w:r w:rsidR="00587AF0">
        <w:rPr>
          <w:noProof/>
        </w:rPr>
        <w:t>46</w:t>
      </w:r>
      <w:r w:rsidR="00427B33">
        <w:rPr>
          <w:noProof/>
        </w:rPr>
        <w:fldChar w:fldCharType="end"/>
      </w:r>
      <w:bookmarkEnd w:id="413"/>
      <w:r>
        <w:t>. Single signal flow (y</w:t>
      </w:r>
      <w:r>
        <w:rPr>
          <w:vertAlign w:val="subscript"/>
        </w:rPr>
        <w:t>1</w:t>
      </w:r>
      <w:r>
        <w:t>-axis) and pressure (y</w:t>
      </w:r>
      <w:r>
        <w:rPr>
          <w:vertAlign w:val="subscript"/>
        </w:rPr>
        <w:t>2</w:t>
      </w:r>
      <w:r>
        <w:t>-axis) at 50ms record rate</w:t>
      </w:r>
      <w:bookmarkEnd w:id="414"/>
    </w:p>
    <w:p w14:paraId="1D007FD1" w14:textId="09AF4C7C" w:rsidR="00C670A0" w:rsidRDefault="00C670A0" w:rsidP="00C670A0">
      <w:r>
        <w:t xml:space="preserve">Given the acquired information </w:t>
      </w:r>
      <w:r w:rsidR="00F0440E">
        <w:t xml:space="preserve">about </w:t>
      </w:r>
      <w:r>
        <w:t xml:space="preserve">a hydraulic system </w:t>
      </w:r>
      <w:r w:rsidR="00F0440E">
        <w:t xml:space="preserve">work </w:t>
      </w:r>
      <w:r>
        <w:t>(</w:t>
      </w:r>
      <w:r>
        <w:fldChar w:fldCharType="begin"/>
      </w:r>
      <w:r>
        <w:instrText xml:space="preserve"> REF _Ref93476793 \h </w:instrText>
      </w:r>
      <w:r>
        <w:fldChar w:fldCharType="separate"/>
      </w:r>
      <w:r w:rsidR="00587AF0">
        <w:t xml:space="preserve">Figure </w:t>
      </w:r>
      <w:r w:rsidR="00587AF0">
        <w:rPr>
          <w:noProof/>
        </w:rPr>
        <w:t>43</w:t>
      </w:r>
      <w:r>
        <w:fldChar w:fldCharType="end"/>
      </w:r>
      <w:r>
        <w:t>) and its functional dynamics, the observed graph (</w:t>
      </w:r>
      <w:r>
        <w:fldChar w:fldCharType="begin"/>
      </w:r>
      <w:r>
        <w:instrText xml:space="preserve"> REF _Ref93473050 \h </w:instrText>
      </w:r>
      <w:r>
        <w:fldChar w:fldCharType="separate"/>
      </w:r>
      <w:r w:rsidR="00587AF0">
        <w:t xml:space="preserve">Figure </w:t>
      </w:r>
      <w:r w:rsidR="00587AF0">
        <w:rPr>
          <w:noProof/>
        </w:rPr>
        <w:t>46</w:t>
      </w:r>
      <w:r>
        <w:fldChar w:fldCharType="end"/>
      </w:r>
      <w:r>
        <w:t>) can determine anomalies.</w:t>
      </w:r>
    </w:p>
    <w:p w14:paraId="51A5E979" w14:textId="0E20D7B9" w:rsidR="002A2D3B" w:rsidRDefault="002A2D3B" w:rsidP="002A2D3B">
      <w:pPr>
        <w:pStyle w:val="Heading3"/>
      </w:pPr>
      <w:bookmarkStart w:id="415" w:name="_Toc101274375"/>
      <w:r>
        <w:lastRenderedPageBreak/>
        <w:t>Actuators</w:t>
      </w:r>
      <w:r w:rsidR="000E7CCD">
        <w:t>'</w:t>
      </w:r>
      <w:r>
        <w:t xml:space="preserve"> response data</w:t>
      </w:r>
      <w:r w:rsidR="00B27719">
        <w:t xml:space="preserve"> – saddle opening and closing</w:t>
      </w:r>
      <w:bookmarkEnd w:id="405"/>
      <w:bookmarkEnd w:id="406"/>
      <w:bookmarkEnd w:id="415"/>
    </w:p>
    <w:p w14:paraId="60CBA5EF" w14:textId="17A08100" w:rsidR="002A2D3B" w:rsidRDefault="002A5FCB" w:rsidP="002A2D3B">
      <w:r>
        <w:t xml:space="preserve">The importance of utilising actuator response is to measure the dynamic response of </w:t>
      </w:r>
      <w:r w:rsidR="00B509A7">
        <w:t xml:space="preserve">power transfer. Since the model considers functional-productiveness, where the </w:t>
      </w:r>
      <w:r w:rsidR="000F69B5">
        <w:t xml:space="preserve">concept </w:t>
      </w:r>
      <w:r w:rsidR="00B509A7">
        <w:t>includes adding the productivity</w:t>
      </w:r>
      <w:r w:rsidR="000F69B5">
        <w:t xml:space="preserve"> as a dimension of functionality,</w:t>
      </w:r>
      <w:r w:rsidR="00B509A7">
        <w:t xml:space="preserve"> measurement of working cycles</w:t>
      </w:r>
      <w:r w:rsidR="000F69B5">
        <w:t xml:space="preserve"> (time for each cycle)</w:t>
      </w:r>
      <w:r w:rsidR="00B509A7">
        <w:t xml:space="preserve"> is </w:t>
      </w:r>
      <w:r w:rsidR="00A00035">
        <w:t>vital</w:t>
      </w:r>
      <w:r w:rsidR="00B509A7">
        <w:t xml:space="preserve">. </w:t>
      </w:r>
      <w:r w:rsidR="000E7CCD">
        <w:t>At the same time, monitoring actuators’ response time (</w:t>
      </w:r>
      <w:r w:rsidR="000E7CCD">
        <w:fldChar w:fldCharType="begin"/>
      </w:r>
      <w:r w:rsidR="000E7CCD">
        <w:instrText xml:space="preserve"> REF _Ref93506283 \h </w:instrText>
      </w:r>
      <w:r w:rsidR="000E7CCD">
        <w:fldChar w:fldCharType="separate"/>
      </w:r>
      <w:r w:rsidR="00587AF0">
        <w:t xml:space="preserve">Figure </w:t>
      </w:r>
      <w:r w:rsidR="00587AF0">
        <w:rPr>
          <w:noProof/>
        </w:rPr>
        <w:t>47</w:t>
      </w:r>
      <w:r w:rsidR="000E7CCD">
        <w:fldChar w:fldCharType="end"/>
      </w:r>
      <w:r w:rsidR="000E7CCD">
        <w:t>) is used for setting labels in learning classification.</w:t>
      </w:r>
    </w:p>
    <w:p w14:paraId="75C692FC" w14:textId="77777777" w:rsidR="006575D1" w:rsidRDefault="006575D1" w:rsidP="006575D1">
      <w:pPr>
        <w:keepNext/>
      </w:pPr>
      <w:r>
        <w:rPr>
          <w:noProof/>
        </w:rPr>
        <w:drawing>
          <wp:inline distT="0" distB="0" distL="0" distR="0" wp14:anchorId="4DF6BE8F" wp14:editId="733E97A2">
            <wp:extent cx="5732145" cy="4996815"/>
            <wp:effectExtent l="0" t="0" r="1905" b="0"/>
            <wp:docPr id="36" name="Chart 36">
              <a:extLst xmlns:a="http://schemas.openxmlformats.org/drawingml/2006/main">
                <a:ext uri="{FF2B5EF4-FFF2-40B4-BE49-F238E27FC236}">
                  <a16:creationId xmlns:a16="http://schemas.microsoft.com/office/drawing/2014/main" id="{3AFD0335-3671-4A9F-A520-36FDFAAF42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05E426AA" w14:textId="18455E38" w:rsidR="006575D1" w:rsidRDefault="006575D1" w:rsidP="006575D1">
      <w:pPr>
        <w:pStyle w:val="Caption"/>
      </w:pPr>
      <w:bookmarkStart w:id="416" w:name="_Ref93506283"/>
      <w:bookmarkStart w:id="417" w:name="_Ref93506274"/>
      <w:bookmarkStart w:id="418" w:name="_Toc101274569"/>
      <w:r>
        <w:t xml:space="preserve">Figure </w:t>
      </w:r>
      <w:fldSimple w:instr=" SEQ Figure \* ARABIC ">
        <w:r w:rsidR="00587AF0">
          <w:rPr>
            <w:noProof/>
          </w:rPr>
          <w:t>47</w:t>
        </w:r>
      </w:fldSimple>
      <w:bookmarkEnd w:id="416"/>
      <w:r>
        <w:t>. Saddle operation activation for 20 cycles</w:t>
      </w:r>
      <w:bookmarkEnd w:id="417"/>
      <w:bookmarkEnd w:id="418"/>
    </w:p>
    <w:p w14:paraId="3DAF924A" w14:textId="1BA7C80C" w:rsidR="003E754B" w:rsidRDefault="00730C4D" w:rsidP="002A2D3B">
      <w:r>
        <w:t>Since the regulation of the movement is controlled by directional valve</w:t>
      </w:r>
      <w:r w:rsidR="00530FD5">
        <w:t>s</w:t>
      </w:r>
      <w:r>
        <w:t xml:space="preserve">, which </w:t>
      </w:r>
      <w:r w:rsidR="00530FD5">
        <w:t xml:space="preserve">are </w:t>
      </w:r>
      <w:r>
        <w:t>like pump</w:t>
      </w:r>
      <w:r w:rsidR="00530FD5">
        <w:t>s</w:t>
      </w:r>
      <w:r>
        <w:t xml:space="preserve"> and other </w:t>
      </w:r>
      <w:r w:rsidR="000E7CCD">
        <w:t>contaminant-sensitive</w:t>
      </w:r>
      <w:r>
        <w:t xml:space="preserve"> components prone to </w:t>
      </w:r>
      <w:r w:rsidR="00530FD5">
        <w:t>degradation, it will also be used to determine whether there is an influence between their</w:t>
      </w:r>
      <w:r>
        <w:t xml:space="preserve"> response and contamination. Besides, </w:t>
      </w:r>
      <w:r w:rsidR="000E7CCD">
        <w:t xml:space="preserve">the </w:t>
      </w:r>
      <w:r>
        <w:t>idle position between unloading the rubber mass and closing the saddle is also used to penalise or confirm whether the system is in operating condition.</w:t>
      </w:r>
    </w:p>
    <w:p w14:paraId="15B4ACAC" w14:textId="6125C919" w:rsidR="002A2D3B" w:rsidRDefault="00270B33" w:rsidP="00270B33">
      <w:pPr>
        <w:pStyle w:val="Heading3"/>
      </w:pPr>
      <w:bookmarkStart w:id="419" w:name="_Toc93759916"/>
      <w:bookmarkStart w:id="420" w:name="_Toc93760020"/>
      <w:bookmarkStart w:id="421" w:name="_Ref100910047"/>
      <w:bookmarkStart w:id="422" w:name="_Toc101274376"/>
      <w:r>
        <w:t>SCADA System data acqu</w:t>
      </w:r>
      <w:r w:rsidR="000E7CCD">
        <w:t>i</w:t>
      </w:r>
      <w:r>
        <w:t>sition</w:t>
      </w:r>
      <w:bookmarkEnd w:id="419"/>
      <w:bookmarkEnd w:id="420"/>
      <w:bookmarkEnd w:id="421"/>
      <w:bookmarkEnd w:id="422"/>
    </w:p>
    <w:p w14:paraId="677FC234" w14:textId="392F3AEE" w:rsidR="001B7DFB" w:rsidRDefault="000E7CCD" w:rsidP="001B7DFB">
      <w:r>
        <w:t>The data processing machine’s SCADA system synthesises and filters</w:t>
      </w:r>
      <w:r w:rsidR="00777452">
        <w:t xml:space="preserve"> data important for the experimental study. Such data includes </w:t>
      </w:r>
      <w:r>
        <w:t xml:space="preserve">the </w:t>
      </w:r>
      <w:r w:rsidR="00777452">
        <w:t>date and time of every cycle; cycles p</w:t>
      </w:r>
      <w:r w:rsidR="00DE0280">
        <w:t>erformed</w:t>
      </w:r>
      <w:r w:rsidR="00777452">
        <w:t xml:space="preserve"> for </w:t>
      </w:r>
      <w:r w:rsidR="00DE0280">
        <w:t>each</w:t>
      </w:r>
      <w:r w:rsidR="00777452">
        <w:t xml:space="preserve"> </w:t>
      </w:r>
      <w:r w:rsidR="00DE0280">
        <w:t>batch</w:t>
      </w:r>
      <w:r w:rsidR="00777452">
        <w:t xml:space="preserve">; mass weight for specific batch production, cycles performed/planned; </w:t>
      </w:r>
      <w:r w:rsidR="008563A2">
        <w:t>time for performing the cycle; temperature value inside the mixer; batt pressure</w:t>
      </w:r>
      <w:r w:rsidR="000B5040">
        <w:t>/</w:t>
      </w:r>
      <w:r w:rsidR="008563A2">
        <w:t xml:space="preserve">position; energy consumption; binary value for chamber filling [open, closed], </w:t>
      </w:r>
      <w:r w:rsidR="00DE0280">
        <w:t xml:space="preserve">and </w:t>
      </w:r>
      <w:r w:rsidR="008563A2">
        <w:t>binary value for saddle [open, closed]. All of these values are filtered and sorted for data modelling.</w:t>
      </w:r>
    </w:p>
    <w:p w14:paraId="1613434F" w14:textId="15565854" w:rsidR="00777452" w:rsidRDefault="00533BD1" w:rsidP="00533BD1">
      <w:pPr>
        <w:pStyle w:val="Caption"/>
        <w:jc w:val="left"/>
      </w:pPr>
      <w:bookmarkStart w:id="423" w:name="_Toc101274462"/>
      <w:r>
        <w:lastRenderedPageBreak/>
        <w:t xml:space="preserve">Table </w:t>
      </w:r>
      <w:fldSimple w:instr=" SEQ Table \* ARABIC ">
        <w:r w:rsidR="00587AF0">
          <w:rPr>
            <w:noProof/>
          </w:rPr>
          <w:t>22</w:t>
        </w:r>
      </w:fldSimple>
      <w:r>
        <w:t xml:space="preserve">. Example of SCADA </w:t>
      </w:r>
      <w:r w:rsidR="00530FD5">
        <w:t xml:space="preserve">information obtained for </w:t>
      </w:r>
      <w:r w:rsidR="00540DAD">
        <w:t>specific</w:t>
      </w:r>
      <w:r w:rsidR="007235F0">
        <w:t xml:space="preserve"> </w:t>
      </w:r>
      <w:r w:rsidR="00530FD5">
        <w:t>batch cycle</w:t>
      </w:r>
      <w:bookmarkEnd w:id="423"/>
    </w:p>
    <w:tbl>
      <w:tblPr>
        <w:tblW w:w="5000" w:type="pct"/>
        <w:tblLook w:val="04A0" w:firstRow="1" w:lastRow="0" w:firstColumn="1" w:lastColumn="0" w:noHBand="0" w:noVBand="1"/>
      </w:tblPr>
      <w:tblGrid>
        <w:gridCol w:w="724"/>
        <w:gridCol w:w="1190"/>
        <w:gridCol w:w="1569"/>
        <w:gridCol w:w="1325"/>
        <w:gridCol w:w="841"/>
        <w:gridCol w:w="1450"/>
        <w:gridCol w:w="962"/>
        <w:gridCol w:w="966"/>
      </w:tblGrid>
      <w:tr w:rsidR="00684C80" w:rsidRPr="00FA439B" w14:paraId="3BAF728E" w14:textId="77777777" w:rsidTr="00EB3D82">
        <w:trPr>
          <w:trHeight w:val="255"/>
        </w:trPr>
        <w:tc>
          <w:tcPr>
            <w:tcW w:w="401" w:type="pct"/>
            <w:tcBorders>
              <w:top w:val="single" w:sz="4" w:space="0" w:color="auto"/>
              <w:left w:val="nil"/>
              <w:bottom w:val="single" w:sz="4" w:space="0" w:color="auto"/>
              <w:right w:val="nil"/>
            </w:tcBorders>
            <w:shd w:val="clear" w:color="auto" w:fill="auto"/>
            <w:noWrap/>
            <w:vAlign w:val="center"/>
            <w:hideMark/>
          </w:tcPr>
          <w:p w14:paraId="6260CB36" w14:textId="711AFC33" w:rsidR="00684C80" w:rsidRPr="00FA439B" w:rsidRDefault="00684C80" w:rsidP="00FA439B">
            <w:pPr>
              <w:spacing w:before="0" w:after="0"/>
              <w:jc w:val="center"/>
              <w:rPr>
                <w:rFonts w:eastAsia="Times New Roman" w:cs="Times New Roman"/>
                <w:b/>
                <w:bCs/>
                <w:sz w:val="20"/>
                <w:szCs w:val="20"/>
                <w:lang w:val="sr-Latn-RS" w:eastAsia="sr-Latn-RS"/>
              </w:rPr>
            </w:pPr>
            <w:r w:rsidRPr="00FA439B">
              <w:rPr>
                <w:rFonts w:eastAsia="Times New Roman" w:cs="Times New Roman"/>
                <w:b/>
                <w:bCs/>
                <w:sz w:val="20"/>
                <w:szCs w:val="20"/>
                <w:lang w:val="sr-Latn-RS" w:eastAsia="sr-Latn-RS"/>
              </w:rPr>
              <w:t>t [s]</w:t>
            </w:r>
          </w:p>
        </w:tc>
        <w:tc>
          <w:tcPr>
            <w:tcW w:w="659" w:type="pct"/>
            <w:tcBorders>
              <w:top w:val="single" w:sz="4" w:space="0" w:color="auto"/>
              <w:left w:val="nil"/>
              <w:bottom w:val="single" w:sz="4" w:space="0" w:color="auto"/>
              <w:right w:val="nil"/>
            </w:tcBorders>
            <w:shd w:val="clear" w:color="auto" w:fill="auto"/>
            <w:noWrap/>
            <w:vAlign w:val="center"/>
            <w:hideMark/>
          </w:tcPr>
          <w:p w14:paraId="3ACAD739" w14:textId="1DDC7521" w:rsidR="00684C80" w:rsidRPr="00FA439B" w:rsidRDefault="00684C80" w:rsidP="00FA439B">
            <w:pPr>
              <w:spacing w:before="0" w:after="0"/>
              <w:jc w:val="center"/>
              <w:rPr>
                <w:rFonts w:eastAsia="Times New Roman" w:cs="Times New Roman"/>
                <w:b/>
                <w:bCs/>
                <w:sz w:val="20"/>
                <w:szCs w:val="20"/>
                <w:lang w:val="sr-Latn-RS" w:eastAsia="sr-Latn-RS"/>
              </w:rPr>
            </w:pPr>
            <w:r w:rsidRPr="00FA439B">
              <w:rPr>
                <w:rFonts w:eastAsia="Times New Roman" w:cs="Times New Roman"/>
                <w:b/>
                <w:bCs/>
                <w:sz w:val="20"/>
                <w:szCs w:val="20"/>
                <w:lang w:val="sr-Latn-RS" w:eastAsia="sr-Latn-RS"/>
              </w:rPr>
              <w:t>T</w:t>
            </w:r>
            <w:r>
              <w:rPr>
                <w:rFonts w:eastAsia="Times New Roman" w:cs="Times New Roman"/>
                <w:b/>
                <w:bCs/>
                <w:sz w:val="20"/>
                <w:szCs w:val="20"/>
                <w:lang w:val="sr-Latn-RS" w:eastAsia="sr-Latn-RS"/>
              </w:rPr>
              <w:t>emp.</w:t>
            </w:r>
            <w:r w:rsidRPr="00FA439B">
              <w:rPr>
                <w:rFonts w:eastAsia="Times New Roman" w:cs="Times New Roman"/>
                <w:b/>
                <w:bCs/>
                <w:sz w:val="20"/>
                <w:szCs w:val="20"/>
                <w:lang w:val="sr-Latn-RS" w:eastAsia="sr-Latn-RS"/>
              </w:rPr>
              <w:t xml:space="preserve"> [°C]</w:t>
            </w:r>
          </w:p>
        </w:tc>
        <w:tc>
          <w:tcPr>
            <w:tcW w:w="869" w:type="pct"/>
            <w:tcBorders>
              <w:top w:val="single" w:sz="4" w:space="0" w:color="auto"/>
              <w:left w:val="nil"/>
              <w:bottom w:val="single" w:sz="4" w:space="0" w:color="auto"/>
              <w:right w:val="nil"/>
            </w:tcBorders>
            <w:shd w:val="clear" w:color="auto" w:fill="auto"/>
            <w:noWrap/>
            <w:vAlign w:val="center"/>
            <w:hideMark/>
          </w:tcPr>
          <w:p w14:paraId="12AF72A9" w14:textId="205D5C62" w:rsidR="00684C80" w:rsidRPr="00FA439B" w:rsidRDefault="00684C80" w:rsidP="00FA439B">
            <w:pPr>
              <w:spacing w:before="0" w:after="0"/>
              <w:jc w:val="center"/>
              <w:rPr>
                <w:rFonts w:eastAsia="Times New Roman" w:cs="Times New Roman"/>
                <w:b/>
                <w:bCs/>
                <w:sz w:val="20"/>
                <w:szCs w:val="20"/>
                <w:lang w:val="sr-Latn-RS" w:eastAsia="sr-Latn-RS"/>
              </w:rPr>
            </w:pPr>
            <w:r w:rsidRPr="00FA439B">
              <w:rPr>
                <w:rFonts w:eastAsia="Times New Roman" w:cs="Times New Roman"/>
                <w:b/>
                <w:bCs/>
                <w:sz w:val="20"/>
                <w:szCs w:val="20"/>
                <w:lang w:val="sr-Latn-RS" w:eastAsia="sr-Latn-RS"/>
              </w:rPr>
              <w:t>Bat_pos</w:t>
            </w:r>
            <w:r>
              <w:rPr>
                <w:rFonts w:eastAsia="Times New Roman" w:cs="Times New Roman"/>
                <w:b/>
                <w:bCs/>
                <w:sz w:val="20"/>
                <w:szCs w:val="20"/>
                <w:lang w:val="sr-Latn-RS" w:eastAsia="sr-Latn-RS"/>
              </w:rPr>
              <w:t xml:space="preserve"> [%]</w:t>
            </w:r>
          </w:p>
        </w:tc>
        <w:tc>
          <w:tcPr>
            <w:tcW w:w="734" w:type="pct"/>
            <w:tcBorders>
              <w:top w:val="single" w:sz="4" w:space="0" w:color="auto"/>
              <w:left w:val="nil"/>
              <w:bottom w:val="single" w:sz="4" w:space="0" w:color="auto"/>
              <w:right w:val="nil"/>
            </w:tcBorders>
            <w:shd w:val="clear" w:color="auto" w:fill="auto"/>
            <w:noWrap/>
            <w:vAlign w:val="center"/>
            <w:hideMark/>
          </w:tcPr>
          <w:p w14:paraId="6FCE85C6" w14:textId="4ED62B29" w:rsidR="00684C80" w:rsidRPr="00FA439B" w:rsidRDefault="00684C80" w:rsidP="00FA439B">
            <w:pPr>
              <w:spacing w:before="0" w:after="0"/>
              <w:jc w:val="center"/>
              <w:rPr>
                <w:rFonts w:eastAsia="Times New Roman" w:cs="Times New Roman"/>
                <w:b/>
                <w:bCs/>
                <w:sz w:val="20"/>
                <w:szCs w:val="20"/>
                <w:lang w:val="sr-Latn-RS" w:eastAsia="sr-Latn-RS"/>
              </w:rPr>
            </w:pPr>
            <w:r w:rsidRPr="00FA439B">
              <w:rPr>
                <w:rFonts w:eastAsia="Times New Roman" w:cs="Times New Roman"/>
                <w:b/>
                <w:bCs/>
                <w:sz w:val="20"/>
                <w:szCs w:val="20"/>
                <w:lang w:val="sr-Latn-RS" w:eastAsia="sr-Latn-RS"/>
              </w:rPr>
              <w:t>B_P</w:t>
            </w:r>
            <w:r>
              <w:rPr>
                <w:rFonts w:eastAsia="Times New Roman" w:cs="Times New Roman"/>
                <w:b/>
                <w:bCs/>
                <w:sz w:val="20"/>
                <w:szCs w:val="20"/>
                <w:lang w:val="sr-Latn-RS" w:eastAsia="sr-Latn-RS"/>
              </w:rPr>
              <w:t>res</w:t>
            </w:r>
            <w:r w:rsidRPr="00FA439B">
              <w:rPr>
                <w:rFonts w:eastAsia="Times New Roman" w:cs="Times New Roman"/>
                <w:b/>
                <w:bCs/>
                <w:sz w:val="20"/>
                <w:szCs w:val="20"/>
                <w:lang w:val="sr-Latn-RS" w:eastAsia="sr-Latn-RS"/>
              </w:rPr>
              <w:t xml:space="preserve"> [%]</w:t>
            </w:r>
          </w:p>
        </w:tc>
        <w:tc>
          <w:tcPr>
            <w:tcW w:w="466" w:type="pct"/>
            <w:tcBorders>
              <w:top w:val="single" w:sz="4" w:space="0" w:color="auto"/>
              <w:left w:val="nil"/>
              <w:bottom w:val="single" w:sz="4" w:space="0" w:color="auto"/>
              <w:right w:val="nil"/>
            </w:tcBorders>
            <w:shd w:val="clear" w:color="auto" w:fill="auto"/>
            <w:noWrap/>
            <w:vAlign w:val="center"/>
            <w:hideMark/>
          </w:tcPr>
          <w:p w14:paraId="60EEE89A" w14:textId="2B4FCE74" w:rsidR="00684C80" w:rsidRPr="00FA439B" w:rsidRDefault="00684C80" w:rsidP="00FA439B">
            <w:pPr>
              <w:spacing w:before="0" w:after="0"/>
              <w:jc w:val="center"/>
              <w:rPr>
                <w:rFonts w:eastAsia="Times New Roman" w:cs="Times New Roman"/>
                <w:b/>
                <w:bCs/>
                <w:sz w:val="20"/>
                <w:szCs w:val="20"/>
                <w:lang w:val="sr-Latn-RS" w:eastAsia="sr-Latn-RS"/>
              </w:rPr>
            </w:pPr>
            <w:r w:rsidRPr="00FA439B">
              <w:rPr>
                <w:rFonts w:eastAsia="Times New Roman" w:cs="Times New Roman"/>
                <w:b/>
                <w:bCs/>
                <w:sz w:val="20"/>
                <w:szCs w:val="20"/>
                <w:lang w:val="sr-Latn-RS" w:eastAsia="sr-Latn-RS"/>
              </w:rPr>
              <w:t>Step</w:t>
            </w:r>
          </w:p>
        </w:tc>
        <w:tc>
          <w:tcPr>
            <w:tcW w:w="803" w:type="pct"/>
            <w:tcBorders>
              <w:top w:val="single" w:sz="4" w:space="0" w:color="auto"/>
              <w:left w:val="nil"/>
              <w:bottom w:val="single" w:sz="4" w:space="0" w:color="auto"/>
              <w:right w:val="nil"/>
            </w:tcBorders>
            <w:shd w:val="clear" w:color="auto" w:fill="auto"/>
            <w:noWrap/>
            <w:vAlign w:val="center"/>
            <w:hideMark/>
          </w:tcPr>
          <w:p w14:paraId="485E3689" w14:textId="0D65273A" w:rsidR="00684C80" w:rsidRPr="00FA439B" w:rsidRDefault="00684C80" w:rsidP="00FA439B">
            <w:pPr>
              <w:spacing w:before="0" w:after="0"/>
              <w:jc w:val="center"/>
              <w:rPr>
                <w:rFonts w:eastAsia="Times New Roman" w:cs="Times New Roman"/>
                <w:b/>
                <w:bCs/>
                <w:sz w:val="20"/>
                <w:szCs w:val="20"/>
                <w:lang w:val="sr-Latn-RS" w:eastAsia="sr-Latn-RS"/>
              </w:rPr>
            </w:pPr>
            <w:r w:rsidRPr="00FA439B">
              <w:rPr>
                <w:rFonts w:eastAsia="Times New Roman" w:cs="Times New Roman"/>
                <w:b/>
                <w:bCs/>
                <w:sz w:val="20"/>
                <w:szCs w:val="20"/>
                <w:lang w:val="sr-Latn-RS" w:eastAsia="sr-Latn-RS"/>
              </w:rPr>
              <w:t>EC [kWh]</w:t>
            </w:r>
          </w:p>
        </w:tc>
        <w:tc>
          <w:tcPr>
            <w:tcW w:w="533" w:type="pct"/>
            <w:tcBorders>
              <w:top w:val="single" w:sz="4" w:space="0" w:color="auto"/>
              <w:left w:val="nil"/>
              <w:bottom w:val="single" w:sz="4" w:space="0" w:color="auto"/>
              <w:right w:val="nil"/>
            </w:tcBorders>
            <w:shd w:val="clear" w:color="auto" w:fill="auto"/>
            <w:noWrap/>
            <w:vAlign w:val="center"/>
            <w:hideMark/>
          </w:tcPr>
          <w:p w14:paraId="615EF065" w14:textId="19D428C7" w:rsidR="00684C80" w:rsidRPr="00FA439B" w:rsidRDefault="00684C80" w:rsidP="00FA439B">
            <w:pPr>
              <w:spacing w:before="0" w:after="0"/>
              <w:jc w:val="center"/>
              <w:rPr>
                <w:rFonts w:eastAsia="Times New Roman" w:cs="Times New Roman"/>
                <w:b/>
                <w:bCs/>
                <w:sz w:val="20"/>
                <w:szCs w:val="20"/>
                <w:lang w:val="sr-Latn-RS" w:eastAsia="sr-Latn-RS"/>
              </w:rPr>
            </w:pPr>
            <w:r w:rsidRPr="00FA439B">
              <w:rPr>
                <w:rFonts w:eastAsia="Times New Roman" w:cs="Times New Roman"/>
                <w:b/>
                <w:bCs/>
                <w:sz w:val="20"/>
                <w:szCs w:val="20"/>
                <w:lang w:val="sr-Latn-RS" w:eastAsia="sr-Latn-RS"/>
              </w:rPr>
              <w:t>Saddle</w:t>
            </w:r>
          </w:p>
        </w:tc>
        <w:tc>
          <w:tcPr>
            <w:tcW w:w="535" w:type="pct"/>
            <w:tcBorders>
              <w:top w:val="single" w:sz="4" w:space="0" w:color="auto"/>
              <w:left w:val="nil"/>
              <w:bottom w:val="single" w:sz="4" w:space="0" w:color="auto"/>
              <w:right w:val="nil"/>
            </w:tcBorders>
            <w:shd w:val="clear" w:color="auto" w:fill="auto"/>
            <w:noWrap/>
            <w:vAlign w:val="center"/>
            <w:hideMark/>
          </w:tcPr>
          <w:p w14:paraId="12394F9A" w14:textId="488F7E12" w:rsidR="00684C80" w:rsidRPr="00FA439B" w:rsidRDefault="00684C80" w:rsidP="00FA439B">
            <w:pPr>
              <w:spacing w:before="0" w:after="0"/>
              <w:jc w:val="center"/>
              <w:rPr>
                <w:rFonts w:eastAsia="Times New Roman" w:cs="Times New Roman"/>
                <w:b/>
                <w:bCs/>
                <w:sz w:val="20"/>
                <w:szCs w:val="20"/>
                <w:lang w:val="sr-Latn-RS" w:eastAsia="sr-Latn-RS"/>
              </w:rPr>
            </w:pPr>
            <w:r w:rsidRPr="00FA439B">
              <w:rPr>
                <w:rFonts w:eastAsia="Times New Roman" w:cs="Times New Roman"/>
                <w:b/>
                <w:bCs/>
                <w:sz w:val="20"/>
                <w:szCs w:val="20"/>
                <w:lang w:val="sr-Latn-RS" w:eastAsia="sr-Latn-RS"/>
              </w:rPr>
              <w:t>Cham.</w:t>
            </w:r>
          </w:p>
        </w:tc>
      </w:tr>
      <w:tr w:rsidR="00684C80" w:rsidRPr="00FA439B" w14:paraId="374293D9" w14:textId="77777777" w:rsidTr="00EB3D82">
        <w:trPr>
          <w:trHeight w:val="255"/>
        </w:trPr>
        <w:tc>
          <w:tcPr>
            <w:tcW w:w="401" w:type="pct"/>
            <w:tcBorders>
              <w:top w:val="nil"/>
              <w:left w:val="nil"/>
              <w:bottom w:val="nil"/>
              <w:right w:val="nil"/>
            </w:tcBorders>
            <w:shd w:val="clear" w:color="auto" w:fill="auto"/>
            <w:noWrap/>
            <w:vAlign w:val="center"/>
            <w:hideMark/>
          </w:tcPr>
          <w:p w14:paraId="54CA807C" w14:textId="77777777" w:rsidR="00684C80" w:rsidRPr="00FA439B" w:rsidRDefault="00684C80" w:rsidP="00FA439B">
            <w:pPr>
              <w:spacing w:before="0" w:after="0"/>
              <w:jc w:val="center"/>
              <w:rPr>
                <w:rFonts w:eastAsia="Times New Roman" w:cs="Times New Roman"/>
                <w:sz w:val="20"/>
                <w:szCs w:val="20"/>
                <w:lang w:val="sr-Latn-RS" w:eastAsia="sr-Latn-RS"/>
              </w:rPr>
            </w:pPr>
            <w:r w:rsidRPr="00FA439B">
              <w:rPr>
                <w:rFonts w:eastAsia="Times New Roman" w:cs="Times New Roman"/>
                <w:sz w:val="20"/>
                <w:szCs w:val="20"/>
                <w:lang w:val="sr-Latn-RS" w:eastAsia="sr-Latn-RS"/>
              </w:rPr>
              <w:t>1</w:t>
            </w:r>
          </w:p>
        </w:tc>
        <w:tc>
          <w:tcPr>
            <w:tcW w:w="659" w:type="pct"/>
            <w:tcBorders>
              <w:top w:val="nil"/>
              <w:left w:val="nil"/>
              <w:bottom w:val="nil"/>
              <w:right w:val="nil"/>
            </w:tcBorders>
            <w:shd w:val="clear" w:color="auto" w:fill="auto"/>
            <w:noWrap/>
            <w:vAlign w:val="center"/>
            <w:hideMark/>
          </w:tcPr>
          <w:p w14:paraId="34F61A6C" w14:textId="77777777" w:rsidR="00684C80" w:rsidRPr="00FA439B" w:rsidRDefault="00684C80" w:rsidP="00FA439B">
            <w:pPr>
              <w:spacing w:before="0" w:after="0"/>
              <w:jc w:val="center"/>
              <w:rPr>
                <w:rFonts w:eastAsia="Times New Roman" w:cs="Times New Roman"/>
                <w:sz w:val="20"/>
                <w:szCs w:val="20"/>
                <w:lang w:val="sr-Latn-RS" w:eastAsia="sr-Latn-RS"/>
              </w:rPr>
            </w:pPr>
            <w:r w:rsidRPr="00FA439B">
              <w:rPr>
                <w:rFonts w:eastAsia="Times New Roman" w:cs="Times New Roman"/>
                <w:sz w:val="20"/>
                <w:szCs w:val="20"/>
                <w:lang w:val="sr-Latn-RS" w:eastAsia="sr-Latn-RS"/>
              </w:rPr>
              <w:t>73.73</w:t>
            </w:r>
          </w:p>
        </w:tc>
        <w:tc>
          <w:tcPr>
            <w:tcW w:w="869" w:type="pct"/>
            <w:tcBorders>
              <w:top w:val="nil"/>
              <w:left w:val="nil"/>
              <w:bottom w:val="nil"/>
              <w:right w:val="nil"/>
            </w:tcBorders>
            <w:shd w:val="clear" w:color="auto" w:fill="auto"/>
            <w:noWrap/>
            <w:vAlign w:val="center"/>
            <w:hideMark/>
          </w:tcPr>
          <w:p w14:paraId="60605F33" w14:textId="77777777" w:rsidR="00684C80" w:rsidRPr="00FA439B" w:rsidRDefault="00684C80" w:rsidP="00FA439B">
            <w:pPr>
              <w:spacing w:before="0" w:after="0"/>
              <w:jc w:val="center"/>
              <w:rPr>
                <w:rFonts w:eastAsia="Times New Roman" w:cs="Times New Roman"/>
                <w:sz w:val="20"/>
                <w:szCs w:val="20"/>
                <w:lang w:val="sr-Latn-RS" w:eastAsia="sr-Latn-RS"/>
              </w:rPr>
            </w:pPr>
            <w:r w:rsidRPr="00FA439B">
              <w:rPr>
                <w:rFonts w:eastAsia="Times New Roman" w:cs="Times New Roman"/>
                <w:sz w:val="20"/>
                <w:szCs w:val="20"/>
                <w:lang w:val="sr-Latn-RS" w:eastAsia="sr-Latn-RS"/>
              </w:rPr>
              <w:t>0.00</w:t>
            </w:r>
          </w:p>
        </w:tc>
        <w:tc>
          <w:tcPr>
            <w:tcW w:w="734" w:type="pct"/>
            <w:tcBorders>
              <w:top w:val="nil"/>
              <w:left w:val="nil"/>
              <w:bottom w:val="nil"/>
              <w:right w:val="nil"/>
            </w:tcBorders>
            <w:shd w:val="clear" w:color="auto" w:fill="auto"/>
            <w:noWrap/>
            <w:vAlign w:val="center"/>
            <w:hideMark/>
          </w:tcPr>
          <w:p w14:paraId="6C3109AE" w14:textId="77777777" w:rsidR="00684C80" w:rsidRPr="00FA439B" w:rsidRDefault="00684C80" w:rsidP="00FA439B">
            <w:pPr>
              <w:spacing w:before="0" w:after="0"/>
              <w:jc w:val="center"/>
              <w:rPr>
                <w:rFonts w:eastAsia="Times New Roman" w:cs="Times New Roman"/>
                <w:sz w:val="20"/>
                <w:szCs w:val="20"/>
                <w:lang w:val="sr-Latn-RS" w:eastAsia="sr-Latn-RS"/>
              </w:rPr>
            </w:pPr>
            <w:r w:rsidRPr="00FA439B">
              <w:rPr>
                <w:rFonts w:eastAsia="Times New Roman" w:cs="Times New Roman"/>
                <w:sz w:val="20"/>
                <w:szCs w:val="20"/>
                <w:lang w:val="sr-Latn-RS" w:eastAsia="sr-Latn-RS"/>
              </w:rPr>
              <w:t>1.02</w:t>
            </w:r>
          </w:p>
        </w:tc>
        <w:tc>
          <w:tcPr>
            <w:tcW w:w="466" w:type="pct"/>
            <w:tcBorders>
              <w:top w:val="nil"/>
              <w:left w:val="nil"/>
              <w:bottom w:val="nil"/>
              <w:right w:val="nil"/>
            </w:tcBorders>
            <w:shd w:val="clear" w:color="auto" w:fill="auto"/>
            <w:noWrap/>
            <w:vAlign w:val="center"/>
            <w:hideMark/>
          </w:tcPr>
          <w:p w14:paraId="304D5677" w14:textId="77777777" w:rsidR="00684C80" w:rsidRPr="00FA439B" w:rsidRDefault="00684C80" w:rsidP="00FA439B">
            <w:pPr>
              <w:spacing w:before="0" w:after="0"/>
              <w:jc w:val="center"/>
              <w:rPr>
                <w:rFonts w:eastAsia="Times New Roman" w:cs="Times New Roman"/>
                <w:sz w:val="20"/>
                <w:szCs w:val="20"/>
                <w:lang w:val="sr-Latn-RS" w:eastAsia="sr-Latn-RS"/>
              </w:rPr>
            </w:pPr>
            <w:r w:rsidRPr="00FA439B">
              <w:rPr>
                <w:rFonts w:eastAsia="Times New Roman" w:cs="Times New Roman"/>
                <w:sz w:val="20"/>
                <w:szCs w:val="20"/>
                <w:lang w:val="sr-Latn-RS" w:eastAsia="sr-Latn-RS"/>
              </w:rPr>
              <w:t>1.00</w:t>
            </w:r>
          </w:p>
        </w:tc>
        <w:tc>
          <w:tcPr>
            <w:tcW w:w="803" w:type="pct"/>
            <w:tcBorders>
              <w:top w:val="nil"/>
              <w:left w:val="nil"/>
              <w:bottom w:val="nil"/>
              <w:right w:val="nil"/>
            </w:tcBorders>
            <w:shd w:val="clear" w:color="auto" w:fill="auto"/>
            <w:noWrap/>
            <w:vAlign w:val="center"/>
            <w:hideMark/>
          </w:tcPr>
          <w:p w14:paraId="21FAEF9F" w14:textId="77777777" w:rsidR="00684C80" w:rsidRPr="00FA439B" w:rsidRDefault="00684C80" w:rsidP="00FA439B">
            <w:pPr>
              <w:spacing w:before="0" w:after="0"/>
              <w:jc w:val="center"/>
              <w:rPr>
                <w:rFonts w:eastAsia="Times New Roman" w:cs="Times New Roman"/>
                <w:sz w:val="20"/>
                <w:szCs w:val="20"/>
                <w:lang w:val="sr-Latn-RS" w:eastAsia="sr-Latn-RS"/>
              </w:rPr>
            </w:pPr>
            <w:r w:rsidRPr="00FA439B">
              <w:rPr>
                <w:rFonts w:eastAsia="Times New Roman" w:cs="Times New Roman"/>
                <w:sz w:val="20"/>
                <w:szCs w:val="20"/>
                <w:lang w:val="sr-Latn-RS" w:eastAsia="sr-Latn-RS"/>
              </w:rPr>
              <w:t>0.00</w:t>
            </w:r>
          </w:p>
        </w:tc>
        <w:tc>
          <w:tcPr>
            <w:tcW w:w="533" w:type="pct"/>
            <w:tcBorders>
              <w:top w:val="nil"/>
              <w:left w:val="nil"/>
              <w:bottom w:val="nil"/>
              <w:right w:val="nil"/>
            </w:tcBorders>
            <w:shd w:val="clear" w:color="auto" w:fill="auto"/>
            <w:noWrap/>
            <w:vAlign w:val="center"/>
            <w:hideMark/>
          </w:tcPr>
          <w:p w14:paraId="32C758D1" w14:textId="272473E5" w:rsidR="00684C80" w:rsidRPr="00FA439B" w:rsidRDefault="00684C80" w:rsidP="00FA439B">
            <w:pPr>
              <w:spacing w:before="0" w:after="0"/>
              <w:jc w:val="center"/>
              <w:rPr>
                <w:rFonts w:eastAsia="Times New Roman" w:cs="Times New Roman"/>
                <w:sz w:val="20"/>
                <w:szCs w:val="20"/>
                <w:lang w:val="sr-Latn-RS" w:eastAsia="sr-Latn-RS"/>
              </w:rPr>
            </w:pPr>
            <w:r>
              <w:rPr>
                <w:rFonts w:eastAsia="Times New Roman" w:cs="Times New Roman"/>
                <w:sz w:val="20"/>
                <w:szCs w:val="20"/>
                <w:lang w:val="sr-Latn-RS" w:eastAsia="sr-Latn-RS"/>
              </w:rPr>
              <w:t>0</w:t>
            </w:r>
          </w:p>
        </w:tc>
        <w:tc>
          <w:tcPr>
            <w:tcW w:w="535" w:type="pct"/>
            <w:tcBorders>
              <w:top w:val="nil"/>
              <w:left w:val="nil"/>
              <w:bottom w:val="nil"/>
              <w:right w:val="nil"/>
            </w:tcBorders>
            <w:shd w:val="clear" w:color="auto" w:fill="auto"/>
            <w:noWrap/>
            <w:vAlign w:val="center"/>
            <w:hideMark/>
          </w:tcPr>
          <w:p w14:paraId="24A70A4B" w14:textId="4B789DDC" w:rsidR="00684C80" w:rsidRPr="00FA439B" w:rsidRDefault="00684C80" w:rsidP="00FA439B">
            <w:pPr>
              <w:spacing w:before="0" w:after="0"/>
              <w:jc w:val="center"/>
              <w:rPr>
                <w:rFonts w:eastAsia="Times New Roman" w:cs="Times New Roman"/>
                <w:sz w:val="20"/>
                <w:szCs w:val="20"/>
                <w:lang w:val="sr-Latn-RS" w:eastAsia="sr-Latn-RS"/>
              </w:rPr>
            </w:pPr>
            <w:r>
              <w:rPr>
                <w:rFonts w:eastAsia="Times New Roman" w:cs="Times New Roman"/>
                <w:sz w:val="20"/>
                <w:szCs w:val="20"/>
                <w:lang w:val="sr-Latn-RS" w:eastAsia="sr-Latn-RS"/>
              </w:rPr>
              <w:t>0</w:t>
            </w:r>
          </w:p>
        </w:tc>
      </w:tr>
      <w:tr w:rsidR="00684C80" w:rsidRPr="00FA439B" w14:paraId="67B2222D" w14:textId="77777777" w:rsidTr="00EB3D82">
        <w:trPr>
          <w:trHeight w:val="255"/>
        </w:trPr>
        <w:tc>
          <w:tcPr>
            <w:tcW w:w="401" w:type="pct"/>
            <w:tcBorders>
              <w:top w:val="nil"/>
              <w:left w:val="nil"/>
              <w:bottom w:val="nil"/>
              <w:right w:val="nil"/>
            </w:tcBorders>
            <w:shd w:val="clear" w:color="auto" w:fill="auto"/>
            <w:noWrap/>
            <w:vAlign w:val="center"/>
            <w:hideMark/>
          </w:tcPr>
          <w:p w14:paraId="102EB2F1" w14:textId="77777777" w:rsidR="00684C80" w:rsidRPr="00FA439B" w:rsidRDefault="00684C80" w:rsidP="00FA439B">
            <w:pPr>
              <w:spacing w:before="0" w:after="0"/>
              <w:jc w:val="center"/>
              <w:rPr>
                <w:rFonts w:eastAsia="Times New Roman" w:cs="Times New Roman"/>
                <w:sz w:val="20"/>
                <w:szCs w:val="20"/>
                <w:lang w:val="sr-Latn-RS" w:eastAsia="sr-Latn-RS"/>
              </w:rPr>
            </w:pPr>
            <w:r w:rsidRPr="00FA439B">
              <w:rPr>
                <w:rFonts w:eastAsia="Times New Roman" w:cs="Times New Roman"/>
                <w:sz w:val="20"/>
                <w:szCs w:val="20"/>
                <w:lang w:val="sr-Latn-RS" w:eastAsia="sr-Latn-RS"/>
              </w:rPr>
              <w:t>2</w:t>
            </w:r>
          </w:p>
        </w:tc>
        <w:tc>
          <w:tcPr>
            <w:tcW w:w="659" w:type="pct"/>
            <w:tcBorders>
              <w:top w:val="nil"/>
              <w:left w:val="nil"/>
              <w:bottom w:val="nil"/>
              <w:right w:val="nil"/>
            </w:tcBorders>
            <w:shd w:val="clear" w:color="auto" w:fill="auto"/>
            <w:noWrap/>
            <w:vAlign w:val="center"/>
            <w:hideMark/>
          </w:tcPr>
          <w:p w14:paraId="390E5441" w14:textId="77777777" w:rsidR="00684C80" w:rsidRPr="00FA439B" w:rsidRDefault="00684C80" w:rsidP="00FA439B">
            <w:pPr>
              <w:spacing w:before="0" w:after="0"/>
              <w:jc w:val="center"/>
              <w:rPr>
                <w:rFonts w:eastAsia="Times New Roman" w:cs="Times New Roman"/>
                <w:sz w:val="20"/>
                <w:szCs w:val="20"/>
                <w:lang w:val="sr-Latn-RS" w:eastAsia="sr-Latn-RS"/>
              </w:rPr>
            </w:pPr>
            <w:r w:rsidRPr="00FA439B">
              <w:rPr>
                <w:rFonts w:eastAsia="Times New Roman" w:cs="Times New Roman"/>
                <w:sz w:val="20"/>
                <w:szCs w:val="20"/>
                <w:lang w:val="sr-Latn-RS" w:eastAsia="sr-Latn-RS"/>
              </w:rPr>
              <w:t>73.45</w:t>
            </w:r>
          </w:p>
        </w:tc>
        <w:tc>
          <w:tcPr>
            <w:tcW w:w="869" w:type="pct"/>
            <w:tcBorders>
              <w:top w:val="nil"/>
              <w:left w:val="nil"/>
              <w:bottom w:val="nil"/>
              <w:right w:val="nil"/>
            </w:tcBorders>
            <w:shd w:val="clear" w:color="auto" w:fill="auto"/>
            <w:noWrap/>
            <w:vAlign w:val="center"/>
            <w:hideMark/>
          </w:tcPr>
          <w:p w14:paraId="75C32544" w14:textId="77777777" w:rsidR="00684C80" w:rsidRPr="00FA439B" w:rsidRDefault="00684C80" w:rsidP="00FA439B">
            <w:pPr>
              <w:spacing w:before="0" w:after="0"/>
              <w:jc w:val="center"/>
              <w:rPr>
                <w:rFonts w:eastAsia="Times New Roman" w:cs="Times New Roman"/>
                <w:sz w:val="20"/>
                <w:szCs w:val="20"/>
                <w:lang w:val="sr-Latn-RS" w:eastAsia="sr-Latn-RS"/>
              </w:rPr>
            </w:pPr>
            <w:r w:rsidRPr="00FA439B">
              <w:rPr>
                <w:rFonts w:eastAsia="Times New Roman" w:cs="Times New Roman"/>
                <w:sz w:val="20"/>
                <w:szCs w:val="20"/>
                <w:lang w:val="sr-Latn-RS" w:eastAsia="sr-Latn-RS"/>
              </w:rPr>
              <w:t>0.00</w:t>
            </w:r>
          </w:p>
        </w:tc>
        <w:tc>
          <w:tcPr>
            <w:tcW w:w="734" w:type="pct"/>
            <w:tcBorders>
              <w:top w:val="nil"/>
              <w:left w:val="nil"/>
              <w:bottom w:val="nil"/>
              <w:right w:val="nil"/>
            </w:tcBorders>
            <w:shd w:val="clear" w:color="auto" w:fill="auto"/>
            <w:noWrap/>
            <w:vAlign w:val="center"/>
            <w:hideMark/>
          </w:tcPr>
          <w:p w14:paraId="5A7991DF" w14:textId="77777777" w:rsidR="00684C80" w:rsidRPr="00FA439B" w:rsidRDefault="00684C80" w:rsidP="00FA439B">
            <w:pPr>
              <w:spacing w:before="0" w:after="0"/>
              <w:jc w:val="center"/>
              <w:rPr>
                <w:rFonts w:eastAsia="Times New Roman" w:cs="Times New Roman"/>
                <w:sz w:val="20"/>
                <w:szCs w:val="20"/>
                <w:lang w:val="sr-Latn-RS" w:eastAsia="sr-Latn-RS"/>
              </w:rPr>
            </w:pPr>
            <w:r w:rsidRPr="00FA439B">
              <w:rPr>
                <w:rFonts w:eastAsia="Times New Roman" w:cs="Times New Roman"/>
                <w:sz w:val="20"/>
                <w:szCs w:val="20"/>
                <w:lang w:val="sr-Latn-RS" w:eastAsia="sr-Latn-RS"/>
              </w:rPr>
              <w:t>0.90</w:t>
            </w:r>
          </w:p>
        </w:tc>
        <w:tc>
          <w:tcPr>
            <w:tcW w:w="466" w:type="pct"/>
            <w:tcBorders>
              <w:top w:val="nil"/>
              <w:left w:val="nil"/>
              <w:bottom w:val="nil"/>
              <w:right w:val="nil"/>
            </w:tcBorders>
            <w:shd w:val="clear" w:color="auto" w:fill="auto"/>
            <w:noWrap/>
            <w:vAlign w:val="center"/>
            <w:hideMark/>
          </w:tcPr>
          <w:p w14:paraId="04DDEEB5" w14:textId="77777777" w:rsidR="00684C80" w:rsidRPr="00FA439B" w:rsidRDefault="00684C80" w:rsidP="00FA439B">
            <w:pPr>
              <w:spacing w:before="0" w:after="0"/>
              <w:jc w:val="center"/>
              <w:rPr>
                <w:rFonts w:eastAsia="Times New Roman" w:cs="Times New Roman"/>
                <w:sz w:val="20"/>
                <w:szCs w:val="20"/>
                <w:lang w:val="sr-Latn-RS" w:eastAsia="sr-Latn-RS"/>
              </w:rPr>
            </w:pPr>
            <w:r w:rsidRPr="00FA439B">
              <w:rPr>
                <w:rFonts w:eastAsia="Times New Roman" w:cs="Times New Roman"/>
                <w:sz w:val="20"/>
                <w:szCs w:val="20"/>
                <w:lang w:val="sr-Latn-RS" w:eastAsia="sr-Latn-RS"/>
              </w:rPr>
              <w:t>1.00</w:t>
            </w:r>
          </w:p>
        </w:tc>
        <w:tc>
          <w:tcPr>
            <w:tcW w:w="803" w:type="pct"/>
            <w:tcBorders>
              <w:top w:val="nil"/>
              <w:left w:val="nil"/>
              <w:bottom w:val="nil"/>
              <w:right w:val="nil"/>
            </w:tcBorders>
            <w:shd w:val="clear" w:color="auto" w:fill="auto"/>
            <w:noWrap/>
            <w:vAlign w:val="center"/>
            <w:hideMark/>
          </w:tcPr>
          <w:p w14:paraId="511B4F4C" w14:textId="77777777" w:rsidR="00684C80" w:rsidRPr="00FA439B" w:rsidRDefault="00684C80" w:rsidP="00FA439B">
            <w:pPr>
              <w:spacing w:before="0" w:after="0"/>
              <w:jc w:val="center"/>
              <w:rPr>
                <w:rFonts w:eastAsia="Times New Roman" w:cs="Times New Roman"/>
                <w:sz w:val="20"/>
                <w:szCs w:val="20"/>
                <w:lang w:val="sr-Latn-RS" w:eastAsia="sr-Latn-RS"/>
              </w:rPr>
            </w:pPr>
            <w:r w:rsidRPr="00FA439B">
              <w:rPr>
                <w:rFonts w:eastAsia="Times New Roman" w:cs="Times New Roman"/>
                <w:sz w:val="20"/>
                <w:szCs w:val="20"/>
                <w:lang w:val="sr-Latn-RS" w:eastAsia="sr-Latn-RS"/>
              </w:rPr>
              <w:t>0.01</w:t>
            </w:r>
          </w:p>
        </w:tc>
        <w:tc>
          <w:tcPr>
            <w:tcW w:w="533" w:type="pct"/>
            <w:tcBorders>
              <w:top w:val="nil"/>
              <w:left w:val="nil"/>
              <w:bottom w:val="nil"/>
              <w:right w:val="nil"/>
            </w:tcBorders>
            <w:shd w:val="clear" w:color="auto" w:fill="auto"/>
            <w:noWrap/>
            <w:hideMark/>
          </w:tcPr>
          <w:p w14:paraId="1FBE03A2" w14:textId="001D4483" w:rsidR="00684C80" w:rsidRPr="00FA439B" w:rsidRDefault="00684C80" w:rsidP="00FA439B">
            <w:pPr>
              <w:spacing w:before="0" w:after="0"/>
              <w:jc w:val="center"/>
              <w:rPr>
                <w:rFonts w:eastAsia="Times New Roman" w:cs="Times New Roman"/>
                <w:sz w:val="20"/>
                <w:szCs w:val="20"/>
                <w:lang w:val="sr-Latn-RS" w:eastAsia="sr-Latn-RS"/>
              </w:rPr>
            </w:pPr>
            <w:r w:rsidRPr="00BC5DC2">
              <w:rPr>
                <w:rFonts w:eastAsia="Times New Roman" w:cs="Times New Roman"/>
                <w:sz w:val="20"/>
                <w:szCs w:val="20"/>
                <w:lang w:val="sr-Latn-RS" w:eastAsia="sr-Latn-RS"/>
              </w:rPr>
              <w:t>0</w:t>
            </w:r>
          </w:p>
        </w:tc>
        <w:tc>
          <w:tcPr>
            <w:tcW w:w="535" w:type="pct"/>
            <w:tcBorders>
              <w:top w:val="nil"/>
              <w:left w:val="nil"/>
              <w:bottom w:val="nil"/>
              <w:right w:val="nil"/>
            </w:tcBorders>
            <w:shd w:val="clear" w:color="auto" w:fill="auto"/>
            <w:noWrap/>
            <w:hideMark/>
          </w:tcPr>
          <w:p w14:paraId="579E1C57" w14:textId="7234608C" w:rsidR="00684C80" w:rsidRPr="00FA439B" w:rsidRDefault="00684C80" w:rsidP="00FA439B">
            <w:pPr>
              <w:spacing w:before="0" w:after="0"/>
              <w:jc w:val="center"/>
              <w:rPr>
                <w:rFonts w:eastAsia="Times New Roman" w:cs="Times New Roman"/>
                <w:sz w:val="20"/>
                <w:szCs w:val="20"/>
                <w:lang w:val="sr-Latn-RS" w:eastAsia="sr-Latn-RS"/>
              </w:rPr>
            </w:pPr>
            <w:r w:rsidRPr="00033503">
              <w:rPr>
                <w:rFonts w:eastAsia="Times New Roman" w:cs="Times New Roman"/>
                <w:sz w:val="20"/>
                <w:szCs w:val="20"/>
                <w:lang w:val="sr-Latn-RS" w:eastAsia="sr-Latn-RS"/>
              </w:rPr>
              <w:t>0</w:t>
            </w:r>
          </w:p>
        </w:tc>
      </w:tr>
      <w:tr w:rsidR="00EB3D82" w:rsidRPr="00FA439B" w14:paraId="5D81A8CF" w14:textId="77777777" w:rsidTr="00EB3D82">
        <w:trPr>
          <w:trHeight w:val="255"/>
        </w:trPr>
        <w:tc>
          <w:tcPr>
            <w:tcW w:w="5000" w:type="pct"/>
            <w:gridSpan w:val="8"/>
            <w:tcBorders>
              <w:top w:val="nil"/>
              <w:left w:val="nil"/>
              <w:bottom w:val="nil"/>
              <w:right w:val="nil"/>
            </w:tcBorders>
            <w:shd w:val="clear" w:color="auto" w:fill="auto"/>
            <w:noWrap/>
            <w:vAlign w:val="center"/>
          </w:tcPr>
          <w:p w14:paraId="1E7083EC" w14:textId="6A332CB6" w:rsidR="00EB3D82" w:rsidRPr="00033503" w:rsidRDefault="00EB3D82" w:rsidP="00FA439B">
            <w:pPr>
              <w:spacing w:before="0" w:after="0"/>
              <w:jc w:val="center"/>
              <w:rPr>
                <w:rFonts w:eastAsia="Times New Roman" w:cs="Times New Roman"/>
                <w:sz w:val="20"/>
                <w:szCs w:val="20"/>
                <w:lang w:val="sr-Latn-RS" w:eastAsia="sr-Latn-RS"/>
              </w:rPr>
            </w:pPr>
            <w:r>
              <w:rPr>
                <w:rFonts w:eastAsia="Times New Roman" w:cs="Times New Roman"/>
                <w:sz w:val="20"/>
                <w:szCs w:val="20"/>
                <w:lang w:val="sr-Latn-RS" w:eastAsia="sr-Latn-RS"/>
              </w:rPr>
              <w:t xml:space="preserve">... </w:t>
            </w:r>
          </w:p>
        </w:tc>
      </w:tr>
      <w:tr w:rsidR="00684C80" w:rsidRPr="00FA439B" w14:paraId="75458428" w14:textId="77777777" w:rsidTr="00EB3D82">
        <w:trPr>
          <w:trHeight w:val="255"/>
        </w:trPr>
        <w:tc>
          <w:tcPr>
            <w:tcW w:w="401" w:type="pct"/>
            <w:tcBorders>
              <w:top w:val="nil"/>
              <w:left w:val="nil"/>
              <w:bottom w:val="nil"/>
              <w:right w:val="nil"/>
            </w:tcBorders>
            <w:shd w:val="clear" w:color="auto" w:fill="auto"/>
            <w:noWrap/>
            <w:vAlign w:val="center"/>
          </w:tcPr>
          <w:p w14:paraId="768CD6D1" w14:textId="77777777" w:rsidR="00684C80" w:rsidRPr="00FA439B" w:rsidRDefault="00684C80" w:rsidP="00FA439B">
            <w:pPr>
              <w:spacing w:before="0" w:after="0"/>
              <w:jc w:val="center"/>
              <w:rPr>
                <w:rFonts w:eastAsia="Times New Roman" w:cs="Times New Roman"/>
                <w:sz w:val="20"/>
                <w:szCs w:val="20"/>
                <w:lang w:val="sr-Latn-RS" w:eastAsia="sr-Latn-RS"/>
              </w:rPr>
            </w:pPr>
            <w:r w:rsidRPr="00FA439B">
              <w:rPr>
                <w:rFonts w:eastAsia="Times New Roman" w:cs="Times New Roman"/>
                <w:sz w:val="20"/>
                <w:szCs w:val="20"/>
                <w:lang w:val="sr-Latn-RS" w:eastAsia="sr-Latn-RS"/>
              </w:rPr>
              <w:t>150</w:t>
            </w:r>
          </w:p>
        </w:tc>
        <w:tc>
          <w:tcPr>
            <w:tcW w:w="659" w:type="pct"/>
            <w:tcBorders>
              <w:top w:val="nil"/>
              <w:left w:val="nil"/>
              <w:bottom w:val="nil"/>
              <w:right w:val="nil"/>
            </w:tcBorders>
            <w:shd w:val="clear" w:color="auto" w:fill="auto"/>
            <w:noWrap/>
            <w:vAlign w:val="center"/>
          </w:tcPr>
          <w:p w14:paraId="484B23E7" w14:textId="77777777" w:rsidR="00684C80" w:rsidRPr="00FA439B" w:rsidRDefault="00684C80" w:rsidP="00FA439B">
            <w:pPr>
              <w:spacing w:before="0" w:after="0"/>
              <w:jc w:val="center"/>
              <w:rPr>
                <w:rFonts w:eastAsia="Times New Roman" w:cs="Times New Roman"/>
                <w:sz w:val="20"/>
                <w:szCs w:val="20"/>
                <w:lang w:val="sr-Latn-RS" w:eastAsia="sr-Latn-RS"/>
              </w:rPr>
            </w:pPr>
            <w:r w:rsidRPr="00FA439B">
              <w:rPr>
                <w:rFonts w:eastAsia="Times New Roman" w:cs="Times New Roman"/>
                <w:sz w:val="20"/>
                <w:szCs w:val="20"/>
                <w:lang w:val="sr-Latn-RS" w:eastAsia="sr-Latn-RS"/>
              </w:rPr>
              <w:t>107.18</w:t>
            </w:r>
          </w:p>
        </w:tc>
        <w:tc>
          <w:tcPr>
            <w:tcW w:w="869" w:type="pct"/>
            <w:tcBorders>
              <w:top w:val="nil"/>
              <w:left w:val="nil"/>
              <w:bottom w:val="nil"/>
              <w:right w:val="nil"/>
            </w:tcBorders>
            <w:shd w:val="clear" w:color="auto" w:fill="auto"/>
            <w:noWrap/>
            <w:vAlign w:val="center"/>
          </w:tcPr>
          <w:p w14:paraId="05AD3415" w14:textId="77777777" w:rsidR="00684C80" w:rsidRPr="00FA439B" w:rsidRDefault="00684C80" w:rsidP="00FA439B">
            <w:pPr>
              <w:spacing w:before="0" w:after="0"/>
              <w:jc w:val="center"/>
              <w:rPr>
                <w:rFonts w:eastAsia="Times New Roman" w:cs="Times New Roman"/>
                <w:sz w:val="20"/>
                <w:szCs w:val="20"/>
                <w:lang w:val="sr-Latn-RS" w:eastAsia="sr-Latn-RS"/>
              </w:rPr>
            </w:pPr>
            <w:r w:rsidRPr="00FA439B">
              <w:rPr>
                <w:rFonts w:eastAsia="Times New Roman" w:cs="Times New Roman"/>
                <w:sz w:val="20"/>
                <w:szCs w:val="20"/>
                <w:lang w:val="sr-Latn-RS" w:eastAsia="sr-Latn-RS"/>
              </w:rPr>
              <w:t>100.00</w:t>
            </w:r>
          </w:p>
        </w:tc>
        <w:tc>
          <w:tcPr>
            <w:tcW w:w="734" w:type="pct"/>
            <w:tcBorders>
              <w:top w:val="nil"/>
              <w:left w:val="nil"/>
              <w:bottom w:val="nil"/>
              <w:right w:val="nil"/>
            </w:tcBorders>
            <w:shd w:val="clear" w:color="auto" w:fill="auto"/>
            <w:noWrap/>
            <w:vAlign w:val="center"/>
          </w:tcPr>
          <w:p w14:paraId="60B3B0F7" w14:textId="77777777" w:rsidR="00684C80" w:rsidRPr="00FA439B" w:rsidRDefault="00684C80" w:rsidP="00FA439B">
            <w:pPr>
              <w:spacing w:before="0" w:after="0"/>
              <w:jc w:val="center"/>
              <w:rPr>
                <w:rFonts w:eastAsia="Times New Roman" w:cs="Times New Roman"/>
                <w:sz w:val="20"/>
                <w:szCs w:val="20"/>
                <w:lang w:val="sr-Latn-RS" w:eastAsia="sr-Latn-RS"/>
              </w:rPr>
            </w:pPr>
            <w:r w:rsidRPr="00FA439B">
              <w:rPr>
                <w:rFonts w:eastAsia="Times New Roman" w:cs="Times New Roman"/>
                <w:sz w:val="20"/>
                <w:szCs w:val="20"/>
                <w:lang w:val="sr-Latn-RS" w:eastAsia="sr-Latn-RS"/>
              </w:rPr>
              <w:t>77.97</w:t>
            </w:r>
          </w:p>
        </w:tc>
        <w:tc>
          <w:tcPr>
            <w:tcW w:w="466" w:type="pct"/>
            <w:tcBorders>
              <w:top w:val="nil"/>
              <w:left w:val="nil"/>
              <w:bottom w:val="nil"/>
              <w:right w:val="nil"/>
            </w:tcBorders>
            <w:shd w:val="clear" w:color="auto" w:fill="auto"/>
            <w:noWrap/>
            <w:vAlign w:val="center"/>
          </w:tcPr>
          <w:p w14:paraId="6898DB6E" w14:textId="77777777" w:rsidR="00684C80" w:rsidRPr="00FA439B" w:rsidRDefault="00684C80" w:rsidP="00FA439B">
            <w:pPr>
              <w:spacing w:before="0" w:after="0"/>
              <w:jc w:val="center"/>
              <w:rPr>
                <w:rFonts w:eastAsia="Times New Roman" w:cs="Times New Roman"/>
                <w:sz w:val="20"/>
                <w:szCs w:val="20"/>
                <w:lang w:val="sr-Latn-RS" w:eastAsia="sr-Latn-RS"/>
              </w:rPr>
            </w:pPr>
            <w:r w:rsidRPr="00FA439B">
              <w:rPr>
                <w:rFonts w:eastAsia="Times New Roman" w:cs="Times New Roman"/>
                <w:sz w:val="20"/>
                <w:szCs w:val="20"/>
                <w:lang w:val="sr-Latn-RS" w:eastAsia="sr-Latn-RS"/>
              </w:rPr>
              <w:t>9.00</w:t>
            </w:r>
          </w:p>
        </w:tc>
        <w:tc>
          <w:tcPr>
            <w:tcW w:w="803" w:type="pct"/>
            <w:tcBorders>
              <w:top w:val="nil"/>
              <w:left w:val="nil"/>
              <w:bottom w:val="nil"/>
              <w:right w:val="nil"/>
            </w:tcBorders>
            <w:shd w:val="clear" w:color="auto" w:fill="auto"/>
            <w:noWrap/>
            <w:vAlign w:val="center"/>
          </w:tcPr>
          <w:p w14:paraId="4B26F3C9" w14:textId="77777777" w:rsidR="00684C80" w:rsidRPr="00FA439B" w:rsidRDefault="00684C80" w:rsidP="00FA439B">
            <w:pPr>
              <w:spacing w:before="0" w:after="0"/>
              <w:jc w:val="center"/>
              <w:rPr>
                <w:rFonts w:eastAsia="Times New Roman" w:cs="Times New Roman"/>
                <w:sz w:val="20"/>
                <w:szCs w:val="20"/>
                <w:lang w:val="sr-Latn-RS" w:eastAsia="sr-Latn-RS"/>
              </w:rPr>
            </w:pPr>
            <w:r w:rsidRPr="00FA439B">
              <w:rPr>
                <w:rFonts w:eastAsia="Times New Roman" w:cs="Times New Roman"/>
                <w:sz w:val="20"/>
                <w:szCs w:val="20"/>
                <w:lang w:val="sr-Latn-RS" w:eastAsia="sr-Latn-RS"/>
              </w:rPr>
              <w:t>16.11</w:t>
            </w:r>
          </w:p>
        </w:tc>
        <w:tc>
          <w:tcPr>
            <w:tcW w:w="533" w:type="pct"/>
            <w:tcBorders>
              <w:top w:val="nil"/>
              <w:left w:val="nil"/>
              <w:bottom w:val="nil"/>
              <w:right w:val="nil"/>
            </w:tcBorders>
            <w:shd w:val="clear" w:color="auto" w:fill="auto"/>
            <w:noWrap/>
          </w:tcPr>
          <w:p w14:paraId="30634448" w14:textId="77777777" w:rsidR="00684C80" w:rsidRPr="00FA439B" w:rsidRDefault="00684C80" w:rsidP="00FA439B">
            <w:pPr>
              <w:spacing w:before="0" w:after="0"/>
              <w:jc w:val="center"/>
              <w:rPr>
                <w:rFonts w:eastAsia="Times New Roman" w:cs="Times New Roman"/>
                <w:sz w:val="20"/>
                <w:szCs w:val="20"/>
                <w:lang w:val="sr-Latn-RS" w:eastAsia="sr-Latn-RS"/>
              </w:rPr>
            </w:pPr>
            <w:r w:rsidRPr="00FA439B">
              <w:rPr>
                <w:rFonts w:eastAsia="Times New Roman" w:cs="Times New Roman"/>
                <w:sz w:val="20"/>
                <w:szCs w:val="20"/>
                <w:lang w:val="sr-Latn-RS" w:eastAsia="sr-Latn-RS"/>
              </w:rPr>
              <w:t>1.00</w:t>
            </w:r>
          </w:p>
        </w:tc>
        <w:tc>
          <w:tcPr>
            <w:tcW w:w="535" w:type="pct"/>
            <w:tcBorders>
              <w:top w:val="nil"/>
              <w:left w:val="nil"/>
              <w:bottom w:val="nil"/>
              <w:right w:val="nil"/>
            </w:tcBorders>
            <w:shd w:val="clear" w:color="auto" w:fill="auto"/>
            <w:noWrap/>
          </w:tcPr>
          <w:p w14:paraId="6B3F44F6" w14:textId="6BDF615E" w:rsidR="00684C80" w:rsidRPr="00FA439B" w:rsidRDefault="00684C80" w:rsidP="00FA439B">
            <w:pPr>
              <w:spacing w:before="0" w:after="0"/>
              <w:jc w:val="center"/>
              <w:rPr>
                <w:rFonts w:eastAsia="Times New Roman" w:cs="Times New Roman"/>
                <w:sz w:val="20"/>
                <w:szCs w:val="20"/>
                <w:lang w:val="sr-Latn-RS" w:eastAsia="sr-Latn-RS"/>
              </w:rPr>
            </w:pPr>
            <w:r w:rsidRPr="003E32AF">
              <w:rPr>
                <w:rFonts w:eastAsia="Times New Roman" w:cs="Times New Roman"/>
                <w:sz w:val="20"/>
                <w:szCs w:val="20"/>
                <w:lang w:val="sr-Latn-RS" w:eastAsia="sr-Latn-RS"/>
              </w:rPr>
              <w:t>0</w:t>
            </w:r>
          </w:p>
        </w:tc>
      </w:tr>
      <w:tr w:rsidR="00684C80" w:rsidRPr="00FA439B" w14:paraId="43E58253" w14:textId="77777777" w:rsidTr="00EB3D82">
        <w:trPr>
          <w:trHeight w:val="255"/>
        </w:trPr>
        <w:tc>
          <w:tcPr>
            <w:tcW w:w="401" w:type="pct"/>
            <w:tcBorders>
              <w:top w:val="nil"/>
              <w:left w:val="nil"/>
              <w:bottom w:val="single" w:sz="4" w:space="0" w:color="auto"/>
              <w:right w:val="nil"/>
            </w:tcBorders>
            <w:shd w:val="clear" w:color="auto" w:fill="auto"/>
            <w:noWrap/>
            <w:vAlign w:val="center"/>
          </w:tcPr>
          <w:p w14:paraId="06EBD6DD" w14:textId="77777777" w:rsidR="00684C80" w:rsidRPr="00FA439B" w:rsidRDefault="00684C80" w:rsidP="00FA439B">
            <w:pPr>
              <w:spacing w:before="0" w:after="0"/>
              <w:jc w:val="center"/>
              <w:rPr>
                <w:rFonts w:eastAsia="Times New Roman" w:cs="Times New Roman"/>
                <w:sz w:val="20"/>
                <w:szCs w:val="20"/>
                <w:lang w:val="sr-Latn-RS" w:eastAsia="sr-Latn-RS"/>
              </w:rPr>
            </w:pPr>
            <w:r w:rsidRPr="00FA439B">
              <w:rPr>
                <w:rFonts w:eastAsia="Times New Roman" w:cs="Times New Roman"/>
                <w:sz w:val="20"/>
                <w:szCs w:val="20"/>
                <w:lang w:val="sr-Latn-RS" w:eastAsia="sr-Latn-RS"/>
              </w:rPr>
              <w:t>151</w:t>
            </w:r>
          </w:p>
        </w:tc>
        <w:tc>
          <w:tcPr>
            <w:tcW w:w="659" w:type="pct"/>
            <w:tcBorders>
              <w:top w:val="nil"/>
              <w:left w:val="nil"/>
              <w:bottom w:val="single" w:sz="4" w:space="0" w:color="auto"/>
              <w:right w:val="nil"/>
            </w:tcBorders>
            <w:shd w:val="clear" w:color="auto" w:fill="auto"/>
            <w:noWrap/>
            <w:vAlign w:val="center"/>
          </w:tcPr>
          <w:p w14:paraId="7F3FEF06" w14:textId="77777777" w:rsidR="00684C80" w:rsidRPr="00FA439B" w:rsidRDefault="00684C80" w:rsidP="00FA439B">
            <w:pPr>
              <w:spacing w:before="0" w:after="0"/>
              <w:jc w:val="center"/>
              <w:rPr>
                <w:rFonts w:eastAsia="Times New Roman" w:cs="Times New Roman"/>
                <w:sz w:val="20"/>
                <w:szCs w:val="20"/>
                <w:lang w:val="sr-Latn-RS" w:eastAsia="sr-Latn-RS"/>
              </w:rPr>
            </w:pPr>
            <w:r w:rsidRPr="00FA439B">
              <w:rPr>
                <w:rFonts w:eastAsia="Times New Roman" w:cs="Times New Roman"/>
                <w:sz w:val="20"/>
                <w:szCs w:val="20"/>
                <w:lang w:val="sr-Latn-RS" w:eastAsia="sr-Latn-RS"/>
              </w:rPr>
              <w:t>106.55</w:t>
            </w:r>
          </w:p>
        </w:tc>
        <w:tc>
          <w:tcPr>
            <w:tcW w:w="869" w:type="pct"/>
            <w:tcBorders>
              <w:top w:val="nil"/>
              <w:left w:val="nil"/>
              <w:bottom w:val="single" w:sz="4" w:space="0" w:color="auto"/>
              <w:right w:val="nil"/>
            </w:tcBorders>
            <w:shd w:val="clear" w:color="auto" w:fill="auto"/>
            <w:noWrap/>
            <w:vAlign w:val="center"/>
          </w:tcPr>
          <w:p w14:paraId="52C1B7BC" w14:textId="77777777" w:rsidR="00684C80" w:rsidRPr="00FA439B" w:rsidRDefault="00684C80" w:rsidP="00FA439B">
            <w:pPr>
              <w:spacing w:before="0" w:after="0"/>
              <w:jc w:val="center"/>
              <w:rPr>
                <w:rFonts w:eastAsia="Times New Roman" w:cs="Times New Roman"/>
                <w:sz w:val="20"/>
                <w:szCs w:val="20"/>
                <w:lang w:val="sr-Latn-RS" w:eastAsia="sr-Latn-RS"/>
              </w:rPr>
            </w:pPr>
            <w:r w:rsidRPr="00FA439B">
              <w:rPr>
                <w:rFonts w:eastAsia="Times New Roman" w:cs="Times New Roman"/>
                <w:sz w:val="20"/>
                <w:szCs w:val="20"/>
                <w:lang w:val="sr-Latn-RS" w:eastAsia="sr-Latn-RS"/>
              </w:rPr>
              <w:t>100.00</w:t>
            </w:r>
          </w:p>
        </w:tc>
        <w:tc>
          <w:tcPr>
            <w:tcW w:w="734" w:type="pct"/>
            <w:tcBorders>
              <w:top w:val="nil"/>
              <w:left w:val="nil"/>
              <w:bottom w:val="single" w:sz="4" w:space="0" w:color="auto"/>
              <w:right w:val="nil"/>
            </w:tcBorders>
            <w:shd w:val="clear" w:color="auto" w:fill="auto"/>
            <w:noWrap/>
            <w:vAlign w:val="center"/>
          </w:tcPr>
          <w:p w14:paraId="6CB27931" w14:textId="77777777" w:rsidR="00684C80" w:rsidRPr="00FA439B" w:rsidRDefault="00684C80" w:rsidP="00FA439B">
            <w:pPr>
              <w:spacing w:before="0" w:after="0"/>
              <w:jc w:val="center"/>
              <w:rPr>
                <w:rFonts w:eastAsia="Times New Roman" w:cs="Times New Roman"/>
                <w:sz w:val="20"/>
                <w:szCs w:val="20"/>
                <w:lang w:val="sr-Latn-RS" w:eastAsia="sr-Latn-RS"/>
              </w:rPr>
            </w:pPr>
            <w:r w:rsidRPr="00FA439B">
              <w:rPr>
                <w:rFonts w:eastAsia="Times New Roman" w:cs="Times New Roman"/>
                <w:sz w:val="20"/>
                <w:szCs w:val="20"/>
                <w:lang w:val="sr-Latn-RS" w:eastAsia="sr-Latn-RS"/>
              </w:rPr>
              <w:t>77.63</w:t>
            </w:r>
          </w:p>
        </w:tc>
        <w:tc>
          <w:tcPr>
            <w:tcW w:w="466" w:type="pct"/>
            <w:tcBorders>
              <w:top w:val="nil"/>
              <w:left w:val="nil"/>
              <w:bottom w:val="single" w:sz="4" w:space="0" w:color="auto"/>
              <w:right w:val="nil"/>
            </w:tcBorders>
            <w:shd w:val="clear" w:color="auto" w:fill="auto"/>
            <w:noWrap/>
            <w:vAlign w:val="center"/>
          </w:tcPr>
          <w:p w14:paraId="15E03B19" w14:textId="77777777" w:rsidR="00684C80" w:rsidRPr="00FA439B" w:rsidRDefault="00684C80" w:rsidP="00FA439B">
            <w:pPr>
              <w:spacing w:before="0" w:after="0"/>
              <w:jc w:val="center"/>
              <w:rPr>
                <w:rFonts w:eastAsia="Times New Roman" w:cs="Times New Roman"/>
                <w:sz w:val="20"/>
                <w:szCs w:val="20"/>
                <w:lang w:val="sr-Latn-RS" w:eastAsia="sr-Latn-RS"/>
              </w:rPr>
            </w:pPr>
            <w:r w:rsidRPr="00FA439B">
              <w:rPr>
                <w:rFonts w:eastAsia="Times New Roman" w:cs="Times New Roman"/>
                <w:sz w:val="20"/>
                <w:szCs w:val="20"/>
                <w:lang w:val="sr-Latn-RS" w:eastAsia="sr-Latn-RS"/>
              </w:rPr>
              <w:t>9.00</w:t>
            </w:r>
          </w:p>
        </w:tc>
        <w:tc>
          <w:tcPr>
            <w:tcW w:w="803" w:type="pct"/>
            <w:tcBorders>
              <w:top w:val="nil"/>
              <w:left w:val="nil"/>
              <w:bottom w:val="single" w:sz="4" w:space="0" w:color="auto"/>
              <w:right w:val="nil"/>
            </w:tcBorders>
            <w:shd w:val="clear" w:color="auto" w:fill="auto"/>
            <w:noWrap/>
            <w:vAlign w:val="center"/>
          </w:tcPr>
          <w:p w14:paraId="5647EFF1" w14:textId="77777777" w:rsidR="00684C80" w:rsidRPr="00FA439B" w:rsidRDefault="00684C80" w:rsidP="00FA439B">
            <w:pPr>
              <w:spacing w:before="0" w:after="0"/>
              <w:jc w:val="center"/>
              <w:rPr>
                <w:rFonts w:eastAsia="Times New Roman" w:cs="Times New Roman"/>
                <w:sz w:val="20"/>
                <w:szCs w:val="20"/>
                <w:lang w:val="sr-Latn-RS" w:eastAsia="sr-Latn-RS"/>
              </w:rPr>
            </w:pPr>
            <w:r w:rsidRPr="00FA439B">
              <w:rPr>
                <w:rFonts w:eastAsia="Times New Roman" w:cs="Times New Roman"/>
                <w:sz w:val="20"/>
                <w:szCs w:val="20"/>
                <w:lang w:val="sr-Latn-RS" w:eastAsia="sr-Latn-RS"/>
              </w:rPr>
              <w:t>16.12</w:t>
            </w:r>
          </w:p>
        </w:tc>
        <w:tc>
          <w:tcPr>
            <w:tcW w:w="533" w:type="pct"/>
            <w:tcBorders>
              <w:top w:val="nil"/>
              <w:left w:val="nil"/>
              <w:bottom w:val="single" w:sz="4" w:space="0" w:color="auto"/>
              <w:right w:val="nil"/>
            </w:tcBorders>
            <w:shd w:val="clear" w:color="auto" w:fill="auto"/>
            <w:noWrap/>
          </w:tcPr>
          <w:p w14:paraId="20CCE3CB" w14:textId="77777777" w:rsidR="00684C80" w:rsidRPr="00FA439B" w:rsidRDefault="00684C80" w:rsidP="00FA439B">
            <w:pPr>
              <w:spacing w:before="0" w:after="0"/>
              <w:jc w:val="center"/>
              <w:rPr>
                <w:rFonts w:eastAsia="Times New Roman" w:cs="Times New Roman"/>
                <w:sz w:val="20"/>
                <w:szCs w:val="20"/>
                <w:lang w:val="sr-Latn-RS" w:eastAsia="sr-Latn-RS"/>
              </w:rPr>
            </w:pPr>
            <w:r w:rsidRPr="00FA439B">
              <w:rPr>
                <w:rFonts w:eastAsia="Times New Roman" w:cs="Times New Roman"/>
                <w:sz w:val="20"/>
                <w:szCs w:val="20"/>
                <w:lang w:val="sr-Latn-RS" w:eastAsia="sr-Latn-RS"/>
              </w:rPr>
              <w:t>0.00</w:t>
            </w:r>
          </w:p>
        </w:tc>
        <w:tc>
          <w:tcPr>
            <w:tcW w:w="535" w:type="pct"/>
            <w:tcBorders>
              <w:top w:val="nil"/>
              <w:left w:val="nil"/>
              <w:bottom w:val="single" w:sz="4" w:space="0" w:color="auto"/>
              <w:right w:val="nil"/>
            </w:tcBorders>
            <w:shd w:val="clear" w:color="auto" w:fill="auto"/>
            <w:noWrap/>
          </w:tcPr>
          <w:p w14:paraId="6F4BA428" w14:textId="7083EB7F" w:rsidR="00684C80" w:rsidRPr="00FA439B" w:rsidRDefault="00684C80" w:rsidP="00FA439B">
            <w:pPr>
              <w:spacing w:before="0" w:after="0"/>
              <w:jc w:val="center"/>
              <w:rPr>
                <w:rFonts w:eastAsia="Times New Roman" w:cs="Times New Roman"/>
                <w:sz w:val="20"/>
                <w:szCs w:val="20"/>
                <w:lang w:val="sr-Latn-RS" w:eastAsia="sr-Latn-RS"/>
              </w:rPr>
            </w:pPr>
            <w:r w:rsidRPr="003E32AF">
              <w:rPr>
                <w:rFonts w:eastAsia="Times New Roman" w:cs="Times New Roman"/>
                <w:sz w:val="20"/>
                <w:szCs w:val="20"/>
                <w:lang w:val="sr-Latn-RS" w:eastAsia="sr-Latn-RS"/>
              </w:rPr>
              <w:t>0</w:t>
            </w:r>
          </w:p>
        </w:tc>
      </w:tr>
    </w:tbl>
    <w:p w14:paraId="7A6046BC" w14:textId="14F303FA" w:rsidR="00D52BF9" w:rsidRDefault="00E01662" w:rsidP="00533BD1">
      <w:r>
        <w:t>Even though SCADA provides value for opening and closing in seconds</w:t>
      </w:r>
      <w:r w:rsidR="000E7CCD">
        <w:t xml:space="preserve">, </w:t>
      </w:r>
      <w:r w:rsidR="001E2C30">
        <w:t xml:space="preserve">a </w:t>
      </w:r>
      <w:r w:rsidR="000E7CCD">
        <w:t>stopwatch is used to determine th</w:t>
      </w:r>
      <w:r>
        <w:t xml:space="preserve">e exact rotation speed of </w:t>
      </w:r>
      <w:r w:rsidR="000E7CCD">
        <w:t xml:space="preserve">the </w:t>
      </w:r>
      <w:r>
        <w:t xml:space="preserve">rack and pinion cylinder, i.e., opening and closing of the saddle. Additionally, recordings of mass weight load on the saddle and cycle time </w:t>
      </w:r>
      <w:r w:rsidR="000E7CCD">
        <w:t>are</w:t>
      </w:r>
      <w:r>
        <w:t xml:space="preserve"> used to determine whether there is </w:t>
      </w:r>
      <w:r w:rsidR="000E7CCD">
        <w:t xml:space="preserve">an </w:t>
      </w:r>
      <w:r>
        <w:t>influence, i.e., correlation with the movement of the actuators or their response time.</w:t>
      </w:r>
    </w:p>
    <w:p w14:paraId="767E60D9" w14:textId="1D4B65D1" w:rsidR="00EB3D82" w:rsidRDefault="005A1431" w:rsidP="00EB3D82">
      <w:r>
        <w:t>It is also of interest to use evidence of performed cycle time of individual batches and hydraulic cycles (</w:t>
      </w:r>
      <w:r>
        <w:fldChar w:fldCharType="begin"/>
      </w:r>
      <w:r>
        <w:instrText xml:space="preserve"> REF _Ref94353169 \h </w:instrText>
      </w:r>
      <w:r>
        <w:fldChar w:fldCharType="separate"/>
      </w:r>
      <w:r w:rsidR="00587AF0">
        <w:t xml:space="preserve">Figure </w:t>
      </w:r>
      <w:r w:rsidR="00587AF0">
        <w:rPr>
          <w:noProof/>
        </w:rPr>
        <w:t>48</w:t>
      </w:r>
      <w:r>
        <w:fldChar w:fldCharType="end"/>
      </w:r>
      <w:r>
        <w:t xml:space="preserve">) to see whether there is </w:t>
      </w:r>
      <w:r w:rsidR="000E7CCD">
        <w:t xml:space="preserve">a </w:t>
      </w:r>
      <w:r>
        <w:t xml:space="preserve">correlation between the two since it affects the intensity of cycles performed due to stoppages outside of </w:t>
      </w:r>
      <w:r w:rsidR="000E7CCD">
        <w:t xml:space="preserve">the </w:t>
      </w:r>
      <w:r>
        <w:t xml:space="preserve">hydraulic control system, thus potentially affecting temperature rise-drop. Moreover, it is also of interest to use hydraulic cycle times since a saddle, which is under the effect of </w:t>
      </w:r>
      <w:r w:rsidR="001E2C30">
        <w:t xml:space="preserve">a </w:t>
      </w:r>
      <w:r>
        <w:t>sensor that detects fully open and closed position</w:t>
      </w:r>
      <w:r w:rsidR="000E7CCD">
        <w:t>,</w:t>
      </w:r>
      <w:r>
        <w:t xml:space="preserve"> i.e. triggering directional valve control, w</w:t>
      </w:r>
      <w:r w:rsidR="001E2C30">
        <w:t>as</w:t>
      </w:r>
      <w:r>
        <w:t xml:space="preserve"> not working</w:t>
      </w:r>
      <w:r w:rsidR="001E2C30">
        <w:t>,</w:t>
      </w:r>
      <w:r>
        <w:t xml:space="preserve"> indicating stop</w:t>
      </w:r>
      <w:r w:rsidR="000E7CCD">
        <w:t>pa</w:t>
      </w:r>
      <w:r>
        <w:t>ge of a system.</w:t>
      </w:r>
    </w:p>
    <w:p w14:paraId="6956560C" w14:textId="77777777" w:rsidR="00EB3D82" w:rsidRDefault="00EB3D82" w:rsidP="00EB3D82">
      <w:pPr>
        <w:keepNext/>
      </w:pPr>
      <w:r>
        <w:rPr>
          <w:noProof/>
        </w:rPr>
        <w:drawing>
          <wp:inline distT="0" distB="0" distL="0" distR="0" wp14:anchorId="3AF8ABAE" wp14:editId="6EE671CB">
            <wp:extent cx="5732145" cy="3600000"/>
            <wp:effectExtent l="0" t="0" r="1905" b="635"/>
            <wp:docPr id="25" name="Chart 25">
              <a:extLst xmlns:a="http://schemas.openxmlformats.org/drawingml/2006/main">
                <a:ext uri="{FF2B5EF4-FFF2-40B4-BE49-F238E27FC236}">
                  <a16:creationId xmlns:a16="http://schemas.microsoft.com/office/drawing/2014/main" id="{B55BF078-1E38-4462-BDC5-D33FE0242A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302FF5E2" w14:textId="5A46207E" w:rsidR="00EB3D82" w:rsidRDefault="00EB3D82" w:rsidP="00EB3D82">
      <w:pPr>
        <w:pStyle w:val="Caption"/>
      </w:pPr>
      <w:bookmarkStart w:id="424" w:name="_Ref94353169"/>
      <w:bookmarkStart w:id="425" w:name="_Toc101274570"/>
      <w:r>
        <w:t xml:space="preserve">Figure </w:t>
      </w:r>
      <w:fldSimple w:instr=" SEQ Figure \* ARABIC ">
        <w:r w:rsidR="00587AF0">
          <w:rPr>
            <w:noProof/>
          </w:rPr>
          <w:t>48</w:t>
        </w:r>
      </w:fldSimple>
      <w:bookmarkEnd w:id="424"/>
      <w:r>
        <w:t>. Time for performing cycle (y</w:t>
      </w:r>
      <w:r>
        <w:softHyphen/>
      </w:r>
      <w:r>
        <w:rPr>
          <w:vertAlign w:val="subscript"/>
        </w:rPr>
        <w:t>1</w:t>
      </w:r>
      <w:r>
        <w:t>-axis) and hydraulic cycle time (y</w:t>
      </w:r>
      <w:r>
        <w:rPr>
          <w:vertAlign w:val="subscript"/>
        </w:rPr>
        <w:t>2</w:t>
      </w:r>
      <w:r>
        <w:t>-axis)</w:t>
      </w:r>
      <w:bookmarkEnd w:id="425"/>
    </w:p>
    <w:p w14:paraId="1465337C" w14:textId="77777777" w:rsidR="00ED0C1D" w:rsidRDefault="00ED0C1D">
      <w:pPr>
        <w:spacing w:before="0" w:after="160" w:line="259" w:lineRule="auto"/>
        <w:jc w:val="left"/>
        <w:rPr>
          <w:rFonts w:eastAsiaTheme="majorEastAsia" w:cstheme="majorBidi"/>
          <w:b/>
          <w:smallCaps/>
          <w:sz w:val="32"/>
          <w:szCs w:val="32"/>
          <w:lang w:bidi="en-US"/>
        </w:rPr>
      </w:pPr>
      <w:bookmarkStart w:id="426" w:name="_Toc93759917"/>
      <w:bookmarkStart w:id="427" w:name="_Toc93760021"/>
      <w:bookmarkEnd w:id="382"/>
      <w:bookmarkEnd w:id="383"/>
      <w:r>
        <w:rPr>
          <w:lang w:bidi="en-US"/>
        </w:rPr>
        <w:br w:type="page"/>
      </w:r>
    </w:p>
    <w:p w14:paraId="4521A838" w14:textId="712BD84E" w:rsidR="008E41CF" w:rsidRDefault="008F1992" w:rsidP="008F1992">
      <w:pPr>
        <w:pStyle w:val="Heading1"/>
        <w:rPr>
          <w:lang w:bidi="en-US"/>
        </w:rPr>
      </w:pPr>
      <w:bookmarkStart w:id="428" w:name="_Toc101274377"/>
      <w:r>
        <w:rPr>
          <w:lang w:bidi="en-US"/>
        </w:rPr>
        <w:lastRenderedPageBreak/>
        <w:t xml:space="preserve">Experimental </w:t>
      </w:r>
      <w:bookmarkEnd w:id="426"/>
      <w:bookmarkEnd w:id="427"/>
      <w:r w:rsidR="00697E06">
        <w:rPr>
          <w:lang w:bidi="en-US"/>
        </w:rPr>
        <w:t>results</w:t>
      </w:r>
      <w:r w:rsidR="007C6F59">
        <w:rPr>
          <w:lang w:bidi="en-US"/>
        </w:rPr>
        <w:t xml:space="preserve"> and discussion</w:t>
      </w:r>
      <w:bookmarkEnd w:id="428"/>
    </w:p>
    <w:p w14:paraId="3903E7D2" w14:textId="2D98B397" w:rsidR="00697E06" w:rsidRDefault="00697E06" w:rsidP="00697E06">
      <w:pPr>
        <w:pStyle w:val="Heading2"/>
        <w:rPr>
          <w:lang w:bidi="en-US"/>
        </w:rPr>
      </w:pPr>
      <w:bookmarkStart w:id="429" w:name="_Ref100910453"/>
      <w:bookmarkStart w:id="430" w:name="_Toc101274378"/>
      <w:bookmarkStart w:id="431" w:name="_Toc93759918"/>
      <w:bookmarkStart w:id="432" w:name="_Toc93760022"/>
      <w:r>
        <w:rPr>
          <w:lang w:bidi="en-US"/>
        </w:rPr>
        <w:t>Laboratory experimental (offline) results</w:t>
      </w:r>
      <w:bookmarkEnd w:id="429"/>
      <w:bookmarkEnd w:id="430"/>
    </w:p>
    <w:p w14:paraId="7E278563" w14:textId="0B96F364" w:rsidR="005977B5" w:rsidRDefault="00693341" w:rsidP="000A67E4">
      <w:pPr>
        <w:pStyle w:val="Heading3"/>
        <w:rPr>
          <w:lang w:bidi="en-US"/>
        </w:rPr>
      </w:pPr>
      <w:bookmarkStart w:id="433" w:name="_Toc101274379"/>
      <w:r>
        <w:rPr>
          <w:lang w:bidi="en-US"/>
        </w:rPr>
        <w:t>Laboratory analysis of hydraulic fluid properties</w:t>
      </w:r>
      <w:bookmarkEnd w:id="431"/>
      <w:bookmarkEnd w:id="432"/>
      <w:bookmarkEnd w:id="433"/>
    </w:p>
    <w:p w14:paraId="726C2C95" w14:textId="6AD032CF" w:rsidR="003E12C2" w:rsidRPr="003E12C2" w:rsidRDefault="00812A8D" w:rsidP="003E12C2">
      <w:pPr>
        <w:rPr>
          <w:lang w:bidi="en-US"/>
        </w:rPr>
      </w:pPr>
      <w:r>
        <w:rPr>
          <w:lang w:bidi="en-US"/>
        </w:rPr>
        <w:t xml:space="preserve">Numerous physio-chemical analysis important for making conclusions on the state of </w:t>
      </w:r>
      <w:r w:rsidR="000E7CCD">
        <w:rPr>
          <w:lang w:bidi="en-US"/>
        </w:rPr>
        <w:t xml:space="preserve">the </w:t>
      </w:r>
      <w:r>
        <w:rPr>
          <w:lang w:bidi="en-US"/>
        </w:rPr>
        <w:t xml:space="preserve">hydraulic system is available, although viscosity, density, water content, TAN, flame point, </w:t>
      </w:r>
      <w:r w:rsidR="000E7CCD">
        <w:rPr>
          <w:lang w:bidi="en-US"/>
        </w:rPr>
        <w:t xml:space="preserve">and </w:t>
      </w:r>
      <w:r>
        <w:rPr>
          <w:lang w:bidi="en-US"/>
        </w:rPr>
        <w:t xml:space="preserve">flow point are amongst </w:t>
      </w:r>
      <w:r w:rsidR="000E7CCD">
        <w:rPr>
          <w:lang w:bidi="en-US"/>
        </w:rPr>
        <w:t xml:space="preserve">the most </w:t>
      </w:r>
      <w:r>
        <w:rPr>
          <w:lang w:bidi="en-US"/>
        </w:rPr>
        <w:t>important one for making appropriate conclusions. Amongst all variables, the author used the measurements of Viscosity (at 40°C and 100°C), viscosity index, flame point, flow point, total acid number (TAN), den</w:t>
      </w:r>
      <w:r w:rsidR="000E7CCD">
        <w:rPr>
          <w:lang w:bidi="en-US"/>
        </w:rPr>
        <w:t>si</w:t>
      </w:r>
      <w:r>
        <w:rPr>
          <w:lang w:bidi="en-US"/>
        </w:rPr>
        <w:t>ty (g/cm</w:t>
      </w:r>
      <w:r>
        <w:rPr>
          <w:vertAlign w:val="superscript"/>
          <w:lang w:bidi="en-US"/>
        </w:rPr>
        <w:t>3</w:t>
      </w:r>
      <w:r>
        <w:rPr>
          <w:lang w:bidi="en-US"/>
        </w:rPr>
        <w:t xml:space="preserve">) and water content (ppm) as the most important indicators. </w:t>
      </w:r>
      <w:r w:rsidR="000E7CCD">
        <w:rPr>
          <w:lang w:bidi="en-US"/>
        </w:rPr>
        <w:t>The samples are taken to two laboratories for a single-blind study to ensure the analysis's validity and transparenc</w:t>
      </w:r>
      <w:r w:rsidR="00E01A8F">
        <w:rPr>
          <w:lang w:bidi="en-US"/>
        </w:rPr>
        <w:t xml:space="preserve">y. The results are shown in detail in </w:t>
      </w:r>
      <w:r w:rsidR="00135284">
        <w:rPr>
          <w:lang w:bidi="en-US"/>
        </w:rPr>
        <w:fldChar w:fldCharType="begin"/>
      </w:r>
      <w:r w:rsidR="00135284">
        <w:rPr>
          <w:lang w:bidi="en-US"/>
        </w:rPr>
        <w:instrText xml:space="preserve"> REF _Ref100839664 \h </w:instrText>
      </w:r>
      <w:r w:rsidR="00135284">
        <w:rPr>
          <w:lang w:bidi="en-US"/>
        </w:rPr>
      </w:r>
      <w:r w:rsidR="00135284">
        <w:rPr>
          <w:lang w:bidi="en-US"/>
        </w:rPr>
        <w:fldChar w:fldCharType="separate"/>
      </w:r>
      <w:r w:rsidR="00587AF0">
        <w:t xml:space="preserve">Appendix </w:t>
      </w:r>
      <w:r w:rsidR="00587AF0">
        <w:rPr>
          <w:noProof/>
        </w:rPr>
        <w:t>2</w:t>
      </w:r>
      <w:r w:rsidR="00135284">
        <w:rPr>
          <w:lang w:bidi="en-US"/>
        </w:rPr>
        <w:fldChar w:fldCharType="end"/>
      </w:r>
      <w:r w:rsidR="00135284">
        <w:rPr>
          <w:lang w:bidi="en-US"/>
        </w:rPr>
        <w:t xml:space="preserve"> </w:t>
      </w:r>
      <w:r w:rsidR="00E01A8F">
        <w:rPr>
          <w:lang w:bidi="en-US"/>
        </w:rPr>
        <w:t xml:space="preserve">and </w:t>
      </w:r>
      <w:r w:rsidR="00E01A8F">
        <w:rPr>
          <w:lang w:bidi="en-US"/>
        </w:rPr>
        <w:fldChar w:fldCharType="begin"/>
      </w:r>
      <w:r w:rsidR="00E01A8F">
        <w:rPr>
          <w:lang w:bidi="en-US"/>
        </w:rPr>
        <w:instrText xml:space="preserve"> REF _Ref93578903 \h </w:instrText>
      </w:r>
      <w:r w:rsidR="00E01A8F">
        <w:rPr>
          <w:lang w:bidi="en-US"/>
        </w:rPr>
      </w:r>
      <w:r w:rsidR="00E01A8F">
        <w:rPr>
          <w:lang w:bidi="en-US"/>
        </w:rPr>
        <w:fldChar w:fldCharType="separate"/>
      </w:r>
      <w:r w:rsidR="00587AF0">
        <w:t xml:space="preserve">Figure </w:t>
      </w:r>
      <w:r w:rsidR="00587AF0">
        <w:rPr>
          <w:noProof/>
        </w:rPr>
        <w:t>49</w:t>
      </w:r>
      <w:r w:rsidR="00E01A8F">
        <w:rPr>
          <w:lang w:bidi="en-US"/>
        </w:rPr>
        <w:fldChar w:fldCharType="end"/>
      </w:r>
      <w:r w:rsidR="00E01A8F">
        <w:rPr>
          <w:lang w:bidi="en-US"/>
        </w:rPr>
        <w:t>.</w:t>
      </w:r>
    </w:p>
    <w:p w14:paraId="66D3358D" w14:textId="59073DF0" w:rsidR="00241AE5" w:rsidRDefault="008E16F1" w:rsidP="00241AE5">
      <w:pPr>
        <w:keepNext/>
      </w:pPr>
      <w:r>
        <w:rPr>
          <w:noProof/>
        </w:rPr>
        <w:drawing>
          <wp:inline distT="0" distB="0" distL="0" distR="0" wp14:anchorId="05E002F2" wp14:editId="49416FD0">
            <wp:extent cx="5732145" cy="3600000"/>
            <wp:effectExtent l="0" t="0" r="1905" b="635"/>
            <wp:docPr id="52" name="Chart 52">
              <a:extLst xmlns:a="http://schemas.openxmlformats.org/drawingml/2006/main">
                <a:ext uri="{FF2B5EF4-FFF2-40B4-BE49-F238E27FC236}">
                  <a16:creationId xmlns:a16="http://schemas.microsoft.com/office/drawing/2014/main" id="{578B6E1A-C041-4B46-8A3F-962490F8FD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4FBA5264" w14:textId="2E152164" w:rsidR="00241AE5" w:rsidRDefault="00241AE5" w:rsidP="00241AE5">
      <w:pPr>
        <w:pStyle w:val="Caption"/>
      </w:pPr>
      <w:bookmarkStart w:id="434" w:name="_Ref93578903"/>
      <w:bookmarkStart w:id="435" w:name="_Toc101274571"/>
      <w:r>
        <w:t xml:space="preserve">Figure </w:t>
      </w:r>
      <w:fldSimple w:instr=" SEQ Figure \* ARABIC ">
        <w:r w:rsidR="00587AF0">
          <w:rPr>
            <w:noProof/>
          </w:rPr>
          <w:t>49</w:t>
        </w:r>
      </w:fldSimple>
      <w:bookmarkEnd w:id="434"/>
      <w:r>
        <w:t xml:space="preserve">. Fluid </w:t>
      </w:r>
      <w:r w:rsidR="003A2EAE">
        <w:t xml:space="preserve">data </w:t>
      </w:r>
      <w:r>
        <w:t>analysis properties</w:t>
      </w:r>
      <w:bookmarkEnd w:id="435"/>
    </w:p>
    <w:p w14:paraId="45160553" w14:textId="224ADF63" w:rsidR="00E01A8F" w:rsidRDefault="0069473C" w:rsidP="00E01A8F">
      <w:r>
        <w:t>The r</w:t>
      </w:r>
      <w:r w:rsidR="00921104">
        <w:t xml:space="preserve">ubber mixing manufacturing process includes harsh environments due to </w:t>
      </w:r>
      <w:r>
        <w:t xml:space="preserve">the </w:t>
      </w:r>
      <w:r w:rsidR="00921104">
        <w:t>high temperature of the mixing machin</w:t>
      </w:r>
      <w:r w:rsidR="007E3860">
        <w:t>e,</w:t>
      </w:r>
      <w:r w:rsidR="00921104">
        <w:t xml:space="preserve"> dust and moisture due to </w:t>
      </w:r>
      <w:r>
        <w:t xml:space="preserve">the </w:t>
      </w:r>
      <w:r w:rsidR="00921104">
        <w:t xml:space="preserve">watering process for cooling the rubber mixer process mass, i.e., the chamber. </w:t>
      </w:r>
      <w:r w:rsidR="001E2C30">
        <w:t>The maintenance department conducted maintenance activities such as filter replacement, oil refilling, and sensors replacement during the experi</w:t>
      </w:r>
      <w:r>
        <w:t>ment. After these maintenance activities, it has been noticed</w:t>
      </w:r>
      <w:r w:rsidR="005860A9">
        <w:t xml:space="preserve"> that there is a sudden drop in particle contamination and slight “refreshment” (drop) in viscosity and density. </w:t>
      </w:r>
      <w:r w:rsidR="00500A3B">
        <w:t>A</w:t>
      </w:r>
      <w:r w:rsidR="005860A9">
        <w:t>fter the second oil sample was taken (820h)</w:t>
      </w:r>
      <w:r>
        <w:t>,</w:t>
      </w:r>
      <w:r w:rsidR="005860A9">
        <w:t xml:space="preserve"> </w:t>
      </w:r>
      <w:r w:rsidR="00500A3B">
        <w:t xml:space="preserve">the </w:t>
      </w:r>
      <w:r w:rsidR="00BB6B36">
        <w:t xml:space="preserve">viscosity (40°C) </w:t>
      </w:r>
      <w:r w:rsidR="00500A3B">
        <w:t>results</w:t>
      </w:r>
      <w:r w:rsidR="005860A9">
        <w:t xml:space="preserve"> </w:t>
      </w:r>
      <w:r w:rsidR="00BB6B36">
        <w:t>show</w:t>
      </w:r>
      <w:r>
        <w:t>ed</w:t>
      </w:r>
      <w:r w:rsidR="00BB6B36">
        <w:t xml:space="preserve"> </w:t>
      </w:r>
      <w:r>
        <w:t xml:space="preserve">a </w:t>
      </w:r>
      <w:r w:rsidR="00BB6B36">
        <w:t>slight decrease in the oil sample taken from one lab (500ml sample) while in the other lab show</w:t>
      </w:r>
      <w:r>
        <w:t>ed</w:t>
      </w:r>
      <w:r w:rsidR="00BB6B36">
        <w:t xml:space="preserve"> </w:t>
      </w:r>
      <w:r>
        <w:t xml:space="preserve">a </w:t>
      </w:r>
      <w:r w:rsidR="00BB6B36">
        <w:t xml:space="preserve">slight increase (100ml sample). Other properties like water saturation </w:t>
      </w:r>
      <w:r w:rsidR="004B791C">
        <w:t>decreased</w:t>
      </w:r>
      <w:r w:rsidR="00BB6B36">
        <w:t xml:space="preserve"> and maintain</w:t>
      </w:r>
      <w:r>
        <w:t>ed</w:t>
      </w:r>
      <w:r w:rsidR="00BB6B36">
        <w:t xml:space="preserve"> somewhat in the stable range</w:t>
      </w:r>
      <w:r>
        <w:t>;</w:t>
      </w:r>
      <w:r w:rsidR="00BB6B36">
        <w:t xml:space="preserve"> however, almost all other properties started to increase in the second to last and last sample.</w:t>
      </w:r>
      <w:r w:rsidR="00546298">
        <w:t xml:space="preserve"> Anomaly </w:t>
      </w:r>
      <w:r w:rsidR="00960B89">
        <w:t xml:space="preserve">is </w:t>
      </w:r>
      <w:r w:rsidR="00546298">
        <w:t xml:space="preserve">that 500ml samples after </w:t>
      </w:r>
      <w:r w:rsidR="004B791C">
        <w:t xml:space="preserve">the </w:t>
      </w:r>
      <w:r w:rsidR="00546298">
        <w:t xml:space="preserve">first sampling period show decrease in </w:t>
      </w:r>
      <w:r w:rsidR="00960B89">
        <w:t>physical properties</w:t>
      </w:r>
      <w:r w:rsidR="00546298">
        <w:t xml:space="preserve">, while samples from 100ml show </w:t>
      </w:r>
      <w:r w:rsidR="004B791C">
        <w:t xml:space="preserve">an </w:t>
      </w:r>
      <w:r w:rsidR="00546298">
        <w:t xml:space="preserve">increase in values after </w:t>
      </w:r>
      <w:r w:rsidR="004B791C">
        <w:t xml:space="preserve">the </w:t>
      </w:r>
      <w:r w:rsidR="00546298">
        <w:t>first sample.</w:t>
      </w:r>
      <w:r w:rsidR="00B675A3">
        <w:t xml:space="preserve"> So the question stands open, whether or not </w:t>
      </w:r>
      <w:r w:rsidR="004B791C">
        <w:t xml:space="preserve">the </w:t>
      </w:r>
      <w:r w:rsidR="00B675A3">
        <w:t xml:space="preserve">sampling amount affects </w:t>
      </w:r>
      <w:r w:rsidR="004B791C">
        <w:t xml:space="preserve">the </w:t>
      </w:r>
      <w:r w:rsidR="00B675A3">
        <w:t xml:space="preserve">results obtained? Water content shows </w:t>
      </w:r>
      <w:r w:rsidR="004B791C">
        <w:t xml:space="preserve">a </w:t>
      </w:r>
      <w:r w:rsidR="004B791C">
        <w:lastRenderedPageBreak/>
        <w:t xml:space="preserve">slightly higher increase in the final sample taken at 1500h, </w:t>
      </w:r>
      <w:r w:rsidR="001E2C30">
        <w:t>as</w:t>
      </w:r>
      <w:r w:rsidR="004B791C">
        <w:t xml:space="preserve"> seen in the increase of wear metal particles</w:t>
      </w:r>
      <w:r w:rsidR="00960B89">
        <w:t xml:space="preserve"> discussed in the following.</w:t>
      </w:r>
    </w:p>
    <w:p w14:paraId="5CD7477D" w14:textId="74633749" w:rsidR="00241AE5" w:rsidRDefault="009E4DC5" w:rsidP="009E4DC5">
      <w:pPr>
        <w:pStyle w:val="Heading3"/>
        <w:rPr>
          <w:lang w:bidi="en-US"/>
        </w:rPr>
      </w:pPr>
      <w:bookmarkStart w:id="436" w:name="_Toc93759919"/>
      <w:bookmarkStart w:id="437" w:name="_Toc93760023"/>
      <w:bookmarkStart w:id="438" w:name="_Toc101274380"/>
      <w:r>
        <w:rPr>
          <w:lang w:bidi="en-US"/>
        </w:rPr>
        <w:t xml:space="preserve">Elemental </w:t>
      </w:r>
      <w:r w:rsidR="00E82701">
        <w:rPr>
          <w:lang w:bidi="en-US"/>
        </w:rPr>
        <w:t xml:space="preserve">analysis of </w:t>
      </w:r>
      <w:r>
        <w:rPr>
          <w:lang w:bidi="en-US"/>
        </w:rPr>
        <w:t xml:space="preserve">hydraulic fluid </w:t>
      </w:r>
      <w:bookmarkEnd w:id="436"/>
      <w:bookmarkEnd w:id="437"/>
      <w:r w:rsidR="00E82701">
        <w:rPr>
          <w:lang w:bidi="en-US"/>
        </w:rPr>
        <w:t>contaminants</w:t>
      </w:r>
      <w:bookmarkEnd w:id="438"/>
    </w:p>
    <w:p w14:paraId="45B2397C" w14:textId="06B43C3C" w:rsidR="00E20669" w:rsidRPr="00E20669" w:rsidRDefault="004B791C" w:rsidP="00E20669">
      <w:pPr>
        <w:rPr>
          <w:lang w:bidi="en-US"/>
        </w:rPr>
      </w:pPr>
      <w:r>
        <w:rPr>
          <w:lang w:bidi="en-US"/>
        </w:rPr>
        <w:t>The e</w:t>
      </w:r>
      <w:r w:rsidR="00E20669">
        <w:rPr>
          <w:lang w:bidi="en-US"/>
        </w:rPr>
        <w:t>lemental composition of wear debris in hydraulic systems usually include</w:t>
      </w:r>
      <w:r>
        <w:rPr>
          <w:lang w:bidi="en-US"/>
        </w:rPr>
        <w:t>s</w:t>
      </w:r>
      <w:r w:rsidR="00E20669">
        <w:rPr>
          <w:lang w:bidi="en-US"/>
        </w:rPr>
        <w:t xml:space="preserve"> elemental analysis </w:t>
      </w:r>
      <w:r>
        <w:rPr>
          <w:lang w:bidi="en-US"/>
        </w:rPr>
        <w:t xml:space="preserve">of </w:t>
      </w:r>
      <w:r w:rsidR="00E20669">
        <w:rPr>
          <w:lang w:bidi="en-US"/>
        </w:rPr>
        <w:t>iron (Fe), aluminium (Al),</w:t>
      </w:r>
      <w:r w:rsidR="00EA3A14">
        <w:rPr>
          <w:lang w:bidi="en-US"/>
        </w:rPr>
        <w:t xml:space="preserve"> silver (Ag),</w:t>
      </w:r>
      <w:r w:rsidR="00E20669">
        <w:rPr>
          <w:lang w:bidi="en-US"/>
        </w:rPr>
        <w:t xml:space="preserve"> copper (Cu), </w:t>
      </w:r>
      <w:r w:rsidR="00EA3A14">
        <w:rPr>
          <w:lang w:bidi="en-US"/>
        </w:rPr>
        <w:t xml:space="preserve">lead (Pb), </w:t>
      </w:r>
      <w:r w:rsidR="00E20669">
        <w:rPr>
          <w:lang w:bidi="en-US"/>
        </w:rPr>
        <w:t>molybdenum (Mo), chrome (Cr), Tin (Sn) and Nickel (Ni).</w:t>
      </w:r>
      <w:r w:rsidR="00F700A5">
        <w:rPr>
          <w:lang w:bidi="en-US"/>
        </w:rPr>
        <w:t xml:space="preserve"> </w:t>
      </w:r>
      <w:r>
        <w:rPr>
          <w:lang w:bidi="en-US"/>
        </w:rPr>
        <w:t>The c</w:t>
      </w:r>
      <w:r w:rsidR="00F700A5">
        <w:rPr>
          <w:lang w:bidi="en-US"/>
        </w:rPr>
        <w:t xml:space="preserve">ontent of Fe is </w:t>
      </w:r>
      <w:r w:rsidR="00EA3A14">
        <w:rPr>
          <w:lang w:bidi="en-US"/>
        </w:rPr>
        <w:t>one of the most common wear metal</w:t>
      </w:r>
      <w:r>
        <w:rPr>
          <w:lang w:bidi="en-US"/>
        </w:rPr>
        <w:t>s</w:t>
      </w:r>
      <w:r w:rsidR="00EA3A14">
        <w:rPr>
          <w:lang w:bidi="en-US"/>
        </w:rPr>
        <w:t xml:space="preserve"> found in fluid samples. </w:t>
      </w:r>
      <w:r>
        <w:rPr>
          <w:lang w:bidi="en-US"/>
        </w:rPr>
        <w:t>The iron</w:t>
      </w:r>
      <w:r w:rsidR="00EA3A14">
        <w:rPr>
          <w:lang w:bidi="en-US"/>
        </w:rPr>
        <w:t xml:space="preserve"> is </w:t>
      </w:r>
      <w:r w:rsidR="00F700A5">
        <w:rPr>
          <w:lang w:bidi="en-US"/>
        </w:rPr>
        <w:t xml:space="preserve">associated with </w:t>
      </w:r>
      <w:r>
        <w:rPr>
          <w:lang w:bidi="en-US"/>
        </w:rPr>
        <w:t xml:space="preserve">the </w:t>
      </w:r>
      <w:r w:rsidR="00F700A5">
        <w:rPr>
          <w:lang w:bidi="en-US"/>
        </w:rPr>
        <w:t>wear of bearings, pumps, piston rods, pump housing, etc. Although ex</w:t>
      </w:r>
      <w:r>
        <w:rPr>
          <w:lang w:bidi="en-US"/>
        </w:rPr>
        <w:t>e</w:t>
      </w:r>
      <w:r w:rsidR="00F700A5">
        <w:rPr>
          <w:lang w:bidi="en-US"/>
        </w:rPr>
        <w:t>mplified in the analysis, low levels of Fe (warning 5-15 ppm) w</w:t>
      </w:r>
      <w:r>
        <w:rPr>
          <w:lang w:bidi="en-US"/>
        </w:rPr>
        <w:t>ere</w:t>
      </w:r>
      <w:r w:rsidR="00F700A5">
        <w:rPr>
          <w:lang w:bidi="en-US"/>
        </w:rPr>
        <w:t xml:space="preserve"> not noticed until the last sample, which rose to the warning limit. It </w:t>
      </w:r>
      <w:r>
        <w:rPr>
          <w:lang w:bidi="en-US"/>
        </w:rPr>
        <w:t>can</w:t>
      </w:r>
      <w:r w:rsidR="00F700A5">
        <w:rPr>
          <w:lang w:bidi="en-US"/>
        </w:rPr>
        <w:t xml:space="preserve"> </w:t>
      </w:r>
      <w:r>
        <w:rPr>
          <w:lang w:bidi="en-US"/>
        </w:rPr>
        <w:t xml:space="preserve">be </w:t>
      </w:r>
      <w:r w:rsidR="00F700A5">
        <w:rPr>
          <w:lang w:bidi="en-US"/>
        </w:rPr>
        <w:t xml:space="preserve">known that </w:t>
      </w:r>
      <w:r>
        <w:rPr>
          <w:lang w:bidi="en-US"/>
        </w:rPr>
        <w:t>the comparison of ppm per 120litres of oil and 200litres after refilling shows an</w:t>
      </w:r>
      <w:r w:rsidR="00F700A5">
        <w:rPr>
          <w:lang w:bidi="en-US"/>
        </w:rPr>
        <w:t xml:space="preserve"> obvious increase </w:t>
      </w:r>
      <w:r>
        <w:rPr>
          <w:lang w:bidi="en-US"/>
        </w:rPr>
        <w:t xml:space="preserve">in </w:t>
      </w:r>
      <w:r w:rsidR="00F700A5">
        <w:rPr>
          <w:lang w:bidi="en-US"/>
        </w:rPr>
        <w:t xml:space="preserve">ppm since 80 litres of fluid have been added. </w:t>
      </w:r>
      <w:r w:rsidR="00D07041">
        <w:rPr>
          <w:lang w:bidi="en-US"/>
        </w:rPr>
        <w:t>Some have reported that sudden increase</w:t>
      </w:r>
      <w:r>
        <w:rPr>
          <w:lang w:bidi="en-US"/>
        </w:rPr>
        <w:t>s</w:t>
      </w:r>
      <w:r w:rsidR="00D07041">
        <w:rPr>
          <w:lang w:bidi="en-US"/>
        </w:rPr>
        <w:t xml:space="preserve"> and decrease</w:t>
      </w:r>
      <w:r>
        <w:rPr>
          <w:lang w:bidi="en-US"/>
        </w:rPr>
        <w:t>s</w:t>
      </w:r>
      <w:r w:rsidR="00D07041">
        <w:rPr>
          <w:lang w:bidi="en-US"/>
        </w:rPr>
        <w:t xml:space="preserve"> of Fe do not show </w:t>
      </w:r>
      <w:r>
        <w:rPr>
          <w:lang w:bidi="en-US"/>
        </w:rPr>
        <w:t xml:space="preserve">an </w:t>
      </w:r>
      <w:r w:rsidR="00D07041">
        <w:rPr>
          <w:lang w:bidi="en-US"/>
        </w:rPr>
        <w:t xml:space="preserve">apparent problem and </w:t>
      </w:r>
      <w:r>
        <w:rPr>
          <w:lang w:bidi="en-US"/>
        </w:rPr>
        <w:t>are</w:t>
      </w:r>
      <w:r w:rsidR="00D07041">
        <w:rPr>
          <w:lang w:bidi="en-US"/>
        </w:rPr>
        <w:t xml:space="preserve"> usually denoted as an “anomaly of the pump” </w:t>
      </w:r>
      <w:r w:rsidR="00D07041">
        <w:rPr>
          <w:lang w:bidi="en-US"/>
        </w:rPr>
        <w:fldChar w:fldCharType="begin" w:fldLock="1"/>
      </w:r>
      <w:r w:rsidR="00645D0B">
        <w:rPr>
          <w:lang w:bidi="en-US"/>
        </w:rPr>
        <w:instrText>ADDIN CSL_CITATION {"citationItems":[{"id":"ITEM-1","itemData":{"author":[{"dropping-particle":"","family":"Ciekurs","given":"P.V.","non-dropping-particle":"","parse-names":false,"suffix":""},{"dropping-particle":"","family":"Ropar","given":"S. A.","non-dropping-particle":"","parse-names":false,"suffix":""}],"id":"ITEM-1","issued":{"date-parts":[["1988"]]},"number-of-pages":"1-27","publisher-place":"Lakehurst, New Jersey","title":"Application of wear debris analysis to aircraft hydraulic systems","type":"report"},"uris":["http://www.mendeley.com/documents/?uuid=0ba40fe2-4162-40ab-be9f-f0e705c6c2c1"]}],"mendeley":{"formattedCitation":"[124]","plainTextFormattedCitation":"[124]","previouslyFormattedCitation":"[124]"},"properties":{"noteIndex":0},"schema":"https://github.com/citation-style-language/schema/raw/master/csl-citation.json"}</w:instrText>
      </w:r>
      <w:r w:rsidR="00D07041">
        <w:rPr>
          <w:lang w:bidi="en-US"/>
        </w:rPr>
        <w:fldChar w:fldCharType="separate"/>
      </w:r>
      <w:r w:rsidR="00416869" w:rsidRPr="00416869">
        <w:rPr>
          <w:noProof/>
          <w:lang w:bidi="en-US"/>
        </w:rPr>
        <w:t>[124]</w:t>
      </w:r>
      <w:r w:rsidR="00D07041">
        <w:rPr>
          <w:lang w:bidi="en-US"/>
        </w:rPr>
        <w:fldChar w:fldCharType="end"/>
      </w:r>
      <w:r w:rsidR="00D07041">
        <w:rPr>
          <w:lang w:bidi="en-US"/>
        </w:rPr>
        <w:t>.</w:t>
      </w:r>
    </w:p>
    <w:p w14:paraId="3AED2466" w14:textId="77777777" w:rsidR="00624D0A" w:rsidRDefault="00624D0A" w:rsidP="001542EA">
      <w:pPr>
        <w:keepNext/>
        <w:jc w:val="center"/>
      </w:pPr>
      <w:r>
        <w:rPr>
          <w:noProof/>
        </w:rPr>
        <w:drawing>
          <wp:inline distT="0" distB="0" distL="0" distR="0" wp14:anchorId="5635B57B" wp14:editId="16D3EE46">
            <wp:extent cx="5588000" cy="2562225"/>
            <wp:effectExtent l="0" t="0" r="0" b="0"/>
            <wp:docPr id="17" name="Chart 17">
              <a:extLst xmlns:a="http://schemas.openxmlformats.org/drawingml/2006/main">
                <a:ext uri="{FF2B5EF4-FFF2-40B4-BE49-F238E27FC236}">
                  <a16:creationId xmlns:a16="http://schemas.microsoft.com/office/drawing/2014/main" id="{B00D7B7E-6A0E-4706-99EE-C2BB72BF14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369A3D7D" w14:textId="5426DA1B" w:rsidR="00624D0A" w:rsidRPr="00D61878" w:rsidRDefault="00624D0A" w:rsidP="00624D0A">
      <w:pPr>
        <w:pStyle w:val="Caption"/>
      </w:pPr>
      <w:bookmarkStart w:id="439" w:name="_Toc101274572"/>
      <w:r>
        <w:t xml:space="preserve">Figure </w:t>
      </w:r>
      <w:fldSimple w:instr=" SEQ Figure \* ARABIC ">
        <w:r w:rsidR="00587AF0">
          <w:rPr>
            <w:noProof/>
          </w:rPr>
          <w:t>50</w:t>
        </w:r>
      </w:fldSimple>
      <w:r>
        <w:t xml:space="preserve">. </w:t>
      </w:r>
      <w:r w:rsidR="00D61878">
        <w:t>Elemental analysis of Cr, Ni, Cd (y</w:t>
      </w:r>
      <w:r w:rsidR="00D61878">
        <w:rPr>
          <w:vertAlign w:val="subscript"/>
        </w:rPr>
        <w:t>1</w:t>
      </w:r>
      <w:r w:rsidR="00D61878">
        <w:t>-axis) and Fe, Si (y</w:t>
      </w:r>
      <w:r w:rsidR="00D61878">
        <w:rPr>
          <w:vertAlign w:val="subscript"/>
        </w:rPr>
        <w:t>2</w:t>
      </w:r>
      <w:r w:rsidR="00D61878">
        <w:t>-axis) over time (x-axis)</w:t>
      </w:r>
      <w:bookmarkEnd w:id="439"/>
    </w:p>
    <w:p w14:paraId="36FA4902" w14:textId="1AEFAA9C" w:rsidR="00885E69" w:rsidRDefault="00885E69" w:rsidP="005977B5">
      <w:pPr>
        <w:rPr>
          <w:lang w:bidi="en-US"/>
        </w:rPr>
      </w:pPr>
      <w:r>
        <w:rPr>
          <w:lang w:val="en-GB"/>
        </w:rPr>
        <w:t>Considering th</w:t>
      </w:r>
      <w:r w:rsidR="00F75DF1">
        <w:rPr>
          <w:lang w:val="en-GB"/>
        </w:rPr>
        <w:t xml:space="preserve">at no wear metals such as Ag, Al, Sn, and Mo were not detected in the oil sample will not be </w:t>
      </w:r>
      <w:r>
        <w:rPr>
          <w:lang w:val="en-GB"/>
        </w:rPr>
        <w:t xml:space="preserve">a point of further discussion. The point that Sn, Pb, </w:t>
      </w:r>
      <w:r w:rsidR="00F75DF1">
        <w:rPr>
          <w:lang w:val="en-GB"/>
        </w:rPr>
        <w:t xml:space="preserve">and </w:t>
      </w:r>
      <w:r>
        <w:rPr>
          <w:lang w:val="en-GB"/>
        </w:rPr>
        <w:t>Mo increase are all a</w:t>
      </w:r>
      <w:r w:rsidR="00F75DF1">
        <w:rPr>
          <w:lang w:val="en-GB"/>
        </w:rPr>
        <w:t>s</w:t>
      </w:r>
      <w:r>
        <w:rPr>
          <w:lang w:val="en-GB"/>
        </w:rPr>
        <w:t xml:space="preserve">sociated with engine parts and coatings of compression rings can be excluded from the analysis. </w:t>
      </w:r>
      <w:r w:rsidR="00F75DF1">
        <w:rPr>
          <w:lang w:bidi="en-US"/>
        </w:rPr>
        <w:t>Interestingly, by comparing relative quantities of metals, the concentration of each wear metal varies significantly and can be in negative regression compared</w:t>
      </w:r>
      <w:r w:rsidR="005977B5">
        <w:rPr>
          <w:lang w:bidi="en-US"/>
        </w:rPr>
        <w:t xml:space="preserve"> to each other.</w:t>
      </w:r>
      <w:r w:rsidR="00E8426A">
        <w:rPr>
          <w:lang w:bidi="en-US"/>
        </w:rPr>
        <w:t xml:space="preserve"> </w:t>
      </w:r>
      <w:r w:rsidR="005977B5">
        <w:rPr>
          <w:lang w:bidi="en-US"/>
        </w:rPr>
        <w:t xml:space="preserve">For instance, levels of </w:t>
      </w:r>
      <w:r>
        <w:rPr>
          <w:lang w:bidi="en-US"/>
        </w:rPr>
        <w:t>N</w:t>
      </w:r>
      <w:r w:rsidR="005977B5">
        <w:rPr>
          <w:lang w:bidi="en-US"/>
        </w:rPr>
        <w:t>ick</w:t>
      </w:r>
      <w:r>
        <w:rPr>
          <w:lang w:bidi="en-US"/>
        </w:rPr>
        <w:t>el</w:t>
      </w:r>
      <w:r w:rsidR="005977B5">
        <w:rPr>
          <w:lang w:bidi="en-US"/>
        </w:rPr>
        <w:t xml:space="preserve">, which usually range </w:t>
      </w:r>
      <w:r>
        <w:rPr>
          <w:lang w:bidi="en-US"/>
        </w:rPr>
        <w:t xml:space="preserve">between </w:t>
      </w:r>
      <w:r w:rsidR="005977B5">
        <w:rPr>
          <w:lang w:bidi="en-US"/>
        </w:rPr>
        <w:t xml:space="preserve">0-0.7 </w:t>
      </w:r>
      <w:r w:rsidR="005977B5">
        <w:rPr>
          <w:lang w:bidi="en-US"/>
        </w:rPr>
        <w:fldChar w:fldCharType="begin" w:fldLock="1"/>
      </w:r>
      <w:r w:rsidR="00645D0B">
        <w:rPr>
          <w:lang w:bidi="en-US"/>
        </w:rPr>
        <w:instrText>ADDIN CSL_CITATION {"citationItems":[{"id":"ITEM-1","itemData":{"author":[{"dropping-particle":"","family":"Ciekurs","given":"P.V.","non-dropping-particle":"","parse-names":false,"suffix":""},{"dropping-particle":"","family":"Ropar","given":"S. A.","non-dropping-particle":"","parse-names":false,"suffix":""}],"id":"ITEM-1","issued":{"date-parts":[["1988"]]},"number-of-pages":"1-27","publisher-place":"Lakehurst, New Jersey","title":"Application of wear debris analysis to aircraft hydraulic systems","type":"report"},"uris":["http://www.mendeley.com/documents/?uuid=0ba40fe2-4162-40ab-be9f-f0e705c6c2c1"]}],"mendeley":{"formattedCitation":"[124]","plainTextFormattedCitation":"[124]","previouslyFormattedCitation":"[124]"},"properties":{"noteIndex":0},"schema":"https://github.com/citation-style-language/schema/raw/master/csl-citation.json"}</w:instrText>
      </w:r>
      <w:r w:rsidR="005977B5">
        <w:rPr>
          <w:lang w:bidi="en-US"/>
        </w:rPr>
        <w:fldChar w:fldCharType="separate"/>
      </w:r>
      <w:r w:rsidR="00416869" w:rsidRPr="00416869">
        <w:rPr>
          <w:noProof/>
          <w:lang w:bidi="en-US"/>
        </w:rPr>
        <w:t>[124]</w:t>
      </w:r>
      <w:r w:rsidR="005977B5">
        <w:rPr>
          <w:lang w:bidi="en-US"/>
        </w:rPr>
        <w:fldChar w:fldCharType="end"/>
      </w:r>
      <w:r w:rsidR="005977B5">
        <w:rPr>
          <w:lang w:bidi="en-US"/>
        </w:rPr>
        <w:t xml:space="preserve">, </w:t>
      </w:r>
      <w:r w:rsidR="00FD17BD">
        <w:rPr>
          <w:lang w:bidi="en-US"/>
        </w:rPr>
        <w:t xml:space="preserve">here </w:t>
      </w:r>
      <w:r>
        <w:rPr>
          <w:lang w:bidi="en-US"/>
        </w:rPr>
        <w:t xml:space="preserve">is </w:t>
      </w:r>
      <w:r w:rsidR="00FD17BD">
        <w:rPr>
          <w:lang w:bidi="en-US"/>
        </w:rPr>
        <w:t>up to 3 ppm at the start of the test, suggesting that at the very begin</w:t>
      </w:r>
      <w:r w:rsidR="00F75DF1">
        <w:rPr>
          <w:lang w:bidi="en-US"/>
        </w:rPr>
        <w:t>nin</w:t>
      </w:r>
      <w:r w:rsidR="00FD17BD">
        <w:rPr>
          <w:lang w:bidi="en-US"/>
        </w:rPr>
        <w:t>g</w:t>
      </w:r>
      <w:r w:rsidR="00F75DF1">
        <w:rPr>
          <w:lang w:bidi="en-US"/>
        </w:rPr>
        <w:t>,</w:t>
      </w:r>
      <w:r w:rsidR="00FD17BD">
        <w:rPr>
          <w:lang w:bidi="en-US"/>
        </w:rPr>
        <w:t xml:space="preserve"> there may be </w:t>
      </w:r>
      <w:r w:rsidR="00F75DF1">
        <w:rPr>
          <w:lang w:bidi="en-US"/>
        </w:rPr>
        <w:t xml:space="preserve">the </w:t>
      </w:r>
      <w:r w:rsidR="00FD17BD">
        <w:rPr>
          <w:lang w:bidi="en-US"/>
        </w:rPr>
        <w:t xml:space="preserve">detection of wear since Ni is usually used </w:t>
      </w:r>
      <w:r w:rsidR="00EF361F">
        <w:rPr>
          <w:lang w:bidi="en-US"/>
        </w:rPr>
        <w:t xml:space="preserve">as </w:t>
      </w:r>
      <w:r w:rsidR="00F75DF1">
        <w:rPr>
          <w:lang w:bidi="en-US"/>
        </w:rPr>
        <w:t xml:space="preserve">an </w:t>
      </w:r>
      <w:r w:rsidR="00EF361F">
        <w:rPr>
          <w:lang w:bidi="en-US"/>
        </w:rPr>
        <w:t>alloy for surface coatings</w:t>
      </w:r>
      <w:r w:rsidR="00FD17BD">
        <w:rPr>
          <w:lang w:bidi="en-US"/>
        </w:rPr>
        <w:t>.</w:t>
      </w:r>
      <w:r w:rsidR="00EF361F">
        <w:rPr>
          <w:lang w:bidi="en-US"/>
        </w:rPr>
        <w:t xml:space="preserve"> Typical Ni-based coatings used on machine components play an important role in enhancing friction characteristics, i.e., </w:t>
      </w:r>
      <w:r w:rsidR="00F75DF1">
        <w:rPr>
          <w:lang w:bidi="en-US"/>
        </w:rPr>
        <w:t>increasing wear resistance or improving</w:t>
      </w:r>
      <w:r w:rsidR="00EF361F">
        <w:rPr>
          <w:lang w:bidi="en-US"/>
        </w:rPr>
        <w:t xml:space="preserve"> corrosion resistance </w:t>
      </w:r>
      <w:r w:rsidR="00EF361F">
        <w:rPr>
          <w:lang w:bidi="en-US"/>
        </w:rPr>
        <w:fldChar w:fldCharType="begin" w:fldLock="1"/>
      </w:r>
      <w:r w:rsidR="00645D0B">
        <w:rPr>
          <w:lang w:bidi="en-US"/>
        </w:rPr>
        <w:instrText>ADDIN CSL_CITATION {"citationItems":[{"id":"ITEM-1","itemData":{"DOI":"10.1201/9781351071376-2","ISBN":"0849339049","abstract":"Epigenetics refers to the study of heritable changes in gene expression or cellular phenotype without changes in DNA sequence. Epigenetic regulation of gene expression is accomplished by DNA methylation, histone modifications, histone variants, chromatin remodeling, and may involve small RNAs. DNA methylation at cytosine is carried out by enzymes called DNA Methyltransferases and is involved in many cellular processes, such as silencing of transposable elements and pericentromeric repeats, X-chromosome inactivation and genomic imprinting, etc. Histone modifications refer to posttranslational covalent attachment of chemical groups onto histones such as phosphorylation, acetylation, and methylation, etc. Histone variants, the non-canonical histones with amino acid sequences divergent from canonical histones, can have different epigenetic impacts on the genome from canonical histones. Higher-order chromatin structures maintained or modified by chromatin remodeling proteins also play important roles in regulating gene expression. Small non-coding RNAs play various roles in the regulation of gene expression at pre- as well as posttranscriptional levels. A special issue of Molecular Plant on 'Epigenetics and Plant Development' (Volume 4, Number 2, 2009) published a variety of articles covering many aspects of epigenetic regulation of plant development. We have tried here to present a bird's-eye view of these credible efforts towards understanding the mysterious world of epigenetics. The majority of the articles are about the chromatin modifying proteins, including histone modifiers, histone variants, and chromatin remodeling proteins that regulate various developmental processes, such as flowering time, vernalization, stem cell maintenance, and response to hormonal and environmental stresses, etc. Regulation of expression of seed transcriptome, involvement of direct tandem repeat elements in the PHE1 imprinting in addition to PcG proteins activity, paramutation, and epigenetic barriers in species hybridization are described well. The last two papers are about the Pol V-mediated heterochromatin formation independent of the 24nt-siRNA and the effect of genome position and tissue type on epigenetic regulation of gene expression. These findings not only further our current understanding of epigenetic mechanisms involved in many biological phenomena, but also pave the path for the future work, by raising many new questions that are discussed in the following lines.","author":[{"dropping-particle":"","family":"Booser","given":"Richard E.","non-dropping-particle":"","parse-names":false,"suffix":""}],"container-title":"Society of Tribologists and Lubrication Engineers","id":"ITEM-1","issued":{"date-parts":[["2018"]]},"number-of-pages":"297-552","publisher":"CRC Press LLC","title":"Tribology Data Handbook: An Excellent Friction, Lubrication and Wear Resource","type":"book"},"uris":["http://www.mendeley.com/documents/?uuid=cfb59d11-2fb0-4bf8-b1b6-f862a43d5e99"]}],"mendeley":{"formattedCitation":"[125]","plainTextFormattedCitation":"[125]","previouslyFormattedCitation":"[125]"},"properties":{"noteIndex":0},"schema":"https://github.com/citation-style-language/schema/raw/master/csl-citation.json"}</w:instrText>
      </w:r>
      <w:r w:rsidR="00EF361F">
        <w:rPr>
          <w:lang w:bidi="en-US"/>
        </w:rPr>
        <w:fldChar w:fldCharType="separate"/>
      </w:r>
      <w:r w:rsidR="00416869" w:rsidRPr="00416869">
        <w:rPr>
          <w:noProof/>
          <w:lang w:bidi="en-US"/>
        </w:rPr>
        <w:t>[125]</w:t>
      </w:r>
      <w:r w:rsidR="00EF361F">
        <w:rPr>
          <w:lang w:bidi="en-US"/>
        </w:rPr>
        <w:fldChar w:fldCharType="end"/>
      </w:r>
      <w:r w:rsidR="00EF361F">
        <w:rPr>
          <w:lang w:bidi="en-US"/>
        </w:rPr>
        <w:t>.</w:t>
      </w:r>
      <w:r w:rsidR="00FD17BD">
        <w:rPr>
          <w:lang w:bidi="en-US"/>
        </w:rPr>
        <w:t xml:space="preserve"> </w:t>
      </w:r>
      <w:r w:rsidR="00EF361F">
        <w:rPr>
          <w:lang w:bidi="en-US"/>
        </w:rPr>
        <w:t>In addition</w:t>
      </w:r>
      <w:r w:rsidR="00FD17BD">
        <w:rPr>
          <w:lang w:bidi="en-US"/>
        </w:rPr>
        <w:t xml:space="preserve">, </w:t>
      </w:r>
      <w:r>
        <w:rPr>
          <w:lang w:bidi="en-US"/>
        </w:rPr>
        <w:t>Ni</w:t>
      </w:r>
      <w:r w:rsidR="00EF361F">
        <w:rPr>
          <w:lang w:bidi="en-US"/>
        </w:rPr>
        <w:t xml:space="preserve"> provides </w:t>
      </w:r>
      <w:r w:rsidR="00F75DF1">
        <w:rPr>
          <w:lang w:bidi="en-US"/>
        </w:rPr>
        <w:t xml:space="preserve">a </w:t>
      </w:r>
      <w:r w:rsidR="00EF361F">
        <w:rPr>
          <w:lang w:bidi="en-US"/>
        </w:rPr>
        <w:t>hard, corrosion-resistance surface to resist wear and harsh working conditions.</w:t>
      </w:r>
    </w:p>
    <w:p w14:paraId="64E76844" w14:textId="74F7DBAE" w:rsidR="00562045" w:rsidRDefault="00A40C57" w:rsidP="005977B5">
      <w:pPr>
        <w:rPr>
          <w:lang w:bidi="en-US"/>
        </w:rPr>
      </w:pPr>
      <w:r>
        <w:rPr>
          <w:lang w:bidi="en-US"/>
        </w:rPr>
        <w:t xml:space="preserve">Moreover, </w:t>
      </w:r>
      <w:r w:rsidR="00F75DF1">
        <w:rPr>
          <w:lang w:bidi="en-US"/>
        </w:rPr>
        <w:t xml:space="preserve">as an element with high hardness, nickel is also </w:t>
      </w:r>
      <w:r w:rsidR="001E2C30">
        <w:rPr>
          <w:lang w:bidi="en-US"/>
        </w:rPr>
        <w:t xml:space="preserve">an </w:t>
      </w:r>
      <w:r w:rsidR="00F75DF1">
        <w:rPr>
          <w:lang w:bidi="en-US"/>
        </w:rPr>
        <w:t>excellent abrasion resistance alloy and is used as weldments applied over steel surfaces to protect the component from abrasive wear and is</w:t>
      </w:r>
      <w:r>
        <w:rPr>
          <w:lang w:bidi="en-US"/>
        </w:rPr>
        <w:t xml:space="preserve"> usually used in pump elements </w:t>
      </w:r>
      <w:r>
        <w:rPr>
          <w:lang w:bidi="en-US"/>
        </w:rPr>
        <w:fldChar w:fldCharType="begin" w:fldLock="1"/>
      </w:r>
      <w:r w:rsidR="00645D0B">
        <w:rPr>
          <w:lang w:bidi="en-US"/>
        </w:rPr>
        <w:instrText>ADDIN CSL_CITATION {"citationItems":[{"id":"ITEM-1","itemData":{"DOI":"10.1201/9781351071376-2","ISBN":"0849339049","abstract":"Epigenetics refers to the study of heritable changes in gene expression or cellular phenotype without changes in DNA sequence. Epigenetic regulation of gene expression is accomplished by DNA methylation, histone modifications, histone variants, chromatin remodeling, and may involve small RNAs. DNA methylation at cytosine is carried out by enzymes called DNA Methyltransferases and is involved in many cellular processes, such as silencing of transposable elements and pericentromeric repeats, X-chromosome inactivation and genomic imprinting, etc. Histone modifications refer to posttranslational covalent attachment of chemical groups onto histones such as phosphorylation, acetylation, and methylation, etc. Histone variants, the non-canonical histones with amino acid sequences divergent from canonical histones, can have different epigenetic impacts on the genome from canonical histones. Higher-order chromatin structures maintained or modified by chromatin remodeling proteins also play important roles in regulating gene expression. Small non-coding RNAs play various roles in the regulation of gene expression at pre- as well as posttranscriptional levels. A special issue of Molecular Plant on 'Epigenetics and Plant Development' (Volume 4, Number 2, 2009) published a variety of articles covering many aspects of epigenetic regulation of plant development. We have tried here to present a bird's-eye view of these credible efforts towards understanding the mysterious world of epigenetics. The majority of the articles are about the chromatin modifying proteins, including histone modifiers, histone variants, and chromatin remodeling proteins that regulate various developmental processes, such as flowering time, vernalization, stem cell maintenance, and response to hormonal and environmental stresses, etc. Regulation of expression of seed transcriptome, involvement of direct tandem repeat elements in the PHE1 imprinting in addition to PcG proteins activity, paramutation, and epigenetic barriers in species hybridization are described well. The last two papers are about the Pol V-mediated heterochromatin formation independent of the 24nt-siRNA and the effect of genome position and tissue type on epigenetic regulation of gene expression. These findings not only further our current understanding of epigenetic mechanisms involved in many biological phenomena, but also pave the path for the future work, by raising many new questions that are discussed in the following lines.","author":[{"dropping-particle":"","family":"Booser","given":"Richard E.","non-dropping-particle":"","parse-names":false,"suffix":""}],"container-title":"Society of Tribologists and Lubrication Engineers","id":"ITEM-1","issued":{"date-parts":[["2018"]]},"number-of-pages":"297-552","publisher":"CRC Press LLC","title":"Tribology Data Handbook: An Excellent Friction, Lubrication and Wear Resource","type":"book"},"uris":["http://www.mendeley.com/documents/?uuid=cfb59d11-2fb0-4bf8-b1b6-f862a43d5e99"]}],"mendeley":{"formattedCitation":"[125]","plainTextFormattedCitation":"[125]","previouslyFormattedCitation":"[125]"},"properties":{"noteIndex":0},"schema":"https://github.com/citation-style-language/schema/raw/master/csl-citation.json"}</w:instrText>
      </w:r>
      <w:r>
        <w:rPr>
          <w:lang w:bidi="en-US"/>
        </w:rPr>
        <w:fldChar w:fldCharType="separate"/>
      </w:r>
      <w:r w:rsidR="00416869" w:rsidRPr="00416869">
        <w:rPr>
          <w:noProof/>
          <w:lang w:bidi="en-US"/>
        </w:rPr>
        <w:t>[125]</w:t>
      </w:r>
      <w:r>
        <w:rPr>
          <w:lang w:bidi="en-US"/>
        </w:rPr>
        <w:fldChar w:fldCharType="end"/>
      </w:r>
      <w:r>
        <w:rPr>
          <w:lang w:bidi="en-US"/>
        </w:rPr>
        <w:t>.</w:t>
      </w:r>
      <w:r w:rsidR="00814271">
        <w:rPr>
          <w:lang w:bidi="en-US"/>
        </w:rPr>
        <w:t xml:space="preserve"> </w:t>
      </w:r>
      <w:r w:rsidR="00460000">
        <w:rPr>
          <w:lang w:bidi="en-US"/>
        </w:rPr>
        <w:t>I</w:t>
      </w:r>
      <w:r w:rsidR="00814271">
        <w:rPr>
          <w:lang w:bidi="en-US"/>
        </w:rPr>
        <w:t>f Ni result</w:t>
      </w:r>
      <w:r w:rsidR="00460000">
        <w:rPr>
          <w:lang w:bidi="en-US"/>
        </w:rPr>
        <w:t>s from</w:t>
      </w:r>
      <w:r w:rsidR="00814271">
        <w:rPr>
          <w:lang w:bidi="en-US"/>
        </w:rPr>
        <w:t xml:space="preserve"> wear, specifically abrasive-induced wear</w:t>
      </w:r>
      <w:r w:rsidR="00D171ED">
        <w:rPr>
          <w:lang w:bidi="en-US"/>
        </w:rPr>
        <w:t xml:space="preserve"> (bearings and gears)</w:t>
      </w:r>
      <w:r w:rsidR="00814271">
        <w:rPr>
          <w:lang w:bidi="en-US"/>
        </w:rPr>
        <w:t xml:space="preserve">, </w:t>
      </w:r>
      <w:r w:rsidR="00460000">
        <w:rPr>
          <w:lang w:bidi="en-US"/>
        </w:rPr>
        <w:t>if correlation remains proportional to levels of Fe or other metals like Cr, Ti, Mo, or V; it can suggest that these metals are alloyed</w:t>
      </w:r>
      <w:r w:rsidR="00F75DF1">
        <w:rPr>
          <w:lang w:bidi="en-US"/>
        </w:rPr>
        <w:t>;</w:t>
      </w:r>
      <w:r w:rsidR="00460000">
        <w:rPr>
          <w:lang w:bidi="en-US"/>
        </w:rPr>
        <w:t xml:space="preserve"> however, if the other wear metals increase disproportionally</w:t>
      </w:r>
      <w:r w:rsidR="00F75DF1">
        <w:rPr>
          <w:lang w:bidi="en-US"/>
        </w:rPr>
        <w:t>,</w:t>
      </w:r>
      <w:r w:rsidR="00460000">
        <w:rPr>
          <w:lang w:bidi="en-US"/>
        </w:rPr>
        <w:t xml:space="preserve"> it suggests coated steel parts</w:t>
      </w:r>
      <w:r w:rsidR="00C03935">
        <w:rPr>
          <w:lang w:bidi="en-US"/>
        </w:rPr>
        <w:t xml:space="preserve"> </w:t>
      </w:r>
      <w:r w:rsidR="00C03935">
        <w:rPr>
          <w:lang w:bidi="en-US"/>
        </w:rPr>
        <w:fldChar w:fldCharType="begin" w:fldLock="1"/>
      </w:r>
      <w:r w:rsidR="00645D0B">
        <w:rPr>
          <w:lang w:bidi="en-US"/>
        </w:rPr>
        <w:instrText>ADDIN CSL_CITATION {"citationItems":[{"id":"ITEM-1","itemData":{"URL":"https://testoil.com/data-interpretation/sources-of-nickel/","author":[{"dropping-particle":"","family":"TestOil","given":"","non-dropping-particle":"","parse-names":false,"suffix":""}],"container-title":"Data intepretation","id":"ITEM-1","issued":{"date-parts":[["2016"]]},"title":"Sources of Nickel","type":"webpage"},"uris":["http://www.mendeley.com/documents/?uuid=6cc351b2-49d5-4b84-8e59-397cc9990c42"]}],"mendeley":{"formattedCitation":"[126]","plainTextFormattedCitation":"[126]","previouslyFormattedCitation":"[126]"},"properties":{"noteIndex":0},"schema":"https://github.com/citation-style-language/schema/raw/master/csl-citation.json"}</w:instrText>
      </w:r>
      <w:r w:rsidR="00C03935">
        <w:rPr>
          <w:lang w:bidi="en-US"/>
        </w:rPr>
        <w:fldChar w:fldCharType="separate"/>
      </w:r>
      <w:r w:rsidR="00416869" w:rsidRPr="00416869">
        <w:rPr>
          <w:noProof/>
          <w:lang w:bidi="en-US"/>
        </w:rPr>
        <w:t>[126]</w:t>
      </w:r>
      <w:r w:rsidR="00C03935">
        <w:rPr>
          <w:lang w:bidi="en-US"/>
        </w:rPr>
        <w:fldChar w:fldCharType="end"/>
      </w:r>
      <w:r w:rsidR="00460000">
        <w:rPr>
          <w:lang w:bidi="en-US"/>
        </w:rPr>
        <w:t>.</w:t>
      </w:r>
      <w:r w:rsidR="003D34D0">
        <w:rPr>
          <w:lang w:bidi="en-US"/>
        </w:rPr>
        <w:t xml:space="preserve"> </w:t>
      </w:r>
      <w:r w:rsidR="0029678F">
        <w:rPr>
          <w:lang w:bidi="en-US"/>
        </w:rPr>
        <w:t>Ni</w:t>
      </w:r>
      <w:r w:rsidR="00D171ED">
        <w:rPr>
          <w:lang w:bidi="en-US"/>
        </w:rPr>
        <w:t xml:space="preserve"> c</w:t>
      </w:r>
      <w:r w:rsidR="0029678F">
        <w:rPr>
          <w:lang w:bidi="en-US"/>
        </w:rPr>
        <w:t xml:space="preserve">an be associated with </w:t>
      </w:r>
      <w:r w:rsidR="00D171ED">
        <w:rPr>
          <w:lang w:bidi="en-US"/>
        </w:rPr>
        <w:t xml:space="preserve">coatings like chromium of elements such as </w:t>
      </w:r>
      <w:r w:rsidR="0029678F">
        <w:rPr>
          <w:lang w:bidi="en-US"/>
        </w:rPr>
        <w:t xml:space="preserve">valve stem packings (valves), bearings, </w:t>
      </w:r>
      <w:r w:rsidR="006E4703">
        <w:rPr>
          <w:lang w:bidi="en-US"/>
        </w:rPr>
        <w:t xml:space="preserve">gears, and shafts </w:t>
      </w:r>
      <w:r w:rsidR="006E4703">
        <w:rPr>
          <w:lang w:bidi="en-US"/>
        </w:rPr>
        <w:fldChar w:fldCharType="begin" w:fldLock="1"/>
      </w:r>
      <w:r w:rsidR="00645D0B">
        <w:rPr>
          <w:lang w:bidi="en-US"/>
        </w:rPr>
        <w:instrText>ADDIN CSL_CITATION {"citationItems":[{"id":"ITEM-1","itemData":{"DOI":"10.1007/978-94-011-4924-2_17","author":[{"dropping-particle":"","family":"Riley","given":"N. H.","non-dropping-particle":"","parse-names":false,"suffix":""}],"container-title":"Handbook of Condition Monitoring","id":"ITEM-1","issued":{"date-parts":[["1998"]]},"page":"435-449","title":"Lubricant analysis as a condition monitoring technique","type":"article-journal"},"uris":["http://www.mendeley.com/documents/?uuid=4edbcf29-6609-4a57-8455-6ca07ddbeffd"]}],"mendeley":{"formattedCitation":"[127]","plainTextFormattedCitation":"[127]","previouslyFormattedCitation":"[127]"},"properties":{"noteIndex":0},"schema":"https://github.com/citation-style-language/schema/raw/master/csl-citation.json"}</w:instrText>
      </w:r>
      <w:r w:rsidR="006E4703">
        <w:rPr>
          <w:lang w:bidi="en-US"/>
        </w:rPr>
        <w:fldChar w:fldCharType="separate"/>
      </w:r>
      <w:r w:rsidR="00416869" w:rsidRPr="00416869">
        <w:rPr>
          <w:noProof/>
          <w:lang w:bidi="en-US"/>
        </w:rPr>
        <w:t>[127]</w:t>
      </w:r>
      <w:r w:rsidR="006E4703">
        <w:rPr>
          <w:lang w:bidi="en-US"/>
        </w:rPr>
        <w:fldChar w:fldCharType="end"/>
      </w:r>
      <w:r w:rsidR="0029678F">
        <w:rPr>
          <w:lang w:bidi="en-US"/>
        </w:rPr>
        <w:t>.</w:t>
      </w:r>
      <w:r w:rsidR="003E0010">
        <w:rPr>
          <w:lang w:bidi="en-US"/>
        </w:rPr>
        <w:t xml:space="preserve"> Hence, </w:t>
      </w:r>
      <w:r w:rsidR="00F75DF1">
        <w:rPr>
          <w:lang w:bidi="en-US"/>
        </w:rPr>
        <w:t xml:space="preserve">it </w:t>
      </w:r>
      <w:r w:rsidR="003E0010">
        <w:rPr>
          <w:lang w:bidi="en-US"/>
        </w:rPr>
        <w:t>also suggest</w:t>
      </w:r>
      <w:r w:rsidR="00F75DF1">
        <w:rPr>
          <w:lang w:bidi="en-US"/>
        </w:rPr>
        <w:t>s</w:t>
      </w:r>
      <w:r w:rsidR="003E0010">
        <w:rPr>
          <w:lang w:bidi="en-US"/>
        </w:rPr>
        <w:t xml:space="preserve"> that Ni is used for plating and as an alloying element in different oil-wetted hydraulic components and cast iron and stainless steels that usually contain </w:t>
      </w:r>
      <w:r w:rsidR="00F75DF1">
        <w:rPr>
          <w:lang w:bidi="en-US"/>
        </w:rPr>
        <w:t xml:space="preserve">a </w:t>
      </w:r>
      <w:r w:rsidR="003E0010">
        <w:rPr>
          <w:lang w:bidi="en-US"/>
        </w:rPr>
        <w:t xml:space="preserve">significant amount of Ni </w:t>
      </w:r>
      <w:r w:rsidR="003E0010">
        <w:rPr>
          <w:lang w:bidi="en-US"/>
        </w:rPr>
        <w:fldChar w:fldCharType="begin" w:fldLock="1"/>
      </w:r>
      <w:r w:rsidR="00645D0B">
        <w:rPr>
          <w:lang w:bidi="en-US"/>
        </w:rPr>
        <w:instrText>ADDIN CSL_CITATION {"citationItems":[{"id":"ITEM-1","itemData":{"author":[{"dropping-particle":"","family":"Guilford","given":"Daniel J.","non-dropping-particle":"","parse-names":false,"suffix":""}],"id":"ITEM-1","issued":{"date-parts":[["2000"]]},"number-of-pages":"1-151","publisher":"Naval Postgraduate School","title":"The Army Oil Analysis Program (AOAP): Cost Benefit Analysis of Maitaining the Program for Ground Systems at Ford Hood, Texas","type":"thesis"},"uris":["http://www.mendeley.com/documents/?uuid=0d55f921-52b6-44fd-b241-d24a7dbd11d9"]}],"mendeley":{"formattedCitation":"[128]","plainTextFormattedCitation":"[128]","previouslyFormattedCitation":"[128]"},"properties":{"noteIndex":0},"schema":"https://github.com/citation-style-language/schema/raw/master/csl-citation.json"}</w:instrText>
      </w:r>
      <w:r w:rsidR="003E0010">
        <w:rPr>
          <w:lang w:bidi="en-US"/>
        </w:rPr>
        <w:fldChar w:fldCharType="separate"/>
      </w:r>
      <w:r w:rsidR="00416869" w:rsidRPr="00416869">
        <w:rPr>
          <w:noProof/>
          <w:lang w:bidi="en-US"/>
        </w:rPr>
        <w:t>[128]</w:t>
      </w:r>
      <w:r w:rsidR="003E0010">
        <w:rPr>
          <w:lang w:bidi="en-US"/>
        </w:rPr>
        <w:fldChar w:fldCharType="end"/>
      </w:r>
      <w:r w:rsidR="003E0010">
        <w:rPr>
          <w:lang w:bidi="en-US"/>
        </w:rPr>
        <w:t>.</w:t>
      </w:r>
      <w:r w:rsidR="00867C5C">
        <w:rPr>
          <w:lang w:bidi="en-US"/>
        </w:rPr>
        <w:t xml:space="preserve"> </w:t>
      </w:r>
      <w:r w:rsidR="00EF361F">
        <w:rPr>
          <w:lang w:bidi="en-US"/>
        </w:rPr>
        <w:t>T</w:t>
      </w:r>
      <w:r w:rsidR="00FD17BD">
        <w:rPr>
          <w:lang w:bidi="en-US"/>
        </w:rPr>
        <w:t>here are also reports supporting such behavio</w:t>
      </w:r>
      <w:r w:rsidR="00F75DF1">
        <w:rPr>
          <w:lang w:bidi="en-US"/>
        </w:rPr>
        <w:t>u</w:t>
      </w:r>
      <w:r w:rsidR="00FD17BD">
        <w:rPr>
          <w:lang w:bidi="en-US"/>
        </w:rPr>
        <w:t xml:space="preserve">r from the analysis, where Ni starts </w:t>
      </w:r>
      <w:r w:rsidR="00F75DF1">
        <w:rPr>
          <w:lang w:bidi="en-US"/>
        </w:rPr>
        <w:lastRenderedPageBreak/>
        <w:t>to deplete, where only trace amounts of Ni in oil suspension can be recorded beyond the</w:t>
      </w:r>
      <w:r w:rsidR="00FD17BD">
        <w:rPr>
          <w:lang w:bidi="en-US"/>
        </w:rPr>
        <w:t xml:space="preserve"> 150h mark </w:t>
      </w:r>
      <w:r w:rsidR="00FD17BD">
        <w:rPr>
          <w:lang w:bidi="en-US"/>
        </w:rPr>
        <w:fldChar w:fldCharType="begin" w:fldLock="1"/>
      </w:r>
      <w:r w:rsidR="00645D0B">
        <w:rPr>
          <w:lang w:bidi="en-US"/>
        </w:rPr>
        <w:instrText>ADDIN CSL_CITATION {"citationItems":[{"id":"ITEM-1","itemData":{"author":[{"dropping-particle":"","family":"Ciekurs","given":"P.V.","non-dropping-particle":"","parse-names":false,"suffix":""},{"dropping-particle":"","family":"Ropar","given":"S. A.","non-dropping-particle":"","parse-names":false,"suffix":""}],"id":"ITEM-1","issued":{"date-parts":[["1988"]]},"number-of-pages":"1-27","publisher-place":"Lakehurst, New Jersey","title":"Application of wear debris analysis to aircraft hydraulic systems","type":"report"},"uris":["http://www.mendeley.com/documents/?uuid=0ba40fe2-4162-40ab-be9f-f0e705c6c2c1"]}],"mendeley":{"formattedCitation":"[124]","plainTextFormattedCitation":"[124]","previouslyFormattedCitation":"[124]"},"properties":{"noteIndex":0},"schema":"https://github.com/citation-style-language/schema/raw/master/csl-citation.json"}</w:instrText>
      </w:r>
      <w:r w:rsidR="00FD17BD">
        <w:rPr>
          <w:lang w:bidi="en-US"/>
        </w:rPr>
        <w:fldChar w:fldCharType="separate"/>
      </w:r>
      <w:r w:rsidR="00416869" w:rsidRPr="00416869">
        <w:rPr>
          <w:noProof/>
          <w:lang w:bidi="en-US"/>
        </w:rPr>
        <w:t>[124]</w:t>
      </w:r>
      <w:r w:rsidR="00FD17BD">
        <w:rPr>
          <w:lang w:bidi="en-US"/>
        </w:rPr>
        <w:fldChar w:fldCharType="end"/>
      </w:r>
      <w:r w:rsidR="00FD17BD">
        <w:rPr>
          <w:lang w:bidi="en-US"/>
        </w:rPr>
        <w:t>.</w:t>
      </w:r>
      <w:r w:rsidR="006E4703">
        <w:rPr>
          <w:lang w:bidi="en-US"/>
        </w:rPr>
        <w:t xml:space="preserve"> Marlowe </w:t>
      </w:r>
      <w:r w:rsidR="006E4703">
        <w:rPr>
          <w:lang w:bidi="en-US"/>
        </w:rPr>
        <w:fldChar w:fldCharType="begin" w:fldLock="1"/>
      </w:r>
      <w:r w:rsidR="00645D0B">
        <w:rPr>
          <w:lang w:bidi="en-US"/>
        </w:rPr>
        <w:instrText>ADDIN CSL_CITATION {"citationItems":[{"id":"ITEM-1","itemData":{"author":[{"dropping-particle":"","family":"Marlowe","given":"Jobey","non-dropping-particle":"","parse-names":false,"suffix":""}],"container-title":"Ncfp 08","id":"ITEM-1","issued":{"date-parts":[["2008"]]},"page":"449-478","title":"Size is not important … Threat is ! Improving Fluid Power System Reliability","type":"article-journal"},"uris":["http://www.mendeley.com/documents/?uuid=130954d4-b682-4ca7-9ce7-f89a6164342e"]}],"mendeley":{"formattedCitation":"[129]","plainTextFormattedCitation":"[129]","previouslyFormattedCitation":"[129]"},"properties":{"noteIndex":0},"schema":"https://github.com/citation-style-language/schema/raw/master/csl-citation.json"}</w:instrText>
      </w:r>
      <w:r w:rsidR="006E4703">
        <w:rPr>
          <w:lang w:bidi="en-US"/>
        </w:rPr>
        <w:fldChar w:fldCharType="separate"/>
      </w:r>
      <w:r w:rsidR="00416869" w:rsidRPr="00416869">
        <w:rPr>
          <w:noProof/>
          <w:lang w:bidi="en-US"/>
        </w:rPr>
        <w:t>[129]</w:t>
      </w:r>
      <w:r w:rsidR="006E4703">
        <w:rPr>
          <w:lang w:bidi="en-US"/>
        </w:rPr>
        <w:fldChar w:fldCharType="end"/>
      </w:r>
      <w:r w:rsidR="006E4703">
        <w:rPr>
          <w:lang w:bidi="en-US"/>
        </w:rPr>
        <w:t xml:space="preserve"> reports that within </w:t>
      </w:r>
      <w:r w:rsidR="00F75DF1">
        <w:rPr>
          <w:lang w:bidi="en-US"/>
        </w:rPr>
        <w:t xml:space="preserve">the </w:t>
      </w:r>
      <w:r w:rsidR="006E4703">
        <w:rPr>
          <w:lang w:bidi="en-US"/>
        </w:rPr>
        <w:t>first and second hydraulic flu</w:t>
      </w:r>
      <w:r w:rsidR="00F75DF1">
        <w:rPr>
          <w:lang w:bidi="en-US"/>
        </w:rPr>
        <w:t>i</w:t>
      </w:r>
      <w:r w:rsidR="006E4703">
        <w:rPr>
          <w:lang w:bidi="en-US"/>
        </w:rPr>
        <w:t>d sample</w:t>
      </w:r>
      <w:r w:rsidR="00F75DF1">
        <w:rPr>
          <w:lang w:bidi="en-US"/>
        </w:rPr>
        <w:t>,</w:t>
      </w:r>
      <w:r w:rsidR="006E4703">
        <w:rPr>
          <w:lang w:bidi="en-US"/>
        </w:rPr>
        <w:t xml:space="preserve"> Ni had </w:t>
      </w:r>
      <w:r w:rsidR="00F75DF1">
        <w:rPr>
          <w:lang w:bidi="en-US"/>
        </w:rPr>
        <w:t>1.0</w:t>
      </w:r>
      <w:r w:rsidR="00867C5C">
        <w:rPr>
          <w:lang w:bidi="en-US"/>
        </w:rPr>
        <w:t xml:space="preserve"> </w:t>
      </w:r>
      <w:r w:rsidR="006E4703">
        <w:rPr>
          <w:lang w:bidi="en-US"/>
        </w:rPr>
        <w:t>ppm and 0</w:t>
      </w:r>
      <w:r w:rsidR="00867C5C">
        <w:rPr>
          <w:lang w:bidi="en-US"/>
        </w:rPr>
        <w:t xml:space="preserve"> </w:t>
      </w:r>
      <w:r w:rsidR="006E4703">
        <w:rPr>
          <w:lang w:bidi="en-US"/>
        </w:rPr>
        <w:t xml:space="preserve">ppm, respectively, while in </w:t>
      </w:r>
      <w:r w:rsidR="00F75DF1">
        <w:rPr>
          <w:lang w:bidi="en-US"/>
        </w:rPr>
        <w:t xml:space="preserve">the </w:t>
      </w:r>
      <w:r w:rsidR="006E4703">
        <w:rPr>
          <w:lang w:bidi="en-US"/>
        </w:rPr>
        <w:t>filter sample</w:t>
      </w:r>
      <w:r w:rsidR="00F75DF1">
        <w:rPr>
          <w:lang w:bidi="en-US"/>
        </w:rPr>
        <w:t>,</w:t>
      </w:r>
      <w:r w:rsidR="006E4703">
        <w:rPr>
          <w:lang w:bidi="en-US"/>
        </w:rPr>
        <w:t xml:space="preserve"> 2</w:t>
      </w:r>
      <w:r w:rsidR="00F75DF1">
        <w:rPr>
          <w:lang w:bidi="en-US"/>
        </w:rPr>
        <w:t>.0</w:t>
      </w:r>
      <w:r w:rsidR="00867C5C">
        <w:rPr>
          <w:lang w:bidi="en-US"/>
        </w:rPr>
        <w:t xml:space="preserve"> </w:t>
      </w:r>
      <w:r w:rsidR="006E4703">
        <w:rPr>
          <w:lang w:bidi="en-US"/>
        </w:rPr>
        <w:t>ppm Ni was detected.</w:t>
      </w:r>
    </w:p>
    <w:p w14:paraId="1382E33F" w14:textId="54561EA8" w:rsidR="00E8426A" w:rsidRDefault="00F75DF1" w:rsidP="005977B5">
      <w:pPr>
        <w:rPr>
          <w:lang w:bidi="en-US"/>
        </w:rPr>
      </w:pPr>
      <w:r>
        <w:rPr>
          <w:lang w:bidi="en-US"/>
        </w:rPr>
        <w:t>Evidence implies</w:t>
      </w:r>
      <w:r w:rsidR="00E022BD">
        <w:rPr>
          <w:lang w:bidi="en-US"/>
        </w:rPr>
        <w:t xml:space="preserve"> that wear metal concentrations tend to come close to some equilibrium in the system. Although </w:t>
      </w:r>
      <w:r w:rsidR="008254FB">
        <w:rPr>
          <w:lang w:bidi="en-US"/>
        </w:rPr>
        <w:t xml:space="preserve">some reports suggest that degradation can be associated </w:t>
      </w:r>
      <w:r w:rsidR="005A1E43">
        <w:rPr>
          <w:lang w:bidi="en-US"/>
        </w:rPr>
        <w:t>with pump wea</w:t>
      </w:r>
      <w:r w:rsidR="008254FB">
        <w:rPr>
          <w:lang w:bidi="en-US"/>
        </w:rPr>
        <w:t>r, further non-destructive reports do not provide evidence.</w:t>
      </w:r>
      <w:r w:rsidR="00562045">
        <w:rPr>
          <w:lang w:bidi="en-US"/>
        </w:rPr>
        <w:t xml:space="preserve"> It may co</w:t>
      </w:r>
      <w:r w:rsidR="005A1E43">
        <w:rPr>
          <w:lang w:bidi="en-US"/>
        </w:rPr>
        <w:t>nclude</w:t>
      </w:r>
      <w:r w:rsidR="00562045">
        <w:rPr>
          <w:lang w:bidi="en-US"/>
        </w:rPr>
        <w:t xml:space="preserve"> </w:t>
      </w:r>
      <w:r w:rsidR="005A1E43">
        <w:rPr>
          <w:lang w:bidi="en-US"/>
        </w:rPr>
        <w:t xml:space="preserve">that </w:t>
      </w:r>
      <w:r w:rsidR="00562045">
        <w:rPr>
          <w:lang w:bidi="en-US"/>
        </w:rPr>
        <w:t>the maintenance activities (adding oil) and replacing the filter drastically influence the oil characteristics show</w:t>
      </w:r>
      <w:r w:rsidR="005A1E43">
        <w:rPr>
          <w:lang w:bidi="en-US"/>
        </w:rPr>
        <w:t>ing</w:t>
      </w:r>
      <w:r w:rsidR="00562045">
        <w:rPr>
          <w:lang w:bidi="en-US"/>
        </w:rPr>
        <w:t xml:space="preserve"> that wear of the pump may have occurred</w:t>
      </w:r>
      <w:r w:rsidR="005A1E43">
        <w:rPr>
          <w:lang w:bidi="en-US"/>
        </w:rPr>
        <w:t>;</w:t>
      </w:r>
      <w:r w:rsidR="00562045">
        <w:rPr>
          <w:lang w:bidi="en-US"/>
        </w:rPr>
        <w:t xml:space="preserve"> however, it may appear latent just by looking at the oil analysis results.</w:t>
      </w:r>
      <w:r w:rsidR="007E3860">
        <w:rPr>
          <w:lang w:bidi="en-US"/>
        </w:rPr>
        <w:t xml:space="preserve"> In addition, it is extremely important to emphasise that using WDXRF for wear elemental analysis is questionable due to their LLD (lower limit detection) sensitivity in detecting particles lower than ten ppm.</w:t>
      </w:r>
    </w:p>
    <w:p w14:paraId="60E646FC" w14:textId="09032600" w:rsidR="00F920A0" w:rsidRDefault="000269E0" w:rsidP="00F920A0">
      <w:pPr>
        <w:pStyle w:val="Heading2"/>
        <w:rPr>
          <w:lang w:bidi="en-US"/>
        </w:rPr>
      </w:pPr>
      <w:bookmarkStart w:id="440" w:name="_Toc93759920"/>
      <w:bookmarkStart w:id="441" w:name="_Toc93760024"/>
      <w:bookmarkStart w:id="442" w:name="_Toc101274381"/>
      <w:r>
        <w:rPr>
          <w:lang w:bidi="en-US"/>
        </w:rPr>
        <w:t xml:space="preserve">Statistical hypothesis testing of </w:t>
      </w:r>
      <w:r w:rsidR="004A2C2F">
        <w:rPr>
          <w:lang w:bidi="en-US"/>
        </w:rPr>
        <w:t>acquired</w:t>
      </w:r>
      <w:r>
        <w:rPr>
          <w:lang w:bidi="en-US"/>
        </w:rPr>
        <w:t xml:space="preserve"> </w:t>
      </w:r>
      <w:bookmarkEnd w:id="440"/>
      <w:bookmarkEnd w:id="441"/>
      <w:r w:rsidR="004A2C2F">
        <w:rPr>
          <w:lang w:bidi="en-US"/>
        </w:rPr>
        <w:t>data</w:t>
      </w:r>
      <w:bookmarkEnd w:id="442"/>
    </w:p>
    <w:p w14:paraId="7B7C83D9" w14:textId="054DDE72" w:rsidR="00F920A0" w:rsidRDefault="00C84147" w:rsidP="00F920A0">
      <w:pPr>
        <w:pStyle w:val="Heading3"/>
        <w:rPr>
          <w:lang w:bidi="en-US"/>
        </w:rPr>
      </w:pPr>
      <w:bookmarkStart w:id="443" w:name="_Toc101274382"/>
      <w:r>
        <w:rPr>
          <w:lang w:bidi="en-US"/>
        </w:rPr>
        <w:t>Investigating the assumption for</w:t>
      </w:r>
      <w:r w:rsidR="005C6D04">
        <w:rPr>
          <w:lang w:bidi="en-US"/>
        </w:rPr>
        <w:t xml:space="preserve"> correlation </w:t>
      </w:r>
      <w:r>
        <w:rPr>
          <w:lang w:bidi="en-US"/>
        </w:rPr>
        <w:t xml:space="preserve">hypotheses </w:t>
      </w:r>
      <w:r w:rsidR="005C6D04">
        <w:rPr>
          <w:lang w:bidi="en-US"/>
        </w:rPr>
        <w:t>test</w:t>
      </w:r>
      <w:bookmarkEnd w:id="443"/>
    </w:p>
    <w:p w14:paraId="1FF2E9C7" w14:textId="5F266E64" w:rsidR="00FF239F" w:rsidRDefault="003B32A3" w:rsidP="00F920A0">
      <w:pPr>
        <w:rPr>
          <w:lang w:bidi="en-US"/>
        </w:rPr>
      </w:pPr>
      <w:r>
        <w:rPr>
          <w:lang w:bidi="en-US"/>
        </w:rPr>
        <w:t xml:space="preserve">In order to </w:t>
      </w:r>
      <w:r w:rsidR="00E92F7D">
        <w:rPr>
          <w:lang w:bidi="en-US"/>
        </w:rPr>
        <w:t>test</w:t>
      </w:r>
      <w:r>
        <w:rPr>
          <w:lang w:bidi="en-US"/>
        </w:rPr>
        <w:t xml:space="preserve"> the </w:t>
      </w:r>
      <w:r w:rsidRPr="00652AC7">
        <w:rPr>
          <w:b/>
          <w:bCs/>
          <w:lang w:bidi="en-US"/>
        </w:rPr>
        <w:t>H</w:t>
      </w:r>
      <w:r w:rsidR="003048B6">
        <w:rPr>
          <w:b/>
          <w:bCs/>
          <w:vertAlign w:val="subscript"/>
          <w:lang w:bidi="en-US"/>
        </w:rPr>
        <w:t>3</w:t>
      </w:r>
      <w:r>
        <w:rPr>
          <w:lang w:bidi="en-US"/>
        </w:rPr>
        <w:t xml:space="preserve"> hypothesis, </w:t>
      </w:r>
      <w:r w:rsidR="00652AC7">
        <w:rPr>
          <w:lang w:bidi="en-US"/>
        </w:rPr>
        <w:t xml:space="preserve">the first supporting </w:t>
      </w:r>
      <w:r w:rsidR="00B67B47">
        <w:rPr>
          <w:lang w:bidi="en-US"/>
        </w:rPr>
        <w:t>premise</w:t>
      </w:r>
      <w:r w:rsidR="005A1E43">
        <w:rPr>
          <w:lang w:bidi="en-US"/>
        </w:rPr>
        <w:t xml:space="preserve"> </w:t>
      </w:r>
      <w:r w:rsidR="00652AC7">
        <w:rPr>
          <w:lang w:bidi="en-US"/>
        </w:rPr>
        <w:t>hypothesis (</w:t>
      </w:r>
      <w:r w:rsidR="00652AC7" w:rsidRPr="00652AC7">
        <w:rPr>
          <w:b/>
          <w:bCs/>
          <w:lang w:bidi="en-US"/>
        </w:rPr>
        <w:t>h</w:t>
      </w:r>
      <w:r w:rsidR="00D70406">
        <w:rPr>
          <w:b/>
          <w:bCs/>
          <w:vertAlign w:val="superscript"/>
          <w:lang w:bidi="en-US"/>
        </w:rPr>
        <w:t>31</w:t>
      </w:r>
      <w:r w:rsidR="00652AC7" w:rsidRPr="00652AC7">
        <w:rPr>
          <w:b/>
          <w:bCs/>
          <w:vertAlign w:val="subscript"/>
          <w:lang w:bidi="en-US"/>
        </w:rPr>
        <w:t>0</w:t>
      </w:r>
      <w:r w:rsidR="00652AC7">
        <w:rPr>
          <w:lang w:bidi="en-US"/>
        </w:rPr>
        <w:t xml:space="preserve">) </w:t>
      </w:r>
      <w:r w:rsidR="00315C97">
        <w:rPr>
          <w:lang w:bidi="en-US"/>
        </w:rPr>
        <w:t xml:space="preserve">tests the effect of the relationship between </w:t>
      </w:r>
      <w:r w:rsidR="00652AC7">
        <w:rPr>
          <w:lang w:bidi="en-US"/>
        </w:rPr>
        <w:t>APC</w:t>
      </w:r>
      <w:r w:rsidR="00711255">
        <w:rPr>
          <w:lang w:bidi="en-US"/>
        </w:rPr>
        <w:t xml:space="preserve"> readings </w:t>
      </w:r>
      <w:r w:rsidR="00315C97">
        <w:rPr>
          <w:lang w:bidi="en-US"/>
        </w:rPr>
        <w:t>(</w:t>
      </w:r>
      <w:r w:rsidR="00652AC7">
        <w:rPr>
          <w:lang w:bidi="en-US"/>
        </w:rPr>
        <w:t>ISO 4406</w:t>
      </w:r>
      <w:r w:rsidR="00315C97">
        <w:rPr>
          <w:lang w:bidi="en-US"/>
        </w:rPr>
        <w:t xml:space="preserve">) and </w:t>
      </w:r>
      <w:r w:rsidR="00A030D1">
        <w:rPr>
          <w:lang w:bidi="en-US"/>
        </w:rPr>
        <w:t>hydraulic power delivery</w:t>
      </w:r>
      <w:r w:rsidR="00315C97">
        <w:rPr>
          <w:lang w:bidi="en-US"/>
        </w:rPr>
        <w:t xml:space="preserve"> from the pump to actuator</w:t>
      </w:r>
      <w:r w:rsidR="00A030D1">
        <w:rPr>
          <w:lang w:bidi="en-US"/>
        </w:rPr>
        <w:t>s</w:t>
      </w:r>
      <w:r w:rsidR="00315C97">
        <w:rPr>
          <w:lang w:bidi="en-US"/>
        </w:rPr>
        <w:t>.</w:t>
      </w:r>
      <w:r w:rsidR="0061658D">
        <w:rPr>
          <w:lang w:bidi="en-US"/>
        </w:rPr>
        <w:t xml:space="preserve"> Since </w:t>
      </w:r>
      <w:r w:rsidR="0061658D" w:rsidRPr="00C45CAE">
        <w:rPr>
          <w:i/>
          <w:iCs/>
          <w:lang w:bidi="en-US"/>
        </w:rPr>
        <w:t>Pearson’s</w:t>
      </w:r>
      <w:r w:rsidR="0061658D">
        <w:rPr>
          <w:lang w:bidi="en-US"/>
        </w:rPr>
        <w:t xml:space="preserve"> </w:t>
      </w:r>
      <w:r w:rsidR="0061658D">
        <w:rPr>
          <w:i/>
          <w:iCs/>
          <w:lang w:bidi="en-US"/>
        </w:rPr>
        <w:t>r</w:t>
      </w:r>
      <w:r w:rsidR="0061658D">
        <w:rPr>
          <w:lang w:bidi="en-US"/>
        </w:rPr>
        <w:t xml:space="preserve"> coefficient </w:t>
      </w:r>
      <w:r w:rsidR="005C6D04">
        <w:rPr>
          <w:lang w:bidi="en-US"/>
        </w:rPr>
        <w:t>highlights</w:t>
      </w:r>
      <w:r w:rsidR="0061658D">
        <w:rPr>
          <w:lang w:bidi="en-US"/>
        </w:rPr>
        <w:t xml:space="preserve"> the strength of the linear relationship between the variables, it is important to investigate the basic assumptions. The basic assumptions consider (1) level of measurement; (2) related pairs; (3) absence of outliers; (4) linearity. The first assumption considers that variable</w:t>
      </w:r>
      <w:r w:rsidR="00E92F7D">
        <w:rPr>
          <w:lang w:bidi="en-US"/>
        </w:rPr>
        <w:t>s</w:t>
      </w:r>
      <w:r w:rsidR="0061658D">
        <w:rPr>
          <w:lang w:bidi="en-US"/>
        </w:rPr>
        <w:t xml:space="preserve"> </w:t>
      </w:r>
      <w:r w:rsidR="00E92F7D">
        <w:rPr>
          <w:lang w:bidi="en-US"/>
        </w:rPr>
        <w:t>are</w:t>
      </w:r>
      <w:r w:rsidR="0061658D">
        <w:rPr>
          <w:lang w:bidi="en-US"/>
        </w:rPr>
        <w:t xml:space="preserve"> continuous, which is respected</w:t>
      </w:r>
      <w:r w:rsidR="00E92F7D">
        <w:rPr>
          <w:lang w:bidi="en-US"/>
        </w:rPr>
        <w:t xml:space="preserve"> only for the HyPower variable</w:t>
      </w:r>
      <w:r w:rsidR="005A1E43">
        <w:rPr>
          <w:lang w:bidi="en-US"/>
        </w:rPr>
        <w:t>;</w:t>
      </w:r>
      <w:r w:rsidR="00E92F7D">
        <w:rPr>
          <w:lang w:bidi="en-US"/>
        </w:rPr>
        <w:t xml:space="preserve"> however, </w:t>
      </w:r>
      <w:r w:rsidR="005A1E43">
        <w:rPr>
          <w:lang w:bidi="en-US"/>
        </w:rPr>
        <w:t>it is not for the particle counter level of ISO code since it is an</w:t>
      </w:r>
      <w:r w:rsidR="009914B3">
        <w:rPr>
          <w:lang w:bidi="en-US"/>
        </w:rPr>
        <w:t xml:space="preserve"> </w:t>
      </w:r>
      <w:r w:rsidR="00502D27">
        <w:rPr>
          <w:lang w:bidi="en-US"/>
        </w:rPr>
        <w:t>ordinal scale variable</w:t>
      </w:r>
      <w:r w:rsidR="0061658D">
        <w:rPr>
          <w:lang w:bidi="en-US"/>
        </w:rPr>
        <w:t xml:space="preserve">. The “related pairs” consider that each measurement has </w:t>
      </w:r>
      <w:r w:rsidR="005A1E43">
        <w:rPr>
          <w:lang w:bidi="en-US"/>
        </w:rPr>
        <w:t xml:space="preserve">a </w:t>
      </w:r>
      <w:r w:rsidR="0061658D">
        <w:rPr>
          <w:lang w:bidi="en-US"/>
        </w:rPr>
        <w:t xml:space="preserve">corresponding other, i.e., pair of values. </w:t>
      </w:r>
      <w:r w:rsidR="005A1E43">
        <w:rPr>
          <w:lang w:bidi="en-US"/>
        </w:rPr>
        <w:t>The a</w:t>
      </w:r>
      <w:r w:rsidR="0061658D">
        <w:rPr>
          <w:lang w:bidi="en-US"/>
        </w:rPr>
        <w:t>bsence of outliers refers to not having outliers in either variable</w:t>
      </w:r>
      <w:r w:rsidR="00D20CE7">
        <w:rPr>
          <w:lang w:bidi="en-US"/>
        </w:rPr>
        <w:t>.</w:t>
      </w:r>
      <w:r w:rsidR="00F31488">
        <w:rPr>
          <w:lang w:bidi="en-US"/>
        </w:rPr>
        <w:t xml:space="preserve"> </w:t>
      </w:r>
      <w:r w:rsidR="005A1E43">
        <w:rPr>
          <w:lang w:bidi="en-US"/>
        </w:rPr>
        <w:t>A</w:t>
      </w:r>
      <w:r w:rsidR="0061658D">
        <w:rPr>
          <w:lang w:bidi="en-US"/>
        </w:rPr>
        <w:t xml:space="preserve">n outlier </w:t>
      </w:r>
      <w:r w:rsidR="00D20CE7">
        <w:rPr>
          <w:lang w:bidi="en-US"/>
        </w:rPr>
        <w:t xml:space="preserve">can </w:t>
      </w:r>
      <w:r w:rsidR="0061658D">
        <w:rPr>
          <w:lang w:bidi="en-US"/>
        </w:rPr>
        <w:t xml:space="preserve">skew </w:t>
      </w:r>
      <w:r w:rsidR="00D20CE7">
        <w:rPr>
          <w:lang w:bidi="en-US"/>
        </w:rPr>
        <w:t xml:space="preserve">the </w:t>
      </w:r>
      <w:r w:rsidR="005A1E43">
        <w:rPr>
          <w:lang w:bidi="en-US"/>
        </w:rPr>
        <w:t>variable data</w:t>
      </w:r>
      <w:r w:rsidR="0061658D">
        <w:rPr>
          <w:lang w:bidi="en-US"/>
        </w:rPr>
        <w:t xml:space="preserve">, pulling the best fit line </w:t>
      </w:r>
      <w:r w:rsidR="005C6D04">
        <w:rPr>
          <w:lang w:bidi="en-US"/>
        </w:rPr>
        <w:t>formed t</w:t>
      </w:r>
      <w:r w:rsidR="005A1E43">
        <w:rPr>
          <w:lang w:bidi="en-US"/>
        </w:rPr>
        <w:t>o</w:t>
      </w:r>
      <w:r w:rsidR="005C6D04">
        <w:rPr>
          <w:lang w:bidi="en-US"/>
        </w:rPr>
        <w:t xml:space="preserve">o far from each other. </w:t>
      </w:r>
      <w:r w:rsidR="00D20CE7">
        <w:rPr>
          <w:lang w:bidi="en-US"/>
        </w:rPr>
        <w:t xml:space="preserve">Outlier testing is done with </w:t>
      </w:r>
      <w:r w:rsidR="00D20CE7">
        <w:rPr>
          <w:i/>
          <w:iCs/>
          <w:lang w:bidi="en-US"/>
        </w:rPr>
        <w:t xml:space="preserve">Grubb’s </w:t>
      </w:r>
      <w:r w:rsidR="00D20CE7">
        <w:rPr>
          <w:lang w:bidi="en-US"/>
        </w:rPr>
        <w:t>outlier testing (</w:t>
      </w:r>
      <w:r w:rsidR="00D20CE7">
        <w:rPr>
          <w:lang w:bidi="en-US"/>
        </w:rPr>
        <w:fldChar w:fldCharType="begin"/>
      </w:r>
      <w:r w:rsidR="00D20CE7">
        <w:rPr>
          <w:lang w:bidi="en-US"/>
        </w:rPr>
        <w:instrText xml:space="preserve"> REF _Ref94287054 \h </w:instrText>
      </w:r>
      <w:r w:rsidR="00D20CE7">
        <w:rPr>
          <w:lang w:bidi="en-US"/>
        </w:rPr>
      </w:r>
      <w:r w:rsidR="00D20CE7">
        <w:rPr>
          <w:lang w:bidi="en-US"/>
        </w:rPr>
        <w:fldChar w:fldCharType="separate"/>
      </w:r>
      <w:r w:rsidR="00587AF0">
        <w:t xml:space="preserve">Table </w:t>
      </w:r>
      <w:r w:rsidR="00587AF0">
        <w:rPr>
          <w:noProof/>
        </w:rPr>
        <w:t>23</w:t>
      </w:r>
      <w:r w:rsidR="00D20CE7">
        <w:rPr>
          <w:lang w:bidi="en-US"/>
        </w:rPr>
        <w:fldChar w:fldCharType="end"/>
      </w:r>
      <w:r w:rsidR="00D20CE7">
        <w:rPr>
          <w:lang w:bidi="en-US"/>
        </w:rPr>
        <w:t>).</w:t>
      </w:r>
    </w:p>
    <w:p w14:paraId="0600B1FF" w14:textId="0A0DBF44" w:rsidR="009F1EFE" w:rsidRDefault="009F1EFE" w:rsidP="009F1EFE">
      <w:pPr>
        <w:pStyle w:val="Caption"/>
        <w:jc w:val="left"/>
        <w:rPr>
          <w:lang w:bidi="en-US"/>
        </w:rPr>
      </w:pPr>
      <w:bookmarkStart w:id="444" w:name="_Ref94287054"/>
      <w:bookmarkStart w:id="445" w:name="_Toc101274463"/>
      <w:r>
        <w:t xml:space="preserve">Table </w:t>
      </w:r>
      <w:fldSimple w:instr=" SEQ Table \* ARABIC ">
        <w:r w:rsidR="00587AF0">
          <w:rPr>
            <w:noProof/>
          </w:rPr>
          <w:t>23</w:t>
        </w:r>
      </w:fldSimple>
      <w:bookmarkEnd w:id="444"/>
      <w:r>
        <w:t>. Grubb’s test for outliers</w:t>
      </w:r>
      <w:bookmarkEnd w:id="44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99"/>
        <w:gridCol w:w="1084"/>
        <w:gridCol w:w="1153"/>
        <w:gridCol w:w="1151"/>
        <w:gridCol w:w="1129"/>
        <w:gridCol w:w="1134"/>
        <w:gridCol w:w="1099"/>
        <w:gridCol w:w="1068"/>
      </w:tblGrid>
      <w:tr w:rsidR="009F1EFE" w:rsidRPr="00FA2D31" w14:paraId="467F6398" w14:textId="77777777" w:rsidTr="005C54F6">
        <w:tc>
          <w:tcPr>
            <w:tcW w:w="1199" w:type="dxa"/>
            <w:tcBorders>
              <w:top w:val="single" w:sz="4" w:space="0" w:color="auto"/>
              <w:bottom w:val="single" w:sz="4" w:space="0" w:color="auto"/>
            </w:tcBorders>
          </w:tcPr>
          <w:p w14:paraId="63B929D9" w14:textId="77777777" w:rsidR="009F1EFE" w:rsidRPr="00FA2D31" w:rsidRDefault="009F1EFE" w:rsidP="005C54F6">
            <w:pPr>
              <w:spacing w:before="0" w:after="0"/>
              <w:jc w:val="center"/>
              <w:rPr>
                <w:b/>
                <w:bCs/>
                <w:sz w:val="20"/>
                <w:szCs w:val="20"/>
                <w:lang w:bidi="en-US"/>
              </w:rPr>
            </w:pPr>
            <w:r w:rsidRPr="00FA2D31">
              <w:rPr>
                <w:b/>
                <w:bCs/>
                <w:sz w:val="20"/>
                <w:szCs w:val="20"/>
                <w:lang w:bidi="en-US"/>
              </w:rPr>
              <w:t>Variable</w:t>
            </w:r>
          </w:p>
        </w:tc>
        <w:tc>
          <w:tcPr>
            <w:tcW w:w="1084" w:type="dxa"/>
            <w:tcBorders>
              <w:top w:val="single" w:sz="4" w:space="0" w:color="auto"/>
              <w:bottom w:val="single" w:sz="4" w:space="0" w:color="auto"/>
            </w:tcBorders>
          </w:tcPr>
          <w:p w14:paraId="51875C19" w14:textId="77777777" w:rsidR="009F1EFE" w:rsidRPr="00FA2D31" w:rsidRDefault="009F1EFE" w:rsidP="005C54F6">
            <w:pPr>
              <w:spacing w:before="0" w:after="0"/>
              <w:jc w:val="center"/>
              <w:rPr>
                <w:b/>
                <w:bCs/>
                <w:i/>
                <w:iCs/>
                <w:sz w:val="20"/>
                <w:szCs w:val="20"/>
                <w:lang w:bidi="en-US"/>
              </w:rPr>
            </w:pPr>
            <w:r w:rsidRPr="00FA2D31">
              <w:rPr>
                <w:b/>
                <w:bCs/>
                <w:i/>
                <w:iCs/>
                <w:sz w:val="20"/>
                <w:szCs w:val="20"/>
                <w:lang w:bidi="en-US"/>
              </w:rPr>
              <w:t>n</w:t>
            </w:r>
          </w:p>
        </w:tc>
        <w:tc>
          <w:tcPr>
            <w:tcW w:w="1153" w:type="dxa"/>
            <w:tcBorders>
              <w:top w:val="single" w:sz="4" w:space="0" w:color="auto"/>
              <w:bottom w:val="single" w:sz="4" w:space="0" w:color="auto"/>
            </w:tcBorders>
          </w:tcPr>
          <w:p w14:paraId="50E504FF" w14:textId="77777777" w:rsidR="009F1EFE" w:rsidRPr="00FA2D31" w:rsidRDefault="009F1EFE" w:rsidP="005C54F6">
            <w:pPr>
              <w:spacing w:before="0" w:after="0"/>
              <w:jc w:val="center"/>
              <w:rPr>
                <w:b/>
                <w:bCs/>
                <w:sz w:val="20"/>
                <w:szCs w:val="20"/>
                <w:lang w:bidi="en-US"/>
              </w:rPr>
            </w:pPr>
            <w:r w:rsidRPr="00FA2D31">
              <w:rPr>
                <w:b/>
                <w:bCs/>
                <w:sz w:val="20"/>
                <w:szCs w:val="20"/>
                <w:lang w:bidi="en-US"/>
              </w:rPr>
              <w:t>mean</w:t>
            </w:r>
          </w:p>
        </w:tc>
        <w:tc>
          <w:tcPr>
            <w:tcW w:w="1151" w:type="dxa"/>
            <w:tcBorders>
              <w:top w:val="single" w:sz="4" w:space="0" w:color="auto"/>
              <w:bottom w:val="single" w:sz="4" w:space="0" w:color="auto"/>
            </w:tcBorders>
          </w:tcPr>
          <w:p w14:paraId="7CFD8346" w14:textId="77777777" w:rsidR="009F1EFE" w:rsidRPr="00FA2D31" w:rsidRDefault="009F1EFE" w:rsidP="005C54F6">
            <w:pPr>
              <w:spacing w:before="0" w:after="0"/>
              <w:jc w:val="center"/>
              <w:rPr>
                <w:b/>
                <w:bCs/>
                <w:sz w:val="20"/>
                <w:szCs w:val="20"/>
                <w:lang w:bidi="en-US"/>
              </w:rPr>
            </w:pPr>
            <w:r w:rsidRPr="00FA2D31">
              <w:rPr>
                <w:b/>
                <w:bCs/>
                <w:sz w:val="20"/>
                <w:szCs w:val="20"/>
                <w:lang w:bidi="en-US"/>
              </w:rPr>
              <w:t>stdev</w:t>
            </w:r>
          </w:p>
        </w:tc>
        <w:tc>
          <w:tcPr>
            <w:tcW w:w="1129" w:type="dxa"/>
            <w:tcBorders>
              <w:top w:val="single" w:sz="4" w:space="0" w:color="auto"/>
              <w:bottom w:val="single" w:sz="4" w:space="0" w:color="auto"/>
            </w:tcBorders>
          </w:tcPr>
          <w:p w14:paraId="24A21010" w14:textId="77777777" w:rsidR="009F1EFE" w:rsidRPr="00FA2D31" w:rsidRDefault="009F1EFE" w:rsidP="005C54F6">
            <w:pPr>
              <w:spacing w:before="0" w:after="0"/>
              <w:jc w:val="center"/>
              <w:rPr>
                <w:b/>
                <w:bCs/>
                <w:sz w:val="20"/>
                <w:szCs w:val="20"/>
                <w:lang w:bidi="en-US"/>
              </w:rPr>
            </w:pPr>
            <w:r w:rsidRPr="00FA2D31">
              <w:rPr>
                <w:b/>
                <w:bCs/>
                <w:sz w:val="20"/>
                <w:szCs w:val="20"/>
                <w:lang w:bidi="en-US"/>
              </w:rPr>
              <w:t>min</w:t>
            </w:r>
          </w:p>
        </w:tc>
        <w:tc>
          <w:tcPr>
            <w:tcW w:w="1134" w:type="dxa"/>
            <w:tcBorders>
              <w:top w:val="single" w:sz="4" w:space="0" w:color="auto"/>
              <w:bottom w:val="single" w:sz="4" w:space="0" w:color="auto"/>
            </w:tcBorders>
          </w:tcPr>
          <w:p w14:paraId="784F048F" w14:textId="77777777" w:rsidR="009F1EFE" w:rsidRPr="00FA2D31" w:rsidRDefault="009F1EFE" w:rsidP="005C54F6">
            <w:pPr>
              <w:spacing w:before="0" w:after="0"/>
              <w:jc w:val="center"/>
              <w:rPr>
                <w:b/>
                <w:bCs/>
                <w:sz w:val="20"/>
                <w:szCs w:val="20"/>
                <w:lang w:bidi="en-US"/>
              </w:rPr>
            </w:pPr>
            <w:r w:rsidRPr="00FA2D31">
              <w:rPr>
                <w:b/>
                <w:bCs/>
                <w:sz w:val="20"/>
                <w:szCs w:val="20"/>
                <w:lang w:bidi="en-US"/>
              </w:rPr>
              <w:t>max</w:t>
            </w:r>
          </w:p>
        </w:tc>
        <w:tc>
          <w:tcPr>
            <w:tcW w:w="1099" w:type="dxa"/>
            <w:tcBorders>
              <w:top w:val="single" w:sz="4" w:space="0" w:color="auto"/>
              <w:bottom w:val="single" w:sz="4" w:space="0" w:color="auto"/>
            </w:tcBorders>
          </w:tcPr>
          <w:p w14:paraId="0A6EDE7C" w14:textId="77777777" w:rsidR="009F1EFE" w:rsidRPr="00FA2D31" w:rsidRDefault="009F1EFE" w:rsidP="005C54F6">
            <w:pPr>
              <w:spacing w:before="0" w:after="0"/>
              <w:jc w:val="center"/>
              <w:rPr>
                <w:b/>
                <w:bCs/>
                <w:sz w:val="20"/>
                <w:szCs w:val="20"/>
                <w:lang w:bidi="en-US"/>
              </w:rPr>
            </w:pPr>
            <w:r w:rsidRPr="00FA2D31">
              <w:rPr>
                <w:b/>
                <w:bCs/>
                <w:sz w:val="20"/>
                <w:szCs w:val="20"/>
                <w:lang w:bidi="en-US"/>
              </w:rPr>
              <w:t>G</w:t>
            </w:r>
          </w:p>
        </w:tc>
        <w:tc>
          <w:tcPr>
            <w:tcW w:w="1068" w:type="dxa"/>
            <w:tcBorders>
              <w:top w:val="single" w:sz="4" w:space="0" w:color="auto"/>
              <w:bottom w:val="single" w:sz="4" w:space="0" w:color="auto"/>
            </w:tcBorders>
          </w:tcPr>
          <w:p w14:paraId="5A59EA53" w14:textId="7C372412" w:rsidR="009F1EFE" w:rsidRPr="00FA2D31" w:rsidRDefault="009F1EFE" w:rsidP="005C54F6">
            <w:pPr>
              <w:spacing w:before="0" w:after="0"/>
              <w:jc w:val="center"/>
              <w:rPr>
                <w:b/>
                <w:bCs/>
                <w:i/>
                <w:iCs/>
                <w:sz w:val="20"/>
                <w:szCs w:val="20"/>
                <w:lang w:bidi="en-US"/>
              </w:rPr>
            </w:pPr>
            <w:r w:rsidRPr="00FA2D31">
              <w:rPr>
                <w:b/>
                <w:bCs/>
                <w:i/>
                <w:iCs/>
                <w:sz w:val="20"/>
                <w:szCs w:val="20"/>
                <w:lang w:bidi="en-US"/>
              </w:rPr>
              <w:t>p</w:t>
            </w:r>
            <w:r w:rsidR="005A1E43">
              <w:rPr>
                <w:b/>
                <w:bCs/>
                <w:i/>
                <w:iCs/>
                <w:sz w:val="20"/>
                <w:szCs w:val="20"/>
                <w:lang w:bidi="en-US"/>
              </w:rPr>
              <w:t>-</w:t>
            </w:r>
            <w:r w:rsidRPr="00FA2D31">
              <w:rPr>
                <w:b/>
                <w:bCs/>
                <w:i/>
                <w:iCs/>
                <w:sz w:val="20"/>
                <w:szCs w:val="20"/>
                <w:lang w:bidi="en-US"/>
              </w:rPr>
              <w:t>value</w:t>
            </w:r>
          </w:p>
        </w:tc>
      </w:tr>
      <w:tr w:rsidR="00DA50DF" w:rsidRPr="00FA2D31" w14:paraId="1F43D99B" w14:textId="77777777" w:rsidTr="005C54F6">
        <w:tc>
          <w:tcPr>
            <w:tcW w:w="1199" w:type="dxa"/>
            <w:tcBorders>
              <w:top w:val="single" w:sz="4" w:space="0" w:color="auto"/>
            </w:tcBorders>
          </w:tcPr>
          <w:p w14:paraId="201C9836" w14:textId="77777777" w:rsidR="00DA50DF" w:rsidRPr="00FA2D31" w:rsidRDefault="00DA50DF" w:rsidP="00DA50DF">
            <w:pPr>
              <w:spacing w:before="0" w:after="0"/>
              <w:jc w:val="center"/>
              <w:rPr>
                <w:sz w:val="20"/>
                <w:szCs w:val="20"/>
                <w:lang w:bidi="en-US"/>
              </w:rPr>
            </w:pPr>
            <w:r>
              <w:rPr>
                <w:sz w:val="20"/>
                <w:szCs w:val="20"/>
                <w:lang w:bidi="en-US"/>
              </w:rPr>
              <w:t>APC 4</w:t>
            </w:r>
          </w:p>
        </w:tc>
        <w:tc>
          <w:tcPr>
            <w:tcW w:w="1084" w:type="dxa"/>
            <w:tcBorders>
              <w:top w:val="single" w:sz="4" w:space="0" w:color="auto"/>
            </w:tcBorders>
          </w:tcPr>
          <w:p w14:paraId="040808DE" w14:textId="2500F8A1" w:rsidR="00DA50DF" w:rsidRPr="00FA2D31" w:rsidRDefault="00DA50DF" w:rsidP="00DA50DF">
            <w:pPr>
              <w:spacing w:before="0" w:after="0"/>
              <w:jc w:val="center"/>
              <w:rPr>
                <w:sz w:val="20"/>
                <w:szCs w:val="20"/>
                <w:lang w:bidi="en-US"/>
              </w:rPr>
            </w:pPr>
            <w:r>
              <w:rPr>
                <w:sz w:val="20"/>
                <w:szCs w:val="20"/>
                <w:lang w:bidi="en-US"/>
              </w:rPr>
              <w:t>980</w:t>
            </w:r>
          </w:p>
        </w:tc>
        <w:tc>
          <w:tcPr>
            <w:tcW w:w="1153" w:type="dxa"/>
            <w:tcBorders>
              <w:top w:val="single" w:sz="4" w:space="0" w:color="auto"/>
            </w:tcBorders>
          </w:tcPr>
          <w:p w14:paraId="4348D76F" w14:textId="77777777" w:rsidR="00DA50DF" w:rsidRPr="00FA2D31" w:rsidRDefault="00DA50DF" w:rsidP="00DA50DF">
            <w:pPr>
              <w:spacing w:before="0" w:after="0"/>
              <w:jc w:val="center"/>
              <w:rPr>
                <w:sz w:val="20"/>
                <w:szCs w:val="20"/>
                <w:lang w:bidi="en-US"/>
              </w:rPr>
            </w:pPr>
            <w:r>
              <w:rPr>
                <w:sz w:val="20"/>
                <w:szCs w:val="20"/>
                <w:lang w:bidi="en-US"/>
              </w:rPr>
              <w:t>20.871</w:t>
            </w:r>
          </w:p>
        </w:tc>
        <w:tc>
          <w:tcPr>
            <w:tcW w:w="1151" w:type="dxa"/>
            <w:tcBorders>
              <w:top w:val="single" w:sz="4" w:space="0" w:color="auto"/>
            </w:tcBorders>
          </w:tcPr>
          <w:p w14:paraId="5C7D8C4C" w14:textId="77777777" w:rsidR="00DA50DF" w:rsidRPr="00FA2D31" w:rsidRDefault="00DA50DF" w:rsidP="00DA50DF">
            <w:pPr>
              <w:spacing w:before="0" w:after="0"/>
              <w:jc w:val="center"/>
              <w:rPr>
                <w:sz w:val="20"/>
                <w:szCs w:val="20"/>
                <w:lang w:bidi="en-US"/>
              </w:rPr>
            </w:pPr>
            <w:r>
              <w:rPr>
                <w:sz w:val="20"/>
                <w:szCs w:val="20"/>
                <w:lang w:bidi="en-US"/>
              </w:rPr>
              <w:t>0.563</w:t>
            </w:r>
          </w:p>
        </w:tc>
        <w:tc>
          <w:tcPr>
            <w:tcW w:w="1129" w:type="dxa"/>
            <w:tcBorders>
              <w:top w:val="single" w:sz="4" w:space="0" w:color="auto"/>
            </w:tcBorders>
          </w:tcPr>
          <w:p w14:paraId="577C2AAE" w14:textId="77777777" w:rsidR="00DA50DF" w:rsidRPr="00FA2D31" w:rsidRDefault="00DA50DF" w:rsidP="00DA50DF">
            <w:pPr>
              <w:spacing w:before="0" w:after="0"/>
              <w:jc w:val="center"/>
              <w:rPr>
                <w:sz w:val="20"/>
                <w:szCs w:val="20"/>
                <w:lang w:bidi="en-US"/>
              </w:rPr>
            </w:pPr>
            <w:r>
              <w:rPr>
                <w:sz w:val="20"/>
                <w:szCs w:val="20"/>
                <w:lang w:bidi="en-US"/>
              </w:rPr>
              <w:t>18</w:t>
            </w:r>
          </w:p>
        </w:tc>
        <w:tc>
          <w:tcPr>
            <w:tcW w:w="1134" w:type="dxa"/>
            <w:tcBorders>
              <w:top w:val="single" w:sz="4" w:space="0" w:color="auto"/>
            </w:tcBorders>
          </w:tcPr>
          <w:p w14:paraId="517E44B4" w14:textId="77777777" w:rsidR="00DA50DF" w:rsidRPr="00FA2D31" w:rsidRDefault="00DA50DF" w:rsidP="00DA50DF">
            <w:pPr>
              <w:spacing w:before="0" w:after="0"/>
              <w:jc w:val="center"/>
              <w:rPr>
                <w:sz w:val="20"/>
                <w:szCs w:val="20"/>
                <w:lang w:bidi="en-US"/>
              </w:rPr>
            </w:pPr>
            <w:r>
              <w:rPr>
                <w:sz w:val="20"/>
                <w:szCs w:val="20"/>
                <w:lang w:bidi="en-US"/>
              </w:rPr>
              <w:t>22</w:t>
            </w:r>
          </w:p>
        </w:tc>
        <w:tc>
          <w:tcPr>
            <w:tcW w:w="1099" w:type="dxa"/>
            <w:tcBorders>
              <w:top w:val="single" w:sz="4" w:space="0" w:color="auto"/>
            </w:tcBorders>
          </w:tcPr>
          <w:p w14:paraId="741E9204" w14:textId="77777777" w:rsidR="00DA50DF" w:rsidRPr="00FA2D31" w:rsidRDefault="00DA50DF" w:rsidP="00DA50DF">
            <w:pPr>
              <w:spacing w:before="0" w:after="0"/>
              <w:jc w:val="center"/>
              <w:rPr>
                <w:sz w:val="20"/>
                <w:szCs w:val="20"/>
                <w:lang w:bidi="en-US"/>
              </w:rPr>
            </w:pPr>
            <w:r>
              <w:rPr>
                <w:sz w:val="20"/>
                <w:szCs w:val="20"/>
                <w:lang w:bidi="en-US"/>
              </w:rPr>
              <w:t>5.1</w:t>
            </w:r>
          </w:p>
        </w:tc>
        <w:tc>
          <w:tcPr>
            <w:tcW w:w="1068" w:type="dxa"/>
            <w:tcBorders>
              <w:top w:val="single" w:sz="4" w:space="0" w:color="auto"/>
            </w:tcBorders>
          </w:tcPr>
          <w:p w14:paraId="53D4A17B" w14:textId="77777777" w:rsidR="00DA50DF" w:rsidRPr="00FA2D31" w:rsidRDefault="00DA50DF" w:rsidP="00DA50DF">
            <w:pPr>
              <w:spacing w:before="0" w:after="0"/>
              <w:jc w:val="center"/>
              <w:rPr>
                <w:sz w:val="20"/>
                <w:szCs w:val="20"/>
                <w:lang w:bidi="en-US"/>
              </w:rPr>
            </w:pPr>
            <w:r>
              <w:rPr>
                <w:sz w:val="20"/>
                <w:szCs w:val="20"/>
                <w:lang w:bidi="en-US"/>
              </w:rPr>
              <w:t>0.000</w:t>
            </w:r>
          </w:p>
        </w:tc>
      </w:tr>
      <w:tr w:rsidR="00DA50DF" w:rsidRPr="00FA2D31" w14:paraId="377A3DE3" w14:textId="77777777" w:rsidTr="005C54F6">
        <w:tc>
          <w:tcPr>
            <w:tcW w:w="1199" w:type="dxa"/>
          </w:tcPr>
          <w:p w14:paraId="08FFD4B2" w14:textId="77777777" w:rsidR="00DA50DF" w:rsidRDefault="00DA50DF" w:rsidP="00DA50DF">
            <w:pPr>
              <w:spacing w:before="0" w:after="0"/>
              <w:jc w:val="center"/>
              <w:rPr>
                <w:sz w:val="20"/>
                <w:szCs w:val="20"/>
                <w:lang w:bidi="en-US"/>
              </w:rPr>
            </w:pPr>
            <w:r>
              <w:rPr>
                <w:sz w:val="20"/>
                <w:szCs w:val="20"/>
                <w:lang w:bidi="en-US"/>
              </w:rPr>
              <w:t>APC 6</w:t>
            </w:r>
          </w:p>
        </w:tc>
        <w:tc>
          <w:tcPr>
            <w:tcW w:w="1084" w:type="dxa"/>
          </w:tcPr>
          <w:p w14:paraId="598F6BC8" w14:textId="40CCBA35" w:rsidR="00DA50DF" w:rsidRPr="00FA2D31" w:rsidRDefault="00DA50DF" w:rsidP="00DA50DF">
            <w:pPr>
              <w:spacing w:before="0" w:after="0"/>
              <w:jc w:val="center"/>
              <w:rPr>
                <w:sz w:val="20"/>
                <w:szCs w:val="20"/>
                <w:lang w:bidi="en-US"/>
              </w:rPr>
            </w:pPr>
            <w:r>
              <w:rPr>
                <w:sz w:val="20"/>
                <w:szCs w:val="20"/>
                <w:lang w:bidi="en-US"/>
              </w:rPr>
              <w:t>980</w:t>
            </w:r>
          </w:p>
        </w:tc>
        <w:tc>
          <w:tcPr>
            <w:tcW w:w="1153" w:type="dxa"/>
          </w:tcPr>
          <w:p w14:paraId="6E26BD8E" w14:textId="77777777" w:rsidR="00DA50DF" w:rsidRPr="00FA2D31" w:rsidRDefault="00DA50DF" w:rsidP="00DA50DF">
            <w:pPr>
              <w:spacing w:before="0" w:after="0"/>
              <w:jc w:val="center"/>
              <w:rPr>
                <w:sz w:val="20"/>
                <w:szCs w:val="20"/>
                <w:lang w:bidi="en-US"/>
              </w:rPr>
            </w:pPr>
            <w:r>
              <w:rPr>
                <w:sz w:val="20"/>
                <w:szCs w:val="20"/>
                <w:lang w:bidi="en-US"/>
              </w:rPr>
              <w:t>20.552</w:t>
            </w:r>
          </w:p>
        </w:tc>
        <w:tc>
          <w:tcPr>
            <w:tcW w:w="1151" w:type="dxa"/>
          </w:tcPr>
          <w:p w14:paraId="5F42F1FC" w14:textId="77777777" w:rsidR="00DA50DF" w:rsidRPr="00FA2D31" w:rsidRDefault="00DA50DF" w:rsidP="00DA50DF">
            <w:pPr>
              <w:spacing w:before="0" w:after="0"/>
              <w:jc w:val="center"/>
              <w:rPr>
                <w:sz w:val="20"/>
                <w:szCs w:val="20"/>
                <w:lang w:bidi="en-US"/>
              </w:rPr>
            </w:pPr>
            <w:r>
              <w:rPr>
                <w:sz w:val="20"/>
                <w:szCs w:val="20"/>
                <w:lang w:bidi="en-US"/>
              </w:rPr>
              <w:t>0.666</w:t>
            </w:r>
          </w:p>
        </w:tc>
        <w:tc>
          <w:tcPr>
            <w:tcW w:w="1129" w:type="dxa"/>
          </w:tcPr>
          <w:p w14:paraId="264A4510" w14:textId="77777777" w:rsidR="00DA50DF" w:rsidRPr="00FA2D31" w:rsidRDefault="00DA50DF" w:rsidP="00DA50DF">
            <w:pPr>
              <w:spacing w:before="0" w:after="0"/>
              <w:jc w:val="center"/>
              <w:rPr>
                <w:sz w:val="20"/>
                <w:szCs w:val="20"/>
                <w:lang w:bidi="en-US"/>
              </w:rPr>
            </w:pPr>
            <w:r>
              <w:rPr>
                <w:sz w:val="20"/>
                <w:szCs w:val="20"/>
                <w:lang w:bidi="en-US"/>
              </w:rPr>
              <w:t>17</w:t>
            </w:r>
          </w:p>
        </w:tc>
        <w:tc>
          <w:tcPr>
            <w:tcW w:w="1134" w:type="dxa"/>
          </w:tcPr>
          <w:p w14:paraId="0A483B9A" w14:textId="77777777" w:rsidR="00DA50DF" w:rsidRPr="00FA2D31" w:rsidRDefault="00DA50DF" w:rsidP="00DA50DF">
            <w:pPr>
              <w:spacing w:before="0" w:after="0"/>
              <w:jc w:val="center"/>
              <w:rPr>
                <w:sz w:val="20"/>
                <w:szCs w:val="20"/>
                <w:lang w:bidi="en-US"/>
              </w:rPr>
            </w:pPr>
            <w:r>
              <w:rPr>
                <w:sz w:val="20"/>
                <w:szCs w:val="20"/>
                <w:lang w:bidi="en-US"/>
              </w:rPr>
              <w:t>21</w:t>
            </w:r>
          </w:p>
        </w:tc>
        <w:tc>
          <w:tcPr>
            <w:tcW w:w="1099" w:type="dxa"/>
          </w:tcPr>
          <w:p w14:paraId="10232CAF" w14:textId="77777777" w:rsidR="00DA50DF" w:rsidRPr="00FA2D31" w:rsidRDefault="00DA50DF" w:rsidP="00DA50DF">
            <w:pPr>
              <w:spacing w:before="0" w:after="0"/>
              <w:jc w:val="center"/>
              <w:rPr>
                <w:sz w:val="20"/>
                <w:szCs w:val="20"/>
                <w:lang w:bidi="en-US"/>
              </w:rPr>
            </w:pPr>
            <w:r>
              <w:rPr>
                <w:sz w:val="20"/>
                <w:szCs w:val="20"/>
                <w:lang w:bidi="en-US"/>
              </w:rPr>
              <w:t>5.33</w:t>
            </w:r>
          </w:p>
        </w:tc>
        <w:tc>
          <w:tcPr>
            <w:tcW w:w="1068" w:type="dxa"/>
          </w:tcPr>
          <w:p w14:paraId="3075EFB8" w14:textId="77777777" w:rsidR="00DA50DF" w:rsidRPr="00FA2D31" w:rsidRDefault="00DA50DF" w:rsidP="00DA50DF">
            <w:pPr>
              <w:spacing w:before="0" w:after="0"/>
              <w:jc w:val="center"/>
              <w:rPr>
                <w:sz w:val="20"/>
                <w:szCs w:val="20"/>
                <w:lang w:bidi="en-US"/>
              </w:rPr>
            </w:pPr>
            <w:r>
              <w:rPr>
                <w:sz w:val="20"/>
                <w:szCs w:val="20"/>
                <w:lang w:bidi="en-US"/>
              </w:rPr>
              <w:t>0.000</w:t>
            </w:r>
          </w:p>
        </w:tc>
      </w:tr>
      <w:tr w:rsidR="00DA50DF" w:rsidRPr="00FA2D31" w14:paraId="630F939B" w14:textId="77777777" w:rsidTr="005C54F6">
        <w:tc>
          <w:tcPr>
            <w:tcW w:w="1199" w:type="dxa"/>
          </w:tcPr>
          <w:p w14:paraId="67A4F159" w14:textId="77777777" w:rsidR="00DA50DF" w:rsidRDefault="00DA50DF" w:rsidP="00DA50DF">
            <w:pPr>
              <w:spacing w:before="0" w:after="0"/>
              <w:jc w:val="center"/>
              <w:rPr>
                <w:sz w:val="20"/>
                <w:szCs w:val="20"/>
                <w:lang w:bidi="en-US"/>
              </w:rPr>
            </w:pPr>
            <w:r>
              <w:rPr>
                <w:sz w:val="20"/>
                <w:szCs w:val="20"/>
                <w:lang w:bidi="en-US"/>
              </w:rPr>
              <w:t>APC 14</w:t>
            </w:r>
          </w:p>
        </w:tc>
        <w:tc>
          <w:tcPr>
            <w:tcW w:w="1084" w:type="dxa"/>
          </w:tcPr>
          <w:p w14:paraId="3DCBD2E7" w14:textId="51CACAAB" w:rsidR="00DA50DF" w:rsidRPr="00FA2D31" w:rsidRDefault="00DA50DF" w:rsidP="00DA50DF">
            <w:pPr>
              <w:spacing w:before="0" w:after="0"/>
              <w:jc w:val="center"/>
              <w:rPr>
                <w:sz w:val="20"/>
                <w:szCs w:val="20"/>
                <w:lang w:bidi="en-US"/>
              </w:rPr>
            </w:pPr>
            <w:r>
              <w:rPr>
                <w:sz w:val="20"/>
                <w:szCs w:val="20"/>
                <w:lang w:bidi="en-US"/>
              </w:rPr>
              <w:t>980</w:t>
            </w:r>
          </w:p>
        </w:tc>
        <w:tc>
          <w:tcPr>
            <w:tcW w:w="1153" w:type="dxa"/>
          </w:tcPr>
          <w:p w14:paraId="4F66AD27" w14:textId="77777777" w:rsidR="00DA50DF" w:rsidRPr="00FA2D31" w:rsidRDefault="00DA50DF" w:rsidP="00DA50DF">
            <w:pPr>
              <w:spacing w:before="0" w:after="0"/>
              <w:jc w:val="center"/>
              <w:rPr>
                <w:sz w:val="20"/>
                <w:szCs w:val="20"/>
                <w:lang w:bidi="en-US"/>
              </w:rPr>
            </w:pPr>
            <w:r>
              <w:rPr>
                <w:sz w:val="20"/>
                <w:szCs w:val="20"/>
                <w:lang w:bidi="en-US"/>
              </w:rPr>
              <w:t>16.920</w:t>
            </w:r>
          </w:p>
        </w:tc>
        <w:tc>
          <w:tcPr>
            <w:tcW w:w="1151" w:type="dxa"/>
          </w:tcPr>
          <w:p w14:paraId="310D84B7" w14:textId="77777777" w:rsidR="00DA50DF" w:rsidRPr="00FA2D31" w:rsidRDefault="00DA50DF" w:rsidP="00DA50DF">
            <w:pPr>
              <w:spacing w:before="0" w:after="0"/>
              <w:jc w:val="center"/>
              <w:rPr>
                <w:sz w:val="20"/>
                <w:szCs w:val="20"/>
                <w:lang w:bidi="en-US"/>
              </w:rPr>
            </w:pPr>
            <w:r>
              <w:rPr>
                <w:sz w:val="20"/>
                <w:szCs w:val="20"/>
                <w:lang w:bidi="en-US"/>
              </w:rPr>
              <w:t>0.593</w:t>
            </w:r>
          </w:p>
        </w:tc>
        <w:tc>
          <w:tcPr>
            <w:tcW w:w="1129" w:type="dxa"/>
          </w:tcPr>
          <w:p w14:paraId="6EA92842" w14:textId="77777777" w:rsidR="00DA50DF" w:rsidRPr="00FA2D31" w:rsidRDefault="00DA50DF" w:rsidP="00DA50DF">
            <w:pPr>
              <w:spacing w:before="0" w:after="0"/>
              <w:jc w:val="center"/>
              <w:rPr>
                <w:sz w:val="20"/>
                <w:szCs w:val="20"/>
                <w:lang w:bidi="en-US"/>
              </w:rPr>
            </w:pPr>
            <w:r>
              <w:rPr>
                <w:sz w:val="20"/>
                <w:szCs w:val="20"/>
                <w:lang w:bidi="en-US"/>
              </w:rPr>
              <w:t>15</w:t>
            </w:r>
          </w:p>
        </w:tc>
        <w:tc>
          <w:tcPr>
            <w:tcW w:w="1134" w:type="dxa"/>
          </w:tcPr>
          <w:p w14:paraId="6A7A6CA0" w14:textId="77777777" w:rsidR="00DA50DF" w:rsidRPr="00FA2D31" w:rsidRDefault="00DA50DF" w:rsidP="00DA50DF">
            <w:pPr>
              <w:spacing w:before="0" w:after="0"/>
              <w:jc w:val="center"/>
              <w:rPr>
                <w:sz w:val="20"/>
                <w:szCs w:val="20"/>
                <w:lang w:bidi="en-US"/>
              </w:rPr>
            </w:pPr>
            <w:r>
              <w:rPr>
                <w:sz w:val="20"/>
                <w:szCs w:val="20"/>
                <w:lang w:bidi="en-US"/>
              </w:rPr>
              <w:t>19</w:t>
            </w:r>
          </w:p>
        </w:tc>
        <w:tc>
          <w:tcPr>
            <w:tcW w:w="1099" w:type="dxa"/>
          </w:tcPr>
          <w:p w14:paraId="75A631AE" w14:textId="77777777" w:rsidR="00DA50DF" w:rsidRPr="00FA2D31" w:rsidRDefault="00DA50DF" w:rsidP="00DA50DF">
            <w:pPr>
              <w:spacing w:before="0" w:after="0"/>
              <w:jc w:val="center"/>
              <w:rPr>
                <w:sz w:val="20"/>
                <w:szCs w:val="20"/>
                <w:lang w:bidi="en-US"/>
              </w:rPr>
            </w:pPr>
            <w:r>
              <w:rPr>
                <w:sz w:val="20"/>
                <w:szCs w:val="20"/>
                <w:lang w:bidi="en-US"/>
              </w:rPr>
              <w:t>3.51</w:t>
            </w:r>
          </w:p>
        </w:tc>
        <w:tc>
          <w:tcPr>
            <w:tcW w:w="1068" w:type="dxa"/>
          </w:tcPr>
          <w:p w14:paraId="03CCCE36" w14:textId="77777777" w:rsidR="00DA50DF" w:rsidRPr="00FA2D31" w:rsidRDefault="00DA50DF" w:rsidP="00DA50DF">
            <w:pPr>
              <w:spacing w:before="0" w:after="0"/>
              <w:jc w:val="center"/>
              <w:rPr>
                <w:sz w:val="20"/>
                <w:szCs w:val="20"/>
                <w:lang w:bidi="en-US"/>
              </w:rPr>
            </w:pPr>
            <w:r>
              <w:rPr>
                <w:sz w:val="20"/>
                <w:szCs w:val="20"/>
                <w:lang w:bidi="en-US"/>
              </w:rPr>
              <w:t>0.393</w:t>
            </w:r>
          </w:p>
        </w:tc>
      </w:tr>
      <w:tr w:rsidR="00DA50DF" w:rsidRPr="00FA2D31" w14:paraId="33E277D2" w14:textId="77777777" w:rsidTr="005C54F6">
        <w:tc>
          <w:tcPr>
            <w:tcW w:w="1199" w:type="dxa"/>
            <w:tcBorders>
              <w:bottom w:val="single" w:sz="4" w:space="0" w:color="auto"/>
            </w:tcBorders>
          </w:tcPr>
          <w:p w14:paraId="679E7EAB" w14:textId="77777777" w:rsidR="00DA50DF" w:rsidRPr="00FA2D31" w:rsidRDefault="00DA50DF" w:rsidP="00DA50DF">
            <w:pPr>
              <w:spacing w:before="0" w:after="0"/>
              <w:jc w:val="center"/>
              <w:rPr>
                <w:sz w:val="20"/>
                <w:szCs w:val="20"/>
                <w:lang w:bidi="en-US"/>
              </w:rPr>
            </w:pPr>
            <w:r>
              <w:rPr>
                <w:sz w:val="20"/>
                <w:szCs w:val="20"/>
                <w:lang w:bidi="en-US"/>
              </w:rPr>
              <w:t>HyPower</w:t>
            </w:r>
          </w:p>
        </w:tc>
        <w:tc>
          <w:tcPr>
            <w:tcW w:w="1084" w:type="dxa"/>
            <w:tcBorders>
              <w:bottom w:val="single" w:sz="4" w:space="0" w:color="auto"/>
            </w:tcBorders>
          </w:tcPr>
          <w:p w14:paraId="466E4C66" w14:textId="55596892" w:rsidR="00DA50DF" w:rsidRPr="00FA2D31" w:rsidRDefault="00DA50DF" w:rsidP="00DA50DF">
            <w:pPr>
              <w:spacing w:before="0" w:after="0"/>
              <w:jc w:val="center"/>
              <w:rPr>
                <w:sz w:val="20"/>
                <w:szCs w:val="20"/>
                <w:lang w:bidi="en-US"/>
              </w:rPr>
            </w:pPr>
            <w:r>
              <w:rPr>
                <w:sz w:val="20"/>
                <w:szCs w:val="20"/>
                <w:lang w:bidi="en-US"/>
              </w:rPr>
              <w:t>980</w:t>
            </w:r>
          </w:p>
        </w:tc>
        <w:tc>
          <w:tcPr>
            <w:tcW w:w="1153" w:type="dxa"/>
            <w:tcBorders>
              <w:bottom w:val="single" w:sz="4" w:space="0" w:color="auto"/>
            </w:tcBorders>
          </w:tcPr>
          <w:p w14:paraId="1075BC93" w14:textId="3ACB20F2" w:rsidR="00DA50DF" w:rsidRPr="00FA2D31" w:rsidRDefault="00DA50DF" w:rsidP="00DA50DF">
            <w:pPr>
              <w:spacing w:before="0" w:after="0"/>
              <w:jc w:val="center"/>
              <w:rPr>
                <w:sz w:val="20"/>
                <w:szCs w:val="20"/>
                <w:lang w:bidi="en-US"/>
              </w:rPr>
            </w:pPr>
            <w:r>
              <w:rPr>
                <w:sz w:val="20"/>
                <w:szCs w:val="20"/>
                <w:lang w:bidi="en-US"/>
              </w:rPr>
              <w:t>0.0357</w:t>
            </w:r>
          </w:p>
        </w:tc>
        <w:tc>
          <w:tcPr>
            <w:tcW w:w="1151" w:type="dxa"/>
            <w:tcBorders>
              <w:bottom w:val="single" w:sz="4" w:space="0" w:color="auto"/>
            </w:tcBorders>
          </w:tcPr>
          <w:p w14:paraId="0FD00CE0" w14:textId="076D5782" w:rsidR="00DA50DF" w:rsidRPr="00FA2D31" w:rsidRDefault="00DA50DF" w:rsidP="00DA50DF">
            <w:pPr>
              <w:spacing w:before="0" w:after="0"/>
              <w:jc w:val="center"/>
              <w:rPr>
                <w:sz w:val="20"/>
                <w:szCs w:val="20"/>
                <w:lang w:bidi="en-US"/>
              </w:rPr>
            </w:pPr>
            <w:r>
              <w:rPr>
                <w:sz w:val="20"/>
                <w:szCs w:val="20"/>
                <w:lang w:bidi="en-US"/>
              </w:rPr>
              <w:t>0.03</w:t>
            </w:r>
            <w:r w:rsidR="007B300E">
              <w:rPr>
                <w:sz w:val="20"/>
                <w:szCs w:val="20"/>
                <w:lang w:bidi="en-US"/>
              </w:rPr>
              <w:t>6</w:t>
            </w:r>
          </w:p>
        </w:tc>
        <w:tc>
          <w:tcPr>
            <w:tcW w:w="1129" w:type="dxa"/>
            <w:tcBorders>
              <w:bottom w:val="single" w:sz="4" w:space="0" w:color="auto"/>
            </w:tcBorders>
          </w:tcPr>
          <w:p w14:paraId="3B8AAD11" w14:textId="6116E105" w:rsidR="00DA50DF" w:rsidRPr="00FA2D31" w:rsidRDefault="00DA50DF" w:rsidP="00DA50DF">
            <w:pPr>
              <w:spacing w:before="0" w:after="0"/>
              <w:jc w:val="center"/>
              <w:rPr>
                <w:sz w:val="20"/>
                <w:szCs w:val="20"/>
                <w:lang w:bidi="en-US"/>
              </w:rPr>
            </w:pPr>
            <w:r>
              <w:rPr>
                <w:sz w:val="20"/>
                <w:szCs w:val="20"/>
                <w:lang w:bidi="en-US"/>
              </w:rPr>
              <w:t>0.00</w:t>
            </w:r>
            <w:r w:rsidR="007B300E">
              <w:rPr>
                <w:sz w:val="20"/>
                <w:szCs w:val="20"/>
                <w:lang w:bidi="en-US"/>
              </w:rPr>
              <w:t>33</w:t>
            </w:r>
          </w:p>
        </w:tc>
        <w:tc>
          <w:tcPr>
            <w:tcW w:w="1134" w:type="dxa"/>
            <w:tcBorders>
              <w:bottom w:val="single" w:sz="4" w:space="0" w:color="auto"/>
            </w:tcBorders>
          </w:tcPr>
          <w:p w14:paraId="521E27C9" w14:textId="53DAB84F" w:rsidR="00DA50DF" w:rsidRPr="00FA2D31" w:rsidRDefault="00DA50DF" w:rsidP="00DA50DF">
            <w:pPr>
              <w:spacing w:before="0" w:after="0"/>
              <w:jc w:val="center"/>
              <w:rPr>
                <w:sz w:val="20"/>
                <w:szCs w:val="20"/>
                <w:lang w:bidi="en-US"/>
              </w:rPr>
            </w:pPr>
            <w:r>
              <w:rPr>
                <w:sz w:val="20"/>
                <w:szCs w:val="20"/>
                <w:lang w:bidi="en-US"/>
              </w:rPr>
              <w:t>0.005</w:t>
            </w:r>
            <w:r w:rsidR="007B300E">
              <w:rPr>
                <w:sz w:val="20"/>
                <w:szCs w:val="20"/>
                <w:lang w:bidi="en-US"/>
              </w:rPr>
              <w:t>4</w:t>
            </w:r>
          </w:p>
        </w:tc>
        <w:tc>
          <w:tcPr>
            <w:tcW w:w="1099" w:type="dxa"/>
            <w:tcBorders>
              <w:bottom w:val="single" w:sz="4" w:space="0" w:color="auto"/>
            </w:tcBorders>
          </w:tcPr>
          <w:p w14:paraId="69E93637" w14:textId="77777777" w:rsidR="00DA50DF" w:rsidRPr="00FA2D31" w:rsidRDefault="00DA50DF" w:rsidP="00DA50DF">
            <w:pPr>
              <w:spacing w:before="0" w:after="0"/>
              <w:jc w:val="center"/>
              <w:rPr>
                <w:sz w:val="20"/>
                <w:szCs w:val="20"/>
                <w:lang w:bidi="en-US"/>
              </w:rPr>
            </w:pPr>
            <w:r>
              <w:rPr>
                <w:sz w:val="20"/>
                <w:szCs w:val="20"/>
                <w:lang w:bidi="en-US"/>
              </w:rPr>
              <w:t>0.0586</w:t>
            </w:r>
          </w:p>
        </w:tc>
        <w:tc>
          <w:tcPr>
            <w:tcW w:w="1068" w:type="dxa"/>
            <w:tcBorders>
              <w:bottom w:val="single" w:sz="4" w:space="0" w:color="auto"/>
            </w:tcBorders>
          </w:tcPr>
          <w:p w14:paraId="32D1C0E9" w14:textId="77777777" w:rsidR="00DA50DF" w:rsidRPr="00FA2D31" w:rsidRDefault="00DA50DF" w:rsidP="00DA50DF">
            <w:pPr>
              <w:spacing w:before="0" w:after="0"/>
              <w:jc w:val="center"/>
              <w:rPr>
                <w:sz w:val="20"/>
                <w:szCs w:val="20"/>
                <w:lang w:bidi="en-US"/>
              </w:rPr>
            </w:pPr>
            <w:r>
              <w:rPr>
                <w:sz w:val="20"/>
                <w:szCs w:val="20"/>
                <w:lang w:bidi="en-US"/>
              </w:rPr>
              <w:t>0.000</w:t>
            </w:r>
          </w:p>
        </w:tc>
      </w:tr>
    </w:tbl>
    <w:p w14:paraId="121B9094" w14:textId="656E141C" w:rsidR="009F1EFE" w:rsidRDefault="00E156D2" w:rsidP="00E156D2">
      <w:r>
        <w:rPr>
          <w:lang w:bidi="en-US"/>
        </w:rPr>
        <w:t xml:space="preserve">The linearity </w:t>
      </w:r>
      <w:r w:rsidR="006A0931">
        <w:rPr>
          <w:lang w:bidi="en-US"/>
        </w:rPr>
        <w:t>implies</w:t>
      </w:r>
      <w:r>
        <w:rPr>
          <w:lang w:bidi="en-US"/>
        </w:rPr>
        <w:t xml:space="preserve"> that </w:t>
      </w:r>
      <w:r w:rsidR="006A0931">
        <w:rPr>
          <w:lang w:bidi="en-US"/>
        </w:rPr>
        <w:t xml:space="preserve">a </w:t>
      </w:r>
      <w:r>
        <w:rPr>
          <w:lang w:bidi="en-US"/>
        </w:rPr>
        <w:t>straight line is formed between the tested pairs</w:t>
      </w:r>
      <w:r w:rsidR="006A0931">
        <w:rPr>
          <w:lang w:bidi="en-US"/>
        </w:rPr>
        <w:t xml:space="preserve">, i.e., </w:t>
      </w:r>
      <w:r w:rsidR="005A1E43">
        <w:rPr>
          <w:lang w:bidi="en-US"/>
        </w:rPr>
        <w:t xml:space="preserve">a </w:t>
      </w:r>
      <w:r w:rsidR="006A0931">
        <w:rPr>
          <w:lang w:bidi="en-US"/>
        </w:rPr>
        <w:t xml:space="preserve">scatterplot shows </w:t>
      </w:r>
      <w:r w:rsidR="005A1E43">
        <w:rPr>
          <w:lang w:bidi="en-US"/>
        </w:rPr>
        <w:t xml:space="preserve">the </w:t>
      </w:r>
      <w:r w:rsidR="006A0931">
        <w:rPr>
          <w:lang w:bidi="en-US"/>
        </w:rPr>
        <w:t xml:space="preserve">linear distribution of </w:t>
      </w:r>
      <w:r w:rsidR="006A0931">
        <w:rPr>
          <w:i/>
          <w:iCs/>
          <w:lang w:bidi="en-US"/>
        </w:rPr>
        <w:t>x</w:t>
      </w:r>
      <w:r w:rsidR="006A0931">
        <w:rPr>
          <w:lang w:bidi="en-US"/>
        </w:rPr>
        <w:t xml:space="preserve"> and </w:t>
      </w:r>
      <w:r w:rsidR="006A0931">
        <w:rPr>
          <w:i/>
          <w:iCs/>
          <w:lang w:bidi="en-US"/>
        </w:rPr>
        <w:t>y</w:t>
      </w:r>
      <w:r w:rsidR="006A0931">
        <w:rPr>
          <w:lang w:bidi="en-US"/>
        </w:rPr>
        <w:t xml:space="preserve"> values</w:t>
      </w:r>
      <w:r>
        <w:rPr>
          <w:lang w:bidi="en-US"/>
        </w:rPr>
        <w:t>. Implicitly, the a</w:t>
      </w:r>
      <w:r w:rsidR="005A1E43">
        <w:rPr>
          <w:lang w:bidi="en-US"/>
        </w:rPr>
        <w:t>ssumptions above</w:t>
      </w:r>
      <w:r>
        <w:rPr>
          <w:lang w:bidi="en-US"/>
        </w:rPr>
        <w:t xml:space="preserve"> state that both variables should be normally distributed (</w:t>
      </w:r>
      <w:r>
        <w:rPr>
          <w:lang w:bidi="en-US"/>
        </w:rPr>
        <w:fldChar w:fldCharType="begin"/>
      </w:r>
      <w:r>
        <w:rPr>
          <w:lang w:bidi="en-US"/>
        </w:rPr>
        <w:instrText xml:space="preserve"> REF _Ref94288614 \h </w:instrText>
      </w:r>
      <w:r>
        <w:rPr>
          <w:lang w:bidi="en-US"/>
        </w:rPr>
      </w:r>
      <w:r>
        <w:rPr>
          <w:lang w:bidi="en-US"/>
        </w:rPr>
        <w:fldChar w:fldCharType="separate"/>
      </w:r>
      <w:r w:rsidR="00587AF0">
        <w:t xml:space="preserve">Table </w:t>
      </w:r>
      <w:r w:rsidR="00587AF0">
        <w:rPr>
          <w:noProof/>
        </w:rPr>
        <w:t>24</w:t>
      </w:r>
      <w:r>
        <w:rPr>
          <w:lang w:bidi="en-US"/>
        </w:rPr>
        <w:fldChar w:fldCharType="end"/>
      </w:r>
      <w:r>
        <w:rPr>
          <w:lang w:bidi="en-US"/>
        </w:rPr>
        <w:t>)</w:t>
      </w:r>
      <w:r w:rsidR="005A1E43">
        <w:rPr>
          <w:lang w:bidi="en-US"/>
        </w:rPr>
        <w:t xml:space="preserve"> and</w:t>
      </w:r>
      <w:r>
        <w:rPr>
          <w:lang w:bidi="en-US"/>
        </w:rPr>
        <w:t xml:space="preserve"> linearity and homoscedasticity (equal distribut</w:t>
      </w:r>
      <w:r w:rsidR="006A0931">
        <w:rPr>
          <w:lang w:bidi="en-US"/>
        </w:rPr>
        <w:t>ion of</w:t>
      </w:r>
      <w:r>
        <w:rPr>
          <w:lang w:bidi="en-US"/>
        </w:rPr>
        <w:t xml:space="preserve"> </w:t>
      </w:r>
      <w:r w:rsidR="006A0931">
        <w:rPr>
          <w:lang w:bidi="en-US"/>
        </w:rPr>
        <w:t>residuals</w:t>
      </w:r>
      <w:r>
        <w:rPr>
          <w:lang w:bidi="en-US"/>
        </w:rPr>
        <w:t xml:space="preserve"> around the regression line). </w:t>
      </w:r>
      <w:r w:rsidR="00000225">
        <w:rPr>
          <w:lang w:bidi="en-US"/>
        </w:rPr>
        <w:t>Hence, since the data shows the presence of outliers, the same data will be removed and test</w:t>
      </w:r>
      <w:r w:rsidR="005A1E43">
        <w:rPr>
          <w:lang w:bidi="en-US"/>
        </w:rPr>
        <w:t>ed;</w:t>
      </w:r>
      <w:r w:rsidR="00000225">
        <w:rPr>
          <w:lang w:bidi="en-US"/>
        </w:rPr>
        <w:t xml:space="preserve"> in other instance</w:t>
      </w:r>
      <w:r w:rsidR="005A1E43">
        <w:rPr>
          <w:lang w:bidi="en-US"/>
        </w:rPr>
        <w:t>s,</w:t>
      </w:r>
      <w:r w:rsidR="00000225">
        <w:rPr>
          <w:lang w:bidi="en-US"/>
        </w:rPr>
        <w:t xml:space="preserve"> non-</w:t>
      </w:r>
      <w:r>
        <w:rPr>
          <w:lang w:bidi="en-US"/>
        </w:rPr>
        <w:t xml:space="preserve">parametric </w:t>
      </w:r>
      <w:r w:rsidRPr="005C6D04">
        <w:rPr>
          <w:i/>
          <w:iCs/>
          <w:lang w:bidi="en-US"/>
        </w:rPr>
        <w:t>Spearman’s</w:t>
      </w:r>
      <w:r>
        <w:rPr>
          <w:lang w:bidi="en-US"/>
        </w:rPr>
        <w:t xml:space="preserve"> </w:t>
      </w:r>
      <w:r>
        <w:rPr>
          <w:i/>
          <w:iCs/>
          <w:lang w:bidi="en-US"/>
        </w:rPr>
        <w:t>ρ</w:t>
      </w:r>
      <w:r>
        <w:rPr>
          <w:lang w:bidi="en-US"/>
        </w:rPr>
        <w:t xml:space="preserve"> </w:t>
      </w:r>
      <w:r w:rsidR="005A1E43">
        <w:rPr>
          <w:lang w:bidi="en-US"/>
        </w:rPr>
        <w:t xml:space="preserve">is </w:t>
      </w:r>
      <w:r>
        <w:rPr>
          <w:lang w:bidi="en-US"/>
        </w:rPr>
        <w:t>chose</w:t>
      </w:r>
      <w:r w:rsidR="005A1E43">
        <w:rPr>
          <w:lang w:bidi="en-US"/>
        </w:rPr>
        <w:t xml:space="preserve">n </w:t>
      </w:r>
      <w:r w:rsidR="006A0931">
        <w:rPr>
          <w:lang w:bidi="en-US"/>
        </w:rPr>
        <w:t xml:space="preserve">instead </w:t>
      </w:r>
      <w:r>
        <w:rPr>
          <w:lang w:bidi="en-US"/>
        </w:rPr>
        <w:t>since it does not carry any assumption about the d</w:t>
      </w:r>
      <w:r w:rsidR="006C6769">
        <w:rPr>
          <w:lang w:bidi="en-US"/>
        </w:rPr>
        <w:t>ata distribution</w:t>
      </w:r>
      <w:r>
        <w:rPr>
          <w:lang w:bidi="en-US"/>
        </w:rPr>
        <w:t>.</w:t>
      </w:r>
    </w:p>
    <w:p w14:paraId="468636B6" w14:textId="12F5E0AA" w:rsidR="009F1EFE" w:rsidRDefault="009F1EFE" w:rsidP="009F1EFE">
      <w:pPr>
        <w:pStyle w:val="Caption"/>
        <w:jc w:val="left"/>
      </w:pPr>
      <w:bookmarkStart w:id="446" w:name="_Ref94288614"/>
      <w:bookmarkStart w:id="447" w:name="_Toc101274464"/>
      <w:r>
        <w:t xml:space="preserve">Table </w:t>
      </w:r>
      <w:fldSimple w:instr=" SEQ Table \* ARABIC ">
        <w:r w:rsidR="00587AF0">
          <w:rPr>
            <w:noProof/>
          </w:rPr>
          <w:t>24</w:t>
        </w:r>
      </w:fldSimple>
      <w:bookmarkEnd w:id="446"/>
      <w:r>
        <w:t>. Anderson-Darling normality test</w:t>
      </w:r>
      <w:r w:rsidR="00E218A7">
        <w:t xml:space="preserve"> (with </w:t>
      </w:r>
      <w:r w:rsidR="00E218A7" w:rsidRPr="00E218A7">
        <w:t xml:space="preserve">α </w:t>
      </w:r>
      <w:r w:rsidR="00E218A7">
        <w:t>&lt;</w:t>
      </w:r>
      <w:r w:rsidR="00E218A7" w:rsidRPr="00E218A7">
        <w:t xml:space="preserve"> 0</w:t>
      </w:r>
      <w:r w:rsidR="00AA031A">
        <w:t>.</w:t>
      </w:r>
      <w:r w:rsidR="00E218A7" w:rsidRPr="00E218A7">
        <w:t>05</w:t>
      </w:r>
      <w:r w:rsidR="00E218A7">
        <w:t>)</w:t>
      </w:r>
      <w:bookmarkEnd w:id="44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99"/>
        <w:gridCol w:w="1084"/>
        <w:gridCol w:w="1153"/>
        <w:gridCol w:w="1151"/>
        <w:gridCol w:w="1129"/>
        <w:gridCol w:w="1134"/>
        <w:gridCol w:w="1099"/>
        <w:gridCol w:w="1068"/>
      </w:tblGrid>
      <w:tr w:rsidR="009F1EFE" w:rsidRPr="00FA2D31" w14:paraId="5EB87EA7" w14:textId="77777777" w:rsidTr="005C54F6">
        <w:tc>
          <w:tcPr>
            <w:tcW w:w="1199" w:type="dxa"/>
            <w:tcBorders>
              <w:top w:val="single" w:sz="4" w:space="0" w:color="auto"/>
              <w:bottom w:val="single" w:sz="4" w:space="0" w:color="auto"/>
            </w:tcBorders>
          </w:tcPr>
          <w:p w14:paraId="25EDBFC2" w14:textId="77777777" w:rsidR="009F1EFE" w:rsidRPr="00FA2D31" w:rsidRDefault="009F1EFE" w:rsidP="005C54F6">
            <w:pPr>
              <w:spacing w:before="0" w:after="0"/>
              <w:jc w:val="center"/>
              <w:rPr>
                <w:b/>
                <w:bCs/>
                <w:sz w:val="20"/>
                <w:szCs w:val="20"/>
                <w:lang w:bidi="en-US"/>
              </w:rPr>
            </w:pPr>
            <w:r w:rsidRPr="00FA2D31">
              <w:rPr>
                <w:b/>
                <w:bCs/>
                <w:sz w:val="20"/>
                <w:szCs w:val="20"/>
                <w:lang w:bidi="en-US"/>
              </w:rPr>
              <w:t>Variable</w:t>
            </w:r>
          </w:p>
        </w:tc>
        <w:tc>
          <w:tcPr>
            <w:tcW w:w="1084" w:type="dxa"/>
            <w:tcBorders>
              <w:top w:val="single" w:sz="4" w:space="0" w:color="auto"/>
              <w:bottom w:val="single" w:sz="4" w:space="0" w:color="auto"/>
            </w:tcBorders>
          </w:tcPr>
          <w:p w14:paraId="2CE22E93" w14:textId="77777777" w:rsidR="009F1EFE" w:rsidRPr="00FA2D31" w:rsidRDefault="009F1EFE" w:rsidP="005C54F6">
            <w:pPr>
              <w:spacing w:before="0" w:after="0"/>
              <w:jc w:val="center"/>
              <w:rPr>
                <w:b/>
                <w:bCs/>
                <w:i/>
                <w:iCs/>
                <w:sz w:val="20"/>
                <w:szCs w:val="20"/>
                <w:lang w:bidi="en-US"/>
              </w:rPr>
            </w:pPr>
            <w:r w:rsidRPr="00FA2D31">
              <w:rPr>
                <w:b/>
                <w:bCs/>
                <w:i/>
                <w:iCs/>
                <w:sz w:val="20"/>
                <w:szCs w:val="20"/>
                <w:lang w:bidi="en-US"/>
              </w:rPr>
              <w:t>n</w:t>
            </w:r>
          </w:p>
        </w:tc>
        <w:tc>
          <w:tcPr>
            <w:tcW w:w="1153" w:type="dxa"/>
            <w:tcBorders>
              <w:top w:val="single" w:sz="4" w:space="0" w:color="auto"/>
              <w:bottom w:val="single" w:sz="4" w:space="0" w:color="auto"/>
            </w:tcBorders>
          </w:tcPr>
          <w:p w14:paraId="7C21809C" w14:textId="77777777" w:rsidR="009F1EFE" w:rsidRPr="00FA2D31" w:rsidRDefault="009F1EFE" w:rsidP="005C54F6">
            <w:pPr>
              <w:spacing w:before="0" w:after="0"/>
              <w:jc w:val="center"/>
              <w:rPr>
                <w:b/>
                <w:bCs/>
                <w:sz w:val="20"/>
                <w:szCs w:val="20"/>
                <w:lang w:bidi="en-US"/>
              </w:rPr>
            </w:pPr>
            <w:r w:rsidRPr="00FA2D31">
              <w:rPr>
                <w:b/>
                <w:bCs/>
                <w:sz w:val="20"/>
                <w:szCs w:val="20"/>
                <w:lang w:bidi="en-US"/>
              </w:rPr>
              <w:t>mean</w:t>
            </w:r>
          </w:p>
        </w:tc>
        <w:tc>
          <w:tcPr>
            <w:tcW w:w="1151" w:type="dxa"/>
            <w:tcBorders>
              <w:top w:val="single" w:sz="4" w:space="0" w:color="auto"/>
              <w:bottom w:val="single" w:sz="4" w:space="0" w:color="auto"/>
            </w:tcBorders>
          </w:tcPr>
          <w:p w14:paraId="2C4FDE41" w14:textId="77777777" w:rsidR="009F1EFE" w:rsidRPr="00FA2D31" w:rsidRDefault="009F1EFE" w:rsidP="005C54F6">
            <w:pPr>
              <w:spacing w:before="0" w:after="0"/>
              <w:jc w:val="center"/>
              <w:rPr>
                <w:b/>
                <w:bCs/>
                <w:sz w:val="20"/>
                <w:szCs w:val="20"/>
                <w:lang w:bidi="en-US"/>
              </w:rPr>
            </w:pPr>
            <w:r w:rsidRPr="00FA2D31">
              <w:rPr>
                <w:b/>
                <w:bCs/>
                <w:sz w:val="20"/>
                <w:szCs w:val="20"/>
                <w:lang w:bidi="en-US"/>
              </w:rPr>
              <w:t>stdev</w:t>
            </w:r>
          </w:p>
        </w:tc>
        <w:tc>
          <w:tcPr>
            <w:tcW w:w="1129" w:type="dxa"/>
            <w:tcBorders>
              <w:top w:val="single" w:sz="4" w:space="0" w:color="auto"/>
              <w:bottom w:val="single" w:sz="4" w:space="0" w:color="auto"/>
            </w:tcBorders>
          </w:tcPr>
          <w:p w14:paraId="0F0E2794" w14:textId="77777777" w:rsidR="009F1EFE" w:rsidRPr="00FA2D31" w:rsidRDefault="009F1EFE" w:rsidP="005C54F6">
            <w:pPr>
              <w:spacing w:before="0" w:after="0"/>
              <w:jc w:val="center"/>
              <w:rPr>
                <w:b/>
                <w:bCs/>
                <w:sz w:val="20"/>
                <w:szCs w:val="20"/>
                <w:lang w:bidi="en-US"/>
              </w:rPr>
            </w:pPr>
            <w:r w:rsidRPr="00FA2D31">
              <w:rPr>
                <w:b/>
                <w:bCs/>
                <w:sz w:val="20"/>
                <w:szCs w:val="20"/>
                <w:lang w:bidi="en-US"/>
              </w:rPr>
              <w:t>min</w:t>
            </w:r>
          </w:p>
        </w:tc>
        <w:tc>
          <w:tcPr>
            <w:tcW w:w="1134" w:type="dxa"/>
            <w:tcBorders>
              <w:top w:val="single" w:sz="4" w:space="0" w:color="auto"/>
              <w:bottom w:val="single" w:sz="4" w:space="0" w:color="auto"/>
            </w:tcBorders>
          </w:tcPr>
          <w:p w14:paraId="2D110294" w14:textId="77777777" w:rsidR="009F1EFE" w:rsidRPr="00FA2D31" w:rsidRDefault="009F1EFE" w:rsidP="005C54F6">
            <w:pPr>
              <w:spacing w:before="0" w:after="0"/>
              <w:jc w:val="center"/>
              <w:rPr>
                <w:b/>
                <w:bCs/>
                <w:sz w:val="20"/>
                <w:szCs w:val="20"/>
                <w:lang w:bidi="en-US"/>
              </w:rPr>
            </w:pPr>
            <w:r w:rsidRPr="00FA2D31">
              <w:rPr>
                <w:b/>
                <w:bCs/>
                <w:sz w:val="20"/>
                <w:szCs w:val="20"/>
                <w:lang w:bidi="en-US"/>
              </w:rPr>
              <w:t>max</w:t>
            </w:r>
          </w:p>
        </w:tc>
        <w:tc>
          <w:tcPr>
            <w:tcW w:w="1099" w:type="dxa"/>
            <w:tcBorders>
              <w:top w:val="single" w:sz="4" w:space="0" w:color="auto"/>
              <w:bottom w:val="single" w:sz="4" w:space="0" w:color="auto"/>
            </w:tcBorders>
          </w:tcPr>
          <w:p w14:paraId="009CA8E2" w14:textId="77777777" w:rsidR="009F1EFE" w:rsidRPr="00FA2D31" w:rsidRDefault="009F1EFE" w:rsidP="005C54F6">
            <w:pPr>
              <w:spacing w:before="0" w:after="0"/>
              <w:jc w:val="center"/>
              <w:rPr>
                <w:b/>
                <w:bCs/>
                <w:sz w:val="20"/>
                <w:szCs w:val="20"/>
                <w:lang w:bidi="en-US"/>
              </w:rPr>
            </w:pPr>
            <w:r>
              <w:rPr>
                <w:b/>
                <w:bCs/>
                <w:sz w:val="20"/>
                <w:szCs w:val="20"/>
                <w:lang w:bidi="en-US"/>
              </w:rPr>
              <w:t>AD</w:t>
            </w:r>
          </w:p>
        </w:tc>
        <w:tc>
          <w:tcPr>
            <w:tcW w:w="1068" w:type="dxa"/>
            <w:tcBorders>
              <w:top w:val="single" w:sz="4" w:space="0" w:color="auto"/>
              <w:bottom w:val="single" w:sz="4" w:space="0" w:color="auto"/>
            </w:tcBorders>
          </w:tcPr>
          <w:p w14:paraId="150793A9" w14:textId="77777777" w:rsidR="009F1EFE" w:rsidRPr="00FA2D31" w:rsidRDefault="009F1EFE" w:rsidP="005C54F6">
            <w:pPr>
              <w:spacing w:before="0" w:after="0"/>
              <w:jc w:val="center"/>
              <w:rPr>
                <w:b/>
                <w:bCs/>
                <w:i/>
                <w:iCs/>
                <w:sz w:val="20"/>
                <w:szCs w:val="20"/>
                <w:lang w:bidi="en-US"/>
              </w:rPr>
            </w:pPr>
            <w:r w:rsidRPr="00FA2D31">
              <w:rPr>
                <w:b/>
                <w:bCs/>
                <w:i/>
                <w:iCs/>
                <w:sz w:val="20"/>
                <w:szCs w:val="20"/>
                <w:lang w:bidi="en-US"/>
              </w:rPr>
              <w:t>p value</w:t>
            </w:r>
          </w:p>
        </w:tc>
      </w:tr>
      <w:tr w:rsidR="009F1EFE" w:rsidRPr="00FA2D31" w14:paraId="4CBC408F" w14:textId="77777777" w:rsidTr="005C54F6">
        <w:tc>
          <w:tcPr>
            <w:tcW w:w="1199" w:type="dxa"/>
            <w:tcBorders>
              <w:top w:val="single" w:sz="4" w:space="0" w:color="auto"/>
            </w:tcBorders>
          </w:tcPr>
          <w:p w14:paraId="66DFC437" w14:textId="77777777" w:rsidR="009F1EFE" w:rsidRPr="00FA2D31" w:rsidRDefault="009F1EFE" w:rsidP="005C54F6">
            <w:pPr>
              <w:spacing w:before="0" w:after="0"/>
              <w:jc w:val="center"/>
              <w:rPr>
                <w:sz w:val="20"/>
                <w:szCs w:val="20"/>
                <w:lang w:bidi="en-US"/>
              </w:rPr>
            </w:pPr>
            <w:r>
              <w:rPr>
                <w:sz w:val="20"/>
                <w:szCs w:val="20"/>
                <w:lang w:bidi="en-US"/>
              </w:rPr>
              <w:t>APC 4</w:t>
            </w:r>
          </w:p>
        </w:tc>
        <w:tc>
          <w:tcPr>
            <w:tcW w:w="1084" w:type="dxa"/>
            <w:tcBorders>
              <w:top w:val="single" w:sz="4" w:space="0" w:color="auto"/>
            </w:tcBorders>
          </w:tcPr>
          <w:p w14:paraId="31775796" w14:textId="70E12A76" w:rsidR="009F1EFE" w:rsidRPr="00FA2D31" w:rsidRDefault="006D0820" w:rsidP="005C54F6">
            <w:pPr>
              <w:spacing w:before="0" w:after="0"/>
              <w:jc w:val="center"/>
              <w:rPr>
                <w:sz w:val="20"/>
                <w:szCs w:val="20"/>
                <w:lang w:bidi="en-US"/>
              </w:rPr>
            </w:pPr>
            <w:r>
              <w:rPr>
                <w:sz w:val="20"/>
                <w:szCs w:val="20"/>
                <w:lang w:bidi="en-US"/>
              </w:rPr>
              <w:t>980</w:t>
            </w:r>
          </w:p>
        </w:tc>
        <w:tc>
          <w:tcPr>
            <w:tcW w:w="1153" w:type="dxa"/>
            <w:tcBorders>
              <w:top w:val="single" w:sz="4" w:space="0" w:color="auto"/>
            </w:tcBorders>
          </w:tcPr>
          <w:p w14:paraId="4A67D4A8" w14:textId="5D6E3009" w:rsidR="009F1EFE" w:rsidRPr="00FA2D31" w:rsidRDefault="009F1EFE" w:rsidP="005C54F6">
            <w:pPr>
              <w:spacing w:before="0" w:after="0"/>
              <w:jc w:val="center"/>
              <w:rPr>
                <w:sz w:val="20"/>
                <w:szCs w:val="20"/>
                <w:lang w:bidi="en-US"/>
              </w:rPr>
            </w:pPr>
            <w:r>
              <w:rPr>
                <w:sz w:val="20"/>
                <w:szCs w:val="20"/>
                <w:lang w:bidi="en-US"/>
              </w:rPr>
              <w:t>20.8</w:t>
            </w:r>
            <w:r w:rsidR="00EF7C5F">
              <w:rPr>
                <w:sz w:val="20"/>
                <w:szCs w:val="20"/>
                <w:lang w:bidi="en-US"/>
              </w:rPr>
              <w:t>13</w:t>
            </w:r>
          </w:p>
        </w:tc>
        <w:tc>
          <w:tcPr>
            <w:tcW w:w="1151" w:type="dxa"/>
            <w:tcBorders>
              <w:top w:val="single" w:sz="4" w:space="0" w:color="auto"/>
            </w:tcBorders>
          </w:tcPr>
          <w:p w14:paraId="0C560F98" w14:textId="744C4297" w:rsidR="009F1EFE" w:rsidRPr="00FA2D31" w:rsidRDefault="009F1EFE" w:rsidP="005C54F6">
            <w:pPr>
              <w:spacing w:before="0" w:after="0"/>
              <w:jc w:val="center"/>
              <w:rPr>
                <w:sz w:val="20"/>
                <w:szCs w:val="20"/>
                <w:lang w:bidi="en-US"/>
              </w:rPr>
            </w:pPr>
            <w:r>
              <w:rPr>
                <w:sz w:val="20"/>
                <w:szCs w:val="20"/>
                <w:lang w:bidi="en-US"/>
              </w:rPr>
              <w:t>0.</w:t>
            </w:r>
            <w:r w:rsidR="00EF7C5F">
              <w:rPr>
                <w:sz w:val="20"/>
                <w:szCs w:val="20"/>
                <w:lang w:bidi="en-US"/>
              </w:rPr>
              <w:t>609</w:t>
            </w:r>
          </w:p>
        </w:tc>
        <w:tc>
          <w:tcPr>
            <w:tcW w:w="1129" w:type="dxa"/>
            <w:tcBorders>
              <w:top w:val="single" w:sz="4" w:space="0" w:color="auto"/>
            </w:tcBorders>
          </w:tcPr>
          <w:p w14:paraId="5CA0F689" w14:textId="77777777" w:rsidR="009F1EFE" w:rsidRPr="00FA2D31" w:rsidRDefault="009F1EFE" w:rsidP="005C54F6">
            <w:pPr>
              <w:spacing w:before="0" w:after="0"/>
              <w:jc w:val="center"/>
              <w:rPr>
                <w:sz w:val="20"/>
                <w:szCs w:val="20"/>
                <w:lang w:bidi="en-US"/>
              </w:rPr>
            </w:pPr>
            <w:r>
              <w:rPr>
                <w:sz w:val="20"/>
                <w:szCs w:val="20"/>
                <w:lang w:bidi="en-US"/>
              </w:rPr>
              <w:t>18</w:t>
            </w:r>
          </w:p>
        </w:tc>
        <w:tc>
          <w:tcPr>
            <w:tcW w:w="1134" w:type="dxa"/>
            <w:tcBorders>
              <w:top w:val="single" w:sz="4" w:space="0" w:color="auto"/>
            </w:tcBorders>
          </w:tcPr>
          <w:p w14:paraId="261EC814" w14:textId="77777777" w:rsidR="009F1EFE" w:rsidRPr="00FA2D31" w:rsidRDefault="009F1EFE" w:rsidP="005C54F6">
            <w:pPr>
              <w:spacing w:before="0" w:after="0"/>
              <w:jc w:val="center"/>
              <w:rPr>
                <w:sz w:val="20"/>
                <w:szCs w:val="20"/>
                <w:lang w:bidi="en-US"/>
              </w:rPr>
            </w:pPr>
            <w:r>
              <w:rPr>
                <w:sz w:val="20"/>
                <w:szCs w:val="20"/>
                <w:lang w:bidi="en-US"/>
              </w:rPr>
              <w:t>22</w:t>
            </w:r>
          </w:p>
        </w:tc>
        <w:tc>
          <w:tcPr>
            <w:tcW w:w="1099" w:type="dxa"/>
            <w:tcBorders>
              <w:top w:val="single" w:sz="4" w:space="0" w:color="auto"/>
            </w:tcBorders>
          </w:tcPr>
          <w:p w14:paraId="05EE66BC" w14:textId="7DEAC073" w:rsidR="009F1EFE" w:rsidRPr="00FA2D31" w:rsidRDefault="009F1EFE" w:rsidP="005C54F6">
            <w:pPr>
              <w:spacing w:before="0" w:after="0"/>
              <w:jc w:val="center"/>
              <w:rPr>
                <w:sz w:val="20"/>
                <w:szCs w:val="20"/>
                <w:lang w:bidi="en-US"/>
              </w:rPr>
            </w:pPr>
            <w:r>
              <w:rPr>
                <w:sz w:val="20"/>
                <w:szCs w:val="20"/>
                <w:lang w:bidi="en-US"/>
              </w:rPr>
              <w:t>12</w:t>
            </w:r>
            <w:r w:rsidR="00EF7C5F">
              <w:rPr>
                <w:sz w:val="20"/>
                <w:szCs w:val="20"/>
                <w:lang w:bidi="en-US"/>
              </w:rPr>
              <w:t>7</w:t>
            </w:r>
            <w:r>
              <w:rPr>
                <w:sz w:val="20"/>
                <w:szCs w:val="20"/>
                <w:lang w:bidi="en-US"/>
              </w:rPr>
              <w:t>.</w:t>
            </w:r>
            <w:r w:rsidR="00EF7C5F">
              <w:rPr>
                <w:sz w:val="20"/>
                <w:szCs w:val="20"/>
                <w:lang w:bidi="en-US"/>
              </w:rPr>
              <w:t>32</w:t>
            </w:r>
          </w:p>
        </w:tc>
        <w:tc>
          <w:tcPr>
            <w:tcW w:w="1068" w:type="dxa"/>
            <w:tcBorders>
              <w:top w:val="single" w:sz="4" w:space="0" w:color="auto"/>
            </w:tcBorders>
          </w:tcPr>
          <w:p w14:paraId="25E7E801" w14:textId="77777777" w:rsidR="009F1EFE" w:rsidRPr="00FA2D31" w:rsidRDefault="009F1EFE" w:rsidP="005C54F6">
            <w:pPr>
              <w:spacing w:before="0" w:after="0"/>
              <w:jc w:val="center"/>
              <w:rPr>
                <w:sz w:val="20"/>
                <w:szCs w:val="20"/>
                <w:lang w:bidi="en-US"/>
              </w:rPr>
            </w:pPr>
            <w:r>
              <w:rPr>
                <w:sz w:val="20"/>
                <w:szCs w:val="20"/>
                <w:lang w:bidi="en-US"/>
              </w:rPr>
              <w:t>0.005</w:t>
            </w:r>
          </w:p>
        </w:tc>
      </w:tr>
      <w:tr w:rsidR="009F1EFE" w:rsidRPr="00FA2D31" w14:paraId="77A9BDBA" w14:textId="77777777" w:rsidTr="005C54F6">
        <w:tc>
          <w:tcPr>
            <w:tcW w:w="1199" w:type="dxa"/>
          </w:tcPr>
          <w:p w14:paraId="6D0591C0" w14:textId="77777777" w:rsidR="009F1EFE" w:rsidRDefault="009F1EFE" w:rsidP="005C54F6">
            <w:pPr>
              <w:spacing w:before="0" w:after="0"/>
              <w:jc w:val="center"/>
              <w:rPr>
                <w:sz w:val="20"/>
                <w:szCs w:val="20"/>
                <w:lang w:bidi="en-US"/>
              </w:rPr>
            </w:pPr>
            <w:r>
              <w:rPr>
                <w:sz w:val="20"/>
                <w:szCs w:val="20"/>
                <w:lang w:bidi="en-US"/>
              </w:rPr>
              <w:t>APC 6</w:t>
            </w:r>
          </w:p>
        </w:tc>
        <w:tc>
          <w:tcPr>
            <w:tcW w:w="1084" w:type="dxa"/>
          </w:tcPr>
          <w:p w14:paraId="09B570DC" w14:textId="68D3276C" w:rsidR="009F1EFE" w:rsidRPr="00FA2D31" w:rsidRDefault="006D0820" w:rsidP="005C54F6">
            <w:pPr>
              <w:spacing w:before="0" w:after="0"/>
              <w:jc w:val="center"/>
              <w:rPr>
                <w:sz w:val="20"/>
                <w:szCs w:val="20"/>
                <w:lang w:bidi="en-US"/>
              </w:rPr>
            </w:pPr>
            <w:r>
              <w:rPr>
                <w:sz w:val="20"/>
                <w:szCs w:val="20"/>
                <w:lang w:bidi="en-US"/>
              </w:rPr>
              <w:t>980</w:t>
            </w:r>
          </w:p>
        </w:tc>
        <w:tc>
          <w:tcPr>
            <w:tcW w:w="1153" w:type="dxa"/>
          </w:tcPr>
          <w:p w14:paraId="10B75003" w14:textId="6832CF87" w:rsidR="009F1EFE" w:rsidRPr="00FA2D31" w:rsidRDefault="009F1EFE" w:rsidP="005C54F6">
            <w:pPr>
              <w:spacing w:before="0" w:after="0"/>
              <w:jc w:val="center"/>
              <w:rPr>
                <w:sz w:val="20"/>
                <w:szCs w:val="20"/>
                <w:lang w:bidi="en-US"/>
              </w:rPr>
            </w:pPr>
            <w:r>
              <w:rPr>
                <w:sz w:val="20"/>
                <w:szCs w:val="20"/>
                <w:lang w:bidi="en-US"/>
              </w:rPr>
              <w:t>20.</w:t>
            </w:r>
            <w:r w:rsidR="00EF7C5F">
              <w:rPr>
                <w:sz w:val="20"/>
                <w:szCs w:val="20"/>
                <w:lang w:bidi="en-US"/>
              </w:rPr>
              <w:t>480</w:t>
            </w:r>
          </w:p>
        </w:tc>
        <w:tc>
          <w:tcPr>
            <w:tcW w:w="1151" w:type="dxa"/>
          </w:tcPr>
          <w:p w14:paraId="63853D62" w14:textId="5A8CF8FA" w:rsidR="009F1EFE" w:rsidRPr="00FA2D31" w:rsidRDefault="009F1EFE" w:rsidP="005C54F6">
            <w:pPr>
              <w:spacing w:before="0" w:after="0"/>
              <w:jc w:val="center"/>
              <w:rPr>
                <w:sz w:val="20"/>
                <w:szCs w:val="20"/>
                <w:lang w:bidi="en-US"/>
              </w:rPr>
            </w:pPr>
            <w:r>
              <w:rPr>
                <w:sz w:val="20"/>
                <w:szCs w:val="20"/>
                <w:lang w:bidi="en-US"/>
              </w:rPr>
              <w:t>0.</w:t>
            </w:r>
            <w:r w:rsidR="00EF7C5F">
              <w:rPr>
                <w:sz w:val="20"/>
                <w:szCs w:val="20"/>
                <w:lang w:bidi="en-US"/>
              </w:rPr>
              <w:t>744</w:t>
            </w:r>
          </w:p>
        </w:tc>
        <w:tc>
          <w:tcPr>
            <w:tcW w:w="1129" w:type="dxa"/>
          </w:tcPr>
          <w:p w14:paraId="0990BE95" w14:textId="77777777" w:rsidR="009F1EFE" w:rsidRPr="00FA2D31" w:rsidRDefault="009F1EFE" w:rsidP="005C54F6">
            <w:pPr>
              <w:spacing w:before="0" w:after="0"/>
              <w:jc w:val="center"/>
              <w:rPr>
                <w:sz w:val="20"/>
                <w:szCs w:val="20"/>
                <w:lang w:bidi="en-US"/>
              </w:rPr>
            </w:pPr>
            <w:r>
              <w:rPr>
                <w:sz w:val="20"/>
                <w:szCs w:val="20"/>
                <w:lang w:bidi="en-US"/>
              </w:rPr>
              <w:t>17</w:t>
            </w:r>
          </w:p>
        </w:tc>
        <w:tc>
          <w:tcPr>
            <w:tcW w:w="1134" w:type="dxa"/>
          </w:tcPr>
          <w:p w14:paraId="10EC15C6" w14:textId="77777777" w:rsidR="009F1EFE" w:rsidRPr="00FA2D31" w:rsidRDefault="009F1EFE" w:rsidP="005C54F6">
            <w:pPr>
              <w:spacing w:before="0" w:after="0"/>
              <w:jc w:val="center"/>
              <w:rPr>
                <w:sz w:val="20"/>
                <w:szCs w:val="20"/>
                <w:lang w:bidi="en-US"/>
              </w:rPr>
            </w:pPr>
            <w:r>
              <w:rPr>
                <w:sz w:val="20"/>
                <w:szCs w:val="20"/>
                <w:lang w:bidi="en-US"/>
              </w:rPr>
              <w:t>21</w:t>
            </w:r>
          </w:p>
        </w:tc>
        <w:tc>
          <w:tcPr>
            <w:tcW w:w="1099" w:type="dxa"/>
          </w:tcPr>
          <w:p w14:paraId="4C0C16E2" w14:textId="53CF0682" w:rsidR="009F1EFE" w:rsidRPr="00FA2D31" w:rsidRDefault="009F1EFE" w:rsidP="005C54F6">
            <w:pPr>
              <w:spacing w:before="0" w:after="0"/>
              <w:jc w:val="center"/>
              <w:rPr>
                <w:sz w:val="20"/>
                <w:szCs w:val="20"/>
                <w:lang w:bidi="en-US"/>
              </w:rPr>
            </w:pPr>
            <w:r>
              <w:rPr>
                <w:sz w:val="20"/>
                <w:szCs w:val="20"/>
                <w:lang w:bidi="en-US"/>
              </w:rPr>
              <w:t>12</w:t>
            </w:r>
            <w:r w:rsidR="00EF7C5F">
              <w:rPr>
                <w:sz w:val="20"/>
                <w:szCs w:val="20"/>
                <w:lang w:bidi="en-US"/>
              </w:rPr>
              <w:t>2</w:t>
            </w:r>
            <w:r>
              <w:rPr>
                <w:sz w:val="20"/>
                <w:szCs w:val="20"/>
                <w:lang w:bidi="en-US"/>
              </w:rPr>
              <w:t>.87</w:t>
            </w:r>
          </w:p>
        </w:tc>
        <w:tc>
          <w:tcPr>
            <w:tcW w:w="1068" w:type="dxa"/>
          </w:tcPr>
          <w:p w14:paraId="06D6C0A9" w14:textId="77777777" w:rsidR="009F1EFE" w:rsidRPr="00FA2D31" w:rsidRDefault="009F1EFE" w:rsidP="005C54F6">
            <w:pPr>
              <w:spacing w:before="0" w:after="0"/>
              <w:jc w:val="center"/>
              <w:rPr>
                <w:sz w:val="20"/>
                <w:szCs w:val="20"/>
                <w:lang w:bidi="en-US"/>
              </w:rPr>
            </w:pPr>
            <w:r>
              <w:rPr>
                <w:sz w:val="20"/>
                <w:szCs w:val="20"/>
                <w:lang w:bidi="en-US"/>
              </w:rPr>
              <w:t>0.005</w:t>
            </w:r>
          </w:p>
        </w:tc>
      </w:tr>
      <w:tr w:rsidR="009F1EFE" w:rsidRPr="00FA2D31" w14:paraId="2D2E65A4" w14:textId="77777777" w:rsidTr="005C54F6">
        <w:tc>
          <w:tcPr>
            <w:tcW w:w="1199" w:type="dxa"/>
          </w:tcPr>
          <w:p w14:paraId="45E07A76" w14:textId="77777777" w:rsidR="009F1EFE" w:rsidRDefault="009F1EFE" w:rsidP="005C54F6">
            <w:pPr>
              <w:spacing w:before="0" w:after="0"/>
              <w:jc w:val="center"/>
              <w:rPr>
                <w:sz w:val="20"/>
                <w:szCs w:val="20"/>
                <w:lang w:bidi="en-US"/>
              </w:rPr>
            </w:pPr>
            <w:r>
              <w:rPr>
                <w:sz w:val="20"/>
                <w:szCs w:val="20"/>
                <w:lang w:bidi="en-US"/>
              </w:rPr>
              <w:t>APC 14</w:t>
            </w:r>
          </w:p>
        </w:tc>
        <w:tc>
          <w:tcPr>
            <w:tcW w:w="1084" w:type="dxa"/>
          </w:tcPr>
          <w:p w14:paraId="4FC6DE4D" w14:textId="36489E21" w:rsidR="009F1EFE" w:rsidRPr="00FA2D31" w:rsidRDefault="006D0820" w:rsidP="005C54F6">
            <w:pPr>
              <w:spacing w:before="0" w:after="0"/>
              <w:jc w:val="center"/>
              <w:rPr>
                <w:sz w:val="20"/>
                <w:szCs w:val="20"/>
                <w:lang w:bidi="en-US"/>
              </w:rPr>
            </w:pPr>
            <w:r>
              <w:rPr>
                <w:sz w:val="20"/>
                <w:szCs w:val="20"/>
                <w:lang w:bidi="en-US"/>
              </w:rPr>
              <w:t>980</w:t>
            </w:r>
          </w:p>
        </w:tc>
        <w:tc>
          <w:tcPr>
            <w:tcW w:w="1153" w:type="dxa"/>
          </w:tcPr>
          <w:p w14:paraId="1B4B1D38" w14:textId="2DDD9F65" w:rsidR="009F1EFE" w:rsidRPr="00FA2D31" w:rsidRDefault="009F1EFE" w:rsidP="005C54F6">
            <w:pPr>
              <w:spacing w:before="0" w:after="0"/>
              <w:jc w:val="center"/>
              <w:rPr>
                <w:sz w:val="20"/>
                <w:szCs w:val="20"/>
                <w:lang w:bidi="en-US"/>
              </w:rPr>
            </w:pPr>
            <w:r>
              <w:rPr>
                <w:sz w:val="20"/>
                <w:szCs w:val="20"/>
                <w:lang w:bidi="en-US"/>
              </w:rPr>
              <w:t>16.9</w:t>
            </w:r>
            <w:r w:rsidR="00EF7C5F">
              <w:rPr>
                <w:sz w:val="20"/>
                <w:szCs w:val="20"/>
                <w:lang w:bidi="en-US"/>
              </w:rPr>
              <w:t>13</w:t>
            </w:r>
          </w:p>
        </w:tc>
        <w:tc>
          <w:tcPr>
            <w:tcW w:w="1151" w:type="dxa"/>
          </w:tcPr>
          <w:p w14:paraId="2BACC0BE" w14:textId="3B630159" w:rsidR="009F1EFE" w:rsidRPr="00FA2D31" w:rsidRDefault="009F1EFE" w:rsidP="005C54F6">
            <w:pPr>
              <w:spacing w:before="0" w:after="0"/>
              <w:jc w:val="center"/>
              <w:rPr>
                <w:sz w:val="20"/>
                <w:szCs w:val="20"/>
                <w:lang w:bidi="en-US"/>
              </w:rPr>
            </w:pPr>
            <w:r>
              <w:rPr>
                <w:sz w:val="20"/>
                <w:szCs w:val="20"/>
                <w:lang w:bidi="en-US"/>
              </w:rPr>
              <w:t>0.</w:t>
            </w:r>
            <w:r w:rsidR="00EF7C5F">
              <w:rPr>
                <w:sz w:val="20"/>
                <w:szCs w:val="20"/>
                <w:lang w:bidi="en-US"/>
              </w:rPr>
              <w:t>628</w:t>
            </w:r>
          </w:p>
        </w:tc>
        <w:tc>
          <w:tcPr>
            <w:tcW w:w="1129" w:type="dxa"/>
          </w:tcPr>
          <w:p w14:paraId="1D6AF2DF" w14:textId="77777777" w:rsidR="009F1EFE" w:rsidRPr="00FA2D31" w:rsidRDefault="009F1EFE" w:rsidP="005C54F6">
            <w:pPr>
              <w:spacing w:before="0" w:after="0"/>
              <w:jc w:val="center"/>
              <w:rPr>
                <w:sz w:val="20"/>
                <w:szCs w:val="20"/>
                <w:lang w:bidi="en-US"/>
              </w:rPr>
            </w:pPr>
            <w:r>
              <w:rPr>
                <w:sz w:val="20"/>
                <w:szCs w:val="20"/>
                <w:lang w:bidi="en-US"/>
              </w:rPr>
              <w:t>15</w:t>
            </w:r>
          </w:p>
        </w:tc>
        <w:tc>
          <w:tcPr>
            <w:tcW w:w="1134" w:type="dxa"/>
          </w:tcPr>
          <w:p w14:paraId="2AF4112E" w14:textId="77777777" w:rsidR="009F1EFE" w:rsidRPr="00FA2D31" w:rsidRDefault="009F1EFE" w:rsidP="005C54F6">
            <w:pPr>
              <w:spacing w:before="0" w:after="0"/>
              <w:jc w:val="center"/>
              <w:rPr>
                <w:sz w:val="20"/>
                <w:szCs w:val="20"/>
                <w:lang w:bidi="en-US"/>
              </w:rPr>
            </w:pPr>
            <w:r>
              <w:rPr>
                <w:sz w:val="20"/>
                <w:szCs w:val="20"/>
                <w:lang w:bidi="en-US"/>
              </w:rPr>
              <w:t>19</w:t>
            </w:r>
          </w:p>
        </w:tc>
        <w:tc>
          <w:tcPr>
            <w:tcW w:w="1099" w:type="dxa"/>
          </w:tcPr>
          <w:p w14:paraId="7043E614" w14:textId="03A56262" w:rsidR="009F1EFE" w:rsidRPr="00FA2D31" w:rsidRDefault="00EF7C5F" w:rsidP="005C54F6">
            <w:pPr>
              <w:spacing w:before="0" w:after="0"/>
              <w:jc w:val="center"/>
              <w:rPr>
                <w:sz w:val="20"/>
                <w:szCs w:val="20"/>
                <w:lang w:bidi="en-US"/>
              </w:rPr>
            </w:pPr>
            <w:r>
              <w:rPr>
                <w:sz w:val="20"/>
                <w:szCs w:val="20"/>
                <w:lang w:bidi="en-US"/>
              </w:rPr>
              <w:t>109.67</w:t>
            </w:r>
          </w:p>
        </w:tc>
        <w:tc>
          <w:tcPr>
            <w:tcW w:w="1068" w:type="dxa"/>
          </w:tcPr>
          <w:p w14:paraId="77DE7B55" w14:textId="77777777" w:rsidR="009F1EFE" w:rsidRPr="00FA2D31" w:rsidRDefault="009F1EFE" w:rsidP="005C54F6">
            <w:pPr>
              <w:spacing w:before="0" w:after="0"/>
              <w:jc w:val="center"/>
              <w:rPr>
                <w:sz w:val="20"/>
                <w:szCs w:val="20"/>
                <w:lang w:bidi="en-US"/>
              </w:rPr>
            </w:pPr>
            <w:r>
              <w:rPr>
                <w:sz w:val="20"/>
                <w:szCs w:val="20"/>
                <w:lang w:bidi="en-US"/>
              </w:rPr>
              <w:t>0.005</w:t>
            </w:r>
          </w:p>
        </w:tc>
      </w:tr>
      <w:tr w:rsidR="009F1EFE" w:rsidRPr="00FA2D31" w14:paraId="3F6F180C" w14:textId="77777777" w:rsidTr="005C54F6">
        <w:tc>
          <w:tcPr>
            <w:tcW w:w="1199" w:type="dxa"/>
            <w:tcBorders>
              <w:bottom w:val="single" w:sz="4" w:space="0" w:color="auto"/>
            </w:tcBorders>
          </w:tcPr>
          <w:p w14:paraId="67FDFE7F" w14:textId="77777777" w:rsidR="009F1EFE" w:rsidRPr="00FA2D31" w:rsidRDefault="009F1EFE" w:rsidP="005C54F6">
            <w:pPr>
              <w:spacing w:before="0" w:after="0"/>
              <w:jc w:val="center"/>
              <w:rPr>
                <w:sz w:val="20"/>
                <w:szCs w:val="20"/>
                <w:lang w:bidi="en-US"/>
              </w:rPr>
            </w:pPr>
            <w:r>
              <w:rPr>
                <w:sz w:val="20"/>
                <w:szCs w:val="20"/>
                <w:lang w:bidi="en-US"/>
              </w:rPr>
              <w:t>HyPower</w:t>
            </w:r>
          </w:p>
        </w:tc>
        <w:tc>
          <w:tcPr>
            <w:tcW w:w="1084" w:type="dxa"/>
            <w:tcBorders>
              <w:bottom w:val="single" w:sz="4" w:space="0" w:color="auto"/>
            </w:tcBorders>
          </w:tcPr>
          <w:p w14:paraId="161937A3" w14:textId="51556C58" w:rsidR="009F1EFE" w:rsidRPr="00FA2D31" w:rsidRDefault="006D0820" w:rsidP="005C54F6">
            <w:pPr>
              <w:spacing w:before="0" w:after="0"/>
              <w:jc w:val="center"/>
              <w:rPr>
                <w:sz w:val="20"/>
                <w:szCs w:val="20"/>
                <w:lang w:bidi="en-US"/>
              </w:rPr>
            </w:pPr>
            <w:r>
              <w:rPr>
                <w:sz w:val="20"/>
                <w:szCs w:val="20"/>
                <w:lang w:bidi="en-US"/>
              </w:rPr>
              <w:t>980</w:t>
            </w:r>
          </w:p>
        </w:tc>
        <w:tc>
          <w:tcPr>
            <w:tcW w:w="1153" w:type="dxa"/>
            <w:tcBorders>
              <w:bottom w:val="single" w:sz="4" w:space="0" w:color="auto"/>
            </w:tcBorders>
          </w:tcPr>
          <w:p w14:paraId="60783876" w14:textId="6627E13D" w:rsidR="009F1EFE" w:rsidRPr="00FA2D31" w:rsidRDefault="009F1EFE" w:rsidP="005C54F6">
            <w:pPr>
              <w:spacing w:before="0" w:after="0"/>
              <w:jc w:val="center"/>
              <w:rPr>
                <w:sz w:val="20"/>
                <w:szCs w:val="20"/>
                <w:lang w:bidi="en-US"/>
              </w:rPr>
            </w:pPr>
            <w:r>
              <w:rPr>
                <w:sz w:val="20"/>
                <w:szCs w:val="20"/>
                <w:lang w:bidi="en-US"/>
              </w:rPr>
              <w:t>0.0</w:t>
            </w:r>
            <w:r w:rsidR="00EF7C5F">
              <w:rPr>
                <w:sz w:val="20"/>
                <w:szCs w:val="20"/>
                <w:lang w:bidi="en-US"/>
              </w:rPr>
              <w:t>36</w:t>
            </w:r>
          </w:p>
        </w:tc>
        <w:tc>
          <w:tcPr>
            <w:tcW w:w="1151" w:type="dxa"/>
            <w:tcBorders>
              <w:bottom w:val="single" w:sz="4" w:space="0" w:color="auto"/>
            </w:tcBorders>
          </w:tcPr>
          <w:p w14:paraId="7F1AF54F" w14:textId="753104A8" w:rsidR="009F1EFE" w:rsidRPr="00FA2D31" w:rsidRDefault="009F1EFE" w:rsidP="005C54F6">
            <w:pPr>
              <w:spacing w:before="0" w:after="0"/>
              <w:jc w:val="center"/>
              <w:rPr>
                <w:sz w:val="20"/>
                <w:szCs w:val="20"/>
                <w:lang w:bidi="en-US"/>
              </w:rPr>
            </w:pPr>
            <w:r>
              <w:rPr>
                <w:sz w:val="20"/>
                <w:szCs w:val="20"/>
                <w:lang w:bidi="en-US"/>
              </w:rPr>
              <w:t>0.03</w:t>
            </w:r>
            <w:r w:rsidR="00EF7C5F">
              <w:rPr>
                <w:sz w:val="20"/>
                <w:szCs w:val="20"/>
                <w:lang w:bidi="en-US"/>
              </w:rPr>
              <w:t>6</w:t>
            </w:r>
          </w:p>
        </w:tc>
        <w:tc>
          <w:tcPr>
            <w:tcW w:w="1129" w:type="dxa"/>
            <w:tcBorders>
              <w:bottom w:val="single" w:sz="4" w:space="0" w:color="auto"/>
            </w:tcBorders>
          </w:tcPr>
          <w:p w14:paraId="4841CDDC" w14:textId="6E9A5E1B" w:rsidR="009F1EFE" w:rsidRPr="00FA2D31" w:rsidRDefault="009F1EFE" w:rsidP="005C54F6">
            <w:pPr>
              <w:spacing w:before="0" w:after="0"/>
              <w:jc w:val="center"/>
              <w:rPr>
                <w:sz w:val="20"/>
                <w:szCs w:val="20"/>
                <w:lang w:bidi="en-US"/>
              </w:rPr>
            </w:pPr>
            <w:r>
              <w:rPr>
                <w:sz w:val="20"/>
                <w:szCs w:val="20"/>
                <w:lang w:bidi="en-US"/>
              </w:rPr>
              <w:t>0.00</w:t>
            </w:r>
            <w:r w:rsidR="00EF7C5F">
              <w:rPr>
                <w:sz w:val="20"/>
                <w:szCs w:val="20"/>
                <w:lang w:bidi="en-US"/>
              </w:rPr>
              <w:t>5</w:t>
            </w:r>
          </w:p>
        </w:tc>
        <w:tc>
          <w:tcPr>
            <w:tcW w:w="1134" w:type="dxa"/>
            <w:tcBorders>
              <w:bottom w:val="single" w:sz="4" w:space="0" w:color="auto"/>
            </w:tcBorders>
          </w:tcPr>
          <w:p w14:paraId="1F835BFF" w14:textId="691C0959" w:rsidR="009F1EFE" w:rsidRPr="00FA2D31" w:rsidRDefault="009F1EFE" w:rsidP="005C54F6">
            <w:pPr>
              <w:spacing w:before="0" w:after="0"/>
              <w:jc w:val="center"/>
              <w:rPr>
                <w:sz w:val="20"/>
                <w:szCs w:val="20"/>
                <w:lang w:bidi="en-US"/>
              </w:rPr>
            </w:pPr>
            <w:r>
              <w:rPr>
                <w:sz w:val="20"/>
                <w:szCs w:val="20"/>
                <w:lang w:bidi="en-US"/>
              </w:rPr>
              <w:t>0.0</w:t>
            </w:r>
            <w:r w:rsidR="00EF7C5F">
              <w:rPr>
                <w:sz w:val="20"/>
                <w:szCs w:val="20"/>
                <w:lang w:bidi="en-US"/>
              </w:rPr>
              <w:t>52</w:t>
            </w:r>
          </w:p>
        </w:tc>
        <w:tc>
          <w:tcPr>
            <w:tcW w:w="1099" w:type="dxa"/>
            <w:tcBorders>
              <w:bottom w:val="single" w:sz="4" w:space="0" w:color="auto"/>
            </w:tcBorders>
          </w:tcPr>
          <w:p w14:paraId="0D6D0EC5" w14:textId="507D7691" w:rsidR="009F1EFE" w:rsidRPr="00FA2D31" w:rsidRDefault="00EF7C5F" w:rsidP="005C54F6">
            <w:pPr>
              <w:spacing w:before="0" w:after="0"/>
              <w:jc w:val="center"/>
              <w:rPr>
                <w:sz w:val="20"/>
                <w:szCs w:val="20"/>
                <w:lang w:bidi="en-US"/>
              </w:rPr>
            </w:pPr>
            <w:r>
              <w:rPr>
                <w:sz w:val="20"/>
                <w:szCs w:val="20"/>
                <w:lang w:bidi="en-US"/>
              </w:rPr>
              <w:t>32.06</w:t>
            </w:r>
          </w:p>
        </w:tc>
        <w:tc>
          <w:tcPr>
            <w:tcW w:w="1068" w:type="dxa"/>
            <w:tcBorders>
              <w:bottom w:val="single" w:sz="4" w:space="0" w:color="auto"/>
            </w:tcBorders>
          </w:tcPr>
          <w:p w14:paraId="2BDC59D5" w14:textId="77777777" w:rsidR="009F1EFE" w:rsidRPr="00FA2D31" w:rsidRDefault="009F1EFE" w:rsidP="005C54F6">
            <w:pPr>
              <w:spacing w:before="0" w:after="0"/>
              <w:jc w:val="center"/>
              <w:rPr>
                <w:sz w:val="20"/>
                <w:szCs w:val="20"/>
                <w:lang w:bidi="en-US"/>
              </w:rPr>
            </w:pPr>
            <w:r>
              <w:rPr>
                <w:sz w:val="20"/>
                <w:szCs w:val="20"/>
                <w:lang w:bidi="en-US"/>
              </w:rPr>
              <w:t>0.005</w:t>
            </w:r>
          </w:p>
        </w:tc>
      </w:tr>
    </w:tbl>
    <w:p w14:paraId="651B1057" w14:textId="3654DC1A" w:rsidR="009F1EFE" w:rsidRPr="00000225" w:rsidRDefault="006C6769" w:rsidP="00F920A0">
      <w:pPr>
        <w:rPr>
          <w:lang w:val="en-GB" w:bidi="en-US"/>
        </w:rPr>
      </w:pPr>
      <w:r>
        <w:rPr>
          <w:lang w:bidi="en-US"/>
        </w:rPr>
        <w:t>Because</w:t>
      </w:r>
      <w:r w:rsidR="006F3ADA">
        <w:rPr>
          <w:lang w:bidi="en-US"/>
        </w:rPr>
        <w:t xml:space="preserve"> only </w:t>
      </w:r>
      <w:r>
        <w:rPr>
          <w:lang w:bidi="en-US"/>
        </w:rPr>
        <w:t xml:space="preserve">the </w:t>
      </w:r>
      <w:r w:rsidR="006F3ADA">
        <w:rPr>
          <w:lang w:bidi="en-US"/>
        </w:rPr>
        <w:t xml:space="preserve">APC14 value does not break the assumption that there </w:t>
      </w:r>
      <w:r>
        <w:rPr>
          <w:lang w:bidi="en-US"/>
        </w:rPr>
        <w:t>are</w:t>
      </w:r>
      <w:r w:rsidR="006F3ADA">
        <w:rPr>
          <w:lang w:bidi="en-US"/>
        </w:rPr>
        <w:t xml:space="preserve"> no outliers (</w:t>
      </w:r>
      <w:r w:rsidR="006F3ADA">
        <w:rPr>
          <w:lang w:bidi="en-US"/>
        </w:rPr>
        <w:fldChar w:fldCharType="begin"/>
      </w:r>
      <w:r w:rsidR="006F3ADA">
        <w:rPr>
          <w:lang w:bidi="en-US"/>
        </w:rPr>
        <w:instrText xml:space="preserve"> REF _Ref94287054 \h </w:instrText>
      </w:r>
      <w:r w:rsidR="006F3ADA">
        <w:rPr>
          <w:lang w:bidi="en-US"/>
        </w:rPr>
      </w:r>
      <w:r w:rsidR="006F3ADA">
        <w:rPr>
          <w:lang w:bidi="en-US"/>
        </w:rPr>
        <w:fldChar w:fldCharType="separate"/>
      </w:r>
      <w:r w:rsidR="00587AF0">
        <w:t xml:space="preserve">Table </w:t>
      </w:r>
      <w:r w:rsidR="00587AF0">
        <w:rPr>
          <w:noProof/>
        </w:rPr>
        <w:t>23</w:t>
      </w:r>
      <w:r w:rsidR="006F3ADA">
        <w:rPr>
          <w:lang w:bidi="en-US"/>
        </w:rPr>
        <w:fldChar w:fldCharType="end"/>
      </w:r>
      <w:r w:rsidR="006F3ADA">
        <w:rPr>
          <w:lang w:bidi="en-US"/>
        </w:rPr>
        <w:t xml:space="preserve">), all values </w:t>
      </w:r>
      <w:r>
        <w:rPr>
          <w:lang w:bidi="en-US"/>
        </w:rPr>
        <w:t>are</w:t>
      </w:r>
      <w:r w:rsidR="006F3ADA">
        <w:rPr>
          <w:lang w:bidi="en-US"/>
        </w:rPr>
        <w:t xml:space="preserve"> not to be considered normally distributed (</w:t>
      </w:r>
      <w:r w:rsidR="006F3ADA">
        <w:rPr>
          <w:lang w:bidi="en-US"/>
        </w:rPr>
        <w:fldChar w:fldCharType="begin"/>
      </w:r>
      <w:r w:rsidR="006F3ADA">
        <w:rPr>
          <w:lang w:bidi="en-US"/>
        </w:rPr>
        <w:instrText xml:space="preserve"> REF _Ref94288614 \h </w:instrText>
      </w:r>
      <w:r w:rsidR="006F3ADA">
        <w:rPr>
          <w:lang w:bidi="en-US"/>
        </w:rPr>
      </w:r>
      <w:r w:rsidR="006F3ADA">
        <w:rPr>
          <w:lang w:bidi="en-US"/>
        </w:rPr>
        <w:fldChar w:fldCharType="separate"/>
      </w:r>
      <w:r w:rsidR="00587AF0">
        <w:t xml:space="preserve">Table </w:t>
      </w:r>
      <w:r w:rsidR="00587AF0">
        <w:rPr>
          <w:noProof/>
        </w:rPr>
        <w:t>24</w:t>
      </w:r>
      <w:r w:rsidR="006F3ADA">
        <w:rPr>
          <w:lang w:bidi="en-US"/>
        </w:rPr>
        <w:fldChar w:fldCharType="end"/>
      </w:r>
      <w:r w:rsidR="006F3ADA">
        <w:rPr>
          <w:lang w:bidi="en-US"/>
        </w:rPr>
        <w:t>) a</w:t>
      </w:r>
      <w:r>
        <w:rPr>
          <w:lang w:bidi="en-US"/>
        </w:rPr>
        <w:t>c</w:t>
      </w:r>
      <w:r w:rsidR="006F3ADA">
        <w:rPr>
          <w:lang w:bidi="en-US"/>
        </w:rPr>
        <w:t xml:space="preserve">cording to tested values of </w:t>
      </w:r>
      <w:r>
        <w:rPr>
          <w:lang w:bidi="en-US"/>
        </w:rPr>
        <w:t xml:space="preserve">the </w:t>
      </w:r>
      <w:r w:rsidR="006F3ADA">
        <w:rPr>
          <w:i/>
          <w:iCs/>
          <w:lang w:bidi="en-US"/>
        </w:rPr>
        <w:t>Anderson-Darling hypothesis test</w:t>
      </w:r>
      <w:r w:rsidR="006F3ADA">
        <w:rPr>
          <w:lang w:bidi="en-US"/>
        </w:rPr>
        <w:t xml:space="preserve">, the non-parametric </w:t>
      </w:r>
      <w:r w:rsidR="006F3ADA" w:rsidRPr="006F3ADA">
        <w:rPr>
          <w:i/>
          <w:iCs/>
          <w:lang w:bidi="en-US"/>
        </w:rPr>
        <w:t>Spearman test</w:t>
      </w:r>
      <w:r w:rsidR="006F3ADA">
        <w:rPr>
          <w:lang w:bidi="en-US"/>
        </w:rPr>
        <w:t xml:space="preserve"> </w:t>
      </w:r>
      <w:r w:rsidR="00502D27">
        <w:rPr>
          <w:lang w:bidi="en-US"/>
        </w:rPr>
        <w:t>is</w:t>
      </w:r>
      <w:r w:rsidR="00000225">
        <w:rPr>
          <w:lang w:bidi="en-US"/>
        </w:rPr>
        <w:t xml:space="preserve"> used</w:t>
      </w:r>
      <w:r>
        <w:rPr>
          <w:lang w:bidi="en-US"/>
        </w:rPr>
        <w:t>. However,</w:t>
      </w:r>
      <w:r w:rsidR="00535395">
        <w:rPr>
          <w:lang w:bidi="en-US"/>
        </w:rPr>
        <w:t xml:space="preserve"> data somewhat closely resembles normality (</w:t>
      </w:r>
      <w:r w:rsidR="00E15F41">
        <w:rPr>
          <w:lang w:bidi="en-US"/>
        </w:rPr>
        <w:fldChar w:fldCharType="begin"/>
      </w:r>
      <w:r w:rsidR="00E15F41">
        <w:rPr>
          <w:lang w:bidi="en-US"/>
        </w:rPr>
        <w:instrText xml:space="preserve"> REF _Ref94350418 \h </w:instrText>
      </w:r>
      <w:r w:rsidR="00E15F41">
        <w:rPr>
          <w:lang w:bidi="en-US"/>
        </w:rPr>
      </w:r>
      <w:r w:rsidR="00E15F41">
        <w:rPr>
          <w:lang w:bidi="en-US"/>
        </w:rPr>
        <w:fldChar w:fldCharType="separate"/>
      </w:r>
      <w:r w:rsidR="00587AF0">
        <w:t xml:space="preserve">Figure </w:t>
      </w:r>
      <w:r w:rsidR="00587AF0">
        <w:rPr>
          <w:noProof/>
        </w:rPr>
        <w:t>51</w:t>
      </w:r>
      <w:r w:rsidR="00E15F41">
        <w:rPr>
          <w:lang w:bidi="en-US"/>
        </w:rPr>
        <w:fldChar w:fldCharType="end"/>
      </w:r>
      <w:r w:rsidR="00535395">
        <w:rPr>
          <w:lang w:bidi="en-US"/>
        </w:rPr>
        <w:t>)</w:t>
      </w:r>
      <w:r w:rsidR="00E15F41">
        <w:rPr>
          <w:lang w:bidi="en-US"/>
        </w:rPr>
        <w:t>.</w:t>
      </w:r>
      <w:r w:rsidR="00000225">
        <w:rPr>
          <w:lang w:bidi="en-US"/>
        </w:rPr>
        <w:t xml:space="preserve"> </w:t>
      </w:r>
      <w:r w:rsidR="00535395">
        <w:rPr>
          <w:lang w:bidi="en-US"/>
        </w:rPr>
        <w:t xml:space="preserve">In such </w:t>
      </w:r>
      <w:r>
        <w:rPr>
          <w:lang w:bidi="en-US"/>
        </w:rPr>
        <w:t xml:space="preserve">a </w:t>
      </w:r>
      <w:r w:rsidR="00535395">
        <w:rPr>
          <w:lang w:bidi="en-US"/>
        </w:rPr>
        <w:t xml:space="preserve">case, since an extreme amount of data </w:t>
      </w:r>
      <w:r w:rsidR="00535395">
        <w:rPr>
          <w:lang w:bidi="en-US"/>
        </w:rPr>
        <w:lastRenderedPageBreak/>
        <w:t xml:space="preserve">is processed and analyzed, normalization will be </w:t>
      </w:r>
      <w:r w:rsidR="00EF2F3D">
        <w:rPr>
          <w:lang w:bidi="en-US"/>
        </w:rPr>
        <w:t xml:space="preserve">necessary for </w:t>
      </w:r>
      <w:r w:rsidR="00AC56E3">
        <w:rPr>
          <w:lang w:bidi="en-US"/>
        </w:rPr>
        <w:t>later analytical models</w:t>
      </w:r>
      <w:r w:rsidR="00EF2F3D">
        <w:rPr>
          <w:lang w:bidi="en-US"/>
        </w:rPr>
        <w:t xml:space="preserve"> (data reduction, feature selection, and classification).</w:t>
      </w:r>
    </w:p>
    <w:p w14:paraId="162D7B2D" w14:textId="353CE250" w:rsidR="000864AF" w:rsidRDefault="000864AF" w:rsidP="009F1EFE">
      <w:pPr>
        <w:keepNext/>
        <w:jc w:val="center"/>
      </w:pPr>
      <w:r w:rsidRPr="000864AF">
        <w:rPr>
          <w:noProof/>
          <w:lang w:bidi="en-US"/>
        </w:rPr>
        <w:drawing>
          <wp:inline distT="0" distB="0" distL="0" distR="0" wp14:anchorId="05F67CD6" wp14:editId="7904E1D7">
            <wp:extent cx="5708650" cy="4255324"/>
            <wp:effectExtent l="0" t="0" r="635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7">
                      <a:extLst>
                        <a:ext uri="{28A0092B-C50C-407E-A947-70E740481C1C}">
                          <a14:useLocalDpi xmlns:a14="http://schemas.microsoft.com/office/drawing/2010/main" val="0"/>
                        </a:ext>
                      </a:extLst>
                    </a:blip>
                    <a:srcRect t="4394" r="17164" b="2985"/>
                    <a:stretch/>
                  </pic:blipFill>
                  <pic:spPr bwMode="auto">
                    <a:xfrm>
                      <a:off x="0" y="0"/>
                      <a:ext cx="5721706" cy="4265056"/>
                    </a:xfrm>
                    <a:prstGeom prst="rect">
                      <a:avLst/>
                    </a:prstGeom>
                    <a:noFill/>
                    <a:ln>
                      <a:noFill/>
                    </a:ln>
                    <a:extLst>
                      <a:ext uri="{53640926-AAD7-44D8-BBD7-CCE9431645EC}">
                        <a14:shadowObscured xmlns:a14="http://schemas.microsoft.com/office/drawing/2010/main"/>
                      </a:ext>
                    </a:extLst>
                  </pic:spPr>
                </pic:pic>
              </a:graphicData>
            </a:graphic>
          </wp:inline>
        </w:drawing>
      </w:r>
    </w:p>
    <w:p w14:paraId="5B9702ED" w14:textId="7F2D3415" w:rsidR="000864AF" w:rsidRDefault="000864AF" w:rsidP="000864AF">
      <w:pPr>
        <w:pStyle w:val="Caption"/>
      </w:pPr>
      <w:bookmarkStart w:id="448" w:name="_Ref94350418"/>
      <w:bookmarkStart w:id="449" w:name="_Toc101274573"/>
      <w:r>
        <w:t xml:space="preserve">Figure </w:t>
      </w:r>
      <w:fldSimple w:instr=" SEQ Figure \* ARABIC ">
        <w:r w:rsidR="00587AF0">
          <w:rPr>
            <w:noProof/>
          </w:rPr>
          <w:t>51</w:t>
        </w:r>
      </w:fldSimple>
      <w:bookmarkEnd w:id="448"/>
      <w:r>
        <w:t>. Histograms of tested variables</w:t>
      </w:r>
      <w:bookmarkEnd w:id="449"/>
    </w:p>
    <w:p w14:paraId="76757FF9" w14:textId="6F26C584" w:rsidR="009B2D99" w:rsidRDefault="00E156D2" w:rsidP="00E156D2">
      <w:pPr>
        <w:rPr>
          <w:lang w:bidi="en-US"/>
        </w:rPr>
      </w:pPr>
      <w:r>
        <w:rPr>
          <w:lang w:bidi="en-US"/>
        </w:rPr>
        <w:t>The basic assumption is that contamination affects</w:t>
      </w:r>
      <w:r w:rsidR="004E0775">
        <w:rPr>
          <w:lang w:bidi="en-US"/>
        </w:rPr>
        <w:t xml:space="preserve"> internal leakage</w:t>
      </w:r>
      <w:r w:rsidR="00AC56E3">
        <w:rPr>
          <w:lang w:bidi="en-US"/>
        </w:rPr>
        <w:t xml:space="preserve"> due to</w:t>
      </w:r>
      <w:r>
        <w:rPr>
          <w:lang w:bidi="en-US"/>
        </w:rPr>
        <w:t xml:space="preserve"> </w:t>
      </w:r>
      <w:r w:rsidR="004E0775">
        <w:rPr>
          <w:lang w:bidi="en-US"/>
        </w:rPr>
        <w:t>pump</w:t>
      </w:r>
      <w:r>
        <w:rPr>
          <w:lang w:bidi="en-US"/>
        </w:rPr>
        <w:t xml:space="preserve"> wear and</w:t>
      </w:r>
      <w:r w:rsidR="00EA3D58">
        <w:rPr>
          <w:lang w:bidi="en-US"/>
        </w:rPr>
        <w:t>, presumably,</w:t>
      </w:r>
      <w:r>
        <w:rPr>
          <w:lang w:bidi="en-US"/>
        </w:rPr>
        <w:t xml:space="preserve"> </w:t>
      </w:r>
      <w:r w:rsidR="004E0775">
        <w:rPr>
          <w:lang w:bidi="en-US"/>
        </w:rPr>
        <w:t>loss of hydraulic power</w:t>
      </w:r>
      <w:r>
        <w:rPr>
          <w:lang w:bidi="en-US"/>
        </w:rPr>
        <w:t>. Although the information regarding contamination level value (</w:t>
      </w:r>
      <w:r>
        <w:rPr>
          <w:lang w:bidi="en-US"/>
        </w:rPr>
        <w:fldChar w:fldCharType="begin"/>
      </w:r>
      <w:r>
        <w:rPr>
          <w:lang w:bidi="en-US"/>
        </w:rPr>
        <w:instrText xml:space="preserve"> REF _Ref93928260 \h </w:instrText>
      </w:r>
      <w:r>
        <w:rPr>
          <w:lang w:bidi="en-US"/>
        </w:rPr>
      </w:r>
      <w:r>
        <w:rPr>
          <w:lang w:bidi="en-US"/>
        </w:rPr>
        <w:fldChar w:fldCharType="separate"/>
      </w:r>
      <w:r w:rsidR="00587AF0">
        <w:t xml:space="preserve">Appendix </w:t>
      </w:r>
      <w:r w:rsidR="00587AF0">
        <w:rPr>
          <w:noProof/>
        </w:rPr>
        <w:t>3</w:t>
      </w:r>
      <w:r>
        <w:rPr>
          <w:lang w:bidi="en-US"/>
        </w:rPr>
        <w:fldChar w:fldCharType="end"/>
      </w:r>
      <w:r>
        <w:rPr>
          <w:lang w:bidi="en-US"/>
        </w:rPr>
        <w:t xml:space="preserve">) does not provide </w:t>
      </w:r>
      <w:r w:rsidR="00AC56E3">
        <w:rPr>
          <w:lang w:bidi="en-US"/>
        </w:rPr>
        <w:t xml:space="preserve">the </w:t>
      </w:r>
      <w:r>
        <w:rPr>
          <w:lang w:bidi="en-US"/>
        </w:rPr>
        <w:t xml:space="preserve">exact value of particles but rather a rough approximation given by </w:t>
      </w:r>
      <w:r w:rsidR="001E2C30">
        <w:rPr>
          <w:lang w:bidi="en-US"/>
        </w:rPr>
        <w:t xml:space="preserve">the </w:t>
      </w:r>
      <w:r>
        <w:rPr>
          <w:lang w:bidi="en-US"/>
        </w:rPr>
        <w:t>ISO Code, data is tested through cycle</w:t>
      </w:r>
      <w:r w:rsidR="000845F5">
        <w:rPr>
          <w:lang w:bidi="en-US"/>
        </w:rPr>
        <w:t>s</w:t>
      </w:r>
      <w:r>
        <w:rPr>
          <w:lang w:bidi="en-US"/>
        </w:rPr>
        <w:t xml:space="preserve"> </w:t>
      </w:r>
      <w:r w:rsidR="003F02E7">
        <w:rPr>
          <w:lang w:bidi="en-US"/>
        </w:rPr>
        <w:t>monitored</w:t>
      </w:r>
      <w:r>
        <w:rPr>
          <w:lang w:bidi="en-US"/>
        </w:rPr>
        <w:t xml:space="preserve"> and hydraulic power loss. </w:t>
      </w:r>
      <w:r w:rsidR="003F02E7">
        <w:rPr>
          <w:lang w:bidi="en-US"/>
        </w:rPr>
        <w:t>O</w:t>
      </w:r>
      <w:r>
        <w:rPr>
          <w:lang w:bidi="en-US"/>
        </w:rPr>
        <w:t xml:space="preserve">ne would expect that values do not change </w:t>
      </w:r>
      <w:r w:rsidR="003F02E7">
        <w:rPr>
          <w:lang w:bidi="en-US"/>
        </w:rPr>
        <w:t xml:space="preserve">with statistically significant difference </w:t>
      </w:r>
      <w:r>
        <w:rPr>
          <w:lang w:bidi="en-US"/>
        </w:rPr>
        <w:t>over time</w:t>
      </w:r>
      <w:r w:rsidR="00AC56E3">
        <w:rPr>
          <w:lang w:bidi="en-US"/>
        </w:rPr>
        <w:t>;</w:t>
      </w:r>
      <w:r>
        <w:rPr>
          <w:lang w:bidi="en-US"/>
        </w:rPr>
        <w:t xml:space="preserve"> however, data obtained from roughly 24 000 cycles</w:t>
      </w:r>
      <w:r w:rsidR="004F75E9">
        <w:rPr>
          <w:lang w:bidi="en-US"/>
        </w:rPr>
        <w:t xml:space="preserve"> (online</w:t>
      </w:r>
      <w:r w:rsidR="00A22412">
        <w:rPr>
          <w:lang w:bidi="en-US"/>
        </w:rPr>
        <w:t xml:space="preserve"> monitoring 980 cycles)</w:t>
      </w:r>
      <w:r>
        <w:rPr>
          <w:lang w:bidi="en-US"/>
        </w:rPr>
        <w:t>, i.e., 1</w:t>
      </w:r>
      <w:r w:rsidR="00B83F98">
        <w:rPr>
          <w:lang w:bidi="en-US"/>
        </w:rPr>
        <w:t>608</w:t>
      </w:r>
      <w:r>
        <w:rPr>
          <w:lang w:bidi="en-US"/>
        </w:rPr>
        <w:t xml:space="preserve"> machine working hours, show the presence of correlation (</w:t>
      </w:r>
      <w:r>
        <w:rPr>
          <w:lang w:bidi="en-US"/>
        </w:rPr>
        <w:fldChar w:fldCharType="begin"/>
      </w:r>
      <w:r>
        <w:rPr>
          <w:lang w:bidi="en-US"/>
        </w:rPr>
        <w:instrText xml:space="preserve"> REF _Ref94283308 \h </w:instrText>
      </w:r>
      <w:r>
        <w:rPr>
          <w:lang w:bidi="en-US"/>
        </w:rPr>
      </w:r>
      <w:r>
        <w:rPr>
          <w:lang w:bidi="en-US"/>
        </w:rPr>
        <w:fldChar w:fldCharType="separate"/>
      </w:r>
      <w:r w:rsidR="00587AF0">
        <w:t xml:space="preserve">Table </w:t>
      </w:r>
      <w:r w:rsidR="00587AF0">
        <w:rPr>
          <w:noProof/>
        </w:rPr>
        <w:t>25</w:t>
      </w:r>
      <w:r>
        <w:rPr>
          <w:lang w:bidi="en-US"/>
        </w:rPr>
        <w:fldChar w:fldCharType="end"/>
      </w:r>
      <w:r>
        <w:rPr>
          <w:lang w:bidi="en-US"/>
        </w:rPr>
        <w:t xml:space="preserve">) with </w:t>
      </w:r>
      <w:r w:rsidR="003F02E7">
        <w:rPr>
          <w:lang w:bidi="en-US"/>
        </w:rPr>
        <w:t>statistically significant effect</w:t>
      </w:r>
      <w:r>
        <w:rPr>
          <w:lang w:bidi="en-US"/>
        </w:rPr>
        <w:t xml:space="preserve"> (</w:t>
      </w:r>
      <w:r w:rsidRPr="00EB6CCB">
        <w:rPr>
          <w:i/>
          <w:iCs/>
          <w:lang w:bidi="en-US"/>
        </w:rPr>
        <w:t>p &lt; 0.0</w:t>
      </w:r>
      <w:r>
        <w:rPr>
          <w:i/>
          <w:iCs/>
          <w:lang w:bidi="en-US"/>
        </w:rPr>
        <w:t>1</w:t>
      </w:r>
      <w:r>
        <w:rPr>
          <w:lang w:bidi="en-US"/>
        </w:rPr>
        <w:t>).</w:t>
      </w:r>
    </w:p>
    <w:p w14:paraId="1A127514" w14:textId="663932F0" w:rsidR="00BE0138" w:rsidRDefault="00BE0138" w:rsidP="00BE0138">
      <w:pPr>
        <w:pStyle w:val="Heading3"/>
        <w:rPr>
          <w:lang w:bidi="en-US"/>
        </w:rPr>
      </w:pPr>
      <w:bookmarkStart w:id="450" w:name="_Toc101274383"/>
      <w:r>
        <w:rPr>
          <w:lang w:bidi="en-US"/>
        </w:rPr>
        <w:t xml:space="preserve">Testing the relationship between contamination and </w:t>
      </w:r>
      <w:r w:rsidR="0001505D">
        <w:rPr>
          <w:lang w:bidi="en-US"/>
        </w:rPr>
        <w:t>hydraulic power</w:t>
      </w:r>
      <w:bookmarkEnd w:id="450"/>
    </w:p>
    <w:p w14:paraId="204B7C06" w14:textId="4A75DE00" w:rsidR="00FE5E0A" w:rsidRDefault="0085788F" w:rsidP="00FE5E0A">
      <w:pPr>
        <w:rPr>
          <w:lang w:bidi="en-US"/>
        </w:rPr>
      </w:pPr>
      <w:r>
        <w:rPr>
          <w:lang w:bidi="en-US"/>
        </w:rPr>
        <w:t xml:space="preserve">Namely, </w:t>
      </w:r>
      <w:r w:rsidRPr="00436DD1">
        <w:rPr>
          <w:i/>
          <w:iCs/>
          <w:lang w:bidi="en-US"/>
        </w:rPr>
        <w:t xml:space="preserve">Spearman’s </w:t>
      </w:r>
      <w:r w:rsidR="00436DD1" w:rsidRPr="00436DD1">
        <w:rPr>
          <w:i/>
          <w:iCs/>
          <w:lang w:bidi="en-US"/>
        </w:rPr>
        <w:t>ρ</w:t>
      </w:r>
      <w:r w:rsidR="00436DD1">
        <w:rPr>
          <w:lang w:bidi="en-US"/>
        </w:rPr>
        <w:t xml:space="preserve"> </w:t>
      </w:r>
      <w:r>
        <w:rPr>
          <w:lang w:bidi="en-US"/>
        </w:rPr>
        <w:t xml:space="preserve">coefficient shows </w:t>
      </w:r>
      <w:r w:rsidR="00AC56E3">
        <w:rPr>
          <w:lang w:bidi="en-US"/>
        </w:rPr>
        <w:t xml:space="preserve">a </w:t>
      </w:r>
      <w:r>
        <w:rPr>
          <w:lang w:bidi="en-US"/>
        </w:rPr>
        <w:t>negative tendency (ρ=-0.1</w:t>
      </w:r>
      <w:r w:rsidR="00400660">
        <w:rPr>
          <w:lang w:bidi="en-US"/>
        </w:rPr>
        <w:t>89</w:t>
      </w:r>
      <w:r>
        <w:rPr>
          <w:lang w:bidi="en-US"/>
        </w:rPr>
        <w:t xml:space="preserve">; </w:t>
      </w:r>
      <w:r>
        <w:rPr>
          <w:i/>
          <w:iCs/>
          <w:lang w:bidi="en-US"/>
        </w:rPr>
        <w:t>p</w:t>
      </w:r>
      <w:r>
        <w:rPr>
          <w:lang w:bidi="en-US"/>
        </w:rPr>
        <w:t xml:space="preserve"> &lt; 0.0</w:t>
      </w:r>
      <w:r w:rsidR="00F6755C">
        <w:rPr>
          <w:lang w:bidi="en-US"/>
        </w:rPr>
        <w:t>5</w:t>
      </w:r>
      <w:r>
        <w:rPr>
          <w:lang w:bidi="en-US"/>
        </w:rPr>
        <w:t>) between particle contamination (</w:t>
      </w:r>
      <w:r w:rsidR="00FE5E0A">
        <w:rPr>
          <w:lang w:bidi="en-US"/>
        </w:rPr>
        <w:t>APC</w:t>
      </w:r>
      <w:r>
        <w:rPr>
          <w:lang w:bidi="en-US"/>
        </w:rPr>
        <w:t xml:space="preserve">4) and hydraulic power delivery, i.e., </w:t>
      </w:r>
      <w:r w:rsidR="00BC64EA">
        <w:rPr>
          <w:lang w:bidi="en-US"/>
        </w:rPr>
        <w:t>the higher the contamination</w:t>
      </w:r>
      <w:r w:rsidR="00AC56E3">
        <w:rPr>
          <w:lang w:bidi="en-US"/>
        </w:rPr>
        <w:t>,</w:t>
      </w:r>
      <w:r w:rsidR="00BC64EA">
        <w:rPr>
          <w:lang w:bidi="en-US"/>
        </w:rPr>
        <w:t xml:space="preserve"> the less hydraulic power is delivered to the system.</w:t>
      </w:r>
      <w:r w:rsidR="004B6C4D">
        <w:rPr>
          <w:lang w:bidi="en-US"/>
        </w:rPr>
        <w:t xml:space="preserve"> </w:t>
      </w:r>
      <w:r w:rsidR="00BC64EA">
        <w:rPr>
          <w:lang w:bidi="en-US"/>
        </w:rPr>
        <w:t xml:space="preserve">Also, particle contamination of </w:t>
      </w:r>
      <w:r w:rsidR="00FE5E0A">
        <w:rPr>
          <w:lang w:bidi="en-US"/>
        </w:rPr>
        <w:t>APC</w:t>
      </w:r>
      <w:r w:rsidR="00BC64EA">
        <w:rPr>
          <w:lang w:bidi="en-US"/>
        </w:rPr>
        <w:t>6 show</w:t>
      </w:r>
      <w:r w:rsidR="00AC56E3">
        <w:rPr>
          <w:lang w:bidi="en-US"/>
        </w:rPr>
        <w:t>s</w:t>
      </w:r>
      <w:r w:rsidR="00BC64EA">
        <w:rPr>
          <w:lang w:bidi="en-US"/>
        </w:rPr>
        <w:t xml:space="preserve"> </w:t>
      </w:r>
      <w:r w:rsidR="00AC56E3">
        <w:rPr>
          <w:lang w:bidi="en-US"/>
        </w:rPr>
        <w:t xml:space="preserve">a </w:t>
      </w:r>
      <w:r w:rsidR="00BC64EA">
        <w:rPr>
          <w:lang w:bidi="en-US"/>
        </w:rPr>
        <w:t>negative correlation (ρ=-0.</w:t>
      </w:r>
      <w:r w:rsidR="00400660">
        <w:rPr>
          <w:lang w:bidi="en-US"/>
        </w:rPr>
        <w:t>230</w:t>
      </w:r>
      <w:r w:rsidR="00BC64EA">
        <w:rPr>
          <w:lang w:bidi="en-US"/>
        </w:rPr>
        <w:t xml:space="preserve">; </w:t>
      </w:r>
      <w:r w:rsidR="00BC64EA">
        <w:rPr>
          <w:i/>
          <w:iCs/>
          <w:lang w:bidi="en-US"/>
        </w:rPr>
        <w:t>p</w:t>
      </w:r>
      <w:r w:rsidR="00BC64EA">
        <w:rPr>
          <w:lang w:bidi="en-US"/>
        </w:rPr>
        <w:t xml:space="preserve"> &lt; 0.0</w:t>
      </w:r>
      <w:r w:rsidR="00F6755C">
        <w:rPr>
          <w:lang w:bidi="en-US"/>
        </w:rPr>
        <w:t>5</w:t>
      </w:r>
      <w:r w:rsidR="00BC64EA">
        <w:rPr>
          <w:lang w:bidi="en-US"/>
        </w:rPr>
        <w:t>) with hydraulic power delivered to the system</w:t>
      </w:r>
      <w:r w:rsidR="00C82F3F">
        <w:rPr>
          <w:lang w:bidi="en-US"/>
        </w:rPr>
        <w:t>.</w:t>
      </w:r>
      <w:r w:rsidR="004B6C4D" w:rsidRPr="004B6C4D">
        <w:rPr>
          <w:lang w:bidi="en-US"/>
        </w:rPr>
        <w:t xml:space="preserve"> </w:t>
      </w:r>
      <w:r w:rsidR="004B6C4D">
        <w:rPr>
          <w:lang w:bidi="en-US"/>
        </w:rPr>
        <w:t xml:space="preserve">This is, presumably, </w:t>
      </w:r>
      <w:r w:rsidR="00AC56E3">
        <w:rPr>
          <w:lang w:bidi="en-US"/>
        </w:rPr>
        <w:t xml:space="preserve">a </w:t>
      </w:r>
      <w:r w:rsidR="00E927A3">
        <w:rPr>
          <w:lang w:bidi="en-US"/>
        </w:rPr>
        <w:t>low</w:t>
      </w:r>
      <w:r w:rsidR="004B6C4D">
        <w:rPr>
          <w:lang w:bidi="en-US"/>
        </w:rPr>
        <w:t xml:space="preserve"> effect of </w:t>
      </w:r>
      <w:r w:rsidR="00E927A3">
        <w:rPr>
          <w:lang w:bidi="en-US"/>
        </w:rPr>
        <w:t>a correlation</w:t>
      </w:r>
      <w:r w:rsidR="004B6C4D">
        <w:rPr>
          <w:lang w:bidi="en-US"/>
        </w:rPr>
        <w:t>.</w:t>
      </w:r>
      <w:r w:rsidR="00FE5E0A" w:rsidRPr="00FE5E0A">
        <w:rPr>
          <w:lang w:bidi="en-US"/>
        </w:rPr>
        <w:t xml:space="preserve"> </w:t>
      </w:r>
      <w:r w:rsidR="00FE5E0A">
        <w:rPr>
          <w:lang w:bidi="en-US"/>
        </w:rPr>
        <w:t xml:space="preserve">However, APC14 does not show (ρ=0.046; </w:t>
      </w:r>
      <w:r w:rsidR="00FE5E0A">
        <w:rPr>
          <w:i/>
          <w:iCs/>
          <w:lang w:bidi="en-US"/>
        </w:rPr>
        <w:t>p</w:t>
      </w:r>
      <w:r w:rsidR="00FE5E0A">
        <w:rPr>
          <w:lang w:bidi="en-US"/>
        </w:rPr>
        <w:t xml:space="preserve"> = 0.172) the </w:t>
      </w:r>
      <w:r w:rsidR="001D5E32">
        <w:rPr>
          <w:lang w:bidi="en-US"/>
        </w:rPr>
        <w:t>presence of the effect</w:t>
      </w:r>
      <w:r w:rsidR="00FE5E0A">
        <w:rPr>
          <w:lang w:bidi="en-US"/>
        </w:rPr>
        <w:t xml:space="preserve"> within the two. </w:t>
      </w:r>
      <w:r w:rsidR="00AC56E3">
        <w:rPr>
          <w:lang w:bidi="en-US"/>
        </w:rPr>
        <w:t>The r</w:t>
      </w:r>
      <w:r w:rsidR="00FE5E0A">
        <w:rPr>
          <w:lang w:bidi="en-US"/>
        </w:rPr>
        <w:t xml:space="preserve">est of the data show </w:t>
      </w:r>
      <w:r w:rsidR="00AC56E3">
        <w:rPr>
          <w:lang w:bidi="en-US"/>
        </w:rPr>
        <w:t xml:space="preserve">a </w:t>
      </w:r>
      <w:r w:rsidR="00FE5E0A">
        <w:rPr>
          <w:lang w:bidi="en-US"/>
        </w:rPr>
        <w:t>reasonabl</w:t>
      </w:r>
      <w:r w:rsidR="00AC56E3">
        <w:rPr>
          <w:lang w:bidi="en-US"/>
        </w:rPr>
        <w:t>y</w:t>
      </w:r>
      <w:r w:rsidR="00FE5E0A">
        <w:rPr>
          <w:lang w:bidi="en-US"/>
        </w:rPr>
        <w:t xml:space="preserve"> high correlation between the change in physical fluid properties, especially between density-viscosity (ρ=0.</w:t>
      </w:r>
      <w:r w:rsidR="00400660">
        <w:rPr>
          <w:lang w:bidi="en-US"/>
        </w:rPr>
        <w:t>81</w:t>
      </w:r>
      <w:r w:rsidR="00FE5E0A">
        <w:rPr>
          <w:lang w:bidi="en-US"/>
        </w:rPr>
        <w:t xml:space="preserve">; </w:t>
      </w:r>
      <w:r w:rsidR="00FE5E0A">
        <w:rPr>
          <w:i/>
          <w:iCs/>
          <w:lang w:bidi="en-US"/>
        </w:rPr>
        <w:t>p</w:t>
      </w:r>
      <w:r w:rsidR="00FE5E0A">
        <w:rPr>
          <w:lang w:bidi="en-US"/>
        </w:rPr>
        <w:t xml:space="preserve"> &lt; 0.0</w:t>
      </w:r>
      <w:r w:rsidR="00F6755C">
        <w:rPr>
          <w:lang w:bidi="en-US"/>
        </w:rPr>
        <w:t>5</w:t>
      </w:r>
      <w:r w:rsidR="00FE5E0A">
        <w:rPr>
          <w:lang w:bidi="en-US"/>
        </w:rPr>
        <w:t>), while also the change in density rise, as a consequence of contamination</w:t>
      </w:r>
      <w:r w:rsidR="00AC56E3">
        <w:rPr>
          <w:lang w:bidi="en-US"/>
        </w:rPr>
        <w:t>,</w:t>
      </w:r>
      <w:r w:rsidR="00FE5E0A">
        <w:rPr>
          <w:lang w:bidi="en-US"/>
        </w:rPr>
        <w:t xml:space="preserve"> show</w:t>
      </w:r>
      <w:r w:rsidR="00AC56E3">
        <w:rPr>
          <w:lang w:bidi="en-US"/>
        </w:rPr>
        <w:t>s</w:t>
      </w:r>
      <w:r w:rsidR="00E927A3">
        <w:rPr>
          <w:lang w:bidi="en-US"/>
        </w:rPr>
        <w:t xml:space="preserve"> </w:t>
      </w:r>
      <w:r w:rsidR="00AC56E3">
        <w:rPr>
          <w:lang w:bidi="en-US"/>
        </w:rPr>
        <w:t xml:space="preserve">a </w:t>
      </w:r>
      <w:r w:rsidR="001D5E32">
        <w:rPr>
          <w:lang w:bidi="en-US"/>
        </w:rPr>
        <w:t>moderate</w:t>
      </w:r>
      <w:r w:rsidR="00FE5E0A">
        <w:rPr>
          <w:lang w:bidi="en-US"/>
        </w:rPr>
        <w:t xml:space="preserve"> negative correlation with power delivery to the system (ρ=-0.</w:t>
      </w:r>
      <w:r w:rsidR="00565004">
        <w:rPr>
          <w:lang w:bidi="en-US"/>
        </w:rPr>
        <w:t>52</w:t>
      </w:r>
      <w:r w:rsidR="00FE5E0A">
        <w:rPr>
          <w:lang w:bidi="en-US"/>
        </w:rPr>
        <w:t xml:space="preserve">; </w:t>
      </w:r>
      <w:r w:rsidR="00FE5E0A">
        <w:rPr>
          <w:i/>
          <w:iCs/>
          <w:lang w:bidi="en-US"/>
        </w:rPr>
        <w:t>p</w:t>
      </w:r>
      <w:r w:rsidR="00FE5E0A">
        <w:rPr>
          <w:lang w:bidi="en-US"/>
        </w:rPr>
        <w:t xml:space="preserve"> &lt; 0.0</w:t>
      </w:r>
      <w:r w:rsidR="00F6755C">
        <w:rPr>
          <w:lang w:bidi="en-US"/>
        </w:rPr>
        <w:t>5</w:t>
      </w:r>
      <w:r w:rsidR="00FE5E0A">
        <w:rPr>
          <w:lang w:bidi="en-US"/>
        </w:rPr>
        <w:t>).</w:t>
      </w:r>
      <w:r w:rsidR="00AC56E3">
        <w:rPr>
          <w:lang w:bidi="en-US"/>
        </w:rPr>
        <w:t xml:space="preserve"> Therefore, there is insufficient evidence to reject the null concerning APC particle counts measurements.</w:t>
      </w:r>
    </w:p>
    <w:p w14:paraId="5E7FD0D2" w14:textId="2792E12A" w:rsidR="00347F88" w:rsidRPr="00016216" w:rsidRDefault="00347F88" w:rsidP="00347F88">
      <w:pPr>
        <w:rPr>
          <w:lang w:bidi="en-US"/>
        </w:rPr>
      </w:pPr>
      <w:r>
        <w:rPr>
          <w:lang w:bidi="en-US"/>
        </w:rPr>
        <w:t xml:space="preserve">The </w:t>
      </w:r>
      <w:r w:rsidR="00AC56E3">
        <w:rPr>
          <w:lang w:bidi="en-US"/>
        </w:rPr>
        <w:t>ISO class code cannot fully describe the exact correlation with other factor</w:t>
      </w:r>
      <w:r>
        <w:rPr>
          <w:lang w:bidi="en-US"/>
        </w:rPr>
        <w:t xml:space="preserve">s because </w:t>
      </w:r>
      <w:r w:rsidR="00AC56E3">
        <w:rPr>
          <w:lang w:bidi="en-US"/>
        </w:rPr>
        <w:t xml:space="preserve">the </w:t>
      </w:r>
      <w:r>
        <w:rPr>
          <w:lang w:bidi="en-US"/>
        </w:rPr>
        <w:t xml:space="preserve">ISO code does not fluctuate enough to show the correlation effect between </w:t>
      </w:r>
      <w:r w:rsidR="00F94CB8">
        <w:rPr>
          <w:lang w:bidi="en-US"/>
        </w:rPr>
        <w:t xml:space="preserve">the </w:t>
      </w:r>
      <w:r>
        <w:rPr>
          <w:lang w:bidi="en-US"/>
        </w:rPr>
        <w:t xml:space="preserve">ISO code and hydraulic </w:t>
      </w:r>
      <w:r>
        <w:rPr>
          <w:lang w:bidi="en-US"/>
        </w:rPr>
        <w:lastRenderedPageBreak/>
        <w:t>power</w:t>
      </w:r>
      <w:r w:rsidR="00AC56E3">
        <w:rPr>
          <w:lang w:bidi="en-US"/>
        </w:rPr>
        <w:t>.</w:t>
      </w:r>
      <w:r>
        <w:rPr>
          <w:lang w:bidi="en-US"/>
        </w:rPr>
        <w:t xml:space="preserve"> Firstly, during the monitoring of the experiment, it has been noticed that particles do not change significantly (between ISO 15-17), thus not creating enough effect between the two. Secondly, </w:t>
      </w:r>
      <w:r w:rsidR="00F94CB8">
        <w:rPr>
          <w:lang w:bidi="en-US"/>
        </w:rPr>
        <w:t>the fluctuation of APC4 and APC6 readings from ISO 16 code to ISO 22 code has been noticed</w:t>
      </w:r>
      <w:r w:rsidR="001E2C30">
        <w:rPr>
          <w:lang w:bidi="en-US"/>
        </w:rPr>
        <w:t>, questioning</w:t>
      </w:r>
      <w:r>
        <w:rPr>
          <w:lang w:bidi="en-US"/>
        </w:rPr>
        <w:t xml:space="preserve"> the influence of such small particles </w:t>
      </w:r>
      <w:r w:rsidR="00F94CB8">
        <w:rPr>
          <w:lang w:bidi="en-US"/>
        </w:rPr>
        <w:t xml:space="preserve">(air and water droplets). It also poses the question of </w:t>
      </w:r>
      <w:r>
        <w:rPr>
          <w:lang w:bidi="en-US"/>
        </w:rPr>
        <w:t xml:space="preserve">filterability and </w:t>
      </w:r>
      <w:r w:rsidR="00F94CB8">
        <w:rPr>
          <w:lang w:bidi="en-US"/>
        </w:rPr>
        <w:t xml:space="preserve">the </w:t>
      </w:r>
      <w:r>
        <w:rPr>
          <w:lang w:bidi="en-US"/>
        </w:rPr>
        <w:t>beta ratio of the filter since there have been two instances of the effect caused by maintenance activ</w:t>
      </w:r>
      <w:r w:rsidR="00F94CB8">
        <w:rPr>
          <w:lang w:bidi="en-US"/>
        </w:rPr>
        <w:t>i</w:t>
      </w:r>
      <w:r>
        <w:rPr>
          <w:lang w:bidi="en-US"/>
        </w:rPr>
        <w:t xml:space="preserve">ties – filter replacement and refilling the fluid in the system. Thirdly, </w:t>
      </w:r>
      <w:r w:rsidR="00F94CB8">
        <w:rPr>
          <w:lang w:bidi="en-US"/>
        </w:rPr>
        <w:t xml:space="preserve">the </w:t>
      </w:r>
      <w:r>
        <w:rPr>
          <w:lang w:bidi="en-US"/>
        </w:rPr>
        <w:t xml:space="preserve">pressure filter in the </w:t>
      </w:r>
      <w:r w:rsidR="00F94CB8">
        <w:rPr>
          <w:lang w:bidi="en-US"/>
        </w:rPr>
        <w:t>main pressure</w:t>
      </w:r>
      <w:r>
        <w:rPr>
          <w:lang w:bidi="en-US"/>
        </w:rPr>
        <w:t xml:space="preserve"> circuit is </w:t>
      </w:r>
      <w:r>
        <w:rPr>
          <w:i/>
          <w:iCs/>
          <w:lang w:bidi="en-US"/>
        </w:rPr>
        <w:t>β</w:t>
      </w:r>
      <w:r>
        <w:rPr>
          <w:i/>
          <w:iCs/>
          <w:vertAlign w:val="subscript"/>
          <w:lang w:bidi="en-US"/>
        </w:rPr>
        <w:t>10</w:t>
      </w:r>
      <w:r w:rsidR="00F94CB8" w:rsidRPr="00274223">
        <w:rPr>
          <w:lang w:bidi="en-US"/>
        </w:rPr>
        <w:t xml:space="preserve"> </w:t>
      </w:r>
      <w:r w:rsidR="00F94CB8">
        <w:rPr>
          <w:lang w:bidi="en-US"/>
        </w:rPr>
        <w:t>creates bias</w:t>
      </w:r>
      <w:r w:rsidR="00F94CB8" w:rsidRPr="00F94CB8">
        <w:rPr>
          <w:i/>
          <w:iCs/>
          <w:lang w:bidi="en-US"/>
        </w:rPr>
        <w:t>,</w:t>
      </w:r>
      <w:r>
        <w:rPr>
          <w:lang w:bidi="en-US"/>
        </w:rPr>
        <w:t xml:space="preserve"> meaning it stops particles ≥10 microns. Thus, suggesting the less variability of APC14 particles within the system. Finally, an APC is set not im</w:t>
      </w:r>
      <w:r w:rsidR="00F94CB8">
        <w:rPr>
          <w:lang w:bidi="en-US"/>
        </w:rPr>
        <w:t>me</w:t>
      </w:r>
      <w:r>
        <w:rPr>
          <w:lang w:bidi="en-US"/>
        </w:rPr>
        <w:t>diately after the pump but downstream of the system, thus influencing the effect of correlation with particle rise and hydraulic power delivery after the pump.</w:t>
      </w:r>
    </w:p>
    <w:p w14:paraId="6EFE4634" w14:textId="0958219E" w:rsidR="00372E5F" w:rsidRDefault="00372E5F" w:rsidP="00372E5F">
      <w:pPr>
        <w:pStyle w:val="Caption"/>
        <w:jc w:val="left"/>
      </w:pPr>
      <w:bookmarkStart w:id="451" w:name="_Ref94283308"/>
      <w:bookmarkStart w:id="452" w:name="_Toc101274465"/>
      <w:r>
        <w:t xml:space="preserve">Table </w:t>
      </w:r>
      <w:fldSimple w:instr=" SEQ Table \* ARABIC ">
        <w:r w:rsidR="00587AF0">
          <w:rPr>
            <w:noProof/>
          </w:rPr>
          <w:t>25</w:t>
        </w:r>
      </w:fldSimple>
      <w:bookmarkEnd w:id="451"/>
      <w:r>
        <w:t xml:space="preserve">. </w:t>
      </w:r>
      <w:r w:rsidR="001D5526">
        <w:t xml:space="preserve">Correlation </w:t>
      </w:r>
      <w:r w:rsidR="00FE7F18">
        <w:t xml:space="preserve">matrix – </w:t>
      </w:r>
      <w:r w:rsidR="00E927A3">
        <w:t>APC readings and hydraulic power per cycle</w:t>
      </w:r>
      <w:bookmarkEnd w:id="452"/>
    </w:p>
    <w:tbl>
      <w:tblPr>
        <w:tblW w:w="5000" w:type="pct"/>
        <w:tblLook w:val="04A0" w:firstRow="1" w:lastRow="0" w:firstColumn="1" w:lastColumn="0" w:noHBand="0" w:noVBand="1"/>
      </w:tblPr>
      <w:tblGrid>
        <w:gridCol w:w="1250"/>
        <w:gridCol w:w="714"/>
        <w:gridCol w:w="963"/>
        <w:gridCol w:w="627"/>
        <w:gridCol w:w="758"/>
        <w:gridCol w:w="758"/>
        <w:gridCol w:w="852"/>
        <w:gridCol w:w="652"/>
        <w:gridCol w:w="856"/>
        <w:gridCol w:w="971"/>
        <w:gridCol w:w="626"/>
      </w:tblGrid>
      <w:tr w:rsidR="00274223" w:rsidRPr="00F94CB8" w14:paraId="7990CC87" w14:textId="77777777" w:rsidTr="00274223">
        <w:trPr>
          <w:trHeight w:val="196"/>
        </w:trPr>
        <w:tc>
          <w:tcPr>
            <w:tcW w:w="692" w:type="pct"/>
            <w:tcBorders>
              <w:top w:val="single" w:sz="4" w:space="0" w:color="auto"/>
              <w:left w:val="nil"/>
              <w:bottom w:val="single" w:sz="4" w:space="0" w:color="auto"/>
              <w:right w:val="nil"/>
            </w:tcBorders>
            <w:shd w:val="clear" w:color="auto" w:fill="auto"/>
            <w:noWrap/>
            <w:vAlign w:val="center"/>
            <w:hideMark/>
          </w:tcPr>
          <w:p w14:paraId="7A8CFDA4" w14:textId="33D51C97" w:rsidR="00274223" w:rsidRPr="00F94CB8" w:rsidRDefault="00274223" w:rsidP="00344C53">
            <w:pPr>
              <w:spacing w:before="0" w:after="0"/>
              <w:jc w:val="center"/>
              <w:rPr>
                <w:rFonts w:eastAsia="Times New Roman" w:cs="Calibri"/>
                <w:sz w:val="18"/>
                <w:szCs w:val="18"/>
                <w:lang w:val="sr-Latn-RS" w:eastAsia="sr-Latn-RS"/>
              </w:rPr>
            </w:pPr>
          </w:p>
        </w:tc>
        <w:tc>
          <w:tcPr>
            <w:tcW w:w="395" w:type="pct"/>
            <w:tcBorders>
              <w:top w:val="single" w:sz="4" w:space="0" w:color="auto"/>
              <w:left w:val="nil"/>
              <w:bottom w:val="single" w:sz="4" w:space="0" w:color="auto"/>
              <w:right w:val="nil"/>
            </w:tcBorders>
            <w:shd w:val="clear" w:color="auto" w:fill="auto"/>
            <w:noWrap/>
            <w:vAlign w:val="center"/>
            <w:hideMark/>
          </w:tcPr>
          <w:p w14:paraId="0DEB86E6" w14:textId="4A70FFB2" w:rsidR="00274223" w:rsidRPr="00F94CB8" w:rsidRDefault="00274223" w:rsidP="00344C53">
            <w:pPr>
              <w:spacing w:before="0" w:after="0"/>
              <w:jc w:val="center"/>
              <w:rPr>
                <w:rFonts w:eastAsia="Times New Roman" w:cs="Calibri"/>
                <w:sz w:val="18"/>
                <w:szCs w:val="18"/>
                <w:lang w:val="sr-Latn-RS" w:eastAsia="sr-Latn-RS"/>
              </w:rPr>
            </w:pPr>
            <w:r w:rsidRPr="00F94CB8">
              <w:rPr>
                <w:rFonts w:eastAsia="Times New Roman" w:cs="Calibri"/>
                <w:sz w:val="18"/>
                <w:szCs w:val="18"/>
                <w:lang w:val="sr-Latn-RS" w:eastAsia="sr-Latn-RS"/>
              </w:rPr>
              <w:t>HS (t)</w:t>
            </w:r>
          </w:p>
        </w:tc>
        <w:tc>
          <w:tcPr>
            <w:tcW w:w="533" w:type="pct"/>
            <w:tcBorders>
              <w:top w:val="single" w:sz="4" w:space="0" w:color="auto"/>
              <w:left w:val="nil"/>
              <w:bottom w:val="single" w:sz="4" w:space="0" w:color="auto"/>
              <w:right w:val="nil"/>
            </w:tcBorders>
            <w:shd w:val="clear" w:color="auto" w:fill="auto"/>
            <w:noWrap/>
            <w:vAlign w:val="center"/>
            <w:hideMark/>
          </w:tcPr>
          <w:p w14:paraId="4738C4E3" w14:textId="77777777" w:rsidR="00274223" w:rsidRPr="00F94CB8" w:rsidRDefault="00274223" w:rsidP="00344C53">
            <w:pPr>
              <w:spacing w:before="0" w:after="0"/>
              <w:jc w:val="center"/>
              <w:rPr>
                <w:rFonts w:eastAsia="Times New Roman" w:cs="Calibri"/>
                <w:sz w:val="18"/>
                <w:szCs w:val="18"/>
                <w:lang w:val="sr-Latn-RS" w:eastAsia="sr-Latn-RS"/>
              </w:rPr>
            </w:pPr>
            <w:r w:rsidRPr="00F94CB8">
              <w:rPr>
                <w:rFonts w:eastAsia="Times New Roman" w:cs="Calibri"/>
                <w:sz w:val="18"/>
                <w:szCs w:val="18"/>
                <w:lang w:val="sr-Latn-RS" w:eastAsia="sr-Latn-RS"/>
              </w:rPr>
              <w:t>HS_iddle</w:t>
            </w:r>
          </w:p>
        </w:tc>
        <w:tc>
          <w:tcPr>
            <w:tcW w:w="347" w:type="pct"/>
            <w:tcBorders>
              <w:top w:val="single" w:sz="4" w:space="0" w:color="auto"/>
              <w:left w:val="nil"/>
              <w:bottom w:val="single" w:sz="4" w:space="0" w:color="auto"/>
              <w:right w:val="nil"/>
            </w:tcBorders>
            <w:shd w:val="clear" w:color="auto" w:fill="auto"/>
            <w:noWrap/>
            <w:vAlign w:val="center"/>
            <w:hideMark/>
          </w:tcPr>
          <w:p w14:paraId="67E60AA9" w14:textId="77777777" w:rsidR="00274223" w:rsidRPr="00F94CB8" w:rsidRDefault="00274223" w:rsidP="00344C53">
            <w:pPr>
              <w:spacing w:before="0" w:after="0"/>
              <w:jc w:val="center"/>
              <w:rPr>
                <w:rFonts w:eastAsia="Times New Roman" w:cs="Calibri"/>
                <w:sz w:val="18"/>
                <w:szCs w:val="18"/>
                <w:lang w:val="sr-Latn-RS" w:eastAsia="sr-Latn-RS"/>
              </w:rPr>
            </w:pPr>
            <w:r w:rsidRPr="00F94CB8">
              <w:rPr>
                <w:rFonts w:eastAsia="Times New Roman" w:cs="Calibri"/>
                <w:sz w:val="18"/>
                <w:szCs w:val="18"/>
                <w:lang w:val="sr-Latn-RS" w:eastAsia="sr-Latn-RS"/>
              </w:rPr>
              <w:t>kg/n</w:t>
            </w:r>
          </w:p>
        </w:tc>
        <w:tc>
          <w:tcPr>
            <w:tcW w:w="420" w:type="pct"/>
            <w:tcBorders>
              <w:top w:val="single" w:sz="4" w:space="0" w:color="auto"/>
              <w:left w:val="nil"/>
              <w:bottom w:val="single" w:sz="4" w:space="0" w:color="auto"/>
              <w:right w:val="nil"/>
            </w:tcBorders>
            <w:shd w:val="clear" w:color="auto" w:fill="auto"/>
            <w:noWrap/>
            <w:vAlign w:val="center"/>
            <w:hideMark/>
          </w:tcPr>
          <w:p w14:paraId="7F33D932" w14:textId="77777777" w:rsidR="00274223" w:rsidRPr="00F94CB8" w:rsidRDefault="00274223" w:rsidP="00344C53">
            <w:pPr>
              <w:spacing w:before="0" w:after="0"/>
              <w:jc w:val="center"/>
              <w:rPr>
                <w:rFonts w:eastAsia="Times New Roman" w:cs="Calibri"/>
                <w:sz w:val="18"/>
                <w:szCs w:val="18"/>
                <w:lang w:val="sr-Latn-RS" w:eastAsia="sr-Latn-RS"/>
              </w:rPr>
            </w:pPr>
            <w:r w:rsidRPr="00F94CB8">
              <w:rPr>
                <w:rFonts w:eastAsia="Times New Roman" w:cs="Calibri"/>
                <w:sz w:val="18"/>
                <w:szCs w:val="18"/>
                <w:lang w:val="sr-Latn-RS" w:eastAsia="sr-Latn-RS"/>
              </w:rPr>
              <w:t>APC 4</w:t>
            </w:r>
          </w:p>
        </w:tc>
        <w:tc>
          <w:tcPr>
            <w:tcW w:w="420" w:type="pct"/>
            <w:tcBorders>
              <w:top w:val="single" w:sz="4" w:space="0" w:color="auto"/>
              <w:left w:val="nil"/>
              <w:bottom w:val="single" w:sz="4" w:space="0" w:color="auto"/>
              <w:right w:val="nil"/>
            </w:tcBorders>
            <w:shd w:val="clear" w:color="auto" w:fill="auto"/>
            <w:noWrap/>
            <w:vAlign w:val="center"/>
            <w:hideMark/>
          </w:tcPr>
          <w:p w14:paraId="03205146" w14:textId="77777777" w:rsidR="00274223" w:rsidRPr="00F94CB8" w:rsidRDefault="00274223" w:rsidP="00344C53">
            <w:pPr>
              <w:spacing w:before="0" w:after="0"/>
              <w:jc w:val="center"/>
              <w:rPr>
                <w:rFonts w:eastAsia="Times New Roman" w:cs="Calibri"/>
                <w:sz w:val="18"/>
                <w:szCs w:val="18"/>
                <w:lang w:val="sr-Latn-RS" w:eastAsia="sr-Latn-RS"/>
              </w:rPr>
            </w:pPr>
            <w:r w:rsidRPr="00F94CB8">
              <w:rPr>
                <w:rFonts w:eastAsia="Times New Roman" w:cs="Calibri"/>
                <w:sz w:val="18"/>
                <w:szCs w:val="18"/>
                <w:lang w:val="sr-Latn-RS" w:eastAsia="sr-Latn-RS"/>
              </w:rPr>
              <w:t>APC 6</w:t>
            </w:r>
          </w:p>
        </w:tc>
        <w:tc>
          <w:tcPr>
            <w:tcW w:w="472" w:type="pct"/>
            <w:tcBorders>
              <w:top w:val="single" w:sz="4" w:space="0" w:color="auto"/>
              <w:left w:val="nil"/>
              <w:bottom w:val="single" w:sz="4" w:space="0" w:color="auto"/>
              <w:right w:val="nil"/>
            </w:tcBorders>
            <w:shd w:val="clear" w:color="auto" w:fill="auto"/>
            <w:noWrap/>
            <w:vAlign w:val="center"/>
            <w:hideMark/>
          </w:tcPr>
          <w:p w14:paraId="09DA9285" w14:textId="77777777" w:rsidR="00274223" w:rsidRPr="00F94CB8" w:rsidRDefault="00274223" w:rsidP="00344C53">
            <w:pPr>
              <w:spacing w:before="0" w:after="0"/>
              <w:jc w:val="center"/>
              <w:rPr>
                <w:rFonts w:eastAsia="Times New Roman" w:cs="Calibri"/>
                <w:sz w:val="18"/>
                <w:szCs w:val="18"/>
                <w:lang w:val="sr-Latn-RS" w:eastAsia="sr-Latn-RS"/>
              </w:rPr>
            </w:pPr>
            <w:r w:rsidRPr="00F94CB8">
              <w:rPr>
                <w:rFonts w:eastAsia="Times New Roman" w:cs="Calibri"/>
                <w:sz w:val="18"/>
                <w:szCs w:val="18"/>
                <w:lang w:val="sr-Latn-RS" w:eastAsia="sr-Latn-RS"/>
              </w:rPr>
              <w:t>APC 14</w:t>
            </w:r>
          </w:p>
        </w:tc>
        <w:tc>
          <w:tcPr>
            <w:tcW w:w="361" w:type="pct"/>
            <w:tcBorders>
              <w:top w:val="single" w:sz="4" w:space="0" w:color="auto"/>
              <w:left w:val="nil"/>
              <w:bottom w:val="single" w:sz="4" w:space="0" w:color="auto"/>
              <w:right w:val="nil"/>
            </w:tcBorders>
            <w:shd w:val="clear" w:color="auto" w:fill="auto"/>
            <w:noWrap/>
            <w:vAlign w:val="center"/>
            <w:hideMark/>
          </w:tcPr>
          <w:p w14:paraId="2133B29D" w14:textId="77777777" w:rsidR="00274223" w:rsidRPr="00F94CB8" w:rsidRDefault="00274223" w:rsidP="00344C53">
            <w:pPr>
              <w:spacing w:before="0" w:after="0"/>
              <w:jc w:val="center"/>
              <w:rPr>
                <w:rFonts w:eastAsia="Times New Roman" w:cs="Calibri"/>
                <w:sz w:val="18"/>
                <w:szCs w:val="18"/>
                <w:lang w:val="sr-Latn-RS" w:eastAsia="sr-Latn-RS"/>
              </w:rPr>
            </w:pPr>
            <w:r w:rsidRPr="00F94CB8">
              <w:rPr>
                <w:rFonts w:eastAsia="Times New Roman" w:cs="Calibri"/>
                <w:sz w:val="18"/>
                <w:szCs w:val="18"/>
                <w:lang w:val="sr-Latn-RS" w:eastAsia="sr-Latn-RS"/>
              </w:rPr>
              <w:t>Dens</w:t>
            </w:r>
          </w:p>
        </w:tc>
        <w:tc>
          <w:tcPr>
            <w:tcW w:w="474" w:type="pct"/>
            <w:tcBorders>
              <w:top w:val="single" w:sz="4" w:space="0" w:color="auto"/>
              <w:left w:val="nil"/>
              <w:bottom w:val="single" w:sz="4" w:space="0" w:color="auto"/>
              <w:right w:val="nil"/>
            </w:tcBorders>
            <w:shd w:val="clear" w:color="auto" w:fill="auto"/>
            <w:noWrap/>
            <w:vAlign w:val="center"/>
            <w:hideMark/>
          </w:tcPr>
          <w:p w14:paraId="575807A4" w14:textId="77777777" w:rsidR="00274223" w:rsidRPr="00F94CB8" w:rsidRDefault="00274223" w:rsidP="00344C53">
            <w:pPr>
              <w:spacing w:before="0" w:after="0"/>
              <w:jc w:val="center"/>
              <w:rPr>
                <w:rFonts w:eastAsia="Times New Roman" w:cs="Calibri"/>
                <w:sz w:val="18"/>
                <w:szCs w:val="18"/>
                <w:lang w:val="sr-Latn-RS" w:eastAsia="sr-Latn-RS"/>
              </w:rPr>
            </w:pPr>
            <w:r w:rsidRPr="00F94CB8">
              <w:rPr>
                <w:rFonts w:eastAsia="Times New Roman" w:cs="Calibri"/>
                <w:sz w:val="18"/>
                <w:szCs w:val="18"/>
                <w:lang w:val="sr-Latn-RS" w:eastAsia="sr-Latn-RS"/>
              </w:rPr>
              <w:t>VISC40</w:t>
            </w:r>
          </w:p>
        </w:tc>
        <w:tc>
          <w:tcPr>
            <w:tcW w:w="538" w:type="pct"/>
            <w:tcBorders>
              <w:top w:val="single" w:sz="4" w:space="0" w:color="auto"/>
              <w:left w:val="nil"/>
              <w:bottom w:val="single" w:sz="4" w:space="0" w:color="auto"/>
              <w:right w:val="nil"/>
            </w:tcBorders>
            <w:shd w:val="clear" w:color="auto" w:fill="auto"/>
            <w:noWrap/>
            <w:vAlign w:val="center"/>
            <w:hideMark/>
          </w:tcPr>
          <w:p w14:paraId="672A0EA2" w14:textId="77777777" w:rsidR="00274223" w:rsidRPr="00F94CB8" w:rsidRDefault="00274223" w:rsidP="00344C53">
            <w:pPr>
              <w:spacing w:before="0" w:after="0"/>
              <w:jc w:val="center"/>
              <w:rPr>
                <w:rFonts w:eastAsia="Times New Roman" w:cs="Calibri"/>
                <w:sz w:val="18"/>
                <w:szCs w:val="18"/>
                <w:lang w:val="sr-Latn-RS" w:eastAsia="sr-Latn-RS"/>
              </w:rPr>
            </w:pPr>
            <w:r w:rsidRPr="00F94CB8">
              <w:rPr>
                <w:rFonts w:eastAsia="Times New Roman" w:cs="Calibri"/>
                <w:sz w:val="18"/>
                <w:szCs w:val="18"/>
                <w:lang w:val="sr-Latn-RS" w:eastAsia="sr-Latn-RS"/>
              </w:rPr>
              <w:t>HyPower</w:t>
            </w:r>
          </w:p>
        </w:tc>
        <w:tc>
          <w:tcPr>
            <w:tcW w:w="347" w:type="pct"/>
            <w:tcBorders>
              <w:top w:val="single" w:sz="4" w:space="0" w:color="auto"/>
              <w:left w:val="nil"/>
              <w:bottom w:val="single" w:sz="4" w:space="0" w:color="auto"/>
              <w:right w:val="nil"/>
            </w:tcBorders>
            <w:shd w:val="clear" w:color="auto" w:fill="auto"/>
            <w:noWrap/>
            <w:vAlign w:val="center"/>
            <w:hideMark/>
          </w:tcPr>
          <w:p w14:paraId="53803C29" w14:textId="09944B4A" w:rsidR="00274223" w:rsidRPr="00F94CB8" w:rsidRDefault="00274223" w:rsidP="00344C53">
            <w:pPr>
              <w:spacing w:before="0" w:after="0"/>
              <w:jc w:val="center"/>
              <w:rPr>
                <w:rFonts w:eastAsia="Times New Roman" w:cs="Calibri"/>
                <w:sz w:val="18"/>
                <w:szCs w:val="18"/>
                <w:lang w:val="sr-Latn-RS" w:eastAsia="sr-Latn-RS"/>
              </w:rPr>
            </w:pPr>
            <w:r>
              <w:rPr>
                <w:rFonts w:eastAsia="Times New Roman" w:cs="Calibri"/>
                <w:sz w:val="18"/>
                <w:szCs w:val="18"/>
                <w:lang w:val="sr-Latn-RS" w:eastAsia="sr-Latn-RS"/>
              </w:rPr>
              <w:t>VI</w:t>
            </w:r>
          </w:p>
        </w:tc>
      </w:tr>
      <w:tr w:rsidR="00274223" w:rsidRPr="00F94CB8" w14:paraId="76215B35" w14:textId="77777777" w:rsidTr="00274223">
        <w:trPr>
          <w:trHeight w:val="185"/>
        </w:trPr>
        <w:tc>
          <w:tcPr>
            <w:tcW w:w="692" w:type="pct"/>
            <w:tcBorders>
              <w:top w:val="nil"/>
              <w:left w:val="nil"/>
              <w:bottom w:val="nil"/>
              <w:right w:val="nil"/>
            </w:tcBorders>
            <w:shd w:val="clear" w:color="auto" w:fill="auto"/>
            <w:noWrap/>
            <w:vAlign w:val="center"/>
            <w:hideMark/>
          </w:tcPr>
          <w:p w14:paraId="434181D3" w14:textId="77777777" w:rsidR="00274223" w:rsidRPr="00F94CB8" w:rsidRDefault="00274223" w:rsidP="00344C53">
            <w:pPr>
              <w:spacing w:before="0" w:after="0"/>
              <w:jc w:val="left"/>
              <w:rPr>
                <w:rFonts w:eastAsia="Times New Roman" w:cs="Calibri"/>
                <w:sz w:val="18"/>
                <w:szCs w:val="18"/>
                <w:lang w:val="sr-Latn-RS" w:eastAsia="sr-Latn-RS"/>
              </w:rPr>
            </w:pPr>
            <w:r w:rsidRPr="00F94CB8">
              <w:rPr>
                <w:rFonts w:eastAsia="Times New Roman" w:cs="Calibri"/>
                <w:sz w:val="18"/>
                <w:szCs w:val="18"/>
                <w:lang w:val="sr-Latn-RS" w:eastAsia="sr-Latn-RS"/>
              </w:rPr>
              <w:t>HS_idle</w:t>
            </w:r>
          </w:p>
        </w:tc>
        <w:tc>
          <w:tcPr>
            <w:tcW w:w="395" w:type="pct"/>
            <w:tcBorders>
              <w:top w:val="nil"/>
              <w:left w:val="nil"/>
              <w:bottom w:val="nil"/>
              <w:right w:val="nil"/>
            </w:tcBorders>
            <w:shd w:val="clear" w:color="auto" w:fill="FFFFFF" w:themeFill="background1"/>
            <w:noWrap/>
            <w:vAlign w:val="center"/>
            <w:hideMark/>
          </w:tcPr>
          <w:p w14:paraId="431E4B4D"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-0.08</w:t>
            </w:r>
          </w:p>
        </w:tc>
        <w:tc>
          <w:tcPr>
            <w:tcW w:w="533" w:type="pct"/>
            <w:tcBorders>
              <w:top w:val="nil"/>
              <w:left w:val="nil"/>
              <w:bottom w:val="nil"/>
              <w:right w:val="nil"/>
            </w:tcBorders>
            <w:shd w:val="clear" w:color="auto" w:fill="FFFFFF" w:themeFill="background1"/>
            <w:noWrap/>
            <w:vAlign w:val="center"/>
            <w:hideMark/>
          </w:tcPr>
          <w:p w14:paraId="175D71AD" w14:textId="77777777" w:rsidR="00274223" w:rsidRPr="00F94CB8" w:rsidRDefault="00274223" w:rsidP="00344C53">
            <w:pPr>
              <w:spacing w:before="0" w:after="0"/>
              <w:jc w:val="right"/>
              <w:rPr>
                <w:rFonts w:eastAsia="Times New Roman" w:cs="Calibri"/>
                <w:sz w:val="18"/>
                <w:szCs w:val="18"/>
                <w:lang w:val="sr-Latn-RS" w:eastAsia="sr-Latn-RS"/>
              </w:rPr>
            </w:pPr>
          </w:p>
        </w:tc>
        <w:tc>
          <w:tcPr>
            <w:tcW w:w="347" w:type="pct"/>
            <w:tcBorders>
              <w:top w:val="nil"/>
              <w:left w:val="nil"/>
              <w:bottom w:val="nil"/>
              <w:right w:val="nil"/>
            </w:tcBorders>
            <w:shd w:val="clear" w:color="auto" w:fill="FFFFFF" w:themeFill="background1"/>
            <w:noWrap/>
            <w:vAlign w:val="center"/>
            <w:hideMark/>
          </w:tcPr>
          <w:p w14:paraId="76DEBB8F" w14:textId="77777777" w:rsidR="00274223" w:rsidRPr="00F94CB8" w:rsidRDefault="00274223" w:rsidP="00344C53">
            <w:pPr>
              <w:spacing w:before="0" w:after="0"/>
              <w:jc w:val="right"/>
              <w:rPr>
                <w:rFonts w:eastAsia="Times New Roman" w:cs="Times New Roman"/>
                <w:sz w:val="18"/>
                <w:szCs w:val="18"/>
                <w:lang w:val="sr-Latn-RS" w:eastAsia="sr-Latn-RS"/>
              </w:rPr>
            </w:pPr>
          </w:p>
        </w:tc>
        <w:tc>
          <w:tcPr>
            <w:tcW w:w="420" w:type="pct"/>
            <w:tcBorders>
              <w:top w:val="nil"/>
              <w:left w:val="nil"/>
              <w:bottom w:val="nil"/>
              <w:right w:val="nil"/>
            </w:tcBorders>
            <w:shd w:val="clear" w:color="auto" w:fill="FFFFFF" w:themeFill="background1"/>
            <w:noWrap/>
            <w:vAlign w:val="center"/>
            <w:hideMark/>
          </w:tcPr>
          <w:p w14:paraId="59CE4240" w14:textId="77777777" w:rsidR="00274223" w:rsidRPr="00F94CB8" w:rsidRDefault="00274223" w:rsidP="00344C53">
            <w:pPr>
              <w:spacing w:before="0" w:after="0"/>
              <w:jc w:val="right"/>
              <w:rPr>
                <w:rFonts w:eastAsia="Times New Roman" w:cs="Times New Roman"/>
                <w:sz w:val="18"/>
                <w:szCs w:val="18"/>
                <w:lang w:val="sr-Latn-RS" w:eastAsia="sr-Latn-RS"/>
              </w:rPr>
            </w:pPr>
          </w:p>
        </w:tc>
        <w:tc>
          <w:tcPr>
            <w:tcW w:w="420" w:type="pct"/>
            <w:tcBorders>
              <w:top w:val="nil"/>
              <w:left w:val="nil"/>
              <w:bottom w:val="nil"/>
              <w:right w:val="nil"/>
            </w:tcBorders>
            <w:shd w:val="clear" w:color="auto" w:fill="FFFFFF" w:themeFill="background1"/>
            <w:noWrap/>
            <w:vAlign w:val="center"/>
            <w:hideMark/>
          </w:tcPr>
          <w:p w14:paraId="58D08144" w14:textId="77777777" w:rsidR="00274223" w:rsidRPr="00F94CB8" w:rsidRDefault="00274223" w:rsidP="00344C53">
            <w:pPr>
              <w:spacing w:before="0" w:after="0"/>
              <w:jc w:val="right"/>
              <w:rPr>
                <w:rFonts w:eastAsia="Times New Roman" w:cs="Times New Roman"/>
                <w:sz w:val="18"/>
                <w:szCs w:val="18"/>
                <w:lang w:val="sr-Latn-RS" w:eastAsia="sr-Latn-RS"/>
              </w:rPr>
            </w:pPr>
          </w:p>
        </w:tc>
        <w:tc>
          <w:tcPr>
            <w:tcW w:w="472" w:type="pct"/>
            <w:tcBorders>
              <w:top w:val="nil"/>
              <w:left w:val="nil"/>
              <w:bottom w:val="nil"/>
              <w:right w:val="nil"/>
            </w:tcBorders>
            <w:shd w:val="clear" w:color="auto" w:fill="FFFFFF" w:themeFill="background1"/>
            <w:noWrap/>
            <w:vAlign w:val="center"/>
            <w:hideMark/>
          </w:tcPr>
          <w:p w14:paraId="51FBFCBF" w14:textId="77777777" w:rsidR="00274223" w:rsidRPr="00F94CB8" w:rsidRDefault="00274223" w:rsidP="00344C53">
            <w:pPr>
              <w:spacing w:before="0" w:after="0"/>
              <w:jc w:val="right"/>
              <w:rPr>
                <w:rFonts w:eastAsia="Times New Roman" w:cs="Times New Roman"/>
                <w:sz w:val="18"/>
                <w:szCs w:val="18"/>
                <w:lang w:val="sr-Latn-RS" w:eastAsia="sr-Latn-RS"/>
              </w:rPr>
            </w:pPr>
          </w:p>
        </w:tc>
        <w:tc>
          <w:tcPr>
            <w:tcW w:w="361" w:type="pct"/>
            <w:tcBorders>
              <w:top w:val="nil"/>
              <w:left w:val="nil"/>
              <w:bottom w:val="nil"/>
              <w:right w:val="nil"/>
            </w:tcBorders>
            <w:shd w:val="clear" w:color="auto" w:fill="FFFFFF" w:themeFill="background1"/>
            <w:noWrap/>
            <w:vAlign w:val="center"/>
            <w:hideMark/>
          </w:tcPr>
          <w:p w14:paraId="4B1C0C92" w14:textId="77777777" w:rsidR="00274223" w:rsidRPr="00F94CB8" w:rsidRDefault="00274223" w:rsidP="00344C53">
            <w:pPr>
              <w:spacing w:before="0" w:after="0"/>
              <w:jc w:val="right"/>
              <w:rPr>
                <w:rFonts w:eastAsia="Times New Roman" w:cs="Times New Roman"/>
                <w:sz w:val="18"/>
                <w:szCs w:val="18"/>
                <w:lang w:val="sr-Latn-RS" w:eastAsia="sr-Latn-RS"/>
              </w:rPr>
            </w:pPr>
          </w:p>
        </w:tc>
        <w:tc>
          <w:tcPr>
            <w:tcW w:w="474" w:type="pct"/>
            <w:tcBorders>
              <w:top w:val="nil"/>
              <w:left w:val="nil"/>
              <w:bottom w:val="nil"/>
              <w:right w:val="nil"/>
            </w:tcBorders>
            <w:shd w:val="clear" w:color="auto" w:fill="FFFFFF" w:themeFill="background1"/>
            <w:noWrap/>
            <w:vAlign w:val="center"/>
            <w:hideMark/>
          </w:tcPr>
          <w:p w14:paraId="0E1B0712" w14:textId="77777777" w:rsidR="00274223" w:rsidRPr="00F94CB8" w:rsidRDefault="00274223" w:rsidP="00344C53">
            <w:pPr>
              <w:spacing w:before="0" w:after="0"/>
              <w:jc w:val="right"/>
              <w:rPr>
                <w:rFonts w:eastAsia="Times New Roman" w:cs="Times New Roman"/>
                <w:sz w:val="18"/>
                <w:szCs w:val="18"/>
                <w:lang w:val="sr-Latn-RS" w:eastAsia="sr-Latn-RS"/>
              </w:rPr>
            </w:pPr>
          </w:p>
        </w:tc>
        <w:tc>
          <w:tcPr>
            <w:tcW w:w="538" w:type="pct"/>
            <w:tcBorders>
              <w:top w:val="nil"/>
              <w:left w:val="nil"/>
              <w:bottom w:val="nil"/>
              <w:right w:val="nil"/>
            </w:tcBorders>
            <w:shd w:val="clear" w:color="auto" w:fill="FFFFFF" w:themeFill="background1"/>
            <w:noWrap/>
            <w:vAlign w:val="center"/>
            <w:hideMark/>
          </w:tcPr>
          <w:p w14:paraId="3DEB02B3" w14:textId="77777777" w:rsidR="00274223" w:rsidRPr="00F94CB8" w:rsidRDefault="00274223" w:rsidP="00344C53">
            <w:pPr>
              <w:spacing w:before="0" w:after="0"/>
              <w:jc w:val="right"/>
              <w:rPr>
                <w:rFonts w:eastAsia="Times New Roman" w:cs="Times New Roman"/>
                <w:sz w:val="18"/>
                <w:szCs w:val="18"/>
                <w:lang w:val="sr-Latn-RS" w:eastAsia="sr-Latn-RS"/>
              </w:rPr>
            </w:pPr>
          </w:p>
        </w:tc>
        <w:tc>
          <w:tcPr>
            <w:tcW w:w="347" w:type="pct"/>
            <w:tcBorders>
              <w:top w:val="nil"/>
              <w:left w:val="nil"/>
              <w:bottom w:val="nil"/>
              <w:right w:val="nil"/>
            </w:tcBorders>
            <w:shd w:val="clear" w:color="auto" w:fill="FFFFFF" w:themeFill="background1"/>
            <w:noWrap/>
            <w:vAlign w:val="center"/>
            <w:hideMark/>
          </w:tcPr>
          <w:p w14:paraId="7BD3599A" w14:textId="77777777" w:rsidR="00274223" w:rsidRPr="00F94CB8" w:rsidRDefault="00274223" w:rsidP="00344C53">
            <w:pPr>
              <w:spacing w:before="0" w:after="0"/>
              <w:jc w:val="right"/>
              <w:rPr>
                <w:rFonts w:eastAsia="Times New Roman" w:cs="Times New Roman"/>
                <w:sz w:val="18"/>
                <w:szCs w:val="18"/>
                <w:lang w:val="sr-Latn-RS" w:eastAsia="sr-Latn-RS"/>
              </w:rPr>
            </w:pPr>
          </w:p>
        </w:tc>
      </w:tr>
      <w:tr w:rsidR="00274223" w:rsidRPr="00F94CB8" w14:paraId="0E047B86" w14:textId="77777777" w:rsidTr="00274223">
        <w:trPr>
          <w:trHeight w:val="85"/>
        </w:trPr>
        <w:tc>
          <w:tcPr>
            <w:tcW w:w="692" w:type="pct"/>
            <w:tcBorders>
              <w:top w:val="nil"/>
              <w:left w:val="nil"/>
              <w:bottom w:val="nil"/>
              <w:right w:val="nil"/>
            </w:tcBorders>
            <w:shd w:val="clear" w:color="auto" w:fill="auto"/>
            <w:noWrap/>
            <w:vAlign w:val="center"/>
            <w:hideMark/>
          </w:tcPr>
          <w:p w14:paraId="78B5009A" w14:textId="77777777" w:rsidR="00274223" w:rsidRPr="00F94CB8" w:rsidRDefault="00274223" w:rsidP="00344C53">
            <w:pPr>
              <w:spacing w:before="0" w:after="0"/>
              <w:jc w:val="left"/>
              <w:rPr>
                <w:rFonts w:eastAsia="Times New Roman" w:cs="Calibri"/>
                <w:sz w:val="18"/>
                <w:szCs w:val="18"/>
                <w:lang w:val="sr-Latn-RS" w:eastAsia="sr-Latn-RS"/>
              </w:rPr>
            </w:pPr>
            <w:r w:rsidRPr="00F94CB8">
              <w:rPr>
                <w:rFonts w:eastAsia="Times New Roman" w:cs="Calibri"/>
                <w:sz w:val="18"/>
                <w:szCs w:val="18"/>
                <w:lang w:val="sr-Latn-RS" w:eastAsia="sr-Latn-RS"/>
              </w:rPr>
              <w:t>[kg]/n</w:t>
            </w:r>
          </w:p>
        </w:tc>
        <w:tc>
          <w:tcPr>
            <w:tcW w:w="395" w:type="pct"/>
            <w:tcBorders>
              <w:top w:val="nil"/>
              <w:left w:val="nil"/>
              <w:bottom w:val="nil"/>
              <w:right w:val="nil"/>
            </w:tcBorders>
            <w:shd w:val="clear" w:color="auto" w:fill="FFFFFF" w:themeFill="background1"/>
            <w:noWrap/>
            <w:vAlign w:val="center"/>
            <w:hideMark/>
          </w:tcPr>
          <w:p w14:paraId="52E519FE"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-0.13</w:t>
            </w:r>
          </w:p>
        </w:tc>
        <w:tc>
          <w:tcPr>
            <w:tcW w:w="533" w:type="pct"/>
            <w:tcBorders>
              <w:top w:val="nil"/>
              <w:left w:val="nil"/>
              <w:bottom w:val="nil"/>
              <w:right w:val="nil"/>
            </w:tcBorders>
            <w:shd w:val="clear" w:color="auto" w:fill="FFFFFF" w:themeFill="background1"/>
            <w:noWrap/>
            <w:vAlign w:val="center"/>
            <w:hideMark/>
          </w:tcPr>
          <w:p w14:paraId="6B62900D"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0.28</w:t>
            </w:r>
          </w:p>
        </w:tc>
        <w:tc>
          <w:tcPr>
            <w:tcW w:w="347" w:type="pct"/>
            <w:tcBorders>
              <w:top w:val="nil"/>
              <w:left w:val="nil"/>
              <w:bottom w:val="nil"/>
              <w:right w:val="nil"/>
            </w:tcBorders>
            <w:shd w:val="clear" w:color="auto" w:fill="FFFFFF" w:themeFill="background1"/>
            <w:noWrap/>
            <w:vAlign w:val="center"/>
            <w:hideMark/>
          </w:tcPr>
          <w:p w14:paraId="3F3D2A0D" w14:textId="77777777" w:rsidR="00274223" w:rsidRPr="00F94CB8" w:rsidRDefault="00274223" w:rsidP="00344C53">
            <w:pPr>
              <w:spacing w:before="0" w:after="0"/>
              <w:jc w:val="right"/>
              <w:rPr>
                <w:rFonts w:eastAsia="Times New Roman" w:cs="Calibri"/>
                <w:sz w:val="18"/>
                <w:szCs w:val="18"/>
                <w:lang w:val="sr-Latn-RS" w:eastAsia="sr-Latn-RS"/>
              </w:rPr>
            </w:pPr>
          </w:p>
        </w:tc>
        <w:tc>
          <w:tcPr>
            <w:tcW w:w="420" w:type="pct"/>
            <w:tcBorders>
              <w:top w:val="nil"/>
              <w:left w:val="nil"/>
              <w:bottom w:val="nil"/>
              <w:right w:val="nil"/>
            </w:tcBorders>
            <w:shd w:val="clear" w:color="auto" w:fill="FFFFFF" w:themeFill="background1"/>
            <w:noWrap/>
            <w:vAlign w:val="center"/>
            <w:hideMark/>
          </w:tcPr>
          <w:p w14:paraId="2882FAC8" w14:textId="77777777" w:rsidR="00274223" w:rsidRPr="00F94CB8" w:rsidRDefault="00274223" w:rsidP="00344C53">
            <w:pPr>
              <w:spacing w:before="0" w:after="0"/>
              <w:jc w:val="right"/>
              <w:rPr>
                <w:rFonts w:eastAsia="Times New Roman" w:cs="Times New Roman"/>
                <w:sz w:val="18"/>
                <w:szCs w:val="18"/>
                <w:lang w:val="sr-Latn-RS" w:eastAsia="sr-Latn-RS"/>
              </w:rPr>
            </w:pPr>
          </w:p>
        </w:tc>
        <w:tc>
          <w:tcPr>
            <w:tcW w:w="420" w:type="pct"/>
            <w:tcBorders>
              <w:top w:val="nil"/>
              <w:left w:val="nil"/>
              <w:bottom w:val="nil"/>
              <w:right w:val="nil"/>
            </w:tcBorders>
            <w:shd w:val="clear" w:color="auto" w:fill="FFFFFF" w:themeFill="background1"/>
            <w:noWrap/>
            <w:vAlign w:val="center"/>
            <w:hideMark/>
          </w:tcPr>
          <w:p w14:paraId="43DB9E20" w14:textId="77777777" w:rsidR="00274223" w:rsidRPr="00F94CB8" w:rsidRDefault="00274223" w:rsidP="00344C53">
            <w:pPr>
              <w:spacing w:before="0" w:after="0"/>
              <w:jc w:val="right"/>
              <w:rPr>
                <w:rFonts w:eastAsia="Times New Roman" w:cs="Times New Roman"/>
                <w:sz w:val="18"/>
                <w:szCs w:val="18"/>
                <w:lang w:val="sr-Latn-RS" w:eastAsia="sr-Latn-RS"/>
              </w:rPr>
            </w:pPr>
          </w:p>
        </w:tc>
        <w:tc>
          <w:tcPr>
            <w:tcW w:w="472" w:type="pct"/>
            <w:tcBorders>
              <w:top w:val="nil"/>
              <w:left w:val="nil"/>
              <w:bottom w:val="nil"/>
              <w:right w:val="nil"/>
            </w:tcBorders>
            <w:shd w:val="clear" w:color="auto" w:fill="FFFFFF" w:themeFill="background1"/>
            <w:noWrap/>
            <w:vAlign w:val="center"/>
            <w:hideMark/>
          </w:tcPr>
          <w:p w14:paraId="5B4E18CD" w14:textId="77777777" w:rsidR="00274223" w:rsidRPr="00F94CB8" w:rsidRDefault="00274223" w:rsidP="00344C53">
            <w:pPr>
              <w:spacing w:before="0" w:after="0"/>
              <w:jc w:val="right"/>
              <w:rPr>
                <w:rFonts w:eastAsia="Times New Roman" w:cs="Times New Roman"/>
                <w:sz w:val="18"/>
                <w:szCs w:val="18"/>
                <w:lang w:val="sr-Latn-RS" w:eastAsia="sr-Latn-RS"/>
              </w:rPr>
            </w:pPr>
          </w:p>
        </w:tc>
        <w:tc>
          <w:tcPr>
            <w:tcW w:w="361" w:type="pct"/>
            <w:tcBorders>
              <w:top w:val="nil"/>
              <w:left w:val="nil"/>
              <w:bottom w:val="nil"/>
              <w:right w:val="nil"/>
            </w:tcBorders>
            <w:shd w:val="clear" w:color="auto" w:fill="FFFFFF" w:themeFill="background1"/>
            <w:noWrap/>
            <w:vAlign w:val="center"/>
            <w:hideMark/>
          </w:tcPr>
          <w:p w14:paraId="5E1A4EE1" w14:textId="77777777" w:rsidR="00274223" w:rsidRPr="00F94CB8" w:rsidRDefault="00274223" w:rsidP="00344C53">
            <w:pPr>
              <w:spacing w:before="0" w:after="0"/>
              <w:jc w:val="right"/>
              <w:rPr>
                <w:rFonts w:eastAsia="Times New Roman" w:cs="Times New Roman"/>
                <w:sz w:val="18"/>
                <w:szCs w:val="18"/>
                <w:lang w:val="sr-Latn-RS" w:eastAsia="sr-Latn-RS"/>
              </w:rPr>
            </w:pPr>
          </w:p>
        </w:tc>
        <w:tc>
          <w:tcPr>
            <w:tcW w:w="474" w:type="pct"/>
            <w:tcBorders>
              <w:top w:val="nil"/>
              <w:left w:val="nil"/>
              <w:bottom w:val="nil"/>
              <w:right w:val="nil"/>
            </w:tcBorders>
            <w:shd w:val="clear" w:color="auto" w:fill="FFFFFF" w:themeFill="background1"/>
            <w:noWrap/>
            <w:vAlign w:val="center"/>
            <w:hideMark/>
          </w:tcPr>
          <w:p w14:paraId="325108D9" w14:textId="77777777" w:rsidR="00274223" w:rsidRPr="00F94CB8" w:rsidRDefault="00274223" w:rsidP="00344C53">
            <w:pPr>
              <w:spacing w:before="0" w:after="0"/>
              <w:jc w:val="right"/>
              <w:rPr>
                <w:rFonts w:eastAsia="Times New Roman" w:cs="Times New Roman"/>
                <w:sz w:val="18"/>
                <w:szCs w:val="18"/>
                <w:lang w:val="sr-Latn-RS" w:eastAsia="sr-Latn-RS"/>
              </w:rPr>
            </w:pPr>
          </w:p>
        </w:tc>
        <w:tc>
          <w:tcPr>
            <w:tcW w:w="538" w:type="pct"/>
            <w:tcBorders>
              <w:top w:val="nil"/>
              <w:left w:val="nil"/>
              <w:bottom w:val="nil"/>
              <w:right w:val="nil"/>
            </w:tcBorders>
            <w:shd w:val="clear" w:color="auto" w:fill="FFFFFF" w:themeFill="background1"/>
            <w:noWrap/>
            <w:vAlign w:val="center"/>
            <w:hideMark/>
          </w:tcPr>
          <w:p w14:paraId="69CD3104" w14:textId="77777777" w:rsidR="00274223" w:rsidRPr="00F94CB8" w:rsidRDefault="00274223" w:rsidP="00344C53">
            <w:pPr>
              <w:spacing w:before="0" w:after="0"/>
              <w:jc w:val="right"/>
              <w:rPr>
                <w:rFonts w:eastAsia="Times New Roman" w:cs="Times New Roman"/>
                <w:sz w:val="18"/>
                <w:szCs w:val="18"/>
                <w:lang w:val="sr-Latn-RS" w:eastAsia="sr-Latn-RS"/>
              </w:rPr>
            </w:pPr>
          </w:p>
        </w:tc>
        <w:tc>
          <w:tcPr>
            <w:tcW w:w="347" w:type="pct"/>
            <w:tcBorders>
              <w:top w:val="nil"/>
              <w:left w:val="nil"/>
              <w:bottom w:val="nil"/>
              <w:right w:val="nil"/>
            </w:tcBorders>
            <w:shd w:val="clear" w:color="auto" w:fill="FFFFFF" w:themeFill="background1"/>
            <w:noWrap/>
            <w:vAlign w:val="center"/>
            <w:hideMark/>
          </w:tcPr>
          <w:p w14:paraId="7FDE4B87" w14:textId="77777777" w:rsidR="00274223" w:rsidRPr="00F94CB8" w:rsidRDefault="00274223" w:rsidP="00344C53">
            <w:pPr>
              <w:spacing w:before="0" w:after="0"/>
              <w:jc w:val="right"/>
              <w:rPr>
                <w:rFonts w:eastAsia="Times New Roman" w:cs="Times New Roman"/>
                <w:sz w:val="18"/>
                <w:szCs w:val="18"/>
                <w:lang w:val="sr-Latn-RS" w:eastAsia="sr-Latn-RS"/>
              </w:rPr>
            </w:pPr>
          </w:p>
        </w:tc>
      </w:tr>
      <w:tr w:rsidR="00274223" w:rsidRPr="00F94CB8" w14:paraId="6D53A45D" w14:textId="77777777" w:rsidTr="00274223">
        <w:trPr>
          <w:trHeight w:val="180"/>
        </w:trPr>
        <w:tc>
          <w:tcPr>
            <w:tcW w:w="692" w:type="pct"/>
            <w:tcBorders>
              <w:top w:val="nil"/>
              <w:left w:val="nil"/>
              <w:bottom w:val="nil"/>
              <w:right w:val="nil"/>
            </w:tcBorders>
            <w:shd w:val="clear" w:color="auto" w:fill="auto"/>
            <w:noWrap/>
            <w:vAlign w:val="center"/>
            <w:hideMark/>
          </w:tcPr>
          <w:p w14:paraId="5D03725C" w14:textId="77777777" w:rsidR="00274223" w:rsidRPr="00F94CB8" w:rsidRDefault="00274223" w:rsidP="00344C53">
            <w:pPr>
              <w:spacing w:before="0" w:after="0"/>
              <w:jc w:val="left"/>
              <w:rPr>
                <w:rFonts w:eastAsia="Times New Roman" w:cs="Calibri"/>
                <w:sz w:val="18"/>
                <w:szCs w:val="18"/>
                <w:lang w:val="sr-Latn-RS" w:eastAsia="sr-Latn-RS"/>
              </w:rPr>
            </w:pPr>
            <w:r w:rsidRPr="00F94CB8">
              <w:rPr>
                <w:rFonts w:eastAsia="Times New Roman" w:cs="Calibri"/>
                <w:sz w:val="18"/>
                <w:szCs w:val="18"/>
                <w:lang w:val="sr-Latn-RS" w:eastAsia="sr-Latn-RS"/>
              </w:rPr>
              <w:t>APC 4</w:t>
            </w:r>
          </w:p>
        </w:tc>
        <w:tc>
          <w:tcPr>
            <w:tcW w:w="395" w:type="pct"/>
            <w:tcBorders>
              <w:top w:val="nil"/>
              <w:left w:val="nil"/>
              <w:bottom w:val="nil"/>
              <w:right w:val="nil"/>
            </w:tcBorders>
            <w:shd w:val="clear" w:color="auto" w:fill="FFFFFF" w:themeFill="background1"/>
            <w:noWrap/>
            <w:vAlign w:val="center"/>
            <w:hideMark/>
          </w:tcPr>
          <w:p w14:paraId="6847137A"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-0.09</w:t>
            </w:r>
          </w:p>
        </w:tc>
        <w:tc>
          <w:tcPr>
            <w:tcW w:w="533" w:type="pct"/>
            <w:tcBorders>
              <w:top w:val="nil"/>
              <w:left w:val="nil"/>
              <w:bottom w:val="nil"/>
              <w:right w:val="nil"/>
            </w:tcBorders>
            <w:shd w:val="clear" w:color="auto" w:fill="FFFFFF" w:themeFill="background1"/>
            <w:noWrap/>
            <w:vAlign w:val="center"/>
            <w:hideMark/>
          </w:tcPr>
          <w:p w14:paraId="1F39C268"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0.01</w:t>
            </w:r>
          </w:p>
        </w:tc>
        <w:tc>
          <w:tcPr>
            <w:tcW w:w="347" w:type="pct"/>
            <w:tcBorders>
              <w:top w:val="nil"/>
              <w:left w:val="nil"/>
              <w:bottom w:val="nil"/>
              <w:right w:val="nil"/>
            </w:tcBorders>
            <w:shd w:val="clear" w:color="auto" w:fill="FFFFFF" w:themeFill="background1"/>
            <w:noWrap/>
            <w:vAlign w:val="center"/>
            <w:hideMark/>
          </w:tcPr>
          <w:p w14:paraId="05E3D6BE"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-0.11</w:t>
            </w:r>
          </w:p>
        </w:tc>
        <w:tc>
          <w:tcPr>
            <w:tcW w:w="420" w:type="pct"/>
            <w:tcBorders>
              <w:top w:val="nil"/>
              <w:left w:val="nil"/>
              <w:bottom w:val="nil"/>
              <w:right w:val="nil"/>
            </w:tcBorders>
            <w:shd w:val="clear" w:color="auto" w:fill="FFFFFF" w:themeFill="background1"/>
            <w:noWrap/>
            <w:vAlign w:val="center"/>
            <w:hideMark/>
          </w:tcPr>
          <w:p w14:paraId="10B1EB07" w14:textId="77777777" w:rsidR="00274223" w:rsidRPr="00F94CB8" w:rsidRDefault="00274223" w:rsidP="00344C53">
            <w:pPr>
              <w:spacing w:before="0" w:after="0"/>
              <w:jc w:val="right"/>
              <w:rPr>
                <w:rFonts w:eastAsia="Times New Roman" w:cs="Calibri"/>
                <w:sz w:val="18"/>
                <w:szCs w:val="18"/>
                <w:lang w:val="sr-Latn-RS" w:eastAsia="sr-Latn-RS"/>
              </w:rPr>
            </w:pPr>
          </w:p>
        </w:tc>
        <w:tc>
          <w:tcPr>
            <w:tcW w:w="420" w:type="pct"/>
            <w:tcBorders>
              <w:top w:val="nil"/>
              <w:left w:val="nil"/>
              <w:bottom w:val="nil"/>
              <w:right w:val="nil"/>
            </w:tcBorders>
            <w:shd w:val="clear" w:color="auto" w:fill="FFFFFF" w:themeFill="background1"/>
            <w:noWrap/>
            <w:vAlign w:val="center"/>
            <w:hideMark/>
          </w:tcPr>
          <w:p w14:paraId="14922145" w14:textId="77777777" w:rsidR="00274223" w:rsidRPr="00F94CB8" w:rsidRDefault="00274223" w:rsidP="00344C53">
            <w:pPr>
              <w:spacing w:before="0" w:after="0"/>
              <w:jc w:val="right"/>
              <w:rPr>
                <w:rFonts w:eastAsia="Times New Roman" w:cs="Times New Roman"/>
                <w:sz w:val="18"/>
                <w:szCs w:val="18"/>
                <w:lang w:val="sr-Latn-RS" w:eastAsia="sr-Latn-RS"/>
              </w:rPr>
            </w:pPr>
          </w:p>
        </w:tc>
        <w:tc>
          <w:tcPr>
            <w:tcW w:w="472" w:type="pct"/>
            <w:tcBorders>
              <w:top w:val="nil"/>
              <w:left w:val="nil"/>
              <w:bottom w:val="nil"/>
              <w:right w:val="nil"/>
            </w:tcBorders>
            <w:shd w:val="clear" w:color="auto" w:fill="FFFFFF" w:themeFill="background1"/>
            <w:noWrap/>
            <w:vAlign w:val="center"/>
            <w:hideMark/>
          </w:tcPr>
          <w:p w14:paraId="4513109C" w14:textId="77777777" w:rsidR="00274223" w:rsidRPr="00F94CB8" w:rsidRDefault="00274223" w:rsidP="00344C53">
            <w:pPr>
              <w:spacing w:before="0" w:after="0"/>
              <w:jc w:val="right"/>
              <w:rPr>
                <w:rFonts w:eastAsia="Times New Roman" w:cs="Times New Roman"/>
                <w:sz w:val="18"/>
                <w:szCs w:val="18"/>
                <w:lang w:val="sr-Latn-RS" w:eastAsia="sr-Latn-RS"/>
              </w:rPr>
            </w:pPr>
          </w:p>
        </w:tc>
        <w:tc>
          <w:tcPr>
            <w:tcW w:w="361" w:type="pct"/>
            <w:tcBorders>
              <w:top w:val="nil"/>
              <w:left w:val="nil"/>
              <w:bottom w:val="nil"/>
              <w:right w:val="nil"/>
            </w:tcBorders>
            <w:shd w:val="clear" w:color="auto" w:fill="FFFFFF" w:themeFill="background1"/>
            <w:noWrap/>
            <w:vAlign w:val="center"/>
            <w:hideMark/>
          </w:tcPr>
          <w:p w14:paraId="07710186" w14:textId="77777777" w:rsidR="00274223" w:rsidRPr="00F94CB8" w:rsidRDefault="00274223" w:rsidP="00344C53">
            <w:pPr>
              <w:spacing w:before="0" w:after="0"/>
              <w:jc w:val="right"/>
              <w:rPr>
                <w:rFonts w:eastAsia="Times New Roman" w:cs="Times New Roman"/>
                <w:sz w:val="18"/>
                <w:szCs w:val="18"/>
                <w:lang w:val="sr-Latn-RS" w:eastAsia="sr-Latn-RS"/>
              </w:rPr>
            </w:pPr>
          </w:p>
        </w:tc>
        <w:tc>
          <w:tcPr>
            <w:tcW w:w="474" w:type="pct"/>
            <w:tcBorders>
              <w:top w:val="nil"/>
              <w:left w:val="nil"/>
              <w:bottom w:val="nil"/>
              <w:right w:val="nil"/>
            </w:tcBorders>
            <w:shd w:val="clear" w:color="auto" w:fill="FFFFFF" w:themeFill="background1"/>
            <w:noWrap/>
            <w:vAlign w:val="center"/>
            <w:hideMark/>
          </w:tcPr>
          <w:p w14:paraId="155424C9" w14:textId="77777777" w:rsidR="00274223" w:rsidRPr="00F94CB8" w:rsidRDefault="00274223" w:rsidP="00344C53">
            <w:pPr>
              <w:spacing w:before="0" w:after="0"/>
              <w:jc w:val="right"/>
              <w:rPr>
                <w:rFonts w:eastAsia="Times New Roman" w:cs="Times New Roman"/>
                <w:sz w:val="18"/>
                <w:szCs w:val="18"/>
                <w:lang w:val="sr-Latn-RS" w:eastAsia="sr-Latn-RS"/>
              </w:rPr>
            </w:pPr>
          </w:p>
        </w:tc>
        <w:tc>
          <w:tcPr>
            <w:tcW w:w="538" w:type="pct"/>
            <w:tcBorders>
              <w:top w:val="nil"/>
              <w:left w:val="nil"/>
              <w:bottom w:val="nil"/>
              <w:right w:val="nil"/>
            </w:tcBorders>
            <w:shd w:val="clear" w:color="auto" w:fill="FFFFFF" w:themeFill="background1"/>
            <w:noWrap/>
            <w:vAlign w:val="center"/>
            <w:hideMark/>
          </w:tcPr>
          <w:p w14:paraId="5813E1D9" w14:textId="77777777" w:rsidR="00274223" w:rsidRPr="00F94CB8" w:rsidRDefault="00274223" w:rsidP="00344C53">
            <w:pPr>
              <w:spacing w:before="0" w:after="0"/>
              <w:jc w:val="right"/>
              <w:rPr>
                <w:rFonts w:eastAsia="Times New Roman" w:cs="Times New Roman"/>
                <w:sz w:val="18"/>
                <w:szCs w:val="18"/>
                <w:lang w:val="sr-Latn-RS" w:eastAsia="sr-Latn-RS"/>
              </w:rPr>
            </w:pPr>
          </w:p>
        </w:tc>
        <w:tc>
          <w:tcPr>
            <w:tcW w:w="347" w:type="pct"/>
            <w:tcBorders>
              <w:top w:val="nil"/>
              <w:left w:val="nil"/>
              <w:bottom w:val="nil"/>
              <w:right w:val="nil"/>
            </w:tcBorders>
            <w:shd w:val="clear" w:color="auto" w:fill="FFFFFF" w:themeFill="background1"/>
            <w:noWrap/>
            <w:vAlign w:val="center"/>
            <w:hideMark/>
          </w:tcPr>
          <w:p w14:paraId="0DCC2FD5" w14:textId="77777777" w:rsidR="00274223" w:rsidRPr="00F94CB8" w:rsidRDefault="00274223" w:rsidP="00344C53">
            <w:pPr>
              <w:spacing w:before="0" w:after="0"/>
              <w:jc w:val="right"/>
              <w:rPr>
                <w:rFonts w:eastAsia="Times New Roman" w:cs="Times New Roman"/>
                <w:sz w:val="18"/>
                <w:szCs w:val="18"/>
                <w:lang w:val="sr-Latn-RS" w:eastAsia="sr-Latn-RS"/>
              </w:rPr>
            </w:pPr>
          </w:p>
        </w:tc>
      </w:tr>
      <w:tr w:rsidR="00274223" w:rsidRPr="00F94CB8" w14:paraId="0944B772" w14:textId="77777777" w:rsidTr="00274223">
        <w:trPr>
          <w:trHeight w:val="107"/>
        </w:trPr>
        <w:tc>
          <w:tcPr>
            <w:tcW w:w="692" w:type="pct"/>
            <w:tcBorders>
              <w:top w:val="nil"/>
              <w:left w:val="nil"/>
              <w:bottom w:val="nil"/>
              <w:right w:val="nil"/>
            </w:tcBorders>
            <w:shd w:val="clear" w:color="auto" w:fill="auto"/>
            <w:noWrap/>
            <w:vAlign w:val="center"/>
            <w:hideMark/>
          </w:tcPr>
          <w:p w14:paraId="3CD58782" w14:textId="77777777" w:rsidR="00274223" w:rsidRPr="00F94CB8" w:rsidRDefault="00274223" w:rsidP="00344C53">
            <w:pPr>
              <w:spacing w:before="0" w:after="0"/>
              <w:jc w:val="left"/>
              <w:rPr>
                <w:rFonts w:eastAsia="Times New Roman" w:cs="Calibri"/>
                <w:sz w:val="18"/>
                <w:szCs w:val="18"/>
                <w:lang w:val="sr-Latn-RS" w:eastAsia="sr-Latn-RS"/>
              </w:rPr>
            </w:pPr>
            <w:r w:rsidRPr="00F94CB8">
              <w:rPr>
                <w:rFonts w:eastAsia="Times New Roman" w:cs="Calibri"/>
                <w:sz w:val="18"/>
                <w:szCs w:val="18"/>
                <w:lang w:val="sr-Latn-RS" w:eastAsia="sr-Latn-RS"/>
              </w:rPr>
              <w:t>APC 6</w:t>
            </w:r>
          </w:p>
        </w:tc>
        <w:tc>
          <w:tcPr>
            <w:tcW w:w="395" w:type="pct"/>
            <w:tcBorders>
              <w:top w:val="nil"/>
              <w:left w:val="nil"/>
              <w:bottom w:val="nil"/>
              <w:right w:val="nil"/>
            </w:tcBorders>
            <w:shd w:val="clear" w:color="auto" w:fill="FFFFFF" w:themeFill="background1"/>
            <w:noWrap/>
            <w:vAlign w:val="center"/>
            <w:hideMark/>
          </w:tcPr>
          <w:p w14:paraId="66BC6CA7"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-0.21</w:t>
            </w:r>
          </w:p>
        </w:tc>
        <w:tc>
          <w:tcPr>
            <w:tcW w:w="533" w:type="pct"/>
            <w:tcBorders>
              <w:top w:val="nil"/>
              <w:left w:val="nil"/>
              <w:bottom w:val="nil"/>
              <w:right w:val="nil"/>
            </w:tcBorders>
            <w:shd w:val="clear" w:color="auto" w:fill="FFFFFF" w:themeFill="background1"/>
            <w:noWrap/>
            <w:vAlign w:val="center"/>
            <w:hideMark/>
          </w:tcPr>
          <w:p w14:paraId="728D04DA"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0.05</w:t>
            </w:r>
          </w:p>
        </w:tc>
        <w:tc>
          <w:tcPr>
            <w:tcW w:w="347" w:type="pct"/>
            <w:tcBorders>
              <w:top w:val="nil"/>
              <w:left w:val="nil"/>
              <w:bottom w:val="nil"/>
              <w:right w:val="nil"/>
            </w:tcBorders>
            <w:shd w:val="clear" w:color="auto" w:fill="FFFFFF" w:themeFill="background1"/>
            <w:noWrap/>
            <w:vAlign w:val="center"/>
            <w:hideMark/>
          </w:tcPr>
          <w:p w14:paraId="27000600"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-0.03</w:t>
            </w:r>
          </w:p>
        </w:tc>
        <w:tc>
          <w:tcPr>
            <w:tcW w:w="420" w:type="pct"/>
            <w:tcBorders>
              <w:top w:val="nil"/>
              <w:left w:val="nil"/>
              <w:bottom w:val="nil"/>
              <w:right w:val="nil"/>
            </w:tcBorders>
            <w:shd w:val="clear" w:color="auto" w:fill="FFFFFF" w:themeFill="background1"/>
            <w:noWrap/>
            <w:vAlign w:val="center"/>
            <w:hideMark/>
          </w:tcPr>
          <w:p w14:paraId="46F2E991"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0.72</w:t>
            </w:r>
          </w:p>
        </w:tc>
        <w:tc>
          <w:tcPr>
            <w:tcW w:w="420" w:type="pct"/>
            <w:tcBorders>
              <w:top w:val="nil"/>
              <w:left w:val="nil"/>
              <w:bottom w:val="nil"/>
              <w:right w:val="nil"/>
            </w:tcBorders>
            <w:shd w:val="clear" w:color="auto" w:fill="FFFFFF" w:themeFill="background1"/>
            <w:noWrap/>
            <w:vAlign w:val="center"/>
            <w:hideMark/>
          </w:tcPr>
          <w:p w14:paraId="6FF74906" w14:textId="77777777" w:rsidR="00274223" w:rsidRPr="00F94CB8" w:rsidRDefault="00274223" w:rsidP="00344C53">
            <w:pPr>
              <w:spacing w:before="0" w:after="0"/>
              <w:jc w:val="right"/>
              <w:rPr>
                <w:rFonts w:eastAsia="Times New Roman" w:cs="Calibri"/>
                <w:sz w:val="18"/>
                <w:szCs w:val="18"/>
                <w:lang w:val="sr-Latn-RS" w:eastAsia="sr-Latn-RS"/>
              </w:rPr>
            </w:pPr>
          </w:p>
        </w:tc>
        <w:tc>
          <w:tcPr>
            <w:tcW w:w="472" w:type="pct"/>
            <w:tcBorders>
              <w:top w:val="nil"/>
              <w:left w:val="nil"/>
              <w:bottom w:val="nil"/>
              <w:right w:val="nil"/>
            </w:tcBorders>
            <w:shd w:val="clear" w:color="auto" w:fill="FFFFFF" w:themeFill="background1"/>
            <w:noWrap/>
            <w:vAlign w:val="center"/>
            <w:hideMark/>
          </w:tcPr>
          <w:p w14:paraId="7CB953DA" w14:textId="77777777" w:rsidR="00274223" w:rsidRPr="00F94CB8" w:rsidRDefault="00274223" w:rsidP="00344C53">
            <w:pPr>
              <w:spacing w:before="0" w:after="0"/>
              <w:jc w:val="right"/>
              <w:rPr>
                <w:rFonts w:eastAsia="Times New Roman" w:cs="Times New Roman"/>
                <w:sz w:val="18"/>
                <w:szCs w:val="18"/>
                <w:lang w:val="sr-Latn-RS" w:eastAsia="sr-Latn-RS"/>
              </w:rPr>
            </w:pPr>
          </w:p>
        </w:tc>
        <w:tc>
          <w:tcPr>
            <w:tcW w:w="361" w:type="pct"/>
            <w:tcBorders>
              <w:top w:val="nil"/>
              <w:left w:val="nil"/>
              <w:bottom w:val="nil"/>
              <w:right w:val="nil"/>
            </w:tcBorders>
            <w:shd w:val="clear" w:color="auto" w:fill="FFFFFF" w:themeFill="background1"/>
            <w:noWrap/>
            <w:vAlign w:val="center"/>
            <w:hideMark/>
          </w:tcPr>
          <w:p w14:paraId="6CD2C8F4" w14:textId="77777777" w:rsidR="00274223" w:rsidRPr="00F94CB8" w:rsidRDefault="00274223" w:rsidP="00344C53">
            <w:pPr>
              <w:spacing w:before="0" w:after="0"/>
              <w:jc w:val="right"/>
              <w:rPr>
                <w:rFonts w:eastAsia="Times New Roman" w:cs="Times New Roman"/>
                <w:sz w:val="18"/>
                <w:szCs w:val="18"/>
                <w:lang w:val="sr-Latn-RS" w:eastAsia="sr-Latn-RS"/>
              </w:rPr>
            </w:pPr>
          </w:p>
        </w:tc>
        <w:tc>
          <w:tcPr>
            <w:tcW w:w="474" w:type="pct"/>
            <w:tcBorders>
              <w:top w:val="nil"/>
              <w:left w:val="nil"/>
              <w:bottom w:val="nil"/>
              <w:right w:val="nil"/>
            </w:tcBorders>
            <w:shd w:val="clear" w:color="auto" w:fill="FFFFFF" w:themeFill="background1"/>
            <w:noWrap/>
            <w:vAlign w:val="center"/>
            <w:hideMark/>
          </w:tcPr>
          <w:p w14:paraId="6D743518" w14:textId="77777777" w:rsidR="00274223" w:rsidRPr="00F94CB8" w:rsidRDefault="00274223" w:rsidP="00344C53">
            <w:pPr>
              <w:spacing w:before="0" w:after="0"/>
              <w:jc w:val="right"/>
              <w:rPr>
                <w:rFonts w:eastAsia="Times New Roman" w:cs="Times New Roman"/>
                <w:sz w:val="18"/>
                <w:szCs w:val="18"/>
                <w:lang w:val="sr-Latn-RS" w:eastAsia="sr-Latn-RS"/>
              </w:rPr>
            </w:pPr>
          </w:p>
        </w:tc>
        <w:tc>
          <w:tcPr>
            <w:tcW w:w="538" w:type="pct"/>
            <w:tcBorders>
              <w:top w:val="nil"/>
              <w:left w:val="nil"/>
              <w:bottom w:val="nil"/>
              <w:right w:val="nil"/>
            </w:tcBorders>
            <w:shd w:val="clear" w:color="auto" w:fill="FFFFFF" w:themeFill="background1"/>
            <w:noWrap/>
            <w:vAlign w:val="center"/>
            <w:hideMark/>
          </w:tcPr>
          <w:p w14:paraId="1E25CEAF" w14:textId="77777777" w:rsidR="00274223" w:rsidRPr="00F94CB8" w:rsidRDefault="00274223" w:rsidP="00344C53">
            <w:pPr>
              <w:spacing w:before="0" w:after="0"/>
              <w:jc w:val="right"/>
              <w:rPr>
                <w:rFonts w:eastAsia="Times New Roman" w:cs="Times New Roman"/>
                <w:sz w:val="18"/>
                <w:szCs w:val="18"/>
                <w:lang w:val="sr-Latn-RS" w:eastAsia="sr-Latn-RS"/>
              </w:rPr>
            </w:pPr>
          </w:p>
        </w:tc>
        <w:tc>
          <w:tcPr>
            <w:tcW w:w="347" w:type="pct"/>
            <w:tcBorders>
              <w:top w:val="nil"/>
              <w:left w:val="nil"/>
              <w:bottom w:val="nil"/>
              <w:right w:val="nil"/>
            </w:tcBorders>
            <w:shd w:val="clear" w:color="auto" w:fill="FFFFFF" w:themeFill="background1"/>
            <w:noWrap/>
            <w:vAlign w:val="center"/>
            <w:hideMark/>
          </w:tcPr>
          <w:p w14:paraId="2B76D7E2" w14:textId="77777777" w:rsidR="00274223" w:rsidRPr="00F94CB8" w:rsidRDefault="00274223" w:rsidP="00344C53">
            <w:pPr>
              <w:spacing w:before="0" w:after="0"/>
              <w:jc w:val="right"/>
              <w:rPr>
                <w:rFonts w:eastAsia="Times New Roman" w:cs="Times New Roman"/>
                <w:sz w:val="18"/>
                <w:szCs w:val="18"/>
                <w:lang w:val="sr-Latn-RS" w:eastAsia="sr-Latn-RS"/>
              </w:rPr>
            </w:pPr>
          </w:p>
        </w:tc>
      </w:tr>
      <w:tr w:rsidR="00274223" w:rsidRPr="00F94CB8" w14:paraId="4C973A2A" w14:textId="77777777" w:rsidTr="00274223">
        <w:trPr>
          <w:trHeight w:val="202"/>
        </w:trPr>
        <w:tc>
          <w:tcPr>
            <w:tcW w:w="692" w:type="pct"/>
            <w:tcBorders>
              <w:top w:val="nil"/>
              <w:left w:val="nil"/>
              <w:bottom w:val="nil"/>
              <w:right w:val="nil"/>
            </w:tcBorders>
            <w:shd w:val="clear" w:color="auto" w:fill="auto"/>
            <w:noWrap/>
            <w:vAlign w:val="center"/>
            <w:hideMark/>
          </w:tcPr>
          <w:p w14:paraId="2C3E48B0" w14:textId="77777777" w:rsidR="00274223" w:rsidRPr="00F94CB8" w:rsidRDefault="00274223" w:rsidP="00344C53">
            <w:pPr>
              <w:spacing w:before="0" w:after="0"/>
              <w:jc w:val="left"/>
              <w:rPr>
                <w:rFonts w:eastAsia="Times New Roman" w:cs="Calibri"/>
                <w:sz w:val="18"/>
                <w:szCs w:val="18"/>
                <w:lang w:val="sr-Latn-RS" w:eastAsia="sr-Latn-RS"/>
              </w:rPr>
            </w:pPr>
            <w:r w:rsidRPr="00F94CB8">
              <w:rPr>
                <w:rFonts w:eastAsia="Times New Roman" w:cs="Calibri"/>
                <w:sz w:val="18"/>
                <w:szCs w:val="18"/>
                <w:lang w:val="sr-Latn-RS" w:eastAsia="sr-Latn-RS"/>
              </w:rPr>
              <w:t>APC 14</w:t>
            </w:r>
          </w:p>
        </w:tc>
        <w:tc>
          <w:tcPr>
            <w:tcW w:w="395" w:type="pct"/>
            <w:tcBorders>
              <w:top w:val="nil"/>
              <w:left w:val="nil"/>
              <w:bottom w:val="nil"/>
              <w:right w:val="nil"/>
            </w:tcBorders>
            <w:shd w:val="clear" w:color="auto" w:fill="FFFFFF" w:themeFill="background1"/>
            <w:noWrap/>
            <w:vAlign w:val="center"/>
            <w:hideMark/>
          </w:tcPr>
          <w:p w14:paraId="6C774B39"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-0.09</w:t>
            </w:r>
          </w:p>
        </w:tc>
        <w:tc>
          <w:tcPr>
            <w:tcW w:w="533" w:type="pct"/>
            <w:tcBorders>
              <w:top w:val="nil"/>
              <w:left w:val="nil"/>
              <w:bottom w:val="nil"/>
              <w:right w:val="nil"/>
            </w:tcBorders>
            <w:shd w:val="clear" w:color="auto" w:fill="FFFFFF" w:themeFill="background1"/>
            <w:noWrap/>
            <w:vAlign w:val="center"/>
            <w:hideMark/>
          </w:tcPr>
          <w:p w14:paraId="506EBC1B"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0.17</w:t>
            </w:r>
          </w:p>
        </w:tc>
        <w:tc>
          <w:tcPr>
            <w:tcW w:w="347" w:type="pct"/>
            <w:tcBorders>
              <w:top w:val="nil"/>
              <w:left w:val="nil"/>
              <w:bottom w:val="nil"/>
              <w:right w:val="nil"/>
            </w:tcBorders>
            <w:shd w:val="clear" w:color="auto" w:fill="FFFFFF" w:themeFill="background1"/>
            <w:noWrap/>
            <w:vAlign w:val="center"/>
            <w:hideMark/>
          </w:tcPr>
          <w:p w14:paraId="43332F53"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0.06</w:t>
            </w:r>
          </w:p>
        </w:tc>
        <w:tc>
          <w:tcPr>
            <w:tcW w:w="420" w:type="pct"/>
            <w:tcBorders>
              <w:top w:val="nil"/>
              <w:left w:val="nil"/>
              <w:bottom w:val="nil"/>
              <w:right w:val="nil"/>
            </w:tcBorders>
            <w:shd w:val="clear" w:color="auto" w:fill="FFFFFF" w:themeFill="background1"/>
            <w:noWrap/>
            <w:vAlign w:val="center"/>
            <w:hideMark/>
          </w:tcPr>
          <w:p w14:paraId="1DAB62FD"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0.44</w:t>
            </w:r>
          </w:p>
        </w:tc>
        <w:tc>
          <w:tcPr>
            <w:tcW w:w="420" w:type="pct"/>
            <w:tcBorders>
              <w:top w:val="nil"/>
              <w:left w:val="nil"/>
              <w:bottom w:val="nil"/>
              <w:right w:val="nil"/>
            </w:tcBorders>
            <w:shd w:val="clear" w:color="auto" w:fill="FFFFFF" w:themeFill="background1"/>
            <w:noWrap/>
            <w:vAlign w:val="center"/>
            <w:hideMark/>
          </w:tcPr>
          <w:p w14:paraId="53014399"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0.58</w:t>
            </w:r>
          </w:p>
        </w:tc>
        <w:tc>
          <w:tcPr>
            <w:tcW w:w="472" w:type="pct"/>
            <w:tcBorders>
              <w:top w:val="nil"/>
              <w:left w:val="nil"/>
              <w:bottom w:val="nil"/>
              <w:right w:val="nil"/>
            </w:tcBorders>
            <w:shd w:val="clear" w:color="auto" w:fill="FFFFFF" w:themeFill="background1"/>
            <w:noWrap/>
            <w:vAlign w:val="center"/>
            <w:hideMark/>
          </w:tcPr>
          <w:p w14:paraId="728B2D8E" w14:textId="77777777" w:rsidR="00274223" w:rsidRPr="00F94CB8" w:rsidRDefault="00274223" w:rsidP="00344C53">
            <w:pPr>
              <w:spacing w:before="0" w:after="0"/>
              <w:jc w:val="right"/>
              <w:rPr>
                <w:rFonts w:eastAsia="Times New Roman" w:cs="Calibri"/>
                <w:sz w:val="18"/>
                <w:szCs w:val="18"/>
                <w:lang w:val="sr-Latn-RS" w:eastAsia="sr-Latn-RS"/>
              </w:rPr>
            </w:pPr>
          </w:p>
        </w:tc>
        <w:tc>
          <w:tcPr>
            <w:tcW w:w="361" w:type="pct"/>
            <w:tcBorders>
              <w:top w:val="nil"/>
              <w:left w:val="nil"/>
              <w:bottom w:val="nil"/>
              <w:right w:val="nil"/>
            </w:tcBorders>
            <w:shd w:val="clear" w:color="auto" w:fill="FFFFFF" w:themeFill="background1"/>
            <w:noWrap/>
            <w:vAlign w:val="center"/>
            <w:hideMark/>
          </w:tcPr>
          <w:p w14:paraId="605F8CC8" w14:textId="77777777" w:rsidR="00274223" w:rsidRPr="00F94CB8" w:rsidRDefault="00274223" w:rsidP="00344C53">
            <w:pPr>
              <w:spacing w:before="0" w:after="0"/>
              <w:jc w:val="right"/>
              <w:rPr>
                <w:rFonts w:eastAsia="Times New Roman" w:cs="Times New Roman"/>
                <w:sz w:val="18"/>
                <w:szCs w:val="18"/>
                <w:lang w:val="sr-Latn-RS" w:eastAsia="sr-Latn-RS"/>
              </w:rPr>
            </w:pPr>
          </w:p>
        </w:tc>
        <w:tc>
          <w:tcPr>
            <w:tcW w:w="474" w:type="pct"/>
            <w:tcBorders>
              <w:top w:val="nil"/>
              <w:left w:val="nil"/>
              <w:bottom w:val="nil"/>
              <w:right w:val="nil"/>
            </w:tcBorders>
            <w:shd w:val="clear" w:color="auto" w:fill="FFFFFF" w:themeFill="background1"/>
            <w:noWrap/>
            <w:vAlign w:val="center"/>
            <w:hideMark/>
          </w:tcPr>
          <w:p w14:paraId="4CA8B996" w14:textId="77777777" w:rsidR="00274223" w:rsidRPr="00F94CB8" w:rsidRDefault="00274223" w:rsidP="00344C53">
            <w:pPr>
              <w:spacing w:before="0" w:after="0"/>
              <w:jc w:val="right"/>
              <w:rPr>
                <w:rFonts w:eastAsia="Times New Roman" w:cs="Times New Roman"/>
                <w:sz w:val="18"/>
                <w:szCs w:val="18"/>
                <w:lang w:val="sr-Latn-RS" w:eastAsia="sr-Latn-RS"/>
              </w:rPr>
            </w:pPr>
          </w:p>
        </w:tc>
        <w:tc>
          <w:tcPr>
            <w:tcW w:w="538" w:type="pct"/>
            <w:tcBorders>
              <w:top w:val="nil"/>
              <w:left w:val="nil"/>
              <w:bottom w:val="nil"/>
              <w:right w:val="nil"/>
            </w:tcBorders>
            <w:shd w:val="clear" w:color="auto" w:fill="FFFFFF" w:themeFill="background1"/>
            <w:noWrap/>
            <w:vAlign w:val="center"/>
            <w:hideMark/>
          </w:tcPr>
          <w:p w14:paraId="7FE47CAA" w14:textId="77777777" w:rsidR="00274223" w:rsidRPr="00F94CB8" w:rsidRDefault="00274223" w:rsidP="00344C53">
            <w:pPr>
              <w:spacing w:before="0" w:after="0"/>
              <w:jc w:val="right"/>
              <w:rPr>
                <w:rFonts w:eastAsia="Times New Roman" w:cs="Times New Roman"/>
                <w:sz w:val="18"/>
                <w:szCs w:val="18"/>
                <w:lang w:val="sr-Latn-RS" w:eastAsia="sr-Latn-RS"/>
              </w:rPr>
            </w:pPr>
          </w:p>
        </w:tc>
        <w:tc>
          <w:tcPr>
            <w:tcW w:w="347" w:type="pct"/>
            <w:tcBorders>
              <w:top w:val="nil"/>
              <w:left w:val="nil"/>
              <w:bottom w:val="nil"/>
              <w:right w:val="nil"/>
            </w:tcBorders>
            <w:shd w:val="clear" w:color="auto" w:fill="FFFFFF" w:themeFill="background1"/>
            <w:noWrap/>
            <w:vAlign w:val="center"/>
            <w:hideMark/>
          </w:tcPr>
          <w:p w14:paraId="7B8F8967" w14:textId="77777777" w:rsidR="00274223" w:rsidRPr="00F94CB8" w:rsidRDefault="00274223" w:rsidP="00344C53">
            <w:pPr>
              <w:spacing w:before="0" w:after="0"/>
              <w:jc w:val="right"/>
              <w:rPr>
                <w:rFonts w:eastAsia="Times New Roman" w:cs="Times New Roman"/>
                <w:sz w:val="18"/>
                <w:szCs w:val="18"/>
                <w:lang w:val="sr-Latn-RS" w:eastAsia="sr-Latn-RS"/>
              </w:rPr>
            </w:pPr>
          </w:p>
        </w:tc>
      </w:tr>
      <w:tr w:rsidR="00274223" w:rsidRPr="00F94CB8" w14:paraId="68D01236" w14:textId="77777777" w:rsidTr="00274223">
        <w:trPr>
          <w:trHeight w:val="101"/>
        </w:trPr>
        <w:tc>
          <w:tcPr>
            <w:tcW w:w="692" w:type="pct"/>
            <w:tcBorders>
              <w:top w:val="nil"/>
              <w:left w:val="nil"/>
              <w:bottom w:val="nil"/>
              <w:right w:val="nil"/>
            </w:tcBorders>
            <w:shd w:val="clear" w:color="auto" w:fill="auto"/>
            <w:noWrap/>
            <w:vAlign w:val="center"/>
            <w:hideMark/>
          </w:tcPr>
          <w:p w14:paraId="609F3FF0" w14:textId="66A63124" w:rsidR="00274223" w:rsidRPr="00F94CB8" w:rsidRDefault="00274223" w:rsidP="00344C53">
            <w:pPr>
              <w:spacing w:before="0" w:after="0"/>
              <w:jc w:val="left"/>
              <w:rPr>
                <w:rFonts w:eastAsia="Times New Roman" w:cs="Calibri"/>
                <w:sz w:val="18"/>
                <w:szCs w:val="18"/>
                <w:lang w:val="sr-Latn-RS" w:eastAsia="sr-Latn-RS"/>
              </w:rPr>
            </w:pPr>
            <w:r w:rsidRPr="00F94CB8">
              <w:rPr>
                <w:rFonts w:eastAsia="Times New Roman" w:cs="Calibri"/>
                <w:sz w:val="18"/>
                <w:szCs w:val="18"/>
                <w:lang w:val="sr-Latn-RS" w:eastAsia="sr-Latn-RS"/>
              </w:rPr>
              <w:t>Density</w:t>
            </w:r>
          </w:p>
        </w:tc>
        <w:tc>
          <w:tcPr>
            <w:tcW w:w="395" w:type="pct"/>
            <w:tcBorders>
              <w:top w:val="nil"/>
              <w:left w:val="nil"/>
              <w:bottom w:val="nil"/>
              <w:right w:val="nil"/>
            </w:tcBorders>
            <w:shd w:val="clear" w:color="auto" w:fill="FFFFFF" w:themeFill="background1"/>
            <w:noWrap/>
            <w:vAlign w:val="center"/>
            <w:hideMark/>
          </w:tcPr>
          <w:p w14:paraId="5864BC7E"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-0.21</w:t>
            </w:r>
          </w:p>
        </w:tc>
        <w:tc>
          <w:tcPr>
            <w:tcW w:w="533" w:type="pct"/>
            <w:tcBorders>
              <w:top w:val="nil"/>
              <w:left w:val="nil"/>
              <w:bottom w:val="nil"/>
              <w:right w:val="nil"/>
            </w:tcBorders>
            <w:shd w:val="clear" w:color="auto" w:fill="FFFFFF" w:themeFill="background1"/>
            <w:noWrap/>
            <w:vAlign w:val="center"/>
            <w:hideMark/>
          </w:tcPr>
          <w:p w14:paraId="371CCF04"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-0.31</w:t>
            </w:r>
          </w:p>
        </w:tc>
        <w:tc>
          <w:tcPr>
            <w:tcW w:w="347" w:type="pct"/>
            <w:tcBorders>
              <w:top w:val="nil"/>
              <w:left w:val="nil"/>
              <w:bottom w:val="nil"/>
              <w:right w:val="nil"/>
            </w:tcBorders>
            <w:shd w:val="clear" w:color="auto" w:fill="FFFFFF" w:themeFill="background1"/>
            <w:noWrap/>
            <w:vAlign w:val="center"/>
            <w:hideMark/>
          </w:tcPr>
          <w:p w14:paraId="673E9EA6"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-0.22</w:t>
            </w:r>
          </w:p>
        </w:tc>
        <w:tc>
          <w:tcPr>
            <w:tcW w:w="420" w:type="pct"/>
            <w:tcBorders>
              <w:top w:val="nil"/>
              <w:left w:val="nil"/>
              <w:bottom w:val="nil"/>
              <w:right w:val="nil"/>
            </w:tcBorders>
            <w:shd w:val="clear" w:color="auto" w:fill="FFFFFF" w:themeFill="background1"/>
            <w:noWrap/>
            <w:vAlign w:val="center"/>
            <w:hideMark/>
          </w:tcPr>
          <w:p w14:paraId="68592A1B"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0.24</w:t>
            </w:r>
          </w:p>
        </w:tc>
        <w:tc>
          <w:tcPr>
            <w:tcW w:w="420" w:type="pct"/>
            <w:tcBorders>
              <w:top w:val="nil"/>
              <w:left w:val="nil"/>
              <w:bottom w:val="nil"/>
              <w:right w:val="nil"/>
            </w:tcBorders>
            <w:shd w:val="clear" w:color="auto" w:fill="FFFFFF" w:themeFill="background1"/>
            <w:noWrap/>
            <w:vAlign w:val="center"/>
            <w:hideMark/>
          </w:tcPr>
          <w:p w14:paraId="3FB14BEA"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0.29</w:t>
            </w:r>
          </w:p>
        </w:tc>
        <w:tc>
          <w:tcPr>
            <w:tcW w:w="472" w:type="pct"/>
            <w:tcBorders>
              <w:top w:val="nil"/>
              <w:left w:val="nil"/>
              <w:bottom w:val="nil"/>
              <w:right w:val="nil"/>
            </w:tcBorders>
            <w:shd w:val="clear" w:color="auto" w:fill="FFFFFF" w:themeFill="background1"/>
            <w:noWrap/>
            <w:vAlign w:val="center"/>
            <w:hideMark/>
          </w:tcPr>
          <w:p w14:paraId="0FBA1E63"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-0.13</w:t>
            </w:r>
          </w:p>
        </w:tc>
        <w:tc>
          <w:tcPr>
            <w:tcW w:w="361" w:type="pct"/>
            <w:tcBorders>
              <w:top w:val="nil"/>
              <w:left w:val="nil"/>
              <w:bottom w:val="nil"/>
              <w:right w:val="nil"/>
            </w:tcBorders>
            <w:shd w:val="clear" w:color="auto" w:fill="FFFFFF" w:themeFill="background1"/>
            <w:noWrap/>
            <w:vAlign w:val="center"/>
            <w:hideMark/>
          </w:tcPr>
          <w:p w14:paraId="722C6F4A" w14:textId="77777777" w:rsidR="00274223" w:rsidRPr="00F94CB8" w:rsidRDefault="00274223" w:rsidP="00344C53">
            <w:pPr>
              <w:spacing w:before="0" w:after="0"/>
              <w:jc w:val="right"/>
              <w:rPr>
                <w:rFonts w:eastAsia="Times New Roman" w:cs="Calibri"/>
                <w:sz w:val="18"/>
                <w:szCs w:val="18"/>
                <w:lang w:val="sr-Latn-RS" w:eastAsia="sr-Latn-RS"/>
              </w:rPr>
            </w:pPr>
          </w:p>
        </w:tc>
        <w:tc>
          <w:tcPr>
            <w:tcW w:w="474" w:type="pct"/>
            <w:tcBorders>
              <w:top w:val="nil"/>
              <w:left w:val="nil"/>
              <w:bottom w:val="nil"/>
              <w:right w:val="nil"/>
            </w:tcBorders>
            <w:shd w:val="clear" w:color="auto" w:fill="FFFFFF" w:themeFill="background1"/>
            <w:noWrap/>
            <w:vAlign w:val="center"/>
            <w:hideMark/>
          </w:tcPr>
          <w:p w14:paraId="2DB653FC" w14:textId="77777777" w:rsidR="00274223" w:rsidRPr="00F94CB8" w:rsidRDefault="00274223" w:rsidP="00344C53">
            <w:pPr>
              <w:spacing w:before="0" w:after="0"/>
              <w:jc w:val="right"/>
              <w:rPr>
                <w:rFonts w:eastAsia="Times New Roman" w:cs="Times New Roman"/>
                <w:sz w:val="18"/>
                <w:szCs w:val="18"/>
                <w:lang w:val="sr-Latn-RS" w:eastAsia="sr-Latn-RS"/>
              </w:rPr>
            </w:pPr>
          </w:p>
        </w:tc>
        <w:tc>
          <w:tcPr>
            <w:tcW w:w="538" w:type="pct"/>
            <w:tcBorders>
              <w:top w:val="nil"/>
              <w:left w:val="nil"/>
              <w:bottom w:val="nil"/>
              <w:right w:val="nil"/>
            </w:tcBorders>
            <w:shd w:val="clear" w:color="auto" w:fill="FFFFFF" w:themeFill="background1"/>
            <w:noWrap/>
            <w:vAlign w:val="center"/>
            <w:hideMark/>
          </w:tcPr>
          <w:p w14:paraId="46C0A5D1" w14:textId="77777777" w:rsidR="00274223" w:rsidRPr="00F94CB8" w:rsidRDefault="00274223" w:rsidP="00344C53">
            <w:pPr>
              <w:spacing w:before="0" w:after="0"/>
              <w:jc w:val="right"/>
              <w:rPr>
                <w:rFonts w:eastAsia="Times New Roman" w:cs="Times New Roman"/>
                <w:sz w:val="18"/>
                <w:szCs w:val="18"/>
                <w:lang w:val="sr-Latn-RS" w:eastAsia="sr-Latn-RS"/>
              </w:rPr>
            </w:pPr>
          </w:p>
        </w:tc>
        <w:tc>
          <w:tcPr>
            <w:tcW w:w="347" w:type="pct"/>
            <w:tcBorders>
              <w:top w:val="nil"/>
              <w:left w:val="nil"/>
              <w:bottom w:val="nil"/>
              <w:right w:val="nil"/>
            </w:tcBorders>
            <w:shd w:val="clear" w:color="auto" w:fill="FFFFFF" w:themeFill="background1"/>
            <w:noWrap/>
            <w:vAlign w:val="center"/>
            <w:hideMark/>
          </w:tcPr>
          <w:p w14:paraId="67A61066" w14:textId="77777777" w:rsidR="00274223" w:rsidRPr="00F94CB8" w:rsidRDefault="00274223" w:rsidP="00344C53">
            <w:pPr>
              <w:spacing w:before="0" w:after="0"/>
              <w:jc w:val="right"/>
              <w:rPr>
                <w:rFonts w:eastAsia="Times New Roman" w:cs="Times New Roman"/>
                <w:sz w:val="18"/>
                <w:szCs w:val="18"/>
                <w:lang w:val="sr-Latn-RS" w:eastAsia="sr-Latn-RS"/>
              </w:rPr>
            </w:pPr>
          </w:p>
        </w:tc>
      </w:tr>
      <w:tr w:rsidR="00274223" w:rsidRPr="00F94CB8" w14:paraId="0C59D562" w14:textId="77777777" w:rsidTr="00274223">
        <w:trPr>
          <w:trHeight w:val="195"/>
        </w:trPr>
        <w:tc>
          <w:tcPr>
            <w:tcW w:w="692" w:type="pct"/>
            <w:tcBorders>
              <w:top w:val="nil"/>
              <w:left w:val="nil"/>
              <w:bottom w:val="nil"/>
              <w:right w:val="nil"/>
            </w:tcBorders>
            <w:shd w:val="clear" w:color="auto" w:fill="auto"/>
            <w:noWrap/>
            <w:vAlign w:val="center"/>
            <w:hideMark/>
          </w:tcPr>
          <w:p w14:paraId="115796CF" w14:textId="77777777" w:rsidR="00274223" w:rsidRPr="00F94CB8" w:rsidRDefault="00274223" w:rsidP="00344C53">
            <w:pPr>
              <w:spacing w:before="0" w:after="0"/>
              <w:jc w:val="left"/>
              <w:rPr>
                <w:rFonts w:eastAsia="Times New Roman" w:cs="Calibri"/>
                <w:sz w:val="18"/>
                <w:szCs w:val="18"/>
                <w:lang w:val="sr-Latn-RS" w:eastAsia="sr-Latn-RS"/>
              </w:rPr>
            </w:pPr>
            <w:r w:rsidRPr="00F94CB8">
              <w:rPr>
                <w:rFonts w:eastAsia="Times New Roman" w:cs="Calibri"/>
                <w:sz w:val="18"/>
                <w:szCs w:val="18"/>
                <w:lang w:val="sr-Latn-RS" w:eastAsia="sr-Latn-RS"/>
              </w:rPr>
              <w:t>VISC40</w:t>
            </w:r>
          </w:p>
        </w:tc>
        <w:tc>
          <w:tcPr>
            <w:tcW w:w="395" w:type="pct"/>
            <w:tcBorders>
              <w:top w:val="nil"/>
              <w:left w:val="nil"/>
              <w:bottom w:val="nil"/>
              <w:right w:val="nil"/>
            </w:tcBorders>
            <w:shd w:val="clear" w:color="auto" w:fill="FFFFFF" w:themeFill="background1"/>
            <w:noWrap/>
            <w:vAlign w:val="center"/>
            <w:hideMark/>
          </w:tcPr>
          <w:p w14:paraId="684139F8"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-0.22</w:t>
            </w:r>
          </w:p>
        </w:tc>
        <w:tc>
          <w:tcPr>
            <w:tcW w:w="533" w:type="pct"/>
            <w:tcBorders>
              <w:top w:val="nil"/>
              <w:left w:val="nil"/>
              <w:bottom w:val="nil"/>
              <w:right w:val="nil"/>
            </w:tcBorders>
            <w:shd w:val="clear" w:color="auto" w:fill="FFFFFF" w:themeFill="background1"/>
            <w:noWrap/>
            <w:vAlign w:val="center"/>
            <w:hideMark/>
          </w:tcPr>
          <w:p w14:paraId="769366E4"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-0.37</w:t>
            </w:r>
          </w:p>
        </w:tc>
        <w:tc>
          <w:tcPr>
            <w:tcW w:w="347" w:type="pct"/>
            <w:tcBorders>
              <w:top w:val="nil"/>
              <w:left w:val="nil"/>
              <w:bottom w:val="nil"/>
              <w:right w:val="nil"/>
            </w:tcBorders>
            <w:shd w:val="clear" w:color="auto" w:fill="FFFFFF" w:themeFill="background1"/>
            <w:noWrap/>
            <w:vAlign w:val="center"/>
            <w:hideMark/>
          </w:tcPr>
          <w:p w14:paraId="0FDF3DE7"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-0.23</w:t>
            </w:r>
          </w:p>
        </w:tc>
        <w:tc>
          <w:tcPr>
            <w:tcW w:w="420" w:type="pct"/>
            <w:tcBorders>
              <w:top w:val="nil"/>
              <w:left w:val="nil"/>
              <w:bottom w:val="nil"/>
              <w:right w:val="nil"/>
            </w:tcBorders>
            <w:shd w:val="clear" w:color="auto" w:fill="FFFFFF" w:themeFill="background1"/>
            <w:noWrap/>
            <w:vAlign w:val="center"/>
            <w:hideMark/>
          </w:tcPr>
          <w:p w14:paraId="0256912D"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0.24</w:t>
            </w:r>
          </w:p>
        </w:tc>
        <w:tc>
          <w:tcPr>
            <w:tcW w:w="420" w:type="pct"/>
            <w:tcBorders>
              <w:top w:val="nil"/>
              <w:left w:val="nil"/>
              <w:bottom w:val="nil"/>
              <w:right w:val="nil"/>
            </w:tcBorders>
            <w:shd w:val="clear" w:color="auto" w:fill="FFFFFF" w:themeFill="background1"/>
            <w:noWrap/>
            <w:vAlign w:val="center"/>
            <w:hideMark/>
          </w:tcPr>
          <w:p w14:paraId="4E0C1F0C"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0.25</w:t>
            </w:r>
          </w:p>
        </w:tc>
        <w:tc>
          <w:tcPr>
            <w:tcW w:w="472" w:type="pct"/>
            <w:tcBorders>
              <w:top w:val="nil"/>
              <w:left w:val="nil"/>
              <w:bottom w:val="nil"/>
              <w:right w:val="nil"/>
            </w:tcBorders>
            <w:shd w:val="clear" w:color="auto" w:fill="FFFFFF" w:themeFill="background1"/>
            <w:noWrap/>
            <w:vAlign w:val="center"/>
            <w:hideMark/>
          </w:tcPr>
          <w:p w14:paraId="420FF5F0"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-0.15</w:t>
            </w:r>
          </w:p>
        </w:tc>
        <w:tc>
          <w:tcPr>
            <w:tcW w:w="361" w:type="pct"/>
            <w:tcBorders>
              <w:top w:val="nil"/>
              <w:left w:val="nil"/>
              <w:bottom w:val="nil"/>
              <w:right w:val="nil"/>
            </w:tcBorders>
            <w:shd w:val="clear" w:color="auto" w:fill="FFFFFF" w:themeFill="background1"/>
            <w:noWrap/>
            <w:vAlign w:val="center"/>
            <w:hideMark/>
          </w:tcPr>
          <w:p w14:paraId="795ADC37"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0.81</w:t>
            </w:r>
          </w:p>
        </w:tc>
        <w:tc>
          <w:tcPr>
            <w:tcW w:w="474" w:type="pct"/>
            <w:tcBorders>
              <w:top w:val="nil"/>
              <w:left w:val="nil"/>
              <w:bottom w:val="nil"/>
              <w:right w:val="nil"/>
            </w:tcBorders>
            <w:shd w:val="clear" w:color="auto" w:fill="FFFFFF" w:themeFill="background1"/>
            <w:noWrap/>
            <w:vAlign w:val="center"/>
            <w:hideMark/>
          </w:tcPr>
          <w:p w14:paraId="2DBF16A1" w14:textId="77777777" w:rsidR="00274223" w:rsidRPr="00F94CB8" w:rsidRDefault="00274223" w:rsidP="00344C53">
            <w:pPr>
              <w:spacing w:before="0" w:after="0"/>
              <w:jc w:val="right"/>
              <w:rPr>
                <w:rFonts w:eastAsia="Times New Roman" w:cs="Calibri"/>
                <w:sz w:val="18"/>
                <w:szCs w:val="18"/>
                <w:lang w:val="sr-Latn-RS" w:eastAsia="sr-Latn-RS"/>
              </w:rPr>
            </w:pPr>
          </w:p>
        </w:tc>
        <w:tc>
          <w:tcPr>
            <w:tcW w:w="538" w:type="pct"/>
            <w:tcBorders>
              <w:top w:val="nil"/>
              <w:left w:val="nil"/>
              <w:bottom w:val="nil"/>
              <w:right w:val="nil"/>
            </w:tcBorders>
            <w:shd w:val="clear" w:color="auto" w:fill="FFFFFF" w:themeFill="background1"/>
            <w:noWrap/>
            <w:vAlign w:val="center"/>
            <w:hideMark/>
          </w:tcPr>
          <w:p w14:paraId="16D3E0A7" w14:textId="77777777" w:rsidR="00274223" w:rsidRPr="00F94CB8" w:rsidRDefault="00274223" w:rsidP="00344C53">
            <w:pPr>
              <w:spacing w:before="0" w:after="0"/>
              <w:jc w:val="right"/>
              <w:rPr>
                <w:rFonts w:eastAsia="Times New Roman" w:cs="Times New Roman"/>
                <w:sz w:val="18"/>
                <w:szCs w:val="18"/>
                <w:lang w:val="sr-Latn-RS" w:eastAsia="sr-Latn-RS"/>
              </w:rPr>
            </w:pPr>
          </w:p>
        </w:tc>
        <w:tc>
          <w:tcPr>
            <w:tcW w:w="347" w:type="pct"/>
            <w:tcBorders>
              <w:top w:val="nil"/>
              <w:left w:val="nil"/>
              <w:bottom w:val="nil"/>
              <w:right w:val="nil"/>
            </w:tcBorders>
            <w:shd w:val="clear" w:color="auto" w:fill="FFFFFF" w:themeFill="background1"/>
            <w:noWrap/>
            <w:vAlign w:val="center"/>
            <w:hideMark/>
          </w:tcPr>
          <w:p w14:paraId="595E290E" w14:textId="77777777" w:rsidR="00274223" w:rsidRPr="00F94CB8" w:rsidRDefault="00274223" w:rsidP="00344C53">
            <w:pPr>
              <w:spacing w:before="0" w:after="0"/>
              <w:jc w:val="right"/>
              <w:rPr>
                <w:rFonts w:eastAsia="Times New Roman" w:cs="Times New Roman"/>
                <w:sz w:val="18"/>
                <w:szCs w:val="18"/>
                <w:lang w:val="sr-Latn-RS" w:eastAsia="sr-Latn-RS"/>
              </w:rPr>
            </w:pPr>
          </w:p>
        </w:tc>
      </w:tr>
      <w:tr w:rsidR="00274223" w:rsidRPr="00F94CB8" w14:paraId="75E8FBCA" w14:textId="77777777" w:rsidTr="00274223">
        <w:trPr>
          <w:trHeight w:val="109"/>
        </w:trPr>
        <w:tc>
          <w:tcPr>
            <w:tcW w:w="692" w:type="pct"/>
            <w:tcBorders>
              <w:top w:val="nil"/>
              <w:left w:val="nil"/>
              <w:bottom w:val="nil"/>
              <w:right w:val="nil"/>
            </w:tcBorders>
            <w:shd w:val="clear" w:color="auto" w:fill="auto"/>
            <w:noWrap/>
            <w:vAlign w:val="center"/>
            <w:hideMark/>
          </w:tcPr>
          <w:p w14:paraId="6D5BB52A" w14:textId="77777777" w:rsidR="00274223" w:rsidRPr="00F94CB8" w:rsidRDefault="00274223" w:rsidP="00344C53">
            <w:pPr>
              <w:spacing w:before="0" w:after="0"/>
              <w:jc w:val="left"/>
              <w:rPr>
                <w:rFonts w:eastAsia="Times New Roman" w:cs="Calibri"/>
                <w:sz w:val="18"/>
                <w:szCs w:val="18"/>
                <w:lang w:val="sr-Latn-RS" w:eastAsia="sr-Latn-RS"/>
              </w:rPr>
            </w:pPr>
            <w:r w:rsidRPr="00F94CB8">
              <w:rPr>
                <w:rFonts w:eastAsia="Times New Roman" w:cs="Calibri"/>
                <w:sz w:val="18"/>
                <w:szCs w:val="18"/>
                <w:lang w:val="sr-Latn-RS" w:eastAsia="sr-Latn-RS"/>
              </w:rPr>
              <w:t>HyPower</w:t>
            </w:r>
          </w:p>
        </w:tc>
        <w:tc>
          <w:tcPr>
            <w:tcW w:w="395" w:type="pct"/>
            <w:tcBorders>
              <w:top w:val="nil"/>
              <w:left w:val="nil"/>
              <w:bottom w:val="nil"/>
              <w:right w:val="nil"/>
            </w:tcBorders>
            <w:shd w:val="clear" w:color="auto" w:fill="FFFFFF" w:themeFill="background1"/>
            <w:noWrap/>
            <w:vAlign w:val="center"/>
            <w:hideMark/>
          </w:tcPr>
          <w:p w14:paraId="7241FEAC"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0.26</w:t>
            </w:r>
          </w:p>
        </w:tc>
        <w:tc>
          <w:tcPr>
            <w:tcW w:w="533" w:type="pct"/>
            <w:tcBorders>
              <w:top w:val="nil"/>
              <w:left w:val="nil"/>
              <w:bottom w:val="nil"/>
              <w:right w:val="nil"/>
            </w:tcBorders>
            <w:shd w:val="clear" w:color="auto" w:fill="FFFFFF" w:themeFill="background1"/>
            <w:noWrap/>
            <w:vAlign w:val="center"/>
            <w:hideMark/>
          </w:tcPr>
          <w:p w14:paraId="26543796"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0.20</w:t>
            </w:r>
          </w:p>
        </w:tc>
        <w:tc>
          <w:tcPr>
            <w:tcW w:w="347" w:type="pct"/>
            <w:tcBorders>
              <w:top w:val="nil"/>
              <w:left w:val="nil"/>
              <w:bottom w:val="nil"/>
              <w:right w:val="nil"/>
            </w:tcBorders>
            <w:shd w:val="clear" w:color="auto" w:fill="FFFFFF" w:themeFill="background1"/>
            <w:noWrap/>
            <w:vAlign w:val="center"/>
            <w:hideMark/>
          </w:tcPr>
          <w:p w14:paraId="07E54E5C"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0.11</w:t>
            </w:r>
          </w:p>
        </w:tc>
        <w:tc>
          <w:tcPr>
            <w:tcW w:w="420" w:type="pct"/>
            <w:tcBorders>
              <w:top w:val="nil"/>
              <w:left w:val="nil"/>
              <w:bottom w:val="nil"/>
              <w:right w:val="nil"/>
            </w:tcBorders>
            <w:shd w:val="clear" w:color="auto" w:fill="FFFFFF" w:themeFill="background1"/>
            <w:noWrap/>
            <w:vAlign w:val="center"/>
            <w:hideMark/>
          </w:tcPr>
          <w:p w14:paraId="02FBE33C"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-0.19</w:t>
            </w:r>
          </w:p>
        </w:tc>
        <w:tc>
          <w:tcPr>
            <w:tcW w:w="420" w:type="pct"/>
            <w:tcBorders>
              <w:top w:val="nil"/>
              <w:left w:val="nil"/>
              <w:bottom w:val="nil"/>
              <w:right w:val="nil"/>
            </w:tcBorders>
            <w:shd w:val="clear" w:color="auto" w:fill="FFFFFF" w:themeFill="background1"/>
            <w:noWrap/>
            <w:vAlign w:val="center"/>
            <w:hideMark/>
          </w:tcPr>
          <w:p w14:paraId="14493709"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-0.23</w:t>
            </w:r>
          </w:p>
        </w:tc>
        <w:tc>
          <w:tcPr>
            <w:tcW w:w="472" w:type="pct"/>
            <w:tcBorders>
              <w:top w:val="nil"/>
              <w:left w:val="nil"/>
              <w:bottom w:val="nil"/>
              <w:right w:val="nil"/>
            </w:tcBorders>
            <w:shd w:val="clear" w:color="auto" w:fill="FFFFFF" w:themeFill="background1"/>
            <w:noWrap/>
            <w:vAlign w:val="center"/>
            <w:hideMark/>
          </w:tcPr>
          <w:p w14:paraId="57D11DA0"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0.01</w:t>
            </w:r>
          </w:p>
        </w:tc>
        <w:tc>
          <w:tcPr>
            <w:tcW w:w="361" w:type="pct"/>
            <w:tcBorders>
              <w:top w:val="nil"/>
              <w:left w:val="nil"/>
              <w:bottom w:val="nil"/>
              <w:right w:val="nil"/>
            </w:tcBorders>
            <w:shd w:val="clear" w:color="auto" w:fill="FFFFFF" w:themeFill="background1"/>
            <w:noWrap/>
            <w:vAlign w:val="center"/>
            <w:hideMark/>
          </w:tcPr>
          <w:p w14:paraId="0C6A6D4D"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-0.52</w:t>
            </w:r>
          </w:p>
        </w:tc>
        <w:tc>
          <w:tcPr>
            <w:tcW w:w="474" w:type="pct"/>
            <w:tcBorders>
              <w:top w:val="nil"/>
              <w:left w:val="nil"/>
              <w:bottom w:val="nil"/>
              <w:right w:val="nil"/>
            </w:tcBorders>
            <w:shd w:val="clear" w:color="auto" w:fill="FFFFFF" w:themeFill="background1"/>
            <w:noWrap/>
            <w:vAlign w:val="center"/>
            <w:hideMark/>
          </w:tcPr>
          <w:p w14:paraId="69EFE535"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-0.61</w:t>
            </w:r>
          </w:p>
        </w:tc>
        <w:tc>
          <w:tcPr>
            <w:tcW w:w="538" w:type="pct"/>
            <w:tcBorders>
              <w:top w:val="nil"/>
              <w:left w:val="nil"/>
              <w:bottom w:val="nil"/>
              <w:right w:val="nil"/>
            </w:tcBorders>
            <w:shd w:val="clear" w:color="auto" w:fill="FFFFFF" w:themeFill="background1"/>
            <w:noWrap/>
            <w:vAlign w:val="center"/>
            <w:hideMark/>
          </w:tcPr>
          <w:p w14:paraId="333911F9" w14:textId="77777777" w:rsidR="00274223" w:rsidRPr="00F94CB8" w:rsidRDefault="00274223" w:rsidP="00344C53">
            <w:pPr>
              <w:spacing w:before="0" w:after="0"/>
              <w:jc w:val="right"/>
              <w:rPr>
                <w:rFonts w:eastAsia="Times New Roman" w:cs="Calibri"/>
                <w:sz w:val="18"/>
                <w:szCs w:val="18"/>
                <w:lang w:val="sr-Latn-RS" w:eastAsia="sr-Latn-RS"/>
              </w:rPr>
            </w:pPr>
          </w:p>
        </w:tc>
        <w:tc>
          <w:tcPr>
            <w:tcW w:w="347" w:type="pct"/>
            <w:tcBorders>
              <w:top w:val="nil"/>
              <w:left w:val="nil"/>
              <w:bottom w:val="nil"/>
              <w:right w:val="nil"/>
            </w:tcBorders>
            <w:shd w:val="clear" w:color="auto" w:fill="FFFFFF" w:themeFill="background1"/>
            <w:noWrap/>
            <w:vAlign w:val="center"/>
            <w:hideMark/>
          </w:tcPr>
          <w:p w14:paraId="2F7350A1" w14:textId="77777777" w:rsidR="00274223" w:rsidRPr="00F94CB8" w:rsidRDefault="00274223" w:rsidP="00344C53">
            <w:pPr>
              <w:spacing w:before="0" w:after="0"/>
              <w:jc w:val="right"/>
              <w:rPr>
                <w:rFonts w:eastAsia="Times New Roman" w:cs="Times New Roman"/>
                <w:sz w:val="18"/>
                <w:szCs w:val="18"/>
                <w:lang w:val="sr-Latn-RS" w:eastAsia="sr-Latn-RS"/>
              </w:rPr>
            </w:pPr>
          </w:p>
        </w:tc>
      </w:tr>
      <w:tr w:rsidR="00274223" w:rsidRPr="00F94CB8" w14:paraId="1B259D48" w14:textId="77777777" w:rsidTr="00274223">
        <w:trPr>
          <w:trHeight w:val="66"/>
        </w:trPr>
        <w:tc>
          <w:tcPr>
            <w:tcW w:w="692" w:type="pct"/>
            <w:tcBorders>
              <w:top w:val="nil"/>
              <w:left w:val="nil"/>
              <w:bottom w:val="nil"/>
              <w:right w:val="nil"/>
            </w:tcBorders>
            <w:shd w:val="clear" w:color="auto" w:fill="auto"/>
            <w:noWrap/>
            <w:vAlign w:val="center"/>
            <w:hideMark/>
          </w:tcPr>
          <w:p w14:paraId="06106348" w14:textId="77777777" w:rsidR="00274223" w:rsidRPr="00F94CB8" w:rsidRDefault="00274223" w:rsidP="00344C53">
            <w:pPr>
              <w:spacing w:before="0" w:after="0"/>
              <w:jc w:val="left"/>
              <w:rPr>
                <w:rFonts w:eastAsia="Times New Roman" w:cs="Calibri"/>
                <w:sz w:val="18"/>
                <w:szCs w:val="18"/>
                <w:lang w:val="sr-Latn-RS" w:eastAsia="sr-Latn-RS"/>
              </w:rPr>
            </w:pPr>
            <w:r w:rsidRPr="00F94CB8">
              <w:rPr>
                <w:rFonts w:eastAsia="Times New Roman" w:cs="Calibri"/>
                <w:sz w:val="18"/>
                <w:szCs w:val="18"/>
                <w:lang w:val="sr-Latn-RS" w:eastAsia="sr-Latn-RS"/>
              </w:rPr>
              <w:t>VISC-INDX</w:t>
            </w:r>
          </w:p>
        </w:tc>
        <w:tc>
          <w:tcPr>
            <w:tcW w:w="395" w:type="pct"/>
            <w:tcBorders>
              <w:top w:val="nil"/>
              <w:left w:val="nil"/>
              <w:bottom w:val="nil"/>
              <w:right w:val="nil"/>
            </w:tcBorders>
            <w:shd w:val="clear" w:color="auto" w:fill="FFFFFF" w:themeFill="background1"/>
            <w:noWrap/>
            <w:vAlign w:val="center"/>
            <w:hideMark/>
          </w:tcPr>
          <w:p w14:paraId="3DBD6E0A"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-0.02</w:t>
            </w:r>
          </w:p>
        </w:tc>
        <w:tc>
          <w:tcPr>
            <w:tcW w:w="533" w:type="pct"/>
            <w:tcBorders>
              <w:top w:val="nil"/>
              <w:left w:val="nil"/>
              <w:bottom w:val="nil"/>
              <w:right w:val="nil"/>
            </w:tcBorders>
            <w:shd w:val="clear" w:color="auto" w:fill="FFFFFF" w:themeFill="background1"/>
            <w:noWrap/>
            <w:vAlign w:val="center"/>
            <w:hideMark/>
          </w:tcPr>
          <w:p w14:paraId="755A53B0"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-0.13</w:t>
            </w:r>
          </w:p>
        </w:tc>
        <w:tc>
          <w:tcPr>
            <w:tcW w:w="347" w:type="pct"/>
            <w:tcBorders>
              <w:top w:val="nil"/>
              <w:left w:val="nil"/>
              <w:bottom w:val="nil"/>
              <w:right w:val="nil"/>
            </w:tcBorders>
            <w:shd w:val="clear" w:color="auto" w:fill="FFFFFF" w:themeFill="background1"/>
            <w:noWrap/>
            <w:vAlign w:val="center"/>
            <w:hideMark/>
          </w:tcPr>
          <w:p w14:paraId="254980EC"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0.16</w:t>
            </w:r>
          </w:p>
        </w:tc>
        <w:tc>
          <w:tcPr>
            <w:tcW w:w="420" w:type="pct"/>
            <w:tcBorders>
              <w:top w:val="nil"/>
              <w:left w:val="nil"/>
              <w:bottom w:val="nil"/>
              <w:right w:val="nil"/>
            </w:tcBorders>
            <w:shd w:val="clear" w:color="auto" w:fill="FFFFFF" w:themeFill="background1"/>
            <w:noWrap/>
            <w:vAlign w:val="center"/>
            <w:hideMark/>
          </w:tcPr>
          <w:p w14:paraId="0FE3AC7D"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-0.27</w:t>
            </w:r>
          </w:p>
        </w:tc>
        <w:tc>
          <w:tcPr>
            <w:tcW w:w="420" w:type="pct"/>
            <w:tcBorders>
              <w:top w:val="nil"/>
              <w:left w:val="nil"/>
              <w:bottom w:val="nil"/>
              <w:right w:val="nil"/>
            </w:tcBorders>
            <w:shd w:val="clear" w:color="auto" w:fill="FFFFFF" w:themeFill="background1"/>
            <w:noWrap/>
            <w:vAlign w:val="center"/>
            <w:hideMark/>
          </w:tcPr>
          <w:p w14:paraId="2C5CE737"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-0.31</w:t>
            </w:r>
          </w:p>
        </w:tc>
        <w:tc>
          <w:tcPr>
            <w:tcW w:w="472" w:type="pct"/>
            <w:tcBorders>
              <w:top w:val="nil"/>
              <w:left w:val="nil"/>
              <w:bottom w:val="nil"/>
              <w:right w:val="nil"/>
            </w:tcBorders>
            <w:shd w:val="clear" w:color="auto" w:fill="FFFFFF" w:themeFill="background1"/>
            <w:noWrap/>
            <w:vAlign w:val="center"/>
            <w:hideMark/>
          </w:tcPr>
          <w:p w14:paraId="031EFE7A"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-0.05</w:t>
            </w:r>
          </w:p>
        </w:tc>
        <w:tc>
          <w:tcPr>
            <w:tcW w:w="361" w:type="pct"/>
            <w:tcBorders>
              <w:top w:val="nil"/>
              <w:left w:val="nil"/>
              <w:bottom w:val="nil"/>
              <w:right w:val="nil"/>
            </w:tcBorders>
            <w:shd w:val="clear" w:color="auto" w:fill="FFFFFF" w:themeFill="background1"/>
            <w:noWrap/>
            <w:vAlign w:val="center"/>
            <w:hideMark/>
          </w:tcPr>
          <w:p w14:paraId="57154B76"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-0.35</w:t>
            </w:r>
          </w:p>
        </w:tc>
        <w:tc>
          <w:tcPr>
            <w:tcW w:w="474" w:type="pct"/>
            <w:tcBorders>
              <w:top w:val="nil"/>
              <w:left w:val="nil"/>
              <w:bottom w:val="nil"/>
              <w:right w:val="nil"/>
            </w:tcBorders>
            <w:shd w:val="clear" w:color="auto" w:fill="FFFFFF" w:themeFill="background1"/>
            <w:noWrap/>
            <w:vAlign w:val="center"/>
            <w:hideMark/>
          </w:tcPr>
          <w:p w14:paraId="66FCD019"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-0.13</w:t>
            </w:r>
          </w:p>
        </w:tc>
        <w:tc>
          <w:tcPr>
            <w:tcW w:w="538" w:type="pct"/>
            <w:tcBorders>
              <w:top w:val="nil"/>
              <w:left w:val="nil"/>
              <w:bottom w:val="nil"/>
              <w:right w:val="nil"/>
            </w:tcBorders>
            <w:shd w:val="clear" w:color="auto" w:fill="FFFFFF" w:themeFill="background1"/>
            <w:noWrap/>
            <w:vAlign w:val="center"/>
            <w:hideMark/>
          </w:tcPr>
          <w:p w14:paraId="0BC844F3"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0.41</w:t>
            </w:r>
          </w:p>
        </w:tc>
        <w:tc>
          <w:tcPr>
            <w:tcW w:w="347" w:type="pct"/>
            <w:tcBorders>
              <w:top w:val="nil"/>
              <w:left w:val="nil"/>
              <w:bottom w:val="nil"/>
              <w:right w:val="nil"/>
            </w:tcBorders>
            <w:shd w:val="clear" w:color="auto" w:fill="FFFFFF" w:themeFill="background1"/>
            <w:noWrap/>
            <w:vAlign w:val="center"/>
            <w:hideMark/>
          </w:tcPr>
          <w:p w14:paraId="1D09C70A" w14:textId="77777777" w:rsidR="00274223" w:rsidRPr="00F94CB8" w:rsidRDefault="00274223" w:rsidP="00344C53">
            <w:pPr>
              <w:spacing w:before="0" w:after="0"/>
              <w:jc w:val="right"/>
              <w:rPr>
                <w:rFonts w:eastAsia="Times New Roman" w:cs="Calibri"/>
                <w:sz w:val="18"/>
                <w:szCs w:val="18"/>
                <w:lang w:val="sr-Latn-RS" w:eastAsia="sr-Latn-RS"/>
              </w:rPr>
            </w:pPr>
          </w:p>
        </w:tc>
      </w:tr>
      <w:tr w:rsidR="00274223" w:rsidRPr="00F94CB8" w14:paraId="0AA7D462" w14:textId="77777777" w:rsidTr="00274223">
        <w:trPr>
          <w:trHeight w:val="59"/>
        </w:trPr>
        <w:tc>
          <w:tcPr>
            <w:tcW w:w="692" w:type="pct"/>
            <w:tcBorders>
              <w:top w:val="nil"/>
              <w:left w:val="nil"/>
              <w:bottom w:val="single" w:sz="4" w:space="0" w:color="auto"/>
              <w:right w:val="nil"/>
            </w:tcBorders>
            <w:shd w:val="clear" w:color="auto" w:fill="auto"/>
            <w:noWrap/>
            <w:vAlign w:val="center"/>
            <w:hideMark/>
          </w:tcPr>
          <w:p w14:paraId="0D0F940C" w14:textId="77777777" w:rsidR="00274223" w:rsidRPr="00F94CB8" w:rsidRDefault="00274223" w:rsidP="00344C53">
            <w:pPr>
              <w:spacing w:before="0" w:after="0"/>
              <w:jc w:val="left"/>
              <w:rPr>
                <w:rFonts w:eastAsia="Times New Roman" w:cs="Calibri"/>
                <w:sz w:val="18"/>
                <w:szCs w:val="18"/>
                <w:lang w:val="sr-Latn-RS" w:eastAsia="sr-Latn-RS"/>
              </w:rPr>
            </w:pPr>
            <w:r w:rsidRPr="00F94CB8">
              <w:rPr>
                <w:rFonts w:eastAsia="Times New Roman" w:cs="Calibri"/>
                <w:sz w:val="18"/>
                <w:szCs w:val="18"/>
                <w:lang w:val="sr-Latn-RS" w:eastAsia="sr-Latn-RS"/>
              </w:rPr>
              <w:t>VISC100</w:t>
            </w:r>
          </w:p>
        </w:tc>
        <w:tc>
          <w:tcPr>
            <w:tcW w:w="395" w:type="pct"/>
            <w:tcBorders>
              <w:top w:val="nil"/>
              <w:left w:val="nil"/>
              <w:bottom w:val="single" w:sz="4" w:space="0" w:color="auto"/>
              <w:right w:val="nil"/>
            </w:tcBorders>
            <w:shd w:val="clear" w:color="auto" w:fill="FFFFFF" w:themeFill="background1"/>
            <w:noWrap/>
            <w:vAlign w:val="center"/>
            <w:hideMark/>
          </w:tcPr>
          <w:p w14:paraId="29AF4F60"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-0.10</w:t>
            </w:r>
          </w:p>
        </w:tc>
        <w:tc>
          <w:tcPr>
            <w:tcW w:w="533" w:type="pct"/>
            <w:tcBorders>
              <w:top w:val="nil"/>
              <w:left w:val="nil"/>
              <w:bottom w:val="single" w:sz="4" w:space="0" w:color="auto"/>
              <w:right w:val="nil"/>
            </w:tcBorders>
            <w:shd w:val="clear" w:color="auto" w:fill="FFFFFF" w:themeFill="background1"/>
            <w:noWrap/>
            <w:vAlign w:val="center"/>
            <w:hideMark/>
          </w:tcPr>
          <w:p w14:paraId="168B8110"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-0.34</w:t>
            </w:r>
          </w:p>
        </w:tc>
        <w:tc>
          <w:tcPr>
            <w:tcW w:w="347" w:type="pct"/>
            <w:tcBorders>
              <w:top w:val="nil"/>
              <w:left w:val="nil"/>
              <w:bottom w:val="single" w:sz="4" w:space="0" w:color="auto"/>
              <w:right w:val="nil"/>
            </w:tcBorders>
            <w:shd w:val="clear" w:color="auto" w:fill="FFFFFF" w:themeFill="background1"/>
            <w:noWrap/>
            <w:vAlign w:val="center"/>
            <w:hideMark/>
          </w:tcPr>
          <w:p w14:paraId="00E2FE03"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-0.26</w:t>
            </w:r>
          </w:p>
        </w:tc>
        <w:tc>
          <w:tcPr>
            <w:tcW w:w="420" w:type="pct"/>
            <w:tcBorders>
              <w:top w:val="nil"/>
              <w:left w:val="nil"/>
              <w:bottom w:val="single" w:sz="4" w:space="0" w:color="auto"/>
              <w:right w:val="nil"/>
            </w:tcBorders>
            <w:shd w:val="clear" w:color="auto" w:fill="FFFFFF" w:themeFill="background1"/>
            <w:noWrap/>
            <w:vAlign w:val="center"/>
            <w:hideMark/>
          </w:tcPr>
          <w:p w14:paraId="1F37593D"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0.30</w:t>
            </w:r>
          </w:p>
        </w:tc>
        <w:tc>
          <w:tcPr>
            <w:tcW w:w="420" w:type="pct"/>
            <w:tcBorders>
              <w:top w:val="nil"/>
              <w:left w:val="nil"/>
              <w:bottom w:val="single" w:sz="4" w:space="0" w:color="auto"/>
              <w:right w:val="nil"/>
            </w:tcBorders>
            <w:shd w:val="clear" w:color="auto" w:fill="FFFFFF" w:themeFill="background1"/>
            <w:noWrap/>
            <w:vAlign w:val="center"/>
            <w:hideMark/>
          </w:tcPr>
          <w:p w14:paraId="296729B7"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0.26</w:t>
            </w:r>
          </w:p>
        </w:tc>
        <w:tc>
          <w:tcPr>
            <w:tcW w:w="472" w:type="pct"/>
            <w:tcBorders>
              <w:top w:val="nil"/>
              <w:left w:val="nil"/>
              <w:bottom w:val="single" w:sz="4" w:space="0" w:color="auto"/>
              <w:right w:val="nil"/>
            </w:tcBorders>
            <w:shd w:val="clear" w:color="auto" w:fill="FFFFFF" w:themeFill="background1"/>
            <w:noWrap/>
            <w:vAlign w:val="center"/>
            <w:hideMark/>
          </w:tcPr>
          <w:p w14:paraId="75B82B6E"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-0.13</w:t>
            </w:r>
          </w:p>
        </w:tc>
        <w:tc>
          <w:tcPr>
            <w:tcW w:w="361" w:type="pct"/>
            <w:tcBorders>
              <w:top w:val="nil"/>
              <w:left w:val="nil"/>
              <w:bottom w:val="single" w:sz="4" w:space="0" w:color="auto"/>
              <w:right w:val="nil"/>
            </w:tcBorders>
            <w:shd w:val="clear" w:color="auto" w:fill="FFFFFF" w:themeFill="background1"/>
            <w:noWrap/>
            <w:vAlign w:val="center"/>
            <w:hideMark/>
          </w:tcPr>
          <w:p w14:paraId="35670A45"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0.63</w:t>
            </w:r>
          </w:p>
        </w:tc>
        <w:tc>
          <w:tcPr>
            <w:tcW w:w="474" w:type="pct"/>
            <w:tcBorders>
              <w:top w:val="nil"/>
              <w:left w:val="nil"/>
              <w:bottom w:val="single" w:sz="4" w:space="0" w:color="auto"/>
              <w:right w:val="nil"/>
            </w:tcBorders>
            <w:shd w:val="clear" w:color="auto" w:fill="FFFFFF" w:themeFill="background1"/>
            <w:noWrap/>
            <w:vAlign w:val="center"/>
            <w:hideMark/>
          </w:tcPr>
          <w:p w14:paraId="4D01B921"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0.90</w:t>
            </w:r>
          </w:p>
        </w:tc>
        <w:tc>
          <w:tcPr>
            <w:tcW w:w="538" w:type="pct"/>
            <w:tcBorders>
              <w:top w:val="nil"/>
              <w:left w:val="nil"/>
              <w:bottom w:val="single" w:sz="4" w:space="0" w:color="auto"/>
              <w:right w:val="nil"/>
            </w:tcBorders>
            <w:shd w:val="clear" w:color="auto" w:fill="FFFFFF" w:themeFill="background1"/>
            <w:noWrap/>
            <w:vAlign w:val="center"/>
            <w:hideMark/>
          </w:tcPr>
          <w:p w14:paraId="56280C71"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-0.47</w:t>
            </w:r>
          </w:p>
        </w:tc>
        <w:tc>
          <w:tcPr>
            <w:tcW w:w="347" w:type="pct"/>
            <w:tcBorders>
              <w:top w:val="nil"/>
              <w:left w:val="nil"/>
              <w:bottom w:val="single" w:sz="4" w:space="0" w:color="auto"/>
              <w:right w:val="nil"/>
            </w:tcBorders>
            <w:shd w:val="clear" w:color="auto" w:fill="FFFFFF" w:themeFill="background1"/>
            <w:noWrap/>
            <w:vAlign w:val="center"/>
            <w:hideMark/>
          </w:tcPr>
          <w:p w14:paraId="597222A4" w14:textId="77777777" w:rsidR="00274223" w:rsidRPr="00F94CB8" w:rsidRDefault="00274223" w:rsidP="00344C53">
            <w:pPr>
              <w:spacing w:before="0" w:after="0"/>
              <w:jc w:val="right"/>
              <w:rPr>
                <w:rFonts w:eastAsia="Times New Roman" w:cs="Calibri"/>
                <w:sz w:val="18"/>
                <w:szCs w:val="18"/>
                <w:lang w:val="sr-Latn-RS" w:eastAsia="sr-Latn-RS"/>
              </w:rPr>
            </w:pPr>
            <w:r w:rsidRPr="00F94CB8">
              <w:rPr>
                <w:rFonts w:eastAsia="Times New Roman" w:cs="Calibri"/>
                <w:sz w:val="18"/>
                <w:szCs w:val="18"/>
                <w:lang w:val="sr-Latn-RS" w:eastAsia="sr-Latn-RS"/>
              </w:rPr>
              <w:t>-0.12</w:t>
            </w:r>
          </w:p>
        </w:tc>
      </w:tr>
    </w:tbl>
    <w:p w14:paraId="5E9521B2" w14:textId="76C92D7D" w:rsidR="00F02D7C" w:rsidRDefault="002B6215" w:rsidP="00F02D7C">
      <w:r>
        <w:rPr>
          <w:lang w:bidi="en-US"/>
        </w:rPr>
        <w:t xml:space="preserve">The ISO Code </w:t>
      </w:r>
      <w:r w:rsidR="00BA2FA9">
        <w:rPr>
          <w:lang w:bidi="en-US"/>
        </w:rPr>
        <w:t>6</w:t>
      </w:r>
      <w:r>
        <w:rPr>
          <w:lang w:bidi="en-US"/>
        </w:rPr>
        <w:t xml:space="preserve"> </w:t>
      </w:r>
      <w:r w:rsidR="00A327BC">
        <w:rPr>
          <w:lang w:bidi="en-US"/>
        </w:rPr>
        <w:t>depicts</w:t>
      </w:r>
      <w:r>
        <w:rPr>
          <w:lang w:bidi="en-US"/>
        </w:rPr>
        <w:t xml:space="preserve"> that particles ≥6 μm show</w:t>
      </w:r>
      <w:r w:rsidR="00F94CB8">
        <w:rPr>
          <w:lang w:bidi="en-US"/>
        </w:rPr>
        <w:t xml:space="preserve"> potential</w:t>
      </w:r>
      <w:r>
        <w:rPr>
          <w:lang w:bidi="en-US"/>
        </w:rPr>
        <w:t xml:space="preserve"> wear intensity happening in the system, </w:t>
      </w:r>
      <w:r w:rsidR="00F94CB8">
        <w:rPr>
          <w:lang w:bidi="en-US"/>
        </w:rPr>
        <w:t>thus increasing the density measured in this example</w:t>
      </w:r>
      <w:r>
        <w:rPr>
          <w:lang w:bidi="en-US"/>
        </w:rPr>
        <w:t xml:space="preserve">. </w:t>
      </w:r>
      <w:r w:rsidR="00016216">
        <w:rPr>
          <w:lang w:bidi="en-US"/>
        </w:rPr>
        <w:t xml:space="preserve">Although the particles show </w:t>
      </w:r>
      <w:r w:rsidR="00F94CB8">
        <w:rPr>
          <w:lang w:bidi="en-US"/>
        </w:rPr>
        <w:t xml:space="preserve">a </w:t>
      </w:r>
      <w:r w:rsidR="00E927A3">
        <w:rPr>
          <w:lang w:bidi="en-US"/>
        </w:rPr>
        <w:t>low tende</w:t>
      </w:r>
      <w:r w:rsidR="00F94CB8">
        <w:rPr>
          <w:lang w:bidi="en-US"/>
        </w:rPr>
        <w:t>n</w:t>
      </w:r>
      <w:r w:rsidR="00E927A3">
        <w:rPr>
          <w:lang w:bidi="en-US"/>
        </w:rPr>
        <w:t>cy (negative correlation)</w:t>
      </w:r>
      <w:r w:rsidR="00016216">
        <w:rPr>
          <w:lang w:bidi="en-US"/>
        </w:rPr>
        <w:t xml:space="preserve"> on hydraulic power delivery, it is also the subject of debate </w:t>
      </w:r>
      <w:r w:rsidR="00F94CB8">
        <w:rPr>
          <w:lang w:bidi="en-US"/>
        </w:rPr>
        <w:t>about</w:t>
      </w:r>
      <w:r w:rsidR="00016216">
        <w:rPr>
          <w:lang w:bidi="en-US"/>
        </w:rPr>
        <w:t xml:space="preserve"> the effect of particle wear contaminants and particle contaminants like water and non-wear-metal particles like </w:t>
      </w:r>
      <w:r w:rsidR="00016216" w:rsidRPr="00016216">
        <w:rPr>
          <w:i/>
          <w:iCs/>
          <w:lang w:bidi="en-US"/>
        </w:rPr>
        <w:t>Si</w:t>
      </w:r>
      <w:r w:rsidR="00016216">
        <w:rPr>
          <w:lang w:bidi="en-US"/>
        </w:rPr>
        <w:t>.</w:t>
      </w:r>
      <w:bookmarkStart w:id="453" w:name="_Toc93759922"/>
      <w:bookmarkStart w:id="454" w:name="_Toc93760026"/>
    </w:p>
    <w:p w14:paraId="1E41D6B7" w14:textId="29612569" w:rsidR="006F1657" w:rsidRDefault="006F1657" w:rsidP="00F0512C">
      <w:pPr>
        <w:pStyle w:val="Heading3"/>
      </w:pPr>
      <w:bookmarkStart w:id="455" w:name="_Toc101274384"/>
      <w:r>
        <w:t xml:space="preserve">Relationship between </w:t>
      </w:r>
      <w:r w:rsidR="00F94CB8">
        <w:t>fluid</w:t>
      </w:r>
      <w:r w:rsidR="005068B3">
        <w:t xml:space="preserve"> properties</w:t>
      </w:r>
      <w:r>
        <w:t xml:space="preserve"> </w:t>
      </w:r>
      <w:r w:rsidR="0092639B">
        <w:t>changes and hydraulic power</w:t>
      </w:r>
      <w:bookmarkEnd w:id="455"/>
      <w:r>
        <w:t xml:space="preserve"> </w:t>
      </w:r>
    </w:p>
    <w:p w14:paraId="3699E927" w14:textId="46F492C6" w:rsidR="006F1657" w:rsidRDefault="00323234" w:rsidP="006F1657">
      <w:r>
        <w:t xml:space="preserve">It is shown that </w:t>
      </w:r>
      <w:r w:rsidR="00F94CB8">
        <w:t>hydraulic power</w:t>
      </w:r>
      <w:r>
        <w:t xml:space="preserve"> is under negative correlation with density</w:t>
      </w:r>
      <w:r w:rsidR="00181AF0">
        <w:t xml:space="preserve"> (ρ = -0.276; </w:t>
      </w:r>
      <w:r w:rsidR="00181AF0" w:rsidRPr="00181AF0">
        <w:rPr>
          <w:i/>
          <w:iCs/>
        </w:rPr>
        <w:t xml:space="preserve">p </w:t>
      </w:r>
      <w:r w:rsidR="00181AF0">
        <w:t>&lt; 0.0</w:t>
      </w:r>
      <w:r w:rsidR="002613AA">
        <w:t>1</w:t>
      </w:r>
      <w:r w:rsidR="00181AF0">
        <w:t>)</w:t>
      </w:r>
      <w:r w:rsidR="00F94CB8">
        <w:t>,</w:t>
      </w:r>
      <w:r>
        <w:t xml:space="preserve"> leading to the conclusion that </w:t>
      </w:r>
      <w:r w:rsidR="00F94CB8">
        <w:t>there could exist an indirect relationship proven by density change over time, however, filterability of particles causes bias in estimating the root cause of wear through elemental analysis. An anomaly in the relationship between Ni and Zn could indicate wear. Namely, after the first sampling period, there is a slight decrease in Zn and an increase in Ni, which could be a potential argument for wear. Fe and hydraulic power have a small linear relationship</w:t>
      </w:r>
      <w:r w:rsidR="002613AA">
        <w:t xml:space="preserve"> (ρ = -0.235; </w:t>
      </w:r>
      <w:r w:rsidR="002613AA" w:rsidRPr="00181AF0">
        <w:rPr>
          <w:i/>
          <w:iCs/>
        </w:rPr>
        <w:t xml:space="preserve">p </w:t>
      </w:r>
      <w:r w:rsidR="002613AA">
        <w:t>&lt; 0.01)</w:t>
      </w:r>
      <w:r w:rsidR="00F94CB8">
        <w:t>, which could indicate potential material loss and internal leakage.</w:t>
      </w:r>
    </w:p>
    <w:p w14:paraId="190147E8" w14:textId="36AC8AFA" w:rsidR="00911E8E" w:rsidRDefault="001D5526" w:rsidP="001D5526">
      <w:pPr>
        <w:pStyle w:val="Caption"/>
        <w:jc w:val="left"/>
      </w:pPr>
      <w:bookmarkStart w:id="456" w:name="_Toc101274466"/>
      <w:r>
        <w:t xml:space="preserve">Table </w:t>
      </w:r>
      <w:fldSimple w:instr=" SEQ Table \* ARABIC ">
        <w:r w:rsidR="00587AF0">
          <w:rPr>
            <w:noProof/>
          </w:rPr>
          <w:t>26</w:t>
        </w:r>
      </w:fldSimple>
      <w:r>
        <w:t xml:space="preserve">. Correlation </w:t>
      </w:r>
      <w:r w:rsidR="00FE7F18">
        <w:t xml:space="preserve">matrix – </w:t>
      </w:r>
      <w:r w:rsidR="00F94CB8">
        <w:t xml:space="preserve">the </w:t>
      </w:r>
      <w:r w:rsidR="00FE7F18">
        <w:t xml:space="preserve">relationship between </w:t>
      </w:r>
      <w:r w:rsidR="00274223">
        <w:t>LCM</w:t>
      </w:r>
      <w:r>
        <w:t xml:space="preserve"> and hydraulic power</w:t>
      </w:r>
      <w:bookmarkEnd w:id="456"/>
    </w:p>
    <w:tbl>
      <w:tblPr>
        <w:tblW w:w="9032" w:type="dxa"/>
        <w:tblLook w:val="04A0" w:firstRow="1" w:lastRow="0" w:firstColumn="1" w:lastColumn="0" w:noHBand="0" w:noVBand="1"/>
      </w:tblPr>
      <w:tblGrid>
        <w:gridCol w:w="983"/>
        <w:gridCol w:w="1007"/>
        <w:gridCol w:w="869"/>
        <w:gridCol w:w="886"/>
        <w:gridCol w:w="984"/>
        <w:gridCol w:w="1265"/>
        <w:gridCol w:w="1024"/>
        <w:gridCol w:w="747"/>
        <w:gridCol w:w="682"/>
        <w:gridCol w:w="585"/>
      </w:tblGrid>
      <w:tr w:rsidR="00F230D7" w:rsidRPr="00F6755C" w14:paraId="434BFD51" w14:textId="77777777" w:rsidTr="00F6755C">
        <w:trPr>
          <w:trHeight w:val="56"/>
        </w:trPr>
        <w:tc>
          <w:tcPr>
            <w:tcW w:w="0" w:type="auto"/>
            <w:tcBorders>
              <w:top w:val="single" w:sz="4" w:space="0" w:color="auto"/>
              <w:left w:val="nil"/>
              <w:bottom w:val="single" w:sz="4" w:space="0" w:color="auto"/>
              <w:right w:val="nil"/>
            </w:tcBorders>
            <w:shd w:val="clear" w:color="auto" w:fill="auto"/>
            <w:noWrap/>
            <w:vAlign w:val="bottom"/>
            <w:hideMark/>
          </w:tcPr>
          <w:p w14:paraId="6E38E5DC" w14:textId="77777777" w:rsidR="00F230D7" w:rsidRPr="00F6755C" w:rsidRDefault="00F230D7" w:rsidP="00F230D7">
            <w:pPr>
              <w:spacing w:before="0" w:after="0"/>
              <w:jc w:val="lef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 </w:t>
            </w:r>
          </w:p>
        </w:tc>
        <w:tc>
          <w:tcPr>
            <w:tcW w:w="0" w:type="auto"/>
            <w:tcBorders>
              <w:top w:val="single" w:sz="4" w:space="0" w:color="auto"/>
              <w:left w:val="nil"/>
              <w:bottom w:val="single" w:sz="4" w:space="0" w:color="auto"/>
              <w:right w:val="nil"/>
            </w:tcBorders>
            <w:shd w:val="clear" w:color="auto" w:fill="auto"/>
            <w:noWrap/>
            <w:vAlign w:val="center"/>
            <w:hideMark/>
          </w:tcPr>
          <w:p w14:paraId="17D72BC0" w14:textId="77777777" w:rsidR="00F230D7" w:rsidRPr="00F6755C" w:rsidRDefault="00F230D7" w:rsidP="00EF5CEB">
            <w:pPr>
              <w:spacing w:before="0" w:after="0"/>
              <w:jc w:val="center"/>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HyPower</w:t>
            </w:r>
          </w:p>
        </w:tc>
        <w:tc>
          <w:tcPr>
            <w:tcW w:w="0" w:type="auto"/>
            <w:tcBorders>
              <w:top w:val="single" w:sz="4" w:space="0" w:color="auto"/>
              <w:left w:val="nil"/>
              <w:bottom w:val="single" w:sz="4" w:space="0" w:color="auto"/>
              <w:right w:val="nil"/>
            </w:tcBorders>
            <w:shd w:val="clear" w:color="auto" w:fill="auto"/>
            <w:noWrap/>
            <w:vAlign w:val="center"/>
            <w:hideMark/>
          </w:tcPr>
          <w:p w14:paraId="34B61DEC" w14:textId="0BF3AB99" w:rsidR="00F230D7" w:rsidRPr="00F6755C" w:rsidRDefault="00F230D7" w:rsidP="00EF5CEB">
            <w:pPr>
              <w:spacing w:before="0" w:after="0"/>
              <w:jc w:val="center"/>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Density</w:t>
            </w:r>
          </w:p>
        </w:tc>
        <w:tc>
          <w:tcPr>
            <w:tcW w:w="0" w:type="auto"/>
            <w:tcBorders>
              <w:top w:val="single" w:sz="4" w:space="0" w:color="auto"/>
              <w:left w:val="nil"/>
              <w:bottom w:val="single" w:sz="4" w:space="0" w:color="auto"/>
              <w:right w:val="nil"/>
            </w:tcBorders>
            <w:shd w:val="clear" w:color="auto" w:fill="auto"/>
            <w:noWrap/>
            <w:vAlign w:val="center"/>
            <w:hideMark/>
          </w:tcPr>
          <w:p w14:paraId="49A6B0EA" w14:textId="77777777" w:rsidR="00F230D7" w:rsidRPr="00F6755C" w:rsidRDefault="00F230D7" w:rsidP="00EF5CEB">
            <w:pPr>
              <w:spacing w:before="0" w:after="0"/>
              <w:jc w:val="center"/>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VISC40</w:t>
            </w:r>
          </w:p>
        </w:tc>
        <w:tc>
          <w:tcPr>
            <w:tcW w:w="0" w:type="auto"/>
            <w:tcBorders>
              <w:top w:val="single" w:sz="4" w:space="0" w:color="auto"/>
              <w:left w:val="nil"/>
              <w:bottom w:val="single" w:sz="4" w:space="0" w:color="auto"/>
              <w:right w:val="nil"/>
            </w:tcBorders>
            <w:shd w:val="clear" w:color="auto" w:fill="auto"/>
            <w:noWrap/>
            <w:vAlign w:val="center"/>
            <w:hideMark/>
          </w:tcPr>
          <w:p w14:paraId="1ADDD41B" w14:textId="77777777" w:rsidR="00F230D7" w:rsidRPr="00F6755C" w:rsidRDefault="00F230D7" w:rsidP="00EF5CEB">
            <w:pPr>
              <w:spacing w:before="0" w:after="0"/>
              <w:jc w:val="center"/>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VISC100</w:t>
            </w:r>
          </w:p>
        </w:tc>
        <w:tc>
          <w:tcPr>
            <w:tcW w:w="0" w:type="auto"/>
            <w:tcBorders>
              <w:top w:val="single" w:sz="4" w:space="0" w:color="auto"/>
              <w:left w:val="nil"/>
              <w:bottom w:val="single" w:sz="4" w:space="0" w:color="auto"/>
              <w:right w:val="nil"/>
            </w:tcBorders>
            <w:shd w:val="clear" w:color="auto" w:fill="auto"/>
            <w:noWrap/>
            <w:vAlign w:val="center"/>
            <w:hideMark/>
          </w:tcPr>
          <w:p w14:paraId="4B1ED425" w14:textId="77777777" w:rsidR="00F230D7" w:rsidRPr="00F6755C" w:rsidRDefault="00F230D7" w:rsidP="00EF5CEB">
            <w:pPr>
              <w:spacing w:before="0" w:after="0"/>
              <w:jc w:val="center"/>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Water [ppm]</w:t>
            </w:r>
          </w:p>
        </w:tc>
        <w:tc>
          <w:tcPr>
            <w:tcW w:w="0" w:type="auto"/>
            <w:tcBorders>
              <w:top w:val="single" w:sz="4" w:space="0" w:color="auto"/>
              <w:left w:val="nil"/>
              <w:bottom w:val="single" w:sz="4" w:space="0" w:color="auto"/>
              <w:right w:val="nil"/>
            </w:tcBorders>
            <w:shd w:val="clear" w:color="auto" w:fill="auto"/>
            <w:noWrap/>
            <w:vAlign w:val="center"/>
            <w:hideMark/>
          </w:tcPr>
          <w:p w14:paraId="78BD5C17" w14:textId="77777777" w:rsidR="00F230D7" w:rsidRPr="00F6755C" w:rsidRDefault="00F230D7" w:rsidP="00EF5CEB">
            <w:pPr>
              <w:spacing w:before="0" w:after="0"/>
              <w:jc w:val="center"/>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Zn [ppm]</w:t>
            </w:r>
          </w:p>
        </w:tc>
        <w:tc>
          <w:tcPr>
            <w:tcW w:w="0" w:type="auto"/>
            <w:tcBorders>
              <w:top w:val="single" w:sz="4" w:space="0" w:color="auto"/>
              <w:left w:val="nil"/>
              <w:bottom w:val="single" w:sz="4" w:space="0" w:color="auto"/>
              <w:right w:val="nil"/>
            </w:tcBorders>
            <w:shd w:val="clear" w:color="auto" w:fill="auto"/>
            <w:noWrap/>
            <w:vAlign w:val="center"/>
            <w:hideMark/>
          </w:tcPr>
          <w:p w14:paraId="1382D798" w14:textId="77777777" w:rsidR="00F230D7" w:rsidRPr="00F6755C" w:rsidRDefault="00F230D7" w:rsidP="00EF5CEB">
            <w:pPr>
              <w:spacing w:before="0" w:after="0"/>
              <w:jc w:val="center"/>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Ni</w:t>
            </w:r>
          </w:p>
        </w:tc>
        <w:tc>
          <w:tcPr>
            <w:tcW w:w="0" w:type="auto"/>
            <w:tcBorders>
              <w:top w:val="single" w:sz="4" w:space="0" w:color="auto"/>
              <w:left w:val="nil"/>
              <w:bottom w:val="single" w:sz="4" w:space="0" w:color="auto"/>
              <w:right w:val="nil"/>
            </w:tcBorders>
            <w:shd w:val="clear" w:color="auto" w:fill="auto"/>
            <w:noWrap/>
            <w:vAlign w:val="center"/>
            <w:hideMark/>
          </w:tcPr>
          <w:p w14:paraId="1D9591CD" w14:textId="77777777" w:rsidR="00F230D7" w:rsidRPr="00F6755C" w:rsidRDefault="00F230D7" w:rsidP="00EF5CEB">
            <w:pPr>
              <w:spacing w:before="0" w:after="0"/>
              <w:jc w:val="center"/>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Fe</w:t>
            </w:r>
          </w:p>
        </w:tc>
        <w:tc>
          <w:tcPr>
            <w:tcW w:w="0" w:type="auto"/>
            <w:tcBorders>
              <w:top w:val="single" w:sz="4" w:space="0" w:color="auto"/>
              <w:left w:val="nil"/>
              <w:bottom w:val="single" w:sz="4" w:space="0" w:color="auto"/>
              <w:right w:val="nil"/>
            </w:tcBorders>
            <w:shd w:val="clear" w:color="auto" w:fill="auto"/>
            <w:noWrap/>
            <w:vAlign w:val="center"/>
            <w:hideMark/>
          </w:tcPr>
          <w:p w14:paraId="0E072610" w14:textId="77777777" w:rsidR="00F230D7" w:rsidRPr="00F6755C" w:rsidRDefault="00F230D7" w:rsidP="00EF5CEB">
            <w:pPr>
              <w:spacing w:before="0" w:after="0"/>
              <w:jc w:val="center"/>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Cr</w:t>
            </w:r>
          </w:p>
        </w:tc>
      </w:tr>
      <w:tr w:rsidR="00F230D7" w:rsidRPr="00F6755C" w14:paraId="7F586C36" w14:textId="77777777" w:rsidTr="00F6755C">
        <w:trPr>
          <w:trHeight w:val="145"/>
        </w:trPr>
        <w:tc>
          <w:tcPr>
            <w:tcW w:w="0" w:type="auto"/>
            <w:tcBorders>
              <w:top w:val="nil"/>
              <w:left w:val="nil"/>
              <w:bottom w:val="nil"/>
              <w:right w:val="nil"/>
            </w:tcBorders>
            <w:shd w:val="clear" w:color="auto" w:fill="auto"/>
            <w:noWrap/>
            <w:vAlign w:val="bottom"/>
            <w:hideMark/>
          </w:tcPr>
          <w:p w14:paraId="5541ED88" w14:textId="32F6D6E0" w:rsidR="00F230D7" w:rsidRPr="00F6755C" w:rsidRDefault="00F230D7" w:rsidP="00F230D7">
            <w:pPr>
              <w:spacing w:before="0" w:after="0"/>
              <w:jc w:val="lef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Density</w:t>
            </w:r>
          </w:p>
        </w:tc>
        <w:tc>
          <w:tcPr>
            <w:tcW w:w="0" w:type="auto"/>
            <w:tcBorders>
              <w:top w:val="nil"/>
              <w:left w:val="nil"/>
              <w:bottom w:val="nil"/>
              <w:right w:val="nil"/>
            </w:tcBorders>
            <w:shd w:val="clear" w:color="auto" w:fill="auto"/>
            <w:noWrap/>
            <w:vAlign w:val="bottom"/>
            <w:hideMark/>
          </w:tcPr>
          <w:p w14:paraId="5D4263D4"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-0.517</w:t>
            </w:r>
          </w:p>
        </w:tc>
        <w:tc>
          <w:tcPr>
            <w:tcW w:w="0" w:type="auto"/>
            <w:tcBorders>
              <w:top w:val="nil"/>
              <w:left w:val="nil"/>
              <w:bottom w:val="nil"/>
              <w:right w:val="nil"/>
            </w:tcBorders>
            <w:shd w:val="clear" w:color="auto" w:fill="auto"/>
            <w:noWrap/>
            <w:vAlign w:val="bottom"/>
            <w:hideMark/>
          </w:tcPr>
          <w:p w14:paraId="56FCABA8" w14:textId="77777777" w:rsidR="00F230D7" w:rsidRPr="00F6755C" w:rsidRDefault="00F230D7" w:rsidP="00F230D7">
            <w:pPr>
              <w:spacing w:before="0" w:after="0"/>
              <w:jc w:val="right"/>
              <w:rPr>
                <w:rFonts w:eastAsia="Times New Roman" w:cs="Calibri"/>
                <w:color w:val="000000"/>
                <w:sz w:val="18"/>
                <w:szCs w:val="18"/>
                <w:lang w:val="sr-Latn-RS" w:eastAsia="sr-Latn-RS"/>
              </w:rPr>
            </w:pPr>
          </w:p>
        </w:tc>
        <w:tc>
          <w:tcPr>
            <w:tcW w:w="0" w:type="auto"/>
            <w:tcBorders>
              <w:top w:val="nil"/>
              <w:left w:val="nil"/>
              <w:bottom w:val="nil"/>
              <w:right w:val="nil"/>
            </w:tcBorders>
            <w:shd w:val="clear" w:color="auto" w:fill="auto"/>
            <w:noWrap/>
            <w:vAlign w:val="bottom"/>
            <w:hideMark/>
          </w:tcPr>
          <w:p w14:paraId="36523E99" w14:textId="77777777" w:rsidR="00F230D7" w:rsidRPr="00F6755C" w:rsidRDefault="00F230D7" w:rsidP="00F230D7">
            <w:pPr>
              <w:spacing w:before="0" w:after="0"/>
              <w:jc w:val="left"/>
              <w:rPr>
                <w:rFonts w:ascii="Times New Roman" w:eastAsia="Times New Roman" w:hAnsi="Times New Roman" w:cs="Times New Roman"/>
                <w:sz w:val="18"/>
                <w:szCs w:val="18"/>
                <w:lang w:val="sr-Latn-RS" w:eastAsia="sr-Latn-RS"/>
              </w:rPr>
            </w:pPr>
          </w:p>
        </w:tc>
        <w:tc>
          <w:tcPr>
            <w:tcW w:w="0" w:type="auto"/>
            <w:tcBorders>
              <w:top w:val="nil"/>
              <w:left w:val="nil"/>
              <w:bottom w:val="nil"/>
              <w:right w:val="nil"/>
            </w:tcBorders>
            <w:shd w:val="clear" w:color="auto" w:fill="auto"/>
            <w:noWrap/>
            <w:vAlign w:val="bottom"/>
            <w:hideMark/>
          </w:tcPr>
          <w:p w14:paraId="0C384302" w14:textId="77777777" w:rsidR="00F230D7" w:rsidRPr="00F6755C" w:rsidRDefault="00F230D7" w:rsidP="00F230D7">
            <w:pPr>
              <w:spacing w:before="0" w:after="0"/>
              <w:jc w:val="left"/>
              <w:rPr>
                <w:rFonts w:ascii="Times New Roman" w:eastAsia="Times New Roman" w:hAnsi="Times New Roman" w:cs="Times New Roman"/>
                <w:sz w:val="18"/>
                <w:szCs w:val="18"/>
                <w:lang w:val="sr-Latn-RS" w:eastAsia="sr-Latn-RS"/>
              </w:rPr>
            </w:pPr>
          </w:p>
        </w:tc>
        <w:tc>
          <w:tcPr>
            <w:tcW w:w="0" w:type="auto"/>
            <w:tcBorders>
              <w:top w:val="nil"/>
              <w:left w:val="nil"/>
              <w:bottom w:val="nil"/>
              <w:right w:val="nil"/>
            </w:tcBorders>
            <w:shd w:val="clear" w:color="auto" w:fill="auto"/>
            <w:noWrap/>
            <w:vAlign w:val="bottom"/>
            <w:hideMark/>
          </w:tcPr>
          <w:p w14:paraId="656F6BE1" w14:textId="77777777" w:rsidR="00F230D7" w:rsidRPr="00F6755C" w:rsidRDefault="00F230D7" w:rsidP="00F230D7">
            <w:pPr>
              <w:spacing w:before="0" w:after="0"/>
              <w:jc w:val="left"/>
              <w:rPr>
                <w:rFonts w:ascii="Times New Roman" w:eastAsia="Times New Roman" w:hAnsi="Times New Roman" w:cs="Times New Roman"/>
                <w:sz w:val="18"/>
                <w:szCs w:val="18"/>
                <w:lang w:val="sr-Latn-RS" w:eastAsia="sr-Latn-RS"/>
              </w:rPr>
            </w:pPr>
          </w:p>
        </w:tc>
        <w:tc>
          <w:tcPr>
            <w:tcW w:w="0" w:type="auto"/>
            <w:tcBorders>
              <w:top w:val="nil"/>
              <w:left w:val="nil"/>
              <w:bottom w:val="nil"/>
              <w:right w:val="nil"/>
            </w:tcBorders>
            <w:shd w:val="clear" w:color="auto" w:fill="auto"/>
            <w:noWrap/>
            <w:vAlign w:val="bottom"/>
            <w:hideMark/>
          </w:tcPr>
          <w:p w14:paraId="7E8A93DD" w14:textId="77777777" w:rsidR="00F230D7" w:rsidRPr="00F6755C" w:rsidRDefault="00F230D7" w:rsidP="00F230D7">
            <w:pPr>
              <w:spacing w:before="0" w:after="0"/>
              <w:jc w:val="left"/>
              <w:rPr>
                <w:rFonts w:ascii="Times New Roman" w:eastAsia="Times New Roman" w:hAnsi="Times New Roman" w:cs="Times New Roman"/>
                <w:sz w:val="18"/>
                <w:szCs w:val="18"/>
                <w:lang w:val="sr-Latn-RS" w:eastAsia="sr-Latn-RS"/>
              </w:rPr>
            </w:pPr>
          </w:p>
        </w:tc>
        <w:tc>
          <w:tcPr>
            <w:tcW w:w="0" w:type="auto"/>
            <w:tcBorders>
              <w:top w:val="nil"/>
              <w:left w:val="nil"/>
              <w:bottom w:val="nil"/>
              <w:right w:val="nil"/>
            </w:tcBorders>
            <w:shd w:val="clear" w:color="auto" w:fill="auto"/>
            <w:noWrap/>
            <w:vAlign w:val="bottom"/>
            <w:hideMark/>
          </w:tcPr>
          <w:p w14:paraId="25579287" w14:textId="77777777" w:rsidR="00F230D7" w:rsidRPr="00F6755C" w:rsidRDefault="00F230D7" w:rsidP="00F230D7">
            <w:pPr>
              <w:spacing w:before="0" w:after="0"/>
              <w:jc w:val="left"/>
              <w:rPr>
                <w:rFonts w:ascii="Times New Roman" w:eastAsia="Times New Roman" w:hAnsi="Times New Roman" w:cs="Times New Roman"/>
                <w:sz w:val="18"/>
                <w:szCs w:val="18"/>
                <w:lang w:val="sr-Latn-RS" w:eastAsia="sr-Latn-RS"/>
              </w:rPr>
            </w:pPr>
          </w:p>
        </w:tc>
        <w:tc>
          <w:tcPr>
            <w:tcW w:w="0" w:type="auto"/>
            <w:tcBorders>
              <w:top w:val="nil"/>
              <w:left w:val="nil"/>
              <w:bottom w:val="nil"/>
              <w:right w:val="nil"/>
            </w:tcBorders>
            <w:shd w:val="clear" w:color="auto" w:fill="auto"/>
            <w:noWrap/>
            <w:vAlign w:val="bottom"/>
            <w:hideMark/>
          </w:tcPr>
          <w:p w14:paraId="2B9D07A8" w14:textId="77777777" w:rsidR="00F230D7" w:rsidRPr="00F6755C" w:rsidRDefault="00F230D7" w:rsidP="00F230D7">
            <w:pPr>
              <w:spacing w:before="0" w:after="0"/>
              <w:jc w:val="left"/>
              <w:rPr>
                <w:rFonts w:ascii="Times New Roman" w:eastAsia="Times New Roman" w:hAnsi="Times New Roman" w:cs="Times New Roman"/>
                <w:sz w:val="18"/>
                <w:szCs w:val="18"/>
                <w:lang w:val="sr-Latn-RS" w:eastAsia="sr-Latn-RS"/>
              </w:rPr>
            </w:pPr>
          </w:p>
        </w:tc>
        <w:tc>
          <w:tcPr>
            <w:tcW w:w="0" w:type="auto"/>
            <w:tcBorders>
              <w:top w:val="nil"/>
              <w:left w:val="nil"/>
              <w:bottom w:val="nil"/>
              <w:right w:val="nil"/>
            </w:tcBorders>
            <w:shd w:val="clear" w:color="auto" w:fill="auto"/>
            <w:noWrap/>
            <w:vAlign w:val="bottom"/>
            <w:hideMark/>
          </w:tcPr>
          <w:p w14:paraId="423B7DDD" w14:textId="77777777" w:rsidR="00F230D7" w:rsidRPr="00F6755C" w:rsidRDefault="00F230D7" w:rsidP="00F230D7">
            <w:pPr>
              <w:spacing w:before="0" w:after="0"/>
              <w:jc w:val="left"/>
              <w:rPr>
                <w:rFonts w:ascii="Times New Roman" w:eastAsia="Times New Roman" w:hAnsi="Times New Roman" w:cs="Times New Roman"/>
                <w:sz w:val="18"/>
                <w:szCs w:val="18"/>
                <w:lang w:val="sr-Latn-RS" w:eastAsia="sr-Latn-RS"/>
              </w:rPr>
            </w:pPr>
          </w:p>
        </w:tc>
      </w:tr>
      <w:tr w:rsidR="00F230D7" w:rsidRPr="00F6755C" w14:paraId="48D0BEAE" w14:textId="77777777" w:rsidTr="00F6755C">
        <w:trPr>
          <w:trHeight w:val="125"/>
        </w:trPr>
        <w:tc>
          <w:tcPr>
            <w:tcW w:w="0" w:type="auto"/>
            <w:tcBorders>
              <w:top w:val="nil"/>
              <w:left w:val="nil"/>
              <w:bottom w:val="nil"/>
              <w:right w:val="nil"/>
            </w:tcBorders>
            <w:shd w:val="clear" w:color="auto" w:fill="auto"/>
            <w:noWrap/>
            <w:vAlign w:val="bottom"/>
            <w:hideMark/>
          </w:tcPr>
          <w:p w14:paraId="7E3C4727" w14:textId="77777777" w:rsidR="00F230D7" w:rsidRPr="00F6755C" w:rsidRDefault="00F230D7" w:rsidP="00F230D7">
            <w:pPr>
              <w:spacing w:before="0" w:after="0"/>
              <w:jc w:val="lef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VISC40</w:t>
            </w:r>
          </w:p>
        </w:tc>
        <w:tc>
          <w:tcPr>
            <w:tcW w:w="0" w:type="auto"/>
            <w:tcBorders>
              <w:top w:val="nil"/>
              <w:left w:val="nil"/>
              <w:bottom w:val="nil"/>
              <w:right w:val="nil"/>
            </w:tcBorders>
            <w:shd w:val="clear" w:color="auto" w:fill="auto"/>
            <w:noWrap/>
            <w:vAlign w:val="bottom"/>
            <w:hideMark/>
          </w:tcPr>
          <w:p w14:paraId="6982A6F7"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-0.614</w:t>
            </w:r>
          </w:p>
        </w:tc>
        <w:tc>
          <w:tcPr>
            <w:tcW w:w="0" w:type="auto"/>
            <w:tcBorders>
              <w:top w:val="nil"/>
              <w:left w:val="nil"/>
              <w:bottom w:val="nil"/>
              <w:right w:val="nil"/>
            </w:tcBorders>
            <w:shd w:val="clear" w:color="auto" w:fill="auto"/>
            <w:noWrap/>
            <w:vAlign w:val="bottom"/>
            <w:hideMark/>
          </w:tcPr>
          <w:p w14:paraId="544C3F0D"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0.805</w:t>
            </w:r>
          </w:p>
        </w:tc>
        <w:tc>
          <w:tcPr>
            <w:tcW w:w="0" w:type="auto"/>
            <w:tcBorders>
              <w:top w:val="nil"/>
              <w:left w:val="nil"/>
              <w:bottom w:val="nil"/>
              <w:right w:val="nil"/>
            </w:tcBorders>
            <w:shd w:val="clear" w:color="auto" w:fill="auto"/>
            <w:noWrap/>
            <w:vAlign w:val="bottom"/>
            <w:hideMark/>
          </w:tcPr>
          <w:p w14:paraId="0C1BB017" w14:textId="77777777" w:rsidR="00F230D7" w:rsidRPr="00F6755C" w:rsidRDefault="00F230D7" w:rsidP="00F230D7">
            <w:pPr>
              <w:spacing w:before="0" w:after="0"/>
              <w:jc w:val="right"/>
              <w:rPr>
                <w:rFonts w:eastAsia="Times New Roman" w:cs="Calibri"/>
                <w:color w:val="000000"/>
                <w:sz w:val="18"/>
                <w:szCs w:val="18"/>
                <w:lang w:val="sr-Latn-RS" w:eastAsia="sr-Latn-RS"/>
              </w:rPr>
            </w:pPr>
          </w:p>
        </w:tc>
        <w:tc>
          <w:tcPr>
            <w:tcW w:w="0" w:type="auto"/>
            <w:tcBorders>
              <w:top w:val="nil"/>
              <w:left w:val="nil"/>
              <w:bottom w:val="nil"/>
              <w:right w:val="nil"/>
            </w:tcBorders>
            <w:shd w:val="clear" w:color="auto" w:fill="auto"/>
            <w:noWrap/>
            <w:vAlign w:val="bottom"/>
            <w:hideMark/>
          </w:tcPr>
          <w:p w14:paraId="1D3F1815" w14:textId="77777777" w:rsidR="00F230D7" w:rsidRPr="00F6755C" w:rsidRDefault="00F230D7" w:rsidP="00F230D7">
            <w:pPr>
              <w:spacing w:before="0" w:after="0"/>
              <w:jc w:val="left"/>
              <w:rPr>
                <w:rFonts w:ascii="Times New Roman" w:eastAsia="Times New Roman" w:hAnsi="Times New Roman" w:cs="Times New Roman"/>
                <w:sz w:val="18"/>
                <w:szCs w:val="18"/>
                <w:lang w:val="sr-Latn-RS" w:eastAsia="sr-Latn-RS"/>
              </w:rPr>
            </w:pPr>
          </w:p>
        </w:tc>
        <w:tc>
          <w:tcPr>
            <w:tcW w:w="0" w:type="auto"/>
            <w:tcBorders>
              <w:top w:val="nil"/>
              <w:left w:val="nil"/>
              <w:bottom w:val="nil"/>
              <w:right w:val="nil"/>
            </w:tcBorders>
            <w:shd w:val="clear" w:color="auto" w:fill="auto"/>
            <w:noWrap/>
            <w:vAlign w:val="bottom"/>
            <w:hideMark/>
          </w:tcPr>
          <w:p w14:paraId="188B9A2C" w14:textId="77777777" w:rsidR="00F230D7" w:rsidRPr="00F6755C" w:rsidRDefault="00F230D7" w:rsidP="00F230D7">
            <w:pPr>
              <w:spacing w:before="0" w:after="0"/>
              <w:jc w:val="left"/>
              <w:rPr>
                <w:rFonts w:ascii="Times New Roman" w:eastAsia="Times New Roman" w:hAnsi="Times New Roman" w:cs="Times New Roman"/>
                <w:sz w:val="18"/>
                <w:szCs w:val="18"/>
                <w:lang w:val="sr-Latn-RS" w:eastAsia="sr-Latn-RS"/>
              </w:rPr>
            </w:pPr>
          </w:p>
        </w:tc>
        <w:tc>
          <w:tcPr>
            <w:tcW w:w="0" w:type="auto"/>
            <w:tcBorders>
              <w:top w:val="nil"/>
              <w:left w:val="nil"/>
              <w:bottom w:val="nil"/>
              <w:right w:val="nil"/>
            </w:tcBorders>
            <w:shd w:val="clear" w:color="auto" w:fill="auto"/>
            <w:noWrap/>
            <w:vAlign w:val="bottom"/>
            <w:hideMark/>
          </w:tcPr>
          <w:p w14:paraId="3EA65AD5" w14:textId="77777777" w:rsidR="00F230D7" w:rsidRPr="00F6755C" w:rsidRDefault="00F230D7" w:rsidP="00F230D7">
            <w:pPr>
              <w:spacing w:before="0" w:after="0"/>
              <w:jc w:val="left"/>
              <w:rPr>
                <w:rFonts w:ascii="Times New Roman" w:eastAsia="Times New Roman" w:hAnsi="Times New Roman" w:cs="Times New Roman"/>
                <w:sz w:val="18"/>
                <w:szCs w:val="18"/>
                <w:lang w:val="sr-Latn-RS" w:eastAsia="sr-Latn-RS"/>
              </w:rPr>
            </w:pPr>
          </w:p>
        </w:tc>
        <w:tc>
          <w:tcPr>
            <w:tcW w:w="0" w:type="auto"/>
            <w:tcBorders>
              <w:top w:val="nil"/>
              <w:left w:val="nil"/>
              <w:bottom w:val="nil"/>
              <w:right w:val="nil"/>
            </w:tcBorders>
            <w:shd w:val="clear" w:color="auto" w:fill="auto"/>
            <w:noWrap/>
            <w:vAlign w:val="bottom"/>
            <w:hideMark/>
          </w:tcPr>
          <w:p w14:paraId="0EF776D9" w14:textId="77777777" w:rsidR="00F230D7" w:rsidRPr="00F6755C" w:rsidRDefault="00F230D7" w:rsidP="00F230D7">
            <w:pPr>
              <w:spacing w:before="0" w:after="0"/>
              <w:jc w:val="left"/>
              <w:rPr>
                <w:rFonts w:ascii="Times New Roman" w:eastAsia="Times New Roman" w:hAnsi="Times New Roman" w:cs="Times New Roman"/>
                <w:sz w:val="18"/>
                <w:szCs w:val="18"/>
                <w:lang w:val="sr-Latn-RS" w:eastAsia="sr-Latn-RS"/>
              </w:rPr>
            </w:pPr>
          </w:p>
        </w:tc>
        <w:tc>
          <w:tcPr>
            <w:tcW w:w="0" w:type="auto"/>
            <w:tcBorders>
              <w:top w:val="nil"/>
              <w:left w:val="nil"/>
              <w:bottom w:val="nil"/>
              <w:right w:val="nil"/>
            </w:tcBorders>
            <w:shd w:val="clear" w:color="auto" w:fill="auto"/>
            <w:noWrap/>
            <w:vAlign w:val="bottom"/>
            <w:hideMark/>
          </w:tcPr>
          <w:p w14:paraId="469711AA" w14:textId="77777777" w:rsidR="00F230D7" w:rsidRPr="00F6755C" w:rsidRDefault="00F230D7" w:rsidP="00F230D7">
            <w:pPr>
              <w:spacing w:before="0" w:after="0"/>
              <w:jc w:val="left"/>
              <w:rPr>
                <w:rFonts w:ascii="Times New Roman" w:eastAsia="Times New Roman" w:hAnsi="Times New Roman" w:cs="Times New Roman"/>
                <w:sz w:val="18"/>
                <w:szCs w:val="18"/>
                <w:lang w:val="sr-Latn-RS" w:eastAsia="sr-Latn-RS"/>
              </w:rPr>
            </w:pPr>
          </w:p>
        </w:tc>
        <w:tc>
          <w:tcPr>
            <w:tcW w:w="0" w:type="auto"/>
            <w:tcBorders>
              <w:top w:val="nil"/>
              <w:left w:val="nil"/>
              <w:bottom w:val="nil"/>
              <w:right w:val="nil"/>
            </w:tcBorders>
            <w:shd w:val="clear" w:color="auto" w:fill="auto"/>
            <w:noWrap/>
            <w:vAlign w:val="bottom"/>
            <w:hideMark/>
          </w:tcPr>
          <w:p w14:paraId="2C8D6E64" w14:textId="77777777" w:rsidR="00F230D7" w:rsidRPr="00F6755C" w:rsidRDefault="00F230D7" w:rsidP="00F230D7">
            <w:pPr>
              <w:spacing w:before="0" w:after="0"/>
              <w:jc w:val="left"/>
              <w:rPr>
                <w:rFonts w:ascii="Times New Roman" w:eastAsia="Times New Roman" w:hAnsi="Times New Roman" w:cs="Times New Roman"/>
                <w:sz w:val="18"/>
                <w:szCs w:val="18"/>
                <w:lang w:val="sr-Latn-RS" w:eastAsia="sr-Latn-RS"/>
              </w:rPr>
            </w:pPr>
          </w:p>
        </w:tc>
      </w:tr>
      <w:tr w:rsidR="00F230D7" w:rsidRPr="00F6755C" w14:paraId="3271F34B" w14:textId="77777777" w:rsidTr="00F6755C">
        <w:trPr>
          <w:trHeight w:val="109"/>
        </w:trPr>
        <w:tc>
          <w:tcPr>
            <w:tcW w:w="0" w:type="auto"/>
            <w:tcBorders>
              <w:top w:val="nil"/>
              <w:left w:val="nil"/>
              <w:bottom w:val="nil"/>
              <w:right w:val="nil"/>
            </w:tcBorders>
            <w:shd w:val="clear" w:color="auto" w:fill="auto"/>
            <w:noWrap/>
            <w:vAlign w:val="bottom"/>
            <w:hideMark/>
          </w:tcPr>
          <w:p w14:paraId="0B2FF693" w14:textId="77777777" w:rsidR="00F230D7" w:rsidRPr="00F6755C" w:rsidRDefault="00F230D7" w:rsidP="00F230D7">
            <w:pPr>
              <w:spacing w:before="0" w:after="0"/>
              <w:jc w:val="lef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VISC100</w:t>
            </w:r>
          </w:p>
        </w:tc>
        <w:tc>
          <w:tcPr>
            <w:tcW w:w="0" w:type="auto"/>
            <w:tcBorders>
              <w:top w:val="nil"/>
              <w:left w:val="nil"/>
              <w:bottom w:val="nil"/>
              <w:right w:val="nil"/>
            </w:tcBorders>
            <w:shd w:val="clear" w:color="auto" w:fill="auto"/>
            <w:noWrap/>
            <w:vAlign w:val="bottom"/>
            <w:hideMark/>
          </w:tcPr>
          <w:p w14:paraId="4A132551"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-0.466</w:t>
            </w:r>
          </w:p>
        </w:tc>
        <w:tc>
          <w:tcPr>
            <w:tcW w:w="0" w:type="auto"/>
            <w:tcBorders>
              <w:top w:val="nil"/>
              <w:left w:val="nil"/>
              <w:bottom w:val="nil"/>
              <w:right w:val="nil"/>
            </w:tcBorders>
            <w:shd w:val="clear" w:color="auto" w:fill="auto"/>
            <w:noWrap/>
            <w:vAlign w:val="bottom"/>
            <w:hideMark/>
          </w:tcPr>
          <w:p w14:paraId="5B8B6BF1"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0.634</w:t>
            </w:r>
          </w:p>
        </w:tc>
        <w:tc>
          <w:tcPr>
            <w:tcW w:w="0" w:type="auto"/>
            <w:tcBorders>
              <w:top w:val="nil"/>
              <w:left w:val="nil"/>
              <w:bottom w:val="nil"/>
              <w:right w:val="nil"/>
            </w:tcBorders>
            <w:shd w:val="clear" w:color="auto" w:fill="auto"/>
            <w:noWrap/>
            <w:vAlign w:val="bottom"/>
            <w:hideMark/>
          </w:tcPr>
          <w:p w14:paraId="0EB8DC63"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0.903</w:t>
            </w:r>
          </w:p>
        </w:tc>
        <w:tc>
          <w:tcPr>
            <w:tcW w:w="0" w:type="auto"/>
            <w:tcBorders>
              <w:top w:val="nil"/>
              <w:left w:val="nil"/>
              <w:bottom w:val="nil"/>
              <w:right w:val="nil"/>
            </w:tcBorders>
            <w:shd w:val="clear" w:color="auto" w:fill="auto"/>
            <w:noWrap/>
            <w:vAlign w:val="bottom"/>
            <w:hideMark/>
          </w:tcPr>
          <w:p w14:paraId="64EB81A7" w14:textId="77777777" w:rsidR="00F230D7" w:rsidRPr="00F6755C" w:rsidRDefault="00F230D7" w:rsidP="00F230D7">
            <w:pPr>
              <w:spacing w:before="0" w:after="0"/>
              <w:jc w:val="right"/>
              <w:rPr>
                <w:rFonts w:eastAsia="Times New Roman" w:cs="Calibri"/>
                <w:color w:val="000000"/>
                <w:sz w:val="18"/>
                <w:szCs w:val="18"/>
                <w:lang w:val="sr-Latn-RS" w:eastAsia="sr-Latn-RS"/>
              </w:rPr>
            </w:pPr>
          </w:p>
        </w:tc>
        <w:tc>
          <w:tcPr>
            <w:tcW w:w="0" w:type="auto"/>
            <w:tcBorders>
              <w:top w:val="nil"/>
              <w:left w:val="nil"/>
              <w:bottom w:val="nil"/>
              <w:right w:val="nil"/>
            </w:tcBorders>
            <w:shd w:val="clear" w:color="auto" w:fill="auto"/>
            <w:noWrap/>
            <w:vAlign w:val="bottom"/>
            <w:hideMark/>
          </w:tcPr>
          <w:p w14:paraId="39D9CCA5" w14:textId="77777777" w:rsidR="00F230D7" w:rsidRPr="00F6755C" w:rsidRDefault="00F230D7" w:rsidP="00F230D7">
            <w:pPr>
              <w:spacing w:before="0" w:after="0"/>
              <w:jc w:val="left"/>
              <w:rPr>
                <w:rFonts w:ascii="Times New Roman" w:eastAsia="Times New Roman" w:hAnsi="Times New Roman" w:cs="Times New Roman"/>
                <w:sz w:val="18"/>
                <w:szCs w:val="18"/>
                <w:lang w:val="sr-Latn-RS" w:eastAsia="sr-Latn-RS"/>
              </w:rPr>
            </w:pPr>
          </w:p>
        </w:tc>
        <w:tc>
          <w:tcPr>
            <w:tcW w:w="0" w:type="auto"/>
            <w:tcBorders>
              <w:top w:val="nil"/>
              <w:left w:val="nil"/>
              <w:bottom w:val="nil"/>
              <w:right w:val="nil"/>
            </w:tcBorders>
            <w:shd w:val="clear" w:color="auto" w:fill="auto"/>
            <w:noWrap/>
            <w:vAlign w:val="bottom"/>
            <w:hideMark/>
          </w:tcPr>
          <w:p w14:paraId="738C9BC6" w14:textId="77777777" w:rsidR="00F230D7" w:rsidRPr="00F6755C" w:rsidRDefault="00F230D7" w:rsidP="00F230D7">
            <w:pPr>
              <w:spacing w:before="0" w:after="0"/>
              <w:jc w:val="left"/>
              <w:rPr>
                <w:rFonts w:ascii="Times New Roman" w:eastAsia="Times New Roman" w:hAnsi="Times New Roman" w:cs="Times New Roman"/>
                <w:sz w:val="18"/>
                <w:szCs w:val="18"/>
                <w:lang w:val="sr-Latn-RS" w:eastAsia="sr-Latn-RS"/>
              </w:rPr>
            </w:pPr>
          </w:p>
        </w:tc>
        <w:tc>
          <w:tcPr>
            <w:tcW w:w="0" w:type="auto"/>
            <w:tcBorders>
              <w:top w:val="nil"/>
              <w:left w:val="nil"/>
              <w:bottom w:val="nil"/>
              <w:right w:val="nil"/>
            </w:tcBorders>
            <w:shd w:val="clear" w:color="auto" w:fill="auto"/>
            <w:noWrap/>
            <w:vAlign w:val="bottom"/>
            <w:hideMark/>
          </w:tcPr>
          <w:p w14:paraId="7440DFDB" w14:textId="77777777" w:rsidR="00F230D7" w:rsidRPr="00F6755C" w:rsidRDefault="00F230D7" w:rsidP="00F230D7">
            <w:pPr>
              <w:spacing w:before="0" w:after="0"/>
              <w:jc w:val="left"/>
              <w:rPr>
                <w:rFonts w:ascii="Times New Roman" w:eastAsia="Times New Roman" w:hAnsi="Times New Roman" w:cs="Times New Roman"/>
                <w:sz w:val="18"/>
                <w:szCs w:val="18"/>
                <w:lang w:val="sr-Latn-RS" w:eastAsia="sr-Latn-RS"/>
              </w:rPr>
            </w:pPr>
          </w:p>
        </w:tc>
        <w:tc>
          <w:tcPr>
            <w:tcW w:w="0" w:type="auto"/>
            <w:tcBorders>
              <w:top w:val="nil"/>
              <w:left w:val="nil"/>
              <w:bottom w:val="nil"/>
              <w:right w:val="nil"/>
            </w:tcBorders>
            <w:shd w:val="clear" w:color="auto" w:fill="auto"/>
            <w:noWrap/>
            <w:vAlign w:val="bottom"/>
            <w:hideMark/>
          </w:tcPr>
          <w:p w14:paraId="77D8C82B" w14:textId="77777777" w:rsidR="00F230D7" w:rsidRPr="00F6755C" w:rsidRDefault="00F230D7" w:rsidP="00F230D7">
            <w:pPr>
              <w:spacing w:before="0" w:after="0"/>
              <w:jc w:val="left"/>
              <w:rPr>
                <w:rFonts w:ascii="Times New Roman" w:eastAsia="Times New Roman" w:hAnsi="Times New Roman" w:cs="Times New Roman"/>
                <w:sz w:val="18"/>
                <w:szCs w:val="18"/>
                <w:lang w:val="sr-Latn-RS" w:eastAsia="sr-Latn-RS"/>
              </w:rPr>
            </w:pPr>
          </w:p>
        </w:tc>
        <w:tc>
          <w:tcPr>
            <w:tcW w:w="0" w:type="auto"/>
            <w:tcBorders>
              <w:top w:val="nil"/>
              <w:left w:val="nil"/>
              <w:bottom w:val="nil"/>
              <w:right w:val="nil"/>
            </w:tcBorders>
            <w:shd w:val="clear" w:color="auto" w:fill="auto"/>
            <w:noWrap/>
            <w:vAlign w:val="bottom"/>
            <w:hideMark/>
          </w:tcPr>
          <w:p w14:paraId="52842450" w14:textId="77777777" w:rsidR="00F230D7" w:rsidRPr="00F6755C" w:rsidRDefault="00F230D7" w:rsidP="00F230D7">
            <w:pPr>
              <w:spacing w:before="0" w:after="0"/>
              <w:jc w:val="left"/>
              <w:rPr>
                <w:rFonts w:ascii="Times New Roman" w:eastAsia="Times New Roman" w:hAnsi="Times New Roman" w:cs="Times New Roman"/>
                <w:sz w:val="18"/>
                <w:szCs w:val="18"/>
                <w:lang w:val="sr-Latn-RS" w:eastAsia="sr-Latn-RS"/>
              </w:rPr>
            </w:pPr>
          </w:p>
        </w:tc>
      </w:tr>
      <w:tr w:rsidR="00F230D7" w:rsidRPr="00F6755C" w14:paraId="0D86792A" w14:textId="77777777" w:rsidTr="00F6755C">
        <w:trPr>
          <w:trHeight w:val="79"/>
        </w:trPr>
        <w:tc>
          <w:tcPr>
            <w:tcW w:w="0" w:type="auto"/>
            <w:tcBorders>
              <w:top w:val="nil"/>
              <w:left w:val="nil"/>
              <w:bottom w:val="nil"/>
              <w:right w:val="nil"/>
            </w:tcBorders>
            <w:shd w:val="clear" w:color="auto" w:fill="auto"/>
            <w:noWrap/>
            <w:vAlign w:val="bottom"/>
            <w:hideMark/>
          </w:tcPr>
          <w:p w14:paraId="588F631B" w14:textId="6CCCE780" w:rsidR="00F230D7" w:rsidRPr="00F6755C" w:rsidRDefault="00F230D7" w:rsidP="00F230D7">
            <w:pPr>
              <w:spacing w:before="0" w:after="0"/>
              <w:jc w:val="lef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Water</w:t>
            </w:r>
          </w:p>
        </w:tc>
        <w:tc>
          <w:tcPr>
            <w:tcW w:w="0" w:type="auto"/>
            <w:tcBorders>
              <w:top w:val="nil"/>
              <w:left w:val="nil"/>
              <w:bottom w:val="nil"/>
              <w:right w:val="nil"/>
            </w:tcBorders>
            <w:shd w:val="clear" w:color="auto" w:fill="auto"/>
            <w:noWrap/>
            <w:vAlign w:val="bottom"/>
            <w:hideMark/>
          </w:tcPr>
          <w:p w14:paraId="0FD9DB01"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-0.068</w:t>
            </w:r>
          </w:p>
        </w:tc>
        <w:tc>
          <w:tcPr>
            <w:tcW w:w="0" w:type="auto"/>
            <w:tcBorders>
              <w:top w:val="nil"/>
              <w:left w:val="nil"/>
              <w:bottom w:val="nil"/>
              <w:right w:val="nil"/>
            </w:tcBorders>
            <w:shd w:val="clear" w:color="auto" w:fill="auto"/>
            <w:noWrap/>
            <w:vAlign w:val="bottom"/>
            <w:hideMark/>
          </w:tcPr>
          <w:p w14:paraId="33B360D3"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-0.249</w:t>
            </w:r>
          </w:p>
        </w:tc>
        <w:tc>
          <w:tcPr>
            <w:tcW w:w="0" w:type="auto"/>
            <w:tcBorders>
              <w:top w:val="nil"/>
              <w:left w:val="nil"/>
              <w:bottom w:val="nil"/>
              <w:right w:val="nil"/>
            </w:tcBorders>
            <w:shd w:val="clear" w:color="auto" w:fill="auto"/>
            <w:noWrap/>
            <w:vAlign w:val="bottom"/>
            <w:hideMark/>
          </w:tcPr>
          <w:p w14:paraId="03963F9F"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-0.462</w:t>
            </w:r>
          </w:p>
        </w:tc>
        <w:tc>
          <w:tcPr>
            <w:tcW w:w="0" w:type="auto"/>
            <w:tcBorders>
              <w:top w:val="nil"/>
              <w:left w:val="nil"/>
              <w:bottom w:val="nil"/>
              <w:right w:val="nil"/>
            </w:tcBorders>
            <w:shd w:val="clear" w:color="auto" w:fill="auto"/>
            <w:noWrap/>
            <w:vAlign w:val="bottom"/>
            <w:hideMark/>
          </w:tcPr>
          <w:p w14:paraId="36135662"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-0.485</w:t>
            </w:r>
          </w:p>
        </w:tc>
        <w:tc>
          <w:tcPr>
            <w:tcW w:w="0" w:type="auto"/>
            <w:tcBorders>
              <w:top w:val="nil"/>
              <w:left w:val="nil"/>
              <w:bottom w:val="nil"/>
              <w:right w:val="nil"/>
            </w:tcBorders>
            <w:shd w:val="clear" w:color="auto" w:fill="auto"/>
            <w:noWrap/>
            <w:vAlign w:val="bottom"/>
            <w:hideMark/>
          </w:tcPr>
          <w:p w14:paraId="1EE5BA1B" w14:textId="77777777" w:rsidR="00F230D7" w:rsidRPr="00F6755C" w:rsidRDefault="00F230D7" w:rsidP="00F230D7">
            <w:pPr>
              <w:spacing w:before="0" w:after="0"/>
              <w:jc w:val="right"/>
              <w:rPr>
                <w:rFonts w:eastAsia="Times New Roman" w:cs="Calibri"/>
                <w:color w:val="000000"/>
                <w:sz w:val="18"/>
                <w:szCs w:val="18"/>
                <w:lang w:val="sr-Latn-RS" w:eastAsia="sr-Latn-RS"/>
              </w:rPr>
            </w:pPr>
          </w:p>
        </w:tc>
        <w:tc>
          <w:tcPr>
            <w:tcW w:w="0" w:type="auto"/>
            <w:tcBorders>
              <w:top w:val="nil"/>
              <w:left w:val="nil"/>
              <w:bottom w:val="nil"/>
              <w:right w:val="nil"/>
            </w:tcBorders>
            <w:shd w:val="clear" w:color="auto" w:fill="auto"/>
            <w:noWrap/>
            <w:vAlign w:val="bottom"/>
            <w:hideMark/>
          </w:tcPr>
          <w:p w14:paraId="6E2162BD" w14:textId="77777777" w:rsidR="00F230D7" w:rsidRPr="00F6755C" w:rsidRDefault="00F230D7" w:rsidP="00F230D7">
            <w:pPr>
              <w:spacing w:before="0" w:after="0"/>
              <w:jc w:val="left"/>
              <w:rPr>
                <w:rFonts w:ascii="Times New Roman" w:eastAsia="Times New Roman" w:hAnsi="Times New Roman" w:cs="Times New Roman"/>
                <w:sz w:val="18"/>
                <w:szCs w:val="18"/>
                <w:lang w:val="sr-Latn-RS" w:eastAsia="sr-Latn-RS"/>
              </w:rPr>
            </w:pPr>
          </w:p>
        </w:tc>
        <w:tc>
          <w:tcPr>
            <w:tcW w:w="0" w:type="auto"/>
            <w:tcBorders>
              <w:top w:val="nil"/>
              <w:left w:val="nil"/>
              <w:bottom w:val="nil"/>
              <w:right w:val="nil"/>
            </w:tcBorders>
            <w:shd w:val="clear" w:color="auto" w:fill="auto"/>
            <w:noWrap/>
            <w:vAlign w:val="bottom"/>
            <w:hideMark/>
          </w:tcPr>
          <w:p w14:paraId="11D5F110" w14:textId="77777777" w:rsidR="00F230D7" w:rsidRPr="00F6755C" w:rsidRDefault="00F230D7" w:rsidP="00F230D7">
            <w:pPr>
              <w:spacing w:before="0" w:after="0"/>
              <w:jc w:val="left"/>
              <w:rPr>
                <w:rFonts w:ascii="Times New Roman" w:eastAsia="Times New Roman" w:hAnsi="Times New Roman" w:cs="Times New Roman"/>
                <w:sz w:val="18"/>
                <w:szCs w:val="18"/>
                <w:lang w:val="sr-Latn-RS" w:eastAsia="sr-Latn-RS"/>
              </w:rPr>
            </w:pPr>
          </w:p>
        </w:tc>
        <w:tc>
          <w:tcPr>
            <w:tcW w:w="0" w:type="auto"/>
            <w:tcBorders>
              <w:top w:val="nil"/>
              <w:left w:val="nil"/>
              <w:bottom w:val="nil"/>
              <w:right w:val="nil"/>
            </w:tcBorders>
            <w:shd w:val="clear" w:color="auto" w:fill="auto"/>
            <w:noWrap/>
            <w:vAlign w:val="bottom"/>
            <w:hideMark/>
          </w:tcPr>
          <w:p w14:paraId="578DA4CA" w14:textId="77777777" w:rsidR="00F230D7" w:rsidRPr="00F6755C" w:rsidRDefault="00F230D7" w:rsidP="00F230D7">
            <w:pPr>
              <w:spacing w:before="0" w:after="0"/>
              <w:jc w:val="left"/>
              <w:rPr>
                <w:rFonts w:ascii="Times New Roman" w:eastAsia="Times New Roman" w:hAnsi="Times New Roman" w:cs="Times New Roman"/>
                <w:sz w:val="18"/>
                <w:szCs w:val="18"/>
                <w:lang w:val="sr-Latn-RS" w:eastAsia="sr-Latn-RS"/>
              </w:rPr>
            </w:pPr>
          </w:p>
        </w:tc>
        <w:tc>
          <w:tcPr>
            <w:tcW w:w="0" w:type="auto"/>
            <w:tcBorders>
              <w:top w:val="nil"/>
              <w:left w:val="nil"/>
              <w:bottom w:val="nil"/>
              <w:right w:val="nil"/>
            </w:tcBorders>
            <w:shd w:val="clear" w:color="auto" w:fill="auto"/>
            <w:noWrap/>
            <w:vAlign w:val="bottom"/>
            <w:hideMark/>
          </w:tcPr>
          <w:p w14:paraId="6FF7B923" w14:textId="77777777" w:rsidR="00F230D7" w:rsidRPr="00F6755C" w:rsidRDefault="00F230D7" w:rsidP="00F230D7">
            <w:pPr>
              <w:spacing w:before="0" w:after="0"/>
              <w:jc w:val="left"/>
              <w:rPr>
                <w:rFonts w:ascii="Times New Roman" w:eastAsia="Times New Roman" w:hAnsi="Times New Roman" w:cs="Times New Roman"/>
                <w:sz w:val="18"/>
                <w:szCs w:val="18"/>
                <w:lang w:val="sr-Latn-RS" w:eastAsia="sr-Latn-RS"/>
              </w:rPr>
            </w:pPr>
          </w:p>
        </w:tc>
      </w:tr>
      <w:tr w:rsidR="00F230D7" w:rsidRPr="00F6755C" w14:paraId="19841775" w14:textId="77777777" w:rsidTr="00F6755C">
        <w:trPr>
          <w:trHeight w:val="66"/>
        </w:trPr>
        <w:tc>
          <w:tcPr>
            <w:tcW w:w="0" w:type="auto"/>
            <w:tcBorders>
              <w:top w:val="nil"/>
              <w:left w:val="nil"/>
              <w:bottom w:val="nil"/>
              <w:right w:val="nil"/>
            </w:tcBorders>
            <w:shd w:val="clear" w:color="auto" w:fill="auto"/>
            <w:noWrap/>
            <w:vAlign w:val="bottom"/>
            <w:hideMark/>
          </w:tcPr>
          <w:p w14:paraId="7AE30710" w14:textId="04707FEE" w:rsidR="00F230D7" w:rsidRPr="00F6755C" w:rsidRDefault="00F230D7" w:rsidP="00F230D7">
            <w:pPr>
              <w:spacing w:before="0" w:after="0"/>
              <w:jc w:val="lef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Zn</w:t>
            </w:r>
          </w:p>
        </w:tc>
        <w:tc>
          <w:tcPr>
            <w:tcW w:w="0" w:type="auto"/>
            <w:tcBorders>
              <w:top w:val="nil"/>
              <w:left w:val="nil"/>
              <w:bottom w:val="nil"/>
              <w:right w:val="nil"/>
            </w:tcBorders>
            <w:shd w:val="clear" w:color="auto" w:fill="auto"/>
            <w:noWrap/>
            <w:vAlign w:val="bottom"/>
            <w:hideMark/>
          </w:tcPr>
          <w:p w14:paraId="7292E39A"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0.437</w:t>
            </w:r>
          </w:p>
        </w:tc>
        <w:tc>
          <w:tcPr>
            <w:tcW w:w="0" w:type="auto"/>
            <w:tcBorders>
              <w:top w:val="nil"/>
              <w:left w:val="nil"/>
              <w:bottom w:val="nil"/>
              <w:right w:val="nil"/>
            </w:tcBorders>
            <w:shd w:val="clear" w:color="auto" w:fill="auto"/>
            <w:noWrap/>
            <w:vAlign w:val="bottom"/>
            <w:hideMark/>
          </w:tcPr>
          <w:p w14:paraId="08326F47"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-0.751</w:t>
            </w:r>
          </w:p>
        </w:tc>
        <w:tc>
          <w:tcPr>
            <w:tcW w:w="0" w:type="auto"/>
            <w:tcBorders>
              <w:top w:val="nil"/>
              <w:left w:val="nil"/>
              <w:bottom w:val="nil"/>
              <w:right w:val="nil"/>
            </w:tcBorders>
            <w:shd w:val="clear" w:color="auto" w:fill="auto"/>
            <w:noWrap/>
            <w:vAlign w:val="bottom"/>
            <w:hideMark/>
          </w:tcPr>
          <w:p w14:paraId="11E3B2AA"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-0.855</w:t>
            </w:r>
          </w:p>
        </w:tc>
        <w:tc>
          <w:tcPr>
            <w:tcW w:w="0" w:type="auto"/>
            <w:tcBorders>
              <w:top w:val="nil"/>
              <w:left w:val="nil"/>
              <w:bottom w:val="nil"/>
              <w:right w:val="nil"/>
            </w:tcBorders>
            <w:shd w:val="clear" w:color="auto" w:fill="auto"/>
            <w:noWrap/>
            <w:vAlign w:val="bottom"/>
            <w:hideMark/>
          </w:tcPr>
          <w:p w14:paraId="6749DC40"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-0.807</w:t>
            </w:r>
          </w:p>
        </w:tc>
        <w:tc>
          <w:tcPr>
            <w:tcW w:w="0" w:type="auto"/>
            <w:tcBorders>
              <w:top w:val="nil"/>
              <w:left w:val="nil"/>
              <w:bottom w:val="nil"/>
              <w:right w:val="nil"/>
            </w:tcBorders>
            <w:shd w:val="clear" w:color="auto" w:fill="auto"/>
            <w:noWrap/>
            <w:vAlign w:val="bottom"/>
            <w:hideMark/>
          </w:tcPr>
          <w:p w14:paraId="179381CF"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0.674</w:t>
            </w:r>
          </w:p>
        </w:tc>
        <w:tc>
          <w:tcPr>
            <w:tcW w:w="0" w:type="auto"/>
            <w:tcBorders>
              <w:top w:val="nil"/>
              <w:left w:val="nil"/>
              <w:bottom w:val="nil"/>
              <w:right w:val="nil"/>
            </w:tcBorders>
            <w:shd w:val="clear" w:color="auto" w:fill="auto"/>
            <w:noWrap/>
            <w:vAlign w:val="bottom"/>
            <w:hideMark/>
          </w:tcPr>
          <w:p w14:paraId="10E78DA9" w14:textId="77777777" w:rsidR="00F230D7" w:rsidRPr="00F6755C" w:rsidRDefault="00F230D7" w:rsidP="00F230D7">
            <w:pPr>
              <w:spacing w:before="0" w:after="0"/>
              <w:jc w:val="right"/>
              <w:rPr>
                <w:rFonts w:eastAsia="Times New Roman" w:cs="Calibri"/>
                <w:color w:val="000000"/>
                <w:sz w:val="18"/>
                <w:szCs w:val="18"/>
                <w:lang w:val="sr-Latn-RS" w:eastAsia="sr-Latn-RS"/>
              </w:rPr>
            </w:pPr>
          </w:p>
        </w:tc>
        <w:tc>
          <w:tcPr>
            <w:tcW w:w="0" w:type="auto"/>
            <w:tcBorders>
              <w:top w:val="nil"/>
              <w:left w:val="nil"/>
              <w:bottom w:val="nil"/>
              <w:right w:val="nil"/>
            </w:tcBorders>
            <w:shd w:val="clear" w:color="auto" w:fill="auto"/>
            <w:noWrap/>
            <w:vAlign w:val="bottom"/>
            <w:hideMark/>
          </w:tcPr>
          <w:p w14:paraId="1E324D5C" w14:textId="77777777" w:rsidR="00F230D7" w:rsidRPr="00F6755C" w:rsidRDefault="00F230D7" w:rsidP="00F230D7">
            <w:pPr>
              <w:spacing w:before="0" w:after="0"/>
              <w:jc w:val="left"/>
              <w:rPr>
                <w:rFonts w:ascii="Times New Roman" w:eastAsia="Times New Roman" w:hAnsi="Times New Roman" w:cs="Times New Roman"/>
                <w:sz w:val="18"/>
                <w:szCs w:val="18"/>
                <w:lang w:val="sr-Latn-RS" w:eastAsia="sr-Latn-RS"/>
              </w:rPr>
            </w:pPr>
          </w:p>
        </w:tc>
        <w:tc>
          <w:tcPr>
            <w:tcW w:w="0" w:type="auto"/>
            <w:tcBorders>
              <w:top w:val="nil"/>
              <w:left w:val="nil"/>
              <w:bottom w:val="nil"/>
              <w:right w:val="nil"/>
            </w:tcBorders>
            <w:shd w:val="clear" w:color="auto" w:fill="auto"/>
            <w:noWrap/>
            <w:vAlign w:val="bottom"/>
            <w:hideMark/>
          </w:tcPr>
          <w:p w14:paraId="0ACE8869" w14:textId="77777777" w:rsidR="00F230D7" w:rsidRPr="00F6755C" w:rsidRDefault="00F230D7" w:rsidP="00F230D7">
            <w:pPr>
              <w:spacing w:before="0" w:after="0"/>
              <w:jc w:val="left"/>
              <w:rPr>
                <w:rFonts w:ascii="Times New Roman" w:eastAsia="Times New Roman" w:hAnsi="Times New Roman" w:cs="Times New Roman"/>
                <w:sz w:val="18"/>
                <w:szCs w:val="18"/>
                <w:lang w:val="sr-Latn-RS" w:eastAsia="sr-Latn-RS"/>
              </w:rPr>
            </w:pPr>
          </w:p>
        </w:tc>
        <w:tc>
          <w:tcPr>
            <w:tcW w:w="0" w:type="auto"/>
            <w:tcBorders>
              <w:top w:val="nil"/>
              <w:left w:val="nil"/>
              <w:bottom w:val="nil"/>
              <w:right w:val="nil"/>
            </w:tcBorders>
            <w:shd w:val="clear" w:color="auto" w:fill="auto"/>
            <w:noWrap/>
            <w:vAlign w:val="bottom"/>
            <w:hideMark/>
          </w:tcPr>
          <w:p w14:paraId="3053CA49" w14:textId="77777777" w:rsidR="00F230D7" w:rsidRPr="00F6755C" w:rsidRDefault="00F230D7" w:rsidP="00F230D7">
            <w:pPr>
              <w:spacing w:before="0" w:after="0"/>
              <w:jc w:val="left"/>
              <w:rPr>
                <w:rFonts w:ascii="Times New Roman" w:eastAsia="Times New Roman" w:hAnsi="Times New Roman" w:cs="Times New Roman"/>
                <w:sz w:val="18"/>
                <w:szCs w:val="18"/>
                <w:lang w:val="sr-Latn-RS" w:eastAsia="sr-Latn-RS"/>
              </w:rPr>
            </w:pPr>
          </w:p>
        </w:tc>
      </w:tr>
      <w:tr w:rsidR="00F230D7" w:rsidRPr="00F6755C" w14:paraId="3752BCBA" w14:textId="77777777" w:rsidTr="00F6755C">
        <w:trPr>
          <w:trHeight w:val="66"/>
        </w:trPr>
        <w:tc>
          <w:tcPr>
            <w:tcW w:w="0" w:type="auto"/>
            <w:tcBorders>
              <w:top w:val="nil"/>
              <w:left w:val="nil"/>
              <w:bottom w:val="nil"/>
              <w:right w:val="nil"/>
            </w:tcBorders>
            <w:shd w:val="clear" w:color="auto" w:fill="auto"/>
            <w:noWrap/>
            <w:vAlign w:val="bottom"/>
            <w:hideMark/>
          </w:tcPr>
          <w:p w14:paraId="7B849B2C" w14:textId="77777777" w:rsidR="00F230D7" w:rsidRPr="00F6755C" w:rsidRDefault="00F230D7" w:rsidP="00F230D7">
            <w:pPr>
              <w:spacing w:before="0" w:after="0"/>
              <w:jc w:val="lef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Ni</w:t>
            </w:r>
          </w:p>
        </w:tc>
        <w:tc>
          <w:tcPr>
            <w:tcW w:w="0" w:type="auto"/>
            <w:tcBorders>
              <w:top w:val="nil"/>
              <w:left w:val="nil"/>
              <w:bottom w:val="nil"/>
              <w:right w:val="nil"/>
            </w:tcBorders>
            <w:shd w:val="clear" w:color="auto" w:fill="auto"/>
            <w:noWrap/>
            <w:vAlign w:val="bottom"/>
            <w:hideMark/>
          </w:tcPr>
          <w:p w14:paraId="2941E59D"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0.437</w:t>
            </w:r>
          </w:p>
        </w:tc>
        <w:tc>
          <w:tcPr>
            <w:tcW w:w="0" w:type="auto"/>
            <w:tcBorders>
              <w:top w:val="nil"/>
              <w:left w:val="nil"/>
              <w:bottom w:val="nil"/>
              <w:right w:val="nil"/>
            </w:tcBorders>
            <w:shd w:val="clear" w:color="auto" w:fill="auto"/>
            <w:noWrap/>
            <w:vAlign w:val="bottom"/>
            <w:hideMark/>
          </w:tcPr>
          <w:p w14:paraId="601290F9"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-0.751</w:t>
            </w:r>
          </w:p>
        </w:tc>
        <w:tc>
          <w:tcPr>
            <w:tcW w:w="0" w:type="auto"/>
            <w:tcBorders>
              <w:top w:val="nil"/>
              <w:left w:val="nil"/>
              <w:bottom w:val="nil"/>
              <w:right w:val="nil"/>
            </w:tcBorders>
            <w:shd w:val="clear" w:color="auto" w:fill="auto"/>
            <w:noWrap/>
            <w:vAlign w:val="bottom"/>
            <w:hideMark/>
          </w:tcPr>
          <w:p w14:paraId="43509199"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-0.855</w:t>
            </w:r>
          </w:p>
        </w:tc>
        <w:tc>
          <w:tcPr>
            <w:tcW w:w="0" w:type="auto"/>
            <w:tcBorders>
              <w:top w:val="nil"/>
              <w:left w:val="nil"/>
              <w:bottom w:val="nil"/>
              <w:right w:val="nil"/>
            </w:tcBorders>
            <w:shd w:val="clear" w:color="auto" w:fill="auto"/>
            <w:noWrap/>
            <w:vAlign w:val="bottom"/>
            <w:hideMark/>
          </w:tcPr>
          <w:p w14:paraId="04EE7F11"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-0.807</w:t>
            </w:r>
          </w:p>
        </w:tc>
        <w:tc>
          <w:tcPr>
            <w:tcW w:w="0" w:type="auto"/>
            <w:tcBorders>
              <w:top w:val="nil"/>
              <w:left w:val="nil"/>
              <w:bottom w:val="nil"/>
              <w:right w:val="nil"/>
            </w:tcBorders>
            <w:shd w:val="clear" w:color="auto" w:fill="auto"/>
            <w:noWrap/>
            <w:vAlign w:val="bottom"/>
            <w:hideMark/>
          </w:tcPr>
          <w:p w14:paraId="4C8D528B"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0.674</w:t>
            </w:r>
          </w:p>
        </w:tc>
        <w:tc>
          <w:tcPr>
            <w:tcW w:w="0" w:type="auto"/>
            <w:tcBorders>
              <w:top w:val="nil"/>
              <w:left w:val="nil"/>
              <w:bottom w:val="nil"/>
              <w:right w:val="nil"/>
            </w:tcBorders>
            <w:shd w:val="clear" w:color="auto" w:fill="auto"/>
            <w:noWrap/>
            <w:vAlign w:val="bottom"/>
            <w:hideMark/>
          </w:tcPr>
          <w:p w14:paraId="64A46E25"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1</w:t>
            </w:r>
          </w:p>
        </w:tc>
        <w:tc>
          <w:tcPr>
            <w:tcW w:w="0" w:type="auto"/>
            <w:tcBorders>
              <w:top w:val="nil"/>
              <w:left w:val="nil"/>
              <w:bottom w:val="nil"/>
              <w:right w:val="nil"/>
            </w:tcBorders>
            <w:shd w:val="clear" w:color="auto" w:fill="auto"/>
            <w:noWrap/>
            <w:vAlign w:val="bottom"/>
            <w:hideMark/>
          </w:tcPr>
          <w:p w14:paraId="13225E81" w14:textId="77777777" w:rsidR="00F230D7" w:rsidRPr="00F6755C" w:rsidRDefault="00F230D7" w:rsidP="00F230D7">
            <w:pPr>
              <w:spacing w:before="0" w:after="0"/>
              <w:jc w:val="right"/>
              <w:rPr>
                <w:rFonts w:eastAsia="Times New Roman" w:cs="Calibri"/>
                <w:color w:val="000000"/>
                <w:sz w:val="18"/>
                <w:szCs w:val="18"/>
                <w:lang w:val="sr-Latn-RS" w:eastAsia="sr-Latn-RS"/>
              </w:rPr>
            </w:pPr>
          </w:p>
        </w:tc>
        <w:tc>
          <w:tcPr>
            <w:tcW w:w="0" w:type="auto"/>
            <w:tcBorders>
              <w:top w:val="nil"/>
              <w:left w:val="nil"/>
              <w:bottom w:val="nil"/>
              <w:right w:val="nil"/>
            </w:tcBorders>
            <w:shd w:val="clear" w:color="auto" w:fill="auto"/>
            <w:noWrap/>
            <w:vAlign w:val="bottom"/>
            <w:hideMark/>
          </w:tcPr>
          <w:p w14:paraId="28904545" w14:textId="77777777" w:rsidR="00F230D7" w:rsidRPr="00F6755C" w:rsidRDefault="00F230D7" w:rsidP="00F230D7">
            <w:pPr>
              <w:spacing w:before="0" w:after="0"/>
              <w:jc w:val="left"/>
              <w:rPr>
                <w:rFonts w:ascii="Times New Roman" w:eastAsia="Times New Roman" w:hAnsi="Times New Roman" w:cs="Times New Roman"/>
                <w:sz w:val="18"/>
                <w:szCs w:val="18"/>
                <w:lang w:val="sr-Latn-RS" w:eastAsia="sr-Latn-RS"/>
              </w:rPr>
            </w:pPr>
          </w:p>
        </w:tc>
        <w:tc>
          <w:tcPr>
            <w:tcW w:w="0" w:type="auto"/>
            <w:tcBorders>
              <w:top w:val="nil"/>
              <w:left w:val="nil"/>
              <w:bottom w:val="nil"/>
              <w:right w:val="nil"/>
            </w:tcBorders>
            <w:shd w:val="clear" w:color="auto" w:fill="auto"/>
            <w:noWrap/>
            <w:vAlign w:val="bottom"/>
            <w:hideMark/>
          </w:tcPr>
          <w:p w14:paraId="41BE29B4" w14:textId="77777777" w:rsidR="00F230D7" w:rsidRPr="00F6755C" w:rsidRDefault="00F230D7" w:rsidP="00F230D7">
            <w:pPr>
              <w:spacing w:before="0" w:after="0"/>
              <w:jc w:val="left"/>
              <w:rPr>
                <w:rFonts w:ascii="Times New Roman" w:eastAsia="Times New Roman" w:hAnsi="Times New Roman" w:cs="Times New Roman"/>
                <w:sz w:val="18"/>
                <w:szCs w:val="18"/>
                <w:lang w:val="sr-Latn-RS" w:eastAsia="sr-Latn-RS"/>
              </w:rPr>
            </w:pPr>
          </w:p>
        </w:tc>
      </w:tr>
      <w:tr w:rsidR="00F230D7" w:rsidRPr="00F6755C" w14:paraId="7B2AC872" w14:textId="77777777" w:rsidTr="00F6755C">
        <w:trPr>
          <w:trHeight w:val="183"/>
        </w:trPr>
        <w:tc>
          <w:tcPr>
            <w:tcW w:w="0" w:type="auto"/>
            <w:tcBorders>
              <w:top w:val="nil"/>
              <w:left w:val="nil"/>
              <w:bottom w:val="nil"/>
              <w:right w:val="nil"/>
            </w:tcBorders>
            <w:shd w:val="clear" w:color="auto" w:fill="auto"/>
            <w:noWrap/>
            <w:vAlign w:val="bottom"/>
            <w:hideMark/>
          </w:tcPr>
          <w:p w14:paraId="7C1EF958" w14:textId="77777777" w:rsidR="00F230D7" w:rsidRPr="00F6755C" w:rsidRDefault="00F230D7" w:rsidP="00F230D7">
            <w:pPr>
              <w:spacing w:before="0" w:after="0"/>
              <w:jc w:val="lef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Fe</w:t>
            </w:r>
          </w:p>
        </w:tc>
        <w:tc>
          <w:tcPr>
            <w:tcW w:w="0" w:type="auto"/>
            <w:tcBorders>
              <w:top w:val="nil"/>
              <w:left w:val="nil"/>
              <w:bottom w:val="nil"/>
              <w:right w:val="nil"/>
            </w:tcBorders>
            <w:shd w:val="clear" w:color="auto" w:fill="auto"/>
            <w:noWrap/>
            <w:vAlign w:val="bottom"/>
            <w:hideMark/>
          </w:tcPr>
          <w:p w14:paraId="4B5093A3"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-0.437</w:t>
            </w:r>
          </w:p>
        </w:tc>
        <w:tc>
          <w:tcPr>
            <w:tcW w:w="0" w:type="auto"/>
            <w:tcBorders>
              <w:top w:val="nil"/>
              <w:left w:val="nil"/>
              <w:bottom w:val="nil"/>
              <w:right w:val="nil"/>
            </w:tcBorders>
            <w:shd w:val="clear" w:color="auto" w:fill="auto"/>
            <w:noWrap/>
            <w:vAlign w:val="bottom"/>
            <w:hideMark/>
          </w:tcPr>
          <w:p w14:paraId="6D3CB8FE"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0.751</w:t>
            </w:r>
          </w:p>
        </w:tc>
        <w:tc>
          <w:tcPr>
            <w:tcW w:w="0" w:type="auto"/>
            <w:tcBorders>
              <w:top w:val="nil"/>
              <w:left w:val="nil"/>
              <w:bottom w:val="nil"/>
              <w:right w:val="nil"/>
            </w:tcBorders>
            <w:shd w:val="clear" w:color="auto" w:fill="auto"/>
            <w:noWrap/>
            <w:vAlign w:val="bottom"/>
            <w:hideMark/>
          </w:tcPr>
          <w:p w14:paraId="4D91CDE0"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0.855</w:t>
            </w:r>
          </w:p>
        </w:tc>
        <w:tc>
          <w:tcPr>
            <w:tcW w:w="0" w:type="auto"/>
            <w:tcBorders>
              <w:top w:val="nil"/>
              <w:left w:val="nil"/>
              <w:bottom w:val="nil"/>
              <w:right w:val="nil"/>
            </w:tcBorders>
            <w:shd w:val="clear" w:color="auto" w:fill="auto"/>
            <w:noWrap/>
            <w:vAlign w:val="bottom"/>
            <w:hideMark/>
          </w:tcPr>
          <w:p w14:paraId="6D93EFE6"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0.807</w:t>
            </w:r>
          </w:p>
        </w:tc>
        <w:tc>
          <w:tcPr>
            <w:tcW w:w="0" w:type="auto"/>
            <w:tcBorders>
              <w:top w:val="nil"/>
              <w:left w:val="nil"/>
              <w:bottom w:val="nil"/>
              <w:right w:val="nil"/>
            </w:tcBorders>
            <w:shd w:val="clear" w:color="auto" w:fill="auto"/>
            <w:noWrap/>
            <w:vAlign w:val="bottom"/>
            <w:hideMark/>
          </w:tcPr>
          <w:p w14:paraId="5F674F7A"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-0.674</w:t>
            </w:r>
          </w:p>
        </w:tc>
        <w:tc>
          <w:tcPr>
            <w:tcW w:w="0" w:type="auto"/>
            <w:tcBorders>
              <w:top w:val="nil"/>
              <w:left w:val="nil"/>
              <w:bottom w:val="nil"/>
              <w:right w:val="nil"/>
            </w:tcBorders>
            <w:shd w:val="clear" w:color="auto" w:fill="auto"/>
            <w:noWrap/>
            <w:vAlign w:val="bottom"/>
            <w:hideMark/>
          </w:tcPr>
          <w:p w14:paraId="1960DE27"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-1</w:t>
            </w:r>
          </w:p>
        </w:tc>
        <w:tc>
          <w:tcPr>
            <w:tcW w:w="0" w:type="auto"/>
            <w:tcBorders>
              <w:top w:val="nil"/>
              <w:left w:val="nil"/>
              <w:bottom w:val="nil"/>
              <w:right w:val="nil"/>
            </w:tcBorders>
            <w:shd w:val="clear" w:color="auto" w:fill="auto"/>
            <w:noWrap/>
            <w:vAlign w:val="bottom"/>
            <w:hideMark/>
          </w:tcPr>
          <w:p w14:paraId="3437480C"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-1</w:t>
            </w:r>
          </w:p>
        </w:tc>
        <w:tc>
          <w:tcPr>
            <w:tcW w:w="0" w:type="auto"/>
            <w:tcBorders>
              <w:top w:val="nil"/>
              <w:left w:val="nil"/>
              <w:bottom w:val="nil"/>
              <w:right w:val="nil"/>
            </w:tcBorders>
            <w:shd w:val="clear" w:color="auto" w:fill="auto"/>
            <w:noWrap/>
            <w:vAlign w:val="bottom"/>
            <w:hideMark/>
          </w:tcPr>
          <w:p w14:paraId="47D3D1F2" w14:textId="77777777" w:rsidR="00F230D7" w:rsidRPr="00F6755C" w:rsidRDefault="00F230D7" w:rsidP="00F230D7">
            <w:pPr>
              <w:spacing w:before="0" w:after="0"/>
              <w:jc w:val="right"/>
              <w:rPr>
                <w:rFonts w:eastAsia="Times New Roman" w:cs="Calibri"/>
                <w:color w:val="000000"/>
                <w:sz w:val="18"/>
                <w:szCs w:val="18"/>
                <w:lang w:val="sr-Latn-RS" w:eastAsia="sr-Latn-RS"/>
              </w:rPr>
            </w:pPr>
          </w:p>
        </w:tc>
        <w:tc>
          <w:tcPr>
            <w:tcW w:w="0" w:type="auto"/>
            <w:tcBorders>
              <w:top w:val="nil"/>
              <w:left w:val="nil"/>
              <w:bottom w:val="nil"/>
              <w:right w:val="nil"/>
            </w:tcBorders>
            <w:shd w:val="clear" w:color="auto" w:fill="auto"/>
            <w:noWrap/>
            <w:vAlign w:val="bottom"/>
            <w:hideMark/>
          </w:tcPr>
          <w:p w14:paraId="242A05BC" w14:textId="77777777" w:rsidR="00F230D7" w:rsidRPr="00F6755C" w:rsidRDefault="00F230D7" w:rsidP="00F230D7">
            <w:pPr>
              <w:spacing w:before="0" w:after="0"/>
              <w:jc w:val="left"/>
              <w:rPr>
                <w:rFonts w:ascii="Times New Roman" w:eastAsia="Times New Roman" w:hAnsi="Times New Roman" w:cs="Times New Roman"/>
                <w:sz w:val="18"/>
                <w:szCs w:val="18"/>
                <w:lang w:val="sr-Latn-RS" w:eastAsia="sr-Latn-RS"/>
              </w:rPr>
            </w:pPr>
          </w:p>
        </w:tc>
      </w:tr>
      <w:tr w:rsidR="00F230D7" w:rsidRPr="00F6755C" w14:paraId="18CDF4BA" w14:textId="77777777" w:rsidTr="00F6755C">
        <w:trPr>
          <w:trHeight w:val="168"/>
        </w:trPr>
        <w:tc>
          <w:tcPr>
            <w:tcW w:w="0" w:type="auto"/>
            <w:tcBorders>
              <w:top w:val="nil"/>
              <w:left w:val="nil"/>
              <w:bottom w:val="nil"/>
              <w:right w:val="nil"/>
            </w:tcBorders>
            <w:shd w:val="clear" w:color="auto" w:fill="auto"/>
            <w:noWrap/>
            <w:vAlign w:val="bottom"/>
            <w:hideMark/>
          </w:tcPr>
          <w:p w14:paraId="3358C4BC" w14:textId="77777777" w:rsidR="00F230D7" w:rsidRPr="00F6755C" w:rsidRDefault="00F230D7" w:rsidP="00F230D7">
            <w:pPr>
              <w:spacing w:before="0" w:after="0"/>
              <w:jc w:val="lef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Cr</w:t>
            </w:r>
          </w:p>
        </w:tc>
        <w:tc>
          <w:tcPr>
            <w:tcW w:w="0" w:type="auto"/>
            <w:tcBorders>
              <w:top w:val="nil"/>
              <w:left w:val="nil"/>
              <w:bottom w:val="nil"/>
              <w:right w:val="nil"/>
            </w:tcBorders>
            <w:shd w:val="clear" w:color="auto" w:fill="auto"/>
            <w:noWrap/>
            <w:vAlign w:val="bottom"/>
            <w:hideMark/>
          </w:tcPr>
          <w:p w14:paraId="6F803BEE"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0.193</w:t>
            </w:r>
          </w:p>
        </w:tc>
        <w:tc>
          <w:tcPr>
            <w:tcW w:w="0" w:type="auto"/>
            <w:tcBorders>
              <w:top w:val="nil"/>
              <w:left w:val="nil"/>
              <w:bottom w:val="nil"/>
              <w:right w:val="nil"/>
            </w:tcBorders>
            <w:shd w:val="clear" w:color="auto" w:fill="auto"/>
            <w:noWrap/>
            <w:vAlign w:val="bottom"/>
            <w:hideMark/>
          </w:tcPr>
          <w:p w14:paraId="25881F49"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-0.225</w:t>
            </w:r>
          </w:p>
        </w:tc>
        <w:tc>
          <w:tcPr>
            <w:tcW w:w="0" w:type="auto"/>
            <w:tcBorders>
              <w:top w:val="nil"/>
              <w:left w:val="nil"/>
              <w:bottom w:val="nil"/>
              <w:right w:val="nil"/>
            </w:tcBorders>
            <w:shd w:val="clear" w:color="auto" w:fill="auto"/>
            <w:noWrap/>
            <w:vAlign w:val="bottom"/>
            <w:hideMark/>
          </w:tcPr>
          <w:p w14:paraId="7224F6E1"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-0.06</w:t>
            </w:r>
          </w:p>
        </w:tc>
        <w:tc>
          <w:tcPr>
            <w:tcW w:w="0" w:type="auto"/>
            <w:tcBorders>
              <w:top w:val="nil"/>
              <w:left w:val="nil"/>
              <w:bottom w:val="nil"/>
              <w:right w:val="nil"/>
            </w:tcBorders>
            <w:shd w:val="clear" w:color="auto" w:fill="auto"/>
            <w:noWrap/>
            <w:vAlign w:val="bottom"/>
            <w:hideMark/>
          </w:tcPr>
          <w:p w14:paraId="0F1FFAE5"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-0.129</w:t>
            </w:r>
          </w:p>
        </w:tc>
        <w:tc>
          <w:tcPr>
            <w:tcW w:w="0" w:type="auto"/>
            <w:tcBorders>
              <w:top w:val="nil"/>
              <w:left w:val="nil"/>
              <w:bottom w:val="nil"/>
              <w:right w:val="nil"/>
            </w:tcBorders>
            <w:shd w:val="clear" w:color="auto" w:fill="auto"/>
            <w:noWrap/>
            <w:vAlign w:val="bottom"/>
            <w:hideMark/>
          </w:tcPr>
          <w:p w14:paraId="58E8DF0F"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-0.701</w:t>
            </w:r>
          </w:p>
        </w:tc>
        <w:tc>
          <w:tcPr>
            <w:tcW w:w="0" w:type="auto"/>
            <w:tcBorders>
              <w:top w:val="nil"/>
              <w:left w:val="nil"/>
              <w:bottom w:val="nil"/>
              <w:right w:val="nil"/>
            </w:tcBorders>
            <w:shd w:val="clear" w:color="auto" w:fill="auto"/>
            <w:noWrap/>
            <w:vAlign w:val="bottom"/>
            <w:hideMark/>
          </w:tcPr>
          <w:p w14:paraId="78C2214E"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-0.269</w:t>
            </w:r>
          </w:p>
        </w:tc>
        <w:tc>
          <w:tcPr>
            <w:tcW w:w="0" w:type="auto"/>
            <w:tcBorders>
              <w:top w:val="nil"/>
              <w:left w:val="nil"/>
              <w:bottom w:val="nil"/>
              <w:right w:val="nil"/>
            </w:tcBorders>
            <w:shd w:val="clear" w:color="auto" w:fill="auto"/>
            <w:noWrap/>
            <w:vAlign w:val="bottom"/>
            <w:hideMark/>
          </w:tcPr>
          <w:p w14:paraId="4A84ABE4"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-0.269</w:t>
            </w:r>
          </w:p>
        </w:tc>
        <w:tc>
          <w:tcPr>
            <w:tcW w:w="0" w:type="auto"/>
            <w:tcBorders>
              <w:top w:val="nil"/>
              <w:left w:val="nil"/>
              <w:bottom w:val="nil"/>
              <w:right w:val="nil"/>
            </w:tcBorders>
            <w:shd w:val="clear" w:color="auto" w:fill="auto"/>
            <w:noWrap/>
            <w:vAlign w:val="bottom"/>
            <w:hideMark/>
          </w:tcPr>
          <w:p w14:paraId="5EC31BB9"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0.269</w:t>
            </w:r>
          </w:p>
        </w:tc>
        <w:tc>
          <w:tcPr>
            <w:tcW w:w="0" w:type="auto"/>
            <w:tcBorders>
              <w:top w:val="nil"/>
              <w:left w:val="nil"/>
              <w:bottom w:val="nil"/>
              <w:right w:val="nil"/>
            </w:tcBorders>
            <w:shd w:val="clear" w:color="auto" w:fill="auto"/>
            <w:noWrap/>
            <w:vAlign w:val="bottom"/>
            <w:hideMark/>
          </w:tcPr>
          <w:p w14:paraId="7E0B767F" w14:textId="77777777" w:rsidR="00F230D7" w:rsidRPr="00F6755C" w:rsidRDefault="00F230D7" w:rsidP="00F230D7">
            <w:pPr>
              <w:spacing w:before="0" w:after="0"/>
              <w:jc w:val="right"/>
              <w:rPr>
                <w:rFonts w:eastAsia="Times New Roman" w:cs="Calibri"/>
                <w:color w:val="000000"/>
                <w:sz w:val="18"/>
                <w:szCs w:val="18"/>
                <w:lang w:val="sr-Latn-RS" w:eastAsia="sr-Latn-RS"/>
              </w:rPr>
            </w:pPr>
          </w:p>
        </w:tc>
      </w:tr>
      <w:tr w:rsidR="00F230D7" w:rsidRPr="00F6755C" w14:paraId="135866D7" w14:textId="77777777" w:rsidTr="00F6755C">
        <w:trPr>
          <w:trHeight w:val="59"/>
        </w:trPr>
        <w:tc>
          <w:tcPr>
            <w:tcW w:w="0" w:type="auto"/>
            <w:tcBorders>
              <w:top w:val="nil"/>
              <w:left w:val="nil"/>
              <w:bottom w:val="single" w:sz="4" w:space="0" w:color="auto"/>
              <w:right w:val="nil"/>
            </w:tcBorders>
            <w:shd w:val="clear" w:color="auto" w:fill="auto"/>
            <w:noWrap/>
            <w:vAlign w:val="bottom"/>
            <w:hideMark/>
          </w:tcPr>
          <w:p w14:paraId="30325086" w14:textId="77777777" w:rsidR="00F230D7" w:rsidRPr="00F6755C" w:rsidRDefault="00F230D7" w:rsidP="00F230D7">
            <w:pPr>
              <w:spacing w:before="0" w:after="0"/>
              <w:jc w:val="lef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Si</w:t>
            </w:r>
          </w:p>
        </w:tc>
        <w:tc>
          <w:tcPr>
            <w:tcW w:w="0" w:type="auto"/>
            <w:tcBorders>
              <w:top w:val="nil"/>
              <w:left w:val="nil"/>
              <w:bottom w:val="single" w:sz="4" w:space="0" w:color="auto"/>
              <w:right w:val="nil"/>
            </w:tcBorders>
            <w:shd w:val="clear" w:color="auto" w:fill="auto"/>
            <w:noWrap/>
            <w:vAlign w:val="bottom"/>
            <w:hideMark/>
          </w:tcPr>
          <w:p w14:paraId="1547ED10"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0.05</w:t>
            </w:r>
          </w:p>
        </w:tc>
        <w:tc>
          <w:tcPr>
            <w:tcW w:w="0" w:type="auto"/>
            <w:tcBorders>
              <w:top w:val="nil"/>
              <w:left w:val="nil"/>
              <w:bottom w:val="single" w:sz="4" w:space="0" w:color="auto"/>
              <w:right w:val="nil"/>
            </w:tcBorders>
            <w:shd w:val="clear" w:color="auto" w:fill="auto"/>
            <w:noWrap/>
            <w:vAlign w:val="bottom"/>
            <w:hideMark/>
          </w:tcPr>
          <w:p w14:paraId="035E4420"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-0.068</w:t>
            </w:r>
          </w:p>
        </w:tc>
        <w:tc>
          <w:tcPr>
            <w:tcW w:w="0" w:type="auto"/>
            <w:tcBorders>
              <w:top w:val="nil"/>
              <w:left w:val="nil"/>
              <w:bottom w:val="single" w:sz="4" w:space="0" w:color="auto"/>
              <w:right w:val="nil"/>
            </w:tcBorders>
            <w:shd w:val="clear" w:color="auto" w:fill="auto"/>
            <w:noWrap/>
            <w:vAlign w:val="bottom"/>
            <w:hideMark/>
          </w:tcPr>
          <w:p w14:paraId="526833C6"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-0.304</w:t>
            </w:r>
          </w:p>
        </w:tc>
        <w:tc>
          <w:tcPr>
            <w:tcW w:w="0" w:type="auto"/>
            <w:tcBorders>
              <w:top w:val="nil"/>
              <w:left w:val="nil"/>
              <w:bottom w:val="single" w:sz="4" w:space="0" w:color="auto"/>
              <w:right w:val="nil"/>
            </w:tcBorders>
            <w:shd w:val="clear" w:color="auto" w:fill="auto"/>
            <w:noWrap/>
            <w:vAlign w:val="bottom"/>
            <w:hideMark/>
          </w:tcPr>
          <w:p w14:paraId="02971CF5"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-0.499</w:t>
            </w:r>
          </w:p>
        </w:tc>
        <w:tc>
          <w:tcPr>
            <w:tcW w:w="0" w:type="auto"/>
            <w:tcBorders>
              <w:top w:val="nil"/>
              <w:left w:val="nil"/>
              <w:bottom w:val="single" w:sz="4" w:space="0" w:color="auto"/>
              <w:right w:val="nil"/>
            </w:tcBorders>
            <w:shd w:val="clear" w:color="auto" w:fill="auto"/>
            <w:noWrap/>
            <w:vAlign w:val="bottom"/>
            <w:hideMark/>
          </w:tcPr>
          <w:p w14:paraId="7A3E974D"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0.03</w:t>
            </w:r>
          </w:p>
        </w:tc>
        <w:tc>
          <w:tcPr>
            <w:tcW w:w="0" w:type="auto"/>
            <w:tcBorders>
              <w:top w:val="nil"/>
              <w:left w:val="nil"/>
              <w:bottom w:val="single" w:sz="4" w:space="0" w:color="auto"/>
              <w:right w:val="nil"/>
            </w:tcBorders>
            <w:shd w:val="clear" w:color="auto" w:fill="auto"/>
            <w:noWrap/>
            <w:vAlign w:val="bottom"/>
            <w:hideMark/>
          </w:tcPr>
          <w:p w14:paraId="4E3F5CEF"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-0.03</w:t>
            </w:r>
          </w:p>
        </w:tc>
        <w:tc>
          <w:tcPr>
            <w:tcW w:w="0" w:type="auto"/>
            <w:tcBorders>
              <w:top w:val="nil"/>
              <w:left w:val="nil"/>
              <w:bottom w:val="single" w:sz="4" w:space="0" w:color="auto"/>
              <w:right w:val="nil"/>
            </w:tcBorders>
            <w:shd w:val="clear" w:color="auto" w:fill="auto"/>
            <w:noWrap/>
            <w:vAlign w:val="bottom"/>
            <w:hideMark/>
          </w:tcPr>
          <w:p w14:paraId="6FDD263F"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-0.03</w:t>
            </w:r>
          </w:p>
        </w:tc>
        <w:tc>
          <w:tcPr>
            <w:tcW w:w="0" w:type="auto"/>
            <w:tcBorders>
              <w:top w:val="nil"/>
              <w:left w:val="nil"/>
              <w:bottom w:val="single" w:sz="4" w:space="0" w:color="auto"/>
              <w:right w:val="nil"/>
            </w:tcBorders>
            <w:shd w:val="clear" w:color="auto" w:fill="auto"/>
            <w:noWrap/>
            <w:vAlign w:val="bottom"/>
            <w:hideMark/>
          </w:tcPr>
          <w:p w14:paraId="12112E88"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0.03</w:t>
            </w:r>
          </w:p>
        </w:tc>
        <w:tc>
          <w:tcPr>
            <w:tcW w:w="0" w:type="auto"/>
            <w:tcBorders>
              <w:top w:val="nil"/>
              <w:left w:val="nil"/>
              <w:bottom w:val="single" w:sz="4" w:space="0" w:color="auto"/>
              <w:right w:val="nil"/>
            </w:tcBorders>
            <w:shd w:val="clear" w:color="auto" w:fill="auto"/>
            <w:noWrap/>
            <w:vAlign w:val="bottom"/>
            <w:hideMark/>
          </w:tcPr>
          <w:p w14:paraId="3832E3C2" w14:textId="77777777" w:rsidR="00F230D7" w:rsidRPr="00F6755C" w:rsidRDefault="00F230D7" w:rsidP="00F230D7">
            <w:pPr>
              <w:spacing w:before="0" w:after="0"/>
              <w:jc w:val="right"/>
              <w:rPr>
                <w:rFonts w:eastAsia="Times New Roman" w:cs="Calibri"/>
                <w:color w:val="000000"/>
                <w:sz w:val="18"/>
                <w:szCs w:val="18"/>
                <w:lang w:val="sr-Latn-RS" w:eastAsia="sr-Latn-RS"/>
              </w:rPr>
            </w:pPr>
            <w:r w:rsidRPr="00F6755C">
              <w:rPr>
                <w:rFonts w:eastAsia="Times New Roman" w:cs="Calibri"/>
                <w:color w:val="000000"/>
                <w:sz w:val="18"/>
                <w:szCs w:val="18"/>
                <w:lang w:val="sr-Latn-RS" w:eastAsia="sr-Latn-RS"/>
              </w:rPr>
              <w:t>0.52</w:t>
            </w:r>
          </w:p>
        </w:tc>
      </w:tr>
    </w:tbl>
    <w:p w14:paraId="0560223D" w14:textId="6F12ECB3" w:rsidR="00CE3F66" w:rsidRDefault="00CE3F66" w:rsidP="006F1657">
      <w:r>
        <w:t xml:space="preserve">However, the author argues that such causality analysis needs further investigation to support such claims, and from such </w:t>
      </w:r>
      <w:r w:rsidR="00F6755C">
        <w:t xml:space="preserve">a </w:t>
      </w:r>
      <w:r>
        <w:t>small sample</w:t>
      </w:r>
      <w:r w:rsidR="001E2C30">
        <w:t>,</w:t>
      </w:r>
      <w:r>
        <w:t xml:space="preserve"> exact results could not be taken as a final statement since it only reflects</w:t>
      </w:r>
      <w:r w:rsidR="00323234">
        <w:t xml:space="preserve"> </w:t>
      </w:r>
      <w:r>
        <w:t xml:space="preserve">a </w:t>
      </w:r>
      <w:r w:rsidR="00323234">
        <w:t>tendency towards logical pres</w:t>
      </w:r>
      <w:r>
        <w:t>up</w:t>
      </w:r>
      <w:r w:rsidR="00323234">
        <w:t>position.</w:t>
      </w:r>
    </w:p>
    <w:p w14:paraId="13F698B8" w14:textId="2B660F27" w:rsidR="00911E8E" w:rsidRDefault="00323234" w:rsidP="006F1657">
      <w:r>
        <w:t>The underlying reason is that contamination in this case, i.e., wear elements, does not directly show the relationship of influence between contamination and loss of power</w:t>
      </w:r>
      <w:r w:rsidR="00CE3F66">
        <w:t>;</w:t>
      </w:r>
      <w:r>
        <w:t xml:space="preserve"> in fact</w:t>
      </w:r>
      <w:r w:rsidR="00CE3F66">
        <w:t>,</w:t>
      </w:r>
      <w:r>
        <w:t xml:space="preserve"> the relationship is show</w:t>
      </w:r>
      <w:r w:rsidR="00CE3F66">
        <w:t>n</w:t>
      </w:r>
      <w:r>
        <w:t xml:space="preserve"> through overtime loss of power through the wear of </w:t>
      </w:r>
      <w:r w:rsidR="00485EB0">
        <w:t>a</w:t>
      </w:r>
      <w:r>
        <w:t xml:space="preserve"> pump.</w:t>
      </w:r>
      <w:r w:rsidR="00CE3F66">
        <w:t xml:space="preserve"> It is also under scientific </w:t>
      </w:r>
      <w:r w:rsidR="00CE3F66">
        <w:lastRenderedPageBreak/>
        <w:t>debate the sensitivity of WDXRF spectrometry since elemental analysis readings below 10ppm are questionable with this instrument.</w:t>
      </w:r>
    </w:p>
    <w:p w14:paraId="45EB61BC" w14:textId="703265CE" w:rsidR="00CE3F66" w:rsidRPr="00CE3F66" w:rsidRDefault="00CE3F66" w:rsidP="00CE3F66">
      <w:r>
        <w:t xml:space="preserve">For gaining more insight into the behaviour of LCM data, a correlation heatmap with hierarchical clustering is depicted in </w:t>
      </w:r>
      <w:r>
        <w:fldChar w:fldCharType="begin"/>
      </w:r>
      <w:r>
        <w:instrText xml:space="preserve"> REF _Ref100751110 \h </w:instrText>
      </w:r>
      <w:r>
        <w:fldChar w:fldCharType="separate"/>
      </w:r>
      <w:r w:rsidR="00587AF0">
        <w:t xml:space="preserve">Figure </w:t>
      </w:r>
      <w:r w:rsidR="00587AF0">
        <w:rPr>
          <w:noProof/>
        </w:rPr>
        <w:t>52</w:t>
      </w:r>
      <w:r>
        <w:fldChar w:fldCharType="end"/>
      </w:r>
      <w:r>
        <w:t xml:space="preserve">. It can be seen which parts of the elemental analysis and LCM physio-chemical data form clusters, i.e., correlate between each other and with other hydraulic system indicators, especially considering the HyPower variable, suggesting low </w:t>
      </w:r>
      <w:r>
        <w:rPr>
          <w:i/>
          <w:iCs/>
        </w:rPr>
        <w:t>r</w:t>
      </w:r>
      <w:r>
        <w:t xml:space="preserve"> values with LCM data.</w:t>
      </w:r>
    </w:p>
    <w:p w14:paraId="08296181" w14:textId="77777777" w:rsidR="00F0214B" w:rsidRDefault="00F0214B" w:rsidP="00CE3F66">
      <w:pPr>
        <w:keepNext/>
        <w:jc w:val="center"/>
      </w:pPr>
      <w:r>
        <w:rPr>
          <w:noProof/>
        </w:rPr>
        <w:drawing>
          <wp:inline distT="0" distB="0" distL="0" distR="0" wp14:anchorId="1EA581B1" wp14:editId="4B58FCAE">
            <wp:extent cx="5732145" cy="5732145"/>
            <wp:effectExtent l="0" t="0" r="1905" b="1905"/>
            <wp:docPr id="47" name="Picture 4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Chart&#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32145" cy="5732145"/>
                    </a:xfrm>
                    <a:prstGeom prst="rect">
                      <a:avLst/>
                    </a:prstGeom>
                  </pic:spPr>
                </pic:pic>
              </a:graphicData>
            </a:graphic>
          </wp:inline>
        </w:drawing>
      </w:r>
    </w:p>
    <w:p w14:paraId="79A55A30" w14:textId="676740EB" w:rsidR="00CE3F66" w:rsidRPr="00CE3F66" w:rsidRDefault="00F0214B" w:rsidP="00CE3F66">
      <w:pPr>
        <w:pStyle w:val="Caption"/>
      </w:pPr>
      <w:bookmarkStart w:id="457" w:name="_Ref100751110"/>
      <w:bookmarkStart w:id="458" w:name="_Toc101274574"/>
      <w:r>
        <w:t xml:space="preserve">Figure </w:t>
      </w:r>
      <w:fldSimple w:instr=" SEQ Figure \* ARABIC ">
        <w:r w:rsidR="00587AF0">
          <w:rPr>
            <w:noProof/>
          </w:rPr>
          <w:t>52</w:t>
        </w:r>
      </w:fldSimple>
      <w:bookmarkEnd w:id="457"/>
      <w:r>
        <w:t xml:space="preserve">. Correlation matrix </w:t>
      </w:r>
      <w:r w:rsidR="00CE3F66">
        <w:t>heatmap with hierarchical clustering</w:t>
      </w:r>
      <w:bookmarkEnd w:id="458"/>
    </w:p>
    <w:bookmarkEnd w:id="453"/>
    <w:bookmarkEnd w:id="454"/>
    <w:p w14:paraId="7CC5F92A" w14:textId="77777777" w:rsidR="00F6755C" w:rsidRDefault="00F6755C">
      <w:pPr>
        <w:spacing w:before="0" w:after="160" w:line="259" w:lineRule="auto"/>
        <w:jc w:val="left"/>
        <w:rPr>
          <w:rFonts w:eastAsiaTheme="majorEastAsia" w:cstheme="majorBidi"/>
          <w:smallCaps/>
          <w:szCs w:val="24"/>
        </w:rPr>
      </w:pPr>
      <w:r>
        <w:br w:type="page"/>
      </w:r>
    </w:p>
    <w:p w14:paraId="3C8C45B9" w14:textId="222EE9A4" w:rsidR="00FD06F2" w:rsidRDefault="00FD06F2" w:rsidP="00FD06F2">
      <w:pPr>
        <w:pStyle w:val="Heading3"/>
      </w:pPr>
      <w:bookmarkStart w:id="459" w:name="_Ref100911395"/>
      <w:bookmarkStart w:id="460" w:name="_Toc101274385"/>
      <w:r>
        <w:lastRenderedPageBreak/>
        <w:t>Graphical interpretation</w:t>
      </w:r>
      <w:r w:rsidR="00C76C0D">
        <w:t xml:space="preserve"> and filtering</w:t>
      </w:r>
      <w:r>
        <w:t xml:space="preserve"> of </w:t>
      </w:r>
      <w:r w:rsidR="00A07BC7">
        <w:t xml:space="preserve">hydraulic </w:t>
      </w:r>
      <w:r w:rsidR="00C76C0D">
        <w:t>power readings</w:t>
      </w:r>
      <w:bookmarkEnd w:id="459"/>
      <w:bookmarkEnd w:id="460"/>
    </w:p>
    <w:p w14:paraId="0CD919BF" w14:textId="440F835A" w:rsidR="00A07BC7" w:rsidRDefault="004573CE" w:rsidP="00A07BC7">
      <w:pPr>
        <w:rPr>
          <w:lang w:val="sr-Latn-RS"/>
        </w:rPr>
      </w:pPr>
      <w:r>
        <w:rPr>
          <w:lang w:val="sr-Latn-RS"/>
        </w:rPr>
        <w:t>As observed by the previous correlation analysis, results show</w:t>
      </w:r>
      <w:r w:rsidR="00A07BC7">
        <w:rPr>
          <w:lang w:val="sr-Latn-RS"/>
        </w:rPr>
        <w:t xml:space="preserve"> poor</w:t>
      </w:r>
      <w:r>
        <w:rPr>
          <w:lang w:val="sr-Latn-RS"/>
        </w:rPr>
        <w:t xml:space="preserve"> intra- and inter-correlation presence of </w:t>
      </w:r>
      <w:r w:rsidR="00A07BC7">
        <w:rPr>
          <w:lang w:val="sr-Latn-RS"/>
        </w:rPr>
        <w:t>LCM data</w:t>
      </w:r>
      <w:r>
        <w:rPr>
          <w:lang w:val="sr-Latn-RS"/>
        </w:rPr>
        <w:t xml:space="preserve"> and </w:t>
      </w:r>
      <w:r w:rsidR="00A07BC7">
        <w:rPr>
          <w:lang w:val="sr-Latn-RS"/>
        </w:rPr>
        <w:t>HyPower</w:t>
      </w:r>
      <w:r>
        <w:rPr>
          <w:lang w:val="sr-Latn-RS"/>
        </w:rPr>
        <w:t xml:space="preserve">. The difference between the two is that intra-relationship of </w:t>
      </w:r>
      <w:r w:rsidR="00A07BC7">
        <w:rPr>
          <w:lang w:val="sr-Latn-RS"/>
        </w:rPr>
        <w:t>LCM</w:t>
      </w:r>
      <w:r>
        <w:rPr>
          <w:lang w:val="sr-Latn-RS"/>
        </w:rPr>
        <w:t xml:space="preserve"> results shows effects of particle contamination</w:t>
      </w:r>
      <w:r w:rsidR="00A07BC7">
        <w:rPr>
          <w:lang w:val="sr-Latn-RS"/>
        </w:rPr>
        <w:t xml:space="preserve"> increasing</w:t>
      </w:r>
      <w:r w:rsidR="004C6042">
        <w:rPr>
          <w:lang w:val="sr-Latn-RS"/>
        </w:rPr>
        <w:t xml:space="preserve"> fluid</w:t>
      </w:r>
      <w:r w:rsidR="00E559D5">
        <w:rPr>
          <w:lang w:val="sr-Latn-RS"/>
        </w:rPr>
        <w:t xml:space="preserve"> </w:t>
      </w:r>
      <w:r>
        <w:rPr>
          <w:lang w:val="sr-Latn-RS"/>
        </w:rPr>
        <w:t xml:space="preserve">density – suggesting wear and leakage of </w:t>
      </w:r>
      <w:r w:rsidR="00A07BC7">
        <w:rPr>
          <w:lang w:val="sr-Latn-RS"/>
        </w:rPr>
        <w:t xml:space="preserve">the </w:t>
      </w:r>
      <w:r>
        <w:rPr>
          <w:lang w:val="sr-Latn-RS"/>
        </w:rPr>
        <w:t>pump</w:t>
      </w:r>
      <w:r w:rsidR="00E559D5">
        <w:rPr>
          <w:lang w:val="sr-Latn-RS"/>
        </w:rPr>
        <w:t xml:space="preserve"> and consequently reduction in hydraulic power</w:t>
      </w:r>
      <w:r w:rsidR="00A07BC7">
        <w:rPr>
          <w:lang w:val="sr-Latn-RS"/>
        </w:rPr>
        <w:t xml:space="preserve"> delivery to the actuators</w:t>
      </w:r>
      <w:r w:rsidR="00E559D5">
        <w:rPr>
          <w:lang w:val="sr-Latn-RS"/>
        </w:rPr>
        <w:t>.</w:t>
      </w:r>
    </w:p>
    <w:p w14:paraId="48513C82" w14:textId="12A1FBB9" w:rsidR="00C73DF8" w:rsidRPr="00A22891" w:rsidRDefault="004C6042" w:rsidP="00A07BC7">
      <w:pPr>
        <w:rPr>
          <w:lang w:val="sr-Latn-RS"/>
        </w:rPr>
      </w:pPr>
      <w:r>
        <w:rPr>
          <w:lang w:val="sr-Latn-RS"/>
        </w:rPr>
        <w:t xml:space="preserve">Following such instance, and thus, monitoring </w:t>
      </w:r>
      <w:r w:rsidR="00A07BC7">
        <w:rPr>
          <w:lang w:val="sr-Latn-RS"/>
        </w:rPr>
        <w:t>power</w:t>
      </w:r>
      <w:r>
        <w:rPr>
          <w:lang w:val="sr-Latn-RS"/>
        </w:rPr>
        <w:t xml:space="preserve"> transfer through the system</w:t>
      </w:r>
      <w:r w:rsidR="00A07BC7">
        <w:rPr>
          <w:lang w:val="sr-Latn-RS"/>
        </w:rPr>
        <w:t>,</w:t>
      </w:r>
      <w:r>
        <w:rPr>
          <w:lang w:val="sr-Latn-RS"/>
        </w:rPr>
        <w:t xml:space="preserve"> one can de</w:t>
      </w:r>
      <w:r w:rsidR="00A07BC7">
        <w:rPr>
          <w:lang w:val="sr-Latn-RS"/>
        </w:rPr>
        <w:t>tect</w:t>
      </w:r>
      <w:r>
        <w:rPr>
          <w:lang w:val="sr-Latn-RS"/>
        </w:rPr>
        <w:t xml:space="preserve"> power loss (degradation) and use this data for diagnostic and prognostic purposes. </w:t>
      </w:r>
      <w:r w:rsidR="00ED5371">
        <w:rPr>
          <w:lang w:val="sr-Latn-RS"/>
        </w:rPr>
        <w:fldChar w:fldCharType="begin"/>
      </w:r>
      <w:r w:rsidR="00ED5371">
        <w:rPr>
          <w:lang w:val="sr-Latn-RS"/>
        </w:rPr>
        <w:instrText xml:space="preserve"> REF _Ref100751667 \h </w:instrText>
      </w:r>
      <w:r w:rsidR="00ED5371">
        <w:rPr>
          <w:lang w:val="sr-Latn-RS"/>
        </w:rPr>
      </w:r>
      <w:r w:rsidR="00ED5371">
        <w:rPr>
          <w:lang w:val="sr-Latn-RS"/>
        </w:rPr>
        <w:fldChar w:fldCharType="separate"/>
      </w:r>
      <w:r w:rsidR="00587AF0">
        <w:t xml:space="preserve">Figure </w:t>
      </w:r>
      <w:r w:rsidR="00587AF0">
        <w:rPr>
          <w:noProof/>
        </w:rPr>
        <w:t>53</w:t>
      </w:r>
      <w:r w:rsidR="00ED5371">
        <w:rPr>
          <w:lang w:val="sr-Latn-RS"/>
        </w:rPr>
        <w:fldChar w:fldCharType="end"/>
      </w:r>
      <w:r w:rsidR="00ED5371">
        <w:rPr>
          <w:lang w:val="sr-Latn-RS"/>
        </w:rPr>
        <w:t xml:space="preserve"> show</w:t>
      </w:r>
      <w:r w:rsidR="00BB417F">
        <w:rPr>
          <w:lang w:val="sr-Latn-RS"/>
        </w:rPr>
        <w:t>s</w:t>
      </w:r>
      <w:r w:rsidR="00ED5371">
        <w:rPr>
          <w:lang w:val="sr-Latn-RS"/>
        </w:rPr>
        <w:t xml:space="preserve"> that</w:t>
      </w:r>
      <w:r w:rsidR="00A07BC7">
        <w:rPr>
          <w:lang w:val="sr-Latn-RS"/>
        </w:rPr>
        <w:t xml:space="preserve"> </w:t>
      </w:r>
      <w:r w:rsidR="001E2C30">
        <w:rPr>
          <w:lang w:val="sr-Latn-RS"/>
        </w:rPr>
        <w:t>a system response and power transfer degradation</w:t>
      </w:r>
      <w:r w:rsidR="00A07BC7">
        <w:rPr>
          <w:lang w:val="sr-Latn-RS"/>
        </w:rPr>
        <w:t xml:space="preserve"> can be observed</w:t>
      </w:r>
      <w:r w:rsidR="0086227B">
        <w:rPr>
          <w:lang w:val="sr-Latn-RS"/>
        </w:rPr>
        <w:t xml:space="preserve">. From such </w:t>
      </w:r>
      <w:r w:rsidR="001E2C30">
        <w:rPr>
          <w:lang w:val="sr-Latn-RS"/>
        </w:rPr>
        <w:t xml:space="preserve">a </w:t>
      </w:r>
      <w:r w:rsidR="0086227B">
        <w:rPr>
          <w:lang w:val="sr-Latn-RS"/>
        </w:rPr>
        <w:t xml:space="preserve">standpoint, and following the main premise that energy can be used for </w:t>
      </w:r>
      <w:r w:rsidR="00ED5371">
        <w:rPr>
          <w:lang w:val="sr-Latn-RS"/>
        </w:rPr>
        <w:t>condition monitoring</w:t>
      </w:r>
      <w:r w:rsidR="0086227B">
        <w:rPr>
          <w:lang w:val="sr-Latn-RS"/>
        </w:rPr>
        <w:t>, the same will be used for ML hypothesis testing.</w:t>
      </w:r>
    </w:p>
    <w:p w14:paraId="60B59D1F" w14:textId="671D8953" w:rsidR="00FD1A6C" w:rsidRDefault="004B750A" w:rsidP="00FD1A6C">
      <w:pPr>
        <w:keepNext/>
      </w:pPr>
      <w:r>
        <w:rPr>
          <w:noProof/>
        </w:rPr>
        <w:drawing>
          <wp:inline distT="0" distB="0" distL="0" distR="0" wp14:anchorId="732A1475" wp14:editId="78D95684">
            <wp:extent cx="5732145" cy="1800000"/>
            <wp:effectExtent l="0" t="0" r="1905" b="0"/>
            <wp:docPr id="64" name="Chart 64">
              <a:extLst xmlns:a="http://schemas.openxmlformats.org/drawingml/2006/main">
                <a:ext uri="{FF2B5EF4-FFF2-40B4-BE49-F238E27FC236}">
                  <a16:creationId xmlns:a16="http://schemas.microsoft.com/office/drawing/2014/main" id="{31BEB99A-7059-433F-AF90-ED26D37192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466061F9" w14:textId="25CD832E" w:rsidR="00FD1A6C" w:rsidRDefault="00FD1A6C" w:rsidP="00FD1A6C">
      <w:pPr>
        <w:pStyle w:val="Caption"/>
        <w:rPr>
          <w:lang w:val="sr-Latn-RS"/>
        </w:rPr>
      </w:pPr>
      <w:bookmarkStart w:id="461" w:name="_Ref100751667"/>
      <w:bookmarkStart w:id="462" w:name="_Toc101274575"/>
      <w:r>
        <w:t xml:space="preserve">Figure </w:t>
      </w:r>
      <w:fldSimple w:instr=" SEQ Figure \* ARABIC ">
        <w:r w:rsidR="00587AF0">
          <w:rPr>
            <w:noProof/>
          </w:rPr>
          <w:t>53</w:t>
        </w:r>
      </w:fldSimple>
      <w:bookmarkEnd w:id="461"/>
      <w:r>
        <w:t>. Hydraulic power readings (</w:t>
      </w:r>
      <w:r w:rsidR="009A3332">
        <w:t>y-axis</w:t>
      </w:r>
      <w:r>
        <w:t>) per cycle (</w:t>
      </w:r>
      <w:r w:rsidR="009A3332">
        <w:t>x-axis</w:t>
      </w:r>
      <w:r>
        <w:t xml:space="preserve">) </w:t>
      </w:r>
      <w:r w:rsidR="002C1A5C">
        <w:t>stabilisation</w:t>
      </w:r>
      <w:bookmarkEnd w:id="462"/>
    </w:p>
    <w:p w14:paraId="4E582601" w14:textId="291F89B8" w:rsidR="004847FA" w:rsidRDefault="00477533" w:rsidP="004847FA">
      <w:pPr>
        <w:keepNext/>
      </w:pPr>
      <w:r>
        <w:rPr>
          <w:noProof/>
        </w:rPr>
        <w:drawing>
          <wp:inline distT="0" distB="0" distL="0" distR="0" wp14:anchorId="39F32B8A" wp14:editId="65D53087">
            <wp:extent cx="5732145" cy="1800000"/>
            <wp:effectExtent l="0" t="0" r="1905" b="0"/>
            <wp:docPr id="59" name="Chart 59">
              <a:extLst xmlns:a="http://schemas.openxmlformats.org/drawingml/2006/main">
                <a:ext uri="{FF2B5EF4-FFF2-40B4-BE49-F238E27FC236}">
                  <a16:creationId xmlns:a16="http://schemas.microsoft.com/office/drawing/2014/main" id="{80B1FAC0-7CAB-43D5-8137-89AA5CE23B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468886FC" w14:textId="03F09E81" w:rsidR="004847FA" w:rsidRDefault="004847FA" w:rsidP="004847FA">
      <w:pPr>
        <w:pStyle w:val="Caption"/>
      </w:pPr>
      <w:bookmarkStart w:id="463" w:name="_Toc101274576"/>
      <w:r>
        <w:t xml:space="preserve">Figure </w:t>
      </w:r>
      <w:fldSimple w:instr=" SEQ Figure \* ARABIC ">
        <w:r w:rsidR="00587AF0">
          <w:rPr>
            <w:noProof/>
          </w:rPr>
          <w:t>54</w:t>
        </w:r>
      </w:fldSimple>
      <w:r>
        <w:t>. Hydraulic power readings (</w:t>
      </w:r>
      <w:r w:rsidR="009A3332">
        <w:t>y-axis</w:t>
      </w:r>
      <w:r>
        <w:t>) per cycle (</w:t>
      </w:r>
      <w:r w:rsidR="009A3332">
        <w:t>x-axis</w:t>
      </w:r>
      <w:r>
        <w:t xml:space="preserve">) </w:t>
      </w:r>
      <w:r w:rsidR="004B750A">
        <w:t>stabilisation</w:t>
      </w:r>
      <w:bookmarkEnd w:id="463"/>
    </w:p>
    <w:p w14:paraId="23E6A476" w14:textId="5D63E829" w:rsidR="00D30D01" w:rsidRDefault="00DF3855" w:rsidP="00D30D01">
      <w:pPr>
        <w:keepNext/>
      </w:pPr>
      <w:r>
        <w:rPr>
          <w:noProof/>
        </w:rPr>
        <w:drawing>
          <wp:inline distT="0" distB="0" distL="0" distR="0" wp14:anchorId="5CCE63E1" wp14:editId="3BC3DF2C">
            <wp:extent cx="5732145" cy="1800000"/>
            <wp:effectExtent l="0" t="0" r="1905" b="0"/>
            <wp:docPr id="63" name="Chart 63">
              <a:extLst xmlns:a="http://schemas.openxmlformats.org/drawingml/2006/main">
                <a:ext uri="{FF2B5EF4-FFF2-40B4-BE49-F238E27FC236}">
                  <a16:creationId xmlns:a16="http://schemas.microsoft.com/office/drawing/2014/main" id="{78083CEF-6CA7-4653-A2EB-00C232269A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674985DD" w14:textId="2FB224FA" w:rsidR="0037089F" w:rsidRDefault="00D30D01" w:rsidP="00D30D01">
      <w:pPr>
        <w:pStyle w:val="Caption"/>
      </w:pPr>
      <w:bookmarkStart w:id="464" w:name="_Toc101274577"/>
      <w:r>
        <w:t xml:space="preserve">Figure </w:t>
      </w:r>
      <w:fldSimple w:instr=" SEQ Figure \* ARABIC ">
        <w:r w:rsidR="00587AF0">
          <w:rPr>
            <w:noProof/>
          </w:rPr>
          <w:t>55</w:t>
        </w:r>
      </w:fldSimple>
      <w:r>
        <w:t>. Hydraulic power readings (</w:t>
      </w:r>
      <w:r w:rsidR="009A3332">
        <w:t>y-axis</w:t>
      </w:r>
      <w:r>
        <w:t>) per cycle (</w:t>
      </w:r>
      <w:r w:rsidR="009A3332">
        <w:t>x-axis</w:t>
      </w:r>
      <w:r>
        <w:t xml:space="preserve">) </w:t>
      </w:r>
      <w:r w:rsidR="004B750A">
        <w:t>anomaly</w:t>
      </w:r>
      <w:bookmarkEnd w:id="464"/>
    </w:p>
    <w:p w14:paraId="3D47FA8E" w14:textId="6B0CBBB6" w:rsidR="002C1A5C" w:rsidRDefault="00635118" w:rsidP="002C1A5C">
      <w:pPr>
        <w:keepNext/>
      </w:pPr>
      <w:r>
        <w:rPr>
          <w:noProof/>
        </w:rPr>
        <w:lastRenderedPageBreak/>
        <w:drawing>
          <wp:inline distT="0" distB="0" distL="0" distR="0" wp14:anchorId="628A2908" wp14:editId="7EA00EB6">
            <wp:extent cx="5732145" cy="1800000"/>
            <wp:effectExtent l="0" t="0" r="1905" b="0"/>
            <wp:docPr id="68" name="Chart 68">
              <a:extLst xmlns:a="http://schemas.openxmlformats.org/drawingml/2006/main">
                <a:ext uri="{FF2B5EF4-FFF2-40B4-BE49-F238E27FC236}">
                  <a16:creationId xmlns:a16="http://schemas.microsoft.com/office/drawing/2014/main" id="{408048EC-1CC8-4123-A281-D57E0CCE89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4E9F1142" w14:textId="13B46914" w:rsidR="00D30D01" w:rsidRDefault="002C1A5C" w:rsidP="002C1A5C">
      <w:pPr>
        <w:pStyle w:val="Caption"/>
      </w:pPr>
      <w:bookmarkStart w:id="465" w:name="_Toc101274578"/>
      <w:r>
        <w:t xml:space="preserve">Figure </w:t>
      </w:r>
      <w:fldSimple w:instr=" SEQ Figure \* ARABIC ">
        <w:r w:rsidR="00587AF0">
          <w:rPr>
            <w:noProof/>
          </w:rPr>
          <w:t>56</w:t>
        </w:r>
      </w:fldSimple>
      <w:r>
        <w:t>.</w:t>
      </w:r>
      <w:r w:rsidRPr="002C1A5C">
        <w:t xml:space="preserve"> </w:t>
      </w:r>
      <w:r>
        <w:t>Hydraulic power readings (</w:t>
      </w:r>
      <w:r w:rsidR="009A3332">
        <w:t>y-axis</w:t>
      </w:r>
      <w:r>
        <w:t>) per cycle (x</w:t>
      </w:r>
      <w:r w:rsidR="009A3332">
        <w:t>-</w:t>
      </w:r>
      <w:r>
        <w:t>axis) end cycle anomaly</w:t>
      </w:r>
      <w:bookmarkEnd w:id="465"/>
    </w:p>
    <w:p w14:paraId="0FEE0873" w14:textId="352919BD" w:rsidR="00F27EF3" w:rsidRDefault="009D4346" w:rsidP="00F27EF3">
      <w:pPr>
        <w:keepNext/>
      </w:pPr>
      <w:r>
        <w:rPr>
          <w:noProof/>
        </w:rPr>
        <w:drawing>
          <wp:inline distT="0" distB="0" distL="0" distR="0" wp14:anchorId="04CD36B7" wp14:editId="491B5BEE">
            <wp:extent cx="5732145" cy="1800000"/>
            <wp:effectExtent l="0" t="0" r="1905" b="0"/>
            <wp:docPr id="84" name="Chart 84">
              <a:extLst xmlns:a="http://schemas.openxmlformats.org/drawingml/2006/main">
                <a:ext uri="{FF2B5EF4-FFF2-40B4-BE49-F238E27FC236}">
                  <a16:creationId xmlns:a16="http://schemas.microsoft.com/office/drawing/2014/main" id="{B4A25210-2ED1-479D-A314-AFD7980019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1E0FE901" w14:textId="2F5081F6" w:rsidR="00F27EF3" w:rsidRDefault="00F27EF3" w:rsidP="00F27EF3">
      <w:pPr>
        <w:pStyle w:val="Caption"/>
      </w:pPr>
      <w:bookmarkStart w:id="466" w:name="_Toc101274579"/>
      <w:r>
        <w:t xml:space="preserve">Figure </w:t>
      </w:r>
      <w:fldSimple w:instr=" SEQ Figure \* ARABIC ">
        <w:r w:rsidR="00587AF0">
          <w:rPr>
            <w:noProof/>
          </w:rPr>
          <w:t>57</w:t>
        </w:r>
      </w:fldSimple>
      <w:r>
        <w:t>. Hydraulic power readings (</w:t>
      </w:r>
      <w:r w:rsidR="009A3332">
        <w:t>y-axis</w:t>
      </w:r>
      <w:r>
        <w:t>) per cycle (</w:t>
      </w:r>
      <w:r w:rsidR="009A3332">
        <w:t>x-axis</w:t>
      </w:r>
      <w:r>
        <w:t>) deviation and time anomaly</w:t>
      </w:r>
      <w:bookmarkEnd w:id="466"/>
    </w:p>
    <w:p w14:paraId="190A9357" w14:textId="05C14BB6" w:rsidR="00B06CC0" w:rsidRDefault="00C96673" w:rsidP="00B06CC0">
      <w:pPr>
        <w:keepNext/>
      </w:pPr>
      <w:r>
        <w:rPr>
          <w:noProof/>
        </w:rPr>
        <w:drawing>
          <wp:inline distT="0" distB="0" distL="0" distR="0" wp14:anchorId="63823020" wp14:editId="6D5DE822">
            <wp:extent cx="5732145" cy="1800000"/>
            <wp:effectExtent l="0" t="0" r="1905" b="0"/>
            <wp:docPr id="92" name="Chart 92">
              <a:extLst xmlns:a="http://schemas.openxmlformats.org/drawingml/2006/main">
                <a:ext uri="{FF2B5EF4-FFF2-40B4-BE49-F238E27FC236}">
                  <a16:creationId xmlns:a16="http://schemas.microsoft.com/office/drawing/2014/main" id="{6B48DE21-EC98-4BCF-AF0F-2197F67C82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75930F9A" w14:textId="3CD43EEC" w:rsidR="001C0800" w:rsidRDefault="00B06CC0" w:rsidP="00B06CC0">
      <w:pPr>
        <w:pStyle w:val="Caption"/>
      </w:pPr>
      <w:bookmarkStart w:id="467" w:name="_Toc101274580"/>
      <w:r>
        <w:t xml:space="preserve">Figure </w:t>
      </w:r>
      <w:fldSimple w:instr=" SEQ Figure \* ARABIC ">
        <w:r w:rsidR="00587AF0">
          <w:rPr>
            <w:noProof/>
          </w:rPr>
          <w:t>58</w:t>
        </w:r>
      </w:fldSimple>
      <w:r>
        <w:t>. Hydraulic power readings (</w:t>
      </w:r>
      <w:r w:rsidR="009A3332">
        <w:t>y-axis</w:t>
      </w:r>
      <w:r>
        <w:t>) per cycle (</w:t>
      </w:r>
      <w:r w:rsidR="009A3332">
        <w:t>x-axis</w:t>
      </w:r>
      <w:r>
        <w:t>) deviation and time anomaly</w:t>
      </w:r>
      <w:bookmarkEnd w:id="467"/>
    </w:p>
    <w:p w14:paraId="3A3BC98F" w14:textId="668A9241" w:rsidR="00986172" w:rsidRDefault="00244A18" w:rsidP="00986172">
      <w:pPr>
        <w:keepNext/>
      </w:pPr>
      <w:r>
        <w:rPr>
          <w:noProof/>
        </w:rPr>
        <w:drawing>
          <wp:inline distT="0" distB="0" distL="0" distR="0" wp14:anchorId="6D19B934" wp14:editId="23ABEB62">
            <wp:extent cx="5732145" cy="1800000"/>
            <wp:effectExtent l="0" t="0" r="1905" b="0"/>
            <wp:docPr id="90" name="Chart 90">
              <a:extLst xmlns:a="http://schemas.openxmlformats.org/drawingml/2006/main">
                <a:ext uri="{FF2B5EF4-FFF2-40B4-BE49-F238E27FC236}">
                  <a16:creationId xmlns:a16="http://schemas.microsoft.com/office/drawing/2014/main" id="{DB8EDFD2-FF73-4D9B-AE4A-C630AD9E47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34B4307D" w14:textId="226CA15F" w:rsidR="00B06CC0" w:rsidRDefault="00986172" w:rsidP="00986172">
      <w:pPr>
        <w:pStyle w:val="Caption"/>
      </w:pPr>
      <w:bookmarkStart w:id="468" w:name="_Toc101274581"/>
      <w:r>
        <w:t xml:space="preserve">Figure </w:t>
      </w:r>
      <w:fldSimple w:instr=" SEQ Figure \* ARABIC ">
        <w:r w:rsidR="00587AF0">
          <w:rPr>
            <w:noProof/>
          </w:rPr>
          <w:t>59</w:t>
        </w:r>
      </w:fldSimple>
      <w:r>
        <w:t>. Hydraulic power readings (y</w:t>
      </w:r>
      <w:r w:rsidR="00123095">
        <w:t>-</w:t>
      </w:r>
      <w:r>
        <w:t>axis) per cycle (x</w:t>
      </w:r>
      <w:r w:rsidR="00123095">
        <w:t>-</w:t>
      </w:r>
      <w:r>
        <w:t>axis) deviation and time anomaly</w:t>
      </w:r>
      <w:bookmarkEnd w:id="468"/>
    </w:p>
    <w:p w14:paraId="7739190F" w14:textId="2C85F3AC" w:rsidR="00A00782" w:rsidRDefault="00F33073" w:rsidP="00977569">
      <w:r>
        <w:t>Moreover, deviation of power signal can show different variation</w:t>
      </w:r>
      <w:r w:rsidR="006370C7">
        <w:t>s</w:t>
      </w:r>
      <w:r>
        <w:t xml:space="preserve"> in system response and functionality of a system. For instance, observing </w:t>
      </w:r>
      <w:r w:rsidR="006370C7">
        <w:t xml:space="preserve">the </w:t>
      </w:r>
      <w:r>
        <w:rPr>
          <w:i/>
          <w:iCs/>
        </w:rPr>
        <w:t>x</w:t>
      </w:r>
      <w:r>
        <w:t xml:space="preserve"> and </w:t>
      </w:r>
      <w:r w:rsidR="009A3332">
        <w:rPr>
          <w:i/>
          <w:iCs/>
        </w:rPr>
        <w:t>y-axis</w:t>
      </w:r>
      <w:r>
        <w:t xml:space="preserve"> within a specific bin (sequence </w:t>
      </w:r>
      <w:r>
        <w:lastRenderedPageBreak/>
        <w:t>of signal</w:t>
      </w:r>
      <w:r w:rsidR="006370C7">
        <w:t>,</w:t>
      </w:r>
      <w:r>
        <w:t xml:space="preserve"> e.g. 1 sec) show</w:t>
      </w:r>
      <w:r w:rsidR="006370C7">
        <w:t>s</w:t>
      </w:r>
      <w:r>
        <w:t xml:space="preserve"> deviation in time (</w:t>
      </w:r>
      <w:r w:rsidR="009A3332">
        <w:t>x-axis</w:t>
      </w:r>
      <w:r>
        <w:t>) and power (</w:t>
      </w:r>
      <w:r w:rsidR="009A3332">
        <w:t>y-axis</w:t>
      </w:r>
      <w:r>
        <w:t>), hence, showing deviation in both ax</w:t>
      </w:r>
      <w:r w:rsidR="006370C7">
        <w:t>e</w:t>
      </w:r>
      <w:r>
        <w:t xml:space="preserve">s in terms of functionality (power) and productivity (time). Therefore, monitoring both time and power suggests deviation in component response and power reduction (e.g., wear, leakage) of </w:t>
      </w:r>
      <w:r w:rsidR="006370C7">
        <w:t xml:space="preserve">a </w:t>
      </w:r>
      <w:r>
        <w:t xml:space="preserve">specific component. This way, different noise in </w:t>
      </w:r>
      <w:r w:rsidR="006370C7">
        <w:t xml:space="preserve">the </w:t>
      </w:r>
      <w:r>
        <w:t xml:space="preserve">signal </w:t>
      </w:r>
      <w:r w:rsidR="006370C7">
        <w:t xml:space="preserve">is </w:t>
      </w:r>
      <w:r>
        <w:t xml:space="preserve">depicted in </w:t>
      </w:r>
      <w:r>
        <w:fldChar w:fldCharType="begin"/>
      </w:r>
      <w:r>
        <w:instrText xml:space="preserve"> REF _Ref95905921 \h </w:instrText>
      </w:r>
      <w:r>
        <w:fldChar w:fldCharType="separate"/>
      </w:r>
      <w:r w:rsidR="00587AF0">
        <w:t xml:space="preserve">Figure </w:t>
      </w:r>
      <w:r w:rsidR="00587AF0">
        <w:rPr>
          <w:noProof/>
        </w:rPr>
        <w:t>60</w:t>
      </w:r>
      <w:r>
        <w:fldChar w:fldCharType="end"/>
      </w:r>
      <w:r>
        <w:t xml:space="preserve">. </w:t>
      </w:r>
    </w:p>
    <w:p w14:paraId="0277E9BC" w14:textId="64834849" w:rsidR="00B3767F" w:rsidRDefault="00F33073" w:rsidP="00977569">
      <w:r>
        <w:t>It can be observed that, although with some amount of uncertainty and natural frequency of system behavio</w:t>
      </w:r>
      <w:r w:rsidR="006370C7">
        <w:t>u</w:t>
      </w:r>
      <w:r>
        <w:t>r, certain s</w:t>
      </w:r>
      <w:r w:rsidR="006370C7">
        <w:t>ystem states</w:t>
      </w:r>
      <w:r>
        <w:t xml:space="preserve"> can be noticed, which are later labe</w:t>
      </w:r>
      <w:r w:rsidR="006370C7">
        <w:t>l</w:t>
      </w:r>
      <w:r>
        <w:t xml:space="preserve">led for machine learning testing. From a specific signal monitored </w:t>
      </w:r>
      <w:r>
        <w:rPr>
          <w:i/>
          <w:iCs/>
        </w:rPr>
        <w:t>n = 20</w:t>
      </w:r>
      <w:r>
        <w:t xml:space="preserve"> cycles, it is observed several deviations, such as delay in valve activation signal, closing saddle time (due to sensor reaction time), stoppage (saddle sensor off), early start of the cycle (valve activation), and finally normal operation of a system.</w:t>
      </w:r>
      <w:r w:rsidR="00A00782">
        <w:t xml:space="preserve"> </w:t>
      </w:r>
      <w:r w:rsidR="005263C8">
        <w:t>As such, the proposed labelled sequences of cycles a</w:t>
      </w:r>
      <w:r w:rsidR="00AD4EC8">
        <w:t>re labelled as</w:t>
      </w:r>
      <w:r w:rsidR="005263C8">
        <w:t xml:space="preserve"> </w:t>
      </w:r>
      <w:r w:rsidR="00AD4EC8">
        <w:t>“None” (normal operation) and</w:t>
      </w:r>
      <w:r w:rsidR="005263C8">
        <w:t xml:space="preserve"> </w:t>
      </w:r>
      <w:r w:rsidR="00AD4EC8">
        <w:t>“Q</w:t>
      </w:r>
      <w:r w:rsidR="005263C8">
        <w:t>uasi-fa</w:t>
      </w:r>
      <w:r w:rsidR="00AD4EC8">
        <w:t>ult”</w:t>
      </w:r>
      <w:r w:rsidR="005263C8">
        <w:t xml:space="preserve"> (</w:t>
      </w:r>
      <w:r w:rsidR="00AD4EC8">
        <w:t>faulty operation</w:t>
      </w:r>
      <w:r w:rsidR="005263C8">
        <w:t>)</w:t>
      </w:r>
      <w:r w:rsidR="00B3767F">
        <w:t>.</w:t>
      </w:r>
    </w:p>
    <w:p w14:paraId="32D4973A" w14:textId="697BCF25" w:rsidR="00222D16" w:rsidRDefault="0099679B" w:rsidP="00222D16">
      <w:r>
        <w:rPr>
          <w:noProof/>
        </w:rPr>
        <w:drawing>
          <wp:inline distT="0" distB="0" distL="0" distR="0" wp14:anchorId="49EF18E3" wp14:editId="6F837715">
            <wp:extent cx="5738710" cy="356486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67469" cy="3582731"/>
                    </a:xfrm>
                    <a:prstGeom prst="rect">
                      <a:avLst/>
                    </a:prstGeom>
                    <a:noFill/>
                  </pic:spPr>
                </pic:pic>
              </a:graphicData>
            </a:graphic>
          </wp:inline>
        </w:drawing>
      </w:r>
    </w:p>
    <w:p w14:paraId="3E3F2820" w14:textId="38A976D9" w:rsidR="004C7735" w:rsidRDefault="004C7735" w:rsidP="004C7735">
      <w:pPr>
        <w:pStyle w:val="Caption"/>
      </w:pPr>
      <w:bookmarkStart w:id="469" w:name="_Ref95905921"/>
      <w:bookmarkStart w:id="470" w:name="_Toc101274582"/>
      <w:r>
        <w:t xml:space="preserve">Figure </w:t>
      </w:r>
      <w:fldSimple w:instr=" SEQ Figure \* ARABIC ">
        <w:r w:rsidR="00587AF0">
          <w:rPr>
            <w:noProof/>
          </w:rPr>
          <w:t>60</w:t>
        </w:r>
      </w:fldSimple>
      <w:bookmarkEnd w:id="469"/>
      <w:r>
        <w:t>. Deviation in response and hydraulic power measured (y</w:t>
      </w:r>
      <w:r w:rsidR="00123095">
        <w:t>-</w:t>
      </w:r>
      <w:r>
        <w:t>axis) in time (x</w:t>
      </w:r>
      <w:r w:rsidR="00123095">
        <w:t>-</w:t>
      </w:r>
      <w:r>
        <w:t>axis)</w:t>
      </w:r>
      <w:bookmarkEnd w:id="470"/>
    </w:p>
    <w:p w14:paraId="3343027D" w14:textId="04F8ACC9" w:rsidR="00595A88" w:rsidRDefault="00595A88" w:rsidP="00831FF6">
      <w:r>
        <w:t xml:space="preserve">Data separation is done for the part of the hydraulic power signal, which was derived from </w:t>
      </w:r>
      <w:r w:rsidR="00D3415F">
        <w:t xml:space="preserve">the </w:t>
      </w:r>
      <w:r>
        <w:t>flow and pressure monitoring procedure and data extraction. The signal is then split into three main sequences: (1) opening saddle</w:t>
      </w:r>
      <w:r w:rsidR="00A327FA">
        <w:t xml:space="preserve"> (OS)</w:t>
      </w:r>
      <w:r>
        <w:t xml:space="preserve"> position – consists of opening saddle on the rubber mixing machine that </w:t>
      </w:r>
      <w:r w:rsidR="00D3415F">
        <w:t>is</w:t>
      </w:r>
      <w:r>
        <w:t xml:space="preserve"> performed with retraction of linear (safety) cylinders and rack and pinion cylinder rotation for dumping the rubber mass; (2) idle saddle</w:t>
      </w:r>
      <w:r w:rsidR="00A327FA">
        <w:t xml:space="preserve"> (IS)</w:t>
      </w:r>
      <w:r>
        <w:t xml:space="preserve"> position – </w:t>
      </w:r>
      <w:r w:rsidR="00367BD6">
        <w:t xml:space="preserve">set for </w:t>
      </w:r>
      <w:r w:rsidR="00D3415F">
        <w:t xml:space="preserve">the </w:t>
      </w:r>
      <w:r w:rsidR="00367BD6">
        <w:t>explicit time by eliciting position sensor that is set automatically before returning into initial position; (3) closing saddle</w:t>
      </w:r>
      <w:r w:rsidR="00A327FA">
        <w:t xml:space="preserve"> (CS)</w:t>
      </w:r>
      <w:r w:rsidR="00367BD6">
        <w:t xml:space="preserve"> position – activated by position sensor triggering directional vales and forcing rack and pinion to return into initial position before linear (safety) cylinders fully extent into its initial position.</w:t>
      </w:r>
    </w:p>
    <w:p w14:paraId="321F7608" w14:textId="2E7B5AEB" w:rsidR="00831FF6" w:rsidRPr="00831FF6" w:rsidRDefault="00831FF6" w:rsidP="00831FF6">
      <w:r>
        <w:t xml:space="preserve">Data separation and discretization </w:t>
      </w:r>
      <w:r w:rsidR="00D3415F">
        <w:t>are</w:t>
      </w:r>
      <w:r w:rsidR="00595A88">
        <w:t xml:space="preserve"> important</w:t>
      </w:r>
      <w:r>
        <w:t xml:space="preserve"> </w:t>
      </w:r>
      <w:r w:rsidR="00D3415F">
        <w:t>to better insight into the system state and</w:t>
      </w:r>
      <w:r>
        <w:t xml:space="preserve"> detect potential anomalies that can be used with Association Rules (AR) for unsupervised learning to detect exact fault-induced mechanism</w:t>
      </w:r>
      <w:r w:rsidR="00D3415F">
        <w:t>s</w:t>
      </w:r>
      <w:r>
        <w:t xml:space="preserve"> and potential failure. This is usually done by different tools, of which the easiest one is to </w:t>
      </w:r>
      <w:r w:rsidR="00D3415F">
        <w:t>do a correlation with possible anomaly change simply</w:t>
      </w:r>
      <w:r>
        <w:t>. Consequently, the author aims in future to split binary classification labels into multiple classification problem</w:t>
      </w:r>
      <w:r w:rsidR="00D3415F">
        <w:t>s</w:t>
      </w:r>
      <w:r>
        <w:t xml:space="preserve"> </w:t>
      </w:r>
      <w:r w:rsidR="00595A88">
        <w:t>for</w:t>
      </w:r>
      <w:r>
        <w:t xml:space="preserve"> </w:t>
      </w:r>
      <w:r w:rsidR="00D3415F">
        <w:t xml:space="preserve">an </w:t>
      </w:r>
      <w:r>
        <w:t>unsupervised learning approach.</w:t>
      </w:r>
      <w:r w:rsidR="00595A88">
        <w:t xml:space="preserve"> Therefore, </w:t>
      </w:r>
      <w:r w:rsidR="00D3415F">
        <w:t xml:space="preserve">it </w:t>
      </w:r>
      <w:r w:rsidR="00595A88">
        <w:t>will be beyond the scope of the thesis.</w:t>
      </w:r>
    </w:p>
    <w:p w14:paraId="208462DD" w14:textId="3560533F" w:rsidR="006D035F" w:rsidRDefault="00051498" w:rsidP="00055110">
      <w:pPr>
        <w:pStyle w:val="Heading1"/>
      </w:pPr>
      <w:bookmarkStart w:id="471" w:name="_Toc101274386"/>
      <w:r>
        <w:lastRenderedPageBreak/>
        <w:t xml:space="preserve">Machine </w:t>
      </w:r>
      <w:r w:rsidR="00697E06">
        <w:t>l</w:t>
      </w:r>
      <w:r w:rsidR="0061343A">
        <w:t xml:space="preserve">earning </w:t>
      </w:r>
      <w:r w:rsidR="00A703D5">
        <w:t>data preparation</w:t>
      </w:r>
      <w:bookmarkEnd w:id="471"/>
    </w:p>
    <w:p w14:paraId="2475561E" w14:textId="378BA5BF" w:rsidR="002145CA" w:rsidRDefault="002145CA" w:rsidP="002145CA">
      <w:pPr>
        <w:rPr>
          <w:lang w:val="sr-Latn-RS"/>
        </w:rPr>
      </w:pPr>
      <w:r>
        <w:rPr>
          <w:lang w:val="sr-Latn-RS"/>
        </w:rPr>
        <w:t>Considering that data acqu</w:t>
      </w:r>
      <w:r w:rsidR="00B8083D">
        <w:rPr>
          <w:lang w:val="sr-Latn-RS"/>
        </w:rPr>
        <w:t>i</w:t>
      </w:r>
      <w:r>
        <w:rPr>
          <w:lang w:val="sr-Latn-RS"/>
        </w:rPr>
        <w:t xml:space="preserve">sition of </w:t>
      </w:r>
      <w:r w:rsidR="00B8083D">
        <w:rPr>
          <w:lang w:val="sr-Latn-RS"/>
        </w:rPr>
        <w:t xml:space="preserve">the </w:t>
      </w:r>
      <w:r>
        <w:rPr>
          <w:lang w:val="sr-Latn-RS"/>
        </w:rPr>
        <w:t>experiment is done in the previous steps by extracting relev</w:t>
      </w:r>
      <w:r w:rsidR="00B8083D">
        <w:rPr>
          <w:lang w:val="sr-Latn-RS"/>
        </w:rPr>
        <w:t>an</w:t>
      </w:r>
      <w:r>
        <w:rPr>
          <w:lang w:val="sr-Latn-RS"/>
        </w:rPr>
        <w:t xml:space="preserve">t information from </w:t>
      </w:r>
      <w:r w:rsidR="00B8083D">
        <w:rPr>
          <w:lang w:val="sr-Latn-RS"/>
        </w:rPr>
        <w:t xml:space="preserve">the </w:t>
      </w:r>
      <w:r>
        <w:rPr>
          <w:lang w:val="sr-Latn-RS"/>
        </w:rPr>
        <w:t>SCADA system, LCM (hydraulic fluid analysis) and hydraulic power (flow and pressure)</w:t>
      </w:r>
      <w:r w:rsidR="00B8083D">
        <w:rPr>
          <w:lang w:val="sr-Latn-RS"/>
        </w:rPr>
        <w:t>,</w:t>
      </w:r>
      <w:r>
        <w:rPr>
          <w:lang w:val="sr-Latn-RS"/>
        </w:rPr>
        <w:t xml:space="preserve"> the explanation is given in the previous chapters. However, although the machine learning data processing (</w:t>
      </w:r>
      <w:r>
        <w:rPr>
          <w:lang w:val="sr-Latn-RS"/>
        </w:rPr>
        <w:fldChar w:fldCharType="begin"/>
      </w:r>
      <w:r>
        <w:rPr>
          <w:lang w:val="sr-Latn-RS"/>
        </w:rPr>
        <w:instrText xml:space="preserve"> REF _Ref100909851 \h </w:instrText>
      </w:r>
      <w:r>
        <w:rPr>
          <w:lang w:val="sr-Latn-RS"/>
        </w:rPr>
      </w:r>
      <w:r>
        <w:rPr>
          <w:lang w:val="sr-Latn-RS"/>
        </w:rPr>
        <w:fldChar w:fldCharType="separate"/>
      </w:r>
      <w:r w:rsidR="00587AF0">
        <w:t xml:space="preserve">Figure </w:t>
      </w:r>
      <w:r w:rsidR="00587AF0">
        <w:rPr>
          <w:noProof/>
        </w:rPr>
        <w:t>61</w:t>
      </w:r>
      <w:r>
        <w:rPr>
          <w:lang w:val="sr-Latn-RS"/>
        </w:rPr>
        <w:fldChar w:fldCharType="end"/>
      </w:r>
      <w:r>
        <w:rPr>
          <w:lang w:val="sr-Latn-RS"/>
        </w:rPr>
        <w:t>) includes the first step of raw data collection, this reader may be ref</w:t>
      </w:r>
      <w:r w:rsidR="00B8083D">
        <w:rPr>
          <w:lang w:val="sr-Latn-RS"/>
        </w:rPr>
        <w:t>er</w:t>
      </w:r>
      <w:r>
        <w:rPr>
          <w:lang w:val="sr-Latn-RS"/>
        </w:rPr>
        <w:t>red to some of the previous raw data acqu</w:t>
      </w:r>
      <w:r w:rsidR="00B8083D">
        <w:rPr>
          <w:lang w:val="sr-Latn-RS"/>
        </w:rPr>
        <w:t>i</w:t>
      </w:r>
      <w:r>
        <w:rPr>
          <w:lang w:val="sr-Latn-RS"/>
        </w:rPr>
        <w:t xml:space="preserve">sition steps and analysis. The collection of SCADA operational data (see </w:t>
      </w:r>
      <w:r>
        <w:rPr>
          <w:lang w:val="sr-Latn-RS"/>
        </w:rPr>
        <w:fldChar w:fldCharType="begin"/>
      </w:r>
      <w:r>
        <w:rPr>
          <w:lang w:val="sr-Latn-RS"/>
        </w:rPr>
        <w:instrText xml:space="preserve"> REF _Ref100910047 \r \h </w:instrText>
      </w:r>
      <w:r>
        <w:rPr>
          <w:lang w:val="sr-Latn-RS"/>
        </w:rPr>
      </w:r>
      <w:r>
        <w:rPr>
          <w:lang w:val="sr-Latn-RS"/>
        </w:rPr>
        <w:fldChar w:fldCharType="separate"/>
      </w:r>
      <w:r w:rsidR="00587AF0">
        <w:rPr>
          <w:lang w:val="sr-Latn-RS"/>
        </w:rPr>
        <w:t>6.3.3</w:t>
      </w:r>
      <w:r>
        <w:rPr>
          <w:lang w:val="sr-Latn-RS"/>
        </w:rPr>
        <w:fldChar w:fldCharType="end"/>
      </w:r>
      <w:r>
        <w:rPr>
          <w:lang w:val="sr-Latn-RS"/>
        </w:rPr>
        <w:t>) is important as controlled variables in terms of system behavio</w:t>
      </w:r>
      <w:r w:rsidR="00B8083D">
        <w:rPr>
          <w:lang w:val="sr-Latn-RS"/>
        </w:rPr>
        <w:t>u</w:t>
      </w:r>
      <w:r>
        <w:rPr>
          <w:lang w:val="sr-Latn-RS"/>
        </w:rPr>
        <w:t>r, anomalies, influences and data (also experiment) replication.</w:t>
      </w:r>
    </w:p>
    <w:p w14:paraId="1B7EFCE2" w14:textId="711C3582" w:rsidR="00BC2CD6" w:rsidRDefault="00BC2CD6" w:rsidP="002145CA">
      <w:pPr>
        <w:rPr>
          <w:lang w:val="sr-Latn-RS"/>
        </w:rPr>
      </w:pPr>
      <w:r>
        <w:rPr>
          <w:lang w:val="sr-Latn-RS"/>
        </w:rPr>
        <w:t xml:space="preserve">The LCM online and offline monitoring data (see </w:t>
      </w:r>
      <w:r>
        <w:rPr>
          <w:lang w:val="sr-Latn-RS"/>
        </w:rPr>
        <w:fldChar w:fldCharType="begin"/>
      </w:r>
      <w:r>
        <w:rPr>
          <w:lang w:val="sr-Latn-RS"/>
        </w:rPr>
        <w:instrText xml:space="preserve"> REF _Ref100910132 \r \h </w:instrText>
      </w:r>
      <w:r>
        <w:rPr>
          <w:lang w:val="sr-Latn-RS"/>
        </w:rPr>
      </w:r>
      <w:r>
        <w:rPr>
          <w:lang w:val="sr-Latn-RS"/>
        </w:rPr>
        <w:fldChar w:fldCharType="separate"/>
      </w:r>
      <w:r w:rsidR="00587AF0">
        <w:rPr>
          <w:lang w:val="sr-Latn-RS"/>
        </w:rPr>
        <w:t>6.2.1</w:t>
      </w:r>
      <w:r>
        <w:rPr>
          <w:lang w:val="sr-Latn-RS"/>
        </w:rPr>
        <w:fldChar w:fldCharType="end"/>
      </w:r>
      <w:r>
        <w:rPr>
          <w:lang w:val="sr-Latn-RS"/>
        </w:rPr>
        <w:t xml:space="preserve">) is important since the author of the thesis is arguing the lack of quantitative estimation of data extracted from the system, either online or offline. For instance, it was unable to determine </w:t>
      </w:r>
      <w:r w:rsidR="00B8083D">
        <w:rPr>
          <w:lang w:val="sr-Latn-RS"/>
        </w:rPr>
        <w:t xml:space="preserve">the </w:t>
      </w:r>
      <w:r>
        <w:rPr>
          <w:lang w:val="sr-Latn-RS"/>
        </w:rPr>
        <w:t xml:space="preserve">potential wear of </w:t>
      </w:r>
      <w:r w:rsidR="00B8083D">
        <w:rPr>
          <w:lang w:val="sr-Latn-RS"/>
        </w:rPr>
        <w:t xml:space="preserve">the </w:t>
      </w:r>
      <w:r>
        <w:rPr>
          <w:lang w:val="sr-Latn-RS"/>
        </w:rPr>
        <w:t xml:space="preserve">pump or elements just based on WDXRF since the instrument has debatable results of measurements below 10 ppm. In addition, measurements of particle counts by APC also cause suspicions regarding the </w:t>
      </w:r>
      <w:r w:rsidR="00B8083D">
        <w:rPr>
          <w:lang w:val="sr-Latn-RS"/>
        </w:rPr>
        <w:t>number</w:t>
      </w:r>
      <w:r>
        <w:rPr>
          <w:lang w:val="sr-Latn-RS"/>
        </w:rPr>
        <w:t xml:space="preserve"> of solid particles present in the fluid, such as internal (e.g., wear) or ingressed (e.g., dust) particles, since the APC also causes bias in measurements by mistaking particles with water and air bubbles present in </w:t>
      </w:r>
      <w:r w:rsidR="00B8083D">
        <w:rPr>
          <w:lang w:val="sr-Latn-RS"/>
        </w:rPr>
        <w:t xml:space="preserve">the </w:t>
      </w:r>
      <w:r>
        <w:rPr>
          <w:lang w:val="sr-Latn-RS"/>
        </w:rPr>
        <w:t xml:space="preserve">fluid. </w:t>
      </w:r>
      <w:r w:rsidR="00B8083D">
        <w:rPr>
          <w:lang w:val="sr-Latn-RS"/>
        </w:rPr>
        <w:t>Both WDXRF and APC, alongside with aqua sensor (saturation), did not suggest an</w:t>
      </w:r>
      <w:r>
        <w:rPr>
          <w:lang w:val="sr-Latn-RS"/>
        </w:rPr>
        <w:t xml:space="preserve"> increase </w:t>
      </w:r>
      <w:r w:rsidR="00B8083D">
        <w:rPr>
          <w:lang w:val="sr-Latn-RS"/>
        </w:rPr>
        <w:t>in</w:t>
      </w:r>
      <w:r>
        <w:rPr>
          <w:lang w:val="sr-Latn-RS"/>
        </w:rPr>
        <w:t xml:space="preserve"> water and particles due to wear in the system.</w:t>
      </w:r>
    </w:p>
    <w:p w14:paraId="0EA1799E" w14:textId="77777777" w:rsidR="003C6087" w:rsidRDefault="003C6087" w:rsidP="003C6087">
      <w:pPr>
        <w:jc w:val="center"/>
        <w:rPr>
          <w:lang w:val="en-GB"/>
        </w:rPr>
      </w:pPr>
      <w:r>
        <w:rPr>
          <w:noProof/>
          <w:lang w:val="en-GB"/>
        </w:rPr>
        <w:drawing>
          <wp:inline distT="0" distB="0" distL="0" distR="0" wp14:anchorId="5A23A8A1" wp14:editId="217C543F">
            <wp:extent cx="5712206" cy="5256000"/>
            <wp:effectExtent l="0" t="0" r="3175" b="1905"/>
            <wp:docPr id="48" name="Picture 4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12206" cy="5256000"/>
                    </a:xfrm>
                    <a:prstGeom prst="rect">
                      <a:avLst/>
                    </a:prstGeom>
                    <a:noFill/>
                  </pic:spPr>
                </pic:pic>
              </a:graphicData>
            </a:graphic>
          </wp:inline>
        </w:drawing>
      </w:r>
    </w:p>
    <w:p w14:paraId="63C365C2" w14:textId="523EBB01" w:rsidR="003C6087" w:rsidRDefault="003C6087" w:rsidP="003C6087">
      <w:pPr>
        <w:pStyle w:val="Caption"/>
      </w:pPr>
      <w:bookmarkStart w:id="472" w:name="_Ref100909851"/>
      <w:bookmarkStart w:id="473" w:name="_Toc101274583"/>
      <w:r>
        <w:t xml:space="preserve">Figure </w:t>
      </w:r>
      <w:fldSimple w:instr=" SEQ Figure \* ARABIC ">
        <w:r w:rsidR="00587AF0">
          <w:rPr>
            <w:noProof/>
          </w:rPr>
          <w:t>61</w:t>
        </w:r>
      </w:fldSimple>
      <w:bookmarkEnd w:id="472"/>
      <w:r>
        <w:t>. Flowchart of data processing and ML modelling</w:t>
      </w:r>
      <w:bookmarkEnd w:id="473"/>
    </w:p>
    <w:p w14:paraId="44CA6168" w14:textId="70C10FC3" w:rsidR="002145CA" w:rsidRDefault="002145CA" w:rsidP="002145CA">
      <w:pPr>
        <w:rPr>
          <w:lang w:val="sr-Latn-RS"/>
        </w:rPr>
      </w:pPr>
      <w:r>
        <w:rPr>
          <w:lang w:val="sr-Latn-RS"/>
        </w:rPr>
        <w:lastRenderedPageBreak/>
        <w:t>Initially, it was hard to establish the presence of contaminant-induced wear</w:t>
      </w:r>
      <w:r w:rsidR="00B8083D">
        <w:rPr>
          <w:lang w:val="sr-Latn-RS"/>
        </w:rPr>
        <w:t>,</w:t>
      </w:r>
      <w:r>
        <w:rPr>
          <w:lang w:val="sr-Latn-RS"/>
        </w:rPr>
        <w:t xml:space="preserve"> and chemical degradation of oil since </w:t>
      </w:r>
      <w:r w:rsidR="00B8083D">
        <w:rPr>
          <w:lang w:val="sr-Latn-RS"/>
        </w:rPr>
        <w:t>laboratory analysis (see 7.1) did not indicate</w:t>
      </w:r>
      <w:r>
        <w:rPr>
          <w:lang w:val="sr-Latn-RS"/>
        </w:rPr>
        <w:t xml:space="preserve"> the two possible outcomes.</w:t>
      </w:r>
      <w:r w:rsidR="00BC2CD6">
        <w:rPr>
          <w:lang w:val="sr-Latn-RS"/>
        </w:rPr>
        <w:t xml:space="preserve"> </w:t>
      </w:r>
      <w:r>
        <w:rPr>
          <w:lang w:val="sr-Latn-RS"/>
        </w:rPr>
        <w:t>Therefore, by using flow and pressure, the inference is that the deviation in the signal can be used to estimate or detect potential anomalies since timely replacement of filters, oil</w:t>
      </w:r>
      <w:r w:rsidR="00B8083D">
        <w:rPr>
          <w:lang w:val="sr-Latn-RS"/>
        </w:rPr>
        <w:t xml:space="preserve"> </w:t>
      </w:r>
      <w:r>
        <w:rPr>
          <w:lang w:val="sr-Latn-RS"/>
        </w:rPr>
        <w:t>refillings and oil</w:t>
      </w:r>
      <w:r w:rsidR="00B8083D">
        <w:rPr>
          <w:lang w:val="sr-Latn-RS"/>
        </w:rPr>
        <w:t xml:space="preserve"> </w:t>
      </w:r>
      <w:r>
        <w:rPr>
          <w:lang w:val="sr-Latn-RS"/>
        </w:rPr>
        <w:t xml:space="preserve">replacement caused bias in determining the system health. Therefore, the author hypothesised that better estimation </w:t>
      </w:r>
      <w:r w:rsidR="00B8083D">
        <w:rPr>
          <w:lang w:val="sr-Latn-RS"/>
        </w:rPr>
        <w:t>of</w:t>
      </w:r>
      <w:r>
        <w:rPr>
          <w:lang w:val="sr-Latn-RS"/>
        </w:rPr>
        <w:t xml:space="preserve"> the system health, in terms of operational stability, i.e., functional-productiveness</w:t>
      </w:r>
      <w:r w:rsidR="00B8083D">
        <w:rPr>
          <w:lang w:val="sr-Latn-RS"/>
        </w:rPr>
        <w:t>,</w:t>
      </w:r>
      <w:r>
        <w:rPr>
          <w:lang w:val="sr-Latn-RS"/>
        </w:rPr>
        <w:t xml:space="preserve"> can be established by proposing markers estimated based on the hydraulic power delivery from the pump to the actuators, which are derived from pressure and flow monitoring. Therefore, the first step is to use </w:t>
      </w:r>
      <w:r>
        <w:rPr>
          <w:i/>
          <w:iCs/>
          <w:lang w:val="sr-Latn-RS"/>
        </w:rPr>
        <w:t>data discretisation</w:t>
      </w:r>
      <w:r>
        <w:rPr>
          <w:lang w:val="sr-Latn-RS"/>
        </w:rPr>
        <w:t xml:space="preserve"> of the HyPower signal (see </w:t>
      </w:r>
      <w:r>
        <w:rPr>
          <w:lang w:val="sr-Latn-RS"/>
        </w:rPr>
        <w:fldChar w:fldCharType="begin"/>
      </w:r>
      <w:r>
        <w:rPr>
          <w:lang w:val="sr-Latn-RS"/>
        </w:rPr>
        <w:instrText xml:space="preserve"> REF _Ref100911395 \r \h </w:instrText>
      </w:r>
      <w:r>
        <w:rPr>
          <w:lang w:val="sr-Latn-RS"/>
        </w:rPr>
      </w:r>
      <w:r>
        <w:rPr>
          <w:lang w:val="sr-Latn-RS"/>
        </w:rPr>
        <w:fldChar w:fldCharType="separate"/>
      </w:r>
      <w:r w:rsidR="00587AF0">
        <w:rPr>
          <w:lang w:val="sr-Latn-RS"/>
        </w:rPr>
        <w:t>7.2.4</w:t>
      </w:r>
      <w:r>
        <w:rPr>
          <w:lang w:val="sr-Latn-RS"/>
        </w:rPr>
        <w:fldChar w:fldCharType="end"/>
      </w:r>
      <w:r>
        <w:rPr>
          <w:lang w:val="sr-Latn-RS"/>
        </w:rPr>
        <w:t>).</w:t>
      </w:r>
    </w:p>
    <w:p w14:paraId="6640C518" w14:textId="60CCE8E1" w:rsidR="003C1267" w:rsidRDefault="00E36B7C" w:rsidP="002C248D">
      <w:pPr>
        <w:pStyle w:val="Heading2"/>
        <w:rPr>
          <w:lang w:val="en-GB"/>
        </w:rPr>
      </w:pPr>
      <w:bookmarkStart w:id="474" w:name="_Toc101274387"/>
      <w:r>
        <w:rPr>
          <w:lang w:val="en-GB"/>
        </w:rPr>
        <w:t xml:space="preserve">Data </w:t>
      </w:r>
      <w:r w:rsidR="00FC0902">
        <w:rPr>
          <w:lang w:val="en-GB"/>
        </w:rPr>
        <w:t>(pre)</w:t>
      </w:r>
      <w:r>
        <w:rPr>
          <w:lang w:val="en-GB"/>
        </w:rPr>
        <w:t>processing</w:t>
      </w:r>
      <w:r w:rsidR="002145CA">
        <w:rPr>
          <w:lang w:val="en-GB"/>
        </w:rPr>
        <w:t xml:space="preserve"> – discretisation and filtering</w:t>
      </w:r>
      <w:bookmarkEnd w:id="474"/>
    </w:p>
    <w:p w14:paraId="0E54B1EC" w14:textId="4939C955" w:rsidR="00C40472" w:rsidRDefault="00C40472" w:rsidP="00B73393">
      <w:pPr>
        <w:rPr>
          <w:lang w:val="sr-Latn-RS"/>
        </w:rPr>
      </w:pPr>
      <w:r w:rsidRPr="002145CA">
        <w:rPr>
          <w:lang w:val="sr-Latn-RS"/>
        </w:rPr>
        <w:t>Data discretization</w:t>
      </w:r>
      <w:r>
        <w:rPr>
          <w:lang w:val="sr-Latn-RS"/>
        </w:rPr>
        <w:t xml:space="preserve"> considers transforming a huge number of data (power signal reading) into smaller amount</w:t>
      </w:r>
      <w:r w:rsidR="00A5791D">
        <w:rPr>
          <w:lang w:val="sr-Latn-RS"/>
        </w:rPr>
        <w:t>s</w:t>
      </w:r>
      <w:r>
        <w:rPr>
          <w:lang w:val="sr-Latn-RS"/>
        </w:rPr>
        <w:t xml:space="preserve"> for easier evaluation and management</w:t>
      </w:r>
      <w:r w:rsidR="00A5791D">
        <w:rPr>
          <w:lang w:val="sr-Latn-RS"/>
        </w:rPr>
        <w:t xml:space="preserve"> of data</w:t>
      </w:r>
      <w:r>
        <w:rPr>
          <w:lang w:val="sr-Latn-RS"/>
        </w:rPr>
        <w:t xml:space="preserve">. In other words, </w:t>
      </w:r>
      <w:r w:rsidR="00A5791D">
        <w:rPr>
          <w:lang w:val="sr-Latn-RS"/>
        </w:rPr>
        <w:t xml:space="preserve">it </w:t>
      </w:r>
      <w:r>
        <w:rPr>
          <w:lang w:val="sr-Latn-RS"/>
        </w:rPr>
        <w:t xml:space="preserve">considers </w:t>
      </w:r>
      <w:r w:rsidR="001D154A">
        <w:rPr>
          <w:lang w:val="sr-Latn-RS"/>
        </w:rPr>
        <w:t xml:space="preserve">the </w:t>
      </w:r>
      <w:r>
        <w:rPr>
          <w:lang w:val="sr-Latn-RS"/>
        </w:rPr>
        <w:t xml:space="preserve">transformation of continuous values into finite set values with minimum data loss, i.e., preserving the original values as much as possible. For </w:t>
      </w:r>
      <w:r w:rsidR="001D154A">
        <w:rPr>
          <w:lang w:val="sr-Latn-RS"/>
        </w:rPr>
        <w:t>the supervised learning approach, histograms are usually used to determine the frequency of continuous data</w:t>
      </w:r>
      <w:r>
        <w:rPr>
          <w:lang w:val="sr-Latn-RS"/>
        </w:rPr>
        <w:t xml:space="preserve"> by simply plots. This way</w:t>
      </w:r>
      <w:r w:rsidR="001D154A">
        <w:rPr>
          <w:lang w:val="sr-Latn-RS"/>
        </w:rPr>
        <w:t>,</w:t>
      </w:r>
      <w:r>
        <w:rPr>
          <w:lang w:val="sr-Latn-RS"/>
        </w:rPr>
        <w:t xml:space="preserve"> one can inspect </w:t>
      </w:r>
      <w:r w:rsidR="001D154A">
        <w:rPr>
          <w:lang w:val="sr-Latn-RS"/>
        </w:rPr>
        <w:t xml:space="preserve">the </w:t>
      </w:r>
      <w:r>
        <w:rPr>
          <w:lang w:val="sr-Latn-RS"/>
        </w:rPr>
        <w:t>distribution of data, skewness, kurtosis, possible outliers, and other important factors.</w:t>
      </w:r>
      <w:r w:rsidR="003919FB">
        <w:rPr>
          <w:lang w:val="sr-Latn-RS"/>
        </w:rPr>
        <w:t xml:space="preserve"> Since data of a specific signal consists of a specific set of time for performing a hydraulic cycle, the data is split into opening</w:t>
      </w:r>
      <w:r w:rsidR="00A327FA">
        <w:rPr>
          <w:lang w:val="sr-Latn-RS"/>
        </w:rPr>
        <w:t>-, idle-</w:t>
      </w:r>
      <w:r w:rsidR="003919FB">
        <w:rPr>
          <w:lang w:val="sr-Latn-RS"/>
        </w:rPr>
        <w:t xml:space="preserve"> and closing</w:t>
      </w:r>
      <w:r w:rsidR="00A327FA">
        <w:rPr>
          <w:lang w:val="sr-Latn-RS"/>
        </w:rPr>
        <w:t>-</w:t>
      </w:r>
      <w:r w:rsidR="003919FB">
        <w:rPr>
          <w:lang w:val="sr-Latn-RS"/>
        </w:rPr>
        <w:t>saddle position</w:t>
      </w:r>
      <w:r w:rsidR="001D154A">
        <w:rPr>
          <w:lang w:val="sr-Latn-RS"/>
        </w:rPr>
        <w:t>s</w:t>
      </w:r>
      <w:r w:rsidR="003919FB">
        <w:rPr>
          <w:lang w:val="sr-Latn-RS"/>
        </w:rPr>
        <w:t>. All three possible states are then used to propose different significant and non-significant functional-productiveness markers based on the labelled states.</w:t>
      </w:r>
      <w:r w:rsidR="00D444E3">
        <w:rPr>
          <w:lang w:val="sr-Latn-RS"/>
        </w:rPr>
        <w:t xml:space="preserve"> The following formulas are used to establish markers for detecting signal anomalies:</w:t>
      </w:r>
    </w:p>
    <w:p w14:paraId="3B0CB7FC" w14:textId="6B4D3D9A" w:rsidR="00D444E3" w:rsidRPr="00C40472" w:rsidRDefault="00D349C6" w:rsidP="00B73393">
      <w:pPr>
        <w:rPr>
          <w:lang w:val="sr-Latn-RS"/>
        </w:rPr>
      </w:pPr>
      <w:r>
        <w:rPr>
          <w:b/>
          <w:bCs/>
          <w:lang w:val="sr-Latn-RS"/>
        </w:rPr>
        <w:t xml:space="preserve">Mean </w:t>
      </w:r>
      <w:r w:rsidRPr="00D349C6">
        <w:rPr>
          <w:lang w:val="sr-Latn-RS"/>
        </w:rPr>
        <w:t>(</w:t>
      </w:r>
      <w:r w:rsidR="00D444E3" w:rsidRPr="00D349C6">
        <w:rPr>
          <w:b/>
          <w:bCs/>
          <w:lang w:val="sr-Latn-RS"/>
        </w:rPr>
        <w:t>Average</w:t>
      </w:r>
      <w:r w:rsidRPr="00D349C6">
        <w:rPr>
          <w:lang w:val="sr-Latn-RS"/>
        </w:rPr>
        <w:t>)</w:t>
      </w:r>
      <w:r>
        <w:rPr>
          <w:lang w:val="sr-Latn-RS"/>
        </w:rPr>
        <w:t xml:space="preserve"> of </w:t>
      </w:r>
      <w:r w:rsidRPr="00C57AD9">
        <w:rPr>
          <w:i/>
          <w:iCs/>
          <w:lang w:val="sr-Latn-RS"/>
        </w:rPr>
        <w:t>n</w:t>
      </w:r>
      <w:r>
        <w:rPr>
          <w:lang w:val="sr-Latn-RS"/>
        </w:rPr>
        <w:t xml:space="preserve"> readings</w:t>
      </w:r>
      <w:r w:rsidR="00D444E3">
        <w:rPr>
          <w:lang w:val="sr-Latn-RS"/>
        </w:rPr>
        <w:t xml:space="preserve"> of a signal</w:t>
      </w:r>
      <w:r>
        <w:rPr>
          <w:lang w:val="sr-Latn-RS"/>
        </w:rPr>
        <w:t xml:space="preserve"> </w:t>
      </w:r>
      <w:r w:rsidRPr="00C57AD9">
        <w:rPr>
          <w:i/>
          <w:iCs/>
          <w:lang w:val="sr-Latn-RS"/>
        </w:rPr>
        <w:t>N</w:t>
      </w:r>
      <w:r w:rsidRPr="00C57AD9">
        <w:rPr>
          <w:lang w:val="sr-Latn-RS"/>
        </w:rPr>
        <w:t xml:space="preserve"> </w:t>
      </w:r>
      <w:r>
        <w:rPr>
          <w:lang w:val="sr-Latn-RS"/>
        </w:rPr>
        <w:t>for specific saddle position and specific cycle:</w:t>
      </w:r>
    </w:p>
    <w:tbl>
      <w:tblPr>
        <w:tblpPr w:leftFromText="180" w:rightFromText="180" w:vertAnchor="text" w:horzAnchor="margin" w:tblpY="167"/>
        <w:tblW w:w="0" w:type="auto"/>
        <w:tblLook w:val="04A0" w:firstRow="1" w:lastRow="0" w:firstColumn="1" w:lastColumn="0" w:noHBand="0" w:noVBand="1"/>
      </w:tblPr>
      <w:tblGrid>
        <w:gridCol w:w="8140"/>
        <w:gridCol w:w="877"/>
      </w:tblGrid>
      <w:tr w:rsidR="00A01064" w14:paraId="3C335E84" w14:textId="77777777" w:rsidTr="00231124">
        <w:tc>
          <w:tcPr>
            <w:tcW w:w="8140" w:type="dxa"/>
            <w:vAlign w:val="center"/>
          </w:tcPr>
          <w:p w14:paraId="4259268C" w14:textId="213C701D" w:rsidR="00A01064" w:rsidRPr="00841925" w:rsidRDefault="00D444E3" w:rsidP="00B73393">
            <w:pPr>
              <w:jc w:val="center"/>
              <w:rPr>
                <w:lang w:val="en-GB"/>
              </w:rPr>
            </w:pPr>
            <m:oMath>
              <m:r>
                <w:rPr>
                  <w:rFonts w:ascii="Cambria Math" w:hAnsi="Cambria Math"/>
                  <w:lang w:val="en-GB"/>
                </w:rPr>
                <m:t>N</m:t>
              </m:r>
              <m:r>
                <m:rPr>
                  <m:sty m:val="p"/>
                </m:rPr>
                <w:rPr>
                  <w:rFonts w:ascii="Cambria Math" w:hAnsi="Cambria Math"/>
                  <w:lang w:val="en-GB"/>
                </w:rPr>
                <m:t>_</m:t>
              </m:r>
              <m:r>
                <w:rPr>
                  <w:rFonts w:ascii="Cambria Math" w:hAnsi="Cambria Math"/>
                  <w:lang w:val="en-GB"/>
                </w:rPr>
                <m:t>MEAN</m:t>
              </m:r>
              <m:r>
                <m:rPr>
                  <m:sty m:val="p"/>
                </m:rPr>
                <w:rPr>
                  <w:rFonts w:ascii="Cambria Math" w:hAnsi="Cambria Math"/>
                  <w:lang w:val="en-GB"/>
                </w:rPr>
                <m:t>_</m:t>
              </m:r>
              <m:r>
                <w:rPr>
                  <w:rFonts w:ascii="Cambria Math" w:hAnsi="Cambria Math"/>
                  <w:color w:val="FF0000"/>
                  <w:lang w:val="en-GB"/>
                </w:rPr>
                <m:t>X</m:t>
              </m:r>
              <m:r>
                <w:rPr>
                  <w:rFonts w:ascii="Cambria Math" w:hAnsi="Cambria Math"/>
                  <w:lang w:val="en-GB"/>
                </w:rPr>
                <m:t>S</m:t>
              </m:r>
              <m:r>
                <m:rPr>
                  <m:sty m:val="p"/>
                </m:rPr>
                <w:rPr>
                  <w:rFonts w:ascii="Cambria Math" w:hAnsi="Cambria Math"/>
                  <w:lang w:val="en-GB"/>
                </w:rPr>
                <m:t xml:space="preserve"> = </m:t>
              </m:r>
              <m:f>
                <m:fPr>
                  <m:ctrlPr>
                    <w:rPr>
                      <w:rFonts w:ascii="Cambria Math" w:hAnsi="Cambria Math"/>
                      <w:lang w:val="en-GB"/>
                    </w:rPr>
                  </m:ctrlPr>
                </m:fPr>
                <m:num>
                  <m:r>
                    <m:rPr>
                      <m:sty m:val="p"/>
                    </m:rPr>
                    <w:rPr>
                      <w:rFonts w:ascii="Cambria Math" w:hAnsi="Cambria Math"/>
                      <w:lang w:val="en-GB"/>
                    </w:rPr>
                    <m:t>1</m:t>
                  </m:r>
                </m:num>
                <m:den>
                  <m:r>
                    <w:rPr>
                      <w:rFonts w:ascii="Cambria Math" w:hAnsi="Cambria Math"/>
                      <w:lang w:val="en-GB"/>
                    </w:rPr>
                    <m:t>n</m:t>
                  </m:r>
                </m:den>
              </m:f>
              <m:nary>
                <m:naryPr>
                  <m:chr m:val="∑"/>
                  <m:limLoc m:val="undOvr"/>
                  <m:ctrlPr>
                    <w:rPr>
                      <w:rFonts w:ascii="Cambria Math" w:hAnsi="Cambria Math"/>
                      <w:lang w:val="en-GB"/>
                    </w:rPr>
                  </m:ctrlPr>
                </m:naryPr>
                <m:sub>
                  <m:r>
                    <w:rPr>
                      <w:rFonts w:ascii="Cambria Math" w:hAnsi="Cambria Math"/>
                      <w:lang w:val="en-GB"/>
                    </w:rPr>
                    <m:t>i</m:t>
                  </m:r>
                  <m:r>
                    <m:rPr>
                      <m:sty m:val="p"/>
                    </m:rPr>
                    <w:rPr>
                      <w:rFonts w:ascii="Cambria Math" w:hAnsi="Cambria Math"/>
                      <w:lang w:val="en-GB"/>
                    </w:rPr>
                    <m:t>=1</m:t>
                  </m:r>
                </m:sub>
                <m:sup>
                  <m:r>
                    <w:rPr>
                      <w:rFonts w:ascii="Cambria Math" w:hAnsi="Cambria Math"/>
                      <w:lang w:val="en-GB"/>
                    </w:rPr>
                    <m:t>n</m:t>
                  </m:r>
                </m:sup>
                <m:e>
                  <m:sSub>
                    <m:sSubPr>
                      <m:ctrlPr>
                        <w:rPr>
                          <w:rFonts w:ascii="Cambria Math" w:hAnsi="Cambria Math"/>
                          <w:lang w:val="en-GB"/>
                        </w:rPr>
                      </m:ctrlPr>
                    </m:sSubPr>
                    <m:e>
                      <m:r>
                        <w:rPr>
                          <w:rFonts w:ascii="Cambria Math" w:hAnsi="Cambria Math"/>
                          <w:lang w:val="en-GB"/>
                        </w:rPr>
                        <m:t>N</m:t>
                      </m:r>
                    </m:e>
                    <m:sub>
                      <m:r>
                        <w:rPr>
                          <w:rFonts w:ascii="Cambria Math" w:hAnsi="Cambria Math"/>
                          <w:lang w:val="en-GB"/>
                        </w:rPr>
                        <m:t>i</m:t>
                      </m:r>
                    </m:sub>
                  </m:sSub>
                </m:e>
              </m:nary>
            </m:oMath>
            <w:r w:rsidR="00B73393">
              <w:rPr>
                <w:rFonts w:eastAsiaTheme="minorEastAsia"/>
                <w:lang w:val="en-GB"/>
              </w:rPr>
              <w:t xml:space="preserve"> </w:t>
            </w:r>
          </w:p>
        </w:tc>
        <w:tc>
          <w:tcPr>
            <w:tcW w:w="877" w:type="dxa"/>
            <w:vAlign w:val="center"/>
          </w:tcPr>
          <w:p w14:paraId="71289043" w14:textId="1332AE75" w:rsidR="00A01064" w:rsidRDefault="00A01064" w:rsidP="00B73393">
            <w:pPr>
              <w:spacing w:beforeLines="120" w:before="288" w:afterLines="120" w:after="288"/>
              <w:jc w:val="right"/>
            </w:pPr>
            <w:r>
              <w:t>(</w:t>
            </w:r>
            <w:r w:rsidR="00427B33">
              <w:fldChar w:fldCharType="begin"/>
            </w:r>
            <w:r w:rsidR="00427B33">
              <w:instrText xml:space="preserve"> STYLEREF 1 \s </w:instrText>
            </w:r>
            <w:r w:rsidR="00427B33">
              <w:fldChar w:fldCharType="separate"/>
            </w:r>
            <w:r w:rsidR="00587AF0">
              <w:rPr>
                <w:noProof/>
              </w:rPr>
              <w:t>8</w:t>
            </w:r>
            <w:r w:rsidR="00427B33">
              <w:rPr>
                <w:noProof/>
              </w:rPr>
              <w:fldChar w:fldCharType="end"/>
            </w:r>
            <w:r w:rsidR="002C693A">
              <w:t>.</w:t>
            </w:r>
            <w:r w:rsidR="00427B33">
              <w:fldChar w:fldCharType="begin"/>
            </w:r>
            <w:r w:rsidR="00427B33">
              <w:instrText xml:space="preserve"> SEQ Equation \* ARABIC \s 1 </w:instrText>
            </w:r>
            <w:r w:rsidR="00427B33">
              <w:fldChar w:fldCharType="separate"/>
            </w:r>
            <w:r w:rsidR="00587AF0">
              <w:rPr>
                <w:noProof/>
              </w:rPr>
              <w:t>1</w:t>
            </w:r>
            <w:r w:rsidR="00427B33">
              <w:rPr>
                <w:noProof/>
              </w:rPr>
              <w:fldChar w:fldCharType="end"/>
            </w:r>
            <w:r>
              <w:t>)</w:t>
            </w:r>
          </w:p>
        </w:tc>
      </w:tr>
    </w:tbl>
    <w:p w14:paraId="5405812F" w14:textId="1E996C3B" w:rsidR="00C40472" w:rsidRDefault="00D349C6" w:rsidP="00B73393">
      <w:pPr>
        <w:rPr>
          <w:lang w:val="sr-Latn-RS"/>
        </w:rPr>
      </w:pPr>
      <w:r>
        <w:rPr>
          <w:lang w:val="sr-Latn-RS"/>
        </w:rPr>
        <w:t xml:space="preserve">where </w:t>
      </w:r>
      <w:r>
        <w:rPr>
          <w:i/>
          <w:iCs/>
          <w:lang w:val="sr-Latn-RS"/>
        </w:rPr>
        <w:t>N</w:t>
      </w:r>
      <w:r>
        <w:rPr>
          <w:lang w:val="sr-Latn-RS"/>
        </w:rPr>
        <w:t xml:space="preserve"> is amount is the HyPower data readings, </w:t>
      </w:r>
      <w:r>
        <w:rPr>
          <w:i/>
          <w:iCs/>
          <w:lang w:val="sr-Latn-RS"/>
        </w:rPr>
        <w:t>n</w:t>
      </w:r>
      <w:r>
        <w:rPr>
          <w:lang w:val="sr-Latn-RS"/>
        </w:rPr>
        <w:t xml:space="preserve"> reading samples and ab</w:t>
      </w:r>
      <w:r w:rsidR="001D154A">
        <w:rPr>
          <w:lang w:val="sr-Latn-RS"/>
        </w:rPr>
        <w:t>brevi</w:t>
      </w:r>
      <w:r>
        <w:rPr>
          <w:lang w:val="sr-Latn-RS"/>
        </w:rPr>
        <w:t xml:space="preserve">ation </w:t>
      </w:r>
      <w:r w:rsidRPr="00D444E3">
        <w:rPr>
          <w:i/>
          <w:iCs/>
          <w:color w:val="FF0000"/>
          <w:lang w:val="sr-Latn-RS"/>
        </w:rPr>
        <w:t>X</w:t>
      </w:r>
      <w:r>
        <w:rPr>
          <w:i/>
          <w:iCs/>
          <w:lang w:val="sr-Latn-RS"/>
        </w:rPr>
        <w:t>S</w:t>
      </w:r>
      <w:r>
        <w:rPr>
          <w:lang w:val="sr-Latn-RS"/>
        </w:rPr>
        <w:t xml:space="preserve"> is saddle position, where </w:t>
      </w:r>
      <w:r>
        <w:rPr>
          <w:i/>
          <w:iCs/>
          <w:lang w:val="sr-Latn-RS"/>
        </w:rPr>
        <w:t>XS</w:t>
      </w:r>
      <w:r>
        <w:rPr>
          <w:lang w:val="sr-Latn-RS"/>
        </w:rPr>
        <w:t xml:space="preserve"> will be ab</w:t>
      </w:r>
      <w:r w:rsidR="001D154A">
        <w:rPr>
          <w:lang w:val="sr-Latn-RS"/>
        </w:rPr>
        <w:t>brevi</w:t>
      </w:r>
      <w:r>
        <w:rPr>
          <w:lang w:val="sr-Latn-RS"/>
        </w:rPr>
        <w:t xml:space="preserve">ated as </w:t>
      </w:r>
      <w:r>
        <w:rPr>
          <w:i/>
          <w:iCs/>
          <w:lang w:val="sr-Latn-RS"/>
        </w:rPr>
        <w:t>OS = opening saddle, IS = idle saddle</w:t>
      </w:r>
      <w:r w:rsidR="001D154A">
        <w:rPr>
          <w:lang w:val="sr-Latn-RS"/>
        </w:rPr>
        <w:t>,</w:t>
      </w:r>
      <w:r>
        <w:rPr>
          <w:lang w:val="sr-Latn-RS"/>
        </w:rPr>
        <w:t xml:space="preserve"> </w:t>
      </w:r>
      <w:r>
        <w:rPr>
          <w:i/>
          <w:iCs/>
          <w:lang w:val="sr-Latn-RS"/>
        </w:rPr>
        <w:t>CS</w:t>
      </w:r>
      <w:r>
        <w:rPr>
          <w:lang w:val="sr-Latn-RS"/>
        </w:rPr>
        <w:t xml:space="preserve"> = </w:t>
      </w:r>
      <w:r>
        <w:rPr>
          <w:i/>
          <w:iCs/>
          <w:lang w:val="sr-Latn-RS"/>
        </w:rPr>
        <w:t xml:space="preserve">closing saddle </w:t>
      </w:r>
      <w:r>
        <w:rPr>
          <w:lang w:val="sr-Latn-RS"/>
        </w:rPr>
        <w:t>position.</w:t>
      </w:r>
    </w:p>
    <w:p w14:paraId="729301B5" w14:textId="446666DD" w:rsidR="00D349C6" w:rsidRPr="00D349C6" w:rsidRDefault="00B07C78" w:rsidP="00B73393">
      <w:pPr>
        <w:rPr>
          <w:lang w:val="sr-Latn-RS"/>
        </w:rPr>
      </w:pPr>
      <w:r>
        <w:rPr>
          <w:b/>
          <w:bCs/>
          <w:lang w:val="sr-Latn-RS"/>
        </w:rPr>
        <w:t>The s</w:t>
      </w:r>
      <w:r w:rsidR="00D349C6" w:rsidRPr="00D349C6">
        <w:rPr>
          <w:b/>
          <w:bCs/>
          <w:lang w:val="sr-Latn-RS"/>
        </w:rPr>
        <w:t>tandard deviation</w:t>
      </w:r>
      <w:r w:rsidR="00D349C6">
        <w:rPr>
          <w:lang w:val="sr-Latn-RS"/>
        </w:rPr>
        <w:t xml:space="preserve"> of </w:t>
      </w:r>
      <w:r w:rsidR="00D349C6">
        <w:rPr>
          <w:i/>
          <w:iCs/>
          <w:lang w:val="sr-Latn-RS"/>
        </w:rPr>
        <w:t>n</w:t>
      </w:r>
      <w:r w:rsidR="00D349C6">
        <w:rPr>
          <w:lang w:val="sr-Latn-RS"/>
        </w:rPr>
        <w:t xml:space="preserve"> readings of a signal </w:t>
      </w:r>
      <w:r w:rsidR="00D349C6">
        <w:rPr>
          <w:i/>
          <w:iCs/>
          <w:lang w:val="sr-Latn-RS"/>
        </w:rPr>
        <w:t>N</w:t>
      </w:r>
      <w:r w:rsidR="00D349C6">
        <w:rPr>
          <w:lang w:val="sr-Latn-RS"/>
        </w:rPr>
        <w:t xml:space="preserve"> for specific saddle position and specific cycle:</w:t>
      </w:r>
    </w:p>
    <w:tbl>
      <w:tblPr>
        <w:tblpPr w:leftFromText="180" w:rightFromText="180" w:vertAnchor="text" w:horzAnchor="margin" w:tblpY="167"/>
        <w:tblW w:w="0" w:type="auto"/>
        <w:tblLook w:val="04A0" w:firstRow="1" w:lastRow="0" w:firstColumn="1" w:lastColumn="0" w:noHBand="0" w:noVBand="1"/>
      </w:tblPr>
      <w:tblGrid>
        <w:gridCol w:w="8140"/>
        <w:gridCol w:w="877"/>
      </w:tblGrid>
      <w:tr w:rsidR="00D349C6" w14:paraId="22F3C260" w14:textId="77777777" w:rsidTr="00231124">
        <w:tc>
          <w:tcPr>
            <w:tcW w:w="8140" w:type="dxa"/>
            <w:vAlign w:val="center"/>
          </w:tcPr>
          <w:p w14:paraId="534AF7D4" w14:textId="5C89D39B" w:rsidR="00D349C6" w:rsidRPr="00841925" w:rsidRDefault="00D349C6" w:rsidP="00B73393">
            <w:pPr>
              <w:jc w:val="center"/>
              <w:rPr>
                <w:lang w:val="en-GB"/>
              </w:rPr>
            </w:pPr>
            <m:oMath>
              <m:r>
                <w:rPr>
                  <w:rFonts w:ascii="Cambria Math" w:hAnsi="Cambria Math"/>
                  <w:lang w:val="en-GB"/>
                </w:rPr>
                <m:t>N</m:t>
              </m:r>
              <m:r>
                <m:rPr>
                  <m:sty m:val="p"/>
                </m:rPr>
                <w:rPr>
                  <w:rFonts w:ascii="Cambria Math" w:hAnsi="Cambria Math"/>
                  <w:lang w:val="en-GB"/>
                </w:rPr>
                <m:t>_</m:t>
              </m:r>
              <m:r>
                <w:rPr>
                  <w:rFonts w:ascii="Cambria Math" w:hAnsi="Cambria Math"/>
                  <w:lang w:val="en-GB"/>
                </w:rPr>
                <m:t>StDev</m:t>
              </m:r>
              <m:r>
                <m:rPr>
                  <m:sty m:val="p"/>
                </m:rPr>
                <w:rPr>
                  <w:rFonts w:ascii="Cambria Math" w:hAnsi="Cambria Math"/>
                  <w:lang w:val="en-GB"/>
                </w:rPr>
                <m:t>_</m:t>
              </m:r>
              <m:r>
                <w:rPr>
                  <w:rFonts w:ascii="Cambria Math" w:hAnsi="Cambria Math"/>
                  <w:color w:val="FF0000"/>
                  <w:lang w:val="en-GB"/>
                </w:rPr>
                <m:t>X</m:t>
              </m:r>
              <m:r>
                <w:rPr>
                  <w:rFonts w:ascii="Cambria Math" w:hAnsi="Cambria Math"/>
                  <w:lang w:val="en-GB"/>
                </w:rPr>
                <m:t>S</m:t>
              </m:r>
              <m:r>
                <m:rPr>
                  <m:sty m:val="p"/>
                </m:rPr>
                <w:rPr>
                  <w:rFonts w:ascii="Cambria Math" w:hAnsi="Cambria Math"/>
                  <w:lang w:val="en-GB"/>
                </w:rPr>
                <m:t xml:space="preserve"> = </m:t>
              </m:r>
              <m:f>
                <m:fPr>
                  <m:ctrlPr>
                    <w:rPr>
                      <w:rFonts w:ascii="Cambria Math" w:hAnsi="Cambria Math"/>
                      <w:lang w:val="en-GB"/>
                    </w:rPr>
                  </m:ctrlPr>
                </m:fPr>
                <m:num>
                  <m:rad>
                    <m:radPr>
                      <m:degHide m:val="1"/>
                      <m:ctrlPr>
                        <w:rPr>
                          <w:rFonts w:ascii="Cambria Math" w:hAnsi="Cambria Math"/>
                          <w:lang w:val="en-GB"/>
                        </w:rPr>
                      </m:ctrlPr>
                    </m:radPr>
                    <m:deg/>
                    <m:e>
                      <m:sSup>
                        <m:sSupPr>
                          <m:ctrlPr>
                            <w:rPr>
                              <w:rFonts w:ascii="Cambria Math" w:hAnsi="Cambria Math"/>
                              <w:lang w:val="en-GB"/>
                            </w:rPr>
                          </m:ctrlPr>
                        </m:sSupPr>
                        <m:e>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x</m:t>
                              </m:r>
                            </m:e>
                            <m:sub>
                              <m:r>
                                <w:rPr>
                                  <w:rFonts w:ascii="Cambria Math" w:hAnsi="Cambria Math"/>
                                  <w:lang w:val="en-GB"/>
                                </w:rPr>
                                <m:t>i</m:t>
                              </m:r>
                            </m:sub>
                          </m:sSub>
                          <m:r>
                            <m:rPr>
                              <m:sty m:val="p"/>
                            </m:rPr>
                            <w:rPr>
                              <w:rFonts w:ascii="Cambria Math" w:hAnsi="Cambria Math"/>
                              <w:lang w:val="en-GB"/>
                            </w:rPr>
                            <m:t>-</m:t>
                          </m:r>
                          <m:acc>
                            <m:accPr>
                              <m:chr m:val="̅"/>
                              <m:ctrlPr>
                                <w:rPr>
                                  <w:rFonts w:ascii="Cambria Math" w:hAnsi="Cambria Math"/>
                                  <w:lang w:val="en-GB"/>
                                </w:rPr>
                              </m:ctrlPr>
                            </m:accPr>
                            <m:e>
                              <m:r>
                                <w:rPr>
                                  <w:rFonts w:ascii="Cambria Math" w:hAnsi="Cambria Math"/>
                                  <w:lang w:val="en-GB"/>
                                </w:rPr>
                                <m:t>x</m:t>
                              </m:r>
                            </m:e>
                          </m:acc>
                          <m:r>
                            <m:rPr>
                              <m:sty m:val="p"/>
                            </m:rPr>
                            <w:rPr>
                              <w:rFonts w:ascii="Cambria Math" w:hAnsi="Cambria Math"/>
                              <w:lang w:val="en-GB"/>
                            </w:rPr>
                            <m:t>)</m:t>
                          </m:r>
                        </m:e>
                        <m:sup>
                          <m:r>
                            <m:rPr>
                              <m:sty m:val="p"/>
                            </m:rPr>
                            <w:rPr>
                              <w:rFonts w:ascii="Cambria Math" w:hAnsi="Cambria Math"/>
                              <w:lang w:val="en-GB"/>
                            </w:rPr>
                            <m:t>2</m:t>
                          </m:r>
                        </m:sup>
                      </m:sSup>
                    </m:e>
                  </m:rad>
                </m:num>
                <m:den>
                  <m:r>
                    <w:rPr>
                      <w:rFonts w:ascii="Cambria Math" w:hAnsi="Cambria Math"/>
                      <w:lang w:val="en-GB"/>
                    </w:rPr>
                    <m:t>n</m:t>
                  </m:r>
                  <m:r>
                    <m:rPr>
                      <m:sty m:val="p"/>
                    </m:rPr>
                    <w:rPr>
                      <w:rFonts w:ascii="Cambria Math" w:hAnsi="Cambria Math"/>
                      <w:lang w:val="en-GB"/>
                    </w:rPr>
                    <m:t>-1</m:t>
                  </m:r>
                </m:den>
              </m:f>
            </m:oMath>
            <w:r w:rsidR="00B73393">
              <w:rPr>
                <w:rFonts w:eastAsiaTheme="minorEastAsia"/>
                <w:lang w:val="en-GB"/>
              </w:rPr>
              <w:t xml:space="preserve"> </w:t>
            </w:r>
          </w:p>
        </w:tc>
        <w:tc>
          <w:tcPr>
            <w:tcW w:w="877" w:type="dxa"/>
            <w:vAlign w:val="center"/>
          </w:tcPr>
          <w:p w14:paraId="7E126684" w14:textId="4880225B" w:rsidR="00D349C6" w:rsidRDefault="00D349C6" w:rsidP="00B73393">
            <w:pPr>
              <w:spacing w:beforeLines="120" w:before="288" w:afterLines="120" w:after="288"/>
              <w:jc w:val="right"/>
            </w:pPr>
            <w:r>
              <w:t>(</w:t>
            </w:r>
            <w:r w:rsidR="00427B33">
              <w:fldChar w:fldCharType="begin"/>
            </w:r>
            <w:r w:rsidR="00427B33">
              <w:instrText xml:space="preserve"> STYLEREF 1 \s </w:instrText>
            </w:r>
            <w:r w:rsidR="00427B33">
              <w:fldChar w:fldCharType="separate"/>
            </w:r>
            <w:r w:rsidR="00587AF0">
              <w:rPr>
                <w:noProof/>
              </w:rPr>
              <w:t>8</w:t>
            </w:r>
            <w:r w:rsidR="00427B33">
              <w:rPr>
                <w:noProof/>
              </w:rPr>
              <w:fldChar w:fldCharType="end"/>
            </w:r>
            <w:r w:rsidR="002C693A">
              <w:t>.</w:t>
            </w:r>
            <w:r w:rsidR="00427B33">
              <w:fldChar w:fldCharType="begin"/>
            </w:r>
            <w:r w:rsidR="00427B33">
              <w:instrText xml:space="preserve"> SEQ Equation \* ARABIC \s 1 </w:instrText>
            </w:r>
            <w:r w:rsidR="00427B33">
              <w:fldChar w:fldCharType="separate"/>
            </w:r>
            <w:r w:rsidR="00587AF0">
              <w:rPr>
                <w:noProof/>
              </w:rPr>
              <w:t>2</w:t>
            </w:r>
            <w:r w:rsidR="00427B33">
              <w:rPr>
                <w:noProof/>
              </w:rPr>
              <w:fldChar w:fldCharType="end"/>
            </w:r>
            <w:r>
              <w:t>)</w:t>
            </w:r>
          </w:p>
        </w:tc>
      </w:tr>
    </w:tbl>
    <w:p w14:paraId="72D01B73" w14:textId="309FCDAA" w:rsidR="00D349C6" w:rsidRDefault="00D349C6" w:rsidP="00B73393">
      <w:pPr>
        <w:rPr>
          <w:lang w:val="en-GB"/>
        </w:rPr>
      </w:pPr>
      <w:r>
        <w:rPr>
          <w:lang w:val="sr-Latn-RS"/>
        </w:rPr>
        <w:t xml:space="preserve">where </w:t>
      </w:r>
      <m:oMath>
        <m:acc>
          <m:accPr>
            <m:chr m:val="̅"/>
            <m:ctrlPr>
              <w:rPr>
                <w:rFonts w:ascii="Cambria Math" w:hAnsi="Cambria Math"/>
                <w:i/>
                <w:lang w:val="en-GB"/>
              </w:rPr>
            </m:ctrlPr>
          </m:accPr>
          <m:e>
            <m:r>
              <w:rPr>
                <w:rFonts w:ascii="Cambria Math" w:hAnsi="Cambria Math"/>
                <w:lang w:val="en-GB"/>
              </w:rPr>
              <m:t>x</m:t>
            </m:r>
          </m:e>
        </m:acc>
      </m:oMath>
      <w:r>
        <w:rPr>
          <w:lang w:val="en-GB"/>
        </w:rPr>
        <w:t xml:space="preserve"> is the average value for a specific finite set of records for a given saddle position at a specific cycle.</w:t>
      </w:r>
    </w:p>
    <w:p w14:paraId="7DA1CBC5" w14:textId="668AE2AA" w:rsidR="00D349C6" w:rsidRDefault="009C128A" w:rsidP="00B73393">
      <w:pPr>
        <w:rPr>
          <w:lang w:val="sr-Latn-RS"/>
        </w:rPr>
      </w:pPr>
      <w:r>
        <w:rPr>
          <w:b/>
          <w:bCs/>
          <w:lang w:val="sr-Latn-RS"/>
        </w:rPr>
        <w:t xml:space="preserve">Root mean square </w:t>
      </w:r>
      <w:r w:rsidRPr="00224E24">
        <w:rPr>
          <w:lang w:val="sr-Latn-RS"/>
        </w:rPr>
        <w:t>(</w:t>
      </w:r>
      <w:r>
        <w:rPr>
          <w:b/>
          <w:bCs/>
          <w:lang w:val="sr-Latn-RS"/>
        </w:rPr>
        <w:t>RMS</w:t>
      </w:r>
      <w:r w:rsidRPr="00224E24">
        <w:rPr>
          <w:lang w:val="sr-Latn-RS"/>
        </w:rPr>
        <w:t>)</w:t>
      </w:r>
      <w:r>
        <w:rPr>
          <w:b/>
          <w:bCs/>
          <w:lang w:val="sr-Latn-RS"/>
        </w:rPr>
        <w:t xml:space="preserve"> </w:t>
      </w:r>
      <w:r w:rsidRPr="009C128A">
        <w:rPr>
          <w:lang w:val="sr-Latn-RS"/>
        </w:rPr>
        <w:t xml:space="preserve">of </w:t>
      </w:r>
      <w:r w:rsidRPr="00E7696E">
        <w:rPr>
          <w:i/>
          <w:iCs/>
          <w:lang w:val="sr-Latn-RS"/>
        </w:rPr>
        <w:t>n</w:t>
      </w:r>
      <w:r w:rsidRPr="009C128A">
        <w:rPr>
          <w:lang w:val="sr-Latn-RS"/>
        </w:rPr>
        <w:t xml:space="preserve"> readings of a signal </w:t>
      </w:r>
      <w:r w:rsidRPr="00E7696E">
        <w:rPr>
          <w:i/>
          <w:iCs/>
          <w:lang w:val="sr-Latn-RS"/>
        </w:rPr>
        <w:t>N</w:t>
      </w:r>
      <w:r w:rsidRPr="009C128A">
        <w:rPr>
          <w:lang w:val="sr-Latn-RS"/>
        </w:rPr>
        <w:t xml:space="preserve"> for specific saddle position and cycle</w:t>
      </w:r>
      <w:r>
        <w:rPr>
          <w:lang w:val="sr-Latn-RS"/>
        </w:rPr>
        <w:t>:</w:t>
      </w:r>
    </w:p>
    <w:tbl>
      <w:tblPr>
        <w:tblpPr w:leftFromText="180" w:rightFromText="180" w:vertAnchor="text" w:horzAnchor="margin" w:tblpY="167"/>
        <w:tblW w:w="0" w:type="auto"/>
        <w:tblLook w:val="04A0" w:firstRow="1" w:lastRow="0" w:firstColumn="1" w:lastColumn="0" w:noHBand="0" w:noVBand="1"/>
      </w:tblPr>
      <w:tblGrid>
        <w:gridCol w:w="8140"/>
        <w:gridCol w:w="877"/>
      </w:tblGrid>
      <w:tr w:rsidR="009C128A" w14:paraId="78A51695" w14:textId="77777777" w:rsidTr="00231124">
        <w:tc>
          <w:tcPr>
            <w:tcW w:w="8140" w:type="dxa"/>
            <w:vAlign w:val="center"/>
          </w:tcPr>
          <w:p w14:paraId="11F286F6" w14:textId="2BC9A872" w:rsidR="009C128A" w:rsidRPr="00841925" w:rsidRDefault="009C128A" w:rsidP="00B73393">
            <w:pPr>
              <w:jc w:val="center"/>
              <w:rPr>
                <w:lang w:val="en-GB"/>
              </w:rPr>
            </w:pPr>
            <m:oMath>
              <m:r>
                <w:rPr>
                  <w:rFonts w:ascii="Cambria Math" w:hAnsi="Cambria Math"/>
                  <w:lang w:val="en-GB"/>
                </w:rPr>
                <m:t>N</m:t>
              </m:r>
              <m:r>
                <m:rPr>
                  <m:sty m:val="p"/>
                </m:rPr>
                <w:rPr>
                  <w:rFonts w:ascii="Cambria Math" w:hAnsi="Cambria Math"/>
                  <w:lang w:val="en-GB"/>
                </w:rPr>
                <m:t>_</m:t>
              </m:r>
              <m:r>
                <w:rPr>
                  <w:rFonts w:ascii="Cambria Math" w:hAnsi="Cambria Math"/>
                  <w:lang w:val="en-GB"/>
                </w:rPr>
                <m:t>RMS</m:t>
              </m:r>
              <m:r>
                <m:rPr>
                  <m:sty m:val="p"/>
                </m:rPr>
                <w:rPr>
                  <w:rFonts w:ascii="Cambria Math" w:hAnsi="Cambria Math"/>
                  <w:lang w:val="en-GB"/>
                </w:rPr>
                <m:t>_</m:t>
              </m:r>
              <m:r>
                <w:rPr>
                  <w:rFonts w:ascii="Cambria Math" w:hAnsi="Cambria Math"/>
                  <w:color w:val="FF0000"/>
                  <w:lang w:val="en-GB"/>
                </w:rPr>
                <m:t>X</m:t>
              </m:r>
              <m:r>
                <w:rPr>
                  <w:rFonts w:ascii="Cambria Math" w:hAnsi="Cambria Math"/>
                  <w:lang w:val="en-GB"/>
                </w:rPr>
                <m:t>S</m:t>
              </m:r>
              <m:r>
                <m:rPr>
                  <m:sty m:val="p"/>
                </m:rPr>
                <w:rPr>
                  <w:rFonts w:ascii="Cambria Math" w:hAnsi="Cambria Math"/>
                  <w:lang w:val="en-GB"/>
                </w:rPr>
                <m:t xml:space="preserve"> = </m:t>
              </m:r>
              <m:rad>
                <m:radPr>
                  <m:degHide m:val="1"/>
                  <m:ctrlPr>
                    <w:rPr>
                      <w:rFonts w:ascii="Cambria Math" w:hAnsi="Cambria Math"/>
                      <w:lang w:val="en-GB"/>
                    </w:rPr>
                  </m:ctrlPr>
                </m:radPr>
                <m:deg/>
                <m:e>
                  <m:f>
                    <m:fPr>
                      <m:ctrlPr>
                        <w:rPr>
                          <w:rFonts w:ascii="Cambria Math" w:hAnsi="Cambria Math"/>
                          <w:lang w:val="en-GB"/>
                        </w:rPr>
                      </m:ctrlPr>
                    </m:fPr>
                    <m:num>
                      <m:r>
                        <m:rPr>
                          <m:sty m:val="p"/>
                        </m:rPr>
                        <w:rPr>
                          <w:rFonts w:ascii="Cambria Math" w:hAnsi="Cambria Math"/>
                          <w:lang w:val="en-GB"/>
                        </w:rPr>
                        <m:t>1</m:t>
                      </m:r>
                    </m:num>
                    <m:den>
                      <m:r>
                        <w:rPr>
                          <w:rFonts w:ascii="Cambria Math" w:hAnsi="Cambria Math"/>
                          <w:lang w:val="en-GB"/>
                        </w:rPr>
                        <m:t>n</m:t>
                      </m:r>
                    </m:den>
                  </m:f>
                  <m:nary>
                    <m:naryPr>
                      <m:chr m:val="∑"/>
                      <m:limLoc m:val="undOvr"/>
                      <m:supHide m:val="1"/>
                      <m:ctrlPr>
                        <w:rPr>
                          <w:rFonts w:ascii="Cambria Math" w:hAnsi="Cambria Math"/>
                          <w:lang w:val="en-GB"/>
                        </w:rPr>
                      </m:ctrlPr>
                    </m:naryPr>
                    <m:sub>
                      <m:r>
                        <w:rPr>
                          <w:rFonts w:ascii="Cambria Math" w:hAnsi="Cambria Math"/>
                          <w:lang w:val="en-GB"/>
                        </w:rPr>
                        <m:t>i</m:t>
                      </m:r>
                    </m:sub>
                    <m:sup/>
                    <m:e>
                      <m:sSubSup>
                        <m:sSubSupPr>
                          <m:ctrlPr>
                            <w:rPr>
                              <w:rFonts w:ascii="Cambria Math" w:hAnsi="Cambria Math"/>
                              <w:lang w:val="en-GB"/>
                            </w:rPr>
                          </m:ctrlPr>
                        </m:sSubSupPr>
                        <m:e>
                          <m:r>
                            <w:rPr>
                              <w:rFonts w:ascii="Cambria Math" w:hAnsi="Cambria Math"/>
                              <w:lang w:val="en-GB"/>
                            </w:rPr>
                            <m:t>x</m:t>
                          </m:r>
                        </m:e>
                        <m:sub>
                          <m:r>
                            <w:rPr>
                              <w:rFonts w:ascii="Cambria Math" w:hAnsi="Cambria Math"/>
                              <w:lang w:val="en-GB"/>
                            </w:rPr>
                            <m:t>i</m:t>
                          </m:r>
                        </m:sub>
                        <m:sup>
                          <m:r>
                            <m:rPr>
                              <m:sty m:val="p"/>
                            </m:rPr>
                            <w:rPr>
                              <w:rFonts w:ascii="Cambria Math" w:hAnsi="Cambria Math"/>
                              <w:lang w:val="en-GB"/>
                            </w:rPr>
                            <m:t>2</m:t>
                          </m:r>
                        </m:sup>
                      </m:sSubSup>
                    </m:e>
                  </m:nary>
                </m:e>
              </m:rad>
            </m:oMath>
            <w:r w:rsidR="00B73393">
              <w:rPr>
                <w:rFonts w:eastAsiaTheme="minorEastAsia"/>
                <w:lang w:val="en-GB"/>
              </w:rPr>
              <w:t xml:space="preserve"> </w:t>
            </w:r>
          </w:p>
        </w:tc>
        <w:tc>
          <w:tcPr>
            <w:tcW w:w="877" w:type="dxa"/>
            <w:vAlign w:val="center"/>
          </w:tcPr>
          <w:p w14:paraId="20305121" w14:textId="5D40B618" w:rsidR="009C128A" w:rsidRDefault="009C128A" w:rsidP="00B73393">
            <w:pPr>
              <w:spacing w:beforeLines="120" w:before="288" w:afterLines="120" w:after="288"/>
              <w:jc w:val="right"/>
            </w:pPr>
            <w:r>
              <w:t>(</w:t>
            </w:r>
            <w:r w:rsidR="00427B33">
              <w:fldChar w:fldCharType="begin"/>
            </w:r>
            <w:r w:rsidR="00427B33">
              <w:instrText xml:space="preserve"> STYLEREF 1 \s </w:instrText>
            </w:r>
            <w:r w:rsidR="00427B33">
              <w:fldChar w:fldCharType="separate"/>
            </w:r>
            <w:r w:rsidR="00587AF0">
              <w:rPr>
                <w:noProof/>
              </w:rPr>
              <w:t>8</w:t>
            </w:r>
            <w:r w:rsidR="00427B33">
              <w:rPr>
                <w:noProof/>
              </w:rPr>
              <w:fldChar w:fldCharType="end"/>
            </w:r>
            <w:r w:rsidR="002C693A">
              <w:t>.</w:t>
            </w:r>
            <w:r w:rsidR="00427B33">
              <w:fldChar w:fldCharType="begin"/>
            </w:r>
            <w:r w:rsidR="00427B33">
              <w:instrText xml:space="preserve"> SEQ </w:instrText>
            </w:r>
            <w:r w:rsidR="00427B33">
              <w:instrText xml:space="preserve">Equation \* ARABIC \s 1 </w:instrText>
            </w:r>
            <w:r w:rsidR="00427B33">
              <w:fldChar w:fldCharType="separate"/>
            </w:r>
            <w:r w:rsidR="00587AF0">
              <w:rPr>
                <w:noProof/>
              </w:rPr>
              <w:t>3</w:t>
            </w:r>
            <w:r w:rsidR="00427B33">
              <w:rPr>
                <w:noProof/>
              </w:rPr>
              <w:fldChar w:fldCharType="end"/>
            </w:r>
            <w:r>
              <w:t>)</w:t>
            </w:r>
          </w:p>
        </w:tc>
      </w:tr>
    </w:tbl>
    <w:p w14:paraId="28420AC2" w14:textId="2CECDF4E" w:rsidR="009C128A" w:rsidRDefault="009C128A" w:rsidP="00B73393">
      <w:pPr>
        <w:rPr>
          <w:lang w:val="sr-Latn-RS"/>
        </w:rPr>
      </w:pPr>
      <w:r>
        <w:rPr>
          <w:b/>
          <w:bCs/>
          <w:lang w:val="sr-Latn-RS"/>
        </w:rPr>
        <w:t xml:space="preserve">First Quartile </w:t>
      </w:r>
      <w:r w:rsidRPr="004643C8">
        <w:rPr>
          <w:lang w:val="sr-Latn-RS"/>
        </w:rPr>
        <w:t>(</w:t>
      </w:r>
      <w:r>
        <w:rPr>
          <w:b/>
          <w:bCs/>
          <w:lang w:val="sr-Latn-RS"/>
        </w:rPr>
        <w:t>1Q</w:t>
      </w:r>
      <w:r w:rsidRPr="004643C8">
        <w:rPr>
          <w:lang w:val="sr-Latn-RS"/>
        </w:rPr>
        <w:t>)</w:t>
      </w:r>
      <w:r>
        <w:rPr>
          <w:lang w:val="sr-Latn-RS"/>
        </w:rPr>
        <w:t xml:space="preserve"> </w:t>
      </w:r>
      <w:r w:rsidRPr="009C128A">
        <w:rPr>
          <w:lang w:val="sr-Latn-RS"/>
        </w:rPr>
        <w:t xml:space="preserve">of </w:t>
      </w:r>
      <w:r w:rsidRPr="00E7696E">
        <w:rPr>
          <w:i/>
          <w:iCs/>
          <w:lang w:val="sr-Latn-RS"/>
        </w:rPr>
        <w:t>n</w:t>
      </w:r>
      <w:r w:rsidRPr="009C128A">
        <w:rPr>
          <w:lang w:val="sr-Latn-RS"/>
        </w:rPr>
        <w:t xml:space="preserve"> readings of a signal </w:t>
      </w:r>
      <w:r w:rsidRPr="00E7696E">
        <w:rPr>
          <w:i/>
          <w:iCs/>
          <w:lang w:val="sr-Latn-RS"/>
        </w:rPr>
        <w:t>N</w:t>
      </w:r>
      <w:r w:rsidRPr="009C128A">
        <w:rPr>
          <w:lang w:val="sr-Latn-RS"/>
        </w:rPr>
        <w:t xml:space="preserve"> for </w:t>
      </w:r>
      <w:r w:rsidR="001D154A">
        <w:rPr>
          <w:lang w:val="sr-Latn-RS"/>
        </w:rPr>
        <w:t xml:space="preserve">a </w:t>
      </w:r>
      <w:r w:rsidRPr="009C128A">
        <w:rPr>
          <w:lang w:val="sr-Latn-RS"/>
        </w:rPr>
        <w:t xml:space="preserve">specific saddle position and </w:t>
      </w:r>
      <w:r w:rsidR="001D154A">
        <w:rPr>
          <w:lang w:val="sr-Latn-RS"/>
        </w:rPr>
        <w:t xml:space="preserve">the </w:t>
      </w:r>
      <w:r w:rsidRPr="009C128A">
        <w:rPr>
          <w:lang w:val="sr-Latn-RS"/>
        </w:rPr>
        <w:t>specific</w:t>
      </w:r>
      <w:r>
        <w:rPr>
          <w:lang w:val="sr-Latn-RS"/>
        </w:rPr>
        <w:t xml:space="preserve"> cycle is determined </w:t>
      </w:r>
      <w:r w:rsidR="0014095D">
        <w:rPr>
          <w:lang w:val="sr-Latn-RS"/>
        </w:rPr>
        <w:t xml:space="preserve">by ordering a dataset of </w:t>
      </w:r>
      <w:r w:rsidR="0014095D">
        <w:rPr>
          <w:i/>
          <w:iCs/>
          <w:lang w:val="sr-Latn-RS"/>
        </w:rPr>
        <w:t>x</w:t>
      </w:r>
      <w:r w:rsidR="0014095D">
        <w:rPr>
          <w:lang w:val="sr-Latn-RS"/>
        </w:rPr>
        <w:t xml:space="preserve"> elements as </w:t>
      </w:r>
      <w:r w:rsidR="0014095D">
        <w:rPr>
          <w:i/>
          <w:iCs/>
          <w:lang w:val="sr-Latn-RS"/>
        </w:rPr>
        <w:t>x</w:t>
      </w:r>
      <w:r w:rsidR="0014095D">
        <w:rPr>
          <w:i/>
          <w:iCs/>
          <w:vertAlign w:val="subscript"/>
          <w:lang w:val="sr-Latn-RS"/>
        </w:rPr>
        <w:t>1</w:t>
      </w:r>
      <w:r w:rsidR="0014095D">
        <w:rPr>
          <w:i/>
          <w:iCs/>
          <w:lang w:val="sr-Latn-RS"/>
        </w:rPr>
        <w:t>, x</w:t>
      </w:r>
      <w:r w:rsidR="0014095D">
        <w:rPr>
          <w:i/>
          <w:iCs/>
          <w:vertAlign w:val="subscript"/>
          <w:lang w:val="sr-Latn-RS"/>
        </w:rPr>
        <w:t>2</w:t>
      </w:r>
      <w:r w:rsidR="0014095D">
        <w:rPr>
          <w:i/>
          <w:iCs/>
          <w:lang w:val="sr-Latn-RS"/>
        </w:rPr>
        <w:t>...x</w:t>
      </w:r>
      <w:r w:rsidR="0014095D">
        <w:rPr>
          <w:i/>
          <w:iCs/>
          <w:vertAlign w:val="subscript"/>
          <w:lang w:val="sr-Latn-RS"/>
        </w:rPr>
        <w:t>n</w:t>
      </w:r>
      <w:r w:rsidR="0014095D">
        <w:rPr>
          <w:lang w:val="sr-Latn-RS"/>
        </w:rPr>
        <w:t xml:space="preserve"> from lowest to large</w:t>
      </w:r>
      <w:r w:rsidR="001D154A">
        <w:rPr>
          <w:lang w:val="sr-Latn-RS"/>
        </w:rPr>
        <w:t>st</w:t>
      </w:r>
      <w:r w:rsidR="0014095D">
        <w:rPr>
          <w:lang w:val="sr-Latn-RS"/>
        </w:rPr>
        <w:t>, respectively. By interpolating data points from lowest to largest</w:t>
      </w:r>
      <w:r w:rsidR="001D154A">
        <w:rPr>
          <w:lang w:val="sr-Latn-RS"/>
        </w:rPr>
        <w:t>,</w:t>
      </w:r>
      <w:r w:rsidR="0014095D">
        <w:rPr>
          <w:lang w:val="sr-Latn-RS"/>
        </w:rPr>
        <w:t xml:space="preserve"> we will find the </w:t>
      </w:r>
      <w:r w:rsidR="0014095D">
        <w:rPr>
          <w:b/>
          <w:bCs/>
          <w:i/>
          <w:iCs/>
          <w:lang w:val="sr-Latn-RS"/>
        </w:rPr>
        <w:t>%Q</w:t>
      </w:r>
      <w:r w:rsidR="0014095D" w:rsidRPr="0014095D">
        <w:rPr>
          <w:lang w:val="sr-Latn-RS"/>
        </w:rPr>
        <w:t>th</w:t>
      </w:r>
      <w:r w:rsidR="0014095D">
        <w:rPr>
          <w:lang w:val="sr-Latn-RS"/>
        </w:rPr>
        <w:t xml:space="preserve"> element if </w:t>
      </w:r>
      <w:r w:rsidR="0014095D">
        <w:rPr>
          <w:i/>
          <w:iCs/>
          <w:lang w:val="sr-Latn-RS"/>
        </w:rPr>
        <w:t>x</w:t>
      </w:r>
      <w:r w:rsidR="0014095D">
        <w:rPr>
          <w:vertAlign w:val="subscript"/>
          <w:lang w:val="sr-Latn-RS"/>
        </w:rPr>
        <w:t>i</w:t>
      </w:r>
      <w:r w:rsidR="0014095D">
        <w:rPr>
          <w:i/>
          <w:iCs/>
          <w:lang w:val="sr-Latn-RS"/>
        </w:rPr>
        <w:t xml:space="preserve"> </w:t>
      </w:r>
      <w:r w:rsidR="0014095D">
        <w:rPr>
          <w:lang w:val="sr-Latn-RS"/>
        </w:rPr>
        <w:t xml:space="preserve">is in the </w:t>
      </w:r>
      <w:r w:rsidR="0014095D">
        <w:rPr>
          <w:i/>
          <w:iCs/>
          <w:lang w:val="sr-Latn-RS"/>
        </w:rPr>
        <w:t>i/(n+1)</w:t>
      </w:r>
      <w:r w:rsidR="0014095D">
        <w:rPr>
          <w:lang w:val="sr-Latn-RS"/>
        </w:rPr>
        <w:t xml:space="preserve"> quartile. Considering that quartile ranges are established as quartile per</w:t>
      </w:r>
      <w:r w:rsidR="001D154A">
        <w:rPr>
          <w:lang w:val="sr-Latn-RS"/>
        </w:rPr>
        <w:t xml:space="preserve"> </w:t>
      </w:r>
      <w:r w:rsidR="0014095D">
        <w:rPr>
          <w:lang w:val="sr-Latn-RS"/>
        </w:rPr>
        <w:t xml:space="preserve">cent ranges are split </w:t>
      </w:r>
      <w:r w:rsidR="0014095D">
        <w:rPr>
          <w:lang w:val="sr-Latn-RS"/>
        </w:rPr>
        <w:lastRenderedPageBreak/>
        <w:t xml:space="preserve">as min, 25%, 50% and 75% and max, then denoting integer part of </w:t>
      </w:r>
      <w:r w:rsidR="0014095D">
        <w:rPr>
          <w:i/>
          <w:iCs/>
          <w:lang w:val="sr-Latn-RS"/>
        </w:rPr>
        <w:t xml:space="preserve">a </w:t>
      </w:r>
      <w:r w:rsidR="0014095D">
        <w:rPr>
          <w:lang w:val="sr-Latn-RS"/>
        </w:rPr>
        <w:t>by [</w:t>
      </w:r>
      <w:r w:rsidR="00C547FD" w:rsidRPr="00C547FD">
        <w:rPr>
          <w:i/>
          <w:iCs/>
          <w:lang w:val="sr-Latn-RS"/>
        </w:rPr>
        <w:t>a</w:t>
      </w:r>
      <w:r w:rsidR="00C547FD">
        <w:rPr>
          <w:lang w:val="sr-Latn-RS"/>
        </w:rPr>
        <w:t>]</w:t>
      </w:r>
      <w:r w:rsidR="001D154A">
        <w:rPr>
          <w:lang w:val="sr-Latn-RS"/>
        </w:rPr>
        <w:t>,</w:t>
      </w:r>
      <w:r w:rsidR="00C547FD">
        <w:rPr>
          <w:lang w:val="sr-Latn-RS"/>
        </w:rPr>
        <w:t xml:space="preserve"> then quartile function is:</w:t>
      </w:r>
    </w:p>
    <w:tbl>
      <w:tblPr>
        <w:tblpPr w:leftFromText="180" w:rightFromText="180" w:vertAnchor="text" w:horzAnchor="margin" w:tblpY="167"/>
        <w:tblW w:w="0" w:type="auto"/>
        <w:tblLook w:val="04A0" w:firstRow="1" w:lastRow="0" w:firstColumn="1" w:lastColumn="0" w:noHBand="0" w:noVBand="1"/>
      </w:tblPr>
      <w:tblGrid>
        <w:gridCol w:w="8140"/>
        <w:gridCol w:w="877"/>
      </w:tblGrid>
      <w:tr w:rsidR="00C547FD" w14:paraId="5609D4BE" w14:textId="77777777" w:rsidTr="00231124">
        <w:tc>
          <w:tcPr>
            <w:tcW w:w="8140" w:type="dxa"/>
            <w:vAlign w:val="center"/>
          </w:tcPr>
          <w:p w14:paraId="2C4F717B" w14:textId="4BB59A77" w:rsidR="00C547FD" w:rsidRPr="00841925" w:rsidRDefault="00C547FD" w:rsidP="00B73393">
            <w:pPr>
              <w:jc w:val="center"/>
              <w:rPr>
                <w:lang w:val="en-GB"/>
              </w:rPr>
            </w:pPr>
            <m:oMathPara>
              <m:oMath>
                <m:r>
                  <w:rPr>
                    <w:rFonts w:ascii="Cambria Math" w:hAnsi="Cambria Math"/>
                    <w:lang w:val="en-GB"/>
                  </w:rPr>
                  <m:t>N</m:t>
                </m:r>
                <m:r>
                  <m:rPr>
                    <m:sty m:val="p"/>
                  </m:rPr>
                  <w:rPr>
                    <w:rFonts w:ascii="Cambria Math" w:hAnsi="Cambria Math"/>
                    <w:lang w:val="en-GB"/>
                  </w:rPr>
                  <m:t>_</m:t>
                </m:r>
                <m:r>
                  <w:rPr>
                    <w:rFonts w:ascii="Cambria Math" w:hAnsi="Cambria Math"/>
                    <w:lang w:val="en-GB"/>
                  </w:rPr>
                  <m:t>nQ</m:t>
                </m:r>
                <m:r>
                  <m:rPr>
                    <m:sty m:val="p"/>
                  </m:rPr>
                  <w:rPr>
                    <w:rFonts w:ascii="Cambria Math" w:hAnsi="Cambria Math"/>
                    <w:lang w:val="en-GB"/>
                  </w:rPr>
                  <m:t>_</m:t>
                </m:r>
                <m:r>
                  <w:rPr>
                    <w:rFonts w:ascii="Cambria Math" w:hAnsi="Cambria Math"/>
                    <w:color w:val="FF0000"/>
                    <w:lang w:val="en-GB"/>
                  </w:rPr>
                  <m:t>X</m:t>
                </m:r>
                <m:r>
                  <w:rPr>
                    <w:rFonts w:ascii="Cambria Math" w:hAnsi="Cambria Math"/>
                    <w:lang w:val="en-GB"/>
                  </w:rPr>
                  <m:t>S</m:t>
                </m:r>
                <m:r>
                  <m:rPr>
                    <m:sty m:val="p"/>
                  </m:rPr>
                  <w:rPr>
                    <w:rFonts w:ascii="Cambria Math" w:hAnsi="Cambria Math"/>
                    <w:lang w:val="en-GB"/>
                  </w:rPr>
                  <m:t xml:space="preserve"> =</m:t>
                </m:r>
                <m:r>
                  <w:rPr>
                    <w:rFonts w:ascii="Cambria Math" w:hAnsi="Cambria Math"/>
                    <w:lang w:val="en-GB"/>
                  </w:rPr>
                  <m:t>n</m:t>
                </m:r>
                <m:r>
                  <m:rPr>
                    <m:sty m:val="p"/>
                  </m:rPr>
                  <w:rPr>
                    <w:rFonts w:ascii="Cambria Math" w:hAnsi="Cambria Math"/>
                    <w:lang w:val="en-GB"/>
                  </w:rPr>
                  <m:t>(</m:t>
                </m:r>
                <m:r>
                  <w:rPr>
                    <w:rFonts w:ascii="Cambria Math" w:hAnsi="Cambria Math"/>
                    <w:lang w:val="en-GB"/>
                  </w:rPr>
                  <m:t>Q</m:t>
                </m:r>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x</m:t>
                    </m:r>
                  </m:e>
                  <m:sub>
                    <m:d>
                      <m:dPr>
                        <m:ctrlPr>
                          <w:rPr>
                            <w:rFonts w:ascii="Cambria Math" w:hAnsi="Cambria Math"/>
                            <w:lang w:val="en-GB"/>
                          </w:rPr>
                        </m:ctrlPr>
                      </m:dPr>
                      <m:e>
                        <m:r>
                          <w:rPr>
                            <w:rFonts w:ascii="Cambria Math" w:hAnsi="Cambria Math"/>
                            <w:lang w:val="en-GB"/>
                          </w:rPr>
                          <m:t>k</m:t>
                        </m:r>
                      </m:e>
                    </m:d>
                  </m:sub>
                </m:sSub>
                <m:r>
                  <m:rPr>
                    <m:sty m:val="p"/>
                  </m:rPr>
                  <w:rPr>
                    <w:rFonts w:ascii="Cambria Math" w:hAnsi="Cambria Math"/>
                    <w:lang w:val="en-GB"/>
                  </w:rPr>
                  <m:t>+</m:t>
                </m:r>
                <m:r>
                  <w:rPr>
                    <w:rFonts w:ascii="Cambria Math" w:hAnsi="Cambria Math"/>
                    <w:lang w:val="en-GB"/>
                  </w:rPr>
                  <m:t>a</m:t>
                </m:r>
                <m:d>
                  <m:dPr>
                    <m:ctrlPr>
                      <w:rPr>
                        <w:rFonts w:ascii="Cambria Math" w:hAnsi="Cambria Math"/>
                        <w:lang w:val="en-GB"/>
                      </w:rPr>
                    </m:ctrlPr>
                  </m:dPr>
                  <m:e>
                    <m:sSub>
                      <m:sSubPr>
                        <m:ctrlPr>
                          <w:rPr>
                            <w:rFonts w:ascii="Cambria Math" w:hAnsi="Cambria Math"/>
                            <w:lang w:val="en-GB"/>
                          </w:rPr>
                        </m:ctrlPr>
                      </m:sSubPr>
                      <m:e>
                        <m:r>
                          <w:rPr>
                            <w:rFonts w:ascii="Cambria Math" w:hAnsi="Cambria Math"/>
                            <w:lang w:val="en-GB"/>
                          </w:rPr>
                          <m:t>x</m:t>
                        </m:r>
                      </m:e>
                      <m:sub>
                        <m:d>
                          <m:dPr>
                            <m:ctrlPr>
                              <w:rPr>
                                <w:rFonts w:ascii="Cambria Math" w:hAnsi="Cambria Math"/>
                                <w:lang w:val="en-GB"/>
                              </w:rPr>
                            </m:ctrlPr>
                          </m:dPr>
                          <m:e>
                            <m:r>
                              <w:rPr>
                                <w:rFonts w:ascii="Cambria Math" w:hAnsi="Cambria Math"/>
                                <w:lang w:val="en-GB"/>
                              </w:rPr>
                              <m:t>k</m:t>
                            </m:r>
                            <m:r>
                              <m:rPr>
                                <m:sty m:val="p"/>
                              </m:rPr>
                              <w:rPr>
                                <w:rFonts w:ascii="Cambria Math" w:hAnsi="Cambria Math"/>
                                <w:lang w:val="en-GB"/>
                              </w:rPr>
                              <m:t>+1</m:t>
                            </m:r>
                          </m:e>
                        </m:d>
                      </m:sub>
                    </m:sSub>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x</m:t>
                        </m:r>
                      </m:e>
                      <m:sub>
                        <m:d>
                          <m:dPr>
                            <m:ctrlPr>
                              <w:rPr>
                                <w:rFonts w:ascii="Cambria Math" w:hAnsi="Cambria Math"/>
                                <w:lang w:val="en-GB"/>
                              </w:rPr>
                            </m:ctrlPr>
                          </m:dPr>
                          <m:e>
                            <m:r>
                              <w:rPr>
                                <w:rFonts w:ascii="Cambria Math" w:hAnsi="Cambria Math"/>
                                <w:lang w:val="en-GB"/>
                              </w:rPr>
                              <m:t>k</m:t>
                            </m:r>
                          </m:e>
                        </m:d>
                      </m:sub>
                    </m:sSub>
                  </m:e>
                </m:d>
              </m:oMath>
            </m:oMathPara>
          </w:p>
        </w:tc>
        <w:tc>
          <w:tcPr>
            <w:tcW w:w="877" w:type="dxa"/>
            <w:vAlign w:val="center"/>
          </w:tcPr>
          <w:p w14:paraId="7EC13B38" w14:textId="4C41CD28" w:rsidR="00C547FD" w:rsidRDefault="00C547FD" w:rsidP="00B73393">
            <w:pPr>
              <w:spacing w:beforeLines="120" w:before="288" w:afterLines="120" w:after="288"/>
              <w:jc w:val="right"/>
            </w:pPr>
            <w:r>
              <w:t>(</w:t>
            </w:r>
            <w:r w:rsidR="00427B33">
              <w:fldChar w:fldCharType="begin"/>
            </w:r>
            <w:r w:rsidR="00427B33">
              <w:instrText xml:space="preserve"> STYLEREF 1 \s </w:instrText>
            </w:r>
            <w:r w:rsidR="00427B33">
              <w:fldChar w:fldCharType="separate"/>
            </w:r>
            <w:r w:rsidR="00587AF0">
              <w:rPr>
                <w:noProof/>
              </w:rPr>
              <w:t>8</w:t>
            </w:r>
            <w:r w:rsidR="00427B33">
              <w:rPr>
                <w:noProof/>
              </w:rPr>
              <w:fldChar w:fldCharType="end"/>
            </w:r>
            <w:r w:rsidR="002C693A">
              <w:t>.</w:t>
            </w:r>
            <w:r w:rsidR="00427B33">
              <w:fldChar w:fldCharType="begin"/>
            </w:r>
            <w:r w:rsidR="00427B33">
              <w:instrText xml:space="preserve"> SEQ Equation \* ARABIC \s 1 </w:instrText>
            </w:r>
            <w:r w:rsidR="00427B33">
              <w:fldChar w:fldCharType="separate"/>
            </w:r>
            <w:r w:rsidR="00587AF0">
              <w:rPr>
                <w:noProof/>
              </w:rPr>
              <w:t>4</w:t>
            </w:r>
            <w:r w:rsidR="00427B33">
              <w:rPr>
                <w:noProof/>
              </w:rPr>
              <w:fldChar w:fldCharType="end"/>
            </w:r>
            <w:r>
              <w:t>)</w:t>
            </w:r>
          </w:p>
        </w:tc>
      </w:tr>
    </w:tbl>
    <w:p w14:paraId="756D0886" w14:textId="6AF8104A" w:rsidR="00C547FD" w:rsidRDefault="00902BFF" w:rsidP="00B73393">
      <w:pPr>
        <w:rPr>
          <w:lang w:val="sr-Latn-RS"/>
        </w:rPr>
      </w:pPr>
      <w:r>
        <w:rPr>
          <w:lang w:val="sr-Latn-RS"/>
        </w:rPr>
        <w:t xml:space="preserve">where </w:t>
      </w:r>
      <w:r>
        <w:rPr>
          <w:i/>
          <w:iCs/>
          <w:lang w:val="sr-Latn-RS"/>
        </w:rPr>
        <w:t>k</w:t>
      </w:r>
      <w:r>
        <w:rPr>
          <w:lang w:val="sr-Latn-RS"/>
        </w:rPr>
        <w:t xml:space="preserve"> = [Q(n+1)] and </w:t>
      </w:r>
      <w:r>
        <w:rPr>
          <w:i/>
          <w:iCs/>
          <w:lang w:val="sr-Latn-RS"/>
        </w:rPr>
        <w:t>a</w:t>
      </w:r>
      <w:r>
        <w:rPr>
          <w:lang w:val="sr-Latn-RS"/>
        </w:rPr>
        <w:t xml:space="preserve"> = Q(n+1)-[Q(n+1)]. Therefore, finding 1st, 2nd, and 3rd quartile, i.e., 25%, 50% (Median), and 75% </w:t>
      </w:r>
      <w:r>
        <w:rPr>
          <w:i/>
          <w:iCs/>
          <w:lang w:val="sr-Latn-RS"/>
        </w:rPr>
        <w:t>n</w:t>
      </w:r>
      <w:r>
        <w:rPr>
          <w:lang w:val="sr-Latn-RS"/>
        </w:rPr>
        <w:t xml:space="preserve">th element we must find </w:t>
      </w:r>
      <w:r>
        <w:rPr>
          <w:i/>
          <w:iCs/>
          <w:lang w:val="sr-Latn-RS"/>
        </w:rPr>
        <w:t>n</w:t>
      </w:r>
      <w:r>
        <w:rPr>
          <w:lang w:val="sr-Latn-RS"/>
        </w:rPr>
        <w:t xml:space="preserve">(0.25), </w:t>
      </w:r>
      <w:r>
        <w:rPr>
          <w:i/>
          <w:iCs/>
          <w:lang w:val="sr-Latn-RS"/>
        </w:rPr>
        <w:t>n</w:t>
      </w:r>
      <w:r>
        <w:rPr>
          <w:lang w:val="sr-Latn-RS"/>
        </w:rPr>
        <w:t xml:space="preserve">(0.50) and </w:t>
      </w:r>
      <w:r>
        <w:rPr>
          <w:i/>
          <w:iCs/>
          <w:lang w:val="sr-Latn-RS"/>
        </w:rPr>
        <w:t>n</w:t>
      </w:r>
      <w:r>
        <w:rPr>
          <w:lang w:val="sr-Latn-RS"/>
        </w:rPr>
        <w:t>(0.75), respectively.</w:t>
      </w:r>
      <w:r w:rsidR="009F3286">
        <w:rPr>
          <w:lang w:val="sr-Latn-RS"/>
        </w:rPr>
        <w:t xml:space="preserve"> The excel function </w:t>
      </w:r>
      <w:r w:rsidR="0043421F">
        <w:rPr>
          <w:lang w:val="sr-Latn-RS"/>
        </w:rPr>
        <w:t>„</w:t>
      </w:r>
      <w:r w:rsidR="009F3286">
        <w:rPr>
          <w:lang w:val="sr-Latn-RS"/>
        </w:rPr>
        <w:t>=QUARTILE.EX</w:t>
      </w:r>
      <w:r w:rsidR="0043421F">
        <w:rPr>
          <w:lang w:val="sr-Latn-RS"/>
        </w:rPr>
        <w:t>C</w:t>
      </w:r>
      <w:r w:rsidR="009F3286">
        <w:rPr>
          <w:lang w:val="sr-Latn-RS"/>
        </w:rPr>
        <w:t>()</w:t>
      </w:r>
      <w:r w:rsidR="0043421F">
        <w:rPr>
          <w:lang w:val="sr-Latn-RS"/>
        </w:rPr>
        <w:t xml:space="preserve">“ with </w:t>
      </w:r>
      <w:r w:rsidR="0043421F">
        <w:rPr>
          <w:i/>
          <w:iCs/>
          <w:lang w:val="sr-Latn-RS"/>
        </w:rPr>
        <w:t>array</w:t>
      </w:r>
      <w:r w:rsidR="0043421F">
        <w:rPr>
          <w:lang w:val="sr-Latn-RS"/>
        </w:rPr>
        <w:t xml:space="preserve"> and </w:t>
      </w:r>
      <w:r w:rsidR="0043421F">
        <w:rPr>
          <w:i/>
          <w:iCs/>
          <w:lang w:val="sr-Latn-RS"/>
        </w:rPr>
        <w:t>quartile</w:t>
      </w:r>
      <w:r w:rsidR="0043421F">
        <w:rPr>
          <w:lang w:val="sr-Latn-RS"/>
        </w:rPr>
        <w:t xml:space="preserve"> arguments provides </w:t>
      </w:r>
      <w:r w:rsidR="001D154A">
        <w:rPr>
          <w:lang w:val="sr-Latn-RS"/>
        </w:rPr>
        <w:t xml:space="preserve">an </w:t>
      </w:r>
      <w:r w:rsidR="0043421F">
        <w:rPr>
          <w:lang w:val="sr-Latn-RS"/>
        </w:rPr>
        <w:t>easy way to extract quartile values, where the values are extracted</w:t>
      </w:r>
      <w:r w:rsidR="00C57AD9">
        <w:rPr>
          <w:lang w:val="sr-Latn-RS"/>
        </w:rPr>
        <w:t xml:space="preserve"> for all three quartile ranges, including </w:t>
      </w:r>
      <w:r w:rsidR="001D154A">
        <w:rPr>
          <w:lang w:val="sr-Latn-RS"/>
        </w:rPr>
        <w:t xml:space="preserve">the </w:t>
      </w:r>
      <w:r w:rsidR="00C57AD9" w:rsidRPr="00C57AD9">
        <w:rPr>
          <w:b/>
          <w:bCs/>
          <w:i/>
          <w:iCs/>
          <w:lang w:val="sr-Latn-RS"/>
        </w:rPr>
        <w:t>interquartile</w:t>
      </w:r>
      <w:r w:rsidR="00C57AD9">
        <w:rPr>
          <w:lang w:val="sr-Latn-RS"/>
        </w:rPr>
        <w:t xml:space="preserve"> (</w:t>
      </w:r>
      <w:r w:rsidR="00C57AD9" w:rsidRPr="00C57AD9">
        <w:rPr>
          <w:b/>
          <w:bCs/>
          <w:lang w:val="sr-Latn-RS"/>
        </w:rPr>
        <w:t>IQR</w:t>
      </w:r>
      <w:r w:rsidR="00C57AD9">
        <w:rPr>
          <w:lang w:val="sr-Latn-RS"/>
        </w:rPr>
        <w:t>) range of data spread between 3rd and 1st quartile, and defined as:</w:t>
      </w:r>
    </w:p>
    <w:tbl>
      <w:tblPr>
        <w:tblpPr w:leftFromText="180" w:rightFromText="180" w:vertAnchor="text" w:horzAnchor="margin" w:tblpY="167"/>
        <w:tblW w:w="0" w:type="auto"/>
        <w:tblLook w:val="04A0" w:firstRow="1" w:lastRow="0" w:firstColumn="1" w:lastColumn="0" w:noHBand="0" w:noVBand="1"/>
      </w:tblPr>
      <w:tblGrid>
        <w:gridCol w:w="8140"/>
        <w:gridCol w:w="877"/>
      </w:tblGrid>
      <w:tr w:rsidR="00C57AD9" w14:paraId="406B30D0" w14:textId="77777777" w:rsidTr="00231124">
        <w:tc>
          <w:tcPr>
            <w:tcW w:w="8140" w:type="dxa"/>
            <w:vAlign w:val="center"/>
          </w:tcPr>
          <w:p w14:paraId="3C50389E" w14:textId="21AA8B12" w:rsidR="00C57AD9" w:rsidRPr="00841925" w:rsidRDefault="00C57AD9" w:rsidP="00B73393">
            <w:pPr>
              <w:spacing w:beforeLines="120" w:before="288" w:afterLines="120" w:after="288"/>
              <w:jc w:val="center"/>
              <w:rPr>
                <w:rFonts w:ascii="Cambria Math" w:hAnsi="Cambria Math"/>
                <w:iCs/>
                <w:lang w:val="en-GB"/>
              </w:rPr>
            </w:pPr>
            <m:oMath>
              <m:r>
                <w:rPr>
                  <w:rFonts w:ascii="Cambria Math" w:hAnsi="Cambria Math"/>
                  <w:lang w:val="en-GB"/>
                </w:rPr>
                <m:t>N_IQR_</m:t>
              </m:r>
              <m:r>
                <w:rPr>
                  <w:rFonts w:ascii="Cambria Math" w:hAnsi="Cambria Math"/>
                  <w:color w:val="FF0000"/>
                  <w:lang w:val="en-GB"/>
                </w:rPr>
                <m:t>X</m:t>
              </m:r>
              <m:r>
                <w:rPr>
                  <w:rFonts w:ascii="Cambria Math" w:hAnsi="Cambria Math"/>
                  <w:lang w:val="en-GB"/>
                </w:rPr>
                <m:t>S</m:t>
              </m:r>
              <m:r>
                <m:rPr>
                  <m:sty m:val="p"/>
                </m:rPr>
                <w:rPr>
                  <w:rFonts w:ascii="Cambria Math" w:hAnsi="Cambria Math"/>
                  <w:lang w:val="en-GB"/>
                </w:rPr>
                <m:t xml:space="preserve"> =N_3Q_</m:t>
              </m:r>
              <m:r>
                <w:rPr>
                  <w:rFonts w:ascii="Cambria Math" w:hAnsi="Cambria Math"/>
                  <w:color w:val="FF0000"/>
                  <w:lang w:val="en-GB"/>
                </w:rPr>
                <m:t>X</m:t>
              </m:r>
              <m:r>
                <w:rPr>
                  <w:rFonts w:ascii="Cambria Math" w:hAnsi="Cambria Math"/>
                  <w:lang w:val="en-GB"/>
                </w:rPr>
                <m:t>S</m:t>
              </m:r>
              <m:r>
                <m:rPr>
                  <m:sty m:val="p"/>
                </m:rPr>
                <w:rPr>
                  <w:rFonts w:ascii="Cambria Math" w:hAnsi="Cambria Math"/>
                  <w:lang w:val="en-GB"/>
                </w:rPr>
                <m:t>-N_1Q_</m:t>
              </m:r>
              <m:r>
                <w:rPr>
                  <w:rFonts w:ascii="Cambria Math" w:hAnsi="Cambria Math"/>
                  <w:color w:val="FF0000"/>
                  <w:lang w:val="en-GB"/>
                </w:rPr>
                <m:t>X</m:t>
              </m:r>
              <m:r>
                <w:rPr>
                  <w:rFonts w:ascii="Cambria Math" w:hAnsi="Cambria Math"/>
                  <w:lang w:val="en-GB"/>
                </w:rPr>
                <m:t>S</m:t>
              </m:r>
            </m:oMath>
            <w:r>
              <w:rPr>
                <w:rFonts w:ascii="Cambria Math" w:eastAsiaTheme="minorEastAsia" w:hAnsi="Cambria Math"/>
                <w:iCs/>
                <w:lang w:val="en-GB"/>
              </w:rPr>
              <w:t xml:space="preserve"> .</w:t>
            </w:r>
          </w:p>
        </w:tc>
        <w:tc>
          <w:tcPr>
            <w:tcW w:w="877" w:type="dxa"/>
            <w:vAlign w:val="center"/>
          </w:tcPr>
          <w:p w14:paraId="6C98E3E1" w14:textId="708758F0" w:rsidR="00C57AD9" w:rsidRDefault="00C57AD9" w:rsidP="00B73393">
            <w:pPr>
              <w:spacing w:beforeLines="120" w:before="288" w:afterLines="120" w:after="288"/>
              <w:jc w:val="right"/>
            </w:pPr>
            <w:r>
              <w:t>(</w:t>
            </w:r>
            <w:r w:rsidR="00427B33">
              <w:fldChar w:fldCharType="begin"/>
            </w:r>
            <w:r w:rsidR="00427B33">
              <w:instrText xml:space="preserve"> STYLEREF 1 \s </w:instrText>
            </w:r>
            <w:r w:rsidR="00427B33">
              <w:fldChar w:fldCharType="separate"/>
            </w:r>
            <w:r w:rsidR="00587AF0">
              <w:rPr>
                <w:noProof/>
              </w:rPr>
              <w:t>8</w:t>
            </w:r>
            <w:r w:rsidR="00427B33">
              <w:rPr>
                <w:noProof/>
              </w:rPr>
              <w:fldChar w:fldCharType="end"/>
            </w:r>
            <w:r w:rsidR="002C693A">
              <w:t>.</w:t>
            </w:r>
            <w:r w:rsidR="00427B33">
              <w:fldChar w:fldCharType="begin"/>
            </w:r>
            <w:r w:rsidR="00427B33">
              <w:instrText xml:space="preserve"> SEQ Equation \* ARABIC \s 1 </w:instrText>
            </w:r>
            <w:r w:rsidR="00427B33">
              <w:fldChar w:fldCharType="separate"/>
            </w:r>
            <w:r w:rsidR="00587AF0">
              <w:rPr>
                <w:noProof/>
              </w:rPr>
              <w:t>5</w:t>
            </w:r>
            <w:r w:rsidR="00427B33">
              <w:rPr>
                <w:noProof/>
              </w:rPr>
              <w:fldChar w:fldCharType="end"/>
            </w:r>
            <w:r>
              <w:t>)</w:t>
            </w:r>
          </w:p>
        </w:tc>
      </w:tr>
    </w:tbl>
    <w:p w14:paraId="3612898D" w14:textId="6171D309" w:rsidR="00C57AD9" w:rsidRDefault="001D05A1" w:rsidP="00B73393">
      <w:pPr>
        <w:rPr>
          <w:lang w:val="sr-Latn-RS"/>
        </w:rPr>
      </w:pPr>
      <w:r>
        <w:rPr>
          <w:lang w:val="sr-Latn-RS"/>
        </w:rPr>
        <w:t>In addition to quartile ranges and previous formulas</w:t>
      </w:r>
      <w:r w:rsidR="001D154A">
        <w:rPr>
          <w:lang w:val="sr-Latn-RS"/>
        </w:rPr>
        <w:t>,</w:t>
      </w:r>
      <w:r>
        <w:rPr>
          <w:lang w:val="sr-Latn-RS"/>
        </w:rPr>
        <w:t xml:space="preserve"> minimum and maximum values are also calculated via </w:t>
      </w:r>
      <w:r w:rsidR="001D154A">
        <w:rPr>
          <w:lang w:val="sr-Latn-RS"/>
        </w:rPr>
        <w:t xml:space="preserve">the </w:t>
      </w:r>
      <w:r>
        <w:rPr>
          <w:lang w:val="sr-Latn-RS"/>
        </w:rPr>
        <w:t xml:space="preserve">excel function as </w:t>
      </w:r>
      <w:r w:rsidR="001D154A">
        <w:rPr>
          <w:lang w:val="sr-Latn-RS"/>
        </w:rPr>
        <w:t xml:space="preserve">a </w:t>
      </w:r>
      <w:r w:rsidRPr="001D05A1">
        <w:rPr>
          <w:b/>
          <w:bCs/>
          <w:lang w:val="sr-Latn-RS"/>
        </w:rPr>
        <w:t>minimum</w:t>
      </w:r>
      <w:r>
        <w:rPr>
          <w:b/>
          <w:bCs/>
          <w:lang w:val="sr-Latn-RS"/>
        </w:rPr>
        <w:t xml:space="preserve"> </w:t>
      </w:r>
      <w:r>
        <w:rPr>
          <w:lang w:val="sr-Latn-RS"/>
        </w:rPr>
        <w:t>(„=MIN(</w:t>
      </w:r>
      <w:r w:rsidRPr="001D05A1">
        <w:rPr>
          <w:i/>
          <w:iCs/>
          <w:lang w:val="sr-Latn-RS"/>
        </w:rPr>
        <w:t>array</w:t>
      </w:r>
      <w:r>
        <w:rPr>
          <w:lang w:val="sr-Latn-RS"/>
        </w:rPr>
        <w:t xml:space="preserve">)“) and </w:t>
      </w:r>
      <w:r w:rsidRPr="001D05A1">
        <w:rPr>
          <w:b/>
          <w:bCs/>
          <w:lang w:val="sr-Latn-RS"/>
        </w:rPr>
        <w:t>maximum</w:t>
      </w:r>
      <w:r>
        <w:rPr>
          <w:b/>
          <w:bCs/>
          <w:lang w:val="sr-Latn-RS"/>
        </w:rPr>
        <w:t xml:space="preserve"> </w:t>
      </w:r>
      <w:r w:rsidRPr="001D05A1">
        <w:rPr>
          <w:lang w:val="sr-Latn-RS"/>
        </w:rPr>
        <w:t>(</w:t>
      </w:r>
      <w:r>
        <w:rPr>
          <w:lang w:val="sr-Latn-RS"/>
        </w:rPr>
        <w:t>„=MAX(</w:t>
      </w:r>
      <w:r w:rsidRPr="001D05A1">
        <w:rPr>
          <w:i/>
          <w:iCs/>
          <w:lang w:val="sr-Latn-RS"/>
        </w:rPr>
        <w:t>array</w:t>
      </w:r>
      <w:r>
        <w:rPr>
          <w:lang w:val="sr-Latn-RS"/>
        </w:rPr>
        <w:t>)“</w:t>
      </w:r>
      <w:r w:rsidRPr="001D05A1">
        <w:rPr>
          <w:lang w:val="sr-Latn-RS"/>
        </w:rPr>
        <w:t>)</w:t>
      </w:r>
      <w:r>
        <w:rPr>
          <w:lang w:val="sr-Latn-RS"/>
        </w:rPr>
        <w:t xml:space="preserve"> values of given </w:t>
      </w:r>
      <w:r>
        <w:rPr>
          <w:i/>
          <w:iCs/>
          <w:lang w:val="sr-Latn-RS"/>
        </w:rPr>
        <w:t>n</w:t>
      </w:r>
      <w:r>
        <w:rPr>
          <w:lang w:val="sr-Latn-RS"/>
        </w:rPr>
        <w:t xml:space="preserve"> records of a signal </w:t>
      </w:r>
      <w:r>
        <w:rPr>
          <w:i/>
          <w:iCs/>
          <w:lang w:val="sr-Latn-RS"/>
        </w:rPr>
        <w:t>N</w:t>
      </w:r>
      <w:r>
        <w:rPr>
          <w:lang w:val="sr-Latn-RS"/>
        </w:rPr>
        <w:t xml:space="preserve"> at a specified cycle. Peak to peak interval value is also calculated by subtracting maximum from minimum values as:</w:t>
      </w:r>
    </w:p>
    <w:tbl>
      <w:tblPr>
        <w:tblpPr w:leftFromText="180" w:rightFromText="180" w:vertAnchor="text" w:horzAnchor="margin" w:tblpY="167"/>
        <w:tblW w:w="0" w:type="auto"/>
        <w:tblLook w:val="04A0" w:firstRow="1" w:lastRow="0" w:firstColumn="1" w:lastColumn="0" w:noHBand="0" w:noVBand="1"/>
      </w:tblPr>
      <w:tblGrid>
        <w:gridCol w:w="8140"/>
        <w:gridCol w:w="877"/>
      </w:tblGrid>
      <w:tr w:rsidR="001D05A1" w14:paraId="08E18F27" w14:textId="77777777" w:rsidTr="00231124">
        <w:tc>
          <w:tcPr>
            <w:tcW w:w="8140" w:type="dxa"/>
            <w:vAlign w:val="center"/>
          </w:tcPr>
          <w:p w14:paraId="0FAF1E90" w14:textId="7A4C7ADE" w:rsidR="001D05A1" w:rsidRPr="00841925" w:rsidRDefault="001D05A1" w:rsidP="00B73393">
            <w:pPr>
              <w:jc w:val="center"/>
              <w:rPr>
                <w:iCs/>
                <w:lang w:val="en-GB"/>
              </w:rPr>
            </w:pPr>
            <m:oMath>
              <m:r>
                <w:rPr>
                  <w:rFonts w:ascii="Cambria Math" w:hAnsi="Cambria Math"/>
                  <w:lang w:val="en-GB"/>
                </w:rPr>
                <m:t>N</m:t>
              </m:r>
              <m:r>
                <m:rPr>
                  <m:sty m:val="p"/>
                </m:rPr>
                <w:rPr>
                  <w:rFonts w:ascii="Cambria Math" w:hAnsi="Cambria Math"/>
                  <w:lang w:val="en-GB"/>
                </w:rPr>
                <m:t>_</m:t>
              </m:r>
              <m:r>
                <w:rPr>
                  <w:rFonts w:ascii="Cambria Math" w:hAnsi="Cambria Math"/>
                  <w:lang w:val="en-GB"/>
                </w:rPr>
                <m:t>P</m:t>
              </m:r>
              <m:r>
                <m:rPr>
                  <m:sty m:val="p"/>
                </m:rPr>
                <w:rPr>
                  <w:rFonts w:ascii="Cambria Math" w:hAnsi="Cambria Math"/>
                  <w:lang w:val="en-GB"/>
                </w:rPr>
                <m:t>_</m:t>
              </m:r>
              <m:r>
                <w:rPr>
                  <w:rFonts w:ascii="Cambria Math" w:hAnsi="Cambria Math"/>
                  <w:lang w:val="en-GB"/>
                </w:rPr>
                <m:t>P</m:t>
              </m:r>
              <m:r>
                <m:rPr>
                  <m:sty m:val="p"/>
                </m:rPr>
                <w:rPr>
                  <w:rFonts w:ascii="Cambria Math" w:hAnsi="Cambria Math"/>
                  <w:lang w:val="en-GB"/>
                </w:rPr>
                <m:t>_</m:t>
              </m:r>
              <m:r>
                <w:rPr>
                  <w:rFonts w:ascii="Cambria Math" w:hAnsi="Cambria Math"/>
                  <w:color w:val="FF0000"/>
                  <w:lang w:val="en-GB"/>
                </w:rPr>
                <m:t>X</m:t>
              </m:r>
              <m:r>
                <w:rPr>
                  <w:rFonts w:ascii="Cambria Math" w:hAnsi="Cambria Math"/>
                  <w:lang w:val="en-GB"/>
                </w:rPr>
                <m:t>S</m:t>
              </m:r>
              <m:r>
                <m:rPr>
                  <m:sty m:val="p"/>
                </m:rPr>
                <w:rPr>
                  <w:rFonts w:ascii="Cambria Math" w:hAnsi="Cambria Math"/>
                  <w:lang w:val="en-GB"/>
                </w:rPr>
                <m:t xml:space="preserve"> =</m:t>
              </m:r>
              <m:d>
                <m:dPr>
                  <m:begChr m:val="|"/>
                  <m:endChr m:val="|"/>
                  <m:ctrlPr>
                    <w:rPr>
                      <w:rFonts w:ascii="Cambria Math" w:hAnsi="Cambria Math"/>
                      <w:iCs/>
                      <w:lang w:val="en-GB"/>
                    </w:rPr>
                  </m:ctrlPr>
                </m:dPr>
                <m:e>
                  <m:r>
                    <m:rPr>
                      <m:sty m:val="p"/>
                    </m:rPr>
                    <w:rPr>
                      <w:rFonts w:ascii="Cambria Math" w:hAnsi="Cambria Math"/>
                      <w:lang w:val="en-GB"/>
                    </w:rPr>
                    <m:t>N_MAX_</m:t>
                  </m:r>
                  <m:r>
                    <w:rPr>
                      <w:rFonts w:ascii="Cambria Math" w:hAnsi="Cambria Math"/>
                      <w:color w:val="FF0000"/>
                      <w:lang w:val="en-GB"/>
                    </w:rPr>
                    <m:t>X</m:t>
                  </m:r>
                  <m:r>
                    <w:rPr>
                      <w:rFonts w:ascii="Cambria Math" w:hAnsi="Cambria Math"/>
                      <w:lang w:val="en-GB"/>
                    </w:rPr>
                    <m:t>S</m:t>
                  </m:r>
                  <m:r>
                    <m:rPr>
                      <m:sty m:val="p"/>
                    </m:rPr>
                    <w:rPr>
                      <w:rFonts w:ascii="Cambria Math" w:hAnsi="Cambria Math"/>
                      <w:lang w:val="en-GB"/>
                    </w:rPr>
                    <m:t>-N_MAX_</m:t>
                  </m:r>
                  <m:r>
                    <w:rPr>
                      <w:rFonts w:ascii="Cambria Math" w:hAnsi="Cambria Math"/>
                      <w:color w:val="FF0000"/>
                      <w:lang w:val="en-GB"/>
                    </w:rPr>
                    <m:t>X</m:t>
                  </m:r>
                  <m:r>
                    <w:rPr>
                      <w:rFonts w:ascii="Cambria Math" w:hAnsi="Cambria Math"/>
                      <w:lang w:val="en-GB"/>
                    </w:rPr>
                    <m:t>S</m:t>
                  </m:r>
                </m:e>
              </m:d>
            </m:oMath>
            <w:r>
              <w:rPr>
                <w:rFonts w:eastAsiaTheme="minorEastAsia"/>
                <w:iCs/>
                <w:lang w:val="en-GB"/>
              </w:rPr>
              <w:t xml:space="preserve"> .</w:t>
            </w:r>
          </w:p>
        </w:tc>
        <w:tc>
          <w:tcPr>
            <w:tcW w:w="877" w:type="dxa"/>
            <w:vAlign w:val="center"/>
          </w:tcPr>
          <w:p w14:paraId="4C342E50" w14:textId="381B2E80" w:rsidR="001D05A1" w:rsidRDefault="001D05A1" w:rsidP="00B73393">
            <w:pPr>
              <w:spacing w:beforeLines="120" w:before="288" w:afterLines="120" w:after="288"/>
              <w:jc w:val="right"/>
            </w:pPr>
            <w:r>
              <w:t>(</w:t>
            </w:r>
            <w:r w:rsidR="00427B33">
              <w:fldChar w:fldCharType="begin"/>
            </w:r>
            <w:r w:rsidR="00427B33">
              <w:instrText xml:space="preserve"> STYLEREF 1 \s </w:instrText>
            </w:r>
            <w:r w:rsidR="00427B33">
              <w:fldChar w:fldCharType="separate"/>
            </w:r>
            <w:r w:rsidR="00587AF0">
              <w:rPr>
                <w:noProof/>
              </w:rPr>
              <w:t>8</w:t>
            </w:r>
            <w:r w:rsidR="00427B33">
              <w:rPr>
                <w:noProof/>
              </w:rPr>
              <w:fldChar w:fldCharType="end"/>
            </w:r>
            <w:r w:rsidR="002C693A">
              <w:t>.</w:t>
            </w:r>
            <w:r w:rsidR="00427B33">
              <w:fldChar w:fldCharType="begin"/>
            </w:r>
            <w:r w:rsidR="00427B33">
              <w:instrText xml:space="preserve"> SEQ Equation \* ARABIC \s 1 </w:instrText>
            </w:r>
            <w:r w:rsidR="00427B33">
              <w:fldChar w:fldCharType="separate"/>
            </w:r>
            <w:r w:rsidR="00587AF0">
              <w:rPr>
                <w:noProof/>
              </w:rPr>
              <w:t>6</w:t>
            </w:r>
            <w:r w:rsidR="00427B33">
              <w:rPr>
                <w:noProof/>
              </w:rPr>
              <w:fldChar w:fldCharType="end"/>
            </w:r>
            <w:r>
              <w:t>)</w:t>
            </w:r>
          </w:p>
        </w:tc>
      </w:tr>
    </w:tbl>
    <w:p w14:paraId="1195BA60" w14:textId="04494BDE" w:rsidR="001D05A1" w:rsidRDefault="001B6005" w:rsidP="00B73393">
      <w:pPr>
        <w:rPr>
          <w:lang w:val="sr-Latn-RS"/>
        </w:rPr>
      </w:pPr>
      <w:r>
        <w:rPr>
          <w:lang w:val="sr-Latn-RS"/>
        </w:rPr>
        <w:t>Skewness is calculated as:</w:t>
      </w:r>
    </w:p>
    <w:tbl>
      <w:tblPr>
        <w:tblpPr w:leftFromText="180" w:rightFromText="180" w:vertAnchor="text" w:horzAnchor="margin" w:tblpY="167"/>
        <w:tblW w:w="0" w:type="auto"/>
        <w:tblLook w:val="04A0" w:firstRow="1" w:lastRow="0" w:firstColumn="1" w:lastColumn="0" w:noHBand="0" w:noVBand="1"/>
      </w:tblPr>
      <w:tblGrid>
        <w:gridCol w:w="8140"/>
        <w:gridCol w:w="877"/>
      </w:tblGrid>
      <w:tr w:rsidR="001B6005" w14:paraId="184C660C" w14:textId="77777777" w:rsidTr="00231124">
        <w:tc>
          <w:tcPr>
            <w:tcW w:w="8140" w:type="dxa"/>
            <w:vAlign w:val="center"/>
          </w:tcPr>
          <w:p w14:paraId="51B69E3E" w14:textId="211B7624" w:rsidR="001B6005" w:rsidRPr="00841925" w:rsidRDefault="00623649" w:rsidP="00B73393">
            <w:pPr>
              <w:jc w:val="center"/>
              <w:rPr>
                <w:lang w:val="en-GB"/>
              </w:rPr>
            </w:pPr>
            <m:oMath>
              <m:r>
                <w:rPr>
                  <w:rFonts w:ascii="Cambria Math" w:hAnsi="Cambria Math"/>
                  <w:lang w:val="en-GB"/>
                </w:rPr>
                <m:t>N</m:t>
              </m:r>
              <m:r>
                <m:rPr>
                  <m:sty m:val="p"/>
                </m:rPr>
                <w:rPr>
                  <w:rFonts w:ascii="Cambria Math" w:hAnsi="Cambria Math"/>
                  <w:lang w:val="en-GB"/>
                </w:rPr>
                <m:t>_</m:t>
              </m:r>
              <m:r>
                <w:rPr>
                  <w:rFonts w:ascii="Cambria Math" w:hAnsi="Cambria Math"/>
                  <w:lang w:val="en-GB"/>
                </w:rPr>
                <m:t>Skew</m:t>
              </m:r>
              <m:r>
                <m:rPr>
                  <m:sty m:val="p"/>
                </m:rPr>
                <w:rPr>
                  <w:rFonts w:ascii="Cambria Math" w:hAnsi="Cambria Math"/>
                  <w:lang w:val="en-GB"/>
                </w:rPr>
                <m:t>_</m:t>
              </m:r>
              <m:r>
                <w:rPr>
                  <w:rFonts w:ascii="Cambria Math" w:hAnsi="Cambria Math"/>
                  <w:color w:val="FF0000"/>
                  <w:lang w:val="en-GB"/>
                </w:rPr>
                <m:t>X</m:t>
              </m:r>
              <m:r>
                <w:rPr>
                  <w:rFonts w:ascii="Cambria Math" w:hAnsi="Cambria Math"/>
                  <w:lang w:val="en-GB"/>
                </w:rPr>
                <m:t>S</m:t>
              </m:r>
              <m:r>
                <m:rPr>
                  <m:sty m:val="p"/>
                </m:rPr>
                <w:rPr>
                  <w:rFonts w:ascii="Cambria Math" w:hAnsi="Cambria Math"/>
                  <w:lang w:val="en-GB"/>
                </w:rPr>
                <m:t xml:space="preserve"> =</m:t>
              </m:r>
              <m:sSub>
                <m:sSubPr>
                  <m:ctrlPr>
                    <w:rPr>
                      <w:rFonts w:ascii="Cambria Math" w:hAnsi="Cambria Math"/>
                      <w:lang w:val="en-GB"/>
                    </w:rPr>
                  </m:ctrlPr>
                </m:sSubPr>
                <m:e>
                  <m:acc>
                    <m:accPr>
                      <m:chr m:val="̃"/>
                      <m:ctrlPr>
                        <w:rPr>
                          <w:rFonts w:ascii="Cambria Math" w:hAnsi="Cambria Math"/>
                          <w:lang w:val="en-GB"/>
                        </w:rPr>
                      </m:ctrlPr>
                    </m:accPr>
                    <m:e>
                      <m:r>
                        <m:rPr>
                          <m:sty m:val="p"/>
                        </m:rPr>
                        <w:rPr>
                          <w:rFonts w:ascii="Cambria Math" w:hAnsi="Cambria Math"/>
                          <w:lang w:val="en-GB"/>
                        </w:rPr>
                        <m:t>μ</m:t>
                      </m:r>
                    </m:e>
                  </m:acc>
                </m:e>
                <m:sub>
                  <m:r>
                    <m:rPr>
                      <m:sty m:val="p"/>
                    </m:rPr>
                    <w:rPr>
                      <w:rFonts w:ascii="Cambria Math" w:hAnsi="Cambria Math"/>
                      <w:lang w:val="en-GB"/>
                    </w:rPr>
                    <m:t>3</m:t>
                  </m:r>
                </m:sub>
              </m:sSub>
              <m:r>
                <m:rPr>
                  <m:sty m:val="p"/>
                </m:rPr>
                <w:rPr>
                  <w:rFonts w:ascii="Cambria Math" w:hAnsi="Cambria Math"/>
                  <w:lang w:val="en-GB"/>
                </w:rPr>
                <m:t>=</m:t>
              </m:r>
              <m:f>
                <m:fPr>
                  <m:ctrlPr>
                    <w:rPr>
                      <w:rFonts w:ascii="Cambria Math" w:hAnsi="Cambria Math"/>
                      <w:lang w:val="en-GB"/>
                    </w:rPr>
                  </m:ctrlPr>
                </m:fPr>
                <m:num>
                  <m:nary>
                    <m:naryPr>
                      <m:chr m:val="∑"/>
                      <m:limLoc m:val="undOvr"/>
                      <m:ctrlPr>
                        <w:rPr>
                          <w:rFonts w:ascii="Cambria Math" w:hAnsi="Cambria Math"/>
                          <w:lang w:val="en-GB"/>
                        </w:rPr>
                      </m:ctrlPr>
                    </m:naryPr>
                    <m:sub>
                      <m:r>
                        <w:rPr>
                          <w:rFonts w:ascii="Cambria Math" w:hAnsi="Cambria Math"/>
                          <w:lang w:val="en-GB"/>
                        </w:rPr>
                        <m:t>i</m:t>
                      </m:r>
                    </m:sub>
                    <m:sup>
                      <m:r>
                        <w:rPr>
                          <w:rFonts w:ascii="Cambria Math" w:hAnsi="Cambria Math"/>
                          <w:lang w:val="en-GB"/>
                        </w:rPr>
                        <m:t>n</m:t>
                      </m:r>
                    </m:sup>
                    <m:e>
                      <m:sSup>
                        <m:sSupPr>
                          <m:ctrlPr>
                            <w:rPr>
                              <w:rFonts w:ascii="Cambria Math" w:hAnsi="Cambria Math"/>
                              <w:lang w:val="en-GB"/>
                            </w:rPr>
                          </m:ctrlPr>
                        </m:sSupPr>
                        <m:e>
                          <m:d>
                            <m:dPr>
                              <m:ctrlPr>
                                <w:rPr>
                                  <w:rFonts w:ascii="Cambria Math" w:hAnsi="Cambria Math"/>
                                  <w:lang w:val="en-GB"/>
                                </w:rPr>
                              </m:ctrlPr>
                            </m:dPr>
                            <m:e>
                              <m:sSub>
                                <m:sSubPr>
                                  <m:ctrlPr>
                                    <w:rPr>
                                      <w:rFonts w:ascii="Cambria Math" w:hAnsi="Cambria Math"/>
                                      <w:lang w:val="en-GB"/>
                                    </w:rPr>
                                  </m:ctrlPr>
                                </m:sSubPr>
                                <m:e>
                                  <m:r>
                                    <w:rPr>
                                      <w:rFonts w:ascii="Cambria Math" w:hAnsi="Cambria Math"/>
                                      <w:lang w:val="en-GB"/>
                                    </w:rPr>
                                    <m:t>x</m:t>
                                  </m:r>
                                </m:e>
                                <m:sub>
                                  <m:r>
                                    <w:rPr>
                                      <w:rFonts w:ascii="Cambria Math" w:hAnsi="Cambria Math"/>
                                      <w:lang w:val="en-GB"/>
                                    </w:rPr>
                                    <m:t>i</m:t>
                                  </m:r>
                                </m:sub>
                              </m:sSub>
                              <m:r>
                                <m:rPr>
                                  <m:sty m:val="p"/>
                                </m:rPr>
                                <w:rPr>
                                  <w:rFonts w:ascii="Cambria Math" w:hAnsi="Cambria Math"/>
                                  <w:lang w:val="en-GB"/>
                                </w:rPr>
                                <m:t>-</m:t>
                              </m:r>
                              <m:acc>
                                <m:accPr>
                                  <m:chr m:val="̅"/>
                                  <m:ctrlPr>
                                    <w:rPr>
                                      <w:rFonts w:ascii="Cambria Math" w:hAnsi="Cambria Math"/>
                                      <w:lang w:val="en-GB"/>
                                    </w:rPr>
                                  </m:ctrlPr>
                                </m:accPr>
                                <m:e>
                                  <m:r>
                                    <w:rPr>
                                      <w:rFonts w:ascii="Cambria Math" w:hAnsi="Cambria Math"/>
                                      <w:lang w:val="en-GB"/>
                                    </w:rPr>
                                    <m:t>x</m:t>
                                  </m:r>
                                </m:e>
                              </m:acc>
                            </m:e>
                          </m:d>
                        </m:e>
                        <m:sup>
                          <m:r>
                            <m:rPr>
                              <m:sty m:val="p"/>
                            </m:rPr>
                            <w:rPr>
                              <w:rFonts w:ascii="Cambria Math" w:hAnsi="Cambria Math"/>
                              <w:lang w:val="en-GB"/>
                            </w:rPr>
                            <m:t>3</m:t>
                          </m:r>
                        </m:sup>
                      </m:sSup>
                    </m:e>
                  </m:nary>
                </m:num>
                <m:den>
                  <m:d>
                    <m:dPr>
                      <m:ctrlPr>
                        <w:rPr>
                          <w:rFonts w:ascii="Cambria Math" w:hAnsi="Cambria Math"/>
                          <w:lang w:val="en-GB"/>
                        </w:rPr>
                      </m:ctrlPr>
                    </m:dPr>
                    <m:e>
                      <m:r>
                        <w:rPr>
                          <w:rFonts w:ascii="Cambria Math" w:hAnsi="Cambria Math"/>
                          <w:lang w:val="en-GB"/>
                        </w:rPr>
                        <m:t>n</m:t>
                      </m:r>
                      <m:r>
                        <m:rPr>
                          <m:sty m:val="p"/>
                        </m:rPr>
                        <w:rPr>
                          <w:rFonts w:ascii="Cambria Math" w:hAnsi="Cambria Math"/>
                          <w:lang w:val="en-GB"/>
                        </w:rPr>
                        <m:t>-1</m:t>
                      </m:r>
                    </m:e>
                  </m:d>
                  <m:r>
                    <m:rPr>
                      <m:sty m:val="p"/>
                    </m:rPr>
                    <w:rPr>
                      <w:rFonts w:ascii="Cambria Math" w:hAnsi="Cambria Math"/>
                      <w:lang w:val="en-GB"/>
                    </w:rPr>
                    <m:t>∙</m:t>
                  </m:r>
                  <m:sSup>
                    <m:sSupPr>
                      <m:ctrlPr>
                        <w:rPr>
                          <w:rFonts w:ascii="Cambria Math" w:hAnsi="Cambria Math"/>
                          <w:lang w:val="en-GB"/>
                        </w:rPr>
                      </m:ctrlPr>
                    </m:sSupPr>
                    <m:e>
                      <m:r>
                        <w:rPr>
                          <w:rFonts w:ascii="Cambria Math" w:hAnsi="Cambria Math"/>
                          <w:lang w:val="en-GB"/>
                        </w:rPr>
                        <m:t>σ</m:t>
                      </m:r>
                    </m:e>
                    <m:sup>
                      <m:r>
                        <m:rPr>
                          <m:sty m:val="p"/>
                        </m:rPr>
                        <w:rPr>
                          <w:rFonts w:ascii="Cambria Math" w:hAnsi="Cambria Math"/>
                          <w:lang w:val="en-GB"/>
                        </w:rPr>
                        <m:t>3</m:t>
                      </m:r>
                    </m:sup>
                  </m:sSup>
                </m:den>
              </m:f>
            </m:oMath>
            <w:r w:rsidR="001B6005">
              <w:rPr>
                <w:rFonts w:eastAsiaTheme="minorEastAsia"/>
                <w:lang w:val="en-GB"/>
              </w:rPr>
              <w:t xml:space="preserve"> .</w:t>
            </w:r>
          </w:p>
        </w:tc>
        <w:tc>
          <w:tcPr>
            <w:tcW w:w="877" w:type="dxa"/>
            <w:vAlign w:val="center"/>
          </w:tcPr>
          <w:p w14:paraId="65E188DD" w14:textId="10081319" w:rsidR="001B6005" w:rsidRDefault="001B6005" w:rsidP="00B73393">
            <w:pPr>
              <w:spacing w:beforeLines="120" w:before="288" w:afterLines="120" w:after="288"/>
              <w:jc w:val="right"/>
            </w:pPr>
            <w:r>
              <w:t>(</w:t>
            </w:r>
            <w:r w:rsidR="00427B33">
              <w:fldChar w:fldCharType="begin"/>
            </w:r>
            <w:r w:rsidR="00427B33">
              <w:instrText xml:space="preserve"> STYLEREF 1 \s </w:instrText>
            </w:r>
            <w:r w:rsidR="00427B33">
              <w:fldChar w:fldCharType="separate"/>
            </w:r>
            <w:r w:rsidR="00587AF0">
              <w:rPr>
                <w:noProof/>
              </w:rPr>
              <w:t>8</w:t>
            </w:r>
            <w:r w:rsidR="00427B33">
              <w:rPr>
                <w:noProof/>
              </w:rPr>
              <w:fldChar w:fldCharType="end"/>
            </w:r>
            <w:r w:rsidR="002C693A">
              <w:t>.</w:t>
            </w:r>
            <w:r w:rsidR="00427B33">
              <w:fldChar w:fldCharType="begin"/>
            </w:r>
            <w:r w:rsidR="00427B33">
              <w:instrText xml:space="preserve"> SEQ Equation \* ARABIC \s 1 </w:instrText>
            </w:r>
            <w:r w:rsidR="00427B33">
              <w:fldChar w:fldCharType="separate"/>
            </w:r>
            <w:r w:rsidR="00587AF0">
              <w:rPr>
                <w:noProof/>
              </w:rPr>
              <w:t>7</w:t>
            </w:r>
            <w:r w:rsidR="00427B33">
              <w:rPr>
                <w:noProof/>
              </w:rPr>
              <w:fldChar w:fldCharType="end"/>
            </w:r>
            <w:r>
              <w:t>)</w:t>
            </w:r>
          </w:p>
        </w:tc>
      </w:tr>
    </w:tbl>
    <w:p w14:paraId="0AF0449D" w14:textId="0405296F" w:rsidR="001B6005" w:rsidRDefault="001B6005" w:rsidP="00B73393">
      <w:pPr>
        <w:rPr>
          <w:lang w:val="en-GB"/>
        </w:rPr>
      </w:pPr>
      <w:r>
        <w:rPr>
          <w:lang w:val="sr-Latn-RS"/>
        </w:rPr>
        <w:t xml:space="preserve">where </w:t>
      </w:r>
      <m:oMath>
        <m:sSub>
          <m:sSubPr>
            <m:ctrlPr>
              <w:rPr>
                <w:rFonts w:ascii="Cambria Math" w:hAnsi="Cambria Math"/>
                <w:lang w:val="en-GB"/>
              </w:rPr>
            </m:ctrlPr>
          </m:sSubPr>
          <m:e>
            <m:acc>
              <m:accPr>
                <m:chr m:val="̃"/>
                <m:ctrlPr>
                  <w:rPr>
                    <w:rFonts w:ascii="Cambria Math" w:hAnsi="Cambria Math"/>
                    <w:lang w:val="en-GB"/>
                  </w:rPr>
                </m:ctrlPr>
              </m:accPr>
              <m:e>
                <m:r>
                  <m:rPr>
                    <m:sty m:val="p"/>
                  </m:rPr>
                  <w:rPr>
                    <w:rFonts w:ascii="Cambria Math" w:hAnsi="Cambria Math"/>
                    <w:lang w:val="en-GB"/>
                  </w:rPr>
                  <m:t>μ</m:t>
                </m:r>
              </m:e>
            </m:acc>
          </m:e>
          <m:sub>
            <m:r>
              <w:rPr>
                <w:rFonts w:ascii="Cambria Math" w:hAnsi="Cambria Math"/>
                <w:lang w:val="en-GB"/>
              </w:rPr>
              <m:t>3</m:t>
            </m:r>
          </m:sub>
        </m:sSub>
      </m:oMath>
      <w:r>
        <w:rPr>
          <w:lang w:val="en-GB"/>
        </w:rPr>
        <w:t xml:space="preserve"> is skewness as a third standardised moment in statistics; </w:t>
      </w:r>
      <w:r>
        <w:rPr>
          <w:i/>
          <w:lang w:val="en-GB"/>
        </w:rPr>
        <w:t>x</w:t>
      </w:r>
      <w:r>
        <w:rPr>
          <w:vertAlign w:val="subscript"/>
          <w:lang w:val="en-GB"/>
        </w:rPr>
        <w:t>i</w:t>
      </w:r>
      <w:r>
        <w:rPr>
          <w:lang w:val="en-GB"/>
        </w:rPr>
        <w:t xml:space="preserve"> is the random </w:t>
      </w:r>
      <w:r>
        <w:rPr>
          <w:i/>
          <w:lang w:val="en-GB"/>
        </w:rPr>
        <w:t>i</w:t>
      </w:r>
      <w:r>
        <w:rPr>
          <w:lang w:val="en-GB"/>
        </w:rPr>
        <w:t xml:space="preserve">th value, </w:t>
      </w:r>
      <m:oMath>
        <m:acc>
          <m:accPr>
            <m:chr m:val="̅"/>
            <m:ctrlPr>
              <w:rPr>
                <w:rFonts w:ascii="Cambria Math" w:hAnsi="Cambria Math"/>
                <w:i/>
                <w:lang w:val="en-GB"/>
              </w:rPr>
            </m:ctrlPr>
          </m:accPr>
          <m:e>
            <m:r>
              <w:rPr>
                <w:rFonts w:ascii="Cambria Math" w:hAnsi="Cambria Math"/>
                <w:lang w:val="en-GB"/>
              </w:rPr>
              <m:t>x</m:t>
            </m:r>
          </m:e>
        </m:acc>
      </m:oMath>
      <w:r>
        <w:rPr>
          <w:lang w:val="en-GB"/>
        </w:rPr>
        <w:t xml:space="preserve"> is the average calculated value for </w:t>
      </w:r>
      <w:r w:rsidR="008E0361">
        <w:rPr>
          <w:lang w:val="en-GB"/>
        </w:rPr>
        <w:t xml:space="preserve">specific saddle position, </w:t>
      </w:r>
      <w:r w:rsidR="008E0361">
        <w:rPr>
          <w:i/>
          <w:lang w:val="en-GB"/>
        </w:rPr>
        <w:t>n</w:t>
      </w:r>
      <w:r w:rsidR="008E0361">
        <w:rPr>
          <w:lang w:val="en-GB"/>
        </w:rPr>
        <w:t xml:space="preserve"> records and </w:t>
      </w:r>
      <w:r w:rsidR="008E0361">
        <w:rPr>
          <w:i/>
          <w:lang w:val="en-GB"/>
        </w:rPr>
        <w:t>N</w:t>
      </w:r>
      <w:r w:rsidR="008E0361">
        <w:rPr>
          <w:lang w:val="en-GB"/>
        </w:rPr>
        <w:t xml:space="preserve"> signal readings. In addition, to the 3</w:t>
      </w:r>
      <w:r w:rsidR="008E0361" w:rsidRPr="008E0361">
        <w:rPr>
          <w:vertAlign w:val="superscript"/>
          <w:lang w:val="en-GB"/>
        </w:rPr>
        <w:t>rd</w:t>
      </w:r>
      <w:r w:rsidR="008E0361">
        <w:rPr>
          <w:lang w:val="en-GB"/>
        </w:rPr>
        <w:t xml:space="preserve"> moment</w:t>
      </w:r>
      <w:r w:rsidR="001D154A">
        <w:rPr>
          <w:lang w:val="en-GB"/>
        </w:rPr>
        <w:t>,</w:t>
      </w:r>
      <w:r w:rsidR="008E0361">
        <w:rPr>
          <w:lang w:val="en-GB"/>
        </w:rPr>
        <w:t xml:space="preserve"> the 4</w:t>
      </w:r>
      <w:r w:rsidR="008E0361" w:rsidRPr="008E0361">
        <w:rPr>
          <w:vertAlign w:val="superscript"/>
          <w:lang w:val="en-GB"/>
        </w:rPr>
        <w:t>th</w:t>
      </w:r>
      <w:r w:rsidR="008E0361">
        <w:rPr>
          <w:lang w:val="en-GB"/>
        </w:rPr>
        <w:t xml:space="preserve"> centralised moment, i.e., Kurtosis</w:t>
      </w:r>
      <w:r w:rsidR="001D154A">
        <w:rPr>
          <w:lang w:val="en-GB"/>
        </w:rPr>
        <w:t>,</w:t>
      </w:r>
      <w:r w:rsidR="008E0361">
        <w:rPr>
          <w:lang w:val="en-GB"/>
        </w:rPr>
        <w:t xml:space="preserve"> is also used and given as:</w:t>
      </w:r>
    </w:p>
    <w:tbl>
      <w:tblPr>
        <w:tblpPr w:leftFromText="180" w:rightFromText="180" w:vertAnchor="text" w:horzAnchor="margin" w:tblpY="167"/>
        <w:tblW w:w="0" w:type="auto"/>
        <w:tblLook w:val="04A0" w:firstRow="1" w:lastRow="0" w:firstColumn="1" w:lastColumn="0" w:noHBand="0" w:noVBand="1"/>
      </w:tblPr>
      <w:tblGrid>
        <w:gridCol w:w="8140"/>
        <w:gridCol w:w="877"/>
      </w:tblGrid>
      <w:tr w:rsidR="008E0361" w14:paraId="70F95B37" w14:textId="77777777" w:rsidTr="00231124">
        <w:tc>
          <w:tcPr>
            <w:tcW w:w="8140" w:type="dxa"/>
            <w:vAlign w:val="center"/>
          </w:tcPr>
          <w:p w14:paraId="1546D3E7" w14:textId="043DA83E" w:rsidR="008E0361" w:rsidRPr="00841925" w:rsidRDefault="00623649" w:rsidP="00B73393">
            <w:pPr>
              <w:jc w:val="center"/>
              <w:rPr>
                <w:lang w:val="en-GB"/>
              </w:rPr>
            </w:pPr>
            <m:oMath>
              <m:r>
                <w:rPr>
                  <w:rFonts w:ascii="Cambria Math" w:hAnsi="Cambria Math"/>
                  <w:lang w:val="en-GB"/>
                </w:rPr>
                <m:t>N</m:t>
              </m:r>
              <m:r>
                <m:rPr>
                  <m:sty m:val="p"/>
                </m:rPr>
                <w:rPr>
                  <w:rFonts w:ascii="Cambria Math" w:hAnsi="Cambria Math"/>
                  <w:lang w:val="en-GB"/>
                </w:rPr>
                <m:t>_</m:t>
              </m:r>
              <m:r>
                <w:rPr>
                  <w:rFonts w:ascii="Cambria Math" w:hAnsi="Cambria Math"/>
                  <w:lang w:val="en-GB"/>
                </w:rPr>
                <m:t>Kurt</m:t>
              </m:r>
              <m:r>
                <m:rPr>
                  <m:sty m:val="p"/>
                </m:rPr>
                <w:rPr>
                  <w:rFonts w:ascii="Cambria Math" w:hAnsi="Cambria Math"/>
                  <w:lang w:val="en-GB"/>
                </w:rPr>
                <m:t>_</m:t>
              </m:r>
              <m:r>
                <w:rPr>
                  <w:rFonts w:ascii="Cambria Math" w:hAnsi="Cambria Math"/>
                  <w:color w:val="FF0000"/>
                  <w:lang w:val="en-GB"/>
                </w:rPr>
                <m:t>X</m:t>
              </m:r>
              <m:r>
                <w:rPr>
                  <w:rFonts w:ascii="Cambria Math" w:hAnsi="Cambria Math"/>
                  <w:lang w:val="en-GB"/>
                </w:rPr>
                <m:t>S</m:t>
              </m:r>
              <m:r>
                <m:rPr>
                  <m:sty m:val="p"/>
                </m:rPr>
                <w:rPr>
                  <w:rFonts w:ascii="Cambria Math" w:hAnsi="Cambria Math"/>
                  <w:lang w:val="en-GB"/>
                </w:rPr>
                <m:t xml:space="preserve"> =</m:t>
              </m:r>
              <m:sSub>
                <m:sSubPr>
                  <m:ctrlPr>
                    <w:rPr>
                      <w:rFonts w:ascii="Cambria Math" w:hAnsi="Cambria Math"/>
                      <w:lang w:val="en-GB"/>
                    </w:rPr>
                  </m:ctrlPr>
                </m:sSubPr>
                <m:e>
                  <m:acc>
                    <m:accPr>
                      <m:chr m:val="̃"/>
                      <m:ctrlPr>
                        <w:rPr>
                          <w:rFonts w:ascii="Cambria Math" w:hAnsi="Cambria Math"/>
                          <w:lang w:val="en-GB"/>
                        </w:rPr>
                      </m:ctrlPr>
                    </m:accPr>
                    <m:e>
                      <m:r>
                        <m:rPr>
                          <m:sty m:val="p"/>
                        </m:rPr>
                        <w:rPr>
                          <w:rFonts w:ascii="Cambria Math" w:hAnsi="Cambria Math"/>
                          <w:lang w:val="en-GB"/>
                        </w:rPr>
                        <m:t>μ</m:t>
                      </m:r>
                    </m:e>
                  </m:acc>
                </m:e>
                <m:sub>
                  <m:r>
                    <m:rPr>
                      <m:sty m:val="p"/>
                    </m:rPr>
                    <w:rPr>
                      <w:rFonts w:ascii="Cambria Math" w:hAnsi="Cambria Math"/>
                      <w:lang w:val="en-GB"/>
                    </w:rPr>
                    <m:t>4</m:t>
                  </m:r>
                </m:sub>
              </m:sSub>
              <m:r>
                <m:rPr>
                  <m:sty m:val="p"/>
                </m:rPr>
                <w:rPr>
                  <w:rFonts w:ascii="Cambria Math" w:hAnsi="Cambria Math"/>
                  <w:lang w:val="en-GB"/>
                </w:rPr>
                <m:t>=</m:t>
              </m:r>
              <m:f>
                <m:fPr>
                  <m:ctrlPr>
                    <w:rPr>
                      <w:rFonts w:ascii="Cambria Math" w:hAnsi="Cambria Math"/>
                      <w:lang w:val="en-GB"/>
                    </w:rPr>
                  </m:ctrlPr>
                </m:fPr>
                <m:num>
                  <m:rad>
                    <m:radPr>
                      <m:degHide m:val="1"/>
                      <m:ctrlPr>
                        <w:rPr>
                          <w:rFonts w:ascii="Cambria Math" w:hAnsi="Cambria Math"/>
                          <w:lang w:val="en-GB"/>
                        </w:rPr>
                      </m:ctrlPr>
                    </m:radPr>
                    <m:deg/>
                    <m:e>
                      <m:r>
                        <w:rPr>
                          <w:rFonts w:ascii="Cambria Math" w:hAnsi="Cambria Math"/>
                          <w:lang w:val="en-GB"/>
                        </w:rPr>
                        <m:t>n</m:t>
                      </m:r>
                      <m:r>
                        <m:rPr>
                          <m:sty m:val="p"/>
                        </m:rPr>
                        <w:rPr>
                          <w:rFonts w:ascii="Cambria Math" w:hAnsi="Cambria Math"/>
                          <w:lang w:val="en-GB"/>
                        </w:rPr>
                        <m:t>(</m:t>
                      </m:r>
                      <m:r>
                        <w:rPr>
                          <w:rFonts w:ascii="Cambria Math" w:hAnsi="Cambria Math"/>
                          <w:lang w:val="en-GB"/>
                        </w:rPr>
                        <m:t>n</m:t>
                      </m:r>
                      <m:r>
                        <m:rPr>
                          <m:sty m:val="p"/>
                        </m:rPr>
                        <w:rPr>
                          <w:rFonts w:ascii="Cambria Math" w:hAnsi="Cambria Math"/>
                          <w:lang w:val="en-GB"/>
                        </w:rPr>
                        <m:t>-1)</m:t>
                      </m:r>
                    </m:e>
                  </m:rad>
                </m:num>
                <m:den>
                  <m:r>
                    <w:rPr>
                      <w:rFonts w:ascii="Cambria Math" w:hAnsi="Cambria Math"/>
                      <w:lang w:val="en-GB"/>
                    </w:rPr>
                    <m:t>n</m:t>
                  </m:r>
                  <m:r>
                    <m:rPr>
                      <m:sty m:val="p"/>
                    </m:rPr>
                    <w:rPr>
                      <w:rFonts w:ascii="Cambria Math" w:hAnsi="Cambria Math"/>
                      <w:lang w:val="en-GB"/>
                    </w:rPr>
                    <m:t>-2</m:t>
                  </m:r>
                </m:den>
              </m:f>
              <m:f>
                <m:fPr>
                  <m:ctrlPr>
                    <w:rPr>
                      <w:rFonts w:ascii="Cambria Math" w:hAnsi="Cambria Math"/>
                      <w:lang w:val="en-GB"/>
                    </w:rPr>
                  </m:ctrlPr>
                </m:fPr>
                <m:num>
                  <m:nary>
                    <m:naryPr>
                      <m:chr m:val="∑"/>
                      <m:limLoc m:val="undOvr"/>
                      <m:ctrlPr>
                        <w:rPr>
                          <w:rFonts w:ascii="Cambria Math" w:hAnsi="Cambria Math"/>
                          <w:lang w:val="en-GB"/>
                        </w:rPr>
                      </m:ctrlPr>
                    </m:naryPr>
                    <m:sub>
                      <m:r>
                        <w:rPr>
                          <w:rFonts w:ascii="Cambria Math" w:hAnsi="Cambria Math"/>
                          <w:lang w:val="en-GB"/>
                        </w:rPr>
                        <m:t>i</m:t>
                      </m:r>
                    </m:sub>
                    <m:sup>
                      <m:r>
                        <w:rPr>
                          <w:rFonts w:ascii="Cambria Math" w:hAnsi="Cambria Math"/>
                          <w:lang w:val="en-GB"/>
                        </w:rPr>
                        <m:t>n</m:t>
                      </m:r>
                    </m:sup>
                    <m:e>
                      <m:sSup>
                        <m:sSupPr>
                          <m:ctrlPr>
                            <w:rPr>
                              <w:rFonts w:ascii="Cambria Math" w:hAnsi="Cambria Math"/>
                              <w:lang w:val="en-GB"/>
                            </w:rPr>
                          </m:ctrlPr>
                        </m:sSupPr>
                        <m:e>
                          <m:d>
                            <m:dPr>
                              <m:ctrlPr>
                                <w:rPr>
                                  <w:rFonts w:ascii="Cambria Math" w:hAnsi="Cambria Math"/>
                                  <w:lang w:val="en-GB"/>
                                </w:rPr>
                              </m:ctrlPr>
                            </m:dPr>
                            <m:e>
                              <m:sSub>
                                <m:sSubPr>
                                  <m:ctrlPr>
                                    <w:rPr>
                                      <w:rFonts w:ascii="Cambria Math" w:hAnsi="Cambria Math"/>
                                      <w:lang w:val="en-GB"/>
                                    </w:rPr>
                                  </m:ctrlPr>
                                </m:sSubPr>
                                <m:e>
                                  <m:r>
                                    <w:rPr>
                                      <w:rFonts w:ascii="Cambria Math" w:hAnsi="Cambria Math"/>
                                      <w:lang w:val="en-GB"/>
                                    </w:rPr>
                                    <m:t>x</m:t>
                                  </m:r>
                                </m:e>
                                <m:sub>
                                  <m:r>
                                    <w:rPr>
                                      <w:rFonts w:ascii="Cambria Math" w:hAnsi="Cambria Math"/>
                                      <w:lang w:val="en-GB"/>
                                    </w:rPr>
                                    <m:t>i</m:t>
                                  </m:r>
                                </m:sub>
                              </m:sSub>
                              <m:r>
                                <m:rPr>
                                  <m:sty m:val="p"/>
                                </m:rPr>
                                <w:rPr>
                                  <w:rFonts w:ascii="Cambria Math" w:hAnsi="Cambria Math"/>
                                  <w:lang w:val="en-GB"/>
                                </w:rPr>
                                <m:t>-</m:t>
                              </m:r>
                              <m:acc>
                                <m:accPr>
                                  <m:chr m:val="̅"/>
                                  <m:ctrlPr>
                                    <w:rPr>
                                      <w:rFonts w:ascii="Cambria Math" w:hAnsi="Cambria Math"/>
                                      <w:lang w:val="en-GB"/>
                                    </w:rPr>
                                  </m:ctrlPr>
                                </m:accPr>
                                <m:e>
                                  <m:r>
                                    <w:rPr>
                                      <w:rFonts w:ascii="Cambria Math" w:hAnsi="Cambria Math"/>
                                      <w:lang w:val="en-GB"/>
                                    </w:rPr>
                                    <m:t>x</m:t>
                                  </m:r>
                                </m:e>
                              </m:acc>
                            </m:e>
                          </m:d>
                        </m:e>
                        <m:sup>
                          <m:r>
                            <m:rPr>
                              <m:sty m:val="p"/>
                            </m:rPr>
                            <w:rPr>
                              <w:rFonts w:ascii="Cambria Math" w:hAnsi="Cambria Math"/>
                              <w:lang w:val="en-GB"/>
                            </w:rPr>
                            <m:t>3</m:t>
                          </m:r>
                        </m:sup>
                      </m:sSup>
                    </m:e>
                  </m:nary>
                </m:num>
                <m:den>
                  <m:d>
                    <m:dPr>
                      <m:ctrlPr>
                        <w:rPr>
                          <w:rFonts w:ascii="Cambria Math" w:hAnsi="Cambria Math"/>
                          <w:lang w:val="en-GB"/>
                        </w:rPr>
                      </m:ctrlPr>
                    </m:dPr>
                    <m:e>
                      <m:r>
                        <w:rPr>
                          <w:rFonts w:ascii="Cambria Math" w:hAnsi="Cambria Math"/>
                          <w:lang w:val="en-GB"/>
                        </w:rPr>
                        <m:t>n</m:t>
                      </m:r>
                      <m:r>
                        <m:rPr>
                          <m:sty m:val="p"/>
                        </m:rPr>
                        <w:rPr>
                          <w:rFonts w:ascii="Cambria Math" w:hAnsi="Cambria Math"/>
                          <w:lang w:val="en-GB"/>
                        </w:rPr>
                        <m:t>-1</m:t>
                      </m:r>
                    </m:e>
                  </m:d>
                  <m:r>
                    <m:rPr>
                      <m:sty m:val="p"/>
                    </m:rPr>
                    <w:rPr>
                      <w:rFonts w:ascii="Cambria Math" w:hAnsi="Cambria Math"/>
                      <w:lang w:val="en-GB"/>
                    </w:rPr>
                    <m:t>∙</m:t>
                  </m:r>
                  <m:sSup>
                    <m:sSupPr>
                      <m:ctrlPr>
                        <w:rPr>
                          <w:rFonts w:ascii="Cambria Math" w:hAnsi="Cambria Math"/>
                          <w:lang w:val="en-GB"/>
                        </w:rPr>
                      </m:ctrlPr>
                    </m:sSupPr>
                    <m:e>
                      <m:r>
                        <w:rPr>
                          <w:rFonts w:ascii="Cambria Math" w:hAnsi="Cambria Math"/>
                          <w:lang w:val="en-GB"/>
                        </w:rPr>
                        <m:t>σ</m:t>
                      </m:r>
                    </m:e>
                    <m:sup>
                      <m:r>
                        <m:rPr>
                          <m:sty m:val="p"/>
                        </m:rPr>
                        <w:rPr>
                          <w:rFonts w:ascii="Cambria Math" w:hAnsi="Cambria Math"/>
                          <w:lang w:val="en-GB"/>
                        </w:rPr>
                        <m:t>3</m:t>
                      </m:r>
                    </m:sup>
                  </m:sSup>
                </m:den>
              </m:f>
            </m:oMath>
            <w:r w:rsidR="008E0361">
              <w:rPr>
                <w:rFonts w:eastAsiaTheme="minorEastAsia"/>
                <w:lang w:val="en-GB"/>
              </w:rPr>
              <w:t xml:space="preserve"> .</w:t>
            </w:r>
          </w:p>
        </w:tc>
        <w:tc>
          <w:tcPr>
            <w:tcW w:w="877" w:type="dxa"/>
            <w:vAlign w:val="center"/>
          </w:tcPr>
          <w:p w14:paraId="593C14DE" w14:textId="30A4901D" w:rsidR="008E0361" w:rsidRDefault="008E0361" w:rsidP="00B73393">
            <w:pPr>
              <w:spacing w:beforeLines="120" w:before="288" w:afterLines="120" w:after="288"/>
              <w:jc w:val="right"/>
            </w:pPr>
            <w:r>
              <w:t>(</w:t>
            </w:r>
            <w:r w:rsidR="00427B33">
              <w:fldChar w:fldCharType="begin"/>
            </w:r>
            <w:r w:rsidR="00427B33">
              <w:instrText xml:space="preserve"> STYLEREF 1 \s </w:instrText>
            </w:r>
            <w:r w:rsidR="00427B33">
              <w:fldChar w:fldCharType="separate"/>
            </w:r>
            <w:r w:rsidR="00587AF0">
              <w:rPr>
                <w:noProof/>
              </w:rPr>
              <w:t>8</w:t>
            </w:r>
            <w:r w:rsidR="00427B33">
              <w:rPr>
                <w:noProof/>
              </w:rPr>
              <w:fldChar w:fldCharType="end"/>
            </w:r>
            <w:r w:rsidR="002C693A">
              <w:t>.</w:t>
            </w:r>
            <w:r w:rsidR="00427B33">
              <w:fldChar w:fldCharType="begin"/>
            </w:r>
            <w:r w:rsidR="00427B33">
              <w:instrText xml:space="preserve"> SEQ Equation \* ARABIC \s 1 </w:instrText>
            </w:r>
            <w:r w:rsidR="00427B33">
              <w:fldChar w:fldCharType="separate"/>
            </w:r>
            <w:r w:rsidR="00587AF0">
              <w:rPr>
                <w:noProof/>
              </w:rPr>
              <w:t>8</w:t>
            </w:r>
            <w:r w:rsidR="00427B33">
              <w:rPr>
                <w:noProof/>
              </w:rPr>
              <w:fldChar w:fldCharType="end"/>
            </w:r>
            <w:r>
              <w:t>)</w:t>
            </w:r>
          </w:p>
        </w:tc>
      </w:tr>
    </w:tbl>
    <w:p w14:paraId="6EF1AB87" w14:textId="5BE6719C" w:rsidR="00902BFF" w:rsidRDefault="0011422B" w:rsidP="00B73393">
      <w:pPr>
        <w:spacing w:beforeLines="120" w:before="288" w:afterLines="120" w:after="288"/>
        <w:rPr>
          <w:lang w:val="sr-Latn-RS"/>
        </w:rPr>
      </w:pPr>
      <w:r>
        <w:rPr>
          <w:lang w:val="sr-Latn-RS"/>
        </w:rPr>
        <w:t xml:space="preserve">All calculated values are </w:t>
      </w:r>
      <w:r w:rsidR="001D154A">
        <w:t>used for data exploration by calculating all of the markers for each</w:t>
      </w:r>
      <w:r w:rsidRPr="00B73393">
        <w:t xml:space="preserve"> saddle position „regime“.</w:t>
      </w:r>
    </w:p>
    <w:p w14:paraId="75F2E958" w14:textId="06702F65" w:rsidR="007D29B6" w:rsidRDefault="007D29B6" w:rsidP="007D29B6">
      <w:pPr>
        <w:jc w:val="center"/>
        <w:rPr>
          <w:lang w:val="en-GB"/>
        </w:rPr>
      </w:pPr>
    </w:p>
    <w:p w14:paraId="56065606" w14:textId="77777777" w:rsidR="00897F1B" w:rsidRDefault="00897F1B" w:rsidP="00B83424">
      <w:pPr>
        <w:jc w:val="center"/>
        <w:rPr>
          <w:lang w:val="sr-Latn-RS"/>
        </w:rPr>
      </w:pPr>
    </w:p>
    <w:p w14:paraId="3D342D8F" w14:textId="77777777" w:rsidR="003B3FB5" w:rsidRPr="003B3FB5" w:rsidRDefault="003B3FB5" w:rsidP="003B3FB5"/>
    <w:p w14:paraId="183F2203" w14:textId="77777777" w:rsidR="00946315" w:rsidRDefault="00946315">
      <w:pPr>
        <w:spacing w:before="0" w:after="160" w:line="259" w:lineRule="auto"/>
        <w:jc w:val="left"/>
        <w:rPr>
          <w:rFonts w:eastAsiaTheme="majorEastAsia" w:cstheme="majorBidi"/>
          <w:b/>
          <w:smallCaps/>
          <w:sz w:val="28"/>
          <w:szCs w:val="26"/>
        </w:rPr>
      </w:pPr>
      <w:r>
        <w:br w:type="page"/>
      </w:r>
    </w:p>
    <w:p w14:paraId="0D74617A" w14:textId="464C8AFA" w:rsidR="00F82034" w:rsidRDefault="00EB4536" w:rsidP="00F82034">
      <w:pPr>
        <w:pStyle w:val="Heading2"/>
      </w:pPr>
      <w:bookmarkStart w:id="475" w:name="_Toc101274388"/>
      <w:r>
        <w:lastRenderedPageBreak/>
        <w:t>Exp</w:t>
      </w:r>
      <w:r w:rsidR="00946315">
        <w:t>l</w:t>
      </w:r>
      <w:r>
        <w:t xml:space="preserve">oratory data analysis </w:t>
      </w:r>
      <w:r w:rsidR="002145CA">
        <w:t xml:space="preserve">and </w:t>
      </w:r>
      <w:r w:rsidR="00BD7E14">
        <w:t xml:space="preserve">filtering </w:t>
      </w:r>
      <w:r w:rsidR="007C6F59">
        <w:t xml:space="preserve">of </w:t>
      </w:r>
      <w:r w:rsidR="00BD7E14">
        <w:t>the FP markers</w:t>
      </w:r>
      <w:bookmarkEnd w:id="475"/>
    </w:p>
    <w:p w14:paraId="251510B2" w14:textId="2D11B49B" w:rsidR="007E5349" w:rsidRDefault="00EB4536" w:rsidP="007E5349">
      <w:pPr>
        <w:pStyle w:val="Heading3"/>
        <w:rPr>
          <w:rFonts w:cstheme="majorHAnsi"/>
        </w:rPr>
      </w:pPr>
      <w:bookmarkStart w:id="476" w:name="_Toc101274389"/>
      <w:r>
        <w:rPr>
          <w:rFonts w:cstheme="majorHAnsi"/>
        </w:rPr>
        <w:t>Exploration of data</w:t>
      </w:r>
      <w:r w:rsidR="00C069F7">
        <w:rPr>
          <w:rFonts w:cstheme="majorHAnsi"/>
        </w:rPr>
        <w:t xml:space="preserve"> –</w:t>
      </w:r>
      <w:r w:rsidR="00DA30F7">
        <w:rPr>
          <w:rFonts w:cstheme="majorHAnsi"/>
        </w:rPr>
        <w:t xml:space="preserve"> </w:t>
      </w:r>
      <w:r w:rsidR="006713AF">
        <w:rPr>
          <w:rFonts w:cstheme="majorHAnsi"/>
        </w:rPr>
        <w:t>opening saddle position</w:t>
      </w:r>
      <w:bookmarkEnd w:id="476"/>
    </w:p>
    <w:p w14:paraId="56C58728" w14:textId="47F59ACA" w:rsidR="00140E80" w:rsidRDefault="002261C9" w:rsidP="00FA049F">
      <w:pPr>
        <w:rPr>
          <w:lang w:bidi="en-US"/>
        </w:rPr>
      </w:pPr>
      <w:r>
        <w:rPr>
          <w:lang w:bidi="en-US"/>
        </w:rPr>
        <w:t xml:space="preserve">Investigating the relationship between hydraulic power (-energy) for selecting machine learning </w:t>
      </w:r>
      <w:r w:rsidR="00990B77">
        <w:rPr>
          <w:lang w:bidi="en-US"/>
        </w:rPr>
        <w:t>variables</w:t>
      </w:r>
      <w:r>
        <w:rPr>
          <w:lang w:bidi="en-US"/>
        </w:rPr>
        <w:t xml:space="preserve"> in diagnosing the state is done </w:t>
      </w:r>
      <w:r w:rsidR="00AC3770">
        <w:rPr>
          <w:lang w:bidi="en-US"/>
        </w:rPr>
        <w:t xml:space="preserve">by </w:t>
      </w:r>
      <w:r>
        <w:rPr>
          <w:lang w:bidi="en-US"/>
        </w:rPr>
        <w:t>separat</w:t>
      </w:r>
      <w:r w:rsidR="00AC3770">
        <w:rPr>
          <w:lang w:bidi="en-US"/>
        </w:rPr>
        <w:t xml:space="preserve">ing </w:t>
      </w:r>
      <w:r w:rsidR="004A6598">
        <w:rPr>
          <w:lang w:bidi="en-US"/>
        </w:rPr>
        <w:t xml:space="preserve">the </w:t>
      </w:r>
      <w:r w:rsidR="00AC3770">
        <w:rPr>
          <w:lang w:bidi="en-US"/>
        </w:rPr>
        <w:t>signal</w:t>
      </w:r>
      <w:r>
        <w:rPr>
          <w:lang w:bidi="en-US"/>
        </w:rPr>
        <w:t xml:space="preserve"> into three main bins</w:t>
      </w:r>
      <w:r w:rsidR="00AC3770">
        <w:rPr>
          <w:lang w:bidi="en-US"/>
        </w:rPr>
        <w:t xml:space="preserve">: </w:t>
      </w:r>
      <w:r>
        <w:rPr>
          <w:lang w:bidi="en-US"/>
        </w:rPr>
        <w:t xml:space="preserve">(1) Opening the saddle (OS); (2) Idle saddle (IS); and (3) Closing Saddle (CS). These three conditions are used to formulate variables of statistical </w:t>
      </w:r>
      <w:r w:rsidR="00AC3770">
        <w:rPr>
          <w:lang w:bidi="en-US"/>
        </w:rPr>
        <w:t>significance.</w:t>
      </w:r>
    </w:p>
    <w:p w14:paraId="2A7FE6EA" w14:textId="57E5B79E" w:rsidR="00FA049F" w:rsidRDefault="00B41731" w:rsidP="00FA049F">
      <w:pPr>
        <w:rPr>
          <w:lang w:bidi="en-US"/>
        </w:rPr>
      </w:pPr>
      <w:r>
        <w:rPr>
          <w:lang w:bidi="en-US"/>
        </w:rPr>
        <w:t xml:space="preserve">Conducting </w:t>
      </w:r>
      <w:r w:rsidR="00346D82">
        <w:rPr>
          <w:lang w:bidi="en-US"/>
        </w:rPr>
        <w:t xml:space="preserve">filtering on </w:t>
      </w:r>
      <w:r w:rsidR="00140E80">
        <w:rPr>
          <w:lang w:bidi="en-US"/>
        </w:rPr>
        <w:t xml:space="preserve">OS data </w:t>
      </w:r>
      <w:r w:rsidR="00346D82">
        <w:rPr>
          <w:lang w:bidi="en-US"/>
        </w:rPr>
        <w:t>for eliminating statistically non-significant values (</w:t>
      </w:r>
      <w:r w:rsidR="004A6598" w:rsidRPr="004A6598">
        <w:rPr>
          <w:i/>
          <w:iCs/>
          <w:lang w:bidi="en-US"/>
        </w:rPr>
        <w:t>p</w:t>
      </w:r>
      <w:r w:rsidR="004A6598">
        <w:rPr>
          <w:lang w:bidi="en-US"/>
        </w:rPr>
        <w:t>&gt;0.05</w:t>
      </w:r>
      <w:r w:rsidR="00346D82">
        <w:rPr>
          <w:lang w:bidi="en-US"/>
        </w:rPr>
        <w:t>)</w:t>
      </w:r>
      <w:r w:rsidR="004A6598">
        <w:rPr>
          <w:lang w:bidi="en-US"/>
        </w:rPr>
        <w:t>,</w:t>
      </w:r>
      <w:r w:rsidR="00346D82">
        <w:rPr>
          <w:lang w:bidi="en-US"/>
        </w:rPr>
        <w:t xml:space="preserve"> the results show that variables of “T</w:t>
      </w:r>
      <w:r w:rsidR="005240A6">
        <w:rPr>
          <w:lang w:bidi="en-US"/>
        </w:rPr>
        <w:t>3</w:t>
      </w:r>
      <w:r w:rsidR="00346D82">
        <w:rPr>
          <w:lang w:bidi="en-US"/>
        </w:rPr>
        <w:t>”</w:t>
      </w:r>
      <w:r w:rsidR="00FF79BA">
        <w:rPr>
          <w:lang w:bidi="en-US"/>
        </w:rPr>
        <w:t>,</w:t>
      </w:r>
      <w:r w:rsidR="00346D82">
        <w:rPr>
          <w:lang w:bidi="en-US"/>
        </w:rPr>
        <w:t xml:space="preserve"> “T</w:t>
      </w:r>
      <w:r w:rsidR="005240A6">
        <w:rPr>
          <w:lang w:bidi="en-US"/>
        </w:rPr>
        <w:t>5</w:t>
      </w:r>
      <w:r w:rsidR="00346D82">
        <w:rPr>
          <w:lang w:bidi="en-US"/>
        </w:rPr>
        <w:t>”</w:t>
      </w:r>
      <w:r w:rsidR="00FF79BA">
        <w:rPr>
          <w:lang w:bidi="en-US"/>
        </w:rPr>
        <w:t>, N_IQR_OS, and N_Skew_OS</w:t>
      </w:r>
      <w:r w:rsidR="00346D82">
        <w:rPr>
          <w:lang w:bidi="en-US"/>
        </w:rPr>
        <w:t xml:space="preserve"> are eliminated.</w:t>
      </w:r>
      <w:r w:rsidR="00865493">
        <w:rPr>
          <w:lang w:bidi="en-US"/>
        </w:rPr>
        <w:t xml:space="preserve"> </w:t>
      </w:r>
      <w:r w:rsidR="004A6598">
        <w:rPr>
          <w:lang w:bidi="en-US"/>
        </w:rPr>
        <w:t>The heatmap</w:t>
      </w:r>
      <w:r w:rsidR="00FA049F">
        <w:rPr>
          <w:lang w:bidi="en-US"/>
        </w:rPr>
        <w:t xml:space="preserve"> results show that</w:t>
      </w:r>
      <w:r w:rsidR="004A6598">
        <w:rPr>
          <w:lang w:bidi="en-US"/>
        </w:rPr>
        <w:t xml:space="preserve"> </w:t>
      </w:r>
      <w:r w:rsidR="00FA049F">
        <w:rPr>
          <w:lang w:bidi="en-US"/>
        </w:rPr>
        <w:t>saddle actuator speed time (T3, T4, T5) does not show any correlation between the variables used for evaluating saddle degradation, in addition to T2 (</w:t>
      </w:r>
      <w:r w:rsidR="004A6598">
        <w:rPr>
          <w:lang w:bidi="en-US"/>
        </w:rPr>
        <w:t xml:space="preserve">which </w:t>
      </w:r>
      <w:r w:rsidR="00FA049F">
        <w:rPr>
          <w:lang w:bidi="en-US"/>
        </w:rPr>
        <w:t xml:space="preserve">could be associated with proportional valve opening position), idle time of </w:t>
      </w:r>
      <w:r w:rsidR="004A6598">
        <w:rPr>
          <w:lang w:bidi="en-US"/>
        </w:rPr>
        <w:t xml:space="preserve">the </w:t>
      </w:r>
      <w:r w:rsidR="00FA049F">
        <w:rPr>
          <w:lang w:bidi="en-US"/>
        </w:rPr>
        <w:t>hydraulic system and load at the cylinders’ side (</w:t>
      </w:r>
      <w:r w:rsidR="00FA049F">
        <w:rPr>
          <w:lang w:bidi="en-US"/>
        </w:rPr>
        <w:fldChar w:fldCharType="begin"/>
      </w:r>
      <w:r w:rsidR="00FA049F">
        <w:rPr>
          <w:lang w:bidi="en-US"/>
        </w:rPr>
        <w:instrText xml:space="preserve"> REF _Ref97105770 \h </w:instrText>
      </w:r>
      <w:r w:rsidR="00FA049F">
        <w:rPr>
          <w:lang w:bidi="en-US"/>
        </w:rPr>
      </w:r>
      <w:r w:rsidR="00FA049F">
        <w:rPr>
          <w:lang w:bidi="en-US"/>
        </w:rPr>
        <w:fldChar w:fldCharType="separate"/>
      </w:r>
      <w:r w:rsidR="00587AF0">
        <w:t xml:space="preserve">Figure </w:t>
      </w:r>
      <w:r w:rsidR="00587AF0">
        <w:rPr>
          <w:noProof/>
        </w:rPr>
        <w:t>62</w:t>
      </w:r>
      <w:r w:rsidR="00FA049F">
        <w:rPr>
          <w:lang w:bidi="en-US"/>
        </w:rPr>
        <w:fldChar w:fldCharType="end"/>
      </w:r>
      <w:r w:rsidR="00FA049F">
        <w:rPr>
          <w:lang w:bidi="en-US"/>
        </w:rPr>
        <w:t>).</w:t>
      </w:r>
    </w:p>
    <w:p w14:paraId="71B995BD" w14:textId="62B387A9" w:rsidR="00990B77" w:rsidRDefault="00A772B6" w:rsidP="001247BB">
      <w:pPr>
        <w:keepNext/>
        <w:spacing w:before="240"/>
      </w:pPr>
      <w:r>
        <w:rPr>
          <w:noProof/>
        </w:rPr>
        <w:drawing>
          <wp:inline distT="0" distB="0" distL="0" distR="0" wp14:anchorId="1C683B75" wp14:editId="39B8B2DA">
            <wp:extent cx="5732145" cy="5732145"/>
            <wp:effectExtent l="0" t="0" r="1905" b="1905"/>
            <wp:docPr id="141" name="Picture 14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Chart&#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32145" cy="5732145"/>
                    </a:xfrm>
                    <a:prstGeom prst="rect">
                      <a:avLst/>
                    </a:prstGeom>
                  </pic:spPr>
                </pic:pic>
              </a:graphicData>
            </a:graphic>
          </wp:inline>
        </w:drawing>
      </w:r>
    </w:p>
    <w:p w14:paraId="76F87881" w14:textId="67726B0C" w:rsidR="00990B77" w:rsidRDefault="00990B77" w:rsidP="00990B77">
      <w:pPr>
        <w:pStyle w:val="Caption"/>
      </w:pPr>
      <w:bookmarkStart w:id="477" w:name="_Ref97105770"/>
      <w:bookmarkStart w:id="478" w:name="_Toc101274584"/>
      <w:r>
        <w:t xml:space="preserve">Figure </w:t>
      </w:r>
      <w:fldSimple w:instr=" SEQ Figure \* ARABIC ">
        <w:r w:rsidR="00587AF0">
          <w:rPr>
            <w:noProof/>
          </w:rPr>
          <w:t>62</w:t>
        </w:r>
      </w:fldSimple>
      <w:bookmarkEnd w:id="477"/>
      <w:r>
        <w:t xml:space="preserve">. Correlation heatmap of variables </w:t>
      </w:r>
      <w:r w:rsidR="009D2513">
        <w:t>included in the opening saddle position</w:t>
      </w:r>
      <w:bookmarkEnd w:id="478"/>
    </w:p>
    <w:p w14:paraId="5D4228EE" w14:textId="4953C4A3" w:rsidR="00FA049F" w:rsidRPr="00A15BF8" w:rsidRDefault="002E3538" w:rsidP="00FA049F">
      <w:pPr>
        <w:rPr>
          <w:lang w:val="en-GB"/>
        </w:rPr>
      </w:pPr>
      <w:r>
        <w:lastRenderedPageBreak/>
        <w:t xml:space="preserve">In addition, </w:t>
      </w:r>
      <w:r w:rsidR="00133C0E">
        <w:t>to avoid multicolli</w:t>
      </w:r>
      <w:r w:rsidR="009204EC">
        <w:t>ne</w:t>
      </w:r>
      <w:r w:rsidR="00133C0E">
        <w:t>arity of data, as it can be observed that mean and median values are highly correlated with each other and other variables, they need to be removed</w:t>
      </w:r>
      <w:r>
        <w:t xml:space="preserve"> to obtain good machine learning prediction performance and reduce bias. A</w:t>
      </w:r>
      <w:r w:rsidR="00FA049F">
        <w:t xml:space="preserve">fter eliminating all of the non-statistically significant features, the results show </w:t>
      </w:r>
      <w:r w:rsidR="00E15CAC">
        <w:t xml:space="preserve">that </w:t>
      </w:r>
      <w:r w:rsidR="00FA049F">
        <w:t>N_</w:t>
      </w:r>
      <w:r w:rsidR="00304EF3">
        <w:t>Max</w:t>
      </w:r>
      <w:r w:rsidR="00FA049F">
        <w:t>_OS (</w:t>
      </w:r>
      <w:r w:rsidR="00FA049F">
        <w:fldChar w:fldCharType="begin"/>
      </w:r>
      <w:r w:rsidR="00FA049F">
        <w:instrText xml:space="preserve"> REF _Ref97108452 \h </w:instrText>
      </w:r>
      <w:r w:rsidR="00FA049F">
        <w:fldChar w:fldCharType="separate"/>
      </w:r>
      <w:r w:rsidR="00587AF0">
        <w:t xml:space="preserve">Figure </w:t>
      </w:r>
      <w:r w:rsidR="00587AF0">
        <w:rPr>
          <w:noProof/>
        </w:rPr>
        <w:t>63</w:t>
      </w:r>
      <w:r w:rsidR="00FA049F">
        <w:fldChar w:fldCharType="end"/>
      </w:r>
      <w:r w:rsidR="00FA049F">
        <w:t>)</w:t>
      </w:r>
      <w:r w:rsidR="00E15CAC">
        <w:t xml:space="preserve">; </w:t>
      </w:r>
      <w:r w:rsidR="00A15BF8">
        <w:t>N_StDev_OS</w:t>
      </w:r>
      <w:r w:rsidR="00E15CAC">
        <w:t xml:space="preserve"> (</w:t>
      </w:r>
      <w:r w:rsidR="00E15CAC">
        <w:fldChar w:fldCharType="begin"/>
      </w:r>
      <w:r w:rsidR="00E15CAC">
        <w:instrText xml:space="preserve"> REF _Ref97109167 \h </w:instrText>
      </w:r>
      <w:r w:rsidR="00E15CAC">
        <w:fldChar w:fldCharType="separate"/>
      </w:r>
      <w:r w:rsidR="00587AF0">
        <w:t xml:space="preserve">Figure </w:t>
      </w:r>
      <w:r w:rsidR="00587AF0">
        <w:rPr>
          <w:noProof/>
        </w:rPr>
        <w:t>64</w:t>
      </w:r>
      <w:r w:rsidR="00E15CAC">
        <w:fldChar w:fldCharType="end"/>
      </w:r>
      <w:r w:rsidR="00E15CAC">
        <w:t xml:space="preserve">); </w:t>
      </w:r>
      <w:r w:rsidR="00A15BF8">
        <w:t>T1</w:t>
      </w:r>
      <w:r w:rsidR="00E15CAC">
        <w:t xml:space="preserve"> (</w:t>
      </w:r>
      <w:r w:rsidR="00E15CAC">
        <w:fldChar w:fldCharType="begin"/>
      </w:r>
      <w:r w:rsidR="00E15CAC">
        <w:instrText xml:space="preserve"> REF _Ref97109205 \h </w:instrText>
      </w:r>
      <w:r w:rsidR="00E15CAC">
        <w:fldChar w:fldCharType="separate"/>
      </w:r>
      <w:r w:rsidR="00587AF0">
        <w:t xml:space="preserve">Figure </w:t>
      </w:r>
      <w:r w:rsidR="00587AF0">
        <w:rPr>
          <w:noProof/>
        </w:rPr>
        <w:t>65</w:t>
      </w:r>
      <w:r w:rsidR="00E15CAC">
        <w:fldChar w:fldCharType="end"/>
      </w:r>
      <w:r w:rsidR="00E15CAC">
        <w:t xml:space="preserve">) and </w:t>
      </w:r>
      <w:r w:rsidR="00A15BF8">
        <w:t>N_Median_OS</w:t>
      </w:r>
      <w:r w:rsidR="00E15CAC">
        <w:t xml:space="preserve"> (</w:t>
      </w:r>
      <w:r w:rsidR="00E15CAC">
        <w:fldChar w:fldCharType="begin"/>
      </w:r>
      <w:r w:rsidR="00E15CAC">
        <w:instrText xml:space="preserve"> REF _Ref97109221 \h </w:instrText>
      </w:r>
      <w:r w:rsidR="00E15CAC">
        <w:fldChar w:fldCharType="separate"/>
      </w:r>
      <w:r w:rsidR="00587AF0">
        <w:t xml:space="preserve">Figure </w:t>
      </w:r>
      <w:r w:rsidR="00587AF0">
        <w:rPr>
          <w:noProof/>
        </w:rPr>
        <w:t>66</w:t>
      </w:r>
      <w:r w:rsidR="00E15CAC">
        <w:fldChar w:fldCharType="end"/>
      </w:r>
      <w:r w:rsidR="00E15CAC">
        <w:t>)</w:t>
      </w:r>
      <w:r w:rsidR="00A15BF8">
        <w:t xml:space="preserve"> posse</w:t>
      </w:r>
      <w:r w:rsidR="00133C0E">
        <w:t>s</w:t>
      </w:r>
      <w:r w:rsidR="00A15BF8">
        <w:t>s good classification properties.</w:t>
      </w:r>
    </w:p>
    <w:p w14:paraId="0B995224" w14:textId="06E83728" w:rsidR="00FA049F" w:rsidRDefault="00304EF3" w:rsidP="00FA049F">
      <w:pPr>
        <w:keepNext/>
      </w:pPr>
      <w:r>
        <w:rPr>
          <w:noProof/>
        </w:rPr>
        <w:drawing>
          <wp:inline distT="0" distB="0" distL="0" distR="0" wp14:anchorId="1598A79D" wp14:editId="7DB23759">
            <wp:extent cx="5732145" cy="3514799"/>
            <wp:effectExtent l="0" t="0" r="1905" b="9525"/>
            <wp:docPr id="142" name="Picture 14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Chart, scatter chart&#10;&#10;Description automatically generated"/>
                    <pic:cNvPicPr/>
                  </pic:nvPicPr>
                  <pic:blipFill rotWithShape="1">
                    <a:blip r:embed="rId99" cstate="print">
                      <a:extLst>
                        <a:ext uri="{28A0092B-C50C-407E-A947-70E740481C1C}">
                          <a14:useLocalDpi xmlns:a14="http://schemas.microsoft.com/office/drawing/2010/main" val="0"/>
                        </a:ext>
                      </a:extLst>
                    </a:blip>
                    <a:srcRect t="5705"/>
                    <a:stretch/>
                  </pic:blipFill>
                  <pic:spPr bwMode="auto">
                    <a:xfrm>
                      <a:off x="0" y="0"/>
                      <a:ext cx="5732145" cy="3514799"/>
                    </a:xfrm>
                    <a:prstGeom prst="rect">
                      <a:avLst/>
                    </a:prstGeom>
                    <a:ln>
                      <a:noFill/>
                    </a:ln>
                    <a:extLst>
                      <a:ext uri="{53640926-AAD7-44D8-BBD7-CCE9431645EC}">
                        <a14:shadowObscured xmlns:a14="http://schemas.microsoft.com/office/drawing/2010/main"/>
                      </a:ext>
                    </a:extLst>
                  </pic:spPr>
                </pic:pic>
              </a:graphicData>
            </a:graphic>
          </wp:inline>
        </w:drawing>
      </w:r>
    </w:p>
    <w:p w14:paraId="0AD8A771" w14:textId="3F2254F3" w:rsidR="009204EC" w:rsidRPr="009204EC" w:rsidRDefault="00FA049F" w:rsidP="002145CA">
      <w:pPr>
        <w:pStyle w:val="Caption"/>
      </w:pPr>
      <w:bookmarkStart w:id="479" w:name="_Ref97108452"/>
      <w:bookmarkStart w:id="480" w:name="_Toc101274585"/>
      <w:r>
        <w:t xml:space="preserve">Figure </w:t>
      </w:r>
      <w:fldSimple w:instr=" SEQ Figure \* ARABIC ">
        <w:r w:rsidR="00587AF0">
          <w:rPr>
            <w:noProof/>
          </w:rPr>
          <w:t>63</w:t>
        </w:r>
      </w:fldSimple>
      <w:bookmarkEnd w:id="479"/>
      <w:r>
        <w:t>. Box and whisker plot of</w:t>
      </w:r>
      <w:r w:rsidR="00413856">
        <w:t xml:space="preserve"> </w:t>
      </w:r>
      <w:r w:rsidR="00304EF3">
        <w:t>N_Max_OS</w:t>
      </w:r>
      <w:r>
        <w:t xml:space="preserve"> in opening saddle position signal</w:t>
      </w:r>
      <w:bookmarkEnd w:id="480"/>
    </w:p>
    <w:p w14:paraId="70ED406B" w14:textId="68E85000" w:rsidR="00413856" w:rsidRDefault="0009297C" w:rsidP="00E814E0">
      <w:pPr>
        <w:keepNext/>
        <w:spacing w:before="240"/>
      </w:pPr>
      <w:r>
        <w:rPr>
          <w:noProof/>
        </w:rPr>
        <w:drawing>
          <wp:inline distT="0" distB="0" distL="0" distR="0" wp14:anchorId="3351FA79" wp14:editId="39024F96">
            <wp:extent cx="5732145" cy="3514799"/>
            <wp:effectExtent l="0" t="0" r="1905" b="9525"/>
            <wp:docPr id="143" name="Picture 14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Chart, scatter chart&#10;&#10;Description automatically generated"/>
                    <pic:cNvPicPr/>
                  </pic:nvPicPr>
                  <pic:blipFill rotWithShape="1">
                    <a:blip r:embed="rId100" cstate="print">
                      <a:extLst>
                        <a:ext uri="{28A0092B-C50C-407E-A947-70E740481C1C}">
                          <a14:useLocalDpi xmlns:a14="http://schemas.microsoft.com/office/drawing/2010/main" val="0"/>
                        </a:ext>
                      </a:extLst>
                    </a:blip>
                    <a:srcRect t="5705"/>
                    <a:stretch/>
                  </pic:blipFill>
                  <pic:spPr bwMode="auto">
                    <a:xfrm>
                      <a:off x="0" y="0"/>
                      <a:ext cx="5732145" cy="3514799"/>
                    </a:xfrm>
                    <a:prstGeom prst="rect">
                      <a:avLst/>
                    </a:prstGeom>
                    <a:ln>
                      <a:noFill/>
                    </a:ln>
                    <a:extLst>
                      <a:ext uri="{53640926-AAD7-44D8-BBD7-CCE9431645EC}">
                        <a14:shadowObscured xmlns:a14="http://schemas.microsoft.com/office/drawing/2010/main"/>
                      </a:ext>
                    </a:extLst>
                  </pic:spPr>
                </pic:pic>
              </a:graphicData>
            </a:graphic>
          </wp:inline>
        </w:drawing>
      </w:r>
    </w:p>
    <w:p w14:paraId="0A0B7547" w14:textId="038E23F3" w:rsidR="00413856" w:rsidRPr="00413856" w:rsidRDefault="00413856" w:rsidP="00413856">
      <w:pPr>
        <w:pStyle w:val="Caption"/>
      </w:pPr>
      <w:bookmarkStart w:id="481" w:name="_Ref97109167"/>
      <w:bookmarkStart w:id="482" w:name="_Toc101274586"/>
      <w:r>
        <w:t xml:space="preserve">Figure </w:t>
      </w:r>
      <w:fldSimple w:instr=" SEQ Figure \* ARABIC ">
        <w:r w:rsidR="00587AF0">
          <w:rPr>
            <w:noProof/>
          </w:rPr>
          <w:t>64</w:t>
        </w:r>
      </w:fldSimple>
      <w:bookmarkEnd w:id="481"/>
      <w:r>
        <w:t xml:space="preserve">. Box and whisker plot of </w:t>
      </w:r>
      <w:r w:rsidR="0009297C">
        <w:t>N_StDev_OS</w:t>
      </w:r>
      <w:r>
        <w:t xml:space="preserve"> in opening saddle position signal</w:t>
      </w:r>
      <w:bookmarkEnd w:id="482"/>
    </w:p>
    <w:p w14:paraId="77902CE2" w14:textId="55F9A185" w:rsidR="00701C0D" w:rsidRDefault="00DA4B82" w:rsidP="00701C0D">
      <w:pPr>
        <w:keepNext/>
      </w:pPr>
      <w:r>
        <w:rPr>
          <w:noProof/>
        </w:rPr>
        <w:lastRenderedPageBreak/>
        <w:drawing>
          <wp:inline distT="0" distB="0" distL="0" distR="0" wp14:anchorId="64B63BF0" wp14:editId="28B409E1">
            <wp:extent cx="5732145" cy="3536064"/>
            <wp:effectExtent l="0" t="0" r="1905" b="7620"/>
            <wp:docPr id="144" name="Picture 14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Chart, scatter chart&#10;&#10;Description automatically generated"/>
                    <pic:cNvPicPr/>
                  </pic:nvPicPr>
                  <pic:blipFill rotWithShape="1">
                    <a:blip r:embed="rId101" cstate="print">
                      <a:extLst>
                        <a:ext uri="{28A0092B-C50C-407E-A947-70E740481C1C}">
                          <a14:useLocalDpi xmlns:a14="http://schemas.microsoft.com/office/drawing/2010/main" val="0"/>
                        </a:ext>
                      </a:extLst>
                    </a:blip>
                    <a:srcRect t="5134"/>
                    <a:stretch/>
                  </pic:blipFill>
                  <pic:spPr bwMode="auto">
                    <a:xfrm>
                      <a:off x="0" y="0"/>
                      <a:ext cx="5732145" cy="3536064"/>
                    </a:xfrm>
                    <a:prstGeom prst="rect">
                      <a:avLst/>
                    </a:prstGeom>
                    <a:ln>
                      <a:noFill/>
                    </a:ln>
                    <a:extLst>
                      <a:ext uri="{53640926-AAD7-44D8-BBD7-CCE9431645EC}">
                        <a14:shadowObscured xmlns:a14="http://schemas.microsoft.com/office/drawing/2010/main"/>
                      </a:ext>
                    </a:extLst>
                  </pic:spPr>
                </pic:pic>
              </a:graphicData>
            </a:graphic>
          </wp:inline>
        </w:drawing>
      </w:r>
    </w:p>
    <w:p w14:paraId="093692E3" w14:textId="0C83DADD" w:rsidR="00FC5FAD" w:rsidRDefault="00701C0D" w:rsidP="00701C0D">
      <w:pPr>
        <w:pStyle w:val="Caption"/>
      </w:pPr>
      <w:bookmarkStart w:id="483" w:name="_Ref97109205"/>
      <w:bookmarkStart w:id="484" w:name="_Toc101274587"/>
      <w:r>
        <w:t xml:space="preserve">Figure </w:t>
      </w:r>
      <w:fldSimple w:instr=" SEQ Figure \* ARABIC ">
        <w:r w:rsidR="00587AF0">
          <w:rPr>
            <w:noProof/>
          </w:rPr>
          <w:t>65</w:t>
        </w:r>
      </w:fldSimple>
      <w:bookmarkEnd w:id="483"/>
      <w:r>
        <w:t>. Box and whisker plot of</w:t>
      </w:r>
      <w:r w:rsidR="004273DF">
        <w:t xml:space="preserve"> T1</w:t>
      </w:r>
      <w:r>
        <w:t xml:space="preserve"> value in opening saddle position signal</w:t>
      </w:r>
      <w:bookmarkEnd w:id="484"/>
    </w:p>
    <w:p w14:paraId="6E3CA459" w14:textId="77777777" w:rsidR="009204EC" w:rsidRPr="009204EC" w:rsidRDefault="009204EC" w:rsidP="009204EC"/>
    <w:p w14:paraId="7FEBEB0C" w14:textId="31C29255" w:rsidR="00701C0D" w:rsidRDefault="004273DF" w:rsidP="004273DF">
      <w:pPr>
        <w:keepNext/>
        <w:jc w:val="center"/>
      </w:pPr>
      <w:r>
        <w:rPr>
          <w:noProof/>
        </w:rPr>
        <w:drawing>
          <wp:inline distT="0" distB="0" distL="0" distR="0" wp14:anchorId="10748C6A" wp14:editId="1DEBD528">
            <wp:extent cx="5732145" cy="3546696"/>
            <wp:effectExtent l="0" t="0" r="1905" b="0"/>
            <wp:docPr id="145" name="Picture 145" descr="Graphical user interfac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Graphical user interface, chart, scatter chart&#10;&#10;Description automatically generated"/>
                    <pic:cNvPicPr/>
                  </pic:nvPicPr>
                  <pic:blipFill rotWithShape="1">
                    <a:blip r:embed="rId102" cstate="print">
                      <a:extLst>
                        <a:ext uri="{28A0092B-C50C-407E-A947-70E740481C1C}">
                          <a14:useLocalDpi xmlns:a14="http://schemas.microsoft.com/office/drawing/2010/main" val="0"/>
                        </a:ext>
                      </a:extLst>
                    </a:blip>
                    <a:srcRect t="4849"/>
                    <a:stretch/>
                  </pic:blipFill>
                  <pic:spPr bwMode="auto">
                    <a:xfrm>
                      <a:off x="0" y="0"/>
                      <a:ext cx="5732145" cy="3546696"/>
                    </a:xfrm>
                    <a:prstGeom prst="rect">
                      <a:avLst/>
                    </a:prstGeom>
                    <a:ln>
                      <a:noFill/>
                    </a:ln>
                    <a:extLst>
                      <a:ext uri="{53640926-AAD7-44D8-BBD7-CCE9431645EC}">
                        <a14:shadowObscured xmlns:a14="http://schemas.microsoft.com/office/drawing/2010/main"/>
                      </a:ext>
                    </a:extLst>
                  </pic:spPr>
                </pic:pic>
              </a:graphicData>
            </a:graphic>
          </wp:inline>
        </w:drawing>
      </w:r>
    </w:p>
    <w:p w14:paraId="2B4704EA" w14:textId="704E850A" w:rsidR="00701C0D" w:rsidRDefault="00701C0D" w:rsidP="00701C0D">
      <w:pPr>
        <w:pStyle w:val="Caption"/>
      </w:pPr>
      <w:bookmarkStart w:id="485" w:name="_Ref97109221"/>
      <w:bookmarkStart w:id="486" w:name="_Toc101274588"/>
      <w:r>
        <w:t xml:space="preserve">Figure </w:t>
      </w:r>
      <w:fldSimple w:instr=" SEQ Figure \* ARABIC ">
        <w:r w:rsidR="00587AF0">
          <w:rPr>
            <w:noProof/>
          </w:rPr>
          <w:t>66</w:t>
        </w:r>
      </w:fldSimple>
      <w:bookmarkEnd w:id="485"/>
      <w:r>
        <w:t xml:space="preserve">. Box and whisker plot of </w:t>
      </w:r>
      <w:r w:rsidR="004273DF">
        <w:t>N_M</w:t>
      </w:r>
      <w:r>
        <w:t>edian</w:t>
      </w:r>
      <w:r w:rsidR="004273DF">
        <w:t>_OS</w:t>
      </w:r>
      <w:r>
        <w:t xml:space="preserve"> value in opening saddle position signal</w:t>
      </w:r>
      <w:bookmarkEnd w:id="486"/>
    </w:p>
    <w:p w14:paraId="4E02655A" w14:textId="6E59803B" w:rsidR="00701C0D" w:rsidRDefault="009A5B2C" w:rsidP="00701C0D">
      <w:r>
        <w:t>Reviewing the obtained results of box and whisker plots</w:t>
      </w:r>
      <w:r w:rsidR="00133C0E">
        <w:t>,</w:t>
      </w:r>
      <w:r>
        <w:t xml:space="preserve"> it can be seen that the </w:t>
      </w:r>
      <w:r w:rsidR="0059038F">
        <w:t>N_StDev_OS</w:t>
      </w:r>
      <w:r>
        <w:t xml:space="preserve"> (</w:t>
      </w:r>
      <w:r>
        <w:fldChar w:fldCharType="begin"/>
      </w:r>
      <w:r>
        <w:instrText xml:space="preserve"> REF _Ref97109167 \h </w:instrText>
      </w:r>
      <w:r>
        <w:fldChar w:fldCharType="separate"/>
      </w:r>
      <w:r w:rsidR="00587AF0">
        <w:t xml:space="preserve">Figure </w:t>
      </w:r>
      <w:r w:rsidR="00587AF0">
        <w:rPr>
          <w:noProof/>
        </w:rPr>
        <w:t>64</w:t>
      </w:r>
      <w:r>
        <w:fldChar w:fldCharType="end"/>
      </w:r>
      <w:r>
        <w:t xml:space="preserve">), </w:t>
      </w:r>
      <w:r w:rsidR="003119BD">
        <w:t>T1</w:t>
      </w:r>
      <w:r>
        <w:t xml:space="preserve"> value (</w:t>
      </w:r>
      <w:r>
        <w:fldChar w:fldCharType="begin"/>
      </w:r>
      <w:r>
        <w:instrText xml:space="preserve"> REF _Ref97109205 \h </w:instrText>
      </w:r>
      <w:r>
        <w:fldChar w:fldCharType="separate"/>
      </w:r>
      <w:r w:rsidR="00587AF0">
        <w:t xml:space="preserve">Figure </w:t>
      </w:r>
      <w:r w:rsidR="00587AF0">
        <w:rPr>
          <w:noProof/>
        </w:rPr>
        <w:t>65</w:t>
      </w:r>
      <w:r>
        <w:fldChar w:fldCharType="end"/>
      </w:r>
      <w:r>
        <w:t xml:space="preserve">) and </w:t>
      </w:r>
      <w:r w:rsidR="0059038F">
        <w:t>N_Median_OS</w:t>
      </w:r>
      <w:r>
        <w:t xml:space="preserve"> (</w:t>
      </w:r>
      <w:r>
        <w:fldChar w:fldCharType="begin"/>
      </w:r>
      <w:r>
        <w:instrText xml:space="preserve"> REF _Ref97109221 \h </w:instrText>
      </w:r>
      <w:r>
        <w:fldChar w:fldCharType="separate"/>
      </w:r>
      <w:r w:rsidR="00587AF0">
        <w:t xml:space="preserve">Figure </w:t>
      </w:r>
      <w:r w:rsidR="00587AF0">
        <w:rPr>
          <w:noProof/>
        </w:rPr>
        <w:t>66</w:t>
      </w:r>
      <w:r>
        <w:fldChar w:fldCharType="end"/>
      </w:r>
      <w:r>
        <w:t xml:space="preserve">) behave as </w:t>
      </w:r>
      <w:r w:rsidR="00C34E50">
        <w:t>features</w:t>
      </w:r>
      <w:r>
        <w:t xml:space="preserve"> that have</w:t>
      </w:r>
      <w:r w:rsidR="00C34E50">
        <w:t xml:space="preserve"> good </w:t>
      </w:r>
      <w:r>
        <w:t xml:space="preserve">mapping properties, i.e., variables that can be used for predicting labels, unlike </w:t>
      </w:r>
      <w:r w:rsidR="0059038F">
        <w:t>N_Kurt_OS</w:t>
      </w:r>
      <w:r>
        <w:t xml:space="preserve"> (</w:t>
      </w:r>
      <w:r w:rsidR="002109E1">
        <w:fldChar w:fldCharType="begin"/>
      </w:r>
      <w:r w:rsidR="002109E1">
        <w:instrText xml:space="preserve"> REF _Ref97109628 \h </w:instrText>
      </w:r>
      <w:r w:rsidR="002109E1">
        <w:fldChar w:fldCharType="separate"/>
      </w:r>
      <w:r w:rsidR="00587AF0">
        <w:t xml:space="preserve">Figure </w:t>
      </w:r>
      <w:r w:rsidR="00587AF0">
        <w:rPr>
          <w:noProof/>
        </w:rPr>
        <w:t>67</w:t>
      </w:r>
      <w:r w:rsidR="002109E1">
        <w:fldChar w:fldCharType="end"/>
      </w:r>
      <w:r>
        <w:t xml:space="preserve">), </w:t>
      </w:r>
      <w:r w:rsidR="0059038F">
        <w:t>N_Skew_OS</w:t>
      </w:r>
      <w:r>
        <w:t xml:space="preserve"> (</w:t>
      </w:r>
      <w:r w:rsidR="002109E1">
        <w:fldChar w:fldCharType="begin"/>
      </w:r>
      <w:r w:rsidR="002109E1">
        <w:instrText xml:space="preserve"> REF _Ref97109636 \h </w:instrText>
      </w:r>
      <w:r w:rsidR="002109E1">
        <w:fldChar w:fldCharType="separate"/>
      </w:r>
      <w:r w:rsidR="00587AF0">
        <w:t xml:space="preserve">Figure </w:t>
      </w:r>
      <w:r w:rsidR="00587AF0">
        <w:rPr>
          <w:noProof/>
        </w:rPr>
        <w:t>68</w:t>
      </w:r>
      <w:r w:rsidR="002109E1">
        <w:fldChar w:fldCharType="end"/>
      </w:r>
      <w:r>
        <w:t xml:space="preserve">), </w:t>
      </w:r>
      <w:r w:rsidR="0059038F">
        <w:t>N_1Q_OS</w:t>
      </w:r>
      <w:r>
        <w:t xml:space="preserve"> (</w:t>
      </w:r>
      <w:r w:rsidR="002109E1">
        <w:fldChar w:fldCharType="begin"/>
      </w:r>
      <w:r w:rsidR="002109E1">
        <w:instrText xml:space="preserve"> REF _Ref97109646 \h </w:instrText>
      </w:r>
      <w:r w:rsidR="002109E1">
        <w:fldChar w:fldCharType="separate"/>
      </w:r>
      <w:r w:rsidR="00587AF0">
        <w:t xml:space="preserve">Figure </w:t>
      </w:r>
      <w:r w:rsidR="00587AF0">
        <w:rPr>
          <w:noProof/>
        </w:rPr>
        <w:t>69</w:t>
      </w:r>
      <w:r w:rsidR="002109E1">
        <w:fldChar w:fldCharType="end"/>
      </w:r>
      <w:r>
        <w:t xml:space="preserve">) and </w:t>
      </w:r>
      <w:r w:rsidR="0059038F">
        <w:t xml:space="preserve">N_Kurt_OS </w:t>
      </w:r>
      <w:r>
        <w:t>(</w:t>
      </w:r>
      <w:r w:rsidR="002109E1">
        <w:fldChar w:fldCharType="begin"/>
      </w:r>
      <w:r w:rsidR="002109E1">
        <w:instrText xml:space="preserve"> REF _Ref97109650 \h </w:instrText>
      </w:r>
      <w:r w:rsidR="002109E1">
        <w:fldChar w:fldCharType="separate"/>
      </w:r>
      <w:r w:rsidR="00587AF0">
        <w:t xml:space="preserve">Figure </w:t>
      </w:r>
      <w:r w:rsidR="00587AF0">
        <w:rPr>
          <w:noProof/>
        </w:rPr>
        <w:t>70</w:t>
      </w:r>
      <w:r w:rsidR="002109E1">
        <w:fldChar w:fldCharType="end"/>
      </w:r>
      <w:r>
        <w:t>).</w:t>
      </w:r>
      <w:r w:rsidR="00E070A0">
        <w:t xml:space="preserve"> Since there </w:t>
      </w:r>
      <w:r w:rsidR="00E070A0">
        <w:lastRenderedPageBreak/>
        <w:t>may be inco</w:t>
      </w:r>
      <w:r w:rsidR="00133C0E">
        <w:t>n</w:t>
      </w:r>
      <w:r w:rsidR="00E070A0">
        <w:t xml:space="preserve">sistency with data modelling, for </w:t>
      </w:r>
      <w:r w:rsidR="00133C0E">
        <w:t xml:space="preserve">the </w:t>
      </w:r>
      <w:r w:rsidR="00E070A0">
        <w:t>decision between mean and median, additional PCA for visualisation will be used to establish which variable has better prediction properties.</w:t>
      </w:r>
    </w:p>
    <w:p w14:paraId="39346CAC" w14:textId="3304A790" w:rsidR="009A5B2C" w:rsidRDefault="00201265" w:rsidP="009A5B2C">
      <w:pPr>
        <w:keepNext/>
      </w:pPr>
      <w:r>
        <w:rPr>
          <w:noProof/>
        </w:rPr>
        <w:drawing>
          <wp:inline distT="0" distB="0" distL="0" distR="0" wp14:anchorId="549D03DF" wp14:editId="7B5D1FE4">
            <wp:extent cx="5732145" cy="3525431"/>
            <wp:effectExtent l="0" t="0" r="1905" b="0"/>
            <wp:docPr id="171" name="Picture 17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Chart, scatter chart&#10;&#10;Description automatically generated"/>
                    <pic:cNvPicPr/>
                  </pic:nvPicPr>
                  <pic:blipFill rotWithShape="1">
                    <a:blip r:embed="rId103" cstate="print">
                      <a:extLst>
                        <a:ext uri="{28A0092B-C50C-407E-A947-70E740481C1C}">
                          <a14:useLocalDpi xmlns:a14="http://schemas.microsoft.com/office/drawing/2010/main" val="0"/>
                        </a:ext>
                      </a:extLst>
                    </a:blip>
                    <a:srcRect t="5419"/>
                    <a:stretch/>
                  </pic:blipFill>
                  <pic:spPr bwMode="auto">
                    <a:xfrm>
                      <a:off x="0" y="0"/>
                      <a:ext cx="5732145" cy="3525431"/>
                    </a:xfrm>
                    <a:prstGeom prst="rect">
                      <a:avLst/>
                    </a:prstGeom>
                    <a:ln>
                      <a:noFill/>
                    </a:ln>
                    <a:extLst>
                      <a:ext uri="{53640926-AAD7-44D8-BBD7-CCE9431645EC}">
                        <a14:shadowObscured xmlns:a14="http://schemas.microsoft.com/office/drawing/2010/main"/>
                      </a:ext>
                    </a:extLst>
                  </pic:spPr>
                </pic:pic>
              </a:graphicData>
            </a:graphic>
          </wp:inline>
        </w:drawing>
      </w:r>
    </w:p>
    <w:p w14:paraId="7D9DC2B9" w14:textId="5A7859F2" w:rsidR="009A5B2C" w:rsidRDefault="009A5B2C" w:rsidP="009A5B2C">
      <w:pPr>
        <w:pStyle w:val="Caption"/>
      </w:pPr>
      <w:bookmarkStart w:id="487" w:name="_Ref97109628"/>
      <w:bookmarkStart w:id="488" w:name="_Toc101274589"/>
      <w:r>
        <w:t xml:space="preserve">Figure </w:t>
      </w:r>
      <w:fldSimple w:instr=" SEQ Figure \* ARABIC ">
        <w:r w:rsidR="00587AF0">
          <w:rPr>
            <w:noProof/>
          </w:rPr>
          <w:t>67</w:t>
        </w:r>
      </w:fldSimple>
      <w:bookmarkEnd w:id="487"/>
      <w:r>
        <w:t xml:space="preserve">. Box and whisker of </w:t>
      </w:r>
      <w:r w:rsidR="00201265">
        <w:t>N_Min_OS</w:t>
      </w:r>
      <w:r>
        <w:t xml:space="preserve"> at opening saddle position signal</w:t>
      </w:r>
      <w:bookmarkEnd w:id="488"/>
    </w:p>
    <w:p w14:paraId="7CA38EB8" w14:textId="77777777" w:rsidR="00A15BF8" w:rsidRPr="00A15BF8" w:rsidRDefault="00A15BF8" w:rsidP="00A15BF8"/>
    <w:p w14:paraId="22C3BB6D" w14:textId="42498F65" w:rsidR="009A5B2C" w:rsidRDefault="00201265" w:rsidP="001319BD">
      <w:pPr>
        <w:keepNext/>
        <w:spacing w:before="240"/>
      </w:pPr>
      <w:r>
        <w:rPr>
          <w:noProof/>
        </w:rPr>
        <w:drawing>
          <wp:inline distT="0" distB="0" distL="0" distR="0" wp14:anchorId="1B0EF334" wp14:editId="3E9D6F28">
            <wp:extent cx="5732145" cy="3557329"/>
            <wp:effectExtent l="0" t="0" r="1905" b="5080"/>
            <wp:docPr id="172" name="Picture 17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Chart, scatter chart&#10;&#10;Description automatically generated"/>
                    <pic:cNvPicPr/>
                  </pic:nvPicPr>
                  <pic:blipFill rotWithShape="1">
                    <a:blip r:embed="rId104" cstate="print">
                      <a:extLst>
                        <a:ext uri="{28A0092B-C50C-407E-A947-70E740481C1C}">
                          <a14:useLocalDpi xmlns:a14="http://schemas.microsoft.com/office/drawing/2010/main" val="0"/>
                        </a:ext>
                      </a:extLst>
                    </a:blip>
                    <a:srcRect t="4564"/>
                    <a:stretch/>
                  </pic:blipFill>
                  <pic:spPr bwMode="auto">
                    <a:xfrm>
                      <a:off x="0" y="0"/>
                      <a:ext cx="5732145" cy="3557329"/>
                    </a:xfrm>
                    <a:prstGeom prst="rect">
                      <a:avLst/>
                    </a:prstGeom>
                    <a:ln>
                      <a:noFill/>
                    </a:ln>
                    <a:extLst>
                      <a:ext uri="{53640926-AAD7-44D8-BBD7-CCE9431645EC}">
                        <a14:shadowObscured xmlns:a14="http://schemas.microsoft.com/office/drawing/2010/main"/>
                      </a:ext>
                    </a:extLst>
                  </pic:spPr>
                </pic:pic>
              </a:graphicData>
            </a:graphic>
          </wp:inline>
        </w:drawing>
      </w:r>
    </w:p>
    <w:p w14:paraId="18C0D93F" w14:textId="2B57B3DC" w:rsidR="009A5B2C" w:rsidRDefault="009A5B2C" w:rsidP="009A5B2C">
      <w:pPr>
        <w:pStyle w:val="Caption"/>
      </w:pPr>
      <w:bookmarkStart w:id="489" w:name="_Ref97109636"/>
      <w:bookmarkStart w:id="490" w:name="_Toc101274590"/>
      <w:r>
        <w:t xml:space="preserve">Figure </w:t>
      </w:r>
      <w:fldSimple w:instr=" SEQ Figure \* ARABIC ">
        <w:r w:rsidR="00587AF0">
          <w:rPr>
            <w:noProof/>
          </w:rPr>
          <w:t>68</w:t>
        </w:r>
      </w:fldSimple>
      <w:bookmarkEnd w:id="489"/>
      <w:r>
        <w:t xml:space="preserve">. Box and whisker </w:t>
      </w:r>
      <w:r w:rsidR="00A97DD9">
        <w:t xml:space="preserve">plot </w:t>
      </w:r>
      <w:r>
        <w:t xml:space="preserve">of </w:t>
      </w:r>
      <w:r w:rsidR="00201265">
        <w:t xml:space="preserve">N_HsIdleTime_OS </w:t>
      </w:r>
      <w:r>
        <w:t>at opening saddle position signal</w:t>
      </w:r>
      <w:bookmarkEnd w:id="490"/>
    </w:p>
    <w:p w14:paraId="7B41E721" w14:textId="77777777" w:rsidR="00450876" w:rsidRDefault="00450876" w:rsidP="000B6BE8">
      <w:pPr>
        <w:rPr>
          <w:lang w:bidi="en-US"/>
        </w:rPr>
      </w:pPr>
    </w:p>
    <w:p w14:paraId="4B9580DE" w14:textId="42FA6AA5" w:rsidR="00A97DD9" w:rsidRDefault="00A97DD9" w:rsidP="00A97DD9">
      <w:pPr>
        <w:keepNext/>
      </w:pPr>
      <w:r>
        <w:rPr>
          <w:noProof/>
          <w:szCs w:val="18"/>
          <w:lang w:bidi="en-US"/>
        </w:rPr>
        <w:lastRenderedPageBreak/>
        <w:drawing>
          <wp:inline distT="0" distB="0" distL="0" distR="0" wp14:anchorId="09267B66" wp14:editId="38BE18CA">
            <wp:extent cx="5732145" cy="3517900"/>
            <wp:effectExtent l="0" t="0" r="1905" b="6350"/>
            <wp:docPr id="118" name="Picture 11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Chart, scatter chart&#10;&#10;Description automatically generated"/>
                    <pic:cNvPicPr/>
                  </pic:nvPicPr>
                  <pic:blipFill rotWithShape="1">
                    <a:blip r:embed="rId105" cstate="print">
                      <a:extLst>
                        <a:ext uri="{28A0092B-C50C-407E-A947-70E740481C1C}">
                          <a14:useLocalDpi xmlns:a14="http://schemas.microsoft.com/office/drawing/2010/main" val="0"/>
                        </a:ext>
                      </a:extLst>
                    </a:blip>
                    <a:srcRect t="5622"/>
                    <a:stretch/>
                  </pic:blipFill>
                  <pic:spPr bwMode="auto">
                    <a:xfrm>
                      <a:off x="0" y="0"/>
                      <a:ext cx="5732145" cy="3517900"/>
                    </a:xfrm>
                    <a:prstGeom prst="rect">
                      <a:avLst/>
                    </a:prstGeom>
                    <a:ln>
                      <a:noFill/>
                    </a:ln>
                    <a:extLst>
                      <a:ext uri="{53640926-AAD7-44D8-BBD7-CCE9431645EC}">
                        <a14:shadowObscured xmlns:a14="http://schemas.microsoft.com/office/drawing/2010/main"/>
                      </a:ext>
                    </a:extLst>
                  </pic:spPr>
                </pic:pic>
              </a:graphicData>
            </a:graphic>
          </wp:inline>
        </w:drawing>
      </w:r>
    </w:p>
    <w:p w14:paraId="07534E0E" w14:textId="3A2474E8" w:rsidR="00940079" w:rsidRDefault="00A97DD9" w:rsidP="00A97DD9">
      <w:pPr>
        <w:pStyle w:val="Caption"/>
      </w:pPr>
      <w:bookmarkStart w:id="491" w:name="_Ref97109646"/>
      <w:bookmarkStart w:id="492" w:name="_Toc101274591"/>
      <w:r>
        <w:t xml:space="preserve">Figure </w:t>
      </w:r>
      <w:fldSimple w:instr=" SEQ Figure \* ARABIC ">
        <w:r w:rsidR="00587AF0">
          <w:rPr>
            <w:noProof/>
          </w:rPr>
          <w:t>69</w:t>
        </w:r>
      </w:fldSimple>
      <w:bookmarkEnd w:id="491"/>
      <w:r>
        <w:t xml:space="preserve">. Box and whisker plot of </w:t>
      </w:r>
      <w:r w:rsidR="00C03197">
        <w:t>N_1Q_OS</w:t>
      </w:r>
      <w:r>
        <w:t xml:space="preserve"> at opening saddle position</w:t>
      </w:r>
      <w:bookmarkEnd w:id="492"/>
    </w:p>
    <w:p w14:paraId="46202274" w14:textId="77777777" w:rsidR="00680BEC" w:rsidRDefault="00680BEC" w:rsidP="00A97DD9"/>
    <w:p w14:paraId="35F5D214" w14:textId="4612C4FF" w:rsidR="00A97DD9" w:rsidRDefault="00A1448F" w:rsidP="00A97DD9">
      <w:pPr>
        <w:keepNext/>
      </w:pPr>
      <w:r>
        <w:rPr>
          <w:noProof/>
        </w:rPr>
        <w:drawing>
          <wp:inline distT="0" distB="0" distL="0" distR="0" wp14:anchorId="591C3411" wp14:editId="6FC9CD41">
            <wp:extent cx="5732145" cy="3536064"/>
            <wp:effectExtent l="0" t="0" r="1905" b="7620"/>
            <wp:docPr id="170" name="Picture 170"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Chart, scatter chart&#10;&#10;Description automatically generated"/>
                    <pic:cNvPicPr/>
                  </pic:nvPicPr>
                  <pic:blipFill rotWithShape="1">
                    <a:blip r:embed="rId106" cstate="print">
                      <a:extLst>
                        <a:ext uri="{28A0092B-C50C-407E-A947-70E740481C1C}">
                          <a14:useLocalDpi xmlns:a14="http://schemas.microsoft.com/office/drawing/2010/main" val="0"/>
                        </a:ext>
                      </a:extLst>
                    </a:blip>
                    <a:srcRect t="5134"/>
                    <a:stretch/>
                  </pic:blipFill>
                  <pic:spPr bwMode="auto">
                    <a:xfrm>
                      <a:off x="0" y="0"/>
                      <a:ext cx="5732145" cy="3536064"/>
                    </a:xfrm>
                    <a:prstGeom prst="rect">
                      <a:avLst/>
                    </a:prstGeom>
                    <a:ln>
                      <a:noFill/>
                    </a:ln>
                    <a:extLst>
                      <a:ext uri="{53640926-AAD7-44D8-BBD7-CCE9431645EC}">
                        <a14:shadowObscured xmlns:a14="http://schemas.microsoft.com/office/drawing/2010/main"/>
                      </a:ext>
                    </a:extLst>
                  </pic:spPr>
                </pic:pic>
              </a:graphicData>
            </a:graphic>
          </wp:inline>
        </w:drawing>
      </w:r>
    </w:p>
    <w:p w14:paraId="2A232042" w14:textId="49523374" w:rsidR="00FE242D" w:rsidRDefault="00A97DD9" w:rsidP="00A97DD9">
      <w:pPr>
        <w:pStyle w:val="Caption"/>
      </w:pPr>
      <w:bookmarkStart w:id="493" w:name="_Ref97109650"/>
      <w:bookmarkStart w:id="494" w:name="_Toc101274592"/>
      <w:r>
        <w:t xml:space="preserve">Figure </w:t>
      </w:r>
      <w:fldSimple w:instr=" SEQ Figure \* ARABIC ">
        <w:r w:rsidR="00587AF0">
          <w:rPr>
            <w:noProof/>
          </w:rPr>
          <w:t>70</w:t>
        </w:r>
      </w:fldSimple>
      <w:bookmarkEnd w:id="493"/>
      <w:r>
        <w:t xml:space="preserve">. Box and whisker plot of </w:t>
      </w:r>
      <w:r w:rsidR="00A1448F">
        <w:t>N_Kurt_OS</w:t>
      </w:r>
      <w:r>
        <w:t xml:space="preserve"> at opening saddle position</w:t>
      </w:r>
      <w:bookmarkEnd w:id="494"/>
    </w:p>
    <w:p w14:paraId="73F05E76" w14:textId="77777777" w:rsidR="00FE242D" w:rsidRDefault="00FE242D">
      <w:pPr>
        <w:spacing w:before="0" w:after="160" w:line="259" w:lineRule="auto"/>
        <w:jc w:val="left"/>
        <w:rPr>
          <w:iCs/>
          <w:szCs w:val="18"/>
        </w:rPr>
      </w:pPr>
      <w:r>
        <w:br w:type="page"/>
      </w:r>
    </w:p>
    <w:p w14:paraId="11C12142" w14:textId="1B4A75E7" w:rsidR="00A97DD9" w:rsidRDefault="00EB4536" w:rsidP="00FE242D">
      <w:pPr>
        <w:pStyle w:val="Heading3"/>
      </w:pPr>
      <w:bookmarkStart w:id="495" w:name="_Toc101274390"/>
      <w:r>
        <w:lastRenderedPageBreak/>
        <w:t xml:space="preserve">Exploration of data </w:t>
      </w:r>
      <w:r w:rsidR="00FE242D">
        <w:t xml:space="preserve">– </w:t>
      </w:r>
      <w:r w:rsidR="006713AF">
        <w:t>i</w:t>
      </w:r>
      <w:r w:rsidR="00FE242D">
        <w:t>dle saddle position</w:t>
      </w:r>
      <w:bookmarkEnd w:id="495"/>
    </w:p>
    <w:p w14:paraId="7EED7DB4" w14:textId="18A79B2B" w:rsidR="00FA656B" w:rsidRDefault="008A04FB" w:rsidP="00FE242D">
      <w:pPr>
        <w:rPr>
          <w:lang w:bidi="en-US"/>
        </w:rPr>
      </w:pPr>
      <w:r>
        <w:rPr>
          <w:lang w:bidi="en-US"/>
        </w:rPr>
        <w:t xml:space="preserve">Conducting </w:t>
      </w:r>
      <w:r w:rsidR="00630B2C">
        <w:rPr>
          <w:lang w:bidi="en-US"/>
        </w:rPr>
        <w:t>explo</w:t>
      </w:r>
      <w:r w:rsidR="00133C0E">
        <w:rPr>
          <w:lang w:bidi="en-US"/>
        </w:rPr>
        <w:t>r</w:t>
      </w:r>
      <w:r w:rsidR="00630B2C">
        <w:rPr>
          <w:lang w:bidi="en-US"/>
        </w:rPr>
        <w:t xml:space="preserve">ation of </w:t>
      </w:r>
      <w:r>
        <w:rPr>
          <w:lang w:bidi="en-US"/>
        </w:rPr>
        <w:t>IS data</w:t>
      </w:r>
      <w:r w:rsidR="00630B2C">
        <w:rPr>
          <w:lang w:bidi="en-US"/>
        </w:rPr>
        <w:t>, the t-test showed that</w:t>
      </w:r>
      <w:r>
        <w:rPr>
          <w:lang w:bidi="en-US"/>
        </w:rPr>
        <w:t xml:space="preserve"> non-significant (</w:t>
      </w:r>
      <w:r w:rsidR="00E22526" w:rsidRPr="00E22526">
        <w:rPr>
          <w:i/>
          <w:iCs/>
          <w:lang w:bidi="en-US"/>
        </w:rPr>
        <w:t>p</w:t>
      </w:r>
      <w:r w:rsidR="00E22526">
        <w:rPr>
          <w:lang w:bidi="en-US"/>
        </w:rPr>
        <w:t>&lt;</w:t>
      </w:r>
      <w:r>
        <w:rPr>
          <w:lang w:bidi="en-US"/>
        </w:rPr>
        <w:t xml:space="preserve">0.05) variables </w:t>
      </w:r>
      <w:r w:rsidR="00630B2C">
        <w:rPr>
          <w:lang w:bidi="en-US"/>
        </w:rPr>
        <w:t>are</w:t>
      </w:r>
      <w:r>
        <w:rPr>
          <w:lang w:bidi="en-US"/>
        </w:rPr>
        <w:t xml:space="preserve"> “Break_Hycycle”, </w:t>
      </w:r>
      <w:r w:rsidR="00D747DB">
        <w:rPr>
          <w:lang w:bidi="en-US"/>
        </w:rPr>
        <w:t xml:space="preserve">“T2”, </w:t>
      </w:r>
      <w:r>
        <w:rPr>
          <w:lang w:bidi="en-US"/>
        </w:rPr>
        <w:t xml:space="preserve">“T5”, </w:t>
      </w:r>
      <w:r w:rsidR="00D747DB">
        <w:rPr>
          <w:lang w:bidi="en-US"/>
        </w:rPr>
        <w:t xml:space="preserve">and </w:t>
      </w:r>
      <w:r>
        <w:rPr>
          <w:lang w:bidi="en-US"/>
        </w:rPr>
        <w:t>N_</w:t>
      </w:r>
      <w:r w:rsidR="00D747DB">
        <w:rPr>
          <w:lang w:bidi="en-US"/>
        </w:rPr>
        <w:t>Max</w:t>
      </w:r>
      <w:r>
        <w:rPr>
          <w:lang w:bidi="en-US"/>
        </w:rPr>
        <w:t>_IS</w:t>
      </w:r>
      <w:r w:rsidR="00630B2C">
        <w:rPr>
          <w:lang w:bidi="en-US"/>
        </w:rPr>
        <w:t>.</w:t>
      </w:r>
      <w:r>
        <w:rPr>
          <w:lang w:bidi="en-US"/>
        </w:rPr>
        <w:t xml:space="preserve"> Based on the rest of the variables obtained, the results show strong </w:t>
      </w:r>
      <w:r w:rsidR="00630B2C">
        <w:rPr>
          <w:lang w:bidi="en-US"/>
        </w:rPr>
        <w:t>multicollinearity</w:t>
      </w:r>
      <w:r>
        <w:rPr>
          <w:lang w:bidi="en-US"/>
        </w:rPr>
        <w:t xml:space="preserve"> </w:t>
      </w:r>
      <w:r w:rsidR="00133C0E">
        <w:rPr>
          <w:lang w:bidi="en-US"/>
        </w:rPr>
        <w:t xml:space="preserve">in </w:t>
      </w:r>
      <w:r>
        <w:rPr>
          <w:lang w:bidi="en-US"/>
        </w:rPr>
        <w:t xml:space="preserve">the variables associated with </w:t>
      </w:r>
      <w:r w:rsidR="00133C0E">
        <w:rPr>
          <w:lang w:bidi="en-US"/>
        </w:rPr>
        <w:t xml:space="preserve">the </w:t>
      </w:r>
      <w:r>
        <w:rPr>
          <w:lang w:bidi="en-US"/>
        </w:rPr>
        <w:t xml:space="preserve">idle saddle position of </w:t>
      </w:r>
      <w:r w:rsidR="00133C0E">
        <w:rPr>
          <w:lang w:bidi="en-US"/>
        </w:rPr>
        <w:t xml:space="preserve">the </w:t>
      </w:r>
      <w:r>
        <w:rPr>
          <w:lang w:bidi="en-US"/>
        </w:rPr>
        <w:t>signal.</w:t>
      </w:r>
      <w:r w:rsidR="00FA656B">
        <w:rPr>
          <w:lang w:bidi="en-US"/>
        </w:rPr>
        <w:t xml:space="preserve"> In addition, since there are cases with </w:t>
      </w:r>
      <w:r w:rsidR="00133C0E">
        <w:rPr>
          <w:lang w:bidi="en-US"/>
        </w:rPr>
        <w:t xml:space="preserve">the </w:t>
      </w:r>
      <w:r w:rsidR="00FA656B">
        <w:rPr>
          <w:lang w:bidi="en-US"/>
        </w:rPr>
        <w:t>known prior condition of saddle improvement (new saddle sensor) and total failure due to saddle sensor detection failure, both sample datasets are removed as outliers.</w:t>
      </w:r>
      <w:r w:rsidR="0089121A">
        <w:rPr>
          <w:lang w:bidi="en-US"/>
        </w:rPr>
        <w:t xml:space="preserve"> In addition, it can be seen on the correlation cluster heatmap (</w:t>
      </w:r>
      <w:r w:rsidR="0089121A">
        <w:rPr>
          <w:lang w:bidi="en-US"/>
        </w:rPr>
        <w:fldChar w:fldCharType="begin"/>
      </w:r>
      <w:r w:rsidR="0089121A">
        <w:rPr>
          <w:lang w:bidi="en-US"/>
        </w:rPr>
        <w:instrText xml:space="preserve"> REF _Ref97213135 \h </w:instrText>
      </w:r>
      <w:r w:rsidR="0089121A">
        <w:rPr>
          <w:lang w:bidi="en-US"/>
        </w:rPr>
      </w:r>
      <w:r w:rsidR="0089121A">
        <w:rPr>
          <w:lang w:bidi="en-US"/>
        </w:rPr>
        <w:fldChar w:fldCharType="separate"/>
      </w:r>
      <w:r w:rsidR="00587AF0">
        <w:t xml:space="preserve">Figure </w:t>
      </w:r>
      <w:r w:rsidR="00587AF0">
        <w:rPr>
          <w:noProof/>
        </w:rPr>
        <w:t>71</w:t>
      </w:r>
      <w:r w:rsidR="0089121A">
        <w:rPr>
          <w:lang w:bidi="en-US"/>
        </w:rPr>
        <w:fldChar w:fldCharType="end"/>
      </w:r>
      <w:r w:rsidR="0089121A">
        <w:rPr>
          <w:lang w:bidi="en-US"/>
        </w:rPr>
        <w:t xml:space="preserve">) that the presence of multicollinearity must be eliminated from the variables N_3Q_IS, N_IQR, N_Mean_IS, N_StDev_IS, N_RMS_IS, and N_Kurt_IS with N_Skew_IS. Trial and error </w:t>
      </w:r>
      <w:r w:rsidR="00C03197">
        <w:rPr>
          <w:lang w:bidi="en-US"/>
        </w:rPr>
        <w:t>are</w:t>
      </w:r>
      <w:r w:rsidR="0089121A">
        <w:rPr>
          <w:lang w:bidi="en-US"/>
        </w:rPr>
        <w:t xml:space="preserve"> used to estimate the best possible variables that explain most data variation in the samples/features.</w:t>
      </w:r>
    </w:p>
    <w:p w14:paraId="1BE1E4E4" w14:textId="7D6070EF" w:rsidR="00FA656B" w:rsidRDefault="00D747DB" w:rsidP="00FA656B">
      <w:pPr>
        <w:keepNext/>
        <w:spacing w:before="240"/>
      </w:pPr>
      <w:r>
        <w:rPr>
          <w:noProof/>
        </w:rPr>
        <w:drawing>
          <wp:inline distT="0" distB="0" distL="0" distR="0" wp14:anchorId="77D9830C" wp14:editId="2BD42895">
            <wp:extent cx="5732145" cy="5732145"/>
            <wp:effectExtent l="0" t="0" r="1905" b="1905"/>
            <wp:docPr id="173" name="Picture 17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Chart, bar chart&#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732145" cy="5732145"/>
                    </a:xfrm>
                    <a:prstGeom prst="rect">
                      <a:avLst/>
                    </a:prstGeom>
                  </pic:spPr>
                </pic:pic>
              </a:graphicData>
            </a:graphic>
          </wp:inline>
        </w:drawing>
      </w:r>
    </w:p>
    <w:p w14:paraId="4416D0CD" w14:textId="18A3155D" w:rsidR="00FA656B" w:rsidRDefault="00FA656B" w:rsidP="00FA656B">
      <w:pPr>
        <w:pStyle w:val="Caption"/>
      </w:pPr>
      <w:bookmarkStart w:id="496" w:name="_Ref97213135"/>
      <w:bookmarkStart w:id="497" w:name="_Toc101274593"/>
      <w:r>
        <w:t xml:space="preserve">Figure </w:t>
      </w:r>
      <w:fldSimple w:instr=" SEQ Figure \* ARABIC ">
        <w:r w:rsidR="00587AF0">
          <w:rPr>
            <w:noProof/>
          </w:rPr>
          <w:t>71</w:t>
        </w:r>
      </w:fldSimple>
      <w:bookmarkEnd w:id="496"/>
      <w:r>
        <w:t xml:space="preserve">. </w:t>
      </w:r>
      <w:r w:rsidR="00952A61">
        <w:t>Correlation heatmap of idle saddle position signal variables</w:t>
      </w:r>
      <w:bookmarkEnd w:id="497"/>
    </w:p>
    <w:p w14:paraId="2EC047E6" w14:textId="5F81049A" w:rsidR="000A12BC" w:rsidRDefault="000A12BC" w:rsidP="000A12BC">
      <w:r>
        <w:t>Finally, after eliminating all of the non-statistically significant features, the results show that 1</w:t>
      </w:r>
      <w:r w:rsidR="00487A1F">
        <w:t>6</w:t>
      </w:r>
      <w:r>
        <w:t xml:space="preserve"> variables are statistically significant for the analysis. Namely, the most significant variable is shown to be </w:t>
      </w:r>
      <w:r w:rsidR="00487A1F">
        <w:t>N_1Q_IS</w:t>
      </w:r>
      <w:r w:rsidR="000505BA">
        <w:t xml:space="preserve"> (</w:t>
      </w:r>
      <w:r w:rsidR="000C13FE">
        <w:fldChar w:fldCharType="begin"/>
      </w:r>
      <w:r w:rsidR="000C13FE">
        <w:instrText xml:space="preserve"> REF _Ref97114013 \h </w:instrText>
      </w:r>
      <w:r w:rsidR="000C13FE">
        <w:fldChar w:fldCharType="separate"/>
      </w:r>
      <w:r w:rsidR="00587AF0">
        <w:t xml:space="preserve">Figure </w:t>
      </w:r>
      <w:r w:rsidR="00587AF0">
        <w:rPr>
          <w:noProof/>
        </w:rPr>
        <w:t>72</w:t>
      </w:r>
      <w:r w:rsidR="000C13FE">
        <w:fldChar w:fldCharType="end"/>
      </w:r>
      <w:r w:rsidR="000505BA">
        <w:t xml:space="preserve">), </w:t>
      </w:r>
      <w:r w:rsidR="00487A1F">
        <w:t xml:space="preserve">N_Kurt_IS </w:t>
      </w:r>
      <w:r w:rsidR="000505BA">
        <w:t>(</w:t>
      </w:r>
      <w:r w:rsidR="000C13FE">
        <w:fldChar w:fldCharType="begin"/>
      </w:r>
      <w:r w:rsidR="000C13FE">
        <w:instrText xml:space="preserve"> REF _Ref97114032 \h </w:instrText>
      </w:r>
      <w:r w:rsidR="000C13FE">
        <w:fldChar w:fldCharType="separate"/>
      </w:r>
      <w:r w:rsidR="00587AF0">
        <w:t xml:space="preserve">Figure </w:t>
      </w:r>
      <w:r w:rsidR="00587AF0">
        <w:rPr>
          <w:noProof/>
        </w:rPr>
        <w:t>74</w:t>
      </w:r>
      <w:r w:rsidR="000C13FE">
        <w:fldChar w:fldCharType="end"/>
      </w:r>
      <w:r w:rsidR="000505BA">
        <w:t xml:space="preserve">), </w:t>
      </w:r>
      <w:r w:rsidR="00487A1F">
        <w:t>N_Median_IS (</w:t>
      </w:r>
      <w:r w:rsidR="00487A1F">
        <w:fldChar w:fldCharType="begin"/>
      </w:r>
      <w:r w:rsidR="00487A1F">
        <w:instrText xml:space="preserve"> REF _Ref97114002 \h </w:instrText>
      </w:r>
      <w:r w:rsidR="00487A1F">
        <w:fldChar w:fldCharType="separate"/>
      </w:r>
      <w:r w:rsidR="00587AF0">
        <w:t xml:space="preserve">Figure </w:t>
      </w:r>
      <w:r w:rsidR="00587AF0">
        <w:rPr>
          <w:noProof/>
        </w:rPr>
        <w:t>73</w:t>
      </w:r>
      <w:r w:rsidR="00487A1F">
        <w:fldChar w:fldCharType="end"/>
      </w:r>
      <w:r w:rsidR="00487A1F">
        <w:t xml:space="preserve">), </w:t>
      </w:r>
      <w:r w:rsidR="000505BA">
        <w:t xml:space="preserve">and </w:t>
      </w:r>
      <w:r w:rsidR="00487A1F">
        <w:t>N_StDev_IS</w:t>
      </w:r>
      <w:r w:rsidR="00D9111E">
        <w:t xml:space="preserve"> (</w:t>
      </w:r>
      <w:r w:rsidR="000C13FE">
        <w:fldChar w:fldCharType="begin"/>
      </w:r>
      <w:r w:rsidR="000C13FE">
        <w:instrText xml:space="preserve"> REF _Ref97114041 \h </w:instrText>
      </w:r>
      <w:r w:rsidR="000C13FE">
        <w:fldChar w:fldCharType="separate"/>
      </w:r>
      <w:r w:rsidR="00587AF0">
        <w:t xml:space="preserve">Figure </w:t>
      </w:r>
      <w:r w:rsidR="00587AF0">
        <w:rPr>
          <w:noProof/>
        </w:rPr>
        <w:t>75</w:t>
      </w:r>
      <w:r w:rsidR="000C13FE">
        <w:fldChar w:fldCharType="end"/>
      </w:r>
      <w:r w:rsidR="00D9111E">
        <w:t>)</w:t>
      </w:r>
      <w:r w:rsidR="00CE4017">
        <w:t>, in addition to variables of min value, T1 and standard deviation of a signal at closing saddle position (assumption of multico</w:t>
      </w:r>
      <w:r w:rsidR="00133C0E">
        <w:t>l</w:t>
      </w:r>
      <w:r w:rsidR="00CE4017">
        <w:t>linearity).</w:t>
      </w:r>
    </w:p>
    <w:p w14:paraId="348A0CD3" w14:textId="48F9B084" w:rsidR="00D9111E" w:rsidRDefault="00487A1F" w:rsidP="00D9111E">
      <w:pPr>
        <w:keepNext/>
      </w:pPr>
      <w:r>
        <w:rPr>
          <w:noProof/>
        </w:rPr>
        <w:lastRenderedPageBreak/>
        <w:drawing>
          <wp:inline distT="0" distB="0" distL="0" distR="0" wp14:anchorId="2DF58834" wp14:editId="05259A40">
            <wp:extent cx="5732145" cy="3524250"/>
            <wp:effectExtent l="0" t="0" r="1905" b="0"/>
            <wp:docPr id="174" name="Picture 174" descr="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Scatter chart&#10;&#10;Description automatically generated"/>
                    <pic:cNvPicPr/>
                  </pic:nvPicPr>
                  <pic:blipFill rotWithShape="1">
                    <a:blip r:embed="rId108" cstate="print">
                      <a:extLst>
                        <a:ext uri="{28A0092B-C50C-407E-A947-70E740481C1C}">
                          <a14:useLocalDpi xmlns:a14="http://schemas.microsoft.com/office/drawing/2010/main" val="0"/>
                        </a:ext>
                      </a:extLst>
                    </a:blip>
                    <a:srcRect t="5452"/>
                    <a:stretch/>
                  </pic:blipFill>
                  <pic:spPr bwMode="auto">
                    <a:xfrm>
                      <a:off x="0" y="0"/>
                      <a:ext cx="5732145" cy="3524250"/>
                    </a:xfrm>
                    <a:prstGeom prst="rect">
                      <a:avLst/>
                    </a:prstGeom>
                    <a:ln>
                      <a:noFill/>
                    </a:ln>
                    <a:extLst>
                      <a:ext uri="{53640926-AAD7-44D8-BBD7-CCE9431645EC}">
                        <a14:shadowObscured xmlns:a14="http://schemas.microsoft.com/office/drawing/2010/main"/>
                      </a:ext>
                    </a:extLst>
                  </pic:spPr>
                </pic:pic>
              </a:graphicData>
            </a:graphic>
          </wp:inline>
        </w:drawing>
      </w:r>
    </w:p>
    <w:p w14:paraId="1D75E69D" w14:textId="6DC3962B" w:rsidR="00D9111E" w:rsidRDefault="00D9111E" w:rsidP="00D9111E">
      <w:pPr>
        <w:pStyle w:val="Caption"/>
      </w:pPr>
      <w:bookmarkStart w:id="498" w:name="_Ref97114013"/>
      <w:bookmarkStart w:id="499" w:name="_Toc101274594"/>
      <w:r>
        <w:t xml:space="preserve">Figure </w:t>
      </w:r>
      <w:fldSimple w:instr=" SEQ Figure \* ARABIC ">
        <w:r w:rsidR="00587AF0">
          <w:rPr>
            <w:noProof/>
          </w:rPr>
          <w:t>72</w:t>
        </w:r>
      </w:fldSimple>
      <w:bookmarkEnd w:id="498"/>
      <w:r>
        <w:t xml:space="preserve">. Box and whisker plot of </w:t>
      </w:r>
      <w:r w:rsidR="00487A1F">
        <w:t>N_1Q_IS</w:t>
      </w:r>
      <w:r w:rsidR="008E599B">
        <w:t xml:space="preserve"> value</w:t>
      </w:r>
      <w:r>
        <w:t xml:space="preserve"> of idle saddle position signal</w:t>
      </w:r>
      <w:bookmarkEnd w:id="499"/>
    </w:p>
    <w:p w14:paraId="2F14C10E" w14:textId="77777777" w:rsidR="00D9111E" w:rsidRPr="00D9111E" w:rsidRDefault="00D9111E" w:rsidP="00D9111E"/>
    <w:p w14:paraId="2DB680CC" w14:textId="0445A707" w:rsidR="008E599B" w:rsidRDefault="00487A1F" w:rsidP="008E599B">
      <w:pPr>
        <w:keepNext/>
      </w:pPr>
      <w:r>
        <w:rPr>
          <w:noProof/>
        </w:rPr>
        <w:drawing>
          <wp:inline distT="0" distB="0" distL="0" distR="0" wp14:anchorId="7F25671E" wp14:editId="0E9B2C9F">
            <wp:extent cx="5732145" cy="3507316"/>
            <wp:effectExtent l="0" t="0" r="1905" b="0"/>
            <wp:docPr id="175" name="Picture 17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Chart, scatter chart&#10;&#10;Description automatically generated"/>
                    <pic:cNvPicPr/>
                  </pic:nvPicPr>
                  <pic:blipFill rotWithShape="1">
                    <a:blip r:embed="rId109" cstate="print">
                      <a:extLst>
                        <a:ext uri="{28A0092B-C50C-407E-A947-70E740481C1C}">
                          <a14:useLocalDpi xmlns:a14="http://schemas.microsoft.com/office/drawing/2010/main" val="0"/>
                        </a:ext>
                      </a:extLst>
                    </a:blip>
                    <a:srcRect t="5905"/>
                    <a:stretch/>
                  </pic:blipFill>
                  <pic:spPr bwMode="auto">
                    <a:xfrm>
                      <a:off x="0" y="0"/>
                      <a:ext cx="5732145" cy="3507316"/>
                    </a:xfrm>
                    <a:prstGeom prst="rect">
                      <a:avLst/>
                    </a:prstGeom>
                    <a:ln>
                      <a:noFill/>
                    </a:ln>
                    <a:extLst>
                      <a:ext uri="{53640926-AAD7-44D8-BBD7-CCE9431645EC}">
                        <a14:shadowObscured xmlns:a14="http://schemas.microsoft.com/office/drawing/2010/main"/>
                      </a:ext>
                    </a:extLst>
                  </pic:spPr>
                </pic:pic>
              </a:graphicData>
            </a:graphic>
          </wp:inline>
        </w:drawing>
      </w:r>
    </w:p>
    <w:p w14:paraId="0DC19A8A" w14:textId="030328EB" w:rsidR="00D9111E" w:rsidRDefault="008E599B" w:rsidP="008E599B">
      <w:pPr>
        <w:pStyle w:val="Caption"/>
      </w:pPr>
      <w:bookmarkStart w:id="500" w:name="_Ref97114002"/>
      <w:bookmarkStart w:id="501" w:name="_Toc101274595"/>
      <w:r>
        <w:t xml:space="preserve">Figure </w:t>
      </w:r>
      <w:fldSimple w:instr=" SEQ Figure \* ARABIC ">
        <w:r w:rsidR="00587AF0">
          <w:rPr>
            <w:noProof/>
          </w:rPr>
          <w:t>73</w:t>
        </w:r>
      </w:fldSimple>
      <w:bookmarkEnd w:id="500"/>
      <w:r>
        <w:t xml:space="preserve">. Box and whisker plot of </w:t>
      </w:r>
      <w:r w:rsidR="00487A1F">
        <w:t>N_Kurt_IS</w:t>
      </w:r>
      <w:r>
        <w:t xml:space="preserve"> value of idle saddle position signal</w:t>
      </w:r>
      <w:bookmarkEnd w:id="501"/>
    </w:p>
    <w:p w14:paraId="1373851C" w14:textId="5E225C63" w:rsidR="008E599B" w:rsidRDefault="003500B9" w:rsidP="00487A1F">
      <w:pPr>
        <w:keepNext/>
        <w:jc w:val="center"/>
      </w:pPr>
      <w:r>
        <w:rPr>
          <w:noProof/>
        </w:rPr>
        <w:lastRenderedPageBreak/>
        <w:drawing>
          <wp:inline distT="0" distB="0" distL="0" distR="0" wp14:anchorId="673F2C83" wp14:editId="720B790B">
            <wp:extent cx="5732145" cy="3507317"/>
            <wp:effectExtent l="0" t="0" r="1905" b="0"/>
            <wp:docPr id="176" name="Picture 17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Chart, scatter chart&#10;&#10;Description automatically generated"/>
                    <pic:cNvPicPr/>
                  </pic:nvPicPr>
                  <pic:blipFill rotWithShape="1">
                    <a:blip r:embed="rId110" cstate="print">
                      <a:extLst>
                        <a:ext uri="{28A0092B-C50C-407E-A947-70E740481C1C}">
                          <a14:useLocalDpi xmlns:a14="http://schemas.microsoft.com/office/drawing/2010/main" val="0"/>
                        </a:ext>
                      </a:extLst>
                    </a:blip>
                    <a:srcRect t="5905"/>
                    <a:stretch/>
                  </pic:blipFill>
                  <pic:spPr bwMode="auto">
                    <a:xfrm>
                      <a:off x="0" y="0"/>
                      <a:ext cx="5732145" cy="3507317"/>
                    </a:xfrm>
                    <a:prstGeom prst="rect">
                      <a:avLst/>
                    </a:prstGeom>
                    <a:ln>
                      <a:noFill/>
                    </a:ln>
                    <a:extLst>
                      <a:ext uri="{53640926-AAD7-44D8-BBD7-CCE9431645EC}">
                        <a14:shadowObscured xmlns:a14="http://schemas.microsoft.com/office/drawing/2010/main"/>
                      </a:ext>
                    </a:extLst>
                  </pic:spPr>
                </pic:pic>
              </a:graphicData>
            </a:graphic>
          </wp:inline>
        </w:drawing>
      </w:r>
    </w:p>
    <w:p w14:paraId="7D4F8DFE" w14:textId="5FE89253" w:rsidR="008E599B" w:rsidRDefault="008E599B" w:rsidP="008E599B">
      <w:pPr>
        <w:pStyle w:val="Caption"/>
      </w:pPr>
      <w:bookmarkStart w:id="502" w:name="_Ref97114032"/>
      <w:bookmarkStart w:id="503" w:name="_Toc101274596"/>
      <w:r>
        <w:t xml:space="preserve">Figure </w:t>
      </w:r>
      <w:fldSimple w:instr=" SEQ Figure \* ARABIC ">
        <w:r w:rsidR="00587AF0">
          <w:rPr>
            <w:noProof/>
          </w:rPr>
          <w:t>74</w:t>
        </w:r>
      </w:fldSimple>
      <w:bookmarkEnd w:id="502"/>
      <w:r>
        <w:t xml:space="preserve">. Box and whisker plot of </w:t>
      </w:r>
      <w:r w:rsidR="00487A1F">
        <w:t>N_Median_IS</w:t>
      </w:r>
      <w:r>
        <w:t xml:space="preserve"> value of idle saddle position</w:t>
      </w:r>
      <w:bookmarkEnd w:id="503"/>
    </w:p>
    <w:p w14:paraId="68CC9A6C" w14:textId="77777777" w:rsidR="002145CA" w:rsidRPr="002145CA" w:rsidRDefault="002145CA" w:rsidP="002145CA"/>
    <w:p w14:paraId="44A4F459" w14:textId="31B4DD2A" w:rsidR="008E599B" w:rsidRDefault="003500B9" w:rsidP="000474EC">
      <w:pPr>
        <w:keepNext/>
        <w:spacing w:before="240"/>
      </w:pPr>
      <w:r>
        <w:rPr>
          <w:noProof/>
        </w:rPr>
        <w:drawing>
          <wp:inline distT="0" distB="0" distL="0" distR="0" wp14:anchorId="02955872" wp14:editId="3D2F9E6C">
            <wp:extent cx="5732145" cy="3524250"/>
            <wp:effectExtent l="0" t="0" r="1905" b="0"/>
            <wp:docPr id="177" name="Picture 17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Chart, scatter chart&#10;&#10;Description automatically generated"/>
                    <pic:cNvPicPr/>
                  </pic:nvPicPr>
                  <pic:blipFill rotWithShape="1">
                    <a:blip r:embed="rId111" cstate="print">
                      <a:extLst>
                        <a:ext uri="{28A0092B-C50C-407E-A947-70E740481C1C}">
                          <a14:useLocalDpi xmlns:a14="http://schemas.microsoft.com/office/drawing/2010/main" val="0"/>
                        </a:ext>
                      </a:extLst>
                    </a:blip>
                    <a:srcRect t="5452"/>
                    <a:stretch/>
                  </pic:blipFill>
                  <pic:spPr bwMode="auto">
                    <a:xfrm>
                      <a:off x="0" y="0"/>
                      <a:ext cx="5732145" cy="3524250"/>
                    </a:xfrm>
                    <a:prstGeom prst="rect">
                      <a:avLst/>
                    </a:prstGeom>
                    <a:ln>
                      <a:noFill/>
                    </a:ln>
                    <a:extLst>
                      <a:ext uri="{53640926-AAD7-44D8-BBD7-CCE9431645EC}">
                        <a14:shadowObscured xmlns:a14="http://schemas.microsoft.com/office/drawing/2010/main"/>
                      </a:ext>
                    </a:extLst>
                  </pic:spPr>
                </pic:pic>
              </a:graphicData>
            </a:graphic>
          </wp:inline>
        </w:drawing>
      </w:r>
    </w:p>
    <w:p w14:paraId="27CFF83D" w14:textId="40152B1C" w:rsidR="008E599B" w:rsidRDefault="008E599B" w:rsidP="008E599B">
      <w:pPr>
        <w:pStyle w:val="Caption"/>
      </w:pPr>
      <w:bookmarkStart w:id="504" w:name="_Ref97114041"/>
      <w:bookmarkStart w:id="505" w:name="_Toc101274597"/>
      <w:r>
        <w:t xml:space="preserve">Figure </w:t>
      </w:r>
      <w:fldSimple w:instr=" SEQ Figure \* ARABIC ">
        <w:r w:rsidR="00587AF0">
          <w:rPr>
            <w:noProof/>
          </w:rPr>
          <w:t>75</w:t>
        </w:r>
      </w:fldSimple>
      <w:bookmarkEnd w:id="504"/>
      <w:r>
        <w:t xml:space="preserve">. Box and whisker plot of </w:t>
      </w:r>
      <w:r w:rsidR="003500B9">
        <w:t>N_StDev_IS</w:t>
      </w:r>
      <w:r w:rsidR="000C13FE">
        <w:t xml:space="preserve"> value of idle saddle position</w:t>
      </w:r>
      <w:bookmarkEnd w:id="505"/>
    </w:p>
    <w:p w14:paraId="35CD49AF" w14:textId="74CF45EA" w:rsidR="000474EC" w:rsidRDefault="00FF3E12" w:rsidP="000474EC">
      <w:r>
        <w:t>After reviewing the previous figures of statistically significant values</w:t>
      </w:r>
      <w:r w:rsidR="00133C0E">
        <w:t>,</w:t>
      </w:r>
      <w:r>
        <w:t xml:space="preserve"> which can help improve prediction, i.e., classification results of normal and non-normal (quasi-failure) operating conditions, the classification will be done accordingly using the </w:t>
      </w:r>
      <w:r w:rsidR="00C03197">
        <w:t>proposed FPMs</w:t>
      </w:r>
      <w:r w:rsidR="0033547E">
        <w:t>.</w:t>
      </w:r>
    </w:p>
    <w:p w14:paraId="0ABC58F9" w14:textId="76AE06DF" w:rsidR="00FF3E12" w:rsidRDefault="00FF3E12">
      <w:pPr>
        <w:spacing w:before="0" w:after="160" w:line="259" w:lineRule="auto"/>
        <w:jc w:val="left"/>
      </w:pPr>
      <w:r>
        <w:br w:type="page"/>
      </w:r>
    </w:p>
    <w:p w14:paraId="4FE89CDF" w14:textId="1299DF5C" w:rsidR="00FF3E12" w:rsidRDefault="00EB4536" w:rsidP="00FF3E12">
      <w:pPr>
        <w:pStyle w:val="Heading3"/>
      </w:pPr>
      <w:bookmarkStart w:id="506" w:name="_Toc101274391"/>
      <w:r>
        <w:lastRenderedPageBreak/>
        <w:t xml:space="preserve">Exploration of data </w:t>
      </w:r>
      <w:r w:rsidR="00FF3E12">
        <w:t xml:space="preserve">– </w:t>
      </w:r>
      <w:r w:rsidR="006713AF">
        <w:t>c</w:t>
      </w:r>
      <w:r w:rsidR="00FF3E12">
        <w:t>losing saddle position</w:t>
      </w:r>
      <w:bookmarkEnd w:id="506"/>
    </w:p>
    <w:p w14:paraId="38783B77" w14:textId="5B5FA090" w:rsidR="002A0E8B" w:rsidRDefault="00133C0E" w:rsidP="00FF3E12">
      <w:r>
        <w:t>The marker</w:t>
      </w:r>
      <w:r w:rsidR="002A0E8B">
        <w:t xml:space="preserve"> “Break_hycycle” </w:t>
      </w:r>
      <w:r>
        <w:t>in all three cases show</w:t>
      </w:r>
      <w:r w:rsidR="002A0E8B">
        <w:t xml:space="preserve">s no relationship of </w:t>
      </w:r>
      <w:r>
        <w:t xml:space="preserve">a </w:t>
      </w:r>
      <w:r w:rsidR="002A0E8B">
        <w:t xml:space="preserve">break between batch productions, i.e., turning on and off </w:t>
      </w:r>
      <w:r>
        <w:t xml:space="preserve">the </w:t>
      </w:r>
      <w:r w:rsidR="002A0E8B">
        <w:t>hydraulic system and running again. However, it impose</w:t>
      </w:r>
      <w:r w:rsidR="00E05339">
        <w:t>s</w:t>
      </w:r>
      <w:r w:rsidR="002A0E8B">
        <w:t xml:space="preserve"> the question of working temperature </w:t>
      </w:r>
      <w:r w:rsidR="00E05339">
        <w:t xml:space="preserve">influence under the assumption of </w:t>
      </w:r>
      <w:r>
        <w:t xml:space="preserve">the </w:t>
      </w:r>
      <w:r w:rsidR="00E05339">
        <w:t xml:space="preserve">negative effect temperature causes </w:t>
      </w:r>
      <w:r>
        <w:t>on</w:t>
      </w:r>
      <w:r w:rsidR="00E05339">
        <w:t xml:space="preserve"> hydraulic working fluid. However, although temperature causes </w:t>
      </w:r>
      <w:r>
        <w:t xml:space="preserve">a </w:t>
      </w:r>
      <w:r w:rsidR="00E05339">
        <w:t>detrimental effect on hydraulic system performance (e.g., viscosity degradation)</w:t>
      </w:r>
      <w:r>
        <w:t>,</w:t>
      </w:r>
      <w:r w:rsidR="00E05339">
        <w:t xml:space="preserve"> during the experimental investigation</w:t>
      </w:r>
      <w:r>
        <w:t>,</w:t>
      </w:r>
      <w:r w:rsidR="00E05339">
        <w:t xml:space="preserve"> the temperature did not cause any effect correlated with any of the physio-chemical parameters of the fluid.</w:t>
      </w:r>
      <w:r w:rsidR="002A0E8B">
        <w:t xml:space="preserve"> Therefore, breaks do not show </w:t>
      </w:r>
      <w:r>
        <w:t xml:space="preserve">a </w:t>
      </w:r>
      <w:r w:rsidR="002A0E8B">
        <w:t>significant relationship here. As for the correlation</w:t>
      </w:r>
      <w:r w:rsidR="00E22526">
        <w:t>,</w:t>
      </w:r>
      <w:r w:rsidR="002A0E8B">
        <w:t xml:space="preserve"> </w:t>
      </w:r>
      <w:r w:rsidR="00E22526">
        <w:t xml:space="preserve">the </w:t>
      </w:r>
      <w:r w:rsidR="002A0E8B">
        <w:rPr>
          <w:i/>
          <w:iCs/>
        </w:rPr>
        <w:t>r</w:t>
      </w:r>
      <w:r w:rsidR="002A0E8B">
        <w:t xml:space="preserve"> coefficient</w:t>
      </w:r>
      <w:r>
        <w:t xml:space="preserve"> </w:t>
      </w:r>
      <w:r w:rsidR="00E22526">
        <w:fldChar w:fldCharType="begin"/>
      </w:r>
      <w:r w:rsidR="00E22526">
        <w:instrText xml:space="preserve"> REF _Ref97120387 \h </w:instrText>
      </w:r>
      <w:r w:rsidR="00E22526">
        <w:fldChar w:fldCharType="separate"/>
      </w:r>
      <w:r w:rsidR="00587AF0">
        <w:t xml:space="preserve">Figure </w:t>
      </w:r>
      <w:r w:rsidR="00587AF0">
        <w:rPr>
          <w:noProof/>
        </w:rPr>
        <w:t>76</w:t>
      </w:r>
      <w:r w:rsidR="00E22526">
        <w:fldChar w:fldCharType="end"/>
      </w:r>
      <w:r w:rsidR="00E22526">
        <w:t xml:space="preserve"> </w:t>
      </w:r>
      <w:r>
        <w:t>shows associated variables that cluster together, namely N_Max_CS and N_P-P_CS and</w:t>
      </w:r>
      <w:r w:rsidR="0072513E">
        <w:t xml:space="preserve"> N_Skew_CS and N_Kurt_CS </w:t>
      </w:r>
      <w:r w:rsidR="00745090">
        <w:t>(Note: Pearson</w:t>
      </w:r>
      <w:r w:rsidR="00745090">
        <w:rPr>
          <w:i/>
          <w:iCs/>
        </w:rPr>
        <w:t>’s</w:t>
      </w:r>
      <w:r w:rsidR="00745090">
        <w:t xml:space="preserve"> </w:t>
      </w:r>
      <w:r w:rsidR="00745090">
        <w:rPr>
          <w:i/>
          <w:iCs/>
        </w:rPr>
        <w:t>r</w:t>
      </w:r>
      <w:r w:rsidR="00745090">
        <w:t xml:space="preserve"> coefficient distance)</w:t>
      </w:r>
      <w:r w:rsidR="005320C1">
        <w:t xml:space="preserve">, suggesting multicollinearity between the variables. They are then excluded from the study using trial and error estimation and </w:t>
      </w:r>
      <w:r>
        <w:t xml:space="preserve">an </w:t>
      </w:r>
      <w:r w:rsidR="005320C1">
        <w:t>additional PCA biplot</w:t>
      </w:r>
      <w:r w:rsidR="00E05339">
        <w:t>.</w:t>
      </w:r>
    </w:p>
    <w:p w14:paraId="4EA0A6AB" w14:textId="2975D1C4" w:rsidR="002A0E8B" w:rsidRDefault="003B593D" w:rsidP="003F26E2">
      <w:pPr>
        <w:keepNext/>
        <w:spacing w:before="240"/>
        <w:jc w:val="center"/>
      </w:pPr>
      <w:r>
        <w:rPr>
          <w:noProof/>
        </w:rPr>
        <w:drawing>
          <wp:inline distT="0" distB="0" distL="0" distR="0" wp14:anchorId="27FD1DE0" wp14:editId="66DD5FC9">
            <wp:extent cx="5732145" cy="5732145"/>
            <wp:effectExtent l="0" t="0" r="1905" b="1905"/>
            <wp:docPr id="178" name="Picture 178"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Chart, treemap chart&#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732145" cy="5732145"/>
                    </a:xfrm>
                    <a:prstGeom prst="rect">
                      <a:avLst/>
                    </a:prstGeom>
                  </pic:spPr>
                </pic:pic>
              </a:graphicData>
            </a:graphic>
          </wp:inline>
        </w:drawing>
      </w:r>
    </w:p>
    <w:p w14:paraId="23A2B903" w14:textId="4D0B0DBE" w:rsidR="002A0E8B" w:rsidRDefault="002A0E8B" w:rsidP="002A0E8B">
      <w:pPr>
        <w:pStyle w:val="Caption"/>
      </w:pPr>
      <w:bookmarkStart w:id="507" w:name="_Ref97120387"/>
      <w:bookmarkStart w:id="508" w:name="_Toc101274598"/>
      <w:r>
        <w:t xml:space="preserve">Figure </w:t>
      </w:r>
      <w:fldSimple w:instr=" SEQ Figure \* ARABIC ">
        <w:r w:rsidR="00587AF0">
          <w:rPr>
            <w:noProof/>
          </w:rPr>
          <w:t>76</w:t>
        </w:r>
      </w:fldSimple>
      <w:bookmarkEnd w:id="507"/>
      <w:r>
        <w:t xml:space="preserve">. Correlation heatmap of </w:t>
      </w:r>
      <w:r w:rsidR="00133C0E">
        <w:t xml:space="preserve">the </w:t>
      </w:r>
      <w:r>
        <w:t>closing saddle position signal</w:t>
      </w:r>
      <w:bookmarkEnd w:id="508"/>
    </w:p>
    <w:p w14:paraId="2DFBBA43" w14:textId="4F26720F" w:rsidR="00203048" w:rsidRDefault="00B42934" w:rsidP="00B42934">
      <w:r>
        <w:t xml:space="preserve">Moreover, before visualising data plots using PCA for data visualisation </w:t>
      </w:r>
      <w:r w:rsidR="005C1ED4">
        <w:t>and exploration.</w:t>
      </w:r>
      <w:r>
        <w:t xml:space="preserve"> </w:t>
      </w:r>
      <w:r w:rsidR="005C1ED4">
        <w:t>T</w:t>
      </w:r>
      <w:r>
        <w:t xml:space="preserve">he box and whisker plot </w:t>
      </w:r>
      <w:r w:rsidR="005C1ED4">
        <w:t xml:space="preserve">is </w:t>
      </w:r>
      <w:r>
        <w:t xml:space="preserve">used to evaluate </w:t>
      </w:r>
      <w:r w:rsidR="00133C0E">
        <w:t>separation effectiveness, i.e., mapping</w:t>
      </w:r>
      <w:r w:rsidR="00203048">
        <w:t xml:space="preserve"> classifiers </w:t>
      </w:r>
      <w:r w:rsidR="005C1ED4">
        <w:t>for</w:t>
      </w:r>
      <w:r w:rsidR="00203048">
        <w:t xml:space="preserve"> </w:t>
      </w:r>
      <w:r w:rsidR="00203048">
        <w:lastRenderedPageBreak/>
        <w:t>discrim</w:t>
      </w:r>
      <w:r w:rsidR="00133C0E">
        <w:t>in</w:t>
      </w:r>
      <w:r w:rsidR="00203048">
        <w:t>ative purposes.</w:t>
      </w:r>
      <w:r w:rsidR="00412AE4">
        <w:t xml:space="preserve"> The most significant variables show to be </w:t>
      </w:r>
      <w:r w:rsidR="005C1ED4">
        <w:t>N_1Q_CS</w:t>
      </w:r>
      <w:r w:rsidR="00412AE4">
        <w:t xml:space="preserve"> (</w:t>
      </w:r>
      <w:r w:rsidR="00A80F53">
        <w:fldChar w:fldCharType="begin"/>
      </w:r>
      <w:r w:rsidR="00A80F53">
        <w:instrText xml:space="preserve"> REF _Ref97123526 \h </w:instrText>
      </w:r>
      <w:r w:rsidR="00A80F53">
        <w:fldChar w:fldCharType="separate"/>
      </w:r>
      <w:r w:rsidR="00587AF0">
        <w:t xml:space="preserve">Figure </w:t>
      </w:r>
      <w:r w:rsidR="00587AF0">
        <w:rPr>
          <w:noProof/>
        </w:rPr>
        <w:t>77</w:t>
      </w:r>
      <w:r w:rsidR="00A80F53">
        <w:fldChar w:fldCharType="end"/>
      </w:r>
      <w:r w:rsidR="00A80F53">
        <w:t xml:space="preserve">), </w:t>
      </w:r>
      <w:r w:rsidR="005C1ED4">
        <w:t>N_Mean_CS</w:t>
      </w:r>
      <w:r w:rsidR="00A80F53">
        <w:t xml:space="preserve"> (</w:t>
      </w:r>
      <w:r w:rsidR="00A80F53">
        <w:fldChar w:fldCharType="begin"/>
      </w:r>
      <w:r w:rsidR="00A80F53">
        <w:instrText xml:space="preserve"> REF _Ref97123543 \h </w:instrText>
      </w:r>
      <w:r w:rsidR="00A80F53">
        <w:fldChar w:fldCharType="separate"/>
      </w:r>
      <w:r w:rsidR="00587AF0">
        <w:t xml:space="preserve">Figure </w:t>
      </w:r>
      <w:r w:rsidR="00587AF0">
        <w:rPr>
          <w:noProof/>
        </w:rPr>
        <w:t>78</w:t>
      </w:r>
      <w:r w:rsidR="00A80F53">
        <w:fldChar w:fldCharType="end"/>
      </w:r>
      <w:r w:rsidR="00A80F53">
        <w:t xml:space="preserve">), </w:t>
      </w:r>
      <w:r w:rsidR="005C1ED4">
        <w:t>N_Min_CS</w:t>
      </w:r>
      <w:r w:rsidR="00A80F53">
        <w:t xml:space="preserve"> (</w:t>
      </w:r>
      <w:r w:rsidR="00C41ACB">
        <w:fldChar w:fldCharType="begin"/>
      </w:r>
      <w:r w:rsidR="00C41ACB">
        <w:instrText xml:space="preserve"> REF _Ref97123703 \h </w:instrText>
      </w:r>
      <w:r w:rsidR="00C41ACB">
        <w:fldChar w:fldCharType="separate"/>
      </w:r>
      <w:r w:rsidR="00587AF0">
        <w:t xml:space="preserve">Figure </w:t>
      </w:r>
      <w:r w:rsidR="00587AF0">
        <w:rPr>
          <w:noProof/>
        </w:rPr>
        <w:t>79</w:t>
      </w:r>
      <w:r w:rsidR="00C41ACB">
        <w:fldChar w:fldCharType="end"/>
      </w:r>
      <w:r w:rsidR="00A80F53">
        <w:t xml:space="preserve">), and </w:t>
      </w:r>
      <w:r w:rsidR="005C1ED4">
        <w:t>N_IQR_CS</w:t>
      </w:r>
      <w:r w:rsidR="00A80F53">
        <w:t xml:space="preserve"> (</w:t>
      </w:r>
      <w:r w:rsidR="00C41ACB">
        <w:fldChar w:fldCharType="begin"/>
      </w:r>
      <w:r w:rsidR="00C41ACB">
        <w:instrText xml:space="preserve"> REF _Ref97123691 \h </w:instrText>
      </w:r>
      <w:r w:rsidR="00C41ACB">
        <w:fldChar w:fldCharType="separate"/>
      </w:r>
      <w:r w:rsidR="00587AF0">
        <w:t xml:space="preserve">Figure </w:t>
      </w:r>
      <w:r w:rsidR="00587AF0">
        <w:rPr>
          <w:noProof/>
        </w:rPr>
        <w:t>80</w:t>
      </w:r>
      <w:r w:rsidR="00C41ACB">
        <w:fldChar w:fldCharType="end"/>
      </w:r>
      <w:r w:rsidR="00A80F53">
        <w:t>).</w:t>
      </w:r>
    </w:p>
    <w:p w14:paraId="1306C6D7" w14:textId="51D01994" w:rsidR="00412AE4" w:rsidRDefault="004B3D82" w:rsidP="00412AE4">
      <w:pPr>
        <w:keepNext/>
      </w:pPr>
      <w:r>
        <w:rPr>
          <w:noProof/>
        </w:rPr>
        <w:drawing>
          <wp:inline distT="0" distB="0" distL="0" distR="0" wp14:anchorId="37722A8B" wp14:editId="55B097F5">
            <wp:extent cx="5732145" cy="3498850"/>
            <wp:effectExtent l="0" t="0" r="1905" b="6350"/>
            <wp:docPr id="179" name="Picture 17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Chart, scatter chart&#10;&#10;Description automatically generated"/>
                    <pic:cNvPicPr/>
                  </pic:nvPicPr>
                  <pic:blipFill rotWithShape="1">
                    <a:blip r:embed="rId113" cstate="print">
                      <a:extLst>
                        <a:ext uri="{28A0092B-C50C-407E-A947-70E740481C1C}">
                          <a14:useLocalDpi xmlns:a14="http://schemas.microsoft.com/office/drawing/2010/main" val="0"/>
                        </a:ext>
                      </a:extLst>
                    </a:blip>
                    <a:srcRect t="6133"/>
                    <a:stretch/>
                  </pic:blipFill>
                  <pic:spPr bwMode="auto">
                    <a:xfrm>
                      <a:off x="0" y="0"/>
                      <a:ext cx="5732145" cy="3498850"/>
                    </a:xfrm>
                    <a:prstGeom prst="rect">
                      <a:avLst/>
                    </a:prstGeom>
                    <a:ln>
                      <a:noFill/>
                    </a:ln>
                    <a:extLst>
                      <a:ext uri="{53640926-AAD7-44D8-BBD7-CCE9431645EC}">
                        <a14:shadowObscured xmlns:a14="http://schemas.microsoft.com/office/drawing/2010/main"/>
                      </a:ext>
                    </a:extLst>
                  </pic:spPr>
                </pic:pic>
              </a:graphicData>
            </a:graphic>
          </wp:inline>
        </w:drawing>
      </w:r>
    </w:p>
    <w:p w14:paraId="53D431DF" w14:textId="10C48395" w:rsidR="00412AE4" w:rsidRDefault="00412AE4" w:rsidP="00412AE4">
      <w:pPr>
        <w:pStyle w:val="Caption"/>
      </w:pPr>
      <w:bookmarkStart w:id="509" w:name="_Ref97123526"/>
      <w:bookmarkStart w:id="510" w:name="_Toc101274599"/>
      <w:r>
        <w:t xml:space="preserve">Figure </w:t>
      </w:r>
      <w:fldSimple w:instr=" SEQ Figure \* ARABIC ">
        <w:r w:rsidR="00587AF0">
          <w:rPr>
            <w:noProof/>
          </w:rPr>
          <w:t>77</w:t>
        </w:r>
      </w:fldSimple>
      <w:bookmarkEnd w:id="509"/>
      <w:r>
        <w:t>. Box and whisker plot of N_1Q_CS at closing saddle position signal</w:t>
      </w:r>
      <w:bookmarkEnd w:id="510"/>
    </w:p>
    <w:p w14:paraId="63A3B630" w14:textId="77777777" w:rsidR="00133C0E" w:rsidRPr="00133C0E" w:rsidRDefault="00133C0E" w:rsidP="00133C0E"/>
    <w:p w14:paraId="112D8C31" w14:textId="5ED02037" w:rsidR="00412AE4" w:rsidRDefault="004B3D82" w:rsidP="004B3D82">
      <w:pPr>
        <w:keepNext/>
        <w:spacing w:before="240"/>
        <w:jc w:val="center"/>
      </w:pPr>
      <w:r>
        <w:rPr>
          <w:noProof/>
        </w:rPr>
        <w:drawing>
          <wp:inline distT="0" distB="0" distL="0" distR="0" wp14:anchorId="7170C0A9" wp14:editId="72C26818">
            <wp:extent cx="5732145" cy="3524250"/>
            <wp:effectExtent l="0" t="0" r="1905" b="0"/>
            <wp:docPr id="180" name="Picture 180"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Chart, scatter chart&#10;&#10;Description automatically generated"/>
                    <pic:cNvPicPr/>
                  </pic:nvPicPr>
                  <pic:blipFill rotWithShape="1">
                    <a:blip r:embed="rId114" cstate="print">
                      <a:extLst>
                        <a:ext uri="{28A0092B-C50C-407E-A947-70E740481C1C}">
                          <a14:useLocalDpi xmlns:a14="http://schemas.microsoft.com/office/drawing/2010/main" val="0"/>
                        </a:ext>
                      </a:extLst>
                    </a:blip>
                    <a:srcRect t="5452"/>
                    <a:stretch/>
                  </pic:blipFill>
                  <pic:spPr bwMode="auto">
                    <a:xfrm>
                      <a:off x="0" y="0"/>
                      <a:ext cx="5732145" cy="3524250"/>
                    </a:xfrm>
                    <a:prstGeom prst="rect">
                      <a:avLst/>
                    </a:prstGeom>
                    <a:ln>
                      <a:noFill/>
                    </a:ln>
                    <a:extLst>
                      <a:ext uri="{53640926-AAD7-44D8-BBD7-CCE9431645EC}">
                        <a14:shadowObscured xmlns:a14="http://schemas.microsoft.com/office/drawing/2010/main"/>
                      </a:ext>
                    </a:extLst>
                  </pic:spPr>
                </pic:pic>
              </a:graphicData>
            </a:graphic>
          </wp:inline>
        </w:drawing>
      </w:r>
    </w:p>
    <w:p w14:paraId="3D708189" w14:textId="0931FC9D" w:rsidR="00412AE4" w:rsidRPr="00412AE4" w:rsidRDefault="00412AE4" w:rsidP="00412AE4">
      <w:pPr>
        <w:pStyle w:val="Caption"/>
      </w:pPr>
      <w:bookmarkStart w:id="511" w:name="_Ref97123543"/>
      <w:bookmarkStart w:id="512" w:name="_Toc101274600"/>
      <w:r>
        <w:t xml:space="preserve">Figure </w:t>
      </w:r>
      <w:fldSimple w:instr=" SEQ Figure \* ARABIC ">
        <w:r w:rsidR="00587AF0">
          <w:rPr>
            <w:noProof/>
          </w:rPr>
          <w:t>78</w:t>
        </w:r>
      </w:fldSimple>
      <w:bookmarkEnd w:id="511"/>
      <w:r>
        <w:t>. Box and whisker plot of N_</w:t>
      </w:r>
      <w:r w:rsidR="004B3D82">
        <w:t>Mean</w:t>
      </w:r>
      <w:r>
        <w:t>_CS at closing saddle position signal</w:t>
      </w:r>
      <w:bookmarkEnd w:id="512"/>
    </w:p>
    <w:p w14:paraId="19C0BCE0" w14:textId="634AA448" w:rsidR="00A80F53" w:rsidRDefault="004B3D82" w:rsidP="00A80F53">
      <w:pPr>
        <w:keepNext/>
      </w:pPr>
      <w:r>
        <w:rPr>
          <w:noProof/>
        </w:rPr>
        <w:lastRenderedPageBreak/>
        <w:drawing>
          <wp:inline distT="0" distB="0" distL="0" distR="0" wp14:anchorId="418D4E79" wp14:editId="2720559C">
            <wp:extent cx="5732145" cy="3541183"/>
            <wp:effectExtent l="0" t="0" r="1905" b="2540"/>
            <wp:docPr id="181" name="Picture 18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Chart&#10;&#10;Description automatically generated"/>
                    <pic:cNvPicPr/>
                  </pic:nvPicPr>
                  <pic:blipFill rotWithShape="1">
                    <a:blip r:embed="rId115" cstate="print">
                      <a:extLst>
                        <a:ext uri="{28A0092B-C50C-407E-A947-70E740481C1C}">
                          <a14:useLocalDpi xmlns:a14="http://schemas.microsoft.com/office/drawing/2010/main" val="0"/>
                        </a:ext>
                      </a:extLst>
                    </a:blip>
                    <a:srcRect t="4997"/>
                    <a:stretch/>
                  </pic:blipFill>
                  <pic:spPr bwMode="auto">
                    <a:xfrm>
                      <a:off x="0" y="0"/>
                      <a:ext cx="5732145" cy="3541183"/>
                    </a:xfrm>
                    <a:prstGeom prst="rect">
                      <a:avLst/>
                    </a:prstGeom>
                    <a:ln>
                      <a:noFill/>
                    </a:ln>
                    <a:extLst>
                      <a:ext uri="{53640926-AAD7-44D8-BBD7-CCE9431645EC}">
                        <a14:shadowObscured xmlns:a14="http://schemas.microsoft.com/office/drawing/2010/main"/>
                      </a:ext>
                    </a:extLst>
                  </pic:spPr>
                </pic:pic>
              </a:graphicData>
            </a:graphic>
          </wp:inline>
        </w:drawing>
      </w:r>
    </w:p>
    <w:p w14:paraId="7C720D69" w14:textId="05126D9F" w:rsidR="00412AE4" w:rsidRDefault="00A80F53" w:rsidP="00A80F53">
      <w:pPr>
        <w:pStyle w:val="Caption"/>
      </w:pPr>
      <w:bookmarkStart w:id="513" w:name="_Ref97123703"/>
      <w:bookmarkStart w:id="514" w:name="_Toc101274601"/>
      <w:r>
        <w:t xml:space="preserve">Figure </w:t>
      </w:r>
      <w:fldSimple w:instr=" SEQ Figure \* ARABIC ">
        <w:r w:rsidR="00587AF0">
          <w:rPr>
            <w:noProof/>
          </w:rPr>
          <w:t>79</w:t>
        </w:r>
      </w:fldSimple>
      <w:bookmarkEnd w:id="513"/>
      <w:r>
        <w:t>. Box and whisker plot of N_min_CS at closing saddle position signal</w:t>
      </w:r>
      <w:bookmarkEnd w:id="514"/>
    </w:p>
    <w:p w14:paraId="1887A7AC" w14:textId="77777777" w:rsidR="00A80F53" w:rsidRPr="00A80F53" w:rsidRDefault="00A80F53" w:rsidP="00A80F53"/>
    <w:p w14:paraId="07F09D2C" w14:textId="3A403635" w:rsidR="00A80F53" w:rsidRDefault="004B3D82" w:rsidP="00A80F53">
      <w:pPr>
        <w:keepNext/>
      </w:pPr>
      <w:r>
        <w:rPr>
          <w:noProof/>
        </w:rPr>
        <w:drawing>
          <wp:inline distT="0" distB="0" distL="0" distR="0" wp14:anchorId="4C6C4F9E" wp14:editId="1E8102F0">
            <wp:extent cx="5732145" cy="3515783"/>
            <wp:effectExtent l="0" t="0" r="1905" b="8890"/>
            <wp:docPr id="182" name="Picture 18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Chart, scatter chart&#10;&#10;Description automatically generated"/>
                    <pic:cNvPicPr/>
                  </pic:nvPicPr>
                  <pic:blipFill rotWithShape="1">
                    <a:blip r:embed="rId116" cstate="print">
                      <a:extLst>
                        <a:ext uri="{28A0092B-C50C-407E-A947-70E740481C1C}">
                          <a14:useLocalDpi xmlns:a14="http://schemas.microsoft.com/office/drawing/2010/main" val="0"/>
                        </a:ext>
                      </a:extLst>
                    </a:blip>
                    <a:srcRect t="5678"/>
                    <a:stretch/>
                  </pic:blipFill>
                  <pic:spPr bwMode="auto">
                    <a:xfrm>
                      <a:off x="0" y="0"/>
                      <a:ext cx="5732145" cy="3515783"/>
                    </a:xfrm>
                    <a:prstGeom prst="rect">
                      <a:avLst/>
                    </a:prstGeom>
                    <a:ln>
                      <a:noFill/>
                    </a:ln>
                    <a:extLst>
                      <a:ext uri="{53640926-AAD7-44D8-BBD7-CCE9431645EC}">
                        <a14:shadowObscured xmlns:a14="http://schemas.microsoft.com/office/drawing/2010/main"/>
                      </a:ext>
                    </a:extLst>
                  </pic:spPr>
                </pic:pic>
              </a:graphicData>
            </a:graphic>
          </wp:inline>
        </w:drawing>
      </w:r>
    </w:p>
    <w:p w14:paraId="773747C2" w14:textId="0BF2CD1B" w:rsidR="00A80F53" w:rsidRPr="00A80F53" w:rsidRDefault="00A80F53" w:rsidP="00A80F53">
      <w:pPr>
        <w:pStyle w:val="Caption"/>
      </w:pPr>
      <w:bookmarkStart w:id="515" w:name="_Ref97123691"/>
      <w:bookmarkStart w:id="516" w:name="_Toc101274602"/>
      <w:r>
        <w:t xml:space="preserve">Figure </w:t>
      </w:r>
      <w:fldSimple w:instr=" SEQ Figure \* ARABIC ">
        <w:r w:rsidR="00587AF0">
          <w:rPr>
            <w:noProof/>
          </w:rPr>
          <w:t>80</w:t>
        </w:r>
      </w:fldSimple>
      <w:bookmarkEnd w:id="515"/>
      <w:r>
        <w:t>. Box and whisker plot of N_</w:t>
      </w:r>
      <w:r w:rsidR="004B3D82">
        <w:t>IQR</w:t>
      </w:r>
      <w:r>
        <w:t>_CS at closing saddle position signal</w:t>
      </w:r>
      <w:bookmarkEnd w:id="516"/>
    </w:p>
    <w:p w14:paraId="73876E56" w14:textId="46FDBA6D" w:rsidR="00B42934" w:rsidRPr="00B42934" w:rsidRDefault="00D51E5B" w:rsidP="00B42934">
      <w:r>
        <w:t xml:space="preserve">Although not quite clear changes </w:t>
      </w:r>
      <w:r w:rsidR="00C03197">
        <w:t>in</w:t>
      </w:r>
      <w:r>
        <w:t xml:space="preserve"> different properties of signal data </w:t>
      </w:r>
      <w:r w:rsidR="00C03197">
        <w:t>are</w:t>
      </w:r>
      <w:r>
        <w:t xml:space="preserve"> observed from the previous figures, in addition, PCA will be used to do exploratory analysis regarding the normal and quasi-state of </w:t>
      </w:r>
      <w:r w:rsidR="00011ECF">
        <w:t>operating conditions, i.e., functional-productiveness</w:t>
      </w:r>
      <w:r>
        <w:t xml:space="preserve"> considering the investigated PCs.</w:t>
      </w:r>
    </w:p>
    <w:p w14:paraId="13510AAE" w14:textId="04288A56" w:rsidR="000D36E8" w:rsidRPr="000D36E8" w:rsidRDefault="000D36E8" w:rsidP="000D36E8">
      <w:pPr>
        <w:pStyle w:val="Heading2"/>
        <w:rPr>
          <w:lang w:bidi="en-US"/>
        </w:rPr>
      </w:pPr>
      <w:bookmarkStart w:id="517" w:name="_Toc101274392"/>
      <w:r>
        <w:rPr>
          <w:lang w:bidi="en-US"/>
        </w:rPr>
        <w:lastRenderedPageBreak/>
        <w:t>Principal Component Analysis</w:t>
      </w:r>
      <w:r w:rsidR="00220284">
        <w:rPr>
          <w:lang w:bidi="en-US"/>
        </w:rPr>
        <w:t xml:space="preserve"> (PCA) </w:t>
      </w:r>
      <w:r w:rsidR="0002023A">
        <w:rPr>
          <w:lang w:bidi="en-US"/>
        </w:rPr>
        <w:t xml:space="preserve">for data </w:t>
      </w:r>
      <w:r w:rsidR="0093208A">
        <w:rPr>
          <w:lang w:bidi="en-US"/>
        </w:rPr>
        <w:t>exploration</w:t>
      </w:r>
      <w:bookmarkEnd w:id="517"/>
    </w:p>
    <w:p w14:paraId="4221E754" w14:textId="3AF8A633" w:rsidR="001631BC" w:rsidRDefault="001631BC" w:rsidP="001631BC">
      <w:pPr>
        <w:pStyle w:val="Heading3"/>
        <w:rPr>
          <w:lang w:bidi="en-US"/>
        </w:rPr>
      </w:pPr>
      <w:bookmarkStart w:id="518" w:name="_Toc101274393"/>
      <w:r w:rsidRPr="001631BC">
        <w:rPr>
          <w:lang w:bidi="en-US"/>
        </w:rPr>
        <w:t xml:space="preserve">PCA </w:t>
      </w:r>
      <w:r>
        <w:rPr>
          <w:lang w:bidi="en-US"/>
        </w:rPr>
        <w:t>of HyPower at opening saddle position</w:t>
      </w:r>
      <w:bookmarkEnd w:id="518"/>
    </w:p>
    <w:p w14:paraId="0FB74404" w14:textId="55C89360" w:rsidR="00E33213" w:rsidRDefault="00E33213" w:rsidP="00E33213">
      <w:pPr>
        <w:rPr>
          <w:lang w:bidi="en-US"/>
        </w:rPr>
      </w:pPr>
      <w:r>
        <w:rPr>
          <w:lang w:bidi="en-US"/>
        </w:rPr>
        <w:t xml:space="preserve">Investigating the relationship between hydraulic power (-energy) </w:t>
      </w:r>
      <w:r w:rsidR="007C3984">
        <w:rPr>
          <w:lang w:bidi="en-US"/>
        </w:rPr>
        <w:t xml:space="preserve">variables </w:t>
      </w:r>
      <w:r>
        <w:rPr>
          <w:lang w:bidi="en-US"/>
        </w:rPr>
        <w:t>in diagnosing the state is</w:t>
      </w:r>
      <w:r w:rsidR="007C3984">
        <w:rPr>
          <w:lang w:bidi="en-US"/>
        </w:rPr>
        <w:t xml:space="preserve"> additionally </w:t>
      </w:r>
      <w:r w:rsidR="00D07880">
        <w:rPr>
          <w:lang w:bidi="en-US"/>
        </w:rPr>
        <w:t>done through an investigation, i.e., data exploration</w:t>
      </w:r>
      <w:r w:rsidR="007C3984">
        <w:rPr>
          <w:lang w:bidi="en-US"/>
        </w:rPr>
        <w:t xml:space="preserve"> via PCA</w:t>
      </w:r>
      <w:r>
        <w:rPr>
          <w:lang w:bidi="en-US"/>
        </w:rPr>
        <w:t xml:space="preserve">. </w:t>
      </w:r>
      <w:r w:rsidR="000C1641">
        <w:rPr>
          <w:lang w:bidi="en-US"/>
        </w:rPr>
        <w:t>First, the features are</w:t>
      </w:r>
      <w:r w:rsidR="00577040">
        <w:rPr>
          <w:lang w:bidi="en-US"/>
        </w:rPr>
        <w:t xml:space="preserve"> standardised to avoid bias and error in estimation (</w:t>
      </w:r>
      <w:r w:rsidR="0049691B">
        <w:rPr>
          <w:lang w:bidi="en-US"/>
        </w:rPr>
        <w:fldChar w:fldCharType="begin"/>
      </w:r>
      <w:r w:rsidR="0049691B">
        <w:rPr>
          <w:lang w:bidi="en-US"/>
        </w:rPr>
        <w:instrText xml:space="preserve"> REF _Ref96438304 \h </w:instrText>
      </w:r>
      <w:r w:rsidR="0049691B">
        <w:rPr>
          <w:lang w:bidi="en-US"/>
        </w:rPr>
      </w:r>
      <w:r w:rsidR="0049691B">
        <w:rPr>
          <w:lang w:bidi="en-US"/>
        </w:rPr>
        <w:fldChar w:fldCharType="separate"/>
      </w:r>
      <w:r w:rsidR="00587AF0">
        <w:t xml:space="preserve">Appendix </w:t>
      </w:r>
      <w:r w:rsidR="00587AF0">
        <w:rPr>
          <w:noProof/>
        </w:rPr>
        <w:t>13</w:t>
      </w:r>
      <w:r w:rsidR="0049691B">
        <w:rPr>
          <w:lang w:bidi="en-US"/>
        </w:rPr>
        <w:fldChar w:fldCharType="end"/>
      </w:r>
      <w:r w:rsidR="00577040">
        <w:rPr>
          <w:lang w:bidi="en-US"/>
        </w:rPr>
        <w:t>) and then</w:t>
      </w:r>
      <w:r>
        <w:rPr>
          <w:lang w:bidi="en-US"/>
        </w:rPr>
        <w:t xml:space="preserve"> used for </w:t>
      </w:r>
      <w:r w:rsidR="009B0216">
        <w:rPr>
          <w:lang w:bidi="en-US"/>
        </w:rPr>
        <w:t>data visualisation</w:t>
      </w:r>
      <w:r>
        <w:rPr>
          <w:lang w:bidi="en-US"/>
        </w:rPr>
        <w:t>.</w:t>
      </w:r>
      <w:r w:rsidR="007832EA">
        <w:rPr>
          <w:lang w:bidi="en-US"/>
        </w:rPr>
        <w:t xml:space="preserve"> The results </w:t>
      </w:r>
      <w:r w:rsidR="00D07880">
        <w:rPr>
          <w:lang w:bidi="en-US"/>
        </w:rPr>
        <w:t>are</w:t>
      </w:r>
      <w:r w:rsidR="007832EA">
        <w:rPr>
          <w:lang w:bidi="en-US"/>
        </w:rPr>
        <w:t xml:space="preserve"> depicted via PCA plot</w:t>
      </w:r>
      <w:r w:rsidR="00D07880">
        <w:rPr>
          <w:lang w:bidi="en-US"/>
        </w:rPr>
        <w:t>s</w:t>
      </w:r>
      <w:r w:rsidR="007832EA">
        <w:rPr>
          <w:lang w:bidi="en-US"/>
        </w:rPr>
        <w:t xml:space="preserve"> for </w:t>
      </w:r>
      <w:r w:rsidR="000C1641">
        <w:rPr>
          <w:lang w:bidi="en-US"/>
        </w:rPr>
        <w:t xml:space="preserve">the </w:t>
      </w:r>
      <w:r w:rsidR="007832EA">
        <w:rPr>
          <w:lang w:bidi="en-US"/>
        </w:rPr>
        <w:t>first five components</w:t>
      </w:r>
      <w:r w:rsidR="009B0216">
        <w:rPr>
          <w:lang w:bidi="en-US"/>
        </w:rPr>
        <w:t xml:space="preserve"> (</w:t>
      </w:r>
      <w:r w:rsidR="009B0216">
        <w:rPr>
          <w:lang w:bidi="en-US"/>
        </w:rPr>
        <w:fldChar w:fldCharType="begin"/>
      </w:r>
      <w:r w:rsidR="009B0216">
        <w:rPr>
          <w:lang w:bidi="en-US"/>
        </w:rPr>
        <w:instrText xml:space="preserve"> REF _Ref97129160 \h </w:instrText>
      </w:r>
      <w:r w:rsidR="009B0216">
        <w:rPr>
          <w:lang w:bidi="en-US"/>
        </w:rPr>
      </w:r>
      <w:r w:rsidR="009B0216">
        <w:rPr>
          <w:lang w:bidi="en-US"/>
        </w:rPr>
        <w:fldChar w:fldCharType="separate"/>
      </w:r>
      <w:r w:rsidR="00587AF0">
        <w:t xml:space="preserve">Figure </w:t>
      </w:r>
      <w:r w:rsidR="00587AF0">
        <w:rPr>
          <w:noProof/>
        </w:rPr>
        <w:t>81</w:t>
      </w:r>
      <w:r w:rsidR="009B0216">
        <w:rPr>
          <w:lang w:bidi="en-US"/>
        </w:rPr>
        <w:fldChar w:fldCharType="end"/>
      </w:r>
      <w:r w:rsidR="009B0216">
        <w:rPr>
          <w:lang w:bidi="en-US"/>
        </w:rPr>
        <w:t>)</w:t>
      </w:r>
      <w:r w:rsidR="007832EA">
        <w:rPr>
          <w:lang w:bidi="en-US"/>
        </w:rPr>
        <w:t>.</w:t>
      </w:r>
      <w:r w:rsidR="00E912D5">
        <w:rPr>
          <w:lang w:bidi="en-US"/>
        </w:rPr>
        <w:t xml:space="preserve"> As it can be observed, the first five components explain 77</w:t>
      </w:r>
      <w:r w:rsidR="00B077DE">
        <w:rPr>
          <w:lang w:bidi="en-US"/>
        </w:rPr>
        <w:t>.8</w:t>
      </w:r>
      <w:r w:rsidR="00E912D5">
        <w:rPr>
          <w:lang w:bidi="en-US"/>
        </w:rPr>
        <w:t>% of data variation, with PC1 and PC2 for about 5</w:t>
      </w:r>
      <w:r w:rsidR="00B077DE">
        <w:rPr>
          <w:lang w:bidi="en-US"/>
        </w:rPr>
        <w:t>2.3</w:t>
      </w:r>
      <w:r w:rsidR="00E912D5">
        <w:rPr>
          <w:lang w:bidi="en-US"/>
        </w:rPr>
        <w:t xml:space="preserve">% of </w:t>
      </w:r>
      <w:r w:rsidR="000C1641">
        <w:rPr>
          <w:lang w:bidi="en-US"/>
        </w:rPr>
        <w:t xml:space="preserve">the </w:t>
      </w:r>
      <w:r w:rsidR="00E912D5">
        <w:rPr>
          <w:lang w:bidi="en-US"/>
        </w:rPr>
        <w:t>variation</w:t>
      </w:r>
      <w:r w:rsidR="00832957">
        <w:rPr>
          <w:lang w:bidi="en-US"/>
        </w:rPr>
        <w:t xml:space="preserve">. The second step is to evaluate the </w:t>
      </w:r>
      <w:r w:rsidR="00D7230E">
        <w:rPr>
          <w:lang w:bidi="en-US"/>
        </w:rPr>
        <w:t>PCA b</w:t>
      </w:r>
      <w:r w:rsidR="00832957">
        <w:rPr>
          <w:lang w:bidi="en-US"/>
        </w:rPr>
        <w:t>iplot</w:t>
      </w:r>
      <w:r w:rsidR="00C035C0">
        <w:rPr>
          <w:lang w:bidi="en-US"/>
        </w:rPr>
        <w:t xml:space="preserve"> (</w:t>
      </w:r>
      <w:r w:rsidR="00C035C0">
        <w:rPr>
          <w:lang w:bidi="en-US"/>
        </w:rPr>
        <w:fldChar w:fldCharType="begin"/>
      </w:r>
      <w:r w:rsidR="00C035C0">
        <w:rPr>
          <w:lang w:bidi="en-US"/>
        </w:rPr>
        <w:instrText xml:space="preserve"> REF _Ref97130190 \h </w:instrText>
      </w:r>
      <w:r w:rsidR="00C035C0">
        <w:rPr>
          <w:lang w:bidi="en-US"/>
        </w:rPr>
      </w:r>
      <w:r w:rsidR="00C035C0">
        <w:rPr>
          <w:lang w:bidi="en-US"/>
        </w:rPr>
        <w:fldChar w:fldCharType="separate"/>
      </w:r>
      <w:r w:rsidR="00587AF0">
        <w:t xml:space="preserve">Figure </w:t>
      </w:r>
      <w:r w:rsidR="00587AF0">
        <w:rPr>
          <w:noProof/>
        </w:rPr>
        <w:t>82</w:t>
      </w:r>
      <w:r w:rsidR="00C035C0">
        <w:rPr>
          <w:lang w:bidi="en-US"/>
        </w:rPr>
        <w:fldChar w:fldCharType="end"/>
      </w:r>
      <w:r w:rsidR="00C035C0">
        <w:rPr>
          <w:lang w:bidi="en-US"/>
        </w:rPr>
        <w:t>)</w:t>
      </w:r>
      <w:r w:rsidR="00832957">
        <w:rPr>
          <w:lang w:bidi="en-US"/>
        </w:rPr>
        <w:t xml:space="preserve"> of </w:t>
      </w:r>
      <w:r w:rsidR="007C1E46">
        <w:rPr>
          <w:lang w:bidi="en-US"/>
        </w:rPr>
        <w:t>suggested</w:t>
      </w:r>
      <w:r w:rsidR="00832957">
        <w:rPr>
          <w:lang w:bidi="en-US"/>
        </w:rPr>
        <w:t xml:space="preserve"> principal components for data exploration and </w:t>
      </w:r>
      <w:r w:rsidR="000C1641">
        <w:rPr>
          <w:lang w:bidi="en-US"/>
        </w:rPr>
        <w:t>re-check and compare with correlation heatmaps to determine</w:t>
      </w:r>
      <w:r w:rsidR="00832957">
        <w:rPr>
          <w:lang w:bidi="en-US"/>
        </w:rPr>
        <w:t xml:space="preserve"> the feature vectors</w:t>
      </w:r>
      <w:r w:rsidR="006B6A7D">
        <w:rPr>
          <w:lang w:bidi="en-US"/>
        </w:rPr>
        <w:t xml:space="preserve">. Additionally, </w:t>
      </w:r>
      <w:r w:rsidR="000C1641">
        <w:rPr>
          <w:lang w:bidi="en-US"/>
        </w:rPr>
        <w:t xml:space="preserve">a </w:t>
      </w:r>
      <w:r w:rsidR="006B6A7D">
        <w:rPr>
          <w:lang w:bidi="en-US"/>
        </w:rPr>
        <w:t>graphical representation of PCA components can be used to</w:t>
      </w:r>
      <w:r w:rsidR="00832957">
        <w:rPr>
          <w:lang w:bidi="en-US"/>
        </w:rPr>
        <w:t xml:space="preserve"> eliminate variables that impose multicolli</w:t>
      </w:r>
      <w:r w:rsidR="000C1641">
        <w:rPr>
          <w:lang w:bidi="en-US"/>
        </w:rPr>
        <w:t>ne</w:t>
      </w:r>
      <w:r w:rsidR="00832957">
        <w:rPr>
          <w:lang w:bidi="en-US"/>
        </w:rPr>
        <w:t xml:space="preserve">arity </w:t>
      </w:r>
      <w:r w:rsidR="000C1641">
        <w:rPr>
          <w:lang w:bidi="en-US"/>
        </w:rPr>
        <w:t>on</w:t>
      </w:r>
      <w:r w:rsidR="00832957">
        <w:rPr>
          <w:lang w:bidi="en-US"/>
        </w:rPr>
        <w:t xml:space="preserve"> the prediction models</w:t>
      </w:r>
      <w:r w:rsidR="000C1641">
        <w:rPr>
          <w:lang w:bidi="en-US"/>
        </w:rPr>
        <w:t xml:space="preserve"> or even eliminate outli</w:t>
      </w:r>
      <w:r w:rsidR="0080663A">
        <w:rPr>
          <w:lang w:bidi="en-US"/>
        </w:rPr>
        <w:t>ers.</w:t>
      </w:r>
    </w:p>
    <w:p w14:paraId="71F1579C" w14:textId="74B6DE17" w:rsidR="007832EA" w:rsidRDefault="00B077DE" w:rsidP="007832EA">
      <w:pPr>
        <w:keepNext/>
      </w:pPr>
      <w:r>
        <w:rPr>
          <w:noProof/>
        </w:rPr>
        <w:drawing>
          <wp:inline distT="0" distB="0" distL="0" distR="0" wp14:anchorId="26730A66" wp14:editId="565A6CAE">
            <wp:extent cx="5732145" cy="5732145"/>
            <wp:effectExtent l="0" t="0" r="1905" b="1905"/>
            <wp:docPr id="85" name="Picture 85"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Calendar&#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732145" cy="5732145"/>
                    </a:xfrm>
                    <a:prstGeom prst="rect">
                      <a:avLst/>
                    </a:prstGeom>
                  </pic:spPr>
                </pic:pic>
              </a:graphicData>
            </a:graphic>
          </wp:inline>
        </w:drawing>
      </w:r>
    </w:p>
    <w:p w14:paraId="457B6313" w14:textId="2EA42862" w:rsidR="007832EA" w:rsidRDefault="007832EA" w:rsidP="007832EA">
      <w:pPr>
        <w:pStyle w:val="Caption"/>
      </w:pPr>
      <w:bookmarkStart w:id="519" w:name="_Ref97129160"/>
      <w:bookmarkStart w:id="520" w:name="_Toc101274603"/>
      <w:r>
        <w:t xml:space="preserve">Figure </w:t>
      </w:r>
      <w:fldSimple w:instr=" SEQ Figure \* ARABIC ">
        <w:r w:rsidR="00587AF0">
          <w:rPr>
            <w:noProof/>
          </w:rPr>
          <w:t>81</w:t>
        </w:r>
      </w:fldSimple>
      <w:bookmarkEnd w:id="519"/>
      <w:r>
        <w:t xml:space="preserve">. PCA results of </w:t>
      </w:r>
      <w:r w:rsidR="000C1641">
        <w:t xml:space="preserve">the </w:t>
      </w:r>
      <w:r>
        <w:t xml:space="preserve">first five </w:t>
      </w:r>
      <w:r w:rsidR="000C1641">
        <w:t>components</w:t>
      </w:r>
      <w:r>
        <w:t xml:space="preserve"> for opening saddle</w:t>
      </w:r>
      <w:bookmarkEnd w:id="520"/>
    </w:p>
    <w:p w14:paraId="3B3F4F6E" w14:textId="3A8169BF" w:rsidR="00B9692C" w:rsidRPr="00172C54" w:rsidRDefault="00C035C0" w:rsidP="00B9692C">
      <w:r>
        <w:t xml:space="preserve">The </w:t>
      </w:r>
      <w:r w:rsidR="0080663A">
        <w:t>PCA b</w:t>
      </w:r>
      <w:r>
        <w:t>iplot represents the vector loadings (arrows) and scores (data points or samples) of two PCs (e.g., PC1 and PC2).</w:t>
      </w:r>
      <w:r w:rsidR="005630A5">
        <w:t xml:space="preserve"> Variables explained in the biplot are </w:t>
      </w:r>
      <w:r w:rsidR="0067797B">
        <w:t xml:space="preserve">represented as vectors or arrows, </w:t>
      </w:r>
      <w:r w:rsidR="0067797B">
        <w:lastRenderedPageBreak/>
        <w:t>while data points or sample identifiers represent the scores. The origin represents the average values of variables across sample points. As it can be observed</w:t>
      </w:r>
      <w:r w:rsidR="00EF2F15">
        <w:t>,</w:t>
      </w:r>
      <w:r w:rsidR="0067797B">
        <w:t xml:space="preserve"> this origin has been centred (standardised)</w:t>
      </w:r>
      <w:r w:rsidR="00EF2F15">
        <w:t>,</w:t>
      </w:r>
      <w:r w:rsidR="0067797B">
        <w:t xml:space="preserve"> meaning that both PCs have an origin </w:t>
      </w:r>
      <w:r w:rsidR="00EF2F15">
        <w:t xml:space="preserve">that </w:t>
      </w:r>
      <w:r w:rsidR="0067797B">
        <w:t>i</w:t>
      </w:r>
      <w:r w:rsidR="00EF2F15">
        <w:t>s</w:t>
      </w:r>
      <w:r w:rsidR="0067797B">
        <w:t xml:space="preserve"> zero.</w:t>
      </w:r>
      <w:r w:rsidR="00591A67">
        <w:t xml:space="preserve"> The vector (arrow) length is directly proportional to the variability of the data included in two PCs. For instance, looking at T2 and HS_idle_time</w:t>
      </w:r>
      <w:r w:rsidR="00EF2F15">
        <w:t>, these two loading vectors contain little information about elements in the</w:t>
      </w:r>
      <w:r w:rsidR="00D85527">
        <w:t xml:space="preserve"> first two PCs. The angle between variables indicate</w:t>
      </w:r>
      <w:r w:rsidR="00EF2F15">
        <w:t>s</w:t>
      </w:r>
      <w:r w:rsidR="00D85527">
        <w:t xml:space="preserve"> the correlation factor. If the angle between variables is close to 0°</w:t>
      </w:r>
      <w:r w:rsidR="00EF2F15">
        <w:t>,</w:t>
      </w:r>
      <w:r w:rsidR="00D85527">
        <w:t xml:space="preserve"> </w:t>
      </w:r>
      <w:r w:rsidR="00EF2F15">
        <w:t>it shows collinearity (e.g., N_RMS_OS, N_Mean_OS and N_Median_OS), which the</w:t>
      </w:r>
      <w:r w:rsidR="008F53BD">
        <w:t xml:space="preserve"> analyst then </w:t>
      </w:r>
      <w:r w:rsidR="00D85527">
        <w:t>needs to select one of the three variables</w:t>
      </w:r>
      <w:r w:rsidR="00AB2776">
        <w:t xml:space="preserve"> (note: must be at the same direction)</w:t>
      </w:r>
      <w:r w:rsidR="008F53BD">
        <w:t xml:space="preserve"> for avoiding the multicollinearity</w:t>
      </w:r>
      <w:r w:rsidR="00AB2776">
        <w:t>. Other instances include if the angle between vectors is 90°</w:t>
      </w:r>
      <w:r w:rsidR="00EF2F15">
        <w:t>,</w:t>
      </w:r>
      <w:r w:rsidR="00AB2776">
        <w:t xml:space="preserve"> it shows that both vectors are o</w:t>
      </w:r>
      <w:r w:rsidR="00E32B92">
        <w:t>r</w:t>
      </w:r>
      <w:r w:rsidR="00AB2776">
        <w:t>thogonal, i.e., lack of or no correlation.</w:t>
      </w:r>
      <w:r w:rsidR="008117E0">
        <w:t xml:space="preserve"> The smaller the angle</w:t>
      </w:r>
      <w:r w:rsidR="00EF2F15">
        <w:t>,</w:t>
      </w:r>
      <w:r w:rsidR="008117E0">
        <w:t xml:space="preserve"> the higher</w:t>
      </w:r>
      <w:r w:rsidR="00EF2F15">
        <w:t>;</w:t>
      </w:r>
      <w:r w:rsidR="008117E0">
        <w:t xml:space="preserve"> therefore, the correlation is</w:t>
      </w:r>
      <w:r w:rsidR="00057BC3">
        <w:t>.</w:t>
      </w:r>
      <w:r w:rsidR="008117E0">
        <w:t xml:space="preserve"> </w:t>
      </w:r>
      <w:r w:rsidR="00057BC3">
        <w:t>If, however,</w:t>
      </w:r>
      <w:r w:rsidR="008117E0">
        <w:t xml:space="preserve"> the angle is between</w:t>
      </w:r>
      <w:r w:rsidR="00172C54">
        <w:t xml:space="preserve"> 90° and 180° (e.g., greater obtuse angle)</w:t>
      </w:r>
      <w:r w:rsidR="00EF2F15">
        <w:t>,</w:t>
      </w:r>
      <w:r w:rsidR="00172C54">
        <w:t xml:space="preserve"> then those variables are negatively correlated (e.g., 180° → </w:t>
      </w:r>
      <w:r w:rsidR="00172C54">
        <w:rPr>
          <w:i/>
          <w:iCs/>
        </w:rPr>
        <w:t>r</w:t>
      </w:r>
      <w:r w:rsidR="00172C54">
        <w:t xml:space="preserve"> = -1)</w:t>
      </w:r>
      <w:r w:rsidR="002D3E76">
        <w:t xml:space="preserve"> as in </w:t>
      </w:r>
      <w:r w:rsidR="00EF2F15">
        <w:t xml:space="preserve">the </w:t>
      </w:r>
      <w:r w:rsidR="002D3E76">
        <w:t>case of N_1Q_OS and T2.</w:t>
      </w:r>
    </w:p>
    <w:p w14:paraId="25C3EAE5" w14:textId="43381F7F" w:rsidR="00F83023" w:rsidRDefault="00B077DE" w:rsidP="007866EF">
      <w:pPr>
        <w:keepNext/>
        <w:jc w:val="center"/>
      </w:pPr>
      <w:r>
        <w:rPr>
          <w:noProof/>
        </w:rPr>
        <w:drawing>
          <wp:inline distT="0" distB="0" distL="0" distR="0" wp14:anchorId="5B1D281F" wp14:editId="66083197">
            <wp:extent cx="3960000" cy="3960000"/>
            <wp:effectExtent l="0" t="0" r="2540" b="2540"/>
            <wp:docPr id="83" name="Picture 8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Diagram&#10;&#10;Description automatically generated with medium confidenc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960000" cy="3960000"/>
                    </a:xfrm>
                    <a:prstGeom prst="rect">
                      <a:avLst/>
                    </a:prstGeom>
                  </pic:spPr>
                </pic:pic>
              </a:graphicData>
            </a:graphic>
          </wp:inline>
        </w:drawing>
      </w:r>
    </w:p>
    <w:p w14:paraId="1C75F159" w14:textId="71109ED3" w:rsidR="00F83023" w:rsidRDefault="00F83023" w:rsidP="00F83023">
      <w:pPr>
        <w:pStyle w:val="Caption"/>
      </w:pPr>
      <w:bookmarkStart w:id="521" w:name="_Ref97130190"/>
      <w:bookmarkStart w:id="522" w:name="_Toc101274604"/>
      <w:r>
        <w:t xml:space="preserve">Figure </w:t>
      </w:r>
      <w:fldSimple w:instr=" SEQ Figure \* ARABIC ">
        <w:r w:rsidR="00587AF0">
          <w:rPr>
            <w:noProof/>
          </w:rPr>
          <w:t>82</w:t>
        </w:r>
      </w:fldSimple>
      <w:bookmarkEnd w:id="521"/>
      <w:r>
        <w:t>. PCA biplot of PC1 and PC2 of hydraulic power data</w:t>
      </w:r>
      <w:r w:rsidR="00371E20">
        <w:t xml:space="preserve"> at opening saddle position</w:t>
      </w:r>
      <w:bookmarkEnd w:id="522"/>
    </w:p>
    <w:p w14:paraId="378F4B5C" w14:textId="0F10A50C" w:rsidR="00DA65EC" w:rsidRPr="00070B6A" w:rsidRDefault="00DA65EC" w:rsidP="00DA65EC">
      <w:r>
        <w:t>Hence, removing variables that induce multicollinearity to the features and sample data (N_RMS_OS, N_P-P_OS, N_Mean_OS, N_3Q_OS, N_1Q_OS)</w:t>
      </w:r>
      <w:r w:rsidR="00EF2F15">
        <w:t>,</w:t>
      </w:r>
      <w:r>
        <w:t xml:space="preserve"> the selected variables are presented in </w:t>
      </w:r>
      <w:r>
        <w:fldChar w:fldCharType="begin"/>
      </w:r>
      <w:r>
        <w:instrText xml:space="preserve"> REF _Ref96438304 \h </w:instrText>
      </w:r>
      <w:r>
        <w:fldChar w:fldCharType="separate"/>
      </w:r>
      <w:r w:rsidR="00587AF0">
        <w:t xml:space="preserve">Appendix </w:t>
      </w:r>
      <w:r w:rsidR="00587AF0">
        <w:rPr>
          <w:noProof/>
        </w:rPr>
        <w:t>13</w:t>
      </w:r>
      <w:r>
        <w:fldChar w:fldCharType="end"/>
      </w:r>
      <w:r>
        <w:t xml:space="preserve"> and used for ML model selection and validation. However, although </w:t>
      </w:r>
      <w:r w:rsidR="00EF2F15">
        <w:t>the data with most of the variation is usually</w:t>
      </w:r>
      <w:r>
        <w:t xml:space="preserve"> used for establishing and labe</w:t>
      </w:r>
      <w:r w:rsidR="00EF2F15">
        <w:t>l</w:t>
      </w:r>
      <w:r>
        <w:t>ling, and in the case of unsupervised learning</w:t>
      </w:r>
      <w:r w:rsidR="00EF2F15">
        <w:t>,</w:t>
      </w:r>
      <w:r>
        <w:t xml:space="preserve"> used for separating and classification algorithms (</w:t>
      </w:r>
      <w:r w:rsidR="00EF2F15">
        <w:t xml:space="preserve">e.g., </w:t>
      </w:r>
      <w:r>
        <w:t>k-Means clustering, Self-Org</w:t>
      </w:r>
      <w:r w:rsidR="00EF2F15">
        <w:t>a</w:t>
      </w:r>
      <w:r>
        <w:t>nizing Maps)</w:t>
      </w:r>
      <w:r w:rsidR="00EF2F15">
        <w:t>. I</w:t>
      </w:r>
      <w:r>
        <w:t>n this case</w:t>
      </w:r>
      <w:r w:rsidR="00EF2F15">
        <w:t>,</w:t>
      </w:r>
      <w:r>
        <w:t xml:space="preserve"> observation of PC1 and PC3 can provide better eigenvalues (</w:t>
      </w:r>
      <w:r>
        <w:fldChar w:fldCharType="begin"/>
      </w:r>
      <w:r>
        <w:instrText xml:space="preserve"> REF _Ref98314182 \h </w:instrText>
      </w:r>
      <w:r>
        <w:fldChar w:fldCharType="separate"/>
      </w:r>
      <w:r w:rsidR="00587AF0">
        <w:t xml:space="preserve">Figure </w:t>
      </w:r>
      <w:r w:rsidR="00587AF0">
        <w:rPr>
          <w:noProof/>
        </w:rPr>
        <w:t>84</w:t>
      </w:r>
      <w:r>
        <w:fldChar w:fldCharType="end"/>
      </w:r>
      <w:r>
        <w:t xml:space="preserve">) for eigenvectors to be used for classification since </w:t>
      </w:r>
      <w:r w:rsidR="00EF2F15">
        <w:t>they</w:t>
      </w:r>
      <w:r>
        <w:t xml:space="preserve"> can be observed </w:t>
      </w:r>
      <w:r w:rsidR="00EF2F15">
        <w:t xml:space="preserve">to have </w:t>
      </w:r>
      <w:r>
        <w:t>better discrimination ability th</w:t>
      </w:r>
      <w:r w:rsidR="00EF2F15">
        <w:t>a</w:t>
      </w:r>
      <w:r>
        <w:t xml:space="preserve">n </w:t>
      </w:r>
      <w:r w:rsidR="00EF2F15">
        <w:t>using</w:t>
      </w:r>
      <w:r>
        <w:t xml:space="preserve"> </w:t>
      </w:r>
      <w:r w:rsidR="00EF2F15">
        <w:t xml:space="preserve">the </w:t>
      </w:r>
      <w:r>
        <w:t>first two PCs (</w:t>
      </w:r>
      <w:r>
        <w:fldChar w:fldCharType="begin"/>
      </w:r>
      <w:r>
        <w:instrText xml:space="preserve"> REF _Ref98314217 \h </w:instrText>
      </w:r>
      <w:r>
        <w:fldChar w:fldCharType="separate"/>
      </w:r>
      <w:r w:rsidR="00587AF0">
        <w:t xml:space="preserve">Figure </w:t>
      </w:r>
      <w:r w:rsidR="00587AF0">
        <w:rPr>
          <w:noProof/>
        </w:rPr>
        <w:t>85</w:t>
      </w:r>
      <w:r>
        <w:fldChar w:fldCharType="end"/>
      </w:r>
      <w:r>
        <w:t xml:space="preserve">) even though they provide more variation, i.e., information about the data from eigenvalues. However, although </w:t>
      </w:r>
      <w:r w:rsidR="00EF2F15">
        <w:t>this thesis uses PCA</w:t>
      </w:r>
      <w:r>
        <w:t xml:space="preserve"> for data visualisation and feature exploration, it will not be used for data processing, i.e., data extraction via Singular Value Decomposition (SVD). Thus, usage of standardised data and feature extraction and pre-processing will be </w:t>
      </w:r>
      <w:r w:rsidR="00EF2F15">
        <w:t xml:space="preserve">a </w:t>
      </w:r>
      <w:r>
        <w:t>task of the future research articles and is beyond the scope of the thesis. The underlying reasons for not using PCA are explained briefly.</w:t>
      </w:r>
    </w:p>
    <w:p w14:paraId="5FAF8AD6" w14:textId="77777777" w:rsidR="001903D7" w:rsidRPr="001903D7" w:rsidRDefault="001903D7" w:rsidP="001903D7"/>
    <w:p w14:paraId="481C0D13" w14:textId="230E4846" w:rsidR="007866EF" w:rsidRPr="00070B6A" w:rsidRDefault="009C2DC1" w:rsidP="007866EF">
      <w:pPr>
        <w:keepNext/>
        <w:jc w:val="center"/>
        <w:rPr>
          <w:lang w:val="en-GB"/>
        </w:rPr>
      </w:pPr>
      <w:r>
        <w:rPr>
          <w:noProof/>
          <w:lang w:val="en-GB"/>
        </w:rPr>
        <w:drawing>
          <wp:inline distT="0" distB="0" distL="0" distR="0" wp14:anchorId="75F76DCF" wp14:editId="63635AA6">
            <wp:extent cx="5732145" cy="5573865"/>
            <wp:effectExtent l="0" t="0" r="1905" b="8255"/>
            <wp:docPr id="94" name="Picture 94"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Calendar&#10;&#10;Description automatically generated"/>
                    <pic:cNvPicPr/>
                  </pic:nvPicPr>
                  <pic:blipFill rotWithShape="1">
                    <a:blip r:embed="rId119" cstate="print">
                      <a:extLst>
                        <a:ext uri="{28A0092B-C50C-407E-A947-70E740481C1C}">
                          <a14:useLocalDpi xmlns:a14="http://schemas.microsoft.com/office/drawing/2010/main" val="0"/>
                        </a:ext>
                      </a:extLst>
                    </a:blip>
                    <a:srcRect b="2762"/>
                    <a:stretch/>
                  </pic:blipFill>
                  <pic:spPr bwMode="auto">
                    <a:xfrm>
                      <a:off x="0" y="0"/>
                      <a:ext cx="5732145" cy="5573865"/>
                    </a:xfrm>
                    <a:prstGeom prst="rect">
                      <a:avLst/>
                    </a:prstGeom>
                    <a:ln>
                      <a:noFill/>
                    </a:ln>
                    <a:extLst>
                      <a:ext uri="{53640926-AAD7-44D8-BBD7-CCE9431645EC}">
                        <a14:shadowObscured xmlns:a14="http://schemas.microsoft.com/office/drawing/2010/main"/>
                      </a:ext>
                    </a:extLst>
                  </pic:spPr>
                </pic:pic>
              </a:graphicData>
            </a:graphic>
          </wp:inline>
        </w:drawing>
      </w:r>
    </w:p>
    <w:p w14:paraId="32CB7DB3" w14:textId="0AA5547C" w:rsidR="007866EF" w:rsidRDefault="007866EF" w:rsidP="007866EF">
      <w:pPr>
        <w:pStyle w:val="Caption"/>
      </w:pPr>
      <w:bookmarkStart w:id="523" w:name="_Toc101274605"/>
      <w:r>
        <w:t xml:space="preserve">Figure </w:t>
      </w:r>
      <w:fldSimple w:instr=" SEQ Figure \* ARABIC ">
        <w:r w:rsidR="00587AF0">
          <w:rPr>
            <w:noProof/>
          </w:rPr>
          <w:t>83</w:t>
        </w:r>
      </w:fldSimple>
      <w:r>
        <w:t xml:space="preserve">. </w:t>
      </w:r>
      <w:r w:rsidR="009C2DC1">
        <w:t>PCA overall plot after removing collinear variables</w:t>
      </w:r>
      <w:bookmarkEnd w:id="523"/>
    </w:p>
    <w:p w14:paraId="0470EFB2" w14:textId="42CCC3A3" w:rsidR="00DA65EC" w:rsidRPr="00DA65EC" w:rsidRDefault="00FD24F7" w:rsidP="00DA65EC">
      <w:r>
        <w:t>Several reasons support the decision not to use PCA</w:t>
      </w:r>
      <w:r w:rsidR="00DA65EC">
        <w:t xml:space="preserve">. Firstly, loss of data variation (&lt;80%) is </w:t>
      </w:r>
      <w:r>
        <w:t>because</w:t>
      </w:r>
      <w:r w:rsidR="00DA65EC">
        <w:t xml:space="preserve"> data samples and features are non-normally distributed</w:t>
      </w:r>
      <w:r>
        <w:t>;</w:t>
      </w:r>
      <w:r w:rsidR="00DA65EC">
        <w:t xml:space="preserve"> hence</w:t>
      </w:r>
      <w:r>
        <w:t>,</w:t>
      </w:r>
      <w:r w:rsidR="00DA65EC">
        <w:t xml:space="preserve"> PCA works on a linear basis of SVD is the most apparent one. That is to say</w:t>
      </w:r>
      <w:r>
        <w:t>;</w:t>
      </w:r>
      <w:r w:rsidR="00DA65EC">
        <w:t xml:space="preserve"> it measures the linear relationship between eigenvectors </w:t>
      </w:r>
      <w:r>
        <w:t>based on</w:t>
      </w:r>
      <w:r w:rsidR="00DA65EC">
        <w:t xml:space="preserve"> Pearson’s correlation factor. Hence, since it is observed </w:t>
      </w:r>
      <w:r>
        <w:t>that there is an absence of linearity between variables, it thus requires more components to explain much of the data variation</w:t>
      </w:r>
      <w:r w:rsidR="00DA65EC">
        <w:t xml:space="preserve">. </w:t>
      </w:r>
      <w:r w:rsidR="00D50019">
        <w:t>To further</w:t>
      </w:r>
      <w:r w:rsidR="00560ED6">
        <w:t xml:space="preserve"> justify the point, the case that we need as m</w:t>
      </w:r>
      <w:r>
        <w:t>any</w:t>
      </w:r>
      <w:r w:rsidR="00560ED6">
        <w:t xml:space="preserve"> as </w:t>
      </w:r>
      <w:r>
        <w:t>six</w:t>
      </w:r>
      <w:r w:rsidR="00560ED6">
        <w:t xml:space="preserve"> components to explain 79,6% variation of </w:t>
      </w:r>
      <w:r w:rsidR="0029155E">
        <w:t xml:space="preserve">data is difficult to use for classification since k-means </w:t>
      </w:r>
      <w:r w:rsidR="0020350E">
        <w:t>are usually used for establishing centroids in the 2D vector space. Thus, we will lose as much as</w:t>
      </w:r>
      <w:r w:rsidR="00120C70">
        <w:t xml:space="preserve">  62,3% of the information</w:t>
      </w:r>
      <w:r w:rsidR="0020350E">
        <w:t xml:space="preserve"> (</w:t>
      </w:r>
      <w:r w:rsidR="00120C70">
        <w:t xml:space="preserve">if we consider that PC1 and PC2 explain only </w:t>
      </w:r>
      <w:r w:rsidR="0020350E">
        <w:t>37,7%</w:t>
      </w:r>
      <w:r w:rsidR="00120C70">
        <w:t xml:space="preserve"> of data variation</w:t>
      </w:r>
      <w:r w:rsidR="0020350E">
        <w:t>)</w:t>
      </w:r>
      <w:r w:rsidR="00120C70">
        <w:t>.</w:t>
      </w:r>
      <w:r w:rsidR="008F5157">
        <w:t xml:space="preserve"> </w:t>
      </w:r>
      <w:r>
        <w:t>W</w:t>
      </w:r>
      <w:r w:rsidR="00021967">
        <w:t>e can observe that PC1 and PC3 can be used with better discrimination ability</w:t>
      </w:r>
      <w:r w:rsidR="007C6E94">
        <w:t xml:space="preserve"> than the first two components (</w:t>
      </w:r>
      <w:r w:rsidR="007C6E94">
        <w:fldChar w:fldCharType="begin"/>
      </w:r>
      <w:r w:rsidR="007C6E94">
        <w:instrText xml:space="preserve"> REF _Ref98314217 \h </w:instrText>
      </w:r>
      <w:r w:rsidR="007C6E94">
        <w:fldChar w:fldCharType="separate"/>
      </w:r>
      <w:r w:rsidR="00587AF0">
        <w:t xml:space="preserve">Figure </w:t>
      </w:r>
      <w:r w:rsidR="00587AF0">
        <w:rPr>
          <w:noProof/>
        </w:rPr>
        <w:t>85</w:t>
      </w:r>
      <w:r w:rsidR="007C6E94">
        <w:fldChar w:fldCharType="end"/>
      </w:r>
      <w:r w:rsidR="007C6E94">
        <w:t xml:space="preserve">). Looking at the 3D plots of </w:t>
      </w:r>
      <w:r w:rsidR="00C20E8D">
        <w:t>components (</w:t>
      </w:r>
      <w:r w:rsidR="00C20E8D">
        <w:fldChar w:fldCharType="begin"/>
      </w:r>
      <w:r w:rsidR="00C20E8D">
        <w:instrText xml:space="preserve"> REF _Ref98316015 \h </w:instrText>
      </w:r>
      <w:r w:rsidR="00C20E8D">
        <w:fldChar w:fldCharType="separate"/>
      </w:r>
      <w:r w:rsidR="00587AF0">
        <w:t xml:space="preserve">Figure </w:t>
      </w:r>
      <w:r w:rsidR="00587AF0">
        <w:rPr>
          <w:noProof/>
        </w:rPr>
        <w:t>86</w:t>
      </w:r>
      <w:r w:rsidR="00C20E8D">
        <w:fldChar w:fldCharType="end"/>
      </w:r>
      <w:r w:rsidR="00C20E8D">
        <w:t>) and their factor loadings (</w:t>
      </w:r>
      <w:r w:rsidR="00C20E8D">
        <w:fldChar w:fldCharType="begin"/>
      </w:r>
      <w:r w:rsidR="00C20E8D">
        <w:instrText xml:space="preserve"> REF _Ref98316007 \h </w:instrText>
      </w:r>
      <w:r w:rsidR="00C20E8D">
        <w:fldChar w:fldCharType="separate"/>
      </w:r>
      <w:r w:rsidR="00587AF0">
        <w:t xml:space="preserve">Figure </w:t>
      </w:r>
      <w:r w:rsidR="00587AF0">
        <w:rPr>
          <w:noProof/>
        </w:rPr>
        <w:t>87</w:t>
      </w:r>
      <w:r w:rsidR="00C20E8D">
        <w:fldChar w:fldCharType="end"/>
      </w:r>
      <w:r w:rsidR="00C20E8D">
        <w:t>)</w:t>
      </w:r>
      <w:r>
        <w:t>,</w:t>
      </w:r>
      <w:r w:rsidR="00C20E8D">
        <w:t xml:space="preserve"> we can conclude that </w:t>
      </w:r>
      <w:r>
        <w:t xml:space="preserve">they </w:t>
      </w:r>
      <w:r w:rsidR="00C20E8D">
        <w:t xml:space="preserve">are somewhat good discrimination, although with </w:t>
      </w:r>
      <w:r w:rsidR="00826DCD">
        <w:t>almost 50% loss of data information.</w:t>
      </w:r>
      <w:r w:rsidR="00716ED9">
        <w:t xml:space="preserve"> </w:t>
      </w:r>
      <w:r>
        <w:t>D</w:t>
      </w:r>
      <w:r w:rsidR="00716ED9">
        <w:t>uring the writing of the thesis</w:t>
      </w:r>
      <w:r>
        <w:t>,</w:t>
      </w:r>
      <w:r w:rsidR="00716ED9">
        <w:t xml:space="preserve"> t-SNE and UMAP </w:t>
      </w:r>
      <w:r w:rsidR="00662845">
        <w:t xml:space="preserve">non-linear </w:t>
      </w:r>
      <w:r w:rsidR="00716ED9">
        <w:t>dimension reduction</w:t>
      </w:r>
      <w:r w:rsidR="00F03AAD">
        <w:t xml:space="preserve"> t</w:t>
      </w:r>
      <w:r w:rsidR="00662845">
        <w:t>echniques</w:t>
      </w:r>
      <w:r w:rsidR="00716ED9">
        <w:t xml:space="preserve"> have emerged, although no papers</w:t>
      </w:r>
      <w:r>
        <w:t xml:space="preserve"> on the maintenance of hydraulic systems have been reported</w:t>
      </w:r>
      <w:r w:rsidR="007E21D0">
        <w:t xml:space="preserve"> and will be a part of future </w:t>
      </w:r>
      <w:r>
        <w:t xml:space="preserve">research </w:t>
      </w:r>
      <w:r w:rsidR="007E21D0">
        <w:t>studies.</w:t>
      </w:r>
    </w:p>
    <w:p w14:paraId="106361B8" w14:textId="63FD7983" w:rsidR="000C3C28" w:rsidRDefault="009C2DC1" w:rsidP="000C3C28">
      <w:pPr>
        <w:keepNext/>
        <w:jc w:val="center"/>
      </w:pPr>
      <w:r>
        <w:rPr>
          <w:noProof/>
        </w:rPr>
        <w:lastRenderedPageBreak/>
        <w:drawing>
          <wp:inline distT="0" distB="0" distL="0" distR="0" wp14:anchorId="0E2B88B6" wp14:editId="7599889D">
            <wp:extent cx="3960000" cy="3960000"/>
            <wp:effectExtent l="0" t="0" r="2540" b="2540"/>
            <wp:docPr id="99" name="Picture 9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Chart, scatter chart&#10;&#10;Description automatically generate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960000" cy="3960000"/>
                    </a:xfrm>
                    <a:prstGeom prst="rect">
                      <a:avLst/>
                    </a:prstGeom>
                  </pic:spPr>
                </pic:pic>
              </a:graphicData>
            </a:graphic>
          </wp:inline>
        </w:drawing>
      </w:r>
    </w:p>
    <w:p w14:paraId="195765A1" w14:textId="55F82322" w:rsidR="000C3C28" w:rsidRDefault="000C3C28" w:rsidP="000C3C28">
      <w:pPr>
        <w:pStyle w:val="Caption"/>
      </w:pPr>
      <w:bookmarkStart w:id="524" w:name="_Ref98314182"/>
      <w:bookmarkStart w:id="525" w:name="_Ref98314173"/>
      <w:bookmarkStart w:id="526" w:name="_Toc101274606"/>
      <w:r>
        <w:t xml:space="preserve">Figure </w:t>
      </w:r>
      <w:fldSimple w:instr=" SEQ Figure \* ARABIC ">
        <w:r w:rsidR="00587AF0">
          <w:rPr>
            <w:noProof/>
          </w:rPr>
          <w:t>84</w:t>
        </w:r>
      </w:fldSimple>
      <w:bookmarkEnd w:id="524"/>
      <w:r>
        <w:t xml:space="preserve">. </w:t>
      </w:r>
      <w:r w:rsidR="00C37432">
        <w:t>PCA Biplot for PC1 and PC3 data at opening saddle position</w:t>
      </w:r>
      <w:bookmarkEnd w:id="525"/>
      <w:bookmarkEnd w:id="526"/>
    </w:p>
    <w:p w14:paraId="25C83B79" w14:textId="77777777" w:rsidR="0048169B" w:rsidRPr="0048169B" w:rsidRDefault="0048169B" w:rsidP="0048169B"/>
    <w:p w14:paraId="091282FE" w14:textId="79493472" w:rsidR="000C3C28" w:rsidRDefault="00C37432" w:rsidP="000C3C28">
      <w:pPr>
        <w:keepNext/>
        <w:jc w:val="center"/>
      </w:pPr>
      <w:r>
        <w:rPr>
          <w:noProof/>
        </w:rPr>
        <w:drawing>
          <wp:inline distT="0" distB="0" distL="0" distR="0" wp14:anchorId="086DEADC" wp14:editId="1E1AE7F9">
            <wp:extent cx="3960000" cy="3960000"/>
            <wp:effectExtent l="0" t="0" r="2540" b="2540"/>
            <wp:docPr id="197" name="Picture 19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Chart, scatter chart&#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960000" cy="3960000"/>
                    </a:xfrm>
                    <a:prstGeom prst="rect">
                      <a:avLst/>
                    </a:prstGeom>
                  </pic:spPr>
                </pic:pic>
              </a:graphicData>
            </a:graphic>
          </wp:inline>
        </w:drawing>
      </w:r>
    </w:p>
    <w:p w14:paraId="77BFF0F9" w14:textId="324129A8" w:rsidR="00717E66" w:rsidRDefault="000C3C28" w:rsidP="000C3C28">
      <w:pPr>
        <w:pStyle w:val="Caption"/>
      </w:pPr>
      <w:bookmarkStart w:id="527" w:name="_Ref98314217"/>
      <w:bookmarkStart w:id="528" w:name="_Toc101274607"/>
      <w:r>
        <w:t xml:space="preserve">Figure </w:t>
      </w:r>
      <w:fldSimple w:instr=" SEQ Figure \* ARABIC ">
        <w:r w:rsidR="00587AF0">
          <w:rPr>
            <w:noProof/>
          </w:rPr>
          <w:t>85</w:t>
        </w:r>
      </w:fldSimple>
      <w:bookmarkEnd w:id="527"/>
      <w:r>
        <w:t xml:space="preserve">. </w:t>
      </w:r>
      <w:r w:rsidR="0097420D">
        <w:t>PCA plot of PC1 and PC3 components at opening saddle position</w:t>
      </w:r>
      <w:bookmarkEnd w:id="528"/>
    </w:p>
    <w:p w14:paraId="691F03CF" w14:textId="77777777" w:rsidR="00DC5A87" w:rsidRDefault="00DC5A87" w:rsidP="00DC5A87">
      <w:pPr>
        <w:keepNext/>
        <w:jc w:val="center"/>
      </w:pPr>
      <w:r w:rsidRPr="00DC5A87">
        <w:rPr>
          <w:noProof/>
        </w:rPr>
        <w:lastRenderedPageBreak/>
        <w:drawing>
          <wp:inline distT="0" distB="0" distL="0" distR="0" wp14:anchorId="4349E867" wp14:editId="0941F588">
            <wp:extent cx="4894658" cy="3960000"/>
            <wp:effectExtent l="0" t="0" r="1270" b="254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2">
                      <a:extLst>
                        <a:ext uri="{28A0092B-C50C-407E-A947-70E740481C1C}">
                          <a14:useLocalDpi xmlns:a14="http://schemas.microsoft.com/office/drawing/2010/main" val="0"/>
                        </a:ext>
                      </a:extLst>
                    </a:blip>
                    <a:srcRect t="24200" r="20294" b="8623"/>
                    <a:stretch/>
                  </pic:blipFill>
                  <pic:spPr bwMode="auto">
                    <a:xfrm>
                      <a:off x="0" y="0"/>
                      <a:ext cx="4894658" cy="3960000"/>
                    </a:xfrm>
                    <a:prstGeom prst="rect">
                      <a:avLst/>
                    </a:prstGeom>
                    <a:noFill/>
                    <a:ln>
                      <a:noFill/>
                    </a:ln>
                    <a:extLst>
                      <a:ext uri="{53640926-AAD7-44D8-BBD7-CCE9431645EC}">
                        <a14:shadowObscured xmlns:a14="http://schemas.microsoft.com/office/drawing/2010/main"/>
                      </a:ext>
                    </a:extLst>
                  </pic:spPr>
                </pic:pic>
              </a:graphicData>
            </a:graphic>
          </wp:inline>
        </w:drawing>
      </w:r>
    </w:p>
    <w:p w14:paraId="6972C2E2" w14:textId="0F62355E" w:rsidR="00794008" w:rsidRPr="00794008" w:rsidRDefault="00DC5A87" w:rsidP="00262E4C">
      <w:pPr>
        <w:pStyle w:val="Caption"/>
      </w:pPr>
      <w:bookmarkStart w:id="529" w:name="_Ref98316015"/>
      <w:bookmarkStart w:id="530" w:name="_Toc101274608"/>
      <w:r>
        <w:t xml:space="preserve">Figure </w:t>
      </w:r>
      <w:fldSimple w:instr=" SEQ Figure \* ARABIC ">
        <w:r w:rsidR="00587AF0">
          <w:rPr>
            <w:noProof/>
          </w:rPr>
          <w:t>86</w:t>
        </w:r>
      </w:fldSimple>
      <w:bookmarkEnd w:id="529"/>
      <w:r>
        <w:t>. PCA 3D plot at opening saddle position</w:t>
      </w:r>
      <w:bookmarkEnd w:id="530"/>
    </w:p>
    <w:p w14:paraId="31FCA9F3" w14:textId="77777777" w:rsidR="00DC5A87" w:rsidRDefault="00DC5A87" w:rsidP="00DC5A87">
      <w:pPr>
        <w:keepNext/>
        <w:spacing w:before="240"/>
        <w:jc w:val="center"/>
      </w:pPr>
      <w:r w:rsidRPr="00DC5A87">
        <w:rPr>
          <w:noProof/>
        </w:rPr>
        <w:drawing>
          <wp:inline distT="0" distB="0" distL="0" distR="0" wp14:anchorId="066DF55C" wp14:editId="42750D1E">
            <wp:extent cx="5071186" cy="3960000"/>
            <wp:effectExtent l="0" t="0" r="0" b="254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3">
                      <a:extLst>
                        <a:ext uri="{28A0092B-C50C-407E-A947-70E740481C1C}">
                          <a14:useLocalDpi xmlns:a14="http://schemas.microsoft.com/office/drawing/2010/main" val="0"/>
                        </a:ext>
                      </a:extLst>
                    </a:blip>
                    <a:srcRect t="19610" r="5424" b="6537"/>
                    <a:stretch/>
                  </pic:blipFill>
                  <pic:spPr bwMode="auto">
                    <a:xfrm>
                      <a:off x="0" y="0"/>
                      <a:ext cx="5071186" cy="3960000"/>
                    </a:xfrm>
                    <a:prstGeom prst="rect">
                      <a:avLst/>
                    </a:prstGeom>
                    <a:noFill/>
                    <a:ln>
                      <a:noFill/>
                    </a:ln>
                    <a:extLst>
                      <a:ext uri="{53640926-AAD7-44D8-BBD7-CCE9431645EC}">
                        <a14:shadowObscured xmlns:a14="http://schemas.microsoft.com/office/drawing/2010/main"/>
                      </a:ext>
                    </a:extLst>
                  </pic:spPr>
                </pic:pic>
              </a:graphicData>
            </a:graphic>
          </wp:inline>
        </w:drawing>
      </w:r>
    </w:p>
    <w:p w14:paraId="04A95CE7" w14:textId="669CE4ED" w:rsidR="00DC5A87" w:rsidRPr="00DC5A87" w:rsidRDefault="00DC5A87" w:rsidP="00DC5A87">
      <w:pPr>
        <w:pStyle w:val="Caption"/>
      </w:pPr>
      <w:bookmarkStart w:id="531" w:name="_Ref98316007"/>
      <w:bookmarkStart w:id="532" w:name="_Toc101274609"/>
      <w:r>
        <w:t xml:space="preserve">Figure </w:t>
      </w:r>
      <w:fldSimple w:instr=" SEQ Figure \* ARABIC ">
        <w:r w:rsidR="00587AF0">
          <w:rPr>
            <w:noProof/>
          </w:rPr>
          <w:t>87</w:t>
        </w:r>
      </w:fldSimple>
      <w:bookmarkEnd w:id="531"/>
      <w:r>
        <w:t>. PCA 3D loadings plot at opening saddle position</w:t>
      </w:r>
      <w:bookmarkEnd w:id="532"/>
    </w:p>
    <w:p w14:paraId="66214B84" w14:textId="77777777" w:rsidR="001631BC" w:rsidRDefault="001631BC" w:rsidP="001631BC">
      <w:pPr>
        <w:rPr>
          <w:rFonts w:eastAsiaTheme="majorEastAsia" w:cstheme="majorBidi"/>
          <w:smallCaps/>
          <w:szCs w:val="24"/>
          <w:lang w:bidi="en-US"/>
        </w:rPr>
      </w:pPr>
    </w:p>
    <w:p w14:paraId="543AF87F" w14:textId="4842E60B" w:rsidR="001631BC" w:rsidRPr="001631BC" w:rsidRDefault="005D6C91" w:rsidP="005D6C91">
      <w:pPr>
        <w:pStyle w:val="Heading3"/>
        <w:rPr>
          <w:lang w:bidi="en-US"/>
        </w:rPr>
      </w:pPr>
      <w:bookmarkStart w:id="533" w:name="_Toc101274394"/>
      <w:r>
        <w:rPr>
          <w:lang w:bidi="en-US"/>
        </w:rPr>
        <w:lastRenderedPageBreak/>
        <w:t xml:space="preserve">PCA of HyPower at </w:t>
      </w:r>
      <w:r w:rsidR="007F2E17">
        <w:rPr>
          <w:lang w:bidi="en-US"/>
        </w:rPr>
        <w:t>idle</w:t>
      </w:r>
      <w:r>
        <w:rPr>
          <w:lang w:bidi="en-US"/>
        </w:rPr>
        <w:t xml:space="preserve"> saddle position</w:t>
      </w:r>
      <w:bookmarkEnd w:id="533"/>
    </w:p>
    <w:p w14:paraId="29377E4F" w14:textId="3D18D31D" w:rsidR="00371E20" w:rsidRDefault="003272AA" w:rsidP="00371E20">
      <w:pPr>
        <w:rPr>
          <w:lang w:bidi="en-US"/>
        </w:rPr>
      </w:pPr>
      <w:r>
        <w:rPr>
          <w:lang w:bidi="en-US"/>
        </w:rPr>
        <w:t>After using the correlation heatmap for feature selection and elimination, data exploration on idle_saddle position</w:t>
      </w:r>
      <w:r w:rsidR="001407C0">
        <w:rPr>
          <w:lang w:bidi="en-US"/>
        </w:rPr>
        <w:t xml:space="preserve"> variables </w:t>
      </w:r>
      <w:r w:rsidR="00375A16">
        <w:rPr>
          <w:lang w:bidi="en-US"/>
        </w:rPr>
        <w:t>is used to check the presence of anomalies and potential data clustering</w:t>
      </w:r>
      <w:r w:rsidR="001407C0">
        <w:rPr>
          <w:lang w:bidi="en-US"/>
        </w:rPr>
        <w:t xml:space="preserve">. Namely, unlike opening saddle position data for </w:t>
      </w:r>
      <w:r w:rsidR="00375A16">
        <w:rPr>
          <w:lang w:bidi="en-US"/>
        </w:rPr>
        <w:t xml:space="preserve">the </w:t>
      </w:r>
      <w:r w:rsidR="003B3CF1">
        <w:rPr>
          <w:lang w:bidi="en-US"/>
        </w:rPr>
        <w:t>selection of data, it can be observed from an overall PCA plot that PC1 and any of the following comp</w:t>
      </w:r>
      <w:r w:rsidR="00375A16">
        <w:rPr>
          <w:lang w:bidi="en-US"/>
        </w:rPr>
        <w:t>o</w:t>
      </w:r>
      <w:r w:rsidR="003B3CF1">
        <w:rPr>
          <w:lang w:bidi="en-US"/>
        </w:rPr>
        <w:t xml:space="preserve">nents (PC2, PC3, PC4, PC5) can be used for </w:t>
      </w:r>
      <w:r w:rsidR="00A9486C">
        <w:rPr>
          <w:lang w:bidi="en-US"/>
        </w:rPr>
        <w:t xml:space="preserve">classification since it provides good classification ability of healthy and unhealthy conditions, i.e., Normal and Quasi-failure condition as noted. </w:t>
      </w:r>
      <w:r w:rsidR="009B14C1">
        <w:rPr>
          <w:lang w:bidi="en-US"/>
        </w:rPr>
        <w:t>I</w:t>
      </w:r>
      <w:r w:rsidR="00FF52B1">
        <w:rPr>
          <w:lang w:bidi="en-US"/>
        </w:rPr>
        <w:t xml:space="preserve">n this particular state of </w:t>
      </w:r>
      <w:r w:rsidR="00F8722B">
        <w:rPr>
          <w:lang w:bidi="en-US"/>
        </w:rPr>
        <w:t xml:space="preserve">idle saddle position, data can be used </w:t>
      </w:r>
      <w:r w:rsidR="009B14C1">
        <w:rPr>
          <w:lang w:bidi="en-US"/>
        </w:rPr>
        <w:t>as</w:t>
      </w:r>
      <w:r w:rsidR="00F8722B">
        <w:rPr>
          <w:lang w:bidi="en-US"/>
        </w:rPr>
        <w:t xml:space="preserve"> </w:t>
      </w:r>
      <w:r w:rsidR="00375A16">
        <w:rPr>
          <w:lang w:bidi="en-US"/>
        </w:rPr>
        <w:t xml:space="preserve">an </w:t>
      </w:r>
      <w:r w:rsidR="00F8722B">
        <w:rPr>
          <w:lang w:bidi="en-US"/>
        </w:rPr>
        <w:t xml:space="preserve">LDA (Linear Discriminant Analysis) algorithm, which is similar to PCA, however, with the ability for establishing classification and </w:t>
      </w:r>
      <w:r w:rsidR="00410BAD">
        <w:rPr>
          <w:lang w:bidi="en-US"/>
        </w:rPr>
        <w:t>validation of results.</w:t>
      </w:r>
    </w:p>
    <w:p w14:paraId="79DD394C" w14:textId="187E7571" w:rsidR="00371E20" w:rsidRDefault="00151585" w:rsidP="00151585">
      <w:pPr>
        <w:keepNext/>
        <w:jc w:val="center"/>
      </w:pPr>
      <w:r>
        <w:rPr>
          <w:noProof/>
        </w:rPr>
        <w:drawing>
          <wp:inline distT="0" distB="0" distL="0" distR="0" wp14:anchorId="466C3D4D" wp14:editId="1F84FFE8">
            <wp:extent cx="5732145" cy="5562600"/>
            <wp:effectExtent l="0" t="0" r="1905" b="0"/>
            <wp:docPr id="200" name="Picture 200"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Calendar&#10;&#10;Description automatically generated"/>
                    <pic:cNvPicPr/>
                  </pic:nvPicPr>
                  <pic:blipFill rotWithShape="1">
                    <a:blip r:embed="rId124" cstate="print">
                      <a:extLst>
                        <a:ext uri="{28A0092B-C50C-407E-A947-70E740481C1C}">
                          <a14:useLocalDpi xmlns:a14="http://schemas.microsoft.com/office/drawing/2010/main" val="0"/>
                        </a:ext>
                      </a:extLst>
                    </a:blip>
                    <a:srcRect b="2958"/>
                    <a:stretch/>
                  </pic:blipFill>
                  <pic:spPr bwMode="auto">
                    <a:xfrm>
                      <a:off x="0" y="0"/>
                      <a:ext cx="5732145" cy="5562600"/>
                    </a:xfrm>
                    <a:prstGeom prst="rect">
                      <a:avLst/>
                    </a:prstGeom>
                    <a:ln>
                      <a:noFill/>
                    </a:ln>
                    <a:extLst>
                      <a:ext uri="{53640926-AAD7-44D8-BBD7-CCE9431645EC}">
                        <a14:shadowObscured xmlns:a14="http://schemas.microsoft.com/office/drawing/2010/main"/>
                      </a:ext>
                    </a:extLst>
                  </pic:spPr>
                </pic:pic>
              </a:graphicData>
            </a:graphic>
          </wp:inline>
        </w:drawing>
      </w:r>
    </w:p>
    <w:p w14:paraId="14C87DDF" w14:textId="7CDCC930" w:rsidR="00371E20" w:rsidRDefault="00371E20" w:rsidP="00371E20">
      <w:pPr>
        <w:pStyle w:val="Caption"/>
      </w:pPr>
      <w:bookmarkStart w:id="534" w:name="_Toc101274610"/>
      <w:r>
        <w:t xml:space="preserve">Figure </w:t>
      </w:r>
      <w:fldSimple w:instr=" SEQ Figure \* ARABIC ">
        <w:r w:rsidR="00587AF0">
          <w:rPr>
            <w:noProof/>
          </w:rPr>
          <w:t>88</w:t>
        </w:r>
      </w:fldSimple>
      <w:r>
        <w:t>. PCA overall plot of hydraulic power data at idle saddle position</w:t>
      </w:r>
      <w:bookmarkEnd w:id="534"/>
    </w:p>
    <w:p w14:paraId="20CF1D8D" w14:textId="50FDF7DB" w:rsidR="00410BAD" w:rsidRPr="00410BAD" w:rsidRDefault="00375A16" w:rsidP="00410BAD">
      <w:r>
        <w:t>Observing the PCA biplot of idle saddle position</w:t>
      </w:r>
      <w:r w:rsidR="00410BAD">
        <w:t xml:space="preserve"> can be seen </w:t>
      </w:r>
      <w:r>
        <w:t xml:space="preserve">as </w:t>
      </w:r>
      <w:r w:rsidR="00ED7AAE">
        <w:t>low or no collinearity</w:t>
      </w:r>
      <w:r w:rsidR="00A37782">
        <w:t xml:space="preserve"> (</w:t>
      </w:r>
      <w:r w:rsidR="00A37782">
        <w:fldChar w:fldCharType="begin"/>
      </w:r>
      <w:r w:rsidR="00A37782">
        <w:instrText xml:space="preserve"> REF _Ref98317015 \h </w:instrText>
      </w:r>
      <w:r w:rsidR="00A37782">
        <w:fldChar w:fldCharType="separate"/>
      </w:r>
      <w:r w:rsidR="00587AF0">
        <w:t xml:space="preserve">Figure </w:t>
      </w:r>
      <w:r w:rsidR="00587AF0">
        <w:rPr>
          <w:noProof/>
        </w:rPr>
        <w:t>89</w:t>
      </w:r>
      <w:r w:rsidR="00A37782">
        <w:fldChar w:fldCharType="end"/>
      </w:r>
      <w:r w:rsidR="00A37782">
        <w:t xml:space="preserve">). In the </w:t>
      </w:r>
      <w:r w:rsidR="005A3416">
        <w:t xml:space="preserve">following, it can be observed that the plot of </w:t>
      </w:r>
      <w:r>
        <w:t xml:space="preserve">the </w:t>
      </w:r>
      <w:r w:rsidR="005A3416">
        <w:t>first two PC</w:t>
      </w:r>
      <w:r>
        <w:t>s</w:t>
      </w:r>
      <w:r w:rsidR="005A3416">
        <w:t xml:space="preserve"> show</w:t>
      </w:r>
      <w:r>
        <w:t>s</w:t>
      </w:r>
      <w:r w:rsidR="005A3416">
        <w:t xml:space="preserve"> almost excellent </w:t>
      </w:r>
      <w:r w:rsidR="00DE40D0">
        <w:t>separating properties</w:t>
      </w:r>
      <w:r w:rsidR="000A1ADE">
        <w:t xml:space="preserve"> (</w:t>
      </w:r>
      <w:r w:rsidR="000A1ADE">
        <w:fldChar w:fldCharType="begin"/>
      </w:r>
      <w:r w:rsidR="000A1ADE">
        <w:instrText xml:space="preserve"> REF _Ref98317641 \h </w:instrText>
      </w:r>
      <w:r w:rsidR="000A1ADE">
        <w:fldChar w:fldCharType="separate"/>
      </w:r>
      <w:r w:rsidR="00587AF0">
        <w:t xml:space="preserve">Figure </w:t>
      </w:r>
      <w:r w:rsidR="00587AF0">
        <w:rPr>
          <w:noProof/>
        </w:rPr>
        <w:t>90</w:t>
      </w:r>
      <w:r w:rsidR="000A1ADE">
        <w:fldChar w:fldCharType="end"/>
      </w:r>
      <w:r w:rsidR="000A1ADE">
        <w:t xml:space="preserve">), and also with </w:t>
      </w:r>
      <w:r>
        <w:t xml:space="preserve">a </w:t>
      </w:r>
      <w:r w:rsidR="000A1ADE">
        <w:t xml:space="preserve">3D plot of </w:t>
      </w:r>
      <w:r w:rsidR="0069741E">
        <w:t>data (</w:t>
      </w:r>
      <w:r w:rsidR="009B14C1">
        <w:fldChar w:fldCharType="begin"/>
      </w:r>
      <w:r w:rsidR="009B14C1">
        <w:instrText xml:space="preserve"> REF _Ref98317632 \h </w:instrText>
      </w:r>
      <w:r w:rsidR="009B14C1">
        <w:fldChar w:fldCharType="separate"/>
      </w:r>
      <w:r w:rsidR="00587AF0">
        <w:t xml:space="preserve">Figure </w:t>
      </w:r>
      <w:r w:rsidR="00587AF0">
        <w:rPr>
          <w:noProof/>
        </w:rPr>
        <w:t>91</w:t>
      </w:r>
      <w:r w:rsidR="009B14C1">
        <w:fldChar w:fldCharType="end"/>
      </w:r>
      <w:r w:rsidR="0069741E">
        <w:t>) and loadings (</w:t>
      </w:r>
      <w:r w:rsidR="009B14C1">
        <w:fldChar w:fldCharType="begin"/>
      </w:r>
      <w:r w:rsidR="009B14C1">
        <w:instrText xml:space="preserve"> REF _Ref98317698 \h </w:instrText>
      </w:r>
      <w:r w:rsidR="009B14C1">
        <w:fldChar w:fldCharType="separate"/>
      </w:r>
      <w:r w:rsidR="00587AF0">
        <w:t xml:space="preserve">Figure </w:t>
      </w:r>
      <w:r w:rsidR="00587AF0">
        <w:rPr>
          <w:noProof/>
        </w:rPr>
        <w:t>92</w:t>
      </w:r>
      <w:r w:rsidR="009B14C1">
        <w:fldChar w:fldCharType="end"/>
      </w:r>
      <w:r w:rsidR="0069741E">
        <w:t>).</w:t>
      </w:r>
      <w:r w:rsidR="009B14C1">
        <w:t xml:space="preserve"> Although as stated, the point of feature exploration and visualisation for establishing important features and thus, </w:t>
      </w:r>
      <w:r w:rsidR="000A36C2">
        <w:t xml:space="preserve">the </w:t>
      </w:r>
      <w:r w:rsidR="009B14C1">
        <w:t>selection is the only task of PCA in this thesis.</w:t>
      </w:r>
    </w:p>
    <w:p w14:paraId="3BBB4DF5" w14:textId="306B9923" w:rsidR="00371E20" w:rsidRDefault="00151585" w:rsidP="00151585">
      <w:pPr>
        <w:keepNext/>
        <w:jc w:val="center"/>
      </w:pPr>
      <w:r>
        <w:rPr>
          <w:noProof/>
        </w:rPr>
        <w:lastRenderedPageBreak/>
        <w:drawing>
          <wp:inline distT="0" distB="0" distL="0" distR="0" wp14:anchorId="2ADE9C52" wp14:editId="4C5A301C">
            <wp:extent cx="3960000" cy="3960000"/>
            <wp:effectExtent l="0" t="0" r="2540" b="2540"/>
            <wp:docPr id="201" name="Picture 20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Chart, scatter chart&#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960000" cy="3960000"/>
                    </a:xfrm>
                    <a:prstGeom prst="rect">
                      <a:avLst/>
                    </a:prstGeom>
                  </pic:spPr>
                </pic:pic>
              </a:graphicData>
            </a:graphic>
          </wp:inline>
        </w:drawing>
      </w:r>
    </w:p>
    <w:p w14:paraId="25037557" w14:textId="15D85EF5" w:rsidR="00371E20" w:rsidRDefault="00371E20" w:rsidP="00371E20">
      <w:pPr>
        <w:pStyle w:val="Caption"/>
      </w:pPr>
      <w:bookmarkStart w:id="535" w:name="_Ref98317015"/>
      <w:bookmarkStart w:id="536" w:name="_Toc101274611"/>
      <w:r>
        <w:t xml:space="preserve">Figure </w:t>
      </w:r>
      <w:fldSimple w:instr=" SEQ Figure \* ARABIC ">
        <w:r w:rsidR="00587AF0">
          <w:rPr>
            <w:noProof/>
          </w:rPr>
          <w:t>89</w:t>
        </w:r>
      </w:fldSimple>
      <w:bookmarkEnd w:id="535"/>
      <w:r>
        <w:t>. PCA Biplot of hydraulic power data at idle saddle position</w:t>
      </w:r>
      <w:bookmarkEnd w:id="536"/>
    </w:p>
    <w:p w14:paraId="56BAF89B" w14:textId="15020207" w:rsidR="00371E20" w:rsidRDefault="00151585" w:rsidP="00560264">
      <w:pPr>
        <w:keepNext/>
        <w:spacing w:before="240"/>
        <w:jc w:val="center"/>
      </w:pPr>
      <w:r>
        <w:rPr>
          <w:noProof/>
        </w:rPr>
        <w:drawing>
          <wp:inline distT="0" distB="0" distL="0" distR="0" wp14:anchorId="5A05ADAB" wp14:editId="3AF4914B">
            <wp:extent cx="3960000" cy="3960000"/>
            <wp:effectExtent l="0" t="0" r="2540" b="2540"/>
            <wp:docPr id="202" name="Picture 20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Chart, scatter chart&#10;&#10;Description automatically generated"/>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960000" cy="3960000"/>
                    </a:xfrm>
                    <a:prstGeom prst="rect">
                      <a:avLst/>
                    </a:prstGeom>
                  </pic:spPr>
                </pic:pic>
              </a:graphicData>
            </a:graphic>
          </wp:inline>
        </w:drawing>
      </w:r>
    </w:p>
    <w:p w14:paraId="59AB10CF" w14:textId="39CB7E08" w:rsidR="00371E20" w:rsidRDefault="00371E20" w:rsidP="00371E20">
      <w:pPr>
        <w:pStyle w:val="Caption"/>
      </w:pPr>
      <w:bookmarkStart w:id="537" w:name="_Ref98317641"/>
      <w:bookmarkStart w:id="538" w:name="_Toc101274612"/>
      <w:r>
        <w:t xml:space="preserve">Figure </w:t>
      </w:r>
      <w:fldSimple w:instr=" SEQ Figure \* ARABIC ">
        <w:r w:rsidR="00587AF0">
          <w:rPr>
            <w:noProof/>
          </w:rPr>
          <w:t>90</w:t>
        </w:r>
      </w:fldSimple>
      <w:bookmarkEnd w:id="537"/>
      <w:r>
        <w:t>. PCA plot of first two PCs of hydraulic power data at idle saddle position</w:t>
      </w:r>
      <w:bookmarkEnd w:id="538"/>
    </w:p>
    <w:p w14:paraId="234F769C" w14:textId="6D354625" w:rsidR="00151585" w:rsidRPr="00151585" w:rsidRDefault="00151585" w:rsidP="00151585"/>
    <w:p w14:paraId="6FED7C31" w14:textId="4EF3C602" w:rsidR="0071189B" w:rsidRDefault="0022094D" w:rsidP="00560264">
      <w:pPr>
        <w:keepNext/>
        <w:spacing w:before="240"/>
        <w:jc w:val="center"/>
      </w:pPr>
      <w:r w:rsidRPr="0022094D">
        <w:rPr>
          <w:noProof/>
        </w:rPr>
        <w:lastRenderedPageBreak/>
        <w:drawing>
          <wp:inline distT="0" distB="0" distL="0" distR="0" wp14:anchorId="6B1A2404" wp14:editId="5376AC08">
            <wp:extent cx="4966205" cy="3960000"/>
            <wp:effectExtent l="0" t="0" r="6350" b="254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7">
                      <a:extLst>
                        <a:ext uri="{28A0092B-C50C-407E-A947-70E740481C1C}">
                          <a14:useLocalDpi xmlns:a14="http://schemas.microsoft.com/office/drawing/2010/main" val="0"/>
                        </a:ext>
                      </a:extLst>
                    </a:blip>
                    <a:srcRect t="22686" r="19404" b="10374"/>
                    <a:stretch/>
                  </pic:blipFill>
                  <pic:spPr bwMode="auto">
                    <a:xfrm>
                      <a:off x="0" y="0"/>
                      <a:ext cx="4966205" cy="3960000"/>
                    </a:xfrm>
                    <a:prstGeom prst="rect">
                      <a:avLst/>
                    </a:prstGeom>
                    <a:noFill/>
                    <a:ln>
                      <a:noFill/>
                    </a:ln>
                    <a:extLst>
                      <a:ext uri="{53640926-AAD7-44D8-BBD7-CCE9431645EC}">
                        <a14:shadowObscured xmlns:a14="http://schemas.microsoft.com/office/drawing/2010/main"/>
                      </a:ext>
                    </a:extLst>
                  </pic:spPr>
                </pic:pic>
              </a:graphicData>
            </a:graphic>
          </wp:inline>
        </w:drawing>
      </w:r>
    </w:p>
    <w:p w14:paraId="478FE9E7" w14:textId="5E09B7D3" w:rsidR="00422DFB" w:rsidRDefault="0071189B" w:rsidP="0071189B">
      <w:pPr>
        <w:pStyle w:val="Caption"/>
      </w:pPr>
      <w:bookmarkStart w:id="539" w:name="_Ref98317632"/>
      <w:bookmarkStart w:id="540" w:name="_Toc101274613"/>
      <w:r>
        <w:t xml:space="preserve">Figure </w:t>
      </w:r>
      <w:fldSimple w:instr=" SEQ Figure \* ARABIC ">
        <w:r w:rsidR="00587AF0">
          <w:rPr>
            <w:noProof/>
          </w:rPr>
          <w:t>91</w:t>
        </w:r>
      </w:fldSimple>
      <w:bookmarkEnd w:id="539"/>
      <w:r>
        <w:t>. 3D plot of hydraulic power data at idle saddle position</w:t>
      </w:r>
      <w:bookmarkEnd w:id="540"/>
    </w:p>
    <w:p w14:paraId="760A5669" w14:textId="15F78F61" w:rsidR="0071189B" w:rsidRDefault="00560264" w:rsidP="00560264">
      <w:pPr>
        <w:keepNext/>
        <w:spacing w:before="240" w:after="160" w:line="259" w:lineRule="auto"/>
        <w:jc w:val="center"/>
      </w:pPr>
      <w:r w:rsidRPr="00560264">
        <w:rPr>
          <w:noProof/>
        </w:rPr>
        <w:drawing>
          <wp:inline distT="0" distB="0" distL="0" distR="0" wp14:anchorId="24C292E6" wp14:editId="0AB29B2E">
            <wp:extent cx="5069840" cy="3804249"/>
            <wp:effectExtent l="0" t="0" r="0" b="635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8">
                      <a:extLst>
                        <a:ext uri="{28A0092B-C50C-407E-A947-70E740481C1C}">
                          <a14:useLocalDpi xmlns:a14="http://schemas.microsoft.com/office/drawing/2010/main" val="0"/>
                        </a:ext>
                      </a:extLst>
                    </a:blip>
                    <a:srcRect t="21930" r="5842" b="7417"/>
                    <a:stretch/>
                  </pic:blipFill>
                  <pic:spPr bwMode="auto">
                    <a:xfrm>
                      <a:off x="0" y="0"/>
                      <a:ext cx="5070184" cy="3804507"/>
                    </a:xfrm>
                    <a:prstGeom prst="rect">
                      <a:avLst/>
                    </a:prstGeom>
                    <a:noFill/>
                    <a:ln>
                      <a:noFill/>
                    </a:ln>
                    <a:extLst>
                      <a:ext uri="{53640926-AAD7-44D8-BBD7-CCE9431645EC}">
                        <a14:shadowObscured xmlns:a14="http://schemas.microsoft.com/office/drawing/2010/main"/>
                      </a:ext>
                    </a:extLst>
                  </pic:spPr>
                </pic:pic>
              </a:graphicData>
            </a:graphic>
          </wp:inline>
        </w:drawing>
      </w:r>
    </w:p>
    <w:p w14:paraId="58B96A13" w14:textId="79B3BC6C" w:rsidR="008B7CEF" w:rsidRPr="008B7CEF" w:rsidRDefault="0071189B" w:rsidP="00404C8D">
      <w:pPr>
        <w:pStyle w:val="Caption"/>
      </w:pPr>
      <w:bookmarkStart w:id="541" w:name="_Ref98317698"/>
      <w:bookmarkStart w:id="542" w:name="_Toc101274614"/>
      <w:r>
        <w:t xml:space="preserve">Figure </w:t>
      </w:r>
      <w:fldSimple w:instr=" SEQ Figure \* ARABIC ">
        <w:r w:rsidR="00587AF0">
          <w:rPr>
            <w:noProof/>
          </w:rPr>
          <w:t>92</w:t>
        </w:r>
      </w:fldSimple>
      <w:bookmarkEnd w:id="541"/>
      <w:r>
        <w:t>. 3D plot of hydraulic power data loadings at idle saddle position</w:t>
      </w:r>
      <w:bookmarkEnd w:id="542"/>
    </w:p>
    <w:p w14:paraId="50B466E6" w14:textId="71F33C08" w:rsidR="00FF66FA" w:rsidRDefault="005D6C91" w:rsidP="005D6C91">
      <w:pPr>
        <w:pStyle w:val="Heading3"/>
        <w:rPr>
          <w:lang w:bidi="en-US"/>
        </w:rPr>
      </w:pPr>
      <w:bookmarkStart w:id="543" w:name="_Toc101274395"/>
      <w:r>
        <w:lastRenderedPageBreak/>
        <w:t>PCA of HyPower at closing saddle position</w:t>
      </w:r>
      <w:bookmarkEnd w:id="543"/>
    </w:p>
    <w:p w14:paraId="26692E45" w14:textId="74323F13" w:rsidR="00404C8D" w:rsidRDefault="00AA3ED1" w:rsidP="00FF66FA">
      <w:r>
        <w:t>Observation of data from closing saddle position can be observed, as in the previous state, almost excellent separation, i.e., classification properties of features</w:t>
      </w:r>
      <w:r w:rsidR="00FD47FA">
        <w:t xml:space="preserve"> from a given sample. Namely, </w:t>
      </w:r>
      <w:r w:rsidR="00375A16">
        <w:t xml:space="preserve">the </w:t>
      </w:r>
      <w:r w:rsidR="00FD47FA">
        <w:t>first three components expla</w:t>
      </w:r>
      <w:r w:rsidR="00375A16">
        <w:t>i</w:t>
      </w:r>
      <w:r w:rsidR="00FD47FA">
        <w:t>n more than 90% of the data</w:t>
      </w:r>
      <w:r w:rsidR="00D67810">
        <w:t xml:space="preserve"> (</w:t>
      </w:r>
      <w:r w:rsidR="00D67810">
        <w:fldChar w:fldCharType="begin"/>
      </w:r>
      <w:r w:rsidR="00D67810">
        <w:instrText xml:space="preserve"> REF _Ref98319119 \h </w:instrText>
      </w:r>
      <w:r w:rsidR="00D67810">
        <w:fldChar w:fldCharType="separate"/>
      </w:r>
      <w:r w:rsidR="00587AF0">
        <w:t xml:space="preserve">Figure </w:t>
      </w:r>
      <w:r w:rsidR="00587AF0">
        <w:rPr>
          <w:noProof/>
        </w:rPr>
        <w:t>93</w:t>
      </w:r>
      <w:r w:rsidR="00D67810">
        <w:fldChar w:fldCharType="end"/>
      </w:r>
      <w:r w:rsidR="00D67810">
        <w:t>)</w:t>
      </w:r>
      <w:r w:rsidR="00375A16">
        <w:t>,</w:t>
      </w:r>
      <w:r w:rsidR="00FD47FA">
        <w:t xml:space="preserve"> show</w:t>
      </w:r>
      <w:r w:rsidR="00375A16">
        <w:t>ing</w:t>
      </w:r>
      <w:r w:rsidR="00FD47FA">
        <w:t xml:space="preserve"> the high presence of linearity between the variables, </w:t>
      </w:r>
      <w:r w:rsidR="00D67810">
        <w:t xml:space="preserve">which can also be observed by the absence of multicollinearity in </w:t>
      </w:r>
      <w:r w:rsidR="00375A16">
        <w:t xml:space="preserve">the </w:t>
      </w:r>
      <w:r w:rsidR="00D67810">
        <w:t>biplot (</w:t>
      </w:r>
      <w:r w:rsidR="00D67810">
        <w:fldChar w:fldCharType="begin"/>
      </w:r>
      <w:r w:rsidR="00D67810">
        <w:instrText xml:space="preserve"> REF _Ref98319120 \h </w:instrText>
      </w:r>
      <w:r w:rsidR="00D67810">
        <w:fldChar w:fldCharType="separate"/>
      </w:r>
      <w:r w:rsidR="00587AF0">
        <w:t xml:space="preserve">Figure </w:t>
      </w:r>
      <w:r w:rsidR="00587AF0">
        <w:rPr>
          <w:noProof/>
        </w:rPr>
        <w:t>94</w:t>
      </w:r>
      <w:r w:rsidR="00D67810">
        <w:fldChar w:fldCharType="end"/>
      </w:r>
      <w:r w:rsidR="00D67810">
        <w:t xml:space="preserve">). </w:t>
      </w:r>
      <w:r w:rsidR="000A36C2">
        <w:t>D</w:t>
      </w:r>
      <w:r w:rsidR="00375A16">
        <w:t>ata exploration can also observe</w:t>
      </w:r>
      <w:r w:rsidR="00D67810">
        <w:t xml:space="preserve"> the low presence of deviation in the data and outliers.</w:t>
      </w:r>
      <w:r w:rsidR="001912A2">
        <w:t xml:space="preserve"> However, considering the previous samples </w:t>
      </w:r>
      <w:r w:rsidR="00375A16">
        <w:t xml:space="preserve">and </w:t>
      </w:r>
      <w:r w:rsidR="001912A2">
        <w:t xml:space="preserve">observation of </w:t>
      </w:r>
      <w:r w:rsidR="00485343">
        <w:t xml:space="preserve">closing saddle position, </w:t>
      </w:r>
      <w:r w:rsidR="00375A16">
        <w:t>variables of saddle position (rotation speed) do</w:t>
      </w:r>
      <w:r w:rsidR="00485343">
        <w:t xml:space="preserve"> not </w:t>
      </w:r>
      <w:r w:rsidR="00375A16">
        <w:t>correlate</w:t>
      </w:r>
      <w:r w:rsidR="00485343">
        <w:t xml:space="preserve"> with the</w:t>
      </w:r>
      <w:r w:rsidR="001912A2">
        <w:t xml:space="preserve"> </w:t>
      </w:r>
      <w:r w:rsidR="00475854">
        <w:t xml:space="preserve">variables. </w:t>
      </w:r>
    </w:p>
    <w:p w14:paraId="750B045B" w14:textId="4EC5D961" w:rsidR="00997DE3" w:rsidRDefault="00997DE3" w:rsidP="00FF66FA">
      <w:r>
        <w:t xml:space="preserve">It can </w:t>
      </w:r>
      <w:r w:rsidR="00375A16">
        <w:t>also be observed</w:t>
      </w:r>
      <w:r>
        <w:t xml:space="preserve"> from the PC1 and PC2 plot</w:t>
      </w:r>
      <w:r w:rsidR="00375A16">
        <w:t>s</w:t>
      </w:r>
      <w:r>
        <w:t xml:space="preserve"> of data  (</w:t>
      </w:r>
      <w:r>
        <w:fldChar w:fldCharType="begin"/>
      </w:r>
      <w:r>
        <w:instrText xml:space="preserve"> REF _Ref98319121 \h </w:instrText>
      </w:r>
      <w:r>
        <w:fldChar w:fldCharType="separate"/>
      </w:r>
      <w:r w:rsidR="00587AF0">
        <w:t xml:space="preserve">Figure </w:t>
      </w:r>
      <w:r w:rsidR="00587AF0">
        <w:rPr>
          <w:noProof/>
        </w:rPr>
        <w:t>95</w:t>
      </w:r>
      <w:r>
        <w:fldChar w:fldCharType="end"/>
      </w:r>
      <w:r>
        <w:t xml:space="preserve">) good separation of </w:t>
      </w:r>
      <w:r w:rsidR="00D95B44">
        <w:t xml:space="preserve">system conditions. In addition, observing </w:t>
      </w:r>
      <w:r w:rsidR="00375A16">
        <w:t xml:space="preserve">the </w:t>
      </w:r>
      <w:r w:rsidR="00D95B44">
        <w:t>3D plot of data (</w:t>
      </w:r>
      <w:r w:rsidR="00D95B44">
        <w:fldChar w:fldCharType="begin"/>
      </w:r>
      <w:r w:rsidR="00D95B44">
        <w:instrText xml:space="preserve"> REF _Ref98319122 \h </w:instrText>
      </w:r>
      <w:r w:rsidR="00D95B44">
        <w:fldChar w:fldCharType="separate"/>
      </w:r>
      <w:r w:rsidR="00587AF0">
        <w:t xml:space="preserve">Figure </w:t>
      </w:r>
      <w:r w:rsidR="00587AF0">
        <w:rPr>
          <w:noProof/>
        </w:rPr>
        <w:t>96</w:t>
      </w:r>
      <w:r w:rsidR="00D95B44">
        <w:fldChar w:fldCharType="end"/>
      </w:r>
      <w:r w:rsidR="00D95B44">
        <w:t>) and associated loadings (</w:t>
      </w:r>
      <w:r w:rsidR="00D95B44">
        <w:fldChar w:fldCharType="begin"/>
      </w:r>
      <w:r w:rsidR="00D95B44">
        <w:instrText xml:space="preserve"> REF _Ref98319123 \h </w:instrText>
      </w:r>
      <w:r w:rsidR="00D95B44">
        <w:fldChar w:fldCharType="separate"/>
      </w:r>
      <w:r w:rsidR="00587AF0">
        <w:t xml:space="preserve">Figure </w:t>
      </w:r>
      <w:r w:rsidR="00587AF0">
        <w:rPr>
          <w:noProof/>
        </w:rPr>
        <w:t>97</w:t>
      </w:r>
      <w:r w:rsidR="00D95B44">
        <w:fldChar w:fldCharType="end"/>
      </w:r>
      <w:r w:rsidR="00D95B44">
        <w:t>)</w:t>
      </w:r>
      <w:r w:rsidR="008F0F7A">
        <w:t xml:space="preserve"> that </w:t>
      </w:r>
      <w:r w:rsidR="009366C4">
        <w:t xml:space="preserve">the highest factor loadings </w:t>
      </w:r>
      <w:r w:rsidR="00406113">
        <w:t>explain</w:t>
      </w:r>
      <w:r w:rsidR="005D2B14">
        <w:t xml:space="preserve"> </w:t>
      </w:r>
      <w:r w:rsidR="00375A16">
        <w:t xml:space="preserve">the </w:t>
      </w:r>
      <w:r w:rsidR="005D2B14">
        <w:t>variation of hydraulic power variables (</w:t>
      </w:r>
      <w:r w:rsidR="00911F92">
        <w:t>N_</w:t>
      </w:r>
      <w:r w:rsidR="005D2B14">
        <w:t>Mean</w:t>
      </w:r>
      <w:r w:rsidR="00911F92">
        <w:t>_CS</w:t>
      </w:r>
      <w:r w:rsidR="005D2B14">
        <w:t>,</w:t>
      </w:r>
      <w:r w:rsidR="00911F92">
        <w:t xml:space="preserve"> N_</w:t>
      </w:r>
      <w:r w:rsidR="005D2B14">
        <w:t>RMS</w:t>
      </w:r>
      <w:r w:rsidR="00911F92">
        <w:t>_CS</w:t>
      </w:r>
      <w:r w:rsidR="005D2B14">
        <w:t xml:space="preserve">, </w:t>
      </w:r>
      <w:r w:rsidR="00911F92">
        <w:t>N_</w:t>
      </w:r>
      <w:r w:rsidR="005D2B14">
        <w:t>1Q</w:t>
      </w:r>
      <w:r w:rsidR="00911F92">
        <w:t>_CS</w:t>
      </w:r>
      <w:r w:rsidR="005D2B14">
        <w:t xml:space="preserve">), while PC2 shows the information of </w:t>
      </w:r>
      <w:r w:rsidR="00911F92">
        <w:t>deviation in the signal (N_StDev_CS).</w:t>
      </w:r>
      <w:r w:rsidR="004D535B">
        <w:t xml:space="preserve"> Hence, the PC1 explains the change in the </w:t>
      </w:r>
      <w:r w:rsidR="007C3DA1">
        <w:t>“amplitude” of the HyPower variable, while the PC2 shows that variation in function.</w:t>
      </w:r>
    </w:p>
    <w:p w14:paraId="272AE975" w14:textId="0F234AE1" w:rsidR="00214FFD" w:rsidRDefault="00C1020F" w:rsidP="00C1020F">
      <w:pPr>
        <w:keepNext/>
        <w:jc w:val="center"/>
      </w:pPr>
      <w:r>
        <w:rPr>
          <w:noProof/>
        </w:rPr>
        <w:drawing>
          <wp:inline distT="0" distB="0" distL="0" distR="0" wp14:anchorId="57FC55E8" wp14:editId="00F7F940">
            <wp:extent cx="5688000" cy="5688000"/>
            <wp:effectExtent l="0" t="0" r="8255" b="8255"/>
            <wp:docPr id="113" name="Picture 113"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Calendar&#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688000" cy="5688000"/>
                    </a:xfrm>
                    <a:prstGeom prst="rect">
                      <a:avLst/>
                    </a:prstGeom>
                  </pic:spPr>
                </pic:pic>
              </a:graphicData>
            </a:graphic>
          </wp:inline>
        </w:drawing>
      </w:r>
    </w:p>
    <w:p w14:paraId="637C532A" w14:textId="76A4BD7D" w:rsidR="00214FFD" w:rsidRDefault="00214FFD" w:rsidP="00214FFD">
      <w:pPr>
        <w:pStyle w:val="Caption"/>
      </w:pPr>
      <w:bookmarkStart w:id="544" w:name="_Ref98319119"/>
      <w:bookmarkStart w:id="545" w:name="_Toc101274615"/>
      <w:r>
        <w:t xml:space="preserve">Figure </w:t>
      </w:r>
      <w:fldSimple w:instr=" SEQ Figure \* ARABIC ">
        <w:r w:rsidR="00587AF0">
          <w:rPr>
            <w:noProof/>
          </w:rPr>
          <w:t>93</w:t>
        </w:r>
      </w:fldSimple>
      <w:bookmarkEnd w:id="544"/>
      <w:r>
        <w:t>. PCA overall plot of hydraulic power data at closing saddle position</w:t>
      </w:r>
      <w:bookmarkEnd w:id="545"/>
    </w:p>
    <w:p w14:paraId="3C8553A8" w14:textId="3014DC90" w:rsidR="00214FFD" w:rsidRDefault="00C1020F" w:rsidP="007F578D">
      <w:pPr>
        <w:keepNext/>
        <w:jc w:val="center"/>
      </w:pPr>
      <w:r>
        <w:rPr>
          <w:noProof/>
        </w:rPr>
        <w:lastRenderedPageBreak/>
        <w:drawing>
          <wp:inline distT="0" distB="0" distL="0" distR="0" wp14:anchorId="2B5E57AE" wp14:editId="4421AEF1">
            <wp:extent cx="3960000" cy="3960000"/>
            <wp:effectExtent l="0" t="0" r="2540" b="2540"/>
            <wp:docPr id="114" name="Picture 11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Chart, scatter chart&#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960000" cy="3960000"/>
                    </a:xfrm>
                    <a:prstGeom prst="rect">
                      <a:avLst/>
                    </a:prstGeom>
                  </pic:spPr>
                </pic:pic>
              </a:graphicData>
            </a:graphic>
          </wp:inline>
        </w:drawing>
      </w:r>
    </w:p>
    <w:p w14:paraId="66C047C5" w14:textId="4833E8D4" w:rsidR="00214FFD" w:rsidRDefault="00214FFD" w:rsidP="00214FFD">
      <w:pPr>
        <w:pStyle w:val="Caption"/>
      </w:pPr>
      <w:bookmarkStart w:id="546" w:name="_Ref98319120"/>
      <w:bookmarkStart w:id="547" w:name="_Toc101274616"/>
      <w:r>
        <w:t xml:space="preserve">Figure </w:t>
      </w:r>
      <w:fldSimple w:instr=" SEQ Figure \* ARABIC ">
        <w:r w:rsidR="00587AF0">
          <w:rPr>
            <w:noProof/>
          </w:rPr>
          <w:t>94</w:t>
        </w:r>
      </w:fldSimple>
      <w:bookmarkEnd w:id="546"/>
      <w:r>
        <w:t>. PCA Biplot of hydraulic power data at closing saddle position</w:t>
      </w:r>
      <w:bookmarkEnd w:id="547"/>
    </w:p>
    <w:p w14:paraId="4158DC0D" w14:textId="6F5C92CE" w:rsidR="00214FFD" w:rsidRDefault="00415E07" w:rsidP="004A6DAC">
      <w:pPr>
        <w:keepNext/>
        <w:jc w:val="center"/>
      </w:pPr>
      <w:r>
        <w:rPr>
          <w:noProof/>
        </w:rPr>
        <w:drawing>
          <wp:inline distT="0" distB="0" distL="0" distR="0" wp14:anchorId="4D78DE9F" wp14:editId="5B413136">
            <wp:extent cx="3960000" cy="3960000"/>
            <wp:effectExtent l="0" t="0" r="2540" b="2540"/>
            <wp:docPr id="115" name="Picture 115" descr="Chart, scatter 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Chart, scatter chart, bubble chart&#10;&#10;Description automatically generated"/>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960000" cy="3960000"/>
                    </a:xfrm>
                    <a:prstGeom prst="rect">
                      <a:avLst/>
                    </a:prstGeom>
                  </pic:spPr>
                </pic:pic>
              </a:graphicData>
            </a:graphic>
          </wp:inline>
        </w:drawing>
      </w:r>
    </w:p>
    <w:p w14:paraId="4025E169" w14:textId="488DB964" w:rsidR="00214FFD" w:rsidRDefault="00214FFD" w:rsidP="00214FFD">
      <w:pPr>
        <w:pStyle w:val="Caption"/>
      </w:pPr>
      <w:bookmarkStart w:id="548" w:name="_Ref98319121"/>
      <w:bookmarkStart w:id="549" w:name="_Toc101274617"/>
      <w:r>
        <w:t xml:space="preserve">Figure </w:t>
      </w:r>
      <w:fldSimple w:instr=" SEQ Figure \* ARABIC ">
        <w:r w:rsidR="00587AF0">
          <w:rPr>
            <w:noProof/>
          </w:rPr>
          <w:t>95</w:t>
        </w:r>
      </w:fldSimple>
      <w:bookmarkEnd w:id="548"/>
      <w:r>
        <w:t xml:space="preserve">. </w:t>
      </w:r>
      <w:r w:rsidR="005A6BE9">
        <w:t>PC1 and PC2 score plot</w:t>
      </w:r>
      <w:r>
        <w:t xml:space="preserve"> of hydraulic power data at closing saddle position</w:t>
      </w:r>
      <w:bookmarkEnd w:id="549"/>
    </w:p>
    <w:p w14:paraId="4008D2F6" w14:textId="532E3B15" w:rsidR="00475FF7" w:rsidRDefault="00064079" w:rsidP="009C69CF">
      <w:pPr>
        <w:keepNext/>
        <w:jc w:val="center"/>
      </w:pPr>
      <w:r w:rsidRPr="00064079">
        <w:rPr>
          <w:noProof/>
        </w:rPr>
        <w:lastRenderedPageBreak/>
        <w:drawing>
          <wp:inline distT="0" distB="0" distL="0" distR="0" wp14:anchorId="08C91697" wp14:editId="6F09CBDE">
            <wp:extent cx="4893504" cy="3960000"/>
            <wp:effectExtent l="0" t="0" r="2540" b="254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2">
                      <a:extLst>
                        <a:ext uri="{28A0092B-C50C-407E-A947-70E740481C1C}">
                          <a14:useLocalDpi xmlns:a14="http://schemas.microsoft.com/office/drawing/2010/main" val="0"/>
                        </a:ext>
                      </a:extLst>
                    </a:blip>
                    <a:srcRect t="22762" r="20549" b="10305"/>
                    <a:stretch/>
                  </pic:blipFill>
                  <pic:spPr bwMode="auto">
                    <a:xfrm>
                      <a:off x="0" y="0"/>
                      <a:ext cx="4893504" cy="3960000"/>
                    </a:xfrm>
                    <a:prstGeom prst="rect">
                      <a:avLst/>
                    </a:prstGeom>
                    <a:noFill/>
                    <a:ln>
                      <a:noFill/>
                    </a:ln>
                    <a:extLst>
                      <a:ext uri="{53640926-AAD7-44D8-BBD7-CCE9431645EC}">
                        <a14:shadowObscured xmlns:a14="http://schemas.microsoft.com/office/drawing/2010/main"/>
                      </a:ext>
                    </a:extLst>
                  </pic:spPr>
                </pic:pic>
              </a:graphicData>
            </a:graphic>
          </wp:inline>
        </w:drawing>
      </w:r>
    </w:p>
    <w:p w14:paraId="5B8D518B" w14:textId="4E03369E" w:rsidR="00214FFD" w:rsidRDefault="00475FF7" w:rsidP="00475FF7">
      <w:pPr>
        <w:pStyle w:val="Caption"/>
      </w:pPr>
      <w:bookmarkStart w:id="550" w:name="_Ref98319122"/>
      <w:bookmarkStart w:id="551" w:name="_Toc101274618"/>
      <w:r>
        <w:t xml:space="preserve">Figure </w:t>
      </w:r>
      <w:fldSimple w:instr=" SEQ Figure \* ARABIC ">
        <w:r w:rsidR="00587AF0">
          <w:rPr>
            <w:noProof/>
          </w:rPr>
          <w:t>96</w:t>
        </w:r>
      </w:fldSimple>
      <w:bookmarkEnd w:id="550"/>
      <w:r>
        <w:t>. 3D PCA plot of hydraulic power data at closing saddle position</w:t>
      </w:r>
      <w:bookmarkEnd w:id="551"/>
    </w:p>
    <w:p w14:paraId="78AB6D23" w14:textId="4F8BD719" w:rsidR="00475FF7" w:rsidRDefault="00064079" w:rsidP="009C69CF">
      <w:pPr>
        <w:keepNext/>
        <w:jc w:val="center"/>
      </w:pPr>
      <w:r w:rsidRPr="00064079">
        <w:rPr>
          <w:noProof/>
        </w:rPr>
        <w:drawing>
          <wp:inline distT="0" distB="0" distL="0" distR="0" wp14:anchorId="62B59716" wp14:editId="65DEE906">
            <wp:extent cx="4996767" cy="3960000"/>
            <wp:effectExtent l="0" t="0" r="0" b="254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3">
                      <a:extLst>
                        <a:ext uri="{28A0092B-C50C-407E-A947-70E740481C1C}">
                          <a14:useLocalDpi xmlns:a14="http://schemas.microsoft.com/office/drawing/2010/main" val="0"/>
                        </a:ext>
                      </a:extLst>
                    </a:blip>
                    <a:srcRect t="20790" r="8647" b="6813"/>
                    <a:stretch/>
                  </pic:blipFill>
                  <pic:spPr bwMode="auto">
                    <a:xfrm>
                      <a:off x="0" y="0"/>
                      <a:ext cx="4996767" cy="3960000"/>
                    </a:xfrm>
                    <a:prstGeom prst="rect">
                      <a:avLst/>
                    </a:prstGeom>
                    <a:noFill/>
                    <a:ln>
                      <a:noFill/>
                    </a:ln>
                    <a:extLst>
                      <a:ext uri="{53640926-AAD7-44D8-BBD7-CCE9431645EC}">
                        <a14:shadowObscured xmlns:a14="http://schemas.microsoft.com/office/drawing/2010/main"/>
                      </a:ext>
                    </a:extLst>
                  </pic:spPr>
                </pic:pic>
              </a:graphicData>
            </a:graphic>
          </wp:inline>
        </w:drawing>
      </w:r>
    </w:p>
    <w:p w14:paraId="765FA314" w14:textId="2EC978A1" w:rsidR="00475FF7" w:rsidRDefault="00475FF7" w:rsidP="00475FF7">
      <w:pPr>
        <w:pStyle w:val="Caption"/>
      </w:pPr>
      <w:bookmarkStart w:id="552" w:name="_Ref98319123"/>
      <w:bookmarkStart w:id="553" w:name="_Toc101274619"/>
      <w:r>
        <w:t xml:space="preserve">Figure </w:t>
      </w:r>
      <w:fldSimple w:instr=" SEQ Figure \* ARABIC ">
        <w:r w:rsidR="00587AF0">
          <w:rPr>
            <w:noProof/>
          </w:rPr>
          <w:t>97</w:t>
        </w:r>
      </w:fldSimple>
      <w:bookmarkEnd w:id="552"/>
      <w:r>
        <w:t>. 3D PCA plot of hydraulic power data at closing saddle position</w:t>
      </w:r>
      <w:bookmarkEnd w:id="553"/>
    </w:p>
    <w:p w14:paraId="5F9F7F08" w14:textId="596B5983" w:rsidR="002145CA" w:rsidRDefault="00F17459" w:rsidP="00F17459">
      <w:pPr>
        <w:pStyle w:val="Heading2"/>
      </w:pPr>
      <w:bookmarkStart w:id="554" w:name="_Toc101274396"/>
      <w:r>
        <w:lastRenderedPageBreak/>
        <w:t>Data selection and normalization</w:t>
      </w:r>
      <w:bookmarkEnd w:id="554"/>
    </w:p>
    <w:p w14:paraId="5EB350B3" w14:textId="16D0C0B0" w:rsidR="00773AC5" w:rsidRDefault="00121593" w:rsidP="00F17459">
      <w:pPr>
        <w:rPr>
          <w:lang w:val="sr-Latn-RS"/>
        </w:rPr>
      </w:pPr>
      <w:r>
        <w:rPr>
          <w:lang w:val="sr-Latn-RS"/>
        </w:rPr>
        <w:t xml:space="preserve">The last stage of data pre-processing includes integrity check and normalisation. </w:t>
      </w:r>
      <w:r w:rsidR="00F17459" w:rsidRPr="00773AC5">
        <w:rPr>
          <w:b/>
          <w:bCs/>
          <w:i/>
          <w:iCs/>
          <w:lang w:val="sr-Latn-RS"/>
        </w:rPr>
        <w:t>Data integrity/quality check</w:t>
      </w:r>
      <w:r w:rsidR="000A36C2">
        <w:rPr>
          <w:b/>
          <w:bCs/>
          <w:i/>
          <w:iCs/>
          <w:lang w:val="sr-Latn-RS"/>
        </w:rPr>
        <w:t>'s</w:t>
      </w:r>
      <w:r>
        <w:rPr>
          <w:b/>
          <w:bCs/>
          <w:i/>
          <w:iCs/>
          <w:lang w:val="sr-Latn-RS"/>
        </w:rPr>
        <w:t xml:space="preserve"> </w:t>
      </w:r>
      <w:r w:rsidR="00F17459">
        <w:rPr>
          <w:lang w:val="sr-Latn-RS"/>
        </w:rPr>
        <w:t xml:space="preserve">main aim is to deal with processes, in this case, the data containing many peaks, thus eliminating false positive peaks. </w:t>
      </w:r>
      <w:r>
        <w:rPr>
          <w:lang w:val="sr-Latn-RS"/>
        </w:rPr>
        <w:t xml:space="preserve">Data containing outliers and false peaks can result in false positive or false negative classification results. Therefore, </w:t>
      </w:r>
      <w:r w:rsidR="000A36C2">
        <w:rPr>
          <w:lang w:val="sr-Latn-RS"/>
        </w:rPr>
        <w:t xml:space="preserve">an </w:t>
      </w:r>
      <w:r>
        <w:rPr>
          <w:lang w:val="sr-Latn-RS"/>
        </w:rPr>
        <w:t xml:space="preserve">appropriate </w:t>
      </w:r>
      <w:r w:rsidR="000A36C2">
        <w:rPr>
          <w:lang w:val="sr-Latn-RS"/>
        </w:rPr>
        <w:t>variation reduc</w:t>
      </w:r>
      <w:r>
        <w:rPr>
          <w:lang w:val="sr-Latn-RS"/>
        </w:rPr>
        <w:t xml:space="preserve">tion must be done for </w:t>
      </w:r>
      <w:r w:rsidR="000A36C2">
        <w:rPr>
          <w:lang w:val="sr-Latn-RS"/>
        </w:rPr>
        <w:t xml:space="preserve">the </w:t>
      </w:r>
      <w:r>
        <w:rPr>
          <w:lang w:val="sr-Latn-RS"/>
        </w:rPr>
        <w:t>data to be valid. For instance, data containing stoppages, i.e., total failure due to failures of components</w:t>
      </w:r>
      <w:r w:rsidR="000A36C2">
        <w:rPr>
          <w:lang w:val="sr-Latn-RS"/>
        </w:rPr>
        <w:t>,</w:t>
      </w:r>
      <w:r>
        <w:rPr>
          <w:lang w:val="sr-Latn-RS"/>
        </w:rPr>
        <w:t xml:space="preserve"> are eliminated since it is obvious that </w:t>
      </w:r>
      <w:r w:rsidR="000A36C2">
        <w:rPr>
          <w:lang w:val="sr-Latn-RS"/>
        </w:rPr>
        <w:t xml:space="preserve">the </w:t>
      </w:r>
      <w:r>
        <w:rPr>
          <w:lang w:val="sr-Latn-RS"/>
        </w:rPr>
        <w:t>classification of that results cannot be wrongfully predicted.</w:t>
      </w:r>
    </w:p>
    <w:p w14:paraId="1828311F" w14:textId="797B6701" w:rsidR="00121593" w:rsidRDefault="000A36C2" w:rsidP="00F17459">
      <w:pPr>
        <w:rPr>
          <w:lang w:val="sr-Latn-RS"/>
        </w:rPr>
      </w:pPr>
      <w:r>
        <w:rPr>
          <w:lang w:val="sr-Latn-RS"/>
        </w:rPr>
        <w:t>Considering that thesis is dedicated to modelling appropriate dynamic deteriorating mechanisms, thus avoiding true positive misclassification, failures will not</w:t>
      </w:r>
      <w:r w:rsidR="00773AC5">
        <w:rPr>
          <w:lang w:val="sr-Latn-RS"/>
        </w:rPr>
        <w:t xml:space="preserve"> be used in the thesis. Since </w:t>
      </w:r>
      <w:r>
        <w:rPr>
          <w:lang w:val="sr-Latn-RS"/>
        </w:rPr>
        <w:t xml:space="preserve">no data was detected in </w:t>
      </w:r>
      <w:r w:rsidR="00B07C78">
        <w:rPr>
          <w:lang w:val="sr-Latn-RS"/>
        </w:rPr>
        <w:t xml:space="preserve">the </w:t>
      </w:r>
      <w:r>
        <w:rPr>
          <w:lang w:val="sr-Latn-RS"/>
        </w:rPr>
        <w:t>opening saddle position, all samples we</w:t>
      </w:r>
      <w:r w:rsidR="00773AC5">
        <w:rPr>
          <w:lang w:val="sr-Latn-RS"/>
        </w:rPr>
        <w:t xml:space="preserve">re taken for analysis. At idle saddle position, however, 209 samples were eliminated since the </w:t>
      </w:r>
      <w:r>
        <w:rPr>
          <w:lang w:val="sr-Latn-RS"/>
        </w:rPr>
        <w:t>prediction accuracy will presumably</w:t>
      </w:r>
      <w:r w:rsidR="00773AC5">
        <w:rPr>
          <w:lang w:val="sr-Latn-RS"/>
        </w:rPr>
        <w:t xml:space="preserve"> be maximum considering the known fact that total failure ha</w:t>
      </w:r>
      <w:r>
        <w:rPr>
          <w:lang w:val="sr-Latn-RS"/>
        </w:rPr>
        <w:t>s</w:t>
      </w:r>
      <w:r w:rsidR="00773AC5">
        <w:rPr>
          <w:lang w:val="sr-Latn-RS"/>
        </w:rPr>
        <w:t xml:space="preserve"> occu</w:t>
      </w:r>
      <w:r>
        <w:rPr>
          <w:lang w:val="sr-Latn-RS"/>
        </w:rPr>
        <w:t>r</w:t>
      </w:r>
      <w:r w:rsidR="00773AC5">
        <w:rPr>
          <w:lang w:val="sr-Latn-RS"/>
        </w:rPr>
        <w:t xml:space="preserve">red. At closing saddle position, </w:t>
      </w:r>
      <w:r w:rsidR="006D4719">
        <w:rPr>
          <w:lang w:val="sr-Latn-RS"/>
        </w:rPr>
        <w:t xml:space="preserve">64 samples were eliminated since it has been known that </w:t>
      </w:r>
      <w:r>
        <w:rPr>
          <w:lang w:val="sr-Latn-RS"/>
        </w:rPr>
        <w:t xml:space="preserve">the </w:t>
      </w:r>
      <w:r w:rsidR="006D4719">
        <w:rPr>
          <w:lang w:val="sr-Latn-RS"/>
        </w:rPr>
        <w:t xml:space="preserve">sensor for controlling saddle position is replaced at the time of recordings. This resulted in re-modelling the sensor time for dumping process mass, creating bias in </w:t>
      </w:r>
      <w:r>
        <w:rPr>
          <w:lang w:val="sr-Latn-RS"/>
        </w:rPr>
        <w:t xml:space="preserve">the </w:t>
      </w:r>
      <w:r w:rsidR="006D4719">
        <w:rPr>
          <w:lang w:val="sr-Latn-RS"/>
        </w:rPr>
        <w:t>final estimation. Consequently, reducing false</w:t>
      </w:r>
      <w:r>
        <w:rPr>
          <w:lang w:val="sr-Latn-RS"/>
        </w:rPr>
        <w:t>-</w:t>
      </w:r>
      <w:r w:rsidR="006D4719">
        <w:rPr>
          <w:lang w:val="sr-Latn-RS"/>
        </w:rPr>
        <w:t>negative results.</w:t>
      </w:r>
    </w:p>
    <w:p w14:paraId="0E085700" w14:textId="1609AC01" w:rsidR="00773198" w:rsidRDefault="00F17459" w:rsidP="00F17459">
      <w:pPr>
        <w:rPr>
          <w:lang w:val="sr-Latn-RS"/>
        </w:rPr>
      </w:pPr>
      <w:r w:rsidRPr="00EB6CA8">
        <w:rPr>
          <w:b/>
          <w:bCs/>
          <w:i/>
          <w:iCs/>
          <w:lang w:val="sr-Latn-RS"/>
        </w:rPr>
        <w:t>Data normalization</w:t>
      </w:r>
      <w:r>
        <w:rPr>
          <w:lang w:val="sr-Latn-RS"/>
        </w:rPr>
        <w:t xml:space="preserve"> (</w:t>
      </w:r>
      <w:r w:rsidRPr="00357C72">
        <w:rPr>
          <w:b/>
          <w:bCs/>
          <w:lang w:val="sr-Latn-RS"/>
        </w:rPr>
        <w:t>scaling</w:t>
      </w:r>
      <w:r>
        <w:rPr>
          <w:lang w:val="sr-Latn-RS"/>
        </w:rPr>
        <w:t xml:space="preserve">) considers adjusting data to normality, i.e., ignoring the scale of </w:t>
      </w:r>
      <w:r w:rsidR="000A36C2">
        <w:rPr>
          <w:lang w:val="sr-Latn-RS"/>
        </w:rPr>
        <w:t xml:space="preserve">a </w:t>
      </w:r>
      <w:r>
        <w:rPr>
          <w:lang w:val="sr-Latn-RS"/>
        </w:rPr>
        <w:t xml:space="preserve">unit of measurement. That is to say, setting the samples to be oriented on a lower level scale. This procedure is usually important when variables are of different orders of magnitude. Usually, </w:t>
      </w:r>
      <w:r w:rsidR="006D4719">
        <w:rPr>
          <w:lang w:val="sr-Latn-RS"/>
        </w:rPr>
        <w:t xml:space="preserve">data </w:t>
      </w:r>
      <w:r>
        <w:rPr>
          <w:lang w:val="sr-Latn-RS"/>
        </w:rPr>
        <w:t>standardization</w:t>
      </w:r>
      <w:r w:rsidR="00545423">
        <w:rPr>
          <w:lang w:val="sr-Latn-RS"/>
        </w:rPr>
        <w:t xml:space="preserve"> </w:t>
      </w:r>
      <w:r w:rsidR="007C6F59">
        <w:rPr>
          <w:lang w:val="sr-Latn-RS"/>
        </w:rPr>
        <w:fldChar w:fldCharType="begin"/>
      </w:r>
      <w:r w:rsidR="007C6F59">
        <w:rPr>
          <w:lang w:val="sr-Latn-RS"/>
        </w:rPr>
        <w:instrText xml:space="preserve"> REF _Ref101273772 \h </w:instrText>
      </w:r>
      <w:r w:rsidR="007C6F59">
        <w:rPr>
          <w:lang w:val="sr-Latn-RS"/>
        </w:rPr>
      </w:r>
      <w:r w:rsidR="007C6F59">
        <w:rPr>
          <w:lang w:val="sr-Latn-RS"/>
        </w:rPr>
        <w:fldChar w:fldCharType="separate"/>
      </w:r>
      <w:r w:rsidR="00587AF0">
        <w:rPr>
          <w:lang w:val="sr-Latn-RS"/>
        </w:rPr>
        <w:t>(</w:t>
      </w:r>
      <w:r w:rsidR="00587AF0">
        <w:rPr>
          <w:noProof/>
        </w:rPr>
        <w:t>8</w:t>
      </w:r>
      <w:r w:rsidR="00587AF0">
        <w:t>.</w:t>
      </w:r>
      <w:r w:rsidR="00587AF0">
        <w:rPr>
          <w:noProof/>
        </w:rPr>
        <w:t>9</w:t>
      </w:r>
      <w:r w:rsidR="007C6F59">
        <w:rPr>
          <w:lang w:val="sr-Latn-RS"/>
        </w:rPr>
        <w:fldChar w:fldCharType="end"/>
      </w:r>
      <w:r w:rsidR="007C6F59">
        <w:rPr>
          <w:lang w:val="sr-Latn-RS"/>
        </w:rPr>
        <w:t>)</w:t>
      </w:r>
      <w:r>
        <w:rPr>
          <w:lang w:val="sr-Latn-RS"/>
        </w:rPr>
        <w:t xml:space="preserve"> is used </w:t>
      </w:r>
      <w:r w:rsidR="006D4719">
        <w:rPr>
          <w:lang w:val="sr-Latn-RS"/>
        </w:rPr>
        <w:t>to scale data</w:t>
      </w:r>
      <w:r>
        <w:rPr>
          <w:lang w:val="sr-Latn-RS"/>
        </w:rPr>
        <w:t xml:space="preserve"> or other methods like min</w:t>
      </w:r>
      <w:r w:rsidR="000A36C2">
        <w:rPr>
          <w:lang w:val="sr-Latn-RS"/>
        </w:rPr>
        <w:t>-</w:t>
      </w:r>
      <w:r>
        <w:rPr>
          <w:lang w:val="sr-Latn-RS"/>
        </w:rPr>
        <w:t xml:space="preserve">max, </w:t>
      </w:r>
      <w:r w:rsidR="000A36C2">
        <w:rPr>
          <w:lang w:val="sr-Latn-RS"/>
        </w:rPr>
        <w:t>P</w:t>
      </w:r>
      <w:r>
        <w:rPr>
          <w:lang w:val="sr-Latn-RS"/>
        </w:rPr>
        <w:t>areto scaling,</w:t>
      </w:r>
      <w:r w:rsidR="00B07C78">
        <w:rPr>
          <w:lang w:val="sr-Latn-RS"/>
        </w:rPr>
        <w:t xml:space="preserve"> and</w:t>
      </w:r>
      <w:r>
        <w:rPr>
          <w:lang w:val="sr-Latn-RS"/>
        </w:rPr>
        <w:t xml:space="preserve"> range scaling. In this particular case</w:t>
      </w:r>
      <w:r w:rsidR="000A36C2">
        <w:rPr>
          <w:lang w:val="sr-Latn-RS"/>
        </w:rPr>
        <w:t>,</w:t>
      </w:r>
      <w:r>
        <w:rPr>
          <w:lang w:val="sr-Latn-RS"/>
        </w:rPr>
        <w:t xml:space="preserve"> normali</w:t>
      </w:r>
      <w:r w:rsidR="000A36C2">
        <w:rPr>
          <w:lang w:val="sr-Latn-RS"/>
        </w:rPr>
        <w:t>s</w:t>
      </w:r>
      <w:r>
        <w:rPr>
          <w:lang w:val="sr-Latn-RS"/>
        </w:rPr>
        <w:t xml:space="preserve">ation of data is </w:t>
      </w:r>
      <w:r w:rsidR="006D4719">
        <w:rPr>
          <w:lang w:val="sr-Latn-RS"/>
        </w:rPr>
        <w:t xml:space="preserve">done by standardising </w:t>
      </w:r>
      <w:r w:rsidR="000A36C2">
        <w:rPr>
          <w:lang w:val="sr-Latn-RS"/>
        </w:rPr>
        <w:t xml:space="preserve">the </w:t>
      </w:r>
      <w:r w:rsidR="006D4719">
        <w:rPr>
          <w:lang w:val="sr-Latn-RS"/>
        </w:rPr>
        <w:t>dataset</w:t>
      </w:r>
      <w:r w:rsidR="000A36C2">
        <w:rPr>
          <w:lang w:val="sr-Latn-RS"/>
        </w:rPr>
        <w:t xml:space="preserve">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5"/>
        <w:gridCol w:w="992"/>
      </w:tblGrid>
      <w:tr w:rsidR="00773198" w14:paraId="03A84972" w14:textId="77777777" w:rsidTr="005C2810">
        <w:tc>
          <w:tcPr>
            <w:tcW w:w="8025" w:type="dxa"/>
            <w:vAlign w:val="center"/>
          </w:tcPr>
          <w:p w14:paraId="223F7F77" w14:textId="25BCE44C" w:rsidR="00773198" w:rsidRDefault="00427B33" w:rsidP="005C2810">
            <w:pPr>
              <w:jc w:val="center"/>
              <w:rPr>
                <w:lang w:val="sr-Latn-RS"/>
              </w:rPr>
            </w:pPr>
            <m:oMathPara>
              <m:oMath>
                <m:sSub>
                  <m:sSubPr>
                    <m:ctrlPr>
                      <w:rPr>
                        <w:rFonts w:ascii="Cambria Math" w:hAnsi="Cambria Math"/>
                        <w:i/>
                        <w:lang w:val="sr-Latn-RS"/>
                      </w:rPr>
                    </m:ctrlPr>
                  </m:sSubPr>
                  <m:e>
                    <m:r>
                      <w:rPr>
                        <w:rFonts w:ascii="Cambria Math" w:hAnsi="Cambria Math"/>
                        <w:lang w:val="sr-Latn-RS"/>
                      </w:rPr>
                      <m:t>x</m:t>
                    </m:r>
                  </m:e>
                  <m:sub>
                    <m:r>
                      <w:rPr>
                        <w:rFonts w:ascii="Cambria Math" w:hAnsi="Cambria Math"/>
                        <w:lang w:val="sr-Latn-RS"/>
                      </w:rPr>
                      <m:t>standardised</m:t>
                    </m:r>
                  </m:sub>
                </m:sSub>
                <m:r>
                  <w:rPr>
                    <w:rFonts w:ascii="Cambria Math" w:hAnsi="Cambria Math"/>
                    <w:lang w:val="sr-Latn-RS"/>
                  </w:rPr>
                  <m:t>=</m:t>
                </m:r>
                <m:f>
                  <m:fPr>
                    <m:ctrlPr>
                      <w:rPr>
                        <w:rFonts w:ascii="Cambria Math" w:hAnsi="Cambria Math"/>
                        <w:i/>
                        <w:lang w:val="sr-Latn-RS"/>
                      </w:rPr>
                    </m:ctrlPr>
                  </m:fPr>
                  <m:num>
                    <m:sSub>
                      <m:sSubPr>
                        <m:ctrlPr>
                          <w:rPr>
                            <w:rFonts w:ascii="Cambria Math" w:hAnsi="Cambria Math"/>
                            <w:i/>
                            <w:lang w:val="sr-Latn-RS"/>
                          </w:rPr>
                        </m:ctrlPr>
                      </m:sSubPr>
                      <m:e>
                        <m:r>
                          <w:rPr>
                            <w:rFonts w:ascii="Cambria Math" w:hAnsi="Cambria Math"/>
                            <w:lang w:val="sr-Latn-RS"/>
                          </w:rPr>
                          <m:t>x</m:t>
                        </m:r>
                      </m:e>
                      <m:sub>
                        <m:r>
                          <w:rPr>
                            <w:rFonts w:ascii="Cambria Math" w:hAnsi="Cambria Math"/>
                            <w:lang w:val="sr-Latn-RS"/>
                          </w:rPr>
                          <m:t>i</m:t>
                        </m:r>
                      </m:sub>
                    </m:sSub>
                    <m:r>
                      <w:rPr>
                        <w:rFonts w:ascii="Cambria Math" w:hAnsi="Cambria Math"/>
                        <w:lang w:val="sr-Latn-RS"/>
                      </w:rPr>
                      <m:t>-</m:t>
                    </m:r>
                    <m:acc>
                      <m:accPr>
                        <m:chr m:val="̅"/>
                        <m:ctrlPr>
                          <w:rPr>
                            <w:rFonts w:ascii="Cambria Math" w:hAnsi="Cambria Math"/>
                            <w:i/>
                            <w:lang w:val="sr-Latn-RS"/>
                          </w:rPr>
                        </m:ctrlPr>
                      </m:accPr>
                      <m:e>
                        <m:r>
                          <w:rPr>
                            <w:rFonts w:ascii="Cambria Math" w:hAnsi="Cambria Math"/>
                            <w:lang w:val="sr-Latn-RS"/>
                          </w:rPr>
                          <m:t>x</m:t>
                        </m:r>
                      </m:e>
                    </m:acc>
                  </m:num>
                  <m:den>
                    <m:r>
                      <w:rPr>
                        <w:rFonts w:ascii="Cambria Math" w:hAnsi="Cambria Math"/>
                        <w:lang w:val="sr-Latn-RS"/>
                      </w:rPr>
                      <m:t>σ</m:t>
                    </m:r>
                  </m:den>
                </m:f>
              </m:oMath>
            </m:oMathPara>
          </w:p>
        </w:tc>
        <w:tc>
          <w:tcPr>
            <w:tcW w:w="992" w:type="dxa"/>
            <w:vAlign w:val="center"/>
          </w:tcPr>
          <w:p w14:paraId="7909AFC0" w14:textId="3C50127C" w:rsidR="00773198" w:rsidRDefault="00773198" w:rsidP="005C2810">
            <w:pPr>
              <w:jc w:val="right"/>
              <w:rPr>
                <w:lang w:val="sr-Latn-RS"/>
              </w:rPr>
            </w:pPr>
            <w:bookmarkStart w:id="555" w:name="_Ref101273772"/>
            <w:r>
              <w:rPr>
                <w:lang w:val="sr-Latn-RS"/>
              </w:rPr>
              <w:t>(</w:t>
            </w:r>
            <w:r w:rsidR="00427B33">
              <w:fldChar w:fldCharType="begin"/>
            </w:r>
            <w:r w:rsidR="00427B33">
              <w:instrText xml:space="preserve"> STYLEREF 1 \s </w:instrText>
            </w:r>
            <w:r w:rsidR="00427B33">
              <w:fldChar w:fldCharType="separate"/>
            </w:r>
            <w:r w:rsidR="00587AF0">
              <w:rPr>
                <w:noProof/>
              </w:rPr>
              <w:t>8</w:t>
            </w:r>
            <w:r w:rsidR="00427B33">
              <w:rPr>
                <w:noProof/>
              </w:rPr>
              <w:fldChar w:fldCharType="end"/>
            </w:r>
            <w:r w:rsidR="002C693A">
              <w:t>.</w:t>
            </w:r>
            <w:r w:rsidR="00427B33">
              <w:fldChar w:fldCharType="begin"/>
            </w:r>
            <w:r w:rsidR="00427B33">
              <w:instrText xml:space="preserve"> SEQ Equation \* ARABIC \s 1 </w:instrText>
            </w:r>
            <w:r w:rsidR="00427B33">
              <w:fldChar w:fldCharType="separate"/>
            </w:r>
            <w:r w:rsidR="00587AF0">
              <w:rPr>
                <w:noProof/>
              </w:rPr>
              <w:t>9</w:t>
            </w:r>
            <w:r w:rsidR="00427B33">
              <w:rPr>
                <w:noProof/>
              </w:rPr>
              <w:fldChar w:fldCharType="end"/>
            </w:r>
            <w:bookmarkEnd w:id="555"/>
            <w:r>
              <w:rPr>
                <w:lang w:val="sr-Latn-RS"/>
              </w:rPr>
              <w:t>)</w:t>
            </w:r>
          </w:p>
        </w:tc>
      </w:tr>
    </w:tbl>
    <w:p w14:paraId="26DED12E" w14:textId="653521E0" w:rsidR="00F17459" w:rsidRDefault="00545423" w:rsidP="00F17459">
      <w:pPr>
        <w:rPr>
          <w:lang w:val="sr-Latn-RS"/>
        </w:rPr>
      </w:pPr>
      <w:r>
        <w:rPr>
          <w:lang w:val="sr-Latn-RS"/>
        </w:rPr>
        <w:t>No transformations of values (log or sq</w:t>
      </w:r>
      <w:r w:rsidR="000A36C2">
        <w:rPr>
          <w:lang w:val="sr-Latn-RS"/>
        </w:rPr>
        <w:t>u</w:t>
      </w:r>
      <w:r>
        <w:rPr>
          <w:lang w:val="sr-Latn-RS"/>
        </w:rPr>
        <w:t xml:space="preserve">are root) are done. There is an important note when using data normalisation vs standardisation. </w:t>
      </w:r>
      <w:r w:rsidR="000A36C2">
        <w:rPr>
          <w:lang w:val="sr-Latn-RS"/>
        </w:rPr>
        <w:t>I</w:t>
      </w:r>
      <w:r>
        <w:rPr>
          <w:lang w:val="sr-Latn-RS"/>
        </w:rPr>
        <w:t xml:space="preserve">t can </w:t>
      </w:r>
      <w:r w:rsidR="000A36C2">
        <w:rPr>
          <w:lang w:val="sr-Latn-RS"/>
        </w:rPr>
        <w:t xml:space="preserve">be </w:t>
      </w:r>
      <w:r>
        <w:rPr>
          <w:lang w:val="sr-Latn-RS"/>
        </w:rPr>
        <w:t>noted as data normalisation</w:t>
      </w:r>
      <w:r w:rsidR="000A36C2">
        <w:rPr>
          <w:lang w:val="sr-Latn-RS"/>
        </w:rPr>
        <w:t>,</w:t>
      </w:r>
      <w:r>
        <w:rPr>
          <w:lang w:val="sr-Latn-RS"/>
        </w:rPr>
        <w:t xml:space="preserve"> whether transforming the data into </w:t>
      </w:r>
      <w:r w:rsidR="000A36C2">
        <w:rPr>
          <w:lang w:val="sr-Latn-RS"/>
        </w:rPr>
        <w:t xml:space="preserve">a </w:t>
      </w:r>
      <w:r>
        <w:rPr>
          <w:lang w:val="sr-Latn-RS"/>
        </w:rPr>
        <w:t xml:space="preserve">„Normalized dataset“ or „Standardised dataset“, both range values between 0 and 1. However, </w:t>
      </w:r>
      <w:r w:rsidR="000A36C2">
        <w:rPr>
          <w:lang w:val="sr-Latn-RS"/>
        </w:rPr>
        <w:t xml:space="preserve">the </w:t>
      </w:r>
      <w:r>
        <w:rPr>
          <w:lang w:val="sr-Latn-RS"/>
        </w:rPr>
        <w:t xml:space="preserve">standardised dataset will have a mean value </w:t>
      </w:r>
      <w:r w:rsidR="000A36C2">
        <w:rPr>
          <w:lang w:val="sr-Latn-RS"/>
        </w:rPr>
        <w:t>of</w:t>
      </w:r>
      <w:r>
        <w:rPr>
          <w:lang w:val="sr-Latn-RS"/>
        </w:rPr>
        <w:t xml:space="preserve"> 0 and </w:t>
      </w:r>
      <w:r w:rsidR="000A36C2">
        <w:rPr>
          <w:lang w:val="sr-Latn-RS"/>
        </w:rPr>
        <w:t xml:space="preserve">a </w:t>
      </w:r>
      <w:r>
        <w:rPr>
          <w:lang w:val="sr-Latn-RS"/>
        </w:rPr>
        <w:t xml:space="preserve">standard deviation of 1, used here in the thesis. </w:t>
      </w:r>
      <w:r w:rsidR="00773198">
        <w:rPr>
          <w:lang w:val="sr-Latn-RS"/>
        </w:rPr>
        <w:t xml:space="preserve">The </w:t>
      </w:r>
      <w:r w:rsidR="000A36C2">
        <w:rPr>
          <w:lang w:val="sr-Latn-RS"/>
        </w:rPr>
        <w:t>dataset is standardised for all included features and saddle positions and is</w:t>
      </w:r>
      <w:r w:rsidR="00773198">
        <w:rPr>
          <w:lang w:val="sr-Latn-RS"/>
        </w:rPr>
        <w:t xml:space="preserve"> depicted in </w:t>
      </w:r>
      <w:r w:rsidR="00773198">
        <w:rPr>
          <w:lang w:val="sr-Latn-RS"/>
        </w:rPr>
        <w:fldChar w:fldCharType="begin"/>
      </w:r>
      <w:r w:rsidR="00773198">
        <w:rPr>
          <w:lang w:val="sr-Latn-RS"/>
        </w:rPr>
        <w:instrText xml:space="preserve"> REF _Ref96438304 \h </w:instrText>
      </w:r>
      <w:r w:rsidR="00773198">
        <w:rPr>
          <w:lang w:val="sr-Latn-RS"/>
        </w:rPr>
      </w:r>
      <w:r w:rsidR="00773198">
        <w:rPr>
          <w:lang w:val="sr-Latn-RS"/>
        </w:rPr>
        <w:fldChar w:fldCharType="separate"/>
      </w:r>
      <w:r w:rsidR="00587AF0">
        <w:t xml:space="preserve">Appendix </w:t>
      </w:r>
      <w:r w:rsidR="00587AF0">
        <w:rPr>
          <w:noProof/>
        </w:rPr>
        <w:t>13</w:t>
      </w:r>
      <w:r w:rsidR="00773198">
        <w:rPr>
          <w:lang w:val="sr-Latn-RS"/>
        </w:rPr>
        <w:fldChar w:fldCharType="end"/>
      </w:r>
      <w:r w:rsidR="00773198">
        <w:rPr>
          <w:lang w:val="sr-Latn-RS"/>
        </w:rPr>
        <w:t>.</w:t>
      </w:r>
    </w:p>
    <w:p w14:paraId="2F51D9A9" w14:textId="01C5945E" w:rsidR="00545423" w:rsidRDefault="00121593" w:rsidP="00121593">
      <w:pPr>
        <w:rPr>
          <w:lang w:val="en-GB"/>
        </w:rPr>
      </w:pPr>
      <w:r>
        <w:rPr>
          <w:lang w:val="en-GB"/>
        </w:rPr>
        <w:t>T</w:t>
      </w:r>
      <w:r w:rsidR="00545423">
        <w:rPr>
          <w:lang w:val="en-GB"/>
        </w:rPr>
        <w:t xml:space="preserve">he </w:t>
      </w:r>
      <w:r>
        <w:rPr>
          <w:lang w:val="en-GB"/>
        </w:rPr>
        <w:t xml:space="preserve">data will be split into a training set (70%) and a testing set (30%). For testing the hypothesis within the machine learning realm, the parameter of </w:t>
      </w:r>
      <w:r>
        <w:rPr>
          <w:b/>
          <w:bCs/>
          <w:lang w:val="en-GB"/>
        </w:rPr>
        <w:t xml:space="preserve">accuracy </w:t>
      </w:r>
      <w:r>
        <w:rPr>
          <w:lang w:val="en-GB"/>
        </w:rPr>
        <w:t>is chosen for model selection</w:t>
      </w:r>
      <w:r w:rsidRPr="0027723C">
        <w:rPr>
          <w:lang w:val="en-GB"/>
        </w:rPr>
        <w:t xml:space="preserve">. </w:t>
      </w:r>
      <w:r>
        <w:rPr>
          <w:lang w:val="en-GB"/>
        </w:rPr>
        <w:t>In addition, the classification (confusion) matrix for each model will be presented, with ROC and AUC for the point of discussion.</w:t>
      </w:r>
      <w:r w:rsidR="00545423">
        <w:rPr>
          <w:lang w:val="en-GB"/>
        </w:rPr>
        <w:t xml:space="preserve"> In the following chapter 5 selected machine learning models are used as hypothesis space:</w:t>
      </w:r>
    </w:p>
    <w:p w14:paraId="6183366C" w14:textId="00D03CD7" w:rsidR="00121593" w:rsidRDefault="00545423" w:rsidP="00545423">
      <w:pPr>
        <w:pStyle w:val="ListParagraph"/>
        <w:numPr>
          <w:ilvl w:val="0"/>
          <w:numId w:val="35"/>
        </w:numPr>
        <w:ind w:left="714" w:hanging="357"/>
        <w:rPr>
          <w:lang w:val="en-GB"/>
        </w:rPr>
      </w:pPr>
      <w:r w:rsidRPr="00545423">
        <w:rPr>
          <w:lang w:val="en-GB"/>
        </w:rPr>
        <w:t>Gaussian Naïve Bayes (GNB)</w:t>
      </w:r>
      <w:r>
        <w:rPr>
          <w:lang w:val="en-GB"/>
        </w:rPr>
        <w:t xml:space="preserve"> for</w:t>
      </w:r>
      <w:r w:rsidRPr="00545423">
        <w:rPr>
          <w:lang w:val="en-GB"/>
        </w:rPr>
        <w:t xml:space="preserve"> </w:t>
      </w:r>
      <w:r>
        <w:rPr>
          <w:lang w:val="en-GB"/>
        </w:rPr>
        <w:t xml:space="preserve">binary </w:t>
      </w:r>
      <w:r w:rsidRPr="00545423">
        <w:rPr>
          <w:lang w:val="en-GB"/>
        </w:rPr>
        <w:t>classifi</w:t>
      </w:r>
      <w:r>
        <w:rPr>
          <w:lang w:val="en-GB"/>
        </w:rPr>
        <w:t>cation</w:t>
      </w:r>
      <w:r w:rsidRPr="00545423">
        <w:rPr>
          <w:lang w:val="en-GB"/>
        </w:rPr>
        <w:t>;</w:t>
      </w:r>
    </w:p>
    <w:p w14:paraId="3F977429" w14:textId="7EBFB2A9" w:rsidR="00545423" w:rsidRDefault="00545423" w:rsidP="00545423">
      <w:pPr>
        <w:pStyle w:val="ListParagraph"/>
        <w:numPr>
          <w:ilvl w:val="0"/>
          <w:numId w:val="35"/>
        </w:numPr>
        <w:rPr>
          <w:lang w:val="en-GB"/>
        </w:rPr>
      </w:pPr>
      <w:r>
        <w:rPr>
          <w:lang w:val="en-GB"/>
        </w:rPr>
        <w:t>Artificial Neural Network (ANN) binary classifier with one hidden layer;</w:t>
      </w:r>
    </w:p>
    <w:p w14:paraId="15BA929D" w14:textId="2C4828C5" w:rsidR="00545423" w:rsidRDefault="00545423" w:rsidP="00545423">
      <w:pPr>
        <w:pStyle w:val="ListParagraph"/>
        <w:numPr>
          <w:ilvl w:val="0"/>
          <w:numId w:val="35"/>
        </w:numPr>
        <w:rPr>
          <w:lang w:val="en-GB"/>
        </w:rPr>
      </w:pPr>
      <w:r>
        <w:rPr>
          <w:lang w:val="en-GB"/>
        </w:rPr>
        <w:t>Classification and Regression Decision Tree (CART) for binary classification;</w:t>
      </w:r>
    </w:p>
    <w:p w14:paraId="1297F6DD" w14:textId="0909341A" w:rsidR="00545423" w:rsidRDefault="00545423" w:rsidP="00545423">
      <w:pPr>
        <w:pStyle w:val="ListParagraph"/>
        <w:numPr>
          <w:ilvl w:val="0"/>
          <w:numId w:val="35"/>
        </w:numPr>
        <w:rPr>
          <w:lang w:val="en-GB"/>
        </w:rPr>
      </w:pPr>
      <w:r>
        <w:rPr>
          <w:lang w:val="en-GB"/>
        </w:rPr>
        <w:t>Logistic Regression (LR) for binary classification;</w:t>
      </w:r>
    </w:p>
    <w:p w14:paraId="2E483DB4" w14:textId="20602909" w:rsidR="00545423" w:rsidRPr="00545423" w:rsidRDefault="00545423" w:rsidP="00545423">
      <w:pPr>
        <w:pStyle w:val="ListParagraph"/>
        <w:numPr>
          <w:ilvl w:val="0"/>
          <w:numId w:val="35"/>
        </w:numPr>
        <w:rPr>
          <w:lang w:val="en-GB"/>
        </w:rPr>
      </w:pPr>
      <w:r>
        <w:rPr>
          <w:lang w:val="en-GB"/>
        </w:rPr>
        <w:t>k</w:t>
      </w:r>
      <w:r w:rsidR="000A36C2">
        <w:rPr>
          <w:lang w:val="en-GB"/>
        </w:rPr>
        <w:t>-</w:t>
      </w:r>
      <w:r>
        <w:rPr>
          <w:lang w:val="en-GB"/>
        </w:rPr>
        <w:t>Nearest Neighbo</w:t>
      </w:r>
      <w:r w:rsidR="000A36C2">
        <w:rPr>
          <w:lang w:val="en-GB"/>
        </w:rPr>
        <w:t>u</w:t>
      </w:r>
      <w:r>
        <w:rPr>
          <w:lang w:val="en-GB"/>
        </w:rPr>
        <w:t>r (kNN) for binary classification.</w:t>
      </w:r>
    </w:p>
    <w:p w14:paraId="534A3940" w14:textId="77777777" w:rsidR="00121593" w:rsidRDefault="00121593" w:rsidP="00F17459">
      <w:pPr>
        <w:rPr>
          <w:lang w:val="sr-Latn-RS"/>
        </w:rPr>
      </w:pPr>
    </w:p>
    <w:p w14:paraId="0655CBCA" w14:textId="77777777" w:rsidR="00F17459" w:rsidRPr="00F17459" w:rsidRDefault="00F17459" w:rsidP="00F17459"/>
    <w:p w14:paraId="34D49EA7" w14:textId="77777777" w:rsidR="00D85D31" w:rsidRDefault="00D85D31">
      <w:pPr>
        <w:spacing w:before="0" w:after="160" w:line="259" w:lineRule="auto"/>
        <w:jc w:val="left"/>
        <w:rPr>
          <w:rFonts w:eastAsiaTheme="majorEastAsia" w:cstheme="majorBidi"/>
          <w:b/>
          <w:smallCaps/>
          <w:sz w:val="32"/>
          <w:szCs w:val="32"/>
        </w:rPr>
      </w:pPr>
      <w:r>
        <w:br w:type="page"/>
      </w:r>
    </w:p>
    <w:p w14:paraId="012D0420" w14:textId="5EC278E8" w:rsidR="00E145B3" w:rsidRDefault="0018712A" w:rsidP="00D85D31">
      <w:pPr>
        <w:pStyle w:val="Heading1"/>
      </w:pPr>
      <w:bookmarkStart w:id="556" w:name="_Toc101274397"/>
      <w:r>
        <w:lastRenderedPageBreak/>
        <w:t xml:space="preserve">Machine </w:t>
      </w:r>
      <w:r w:rsidR="00375A16">
        <w:t>learning models</w:t>
      </w:r>
      <w:bookmarkEnd w:id="556"/>
    </w:p>
    <w:p w14:paraId="1916802C" w14:textId="77777777" w:rsidR="006C2142" w:rsidRDefault="006C2142" w:rsidP="006C2142">
      <w:pPr>
        <w:pStyle w:val="Heading2"/>
      </w:pPr>
      <w:bookmarkStart w:id="557" w:name="_Toc101274398"/>
      <w:r>
        <w:t>Naive Bayes Classifier for hydraulic power data</w:t>
      </w:r>
      <w:bookmarkEnd w:id="557"/>
    </w:p>
    <w:p w14:paraId="1FFF81ED" w14:textId="10240EAB" w:rsidR="006C2142" w:rsidRDefault="006C2142" w:rsidP="006C2142">
      <w:r>
        <w:t>Naive Bayes belongs to a group of “generative classification model</w:t>
      </w:r>
      <w:r w:rsidR="00375A16">
        <w:t>s</w:t>
      </w:r>
      <w:r>
        <w:t>”. These models compute classifiers ba</w:t>
      </w:r>
      <w:r w:rsidR="00375A16">
        <w:t>s</w:t>
      </w:r>
      <w:r>
        <w:t xml:space="preserve">ed on the joint probability density function </w:t>
      </w:r>
      <w:r>
        <w:rPr>
          <w:i/>
          <w:iCs/>
        </w:rPr>
        <w:t>P</w:t>
      </w:r>
      <w:r w:rsidRPr="00BF5ABD">
        <w:t>(</w:t>
      </w:r>
      <w:r>
        <w:rPr>
          <w:i/>
          <w:iCs/>
        </w:rPr>
        <w:t>X,</w:t>
      </w:r>
      <w:r w:rsidR="00375A16">
        <w:rPr>
          <w:i/>
          <w:iCs/>
        </w:rPr>
        <w:t xml:space="preserve"> </w:t>
      </w:r>
      <w:r>
        <w:rPr>
          <w:i/>
          <w:iCs/>
        </w:rPr>
        <w:t>Y</w:t>
      </w:r>
      <w:r w:rsidRPr="00BF5ABD">
        <w:t>)</w:t>
      </w:r>
      <w:r>
        <w:t xml:space="preserve"> on set </w:t>
      </w:r>
      <w:r>
        <w:rPr>
          <w:i/>
          <w:iCs/>
        </w:rPr>
        <w:t>X</w:t>
      </w:r>
      <w:r>
        <w:t xml:space="preserve"> and target label </w:t>
      </w:r>
      <w:r>
        <w:rPr>
          <w:i/>
          <w:iCs/>
        </w:rPr>
        <w:t>Y.</w:t>
      </w:r>
      <w:r>
        <w:t xml:space="preserve"> On the other side, </w:t>
      </w:r>
      <w:r w:rsidR="00375A16">
        <w:t xml:space="preserve">the </w:t>
      </w:r>
      <w:r>
        <w:t xml:space="preserve">discriminative approach or model is built upon the conditional probability </w:t>
      </w:r>
      <w:r>
        <w:rPr>
          <w:i/>
          <w:iCs/>
        </w:rPr>
        <w:t>P</w:t>
      </w:r>
      <w:r w:rsidRPr="00BF5ABD">
        <w:t>(</w:t>
      </w:r>
      <w:r>
        <w:rPr>
          <w:i/>
          <w:iCs/>
        </w:rPr>
        <w:t>Y</w:t>
      </w:r>
      <w:r>
        <w:rPr>
          <w:lang w:val="en-GB"/>
        </w:rPr>
        <w:t>|</w:t>
      </w:r>
      <w:r>
        <w:rPr>
          <w:i/>
          <w:iCs/>
        </w:rPr>
        <w:t>X=x</w:t>
      </w:r>
      <w:r w:rsidRPr="00BF5ABD">
        <w:t>)</w:t>
      </w:r>
      <w:r>
        <w:t xml:space="preserve"> of the target </w:t>
      </w:r>
      <w:r>
        <w:rPr>
          <w:i/>
          <w:iCs/>
        </w:rPr>
        <w:t>Y</w:t>
      </w:r>
      <w:r>
        <w:t xml:space="preserve"> given </w:t>
      </w:r>
      <w:r>
        <w:rPr>
          <w:i/>
          <w:iCs/>
        </w:rPr>
        <w:t>x</w:t>
      </w:r>
      <w:r>
        <w:t xml:space="preserve">. Typical examples of generative classifiers are naïve Bayes, LDA, </w:t>
      </w:r>
      <w:r w:rsidR="00375A16">
        <w:t xml:space="preserve">and </w:t>
      </w:r>
      <w:r>
        <w:t>B</w:t>
      </w:r>
      <w:r w:rsidR="00375A16">
        <w:t>ol</w:t>
      </w:r>
      <w:r>
        <w:t>tzmann machine</w:t>
      </w:r>
      <w:r w:rsidR="00375A16">
        <w:t>s</w:t>
      </w:r>
      <w:r>
        <w:t>, while discriminative model</w:t>
      </w:r>
      <w:r w:rsidR="00375A16">
        <w:t>s</w:t>
      </w:r>
      <w:r>
        <w:t xml:space="preserve"> are kNN, SVM, Decision Trees, Logistic Regression and other classifiers. The basic idea of </w:t>
      </w:r>
      <w:r w:rsidR="00375A16">
        <w:t xml:space="preserve">the </w:t>
      </w:r>
      <w:r>
        <w:t>Bayes classifier is to minimize the probability of misclassification problem</w:t>
      </w:r>
      <w:r w:rsidR="00375A16">
        <w:t>s</w:t>
      </w:r>
      <w:r>
        <w:t>.</w:t>
      </w:r>
      <w:r w:rsidR="00375A16">
        <w:t xml:space="preserve"> </w:t>
      </w:r>
      <w:r>
        <w:t xml:space="preserve">Consider a dataset </w:t>
      </w:r>
      <w:r>
        <w:rPr>
          <w:i/>
          <w:iCs/>
        </w:rPr>
        <w:t>X</w:t>
      </w:r>
      <w:r>
        <w:t xml:space="preserve"> and </w:t>
      </w:r>
      <w:r>
        <w:rPr>
          <w:i/>
          <w:iCs/>
        </w:rPr>
        <w:t>Y</w:t>
      </w:r>
      <w:r>
        <w:t xml:space="preserve"> used for </w:t>
      </w:r>
      <w:r w:rsidR="00375A16">
        <w:t xml:space="preserve">the </w:t>
      </w:r>
      <w:r>
        <w:t xml:space="preserve">classification problem, where </w:t>
      </w:r>
      <w:r>
        <w:rPr>
          <w:i/>
          <w:iCs/>
        </w:rPr>
        <w:t>Y</w:t>
      </w:r>
      <w:r>
        <w:t xml:space="preserve"> is the classification problem labelled as binary value [0, 1] of </w:t>
      </w:r>
      <w:r>
        <w:rPr>
          <w:i/>
          <w:iCs/>
        </w:rPr>
        <w:t>X</w:t>
      </w:r>
      <w:r>
        <w:t>, is given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5"/>
        <w:gridCol w:w="772"/>
      </w:tblGrid>
      <w:tr w:rsidR="006C2142" w14:paraId="65E68B88" w14:textId="77777777" w:rsidTr="00CC5DAD">
        <w:tc>
          <w:tcPr>
            <w:tcW w:w="8245" w:type="dxa"/>
          </w:tcPr>
          <w:p w14:paraId="2828237C" w14:textId="31C25D59" w:rsidR="006C2142" w:rsidRPr="00F30C1F" w:rsidRDefault="00427B33" w:rsidP="00CC5DAD">
            <w:pPr>
              <w:spacing w:before="0" w:after="0"/>
              <w:jc w:val="center"/>
              <w:rPr>
                <w:i/>
                <w:lang w:val="en-GB"/>
              </w:rPr>
            </w:pPr>
            <m:oMath>
              <m:d>
                <m:dPr>
                  <m:ctrlPr>
                    <w:rPr>
                      <w:rFonts w:ascii="Cambria Math" w:hAnsi="Cambria Math"/>
                      <w:i/>
                    </w:rPr>
                  </m:ctrlPr>
                </m:dPr>
                <m:e>
                  <m:d>
                    <m:dPr>
                      <m:begChr m:val=""/>
                      <m:endChr m:val="|"/>
                      <m:ctrlPr>
                        <w:rPr>
                          <w:rFonts w:ascii="Cambria Math" w:hAnsi="Cambria Math"/>
                          <w:i/>
                        </w:rPr>
                      </m:ctrlPr>
                    </m:dPr>
                    <m:e>
                      <m:r>
                        <w:rPr>
                          <w:rFonts w:ascii="Cambria Math" w:hAnsi="Cambria Math"/>
                        </w:rPr>
                        <m:t>X</m:t>
                      </m:r>
                    </m:e>
                  </m:d>
                  <m:r>
                    <w:rPr>
                      <w:rFonts w:ascii="Cambria Math" w:hAnsi="Cambria Math"/>
                    </w:rPr>
                    <m:t>Y=u</m:t>
                  </m:r>
                </m:e>
              </m:d>
              <m:r>
                <w:rPr>
                  <w:rFonts w:ascii="Cambria Math" w:hAnsi="Cambria Math"/>
                  <w:lang w:val="sr-Latn-RS"/>
                </w:rPr>
                <m:t>~</m:t>
              </m:r>
              <m:sSub>
                <m:sSubPr>
                  <m:ctrlPr>
                    <w:rPr>
                      <w:rFonts w:ascii="Cambria Math" w:hAnsi="Cambria Math"/>
                      <w:i/>
                      <w:lang w:val="sr-Latn-RS"/>
                    </w:rPr>
                  </m:ctrlPr>
                </m:sSubPr>
                <m:e>
                  <m:r>
                    <w:rPr>
                      <w:rFonts w:ascii="Cambria Math" w:hAnsi="Cambria Math"/>
                      <w:lang w:val="sr-Latn-RS"/>
                    </w:rPr>
                    <m:t>P</m:t>
                  </m:r>
                </m:e>
                <m:sub>
                  <m:r>
                    <w:rPr>
                      <w:rFonts w:ascii="Cambria Math" w:hAnsi="Cambria Math"/>
                      <w:lang w:val="sr-Latn-RS"/>
                    </w:rPr>
                    <m:t>u</m:t>
                  </m:r>
                </m:sub>
              </m:sSub>
              <m:r>
                <w:rPr>
                  <w:rFonts w:ascii="Cambria Math" w:hAnsi="Cambria Math"/>
                  <w:lang w:val="sr-Latn-RS"/>
                </w:rPr>
                <m:t>, u</m:t>
              </m:r>
              <m:r>
                <w:rPr>
                  <w:rFonts w:ascii="Cambria Math" w:hAnsi="Cambria Math"/>
                  <w:lang w:val="en-GB"/>
                </w:rPr>
                <m:t>=1, 2, …k</m:t>
              </m:r>
            </m:oMath>
            <w:r w:rsidR="00375A16">
              <w:rPr>
                <w:rFonts w:eastAsiaTheme="minorEastAsia"/>
                <w:i/>
                <w:lang w:val="en-GB"/>
              </w:rPr>
              <w:t>.</w:t>
            </w:r>
          </w:p>
        </w:tc>
        <w:tc>
          <w:tcPr>
            <w:tcW w:w="772" w:type="dxa"/>
          </w:tcPr>
          <w:p w14:paraId="26E62357" w14:textId="070E700F" w:rsidR="006C2142" w:rsidRDefault="002C693A" w:rsidP="002C693A">
            <w:pPr>
              <w:spacing w:before="0" w:after="0"/>
              <w:jc w:val="right"/>
            </w:pPr>
            <w: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1</w:t>
            </w:r>
            <w:r w:rsidR="00427B33">
              <w:rPr>
                <w:noProof/>
              </w:rPr>
              <w:fldChar w:fldCharType="end"/>
            </w:r>
            <w:r>
              <w:t>)</w:t>
            </w:r>
          </w:p>
        </w:tc>
      </w:tr>
    </w:tbl>
    <w:p w14:paraId="5883D2D2" w14:textId="42A0E6C8" w:rsidR="006C2142" w:rsidRDefault="006C2142" w:rsidP="006C2142">
      <w:pPr>
        <w:rPr>
          <w:lang w:val="en-GB"/>
        </w:rPr>
      </w:pPr>
      <w:r>
        <w:rPr>
          <w:i/>
          <w:iCs/>
        </w:rPr>
        <w:t>P</w:t>
      </w:r>
      <w:r>
        <w:rPr>
          <w:i/>
          <w:iCs/>
          <w:vertAlign w:val="subscript"/>
        </w:rPr>
        <w:t>u</w:t>
      </w:r>
      <w:r>
        <w:t xml:space="preserve"> represents the probability distribution, and </w:t>
      </w:r>
      <w:r w:rsidR="00375A16">
        <w:t xml:space="preserve">the </w:t>
      </w:r>
      <w:r>
        <w:t xml:space="preserve">symbol </w:t>
      </w:r>
      <w:r>
        <w:rPr>
          <w:lang w:val="sr-Latn-RS"/>
        </w:rPr>
        <w:t>„~“</w:t>
      </w:r>
      <w:r>
        <w:rPr>
          <w:lang w:val="en-GB"/>
        </w:rPr>
        <w:t xml:space="preserve"> is “distributed as”. Hence, the classifier here is a rule that assigns an observation </w:t>
      </w:r>
      <w:r>
        <w:rPr>
          <w:i/>
          <w:iCs/>
          <w:lang w:val="en-GB"/>
        </w:rPr>
        <w:t>X</w:t>
      </w:r>
      <w:r>
        <w:rPr>
          <w:lang w:val="en-GB"/>
        </w:rPr>
        <w:t xml:space="preserve"> = </w:t>
      </w:r>
      <w:r>
        <w:rPr>
          <w:i/>
          <w:iCs/>
          <w:lang w:val="en-GB"/>
        </w:rPr>
        <w:t>x</w:t>
      </w:r>
      <w:r>
        <w:rPr>
          <w:lang w:val="en-GB"/>
        </w:rPr>
        <w:t xml:space="preserve"> an estimate of an unobserved variable label </w:t>
      </w:r>
      <w:r>
        <w:rPr>
          <w:i/>
          <w:iCs/>
          <w:lang w:val="en-GB"/>
        </w:rPr>
        <w:t>Y</w:t>
      </w:r>
      <w:r>
        <w:rPr>
          <w:lang w:val="en-GB"/>
        </w:rPr>
        <w:t xml:space="preserve"> = </w:t>
      </w:r>
      <w:r>
        <w:rPr>
          <w:i/>
          <w:iCs/>
          <w:lang w:val="en-GB"/>
        </w:rPr>
        <w:t>u</w:t>
      </w:r>
      <w:r>
        <w:rPr>
          <w:lang w:val="en-GB"/>
        </w:rPr>
        <w:t>. Theoretically, a classifier is a measured function denoted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5"/>
        <w:gridCol w:w="772"/>
      </w:tblGrid>
      <w:tr w:rsidR="006C2142" w14:paraId="29F4D957" w14:textId="77777777" w:rsidTr="00CC5DAD">
        <w:tc>
          <w:tcPr>
            <w:tcW w:w="8245" w:type="dxa"/>
          </w:tcPr>
          <w:p w14:paraId="543BAA24" w14:textId="77777777" w:rsidR="006C2142" w:rsidRPr="00F30C1F" w:rsidRDefault="006C2142" w:rsidP="00CC5DAD">
            <w:pPr>
              <w:spacing w:before="0" w:after="0"/>
              <w:jc w:val="center"/>
              <w:rPr>
                <w:i/>
                <w:lang w:val="en-GB"/>
              </w:rPr>
            </w:pPr>
            <m:oMathPara>
              <m:oMath>
                <m:r>
                  <w:rPr>
                    <w:rFonts w:ascii="Cambria Math" w:hAnsi="Cambria Math"/>
                  </w:rPr>
                  <m:t xml:space="preserve">C: </m:t>
                </m:r>
                <m:sSup>
                  <m:sSupPr>
                    <m:ctrlPr>
                      <w:rPr>
                        <w:rFonts w:ascii="Cambria Math" w:hAnsi="Cambria Math"/>
                        <w:i/>
                      </w:rPr>
                    </m:ctrlPr>
                  </m:sSupPr>
                  <m:e>
                    <m:r>
                      <m:rPr>
                        <m:scr m:val="double-struck"/>
                      </m:rPr>
                      <w:rPr>
                        <w:rFonts w:ascii="Cambria Math" w:hAnsi="Cambria Math"/>
                      </w:rPr>
                      <m:t>R</m:t>
                    </m:r>
                  </m:e>
                  <m:sup>
                    <m:r>
                      <w:rPr>
                        <w:rFonts w:ascii="Cambria Math" w:hAnsi="Cambria Math"/>
                      </w:rPr>
                      <m:t>d</m:t>
                    </m:r>
                  </m:sup>
                </m:sSup>
                <m:r>
                  <w:rPr>
                    <w:rFonts w:ascii="Cambria Math" w:hAnsi="Cambria Math"/>
                  </w:rPr>
                  <m:t>→</m:t>
                </m:r>
                <m:d>
                  <m:dPr>
                    <m:begChr m:val="{"/>
                    <m:endChr m:val="}"/>
                    <m:ctrlPr>
                      <w:rPr>
                        <w:rFonts w:ascii="Cambria Math" w:hAnsi="Cambria Math"/>
                        <w:i/>
                      </w:rPr>
                    </m:ctrlPr>
                  </m:dPr>
                  <m:e>
                    <m:r>
                      <w:rPr>
                        <w:rFonts w:ascii="Cambria Math" w:hAnsi="Cambria Math"/>
                      </w:rPr>
                      <m:t>1, 2, 3…k</m:t>
                    </m:r>
                  </m:e>
                </m:d>
              </m:oMath>
            </m:oMathPara>
          </w:p>
        </w:tc>
        <w:tc>
          <w:tcPr>
            <w:tcW w:w="772" w:type="dxa"/>
          </w:tcPr>
          <w:p w14:paraId="0FFAF77B" w14:textId="6D550526" w:rsidR="006C2142" w:rsidRDefault="002C693A" w:rsidP="002C693A">
            <w:pPr>
              <w:spacing w:before="0" w:after="0"/>
              <w:jc w:val="right"/>
            </w:pPr>
            <w: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w:instrText>
            </w:r>
            <w:r w:rsidR="00427B33">
              <w:instrText xml:space="preserve">uation \* ARABIC \s 1 </w:instrText>
            </w:r>
            <w:r w:rsidR="00427B33">
              <w:fldChar w:fldCharType="separate"/>
            </w:r>
            <w:r w:rsidR="00587AF0">
              <w:rPr>
                <w:noProof/>
              </w:rPr>
              <w:t>2</w:t>
            </w:r>
            <w:r w:rsidR="00427B33">
              <w:rPr>
                <w:noProof/>
              </w:rPr>
              <w:fldChar w:fldCharType="end"/>
            </w:r>
            <w:r>
              <w:t>)</w:t>
            </w:r>
          </w:p>
        </w:tc>
      </w:tr>
    </w:tbl>
    <w:p w14:paraId="3142A62A" w14:textId="211BC2D7" w:rsidR="006C2142" w:rsidRDefault="00D6470B" w:rsidP="006C2142">
      <w:pPr>
        <w:rPr>
          <w:lang w:val="en-GB"/>
        </w:rPr>
      </w:pPr>
      <w:r>
        <w:rPr>
          <w:lang w:val="en-GB"/>
        </w:rPr>
        <w:t>W</w:t>
      </w:r>
      <w:r w:rsidR="006C2142">
        <w:rPr>
          <w:lang w:val="en-GB"/>
        </w:rPr>
        <w:t xml:space="preserve">here </w:t>
      </w:r>
      <w:r w:rsidR="006C2142">
        <w:rPr>
          <w:i/>
          <w:iCs/>
          <w:lang w:val="en-GB"/>
        </w:rPr>
        <w:t>C</w:t>
      </w:r>
      <w:r w:rsidR="006C2142">
        <w:rPr>
          <w:lang w:val="en-GB"/>
        </w:rPr>
        <w:t xml:space="preserve"> is a classifier that classifies the point of </w:t>
      </w:r>
      <w:r w:rsidR="006C2142">
        <w:rPr>
          <w:i/>
          <w:iCs/>
          <w:lang w:val="en-GB"/>
        </w:rPr>
        <w:t>x</w:t>
      </w:r>
      <w:r w:rsidR="006C2142">
        <w:rPr>
          <w:lang w:val="en-GB"/>
        </w:rPr>
        <w:t xml:space="preserve"> to class </w:t>
      </w:r>
      <w:r w:rsidR="006C2142">
        <w:rPr>
          <w:i/>
          <w:iCs/>
          <w:lang w:val="en-GB"/>
        </w:rPr>
        <w:t>C</w:t>
      </w:r>
      <w:r w:rsidR="006C2142">
        <w:rPr>
          <w:lang w:val="en-GB"/>
        </w:rPr>
        <w:t>(</w:t>
      </w:r>
      <w:r w:rsidR="006C2142">
        <w:rPr>
          <w:i/>
          <w:iCs/>
          <w:lang w:val="en-GB"/>
        </w:rPr>
        <w:t>x</w:t>
      </w:r>
      <w:r w:rsidR="006C2142">
        <w:rPr>
          <w:lang w:val="en-GB"/>
        </w:rPr>
        <w:t>)</w:t>
      </w:r>
      <w:r>
        <w:rPr>
          <w:lang w:val="en-GB"/>
        </w:rPr>
        <w:t>, i</w:t>
      </w:r>
      <w:r w:rsidR="006C2142">
        <w:rPr>
          <w:lang w:val="en-GB"/>
        </w:rPr>
        <w:t>n addition, the probability of mis</w:t>
      </w:r>
      <w:r>
        <w:rPr>
          <w:lang w:val="en-GB"/>
        </w:rPr>
        <w:t>clas</w:t>
      </w:r>
      <w:r w:rsidR="006C2142">
        <w:rPr>
          <w:lang w:val="en-GB"/>
        </w:rPr>
        <w:t xml:space="preserve">sification of </w:t>
      </w:r>
      <w:r w:rsidR="006C2142">
        <w:rPr>
          <w:i/>
          <w:iCs/>
          <w:lang w:val="en-GB"/>
        </w:rPr>
        <w:t>C</w:t>
      </w:r>
      <w:r w:rsidR="006C2142">
        <w:rPr>
          <w:lang w:val="en-GB"/>
        </w:rPr>
        <w:t xml:space="preserve"> is defined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5"/>
        <w:gridCol w:w="772"/>
      </w:tblGrid>
      <w:tr w:rsidR="006C2142" w14:paraId="25CD745B" w14:textId="77777777" w:rsidTr="00CC5DAD">
        <w:tc>
          <w:tcPr>
            <w:tcW w:w="8245" w:type="dxa"/>
          </w:tcPr>
          <w:p w14:paraId="64ED5EA4" w14:textId="50E4ACE4" w:rsidR="006C2142" w:rsidRPr="00F30C1F" w:rsidRDefault="00D6470B" w:rsidP="00CC5DAD">
            <w:pPr>
              <w:spacing w:before="0" w:after="0"/>
              <w:jc w:val="center"/>
              <w:rPr>
                <w:i/>
                <w:lang w:val="en-GB"/>
              </w:rPr>
            </w:pPr>
            <m:oMath>
              <m:r>
                <w:rPr>
                  <w:rFonts w:ascii="Cambria Math" w:hAnsi="Cambria Math"/>
                </w:rPr>
                <m:t>Pr</m:t>
              </m:r>
              <m:d>
                <m:dPr>
                  <m:ctrlPr>
                    <w:rPr>
                      <w:rFonts w:ascii="Cambria Math" w:hAnsi="Cambria Math"/>
                      <w:i/>
                    </w:rPr>
                  </m:ctrlPr>
                </m:dPr>
                <m:e>
                  <m:r>
                    <w:rPr>
                      <w:rFonts w:ascii="Cambria Math" w:hAnsi="Cambria Math"/>
                    </w:rPr>
                    <m:t>C</m:t>
                  </m:r>
                </m:e>
              </m:d>
              <m:r>
                <w:rPr>
                  <w:rFonts w:ascii="Cambria Math" w:hAnsi="Cambria Math"/>
                </w:rPr>
                <m:t>=P(C</m:t>
              </m:r>
              <m:d>
                <m:dPr>
                  <m:ctrlPr>
                    <w:rPr>
                      <w:rFonts w:ascii="Cambria Math" w:hAnsi="Cambria Math"/>
                      <w:i/>
                    </w:rPr>
                  </m:ctrlPr>
                </m:dPr>
                <m:e>
                  <m:r>
                    <w:rPr>
                      <w:rFonts w:ascii="Cambria Math" w:hAnsi="Cambria Math"/>
                    </w:rPr>
                    <m:t>x</m:t>
                  </m:r>
                </m:e>
              </m:d>
              <m:r>
                <w:rPr>
                  <w:rFonts w:ascii="Cambria Math" w:hAnsi="Cambria Math"/>
                </w:rPr>
                <m:t>≠Y)</m:t>
              </m:r>
            </m:oMath>
            <w:r w:rsidR="006C2142">
              <w:rPr>
                <w:rFonts w:eastAsiaTheme="minorEastAsia"/>
                <w:i/>
              </w:rPr>
              <w:t>.</w:t>
            </w:r>
          </w:p>
        </w:tc>
        <w:tc>
          <w:tcPr>
            <w:tcW w:w="772" w:type="dxa"/>
          </w:tcPr>
          <w:p w14:paraId="01549B10" w14:textId="78226F54" w:rsidR="006C2142" w:rsidRDefault="002C693A" w:rsidP="002C693A">
            <w:pPr>
              <w:spacing w:before="0" w:after="0"/>
              <w:jc w:val="right"/>
            </w:pPr>
            <w: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3</w:t>
            </w:r>
            <w:r w:rsidR="00427B33">
              <w:rPr>
                <w:noProof/>
              </w:rPr>
              <w:fldChar w:fldCharType="end"/>
            </w:r>
            <w:r>
              <w:t>)</w:t>
            </w:r>
          </w:p>
        </w:tc>
      </w:tr>
    </w:tbl>
    <w:p w14:paraId="55F57BBC" w14:textId="66A77E30" w:rsidR="006C2142" w:rsidRDefault="006C2142" w:rsidP="006C2142">
      <w:pPr>
        <w:rPr>
          <w:lang w:val="en-GB"/>
        </w:rPr>
      </w:pPr>
      <w:r>
        <w:rPr>
          <w:lang w:val="en-GB"/>
        </w:rPr>
        <w:t>Therefore, the Bayes classifier is the maximum argument of a probability that a given input value</w:t>
      </w:r>
      <w:r>
        <w:rPr>
          <w:i/>
          <w:iCs/>
          <w:lang w:val="en-GB"/>
        </w:rPr>
        <w:t xml:space="preserve"> x</w:t>
      </w:r>
      <w:r>
        <w:rPr>
          <w:lang w:val="en-GB"/>
        </w:rPr>
        <w:t xml:space="preserve"> is classified accordingly to the label output </w:t>
      </w:r>
      <w:r>
        <w:rPr>
          <w:i/>
          <w:iCs/>
          <w:lang w:val="en-GB"/>
        </w:rPr>
        <w:t>y</w:t>
      </w:r>
      <w:r>
        <w:rPr>
          <w:lang w:val="en-GB"/>
        </w:rPr>
        <w:t xml:space="preserve"> and is defined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5"/>
        <w:gridCol w:w="772"/>
      </w:tblGrid>
      <w:tr w:rsidR="006C2142" w14:paraId="0A9AB9CE" w14:textId="77777777" w:rsidTr="002C693A">
        <w:trPr>
          <w:trHeight w:val="493"/>
        </w:trPr>
        <w:tc>
          <w:tcPr>
            <w:tcW w:w="8245" w:type="dxa"/>
          </w:tcPr>
          <w:p w14:paraId="4598B4E0" w14:textId="77777777" w:rsidR="006C2142" w:rsidRPr="00F30C1F" w:rsidRDefault="00427B33" w:rsidP="00CC5DAD">
            <w:pPr>
              <w:spacing w:before="0" w:after="0"/>
              <w:jc w:val="center"/>
              <w:rPr>
                <w:i/>
                <w:lang w:val="en-GB"/>
              </w:rPr>
            </w:pPr>
            <m:oMath>
              <m:sSup>
                <m:sSupPr>
                  <m:ctrlPr>
                    <w:rPr>
                      <w:rFonts w:ascii="Cambria Math" w:hAnsi="Cambria Math"/>
                      <w:i/>
                    </w:rPr>
                  </m:ctrlPr>
                </m:sSupPr>
                <m:e>
                  <m:r>
                    <w:rPr>
                      <w:rFonts w:ascii="Cambria Math" w:hAnsi="Cambria Math"/>
                    </w:rPr>
                    <m:t>C</m:t>
                  </m:r>
                </m:e>
                <m:sup>
                  <m:r>
                    <w:rPr>
                      <w:rFonts w:ascii="Cambria Math" w:hAnsi="Cambria Math"/>
                    </w:rPr>
                    <m:t>Bayes</m:t>
                  </m:r>
                </m:sup>
              </m:sSup>
              <m:d>
                <m:dPr>
                  <m:ctrlPr>
                    <w:rPr>
                      <w:rFonts w:ascii="Cambria Math" w:hAnsi="Cambria Math"/>
                      <w:i/>
                    </w:rPr>
                  </m:ctrlPr>
                </m:dPr>
                <m:e>
                  <m:r>
                    <w:rPr>
                      <w:rFonts w:ascii="Cambria Math" w:hAnsi="Cambria Math"/>
                    </w:rPr>
                    <m:t>x</m:t>
                  </m:r>
                </m:e>
              </m:d>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argmax</m:t>
                      </m:r>
                    </m:e>
                    <m:lim>
                      <m:r>
                        <w:rPr>
                          <w:rFonts w:ascii="Cambria Math" w:hAnsi="Cambria Math"/>
                        </w:rPr>
                        <m:t>uϵ</m:t>
                      </m:r>
                      <m:d>
                        <m:dPr>
                          <m:begChr m:val="{"/>
                          <m:endChr m:val="}"/>
                          <m:ctrlPr>
                            <w:rPr>
                              <w:rFonts w:ascii="Cambria Math" w:hAnsi="Cambria Math"/>
                              <w:i/>
                            </w:rPr>
                          </m:ctrlPr>
                        </m:dPr>
                        <m:e>
                          <m:r>
                            <w:rPr>
                              <w:rFonts w:ascii="Cambria Math" w:hAnsi="Cambria Math"/>
                            </w:rPr>
                            <m:t>1,2,…k</m:t>
                          </m:r>
                        </m:e>
                      </m:d>
                    </m:lim>
                  </m:limLow>
                </m:fName>
                <m:e>
                  <m:r>
                    <w:rPr>
                      <w:rFonts w:ascii="Cambria Math" w:hAnsi="Cambria Math"/>
                    </w:rPr>
                    <m:t>P(</m:t>
                  </m:r>
                  <m:d>
                    <m:dPr>
                      <m:begChr m:val=""/>
                      <m:endChr m:val="|"/>
                      <m:ctrlPr>
                        <w:rPr>
                          <w:rFonts w:ascii="Cambria Math" w:hAnsi="Cambria Math"/>
                          <w:i/>
                        </w:rPr>
                      </m:ctrlPr>
                    </m:dPr>
                    <m:e>
                      <m:r>
                        <w:rPr>
                          <w:rFonts w:ascii="Cambria Math" w:hAnsi="Cambria Math"/>
                        </w:rPr>
                        <m:t>Y=u</m:t>
                      </m:r>
                    </m:e>
                  </m:d>
                  <m:r>
                    <w:rPr>
                      <w:rFonts w:ascii="Cambria Math" w:hAnsi="Cambria Math"/>
                    </w:rPr>
                    <m:t>X=x)</m:t>
                  </m:r>
                </m:e>
              </m:func>
              <m:r>
                <w:rPr>
                  <w:rFonts w:ascii="Cambria Math" w:hAnsi="Cambria Math"/>
                </w:rPr>
                <m:t xml:space="preserve"> </m:t>
              </m:r>
            </m:oMath>
            <w:r w:rsidR="006C2142">
              <w:rPr>
                <w:rFonts w:eastAsiaTheme="minorEastAsia"/>
                <w:i/>
              </w:rPr>
              <w:t xml:space="preserve"> </w:t>
            </w:r>
          </w:p>
        </w:tc>
        <w:tc>
          <w:tcPr>
            <w:tcW w:w="772" w:type="dxa"/>
            <w:vAlign w:val="center"/>
          </w:tcPr>
          <w:p w14:paraId="0E5FC1CE" w14:textId="12E7458F" w:rsidR="006C2142" w:rsidRDefault="002C693A" w:rsidP="002C693A">
            <w:pPr>
              <w:spacing w:before="0" w:after="0"/>
              <w:jc w:val="right"/>
            </w:pPr>
            <w:r>
              <w:t>(</w:t>
            </w:r>
            <w:r w:rsidR="00427B33">
              <w:fldChar w:fldCharType="begin"/>
            </w:r>
            <w:r w:rsidR="00427B33">
              <w:instrText xml:space="preserve"> ST</w:instrText>
            </w:r>
            <w:r w:rsidR="00427B33">
              <w:instrText xml:space="preserve">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4</w:t>
            </w:r>
            <w:r w:rsidR="00427B33">
              <w:rPr>
                <w:noProof/>
              </w:rPr>
              <w:fldChar w:fldCharType="end"/>
            </w:r>
            <w:r>
              <w:t>)</w:t>
            </w:r>
          </w:p>
        </w:tc>
      </w:tr>
    </w:tbl>
    <w:p w14:paraId="6CD6CFA0" w14:textId="5E626890" w:rsidR="006C2142" w:rsidRDefault="006C2142" w:rsidP="006C2142">
      <w:pPr>
        <w:rPr>
          <w:lang w:val="en-GB"/>
        </w:rPr>
      </w:pPr>
      <w:r>
        <w:rPr>
          <w:lang w:val="en-GB"/>
        </w:rPr>
        <w:t>In a conditional probability model</w:t>
      </w:r>
      <w:r w:rsidR="00375A16">
        <w:rPr>
          <w:lang w:val="en-GB"/>
        </w:rPr>
        <w:t>,</w:t>
      </w:r>
      <w:r>
        <w:rPr>
          <w:lang w:val="en-GB"/>
        </w:rPr>
        <w:t xml:space="preserve"> Naïve Bayes is then represented by a vector </w:t>
      </w:r>
      <w:r>
        <w:rPr>
          <w:b/>
          <w:bCs/>
          <w:lang w:val="en-GB"/>
        </w:rPr>
        <w:t>x</w:t>
      </w:r>
      <w:r>
        <w:rPr>
          <w:lang w:val="en-GB"/>
        </w:rPr>
        <w:t xml:space="preserve"> = {</w:t>
      </w:r>
      <w:r>
        <w:rPr>
          <w:i/>
          <w:iCs/>
          <w:lang w:val="en-GB"/>
        </w:rPr>
        <w:t>x</w:t>
      </w:r>
      <w:r>
        <w:rPr>
          <w:i/>
          <w:iCs/>
          <w:vertAlign w:val="subscript"/>
          <w:lang w:val="en-GB"/>
        </w:rPr>
        <w:t>1</w:t>
      </w:r>
      <w:r>
        <w:rPr>
          <w:lang w:val="en-GB"/>
        </w:rPr>
        <w:t xml:space="preserve">, </w:t>
      </w:r>
      <w:r>
        <w:rPr>
          <w:i/>
          <w:iCs/>
          <w:lang w:val="en-GB"/>
        </w:rPr>
        <w:t>x</w:t>
      </w:r>
      <w:r>
        <w:rPr>
          <w:i/>
          <w:iCs/>
          <w:vertAlign w:val="subscript"/>
          <w:lang w:val="en-GB"/>
        </w:rPr>
        <w:t>2</w:t>
      </w:r>
      <w:r>
        <w:rPr>
          <w:lang w:val="en-GB"/>
        </w:rPr>
        <w:t>,…</w:t>
      </w:r>
      <w:r>
        <w:rPr>
          <w:i/>
          <w:iCs/>
          <w:lang w:val="en-GB"/>
        </w:rPr>
        <w:t>x</w:t>
      </w:r>
      <w:r>
        <w:rPr>
          <w:i/>
          <w:iCs/>
          <w:vertAlign w:val="subscript"/>
          <w:lang w:val="en-GB"/>
        </w:rPr>
        <w:t>n</w:t>
      </w:r>
      <w:r>
        <w:rPr>
          <w:lang w:val="en-GB"/>
        </w:rPr>
        <w:t xml:space="preserve">} consisting of </w:t>
      </w:r>
      <w:r>
        <w:rPr>
          <w:i/>
          <w:iCs/>
          <w:lang w:val="en-GB"/>
        </w:rPr>
        <w:t>n</w:t>
      </w:r>
      <w:r>
        <w:rPr>
          <w:lang w:val="en-GB"/>
        </w:rPr>
        <w:t xml:space="preserve"> features (independent) with probabilities of </w:t>
      </w:r>
      <w:r>
        <w:rPr>
          <w:i/>
          <w:iCs/>
          <w:lang w:val="en-GB"/>
        </w:rPr>
        <w:t>P</w:t>
      </w:r>
      <w:r>
        <w:rPr>
          <w:lang w:val="en-GB"/>
        </w:rPr>
        <w:t>(</w:t>
      </w:r>
      <w:r>
        <w:rPr>
          <w:i/>
          <w:iCs/>
          <w:lang w:val="en-GB"/>
        </w:rPr>
        <w:t>C</w:t>
      </w:r>
      <w:r>
        <w:rPr>
          <w:i/>
          <w:iCs/>
          <w:vertAlign w:val="subscript"/>
          <w:lang w:val="en-GB"/>
        </w:rPr>
        <w:t>k</w:t>
      </w:r>
      <w:r>
        <w:rPr>
          <w:lang w:val="en-GB"/>
        </w:rPr>
        <w:t>|</w:t>
      </w:r>
      <w:r w:rsidRPr="00F43119">
        <w:rPr>
          <w:i/>
          <w:iCs/>
          <w:lang w:val="en-GB"/>
        </w:rPr>
        <w:t xml:space="preserve"> </w:t>
      </w:r>
      <w:r>
        <w:rPr>
          <w:i/>
          <w:iCs/>
          <w:lang w:val="en-GB"/>
        </w:rPr>
        <w:t>x</w:t>
      </w:r>
      <w:r>
        <w:rPr>
          <w:i/>
          <w:iCs/>
          <w:vertAlign w:val="subscript"/>
          <w:lang w:val="en-GB"/>
        </w:rPr>
        <w:t>1</w:t>
      </w:r>
      <w:r>
        <w:rPr>
          <w:lang w:val="en-GB"/>
        </w:rPr>
        <w:t xml:space="preserve">, </w:t>
      </w:r>
      <w:r>
        <w:rPr>
          <w:i/>
          <w:iCs/>
          <w:lang w:val="en-GB"/>
        </w:rPr>
        <w:t>x</w:t>
      </w:r>
      <w:r>
        <w:rPr>
          <w:i/>
          <w:iCs/>
          <w:vertAlign w:val="subscript"/>
          <w:lang w:val="en-GB"/>
        </w:rPr>
        <w:t>2</w:t>
      </w:r>
      <w:r>
        <w:rPr>
          <w:lang w:val="en-GB"/>
        </w:rPr>
        <w:t>,…</w:t>
      </w:r>
      <w:r>
        <w:rPr>
          <w:i/>
          <w:iCs/>
          <w:lang w:val="en-GB"/>
        </w:rPr>
        <w:t>x</w:t>
      </w:r>
      <w:r>
        <w:rPr>
          <w:i/>
          <w:iCs/>
          <w:vertAlign w:val="subscript"/>
          <w:lang w:val="en-GB"/>
        </w:rPr>
        <w:t>n</w:t>
      </w:r>
      <w:r>
        <w:rPr>
          <w:lang w:val="en-GB"/>
        </w:rPr>
        <w:t xml:space="preserve">) for each possible outcome of class </w:t>
      </w:r>
      <w:r>
        <w:rPr>
          <w:i/>
          <w:iCs/>
          <w:lang w:val="en-GB"/>
        </w:rPr>
        <w:t>C</w:t>
      </w:r>
      <w:r>
        <w:rPr>
          <w:lang w:val="en-GB"/>
        </w:rPr>
        <w:t>. The problem is described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5"/>
        <w:gridCol w:w="772"/>
      </w:tblGrid>
      <w:tr w:rsidR="006C2142" w14:paraId="371F468B" w14:textId="77777777" w:rsidTr="002C693A">
        <w:tc>
          <w:tcPr>
            <w:tcW w:w="8245" w:type="dxa"/>
          </w:tcPr>
          <w:p w14:paraId="07E82B62" w14:textId="77777777" w:rsidR="006C2142" w:rsidRPr="00F30C1F" w:rsidRDefault="006C2142" w:rsidP="00CC5DAD">
            <w:pPr>
              <w:spacing w:before="0" w:after="0"/>
              <w:jc w:val="center"/>
              <w:rPr>
                <w:i/>
                <w:lang w:val="en-GB"/>
              </w:rPr>
            </w:pPr>
            <m:oMath>
              <m:r>
                <w:rPr>
                  <w:rFonts w:ascii="Cambria Math" w:eastAsiaTheme="minorEastAsia" w:hAnsi="Cambria Math"/>
                </w:rPr>
                <m:t>P</m:t>
              </m:r>
              <m:d>
                <m:dPr>
                  <m:ctrlPr>
                    <w:rPr>
                      <w:rFonts w:ascii="Cambria Math" w:eastAsiaTheme="minorEastAsia" w:hAnsi="Cambria Math"/>
                      <w:i/>
                    </w:rPr>
                  </m:ctrlPr>
                </m:dPr>
                <m:e>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k</m:t>
                          </m:r>
                        </m:sub>
                      </m:sSub>
                    </m:e>
                  </m:d>
                  <m:r>
                    <m:rPr>
                      <m:sty m:val="b"/>
                    </m:rPr>
                    <w:rPr>
                      <w:rFonts w:ascii="Cambria Math" w:eastAsiaTheme="minorEastAsia" w:hAnsi="Cambria Math"/>
                    </w:rPr>
                    <m:t>x</m:t>
                  </m:r>
                </m:e>
              </m:d>
              <m:r>
                <m:rPr>
                  <m:sty m:val="p"/>
                </m:rP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p</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k</m:t>
                          </m:r>
                        </m:sub>
                      </m:sSub>
                    </m:e>
                  </m:d>
                  <m:r>
                    <w:rPr>
                      <w:rFonts w:ascii="Cambria Math" w:eastAsiaTheme="minorEastAsia" w:hAnsi="Cambria Math"/>
                    </w:rPr>
                    <m:t>p(</m:t>
                  </m:r>
                  <m:d>
                    <m:dPr>
                      <m:begChr m:val=""/>
                      <m:endChr m:val="|"/>
                      <m:ctrlPr>
                        <w:rPr>
                          <w:rFonts w:ascii="Cambria Math" w:eastAsiaTheme="minorEastAsia" w:hAnsi="Cambria Math"/>
                          <w:i/>
                        </w:rPr>
                      </m:ctrlPr>
                    </m:dPr>
                    <m:e>
                      <m:r>
                        <m:rPr>
                          <m:sty m:val="b"/>
                        </m:rPr>
                        <w:rPr>
                          <w:rFonts w:ascii="Cambria Math" w:eastAsiaTheme="minorEastAsia" w:hAnsi="Cambria Math"/>
                        </w:rPr>
                        <m:t>x</m:t>
                      </m:r>
                    </m:e>
                  </m:d>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k</m:t>
                      </m:r>
                    </m:sub>
                  </m:sSub>
                  <m:r>
                    <w:rPr>
                      <w:rFonts w:ascii="Cambria Math" w:eastAsiaTheme="minorEastAsia" w:hAnsi="Cambria Math"/>
                    </w:rPr>
                    <m:t>)</m:t>
                  </m:r>
                </m:num>
                <m:den>
                  <m:r>
                    <w:rPr>
                      <w:rFonts w:ascii="Cambria Math" w:eastAsiaTheme="minorEastAsia" w:hAnsi="Cambria Math"/>
                    </w:rPr>
                    <m:t>p(</m:t>
                  </m:r>
                  <m:r>
                    <m:rPr>
                      <m:sty m:val="b"/>
                    </m:rPr>
                    <w:rPr>
                      <w:rFonts w:ascii="Cambria Math" w:eastAsiaTheme="minorEastAsia" w:hAnsi="Cambria Math"/>
                    </w:rPr>
                    <m:t>x</m:t>
                  </m:r>
                  <m:r>
                    <w:rPr>
                      <w:rFonts w:ascii="Cambria Math" w:eastAsiaTheme="minorEastAsia" w:hAnsi="Cambria Math"/>
                    </w:rPr>
                    <m:t>)</m:t>
                  </m:r>
                </m:den>
              </m:f>
            </m:oMath>
            <w:r>
              <w:rPr>
                <w:rFonts w:eastAsiaTheme="minorEastAsia"/>
                <w:i/>
              </w:rPr>
              <w:t>.</w:t>
            </w:r>
          </w:p>
        </w:tc>
        <w:tc>
          <w:tcPr>
            <w:tcW w:w="772" w:type="dxa"/>
            <w:vAlign w:val="center"/>
          </w:tcPr>
          <w:p w14:paraId="70D5049F" w14:textId="3209E732" w:rsidR="006C2142" w:rsidRDefault="002C693A" w:rsidP="002C693A">
            <w:pPr>
              <w:spacing w:before="0" w:after="0"/>
              <w:jc w:val="right"/>
            </w:pPr>
            <w: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5</w:t>
            </w:r>
            <w:r w:rsidR="00427B33">
              <w:rPr>
                <w:noProof/>
              </w:rPr>
              <w:fldChar w:fldCharType="end"/>
            </w:r>
            <w:r>
              <w:t>)</w:t>
            </w:r>
          </w:p>
        </w:tc>
      </w:tr>
    </w:tbl>
    <w:p w14:paraId="45E202DC" w14:textId="00523A6D" w:rsidR="006C2142" w:rsidRPr="00F43119" w:rsidRDefault="006C2142" w:rsidP="006C2142">
      <w:pPr>
        <w:rPr>
          <w:lang w:val="en-GB"/>
        </w:rPr>
      </w:pPr>
      <w:r>
        <w:rPr>
          <w:lang w:val="en-GB"/>
        </w:rPr>
        <w:t>in simple terms, the model represents: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5"/>
        <w:gridCol w:w="772"/>
      </w:tblGrid>
      <w:tr w:rsidR="006C2142" w14:paraId="5B427457" w14:textId="77777777" w:rsidTr="002C693A">
        <w:trPr>
          <w:trHeight w:val="453"/>
        </w:trPr>
        <w:tc>
          <w:tcPr>
            <w:tcW w:w="8245" w:type="dxa"/>
          </w:tcPr>
          <w:p w14:paraId="0A948CE3" w14:textId="77777777" w:rsidR="006C2142" w:rsidRPr="00F30C1F" w:rsidRDefault="006C2142" w:rsidP="00CC5DAD">
            <w:pPr>
              <w:spacing w:before="0" w:after="0"/>
              <w:jc w:val="center"/>
              <w:rPr>
                <w:i/>
                <w:lang w:val="en-GB"/>
              </w:rPr>
            </w:pPr>
            <m:oMath>
              <m:r>
                <w:rPr>
                  <w:rFonts w:ascii="Cambria Math" w:eastAsiaTheme="minorEastAsia" w:hAnsi="Cambria Math"/>
                </w:rPr>
                <m:t>P</m:t>
              </m:r>
              <m:d>
                <m:dPr>
                  <m:ctrlPr>
                    <w:rPr>
                      <w:rFonts w:ascii="Cambria Math" w:eastAsiaTheme="minorEastAsia" w:hAnsi="Cambria Math"/>
                      <w:i/>
                    </w:rPr>
                  </m:ctrlPr>
                </m:dPr>
                <m:e>
                  <m:r>
                    <w:rPr>
                      <w:rFonts w:ascii="Cambria Math" w:eastAsiaTheme="minorEastAsia" w:hAnsi="Cambria Math"/>
                    </w:rPr>
                    <m:t>Y=</m:t>
                  </m:r>
                  <m:d>
                    <m:dPr>
                      <m:begChr m:val=""/>
                      <m:endChr m:val="|"/>
                      <m:ctrlPr>
                        <w:rPr>
                          <w:rFonts w:ascii="Cambria Math" w:eastAsiaTheme="minorEastAsia" w:hAnsi="Cambria Math"/>
                          <w:i/>
                        </w:rPr>
                      </m:ctrlPr>
                    </m:dPr>
                    <m:e>
                      <m:r>
                        <w:rPr>
                          <w:rFonts w:ascii="Cambria Math" w:eastAsiaTheme="minorEastAsia" w:hAnsi="Cambria Math"/>
                        </w:rPr>
                        <m:t>y</m:t>
                      </m:r>
                    </m:e>
                  </m:d>
                  <m:r>
                    <m:rPr>
                      <m:sty m:val="p"/>
                    </m:rPr>
                    <w:rPr>
                      <w:rFonts w:ascii="Cambria Math" w:eastAsiaTheme="minorEastAsia" w:hAnsi="Cambria Math"/>
                    </w:rPr>
                    <m:t>X=</m:t>
                  </m:r>
                  <m:d>
                    <m:dPr>
                      <m:ctrlPr>
                        <w:rPr>
                          <w:rFonts w:ascii="Cambria Math" w:eastAsiaTheme="minorEastAsia" w:hAnsi="Cambria Math"/>
                          <w:iCs/>
                        </w:rPr>
                      </m:ctrlPr>
                    </m:dPr>
                    <m:e>
                      <m:sSub>
                        <m:sSubPr>
                          <m:ctrlPr>
                            <w:rPr>
                              <w:rFonts w:ascii="Cambria Math" w:eastAsiaTheme="minorEastAsia" w:hAnsi="Cambria Math"/>
                              <w:iCs/>
                            </w:rPr>
                          </m:ctrlPr>
                        </m:sSubPr>
                        <m:e>
                          <m:r>
                            <w:rPr>
                              <w:rFonts w:ascii="Cambria Math" w:eastAsiaTheme="minorEastAsia" w:hAnsi="Cambria Math"/>
                            </w:rPr>
                            <m:t>x</m:t>
                          </m:r>
                        </m:e>
                        <m:sub>
                          <m:r>
                            <w:rPr>
                              <w:rFonts w:ascii="Cambria Math" w:eastAsiaTheme="minorEastAsia" w:hAnsi="Cambria Math"/>
                            </w:rPr>
                            <m:t>1</m:t>
                          </m:r>
                        </m:sub>
                      </m:sSub>
                      <m:r>
                        <m:rPr>
                          <m:sty m:val="p"/>
                        </m:rPr>
                        <w:rPr>
                          <w:rFonts w:ascii="Cambria Math" w:eastAsiaTheme="minorEastAsia" w:hAnsi="Cambria Math"/>
                        </w:rPr>
                        <m:t>,</m:t>
                      </m:r>
                      <m:sSub>
                        <m:sSubPr>
                          <m:ctrlPr>
                            <w:rPr>
                              <w:rFonts w:ascii="Cambria Math" w:eastAsiaTheme="minorEastAsia" w:hAnsi="Cambria Math"/>
                              <w:iCs/>
                            </w:rPr>
                          </m:ctrlPr>
                        </m:sSubPr>
                        <m:e>
                          <m:r>
                            <w:rPr>
                              <w:rFonts w:ascii="Cambria Math" w:eastAsiaTheme="minorEastAsia" w:hAnsi="Cambria Math"/>
                            </w:rPr>
                            <m:t>x</m:t>
                          </m:r>
                        </m:e>
                        <m:sub>
                          <m:r>
                            <w:rPr>
                              <w:rFonts w:ascii="Cambria Math" w:eastAsiaTheme="minorEastAsia" w:hAnsi="Cambria Math"/>
                            </w:rPr>
                            <m:t>2</m:t>
                          </m:r>
                        </m:sub>
                      </m:sSub>
                      <m:r>
                        <m:rPr>
                          <m:sty m:val="p"/>
                        </m:rPr>
                        <w:rPr>
                          <w:rFonts w:ascii="Cambria Math" w:eastAsiaTheme="minorEastAsia" w:hAnsi="Cambria Math"/>
                        </w:rPr>
                        <m:t>…</m:t>
                      </m:r>
                      <m:sSub>
                        <m:sSubPr>
                          <m:ctrlPr>
                            <w:rPr>
                              <w:rFonts w:ascii="Cambria Math" w:eastAsiaTheme="minorEastAsia" w:hAnsi="Cambria Math"/>
                              <w:iCs/>
                            </w:rPr>
                          </m:ctrlPr>
                        </m:sSubPr>
                        <m:e>
                          <m:r>
                            <w:rPr>
                              <w:rFonts w:ascii="Cambria Math" w:eastAsiaTheme="minorEastAsia" w:hAnsi="Cambria Math"/>
                            </w:rPr>
                            <m:t>x</m:t>
                          </m:r>
                        </m:e>
                        <m:sub>
                          <m:r>
                            <w:rPr>
                              <w:rFonts w:ascii="Cambria Math" w:eastAsiaTheme="minorEastAsia" w:hAnsi="Cambria Math"/>
                            </w:rPr>
                            <m:t>n</m:t>
                          </m:r>
                        </m:sub>
                      </m:sSub>
                    </m:e>
                  </m:d>
                </m:e>
              </m:d>
              <m:r>
                <m:rPr>
                  <m:sty m:val="p"/>
                </m:rPr>
                <w:rPr>
                  <w:rFonts w:ascii="Cambria Math" w:eastAsiaTheme="minorEastAsia" w:hAnsi="Cambria Math"/>
                </w:rPr>
                <m:t>=</m:t>
              </m:r>
              <m:f>
                <m:fPr>
                  <m:ctrlPr>
                    <w:rPr>
                      <w:rFonts w:ascii="Cambria Math" w:eastAsiaTheme="minorEastAsia" w:hAnsi="Cambria Math"/>
                      <w:iCs/>
                    </w:rPr>
                  </m:ctrlPr>
                </m:fPr>
                <m:num>
                  <m:r>
                    <w:rPr>
                      <w:rFonts w:ascii="Cambria Math" w:eastAsiaTheme="minorEastAsia" w:hAnsi="Cambria Math"/>
                    </w:rPr>
                    <m:t>P</m:t>
                  </m:r>
                  <m:d>
                    <m:dPr>
                      <m:ctrlPr>
                        <w:rPr>
                          <w:rFonts w:ascii="Cambria Math" w:eastAsiaTheme="minorEastAsia" w:hAnsi="Cambria Math"/>
                          <w:i/>
                          <w:iCs/>
                        </w:rPr>
                      </m:ctrlPr>
                    </m:dPr>
                    <m:e>
                      <m:d>
                        <m:dPr>
                          <m:begChr m:val=""/>
                          <m:endChr m:val="|"/>
                          <m:ctrlPr>
                            <w:rPr>
                              <w:rFonts w:ascii="Cambria Math" w:eastAsiaTheme="minorEastAsia" w:hAnsi="Cambria Math"/>
                              <w:i/>
                              <w:iCs/>
                            </w:rPr>
                          </m:ctrlPr>
                        </m:dPr>
                        <m:e>
                          <m:r>
                            <w:rPr>
                              <w:rFonts w:ascii="Cambria Math" w:eastAsiaTheme="minorEastAsia" w:hAnsi="Cambria Math"/>
                            </w:rPr>
                            <m:t>X</m:t>
                          </m:r>
                        </m:e>
                      </m:d>
                      <m:r>
                        <w:rPr>
                          <w:rFonts w:ascii="Cambria Math" w:eastAsiaTheme="minorEastAsia" w:hAnsi="Cambria Math"/>
                        </w:rPr>
                        <m:t>Y</m:t>
                      </m:r>
                    </m:e>
                  </m:d>
                  <m:r>
                    <w:rPr>
                      <w:rFonts w:ascii="Cambria Math" w:eastAsiaTheme="minorEastAsia" w:hAnsi="Cambria Math"/>
                    </w:rPr>
                    <m:t>P(Y)</m:t>
                  </m:r>
                </m:num>
                <m:den>
                  <m:r>
                    <w:rPr>
                      <w:rFonts w:ascii="Cambria Math" w:eastAsiaTheme="minorEastAsia" w:hAnsi="Cambria Math"/>
                    </w:rPr>
                    <m:t>P(X)</m:t>
                  </m:r>
                </m:den>
              </m:f>
              <m:r>
                <m:rPr>
                  <m:sty m:val="p"/>
                </m:rP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likelihood ∙prior</m:t>
                  </m:r>
                </m:num>
                <m:den>
                  <m:r>
                    <w:rPr>
                      <w:rFonts w:ascii="Cambria Math" w:eastAsiaTheme="minorEastAsia" w:hAnsi="Cambria Math"/>
                    </w:rPr>
                    <m:t>evidence</m:t>
                  </m:r>
                </m:den>
              </m:f>
            </m:oMath>
            <w:r>
              <w:rPr>
                <w:rFonts w:eastAsiaTheme="minorEastAsia"/>
                <w:i/>
              </w:rPr>
              <w:t>.</w:t>
            </w:r>
          </w:p>
        </w:tc>
        <w:tc>
          <w:tcPr>
            <w:tcW w:w="772" w:type="dxa"/>
            <w:vAlign w:val="center"/>
          </w:tcPr>
          <w:p w14:paraId="7FEDA791" w14:textId="42BEB027" w:rsidR="006C2142" w:rsidRDefault="002C693A" w:rsidP="002C693A">
            <w:pPr>
              <w:spacing w:before="0" w:after="0"/>
              <w:jc w:val="right"/>
            </w:pPr>
            <w: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6</w:t>
            </w:r>
            <w:r w:rsidR="00427B33">
              <w:rPr>
                <w:noProof/>
              </w:rPr>
              <w:fldChar w:fldCharType="end"/>
            </w:r>
            <w:r>
              <w:t>)</w:t>
            </w:r>
          </w:p>
        </w:tc>
      </w:tr>
    </w:tbl>
    <w:p w14:paraId="1F760174" w14:textId="248352C6" w:rsidR="006C2142" w:rsidRDefault="006C2142" w:rsidP="006C2142">
      <w:pPr>
        <w:rPr>
          <w:lang w:val="en-GB"/>
        </w:rPr>
      </w:pPr>
      <w:r>
        <w:rPr>
          <w:lang w:val="en-GB"/>
        </w:rPr>
        <w:t>Given the equation</w:t>
      </w:r>
      <w:r w:rsidR="00375A16">
        <w:rPr>
          <w:lang w:val="en-GB"/>
        </w:rPr>
        <w:t>,</w:t>
      </w:r>
      <w:r>
        <w:rPr>
          <w:lang w:val="en-GB"/>
        </w:rPr>
        <w:t xml:space="preserve"> it can be understood that Naïve Bayes Classifier is Generative Learning Algorithm. This means that it learns from its prior probability</w:t>
      </w:r>
      <w:r w:rsidR="00375A16">
        <w:rPr>
          <w:lang w:val="en-GB"/>
        </w:rPr>
        <w:t>.</w:t>
      </w:r>
      <w:r>
        <w:rPr>
          <w:lang w:val="en-GB"/>
        </w:rPr>
        <w:t xml:space="preserve"> The </w:t>
      </w:r>
      <w:r w:rsidR="00375A16">
        <w:rPr>
          <w:lang w:val="en-GB"/>
        </w:rPr>
        <w:t xml:space="preserve">prior </w:t>
      </w:r>
      <w:r>
        <w:rPr>
          <w:lang w:val="en-GB"/>
        </w:rPr>
        <w:t>probability is then calculated from the input features given known features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5"/>
        <w:gridCol w:w="772"/>
      </w:tblGrid>
      <w:tr w:rsidR="006C2142" w14:paraId="1C69609C" w14:textId="77777777" w:rsidTr="002C693A">
        <w:tc>
          <w:tcPr>
            <w:tcW w:w="8245" w:type="dxa"/>
          </w:tcPr>
          <w:p w14:paraId="0D227C6F" w14:textId="77777777" w:rsidR="006C2142" w:rsidRPr="00F30C1F" w:rsidRDefault="006C2142" w:rsidP="00CC5DAD">
            <w:pPr>
              <w:spacing w:before="0" w:after="0"/>
              <w:jc w:val="center"/>
              <w:rPr>
                <w:i/>
                <w:lang w:val="en-GB"/>
              </w:rPr>
            </w:pPr>
            <m:oMathPara>
              <m:oMath>
                <m:r>
                  <w:rPr>
                    <w:rFonts w:ascii="Cambria Math" w:eastAsiaTheme="minorEastAsia" w:hAnsi="Cambria Math"/>
                  </w:rPr>
                  <m:t>P</m:t>
                </m:r>
                <m:d>
                  <m:dPr>
                    <m:ctrlPr>
                      <w:rPr>
                        <w:rFonts w:ascii="Cambria Math" w:eastAsiaTheme="minorEastAsia" w:hAnsi="Cambria Math"/>
                        <w:i/>
                        <w:iCs/>
                      </w:rPr>
                    </m:ctrlPr>
                  </m:dPr>
                  <m:e>
                    <m:r>
                      <w:rPr>
                        <w:rFonts w:ascii="Cambria Math" w:eastAsiaTheme="minorEastAsia" w:hAnsi="Cambria Math"/>
                      </w:rPr>
                      <m:t>X</m:t>
                    </m:r>
                  </m:e>
                </m:d>
                <m:r>
                  <w:rPr>
                    <w:rFonts w:ascii="Cambria Math" w:eastAsiaTheme="minorEastAsia" w:hAnsi="Cambria Math"/>
                  </w:rPr>
                  <m:t>=P</m:t>
                </m:r>
                <m:d>
                  <m:dPr>
                    <m:ctrlPr>
                      <w:rPr>
                        <w:rFonts w:ascii="Cambria Math" w:eastAsiaTheme="minorEastAsia" w:hAnsi="Cambria Math"/>
                        <w:i/>
                        <w:iCs/>
                      </w:rPr>
                    </m:ctrlPr>
                  </m:dPr>
                  <m:e>
                    <m:d>
                      <m:dPr>
                        <m:begChr m:val=""/>
                        <m:endChr m:val="|"/>
                        <m:ctrlPr>
                          <w:rPr>
                            <w:rFonts w:ascii="Cambria Math" w:eastAsiaTheme="minorEastAsia" w:hAnsi="Cambria Math"/>
                            <w:i/>
                            <w:iCs/>
                          </w:rPr>
                        </m:ctrlPr>
                      </m:dPr>
                      <m:e>
                        <m:r>
                          <w:rPr>
                            <w:rFonts w:ascii="Cambria Math" w:eastAsiaTheme="minorEastAsia" w:hAnsi="Cambria Math"/>
                          </w:rPr>
                          <m:t>X</m:t>
                        </m:r>
                      </m:e>
                    </m:d>
                    <m:sSub>
                      <m:sSubPr>
                        <m:ctrlPr>
                          <w:rPr>
                            <w:rFonts w:ascii="Cambria Math" w:eastAsiaTheme="minorEastAsia" w:hAnsi="Cambria Math"/>
                            <w:i/>
                            <w:iCs/>
                          </w:rPr>
                        </m:ctrlPr>
                      </m:sSubPr>
                      <m:e>
                        <m:r>
                          <w:rPr>
                            <w:rFonts w:ascii="Cambria Math" w:eastAsiaTheme="minorEastAsia" w:hAnsi="Cambria Math"/>
                          </w:rPr>
                          <m:t>Y</m:t>
                        </m:r>
                      </m:e>
                      <m:sub>
                        <m:r>
                          <w:rPr>
                            <w:rFonts w:ascii="Cambria Math" w:eastAsiaTheme="minorEastAsia" w:hAnsi="Cambria Math"/>
                          </w:rPr>
                          <m:t>n-1</m:t>
                        </m:r>
                      </m:sub>
                    </m:sSub>
                  </m:e>
                </m:d>
                <m:r>
                  <w:rPr>
                    <w:rFonts w:ascii="Cambria Math" w:eastAsiaTheme="minorEastAsia" w:hAnsi="Cambria Math"/>
                  </w:rPr>
                  <m:t>P</m:t>
                </m:r>
                <m:d>
                  <m:dPr>
                    <m:ctrlPr>
                      <w:rPr>
                        <w:rFonts w:ascii="Cambria Math" w:eastAsiaTheme="minorEastAsia" w:hAnsi="Cambria Math"/>
                        <w:i/>
                        <w:iCs/>
                      </w:rPr>
                    </m:ctrlPr>
                  </m:dPr>
                  <m:e>
                    <m:sSub>
                      <m:sSubPr>
                        <m:ctrlPr>
                          <w:rPr>
                            <w:rFonts w:ascii="Cambria Math" w:eastAsiaTheme="minorEastAsia" w:hAnsi="Cambria Math"/>
                            <w:i/>
                            <w:iCs/>
                          </w:rPr>
                        </m:ctrlPr>
                      </m:sSubPr>
                      <m:e>
                        <m:r>
                          <w:rPr>
                            <w:rFonts w:ascii="Cambria Math" w:eastAsiaTheme="minorEastAsia" w:hAnsi="Cambria Math"/>
                          </w:rPr>
                          <m:t>Y</m:t>
                        </m:r>
                      </m:e>
                      <m:sub>
                        <m:r>
                          <w:rPr>
                            <w:rFonts w:ascii="Cambria Math" w:eastAsiaTheme="minorEastAsia" w:hAnsi="Cambria Math"/>
                          </w:rPr>
                          <m:t>n-1</m:t>
                        </m:r>
                      </m:sub>
                    </m:sSub>
                  </m:e>
                </m:d>
                <m:r>
                  <w:rPr>
                    <w:rFonts w:ascii="Cambria Math" w:eastAsiaTheme="minorEastAsia" w:hAnsi="Cambria Math"/>
                  </w:rPr>
                  <m:t>+P</m:t>
                </m:r>
                <m:d>
                  <m:dPr>
                    <m:ctrlPr>
                      <w:rPr>
                        <w:rFonts w:ascii="Cambria Math" w:eastAsiaTheme="minorEastAsia" w:hAnsi="Cambria Math"/>
                        <w:i/>
                        <w:iCs/>
                      </w:rPr>
                    </m:ctrlPr>
                  </m:dPr>
                  <m:e>
                    <m:d>
                      <m:dPr>
                        <m:begChr m:val=""/>
                        <m:endChr m:val="|"/>
                        <m:ctrlPr>
                          <w:rPr>
                            <w:rFonts w:ascii="Cambria Math" w:eastAsiaTheme="minorEastAsia" w:hAnsi="Cambria Math"/>
                            <w:i/>
                            <w:iCs/>
                          </w:rPr>
                        </m:ctrlPr>
                      </m:dPr>
                      <m:e>
                        <m:r>
                          <w:rPr>
                            <w:rFonts w:ascii="Cambria Math" w:eastAsiaTheme="minorEastAsia" w:hAnsi="Cambria Math"/>
                          </w:rPr>
                          <m:t>X</m:t>
                        </m:r>
                      </m:e>
                    </m:d>
                    <m:sSub>
                      <m:sSubPr>
                        <m:ctrlPr>
                          <w:rPr>
                            <w:rFonts w:ascii="Cambria Math" w:eastAsiaTheme="minorEastAsia" w:hAnsi="Cambria Math"/>
                            <w:i/>
                            <w:iCs/>
                          </w:rPr>
                        </m:ctrlPr>
                      </m:sSubPr>
                      <m:e>
                        <m:r>
                          <w:rPr>
                            <w:rFonts w:ascii="Cambria Math" w:eastAsiaTheme="minorEastAsia" w:hAnsi="Cambria Math"/>
                          </w:rPr>
                          <m:t>Y</m:t>
                        </m:r>
                      </m:e>
                      <m:sub>
                        <m:r>
                          <w:rPr>
                            <w:rFonts w:ascii="Cambria Math" w:eastAsiaTheme="minorEastAsia" w:hAnsi="Cambria Math"/>
                          </w:rPr>
                          <m:t>n</m:t>
                        </m:r>
                      </m:sub>
                    </m:sSub>
                  </m:e>
                </m:d>
                <m:r>
                  <w:rPr>
                    <w:rFonts w:ascii="Cambria Math" w:eastAsiaTheme="minorEastAsia" w:hAnsi="Cambria Math"/>
                  </w:rPr>
                  <m:t>P</m:t>
                </m:r>
                <m:d>
                  <m:dPr>
                    <m:ctrlPr>
                      <w:rPr>
                        <w:rFonts w:ascii="Cambria Math" w:eastAsiaTheme="minorEastAsia" w:hAnsi="Cambria Math"/>
                        <w:i/>
                        <w:iCs/>
                      </w:rPr>
                    </m:ctrlPr>
                  </m:dPr>
                  <m:e>
                    <m:sSub>
                      <m:sSubPr>
                        <m:ctrlPr>
                          <w:rPr>
                            <w:rFonts w:ascii="Cambria Math" w:eastAsiaTheme="minorEastAsia" w:hAnsi="Cambria Math"/>
                            <w:i/>
                            <w:iCs/>
                          </w:rPr>
                        </m:ctrlPr>
                      </m:sSubPr>
                      <m:e>
                        <m:r>
                          <w:rPr>
                            <w:rFonts w:ascii="Cambria Math" w:eastAsiaTheme="minorEastAsia" w:hAnsi="Cambria Math"/>
                          </w:rPr>
                          <m:t>Y</m:t>
                        </m:r>
                      </m:e>
                      <m:sub>
                        <m:r>
                          <w:rPr>
                            <w:rFonts w:ascii="Cambria Math" w:eastAsiaTheme="minorEastAsia" w:hAnsi="Cambria Math"/>
                          </w:rPr>
                          <m:t>n</m:t>
                        </m:r>
                      </m:sub>
                    </m:sSub>
                  </m:e>
                </m:d>
              </m:oMath>
            </m:oMathPara>
          </w:p>
        </w:tc>
        <w:tc>
          <w:tcPr>
            <w:tcW w:w="772" w:type="dxa"/>
            <w:vAlign w:val="center"/>
          </w:tcPr>
          <w:p w14:paraId="7F0C7820" w14:textId="2A244E86" w:rsidR="006C2142" w:rsidRDefault="002C693A" w:rsidP="002C693A">
            <w:pPr>
              <w:spacing w:before="0" w:after="0"/>
              <w:jc w:val="right"/>
            </w:pPr>
            <w: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7</w:t>
            </w:r>
            <w:r w:rsidR="00427B33">
              <w:rPr>
                <w:noProof/>
              </w:rPr>
              <w:fldChar w:fldCharType="end"/>
            </w:r>
            <w:r>
              <w:t>)</w:t>
            </w:r>
          </w:p>
        </w:tc>
      </w:tr>
    </w:tbl>
    <w:p w14:paraId="11ABF340" w14:textId="35574DC6" w:rsidR="006C2142" w:rsidRPr="00A47F9D" w:rsidRDefault="00375A16" w:rsidP="006C2142">
      <w:pPr>
        <w:rPr>
          <w:lang w:val="en-GB"/>
        </w:rPr>
      </w:pPr>
      <w:r>
        <w:rPr>
          <w:lang w:val="en-GB"/>
        </w:rPr>
        <w:t>The d</w:t>
      </w:r>
      <w:r w:rsidR="006C2142">
        <w:rPr>
          <w:lang w:val="en-GB"/>
        </w:rPr>
        <w:t xml:space="preserve">iscretisation of probability is done by transforming </w:t>
      </w:r>
      <w:r w:rsidR="006C2142" w:rsidRPr="00375A16">
        <w:rPr>
          <w:b/>
          <w:bCs/>
          <w:i/>
          <w:iCs/>
          <w:lang w:val="en-GB"/>
        </w:rPr>
        <w:t>x</w:t>
      </w:r>
      <w:r w:rsidR="006C2142">
        <w:rPr>
          <w:lang w:val="en-GB"/>
        </w:rPr>
        <w:t xml:space="preserve"> є (</w:t>
      </w:r>
      <w:r w:rsidR="006C2142" w:rsidRPr="00A47F9D">
        <w:rPr>
          <w:i/>
          <w:iCs/>
          <w:lang w:val="en-GB"/>
        </w:rPr>
        <w:t>x</w:t>
      </w:r>
      <w:r w:rsidR="006C2142" w:rsidRPr="00A47F9D">
        <w:rPr>
          <w:i/>
          <w:iCs/>
          <w:vertAlign w:val="subscript"/>
          <w:lang w:val="en-GB"/>
        </w:rPr>
        <w:t>1</w:t>
      </w:r>
      <w:r w:rsidR="006C2142" w:rsidRPr="00A47F9D">
        <w:rPr>
          <w:i/>
          <w:iCs/>
          <w:lang w:val="en-GB"/>
        </w:rPr>
        <w:t>, x</w:t>
      </w:r>
      <w:r w:rsidR="006C2142" w:rsidRPr="00A47F9D">
        <w:rPr>
          <w:i/>
          <w:iCs/>
          <w:vertAlign w:val="subscript"/>
          <w:lang w:val="en-GB"/>
        </w:rPr>
        <w:t>2</w:t>
      </w:r>
      <w:r w:rsidR="006C2142">
        <w:rPr>
          <w:lang w:val="en-GB"/>
        </w:rPr>
        <w:t>…</w:t>
      </w:r>
      <w:r w:rsidR="006C2142" w:rsidRPr="00A47F9D">
        <w:rPr>
          <w:i/>
          <w:iCs/>
          <w:lang w:val="en-GB"/>
        </w:rPr>
        <w:t>x</w:t>
      </w:r>
      <w:r w:rsidR="006C2142" w:rsidRPr="00A47F9D">
        <w:rPr>
          <w:i/>
          <w:iCs/>
          <w:vertAlign w:val="subscript"/>
          <w:lang w:val="en-GB"/>
        </w:rPr>
        <w:t>n</w:t>
      </w:r>
      <w:r w:rsidR="006C2142">
        <w:rPr>
          <w:lang w:val="en-GB"/>
        </w:rPr>
        <w:t xml:space="preserve">), where </w:t>
      </w:r>
      <w:r w:rsidR="006C2142">
        <w:rPr>
          <w:i/>
          <w:iCs/>
          <w:lang w:val="en-GB"/>
        </w:rPr>
        <w:t>x</w:t>
      </w:r>
      <w:r w:rsidR="006C2142">
        <w:rPr>
          <w:i/>
          <w:iCs/>
          <w:vertAlign w:val="subscript"/>
          <w:lang w:val="en-GB"/>
        </w:rPr>
        <w:t>i</w:t>
      </w:r>
      <w:r w:rsidR="006C2142">
        <w:rPr>
          <w:lang w:val="en-GB"/>
        </w:rPr>
        <w:t xml:space="preserve"> is a continuous value of a variable in a given dataset </w:t>
      </w:r>
      <w:r w:rsidR="006C2142">
        <w:rPr>
          <w:i/>
          <w:iCs/>
          <w:lang w:val="en-GB"/>
        </w:rPr>
        <w:t>D</w:t>
      </w:r>
      <w:r w:rsidR="006C2142">
        <w:rPr>
          <w:lang w:val="en-GB"/>
        </w:rPr>
        <w:t xml:space="preserve">, into a new given categorical variable as group </w:t>
      </w:r>
      <w:r w:rsidR="006C2142" w:rsidRPr="0073032A">
        <w:rPr>
          <w:i/>
          <w:iCs/>
          <w:lang w:val="en-GB"/>
        </w:rPr>
        <w:t>G</w:t>
      </w:r>
      <w:r>
        <w:rPr>
          <w:i/>
          <w:iCs/>
          <w:lang w:val="en-GB"/>
        </w:rPr>
        <w:t>.</w:t>
      </w:r>
      <w:r w:rsidR="006C2142">
        <w:rPr>
          <w:lang w:val="en-GB"/>
        </w:rPr>
        <w:t xml:space="preserve"> The second step includes fitting a known distribution (e.g. normal, Poisson) to given features: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5"/>
        <w:gridCol w:w="772"/>
      </w:tblGrid>
      <w:tr w:rsidR="006C2142" w14:paraId="6104EDE8" w14:textId="77777777" w:rsidTr="002C693A">
        <w:tc>
          <w:tcPr>
            <w:tcW w:w="8245" w:type="dxa"/>
          </w:tcPr>
          <w:p w14:paraId="0C9FA908" w14:textId="77777777" w:rsidR="006C2142" w:rsidRPr="00F30C1F" w:rsidRDefault="006C2142" w:rsidP="00CC5DAD">
            <w:pPr>
              <w:spacing w:before="0" w:after="0"/>
              <w:jc w:val="center"/>
              <w:rPr>
                <w:i/>
                <w:lang w:val="en-GB"/>
              </w:rPr>
            </w:pPr>
            <m:oMathPara>
              <m:oMath>
                <m:r>
                  <w:rPr>
                    <w:rFonts w:ascii="Cambria Math" w:eastAsiaTheme="minorEastAsia" w:hAnsi="Cambria Math"/>
                  </w:rPr>
                  <m:t>P</m:t>
                </m:r>
                <m:d>
                  <m:dPr>
                    <m:ctrlPr>
                      <w:rPr>
                        <w:rFonts w:ascii="Cambria Math" w:eastAsiaTheme="minorEastAsia" w:hAnsi="Cambria Math"/>
                        <w:i/>
                        <w:iCs/>
                      </w:rPr>
                    </m:ctrlPr>
                  </m:dPr>
                  <m:e>
                    <m:d>
                      <m:dPr>
                        <m:begChr m:val=""/>
                        <m:endChr m:val="|"/>
                        <m:ctrlPr>
                          <w:rPr>
                            <w:rFonts w:ascii="Cambria Math" w:eastAsiaTheme="minorEastAsia" w:hAnsi="Cambria Math"/>
                            <w:i/>
                            <w:iCs/>
                          </w:rPr>
                        </m:ctrlPr>
                      </m:dPr>
                      <m:e>
                        <m:r>
                          <m:rPr>
                            <m:sty m:val="p"/>
                          </m:rPr>
                          <w:rPr>
                            <w:rFonts w:ascii="Cambria Math" w:eastAsiaTheme="minorEastAsia" w:hAnsi="Cambria Math"/>
                          </w:rPr>
                          <m:t>X=</m:t>
                        </m:r>
                        <m:d>
                          <m:dPr>
                            <m:ctrlPr>
                              <w:rPr>
                                <w:rFonts w:ascii="Cambria Math" w:eastAsiaTheme="minorEastAsia" w:hAnsi="Cambria Math"/>
                                <w:iCs/>
                              </w:rPr>
                            </m:ctrlPr>
                          </m:dPr>
                          <m:e>
                            <m:sSub>
                              <m:sSubPr>
                                <m:ctrlPr>
                                  <w:rPr>
                                    <w:rFonts w:ascii="Cambria Math" w:eastAsiaTheme="minorEastAsia" w:hAnsi="Cambria Math"/>
                                    <w:iCs/>
                                  </w:rPr>
                                </m:ctrlPr>
                              </m:sSubPr>
                              <m:e>
                                <m:r>
                                  <w:rPr>
                                    <w:rFonts w:ascii="Cambria Math" w:eastAsiaTheme="minorEastAsia" w:hAnsi="Cambria Math"/>
                                  </w:rPr>
                                  <m:t>x</m:t>
                                </m:r>
                              </m:e>
                              <m:sub>
                                <m:r>
                                  <w:rPr>
                                    <w:rFonts w:ascii="Cambria Math" w:eastAsiaTheme="minorEastAsia" w:hAnsi="Cambria Math"/>
                                  </w:rPr>
                                  <m:t>1</m:t>
                                </m:r>
                              </m:sub>
                            </m:sSub>
                            <m:r>
                              <m:rPr>
                                <m:sty m:val="p"/>
                              </m:rPr>
                              <w:rPr>
                                <w:rFonts w:ascii="Cambria Math" w:eastAsiaTheme="minorEastAsia" w:hAnsi="Cambria Math"/>
                              </w:rPr>
                              <m:t>,</m:t>
                            </m:r>
                            <m:sSub>
                              <m:sSubPr>
                                <m:ctrlPr>
                                  <w:rPr>
                                    <w:rFonts w:ascii="Cambria Math" w:eastAsiaTheme="minorEastAsia" w:hAnsi="Cambria Math"/>
                                    <w:iCs/>
                                  </w:rPr>
                                </m:ctrlPr>
                              </m:sSubPr>
                              <m:e>
                                <m:r>
                                  <w:rPr>
                                    <w:rFonts w:ascii="Cambria Math" w:eastAsiaTheme="minorEastAsia" w:hAnsi="Cambria Math"/>
                                  </w:rPr>
                                  <m:t>x</m:t>
                                </m:r>
                              </m:e>
                              <m:sub>
                                <m:r>
                                  <w:rPr>
                                    <w:rFonts w:ascii="Cambria Math" w:eastAsiaTheme="minorEastAsia" w:hAnsi="Cambria Math"/>
                                  </w:rPr>
                                  <m:t>2</m:t>
                                </m:r>
                              </m:sub>
                            </m:sSub>
                            <m:r>
                              <m:rPr>
                                <m:sty m:val="p"/>
                              </m:rPr>
                              <w:rPr>
                                <w:rFonts w:ascii="Cambria Math" w:eastAsiaTheme="minorEastAsia" w:hAnsi="Cambria Math"/>
                              </w:rPr>
                              <m:t>…</m:t>
                            </m:r>
                            <m:sSub>
                              <m:sSubPr>
                                <m:ctrlPr>
                                  <w:rPr>
                                    <w:rFonts w:ascii="Cambria Math" w:eastAsiaTheme="minorEastAsia" w:hAnsi="Cambria Math"/>
                                    <w:iCs/>
                                  </w:rPr>
                                </m:ctrlPr>
                              </m:sSubPr>
                              <m:e>
                                <m:r>
                                  <w:rPr>
                                    <w:rFonts w:ascii="Cambria Math" w:eastAsiaTheme="minorEastAsia" w:hAnsi="Cambria Math"/>
                                  </w:rPr>
                                  <m:t>x</m:t>
                                </m:r>
                              </m:e>
                              <m:sub>
                                <m:r>
                                  <w:rPr>
                                    <w:rFonts w:ascii="Cambria Math" w:eastAsiaTheme="minorEastAsia" w:hAnsi="Cambria Math"/>
                                  </w:rPr>
                                  <m:t>n</m:t>
                                </m:r>
                              </m:sub>
                            </m:sSub>
                          </m:e>
                        </m:d>
                      </m:e>
                    </m:d>
                    <m:r>
                      <w:rPr>
                        <w:rFonts w:ascii="Cambria Math" w:eastAsiaTheme="minorEastAsia" w:hAnsi="Cambria Math"/>
                      </w:rPr>
                      <m:t>Y=y</m:t>
                    </m:r>
                  </m:e>
                </m:d>
                <m:r>
                  <w:rPr>
                    <w:rFonts w:ascii="Cambria Math" w:eastAsiaTheme="minorEastAsia" w:hAnsi="Cambria Math"/>
                  </w:rPr>
                  <m:t>=</m:t>
                </m:r>
                <m:nary>
                  <m:naryPr>
                    <m:chr m:val="∏"/>
                    <m:limLoc m:val="undOvr"/>
                    <m:subHide m:val="1"/>
                    <m:supHide m:val="1"/>
                    <m:ctrlPr>
                      <w:rPr>
                        <w:rFonts w:ascii="Cambria Math" w:eastAsiaTheme="minorEastAsia" w:hAnsi="Cambria Math"/>
                        <w:i/>
                        <w:iCs/>
                      </w:rPr>
                    </m:ctrlPr>
                  </m:naryPr>
                  <m:sub/>
                  <m:sup/>
                  <m:e>
                    <m:r>
                      <w:rPr>
                        <w:rFonts w:ascii="Cambria Math" w:eastAsiaTheme="minorEastAsia" w:hAnsi="Cambria Math"/>
                      </w:rPr>
                      <m:t>f</m:t>
                    </m:r>
                    <m:d>
                      <m:dPr>
                        <m:ctrlPr>
                          <w:rPr>
                            <w:rFonts w:ascii="Cambria Math" w:eastAsiaTheme="minorEastAsia" w:hAnsi="Cambria Math"/>
                            <w:i/>
                            <w:iCs/>
                          </w:rPr>
                        </m:ctrlPr>
                      </m:dPr>
                      <m:e>
                        <m:d>
                          <m:dPr>
                            <m:begChr m:val=""/>
                            <m:endChr m:val="|"/>
                            <m:ctrlPr>
                              <w:rPr>
                                <w:rFonts w:ascii="Cambria Math" w:eastAsiaTheme="minorEastAsia" w:hAnsi="Cambria Math"/>
                                <w:i/>
                                <w:iCs/>
                              </w:rPr>
                            </m:ctrlPr>
                          </m:dPr>
                          <m:e>
                            <m:sSub>
                              <m:sSubPr>
                                <m:ctrlPr>
                                  <w:rPr>
                                    <w:rFonts w:ascii="Cambria Math" w:eastAsiaTheme="minorEastAsia" w:hAnsi="Cambria Math"/>
                                    <w:i/>
                                    <w:iCs/>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i/>
                                    <w:iCs/>
                                  </w:rPr>
                                </m:ctrlPr>
                              </m:sSubPr>
                              <m:e>
                                <m:r>
                                  <w:rPr>
                                    <w:rFonts w:ascii="Cambria Math" w:eastAsiaTheme="minorEastAsia" w:hAnsi="Cambria Math"/>
                                  </w:rPr>
                                  <m:t>x</m:t>
                                </m:r>
                              </m:e>
                              <m:sub>
                                <m:r>
                                  <w:rPr>
                                    <w:rFonts w:ascii="Cambria Math" w:eastAsiaTheme="minorEastAsia" w:hAnsi="Cambria Math"/>
                                  </w:rPr>
                                  <m:t>i</m:t>
                                </m:r>
                              </m:sub>
                            </m:sSub>
                          </m:e>
                        </m:d>
                        <m:r>
                          <w:rPr>
                            <w:rFonts w:ascii="Cambria Math" w:eastAsiaTheme="minorEastAsia" w:hAnsi="Cambria Math"/>
                          </w:rPr>
                          <m:t>Y=y</m:t>
                        </m:r>
                      </m:e>
                    </m:d>
                  </m:e>
                </m:nary>
              </m:oMath>
            </m:oMathPara>
          </w:p>
        </w:tc>
        <w:tc>
          <w:tcPr>
            <w:tcW w:w="772" w:type="dxa"/>
            <w:vAlign w:val="center"/>
          </w:tcPr>
          <w:p w14:paraId="64245605" w14:textId="61899EDF" w:rsidR="006C2142" w:rsidRDefault="002C693A" w:rsidP="002C693A">
            <w:pPr>
              <w:spacing w:before="0" w:after="0"/>
              <w:jc w:val="right"/>
            </w:pPr>
            <w: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8</w:t>
            </w:r>
            <w:r w:rsidR="00427B33">
              <w:rPr>
                <w:noProof/>
              </w:rPr>
              <w:fldChar w:fldCharType="end"/>
            </w:r>
            <w:r>
              <w:t>)</w:t>
            </w:r>
          </w:p>
        </w:tc>
      </w:tr>
    </w:tbl>
    <w:p w14:paraId="1527D34C" w14:textId="6663A661" w:rsidR="006C2142" w:rsidRDefault="00375A16" w:rsidP="006C2142">
      <w:pPr>
        <w:rPr>
          <w:lang w:val="en-GB"/>
        </w:rPr>
      </w:pPr>
      <w:r>
        <w:rPr>
          <w:lang w:val="en-GB"/>
        </w:rPr>
        <w:t>W</w:t>
      </w:r>
      <w:r w:rsidR="006C2142">
        <w:rPr>
          <w:lang w:val="en-GB"/>
        </w:rPr>
        <w:t xml:space="preserve">here </w:t>
      </w:r>
      <w:r w:rsidR="006C2142">
        <w:rPr>
          <w:i/>
          <w:iCs/>
          <w:lang w:val="en-GB"/>
        </w:rPr>
        <w:t>Y</w:t>
      </w:r>
      <w:r w:rsidR="006C2142">
        <w:rPr>
          <w:lang w:val="en-GB"/>
        </w:rPr>
        <w:t xml:space="preserve"> is considered a class of a given label </w:t>
      </w:r>
      <w:r>
        <w:rPr>
          <w:lang w:val="en-GB"/>
        </w:rPr>
        <w:t>(</w:t>
      </w:r>
      <w:r w:rsidR="006C2142">
        <w:rPr>
          <w:i/>
          <w:iCs/>
          <w:lang w:val="en-GB"/>
        </w:rPr>
        <w:t>y</w:t>
      </w:r>
      <w:r>
        <w:rPr>
          <w:lang w:val="en-GB"/>
        </w:rPr>
        <w:t>)</w:t>
      </w:r>
      <w:r w:rsidR="006C2142">
        <w:rPr>
          <w:lang w:val="en-GB"/>
        </w:rPr>
        <w:t xml:space="preserve">, </w:t>
      </w:r>
      <w:r w:rsidR="006C2142">
        <w:rPr>
          <w:i/>
          <w:iCs/>
          <w:lang w:val="en-GB"/>
        </w:rPr>
        <w:t>f</w:t>
      </w:r>
      <w:r w:rsidR="006C2142">
        <w:rPr>
          <w:lang w:val="en-GB"/>
        </w:rPr>
        <w:t xml:space="preserve"> denotes </w:t>
      </w:r>
      <w:r>
        <w:rPr>
          <w:lang w:val="en-GB"/>
        </w:rPr>
        <w:t xml:space="preserve">the </w:t>
      </w:r>
      <w:r w:rsidR="006C2142">
        <w:rPr>
          <w:lang w:val="en-GB"/>
        </w:rPr>
        <w:t xml:space="preserve">probability density function of a known distribution, and </w:t>
      </w:r>
      <w:r>
        <w:rPr>
          <w:lang w:val="en-GB"/>
        </w:rPr>
        <w:t xml:space="preserve">the </w:t>
      </w:r>
      <w:r w:rsidR="006C2142">
        <w:rPr>
          <w:lang w:val="en-GB"/>
        </w:rPr>
        <w:t>product sign ∏ is given considering that features are independent of each other.</w:t>
      </w:r>
    </w:p>
    <w:p w14:paraId="33E1C14F" w14:textId="77777777" w:rsidR="006C2142" w:rsidRDefault="006C2142" w:rsidP="006C2142">
      <w:pPr>
        <w:pStyle w:val="Heading3"/>
        <w:rPr>
          <w:lang w:val="en-GB"/>
        </w:rPr>
      </w:pPr>
      <w:bookmarkStart w:id="558" w:name="_Toc101274399"/>
      <w:r>
        <w:rPr>
          <w:lang w:val="en-GB"/>
        </w:rPr>
        <w:lastRenderedPageBreak/>
        <w:t>Gaussian Naïve Bayes Classifier for numeric hypower data</w:t>
      </w:r>
      <w:bookmarkEnd w:id="558"/>
    </w:p>
    <w:p w14:paraId="76C1BE1A" w14:textId="2C7EA30A" w:rsidR="006C2142" w:rsidRPr="00D70B1F" w:rsidRDefault="006C2142" w:rsidP="006C2142">
      <w:pPr>
        <w:spacing w:before="240"/>
        <w:rPr>
          <w:lang w:val="en-GB"/>
        </w:rPr>
      </w:pPr>
      <w:r>
        <w:rPr>
          <w:lang w:val="en-GB"/>
        </w:rPr>
        <w:t xml:space="preserve">Since </w:t>
      </w:r>
      <w:r w:rsidR="00550CFE">
        <w:rPr>
          <w:lang w:val="en-GB"/>
        </w:rPr>
        <w:t xml:space="preserve">the </w:t>
      </w:r>
      <w:r>
        <w:rPr>
          <w:lang w:val="en-GB"/>
        </w:rPr>
        <w:t>Naïve Bayes classifier us</w:t>
      </w:r>
      <w:r w:rsidR="00550CFE">
        <w:rPr>
          <w:lang w:val="en-GB"/>
        </w:rPr>
        <w:t>ually uses “naïve” probability of, usually, discrete values such as</w:t>
      </w:r>
      <w:r>
        <w:rPr>
          <w:lang w:val="en-GB"/>
        </w:rPr>
        <w:t xml:space="preserve"> </w:t>
      </w:r>
      <w:r w:rsidR="00550CFE">
        <w:rPr>
          <w:lang w:val="en-GB"/>
        </w:rPr>
        <w:t xml:space="preserve">the </w:t>
      </w:r>
      <w:r>
        <w:rPr>
          <w:lang w:val="en-GB"/>
        </w:rPr>
        <w:t xml:space="preserve">probability of an event under </w:t>
      </w:r>
      <w:r w:rsidR="00550CFE">
        <w:rPr>
          <w:lang w:val="en-GB"/>
        </w:rPr>
        <w:t xml:space="preserve">a </w:t>
      </w:r>
      <w:r>
        <w:rPr>
          <w:lang w:val="en-GB"/>
        </w:rPr>
        <w:t xml:space="preserve">defined binary outcome [None; Quasi-fault], the probability of such discrete events is called </w:t>
      </w:r>
      <w:r w:rsidRPr="00141AA0">
        <w:rPr>
          <w:b/>
          <w:bCs/>
          <w:lang w:val="en-GB"/>
        </w:rPr>
        <w:t>likelihood.</w:t>
      </w:r>
      <w:r>
        <w:rPr>
          <w:lang w:val="en-GB"/>
        </w:rPr>
        <w:t xml:space="preserve"> </w:t>
      </w:r>
      <w:r w:rsidR="00550CFE">
        <w:rPr>
          <w:lang w:val="en-GB"/>
        </w:rPr>
        <w:t>The m</w:t>
      </w:r>
      <w:r>
        <w:rPr>
          <w:lang w:val="en-GB"/>
        </w:rPr>
        <w:t xml:space="preserve">ost typical example of </w:t>
      </w:r>
      <w:r w:rsidR="00550CFE">
        <w:rPr>
          <w:lang w:val="en-GB"/>
        </w:rPr>
        <w:t>a naïve Bayes classifier usage</w:t>
      </w:r>
      <w:r>
        <w:rPr>
          <w:lang w:val="en-GB"/>
        </w:rPr>
        <w:t xml:space="preserve"> is </w:t>
      </w:r>
      <w:r w:rsidR="00550CFE">
        <w:rPr>
          <w:lang w:val="en-GB"/>
        </w:rPr>
        <w:t xml:space="preserve">the </w:t>
      </w:r>
      <w:r>
        <w:rPr>
          <w:lang w:val="en-GB"/>
        </w:rPr>
        <w:t>classification of spam messages. However, since we are using continuous values</w:t>
      </w:r>
      <w:r w:rsidR="00550CFE">
        <w:rPr>
          <w:lang w:val="en-GB"/>
        </w:rPr>
        <w:t>,</w:t>
      </w:r>
      <w:r>
        <w:rPr>
          <w:lang w:val="en-GB"/>
        </w:rPr>
        <w:t xml:space="preserve"> these probabilities are calculated by Bayes probability. Hence, it is called Gaussian Naïve Bayes (GNB)</w:t>
      </w:r>
      <w:r w:rsidR="00550CFE">
        <w:rPr>
          <w:lang w:val="en-GB"/>
        </w:rPr>
        <w:t>.</w:t>
      </w:r>
      <w:r>
        <w:rPr>
          <w:lang w:val="en-GB"/>
        </w:rPr>
        <w:t xml:space="preserve"> Since naïve Bayes under numeric values assumes Gaussian distribution, the </w:t>
      </w:r>
      <w:r w:rsidR="004909B8">
        <w:rPr>
          <w:lang w:val="en-GB"/>
        </w:rPr>
        <w:t>training and testing set samples</w:t>
      </w:r>
      <w:r>
        <w:rPr>
          <w:lang w:val="en-GB"/>
        </w:rPr>
        <w:t xml:space="preserve"> are assumed to be normally distributed. Therefore, it is considered a parametric ML model and works if training and testing data are normally distributed. </w:t>
      </w:r>
      <w:r w:rsidR="00550CFE">
        <w:rPr>
          <w:lang w:val="en-GB"/>
        </w:rPr>
        <w:t>T</w:t>
      </w:r>
      <w:r>
        <w:rPr>
          <w:lang w:val="en-GB"/>
        </w:rPr>
        <w:t xml:space="preserve">he GNB works by calculating each data point and assigning the point to the higher class probability that it belongs. An example of </w:t>
      </w:r>
      <w:r w:rsidR="00550CFE">
        <w:rPr>
          <w:lang w:val="en-GB"/>
        </w:rPr>
        <w:t xml:space="preserve">the </w:t>
      </w:r>
      <w:r>
        <w:rPr>
          <w:lang w:val="en-GB"/>
        </w:rPr>
        <w:t xml:space="preserve">classifier is shown in </w:t>
      </w:r>
      <w:r>
        <w:rPr>
          <w:lang w:val="en-GB"/>
        </w:rPr>
        <w:fldChar w:fldCharType="begin"/>
      </w:r>
      <w:r>
        <w:rPr>
          <w:lang w:val="en-GB"/>
        </w:rPr>
        <w:instrText xml:space="preserve"> REF _Ref98931591 \h </w:instrText>
      </w:r>
      <w:r>
        <w:rPr>
          <w:lang w:val="en-GB"/>
        </w:rPr>
      </w:r>
      <w:r>
        <w:rPr>
          <w:lang w:val="en-GB"/>
        </w:rPr>
        <w:fldChar w:fldCharType="separate"/>
      </w:r>
      <w:r w:rsidR="00587AF0">
        <w:t xml:space="preserve">Figure </w:t>
      </w:r>
      <w:r w:rsidR="00587AF0">
        <w:rPr>
          <w:noProof/>
        </w:rPr>
        <w:t>98</w:t>
      </w:r>
      <w:r>
        <w:rPr>
          <w:lang w:val="en-GB"/>
        </w:rPr>
        <w:fldChar w:fldCharType="end"/>
      </w:r>
      <w:r>
        <w:rPr>
          <w:lang w:val="en-GB"/>
        </w:rPr>
        <w:t xml:space="preserve"> </w:t>
      </w:r>
      <w:r>
        <w:rPr>
          <w:lang w:val="en-GB"/>
        </w:rPr>
        <w:fldChar w:fldCharType="begin" w:fldLock="1"/>
      </w:r>
      <w:r w:rsidR="00204994">
        <w:rPr>
          <w:lang w:val="en-GB"/>
        </w:rPr>
        <w:instrText>ADDIN CSL_CITATION {"citationItems":[{"id":"ITEM-1","itemData":{"DOI":"10.1371/journal.pone.0069566","ISSN":"19326203","PMID":"23922740","abstract":"Spatial smoothness is helpful when averaging fMRI signals across multiple subjects, as it allows different subjects' corresponding brain areas to be pooled together even if they are slightly misaligned. However, smoothing is usually not applied when performing multivoxel pattern-based analyses (MVPA), as it runs the risk of blurring away the information that fine-grained spatial patterns contain. It would therefore be desirable, if possible, to carry out pattern-based analyses which take unsmoothed data as their input but which produce smooth images as output. We show here that the Gaussian Naive Bayes (GNB) classifier does precisely this, when it is used in \"searchlight\" pattern-based analyses. We explain why this occurs, and illustrate the effect in real fMRI data. Moreover, we show that analyses using GNBs produce results at the multi-subject level which are statistically robust, neurally plausible, and which replicate across two independent data sets. By contrast, SVM classifiers applied to the same data do not generate a replication, even if the SVM-derived searchlight maps have smoothing applied to them. An additional advantage of GNB classifiers for searchlight analyses is that they are orders of magnitude faster to compute than more complex alternatives such as SVMs. Collectively, these results suggest that Gaussian Naive Bayes classifiers may be a highly non-naive choice for multi-subject pattern-based fMRI studies. © 2013 Raizada and Lee.","author":[{"dropping-particle":"","family":"Raizada","given":"Rajeev D.S.","non-dropping-particle":"","parse-names":false,"suffix":""},{"dropping-particle":"","family":"Lee","given":"Yune Sang","non-dropping-particle":"","parse-names":false,"suffix":""}],"container-title":"PLoS ONE","id":"ITEM-1","issue":"7","issued":{"date-parts":[["2013"]]},"title":"Smoothness without Smoothing: Why Gaussian Naive Bayes Is Not Naive for Multi-Subject Searchlight Studies","type":"article-journal","volume":"8"},"uris":["http://www.mendeley.com/documents/?uuid=dec0949b-0460-48a5-8066-f32cb2f1e365"]}],"mendeley":{"formattedCitation":"[130]","plainTextFormattedCitation":"[130]","previouslyFormattedCitation":"[130]"},"properties":{"noteIndex":0},"schema":"https://github.com/citation-style-language/schema/raw/master/csl-citation.json"}</w:instrText>
      </w:r>
      <w:r>
        <w:rPr>
          <w:lang w:val="en-GB"/>
        </w:rPr>
        <w:fldChar w:fldCharType="separate"/>
      </w:r>
      <w:r w:rsidR="00645D0B" w:rsidRPr="00645D0B">
        <w:rPr>
          <w:noProof/>
          <w:lang w:val="en-GB"/>
        </w:rPr>
        <w:t>[130]</w:t>
      </w:r>
      <w:r>
        <w:rPr>
          <w:lang w:val="en-GB"/>
        </w:rPr>
        <w:fldChar w:fldCharType="end"/>
      </w:r>
      <w:r>
        <w:rPr>
          <w:lang w:val="en-GB"/>
        </w:rPr>
        <w:t xml:space="preserve">. However, it should be duly noted that GNB </w:t>
      </w:r>
      <w:r w:rsidRPr="00141AA0">
        <w:rPr>
          <w:b/>
          <w:bCs/>
          <w:lang w:val="en-GB"/>
        </w:rPr>
        <w:t>does not</w:t>
      </w:r>
      <w:r>
        <w:rPr>
          <w:lang w:val="en-GB"/>
        </w:rPr>
        <w:t xml:space="preserve"> use Euclidian distance in the sample (e.g., 2D scatter plot) but rather the distance from the Gaussian class label distribution mean and variance. Observing </w:t>
      </w:r>
      <w:r>
        <w:rPr>
          <w:lang w:val="en-GB"/>
        </w:rPr>
        <w:fldChar w:fldCharType="begin"/>
      </w:r>
      <w:r>
        <w:rPr>
          <w:lang w:val="en-GB"/>
        </w:rPr>
        <w:instrText xml:space="preserve"> REF _Ref98931591 \h </w:instrText>
      </w:r>
      <w:r>
        <w:rPr>
          <w:lang w:val="en-GB"/>
        </w:rPr>
      </w:r>
      <w:r>
        <w:rPr>
          <w:lang w:val="en-GB"/>
        </w:rPr>
        <w:fldChar w:fldCharType="separate"/>
      </w:r>
      <w:r w:rsidR="00587AF0">
        <w:t xml:space="preserve">Figure </w:t>
      </w:r>
      <w:r w:rsidR="00587AF0">
        <w:rPr>
          <w:noProof/>
        </w:rPr>
        <w:t>98</w:t>
      </w:r>
      <w:r>
        <w:rPr>
          <w:lang w:val="en-GB"/>
        </w:rPr>
        <w:fldChar w:fldCharType="end"/>
      </w:r>
      <w:r w:rsidR="00550CFE">
        <w:rPr>
          <w:lang w:val="en-GB"/>
        </w:rPr>
        <w:t>,</w:t>
      </w:r>
      <w:r>
        <w:rPr>
          <w:lang w:val="en-GB"/>
        </w:rPr>
        <w:t xml:space="preserve"> one can easily conclude that both classes [A, B] assume Gaussian normal distribution. Hence, it calculates the probability of a particular point </w:t>
      </w:r>
      <w:r w:rsidRPr="00D70B1F">
        <w:rPr>
          <w:i/>
          <w:iCs/>
          <w:lang w:val="en-GB"/>
        </w:rPr>
        <w:t>x</w:t>
      </w:r>
      <w:r w:rsidRPr="00D70B1F">
        <w:rPr>
          <w:i/>
          <w:iCs/>
          <w:vertAlign w:val="subscript"/>
          <w:lang w:val="en-GB"/>
        </w:rPr>
        <w:t>i</w:t>
      </w:r>
      <w:r>
        <w:rPr>
          <w:lang w:val="en-GB"/>
        </w:rPr>
        <w:t xml:space="preserve"> </w:t>
      </w:r>
      <w:r w:rsidRPr="00D70B1F">
        <w:rPr>
          <w:lang w:val="en-GB"/>
        </w:rPr>
        <w:t>given</w:t>
      </w:r>
      <w:r>
        <w:rPr>
          <w:lang w:val="en-GB"/>
        </w:rPr>
        <w:t xml:space="preserve"> the proposition that the same point (</w:t>
      </w:r>
      <w:r>
        <w:rPr>
          <w:i/>
          <w:iCs/>
          <w:lang w:val="en-GB"/>
        </w:rPr>
        <w:t>x</w:t>
      </w:r>
      <w:r>
        <w:rPr>
          <w:i/>
          <w:iCs/>
          <w:vertAlign w:val="subscript"/>
          <w:lang w:val="en-GB"/>
        </w:rPr>
        <w:t>i</w:t>
      </w:r>
      <w:r>
        <w:rPr>
          <w:lang w:val="en-GB"/>
        </w:rPr>
        <w:t>) belongs to the specific class distribution. Hence, the goal is not to get the probability of a class, given the training data, but rather the probability of a class given the “new” test data.</w:t>
      </w:r>
    </w:p>
    <w:p w14:paraId="01A6D373" w14:textId="77777777" w:rsidR="006C2142" w:rsidRDefault="006C2142" w:rsidP="006C2142">
      <w:pPr>
        <w:keepNext/>
        <w:jc w:val="center"/>
      </w:pPr>
      <w:r w:rsidRPr="00576FD8">
        <w:rPr>
          <w:noProof/>
        </w:rPr>
        <w:drawing>
          <wp:inline distT="0" distB="0" distL="0" distR="0" wp14:anchorId="4FDB15A9" wp14:editId="339E823E">
            <wp:extent cx="5308600" cy="3964837"/>
            <wp:effectExtent l="0" t="0" r="635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312936" cy="3968075"/>
                    </a:xfrm>
                    <a:prstGeom prst="rect">
                      <a:avLst/>
                    </a:prstGeom>
                    <a:noFill/>
                    <a:ln>
                      <a:noFill/>
                    </a:ln>
                  </pic:spPr>
                </pic:pic>
              </a:graphicData>
            </a:graphic>
          </wp:inline>
        </w:drawing>
      </w:r>
    </w:p>
    <w:p w14:paraId="780A9ABF" w14:textId="75E2BC37" w:rsidR="006C2142" w:rsidRDefault="006C2142" w:rsidP="006C2142">
      <w:pPr>
        <w:pStyle w:val="Caption"/>
      </w:pPr>
      <w:bookmarkStart w:id="559" w:name="_Ref98931591"/>
      <w:bookmarkStart w:id="560" w:name="_Toc101274620"/>
      <w:r>
        <w:t xml:space="preserve">Figure </w:t>
      </w:r>
      <w:fldSimple w:instr=" SEQ Figure \* ARABIC ">
        <w:r w:rsidR="00587AF0">
          <w:rPr>
            <w:noProof/>
          </w:rPr>
          <w:t>98</w:t>
        </w:r>
      </w:fldSimple>
      <w:bookmarkEnd w:id="559"/>
      <w:r>
        <w:t xml:space="preserve">. Gaussian Naïve Bayes (GNB) classifier </w:t>
      </w:r>
      <w:r w:rsidR="009F0093">
        <w:t>graphical interpretation</w:t>
      </w:r>
      <w:r>
        <w:t xml:space="preserve"> </w:t>
      </w:r>
      <w:r>
        <w:fldChar w:fldCharType="begin" w:fldLock="1"/>
      </w:r>
      <w:r w:rsidR="00204994">
        <w:instrText>ADDIN CSL_CITATION {"citationItems":[{"id":"ITEM-1","itemData":{"DOI":"10.1371/journal.pone.0069566","ISSN":"19326203","PMID":"23922740","abstract":"Spatial smoothness is helpful when averaging fMRI signals across multiple subjects, as it allows different subjects' corresponding brain areas to be pooled together even if they are slightly misaligned. However, smoothing is usually not applied when performing multivoxel pattern-based analyses (MVPA), as it runs the risk of blurring away the information that fine-grained spatial patterns contain. It would therefore be desirable, if possible, to carry out pattern-based analyses which take unsmoothed data as their input but which produce smooth images as output. We show here that the Gaussian Naive Bayes (GNB) classifier does precisely this, when it is used in \"searchlight\" pattern-based analyses. We explain why this occurs, and illustrate the effect in real fMRI data. Moreover, we show that analyses using GNBs produce results at the multi-subject level which are statistically robust, neurally plausible, and which replicate across two independent data sets. By contrast, SVM classifiers applied to the same data do not generate a replication, even if the SVM-derived searchlight maps have smoothing applied to them. An additional advantage of GNB classifiers for searchlight analyses is that they are orders of magnitude faster to compute than more complex alternatives such as SVMs. Collectively, these results suggest that Gaussian Naive Bayes classifiers may be a highly non-naive choice for multi-subject pattern-based fMRI studies. © 2013 Raizada and Lee.","author":[{"dropping-particle":"","family":"Raizada","given":"Rajeev D.S.","non-dropping-particle":"","parse-names":false,"suffix":""},{"dropping-particle":"","family":"Lee","given":"Yune Sang","non-dropping-particle":"","parse-names":false,"suffix":""}],"container-title":"PLoS ONE","id":"ITEM-1","issue":"7","issued":{"date-parts":[["2013"]]},"title":"Smoothness without Smoothing: Why Gaussian Naive Bayes Is Not Naive for Multi-Subject Searchlight Studies","type":"article-journal","volume":"8"},"uris":["http://www.mendeley.com/documents/?uuid=dec0949b-0460-48a5-8066-f32cb2f1e365"]}],"mendeley":{"formattedCitation":"[130]","plainTextFormattedCitation":"[130]","previouslyFormattedCitation":"[130]"},"properties":{"noteIndex":0},"schema":"https://github.com/citation-style-language/schema/raw/master/csl-citation.json"}</w:instrText>
      </w:r>
      <w:r>
        <w:fldChar w:fldCharType="separate"/>
      </w:r>
      <w:r w:rsidR="00645D0B" w:rsidRPr="00645D0B">
        <w:rPr>
          <w:noProof/>
        </w:rPr>
        <w:t>[130]</w:t>
      </w:r>
      <w:bookmarkEnd w:id="560"/>
      <w:r>
        <w:fldChar w:fldCharType="end"/>
      </w:r>
    </w:p>
    <w:p w14:paraId="49DF8587" w14:textId="7C81E126" w:rsidR="006C2142" w:rsidRDefault="006C2142" w:rsidP="00B27A7E">
      <w:pPr>
        <w:rPr>
          <w:lang w:val="en-GB"/>
        </w:rPr>
      </w:pPr>
      <w:r>
        <w:rPr>
          <w:lang w:val="en-GB"/>
        </w:rPr>
        <w:t xml:space="preserve">The Naïve Bayes starts with the probability of training data and only “thinks” that every possible probability is only under the constraints of training data and treats each input data as independent from </w:t>
      </w:r>
      <w:r w:rsidR="00550CFE">
        <w:rPr>
          <w:lang w:val="en-GB"/>
        </w:rPr>
        <w:t>the</w:t>
      </w:r>
      <w:r>
        <w:rPr>
          <w:lang w:val="en-GB"/>
        </w:rPr>
        <w:t xml:space="preserve"> other. The naiveness in this case of opening saddle suggests that the model “thinks” that the possible outcome probability of binary events is equal to the </w:t>
      </w:r>
      <w:r w:rsidR="00D6470B">
        <w:rPr>
          <w:lang w:val="en-GB"/>
        </w:rPr>
        <w:t>training data size</w:t>
      </w:r>
      <w:r>
        <w:rPr>
          <w:lang w:val="en-GB"/>
        </w:rPr>
        <w:t xml:space="preserve"> for both outcomes, 52% and 48% for None and Quasi-failure (</w:t>
      </w:r>
      <w:r>
        <w:rPr>
          <w:lang w:val="en-GB"/>
        </w:rPr>
        <w:fldChar w:fldCharType="begin"/>
      </w:r>
      <w:r>
        <w:rPr>
          <w:lang w:val="en-GB"/>
        </w:rPr>
        <w:instrText xml:space="preserve"> REF _Ref96965403 \h </w:instrText>
      </w:r>
      <w:r>
        <w:rPr>
          <w:lang w:val="en-GB"/>
        </w:rPr>
      </w:r>
      <w:r>
        <w:rPr>
          <w:lang w:val="en-GB"/>
        </w:rPr>
        <w:fldChar w:fldCharType="separate"/>
      </w:r>
      <w:r w:rsidR="00587AF0">
        <w:t xml:space="preserve">Table </w:t>
      </w:r>
      <w:r w:rsidR="00587AF0">
        <w:rPr>
          <w:noProof/>
        </w:rPr>
        <w:t>27</w:t>
      </w:r>
      <w:r>
        <w:rPr>
          <w:lang w:val="en-GB"/>
        </w:rPr>
        <w:fldChar w:fldCharType="end"/>
      </w:r>
      <w:r>
        <w:rPr>
          <w:lang w:val="en-GB"/>
        </w:rPr>
        <w:t xml:space="preserve">), respectively. This probability is called </w:t>
      </w:r>
      <w:r w:rsidRPr="00361CC3">
        <w:rPr>
          <w:b/>
          <w:bCs/>
          <w:i/>
          <w:iCs/>
          <w:lang w:val="en-GB"/>
        </w:rPr>
        <w:t>prior probability</w:t>
      </w:r>
      <w:r>
        <w:rPr>
          <w:i/>
          <w:iCs/>
          <w:lang w:val="en-GB"/>
        </w:rPr>
        <w:t>.</w:t>
      </w:r>
      <w:r>
        <w:rPr>
          <w:lang w:val="en-GB"/>
        </w:rPr>
        <w:t xml:space="preserve"> Hence, the initial guess or prior probability of an event “None” is </w:t>
      </w:r>
      <w:r>
        <w:rPr>
          <w:i/>
          <w:iCs/>
          <w:lang w:val="en-GB"/>
        </w:rPr>
        <w:t>p</w:t>
      </w:r>
      <w:r>
        <w:rPr>
          <w:lang w:val="en-GB"/>
        </w:rPr>
        <w:t>(None) = 0.52.</w:t>
      </w:r>
    </w:p>
    <w:p w14:paraId="1F125FE4" w14:textId="77777777" w:rsidR="006C2142" w:rsidRDefault="006C2142" w:rsidP="006C2142">
      <w:pPr>
        <w:keepNext/>
      </w:pPr>
      <w:r w:rsidRPr="00701C46">
        <w:rPr>
          <w:noProof/>
          <w:lang w:val="en-GB"/>
        </w:rPr>
        <w:lastRenderedPageBreak/>
        <w:drawing>
          <wp:inline distT="0" distB="0" distL="0" distR="0" wp14:anchorId="3F0FA681" wp14:editId="62F7500D">
            <wp:extent cx="5486400" cy="3329940"/>
            <wp:effectExtent l="0" t="0" r="0" b="381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5">
                      <a:extLst>
                        <a:ext uri="{28A0092B-C50C-407E-A947-70E740481C1C}">
                          <a14:useLocalDpi xmlns:a14="http://schemas.microsoft.com/office/drawing/2010/main" val="0"/>
                        </a:ext>
                      </a:extLst>
                    </a:blip>
                    <a:srcRect t="4375" b="4583"/>
                    <a:stretch/>
                  </pic:blipFill>
                  <pic:spPr bwMode="auto">
                    <a:xfrm>
                      <a:off x="0" y="0"/>
                      <a:ext cx="5486400" cy="3329940"/>
                    </a:xfrm>
                    <a:prstGeom prst="rect">
                      <a:avLst/>
                    </a:prstGeom>
                    <a:noFill/>
                    <a:ln>
                      <a:noFill/>
                    </a:ln>
                    <a:extLst>
                      <a:ext uri="{53640926-AAD7-44D8-BBD7-CCE9431645EC}">
                        <a14:shadowObscured xmlns:a14="http://schemas.microsoft.com/office/drawing/2010/main"/>
                      </a:ext>
                    </a:extLst>
                  </pic:spPr>
                </pic:pic>
              </a:graphicData>
            </a:graphic>
          </wp:inline>
        </w:drawing>
      </w:r>
    </w:p>
    <w:p w14:paraId="1EF56B1F" w14:textId="649B5687" w:rsidR="006C2142" w:rsidRDefault="006C2142" w:rsidP="006C2142">
      <w:pPr>
        <w:pStyle w:val="Caption"/>
        <w:rPr>
          <w:lang w:val="en-GB"/>
        </w:rPr>
      </w:pPr>
      <w:bookmarkStart w:id="561" w:name="_Toc101274621"/>
      <w:r>
        <w:t xml:space="preserve">Figure </w:t>
      </w:r>
      <w:fldSimple w:instr=" SEQ Figure \* ARABIC ">
        <w:r w:rsidR="00587AF0">
          <w:rPr>
            <w:noProof/>
          </w:rPr>
          <w:t>99</w:t>
        </w:r>
      </w:fldSimple>
      <w:r>
        <w:t>. Histogram of opening saddle data given labels and descriptive statistics</w:t>
      </w:r>
      <w:bookmarkEnd w:id="561"/>
    </w:p>
    <w:p w14:paraId="481B4E11" w14:textId="09F34DEF" w:rsidR="006C2142" w:rsidRPr="00F034BA" w:rsidRDefault="006C2142" w:rsidP="006C2142">
      <w:pPr>
        <w:rPr>
          <w:lang w:val="en-GB"/>
        </w:rPr>
      </w:pPr>
      <w:r>
        <w:rPr>
          <w:lang w:val="en-GB"/>
        </w:rPr>
        <w:t xml:space="preserve">Taking into account all of the associated features </w:t>
      </w:r>
      <w:r>
        <w:rPr>
          <w:i/>
          <w:iCs/>
          <w:lang w:val="en-GB"/>
        </w:rPr>
        <w:t>x</w:t>
      </w:r>
      <w:r>
        <w:rPr>
          <w:i/>
          <w:iCs/>
          <w:vertAlign w:val="subscript"/>
          <w:lang w:val="en-GB"/>
        </w:rPr>
        <w:t>i</w:t>
      </w:r>
      <w:r w:rsidRPr="00F034BA">
        <w:rPr>
          <w:lang w:val="en-GB"/>
        </w:rPr>
        <w:t xml:space="preserve"> </w:t>
      </w:r>
      <w:r>
        <w:rPr>
          <w:lang w:val="en-GB"/>
        </w:rPr>
        <w:t xml:space="preserve">under the prior probability of </w:t>
      </w:r>
      <w:r>
        <w:rPr>
          <w:i/>
          <w:iCs/>
          <w:lang w:val="en-GB"/>
        </w:rPr>
        <w:t>p</w:t>
      </w:r>
      <w:r>
        <w:rPr>
          <w:lang w:val="en-GB"/>
        </w:rPr>
        <w:t>(None):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5"/>
        <w:gridCol w:w="772"/>
      </w:tblGrid>
      <w:tr w:rsidR="006C2142" w14:paraId="25DD56B8" w14:textId="77777777" w:rsidTr="002C693A">
        <w:trPr>
          <w:trHeight w:val="453"/>
        </w:trPr>
        <w:tc>
          <w:tcPr>
            <w:tcW w:w="8245" w:type="dxa"/>
            <w:vAlign w:val="center"/>
          </w:tcPr>
          <w:p w14:paraId="5A8EB8CB" w14:textId="77777777" w:rsidR="006C2142" w:rsidRPr="00F30C1F" w:rsidRDefault="006C2142" w:rsidP="00CC5DAD">
            <w:pPr>
              <w:spacing w:before="0" w:after="0"/>
              <w:jc w:val="center"/>
              <w:rPr>
                <w:i/>
                <w:lang w:val="en-GB"/>
              </w:rPr>
            </w:pPr>
            <m:oMathPara>
              <m:oMath>
                <m:r>
                  <w:rPr>
                    <w:rFonts w:ascii="Cambria Math" w:eastAsiaTheme="minorEastAsia" w:hAnsi="Cambria Math"/>
                  </w:rPr>
                  <m:t>P</m:t>
                </m:r>
                <m:d>
                  <m:dPr>
                    <m:ctrlPr>
                      <w:rPr>
                        <w:rFonts w:ascii="Cambria Math" w:eastAsiaTheme="minorEastAsia" w:hAnsi="Cambria Math"/>
                        <w:i/>
                        <w:iCs/>
                      </w:rPr>
                    </m:ctrlPr>
                  </m:dPr>
                  <m:e>
                    <m:d>
                      <m:dPr>
                        <m:begChr m:val=""/>
                        <m:endChr m:val="|"/>
                        <m:ctrlPr>
                          <w:rPr>
                            <w:rFonts w:ascii="Cambria Math" w:eastAsiaTheme="minorEastAsia" w:hAnsi="Cambria Math"/>
                            <w:i/>
                            <w:iCs/>
                          </w:rPr>
                        </m:ctrlPr>
                      </m:dPr>
                      <m:e>
                        <m:r>
                          <m:rPr>
                            <m:sty m:val="p"/>
                          </m:rPr>
                          <w:rPr>
                            <w:rFonts w:ascii="Cambria Math" w:eastAsiaTheme="minorEastAsia" w:hAnsi="Cambria Math"/>
                          </w:rPr>
                          <m:t>X=</m:t>
                        </m:r>
                        <m:d>
                          <m:dPr>
                            <m:ctrlPr>
                              <w:rPr>
                                <w:rFonts w:ascii="Cambria Math" w:eastAsiaTheme="minorEastAsia" w:hAnsi="Cambria Math"/>
                                <w:iCs/>
                              </w:rPr>
                            </m:ctrlPr>
                          </m:dPr>
                          <m:e>
                            <m:sSub>
                              <m:sSubPr>
                                <m:ctrlPr>
                                  <w:rPr>
                                    <w:rFonts w:ascii="Cambria Math" w:eastAsiaTheme="minorEastAsia" w:hAnsi="Cambria Math"/>
                                    <w:iCs/>
                                  </w:rPr>
                                </m:ctrlPr>
                              </m:sSubPr>
                              <m:e>
                                <m:r>
                                  <w:rPr>
                                    <w:rFonts w:ascii="Cambria Math" w:eastAsiaTheme="minorEastAsia" w:hAnsi="Cambria Math"/>
                                  </w:rPr>
                                  <m:t>x</m:t>
                                </m:r>
                              </m:e>
                              <m:sub>
                                <m:r>
                                  <w:rPr>
                                    <w:rFonts w:ascii="Cambria Math" w:eastAsiaTheme="minorEastAsia" w:hAnsi="Cambria Math"/>
                                  </w:rPr>
                                  <m:t>1</m:t>
                                </m:r>
                              </m:sub>
                            </m:sSub>
                            <m:r>
                              <m:rPr>
                                <m:sty m:val="p"/>
                              </m:rPr>
                              <w:rPr>
                                <w:rFonts w:ascii="Cambria Math" w:eastAsiaTheme="minorEastAsia" w:hAnsi="Cambria Math"/>
                              </w:rPr>
                              <m:t>,</m:t>
                            </m:r>
                            <m:sSub>
                              <m:sSubPr>
                                <m:ctrlPr>
                                  <w:rPr>
                                    <w:rFonts w:ascii="Cambria Math" w:eastAsiaTheme="minorEastAsia" w:hAnsi="Cambria Math"/>
                                    <w:iCs/>
                                  </w:rPr>
                                </m:ctrlPr>
                              </m:sSubPr>
                              <m:e>
                                <m:r>
                                  <w:rPr>
                                    <w:rFonts w:ascii="Cambria Math" w:eastAsiaTheme="minorEastAsia" w:hAnsi="Cambria Math"/>
                                  </w:rPr>
                                  <m:t>x</m:t>
                                </m:r>
                              </m:e>
                              <m:sub>
                                <m:r>
                                  <w:rPr>
                                    <w:rFonts w:ascii="Cambria Math" w:eastAsiaTheme="minorEastAsia" w:hAnsi="Cambria Math"/>
                                  </w:rPr>
                                  <m:t>2</m:t>
                                </m:r>
                              </m:sub>
                            </m:sSub>
                            <m:r>
                              <m:rPr>
                                <m:sty m:val="p"/>
                              </m:rPr>
                              <w:rPr>
                                <w:rFonts w:ascii="Cambria Math" w:eastAsiaTheme="minorEastAsia" w:hAnsi="Cambria Math"/>
                              </w:rPr>
                              <m:t>…</m:t>
                            </m:r>
                            <m:sSub>
                              <m:sSubPr>
                                <m:ctrlPr>
                                  <w:rPr>
                                    <w:rFonts w:ascii="Cambria Math" w:eastAsiaTheme="minorEastAsia" w:hAnsi="Cambria Math"/>
                                    <w:iCs/>
                                  </w:rPr>
                                </m:ctrlPr>
                              </m:sSubPr>
                              <m:e>
                                <m:r>
                                  <w:rPr>
                                    <w:rFonts w:ascii="Cambria Math" w:eastAsiaTheme="minorEastAsia" w:hAnsi="Cambria Math"/>
                                  </w:rPr>
                                  <m:t>x</m:t>
                                </m:r>
                              </m:e>
                              <m:sub>
                                <m:r>
                                  <w:rPr>
                                    <w:rFonts w:ascii="Cambria Math" w:eastAsiaTheme="minorEastAsia" w:hAnsi="Cambria Math"/>
                                  </w:rPr>
                                  <m:t>n</m:t>
                                </m:r>
                              </m:sub>
                            </m:sSub>
                          </m:e>
                        </m:d>
                      </m:e>
                    </m:d>
                    <m:r>
                      <w:rPr>
                        <w:rFonts w:ascii="Cambria Math" w:eastAsiaTheme="minorEastAsia" w:hAnsi="Cambria Math"/>
                      </w:rPr>
                      <m:t>Y=None</m:t>
                    </m:r>
                  </m:e>
                </m:d>
                <m:r>
                  <w:rPr>
                    <w:rFonts w:ascii="Cambria Math" w:eastAsiaTheme="minorEastAsia" w:hAnsi="Cambria Math"/>
                  </w:rPr>
                  <m:t>=</m:t>
                </m:r>
                <m:nary>
                  <m:naryPr>
                    <m:chr m:val="∏"/>
                    <m:limLoc m:val="undOvr"/>
                    <m:subHide m:val="1"/>
                    <m:supHide m:val="1"/>
                    <m:ctrlPr>
                      <w:rPr>
                        <w:rFonts w:ascii="Cambria Math" w:eastAsiaTheme="minorEastAsia" w:hAnsi="Cambria Math"/>
                        <w:i/>
                        <w:iCs/>
                      </w:rPr>
                    </m:ctrlPr>
                  </m:naryPr>
                  <m:sub/>
                  <m:sup/>
                  <m:e>
                    <m:r>
                      <w:rPr>
                        <w:rFonts w:ascii="Cambria Math" w:eastAsiaTheme="minorEastAsia" w:hAnsi="Cambria Math"/>
                      </w:rPr>
                      <m:t>f</m:t>
                    </m:r>
                    <m:d>
                      <m:dPr>
                        <m:ctrlPr>
                          <w:rPr>
                            <w:rFonts w:ascii="Cambria Math" w:eastAsiaTheme="minorEastAsia" w:hAnsi="Cambria Math"/>
                            <w:i/>
                            <w:iCs/>
                          </w:rPr>
                        </m:ctrlPr>
                      </m:dPr>
                      <m:e>
                        <m:d>
                          <m:dPr>
                            <m:begChr m:val=""/>
                            <m:endChr m:val="|"/>
                            <m:ctrlPr>
                              <w:rPr>
                                <w:rFonts w:ascii="Cambria Math" w:eastAsiaTheme="minorEastAsia" w:hAnsi="Cambria Math"/>
                                <w:i/>
                                <w:iCs/>
                              </w:rPr>
                            </m:ctrlPr>
                          </m:dPr>
                          <m:e>
                            <m:sSub>
                              <m:sSubPr>
                                <m:ctrlPr>
                                  <w:rPr>
                                    <w:rFonts w:ascii="Cambria Math" w:eastAsiaTheme="minorEastAsia" w:hAnsi="Cambria Math"/>
                                    <w:i/>
                                    <w:iCs/>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i/>
                                    <w:iCs/>
                                  </w:rPr>
                                </m:ctrlPr>
                              </m:sSubPr>
                              <m:e>
                                <m:r>
                                  <w:rPr>
                                    <w:rFonts w:ascii="Cambria Math" w:eastAsiaTheme="minorEastAsia" w:hAnsi="Cambria Math"/>
                                  </w:rPr>
                                  <m:t>x</m:t>
                                </m:r>
                              </m:e>
                              <m:sub>
                                <m:r>
                                  <w:rPr>
                                    <w:rFonts w:ascii="Cambria Math" w:eastAsiaTheme="minorEastAsia" w:hAnsi="Cambria Math"/>
                                  </w:rPr>
                                  <m:t>i</m:t>
                                </m:r>
                              </m:sub>
                            </m:sSub>
                          </m:e>
                        </m:d>
                        <m:r>
                          <w:rPr>
                            <w:rFonts w:ascii="Cambria Math" w:eastAsiaTheme="minorEastAsia" w:hAnsi="Cambria Math"/>
                          </w:rPr>
                          <m:t>Y=None</m:t>
                        </m:r>
                      </m:e>
                    </m:d>
                  </m:e>
                </m:nary>
              </m:oMath>
            </m:oMathPara>
          </w:p>
        </w:tc>
        <w:tc>
          <w:tcPr>
            <w:tcW w:w="772" w:type="dxa"/>
            <w:vAlign w:val="center"/>
          </w:tcPr>
          <w:p w14:paraId="30541CB0" w14:textId="71202419" w:rsidR="006C2142" w:rsidRDefault="002C693A" w:rsidP="002C693A">
            <w:pPr>
              <w:spacing w:before="0" w:after="0"/>
              <w:jc w:val="right"/>
            </w:pPr>
            <w: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9</w:t>
            </w:r>
            <w:r w:rsidR="00427B33">
              <w:rPr>
                <w:noProof/>
              </w:rPr>
              <w:fldChar w:fldCharType="end"/>
            </w:r>
            <w:r>
              <w:t>)</w:t>
            </w:r>
          </w:p>
        </w:tc>
      </w:tr>
    </w:tbl>
    <w:p w14:paraId="37548EF6" w14:textId="77777777" w:rsidR="006C2142" w:rsidRDefault="006C2142" w:rsidP="006C2142">
      <w:pPr>
        <w:rPr>
          <w:lang w:val="en-GB"/>
        </w:rPr>
      </w:pPr>
      <w:r>
        <w:rPr>
          <w:lang w:val="en-GB"/>
        </w:rPr>
        <w:t>thus the equation would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5"/>
        <w:gridCol w:w="772"/>
      </w:tblGrid>
      <w:tr w:rsidR="006C2142" w14:paraId="2E1E5DFF" w14:textId="77777777" w:rsidTr="002C693A">
        <w:trPr>
          <w:trHeight w:val="453"/>
        </w:trPr>
        <w:tc>
          <w:tcPr>
            <w:tcW w:w="8245" w:type="dxa"/>
            <w:vAlign w:val="center"/>
          </w:tcPr>
          <w:p w14:paraId="41FD3D19" w14:textId="77777777" w:rsidR="006C2142" w:rsidRPr="00F30C1F" w:rsidRDefault="006C2142" w:rsidP="00CC5DAD">
            <w:pPr>
              <w:spacing w:before="0" w:after="0"/>
              <w:jc w:val="center"/>
              <w:rPr>
                <w:i/>
                <w:lang w:val="en-GB"/>
              </w:rPr>
            </w:pPr>
            <m:oMathPara>
              <m:oMath>
                <m:r>
                  <w:rPr>
                    <w:rFonts w:ascii="Cambria Math" w:eastAsiaTheme="minorEastAsia" w:hAnsi="Cambria Math"/>
                    <w:sz w:val="20"/>
                    <w:szCs w:val="18"/>
                  </w:rPr>
                  <m:t>p</m:t>
                </m:r>
                <m:d>
                  <m:dPr>
                    <m:ctrlPr>
                      <w:rPr>
                        <w:rFonts w:ascii="Cambria Math" w:eastAsiaTheme="minorEastAsia" w:hAnsi="Cambria Math"/>
                        <w:i/>
                        <w:iCs/>
                        <w:sz w:val="20"/>
                        <w:szCs w:val="18"/>
                      </w:rPr>
                    </m:ctrlPr>
                  </m:dPr>
                  <m:e>
                    <m:d>
                      <m:dPr>
                        <m:begChr m:val=""/>
                        <m:endChr m:val="|"/>
                        <m:ctrlPr>
                          <w:rPr>
                            <w:rFonts w:ascii="Cambria Math" w:eastAsiaTheme="minorEastAsia" w:hAnsi="Cambria Math"/>
                            <w:i/>
                            <w:iCs/>
                            <w:sz w:val="20"/>
                            <w:szCs w:val="18"/>
                          </w:rPr>
                        </m:ctrlPr>
                      </m:dPr>
                      <m:e>
                        <m:sSub>
                          <m:sSubPr>
                            <m:ctrlPr>
                              <w:rPr>
                                <w:rFonts w:ascii="Cambria Math" w:eastAsiaTheme="minorEastAsia" w:hAnsi="Cambria Math"/>
                                <w:i/>
                                <w:iCs/>
                                <w:sz w:val="20"/>
                                <w:szCs w:val="18"/>
                              </w:rPr>
                            </m:ctrlPr>
                          </m:sSubPr>
                          <m:e>
                            <m:r>
                              <w:rPr>
                                <w:rFonts w:ascii="Cambria Math" w:eastAsiaTheme="minorEastAsia" w:hAnsi="Cambria Math"/>
                                <w:sz w:val="20"/>
                                <w:szCs w:val="18"/>
                              </w:rPr>
                              <m:t>x</m:t>
                            </m:r>
                          </m:e>
                          <m:sub>
                            <m:r>
                              <w:rPr>
                                <w:rFonts w:ascii="Cambria Math" w:eastAsiaTheme="minorEastAsia" w:hAnsi="Cambria Math"/>
                                <w:sz w:val="20"/>
                                <w:szCs w:val="18"/>
                              </w:rPr>
                              <m:t>i</m:t>
                            </m:r>
                          </m:sub>
                        </m:sSub>
                      </m:e>
                    </m:d>
                    <m:r>
                      <w:rPr>
                        <w:rFonts w:ascii="Cambria Math" w:eastAsiaTheme="minorEastAsia" w:hAnsi="Cambria Math"/>
                        <w:sz w:val="20"/>
                        <w:szCs w:val="18"/>
                      </w:rPr>
                      <m:t>y=None</m:t>
                    </m:r>
                  </m:e>
                </m:d>
                <m:r>
                  <w:rPr>
                    <w:rFonts w:ascii="Cambria Math" w:eastAsiaTheme="minorEastAsia" w:hAnsi="Cambria Math"/>
                    <w:sz w:val="20"/>
                    <w:szCs w:val="18"/>
                  </w:rPr>
                  <m:t>=p</m:t>
                </m:r>
                <m:d>
                  <m:dPr>
                    <m:ctrlPr>
                      <w:rPr>
                        <w:rFonts w:ascii="Cambria Math" w:eastAsiaTheme="minorEastAsia" w:hAnsi="Cambria Math"/>
                        <w:i/>
                        <w:sz w:val="20"/>
                        <w:szCs w:val="18"/>
                      </w:rPr>
                    </m:ctrlPr>
                  </m:dPr>
                  <m:e>
                    <m:r>
                      <w:rPr>
                        <w:rFonts w:ascii="Cambria Math" w:eastAsiaTheme="minorEastAsia" w:hAnsi="Cambria Math"/>
                        <w:sz w:val="20"/>
                        <w:szCs w:val="18"/>
                      </w:rPr>
                      <m:t>None</m:t>
                    </m:r>
                  </m:e>
                </m:d>
                <m:r>
                  <w:rPr>
                    <w:rFonts w:ascii="Cambria Math" w:eastAsiaTheme="minorEastAsia" w:hAnsi="Cambria Math"/>
                    <w:sz w:val="20"/>
                    <w:szCs w:val="18"/>
                  </w:rPr>
                  <m:t>∙p</m:t>
                </m:r>
                <m:d>
                  <m:dPr>
                    <m:ctrlPr>
                      <w:rPr>
                        <w:rFonts w:ascii="Cambria Math" w:eastAsiaTheme="minorEastAsia" w:hAnsi="Cambria Math"/>
                        <w:i/>
                        <w:sz w:val="20"/>
                        <w:szCs w:val="18"/>
                      </w:rPr>
                    </m:ctrlPr>
                  </m:dPr>
                  <m:e>
                    <m:d>
                      <m:dPr>
                        <m:begChr m:val=""/>
                        <m:endChr m:val="|"/>
                        <m:ctrlPr>
                          <w:rPr>
                            <w:rFonts w:ascii="Cambria Math" w:eastAsiaTheme="minorEastAsia" w:hAnsi="Cambria Math"/>
                            <w:i/>
                            <w:iCs/>
                            <w:sz w:val="20"/>
                            <w:szCs w:val="18"/>
                          </w:rPr>
                        </m:ctrlPr>
                      </m:dPr>
                      <m:e>
                        <m:r>
                          <w:rPr>
                            <w:rFonts w:ascii="Cambria Math" w:eastAsiaTheme="minorEastAsia" w:hAnsi="Cambria Math"/>
                            <w:sz w:val="20"/>
                            <w:szCs w:val="18"/>
                          </w:rPr>
                          <m:t>H</m:t>
                        </m:r>
                        <m:sSub>
                          <m:sSubPr>
                            <m:ctrlPr>
                              <w:rPr>
                                <w:rFonts w:ascii="Cambria Math" w:eastAsiaTheme="minorEastAsia" w:hAnsi="Cambria Math"/>
                                <w:i/>
                                <w:iCs/>
                                <w:sz w:val="20"/>
                                <w:szCs w:val="18"/>
                              </w:rPr>
                            </m:ctrlPr>
                          </m:sSubPr>
                          <m:e>
                            <m:r>
                              <w:rPr>
                                <w:rFonts w:ascii="Cambria Math" w:eastAsiaTheme="minorEastAsia" w:hAnsi="Cambria Math"/>
                                <w:sz w:val="20"/>
                                <w:szCs w:val="18"/>
                              </w:rPr>
                              <m:t>S</m:t>
                            </m:r>
                          </m:e>
                          <m:sub>
                            <m:r>
                              <w:rPr>
                                <w:rFonts w:ascii="Cambria Math" w:eastAsiaTheme="minorEastAsia" w:hAnsi="Cambria Math"/>
                                <w:sz w:val="20"/>
                                <w:szCs w:val="18"/>
                              </w:rPr>
                              <m:t>idl</m:t>
                            </m:r>
                            <m:sSub>
                              <m:sSubPr>
                                <m:ctrlPr>
                                  <w:rPr>
                                    <w:rFonts w:ascii="Cambria Math" w:eastAsiaTheme="minorEastAsia" w:hAnsi="Cambria Math"/>
                                    <w:i/>
                                    <w:iCs/>
                                    <w:sz w:val="20"/>
                                    <w:szCs w:val="18"/>
                                  </w:rPr>
                                </m:ctrlPr>
                              </m:sSubPr>
                              <m:e>
                                <m:r>
                                  <w:rPr>
                                    <w:rFonts w:ascii="Cambria Math" w:eastAsiaTheme="minorEastAsia" w:hAnsi="Cambria Math"/>
                                    <w:sz w:val="20"/>
                                    <w:szCs w:val="18"/>
                                  </w:rPr>
                                  <m:t>e</m:t>
                                </m:r>
                              </m:e>
                              <m:sub>
                                <m:r>
                                  <w:rPr>
                                    <w:rFonts w:ascii="Cambria Math" w:eastAsiaTheme="minorEastAsia" w:hAnsi="Cambria Math"/>
                                    <w:sz w:val="20"/>
                                    <w:szCs w:val="18"/>
                                  </w:rPr>
                                  <m:t>time</m:t>
                                </m:r>
                              </m:sub>
                            </m:sSub>
                          </m:sub>
                        </m:sSub>
                      </m:e>
                    </m:d>
                    <m:r>
                      <w:rPr>
                        <w:rFonts w:ascii="Cambria Math" w:eastAsiaTheme="minorEastAsia" w:hAnsi="Cambria Math"/>
                        <w:sz w:val="20"/>
                        <w:szCs w:val="18"/>
                      </w:rPr>
                      <m:t>None</m:t>
                    </m:r>
                  </m:e>
                </m:d>
                <m:r>
                  <w:rPr>
                    <w:rFonts w:ascii="Cambria Math" w:eastAsiaTheme="minorEastAsia" w:hAnsi="Cambria Math"/>
                    <w:sz w:val="20"/>
                    <w:szCs w:val="18"/>
                  </w:rPr>
                  <m:t>∙p</m:t>
                </m:r>
                <m:d>
                  <m:dPr>
                    <m:ctrlPr>
                      <w:rPr>
                        <w:rFonts w:ascii="Cambria Math" w:eastAsiaTheme="minorEastAsia" w:hAnsi="Cambria Math"/>
                        <w:i/>
                        <w:sz w:val="20"/>
                        <w:szCs w:val="18"/>
                      </w:rPr>
                    </m:ctrlPr>
                  </m:dPr>
                  <m:e>
                    <m:r>
                      <w:rPr>
                        <w:rFonts w:ascii="Cambria Math" w:eastAsiaTheme="minorEastAsia" w:hAnsi="Cambria Math"/>
                        <w:sz w:val="20"/>
                        <w:szCs w:val="18"/>
                      </w:rPr>
                      <m:t>N_</m:t>
                    </m:r>
                    <m:d>
                      <m:dPr>
                        <m:begChr m:val=""/>
                        <m:endChr m:val="|"/>
                        <m:ctrlPr>
                          <w:rPr>
                            <w:rFonts w:ascii="Cambria Math" w:eastAsiaTheme="minorEastAsia" w:hAnsi="Cambria Math"/>
                            <w:i/>
                            <w:iCs/>
                            <w:sz w:val="20"/>
                            <w:szCs w:val="18"/>
                          </w:rPr>
                        </m:ctrlPr>
                      </m:dPr>
                      <m:e>
                        <m:r>
                          <w:rPr>
                            <w:rFonts w:ascii="Cambria Math" w:eastAsiaTheme="minorEastAsia" w:hAnsi="Cambria Math"/>
                            <w:sz w:val="20"/>
                            <w:szCs w:val="18"/>
                          </w:rPr>
                          <m:t>T1_OS</m:t>
                        </m:r>
                      </m:e>
                    </m:d>
                    <m:r>
                      <w:rPr>
                        <w:rFonts w:ascii="Cambria Math" w:eastAsiaTheme="minorEastAsia" w:hAnsi="Cambria Math"/>
                        <w:sz w:val="20"/>
                        <w:szCs w:val="18"/>
                      </w:rPr>
                      <m:t>None</m:t>
                    </m:r>
                  </m:e>
                </m:d>
                <m:r>
                  <w:rPr>
                    <w:rFonts w:ascii="Cambria Math" w:eastAsiaTheme="minorEastAsia" w:hAnsi="Cambria Math"/>
                    <w:sz w:val="20"/>
                    <w:szCs w:val="18"/>
                  </w:rPr>
                  <m:t>∙p</m:t>
                </m:r>
                <m:d>
                  <m:dPr>
                    <m:ctrlPr>
                      <w:rPr>
                        <w:rFonts w:ascii="Cambria Math" w:eastAsiaTheme="minorEastAsia" w:hAnsi="Cambria Math"/>
                        <w:i/>
                        <w:sz w:val="20"/>
                        <w:szCs w:val="18"/>
                      </w:rPr>
                    </m:ctrlPr>
                  </m:dPr>
                  <m:e>
                    <m:d>
                      <m:dPr>
                        <m:begChr m:val=""/>
                        <m:endChr m:val="|"/>
                        <m:ctrlPr>
                          <w:rPr>
                            <w:rFonts w:ascii="Cambria Math" w:eastAsiaTheme="minorEastAsia" w:hAnsi="Cambria Math"/>
                            <w:i/>
                            <w:iCs/>
                            <w:sz w:val="20"/>
                            <w:szCs w:val="18"/>
                          </w:rPr>
                        </m:ctrlPr>
                      </m:dPr>
                      <m:e>
                        <m:r>
                          <w:rPr>
                            <w:rFonts w:ascii="Cambria Math" w:eastAsiaTheme="minorEastAsia" w:hAnsi="Cambria Math"/>
                            <w:sz w:val="20"/>
                            <w:szCs w:val="18"/>
                          </w:rPr>
                          <m:t>N_T3_OS</m:t>
                        </m:r>
                      </m:e>
                    </m:d>
                    <m:r>
                      <w:rPr>
                        <w:rFonts w:ascii="Cambria Math" w:eastAsiaTheme="minorEastAsia" w:hAnsi="Cambria Math"/>
                        <w:sz w:val="20"/>
                        <w:szCs w:val="18"/>
                      </w:rPr>
                      <m:t>None</m:t>
                    </m:r>
                  </m:e>
                </m:d>
                <m:r>
                  <w:rPr>
                    <w:rFonts w:ascii="Cambria Math" w:eastAsiaTheme="minorEastAsia" w:hAnsi="Cambria Math"/>
                    <w:sz w:val="20"/>
                    <w:szCs w:val="18"/>
                  </w:rPr>
                  <m:t>∙… ∙p</m:t>
                </m:r>
                <m:d>
                  <m:dPr>
                    <m:ctrlPr>
                      <w:rPr>
                        <w:rFonts w:ascii="Cambria Math" w:eastAsiaTheme="minorEastAsia" w:hAnsi="Cambria Math"/>
                        <w:i/>
                        <w:sz w:val="20"/>
                        <w:szCs w:val="18"/>
                      </w:rPr>
                    </m:ctrlPr>
                  </m:dPr>
                  <m:e>
                    <m:d>
                      <m:dPr>
                        <m:begChr m:val=""/>
                        <m:endChr m:val="|"/>
                        <m:ctrlPr>
                          <w:rPr>
                            <w:rFonts w:ascii="Cambria Math" w:eastAsiaTheme="minorEastAsia" w:hAnsi="Cambria Math"/>
                            <w:i/>
                            <w:iCs/>
                            <w:sz w:val="20"/>
                            <w:szCs w:val="18"/>
                          </w:rPr>
                        </m:ctrlPr>
                      </m:dPr>
                      <m:e>
                        <m:r>
                          <w:rPr>
                            <w:rFonts w:ascii="Cambria Math" w:eastAsiaTheme="minorEastAsia" w:hAnsi="Cambria Math"/>
                            <w:sz w:val="20"/>
                            <w:szCs w:val="18"/>
                          </w:rPr>
                          <m:t>N_Kurt_OS</m:t>
                        </m:r>
                      </m:e>
                    </m:d>
                    <m:r>
                      <w:rPr>
                        <w:rFonts w:ascii="Cambria Math" w:eastAsiaTheme="minorEastAsia" w:hAnsi="Cambria Math"/>
                        <w:sz w:val="20"/>
                        <w:szCs w:val="18"/>
                      </w:rPr>
                      <m:t>None</m:t>
                    </m:r>
                  </m:e>
                </m:d>
              </m:oMath>
            </m:oMathPara>
          </w:p>
        </w:tc>
        <w:tc>
          <w:tcPr>
            <w:tcW w:w="772" w:type="dxa"/>
            <w:vAlign w:val="center"/>
          </w:tcPr>
          <w:p w14:paraId="2B1DB7BB" w14:textId="0DF48DC2" w:rsidR="006C2142" w:rsidRDefault="002C693A" w:rsidP="002C693A">
            <w:pPr>
              <w:spacing w:before="0" w:after="0"/>
              <w:jc w:val="right"/>
            </w:pPr>
            <w: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10</w:t>
            </w:r>
            <w:r w:rsidR="00427B33">
              <w:rPr>
                <w:noProof/>
              </w:rPr>
              <w:fldChar w:fldCharType="end"/>
            </w:r>
            <w:r>
              <w:t>)</w:t>
            </w:r>
          </w:p>
        </w:tc>
      </w:tr>
    </w:tbl>
    <w:p w14:paraId="5E08CA0A" w14:textId="1C95744D" w:rsidR="006C2142" w:rsidRDefault="006C2142" w:rsidP="006C2142">
      <w:pPr>
        <w:rPr>
          <w:lang w:val="en-GB"/>
        </w:rPr>
      </w:pPr>
      <w:r>
        <w:rPr>
          <w:lang w:val="en-GB"/>
        </w:rPr>
        <w:t>hence, we can technically express it as being proportional to the probability that an event is normal given the variables in the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5"/>
        <w:gridCol w:w="772"/>
      </w:tblGrid>
      <w:tr w:rsidR="006C2142" w14:paraId="66664136" w14:textId="77777777" w:rsidTr="002C693A">
        <w:trPr>
          <w:trHeight w:val="453"/>
        </w:trPr>
        <w:tc>
          <w:tcPr>
            <w:tcW w:w="8245" w:type="dxa"/>
            <w:vAlign w:val="center"/>
          </w:tcPr>
          <w:p w14:paraId="123BC9A3" w14:textId="77777777" w:rsidR="006C2142" w:rsidRPr="00F30C1F" w:rsidRDefault="00427B33" w:rsidP="00CC5DAD">
            <w:pPr>
              <w:spacing w:before="0" w:after="0"/>
              <w:jc w:val="center"/>
              <w:rPr>
                <w:i/>
                <w:lang w:val="en-GB"/>
              </w:rPr>
            </w:pPr>
            <m:oMath>
              <m:d>
                <m:dPr>
                  <m:ctrlPr>
                    <w:rPr>
                      <w:rFonts w:ascii="Cambria Math" w:eastAsiaTheme="minorEastAsia" w:hAnsi="Cambria Math"/>
                      <w:i/>
                      <w:iCs/>
                    </w:rPr>
                  </m:ctrlPr>
                </m:dPr>
                <m:e>
                  <m:r>
                    <w:rPr>
                      <w:rFonts w:ascii="Cambria Math" w:eastAsiaTheme="minorEastAsia" w:hAnsi="Cambria Math"/>
                    </w:rPr>
                    <m:t>p</m:t>
                  </m:r>
                  <m:d>
                    <m:dPr>
                      <m:ctrlPr>
                        <w:rPr>
                          <w:rFonts w:ascii="Cambria Math" w:eastAsiaTheme="minorEastAsia" w:hAnsi="Cambria Math"/>
                          <w:i/>
                          <w:iCs/>
                        </w:rPr>
                      </m:ctrlPr>
                    </m:dPr>
                    <m:e>
                      <m:r>
                        <w:rPr>
                          <w:rFonts w:ascii="Cambria Math" w:eastAsiaTheme="minorEastAsia" w:hAnsi="Cambria Math"/>
                        </w:rPr>
                        <m:t>None</m:t>
                      </m:r>
                    </m:e>
                  </m:d>
                  <m:r>
                    <w:rPr>
                      <w:rFonts w:ascii="Cambria Math" w:eastAsiaTheme="minorEastAsia" w:hAnsi="Cambria Math"/>
                    </w:rPr>
                    <m:t>∙p</m:t>
                  </m:r>
                  <m:d>
                    <m:dPr>
                      <m:ctrlPr>
                        <w:rPr>
                          <w:rFonts w:ascii="Cambria Math" w:eastAsiaTheme="minorEastAsia" w:hAnsi="Cambria Math"/>
                          <w:i/>
                          <w:iCs/>
                        </w:rPr>
                      </m:ctrlPr>
                    </m:dPr>
                    <m:e>
                      <m:d>
                        <m:dPr>
                          <m:begChr m:val=""/>
                          <m:endChr m:val="|"/>
                          <m:ctrlPr>
                            <w:rPr>
                              <w:rFonts w:ascii="Cambria Math" w:eastAsiaTheme="minorEastAsia" w:hAnsi="Cambria Math"/>
                              <w:i/>
                              <w:iCs/>
                            </w:rPr>
                          </m:ctrlPr>
                        </m:dPr>
                        <m:e>
                          <m:sSub>
                            <m:sSubPr>
                              <m:ctrlPr>
                                <w:rPr>
                                  <w:rFonts w:ascii="Cambria Math" w:eastAsiaTheme="minorEastAsia" w:hAnsi="Cambria Math"/>
                                  <w:i/>
                                  <w:iCs/>
                                </w:rPr>
                              </m:ctrlPr>
                            </m:sSubPr>
                            <m:e>
                              <m:r>
                                <w:rPr>
                                  <w:rFonts w:ascii="Cambria Math" w:eastAsiaTheme="minorEastAsia" w:hAnsi="Cambria Math"/>
                                </w:rPr>
                                <m:t>x</m:t>
                              </m:r>
                            </m:e>
                            <m:sub>
                              <m:r>
                                <w:rPr>
                                  <w:rFonts w:ascii="Cambria Math" w:eastAsiaTheme="minorEastAsia" w:hAnsi="Cambria Math"/>
                                </w:rPr>
                                <m:t>i</m:t>
                              </m:r>
                            </m:sub>
                          </m:sSub>
                        </m:e>
                      </m:d>
                      <m:r>
                        <w:rPr>
                          <w:rFonts w:ascii="Cambria Math" w:eastAsiaTheme="minorEastAsia" w:hAnsi="Cambria Math"/>
                        </w:rPr>
                        <m:t>None</m:t>
                      </m:r>
                    </m:e>
                  </m:d>
                </m:e>
              </m:d>
              <m:r>
                <w:rPr>
                  <w:rFonts w:ascii="Cambria Math" w:eastAsiaTheme="minorEastAsia" w:hAnsi="Cambria Math"/>
                </w:rPr>
                <m:t>∝p(None</m:t>
              </m:r>
              <m:d>
                <m:dPr>
                  <m:begChr m:val="|"/>
                  <m:endChr m:val=""/>
                  <m:ctrlPr>
                    <w:rPr>
                      <w:rFonts w:ascii="Cambria Math" w:eastAsiaTheme="minorEastAsia" w:hAnsi="Cambria Math"/>
                      <w:i/>
                      <w:iCs/>
                    </w:rPr>
                  </m:ctrlPr>
                </m:dPr>
                <m:e>
                  <m:sSub>
                    <m:sSubPr>
                      <m:ctrlPr>
                        <w:rPr>
                          <w:rFonts w:ascii="Cambria Math" w:eastAsiaTheme="minorEastAsia" w:hAnsi="Cambria Math"/>
                          <w:i/>
                          <w:iCs/>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m:t>
                  </m:r>
                </m:e>
              </m:d>
              <m:r>
                <w:rPr>
                  <w:rFonts w:ascii="Cambria Math" w:eastAsiaTheme="minorEastAsia" w:hAnsi="Cambria Math"/>
                </w:rPr>
                <m:t xml:space="preserve"> </m:t>
              </m:r>
            </m:oMath>
            <w:r w:rsidR="006C2142">
              <w:rPr>
                <w:rFonts w:eastAsiaTheme="minorEastAsia"/>
                <w:i/>
              </w:rPr>
              <w:t>.</w:t>
            </w:r>
          </w:p>
        </w:tc>
        <w:tc>
          <w:tcPr>
            <w:tcW w:w="772" w:type="dxa"/>
            <w:vAlign w:val="center"/>
          </w:tcPr>
          <w:p w14:paraId="1AB32A30" w14:textId="7A81704B" w:rsidR="006C2142" w:rsidRDefault="002C693A" w:rsidP="002C693A">
            <w:pPr>
              <w:spacing w:before="0" w:after="0"/>
              <w:jc w:val="right"/>
            </w:pPr>
            <w: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11</w:t>
            </w:r>
            <w:r w:rsidR="00427B33">
              <w:rPr>
                <w:noProof/>
              </w:rPr>
              <w:fldChar w:fldCharType="end"/>
            </w:r>
            <w:r>
              <w:t>)</w:t>
            </w:r>
          </w:p>
        </w:tc>
      </w:tr>
    </w:tbl>
    <w:p w14:paraId="7BE0A348" w14:textId="707B01E4" w:rsidR="006C2142" w:rsidRDefault="006C2142" w:rsidP="006C2142">
      <w:pPr>
        <w:rPr>
          <w:lang w:val="en-GB"/>
        </w:rPr>
      </w:pPr>
      <w:r>
        <w:rPr>
          <w:lang w:val="en-GB"/>
        </w:rPr>
        <w:t>However, since we a</w:t>
      </w:r>
      <w:r w:rsidR="00550CFE">
        <w:rPr>
          <w:lang w:val="en-GB"/>
        </w:rPr>
        <w:t>ssume Gaussian distribution and under such probability, we use numerical instead of categorical data (e.g., ordinal, nominal); we then must use th</w:t>
      </w:r>
      <w:r>
        <w:rPr>
          <w:lang w:val="en-GB"/>
        </w:rPr>
        <w:t xml:space="preserve">e </w:t>
      </w:r>
      <w:r>
        <w:rPr>
          <w:i/>
          <w:iCs/>
          <w:lang w:val="en-GB"/>
        </w:rPr>
        <w:t>likelihood estimation function</w:t>
      </w:r>
      <w:r>
        <w:rPr>
          <w:lang w:val="en-GB"/>
        </w:rPr>
        <w:t xml:space="preserve"> instead of probability. Therefore, using the likelihood (£) estimate: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5"/>
        <w:gridCol w:w="772"/>
      </w:tblGrid>
      <w:tr w:rsidR="006C2142" w14:paraId="2C298455" w14:textId="77777777" w:rsidTr="002C693A">
        <w:trPr>
          <w:trHeight w:val="453"/>
        </w:trPr>
        <w:tc>
          <w:tcPr>
            <w:tcW w:w="8245" w:type="dxa"/>
            <w:vAlign w:val="center"/>
          </w:tcPr>
          <w:p w14:paraId="73E50C38" w14:textId="136C3750" w:rsidR="006C2142" w:rsidRPr="00F30C1F" w:rsidRDefault="006C2142" w:rsidP="00CC5DAD">
            <w:pPr>
              <w:spacing w:before="0" w:after="0"/>
              <w:jc w:val="center"/>
              <w:rPr>
                <w:i/>
                <w:lang w:val="en-GB"/>
              </w:rPr>
            </w:pPr>
            <m:oMathPara>
              <m:oMath>
                <m:r>
                  <m:rPr>
                    <m:scr m:val="script"/>
                  </m:rPr>
                  <w:rPr>
                    <w:rFonts w:ascii="Cambria Math" w:eastAsiaTheme="minorEastAsia" w:hAnsi="Cambria Math"/>
                  </w:rPr>
                  <m:t>L</m:t>
                </m:r>
                <m:d>
                  <m:dPr>
                    <m:ctrlPr>
                      <w:rPr>
                        <w:rFonts w:ascii="Cambria Math" w:eastAsiaTheme="minorEastAsia" w:hAnsi="Cambria Math"/>
                        <w:i/>
                      </w:rPr>
                    </m:ctrlPr>
                  </m:dPr>
                  <m:e>
                    <m:d>
                      <m:dPr>
                        <m:begChr m:val=""/>
                        <m:endChr m:val="|"/>
                        <m:ctrlPr>
                          <w:rPr>
                            <w:rFonts w:ascii="Cambria Math" w:eastAsiaTheme="minorEastAsia" w:hAnsi="Cambria Math"/>
                            <w:i/>
                            <w:iCs/>
                            <w:sz w:val="20"/>
                            <w:szCs w:val="18"/>
                          </w:rPr>
                        </m:ctrlPr>
                      </m:dPr>
                      <m:e>
                        <m:r>
                          <m:rPr>
                            <m:sty m:val="bi"/>
                          </m:rPr>
                          <w:rPr>
                            <w:rFonts w:ascii="Cambria Math" w:eastAsiaTheme="minorEastAsia" w:hAnsi="Cambria Math"/>
                            <w:sz w:val="20"/>
                            <w:szCs w:val="18"/>
                          </w:rPr>
                          <m:t>X</m:t>
                        </m:r>
                      </m:e>
                    </m:d>
                    <m:r>
                      <w:rPr>
                        <w:rFonts w:ascii="Cambria Math" w:eastAsiaTheme="minorEastAsia" w:hAnsi="Cambria Math"/>
                        <w:sz w:val="20"/>
                        <w:szCs w:val="18"/>
                      </w:rPr>
                      <m:t>Y</m:t>
                    </m:r>
                    <m:ctrlPr>
                      <w:rPr>
                        <w:rFonts w:ascii="Cambria Math" w:eastAsiaTheme="minorEastAsia" w:hAnsi="Cambria Math"/>
                        <w:i/>
                        <w:sz w:val="20"/>
                        <w:szCs w:val="18"/>
                      </w:rPr>
                    </m:ctrlPr>
                  </m:e>
                </m:d>
                <m:r>
                  <w:rPr>
                    <w:rFonts w:ascii="Cambria Math" w:eastAsiaTheme="minorEastAsia" w:hAnsi="Cambria Math"/>
                  </w:rPr>
                  <m:t>= ℵ</m:t>
                </m:r>
                <m:d>
                  <m:dPr>
                    <m:ctrlPr>
                      <w:rPr>
                        <w:rFonts w:ascii="Cambria Math" w:eastAsiaTheme="minorEastAsia" w:hAnsi="Cambria Math"/>
                        <w:i/>
                      </w:rPr>
                    </m:ctrlPr>
                  </m:dPr>
                  <m:e>
                    <m:d>
                      <m:dPr>
                        <m:begChr m:val=""/>
                        <m:endChr m:val="|"/>
                        <m:ctrlPr>
                          <w:rPr>
                            <w:rFonts w:ascii="Cambria Math" w:eastAsiaTheme="minorEastAsia" w:hAnsi="Cambria Math"/>
                            <w:i/>
                            <w:iCs/>
                            <w:sz w:val="20"/>
                            <w:szCs w:val="18"/>
                          </w:rPr>
                        </m:ctrlPr>
                      </m:dPr>
                      <m:e>
                        <m:r>
                          <m:rPr>
                            <m:sty m:val="bi"/>
                          </m:rPr>
                          <w:rPr>
                            <w:rFonts w:ascii="Cambria Math" w:eastAsiaTheme="minorEastAsia" w:hAnsi="Cambria Math"/>
                            <w:sz w:val="20"/>
                            <w:szCs w:val="18"/>
                          </w:rPr>
                          <m:t>X</m:t>
                        </m:r>
                      </m:e>
                    </m:d>
                    <m:r>
                      <w:rPr>
                        <w:rFonts w:ascii="Cambria Math" w:eastAsiaTheme="minorEastAsia" w:hAnsi="Cambria Math"/>
                        <w:sz w:val="20"/>
                        <w:szCs w:val="18"/>
                      </w:rPr>
                      <m:t>Y</m:t>
                    </m:r>
                    <m:ctrlPr>
                      <w:rPr>
                        <w:rFonts w:ascii="Cambria Math" w:eastAsiaTheme="minorEastAsia" w:hAnsi="Cambria Math"/>
                        <w:i/>
                        <w:sz w:val="20"/>
                        <w:szCs w:val="18"/>
                      </w:rPr>
                    </m:ctrlPr>
                  </m:e>
                </m:d>
                <m:r>
                  <w:rPr>
                    <w:rFonts w:ascii="Cambria Math" w:eastAsiaTheme="minorEastAsia" w:hAnsi="Cambria Math"/>
                    <w:sz w:val="20"/>
                    <w:szCs w:val="18"/>
                  </w:rPr>
                  <m:t>=</m:t>
                </m:r>
                <m:r>
                  <w:rPr>
                    <w:rFonts w:ascii="Cambria Math" w:eastAsiaTheme="minorEastAsia" w:hAnsi="Cambria Math"/>
                  </w:rPr>
                  <m:t>ℵ</m:t>
                </m:r>
                <m:d>
                  <m:dPr>
                    <m:ctrlPr>
                      <w:rPr>
                        <w:rFonts w:ascii="Cambria Math" w:eastAsiaTheme="minorEastAsia" w:hAnsi="Cambria Math"/>
                        <w:i/>
                      </w:rPr>
                    </m:ctrlPr>
                  </m:dPr>
                  <m:e>
                    <m:d>
                      <m:dPr>
                        <m:begChr m:val=""/>
                        <m:endChr m:val="|"/>
                        <m:ctrlPr>
                          <w:rPr>
                            <w:rFonts w:ascii="Cambria Math" w:eastAsiaTheme="minorEastAsia" w:hAnsi="Cambria Math"/>
                            <w:i/>
                            <w:iCs/>
                            <w:sz w:val="20"/>
                            <w:szCs w:val="18"/>
                          </w:rPr>
                        </m:ctrlPr>
                      </m:dPr>
                      <m:e>
                        <m:r>
                          <m:rPr>
                            <m:sty m:val="bi"/>
                          </m:rPr>
                          <w:rPr>
                            <w:rFonts w:ascii="Cambria Math" w:eastAsiaTheme="minorEastAsia" w:hAnsi="Cambria Math"/>
                            <w:sz w:val="20"/>
                            <w:szCs w:val="18"/>
                          </w:rPr>
                          <m:t>X</m:t>
                        </m:r>
                      </m:e>
                    </m:d>
                    <m:r>
                      <w:rPr>
                        <w:rFonts w:ascii="Cambria Math" w:eastAsiaTheme="minorEastAsia" w:hAnsi="Cambria Math"/>
                        <w:sz w:val="20"/>
                        <w:szCs w:val="18"/>
                      </w:rPr>
                      <m:t xml:space="preserve">μ, </m:t>
                    </m:r>
                    <m:r>
                      <m:rPr>
                        <m:sty m:val="p"/>
                      </m:rPr>
                      <w:rPr>
                        <w:rFonts w:ascii="Cambria Math" w:eastAsiaTheme="minorEastAsia" w:hAnsi="Cambria Math"/>
                        <w:sz w:val="20"/>
                        <w:szCs w:val="18"/>
                      </w:rPr>
                      <m:t>Σ</m:t>
                    </m:r>
                    <m:ctrlPr>
                      <w:rPr>
                        <w:rFonts w:ascii="Cambria Math" w:eastAsiaTheme="minorEastAsia" w:hAnsi="Cambria Math"/>
                        <w:i/>
                        <w:sz w:val="20"/>
                        <w:szCs w:val="18"/>
                      </w:rPr>
                    </m:ctrlPr>
                  </m:e>
                </m:d>
              </m:oMath>
            </m:oMathPara>
          </w:p>
        </w:tc>
        <w:tc>
          <w:tcPr>
            <w:tcW w:w="772" w:type="dxa"/>
            <w:vAlign w:val="center"/>
          </w:tcPr>
          <w:p w14:paraId="3512C558" w14:textId="1C50CEC9" w:rsidR="006C2142" w:rsidRDefault="002C693A" w:rsidP="002C693A">
            <w:pPr>
              <w:spacing w:before="0" w:after="0"/>
              <w:jc w:val="right"/>
            </w:pPr>
            <w: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12</w:t>
            </w:r>
            <w:r w:rsidR="00427B33">
              <w:rPr>
                <w:noProof/>
              </w:rPr>
              <w:fldChar w:fldCharType="end"/>
            </w:r>
            <w:r>
              <w:t>)</w:t>
            </w:r>
          </w:p>
        </w:tc>
      </w:tr>
    </w:tbl>
    <w:p w14:paraId="4FC66FAB" w14:textId="77777777" w:rsidR="006C2142" w:rsidRDefault="006C2142" w:rsidP="006C2142">
      <w:pPr>
        <w:rPr>
          <w:lang w:val="en-GB"/>
        </w:rPr>
      </w:pPr>
      <w:r>
        <w:rPr>
          <w:lang w:val="en-GB"/>
        </w:rPr>
        <w:t>where estimated parameters of both classifiers will need to be approximated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5"/>
        <w:gridCol w:w="772"/>
      </w:tblGrid>
      <w:tr w:rsidR="006C2142" w14:paraId="3D6BE2B6" w14:textId="77777777" w:rsidTr="002C693A">
        <w:trPr>
          <w:trHeight w:val="929"/>
        </w:trPr>
        <w:tc>
          <w:tcPr>
            <w:tcW w:w="8245" w:type="dxa"/>
            <w:vAlign w:val="center"/>
          </w:tcPr>
          <w:p w14:paraId="0AB6D535" w14:textId="3992BDF9" w:rsidR="006C2142" w:rsidRPr="003F7340" w:rsidRDefault="00427B33" w:rsidP="00CC5DAD">
            <w:pPr>
              <w:spacing w:before="0" w:after="0"/>
              <w:jc w:val="center"/>
              <w:rPr>
                <w:rFonts w:eastAsiaTheme="minorEastAsia"/>
                <w:i/>
              </w:rPr>
            </w:pPr>
            <m:oMathPara>
              <m:oMath>
                <m:sSub>
                  <m:sSubPr>
                    <m:ctrlPr>
                      <w:rPr>
                        <w:rFonts w:ascii="Cambria Math" w:eastAsiaTheme="minorEastAsia" w:hAnsi="Cambria Math"/>
                        <w:i/>
                        <w:sz w:val="20"/>
                        <w:szCs w:val="18"/>
                      </w:rPr>
                    </m:ctrlPr>
                  </m:sSubPr>
                  <m:e>
                    <m:r>
                      <w:rPr>
                        <w:rFonts w:ascii="Cambria Math" w:eastAsiaTheme="minorEastAsia" w:hAnsi="Cambria Math"/>
                        <w:sz w:val="20"/>
                        <w:szCs w:val="18"/>
                      </w:rPr>
                      <m:t>μ</m:t>
                    </m:r>
                  </m:e>
                  <m:sub>
                    <m:r>
                      <w:rPr>
                        <w:rFonts w:ascii="Cambria Math" w:eastAsiaTheme="minorEastAsia" w:hAnsi="Cambria Math"/>
                        <w:sz w:val="20"/>
                        <w:szCs w:val="18"/>
                      </w:rPr>
                      <m:t>MLE</m:t>
                    </m:r>
                  </m:sub>
                </m:sSub>
                <m:r>
                  <w:rPr>
                    <w:rFonts w:ascii="Cambria Math" w:eastAsiaTheme="minorEastAsia" w:hAnsi="Cambria Math"/>
                  </w:rPr>
                  <m:t>=</m:t>
                </m:r>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argmax</m:t>
                        </m:r>
                      </m:e>
                      <m:lim>
                        <m:r>
                          <w:rPr>
                            <w:rFonts w:ascii="Cambria Math" w:eastAsiaTheme="minorEastAsia" w:hAnsi="Cambria Math"/>
                            <w:sz w:val="20"/>
                            <w:szCs w:val="18"/>
                          </w:rPr>
                          <m:t>μ</m:t>
                        </m:r>
                      </m:lim>
                    </m:limLow>
                  </m:fName>
                  <m:e>
                    <m:r>
                      <w:rPr>
                        <w:rFonts w:ascii="Cambria Math" w:eastAsiaTheme="minorEastAsia" w:hAnsi="Cambria Math"/>
                      </w:rPr>
                      <m:t>ℵ</m:t>
                    </m:r>
                    <m:d>
                      <m:dPr>
                        <m:ctrlPr>
                          <w:rPr>
                            <w:rFonts w:ascii="Cambria Math" w:eastAsiaTheme="minorEastAsia" w:hAnsi="Cambria Math"/>
                            <w:i/>
                          </w:rPr>
                        </m:ctrlPr>
                      </m:dPr>
                      <m:e>
                        <m:d>
                          <m:dPr>
                            <m:begChr m:val=""/>
                            <m:endChr m:val="|"/>
                            <m:ctrlPr>
                              <w:rPr>
                                <w:rFonts w:ascii="Cambria Math" w:eastAsiaTheme="minorEastAsia" w:hAnsi="Cambria Math"/>
                                <w:i/>
                                <w:iCs/>
                                <w:sz w:val="20"/>
                                <w:szCs w:val="18"/>
                              </w:rPr>
                            </m:ctrlPr>
                          </m:dPr>
                          <m:e>
                            <m:r>
                              <m:rPr>
                                <m:sty m:val="bi"/>
                              </m:rPr>
                              <w:rPr>
                                <w:rFonts w:ascii="Cambria Math" w:eastAsiaTheme="minorEastAsia" w:hAnsi="Cambria Math"/>
                                <w:sz w:val="20"/>
                                <w:szCs w:val="18"/>
                              </w:rPr>
                              <m:t>X</m:t>
                            </m:r>
                          </m:e>
                        </m:d>
                        <m:r>
                          <w:rPr>
                            <w:rFonts w:ascii="Cambria Math" w:eastAsiaTheme="minorEastAsia" w:hAnsi="Cambria Math"/>
                            <w:sz w:val="20"/>
                            <w:szCs w:val="18"/>
                          </w:rPr>
                          <m:t xml:space="preserve">μ, </m:t>
                        </m:r>
                        <m:r>
                          <m:rPr>
                            <m:sty m:val="p"/>
                          </m:rPr>
                          <w:rPr>
                            <w:rFonts w:ascii="Cambria Math" w:eastAsiaTheme="minorEastAsia" w:hAnsi="Cambria Math"/>
                            <w:sz w:val="20"/>
                            <w:szCs w:val="18"/>
                          </w:rPr>
                          <m:t>Σ</m:t>
                        </m:r>
                        <m:ctrlPr>
                          <w:rPr>
                            <w:rFonts w:ascii="Cambria Math" w:eastAsiaTheme="minorEastAsia" w:hAnsi="Cambria Math"/>
                            <w:i/>
                            <w:sz w:val="20"/>
                            <w:szCs w:val="18"/>
                          </w:rPr>
                        </m:ctrlPr>
                      </m:e>
                    </m:d>
                  </m:e>
                </m:func>
              </m:oMath>
            </m:oMathPara>
          </w:p>
          <w:p w14:paraId="231DFCD1" w14:textId="1434267E" w:rsidR="006C2142" w:rsidRPr="003F7340" w:rsidRDefault="00427B33" w:rsidP="00CC5DAD">
            <w:pPr>
              <w:spacing w:before="0" w:after="0"/>
              <w:jc w:val="center"/>
              <w:rPr>
                <w:rFonts w:eastAsiaTheme="minorEastAsia"/>
                <w:i/>
              </w:rPr>
            </w:pPr>
            <m:oMathPara>
              <m:oMath>
                <m:sSub>
                  <m:sSubPr>
                    <m:ctrlPr>
                      <w:rPr>
                        <w:rFonts w:ascii="Cambria Math" w:eastAsiaTheme="minorEastAsia" w:hAnsi="Cambria Math"/>
                        <w:i/>
                        <w:sz w:val="20"/>
                        <w:szCs w:val="18"/>
                      </w:rPr>
                    </m:ctrlPr>
                  </m:sSubPr>
                  <m:e>
                    <m:r>
                      <m:rPr>
                        <m:sty m:val="p"/>
                      </m:rPr>
                      <w:rPr>
                        <w:rFonts w:ascii="Cambria Math" w:eastAsiaTheme="minorEastAsia" w:hAnsi="Cambria Math"/>
                        <w:sz w:val="20"/>
                        <w:szCs w:val="18"/>
                      </w:rPr>
                      <m:t>Σ</m:t>
                    </m:r>
                  </m:e>
                  <m:sub>
                    <m:r>
                      <w:rPr>
                        <w:rFonts w:ascii="Cambria Math" w:eastAsiaTheme="minorEastAsia" w:hAnsi="Cambria Math"/>
                        <w:sz w:val="20"/>
                        <w:szCs w:val="18"/>
                      </w:rPr>
                      <m:t>MLE</m:t>
                    </m:r>
                  </m:sub>
                </m:sSub>
                <m:r>
                  <w:rPr>
                    <w:rFonts w:ascii="Cambria Math" w:eastAsiaTheme="minorEastAsia" w:hAnsi="Cambria Math"/>
                  </w:rPr>
                  <m:t>=</m:t>
                </m:r>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argmax</m:t>
                        </m:r>
                      </m:e>
                      <m:lim>
                        <m:r>
                          <m:rPr>
                            <m:sty m:val="p"/>
                          </m:rPr>
                          <w:rPr>
                            <w:rFonts w:ascii="Cambria Math" w:eastAsiaTheme="minorEastAsia" w:hAnsi="Cambria Math"/>
                            <w:sz w:val="20"/>
                            <w:szCs w:val="18"/>
                          </w:rPr>
                          <m:t>Σ</m:t>
                        </m:r>
                      </m:lim>
                    </m:limLow>
                  </m:fName>
                  <m:e>
                    <m:r>
                      <w:rPr>
                        <w:rFonts w:ascii="Cambria Math" w:eastAsiaTheme="minorEastAsia" w:hAnsi="Cambria Math"/>
                      </w:rPr>
                      <m:t>ℵ</m:t>
                    </m:r>
                    <m:d>
                      <m:dPr>
                        <m:ctrlPr>
                          <w:rPr>
                            <w:rFonts w:ascii="Cambria Math" w:eastAsiaTheme="minorEastAsia" w:hAnsi="Cambria Math"/>
                            <w:i/>
                          </w:rPr>
                        </m:ctrlPr>
                      </m:dPr>
                      <m:e>
                        <m:d>
                          <m:dPr>
                            <m:begChr m:val=""/>
                            <m:endChr m:val="|"/>
                            <m:ctrlPr>
                              <w:rPr>
                                <w:rFonts w:ascii="Cambria Math" w:eastAsiaTheme="minorEastAsia" w:hAnsi="Cambria Math"/>
                                <w:i/>
                                <w:iCs/>
                                <w:sz w:val="20"/>
                                <w:szCs w:val="18"/>
                              </w:rPr>
                            </m:ctrlPr>
                          </m:dPr>
                          <m:e>
                            <m:r>
                              <m:rPr>
                                <m:sty m:val="bi"/>
                              </m:rPr>
                              <w:rPr>
                                <w:rFonts w:ascii="Cambria Math" w:eastAsiaTheme="minorEastAsia" w:hAnsi="Cambria Math"/>
                                <w:sz w:val="20"/>
                                <w:szCs w:val="18"/>
                              </w:rPr>
                              <m:t>X</m:t>
                            </m:r>
                          </m:e>
                        </m:d>
                        <m:r>
                          <w:rPr>
                            <w:rFonts w:ascii="Cambria Math" w:eastAsiaTheme="minorEastAsia" w:hAnsi="Cambria Math"/>
                            <w:sz w:val="20"/>
                            <w:szCs w:val="18"/>
                          </w:rPr>
                          <m:t xml:space="preserve">μ, </m:t>
                        </m:r>
                        <m:r>
                          <m:rPr>
                            <m:sty m:val="p"/>
                          </m:rPr>
                          <w:rPr>
                            <w:rFonts w:ascii="Cambria Math" w:eastAsiaTheme="minorEastAsia" w:hAnsi="Cambria Math"/>
                            <w:sz w:val="20"/>
                            <w:szCs w:val="18"/>
                          </w:rPr>
                          <m:t>Σ</m:t>
                        </m:r>
                        <m:ctrlPr>
                          <w:rPr>
                            <w:rFonts w:ascii="Cambria Math" w:eastAsiaTheme="minorEastAsia" w:hAnsi="Cambria Math"/>
                            <w:i/>
                            <w:sz w:val="20"/>
                            <w:szCs w:val="18"/>
                          </w:rPr>
                        </m:ctrlPr>
                      </m:e>
                    </m:d>
                  </m:e>
                </m:func>
              </m:oMath>
            </m:oMathPara>
          </w:p>
        </w:tc>
        <w:tc>
          <w:tcPr>
            <w:tcW w:w="772" w:type="dxa"/>
            <w:vAlign w:val="center"/>
          </w:tcPr>
          <w:p w14:paraId="507897FF" w14:textId="489C5B9B" w:rsidR="006C2142" w:rsidRDefault="002C693A" w:rsidP="002C693A">
            <w:pPr>
              <w:spacing w:before="0" w:after="0"/>
              <w:jc w:val="right"/>
            </w:pPr>
            <w: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13</w:t>
            </w:r>
            <w:r w:rsidR="00427B33">
              <w:rPr>
                <w:noProof/>
              </w:rPr>
              <w:fldChar w:fldCharType="end"/>
            </w:r>
            <w:r>
              <w:t>)</w:t>
            </w:r>
          </w:p>
        </w:tc>
      </w:tr>
    </w:tbl>
    <w:p w14:paraId="6EE5281F" w14:textId="5C90A137" w:rsidR="006C2142" w:rsidRDefault="006C2142" w:rsidP="006C2142">
      <w:pPr>
        <w:rPr>
          <w:lang w:val="en-GB"/>
        </w:rPr>
      </w:pPr>
      <w:r>
        <w:rPr>
          <w:lang w:val="en-GB"/>
        </w:rPr>
        <w:t>thus, avoiding in</w:t>
      </w:r>
      <w:r w:rsidR="00550CFE">
        <w:rPr>
          <w:lang w:val="en-GB"/>
        </w:rPr>
        <w:t>-</w:t>
      </w:r>
      <w:r>
        <w:rPr>
          <w:lang w:val="en-GB"/>
        </w:rPr>
        <w:t>depth representation of best values of μ and Σ using calculus (partial derivatives)  and pu</w:t>
      </w:r>
      <w:r w:rsidR="00550CFE">
        <w:rPr>
          <w:lang w:val="en-GB"/>
        </w:rPr>
        <w:t>t</w:t>
      </w:r>
      <w:r>
        <w:rPr>
          <w:lang w:val="en-GB"/>
        </w:rPr>
        <w:t>ting in simple terms</w:t>
      </w:r>
      <w:r w:rsidR="00550CFE">
        <w:rPr>
          <w:lang w:val="en-GB"/>
        </w:rPr>
        <w:t>,</w:t>
      </w:r>
      <w:r>
        <w:rPr>
          <w:lang w:val="en-GB"/>
        </w:rPr>
        <w:t xml:space="preserve"> the general representation of the MLE for mean and standard deviation under the Gaussian distribution assumption will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5"/>
        <w:gridCol w:w="772"/>
      </w:tblGrid>
      <w:tr w:rsidR="006C2142" w14:paraId="6B61F8E5" w14:textId="77777777" w:rsidTr="002C693A">
        <w:trPr>
          <w:trHeight w:val="929"/>
        </w:trPr>
        <w:tc>
          <w:tcPr>
            <w:tcW w:w="8245" w:type="dxa"/>
            <w:vAlign w:val="center"/>
          </w:tcPr>
          <w:p w14:paraId="24ED7D43" w14:textId="69A918FC" w:rsidR="006C2142" w:rsidRPr="00E656B7" w:rsidRDefault="00427B33" w:rsidP="00037656">
            <w:pPr>
              <w:spacing w:before="0" w:after="0"/>
              <w:jc w:val="center"/>
              <w:rPr>
                <w:rFonts w:ascii="Cambria Math" w:eastAsiaTheme="minorEastAsia" w:hAnsi="Cambria Math"/>
                <w:i/>
              </w:rPr>
            </w:pPr>
            <m:oMathPara>
              <m:oMath>
                <m:sSub>
                  <m:sSubPr>
                    <m:ctrlPr>
                      <w:rPr>
                        <w:rFonts w:ascii="Cambria Math" w:eastAsiaTheme="minorEastAsia" w:hAnsi="Cambria Math"/>
                        <w:i/>
                        <w:sz w:val="20"/>
                        <w:szCs w:val="18"/>
                      </w:rPr>
                    </m:ctrlPr>
                  </m:sSubPr>
                  <m:e>
                    <m:r>
                      <w:rPr>
                        <w:rFonts w:ascii="Cambria Math" w:eastAsiaTheme="minorEastAsia" w:hAnsi="Cambria Math"/>
                        <w:sz w:val="20"/>
                        <w:szCs w:val="18"/>
                      </w:rPr>
                      <m:t>μ</m:t>
                    </m:r>
                  </m:e>
                  <m:sub>
                    <m:r>
                      <w:rPr>
                        <w:rFonts w:ascii="Cambria Math" w:eastAsiaTheme="minorEastAsia" w:hAnsi="Cambria Math"/>
                        <w:sz w:val="20"/>
                        <w:szCs w:val="18"/>
                      </w:rPr>
                      <m:t>MLE</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N</m:t>
                    </m:r>
                  </m:den>
                </m:f>
                <m:nary>
                  <m:naryPr>
                    <m:chr m:val="∑"/>
                    <m:limLoc m:val="undOvr"/>
                    <m:ctrlPr>
                      <w:rPr>
                        <w:rFonts w:ascii="Cambria Math" w:eastAsiaTheme="minorEastAsia" w:hAnsi="Cambria Math"/>
                        <w:i/>
                      </w:rPr>
                    </m:ctrlPr>
                  </m:naryPr>
                  <m:sub>
                    <m:r>
                      <w:rPr>
                        <w:rFonts w:ascii="Cambria Math" w:eastAsiaTheme="minorEastAsia" w:hAnsi="Cambria Math"/>
                      </w:rPr>
                      <m:t>n=1</m:t>
                    </m:r>
                  </m:sub>
                  <m:sup>
                    <m:r>
                      <w:rPr>
                        <w:rFonts w:ascii="Cambria Math" w:eastAsiaTheme="minorEastAsia" w:hAnsi="Cambria Math"/>
                      </w:rPr>
                      <m:t>N</m:t>
                    </m:r>
                  </m:sup>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e>
                </m:nary>
                <m:r>
                  <w:rPr>
                    <w:rFonts w:ascii="Cambria Math" w:eastAsiaTheme="minorEastAsia" w:hAnsi="Cambria Math"/>
                  </w:rPr>
                  <m:t>;</m:t>
                </m:r>
                <m:r>
                  <w:rPr>
                    <w:rFonts w:ascii="Cambria Math" w:eastAsiaTheme="minorEastAsia" w:hAnsi="Cambria Math"/>
                  </w:rPr>
                  <m:t xml:space="preserve"> </m:t>
                </m:r>
                <m:sSub>
                  <m:sSubPr>
                    <m:ctrlPr>
                      <w:rPr>
                        <w:rFonts w:ascii="Cambria Math" w:eastAsiaTheme="minorEastAsia" w:hAnsi="Cambria Math"/>
                        <w:i/>
                        <w:sz w:val="20"/>
                        <w:szCs w:val="18"/>
                      </w:rPr>
                    </m:ctrlPr>
                  </m:sSubPr>
                  <m:e>
                    <m:sSup>
                      <m:sSupPr>
                        <m:ctrlPr>
                          <w:rPr>
                            <w:rFonts w:ascii="Cambria Math" w:eastAsiaTheme="minorEastAsia" w:hAnsi="Cambria Math"/>
                            <w:sz w:val="20"/>
                            <w:szCs w:val="18"/>
                          </w:rPr>
                        </m:ctrlPr>
                      </m:sSupPr>
                      <m:e>
                        <m:r>
                          <m:rPr>
                            <m:sty m:val="p"/>
                          </m:rPr>
                          <w:rPr>
                            <w:rFonts w:ascii="Cambria Math" w:eastAsiaTheme="minorEastAsia" w:hAnsi="Cambria Math"/>
                            <w:sz w:val="20"/>
                            <w:szCs w:val="18"/>
                          </w:rPr>
                          <m:t>σ</m:t>
                        </m:r>
                      </m:e>
                      <m:sup>
                        <m:r>
                          <w:rPr>
                            <w:rFonts w:ascii="Cambria Math" w:eastAsiaTheme="minorEastAsia" w:hAnsi="Cambria Math"/>
                            <w:sz w:val="20"/>
                            <w:szCs w:val="18"/>
                          </w:rPr>
                          <m:t>2</m:t>
                        </m:r>
                      </m:sup>
                    </m:sSup>
                  </m:e>
                  <m:sub>
                    <m:r>
                      <w:rPr>
                        <w:rFonts w:ascii="Cambria Math" w:eastAsiaTheme="minorEastAsia" w:hAnsi="Cambria Math"/>
                        <w:sz w:val="20"/>
                        <w:szCs w:val="18"/>
                      </w:rPr>
                      <m:t>MLE</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N</m:t>
                    </m:r>
                  </m:den>
                </m:f>
                <m:nary>
                  <m:naryPr>
                    <m:chr m:val="∑"/>
                    <m:limLoc m:val="undOvr"/>
                    <m:ctrlPr>
                      <w:rPr>
                        <w:rFonts w:ascii="Cambria Math" w:eastAsiaTheme="minorEastAsia" w:hAnsi="Cambria Math"/>
                        <w:i/>
                      </w:rPr>
                    </m:ctrlPr>
                  </m:naryPr>
                  <m:sub>
                    <m:r>
                      <w:rPr>
                        <w:rFonts w:ascii="Cambria Math" w:eastAsiaTheme="minorEastAsia" w:hAnsi="Cambria Math"/>
                      </w:rPr>
                      <m:t>n=1</m:t>
                    </m:r>
                  </m:sub>
                  <m:sup>
                    <m:r>
                      <w:rPr>
                        <w:rFonts w:ascii="Cambria Math" w:eastAsiaTheme="minorEastAsia" w:hAnsi="Cambria Math"/>
                      </w:rPr>
                      <m:t>N</m:t>
                    </m:r>
                  </m:sup>
                  <m:e>
                    <m:sSup>
                      <m:sSupPr>
                        <m:ctrlPr>
                          <w:rPr>
                            <w:rFonts w:ascii="Cambria Math" w:eastAsiaTheme="minorEastAsia" w:hAnsi="Cambria Math"/>
                            <w:i/>
                          </w:rPr>
                        </m:ctrlPr>
                      </m:sSupPr>
                      <m:e>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r>
                          <w:rPr>
                            <w:rFonts w:ascii="Cambria Math" w:eastAsiaTheme="minorEastAsia" w:hAnsi="Cambria Math"/>
                          </w:rPr>
                          <m:t>-μ)</m:t>
                        </m:r>
                      </m:e>
                      <m:sup>
                        <m:r>
                          <w:rPr>
                            <w:rFonts w:ascii="Cambria Math" w:eastAsiaTheme="minorEastAsia" w:hAnsi="Cambria Math"/>
                          </w:rPr>
                          <m:t>2</m:t>
                        </m:r>
                      </m:sup>
                    </m:sSup>
                  </m:e>
                </m:nary>
                <m:r>
                  <w:rPr>
                    <w:rFonts w:ascii="Cambria Math" w:eastAsiaTheme="minorEastAsia" w:hAnsi="Cambria Math"/>
                  </w:rPr>
                  <m:t xml:space="preserve">  .</m:t>
                </m:r>
              </m:oMath>
            </m:oMathPara>
          </w:p>
        </w:tc>
        <w:tc>
          <w:tcPr>
            <w:tcW w:w="772" w:type="dxa"/>
            <w:vAlign w:val="center"/>
          </w:tcPr>
          <w:p w14:paraId="45EB3520" w14:textId="24F2929C" w:rsidR="006C2142" w:rsidRDefault="002C693A" w:rsidP="002C693A">
            <w:pPr>
              <w:spacing w:before="0" w:after="0"/>
              <w:jc w:val="right"/>
            </w:pPr>
            <w: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14</w:t>
            </w:r>
            <w:r w:rsidR="00427B33">
              <w:rPr>
                <w:noProof/>
              </w:rPr>
              <w:fldChar w:fldCharType="end"/>
            </w:r>
            <w:r>
              <w:t>)</w:t>
            </w:r>
          </w:p>
        </w:tc>
      </w:tr>
    </w:tbl>
    <w:p w14:paraId="28965517" w14:textId="248E4754" w:rsidR="006C2142" w:rsidRDefault="006C2142" w:rsidP="006C2142">
      <w:pPr>
        <w:rPr>
          <w:lang w:val="en-GB"/>
        </w:rPr>
      </w:pPr>
      <w:r>
        <w:rPr>
          <w:lang w:val="en-GB"/>
        </w:rPr>
        <w:t>Inpu</w:t>
      </w:r>
      <w:r w:rsidR="00550CFE">
        <w:rPr>
          <w:lang w:val="en-GB"/>
        </w:rPr>
        <w:t>t</w:t>
      </w:r>
      <w:r>
        <w:rPr>
          <w:lang w:val="en-GB"/>
        </w:rPr>
        <w:t xml:space="preserve">ting the into the equation </w:t>
      </w:r>
      <w:r w:rsidR="00037656">
        <w:rPr>
          <w:lang w:val="en-GB"/>
        </w:rPr>
        <w:t>(9.14)</w:t>
      </w:r>
      <w:r>
        <w:rPr>
          <w:lang w:val="en-GB"/>
        </w:rPr>
        <w:t xml:space="preserve"> will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5"/>
        <w:gridCol w:w="772"/>
      </w:tblGrid>
      <w:tr w:rsidR="006C2142" w14:paraId="3FEA4BA0" w14:textId="77777777" w:rsidTr="002C693A">
        <w:trPr>
          <w:trHeight w:val="453"/>
        </w:trPr>
        <w:tc>
          <w:tcPr>
            <w:tcW w:w="8245" w:type="dxa"/>
            <w:vAlign w:val="center"/>
          </w:tcPr>
          <w:p w14:paraId="2A4B1C6A" w14:textId="77777777" w:rsidR="006C2142" w:rsidRPr="00F30C1F" w:rsidRDefault="006C2142" w:rsidP="00CC5DAD">
            <w:pPr>
              <w:spacing w:before="0" w:after="0"/>
              <w:jc w:val="center"/>
              <w:rPr>
                <w:i/>
                <w:lang w:val="en-GB"/>
              </w:rPr>
            </w:pPr>
            <m:oMathPara>
              <m:oMath>
                <m:r>
                  <w:rPr>
                    <w:rFonts w:ascii="Cambria Math" w:eastAsiaTheme="minorEastAsia" w:hAnsi="Cambria Math"/>
                  </w:rPr>
                  <m:t>p</m:t>
                </m:r>
                <m:d>
                  <m:dPr>
                    <m:ctrlPr>
                      <w:rPr>
                        <w:rFonts w:ascii="Cambria Math" w:eastAsiaTheme="minorEastAsia" w:hAnsi="Cambria Math"/>
                        <w:i/>
                        <w:iCs/>
                      </w:rPr>
                    </m:ctrlPr>
                  </m:dPr>
                  <m:e>
                    <m:d>
                      <m:dPr>
                        <m:begChr m:val=""/>
                        <m:endChr m:val="|"/>
                        <m:ctrlPr>
                          <w:rPr>
                            <w:rFonts w:ascii="Cambria Math" w:eastAsiaTheme="minorEastAsia" w:hAnsi="Cambria Math"/>
                            <w:i/>
                            <w:iCs/>
                          </w:rPr>
                        </m:ctrlPr>
                      </m:dPr>
                      <m:e>
                        <m:sSub>
                          <m:sSubPr>
                            <m:ctrlPr>
                              <w:rPr>
                                <w:rFonts w:ascii="Cambria Math" w:eastAsiaTheme="minorEastAsia" w:hAnsi="Cambria Math"/>
                                <w:i/>
                                <w:iCs/>
                              </w:rPr>
                            </m:ctrlPr>
                          </m:sSubPr>
                          <m:e>
                            <m:r>
                              <w:rPr>
                                <w:rFonts w:ascii="Cambria Math" w:eastAsiaTheme="minorEastAsia" w:hAnsi="Cambria Math"/>
                              </w:rPr>
                              <m:t>x</m:t>
                            </m:r>
                          </m:e>
                          <m:sub>
                            <m:r>
                              <w:rPr>
                                <w:rFonts w:ascii="Cambria Math" w:eastAsiaTheme="minorEastAsia" w:hAnsi="Cambria Math"/>
                              </w:rPr>
                              <m:t>i</m:t>
                            </m:r>
                          </m:sub>
                        </m:sSub>
                      </m:e>
                    </m:d>
                    <m:r>
                      <w:rPr>
                        <w:rFonts w:ascii="Cambria Math" w:eastAsiaTheme="minorEastAsia" w:hAnsi="Cambria Math"/>
                      </w:rPr>
                      <m:t>None</m:t>
                    </m:r>
                  </m:e>
                </m:d>
                <m:r>
                  <w:rPr>
                    <w:rFonts w:ascii="Cambria Math" w:eastAsiaTheme="minorEastAsia" w:hAnsi="Cambria Math"/>
                  </w:rPr>
                  <m:t>=p</m:t>
                </m:r>
                <m:d>
                  <m:dPr>
                    <m:ctrlPr>
                      <w:rPr>
                        <w:rFonts w:ascii="Cambria Math" w:eastAsiaTheme="minorEastAsia" w:hAnsi="Cambria Math"/>
                        <w:i/>
                      </w:rPr>
                    </m:ctrlPr>
                  </m:dPr>
                  <m:e>
                    <m:r>
                      <w:rPr>
                        <w:rFonts w:ascii="Cambria Math" w:eastAsiaTheme="minorEastAsia" w:hAnsi="Cambria Math"/>
                      </w:rPr>
                      <m:t>None</m:t>
                    </m:r>
                  </m:e>
                </m:d>
                <m:r>
                  <m:rPr>
                    <m:scr m:val="script"/>
                  </m:rPr>
                  <w:rPr>
                    <w:rFonts w:ascii="Cambria Math" w:eastAsiaTheme="minorEastAsia" w:hAnsi="Cambria Math"/>
                  </w:rPr>
                  <m:t>∙L</m:t>
                </m:r>
                <m:d>
                  <m:dPr>
                    <m:ctrlPr>
                      <w:rPr>
                        <w:rFonts w:ascii="Cambria Math" w:eastAsiaTheme="minorEastAsia" w:hAnsi="Cambria Math"/>
                        <w:i/>
                      </w:rPr>
                    </m:ctrlPr>
                  </m:dPr>
                  <m:e>
                    <m:d>
                      <m:dPr>
                        <m:begChr m:val=""/>
                        <m:endChr m:val="|"/>
                        <m:ctrlPr>
                          <w:rPr>
                            <w:rFonts w:ascii="Cambria Math" w:eastAsiaTheme="minorEastAsia" w:hAnsi="Cambria Math"/>
                            <w:i/>
                            <w:iCs/>
                          </w:rPr>
                        </m:ctrlPr>
                      </m:dPr>
                      <m:e>
                        <m:r>
                          <w:rPr>
                            <w:rFonts w:ascii="Cambria Math" w:eastAsiaTheme="minorEastAsia" w:hAnsi="Cambria Math"/>
                          </w:rPr>
                          <m:t>H</m:t>
                        </m:r>
                        <m:sSub>
                          <m:sSubPr>
                            <m:ctrlPr>
                              <w:rPr>
                                <w:rFonts w:ascii="Cambria Math" w:eastAsiaTheme="minorEastAsia" w:hAnsi="Cambria Math"/>
                                <w:i/>
                                <w:iCs/>
                              </w:rPr>
                            </m:ctrlPr>
                          </m:sSubPr>
                          <m:e>
                            <m:r>
                              <w:rPr>
                                <w:rFonts w:ascii="Cambria Math" w:eastAsiaTheme="minorEastAsia" w:hAnsi="Cambria Math"/>
                              </w:rPr>
                              <m:t>S</m:t>
                            </m:r>
                          </m:e>
                          <m:sub>
                            <m:r>
                              <w:rPr>
                                <w:rFonts w:ascii="Cambria Math" w:eastAsiaTheme="minorEastAsia" w:hAnsi="Cambria Math"/>
                              </w:rPr>
                              <m:t>idle-time</m:t>
                            </m:r>
                          </m:sub>
                        </m:sSub>
                      </m:e>
                    </m:d>
                    <m:r>
                      <w:rPr>
                        <w:rFonts w:ascii="Cambria Math" w:eastAsiaTheme="minorEastAsia" w:hAnsi="Cambria Math"/>
                      </w:rPr>
                      <m:t>None</m:t>
                    </m:r>
                  </m:e>
                </m:d>
                <m:r>
                  <m:rPr>
                    <m:scr m:val="script"/>
                  </m:rPr>
                  <w:rPr>
                    <w:rFonts w:ascii="Cambria Math" w:eastAsiaTheme="minorEastAsia" w:hAnsi="Cambria Math"/>
                  </w:rPr>
                  <m:t>∙L</m:t>
                </m:r>
                <m:d>
                  <m:dPr>
                    <m:ctrlPr>
                      <w:rPr>
                        <w:rFonts w:ascii="Cambria Math" w:eastAsiaTheme="minorEastAsia" w:hAnsi="Cambria Math"/>
                        <w:i/>
                      </w:rPr>
                    </m:ctrlPr>
                  </m:dPr>
                  <m:e>
                    <m:r>
                      <w:rPr>
                        <w:rFonts w:ascii="Cambria Math" w:eastAsiaTheme="minorEastAsia" w:hAnsi="Cambria Math"/>
                      </w:rPr>
                      <m:t>T1</m:t>
                    </m:r>
                    <m:d>
                      <m:dPr>
                        <m:begChr m:val="|"/>
                        <m:endChr m:val=""/>
                        <m:ctrlPr>
                          <w:rPr>
                            <w:rFonts w:ascii="Cambria Math" w:eastAsiaTheme="minorEastAsia" w:hAnsi="Cambria Math"/>
                            <w:i/>
                          </w:rPr>
                        </m:ctrlPr>
                      </m:dPr>
                      <m:e>
                        <m:r>
                          <w:rPr>
                            <w:rFonts w:ascii="Cambria Math" w:eastAsiaTheme="minorEastAsia" w:hAnsi="Cambria Math"/>
                          </w:rPr>
                          <m:t>None</m:t>
                        </m:r>
                      </m:e>
                    </m:d>
                  </m:e>
                </m:d>
                <m:r>
                  <m:rPr>
                    <m:scr m:val="script"/>
                  </m:rPr>
                  <w:rPr>
                    <w:rFonts w:ascii="Cambria Math" w:eastAsiaTheme="minorEastAsia" w:hAnsi="Cambria Math"/>
                  </w:rPr>
                  <m:t>∙L</m:t>
                </m:r>
                <m:d>
                  <m:dPr>
                    <m:ctrlPr>
                      <w:rPr>
                        <w:rFonts w:ascii="Cambria Math" w:eastAsiaTheme="minorEastAsia" w:hAnsi="Cambria Math"/>
                        <w:i/>
                      </w:rPr>
                    </m:ctrlPr>
                  </m:dPr>
                  <m:e>
                    <m:r>
                      <w:rPr>
                        <w:rFonts w:ascii="Cambria Math" w:eastAsiaTheme="minorEastAsia" w:hAnsi="Cambria Math"/>
                      </w:rPr>
                      <m:t>T3</m:t>
                    </m:r>
                    <m:d>
                      <m:dPr>
                        <m:begChr m:val="|"/>
                        <m:endChr m:val=""/>
                        <m:ctrlPr>
                          <w:rPr>
                            <w:rFonts w:ascii="Cambria Math" w:eastAsiaTheme="minorEastAsia" w:hAnsi="Cambria Math"/>
                            <w:i/>
                          </w:rPr>
                        </m:ctrlPr>
                      </m:dPr>
                      <m:e>
                        <m:r>
                          <w:rPr>
                            <w:rFonts w:ascii="Cambria Math" w:eastAsiaTheme="minorEastAsia" w:hAnsi="Cambria Math"/>
                          </w:rPr>
                          <m:t>None</m:t>
                        </m:r>
                      </m:e>
                    </m:d>
                  </m:e>
                </m:d>
                <m:r>
                  <m:rPr>
                    <m:scr m:val="script"/>
                  </m:rPr>
                  <w:rPr>
                    <w:rFonts w:ascii="Cambria Math" w:eastAsiaTheme="minorEastAsia" w:hAnsi="Cambria Math"/>
                  </w:rPr>
                  <m:t>∙… ∙L</m:t>
                </m:r>
                <m:d>
                  <m:dPr>
                    <m:ctrlPr>
                      <w:rPr>
                        <w:rFonts w:ascii="Cambria Math" w:eastAsiaTheme="minorEastAsia" w:hAnsi="Cambria Math"/>
                        <w:i/>
                      </w:rPr>
                    </m:ctrlPr>
                  </m:dPr>
                  <m:e>
                    <m:d>
                      <m:dPr>
                        <m:begChr m:val=""/>
                        <m:endChr m:val="|"/>
                        <m:ctrlPr>
                          <w:rPr>
                            <w:rFonts w:ascii="Cambria Math" w:eastAsiaTheme="minorEastAsia" w:hAnsi="Cambria Math"/>
                            <w:i/>
                            <w:iCs/>
                          </w:rPr>
                        </m:ctrlPr>
                      </m:dPr>
                      <m:e>
                        <m:r>
                          <w:rPr>
                            <w:rFonts w:ascii="Cambria Math" w:eastAsiaTheme="minorEastAsia" w:hAnsi="Cambria Math"/>
                          </w:rPr>
                          <m:t>N_Kurt_OS</m:t>
                        </m:r>
                      </m:e>
                    </m:d>
                    <m:r>
                      <w:rPr>
                        <w:rFonts w:ascii="Cambria Math" w:eastAsiaTheme="minorEastAsia" w:hAnsi="Cambria Math"/>
                      </w:rPr>
                      <m:t>None</m:t>
                    </m:r>
                  </m:e>
                </m:d>
              </m:oMath>
            </m:oMathPara>
          </w:p>
        </w:tc>
        <w:tc>
          <w:tcPr>
            <w:tcW w:w="772" w:type="dxa"/>
            <w:vAlign w:val="center"/>
          </w:tcPr>
          <w:p w14:paraId="1E8DC5CF" w14:textId="3D759773" w:rsidR="006C2142" w:rsidRDefault="002C693A" w:rsidP="002C693A">
            <w:pPr>
              <w:spacing w:before="0" w:after="0"/>
              <w:jc w:val="right"/>
            </w:pPr>
            <w:r>
              <w:t>(</w:t>
            </w:r>
            <w:r w:rsidR="00427B33">
              <w:fldChar w:fldCharType="begin"/>
            </w:r>
            <w:r w:rsidR="00427B33">
              <w:instrText xml:space="preserve"> STYLE</w:instrText>
            </w:r>
            <w:r w:rsidR="00427B33">
              <w:instrText xml:space="preserv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15</w:t>
            </w:r>
            <w:r w:rsidR="00427B33">
              <w:rPr>
                <w:noProof/>
              </w:rPr>
              <w:fldChar w:fldCharType="end"/>
            </w:r>
            <w:r>
              <w:t>)</w:t>
            </w:r>
          </w:p>
        </w:tc>
      </w:tr>
    </w:tbl>
    <w:p w14:paraId="1A640029" w14:textId="270709D3" w:rsidR="006C2142" w:rsidRDefault="006C2142" w:rsidP="006C2142">
      <w:pPr>
        <w:rPr>
          <w:lang w:val="en-GB"/>
        </w:rPr>
      </w:pPr>
      <w:r>
        <w:rPr>
          <w:lang w:val="en-GB"/>
        </w:rPr>
        <w:t>where the likelihood function of a Gaussian distribution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5"/>
        <w:gridCol w:w="772"/>
      </w:tblGrid>
      <w:tr w:rsidR="006C2142" w14:paraId="02B4EF89" w14:textId="77777777" w:rsidTr="002C693A">
        <w:trPr>
          <w:trHeight w:val="788"/>
        </w:trPr>
        <w:tc>
          <w:tcPr>
            <w:tcW w:w="8245" w:type="dxa"/>
            <w:vAlign w:val="center"/>
          </w:tcPr>
          <w:p w14:paraId="0966DFDE" w14:textId="77777777" w:rsidR="006C2142" w:rsidRPr="00F30C1F" w:rsidRDefault="006C2142" w:rsidP="00CC5DAD">
            <w:pPr>
              <w:spacing w:before="0" w:after="0"/>
              <w:jc w:val="center"/>
              <w:rPr>
                <w:i/>
                <w:lang w:val="en-GB"/>
              </w:rPr>
            </w:pPr>
            <m:oMathPara>
              <m:oMath>
                <m:r>
                  <m:rPr>
                    <m:scr m:val="script"/>
                  </m:rPr>
                  <w:rPr>
                    <w:rFonts w:ascii="Cambria Math" w:eastAsiaTheme="minorEastAsia" w:hAnsi="Cambria Math"/>
                  </w:rPr>
                  <m:t>L</m:t>
                </m:r>
                <m:d>
                  <m:dPr>
                    <m:ctrlPr>
                      <w:rPr>
                        <w:rFonts w:ascii="Cambria Math" w:eastAsiaTheme="minorEastAsia" w:hAnsi="Cambria Math"/>
                        <w:i/>
                      </w:rPr>
                    </m:ctrlPr>
                  </m:dPr>
                  <m:e>
                    <m:d>
                      <m:dPr>
                        <m:begChr m:val=""/>
                        <m:endChr m:val="|"/>
                        <m:ctrlPr>
                          <w:rPr>
                            <w:rFonts w:ascii="Cambria Math" w:eastAsiaTheme="minorEastAsia" w:hAnsi="Cambria Math"/>
                            <w:i/>
                            <w:iCs/>
                          </w:rPr>
                        </m:ctrlPr>
                      </m:dPr>
                      <m:e>
                        <m:r>
                          <w:rPr>
                            <w:rFonts w:ascii="Cambria Math" w:eastAsiaTheme="minorEastAsia" w:hAnsi="Cambria Math"/>
                          </w:rPr>
                          <m:t>μ,</m:t>
                        </m:r>
                        <m:sSup>
                          <m:sSupPr>
                            <m:ctrlPr>
                              <w:rPr>
                                <w:rFonts w:ascii="Cambria Math" w:eastAsiaTheme="minorEastAsia" w:hAnsi="Cambria Math"/>
                                <w:i/>
                                <w:iCs/>
                              </w:rPr>
                            </m:ctrlPr>
                          </m:sSupPr>
                          <m:e>
                            <m:r>
                              <w:rPr>
                                <w:rFonts w:ascii="Cambria Math" w:eastAsiaTheme="minorEastAsia" w:hAnsi="Cambria Math"/>
                              </w:rPr>
                              <m:t>σ</m:t>
                            </m:r>
                          </m:e>
                          <m:sup>
                            <m:r>
                              <w:rPr>
                                <w:rFonts w:ascii="Cambria Math" w:eastAsiaTheme="minorEastAsia" w:hAnsi="Cambria Math"/>
                              </w:rPr>
                              <m:t>2</m:t>
                            </m:r>
                          </m:sup>
                        </m:sSup>
                      </m:e>
                    </m:d>
                    <m:sSub>
                      <m:sSubPr>
                        <m:ctrlPr>
                          <w:rPr>
                            <w:rFonts w:ascii="Cambria Math" w:eastAsiaTheme="minorEastAsia" w:hAnsi="Cambria Math"/>
                            <w:i/>
                            <w:iCs/>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iCs/>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iCs/>
                          </w:rPr>
                        </m:ctrlPr>
                      </m:sSubPr>
                      <m:e>
                        <m:r>
                          <w:rPr>
                            <w:rFonts w:ascii="Cambria Math" w:eastAsiaTheme="minorEastAsia" w:hAnsi="Cambria Math"/>
                          </w:rPr>
                          <m:t>x</m:t>
                        </m:r>
                      </m:e>
                      <m:sub>
                        <m:r>
                          <w:rPr>
                            <w:rFonts w:ascii="Cambria Math" w:eastAsiaTheme="minorEastAsia" w:hAnsi="Cambria Math"/>
                          </w:rPr>
                          <m:t>n</m:t>
                        </m:r>
                      </m:sub>
                    </m:sSub>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σ∙</m:t>
                    </m:r>
                    <m:rad>
                      <m:radPr>
                        <m:degHide m:val="1"/>
                        <m:ctrlPr>
                          <w:rPr>
                            <w:rFonts w:ascii="Cambria Math" w:eastAsiaTheme="minorEastAsia" w:hAnsi="Cambria Math"/>
                            <w:i/>
                          </w:rPr>
                        </m:ctrlPr>
                      </m:radPr>
                      <m:deg/>
                      <m:e>
                        <m:r>
                          <w:rPr>
                            <w:rFonts w:ascii="Cambria Math" w:eastAsiaTheme="minorEastAsia" w:hAnsi="Cambria Math"/>
                          </w:rPr>
                          <m:t>2π</m:t>
                        </m:r>
                      </m:e>
                    </m:rad>
                  </m:den>
                </m:f>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x-μ</m:t>
                                </m:r>
                              </m:e>
                            </m:d>
                          </m:e>
                          <m:sup>
                            <m:r>
                              <w:rPr>
                                <w:rFonts w:ascii="Cambria Math" w:eastAsiaTheme="minorEastAsia" w:hAnsi="Cambria Math"/>
                              </w:rPr>
                              <m:t>2</m:t>
                            </m:r>
                          </m:sup>
                        </m:sSup>
                      </m:num>
                      <m:den>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σ</m:t>
                            </m:r>
                          </m:e>
                          <m:sup>
                            <m:r>
                              <w:rPr>
                                <w:rFonts w:ascii="Cambria Math" w:eastAsiaTheme="minorEastAsia" w:hAnsi="Cambria Math"/>
                              </w:rPr>
                              <m:t>2</m:t>
                            </m:r>
                          </m:sup>
                        </m:sSup>
                      </m:den>
                    </m:f>
                  </m:sup>
                </m:sSup>
              </m:oMath>
            </m:oMathPara>
          </w:p>
        </w:tc>
        <w:tc>
          <w:tcPr>
            <w:tcW w:w="772" w:type="dxa"/>
            <w:vAlign w:val="center"/>
          </w:tcPr>
          <w:p w14:paraId="4AA6F940" w14:textId="50217FC3" w:rsidR="006C2142" w:rsidRDefault="002C693A" w:rsidP="002C693A">
            <w:pPr>
              <w:spacing w:before="0" w:after="0"/>
              <w:jc w:val="right"/>
            </w:pPr>
            <w: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16</w:t>
            </w:r>
            <w:r w:rsidR="00427B33">
              <w:rPr>
                <w:noProof/>
              </w:rPr>
              <w:fldChar w:fldCharType="end"/>
            </w:r>
            <w:r>
              <w:t>)</w:t>
            </w:r>
          </w:p>
        </w:tc>
      </w:tr>
    </w:tbl>
    <w:p w14:paraId="725601BB" w14:textId="1EAD3A31" w:rsidR="006C2142" w:rsidRPr="00605C88" w:rsidRDefault="00550CFE" w:rsidP="006C2142">
      <w:pPr>
        <w:rPr>
          <w:lang w:val="en-GB"/>
        </w:rPr>
      </w:pPr>
      <w:r>
        <w:rPr>
          <w:lang w:val="en-GB"/>
        </w:rPr>
        <w:t>H</w:t>
      </w:r>
      <w:r w:rsidR="006C2142">
        <w:rPr>
          <w:lang w:val="en-GB"/>
        </w:rPr>
        <w:t>ence, the higher probability of an estimate will return the class label.</w:t>
      </w:r>
    </w:p>
    <w:p w14:paraId="688D4E28" w14:textId="2093C80A" w:rsidR="006C2142" w:rsidRDefault="006713AF" w:rsidP="006C2142">
      <w:pPr>
        <w:pStyle w:val="Heading3"/>
        <w:rPr>
          <w:lang w:val="en-GB"/>
        </w:rPr>
      </w:pPr>
      <w:bookmarkStart w:id="562" w:name="_Toc101274400"/>
      <w:r>
        <w:rPr>
          <w:lang w:val="en-GB"/>
        </w:rPr>
        <w:t xml:space="preserve">Gaussian </w:t>
      </w:r>
      <w:r w:rsidR="006C2142">
        <w:rPr>
          <w:lang w:val="en-GB"/>
        </w:rPr>
        <w:t xml:space="preserve">Naïve Bayes </w:t>
      </w:r>
      <w:r>
        <w:rPr>
          <w:lang w:val="en-GB"/>
        </w:rPr>
        <w:t>algorithm</w:t>
      </w:r>
      <w:r w:rsidR="006C2142">
        <w:rPr>
          <w:lang w:val="en-GB"/>
        </w:rPr>
        <w:t xml:space="preserve"> for opening saddle position</w:t>
      </w:r>
      <w:bookmarkEnd w:id="562"/>
    </w:p>
    <w:p w14:paraId="0FFC429B" w14:textId="24B31A13" w:rsidR="006C2142" w:rsidRPr="002D6D3C" w:rsidRDefault="006C2142" w:rsidP="006C2142">
      <w:pPr>
        <w:rPr>
          <w:lang w:val="sr-Latn-RS"/>
        </w:rPr>
      </w:pPr>
      <w:r>
        <w:rPr>
          <w:lang w:val="en-GB"/>
        </w:rPr>
        <w:t>The training data set (</w:t>
      </w:r>
      <w:r>
        <w:rPr>
          <w:i/>
          <w:iCs/>
          <w:lang w:val="en-GB"/>
        </w:rPr>
        <w:t>d</w:t>
      </w:r>
      <w:r>
        <w:rPr>
          <w:i/>
          <w:iCs/>
          <w:vertAlign w:val="subscript"/>
          <w:lang w:val="en-GB"/>
        </w:rPr>
        <w:t>i</w:t>
      </w:r>
      <w:r>
        <w:rPr>
          <w:lang w:val="en-GB"/>
        </w:rPr>
        <w:t>) of a given dataset (</w:t>
      </w:r>
      <w:r>
        <w:rPr>
          <w:i/>
          <w:iCs/>
          <w:lang w:val="en-GB"/>
        </w:rPr>
        <w:t>D</w:t>
      </w:r>
      <w:r>
        <w:rPr>
          <w:lang w:val="en-GB"/>
        </w:rPr>
        <w:t xml:space="preserve">) is split into 70-30 as a rule of </w:t>
      </w:r>
      <w:r w:rsidR="00550CFE">
        <w:rPr>
          <w:lang w:val="en-GB"/>
        </w:rPr>
        <w:t>umb, i.e., training and testing; l</w:t>
      </w:r>
      <w:r>
        <w:rPr>
          <w:lang w:val="en-GB"/>
        </w:rPr>
        <w:t>abelled data considers “None” operating condition</w:t>
      </w:r>
      <w:r w:rsidR="00550CFE">
        <w:rPr>
          <w:lang w:val="en-GB"/>
        </w:rPr>
        <w:t>s</w:t>
      </w:r>
      <w:r>
        <w:rPr>
          <w:lang w:val="en-GB"/>
        </w:rPr>
        <w:t xml:space="preserve"> 52% of data and 48% of “Quasi-fault” or degradation-labelled data. All data is split as</w:t>
      </w:r>
      <w:r w:rsidR="00550CFE">
        <w:rPr>
          <w:lang w:val="en-GB"/>
        </w:rPr>
        <w:t xml:space="preserve"> the </w:t>
      </w:r>
      <w:r>
        <w:rPr>
          <w:lang w:val="en-GB"/>
        </w:rPr>
        <w:t xml:space="preserve">stated proportion for training and testing data in </w:t>
      </w:r>
      <w:r>
        <w:rPr>
          <w:lang w:val="en-GB"/>
        </w:rPr>
        <w:fldChar w:fldCharType="begin"/>
      </w:r>
      <w:r>
        <w:rPr>
          <w:lang w:val="en-GB"/>
        </w:rPr>
        <w:instrText xml:space="preserve"> REF _Ref96965403 \h </w:instrText>
      </w:r>
      <w:r>
        <w:rPr>
          <w:lang w:val="en-GB"/>
        </w:rPr>
      </w:r>
      <w:r>
        <w:rPr>
          <w:lang w:val="en-GB"/>
        </w:rPr>
        <w:fldChar w:fldCharType="separate"/>
      </w:r>
      <w:r w:rsidR="00587AF0">
        <w:t xml:space="preserve">Table </w:t>
      </w:r>
      <w:r w:rsidR="00587AF0">
        <w:rPr>
          <w:noProof/>
        </w:rPr>
        <w:t>27</w:t>
      </w:r>
      <w:r>
        <w:rPr>
          <w:lang w:val="en-GB"/>
        </w:rPr>
        <w:fldChar w:fldCharType="end"/>
      </w:r>
      <w:r>
        <w:rPr>
          <w:lang w:val="en-GB"/>
        </w:rPr>
        <w:t xml:space="preserve">. The proportion of classifiers or class labels as “None” and “Quasi-fault” is important since naïve Bayes starts with the prior probability and assumes the same probability for the testing data. </w:t>
      </w:r>
      <w:r w:rsidR="00550CFE">
        <w:rPr>
          <w:lang w:val="en-GB"/>
        </w:rPr>
        <w:t>Given the data class, the proportion of classifiers of randomly assigned sample data for training and testing could not be achieved with absolute equality of prior probability</w:t>
      </w:r>
      <w:r>
        <w:rPr>
          <w:lang w:val="en-GB"/>
        </w:rPr>
        <w:t>. However, each representation probability of class labels does not cross 2%, except in the opening saddle regime (</w:t>
      </w:r>
      <w:r>
        <w:rPr>
          <w:lang w:val="en-GB"/>
        </w:rPr>
        <w:fldChar w:fldCharType="begin"/>
      </w:r>
      <w:r>
        <w:rPr>
          <w:lang w:val="en-GB"/>
        </w:rPr>
        <w:instrText xml:space="preserve"> REF _Ref99008185 \h </w:instrText>
      </w:r>
      <w:r>
        <w:rPr>
          <w:lang w:val="en-GB"/>
        </w:rPr>
      </w:r>
      <w:r>
        <w:rPr>
          <w:lang w:val="en-GB"/>
        </w:rPr>
        <w:fldChar w:fldCharType="separate"/>
      </w:r>
      <w:r w:rsidR="00587AF0">
        <w:t xml:space="preserve">Table </w:t>
      </w:r>
      <w:r w:rsidR="00587AF0">
        <w:rPr>
          <w:noProof/>
        </w:rPr>
        <w:t>28</w:t>
      </w:r>
      <w:r>
        <w:rPr>
          <w:lang w:val="en-GB"/>
        </w:rPr>
        <w:fldChar w:fldCharType="end"/>
      </w:r>
      <w:r>
        <w:rPr>
          <w:lang w:val="en-GB"/>
        </w:rPr>
        <w:t>). Besides, later in the analysis</w:t>
      </w:r>
      <w:r w:rsidR="00550CFE">
        <w:rPr>
          <w:lang w:val="en-GB"/>
        </w:rPr>
        <w:t>, disproportion (6.4%) shows lower prediction properties of class labels for every ML algorithm</w:t>
      </w:r>
      <w:r>
        <w:rPr>
          <w:lang w:val="en-GB"/>
        </w:rPr>
        <w:t xml:space="preserve"> and will be a point of further investigation.</w:t>
      </w:r>
    </w:p>
    <w:p w14:paraId="5B93E144" w14:textId="6FFFCC23" w:rsidR="006C2142" w:rsidRPr="007527A0" w:rsidRDefault="006C2142" w:rsidP="006C2142">
      <w:pPr>
        <w:pStyle w:val="Caption"/>
        <w:jc w:val="both"/>
        <w:rPr>
          <w:lang w:val="sr-Latn-RS"/>
        </w:rPr>
      </w:pPr>
      <w:bookmarkStart w:id="563" w:name="_Ref96965403"/>
      <w:bookmarkStart w:id="564" w:name="_Toc101274467"/>
      <w:r>
        <w:t xml:space="preserve">Table </w:t>
      </w:r>
      <w:fldSimple w:instr=" SEQ Table \* ARABIC ">
        <w:r w:rsidR="00587AF0">
          <w:rPr>
            <w:noProof/>
          </w:rPr>
          <w:t>27</w:t>
        </w:r>
      </w:fldSimple>
      <w:bookmarkEnd w:id="563"/>
      <w:r>
        <w:t>. Naïve Bayes Model Training Summary for Naïve Bayes classification algorithm</w:t>
      </w:r>
      <w:bookmarkEnd w:id="564"/>
    </w:p>
    <w:tbl>
      <w:tblPr>
        <w:tblW w:w="5000" w:type="pct"/>
        <w:tblCellMar>
          <w:left w:w="0" w:type="dxa"/>
          <w:right w:w="0" w:type="dxa"/>
        </w:tblCellMar>
        <w:tblLook w:val="0000" w:firstRow="0" w:lastRow="0" w:firstColumn="0" w:lastColumn="0" w:noHBand="0" w:noVBand="0"/>
      </w:tblPr>
      <w:tblGrid>
        <w:gridCol w:w="1540"/>
        <w:gridCol w:w="1549"/>
        <w:gridCol w:w="870"/>
        <w:gridCol w:w="1130"/>
        <w:gridCol w:w="753"/>
        <w:gridCol w:w="1219"/>
        <w:gridCol w:w="836"/>
        <w:gridCol w:w="1130"/>
      </w:tblGrid>
      <w:tr w:rsidR="006C2142" w:rsidRPr="00B14FA7" w14:paraId="75F0096C" w14:textId="77777777" w:rsidTr="00CC5DAD">
        <w:trPr>
          <w:cantSplit/>
        </w:trPr>
        <w:tc>
          <w:tcPr>
            <w:tcW w:w="1711" w:type="pct"/>
            <w:gridSpan w:val="2"/>
            <w:tcBorders>
              <w:top w:val="single" w:sz="4" w:space="0" w:color="auto"/>
              <w:left w:val="nil"/>
              <w:bottom w:val="single" w:sz="4" w:space="0" w:color="auto"/>
              <w:right w:val="nil"/>
            </w:tcBorders>
            <w:shd w:val="clear" w:color="auto" w:fill="auto"/>
            <w:vAlign w:val="bottom"/>
          </w:tcPr>
          <w:p w14:paraId="5335C6F1" w14:textId="77777777" w:rsidR="006C2142" w:rsidRPr="00B14FA7" w:rsidRDefault="006C2142" w:rsidP="00CC5DAD">
            <w:pPr>
              <w:autoSpaceDE w:val="0"/>
              <w:autoSpaceDN w:val="0"/>
              <w:adjustRightInd w:val="0"/>
              <w:spacing w:before="0" w:after="0"/>
              <w:ind w:left="57" w:right="57"/>
              <w:jc w:val="left"/>
              <w:rPr>
                <w:rFonts w:cs="Times New Roman"/>
                <w:b/>
                <w:bCs/>
                <w:sz w:val="20"/>
                <w:szCs w:val="20"/>
                <w:lang w:val="sr-Latn-RS"/>
              </w:rPr>
            </w:pPr>
            <w:r w:rsidRPr="00B14FA7">
              <w:rPr>
                <w:rFonts w:cs="Times New Roman"/>
                <w:b/>
                <w:bCs/>
                <w:sz w:val="20"/>
                <w:szCs w:val="20"/>
                <w:lang w:val="sr-Latn-RS"/>
              </w:rPr>
              <w:t>Properties</w:t>
            </w:r>
          </w:p>
        </w:tc>
        <w:tc>
          <w:tcPr>
            <w:tcW w:w="482" w:type="pct"/>
            <w:tcBorders>
              <w:top w:val="single" w:sz="4" w:space="0" w:color="auto"/>
              <w:left w:val="nil"/>
              <w:bottom w:val="single" w:sz="4" w:space="0" w:color="auto"/>
              <w:right w:val="nil"/>
            </w:tcBorders>
          </w:tcPr>
          <w:p w14:paraId="511DF234" w14:textId="77777777" w:rsidR="006C2142" w:rsidRPr="00B14FA7" w:rsidRDefault="006C2142" w:rsidP="00CC5DAD">
            <w:pPr>
              <w:autoSpaceDE w:val="0"/>
              <w:autoSpaceDN w:val="0"/>
              <w:adjustRightInd w:val="0"/>
              <w:spacing w:before="0" w:after="0"/>
              <w:ind w:left="57" w:right="57"/>
              <w:jc w:val="center"/>
              <w:rPr>
                <w:rFonts w:cs="Arial"/>
                <w:b/>
                <w:bCs/>
                <w:sz w:val="20"/>
                <w:szCs w:val="20"/>
                <w:lang w:val="sr-Latn-RS"/>
              </w:rPr>
            </w:pPr>
            <w:r w:rsidRPr="00B14FA7">
              <w:rPr>
                <w:rFonts w:cs="Arial"/>
                <w:b/>
                <w:bCs/>
                <w:sz w:val="20"/>
                <w:szCs w:val="20"/>
                <w:lang w:val="sr-Latn-RS"/>
              </w:rPr>
              <w:t>n_OS</w:t>
            </w:r>
          </w:p>
        </w:tc>
        <w:tc>
          <w:tcPr>
            <w:tcW w:w="626" w:type="pct"/>
            <w:tcBorders>
              <w:top w:val="single" w:sz="4" w:space="0" w:color="auto"/>
              <w:left w:val="nil"/>
              <w:bottom w:val="single" w:sz="4" w:space="0" w:color="auto"/>
              <w:right w:val="nil"/>
            </w:tcBorders>
          </w:tcPr>
          <w:p w14:paraId="04E188E4" w14:textId="77777777" w:rsidR="006C2142" w:rsidRPr="00B14FA7" w:rsidRDefault="006C2142" w:rsidP="00CC5DAD">
            <w:pPr>
              <w:autoSpaceDE w:val="0"/>
              <w:autoSpaceDN w:val="0"/>
              <w:adjustRightInd w:val="0"/>
              <w:spacing w:before="0" w:after="0"/>
              <w:ind w:left="57" w:right="57"/>
              <w:jc w:val="center"/>
              <w:rPr>
                <w:rFonts w:cs="Arial"/>
                <w:b/>
                <w:bCs/>
                <w:sz w:val="20"/>
                <w:szCs w:val="20"/>
                <w:lang w:val="sr-Latn-RS"/>
              </w:rPr>
            </w:pPr>
            <w:r w:rsidRPr="00B14FA7">
              <w:rPr>
                <w:rFonts w:cs="Arial"/>
                <w:b/>
                <w:bCs/>
                <w:sz w:val="20"/>
                <w:szCs w:val="20"/>
                <w:lang w:val="sr-Latn-RS"/>
              </w:rPr>
              <w:t>Percent</w:t>
            </w:r>
          </w:p>
        </w:tc>
        <w:tc>
          <w:tcPr>
            <w:tcW w:w="417" w:type="pct"/>
            <w:tcBorders>
              <w:top w:val="single" w:sz="4" w:space="0" w:color="auto"/>
              <w:left w:val="nil"/>
              <w:bottom w:val="single" w:sz="4" w:space="0" w:color="auto"/>
              <w:right w:val="nil"/>
            </w:tcBorders>
          </w:tcPr>
          <w:p w14:paraId="5B4D37B1" w14:textId="77777777" w:rsidR="006C2142" w:rsidRPr="00B14FA7" w:rsidRDefault="006C2142" w:rsidP="00CC5DAD">
            <w:pPr>
              <w:autoSpaceDE w:val="0"/>
              <w:autoSpaceDN w:val="0"/>
              <w:adjustRightInd w:val="0"/>
              <w:spacing w:before="0" w:after="0"/>
              <w:ind w:left="57" w:right="57"/>
              <w:jc w:val="center"/>
              <w:rPr>
                <w:rFonts w:cs="Arial"/>
                <w:b/>
                <w:bCs/>
                <w:sz w:val="20"/>
                <w:szCs w:val="20"/>
                <w:lang w:val="sr-Latn-RS"/>
              </w:rPr>
            </w:pPr>
            <w:r w:rsidRPr="00B14FA7">
              <w:rPr>
                <w:rFonts w:cs="Arial"/>
                <w:b/>
                <w:bCs/>
                <w:sz w:val="20"/>
                <w:szCs w:val="20"/>
                <w:lang w:val="sr-Latn-RS"/>
              </w:rPr>
              <w:t>n_IS</w:t>
            </w:r>
          </w:p>
        </w:tc>
        <w:tc>
          <w:tcPr>
            <w:tcW w:w="675" w:type="pct"/>
            <w:tcBorders>
              <w:top w:val="single" w:sz="4" w:space="0" w:color="auto"/>
              <w:left w:val="nil"/>
              <w:bottom w:val="single" w:sz="4" w:space="0" w:color="auto"/>
              <w:right w:val="nil"/>
            </w:tcBorders>
          </w:tcPr>
          <w:p w14:paraId="3C5E693A" w14:textId="77777777" w:rsidR="006C2142" w:rsidRPr="00B14FA7" w:rsidRDefault="006C2142" w:rsidP="00CC5DAD">
            <w:pPr>
              <w:autoSpaceDE w:val="0"/>
              <w:autoSpaceDN w:val="0"/>
              <w:adjustRightInd w:val="0"/>
              <w:spacing w:before="0" w:after="0"/>
              <w:ind w:left="57" w:right="57"/>
              <w:jc w:val="center"/>
              <w:rPr>
                <w:rFonts w:cs="Arial"/>
                <w:b/>
                <w:bCs/>
                <w:sz w:val="20"/>
                <w:szCs w:val="20"/>
                <w:lang w:val="sr-Latn-RS"/>
              </w:rPr>
            </w:pPr>
            <w:r w:rsidRPr="00B14FA7">
              <w:rPr>
                <w:rFonts w:cs="Arial"/>
                <w:b/>
                <w:bCs/>
                <w:sz w:val="20"/>
                <w:szCs w:val="20"/>
                <w:lang w:val="sr-Latn-RS"/>
              </w:rPr>
              <w:t>Percemt</w:t>
            </w:r>
          </w:p>
        </w:tc>
        <w:tc>
          <w:tcPr>
            <w:tcW w:w="463" w:type="pct"/>
            <w:tcBorders>
              <w:top w:val="single" w:sz="4" w:space="0" w:color="auto"/>
              <w:left w:val="nil"/>
              <w:bottom w:val="single" w:sz="4" w:space="0" w:color="auto"/>
            </w:tcBorders>
            <w:shd w:val="clear" w:color="auto" w:fill="auto"/>
            <w:vAlign w:val="bottom"/>
          </w:tcPr>
          <w:p w14:paraId="0CF7AD71" w14:textId="77777777" w:rsidR="006C2142" w:rsidRPr="00B14FA7" w:rsidRDefault="006C2142" w:rsidP="00CC5DAD">
            <w:pPr>
              <w:autoSpaceDE w:val="0"/>
              <w:autoSpaceDN w:val="0"/>
              <w:adjustRightInd w:val="0"/>
              <w:spacing w:before="0" w:after="0"/>
              <w:ind w:left="57" w:right="57"/>
              <w:jc w:val="center"/>
              <w:rPr>
                <w:rFonts w:cs="Arial"/>
                <w:b/>
                <w:bCs/>
                <w:sz w:val="20"/>
                <w:szCs w:val="20"/>
                <w:lang w:val="sr-Latn-RS"/>
              </w:rPr>
            </w:pPr>
            <w:r w:rsidRPr="00B14FA7">
              <w:rPr>
                <w:rFonts w:cs="Arial"/>
                <w:b/>
                <w:bCs/>
                <w:sz w:val="20"/>
                <w:szCs w:val="20"/>
                <w:lang w:val="sr-Latn-RS"/>
              </w:rPr>
              <w:t>n_CS</w:t>
            </w:r>
          </w:p>
        </w:tc>
        <w:tc>
          <w:tcPr>
            <w:tcW w:w="626" w:type="pct"/>
            <w:tcBorders>
              <w:top w:val="single" w:sz="4" w:space="0" w:color="auto"/>
              <w:bottom w:val="single" w:sz="4" w:space="0" w:color="auto"/>
              <w:right w:val="nil"/>
            </w:tcBorders>
            <w:shd w:val="clear" w:color="auto" w:fill="auto"/>
            <w:vAlign w:val="bottom"/>
          </w:tcPr>
          <w:p w14:paraId="14C57396" w14:textId="77777777" w:rsidR="006C2142" w:rsidRPr="00B14FA7" w:rsidRDefault="006C2142" w:rsidP="00CC5DAD">
            <w:pPr>
              <w:autoSpaceDE w:val="0"/>
              <w:autoSpaceDN w:val="0"/>
              <w:adjustRightInd w:val="0"/>
              <w:spacing w:before="0" w:after="0"/>
              <w:ind w:left="57" w:right="57"/>
              <w:jc w:val="center"/>
              <w:rPr>
                <w:rFonts w:cs="Arial"/>
                <w:b/>
                <w:bCs/>
                <w:sz w:val="20"/>
                <w:szCs w:val="20"/>
                <w:lang w:val="sr-Latn-RS"/>
              </w:rPr>
            </w:pPr>
            <w:r w:rsidRPr="00B14FA7">
              <w:rPr>
                <w:rFonts w:cs="Arial"/>
                <w:b/>
                <w:bCs/>
                <w:sz w:val="20"/>
                <w:szCs w:val="20"/>
                <w:lang w:val="sr-Latn-RS"/>
              </w:rPr>
              <w:t>Percent</w:t>
            </w:r>
          </w:p>
        </w:tc>
      </w:tr>
      <w:tr w:rsidR="006C2142" w:rsidRPr="00B14FA7" w14:paraId="2D1F565F" w14:textId="77777777" w:rsidTr="00CC5DAD">
        <w:trPr>
          <w:cantSplit/>
        </w:trPr>
        <w:tc>
          <w:tcPr>
            <w:tcW w:w="853" w:type="pct"/>
            <w:vMerge w:val="restart"/>
            <w:tcBorders>
              <w:top w:val="single" w:sz="4" w:space="0" w:color="auto"/>
              <w:left w:val="nil"/>
            </w:tcBorders>
            <w:shd w:val="clear" w:color="auto" w:fill="auto"/>
            <w:vAlign w:val="center"/>
          </w:tcPr>
          <w:p w14:paraId="14A65C76" w14:textId="77777777" w:rsidR="006C2142" w:rsidRPr="00B14FA7" w:rsidRDefault="006C2142" w:rsidP="00CC5DAD">
            <w:pPr>
              <w:autoSpaceDE w:val="0"/>
              <w:autoSpaceDN w:val="0"/>
              <w:adjustRightInd w:val="0"/>
              <w:spacing w:before="0" w:after="0"/>
              <w:ind w:left="57" w:right="57"/>
              <w:jc w:val="left"/>
              <w:rPr>
                <w:rFonts w:cs="Arial"/>
                <w:sz w:val="20"/>
                <w:szCs w:val="20"/>
                <w:lang w:val="sr-Latn-RS"/>
              </w:rPr>
            </w:pPr>
            <w:r w:rsidRPr="00B14FA7">
              <w:rPr>
                <w:rFonts w:cs="Arial"/>
                <w:sz w:val="20"/>
                <w:szCs w:val="20"/>
                <w:lang w:val="sr-Latn-RS"/>
              </w:rPr>
              <w:t>Operating state</w:t>
            </w:r>
          </w:p>
        </w:tc>
        <w:tc>
          <w:tcPr>
            <w:tcW w:w="858" w:type="pct"/>
            <w:tcBorders>
              <w:top w:val="single" w:sz="4" w:space="0" w:color="auto"/>
            </w:tcBorders>
            <w:shd w:val="clear" w:color="auto" w:fill="auto"/>
          </w:tcPr>
          <w:p w14:paraId="4D35E7D1" w14:textId="77777777" w:rsidR="006C2142" w:rsidRPr="00B14FA7" w:rsidRDefault="006C2142" w:rsidP="00CC5DAD">
            <w:pPr>
              <w:autoSpaceDE w:val="0"/>
              <w:autoSpaceDN w:val="0"/>
              <w:adjustRightInd w:val="0"/>
              <w:spacing w:before="0" w:after="0"/>
              <w:ind w:left="57" w:right="57"/>
              <w:jc w:val="left"/>
              <w:rPr>
                <w:rFonts w:cs="Arial"/>
                <w:sz w:val="20"/>
                <w:szCs w:val="20"/>
                <w:lang w:val="sr-Latn-RS"/>
              </w:rPr>
            </w:pPr>
            <w:r w:rsidRPr="00B14FA7">
              <w:rPr>
                <w:sz w:val="20"/>
                <w:szCs w:val="20"/>
              </w:rPr>
              <w:t>None</w:t>
            </w:r>
          </w:p>
        </w:tc>
        <w:tc>
          <w:tcPr>
            <w:tcW w:w="482" w:type="pct"/>
            <w:tcBorders>
              <w:top w:val="single" w:sz="4" w:space="0" w:color="auto"/>
            </w:tcBorders>
          </w:tcPr>
          <w:p w14:paraId="280B2BAC" w14:textId="77777777" w:rsidR="006C2142" w:rsidRPr="00B14FA7" w:rsidRDefault="006C2142" w:rsidP="00CC5DAD">
            <w:pPr>
              <w:autoSpaceDE w:val="0"/>
              <w:autoSpaceDN w:val="0"/>
              <w:adjustRightInd w:val="0"/>
              <w:spacing w:before="0" w:after="0"/>
              <w:ind w:left="57" w:right="57"/>
              <w:jc w:val="right"/>
              <w:rPr>
                <w:sz w:val="20"/>
                <w:szCs w:val="20"/>
              </w:rPr>
            </w:pPr>
            <w:r w:rsidRPr="00B14FA7">
              <w:rPr>
                <w:rFonts w:cs="Arial"/>
                <w:sz w:val="20"/>
                <w:szCs w:val="20"/>
                <w:lang w:val="sr-Latn-RS"/>
              </w:rPr>
              <w:t>357</w:t>
            </w:r>
          </w:p>
        </w:tc>
        <w:tc>
          <w:tcPr>
            <w:tcW w:w="626" w:type="pct"/>
            <w:tcBorders>
              <w:top w:val="single" w:sz="4" w:space="0" w:color="auto"/>
            </w:tcBorders>
          </w:tcPr>
          <w:p w14:paraId="4F972ACB" w14:textId="77777777" w:rsidR="006C2142" w:rsidRPr="00B14FA7" w:rsidRDefault="006C2142" w:rsidP="00CC5DAD">
            <w:pPr>
              <w:autoSpaceDE w:val="0"/>
              <w:autoSpaceDN w:val="0"/>
              <w:adjustRightInd w:val="0"/>
              <w:spacing w:before="0" w:after="0"/>
              <w:ind w:left="57" w:right="57"/>
              <w:jc w:val="right"/>
              <w:rPr>
                <w:sz w:val="20"/>
                <w:szCs w:val="20"/>
              </w:rPr>
            </w:pPr>
            <w:r w:rsidRPr="00B14FA7">
              <w:rPr>
                <w:rFonts w:cs="Arial"/>
                <w:sz w:val="20"/>
                <w:szCs w:val="20"/>
                <w:lang w:val="sr-Latn-RS"/>
              </w:rPr>
              <w:t>52.0%</w:t>
            </w:r>
          </w:p>
        </w:tc>
        <w:tc>
          <w:tcPr>
            <w:tcW w:w="417" w:type="pct"/>
            <w:tcBorders>
              <w:top w:val="single" w:sz="4" w:space="0" w:color="auto"/>
            </w:tcBorders>
          </w:tcPr>
          <w:p w14:paraId="75518842" w14:textId="77777777" w:rsidR="006C2142" w:rsidRPr="00B14FA7" w:rsidRDefault="006C2142" w:rsidP="00CC5DAD">
            <w:pPr>
              <w:autoSpaceDE w:val="0"/>
              <w:autoSpaceDN w:val="0"/>
              <w:adjustRightInd w:val="0"/>
              <w:spacing w:before="0" w:after="0"/>
              <w:ind w:left="57" w:right="57"/>
              <w:jc w:val="right"/>
              <w:rPr>
                <w:sz w:val="20"/>
                <w:szCs w:val="20"/>
              </w:rPr>
            </w:pPr>
            <w:r>
              <w:rPr>
                <w:sz w:val="20"/>
                <w:szCs w:val="20"/>
              </w:rPr>
              <w:t>355</w:t>
            </w:r>
          </w:p>
        </w:tc>
        <w:tc>
          <w:tcPr>
            <w:tcW w:w="675" w:type="pct"/>
            <w:tcBorders>
              <w:top w:val="single" w:sz="4" w:space="0" w:color="auto"/>
            </w:tcBorders>
          </w:tcPr>
          <w:p w14:paraId="53E53600"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65.7%</w:t>
            </w:r>
          </w:p>
        </w:tc>
        <w:tc>
          <w:tcPr>
            <w:tcW w:w="463" w:type="pct"/>
            <w:tcBorders>
              <w:top w:val="single" w:sz="4" w:space="0" w:color="auto"/>
            </w:tcBorders>
            <w:shd w:val="clear" w:color="auto" w:fill="auto"/>
          </w:tcPr>
          <w:p w14:paraId="1B5578BE"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128</w:t>
            </w:r>
          </w:p>
        </w:tc>
        <w:tc>
          <w:tcPr>
            <w:tcW w:w="626" w:type="pct"/>
            <w:tcBorders>
              <w:top w:val="single" w:sz="4" w:space="0" w:color="auto"/>
              <w:right w:val="nil"/>
            </w:tcBorders>
            <w:shd w:val="clear" w:color="auto" w:fill="auto"/>
          </w:tcPr>
          <w:p w14:paraId="3905C33A"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20%</w:t>
            </w:r>
          </w:p>
        </w:tc>
      </w:tr>
      <w:tr w:rsidR="006C2142" w:rsidRPr="00B14FA7" w14:paraId="4B1D7A3B" w14:textId="77777777" w:rsidTr="00CC5DAD">
        <w:trPr>
          <w:cantSplit/>
        </w:trPr>
        <w:tc>
          <w:tcPr>
            <w:tcW w:w="853" w:type="pct"/>
            <w:vMerge/>
            <w:tcBorders>
              <w:left w:val="nil"/>
            </w:tcBorders>
            <w:shd w:val="clear" w:color="auto" w:fill="auto"/>
          </w:tcPr>
          <w:p w14:paraId="26414D3C" w14:textId="77777777" w:rsidR="006C2142" w:rsidRPr="00B14FA7" w:rsidRDefault="006C2142" w:rsidP="00CC5DAD">
            <w:pPr>
              <w:autoSpaceDE w:val="0"/>
              <w:autoSpaceDN w:val="0"/>
              <w:adjustRightInd w:val="0"/>
              <w:spacing w:before="0" w:after="0"/>
              <w:ind w:left="57" w:right="57"/>
              <w:jc w:val="left"/>
              <w:rPr>
                <w:rFonts w:cs="Arial"/>
                <w:sz w:val="20"/>
                <w:szCs w:val="20"/>
                <w:lang w:val="sr-Latn-RS"/>
              </w:rPr>
            </w:pPr>
          </w:p>
        </w:tc>
        <w:tc>
          <w:tcPr>
            <w:tcW w:w="858" w:type="pct"/>
            <w:shd w:val="clear" w:color="auto" w:fill="auto"/>
          </w:tcPr>
          <w:p w14:paraId="323CBEA7" w14:textId="77777777" w:rsidR="006C2142" w:rsidRPr="00B14FA7" w:rsidRDefault="006C2142" w:rsidP="00CC5DAD">
            <w:pPr>
              <w:autoSpaceDE w:val="0"/>
              <w:autoSpaceDN w:val="0"/>
              <w:adjustRightInd w:val="0"/>
              <w:spacing w:before="0" w:after="0"/>
              <w:ind w:left="57" w:right="57"/>
              <w:jc w:val="left"/>
              <w:rPr>
                <w:rFonts w:cs="Arial"/>
                <w:sz w:val="20"/>
                <w:szCs w:val="20"/>
                <w:lang w:val="sr-Latn-RS"/>
              </w:rPr>
            </w:pPr>
            <w:r w:rsidRPr="00B14FA7">
              <w:rPr>
                <w:sz w:val="20"/>
                <w:szCs w:val="20"/>
              </w:rPr>
              <w:t>Quasi-fault</w:t>
            </w:r>
          </w:p>
        </w:tc>
        <w:tc>
          <w:tcPr>
            <w:tcW w:w="482" w:type="pct"/>
          </w:tcPr>
          <w:p w14:paraId="5F6AEDEC" w14:textId="77777777" w:rsidR="006C2142" w:rsidRPr="00B14FA7" w:rsidRDefault="006C2142" w:rsidP="00CC5DAD">
            <w:pPr>
              <w:autoSpaceDE w:val="0"/>
              <w:autoSpaceDN w:val="0"/>
              <w:adjustRightInd w:val="0"/>
              <w:spacing w:before="0" w:after="0"/>
              <w:ind w:left="57" w:right="57"/>
              <w:jc w:val="right"/>
              <w:rPr>
                <w:sz w:val="20"/>
                <w:szCs w:val="20"/>
              </w:rPr>
            </w:pPr>
            <w:r w:rsidRPr="00B14FA7">
              <w:rPr>
                <w:rFonts w:cs="Arial"/>
                <w:sz w:val="20"/>
                <w:szCs w:val="20"/>
                <w:lang w:val="sr-Latn-RS"/>
              </w:rPr>
              <w:t>329</w:t>
            </w:r>
          </w:p>
        </w:tc>
        <w:tc>
          <w:tcPr>
            <w:tcW w:w="626" w:type="pct"/>
          </w:tcPr>
          <w:p w14:paraId="24366E19" w14:textId="77777777" w:rsidR="006C2142" w:rsidRPr="00B14FA7" w:rsidRDefault="006C2142" w:rsidP="00CC5DAD">
            <w:pPr>
              <w:autoSpaceDE w:val="0"/>
              <w:autoSpaceDN w:val="0"/>
              <w:adjustRightInd w:val="0"/>
              <w:spacing w:before="0" w:after="0"/>
              <w:ind w:left="57" w:right="57"/>
              <w:jc w:val="right"/>
              <w:rPr>
                <w:sz w:val="20"/>
                <w:szCs w:val="20"/>
              </w:rPr>
            </w:pPr>
            <w:r w:rsidRPr="00B14FA7">
              <w:rPr>
                <w:rFonts w:cs="Arial"/>
                <w:sz w:val="20"/>
                <w:szCs w:val="20"/>
                <w:lang w:val="sr-Latn-RS"/>
              </w:rPr>
              <w:t>48.0%</w:t>
            </w:r>
          </w:p>
        </w:tc>
        <w:tc>
          <w:tcPr>
            <w:tcW w:w="417" w:type="pct"/>
          </w:tcPr>
          <w:p w14:paraId="572A761E" w14:textId="77777777" w:rsidR="006C2142" w:rsidRPr="00B14FA7" w:rsidRDefault="006C2142" w:rsidP="00CC5DAD">
            <w:pPr>
              <w:autoSpaceDE w:val="0"/>
              <w:autoSpaceDN w:val="0"/>
              <w:adjustRightInd w:val="0"/>
              <w:spacing w:before="0" w:after="0"/>
              <w:ind w:left="57" w:right="57"/>
              <w:jc w:val="right"/>
              <w:rPr>
                <w:sz w:val="20"/>
                <w:szCs w:val="20"/>
              </w:rPr>
            </w:pPr>
            <w:r>
              <w:rPr>
                <w:sz w:val="20"/>
                <w:szCs w:val="20"/>
              </w:rPr>
              <w:t>185</w:t>
            </w:r>
          </w:p>
        </w:tc>
        <w:tc>
          <w:tcPr>
            <w:tcW w:w="675" w:type="pct"/>
          </w:tcPr>
          <w:p w14:paraId="13025037"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34.3%</w:t>
            </w:r>
          </w:p>
        </w:tc>
        <w:tc>
          <w:tcPr>
            <w:tcW w:w="463" w:type="pct"/>
            <w:shd w:val="clear" w:color="auto" w:fill="auto"/>
          </w:tcPr>
          <w:p w14:paraId="5ACC165C"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512</w:t>
            </w:r>
          </w:p>
        </w:tc>
        <w:tc>
          <w:tcPr>
            <w:tcW w:w="626" w:type="pct"/>
            <w:tcBorders>
              <w:right w:val="nil"/>
            </w:tcBorders>
            <w:shd w:val="clear" w:color="auto" w:fill="auto"/>
          </w:tcPr>
          <w:p w14:paraId="6282B318"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80%</w:t>
            </w:r>
          </w:p>
        </w:tc>
      </w:tr>
      <w:tr w:rsidR="006C2142" w:rsidRPr="00B14FA7" w14:paraId="7FC0CAE7" w14:textId="77777777" w:rsidTr="00CC5DAD">
        <w:trPr>
          <w:cantSplit/>
        </w:trPr>
        <w:tc>
          <w:tcPr>
            <w:tcW w:w="1711" w:type="pct"/>
            <w:gridSpan w:val="2"/>
            <w:tcBorders>
              <w:left w:val="nil"/>
            </w:tcBorders>
            <w:shd w:val="clear" w:color="auto" w:fill="auto"/>
          </w:tcPr>
          <w:p w14:paraId="44E71375" w14:textId="77777777" w:rsidR="006C2142" w:rsidRPr="00B14FA7" w:rsidRDefault="006C2142" w:rsidP="00CC5DAD">
            <w:pPr>
              <w:autoSpaceDE w:val="0"/>
              <w:autoSpaceDN w:val="0"/>
              <w:adjustRightInd w:val="0"/>
              <w:spacing w:before="0" w:after="0"/>
              <w:ind w:left="57" w:right="57"/>
              <w:jc w:val="left"/>
              <w:rPr>
                <w:rFonts w:cs="Arial"/>
                <w:sz w:val="20"/>
                <w:szCs w:val="20"/>
                <w:lang w:val="sr-Latn-RS"/>
              </w:rPr>
            </w:pPr>
            <w:r w:rsidRPr="00B14FA7">
              <w:rPr>
                <w:rFonts w:cs="Arial"/>
                <w:sz w:val="20"/>
                <w:szCs w:val="20"/>
                <w:lang w:val="sr-Latn-RS"/>
              </w:rPr>
              <w:t>Valid</w:t>
            </w:r>
          </w:p>
        </w:tc>
        <w:tc>
          <w:tcPr>
            <w:tcW w:w="482" w:type="pct"/>
          </w:tcPr>
          <w:p w14:paraId="6FE24A2A" w14:textId="77777777" w:rsidR="006C2142" w:rsidRPr="00B14FA7" w:rsidRDefault="006C2142" w:rsidP="00CC5DAD">
            <w:pPr>
              <w:autoSpaceDE w:val="0"/>
              <w:autoSpaceDN w:val="0"/>
              <w:adjustRightInd w:val="0"/>
              <w:spacing w:before="0" w:after="0"/>
              <w:ind w:left="57" w:right="57"/>
              <w:jc w:val="right"/>
              <w:rPr>
                <w:sz w:val="20"/>
                <w:szCs w:val="20"/>
              </w:rPr>
            </w:pPr>
            <w:r w:rsidRPr="00B14FA7">
              <w:rPr>
                <w:sz w:val="20"/>
                <w:szCs w:val="20"/>
              </w:rPr>
              <w:t>686</w:t>
            </w:r>
          </w:p>
        </w:tc>
        <w:tc>
          <w:tcPr>
            <w:tcW w:w="626" w:type="pct"/>
          </w:tcPr>
          <w:p w14:paraId="57442538" w14:textId="77777777" w:rsidR="006C2142" w:rsidRPr="00B14FA7" w:rsidRDefault="006C2142" w:rsidP="00CC5DAD">
            <w:pPr>
              <w:autoSpaceDE w:val="0"/>
              <w:autoSpaceDN w:val="0"/>
              <w:adjustRightInd w:val="0"/>
              <w:spacing w:before="0" w:after="0"/>
              <w:ind w:left="57" w:right="57"/>
              <w:jc w:val="right"/>
              <w:rPr>
                <w:sz w:val="20"/>
                <w:szCs w:val="20"/>
              </w:rPr>
            </w:pPr>
            <w:r w:rsidRPr="00B14FA7">
              <w:rPr>
                <w:rFonts w:cs="Arial"/>
                <w:sz w:val="20"/>
                <w:szCs w:val="20"/>
                <w:lang w:val="sr-Latn-RS"/>
              </w:rPr>
              <w:t>100.0%</w:t>
            </w:r>
          </w:p>
        </w:tc>
        <w:tc>
          <w:tcPr>
            <w:tcW w:w="417" w:type="pct"/>
          </w:tcPr>
          <w:p w14:paraId="6C54A7D6"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540</w:t>
            </w:r>
          </w:p>
        </w:tc>
        <w:tc>
          <w:tcPr>
            <w:tcW w:w="675" w:type="pct"/>
          </w:tcPr>
          <w:p w14:paraId="06B7BC6C"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100.0%</w:t>
            </w:r>
          </w:p>
        </w:tc>
        <w:tc>
          <w:tcPr>
            <w:tcW w:w="463" w:type="pct"/>
            <w:shd w:val="clear" w:color="auto" w:fill="auto"/>
          </w:tcPr>
          <w:p w14:paraId="51C4427E"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640</w:t>
            </w:r>
          </w:p>
        </w:tc>
        <w:tc>
          <w:tcPr>
            <w:tcW w:w="626" w:type="pct"/>
            <w:tcBorders>
              <w:right w:val="nil"/>
            </w:tcBorders>
            <w:shd w:val="clear" w:color="auto" w:fill="auto"/>
          </w:tcPr>
          <w:p w14:paraId="7137ABA5"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100.0%</w:t>
            </w:r>
          </w:p>
        </w:tc>
      </w:tr>
      <w:tr w:rsidR="006C2142" w:rsidRPr="00B14FA7" w14:paraId="27996C30" w14:textId="77777777" w:rsidTr="00CC5DAD">
        <w:trPr>
          <w:cantSplit/>
        </w:trPr>
        <w:tc>
          <w:tcPr>
            <w:tcW w:w="1711" w:type="pct"/>
            <w:gridSpan w:val="2"/>
            <w:tcBorders>
              <w:left w:val="nil"/>
            </w:tcBorders>
            <w:shd w:val="clear" w:color="auto" w:fill="auto"/>
          </w:tcPr>
          <w:p w14:paraId="22350AC3" w14:textId="77777777" w:rsidR="006C2142" w:rsidRPr="00B14FA7" w:rsidRDefault="006C2142" w:rsidP="00CC5DAD">
            <w:pPr>
              <w:autoSpaceDE w:val="0"/>
              <w:autoSpaceDN w:val="0"/>
              <w:adjustRightInd w:val="0"/>
              <w:spacing w:before="0" w:after="0"/>
              <w:ind w:left="57" w:right="57"/>
              <w:jc w:val="left"/>
              <w:rPr>
                <w:rFonts w:cs="Arial"/>
                <w:sz w:val="20"/>
                <w:szCs w:val="20"/>
                <w:lang w:val="sr-Latn-RS"/>
              </w:rPr>
            </w:pPr>
            <w:r w:rsidRPr="00B14FA7">
              <w:rPr>
                <w:rFonts w:cs="Arial"/>
                <w:sz w:val="20"/>
                <w:szCs w:val="20"/>
                <w:lang w:val="sr-Latn-RS"/>
              </w:rPr>
              <w:t>Excluded</w:t>
            </w:r>
          </w:p>
        </w:tc>
        <w:tc>
          <w:tcPr>
            <w:tcW w:w="482" w:type="pct"/>
          </w:tcPr>
          <w:p w14:paraId="67EAA4A4" w14:textId="77777777" w:rsidR="006C2142" w:rsidRPr="00B14FA7" w:rsidRDefault="006C2142" w:rsidP="00CC5DAD">
            <w:pPr>
              <w:autoSpaceDE w:val="0"/>
              <w:autoSpaceDN w:val="0"/>
              <w:adjustRightInd w:val="0"/>
              <w:spacing w:before="0" w:after="0"/>
              <w:ind w:left="57" w:right="57"/>
              <w:jc w:val="right"/>
              <w:rPr>
                <w:sz w:val="20"/>
                <w:szCs w:val="20"/>
              </w:rPr>
            </w:pPr>
            <w:r w:rsidRPr="00B14FA7">
              <w:rPr>
                <w:sz w:val="20"/>
                <w:szCs w:val="20"/>
              </w:rPr>
              <w:t>0</w:t>
            </w:r>
          </w:p>
        </w:tc>
        <w:tc>
          <w:tcPr>
            <w:tcW w:w="626" w:type="pct"/>
            <w:vAlign w:val="center"/>
          </w:tcPr>
          <w:p w14:paraId="2FBB248F" w14:textId="77777777" w:rsidR="006C2142" w:rsidRPr="00B14FA7" w:rsidRDefault="006C2142" w:rsidP="00CC5DAD">
            <w:pPr>
              <w:autoSpaceDE w:val="0"/>
              <w:autoSpaceDN w:val="0"/>
              <w:adjustRightInd w:val="0"/>
              <w:spacing w:before="0" w:after="0"/>
              <w:ind w:left="57" w:right="57"/>
              <w:jc w:val="right"/>
              <w:rPr>
                <w:sz w:val="20"/>
                <w:szCs w:val="20"/>
              </w:rPr>
            </w:pPr>
            <w:r w:rsidRPr="00B14FA7">
              <w:rPr>
                <w:rFonts w:cs="Times New Roman"/>
                <w:sz w:val="20"/>
                <w:szCs w:val="20"/>
                <w:lang w:val="sr-Latn-RS"/>
              </w:rPr>
              <w:t>0%</w:t>
            </w:r>
          </w:p>
        </w:tc>
        <w:tc>
          <w:tcPr>
            <w:tcW w:w="417" w:type="pct"/>
          </w:tcPr>
          <w:p w14:paraId="39765AE4"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p>
        </w:tc>
        <w:tc>
          <w:tcPr>
            <w:tcW w:w="675" w:type="pct"/>
          </w:tcPr>
          <w:p w14:paraId="0C89A79C"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p>
        </w:tc>
        <w:tc>
          <w:tcPr>
            <w:tcW w:w="463" w:type="pct"/>
            <w:shd w:val="clear" w:color="auto" w:fill="auto"/>
          </w:tcPr>
          <w:p w14:paraId="17EFC9CA"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p>
        </w:tc>
        <w:tc>
          <w:tcPr>
            <w:tcW w:w="626" w:type="pct"/>
            <w:tcBorders>
              <w:right w:val="nil"/>
            </w:tcBorders>
            <w:shd w:val="clear" w:color="auto" w:fill="auto"/>
            <w:vAlign w:val="center"/>
          </w:tcPr>
          <w:p w14:paraId="651D141C" w14:textId="77777777" w:rsidR="006C2142" w:rsidRPr="00B14FA7" w:rsidRDefault="006C2142" w:rsidP="00CC5DAD">
            <w:pPr>
              <w:autoSpaceDE w:val="0"/>
              <w:autoSpaceDN w:val="0"/>
              <w:adjustRightInd w:val="0"/>
              <w:spacing w:before="0" w:after="0"/>
              <w:ind w:left="57" w:right="57"/>
              <w:jc w:val="right"/>
              <w:rPr>
                <w:rFonts w:cs="Times New Roman"/>
                <w:sz w:val="20"/>
                <w:szCs w:val="20"/>
                <w:lang w:val="sr-Latn-RS"/>
              </w:rPr>
            </w:pPr>
            <w:r>
              <w:rPr>
                <w:rFonts w:cs="Times New Roman"/>
                <w:sz w:val="20"/>
                <w:szCs w:val="20"/>
                <w:lang w:val="sr-Latn-RS"/>
              </w:rPr>
              <w:t>0%</w:t>
            </w:r>
          </w:p>
        </w:tc>
      </w:tr>
      <w:tr w:rsidR="006C2142" w:rsidRPr="00B14FA7" w14:paraId="2775224C" w14:textId="77777777" w:rsidTr="00CC5DAD">
        <w:trPr>
          <w:cantSplit/>
        </w:trPr>
        <w:tc>
          <w:tcPr>
            <w:tcW w:w="1711" w:type="pct"/>
            <w:gridSpan w:val="2"/>
            <w:tcBorders>
              <w:left w:val="nil"/>
              <w:bottom w:val="single" w:sz="4" w:space="0" w:color="auto"/>
            </w:tcBorders>
            <w:shd w:val="clear" w:color="auto" w:fill="auto"/>
          </w:tcPr>
          <w:p w14:paraId="43D82423" w14:textId="77777777" w:rsidR="006C2142" w:rsidRPr="00B14FA7" w:rsidRDefault="006C2142" w:rsidP="00CC5DAD">
            <w:pPr>
              <w:autoSpaceDE w:val="0"/>
              <w:autoSpaceDN w:val="0"/>
              <w:adjustRightInd w:val="0"/>
              <w:spacing w:before="0" w:after="0"/>
              <w:ind w:left="57" w:right="57"/>
              <w:jc w:val="left"/>
              <w:rPr>
                <w:rFonts w:cs="Arial"/>
                <w:sz w:val="20"/>
                <w:szCs w:val="20"/>
                <w:lang w:val="sr-Latn-RS"/>
              </w:rPr>
            </w:pPr>
            <w:r w:rsidRPr="00B14FA7">
              <w:rPr>
                <w:rFonts w:cs="Arial"/>
                <w:sz w:val="20"/>
                <w:szCs w:val="20"/>
                <w:lang w:val="sr-Latn-RS"/>
              </w:rPr>
              <w:t>Total</w:t>
            </w:r>
          </w:p>
        </w:tc>
        <w:tc>
          <w:tcPr>
            <w:tcW w:w="482" w:type="pct"/>
            <w:tcBorders>
              <w:bottom w:val="single" w:sz="4" w:space="0" w:color="auto"/>
            </w:tcBorders>
          </w:tcPr>
          <w:p w14:paraId="55EF1D1E" w14:textId="77777777" w:rsidR="006C2142" w:rsidRPr="00B14FA7" w:rsidRDefault="006C2142" w:rsidP="00CC5DAD">
            <w:pPr>
              <w:autoSpaceDE w:val="0"/>
              <w:autoSpaceDN w:val="0"/>
              <w:adjustRightInd w:val="0"/>
              <w:spacing w:before="0" w:after="0"/>
              <w:ind w:left="57" w:right="57"/>
              <w:jc w:val="right"/>
              <w:rPr>
                <w:sz w:val="20"/>
                <w:szCs w:val="20"/>
              </w:rPr>
            </w:pPr>
            <w:r w:rsidRPr="00B14FA7">
              <w:rPr>
                <w:sz w:val="20"/>
                <w:szCs w:val="20"/>
              </w:rPr>
              <w:t>686</w:t>
            </w:r>
          </w:p>
        </w:tc>
        <w:tc>
          <w:tcPr>
            <w:tcW w:w="626" w:type="pct"/>
            <w:tcBorders>
              <w:bottom w:val="single" w:sz="4" w:space="0" w:color="auto"/>
            </w:tcBorders>
            <w:vAlign w:val="center"/>
          </w:tcPr>
          <w:p w14:paraId="513CEFE6" w14:textId="77777777" w:rsidR="006C2142" w:rsidRPr="00B14FA7" w:rsidRDefault="006C2142" w:rsidP="00CC5DAD">
            <w:pPr>
              <w:autoSpaceDE w:val="0"/>
              <w:autoSpaceDN w:val="0"/>
              <w:adjustRightInd w:val="0"/>
              <w:spacing w:before="0" w:after="0"/>
              <w:ind w:left="57" w:right="57"/>
              <w:jc w:val="right"/>
              <w:rPr>
                <w:sz w:val="20"/>
                <w:szCs w:val="20"/>
              </w:rPr>
            </w:pPr>
            <w:r w:rsidRPr="00B14FA7">
              <w:rPr>
                <w:rFonts w:cs="Arial"/>
                <w:sz w:val="20"/>
                <w:szCs w:val="20"/>
                <w:lang w:val="sr-Latn-RS"/>
              </w:rPr>
              <w:t>100.0%</w:t>
            </w:r>
          </w:p>
        </w:tc>
        <w:tc>
          <w:tcPr>
            <w:tcW w:w="417" w:type="pct"/>
            <w:tcBorders>
              <w:bottom w:val="single" w:sz="4" w:space="0" w:color="auto"/>
            </w:tcBorders>
          </w:tcPr>
          <w:p w14:paraId="29CC28E4"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540</w:t>
            </w:r>
          </w:p>
        </w:tc>
        <w:tc>
          <w:tcPr>
            <w:tcW w:w="675" w:type="pct"/>
            <w:tcBorders>
              <w:bottom w:val="single" w:sz="4" w:space="0" w:color="auto"/>
            </w:tcBorders>
          </w:tcPr>
          <w:p w14:paraId="1849809B"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100.0%</w:t>
            </w:r>
          </w:p>
        </w:tc>
        <w:tc>
          <w:tcPr>
            <w:tcW w:w="463" w:type="pct"/>
            <w:tcBorders>
              <w:bottom w:val="single" w:sz="4" w:space="0" w:color="auto"/>
            </w:tcBorders>
            <w:shd w:val="clear" w:color="auto" w:fill="auto"/>
          </w:tcPr>
          <w:p w14:paraId="56D7829D"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640</w:t>
            </w:r>
          </w:p>
        </w:tc>
        <w:tc>
          <w:tcPr>
            <w:tcW w:w="626" w:type="pct"/>
            <w:tcBorders>
              <w:bottom w:val="single" w:sz="4" w:space="0" w:color="auto"/>
              <w:right w:val="nil"/>
            </w:tcBorders>
            <w:shd w:val="clear" w:color="auto" w:fill="auto"/>
            <w:vAlign w:val="center"/>
          </w:tcPr>
          <w:p w14:paraId="24BAA5BE" w14:textId="77777777" w:rsidR="006C2142" w:rsidRPr="00B14FA7" w:rsidRDefault="006C2142" w:rsidP="00CC5DAD">
            <w:pPr>
              <w:autoSpaceDE w:val="0"/>
              <w:autoSpaceDN w:val="0"/>
              <w:adjustRightInd w:val="0"/>
              <w:spacing w:before="0" w:after="0"/>
              <w:ind w:left="57" w:right="57"/>
              <w:jc w:val="right"/>
              <w:rPr>
                <w:rFonts w:cs="Times New Roman"/>
                <w:sz w:val="20"/>
                <w:szCs w:val="20"/>
                <w:lang w:val="sr-Latn-RS"/>
              </w:rPr>
            </w:pPr>
            <w:r>
              <w:rPr>
                <w:rFonts w:cs="Times New Roman"/>
                <w:sz w:val="20"/>
                <w:szCs w:val="20"/>
                <w:lang w:val="sr-Latn-RS"/>
              </w:rPr>
              <w:t>100.0%</w:t>
            </w:r>
          </w:p>
        </w:tc>
      </w:tr>
    </w:tbl>
    <w:p w14:paraId="53B180E5" w14:textId="31DD6E07" w:rsidR="006C2142" w:rsidRPr="00381100" w:rsidRDefault="006C2142" w:rsidP="006C2142">
      <w:pPr>
        <w:pStyle w:val="Caption"/>
        <w:jc w:val="both"/>
      </w:pPr>
      <w:bookmarkStart w:id="565" w:name="_Ref99008185"/>
      <w:bookmarkStart w:id="566" w:name="_Toc101274468"/>
      <w:r>
        <w:t xml:space="preserve">Table </w:t>
      </w:r>
      <w:fldSimple w:instr=" SEQ Table \* ARABIC ">
        <w:r w:rsidR="00587AF0">
          <w:rPr>
            <w:noProof/>
          </w:rPr>
          <w:t>28</w:t>
        </w:r>
      </w:fldSimple>
      <w:bookmarkEnd w:id="565"/>
      <w:r>
        <w:t>. Naïve Bayes Model Testing Summary for Naïve Bayes classification algorithm</w:t>
      </w:r>
      <w:bookmarkEnd w:id="566"/>
    </w:p>
    <w:tbl>
      <w:tblPr>
        <w:tblW w:w="5000" w:type="pct"/>
        <w:tblCellMar>
          <w:left w:w="0" w:type="dxa"/>
          <w:right w:w="0" w:type="dxa"/>
        </w:tblCellMar>
        <w:tblLook w:val="0000" w:firstRow="0" w:lastRow="0" w:firstColumn="0" w:lastColumn="0" w:noHBand="0" w:noVBand="0"/>
      </w:tblPr>
      <w:tblGrid>
        <w:gridCol w:w="1540"/>
        <w:gridCol w:w="1549"/>
        <w:gridCol w:w="870"/>
        <w:gridCol w:w="1130"/>
        <w:gridCol w:w="753"/>
        <w:gridCol w:w="1219"/>
        <w:gridCol w:w="836"/>
        <w:gridCol w:w="1130"/>
      </w:tblGrid>
      <w:tr w:rsidR="006C2142" w:rsidRPr="00B14FA7" w14:paraId="5744DA9A" w14:textId="77777777" w:rsidTr="00CC5DAD">
        <w:trPr>
          <w:cantSplit/>
        </w:trPr>
        <w:tc>
          <w:tcPr>
            <w:tcW w:w="1711" w:type="pct"/>
            <w:gridSpan w:val="2"/>
            <w:tcBorders>
              <w:top w:val="single" w:sz="4" w:space="0" w:color="auto"/>
              <w:left w:val="nil"/>
              <w:bottom w:val="single" w:sz="4" w:space="0" w:color="auto"/>
              <w:right w:val="nil"/>
            </w:tcBorders>
            <w:shd w:val="clear" w:color="auto" w:fill="auto"/>
            <w:vAlign w:val="bottom"/>
          </w:tcPr>
          <w:p w14:paraId="5BAAAF60" w14:textId="77777777" w:rsidR="006C2142" w:rsidRPr="00B14FA7" w:rsidRDefault="006C2142" w:rsidP="00CC5DAD">
            <w:pPr>
              <w:autoSpaceDE w:val="0"/>
              <w:autoSpaceDN w:val="0"/>
              <w:adjustRightInd w:val="0"/>
              <w:spacing w:before="0" w:after="0"/>
              <w:ind w:left="57" w:right="57"/>
              <w:jc w:val="left"/>
              <w:rPr>
                <w:rFonts w:cs="Times New Roman"/>
                <w:b/>
                <w:bCs/>
                <w:sz w:val="20"/>
                <w:szCs w:val="20"/>
                <w:lang w:val="sr-Latn-RS"/>
              </w:rPr>
            </w:pPr>
            <w:r w:rsidRPr="00B14FA7">
              <w:rPr>
                <w:rFonts w:cs="Times New Roman"/>
                <w:b/>
                <w:bCs/>
                <w:sz w:val="20"/>
                <w:szCs w:val="20"/>
                <w:lang w:val="sr-Latn-RS"/>
              </w:rPr>
              <w:t>Properties</w:t>
            </w:r>
          </w:p>
        </w:tc>
        <w:tc>
          <w:tcPr>
            <w:tcW w:w="482" w:type="pct"/>
            <w:tcBorders>
              <w:top w:val="single" w:sz="4" w:space="0" w:color="auto"/>
              <w:left w:val="nil"/>
              <w:bottom w:val="single" w:sz="4" w:space="0" w:color="auto"/>
              <w:right w:val="nil"/>
            </w:tcBorders>
          </w:tcPr>
          <w:p w14:paraId="3E16DC14" w14:textId="77777777" w:rsidR="006C2142" w:rsidRPr="00B14FA7" w:rsidRDefault="006C2142" w:rsidP="00CC5DAD">
            <w:pPr>
              <w:autoSpaceDE w:val="0"/>
              <w:autoSpaceDN w:val="0"/>
              <w:adjustRightInd w:val="0"/>
              <w:spacing w:before="0" w:after="0"/>
              <w:ind w:left="57" w:right="57"/>
              <w:jc w:val="center"/>
              <w:rPr>
                <w:rFonts w:cs="Arial"/>
                <w:b/>
                <w:bCs/>
                <w:sz w:val="20"/>
                <w:szCs w:val="20"/>
                <w:lang w:val="sr-Latn-RS"/>
              </w:rPr>
            </w:pPr>
            <w:r w:rsidRPr="00B14FA7">
              <w:rPr>
                <w:rFonts w:cs="Arial"/>
                <w:b/>
                <w:bCs/>
                <w:sz w:val="20"/>
                <w:szCs w:val="20"/>
                <w:lang w:val="sr-Latn-RS"/>
              </w:rPr>
              <w:t>n_OS</w:t>
            </w:r>
          </w:p>
        </w:tc>
        <w:tc>
          <w:tcPr>
            <w:tcW w:w="626" w:type="pct"/>
            <w:tcBorders>
              <w:top w:val="single" w:sz="4" w:space="0" w:color="auto"/>
              <w:left w:val="nil"/>
              <w:bottom w:val="single" w:sz="4" w:space="0" w:color="auto"/>
              <w:right w:val="nil"/>
            </w:tcBorders>
          </w:tcPr>
          <w:p w14:paraId="0E05BBD1" w14:textId="77777777" w:rsidR="006C2142" w:rsidRPr="00B14FA7" w:rsidRDefault="006C2142" w:rsidP="00CC5DAD">
            <w:pPr>
              <w:autoSpaceDE w:val="0"/>
              <w:autoSpaceDN w:val="0"/>
              <w:adjustRightInd w:val="0"/>
              <w:spacing w:before="0" w:after="0"/>
              <w:ind w:left="57" w:right="57"/>
              <w:jc w:val="center"/>
              <w:rPr>
                <w:rFonts w:cs="Arial"/>
                <w:b/>
                <w:bCs/>
                <w:sz w:val="20"/>
                <w:szCs w:val="20"/>
                <w:lang w:val="sr-Latn-RS"/>
              </w:rPr>
            </w:pPr>
            <w:r w:rsidRPr="00B14FA7">
              <w:rPr>
                <w:rFonts w:cs="Arial"/>
                <w:b/>
                <w:bCs/>
                <w:sz w:val="20"/>
                <w:szCs w:val="20"/>
                <w:lang w:val="sr-Latn-RS"/>
              </w:rPr>
              <w:t>Percent</w:t>
            </w:r>
          </w:p>
        </w:tc>
        <w:tc>
          <w:tcPr>
            <w:tcW w:w="417" w:type="pct"/>
            <w:tcBorders>
              <w:top w:val="single" w:sz="4" w:space="0" w:color="auto"/>
              <w:left w:val="nil"/>
              <w:bottom w:val="single" w:sz="4" w:space="0" w:color="auto"/>
              <w:right w:val="nil"/>
            </w:tcBorders>
          </w:tcPr>
          <w:p w14:paraId="0D02FE85" w14:textId="77777777" w:rsidR="006C2142" w:rsidRPr="00B14FA7" w:rsidRDefault="006C2142" w:rsidP="00CC5DAD">
            <w:pPr>
              <w:autoSpaceDE w:val="0"/>
              <w:autoSpaceDN w:val="0"/>
              <w:adjustRightInd w:val="0"/>
              <w:spacing w:before="0" w:after="0"/>
              <w:ind w:left="57" w:right="57"/>
              <w:jc w:val="center"/>
              <w:rPr>
                <w:rFonts w:cs="Arial"/>
                <w:b/>
                <w:bCs/>
                <w:sz w:val="20"/>
                <w:szCs w:val="20"/>
                <w:lang w:val="sr-Latn-RS"/>
              </w:rPr>
            </w:pPr>
            <w:r w:rsidRPr="00B14FA7">
              <w:rPr>
                <w:rFonts w:cs="Arial"/>
                <w:b/>
                <w:bCs/>
                <w:sz w:val="20"/>
                <w:szCs w:val="20"/>
                <w:lang w:val="sr-Latn-RS"/>
              </w:rPr>
              <w:t>n_IS</w:t>
            </w:r>
          </w:p>
        </w:tc>
        <w:tc>
          <w:tcPr>
            <w:tcW w:w="675" w:type="pct"/>
            <w:tcBorders>
              <w:top w:val="single" w:sz="4" w:space="0" w:color="auto"/>
              <w:left w:val="nil"/>
              <w:bottom w:val="single" w:sz="4" w:space="0" w:color="auto"/>
              <w:right w:val="nil"/>
            </w:tcBorders>
          </w:tcPr>
          <w:p w14:paraId="46EAF3A1" w14:textId="77777777" w:rsidR="006C2142" w:rsidRPr="00B14FA7" w:rsidRDefault="006C2142" w:rsidP="00CC5DAD">
            <w:pPr>
              <w:autoSpaceDE w:val="0"/>
              <w:autoSpaceDN w:val="0"/>
              <w:adjustRightInd w:val="0"/>
              <w:spacing w:before="0" w:after="0"/>
              <w:ind w:left="57" w:right="57"/>
              <w:jc w:val="center"/>
              <w:rPr>
                <w:rFonts w:cs="Arial"/>
                <w:b/>
                <w:bCs/>
                <w:sz w:val="20"/>
                <w:szCs w:val="20"/>
                <w:lang w:val="sr-Latn-RS"/>
              </w:rPr>
            </w:pPr>
            <w:r w:rsidRPr="00B14FA7">
              <w:rPr>
                <w:rFonts w:cs="Arial"/>
                <w:b/>
                <w:bCs/>
                <w:sz w:val="20"/>
                <w:szCs w:val="20"/>
                <w:lang w:val="sr-Latn-RS"/>
              </w:rPr>
              <w:t>Percemt</w:t>
            </w:r>
          </w:p>
        </w:tc>
        <w:tc>
          <w:tcPr>
            <w:tcW w:w="463" w:type="pct"/>
            <w:tcBorders>
              <w:top w:val="single" w:sz="4" w:space="0" w:color="auto"/>
              <w:left w:val="nil"/>
              <w:bottom w:val="single" w:sz="4" w:space="0" w:color="auto"/>
            </w:tcBorders>
            <w:shd w:val="clear" w:color="auto" w:fill="auto"/>
            <w:vAlign w:val="bottom"/>
          </w:tcPr>
          <w:p w14:paraId="3E9153FC" w14:textId="77777777" w:rsidR="006C2142" w:rsidRPr="00B14FA7" w:rsidRDefault="006C2142" w:rsidP="00CC5DAD">
            <w:pPr>
              <w:autoSpaceDE w:val="0"/>
              <w:autoSpaceDN w:val="0"/>
              <w:adjustRightInd w:val="0"/>
              <w:spacing w:before="0" w:after="0"/>
              <w:ind w:left="57" w:right="57"/>
              <w:jc w:val="center"/>
              <w:rPr>
                <w:rFonts w:cs="Arial"/>
                <w:b/>
                <w:bCs/>
                <w:sz w:val="20"/>
                <w:szCs w:val="20"/>
                <w:lang w:val="sr-Latn-RS"/>
              </w:rPr>
            </w:pPr>
            <w:r w:rsidRPr="00B14FA7">
              <w:rPr>
                <w:rFonts w:cs="Arial"/>
                <w:b/>
                <w:bCs/>
                <w:sz w:val="20"/>
                <w:szCs w:val="20"/>
                <w:lang w:val="sr-Latn-RS"/>
              </w:rPr>
              <w:t>n_CS</w:t>
            </w:r>
          </w:p>
        </w:tc>
        <w:tc>
          <w:tcPr>
            <w:tcW w:w="626" w:type="pct"/>
            <w:tcBorders>
              <w:top w:val="single" w:sz="4" w:space="0" w:color="auto"/>
              <w:bottom w:val="single" w:sz="4" w:space="0" w:color="auto"/>
              <w:right w:val="nil"/>
            </w:tcBorders>
            <w:shd w:val="clear" w:color="auto" w:fill="auto"/>
            <w:vAlign w:val="bottom"/>
          </w:tcPr>
          <w:p w14:paraId="684FC4FC" w14:textId="77777777" w:rsidR="006C2142" w:rsidRPr="00B14FA7" w:rsidRDefault="006C2142" w:rsidP="00CC5DAD">
            <w:pPr>
              <w:autoSpaceDE w:val="0"/>
              <w:autoSpaceDN w:val="0"/>
              <w:adjustRightInd w:val="0"/>
              <w:spacing w:before="0" w:after="0"/>
              <w:ind w:left="57" w:right="57"/>
              <w:jc w:val="center"/>
              <w:rPr>
                <w:rFonts w:cs="Arial"/>
                <w:b/>
                <w:bCs/>
                <w:sz w:val="20"/>
                <w:szCs w:val="20"/>
                <w:lang w:val="sr-Latn-RS"/>
              </w:rPr>
            </w:pPr>
            <w:r w:rsidRPr="00B14FA7">
              <w:rPr>
                <w:rFonts w:cs="Arial"/>
                <w:b/>
                <w:bCs/>
                <w:sz w:val="20"/>
                <w:szCs w:val="20"/>
                <w:lang w:val="sr-Latn-RS"/>
              </w:rPr>
              <w:t>Percent</w:t>
            </w:r>
          </w:p>
        </w:tc>
      </w:tr>
      <w:tr w:rsidR="006C2142" w:rsidRPr="00B14FA7" w14:paraId="762A785C" w14:textId="77777777" w:rsidTr="00CC5DAD">
        <w:trPr>
          <w:cantSplit/>
        </w:trPr>
        <w:tc>
          <w:tcPr>
            <w:tcW w:w="853" w:type="pct"/>
            <w:vMerge w:val="restart"/>
            <w:tcBorders>
              <w:top w:val="single" w:sz="4" w:space="0" w:color="auto"/>
              <w:left w:val="nil"/>
            </w:tcBorders>
            <w:shd w:val="clear" w:color="auto" w:fill="auto"/>
            <w:vAlign w:val="center"/>
          </w:tcPr>
          <w:p w14:paraId="078324BC" w14:textId="77777777" w:rsidR="006C2142" w:rsidRPr="00B14FA7" w:rsidRDefault="006C2142" w:rsidP="00CC5DAD">
            <w:pPr>
              <w:autoSpaceDE w:val="0"/>
              <w:autoSpaceDN w:val="0"/>
              <w:adjustRightInd w:val="0"/>
              <w:spacing w:before="0" w:after="0"/>
              <w:ind w:left="57" w:right="57"/>
              <w:jc w:val="left"/>
              <w:rPr>
                <w:rFonts w:cs="Arial"/>
                <w:sz w:val="20"/>
                <w:szCs w:val="20"/>
                <w:lang w:val="sr-Latn-RS"/>
              </w:rPr>
            </w:pPr>
            <w:r w:rsidRPr="00B14FA7">
              <w:rPr>
                <w:rFonts w:cs="Arial"/>
                <w:sz w:val="20"/>
                <w:szCs w:val="20"/>
                <w:lang w:val="sr-Latn-RS"/>
              </w:rPr>
              <w:t>Operating state</w:t>
            </w:r>
          </w:p>
        </w:tc>
        <w:tc>
          <w:tcPr>
            <w:tcW w:w="858" w:type="pct"/>
            <w:tcBorders>
              <w:top w:val="single" w:sz="4" w:space="0" w:color="auto"/>
            </w:tcBorders>
            <w:shd w:val="clear" w:color="auto" w:fill="auto"/>
          </w:tcPr>
          <w:p w14:paraId="4D24EB28" w14:textId="77777777" w:rsidR="006C2142" w:rsidRPr="00B14FA7" w:rsidRDefault="006C2142" w:rsidP="00CC5DAD">
            <w:pPr>
              <w:autoSpaceDE w:val="0"/>
              <w:autoSpaceDN w:val="0"/>
              <w:adjustRightInd w:val="0"/>
              <w:spacing w:before="0" w:after="0"/>
              <w:ind w:left="57" w:right="57"/>
              <w:jc w:val="left"/>
              <w:rPr>
                <w:rFonts w:cs="Arial"/>
                <w:sz w:val="20"/>
                <w:szCs w:val="20"/>
                <w:lang w:val="sr-Latn-RS"/>
              </w:rPr>
            </w:pPr>
            <w:r w:rsidRPr="00B14FA7">
              <w:rPr>
                <w:sz w:val="20"/>
                <w:szCs w:val="20"/>
              </w:rPr>
              <w:t>None</w:t>
            </w:r>
          </w:p>
        </w:tc>
        <w:tc>
          <w:tcPr>
            <w:tcW w:w="482" w:type="pct"/>
            <w:tcBorders>
              <w:top w:val="single" w:sz="4" w:space="0" w:color="auto"/>
            </w:tcBorders>
          </w:tcPr>
          <w:p w14:paraId="1C5E337A" w14:textId="77777777" w:rsidR="006C2142" w:rsidRPr="00B14FA7" w:rsidRDefault="006C2142" w:rsidP="00CC5DAD">
            <w:pPr>
              <w:autoSpaceDE w:val="0"/>
              <w:autoSpaceDN w:val="0"/>
              <w:adjustRightInd w:val="0"/>
              <w:spacing w:before="0" w:after="0"/>
              <w:ind w:left="57" w:right="57"/>
              <w:jc w:val="right"/>
              <w:rPr>
                <w:sz w:val="20"/>
                <w:szCs w:val="20"/>
              </w:rPr>
            </w:pPr>
            <w:r>
              <w:rPr>
                <w:rFonts w:cs="Arial"/>
                <w:sz w:val="20"/>
                <w:szCs w:val="20"/>
                <w:lang w:val="sr-Latn-RS"/>
              </w:rPr>
              <w:t>159</w:t>
            </w:r>
          </w:p>
        </w:tc>
        <w:tc>
          <w:tcPr>
            <w:tcW w:w="626" w:type="pct"/>
            <w:tcBorders>
              <w:top w:val="single" w:sz="4" w:space="0" w:color="auto"/>
            </w:tcBorders>
          </w:tcPr>
          <w:p w14:paraId="64E98FE8" w14:textId="77777777" w:rsidR="006C2142" w:rsidRPr="00B14FA7" w:rsidRDefault="006C2142" w:rsidP="00CC5DAD">
            <w:pPr>
              <w:autoSpaceDE w:val="0"/>
              <w:autoSpaceDN w:val="0"/>
              <w:adjustRightInd w:val="0"/>
              <w:spacing w:before="0" w:after="0"/>
              <w:ind w:left="57" w:right="57"/>
              <w:jc w:val="right"/>
              <w:rPr>
                <w:sz w:val="20"/>
                <w:szCs w:val="20"/>
              </w:rPr>
            </w:pPr>
            <w:r w:rsidRPr="00B14FA7">
              <w:rPr>
                <w:rFonts w:cs="Arial"/>
                <w:sz w:val="20"/>
                <w:szCs w:val="20"/>
                <w:lang w:val="sr-Latn-RS"/>
              </w:rPr>
              <w:t>5</w:t>
            </w:r>
            <w:r>
              <w:rPr>
                <w:rFonts w:cs="Arial"/>
                <w:sz w:val="20"/>
                <w:szCs w:val="20"/>
                <w:lang w:val="sr-Latn-RS"/>
              </w:rPr>
              <w:t>4</w:t>
            </w:r>
            <w:r w:rsidRPr="00B14FA7">
              <w:rPr>
                <w:rFonts w:cs="Arial"/>
                <w:sz w:val="20"/>
                <w:szCs w:val="20"/>
                <w:lang w:val="sr-Latn-RS"/>
              </w:rPr>
              <w:t>.</w:t>
            </w:r>
            <w:r>
              <w:rPr>
                <w:rFonts w:cs="Arial"/>
                <w:sz w:val="20"/>
                <w:szCs w:val="20"/>
                <w:lang w:val="sr-Latn-RS"/>
              </w:rPr>
              <w:t>1</w:t>
            </w:r>
            <w:r w:rsidRPr="00B14FA7">
              <w:rPr>
                <w:rFonts w:cs="Arial"/>
                <w:sz w:val="20"/>
                <w:szCs w:val="20"/>
                <w:lang w:val="sr-Latn-RS"/>
              </w:rPr>
              <w:t>%</w:t>
            </w:r>
          </w:p>
        </w:tc>
        <w:tc>
          <w:tcPr>
            <w:tcW w:w="417" w:type="pct"/>
            <w:tcBorders>
              <w:top w:val="single" w:sz="4" w:space="0" w:color="auto"/>
            </w:tcBorders>
          </w:tcPr>
          <w:p w14:paraId="6F42A726" w14:textId="77777777" w:rsidR="006C2142" w:rsidRPr="00B14FA7" w:rsidRDefault="006C2142" w:rsidP="00CC5DAD">
            <w:pPr>
              <w:autoSpaceDE w:val="0"/>
              <w:autoSpaceDN w:val="0"/>
              <w:adjustRightInd w:val="0"/>
              <w:spacing w:before="0" w:after="0"/>
              <w:ind w:left="57" w:right="57"/>
              <w:jc w:val="right"/>
              <w:rPr>
                <w:sz w:val="20"/>
                <w:szCs w:val="20"/>
              </w:rPr>
            </w:pPr>
            <w:r>
              <w:rPr>
                <w:sz w:val="20"/>
                <w:szCs w:val="20"/>
              </w:rPr>
              <w:t>148</w:t>
            </w:r>
          </w:p>
        </w:tc>
        <w:tc>
          <w:tcPr>
            <w:tcW w:w="675" w:type="pct"/>
            <w:tcBorders>
              <w:top w:val="single" w:sz="4" w:space="0" w:color="auto"/>
            </w:tcBorders>
          </w:tcPr>
          <w:p w14:paraId="6B133DE9"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63.8%</w:t>
            </w:r>
          </w:p>
        </w:tc>
        <w:tc>
          <w:tcPr>
            <w:tcW w:w="463" w:type="pct"/>
            <w:tcBorders>
              <w:top w:val="single" w:sz="4" w:space="0" w:color="auto"/>
            </w:tcBorders>
            <w:shd w:val="clear" w:color="auto" w:fill="auto"/>
          </w:tcPr>
          <w:p w14:paraId="5C3AFD11"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73</w:t>
            </w:r>
          </w:p>
        </w:tc>
        <w:tc>
          <w:tcPr>
            <w:tcW w:w="626" w:type="pct"/>
            <w:tcBorders>
              <w:top w:val="single" w:sz="4" w:space="0" w:color="auto"/>
              <w:right w:val="nil"/>
            </w:tcBorders>
            <w:shd w:val="clear" w:color="auto" w:fill="auto"/>
          </w:tcPr>
          <w:p w14:paraId="5E0B64E4"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26.4%</w:t>
            </w:r>
          </w:p>
        </w:tc>
      </w:tr>
      <w:tr w:rsidR="006C2142" w:rsidRPr="00B14FA7" w14:paraId="79E15299" w14:textId="77777777" w:rsidTr="00CC5DAD">
        <w:trPr>
          <w:cantSplit/>
        </w:trPr>
        <w:tc>
          <w:tcPr>
            <w:tcW w:w="853" w:type="pct"/>
            <w:vMerge/>
            <w:tcBorders>
              <w:left w:val="nil"/>
            </w:tcBorders>
            <w:shd w:val="clear" w:color="auto" w:fill="auto"/>
          </w:tcPr>
          <w:p w14:paraId="56585316" w14:textId="77777777" w:rsidR="006C2142" w:rsidRPr="00B14FA7" w:rsidRDefault="006C2142" w:rsidP="00CC5DAD">
            <w:pPr>
              <w:autoSpaceDE w:val="0"/>
              <w:autoSpaceDN w:val="0"/>
              <w:adjustRightInd w:val="0"/>
              <w:spacing w:before="0" w:after="0"/>
              <w:ind w:left="57" w:right="57"/>
              <w:jc w:val="left"/>
              <w:rPr>
                <w:rFonts w:cs="Arial"/>
                <w:sz w:val="20"/>
                <w:szCs w:val="20"/>
                <w:lang w:val="sr-Latn-RS"/>
              </w:rPr>
            </w:pPr>
          </w:p>
        </w:tc>
        <w:tc>
          <w:tcPr>
            <w:tcW w:w="858" w:type="pct"/>
            <w:shd w:val="clear" w:color="auto" w:fill="auto"/>
          </w:tcPr>
          <w:p w14:paraId="157861F7" w14:textId="77777777" w:rsidR="006C2142" w:rsidRPr="00B14FA7" w:rsidRDefault="006C2142" w:rsidP="00CC5DAD">
            <w:pPr>
              <w:autoSpaceDE w:val="0"/>
              <w:autoSpaceDN w:val="0"/>
              <w:adjustRightInd w:val="0"/>
              <w:spacing w:before="0" w:after="0"/>
              <w:ind w:left="57" w:right="57"/>
              <w:jc w:val="left"/>
              <w:rPr>
                <w:rFonts w:cs="Arial"/>
                <w:sz w:val="20"/>
                <w:szCs w:val="20"/>
                <w:lang w:val="sr-Latn-RS"/>
              </w:rPr>
            </w:pPr>
            <w:r w:rsidRPr="00B14FA7">
              <w:rPr>
                <w:sz w:val="20"/>
                <w:szCs w:val="20"/>
              </w:rPr>
              <w:t>Quasi-fault</w:t>
            </w:r>
          </w:p>
        </w:tc>
        <w:tc>
          <w:tcPr>
            <w:tcW w:w="482" w:type="pct"/>
          </w:tcPr>
          <w:p w14:paraId="4652F495" w14:textId="77777777" w:rsidR="006C2142" w:rsidRPr="00B14FA7" w:rsidRDefault="006C2142" w:rsidP="00CC5DAD">
            <w:pPr>
              <w:autoSpaceDE w:val="0"/>
              <w:autoSpaceDN w:val="0"/>
              <w:adjustRightInd w:val="0"/>
              <w:spacing w:before="0" w:after="0"/>
              <w:ind w:left="57" w:right="57"/>
              <w:jc w:val="right"/>
              <w:rPr>
                <w:sz w:val="20"/>
                <w:szCs w:val="20"/>
              </w:rPr>
            </w:pPr>
            <w:r>
              <w:rPr>
                <w:rFonts w:cs="Arial"/>
                <w:sz w:val="20"/>
                <w:szCs w:val="20"/>
                <w:lang w:val="sr-Latn-RS"/>
              </w:rPr>
              <w:t>135</w:t>
            </w:r>
          </w:p>
        </w:tc>
        <w:tc>
          <w:tcPr>
            <w:tcW w:w="626" w:type="pct"/>
          </w:tcPr>
          <w:p w14:paraId="777DC647" w14:textId="77777777" w:rsidR="006C2142" w:rsidRPr="00B14FA7" w:rsidRDefault="006C2142" w:rsidP="00CC5DAD">
            <w:pPr>
              <w:autoSpaceDE w:val="0"/>
              <w:autoSpaceDN w:val="0"/>
              <w:adjustRightInd w:val="0"/>
              <w:spacing w:before="0" w:after="0"/>
              <w:ind w:left="57" w:right="57"/>
              <w:jc w:val="right"/>
              <w:rPr>
                <w:sz w:val="20"/>
                <w:szCs w:val="20"/>
              </w:rPr>
            </w:pPr>
            <w:r w:rsidRPr="00B14FA7">
              <w:rPr>
                <w:rFonts w:cs="Arial"/>
                <w:sz w:val="20"/>
                <w:szCs w:val="20"/>
                <w:lang w:val="sr-Latn-RS"/>
              </w:rPr>
              <w:t>4</w:t>
            </w:r>
            <w:r>
              <w:rPr>
                <w:rFonts w:cs="Arial"/>
                <w:sz w:val="20"/>
                <w:szCs w:val="20"/>
                <w:lang w:val="sr-Latn-RS"/>
              </w:rPr>
              <w:t>5</w:t>
            </w:r>
            <w:r w:rsidRPr="00B14FA7">
              <w:rPr>
                <w:rFonts w:cs="Arial"/>
                <w:sz w:val="20"/>
                <w:szCs w:val="20"/>
                <w:lang w:val="sr-Latn-RS"/>
              </w:rPr>
              <w:t>.</w:t>
            </w:r>
            <w:r>
              <w:rPr>
                <w:rFonts w:cs="Arial"/>
                <w:sz w:val="20"/>
                <w:szCs w:val="20"/>
                <w:lang w:val="sr-Latn-RS"/>
              </w:rPr>
              <w:t>9</w:t>
            </w:r>
            <w:r w:rsidRPr="00B14FA7">
              <w:rPr>
                <w:rFonts w:cs="Arial"/>
                <w:sz w:val="20"/>
                <w:szCs w:val="20"/>
                <w:lang w:val="sr-Latn-RS"/>
              </w:rPr>
              <w:t>%</w:t>
            </w:r>
          </w:p>
        </w:tc>
        <w:tc>
          <w:tcPr>
            <w:tcW w:w="417" w:type="pct"/>
          </w:tcPr>
          <w:p w14:paraId="2F2C7CF1" w14:textId="77777777" w:rsidR="006C2142" w:rsidRPr="00B14FA7" w:rsidRDefault="006C2142" w:rsidP="00CC5DAD">
            <w:pPr>
              <w:autoSpaceDE w:val="0"/>
              <w:autoSpaceDN w:val="0"/>
              <w:adjustRightInd w:val="0"/>
              <w:spacing w:before="0" w:after="0"/>
              <w:ind w:left="57" w:right="57"/>
              <w:jc w:val="right"/>
              <w:rPr>
                <w:sz w:val="20"/>
                <w:szCs w:val="20"/>
              </w:rPr>
            </w:pPr>
            <w:r>
              <w:rPr>
                <w:sz w:val="20"/>
                <w:szCs w:val="20"/>
              </w:rPr>
              <w:t>84</w:t>
            </w:r>
          </w:p>
        </w:tc>
        <w:tc>
          <w:tcPr>
            <w:tcW w:w="675" w:type="pct"/>
          </w:tcPr>
          <w:p w14:paraId="58C1F9CC"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36.2%</w:t>
            </w:r>
          </w:p>
        </w:tc>
        <w:tc>
          <w:tcPr>
            <w:tcW w:w="463" w:type="pct"/>
            <w:shd w:val="clear" w:color="auto" w:fill="auto"/>
          </w:tcPr>
          <w:p w14:paraId="2498F58E"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203</w:t>
            </w:r>
          </w:p>
        </w:tc>
        <w:tc>
          <w:tcPr>
            <w:tcW w:w="626" w:type="pct"/>
            <w:tcBorders>
              <w:right w:val="nil"/>
            </w:tcBorders>
            <w:shd w:val="clear" w:color="auto" w:fill="auto"/>
          </w:tcPr>
          <w:p w14:paraId="1B111863"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73.6%</w:t>
            </w:r>
          </w:p>
        </w:tc>
      </w:tr>
      <w:tr w:rsidR="006C2142" w:rsidRPr="00B14FA7" w14:paraId="4DE7C299" w14:textId="77777777" w:rsidTr="00CC5DAD">
        <w:trPr>
          <w:cantSplit/>
        </w:trPr>
        <w:tc>
          <w:tcPr>
            <w:tcW w:w="1711" w:type="pct"/>
            <w:gridSpan w:val="2"/>
            <w:tcBorders>
              <w:left w:val="nil"/>
            </w:tcBorders>
            <w:shd w:val="clear" w:color="auto" w:fill="auto"/>
          </w:tcPr>
          <w:p w14:paraId="542AA01B" w14:textId="77777777" w:rsidR="006C2142" w:rsidRPr="00B14FA7" w:rsidRDefault="006C2142" w:rsidP="00CC5DAD">
            <w:pPr>
              <w:autoSpaceDE w:val="0"/>
              <w:autoSpaceDN w:val="0"/>
              <w:adjustRightInd w:val="0"/>
              <w:spacing w:before="0" w:after="0"/>
              <w:ind w:left="57" w:right="57"/>
              <w:jc w:val="left"/>
              <w:rPr>
                <w:rFonts w:cs="Arial"/>
                <w:sz w:val="20"/>
                <w:szCs w:val="20"/>
                <w:lang w:val="sr-Latn-RS"/>
              </w:rPr>
            </w:pPr>
            <w:r w:rsidRPr="00B14FA7">
              <w:rPr>
                <w:rFonts w:cs="Arial"/>
                <w:sz w:val="20"/>
                <w:szCs w:val="20"/>
                <w:lang w:val="sr-Latn-RS"/>
              </w:rPr>
              <w:t>Valid</w:t>
            </w:r>
          </w:p>
        </w:tc>
        <w:tc>
          <w:tcPr>
            <w:tcW w:w="482" w:type="pct"/>
          </w:tcPr>
          <w:p w14:paraId="024D14A3" w14:textId="77777777" w:rsidR="006C2142" w:rsidRPr="00B14FA7" w:rsidRDefault="006C2142" w:rsidP="00CC5DAD">
            <w:pPr>
              <w:autoSpaceDE w:val="0"/>
              <w:autoSpaceDN w:val="0"/>
              <w:adjustRightInd w:val="0"/>
              <w:spacing w:before="0" w:after="0"/>
              <w:ind w:left="57" w:right="57"/>
              <w:jc w:val="right"/>
              <w:rPr>
                <w:sz w:val="20"/>
                <w:szCs w:val="20"/>
              </w:rPr>
            </w:pPr>
            <w:r>
              <w:rPr>
                <w:sz w:val="20"/>
                <w:szCs w:val="20"/>
              </w:rPr>
              <w:t>294</w:t>
            </w:r>
          </w:p>
        </w:tc>
        <w:tc>
          <w:tcPr>
            <w:tcW w:w="626" w:type="pct"/>
          </w:tcPr>
          <w:p w14:paraId="621D691C" w14:textId="77777777" w:rsidR="006C2142" w:rsidRPr="00B14FA7" w:rsidRDefault="006C2142" w:rsidP="00CC5DAD">
            <w:pPr>
              <w:autoSpaceDE w:val="0"/>
              <w:autoSpaceDN w:val="0"/>
              <w:adjustRightInd w:val="0"/>
              <w:spacing w:before="0" w:after="0"/>
              <w:ind w:left="57" w:right="57"/>
              <w:jc w:val="right"/>
              <w:rPr>
                <w:sz w:val="20"/>
                <w:szCs w:val="20"/>
              </w:rPr>
            </w:pPr>
            <w:r w:rsidRPr="00B14FA7">
              <w:rPr>
                <w:rFonts w:cs="Arial"/>
                <w:sz w:val="20"/>
                <w:szCs w:val="20"/>
                <w:lang w:val="sr-Latn-RS"/>
              </w:rPr>
              <w:t>100.0%</w:t>
            </w:r>
          </w:p>
        </w:tc>
        <w:tc>
          <w:tcPr>
            <w:tcW w:w="417" w:type="pct"/>
          </w:tcPr>
          <w:p w14:paraId="1D564459"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232</w:t>
            </w:r>
          </w:p>
        </w:tc>
        <w:tc>
          <w:tcPr>
            <w:tcW w:w="675" w:type="pct"/>
          </w:tcPr>
          <w:p w14:paraId="1188C767"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100.0%</w:t>
            </w:r>
          </w:p>
        </w:tc>
        <w:tc>
          <w:tcPr>
            <w:tcW w:w="463" w:type="pct"/>
            <w:shd w:val="clear" w:color="auto" w:fill="auto"/>
          </w:tcPr>
          <w:p w14:paraId="47566F51"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276</w:t>
            </w:r>
          </w:p>
        </w:tc>
        <w:tc>
          <w:tcPr>
            <w:tcW w:w="626" w:type="pct"/>
            <w:tcBorders>
              <w:right w:val="nil"/>
            </w:tcBorders>
            <w:shd w:val="clear" w:color="auto" w:fill="auto"/>
          </w:tcPr>
          <w:p w14:paraId="59F95968"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100.0%</w:t>
            </w:r>
          </w:p>
        </w:tc>
      </w:tr>
      <w:tr w:rsidR="006C2142" w:rsidRPr="00B14FA7" w14:paraId="052E57F5" w14:textId="77777777" w:rsidTr="00CC5DAD">
        <w:trPr>
          <w:cantSplit/>
        </w:trPr>
        <w:tc>
          <w:tcPr>
            <w:tcW w:w="1711" w:type="pct"/>
            <w:gridSpan w:val="2"/>
            <w:tcBorders>
              <w:left w:val="nil"/>
            </w:tcBorders>
            <w:shd w:val="clear" w:color="auto" w:fill="auto"/>
          </w:tcPr>
          <w:p w14:paraId="4F213CED" w14:textId="77777777" w:rsidR="006C2142" w:rsidRPr="00B14FA7" w:rsidRDefault="006C2142" w:rsidP="00CC5DAD">
            <w:pPr>
              <w:autoSpaceDE w:val="0"/>
              <w:autoSpaceDN w:val="0"/>
              <w:adjustRightInd w:val="0"/>
              <w:spacing w:before="0" w:after="0"/>
              <w:ind w:left="57" w:right="57"/>
              <w:jc w:val="left"/>
              <w:rPr>
                <w:rFonts w:cs="Arial"/>
                <w:sz w:val="20"/>
                <w:szCs w:val="20"/>
                <w:lang w:val="sr-Latn-RS"/>
              </w:rPr>
            </w:pPr>
            <w:r w:rsidRPr="00B14FA7">
              <w:rPr>
                <w:rFonts w:cs="Arial"/>
                <w:sz w:val="20"/>
                <w:szCs w:val="20"/>
                <w:lang w:val="sr-Latn-RS"/>
              </w:rPr>
              <w:t>Excluded</w:t>
            </w:r>
          </w:p>
        </w:tc>
        <w:tc>
          <w:tcPr>
            <w:tcW w:w="482" w:type="pct"/>
          </w:tcPr>
          <w:p w14:paraId="492B25AA" w14:textId="77777777" w:rsidR="006C2142" w:rsidRPr="00B14FA7" w:rsidRDefault="006C2142" w:rsidP="00CC5DAD">
            <w:pPr>
              <w:autoSpaceDE w:val="0"/>
              <w:autoSpaceDN w:val="0"/>
              <w:adjustRightInd w:val="0"/>
              <w:spacing w:before="0" w:after="0"/>
              <w:ind w:left="57" w:right="57"/>
              <w:jc w:val="right"/>
              <w:rPr>
                <w:sz w:val="20"/>
                <w:szCs w:val="20"/>
              </w:rPr>
            </w:pPr>
            <w:r w:rsidRPr="00B14FA7">
              <w:rPr>
                <w:sz w:val="20"/>
                <w:szCs w:val="20"/>
              </w:rPr>
              <w:t>0</w:t>
            </w:r>
          </w:p>
        </w:tc>
        <w:tc>
          <w:tcPr>
            <w:tcW w:w="626" w:type="pct"/>
            <w:vAlign w:val="center"/>
          </w:tcPr>
          <w:p w14:paraId="1750D53C" w14:textId="77777777" w:rsidR="006C2142" w:rsidRPr="00B14FA7" w:rsidRDefault="006C2142" w:rsidP="00CC5DAD">
            <w:pPr>
              <w:autoSpaceDE w:val="0"/>
              <w:autoSpaceDN w:val="0"/>
              <w:adjustRightInd w:val="0"/>
              <w:spacing w:before="0" w:after="0"/>
              <w:ind w:left="57" w:right="57"/>
              <w:jc w:val="right"/>
              <w:rPr>
                <w:sz w:val="20"/>
                <w:szCs w:val="20"/>
              </w:rPr>
            </w:pPr>
            <w:r w:rsidRPr="00B14FA7">
              <w:rPr>
                <w:rFonts w:cs="Times New Roman"/>
                <w:sz w:val="20"/>
                <w:szCs w:val="20"/>
                <w:lang w:val="sr-Latn-RS"/>
              </w:rPr>
              <w:t>0%</w:t>
            </w:r>
          </w:p>
        </w:tc>
        <w:tc>
          <w:tcPr>
            <w:tcW w:w="417" w:type="pct"/>
          </w:tcPr>
          <w:p w14:paraId="1311168C"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p>
        </w:tc>
        <w:tc>
          <w:tcPr>
            <w:tcW w:w="675" w:type="pct"/>
          </w:tcPr>
          <w:p w14:paraId="119AB1BC"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p>
        </w:tc>
        <w:tc>
          <w:tcPr>
            <w:tcW w:w="463" w:type="pct"/>
            <w:shd w:val="clear" w:color="auto" w:fill="auto"/>
          </w:tcPr>
          <w:p w14:paraId="76A12799"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p>
        </w:tc>
        <w:tc>
          <w:tcPr>
            <w:tcW w:w="626" w:type="pct"/>
            <w:tcBorders>
              <w:right w:val="nil"/>
            </w:tcBorders>
            <w:shd w:val="clear" w:color="auto" w:fill="auto"/>
            <w:vAlign w:val="center"/>
          </w:tcPr>
          <w:p w14:paraId="1F792287" w14:textId="77777777" w:rsidR="006C2142" w:rsidRPr="00B14FA7" w:rsidRDefault="006C2142" w:rsidP="00CC5DAD">
            <w:pPr>
              <w:autoSpaceDE w:val="0"/>
              <w:autoSpaceDN w:val="0"/>
              <w:adjustRightInd w:val="0"/>
              <w:spacing w:before="0" w:after="0"/>
              <w:ind w:left="57" w:right="57"/>
              <w:jc w:val="right"/>
              <w:rPr>
                <w:rFonts w:cs="Times New Roman"/>
                <w:sz w:val="20"/>
                <w:szCs w:val="20"/>
                <w:lang w:val="sr-Latn-RS"/>
              </w:rPr>
            </w:pPr>
            <w:r>
              <w:rPr>
                <w:rFonts w:cs="Times New Roman"/>
                <w:sz w:val="20"/>
                <w:szCs w:val="20"/>
                <w:lang w:val="sr-Latn-RS"/>
              </w:rPr>
              <w:t>0%</w:t>
            </w:r>
          </w:p>
        </w:tc>
      </w:tr>
      <w:tr w:rsidR="006C2142" w:rsidRPr="00B14FA7" w14:paraId="2957625E" w14:textId="77777777" w:rsidTr="00CC5DAD">
        <w:trPr>
          <w:cantSplit/>
        </w:trPr>
        <w:tc>
          <w:tcPr>
            <w:tcW w:w="1711" w:type="pct"/>
            <w:gridSpan w:val="2"/>
            <w:tcBorders>
              <w:left w:val="nil"/>
              <w:bottom w:val="single" w:sz="4" w:space="0" w:color="auto"/>
            </w:tcBorders>
            <w:shd w:val="clear" w:color="auto" w:fill="auto"/>
          </w:tcPr>
          <w:p w14:paraId="5DF10D58" w14:textId="77777777" w:rsidR="006C2142" w:rsidRPr="00B14FA7" w:rsidRDefault="006C2142" w:rsidP="00CC5DAD">
            <w:pPr>
              <w:autoSpaceDE w:val="0"/>
              <w:autoSpaceDN w:val="0"/>
              <w:adjustRightInd w:val="0"/>
              <w:spacing w:before="0" w:after="0"/>
              <w:ind w:left="57" w:right="57"/>
              <w:jc w:val="left"/>
              <w:rPr>
                <w:rFonts w:cs="Arial"/>
                <w:sz w:val="20"/>
                <w:szCs w:val="20"/>
                <w:lang w:val="sr-Latn-RS"/>
              </w:rPr>
            </w:pPr>
            <w:r w:rsidRPr="00B14FA7">
              <w:rPr>
                <w:rFonts w:cs="Arial"/>
                <w:sz w:val="20"/>
                <w:szCs w:val="20"/>
                <w:lang w:val="sr-Latn-RS"/>
              </w:rPr>
              <w:t>Total</w:t>
            </w:r>
          </w:p>
        </w:tc>
        <w:tc>
          <w:tcPr>
            <w:tcW w:w="482" w:type="pct"/>
            <w:tcBorders>
              <w:bottom w:val="single" w:sz="4" w:space="0" w:color="auto"/>
            </w:tcBorders>
          </w:tcPr>
          <w:p w14:paraId="0399E3C8" w14:textId="77777777" w:rsidR="006C2142" w:rsidRPr="00B14FA7" w:rsidRDefault="006C2142" w:rsidP="00CC5DAD">
            <w:pPr>
              <w:autoSpaceDE w:val="0"/>
              <w:autoSpaceDN w:val="0"/>
              <w:adjustRightInd w:val="0"/>
              <w:spacing w:before="0" w:after="0"/>
              <w:ind w:left="57" w:right="57"/>
              <w:jc w:val="right"/>
              <w:rPr>
                <w:sz w:val="20"/>
                <w:szCs w:val="20"/>
              </w:rPr>
            </w:pPr>
            <w:r>
              <w:rPr>
                <w:sz w:val="20"/>
                <w:szCs w:val="20"/>
              </w:rPr>
              <w:t>294</w:t>
            </w:r>
          </w:p>
        </w:tc>
        <w:tc>
          <w:tcPr>
            <w:tcW w:w="626" w:type="pct"/>
            <w:tcBorders>
              <w:bottom w:val="single" w:sz="4" w:space="0" w:color="auto"/>
            </w:tcBorders>
            <w:vAlign w:val="center"/>
          </w:tcPr>
          <w:p w14:paraId="41C417F8" w14:textId="77777777" w:rsidR="006C2142" w:rsidRPr="00B14FA7" w:rsidRDefault="006C2142" w:rsidP="00CC5DAD">
            <w:pPr>
              <w:autoSpaceDE w:val="0"/>
              <w:autoSpaceDN w:val="0"/>
              <w:adjustRightInd w:val="0"/>
              <w:spacing w:before="0" w:after="0"/>
              <w:ind w:left="57" w:right="57"/>
              <w:jc w:val="right"/>
              <w:rPr>
                <w:sz w:val="20"/>
                <w:szCs w:val="20"/>
              </w:rPr>
            </w:pPr>
            <w:r w:rsidRPr="00B14FA7">
              <w:rPr>
                <w:rFonts w:cs="Arial"/>
                <w:sz w:val="20"/>
                <w:szCs w:val="20"/>
                <w:lang w:val="sr-Latn-RS"/>
              </w:rPr>
              <w:t>100.0%</w:t>
            </w:r>
          </w:p>
        </w:tc>
        <w:tc>
          <w:tcPr>
            <w:tcW w:w="417" w:type="pct"/>
            <w:tcBorders>
              <w:bottom w:val="single" w:sz="4" w:space="0" w:color="auto"/>
            </w:tcBorders>
          </w:tcPr>
          <w:p w14:paraId="1AD8544C"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232</w:t>
            </w:r>
          </w:p>
        </w:tc>
        <w:tc>
          <w:tcPr>
            <w:tcW w:w="675" w:type="pct"/>
            <w:tcBorders>
              <w:bottom w:val="single" w:sz="4" w:space="0" w:color="auto"/>
            </w:tcBorders>
          </w:tcPr>
          <w:p w14:paraId="78269ADB"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100.0%</w:t>
            </w:r>
          </w:p>
        </w:tc>
        <w:tc>
          <w:tcPr>
            <w:tcW w:w="463" w:type="pct"/>
            <w:tcBorders>
              <w:bottom w:val="single" w:sz="4" w:space="0" w:color="auto"/>
            </w:tcBorders>
            <w:shd w:val="clear" w:color="auto" w:fill="auto"/>
          </w:tcPr>
          <w:p w14:paraId="7C0FCD0C" w14:textId="77777777" w:rsidR="006C2142" w:rsidRPr="00B14FA7" w:rsidRDefault="006C2142" w:rsidP="00CC5DAD">
            <w:pPr>
              <w:autoSpaceDE w:val="0"/>
              <w:autoSpaceDN w:val="0"/>
              <w:adjustRightInd w:val="0"/>
              <w:spacing w:before="0" w:after="0"/>
              <w:ind w:left="57" w:right="57"/>
              <w:jc w:val="right"/>
              <w:rPr>
                <w:rFonts w:cs="Arial"/>
                <w:sz w:val="20"/>
                <w:szCs w:val="20"/>
                <w:lang w:val="sr-Latn-RS"/>
              </w:rPr>
            </w:pPr>
            <w:r>
              <w:rPr>
                <w:rFonts w:cs="Arial"/>
                <w:sz w:val="20"/>
                <w:szCs w:val="20"/>
                <w:lang w:val="sr-Latn-RS"/>
              </w:rPr>
              <w:t>276</w:t>
            </w:r>
          </w:p>
        </w:tc>
        <w:tc>
          <w:tcPr>
            <w:tcW w:w="626" w:type="pct"/>
            <w:tcBorders>
              <w:bottom w:val="single" w:sz="4" w:space="0" w:color="auto"/>
              <w:right w:val="nil"/>
            </w:tcBorders>
            <w:shd w:val="clear" w:color="auto" w:fill="auto"/>
            <w:vAlign w:val="center"/>
          </w:tcPr>
          <w:p w14:paraId="053A518E" w14:textId="77777777" w:rsidR="006C2142" w:rsidRPr="00B14FA7" w:rsidRDefault="006C2142" w:rsidP="00CC5DAD">
            <w:pPr>
              <w:autoSpaceDE w:val="0"/>
              <w:autoSpaceDN w:val="0"/>
              <w:adjustRightInd w:val="0"/>
              <w:spacing w:before="0" w:after="0"/>
              <w:ind w:left="57" w:right="57"/>
              <w:jc w:val="right"/>
              <w:rPr>
                <w:rFonts w:cs="Times New Roman"/>
                <w:sz w:val="20"/>
                <w:szCs w:val="20"/>
                <w:lang w:val="sr-Latn-RS"/>
              </w:rPr>
            </w:pPr>
            <w:r>
              <w:rPr>
                <w:rFonts w:cs="Times New Roman"/>
                <w:sz w:val="20"/>
                <w:szCs w:val="20"/>
                <w:lang w:val="sr-Latn-RS"/>
              </w:rPr>
              <w:t>100.0%</w:t>
            </w:r>
          </w:p>
        </w:tc>
      </w:tr>
    </w:tbl>
    <w:p w14:paraId="0A51A1C0" w14:textId="0530C714" w:rsidR="006C2142" w:rsidRDefault="006C2142" w:rsidP="006C2142">
      <w:pPr>
        <w:rPr>
          <w:lang w:val="en-GB"/>
        </w:rPr>
      </w:pPr>
      <w:r>
        <w:rPr>
          <w:lang w:val="en-GB"/>
        </w:rPr>
        <w:t xml:space="preserve">Looking at </w:t>
      </w:r>
      <w:r>
        <w:rPr>
          <w:lang w:val="en-GB"/>
        </w:rPr>
        <w:fldChar w:fldCharType="begin"/>
      </w:r>
      <w:r>
        <w:rPr>
          <w:lang w:val="en-GB"/>
        </w:rPr>
        <w:instrText xml:space="preserve"> REF _Ref99008298 \h </w:instrText>
      </w:r>
      <w:r>
        <w:rPr>
          <w:lang w:val="en-GB"/>
        </w:rPr>
      </w:r>
      <w:r>
        <w:rPr>
          <w:lang w:val="en-GB"/>
        </w:rPr>
        <w:fldChar w:fldCharType="separate"/>
      </w:r>
      <w:r w:rsidR="00587AF0">
        <w:t xml:space="preserve">Figure </w:t>
      </w:r>
      <w:r w:rsidR="00587AF0">
        <w:rPr>
          <w:noProof/>
        </w:rPr>
        <w:t>100</w:t>
      </w:r>
      <w:r>
        <w:rPr>
          <w:lang w:val="en-GB"/>
        </w:rPr>
        <w:fldChar w:fldCharType="end"/>
      </w:r>
      <w:r>
        <w:rPr>
          <w:lang w:val="en-GB"/>
        </w:rPr>
        <w:t xml:space="preserve"> and neglecting the presu</w:t>
      </w:r>
      <w:r w:rsidR="00D6470B">
        <w:rPr>
          <w:lang w:val="en-GB"/>
        </w:rPr>
        <w:t>p</w:t>
      </w:r>
      <w:r>
        <w:rPr>
          <w:lang w:val="en-GB"/>
        </w:rPr>
        <w:t xml:space="preserve">position that there are </w:t>
      </w:r>
      <w:r w:rsidR="00D6470B">
        <w:rPr>
          <w:lang w:val="en-GB"/>
        </w:rPr>
        <w:t xml:space="preserve">a </w:t>
      </w:r>
      <w:r>
        <w:rPr>
          <w:lang w:val="en-GB"/>
        </w:rPr>
        <w:t xml:space="preserve">non-significant proportion of “None” cases </w:t>
      </w:r>
      <w:r w:rsidR="00550CFE">
        <w:rPr>
          <w:lang w:val="en-GB"/>
        </w:rPr>
        <w:t>concerning</w:t>
      </w:r>
      <w:r>
        <w:rPr>
          <w:lang w:val="en-GB"/>
        </w:rPr>
        <w:t xml:space="preserve"> “Quasi-failure” states (4% difference)</w:t>
      </w:r>
      <w:r w:rsidR="00D6470B">
        <w:rPr>
          <w:lang w:val="en-GB"/>
        </w:rPr>
        <w:t>,</w:t>
      </w:r>
      <w:r>
        <w:rPr>
          <w:lang w:val="en-GB"/>
        </w:rPr>
        <w:t xml:space="preserve"> the other thing is that we suspect not just from the previous data (e.g., Neural Network) that N_StDev_OS should be one of the most important indicators, aside from N_Median_OS, and N_Max_OS.</w:t>
      </w:r>
    </w:p>
    <w:p w14:paraId="78B6F480" w14:textId="77777777" w:rsidR="006C2142" w:rsidRPr="00F416BC" w:rsidRDefault="006C2142" w:rsidP="006C2142">
      <w:pPr>
        <w:jc w:val="center"/>
        <w:rPr>
          <w:lang w:val="en-GB"/>
        </w:rPr>
      </w:pPr>
      <w:r w:rsidRPr="00145B0D">
        <w:rPr>
          <w:noProof/>
          <w:lang w:val="en-GB"/>
        </w:rPr>
        <w:lastRenderedPageBreak/>
        <w:drawing>
          <wp:inline distT="0" distB="0" distL="0" distR="0" wp14:anchorId="26A3A127" wp14:editId="44C6E029">
            <wp:extent cx="5486400" cy="3228975"/>
            <wp:effectExtent l="0" t="0" r="0" b="952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36">
                      <a:extLst>
                        <a:ext uri="{28A0092B-C50C-407E-A947-70E740481C1C}">
                          <a14:useLocalDpi xmlns:a14="http://schemas.microsoft.com/office/drawing/2010/main" val="0"/>
                        </a:ext>
                      </a:extLst>
                    </a:blip>
                    <a:srcRect t="5469" b="6249"/>
                    <a:stretch/>
                  </pic:blipFill>
                  <pic:spPr bwMode="auto">
                    <a:xfrm>
                      <a:off x="0" y="0"/>
                      <a:ext cx="5486400" cy="3228975"/>
                    </a:xfrm>
                    <a:prstGeom prst="rect">
                      <a:avLst/>
                    </a:prstGeom>
                    <a:noFill/>
                    <a:ln>
                      <a:noFill/>
                    </a:ln>
                    <a:extLst>
                      <a:ext uri="{53640926-AAD7-44D8-BBD7-CCE9431645EC}">
                        <a14:shadowObscured xmlns:a14="http://schemas.microsoft.com/office/drawing/2010/main"/>
                      </a:ext>
                    </a:extLst>
                  </pic:spPr>
                </pic:pic>
              </a:graphicData>
            </a:graphic>
          </wp:inline>
        </w:drawing>
      </w:r>
    </w:p>
    <w:p w14:paraId="1DCEC3B8" w14:textId="66D6303B" w:rsidR="006C2142" w:rsidRDefault="006C2142" w:rsidP="006C2142">
      <w:pPr>
        <w:pStyle w:val="Caption"/>
      </w:pPr>
      <w:bookmarkStart w:id="567" w:name="_Ref99008298"/>
      <w:bookmarkStart w:id="568" w:name="_Toc101274622"/>
      <w:r>
        <w:t xml:space="preserve">Figure </w:t>
      </w:r>
      <w:fldSimple w:instr=" SEQ Figure \* ARABIC ">
        <w:r w:rsidR="00587AF0">
          <w:rPr>
            <w:noProof/>
          </w:rPr>
          <w:t>100</w:t>
        </w:r>
      </w:fldSimple>
      <w:bookmarkEnd w:id="567"/>
      <w:r>
        <w:t>. Histograms of training data predictors at opening saddle regime</w:t>
      </w:r>
      <w:bookmarkEnd w:id="568"/>
    </w:p>
    <w:p w14:paraId="20372F01" w14:textId="756A7E7B" w:rsidR="006C2142" w:rsidRDefault="006C2142" w:rsidP="006C2142">
      <w:r>
        <w:t xml:space="preserve">The testing data also shows that </w:t>
      </w:r>
      <w:r w:rsidR="00550CFE">
        <w:t xml:space="preserve">the </w:t>
      </w:r>
      <w:r>
        <w:t xml:space="preserve">best separation can be achieved by looking at the N_StDev_OS, N_Median_OS and N_Max_OS. Checking the assumption will be done through </w:t>
      </w:r>
      <w:r w:rsidR="00D6470B">
        <w:t xml:space="preserve">the </w:t>
      </w:r>
      <w:r>
        <w:t>mathematical formulation of GNB. Firstly, we need to establish prior or conditional probabilities</w:t>
      </w:r>
      <w:r w:rsidR="00550CFE">
        <w:t>, and t</w:t>
      </w:r>
      <w:r>
        <w:t xml:space="preserve">hese probabilities are calculated from the sample or training dataset. Secondly, we need prior probabilities of Gaussian distribution of the sample dataset of each feature – mean and standard deviation. The calculations and </w:t>
      </w:r>
      <w:r w:rsidR="00550CFE">
        <w:t>the parameters for calculating probabilities and likelihoods of the</w:t>
      </w:r>
      <w:r>
        <w:t xml:space="preserve"> testing sample are given in </w:t>
      </w:r>
      <w:r>
        <w:fldChar w:fldCharType="begin"/>
      </w:r>
      <w:r>
        <w:instrText xml:space="preserve"> REF _Ref99019288 \h </w:instrText>
      </w:r>
      <w:r>
        <w:fldChar w:fldCharType="separate"/>
      </w:r>
      <w:r w:rsidR="00587AF0">
        <w:t xml:space="preserve">Table </w:t>
      </w:r>
      <w:r w:rsidR="00587AF0">
        <w:rPr>
          <w:noProof/>
        </w:rPr>
        <w:t>29</w:t>
      </w:r>
      <w:r>
        <w:fldChar w:fldCharType="end"/>
      </w:r>
      <w:r>
        <w:t xml:space="preserve">. The GNB takes the prior probabilities and likelihoods based on the </w:t>
      </w:r>
      <w:r w:rsidR="00550CFE">
        <w:t>training set's defined mean and standard deviation parameters</w:t>
      </w:r>
      <w:r>
        <w:t>. After collecting data from prior probabilities of None and Quasi-fault states of 52% and 48%</w:t>
      </w:r>
      <w:r w:rsidR="00550CFE">
        <w:t>,</w:t>
      </w:r>
      <w:r>
        <w:t xml:space="preserve"> respectively, and parameters of Gaussian distribution (μ, σ</w:t>
      </w:r>
      <w:r>
        <w:rPr>
          <w:vertAlign w:val="superscript"/>
        </w:rPr>
        <w:t>2</w:t>
      </w:r>
      <w:r>
        <w:t>)</w:t>
      </w:r>
      <w:r w:rsidR="00550CFE">
        <w:t>,</w:t>
      </w:r>
      <w:r>
        <w:t xml:space="preserve"> we can calculate the likelihoods of the </w:t>
      </w:r>
      <w:r w:rsidR="00550CFE">
        <w:t>measured parameter</w:t>
      </w:r>
      <w:r>
        <w:t xml:space="preserve"> </w:t>
      </w:r>
      <w:r w:rsidR="00550CFE">
        <w:t xml:space="preserve">to </w:t>
      </w:r>
      <w:r>
        <w:t xml:space="preserve">the corresponding probabilities and assign </w:t>
      </w:r>
      <w:r w:rsidR="00550CFE">
        <w:t xml:space="preserve">the </w:t>
      </w:r>
      <w:r>
        <w:t>class of the testing sample points.</w:t>
      </w:r>
    </w:p>
    <w:p w14:paraId="001305F2" w14:textId="0E1877CC" w:rsidR="006C2142" w:rsidRDefault="006C2142" w:rsidP="006C2142">
      <w:pPr>
        <w:pStyle w:val="Caption"/>
        <w:jc w:val="both"/>
      </w:pPr>
      <w:bookmarkStart w:id="569" w:name="_Ref99019288"/>
      <w:bookmarkStart w:id="570" w:name="_Toc101274469"/>
      <w:r>
        <w:t xml:space="preserve">Table </w:t>
      </w:r>
      <w:fldSimple w:instr=" SEQ Table \* ARABIC ">
        <w:r w:rsidR="00587AF0">
          <w:rPr>
            <w:noProof/>
          </w:rPr>
          <w:t>29</w:t>
        </w:r>
      </w:fldSimple>
      <w:bookmarkEnd w:id="569"/>
      <w:r>
        <w:t>. Prior parameters of training dataset for opening saddle position</w:t>
      </w:r>
      <w:bookmarkEnd w:id="570"/>
    </w:p>
    <w:tbl>
      <w:tblPr>
        <w:tblW w:w="5000" w:type="pct"/>
        <w:tblCellMar>
          <w:left w:w="0" w:type="dxa"/>
          <w:right w:w="0" w:type="dxa"/>
        </w:tblCellMar>
        <w:tblLook w:val="0000" w:firstRow="0" w:lastRow="0" w:firstColumn="0" w:lastColumn="0" w:noHBand="0" w:noVBand="0"/>
      </w:tblPr>
      <w:tblGrid>
        <w:gridCol w:w="1072"/>
        <w:gridCol w:w="1229"/>
        <w:gridCol w:w="1000"/>
        <w:gridCol w:w="549"/>
        <w:gridCol w:w="549"/>
        <w:gridCol w:w="549"/>
        <w:gridCol w:w="782"/>
        <w:gridCol w:w="775"/>
        <w:gridCol w:w="664"/>
        <w:gridCol w:w="580"/>
        <w:gridCol w:w="664"/>
        <w:gridCol w:w="614"/>
      </w:tblGrid>
      <w:tr w:rsidR="006C2142" w:rsidRPr="00B14FA7" w14:paraId="50C8F3F2" w14:textId="77777777" w:rsidTr="00CC5DAD">
        <w:trPr>
          <w:cantSplit/>
        </w:trPr>
        <w:tc>
          <w:tcPr>
            <w:tcW w:w="593" w:type="pct"/>
            <w:tcBorders>
              <w:top w:val="single" w:sz="4" w:space="0" w:color="auto"/>
              <w:left w:val="nil"/>
              <w:bottom w:val="single" w:sz="4" w:space="0" w:color="auto"/>
              <w:right w:val="nil"/>
            </w:tcBorders>
          </w:tcPr>
          <w:p w14:paraId="74D7BA73" w14:textId="77777777" w:rsidR="006C2142" w:rsidRPr="00B14FA7" w:rsidRDefault="006C2142" w:rsidP="00CC5DAD">
            <w:pPr>
              <w:autoSpaceDE w:val="0"/>
              <w:autoSpaceDN w:val="0"/>
              <w:adjustRightInd w:val="0"/>
              <w:spacing w:before="0" w:after="0"/>
              <w:ind w:left="57" w:right="57"/>
              <w:jc w:val="center"/>
              <w:rPr>
                <w:rFonts w:cs="Arial"/>
                <w:b/>
                <w:bCs/>
                <w:sz w:val="20"/>
                <w:szCs w:val="20"/>
                <w:lang w:val="sr-Latn-RS"/>
              </w:rPr>
            </w:pPr>
            <w:r>
              <w:rPr>
                <w:rFonts w:cs="Arial"/>
                <w:b/>
                <w:bCs/>
                <w:sz w:val="20"/>
                <w:szCs w:val="20"/>
                <w:lang w:val="sr-Latn-RS"/>
              </w:rPr>
              <w:t>Training</w:t>
            </w:r>
          </w:p>
        </w:tc>
        <w:tc>
          <w:tcPr>
            <w:tcW w:w="681" w:type="pct"/>
            <w:tcBorders>
              <w:top w:val="single" w:sz="4" w:space="0" w:color="auto"/>
              <w:left w:val="nil"/>
              <w:bottom w:val="single" w:sz="4" w:space="0" w:color="auto"/>
              <w:right w:val="nil"/>
            </w:tcBorders>
          </w:tcPr>
          <w:p w14:paraId="1318CE0F" w14:textId="77777777" w:rsidR="006C2142" w:rsidRPr="00B14FA7" w:rsidRDefault="006C2142" w:rsidP="00CC5DAD">
            <w:pPr>
              <w:autoSpaceDE w:val="0"/>
              <w:autoSpaceDN w:val="0"/>
              <w:adjustRightInd w:val="0"/>
              <w:spacing w:before="0" w:after="0"/>
              <w:ind w:left="57" w:right="57"/>
              <w:jc w:val="center"/>
              <w:rPr>
                <w:rFonts w:cs="Arial"/>
                <w:b/>
                <w:bCs/>
                <w:sz w:val="20"/>
                <w:szCs w:val="20"/>
                <w:lang w:val="sr-Latn-RS"/>
              </w:rPr>
            </w:pPr>
            <w:r>
              <w:rPr>
                <w:rFonts w:cs="Arial"/>
                <w:b/>
                <w:bCs/>
                <w:sz w:val="20"/>
                <w:szCs w:val="20"/>
                <w:lang w:val="sr-Latn-RS"/>
              </w:rPr>
              <w:t>Parameter</w:t>
            </w:r>
          </w:p>
        </w:tc>
        <w:tc>
          <w:tcPr>
            <w:tcW w:w="554" w:type="pct"/>
            <w:tcBorders>
              <w:top w:val="single" w:sz="4" w:space="0" w:color="auto"/>
              <w:left w:val="nil"/>
              <w:bottom w:val="single" w:sz="4" w:space="0" w:color="auto"/>
              <w:right w:val="nil"/>
            </w:tcBorders>
          </w:tcPr>
          <w:p w14:paraId="39A5D583" w14:textId="77777777" w:rsidR="006C2142" w:rsidRPr="00B14FA7" w:rsidRDefault="006C2142" w:rsidP="00CC5DAD">
            <w:pPr>
              <w:autoSpaceDE w:val="0"/>
              <w:autoSpaceDN w:val="0"/>
              <w:adjustRightInd w:val="0"/>
              <w:spacing w:before="0" w:after="0"/>
              <w:ind w:left="57" w:right="57"/>
              <w:jc w:val="center"/>
              <w:rPr>
                <w:rFonts w:cs="Arial"/>
                <w:b/>
                <w:bCs/>
                <w:sz w:val="20"/>
                <w:szCs w:val="20"/>
                <w:lang w:val="sr-Latn-RS"/>
              </w:rPr>
            </w:pPr>
            <w:r>
              <w:rPr>
                <w:rFonts w:cs="Arial"/>
                <w:b/>
                <w:bCs/>
                <w:sz w:val="20"/>
                <w:szCs w:val="20"/>
                <w:lang w:val="sr-Latn-RS"/>
              </w:rPr>
              <w:t>HS_idle</w:t>
            </w:r>
          </w:p>
        </w:tc>
        <w:tc>
          <w:tcPr>
            <w:tcW w:w="304" w:type="pct"/>
            <w:tcBorders>
              <w:top w:val="single" w:sz="4" w:space="0" w:color="auto"/>
              <w:left w:val="nil"/>
              <w:bottom w:val="single" w:sz="4" w:space="0" w:color="auto"/>
              <w:right w:val="nil"/>
            </w:tcBorders>
          </w:tcPr>
          <w:p w14:paraId="29FCE80B" w14:textId="77777777" w:rsidR="006C2142" w:rsidRDefault="006C2142" w:rsidP="00CC5DAD">
            <w:pPr>
              <w:autoSpaceDE w:val="0"/>
              <w:autoSpaceDN w:val="0"/>
              <w:adjustRightInd w:val="0"/>
              <w:spacing w:before="0" w:after="0"/>
              <w:ind w:left="57" w:right="57"/>
              <w:jc w:val="center"/>
              <w:rPr>
                <w:rFonts w:cs="Arial"/>
                <w:b/>
                <w:bCs/>
                <w:sz w:val="20"/>
                <w:szCs w:val="20"/>
                <w:lang w:val="sr-Latn-RS"/>
              </w:rPr>
            </w:pPr>
            <w:r>
              <w:rPr>
                <w:rFonts w:cs="Arial"/>
                <w:b/>
                <w:bCs/>
                <w:sz w:val="20"/>
                <w:szCs w:val="20"/>
                <w:lang w:val="sr-Latn-RS"/>
              </w:rPr>
              <w:t>T1</w:t>
            </w:r>
          </w:p>
        </w:tc>
        <w:tc>
          <w:tcPr>
            <w:tcW w:w="304" w:type="pct"/>
            <w:tcBorders>
              <w:top w:val="single" w:sz="4" w:space="0" w:color="auto"/>
              <w:left w:val="nil"/>
              <w:bottom w:val="single" w:sz="4" w:space="0" w:color="auto"/>
              <w:right w:val="nil"/>
            </w:tcBorders>
          </w:tcPr>
          <w:p w14:paraId="665EC596" w14:textId="77777777" w:rsidR="006C2142" w:rsidRDefault="006C2142" w:rsidP="00CC5DAD">
            <w:pPr>
              <w:autoSpaceDE w:val="0"/>
              <w:autoSpaceDN w:val="0"/>
              <w:adjustRightInd w:val="0"/>
              <w:spacing w:before="0" w:after="0"/>
              <w:ind w:left="57" w:right="57"/>
              <w:jc w:val="center"/>
              <w:rPr>
                <w:rFonts w:cs="Arial"/>
                <w:b/>
                <w:bCs/>
                <w:sz w:val="20"/>
                <w:szCs w:val="20"/>
                <w:lang w:val="sr-Latn-RS"/>
              </w:rPr>
            </w:pPr>
            <w:r>
              <w:rPr>
                <w:rFonts w:cs="Arial"/>
                <w:b/>
                <w:bCs/>
                <w:sz w:val="20"/>
                <w:szCs w:val="20"/>
                <w:lang w:val="sr-Latn-RS"/>
              </w:rPr>
              <w:t>T2</w:t>
            </w:r>
          </w:p>
        </w:tc>
        <w:tc>
          <w:tcPr>
            <w:tcW w:w="304" w:type="pct"/>
            <w:tcBorders>
              <w:top w:val="single" w:sz="4" w:space="0" w:color="auto"/>
              <w:left w:val="nil"/>
              <w:bottom w:val="single" w:sz="4" w:space="0" w:color="auto"/>
              <w:right w:val="nil"/>
            </w:tcBorders>
          </w:tcPr>
          <w:p w14:paraId="5CCEF24B" w14:textId="77777777" w:rsidR="006C2142" w:rsidRDefault="006C2142" w:rsidP="00CC5DAD">
            <w:pPr>
              <w:autoSpaceDE w:val="0"/>
              <w:autoSpaceDN w:val="0"/>
              <w:adjustRightInd w:val="0"/>
              <w:spacing w:before="0" w:after="0"/>
              <w:ind w:left="57" w:right="57"/>
              <w:jc w:val="center"/>
              <w:rPr>
                <w:rFonts w:cs="Arial"/>
                <w:b/>
                <w:bCs/>
                <w:sz w:val="20"/>
                <w:szCs w:val="20"/>
                <w:lang w:val="sr-Latn-RS"/>
              </w:rPr>
            </w:pPr>
            <w:r>
              <w:rPr>
                <w:rFonts w:cs="Arial"/>
                <w:b/>
                <w:bCs/>
                <w:sz w:val="20"/>
                <w:szCs w:val="20"/>
                <w:lang w:val="sr-Latn-RS"/>
              </w:rPr>
              <w:t>T4</w:t>
            </w:r>
          </w:p>
        </w:tc>
        <w:tc>
          <w:tcPr>
            <w:tcW w:w="433" w:type="pct"/>
            <w:tcBorders>
              <w:top w:val="single" w:sz="4" w:space="0" w:color="auto"/>
              <w:left w:val="nil"/>
              <w:bottom w:val="single" w:sz="4" w:space="0" w:color="auto"/>
              <w:right w:val="nil"/>
            </w:tcBorders>
          </w:tcPr>
          <w:p w14:paraId="0A32092E" w14:textId="77777777" w:rsidR="006C2142" w:rsidRDefault="006C2142" w:rsidP="00CC5DAD">
            <w:pPr>
              <w:autoSpaceDE w:val="0"/>
              <w:autoSpaceDN w:val="0"/>
              <w:adjustRightInd w:val="0"/>
              <w:spacing w:before="0" w:after="0"/>
              <w:ind w:left="57" w:right="57"/>
              <w:jc w:val="center"/>
              <w:rPr>
                <w:rFonts w:cs="Arial"/>
                <w:b/>
                <w:bCs/>
                <w:sz w:val="20"/>
                <w:szCs w:val="20"/>
                <w:lang w:val="sr-Latn-RS"/>
              </w:rPr>
            </w:pPr>
            <w:r>
              <w:rPr>
                <w:rFonts w:cs="Arial"/>
                <w:b/>
                <w:bCs/>
                <w:sz w:val="20"/>
                <w:szCs w:val="20"/>
                <w:lang w:val="sr-Latn-RS"/>
              </w:rPr>
              <w:t>Load</w:t>
            </w:r>
          </w:p>
        </w:tc>
        <w:tc>
          <w:tcPr>
            <w:tcW w:w="429" w:type="pct"/>
            <w:tcBorders>
              <w:top w:val="single" w:sz="4" w:space="0" w:color="auto"/>
              <w:left w:val="nil"/>
              <w:bottom w:val="single" w:sz="4" w:space="0" w:color="auto"/>
              <w:right w:val="nil"/>
            </w:tcBorders>
          </w:tcPr>
          <w:p w14:paraId="3C96ECB3" w14:textId="77777777" w:rsidR="006C2142" w:rsidRDefault="006C2142" w:rsidP="00CC5DAD">
            <w:pPr>
              <w:autoSpaceDE w:val="0"/>
              <w:autoSpaceDN w:val="0"/>
              <w:adjustRightInd w:val="0"/>
              <w:spacing w:before="0" w:after="0"/>
              <w:ind w:left="57" w:right="57"/>
              <w:jc w:val="center"/>
              <w:rPr>
                <w:rFonts w:cs="Arial"/>
                <w:b/>
                <w:bCs/>
                <w:sz w:val="20"/>
                <w:szCs w:val="20"/>
                <w:lang w:val="sr-Latn-RS"/>
              </w:rPr>
            </w:pPr>
            <w:r>
              <w:rPr>
                <w:rFonts w:cs="Arial"/>
                <w:b/>
                <w:bCs/>
                <w:sz w:val="20"/>
                <w:szCs w:val="20"/>
                <w:lang w:val="sr-Latn-RS"/>
              </w:rPr>
              <w:t>StDev</w:t>
            </w:r>
          </w:p>
        </w:tc>
        <w:tc>
          <w:tcPr>
            <w:tcW w:w="368" w:type="pct"/>
            <w:tcBorders>
              <w:top w:val="single" w:sz="4" w:space="0" w:color="auto"/>
              <w:left w:val="nil"/>
              <w:bottom w:val="single" w:sz="4" w:space="0" w:color="auto"/>
              <w:right w:val="nil"/>
            </w:tcBorders>
          </w:tcPr>
          <w:p w14:paraId="05035158" w14:textId="77777777" w:rsidR="006C2142" w:rsidRDefault="006C2142" w:rsidP="00CC5DAD">
            <w:pPr>
              <w:autoSpaceDE w:val="0"/>
              <w:autoSpaceDN w:val="0"/>
              <w:adjustRightInd w:val="0"/>
              <w:spacing w:before="0" w:after="0"/>
              <w:ind w:left="57" w:right="57"/>
              <w:jc w:val="center"/>
              <w:rPr>
                <w:rFonts w:cs="Arial"/>
                <w:b/>
                <w:bCs/>
                <w:sz w:val="20"/>
                <w:szCs w:val="20"/>
                <w:lang w:val="sr-Latn-RS"/>
              </w:rPr>
            </w:pPr>
            <w:r>
              <w:rPr>
                <w:rFonts w:cs="Arial"/>
                <w:b/>
                <w:bCs/>
                <w:sz w:val="20"/>
                <w:szCs w:val="20"/>
                <w:lang w:val="sr-Latn-RS"/>
              </w:rPr>
              <w:t>Med</w:t>
            </w:r>
          </w:p>
        </w:tc>
        <w:tc>
          <w:tcPr>
            <w:tcW w:w="321" w:type="pct"/>
            <w:tcBorders>
              <w:top w:val="single" w:sz="4" w:space="0" w:color="auto"/>
              <w:left w:val="nil"/>
              <w:bottom w:val="single" w:sz="4" w:space="0" w:color="auto"/>
              <w:right w:val="nil"/>
            </w:tcBorders>
          </w:tcPr>
          <w:p w14:paraId="6B5446ED" w14:textId="77777777" w:rsidR="006C2142" w:rsidRDefault="006C2142" w:rsidP="00CC5DAD">
            <w:pPr>
              <w:autoSpaceDE w:val="0"/>
              <w:autoSpaceDN w:val="0"/>
              <w:adjustRightInd w:val="0"/>
              <w:spacing w:before="0" w:after="0"/>
              <w:ind w:left="57" w:right="57"/>
              <w:jc w:val="center"/>
              <w:rPr>
                <w:rFonts w:cs="Arial"/>
                <w:b/>
                <w:bCs/>
                <w:sz w:val="20"/>
                <w:szCs w:val="20"/>
                <w:lang w:val="sr-Latn-RS"/>
              </w:rPr>
            </w:pPr>
            <w:r>
              <w:rPr>
                <w:rFonts w:cs="Arial"/>
                <w:b/>
                <w:bCs/>
                <w:sz w:val="20"/>
                <w:szCs w:val="20"/>
                <w:lang w:val="sr-Latn-RS"/>
              </w:rPr>
              <w:t>Min</w:t>
            </w:r>
          </w:p>
        </w:tc>
        <w:tc>
          <w:tcPr>
            <w:tcW w:w="368" w:type="pct"/>
            <w:tcBorders>
              <w:top w:val="single" w:sz="4" w:space="0" w:color="auto"/>
              <w:left w:val="nil"/>
              <w:bottom w:val="single" w:sz="4" w:space="0" w:color="auto"/>
              <w:right w:val="nil"/>
            </w:tcBorders>
          </w:tcPr>
          <w:p w14:paraId="1B31E783" w14:textId="77777777" w:rsidR="006C2142" w:rsidRDefault="006C2142" w:rsidP="00CC5DAD">
            <w:pPr>
              <w:autoSpaceDE w:val="0"/>
              <w:autoSpaceDN w:val="0"/>
              <w:adjustRightInd w:val="0"/>
              <w:spacing w:before="0" w:after="0"/>
              <w:ind w:left="57" w:right="57"/>
              <w:jc w:val="center"/>
              <w:rPr>
                <w:rFonts w:cs="Arial"/>
                <w:b/>
                <w:bCs/>
                <w:sz w:val="20"/>
                <w:szCs w:val="20"/>
                <w:lang w:val="sr-Latn-RS"/>
              </w:rPr>
            </w:pPr>
            <w:r>
              <w:rPr>
                <w:rFonts w:cs="Arial"/>
                <w:b/>
                <w:bCs/>
                <w:sz w:val="20"/>
                <w:szCs w:val="20"/>
                <w:lang w:val="sr-Latn-RS"/>
              </w:rPr>
              <w:t>Max</w:t>
            </w:r>
          </w:p>
        </w:tc>
        <w:tc>
          <w:tcPr>
            <w:tcW w:w="340" w:type="pct"/>
            <w:tcBorders>
              <w:top w:val="single" w:sz="4" w:space="0" w:color="auto"/>
              <w:left w:val="nil"/>
              <w:bottom w:val="single" w:sz="4" w:space="0" w:color="auto"/>
              <w:right w:val="nil"/>
            </w:tcBorders>
          </w:tcPr>
          <w:p w14:paraId="648B5857" w14:textId="77777777" w:rsidR="006C2142" w:rsidRDefault="006C2142" w:rsidP="00CC5DAD">
            <w:pPr>
              <w:autoSpaceDE w:val="0"/>
              <w:autoSpaceDN w:val="0"/>
              <w:adjustRightInd w:val="0"/>
              <w:spacing w:before="0" w:after="0"/>
              <w:ind w:left="57" w:right="57"/>
              <w:jc w:val="center"/>
              <w:rPr>
                <w:rFonts w:cs="Arial"/>
                <w:b/>
                <w:bCs/>
                <w:sz w:val="20"/>
                <w:szCs w:val="20"/>
                <w:lang w:val="sr-Latn-RS"/>
              </w:rPr>
            </w:pPr>
            <w:r>
              <w:rPr>
                <w:rFonts w:cs="Arial"/>
                <w:b/>
                <w:bCs/>
                <w:sz w:val="20"/>
                <w:szCs w:val="20"/>
                <w:lang w:val="sr-Latn-RS"/>
              </w:rPr>
              <w:t>Kurt</w:t>
            </w:r>
          </w:p>
        </w:tc>
      </w:tr>
      <w:tr w:rsidR="006C2142" w:rsidRPr="00B14FA7" w14:paraId="574C8426" w14:textId="77777777" w:rsidTr="00CC5DAD">
        <w:trPr>
          <w:cantSplit/>
        </w:trPr>
        <w:tc>
          <w:tcPr>
            <w:tcW w:w="593" w:type="pct"/>
            <w:vAlign w:val="center"/>
          </w:tcPr>
          <w:p w14:paraId="48436BCC" w14:textId="77777777" w:rsidR="006C2142" w:rsidRPr="00B14FA7" w:rsidRDefault="006C2142" w:rsidP="00CC5DAD">
            <w:pPr>
              <w:autoSpaceDE w:val="0"/>
              <w:autoSpaceDN w:val="0"/>
              <w:adjustRightInd w:val="0"/>
              <w:spacing w:before="0" w:after="0"/>
              <w:ind w:left="57" w:right="57"/>
              <w:jc w:val="center"/>
              <w:rPr>
                <w:sz w:val="20"/>
                <w:szCs w:val="20"/>
              </w:rPr>
            </w:pPr>
            <w:r>
              <w:rPr>
                <w:sz w:val="20"/>
                <w:szCs w:val="20"/>
              </w:rPr>
              <w:t>None</w:t>
            </w:r>
          </w:p>
        </w:tc>
        <w:tc>
          <w:tcPr>
            <w:tcW w:w="681" w:type="pct"/>
            <w:vAlign w:val="center"/>
          </w:tcPr>
          <w:p w14:paraId="5D8B45A1" w14:textId="77777777" w:rsidR="006C2142" w:rsidRDefault="006C2142" w:rsidP="00CC5DAD">
            <w:pPr>
              <w:autoSpaceDE w:val="0"/>
              <w:autoSpaceDN w:val="0"/>
              <w:adjustRightInd w:val="0"/>
              <w:spacing w:before="0" w:after="0"/>
              <w:ind w:left="57" w:right="57"/>
              <w:jc w:val="center"/>
              <w:rPr>
                <w:sz w:val="20"/>
                <w:szCs w:val="20"/>
              </w:rPr>
            </w:pPr>
            <w:r>
              <w:rPr>
                <w:sz w:val="20"/>
                <w:szCs w:val="20"/>
              </w:rPr>
              <w:t>Mean</w:t>
            </w:r>
          </w:p>
        </w:tc>
        <w:tc>
          <w:tcPr>
            <w:tcW w:w="554" w:type="pct"/>
            <w:vAlign w:val="center"/>
          </w:tcPr>
          <w:p w14:paraId="42FB0722" w14:textId="77777777" w:rsidR="006C2142" w:rsidRDefault="006C2142" w:rsidP="00CC5DAD">
            <w:pPr>
              <w:autoSpaceDE w:val="0"/>
              <w:autoSpaceDN w:val="0"/>
              <w:adjustRightInd w:val="0"/>
              <w:spacing w:before="0" w:after="0"/>
              <w:ind w:left="57" w:right="57"/>
              <w:jc w:val="right"/>
              <w:rPr>
                <w:sz w:val="20"/>
                <w:szCs w:val="20"/>
              </w:rPr>
            </w:pPr>
            <w:r>
              <w:rPr>
                <w:sz w:val="20"/>
                <w:szCs w:val="20"/>
              </w:rPr>
              <w:t>195.8</w:t>
            </w:r>
          </w:p>
        </w:tc>
        <w:tc>
          <w:tcPr>
            <w:tcW w:w="304" w:type="pct"/>
            <w:vAlign w:val="center"/>
          </w:tcPr>
          <w:p w14:paraId="334D6E6E" w14:textId="77777777" w:rsidR="006C2142" w:rsidRDefault="006C2142" w:rsidP="00CC5DAD">
            <w:pPr>
              <w:autoSpaceDE w:val="0"/>
              <w:autoSpaceDN w:val="0"/>
              <w:adjustRightInd w:val="0"/>
              <w:spacing w:before="0" w:after="0"/>
              <w:ind w:left="57" w:right="57"/>
              <w:jc w:val="right"/>
              <w:rPr>
                <w:sz w:val="20"/>
                <w:szCs w:val="20"/>
              </w:rPr>
            </w:pPr>
            <w:r>
              <w:rPr>
                <w:sz w:val="20"/>
                <w:szCs w:val="20"/>
              </w:rPr>
              <w:t>1.62</w:t>
            </w:r>
          </w:p>
        </w:tc>
        <w:tc>
          <w:tcPr>
            <w:tcW w:w="304" w:type="pct"/>
            <w:vAlign w:val="center"/>
          </w:tcPr>
          <w:p w14:paraId="3C924BF3" w14:textId="77777777" w:rsidR="006C2142" w:rsidRDefault="006C2142" w:rsidP="00CC5DAD">
            <w:pPr>
              <w:autoSpaceDE w:val="0"/>
              <w:autoSpaceDN w:val="0"/>
              <w:adjustRightInd w:val="0"/>
              <w:spacing w:before="0" w:after="0"/>
              <w:ind w:left="57" w:right="57"/>
              <w:jc w:val="right"/>
              <w:rPr>
                <w:sz w:val="20"/>
                <w:szCs w:val="20"/>
              </w:rPr>
            </w:pPr>
            <w:r>
              <w:rPr>
                <w:sz w:val="20"/>
                <w:szCs w:val="20"/>
              </w:rPr>
              <w:t>2.96</w:t>
            </w:r>
          </w:p>
        </w:tc>
        <w:tc>
          <w:tcPr>
            <w:tcW w:w="304" w:type="pct"/>
            <w:vAlign w:val="center"/>
          </w:tcPr>
          <w:p w14:paraId="537888E3" w14:textId="77777777" w:rsidR="006C2142" w:rsidRDefault="006C2142" w:rsidP="00CC5DAD">
            <w:pPr>
              <w:autoSpaceDE w:val="0"/>
              <w:autoSpaceDN w:val="0"/>
              <w:adjustRightInd w:val="0"/>
              <w:spacing w:before="0" w:after="0"/>
              <w:ind w:left="57" w:right="57"/>
              <w:jc w:val="right"/>
              <w:rPr>
                <w:sz w:val="20"/>
                <w:szCs w:val="20"/>
              </w:rPr>
            </w:pPr>
            <w:r>
              <w:rPr>
                <w:sz w:val="20"/>
                <w:szCs w:val="20"/>
              </w:rPr>
              <w:t>1.49</w:t>
            </w:r>
          </w:p>
        </w:tc>
        <w:tc>
          <w:tcPr>
            <w:tcW w:w="433" w:type="pct"/>
            <w:vAlign w:val="center"/>
          </w:tcPr>
          <w:p w14:paraId="52283D9D" w14:textId="77777777" w:rsidR="006C2142" w:rsidRDefault="006C2142" w:rsidP="00CC5DAD">
            <w:pPr>
              <w:autoSpaceDE w:val="0"/>
              <w:autoSpaceDN w:val="0"/>
              <w:adjustRightInd w:val="0"/>
              <w:spacing w:before="0" w:after="0"/>
              <w:ind w:left="57" w:right="57"/>
              <w:jc w:val="right"/>
              <w:rPr>
                <w:sz w:val="20"/>
                <w:szCs w:val="20"/>
              </w:rPr>
            </w:pPr>
            <w:r>
              <w:rPr>
                <w:sz w:val="20"/>
                <w:szCs w:val="20"/>
              </w:rPr>
              <w:t>224.15</w:t>
            </w:r>
          </w:p>
        </w:tc>
        <w:tc>
          <w:tcPr>
            <w:tcW w:w="429" w:type="pct"/>
            <w:vAlign w:val="center"/>
          </w:tcPr>
          <w:p w14:paraId="6CD07F02" w14:textId="77777777" w:rsidR="006C2142" w:rsidRDefault="006C2142" w:rsidP="00CC5DAD">
            <w:pPr>
              <w:autoSpaceDE w:val="0"/>
              <w:autoSpaceDN w:val="0"/>
              <w:adjustRightInd w:val="0"/>
              <w:spacing w:before="0" w:after="0"/>
              <w:ind w:left="57" w:right="57"/>
              <w:jc w:val="right"/>
              <w:rPr>
                <w:sz w:val="20"/>
                <w:szCs w:val="20"/>
              </w:rPr>
            </w:pPr>
            <w:r>
              <w:rPr>
                <w:sz w:val="20"/>
                <w:szCs w:val="20"/>
              </w:rPr>
              <w:t>5.01</w:t>
            </w:r>
          </w:p>
        </w:tc>
        <w:tc>
          <w:tcPr>
            <w:tcW w:w="368" w:type="pct"/>
            <w:vAlign w:val="center"/>
          </w:tcPr>
          <w:p w14:paraId="15A55ACD" w14:textId="77777777" w:rsidR="006C2142" w:rsidRDefault="006C2142" w:rsidP="00CC5DAD">
            <w:pPr>
              <w:autoSpaceDE w:val="0"/>
              <w:autoSpaceDN w:val="0"/>
              <w:adjustRightInd w:val="0"/>
              <w:spacing w:before="0" w:after="0"/>
              <w:ind w:left="57" w:right="57"/>
              <w:jc w:val="right"/>
              <w:rPr>
                <w:sz w:val="20"/>
                <w:szCs w:val="20"/>
              </w:rPr>
            </w:pPr>
            <w:r>
              <w:rPr>
                <w:sz w:val="20"/>
                <w:szCs w:val="20"/>
              </w:rPr>
              <w:t>15.46</w:t>
            </w:r>
          </w:p>
        </w:tc>
        <w:tc>
          <w:tcPr>
            <w:tcW w:w="321" w:type="pct"/>
            <w:vAlign w:val="center"/>
          </w:tcPr>
          <w:p w14:paraId="039933AE" w14:textId="77777777" w:rsidR="006C2142" w:rsidRDefault="006C2142" w:rsidP="00CC5DAD">
            <w:pPr>
              <w:autoSpaceDE w:val="0"/>
              <w:autoSpaceDN w:val="0"/>
              <w:adjustRightInd w:val="0"/>
              <w:spacing w:before="0" w:after="0"/>
              <w:ind w:left="57" w:right="57"/>
              <w:jc w:val="right"/>
              <w:rPr>
                <w:sz w:val="20"/>
                <w:szCs w:val="20"/>
              </w:rPr>
            </w:pPr>
            <w:r>
              <w:rPr>
                <w:sz w:val="20"/>
                <w:szCs w:val="20"/>
              </w:rPr>
              <w:t>2.16</w:t>
            </w:r>
          </w:p>
        </w:tc>
        <w:tc>
          <w:tcPr>
            <w:tcW w:w="368" w:type="pct"/>
            <w:vAlign w:val="center"/>
          </w:tcPr>
          <w:p w14:paraId="27605F72" w14:textId="77777777" w:rsidR="006C2142" w:rsidRDefault="006C2142" w:rsidP="00CC5DAD">
            <w:pPr>
              <w:autoSpaceDE w:val="0"/>
              <w:autoSpaceDN w:val="0"/>
              <w:adjustRightInd w:val="0"/>
              <w:spacing w:before="0" w:after="0"/>
              <w:ind w:left="57" w:right="57"/>
              <w:jc w:val="right"/>
              <w:rPr>
                <w:sz w:val="20"/>
                <w:szCs w:val="20"/>
              </w:rPr>
            </w:pPr>
            <w:r>
              <w:rPr>
                <w:sz w:val="20"/>
                <w:szCs w:val="20"/>
              </w:rPr>
              <w:t>18.50</w:t>
            </w:r>
          </w:p>
        </w:tc>
        <w:tc>
          <w:tcPr>
            <w:tcW w:w="340" w:type="pct"/>
            <w:vAlign w:val="center"/>
          </w:tcPr>
          <w:p w14:paraId="373A6BF6" w14:textId="77777777" w:rsidR="006C2142" w:rsidRDefault="006C2142" w:rsidP="00CC5DAD">
            <w:pPr>
              <w:autoSpaceDE w:val="0"/>
              <w:autoSpaceDN w:val="0"/>
              <w:adjustRightInd w:val="0"/>
              <w:spacing w:before="0" w:after="0"/>
              <w:ind w:left="57" w:right="57"/>
              <w:jc w:val="right"/>
              <w:rPr>
                <w:sz w:val="20"/>
                <w:szCs w:val="20"/>
              </w:rPr>
            </w:pPr>
            <w:r>
              <w:rPr>
                <w:sz w:val="20"/>
                <w:szCs w:val="20"/>
              </w:rPr>
              <w:t>1.34</w:t>
            </w:r>
          </w:p>
        </w:tc>
      </w:tr>
      <w:tr w:rsidR="006C2142" w:rsidRPr="00B14FA7" w14:paraId="6F68CC07" w14:textId="77777777" w:rsidTr="00CC5DAD">
        <w:trPr>
          <w:cantSplit/>
        </w:trPr>
        <w:tc>
          <w:tcPr>
            <w:tcW w:w="593" w:type="pct"/>
            <w:vAlign w:val="center"/>
          </w:tcPr>
          <w:p w14:paraId="2D768018" w14:textId="77777777" w:rsidR="006C2142" w:rsidRDefault="006C2142" w:rsidP="00CC5DAD">
            <w:pPr>
              <w:autoSpaceDE w:val="0"/>
              <w:autoSpaceDN w:val="0"/>
              <w:adjustRightInd w:val="0"/>
              <w:spacing w:before="0" w:after="0"/>
              <w:ind w:left="57" w:right="57"/>
              <w:jc w:val="center"/>
              <w:rPr>
                <w:sz w:val="20"/>
                <w:szCs w:val="20"/>
              </w:rPr>
            </w:pPr>
          </w:p>
        </w:tc>
        <w:tc>
          <w:tcPr>
            <w:tcW w:w="681" w:type="pct"/>
            <w:vAlign w:val="center"/>
          </w:tcPr>
          <w:p w14:paraId="361CEDD7" w14:textId="77777777" w:rsidR="006C2142" w:rsidRDefault="006C2142" w:rsidP="00CC5DAD">
            <w:pPr>
              <w:autoSpaceDE w:val="0"/>
              <w:autoSpaceDN w:val="0"/>
              <w:adjustRightInd w:val="0"/>
              <w:spacing w:before="0" w:after="0"/>
              <w:ind w:left="57" w:right="57"/>
              <w:jc w:val="center"/>
              <w:rPr>
                <w:sz w:val="20"/>
                <w:szCs w:val="20"/>
              </w:rPr>
            </w:pPr>
            <w:r>
              <w:rPr>
                <w:sz w:val="20"/>
                <w:szCs w:val="20"/>
              </w:rPr>
              <w:t>St.Dev.</w:t>
            </w:r>
          </w:p>
        </w:tc>
        <w:tc>
          <w:tcPr>
            <w:tcW w:w="554" w:type="pct"/>
            <w:vAlign w:val="center"/>
          </w:tcPr>
          <w:p w14:paraId="0EDD11C6" w14:textId="77777777" w:rsidR="006C2142" w:rsidRDefault="006C2142" w:rsidP="00CC5DAD">
            <w:pPr>
              <w:autoSpaceDE w:val="0"/>
              <w:autoSpaceDN w:val="0"/>
              <w:adjustRightInd w:val="0"/>
              <w:spacing w:before="0" w:after="0"/>
              <w:ind w:left="57" w:right="57"/>
              <w:jc w:val="right"/>
              <w:rPr>
                <w:sz w:val="20"/>
                <w:szCs w:val="20"/>
              </w:rPr>
            </w:pPr>
            <w:r>
              <w:rPr>
                <w:sz w:val="20"/>
                <w:szCs w:val="20"/>
              </w:rPr>
              <w:t>226.3</w:t>
            </w:r>
          </w:p>
        </w:tc>
        <w:tc>
          <w:tcPr>
            <w:tcW w:w="304" w:type="pct"/>
            <w:vAlign w:val="center"/>
          </w:tcPr>
          <w:p w14:paraId="51FF830A" w14:textId="77777777" w:rsidR="006C2142" w:rsidRDefault="006C2142" w:rsidP="00CC5DAD">
            <w:pPr>
              <w:autoSpaceDE w:val="0"/>
              <w:autoSpaceDN w:val="0"/>
              <w:adjustRightInd w:val="0"/>
              <w:spacing w:before="0" w:after="0"/>
              <w:ind w:left="57" w:right="57"/>
              <w:jc w:val="right"/>
              <w:rPr>
                <w:sz w:val="20"/>
                <w:szCs w:val="20"/>
              </w:rPr>
            </w:pPr>
            <w:r>
              <w:rPr>
                <w:sz w:val="20"/>
                <w:szCs w:val="20"/>
              </w:rPr>
              <w:t>0.15</w:t>
            </w:r>
          </w:p>
        </w:tc>
        <w:tc>
          <w:tcPr>
            <w:tcW w:w="304" w:type="pct"/>
            <w:vAlign w:val="center"/>
          </w:tcPr>
          <w:p w14:paraId="5252F39E" w14:textId="77777777" w:rsidR="006C2142" w:rsidRDefault="006C2142" w:rsidP="00CC5DAD">
            <w:pPr>
              <w:autoSpaceDE w:val="0"/>
              <w:autoSpaceDN w:val="0"/>
              <w:adjustRightInd w:val="0"/>
              <w:spacing w:before="0" w:after="0"/>
              <w:ind w:left="57" w:right="57"/>
              <w:jc w:val="right"/>
              <w:rPr>
                <w:sz w:val="20"/>
                <w:szCs w:val="20"/>
              </w:rPr>
            </w:pPr>
            <w:r>
              <w:rPr>
                <w:sz w:val="20"/>
                <w:szCs w:val="20"/>
              </w:rPr>
              <w:t>0.24</w:t>
            </w:r>
          </w:p>
        </w:tc>
        <w:tc>
          <w:tcPr>
            <w:tcW w:w="304" w:type="pct"/>
            <w:vAlign w:val="center"/>
          </w:tcPr>
          <w:p w14:paraId="5358DE32" w14:textId="77777777" w:rsidR="006C2142" w:rsidRDefault="006C2142" w:rsidP="00CC5DAD">
            <w:pPr>
              <w:autoSpaceDE w:val="0"/>
              <w:autoSpaceDN w:val="0"/>
              <w:adjustRightInd w:val="0"/>
              <w:spacing w:before="0" w:after="0"/>
              <w:ind w:left="57" w:right="57"/>
              <w:jc w:val="right"/>
              <w:rPr>
                <w:sz w:val="20"/>
                <w:szCs w:val="20"/>
              </w:rPr>
            </w:pPr>
            <w:r>
              <w:rPr>
                <w:sz w:val="20"/>
                <w:szCs w:val="20"/>
              </w:rPr>
              <w:t>0.21</w:t>
            </w:r>
          </w:p>
        </w:tc>
        <w:tc>
          <w:tcPr>
            <w:tcW w:w="433" w:type="pct"/>
            <w:vAlign w:val="center"/>
          </w:tcPr>
          <w:p w14:paraId="1351104A" w14:textId="77777777" w:rsidR="006C2142" w:rsidRDefault="006C2142" w:rsidP="00CC5DAD">
            <w:pPr>
              <w:autoSpaceDE w:val="0"/>
              <w:autoSpaceDN w:val="0"/>
              <w:adjustRightInd w:val="0"/>
              <w:spacing w:before="0" w:after="0"/>
              <w:ind w:left="57" w:right="57"/>
              <w:jc w:val="right"/>
              <w:rPr>
                <w:sz w:val="20"/>
                <w:szCs w:val="20"/>
              </w:rPr>
            </w:pPr>
            <w:r>
              <w:rPr>
                <w:sz w:val="20"/>
                <w:szCs w:val="20"/>
              </w:rPr>
              <w:t>15.08</w:t>
            </w:r>
          </w:p>
        </w:tc>
        <w:tc>
          <w:tcPr>
            <w:tcW w:w="429" w:type="pct"/>
            <w:vAlign w:val="center"/>
          </w:tcPr>
          <w:p w14:paraId="27EA9E7B" w14:textId="77777777" w:rsidR="006C2142" w:rsidRDefault="006C2142" w:rsidP="00CC5DAD">
            <w:pPr>
              <w:autoSpaceDE w:val="0"/>
              <w:autoSpaceDN w:val="0"/>
              <w:adjustRightInd w:val="0"/>
              <w:spacing w:before="0" w:after="0"/>
              <w:ind w:left="57" w:right="57"/>
              <w:jc w:val="right"/>
              <w:rPr>
                <w:sz w:val="20"/>
                <w:szCs w:val="20"/>
              </w:rPr>
            </w:pPr>
            <w:r>
              <w:rPr>
                <w:sz w:val="20"/>
                <w:szCs w:val="20"/>
              </w:rPr>
              <w:t>0.70</w:t>
            </w:r>
          </w:p>
        </w:tc>
        <w:tc>
          <w:tcPr>
            <w:tcW w:w="368" w:type="pct"/>
            <w:vAlign w:val="center"/>
          </w:tcPr>
          <w:p w14:paraId="6ECEA5FA" w14:textId="77777777" w:rsidR="006C2142" w:rsidRDefault="006C2142" w:rsidP="00CC5DAD">
            <w:pPr>
              <w:autoSpaceDE w:val="0"/>
              <w:autoSpaceDN w:val="0"/>
              <w:adjustRightInd w:val="0"/>
              <w:spacing w:before="0" w:after="0"/>
              <w:ind w:left="57" w:right="57"/>
              <w:jc w:val="right"/>
              <w:rPr>
                <w:sz w:val="20"/>
                <w:szCs w:val="20"/>
              </w:rPr>
            </w:pPr>
            <w:r>
              <w:rPr>
                <w:sz w:val="20"/>
                <w:szCs w:val="20"/>
              </w:rPr>
              <w:t>2.80</w:t>
            </w:r>
          </w:p>
        </w:tc>
        <w:tc>
          <w:tcPr>
            <w:tcW w:w="321" w:type="pct"/>
            <w:vAlign w:val="center"/>
          </w:tcPr>
          <w:p w14:paraId="08C26B19" w14:textId="77777777" w:rsidR="006C2142" w:rsidRDefault="006C2142" w:rsidP="00CC5DAD">
            <w:pPr>
              <w:autoSpaceDE w:val="0"/>
              <w:autoSpaceDN w:val="0"/>
              <w:adjustRightInd w:val="0"/>
              <w:spacing w:before="0" w:after="0"/>
              <w:ind w:left="57" w:right="57"/>
              <w:jc w:val="right"/>
              <w:rPr>
                <w:sz w:val="20"/>
                <w:szCs w:val="20"/>
              </w:rPr>
            </w:pPr>
            <w:r>
              <w:rPr>
                <w:sz w:val="20"/>
                <w:szCs w:val="20"/>
              </w:rPr>
              <w:t>1.50</w:t>
            </w:r>
          </w:p>
        </w:tc>
        <w:tc>
          <w:tcPr>
            <w:tcW w:w="368" w:type="pct"/>
            <w:vAlign w:val="center"/>
          </w:tcPr>
          <w:p w14:paraId="25935A8D" w14:textId="77777777" w:rsidR="006C2142" w:rsidRDefault="006C2142" w:rsidP="00CC5DAD">
            <w:pPr>
              <w:autoSpaceDE w:val="0"/>
              <w:autoSpaceDN w:val="0"/>
              <w:adjustRightInd w:val="0"/>
              <w:spacing w:before="0" w:after="0"/>
              <w:ind w:left="57" w:right="57"/>
              <w:jc w:val="right"/>
              <w:rPr>
                <w:sz w:val="20"/>
                <w:szCs w:val="20"/>
              </w:rPr>
            </w:pPr>
            <w:r>
              <w:rPr>
                <w:sz w:val="20"/>
                <w:szCs w:val="20"/>
              </w:rPr>
              <w:t>1.21</w:t>
            </w:r>
          </w:p>
        </w:tc>
        <w:tc>
          <w:tcPr>
            <w:tcW w:w="340" w:type="pct"/>
            <w:vAlign w:val="center"/>
          </w:tcPr>
          <w:p w14:paraId="21059D1B" w14:textId="77777777" w:rsidR="006C2142" w:rsidRDefault="006C2142" w:rsidP="00CC5DAD">
            <w:pPr>
              <w:autoSpaceDE w:val="0"/>
              <w:autoSpaceDN w:val="0"/>
              <w:adjustRightInd w:val="0"/>
              <w:spacing w:before="0" w:after="0"/>
              <w:ind w:left="57" w:right="57"/>
              <w:jc w:val="right"/>
              <w:rPr>
                <w:sz w:val="20"/>
                <w:szCs w:val="20"/>
              </w:rPr>
            </w:pPr>
            <w:r>
              <w:rPr>
                <w:sz w:val="20"/>
                <w:szCs w:val="20"/>
              </w:rPr>
              <w:t>1.00</w:t>
            </w:r>
          </w:p>
        </w:tc>
      </w:tr>
      <w:tr w:rsidR="006C2142" w:rsidRPr="00B14FA7" w14:paraId="5AD29127" w14:textId="77777777" w:rsidTr="00CC5DAD">
        <w:trPr>
          <w:cantSplit/>
        </w:trPr>
        <w:tc>
          <w:tcPr>
            <w:tcW w:w="593" w:type="pct"/>
            <w:vAlign w:val="center"/>
          </w:tcPr>
          <w:p w14:paraId="226823BA" w14:textId="77777777" w:rsidR="006C2142" w:rsidRPr="00B14FA7" w:rsidRDefault="006C2142" w:rsidP="00CC5DAD">
            <w:pPr>
              <w:autoSpaceDE w:val="0"/>
              <w:autoSpaceDN w:val="0"/>
              <w:adjustRightInd w:val="0"/>
              <w:spacing w:before="0" w:after="0"/>
              <w:ind w:left="57" w:right="57"/>
              <w:jc w:val="center"/>
              <w:rPr>
                <w:sz w:val="20"/>
                <w:szCs w:val="20"/>
              </w:rPr>
            </w:pPr>
            <w:r>
              <w:rPr>
                <w:sz w:val="20"/>
                <w:szCs w:val="20"/>
              </w:rPr>
              <w:t>Q-fault</w:t>
            </w:r>
          </w:p>
        </w:tc>
        <w:tc>
          <w:tcPr>
            <w:tcW w:w="681" w:type="pct"/>
            <w:vAlign w:val="center"/>
          </w:tcPr>
          <w:p w14:paraId="102F61BA" w14:textId="77777777" w:rsidR="006C2142" w:rsidRPr="00B14FA7" w:rsidRDefault="006C2142" w:rsidP="00CC5DAD">
            <w:pPr>
              <w:autoSpaceDE w:val="0"/>
              <w:autoSpaceDN w:val="0"/>
              <w:adjustRightInd w:val="0"/>
              <w:spacing w:before="0" w:after="0"/>
              <w:ind w:left="57" w:right="57"/>
              <w:jc w:val="center"/>
              <w:rPr>
                <w:sz w:val="20"/>
                <w:szCs w:val="20"/>
              </w:rPr>
            </w:pPr>
            <w:r>
              <w:rPr>
                <w:sz w:val="20"/>
                <w:szCs w:val="20"/>
              </w:rPr>
              <w:t>Mean</w:t>
            </w:r>
          </w:p>
        </w:tc>
        <w:tc>
          <w:tcPr>
            <w:tcW w:w="554" w:type="pct"/>
            <w:vAlign w:val="center"/>
          </w:tcPr>
          <w:p w14:paraId="04C4D72B" w14:textId="77777777" w:rsidR="006C2142" w:rsidRPr="00B14FA7" w:rsidRDefault="006C2142" w:rsidP="00CC5DAD">
            <w:pPr>
              <w:autoSpaceDE w:val="0"/>
              <w:autoSpaceDN w:val="0"/>
              <w:adjustRightInd w:val="0"/>
              <w:spacing w:before="0" w:after="0"/>
              <w:ind w:left="57" w:right="57"/>
              <w:jc w:val="right"/>
              <w:rPr>
                <w:sz w:val="20"/>
                <w:szCs w:val="20"/>
              </w:rPr>
            </w:pPr>
            <w:r>
              <w:rPr>
                <w:sz w:val="20"/>
                <w:szCs w:val="20"/>
              </w:rPr>
              <w:t>122.39</w:t>
            </w:r>
          </w:p>
        </w:tc>
        <w:tc>
          <w:tcPr>
            <w:tcW w:w="304" w:type="pct"/>
            <w:vAlign w:val="center"/>
          </w:tcPr>
          <w:p w14:paraId="0E7F41C0" w14:textId="77777777" w:rsidR="006C2142" w:rsidRPr="00B14FA7" w:rsidRDefault="006C2142" w:rsidP="00CC5DAD">
            <w:pPr>
              <w:autoSpaceDE w:val="0"/>
              <w:autoSpaceDN w:val="0"/>
              <w:adjustRightInd w:val="0"/>
              <w:spacing w:before="0" w:after="0"/>
              <w:ind w:left="57" w:right="57"/>
              <w:jc w:val="right"/>
              <w:rPr>
                <w:sz w:val="20"/>
                <w:szCs w:val="20"/>
              </w:rPr>
            </w:pPr>
            <w:r>
              <w:rPr>
                <w:sz w:val="20"/>
                <w:szCs w:val="20"/>
              </w:rPr>
              <w:t>1.50</w:t>
            </w:r>
          </w:p>
        </w:tc>
        <w:tc>
          <w:tcPr>
            <w:tcW w:w="304" w:type="pct"/>
            <w:vAlign w:val="center"/>
          </w:tcPr>
          <w:p w14:paraId="430A0DE9" w14:textId="77777777" w:rsidR="006C2142" w:rsidRPr="00B14FA7" w:rsidRDefault="006C2142" w:rsidP="00CC5DAD">
            <w:pPr>
              <w:autoSpaceDE w:val="0"/>
              <w:autoSpaceDN w:val="0"/>
              <w:adjustRightInd w:val="0"/>
              <w:spacing w:before="0" w:after="0"/>
              <w:ind w:left="57" w:right="57"/>
              <w:jc w:val="right"/>
              <w:rPr>
                <w:sz w:val="20"/>
                <w:szCs w:val="20"/>
              </w:rPr>
            </w:pPr>
            <w:r>
              <w:rPr>
                <w:sz w:val="20"/>
                <w:szCs w:val="20"/>
              </w:rPr>
              <w:t>3.02</w:t>
            </w:r>
          </w:p>
        </w:tc>
        <w:tc>
          <w:tcPr>
            <w:tcW w:w="304" w:type="pct"/>
            <w:vAlign w:val="center"/>
          </w:tcPr>
          <w:p w14:paraId="73C46F18" w14:textId="77777777" w:rsidR="006C2142" w:rsidRPr="00B14FA7" w:rsidRDefault="006C2142" w:rsidP="00CC5DAD">
            <w:pPr>
              <w:autoSpaceDE w:val="0"/>
              <w:autoSpaceDN w:val="0"/>
              <w:adjustRightInd w:val="0"/>
              <w:spacing w:before="0" w:after="0"/>
              <w:ind w:left="57" w:right="57"/>
              <w:jc w:val="right"/>
              <w:rPr>
                <w:sz w:val="20"/>
                <w:szCs w:val="20"/>
              </w:rPr>
            </w:pPr>
            <w:r>
              <w:rPr>
                <w:sz w:val="20"/>
                <w:szCs w:val="20"/>
              </w:rPr>
              <w:t>1.40</w:t>
            </w:r>
          </w:p>
        </w:tc>
        <w:tc>
          <w:tcPr>
            <w:tcW w:w="433" w:type="pct"/>
            <w:vAlign w:val="center"/>
          </w:tcPr>
          <w:p w14:paraId="51E6E88C" w14:textId="77777777" w:rsidR="006C2142" w:rsidRPr="00B14FA7" w:rsidRDefault="006C2142" w:rsidP="00CC5DAD">
            <w:pPr>
              <w:autoSpaceDE w:val="0"/>
              <w:autoSpaceDN w:val="0"/>
              <w:adjustRightInd w:val="0"/>
              <w:spacing w:before="0" w:after="0"/>
              <w:ind w:left="57" w:right="57"/>
              <w:jc w:val="right"/>
              <w:rPr>
                <w:sz w:val="20"/>
                <w:szCs w:val="20"/>
              </w:rPr>
            </w:pPr>
            <w:r>
              <w:rPr>
                <w:sz w:val="20"/>
                <w:szCs w:val="20"/>
              </w:rPr>
              <w:t>218.73</w:t>
            </w:r>
          </w:p>
        </w:tc>
        <w:tc>
          <w:tcPr>
            <w:tcW w:w="429" w:type="pct"/>
            <w:vAlign w:val="center"/>
          </w:tcPr>
          <w:p w14:paraId="22743461" w14:textId="77777777" w:rsidR="006C2142" w:rsidRPr="00B14FA7" w:rsidRDefault="006C2142" w:rsidP="00CC5DAD">
            <w:pPr>
              <w:autoSpaceDE w:val="0"/>
              <w:autoSpaceDN w:val="0"/>
              <w:adjustRightInd w:val="0"/>
              <w:spacing w:before="0" w:after="0"/>
              <w:ind w:left="57" w:right="57"/>
              <w:jc w:val="right"/>
              <w:rPr>
                <w:sz w:val="20"/>
                <w:szCs w:val="20"/>
              </w:rPr>
            </w:pPr>
            <w:r>
              <w:rPr>
                <w:sz w:val="20"/>
                <w:szCs w:val="20"/>
              </w:rPr>
              <w:t>4.35</w:t>
            </w:r>
          </w:p>
        </w:tc>
        <w:tc>
          <w:tcPr>
            <w:tcW w:w="368" w:type="pct"/>
            <w:vAlign w:val="center"/>
          </w:tcPr>
          <w:p w14:paraId="5F0A27D5" w14:textId="77777777" w:rsidR="006C2142" w:rsidRPr="00B14FA7" w:rsidRDefault="006C2142" w:rsidP="00CC5DAD">
            <w:pPr>
              <w:autoSpaceDE w:val="0"/>
              <w:autoSpaceDN w:val="0"/>
              <w:adjustRightInd w:val="0"/>
              <w:spacing w:before="0" w:after="0"/>
              <w:ind w:left="57" w:right="57"/>
              <w:jc w:val="right"/>
              <w:rPr>
                <w:sz w:val="20"/>
                <w:szCs w:val="20"/>
              </w:rPr>
            </w:pPr>
            <w:r>
              <w:rPr>
                <w:sz w:val="20"/>
                <w:szCs w:val="20"/>
              </w:rPr>
              <w:t>14.05</w:t>
            </w:r>
          </w:p>
        </w:tc>
        <w:tc>
          <w:tcPr>
            <w:tcW w:w="321" w:type="pct"/>
            <w:vAlign w:val="center"/>
          </w:tcPr>
          <w:p w14:paraId="23A6F1DE" w14:textId="77777777" w:rsidR="006C2142" w:rsidRPr="00B14FA7" w:rsidRDefault="006C2142" w:rsidP="00CC5DAD">
            <w:pPr>
              <w:autoSpaceDE w:val="0"/>
              <w:autoSpaceDN w:val="0"/>
              <w:adjustRightInd w:val="0"/>
              <w:spacing w:before="0" w:after="0"/>
              <w:ind w:left="57" w:right="57"/>
              <w:jc w:val="right"/>
              <w:rPr>
                <w:sz w:val="20"/>
                <w:szCs w:val="20"/>
              </w:rPr>
            </w:pPr>
            <w:r>
              <w:rPr>
                <w:sz w:val="20"/>
                <w:szCs w:val="20"/>
              </w:rPr>
              <w:t>1.87</w:t>
            </w:r>
          </w:p>
        </w:tc>
        <w:tc>
          <w:tcPr>
            <w:tcW w:w="368" w:type="pct"/>
            <w:vAlign w:val="center"/>
          </w:tcPr>
          <w:p w14:paraId="5699A32B" w14:textId="77777777" w:rsidR="006C2142" w:rsidRPr="00B14FA7" w:rsidRDefault="006C2142" w:rsidP="00CC5DAD">
            <w:pPr>
              <w:autoSpaceDE w:val="0"/>
              <w:autoSpaceDN w:val="0"/>
              <w:adjustRightInd w:val="0"/>
              <w:spacing w:before="0" w:after="0"/>
              <w:ind w:left="57" w:right="57"/>
              <w:jc w:val="right"/>
              <w:rPr>
                <w:sz w:val="20"/>
                <w:szCs w:val="20"/>
              </w:rPr>
            </w:pPr>
            <w:r>
              <w:rPr>
                <w:sz w:val="20"/>
                <w:szCs w:val="20"/>
              </w:rPr>
              <w:t>17.10</w:t>
            </w:r>
          </w:p>
        </w:tc>
        <w:tc>
          <w:tcPr>
            <w:tcW w:w="340" w:type="pct"/>
            <w:vAlign w:val="center"/>
          </w:tcPr>
          <w:p w14:paraId="5F159A70" w14:textId="77777777" w:rsidR="006C2142" w:rsidRPr="00B14FA7" w:rsidRDefault="006C2142" w:rsidP="00CC5DAD">
            <w:pPr>
              <w:autoSpaceDE w:val="0"/>
              <w:autoSpaceDN w:val="0"/>
              <w:adjustRightInd w:val="0"/>
              <w:spacing w:before="0" w:after="0"/>
              <w:ind w:left="57" w:right="57"/>
              <w:jc w:val="right"/>
              <w:rPr>
                <w:sz w:val="20"/>
                <w:szCs w:val="20"/>
              </w:rPr>
            </w:pPr>
            <w:r>
              <w:rPr>
                <w:sz w:val="20"/>
                <w:szCs w:val="20"/>
              </w:rPr>
              <w:t>1.22</w:t>
            </w:r>
          </w:p>
        </w:tc>
      </w:tr>
      <w:tr w:rsidR="006C2142" w:rsidRPr="00B14FA7" w14:paraId="1DBD2FF8" w14:textId="77777777" w:rsidTr="00CC5DAD">
        <w:trPr>
          <w:cantSplit/>
        </w:trPr>
        <w:tc>
          <w:tcPr>
            <w:tcW w:w="593" w:type="pct"/>
            <w:tcBorders>
              <w:bottom w:val="single" w:sz="4" w:space="0" w:color="auto"/>
            </w:tcBorders>
            <w:vAlign w:val="center"/>
          </w:tcPr>
          <w:p w14:paraId="5B177688" w14:textId="77777777" w:rsidR="006C2142" w:rsidRDefault="006C2142" w:rsidP="00CC5DAD">
            <w:pPr>
              <w:autoSpaceDE w:val="0"/>
              <w:autoSpaceDN w:val="0"/>
              <w:adjustRightInd w:val="0"/>
              <w:spacing w:before="0" w:after="0"/>
              <w:ind w:left="57" w:right="57"/>
              <w:jc w:val="center"/>
              <w:rPr>
                <w:sz w:val="20"/>
                <w:szCs w:val="20"/>
              </w:rPr>
            </w:pPr>
          </w:p>
        </w:tc>
        <w:tc>
          <w:tcPr>
            <w:tcW w:w="681" w:type="pct"/>
            <w:tcBorders>
              <w:bottom w:val="single" w:sz="4" w:space="0" w:color="auto"/>
            </w:tcBorders>
            <w:vAlign w:val="center"/>
          </w:tcPr>
          <w:p w14:paraId="2E2B38CB" w14:textId="77777777" w:rsidR="006C2142" w:rsidRPr="00B14FA7" w:rsidRDefault="006C2142" w:rsidP="00CC5DAD">
            <w:pPr>
              <w:autoSpaceDE w:val="0"/>
              <w:autoSpaceDN w:val="0"/>
              <w:adjustRightInd w:val="0"/>
              <w:spacing w:before="0" w:after="0"/>
              <w:ind w:left="57" w:right="57"/>
              <w:jc w:val="center"/>
              <w:rPr>
                <w:sz w:val="20"/>
                <w:szCs w:val="20"/>
              </w:rPr>
            </w:pPr>
            <w:r>
              <w:rPr>
                <w:sz w:val="20"/>
                <w:szCs w:val="20"/>
              </w:rPr>
              <w:t>St.Dev.</w:t>
            </w:r>
          </w:p>
        </w:tc>
        <w:tc>
          <w:tcPr>
            <w:tcW w:w="554" w:type="pct"/>
            <w:tcBorders>
              <w:bottom w:val="single" w:sz="4" w:space="0" w:color="auto"/>
            </w:tcBorders>
            <w:vAlign w:val="center"/>
          </w:tcPr>
          <w:p w14:paraId="4B2E811D" w14:textId="77777777" w:rsidR="006C2142" w:rsidRPr="00B14FA7" w:rsidRDefault="006C2142" w:rsidP="00CC5DAD">
            <w:pPr>
              <w:autoSpaceDE w:val="0"/>
              <w:autoSpaceDN w:val="0"/>
              <w:adjustRightInd w:val="0"/>
              <w:spacing w:before="0" w:after="0"/>
              <w:ind w:left="57" w:right="57"/>
              <w:jc w:val="right"/>
              <w:rPr>
                <w:sz w:val="20"/>
                <w:szCs w:val="20"/>
              </w:rPr>
            </w:pPr>
            <w:r>
              <w:rPr>
                <w:sz w:val="20"/>
                <w:szCs w:val="20"/>
              </w:rPr>
              <w:t>144.36</w:t>
            </w:r>
          </w:p>
        </w:tc>
        <w:tc>
          <w:tcPr>
            <w:tcW w:w="304" w:type="pct"/>
            <w:tcBorders>
              <w:bottom w:val="single" w:sz="4" w:space="0" w:color="auto"/>
            </w:tcBorders>
            <w:vAlign w:val="center"/>
          </w:tcPr>
          <w:p w14:paraId="521C064F" w14:textId="77777777" w:rsidR="006C2142" w:rsidRPr="00B14FA7" w:rsidRDefault="006C2142" w:rsidP="00CC5DAD">
            <w:pPr>
              <w:autoSpaceDE w:val="0"/>
              <w:autoSpaceDN w:val="0"/>
              <w:adjustRightInd w:val="0"/>
              <w:spacing w:before="0" w:after="0"/>
              <w:ind w:left="57" w:right="57"/>
              <w:jc w:val="right"/>
              <w:rPr>
                <w:sz w:val="20"/>
                <w:szCs w:val="20"/>
              </w:rPr>
            </w:pPr>
            <w:r>
              <w:rPr>
                <w:sz w:val="20"/>
                <w:szCs w:val="20"/>
              </w:rPr>
              <w:t>0.14</w:t>
            </w:r>
          </w:p>
        </w:tc>
        <w:tc>
          <w:tcPr>
            <w:tcW w:w="304" w:type="pct"/>
            <w:tcBorders>
              <w:bottom w:val="single" w:sz="4" w:space="0" w:color="auto"/>
            </w:tcBorders>
            <w:vAlign w:val="center"/>
          </w:tcPr>
          <w:p w14:paraId="182AD733" w14:textId="77777777" w:rsidR="006C2142" w:rsidRPr="00B14FA7" w:rsidRDefault="006C2142" w:rsidP="00CC5DAD">
            <w:pPr>
              <w:autoSpaceDE w:val="0"/>
              <w:autoSpaceDN w:val="0"/>
              <w:adjustRightInd w:val="0"/>
              <w:spacing w:before="0" w:after="0"/>
              <w:ind w:left="57" w:right="57"/>
              <w:jc w:val="right"/>
              <w:rPr>
                <w:sz w:val="20"/>
                <w:szCs w:val="20"/>
              </w:rPr>
            </w:pPr>
            <w:r>
              <w:rPr>
                <w:sz w:val="20"/>
                <w:szCs w:val="20"/>
              </w:rPr>
              <w:t>0.18</w:t>
            </w:r>
          </w:p>
        </w:tc>
        <w:tc>
          <w:tcPr>
            <w:tcW w:w="304" w:type="pct"/>
            <w:tcBorders>
              <w:bottom w:val="single" w:sz="4" w:space="0" w:color="auto"/>
            </w:tcBorders>
            <w:vAlign w:val="center"/>
          </w:tcPr>
          <w:p w14:paraId="3E8E727B" w14:textId="77777777" w:rsidR="006C2142" w:rsidRPr="00B14FA7" w:rsidRDefault="006C2142" w:rsidP="00CC5DAD">
            <w:pPr>
              <w:autoSpaceDE w:val="0"/>
              <w:autoSpaceDN w:val="0"/>
              <w:adjustRightInd w:val="0"/>
              <w:spacing w:before="0" w:after="0"/>
              <w:ind w:left="57" w:right="57"/>
              <w:jc w:val="right"/>
              <w:rPr>
                <w:sz w:val="20"/>
                <w:szCs w:val="20"/>
              </w:rPr>
            </w:pPr>
            <w:r>
              <w:rPr>
                <w:sz w:val="20"/>
                <w:szCs w:val="20"/>
              </w:rPr>
              <w:t>0.11</w:t>
            </w:r>
          </w:p>
        </w:tc>
        <w:tc>
          <w:tcPr>
            <w:tcW w:w="433" w:type="pct"/>
            <w:tcBorders>
              <w:bottom w:val="single" w:sz="4" w:space="0" w:color="auto"/>
            </w:tcBorders>
            <w:vAlign w:val="center"/>
          </w:tcPr>
          <w:p w14:paraId="79CA9FF0" w14:textId="77777777" w:rsidR="006C2142" w:rsidRPr="00B14FA7" w:rsidRDefault="006C2142" w:rsidP="00CC5DAD">
            <w:pPr>
              <w:autoSpaceDE w:val="0"/>
              <w:autoSpaceDN w:val="0"/>
              <w:adjustRightInd w:val="0"/>
              <w:spacing w:before="0" w:after="0"/>
              <w:ind w:left="57" w:right="57"/>
              <w:jc w:val="right"/>
              <w:rPr>
                <w:sz w:val="20"/>
                <w:szCs w:val="20"/>
              </w:rPr>
            </w:pPr>
            <w:r>
              <w:rPr>
                <w:sz w:val="20"/>
                <w:szCs w:val="20"/>
              </w:rPr>
              <w:t>14.97</w:t>
            </w:r>
          </w:p>
        </w:tc>
        <w:tc>
          <w:tcPr>
            <w:tcW w:w="429" w:type="pct"/>
            <w:tcBorders>
              <w:bottom w:val="single" w:sz="4" w:space="0" w:color="auto"/>
            </w:tcBorders>
            <w:vAlign w:val="center"/>
          </w:tcPr>
          <w:p w14:paraId="6D66B06C" w14:textId="77777777" w:rsidR="006C2142" w:rsidRPr="00B14FA7" w:rsidRDefault="006C2142" w:rsidP="00CC5DAD">
            <w:pPr>
              <w:autoSpaceDE w:val="0"/>
              <w:autoSpaceDN w:val="0"/>
              <w:adjustRightInd w:val="0"/>
              <w:spacing w:before="0" w:after="0"/>
              <w:ind w:left="57" w:right="57"/>
              <w:jc w:val="right"/>
              <w:rPr>
                <w:sz w:val="20"/>
                <w:szCs w:val="20"/>
              </w:rPr>
            </w:pPr>
            <w:r>
              <w:rPr>
                <w:sz w:val="20"/>
                <w:szCs w:val="20"/>
              </w:rPr>
              <w:t>0.65</w:t>
            </w:r>
          </w:p>
        </w:tc>
        <w:tc>
          <w:tcPr>
            <w:tcW w:w="368" w:type="pct"/>
            <w:tcBorders>
              <w:bottom w:val="single" w:sz="4" w:space="0" w:color="auto"/>
            </w:tcBorders>
            <w:vAlign w:val="center"/>
          </w:tcPr>
          <w:p w14:paraId="178B115A" w14:textId="77777777" w:rsidR="006C2142" w:rsidRPr="00B14FA7" w:rsidRDefault="006C2142" w:rsidP="00CC5DAD">
            <w:pPr>
              <w:autoSpaceDE w:val="0"/>
              <w:autoSpaceDN w:val="0"/>
              <w:adjustRightInd w:val="0"/>
              <w:spacing w:before="0" w:after="0"/>
              <w:ind w:left="57" w:right="57"/>
              <w:jc w:val="right"/>
              <w:rPr>
                <w:sz w:val="20"/>
                <w:szCs w:val="20"/>
              </w:rPr>
            </w:pPr>
            <w:r>
              <w:rPr>
                <w:sz w:val="20"/>
                <w:szCs w:val="20"/>
              </w:rPr>
              <w:t>0.95</w:t>
            </w:r>
          </w:p>
        </w:tc>
        <w:tc>
          <w:tcPr>
            <w:tcW w:w="321" w:type="pct"/>
            <w:tcBorders>
              <w:bottom w:val="single" w:sz="4" w:space="0" w:color="auto"/>
            </w:tcBorders>
            <w:vAlign w:val="center"/>
          </w:tcPr>
          <w:p w14:paraId="4D2575BF" w14:textId="77777777" w:rsidR="006C2142" w:rsidRPr="00B14FA7" w:rsidRDefault="006C2142" w:rsidP="00CC5DAD">
            <w:pPr>
              <w:autoSpaceDE w:val="0"/>
              <w:autoSpaceDN w:val="0"/>
              <w:adjustRightInd w:val="0"/>
              <w:spacing w:before="0" w:after="0"/>
              <w:ind w:left="57" w:right="57"/>
              <w:jc w:val="right"/>
              <w:rPr>
                <w:sz w:val="20"/>
                <w:szCs w:val="20"/>
              </w:rPr>
            </w:pPr>
            <w:r>
              <w:rPr>
                <w:sz w:val="20"/>
                <w:szCs w:val="20"/>
              </w:rPr>
              <w:t>1.60</w:t>
            </w:r>
          </w:p>
        </w:tc>
        <w:tc>
          <w:tcPr>
            <w:tcW w:w="368" w:type="pct"/>
            <w:tcBorders>
              <w:bottom w:val="single" w:sz="4" w:space="0" w:color="auto"/>
            </w:tcBorders>
            <w:vAlign w:val="center"/>
          </w:tcPr>
          <w:p w14:paraId="3123083D" w14:textId="77777777" w:rsidR="006C2142" w:rsidRPr="00B14FA7" w:rsidRDefault="006C2142" w:rsidP="00CC5DAD">
            <w:pPr>
              <w:autoSpaceDE w:val="0"/>
              <w:autoSpaceDN w:val="0"/>
              <w:adjustRightInd w:val="0"/>
              <w:spacing w:before="0" w:after="0"/>
              <w:ind w:left="57" w:right="57"/>
              <w:jc w:val="right"/>
              <w:rPr>
                <w:sz w:val="20"/>
                <w:szCs w:val="20"/>
              </w:rPr>
            </w:pPr>
            <w:r>
              <w:rPr>
                <w:sz w:val="20"/>
                <w:szCs w:val="20"/>
              </w:rPr>
              <w:t>1.10</w:t>
            </w:r>
          </w:p>
        </w:tc>
        <w:tc>
          <w:tcPr>
            <w:tcW w:w="340" w:type="pct"/>
            <w:tcBorders>
              <w:bottom w:val="single" w:sz="4" w:space="0" w:color="auto"/>
            </w:tcBorders>
            <w:vAlign w:val="center"/>
          </w:tcPr>
          <w:p w14:paraId="27FFDC8F" w14:textId="77777777" w:rsidR="006C2142" w:rsidRPr="00B14FA7" w:rsidRDefault="006C2142" w:rsidP="00CC5DAD">
            <w:pPr>
              <w:autoSpaceDE w:val="0"/>
              <w:autoSpaceDN w:val="0"/>
              <w:adjustRightInd w:val="0"/>
              <w:spacing w:before="0" w:after="0"/>
              <w:ind w:left="57" w:right="57"/>
              <w:jc w:val="right"/>
              <w:rPr>
                <w:sz w:val="20"/>
                <w:szCs w:val="20"/>
              </w:rPr>
            </w:pPr>
            <w:r>
              <w:rPr>
                <w:sz w:val="20"/>
                <w:szCs w:val="20"/>
              </w:rPr>
              <w:t>0.86</w:t>
            </w:r>
          </w:p>
        </w:tc>
      </w:tr>
    </w:tbl>
    <w:p w14:paraId="7DE604A6" w14:textId="6D673C72" w:rsidR="006C2142" w:rsidRPr="00866296" w:rsidRDefault="006C2142" w:rsidP="006C2142">
      <w:r>
        <w:t>Representing the probability calculations given the prior probability and likelihood functions of first</w:t>
      </w:r>
      <w:r w:rsidR="00550CFE">
        <w:t>-</w:t>
      </w:r>
      <w:r>
        <w:t xml:space="preserve">class </w:t>
      </w:r>
      <w:r>
        <w:rPr>
          <w:i/>
          <w:iCs/>
        </w:rPr>
        <w:t>None</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5"/>
        <w:gridCol w:w="772"/>
      </w:tblGrid>
      <w:tr w:rsidR="006C2142" w14:paraId="03DCB49D" w14:textId="77777777" w:rsidTr="002C693A">
        <w:trPr>
          <w:trHeight w:val="453"/>
        </w:trPr>
        <w:tc>
          <w:tcPr>
            <w:tcW w:w="8245" w:type="dxa"/>
            <w:vAlign w:val="center"/>
          </w:tcPr>
          <w:p w14:paraId="7C4D400C" w14:textId="77777777" w:rsidR="006C2142" w:rsidRPr="006E7F97" w:rsidRDefault="006C2142" w:rsidP="00CC5DAD">
            <w:pPr>
              <w:spacing w:before="0" w:after="0"/>
              <w:jc w:val="center"/>
              <w:rPr>
                <w:i/>
                <w:sz w:val="20"/>
                <w:szCs w:val="20"/>
                <w:lang w:val="en-GB"/>
              </w:rPr>
            </w:pPr>
            <m:oMathPara>
              <m:oMath>
                <m:r>
                  <w:rPr>
                    <w:rFonts w:ascii="Cambria Math" w:eastAsiaTheme="minorEastAsia" w:hAnsi="Cambria Math"/>
                    <w:sz w:val="20"/>
                    <w:szCs w:val="20"/>
                  </w:rPr>
                  <m:t>p</m:t>
                </m:r>
                <m:d>
                  <m:dPr>
                    <m:ctrlPr>
                      <w:rPr>
                        <w:rFonts w:ascii="Cambria Math" w:eastAsiaTheme="minorEastAsia" w:hAnsi="Cambria Math"/>
                        <w:i/>
                        <w:iCs/>
                        <w:sz w:val="20"/>
                        <w:szCs w:val="20"/>
                      </w:rPr>
                    </m:ctrlPr>
                  </m:dPr>
                  <m:e>
                    <m:d>
                      <m:dPr>
                        <m:begChr m:val=""/>
                        <m:endChr m:val="|"/>
                        <m:ctrlPr>
                          <w:rPr>
                            <w:rFonts w:ascii="Cambria Math" w:eastAsiaTheme="minorEastAsia" w:hAnsi="Cambria Math"/>
                            <w:i/>
                            <w:iCs/>
                            <w:sz w:val="20"/>
                            <w:szCs w:val="20"/>
                          </w:rPr>
                        </m:ctrlPr>
                      </m:dPr>
                      <m:e>
                        <m:sSub>
                          <m:sSubPr>
                            <m:ctrlPr>
                              <w:rPr>
                                <w:rFonts w:ascii="Cambria Math" w:eastAsiaTheme="minorEastAsia" w:hAnsi="Cambria Math"/>
                                <w:i/>
                                <w:iCs/>
                                <w:sz w:val="20"/>
                                <w:szCs w:val="20"/>
                              </w:rPr>
                            </m:ctrlPr>
                          </m:sSubPr>
                          <m:e>
                            <m:r>
                              <w:rPr>
                                <w:rFonts w:ascii="Cambria Math" w:eastAsiaTheme="minorEastAsia" w:hAnsi="Cambria Math"/>
                                <w:sz w:val="20"/>
                                <w:szCs w:val="20"/>
                              </w:rPr>
                              <m:t>x</m:t>
                            </m:r>
                          </m:e>
                          <m:sub>
                            <m:r>
                              <w:rPr>
                                <w:rFonts w:ascii="Cambria Math" w:eastAsiaTheme="minorEastAsia" w:hAnsi="Cambria Math"/>
                                <w:sz w:val="20"/>
                                <w:szCs w:val="20"/>
                              </w:rPr>
                              <m:t>i-test</m:t>
                            </m:r>
                          </m:sub>
                        </m:sSub>
                      </m:e>
                    </m:d>
                    <m:r>
                      <w:rPr>
                        <w:rFonts w:ascii="Cambria Math" w:eastAsiaTheme="minorEastAsia" w:hAnsi="Cambria Math"/>
                        <w:sz w:val="20"/>
                        <w:szCs w:val="20"/>
                      </w:rPr>
                      <m:t>None</m:t>
                    </m:r>
                  </m:e>
                </m:d>
                <m:r>
                  <w:rPr>
                    <w:rFonts w:ascii="Cambria Math" w:eastAsiaTheme="minorEastAsia" w:hAnsi="Cambria Math"/>
                    <w:sz w:val="20"/>
                    <w:szCs w:val="20"/>
                  </w:rPr>
                  <m:t>=p</m:t>
                </m:r>
                <m:d>
                  <m:dPr>
                    <m:ctrlPr>
                      <w:rPr>
                        <w:rFonts w:ascii="Cambria Math" w:eastAsiaTheme="minorEastAsia" w:hAnsi="Cambria Math"/>
                        <w:i/>
                        <w:sz w:val="20"/>
                        <w:szCs w:val="20"/>
                      </w:rPr>
                    </m:ctrlPr>
                  </m:dPr>
                  <m:e>
                    <m:r>
                      <w:rPr>
                        <w:rFonts w:ascii="Cambria Math" w:eastAsiaTheme="minorEastAsia" w:hAnsi="Cambria Math"/>
                        <w:sz w:val="20"/>
                        <w:szCs w:val="20"/>
                      </w:rPr>
                      <m:t>None</m:t>
                    </m:r>
                    <m:d>
                      <m:dPr>
                        <m:begChr m:val="|"/>
                        <m:endChr m:val=""/>
                        <m:ctrlPr>
                          <w:rPr>
                            <w:rFonts w:ascii="Cambria Math" w:eastAsiaTheme="minorEastAsia" w:hAnsi="Cambria Math"/>
                            <w:i/>
                            <w:sz w:val="20"/>
                            <w:szCs w:val="20"/>
                          </w:rPr>
                        </m:ctrlPr>
                      </m:dPr>
                      <m:e>
                        <m:r>
                          <w:rPr>
                            <w:rFonts w:ascii="Cambria Math" w:eastAsiaTheme="minorEastAsia" w:hAnsi="Cambria Math"/>
                            <w:sz w:val="20"/>
                            <w:szCs w:val="20"/>
                          </w:rPr>
                          <m:t>Training</m:t>
                        </m:r>
                      </m:e>
                    </m:d>
                  </m:e>
                </m:d>
                <m:r>
                  <m:rPr>
                    <m:scr m:val="script"/>
                  </m:rPr>
                  <w:rPr>
                    <w:rFonts w:ascii="Cambria Math" w:eastAsiaTheme="minorEastAsia" w:hAnsi="Cambria Math"/>
                    <w:sz w:val="20"/>
                    <w:szCs w:val="20"/>
                  </w:rPr>
                  <m:t>∙L</m:t>
                </m:r>
                <m:d>
                  <m:dPr>
                    <m:ctrlPr>
                      <w:rPr>
                        <w:rFonts w:ascii="Cambria Math" w:eastAsiaTheme="minorEastAsia" w:hAnsi="Cambria Math"/>
                        <w:i/>
                        <w:sz w:val="20"/>
                        <w:szCs w:val="20"/>
                      </w:rPr>
                    </m:ctrlPr>
                  </m:dPr>
                  <m:e>
                    <m:d>
                      <m:dPr>
                        <m:begChr m:val=""/>
                        <m:endChr m:val="|"/>
                        <m:ctrlPr>
                          <w:rPr>
                            <w:rFonts w:ascii="Cambria Math" w:eastAsiaTheme="minorEastAsia" w:hAnsi="Cambria Math"/>
                            <w:i/>
                            <w:iCs/>
                            <w:sz w:val="20"/>
                            <w:szCs w:val="20"/>
                          </w:rPr>
                        </m:ctrlPr>
                      </m:dPr>
                      <m:e>
                        <m:r>
                          <w:rPr>
                            <w:rFonts w:ascii="Cambria Math" w:eastAsiaTheme="minorEastAsia" w:hAnsi="Cambria Math"/>
                            <w:sz w:val="20"/>
                            <w:szCs w:val="20"/>
                          </w:rPr>
                          <m:t>H</m:t>
                        </m:r>
                        <m:sSub>
                          <m:sSubPr>
                            <m:ctrlPr>
                              <w:rPr>
                                <w:rFonts w:ascii="Cambria Math" w:eastAsiaTheme="minorEastAsia" w:hAnsi="Cambria Math"/>
                                <w:i/>
                                <w:iCs/>
                                <w:sz w:val="20"/>
                                <w:szCs w:val="20"/>
                              </w:rPr>
                            </m:ctrlPr>
                          </m:sSubPr>
                          <m:e>
                            <m:r>
                              <w:rPr>
                                <w:rFonts w:ascii="Cambria Math" w:eastAsiaTheme="minorEastAsia" w:hAnsi="Cambria Math"/>
                                <w:sz w:val="20"/>
                                <w:szCs w:val="20"/>
                              </w:rPr>
                              <m:t>S</m:t>
                            </m:r>
                          </m:e>
                          <m:sub>
                            <m:r>
                              <w:rPr>
                                <w:rFonts w:ascii="Cambria Math" w:eastAsiaTheme="minorEastAsia" w:hAnsi="Cambria Math"/>
                                <w:sz w:val="20"/>
                                <w:szCs w:val="20"/>
                              </w:rPr>
                              <m:t>idle-time-test</m:t>
                            </m:r>
                          </m:sub>
                        </m:sSub>
                      </m:e>
                    </m:d>
                    <m:r>
                      <w:rPr>
                        <w:rFonts w:ascii="Cambria Math" w:eastAsiaTheme="minorEastAsia" w:hAnsi="Cambria Math"/>
                        <w:sz w:val="20"/>
                        <w:szCs w:val="20"/>
                      </w:rPr>
                      <m:t>None</m:t>
                    </m:r>
                  </m:e>
                </m:d>
                <m:r>
                  <m:rPr>
                    <m:scr m:val="script"/>
                  </m:rPr>
                  <w:rPr>
                    <w:rFonts w:ascii="Cambria Math" w:eastAsiaTheme="minorEastAsia" w:hAnsi="Cambria Math"/>
                    <w:sz w:val="20"/>
                    <w:szCs w:val="20"/>
                  </w:rPr>
                  <m:t>∙L</m:t>
                </m:r>
                <m:d>
                  <m:dPr>
                    <m:ctrlPr>
                      <w:rPr>
                        <w:rFonts w:ascii="Cambria Math" w:eastAsiaTheme="minorEastAsia" w:hAnsi="Cambria Math"/>
                        <w:i/>
                        <w:sz w:val="20"/>
                        <w:szCs w:val="20"/>
                      </w:rPr>
                    </m:ctrlPr>
                  </m:dPr>
                  <m:e>
                    <m:sSub>
                      <m:sSubPr>
                        <m:ctrlPr>
                          <w:rPr>
                            <w:rFonts w:ascii="Cambria Math" w:eastAsiaTheme="minorEastAsia" w:hAnsi="Cambria Math"/>
                            <w:i/>
                            <w:sz w:val="20"/>
                            <w:szCs w:val="20"/>
                          </w:rPr>
                        </m:ctrlPr>
                      </m:sSubPr>
                      <m:e>
                        <m:r>
                          <w:rPr>
                            <w:rFonts w:ascii="Cambria Math" w:eastAsiaTheme="minorEastAsia" w:hAnsi="Cambria Math"/>
                            <w:sz w:val="20"/>
                            <w:szCs w:val="20"/>
                          </w:rPr>
                          <m:t>T1</m:t>
                        </m:r>
                      </m:e>
                      <m:sub>
                        <m:r>
                          <w:rPr>
                            <w:rFonts w:ascii="Cambria Math" w:eastAsiaTheme="minorEastAsia" w:hAnsi="Cambria Math"/>
                            <w:sz w:val="20"/>
                            <w:szCs w:val="20"/>
                          </w:rPr>
                          <m:t>test</m:t>
                        </m:r>
                      </m:sub>
                    </m:sSub>
                    <m:d>
                      <m:dPr>
                        <m:begChr m:val="|"/>
                        <m:endChr m:val=""/>
                        <m:ctrlPr>
                          <w:rPr>
                            <w:rFonts w:ascii="Cambria Math" w:eastAsiaTheme="minorEastAsia" w:hAnsi="Cambria Math"/>
                            <w:i/>
                            <w:sz w:val="20"/>
                            <w:szCs w:val="20"/>
                          </w:rPr>
                        </m:ctrlPr>
                      </m:dPr>
                      <m:e>
                        <m:r>
                          <w:rPr>
                            <w:rFonts w:ascii="Cambria Math" w:eastAsiaTheme="minorEastAsia" w:hAnsi="Cambria Math"/>
                            <w:sz w:val="20"/>
                            <w:szCs w:val="20"/>
                          </w:rPr>
                          <m:t>None</m:t>
                        </m:r>
                      </m:e>
                    </m:d>
                  </m:e>
                </m:d>
                <m:r>
                  <m:rPr>
                    <m:scr m:val="script"/>
                  </m:rPr>
                  <w:rPr>
                    <w:rFonts w:ascii="Cambria Math" w:eastAsiaTheme="minorEastAsia" w:hAnsi="Cambria Math"/>
                    <w:sz w:val="20"/>
                    <w:szCs w:val="20"/>
                  </w:rPr>
                  <m:t>∙L</m:t>
                </m:r>
                <m:d>
                  <m:dPr>
                    <m:ctrlPr>
                      <w:rPr>
                        <w:rFonts w:ascii="Cambria Math" w:eastAsiaTheme="minorEastAsia" w:hAnsi="Cambria Math"/>
                        <w:i/>
                        <w:sz w:val="20"/>
                        <w:szCs w:val="20"/>
                      </w:rPr>
                    </m:ctrlPr>
                  </m:dPr>
                  <m:e>
                    <m:sSub>
                      <m:sSubPr>
                        <m:ctrlPr>
                          <w:rPr>
                            <w:rFonts w:ascii="Cambria Math" w:eastAsiaTheme="minorEastAsia" w:hAnsi="Cambria Math"/>
                            <w:i/>
                            <w:sz w:val="20"/>
                            <w:szCs w:val="20"/>
                          </w:rPr>
                        </m:ctrlPr>
                      </m:sSubPr>
                      <m:e>
                        <m:r>
                          <w:rPr>
                            <w:rFonts w:ascii="Cambria Math" w:eastAsiaTheme="minorEastAsia" w:hAnsi="Cambria Math"/>
                            <w:sz w:val="20"/>
                            <w:szCs w:val="20"/>
                          </w:rPr>
                          <m:t>T2</m:t>
                        </m:r>
                      </m:e>
                      <m:sub>
                        <m:r>
                          <w:rPr>
                            <w:rFonts w:ascii="Cambria Math" w:eastAsiaTheme="minorEastAsia" w:hAnsi="Cambria Math"/>
                            <w:sz w:val="20"/>
                            <w:szCs w:val="20"/>
                          </w:rPr>
                          <m:t>test</m:t>
                        </m:r>
                      </m:sub>
                    </m:sSub>
                    <m:d>
                      <m:dPr>
                        <m:begChr m:val="|"/>
                        <m:endChr m:val=""/>
                        <m:ctrlPr>
                          <w:rPr>
                            <w:rFonts w:ascii="Cambria Math" w:eastAsiaTheme="minorEastAsia" w:hAnsi="Cambria Math"/>
                            <w:i/>
                            <w:sz w:val="20"/>
                            <w:szCs w:val="20"/>
                          </w:rPr>
                        </m:ctrlPr>
                      </m:dPr>
                      <m:e>
                        <m:r>
                          <w:rPr>
                            <w:rFonts w:ascii="Cambria Math" w:eastAsiaTheme="minorEastAsia" w:hAnsi="Cambria Math"/>
                            <w:sz w:val="20"/>
                            <w:szCs w:val="20"/>
                          </w:rPr>
                          <m:t>None</m:t>
                        </m:r>
                      </m:e>
                    </m:d>
                  </m:e>
                </m:d>
                <m:r>
                  <m:rPr>
                    <m:scr m:val="script"/>
                  </m:rPr>
                  <w:rPr>
                    <w:rFonts w:ascii="Cambria Math" w:eastAsiaTheme="minorEastAsia" w:hAnsi="Cambria Math"/>
                    <w:sz w:val="20"/>
                    <w:szCs w:val="20"/>
                  </w:rPr>
                  <m:t>∙L</m:t>
                </m:r>
                <m:d>
                  <m:dPr>
                    <m:ctrlPr>
                      <w:rPr>
                        <w:rFonts w:ascii="Cambria Math" w:eastAsiaTheme="minorEastAsia" w:hAnsi="Cambria Math"/>
                        <w:i/>
                        <w:sz w:val="20"/>
                        <w:szCs w:val="20"/>
                      </w:rPr>
                    </m:ctrlPr>
                  </m:dPr>
                  <m:e>
                    <m:sSub>
                      <m:sSubPr>
                        <m:ctrlPr>
                          <w:rPr>
                            <w:rFonts w:ascii="Cambria Math" w:eastAsiaTheme="minorEastAsia" w:hAnsi="Cambria Math"/>
                            <w:i/>
                            <w:sz w:val="20"/>
                            <w:szCs w:val="20"/>
                          </w:rPr>
                        </m:ctrlPr>
                      </m:sSubPr>
                      <m:e>
                        <m:r>
                          <w:rPr>
                            <w:rFonts w:ascii="Cambria Math" w:eastAsiaTheme="minorEastAsia" w:hAnsi="Cambria Math"/>
                            <w:sz w:val="20"/>
                            <w:szCs w:val="20"/>
                          </w:rPr>
                          <m:t>T4</m:t>
                        </m:r>
                      </m:e>
                      <m:sub>
                        <m:r>
                          <w:rPr>
                            <w:rFonts w:ascii="Cambria Math" w:eastAsiaTheme="minorEastAsia" w:hAnsi="Cambria Math"/>
                            <w:sz w:val="20"/>
                            <w:szCs w:val="20"/>
                          </w:rPr>
                          <m:t>test</m:t>
                        </m:r>
                      </m:sub>
                    </m:sSub>
                    <m:d>
                      <m:dPr>
                        <m:begChr m:val="|"/>
                        <m:endChr m:val=""/>
                        <m:ctrlPr>
                          <w:rPr>
                            <w:rFonts w:ascii="Cambria Math" w:eastAsiaTheme="minorEastAsia" w:hAnsi="Cambria Math"/>
                            <w:i/>
                            <w:sz w:val="20"/>
                            <w:szCs w:val="20"/>
                          </w:rPr>
                        </m:ctrlPr>
                      </m:dPr>
                      <m:e>
                        <m:r>
                          <w:rPr>
                            <w:rFonts w:ascii="Cambria Math" w:eastAsiaTheme="minorEastAsia" w:hAnsi="Cambria Math"/>
                            <w:sz w:val="20"/>
                            <w:szCs w:val="20"/>
                          </w:rPr>
                          <m:t>None</m:t>
                        </m:r>
                      </m:e>
                    </m:d>
                  </m:e>
                </m:d>
                <m:r>
                  <m:rPr>
                    <m:scr m:val="script"/>
                  </m:rPr>
                  <w:rPr>
                    <w:rFonts w:ascii="Cambria Math" w:eastAsiaTheme="minorEastAsia" w:hAnsi="Cambria Math"/>
                    <w:sz w:val="20"/>
                    <w:szCs w:val="20"/>
                  </w:rPr>
                  <m:t>∙L</m:t>
                </m:r>
                <m:d>
                  <m:dPr>
                    <m:ctrlPr>
                      <w:rPr>
                        <w:rFonts w:ascii="Cambria Math" w:eastAsiaTheme="minorEastAsia" w:hAnsi="Cambria Math"/>
                        <w:i/>
                        <w:sz w:val="20"/>
                        <w:szCs w:val="20"/>
                      </w:rPr>
                    </m:ctrlPr>
                  </m:dPr>
                  <m:e>
                    <m:sSub>
                      <m:sSubPr>
                        <m:ctrlPr>
                          <w:rPr>
                            <w:rFonts w:ascii="Cambria Math" w:eastAsiaTheme="minorEastAsia" w:hAnsi="Cambria Math"/>
                            <w:i/>
                            <w:sz w:val="20"/>
                            <w:szCs w:val="20"/>
                          </w:rPr>
                        </m:ctrlPr>
                      </m:sSubPr>
                      <m:e>
                        <m:r>
                          <w:rPr>
                            <w:rFonts w:ascii="Cambria Math" w:eastAsiaTheme="minorEastAsia" w:hAnsi="Cambria Math"/>
                            <w:sz w:val="20"/>
                            <w:szCs w:val="20"/>
                          </w:rPr>
                          <m:t>Load_kg</m:t>
                        </m:r>
                      </m:e>
                      <m:sub>
                        <m:r>
                          <w:rPr>
                            <w:rFonts w:ascii="Cambria Math" w:eastAsiaTheme="minorEastAsia" w:hAnsi="Cambria Math"/>
                            <w:sz w:val="20"/>
                            <w:szCs w:val="20"/>
                          </w:rPr>
                          <m:t>test</m:t>
                        </m:r>
                      </m:sub>
                    </m:sSub>
                    <m:d>
                      <m:dPr>
                        <m:begChr m:val="|"/>
                        <m:endChr m:val=""/>
                        <m:ctrlPr>
                          <w:rPr>
                            <w:rFonts w:ascii="Cambria Math" w:eastAsiaTheme="minorEastAsia" w:hAnsi="Cambria Math"/>
                            <w:i/>
                            <w:sz w:val="20"/>
                            <w:szCs w:val="20"/>
                          </w:rPr>
                        </m:ctrlPr>
                      </m:dPr>
                      <m:e>
                        <m:r>
                          <w:rPr>
                            <w:rFonts w:ascii="Cambria Math" w:eastAsiaTheme="minorEastAsia" w:hAnsi="Cambria Math"/>
                            <w:sz w:val="20"/>
                            <w:szCs w:val="20"/>
                          </w:rPr>
                          <m:t>None</m:t>
                        </m:r>
                      </m:e>
                    </m:d>
                  </m:e>
                </m:d>
                <m:r>
                  <m:rPr>
                    <m:scr m:val="script"/>
                  </m:rPr>
                  <w:rPr>
                    <w:rFonts w:ascii="Cambria Math" w:eastAsiaTheme="minorEastAsia" w:hAnsi="Cambria Math"/>
                    <w:sz w:val="20"/>
                    <w:szCs w:val="20"/>
                  </w:rPr>
                  <m:t xml:space="preserve"> ∙L</m:t>
                </m:r>
                <m:d>
                  <m:dPr>
                    <m:ctrlPr>
                      <w:rPr>
                        <w:rFonts w:ascii="Cambria Math" w:eastAsiaTheme="minorEastAsia" w:hAnsi="Cambria Math"/>
                        <w:i/>
                        <w:sz w:val="20"/>
                        <w:szCs w:val="20"/>
                      </w:rPr>
                    </m:ctrlPr>
                  </m:dPr>
                  <m:e>
                    <m:sSub>
                      <m:sSubPr>
                        <m:ctrlPr>
                          <w:rPr>
                            <w:rFonts w:ascii="Cambria Math" w:eastAsiaTheme="minorEastAsia" w:hAnsi="Cambria Math"/>
                            <w:i/>
                            <w:sz w:val="20"/>
                            <w:szCs w:val="20"/>
                          </w:rPr>
                        </m:ctrlPr>
                      </m:sSubPr>
                      <m:e>
                        <m:r>
                          <w:rPr>
                            <w:rFonts w:ascii="Cambria Math" w:eastAsiaTheme="minorEastAsia" w:hAnsi="Cambria Math"/>
                            <w:sz w:val="20"/>
                            <w:szCs w:val="20"/>
                          </w:rPr>
                          <m:t>N_StDev_OS</m:t>
                        </m:r>
                      </m:e>
                      <m:sub>
                        <m:r>
                          <w:rPr>
                            <w:rFonts w:ascii="Cambria Math" w:eastAsiaTheme="minorEastAsia" w:hAnsi="Cambria Math"/>
                            <w:sz w:val="20"/>
                            <w:szCs w:val="20"/>
                          </w:rPr>
                          <m:t>test</m:t>
                        </m:r>
                      </m:sub>
                    </m:sSub>
                    <m:d>
                      <m:dPr>
                        <m:begChr m:val="|"/>
                        <m:endChr m:val=""/>
                        <m:ctrlPr>
                          <w:rPr>
                            <w:rFonts w:ascii="Cambria Math" w:eastAsiaTheme="minorEastAsia" w:hAnsi="Cambria Math"/>
                            <w:i/>
                            <w:sz w:val="20"/>
                            <w:szCs w:val="20"/>
                          </w:rPr>
                        </m:ctrlPr>
                      </m:dPr>
                      <m:e>
                        <m:r>
                          <w:rPr>
                            <w:rFonts w:ascii="Cambria Math" w:eastAsiaTheme="minorEastAsia" w:hAnsi="Cambria Math"/>
                            <w:sz w:val="20"/>
                            <w:szCs w:val="20"/>
                          </w:rPr>
                          <m:t>None</m:t>
                        </m:r>
                      </m:e>
                    </m:d>
                  </m:e>
                </m:d>
                <m:r>
                  <m:rPr>
                    <m:scr m:val="script"/>
                  </m:rPr>
                  <w:rPr>
                    <w:rFonts w:ascii="Cambria Math" w:eastAsiaTheme="minorEastAsia" w:hAnsi="Cambria Math"/>
                    <w:sz w:val="20"/>
                    <w:szCs w:val="20"/>
                  </w:rPr>
                  <m:t>∙L</m:t>
                </m:r>
                <m:d>
                  <m:dPr>
                    <m:ctrlPr>
                      <w:rPr>
                        <w:rFonts w:ascii="Cambria Math" w:eastAsiaTheme="minorEastAsia" w:hAnsi="Cambria Math"/>
                        <w:i/>
                        <w:sz w:val="20"/>
                        <w:szCs w:val="20"/>
                      </w:rPr>
                    </m:ctrlPr>
                  </m:dPr>
                  <m:e>
                    <m:sSub>
                      <m:sSubPr>
                        <m:ctrlPr>
                          <w:rPr>
                            <w:rFonts w:ascii="Cambria Math" w:eastAsiaTheme="minorEastAsia" w:hAnsi="Cambria Math"/>
                            <w:i/>
                            <w:sz w:val="20"/>
                            <w:szCs w:val="20"/>
                          </w:rPr>
                        </m:ctrlPr>
                      </m:sSubPr>
                      <m:e>
                        <m:r>
                          <w:rPr>
                            <w:rFonts w:ascii="Cambria Math" w:eastAsiaTheme="minorEastAsia" w:hAnsi="Cambria Math"/>
                            <w:sz w:val="20"/>
                            <w:szCs w:val="20"/>
                          </w:rPr>
                          <m:t>N_Median_OS</m:t>
                        </m:r>
                      </m:e>
                      <m:sub>
                        <m:r>
                          <w:rPr>
                            <w:rFonts w:ascii="Cambria Math" w:eastAsiaTheme="minorEastAsia" w:hAnsi="Cambria Math"/>
                            <w:sz w:val="20"/>
                            <w:szCs w:val="20"/>
                          </w:rPr>
                          <m:t>test</m:t>
                        </m:r>
                      </m:sub>
                    </m:sSub>
                    <m:d>
                      <m:dPr>
                        <m:begChr m:val="|"/>
                        <m:endChr m:val=""/>
                        <m:ctrlPr>
                          <w:rPr>
                            <w:rFonts w:ascii="Cambria Math" w:eastAsiaTheme="minorEastAsia" w:hAnsi="Cambria Math"/>
                            <w:i/>
                            <w:sz w:val="20"/>
                            <w:szCs w:val="20"/>
                          </w:rPr>
                        </m:ctrlPr>
                      </m:dPr>
                      <m:e>
                        <m:r>
                          <w:rPr>
                            <w:rFonts w:ascii="Cambria Math" w:eastAsiaTheme="minorEastAsia" w:hAnsi="Cambria Math"/>
                            <w:sz w:val="20"/>
                            <w:szCs w:val="20"/>
                          </w:rPr>
                          <m:t>None</m:t>
                        </m:r>
                      </m:e>
                    </m:d>
                  </m:e>
                </m:d>
                <m:r>
                  <m:rPr>
                    <m:scr m:val="script"/>
                  </m:rPr>
                  <w:rPr>
                    <w:rFonts w:ascii="Cambria Math" w:eastAsiaTheme="minorEastAsia" w:hAnsi="Cambria Math"/>
                    <w:sz w:val="20"/>
                    <w:szCs w:val="20"/>
                  </w:rPr>
                  <m:t>∙L</m:t>
                </m:r>
                <m:d>
                  <m:dPr>
                    <m:ctrlPr>
                      <w:rPr>
                        <w:rFonts w:ascii="Cambria Math" w:eastAsiaTheme="minorEastAsia" w:hAnsi="Cambria Math"/>
                        <w:i/>
                        <w:sz w:val="20"/>
                        <w:szCs w:val="20"/>
                      </w:rPr>
                    </m:ctrlPr>
                  </m:dPr>
                  <m:e>
                    <m:sSub>
                      <m:sSubPr>
                        <m:ctrlPr>
                          <w:rPr>
                            <w:rFonts w:ascii="Cambria Math" w:eastAsiaTheme="minorEastAsia" w:hAnsi="Cambria Math"/>
                            <w:i/>
                            <w:sz w:val="20"/>
                            <w:szCs w:val="20"/>
                          </w:rPr>
                        </m:ctrlPr>
                      </m:sSubPr>
                      <m:e>
                        <m:r>
                          <w:rPr>
                            <w:rFonts w:ascii="Cambria Math" w:eastAsiaTheme="minorEastAsia" w:hAnsi="Cambria Math"/>
                            <w:sz w:val="20"/>
                            <w:szCs w:val="20"/>
                          </w:rPr>
                          <m:t>N_Min_OS</m:t>
                        </m:r>
                      </m:e>
                      <m:sub>
                        <m:r>
                          <w:rPr>
                            <w:rFonts w:ascii="Cambria Math" w:eastAsiaTheme="minorEastAsia" w:hAnsi="Cambria Math"/>
                            <w:sz w:val="20"/>
                            <w:szCs w:val="20"/>
                          </w:rPr>
                          <m:t>test</m:t>
                        </m:r>
                      </m:sub>
                    </m:sSub>
                    <m:d>
                      <m:dPr>
                        <m:begChr m:val="|"/>
                        <m:endChr m:val=""/>
                        <m:ctrlPr>
                          <w:rPr>
                            <w:rFonts w:ascii="Cambria Math" w:eastAsiaTheme="minorEastAsia" w:hAnsi="Cambria Math"/>
                            <w:i/>
                            <w:sz w:val="20"/>
                            <w:szCs w:val="20"/>
                          </w:rPr>
                        </m:ctrlPr>
                      </m:dPr>
                      <m:e>
                        <m:r>
                          <w:rPr>
                            <w:rFonts w:ascii="Cambria Math" w:eastAsiaTheme="minorEastAsia" w:hAnsi="Cambria Math"/>
                            <w:sz w:val="20"/>
                            <w:szCs w:val="20"/>
                          </w:rPr>
                          <m:t>None</m:t>
                        </m:r>
                      </m:e>
                    </m:d>
                  </m:e>
                </m:d>
                <m:r>
                  <m:rPr>
                    <m:scr m:val="script"/>
                  </m:rPr>
                  <w:rPr>
                    <w:rFonts w:ascii="Cambria Math" w:eastAsiaTheme="minorEastAsia" w:hAnsi="Cambria Math"/>
                    <w:sz w:val="20"/>
                    <w:szCs w:val="20"/>
                  </w:rPr>
                  <m:t>∙L</m:t>
                </m:r>
                <m:d>
                  <m:dPr>
                    <m:ctrlPr>
                      <w:rPr>
                        <w:rFonts w:ascii="Cambria Math" w:eastAsiaTheme="minorEastAsia" w:hAnsi="Cambria Math"/>
                        <w:i/>
                        <w:sz w:val="20"/>
                        <w:szCs w:val="20"/>
                      </w:rPr>
                    </m:ctrlPr>
                  </m:dPr>
                  <m:e>
                    <m:sSub>
                      <m:sSubPr>
                        <m:ctrlPr>
                          <w:rPr>
                            <w:rFonts w:ascii="Cambria Math" w:eastAsiaTheme="minorEastAsia" w:hAnsi="Cambria Math"/>
                            <w:i/>
                            <w:sz w:val="20"/>
                            <w:szCs w:val="20"/>
                          </w:rPr>
                        </m:ctrlPr>
                      </m:sSubPr>
                      <m:e>
                        <m:r>
                          <w:rPr>
                            <w:rFonts w:ascii="Cambria Math" w:eastAsiaTheme="minorEastAsia" w:hAnsi="Cambria Math"/>
                            <w:sz w:val="20"/>
                            <w:szCs w:val="20"/>
                          </w:rPr>
                          <m:t>Max</m:t>
                        </m:r>
                      </m:e>
                      <m:sub>
                        <m:r>
                          <w:rPr>
                            <w:rFonts w:ascii="Cambria Math" w:eastAsiaTheme="minorEastAsia" w:hAnsi="Cambria Math"/>
                            <w:sz w:val="20"/>
                            <w:szCs w:val="20"/>
                          </w:rPr>
                          <m:t>test</m:t>
                        </m:r>
                      </m:sub>
                    </m:sSub>
                    <m:d>
                      <m:dPr>
                        <m:begChr m:val="|"/>
                        <m:endChr m:val=""/>
                        <m:ctrlPr>
                          <w:rPr>
                            <w:rFonts w:ascii="Cambria Math" w:eastAsiaTheme="minorEastAsia" w:hAnsi="Cambria Math"/>
                            <w:i/>
                            <w:sz w:val="20"/>
                            <w:szCs w:val="20"/>
                          </w:rPr>
                        </m:ctrlPr>
                      </m:dPr>
                      <m:e>
                        <m:r>
                          <w:rPr>
                            <w:rFonts w:ascii="Cambria Math" w:eastAsiaTheme="minorEastAsia" w:hAnsi="Cambria Math"/>
                            <w:sz w:val="20"/>
                            <w:szCs w:val="20"/>
                          </w:rPr>
                          <m:t>None</m:t>
                        </m:r>
                      </m:e>
                    </m:d>
                  </m:e>
                </m:d>
                <m:r>
                  <m:rPr>
                    <m:scr m:val="script"/>
                  </m:rPr>
                  <w:rPr>
                    <w:rFonts w:ascii="Cambria Math" w:eastAsiaTheme="minorEastAsia" w:hAnsi="Cambria Math"/>
                    <w:sz w:val="20"/>
                    <w:szCs w:val="20"/>
                  </w:rPr>
                  <m:t>∙L</m:t>
                </m:r>
                <m:d>
                  <m:dPr>
                    <m:ctrlPr>
                      <w:rPr>
                        <w:rFonts w:ascii="Cambria Math" w:eastAsiaTheme="minorEastAsia" w:hAnsi="Cambria Math"/>
                        <w:i/>
                        <w:sz w:val="20"/>
                        <w:szCs w:val="20"/>
                      </w:rPr>
                    </m:ctrlPr>
                  </m:dPr>
                  <m:e>
                    <m:d>
                      <m:dPr>
                        <m:begChr m:val=""/>
                        <m:endChr m:val="|"/>
                        <m:ctrlPr>
                          <w:rPr>
                            <w:rFonts w:ascii="Cambria Math" w:eastAsiaTheme="minorEastAsia" w:hAnsi="Cambria Math"/>
                            <w:i/>
                            <w:iCs/>
                            <w:sz w:val="20"/>
                            <w:szCs w:val="20"/>
                          </w:rPr>
                        </m:ctrlPr>
                      </m:dPr>
                      <m:e>
                        <m:sSub>
                          <m:sSubPr>
                            <m:ctrlPr>
                              <w:rPr>
                                <w:rFonts w:ascii="Cambria Math" w:eastAsiaTheme="minorEastAsia" w:hAnsi="Cambria Math"/>
                                <w:i/>
                                <w:sz w:val="20"/>
                                <w:szCs w:val="20"/>
                              </w:rPr>
                            </m:ctrlPr>
                          </m:sSubPr>
                          <m:e>
                            <m:r>
                              <w:rPr>
                                <w:rFonts w:ascii="Cambria Math" w:eastAsiaTheme="minorEastAsia" w:hAnsi="Cambria Math"/>
                                <w:sz w:val="20"/>
                                <w:szCs w:val="20"/>
                              </w:rPr>
                              <m:t>N_Kurt_OS</m:t>
                            </m:r>
                          </m:e>
                          <m:sub>
                            <m:r>
                              <w:rPr>
                                <w:rFonts w:ascii="Cambria Math" w:eastAsiaTheme="minorEastAsia" w:hAnsi="Cambria Math"/>
                                <w:sz w:val="20"/>
                                <w:szCs w:val="20"/>
                              </w:rPr>
                              <m:t>test</m:t>
                            </m:r>
                          </m:sub>
                        </m:sSub>
                      </m:e>
                    </m:d>
                    <m:r>
                      <w:rPr>
                        <w:rFonts w:ascii="Cambria Math" w:eastAsiaTheme="minorEastAsia" w:hAnsi="Cambria Math"/>
                        <w:sz w:val="20"/>
                        <w:szCs w:val="20"/>
                      </w:rPr>
                      <m:t>None</m:t>
                    </m:r>
                  </m:e>
                </m:d>
              </m:oMath>
            </m:oMathPara>
          </w:p>
        </w:tc>
        <w:tc>
          <w:tcPr>
            <w:tcW w:w="772" w:type="dxa"/>
            <w:vAlign w:val="center"/>
          </w:tcPr>
          <w:p w14:paraId="3A9F145B" w14:textId="17224953" w:rsidR="006C2142" w:rsidRDefault="002C693A" w:rsidP="002C693A">
            <w:pPr>
              <w:spacing w:before="0" w:after="0"/>
              <w:jc w:val="right"/>
            </w:pPr>
            <w:bookmarkStart w:id="571" w:name="_Ref101273700"/>
            <w: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17</w:t>
            </w:r>
            <w:r w:rsidR="00427B33">
              <w:rPr>
                <w:noProof/>
              </w:rPr>
              <w:fldChar w:fldCharType="end"/>
            </w:r>
            <w:bookmarkEnd w:id="571"/>
            <w:r>
              <w:t>)</w:t>
            </w:r>
          </w:p>
        </w:tc>
      </w:tr>
    </w:tbl>
    <w:p w14:paraId="45099E70" w14:textId="2C86C9DE" w:rsidR="006C2142" w:rsidRDefault="006C2142" w:rsidP="006C2142">
      <w:r>
        <w:t xml:space="preserve">while also calculating the same probabilities and likelihoods of </w:t>
      </w:r>
      <w:r w:rsidR="00550CFE">
        <w:t xml:space="preserve">the </w:t>
      </w:r>
      <w:r>
        <w:t>“</w:t>
      </w:r>
      <w:r w:rsidRPr="00866296">
        <w:rPr>
          <w:i/>
          <w:iCs/>
        </w:rPr>
        <w:t>Quasi-fault</w:t>
      </w:r>
      <w:r>
        <w:t>” class label: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5"/>
        <w:gridCol w:w="772"/>
      </w:tblGrid>
      <w:tr w:rsidR="006C2142" w14:paraId="79E05BF4" w14:textId="77777777" w:rsidTr="002C693A">
        <w:trPr>
          <w:trHeight w:val="453"/>
        </w:trPr>
        <w:tc>
          <w:tcPr>
            <w:tcW w:w="8245" w:type="dxa"/>
            <w:vAlign w:val="center"/>
          </w:tcPr>
          <w:p w14:paraId="1D0FF965" w14:textId="77777777" w:rsidR="006C2142" w:rsidRPr="006E7F97" w:rsidRDefault="006C2142" w:rsidP="00CC5DAD">
            <w:pPr>
              <w:spacing w:before="0" w:after="0"/>
              <w:jc w:val="center"/>
              <w:rPr>
                <w:i/>
                <w:sz w:val="20"/>
                <w:szCs w:val="20"/>
                <w:lang w:val="en-GB"/>
              </w:rPr>
            </w:pPr>
            <m:oMathPara>
              <m:oMath>
                <m:r>
                  <w:rPr>
                    <w:rFonts w:ascii="Cambria Math" w:eastAsiaTheme="minorEastAsia" w:hAnsi="Cambria Math"/>
                    <w:sz w:val="20"/>
                    <w:szCs w:val="20"/>
                  </w:rPr>
                  <w:lastRenderedPageBreak/>
                  <m:t>p</m:t>
                </m:r>
                <m:d>
                  <m:dPr>
                    <m:ctrlPr>
                      <w:rPr>
                        <w:rFonts w:ascii="Cambria Math" w:eastAsiaTheme="minorEastAsia" w:hAnsi="Cambria Math"/>
                        <w:i/>
                        <w:iCs/>
                        <w:sz w:val="20"/>
                        <w:szCs w:val="20"/>
                      </w:rPr>
                    </m:ctrlPr>
                  </m:dPr>
                  <m:e>
                    <m:d>
                      <m:dPr>
                        <m:begChr m:val=""/>
                        <m:endChr m:val="|"/>
                        <m:ctrlPr>
                          <w:rPr>
                            <w:rFonts w:ascii="Cambria Math" w:eastAsiaTheme="minorEastAsia" w:hAnsi="Cambria Math"/>
                            <w:i/>
                            <w:iCs/>
                            <w:sz w:val="20"/>
                            <w:szCs w:val="20"/>
                          </w:rPr>
                        </m:ctrlPr>
                      </m:dPr>
                      <m:e>
                        <m:sSub>
                          <m:sSubPr>
                            <m:ctrlPr>
                              <w:rPr>
                                <w:rFonts w:ascii="Cambria Math" w:eastAsiaTheme="minorEastAsia" w:hAnsi="Cambria Math"/>
                                <w:i/>
                                <w:iCs/>
                                <w:sz w:val="20"/>
                                <w:szCs w:val="20"/>
                              </w:rPr>
                            </m:ctrlPr>
                          </m:sSubPr>
                          <m:e>
                            <m:r>
                              <w:rPr>
                                <w:rFonts w:ascii="Cambria Math" w:eastAsiaTheme="minorEastAsia" w:hAnsi="Cambria Math"/>
                                <w:sz w:val="20"/>
                                <w:szCs w:val="20"/>
                              </w:rPr>
                              <m:t>x</m:t>
                            </m:r>
                          </m:e>
                          <m:sub>
                            <m:r>
                              <w:rPr>
                                <w:rFonts w:ascii="Cambria Math" w:eastAsiaTheme="minorEastAsia" w:hAnsi="Cambria Math"/>
                                <w:sz w:val="20"/>
                                <w:szCs w:val="20"/>
                              </w:rPr>
                              <m:t>i-test</m:t>
                            </m:r>
                          </m:sub>
                        </m:sSub>
                      </m:e>
                    </m:d>
                    <m:r>
                      <w:rPr>
                        <w:rFonts w:ascii="Cambria Math" w:eastAsiaTheme="minorEastAsia" w:hAnsi="Cambria Math"/>
                        <w:sz w:val="20"/>
                        <w:szCs w:val="20"/>
                      </w:rPr>
                      <m:t>Quasi-fault</m:t>
                    </m:r>
                  </m:e>
                </m:d>
                <m:r>
                  <w:rPr>
                    <w:rFonts w:ascii="Cambria Math" w:eastAsiaTheme="minorEastAsia" w:hAnsi="Cambria Math"/>
                    <w:sz w:val="20"/>
                    <w:szCs w:val="20"/>
                  </w:rPr>
                  <m:t>=p</m:t>
                </m:r>
                <m:d>
                  <m:dPr>
                    <m:ctrlPr>
                      <w:rPr>
                        <w:rFonts w:ascii="Cambria Math" w:eastAsiaTheme="minorEastAsia" w:hAnsi="Cambria Math"/>
                        <w:i/>
                        <w:sz w:val="20"/>
                        <w:szCs w:val="20"/>
                      </w:rPr>
                    </m:ctrlPr>
                  </m:dPr>
                  <m:e>
                    <m:r>
                      <w:rPr>
                        <w:rFonts w:ascii="Cambria Math" w:eastAsiaTheme="minorEastAsia" w:hAnsi="Cambria Math"/>
                        <w:sz w:val="20"/>
                        <w:szCs w:val="20"/>
                      </w:rPr>
                      <m:t>Quasi-fault</m:t>
                    </m:r>
                    <m:d>
                      <m:dPr>
                        <m:begChr m:val="|"/>
                        <m:endChr m:val=""/>
                        <m:ctrlPr>
                          <w:rPr>
                            <w:rFonts w:ascii="Cambria Math" w:eastAsiaTheme="minorEastAsia" w:hAnsi="Cambria Math"/>
                            <w:i/>
                            <w:sz w:val="20"/>
                            <w:szCs w:val="20"/>
                          </w:rPr>
                        </m:ctrlPr>
                      </m:dPr>
                      <m:e>
                        <m:r>
                          <w:rPr>
                            <w:rFonts w:ascii="Cambria Math" w:eastAsiaTheme="minorEastAsia" w:hAnsi="Cambria Math"/>
                            <w:sz w:val="20"/>
                            <w:szCs w:val="20"/>
                          </w:rPr>
                          <m:t>Training</m:t>
                        </m:r>
                      </m:e>
                    </m:d>
                  </m:e>
                </m:d>
                <m:r>
                  <m:rPr>
                    <m:scr m:val="script"/>
                  </m:rPr>
                  <w:rPr>
                    <w:rFonts w:ascii="Cambria Math" w:eastAsiaTheme="minorEastAsia" w:hAnsi="Cambria Math"/>
                    <w:sz w:val="20"/>
                    <w:szCs w:val="20"/>
                  </w:rPr>
                  <m:t>∙L</m:t>
                </m:r>
                <m:d>
                  <m:dPr>
                    <m:ctrlPr>
                      <w:rPr>
                        <w:rFonts w:ascii="Cambria Math" w:eastAsiaTheme="minorEastAsia" w:hAnsi="Cambria Math"/>
                        <w:i/>
                        <w:sz w:val="20"/>
                        <w:szCs w:val="20"/>
                      </w:rPr>
                    </m:ctrlPr>
                  </m:dPr>
                  <m:e>
                    <m:d>
                      <m:dPr>
                        <m:begChr m:val=""/>
                        <m:endChr m:val="|"/>
                        <m:ctrlPr>
                          <w:rPr>
                            <w:rFonts w:ascii="Cambria Math" w:eastAsiaTheme="minorEastAsia" w:hAnsi="Cambria Math"/>
                            <w:i/>
                            <w:iCs/>
                            <w:sz w:val="20"/>
                            <w:szCs w:val="20"/>
                          </w:rPr>
                        </m:ctrlPr>
                      </m:dPr>
                      <m:e>
                        <m:r>
                          <w:rPr>
                            <w:rFonts w:ascii="Cambria Math" w:eastAsiaTheme="minorEastAsia" w:hAnsi="Cambria Math"/>
                            <w:sz w:val="20"/>
                            <w:szCs w:val="20"/>
                          </w:rPr>
                          <m:t>H</m:t>
                        </m:r>
                        <m:sSub>
                          <m:sSubPr>
                            <m:ctrlPr>
                              <w:rPr>
                                <w:rFonts w:ascii="Cambria Math" w:eastAsiaTheme="minorEastAsia" w:hAnsi="Cambria Math"/>
                                <w:i/>
                                <w:iCs/>
                                <w:sz w:val="20"/>
                                <w:szCs w:val="20"/>
                              </w:rPr>
                            </m:ctrlPr>
                          </m:sSubPr>
                          <m:e>
                            <m:r>
                              <w:rPr>
                                <w:rFonts w:ascii="Cambria Math" w:eastAsiaTheme="minorEastAsia" w:hAnsi="Cambria Math"/>
                                <w:sz w:val="20"/>
                                <w:szCs w:val="20"/>
                              </w:rPr>
                              <m:t>S</m:t>
                            </m:r>
                          </m:e>
                          <m:sub>
                            <m:r>
                              <w:rPr>
                                <w:rFonts w:ascii="Cambria Math" w:eastAsiaTheme="minorEastAsia" w:hAnsi="Cambria Math"/>
                                <w:sz w:val="20"/>
                                <w:szCs w:val="20"/>
                              </w:rPr>
                              <m:t>idle-time-test</m:t>
                            </m:r>
                          </m:sub>
                        </m:sSub>
                      </m:e>
                    </m:d>
                    <m:r>
                      <w:rPr>
                        <w:rFonts w:ascii="Cambria Math" w:eastAsiaTheme="minorEastAsia" w:hAnsi="Cambria Math"/>
                        <w:sz w:val="20"/>
                        <w:szCs w:val="20"/>
                      </w:rPr>
                      <m:t>Quasi-fault</m:t>
                    </m:r>
                  </m:e>
                </m:d>
                <m:r>
                  <m:rPr>
                    <m:scr m:val="script"/>
                  </m:rPr>
                  <w:rPr>
                    <w:rFonts w:ascii="Cambria Math" w:eastAsiaTheme="minorEastAsia" w:hAnsi="Cambria Math"/>
                    <w:sz w:val="20"/>
                    <w:szCs w:val="20"/>
                  </w:rPr>
                  <m:t>∙L</m:t>
                </m:r>
                <m:d>
                  <m:dPr>
                    <m:ctrlPr>
                      <w:rPr>
                        <w:rFonts w:ascii="Cambria Math" w:eastAsiaTheme="minorEastAsia" w:hAnsi="Cambria Math"/>
                        <w:i/>
                        <w:sz w:val="20"/>
                        <w:szCs w:val="20"/>
                      </w:rPr>
                    </m:ctrlPr>
                  </m:dPr>
                  <m:e>
                    <m:sSub>
                      <m:sSubPr>
                        <m:ctrlPr>
                          <w:rPr>
                            <w:rFonts w:ascii="Cambria Math" w:eastAsiaTheme="minorEastAsia" w:hAnsi="Cambria Math"/>
                            <w:i/>
                            <w:sz w:val="20"/>
                            <w:szCs w:val="20"/>
                          </w:rPr>
                        </m:ctrlPr>
                      </m:sSubPr>
                      <m:e>
                        <m:r>
                          <w:rPr>
                            <w:rFonts w:ascii="Cambria Math" w:eastAsiaTheme="minorEastAsia" w:hAnsi="Cambria Math"/>
                            <w:sz w:val="20"/>
                            <w:szCs w:val="20"/>
                          </w:rPr>
                          <m:t>T1</m:t>
                        </m:r>
                      </m:e>
                      <m:sub>
                        <m:r>
                          <w:rPr>
                            <w:rFonts w:ascii="Cambria Math" w:eastAsiaTheme="minorEastAsia" w:hAnsi="Cambria Math"/>
                            <w:sz w:val="20"/>
                            <w:szCs w:val="20"/>
                          </w:rPr>
                          <m:t>test</m:t>
                        </m:r>
                      </m:sub>
                    </m:sSub>
                    <m:d>
                      <m:dPr>
                        <m:begChr m:val="|"/>
                        <m:endChr m:val=""/>
                        <m:ctrlPr>
                          <w:rPr>
                            <w:rFonts w:ascii="Cambria Math" w:eastAsiaTheme="minorEastAsia" w:hAnsi="Cambria Math"/>
                            <w:i/>
                            <w:sz w:val="20"/>
                            <w:szCs w:val="20"/>
                          </w:rPr>
                        </m:ctrlPr>
                      </m:dPr>
                      <m:e>
                        <m:r>
                          <w:rPr>
                            <w:rFonts w:ascii="Cambria Math" w:eastAsiaTheme="minorEastAsia" w:hAnsi="Cambria Math"/>
                            <w:sz w:val="20"/>
                            <w:szCs w:val="20"/>
                          </w:rPr>
                          <m:t>Quasi-fault</m:t>
                        </m:r>
                      </m:e>
                    </m:d>
                  </m:e>
                </m:d>
                <m:r>
                  <m:rPr>
                    <m:scr m:val="script"/>
                  </m:rPr>
                  <w:rPr>
                    <w:rFonts w:ascii="Cambria Math" w:eastAsiaTheme="minorEastAsia" w:hAnsi="Cambria Math"/>
                    <w:sz w:val="20"/>
                    <w:szCs w:val="20"/>
                  </w:rPr>
                  <m:t>∙L</m:t>
                </m:r>
                <m:d>
                  <m:dPr>
                    <m:ctrlPr>
                      <w:rPr>
                        <w:rFonts w:ascii="Cambria Math" w:eastAsiaTheme="minorEastAsia" w:hAnsi="Cambria Math"/>
                        <w:i/>
                        <w:sz w:val="20"/>
                        <w:szCs w:val="20"/>
                      </w:rPr>
                    </m:ctrlPr>
                  </m:dPr>
                  <m:e>
                    <m:sSub>
                      <m:sSubPr>
                        <m:ctrlPr>
                          <w:rPr>
                            <w:rFonts w:ascii="Cambria Math" w:eastAsiaTheme="minorEastAsia" w:hAnsi="Cambria Math"/>
                            <w:i/>
                            <w:sz w:val="20"/>
                            <w:szCs w:val="20"/>
                          </w:rPr>
                        </m:ctrlPr>
                      </m:sSubPr>
                      <m:e>
                        <m:r>
                          <w:rPr>
                            <w:rFonts w:ascii="Cambria Math" w:eastAsiaTheme="minorEastAsia" w:hAnsi="Cambria Math"/>
                            <w:sz w:val="20"/>
                            <w:szCs w:val="20"/>
                          </w:rPr>
                          <m:t>T2</m:t>
                        </m:r>
                      </m:e>
                      <m:sub>
                        <m:r>
                          <w:rPr>
                            <w:rFonts w:ascii="Cambria Math" w:eastAsiaTheme="minorEastAsia" w:hAnsi="Cambria Math"/>
                            <w:sz w:val="20"/>
                            <w:szCs w:val="20"/>
                          </w:rPr>
                          <m:t>test</m:t>
                        </m:r>
                      </m:sub>
                    </m:sSub>
                    <m:d>
                      <m:dPr>
                        <m:begChr m:val="|"/>
                        <m:endChr m:val=""/>
                        <m:ctrlPr>
                          <w:rPr>
                            <w:rFonts w:ascii="Cambria Math" w:eastAsiaTheme="minorEastAsia" w:hAnsi="Cambria Math"/>
                            <w:i/>
                            <w:sz w:val="20"/>
                            <w:szCs w:val="20"/>
                          </w:rPr>
                        </m:ctrlPr>
                      </m:dPr>
                      <m:e>
                        <m:r>
                          <w:rPr>
                            <w:rFonts w:ascii="Cambria Math" w:eastAsiaTheme="minorEastAsia" w:hAnsi="Cambria Math"/>
                            <w:sz w:val="20"/>
                            <w:szCs w:val="20"/>
                          </w:rPr>
                          <m:t>Quasi-fault</m:t>
                        </m:r>
                      </m:e>
                    </m:d>
                  </m:e>
                </m:d>
                <m:r>
                  <m:rPr>
                    <m:scr m:val="script"/>
                  </m:rPr>
                  <w:rPr>
                    <w:rFonts w:ascii="Cambria Math" w:eastAsiaTheme="minorEastAsia" w:hAnsi="Cambria Math"/>
                    <w:sz w:val="20"/>
                    <w:szCs w:val="20"/>
                  </w:rPr>
                  <m:t>∙L</m:t>
                </m:r>
                <m:d>
                  <m:dPr>
                    <m:ctrlPr>
                      <w:rPr>
                        <w:rFonts w:ascii="Cambria Math" w:eastAsiaTheme="minorEastAsia" w:hAnsi="Cambria Math"/>
                        <w:i/>
                        <w:sz w:val="20"/>
                        <w:szCs w:val="20"/>
                      </w:rPr>
                    </m:ctrlPr>
                  </m:dPr>
                  <m:e>
                    <m:sSub>
                      <m:sSubPr>
                        <m:ctrlPr>
                          <w:rPr>
                            <w:rFonts w:ascii="Cambria Math" w:eastAsiaTheme="minorEastAsia" w:hAnsi="Cambria Math"/>
                            <w:i/>
                            <w:sz w:val="20"/>
                            <w:szCs w:val="20"/>
                          </w:rPr>
                        </m:ctrlPr>
                      </m:sSubPr>
                      <m:e>
                        <m:r>
                          <w:rPr>
                            <w:rFonts w:ascii="Cambria Math" w:eastAsiaTheme="minorEastAsia" w:hAnsi="Cambria Math"/>
                            <w:sz w:val="20"/>
                            <w:szCs w:val="20"/>
                          </w:rPr>
                          <m:t>T4</m:t>
                        </m:r>
                      </m:e>
                      <m:sub>
                        <m:r>
                          <w:rPr>
                            <w:rFonts w:ascii="Cambria Math" w:eastAsiaTheme="minorEastAsia" w:hAnsi="Cambria Math"/>
                            <w:sz w:val="20"/>
                            <w:szCs w:val="20"/>
                          </w:rPr>
                          <m:t>test</m:t>
                        </m:r>
                      </m:sub>
                    </m:sSub>
                    <m:d>
                      <m:dPr>
                        <m:begChr m:val="|"/>
                        <m:endChr m:val=""/>
                        <m:ctrlPr>
                          <w:rPr>
                            <w:rFonts w:ascii="Cambria Math" w:eastAsiaTheme="minorEastAsia" w:hAnsi="Cambria Math"/>
                            <w:i/>
                            <w:sz w:val="20"/>
                            <w:szCs w:val="20"/>
                          </w:rPr>
                        </m:ctrlPr>
                      </m:dPr>
                      <m:e>
                        <m:r>
                          <w:rPr>
                            <w:rFonts w:ascii="Cambria Math" w:eastAsiaTheme="minorEastAsia" w:hAnsi="Cambria Math"/>
                            <w:sz w:val="20"/>
                            <w:szCs w:val="20"/>
                          </w:rPr>
                          <m:t>Quasi-fault</m:t>
                        </m:r>
                      </m:e>
                    </m:d>
                  </m:e>
                </m:d>
                <m:r>
                  <m:rPr>
                    <m:scr m:val="script"/>
                  </m:rPr>
                  <w:rPr>
                    <w:rFonts w:ascii="Cambria Math" w:eastAsiaTheme="minorEastAsia" w:hAnsi="Cambria Math"/>
                    <w:sz w:val="20"/>
                    <w:szCs w:val="20"/>
                  </w:rPr>
                  <m:t>∙L</m:t>
                </m:r>
                <m:d>
                  <m:dPr>
                    <m:ctrlPr>
                      <w:rPr>
                        <w:rFonts w:ascii="Cambria Math" w:eastAsiaTheme="minorEastAsia" w:hAnsi="Cambria Math"/>
                        <w:i/>
                        <w:sz w:val="20"/>
                        <w:szCs w:val="20"/>
                      </w:rPr>
                    </m:ctrlPr>
                  </m:dPr>
                  <m:e>
                    <m:sSub>
                      <m:sSubPr>
                        <m:ctrlPr>
                          <w:rPr>
                            <w:rFonts w:ascii="Cambria Math" w:eastAsiaTheme="minorEastAsia" w:hAnsi="Cambria Math"/>
                            <w:i/>
                            <w:sz w:val="20"/>
                            <w:szCs w:val="20"/>
                          </w:rPr>
                        </m:ctrlPr>
                      </m:sSubPr>
                      <m:e>
                        <m:r>
                          <w:rPr>
                            <w:rFonts w:ascii="Cambria Math" w:eastAsiaTheme="minorEastAsia" w:hAnsi="Cambria Math"/>
                            <w:sz w:val="20"/>
                            <w:szCs w:val="20"/>
                          </w:rPr>
                          <m:t>Load_kg</m:t>
                        </m:r>
                      </m:e>
                      <m:sub>
                        <m:r>
                          <w:rPr>
                            <w:rFonts w:ascii="Cambria Math" w:eastAsiaTheme="minorEastAsia" w:hAnsi="Cambria Math"/>
                            <w:sz w:val="20"/>
                            <w:szCs w:val="20"/>
                          </w:rPr>
                          <m:t>test</m:t>
                        </m:r>
                      </m:sub>
                    </m:sSub>
                    <m:d>
                      <m:dPr>
                        <m:begChr m:val="|"/>
                        <m:endChr m:val=""/>
                        <m:ctrlPr>
                          <w:rPr>
                            <w:rFonts w:ascii="Cambria Math" w:eastAsiaTheme="minorEastAsia" w:hAnsi="Cambria Math"/>
                            <w:i/>
                            <w:sz w:val="20"/>
                            <w:szCs w:val="20"/>
                          </w:rPr>
                        </m:ctrlPr>
                      </m:dPr>
                      <m:e>
                        <m:r>
                          <w:rPr>
                            <w:rFonts w:ascii="Cambria Math" w:eastAsiaTheme="minorEastAsia" w:hAnsi="Cambria Math"/>
                            <w:sz w:val="20"/>
                            <w:szCs w:val="20"/>
                          </w:rPr>
                          <m:t>Quasi-fault</m:t>
                        </m:r>
                      </m:e>
                    </m:d>
                  </m:e>
                </m:d>
                <m:r>
                  <m:rPr>
                    <m:scr m:val="script"/>
                  </m:rPr>
                  <w:rPr>
                    <w:rFonts w:ascii="Cambria Math" w:eastAsiaTheme="minorEastAsia" w:hAnsi="Cambria Math"/>
                    <w:sz w:val="20"/>
                    <w:szCs w:val="20"/>
                  </w:rPr>
                  <m:t xml:space="preserve"> ∙L</m:t>
                </m:r>
                <m:d>
                  <m:dPr>
                    <m:ctrlPr>
                      <w:rPr>
                        <w:rFonts w:ascii="Cambria Math" w:eastAsiaTheme="minorEastAsia" w:hAnsi="Cambria Math"/>
                        <w:i/>
                        <w:sz w:val="20"/>
                        <w:szCs w:val="20"/>
                      </w:rPr>
                    </m:ctrlPr>
                  </m:dPr>
                  <m:e>
                    <m:sSub>
                      <m:sSubPr>
                        <m:ctrlPr>
                          <w:rPr>
                            <w:rFonts w:ascii="Cambria Math" w:eastAsiaTheme="minorEastAsia" w:hAnsi="Cambria Math"/>
                            <w:i/>
                            <w:sz w:val="20"/>
                            <w:szCs w:val="20"/>
                          </w:rPr>
                        </m:ctrlPr>
                      </m:sSubPr>
                      <m:e>
                        <m:r>
                          <w:rPr>
                            <w:rFonts w:ascii="Cambria Math" w:eastAsiaTheme="minorEastAsia" w:hAnsi="Cambria Math"/>
                            <w:sz w:val="20"/>
                            <w:szCs w:val="20"/>
                          </w:rPr>
                          <m:t>N_StDev_OS</m:t>
                        </m:r>
                      </m:e>
                      <m:sub>
                        <m:r>
                          <w:rPr>
                            <w:rFonts w:ascii="Cambria Math" w:eastAsiaTheme="minorEastAsia" w:hAnsi="Cambria Math"/>
                            <w:sz w:val="20"/>
                            <w:szCs w:val="20"/>
                          </w:rPr>
                          <m:t>test</m:t>
                        </m:r>
                      </m:sub>
                    </m:sSub>
                    <m:d>
                      <m:dPr>
                        <m:begChr m:val="|"/>
                        <m:endChr m:val=""/>
                        <m:ctrlPr>
                          <w:rPr>
                            <w:rFonts w:ascii="Cambria Math" w:eastAsiaTheme="minorEastAsia" w:hAnsi="Cambria Math"/>
                            <w:i/>
                            <w:sz w:val="20"/>
                            <w:szCs w:val="20"/>
                          </w:rPr>
                        </m:ctrlPr>
                      </m:dPr>
                      <m:e>
                        <m:r>
                          <w:rPr>
                            <w:rFonts w:ascii="Cambria Math" w:eastAsiaTheme="minorEastAsia" w:hAnsi="Cambria Math"/>
                            <w:sz w:val="20"/>
                            <w:szCs w:val="20"/>
                          </w:rPr>
                          <m:t>Quasi-fault</m:t>
                        </m:r>
                      </m:e>
                    </m:d>
                  </m:e>
                </m:d>
                <m:r>
                  <m:rPr>
                    <m:scr m:val="script"/>
                  </m:rPr>
                  <w:rPr>
                    <w:rFonts w:ascii="Cambria Math" w:eastAsiaTheme="minorEastAsia" w:hAnsi="Cambria Math"/>
                    <w:sz w:val="20"/>
                    <w:szCs w:val="20"/>
                  </w:rPr>
                  <m:t>∙L</m:t>
                </m:r>
                <m:d>
                  <m:dPr>
                    <m:ctrlPr>
                      <w:rPr>
                        <w:rFonts w:ascii="Cambria Math" w:eastAsiaTheme="minorEastAsia" w:hAnsi="Cambria Math"/>
                        <w:i/>
                        <w:sz w:val="20"/>
                        <w:szCs w:val="20"/>
                      </w:rPr>
                    </m:ctrlPr>
                  </m:dPr>
                  <m:e>
                    <m:sSub>
                      <m:sSubPr>
                        <m:ctrlPr>
                          <w:rPr>
                            <w:rFonts w:ascii="Cambria Math" w:eastAsiaTheme="minorEastAsia" w:hAnsi="Cambria Math"/>
                            <w:i/>
                            <w:sz w:val="20"/>
                            <w:szCs w:val="20"/>
                          </w:rPr>
                        </m:ctrlPr>
                      </m:sSubPr>
                      <m:e>
                        <m:r>
                          <w:rPr>
                            <w:rFonts w:ascii="Cambria Math" w:eastAsiaTheme="minorEastAsia" w:hAnsi="Cambria Math"/>
                            <w:sz w:val="20"/>
                            <w:szCs w:val="20"/>
                          </w:rPr>
                          <m:t>N_Median_OS</m:t>
                        </m:r>
                      </m:e>
                      <m:sub>
                        <m:r>
                          <w:rPr>
                            <w:rFonts w:ascii="Cambria Math" w:eastAsiaTheme="minorEastAsia" w:hAnsi="Cambria Math"/>
                            <w:sz w:val="20"/>
                            <w:szCs w:val="20"/>
                          </w:rPr>
                          <m:t>test</m:t>
                        </m:r>
                      </m:sub>
                    </m:sSub>
                    <m:d>
                      <m:dPr>
                        <m:begChr m:val="|"/>
                        <m:endChr m:val=""/>
                        <m:ctrlPr>
                          <w:rPr>
                            <w:rFonts w:ascii="Cambria Math" w:eastAsiaTheme="minorEastAsia" w:hAnsi="Cambria Math"/>
                            <w:i/>
                            <w:sz w:val="20"/>
                            <w:szCs w:val="20"/>
                          </w:rPr>
                        </m:ctrlPr>
                      </m:dPr>
                      <m:e>
                        <m:r>
                          <w:rPr>
                            <w:rFonts w:ascii="Cambria Math" w:eastAsiaTheme="minorEastAsia" w:hAnsi="Cambria Math"/>
                            <w:sz w:val="20"/>
                            <w:szCs w:val="20"/>
                          </w:rPr>
                          <m:t>Quasi-fault</m:t>
                        </m:r>
                      </m:e>
                    </m:d>
                  </m:e>
                </m:d>
                <m:r>
                  <m:rPr>
                    <m:scr m:val="script"/>
                  </m:rPr>
                  <w:rPr>
                    <w:rFonts w:ascii="Cambria Math" w:eastAsiaTheme="minorEastAsia" w:hAnsi="Cambria Math"/>
                    <w:sz w:val="20"/>
                    <w:szCs w:val="20"/>
                  </w:rPr>
                  <m:t>∙L</m:t>
                </m:r>
                <m:d>
                  <m:dPr>
                    <m:ctrlPr>
                      <w:rPr>
                        <w:rFonts w:ascii="Cambria Math" w:eastAsiaTheme="minorEastAsia" w:hAnsi="Cambria Math"/>
                        <w:i/>
                        <w:sz w:val="20"/>
                        <w:szCs w:val="20"/>
                      </w:rPr>
                    </m:ctrlPr>
                  </m:dPr>
                  <m:e>
                    <m:sSub>
                      <m:sSubPr>
                        <m:ctrlPr>
                          <w:rPr>
                            <w:rFonts w:ascii="Cambria Math" w:eastAsiaTheme="minorEastAsia" w:hAnsi="Cambria Math"/>
                            <w:i/>
                            <w:sz w:val="20"/>
                            <w:szCs w:val="20"/>
                          </w:rPr>
                        </m:ctrlPr>
                      </m:sSubPr>
                      <m:e>
                        <m:r>
                          <w:rPr>
                            <w:rFonts w:ascii="Cambria Math" w:eastAsiaTheme="minorEastAsia" w:hAnsi="Cambria Math"/>
                            <w:sz w:val="20"/>
                            <w:szCs w:val="20"/>
                          </w:rPr>
                          <m:t>N_Min_OS</m:t>
                        </m:r>
                      </m:e>
                      <m:sub>
                        <m:r>
                          <w:rPr>
                            <w:rFonts w:ascii="Cambria Math" w:eastAsiaTheme="minorEastAsia" w:hAnsi="Cambria Math"/>
                            <w:sz w:val="20"/>
                            <w:szCs w:val="20"/>
                          </w:rPr>
                          <m:t>test</m:t>
                        </m:r>
                      </m:sub>
                    </m:sSub>
                    <m:d>
                      <m:dPr>
                        <m:begChr m:val="|"/>
                        <m:endChr m:val=""/>
                        <m:ctrlPr>
                          <w:rPr>
                            <w:rFonts w:ascii="Cambria Math" w:eastAsiaTheme="minorEastAsia" w:hAnsi="Cambria Math"/>
                            <w:i/>
                            <w:sz w:val="20"/>
                            <w:szCs w:val="20"/>
                          </w:rPr>
                        </m:ctrlPr>
                      </m:dPr>
                      <m:e>
                        <m:r>
                          <w:rPr>
                            <w:rFonts w:ascii="Cambria Math" w:eastAsiaTheme="minorEastAsia" w:hAnsi="Cambria Math"/>
                            <w:sz w:val="20"/>
                            <w:szCs w:val="20"/>
                          </w:rPr>
                          <m:t>Quasi-fault</m:t>
                        </m:r>
                      </m:e>
                    </m:d>
                  </m:e>
                </m:d>
                <m:r>
                  <m:rPr>
                    <m:scr m:val="script"/>
                  </m:rPr>
                  <w:rPr>
                    <w:rFonts w:ascii="Cambria Math" w:eastAsiaTheme="minorEastAsia" w:hAnsi="Cambria Math"/>
                    <w:sz w:val="20"/>
                    <w:szCs w:val="20"/>
                  </w:rPr>
                  <m:t>∙L</m:t>
                </m:r>
                <m:d>
                  <m:dPr>
                    <m:ctrlPr>
                      <w:rPr>
                        <w:rFonts w:ascii="Cambria Math" w:eastAsiaTheme="minorEastAsia" w:hAnsi="Cambria Math"/>
                        <w:i/>
                        <w:sz w:val="20"/>
                        <w:szCs w:val="20"/>
                      </w:rPr>
                    </m:ctrlPr>
                  </m:dPr>
                  <m:e>
                    <m:r>
                      <w:rPr>
                        <w:rFonts w:ascii="Cambria Math" w:eastAsiaTheme="minorEastAsia" w:hAnsi="Cambria Math"/>
                        <w:sz w:val="20"/>
                        <w:szCs w:val="20"/>
                      </w:rPr>
                      <m:t>N_</m:t>
                    </m:r>
                    <m:sSub>
                      <m:sSubPr>
                        <m:ctrlPr>
                          <w:rPr>
                            <w:rFonts w:ascii="Cambria Math" w:eastAsiaTheme="minorEastAsia" w:hAnsi="Cambria Math"/>
                            <w:i/>
                            <w:sz w:val="20"/>
                            <w:szCs w:val="20"/>
                          </w:rPr>
                        </m:ctrlPr>
                      </m:sSubPr>
                      <m:e>
                        <m:r>
                          <w:rPr>
                            <w:rFonts w:ascii="Cambria Math" w:eastAsiaTheme="minorEastAsia" w:hAnsi="Cambria Math"/>
                            <w:sz w:val="20"/>
                            <w:szCs w:val="20"/>
                          </w:rPr>
                          <m:t>Max_OS</m:t>
                        </m:r>
                      </m:e>
                      <m:sub>
                        <m:r>
                          <w:rPr>
                            <w:rFonts w:ascii="Cambria Math" w:eastAsiaTheme="minorEastAsia" w:hAnsi="Cambria Math"/>
                            <w:sz w:val="20"/>
                            <w:szCs w:val="20"/>
                          </w:rPr>
                          <m:t>test</m:t>
                        </m:r>
                      </m:sub>
                    </m:sSub>
                    <m:d>
                      <m:dPr>
                        <m:begChr m:val="|"/>
                        <m:endChr m:val=""/>
                        <m:ctrlPr>
                          <w:rPr>
                            <w:rFonts w:ascii="Cambria Math" w:eastAsiaTheme="minorEastAsia" w:hAnsi="Cambria Math"/>
                            <w:i/>
                            <w:sz w:val="20"/>
                            <w:szCs w:val="20"/>
                          </w:rPr>
                        </m:ctrlPr>
                      </m:dPr>
                      <m:e>
                        <m:r>
                          <w:rPr>
                            <w:rFonts w:ascii="Cambria Math" w:eastAsiaTheme="minorEastAsia" w:hAnsi="Cambria Math"/>
                            <w:sz w:val="20"/>
                            <w:szCs w:val="20"/>
                          </w:rPr>
                          <m:t>Quasi-fault</m:t>
                        </m:r>
                      </m:e>
                    </m:d>
                  </m:e>
                </m:d>
                <m:r>
                  <m:rPr>
                    <m:scr m:val="script"/>
                  </m:rPr>
                  <w:rPr>
                    <w:rFonts w:ascii="Cambria Math" w:eastAsiaTheme="minorEastAsia" w:hAnsi="Cambria Math"/>
                    <w:sz w:val="20"/>
                    <w:szCs w:val="20"/>
                  </w:rPr>
                  <m:t>∙L</m:t>
                </m:r>
                <m:d>
                  <m:dPr>
                    <m:ctrlPr>
                      <w:rPr>
                        <w:rFonts w:ascii="Cambria Math" w:eastAsiaTheme="minorEastAsia" w:hAnsi="Cambria Math"/>
                        <w:i/>
                        <w:sz w:val="20"/>
                        <w:szCs w:val="20"/>
                      </w:rPr>
                    </m:ctrlPr>
                  </m:dPr>
                  <m:e>
                    <m:d>
                      <m:dPr>
                        <m:begChr m:val=""/>
                        <m:endChr m:val="|"/>
                        <m:ctrlPr>
                          <w:rPr>
                            <w:rFonts w:ascii="Cambria Math" w:eastAsiaTheme="minorEastAsia" w:hAnsi="Cambria Math"/>
                            <w:i/>
                            <w:iCs/>
                            <w:sz w:val="20"/>
                            <w:szCs w:val="20"/>
                          </w:rPr>
                        </m:ctrlPr>
                      </m:dPr>
                      <m:e>
                        <m:sSub>
                          <m:sSubPr>
                            <m:ctrlPr>
                              <w:rPr>
                                <w:rFonts w:ascii="Cambria Math" w:eastAsiaTheme="minorEastAsia" w:hAnsi="Cambria Math"/>
                                <w:i/>
                                <w:sz w:val="20"/>
                                <w:szCs w:val="20"/>
                              </w:rPr>
                            </m:ctrlPr>
                          </m:sSubPr>
                          <m:e>
                            <m:r>
                              <w:rPr>
                                <w:rFonts w:ascii="Cambria Math" w:eastAsiaTheme="minorEastAsia" w:hAnsi="Cambria Math"/>
                                <w:sz w:val="20"/>
                                <w:szCs w:val="20"/>
                              </w:rPr>
                              <m:t>N_Kurt_OS</m:t>
                            </m:r>
                          </m:e>
                          <m:sub>
                            <m:r>
                              <w:rPr>
                                <w:rFonts w:ascii="Cambria Math" w:eastAsiaTheme="minorEastAsia" w:hAnsi="Cambria Math"/>
                                <w:sz w:val="20"/>
                                <w:szCs w:val="20"/>
                              </w:rPr>
                              <m:t>test</m:t>
                            </m:r>
                          </m:sub>
                        </m:sSub>
                      </m:e>
                    </m:d>
                    <m:r>
                      <w:rPr>
                        <w:rFonts w:ascii="Cambria Math" w:eastAsiaTheme="minorEastAsia" w:hAnsi="Cambria Math"/>
                        <w:sz w:val="20"/>
                        <w:szCs w:val="20"/>
                      </w:rPr>
                      <m:t>Quasi-fault</m:t>
                    </m:r>
                  </m:e>
                </m:d>
              </m:oMath>
            </m:oMathPara>
          </w:p>
        </w:tc>
        <w:tc>
          <w:tcPr>
            <w:tcW w:w="772" w:type="dxa"/>
            <w:vAlign w:val="center"/>
          </w:tcPr>
          <w:p w14:paraId="08DF4ED8" w14:textId="753E7979" w:rsidR="006C2142" w:rsidRDefault="002C693A" w:rsidP="002C693A">
            <w:pPr>
              <w:spacing w:before="0" w:after="0"/>
              <w:jc w:val="right"/>
            </w:pPr>
            <w: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w:instrText>
            </w:r>
            <w:r w:rsidR="00427B33">
              <w:instrText xml:space="preserve">\* ARABIC \s 1 </w:instrText>
            </w:r>
            <w:r w:rsidR="00427B33">
              <w:fldChar w:fldCharType="separate"/>
            </w:r>
            <w:r w:rsidR="00587AF0">
              <w:rPr>
                <w:noProof/>
              </w:rPr>
              <w:t>18</w:t>
            </w:r>
            <w:r w:rsidR="00427B33">
              <w:rPr>
                <w:noProof/>
              </w:rPr>
              <w:fldChar w:fldCharType="end"/>
            </w:r>
            <w:r>
              <w:t>)</w:t>
            </w:r>
          </w:p>
        </w:tc>
      </w:tr>
    </w:tbl>
    <w:p w14:paraId="2F349548" w14:textId="3E03F855" w:rsidR="006C2142" w:rsidRDefault="006C2142" w:rsidP="006C2142">
      <w:r>
        <w:t xml:space="preserve">where likelihood values of variables assuming </w:t>
      </w:r>
      <w:r w:rsidRPr="009403D2">
        <w:rPr>
          <w:i/>
          <w:iCs/>
        </w:rPr>
        <w:t>None</w:t>
      </w:r>
      <w:r>
        <w:t xml:space="preserve"> state </w:t>
      </w:r>
      <w:r w:rsidR="00550CFE">
        <w:t>are</w:t>
      </w:r>
      <w:r>
        <w:t xml:space="preserve"> given for variables: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5"/>
        <w:gridCol w:w="772"/>
      </w:tblGrid>
      <w:tr w:rsidR="006C2142" w:rsidRPr="00081A83" w14:paraId="49A1C203" w14:textId="77777777" w:rsidTr="00CC5DAD">
        <w:trPr>
          <w:trHeight w:val="788"/>
        </w:trPr>
        <w:tc>
          <w:tcPr>
            <w:tcW w:w="8245" w:type="dxa"/>
            <w:vAlign w:val="center"/>
          </w:tcPr>
          <w:p w14:paraId="0F4FA587" w14:textId="77777777" w:rsidR="006C2142" w:rsidRPr="00081A83" w:rsidRDefault="006C2142" w:rsidP="00CC5DAD">
            <w:pPr>
              <w:spacing w:before="0" w:after="0"/>
              <w:jc w:val="center"/>
              <w:rPr>
                <w:i/>
                <w:sz w:val="20"/>
                <w:szCs w:val="20"/>
                <w:lang w:val="en-GB"/>
              </w:rPr>
            </w:pPr>
            <m:oMathPara>
              <m:oMath>
                <m:r>
                  <m:rPr>
                    <m:scr m:val="script"/>
                  </m:rPr>
                  <w:rPr>
                    <w:rFonts w:ascii="Cambria Math" w:eastAsiaTheme="minorEastAsia" w:hAnsi="Cambria Math"/>
                    <w:sz w:val="20"/>
                    <w:szCs w:val="20"/>
                  </w:rPr>
                  <m:t>L</m:t>
                </m:r>
                <m:d>
                  <m:dPr>
                    <m:ctrlPr>
                      <w:rPr>
                        <w:rFonts w:ascii="Cambria Math" w:eastAsiaTheme="minorEastAsia" w:hAnsi="Cambria Math"/>
                        <w:i/>
                        <w:sz w:val="20"/>
                        <w:szCs w:val="20"/>
                      </w:rPr>
                    </m:ctrlPr>
                  </m:dPr>
                  <m:e>
                    <m:d>
                      <m:dPr>
                        <m:begChr m:val=""/>
                        <m:endChr m:val="|"/>
                        <m:ctrlPr>
                          <w:rPr>
                            <w:rFonts w:ascii="Cambria Math" w:eastAsiaTheme="minorEastAsia" w:hAnsi="Cambria Math"/>
                            <w:i/>
                            <w:iCs/>
                            <w:sz w:val="20"/>
                            <w:szCs w:val="20"/>
                          </w:rPr>
                        </m:ctrlPr>
                      </m:dPr>
                      <m:e>
                        <m:sSub>
                          <m:sSubPr>
                            <m:ctrlPr>
                              <w:rPr>
                                <w:rFonts w:ascii="Cambria Math" w:eastAsiaTheme="minorEastAsia" w:hAnsi="Cambria Math"/>
                                <w:i/>
                                <w:sz w:val="20"/>
                                <w:szCs w:val="20"/>
                              </w:rPr>
                            </m:ctrlPr>
                          </m:sSubPr>
                          <m:e>
                            <m:r>
                              <w:rPr>
                                <w:rFonts w:ascii="Cambria Math" w:eastAsiaTheme="minorEastAsia" w:hAnsi="Cambria Math"/>
                                <w:sz w:val="20"/>
                                <w:szCs w:val="20"/>
                              </w:rPr>
                              <m:t>HS_idle_time</m:t>
                            </m:r>
                          </m:e>
                          <m:sub>
                            <m:r>
                              <w:rPr>
                                <w:rFonts w:ascii="Cambria Math" w:eastAsiaTheme="minorEastAsia" w:hAnsi="Cambria Math"/>
                                <w:sz w:val="20"/>
                                <w:szCs w:val="20"/>
                              </w:rPr>
                              <m:t>test</m:t>
                            </m:r>
                          </m:sub>
                        </m:sSub>
                      </m:e>
                    </m:d>
                    <m:sSub>
                      <m:sSubPr>
                        <m:ctrlPr>
                          <w:rPr>
                            <w:rFonts w:ascii="Cambria Math" w:eastAsiaTheme="minorEastAsia" w:hAnsi="Cambria Math"/>
                            <w:i/>
                            <w:sz w:val="20"/>
                            <w:szCs w:val="20"/>
                          </w:rPr>
                        </m:ctrlPr>
                      </m:sSubPr>
                      <m:e>
                        <m:r>
                          <w:rPr>
                            <w:rFonts w:ascii="Cambria Math" w:eastAsiaTheme="minorEastAsia" w:hAnsi="Cambria Math"/>
                            <w:sz w:val="20"/>
                            <w:szCs w:val="20"/>
                          </w:rPr>
                          <m:t>μ</m:t>
                        </m:r>
                      </m:e>
                      <m:sub>
                        <m:sSub>
                          <m:sSubPr>
                            <m:ctrlPr>
                              <w:rPr>
                                <w:rFonts w:ascii="Cambria Math" w:eastAsiaTheme="minorEastAsia" w:hAnsi="Cambria Math"/>
                                <w:i/>
                                <w:iCs/>
                                <w:sz w:val="20"/>
                                <w:szCs w:val="20"/>
                              </w:rPr>
                            </m:ctrlPr>
                          </m:sSubPr>
                          <m:e>
                            <m:r>
                              <w:rPr>
                                <w:rFonts w:ascii="Cambria Math" w:eastAsiaTheme="minorEastAsia" w:hAnsi="Cambria Math"/>
                                <w:sz w:val="20"/>
                                <w:szCs w:val="20"/>
                              </w:rPr>
                              <m:t>HS_idle_time</m:t>
                            </m:r>
                          </m:e>
                          <m:sub>
                            <m:r>
                              <w:rPr>
                                <w:rFonts w:ascii="Cambria Math" w:eastAsiaTheme="minorEastAsia" w:hAnsi="Cambria Math"/>
                                <w:sz w:val="20"/>
                                <w:szCs w:val="20"/>
                              </w:rPr>
                              <m:t>train</m:t>
                            </m:r>
                          </m:sub>
                        </m:sSub>
                      </m:sub>
                    </m:sSub>
                    <m:r>
                      <w:rPr>
                        <w:rFonts w:ascii="Cambria Math" w:eastAsiaTheme="minorEastAsia" w:hAnsi="Cambria Math"/>
                        <w:sz w:val="20"/>
                        <w:szCs w:val="20"/>
                      </w:rPr>
                      <m:t>;</m:t>
                    </m:r>
                    <m:sSubSup>
                      <m:sSubSupPr>
                        <m:ctrlPr>
                          <w:rPr>
                            <w:rFonts w:ascii="Cambria Math" w:eastAsiaTheme="minorEastAsia" w:hAnsi="Cambria Math"/>
                            <w:i/>
                            <w:sz w:val="20"/>
                            <w:szCs w:val="20"/>
                          </w:rPr>
                        </m:ctrlPr>
                      </m:sSubSupPr>
                      <m:e>
                        <m:r>
                          <w:rPr>
                            <w:rFonts w:ascii="Cambria Math" w:eastAsiaTheme="minorEastAsia" w:hAnsi="Cambria Math"/>
                            <w:sz w:val="20"/>
                            <w:szCs w:val="20"/>
                          </w:rPr>
                          <m:t>σ</m:t>
                        </m:r>
                      </m:e>
                      <m:sub>
                        <m:sSub>
                          <m:sSubPr>
                            <m:ctrlPr>
                              <w:rPr>
                                <w:rFonts w:ascii="Cambria Math" w:eastAsiaTheme="minorEastAsia" w:hAnsi="Cambria Math"/>
                                <w:i/>
                                <w:iCs/>
                                <w:sz w:val="20"/>
                                <w:szCs w:val="20"/>
                              </w:rPr>
                            </m:ctrlPr>
                          </m:sSubPr>
                          <m:e>
                            <m:r>
                              <w:rPr>
                                <w:rFonts w:ascii="Cambria Math" w:eastAsiaTheme="minorEastAsia" w:hAnsi="Cambria Math"/>
                                <w:sz w:val="20"/>
                                <w:szCs w:val="20"/>
                              </w:rPr>
                              <m:t>HS_idle_time</m:t>
                            </m:r>
                          </m:e>
                          <m:sub>
                            <m:r>
                              <w:rPr>
                                <w:rFonts w:ascii="Cambria Math" w:eastAsiaTheme="minorEastAsia" w:hAnsi="Cambria Math"/>
                                <w:sz w:val="20"/>
                                <w:szCs w:val="20"/>
                              </w:rPr>
                              <m:t>train</m:t>
                            </m:r>
                          </m:sub>
                        </m:sSub>
                      </m:sub>
                      <m:sup>
                        <m:r>
                          <w:rPr>
                            <w:rFonts w:ascii="Cambria Math" w:eastAsiaTheme="minorEastAsia" w:hAnsi="Cambria Math"/>
                            <w:sz w:val="20"/>
                            <w:szCs w:val="20"/>
                          </w:rPr>
                          <m:t>2</m:t>
                        </m:r>
                      </m:sup>
                    </m:sSubSup>
                  </m:e>
                </m:d>
                <m:r>
                  <w:rPr>
                    <w:rFonts w:ascii="Cambria Math" w:eastAsiaTheme="minorEastAsia" w:hAnsi="Cambria Math"/>
                    <w:sz w:val="20"/>
                    <w:szCs w:val="20"/>
                  </w:rPr>
                  <m:t>=</m:t>
                </m:r>
                <m:f>
                  <m:fPr>
                    <m:ctrlPr>
                      <w:rPr>
                        <w:rFonts w:ascii="Cambria Math" w:eastAsiaTheme="minorEastAsia" w:hAnsi="Cambria Math"/>
                        <w:i/>
                        <w:sz w:val="20"/>
                        <w:szCs w:val="20"/>
                      </w:rPr>
                    </m:ctrlPr>
                  </m:fPr>
                  <m:num>
                    <m:r>
                      <w:rPr>
                        <w:rFonts w:ascii="Cambria Math" w:eastAsiaTheme="minorEastAsia" w:hAnsi="Cambria Math"/>
                        <w:sz w:val="20"/>
                        <w:szCs w:val="20"/>
                      </w:rPr>
                      <m:t>1</m:t>
                    </m:r>
                  </m:num>
                  <m:den>
                    <m:r>
                      <w:rPr>
                        <w:rFonts w:ascii="Cambria Math" w:eastAsiaTheme="minorEastAsia" w:hAnsi="Cambria Math"/>
                        <w:sz w:val="20"/>
                        <w:szCs w:val="20"/>
                      </w:rPr>
                      <m:t>15.04∙</m:t>
                    </m:r>
                    <m:rad>
                      <m:radPr>
                        <m:degHide m:val="1"/>
                        <m:ctrlPr>
                          <w:rPr>
                            <w:rFonts w:ascii="Cambria Math" w:eastAsiaTheme="minorEastAsia" w:hAnsi="Cambria Math"/>
                            <w:i/>
                            <w:sz w:val="20"/>
                            <w:szCs w:val="20"/>
                          </w:rPr>
                        </m:ctrlPr>
                      </m:radPr>
                      <m:deg/>
                      <m:e>
                        <m:r>
                          <w:rPr>
                            <w:rFonts w:ascii="Cambria Math" w:eastAsiaTheme="minorEastAsia" w:hAnsi="Cambria Math"/>
                            <w:sz w:val="20"/>
                            <w:szCs w:val="20"/>
                          </w:rPr>
                          <m:t>2π</m:t>
                        </m:r>
                      </m:e>
                    </m:rad>
                  </m:den>
                </m:f>
                <m:r>
                  <w:rPr>
                    <w:rFonts w:ascii="Cambria Math" w:eastAsiaTheme="minorEastAsia" w:hAnsi="Cambria Math"/>
                    <w:sz w:val="20"/>
                    <w:szCs w:val="20"/>
                  </w:rPr>
                  <m:t>∙</m:t>
                </m:r>
                <m:sSup>
                  <m:sSupPr>
                    <m:ctrlPr>
                      <w:rPr>
                        <w:rFonts w:ascii="Cambria Math" w:eastAsiaTheme="minorEastAsia" w:hAnsi="Cambria Math"/>
                        <w:i/>
                        <w:sz w:val="20"/>
                        <w:szCs w:val="20"/>
                      </w:rPr>
                    </m:ctrlPr>
                  </m:sSupPr>
                  <m:e>
                    <m:r>
                      <w:rPr>
                        <w:rFonts w:ascii="Cambria Math" w:eastAsiaTheme="minorEastAsia" w:hAnsi="Cambria Math"/>
                        <w:sz w:val="20"/>
                        <w:szCs w:val="20"/>
                      </w:rPr>
                      <m:t>e</m:t>
                    </m:r>
                  </m:e>
                  <m:sup>
                    <m:r>
                      <w:rPr>
                        <w:rFonts w:ascii="Cambria Math" w:eastAsiaTheme="minorEastAsia" w:hAnsi="Cambria Math"/>
                        <w:sz w:val="20"/>
                        <w:szCs w:val="20"/>
                      </w:rPr>
                      <m:t>-</m:t>
                    </m:r>
                    <m:f>
                      <m:fPr>
                        <m:ctrlPr>
                          <w:rPr>
                            <w:rFonts w:ascii="Cambria Math" w:eastAsiaTheme="minorEastAsia" w:hAnsi="Cambria Math"/>
                            <w:i/>
                            <w:sz w:val="20"/>
                            <w:szCs w:val="20"/>
                          </w:rPr>
                        </m:ctrlPr>
                      </m:fPr>
                      <m:num>
                        <m:sSup>
                          <m:sSupPr>
                            <m:ctrlPr>
                              <w:rPr>
                                <w:rFonts w:ascii="Cambria Math" w:eastAsiaTheme="minorEastAsia" w:hAnsi="Cambria Math"/>
                                <w:i/>
                                <w:sz w:val="20"/>
                                <w:szCs w:val="20"/>
                              </w:rPr>
                            </m:ctrlPr>
                          </m:sSupPr>
                          <m:e>
                            <m:d>
                              <m:dPr>
                                <m:ctrlPr>
                                  <w:rPr>
                                    <w:rFonts w:ascii="Cambria Math" w:eastAsiaTheme="minorEastAsia" w:hAnsi="Cambria Math"/>
                                    <w:i/>
                                    <w:sz w:val="20"/>
                                    <w:szCs w:val="20"/>
                                  </w:rPr>
                                </m:ctrlPr>
                              </m:dPr>
                              <m:e>
                                <m:r>
                                  <w:rPr>
                                    <w:rFonts w:ascii="Cambria Math" w:eastAsiaTheme="minorEastAsia" w:hAnsi="Cambria Math"/>
                                    <w:sz w:val="20"/>
                                    <w:szCs w:val="20"/>
                                  </w:rPr>
                                  <m:t>38.33-195.8</m:t>
                                </m:r>
                              </m:e>
                            </m:d>
                          </m:e>
                          <m:sup>
                            <m:r>
                              <w:rPr>
                                <w:rFonts w:ascii="Cambria Math" w:eastAsiaTheme="minorEastAsia" w:hAnsi="Cambria Math"/>
                                <w:sz w:val="20"/>
                                <w:szCs w:val="20"/>
                              </w:rPr>
                              <m:t>2</m:t>
                            </m:r>
                          </m:sup>
                        </m:sSup>
                      </m:num>
                      <m:den>
                        <m:r>
                          <w:rPr>
                            <w:rFonts w:ascii="Cambria Math" w:eastAsiaTheme="minorEastAsia" w:hAnsi="Cambria Math"/>
                            <w:sz w:val="20"/>
                            <w:szCs w:val="20"/>
                          </w:rPr>
                          <m:t>2∙</m:t>
                        </m:r>
                        <m:sSup>
                          <m:sSupPr>
                            <m:ctrlPr>
                              <w:rPr>
                                <w:rFonts w:ascii="Cambria Math" w:eastAsiaTheme="minorEastAsia" w:hAnsi="Cambria Math"/>
                                <w:i/>
                                <w:sz w:val="20"/>
                                <w:szCs w:val="20"/>
                              </w:rPr>
                            </m:ctrlPr>
                          </m:sSupPr>
                          <m:e>
                            <m:r>
                              <w:rPr>
                                <w:rFonts w:ascii="Cambria Math" w:eastAsiaTheme="minorEastAsia" w:hAnsi="Cambria Math"/>
                                <w:sz w:val="20"/>
                                <w:szCs w:val="20"/>
                              </w:rPr>
                              <m:t>226.3</m:t>
                            </m:r>
                          </m:e>
                          <m:sup>
                            <m:r>
                              <w:rPr>
                                <w:rFonts w:ascii="Cambria Math" w:eastAsiaTheme="minorEastAsia" w:hAnsi="Cambria Math"/>
                                <w:sz w:val="20"/>
                                <w:szCs w:val="20"/>
                              </w:rPr>
                              <m:t>2</m:t>
                            </m:r>
                          </m:sup>
                        </m:sSup>
                      </m:den>
                    </m:f>
                  </m:sup>
                </m:sSup>
                <m:r>
                  <w:rPr>
                    <w:rFonts w:ascii="Cambria Math" w:eastAsiaTheme="minorEastAsia" w:hAnsi="Cambria Math"/>
                    <w:sz w:val="20"/>
                    <w:szCs w:val="20"/>
                  </w:rPr>
                  <m:t>=0.0013838</m:t>
                </m:r>
              </m:oMath>
            </m:oMathPara>
          </w:p>
        </w:tc>
        <w:tc>
          <w:tcPr>
            <w:tcW w:w="772" w:type="dxa"/>
            <w:vAlign w:val="center"/>
          </w:tcPr>
          <w:p w14:paraId="7D8DF29F" w14:textId="2E770F43" w:rsidR="006C2142" w:rsidRPr="00081A83" w:rsidRDefault="002C693A" w:rsidP="00CC5DAD">
            <w:pPr>
              <w:spacing w:before="0" w:after="0"/>
              <w:jc w:val="right"/>
              <w:rPr>
                <w:szCs w:val="24"/>
              </w:rPr>
            </w:pPr>
            <w:r>
              <w:rPr>
                <w:szCs w:val="24"/>
              </w:rPr>
              <w:t>(</w:t>
            </w:r>
            <w:r w:rsidR="00427B33">
              <w:fldChar w:fldCharType="begin"/>
            </w:r>
            <w:r w:rsidR="00427B33">
              <w:instrText xml:space="preserve"> ST</w:instrText>
            </w:r>
            <w:r w:rsidR="00427B33">
              <w:instrText xml:space="preserve">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19</w:t>
            </w:r>
            <w:r w:rsidR="00427B33">
              <w:rPr>
                <w:noProof/>
              </w:rPr>
              <w:fldChar w:fldCharType="end"/>
            </w:r>
            <w:r>
              <w:t>)</w:t>
            </w:r>
          </w:p>
        </w:tc>
      </w:tr>
      <w:tr w:rsidR="006C2142" w:rsidRPr="00081A83" w14:paraId="69B33E43" w14:textId="77777777" w:rsidTr="00CC5DAD">
        <w:trPr>
          <w:trHeight w:val="788"/>
        </w:trPr>
        <w:tc>
          <w:tcPr>
            <w:tcW w:w="8245" w:type="dxa"/>
            <w:vAlign w:val="center"/>
          </w:tcPr>
          <w:p w14:paraId="5D9CB77E" w14:textId="77777777" w:rsidR="006C2142" w:rsidRPr="00081A83" w:rsidRDefault="006C2142" w:rsidP="00CC5DAD">
            <w:pPr>
              <w:spacing w:before="0" w:after="0"/>
              <w:jc w:val="center"/>
              <w:rPr>
                <w:i/>
                <w:sz w:val="20"/>
                <w:szCs w:val="20"/>
                <w:lang w:val="en-GB"/>
              </w:rPr>
            </w:pPr>
            <m:oMathPara>
              <m:oMath>
                <m:r>
                  <m:rPr>
                    <m:scr m:val="script"/>
                  </m:rPr>
                  <w:rPr>
                    <w:rFonts w:ascii="Cambria Math" w:eastAsiaTheme="minorEastAsia" w:hAnsi="Cambria Math"/>
                    <w:sz w:val="20"/>
                    <w:szCs w:val="20"/>
                  </w:rPr>
                  <m:t>L</m:t>
                </m:r>
                <m:d>
                  <m:dPr>
                    <m:ctrlPr>
                      <w:rPr>
                        <w:rFonts w:ascii="Cambria Math" w:eastAsiaTheme="minorEastAsia" w:hAnsi="Cambria Math"/>
                        <w:i/>
                        <w:sz w:val="20"/>
                        <w:szCs w:val="20"/>
                      </w:rPr>
                    </m:ctrlPr>
                  </m:dPr>
                  <m:e>
                    <m:d>
                      <m:dPr>
                        <m:begChr m:val=""/>
                        <m:endChr m:val="|"/>
                        <m:ctrlPr>
                          <w:rPr>
                            <w:rFonts w:ascii="Cambria Math" w:eastAsiaTheme="minorEastAsia" w:hAnsi="Cambria Math"/>
                            <w:i/>
                            <w:iCs/>
                            <w:sz w:val="20"/>
                            <w:szCs w:val="20"/>
                          </w:rPr>
                        </m:ctrlPr>
                      </m:dPr>
                      <m:e>
                        <m:sSub>
                          <m:sSubPr>
                            <m:ctrlPr>
                              <w:rPr>
                                <w:rFonts w:ascii="Cambria Math" w:eastAsiaTheme="minorEastAsia" w:hAnsi="Cambria Math"/>
                                <w:i/>
                                <w:sz w:val="20"/>
                                <w:szCs w:val="20"/>
                              </w:rPr>
                            </m:ctrlPr>
                          </m:sSubPr>
                          <m:e>
                            <m:r>
                              <w:rPr>
                                <w:rFonts w:ascii="Cambria Math" w:eastAsiaTheme="minorEastAsia" w:hAnsi="Cambria Math"/>
                                <w:sz w:val="20"/>
                                <w:szCs w:val="20"/>
                              </w:rPr>
                              <m:t>T1</m:t>
                            </m:r>
                          </m:e>
                          <m:sub>
                            <m:r>
                              <w:rPr>
                                <w:rFonts w:ascii="Cambria Math" w:eastAsiaTheme="minorEastAsia" w:hAnsi="Cambria Math"/>
                                <w:sz w:val="20"/>
                                <w:szCs w:val="20"/>
                              </w:rPr>
                              <m:t>test</m:t>
                            </m:r>
                          </m:sub>
                        </m:sSub>
                      </m:e>
                    </m:d>
                    <m:sSub>
                      <m:sSubPr>
                        <m:ctrlPr>
                          <w:rPr>
                            <w:rFonts w:ascii="Cambria Math" w:eastAsiaTheme="minorEastAsia" w:hAnsi="Cambria Math"/>
                            <w:i/>
                            <w:sz w:val="20"/>
                            <w:szCs w:val="20"/>
                          </w:rPr>
                        </m:ctrlPr>
                      </m:sSubPr>
                      <m:e>
                        <m:sSub>
                          <m:sSubPr>
                            <m:ctrlPr>
                              <w:rPr>
                                <w:rFonts w:ascii="Cambria Math" w:eastAsiaTheme="minorEastAsia" w:hAnsi="Cambria Math"/>
                                <w:i/>
                                <w:sz w:val="20"/>
                                <w:szCs w:val="20"/>
                              </w:rPr>
                            </m:ctrlPr>
                          </m:sSubPr>
                          <m:e>
                            <m:r>
                              <w:rPr>
                                <w:rFonts w:ascii="Cambria Math" w:eastAsiaTheme="minorEastAsia" w:hAnsi="Cambria Math"/>
                                <w:sz w:val="20"/>
                                <w:szCs w:val="20"/>
                              </w:rPr>
                              <m:t>μ</m:t>
                            </m:r>
                          </m:e>
                          <m:sub>
                            <m:r>
                              <w:rPr>
                                <w:rFonts w:ascii="Cambria Math" w:eastAsiaTheme="minorEastAsia" w:hAnsi="Cambria Math"/>
                                <w:sz w:val="20"/>
                                <w:szCs w:val="20"/>
                              </w:rPr>
                              <m:t>T1</m:t>
                            </m:r>
                          </m:sub>
                        </m:sSub>
                      </m:e>
                      <m:sub>
                        <m:r>
                          <w:rPr>
                            <w:rFonts w:ascii="Cambria Math" w:eastAsiaTheme="minorEastAsia" w:hAnsi="Cambria Math"/>
                            <w:sz w:val="20"/>
                            <w:szCs w:val="20"/>
                          </w:rPr>
                          <m:t>train</m:t>
                        </m:r>
                      </m:sub>
                    </m:sSub>
                    <m:r>
                      <w:rPr>
                        <w:rFonts w:ascii="Cambria Math" w:eastAsiaTheme="minorEastAsia" w:hAnsi="Cambria Math"/>
                        <w:sz w:val="20"/>
                        <w:szCs w:val="20"/>
                      </w:rPr>
                      <m:t>;</m:t>
                    </m:r>
                    <m:sSub>
                      <m:sSubPr>
                        <m:ctrlPr>
                          <w:rPr>
                            <w:rFonts w:ascii="Cambria Math" w:eastAsiaTheme="minorEastAsia" w:hAnsi="Cambria Math"/>
                            <w:i/>
                            <w:sz w:val="20"/>
                            <w:szCs w:val="20"/>
                          </w:rPr>
                        </m:ctrlPr>
                      </m:sSubPr>
                      <m:e>
                        <m:sSubSup>
                          <m:sSubSupPr>
                            <m:ctrlPr>
                              <w:rPr>
                                <w:rFonts w:ascii="Cambria Math" w:eastAsiaTheme="minorEastAsia" w:hAnsi="Cambria Math"/>
                                <w:i/>
                                <w:sz w:val="20"/>
                                <w:szCs w:val="20"/>
                              </w:rPr>
                            </m:ctrlPr>
                          </m:sSubSupPr>
                          <m:e>
                            <m:r>
                              <w:rPr>
                                <w:rFonts w:ascii="Cambria Math" w:eastAsiaTheme="minorEastAsia" w:hAnsi="Cambria Math"/>
                                <w:sz w:val="20"/>
                                <w:szCs w:val="20"/>
                              </w:rPr>
                              <m:t>σ</m:t>
                            </m:r>
                          </m:e>
                          <m:sub>
                            <m:r>
                              <w:rPr>
                                <w:rFonts w:ascii="Cambria Math" w:eastAsiaTheme="minorEastAsia" w:hAnsi="Cambria Math"/>
                                <w:sz w:val="20"/>
                                <w:szCs w:val="20"/>
                              </w:rPr>
                              <m:t>T1</m:t>
                            </m:r>
                          </m:sub>
                          <m:sup>
                            <m:r>
                              <w:rPr>
                                <w:rFonts w:ascii="Cambria Math" w:eastAsiaTheme="minorEastAsia" w:hAnsi="Cambria Math"/>
                                <w:sz w:val="20"/>
                                <w:szCs w:val="20"/>
                              </w:rPr>
                              <m:t>2</m:t>
                            </m:r>
                          </m:sup>
                        </m:sSubSup>
                      </m:e>
                      <m:sub>
                        <m:r>
                          <w:rPr>
                            <w:rFonts w:ascii="Cambria Math" w:eastAsiaTheme="minorEastAsia" w:hAnsi="Cambria Math"/>
                            <w:sz w:val="20"/>
                            <w:szCs w:val="20"/>
                          </w:rPr>
                          <m:t>train</m:t>
                        </m:r>
                      </m:sub>
                    </m:sSub>
                  </m:e>
                </m:d>
                <m:r>
                  <w:rPr>
                    <w:rFonts w:ascii="Cambria Math" w:eastAsiaTheme="minorEastAsia" w:hAnsi="Cambria Math"/>
                    <w:sz w:val="20"/>
                    <w:szCs w:val="20"/>
                  </w:rPr>
                  <m:t>=</m:t>
                </m:r>
                <m:f>
                  <m:fPr>
                    <m:ctrlPr>
                      <w:rPr>
                        <w:rFonts w:ascii="Cambria Math" w:eastAsiaTheme="minorEastAsia" w:hAnsi="Cambria Math"/>
                        <w:i/>
                        <w:sz w:val="20"/>
                        <w:szCs w:val="20"/>
                      </w:rPr>
                    </m:ctrlPr>
                  </m:fPr>
                  <m:num>
                    <m:r>
                      <w:rPr>
                        <w:rFonts w:ascii="Cambria Math" w:eastAsiaTheme="minorEastAsia" w:hAnsi="Cambria Math"/>
                        <w:sz w:val="20"/>
                        <w:szCs w:val="20"/>
                      </w:rPr>
                      <m:t>1</m:t>
                    </m:r>
                  </m:num>
                  <m:den>
                    <m:r>
                      <w:rPr>
                        <w:rFonts w:ascii="Cambria Math" w:eastAsiaTheme="minorEastAsia" w:hAnsi="Cambria Math"/>
                        <w:sz w:val="20"/>
                        <w:szCs w:val="20"/>
                      </w:rPr>
                      <m:t>0.3873∙</m:t>
                    </m:r>
                    <m:rad>
                      <m:radPr>
                        <m:degHide m:val="1"/>
                        <m:ctrlPr>
                          <w:rPr>
                            <w:rFonts w:ascii="Cambria Math" w:eastAsiaTheme="minorEastAsia" w:hAnsi="Cambria Math"/>
                            <w:i/>
                            <w:sz w:val="20"/>
                            <w:szCs w:val="20"/>
                          </w:rPr>
                        </m:ctrlPr>
                      </m:radPr>
                      <m:deg/>
                      <m:e>
                        <m:r>
                          <w:rPr>
                            <w:rFonts w:ascii="Cambria Math" w:eastAsiaTheme="minorEastAsia" w:hAnsi="Cambria Math"/>
                            <w:sz w:val="20"/>
                            <w:szCs w:val="20"/>
                          </w:rPr>
                          <m:t>2π</m:t>
                        </m:r>
                      </m:e>
                    </m:rad>
                  </m:den>
                </m:f>
                <m:r>
                  <w:rPr>
                    <w:rFonts w:ascii="Cambria Math" w:eastAsiaTheme="minorEastAsia" w:hAnsi="Cambria Math"/>
                    <w:sz w:val="20"/>
                    <w:szCs w:val="20"/>
                  </w:rPr>
                  <m:t>∙</m:t>
                </m:r>
                <m:sSup>
                  <m:sSupPr>
                    <m:ctrlPr>
                      <w:rPr>
                        <w:rFonts w:ascii="Cambria Math" w:eastAsiaTheme="minorEastAsia" w:hAnsi="Cambria Math"/>
                        <w:i/>
                        <w:sz w:val="20"/>
                        <w:szCs w:val="20"/>
                      </w:rPr>
                    </m:ctrlPr>
                  </m:sSupPr>
                  <m:e>
                    <m:r>
                      <w:rPr>
                        <w:rFonts w:ascii="Cambria Math" w:eastAsiaTheme="minorEastAsia" w:hAnsi="Cambria Math"/>
                        <w:sz w:val="20"/>
                        <w:szCs w:val="20"/>
                      </w:rPr>
                      <m:t>e</m:t>
                    </m:r>
                  </m:e>
                  <m:sup>
                    <m:r>
                      <w:rPr>
                        <w:rFonts w:ascii="Cambria Math" w:eastAsiaTheme="minorEastAsia" w:hAnsi="Cambria Math"/>
                        <w:sz w:val="20"/>
                        <w:szCs w:val="20"/>
                      </w:rPr>
                      <m:t>-</m:t>
                    </m:r>
                    <m:f>
                      <m:fPr>
                        <m:ctrlPr>
                          <w:rPr>
                            <w:rFonts w:ascii="Cambria Math" w:eastAsiaTheme="minorEastAsia" w:hAnsi="Cambria Math"/>
                            <w:i/>
                            <w:sz w:val="20"/>
                            <w:szCs w:val="20"/>
                          </w:rPr>
                        </m:ctrlPr>
                      </m:fPr>
                      <m:num>
                        <m:sSup>
                          <m:sSupPr>
                            <m:ctrlPr>
                              <w:rPr>
                                <w:rFonts w:ascii="Cambria Math" w:eastAsiaTheme="minorEastAsia" w:hAnsi="Cambria Math"/>
                                <w:i/>
                                <w:sz w:val="20"/>
                                <w:szCs w:val="20"/>
                              </w:rPr>
                            </m:ctrlPr>
                          </m:sSupPr>
                          <m:e>
                            <m:d>
                              <m:dPr>
                                <m:ctrlPr>
                                  <w:rPr>
                                    <w:rFonts w:ascii="Cambria Math" w:eastAsiaTheme="minorEastAsia" w:hAnsi="Cambria Math"/>
                                    <w:i/>
                                    <w:sz w:val="20"/>
                                    <w:szCs w:val="20"/>
                                  </w:rPr>
                                </m:ctrlPr>
                              </m:dPr>
                              <m:e>
                                <m:r>
                                  <w:rPr>
                                    <w:rFonts w:ascii="Cambria Math" w:eastAsiaTheme="minorEastAsia" w:hAnsi="Cambria Math"/>
                                    <w:sz w:val="20"/>
                                    <w:szCs w:val="20"/>
                                  </w:rPr>
                                  <m:t>1.52-1.6234</m:t>
                                </m:r>
                              </m:e>
                            </m:d>
                          </m:e>
                          <m:sup>
                            <m:r>
                              <w:rPr>
                                <w:rFonts w:ascii="Cambria Math" w:eastAsiaTheme="minorEastAsia" w:hAnsi="Cambria Math"/>
                                <w:sz w:val="20"/>
                                <w:szCs w:val="20"/>
                              </w:rPr>
                              <m:t>2</m:t>
                            </m:r>
                          </m:sup>
                        </m:sSup>
                      </m:num>
                      <m:den>
                        <m:r>
                          <w:rPr>
                            <w:rFonts w:ascii="Cambria Math" w:eastAsiaTheme="minorEastAsia" w:hAnsi="Cambria Math"/>
                            <w:sz w:val="20"/>
                            <w:szCs w:val="20"/>
                          </w:rPr>
                          <m:t>2</m:t>
                        </m:r>
                        <m:sSup>
                          <m:sSupPr>
                            <m:ctrlPr>
                              <w:rPr>
                                <w:rFonts w:ascii="Cambria Math" w:eastAsiaTheme="minorEastAsia" w:hAnsi="Cambria Math"/>
                                <w:i/>
                                <w:sz w:val="20"/>
                                <w:szCs w:val="20"/>
                              </w:rPr>
                            </m:ctrlPr>
                          </m:sSupPr>
                          <m:e>
                            <m:r>
                              <w:rPr>
                                <w:rFonts w:ascii="Cambria Math" w:eastAsiaTheme="minorEastAsia" w:hAnsi="Cambria Math"/>
                                <w:sz w:val="20"/>
                                <w:szCs w:val="20"/>
                              </w:rPr>
                              <m:t>∙0.1496</m:t>
                            </m:r>
                          </m:e>
                          <m:sup>
                            <m:r>
                              <w:rPr>
                                <w:rFonts w:ascii="Cambria Math" w:eastAsiaTheme="minorEastAsia" w:hAnsi="Cambria Math"/>
                                <w:sz w:val="20"/>
                                <w:szCs w:val="20"/>
                              </w:rPr>
                              <m:t>2</m:t>
                            </m:r>
                          </m:sup>
                        </m:sSup>
                      </m:den>
                    </m:f>
                  </m:sup>
                </m:sSup>
                <m:r>
                  <w:rPr>
                    <w:rFonts w:ascii="Cambria Math" w:eastAsiaTheme="minorEastAsia" w:hAnsi="Cambria Math"/>
                    <w:sz w:val="20"/>
                    <w:szCs w:val="20"/>
                  </w:rPr>
                  <m:t>=2.1296</m:t>
                </m:r>
              </m:oMath>
            </m:oMathPara>
          </w:p>
        </w:tc>
        <w:tc>
          <w:tcPr>
            <w:tcW w:w="772" w:type="dxa"/>
            <w:vAlign w:val="center"/>
          </w:tcPr>
          <w:p w14:paraId="603844C6" w14:textId="6DBE734A" w:rsidR="006C2142" w:rsidRPr="00081A83" w:rsidRDefault="002C693A" w:rsidP="00CC5DAD">
            <w:pPr>
              <w:spacing w:before="0" w:after="0"/>
              <w:jc w:val="right"/>
              <w:rPr>
                <w:szCs w:val="24"/>
              </w:rPr>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20</w:t>
            </w:r>
            <w:r w:rsidR="00427B33">
              <w:rPr>
                <w:noProof/>
              </w:rPr>
              <w:fldChar w:fldCharType="end"/>
            </w:r>
            <w:r>
              <w:t>)</w:t>
            </w:r>
          </w:p>
        </w:tc>
      </w:tr>
      <w:tr w:rsidR="006C2142" w:rsidRPr="00081A83" w14:paraId="0B11109E" w14:textId="77777777" w:rsidTr="00CC5DAD">
        <w:trPr>
          <w:trHeight w:val="788"/>
        </w:trPr>
        <w:tc>
          <w:tcPr>
            <w:tcW w:w="8245" w:type="dxa"/>
            <w:vAlign w:val="center"/>
          </w:tcPr>
          <w:p w14:paraId="1C68847B" w14:textId="77777777" w:rsidR="006C2142" w:rsidRPr="00081A83" w:rsidRDefault="006C2142" w:rsidP="00CC5DAD">
            <w:pPr>
              <w:spacing w:before="0" w:after="0"/>
              <w:jc w:val="center"/>
              <w:rPr>
                <w:i/>
                <w:sz w:val="20"/>
                <w:szCs w:val="20"/>
                <w:lang w:val="en-GB"/>
              </w:rPr>
            </w:pPr>
            <m:oMathPara>
              <m:oMath>
                <m:r>
                  <m:rPr>
                    <m:scr m:val="script"/>
                  </m:rPr>
                  <w:rPr>
                    <w:rFonts w:ascii="Cambria Math" w:eastAsiaTheme="minorEastAsia" w:hAnsi="Cambria Math"/>
                    <w:sz w:val="20"/>
                    <w:szCs w:val="20"/>
                  </w:rPr>
                  <m:t>L</m:t>
                </m:r>
                <m:d>
                  <m:dPr>
                    <m:ctrlPr>
                      <w:rPr>
                        <w:rFonts w:ascii="Cambria Math" w:eastAsiaTheme="minorEastAsia" w:hAnsi="Cambria Math"/>
                        <w:i/>
                        <w:sz w:val="20"/>
                        <w:szCs w:val="20"/>
                      </w:rPr>
                    </m:ctrlPr>
                  </m:dPr>
                  <m:e>
                    <m:d>
                      <m:dPr>
                        <m:begChr m:val=""/>
                        <m:endChr m:val="|"/>
                        <m:ctrlPr>
                          <w:rPr>
                            <w:rFonts w:ascii="Cambria Math" w:eastAsiaTheme="minorEastAsia" w:hAnsi="Cambria Math"/>
                            <w:i/>
                            <w:iCs/>
                            <w:sz w:val="20"/>
                            <w:szCs w:val="20"/>
                          </w:rPr>
                        </m:ctrlPr>
                      </m:dPr>
                      <m:e>
                        <m:sSub>
                          <m:sSubPr>
                            <m:ctrlPr>
                              <w:rPr>
                                <w:rFonts w:ascii="Cambria Math" w:eastAsiaTheme="minorEastAsia" w:hAnsi="Cambria Math"/>
                                <w:i/>
                                <w:sz w:val="20"/>
                                <w:szCs w:val="20"/>
                              </w:rPr>
                            </m:ctrlPr>
                          </m:sSubPr>
                          <m:e>
                            <m:r>
                              <w:rPr>
                                <w:rFonts w:ascii="Cambria Math" w:eastAsiaTheme="minorEastAsia" w:hAnsi="Cambria Math"/>
                                <w:sz w:val="20"/>
                                <w:szCs w:val="20"/>
                              </w:rPr>
                              <m:t>T2</m:t>
                            </m:r>
                          </m:e>
                          <m:sub>
                            <m:r>
                              <w:rPr>
                                <w:rFonts w:ascii="Cambria Math" w:eastAsiaTheme="minorEastAsia" w:hAnsi="Cambria Math"/>
                                <w:sz w:val="20"/>
                                <w:szCs w:val="20"/>
                              </w:rPr>
                              <m:t>test</m:t>
                            </m:r>
                          </m:sub>
                        </m:sSub>
                      </m:e>
                    </m:d>
                    <m:sSub>
                      <m:sSubPr>
                        <m:ctrlPr>
                          <w:rPr>
                            <w:rFonts w:ascii="Cambria Math" w:eastAsiaTheme="minorEastAsia" w:hAnsi="Cambria Math"/>
                            <w:i/>
                            <w:sz w:val="20"/>
                            <w:szCs w:val="20"/>
                          </w:rPr>
                        </m:ctrlPr>
                      </m:sSubPr>
                      <m:e>
                        <m:sSub>
                          <m:sSubPr>
                            <m:ctrlPr>
                              <w:rPr>
                                <w:rFonts w:ascii="Cambria Math" w:eastAsiaTheme="minorEastAsia" w:hAnsi="Cambria Math"/>
                                <w:i/>
                                <w:sz w:val="20"/>
                                <w:szCs w:val="20"/>
                              </w:rPr>
                            </m:ctrlPr>
                          </m:sSubPr>
                          <m:e>
                            <m:r>
                              <w:rPr>
                                <w:rFonts w:ascii="Cambria Math" w:eastAsiaTheme="minorEastAsia" w:hAnsi="Cambria Math"/>
                                <w:sz w:val="20"/>
                                <w:szCs w:val="20"/>
                              </w:rPr>
                              <m:t>μ</m:t>
                            </m:r>
                          </m:e>
                          <m:sub>
                            <m:r>
                              <w:rPr>
                                <w:rFonts w:ascii="Cambria Math" w:eastAsiaTheme="minorEastAsia" w:hAnsi="Cambria Math"/>
                                <w:sz w:val="20"/>
                                <w:szCs w:val="20"/>
                              </w:rPr>
                              <m:t>T2</m:t>
                            </m:r>
                          </m:sub>
                        </m:sSub>
                      </m:e>
                      <m:sub>
                        <m:r>
                          <w:rPr>
                            <w:rFonts w:ascii="Cambria Math" w:eastAsiaTheme="minorEastAsia" w:hAnsi="Cambria Math"/>
                            <w:sz w:val="20"/>
                            <w:szCs w:val="20"/>
                          </w:rPr>
                          <m:t>train</m:t>
                        </m:r>
                      </m:sub>
                    </m:sSub>
                    <m:r>
                      <w:rPr>
                        <w:rFonts w:ascii="Cambria Math" w:eastAsiaTheme="minorEastAsia" w:hAnsi="Cambria Math"/>
                        <w:sz w:val="20"/>
                        <w:szCs w:val="20"/>
                      </w:rPr>
                      <m:t>;</m:t>
                    </m:r>
                    <m:sSub>
                      <m:sSubPr>
                        <m:ctrlPr>
                          <w:rPr>
                            <w:rFonts w:ascii="Cambria Math" w:eastAsiaTheme="minorEastAsia" w:hAnsi="Cambria Math"/>
                            <w:i/>
                            <w:sz w:val="20"/>
                            <w:szCs w:val="20"/>
                          </w:rPr>
                        </m:ctrlPr>
                      </m:sSubPr>
                      <m:e>
                        <m:sSubSup>
                          <m:sSubSupPr>
                            <m:ctrlPr>
                              <w:rPr>
                                <w:rFonts w:ascii="Cambria Math" w:eastAsiaTheme="minorEastAsia" w:hAnsi="Cambria Math"/>
                                <w:i/>
                                <w:sz w:val="20"/>
                                <w:szCs w:val="20"/>
                              </w:rPr>
                            </m:ctrlPr>
                          </m:sSubSupPr>
                          <m:e>
                            <m:r>
                              <w:rPr>
                                <w:rFonts w:ascii="Cambria Math" w:eastAsiaTheme="minorEastAsia" w:hAnsi="Cambria Math"/>
                                <w:sz w:val="20"/>
                                <w:szCs w:val="20"/>
                              </w:rPr>
                              <m:t>σ</m:t>
                            </m:r>
                          </m:e>
                          <m:sub>
                            <m:r>
                              <w:rPr>
                                <w:rFonts w:ascii="Cambria Math" w:eastAsiaTheme="minorEastAsia" w:hAnsi="Cambria Math"/>
                                <w:sz w:val="20"/>
                                <w:szCs w:val="20"/>
                              </w:rPr>
                              <m:t>T2</m:t>
                            </m:r>
                          </m:sub>
                          <m:sup>
                            <m:r>
                              <w:rPr>
                                <w:rFonts w:ascii="Cambria Math" w:eastAsiaTheme="minorEastAsia" w:hAnsi="Cambria Math"/>
                                <w:sz w:val="20"/>
                                <w:szCs w:val="20"/>
                              </w:rPr>
                              <m:t>2</m:t>
                            </m:r>
                          </m:sup>
                        </m:sSubSup>
                      </m:e>
                      <m:sub>
                        <m:r>
                          <w:rPr>
                            <w:rFonts w:ascii="Cambria Math" w:eastAsiaTheme="minorEastAsia" w:hAnsi="Cambria Math"/>
                            <w:sz w:val="20"/>
                            <w:szCs w:val="20"/>
                          </w:rPr>
                          <m:t>train</m:t>
                        </m:r>
                      </m:sub>
                    </m:sSub>
                  </m:e>
                </m:d>
                <m:r>
                  <w:rPr>
                    <w:rFonts w:ascii="Cambria Math" w:eastAsiaTheme="minorEastAsia" w:hAnsi="Cambria Math"/>
                    <w:sz w:val="20"/>
                    <w:szCs w:val="20"/>
                  </w:rPr>
                  <m:t>=</m:t>
                </m:r>
                <m:f>
                  <m:fPr>
                    <m:ctrlPr>
                      <w:rPr>
                        <w:rFonts w:ascii="Cambria Math" w:eastAsiaTheme="minorEastAsia" w:hAnsi="Cambria Math"/>
                        <w:i/>
                        <w:sz w:val="20"/>
                        <w:szCs w:val="20"/>
                      </w:rPr>
                    </m:ctrlPr>
                  </m:fPr>
                  <m:num>
                    <m:r>
                      <w:rPr>
                        <w:rFonts w:ascii="Cambria Math" w:eastAsiaTheme="minorEastAsia" w:hAnsi="Cambria Math"/>
                        <w:sz w:val="20"/>
                        <w:szCs w:val="20"/>
                      </w:rPr>
                      <m:t>1</m:t>
                    </m:r>
                  </m:num>
                  <m:den>
                    <m:r>
                      <w:rPr>
                        <w:rFonts w:ascii="Cambria Math" w:eastAsiaTheme="minorEastAsia" w:hAnsi="Cambria Math"/>
                        <w:sz w:val="20"/>
                        <w:szCs w:val="20"/>
                      </w:rPr>
                      <m:t>0.4898∙</m:t>
                    </m:r>
                    <m:rad>
                      <m:radPr>
                        <m:degHide m:val="1"/>
                        <m:ctrlPr>
                          <w:rPr>
                            <w:rFonts w:ascii="Cambria Math" w:eastAsiaTheme="minorEastAsia" w:hAnsi="Cambria Math"/>
                            <w:i/>
                            <w:sz w:val="20"/>
                            <w:szCs w:val="20"/>
                          </w:rPr>
                        </m:ctrlPr>
                      </m:radPr>
                      <m:deg/>
                      <m:e>
                        <m:r>
                          <w:rPr>
                            <w:rFonts w:ascii="Cambria Math" w:eastAsiaTheme="minorEastAsia" w:hAnsi="Cambria Math"/>
                            <w:sz w:val="20"/>
                            <w:szCs w:val="20"/>
                          </w:rPr>
                          <m:t>2π</m:t>
                        </m:r>
                      </m:e>
                    </m:rad>
                  </m:den>
                </m:f>
                <m:r>
                  <w:rPr>
                    <w:rFonts w:ascii="Cambria Math" w:eastAsiaTheme="minorEastAsia" w:hAnsi="Cambria Math"/>
                    <w:sz w:val="20"/>
                    <w:szCs w:val="20"/>
                  </w:rPr>
                  <m:t>∙</m:t>
                </m:r>
                <m:sSup>
                  <m:sSupPr>
                    <m:ctrlPr>
                      <w:rPr>
                        <w:rFonts w:ascii="Cambria Math" w:eastAsiaTheme="minorEastAsia" w:hAnsi="Cambria Math"/>
                        <w:i/>
                        <w:sz w:val="20"/>
                        <w:szCs w:val="20"/>
                      </w:rPr>
                    </m:ctrlPr>
                  </m:sSupPr>
                  <m:e>
                    <m:r>
                      <w:rPr>
                        <w:rFonts w:ascii="Cambria Math" w:eastAsiaTheme="minorEastAsia" w:hAnsi="Cambria Math"/>
                        <w:sz w:val="20"/>
                        <w:szCs w:val="20"/>
                      </w:rPr>
                      <m:t>e</m:t>
                    </m:r>
                  </m:e>
                  <m:sup>
                    <m:r>
                      <w:rPr>
                        <w:rFonts w:ascii="Cambria Math" w:eastAsiaTheme="minorEastAsia" w:hAnsi="Cambria Math"/>
                        <w:sz w:val="20"/>
                        <w:szCs w:val="20"/>
                      </w:rPr>
                      <m:t>-</m:t>
                    </m:r>
                    <m:f>
                      <m:fPr>
                        <m:ctrlPr>
                          <w:rPr>
                            <w:rFonts w:ascii="Cambria Math" w:eastAsiaTheme="minorEastAsia" w:hAnsi="Cambria Math"/>
                            <w:i/>
                            <w:sz w:val="20"/>
                            <w:szCs w:val="20"/>
                          </w:rPr>
                        </m:ctrlPr>
                      </m:fPr>
                      <m:num>
                        <m:sSup>
                          <m:sSupPr>
                            <m:ctrlPr>
                              <w:rPr>
                                <w:rFonts w:ascii="Cambria Math" w:eastAsiaTheme="minorEastAsia" w:hAnsi="Cambria Math"/>
                                <w:i/>
                                <w:sz w:val="20"/>
                                <w:szCs w:val="20"/>
                              </w:rPr>
                            </m:ctrlPr>
                          </m:sSupPr>
                          <m:e>
                            <m:d>
                              <m:dPr>
                                <m:ctrlPr>
                                  <w:rPr>
                                    <w:rFonts w:ascii="Cambria Math" w:eastAsiaTheme="minorEastAsia" w:hAnsi="Cambria Math"/>
                                    <w:i/>
                                    <w:sz w:val="20"/>
                                    <w:szCs w:val="20"/>
                                  </w:rPr>
                                </m:ctrlPr>
                              </m:dPr>
                              <m:e>
                                <m:r>
                                  <w:rPr>
                                    <w:rFonts w:ascii="Cambria Math" w:eastAsiaTheme="minorEastAsia" w:hAnsi="Cambria Math"/>
                                    <w:sz w:val="20"/>
                                    <w:szCs w:val="20"/>
                                  </w:rPr>
                                  <m:t>3.86-2.9591</m:t>
                                </m:r>
                              </m:e>
                            </m:d>
                          </m:e>
                          <m:sup>
                            <m:r>
                              <w:rPr>
                                <w:rFonts w:ascii="Cambria Math" w:eastAsiaTheme="minorEastAsia" w:hAnsi="Cambria Math"/>
                                <w:sz w:val="20"/>
                                <w:szCs w:val="20"/>
                              </w:rPr>
                              <m:t>2</m:t>
                            </m:r>
                          </m:sup>
                        </m:sSup>
                      </m:num>
                      <m:den>
                        <m:r>
                          <w:rPr>
                            <w:rFonts w:ascii="Cambria Math" w:eastAsiaTheme="minorEastAsia" w:hAnsi="Cambria Math"/>
                            <w:sz w:val="20"/>
                            <w:szCs w:val="20"/>
                          </w:rPr>
                          <m:t>2</m:t>
                        </m:r>
                        <m:sSup>
                          <m:sSupPr>
                            <m:ctrlPr>
                              <w:rPr>
                                <w:rFonts w:ascii="Cambria Math" w:eastAsiaTheme="minorEastAsia" w:hAnsi="Cambria Math"/>
                                <w:i/>
                                <w:sz w:val="20"/>
                                <w:szCs w:val="20"/>
                              </w:rPr>
                            </m:ctrlPr>
                          </m:sSupPr>
                          <m:e>
                            <m:r>
                              <w:rPr>
                                <w:rFonts w:ascii="Cambria Math" w:eastAsiaTheme="minorEastAsia" w:hAnsi="Cambria Math"/>
                                <w:sz w:val="20"/>
                                <w:szCs w:val="20"/>
                              </w:rPr>
                              <m:t>∙0.2359</m:t>
                            </m:r>
                          </m:e>
                          <m:sup>
                            <m:r>
                              <w:rPr>
                                <w:rFonts w:ascii="Cambria Math" w:eastAsiaTheme="minorEastAsia" w:hAnsi="Cambria Math"/>
                                <w:sz w:val="20"/>
                                <w:szCs w:val="20"/>
                              </w:rPr>
                              <m:t>2</m:t>
                            </m:r>
                          </m:sup>
                        </m:sSup>
                      </m:den>
                    </m:f>
                  </m:sup>
                </m:sSup>
                <m:r>
                  <w:rPr>
                    <w:rFonts w:ascii="Cambria Math" w:eastAsiaTheme="minorEastAsia" w:hAnsi="Cambria Math"/>
                    <w:sz w:val="20"/>
                    <w:szCs w:val="20"/>
                  </w:rPr>
                  <m:t>=0.00115</m:t>
                </m:r>
              </m:oMath>
            </m:oMathPara>
          </w:p>
        </w:tc>
        <w:tc>
          <w:tcPr>
            <w:tcW w:w="772" w:type="dxa"/>
            <w:vAlign w:val="center"/>
          </w:tcPr>
          <w:p w14:paraId="70AF2AFD" w14:textId="44A0F29C" w:rsidR="006C2142" w:rsidRPr="00081A83" w:rsidRDefault="002C693A" w:rsidP="00CC5DAD">
            <w:pPr>
              <w:spacing w:before="0" w:after="0"/>
              <w:jc w:val="right"/>
              <w:rPr>
                <w:szCs w:val="24"/>
              </w:rPr>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21</w:t>
            </w:r>
            <w:r w:rsidR="00427B33">
              <w:rPr>
                <w:noProof/>
              </w:rPr>
              <w:fldChar w:fldCharType="end"/>
            </w:r>
            <w:r>
              <w:t>)</w:t>
            </w:r>
          </w:p>
        </w:tc>
      </w:tr>
      <w:tr w:rsidR="006C2142" w:rsidRPr="00081A83" w14:paraId="7579C5C0" w14:textId="77777777" w:rsidTr="00CC5DAD">
        <w:trPr>
          <w:trHeight w:val="788"/>
        </w:trPr>
        <w:tc>
          <w:tcPr>
            <w:tcW w:w="8245" w:type="dxa"/>
            <w:vAlign w:val="center"/>
          </w:tcPr>
          <w:p w14:paraId="28B735AC" w14:textId="77777777" w:rsidR="006C2142" w:rsidRPr="00081A83" w:rsidRDefault="006C2142" w:rsidP="00CC5DAD">
            <w:pPr>
              <w:spacing w:before="0" w:after="0"/>
              <w:jc w:val="center"/>
              <w:rPr>
                <w:i/>
                <w:sz w:val="20"/>
                <w:szCs w:val="20"/>
                <w:lang w:val="en-GB"/>
              </w:rPr>
            </w:pPr>
            <m:oMathPara>
              <m:oMath>
                <m:r>
                  <m:rPr>
                    <m:scr m:val="script"/>
                  </m:rPr>
                  <w:rPr>
                    <w:rFonts w:ascii="Cambria Math" w:eastAsiaTheme="minorEastAsia" w:hAnsi="Cambria Math"/>
                    <w:sz w:val="20"/>
                    <w:szCs w:val="20"/>
                  </w:rPr>
                  <m:t>L</m:t>
                </m:r>
                <m:d>
                  <m:dPr>
                    <m:ctrlPr>
                      <w:rPr>
                        <w:rFonts w:ascii="Cambria Math" w:eastAsiaTheme="minorEastAsia" w:hAnsi="Cambria Math"/>
                        <w:i/>
                        <w:sz w:val="20"/>
                        <w:szCs w:val="20"/>
                      </w:rPr>
                    </m:ctrlPr>
                  </m:dPr>
                  <m:e>
                    <m:d>
                      <m:dPr>
                        <m:begChr m:val=""/>
                        <m:endChr m:val="|"/>
                        <m:ctrlPr>
                          <w:rPr>
                            <w:rFonts w:ascii="Cambria Math" w:eastAsiaTheme="minorEastAsia" w:hAnsi="Cambria Math"/>
                            <w:i/>
                            <w:iCs/>
                            <w:sz w:val="20"/>
                            <w:szCs w:val="20"/>
                          </w:rPr>
                        </m:ctrlPr>
                      </m:dPr>
                      <m:e>
                        <m:sSub>
                          <m:sSubPr>
                            <m:ctrlPr>
                              <w:rPr>
                                <w:rFonts w:ascii="Cambria Math" w:eastAsiaTheme="minorEastAsia" w:hAnsi="Cambria Math"/>
                                <w:i/>
                                <w:sz w:val="20"/>
                                <w:szCs w:val="20"/>
                              </w:rPr>
                            </m:ctrlPr>
                          </m:sSubPr>
                          <m:e>
                            <m:r>
                              <w:rPr>
                                <w:rFonts w:ascii="Cambria Math" w:eastAsiaTheme="minorEastAsia" w:hAnsi="Cambria Math"/>
                                <w:sz w:val="20"/>
                                <w:szCs w:val="20"/>
                              </w:rPr>
                              <m:t>T4</m:t>
                            </m:r>
                          </m:e>
                          <m:sub>
                            <m:r>
                              <w:rPr>
                                <w:rFonts w:ascii="Cambria Math" w:eastAsiaTheme="minorEastAsia" w:hAnsi="Cambria Math"/>
                                <w:sz w:val="20"/>
                                <w:szCs w:val="20"/>
                              </w:rPr>
                              <m:t>test</m:t>
                            </m:r>
                          </m:sub>
                        </m:sSub>
                      </m:e>
                    </m:d>
                    <m:sSub>
                      <m:sSubPr>
                        <m:ctrlPr>
                          <w:rPr>
                            <w:rFonts w:ascii="Cambria Math" w:eastAsiaTheme="minorEastAsia" w:hAnsi="Cambria Math"/>
                            <w:i/>
                            <w:sz w:val="20"/>
                            <w:szCs w:val="20"/>
                          </w:rPr>
                        </m:ctrlPr>
                      </m:sSubPr>
                      <m:e>
                        <m:sSub>
                          <m:sSubPr>
                            <m:ctrlPr>
                              <w:rPr>
                                <w:rFonts w:ascii="Cambria Math" w:eastAsiaTheme="minorEastAsia" w:hAnsi="Cambria Math"/>
                                <w:i/>
                                <w:sz w:val="20"/>
                                <w:szCs w:val="20"/>
                              </w:rPr>
                            </m:ctrlPr>
                          </m:sSubPr>
                          <m:e>
                            <m:r>
                              <w:rPr>
                                <w:rFonts w:ascii="Cambria Math" w:eastAsiaTheme="minorEastAsia" w:hAnsi="Cambria Math"/>
                                <w:sz w:val="20"/>
                                <w:szCs w:val="20"/>
                              </w:rPr>
                              <m:t>μ</m:t>
                            </m:r>
                          </m:e>
                          <m:sub>
                            <m:r>
                              <w:rPr>
                                <w:rFonts w:ascii="Cambria Math" w:eastAsiaTheme="minorEastAsia" w:hAnsi="Cambria Math"/>
                                <w:sz w:val="20"/>
                                <w:szCs w:val="20"/>
                              </w:rPr>
                              <m:t>T4</m:t>
                            </m:r>
                          </m:sub>
                        </m:sSub>
                      </m:e>
                      <m:sub>
                        <m:r>
                          <w:rPr>
                            <w:rFonts w:ascii="Cambria Math" w:eastAsiaTheme="minorEastAsia" w:hAnsi="Cambria Math"/>
                            <w:sz w:val="20"/>
                            <w:szCs w:val="20"/>
                          </w:rPr>
                          <m:t>train</m:t>
                        </m:r>
                      </m:sub>
                    </m:sSub>
                    <m:r>
                      <w:rPr>
                        <w:rFonts w:ascii="Cambria Math" w:eastAsiaTheme="minorEastAsia" w:hAnsi="Cambria Math"/>
                        <w:sz w:val="20"/>
                        <w:szCs w:val="20"/>
                      </w:rPr>
                      <m:t>;</m:t>
                    </m:r>
                    <m:sSub>
                      <m:sSubPr>
                        <m:ctrlPr>
                          <w:rPr>
                            <w:rFonts w:ascii="Cambria Math" w:eastAsiaTheme="minorEastAsia" w:hAnsi="Cambria Math"/>
                            <w:i/>
                            <w:sz w:val="20"/>
                            <w:szCs w:val="20"/>
                          </w:rPr>
                        </m:ctrlPr>
                      </m:sSubPr>
                      <m:e>
                        <m:sSubSup>
                          <m:sSubSupPr>
                            <m:ctrlPr>
                              <w:rPr>
                                <w:rFonts w:ascii="Cambria Math" w:eastAsiaTheme="minorEastAsia" w:hAnsi="Cambria Math"/>
                                <w:i/>
                                <w:sz w:val="20"/>
                                <w:szCs w:val="20"/>
                              </w:rPr>
                            </m:ctrlPr>
                          </m:sSubSupPr>
                          <m:e>
                            <m:r>
                              <w:rPr>
                                <w:rFonts w:ascii="Cambria Math" w:eastAsiaTheme="minorEastAsia" w:hAnsi="Cambria Math"/>
                                <w:sz w:val="20"/>
                                <w:szCs w:val="20"/>
                              </w:rPr>
                              <m:t>σ</m:t>
                            </m:r>
                          </m:e>
                          <m:sub>
                            <m:r>
                              <w:rPr>
                                <w:rFonts w:ascii="Cambria Math" w:eastAsiaTheme="minorEastAsia" w:hAnsi="Cambria Math"/>
                                <w:sz w:val="20"/>
                                <w:szCs w:val="20"/>
                              </w:rPr>
                              <m:t>T4</m:t>
                            </m:r>
                          </m:sub>
                          <m:sup>
                            <m:r>
                              <w:rPr>
                                <w:rFonts w:ascii="Cambria Math" w:eastAsiaTheme="minorEastAsia" w:hAnsi="Cambria Math"/>
                                <w:sz w:val="20"/>
                                <w:szCs w:val="20"/>
                              </w:rPr>
                              <m:t>2</m:t>
                            </m:r>
                          </m:sup>
                        </m:sSubSup>
                      </m:e>
                      <m:sub>
                        <m:r>
                          <w:rPr>
                            <w:rFonts w:ascii="Cambria Math" w:eastAsiaTheme="minorEastAsia" w:hAnsi="Cambria Math"/>
                            <w:sz w:val="20"/>
                            <w:szCs w:val="20"/>
                          </w:rPr>
                          <m:t>train</m:t>
                        </m:r>
                      </m:sub>
                    </m:sSub>
                  </m:e>
                </m:d>
                <m:r>
                  <w:rPr>
                    <w:rFonts w:ascii="Cambria Math" w:eastAsiaTheme="minorEastAsia" w:hAnsi="Cambria Math"/>
                    <w:sz w:val="20"/>
                    <w:szCs w:val="20"/>
                  </w:rPr>
                  <m:t>=</m:t>
                </m:r>
                <m:f>
                  <m:fPr>
                    <m:ctrlPr>
                      <w:rPr>
                        <w:rFonts w:ascii="Cambria Math" w:eastAsiaTheme="minorEastAsia" w:hAnsi="Cambria Math"/>
                        <w:i/>
                        <w:sz w:val="20"/>
                        <w:szCs w:val="20"/>
                      </w:rPr>
                    </m:ctrlPr>
                  </m:fPr>
                  <m:num>
                    <m:r>
                      <w:rPr>
                        <w:rFonts w:ascii="Cambria Math" w:eastAsiaTheme="minorEastAsia" w:hAnsi="Cambria Math"/>
                        <w:sz w:val="20"/>
                        <w:szCs w:val="20"/>
                      </w:rPr>
                      <m:t>1</m:t>
                    </m:r>
                  </m:num>
                  <m:den>
                    <m:r>
                      <w:rPr>
                        <w:rFonts w:ascii="Cambria Math" w:eastAsiaTheme="minorEastAsia" w:hAnsi="Cambria Math"/>
                        <w:sz w:val="20"/>
                        <w:szCs w:val="20"/>
                      </w:rPr>
                      <m:t>0.4583∙</m:t>
                    </m:r>
                    <m:rad>
                      <m:radPr>
                        <m:degHide m:val="1"/>
                        <m:ctrlPr>
                          <w:rPr>
                            <w:rFonts w:ascii="Cambria Math" w:eastAsiaTheme="minorEastAsia" w:hAnsi="Cambria Math"/>
                            <w:i/>
                            <w:sz w:val="20"/>
                            <w:szCs w:val="20"/>
                          </w:rPr>
                        </m:ctrlPr>
                      </m:radPr>
                      <m:deg/>
                      <m:e>
                        <m:r>
                          <w:rPr>
                            <w:rFonts w:ascii="Cambria Math" w:eastAsiaTheme="minorEastAsia" w:hAnsi="Cambria Math"/>
                            <w:sz w:val="20"/>
                            <w:szCs w:val="20"/>
                          </w:rPr>
                          <m:t>2π</m:t>
                        </m:r>
                      </m:e>
                    </m:rad>
                  </m:den>
                </m:f>
                <m:r>
                  <w:rPr>
                    <w:rFonts w:ascii="Cambria Math" w:eastAsiaTheme="minorEastAsia" w:hAnsi="Cambria Math"/>
                    <w:sz w:val="20"/>
                    <w:szCs w:val="20"/>
                  </w:rPr>
                  <m:t>∙</m:t>
                </m:r>
                <m:sSup>
                  <m:sSupPr>
                    <m:ctrlPr>
                      <w:rPr>
                        <w:rFonts w:ascii="Cambria Math" w:eastAsiaTheme="minorEastAsia" w:hAnsi="Cambria Math"/>
                        <w:i/>
                        <w:sz w:val="20"/>
                        <w:szCs w:val="20"/>
                      </w:rPr>
                    </m:ctrlPr>
                  </m:sSupPr>
                  <m:e>
                    <m:r>
                      <w:rPr>
                        <w:rFonts w:ascii="Cambria Math" w:eastAsiaTheme="minorEastAsia" w:hAnsi="Cambria Math"/>
                        <w:sz w:val="20"/>
                        <w:szCs w:val="20"/>
                      </w:rPr>
                      <m:t>e</m:t>
                    </m:r>
                  </m:e>
                  <m:sup>
                    <m:r>
                      <w:rPr>
                        <w:rFonts w:ascii="Cambria Math" w:eastAsiaTheme="minorEastAsia" w:hAnsi="Cambria Math"/>
                        <w:sz w:val="20"/>
                        <w:szCs w:val="20"/>
                      </w:rPr>
                      <m:t>-</m:t>
                    </m:r>
                    <m:f>
                      <m:fPr>
                        <m:ctrlPr>
                          <w:rPr>
                            <w:rFonts w:ascii="Cambria Math" w:eastAsiaTheme="minorEastAsia" w:hAnsi="Cambria Math"/>
                            <w:i/>
                            <w:sz w:val="20"/>
                            <w:szCs w:val="20"/>
                          </w:rPr>
                        </m:ctrlPr>
                      </m:fPr>
                      <m:num>
                        <m:sSup>
                          <m:sSupPr>
                            <m:ctrlPr>
                              <w:rPr>
                                <w:rFonts w:ascii="Cambria Math" w:eastAsiaTheme="minorEastAsia" w:hAnsi="Cambria Math"/>
                                <w:i/>
                                <w:sz w:val="20"/>
                                <w:szCs w:val="20"/>
                              </w:rPr>
                            </m:ctrlPr>
                          </m:sSupPr>
                          <m:e>
                            <m:d>
                              <m:dPr>
                                <m:ctrlPr>
                                  <w:rPr>
                                    <w:rFonts w:ascii="Cambria Math" w:eastAsiaTheme="minorEastAsia" w:hAnsi="Cambria Math"/>
                                    <w:i/>
                                    <w:sz w:val="20"/>
                                    <w:szCs w:val="20"/>
                                  </w:rPr>
                                </m:ctrlPr>
                              </m:dPr>
                              <m:e>
                                <m:r>
                                  <w:rPr>
                                    <w:rFonts w:ascii="Cambria Math" w:eastAsiaTheme="minorEastAsia" w:hAnsi="Cambria Math"/>
                                    <w:sz w:val="20"/>
                                    <w:szCs w:val="20"/>
                                  </w:rPr>
                                  <m:t>1.46-1.4939</m:t>
                                </m:r>
                              </m:e>
                            </m:d>
                          </m:e>
                          <m:sup>
                            <m:r>
                              <w:rPr>
                                <w:rFonts w:ascii="Cambria Math" w:eastAsiaTheme="minorEastAsia" w:hAnsi="Cambria Math"/>
                                <w:sz w:val="20"/>
                                <w:szCs w:val="20"/>
                              </w:rPr>
                              <m:t>2</m:t>
                            </m:r>
                          </m:sup>
                        </m:sSup>
                      </m:num>
                      <m:den>
                        <m:r>
                          <w:rPr>
                            <w:rFonts w:ascii="Cambria Math" w:eastAsiaTheme="minorEastAsia" w:hAnsi="Cambria Math"/>
                            <w:sz w:val="20"/>
                            <w:szCs w:val="20"/>
                          </w:rPr>
                          <m:t>2</m:t>
                        </m:r>
                        <m:sSup>
                          <m:sSupPr>
                            <m:ctrlPr>
                              <w:rPr>
                                <w:rFonts w:ascii="Cambria Math" w:eastAsiaTheme="minorEastAsia" w:hAnsi="Cambria Math"/>
                                <w:i/>
                                <w:sz w:val="20"/>
                                <w:szCs w:val="20"/>
                              </w:rPr>
                            </m:ctrlPr>
                          </m:sSupPr>
                          <m:e>
                            <m:r>
                              <w:rPr>
                                <w:rFonts w:ascii="Cambria Math" w:eastAsiaTheme="minorEastAsia" w:hAnsi="Cambria Math"/>
                                <w:sz w:val="20"/>
                                <w:szCs w:val="20"/>
                              </w:rPr>
                              <m:t>∙0.2112</m:t>
                            </m:r>
                          </m:e>
                          <m:sup>
                            <m:r>
                              <w:rPr>
                                <w:rFonts w:ascii="Cambria Math" w:eastAsiaTheme="minorEastAsia" w:hAnsi="Cambria Math"/>
                                <w:sz w:val="20"/>
                                <w:szCs w:val="20"/>
                              </w:rPr>
                              <m:t>2</m:t>
                            </m:r>
                          </m:sup>
                        </m:sSup>
                      </m:den>
                    </m:f>
                  </m:sup>
                </m:sSup>
                <m:r>
                  <w:rPr>
                    <w:rFonts w:ascii="Cambria Math" w:eastAsiaTheme="minorEastAsia" w:hAnsi="Cambria Math"/>
                    <w:sz w:val="20"/>
                    <w:szCs w:val="20"/>
                  </w:rPr>
                  <m:t>=1.8647</m:t>
                </m:r>
              </m:oMath>
            </m:oMathPara>
          </w:p>
        </w:tc>
        <w:tc>
          <w:tcPr>
            <w:tcW w:w="772" w:type="dxa"/>
            <w:vAlign w:val="center"/>
          </w:tcPr>
          <w:p w14:paraId="1792CAC6" w14:textId="188E5AE4" w:rsidR="006C2142" w:rsidRPr="00081A83" w:rsidRDefault="002C693A" w:rsidP="00CC5DAD">
            <w:pPr>
              <w:spacing w:before="0" w:after="0"/>
              <w:jc w:val="right"/>
              <w:rPr>
                <w:szCs w:val="24"/>
              </w:rPr>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22</w:t>
            </w:r>
            <w:r w:rsidR="00427B33">
              <w:rPr>
                <w:noProof/>
              </w:rPr>
              <w:fldChar w:fldCharType="end"/>
            </w:r>
            <w:r>
              <w:t>)</w:t>
            </w:r>
          </w:p>
        </w:tc>
      </w:tr>
      <w:tr w:rsidR="006C2142" w:rsidRPr="00081A83" w14:paraId="48A96E64" w14:textId="77777777" w:rsidTr="00CC5DAD">
        <w:trPr>
          <w:trHeight w:val="788"/>
        </w:trPr>
        <w:tc>
          <w:tcPr>
            <w:tcW w:w="8245" w:type="dxa"/>
            <w:vAlign w:val="center"/>
          </w:tcPr>
          <w:p w14:paraId="5BA43CF3" w14:textId="77777777" w:rsidR="006C2142" w:rsidRPr="00081A83" w:rsidRDefault="006C2142" w:rsidP="00CC5DAD">
            <w:pPr>
              <w:spacing w:before="0" w:after="0"/>
              <w:jc w:val="center"/>
              <w:rPr>
                <w:i/>
                <w:sz w:val="20"/>
                <w:szCs w:val="20"/>
                <w:lang w:val="en-GB"/>
              </w:rPr>
            </w:pPr>
            <m:oMathPara>
              <m:oMath>
                <m:r>
                  <m:rPr>
                    <m:scr m:val="script"/>
                  </m:rPr>
                  <w:rPr>
                    <w:rFonts w:ascii="Cambria Math" w:eastAsiaTheme="minorEastAsia" w:hAnsi="Cambria Math"/>
                    <w:sz w:val="20"/>
                    <w:szCs w:val="20"/>
                  </w:rPr>
                  <m:t>L</m:t>
                </m:r>
                <m:d>
                  <m:dPr>
                    <m:ctrlPr>
                      <w:rPr>
                        <w:rFonts w:ascii="Cambria Math" w:eastAsiaTheme="minorEastAsia" w:hAnsi="Cambria Math"/>
                        <w:i/>
                        <w:sz w:val="20"/>
                        <w:szCs w:val="20"/>
                      </w:rPr>
                    </m:ctrlPr>
                  </m:dPr>
                  <m:e>
                    <m:d>
                      <m:dPr>
                        <m:begChr m:val=""/>
                        <m:endChr m:val="|"/>
                        <m:ctrlPr>
                          <w:rPr>
                            <w:rFonts w:ascii="Cambria Math" w:eastAsiaTheme="minorEastAsia" w:hAnsi="Cambria Math"/>
                            <w:i/>
                            <w:iCs/>
                            <w:sz w:val="20"/>
                            <w:szCs w:val="20"/>
                          </w:rPr>
                        </m:ctrlPr>
                      </m:dPr>
                      <m:e>
                        <m:sSub>
                          <m:sSubPr>
                            <m:ctrlPr>
                              <w:rPr>
                                <w:rFonts w:ascii="Cambria Math" w:eastAsiaTheme="minorEastAsia" w:hAnsi="Cambria Math"/>
                                <w:i/>
                                <w:sz w:val="20"/>
                                <w:szCs w:val="20"/>
                              </w:rPr>
                            </m:ctrlPr>
                          </m:sSubPr>
                          <m:e>
                            <m:r>
                              <w:rPr>
                                <w:rFonts w:ascii="Cambria Math" w:eastAsiaTheme="minorEastAsia" w:hAnsi="Cambria Math"/>
                                <w:sz w:val="20"/>
                                <w:szCs w:val="20"/>
                              </w:rPr>
                              <m:t>Load_kg</m:t>
                            </m:r>
                          </m:e>
                          <m:sub>
                            <m:r>
                              <w:rPr>
                                <w:rFonts w:ascii="Cambria Math" w:eastAsiaTheme="minorEastAsia" w:hAnsi="Cambria Math"/>
                                <w:sz w:val="20"/>
                                <w:szCs w:val="20"/>
                              </w:rPr>
                              <m:t>test</m:t>
                            </m:r>
                          </m:sub>
                        </m:sSub>
                      </m:e>
                    </m:d>
                    <m:sSub>
                      <m:sSubPr>
                        <m:ctrlPr>
                          <w:rPr>
                            <w:rFonts w:ascii="Cambria Math" w:eastAsiaTheme="minorEastAsia" w:hAnsi="Cambria Math"/>
                            <w:i/>
                            <w:sz w:val="20"/>
                            <w:szCs w:val="20"/>
                          </w:rPr>
                        </m:ctrlPr>
                      </m:sSubPr>
                      <m:e>
                        <m:sSub>
                          <m:sSubPr>
                            <m:ctrlPr>
                              <w:rPr>
                                <w:rFonts w:ascii="Cambria Math" w:eastAsiaTheme="minorEastAsia" w:hAnsi="Cambria Math"/>
                                <w:i/>
                                <w:sz w:val="20"/>
                                <w:szCs w:val="20"/>
                              </w:rPr>
                            </m:ctrlPr>
                          </m:sSubPr>
                          <m:e>
                            <m:r>
                              <w:rPr>
                                <w:rFonts w:ascii="Cambria Math" w:eastAsiaTheme="minorEastAsia" w:hAnsi="Cambria Math"/>
                                <w:sz w:val="20"/>
                                <w:szCs w:val="20"/>
                              </w:rPr>
                              <m:t>μ</m:t>
                            </m:r>
                          </m:e>
                          <m:sub>
                            <m:r>
                              <w:rPr>
                                <w:rFonts w:ascii="Cambria Math" w:eastAsiaTheme="minorEastAsia" w:hAnsi="Cambria Math"/>
                                <w:sz w:val="20"/>
                                <w:szCs w:val="20"/>
                              </w:rPr>
                              <m:t>Load_kg</m:t>
                            </m:r>
                          </m:sub>
                        </m:sSub>
                      </m:e>
                      <m:sub>
                        <m:r>
                          <w:rPr>
                            <w:rFonts w:ascii="Cambria Math" w:eastAsiaTheme="minorEastAsia" w:hAnsi="Cambria Math"/>
                            <w:sz w:val="20"/>
                            <w:szCs w:val="20"/>
                          </w:rPr>
                          <m:t>train</m:t>
                        </m:r>
                      </m:sub>
                    </m:sSub>
                    <m:r>
                      <w:rPr>
                        <w:rFonts w:ascii="Cambria Math" w:eastAsiaTheme="minorEastAsia" w:hAnsi="Cambria Math"/>
                        <w:sz w:val="20"/>
                        <w:szCs w:val="20"/>
                      </w:rPr>
                      <m:t>;</m:t>
                    </m:r>
                    <m:sSub>
                      <m:sSubPr>
                        <m:ctrlPr>
                          <w:rPr>
                            <w:rFonts w:ascii="Cambria Math" w:eastAsiaTheme="minorEastAsia" w:hAnsi="Cambria Math"/>
                            <w:i/>
                            <w:sz w:val="20"/>
                            <w:szCs w:val="20"/>
                          </w:rPr>
                        </m:ctrlPr>
                      </m:sSubPr>
                      <m:e>
                        <m:sSubSup>
                          <m:sSubSupPr>
                            <m:ctrlPr>
                              <w:rPr>
                                <w:rFonts w:ascii="Cambria Math" w:eastAsiaTheme="minorEastAsia" w:hAnsi="Cambria Math"/>
                                <w:i/>
                                <w:sz w:val="20"/>
                                <w:szCs w:val="20"/>
                              </w:rPr>
                            </m:ctrlPr>
                          </m:sSubSupPr>
                          <m:e>
                            <m:r>
                              <w:rPr>
                                <w:rFonts w:ascii="Cambria Math" w:eastAsiaTheme="minorEastAsia" w:hAnsi="Cambria Math"/>
                                <w:sz w:val="20"/>
                                <w:szCs w:val="20"/>
                              </w:rPr>
                              <m:t>σ</m:t>
                            </m:r>
                          </m:e>
                          <m:sub>
                            <m:r>
                              <w:rPr>
                                <w:rFonts w:ascii="Cambria Math" w:eastAsiaTheme="minorEastAsia" w:hAnsi="Cambria Math"/>
                                <w:sz w:val="20"/>
                                <w:szCs w:val="20"/>
                              </w:rPr>
                              <m:t>Load_kg</m:t>
                            </m:r>
                          </m:sub>
                          <m:sup>
                            <m:r>
                              <w:rPr>
                                <w:rFonts w:ascii="Cambria Math" w:eastAsiaTheme="minorEastAsia" w:hAnsi="Cambria Math"/>
                                <w:sz w:val="20"/>
                                <w:szCs w:val="20"/>
                              </w:rPr>
                              <m:t>2</m:t>
                            </m:r>
                          </m:sup>
                        </m:sSubSup>
                      </m:e>
                      <m:sub>
                        <m:r>
                          <w:rPr>
                            <w:rFonts w:ascii="Cambria Math" w:eastAsiaTheme="minorEastAsia" w:hAnsi="Cambria Math"/>
                            <w:sz w:val="20"/>
                            <w:szCs w:val="20"/>
                          </w:rPr>
                          <m:t>train</m:t>
                        </m:r>
                      </m:sub>
                    </m:sSub>
                  </m:e>
                </m:d>
                <m:r>
                  <w:rPr>
                    <w:rFonts w:ascii="Cambria Math" w:eastAsiaTheme="minorEastAsia" w:hAnsi="Cambria Math"/>
                    <w:sz w:val="20"/>
                    <w:szCs w:val="20"/>
                  </w:rPr>
                  <m:t>=</m:t>
                </m:r>
                <m:f>
                  <m:fPr>
                    <m:ctrlPr>
                      <w:rPr>
                        <w:rFonts w:ascii="Cambria Math" w:eastAsiaTheme="minorEastAsia" w:hAnsi="Cambria Math"/>
                        <w:i/>
                        <w:sz w:val="20"/>
                        <w:szCs w:val="20"/>
                      </w:rPr>
                    </m:ctrlPr>
                  </m:fPr>
                  <m:num>
                    <m:r>
                      <w:rPr>
                        <w:rFonts w:ascii="Cambria Math" w:eastAsiaTheme="minorEastAsia" w:hAnsi="Cambria Math"/>
                        <w:sz w:val="20"/>
                        <w:szCs w:val="20"/>
                      </w:rPr>
                      <m:t>1</m:t>
                    </m:r>
                  </m:num>
                  <m:den>
                    <m:r>
                      <w:rPr>
                        <w:rFonts w:ascii="Cambria Math" w:eastAsiaTheme="minorEastAsia" w:hAnsi="Cambria Math"/>
                        <w:sz w:val="20"/>
                        <w:szCs w:val="20"/>
                      </w:rPr>
                      <m:t>3.8833∙</m:t>
                    </m:r>
                    <m:rad>
                      <m:radPr>
                        <m:degHide m:val="1"/>
                        <m:ctrlPr>
                          <w:rPr>
                            <w:rFonts w:ascii="Cambria Math" w:eastAsiaTheme="minorEastAsia" w:hAnsi="Cambria Math"/>
                            <w:i/>
                            <w:sz w:val="20"/>
                            <w:szCs w:val="20"/>
                          </w:rPr>
                        </m:ctrlPr>
                      </m:radPr>
                      <m:deg/>
                      <m:e>
                        <m:r>
                          <w:rPr>
                            <w:rFonts w:ascii="Cambria Math" w:eastAsiaTheme="minorEastAsia" w:hAnsi="Cambria Math"/>
                            <w:sz w:val="20"/>
                            <w:szCs w:val="20"/>
                          </w:rPr>
                          <m:t>2π</m:t>
                        </m:r>
                      </m:e>
                    </m:rad>
                  </m:den>
                </m:f>
                <m:r>
                  <w:rPr>
                    <w:rFonts w:ascii="Cambria Math" w:eastAsiaTheme="minorEastAsia" w:hAnsi="Cambria Math"/>
                    <w:sz w:val="20"/>
                    <w:szCs w:val="20"/>
                  </w:rPr>
                  <m:t>∙</m:t>
                </m:r>
                <m:sSup>
                  <m:sSupPr>
                    <m:ctrlPr>
                      <w:rPr>
                        <w:rFonts w:ascii="Cambria Math" w:eastAsiaTheme="minorEastAsia" w:hAnsi="Cambria Math"/>
                        <w:i/>
                        <w:sz w:val="20"/>
                        <w:szCs w:val="20"/>
                      </w:rPr>
                    </m:ctrlPr>
                  </m:sSupPr>
                  <m:e>
                    <m:r>
                      <w:rPr>
                        <w:rFonts w:ascii="Cambria Math" w:eastAsiaTheme="minorEastAsia" w:hAnsi="Cambria Math"/>
                        <w:sz w:val="20"/>
                        <w:szCs w:val="20"/>
                      </w:rPr>
                      <m:t>e</m:t>
                    </m:r>
                  </m:e>
                  <m:sup>
                    <m:r>
                      <w:rPr>
                        <w:rFonts w:ascii="Cambria Math" w:eastAsiaTheme="minorEastAsia" w:hAnsi="Cambria Math"/>
                        <w:sz w:val="20"/>
                        <w:szCs w:val="20"/>
                      </w:rPr>
                      <m:t>-</m:t>
                    </m:r>
                    <m:f>
                      <m:fPr>
                        <m:ctrlPr>
                          <w:rPr>
                            <w:rFonts w:ascii="Cambria Math" w:eastAsiaTheme="minorEastAsia" w:hAnsi="Cambria Math"/>
                            <w:i/>
                            <w:sz w:val="20"/>
                            <w:szCs w:val="20"/>
                          </w:rPr>
                        </m:ctrlPr>
                      </m:fPr>
                      <m:num>
                        <m:sSup>
                          <m:sSupPr>
                            <m:ctrlPr>
                              <w:rPr>
                                <w:rFonts w:ascii="Cambria Math" w:eastAsiaTheme="minorEastAsia" w:hAnsi="Cambria Math"/>
                                <w:i/>
                                <w:sz w:val="20"/>
                                <w:szCs w:val="20"/>
                              </w:rPr>
                            </m:ctrlPr>
                          </m:sSupPr>
                          <m:e>
                            <m:d>
                              <m:dPr>
                                <m:ctrlPr>
                                  <w:rPr>
                                    <w:rFonts w:ascii="Cambria Math" w:eastAsiaTheme="minorEastAsia" w:hAnsi="Cambria Math"/>
                                    <w:i/>
                                    <w:sz w:val="20"/>
                                    <w:szCs w:val="20"/>
                                  </w:rPr>
                                </m:ctrlPr>
                              </m:dPr>
                              <m:e>
                                <m:r>
                                  <w:rPr>
                                    <w:rFonts w:ascii="Cambria Math" w:eastAsiaTheme="minorEastAsia" w:hAnsi="Cambria Math"/>
                                    <w:sz w:val="20"/>
                                    <w:szCs w:val="20"/>
                                  </w:rPr>
                                  <m:t>198.71-224.15</m:t>
                                </m:r>
                              </m:e>
                            </m:d>
                          </m:e>
                          <m:sup>
                            <m:r>
                              <w:rPr>
                                <w:rFonts w:ascii="Cambria Math" w:eastAsiaTheme="minorEastAsia" w:hAnsi="Cambria Math"/>
                                <w:sz w:val="20"/>
                                <w:szCs w:val="20"/>
                              </w:rPr>
                              <m:t>2</m:t>
                            </m:r>
                          </m:sup>
                        </m:sSup>
                      </m:num>
                      <m:den>
                        <m:r>
                          <w:rPr>
                            <w:rFonts w:ascii="Cambria Math" w:eastAsiaTheme="minorEastAsia" w:hAnsi="Cambria Math"/>
                            <w:sz w:val="20"/>
                            <w:szCs w:val="20"/>
                          </w:rPr>
                          <m:t>2</m:t>
                        </m:r>
                        <m:sSup>
                          <m:sSupPr>
                            <m:ctrlPr>
                              <w:rPr>
                                <w:rFonts w:ascii="Cambria Math" w:eastAsiaTheme="minorEastAsia" w:hAnsi="Cambria Math"/>
                                <w:i/>
                                <w:sz w:val="20"/>
                                <w:szCs w:val="20"/>
                              </w:rPr>
                            </m:ctrlPr>
                          </m:sSupPr>
                          <m:e>
                            <m:r>
                              <w:rPr>
                                <w:rFonts w:ascii="Cambria Math" w:eastAsiaTheme="minorEastAsia" w:hAnsi="Cambria Math"/>
                                <w:sz w:val="20"/>
                                <w:szCs w:val="20"/>
                              </w:rPr>
                              <m:t>∙15.08</m:t>
                            </m:r>
                          </m:e>
                          <m:sup>
                            <m:r>
                              <w:rPr>
                                <w:rFonts w:ascii="Cambria Math" w:eastAsiaTheme="minorEastAsia" w:hAnsi="Cambria Math"/>
                                <w:sz w:val="20"/>
                                <w:szCs w:val="20"/>
                              </w:rPr>
                              <m:t>2</m:t>
                            </m:r>
                          </m:sup>
                        </m:sSup>
                      </m:den>
                    </m:f>
                  </m:sup>
                </m:sSup>
                <m:r>
                  <w:rPr>
                    <w:rFonts w:ascii="Cambria Math" w:eastAsiaTheme="minorEastAsia" w:hAnsi="Cambria Math"/>
                    <w:sz w:val="20"/>
                    <w:szCs w:val="20"/>
                  </w:rPr>
                  <m:t>=0.0064</m:t>
                </m:r>
              </m:oMath>
            </m:oMathPara>
          </w:p>
        </w:tc>
        <w:tc>
          <w:tcPr>
            <w:tcW w:w="772" w:type="dxa"/>
            <w:vAlign w:val="center"/>
          </w:tcPr>
          <w:p w14:paraId="46C32D30" w14:textId="22D255E5" w:rsidR="006C2142" w:rsidRPr="00081A83" w:rsidRDefault="002C693A" w:rsidP="00CC5DAD">
            <w:pPr>
              <w:spacing w:before="0" w:after="0"/>
              <w:jc w:val="right"/>
              <w:rPr>
                <w:szCs w:val="24"/>
              </w:rPr>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23</w:t>
            </w:r>
            <w:r w:rsidR="00427B33">
              <w:rPr>
                <w:noProof/>
              </w:rPr>
              <w:fldChar w:fldCharType="end"/>
            </w:r>
            <w:r>
              <w:t>)</w:t>
            </w:r>
          </w:p>
        </w:tc>
      </w:tr>
      <w:tr w:rsidR="006C2142" w:rsidRPr="00081A83" w14:paraId="4F96F45C" w14:textId="77777777" w:rsidTr="00CC5DAD">
        <w:trPr>
          <w:trHeight w:val="788"/>
        </w:trPr>
        <w:tc>
          <w:tcPr>
            <w:tcW w:w="8245" w:type="dxa"/>
            <w:vAlign w:val="center"/>
          </w:tcPr>
          <w:p w14:paraId="26FCD802" w14:textId="77777777" w:rsidR="006C2142" w:rsidRPr="00081A83" w:rsidRDefault="006C2142" w:rsidP="00CC5DAD">
            <w:pPr>
              <w:spacing w:before="0" w:after="0"/>
              <w:jc w:val="center"/>
              <w:rPr>
                <w:i/>
                <w:sz w:val="20"/>
                <w:szCs w:val="20"/>
                <w:lang w:val="en-GB"/>
              </w:rPr>
            </w:pPr>
            <m:oMathPara>
              <m:oMath>
                <m:r>
                  <m:rPr>
                    <m:scr m:val="script"/>
                  </m:rPr>
                  <w:rPr>
                    <w:rFonts w:ascii="Cambria Math" w:eastAsiaTheme="minorEastAsia" w:hAnsi="Cambria Math"/>
                    <w:sz w:val="20"/>
                    <w:szCs w:val="20"/>
                  </w:rPr>
                  <m:t>L</m:t>
                </m:r>
                <m:d>
                  <m:dPr>
                    <m:ctrlPr>
                      <w:rPr>
                        <w:rFonts w:ascii="Cambria Math" w:eastAsiaTheme="minorEastAsia" w:hAnsi="Cambria Math"/>
                        <w:i/>
                        <w:sz w:val="20"/>
                        <w:szCs w:val="20"/>
                      </w:rPr>
                    </m:ctrlPr>
                  </m:dPr>
                  <m:e>
                    <m:d>
                      <m:dPr>
                        <m:begChr m:val=""/>
                        <m:endChr m:val="|"/>
                        <m:ctrlPr>
                          <w:rPr>
                            <w:rFonts w:ascii="Cambria Math" w:eastAsiaTheme="minorEastAsia" w:hAnsi="Cambria Math"/>
                            <w:i/>
                            <w:iCs/>
                            <w:sz w:val="20"/>
                            <w:szCs w:val="20"/>
                          </w:rPr>
                        </m:ctrlPr>
                      </m:dPr>
                      <m:e>
                        <m:sSub>
                          <m:sSubPr>
                            <m:ctrlPr>
                              <w:rPr>
                                <w:rFonts w:ascii="Cambria Math" w:eastAsiaTheme="minorEastAsia" w:hAnsi="Cambria Math"/>
                                <w:i/>
                                <w:sz w:val="20"/>
                                <w:szCs w:val="20"/>
                              </w:rPr>
                            </m:ctrlPr>
                          </m:sSubPr>
                          <m:e>
                            <m:r>
                              <w:rPr>
                                <w:rFonts w:ascii="Cambria Math" w:eastAsiaTheme="minorEastAsia" w:hAnsi="Cambria Math"/>
                                <w:sz w:val="20"/>
                                <w:szCs w:val="20"/>
                              </w:rPr>
                              <m:t>N_StDev_OS</m:t>
                            </m:r>
                          </m:e>
                          <m:sub>
                            <m:r>
                              <w:rPr>
                                <w:rFonts w:ascii="Cambria Math" w:eastAsiaTheme="minorEastAsia" w:hAnsi="Cambria Math"/>
                                <w:sz w:val="20"/>
                                <w:szCs w:val="20"/>
                              </w:rPr>
                              <m:t>test</m:t>
                            </m:r>
                          </m:sub>
                        </m:sSub>
                      </m:e>
                    </m:d>
                    <m:sSub>
                      <m:sSubPr>
                        <m:ctrlPr>
                          <w:rPr>
                            <w:rFonts w:ascii="Cambria Math" w:eastAsiaTheme="minorEastAsia" w:hAnsi="Cambria Math"/>
                            <w:i/>
                            <w:sz w:val="20"/>
                            <w:szCs w:val="20"/>
                          </w:rPr>
                        </m:ctrlPr>
                      </m:sSubPr>
                      <m:e>
                        <m:r>
                          <w:rPr>
                            <w:rFonts w:ascii="Cambria Math" w:eastAsiaTheme="minorEastAsia" w:hAnsi="Cambria Math"/>
                            <w:sz w:val="20"/>
                            <w:szCs w:val="20"/>
                          </w:rPr>
                          <m:t>μ</m:t>
                        </m:r>
                      </m:e>
                      <m:sub>
                        <m:sSub>
                          <m:sSubPr>
                            <m:ctrlPr>
                              <w:rPr>
                                <w:rFonts w:ascii="Cambria Math" w:eastAsiaTheme="minorEastAsia" w:hAnsi="Cambria Math"/>
                                <w:i/>
                                <w:sz w:val="20"/>
                                <w:szCs w:val="20"/>
                              </w:rPr>
                            </m:ctrlPr>
                          </m:sSubPr>
                          <m:e>
                            <m:r>
                              <w:rPr>
                                <w:rFonts w:ascii="Cambria Math" w:eastAsiaTheme="minorEastAsia" w:hAnsi="Cambria Math"/>
                                <w:sz w:val="20"/>
                                <w:szCs w:val="20"/>
                              </w:rPr>
                              <m:t>N_StDev_OS</m:t>
                            </m:r>
                          </m:e>
                          <m:sub>
                            <m:r>
                              <w:rPr>
                                <w:rFonts w:ascii="Cambria Math" w:eastAsiaTheme="minorEastAsia" w:hAnsi="Cambria Math"/>
                                <w:sz w:val="20"/>
                                <w:szCs w:val="20"/>
                              </w:rPr>
                              <m:t>train</m:t>
                            </m:r>
                          </m:sub>
                        </m:sSub>
                      </m:sub>
                    </m:sSub>
                    <m:r>
                      <w:rPr>
                        <w:rFonts w:ascii="Cambria Math" w:eastAsiaTheme="minorEastAsia" w:hAnsi="Cambria Math"/>
                        <w:sz w:val="20"/>
                        <w:szCs w:val="20"/>
                      </w:rPr>
                      <m:t>;</m:t>
                    </m:r>
                    <m:sSubSup>
                      <m:sSubSupPr>
                        <m:ctrlPr>
                          <w:rPr>
                            <w:rFonts w:ascii="Cambria Math" w:eastAsiaTheme="minorEastAsia" w:hAnsi="Cambria Math"/>
                            <w:i/>
                            <w:sz w:val="20"/>
                            <w:szCs w:val="20"/>
                          </w:rPr>
                        </m:ctrlPr>
                      </m:sSubSupPr>
                      <m:e>
                        <m:r>
                          <w:rPr>
                            <w:rFonts w:ascii="Cambria Math" w:eastAsiaTheme="minorEastAsia" w:hAnsi="Cambria Math"/>
                            <w:sz w:val="20"/>
                            <w:szCs w:val="20"/>
                          </w:rPr>
                          <m:t>σ</m:t>
                        </m:r>
                      </m:e>
                      <m:sub>
                        <m:sSub>
                          <m:sSubPr>
                            <m:ctrlPr>
                              <w:rPr>
                                <w:rFonts w:ascii="Cambria Math" w:eastAsiaTheme="minorEastAsia" w:hAnsi="Cambria Math"/>
                                <w:i/>
                                <w:sz w:val="20"/>
                                <w:szCs w:val="20"/>
                              </w:rPr>
                            </m:ctrlPr>
                          </m:sSubPr>
                          <m:e>
                            <m:r>
                              <w:rPr>
                                <w:rFonts w:ascii="Cambria Math" w:eastAsiaTheme="minorEastAsia" w:hAnsi="Cambria Math"/>
                                <w:sz w:val="20"/>
                                <w:szCs w:val="20"/>
                              </w:rPr>
                              <m:t>N_StDev_OS</m:t>
                            </m:r>
                          </m:e>
                          <m:sub>
                            <m:r>
                              <w:rPr>
                                <w:rFonts w:ascii="Cambria Math" w:eastAsiaTheme="minorEastAsia" w:hAnsi="Cambria Math"/>
                                <w:sz w:val="20"/>
                                <w:szCs w:val="20"/>
                              </w:rPr>
                              <m:t>train</m:t>
                            </m:r>
                          </m:sub>
                        </m:sSub>
                      </m:sub>
                      <m:sup>
                        <m:r>
                          <w:rPr>
                            <w:rFonts w:ascii="Cambria Math" w:eastAsiaTheme="minorEastAsia" w:hAnsi="Cambria Math"/>
                            <w:sz w:val="20"/>
                            <w:szCs w:val="20"/>
                          </w:rPr>
                          <m:t>2</m:t>
                        </m:r>
                      </m:sup>
                    </m:sSubSup>
                  </m:e>
                </m:d>
                <m:r>
                  <w:rPr>
                    <w:rFonts w:ascii="Cambria Math" w:eastAsiaTheme="minorEastAsia" w:hAnsi="Cambria Math"/>
                    <w:sz w:val="20"/>
                    <w:szCs w:val="20"/>
                  </w:rPr>
                  <m:t>=</m:t>
                </m:r>
                <m:f>
                  <m:fPr>
                    <m:ctrlPr>
                      <w:rPr>
                        <w:rFonts w:ascii="Cambria Math" w:eastAsiaTheme="minorEastAsia" w:hAnsi="Cambria Math"/>
                        <w:i/>
                        <w:sz w:val="20"/>
                        <w:szCs w:val="20"/>
                      </w:rPr>
                    </m:ctrlPr>
                  </m:fPr>
                  <m:num>
                    <m:r>
                      <w:rPr>
                        <w:rFonts w:ascii="Cambria Math" w:eastAsiaTheme="minorEastAsia" w:hAnsi="Cambria Math"/>
                        <w:sz w:val="20"/>
                        <w:szCs w:val="20"/>
                      </w:rPr>
                      <m:t>1</m:t>
                    </m:r>
                  </m:num>
                  <m:den>
                    <m:r>
                      <w:rPr>
                        <w:rFonts w:ascii="Cambria Math" w:eastAsiaTheme="minorEastAsia" w:hAnsi="Cambria Math"/>
                        <w:sz w:val="20"/>
                        <w:szCs w:val="20"/>
                      </w:rPr>
                      <m:t>0.8366∙</m:t>
                    </m:r>
                    <m:rad>
                      <m:radPr>
                        <m:degHide m:val="1"/>
                        <m:ctrlPr>
                          <w:rPr>
                            <w:rFonts w:ascii="Cambria Math" w:eastAsiaTheme="minorEastAsia" w:hAnsi="Cambria Math"/>
                            <w:i/>
                            <w:sz w:val="20"/>
                            <w:szCs w:val="20"/>
                          </w:rPr>
                        </m:ctrlPr>
                      </m:radPr>
                      <m:deg/>
                      <m:e>
                        <m:r>
                          <w:rPr>
                            <w:rFonts w:ascii="Cambria Math" w:eastAsiaTheme="minorEastAsia" w:hAnsi="Cambria Math"/>
                            <w:sz w:val="20"/>
                            <w:szCs w:val="20"/>
                          </w:rPr>
                          <m:t>2π</m:t>
                        </m:r>
                      </m:e>
                    </m:rad>
                  </m:den>
                </m:f>
                <m:r>
                  <w:rPr>
                    <w:rFonts w:ascii="Cambria Math" w:eastAsiaTheme="minorEastAsia" w:hAnsi="Cambria Math"/>
                    <w:sz w:val="20"/>
                    <w:szCs w:val="20"/>
                  </w:rPr>
                  <m:t>∙</m:t>
                </m:r>
                <m:sSup>
                  <m:sSupPr>
                    <m:ctrlPr>
                      <w:rPr>
                        <w:rFonts w:ascii="Cambria Math" w:eastAsiaTheme="minorEastAsia" w:hAnsi="Cambria Math"/>
                        <w:i/>
                        <w:sz w:val="20"/>
                        <w:szCs w:val="20"/>
                      </w:rPr>
                    </m:ctrlPr>
                  </m:sSupPr>
                  <m:e>
                    <m:r>
                      <w:rPr>
                        <w:rFonts w:ascii="Cambria Math" w:eastAsiaTheme="minorEastAsia" w:hAnsi="Cambria Math"/>
                        <w:sz w:val="20"/>
                        <w:szCs w:val="20"/>
                      </w:rPr>
                      <m:t>e</m:t>
                    </m:r>
                  </m:e>
                  <m:sup>
                    <m:r>
                      <w:rPr>
                        <w:rFonts w:ascii="Cambria Math" w:eastAsiaTheme="minorEastAsia" w:hAnsi="Cambria Math"/>
                        <w:sz w:val="20"/>
                        <w:szCs w:val="20"/>
                      </w:rPr>
                      <m:t>-</m:t>
                    </m:r>
                    <m:f>
                      <m:fPr>
                        <m:ctrlPr>
                          <w:rPr>
                            <w:rFonts w:ascii="Cambria Math" w:eastAsiaTheme="minorEastAsia" w:hAnsi="Cambria Math"/>
                            <w:i/>
                            <w:sz w:val="20"/>
                            <w:szCs w:val="20"/>
                          </w:rPr>
                        </m:ctrlPr>
                      </m:fPr>
                      <m:num>
                        <m:sSup>
                          <m:sSupPr>
                            <m:ctrlPr>
                              <w:rPr>
                                <w:rFonts w:ascii="Cambria Math" w:eastAsiaTheme="minorEastAsia" w:hAnsi="Cambria Math"/>
                                <w:i/>
                                <w:sz w:val="20"/>
                                <w:szCs w:val="20"/>
                              </w:rPr>
                            </m:ctrlPr>
                          </m:sSupPr>
                          <m:e>
                            <m:d>
                              <m:dPr>
                                <m:ctrlPr>
                                  <w:rPr>
                                    <w:rFonts w:ascii="Cambria Math" w:eastAsiaTheme="minorEastAsia" w:hAnsi="Cambria Math"/>
                                    <w:i/>
                                    <w:sz w:val="20"/>
                                    <w:szCs w:val="20"/>
                                  </w:rPr>
                                </m:ctrlPr>
                              </m:dPr>
                              <m:e>
                                <m:r>
                                  <w:rPr>
                                    <w:rFonts w:ascii="Cambria Math" w:eastAsiaTheme="minorEastAsia" w:hAnsi="Cambria Math"/>
                                    <w:sz w:val="20"/>
                                    <w:szCs w:val="20"/>
                                  </w:rPr>
                                  <m:t>5.328-5.0077</m:t>
                                </m:r>
                              </m:e>
                            </m:d>
                          </m:e>
                          <m:sup>
                            <m:r>
                              <w:rPr>
                                <w:rFonts w:ascii="Cambria Math" w:eastAsiaTheme="minorEastAsia" w:hAnsi="Cambria Math"/>
                                <w:sz w:val="20"/>
                                <w:szCs w:val="20"/>
                              </w:rPr>
                              <m:t>2</m:t>
                            </m:r>
                          </m:sup>
                        </m:sSup>
                      </m:num>
                      <m:den>
                        <m:r>
                          <w:rPr>
                            <w:rFonts w:ascii="Cambria Math" w:eastAsiaTheme="minorEastAsia" w:hAnsi="Cambria Math"/>
                            <w:sz w:val="20"/>
                            <w:szCs w:val="20"/>
                          </w:rPr>
                          <m:t>2</m:t>
                        </m:r>
                        <m:sSup>
                          <m:sSupPr>
                            <m:ctrlPr>
                              <w:rPr>
                                <w:rFonts w:ascii="Cambria Math" w:eastAsiaTheme="minorEastAsia" w:hAnsi="Cambria Math"/>
                                <w:i/>
                                <w:sz w:val="20"/>
                                <w:szCs w:val="20"/>
                              </w:rPr>
                            </m:ctrlPr>
                          </m:sSupPr>
                          <m:e>
                            <m:r>
                              <w:rPr>
                                <w:rFonts w:ascii="Cambria Math" w:eastAsiaTheme="minorEastAsia" w:hAnsi="Cambria Math"/>
                                <w:sz w:val="20"/>
                                <w:szCs w:val="20"/>
                              </w:rPr>
                              <m:t>∙0.7013</m:t>
                            </m:r>
                          </m:e>
                          <m:sup>
                            <m:r>
                              <w:rPr>
                                <w:rFonts w:ascii="Cambria Math" w:eastAsiaTheme="minorEastAsia" w:hAnsi="Cambria Math"/>
                                <w:sz w:val="20"/>
                                <w:szCs w:val="20"/>
                              </w:rPr>
                              <m:t>2</m:t>
                            </m:r>
                          </m:sup>
                        </m:sSup>
                      </m:den>
                    </m:f>
                  </m:sup>
                </m:sSup>
                <m:r>
                  <w:rPr>
                    <w:rFonts w:ascii="Cambria Math" w:eastAsiaTheme="minorEastAsia" w:hAnsi="Cambria Math"/>
                    <w:sz w:val="20"/>
                    <w:szCs w:val="20"/>
                    <w:lang w:val="en-GB"/>
                  </w:rPr>
                  <m:t>=0.5125</m:t>
                </m:r>
              </m:oMath>
            </m:oMathPara>
          </w:p>
        </w:tc>
        <w:tc>
          <w:tcPr>
            <w:tcW w:w="772" w:type="dxa"/>
            <w:vAlign w:val="center"/>
          </w:tcPr>
          <w:p w14:paraId="4CF78ADC" w14:textId="5E40992B" w:rsidR="006C2142" w:rsidRPr="00081A83" w:rsidRDefault="002C693A" w:rsidP="00CC5DAD">
            <w:pPr>
              <w:spacing w:before="0" w:after="0"/>
              <w:jc w:val="right"/>
              <w:rPr>
                <w:szCs w:val="24"/>
              </w:rPr>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24</w:t>
            </w:r>
            <w:r w:rsidR="00427B33">
              <w:rPr>
                <w:noProof/>
              </w:rPr>
              <w:fldChar w:fldCharType="end"/>
            </w:r>
            <w:r>
              <w:t>)</w:t>
            </w:r>
          </w:p>
        </w:tc>
      </w:tr>
      <w:tr w:rsidR="006C2142" w:rsidRPr="00081A83" w14:paraId="7AABD81A" w14:textId="77777777" w:rsidTr="00CC5DAD">
        <w:trPr>
          <w:trHeight w:val="788"/>
        </w:trPr>
        <w:tc>
          <w:tcPr>
            <w:tcW w:w="8245" w:type="dxa"/>
            <w:vAlign w:val="center"/>
          </w:tcPr>
          <w:p w14:paraId="6D29507A" w14:textId="77777777" w:rsidR="006C2142" w:rsidRPr="00081A83" w:rsidRDefault="006C2142" w:rsidP="00CC5DAD">
            <w:pPr>
              <w:spacing w:before="0" w:after="0"/>
              <w:jc w:val="center"/>
              <w:rPr>
                <w:i/>
                <w:sz w:val="20"/>
                <w:szCs w:val="20"/>
                <w:lang w:val="en-GB"/>
              </w:rPr>
            </w:pPr>
            <m:oMathPara>
              <m:oMath>
                <m:r>
                  <m:rPr>
                    <m:scr m:val="script"/>
                  </m:rPr>
                  <w:rPr>
                    <w:rFonts w:ascii="Cambria Math" w:eastAsiaTheme="minorEastAsia" w:hAnsi="Cambria Math"/>
                    <w:sz w:val="19"/>
                    <w:szCs w:val="19"/>
                  </w:rPr>
                  <m:t>L</m:t>
                </m:r>
                <m:d>
                  <m:dPr>
                    <m:ctrlPr>
                      <w:rPr>
                        <w:rFonts w:ascii="Cambria Math" w:eastAsiaTheme="minorEastAsia" w:hAnsi="Cambria Math"/>
                        <w:i/>
                        <w:sz w:val="19"/>
                        <w:szCs w:val="19"/>
                      </w:rPr>
                    </m:ctrlPr>
                  </m:dPr>
                  <m:e>
                    <m:d>
                      <m:dPr>
                        <m:begChr m:val=""/>
                        <m:endChr m:val="|"/>
                        <m:ctrlPr>
                          <w:rPr>
                            <w:rFonts w:ascii="Cambria Math" w:eastAsiaTheme="minorEastAsia" w:hAnsi="Cambria Math"/>
                            <w:i/>
                            <w:iCs/>
                            <w:sz w:val="19"/>
                            <w:szCs w:val="19"/>
                          </w:rPr>
                        </m:ctrlPr>
                      </m:dPr>
                      <m:e>
                        <m:sSub>
                          <m:sSubPr>
                            <m:ctrlPr>
                              <w:rPr>
                                <w:rFonts w:ascii="Cambria Math" w:eastAsiaTheme="minorEastAsia" w:hAnsi="Cambria Math"/>
                                <w:i/>
                                <w:sz w:val="19"/>
                                <w:szCs w:val="19"/>
                              </w:rPr>
                            </m:ctrlPr>
                          </m:sSubPr>
                          <m:e>
                            <m:r>
                              <w:rPr>
                                <w:rFonts w:ascii="Cambria Math" w:eastAsiaTheme="minorEastAsia" w:hAnsi="Cambria Math"/>
                                <w:sz w:val="19"/>
                                <w:szCs w:val="19"/>
                              </w:rPr>
                              <m:t>N_Median_OS</m:t>
                            </m:r>
                          </m:e>
                          <m:sub>
                            <m:r>
                              <w:rPr>
                                <w:rFonts w:ascii="Cambria Math" w:eastAsiaTheme="minorEastAsia" w:hAnsi="Cambria Math"/>
                                <w:sz w:val="19"/>
                                <w:szCs w:val="19"/>
                              </w:rPr>
                              <m:t>test</m:t>
                            </m:r>
                          </m:sub>
                        </m:sSub>
                      </m:e>
                    </m:d>
                    <m:sSub>
                      <m:sSubPr>
                        <m:ctrlPr>
                          <w:rPr>
                            <w:rFonts w:ascii="Cambria Math" w:eastAsiaTheme="minorEastAsia" w:hAnsi="Cambria Math"/>
                            <w:i/>
                            <w:sz w:val="19"/>
                            <w:szCs w:val="19"/>
                          </w:rPr>
                        </m:ctrlPr>
                      </m:sSubPr>
                      <m:e>
                        <m:r>
                          <w:rPr>
                            <w:rFonts w:ascii="Cambria Math" w:eastAsiaTheme="minorEastAsia" w:hAnsi="Cambria Math"/>
                            <w:sz w:val="19"/>
                            <w:szCs w:val="19"/>
                          </w:rPr>
                          <m:t>μ</m:t>
                        </m:r>
                      </m:e>
                      <m:sub>
                        <m:sSub>
                          <m:sSubPr>
                            <m:ctrlPr>
                              <w:rPr>
                                <w:rFonts w:ascii="Cambria Math" w:eastAsiaTheme="minorEastAsia" w:hAnsi="Cambria Math"/>
                                <w:i/>
                                <w:iCs/>
                                <w:sz w:val="19"/>
                                <w:szCs w:val="19"/>
                              </w:rPr>
                            </m:ctrlPr>
                          </m:sSubPr>
                          <m:e>
                            <m:r>
                              <w:rPr>
                                <w:rFonts w:ascii="Cambria Math" w:eastAsiaTheme="minorEastAsia" w:hAnsi="Cambria Math"/>
                                <w:sz w:val="19"/>
                                <w:szCs w:val="19"/>
                              </w:rPr>
                              <m:t>N_Median_OS</m:t>
                            </m:r>
                          </m:e>
                          <m:sub>
                            <m:r>
                              <w:rPr>
                                <w:rFonts w:ascii="Cambria Math" w:eastAsiaTheme="minorEastAsia" w:hAnsi="Cambria Math"/>
                                <w:sz w:val="19"/>
                                <w:szCs w:val="19"/>
                              </w:rPr>
                              <m:t>train</m:t>
                            </m:r>
                          </m:sub>
                        </m:sSub>
                      </m:sub>
                    </m:sSub>
                    <m:r>
                      <w:rPr>
                        <w:rFonts w:ascii="Cambria Math" w:eastAsiaTheme="minorEastAsia" w:hAnsi="Cambria Math"/>
                        <w:sz w:val="19"/>
                        <w:szCs w:val="19"/>
                      </w:rPr>
                      <m:t>;</m:t>
                    </m:r>
                    <m:sSubSup>
                      <m:sSubSupPr>
                        <m:ctrlPr>
                          <w:rPr>
                            <w:rFonts w:ascii="Cambria Math" w:eastAsiaTheme="minorEastAsia" w:hAnsi="Cambria Math"/>
                            <w:i/>
                            <w:sz w:val="19"/>
                            <w:szCs w:val="19"/>
                          </w:rPr>
                        </m:ctrlPr>
                      </m:sSubSupPr>
                      <m:e>
                        <m:r>
                          <w:rPr>
                            <w:rFonts w:ascii="Cambria Math" w:eastAsiaTheme="minorEastAsia" w:hAnsi="Cambria Math"/>
                            <w:sz w:val="19"/>
                            <w:szCs w:val="19"/>
                          </w:rPr>
                          <m:t>σ</m:t>
                        </m:r>
                      </m:e>
                      <m:sub>
                        <m:sSub>
                          <m:sSubPr>
                            <m:ctrlPr>
                              <w:rPr>
                                <w:rFonts w:ascii="Cambria Math" w:eastAsiaTheme="minorEastAsia" w:hAnsi="Cambria Math"/>
                                <w:i/>
                                <w:iCs/>
                                <w:sz w:val="19"/>
                                <w:szCs w:val="19"/>
                              </w:rPr>
                            </m:ctrlPr>
                          </m:sSubPr>
                          <m:e>
                            <m:r>
                              <w:rPr>
                                <w:rFonts w:ascii="Cambria Math" w:eastAsiaTheme="minorEastAsia" w:hAnsi="Cambria Math"/>
                                <w:sz w:val="19"/>
                                <w:szCs w:val="19"/>
                              </w:rPr>
                              <m:t>N_Median_OS</m:t>
                            </m:r>
                          </m:e>
                          <m:sub>
                            <m:r>
                              <w:rPr>
                                <w:rFonts w:ascii="Cambria Math" w:eastAsiaTheme="minorEastAsia" w:hAnsi="Cambria Math"/>
                                <w:sz w:val="19"/>
                                <w:szCs w:val="19"/>
                              </w:rPr>
                              <m:t>train</m:t>
                            </m:r>
                          </m:sub>
                        </m:sSub>
                      </m:sub>
                      <m:sup>
                        <m:r>
                          <w:rPr>
                            <w:rFonts w:ascii="Cambria Math" w:eastAsiaTheme="minorEastAsia" w:hAnsi="Cambria Math"/>
                            <w:sz w:val="19"/>
                            <w:szCs w:val="19"/>
                          </w:rPr>
                          <m:t>2</m:t>
                        </m:r>
                      </m:sup>
                    </m:sSubSup>
                  </m:e>
                </m:d>
                <m:r>
                  <w:rPr>
                    <w:rFonts w:ascii="Cambria Math" w:eastAsiaTheme="minorEastAsia" w:hAnsi="Cambria Math"/>
                    <w:sz w:val="19"/>
                    <w:szCs w:val="19"/>
                  </w:rPr>
                  <m:t>=</m:t>
                </m:r>
                <m:f>
                  <m:fPr>
                    <m:ctrlPr>
                      <w:rPr>
                        <w:rFonts w:ascii="Cambria Math" w:eastAsiaTheme="minorEastAsia" w:hAnsi="Cambria Math"/>
                        <w:i/>
                        <w:sz w:val="19"/>
                        <w:szCs w:val="19"/>
                      </w:rPr>
                    </m:ctrlPr>
                  </m:fPr>
                  <m:num>
                    <m:r>
                      <w:rPr>
                        <w:rFonts w:ascii="Cambria Math" w:eastAsiaTheme="minorEastAsia" w:hAnsi="Cambria Math"/>
                        <w:sz w:val="19"/>
                        <w:szCs w:val="19"/>
                      </w:rPr>
                      <m:t>1</m:t>
                    </m:r>
                  </m:num>
                  <m:den>
                    <m:r>
                      <w:rPr>
                        <w:rFonts w:ascii="Cambria Math" w:eastAsiaTheme="minorEastAsia" w:hAnsi="Cambria Math"/>
                        <w:sz w:val="19"/>
                        <w:szCs w:val="19"/>
                      </w:rPr>
                      <m:t>1.6733∙</m:t>
                    </m:r>
                    <m:rad>
                      <m:radPr>
                        <m:degHide m:val="1"/>
                        <m:ctrlPr>
                          <w:rPr>
                            <w:rFonts w:ascii="Cambria Math" w:eastAsiaTheme="minorEastAsia" w:hAnsi="Cambria Math"/>
                            <w:i/>
                            <w:sz w:val="19"/>
                            <w:szCs w:val="19"/>
                          </w:rPr>
                        </m:ctrlPr>
                      </m:radPr>
                      <m:deg/>
                      <m:e>
                        <m:r>
                          <w:rPr>
                            <w:rFonts w:ascii="Cambria Math" w:eastAsiaTheme="minorEastAsia" w:hAnsi="Cambria Math"/>
                            <w:sz w:val="19"/>
                            <w:szCs w:val="19"/>
                          </w:rPr>
                          <m:t>2π</m:t>
                        </m:r>
                      </m:e>
                    </m:rad>
                  </m:den>
                </m:f>
                <m:r>
                  <w:rPr>
                    <w:rFonts w:ascii="Cambria Math" w:eastAsiaTheme="minorEastAsia" w:hAnsi="Cambria Math"/>
                    <w:sz w:val="19"/>
                    <w:szCs w:val="19"/>
                  </w:rPr>
                  <m:t>∙</m:t>
                </m:r>
                <m:sSup>
                  <m:sSupPr>
                    <m:ctrlPr>
                      <w:rPr>
                        <w:rFonts w:ascii="Cambria Math" w:eastAsiaTheme="minorEastAsia" w:hAnsi="Cambria Math"/>
                        <w:i/>
                        <w:sz w:val="19"/>
                        <w:szCs w:val="19"/>
                      </w:rPr>
                    </m:ctrlPr>
                  </m:sSupPr>
                  <m:e>
                    <m:r>
                      <w:rPr>
                        <w:rFonts w:ascii="Cambria Math" w:eastAsiaTheme="minorEastAsia" w:hAnsi="Cambria Math"/>
                        <w:sz w:val="19"/>
                        <w:szCs w:val="19"/>
                      </w:rPr>
                      <m:t>e</m:t>
                    </m:r>
                  </m:e>
                  <m:sup>
                    <m:r>
                      <w:rPr>
                        <w:rFonts w:ascii="Cambria Math" w:eastAsiaTheme="minorEastAsia" w:hAnsi="Cambria Math"/>
                        <w:sz w:val="19"/>
                        <w:szCs w:val="19"/>
                      </w:rPr>
                      <m:t>-</m:t>
                    </m:r>
                    <m:f>
                      <m:fPr>
                        <m:ctrlPr>
                          <w:rPr>
                            <w:rFonts w:ascii="Cambria Math" w:eastAsiaTheme="minorEastAsia" w:hAnsi="Cambria Math"/>
                            <w:i/>
                            <w:sz w:val="19"/>
                            <w:szCs w:val="19"/>
                          </w:rPr>
                        </m:ctrlPr>
                      </m:fPr>
                      <m:num>
                        <m:sSup>
                          <m:sSupPr>
                            <m:ctrlPr>
                              <w:rPr>
                                <w:rFonts w:ascii="Cambria Math" w:eastAsiaTheme="minorEastAsia" w:hAnsi="Cambria Math"/>
                                <w:i/>
                                <w:sz w:val="19"/>
                                <w:szCs w:val="19"/>
                              </w:rPr>
                            </m:ctrlPr>
                          </m:sSupPr>
                          <m:e>
                            <m:d>
                              <m:dPr>
                                <m:ctrlPr>
                                  <w:rPr>
                                    <w:rFonts w:ascii="Cambria Math" w:eastAsiaTheme="minorEastAsia" w:hAnsi="Cambria Math"/>
                                    <w:i/>
                                    <w:sz w:val="19"/>
                                    <w:szCs w:val="19"/>
                                  </w:rPr>
                                </m:ctrlPr>
                              </m:dPr>
                              <m:e>
                                <m:r>
                                  <w:rPr>
                                    <w:rFonts w:ascii="Cambria Math" w:eastAsiaTheme="minorEastAsia" w:hAnsi="Cambria Math"/>
                                    <w:sz w:val="19"/>
                                    <w:szCs w:val="19"/>
                                  </w:rPr>
                                  <m:t>14.97-15.456</m:t>
                                </m:r>
                              </m:e>
                            </m:d>
                          </m:e>
                          <m:sup>
                            <m:r>
                              <w:rPr>
                                <w:rFonts w:ascii="Cambria Math" w:eastAsiaTheme="minorEastAsia" w:hAnsi="Cambria Math"/>
                                <w:sz w:val="19"/>
                                <w:szCs w:val="19"/>
                              </w:rPr>
                              <m:t>2</m:t>
                            </m:r>
                          </m:sup>
                        </m:sSup>
                      </m:num>
                      <m:den>
                        <m:r>
                          <w:rPr>
                            <w:rFonts w:ascii="Cambria Math" w:eastAsiaTheme="minorEastAsia" w:hAnsi="Cambria Math"/>
                            <w:sz w:val="19"/>
                            <w:szCs w:val="19"/>
                          </w:rPr>
                          <m:t>2</m:t>
                        </m:r>
                        <m:sSup>
                          <m:sSupPr>
                            <m:ctrlPr>
                              <w:rPr>
                                <w:rFonts w:ascii="Cambria Math" w:eastAsiaTheme="minorEastAsia" w:hAnsi="Cambria Math"/>
                                <w:i/>
                                <w:sz w:val="19"/>
                                <w:szCs w:val="19"/>
                              </w:rPr>
                            </m:ctrlPr>
                          </m:sSupPr>
                          <m:e>
                            <m:r>
                              <w:rPr>
                                <w:rFonts w:ascii="Cambria Math" w:eastAsiaTheme="minorEastAsia" w:hAnsi="Cambria Math"/>
                                <w:sz w:val="19"/>
                                <w:szCs w:val="19"/>
                              </w:rPr>
                              <m:t>∙2.802</m:t>
                            </m:r>
                          </m:e>
                          <m:sup>
                            <m:r>
                              <w:rPr>
                                <w:rFonts w:ascii="Cambria Math" w:eastAsiaTheme="minorEastAsia" w:hAnsi="Cambria Math"/>
                                <w:sz w:val="19"/>
                                <w:szCs w:val="19"/>
                              </w:rPr>
                              <m:t>2</m:t>
                            </m:r>
                          </m:sup>
                        </m:sSup>
                      </m:den>
                    </m:f>
                  </m:sup>
                </m:sSup>
                <m:r>
                  <w:rPr>
                    <w:rFonts w:ascii="Cambria Math" w:eastAsiaTheme="minorEastAsia" w:hAnsi="Cambria Math"/>
                    <w:sz w:val="19"/>
                    <w:szCs w:val="19"/>
                  </w:rPr>
                  <m:t>=0.14</m:t>
                </m:r>
              </m:oMath>
            </m:oMathPara>
          </w:p>
        </w:tc>
        <w:tc>
          <w:tcPr>
            <w:tcW w:w="772" w:type="dxa"/>
            <w:vAlign w:val="center"/>
          </w:tcPr>
          <w:p w14:paraId="6501371A" w14:textId="2ABBACF3" w:rsidR="006C2142" w:rsidRPr="00081A83" w:rsidRDefault="002C693A" w:rsidP="00CC5DAD">
            <w:pPr>
              <w:spacing w:before="0" w:after="0"/>
              <w:jc w:val="right"/>
              <w:rPr>
                <w:szCs w:val="24"/>
              </w:rPr>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25</w:t>
            </w:r>
            <w:r w:rsidR="00427B33">
              <w:rPr>
                <w:noProof/>
              </w:rPr>
              <w:fldChar w:fldCharType="end"/>
            </w:r>
            <w:r>
              <w:t>)</w:t>
            </w:r>
          </w:p>
        </w:tc>
      </w:tr>
      <w:tr w:rsidR="006C2142" w:rsidRPr="00081A83" w14:paraId="7BE097B9" w14:textId="77777777" w:rsidTr="00CC5DAD">
        <w:trPr>
          <w:trHeight w:val="788"/>
        </w:trPr>
        <w:tc>
          <w:tcPr>
            <w:tcW w:w="8245" w:type="dxa"/>
            <w:vAlign w:val="center"/>
          </w:tcPr>
          <w:p w14:paraId="2D8E60B9" w14:textId="77777777" w:rsidR="006C2142" w:rsidRPr="00081A83" w:rsidRDefault="006C2142" w:rsidP="00CC5DAD">
            <w:pPr>
              <w:spacing w:before="0" w:after="0"/>
              <w:jc w:val="center"/>
              <w:rPr>
                <w:i/>
                <w:sz w:val="20"/>
                <w:szCs w:val="20"/>
                <w:lang w:val="en-GB"/>
              </w:rPr>
            </w:pPr>
            <m:oMathPara>
              <m:oMath>
                <m:r>
                  <m:rPr>
                    <m:scr m:val="script"/>
                  </m:rPr>
                  <w:rPr>
                    <w:rFonts w:ascii="Cambria Math" w:eastAsiaTheme="minorEastAsia" w:hAnsi="Cambria Math"/>
                    <w:sz w:val="20"/>
                    <w:szCs w:val="20"/>
                  </w:rPr>
                  <m:t>L</m:t>
                </m:r>
                <m:d>
                  <m:dPr>
                    <m:ctrlPr>
                      <w:rPr>
                        <w:rFonts w:ascii="Cambria Math" w:eastAsiaTheme="minorEastAsia" w:hAnsi="Cambria Math"/>
                        <w:i/>
                        <w:sz w:val="20"/>
                        <w:szCs w:val="20"/>
                      </w:rPr>
                    </m:ctrlPr>
                  </m:dPr>
                  <m:e>
                    <m:d>
                      <m:dPr>
                        <m:begChr m:val=""/>
                        <m:endChr m:val="|"/>
                        <m:ctrlPr>
                          <w:rPr>
                            <w:rFonts w:ascii="Cambria Math" w:eastAsiaTheme="minorEastAsia" w:hAnsi="Cambria Math"/>
                            <w:i/>
                            <w:iCs/>
                            <w:sz w:val="20"/>
                            <w:szCs w:val="20"/>
                          </w:rPr>
                        </m:ctrlPr>
                      </m:dPr>
                      <m:e>
                        <m:sSub>
                          <m:sSubPr>
                            <m:ctrlPr>
                              <w:rPr>
                                <w:rFonts w:ascii="Cambria Math" w:eastAsiaTheme="minorEastAsia" w:hAnsi="Cambria Math"/>
                                <w:i/>
                                <w:sz w:val="20"/>
                                <w:szCs w:val="20"/>
                              </w:rPr>
                            </m:ctrlPr>
                          </m:sSubPr>
                          <m:e>
                            <m:r>
                              <w:rPr>
                                <w:rFonts w:ascii="Cambria Math" w:eastAsiaTheme="minorEastAsia" w:hAnsi="Cambria Math"/>
                                <w:sz w:val="20"/>
                                <w:szCs w:val="20"/>
                              </w:rPr>
                              <m:t>N_Min_OS</m:t>
                            </m:r>
                          </m:e>
                          <m:sub>
                            <m:r>
                              <w:rPr>
                                <w:rFonts w:ascii="Cambria Math" w:eastAsiaTheme="minorEastAsia" w:hAnsi="Cambria Math"/>
                                <w:sz w:val="20"/>
                                <w:szCs w:val="20"/>
                              </w:rPr>
                              <m:t>test</m:t>
                            </m:r>
                          </m:sub>
                        </m:sSub>
                      </m:e>
                    </m:d>
                    <m:sSub>
                      <m:sSubPr>
                        <m:ctrlPr>
                          <w:rPr>
                            <w:rFonts w:ascii="Cambria Math" w:eastAsiaTheme="minorEastAsia" w:hAnsi="Cambria Math"/>
                            <w:i/>
                            <w:sz w:val="20"/>
                            <w:szCs w:val="20"/>
                          </w:rPr>
                        </m:ctrlPr>
                      </m:sSubPr>
                      <m:e>
                        <m:r>
                          <w:rPr>
                            <w:rFonts w:ascii="Cambria Math" w:eastAsiaTheme="minorEastAsia" w:hAnsi="Cambria Math"/>
                            <w:sz w:val="20"/>
                            <w:szCs w:val="20"/>
                          </w:rPr>
                          <m:t>μ</m:t>
                        </m:r>
                      </m:e>
                      <m:sub>
                        <m:sSub>
                          <m:sSubPr>
                            <m:ctrlPr>
                              <w:rPr>
                                <w:rFonts w:ascii="Cambria Math" w:eastAsiaTheme="minorEastAsia" w:hAnsi="Cambria Math"/>
                                <w:i/>
                                <w:sz w:val="20"/>
                                <w:szCs w:val="20"/>
                              </w:rPr>
                            </m:ctrlPr>
                          </m:sSubPr>
                          <m:e>
                            <m:r>
                              <w:rPr>
                                <w:rFonts w:ascii="Cambria Math" w:eastAsiaTheme="minorEastAsia" w:hAnsi="Cambria Math"/>
                                <w:sz w:val="20"/>
                                <w:szCs w:val="20"/>
                              </w:rPr>
                              <m:t>N_Min_OS</m:t>
                            </m:r>
                          </m:e>
                          <m:sub>
                            <m:r>
                              <w:rPr>
                                <w:rFonts w:ascii="Cambria Math" w:eastAsiaTheme="minorEastAsia" w:hAnsi="Cambria Math"/>
                                <w:sz w:val="20"/>
                                <w:szCs w:val="20"/>
                              </w:rPr>
                              <m:t>train</m:t>
                            </m:r>
                          </m:sub>
                        </m:sSub>
                      </m:sub>
                    </m:sSub>
                    <m:r>
                      <w:rPr>
                        <w:rFonts w:ascii="Cambria Math" w:eastAsiaTheme="minorEastAsia" w:hAnsi="Cambria Math"/>
                        <w:sz w:val="20"/>
                        <w:szCs w:val="20"/>
                      </w:rPr>
                      <m:t>;</m:t>
                    </m:r>
                    <m:sSubSup>
                      <m:sSubSupPr>
                        <m:ctrlPr>
                          <w:rPr>
                            <w:rFonts w:ascii="Cambria Math" w:eastAsiaTheme="minorEastAsia" w:hAnsi="Cambria Math"/>
                            <w:i/>
                            <w:sz w:val="20"/>
                            <w:szCs w:val="20"/>
                          </w:rPr>
                        </m:ctrlPr>
                      </m:sSubSupPr>
                      <m:e>
                        <m:r>
                          <w:rPr>
                            <w:rFonts w:ascii="Cambria Math" w:eastAsiaTheme="minorEastAsia" w:hAnsi="Cambria Math"/>
                            <w:sz w:val="20"/>
                            <w:szCs w:val="20"/>
                          </w:rPr>
                          <m:t>σ</m:t>
                        </m:r>
                      </m:e>
                      <m:sub>
                        <m:sSub>
                          <m:sSubPr>
                            <m:ctrlPr>
                              <w:rPr>
                                <w:rFonts w:ascii="Cambria Math" w:eastAsiaTheme="minorEastAsia" w:hAnsi="Cambria Math"/>
                                <w:i/>
                                <w:sz w:val="20"/>
                                <w:szCs w:val="20"/>
                              </w:rPr>
                            </m:ctrlPr>
                          </m:sSubPr>
                          <m:e>
                            <m:r>
                              <w:rPr>
                                <w:rFonts w:ascii="Cambria Math" w:eastAsiaTheme="minorEastAsia" w:hAnsi="Cambria Math"/>
                                <w:sz w:val="20"/>
                                <w:szCs w:val="20"/>
                              </w:rPr>
                              <m:t>N_Min_OS</m:t>
                            </m:r>
                          </m:e>
                          <m:sub>
                            <m:r>
                              <w:rPr>
                                <w:rFonts w:ascii="Cambria Math" w:eastAsiaTheme="minorEastAsia" w:hAnsi="Cambria Math"/>
                                <w:sz w:val="20"/>
                                <w:szCs w:val="20"/>
                              </w:rPr>
                              <m:t>train</m:t>
                            </m:r>
                          </m:sub>
                        </m:sSub>
                      </m:sub>
                      <m:sup>
                        <m:r>
                          <w:rPr>
                            <w:rFonts w:ascii="Cambria Math" w:eastAsiaTheme="minorEastAsia" w:hAnsi="Cambria Math"/>
                            <w:sz w:val="20"/>
                            <w:szCs w:val="20"/>
                          </w:rPr>
                          <m:t>2</m:t>
                        </m:r>
                      </m:sup>
                    </m:sSubSup>
                  </m:e>
                </m:d>
                <m:r>
                  <w:rPr>
                    <w:rFonts w:ascii="Cambria Math" w:eastAsiaTheme="minorEastAsia" w:hAnsi="Cambria Math"/>
                    <w:sz w:val="20"/>
                    <w:szCs w:val="20"/>
                  </w:rPr>
                  <m:t>=</m:t>
                </m:r>
                <m:f>
                  <m:fPr>
                    <m:ctrlPr>
                      <w:rPr>
                        <w:rFonts w:ascii="Cambria Math" w:eastAsiaTheme="minorEastAsia" w:hAnsi="Cambria Math"/>
                        <w:i/>
                        <w:sz w:val="20"/>
                        <w:szCs w:val="20"/>
                      </w:rPr>
                    </m:ctrlPr>
                  </m:fPr>
                  <m:num>
                    <m:r>
                      <w:rPr>
                        <w:rFonts w:ascii="Cambria Math" w:eastAsiaTheme="minorEastAsia" w:hAnsi="Cambria Math"/>
                        <w:sz w:val="20"/>
                        <w:szCs w:val="20"/>
                      </w:rPr>
                      <m:t>1</m:t>
                    </m:r>
                  </m:num>
                  <m:den>
                    <m:r>
                      <w:rPr>
                        <w:rFonts w:ascii="Cambria Math" w:eastAsiaTheme="minorEastAsia" w:hAnsi="Cambria Math"/>
                        <w:sz w:val="20"/>
                        <w:szCs w:val="20"/>
                      </w:rPr>
                      <m:t>1.2247∙</m:t>
                    </m:r>
                    <m:rad>
                      <m:radPr>
                        <m:degHide m:val="1"/>
                        <m:ctrlPr>
                          <w:rPr>
                            <w:rFonts w:ascii="Cambria Math" w:eastAsiaTheme="minorEastAsia" w:hAnsi="Cambria Math"/>
                            <w:i/>
                            <w:sz w:val="20"/>
                            <w:szCs w:val="20"/>
                          </w:rPr>
                        </m:ctrlPr>
                      </m:radPr>
                      <m:deg/>
                      <m:e>
                        <m:r>
                          <w:rPr>
                            <w:rFonts w:ascii="Cambria Math" w:eastAsiaTheme="minorEastAsia" w:hAnsi="Cambria Math"/>
                            <w:sz w:val="20"/>
                            <w:szCs w:val="20"/>
                          </w:rPr>
                          <m:t>2π</m:t>
                        </m:r>
                      </m:e>
                    </m:rad>
                  </m:den>
                </m:f>
                <m:r>
                  <w:rPr>
                    <w:rFonts w:ascii="Cambria Math" w:eastAsiaTheme="minorEastAsia" w:hAnsi="Cambria Math"/>
                    <w:sz w:val="20"/>
                    <w:szCs w:val="20"/>
                  </w:rPr>
                  <m:t>∙</m:t>
                </m:r>
                <m:sSup>
                  <m:sSupPr>
                    <m:ctrlPr>
                      <w:rPr>
                        <w:rFonts w:ascii="Cambria Math" w:eastAsiaTheme="minorEastAsia" w:hAnsi="Cambria Math"/>
                        <w:i/>
                        <w:sz w:val="20"/>
                        <w:szCs w:val="20"/>
                      </w:rPr>
                    </m:ctrlPr>
                  </m:sSupPr>
                  <m:e>
                    <m:r>
                      <w:rPr>
                        <w:rFonts w:ascii="Cambria Math" w:eastAsiaTheme="minorEastAsia" w:hAnsi="Cambria Math"/>
                        <w:sz w:val="20"/>
                        <w:szCs w:val="20"/>
                      </w:rPr>
                      <m:t>e</m:t>
                    </m:r>
                  </m:e>
                  <m:sup>
                    <m:r>
                      <w:rPr>
                        <w:rFonts w:ascii="Cambria Math" w:eastAsiaTheme="minorEastAsia" w:hAnsi="Cambria Math"/>
                        <w:sz w:val="20"/>
                        <w:szCs w:val="20"/>
                      </w:rPr>
                      <m:t>-</m:t>
                    </m:r>
                    <m:f>
                      <m:fPr>
                        <m:ctrlPr>
                          <w:rPr>
                            <w:rFonts w:ascii="Cambria Math" w:eastAsiaTheme="minorEastAsia" w:hAnsi="Cambria Math"/>
                            <w:i/>
                            <w:sz w:val="20"/>
                            <w:szCs w:val="20"/>
                          </w:rPr>
                        </m:ctrlPr>
                      </m:fPr>
                      <m:num>
                        <m:sSup>
                          <m:sSupPr>
                            <m:ctrlPr>
                              <w:rPr>
                                <w:rFonts w:ascii="Cambria Math" w:eastAsiaTheme="minorEastAsia" w:hAnsi="Cambria Math"/>
                                <w:i/>
                                <w:sz w:val="20"/>
                                <w:szCs w:val="20"/>
                              </w:rPr>
                            </m:ctrlPr>
                          </m:sSupPr>
                          <m:e>
                            <m:d>
                              <m:dPr>
                                <m:ctrlPr>
                                  <w:rPr>
                                    <w:rFonts w:ascii="Cambria Math" w:eastAsiaTheme="minorEastAsia" w:hAnsi="Cambria Math"/>
                                    <w:i/>
                                    <w:sz w:val="20"/>
                                    <w:szCs w:val="20"/>
                                  </w:rPr>
                                </m:ctrlPr>
                              </m:dPr>
                              <m:e>
                                <m:r>
                                  <w:rPr>
                                    <w:rFonts w:ascii="Cambria Math" w:eastAsiaTheme="minorEastAsia" w:hAnsi="Cambria Math"/>
                                    <w:sz w:val="20"/>
                                    <w:szCs w:val="20"/>
                                  </w:rPr>
                                  <m:t>2.207-2.1592</m:t>
                                </m:r>
                              </m:e>
                            </m:d>
                          </m:e>
                          <m:sup>
                            <m:r>
                              <w:rPr>
                                <w:rFonts w:ascii="Cambria Math" w:eastAsiaTheme="minorEastAsia" w:hAnsi="Cambria Math"/>
                                <w:sz w:val="20"/>
                                <w:szCs w:val="20"/>
                              </w:rPr>
                              <m:t>2</m:t>
                            </m:r>
                          </m:sup>
                        </m:sSup>
                      </m:num>
                      <m:den>
                        <m:r>
                          <w:rPr>
                            <w:rFonts w:ascii="Cambria Math" w:eastAsiaTheme="minorEastAsia" w:hAnsi="Cambria Math"/>
                            <w:sz w:val="20"/>
                            <w:szCs w:val="20"/>
                          </w:rPr>
                          <m:t>2</m:t>
                        </m:r>
                        <m:sSup>
                          <m:sSupPr>
                            <m:ctrlPr>
                              <w:rPr>
                                <w:rFonts w:ascii="Cambria Math" w:eastAsiaTheme="minorEastAsia" w:hAnsi="Cambria Math"/>
                                <w:i/>
                                <w:sz w:val="20"/>
                                <w:szCs w:val="20"/>
                              </w:rPr>
                            </m:ctrlPr>
                          </m:sSupPr>
                          <m:e>
                            <m:r>
                              <w:rPr>
                                <w:rFonts w:ascii="Cambria Math" w:eastAsiaTheme="minorEastAsia" w:hAnsi="Cambria Math"/>
                                <w:sz w:val="20"/>
                                <w:szCs w:val="20"/>
                              </w:rPr>
                              <m:t>∙1.4976</m:t>
                            </m:r>
                          </m:e>
                          <m:sup>
                            <m:r>
                              <w:rPr>
                                <w:rFonts w:ascii="Cambria Math" w:eastAsiaTheme="minorEastAsia" w:hAnsi="Cambria Math"/>
                                <w:sz w:val="20"/>
                                <w:szCs w:val="20"/>
                              </w:rPr>
                              <m:t>2</m:t>
                            </m:r>
                          </m:sup>
                        </m:sSup>
                      </m:den>
                    </m:f>
                  </m:sup>
                </m:sSup>
                <m:r>
                  <w:rPr>
                    <w:rFonts w:ascii="Cambria Math" w:eastAsiaTheme="minorEastAsia" w:hAnsi="Cambria Math"/>
                    <w:sz w:val="20"/>
                    <w:szCs w:val="20"/>
                  </w:rPr>
                  <m:t>=0.2662</m:t>
                </m:r>
              </m:oMath>
            </m:oMathPara>
          </w:p>
        </w:tc>
        <w:tc>
          <w:tcPr>
            <w:tcW w:w="772" w:type="dxa"/>
            <w:vAlign w:val="center"/>
          </w:tcPr>
          <w:p w14:paraId="4A2155AD" w14:textId="63A49CD5" w:rsidR="006C2142" w:rsidRPr="00081A83" w:rsidRDefault="002C693A" w:rsidP="00CC5DAD">
            <w:pPr>
              <w:spacing w:before="0" w:after="0"/>
              <w:jc w:val="right"/>
              <w:rPr>
                <w:szCs w:val="24"/>
              </w:rPr>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26</w:t>
            </w:r>
            <w:r w:rsidR="00427B33">
              <w:rPr>
                <w:noProof/>
              </w:rPr>
              <w:fldChar w:fldCharType="end"/>
            </w:r>
            <w:r>
              <w:t>)</w:t>
            </w:r>
          </w:p>
        </w:tc>
      </w:tr>
      <w:tr w:rsidR="006C2142" w:rsidRPr="00081A83" w14:paraId="7C2626CA" w14:textId="77777777" w:rsidTr="00CC5DAD">
        <w:trPr>
          <w:trHeight w:val="788"/>
        </w:trPr>
        <w:tc>
          <w:tcPr>
            <w:tcW w:w="8245" w:type="dxa"/>
            <w:vAlign w:val="center"/>
          </w:tcPr>
          <w:p w14:paraId="72299827" w14:textId="77777777" w:rsidR="006C2142" w:rsidRPr="00081A83" w:rsidRDefault="006C2142" w:rsidP="00CC5DAD">
            <w:pPr>
              <w:spacing w:before="0" w:after="0"/>
              <w:jc w:val="center"/>
              <w:rPr>
                <w:rFonts w:eastAsia="Calibri" w:cs="Times New Roman"/>
                <w:sz w:val="20"/>
                <w:szCs w:val="20"/>
              </w:rPr>
            </w:pPr>
            <m:oMathPara>
              <m:oMath>
                <m:r>
                  <m:rPr>
                    <m:scr m:val="script"/>
                  </m:rPr>
                  <w:rPr>
                    <w:rFonts w:ascii="Cambria Math" w:eastAsiaTheme="minorEastAsia" w:hAnsi="Cambria Math"/>
                    <w:sz w:val="20"/>
                    <w:szCs w:val="20"/>
                  </w:rPr>
                  <m:t>L</m:t>
                </m:r>
                <m:d>
                  <m:dPr>
                    <m:ctrlPr>
                      <w:rPr>
                        <w:rFonts w:ascii="Cambria Math" w:eastAsiaTheme="minorEastAsia" w:hAnsi="Cambria Math"/>
                        <w:i/>
                        <w:sz w:val="20"/>
                        <w:szCs w:val="20"/>
                      </w:rPr>
                    </m:ctrlPr>
                  </m:dPr>
                  <m:e>
                    <m:d>
                      <m:dPr>
                        <m:begChr m:val=""/>
                        <m:endChr m:val="|"/>
                        <m:ctrlPr>
                          <w:rPr>
                            <w:rFonts w:ascii="Cambria Math" w:eastAsiaTheme="minorEastAsia" w:hAnsi="Cambria Math"/>
                            <w:i/>
                            <w:iCs/>
                            <w:sz w:val="20"/>
                            <w:szCs w:val="20"/>
                          </w:rPr>
                        </m:ctrlPr>
                      </m:dPr>
                      <m:e>
                        <m:sSub>
                          <m:sSubPr>
                            <m:ctrlPr>
                              <w:rPr>
                                <w:rFonts w:ascii="Cambria Math" w:eastAsiaTheme="minorEastAsia" w:hAnsi="Cambria Math"/>
                                <w:i/>
                                <w:sz w:val="20"/>
                                <w:szCs w:val="20"/>
                              </w:rPr>
                            </m:ctrlPr>
                          </m:sSubPr>
                          <m:e>
                            <m:r>
                              <w:rPr>
                                <w:rFonts w:ascii="Cambria Math" w:eastAsiaTheme="minorEastAsia" w:hAnsi="Cambria Math"/>
                                <w:sz w:val="20"/>
                                <w:szCs w:val="20"/>
                              </w:rPr>
                              <m:t>N_Max_OS</m:t>
                            </m:r>
                          </m:e>
                          <m:sub>
                            <m:r>
                              <w:rPr>
                                <w:rFonts w:ascii="Cambria Math" w:eastAsiaTheme="minorEastAsia" w:hAnsi="Cambria Math"/>
                                <w:sz w:val="20"/>
                                <w:szCs w:val="20"/>
                              </w:rPr>
                              <m:t>test</m:t>
                            </m:r>
                          </m:sub>
                        </m:sSub>
                      </m:e>
                    </m:d>
                    <m:sSub>
                      <m:sSubPr>
                        <m:ctrlPr>
                          <w:rPr>
                            <w:rFonts w:ascii="Cambria Math" w:eastAsiaTheme="minorEastAsia" w:hAnsi="Cambria Math"/>
                            <w:i/>
                            <w:sz w:val="20"/>
                            <w:szCs w:val="20"/>
                          </w:rPr>
                        </m:ctrlPr>
                      </m:sSubPr>
                      <m:e>
                        <m:r>
                          <w:rPr>
                            <w:rFonts w:ascii="Cambria Math" w:eastAsiaTheme="minorEastAsia" w:hAnsi="Cambria Math"/>
                            <w:sz w:val="20"/>
                            <w:szCs w:val="20"/>
                          </w:rPr>
                          <m:t>μ</m:t>
                        </m:r>
                      </m:e>
                      <m:sub>
                        <m:sSub>
                          <m:sSubPr>
                            <m:ctrlPr>
                              <w:rPr>
                                <w:rFonts w:ascii="Cambria Math" w:eastAsiaTheme="minorEastAsia" w:hAnsi="Cambria Math"/>
                                <w:i/>
                                <w:sz w:val="20"/>
                                <w:szCs w:val="20"/>
                              </w:rPr>
                            </m:ctrlPr>
                          </m:sSubPr>
                          <m:e>
                            <m:r>
                              <w:rPr>
                                <w:rFonts w:ascii="Cambria Math" w:eastAsiaTheme="minorEastAsia" w:hAnsi="Cambria Math"/>
                                <w:sz w:val="20"/>
                                <w:szCs w:val="20"/>
                              </w:rPr>
                              <m:t>N_Max_OS</m:t>
                            </m:r>
                          </m:e>
                          <m:sub>
                            <m:r>
                              <w:rPr>
                                <w:rFonts w:ascii="Cambria Math" w:eastAsiaTheme="minorEastAsia" w:hAnsi="Cambria Math"/>
                                <w:sz w:val="20"/>
                                <w:szCs w:val="20"/>
                              </w:rPr>
                              <m:t>train</m:t>
                            </m:r>
                          </m:sub>
                        </m:sSub>
                      </m:sub>
                    </m:sSub>
                    <m:r>
                      <w:rPr>
                        <w:rFonts w:ascii="Cambria Math" w:eastAsiaTheme="minorEastAsia" w:hAnsi="Cambria Math"/>
                        <w:sz w:val="20"/>
                        <w:szCs w:val="20"/>
                      </w:rPr>
                      <m:t>;</m:t>
                    </m:r>
                    <m:sSubSup>
                      <m:sSubSupPr>
                        <m:ctrlPr>
                          <w:rPr>
                            <w:rFonts w:ascii="Cambria Math" w:eastAsiaTheme="minorEastAsia" w:hAnsi="Cambria Math"/>
                            <w:i/>
                            <w:sz w:val="20"/>
                            <w:szCs w:val="20"/>
                          </w:rPr>
                        </m:ctrlPr>
                      </m:sSubSupPr>
                      <m:e>
                        <m:r>
                          <w:rPr>
                            <w:rFonts w:ascii="Cambria Math" w:eastAsiaTheme="minorEastAsia" w:hAnsi="Cambria Math"/>
                            <w:sz w:val="20"/>
                            <w:szCs w:val="20"/>
                          </w:rPr>
                          <m:t>σ</m:t>
                        </m:r>
                      </m:e>
                      <m:sub>
                        <m:sSub>
                          <m:sSubPr>
                            <m:ctrlPr>
                              <w:rPr>
                                <w:rFonts w:ascii="Cambria Math" w:eastAsiaTheme="minorEastAsia" w:hAnsi="Cambria Math"/>
                                <w:i/>
                                <w:sz w:val="20"/>
                                <w:szCs w:val="20"/>
                              </w:rPr>
                            </m:ctrlPr>
                          </m:sSubPr>
                          <m:e>
                            <m:r>
                              <w:rPr>
                                <w:rFonts w:ascii="Cambria Math" w:eastAsiaTheme="minorEastAsia" w:hAnsi="Cambria Math"/>
                                <w:sz w:val="20"/>
                                <w:szCs w:val="20"/>
                              </w:rPr>
                              <m:t>N_Max_OS</m:t>
                            </m:r>
                          </m:e>
                          <m:sub>
                            <m:r>
                              <w:rPr>
                                <w:rFonts w:ascii="Cambria Math" w:eastAsiaTheme="minorEastAsia" w:hAnsi="Cambria Math"/>
                                <w:sz w:val="20"/>
                                <w:szCs w:val="20"/>
                              </w:rPr>
                              <m:t>train</m:t>
                            </m:r>
                          </m:sub>
                        </m:sSub>
                      </m:sub>
                      <m:sup>
                        <m:r>
                          <w:rPr>
                            <w:rFonts w:ascii="Cambria Math" w:eastAsiaTheme="minorEastAsia" w:hAnsi="Cambria Math"/>
                            <w:sz w:val="20"/>
                            <w:szCs w:val="20"/>
                          </w:rPr>
                          <m:t>2</m:t>
                        </m:r>
                      </m:sup>
                    </m:sSubSup>
                  </m:e>
                </m:d>
                <m:r>
                  <w:rPr>
                    <w:rFonts w:ascii="Cambria Math" w:eastAsiaTheme="minorEastAsia" w:hAnsi="Cambria Math"/>
                    <w:sz w:val="20"/>
                    <w:szCs w:val="20"/>
                  </w:rPr>
                  <m:t>=</m:t>
                </m:r>
                <m:f>
                  <m:fPr>
                    <m:ctrlPr>
                      <w:rPr>
                        <w:rFonts w:ascii="Cambria Math" w:eastAsiaTheme="minorEastAsia" w:hAnsi="Cambria Math"/>
                        <w:i/>
                        <w:sz w:val="20"/>
                        <w:szCs w:val="20"/>
                      </w:rPr>
                    </m:ctrlPr>
                  </m:fPr>
                  <m:num>
                    <m:r>
                      <w:rPr>
                        <w:rFonts w:ascii="Cambria Math" w:eastAsiaTheme="minorEastAsia" w:hAnsi="Cambria Math"/>
                        <w:sz w:val="20"/>
                        <w:szCs w:val="20"/>
                      </w:rPr>
                      <m:t>1</m:t>
                    </m:r>
                  </m:num>
                  <m:den>
                    <m:r>
                      <w:rPr>
                        <w:rFonts w:ascii="Cambria Math" w:eastAsiaTheme="minorEastAsia" w:hAnsi="Cambria Math"/>
                        <w:sz w:val="20"/>
                        <w:szCs w:val="20"/>
                      </w:rPr>
                      <m:t>1.1∙</m:t>
                    </m:r>
                    <m:rad>
                      <m:radPr>
                        <m:degHide m:val="1"/>
                        <m:ctrlPr>
                          <w:rPr>
                            <w:rFonts w:ascii="Cambria Math" w:eastAsiaTheme="minorEastAsia" w:hAnsi="Cambria Math"/>
                            <w:i/>
                            <w:sz w:val="20"/>
                            <w:szCs w:val="20"/>
                          </w:rPr>
                        </m:ctrlPr>
                      </m:radPr>
                      <m:deg/>
                      <m:e>
                        <m:r>
                          <w:rPr>
                            <w:rFonts w:ascii="Cambria Math" w:eastAsiaTheme="minorEastAsia" w:hAnsi="Cambria Math"/>
                            <w:sz w:val="20"/>
                            <w:szCs w:val="20"/>
                          </w:rPr>
                          <m:t>2π</m:t>
                        </m:r>
                      </m:e>
                    </m:rad>
                  </m:den>
                </m:f>
                <m:r>
                  <w:rPr>
                    <w:rFonts w:ascii="Cambria Math" w:eastAsiaTheme="minorEastAsia" w:hAnsi="Cambria Math"/>
                    <w:sz w:val="20"/>
                    <w:szCs w:val="20"/>
                  </w:rPr>
                  <m:t>∙</m:t>
                </m:r>
                <m:sSup>
                  <m:sSupPr>
                    <m:ctrlPr>
                      <w:rPr>
                        <w:rFonts w:ascii="Cambria Math" w:eastAsiaTheme="minorEastAsia" w:hAnsi="Cambria Math"/>
                        <w:i/>
                        <w:sz w:val="20"/>
                        <w:szCs w:val="20"/>
                      </w:rPr>
                    </m:ctrlPr>
                  </m:sSupPr>
                  <m:e>
                    <m:r>
                      <w:rPr>
                        <w:rFonts w:ascii="Cambria Math" w:eastAsiaTheme="minorEastAsia" w:hAnsi="Cambria Math"/>
                        <w:sz w:val="20"/>
                        <w:szCs w:val="20"/>
                      </w:rPr>
                      <m:t>e</m:t>
                    </m:r>
                  </m:e>
                  <m:sup>
                    <m:r>
                      <w:rPr>
                        <w:rFonts w:ascii="Cambria Math" w:eastAsiaTheme="minorEastAsia" w:hAnsi="Cambria Math"/>
                        <w:sz w:val="20"/>
                        <w:szCs w:val="20"/>
                      </w:rPr>
                      <m:t>-</m:t>
                    </m:r>
                    <m:f>
                      <m:fPr>
                        <m:ctrlPr>
                          <w:rPr>
                            <w:rFonts w:ascii="Cambria Math" w:eastAsiaTheme="minorEastAsia" w:hAnsi="Cambria Math"/>
                            <w:i/>
                            <w:sz w:val="20"/>
                            <w:szCs w:val="20"/>
                          </w:rPr>
                        </m:ctrlPr>
                      </m:fPr>
                      <m:num>
                        <m:sSup>
                          <m:sSupPr>
                            <m:ctrlPr>
                              <w:rPr>
                                <w:rFonts w:ascii="Cambria Math" w:eastAsiaTheme="minorEastAsia" w:hAnsi="Cambria Math"/>
                                <w:i/>
                                <w:sz w:val="20"/>
                                <w:szCs w:val="20"/>
                              </w:rPr>
                            </m:ctrlPr>
                          </m:sSupPr>
                          <m:e>
                            <m:d>
                              <m:dPr>
                                <m:ctrlPr>
                                  <w:rPr>
                                    <w:rFonts w:ascii="Cambria Math" w:eastAsiaTheme="minorEastAsia" w:hAnsi="Cambria Math"/>
                                    <w:i/>
                                    <w:sz w:val="20"/>
                                    <w:szCs w:val="20"/>
                                  </w:rPr>
                                </m:ctrlPr>
                              </m:dPr>
                              <m:e>
                                <m:r>
                                  <w:rPr>
                                    <w:rFonts w:ascii="Cambria Math" w:eastAsiaTheme="minorEastAsia" w:hAnsi="Cambria Math"/>
                                    <w:sz w:val="20"/>
                                    <w:szCs w:val="20"/>
                                  </w:rPr>
                                  <m:t>17.719-18.49</m:t>
                                </m:r>
                              </m:e>
                            </m:d>
                          </m:e>
                          <m:sup>
                            <m:r>
                              <w:rPr>
                                <w:rFonts w:ascii="Cambria Math" w:eastAsiaTheme="minorEastAsia" w:hAnsi="Cambria Math"/>
                                <w:sz w:val="20"/>
                                <w:szCs w:val="20"/>
                              </w:rPr>
                              <m:t>2</m:t>
                            </m:r>
                          </m:sup>
                        </m:sSup>
                      </m:num>
                      <m:den>
                        <m:r>
                          <w:rPr>
                            <w:rFonts w:ascii="Cambria Math" w:eastAsiaTheme="minorEastAsia" w:hAnsi="Cambria Math"/>
                            <w:sz w:val="20"/>
                            <w:szCs w:val="20"/>
                          </w:rPr>
                          <m:t>2</m:t>
                        </m:r>
                        <m:sSup>
                          <m:sSupPr>
                            <m:ctrlPr>
                              <w:rPr>
                                <w:rFonts w:ascii="Cambria Math" w:eastAsiaTheme="minorEastAsia" w:hAnsi="Cambria Math"/>
                                <w:i/>
                                <w:sz w:val="20"/>
                                <w:szCs w:val="20"/>
                              </w:rPr>
                            </m:ctrlPr>
                          </m:sSupPr>
                          <m:e>
                            <m:r>
                              <w:rPr>
                                <w:rFonts w:ascii="Cambria Math" w:eastAsiaTheme="minorEastAsia" w:hAnsi="Cambria Math"/>
                                <w:sz w:val="20"/>
                                <w:szCs w:val="20"/>
                              </w:rPr>
                              <m:t>∙1.121</m:t>
                            </m:r>
                          </m:e>
                          <m:sup>
                            <m:r>
                              <w:rPr>
                                <w:rFonts w:ascii="Cambria Math" w:eastAsiaTheme="minorEastAsia" w:hAnsi="Cambria Math"/>
                                <w:sz w:val="20"/>
                                <w:szCs w:val="20"/>
                              </w:rPr>
                              <m:t>2</m:t>
                            </m:r>
                          </m:sup>
                        </m:sSup>
                      </m:den>
                    </m:f>
                  </m:sup>
                </m:sSup>
                <m:r>
                  <w:rPr>
                    <w:rFonts w:ascii="Cambria Math" w:eastAsiaTheme="minorEastAsia" w:hAnsi="Cambria Math"/>
                    <w:sz w:val="20"/>
                    <w:szCs w:val="20"/>
                  </w:rPr>
                  <m:t>=0.2810</m:t>
                </m:r>
              </m:oMath>
            </m:oMathPara>
          </w:p>
        </w:tc>
        <w:tc>
          <w:tcPr>
            <w:tcW w:w="772" w:type="dxa"/>
            <w:vAlign w:val="center"/>
          </w:tcPr>
          <w:p w14:paraId="40BF0B6D" w14:textId="57541D21" w:rsidR="006C2142" w:rsidRPr="00081A83" w:rsidRDefault="002C693A" w:rsidP="00CC5DAD">
            <w:pPr>
              <w:spacing w:before="0" w:after="0"/>
              <w:jc w:val="right"/>
              <w:rPr>
                <w:szCs w:val="24"/>
              </w:rPr>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27</w:t>
            </w:r>
            <w:r w:rsidR="00427B33">
              <w:rPr>
                <w:noProof/>
              </w:rPr>
              <w:fldChar w:fldCharType="end"/>
            </w:r>
            <w:r>
              <w:t>)</w:t>
            </w:r>
          </w:p>
        </w:tc>
      </w:tr>
      <w:tr w:rsidR="006C2142" w:rsidRPr="00081A83" w14:paraId="4D1BAF1B" w14:textId="77777777" w:rsidTr="00CC5DAD">
        <w:trPr>
          <w:trHeight w:val="788"/>
        </w:trPr>
        <w:tc>
          <w:tcPr>
            <w:tcW w:w="8245" w:type="dxa"/>
            <w:vAlign w:val="center"/>
          </w:tcPr>
          <w:p w14:paraId="5EAB1D8D" w14:textId="77777777" w:rsidR="006C2142" w:rsidRPr="00081A83" w:rsidRDefault="006C2142" w:rsidP="00CC5DAD">
            <w:pPr>
              <w:spacing w:before="0" w:after="0"/>
              <w:jc w:val="center"/>
              <w:rPr>
                <w:rFonts w:eastAsia="Calibri" w:cs="Times New Roman"/>
                <w:sz w:val="20"/>
                <w:szCs w:val="20"/>
              </w:rPr>
            </w:pPr>
            <m:oMathPara>
              <m:oMath>
                <m:r>
                  <m:rPr>
                    <m:scr m:val="script"/>
                  </m:rPr>
                  <w:rPr>
                    <w:rFonts w:ascii="Cambria Math" w:eastAsiaTheme="minorEastAsia" w:hAnsi="Cambria Math"/>
                    <w:sz w:val="20"/>
                    <w:szCs w:val="20"/>
                  </w:rPr>
                  <m:t>L</m:t>
                </m:r>
                <m:d>
                  <m:dPr>
                    <m:ctrlPr>
                      <w:rPr>
                        <w:rFonts w:ascii="Cambria Math" w:eastAsiaTheme="minorEastAsia" w:hAnsi="Cambria Math"/>
                        <w:i/>
                        <w:sz w:val="20"/>
                        <w:szCs w:val="20"/>
                      </w:rPr>
                    </m:ctrlPr>
                  </m:dPr>
                  <m:e>
                    <m:d>
                      <m:dPr>
                        <m:begChr m:val=""/>
                        <m:endChr m:val="|"/>
                        <m:ctrlPr>
                          <w:rPr>
                            <w:rFonts w:ascii="Cambria Math" w:eastAsiaTheme="minorEastAsia" w:hAnsi="Cambria Math"/>
                            <w:i/>
                            <w:iCs/>
                            <w:sz w:val="20"/>
                            <w:szCs w:val="20"/>
                          </w:rPr>
                        </m:ctrlPr>
                      </m:dPr>
                      <m:e>
                        <m:sSub>
                          <m:sSubPr>
                            <m:ctrlPr>
                              <w:rPr>
                                <w:rFonts w:ascii="Cambria Math" w:eastAsiaTheme="minorEastAsia" w:hAnsi="Cambria Math"/>
                                <w:i/>
                                <w:sz w:val="20"/>
                                <w:szCs w:val="20"/>
                              </w:rPr>
                            </m:ctrlPr>
                          </m:sSubPr>
                          <m:e>
                            <m:r>
                              <w:rPr>
                                <w:rFonts w:ascii="Cambria Math" w:eastAsiaTheme="minorEastAsia" w:hAnsi="Cambria Math"/>
                                <w:sz w:val="20"/>
                                <w:szCs w:val="20"/>
                              </w:rPr>
                              <m:t>N_Kurt_OS</m:t>
                            </m:r>
                          </m:e>
                          <m:sub>
                            <m:r>
                              <w:rPr>
                                <w:rFonts w:ascii="Cambria Math" w:eastAsiaTheme="minorEastAsia" w:hAnsi="Cambria Math"/>
                                <w:sz w:val="20"/>
                                <w:szCs w:val="20"/>
                              </w:rPr>
                              <m:t>test</m:t>
                            </m:r>
                          </m:sub>
                        </m:sSub>
                      </m:e>
                    </m:d>
                    <m:sSub>
                      <m:sSubPr>
                        <m:ctrlPr>
                          <w:rPr>
                            <w:rFonts w:ascii="Cambria Math" w:eastAsiaTheme="minorEastAsia" w:hAnsi="Cambria Math"/>
                            <w:i/>
                            <w:sz w:val="20"/>
                            <w:szCs w:val="20"/>
                          </w:rPr>
                        </m:ctrlPr>
                      </m:sSubPr>
                      <m:e>
                        <m:r>
                          <w:rPr>
                            <w:rFonts w:ascii="Cambria Math" w:eastAsiaTheme="minorEastAsia" w:hAnsi="Cambria Math"/>
                            <w:sz w:val="20"/>
                            <w:szCs w:val="20"/>
                          </w:rPr>
                          <m:t>μ</m:t>
                        </m:r>
                      </m:e>
                      <m:sub>
                        <m:sSub>
                          <m:sSubPr>
                            <m:ctrlPr>
                              <w:rPr>
                                <w:rFonts w:ascii="Cambria Math" w:eastAsiaTheme="minorEastAsia" w:hAnsi="Cambria Math"/>
                                <w:i/>
                                <w:sz w:val="20"/>
                                <w:szCs w:val="20"/>
                              </w:rPr>
                            </m:ctrlPr>
                          </m:sSubPr>
                          <m:e>
                            <m:r>
                              <w:rPr>
                                <w:rFonts w:ascii="Cambria Math" w:eastAsiaTheme="minorEastAsia" w:hAnsi="Cambria Math"/>
                                <w:sz w:val="20"/>
                                <w:szCs w:val="20"/>
                              </w:rPr>
                              <m:t>N_Kurt_OS</m:t>
                            </m:r>
                          </m:e>
                          <m:sub>
                            <m:r>
                              <w:rPr>
                                <w:rFonts w:ascii="Cambria Math" w:eastAsiaTheme="minorEastAsia" w:hAnsi="Cambria Math"/>
                                <w:sz w:val="20"/>
                                <w:szCs w:val="20"/>
                              </w:rPr>
                              <m:t>train</m:t>
                            </m:r>
                          </m:sub>
                        </m:sSub>
                      </m:sub>
                    </m:sSub>
                    <m:r>
                      <w:rPr>
                        <w:rFonts w:ascii="Cambria Math" w:eastAsiaTheme="minorEastAsia" w:hAnsi="Cambria Math"/>
                        <w:sz w:val="20"/>
                        <w:szCs w:val="20"/>
                      </w:rPr>
                      <m:t>;</m:t>
                    </m:r>
                    <m:sSubSup>
                      <m:sSubSupPr>
                        <m:ctrlPr>
                          <w:rPr>
                            <w:rFonts w:ascii="Cambria Math" w:eastAsiaTheme="minorEastAsia" w:hAnsi="Cambria Math"/>
                            <w:i/>
                            <w:sz w:val="20"/>
                            <w:szCs w:val="20"/>
                          </w:rPr>
                        </m:ctrlPr>
                      </m:sSubSupPr>
                      <m:e>
                        <m:r>
                          <w:rPr>
                            <w:rFonts w:ascii="Cambria Math" w:eastAsiaTheme="minorEastAsia" w:hAnsi="Cambria Math"/>
                            <w:sz w:val="20"/>
                            <w:szCs w:val="20"/>
                          </w:rPr>
                          <m:t>σ</m:t>
                        </m:r>
                      </m:e>
                      <m:sub>
                        <m:sSub>
                          <m:sSubPr>
                            <m:ctrlPr>
                              <w:rPr>
                                <w:rFonts w:ascii="Cambria Math" w:eastAsiaTheme="minorEastAsia" w:hAnsi="Cambria Math"/>
                                <w:i/>
                                <w:sz w:val="20"/>
                                <w:szCs w:val="20"/>
                              </w:rPr>
                            </m:ctrlPr>
                          </m:sSubPr>
                          <m:e>
                            <m:r>
                              <w:rPr>
                                <w:rFonts w:ascii="Cambria Math" w:eastAsiaTheme="minorEastAsia" w:hAnsi="Cambria Math"/>
                                <w:sz w:val="20"/>
                                <w:szCs w:val="20"/>
                              </w:rPr>
                              <m:t>N_Kurt_OS</m:t>
                            </m:r>
                          </m:e>
                          <m:sub>
                            <m:r>
                              <w:rPr>
                                <w:rFonts w:ascii="Cambria Math" w:eastAsiaTheme="minorEastAsia" w:hAnsi="Cambria Math"/>
                                <w:sz w:val="20"/>
                                <w:szCs w:val="20"/>
                              </w:rPr>
                              <m:t>train</m:t>
                            </m:r>
                          </m:sub>
                        </m:sSub>
                      </m:sub>
                      <m:sup>
                        <m:r>
                          <w:rPr>
                            <w:rFonts w:ascii="Cambria Math" w:eastAsiaTheme="minorEastAsia" w:hAnsi="Cambria Math"/>
                            <w:sz w:val="20"/>
                            <w:szCs w:val="20"/>
                          </w:rPr>
                          <m:t>2</m:t>
                        </m:r>
                      </m:sup>
                    </m:sSubSup>
                  </m:e>
                </m:d>
                <m:r>
                  <w:rPr>
                    <w:rFonts w:ascii="Cambria Math" w:eastAsiaTheme="minorEastAsia" w:hAnsi="Cambria Math"/>
                    <w:sz w:val="20"/>
                    <w:szCs w:val="20"/>
                  </w:rPr>
                  <m:t>=</m:t>
                </m:r>
                <m:f>
                  <m:fPr>
                    <m:ctrlPr>
                      <w:rPr>
                        <w:rFonts w:ascii="Cambria Math" w:eastAsiaTheme="minorEastAsia" w:hAnsi="Cambria Math"/>
                        <w:i/>
                        <w:sz w:val="20"/>
                        <w:szCs w:val="20"/>
                      </w:rPr>
                    </m:ctrlPr>
                  </m:fPr>
                  <m:num>
                    <m:r>
                      <w:rPr>
                        <w:rFonts w:ascii="Cambria Math" w:eastAsiaTheme="minorEastAsia" w:hAnsi="Cambria Math"/>
                        <w:sz w:val="20"/>
                        <w:szCs w:val="20"/>
                      </w:rPr>
                      <m:t>1</m:t>
                    </m:r>
                  </m:num>
                  <m:den>
                    <m:r>
                      <w:rPr>
                        <w:rFonts w:ascii="Cambria Math" w:eastAsiaTheme="minorEastAsia" w:hAnsi="Cambria Math"/>
                        <w:sz w:val="20"/>
                        <w:szCs w:val="20"/>
                      </w:rPr>
                      <m:t>1∙</m:t>
                    </m:r>
                    <m:rad>
                      <m:radPr>
                        <m:degHide m:val="1"/>
                        <m:ctrlPr>
                          <w:rPr>
                            <w:rFonts w:ascii="Cambria Math" w:eastAsiaTheme="minorEastAsia" w:hAnsi="Cambria Math"/>
                            <w:i/>
                            <w:sz w:val="20"/>
                            <w:szCs w:val="20"/>
                          </w:rPr>
                        </m:ctrlPr>
                      </m:radPr>
                      <m:deg/>
                      <m:e>
                        <m:r>
                          <w:rPr>
                            <w:rFonts w:ascii="Cambria Math" w:eastAsiaTheme="minorEastAsia" w:hAnsi="Cambria Math"/>
                            <w:sz w:val="20"/>
                            <w:szCs w:val="20"/>
                          </w:rPr>
                          <m:t>2π</m:t>
                        </m:r>
                      </m:e>
                    </m:rad>
                  </m:den>
                </m:f>
                <m:r>
                  <w:rPr>
                    <w:rFonts w:ascii="Cambria Math" w:eastAsiaTheme="minorEastAsia" w:hAnsi="Cambria Math"/>
                    <w:sz w:val="20"/>
                    <w:szCs w:val="20"/>
                  </w:rPr>
                  <m:t>∙</m:t>
                </m:r>
                <m:sSup>
                  <m:sSupPr>
                    <m:ctrlPr>
                      <w:rPr>
                        <w:rFonts w:ascii="Cambria Math" w:eastAsiaTheme="minorEastAsia" w:hAnsi="Cambria Math"/>
                        <w:i/>
                        <w:sz w:val="20"/>
                        <w:szCs w:val="20"/>
                      </w:rPr>
                    </m:ctrlPr>
                  </m:sSupPr>
                  <m:e>
                    <m:r>
                      <w:rPr>
                        <w:rFonts w:ascii="Cambria Math" w:eastAsiaTheme="minorEastAsia" w:hAnsi="Cambria Math"/>
                        <w:sz w:val="20"/>
                        <w:szCs w:val="20"/>
                      </w:rPr>
                      <m:t>e</m:t>
                    </m:r>
                  </m:e>
                  <m:sup>
                    <m:r>
                      <w:rPr>
                        <w:rFonts w:ascii="Cambria Math" w:eastAsiaTheme="minorEastAsia" w:hAnsi="Cambria Math"/>
                        <w:sz w:val="20"/>
                        <w:szCs w:val="20"/>
                      </w:rPr>
                      <m:t>-</m:t>
                    </m:r>
                    <m:f>
                      <m:fPr>
                        <m:ctrlPr>
                          <w:rPr>
                            <w:rFonts w:ascii="Cambria Math" w:eastAsiaTheme="minorEastAsia" w:hAnsi="Cambria Math"/>
                            <w:i/>
                            <w:sz w:val="20"/>
                            <w:szCs w:val="20"/>
                          </w:rPr>
                        </m:ctrlPr>
                      </m:fPr>
                      <m:num>
                        <m:sSup>
                          <m:sSupPr>
                            <m:ctrlPr>
                              <w:rPr>
                                <w:rFonts w:ascii="Cambria Math" w:eastAsiaTheme="minorEastAsia" w:hAnsi="Cambria Math"/>
                                <w:i/>
                                <w:sz w:val="20"/>
                                <w:szCs w:val="20"/>
                              </w:rPr>
                            </m:ctrlPr>
                          </m:sSupPr>
                          <m:e>
                            <m:d>
                              <m:dPr>
                                <m:ctrlPr>
                                  <w:rPr>
                                    <w:rFonts w:ascii="Cambria Math" w:eastAsiaTheme="minorEastAsia" w:hAnsi="Cambria Math"/>
                                    <w:i/>
                                    <w:sz w:val="20"/>
                                    <w:szCs w:val="20"/>
                                  </w:rPr>
                                </m:ctrlPr>
                              </m:dPr>
                              <m:e>
                                <m:r>
                                  <w:rPr>
                                    <w:rFonts w:ascii="Cambria Math" w:eastAsiaTheme="minorEastAsia" w:hAnsi="Cambria Math"/>
                                    <w:sz w:val="20"/>
                                    <w:szCs w:val="20"/>
                                  </w:rPr>
                                  <m:t>0.006-1.3435</m:t>
                                </m:r>
                              </m:e>
                            </m:d>
                          </m:e>
                          <m:sup>
                            <m:r>
                              <w:rPr>
                                <w:rFonts w:ascii="Cambria Math" w:eastAsiaTheme="minorEastAsia" w:hAnsi="Cambria Math"/>
                                <w:sz w:val="20"/>
                                <w:szCs w:val="20"/>
                              </w:rPr>
                              <m:t>2</m:t>
                            </m:r>
                          </m:sup>
                        </m:sSup>
                      </m:num>
                      <m:den>
                        <m:r>
                          <w:rPr>
                            <w:rFonts w:ascii="Cambria Math" w:eastAsiaTheme="minorEastAsia" w:hAnsi="Cambria Math"/>
                            <w:sz w:val="20"/>
                            <w:szCs w:val="20"/>
                          </w:rPr>
                          <m:t>2∙</m:t>
                        </m:r>
                        <m:sSup>
                          <m:sSupPr>
                            <m:ctrlPr>
                              <w:rPr>
                                <w:rFonts w:ascii="Cambria Math" w:eastAsiaTheme="minorEastAsia" w:hAnsi="Cambria Math"/>
                                <w:i/>
                                <w:sz w:val="20"/>
                                <w:szCs w:val="20"/>
                              </w:rPr>
                            </m:ctrlPr>
                          </m:sSupPr>
                          <m:e>
                            <m:r>
                              <w:rPr>
                                <w:rFonts w:ascii="Cambria Math" w:eastAsiaTheme="minorEastAsia" w:hAnsi="Cambria Math"/>
                                <w:sz w:val="20"/>
                                <w:szCs w:val="20"/>
                              </w:rPr>
                              <m:t>0.9996</m:t>
                            </m:r>
                          </m:e>
                          <m:sup>
                            <m:r>
                              <w:rPr>
                                <w:rFonts w:ascii="Cambria Math" w:eastAsiaTheme="minorEastAsia" w:hAnsi="Cambria Math"/>
                                <w:sz w:val="20"/>
                                <w:szCs w:val="20"/>
                              </w:rPr>
                              <m:t>2</m:t>
                            </m:r>
                          </m:sup>
                        </m:sSup>
                      </m:den>
                    </m:f>
                  </m:sup>
                </m:sSup>
                <m:r>
                  <w:rPr>
                    <w:rFonts w:ascii="Cambria Math" w:eastAsiaTheme="minorEastAsia" w:hAnsi="Cambria Math"/>
                    <w:sz w:val="20"/>
                    <w:szCs w:val="20"/>
                  </w:rPr>
                  <m:t>=0.1630</m:t>
                </m:r>
              </m:oMath>
            </m:oMathPara>
          </w:p>
        </w:tc>
        <w:tc>
          <w:tcPr>
            <w:tcW w:w="772" w:type="dxa"/>
            <w:vAlign w:val="center"/>
          </w:tcPr>
          <w:p w14:paraId="659981F6" w14:textId="74616765" w:rsidR="006C2142" w:rsidRPr="00081A83" w:rsidRDefault="002C693A" w:rsidP="00CC5DAD">
            <w:pPr>
              <w:spacing w:before="0" w:after="0"/>
              <w:jc w:val="right"/>
              <w:rPr>
                <w:szCs w:val="24"/>
              </w:rPr>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28</w:t>
            </w:r>
            <w:r w:rsidR="00427B33">
              <w:rPr>
                <w:noProof/>
              </w:rPr>
              <w:fldChar w:fldCharType="end"/>
            </w:r>
            <w:r>
              <w:t>)</w:t>
            </w:r>
          </w:p>
        </w:tc>
      </w:tr>
    </w:tbl>
    <w:p w14:paraId="3A197880" w14:textId="1AD48C6E" w:rsidR="006C2142" w:rsidRDefault="006C2142" w:rsidP="006C2142">
      <w:r>
        <w:t>and finally, inpu</w:t>
      </w:r>
      <w:r w:rsidR="00550CFE">
        <w:t>t</w:t>
      </w:r>
      <w:r>
        <w:t xml:space="preserve">ting that into eq </w:t>
      </w:r>
      <w:r w:rsidR="007C6F59">
        <w:fldChar w:fldCharType="begin"/>
      </w:r>
      <w:r w:rsidR="007C6F59">
        <w:instrText xml:space="preserve"> REF _Ref101273700 \h </w:instrText>
      </w:r>
      <w:r w:rsidR="007C6F59">
        <w:fldChar w:fldCharType="separate"/>
      </w:r>
      <w:r w:rsidR="00587AF0">
        <w:t>(</w:t>
      </w:r>
      <w:r w:rsidR="00587AF0">
        <w:rPr>
          <w:noProof/>
        </w:rPr>
        <w:t>9</w:t>
      </w:r>
      <w:r w:rsidR="00587AF0">
        <w:t>.</w:t>
      </w:r>
      <w:r w:rsidR="00587AF0">
        <w:rPr>
          <w:noProof/>
        </w:rPr>
        <w:t>17</w:t>
      </w:r>
      <w:r w:rsidR="007C6F59">
        <w:fldChar w:fldCharType="end"/>
      </w:r>
      <w:r w:rsidR="007C6F59">
        <w:t>)</w:t>
      </w:r>
      <w:r>
        <w:t xml:space="preserve"> of product function</w:t>
      </w:r>
      <w:r w:rsidR="00550CFE">
        <w:t>,</w:t>
      </w:r>
      <w:r>
        <w:t xml:space="preserve">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5"/>
        <w:gridCol w:w="772"/>
      </w:tblGrid>
      <w:tr w:rsidR="006C2142" w14:paraId="1127A684" w14:textId="77777777" w:rsidTr="00CC5DAD">
        <w:trPr>
          <w:trHeight w:val="453"/>
        </w:trPr>
        <w:tc>
          <w:tcPr>
            <w:tcW w:w="8245" w:type="dxa"/>
            <w:vAlign w:val="center"/>
          </w:tcPr>
          <w:p w14:paraId="7E308A3B" w14:textId="3B8D32BE" w:rsidR="006C2142" w:rsidRPr="00F30C1F" w:rsidRDefault="006C2142" w:rsidP="00CC5DAD">
            <w:pPr>
              <w:spacing w:before="0" w:after="0"/>
              <w:jc w:val="center"/>
              <w:rPr>
                <w:i/>
                <w:lang w:val="en-GB"/>
              </w:rPr>
            </w:pPr>
            <m:oMathPara>
              <m:oMath>
                <m:r>
                  <w:rPr>
                    <w:rFonts w:ascii="Cambria Math" w:eastAsiaTheme="minorEastAsia" w:hAnsi="Cambria Math"/>
                  </w:rPr>
                  <m:t>P</m:t>
                </m:r>
                <m:d>
                  <m:dPr>
                    <m:ctrlPr>
                      <w:rPr>
                        <w:rFonts w:ascii="Cambria Math" w:eastAsiaTheme="minorEastAsia" w:hAnsi="Cambria Math"/>
                        <w:i/>
                        <w:iCs/>
                      </w:rPr>
                    </m:ctrlPr>
                  </m:dPr>
                  <m:e>
                    <m:d>
                      <m:dPr>
                        <m:begChr m:val=""/>
                        <m:endChr m:val="|"/>
                        <m:ctrlPr>
                          <w:rPr>
                            <w:rFonts w:ascii="Cambria Math" w:eastAsiaTheme="minorEastAsia" w:hAnsi="Cambria Math"/>
                            <w:i/>
                            <w:iCs/>
                          </w:rPr>
                        </m:ctrlPr>
                      </m:dPr>
                      <m:e>
                        <m:r>
                          <m:rPr>
                            <m:sty m:val="p"/>
                          </m:rPr>
                          <w:rPr>
                            <w:rFonts w:ascii="Cambria Math" w:eastAsiaTheme="minorEastAsia" w:hAnsi="Cambria Math"/>
                          </w:rPr>
                          <m:t>X=</m:t>
                        </m:r>
                        <m:d>
                          <m:dPr>
                            <m:ctrlPr>
                              <w:rPr>
                                <w:rFonts w:ascii="Cambria Math" w:eastAsiaTheme="minorEastAsia" w:hAnsi="Cambria Math"/>
                                <w:iCs/>
                              </w:rPr>
                            </m:ctrlPr>
                          </m:dPr>
                          <m:e>
                            <m:sSub>
                              <m:sSubPr>
                                <m:ctrlPr>
                                  <w:rPr>
                                    <w:rFonts w:ascii="Cambria Math" w:eastAsiaTheme="minorEastAsia" w:hAnsi="Cambria Math"/>
                                    <w:iCs/>
                                  </w:rPr>
                                </m:ctrlPr>
                              </m:sSubPr>
                              <m:e>
                                <m:r>
                                  <w:rPr>
                                    <w:rFonts w:ascii="Cambria Math" w:eastAsiaTheme="minorEastAsia" w:hAnsi="Cambria Math"/>
                                  </w:rPr>
                                  <m:t>x</m:t>
                                </m:r>
                              </m:e>
                              <m:sub>
                                <m:r>
                                  <w:rPr>
                                    <w:rFonts w:ascii="Cambria Math" w:eastAsiaTheme="minorEastAsia" w:hAnsi="Cambria Math"/>
                                  </w:rPr>
                                  <m:t>1</m:t>
                                </m:r>
                              </m:sub>
                            </m:sSub>
                            <m:r>
                              <m:rPr>
                                <m:sty m:val="p"/>
                              </m:rPr>
                              <w:rPr>
                                <w:rFonts w:ascii="Cambria Math" w:eastAsiaTheme="minorEastAsia" w:hAnsi="Cambria Math"/>
                              </w:rPr>
                              <m:t>,</m:t>
                            </m:r>
                            <m:sSub>
                              <m:sSubPr>
                                <m:ctrlPr>
                                  <w:rPr>
                                    <w:rFonts w:ascii="Cambria Math" w:eastAsiaTheme="minorEastAsia" w:hAnsi="Cambria Math"/>
                                    <w:iCs/>
                                  </w:rPr>
                                </m:ctrlPr>
                              </m:sSubPr>
                              <m:e>
                                <m:r>
                                  <w:rPr>
                                    <w:rFonts w:ascii="Cambria Math" w:eastAsiaTheme="minorEastAsia" w:hAnsi="Cambria Math"/>
                                  </w:rPr>
                                  <m:t>x</m:t>
                                </m:r>
                              </m:e>
                              <m:sub>
                                <m:r>
                                  <w:rPr>
                                    <w:rFonts w:ascii="Cambria Math" w:eastAsiaTheme="minorEastAsia" w:hAnsi="Cambria Math"/>
                                  </w:rPr>
                                  <m:t>2</m:t>
                                </m:r>
                              </m:sub>
                            </m:sSub>
                            <m:r>
                              <m:rPr>
                                <m:sty m:val="p"/>
                              </m:rPr>
                              <w:rPr>
                                <w:rFonts w:ascii="Cambria Math" w:eastAsiaTheme="minorEastAsia" w:hAnsi="Cambria Math"/>
                              </w:rPr>
                              <m:t>…</m:t>
                            </m:r>
                            <m:sSub>
                              <m:sSubPr>
                                <m:ctrlPr>
                                  <w:rPr>
                                    <w:rFonts w:ascii="Cambria Math" w:eastAsiaTheme="minorEastAsia" w:hAnsi="Cambria Math"/>
                                    <w:iCs/>
                                  </w:rPr>
                                </m:ctrlPr>
                              </m:sSubPr>
                              <m:e>
                                <m:r>
                                  <w:rPr>
                                    <w:rFonts w:ascii="Cambria Math" w:eastAsiaTheme="minorEastAsia" w:hAnsi="Cambria Math"/>
                                  </w:rPr>
                                  <m:t>x</m:t>
                                </m:r>
                              </m:e>
                              <m:sub>
                                <m:r>
                                  <w:rPr>
                                    <w:rFonts w:ascii="Cambria Math" w:eastAsiaTheme="minorEastAsia" w:hAnsi="Cambria Math"/>
                                  </w:rPr>
                                  <m:t>n</m:t>
                                </m:r>
                              </m:sub>
                            </m:sSub>
                          </m:e>
                        </m:d>
                      </m:e>
                    </m:d>
                    <m:r>
                      <w:rPr>
                        <w:rFonts w:ascii="Cambria Math" w:eastAsiaTheme="minorEastAsia" w:hAnsi="Cambria Math"/>
                      </w:rPr>
                      <m:t>None</m:t>
                    </m:r>
                  </m:e>
                </m:d>
                <m:r>
                  <w:rPr>
                    <w:rFonts w:ascii="Cambria Math" w:eastAsiaTheme="minorEastAsia" w:hAnsi="Cambria Math"/>
                  </w:rPr>
                  <m:t>=</m:t>
                </m:r>
                <m:nary>
                  <m:naryPr>
                    <m:chr m:val="∏"/>
                    <m:limLoc m:val="undOvr"/>
                    <m:subHide m:val="1"/>
                    <m:supHide m:val="1"/>
                    <m:ctrlPr>
                      <w:rPr>
                        <w:rFonts w:ascii="Cambria Math" w:eastAsiaTheme="minorEastAsia" w:hAnsi="Cambria Math"/>
                        <w:i/>
                        <w:iCs/>
                      </w:rPr>
                    </m:ctrlPr>
                  </m:naryPr>
                  <m:sub/>
                  <m:sup/>
                  <m:e>
                    <m:r>
                      <w:rPr>
                        <w:rFonts w:ascii="Cambria Math" w:eastAsiaTheme="minorEastAsia" w:hAnsi="Cambria Math"/>
                        <w:sz w:val="22"/>
                        <w:szCs w:val="20"/>
                      </w:rPr>
                      <m:t>p</m:t>
                    </m:r>
                    <m:d>
                      <m:dPr>
                        <m:ctrlPr>
                          <w:rPr>
                            <w:rFonts w:ascii="Cambria Math" w:eastAsiaTheme="minorEastAsia" w:hAnsi="Cambria Math"/>
                            <w:i/>
                            <w:sz w:val="22"/>
                            <w:szCs w:val="20"/>
                          </w:rPr>
                        </m:ctrlPr>
                      </m:dPr>
                      <m:e>
                        <m:r>
                          <w:rPr>
                            <w:rFonts w:ascii="Cambria Math" w:eastAsiaTheme="minorEastAsia" w:hAnsi="Cambria Math"/>
                            <w:sz w:val="22"/>
                            <w:szCs w:val="20"/>
                          </w:rPr>
                          <m:t>None</m:t>
                        </m:r>
                        <m:d>
                          <m:dPr>
                            <m:begChr m:val="|"/>
                            <m:endChr m:val=""/>
                            <m:ctrlPr>
                              <w:rPr>
                                <w:rFonts w:ascii="Cambria Math" w:eastAsiaTheme="minorEastAsia" w:hAnsi="Cambria Math"/>
                                <w:i/>
                                <w:sz w:val="22"/>
                                <w:szCs w:val="20"/>
                              </w:rPr>
                            </m:ctrlPr>
                          </m:dPr>
                          <m:e>
                            <m:sSub>
                              <m:sSubPr>
                                <m:ctrlPr>
                                  <w:rPr>
                                    <w:rFonts w:ascii="Cambria Math" w:eastAsiaTheme="minorEastAsia" w:hAnsi="Cambria Math"/>
                                    <w:i/>
                                    <w:sz w:val="22"/>
                                    <w:szCs w:val="20"/>
                                  </w:rPr>
                                </m:ctrlPr>
                              </m:sSubPr>
                              <m:e>
                                <m:r>
                                  <w:rPr>
                                    <w:rFonts w:ascii="Cambria Math" w:eastAsiaTheme="minorEastAsia" w:hAnsi="Cambria Math"/>
                                    <w:sz w:val="22"/>
                                    <w:szCs w:val="20"/>
                                  </w:rPr>
                                  <m:t>None</m:t>
                                </m:r>
                              </m:e>
                              <m:sub>
                                <m:r>
                                  <w:rPr>
                                    <w:rFonts w:ascii="Cambria Math" w:eastAsiaTheme="minorEastAsia" w:hAnsi="Cambria Math"/>
                                    <w:sz w:val="22"/>
                                    <w:szCs w:val="20"/>
                                  </w:rPr>
                                  <m:t>train</m:t>
                                </m:r>
                              </m:sub>
                            </m:sSub>
                          </m:e>
                        </m:d>
                      </m:e>
                    </m:d>
                    <m:r>
                      <m:rPr>
                        <m:scr m:val="script"/>
                      </m:rPr>
                      <w:rPr>
                        <w:rFonts w:ascii="Cambria Math" w:eastAsiaTheme="minorEastAsia" w:hAnsi="Cambria Math"/>
                        <w:sz w:val="20"/>
                        <w:szCs w:val="20"/>
                      </w:rPr>
                      <m:t xml:space="preserve"> ∙L</m:t>
                    </m:r>
                    <m:d>
                      <m:dPr>
                        <m:ctrlPr>
                          <w:rPr>
                            <w:rFonts w:ascii="Cambria Math" w:eastAsiaTheme="minorEastAsia" w:hAnsi="Cambria Math"/>
                            <w:i/>
                            <w:iCs/>
                          </w:rPr>
                        </m:ctrlPr>
                      </m:dPr>
                      <m:e>
                        <m:d>
                          <m:dPr>
                            <m:begChr m:val=""/>
                            <m:endChr m:val="|"/>
                            <m:ctrlPr>
                              <w:rPr>
                                <w:rFonts w:ascii="Cambria Math" w:eastAsiaTheme="minorEastAsia" w:hAnsi="Cambria Math"/>
                                <w:i/>
                                <w:iCs/>
                              </w:rPr>
                            </m:ctrlPr>
                          </m:dPr>
                          <m:e>
                            <m:sSub>
                              <m:sSubPr>
                                <m:ctrlPr>
                                  <w:rPr>
                                    <w:rFonts w:ascii="Cambria Math" w:eastAsiaTheme="minorEastAsia" w:hAnsi="Cambria Math"/>
                                    <w:i/>
                                    <w:iCs/>
                                  </w:rPr>
                                </m:ctrlPr>
                              </m:sSubPr>
                              <m:e>
                                <m:r>
                                  <w:rPr>
                                    <w:rFonts w:ascii="Cambria Math" w:eastAsiaTheme="minorEastAsia" w:hAnsi="Cambria Math"/>
                                  </w:rPr>
                                  <m:t>x</m:t>
                                </m:r>
                              </m:e>
                              <m:sub>
                                <m:r>
                                  <w:rPr>
                                    <w:rFonts w:ascii="Cambria Math" w:eastAsiaTheme="minorEastAsia" w:hAnsi="Cambria Math"/>
                                  </w:rPr>
                                  <m:t>i</m:t>
                                </m:r>
                              </m:sub>
                            </m:sSub>
                          </m:e>
                        </m:d>
                        <m:sSub>
                          <m:sSubPr>
                            <m:ctrlPr>
                              <w:rPr>
                                <w:rFonts w:ascii="Cambria Math" w:eastAsiaTheme="minorEastAsia" w:hAnsi="Cambria Math"/>
                                <w:i/>
                              </w:rPr>
                            </m:ctrlPr>
                          </m:sSubPr>
                          <m:e>
                            <m:r>
                              <w:rPr>
                                <w:rFonts w:ascii="Cambria Math" w:eastAsiaTheme="minorEastAsia" w:hAnsi="Cambria Math"/>
                              </w:rPr>
                              <m:t>None</m:t>
                            </m:r>
                          </m:e>
                          <m:sub>
                            <m:r>
                              <w:rPr>
                                <w:rFonts w:ascii="Cambria Math" w:eastAsiaTheme="minorEastAsia" w:hAnsi="Cambria Math"/>
                              </w:rPr>
                              <m:t>train</m:t>
                            </m:r>
                          </m:sub>
                        </m:sSub>
                      </m:e>
                    </m:d>
                  </m:e>
                </m:nary>
                <m:r>
                  <w:rPr>
                    <w:rFonts w:ascii="Cambria Math" w:eastAsiaTheme="minorEastAsia" w:hAnsi="Cambria Math"/>
                  </w:rPr>
                  <m:t>=1.83E-11</m:t>
                </m:r>
              </m:oMath>
            </m:oMathPara>
          </w:p>
        </w:tc>
        <w:tc>
          <w:tcPr>
            <w:tcW w:w="772" w:type="dxa"/>
            <w:vAlign w:val="center"/>
          </w:tcPr>
          <w:p w14:paraId="2734016E" w14:textId="49844E05" w:rsidR="006C2142" w:rsidRDefault="002C693A" w:rsidP="000B6733">
            <w:pPr>
              <w:spacing w:before="0" w:after="0"/>
              <w:jc w:val="right"/>
            </w:pPr>
            <w:bookmarkStart w:id="572" w:name="_Ref101273658"/>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29</w:t>
            </w:r>
            <w:r w:rsidR="00427B33">
              <w:rPr>
                <w:noProof/>
              </w:rPr>
              <w:fldChar w:fldCharType="end"/>
            </w:r>
            <w:bookmarkEnd w:id="572"/>
            <w:r>
              <w:t>)</w:t>
            </w:r>
          </w:p>
        </w:tc>
      </w:tr>
    </w:tbl>
    <w:p w14:paraId="392BC95B" w14:textId="7C33D246" w:rsidR="006C2142" w:rsidRDefault="006C2142" w:rsidP="006C2142">
      <w:r>
        <w:t xml:space="preserve">doing the same mathematical formulation for the training data assuming </w:t>
      </w:r>
      <w:r w:rsidR="00550CFE">
        <w:t xml:space="preserve">a </w:t>
      </w:r>
      <w:r>
        <w:t>“Quasi-fault” state,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5"/>
        <w:gridCol w:w="772"/>
      </w:tblGrid>
      <w:tr w:rsidR="006C2142" w14:paraId="53C3CA8C" w14:textId="77777777" w:rsidTr="00CC5DAD">
        <w:trPr>
          <w:trHeight w:val="453"/>
        </w:trPr>
        <w:tc>
          <w:tcPr>
            <w:tcW w:w="8245" w:type="dxa"/>
            <w:vAlign w:val="center"/>
          </w:tcPr>
          <w:p w14:paraId="5FD872C3" w14:textId="0A774597" w:rsidR="006C2142" w:rsidRPr="00F30C1F" w:rsidRDefault="006C2142" w:rsidP="00CC5DAD">
            <w:pPr>
              <w:spacing w:before="0" w:after="0"/>
              <w:jc w:val="center"/>
              <w:rPr>
                <w:i/>
                <w:lang w:val="en-GB"/>
              </w:rPr>
            </w:pPr>
            <m:oMathPara>
              <m:oMath>
                <m:r>
                  <w:rPr>
                    <w:rFonts w:ascii="Cambria Math" w:eastAsiaTheme="minorEastAsia" w:hAnsi="Cambria Math"/>
                  </w:rPr>
                  <m:t>P</m:t>
                </m:r>
                <m:d>
                  <m:dPr>
                    <m:ctrlPr>
                      <w:rPr>
                        <w:rFonts w:ascii="Cambria Math" w:eastAsiaTheme="minorEastAsia" w:hAnsi="Cambria Math"/>
                        <w:i/>
                        <w:iCs/>
                      </w:rPr>
                    </m:ctrlPr>
                  </m:dPr>
                  <m:e>
                    <m:d>
                      <m:dPr>
                        <m:begChr m:val=""/>
                        <m:endChr m:val="|"/>
                        <m:ctrlPr>
                          <w:rPr>
                            <w:rFonts w:ascii="Cambria Math" w:eastAsiaTheme="minorEastAsia" w:hAnsi="Cambria Math"/>
                            <w:i/>
                            <w:iCs/>
                          </w:rPr>
                        </m:ctrlPr>
                      </m:dPr>
                      <m:e>
                        <m:r>
                          <m:rPr>
                            <m:sty m:val="p"/>
                          </m:rPr>
                          <w:rPr>
                            <w:rFonts w:ascii="Cambria Math" w:eastAsiaTheme="minorEastAsia" w:hAnsi="Cambria Math"/>
                          </w:rPr>
                          <m:t>X=</m:t>
                        </m:r>
                        <m:d>
                          <m:dPr>
                            <m:ctrlPr>
                              <w:rPr>
                                <w:rFonts w:ascii="Cambria Math" w:eastAsiaTheme="minorEastAsia" w:hAnsi="Cambria Math"/>
                                <w:iCs/>
                              </w:rPr>
                            </m:ctrlPr>
                          </m:dPr>
                          <m:e>
                            <m:sSub>
                              <m:sSubPr>
                                <m:ctrlPr>
                                  <w:rPr>
                                    <w:rFonts w:ascii="Cambria Math" w:eastAsiaTheme="minorEastAsia" w:hAnsi="Cambria Math"/>
                                    <w:iCs/>
                                  </w:rPr>
                                </m:ctrlPr>
                              </m:sSubPr>
                              <m:e>
                                <m:r>
                                  <w:rPr>
                                    <w:rFonts w:ascii="Cambria Math" w:eastAsiaTheme="minorEastAsia" w:hAnsi="Cambria Math"/>
                                  </w:rPr>
                                  <m:t>x</m:t>
                                </m:r>
                              </m:e>
                              <m:sub>
                                <m:r>
                                  <w:rPr>
                                    <w:rFonts w:ascii="Cambria Math" w:eastAsiaTheme="minorEastAsia" w:hAnsi="Cambria Math"/>
                                  </w:rPr>
                                  <m:t>1</m:t>
                                </m:r>
                              </m:sub>
                            </m:sSub>
                            <m:r>
                              <m:rPr>
                                <m:sty m:val="p"/>
                              </m:rPr>
                              <w:rPr>
                                <w:rFonts w:ascii="Cambria Math" w:eastAsiaTheme="minorEastAsia" w:hAnsi="Cambria Math"/>
                              </w:rPr>
                              <m:t>,</m:t>
                            </m:r>
                            <m:sSub>
                              <m:sSubPr>
                                <m:ctrlPr>
                                  <w:rPr>
                                    <w:rFonts w:ascii="Cambria Math" w:eastAsiaTheme="minorEastAsia" w:hAnsi="Cambria Math"/>
                                    <w:iCs/>
                                  </w:rPr>
                                </m:ctrlPr>
                              </m:sSubPr>
                              <m:e>
                                <m:r>
                                  <w:rPr>
                                    <w:rFonts w:ascii="Cambria Math" w:eastAsiaTheme="minorEastAsia" w:hAnsi="Cambria Math"/>
                                  </w:rPr>
                                  <m:t>x</m:t>
                                </m:r>
                              </m:e>
                              <m:sub>
                                <m:r>
                                  <w:rPr>
                                    <w:rFonts w:ascii="Cambria Math" w:eastAsiaTheme="minorEastAsia" w:hAnsi="Cambria Math"/>
                                  </w:rPr>
                                  <m:t>2</m:t>
                                </m:r>
                              </m:sub>
                            </m:sSub>
                            <m:r>
                              <m:rPr>
                                <m:sty m:val="p"/>
                              </m:rPr>
                              <w:rPr>
                                <w:rFonts w:ascii="Cambria Math" w:eastAsiaTheme="minorEastAsia" w:hAnsi="Cambria Math"/>
                              </w:rPr>
                              <m:t>…</m:t>
                            </m:r>
                            <m:sSub>
                              <m:sSubPr>
                                <m:ctrlPr>
                                  <w:rPr>
                                    <w:rFonts w:ascii="Cambria Math" w:eastAsiaTheme="minorEastAsia" w:hAnsi="Cambria Math"/>
                                    <w:iCs/>
                                  </w:rPr>
                                </m:ctrlPr>
                              </m:sSubPr>
                              <m:e>
                                <m:r>
                                  <w:rPr>
                                    <w:rFonts w:ascii="Cambria Math" w:eastAsiaTheme="minorEastAsia" w:hAnsi="Cambria Math"/>
                                  </w:rPr>
                                  <m:t>x</m:t>
                                </m:r>
                              </m:e>
                              <m:sub>
                                <m:r>
                                  <w:rPr>
                                    <w:rFonts w:ascii="Cambria Math" w:eastAsiaTheme="minorEastAsia" w:hAnsi="Cambria Math"/>
                                  </w:rPr>
                                  <m:t>n</m:t>
                                </m:r>
                              </m:sub>
                            </m:sSub>
                          </m:e>
                        </m:d>
                      </m:e>
                    </m:d>
                    <m:sSub>
                      <m:sSubPr>
                        <m:ctrlPr>
                          <w:rPr>
                            <w:rFonts w:ascii="Cambria Math" w:eastAsiaTheme="minorEastAsia" w:hAnsi="Cambria Math"/>
                            <w:i/>
                          </w:rPr>
                        </m:ctrlPr>
                      </m:sSubPr>
                      <m:e>
                        <m:r>
                          <w:rPr>
                            <w:rFonts w:ascii="Cambria Math" w:eastAsiaTheme="minorEastAsia" w:hAnsi="Cambria Math"/>
                          </w:rPr>
                          <m:t>Quasi-fault</m:t>
                        </m:r>
                      </m:e>
                      <m:sub>
                        <m:r>
                          <w:rPr>
                            <w:rFonts w:ascii="Cambria Math" w:eastAsiaTheme="minorEastAsia" w:hAnsi="Cambria Math"/>
                          </w:rPr>
                          <m:t>train</m:t>
                        </m:r>
                      </m:sub>
                    </m:sSub>
                  </m:e>
                </m:d>
                <m:r>
                  <w:rPr>
                    <w:rFonts w:ascii="Cambria Math" w:eastAsiaTheme="minorEastAsia" w:hAnsi="Cambria Math"/>
                  </w:rPr>
                  <m:t>=</m:t>
                </m:r>
                <m:nary>
                  <m:naryPr>
                    <m:chr m:val="∏"/>
                    <m:limLoc m:val="undOvr"/>
                    <m:subHide m:val="1"/>
                    <m:supHide m:val="1"/>
                    <m:ctrlPr>
                      <w:rPr>
                        <w:rFonts w:ascii="Cambria Math" w:eastAsiaTheme="minorEastAsia" w:hAnsi="Cambria Math"/>
                        <w:i/>
                        <w:iCs/>
                      </w:rPr>
                    </m:ctrlPr>
                  </m:naryPr>
                  <m:sub/>
                  <m:sup/>
                  <m:e>
                    <m:r>
                      <w:rPr>
                        <w:rFonts w:ascii="Cambria Math" w:eastAsiaTheme="minorEastAsia" w:hAnsi="Cambria Math"/>
                        <w:sz w:val="22"/>
                        <w:szCs w:val="20"/>
                      </w:rPr>
                      <m:t>p</m:t>
                    </m:r>
                    <m:d>
                      <m:dPr>
                        <m:ctrlPr>
                          <w:rPr>
                            <w:rFonts w:ascii="Cambria Math" w:eastAsiaTheme="minorEastAsia" w:hAnsi="Cambria Math"/>
                            <w:i/>
                            <w:sz w:val="22"/>
                            <w:szCs w:val="20"/>
                          </w:rPr>
                        </m:ctrlPr>
                      </m:dPr>
                      <m:e>
                        <m:r>
                          <w:rPr>
                            <w:rFonts w:ascii="Cambria Math" w:eastAsiaTheme="minorEastAsia" w:hAnsi="Cambria Math"/>
                            <w:sz w:val="22"/>
                            <w:szCs w:val="20"/>
                          </w:rPr>
                          <m:t>Quasi-fault</m:t>
                        </m:r>
                        <m:d>
                          <m:dPr>
                            <m:begChr m:val="|"/>
                            <m:endChr m:val=""/>
                            <m:ctrlPr>
                              <w:rPr>
                                <w:rFonts w:ascii="Cambria Math" w:eastAsiaTheme="minorEastAsia" w:hAnsi="Cambria Math"/>
                                <w:i/>
                                <w:sz w:val="22"/>
                                <w:szCs w:val="20"/>
                              </w:rPr>
                            </m:ctrlPr>
                          </m:dPr>
                          <m:e>
                            <m:sSub>
                              <m:sSubPr>
                                <m:ctrlPr>
                                  <w:rPr>
                                    <w:rFonts w:ascii="Cambria Math" w:eastAsiaTheme="minorEastAsia" w:hAnsi="Cambria Math"/>
                                    <w:i/>
                                    <w:sz w:val="22"/>
                                    <w:szCs w:val="20"/>
                                  </w:rPr>
                                </m:ctrlPr>
                              </m:sSubPr>
                              <m:e>
                                <m:r>
                                  <w:rPr>
                                    <w:rFonts w:ascii="Cambria Math" w:eastAsiaTheme="minorEastAsia" w:hAnsi="Cambria Math"/>
                                    <w:sz w:val="22"/>
                                    <w:szCs w:val="20"/>
                                  </w:rPr>
                                  <m:t>Quasi-fault</m:t>
                                </m:r>
                              </m:e>
                              <m:sub>
                                <m:r>
                                  <w:rPr>
                                    <w:rFonts w:ascii="Cambria Math" w:eastAsiaTheme="minorEastAsia" w:hAnsi="Cambria Math"/>
                                    <w:sz w:val="22"/>
                                    <w:szCs w:val="20"/>
                                  </w:rPr>
                                  <m:t>train</m:t>
                                </m:r>
                              </m:sub>
                            </m:sSub>
                          </m:e>
                        </m:d>
                      </m:e>
                    </m:d>
                    <m:r>
                      <m:rPr>
                        <m:scr m:val="script"/>
                      </m:rPr>
                      <w:rPr>
                        <w:rFonts w:ascii="Cambria Math" w:eastAsiaTheme="minorEastAsia" w:hAnsi="Cambria Math"/>
                        <w:sz w:val="20"/>
                        <w:szCs w:val="20"/>
                      </w:rPr>
                      <m:t>∙ L</m:t>
                    </m:r>
                    <m:d>
                      <m:dPr>
                        <m:ctrlPr>
                          <w:rPr>
                            <w:rFonts w:ascii="Cambria Math" w:eastAsiaTheme="minorEastAsia" w:hAnsi="Cambria Math"/>
                            <w:i/>
                            <w:iCs/>
                          </w:rPr>
                        </m:ctrlPr>
                      </m:dPr>
                      <m:e>
                        <m:d>
                          <m:dPr>
                            <m:begChr m:val=""/>
                            <m:endChr m:val="|"/>
                            <m:ctrlPr>
                              <w:rPr>
                                <w:rFonts w:ascii="Cambria Math" w:eastAsiaTheme="minorEastAsia" w:hAnsi="Cambria Math"/>
                                <w:i/>
                                <w:iCs/>
                              </w:rPr>
                            </m:ctrlPr>
                          </m:dPr>
                          <m:e>
                            <m:sSub>
                              <m:sSubPr>
                                <m:ctrlPr>
                                  <w:rPr>
                                    <w:rFonts w:ascii="Cambria Math" w:eastAsiaTheme="minorEastAsia" w:hAnsi="Cambria Math"/>
                                    <w:i/>
                                    <w:iCs/>
                                  </w:rPr>
                                </m:ctrlPr>
                              </m:sSubPr>
                              <m:e>
                                <m:r>
                                  <w:rPr>
                                    <w:rFonts w:ascii="Cambria Math" w:eastAsiaTheme="minorEastAsia" w:hAnsi="Cambria Math"/>
                                  </w:rPr>
                                  <m:t>x</m:t>
                                </m:r>
                              </m:e>
                              <m:sub>
                                <m:r>
                                  <w:rPr>
                                    <w:rFonts w:ascii="Cambria Math" w:eastAsiaTheme="minorEastAsia" w:hAnsi="Cambria Math"/>
                                  </w:rPr>
                                  <m:t>i</m:t>
                                </m:r>
                              </m:sub>
                            </m:sSub>
                          </m:e>
                        </m:d>
                        <m:sSub>
                          <m:sSubPr>
                            <m:ctrlPr>
                              <w:rPr>
                                <w:rFonts w:ascii="Cambria Math" w:eastAsiaTheme="minorEastAsia" w:hAnsi="Cambria Math"/>
                                <w:i/>
                                <w:iCs/>
                              </w:rPr>
                            </m:ctrlPr>
                          </m:sSubPr>
                          <m:e>
                            <m:r>
                              <w:rPr>
                                <w:rFonts w:ascii="Cambria Math" w:eastAsiaTheme="minorEastAsia" w:hAnsi="Cambria Math"/>
                              </w:rPr>
                              <m:t>Quasi-fault</m:t>
                            </m:r>
                          </m:e>
                          <m:sub>
                            <m:r>
                              <w:rPr>
                                <w:rFonts w:ascii="Cambria Math" w:eastAsiaTheme="minorEastAsia" w:hAnsi="Cambria Math"/>
                              </w:rPr>
                              <m:t>training</m:t>
                            </m:r>
                          </m:sub>
                        </m:sSub>
                      </m:e>
                    </m:d>
                  </m:e>
                </m:nary>
                <m:r>
                  <w:rPr>
                    <w:rFonts w:ascii="Cambria Math" w:eastAsiaTheme="minorEastAsia" w:hAnsi="Cambria Math"/>
                  </w:rPr>
                  <m:t>=2.05E-12</m:t>
                </m:r>
              </m:oMath>
            </m:oMathPara>
          </w:p>
        </w:tc>
        <w:tc>
          <w:tcPr>
            <w:tcW w:w="772" w:type="dxa"/>
            <w:vAlign w:val="center"/>
          </w:tcPr>
          <w:p w14:paraId="0DB7805B" w14:textId="21966027" w:rsidR="006C2142" w:rsidRDefault="002C693A" w:rsidP="000B6733">
            <w:pPr>
              <w:spacing w:before="0" w:after="0"/>
              <w:jc w:val="right"/>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30</w:t>
            </w:r>
            <w:r w:rsidR="00427B33">
              <w:rPr>
                <w:noProof/>
              </w:rPr>
              <w:fldChar w:fldCharType="end"/>
            </w:r>
            <w:r>
              <w:t>)</w:t>
            </w:r>
          </w:p>
        </w:tc>
      </w:tr>
    </w:tbl>
    <w:p w14:paraId="193E2C23" w14:textId="71D4A319" w:rsidR="006C2142" w:rsidRDefault="006C2142" w:rsidP="006C2142">
      <w:r>
        <w:t>Therefore, since there is a higher probability eq.</w:t>
      </w:r>
      <w:r w:rsidR="007C6F59">
        <w:fldChar w:fldCharType="begin"/>
      </w:r>
      <w:r w:rsidR="007C6F59">
        <w:instrText xml:space="preserve"> REF _Ref101273658 \h </w:instrText>
      </w:r>
      <w:r w:rsidR="007C6F59">
        <w:fldChar w:fldCharType="separate"/>
      </w:r>
      <w:r w:rsidR="00587AF0">
        <w:rPr>
          <w:szCs w:val="24"/>
        </w:rPr>
        <w:t>(</w:t>
      </w:r>
      <w:r w:rsidR="00587AF0">
        <w:rPr>
          <w:noProof/>
        </w:rPr>
        <w:t>9</w:t>
      </w:r>
      <w:r w:rsidR="00587AF0">
        <w:t>.</w:t>
      </w:r>
      <w:r w:rsidR="00587AF0">
        <w:rPr>
          <w:noProof/>
        </w:rPr>
        <w:t>29</w:t>
      </w:r>
      <w:r w:rsidR="007C6F59">
        <w:fldChar w:fldCharType="end"/>
      </w:r>
      <w:r>
        <w:t>)</w:t>
      </w:r>
      <w:r w:rsidR="007C6F59">
        <w:t>,</w:t>
      </w:r>
      <w:r>
        <w:t xml:space="preserve"> we assign the class label “None”.</w:t>
      </w:r>
    </w:p>
    <w:p w14:paraId="012FF4F0" w14:textId="795EEE15" w:rsidR="006C2142" w:rsidRDefault="00497A18" w:rsidP="006C2142">
      <w:r>
        <w:lastRenderedPageBreak/>
        <w:t xml:space="preserve">After estimating the parameters and getting the results for classification, the final results are given in  </w:t>
      </w:r>
      <w:r>
        <w:fldChar w:fldCharType="begin"/>
      </w:r>
      <w:r>
        <w:instrText xml:space="preserve"> REF _Ref99091749 \h </w:instrText>
      </w:r>
      <w:r>
        <w:fldChar w:fldCharType="separate"/>
      </w:r>
      <w:r w:rsidR="00587AF0">
        <w:t xml:space="preserve">Table </w:t>
      </w:r>
      <w:r w:rsidR="00587AF0">
        <w:rPr>
          <w:noProof/>
        </w:rPr>
        <w:t>30</w:t>
      </w:r>
      <w:r>
        <w:fldChar w:fldCharType="end"/>
      </w:r>
      <w:r w:rsidR="0049749D">
        <w:t>. As it can be observed, the classification of disturbances, i.e., Quasi-fault state</w:t>
      </w:r>
      <w:r w:rsidR="00550CFE">
        <w:t>-</w:t>
      </w:r>
      <w:r w:rsidR="0049749D">
        <w:t>provided good prediction properties of training (92%) and testing (87%) data. However, observing th</w:t>
      </w:r>
      <w:r w:rsidR="00550CFE">
        <w:t>e</w:t>
      </w:r>
      <w:r w:rsidR="0049749D">
        <w:t xml:space="preserve"> normal operating state without disturbances, i.e. “None” state, showed poor prediction properties </w:t>
      </w:r>
      <w:r w:rsidR="004909B8">
        <w:t>than</w:t>
      </w:r>
      <w:r w:rsidR="0049749D">
        <w:t xml:space="preserve"> </w:t>
      </w:r>
      <w:r w:rsidR="00550CFE">
        <w:t xml:space="preserve">the </w:t>
      </w:r>
      <w:r w:rsidR="0049749D">
        <w:t>degradational “Quasi-fault” state.</w:t>
      </w:r>
      <w:r w:rsidR="009F4E20">
        <w:t xml:space="preserve"> Since naïve </w:t>
      </w:r>
      <w:r w:rsidR="00550CFE">
        <w:t>B</w:t>
      </w:r>
      <w:r w:rsidR="009F4E20">
        <w:t>ayes formulation works on compari</w:t>
      </w:r>
      <w:r w:rsidR="00550CFE">
        <w:t>ng higher probability in determini</w:t>
      </w:r>
      <w:r w:rsidR="004909B8">
        <w:t>n</w:t>
      </w:r>
      <w:r w:rsidR="00550CFE">
        <w:t>g class labels assuming Gaussian distribution, data seems not to follow</w:t>
      </w:r>
      <w:r w:rsidR="009F4E20">
        <w:t xml:space="preserve"> the distribution assumption. Hence, one of the reasons is that machine learning classification models need to be tested using non-parametric assumptions of included parameters.</w:t>
      </w:r>
    </w:p>
    <w:p w14:paraId="17A0F883" w14:textId="77777777" w:rsidR="006C2142" w:rsidRDefault="006C2142" w:rsidP="006C2142">
      <w:pPr>
        <w:jc w:val="center"/>
        <w:rPr>
          <w:lang w:val="en-GB"/>
        </w:rPr>
      </w:pPr>
      <w:r w:rsidRPr="00145B0D">
        <w:rPr>
          <w:noProof/>
          <w:lang w:val="en-GB"/>
        </w:rPr>
        <w:drawing>
          <wp:inline distT="0" distB="0" distL="0" distR="0" wp14:anchorId="76F6DB4C" wp14:editId="1C924BC7">
            <wp:extent cx="5486400" cy="329565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37">
                      <a:extLst>
                        <a:ext uri="{28A0092B-C50C-407E-A947-70E740481C1C}">
                          <a14:useLocalDpi xmlns:a14="http://schemas.microsoft.com/office/drawing/2010/main" val="0"/>
                        </a:ext>
                      </a:extLst>
                    </a:blip>
                    <a:srcRect t="5469" b="4427"/>
                    <a:stretch/>
                  </pic:blipFill>
                  <pic:spPr bwMode="auto">
                    <a:xfrm>
                      <a:off x="0" y="0"/>
                      <a:ext cx="5486400" cy="3295650"/>
                    </a:xfrm>
                    <a:prstGeom prst="rect">
                      <a:avLst/>
                    </a:prstGeom>
                    <a:noFill/>
                    <a:ln>
                      <a:noFill/>
                    </a:ln>
                    <a:extLst>
                      <a:ext uri="{53640926-AAD7-44D8-BBD7-CCE9431645EC}">
                        <a14:shadowObscured xmlns:a14="http://schemas.microsoft.com/office/drawing/2010/main"/>
                      </a:ext>
                    </a:extLst>
                  </pic:spPr>
                </pic:pic>
              </a:graphicData>
            </a:graphic>
          </wp:inline>
        </w:drawing>
      </w:r>
    </w:p>
    <w:p w14:paraId="156A6850" w14:textId="7F45221D" w:rsidR="006C2142" w:rsidRDefault="006C2142" w:rsidP="006C2142">
      <w:pPr>
        <w:pStyle w:val="Caption"/>
      </w:pPr>
      <w:bookmarkStart w:id="573" w:name="_Toc101274623"/>
      <w:bookmarkStart w:id="574" w:name="_Ref96966417"/>
      <w:r>
        <w:t xml:space="preserve">Figure </w:t>
      </w:r>
      <w:fldSimple w:instr=" SEQ Figure \* ARABIC ">
        <w:r w:rsidR="00587AF0">
          <w:rPr>
            <w:noProof/>
          </w:rPr>
          <w:t>101</w:t>
        </w:r>
      </w:fldSimple>
      <w:r>
        <w:t>. Histograms of testing data predictors at opening saddle regime</w:t>
      </w:r>
      <w:bookmarkEnd w:id="573"/>
    </w:p>
    <w:p w14:paraId="2E306F10" w14:textId="05186B49" w:rsidR="006C2142" w:rsidRDefault="009F4E20" w:rsidP="006C2142">
      <w:r>
        <w:t>Moreover, observing the data from the testing set, it can be seen the difference in N_Max_OS and N_StDev_OS, which would be good for classification properties</w:t>
      </w:r>
      <w:r w:rsidR="004909B8">
        <w:t>; h</w:t>
      </w:r>
      <w:r>
        <w:t xml:space="preserve">owever, since </w:t>
      </w:r>
      <w:r w:rsidR="00550CFE">
        <w:t>many</w:t>
      </w:r>
      <w:r>
        <w:t xml:space="preserve"> data points within training data show some extreme values (considering that it showed “peaks” in hydraulic power regime (opening saddle) that may be caused by the inaccurate readings from the instruments, disturbances, </w:t>
      </w:r>
      <w:r w:rsidR="00550CFE">
        <w:t xml:space="preserve">or </w:t>
      </w:r>
      <w:r>
        <w:t>false readings</w:t>
      </w:r>
      <w:r w:rsidR="00550CFE">
        <w:t>,</w:t>
      </w:r>
      <w:r>
        <w:t xml:space="preserve"> the N_Max_OS value showed the highest variable importance factor when determining class labels</w:t>
      </w:r>
      <w:r w:rsidR="00550CFE">
        <w:t>. At the same time,</w:t>
      </w:r>
      <w:r>
        <w:t xml:space="preserve"> presumably standard deviation</w:t>
      </w:r>
      <w:r w:rsidR="00550CFE">
        <w:t>,</w:t>
      </w:r>
      <w:r>
        <w:t xml:space="preserve"> i.e. N_StDev_OS predictor</w:t>
      </w:r>
      <w:r w:rsidR="00550CFE">
        <w:t>,</w:t>
      </w:r>
      <w:r>
        <w:t xml:space="preserve"> </w:t>
      </w:r>
      <w:r w:rsidR="00550CFE">
        <w:t>also showed</w:t>
      </w:r>
      <w:r>
        <w:t xml:space="preserve"> </w:t>
      </w:r>
      <w:r w:rsidR="00550CFE">
        <w:t>2</w:t>
      </w:r>
      <w:r w:rsidR="000622F4" w:rsidRPr="000622F4">
        <w:rPr>
          <w:vertAlign w:val="superscript"/>
        </w:rPr>
        <w:t>nd</w:t>
      </w:r>
      <w:r w:rsidR="000622F4">
        <w:t xml:space="preserve"> highest importance here but did not as much influence the results for making false positive or false negative predictions as </w:t>
      </w:r>
      <w:r w:rsidR="00550CFE">
        <w:t xml:space="preserve">the </w:t>
      </w:r>
      <w:r w:rsidR="000622F4">
        <w:t>N_Max_OS predictor did. Therefore, training and testing will be conducted on the variables outside the Gaussian probability assumption.</w:t>
      </w:r>
    </w:p>
    <w:p w14:paraId="060BC00F" w14:textId="4AB86CB2" w:rsidR="006C2142" w:rsidRPr="007527A0" w:rsidRDefault="006C2142" w:rsidP="006C2142">
      <w:pPr>
        <w:pStyle w:val="Caption"/>
        <w:jc w:val="left"/>
        <w:rPr>
          <w:lang w:val="sr-Latn-RS"/>
        </w:rPr>
      </w:pPr>
      <w:bookmarkStart w:id="575" w:name="_Ref99091749"/>
      <w:bookmarkStart w:id="576" w:name="_Toc101274470"/>
      <w:r>
        <w:t xml:space="preserve">Table </w:t>
      </w:r>
      <w:fldSimple w:instr=" SEQ Table \* ARABIC ">
        <w:r w:rsidR="00587AF0">
          <w:rPr>
            <w:noProof/>
          </w:rPr>
          <w:t>30</w:t>
        </w:r>
      </w:fldSimple>
      <w:bookmarkEnd w:id="575"/>
      <w:r>
        <w:t>. Naïve Bayes classification matrix score for opening saddle position</w:t>
      </w:r>
      <w:bookmarkEnd w:id="576"/>
    </w:p>
    <w:tbl>
      <w:tblPr>
        <w:tblW w:w="5000" w:type="pct"/>
        <w:tblCellMar>
          <w:left w:w="0" w:type="dxa"/>
          <w:right w:w="0" w:type="dxa"/>
        </w:tblCellMar>
        <w:tblLook w:val="0000" w:firstRow="0" w:lastRow="0" w:firstColumn="0" w:lastColumn="0" w:noHBand="0" w:noVBand="0"/>
      </w:tblPr>
      <w:tblGrid>
        <w:gridCol w:w="1364"/>
        <w:gridCol w:w="2246"/>
        <w:gridCol w:w="1450"/>
        <w:gridCol w:w="1699"/>
        <w:gridCol w:w="2268"/>
      </w:tblGrid>
      <w:tr w:rsidR="006C2142" w:rsidRPr="002D3430" w14:paraId="566FFA25" w14:textId="77777777" w:rsidTr="00CC5DAD">
        <w:trPr>
          <w:cantSplit/>
        </w:trPr>
        <w:tc>
          <w:tcPr>
            <w:tcW w:w="756" w:type="pct"/>
            <w:vMerge w:val="restart"/>
            <w:tcBorders>
              <w:top w:val="single" w:sz="4" w:space="0" w:color="auto"/>
              <w:left w:val="nil"/>
              <w:bottom w:val="nil"/>
              <w:right w:val="nil"/>
            </w:tcBorders>
            <w:shd w:val="clear" w:color="auto" w:fill="auto"/>
            <w:vAlign w:val="center"/>
          </w:tcPr>
          <w:p w14:paraId="0BD3C4A6" w14:textId="77777777" w:rsidR="006C2142" w:rsidRPr="007527A0" w:rsidRDefault="006C2142" w:rsidP="00CC5DAD">
            <w:pPr>
              <w:autoSpaceDE w:val="0"/>
              <w:autoSpaceDN w:val="0"/>
              <w:adjustRightInd w:val="0"/>
              <w:spacing w:before="0" w:after="0"/>
              <w:ind w:left="57" w:right="57"/>
              <w:jc w:val="left"/>
              <w:rPr>
                <w:rFonts w:cs="Arial"/>
                <w:b/>
                <w:bCs/>
                <w:sz w:val="20"/>
                <w:szCs w:val="20"/>
                <w:lang w:val="sr-Latn-RS"/>
              </w:rPr>
            </w:pPr>
            <w:r w:rsidRPr="007527A0">
              <w:rPr>
                <w:rFonts w:cs="Arial"/>
                <w:b/>
                <w:bCs/>
                <w:sz w:val="20"/>
                <w:szCs w:val="20"/>
                <w:lang w:val="sr-Latn-RS"/>
              </w:rPr>
              <w:t>Sample</w:t>
            </w:r>
          </w:p>
        </w:tc>
        <w:tc>
          <w:tcPr>
            <w:tcW w:w="1244" w:type="pct"/>
            <w:vMerge w:val="restart"/>
            <w:tcBorders>
              <w:top w:val="single" w:sz="4" w:space="0" w:color="auto"/>
              <w:left w:val="nil"/>
              <w:bottom w:val="nil"/>
              <w:right w:val="nil"/>
            </w:tcBorders>
            <w:shd w:val="clear" w:color="auto" w:fill="auto"/>
            <w:vAlign w:val="center"/>
          </w:tcPr>
          <w:p w14:paraId="562BD12F" w14:textId="77777777" w:rsidR="006C2142" w:rsidRPr="007527A0" w:rsidRDefault="006C2142" w:rsidP="00CC5DAD">
            <w:pPr>
              <w:autoSpaceDE w:val="0"/>
              <w:autoSpaceDN w:val="0"/>
              <w:adjustRightInd w:val="0"/>
              <w:spacing w:before="0" w:after="0"/>
              <w:ind w:left="57" w:right="57"/>
              <w:jc w:val="left"/>
              <w:rPr>
                <w:rFonts w:cs="Arial"/>
                <w:b/>
                <w:bCs/>
                <w:sz w:val="20"/>
                <w:szCs w:val="20"/>
                <w:lang w:val="sr-Latn-RS"/>
              </w:rPr>
            </w:pPr>
            <w:r w:rsidRPr="007527A0">
              <w:rPr>
                <w:rFonts w:cs="Arial"/>
                <w:b/>
                <w:bCs/>
                <w:sz w:val="20"/>
                <w:szCs w:val="20"/>
                <w:lang w:val="sr-Latn-RS"/>
              </w:rPr>
              <w:t>Observed</w:t>
            </w:r>
          </w:p>
        </w:tc>
        <w:tc>
          <w:tcPr>
            <w:tcW w:w="3000" w:type="pct"/>
            <w:gridSpan w:val="3"/>
            <w:tcBorders>
              <w:top w:val="single" w:sz="4" w:space="0" w:color="auto"/>
              <w:left w:val="nil"/>
              <w:right w:val="nil"/>
            </w:tcBorders>
            <w:shd w:val="clear" w:color="auto" w:fill="auto"/>
            <w:vAlign w:val="center"/>
          </w:tcPr>
          <w:p w14:paraId="6A04D518" w14:textId="77777777" w:rsidR="006C2142" w:rsidRPr="007527A0" w:rsidRDefault="006C2142" w:rsidP="00CC5DAD">
            <w:pPr>
              <w:autoSpaceDE w:val="0"/>
              <w:autoSpaceDN w:val="0"/>
              <w:adjustRightInd w:val="0"/>
              <w:spacing w:before="0" w:after="0"/>
              <w:ind w:left="57" w:right="57"/>
              <w:jc w:val="center"/>
              <w:rPr>
                <w:rFonts w:cs="Arial"/>
                <w:b/>
                <w:bCs/>
                <w:sz w:val="20"/>
                <w:szCs w:val="20"/>
                <w:lang w:val="sr-Latn-RS"/>
              </w:rPr>
            </w:pPr>
            <w:r w:rsidRPr="007527A0">
              <w:rPr>
                <w:rFonts w:cs="Arial"/>
                <w:b/>
                <w:bCs/>
                <w:sz w:val="20"/>
                <w:szCs w:val="20"/>
                <w:lang w:val="sr-Latn-RS"/>
              </w:rPr>
              <w:t>Predicted</w:t>
            </w:r>
          </w:p>
        </w:tc>
      </w:tr>
      <w:tr w:rsidR="006C2142" w:rsidRPr="002D3430" w14:paraId="70AC70C1" w14:textId="77777777" w:rsidTr="00CC5DAD">
        <w:trPr>
          <w:cantSplit/>
        </w:trPr>
        <w:tc>
          <w:tcPr>
            <w:tcW w:w="756" w:type="pct"/>
            <w:vMerge/>
            <w:tcBorders>
              <w:top w:val="nil"/>
              <w:left w:val="nil"/>
              <w:bottom w:val="single" w:sz="4" w:space="0" w:color="auto"/>
              <w:right w:val="nil"/>
            </w:tcBorders>
            <w:shd w:val="clear" w:color="auto" w:fill="auto"/>
            <w:vAlign w:val="center"/>
          </w:tcPr>
          <w:p w14:paraId="20DC4405" w14:textId="77777777" w:rsidR="006C2142" w:rsidRPr="007527A0" w:rsidRDefault="006C2142" w:rsidP="00CC5DAD">
            <w:pPr>
              <w:autoSpaceDE w:val="0"/>
              <w:autoSpaceDN w:val="0"/>
              <w:adjustRightInd w:val="0"/>
              <w:spacing w:before="0" w:after="0"/>
              <w:ind w:left="57" w:right="57"/>
              <w:jc w:val="left"/>
              <w:rPr>
                <w:rFonts w:cs="Arial"/>
                <w:b/>
                <w:bCs/>
                <w:sz w:val="20"/>
                <w:szCs w:val="20"/>
                <w:lang w:val="sr-Latn-RS"/>
              </w:rPr>
            </w:pPr>
          </w:p>
        </w:tc>
        <w:tc>
          <w:tcPr>
            <w:tcW w:w="1244" w:type="pct"/>
            <w:vMerge/>
            <w:tcBorders>
              <w:top w:val="nil"/>
              <w:left w:val="nil"/>
              <w:bottom w:val="single" w:sz="4" w:space="0" w:color="auto"/>
              <w:right w:val="nil"/>
            </w:tcBorders>
            <w:shd w:val="clear" w:color="auto" w:fill="auto"/>
            <w:vAlign w:val="center"/>
          </w:tcPr>
          <w:p w14:paraId="3D2A40D8" w14:textId="77777777" w:rsidR="006C2142" w:rsidRPr="007527A0" w:rsidRDefault="006C2142" w:rsidP="00CC5DAD">
            <w:pPr>
              <w:autoSpaceDE w:val="0"/>
              <w:autoSpaceDN w:val="0"/>
              <w:adjustRightInd w:val="0"/>
              <w:spacing w:before="0" w:after="0"/>
              <w:ind w:left="57" w:right="57"/>
              <w:jc w:val="left"/>
              <w:rPr>
                <w:rFonts w:cs="Arial"/>
                <w:b/>
                <w:bCs/>
                <w:sz w:val="20"/>
                <w:szCs w:val="20"/>
                <w:lang w:val="sr-Latn-RS"/>
              </w:rPr>
            </w:pPr>
          </w:p>
        </w:tc>
        <w:tc>
          <w:tcPr>
            <w:tcW w:w="803" w:type="pct"/>
            <w:tcBorders>
              <w:top w:val="nil"/>
              <w:left w:val="nil"/>
              <w:bottom w:val="single" w:sz="4" w:space="0" w:color="auto"/>
            </w:tcBorders>
            <w:shd w:val="clear" w:color="auto" w:fill="auto"/>
            <w:vAlign w:val="center"/>
          </w:tcPr>
          <w:p w14:paraId="19066DD2" w14:textId="77777777" w:rsidR="006C2142" w:rsidRPr="007527A0" w:rsidRDefault="006C2142" w:rsidP="00CC5DAD">
            <w:pPr>
              <w:autoSpaceDE w:val="0"/>
              <w:autoSpaceDN w:val="0"/>
              <w:adjustRightInd w:val="0"/>
              <w:spacing w:before="0" w:after="0"/>
              <w:ind w:left="57" w:right="57"/>
              <w:jc w:val="center"/>
              <w:rPr>
                <w:rFonts w:cs="Arial"/>
                <w:b/>
                <w:bCs/>
                <w:sz w:val="20"/>
                <w:szCs w:val="20"/>
                <w:lang w:val="sr-Latn-RS"/>
              </w:rPr>
            </w:pPr>
            <w:r w:rsidRPr="007527A0">
              <w:rPr>
                <w:rFonts w:cs="Arial"/>
                <w:b/>
                <w:bCs/>
                <w:sz w:val="20"/>
                <w:szCs w:val="20"/>
                <w:lang w:val="sr-Latn-RS"/>
              </w:rPr>
              <w:t>None</w:t>
            </w:r>
          </w:p>
        </w:tc>
        <w:tc>
          <w:tcPr>
            <w:tcW w:w="941" w:type="pct"/>
            <w:tcBorders>
              <w:top w:val="nil"/>
              <w:bottom w:val="single" w:sz="4" w:space="0" w:color="auto"/>
            </w:tcBorders>
            <w:shd w:val="clear" w:color="auto" w:fill="auto"/>
            <w:vAlign w:val="center"/>
          </w:tcPr>
          <w:p w14:paraId="26AFD27B" w14:textId="77777777" w:rsidR="006C2142" w:rsidRPr="007527A0" w:rsidRDefault="006C2142" w:rsidP="00CC5DAD">
            <w:pPr>
              <w:autoSpaceDE w:val="0"/>
              <w:autoSpaceDN w:val="0"/>
              <w:adjustRightInd w:val="0"/>
              <w:spacing w:before="0" w:after="0"/>
              <w:ind w:left="57" w:right="57"/>
              <w:jc w:val="center"/>
              <w:rPr>
                <w:rFonts w:cs="Arial"/>
                <w:b/>
                <w:bCs/>
                <w:sz w:val="20"/>
                <w:szCs w:val="20"/>
                <w:lang w:val="sr-Latn-RS"/>
              </w:rPr>
            </w:pPr>
            <w:r w:rsidRPr="00CF74D8">
              <w:rPr>
                <w:rFonts w:cs="Arial"/>
                <w:b/>
                <w:bCs/>
                <w:sz w:val="20"/>
                <w:szCs w:val="20"/>
                <w:lang w:val="sr-Latn-RS"/>
              </w:rPr>
              <w:t>Quasi-fault</w:t>
            </w:r>
          </w:p>
        </w:tc>
        <w:tc>
          <w:tcPr>
            <w:tcW w:w="1256" w:type="pct"/>
            <w:tcBorders>
              <w:top w:val="nil"/>
              <w:bottom w:val="single" w:sz="4" w:space="0" w:color="auto"/>
              <w:right w:val="nil"/>
            </w:tcBorders>
            <w:shd w:val="clear" w:color="auto" w:fill="auto"/>
            <w:vAlign w:val="center"/>
          </w:tcPr>
          <w:p w14:paraId="422A6D35" w14:textId="77777777" w:rsidR="006C2142" w:rsidRPr="007527A0" w:rsidRDefault="006C2142" w:rsidP="00CC5DAD">
            <w:pPr>
              <w:autoSpaceDE w:val="0"/>
              <w:autoSpaceDN w:val="0"/>
              <w:adjustRightInd w:val="0"/>
              <w:spacing w:before="0" w:after="0"/>
              <w:ind w:left="57" w:right="57"/>
              <w:jc w:val="center"/>
              <w:rPr>
                <w:rFonts w:cs="Arial"/>
                <w:b/>
                <w:bCs/>
                <w:sz w:val="20"/>
                <w:szCs w:val="20"/>
                <w:lang w:val="sr-Latn-RS"/>
              </w:rPr>
            </w:pPr>
            <w:r w:rsidRPr="007527A0">
              <w:rPr>
                <w:rFonts w:cs="Arial"/>
                <w:b/>
                <w:bCs/>
                <w:sz w:val="20"/>
                <w:szCs w:val="20"/>
                <w:lang w:val="sr-Latn-RS"/>
              </w:rPr>
              <w:t>Percent Correct</w:t>
            </w:r>
          </w:p>
        </w:tc>
      </w:tr>
      <w:tr w:rsidR="006C2142" w:rsidRPr="002D3430" w14:paraId="25C80010" w14:textId="77777777" w:rsidTr="00CC5DAD">
        <w:trPr>
          <w:cantSplit/>
        </w:trPr>
        <w:tc>
          <w:tcPr>
            <w:tcW w:w="756" w:type="pct"/>
            <w:vMerge w:val="restart"/>
            <w:tcBorders>
              <w:top w:val="single" w:sz="4" w:space="0" w:color="auto"/>
              <w:left w:val="nil"/>
            </w:tcBorders>
            <w:shd w:val="clear" w:color="auto" w:fill="auto"/>
            <w:vAlign w:val="center"/>
          </w:tcPr>
          <w:p w14:paraId="226E8889" w14:textId="77777777" w:rsidR="006C2142" w:rsidRPr="007527A0" w:rsidRDefault="006C2142" w:rsidP="00CC5DAD">
            <w:pPr>
              <w:autoSpaceDE w:val="0"/>
              <w:autoSpaceDN w:val="0"/>
              <w:adjustRightInd w:val="0"/>
              <w:spacing w:before="0" w:after="0"/>
              <w:ind w:left="57" w:right="57"/>
              <w:jc w:val="left"/>
              <w:rPr>
                <w:rFonts w:cs="Arial"/>
                <w:sz w:val="20"/>
                <w:szCs w:val="20"/>
                <w:lang w:val="sr-Latn-RS"/>
              </w:rPr>
            </w:pPr>
            <w:r w:rsidRPr="007527A0">
              <w:rPr>
                <w:rFonts w:cs="Arial"/>
                <w:sz w:val="20"/>
                <w:szCs w:val="20"/>
                <w:lang w:val="sr-Latn-RS"/>
              </w:rPr>
              <w:t>Training</w:t>
            </w:r>
          </w:p>
        </w:tc>
        <w:tc>
          <w:tcPr>
            <w:tcW w:w="1244" w:type="pct"/>
            <w:tcBorders>
              <w:top w:val="single" w:sz="4" w:space="0" w:color="auto"/>
            </w:tcBorders>
            <w:shd w:val="clear" w:color="auto" w:fill="auto"/>
            <w:vAlign w:val="center"/>
          </w:tcPr>
          <w:p w14:paraId="0578C352" w14:textId="77777777" w:rsidR="006C2142" w:rsidRPr="007527A0" w:rsidRDefault="006C2142" w:rsidP="00CC5DAD">
            <w:pPr>
              <w:autoSpaceDE w:val="0"/>
              <w:autoSpaceDN w:val="0"/>
              <w:adjustRightInd w:val="0"/>
              <w:spacing w:before="0" w:after="0"/>
              <w:ind w:left="57" w:right="57"/>
              <w:jc w:val="left"/>
              <w:rPr>
                <w:rFonts w:cs="Arial"/>
                <w:sz w:val="20"/>
                <w:szCs w:val="20"/>
                <w:lang w:val="sr-Latn-RS"/>
              </w:rPr>
            </w:pPr>
            <w:r w:rsidRPr="007527A0">
              <w:rPr>
                <w:rFonts w:cs="Arial"/>
                <w:sz w:val="20"/>
                <w:szCs w:val="20"/>
                <w:lang w:val="sr-Latn-RS"/>
              </w:rPr>
              <w:t>None</w:t>
            </w:r>
          </w:p>
        </w:tc>
        <w:tc>
          <w:tcPr>
            <w:tcW w:w="803" w:type="pct"/>
            <w:tcBorders>
              <w:top w:val="single" w:sz="4" w:space="0" w:color="auto"/>
            </w:tcBorders>
            <w:shd w:val="clear" w:color="auto" w:fill="auto"/>
          </w:tcPr>
          <w:p w14:paraId="04E9C236" w14:textId="77777777" w:rsidR="006C2142" w:rsidRPr="002D7E41" w:rsidRDefault="006C2142" w:rsidP="00CC5DAD">
            <w:pPr>
              <w:autoSpaceDE w:val="0"/>
              <w:autoSpaceDN w:val="0"/>
              <w:adjustRightInd w:val="0"/>
              <w:spacing w:before="0" w:after="0"/>
              <w:ind w:left="57" w:right="57"/>
              <w:jc w:val="right"/>
              <w:rPr>
                <w:rFonts w:cs="Arial"/>
                <w:sz w:val="20"/>
                <w:szCs w:val="20"/>
                <w:lang w:val="sr-Latn-RS"/>
              </w:rPr>
            </w:pPr>
            <w:r>
              <w:rPr>
                <w:sz w:val="20"/>
                <w:szCs w:val="20"/>
              </w:rPr>
              <w:t>229</w:t>
            </w:r>
          </w:p>
        </w:tc>
        <w:tc>
          <w:tcPr>
            <w:tcW w:w="941" w:type="pct"/>
            <w:tcBorders>
              <w:top w:val="single" w:sz="4" w:space="0" w:color="auto"/>
            </w:tcBorders>
            <w:shd w:val="clear" w:color="auto" w:fill="auto"/>
          </w:tcPr>
          <w:p w14:paraId="16CC458C" w14:textId="77777777" w:rsidR="006C2142" w:rsidRPr="002D7E41" w:rsidRDefault="006C2142" w:rsidP="00CC5DAD">
            <w:pPr>
              <w:autoSpaceDE w:val="0"/>
              <w:autoSpaceDN w:val="0"/>
              <w:adjustRightInd w:val="0"/>
              <w:spacing w:before="0" w:after="0"/>
              <w:ind w:left="57" w:right="57"/>
              <w:jc w:val="right"/>
              <w:rPr>
                <w:rFonts w:cs="Arial"/>
                <w:sz w:val="20"/>
                <w:szCs w:val="20"/>
                <w:lang w:val="sr-Latn-RS"/>
              </w:rPr>
            </w:pPr>
            <w:r>
              <w:rPr>
                <w:sz w:val="20"/>
                <w:szCs w:val="20"/>
              </w:rPr>
              <w:t>128</w:t>
            </w:r>
          </w:p>
        </w:tc>
        <w:tc>
          <w:tcPr>
            <w:tcW w:w="1256" w:type="pct"/>
            <w:tcBorders>
              <w:top w:val="single" w:sz="4" w:space="0" w:color="auto"/>
              <w:right w:val="nil"/>
            </w:tcBorders>
            <w:shd w:val="clear" w:color="auto" w:fill="auto"/>
          </w:tcPr>
          <w:p w14:paraId="3594BA9E" w14:textId="77777777" w:rsidR="006C2142" w:rsidRPr="002D7E41" w:rsidRDefault="006C2142" w:rsidP="00CC5DAD">
            <w:pPr>
              <w:autoSpaceDE w:val="0"/>
              <w:autoSpaceDN w:val="0"/>
              <w:adjustRightInd w:val="0"/>
              <w:spacing w:before="0" w:after="0"/>
              <w:ind w:left="57" w:right="57"/>
              <w:jc w:val="right"/>
              <w:rPr>
                <w:rFonts w:cs="Arial"/>
                <w:sz w:val="20"/>
                <w:szCs w:val="20"/>
                <w:lang w:val="sr-Latn-RS"/>
              </w:rPr>
            </w:pPr>
            <w:r>
              <w:rPr>
                <w:sz w:val="20"/>
                <w:szCs w:val="20"/>
              </w:rPr>
              <w:t>64.1%</w:t>
            </w:r>
          </w:p>
        </w:tc>
      </w:tr>
      <w:tr w:rsidR="006C2142" w:rsidRPr="002D3430" w14:paraId="1E53DB4F" w14:textId="77777777" w:rsidTr="00CC5DAD">
        <w:trPr>
          <w:cantSplit/>
        </w:trPr>
        <w:tc>
          <w:tcPr>
            <w:tcW w:w="756" w:type="pct"/>
            <w:vMerge/>
            <w:tcBorders>
              <w:left w:val="nil"/>
            </w:tcBorders>
            <w:shd w:val="clear" w:color="auto" w:fill="auto"/>
            <w:vAlign w:val="center"/>
          </w:tcPr>
          <w:p w14:paraId="04B7364A" w14:textId="77777777" w:rsidR="006C2142" w:rsidRPr="007527A0" w:rsidRDefault="006C2142" w:rsidP="00CC5DAD">
            <w:pPr>
              <w:autoSpaceDE w:val="0"/>
              <w:autoSpaceDN w:val="0"/>
              <w:adjustRightInd w:val="0"/>
              <w:spacing w:before="0" w:after="0"/>
              <w:ind w:left="57" w:right="57"/>
              <w:jc w:val="left"/>
              <w:rPr>
                <w:rFonts w:cs="Arial"/>
                <w:sz w:val="20"/>
                <w:szCs w:val="20"/>
                <w:lang w:val="sr-Latn-RS"/>
              </w:rPr>
            </w:pPr>
          </w:p>
        </w:tc>
        <w:tc>
          <w:tcPr>
            <w:tcW w:w="1244" w:type="pct"/>
            <w:shd w:val="clear" w:color="auto" w:fill="auto"/>
            <w:vAlign w:val="center"/>
          </w:tcPr>
          <w:p w14:paraId="03AA6B82" w14:textId="77777777" w:rsidR="006C2142" w:rsidRPr="007527A0" w:rsidRDefault="006C2142" w:rsidP="00CC5DAD">
            <w:pPr>
              <w:autoSpaceDE w:val="0"/>
              <w:autoSpaceDN w:val="0"/>
              <w:adjustRightInd w:val="0"/>
              <w:spacing w:before="0" w:after="0"/>
              <w:ind w:left="57" w:right="57"/>
              <w:jc w:val="left"/>
              <w:rPr>
                <w:rFonts w:cs="Arial"/>
                <w:sz w:val="20"/>
                <w:szCs w:val="20"/>
                <w:lang w:val="sr-Latn-RS"/>
              </w:rPr>
            </w:pPr>
            <w:r>
              <w:rPr>
                <w:rFonts w:cs="Arial"/>
                <w:sz w:val="20"/>
                <w:szCs w:val="20"/>
                <w:lang w:val="sr-Latn-RS"/>
              </w:rPr>
              <w:t>Quasi-fault</w:t>
            </w:r>
          </w:p>
        </w:tc>
        <w:tc>
          <w:tcPr>
            <w:tcW w:w="803" w:type="pct"/>
            <w:shd w:val="clear" w:color="auto" w:fill="auto"/>
          </w:tcPr>
          <w:p w14:paraId="3BEB1DAA" w14:textId="77777777" w:rsidR="006C2142" w:rsidRPr="002D7E41" w:rsidRDefault="006C2142" w:rsidP="00CC5DAD">
            <w:pPr>
              <w:autoSpaceDE w:val="0"/>
              <w:autoSpaceDN w:val="0"/>
              <w:adjustRightInd w:val="0"/>
              <w:spacing w:before="0" w:after="0"/>
              <w:ind w:left="57" w:right="57"/>
              <w:jc w:val="right"/>
              <w:rPr>
                <w:rFonts w:cs="Arial"/>
                <w:sz w:val="20"/>
                <w:szCs w:val="20"/>
                <w:lang w:val="sr-Latn-RS"/>
              </w:rPr>
            </w:pPr>
            <w:r>
              <w:rPr>
                <w:sz w:val="20"/>
                <w:szCs w:val="20"/>
              </w:rPr>
              <w:t>26</w:t>
            </w:r>
          </w:p>
        </w:tc>
        <w:tc>
          <w:tcPr>
            <w:tcW w:w="941" w:type="pct"/>
            <w:shd w:val="clear" w:color="auto" w:fill="auto"/>
          </w:tcPr>
          <w:p w14:paraId="45DDC884" w14:textId="77777777" w:rsidR="006C2142" w:rsidRPr="002D7E41" w:rsidRDefault="006C2142" w:rsidP="00CC5DAD">
            <w:pPr>
              <w:autoSpaceDE w:val="0"/>
              <w:autoSpaceDN w:val="0"/>
              <w:adjustRightInd w:val="0"/>
              <w:spacing w:before="0" w:after="0"/>
              <w:ind w:left="57" w:right="57"/>
              <w:jc w:val="right"/>
              <w:rPr>
                <w:rFonts w:cs="Arial"/>
                <w:sz w:val="20"/>
                <w:szCs w:val="20"/>
                <w:lang w:val="sr-Latn-RS"/>
              </w:rPr>
            </w:pPr>
            <w:r>
              <w:rPr>
                <w:sz w:val="20"/>
                <w:szCs w:val="20"/>
              </w:rPr>
              <w:t>303</w:t>
            </w:r>
          </w:p>
        </w:tc>
        <w:tc>
          <w:tcPr>
            <w:tcW w:w="1256" w:type="pct"/>
            <w:tcBorders>
              <w:right w:val="nil"/>
            </w:tcBorders>
            <w:shd w:val="clear" w:color="auto" w:fill="auto"/>
          </w:tcPr>
          <w:p w14:paraId="68624DE9" w14:textId="77777777" w:rsidR="006C2142" w:rsidRPr="002D7E41" w:rsidRDefault="006C2142" w:rsidP="00CC5DAD">
            <w:pPr>
              <w:autoSpaceDE w:val="0"/>
              <w:autoSpaceDN w:val="0"/>
              <w:adjustRightInd w:val="0"/>
              <w:spacing w:before="0" w:after="0"/>
              <w:ind w:left="57" w:right="57"/>
              <w:jc w:val="right"/>
              <w:rPr>
                <w:rFonts w:cs="Arial"/>
                <w:sz w:val="20"/>
                <w:szCs w:val="20"/>
                <w:lang w:val="sr-Latn-RS"/>
              </w:rPr>
            </w:pPr>
            <w:r>
              <w:rPr>
                <w:sz w:val="20"/>
                <w:szCs w:val="20"/>
              </w:rPr>
              <w:t>92.1%</w:t>
            </w:r>
          </w:p>
        </w:tc>
      </w:tr>
      <w:tr w:rsidR="006C2142" w:rsidRPr="002D3430" w14:paraId="47A6E6C6" w14:textId="77777777" w:rsidTr="00CC5DAD">
        <w:trPr>
          <w:cantSplit/>
        </w:trPr>
        <w:tc>
          <w:tcPr>
            <w:tcW w:w="756" w:type="pct"/>
            <w:vMerge/>
            <w:tcBorders>
              <w:left w:val="nil"/>
              <w:bottom w:val="nil"/>
            </w:tcBorders>
            <w:shd w:val="clear" w:color="auto" w:fill="auto"/>
            <w:vAlign w:val="center"/>
          </w:tcPr>
          <w:p w14:paraId="12111C40" w14:textId="77777777" w:rsidR="006C2142" w:rsidRPr="007527A0" w:rsidRDefault="006C2142" w:rsidP="00CC5DAD">
            <w:pPr>
              <w:autoSpaceDE w:val="0"/>
              <w:autoSpaceDN w:val="0"/>
              <w:adjustRightInd w:val="0"/>
              <w:spacing w:before="0" w:after="0"/>
              <w:ind w:left="57" w:right="57"/>
              <w:jc w:val="left"/>
              <w:rPr>
                <w:rFonts w:cs="Arial"/>
                <w:sz w:val="20"/>
                <w:szCs w:val="20"/>
                <w:lang w:val="sr-Latn-RS"/>
              </w:rPr>
            </w:pPr>
          </w:p>
        </w:tc>
        <w:tc>
          <w:tcPr>
            <w:tcW w:w="1244" w:type="pct"/>
            <w:tcBorders>
              <w:bottom w:val="nil"/>
            </w:tcBorders>
            <w:shd w:val="clear" w:color="auto" w:fill="auto"/>
            <w:vAlign w:val="center"/>
          </w:tcPr>
          <w:p w14:paraId="35757FB8" w14:textId="77777777" w:rsidR="006C2142" w:rsidRPr="007527A0" w:rsidRDefault="006C2142" w:rsidP="00CC5DAD">
            <w:pPr>
              <w:autoSpaceDE w:val="0"/>
              <w:autoSpaceDN w:val="0"/>
              <w:adjustRightInd w:val="0"/>
              <w:spacing w:before="0" w:after="0"/>
              <w:ind w:left="57" w:right="57"/>
              <w:jc w:val="left"/>
              <w:rPr>
                <w:rFonts w:cs="Arial"/>
                <w:sz w:val="20"/>
                <w:szCs w:val="20"/>
                <w:lang w:val="sr-Latn-RS"/>
              </w:rPr>
            </w:pPr>
            <w:r w:rsidRPr="007527A0">
              <w:rPr>
                <w:rFonts w:cs="Arial"/>
                <w:sz w:val="20"/>
                <w:szCs w:val="20"/>
                <w:lang w:val="sr-Latn-RS"/>
              </w:rPr>
              <w:t>Overall Percent</w:t>
            </w:r>
          </w:p>
        </w:tc>
        <w:tc>
          <w:tcPr>
            <w:tcW w:w="803" w:type="pct"/>
            <w:tcBorders>
              <w:bottom w:val="nil"/>
            </w:tcBorders>
            <w:shd w:val="clear" w:color="auto" w:fill="auto"/>
          </w:tcPr>
          <w:p w14:paraId="77B17FB8" w14:textId="77777777" w:rsidR="006C2142" w:rsidRPr="002D7E41" w:rsidRDefault="006C2142" w:rsidP="00CC5DAD">
            <w:pPr>
              <w:autoSpaceDE w:val="0"/>
              <w:autoSpaceDN w:val="0"/>
              <w:adjustRightInd w:val="0"/>
              <w:spacing w:before="0" w:after="0"/>
              <w:ind w:left="57" w:right="57"/>
              <w:jc w:val="right"/>
              <w:rPr>
                <w:rFonts w:cs="Arial"/>
                <w:sz w:val="20"/>
                <w:szCs w:val="20"/>
                <w:lang w:val="sr-Latn-RS"/>
              </w:rPr>
            </w:pPr>
            <w:r>
              <w:rPr>
                <w:sz w:val="20"/>
                <w:szCs w:val="20"/>
              </w:rPr>
              <w:t>37.17%</w:t>
            </w:r>
          </w:p>
        </w:tc>
        <w:tc>
          <w:tcPr>
            <w:tcW w:w="941" w:type="pct"/>
            <w:tcBorders>
              <w:bottom w:val="nil"/>
            </w:tcBorders>
            <w:shd w:val="clear" w:color="auto" w:fill="auto"/>
          </w:tcPr>
          <w:p w14:paraId="6F7DB9CA" w14:textId="77777777" w:rsidR="006C2142" w:rsidRPr="002D7E41" w:rsidRDefault="006C2142" w:rsidP="00CC5DAD">
            <w:pPr>
              <w:autoSpaceDE w:val="0"/>
              <w:autoSpaceDN w:val="0"/>
              <w:adjustRightInd w:val="0"/>
              <w:spacing w:before="0" w:after="0"/>
              <w:ind w:left="57" w:right="57"/>
              <w:jc w:val="right"/>
              <w:rPr>
                <w:rFonts w:cs="Arial"/>
                <w:sz w:val="20"/>
                <w:szCs w:val="20"/>
                <w:lang w:val="sr-Latn-RS"/>
              </w:rPr>
            </w:pPr>
            <w:r>
              <w:rPr>
                <w:sz w:val="20"/>
                <w:szCs w:val="20"/>
              </w:rPr>
              <w:t>62.83%</w:t>
            </w:r>
          </w:p>
        </w:tc>
        <w:tc>
          <w:tcPr>
            <w:tcW w:w="1256" w:type="pct"/>
            <w:tcBorders>
              <w:bottom w:val="nil"/>
              <w:right w:val="nil"/>
            </w:tcBorders>
            <w:shd w:val="clear" w:color="auto" w:fill="auto"/>
          </w:tcPr>
          <w:p w14:paraId="454D75A4" w14:textId="77777777" w:rsidR="006C2142" w:rsidRPr="002D7E41" w:rsidRDefault="006C2142" w:rsidP="00CC5DAD">
            <w:pPr>
              <w:autoSpaceDE w:val="0"/>
              <w:autoSpaceDN w:val="0"/>
              <w:adjustRightInd w:val="0"/>
              <w:spacing w:before="0" w:after="0"/>
              <w:ind w:left="57" w:right="57"/>
              <w:jc w:val="right"/>
              <w:rPr>
                <w:rFonts w:cs="Arial"/>
                <w:b/>
                <w:bCs/>
                <w:sz w:val="20"/>
                <w:szCs w:val="20"/>
                <w:lang w:val="sr-Latn-RS"/>
              </w:rPr>
            </w:pPr>
            <w:r>
              <w:rPr>
                <w:b/>
                <w:bCs/>
                <w:sz w:val="20"/>
                <w:szCs w:val="20"/>
              </w:rPr>
              <w:t>77.5%</w:t>
            </w:r>
          </w:p>
        </w:tc>
      </w:tr>
      <w:tr w:rsidR="006C2142" w:rsidRPr="002D3430" w14:paraId="6429B0F0" w14:textId="77777777" w:rsidTr="00CC5DAD">
        <w:trPr>
          <w:cantSplit/>
        </w:trPr>
        <w:tc>
          <w:tcPr>
            <w:tcW w:w="756" w:type="pct"/>
            <w:vMerge w:val="restart"/>
            <w:tcBorders>
              <w:left w:val="nil"/>
            </w:tcBorders>
            <w:shd w:val="clear" w:color="auto" w:fill="auto"/>
            <w:vAlign w:val="center"/>
          </w:tcPr>
          <w:p w14:paraId="68F01DBB" w14:textId="77777777" w:rsidR="006C2142" w:rsidRPr="007527A0" w:rsidRDefault="006C2142" w:rsidP="00CC5DAD">
            <w:pPr>
              <w:autoSpaceDE w:val="0"/>
              <w:autoSpaceDN w:val="0"/>
              <w:adjustRightInd w:val="0"/>
              <w:spacing w:before="0" w:after="0"/>
              <w:ind w:left="57" w:right="57"/>
              <w:jc w:val="left"/>
              <w:rPr>
                <w:rFonts w:cs="Arial"/>
                <w:sz w:val="20"/>
                <w:szCs w:val="20"/>
                <w:lang w:val="sr-Latn-RS"/>
              </w:rPr>
            </w:pPr>
            <w:r w:rsidRPr="007527A0">
              <w:rPr>
                <w:rFonts w:cs="Arial"/>
                <w:sz w:val="20"/>
                <w:szCs w:val="20"/>
                <w:lang w:val="sr-Latn-RS"/>
              </w:rPr>
              <w:t>Test</w:t>
            </w:r>
          </w:p>
        </w:tc>
        <w:tc>
          <w:tcPr>
            <w:tcW w:w="1244" w:type="pct"/>
            <w:shd w:val="clear" w:color="auto" w:fill="auto"/>
            <w:vAlign w:val="center"/>
          </w:tcPr>
          <w:p w14:paraId="5EB18D09" w14:textId="77777777" w:rsidR="006C2142" w:rsidRPr="007527A0" w:rsidRDefault="006C2142" w:rsidP="00CC5DAD">
            <w:pPr>
              <w:autoSpaceDE w:val="0"/>
              <w:autoSpaceDN w:val="0"/>
              <w:adjustRightInd w:val="0"/>
              <w:spacing w:before="0" w:after="0"/>
              <w:ind w:left="57" w:right="57"/>
              <w:jc w:val="left"/>
              <w:rPr>
                <w:rFonts w:cs="Arial"/>
                <w:sz w:val="20"/>
                <w:szCs w:val="20"/>
                <w:lang w:val="sr-Latn-RS"/>
              </w:rPr>
            </w:pPr>
            <w:r w:rsidRPr="007527A0">
              <w:rPr>
                <w:rFonts w:cs="Arial"/>
                <w:sz w:val="20"/>
                <w:szCs w:val="20"/>
                <w:lang w:val="sr-Latn-RS"/>
              </w:rPr>
              <w:t>None</w:t>
            </w:r>
          </w:p>
        </w:tc>
        <w:tc>
          <w:tcPr>
            <w:tcW w:w="803" w:type="pct"/>
            <w:shd w:val="clear" w:color="auto" w:fill="auto"/>
          </w:tcPr>
          <w:p w14:paraId="5C7C8702" w14:textId="77777777" w:rsidR="006C2142" w:rsidRPr="002D7E41" w:rsidRDefault="006C2142" w:rsidP="00CC5DAD">
            <w:pPr>
              <w:autoSpaceDE w:val="0"/>
              <w:autoSpaceDN w:val="0"/>
              <w:adjustRightInd w:val="0"/>
              <w:spacing w:before="0" w:after="0"/>
              <w:ind w:left="57" w:right="57"/>
              <w:jc w:val="right"/>
              <w:rPr>
                <w:rFonts w:cs="Arial"/>
                <w:sz w:val="20"/>
                <w:szCs w:val="20"/>
                <w:lang w:val="sr-Latn-RS"/>
              </w:rPr>
            </w:pPr>
            <w:r>
              <w:rPr>
                <w:sz w:val="20"/>
                <w:szCs w:val="20"/>
              </w:rPr>
              <w:t>104</w:t>
            </w:r>
          </w:p>
        </w:tc>
        <w:tc>
          <w:tcPr>
            <w:tcW w:w="941" w:type="pct"/>
            <w:shd w:val="clear" w:color="auto" w:fill="auto"/>
          </w:tcPr>
          <w:p w14:paraId="3054316B" w14:textId="77777777" w:rsidR="006C2142" w:rsidRPr="002D7E41" w:rsidRDefault="006C2142" w:rsidP="00CC5DAD">
            <w:pPr>
              <w:autoSpaceDE w:val="0"/>
              <w:autoSpaceDN w:val="0"/>
              <w:adjustRightInd w:val="0"/>
              <w:spacing w:before="0" w:after="0"/>
              <w:ind w:left="57" w:right="57"/>
              <w:jc w:val="right"/>
              <w:rPr>
                <w:rFonts w:cs="Arial"/>
                <w:sz w:val="20"/>
                <w:szCs w:val="20"/>
                <w:lang w:val="sr-Latn-RS"/>
              </w:rPr>
            </w:pPr>
            <w:r>
              <w:rPr>
                <w:sz w:val="20"/>
                <w:szCs w:val="20"/>
              </w:rPr>
              <w:t>55</w:t>
            </w:r>
          </w:p>
        </w:tc>
        <w:tc>
          <w:tcPr>
            <w:tcW w:w="1256" w:type="pct"/>
            <w:tcBorders>
              <w:right w:val="nil"/>
            </w:tcBorders>
            <w:shd w:val="clear" w:color="auto" w:fill="auto"/>
          </w:tcPr>
          <w:p w14:paraId="28F8999C" w14:textId="77777777" w:rsidR="006C2142" w:rsidRPr="002D7E41" w:rsidRDefault="006C2142" w:rsidP="00CC5DAD">
            <w:pPr>
              <w:autoSpaceDE w:val="0"/>
              <w:autoSpaceDN w:val="0"/>
              <w:adjustRightInd w:val="0"/>
              <w:spacing w:before="0" w:after="0"/>
              <w:ind w:left="57" w:right="57"/>
              <w:jc w:val="right"/>
              <w:rPr>
                <w:rFonts w:cs="Arial"/>
                <w:sz w:val="20"/>
                <w:szCs w:val="20"/>
                <w:lang w:val="sr-Latn-RS"/>
              </w:rPr>
            </w:pPr>
            <w:r>
              <w:rPr>
                <w:sz w:val="20"/>
                <w:szCs w:val="20"/>
              </w:rPr>
              <w:t>65.4%</w:t>
            </w:r>
          </w:p>
        </w:tc>
      </w:tr>
      <w:tr w:rsidR="006C2142" w:rsidRPr="002D3430" w14:paraId="767F7D04" w14:textId="77777777" w:rsidTr="00CC5DAD">
        <w:trPr>
          <w:cantSplit/>
        </w:trPr>
        <w:tc>
          <w:tcPr>
            <w:tcW w:w="756" w:type="pct"/>
            <w:vMerge/>
            <w:tcBorders>
              <w:left w:val="nil"/>
            </w:tcBorders>
            <w:shd w:val="clear" w:color="auto" w:fill="auto"/>
            <w:vAlign w:val="center"/>
          </w:tcPr>
          <w:p w14:paraId="2E75DB07" w14:textId="77777777" w:rsidR="006C2142" w:rsidRPr="007527A0" w:rsidRDefault="006C2142" w:rsidP="00CC5DAD">
            <w:pPr>
              <w:autoSpaceDE w:val="0"/>
              <w:autoSpaceDN w:val="0"/>
              <w:adjustRightInd w:val="0"/>
              <w:spacing w:before="0" w:after="0"/>
              <w:ind w:left="57" w:right="57"/>
              <w:jc w:val="left"/>
              <w:rPr>
                <w:rFonts w:cs="Arial"/>
                <w:sz w:val="20"/>
                <w:szCs w:val="20"/>
                <w:lang w:val="sr-Latn-RS"/>
              </w:rPr>
            </w:pPr>
          </w:p>
        </w:tc>
        <w:tc>
          <w:tcPr>
            <w:tcW w:w="1244" w:type="pct"/>
            <w:shd w:val="clear" w:color="auto" w:fill="auto"/>
            <w:vAlign w:val="center"/>
          </w:tcPr>
          <w:p w14:paraId="7A606E56" w14:textId="77777777" w:rsidR="006C2142" w:rsidRPr="007527A0" w:rsidRDefault="006C2142" w:rsidP="00CC5DAD">
            <w:pPr>
              <w:autoSpaceDE w:val="0"/>
              <w:autoSpaceDN w:val="0"/>
              <w:adjustRightInd w:val="0"/>
              <w:spacing w:before="0" w:after="0"/>
              <w:ind w:left="57" w:right="57"/>
              <w:jc w:val="left"/>
              <w:rPr>
                <w:rFonts w:cs="Arial"/>
                <w:sz w:val="20"/>
                <w:szCs w:val="20"/>
                <w:lang w:val="sr-Latn-RS"/>
              </w:rPr>
            </w:pPr>
            <w:r>
              <w:rPr>
                <w:rFonts w:cs="Arial"/>
                <w:sz w:val="20"/>
                <w:szCs w:val="20"/>
                <w:lang w:val="sr-Latn-RS"/>
              </w:rPr>
              <w:t>Quasi-fault</w:t>
            </w:r>
          </w:p>
        </w:tc>
        <w:tc>
          <w:tcPr>
            <w:tcW w:w="803" w:type="pct"/>
            <w:shd w:val="clear" w:color="auto" w:fill="auto"/>
          </w:tcPr>
          <w:p w14:paraId="6075CE6E" w14:textId="77777777" w:rsidR="006C2142" w:rsidRPr="002D7E41" w:rsidRDefault="006C2142" w:rsidP="00CC5DAD">
            <w:pPr>
              <w:autoSpaceDE w:val="0"/>
              <w:autoSpaceDN w:val="0"/>
              <w:adjustRightInd w:val="0"/>
              <w:spacing w:before="0" w:after="0"/>
              <w:ind w:left="57" w:right="57"/>
              <w:jc w:val="right"/>
              <w:rPr>
                <w:rFonts w:cs="Arial"/>
                <w:sz w:val="20"/>
                <w:szCs w:val="20"/>
                <w:lang w:val="sr-Latn-RS"/>
              </w:rPr>
            </w:pPr>
            <w:r>
              <w:rPr>
                <w:sz w:val="20"/>
                <w:szCs w:val="20"/>
              </w:rPr>
              <w:t>18</w:t>
            </w:r>
          </w:p>
        </w:tc>
        <w:tc>
          <w:tcPr>
            <w:tcW w:w="941" w:type="pct"/>
            <w:shd w:val="clear" w:color="auto" w:fill="auto"/>
          </w:tcPr>
          <w:p w14:paraId="227D2F19" w14:textId="77777777" w:rsidR="006C2142" w:rsidRPr="002D7E41" w:rsidRDefault="006C2142" w:rsidP="00CC5DAD">
            <w:pPr>
              <w:autoSpaceDE w:val="0"/>
              <w:autoSpaceDN w:val="0"/>
              <w:adjustRightInd w:val="0"/>
              <w:spacing w:before="0" w:after="0"/>
              <w:ind w:left="57" w:right="57"/>
              <w:jc w:val="right"/>
              <w:rPr>
                <w:rFonts w:cs="Arial"/>
                <w:sz w:val="20"/>
                <w:szCs w:val="20"/>
                <w:lang w:val="sr-Latn-RS"/>
              </w:rPr>
            </w:pPr>
            <w:r>
              <w:rPr>
                <w:sz w:val="20"/>
                <w:szCs w:val="20"/>
              </w:rPr>
              <w:t>117</w:t>
            </w:r>
          </w:p>
        </w:tc>
        <w:tc>
          <w:tcPr>
            <w:tcW w:w="1256" w:type="pct"/>
            <w:tcBorders>
              <w:right w:val="nil"/>
            </w:tcBorders>
            <w:shd w:val="clear" w:color="auto" w:fill="auto"/>
          </w:tcPr>
          <w:p w14:paraId="3784A374" w14:textId="77777777" w:rsidR="006C2142" w:rsidRPr="002D7E41" w:rsidRDefault="006C2142" w:rsidP="00CC5DAD">
            <w:pPr>
              <w:autoSpaceDE w:val="0"/>
              <w:autoSpaceDN w:val="0"/>
              <w:adjustRightInd w:val="0"/>
              <w:spacing w:before="0" w:after="0"/>
              <w:ind w:left="57" w:right="57"/>
              <w:jc w:val="right"/>
              <w:rPr>
                <w:rFonts w:cs="Arial"/>
                <w:sz w:val="20"/>
                <w:szCs w:val="20"/>
                <w:lang w:val="sr-Latn-RS"/>
              </w:rPr>
            </w:pPr>
            <w:r>
              <w:rPr>
                <w:sz w:val="20"/>
                <w:szCs w:val="20"/>
              </w:rPr>
              <w:t>86.7%</w:t>
            </w:r>
          </w:p>
        </w:tc>
      </w:tr>
      <w:tr w:rsidR="006C2142" w:rsidRPr="002D3430" w14:paraId="78F7A753" w14:textId="77777777" w:rsidTr="00CC5DAD">
        <w:trPr>
          <w:cantSplit/>
        </w:trPr>
        <w:tc>
          <w:tcPr>
            <w:tcW w:w="756" w:type="pct"/>
            <w:vMerge/>
            <w:tcBorders>
              <w:left w:val="nil"/>
              <w:bottom w:val="single" w:sz="4" w:space="0" w:color="auto"/>
            </w:tcBorders>
            <w:shd w:val="clear" w:color="auto" w:fill="auto"/>
            <w:vAlign w:val="center"/>
          </w:tcPr>
          <w:p w14:paraId="13EC0787" w14:textId="77777777" w:rsidR="006C2142" w:rsidRPr="007527A0" w:rsidRDefault="006C2142" w:rsidP="00CC5DAD">
            <w:pPr>
              <w:autoSpaceDE w:val="0"/>
              <w:autoSpaceDN w:val="0"/>
              <w:adjustRightInd w:val="0"/>
              <w:spacing w:before="0" w:after="0"/>
              <w:ind w:left="57" w:right="57"/>
              <w:jc w:val="left"/>
              <w:rPr>
                <w:rFonts w:cs="Arial"/>
                <w:sz w:val="20"/>
                <w:szCs w:val="20"/>
                <w:lang w:val="sr-Latn-RS"/>
              </w:rPr>
            </w:pPr>
          </w:p>
        </w:tc>
        <w:tc>
          <w:tcPr>
            <w:tcW w:w="1244" w:type="pct"/>
            <w:tcBorders>
              <w:bottom w:val="single" w:sz="4" w:space="0" w:color="auto"/>
            </w:tcBorders>
            <w:shd w:val="clear" w:color="auto" w:fill="auto"/>
            <w:vAlign w:val="center"/>
          </w:tcPr>
          <w:p w14:paraId="60E9904C" w14:textId="77777777" w:rsidR="006C2142" w:rsidRPr="007527A0" w:rsidRDefault="006C2142" w:rsidP="00CC5DAD">
            <w:pPr>
              <w:autoSpaceDE w:val="0"/>
              <w:autoSpaceDN w:val="0"/>
              <w:adjustRightInd w:val="0"/>
              <w:spacing w:before="0" w:after="0"/>
              <w:ind w:left="57" w:right="57"/>
              <w:jc w:val="left"/>
              <w:rPr>
                <w:rFonts w:cs="Arial"/>
                <w:sz w:val="20"/>
                <w:szCs w:val="20"/>
                <w:lang w:val="sr-Latn-RS"/>
              </w:rPr>
            </w:pPr>
            <w:r w:rsidRPr="007527A0">
              <w:rPr>
                <w:rFonts w:cs="Arial"/>
                <w:sz w:val="20"/>
                <w:szCs w:val="20"/>
                <w:lang w:val="sr-Latn-RS"/>
              </w:rPr>
              <w:t>Overall Percent</w:t>
            </w:r>
          </w:p>
        </w:tc>
        <w:tc>
          <w:tcPr>
            <w:tcW w:w="803" w:type="pct"/>
            <w:tcBorders>
              <w:bottom w:val="single" w:sz="4" w:space="0" w:color="auto"/>
            </w:tcBorders>
            <w:shd w:val="clear" w:color="auto" w:fill="auto"/>
          </w:tcPr>
          <w:p w14:paraId="7B518DAB" w14:textId="77777777" w:rsidR="006C2142" w:rsidRPr="002D7E41" w:rsidRDefault="006C2142" w:rsidP="00CC5DAD">
            <w:pPr>
              <w:autoSpaceDE w:val="0"/>
              <w:autoSpaceDN w:val="0"/>
              <w:adjustRightInd w:val="0"/>
              <w:spacing w:before="0" w:after="0"/>
              <w:ind w:left="57" w:right="57"/>
              <w:jc w:val="right"/>
              <w:rPr>
                <w:rFonts w:cs="Arial"/>
                <w:sz w:val="20"/>
                <w:szCs w:val="20"/>
                <w:lang w:val="sr-Latn-RS"/>
              </w:rPr>
            </w:pPr>
            <w:r w:rsidRPr="002D7E41">
              <w:rPr>
                <w:sz w:val="20"/>
                <w:szCs w:val="20"/>
              </w:rPr>
              <w:t>33.0%</w:t>
            </w:r>
          </w:p>
        </w:tc>
        <w:tc>
          <w:tcPr>
            <w:tcW w:w="941" w:type="pct"/>
            <w:tcBorders>
              <w:bottom w:val="single" w:sz="4" w:space="0" w:color="auto"/>
            </w:tcBorders>
            <w:shd w:val="clear" w:color="auto" w:fill="auto"/>
          </w:tcPr>
          <w:p w14:paraId="02B4E611" w14:textId="77777777" w:rsidR="006C2142" w:rsidRPr="002D7E41" w:rsidRDefault="006C2142" w:rsidP="00CC5DAD">
            <w:pPr>
              <w:autoSpaceDE w:val="0"/>
              <w:autoSpaceDN w:val="0"/>
              <w:adjustRightInd w:val="0"/>
              <w:spacing w:before="0" w:after="0"/>
              <w:ind w:left="57" w:right="57"/>
              <w:jc w:val="right"/>
              <w:rPr>
                <w:rFonts w:cs="Arial"/>
                <w:sz w:val="20"/>
                <w:szCs w:val="20"/>
                <w:lang w:val="sr-Latn-RS"/>
              </w:rPr>
            </w:pPr>
            <w:r w:rsidRPr="002D7E41">
              <w:rPr>
                <w:sz w:val="20"/>
                <w:szCs w:val="20"/>
              </w:rPr>
              <w:t>67.0%</w:t>
            </w:r>
          </w:p>
        </w:tc>
        <w:tc>
          <w:tcPr>
            <w:tcW w:w="1256" w:type="pct"/>
            <w:tcBorders>
              <w:bottom w:val="single" w:sz="4" w:space="0" w:color="auto"/>
              <w:right w:val="nil"/>
            </w:tcBorders>
            <w:shd w:val="clear" w:color="auto" w:fill="auto"/>
          </w:tcPr>
          <w:p w14:paraId="70EAC0E9" w14:textId="77777777" w:rsidR="006C2142" w:rsidRPr="002D7E41" w:rsidRDefault="006C2142" w:rsidP="00CC5DAD">
            <w:pPr>
              <w:autoSpaceDE w:val="0"/>
              <w:autoSpaceDN w:val="0"/>
              <w:adjustRightInd w:val="0"/>
              <w:spacing w:before="0" w:after="0"/>
              <w:ind w:left="57" w:right="57"/>
              <w:jc w:val="right"/>
              <w:rPr>
                <w:rFonts w:cs="Arial"/>
                <w:b/>
                <w:bCs/>
                <w:sz w:val="20"/>
                <w:szCs w:val="20"/>
                <w:lang w:val="sr-Latn-RS"/>
              </w:rPr>
            </w:pPr>
            <w:r>
              <w:rPr>
                <w:b/>
                <w:bCs/>
                <w:sz w:val="20"/>
                <w:szCs w:val="20"/>
              </w:rPr>
              <w:t>75</w:t>
            </w:r>
            <w:r w:rsidRPr="002D7E41">
              <w:rPr>
                <w:b/>
                <w:bCs/>
                <w:sz w:val="20"/>
                <w:szCs w:val="20"/>
              </w:rPr>
              <w:t>.</w:t>
            </w:r>
            <w:r>
              <w:rPr>
                <w:b/>
                <w:bCs/>
                <w:sz w:val="20"/>
                <w:szCs w:val="20"/>
              </w:rPr>
              <w:t>2</w:t>
            </w:r>
            <w:r w:rsidRPr="002D7E41">
              <w:rPr>
                <w:b/>
                <w:bCs/>
                <w:sz w:val="20"/>
                <w:szCs w:val="20"/>
              </w:rPr>
              <w:t>%</w:t>
            </w:r>
          </w:p>
        </w:tc>
      </w:tr>
      <w:bookmarkEnd w:id="574"/>
    </w:tbl>
    <w:p w14:paraId="4D06CDEB" w14:textId="77777777" w:rsidR="006C2142" w:rsidRDefault="006C2142">
      <w:pPr>
        <w:spacing w:before="0" w:after="160" w:line="259" w:lineRule="auto"/>
        <w:jc w:val="left"/>
        <w:rPr>
          <w:rFonts w:eastAsiaTheme="majorEastAsia" w:cstheme="majorBidi"/>
          <w:b/>
          <w:smallCaps/>
          <w:sz w:val="28"/>
          <w:szCs w:val="26"/>
        </w:rPr>
      </w:pPr>
      <w:r>
        <w:br w:type="page"/>
      </w:r>
    </w:p>
    <w:p w14:paraId="3633F3FF" w14:textId="2E6753CE" w:rsidR="006A6640" w:rsidRDefault="0093534B" w:rsidP="002D54F0">
      <w:pPr>
        <w:pStyle w:val="Heading2"/>
      </w:pPr>
      <w:bookmarkStart w:id="577" w:name="_Toc101274401"/>
      <w:r>
        <w:lastRenderedPageBreak/>
        <w:t xml:space="preserve">Artificial </w:t>
      </w:r>
      <w:r w:rsidR="00B766BF">
        <w:t>Neural Network Classification</w:t>
      </w:r>
      <w:r>
        <w:t xml:space="preserve"> model</w:t>
      </w:r>
      <w:bookmarkEnd w:id="577"/>
    </w:p>
    <w:p w14:paraId="65835F83" w14:textId="51F69849" w:rsidR="00F82716" w:rsidRDefault="006F7CE3" w:rsidP="00807C33">
      <w:r>
        <w:t xml:space="preserve">Artificial Neural Networks (ANNs) are familiar mathematical-statistical computational models used for prediction, either for regression (single value output) or for classification (discrimination). The ANN contains </w:t>
      </w:r>
      <w:r w:rsidR="004909B8">
        <w:t xml:space="preserve">the </w:t>
      </w:r>
      <w:r>
        <w:t xml:space="preserve">building blocks of </w:t>
      </w:r>
      <w:r>
        <w:rPr>
          <w:b/>
          <w:bCs/>
        </w:rPr>
        <w:t>nodes</w:t>
      </w:r>
      <w:r>
        <w:t xml:space="preserve"> and </w:t>
      </w:r>
      <w:r>
        <w:rPr>
          <w:b/>
          <w:bCs/>
        </w:rPr>
        <w:t>connection</w:t>
      </w:r>
      <w:r w:rsidR="00F5373B">
        <w:rPr>
          <w:b/>
          <w:bCs/>
        </w:rPr>
        <w:t>s</w:t>
      </w:r>
      <w:r>
        <w:rPr>
          <w:b/>
          <w:bCs/>
        </w:rPr>
        <w:t xml:space="preserve"> </w:t>
      </w:r>
      <w:r w:rsidRPr="00095553">
        <w:t>between nodes</w:t>
      </w:r>
      <w:r>
        <w:t xml:space="preserve"> (</w:t>
      </w:r>
      <w:r>
        <w:fldChar w:fldCharType="begin"/>
      </w:r>
      <w:r>
        <w:instrText xml:space="preserve"> REF _Ref98667296 \h </w:instrText>
      </w:r>
      <w:r w:rsidR="00807C33">
        <w:instrText xml:space="preserve"> \* MERGEFORMAT </w:instrText>
      </w:r>
      <w:r>
        <w:fldChar w:fldCharType="separate"/>
      </w:r>
      <w:r w:rsidR="00587AF0">
        <w:t xml:space="preserve">Figure </w:t>
      </w:r>
      <w:r w:rsidR="00587AF0">
        <w:rPr>
          <w:noProof/>
        </w:rPr>
        <w:t>102</w:t>
      </w:r>
      <w:r>
        <w:fldChar w:fldCharType="end"/>
      </w:r>
      <w:r>
        <w:t xml:space="preserve">). Nodes and connections represent </w:t>
      </w:r>
      <w:r w:rsidR="00F5373B">
        <w:t xml:space="preserve">an </w:t>
      </w:r>
      <w:r>
        <w:t>intu</w:t>
      </w:r>
      <w:r w:rsidR="00F5373B">
        <w:t>i</w:t>
      </w:r>
      <w:r>
        <w:t xml:space="preserve">tive illustration of how ANN transforms inputs to outputs through </w:t>
      </w:r>
      <w:r>
        <w:rPr>
          <w:b/>
          <w:bCs/>
        </w:rPr>
        <w:t>hidden layers.</w:t>
      </w:r>
      <w:r>
        <w:t xml:space="preserve"> </w:t>
      </w:r>
      <w:r w:rsidR="007E3108">
        <w:t xml:space="preserve">Hence, inputs given to neural networks are called </w:t>
      </w:r>
      <w:r w:rsidR="007E3108" w:rsidRPr="00095553">
        <w:rPr>
          <w:b/>
          <w:bCs/>
        </w:rPr>
        <w:t>input layers</w:t>
      </w:r>
      <w:r w:rsidR="007E3108">
        <w:rPr>
          <w:b/>
          <w:bCs/>
        </w:rPr>
        <w:t xml:space="preserve"> </w:t>
      </w:r>
      <w:r w:rsidR="007E3108" w:rsidRPr="00095553">
        <w:t>(</w:t>
      </w:r>
      <w:r w:rsidR="007E3108" w:rsidRPr="00095553">
        <w:rPr>
          <w:i/>
          <w:iCs/>
        </w:rPr>
        <w:t>x</w:t>
      </w:r>
      <w:r w:rsidR="007E3108" w:rsidRPr="00095553">
        <w:t>)</w:t>
      </w:r>
      <w:r w:rsidR="00F5373B">
        <w:t>;</w:t>
      </w:r>
      <w:r w:rsidR="007E3108">
        <w:t xml:space="preserve"> transformation to outputs </w:t>
      </w:r>
      <w:r w:rsidR="007E3108" w:rsidRPr="00095553">
        <w:t xml:space="preserve">or </w:t>
      </w:r>
      <w:r w:rsidR="007E3108" w:rsidRPr="00095553">
        <w:rPr>
          <w:b/>
          <w:bCs/>
        </w:rPr>
        <w:t>output layers</w:t>
      </w:r>
      <w:r w:rsidR="007E3108">
        <w:t xml:space="preserve"> (</w:t>
      </w:r>
      <w:r w:rsidR="007E3108" w:rsidRPr="00095553">
        <w:rPr>
          <w:i/>
          <w:iCs/>
        </w:rPr>
        <w:t>y</w:t>
      </w:r>
      <w:r w:rsidR="007E3108" w:rsidRPr="00095553">
        <w:t>)</w:t>
      </w:r>
      <w:r w:rsidR="007E3108">
        <w:t xml:space="preserve"> are done via formulation and calculation through weights (</w:t>
      </w:r>
      <w:r w:rsidR="007E3108" w:rsidRPr="00095553">
        <w:rPr>
          <w:i/>
          <w:iCs/>
        </w:rPr>
        <w:t>W</w:t>
      </w:r>
      <w:r w:rsidR="007E3108">
        <w:t>) and biases (</w:t>
      </w:r>
      <w:r w:rsidR="007E3108" w:rsidRPr="00095553">
        <w:rPr>
          <w:i/>
          <w:iCs/>
        </w:rPr>
        <w:t>b</w:t>
      </w:r>
      <w:r w:rsidR="007E3108" w:rsidRPr="007E3108">
        <w:t>)</w:t>
      </w:r>
      <w:r w:rsidR="007E3108">
        <w:t xml:space="preserve">. Those weighted sums of input values and their associated bias are transformed via </w:t>
      </w:r>
      <w:r w:rsidR="007E3108">
        <w:rPr>
          <w:b/>
          <w:bCs/>
        </w:rPr>
        <w:t>activation functions</w:t>
      </w:r>
      <w:r w:rsidR="007E3108">
        <w:rPr>
          <w:b/>
          <w:bCs/>
          <w:i/>
          <w:iCs/>
        </w:rPr>
        <w:t xml:space="preserve"> </w:t>
      </w:r>
      <w:r w:rsidR="007E3108" w:rsidRPr="007E3108">
        <w:t>(</w:t>
      </w:r>
      <w:r w:rsidR="007E3108" w:rsidRPr="00095553">
        <w:rPr>
          <w:rFonts w:ascii="Times New Roman" w:hAnsi="Times New Roman" w:cs="Times New Roman"/>
          <w:i/>
          <w:iCs/>
        </w:rPr>
        <w:t>f</w:t>
      </w:r>
      <w:r w:rsidR="007E3108">
        <w:rPr>
          <w:rFonts w:ascii="Times New Roman" w:hAnsi="Times New Roman" w:cs="Times New Roman"/>
        </w:rPr>
        <w:t xml:space="preserve">). </w:t>
      </w:r>
      <w:r w:rsidR="007E3108" w:rsidRPr="00807C33">
        <w:t xml:space="preserve">Some of the basic </w:t>
      </w:r>
      <w:r w:rsidR="00F82716" w:rsidRPr="00807C33">
        <w:t>mathematical</w:t>
      </w:r>
      <w:r w:rsidR="00F82716">
        <w:t xml:space="preserve"> notations in ANN usually contain, but are not limited to</w:t>
      </w:r>
      <w:r w:rsidR="007E3108">
        <w:t xml:space="preserve"> </w:t>
      </w:r>
      <w:r w:rsidR="007E3108">
        <w:fldChar w:fldCharType="begin" w:fldLock="1"/>
      </w:r>
      <w:r w:rsidR="00204994">
        <w:instrText>ADDIN CSL_CITATION {"citationItems":[{"id":"ITEM-1","itemData":{"abstract":"CHAPTER 8 Neural Networks and Neural Language Models \" [M]achines of this character can behave in a very complicated manner when the number of units is large. \" Alan Turing (1948) \" Intelligent Machines \" , page 6 Neural networks are an essential computational tool for language processing, and a very old one. They are called neural because their origins lie in the McCulloch-Pitts neuron (McCulloch and Pitts, 1943), a simplified model of the human neuron as a kind of computing element that could be described in terms of propositional logic. But the modern use in language processing no longer draws on these early biological inspirations. Instead, a modern neural network is a network of small computing units, each of which takes a vector of input values and produces a single output value. In this chapter we consider a neural net classifier, built by combining units into a network. As we'll see, this is called a feed-forward network because the computation proceeds iteratively from one layer of units to the next. The use of modern neural nets is often called deep learning, because modern networks are often deep (have deep learning deep many hidden layers). Neural networks share some of the same mathematics and learning architectures as logistic regression. But neural networks are a more powerful classifier than logis-tic regression, and indeed a neural network with one hidden layer can be shown to learn any function. Neural net classifiers are different from logistic regression in another way. With logistic regression, we applied the simple and fixed regression classifier to many different asks by developing many rich kinds of feature templates based on domain knowledge. When working with neural networks, it is more common to avoid the use of rich hand-derived features, instead building neural networks that take raw words as inputs and learn to induce features as part of the process of learning to classify. This is especially true with nets that are very deep (have many hidden layers), and for that reason deep neural nets, more than other classifiers, tend to be applied on large scale problems that offer sufficient data to learn features automatically. In this chapter we'll see feedforward networks as classifiers, and apply them to the simple task of language modeling: assigning probabilities to word sequences and predicting upcoming words. In later chapters we'll introduce many other aspects of neural models. Chap-ter 9b will introduce recurrent neural net…","author":[{"dropping-particle":"","family":"Jurafsky","given":"Daniel","non-dropping-particle":"","parse-names":false,"suffix":""},{"dropping-particle":"","family":"Martin","given":"James H","non-dropping-particle":"","parse-names":false,"suffix":""}],"container-title":"Synthesis Lectures on Human Language Technologies","id":"ITEM-1","issue":"Chapter 10","issued":{"date-parts":[["2019"]]},"title":"Neural Networks and Neural Language Models","type":"article-journal"},"uris":["http://www.mendeley.com/documents/?uuid=5ea13a07-2a61-4101-84d4-b3d9a6280b2d"]},{"id":"ITEM-2","itemData":{"URL":"https://cs230.stanford.edu/files/Notation.pdf","author":[{"dropping-particle":"","family":"Stanford","given":"","non-dropping-particle":"","parse-names":false,"suffix":""}],"id":"ITEM-2","issued":{"date-parts":[["2021"]]},"title":"Standard notations for Deep Learning","type":"webpage"},"uris":["http://www.mendeley.com/documents/?uuid=f50f8328-43fd-4b4e-a3e0-4554e6d79081"]}],"mendeley":{"formattedCitation":"[131], [132]","plainTextFormattedCitation":"[131], [132]","previouslyFormattedCitation":"[131], [132]"},"properties":{"noteIndex":0},"schema":"https://github.com/citation-style-language/schema/raw/master/csl-citation.json"}</w:instrText>
      </w:r>
      <w:r w:rsidR="007E3108">
        <w:fldChar w:fldCharType="separate"/>
      </w:r>
      <w:r w:rsidR="00645D0B" w:rsidRPr="00645D0B">
        <w:rPr>
          <w:noProof/>
        </w:rPr>
        <w:t>[131], [132]</w:t>
      </w:r>
      <w:r w:rsidR="007E3108">
        <w:fldChar w:fldCharType="end"/>
      </w:r>
      <w:r w:rsidR="00F82716">
        <w:t>:</w:t>
      </w:r>
    </w:p>
    <w:p w14:paraId="4ACDB39C" w14:textId="2C72B1B4" w:rsidR="00F82716" w:rsidRDefault="00F82716" w:rsidP="00F82716">
      <w:pPr>
        <w:pStyle w:val="ListParagraph"/>
        <w:numPr>
          <w:ilvl w:val="0"/>
          <w:numId w:val="21"/>
        </w:numPr>
      </w:pPr>
      <w:r>
        <w:rPr>
          <w:i/>
          <w:iCs/>
        </w:rPr>
        <w:t>m</w:t>
      </w:r>
      <w:r>
        <w:t>: the size of the sample in a given dataset of machine learning (training or testing);</w:t>
      </w:r>
    </w:p>
    <w:p w14:paraId="4C7D61C2" w14:textId="4718239A" w:rsidR="00F82716" w:rsidRDefault="00F82716" w:rsidP="00F82716">
      <w:pPr>
        <w:pStyle w:val="ListParagraph"/>
        <w:numPr>
          <w:ilvl w:val="0"/>
          <w:numId w:val="21"/>
        </w:numPr>
      </w:pPr>
      <w:r>
        <w:rPr>
          <w:i/>
          <w:iCs/>
        </w:rPr>
        <w:t>n</w:t>
      </w:r>
      <w:r>
        <w:rPr>
          <w:i/>
          <w:iCs/>
          <w:vertAlign w:val="subscript"/>
        </w:rPr>
        <w:t>x,y</w:t>
      </w:r>
      <w:r>
        <w:t xml:space="preserve">: input size of </w:t>
      </w:r>
      <w:r>
        <w:rPr>
          <w:i/>
          <w:iCs/>
        </w:rPr>
        <w:t>x</w:t>
      </w:r>
      <w:r>
        <w:t xml:space="preserve"> values; or output size for </w:t>
      </w:r>
      <w:r>
        <w:rPr>
          <w:i/>
          <w:iCs/>
        </w:rPr>
        <w:t>y</w:t>
      </w:r>
      <w:r>
        <w:t xml:space="preserve"> values;</w:t>
      </w:r>
    </w:p>
    <w:p w14:paraId="6E19AC22" w14:textId="48BD3DEA" w:rsidR="00F82716" w:rsidRDefault="00F82716" w:rsidP="00F82716">
      <w:pPr>
        <w:pStyle w:val="ListParagraph"/>
        <w:numPr>
          <w:ilvl w:val="0"/>
          <w:numId w:val="21"/>
        </w:numPr>
      </w:pPr>
      <w:r>
        <w:rPr>
          <w:i/>
          <w:iCs/>
        </w:rPr>
        <w:t>n</w:t>
      </w:r>
      <w:r>
        <w:rPr>
          <w:i/>
          <w:iCs/>
          <w:vertAlign w:val="subscript"/>
        </w:rPr>
        <w:t>h</w:t>
      </w:r>
      <w:r>
        <w:rPr>
          <w:i/>
          <w:iCs/>
          <w:vertAlign w:val="superscript"/>
        </w:rPr>
        <w:t>[l]</w:t>
      </w:r>
      <w:r>
        <w:t xml:space="preserve">: number of units in a hidden </w:t>
      </w:r>
      <w:r>
        <w:rPr>
          <w:i/>
          <w:iCs/>
        </w:rPr>
        <w:t>l</w:t>
      </w:r>
      <w:r>
        <w:rPr>
          <w:i/>
          <w:iCs/>
          <w:vertAlign w:val="superscript"/>
        </w:rPr>
        <w:t>th</w:t>
      </w:r>
      <w:r>
        <w:rPr>
          <w:vertAlign w:val="subscript"/>
        </w:rPr>
        <w:t xml:space="preserve"> </w:t>
      </w:r>
      <w:r>
        <w:t>layer</w:t>
      </w:r>
      <w:r w:rsidR="002104DE">
        <w:t>.</w:t>
      </w:r>
    </w:p>
    <w:p w14:paraId="1EFD241C" w14:textId="041AA34A" w:rsidR="002104DE" w:rsidRDefault="006F5A36" w:rsidP="00F82716">
      <w:pPr>
        <w:pStyle w:val="ListParagraph"/>
        <w:numPr>
          <w:ilvl w:val="0"/>
          <w:numId w:val="21"/>
        </w:numPr>
      </w:pPr>
      <w:r>
        <w:rPr>
          <w:i/>
          <w:iCs/>
        </w:rPr>
        <w:t xml:space="preserve">X </w:t>
      </w:r>
      <w:r w:rsidRPr="006F5A36">
        <w:t>є</w:t>
      </w:r>
      <w:r>
        <w:t xml:space="preserve"> </w:t>
      </w:r>
      <w:r>
        <w:rPr>
          <w:rFonts w:ascii="Times New Roman" w:hAnsi="Times New Roman" w:cs="Times New Roman"/>
        </w:rPr>
        <w:t>ℝ</w:t>
      </w:r>
      <w:r>
        <w:rPr>
          <w:rFonts w:ascii="Times New Roman" w:hAnsi="Times New Roman" w:cs="Times New Roman"/>
          <w:vertAlign w:val="superscript"/>
        </w:rPr>
        <w:t>n</w:t>
      </w:r>
      <w:r w:rsidRPr="006F5A36">
        <w:rPr>
          <w:rFonts w:ascii="Times New Roman" w:hAnsi="Times New Roman" w:cs="Times New Roman"/>
          <w:sz w:val="16"/>
          <w:szCs w:val="14"/>
          <w:vertAlign w:val="superscript"/>
        </w:rPr>
        <w:t>x</w:t>
      </w:r>
      <w:r w:rsidR="00BA20FB" w:rsidRPr="00BA20FB">
        <w:rPr>
          <w:rFonts w:ascii="Cambria Math" w:hAnsi="Cambria Math" w:cs="Cambria Math"/>
          <w:szCs w:val="24"/>
          <w:vertAlign w:val="superscript"/>
        </w:rPr>
        <w:t>⋅</w:t>
      </w:r>
      <w:r w:rsidR="00BA20FB">
        <w:rPr>
          <w:rFonts w:ascii="Times New Roman" w:hAnsi="Times New Roman" w:cs="Times New Roman"/>
          <w:vertAlign w:val="superscript"/>
        </w:rPr>
        <w:t>m</w:t>
      </w:r>
      <w:r w:rsidR="00BA20FB">
        <w:rPr>
          <w:rFonts w:ascii="Times New Roman" w:hAnsi="Times New Roman" w:cs="Times New Roman"/>
          <w:vertAlign w:val="subscript"/>
        </w:rPr>
        <w:t xml:space="preserve">: </w:t>
      </w:r>
      <w:r w:rsidR="00BA20FB" w:rsidRPr="00BA20FB">
        <w:rPr>
          <w:rFonts w:cs="Times New Roman"/>
        </w:rPr>
        <w:t xml:space="preserve">input matrix of </w:t>
      </w:r>
      <w:r w:rsidR="00BA20FB" w:rsidRPr="00BA20FB">
        <w:rPr>
          <w:rFonts w:cs="Times New Roman"/>
          <w:i/>
          <w:iCs/>
        </w:rPr>
        <w:t>n</w:t>
      </w:r>
      <w:r w:rsidR="00BA20FB" w:rsidRPr="00BA20FB">
        <w:rPr>
          <w:rFonts w:cs="Times New Roman"/>
        </w:rPr>
        <w:t xml:space="preserve"> </w:t>
      </w:r>
      <w:r w:rsidR="00BA20FB" w:rsidRPr="00BA20FB">
        <w:t xml:space="preserve">size of </w:t>
      </w:r>
      <w:r w:rsidR="00BA20FB" w:rsidRPr="00BA20FB">
        <w:rPr>
          <w:i/>
          <w:iCs/>
        </w:rPr>
        <w:t>x</w:t>
      </w:r>
      <w:r w:rsidR="00BA20FB" w:rsidRPr="00BA20FB">
        <w:t xml:space="preserve"> values and </w:t>
      </w:r>
      <w:r w:rsidR="00BA20FB" w:rsidRPr="00BA20FB">
        <w:rPr>
          <w:i/>
          <w:iCs/>
        </w:rPr>
        <w:t>m</w:t>
      </w:r>
      <w:r w:rsidR="00BA20FB" w:rsidRPr="00BA20FB">
        <w:t xml:space="preserve"> the sample size;</w:t>
      </w:r>
    </w:p>
    <w:p w14:paraId="031F107D" w14:textId="0CF70748" w:rsidR="00BA20FB" w:rsidRPr="00BA20FB" w:rsidRDefault="00BA20FB" w:rsidP="00F82716">
      <w:pPr>
        <w:pStyle w:val="ListParagraph"/>
        <w:numPr>
          <w:ilvl w:val="0"/>
          <w:numId w:val="21"/>
        </w:numPr>
      </w:pPr>
      <w:r>
        <w:rPr>
          <w:i/>
          <w:iCs/>
        </w:rPr>
        <w:t>x</w:t>
      </w:r>
      <w:r>
        <w:rPr>
          <w:i/>
          <w:iCs/>
          <w:vertAlign w:val="superscript"/>
        </w:rPr>
        <w:t>(i)</w:t>
      </w:r>
      <w:r>
        <w:rPr>
          <w:vertAlign w:val="subscript"/>
        </w:rPr>
        <w:t xml:space="preserve"> </w:t>
      </w:r>
      <w:r w:rsidRPr="006F5A36">
        <w:t>є</w:t>
      </w:r>
      <w:r>
        <w:t xml:space="preserve"> </w:t>
      </w:r>
      <w:r>
        <w:rPr>
          <w:rFonts w:ascii="Times New Roman" w:hAnsi="Times New Roman" w:cs="Times New Roman"/>
        </w:rPr>
        <w:t>ℝ</w:t>
      </w:r>
      <w:r>
        <w:rPr>
          <w:rFonts w:ascii="Times New Roman" w:hAnsi="Times New Roman" w:cs="Times New Roman"/>
          <w:vertAlign w:val="superscript"/>
        </w:rPr>
        <w:t>n</w:t>
      </w:r>
      <w:r w:rsidRPr="006F5A36">
        <w:rPr>
          <w:rFonts w:ascii="Times New Roman" w:hAnsi="Times New Roman" w:cs="Times New Roman"/>
          <w:sz w:val="16"/>
          <w:szCs w:val="14"/>
          <w:vertAlign w:val="superscript"/>
        </w:rPr>
        <w:t>x</w:t>
      </w:r>
      <w:r>
        <w:rPr>
          <w:rFonts w:ascii="Times New Roman" w:hAnsi="Times New Roman" w:cs="Times New Roman"/>
          <w:szCs w:val="24"/>
          <w:vertAlign w:val="subscript"/>
        </w:rPr>
        <w:t xml:space="preserve">: </w:t>
      </w:r>
      <w:r>
        <w:rPr>
          <w:rFonts w:cs="Times New Roman"/>
          <w:i/>
          <w:iCs/>
          <w:szCs w:val="24"/>
        </w:rPr>
        <w:t>i</w:t>
      </w:r>
      <w:r>
        <w:rPr>
          <w:rFonts w:cs="Times New Roman"/>
          <w:szCs w:val="24"/>
          <w:vertAlign w:val="superscript"/>
        </w:rPr>
        <w:t>th</w:t>
      </w:r>
      <w:r>
        <w:rPr>
          <w:rFonts w:cs="Times New Roman"/>
          <w:szCs w:val="24"/>
        </w:rPr>
        <w:t xml:space="preserve"> column vector example;</w:t>
      </w:r>
    </w:p>
    <w:p w14:paraId="011FF65B" w14:textId="7BDF0DE0" w:rsidR="00BA20FB" w:rsidRPr="000948EA" w:rsidRDefault="00BA20FB" w:rsidP="00F82716">
      <w:pPr>
        <w:pStyle w:val="ListParagraph"/>
        <w:numPr>
          <w:ilvl w:val="0"/>
          <w:numId w:val="21"/>
        </w:numPr>
      </w:pPr>
      <w:r>
        <w:rPr>
          <w:i/>
          <w:iCs/>
        </w:rPr>
        <w:t xml:space="preserve">Y </w:t>
      </w:r>
      <w:r w:rsidRPr="006F5A36">
        <w:t>є</w:t>
      </w:r>
      <w:r>
        <w:t xml:space="preserve"> </w:t>
      </w:r>
      <w:r>
        <w:rPr>
          <w:rFonts w:ascii="Times New Roman" w:hAnsi="Times New Roman" w:cs="Times New Roman"/>
        </w:rPr>
        <w:t>ℝ</w:t>
      </w:r>
      <w:r>
        <w:rPr>
          <w:rFonts w:ascii="Times New Roman" w:hAnsi="Times New Roman" w:cs="Times New Roman"/>
          <w:vertAlign w:val="superscript"/>
        </w:rPr>
        <w:t>n</w:t>
      </w:r>
      <w:r>
        <w:rPr>
          <w:rFonts w:ascii="Times New Roman" w:hAnsi="Times New Roman" w:cs="Times New Roman"/>
          <w:sz w:val="16"/>
          <w:szCs w:val="14"/>
          <w:vertAlign w:val="superscript"/>
        </w:rPr>
        <w:t>y</w:t>
      </w:r>
      <w:r w:rsidRPr="00BA20FB">
        <w:rPr>
          <w:rFonts w:ascii="Cambria Math" w:hAnsi="Cambria Math" w:cs="Cambria Math"/>
          <w:szCs w:val="24"/>
          <w:vertAlign w:val="superscript"/>
        </w:rPr>
        <w:t>⋅</w:t>
      </w:r>
      <w:r>
        <w:rPr>
          <w:rFonts w:ascii="Times New Roman" w:hAnsi="Times New Roman" w:cs="Times New Roman"/>
          <w:vertAlign w:val="superscript"/>
        </w:rPr>
        <w:t>m</w:t>
      </w:r>
      <w:r>
        <w:rPr>
          <w:rFonts w:ascii="Times New Roman" w:hAnsi="Times New Roman" w:cs="Times New Roman"/>
          <w:vertAlign w:val="subscript"/>
        </w:rPr>
        <w:t xml:space="preserve">: </w:t>
      </w:r>
      <w:r w:rsidRPr="00BA20FB">
        <w:rPr>
          <w:rFonts w:cs="Times New Roman"/>
        </w:rPr>
        <w:t>i</w:t>
      </w:r>
      <w:r>
        <w:rPr>
          <w:rFonts w:cs="Times New Roman"/>
        </w:rPr>
        <w:t>s the label matrix</w:t>
      </w:r>
      <w:r w:rsidR="00BD6EF0">
        <w:rPr>
          <w:rFonts w:cs="Times New Roman"/>
        </w:rPr>
        <w:t>;</w:t>
      </w:r>
    </w:p>
    <w:p w14:paraId="73E317DC" w14:textId="61F82AF8" w:rsidR="000948EA" w:rsidRDefault="000948EA" w:rsidP="00F82716">
      <w:pPr>
        <w:pStyle w:val="ListParagraph"/>
        <w:numPr>
          <w:ilvl w:val="0"/>
          <w:numId w:val="21"/>
        </w:numPr>
      </w:pPr>
      <w:r>
        <w:rPr>
          <w:i/>
          <w:iCs/>
        </w:rPr>
        <w:t>y</w:t>
      </w:r>
      <w:r w:rsidRPr="000948EA">
        <w:rPr>
          <w:i/>
          <w:iCs/>
          <w:vertAlign w:val="superscript"/>
        </w:rPr>
        <w:t>(i)</w:t>
      </w:r>
      <w:r>
        <w:t xml:space="preserve"> </w:t>
      </w:r>
      <w:r w:rsidRPr="006F5A36">
        <w:t>є</w:t>
      </w:r>
      <w:r>
        <w:t xml:space="preserve"> </w:t>
      </w:r>
      <w:r>
        <w:rPr>
          <w:rFonts w:ascii="Times New Roman" w:hAnsi="Times New Roman" w:cs="Times New Roman"/>
        </w:rPr>
        <w:t>ℝ</w:t>
      </w:r>
      <w:r>
        <w:rPr>
          <w:rFonts w:ascii="Times New Roman" w:hAnsi="Times New Roman" w:cs="Times New Roman"/>
          <w:vertAlign w:val="superscript"/>
        </w:rPr>
        <w:t>n</w:t>
      </w:r>
      <w:r>
        <w:rPr>
          <w:rFonts w:ascii="Times New Roman" w:hAnsi="Times New Roman" w:cs="Times New Roman"/>
          <w:sz w:val="16"/>
          <w:szCs w:val="14"/>
          <w:vertAlign w:val="superscript"/>
        </w:rPr>
        <w:t>y</w:t>
      </w:r>
      <w:r w:rsidRPr="00BD6EF0">
        <w:t>:</w:t>
      </w:r>
      <w:r>
        <w:t xml:space="preserve"> output label of the </w:t>
      </w:r>
      <w:r>
        <w:rPr>
          <w:i/>
          <w:iCs/>
        </w:rPr>
        <w:t>i</w:t>
      </w:r>
      <w:r>
        <w:rPr>
          <w:i/>
          <w:iCs/>
          <w:vertAlign w:val="superscript"/>
        </w:rPr>
        <w:t>th</w:t>
      </w:r>
      <w:r>
        <w:t xml:space="preserve"> example</w:t>
      </w:r>
      <w:r w:rsidR="00BD6EF0">
        <w:t>;</w:t>
      </w:r>
    </w:p>
    <w:p w14:paraId="08955E23" w14:textId="37243779" w:rsidR="00E55C04" w:rsidRDefault="00E55C04" w:rsidP="00F82716">
      <w:pPr>
        <w:pStyle w:val="ListParagraph"/>
        <w:numPr>
          <w:ilvl w:val="0"/>
          <w:numId w:val="21"/>
        </w:numPr>
      </w:pPr>
      <w:r>
        <w:rPr>
          <w:i/>
          <w:iCs/>
        </w:rPr>
        <w:t>W</w:t>
      </w:r>
      <w:r>
        <w:rPr>
          <w:i/>
          <w:iCs/>
          <w:vertAlign w:val="superscript"/>
        </w:rPr>
        <w:t>[l]</w:t>
      </w:r>
      <w:r>
        <w:t xml:space="preserve"> </w:t>
      </w:r>
      <w:r w:rsidRPr="006F5A36">
        <w:t>є</w:t>
      </w:r>
      <w:r>
        <w:t xml:space="preserve"> </w:t>
      </w:r>
      <w:r>
        <w:rPr>
          <w:rFonts w:ascii="Times New Roman" w:hAnsi="Times New Roman" w:cs="Times New Roman"/>
        </w:rPr>
        <w:t>ℝ</w:t>
      </w:r>
      <w:r>
        <w:rPr>
          <w:rFonts w:ascii="Times New Roman" w:hAnsi="Times New Roman" w:cs="Times New Roman"/>
          <w:vertAlign w:val="superscript"/>
        </w:rPr>
        <w:t>n</w:t>
      </w:r>
      <w:r>
        <w:rPr>
          <w:rFonts w:ascii="Times New Roman" w:hAnsi="Times New Roman" w:cs="Times New Roman"/>
          <w:sz w:val="16"/>
          <w:szCs w:val="14"/>
          <w:vertAlign w:val="superscript"/>
        </w:rPr>
        <w:t>y</w:t>
      </w:r>
      <w:r>
        <w:rPr>
          <w:rFonts w:cs="Times New Roman"/>
          <w:szCs w:val="24"/>
        </w:rPr>
        <w:t xml:space="preserve">: weight matrix of the </w:t>
      </w:r>
      <w:r>
        <w:rPr>
          <w:rFonts w:cs="Times New Roman"/>
          <w:i/>
          <w:iCs/>
          <w:szCs w:val="24"/>
        </w:rPr>
        <w:t>l</w:t>
      </w:r>
      <w:r>
        <w:rPr>
          <w:rFonts w:cs="Times New Roman"/>
          <w:iCs/>
          <w:szCs w:val="24"/>
          <w:vertAlign w:val="superscript"/>
        </w:rPr>
        <w:t>th</w:t>
      </w:r>
      <w:r>
        <w:rPr>
          <w:rFonts w:cs="Times New Roman"/>
          <w:iCs/>
          <w:szCs w:val="24"/>
        </w:rPr>
        <w:t xml:space="preserve"> layer;</w:t>
      </w:r>
    </w:p>
    <w:p w14:paraId="104C928C" w14:textId="0370E26B" w:rsidR="00B9247C" w:rsidRPr="00BD6EF0" w:rsidRDefault="00B9247C" w:rsidP="00F82716">
      <w:pPr>
        <w:pStyle w:val="ListParagraph"/>
        <w:numPr>
          <w:ilvl w:val="0"/>
          <w:numId w:val="21"/>
        </w:numPr>
      </w:pPr>
      <w:r>
        <w:rPr>
          <w:i/>
          <w:iCs/>
        </w:rPr>
        <w:t>b</w:t>
      </w:r>
      <w:r>
        <w:rPr>
          <w:i/>
          <w:iCs/>
          <w:vertAlign w:val="superscript"/>
        </w:rPr>
        <w:t>[l]</w:t>
      </w:r>
      <w:r>
        <w:t xml:space="preserve"> </w:t>
      </w:r>
      <w:r w:rsidRPr="006F5A36">
        <w:t>є</w:t>
      </w:r>
      <w:r>
        <w:t xml:space="preserve"> </w:t>
      </w:r>
      <w:r>
        <w:rPr>
          <w:rFonts w:ascii="Times New Roman" w:hAnsi="Times New Roman" w:cs="Times New Roman"/>
        </w:rPr>
        <w:t>ℝ</w:t>
      </w:r>
      <w:r w:rsidR="00BD6EF0" w:rsidRPr="00BD6EF0">
        <w:rPr>
          <w:rFonts w:cs="Times New Roman"/>
        </w:rPr>
        <w:t>:</w:t>
      </w:r>
      <w:r w:rsidR="00BD6EF0">
        <w:rPr>
          <w:rFonts w:cs="Times New Roman"/>
        </w:rPr>
        <w:t xml:space="preserve"> bias vector of the </w:t>
      </w:r>
      <w:r w:rsidR="00BD6EF0">
        <w:rPr>
          <w:rFonts w:cs="Times New Roman"/>
          <w:i/>
          <w:iCs/>
        </w:rPr>
        <w:t>l</w:t>
      </w:r>
      <w:r w:rsidR="00BD6EF0">
        <w:rPr>
          <w:rFonts w:cs="Times New Roman"/>
          <w:i/>
          <w:iCs/>
          <w:vertAlign w:val="superscript"/>
        </w:rPr>
        <w:t>th</w:t>
      </w:r>
      <w:r w:rsidR="00BD6EF0">
        <w:rPr>
          <w:rFonts w:cs="Times New Roman"/>
        </w:rPr>
        <w:t xml:space="preserve"> layer;</w:t>
      </w:r>
    </w:p>
    <w:p w14:paraId="11743DCF" w14:textId="1CAAE4F6" w:rsidR="00BD3688" w:rsidRPr="0072672E" w:rsidRDefault="00BD6EF0" w:rsidP="002D4A3C">
      <w:pPr>
        <w:pStyle w:val="ListParagraph"/>
        <w:numPr>
          <w:ilvl w:val="0"/>
          <w:numId w:val="21"/>
        </w:numPr>
      </w:pPr>
      <w:r w:rsidRPr="007E3108">
        <w:rPr>
          <w:i/>
          <w:iCs/>
        </w:rPr>
        <w:t>y</w:t>
      </w:r>
      <w:r w:rsidRPr="007E3108">
        <w:rPr>
          <w:i/>
          <w:iCs/>
          <w:vertAlign w:val="subscript"/>
        </w:rPr>
        <w:t>i</w:t>
      </w:r>
      <w:r w:rsidRPr="007E3108">
        <w:rPr>
          <w:i/>
          <w:iCs/>
          <w:vertAlign w:val="superscript"/>
        </w:rPr>
        <w:t>predicted</w:t>
      </w:r>
      <w:r>
        <w:t>: predicted output vector</w:t>
      </w:r>
      <w:r w:rsidR="00387FAC">
        <w:t>.</w:t>
      </w:r>
    </w:p>
    <w:p w14:paraId="007A55D6" w14:textId="00E57CA8" w:rsidR="00910B97" w:rsidRDefault="00B43E76" w:rsidP="00910B97">
      <w:pPr>
        <w:keepNext/>
        <w:jc w:val="center"/>
      </w:pPr>
      <w:r w:rsidRPr="00B43E76">
        <w:rPr>
          <w:noProof/>
        </w:rPr>
        <w:drawing>
          <wp:inline distT="0" distB="0" distL="0" distR="0" wp14:anchorId="2A1331F7" wp14:editId="3371E4B0">
            <wp:extent cx="5732145" cy="4664075"/>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32145" cy="4664075"/>
                    </a:xfrm>
                    <a:prstGeom prst="rect">
                      <a:avLst/>
                    </a:prstGeom>
                    <a:noFill/>
                    <a:ln>
                      <a:noFill/>
                    </a:ln>
                  </pic:spPr>
                </pic:pic>
              </a:graphicData>
            </a:graphic>
          </wp:inline>
        </w:drawing>
      </w:r>
    </w:p>
    <w:p w14:paraId="6E52CBA9" w14:textId="77277A6A" w:rsidR="00FF0BEB" w:rsidRDefault="00910B97" w:rsidP="00D00933">
      <w:pPr>
        <w:pStyle w:val="Caption"/>
      </w:pPr>
      <w:bookmarkStart w:id="578" w:name="_Ref98667296"/>
      <w:bookmarkStart w:id="579" w:name="_Toc101274624"/>
      <w:r>
        <w:t xml:space="preserve">Figure </w:t>
      </w:r>
      <w:fldSimple w:instr=" SEQ Figure \* ARABIC ">
        <w:r w:rsidR="00587AF0">
          <w:rPr>
            <w:noProof/>
          </w:rPr>
          <w:t>102</w:t>
        </w:r>
      </w:fldSimple>
      <w:bookmarkEnd w:id="578"/>
      <w:r>
        <w:t>. Artificial Neural Network conceptual explanation</w:t>
      </w:r>
      <w:r w:rsidR="00A579C9">
        <w:t xml:space="preserve"> for binary classification model</w:t>
      </w:r>
      <w:bookmarkEnd w:id="579"/>
    </w:p>
    <w:p w14:paraId="2D223336" w14:textId="3BA3DD02" w:rsidR="00A1009D" w:rsidRDefault="00F5373B" w:rsidP="00A1009D">
      <w:r>
        <w:lastRenderedPageBreak/>
        <w:t>The a</w:t>
      </w:r>
      <w:r w:rsidR="00A1009D">
        <w:t xml:space="preserve">ctivation function is one of the most important components of a neural network. </w:t>
      </w:r>
      <w:r w:rsidR="004909B8">
        <w:t>A neural network is developed based on human learning mechanisms (mimic</w:t>
      </w:r>
      <w:r w:rsidR="00603F0B">
        <w:t>k</w:t>
      </w:r>
      <w:r w:rsidR="004909B8">
        <w:t>ing brain learning), so</w:t>
      </w:r>
      <w:r>
        <w:t xml:space="preserve"> the activation function is built on a</w:t>
      </w:r>
      <w:r w:rsidR="00A1009D">
        <w:t xml:space="preserve"> similar process</w:t>
      </w:r>
      <w:r w:rsidR="00921322">
        <w:t xml:space="preserve"> from a single computational unit</w:t>
      </w:r>
      <w:r w:rsidR="00A1009D">
        <w:t>. The learning phase begins by receiving a stimulus from an environment</w:t>
      </w:r>
      <w:r w:rsidR="00921322">
        <w:t xml:space="preserve"> (inpu</w:t>
      </w:r>
      <w:r>
        <w:t>t</w:t>
      </w:r>
      <w:r w:rsidR="00921322">
        <w:t>ted values)</w:t>
      </w:r>
      <w:r w:rsidR="00A1009D">
        <w:t xml:space="preserve">, processing the </w:t>
      </w:r>
      <w:r>
        <w:t>input data, and activating</w:t>
      </w:r>
      <w:r w:rsidR="00A1009D">
        <w:t xml:space="preserve"> function maps or generat</w:t>
      </w:r>
      <w:r>
        <w:t>ing</w:t>
      </w:r>
      <w:r w:rsidR="00A1009D">
        <w:t xml:space="preserve"> output</w:t>
      </w:r>
      <w:r w:rsidR="00921322">
        <w:t xml:space="preserve"> values</w:t>
      </w:r>
      <w:r w:rsidR="00A1009D">
        <w:t>.</w:t>
      </w:r>
      <w:r w:rsidR="00272E0B">
        <w:t xml:space="preserve"> </w:t>
      </w:r>
      <w:r>
        <w:t>The g</w:t>
      </w:r>
      <w:r w:rsidR="009A537A">
        <w:t>eneral</w:t>
      </w:r>
      <w:r w:rsidR="00272E0B">
        <w:t xml:space="preserve"> forward propagation equation</w:t>
      </w:r>
      <w:r w:rsidR="009A537A">
        <w:t xml:space="preserve"> for calculating value at nodes</w:t>
      </w:r>
      <w:r w:rsidR="00272E0B">
        <w:t xml:space="preserve"> is given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5"/>
        <w:gridCol w:w="992"/>
      </w:tblGrid>
      <w:tr w:rsidR="00272E0B" w14:paraId="629043AB" w14:textId="77777777" w:rsidTr="00272E0B">
        <w:tc>
          <w:tcPr>
            <w:tcW w:w="8025" w:type="dxa"/>
          </w:tcPr>
          <w:p w14:paraId="59A077C5" w14:textId="6B424094" w:rsidR="00272E0B" w:rsidRDefault="00272E0B" w:rsidP="00272E0B">
            <w:pPr>
              <w:jc w:val="center"/>
            </w:pPr>
            <m:oMathPara>
              <m:oMath>
                <m:r>
                  <w:rPr>
                    <w:rFonts w:ascii="Cambria Math" w:hAnsi="Cambria Math"/>
                  </w:rPr>
                  <m:t>a=</m:t>
                </m:r>
                <m:sSup>
                  <m:sSupPr>
                    <m:ctrlPr>
                      <w:rPr>
                        <w:rFonts w:ascii="Cambria Math" w:hAnsi="Cambria Math"/>
                        <w:i/>
                      </w:rPr>
                    </m:ctrlPr>
                  </m:sSupPr>
                  <m:e>
                    <m:r>
                      <w:rPr>
                        <w:rFonts w:ascii="Cambria Math" w:hAnsi="Cambria Math"/>
                      </w:rPr>
                      <m:t>f</m:t>
                    </m:r>
                  </m:e>
                  <m:sup>
                    <m:r>
                      <w:rPr>
                        <w:rFonts w:ascii="Cambria Math" w:hAnsi="Cambria Math"/>
                      </w:rPr>
                      <m:t>[l]</m:t>
                    </m:r>
                  </m:sup>
                </m:sSup>
                <m:d>
                  <m:dPr>
                    <m:ctrlPr>
                      <w:rPr>
                        <w:rFonts w:ascii="Cambria Math" w:hAnsi="Cambria Math"/>
                        <w:i/>
                      </w:rPr>
                    </m:ctrlPr>
                  </m:dPr>
                  <m:e>
                    <m:sSub>
                      <m:sSubPr>
                        <m:ctrlPr>
                          <w:rPr>
                            <w:rFonts w:ascii="Cambria Math" w:hAnsi="Cambria Math"/>
                            <w:i/>
                          </w:rPr>
                        </m:ctrlPr>
                      </m:sSubPr>
                      <m:e>
                        <m:r>
                          <w:rPr>
                            <w:rFonts w:ascii="Cambria Math" w:hAnsi="Cambria Math"/>
                          </w:rPr>
                          <m:t>W</m:t>
                        </m:r>
                      </m:e>
                      <m:sub>
                        <m:r>
                          <w:rPr>
                            <w:rFonts w:ascii="Cambria Math" w:hAnsi="Cambria Math"/>
                          </w:rPr>
                          <m:t>x</m:t>
                        </m:r>
                      </m:sub>
                    </m:sSub>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i</m:t>
                        </m:r>
                      </m:sup>
                    </m:sSup>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i</m:t>
                        </m:r>
                      </m:sub>
                    </m:sSub>
                  </m:e>
                </m:d>
              </m:oMath>
            </m:oMathPara>
          </w:p>
        </w:tc>
        <w:tc>
          <w:tcPr>
            <w:tcW w:w="992" w:type="dxa"/>
          </w:tcPr>
          <w:p w14:paraId="7C1F947C" w14:textId="58F86FEF" w:rsidR="00272E0B" w:rsidRDefault="002C693A" w:rsidP="00272E0B">
            <w:pPr>
              <w:jc w:val="right"/>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31</w:t>
            </w:r>
            <w:r w:rsidR="00427B33">
              <w:rPr>
                <w:noProof/>
              </w:rPr>
              <w:fldChar w:fldCharType="end"/>
            </w:r>
            <w:r>
              <w:t>)</w:t>
            </w:r>
          </w:p>
        </w:tc>
      </w:tr>
    </w:tbl>
    <w:p w14:paraId="62375BBF" w14:textId="33A17791" w:rsidR="00272E0B" w:rsidRDefault="00272E0B" w:rsidP="00A1009D">
      <w:r>
        <w:t xml:space="preserve">where </w:t>
      </w:r>
      <w:r>
        <w:rPr>
          <w:i/>
          <w:iCs/>
        </w:rPr>
        <w:t>f</w:t>
      </w:r>
      <w:r w:rsidR="00E52A95">
        <w:rPr>
          <w:i/>
          <w:iCs/>
        </w:rPr>
        <w:t xml:space="preserve"> </w:t>
      </w:r>
      <w:r w:rsidRPr="00272E0B">
        <w:rPr>
          <w:i/>
          <w:iCs/>
          <w:vertAlign w:val="superscript"/>
        </w:rPr>
        <w:t>[l]</w:t>
      </w:r>
      <w:r>
        <w:t>(</w:t>
      </w:r>
      <w:r>
        <w:rPr>
          <w:i/>
          <w:iCs/>
        </w:rPr>
        <w:t>x</w:t>
      </w:r>
      <w:r>
        <w:t xml:space="preserve">) denotes the </w:t>
      </w:r>
      <w:r>
        <w:rPr>
          <w:i/>
          <w:iCs/>
        </w:rPr>
        <w:t>l</w:t>
      </w:r>
      <w:r>
        <w:rPr>
          <w:i/>
          <w:iCs/>
          <w:vertAlign w:val="superscript"/>
        </w:rPr>
        <w:t>th</w:t>
      </w:r>
      <w:r>
        <w:rPr>
          <w:vertAlign w:val="subscript"/>
        </w:rPr>
        <w:t xml:space="preserve"> </w:t>
      </w:r>
      <w:r>
        <w:t>layer activation function</w:t>
      </w:r>
      <w:r w:rsidR="00F5373B">
        <w:t>;</w:t>
      </w:r>
      <w:r w:rsidR="00E52A95">
        <w:t xml:space="preserve"> thus</w:t>
      </w:r>
      <w:r w:rsidR="00F5373B">
        <w:t>,</w:t>
      </w:r>
      <w:r w:rsidR="00E52A95">
        <w:t xml:space="preserve"> if </w:t>
      </w:r>
      <w:r w:rsidR="00E52A95">
        <w:rPr>
          <w:i/>
          <w:iCs/>
        </w:rPr>
        <w:t>f</w:t>
      </w:r>
      <w:r w:rsidR="00E52A95">
        <w:rPr>
          <w:i/>
          <w:iCs/>
          <w:vertAlign w:val="superscript"/>
        </w:rPr>
        <w:t xml:space="preserve"> [l]</w:t>
      </w:r>
      <w:r w:rsidR="00E52A95">
        <w:t xml:space="preserve"> is a sigmoid function (similar logistic regression)</w:t>
      </w:r>
      <w:r w:rsidR="00F5373B">
        <w:t>,</w:t>
      </w:r>
      <w:r w:rsidR="00E52A95">
        <w:t xml:space="preserve"> then the activation function of a given formula would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5"/>
        <w:gridCol w:w="992"/>
      </w:tblGrid>
      <w:tr w:rsidR="00E52A95" w14:paraId="4C5562E5" w14:textId="77777777" w:rsidTr="006A71E0">
        <w:tc>
          <w:tcPr>
            <w:tcW w:w="8025" w:type="dxa"/>
          </w:tcPr>
          <w:p w14:paraId="5E6B90DD" w14:textId="7292A077" w:rsidR="00E52A95" w:rsidRDefault="00427B33" w:rsidP="006A71E0">
            <w:pPr>
              <w:jc w:val="center"/>
            </w:pPr>
            <m:oMathPara>
              <m:oMath>
                <m:sSup>
                  <m:sSupPr>
                    <m:ctrlPr>
                      <w:rPr>
                        <w:rFonts w:ascii="Cambria Math" w:hAnsi="Cambria Math"/>
                        <w:i/>
                      </w:rPr>
                    </m:ctrlPr>
                  </m:sSupPr>
                  <m:e>
                    <m:r>
                      <w:rPr>
                        <w:rFonts w:ascii="Cambria Math" w:hAnsi="Cambria Math"/>
                      </w:rPr>
                      <m:t>y</m:t>
                    </m:r>
                  </m:e>
                  <m:sup>
                    <m:r>
                      <w:rPr>
                        <w:rFonts w:ascii="Cambria Math" w:hAnsi="Cambria Math"/>
                      </w:rPr>
                      <m:t>i</m:t>
                    </m:r>
                  </m:sup>
                </m:sSup>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W</m:t>
                        </m:r>
                      </m:e>
                      <m:sub>
                        <m:r>
                          <w:rPr>
                            <w:rFonts w:ascii="Cambria Math" w:hAnsi="Cambria Math"/>
                          </w:rPr>
                          <m:t>x</m:t>
                        </m:r>
                      </m:sub>
                    </m:sSub>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i</m:t>
                        </m:r>
                      </m:sup>
                    </m:sSup>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i</m:t>
                        </m:r>
                      </m:sub>
                    </m:sSub>
                  </m:e>
                </m:d>
              </m:oMath>
            </m:oMathPara>
          </w:p>
        </w:tc>
        <w:tc>
          <w:tcPr>
            <w:tcW w:w="992" w:type="dxa"/>
          </w:tcPr>
          <w:p w14:paraId="5FA15C0E" w14:textId="7D4C48FE" w:rsidR="00E52A95" w:rsidRDefault="002C693A" w:rsidP="006A71E0">
            <w:pPr>
              <w:jc w:val="right"/>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32</w:t>
            </w:r>
            <w:r w:rsidR="00427B33">
              <w:rPr>
                <w:noProof/>
              </w:rPr>
              <w:fldChar w:fldCharType="end"/>
            </w:r>
            <w:r>
              <w:t>)</w:t>
            </w:r>
          </w:p>
        </w:tc>
      </w:tr>
    </w:tbl>
    <w:p w14:paraId="68C4DE65" w14:textId="5BA1FF2F" w:rsidR="00E52A95" w:rsidRDefault="009F066B" w:rsidP="00A1009D">
      <w:r>
        <w:t>where</w:t>
      </w:r>
      <w:r w:rsidR="00BA52AB">
        <w:t xml:space="preserve"> </w:t>
      </w:r>
      <w:r w:rsidR="00BA52AB">
        <w:rPr>
          <w:i/>
          <w:iCs/>
        </w:rPr>
        <w:t>f</w:t>
      </w:r>
      <w:r w:rsidR="00BA52AB">
        <w:t xml:space="preserve"> function</w:t>
      </w:r>
      <w:r w:rsidR="00F5373B">
        <w:t>, in this case,</w:t>
      </w:r>
      <w:r w:rsidR="00BA52AB">
        <w:t xml:space="preserve"> is</w:t>
      </w:r>
      <w:r>
        <w:t xml:space="preserve"> sigmoid activation function is given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5"/>
        <w:gridCol w:w="992"/>
      </w:tblGrid>
      <w:tr w:rsidR="009F066B" w14:paraId="6B381DAB" w14:textId="77777777" w:rsidTr="006A71E0">
        <w:tc>
          <w:tcPr>
            <w:tcW w:w="8025" w:type="dxa"/>
          </w:tcPr>
          <w:p w14:paraId="7361AD23" w14:textId="60EAF709" w:rsidR="009F066B" w:rsidRDefault="00DD591E" w:rsidP="006A71E0">
            <w:pPr>
              <w:jc w:val="center"/>
            </w:pPr>
            <m:oMath>
              <m:r>
                <w:rPr>
                  <w:rFonts w:ascii="Cambria Math" w:hAnsi="Cambria Math"/>
                </w:rPr>
                <m:t>sigmoid</m:t>
              </m:r>
              <m:d>
                <m:dPr>
                  <m:ctrlPr>
                    <w:rPr>
                      <w:rFonts w:ascii="Cambria Math" w:hAnsi="Cambria Math"/>
                      <w:i/>
                    </w:rPr>
                  </m:ctrlPr>
                </m:dPr>
                <m:e>
                  <m:r>
                    <w:rPr>
                      <w:rFonts w:ascii="Cambria Math" w:hAnsi="Cambria Math"/>
                    </w:rPr>
                    <m:t>x</m:t>
                  </m:r>
                </m:e>
              </m:d>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rPr>
                        <m:t>x</m:t>
                      </m:r>
                    </m:sup>
                  </m:sSup>
                </m:num>
                <m:den>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rPr>
                    <m:t>+1</m:t>
                  </m:r>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x</m:t>
                          </m:r>
                        </m:sub>
                      </m:sSub>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i</m:t>
                          </m:r>
                        </m:sup>
                      </m:sSup>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i</m:t>
                          </m:r>
                        </m:sub>
                      </m:sSub>
                      <m:r>
                        <w:rPr>
                          <w:rFonts w:ascii="Cambria Math" w:hAnsi="Cambria Math"/>
                        </w:rPr>
                        <m:t>)</m:t>
                      </m:r>
                    </m:sup>
                  </m:sSup>
                </m:num>
                <m:den>
                  <m:sSup>
                    <m:sSupPr>
                      <m:ctrlPr>
                        <w:rPr>
                          <w:rFonts w:ascii="Cambria Math" w:hAnsi="Cambria Math"/>
                          <w:i/>
                        </w:rPr>
                      </m:ctrlPr>
                    </m:sSupPr>
                    <m:e>
                      <m:r>
                        <w:rPr>
                          <w:rFonts w:ascii="Cambria Math" w:hAnsi="Cambria Math"/>
                        </w:rPr>
                        <m:t>e</m:t>
                      </m:r>
                    </m:e>
                    <m:sup>
                      <m:d>
                        <m:dPr>
                          <m:ctrlPr>
                            <w:rPr>
                              <w:rFonts w:ascii="Cambria Math" w:hAnsi="Cambria Math"/>
                              <w:i/>
                            </w:rPr>
                          </m:ctrlPr>
                        </m:dPr>
                        <m:e>
                          <m:sSub>
                            <m:sSubPr>
                              <m:ctrlPr>
                                <w:rPr>
                                  <w:rFonts w:ascii="Cambria Math" w:hAnsi="Cambria Math"/>
                                  <w:i/>
                                </w:rPr>
                              </m:ctrlPr>
                            </m:sSubPr>
                            <m:e>
                              <m:r>
                                <w:rPr>
                                  <w:rFonts w:ascii="Cambria Math" w:hAnsi="Cambria Math"/>
                                </w:rPr>
                                <m:t>W</m:t>
                              </m:r>
                            </m:e>
                            <m:sub>
                              <m:r>
                                <w:rPr>
                                  <w:rFonts w:ascii="Cambria Math" w:hAnsi="Cambria Math"/>
                                </w:rPr>
                                <m:t>x</m:t>
                              </m:r>
                            </m:sub>
                          </m:sSub>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i</m:t>
                              </m:r>
                            </m:sup>
                          </m:sSup>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i</m:t>
                              </m:r>
                            </m:sub>
                          </m:sSub>
                        </m:e>
                      </m:d>
                    </m:sup>
                  </m:sSup>
                  <m:r>
                    <w:rPr>
                      <w:rFonts w:ascii="Cambria Math" w:hAnsi="Cambria Math"/>
                    </w:rPr>
                    <m:t>+1</m:t>
                  </m:r>
                </m:den>
              </m:f>
            </m:oMath>
            <w:r w:rsidR="009F066B">
              <w:rPr>
                <w:rFonts w:eastAsiaTheme="minorEastAsia"/>
              </w:rPr>
              <w:t xml:space="preserve"> .</w:t>
            </w:r>
          </w:p>
        </w:tc>
        <w:tc>
          <w:tcPr>
            <w:tcW w:w="992" w:type="dxa"/>
          </w:tcPr>
          <w:p w14:paraId="053C0929" w14:textId="054FE123" w:rsidR="009F066B" w:rsidRDefault="002C693A" w:rsidP="006A71E0">
            <w:pPr>
              <w:jc w:val="right"/>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33</w:t>
            </w:r>
            <w:r w:rsidR="00427B33">
              <w:rPr>
                <w:noProof/>
              </w:rPr>
              <w:fldChar w:fldCharType="end"/>
            </w:r>
            <w:r>
              <w:t>)</w:t>
            </w:r>
          </w:p>
        </w:tc>
      </w:tr>
    </w:tbl>
    <w:p w14:paraId="77B78E05" w14:textId="388400C5" w:rsidR="009F066B" w:rsidRDefault="009F066B" w:rsidP="00A1009D">
      <w:r>
        <w:t>Therefore, the activation function for a first is given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5"/>
        <w:gridCol w:w="992"/>
      </w:tblGrid>
      <w:tr w:rsidR="009F066B" w14:paraId="52E19B0C" w14:textId="77777777" w:rsidTr="006A71E0">
        <w:tc>
          <w:tcPr>
            <w:tcW w:w="8025" w:type="dxa"/>
          </w:tcPr>
          <w:p w14:paraId="2C41B909" w14:textId="36E3F2DB" w:rsidR="009F066B" w:rsidRDefault="00427B33" w:rsidP="006A71E0">
            <w:pPr>
              <w:jc w:val="center"/>
            </w:pPr>
            <m:oMath>
              <m:sSubSup>
                <m:sSubSupPr>
                  <m:ctrlPr>
                    <w:rPr>
                      <w:rFonts w:ascii="Cambria Math" w:eastAsiaTheme="minorEastAsia" w:hAnsi="Cambria Math"/>
                      <w:i/>
                    </w:rPr>
                  </m:ctrlPr>
                </m:sSubSupPr>
                <m:e>
                  <m:r>
                    <w:rPr>
                      <w:rFonts w:ascii="Cambria Math" w:eastAsiaTheme="minorEastAsia" w:hAnsi="Cambria Math"/>
                    </w:rPr>
                    <m:t>a</m:t>
                  </m:r>
                </m:e>
                <m:sub>
                  <m:r>
                    <w:rPr>
                      <w:rFonts w:ascii="Cambria Math" w:eastAsiaTheme="minorEastAsia" w:hAnsi="Cambria Math"/>
                    </w:rPr>
                    <m:t>j</m:t>
                  </m:r>
                </m:sub>
                <m:sup>
                  <m:r>
                    <w:rPr>
                      <w:rFonts w:ascii="Cambria Math" w:eastAsiaTheme="minorEastAsia" w:hAnsi="Cambria Math"/>
                    </w:rPr>
                    <m:t>l</m:t>
                  </m:r>
                </m:sup>
              </m:sSubSup>
              <m:r>
                <w:rPr>
                  <w:rFonts w:ascii="Cambria Math" w:hAnsi="Cambria Math"/>
                </w:rPr>
                <m:t>=</m:t>
              </m:r>
              <m:sSup>
                <m:sSupPr>
                  <m:ctrlPr>
                    <w:rPr>
                      <w:rFonts w:ascii="Cambria Math" w:hAnsi="Cambria Math"/>
                      <w:i/>
                    </w:rPr>
                  </m:ctrlPr>
                </m:sSupPr>
                <m:e>
                  <m:r>
                    <w:rPr>
                      <w:rFonts w:ascii="Cambria Math" w:hAnsi="Cambria Math"/>
                    </w:rPr>
                    <m:t>f</m:t>
                  </m:r>
                </m:e>
                <m:sup>
                  <m:r>
                    <w:rPr>
                      <w:rFonts w:ascii="Cambria Math" w:hAnsi="Cambria Math"/>
                    </w:rPr>
                    <m:t>[l]</m:t>
                  </m:r>
                </m:sup>
              </m:sSup>
              <m:d>
                <m:dPr>
                  <m:ctrlPr>
                    <w:rPr>
                      <w:rFonts w:ascii="Cambria Math" w:hAnsi="Cambria Math"/>
                      <w:i/>
                    </w:rPr>
                  </m:ctrlPr>
                </m:dPr>
                <m:e>
                  <m:sSub>
                    <m:sSubPr>
                      <m:ctrlPr>
                        <w:rPr>
                          <w:rFonts w:ascii="Cambria Math" w:hAnsi="Cambria Math"/>
                          <w:i/>
                        </w:rPr>
                      </m:ctrlPr>
                    </m:sSubPr>
                    <m:e>
                      <m:r>
                        <m:rPr>
                          <m:sty m:val="p"/>
                        </m:rPr>
                        <w:rPr>
                          <w:rFonts w:ascii="Cambria Math" w:hAnsi="Cambria Math"/>
                        </w:rPr>
                        <m:t>Σ</m:t>
                      </m:r>
                    </m:e>
                    <m:sub>
                      <m:r>
                        <w:rPr>
                          <w:rFonts w:ascii="Cambria Math" w:hAnsi="Cambria Math"/>
                        </w:rPr>
                        <m:t>k</m:t>
                      </m:r>
                    </m:sub>
                  </m:sSub>
                  <m:sSubSup>
                    <m:sSubSupPr>
                      <m:ctrlPr>
                        <w:rPr>
                          <w:rFonts w:ascii="Cambria Math" w:hAnsi="Cambria Math"/>
                          <w:i/>
                        </w:rPr>
                      </m:ctrlPr>
                    </m:sSubSupPr>
                    <m:e>
                      <m:r>
                        <w:rPr>
                          <w:rFonts w:ascii="Cambria Math" w:hAnsi="Cambria Math"/>
                        </w:rPr>
                        <m:t>w</m:t>
                      </m:r>
                    </m:e>
                    <m:sub>
                      <m:r>
                        <w:rPr>
                          <w:rFonts w:ascii="Cambria Math" w:hAnsi="Cambria Math"/>
                        </w:rPr>
                        <m:t>jk</m:t>
                      </m:r>
                    </m:sub>
                    <m:sup>
                      <m:r>
                        <w:rPr>
                          <w:rFonts w:ascii="Cambria Math" w:hAnsi="Cambria Math"/>
                        </w:rPr>
                        <m:t>[l]</m:t>
                      </m:r>
                    </m:sup>
                  </m:sSubSup>
                  <m:sSubSup>
                    <m:sSubSupPr>
                      <m:ctrlPr>
                        <w:rPr>
                          <w:rFonts w:ascii="Cambria Math" w:hAnsi="Cambria Math"/>
                          <w:i/>
                        </w:rPr>
                      </m:ctrlPr>
                    </m:sSubSupPr>
                    <m:e>
                      <m:r>
                        <w:rPr>
                          <w:rFonts w:ascii="Cambria Math" w:hAnsi="Cambria Math"/>
                        </w:rPr>
                        <m:t>a</m:t>
                      </m:r>
                    </m:e>
                    <m:sub>
                      <m:r>
                        <w:rPr>
                          <w:rFonts w:ascii="Cambria Math" w:hAnsi="Cambria Math"/>
                        </w:rPr>
                        <m:t>k</m:t>
                      </m:r>
                    </m:sub>
                    <m:sup>
                      <m:r>
                        <w:rPr>
                          <w:rFonts w:ascii="Cambria Math" w:hAnsi="Cambria Math"/>
                        </w:rPr>
                        <m:t>[l-1]</m:t>
                      </m:r>
                    </m:sup>
                  </m:sSubSup>
                  <m:r>
                    <w:rPr>
                      <w:rFonts w:ascii="Cambria Math" w:hAnsi="Cambria Math"/>
                    </w:rPr>
                    <m:t>+</m:t>
                  </m:r>
                  <m:sSubSup>
                    <m:sSubSupPr>
                      <m:ctrlPr>
                        <w:rPr>
                          <w:rFonts w:ascii="Cambria Math" w:hAnsi="Cambria Math"/>
                          <w:i/>
                        </w:rPr>
                      </m:ctrlPr>
                    </m:sSubSupPr>
                    <m:e>
                      <m:r>
                        <w:rPr>
                          <w:rFonts w:ascii="Cambria Math" w:hAnsi="Cambria Math"/>
                        </w:rPr>
                        <m:t>b</m:t>
                      </m:r>
                    </m:e>
                    <m:sub>
                      <m:r>
                        <w:rPr>
                          <w:rFonts w:ascii="Cambria Math" w:hAnsi="Cambria Math"/>
                        </w:rPr>
                        <m:t>j</m:t>
                      </m:r>
                    </m:sub>
                    <m:sup>
                      <m:r>
                        <w:rPr>
                          <w:rFonts w:ascii="Cambria Math" w:hAnsi="Cambria Math"/>
                        </w:rPr>
                        <m:t>[l]</m:t>
                      </m:r>
                    </m:sup>
                  </m:sSubSup>
                </m:e>
              </m:d>
              <m:r>
                <w:rPr>
                  <w:rFonts w:ascii="Cambria Math" w:hAnsi="Cambria Math"/>
                </w:rPr>
                <m:t>=</m:t>
              </m:r>
              <m:sSup>
                <m:sSupPr>
                  <m:ctrlPr>
                    <w:rPr>
                      <w:rFonts w:ascii="Cambria Math" w:hAnsi="Cambria Math"/>
                      <w:i/>
                    </w:rPr>
                  </m:ctrlPr>
                </m:sSupPr>
                <m:e>
                  <m:r>
                    <w:rPr>
                      <w:rFonts w:ascii="Cambria Math" w:hAnsi="Cambria Math"/>
                    </w:rPr>
                    <m:t>f</m:t>
                  </m:r>
                </m:e>
                <m:sup>
                  <m:r>
                    <w:rPr>
                      <w:rFonts w:ascii="Cambria Math" w:hAnsi="Cambria Math"/>
                    </w:rPr>
                    <m:t>[l]</m:t>
                  </m:r>
                </m:sup>
              </m:sSup>
              <m:d>
                <m:dPr>
                  <m:ctrlPr>
                    <w:rPr>
                      <w:rFonts w:ascii="Cambria Math" w:hAnsi="Cambria Math"/>
                      <w:i/>
                    </w:rPr>
                  </m:ctrlPr>
                </m:dPr>
                <m:e>
                  <m:sSubSup>
                    <m:sSubSupPr>
                      <m:ctrlPr>
                        <w:rPr>
                          <w:rFonts w:ascii="Cambria Math" w:hAnsi="Cambria Math"/>
                          <w:i/>
                        </w:rPr>
                      </m:ctrlPr>
                    </m:sSubSupPr>
                    <m:e>
                      <m:r>
                        <w:rPr>
                          <w:rFonts w:ascii="Cambria Math" w:hAnsi="Cambria Math"/>
                        </w:rPr>
                        <m:t>z</m:t>
                      </m:r>
                    </m:e>
                    <m:sub>
                      <m:r>
                        <w:rPr>
                          <w:rFonts w:ascii="Cambria Math" w:hAnsi="Cambria Math"/>
                        </w:rPr>
                        <m:t>j</m:t>
                      </m:r>
                    </m:sub>
                    <m:sup>
                      <m:r>
                        <w:rPr>
                          <w:rFonts w:ascii="Cambria Math" w:hAnsi="Cambria Math"/>
                        </w:rPr>
                        <m:t>[l]</m:t>
                      </m:r>
                    </m:sup>
                  </m:sSubSup>
                </m:e>
              </m:d>
            </m:oMath>
            <w:r w:rsidR="009F066B">
              <w:rPr>
                <w:rFonts w:eastAsiaTheme="minorEastAsia"/>
              </w:rPr>
              <w:t xml:space="preserve"> .</w:t>
            </w:r>
          </w:p>
        </w:tc>
        <w:tc>
          <w:tcPr>
            <w:tcW w:w="992" w:type="dxa"/>
          </w:tcPr>
          <w:p w14:paraId="70644CC2" w14:textId="3E223B78" w:rsidR="009F066B" w:rsidRDefault="002C693A" w:rsidP="006A71E0">
            <w:pPr>
              <w:jc w:val="right"/>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34</w:t>
            </w:r>
            <w:r w:rsidR="00427B33">
              <w:rPr>
                <w:noProof/>
              </w:rPr>
              <w:fldChar w:fldCharType="end"/>
            </w:r>
            <w:r>
              <w:t>)</w:t>
            </w:r>
          </w:p>
        </w:tc>
      </w:tr>
    </w:tbl>
    <w:p w14:paraId="31BD65EB" w14:textId="5474C0FA" w:rsidR="009F066B" w:rsidRDefault="00DB4B64" w:rsidP="00A1009D">
      <w:r>
        <w:t xml:space="preserve">where </w:t>
      </w:r>
      <w:r>
        <w:rPr>
          <w:i/>
          <w:iCs/>
        </w:rPr>
        <w:t>J</w:t>
      </w:r>
      <w:r>
        <w:t xml:space="preserve"> (</w:t>
      </w:r>
      <w:r>
        <w:rPr>
          <w:i/>
          <w:iCs/>
        </w:rPr>
        <w:t>x, w</w:t>
      </w:r>
      <w:r>
        <w:t xml:space="preserve">, </w:t>
      </w:r>
      <w:r>
        <w:rPr>
          <w:i/>
          <w:iCs/>
        </w:rPr>
        <w:t>b</w:t>
      </w:r>
      <w:r>
        <w:t xml:space="preserve">, </w:t>
      </w:r>
      <w:r>
        <w:rPr>
          <w:i/>
          <w:iCs/>
        </w:rPr>
        <w:t>y</w:t>
      </w:r>
      <w:r>
        <w:t>) represent the cost function (bias estimate)</w:t>
      </w:r>
      <w:r w:rsidR="00831467">
        <w:t>, and typically the cost function is given as entropy for optimising the performance of ANN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5"/>
        <w:gridCol w:w="992"/>
      </w:tblGrid>
      <w:tr w:rsidR="00831467" w14:paraId="43F604A8" w14:textId="77777777" w:rsidTr="006A71E0">
        <w:tc>
          <w:tcPr>
            <w:tcW w:w="8025" w:type="dxa"/>
          </w:tcPr>
          <w:p w14:paraId="2346C064" w14:textId="0520649F" w:rsidR="00831467" w:rsidRDefault="00831467" w:rsidP="006A71E0">
            <w:pPr>
              <w:jc w:val="center"/>
            </w:pPr>
            <m:oMath>
              <m:r>
                <w:rPr>
                  <w:rFonts w:ascii="Cambria Math" w:hAnsi="Cambria Math"/>
                </w:rPr>
                <m:t>J</m:t>
              </m:r>
              <m:d>
                <m:dPr>
                  <m:ctrlPr>
                    <w:rPr>
                      <w:rFonts w:ascii="Cambria Math" w:hAnsi="Cambria Math"/>
                      <w:i/>
                    </w:rPr>
                  </m:ctrlPr>
                </m:dPr>
                <m:e>
                  <m:sSup>
                    <m:sSupPr>
                      <m:ctrlPr>
                        <w:rPr>
                          <w:rFonts w:ascii="Cambria Math" w:hAnsi="Cambria Math"/>
                          <w:i/>
                        </w:rPr>
                      </m:ctrlPr>
                    </m:sSupPr>
                    <m:e>
                      <m:r>
                        <w:rPr>
                          <w:rFonts w:ascii="Cambria Math" w:hAnsi="Cambria Math"/>
                        </w:rPr>
                        <m:t>y</m:t>
                      </m:r>
                    </m:e>
                    <m:sup>
                      <m:r>
                        <w:rPr>
                          <w:rFonts w:ascii="Cambria Math" w:hAnsi="Cambria Math"/>
                        </w:rPr>
                        <m:t>pred</m:t>
                      </m:r>
                    </m:sup>
                  </m:sSup>
                  <m:r>
                    <w:rPr>
                      <w:rFonts w:ascii="Cambria Math" w:hAnsi="Cambria Math"/>
                    </w:rPr>
                    <m:t>,y</m:t>
                  </m:r>
                </m:e>
              </m:d>
              <m:r>
                <w:rPr>
                  <w:rFonts w:ascii="Cambria Math" w:hAnsi="Cambria Math"/>
                </w:rPr>
                <m:t>=-</m:t>
              </m:r>
              <m:nary>
                <m:naryPr>
                  <m:chr m:val="∑"/>
                  <m:limLoc m:val="undOvr"/>
                  <m:ctrlPr>
                    <w:rPr>
                      <w:rFonts w:ascii="Cambria Math" w:hAnsi="Cambria Math"/>
                      <w:i/>
                    </w:rPr>
                  </m:ctrlPr>
                </m:naryPr>
                <m:sub>
                  <m:r>
                    <w:rPr>
                      <w:rFonts w:ascii="Cambria Math" w:hAnsi="Cambria Math"/>
                    </w:rPr>
                    <m:t>i=0</m:t>
                  </m:r>
                </m:sub>
                <m:sup>
                  <m:r>
                    <w:rPr>
                      <w:rFonts w:ascii="Cambria Math" w:hAnsi="Cambria Math"/>
                    </w:rPr>
                    <m:t>m</m:t>
                  </m:r>
                </m:sup>
                <m:e>
                  <m:sSup>
                    <m:sSupPr>
                      <m:ctrlPr>
                        <w:rPr>
                          <w:rFonts w:ascii="Cambria Math" w:hAnsi="Cambria Math"/>
                          <w:i/>
                        </w:rPr>
                      </m:ctrlPr>
                    </m:sSupPr>
                    <m:e>
                      <m:r>
                        <w:rPr>
                          <w:rFonts w:ascii="Cambria Math" w:hAnsi="Cambria Math"/>
                        </w:rPr>
                        <m:t>y</m:t>
                      </m:r>
                    </m:e>
                    <m:sup>
                      <m:r>
                        <w:rPr>
                          <w:rFonts w:ascii="Cambria Math" w:hAnsi="Cambria Math"/>
                        </w:rPr>
                        <m:t>(i)</m:t>
                      </m:r>
                    </m:sup>
                  </m:sSup>
                  <m:r>
                    <w:rPr>
                      <w:rFonts w:ascii="Cambria Math" w:hAnsi="Cambria Math"/>
                    </w:rPr>
                    <m:t>log</m:t>
                  </m:r>
                  <m:d>
                    <m:dPr>
                      <m:ctrlPr>
                        <w:rPr>
                          <w:rFonts w:ascii="Cambria Math" w:hAnsi="Cambria Math"/>
                          <w:i/>
                        </w:rPr>
                      </m:ctrlPr>
                    </m:dPr>
                    <m:e>
                      <m:sSup>
                        <m:sSupPr>
                          <m:ctrlPr>
                            <w:rPr>
                              <w:rFonts w:ascii="Cambria Math" w:hAnsi="Cambria Math"/>
                              <w:i/>
                            </w:rPr>
                          </m:ctrlPr>
                        </m:sSupPr>
                        <m:e>
                          <m:r>
                            <w:rPr>
                              <w:rFonts w:ascii="Cambria Math" w:hAnsi="Cambria Math"/>
                            </w:rPr>
                            <m:t>y</m:t>
                          </m:r>
                        </m:e>
                        <m:sup>
                          <m:r>
                            <w:rPr>
                              <w:rFonts w:ascii="Cambria Math" w:hAnsi="Cambria Math"/>
                            </w:rPr>
                            <m:t>pred(i)</m:t>
                          </m:r>
                        </m:sup>
                      </m:sSup>
                    </m:e>
                  </m:d>
                </m:e>
              </m:nary>
            </m:oMath>
            <w:r>
              <w:rPr>
                <w:rFonts w:eastAsiaTheme="minorEastAsia"/>
              </w:rPr>
              <w:t xml:space="preserve"> .</w:t>
            </w:r>
          </w:p>
        </w:tc>
        <w:tc>
          <w:tcPr>
            <w:tcW w:w="992" w:type="dxa"/>
          </w:tcPr>
          <w:p w14:paraId="6C4F9437" w14:textId="10745145" w:rsidR="00831467" w:rsidRDefault="002C693A" w:rsidP="006A71E0">
            <w:pPr>
              <w:jc w:val="right"/>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35</w:t>
            </w:r>
            <w:r w:rsidR="00427B33">
              <w:rPr>
                <w:noProof/>
              </w:rPr>
              <w:fldChar w:fldCharType="end"/>
            </w:r>
            <w:r>
              <w:t>)</w:t>
            </w:r>
          </w:p>
        </w:tc>
      </w:tr>
    </w:tbl>
    <w:p w14:paraId="61A572ED" w14:textId="06CC5F36" w:rsidR="00C330D0" w:rsidRDefault="00AE6A61" w:rsidP="00B766BF">
      <w:r>
        <w:t>Since the thesis uses supervised machine learning simple ANN, Deep learning ANN (DNN) will not be further analyzed since it is beyond the scope of the thesis. In addition, the ANN prediction is used on a binary classification problem with one hidden layer</w:t>
      </w:r>
      <w:r w:rsidR="00F5373B">
        <w:t>. However,</w:t>
      </w:r>
      <w:r>
        <w:t xml:space="preserve"> future research studies of the author will be dedicated to the deep neural networks with multiple hidden layers for multiple classification problems of quasi-faults in hydraulic systems monitoring and comparing energy-based maintenance parameters and other condition monitoring techniques (from the </w:t>
      </w:r>
      <w:r>
        <w:rPr>
          <w:i/>
          <w:iCs/>
        </w:rPr>
        <w:t>p</w:t>
      </w:r>
      <w:r>
        <w:t>-</w:t>
      </w:r>
      <w:r>
        <w:rPr>
          <w:i/>
          <w:iCs/>
        </w:rPr>
        <w:t>f</w:t>
      </w:r>
      <w:r>
        <w:t xml:space="preserve"> curve). The following sub-section provides a practical research problem </w:t>
      </w:r>
      <w:r w:rsidR="00F5373B">
        <w:t>considering</w:t>
      </w:r>
      <w:r>
        <w:t xml:space="preserve"> features from data pre-processing </w:t>
      </w:r>
      <w:r w:rsidR="00F5373B">
        <w:t>used for ANN classification problems</w:t>
      </w:r>
      <w:r>
        <w:t>.</w:t>
      </w:r>
    </w:p>
    <w:p w14:paraId="085AE096" w14:textId="7BF7CC9C" w:rsidR="00A42408" w:rsidRDefault="006713AF" w:rsidP="00A42408">
      <w:pPr>
        <w:pStyle w:val="Heading3"/>
      </w:pPr>
      <w:bookmarkStart w:id="580" w:name="_Toc101274402"/>
      <w:r>
        <w:t>Artificial n</w:t>
      </w:r>
      <w:r w:rsidR="00A42408">
        <w:t>eural network for opening saddle position</w:t>
      </w:r>
      <w:bookmarkEnd w:id="580"/>
    </w:p>
    <w:p w14:paraId="194AE857" w14:textId="567A93FB" w:rsidR="002D7512" w:rsidRDefault="00613B19" w:rsidP="001E6276">
      <w:r>
        <w:t>Opening saddle position data is divided into 70/30 proportion, i.e., training and testing (</w:t>
      </w:r>
      <w:r>
        <w:fldChar w:fldCharType="begin"/>
      </w:r>
      <w:r>
        <w:instrText xml:space="preserve"> REF _Ref98669849 \h </w:instrText>
      </w:r>
      <w:r>
        <w:fldChar w:fldCharType="separate"/>
      </w:r>
      <w:r w:rsidR="00587AF0">
        <w:t xml:space="preserve">Table </w:t>
      </w:r>
      <w:r w:rsidR="00587AF0">
        <w:rPr>
          <w:noProof/>
        </w:rPr>
        <w:t>31</w:t>
      </w:r>
      <w:r>
        <w:fldChar w:fldCharType="end"/>
      </w:r>
      <w:r>
        <w:t>)</w:t>
      </w:r>
      <w:r w:rsidR="00F5373B">
        <w:t>, s</w:t>
      </w:r>
      <w:r>
        <w:t>ince there were no missing values nor biased data as in the case for closing and idle saddle position (e.g., replacement of sensors) that could potentially cause estimation bias and inaccuracy in prediction properties</w:t>
      </w:r>
      <w:r w:rsidR="00F5373B">
        <w:t>,</w:t>
      </w:r>
      <w:r>
        <w:t xml:space="preserve"> the full data set is used.</w:t>
      </w:r>
    </w:p>
    <w:p w14:paraId="709975B3" w14:textId="7CE1D92F" w:rsidR="002D7512" w:rsidRPr="002D7512" w:rsidRDefault="00991B49" w:rsidP="00991B49">
      <w:pPr>
        <w:pStyle w:val="Caption"/>
        <w:jc w:val="both"/>
        <w:rPr>
          <w:lang w:val="sr-Latn-RS"/>
        </w:rPr>
      </w:pPr>
      <w:bookmarkStart w:id="581" w:name="_Ref98669849"/>
      <w:bookmarkStart w:id="582" w:name="_Toc101274471"/>
      <w:r>
        <w:t xml:space="preserve">Table </w:t>
      </w:r>
      <w:fldSimple w:instr=" SEQ Table \* ARABIC ">
        <w:r w:rsidR="00587AF0">
          <w:rPr>
            <w:noProof/>
          </w:rPr>
          <w:t>31</w:t>
        </w:r>
      </w:fldSimple>
      <w:bookmarkEnd w:id="581"/>
      <w:r>
        <w:t>. Model summary</w:t>
      </w:r>
      <w:r w:rsidR="008034ED">
        <w:t xml:space="preserve"> for opening saddle position</w:t>
      </w:r>
      <w:bookmarkEnd w:id="582"/>
    </w:p>
    <w:tbl>
      <w:tblPr>
        <w:tblW w:w="5000" w:type="pct"/>
        <w:tblCellMar>
          <w:left w:w="0" w:type="dxa"/>
          <w:right w:w="0" w:type="dxa"/>
        </w:tblCellMar>
        <w:tblLook w:val="0000" w:firstRow="0" w:lastRow="0" w:firstColumn="0" w:lastColumn="0" w:noHBand="0" w:noVBand="0"/>
      </w:tblPr>
      <w:tblGrid>
        <w:gridCol w:w="2380"/>
        <w:gridCol w:w="2706"/>
        <w:gridCol w:w="1435"/>
        <w:gridCol w:w="2506"/>
      </w:tblGrid>
      <w:tr w:rsidR="004D6CCB" w:rsidRPr="00543079" w14:paraId="3A57750E" w14:textId="77777777" w:rsidTr="000704D1">
        <w:trPr>
          <w:cantSplit/>
        </w:trPr>
        <w:tc>
          <w:tcPr>
            <w:tcW w:w="2817" w:type="pct"/>
            <w:gridSpan w:val="2"/>
            <w:tcBorders>
              <w:top w:val="single" w:sz="4" w:space="0" w:color="auto"/>
              <w:left w:val="nil"/>
              <w:bottom w:val="single" w:sz="4" w:space="0" w:color="auto"/>
            </w:tcBorders>
            <w:shd w:val="clear" w:color="auto" w:fill="auto"/>
            <w:vAlign w:val="bottom"/>
          </w:tcPr>
          <w:p w14:paraId="77EE4A49" w14:textId="680F4378" w:rsidR="002D7512" w:rsidRPr="00543079" w:rsidRDefault="000704D1" w:rsidP="00E34A5B">
            <w:pPr>
              <w:autoSpaceDE w:val="0"/>
              <w:autoSpaceDN w:val="0"/>
              <w:adjustRightInd w:val="0"/>
              <w:spacing w:before="0" w:after="0"/>
              <w:ind w:left="57" w:right="57"/>
              <w:jc w:val="left"/>
              <w:rPr>
                <w:rFonts w:cs="Times New Roman"/>
                <w:b/>
                <w:bCs/>
                <w:sz w:val="20"/>
                <w:szCs w:val="20"/>
                <w:lang w:val="sr-Latn-RS"/>
              </w:rPr>
            </w:pPr>
            <w:r w:rsidRPr="00543079">
              <w:rPr>
                <w:rFonts w:cs="Times New Roman"/>
                <w:b/>
                <w:bCs/>
                <w:sz w:val="20"/>
                <w:szCs w:val="20"/>
                <w:lang w:val="sr-Latn-RS"/>
              </w:rPr>
              <w:t>Data</w:t>
            </w:r>
          </w:p>
        </w:tc>
        <w:tc>
          <w:tcPr>
            <w:tcW w:w="795" w:type="pct"/>
            <w:tcBorders>
              <w:top w:val="single" w:sz="4" w:space="0" w:color="auto"/>
              <w:bottom w:val="single" w:sz="4" w:space="0" w:color="auto"/>
            </w:tcBorders>
            <w:shd w:val="clear" w:color="auto" w:fill="auto"/>
            <w:vAlign w:val="bottom"/>
          </w:tcPr>
          <w:p w14:paraId="0BA4C23E" w14:textId="3FE43428" w:rsidR="002D7512" w:rsidRPr="00543079" w:rsidRDefault="00543079" w:rsidP="00543079">
            <w:pPr>
              <w:autoSpaceDE w:val="0"/>
              <w:autoSpaceDN w:val="0"/>
              <w:adjustRightInd w:val="0"/>
              <w:spacing w:before="0" w:after="0"/>
              <w:ind w:left="60" w:right="60"/>
              <w:jc w:val="center"/>
              <w:rPr>
                <w:rFonts w:cs="Arial"/>
                <w:b/>
                <w:bCs/>
                <w:sz w:val="20"/>
                <w:szCs w:val="20"/>
                <w:lang w:val="sr-Latn-RS"/>
              </w:rPr>
            </w:pPr>
            <w:r>
              <w:rPr>
                <w:rFonts w:cs="Arial"/>
                <w:b/>
                <w:bCs/>
                <w:sz w:val="20"/>
                <w:szCs w:val="20"/>
                <w:lang w:val="sr-Latn-RS"/>
              </w:rPr>
              <w:t>n</w:t>
            </w:r>
          </w:p>
        </w:tc>
        <w:tc>
          <w:tcPr>
            <w:tcW w:w="1388" w:type="pct"/>
            <w:tcBorders>
              <w:top w:val="single" w:sz="4" w:space="0" w:color="auto"/>
              <w:bottom w:val="single" w:sz="4" w:space="0" w:color="auto"/>
              <w:right w:val="nil"/>
            </w:tcBorders>
            <w:shd w:val="clear" w:color="auto" w:fill="auto"/>
            <w:vAlign w:val="bottom"/>
          </w:tcPr>
          <w:p w14:paraId="4ABC7168" w14:textId="4B912CE6" w:rsidR="002D7512" w:rsidRPr="00543079" w:rsidRDefault="00F5373B" w:rsidP="00543079">
            <w:pPr>
              <w:autoSpaceDE w:val="0"/>
              <w:autoSpaceDN w:val="0"/>
              <w:adjustRightInd w:val="0"/>
              <w:spacing w:before="0" w:after="0"/>
              <w:ind w:left="60" w:right="60"/>
              <w:jc w:val="right"/>
              <w:rPr>
                <w:rFonts w:cs="Arial"/>
                <w:b/>
                <w:bCs/>
                <w:sz w:val="20"/>
                <w:szCs w:val="20"/>
                <w:lang w:val="sr-Latn-RS"/>
              </w:rPr>
            </w:pPr>
            <w:r>
              <w:rPr>
                <w:rFonts w:cs="Arial"/>
                <w:b/>
                <w:bCs/>
                <w:sz w:val="20"/>
                <w:szCs w:val="20"/>
                <w:lang w:val="sr-Latn-RS"/>
              </w:rPr>
              <w:t>Proportion</w:t>
            </w:r>
          </w:p>
        </w:tc>
      </w:tr>
      <w:tr w:rsidR="00047378" w:rsidRPr="00543079" w14:paraId="2298B2A8" w14:textId="77777777" w:rsidTr="000704D1">
        <w:trPr>
          <w:cantSplit/>
        </w:trPr>
        <w:tc>
          <w:tcPr>
            <w:tcW w:w="1318" w:type="pct"/>
            <w:vMerge w:val="restart"/>
            <w:tcBorders>
              <w:top w:val="single" w:sz="4" w:space="0" w:color="auto"/>
              <w:left w:val="nil"/>
            </w:tcBorders>
            <w:shd w:val="clear" w:color="auto" w:fill="auto"/>
          </w:tcPr>
          <w:p w14:paraId="48325E7F" w14:textId="77777777" w:rsidR="00047378" w:rsidRPr="00543079" w:rsidRDefault="00047378" w:rsidP="00047378">
            <w:pPr>
              <w:autoSpaceDE w:val="0"/>
              <w:autoSpaceDN w:val="0"/>
              <w:adjustRightInd w:val="0"/>
              <w:spacing w:before="0" w:after="0"/>
              <w:ind w:left="60" w:right="60"/>
              <w:jc w:val="left"/>
              <w:rPr>
                <w:rFonts w:cs="Arial"/>
                <w:sz w:val="20"/>
                <w:szCs w:val="20"/>
                <w:lang w:val="sr-Latn-RS"/>
              </w:rPr>
            </w:pPr>
            <w:r w:rsidRPr="00543079">
              <w:rPr>
                <w:rFonts w:cs="Arial"/>
                <w:sz w:val="20"/>
                <w:szCs w:val="20"/>
                <w:lang w:val="sr-Latn-RS"/>
              </w:rPr>
              <w:t>Sample</w:t>
            </w:r>
          </w:p>
        </w:tc>
        <w:tc>
          <w:tcPr>
            <w:tcW w:w="1499" w:type="pct"/>
            <w:tcBorders>
              <w:top w:val="single" w:sz="4" w:space="0" w:color="auto"/>
            </w:tcBorders>
            <w:shd w:val="clear" w:color="auto" w:fill="auto"/>
          </w:tcPr>
          <w:p w14:paraId="4F6001C2" w14:textId="77777777" w:rsidR="00047378" w:rsidRPr="00543079" w:rsidRDefault="00047378" w:rsidP="00047378">
            <w:pPr>
              <w:autoSpaceDE w:val="0"/>
              <w:autoSpaceDN w:val="0"/>
              <w:adjustRightInd w:val="0"/>
              <w:spacing w:before="0" w:after="0"/>
              <w:ind w:left="60" w:right="60"/>
              <w:jc w:val="left"/>
              <w:rPr>
                <w:rFonts w:cs="Arial"/>
                <w:sz w:val="20"/>
                <w:szCs w:val="20"/>
                <w:lang w:val="sr-Latn-RS"/>
              </w:rPr>
            </w:pPr>
            <w:r w:rsidRPr="00543079">
              <w:rPr>
                <w:rFonts w:cs="Arial"/>
                <w:sz w:val="20"/>
                <w:szCs w:val="20"/>
                <w:lang w:val="sr-Latn-RS"/>
              </w:rPr>
              <w:t>Training</w:t>
            </w:r>
          </w:p>
        </w:tc>
        <w:tc>
          <w:tcPr>
            <w:tcW w:w="795" w:type="pct"/>
            <w:tcBorders>
              <w:top w:val="single" w:sz="4" w:space="0" w:color="auto"/>
            </w:tcBorders>
            <w:shd w:val="clear" w:color="auto" w:fill="auto"/>
          </w:tcPr>
          <w:p w14:paraId="31303E3A" w14:textId="5F9385C9" w:rsidR="00047378" w:rsidRPr="00543079" w:rsidRDefault="00047378" w:rsidP="00047378">
            <w:pPr>
              <w:autoSpaceDE w:val="0"/>
              <w:autoSpaceDN w:val="0"/>
              <w:adjustRightInd w:val="0"/>
              <w:spacing w:before="0" w:after="0"/>
              <w:ind w:left="60" w:right="60"/>
              <w:jc w:val="right"/>
              <w:rPr>
                <w:rFonts w:cs="Arial"/>
                <w:sz w:val="20"/>
                <w:szCs w:val="20"/>
                <w:lang w:val="sr-Latn-RS"/>
              </w:rPr>
            </w:pPr>
            <w:r w:rsidRPr="00543079">
              <w:rPr>
                <w:sz w:val="20"/>
                <w:szCs w:val="20"/>
              </w:rPr>
              <w:t>686</w:t>
            </w:r>
          </w:p>
        </w:tc>
        <w:tc>
          <w:tcPr>
            <w:tcW w:w="1388" w:type="pct"/>
            <w:tcBorders>
              <w:top w:val="single" w:sz="4" w:space="0" w:color="auto"/>
              <w:right w:val="nil"/>
            </w:tcBorders>
            <w:shd w:val="clear" w:color="auto" w:fill="auto"/>
          </w:tcPr>
          <w:p w14:paraId="22D00D3D" w14:textId="2D18BFBF" w:rsidR="00047378" w:rsidRPr="00543079" w:rsidRDefault="007F4E7E" w:rsidP="00047378">
            <w:pPr>
              <w:autoSpaceDE w:val="0"/>
              <w:autoSpaceDN w:val="0"/>
              <w:adjustRightInd w:val="0"/>
              <w:spacing w:before="0" w:after="0"/>
              <w:ind w:left="60" w:right="60"/>
              <w:jc w:val="right"/>
              <w:rPr>
                <w:rFonts w:cs="Arial"/>
                <w:sz w:val="20"/>
                <w:szCs w:val="20"/>
                <w:lang w:val="sr-Latn-RS"/>
              </w:rPr>
            </w:pPr>
            <w:r w:rsidRPr="00543079">
              <w:rPr>
                <w:sz w:val="20"/>
                <w:szCs w:val="20"/>
              </w:rPr>
              <w:t>70</w:t>
            </w:r>
            <w:r w:rsidR="00543079">
              <w:rPr>
                <w:sz w:val="20"/>
                <w:szCs w:val="20"/>
              </w:rPr>
              <w:t>.</w:t>
            </w:r>
            <w:r w:rsidR="00047378" w:rsidRPr="00543079">
              <w:rPr>
                <w:sz w:val="20"/>
                <w:szCs w:val="20"/>
              </w:rPr>
              <w:t>0%</w:t>
            </w:r>
          </w:p>
        </w:tc>
      </w:tr>
      <w:tr w:rsidR="00047378" w:rsidRPr="00543079" w14:paraId="05F6376F" w14:textId="77777777" w:rsidTr="000704D1">
        <w:trPr>
          <w:cantSplit/>
        </w:trPr>
        <w:tc>
          <w:tcPr>
            <w:tcW w:w="1318" w:type="pct"/>
            <w:vMerge/>
            <w:tcBorders>
              <w:left w:val="nil"/>
            </w:tcBorders>
            <w:shd w:val="clear" w:color="auto" w:fill="auto"/>
          </w:tcPr>
          <w:p w14:paraId="570A942C" w14:textId="77777777" w:rsidR="00047378" w:rsidRPr="00543079" w:rsidRDefault="00047378" w:rsidP="00047378">
            <w:pPr>
              <w:autoSpaceDE w:val="0"/>
              <w:autoSpaceDN w:val="0"/>
              <w:adjustRightInd w:val="0"/>
              <w:spacing w:before="0" w:after="0"/>
              <w:jc w:val="left"/>
              <w:rPr>
                <w:rFonts w:cs="Arial"/>
                <w:sz w:val="20"/>
                <w:szCs w:val="20"/>
                <w:lang w:val="sr-Latn-RS"/>
              </w:rPr>
            </w:pPr>
          </w:p>
        </w:tc>
        <w:tc>
          <w:tcPr>
            <w:tcW w:w="1499" w:type="pct"/>
            <w:shd w:val="clear" w:color="auto" w:fill="auto"/>
          </w:tcPr>
          <w:p w14:paraId="4BE33E37" w14:textId="77777777" w:rsidR="00047378" w:rsidRPr="00543079" w:rsidRDefault="00047378" w:rsidP="00047378">
            <w:pPr>
              <w:autoSpaceDE w:val="0"/>
              <w:autoSpaceDN w:val="0"/>
              <w:adjustRightInd w:val="0"/>
              <w:spacing w:before="0" w:after="0"/>
              <w:ind w:left="60" w:right="60"/>
              <w:jc w:val="left"/>
              <w:rPr>
                <w:rFonts w:cs="Arial"/>
                <w:sz w:val="20"/>
                <w:szCs w:val="20"/>
                <w:lang w:val="sr-Latn-RS"/>
              </w:rPr>
            </w:pPr>
            <w:r w:rsidRPr="00543079">
              <w:rPr>
                <w:rFonts w:cs="Arial"/>
                <w:sz w:val="20"/>
                <w:szCs w:val="20"/>
                <w:lang w:val="sr-Latn-RS"/>
              </w:rPr>
              <w:t>Testing</w:t>
            </w:r>
          </w:p>
        </w:tc>
        <w:tc>
          <w:tcPr>
            <w:tcW w:w="795" w:type="pct"/>
            <w:shd w:val="clear" w:color="auto" w:fill="auto"/>
          </w:tcPr>
          <w:p w14:paraId="67D6A2D6" w14:textId="08C7DC8E" w:rsidR="00047378" w:rsidRPr="00543079" w:rsidRDefault="007F4E7E" w:rsidP="00047378">
            <w:pPr>
              <w:autoSpaceDE w:val="0"/>
              <w:autoSpaceDN w:val="0"/>
              <w:adjustRightInd w:val="0"/>
              <w:spacing w:before="0" w:after="0"/>
              <w:ind w:left="60" w:right="60"/>
              <w:jc w:val="right"/>
              <w:rPr>
                <w:rFonts w:cs="Arial"/>
                <w:sz w:val="20"/>
                <w:szCs w:val="20"/>
                <w:lang w:val="sr-Latn-RS"/>
              </w:rPr>
            </w:pPr>
            <w:r w:rsidRPr="00543079">
              <w:rPr>
                <w:sz w:val="20"/>
                <w:szCs w:val="20"/>
              </w:rPr>
              <w:t>294</w:t>
            </w:r>
          </w:p>
        </w:tc>
        <w:tc>
          <w:tcPr>
            <w:tcW w:w="1388" w:type="pct"/>
            <w:tcBorders>
              <w:right w:val="nil"/>
            </w:tcBorders>
            <w:shd w:val="clear" w:color="auto" w:fill="auto"/>
          </w:tcPr>
          <w:p w14:paraId="3031EA4C" w14:textId="4D4BA8BC" w:rsidR="00047378" w:rsidRPr="00543079" w:rsidRDefault="007F4E7E" w:rsidP="00047378">
            <w:pPr>
              <w:autoSpaceDE w:val="0"/>
              <w:autoSpaceDN w:val="0"/>
              <w:adjustRightInd w:val="0"/>
              <w:spacing w:before="0" w:after="0"/>
              <w:ind w:left="60" w:right="60"/>
              <w:jc w:val="right"/>
              <w:rPr>
                <w:rFonts w:cs="Arial"/>
                <w:sz w:val="20"/>
                <w:szCs w:val="20"/>
                <w:lang w:val="sr-Latn-RS"/>
              </w:rPr>
            </w:pPr>
            <w:r w:rsidRPr="00543079">
              <w:rPr>
                <w:sz w:val="20"/>
                <w:szCs w:val="20"/>
              </w:rPr>
              <w:t>3</w:t>
            </w:r>
            <w:r w:rsidR="00047378" w:rsidRPr="00543079">
              <w:rPr>
                <w:sz w:val="20"/>
                <w:szCs w:val="20"/>
              </w:rPr>
              <w:t>0</w:t>
            </w:r>
            <w:r w:rsidR="00543079">
              <w:rPr>
                <w:sz w:val="20"/>
                <w:szCs w:val="20"/>
              </w:rPr>
              <w:t>.</w:t>
            </w:r>
            <w:r w:rsidR="00047378" w:rsidRPr="00543079">
              <w:rPr>
                <w:sz w:val="20"/>
                <w:szCs w:val="20"/>
              </w:rPr>
              <w:t>0%</w:t>
            </w:r>
          </w:p>
        </w:tc>
      </w:tr>
      <w:tr w:rsidR="004D6CCB" w:rsidRPr="00543079" w14:paraId="2A2AEC9C" w14:textId="77777777" w:rsidTr="000704D1">
        <w:trPr>
          <w:cantSplit/>
        </w:trPr>
        <w:tc>
          <w:tcPr>
            <w:tcW w:w="2817" w:type="pct"/>
            <w:gridSpan w:val="2"/>
            <w:tcBorders>
              <w:left w:val="nil"/>
              <w:bottom w:val="single" w:sz="4" w:space="0" w:color="auto"/>
            </w:tcBorders>
            <w:shd w:val="clear" w:color="auto" w:fill="auto"/>
          </w:tcPr>
          <w:p w14:paraId="3B5D00D5" w14:textId="77777777" w:rsidR="002D7512" w:rsidRPr="00543079" w:rsidRDefault="002D7512" w:rsidP="00A76F5D">
            <w:pPr>
              <w:autoSpaceDE w:val="0"/>
              <w:autoSpaceDN w:val="0"/>
              <w:adjustRightInd w:val="0"/>
              <w:spacing w:before="0" w:after="0"/>
              <w:ind w:left="60" w:right="60"/>
              <w:jc w:val="left"/>
              <w:rPr>
                <w:rFonts w:cs="Arial"/>
                <w:sz w:val="20"/>
                <w:szCs w:val="20"/>
                <w:lang w:val="sr-Latn-RS"/>
              </w:rPr>
            </w:pPr>
            <w:r w:rsidRPr="00543079">
              <w:rPr>
                <w:rFonts w:cs="Arial"/>
                <w:sz w:val="20"/>
                <w:szCs w:val="20"/>
                <w:lang w:val="sr-Latn-RS"/>
              </w:rPr>
              <w:t>Total</w:t>
            </w:r>
          </w:p>
        </w:tc>
        <w:tc>
          <w:tcPr>
            <w:tcW w:w="795" w:type="pct"/>
            <w:tcBorders>
              <w:bottom w:val="single" w:sz="4" w:space="0" w:color="auto"/>
            </w:tcBorders>
            <w:shd w:val="clear" w:color="auto" w:fill="auto"/>
          </w:tcPr>
          <w:p w14:paraId="79F5B03C" w14:textId="77777777" w:rsidR="002D7512" w:rsidRPr="00543079" w:rsidRDefault="002D7512" w:rsidP="00A76F5D">
            <w:pPr>
              <w:autoSpaceDE w:val="0"/>
              <w:autoSpaceDN w:val="0"/>
              <w:adjustRightInd w:val="0"/>
              <w:spacing w:before="0" w:after="0"/>
              <w:ind w:left="60" w:right="60"/>
              <w:jc w:val="right"/>
              <w:rPr>
                <w:rFonts w:cs="Arial"/>
                <w:sz w:val="20"/>
                <w:szCs w:val="20"/>
                <w:lang w:val="sr-Latn-RS"/>
              </w:rPr>
            </w:pPr>
            <w:r w:rsidRPr="00543079">
              <w:rPr>
                <w:rFonts w:cs="Arial"/>
                <w:sz w:val="20"/>
                <w:szCs w:val="20"/>
                <w:lang w:val="sr-Latn-RS"/>
              </w:rPr>
              <w:t>980</w:t>
            </w:r>
          </w:p>
        </w:tc>
        <w:tc>
          <w:tcPr>
            <w:tcW w:w="1388" w:type="pct"/>
            <w:tcBorders>
              <w:bottom w:val="single" w:sz="4" w:space="0" w:color="auto"/>
              <w:right w:val="nil"/>
            </w:tcBorders>
            <w:shd w:val="clear" w:color="auto" w:fill="auto"/>
            <w:vAlign w:val="center"/>
          </w:tcPr>
          <w:p w14:paraId="6176EB3A" w14:textId="77777777" w:rsidR="002D7512" w:rsidRPr="00543079" w:rsidRDefault="002D7512" w:rsidP="00A76F5D">
            <w:pPr>
              <w:autoSpaceDE w:val="0"/>
              <w:autoSpaceDN w:val="0"/>
              <w:adjustRightInd w:val="0"/>
              <w:spacing w:before="0" w:after="0"/>
              <w:jc w:val="left"/>
              <w:rPr>
                <w:rFonts w:cs="Times New Roman"/>
                <w:sz w:val="20"/>
                <w:szCs w:val="20"/>
                <w:lang w:val="sr-Latn-RS"/>
              </w:rPr>
            </w:pPr>
          </w:p>
        </w:tc>
      </w:tr>
    </w:tbl>
    <w:p w14:paraId="4BA6C33F" w14:textId="11ACD583" w:rsidR="00B8249D" w:rsidRPr="00B8249D" w:rsidRDefault="00A85646" w:rsidP="001E6276">
      <w:pPr>
        <w:rPr>
          <w:lang w:val="sr-Latn-RS"/>
        </w:rPr>
      </w:pPr>
      <w:r>
        <w:rPr>
          <w:lang w:val="sr-Latn-RS"/>
        </w:rPr>
        <w:t>All of the input layer data a</w:t>
      </w:r>
      <w:r w:rsidR="00F5373B">
        <w:rPr>
          <w:lang w:val="sr-Latn-RS"/>
        </w:rPr>
        <w:t>nd</w:t>
      </w:r>
      <w:r>
        <w:rPr>
          <w:lang w:val="sr-Latn-RS"/>
        </w:rPr>
        <w:t xml:space="preserve"> ANN component models, including </w:t>
      </w:r>
      <w:r w:rsidR="00F5373B">
        <w:rPr>
          <w:lang w:val="sr-Latn-RS"/>
        </w:rPr>
        <w:t>many</w:t>
      </w:r>
      <w:r>
        <w:rPr>
          <w:lang w:val="sr-Latn-RS"/>
        </w:rPr>
        <w:t xml:space="preserve"> hidden layers, units, type of activation function for </w:t>
      </w:r>
      <w:r w:rsidR="00F5373B">
        <w:rPr>
          <w:lang w:val="sr-Latn-RS"/>
        </w:rPr>
        <w:t xml:space="preserve">the </w:t>
      </w:r>
      <w:r>
        <w:rPr>
          <w:lang w:val="sr-Latn-RS"/>
        </w:rPr>
        <w:t xml:space="preserve">hidden layer and all of the associated variables and parameters for </w:t>
      </w:r>
      <w:r w:rsidR="00F5373B">
        <w:rPr>
          <w:lang w:val="sr-Latn-RS"/>
        </w:rPr>
        <w:t xml:space="preserve">the </w:t>
      </w:r>
      <w:r>
        <w:rPr>
          <w:lang w:val="sr-Latn-RS"/>
        </w:rPr>
        <w:t>output layer</w:t>
      </w:r>
      <w:r w:rsidR="00F5373B">
        <w:rPr>
          <w:lang w:val="sr-Latn-RS"/>
        </w:rPr>
        <w:t>,</w:t>
      </w:r>
      <w:r>
        <w:rPr>
          <w:lang w:val="sr-Latn-RS"/>
        </w:rPr>
        <w:t xml:space="preserve"> are given in </w:t>
      </w:r>
      <w:r>
        <w:rPr>
          <w:lang w:val="sr-Latn-RS"/>
        </w:rPr>
        <w:fldChar w:fldCharType="begin"/>
      </w:r>
      <w:r>
        <w:rPr>
          <w:lang w:val="sr-Latn-RS"/>
        </w:rPr>
        <w:instrText xml:space="preserve"> REF _Ref98669937 \h </w:instrText>
      </w:r>
      <w:r>
        <w:rPr>
          <w:lang w:val="sr-Latn-RS"/>
        </w:rPr>
      </w:r>
      <w:r>
        <w:rPr>
          <w:lang w:val="sr-Latn-RS"/>
        </w:rPr>
        <w:fldChar w:fldCharType="separate"/>
      </w:r>
      <w:r w:rsidR="00587AF0">
        <w:t xml:space="preserve">Table </w:t>
      </w:r>
      <w:r w:rsidR="00587AF0">
        <w:rPr>
          <w:noProof/>
        </w:rPr>
        <w:t>32</w:t>
      </w:r>
      <w:r>
        <w:rPr>
          <w:lang w:val="sr-Latn-RS"/>
        </w:rPr>
        <w:fldChar w:fldCharType="end"/>
      </w:r>
      <w:r>
        <w:rPr>
          <w:lang w:val="sr-Latn-RS"/>
        </w:rPr>
        <w:t>.</w:t>
      </w:r>
    </w:p>
    <w:p w14:paraId="3F77DFB0" w14:textId="3C9B2CBE" w:rsidR="00B8249D" w:rsidRDefault="00B8249D" w:rsidP="00B8249D">
      <w:pPr>
        <w:pStyle w:val="Caption"/>
        <w:keepNext/>
        <w:jc w:val="left"/>
      </w:pPr>
      <w:bookmarkStart w:id="583" w:name="_Ref98669937"/>
      <w:bookmarkStart w:id="584" w:name="_Toc101274472"/>
      <w:r>
        <w:lastRenderedPageBreak/>
        <w:t xml:space="preserve">Table </w:t>
      </w:r>
      <w:fldSimple w:instr=" SEQ Table \* ARABIC ">
        <w:r w:rsidR="00587AF0">
          <w:rPr>
            <w:noProof/>
          </w:rPr>
          <w:t>32</w:t>
        </w:r>
      </w:fldSimple>
      <w:bookmarkEnd w:id="583"/>
      <w:r>
        <w:t>. Neural network information</w:t>
      </w:r>
      <w:r w:rsidR="001C68FA">
        <w:t xml:space="preserve"> </w:t>
      </w:r>
      <w:r w:rsidR="003D1DC4">
        <w:t xml:space="preserve">and parameters </w:t>
      </w:r>
      <w:r w:rsidR="001C68FA">
        <w:t>for opening saddle position</w:t>
      </w:r>
      <w:bookmarkEnd w:id="584"/>
    </w:p>
    <w:tbl>
      <w:tblPr>
        <w:tblW w:w="5000" w:type="pct"/>
        <w:tblCellMar>
          <w:left w:w="0" w:type="dxa"/>
          <w:right w:w="0" w:type="dxa"/>
        </w:tblCellMar>
        <w:tblLook w:val="0000" w:firstRow="0" w:lastRow="0" w:firstColumn="0" w:lastColumn="0" w:noHBand="0" w:noVBand="0"/>
      </w:tblPr>
      <w:tblGrid>
        <w:gridCol w:w="2200"/>
        <w:gridCol w:w="2091"/>
        <w:gridCol w:w="2674"/>
        <w:gridCol w:w="2062"/>
      </w:tblGrid>
      <w:tr w:rsidR="00B8249D" w:rsidRPr="00B8249D" w14:paraId="4490924F" w14:textId="77777777" w:rsidTr="00B8249D">
        <w:trPr>
          <w:cantSplit/>
        </w:trPr>
        <w:tc>
          <w:tcPr>
            <w:tcW w:w="1219" w:type="pct"/>
            <w:tcBorders>
              <w:top w:val="single" w:sz="4" w:space="0" w:color="auto"/>
              <w:bottom w:val="single" w:sz="4" w:space="0" w:color="auto"/>
            </w:tcBorders>
            <w:shd w:val="clear" w:color="auto" w:fill="auto"/>
            <w:vAlign w:val="center"/>
          </w:tcPr>
          <w:p w14:paraId="13BB37A2" w14:textId="3F7E92C1" w:rsidR="00B8249D" w:rsidRPr="00543079" w:rsidRDefault="00437BE9" w:rsidP="00B8249D">
            <w:pPr>
              <w:spacing w:before="0" w:after="0" w:line="60" w:lineRule="atLeast"/>
              <w:ind w:left="57" w:right="57"/>
              <w:jc w:val="left"/>
              <w:rPr>
                <w:b/>
                <w:bCs/>
                <w:sz w:val="20"/>
                <w:szCs w:val="20"/>
                <w:lang w:val="sr-Latn-RS"/>
              </w:rPr>
            </w:pPr>
            <w:r w:rsidRPr="00543079">
              <w:rPr>
                <w:b/>
                <w:bCs/>
                <w:sz w:val="20"/>
                <w:szCs w:val="20"/>
                <w:lang w:val="sr-Latn-RS"/>
              </w:rPr>
              <w:t>Layers information</w:t>
            </w:r>
          </w:p>
        </w:tc>
        <w:tc>
          <w:tcPr>
            <w:tcW w:w="1158" w:type="pct"/>
            <w:tcBorders>
              <w:top w:val="single" w:sz="4" w:space="0" w:color="auto"/>
              <w:bottom w:val="single" w:sz="4" w:space="0" w:color="auto"/>
            </w:tcBorders>
            <w:shd w:val="clear" w:color="auto" w:fill="auto"/>
            <w:vAlign w:val="center"/>
          </w:tcPr>
          <w:p w14:paraId="10520092" w14:textId="5C4508EB" w:rsidR="00B8249D" w:rsidRPr="00543079" w:rsidRDefault="00437BE9" w:rsidP="00B8249D">
            <w:pPr>
              <w:spacing w:before="0" w:after="0" w:line="60" w:lineRule="atLeast"/>
              <w:ind w:left="57" w:right="57"/>
              <w:jc w:val="left"/>
              <w:rPr>
                <w:b/>
                <w:bCs/>
                <w:sz w:val="20"/>
                <w:szCs w:val="20"/>
                <w:lang w:val="sr-Latn-RS"/>
              </w:rPr>
            </w:pPr>
            <w:r w:rsidRPr="00543079">
              <w:rPr>
                <w:b/>
                <w:bCs/>
                <w:sz w:val="20"/>
                <w:szCs w:val="20"/>
                <w:lang w:val="sr-Latn-RS"/>
              </w:rPr>
              <w:t>Covariates and data</w:t>
            </w:r>
          </w:p>
        </w:tc>
        <w:tc>
          <w:tcPr>
            <w:tcW w:w="1481" w:type="pct"/>
            <w:tcBorders>
              <w:top w:val="single" w:sz="4" w:space="0" w:color="auto"/>
              <w:bottom w:val="single" w:sz="4" w:space="0" w:color="auto"/>
            </w:tcBorders>
            <w:shd w:val="clear" w:color="auto" w:fill="auto"/>
            <w:vAlign w:val="center"/>
          </w:tcPr>
          <w:p w14:paraId="34EC95CA" w14:textId="42E1528E" w:rsidR="00B8249D" w:rsidRPr="00543079" w:rsidRDefault="00437BE9" w:rsidP="00437BE9">
            <w:pPr>
              <w:spacing w:before="0" w:after="0" w:line="60" w:lineRule="atLeast"/>
              <w:ind w:left="57" w:right="57"/>
              <w:jc w:val="right"/>
              <w:rPr>
                <w:b/>
                <w:bCs/>
                <w:sz w:val="20"/>
                <w:szCs w:val="20"/>
                <w:lang w:val="sr-Latn-RS"/>
              </w:rPr>
            </w:pPr>
            <w:r w:rsidRPr="00543079">
              <w:rPr>
                <w:b/>
                <w:bCs/>
                <w:sz w:val="20"/>
                <w:szCs w:val="20"/>
                <w:lang w:val="sr-Latn-RS"/>
              </w:rPr>
              <w:t>Value</w:t>
            </w:r>
          </w:p>
        </w:tc>
        <w:tc>
          <w:tcPr>
            <w:tcW w:w="1143" w:type="pct"/>
            <w:tcBorders>
              <w:top w:val="single" w:sz="4" w:space="0" w:color="auto"/>
              <w:bottom w:val="single" w:sz="4" w:space="0" w:color="auto"/>
            </w:tcBorders>
            <w:shd w:val="clear" w:color="auto" w:fill="auto"/>
            <w:vAlign w:val="center"/>
          </w:tcPr>
          <w:p w14:paraId="579D31E9" w14:textId="1B6801D3" w:rsidR="00B8249D" w:rsidRPr="00543079" w:rsidRDefault="00B8249D" w:rsidP="00B8249D">
            <w:pPr>
              <w:spacing w:before="0" w:after="0" w:line="60" w:lineRule="atLeast"/>
              <w:ind w:left="57" w:right="57"/>
              <w:jc w:val="right"/>
              <w:rPr>
                <w:b/>
                <w:bCs/>
                <w:sz w:val="20"/>
                <w:szCs w:val="20"/>
                <w:lang w:val="sr-Latn-RS"/>
              </w:rPr>
            </w:pPr>
            <w:r w:rsidRPr="00543079">
              <w:rPr>
                <w:b/>
                <w:bCs/>
                <w:sz w:val="20"/>
                <w:szCs w:val="20"/>
                <w:lang w:val="sr-Latn-RS"/>
              </w:rPr>
              <w:t>Explanation</w:t>
            </w:r>
          </w:p>
        </w:tc>
      </w:tr>
      <w:tr w:rsidR="00B8249D" w:rsidRPr="00B8249D" w14:paraId="7CB694EB" w14:textId="77777777" w:rsidTr="00B8249D">
        <w:trPr>
          <w:cantSplit/>
        </w:trPr>
        <w:tc>
          <w:tcPr>
            <w:tcW w:w="1219" w:type="pct"/>
            <w:vMerge w:val="restart"/>
            <w:tcBorders>
              <w:top w:val="single" w:sz="4" w:space="0" w:color="auto"/>
            </w:tcBorders>
            <w:shd w:val="clear" w:color="auto" w:fill="auto"/>
            <w:vAlign w:val="center"/>
          </w:tcPr>
          <w:p w14:paraId="7949B24B" w14:textId="77777777" w:rsidR="00B8249D" w:rsidRPr="00B8249D" w:rsidRDefault="00B8249D" w:rsidP="00B8249D">
            <w:pPr>
              <w:spacing w:before="0" w:after="0" w:line="60" w:lineRule="atLeast"/>
              <w:ind w:left="57" w:right="57"/>
              <w:jc w:val="left"/>
              <w:rPr>
                <w:sz w:val="20"/>
                <w:szCs w:val="20"/>
                <w:lang w:val="sr-Latn-RS"/>
              </w:rPr>
            </w:pPr>
            <w:r w:rsidRPr="00B8249D">
              <w:rPr>
                <w:sz w:val="20"/>
                <w:szCs w:val="20"/>
                <w:lang w:val="sr-Latn-RS"/>
              </w:rPr>
              <w:t>Input Layer</w:t>
            </w:r>
          </w:p>
        </w:tc>
        <w:tc>
          <w:tcPr>
            <w:tcW w:w="1158" w:type="pct"/>
            <w:vMerge w:val="restart"/>
            <w:tcBorders>
              <w:top w:val="single" w:sz="4" w:space="0" w:color="auto"/>
            </w:tcBorders>
            <w:shd w:val="clear" w:color="auto" w:fill="auto"/>
            <w:vAlign w:val="center"/>
          </w:tcPr>
          <w:p w14:paraId="1B49E008" w14:textId="77777777" w:rsidR="00B8249D" w:rsidRPr="00B8249D" w:rsidRDefault="00B8249D" w:rsidP="00B8249D">
            <w:pPr>
              <w:spacing w:before="0" w:after="0" w:line="60" w:lineRule="atLeast"/>
              <w:ind w:left="57" w:right="57"/>
              <w:jc w:val="left"/>
              <w:rPr>
                <w:sz w:val="20"/>
                <w:szCs w:val="20"/>
                <w:lang w:val="sr-Latn-RS"/>
              </w:rPr>
            </w:pPr>
            <w:r w:rsidRPr="00B8249D">
              <w:rPr>
                <w:sz w:val="20"/>
                <w:szCs w:val="20"/>
                <w:lang w:val="sr-Latn-RS"/>
              </w:rPr>
              <w:t>Covariates</w:t>
            </w:r>
          </w:p>
        </w:tc>
        <w:tc>
          <w:tcPr>
            <w:tcW w:w="1481" w:type="pct"/>
            <w:tcBorders>
              <w:top w:val="single" w:sz="4" w:space="0" w:color="auto"/>
            </w:tcBorders>
            <w:shd w:val="clear" w:color="auto" w:fill="auto"/>
            <w:vAlign w:val="center"/>
          </w:tcPr>
          <w:p w14:paraId="7C246540" w14:textId="77777777" w:rsidR="00B8249D" w:rsidRPr="00B8249D" w:rsidRDefault="00B8249D" w:rsidP="00B8249D">
            <w:pPr>
              <w:spacing w:before="0" w:after="0" w:line="60" w:lineRule="atLeast"/>
              <w:ind w:left="57" w:right="57"/>
              <w:jc w:val="right"/>
              <w:rPr>
                <w:sz w:val="20"/>
                <w:szCs w:val="20"/>
                <w:lang w:val="sr-Latn-RS"/>
              </w:rPr>
            </w:pPr>
            <w:r w:rsidRPr="00B8249D">
              <w:rPr>
                <w:sz w:val="20"/>
                <w:szCs w:val="20"/>
                <w:lang w:val="sr-Latn-RS"/>
              </w:rPr>
              <w:t>1</w:t>
            </w:r>
          </w:p>
        </w:tc>
        <w:tc>
          <w:tcPr>
            <w:tcW w:w="1143" w:type="pct"/>
            <w:tcBorders>
              <w:top w:val="single" w:sz="4" w:space="0" w:color="auto"/>
            </w:tcBorders>
            <w:shd w:val="clear" w:color="auto" w:fill="auto"/>
          </w:tcPr>
          <w:p w14:paraId="1B4D39FE" w14:textId="77777777" w:rsidR="00B8249D" w:rsidRPr="00B8249D" w:rsidRDefault="00B8249D" w:rsidP="00B8249D">
            <w:pPr>
              <w:spacing w:before="0" w:after="0" w:line="60" w:lineRule="atLeast"/>
              <w:ind w:left="57" w:right="57"/>
              <w:jc w:val="right"/>
              <w:rPr>
                <w:sz w:val="20"/>
                <w:szCs w:val="20"/>
                <w:lang w:val="sr-Latn-RS"/>
              </w:rPr>
            </w:pPr>
            <w:r w:rsidRPr="00B8249D">
              <w:rPr>
                <w:sz w:val="20"/>
                <w:szCs w:val="20"/>
                <w:lang w:val="sr-Latn-RS"/>
              </w:rPr>
              <w:t>T1</w:t>
            </w:r>
          </w:p>
        </w:tc>
      </w:tr>
      <w:tr w:rsidR="00B8249D" w:rsidRPr="00B8249D" w14:paraId="0241A3FC" w14:textId="77777777" w:rsidTr="00B8249D">
        <w:trPr>
          <w:cantSplit/>
        </w:trPr>
        <w:tc>
          <w:tcPr>
            <w:tcW w:w="1219" w:type="pct"/>
            <w:vMerge/>
            <w:shd w:val="clear" w:color="auto" w:fill="auto"/>
            <w:vAlign w:val="center"/>
          </w:tcPr>
          <w:p w14:paraId="037BFECD" w14:textId="77777777" w:rsidR="00B8249D" w:rsidRPr="00B8249D" w:rsidRDefault="00B8249D" w:rsidP="00B8249D">
            <w:pPr>
              <w:spacing w:before="0" w:after="0" w:line="60" w:lineRule="atLeast"/>
              <w:ind w:left="57" w:right="57"/>
              <w:jc w:val="left"/>
              <w:rPr>
                <w:sz w:val="20"/>
                <w:szCs w:val="20"/>
                <w:lang w:val="sr-Latn-RS"/>
              </w:rPr>
            </w:pPr>
          </w:p>
        </w:tc>
        <w:tc>
          <w:tcPr>
            <w:tcW w:w="1158" w:type="pct"/>
            <w:vMerge/>
            <w:shd w:val="clear" w:color="auto" w:fill="auto"/>
            <w:vAlign w:val="center"/>
          </w:tcPr>
          <w:p w14:paraId="46EAA2AA" w14:textId="77777777" w:rsidR="00B8249D" w:rsidRPr="00B8249D" w:rsidRDefault="00B8249D" w:rsidP="00B8249D">
            <w:pPr>
              <w:spacing w:before="0" w:after="0" w:line="60" w:lineRule="atLeast"/>
              <w:ind w:left="57" w:right="57"/>
              <w:jc w:val="left"/>
              <w:rPr>
                <w:sz w:val="20"/>
                <w:szCs w:val="20"/>
                <w:lang w:val="sr-Latn-RS"/>
              </w:rPr>
            </w:pPr>
          </w:p>
        </w:tc>
        <w:tc>
          <w:tcPr>
            <w:tcW w:w="1481" w:type="pct"/>
            <w:shd w:val="clear" w:color="auto" w:fill="auto"/>
            <w:vAlign w:val="center"/>
          </w:tcPr>
          <w:p w14:paraId="326F2355" w14:textId="77777777" w:rsidR="00B8249D" w:rsidRPr="00B8249D" w:rsidRDefault="00B8249D" w:rsidP="00B8249D">
            <w:pPr>
              <w:spacing w:before="0" w:after="0" w:line="60" w:lineRule="atLeast"/>
              <w:ind w:left="57" w:right="57"/>
              <w:jc w:val="right"/>
              <w:rPr>
                <w:sz w:val="20"/>
                <w:szCs w:val="20"/>
                <w:lang w:val="sr-Latn-RS"/>
              </w:rPr>
            </w:pPr>
            <w:r w:rsidRPr="00B8249D">
              <w:rPr>
                <w:sz w:val="20"/>
                <w:szCs w:val="20"/>
                <w:lang w:val="sr-Latn-RS"/>
              </w:rPr>
              <w:t>2</w:t>
            </w:r>
          </w:p>
        </w:tc>
        <w:tc>
          <w:tcPr>
            <w:tcW w:w="1143" w:type="pct"/>
            <w:shd w:val="clear" w:color="auto" w:fill="auto"/>
          </w:tcPr>
          <w:p w14:paraId="6CAB49F8" w14:textId="77777777" w:rsidR="00B8249D" w:rsidRPr="00B8249D" w:rsidRDefault="00B8249D" w:rsidP="00B8249D">
            <w:pPr>
              <w:spacing w:before="0" w:after="0" w:line="60" w:lineRule="atLeast"/>
              <w:ind w:left="57" w:right="57"/>
              <w:jc w:val="right"/>
              <w:rPr>
                <w:sz w:val="20"/>
                <w:szCs w:val="20"/>
                <w:lang w:val="sr-Latn-RS"/>
              </w:rPr>
            </w:pPr>
            <w:r w:rsidRPr="00B8249D">
              <w:rPr>
                <w:sz w:val="20"/>
                <w:szCs w:val="20"/>
                <w:lang w:val="sr-Latn-RS"/>
              </w:rPr>
              <w:t>T2</w:t>
            </w:r>
          </w:p>
        </w:tc>
      </w:tr>
      <w:tr w:rsidR="00B8249D" w:rsidRPr="00B8249D" w14:paraId="2CAE93ED" w14:textId="77777777" w:rsidTr="00B8249D">
        <w:trPr>
          <w:cantSplit/>
        </w:trPr>
        <w:tc>
          <w:tcPr>
            <w:tcW w:w="1219" w:type="pct"/>
            <w:vMerge/>
            <w:shd w:val="clear" w:color="auto" w:fill="auto"/>
            <w:vAlign w:val="center"/>
          </w:tcPr>
          <w:p w14:paraId="2B3CBBD0" w14:textId="77777777" w:rsidR="00B8249D" w:rsidRPr="00B8249D" w:rsidRDefault="00B8249D" w:rsidP="00B8249D">
            <w:pPr>
              <w:spacing w:before="0" w:after="0" w:line="60" w:lineRule="atLeast"/>
              <w:ind w:left="57" w:right="57"/>
              <w:jc w:val="left"/>
              <w:rPr>
                <w:sz w:val="20"/>
                <w:szCs w:val="20"/>
                <w:lang w:val="sr-Latn-RS"/>
              </w:rPr>
            </w:pPr>
          </w:p>
        </w:tc>
        <w:tc>
          <w:tcPr>
            <w:tcW w:w="1158" w:type="pct"/>
            <w:vMerge/>
            <w:shd w:val="clear" w:color="auto" w:fill="auto"/>
            <w:vAlign w:val="center"/>
          </w:tcPr>
          <w:p w14:paraId="53FDD60F" w14:textId="77777777" w:rsidR="00B8249D" w:rsidRPr="00B8249D" w:rsidRDefault="00B8249D" w:rsidP="00B8249D">
            <w:pPr>
              <w:spacing w:before="0" w:after="0" w:line="60" w:lineRule="atLeast"/>
              <w:ind w:left="57" w:right="57"/>
              <w:jc w:val="left"/>
              <w:rPr>
                <w:sz w:val="20"/>
                <w:szCs w:val="20"/>
                <w:lang w:val="sr-Latn-RS"/>
              </w:rPr>
            </w:pPr>
          </w:p>
        </w:tc>
        <w:tc>
          <w:tcPr>
            <w:tcW w:w="1481" w:type="pct"/>
            <w:shd w:val="clear" w:color="auto" w:fill="auto"/>
            <w:vAlign w:val="center"/>
          </w:tcPr>
          <w:p w14:paraId="4C09D078" w14:textId="77777777" w:rsidR="00B8249D" w:rsidRPr="00B8249D" w:rsidRDefault="00B8249D" w:rsidP="00B8249D">
            <w:pPr>
              <w:spacing w:before="0" w:after="0" w:line="60" w:lineRule="atLeast"/>
              <w:ind w:left="57" w:right="57"/>
              <w:jc w:val="right"/>
              <w:rPr>
                <w:sz w:val="20"/>
                <w:szCs w:val="20"/>
                <w:lang w:val="sr-Latn-RS"/>
              </w:rPr>
            </w:pPr>
            <w:r w:rsidRPr="00B8249D">
              <w:rPr>
                <w:sz w:val="20"/>
                <w:szCs w:val="20"/>
                <w:lang w:val="sr-Latn-RS"/>
              </w:rPr>
              <w:t>3</w:t>
            </w:r>
          </w:p>
        </w:tc>
        <w:tc>
          <w:tcPr>
            <w:tcW w:w="1143" w:type="pct"/>
            <w:shd w:val="clear" w:color="auto" w:fill="auto"/>
          </w:tcPr>
          <w:p w14:paraId="2F8F6F53" w14:textId="77777777" w:rsidR="00B8249D" w:rsidRPr="00B8249D" w:rsidRDefault="00B8249D" w:rsidP="00B8249D">
            <w:pPr>
              <w:spacing w:before="0" w:after="0" w:line="60" w:lineRule="atLeast"/>
              <w:ind w:left="57" w:right="57"/>
              <w:jc w:val="right"/>
              <w:rPr>
                <w:sz w:val="20"/>
                <w:szCs w:val="20"/>
                <w:lang w:val="sr-Latn-RS"/>
              </w:rPr>
            </w:pPr>
            <w:r w:rsidRPr="00B8249D">
              <w:rPr>
                <w:sz w:val="20"/>
                <w:szCs w:val="20"/>
                <w:lang w:val="sr-Latn-RS"/>
              </w:rPr>
              <w:t>T4</w:t>
            </w:r>
          </w:p>
        </w:tc>
      </w:tr>
      <w:tr w:rsidR="00B8249D" w:rsidRPr="00B8249D" w14:paraId="709C3479" w14:textId="77777777" w:rsidTr="00B8249D">
        <w:trPr>
          <w:cantSplit/>
        </w:trPr>
        <w:tc>
          <w:tcPr>
            <w:tcW w:w="1219" w:type="pct"/>
            <w:vMerge/>
            <w:shd w:val="clear" w:color="auto" w:fill="auto"/>
            <w:vAlign w:val="center"/>
          </w:tcPr>
          <w:p w14:paraId="406DBD98" w14:textId="77777777" w:rsidR="00B8249D" w:rsidRPr="00B8249D" w:rsidRDefault="00B8249D" w:rsidP="00B8249D">
            <w:pPr>
              <w:spacing w:before="0" w:after="0" w:line="60" w:lineRule="atLeast"/>
              <w:ind w:left="57" w:right="57"/>
              <w:jc w:val="left"/>
              <w:rPr>
                <w:sz w:val="20"/>
                <w:szCs w:val="20"/>
                <w:lang w:val="sr-Latn-RS"/>
              </w:rPr>
            </w:pPr>
          </w:p>
        </w:tc>
        <w:tc>
          <w:tcPr>
            <w:tcW w:w="1158" w:type="pct"/>
            <w:vMerge/>
            <w:shd w:val="clear" w:color="auto" w:fill="auto"/>
            <w:vAlign w:val="center"/>
          </w:tcPr>
          <w:p w14:paraId="4D0F4988" w14:textId="77777777" w:rsidR="00B8249D" w:rsidRPr="00B8249D" w:rsidRDefault="00B8249D" w:rsidP="00B8249D">
            <w:pPr>
              <w:spacing w:before="0" w:after="0" w:line="60" w:lineRule="atLeast"/>
              <w:ind w:left="57" w:right="57"/>
              <w:jc w:val="left"/>
              <w:rPr>
                <w:sz w:val="20"/>
                <w:szCs w:val="20"/>
                <w:lang w:val="sr-Latn-RS"/>
              </w:rPr>
            </w:pPr>
          </w:p>
        </w:tc>
        <w:tc>
          <w:tcPr>
            <w:tcW w:w="1481" w:type="pct"/>
            <w:shd w:val="clear" w:color="auto" w:fill="auto"/>
            <w:vAlign w:val="center"/>
          </w:tcPr>
          <w:p w14:paraId="5E84D406" w14:textId="77777777" w:rsidR="00B8249D" w:rsidRPr="00B8249D" w:rsidRDefault="00B8249D" w:rsidP="00B8249D">
            <w:pPr>
              <w:spacing w:before="0" w:after="0" w:line="60" w:lineRule="atLeast"/>
              <w:ind w:left="57" w:right="57"/>
              <w:jc w:val="right"/>
              <w:rPr>
                <w:sz w:val="20"/>
                <w:szCs w:val="20"/>
                <w:lang w:val="sr-Latn-RS"/>
              </w:rPr>
            </w:pPr>
            <w:r w:rsidRPr="00B8249D">
              <w:rPr>
                <w:sz w:val="20"/>
                <w:szCs w:val="20"/>
                <w:lang w:val="sr-Latn-RS"/>
              </w:rPr>
              <w:t>4</w:t>
            </w:r>
          </w:p>
        </w:tc>
        <w:tc>
          <w:tcPr>
            <w:tcW w:w="1143" w:type="pct"/>
            <w:shd w:val="clear" w:color="auto" w:fill="auto"/>
          </w:tcPr>
          <w:p w14:paraId="28C6E06B" w14:textId="77777777" w:rsidR="00B8249D" w:rsidRPr="00B8249D" w:rsidRDefault="00B8249D" w:rsidP="00B8249D">
            <w:pPr>
              <w:spacing w:before="0" w:after="0" w:line="60" w:lineRule="atLeast"/>
              <w:ind w:left="57" w:right="57"/>
              <w:jc w:val="right"/>
              <w:rPr>
                <w:sz w:val="20"/>
                <w:szCs w:val="20"/>
                <w:lang w:val="sr-Latn-RS"/>
              </w:rPr>
            </w:pPr>
            <w:r w:rsidRPr="00B8249D">
              <w:rPr>
                <w:sz w:val="20"/>
                <w:szCs w:val="20"/>
                <w:lang w:val="sr-Latn-RS"/>
              </w:rPr>
              <w:t>Load_kg_n</w:t>
            </w:r>
          </w:p>
        </w:tc>
      </w:tr>
      <w:tr w:rsidR="00B8249D" w:rsidRPr="00B8249D" w14:paraId="30D1B746" w14:textId="77777777" w:rsidTr="00B8249D">
        <w:trPr>
          <w:cantSplit/>
        </w:trPr>
        <w:tc>
          <w:tcPr>
            <w:tcW w:w="1219" w:type="pct"/>
            <w:vMerge/>
            <w:shd w:val="clear" w:color="auto" w:fill="auto"/>
            <w:vAlign w:val="center"/>
          </w:tcPr>
          <w:p w14:paraId="3395EA5D" w14:textId="77777777" w:rsidR="00B8249D" w:rsidRPr="00B8249D" w:rsidRDefault="00B8249D" w:rsidP="00B8249D">
            <w:pPr>
              <w:spacing w:before="0" w:after="0" w:line="60" w:lineRule="atLeast"/>
              <w:ind w:left="57" w:right="57"/>
              <w:jc w:val="left"/>
              <w:rPr>
                <w:sz w:val="20"/>
                <w:szCs w:val="20"/>
                <w:lang w:val="sr-Latn-RS"/>
              </w:rPr>
            </w:pPr>
          </w:p>
        </w:tc>
        <w:tc>
          <w:tcPr>
            <w:tcW w:w="1158" w:type="pct"/>
            <w:vMerge/>
            <w:shd w:val="clear" w:color="auto" w:fill="auto"/>
            <w:vAlign w:val="center"/>
          </w:tcPr>
          <w:p w14:paraId="194CB48D" w14:textId="77777777" w:rsidR="00B8249D" w:rsidRPr="00B8249D" w:rsidRDefault="00B8249D" w:rsidP="00B8249D">
            <w:pPr>
              <w:spacing w:before="0" w:after="0" w:line="60" w:lineRule="atLeast"/>
              <w:ind w:left="57" w:right="57"/>
              <w:jc w:val="left"/>
              <w:rPr>
                <w:sz w:val="20"/>
                <w:szCs w:val="20"/>
                <w:lang w:val="sr-Latn-RS"/>
              </w:rPr>
            </w:pPr>
          </w:p>
        </w:tc>
        <w:tc>
          <w:tcPr>
            <w:tcW w:w="1481" w:type="pct"/>
            <w:shd w:val="clear" w:color="auto" w:fill="auto"/>
            <w:vAlign w:val="center"/>
          </w:tcPr>
          <w:p w14:paraId="2EB732A1" w14:textId="77777777" w:rsidR="00B8249D" w:rsidRPr="00B8249D" w:rsidRDefault="00B8249D" w:rsidP="00B8249D">
            <w:pPr>
              <w:spacing w:before="0" w:after="0" w:line="60" w:lineRule="atLeast"/>
              <w:ind w:left="57" w:right="57"/>
              <w:jc w:val="right"/>
              <w:rPr>
                <w:sz w:val="20"/>
                <w:szCs w:val="20"/>
                <w:lang w:val="sr-Latn-RS"/>
              </w:rPr>
            </w:pPr>
            <w:r w:rsidRPr="00B8249D">
              <w:rPr>
                <w:sz w:val="20"/>
                <w:szCs w:val="20"/>
                <w:lang w:val="sr-Latn-RS"/>
              </w:rPr>
              <w:t>5</w:t>
            </w:r>
          </w:p>
        </w:tc>
        <w:tc>
          <w:tcPr>
            <w:tcW w:w="1143" w:type="pct"/>
            <w:shd w:val="clear" w:color="auto" w:fill="auto"/>
          </w:tcPr>
          <w:p w14:paraId="451E272D" w14:textId="77777777" w:rsidR="00B8249D" w:rsidRPr="00B8249D" w:rsidRDefault="00B8249D" w:rsidP="00B8249D">
            <w:pPr>
              <w:spacing w:before="0" w:after="0" w:line="60" w:lineRule="atLeast"/>
              <w:ind w:left="57" w:right="57"/>
              <w:jc w:val="right"/>
              <w:rPr>
                <w:sz w:val="20"/>
                <w:szCs w:val="20"/>
                <w:lang w:val="sr-Latn-RS"/>
              </w:rPr>
            </w:pPr>
            <w:r w:rsidRPr="00B8249D">
              <w:rPr>
                <w:sz w:val="20"/>
                <w:szCs w:val="20"/>
                <w:lang w:val="sr-Latn-RS"/>
              </w:rPr>
              <w:t>N_Stdev_OS</w:t>
            </w:r>
          </w:p>
        </w:tc>
      </w:tr>
      <w:tr w:rsidR="00B8249D" w:rsidRPr="00B8249D" w14:paraId="5A8E2E19" w14:textId="77777777" w:rsidTr="00B8249D">
        <w:trPr>
          <w:cantSplit/>
        </w:trPr>
        <w:tc>
          <w:tcPr>
            <w:tcW w:w="1219" w:type="pct"/>
            <w:vMerge/>
            <w:shd w:val="clear" w:color="auto" w:fill="auto"/>
            <w:vAlign w:val="center"/>
          </w:tcPr>
          <w:p w14:paraId="7870CEAB" w14:textId="77777777" w:rsidR="00B8249D" w:rsidRPr="00B8249D" w:rsidRDefault="00B8249D" w:rsidP="00B8249D">
            <w:pPr>
              <w:spacing w:before="0" w:after="0" w:line="60" w:lineRule="atLeast"/>
              <w:ind w:left="57" w:right="57"/>
              <w:jc w:val="left"/>
              <w:rPr>
                <w:sz w:val="20"/>
                <w:szCs w:val="20"/>
                <w:lang w:val="sr-Latn-RS"/>
              </w:rPr>
            </w:pPr>
          </w:p>
        </w:tc>
        <w:tc>
          <w:tcPr>
            <w:tcW w:w="1158" w:type="pct"/>
            <w:vMerge/>
            <w:shd w:val="clear" w:color="auto" w:fill="auto"/>
            <w:vAlign w:val="center"/>
          </w:tcPr>
          <w:p w14:paraId="1AB578F3" w14:textId="77777777" w:rsidR="00B8249D" w:rsidRPr="00B8249D" w:rsidRDefault="00B8249D" w:rsidP="00B8249D">
            <w:pPr>
              <w:spacing w:before="0" w:after="0" w:line="60" w:lineRule="atLeast"/>
              <w:ind w:left="57" w:right="57"/>
              <w:jc w:val="left"/>
              <w:rPr>
                <w:sz w:val="20"/>
                <w:szCs w:val="20"/>
                <w:lang w:val="sr-Latn-RS"/>
              </w:rPr>
            </w:pPr>
          </w:p>
        </w:tc>
        <w:tc>
          <w:tcPr>
            <w:tcW w:w="1481" w:type="pct"/>
            <w:shd w:val="clear" w:color="auto" w:fill="auto"/>
            <w:vAlign w:val="center"/>
          </w:tcPr>
          <w:p w14:paraId="3EEDBB73" w14:textId="77777777" w:rsidR="00B8249D" w:rsidRPr="00B8249D" w:rsidRDefault="00B8249D" w:rsidP="00B8249D">
            <w:pPr>
              <w:spacing w:before="0" w:after="0" w:line="60" w:lineRule="atLeast"/>
              <w:ind w:left="57" w:right="57"/>
              <w:jc w:val="right"/>
              <w:rPr>
                <w:sz w:val="20"/>
                <w:szCs w:val="20"/>
                <w:lang w:val="sr-Latn-RS"/>
              </w:rPr>
            </w:pPr>
            <w:r w:rsidRPr="00B8249D">
              <w:rPr>
                <w:sz w:val="20"/>
                <w:szCs w:val="20"/>
                <w:lang w:val="sr-Latn-RS"/>
              </w:rPr>
              <w:t>6</w:t>
            </w:r>
          </w:p>
        </w:tc>
        <w:tc>
          <w:tcPr>
            <w:tcW w:w="1143" w:type="pct"/>
            <w:shd w:val="clear" w:color="auto" w:fill="auto"/>
          </w:tcPr>
          <w:p w14:paraId="413CF4F5" w14:textId="77777777" w:rsidR="00B8249D" w:rsidRPr="00B8249D" w:rsidRDefault="00B8249D" w:rsidP="00B8249D">
            <w:pPr>
              <w:spacing w:before="0" w:after="0" w:line="60" w:lineRule="atLeast"/>
              <w:ind w:left="57" w:right="57"/>
              <w:jc w:val="right"/>
              <w:rPr>
                <w:sz w:val="20"/>
                <w:szCs w:val="20"/>
                <w:lang w:val="sr-Latn-RS"/>
              </w:rPr>
            </w:pPr>
            <w:r w:rsidRPr="00B8249D">
              <w:rPr>
                <w:sz w:val="20"/>
                <w:szCs w:val="20"/>
                <w:lang w:val="sr-Latn-RS"/>
              </w:rPr>
              <w:t>N_Median_OS</w:t>
            </w:r>
          </w:p>
        </w:tc>
      </w:tr>
      <w:tr w:rsidR="00B8249D" w:rsidRPr="00B8249D" w14:paraId="70ADFB64" w14:textId="77777777" w:rsidTr="00B8249D">
        <w:trPr>
          <w:cantSplit/>
        </w:trPr>
        <w:tc>
          <w:tcPr>
            <w:tcW w:w="1219" w:type="pct"/>
            <w:vMerge/>
            <w:shd w:val="clear" w:color="auto" w:fill="auto"/>
            <w:vAlign w:val="center"/>
          </w:tcPr>
          <w:p w14:paraId="1B8B5FC8" w14:textId="77777777" w:rsidR="00B8249D" w:rsidRPr="00B8249D" w:rsidRDefault="00B8249D" w:rsidP="00B8249D">
            <w:pPr>
              <w:spacing w:before="0" w:after="0" w:line="60" w:lineRule="atLeast"/>
              <w:ind w:left="57" w:right="57"/>
              <w:jc w:val="left"/>
              <w:rPr>
                <w:sz w:val="20"/>
                <w:szCs w:val="20"/>
                <w:lang w:val="sr-Latn-RS"/>
              </w:rPr>
            </w:pPr>
          </w:p>
        </w:tc>
        <w:tc>
          <w:tcPr>
            <w:tcW w:w="1158" w:type="pct"/>
            <w:vMerge/>
            <w:shd w:val="clear" w:color="auto" w:fill="auto"/>
            <w:vAlign w:val="center"/>
          </w:tcPr>
          <w:p w14:paraId="4CE6484F" w14:textId="77777777" w:rsidR="00B8249D" w:rsidRPr="00B8249D" w:rsidRDefault="00B8249D" w:rsidP="00B8249D">
            <w:pPr>
              <w:spacing w:before="0" w:after="0" w:line="60" w:lineRule="atLeast"/>
              <w:ind w:left="57" w:right="57"/>
              <w:jc w:val="left"/>
              <w:rPr>
                <w:sz w:val="20"/>
                <w:szCs w:val="20"/>
                <w:lang w:val="sr-Latn-RS"/>
              </w:rPr>
            </w:pPr>
          </w:p>
        </w:tc>
        <w:tc>
          <w:tcPr>
            <w:tcW w:w="1481" w:type="pct"/>
            <w:shd w:val="clear" w:color="auto" w:fill="auto"/>
            <w:vAlign w:val="center"/>
          </w:tcPr>
          <w:p w14:paraId="3970D192" w14:textId="77777777" w:rsidR="00B8249D" w:rsidRPr="00B8249D" w:rsidRDefault="00B8249D" w:rsidP="00B8249D">
            <w:pPr>
              <w:spacing w:before="0" w:after="0" w:line="60" w:lineRule="atLeast"/>
              <w:ind w:left="57" w:right="57"/>
              <w:jc w:val="right"/>
              <w:rPr>
                <w:sz w:val="20"/>
                <w:szCs w:val="20"/>
                <w:lang w:val="sr-Latn-RS"/>
              </w:rPr>
            </w:pPr>
            <w:r w:rsidRPr="00B8249D">
              <w:rPr>
                <w:sz w:val="20"/>
                <w:szCs w:val="20"/>
                <w:lang w:val="sr-Latn-RS"/>
              </w:rPr>
              <w:t>7</w:t>
            </w:r>
          </w:p>
        </w:tc>
        <w:tc>
          <w:tcPr>
            <w:tcW w:w="1143" w:type="pct"/>
            <w:shd w:val="clear" w:color="auto" w:fill="auto"/>
          </w:tcPr>
          <w:p w14:paraId="3824A3D5" w14:textId="77777777" w:rsidR="00B8249D" w:rsidRPr="00B8249D" w:rsidRDefault="00B8249D" w:rsidP="00B8249D">
            <w:pPr>
              <w:spacing w:before="0" w:after="0" w:line="60" w:lineRule="atLeast"/>
              <w:ind w:left="57" w:right="57"/>
              <w:jc w:val="right"/>
              <w:rPr>
                <w:sz w:val="20"/>
                <w:szCs w:val="20"/>
                <w:lang w:val="sr-Latn-RS"/>
              </w:rPr>
            </w:pPr>
            <w:r w:rsidRPr="00B8249D">
              <w:rPr>
                <w:sz w:val="20"/>
                <w:szCs w:val="20"/>
                <w:lang w:val="sr-Latn-RS"/>
              </w:rPr>
              <w:t>N_Min_OS</w:t>
            </w:r>
          </w:p>
        </w:tc>
      </w:tr>
      <w:tr w:rsidR="00B8249D" w:rsidRPr="00B8249D" w14:paraId="009F0516" w14:textId="77777777" w:rsidTr="00B8249D">
        <w:trPr>
          <w:cantSplit/>
        </w:trPr>
        <w:tc>
          <w:tcPr>
            <w:tcW w:w="1219" w:type="pct"/>
            <w:vMerge/>
            <w:shd w:val="clear" w:color="auto" w:fill="auto"/>
            <w:vAlign w:val="center"/>
          </w:tcPr>
          <w:p w14:paraId="5D922370" w14:textId="77777777" w:rsidR="00B8249D" w:rsidRPr="00B8249D" w:rsidRDefault="00B8249D" w:rsidP="00B8249D">
            <w:pPr>
              <w:spacing w:before="0" w:after="0" w:line="60" w:lineRule="atLeast"/>
              <w:ind w:left="57" w:right="57"/>
              <w:jc w:val="left"/>
              <w:rPr>
                <w:sz w:val="20"/>
                <w:szCs w:val="20"/>
                <w:lang w:val="sr-Latn-RS"/>
              </w:rPr>
            </w:pPr>
          </w:p>
        </w:tc>
        <w:tc>
          <w:tcPr>
            <w:tcW w:w="1158" w:type="pct"/>
            <w:vMerge/>
            <w:shd w:val="clear" w:color="auto" w:fill="auto"/>
            <w:vAlign w:val="center"/>
          </w:tcPr>
          <w:p w14:paraId="4A66601F" w14:textId="77777777" w:rsidR="00B8249D" w:rsidRPr="00B8249D" w:rsidRDefault="00B8249D" w:rsidP="00B8249D">
            <w:pPr>
              <w:spacing w:before="0" w:after="0" w:line="60" w:lineRule="atLeast"/>
              <w:ind w:left="57" w:right="57"/>
              <w:jc w:val="left"/>
              <w:rPr>
                <w:sz w:val="20"/>
                <w:szCs w:val="20"/>
                <w:lang w:val="sr-Latn-RS"/>
              </w:rPr>
            </w:pPr>
          </w:p>
        </w:tc>
        <w:tc>
          <w:tcPr>
            <w:tcW w:w="1481" w:type="pct"/>
            <w:shd w:val="clear" w:color="auto" w:fill="auto"/>
            <w:vAlign w:val="center"/>
          </w:tcPr>
          <w:p w14:paraId="54825655" w14:textId="77777777" w:rsidR="00B8249D" w:rsidRPr="00B8249D" w:rsidRDefault="00B8249D" w:rsidP="00B8249D">
            <w:pPr>
              <w:spacing w:before="0" w:after="0" w:line="60" w:lineRule="atLeast"/>
              <w:ind w:left="57" w:right="57"/>
              <w:jc w:val="right"/>
              <w:rPr>
                <w:sz w:val="20"/>
                <w:szCs w:val="20"/>
                <w:lang w:val="sr-Latn-RS"/>
              </w:rPr>
            </w:pPr>
            <w:r w:rsidRPr="00B8249D">
              <w:rPr>
                <w:sz w:val="20"/>
                <w:szCs w:val="20"/>
                <w:lang w:val="sr-Latn-RS"/>
              </w:rPr>
              <w:t>8</w:t>
            </w:r>
          </w:p>
        </w:tc>
        <w:tc>
          <w:tcPr>
            <w:tcW w:w="1143" w:type="pct"/>
            <w:shd w:val="clear" w:color="auto" w:fill="auto"/>
          </w:tcPr>
          <w:p w14:paraId="2736E940" w14:textId="77777777" w:rsidR="00B8249D" w:rsidRPr="00B8249D" w:rsidRDefault="00B8249D" w:rsidP="00B8249D">
            <w:pPr>
              <w:spacing w:before="0" w:after="0" w:line="60" w:lineRule="atLeast"/>
              <w:ind w:left="57" w:right="57"/>
              <w:jc w:val="right"/>
              <w:rPr>
                <w:sz w:val="20"/>
                <w:szCs w:val="20"/>
                <w:lang w:val="sr-Latn-RS"/>
              </w:rPr>
            </w:pPr>
            <w:r w:rsidRPr="00B8249D">
              <w:rPr>
                <w:sz w:val="20"/>
                <w:szCs w:val="20"/>
                <w:lang w:val="sr-Latn-RS"/>
              </w:rPr>
              <w:t>N_Max_OS</w:t>
            </w:r>
          </w:p>
        </w:tc>
      </w:tr>
      <w:tr w:rsidR="00B8249D" w:rsidRPr="00B8249D" w14:paraId="432F8BA5" w14:textId="77777777" w:rsidTr="00B8249D">
        <w:trPr>
          <w:cantSplit/>
        </w:trPr>
        <w:tc>
          <w:tcPr>
            <w:tcW w:w="1219" w:type="pct"/>
            <w:vMerge/>
            <w:shd w:val="clear" w:color="auto" w:fill="auto"/>
            <w:vAlign w:val="center"/>
          </w:tcPr>
          <w:p w14:paraId="6F92BF62" w14:textId="77777777" w:rsidR="00B8249D" w:rsidRPr="00B8249D" w:rsidRDefault="00B8249D" w:rsidP="00B8249D">
            <w:pPr>
              <w:spacing w:before="0" w:after="0" w:line="60" w:lineRule="atLeast"/>
              <w:ind w:left="57" w:right="57"/>
              <w:jc w:val="left"/>
              <w:rPr>
                <w:sz w:val="20"/>
                <w:szCs w:val="20"/>
                <w:lang w:val="sr-Latn-RS"/>
              </w:rPr>
            </w:pPr>
          </w:p>
        </w:tc>
        <w:tc>
          <w:tcPr>
            <w:tcW w:w="1158" w:type="pct"/>
            <w:vMerge/>
            <w:shd w:val="clear" w:color="auto" w:fill="auto"/>
            <w:vAlign w:val="center"/>
          </w:tcPr>
          <w:p w14:paraId="6BC4FAC0" w14:textId="77777777" w:rsidR="00B8249D" w:rsidRPr="00B8249D" w:rsidRDefault="00B8249D" w:rsidP="00B8249D">
            <w:pPr>
              <w:spacing w:before="0" w:after="0" w:line="60" w:lineRule="atLeast"/>
              <w:ind w:left="57" w:right="57"/>
              <w:jc w:val="left"/>
              <w:rPr>
                <w:sz w:val="20"/>
                <w:szCs w:val="20"/>
                <w:lang w:val="sr-Latn-RS"/>
              </w:rPr>
            </w:pPr>
          </w:p>
        </w:tc>
        <w:tc>
          <w:tcPr>
            <w:tcW w:w="1481" w:type="pct"/>
            <w:shd w:val="clear" w:color="auto" w:fill="auto"/>
            <w:vAlign w:val="center"/>
          </w:tcPr>
          <w:p w14:paraId="7ED48F8F" w14:textId="77777777" w:rsidR="00B8249D" w:rsidRPr="00B8249D" w:rsidRDefault="00B8249D" w:rsidP="00B8249D">
            <w:pPr>
              <w:spacing w:before="0" w:after="0" w:line="60" w:lineRule="atLeast"/>
              <w:ind w:left="57" w:right="57"/>
              <w:jc w:val="right"/>
              <w:rPr>
                <w:sz w:val="20"/>
                <w:szCs w:val="20"/>
                <w:lang w:val="sr-Latn-RS"/>
              </w:rPr>
            </w:pPr>
            <w:r w:rsidRPr="00B8249D">
              <w:rPr>
                <w:sz w:val="20"/>
                <w:szCs w:val="20"/>
                <w:lang w:val="sr-Latn-RS"/>
              </w:rPr>
              <w:t>9</w:t>
            </w:r>
          </w:p>
        </w:tc>
        <w:tc>
          <w:tcPr>
            <w:tcW w:w="1143" w:type="pct"/>
            <w:shd w:val="clear" w:color="auto" w:fill="auto"/>
          </w:tcPr>
          <w:p w14:paraId="3B944BDF" w14:textId="77777777" w:rsidR="00B8249D" w:rsidRPr="00B8249D" w:rsidRDefault="00B8249D" w:rsidP="00B8249D">
            <w:pPr>
              <w:spacing w:before="0" w:after="0" w:line="60" w:lineRule="atLeast"/>
              <w:ind w:left="57" w:right="57"/>
              <w:jc w:val="right"/>
              <w:rPr>
                <w:sz w:val="20"/>
                <w:szCs w:val="20"/>
                <w:lang w:val="sr-Latn-RS"/>
              </w:rPr>
            </w:pPr>
            <w:r w:rsidRPr="00B8249D">
              <w:rPr>
                <w:sz w:val="20"/>
                <w:szCs w:val="20"/>
                <w:lang w:val="sr-Latn-RS"/>
              </w:rPr>
              <w:t>N_Kurt_OS</w:t>
            </w:r>
          </w:p>
        </w:tc>
      </w:tr>
      <w:tr w:rsidR="00B8249D" w:rsidRPr="00B8249D" w14:paraId="56E44C18" w14:textId="77777777" w:rsidTr="00B8249D">
        <w:trPr>
          <w:cantSplit/>
        </w:trPr>
        <w:tc>
          <w:tcPr>
            <w:tcW w:w="1219" w:type="pct"/>
            <w:vMerge/>
            <w:shd w:val="clear" w:color="auto" w:fill="auto"/>
            <w:vAlign w:val="center"/>
          </w:tcPr>
          <w:p w14:paraId="120D066C" w14:textId="77777777" w:rsidR="00B8249D" w:rsidRPr="00B8249D" w:rsidRDefault="00B8249D" w:rsidP="00B8249D">
            <w:pPr>
              <w:spacing w:before="0" w:after="0" w:line="60" w:lineRule="atLeast"/>
              <w:ind w:left="57" w:right="57"/>
              <w:jc w:val="left"/>
              <w:rPr>
                <w:sz w:val="20"/>
                <w:szCs w:val="20"/>
                <w:lang w:val="sr-Latn-RS"/>
              </w:rPr>
            </w:pPr>
          </w:p>
        </w:tc>
        <w:tc>
          <w:tcPr>
            <w:tcW w:w="1158" w:type="pct"/>
            <w:vMerge/>
            <w:shd w:val="clear" w:color="auto" w:fill="auto"/>
            <w:vAlign w:val="center"/>
          </w:tcPr>
          <w:p w14:paraId="18BC09AB" w14:textId="77777777" w:rsidR="00B8249D" w:rsidRPr="00B8249D" w:rsidRDefault="00B8249D" w:rsidP="00B8249D">
            <w:pPr>
              <w:spacing w:before="0" w:after="0" w:line="60" w:lineRule="atLeast"/>
              <w:ind w:left="57" w:right="57"/>
              <w:jc w:val="left"/>
              <w:rPr>
                <w:sz w:val="20"/>
                <w:szCs w:val="20"/>
                <w:lang w:val="sr-Latn-RS"/>
              </w:rPr>
            </w:pPr>
          </w:p>
        </w:tc>
        <w:tc>
          <w:tcPr>
            <w:tcW w:w="1481" w:type="pct"/>
            <w:shd w:val="clear" w:color="auto" w:fill="auto"/>
            <w:vAlign w:val="center"/>
          </w:tcPr>
          <w:p w14:paraId="00CBB3F3" w14:textId="77777777" w:rsidR="00B8249D" w:rsidRPr="00B8249D" w:rsidRDefault="00B8249D" w:rsidP="00B8249D">
            <w:pPr>
              <w:spacing w:before="0" w:after="0" w:line="60" w:lineRule="atLeast"/>
              <w:ind w:left="57" w:right="57"/>
              <w:jc w:val="right"/>
              <w:rPr>
                <w:sz w:val="20"/>
                <w:szCs w:val="20"/>
                <w:lang w:val="sr-Latn-RS"/>
              </w:rPr>
            </w:pPr>
            <w:r w:rsidRPr="00B8249D">
              <w:rPr>
                <w:sz w:val="20"/>
                <w:szCs w:val="20"/>
                <w:lang w:val="sr-Latn-RS"/>
              </w:rPr>
              <w:t>10</w:t>
            </w:r>
          </w:p>
        </w:tc>
        <w:tc>
          <w:tcPr>
            <w:tcW w:w="1143" w:type="pct"/>
            <w:shd w:val="clear" w:color="auto" w:fill="auto"/>
          </w:tcPr>
          <w:p w14:paraId="21C3280D" w14:textId="77777777" w:rsidR="00B8249D" w:rsidRPr="00B8249D" w:rsidRDefault="00B8249D" w:rsidP="00B8249D">
            <w:pPr>
              <w:spacing w:before="0" w:after="0" w:line="60" w:lineRule="atLeast"/>
              <w:ind w:left="57" w:right="57"/>
              <w:jc w:val="right"/>
              <w:rPr>
                <w:sz w:val="20"/>
                <w:szCs w:val="20"/>
                <w:lang w:val="sr-Latn-RS"/>
              </w:rPr>
            </w:pPr>
            <w:r w:rsidRPr="00B8249D">
              <w:rPr>
                <w:sz w:val="20"/>
                <w:szCs w:val="20"/>
                <w:lang w:val="sr-Latn-RS"/>
              </w:rPr>
              <w:t>HS_idle_time</w:t>
            </w:r>
          </w:p>
        </w:tc>
      </w:tr>
      <w:tr w:rsidR="00B8249D" w:rsidRPr="00B8249D" w14:paraId="4D2983A2" w14:textId="77777777" w:rsidTr="00B8249D">
        <w:trPr>
          <w:cantSplit/>
        </w:trPr>
        <w:tc>
          <w:tcPr>
            <w:tcW w:w="1219" w:type="pct"/>
            <w:vMerge/>
            <w:shd w:val="clear" w:color="auto" w:fill="auto"/>
            <w:vAlign w:val="center"/>
          </w:tcPr>
          <w:p w14:paraId="0F48241A" w14:textId="77777777" w:rsidR="00B8249D" w:rsidRPr="00B8249D" w:rsidRDefault="00B8249D" w:rsidP="00B8249D">
            <w:pPr>
              <w:spacing w:before="0" w:after="0" w:line="60" w:lineRule="atLeast"/>
              <w:ind w:left="57" w:right="57"/>
              <w:jc w:val="left"/>
              <w:rPr>
                <w:sz w:val="20"/>
                <w:szCs w:val="20"/>
                <w:lang w:val="sr-Latn-RS"/>
              </w:rPr>
            </w:pPr>
          </w:p>
        </w:tc>
        <w:tc>
          <w:tcPr>
            <w:tcW w:w="2638" w:type="pct"/>
            <w:gridSpan w:val="2"/>
            <w:shd w:val="clear" w:color="auto" w:fill="auto"/>
            <w:vAlign w:val="center"/>
          </w:tcPr>
          <w:p w14:paraId="5D9DC07A" w14:textId="77777777" w:rsidR="00B8249D" w:rsidRPr="00B8249D" w:rsidRDefault="00B8249D" w:rsidP="00B8249D">
            <w:pPr>
              <w:spacing w:before="0" w:after="0" w:line="60" w:lineRule="atLeast"/>
              <w:ind w:left="57" w:right="57"/>
              <w:jc w:val="left"/>
              <w:rPr>
                <w:sz w:val="20"/>
                <w:szCs w:val="20"/>
                <w:lang w:val="sr-Latn-RS"/>
              </w:rPr>
            </w:pPr>
            <w:r w:rsidRPr="00B8249D">
              <w:rPr>
                <w:sz w:val="20"/>
                <w:szCs w:val="20"/>
                <w:lang w:val="sr-Latn-RS"/>
              </w:rPr>
              <w:t>Number of Units</w:t>
            </w:r>
            <w:r w:rsidRPr="00B8249D">
              <w:rPr>
                <w:sz w:val="20"/>
                <w:szCs w:val="20"/>
                <w:vertAlign w:val="superscript"/>
                <w:lang w:val="sr-Latn-RS"/>
              </w:rPr>
              <w:t>a</w:t>
            </w:r>
          </w:p>
        </w:tc>
        <w:tc>
          <w:tcPr>
            <w:tcW w:w="1143" w:type="pct"/>
            <w:shd w:val="clear" w:color="auto" w:fill="auto"/>
          </w:tcPr>
          <w:p w14:paraId="07EDE9A8" w14:textId="77777777" w:rsidR="00B8249D" w:rsidRPr="00B8249D" w:rsidRDefault="00B8249D" w:rsidP="00B8249D">
            <w:pPr>
              <w:spacing w:before="0" w:after="0" w:line="60" w:lineRule="atLeast"/>
              <w:ind w:left="57" w:right="57"/>
              <w:jc w:val="right"/>
              <w:rPr>
                <w:sz w:val="20"/>
                <w:szCs w:val="20"/>
                <w:lang w:val="sr-Latn-RS"/>
              </w:rPr>
            </w:pPr>
            <w:r w:rsidRPr="00B8249D">
              <w:rPr>
                <w:sz w:val="20"/>
                <w:szCs w:val="20"/>
                <w:lang w:val="sr-Latn-RS"/>
              </w:rPr>
              <w:t>10</w:t>
            </w:r>
          </w:p>
        </w:tc>
      </w:tr>
      <w:tr w:rsidR="00B8249D" w:rsidRPr="00B8249D" w14:paraId="4F7C93AE" w14:textId="77777777" w:rsidTr="00B8249D">
        <w:trPr>
          <w:cantSplit/>
        </w:trPr>
        <w:tc>
          <w:tcPr>
            <w:tcW w:w="1219" w:type="pct"/>
            <w:vMerge/>
            <w:shd w:val="clear" w:color="auto" w:fill="auto"/>
            <w:vAlign w:val="center"/>
          </w:tcPr>
          <w:p w14:paraId="4CABC122" w14:textId="77777777" w:rsidR="00B8249D" w:rsidRPr="00B8249D" w:rsidRDefault="00B8249D" w:rsidP="00B8249D">
            <w:pPr>
              <w:spacing w:before="0" w:after="0" w:line="60" w:lineRule="atLeast"/>
              <w:ind w:left="57" w:right="57"/>
              <w:jc w:val="left"/>
              <w:rPr>
                <w:sz w:val="20"/>
                <w:szCs w:val="20"/>
                <w:lang w:val="sr-Latn-RS"/>
              </w:rPr>
            </w:pPr>
          </w:p>
        </w:tc>
        <w:tc>
          <w:tcPr>
            <w:tcW w:w="2638" w:type="pct"/>
            <w:gridSpan w:val="2"/>
            <w:shd w:val="clear" w:color="auto" w:fill="auto"/>
            <w:vAlign w:val="center"/>
          </w:tcPr>
          <w:p w14:paraId="741D02AD" w14:textId="77777777" w:rsidR="00B8249D" w:rsidRPr="00B8249D" w:rsidRDefault="00B8249D" w:rsidP="00B8249D">
            <w:pPr>
              <w:spacing w:before="0" w:after="0" w:line="60" w:lineRule="atLeast"/>
              <w:ind w:left="57" w:right="57"/>
              <w:jc w:val="left"/>
              <w:rPr>
                <w:sz w:val="20"/>
                <w:szCs w:val="20"/>
                <w:lang w:val="sr-Latn-RS"/>
              </w:rPr>
            </w:pPr>
            <w:r w:rsidRPr="00B8249D">
              <w:rPr>
                <w:sz w:val="20"/>
                <w:szCs w:val="20"/>
                <w:lang w:val="sr-Latn-RS"/>
              </w:rPr>
              <w:t>Rescaling Method for Covariates</w:t>
            </w:r>
          </w:p>
        </w:tc>
        <w:tc>
          <w:tcPr>
            <w:tcW w:w="1143" w:type="pct"/>
            <w:shd w:val="clear" w:color="auto" w:fill="auto"/>
          </w:tcPr>
          <w:p w14:paraId="17FC9213" w14:textId="77777777" w:rsidR="00B8249D" w:rsidRPr="00B8249D" w:rsidRDefault="00B8249D" w:rsidP="00B8249D">
            <w:pPr>
              <w:spacing w:before="0" w:after="0" w:line="60" w:lineRule="atLeast"/>
              <w:ind w:left="57" w:right="57"/>
              <w:jc w:val="right"/>
              <w:rPr>
                <w:sz w:val="20"/>
                <w:szCs w:val="20"/>
                <w:lang w:val="sr-Latn-RS"/>
              </w:rPr>
            </w:pPr>
            <w:r w:rsidRPr="00B8249D">
              <w:rPr>
                <w:sz w:val="20"/>
                <w:szCs w:val="20"/>
                <w:lang w:val="sr-Latn-RS"/>
              </w:rPr>
              <w:t>Standardized</w:t>
            </w:r>
          </w:p>
        </w:tc>
      </w:tr>
      <w:tr w:rsidR="00B8249D" w:rsidRPr="00B8249D" w14:paraId="4B90B17A" w14:textId="77777777" w:rsidTr="00B8249D">
        <w:trPr>
          <w:cantSplit/>
        </w:trPr>
        <w:tc>
          <w:tcPr>
            <w:tcW w:w="1219" w:type="pct"/>
            <w:vMerge w:val="restart"/>
            <w:shd w:val="clear" w:color="auto" w:fill="auto"/>
            <w:vAlign w:val="center"/>
          </w:tcPr>
          <w:p w14:paraId="793A5D90" w14:textId="77777777" w:rsidR="00B8249D" w:rsidRPr="00B8249D" w:rsidRDefault="00B8249D" w:rsidP="00B8249D">
            <w:pPr>
              <w:spacing w:before="0" w:after="0" w:line="60" w:lineRule="atLeast"/>
              <w:ind w:left="57" w:right="57"/>
              <w:jc w:val="left"/>
              <w:rPr>
                <w:sz w:val="20"/>
                <w:szCs w:val="20"/>
                <w:lang w:val="sr-Latn-RS"/>
              </w:rPr>
            </w:pPr>
            <w:r w:rsidRPr="00B8249D">
              <w:rPr>
                <w:sz w:val="20"/>
                <w:szCs w:val="20"/>
                <w:lang w:val="sr-Latn-RS"/>
              </w:rPr>
              <w:t>Hidden Layer(s)</w:t>
            </w:r>
          </w:p>
        </w:tc>
        <w:tc>
          <w:tcPr>
            <w:tcW w:w="2638" w:type="pct"/>
            <w:gridSpan w:val="2"/>
            <w:shd w:val="clear" w:color="auto" w:fill="auto"/>
            <w:vAlign w:val="center"/>
          </w:tcPr>
          <w:p w14:paraId="4F2457F8" w14:textId="77777777" w:rsidR="00B8249D" w:rsidRPr="00B8249D" w:rsidRDefault="00B8249D" w:rsidP="00B8249D">
            <w:pPr>
              <w:spacing w:before="0" w:after="0" w:line="60" w:lineRule="atLeast"/>
              <w:ind w:left="57" w:right="57"/>
              <w:jc w:val="left"/>
              <w:rPr>
                <w:sz w:val="20"/>
                <w:szCs w:val="20"/>
                <w:lang w:val="sr-Latn-RS"/>
              </w:rPr>
            </w:pPr>
            <w:r w:rsidRPr="00B8249D">
              <w:rPr>
                <w:sz w:val="20"/>
                <w:szCs w:val="20"/>
                <w:lang w:val="sr-Latn-RS"/>
              </w:rPr>
              <w:t>Number of Hidden Layers</w:t>
            </w:r>
          </w:p>
        </w:tc>
        <w:tc>
          <w:tcPr>
            <w:tcW w:w="1143" w:type="pct"/>
            <w:shd w:val="clear" w:color="auto" w:fill="auto"/>
          </w:tcPr>
          <w:p w14:paraId="404FAC45" w14:textId="77777777" w:rsidR="00B8249D" w:rsidRPr="00B8249D" w:rsidRDefault="00B8249D" w:rsidP="00B8249D">
            <w:pPr>
              <w:spacing w:before="0" w:after="0" w:line="60" w:lineRule="atLeast"/>
              <w:ind w:left="57" w:right="57"/>
              <w:jc w:val="right"/>
              <w:rPr>
                <w:sz w:val="20"/>
                <w:szCs w:val="20"/>
                <w:lang w:val="sr-Latn-RS"/>
              </w:rPr>
            </w:pPr>
            <w:r w:rsidRPr="00B8249D">
              <w:rPr>
                <w:sz w:val="20"/>
                <w:szCs w:val="20"/>
                <w:lang w:val="sr-Latn-RS"/>
              </w:rPr>
              <w:t>1</w:t>
            </w:r>
          </w:p>
        </w:tc>
      </w:tr>
      <w:tr w:rsidR="00B8249D" w:rsidRPr="00B8249D" w14:paraId="6C56219C" w14:textId="77777777" w:rsidTr="00B8249D">
        <w:trPr>
          <w:cantSplit/>
        </w:trPr>
        <w:tc>
          <w:tcPr>
            <w:tcW w:w="1219" w:type="pct"/>
            <w:vMerge/>
            <w:shd w:val="clear" w:color="auto" w:fill="auto"/>
            <w:vAlign w:val="center"/>
          </w:tcPr>
          <w:p w14:paraId="08F56A11" w14:textId="77777777" w:rsidR="00B8249D" w:rsidRPr="00B8249D" w:rsidRDefault="00B8249D" w:rsidP="00B8249D">
            <w:pPr>
              <w:spacing w:before="0" w:after="0" w:line="60" w:lineRule="atLeast"/>
              <w:ind w:left="57" w:right="57"/>
              <w:jc w:val="left"/>
              <w:rPr>
                <w:sz w:val="20"/>
                <w:szCs w:val="20"/>
                <w:lang w:val="sr-Latn-RS"/>
              </w:rPr>
            </w:pPr>
          </w:p>
        </w:tc>
        <w:tc>
          <w:tcPr>
            <w:tcW w:w="2638" w:type="pct"/>
            <w:gridSpan w:val="2"/>
            <w:shd w:val="clear" w:color="auto" w:fill="auto"/>
            <w:vAlign w:val="center"/>
          </w:tcPr>
          <w:p w14:paraId="49F2D25C" w14:textId="77777777" w:rsidR="00B8249D" w:rsidRPr="00B8249D" w:rsidRDefault="00B8249D" w:rsidP="00B8249D">
            <w:pPr>
              <w:spacing w:before="0" w:after="0" w:line="60" w:lineRule="atLeast"/>
              <w:ind w:left="57" w:right="57"/>
              <w:jc w:val="left"/>
              <w:rPr>
                <w:sz w:val="20"/>
                <w:szCs w:val="20"/>
                <w:lang w:val="sr-Latn-RS"/>
              </w:rPr>
            </w:pPr>
            <w:r w:rsidRPr="00B8249D">
              <w:rPr>
                <w:sz w:val="20"/>
                <w:szCs w:val="20"/>
                <w:lang w:val="sr-Latn-RS"/>
              </w:rPr>
              <w:t>Number of Units in Hidden Layer 1</w:t>
            </w:r>
            <w:r w:rsidRPr="00B8249D">
              <w:rPr>
                <w:sz w:val="20"/>
                <w:szCs w:val="20"/>
                <w:vertAlign w:val="superscript"/>
                <w:lang w:val="sr-Latn-RS"/>
              </w:rPr>
              <w:t>a</w:t>
            </w:r>
          </w:p>
        </w:tc>
        <w:tc>
          <w:tcPr>
            <w:tcW w:w="1143" w:type="pct"/>
            <w:shd w:val="clear" w:color="auto" w:fill="auto"/>
          </w:tcPr>
          <w:p w14:paraId="037CF881" w14:textId="77777777" w:rsidR="00B8249D" w:rsidRPr="00B8249D" w:rsidRDefault="00B8249D" w:rsidP="00B8249D">
            <w:pPr>
              <w:spacing w:before="0" w:after="0" w:line="60" w:lineRule="atLeast"/>
              <w:ind w:left="57" w:right="57"/>
              <w:jc w:val="right"/>
              <w:rPr>
                <w:sz w:val="20"/>
                <w:szCs w:val="20"/>
                <w:lang w:val="sr-Latn-RS"/>
              </w:rPr>
            </w:pPr>
            <w:r w:rsidRPr="00B8249D">
              <w:rPr>
                <w:sz w:val="20"/>
                <w:szCs w:val="20"/>
                <w:lang w:val="sr-Latn-RS"/>
              </w:rPr>
              <w:t>7</w:t>
            </w:r>
          </w:p>
        </w:tc>
      </w:tr>
      <w:tr w:rsidR="00B8249D" w:rsidRPr="00B8249D" w14:paraId="76FC6DE3" w14:textId="77777777" w:rsidTr="00B8249D">
        <w:trPr>
          <w:cantSplit/>
        </w:trPr>
        <w:tc>
          <w:tcPr>
            <w:tcW w:w="1219" w:type="pct"/>
            <w:vMerge/>
            <w:shd w:val="clear" w:color="auto" w:fill="auto"/>
            <w:vAlign w:val="center"/>
          </w:tcPr>
          <w:p w14:paraId="3F545914" w14:textId="77777777" w:rsidR="00B8249D" w:rsidRPr="00B8249D" w:rsidRDefault="00B8249D" w:rsidP="00B8249D">
            <w:pPr>
              <w:spacing w:before="0" w:after="0" w:line="60" w:lineRule="atLeast"/>
              <w:ind w:left="57" w:right="57"/>
              <w:jc w:val="left"/>
              <w:rPr>
                <w:sz w:val="20"/>
                <w:szCs w:val="20"/>
                <w:lang w:val="sr-Latn-RS"/>
              </w:rPr>
            </w:pPr>
          </w:p>
        </w:tc>
        <w:tc>
          <w:tcPr>
            <w:tcW w:w="2638" w:type="pct"/>
            <w:gridSpan w:val="2"/>
            <w:shd w:val="clear" w:color="auto" w:fill="auto"/>
            <w:vAlign w:val="center"/>
          </w:tcPr>
          <w:p w14:paraId="21EA3467" w14:textId="77777777" w:rsidR="00B8249D" w:rsidRPr="00B8249D" w:rsidRDefault="00B8249D" w:rsidP="00B8249D">
            <w:pPr>
              <w:spacing w:before="0" w:after="0" w:line="60" w:lineRule="atLeast"/>
              <w:ind w:left="57" w:right="57"/>
              <w:jc w:val="left"/>
              <w:rPr>
                <w:sz w:val="20"/>
                <w:szCs w:val="20"/>
                <w:lang w:val="sr-Latn-RS"/>
              </w:rPr>
            </w:pPr>
            <w:r w:rsidRPr="00B8249D">
              <w:rPr>
                <w:sz w:val="20"/>
                <w:szCs w:val="20"/>
                <w:lang w:val="sr-Latn-RS"/>
              </w:rPr>
              <w:t>Activation Function</w:t>
            </w:r>
          </w:p>
        </w:tc>
        <w:tc>
          <w:tcPr>
            <w:tcW w:w="1143" w:type="pct"/>
            <w:shd w:val="clear" w:color="auto" w:fill="auto"/>
          </w:tcPr>
          <w:p w14:paraId="30E9089E" w14:textId="77777777" w:rsidR="00B8249D" w:rsidRPr="00B8249D" w:rsidRDefault="00B8249D" w:rsidP="00B8249D">
            <w:pPr>
              <w:spacing w:before="0" w:after="0" w:line="60" w:lineRule="atLeast"/>
              <w:ind w:left="57" w:right="57"/>
              <w:jc w:val="right"/>
              <w:rPr>
                <w:sz w:val="20"/>
                <w:szCs w:val="20"/>
                <w:lang w:val="sr-Latn-RS"/>
              </w:rPr>
            </w:pPr>
            <w:r w:rsidRPr="00B8249D">
              <w:rPr>
                <w:sz w:val="20"/>
                <w:szCs w:val="20"/>
                <w:lang w:val="sr-Latn-RS"/>
              </w:rPr>
              <w:t>Sigmoid</w:t>
            </w:r>
          </w:p>
        </w:tc>
      </w:tr>
      <w:tr w:rsidR="00B8249D" w:rsidRPr="00B8249D" w14:paraId="68050829" w14:textId="77777777" w:rsidTr="00B8249D">
        <w:trPr>
          <w:cantSplit/>
        </w:trPr>
        <w:tc>
          <w:tcPr>
            <w:tcW w:w="1219" w:type="pct"/>
            <w:vMerge w:val="restart"/>
            <w:shd w:val="clear" w:color="auto" w:fill="auto"/>
            <w:vAlign w:val="center"/>
          </w:tcPr>
          <w:p w14:paraId="4D108B29" w14:textId="77777777" w:rsidR="00B8249D" w:rsidRPr="00B8249D" w:rsidRDefault="00B8249D" w:rsidP="00B8249D">
            <w:pPr>
              <w:spacing w:before="0" w:after="0" w:line="60" w:lineRule="atLeast"/>
              <w:ind w:left="57" w:right="57"/>
              <w:jc w:val="left"/>
              <w:rPr>
                <w:sz w:val="20"/>
                <w:szCs w:val="20"/>
                <w:lang w:val="sr-Latn-RS"/>
              </w:rPr>
            </w:pPr>
            <w:r w:rsidRPr="00B8249D">
              <w:rPr>
                <w:sz w:val="20"/>
                <w:szCs w:val="20"/>
                <w:lang w:val="sr-Latn-RS"/>
              </w:rPr>
              <w:t>Output Layer</w:t>
            </w:r>
          </w:p>
        </w:tc>
        <w:tc>
          <w:tcPr>
            <w:tcW w:w="1158" w:type="pct"/>
            <w:shd w:val="clear" w:color="auto" w:fill="auto"/>
            <w:vAlign w:val="center"/>
          </w:tcPr>
          <w:p w14:paraId="0EB77ABD" w14:textId="77777777" w:rsidR="00B8249D" w:rsidRPr="00B8249D" w:rsidRDefault="00B8249D" w:rsidP="00B8249D">
            <w:pPr>
              <w:spacing w:before="0" w:after="0" w:line="60" w:lineRule="atLeast"/>
              <w:ind w:left="57" w:right="57"/>
              <w:jc w:val="left"/>
              <w:rPr>
                <w:sz w:val="20"/>
                <w:szCs w:val="20"/>
                <w:lang w:val="sr-Latn-RS"/>
              </w:rPr>
            </w:pPr>
            <w:r w:rsidRPr="00B8249D">
              <w:rPr>
                <w:sz w:val="20"/>
                <w:szCs w:val="20"/>
                <w:lang w:val="sr-Latn-RS"/>
              </w:rPr>
              <w:t>Dependent Variables</w:t>
            </w:r>
          </w:p>
        </w:tc>
        <w:tc>
          <w:tcPr>
            <w:tcW w:w="1481" w:type="pct"/>
            <w:shd w:val="clear" w:color="auto" w:fill="auto"/>
            <w:vAlign w:val="center"/>
          </w:tcPr>
          <w:p w14:paraId="2FEC6C25" w14:textId="77777777" w:rsidR="00B8249D" w:rsidRPr="00B8249D" w:rsidRDefault="00B8249D" w:rsidP="00B8249D">
            <w:pPr>
              <w:spacing w:before="0" w:after="0" w:line="60" w:lineRule="atLeast"/>
              <w:ind w:left="57" w:right="57"/>
              <w:jc w:val="right"/>
              <w:rPr>
                <w:sz w:val="20"/>
                <w:szCs w:val="20"/>
                <w:lang w:val="sr-Latn-RS"/>
              </w:rPr>
            </w:pPr>
            <w:r w:rsidRPr="00B8249D">
              <w:rPr>
                <w:sz w:val="20"/>
                <w:szCs w:val="20"/>
                <w:lang w:val="sr-Latn-RS"/>
              </w:rPr>
              <w:t>1</w:t>
            </w:r>
          </w:p>
        </w:tc>
        <w:tc>
          <w:tcPr>
            <w:tcW w:w="1143" w:type="pct"/>
            <w:shd w:val="clear" w:color="auto" w:fill="auto"/>
          </w:tcPr>
          <w:p w14:paraId="1BFD85DC" w14:textId="77777777" w:rsidR="00B8249D" w:rsidRPr="00B8249D" w:rsidRDefault="00B8249D" w:rsidP="00B8249D">
            <w:pPr>
              <w:spacing w:before="0" w:after="0" w:line="60" w:lineRule="atLeast"/>
              <w:ind w:left="57" w:right="57"/>
              <w:jc w:val="right"/>
              <w:rPr>
                <w:sz w:val="20"/>
                <w:szCs w:val="20"/>
                <w:lang w:val="sr-Latn-RS"/>
              </w:rPr>
            </w:pPr>
            <w:r w:rsidRPr="00B8249D">
              <w:rPr>
                <w:sz w:val="20"/>
                <w:szCs w:val="20"/>
                <w:lang w:val="sr-Latn-RS"/>
              </w:rPr>
              <w:t>Degradation_OS</w:t>
            </w:r>
          </w:p>
        </w:tc>
      </w:tr>
      <w:tr w:rsidR="00B8249D" w:rsidRPr="00B8249D" w14:paraId="6E577CE7" w14:textId="77777777" w:rsidTr="00B8249D">
        <w:trPr>
          <w:cantSplit/>
        </w:trPr>
        <w:tc>
          <w:tcPr>
            <w:tcW w:w="1219" w:type="pct"/>
            <w:vMerge/>
            <w:shd w:val="clear" w:color="auto" w:fill="auto"/>
            <w:vAlign w:val="center"/>
          </w:tcPr>
          <w:p w14:paraId="2416F26D" w14:textId="77777777" w:rsidR="00B8249D" w:rsidRPr="00B8249D" w:rsidRDefault="00B8249D" w:rsidP="00B8249D">
            <w:pPr>
              <w:spacing w:before="0" w:after="0" w:line="60" w:lineRule="atLeast"/>
              <w:ind w:left="57" w:right="57"/>
              <w:jc w:val="left"/>
              <w:rPr>
                <w:sz w:val="20"/>
                <w:szCs w:val="20"/>
                <w:lang w:val="sr-Latn-RS"/>
              </w:rPr>
            </w:pPr>
          </w:p>
        </w:tc>
        <w:tc>
          <w:tcPr>
            <w:tcW w:w="2638" w:type="pct"/>
            <w:gridSpan w:val="2"/>
            <w:shd w:val="clear" w:color="auto" w:fill="auto"/>
            <w:vAlign w:val="center"/>
          </w:tcPr>
          <w:p w14:paraId="1F5EF7CC" w14:textId="77777777" w:rsidR="00B8249D" w:rsidRPr="00B8249D" w:rsidRDefault="00B8249D" w:rsidP="00B8249D">
            <w:pPr>
              <w:spacing w:before="0" w:after="0" w:line="60" w:lineRule="atLeast"/>
              <w:ind w:left="57" w:right="57"/>
              <w:jc w:val="left"/>
              <w:rPr>
                <w:sz w:val="20"/>
                <w:szCs w:val="20"/>
                <w:lang w:val="sr-Latn-RS"/>
              </w:rPr>
            </w:pPr>
            <w:r w:rsidRPr="00B8249D">
              <w:rPr>
                <w:sz w:val="20"/>
                <w:szCs w:val="20"/>
                <w:lang w:val="sr-Latn-RS"/>
              </w:rPr>
              <w:t>Number of Units</w:t>
            </w:r>
          </w:p>
        </w:tc>
        <w:tc>
          <w:tcPr>
            <w:tcW w:w="1143" w:type="pct"/>
            <w:shd w:val="clear" w:color="auto" w:fill="auto"/>
          </w:tcPr>
          <w:p w14:paraId="1955096E" w14:textId="77777777" w:rsidR="00B8249D" w:rsidRPr="00B8249D" w:rsidRDefault="00B8249D" w:rsidP="00B8249D">
            <w:pPr>
              <w:spacing w:before="0" w:after="0" w:line="60" w:lineRule="atLeast"/>
              <w:ind w:left="57" w:right="57"/>
              <w:jc w:val="right"/>
              <w:rPr>
                <w:sz w:val="20"/>
                <w:szCs w:val="20"/>
                <w:lang w:val="sr-Latn-RS"/>
              </w:rPr>
            </w:pPr>
            <w:r w:rsidRPr="00B8249D">
              <w:rPr>
                <w:sz w:val="20"/>
                <w:szCs w:val="20"/>
                <w:lang w:val="sr-Latn-RS"/>
              </w:rPr>
              <w:t>2</w:t>
            </w:r>
          </w:p>
        </w:tc>
      </w:tr>
      <w:tr w:rsidR="00B8249D" w:rsidRPr="00B8249D" w14:paraId="06D8E8BA" w14:textId="77777777" w:rsidTr="00B8249D">
        <w:trPr>
          <w:cantSplit/>
        </w:trPr>
        <w:tc>
          <w:tcPr>
            <w:tcW w:w="1219" w:type="pct"/>
            <w:vMerge/>
            <w:shd w:val="clear" w:color="auto" w:fill="auto"/>
            <w:vAlign w:val="center"/>
          </w:tcPr>
          <w:p w14:paraId="2D5F8FBF" w14:textId="77777777" w:rsidR="00B8249D" w:rsidRPr="00B8249D" w:rsidRDefault="00B8249D" w:rsidP="00B8249D">
            <w:pPr>
              <w:spacing w:before="0" w:after="0" w:line="60" w:lineRule="atLeast"/>
              <w:ind w:left="57" w:right="57"/>
              <w:jc w:val="left"/>
              <w:rPr>
                <w:sz w:val="20"/>
                <w:szCs w:val="20"/>
                <w:lang w:val="sr-Latn-RS"/>
              </w:rPr>
            </w:pPr>
          </w:p>
        </w:tc>
        <w:tc>
          <w:tcPr>
            <w:tcW w:w="2638" w:type="pct"/>
            <w:gridSpan w:val="2"/>
            <w:shd w:val="clear" w:color="auto" w:fill="auto"/>
            <w:vAlign w:val="center"/>
          </w:tcPr>
          <w:p w14:paraId="461A6688" w14:textId="77777777" w:rsidR="00B8249D" w:rsidRPr="00B8249D" w:rsidRDefault="00B8249D" w:rsidP="00B8249D">
            <w:pPr>
              <w:spacing w:before="0" w:after="0" w:line="60" w:lineRule="atLeast"/>
              <w:ind w:left="57" w:right="57"/>
              <w:jc w:val="left"/>
              <w:rPr>
                <w:sz w:val="20"/>
                <w:szCs w:val="20"/>
                <w:lang w:val="sr-Latn-RS"/>
              </w:rPr>
            </w:pPr>
            <w:r w:rsidRPr="00B8249D">
              <w:rPr>
                <w:sz w:val="20"/>
                <w:szCs w:val="20"/>
                <w:lang w:val="sr-Latn-RS"/>
              </w:rPr>
              <w:t>Activation Function</w:t>
            </w:r>
          </w:p>
        </w:tc>
        <w:tc>
          <w:tcPr>
            <w:tcW w:w="1143" w:type="pct"/>
            <w:shd w:val="clear" w:color="auto" w:fill="auto"/>
          </w:tcPr>
          <w:p w14:paraId="7DDC4891" w14:textId="77777777" w:rsidR="00B8249D" w:rsidRPr="00B8249D" w:rsidRDefault="00B8249D" w:rsidP="00B8249D">
            <w:pPr>
              <w:spacing w:before="0" w:after="0" w:line="60" w:lineRule="atLeast"/>
              <w:ind w:left="57" w:right="57"/>
              <w:jc w:val="right"/>
              <w:rPr>
                <w:sz w:val="20"/>
                <w:szCs w:val="20"/>
                <w:lang w:val="sr-Latn-RS"/>
              </w:rPr>
            </w:pPr>
            <w:r w:rsidRPr="00B8249D">
              <w:rPr>
                <w:sz w:val="20"/>
                <w:szCs w:val="20"/>
                <w:lang w:val="sr-Latn-RS"/>
              </w:rPr>
              <w:t>Sigmoid</w:t>
            </w:r>
          </w:p>
        </w:tc>
      </w:tr>
      <w:tr w:rsidR="00B8249D" w:rsidRPr="00B8249D" w14:paraId="679BFE5F" w14:textId="77777777" w:rsidTr="00B8249D">
        <w:trPr>
          <w:cantSplit/>
        </w:trPr>
        <w:tc>
          <w:tcPr>
            <w:tcW w:w="1219" w:type="pct"/>
            <w:vMerge/>
            <w:tcBorders>
              <w:bottom w:val="single" w:sz="4" w:space="0" w:color="auto"/>
            </w:tcBorders>
            <w:shd w:val="clear" w:color="auto" w:fill="auto"/>
            <w:vAlign w:val="center"/>
          </w:tcPr>
          <w:p w14:paraId="4A64D966" w14:textId="77777777" w:rsidR="00B8249D" w:rsidRPr="00B8249D" w:rsidRDefault="00B8249D" w:rsidP="00B8249D">
            <w:pPr>
              <w:spacing w:before="0" w:after="0" w:line="60" w:lineRule="atLeast"/>
              <w:ind w:left="57" w:right="57"/>
              <w:jc w:val="left"/>
              <w:rPr>
                <w:sz w:val="20"/>
                <w:szCs w:val="20"/>
                <w:lang w:val="sr-Latn-RS"/>
              </w:rPr>
            </w:pPr>
          </w:p>
        </w:tc>
        <w:tc>
          <w:tcPr>
            <w:tcW w:w="2638" w:type="pct"/>
            <w:gridSpan w:val="2"/>
            <w:tcBorders>
              <w:bottom w:val="single" w:sz="4" w:space="0" w:color="auto"/>
            </w:tcBorders>
            <w:shd w:val="clear" w:color="auto" w:fill="auto"/>
            <w:vAlign w:val="center"/>
          </w:tcPr>
          <w:p w14:paraId="19F4EFE1" w14:textId="77777777" w:rsidR="00B8249D" w:rsidRPr="00B8249D" w:rsidRDefault="00B8249D" w:rsidP="00B8249D">
            <w:pPr>
              <w:spacing w:before="0" w:after="0" w:line="60" w:lineRule="atLeast"/>
              <w:ind w:left="57" w:right="57"/>
              <w:jc w:val="left"/>
              <w:rPr>
                <w:sz w:val="20"/>
                <w:szCs w:val="20"/>
                <w:lang w:val="sr-Latn-RS"/>
              </w:rPr>
            </w:pPr>
            <w:r w:rsidRPr="00B8249D">
              <w:rPr>
                <w:sz w:val="20"/>
                <w:szCs w:val="20"/>
                <w:lang w:val="sr-Latn-RS"/>
              </w:rPr>
              <w:t>Error Function</w:t>
            </w:r>
          </w:p>
        </w:tc>
        <w:tc>
          <w:tcPr>
            <w:tcW w:w="1143" w:type="pct"/>
            <w:tcBorders>
              <w:bottom w:val="single" w:sz="4" w:space="0" w:color="auto"/>
            </w:tcBorders>
            <w:shd w:val="clear" w:color="auto" w:fill="auto"/>
          </w:tcPr>
          <w:p w14:paraId="64A34BB3" w14:textId="77777777" w:rsidR="00B8249D" w:rsidRPr="00B8249D" w:rsidRDefault="00B8249D" w:rsidP="00B8249D">
            <w:pPr>
              <w:spacing w:before="0" w:after="0" w:line="60" w:lineRule="atLeast"/>
              <w:ind w:left="57" w:right="57"/>
              <w:jc w:val="right"/>
              <w:rPr>
                <w:sz w:val="20"/>
                <w:szCs w:val="20"/>
                <w:lang w:val="sr-Latn-RS"/>
              </w:rPr>
            </w:pPr>
            <w:r w:rsidRPr="00B8249D">
              <w:rPr>
                <w:sz w:val="20"/>
                <w:szCs w:val="20"/>
                <w:lang w:val="sr-Latn-RS"/>
              </w:rPr>
              <w:t>Sum of Squares</w:t>
            </w:r>
          </w:p>
        </w:tc>
      </w:tr>
      <w:tr w:rsidR="00B8249D" w:rsidRPr="00B8249D" w14:paraId="02F5CF2D" w14:textId="77777777" w:rsidTr="00B8249D">
        <w:trPr>
          <w:cantSplit/>
        </w:trPr>
        <w:tc>
          <w:tcPr>
            <w:tcW w:w="5000" w:type="pct"/>
            <w:gridSpan w:val="4"/>
            <w:tcBorders>
              <w:top w:val="single" w:sz="4" w:space="0" w:color="auto"/>
            </w:tcBorders>
            <w:shd w:val="clear" w:color="auto" w:fill="auto"/>
          </w:tcPr>
          <w:p w14:paraId="667A7560" w14:textId="77777777" w:rsidR="00B8249D" w:rsidRPr="00B8249D" w:rsidRDefault="00B8249D" w:rsidP="00B8249D">
            <w:pPr>
              <w:spacing w:before="0" w:after="0" w:line="60" w:lineRule="atLeast"/>
              <w:ind w:left="57" w:right="57"/>
              <w:jc w:val="left"/>
              <w:rPr>
                <w:sz w:val="18"/>
                <w:szCs w:val="18"/>
                <w:lang w:val="sr-Latn-RS"/>
              </w:rPr>
            </w:pPr>
            <w:r w:rsidRPr="00B8249D">
              <w:rPr>
                <w:sz w:val="18"/>
                <w:szCs w:val="18"/>
                <w:lang w:val="sr-Latn-RS"/>
              </w:rPr>
              <w:t>a. Excluding the bias unit</w:t>
            </w:r>
          </w:p>
        </w:tc>
      </w:tr>
    </w:tbl>
    <w:p w14:paraId="2B19A905" w14:textId="40389D93" w:rsidR="00B8249D" w:rsidRPr="00B8249D" w:rsidRDefault="006A001D" w:rsidP="001E6276">
      <w:pPr>
        <w:rPr>
          <w:lang w:val="sr-Latn-RS"/>
        </w:rPr>
      </w:pPr>
      <w:r>
        <w:rPr>
          <w:lang w:val="sr-Latn-RS"/>
        </w:rPr>
        <w:t>The training model summary</w:t>
      </w:r>
      <w:r w:rsidR="00F5373B">
        <w:rPr>
          <w:lang w:val="sr-Latn-RS"/>
        </w:rPr>
        <w:t>,</w:t>
      </w:r>
      <w:r>
        <w:rPr>
          <w:lang w:val="sr-Latn-RS"/>
        </w:rPr>
        <w:t xml:space="preserve"> including computational time and </w:t>
      </w:r>
      <w:r w:rsidR="00F5373B">
        <w:rPr>
          <w:lang w:val="sr-Latn-RS"/>
        </w:rPr>
        <w:t xml:space="preserve">the </w:t>
      </w:r>
      <w:r>
        <w:rPr>
          <w:lang w:val="sr-Latn-RS"/>
        </w:rPr>
        <w:t>sum of squared errors (SSE)</w:t>
      </w:r>
      <w:r w:rsidR="00F5373B">
        <w:rPr>
          <w:lang w:val="sr-Latn-RS"/>
        </w:rPr>
        <w:t>,</w:t>
      </w:r>
      <w:r>
        <w:rPr>
          <w:lang w:val="sr-Latn-RS"/>
        </w:rPr>
        <w:t xml:space="preserve"> </w:t>
      </w:r>
      <w:r w:rsidR="00F5373B">
        <w:rPr>
          <w:lang w:val="sr-Latn-RS"/>
        </w:rPr>
        <w:t>is</w:t>
      </w:r>
      <w:r>
        <w:rPr>
          <w:lang w:val="sr-Latn-RS"/>
        </w:rPr>
        <w:t xml:space="preserve"> given </w:t>
      </w:r>
      <w:r w:rsidR="00603F0B">
        <w:rPr>
          <w:lang w:val="sr-Latn-RS"/>
        </w:rPr>
        <w:t>in</w:t>
      </w:r>
      <w:r>
        <w:rPr>
          <w:lang w:val="sr-Latn-RS"/>
        </w:rPr>
        <w:t xml:space="preserve"> </w:t>
      </w:r>
      <w:r>
        <w:rPr>
          <w:lang w:val="sr-Latn-RS"/>
        </w:rPr>
        <w:fldChar w:fldCharType="begin"/>
      </w:r>
      <w:r>
        <w:rPr>
          <w:lang w:val="sr-Latn-RS"/>
        </w:rPr>
        <w:instrText xml:space="preserve"> REF _Ref98670015 \h </w:instrText>
      </w:r>
      <w:r>
        <w:rPr>
          <w:lang w:val="sr-Latn-RS"/>
        </w:rPr>
      </w:r>
      <w:r>
        <w:rPr>
          <w:lang w:val="sr-Latn-RS"/>
        </w:rPr>
        <w:fldChar w:fldCharType="separate"/>
      </w:r>
      <w:r w:rsidR="00587AF0">
        <w:t xml:space="preserve">Table </w:t>
      </w:r>
      <w:r w:rsidR="00587AF0">
        <w:rPr>
          <w:noProof/>
        </w:rPr>
        <w:t>33</w:t>
      </w:r>
      <w:r>
        <w:rPr>
          <w:lang w:val="sr-Latn-RS"/>
        </w:rPr>
        <w:fldChar w:fldCharType="end"/>
      </w:r>
      <w:r>
        <w:rPr>
          <w:lang w:val="sr-Latn-RS"/>
        </w:rPr>
        <w:t>. The training model parameters and activation function are saved for testing the model on 30% randomly assigned test values.</w:t>
      </w:r>
    </w:p>
    <w:p w14:paraId="11FC38C4" w14:textId="7A69C3FB" w:rsidR="0019399D" w:rsidRPr="00F04A5A" w:rsidRDefault="002201D2" w:rsidP="002201D2">
      <w:pPr>
        <w:pStyle w:val="Caption"/>
        <w:jc w:val="both"/>
        <w:rPr>
          <w:lang w:val="en-GB"/>
        </w:rPr>
      </w:pPr>
      <w:bookmarkStart w:id="585" w:name="_Ref98670015"/>
      <w:bookmarkStart w:id="586" w:name="_Toc101274473"/>
      <w:r>
        <w:t xml:space="preserve">Table </w:t>
      </w:r>
      <w:fldSimple w:instr=" SEQ Table \* ARABIC ">
        <w:r w:rsidR="00587AF0">
          <w:rPr>
            <w:noProof/>
          </w:rPr>
          <w:t>33</w:t>
        </w:r>
      </w:fldSimple>
      <w:bookmarkEnd w:id="585"/>
      <w:r>
        <w:t xml:space="preserve">. </w:t>
      </w:r>
      <w:r w:rsidR="00BD78CC">
        <w:t xml:space="preserve">Training </w:t>
      </w:r>
      <w:r>
        <w:t>Model summary</w:t>
      </w:r>
      <w:r w:rsidR="00140E09">
        <w:t xml:space="preserve"> for opening saddle position</w:t>
      </w:r>
      <w:bookmarkEnd w:id="586"/>
    </w:p>
    <w:tbl>
      <w:tblPr>
        <w:tblW w:w="5000" w:type="pct"/>
        <w:tblCellMar>
          <w:left w:w="0" w:type="dxa"/>
          <w:right w:w="0" w:type="dxa"/>
        </w:tblCellMar>
        <w:tblLook w:val="0000" w:firstRow="0" w:lastRow="0" w:firstColumn="0" w:lastColumn="0" w:noHBand="0" w:noVBand="0"/>
      </w:tblPr>
      <w:tblGrid>
        <w:gridCol w:w="1646"/>
        <w:gridCol w:w="4586"/>
        <w:gridCol w:w="2795"/>
      </w:tblGrid>
      <w:tr w:rsidR="00E03E36" w:rsidRPr="00E03E36" w14:paraId="10354D53" w14:textId="77777777" w:rsidTr="00142F58">
        <w:trPr>
          <w:cantSplit/>
        </w:trPr>
        <w:tc>
          <w:tcPr>
            <w:tcW w:w="912" w:type="pct"/>
            <w:vMerge w:val="restart"/>
            <w:tcBorders>
              <w:top w:val="single" w:sz="4" w:space="0" w:color="auto"/>
            </w:tcBorders>
            <w:shd w:val="clear" w:color="auto" w:fill="auto"/>
            <w:vAlign w:val="center"/>
          </w:tcPr>
          <w:p w14:paraId="1A317743" w14:textId="77777777" w:rsidR="00542804" w:rsidRPr="00D93A70" w:rsidRDefault="00542804" w:rsidP="00E03E36">
            <w:pPr>
              <w:autoSpaceDE w:val="0"/>
              <w:autoSpaceDN w:val="0"/>
              <w:adjustRightInd w:val="0"/>
              <w:spacing w:before="0" w:after="0"/>
              <w:ind w:left="57" w:right="57"/>
              <w:jc w:val="left"/>
              <w:rPr>
                <w:rFonts w:cs="Arial"/>
                <w:b/>
                <w:bCs/>
                <w:sz w:val="20"/>
                <w:szCs w:val="20"/>
                <w:lang w:val="sr-Latn-RS"/>
              </w:rPr>
            </w:pPr>
            <w:r w:rsidRPr="00D93A70">
              <w:rPr>
                <w:rFonts w:cs="Arial"/>
                <w:b/>
                <w:bCs/>
                <w:sz w:val="20"/>
                <w:szCs w:val="20"/>
                <w:lang w:val="sr-Latn-RS"/>
              </w:rPr>
              <w:t>Training</w:t>
            </w:r>
          </w:p>
        </w:tc>
        <w:tc>
          <w:tcPr>
            <w:tcW w:w="2540" w:type="pct"/>
            <w:tcBorders>
              <w:top w:val="single" w:sz="4" w:space="0" w:color="auto"/>
            </w:tcBorders>
            <w:shd w:val="clear" w:color="auto" w:fill="auto"/>
            <w:vAlign w:val="center"/>
          </w:tcPr>
          <w:p w14:paraId="76B90F4B" w14:textId="77777777" w:rsidR="00542804" w:rsidRPr="00E03E36" w:rsidRDefault="00542804" w:rsidP="00E03E36">
            <w:pPr>
              <w:autoSpaceDE w:val="0"/>
              <w:autoSpaceDN w:val="0"/>
              <w:adjustRightInd w:val="0"/>
              <w:spacing w:before="0" w:after="0"/>
              <w:ind w:left="57" w:right="57"/>
              <w:jc w:val="left"/>
              <w:rPr>
                <w:rFonts w:cs="Arial"/>
                <w:sz w:val="20"/>
                <w:szCs w:val="20"/>
                <w:lang w:val="sr-Latn-RS"/>
              </w:rPr>
            </w:pPr>
            <w:r w:rsidRPr="00E03E36">
              <w:rPr>
                <w:rFonts w:cs="Arial"/>
                <w:sz w:val="20"/>
                <w:szCs w:val="20"/>
                <w:lang w:val="sr-Latn-RS"/>
              </w:rPr>
              <w:t>Sum of Squares Error</w:t>
            </w:r>
          </w:p>
        </w:tc>
        <w:tc>
          <w:tcPr>
            <w:tcW w:w="1548" w:type="pct"/>
            <w:tcBorders>
              <w:top w:val="single" w:sz="4" w:space="0" w:color="auto"/>
            </w:tcBorders>
            <w:shd w:val="clear" w:color="auto" w:fill="auto"/>
          </w:tcPr>
          <w:p w14:paraId="348C94CD" w14:textId="795E52B4" w:rsidR="00542804" w:rsidRPr="00E03E36" w:rsidRDefault="00542804" w:rsidP="00E03E36">
            <w:pPr>
              <w:autoSpaceDE w:val="0"/>
              <w:autoSpaceDN w:val="0"/>
              <w:adjustRightInd w:val="0"/>
              <w:spacing w:before="0" w:after="0"/>
              <w:ind w:left="57" w:right="57"/>
              <w:jc w:val="right"/>
              <w:rPr>
                <w:rFonts w:cs="Arial"/>
                <w:sz w:val="20"/>
                <w:szCs w:val="20"/>
                <w:lang w:val="sr-Latn-RS"/>
              </w:rPr>
            </w:pPr>
            <w:r w:rsidRPr="00E03E36">
              <w:rPr>
                <w:rFonts w:cs="Arial"/>
                <w:sz w:val="20"/>
                <w:szCs w:val="20"/>
                <w:lang w:val="sr-Latn-RS"/>
              </w:rPr>
              <w:t>7</w:t>
            </w:r>
            <w:r w:rsidR="00E03E36">
              <w:rPr>
                <w:rFonts w:cs="Arial"/>
                <w:sz w:val="20"/>
                <w:szCs w:val="20"/>
                <w:lang w:val="sr-Latn-RS"/>
              </w:rPr>
              <w:t>.</w:t>
            </w:r>
            <w:r w:rsidRPr="00E03E36">
              <w:rPr>
                <w:rFonts w:cs="Arial"/>
                <w:sz w:val="20"/>
                <w:szCs w:val="20"/>
                <w:lang w:val="sr-Latn-RS"/>
              </w:rPr>
              <w:t>547</w:t>
            </w:r>
          </w:p>
        </w:tc>
      </w:tr>
      <w:tr w:rsidR="00E03E36" w:rsidRPr="00E03E36" w14:paraId="283501BC" w14:textId="77777777" w:rsidTr="00E03E36">
        <w:trPr>
          <w:cantSplit/>
        </w:trPr>
        <w:tc>
          <w:tcPr>
            <w:tcW w:w="912" w:type="pct"/>
            <w:vMerge/>
            <w:shd w:val="clear" w:color="auto" w:fill="auto"/>
            <w:vAlign w:val="center"/>
          </w:tcPr>
          <w:p w14:paraId="67E41C40" w14:textId="77777777" w:rsidR="00542804" w:rsidRPr="00E03E36" w:rsidRDefault="00542804" w:rsidP="00E03E36">
            <w:pPr>
              <w:autoSpaceDE w:val="0"/>
              <w:autoSpaceDN w:val="0"/>
              <w:adjustRightInd w:val="0"/>
              <w:spacing w:before="0" w:after="0"/>
              <w:ind w:left="57" w:right="57"/>
              <w:jc w:val="left"/>
              <w:rPr>
                <w:rFonts w:cs="Arial"/>
                <w:sz w:val="20"/>
                <w:szCs w:val="20"/>
                <w:lang w:val="sr-Latn-RS"/>
              </w:rPr>
            </w:pPr>
          </w:p>
        </w:tc>
        <w:tc>
          <w:tcPr>
            <w:tcW w:w="2540" w:type="pct"/>
            <w:shd w:val="clear" w:color="auto" w:fill="auto"/>
            <w:vAlign w:val="center"/>
          </w:tcPr>
          <w:p w14:paraId="351CBECF" w14:textId="77777777" w:rsidR="00542804" w:rsidRPr="00E03E36" w:rsidRDefault="00542804" w:rsidP="00E03E36">
            <w:pPr>
              <w:autoSpaceDE w:val="0"/>
              <w:autoSpaceDN w:val="0"/>
              <w:adjustRightInd w:val="0"/>
              <w:spacing w:before="0" w:after="0"/>
              <w:ind w:left="57" w:right="57"/>
              <w:jc w:val="left"/>
              <w:rPr>
                <w:rFonts w:cs="Arial"/>
                <w:sz w:val="20"/>
                <w:szCs w:val="20"/>
                <w:lang w:val="sr-Latn-RS"/>
              </w:rPr>
            </w:pPr>
            <w:r w:rsidRPr="00E03E36">
              <w:rPr>
                <w:rFonts w:cs="Arial"/>
                <w:sz w:val="20"/>
                <w:szCs w:val="20"/>
                <w:lang w:val="sr-Latn-RS"/>
              </w:rPr>
              <w:t>Percent Incorrect Predictions</w:t>
            </w:r>
          </w:p>
        </w:tc>
        <w:tc>
          <w:tcPr>
            <w:tcW w:w="1548" w:type="pct"/>
            <w:shd w:val="clear" w:color="auto" w:fill="auto"/>
          </w:tcPr>
          <w:p w14:paraId="2AD0D2D5" w14:textId="71E86617" w:rsidR="00542804" w:rsidRPr="00E03E36" w:rsidRDefault="00542804" w:rsidP="00E03E36">
            <w:pPr>
              <w:autoSpaceDE w:val="0"/>
              <w:autoSpaceDN w:val="0"/>
              <w:adjustRightInd w:val="0"/>
              <w:spacing w:before="0" w:after="0"/>
              <w:ind w:left="57" w:right="57"/>
              <w:jc w:val="right"/>
              <w:rPr>
                <w:rFonts w:cs="Arial"/>
                <w:sz w:val="20"/>
                <w:szCs w:val="20"/>
                <w:lang w:val="sr-Latn-RS"/>
              </w:rPr>
            </w:pPr>
            <w:r w:rsidRPr="00E03E36">
              <w:rPr>
                <w:rFonts w:cs="Arial"/>
                <w:sz w:val="20"/>
                <w:szCs w:val="20"/>
                <w:lang w:val="sr-Latn-RS"/>
              </w:rPr>
              <w:t>1</w:t>
            </w:r>
            <w:r w:rsidR="00E03E36">
              <w:rPr>
                <w:rFonts w:cs="Arial"/>
                <w:sz w:val="20"/>
                <w:szCs w:val="20"/>
                <w:lang w:val="sr-Latn-RS"/>
              </w:rPr>
              <w:t>.</w:t>
            </w:r>
            <w:r w:rsidRPr="00E03E36">
              <w:rPr>
                <w:rFonts w:cs="Arial"/>
                <w:sz w:val="20"/>
                <w:szCs w:val="20"/>
                <w:lang w:val="sr-Latn-RS"/>
              </w:rPr>
              <w:t>0%</w:t>
            </w:r>
          </w:p>
        </w:tc>
      </w:tr>
      <w:tr w:rsidR="00E03E36" w:rsidRPr="00E03E36" w14:paraId="66ADD4FF" w14:textId="77777777" w:rsidTr="00E03E36">
        <w:trPr>
          <w:cantSplit/>
        </w:trPr>
        <w:tc>
          <w:tcPr>
            <w:tcW w:w="912" w:type="pct"/>
            <w:vMerge/>
            <w:shd w:val="clear" w:color="auto" w:fill="auto"/>
            <w:vAlign w:val="center"/>
          </w:tcPr>
          <w:p w14:paraId="1490404C" w14:textId="77777777" w:rsidR="00542804" w:rsidRPr="00E03E36" w:rsidRDefault="00542804" w:rsidP="00E03E36">
            <w:pPr>
              <w:autoSpaceDE w:val="0"/>
              <w:autoSpaceDN w:val="0"/>
              <w:adjustRightInd w:val="0"/>
              <w:spacing w:before="0" w:after="0"/>
              <w:ind w:left="57" w:right="57"/>
              <w:jc w:val="left"/>
              <w:rPr>
                <w:rFonts w:cs="Arial"/>
                <w:sz w:val="20"/>
                <w:szCs w:val="20"/>
                <w:lang w:val="sr-Latn-RS"/>
              </w:rPr>
            </w:pPr>
          </w:p>
        </w:tc>
        <w:tc>
          <w:tcPr>
            <w:tcW w:w="2540" w:type="pct"/>
            <w:shd w:val="clear" w:color="auto" w:fill="auto"/>
            <w:vAlign w:val="center"/>
          </w:tcPr>
          <w:p w14:paraId="7CFF6385" w14:textId="77777777" w:rsidR="00542804" w:rsidRPr="00E03E36" w:rsidRDefault="00542804" w:rsidP="00E03E36">
            <w:pPr>
              <w:autoSpaceDE w:val="0"/>
              <w:autoSpaceDN w:val="0"/>
              <w:adjustRightInd w:val="0"/>
              <w:spacing w:before="0" w:after="0"/>
              <w:ind w:left="57" w:right="57"/>
              <w:jc w:val="left"/>
              <w:rPr>
                <w:rFonts w:cs="Arial"/>
                <w:sz w:val="20"/>
                <w:szCs w:val="20"/>
                <w:lang w:val="sr-Latn-RS"/>
              </w:rPr>
            </w:pPr>
            <w:r w:rsidRPr="00E03E36">
              <w:rPr>
                <w:rFonts w:cs="Arial"/>
                <w:sz w:val="20"/>
                <w:szCs w:val="20"/>
                <w:lang w:val="sr-Latn-RS"/>
              </w:rPr>
              <w:t>Stopping Rule Used</w:t>
            </w:r>
          </w:p>
        </w:tc>
        <w:tc>
          <w:tcPr>
            <w:tcW w:w="1548" w:type="pct"/>
            <w:shd w:val="clear" w:color="auto" w:fill="auto"/>
          </w:tcPr>
          <w:p w14:paraId="6C99E332" w14:textId="61FC3DE7" w:rsidR="00542804" w:rsidRPr="00E03E36" w:rsidRDefault="00542804" w:rsidP="00E03E36">
            <w:pPr>
              <w:autoSpaceDE w:val="0"/>
              <w:autoSpaceDN w:val="0"/>
              <w:adjustRightInd w:val="0"/>
              <w:spacing w:before="0" w:after="0"/>
              <w:ind w:left="57" w:right="57"/>
              <w:jc w:val="right"/>
              <w:rPr>
                <w:rFonts w:cs="Arial"/>
                <w:sz w:val="20"/>
                <w:szCs w:val="20"/>
                <w:lang w:val="sr-Latn-RS"/>
              </w:rPr>
            </w:pPr>
            <w:r w:rsidRPr="00E03E36">
              <w:rPr>
                <w:rFonts w:cs="Arial"/>
                <w:sz w:val="20"/>
                <w:szCs w:val="20"/>
                <w:lang w:val="sr-Latn-RS"/>
              </w:rPr>
              <w:t>Relative change in training error criterion (</w:t>
            </w:r>
            <w:r w:rsidR="006A001D">
              <w:rPr>
                <w:rFonts w:cs="Arial"/>
                <w:sz w:val="20"/>
                <w:szCs w:val="20"/>
                <w:lang w:val="sr-Latn-RS"/>
              </w:rPr>
              <w:t>0.</w:t>
            </w:r>
            <w:r w:rsidRPr="00E03E36">
              <w:rPr>
                <w:rFonts w:cs="Arial"/>
                <w:sz w:val="20"/>
                <w:szCs w:val="20"/>
                <w:lang w:val="sr-Latn-RS"/>
              </w:rPr>
              <w:t>0001) achieved</w:t>
            </w:r>
          </w:p>
        </w:tc>
      </w:tr>
      <w:tr w:rsidR="00E03E36" w:rsidRPr="00E03E36" w14:paraId="70B3533C" w14:textId="77777777" w:rsidTr="00E03E36">
        <w:trPr>
          <w:cantSplit/>
        </w:trPr>
        <w:tc>
          <w:tcPr>
            <w:tcW w:w="912" w:type="pct"/>
            <w:vMerge/>
            <w:tcBorders>
              <w:bottom w:val="single" w:sz="4" w:space="0" w:color="auto"/>
            </w:tcBorders>
            <w:shd w:val="clear" w:color="auto" w:fill="auto"/>
            <w:vAlign w:val="center"/>
          </w:tcPr>
          <w:p w14:paraId="35D120C4" w14:textId="77777777" w:rsidR="00542804" w:rsidRPr="00E03E36" w:rsidRDefault="00542804" w:rsidP="00E03E36">
            <w:pPr>
              <w:autoSpaceDE w:val="0"/>
              <w:autoSpaceDN w:val="0"/>
              <w:adjustRightInd w:val="0"/>
              <w:spacing w:before="0" w:after="0"/>
              <w:ind w:left="57" w:right="57"/>
              <w:jc w:val="left"/>
              <w:rPr>
                <w:rFonts w:cs="Arial"/>
                <w:sz w:val="20"/>
                <w:szCs w:val="20"/>
                <w:lang w:val="sr-Latn-RS"/>
              </w:rPr>
            </w:pPr>
          </w:p>
        </w:tc>
        <w:tc>
          <w:tcPr>
            <w:tcW w:w="2540" w:type="pct"/>
            <w:tcBorders>
              <w:bottom w:val="single" w:sz="4" w:space="0" w:color="auto"/>
            </w:tcBorders>
            <w:shd w:val="clear" w:color="auto" w:fill="auto"/>
            <w:vAlign w:val="center"/>
          </w:tcPr>
          <w:p w14:paraId="32E2C8C9" w14:textId="77777777" w:rsidR="00542804" w:rsidRPr="00E03E36" w:rsidRDefault="00542804" w:rsidP="00E03E36">
            <w:pPr>
              <w:autoSpaceDE w:val="0"/>
              <w:autoSpaceDN w:val="0"/>
              <w:adjustRightInd w:val="0"/>
              <w:spacing w:before="0" w:after="0"/>
              <w:ind w:left="57" w:right="57"/>
              <w:jc w:val="left"/>
              <w:rPr>
                <w:rFonts w:cs="Arial"/>
                <w:sz w:val="20"/>
                <w:szCs w:val="20"/>
                <w:lang w:val="sr-Latn-RS"/>
              </w:rPr>
            </w:pPr>
            <w:r w:rsidRPr="00E03E36">
              <w:rPr>
                <w:rFonts w:cs="Arial"/>
                <w:sz w:val="20"/>
                <w:szCs w:val="20"/>
                <w:lang w:val="sr-Latn-RS"/>
              </w:rPr>
              <w:t>Training Time</w:t>
            </w:r>
          </w:p>
        </w:tc>
        <w:tc>
          <w:tcPr>
            <w:tcW w:w="1548" w:type="pct"/>
            <w:tcBorders>
              <w:bottom w:val="single" w:sz="4" w:space="0" w:color="auto"/>
            </w:tcBorders>
            <w:shd w:val="clear" w:color="auto" w:fill="auto"/>
          </w:tcPr>
          <w:p w14:paraId="413D88BB" w14:textId="4BFCAC9F" w:rsidR="00542804" w:rsidRPr="00E03E36" w:rsidRDefault="00542804" w:rsidP="00E03E36">
            <w:pPr>
              <w:autoSpaceDE w:val="0"/>
              <w:autoSpaceDN w:val="0"/>
              <w:adjustRightInd w:val="0"/>
              <w:spacing w:before="0" w:after="0"/>
              <w:ind w:left="57" w:right="57"/>
              <w:jc w:val="right"/>
              <w:rPr>
                <w:rFonts w:cs="Arial"/>
                <w:sz w:val="20"/>
                <w:szCs w:val="20"/>
                <w:lang w:val="sr-Latn-RS"/>
              </w:rPr>
            </w:pPr>
            <w:r w:rsidRPr="00E03E36">
              <w:rPr>
                <w:rFonts w:cs="Arial"/>
                <w:sz w:val="20"/>
                <w:szCs w:val="20"/>
                <w:lang w:val="sr-Latn-RS"/>
              </w:rPr>
              <w:t>0:00:00</w:t>
            </w:r>
            <w:r w:rsidR="00E03E36">
              <w:rPr>
                <w:rFonts w:cs="Arial"/>
                <w:sz w:val="20"/>
                <w:szCs w:val="20"/>
                <w:lang w:val="sr-Latn-RS"/>
              </w:rPr>
              <w:t>.</w:t>
            </w:r>
            <w:r w:rsidRPr="00E03E36">
              <w:rPr>
                <w:rFonts w:cs="Arial"/>
                <w:sz w:val="20"/>
                <w:szCs w:val="20"/>
                <w:lang w:val="sr-Latn-RS"/>
              </w:rPr>
              <w:t>04</w:t>
            </w:r>
          </w:p>
        </w:tc>
      </w:tr>
      <w:tr w:rsidR="00E03E36" w:rsidRPr="00E03E36" w14:paraId="01645EAF" w14:textId="77777777" w:rsidTr="00E03E36">
        <w:trPr>
          <w:cantSplit/>
        </w:trPr>
        <w:tc>
          <w:tcPr>
            <w:tcW w:w="5000" w:type="pct"/>
            <w:gridSpan w:val="3"/>
            <w:tcBorders>
              <w:top w:val="single" w:sz="4" w:space="0" w:color="auto"/>
            </w:tcBorders>
            <w:shd w:val="clear" w:color="auto" w:fill="auto"/>
          </w:tcPr>
          <w:p w14:paraId="2A8D14D1" w14:textId="77777777" w:rsidR="00542804" w:rsidRPr="00E03E36" w:rsidRDefault="00542804" w:rsidP="00E03E36">
            <w:pPr>
              <w:autoSpaceDE w:val="0"/>
              <w:autoSpaceDN w:val="0"/>
              <w:adjustRightInd w:val="0"/>
              <w:spacing w:before="0" w:after="0"/>
              <w:ind w:left="57" w:right="57"/>
              <w:jc w:val="left"/>
              <w:rPr>
                <w:rFonts w:cs="Arial"/>
                <w:sz w:val="20"/>
                <w:szCs w:val="20"/>
                <w:lang w:val="sr-Latn-RS"/>
              </w:rPr>
            </w:pPr>
            <w:r w:rsidRPr="00E03E36">
              <w:rPr>
                <w:rFonts w:cs="Arial"/>
                <w:sz w:val="18"/>
                <w:szCs w:val="18"/>
                <w:lang w:val="sr-Latn-RS"/>
              </w:rPr>
              <w:t>Dependent Variable: Degradation_OS</w:t>
            </w:r>
          </w:p>
        </w:tc>
      </w:tr>
    </w:tbl>
    <w:p w14:paraId="49CB836D" w14:textId="4E63D193" w:rsidR="0019399D" w:rsidRDefault="006A001D" w:rsidP="006A001D">
      <w:pPr>
        <w:rPr>
          <w:lang w:val="sr-Latn-RS"/>
        </w:rPr>
      </w:pPr>
      <w:r>
        <w:rPr>
          <w:lang w:val="sr-Latn-RS"/>
        </w:rPr>
        <w:t xml:space="preserve">The values of associated weights of given parameters in </w:t>
      </w:r>
      <w:r w:rsidR="00F5373B">
        <w:rPr>
          <w:lang w:val="sr-Latn-RS"/>
        </w:rPr>
        <w:t xml:space="preserve">the </w:t>
      </w:r>
      <w:r>
        <w:rPr>
          <w:lang w:val="sr-Latn-RS"/>
        </w:rPr>
        <w:t xml:space="preserve">training model and the bias value are given in </w:t>
      </w:r>
      <w:r>
        <w:rPr>
          <w:lang w:val="sr-Latn-RS"/>
        </w:rPr>
        <w:fldChar w:fldCharType="begin"/>
      </w:r>
      <w:r>
        <w:rPr>
          <w:lang w:val="sr-Latn-RS"/>
        </w:rPr>
        <w:instrText xml:space="preserve"> REF _Ref98670081 \h </w:instrText>
      </w:r>
      <w:r>
        <w:rPr>
          <w:lang w:val="sr-Latn-RS"/>
        </w:rPr>
      </w:r>
      <w:r>
        <w:rPr>
          <w:lang w:val="sr-Latn-RS"/>
        </w:rPr>
        <w:fldChar w:fldCharType="separate"/>
      </w:r>
      <w:r w:rsidR="00587AF0">
        <w:t xml:space="preserve">Table </w:t>
      </w:r>
      <w:r w:rsidR="00587AF0">
        <w:rPr>
          <w:noProof/>
        </w:rPr>
        <w:t>34</w:t>
      </w:r>
      <w:r>
        <w:rPr>
          <w:lang w:val="sr-Latn-RS"/>
        </w:rPr>
        <w:fldChar w:fldCharType="end"/>
      </w:r>
      <w:r>
        <w:rPr>
          <w:lang w:val="sr-Latn-RS"/>
        </w:rPr>
        <w:t xml:space="preserve">. </w:t>
      </w:r>
      <w:r w:rsidR="007C6F59">
        <w:rPr>
          <w:lang w:val="sr-Latn-RS"/>
        </w:rPr>
        <w:t>T</w:t>
      </w:r>
      <w:r w:rsidR="00F5373B">
        <w:rPr>
          <w:lang w:val="sr-Latn-RS"/>
        </w:rPr>
        <w:t>he weights and biases are used to test</w:t>
      </w:r>
      <w:r>
        <w:rPr>
          <w:lang w:val="sr-Latn-RS"/>
        </w:rPr>
        <w:t xml:space="preserve"> the model prediction properties. The complete look of a neural network is given in </w:t>
      </w:r>
      <w:r>
        <w:rPr>
          <w:lang w:val="sr-Latn-RS"/>
        </w:rPr>
        <w:fldChar w:fldCharType="begin"/>
      </w:r>
      <w:r>
        <w:rPr>
          <w:lang w:val="sr-Latn-RS"/>
        </w:rPr>
        <w:instrText xml:space="preserve"> REF _Ref98670172 \h </w:instrText>
      </w:r>
      <w:r>
        <w:rPr>
          <w:lang w:val="sr-Latn-RS"/>
        </w:rPr>
      </w:r>
      <w:r>
        <w:rPr>
          <w:lang w:val="sr-Latn-RS"/>
        </w:rPr>
        <w:fldChar w:fldCharType="separate"/>
      </w:r>
      <w:r w:rsidR="00587AF0">
        <w:t xml:space="preserve">Figure </w:t>
      </w:r>
      <w:r w:rsidR="00587AF0">
        <w:rPr>
          <w:noProof/>
        </w:rPr>
        <w:t>103</w:t>
      </w:r>
      <w:r>
        <w:rPr>
          <w:lang w:val="sr-Latn-RS"/>
        </w:rPr>
        <w:fldChar w:fldCharType="end"/>
      </w:r>
      <w:r>
        <w:rPr>
          <w:lang w:val="sr-Latn-RS"/>
        </w:rPr>
        <w:t>.</w:t>
      </w:r>
    </w:p>
    <w:p w14:paraId="645EBA94" w14:textId="4C8C3BA4" w:rsidR="006A001D" w:rsidRPr="00BC6E01" w:rsidRDefault="006A001D" w:rsidP="006A001D">
      <w:pPr>
        <w:pStyle w:val="Caption"/>
        <w:jc w:val="left"/>
        <w:rPr>
          <w:lang w:val="sr-Latn-RS"/>
        </w:rPr>
      </w:pPr>
      <w:bookmarkStart w:id="587" w:name="_Ref98670081"/>
      <w:bookmarkStart w:id="588" w:name="_Toc101274474"/>
      <w:r>
        <w:t xml:space="preserve">Table </w:t>
      </w:r>
      <w:fldSimple w:instr=" SEQ Table \* ARABIC ">
        <w:r w:rsidR="00587AF0">
          <w:rPr>
            <w:noProof/>
          </w:rPr>
          <w:t>34</w:t>
        </w:r>
      </w:fldSimple>
      <w:bookmarkEnd w:id="587"/>
      <w:r>
        <w:t>. Training parameter estimates for opening saddle position</w:t>
      </w:r>
      <w:bookmarkEnd w:id="588"/>
    </w:p>
    <w:tbl>
      <w:tblPr>
        <w:tblW w:w="5000" w:type="pct"/>
        <w:tblCellMar>
          <w:left w:w="0" w:type="dxa"/>
          <w:right w:w="0" w:type="dxa"/>
        </w:tblCellMar>
        <w:tblLook w:val="0000" w:firstRow="0" w:lastRow="0" w:firstColumn="0" w:lastColumn="0" w:noHBand="0" w:noVBand="0"/>
      </w:tblPr>
      <w:tblGrid>
        <w:gridCol w:w="1008"/>
        <w:gridCol w:w="1066"/>
        <w:gridCol w:w="702"/>
        <w:gridCol w:w="702"/>
        <w:gridCol w:w="702"/>
        <w:gridCol w:w="702"/>
        <w:gridCol w:w="702"/>
        <w:gridCol w:w="704"/>
        <w:gridCol w:w="708"/>
        <w:gridCol w:w="1018"/>
        <w:gridCol w:w="1013"/>
      </w:tblGrid>
      <w:tr w:rsidR="006A001D" w:rsidRPr="00542804" w14:paraId="63FBFE1F" w14:textId="77777777" w:rsidTr="006A71E0">
        <w:trPr>
          <w:cantSplit/>
        </w:trPr>
        <w:tc>
          <w:tcPr>
            <w:tcW w:w="1148" w:type="pct"/>
            <w:gridSpan w:val="2"/>
            <w:vMerge w:val="restart"/>
            <w:tcBorders>
              <w:top w:val="single" w:sz="4" w:space="0" w:color="auto"/>
              <w:left w:val="nil"/>
              <w:bottom w:val="nil"/>
              <w:right w:val="nil"/>
            </w:tcBorders>
            <w:shd w:val="clear" w:color="auto" w:fill="auto"/>
            <w:vAlign w:val="center"/>
          </w:tcPr>
          <w:p w14:paraId="21289E07" w14:textId="77777777" w:rsidR="006A001D" w:rsidRPr="00D93A70" w:rsidRDefault="006A001D" w:rsidP="006A71E0">
            <w:pPr>
              <w:spacing w:before="0" w:after="0"/>
              <w:ind w:left="57" w:right="57"/>
              <w:jc w:val="left"/>
              <w:rPr>
                <w:b/>
                <w:bCs/>
                <w:sz w:val="16"/>
                <w:szCs w:val="16"/>
                <w:lang w:val="sr-Latn-RS"/>
              </w:rPr>
            </w:pPr>
            <w:r w:rsidRPr="00D93A70">
              <w:rPr>
                <w:b/>
                <w:bCs/>
                <w:sz w:val="16"/>
                <w:szCs w:val="16"/>
                <w:lang w:val="sr-Latn-RS"/>
              </w:rPr>
              <w:t>Predictor</w:t>
            </w:r>
          </w:p>
        </w:tc>
        <w:tc>
          <w:tcPr>
            <w:tcW w:w="3852" w:type="pct"/>
            <w:gridSpan w:val="9"/>
            <w:tcBorders>
              <w:top w:val="single" w:sz="4" w:space="0" w:color="auto"/>
              <w:left w:val="nil"/>
              <w:bottom w:val="nil"/>
              <w:right w:val="nil"/>
            </w:tcBorders>
            <w:shd w:val="clear" w:color="auto" w:fill="auto"/>
            <w:vAlign w:val="center"/>
          </w:tcPr>
          <w:p w14:paraId="2E43395A" w14:textId="77777777" w:rsidR="006A001D" w:rsidRPr="00D93A70" w:rsidRDefault="006A001D" w:rsidP="006A71E0">
            <w:pPr>
              <w:spacing w:before="0" w:after="0"/>
              <w:ind w:left="57" w:right="57"/>
              <w:jc w:val="center"/>
              <w:rPr>
                <w:b/>
                <w:bCs/>
                <w:sz w:val="16"/>
                <w:szCs w:val="16"/>
                <w:lang w:val="sr-Latn-RS"/>
              </w:rPr>
            </w:pPr>
            <w:r w:rsidRPr="00D93A70">
              <w:rPr>
                <w:b/>
                <w:bCs/>
                <w:sz w:val="16"/>
                <w:szCs w:val="16"/>
                <w:lang w:val="sr-Latn-RS"/>
              </w:rPr>
              <w:t>Predicted</w:t>
            </w:r>
          </w:p>
        </w:tc>
      </w:tr>
      <w:tr w:rsidR="006A001D" w:rsidRPr="00542804" w14:paraId="14E74180" w14:textId="77777777" w:rsidTr="006A71E0">
        <w:trPr>
          <w:cantSplit/>
        </w:trPr>
        <w:tc>
          <w:tcPr>
            <w:tcW w:w="1148" w:type="pct"/>
            <w:gridSpan w:val="2"/>
            <w:vMerge/>
            <w:tcBorders>
              <w:top w:val="nil"/>
              <w:left w:val="nil"/>
              <w:bottom w:val="nil"/>
              <w:right w:val="nil"/>
            </w:tcBorders>
            <w:shd w:val="clear" w:color="auto" w:fill="auto"/>
            <w:vAlign w:val="bottom"/>
          </w:tcPr>
          <w:p w14:paraId="5550CF97" w14:textId="77777777" w:rsidR="006A001D" w:rsidRPr="00D93A70" w:rsidRDefault="006A001D" w:rsidP="006A71E0">
            <w:pPr>
              <w:spacing w:before="0" w:after="0"/>
              <w:ind w:left="57" w:right="57"/>
              <w:rPr>
                <w:b/>
                <w:bCs/>
                <w:sz w:val="16"/>
                <w:szCs w:val="16"/>
                <w:lang w:val="sr-Latn-RS"/>
              </w:rPr>
            </w:pPr>
          </w:p>
        </w:tc>
        <w:tc>
          <w:tcPr>
            <w:tcW w:w="2726" w:type="pct"/>
            <w:gridSpan w:val="7"/>
            <w:tcBorders>
              <w:top w:val="nil"/>
              <w:left w:val="nil"/>
              <w:bottom w:val="nil"/>
              <w:right w:val="single" w:sz="8" w:space="0" w:color="E0E0E0"/>
            </w:tcBorders>
            <w:shd w:val="clear" w:color="auto" w:fill="auto"/>
            <w:vAlign w:val="bottom"/>
          </w:tcPr>
          <w:p w14:paraId="1838B604" w14:textId="77777777" w:rsidR="006A001D" w:rsidRPr="00D93A70" w:rsidRDefault="006A001D" w:rsidP="006A71E0">
            <w:pPr>
              <w:spacing w:before="0" w:after="0"/>
              <w:ind w:left="57" w:right="57"/>
              <w:jc w:val="center"/>
              <w:rPr>
                <w:b/>
                <w:bCs/>
                <w:sz w:val="16"/>
                <w:szCs w:val="16"/>
                <w:lang w:val="sr-Latn-RS"/>
              </w:rPr>
            </w:pPr>
            <w:r w:rsidRPr="00D93A70">
              <w:rPr>
                <w:b/>
                <w:bCs/>
                <w:sz w:val="16"/>
                <w:szCs w:val="16"/>
                <w:lang w:val="sr-Latn-RS"/>
              </w:rPr>
              <w:t>Hidden Layer 1</w:t>
            </w:r>
          </w:p>
        </w:tc>
        <w:tc>
          <w:tcPr>
            <w:tcW w:w="1126" w:type="pct"/>
            <w:gridSpan w:val="2"/>
            <w:tcBorders>
              <w:top w:val="nil"/>
              <w:left w:val="single" w:sz="8" w:space="0" w:color="E0E0E0"/>
              <w:bottom w:val="nil"/>
              <w:right w:val="nil"/>
            </w:tcBorders>
            <w:shd w:val="clear" w:color="auto" w:fill="auto"/>
            <w:vAlign w:val="bottom"/>
          </w:tcPr>
          <w:p w14:paraId="52AB68FB" w14:textId="77777777" w:rsidR="006A001D" w:rsidRPr="00D93A70" w:rsidRDefault="006A001D" w:rsidP="006A71E0">
            <w:pPr>
              <w:spacing w:before="0" w:after="0"/>
              <w:ind w:left="57" w:right="57"/>
              <w:jc w:val="center"/>
              <w:rPr>
                <w:b/>
                <w:bCs/>
                <w:sz w:val="16"/>
                <w:szCs w:val="16"/>
                <w:lang w:val="sr-Latn-RS"/>
              </w:rPr>
            </w:pPr>
            <w:r w:rsidRPr="00D93A70">
              <w:rPr>
                <w:b/>
                <w:bCs/>
                <w:sz w:val="16"/>
                <w:szCs w:val="16"/>
                <w:lang w:val="sr-Latn-RS"/>
              </w:rPr>
              <w:t>Output Layer</w:t>
            </w:r>
          </w:p>
        </w:tc>
      </w:tr>
      <w:tr w:rsidR="006A001D" w:rsidRPr="00542804" w14:paraId="6CAC0CE3" w14:textId="77777777" w:rsidTr="00982E69">
        <w:trPr>
          <w:cantSplit/>
        </w:trPr>
        <w:tc>
          <w:tcPr>
            <w:tcW w:w="1148" w:type="pct"/>
            <w:gridSpan w:val="2"/>
            <w:vMerge/>
            <w:tcBorders>
              <w:top w:val="nil"/>
              <w:left w:val="nil"/>
              <w:bottom w:val="single" w:sz="4" w:space="0" w:color="auto"/>
              <w:right w:val="nil"/>
            </w:tcBorders>
            <w:shd w:val="clear" w:color="auto" w:fill="auto"/>
            <w:vAlign w:val="bottom"/>
          </w:tcPr>
          <w:p w14:paraId="06C87696" w14:textId="77777777" w:rsidR="006A001D" w:rsidRPr="00D93A70" w:rsidRDefault="006A001D" w:rsidP="006A71E0">
            <w:pPr>
              <w:spacing w:before="0" w:after="0"/>
              <w:ind w:left="57" w:right="57"/>
              <w:rPr>
                <w:b/>
                <w:bCs/>
                <w:sz w:val="16"/>
                <w:szCs w:val="16"/>
                <w:lang w:val="sr-Latn-RS"/>
              </w:rPr>
            </w:pPr>
          </w:p>
        </w:tc>
        <w:tc>
          <w:tcPr>
            <w:tcW w:w="389" w:type="pct"/>
            <w:tcBorders>
              <w:top w:val="nil"/>
              <w:left w:val="nil"/>
              <w:bottom w:val="single" w:sz="4" w:space="0" w:color="auto"/>
              <w:right w:val="single" w:sz="8" w:space="0" w:color="E0E0E0"/>
            </w:tcBorders>
            <w:shd w:val="clear" w:color="auto" w:fill="auto"/>
            <w:vAlign w:val="bottom"/>
          </w:tcPr>
          <w:p w14:paraId="537A1CFA" w14:textId="77777777" w:rsidR="006A001D" w:rsidRPr="00D93A70" w:rsidRDefault="006A001D" w:rsidP="006A71E0">
            <w:pPr>
              <w:spacing w:before="0" w:after="0"/>
              <w:ind w:left="57" w:right="57"/>
              <w:jc w:val="center"/>
              <w:rPr>
                <w:b/>
                <w:bCs/>
                <w:sz w:val="16"/>
                <w:szCs w:val="16"/>
                <w:lang w:val="sr-Latn-RS"/>
              </w:rPr>
            </w:pPr>
            <w:r w:rsidRPr="00D93A70">
              <w:rPr>
                <w:b/>
                <w:bCs/>
                <w:sz w:val="16"/>
                <w:szCs w:val="16"/>
                <w:lang w:val="sr-Latn-RS"/>
              </w:rPr>
              <w:t>H(1:1)</w:t>
            </w:r>
          </w:p>
        </w:tc>
        <w:tc>
          <w:tcPr>
            <w:tcW w:w="389" w:type="pct"/>
            <w:tcBorders>
              <w:top w:val="nil"/>
              <w:left w:val="single" w:sz="8" w:space="0" w:color="E0E0E0"/>
              <w:bottom w:val="single" w:sz="4" w:space="0" w:color="auto"/>
              <w:right w:val="single" w:sz="8" w:space="0" w:color="E0E0E0"/>
            </w:tcBorders>
            <w:shd w:val="clear" w:color="auto" w:fill="auto"/>
            <w:vAlign w:val="bottom"/>
          </w:tcPr>
          <w:p w14:paraId="0EB67D69" w14:textId="77777777" w:rsidR="006A001D" w:rsidRPr="00D93A70" w:rsidRDefault="006A001D" w:rsidP="006A71E0">
            <w:pPr>
              <w:spacing w:before="0" w:after="0"/>
              <w:ind w:left="57" w:right="57"/>
              <w:jc w:val="center"/>
              <w:rPr>
                <w:b/>
                <w:bCs/>
                <w:sz w:val="16"/>
                <w:szCs w:val="16"/>
                <w:lang w:val="sr-Latn-RS"/>
              </w:rPr>
            </w:pPr>
            <w:r w:rsidRPr="00D93A70">
              <w:rPr>
                <w:b/>
                <w:bCs/>
                <w:sz w:val="16"/>
                <w:szCs w:val="16"/>
                <w:lang w:val="sr-Latn-RS"/>
              </w:rPr>
              <w:t>H(1:2)</w:t>
            </w:r>
          </w:p>
        </w:tc>
        <w:tc>
          <w:tcPr>
            <w:tcW w:w="389" w:type="pct"/>
            <w:tcBorders>
              <w:top w:val="nil"/>
              <w:left w:val="single" w:sz="8" w:space="0" w:color="E0E0E0"/>
              <w:bottom w:val="single" w:sz="4" w:space="0" w:color="auto"/>
              <w:right w:val="single" w:sz="8" w:space="0" w:color="E0E0E0"/>
            </w:tcBorders>
            <w:shd w:val="clear" w:color="auto" w:fill="auto"/>
            <w:vAlign w:val="bottom"/>
          </w:tcPr>
          <w:p w14:paraId="09F5EFC7" w14:textId="77777777" w:rsidR="006A001D" w:rsidRPr="00D93A70" w:rsidRDefault="006A001D" w:rsidP="006A71E0">
            <w:pPr>
              <w:spacing w:before="0" w:after="0"/>
              <w:ind w:left="57" w:right="57"/>
              <w:jc w:val="center"/>
              <w:rPr>
                <w:b/>
                <w:bCs/>
                <w:sz w:val="16"/>
                <w:szCs w:val="16"/>
                <w:lang w:val="sr-Latn-RS"/>
              </w:rPr>
            </w:pPr>
            <w:r w:rsidRPr="00D93A70">
              <w:rPr>
                <w:b/>
                <w:bCs/>
                <w:sz w:val="16"/>
                <w:szCs w:val="16"/>
                <w:lang w:val="sr-Latn-RS"/>
              </w:rPr>
              <w:t>H(1:3)</w:t>
            </w:r>
          </w:p>
        </w:tc>
        <w:tc>
          <w:tcPr>
            <w:tcW w:w="389" w:type="pct"/>
            <w:tcBorders>
              <w:top w:val="nil"/>
              <w:left w:val="single" w:sz="8" w:space="0" w:color="E0E0E0"/>
              <w:bottom w:val="single" w:sz="4" w:space="0" w:color="auto"/>
              <w:right w:val="single" w:sz="8" w:space="0" w:color="E0E0E0"/>
            </w:tcBorders>
            <w:shd w:val="clear" w:color="auto" w:fill="auto"/>
            <w:vAlign w:val="bottom"/>
          </w:tcPr>
          <w:p w14:paraId="3AFC5579" w14:textId="77777777" w:rsidR="006A001D" w:rsidRPr="00D93A70" w:rsidRDefault="006A001D" w:rsidP="006A71E0">
            <w:pPr>
              <w:spacing w:before="0" w:after="0"/>
              <w:ind w:left="57" w:right="57"/>
              <w:jc w:val="center"/>
              <w:rPr>
                <w:b/>
                <w:bCs/>
                <w:sz w:val="16"/>
                <w:szCs w:val="16"/>
                <w:lang w:val="sr-Latn-RS"/>
              </w:rPr>
            </w:pPr>
            <w:r w:rsidRPr="00D93A70">
              <w:rPr>
                <w:b/>
                <w:bCs/>
                <w:sz w:val="16"/>
                <w:szCs w:val="16"/>
                <w:lang w:val="sr-Latn-RS"/>
              </w:rPr>
              <w:t>H(1:4)</w:t>
            </w:r>
          </w:p>
        </w:tc>
        <w:tc>
          <w:tcPr>
            <w:tcW w:w="389" w:type="pct"/>
            <w:tcBorders>
              <w:top w:val="nil"/>
              <w:left w:val="single" w:sz="8" w:space="0" w:color="E0E0E0"/>
              <w:bottom w:val="single" w:sz="4" w:space="0" w:color="auto"/>
              <w:right w:val="single" w:sz="8" w:space="0" w:color="E0E0E0"/>
            </w:tcBorders>
            <w:shd w:val="clear" w:color="auto" w:fill="auto"/>
            <w:vAlign w:val="bottom"/>
          </w:tcPr>
          <w:p w14:paraId="7D67D4ED" w14:textId="77777777" w:rsidR="006A001D" w:rsidRPr="00D93A70" w:rsidRDefault="006A001D" w:rsidP="006A71E0">
            <w:pPr>
              <w:spacing w:before="0" w:after="0"/>
              <w:ind w:left="57" w:right="57"/>
              <w:jc w:val="center"/>
              <w:rPr>
                <w:b/>
                <w:bCs/>
                <w:sz w:val="16"/>
                <w:szCs w:val="16"/>
                <w:lang w:val="sr-Latn-RS"/>
              </w:rPr>
            </w:pPr>
            <w:r w:rsidRPr="00D93A70">
              <w:rPr>
                <w:b/>
                <w:bCs/>
                <w:sz w:val="16"/>
                <w:szCs w:val="16"/>
                <w:lang w:val="sr-Latn-RS"/>
              </w:rPr>
              <w:t>H(1:5)</w:t>
            </w:r>
          </w:p>
        </w:tc>
        <w:tc>
          <w:tcPr>
            <w:tcW w:w="390" w:type="pct"/>
            <w:tcBorders>
              <w:top w:val="nil"/>
              <w:left w:val="single" w:sz="8" w:space="0" w:color="E0E0E0"/>
              <w:bottom w:val="single" w:sz="4" w:space="0" w:color="auto"/>
              <w:right w:val="single" w:sz="8" w:space="0" w:color="E0E0E0"/>
            </w:tcBorders>
            <w:shd w:val="clear" w:color="auto" w:fill="auto"/>
            <w:vAlign w:val="bottom"/>
          </w:tcPr>
          <w:p w14:paraId="13607D5D" w14:textId="77777777" w:rsidR="006A001D" w:rsidRPr="00D93A70" w:rsidRDefault="006A001D" w:rsidP="006A71E0">
            <w:pPr>
              <w:spacing w:before="0" w:after="0"/>
              <w:ind w:left="57" w:right="57"/>
              <w:jc w:val="center"/>
              <w:rPr>
                <w:b/>
                <w:bCs/>
                <w:sz w:val="16"/>
                <w:szCs w:val="16"/>
                <w:lang w:val="sr-Latn-RS"/>
              </w:rPr>
            </w:pPr>
            <w:r w:rsidRPr="00D93A70">
              <w:rPr>
                <w:b/>
                <w:bCs/>
                <w:sz w:val="16"/>
                <w:szCs w:val="16"/>
                <w:lang w:val="sr-Latn-RS"/>
              </w:rPr>
              <w:t>H(1:6)</w:t>
            </w:r>
          </w:p>
        </w:tc>
        <w:tc>
          <w:tcPr>
            <w:tcW w:w="392" w:type="pct"/>
            <w:tcBorders>
              <w:top w:val="nil"/>
              <w:left w:val="single" w:sz="8" w:space="0" w:color="E0E0E0"/>
              <w:bottom w:val="single" w:sz="4" w:space="0" w:color="auto"/>
              <w:right w:val="single" w:sz="8" w:space="0" w:color="E0E0E0"/>
            </w:tcBorders>
            <w:shd w:val="clear" w:color="auto" w:fill="auto"/>
            <w:vAlign w:val="bottom"/>
          </w:tcPr>
          <w:p w14:paraId="77B61699" w14:textId="77777777" w:rsidR="006A001D" w:rsidRPr="00D93A70" w:rsidRDefault="006A001D" w:rsidP="006A71E0">
            <w:pPr>
              <w:spacing w:before="0" w:after="0"/>
              <w:ind w:left="57" w:right="57"/>
              <w:jc w:val="center"/>
              <w:rPr>
                <w:b/>
                <w:bCs/>
                <w:sz w:val="16"/>
                <w:szCs w:val="16"/>
                <w:lang w:val="sr-Latn-RS"/>
              </w:rPr>
            </w:pPr>
            <w:r w:rsidRPr="00D93A70">
              <w:rPr>
                <w:b/>
                <w:bCs/>
                <w:sz w:val="16"/>
                <w:szCs w:val="16"/>
                <w:lang w:val="sr-Latn-RS"/>
              </w:rPr>
              <w:t>H(1:7)</w:t>
            </w:r>
          </w:p>
        </w:tc>
        <w:tc>
          <w:tcPr>
            <w:tcW w:w="564" w:type="pct"/>
            <w:tcBorders>
              <w:top w:val="nil"/>
              <w:left w:val="single" w:sz="8" w:space="0" w:color="E0E0E0"/>
              <w:bottom w:val="single" w:sz="4" w:space="0" w:color="auto"/>
              <w:right w:val="single" w:sz="8" w:space="0" w:color="E0E0E0"/>
            </w:tcBorders>
            <w:shd w:val="clear" w:color="auto" w:fill="auto"/>
            <w:vAlign w:val="bottom"/>
          </w:tcPr>
          <w:p w14:paraId="1F8DE62B" w14:textId="77777777" w:rsidR="006A001D" w:rsidRPr="00D93A70" w:rsidRDefault="006A001D" w:rsidP="006A71E0">
            <w:pPr>
              <w:spacing w:before="0" w:after="0"/>
              <w:ind w:left="57" w:right="57"/>
              <w:jc w:val="center"/>
              <w:rPr>
                <w:b/>
                <w:bCs/>
                <w:sz w:val="16"/>
                <w:szCs w:val="16"/>
                <w:lang w:val="sr-Latn-RS"/>
              </w:rPr>
            </w:pPr>
            <w:r w:rsidRPr="00D93A70">
              <w:rPr>
                <w:b/>
                <w:bCs/>
                <w:sz w:val="16"/>
                <w:szCs w:val="16"/>
                <w:lang w:val="sr-Latn-RS"/>
              </w:rPr>
              <w:t>None</w:t>
            </w:r>
          </w:p>
        </w:tc>
        <w:tc>
          <w:tcPr>
            <w:tcW w:w="562" w:type="pct"/>
            <w:tcBorders>
              <w:top w:val="nil"/>
              <w:left w:val="single" w:sz="8" w:space="0" w:color="E0E0E0"/>
              <w:bottom w:val="single" w:sz="4" w:space="0" w:color="auto"/>
              <w:right w:val="nil"/>
            </w:tcBorders>
            <w:shd w:val="clear" w:color="auto" w:fill="auto"/>
            <w:vAlign w:val="bottom"/>
          </w:tcPr>
          <w:p w14:paraId="21C3B965" w14:textId="77777777" w:rsidR="006A001D" w:rsidRPr="00D93A70" w:rsidRDefault="006A001D" w:rsidP="006A71E0">
            <w:pPr>
              <w:spacing w:before="0" w:after="0"/>
              <w:ind w:left="57" w:right="57"/>
              <w:jc w:val="center"/>
              <w:rPr>
                <w:b/>
                <w:bCs/>
                <w:sz w:val="16"/>
                <w:szCs w:val="16"/>
                <w:lang w:val="sr-Latn-RS"/>
              </w:rPr>
            </w:pPr>
            <w:r w:rsidRPr="00D93A70">
              <w:rPr>
                <w:b/>
                <w:bCs/>
                <w:sz w:val="16"/>
                <w:szCs w:val="16"/>
                <w:lang w:val="sr-Latn-RS"/>
              </w:rPr>
              <w:t>Quasi-fault</w:t>
            </w:r>
          </w:p>
        </w:tc>
      </w:tr>
      <w:tr w:rsidR="006A001D" w:rsidRPr="00542804" w14:paraId="6A62EE5C" w14:textId="77777777" w:rsidTr="00982E69">
        <w:trPr>
          <w:cantSplit/>
        </w:trPr>
        <w:tc>
          <w:tcPr>
            <w:tcW w:w="558" w:type="pct"/>
            <w:vMerge w:val="restart"/>
            <w:tcBorders>
              <w:top w:val="single" w:sz="4" w:space="0" w:color="auto"/>
              <w:left w:val="nil"/>
            </w:tcBorders>
            <w:shd w:val="clear" w:color="auto" w:fill="auto"/>
            <w:vAlign w:val="center"/>
          </w:tcPr>
          <w:p w14:paraId="1F775F52" w14:textId="77777777" w:rsidR="006A001D" w:rsidRPr="00542804" w:rsidRDefault="006A001D" w:rsidP="006A71E0">
            <w:pPr>
              <w:spacing w:before="0" w:after="0"/>
              <w:ind w:left="57" w:right="57"/>
              <w:jc w:val="left"/>
              <w:rPr>
                <w:sz w:val="16"/>
                <w:szCs w:val="16"/>
                <w:lang w:val="sr-Latn-RS"/>
              </w:rPr>
            </w:pPr>
            <w:r w:rsidRPr="00542804">
              <w:rPr>
                <w:sz w:val="16"/>
                <w:szCs w:val="16"/>
                <w:lang w:val="sr-Latn-RS"/>
              </w:rPr>
              <w:t>Input Layer</w:t>
            </w:r>
          </w:p>
        </w:tc>
        <w:tc>
          <w:tcPr>
            <w:tcW w:w="589" w:type="pct"/>
            <w:tcBorders>
              <w:top w:val="single" w:sz="4" w:space="0" w:color="auto"/>
            </w:tcBorders>
            <w:shd w:val="clear" w:color="auto" w:fill="auto"/>
          </w:tcPr>
          <w:p w14:paraId="41909432" w14:textId="77777777" w:rsidR="006A001D" w:rsidRPr="00542804" w:rsidRDefault="006A001D" w:rsidP="006A71E0">
            <w:pPr>
              <w:spacing w:before="0" w:after="0"/>
              <w:ind w:left="57" w:right="57"/>
              <w:rPr>
                <w:sz w:val="16"/>
                <w:szCs w:val="16"/>
                <w:lang w:val="sr-Latn-RS"/>
              </w:rPr>
            </w:pPr>
            <w:r w:rsidRPr="00542804">
              <w:rPr>
                <w:sz w:val="16"/>
                <w:szCs w:val="16"/>
                <w:lang w:val="sr-Latn-RS"/>
              </w:rPr>
              <w:t>(Bias)</w:t>
            </w:r>
          </w:p>
        </w:tc>
        <w:tc>
          <w:tcPr>
            <w:tcW w:w="389" w:type="pct"/>
            <w:tcBorders>
              <w:top w:val="single" w:sz="4" w:space="0" w:color="auto"/>
            </w:tcBorders>
            <w:shd w:val="clear" w:color="auto" w:fill="auto"/>
          </w:tcPr>
          <w:p w14:paraId="62921FF9"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-3</w:t>
            </w:r>
            <w:r>
              <w:rPr>
                <w:sz w:val="16"/>
                <w:szCs w:val="16"/>
                <w:lang w:val="sr-Latn-RS"/>
              </w:rPr>
              <w:t>.</w:t>
            </w:r>
            <w:r w:rsidRPr="00542804">
              <w:rPr>
                <w:sz w:val="16"/>
                <w:szCs w:val="16"/>
                <w:lang w:val="sr-Latn-RS"/>
              </w:rPr>
              <w:t>290</w:t>
            </w:r>
          </w:p>
        </w:tc>
        <w:tc>
          <w:tcPr>
            <w:tcW w:w="389" w:type="pct"/>
            <w:tcBorders>
              <w:top w:val="single" w:sz="4" w:space="0" w:color="auto"/>
            </w:tcBorders>
            <w:shd w:val="clear" w:color="auto" w:fill="auto"/>
          </w:tcPr>
          <w:p w14:paraId="1AE17D2F"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w:t>
            </w:r>
            <w:r>
              <w:rPr>
                <w:sz w:val="16"/>
                <w:szCs w:val="16"/>
                <w:lang w:val="sr-Latn-RS"/>
              </w:rPr>
              <w:t>.</w:t>
            </w:r>
            <w:r w:rsidRPr="00542804">
              <w:rPr>
                <w:sz w:val="16"/>
                <w:szCs w:val="16"/>
                <w:lang w:val="sr-Latn-RS"/>
              </w:rPr>
              <w:t>519</w:t>
            </w:r>
          </w:p>
        </w:tc>
        <w:tc>
          <w:tcPr>
            <w:tcW w:w="389" w:type="pct"/>
            <w:tcBorders>
              <w:top w:val="single" w:sz="4" w:space="0" w:color="auto"/>
            </w:tcBorders>
            <w:shd w:val="clear" w:color="auto" w:fill="auto"/>
          </w:tcPr>
          <w:p w14:paraId="578C32DD"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1</w:t>
            </w:r>
            <w:r>
              <w:rPr>
                <w:sz w:val="16"/>
                <w:szCs w:val="16"/>
                <w:lang w:val="sr-Latn-RS"/>
              </w:rPr>
              <w:t>.</w:t>
            </w:r>
            <w:r w:rsidRPr="00542804">
              <w:rPr>
                <w:sz w:val="16"/>
                <w:szCs w:val="16"/>
                <w:lang w:val="sr-Latn-RS"/>
              </w:rPr>
              <w:t>945</w:t>
            </w:r>
          </w:p>
        </w:tc>
        <w:tc>
          <w:tcPr>
            <w:tcW w:w="389" w:type="pct"/>
            <w:tcBorders>
              <w:top w:val="single" w:sz="4" w:space="0" w:color="auto"/>
            </w:tcBorders>
            <w:shd w:val="clear" w:color="auto" w:fill="auto"/>
          </w:tcPr>
          <w:p w14:paraId="38882A5E"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-1</w:t>
            </w:r>
            <w:r>
              <w:rPr>
                <w:sz w:val="16"/>
                <w:szCs w:val="16"/>
                <w:lang w:val="sr-Latn-RS"/>
              </w:rPr>
              <w:t>.</w:t>
            </w:r>
            <w:r w:rsidRPr="00542804">
              <w:rPr>
                <w:sz w:val="16"/>
                <w:szCs w:val="16"/>
                <w:lang w:val="sr-Latn-RS"/>
              </w:rPr>
              <w:t>212</w:t>
            </w:r>
          </w:p>
        </w:tc>
        <w:tc>
          <w:tcPr>
            <w:tcW w:w="389" w:type="pct"/>
            <w:tcBorders>
              <w:top w:val="single" w:sz="4" w:space="0" w:color="auto"/>
            </w:tcBorders>
            <w:shd w:val="clear" w:color="auto" w:fill="auto"/>
          </w:tcPr>
          <w:p w14:paraId="5ACE2912"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w:t>
            </w:r>
            <w:r>
              <w:rPr>
                <w:sz w:val="16"/>
                <w:szCs w:val="16"/>
                <w:lang w:val="sr-Latn-RS"/>
              </w:rPr>
              <w:t>.</w:t>
            </w:r>
            <w:r w:rsidRPr="00542804">
              <w:rPr>
                <w:sz w:val="16"/>
                <w:szCs w:val="16"/>
                <w:lang w:val="sr-Latn-RS"/>
              </w:rPr>
              <w:t>090</w:t>
            </w:r>
          </w:p>
        </w:tc>
        <w:tc>
          <w:tcPr>
            <w:tcW w:w="390" w:type="pct"/>
            <w:tcBorders>
              <w:top w:val="single" w:sz="4" w:space="0" w:color="auto"/>
            </w:tcBorders>
            <w:shd w:val="clear" w:color="auto" w:fill="auto"/>
          </w:tcPr>
          <w:p w14:paraId="320A77F9"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w:t>
            </w:r>
            <w:r>
              <w:rPr>
                <w:sz w:val="16"/>
                <w:szCs w:val="16"/>
                <w:lang w:val="sr-Latn-RS"/>
              </w:rPr>
              <w:t>.</w:t>
            </w:r>
            <w:r w:rsidRPr="00542804">
              <w:rPr>
                <w:sz w:val="16"/>
                <w:szCs w:val="16"/>
                <w:lang w:val="sr-Latn-RS"/>
              </w:rPr>
              <w:t>058</w:t>
            </w:r>
          </w:p>
        </w:tc>
        <w:tc>
          <w:tcPr>
            <w:tcW w:w="392" w:type="pct"/>
            <w:tcBorders>
              <w:top w:val="single" w:sz="4" w:space="0" w:color="auto"/>
            </w:tcBorders>
            <w:shd w:val="clear" w:color="auto" w:fill="auto"/>
          </w:tcPr>
          <w:p w14:paraId="56A95C87"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-2</w:t>
            </w:r>
            <w:r>
              <w:rPr>
                <w:sz w:val="16"/>
                <w:szCs w:val="16"/>
                <w:lang w:val="sr-Latn-RS"/>
              </w:rPr>
              <w:t>.</w:t>
            </w:r>
            <w:r w:rsidRPr="00542804">
              <w:rPr>
                <w:sz w:val="16"/>
                <w:szCs w:val="16"/>
                <w:lang w:val="sr-Latn-RS"/>
              </w:rPr>
              <w:t>890</w:t>
            </w:r>
          </w:p>
        </w:tc>
        <w:tc>
          <w:tcPr>
            <w:tcW w:w="564" w:type="pct"/>
            <w:tcBorders>
              <w:top w:val="single" w:sz="4" w:space="0" w:color="auto"/>
            </w:tcBorders>
            <w:shd w:val="clear" w:color="auto" w:fill="auto"/>
            <w:vAlign w:val="center"/>
          </w:tcPr>
          <w:p w14:paraId="3A4F956A" w14:textId="77777777" w:rsidR="006A001D" w:rsidRPr="00542804" w:rsidRDefault="006A001D" w:rsidP="006A71E0">
            <w:pPr>
              <w:spacing w:before="0" w:after="0"/>
              <w:ind w:left="57" w:right="57"/>
              <w:jc w:val="right"/>
              <w:rPr>
                <w:rFonts w:cs="Times New Roman"/>
                <w:sz w:val="16"/>
                <w:szCs w:val="16"/>
                <w:lang w:val="sr-Latn-RS"/>
              </w:rPr>
            </w:pPr>
          </w:p>
        </w:tc>
        <w:tc>
          <w:tcPr>
            <w:tcW w:w="562" w:type="pct"/>
            <w:tcBorders>
              <w:top w:val="single" w:sz="4" w:space="0" w:color="auto"/>
              <w:right w:val="nil"/>
            </w:tcBorders>
            <w:shd w:val="clear" w:color="auto" w:fill="auto"/>
            <w:vAlign w:val="center"/>
          </w:tcPr>
          <w:p w14:paraId="1A23CC57" w14:textId="77777777" w:rsidR="006A001D" w:rsidRPr="00542804" w:rsidRDefault="006A001D" w:rsidP="006A71E0">
            <w:pPr>
              <w:spacing w:before="0" w:after="0"/>
              <w:ind w:left="57" w:right="57"/>
              <w:jc w:val="right"/>
              <w:rPr>
                <w:rFonts w:cs="Times New Roman"/>
                <w:sz w:val="16"/>
                <w:szCs w:val="16"/>
                <w:lang w:val="sr-Latn-RS"/>
              </w:rPr>
            </w:pPr>
          </w:p>
        </w:tc>
      </w:tr>
      <w:tr w:rsidR="006A001D" w:rsidRPr="00542804" w14:paraId="10E752A1" w14:textId="77777777" w:rsidTr="00D93A70">
        <w:trPr>
          <w:cantSplit/>
        </w:trPr>
        <w:tc>
          <w:tcPr>
            <w:tcW w:w="558" w:type="pct"/>
            <w:vMerge/>
            <w:tcBorders>
              <w:left w:val="nil"/>
            </w:tcBorders>
            <w:shd w:val="clear" w:color="auto" w:fill="auto"/>
          </w:tcPr>
          <w:p w14:paraId="705F2792" w14:textId="77777777" w:rsidR="006A001D" w:rsidRPr="00542804" w:rsidRDefault="006A001D" w:rsidP="006A71E0">
            <w:pPr>
              <w:spacing w:before="0" w:after="0"/>
              <w:ind w:left="57" w:right="57"/>
              <w:rPr>
                <w:rFonts w:cs="Times New Roman"/>
                <w:sz w:val="16"/>
                <w:szCs w:val="16"/>
                <w:lang w:val="sr-Latn-RS"/>
              </w:rPr>
            </w:pPr>
          </w:p>
        </w:tc>
        <w:tc>
          <w:tcPr>
            <w:tcW w:w="589" w:type="pct"/>
            <w:shd w:val="clear" w:color="auto" w:fill="auto"/>
          </w:tcPr>
          <w:p w14:paraId="0D7DF850" w14:textId="77777777" w:rsidR="006A001D" w:rsidRPr="00542804" w:rsidRDefault="006A001D" w:rsidP="006A71E0">
            <w:pPr>
              <w:spacing w:before="0" w:after="0"/>
              <w:ind w:left="57" w:right="57"/>
              <w:rPr>
                <w:sz w:val="16"/>
                <w:szCs w:val="16"/>
                <w:lang w:val="sr-Latn-RS"/>
              </w:rPr>
            </w:pPr>
            <w:r w:rsidRPr="00542804">
              <w:rPr>
                <w:sz w:val="16"/>
                <w:szCs w:val="16"/>
                <w:lang w:val="sr-Latn-RS"/>
              </w:rPr>
              <w:t>HS_idle_time</w:t>
            </w:r>
          </w:p>
        </w:tc>
        <w:tc>
          <w:tcPr>
            <w:tcW w:w="389" w:type="pct"/>
            <w:shd w:val="clear" w:color="auto" w:fill="auto"/>
          </w:tcPr>
          <w:p w14:paraId="34ABDAAC"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3</w:t>
            </w:r>
            <w:r>
              <w:rPr>
                <w:sz w:val="16"/>
                <w:szCs w:val="16"/>
                <w:lang w:val="sr-Latn-RS"/>
              </w:rPr>
              <w:t>.</w:t>
            </w:r>
            <w:r w:rsidRPr="00542804">
              <w:rPr>
                <w:sz w:val="16"/>
                <w:szCs w:val="16"/>
                <w:lang w:val="sr-Latn-RS"/>
              </w:rPr>
              <w:t>038</w:t>
            </w:r>
          </w:p>
        </w:tc>
        <w:tc>
          <w:tcPr>
            <w:tcW w:w="389" w:type="pct"/>
            <w:shd w:val="clear" w:color="auto" w:fill="auto"/>
          </w:tcPr>
          <w:p w14:paraId="3FF0C882"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w:t>
            </w:r>
            <w:r>
              <w:rPr>
                <w:sz w:val="16"/>
                <w:szCs w:val="16"/>
                <w:lang w:val="sr-Latn-RS"/>
              </w:rPr>
              <w:t>.</w:t>
            </w:r>
            <w:r w:rsidRPr="00542804">
              <w:rPr>
                <w:sz w:val="16"/>
                <w:szCs w:val="16"/>
                <w:lang w:val="sr-Latn-RS"/>
              </w:rPr>
              <w:t>175</w:t>
            </w:r>
          </w:p>
        </w:tc>
        <w:tc>
          <w:tcPr>
            <w:tcW w:w="389" w:type="pct"/>
            <w:shd w:val="clear" w:color="auto" w:fill="auto"/>
          </w:tcPr>
          <w:p w14:paraId="1348FCC5" w14:textId="77777777" w:rsidR="006A001D" w:rsidRPr="00542804" w:rsidRDefault="006A001D" w:rsidP="006A71E0">
            <w:pPr>
              <w:spacing w:before="0" w:after="0"/>
              <w:ind w:left="57" w:right="57"/>
              <w:jc w:val="right"/>
              <w:rPr>
                <w:sz w:val="16"/>
                <w:szCs w:val="16"/>
                <w:lang w:val="sr-Latn-RS"/>
              </w:rPr>
            </w:pPr>
            <w:r>
              <w:rPr>
                <w:sz w:val="16"/>
                <w:szCs w:val="16"/>
                <w:lang w:val="sr-Latn-RS"/>
              </w:rPr>
              <w:t>.</w:t>
            </w:r>
            <w:r w:rsidRPr="00542804">
              <w:rPr>
                <w:sz w:val="16"/>
                <w:szCs w:val="16"/>
                <w:lang w:val="sr-Latn-RS"/>
              </w:rPr>
              <w:t>809</w:t>
            </w:r>
          </w:p>
        </w:tc>
        <w:tc>
          <w:tcPr>
            <w:tcW w:w="389" w:type="pct"/>
            <w:shd w:val="clear" w:color="auto" w:fill="auto"/>
          </w:tcPr>
          <w:p w14:paraId="7215C75D"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-1</w:t>
            </w:r>
            <w:r>
              <w:rPr>
                <w:sz w:val="16"/>
                <w:szCs w:val="16"/>
                <w:lang w:val="sr-Latn-RS"/>
              </w:rPr>
              <w:t>.</w:t>
            </w:r>
            <w:r w:rsidRPr="00542804">
              <w:rPr>
                <w:sz w:val="16"/>
                <w:szCs w:val="16"/>
                <w:lang w:val="sr-Latn-RS"/>
              </w:rPr>
              <w:t>047</w:t>
            </w:r>
          </w:p>
        </w:tc>
        <w:tc>
          <w:tcPr>
            <w:tcW w:w="389" w:type="pct"/>
            <w:shd w:val="clear" w:color="auto" w:fill="auto"/>
          </w:tcPr>
          <w:p w14:paraId="488E24A9"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w:t>
            </w:r>
            <w:r>
              <w:rPr>
                <w:sz w:val="16"/>
                <w:szCs w:val="16"/>
                <w:lang w:val="sr-Latn-RS"/>
              </w:rPr>
              <w:t>.</w:t>
            </w:r>
            <w:r w:rsidRPr="00542804">
              <w:rPr>
                <w:sz w:val="16"/>
                <w:szCs w:val="16"/>
                <w:lang w:val="sr-Latn-RS"/>
              </w:rPr>
              <w:t>022</w:t>
            </w:r>
          </w:p>
        </w:tc>
        <w:tc>
          <w:tcPr>
            <w:tcW w:w="390" w:type="pct"/>
            <w:shd w:val="clear" w:color="auto" w:fill="auto"/>
          </w:tcPr>
          <w:p w14:paraId="10213433"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w:t>
            </w:r>
            <w:r>
              <w:rPr>
                <w:sz w:val="16"/>
                <w:szCs w:val="16"/>
                <w:lang w:val="sr-Latn-RS"/>
              </w:rPr>
              <w:t>.</w:t>
            </w:r>
            <w:r w:rsidRPr="00542804">
              <w:rPr>
                <w:sz w:val="16"/>
                <w:szCs w:val="16"/>
                <w:lang w:val="sr-Latn-RS"/>
              </w:rPr>
              <w:t>274</w:t>
            </w:r>
          </w:p>
        </w:tc>
        <w:tc>
          <w:tcPr>
            <w:tcW w:w="392" w:type="pct"/>
            <w:shd w:val="clear" w:color="auto" w:fill="auto"/>
          </w:tcPr>
          <w:p w14:paraId="64DC42F8"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2</w:t>
            </w:r>
            <w:r>
              <w:rPr>
                <w:sz w:val="16"/>
                <w:szCs w:val="16"/>
                <w:lang w:val="sr-Latn-RS"/>
              </w:rPr>
              <w:t>.</w:t>
            </w:r>
            <w:r w:rsidRPr="00542804">
              <w:rPr>
                <w:sz w:val="16"/>
                <w:szCs w:val="16"/>
                <w:lang w:val="sr-Latn-RS"/>
              </w:rPr>
              <w:t>739</w:t>
            </w:r>
          </w:p>
        </w:tc>
        <w:tc>
          <w:tcPr>
            <w:tcW w:w="564" w:type="pct"/>
            <w:shd w:val="clear" w:color="auto" w:fill="auto"/>
            <w:vAlign w:val="center"/>
          </w:tcPr>
          <w:p w14:paraId="71021801" w14:textId="77777777" w:rsidR="006A001D" w:rsidRPr="00542804" w:rsidRDefault="006A001D" w:rsidP="006A71E0">
            <w:pPr>
              <w:spacing w:before="0" w:after="0"/>
              <w:ind w:left="57" w:right="57"/>
              <w:jc w:val="right"/>
              <w:rPr>
                <w:rFonts w:cs="Times New Roman"/>
                <w:sz w:val="16"/>
                <w:szCs w:val="16"/>
                <w:lang w:val="sr-Latn-RS"/>
              </w:rPr>
            </w:pPr>
          </w:p>
        </w:tc>
        <w:tc>
          <w:tcPr>
            <w:tcW w:w="562" w:type="pct"/>
            <w:tcBorders>
              <w:right w:val="nil"/>
            </w:tcBorders>
            <w:shd w:val="clear" w:color="auto" w:fill="auto"/>
            <w:vAlign w:val="center"/>
          </w:tcPr>
          <w:p w14:paraId="785FDE7D" w14:textId="77777777" w:rsidR="006A001D" w:rsidRPr="00542804" w:rsidRDefault="006A001D" w:rsidP="006A71E0">
            <w:pPr>
              <w:spacing w:before="0" w:after="0"/>
              <w:ind w:left="57" w:right="57"/>
              <w:jc w:val="right"/>
              <w:rPr>
                <w:rFonts w:cs="Times New Roman"/>
                <w:sz w:val="16"/>
                <w:szCs w:val="16"/>
                <w:lang w:val="sr-Latn-RS"/>
              </w:rPr>
            </w:pPr>
          </w:p>
        </w:tc>
      </w:tr>
      <w:tr w:rsidR="006A001D" w:rsidRPr="00542804" w14:paraId="6C8EEDD0" w14:textId="77777777" w:rsidTr="00D93A70">
        <w:trPr>
          <w:cantSplit/>
        </w:trPr>
        <w:tc>
          <w:tcPr>
            <w:tcW w:w="558" w:type="pct"/>
            <w:vMerge/>
            <w:tcBorders>
              <w:left w:val="nil"/>
            </w:tcBorders>
            <w:shd w:val="clear" w:color="auto" w:fill="auto"/>
          </w:tcPr>
          <w:p w14:paraId="1559AFA6" w14:textId="77777777" w:rsidR="006A001D" w:rsidRPr="00542804" w:rsidRDefault="006A001D" w:rsidP="006A71E0">
            <w:pPr>
              <w:spacing w:before="0" w:after="0"/>
              <w:ind w:left="57" w:right="57"/>
              <w:rPr>
                <w:rFonts w:cs="Times New Roman"/>
                <w:sz w:val="16"/>
                <w:szCs w:val="16"/>
                <w:lang w:val="sr-Latn-RS"/>
              </w:rPr>
            </w:pPr>
          </w:p>
        </w:tc>
        <w:tc>
          <w:tcPr>
            <w:tcW w:w="589" w:type="pct"/>
            <w:shd w:val="clear" w:color="auto" w:fill="auto"/>
          </w:tcPr>
          <w:p w14:paraId="2CB43FE2" w14:textId="77777777" w:rsidR="006A001D" w:rsidRPr="00542804" w:rsidRDefault="006A001D" w:rsidP="006A71E0">
            <w:pPr>
              <w:spacing w:before="0" w:after="0"/>
              <w:ind w:left="57" w:right="57"/>
              <w:rPr>
                <w:sz w:val="16"/>
                <w:szCs w:val="16"/>
                <w:lang w:val="sr-Latn-RS"/>
              </w:rPr>
            </w:pPr>
            <w:r w:rsidRPr="00542804">
              <w:rPr>
                <w:sz w:val="16"/>
                <w:szCs w:val="16"/>
                <w:lang w:val="sr-Latn-RS"/>
              </w:rPr>
              <w:t>T1</w:t>
            </w:r>
          </w:p>
        </w:tc>
        <w:tc>
          <w:tcPr>
            <w:tcW w:w="389" w:type="pct"/>
            <w:shd w:val="clear" w:color="auto" w:fill="auto"/>
          </w:tcPr>
          <w:p w14:paraId="1A038D02" w14:textId="77777777" w:rsidR="006A001D" w:rsidRPr="00542804" w:rsidRDefault="006A001D" w:rsidP="006A71E0">
            <w:pPr>
              <w:spacing w:before="0" w:after="0"/>
              <w:ind w:left="57" w:right="57"/>
              <w:jc w:val="right"/>
              <w:rPr>
                <w:sz w:val="16"/>
                <w:szCs w:val="16"/>
                <w:lang w:val="sr-Latn-RS"/>
              </w:rPr>
            </w:pPr>
            <w:r>
              <w:rPr>
                <w:sz w:val="16"/>
                <w:szCs w:val="16"/>
                <w:lang w:val="sr-Latn-RS"/>
              </w:rPr>
              <w:t>.</w:t>
            </w:r>
            <w:r w:rsidRPr="00542804">
              <w:rPr>
                <w:sz w:val="16"/>
                <w:szCs w:val="16"/>
                <w:lang w:val="sr-Latn-RS"/>
              </w:rPr>
              <w:t>665</w:t>
            </w:r>
          </w:p>
        </w:tc>
        <w:tc>
          <w:tcPr>
            <w:tcW w:w="389" w:type="pct"/>
            <w:shd w:val="clear" w:color="auto" w:fill="auto"/>
          </w:tcPr>
          <w:p w14:paraId="15453948"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w:t>
            </w:r>
            <w:r>
              <w:rPr>
                <w:sz w:val="16"/>
                <w:szCs w:val="16"/>
                <w:lang w:val="sr-Latn-RS"/>
              </w:rPr>
              <w:t>.</w:t>
            </w:r>
            <w:r w:rsidRPr="00542804">
              <w:rPr>
                <w:sz w:val="16"/>
                <w:szCs w:val="16"/>
                <w:lang w:val="sr-Latn-RS"/>
              </w:rPr>
              <w:t>911</w:t>
            </w:r>
          </w:p>
        </w:tc>
        <w:tc>
          <w:tcPr>
            <w:tcW w:w="389" w:type="pct"/>
            <w:shd w:val="clear" w:color="auto" w:fill="auto"/>
          </w:tcPr>
          <w:p w14:paraId="1BB33170" w14:textId="77777777" w:rsidR="006A001D" w:rsidRPr="00542804" w:rsidRDefault="006A001D" w:rsidP="006A71E0">
            <w:pPr>
              <w:spacing w:before="0" w:after="0"/>
              <w:ind w:left="57" w:right="57"/>
              <w:jc w:val="right"/>
              <w:rPr>
                <w:sz w:val="16"/>
                <w:szCs w:val="16"/>
                <w:lang w:val="sr-Latn-RS"/>
              </w:rPr>
            </w:pPr>
            <w:r>
              <w:rPr>
                <w:sz w:val="16"/>
                <w:szCs w:val="16"/>
                <w:lang w:val="sr-Latn-RS"/>
              </w:rPr>
              <w:t>.</w:t>
            </w:r>
            <w:r w:rsidRPr="00542804">
              <w:rPr>
                <w:sz w:val="16"/>
                <w:szCs w:val="16"/>
                <w:lang w:val="sr-Latn-RS"/>
              </w:rPr>
              <w:t>034</w:t>
            </w:r>
          </w:p>
        </w:tc>
        <w:tc>
          <w:tcPr>
            <w:tcW w:w="389" w:type="pct"/>
            <w:shd w:val="clear" w:color="auto" w:fill="auto"/>
          </w:tcPr>
          <w:p w14:paraId="447C4498" w14:textId="77777777" w:rsidR="006A001D" w:rsidRPr="00542804" w:rsidRDefault="006A001D" w:rsidP="006A71E0">
            <w:pPr>
              <w:spacing w:before="0" w:after="0"/>
              <w:ind w:left="57" w:right="57"/>
              <w:jc w:val="right"/>
              <w:rPr>
                <w:sz w:val="16"/>
                <w:szCs w:val="16"/>
                <w:lang w:val="sr-Latn-RS"/>
              </w:rPr>
            </w:pPr>
            <w:r>
              <w:rPr>
                <w:sz w:val="16"/>
                <w:szCs w:val="16"/>
                <w:lang w:val="sr-Latn-RS"/>
              </w:rPr>
              <w:t>.</w:t>
            </w:r>
            <w:r w:rsidRPr="00542804">
              <w:rPr>
                <w:sz w:val="16"/>
                <w:szCs w:val="16"/>
                <w:lang w:val="sr-Latn-RS"/>
              </w:rPr>
              <w:t>737</w:t>
            </w:r>
          </w:p>
        </w:tc>
        <w:tc>
          <w:tcPr>
            <w:tcW w:w="389" w:type="pct"/>
            <w:shd w:val="clear" w:color="auto" w:fill="auto"/>
          </w:tcPr>
          <w:p w14:paraId="6E6049D1"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1</w:t>
            </w:r>
            <w:r>
              <w:rPr>
                <w:sz w:val="16"/>
                <w:szCs w:val="16"/>
                <w:lang w:val="sr-Latn-RS"/>
              </w:rPr>
              <w:t>.</w:t>
            </w:r>
            <w:r w:rsidRPr="00542804">
              <w:rPr>
                <w:sz w:val="16"/>
                <w:szCs w:val="16"/>
                <w:lang w:val="sr-Latn-RS"/>
              </w:rPr>
              <w:t>216</w:t>
            </w:r>
          </w:p>
        </w:tc>
        <w:tc>
          <w:tcPr>
            <w:tcW w:w="390" w:type="pct"/>
            <w:shd w:val="clear" w:color="auto" w:fill="auto"/>
          </w:tcPr>
          <w:p w14:paraId="7EFCC584" w14:textId="77777777" w:rsidR="006A001D" w:rsidRPr="00542804" w:rsidRDefault="006A001D" w:rsidP="006A71E0">
            <w:pPr>
              <w:spacing w:before="0" w:after="0"/>
              <w:ind w:left="57" w:right="57"/>
              <w:jc w:val="right"/>
              <w:rPr>
                <w:sz w:val="16"/>
                <w:szCs w:val="16"/>
                <w:lang w:val="sr-Latn-RS"/>
              </w:rPr>
            </w:pPr>
            <w:r>
              <w:rPr>
                <w:sz w:val="16"/>
                <w:szCs w:val="16"/>
                <w:lang w:val="sr-Latn-RS"/>
              </w:rPr>
              <w:t>.</w:t>
            </w:r>
            <w:r w:rsidRPr="00542804">
              <w:rPr>
                <w:sz w:val="16"/>
                <w:szCs w:val="16"/>
                <w:lang w:val="sr-Latn-RS"/>
              </w:rPr>
              <w:t>976</w:t>
            </w:r>
          </w:p>
        </w:tc>
        <w:tc>
          <w:tcPr>
            <w:tcW w:w="392" w:type="pct"/>
            <w:shd w:val="clear" w:color="auto" w:fill="auto"/>
          </w:tcPr>
          <w:p w14:paraId="42325D0D"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2</w:t>
            </w:r>
            <w:r>
              <w:rPr>
                <w:sz w:val="16"/>
                <w:szCs w:val="16"/>
                <w:lang w:val="sr-Latn-RS"/>
              </w:rPr>
              <w:t>.</w:t>
            </w:r>
            <w:r w:rsidRPr="00542804">
              <w:rPr>
                <w:sz w:val="16"/>
                <w:szCs w:val="16"/>
                <w:lang w:val="sr-Latn-RS"/>
              </w:rPr>
              <w:t>568</w:t>
            </w:r>
          </w:p>
        </w:tc>
        <w:tc>
          <w:tcPr>
            <w:tcW w:w="564" w:type="pct"/>
            <w:shd w:val="clear" w:color="auto" w:fill="auto"/>
            <w:vAlign w:val="center"/>
          </w:tcPr>
          <w:p w14:paraId="21289E8E" w14:textId="77777777" w:rsidR="006A001D" w:rsidRPr="00542804" w:rsidRDefault="006A001D" w:rsidP="006A71E0">
            <w:pPr>
              <w:spacing w:before="0" w:after="0"/>
              <w:ind w:left="57" w:right="57"/>
              <w:jc w:val="right"/>
              <w:rPr>
                <w:rFonts w:cs="Times New Roman"/>
                <w:sz w:val="16"/>
                <w:szCs w:val="16"/>
                <w:lang w:val="sr-Latn-RS"/>
              </w:rPr>
            </w:pPr>
          </w:p>
        </w:tc>
        <w:tc>
          <w:tcPr>
            <w:tcW w:w="562" w:type="pct"/>
            <w:tcBorders>
              <w:right w:val="nil"/>
            </w:tcBorders>
            <w:shd w:val="clear" w:color="auto" w:fill="auto"/>
            <w:vAlign w:val="center"/>
          </w:tcPr>
          <w:p w14:paraId="2E577777" w14:textId="77777777" w:rsidR="006A001D" w:rsidRPr="00542804" w:rsidRDefault="006A001D" w:rsidP="006A71E0">
            <w:pPr>
              <w:spacing w:before="0" w:after="0"/>
              <w:ind w:left="57" w:right="57"/>
              <w:jc w:val="right"/>
              <w:rPr>
                <w:rFonts w:cs="Times New Roman"/>
                <w:sz w:val="16"/>
                <w:szCs w:val="16"/>
                <w:lang w:val="sr-Latn-RS"/>
              </w:rPr>
            </w:pPr>
          </w:p>
        </w:tc>
      </w:tr>
      <w:tr w:rsidR="006A001D" w:rsidRPr="00542804" w14:paraId="040857A1" w14:textId="77777777" w:rsidTr="00D93A70">
        <w:trPr>
          <w:cantSplit/>
        </w:trPr>
        <w:tc>
          <w:tcPr>
            <w:tcW w:w="558" w:type="pct"/>
            <w:vMerge/>
            <w:tcBorders>
              <w:left w:val="nil"/>
            </w:tcBorders>
            <w:shd w:val="clear" w:color="auto" w:fill="auto"/>
          </w:tcPr>
          <w:p w14:paraId="42463FBF" w14:textId="77777777" w:rsidR="006A001D" w:rsidRPr="00542804" w:rsidRDefault="006A001D" w:rsidP="006A71E0">
            <w:pPr>
              <w:spacing w:before="0" w:after="0"/>
              <w:ind w:left="57" w:right="57"/>
              <w:rPr>
                <w:rFonts w:cs="Times New Roman"/>
                <w:sz w:val="16"/>
                <w:szCs w:val="16"/>
                <w:lang w:val="sr-Latn-RS"/>
              </w:rPr>
            </w:pPr>
          </w:p>
        </w:tc>
        <w:tc>
          <w:tcPr>
            <w:tcW w:w="589" w:type="pct"/>
            <w:shd w:val="clear" w:color="auto" w:fill="auto"/>
          </w:tcPr>
          <w:p w14:paraId="1C084D8B" w14:textId="77777777" w:rsidR="006A001D" w:rsidRPr="00542804" w:rsidRDefault="006A001D" w:rsidP="006A71E0">
            <w:pPr>
              <w:spacing w:before="0" w:after="0"/>
              <w:ind w:left="57" w:right="57"/>
              <w:rPr>
                <w:sz w:val="16"/>
                <w:szCs w:val="16"/>
                <w:lang w:val="sr-Latn-RS"/>
              </w:rPr>
            </w:pPr>
            <w:r w:rsidRPr="00542804">
              <w:rPr>
                <w:sz w:val="16"/>
                <w:szCs w:val="16"/>
                <w:lang w:val="sr-Latn-RS"/>
              </w:rPr>
              <w:t>T2</w:t>
            </w:r>
          </w:p>
        </w:tc>
        <w:tc>
          <w:tcPr>
            <w:tcW w:w="389" w:type="pct"/>
            <w:shd w:val="clear" w:color="auto" w:fill="auto"/>
          </w:tcPr>
          <w:p w14:paraId="05938818"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w:t>
            </w:r>
            <w:r>
              <w:rPr>
                <w:sz w:val="16"/>
                <w:szCs w:val="16"/>
                <w:lang w:val="sr-Latn-RS"/>
              </w:rPr>
              <w:t>.</w:t>
            </w:r>
            <w:r w:rsidRPr="00542804">
              <w:rPr>
                <w:sz w:val="16"/>
                <w:szCs w:val="16"/>
                <w:lang w:val="sr-Latn-RS"/>
              </w:rPr>
              <w:t>891</w:t>
            </w:r>
          </w:p>
        </w:tc>
        <w:tc>
          <w:tcPr>
            <w:tcW w:w="389" w:type="pct"/>
            <w:shd w:val="clear" w:color="auto" w:fill="auto"/>
          </w:tcPr>
          <w:p w14:paraId="07D8B5D9" w14:textId="77777777" w:rsidR="006A001D" w:rsidRPr="00542804" w:rsidRDefault="006A001D" w:rsidP="006A71E0">
            <w:pPr>
              <w:spacing w:before="0" w:after="0"/>
              <w:ind w:left="57" w:right="57"/>
              <w:jc w:val="right"/>
              <w:rPr>
                <w:sz w:val="16"/>
                <w:szCs w:val="16"/>
                <w:lang w:val="sr-Latn-RS"/>
              </w:rPr>
            </w:pPr>
            <w:r>
              <w:rPr>
                <w:sz w:val="16"/>
                <w:szCs w:val="16"/>
                <w:lang w:val="sr-Latn-RS"/>
              </w:rPr>
              <w:t>.</w:t>
            </w:r>
            <w:r w:rsidRPr="00542804">
              <w:rPr>
                <w:sz w:val="16"/>
                <w:szCs w:val="16"/>
                <w:lang w:val="sr-Latn-RS"/>
              </w:rPr>
              <w:t>346</w:t>
            </w:r>
          </w:p>
        </w:tc>
        <w:tc>
          <w:tcPr>
            <w:tcW w:w="389" w:type="pct"/>
            <w:shd w:val="clear" w:color="auto" w:fill="auto"/>
          </w:tcPr>
          <w:p w14:paraId="1FC4F0FE"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w:t>
            </w:r>
            <w:r>
              <w:rPr>
                <w:sz w:val="16"/>
                <w:szCs w:val="16"/>
                <w:lang w:val="sr-Latn-RS"/>
              </w:rPr>
              <w:t>.</w:t>
            </w:r>
            <w:r w:rsidRPr="00542804">
              <w:rPr>
                <w:sz w:val="16"/>
                <w:szCs w:val="16"/>
                <w:lang w:val="sr-Latn-RS"/>
              </w:rPr>
              <w:t>353</w:t>
            </w:r>
          </w:p>
        </w:tc>
        <w:tc>
          <w:tcPr>
            <w:tcW w:w="389" w:type="pct"/>
            <w:shd w:val="clear" w:color="auto" w:fill="auto"/>
          </w:tcPr>
          <w:p w14:paraId="615E0BB9"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w:t>
            </w:r>
            <w:r>
              <w:rPr>
                <w:sz w:val="16"/>
                <w:szCs w:val="16"/>
                <w:lang w:val="sr-Latn-RS"/>
              </w:rPr>
              <w:t>.</w:t>
            </w:r>
            <w:r w:rsidRPr="00542804">
              <w:rPr>
                <w:sz w:val="16"/>
                <w:szCs w:val="16"/>
                <w:lang w:val="sr-Latn-RS"/>
              </w:rPr>
              <w:t>519</w:t>
            </w:r>
          </w:p>
        </w:tc>
        <w:tc>
          <w:tcPr>
            <w:tcW w:w="389" w:type="pct"/>
            <w:shd w:val="clear" w:color="auto" w:fill="auto"/>
          </w:tcPr>
          <w:p w14:paraId="6FF4B509"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w:t>
            </w:r>
            <w:r>
              <w:rPr>
                <w:sz w:val="16"/>
                <w:szCs w:val="16"/>
                <w:lang w:val="sr-Latn-RS"/>
              </w:rPr>
              <w:t>.</w:t>
            </w:r>
            <w:r w:rsidRPr="00542804">
              <w:rPr>
                <w:sz w:val="16"/>
                <w:szCs w:val="16"/>
                <w:lang w:val="sr-Latn-RS"/>
              </w:rPr>
              <w:t>881</w:t>
            </w:r>
          </w:p>
        </w:tc>
        <w:tc>
          <w:tcPr>
            <w:tcW w:w="390" w:type="pct"/>
            <w:shd w:val="clear" w:color="auto" w:fill="auto"/>
          </w:tcPr>
          <w:p w14:paraId="19D20BA4"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w:t>
            </w:r>
            <w:r>
              <w:rPr>
                <w:sz w:val="16"/>
                <w:szCs w:val="16"/>
                <w:lang w:val="sr-Latn-RS"/>
              </w:rPr>
              <w:t>.</w:t>
            </w:r>
            <w:r w:rsidRPr="00542804">
              <w:rPr>
                <w:sz w:val="16"/>
                <w:szCs w:val="16"/>
                <w:lang w:val="sr-Latn-RS"/>
              </w:rPr>
              <w:t>936</w:t>
            </w:r>
          </w:p>
        </w:tc>
        <w:tc>
          <w:tcPr>
            <w:tcW w:w="392" w:type="pct"/>
            <w:shd w:val="clear" w:color="auto" w:fill="auto"/>
          </w:tcPr>
          <w:p w14:paraId="2A153F50"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w:t>
            </w:r>
            <w:r>
              <w:rPr>
                <w:sz w:val="16"/>
                <w:szCs w:val="16"/>
                <w:lang w:val="sr-Latn-RS"/>
              </w:rPr>
              <w:t>.</w:t>
            </w:r>
            <w:r w:rsidRPr="00542804">
              <w:rPr>
                <w:sz w:val="16"/>
                <w:szCs w:val="16"/>
                <w:lang w:val="sr-Latn-RS"/>
              </w:rPr>
              <w:t>743</w:t>
            </w:r>
          </w:p>
        </w:tc>
        <w:tc>
          <w:tcPr>
            <w:tcW w:w="564" w:type="pct"/>
            <w:shd w:val="clear" w:color="auto" w:fill="auto"/>
            <w:vAlign w:val="center"/>
          </w:tcPr>
          <w:p w14:paraId="0C2AA467" w14:textId="77777777" w:rsidR="006A001D" w:rsidRPr="00542804" w:rsidRDefault="006A001D" w:rsidP="006A71E0">
            <w:pPr>
              <w:spacing w:before="0" w:after="0"/>
              <w:ind w:left="57" w:right="57"/>
              <w:jc w:val="right"/>
              <w:rPr>
                <w:rFonts w:cs="Times New Roman"/>
                <w:sz w:val="16"/>
                <w:szCs w:val="16"/>
                <w:lang w:val="sr-Latn-RS"/>
              </w:rPr>
            </w:pPr>
          </w:p>
        </w:tc>
        <w:tc>
          <w:tcPr>
            <w:tcW w:w="562" w:type="pct"/>
            <w:tcBorders>
              <w:right w:val="nil"/>
            </w:tcBorders>
            <w:shd w:val="clear" w:color="auto" w:fill="auto"/>
            <w:vAlign w:val="center"/>
          </w:tcPr>
          <w:p w14:paraId="5AF1A9B4" w14:textId="77777777" w:rsidR="006A001D" w:rsidRPr="00542804" w:rsidRDefault="006A001D" w:rsidP="006A71E0">
            <w:pPr>
              <w:spacing w:before="0" w:after="0"/>
              <w:ind w:left="57" w:right="57"/>
              <w:jc w:val="right"/>
              <w:rPr>
                <w:rFonts w:cs="Times New Roman"/>
                <w:sz w:val="16"/>
                <w:szCs w:val="16"/>
                <w:lang w:val="sr-Latn-RS"/>
              </w:rPr>
            </w:pPr>
          </w:p>
        </w:tc>
      </w:tr>
      <w:tr w:rsidR="006A001D" w:rsidRPr="00542804" w14:paraId="0F37A604" w14:textId="77777777" w:rsidTr="00D93A70">
        <w:trPr>
          <w:cantSplit/>
        </w:trPr>
        <w:tc>
          <w:tcPr>
            <w:tcW w:w="558" w:type="pct"/>
            <w:vMerge/>
            <w:tcBorders>
              <w:left w:val="nil"/>
            </w:tcBorders>
            <w:shd w:val="clear" w:color="auto" w:fill="auto"/>
          </w:tcPr>
          <w:p w14:paraId="4F166AEB" w14:textId="77777777" w:rsidR="006A001D" w:rsidRPr="00542804" w:rsidRDefault="006A001D" w:rsidP="006A71E0">
            <w:pPr>
              <w:spacing w:before="0" w:after="0"/>
              <w:ind w:left="57" w:right="57"/>
              <w:rPr>
                <w:rFonts w:cs="Times New Roman"/>
                <w:sz w:val="16"/>
                <w:szCs w:val="16"/>
                <w:lang w:val="sr-Latn-RS"/>
              </w:rPr>
            </w:pPr>
          </w:p>
        </w:tc>
        <w:tc>
          <w:tcPr>
            <w:tcW w:w="589" w:type="pct"/>
            <w:shd w:val="clear" w:color="auto" w:fill="auto"/>
          </w:tcPr>
          <w:p w14:paraId="2A109263" w14:textId="77777777" w:rsidR="006A001D" w:rsidRPr="00542804" w:rsidRDefault="006A001D" w:rsidP="006A71E0">
            <w:pPr>
              <w:spacing w:before="0" w:after="0"/>
              <w:ind w:left="57" w:right="57"/>
              <w:rPr>
                <w:sz w:val="16"/>
                <w:szCs w:val="16"/>
                <w:lang w:val="sr-Latn-RS"/>
              </w:rPr>
            </w:pPr>
            <w:r w:rsidRPr="00542804">
              <w:rPr>
                <w:sz w:val="16"/>
                <w:szCs w:val="16"/>
                <w:lang w:val="sr-Latn-RS"/>
              </w:rPr>
              <w:t>T4</w:t>
            </w:r>
          </w:p>
        </w:tc>
        <w:tc>
          <w:tcPr>
            <w:tcW w:w="389" w:type="pct"/>
            <w:shd w:val="clear" w:color="auto" w:fill="auto"/>
          </w:tcPr>
          <w:p w14:paraId="58CCB1B6" w14:textId="77777777" w:rsidR="006A001D" w:rsidRPr="00542804" w:rsidRDefault="006A001D" w:rsidP="006A71E0">
            <w:pPr>
              <w:spacing w:before="0" w:after="0"/>
              <w:ind w:left="57" w:right="57"/>
              <w:jc w:val="right"/>
              <w:rPr>
                <w:sz w:val="16"/>
                <w:szCs w:val="16"/>
                <w:lang w:val="sr-Latn-RS"/>
              </w:rPr>
            </w:pPr>
            <w:r>
              <w:rPr>
                <w:sz w:val="16"/>
                <w:szCs w:val="16"/>
                <w:lang w:val="sr-Latn-RS"/>
              </w:rPr>
              <w:t>.</w:t>
            </w:r>
            <w:r w:rsidRPr="00542804">
              <w:rPr>
                <w:sz w:val="16"/>
                <w:szCs w:val="16"/>
                <w:lang w:val="sr-Latn-RS"/>
              </w:rPr>
              <w:t>974</w:t>
            </w:r>
          </w:p>
        </w:tc>
        <w:tc>
          <w:tcPr>
            <w:tcW w:w="389" w:type="pct"/>
            <w:shd w:val="clear" w:color="auto" w:fill="auto"/>
          </w:tcPr>
          <w:p w14:paraId="3FCA737A"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w:t>
            </w:r>
            <w:r>
              <w:rPr>
                <w:sz w:val="16"/>
                <w:szCs w:val="16"/>
                <w:lang w:val="sr-Latn-RS"/>
              </w:rPr>
              <w:t>.</w:t>
            </w:r>
            <w:r w:rsidRPr="00542804">
              <w:rPr>
                <w:sz w:val="16"/>
                <w:szCs w:val="16"/>
                <w:lang w:val="sr-Latn-RS"/>
              </w:rPr>
              <w:t>371</w:t>
            </w:r>
          </w:p>
        </w:tc>
        <w:tc>
          <w:tcPr>
            <w:tcW w:w="389" w:type="pct"/>
            <w:shd w:val="clear" w:color="auto" w:fill="auto"/>
          </w:tcPr>
          <w:p w14:paraId="54BCD96C" w14:textId="77777777" w:rsidR="006A001D" w:rsidRPr="00542804" w:rsidRDefault="006A001D" w:rsidP="006A71E0">
            <w:pPr>
              <w:spacing w:before="0" w:after="0"/>
              <w:ind w:left="57" w:right="57"/>
              <w:jc w:val="right"/>
              <w:rPr>
                <w:sz w:val="16"/>
                <w:szCs w:val="16"/>
                <w:lang w:val="sr-Latn-RS"/>
              </w:rPr>
            </w:pPr>
            <w:r>
              <w:rPr>
                <w:sz w:val="16"/>
                <w:szCs w:val="16"/>
                <w:lang w:val="sr-Latn-RS"/>
              </w:rPr>
              <w:t>.</w:t>
            </w:r>
            <w:r w:rsidRPr="00542804">
              <w:rPr>
                <w:sz w:val="16"/>
                <w:szCs w:val="16"/>
                <w:lang w:val="sr-Latn-RS"/>
              </w:rPr>
              <w:t>757</w:t>
            </w:r>
          </w:p>
        </w:tc>
        <w:tc>
          <w:tcPr>
            <w:tcW w:w="389" w:type="pct"/>
            <w:shd w:val="clear" w:color="auto" w:fill="auto"/>
          </w:tcPr>
          <w:p w14:paraId="6BEDF6B9" w14:textId="77777777" w:rsidR="006A001D" w:rsidRPr="00542804" w:rsidRDefault="006A001D" w:rsidP="006A71E0">
            <w:pPr>
              <w:spacing w:before="0" w:after="0"/>
              <w:ind w:left="57" w:right="57"/>
              <w:jc w:val="right"/>
              <w:rPr>
                <w:sz w:val="16"/>
                <w:szCs w:val="16"/>
                <w:lang w:val="sr-Latn-RS"/>
              </w:rPr>
            </w:pPr>
            <w:r>
              <w:rPr>
                <w:sz w:val="16"/>
                <w:szCs w:val="16"/>
                <w:lang w:val="sr-Latn-RS"/>
              </w:rPr>
              <w:t>.</w:t>
            </w:r>
            <w:r w:rsidRPr="00542804">
              <w:rPr>
                <w:sz w:val="16"/>
                <w:szCs w:val="16"/>
                <w:lang w:val="sr-Latn-RS"/>
              </w:rPr>
              <w:t>868</w:t>
            </w:r>
          </w:p>
        </w:tc>
        <w:tc>
          <w:tcPr>
            <w:tcW w:w="389" w:type="pct"/>
            <w:shd w:val="clear" w:color="auto" w:fill="auto"/>
          </w:tcPr>
          <w:p w14:paraId="231F0607" w14:textId="77777777" w:rsidR="006A001D" w:rsidRPr="00542804" w:rsidRDefault="006A001D" w:rsidP="006A71E0">
            <w:pPr>
              <w:spacing w:before="0" w:after="0"/>
              <w:ind w:left="57" w:right="57"/>
              <w:jc w:val="right"/>
              <w:rPr>
                <w:sz w:val="16"/>
                <w:szCs w:val="16"/>
                <w:lang w:val="sr-Latn-RS"/>
              </w:rPr>
            </w:pPr>
            <w:r>
              <w:rPr>
                <w:sz w:val="16"/>
                <w:szCs w:val="16"/>
                <w:lang w:val="sr-Latn-RS"/>
              </w:rPr>
              <w:t>.</w:t>
            </w:r>
            <w:r w:rsidRPr="00542804">
              <w:rPr>
                <w:sz w:val="16"/>
                <w:szCs w:val="16"/>
                <w:lang w:val="sr-Latn-RS"/>
              </w:rPr>
              <w:t>620</w:t>
            </w:r>
          </w:p>
        </w:tc>
        <w:tc>
          <w:tcPr>
            <w:tcW w:w="390" w:type="pct"/>
            <w:shd w:val="clear" w:color="auto" w:fill="auto"/>
          </w:tcPr>
          <w:p w14:paraId="783706E4" w14:textId="77777777" w:rsidR="006A001D" w:rsidRPr="00542804" w:rsidRDefault="006A001D" w:rsidP="006A71E0">
            <w:pPr>
              <w:spacing w:before="0" w:after="0"/>
              <w:ind w:left="57" w:right="57"/>
              <w:jc w:val="right"/>
              <w:rPr>
                <w:sz w:val="16"/>
                <w:szCs w:val="16"/>
                <w:lang w:val="sr-Latn-RS"/>
              </w:rPr>
            </w:pPr>
            <w:r>
              <w:rPr>
                <w:sz w:val="16"/>
                <w:szCs w:val="16"/>
                <w:lang w:val="sr-Latn-RS"/>
              </w:rPr>
              <w:t>.</w:t>
            </w:r>
            <w:r w:rsidRPr="00542804">
              <w:rPr>
                <w:sz w:val="16"/>
                <w:szCs w:val="16"/>
                <w:lang w:val="sr-Latn-RS"/>
              </w:rPr>
              <w:t>126</w:t>
            </w:r>
          </w:p>
        </w:tc>
        <w:tc>
          <w:tcPr>
            <w:tcW w:w="392" w:type="pct"/>
            <w:shd w:val="clear" w:color="auto" w:fill="auto"/>
          </w:tcPr>
          <w:p w14:paraId="72105C8D" w14:textId="77777777" w:rsidR="006A001D" w:rsidRPr="00542804" w:rsidRDefault="006A001D" w:rsidP="006A71E0">
            <w:pPr>
              <w:spacing w:before="0" w:after="0"/>
              <w:ind w:left="57" w:right="57"/>
              <w:jc w:val="right"/>
              <w:rPr>
                <w:sz w:val="16"/>
                <w:szCs w:val="16"/>
                <w:lang w:val="sr-Latn-RS"/>
              </w:rPr>
            </w:pPr>
            <w:r>
              <w:rPr>
                <w:sz w:val="16"/>
                <w:szCs w:val="16"/>
                <w:lang w:val="sr-Latn-RS"/>
              </w:rPr>
              <w:t>.</w:t>
            </w:r>
            <w:r w:rsidRPr="00542804">
              <w:rPr>
                <w:sz w:val="16"/>
                <w:szCs w:val="16"/>
                <w:lang w:val="sr-Latn-RS"/>
              </w:rPr>
              <w:t>807</w:t>
            </w:r>
          </w:p>
        </w:tc>
        <w:tc>
          <w:tcPr>
            <w:tcW w:w="564" w:type="pct"/>
            <w:shd w:val="clear" w:color="auto" w:fill="auto"/>
            <w:vAlign w:val="center"/>
          </w:tcPr>
          <w:p w14:paraId="78BB73A6" w14:textId="77777777" w:rsidR="006A001D" w:rsidRPr="00542804" w:rsidRDefault="006A001D" w:rsidP="006A71E0">
            <w:pPr>
              <w:spacing w:before="0" w:after="0"/>
              <w:ind w:left="57" w:right="57"/>
              <w:jc w:val="right"/>
              <w:rPr>
                <w:rFonts w:cs="Times New Roman"/>
                <w:sz w:val="16"/>
                <w:szCs w:val="16"/>
                <w:lang w:val="sr-Latn-RS"/>
              </w:rPr>
            </w:pPr>
          </w:p>
        </w:tc>
        <w:tc>
          <w:tcPr>
            <w:tcW w:w="562" w:type="pct"/>
            <w:tcBorders>
              <w:right w:val="nil"/>
            </w:tcBorders>
            <w:shd w:val="clear" w:color="auto" w:fill="auto"/>
            <w:vAlign w:val="center"/>
          </w:tcPr>
          <w:p w14:paraId="4A508CD5" w14:textId="77777777" w:rsidR="006A001D" w:rsidRPr="00542804" w:rsidRDefault="006A001D" w:rsidP="006A71E0">
            <w:pPr>
              <w:spacing w:before="0" w:after="0"/>
              <w:ind w:left="57" w:right="57"/>
              <w:jc w:val="right"/>
              <w:rPr>
                <w:rFonts w:cs="Times New Roman"/>
                <w:sz w:val="16"/>
                <w:szCs w:val="16"/>
                <w:lang w:val="sr-Latn-RS"/>
              </w:rPr>
            </w:pPr>
          </w:p>
        </w:tc>
      </w:tr>
      <w:tr w:rsidR="006A001D" w:rsidRPr="00542804" w14:paraId="2CD79101" w14:textId="77777777" w:rsidTr="00D93A70">
        <w:trPr>
          <w:cantSplit/>
        </w:trPr>
        <w:tc>
          <w:tcPr>
            <w:tcW w:w="558" w:type="pct"/>
            <w:vMerge/>
            <w:tcBorders>
              <w:left w:val="nil"/>
            </w:tcBorders>
            <w:shd w:val="clear" w:color="auto" w:fill="auto"/>
          </w:tcPr>
          <w:p w14:paraId="64E8AABD" w14:textId="77777777" w:rsidR="006A001D" w:rsidRPr="00542804" w:rsidRDefault="006A001D" w:rsidP="006A71E0">
            <w:pPr>
              <w:spacing w:before="0" w:after="0"/>
              <w:ind w:left="57" w:right="57"/>
              <w:rPr>
                <w:rFonts w:cs="Times New Roman"/>
                <w:sz w:val="16"/>
                <w:szCs w:val="16"/>
                <w:lang w:val="sr-Latn-RS"/>
              </w:rPr>
            </w:pPr>
          </w:p>
        </w:tc>
        <w:tc>
          <w:tcPr>
            <w:tcW w:w="589" w:type="pct"/>
            <w:shd w:val="clear" w:color="auto" w:fill="auto"/>
          </w:tcPr>
          <w:p w14:paraId="4CEAF2D8" w14:textId="77777777" w:rsidR="006A001D" w:rsidRPr="00542804" w:rsidRDefault="006A001D" w:rsidP="006A71E0">
            <w:pPr>
              <w:spacing w:before="0" w:after="0"/>
              <w:ind w:left="57" w:right="57"/>
              <w:rPr>
                <w:sz w:val="16"/>
                <w:szCs w:val="16"/>
                <w:lang w:val="sr-Latn-RS"/>
              </w:rPr>
            </w:pPr>
            <w:r w:rsidRPr="00542804">
              <w:rPr>
                <w:sz w:val="16"/>
                <w:szCs w:val="16"/>
                <w:lang w:val="sr-Latn-RS"/>
              </w:rPr>
              <w:t>Load_kg_n</w:t>
            </w:r>
          </w:p>
        </w:tc>
        <w:tc>
          <w:tcPr>
            <w:tcW w:w="389" w:type="pct"/>
            <w:shd w:val="clear" w:color="auto" w:fill="auto"/>
          </w:tcPr>
          <w:p w14:paraId="6C732EAB"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2</w:t>
            </w:r>
            <w:r>
              <w:rPr>
                <w:sz w:val="16"/>
                <w:szCs w:val="16"/>
                <w:lang w:val="sr-Latn-RS"/>
              </w:rPr>
              <w:t>.</w:t>
            </w:r>
            <w:r w:rsidRPr="00542804">
              <w:rPr>
                <w:sz w:val="16"/>
                <w:szCs w:val="16"/>
                <w:lang w:val="sr-Latn-RS"/>
              </w:rPr>
              <w:t>312</w:t>
            </w:r>
          </w:p>
        </w:tc>
        <w:tc>
          <w:tcPr>
            <w:tcW w:w="389" w:type="pct"/>
            <w:shd w:val="clear" w:color="auto" w:fill="auto"/>
          </w:tcPr>
          <w:p w14:paraId="19D24D09"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w:t>
            </w:r>
            <w:r>
              <w:rPr>
                <w:sz w:val="16"/>
                <w:szCs w:val="16"/>
                <w:lang w:val="sr-Latn-RS"/>
              </w:rPr>
              <w:t>.</w:t>
            </w:r>
            <w:r w:rsidRPr="00542804">
              <w:rPr>
                <w:sz w:val="16"/>
                <w:szCs w:val="16"/>
                <w:lang w:val="sr-Latn-RS"/>
              </w:rPr>
              <w:t>255</w:t>
            </w:r>
          </w:p>
        </w:tc>
        <w:tc>
          <w:tcPr>
            <w:tcW w:w="389" w:type="pct"/>
            <w:shd w:val="clear" w:color="auto" w:fill="auto"/>
          </w:tcPr>
          <w:p w14:paraId="33E20FF0"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1</w:t>
            </w:r>
            <w:r>
              <w:rPr>
                <w:sz w:val="16"/>
                <w:szCs w:val="16"/>
                <w:lang w:val="sr-Latn-RS"/>
              </w:rPr>
              <w:t>.</w:t>
            </w:r>
            <w:r w:rsidRPr="00542804">
              <w:rPr>
                <w:sz w:val="16"/>
                <w:szCs w:val="16"/>
                <w:lang w:val="sr-Latn-RS"/>
              </w:rPr>
              <w:t>768</w:t>
            </w:r>
          </w:p>
        </w:tc>
        <w:tc>
          <w:tcPr>
            <w:tcW w:w="389" w:type="pct"/>
            <w:shd w:val="clear" w:color="auto" w:fill="auto"/>
          </w:tcPr>
          <w:p w14:paraId="028A3079"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3</w:t>
            </w:r>
            <w:r>
              <w:rPr>
                <w:sz w:val="16"/>
                <w:szCs w:val="16"/>
                <w:lang w:val="sr-Latn-RS"/>
              </w:rPr>
              <w:t>.</w:t>
            </w:r>
            <w:r w:rsidRPr="00542804">
              <w:rPr>
                <w:sz w:val="16"/>
                <w:szCs w:val="16"/>
                <w:lang w:val="sr-Latn-RS"/>
              </w:rPr>
              <w:t>268</w:t>
            </w:r>
          </w:p>
        </w:tc>
        <w:tc>
          <w:tcPr>
            <w:tcW w:w="389" w:type="pct"/>
            <w:shd w:val="clear" w:color="auto" w:fill="auto"/>
          </w:tcPr>
          <w:p w14:paraId="0A7253F9" w14:textId="77777777" w:rsidR="006A001D" w:rsidRPr="00542804" w:rsidRDefault="006A001D" w:rsidP="006A71E0">
            <w:pPr>
              <w:spacing w:before="0" w:after="0"/>
              <w:ind w:left="57" w:right="57"/>
              <w:jc w:val="right"/>
              <w:rPr>
                <w:sz w:val="16"/>
                <w:szCs w:val="16"/>
                <w:lang w:val="sr-Latn-RS"/>
              </w:rPr>
            </w:pPr>
            <w:r>
              <w:rPr>
                <w:sz w:val="16"/>
                <w:szCs w:val="16"/>
                <w:lang w:val="sr-Latn-RS"/>
              </w:rPr>
              <w:t>.</w:t>
            </w:r>
            <w:r w:rsidRPr="00542804">
              <w:rPr>
                <w:sz w:val="16"/>
                <w:szCs w:val="16"/>
                <w:lang w:val="sr-Latn-RS"/>
              </w:rPr>
              <w:t>584</w:t>
            </w:r>
          </w:p>
        </w:tc>
        <w:tc>
          <w:tcPr>
            <w:tcW w:w="390" w:type="pct"/>
            <w:shd w:val="clear" w:color="auto" w:fill="auto"/>
          </w:tcPr>
          <w:p w14:paraId="5F0C2BE8" w14:textId="77777777" w:rsidR="006A001D" w:rsidRPr="00542804" w:rsidRDefault="006A001D" w:rsidP="006A71E0">
            <w:pPr>
              <w:spacing w:before="0" w:after="0"/>
              <w:ind w:left="57" w:right="57"/>
              <w:jc w:val="right"/>
              <w:rPr>
                <w:sz w:val="16"/>
                <w:szCs w:val="16"/>
                <w:lang w:val="sr-Latn-RS"/>
              </w:rPr>
            </w:pPr>
            <w:r>
              <w:rPr>
                <w:sz w:val="16"/>
                <w:szCs w:val="16"/>
                <w:lang w:val="sr-Latn-RS"/>
              </w:rPr>
              <w:t>.</w:t>
            </w:r>
            <w:r w:rsidRPr="00542804">
              <w:rPr>
                <w:sz w:val="16"/>
                <w:szCs w:val="16"/>
                <w:lang w:val="sr-Latn-RS"/>
              </w:rPr>
              <w:t>473</w:t>
            </w:r>
          </w:p>
        </w:tc>
        <w:tc>
          <w:tcPr>
            <w:tcW w:w="392" w:type="pct"/>
            <w:shd w:val="clear" w:color="auto" w:fill="auto"/>
          </w:tcPr>
          <w:p w14:paraId="70FD59CE"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2</w:t>
            </w:r>
            <w:r>
              <w:rPr>
                <w:sz w:val="16"/>
                <w:szCs w:val="16"/>
                <w:lang w:val="sr-Latn-RS"/>
              </w:rPr>
              <w:t>.</w:t>
            </w:r>
            <w:r w:rsidRPr="00542804">
              <w:rPr>
                <w:sz w:val="16"/>
                <w:szCs w:val="16"/>
                <w:lang w:val="sr-Latn-RS"/>
              </w:rPr>
              <w:t>207</w:t>
            </w:r>
          </w:p>
        </w:tc>
        <w:tc>
          <w:tcPr>
            <w:tcW w:w="564" w:type="pct"/>
            <w:shd w:val="clear" w:color="auto" w:fill="auto"/>
            <w:vAlign w:val="center"/>
          </w:tcPr>
          <w:p w14:paraId="426B3264" w14:textId="77777777" w:rsidR="006A001D" w:rsidRPr="00542804" w:rsidRDefault="006A001D" w:rsidP="006A71E0">
            <w:pPr>
              <w:spacing w:before="0" w:after="0"/>
              <w:ind w:left="57" w:right="57"/>
              <w:jc w:val="right"/>
              <w:rPr>
                <w:rFonts w:cs="Times New Roman"/>
                <w:sz w:val="16"/>
                <w:szCs w:val="16"/>
                <w:lang w:val="sr-Latn-RS"/>
              </w:rPr>
            </w:pPr>
          </w:p>
        </w:tc>
        <w:tc>
          <w:tcPr>
            <w:tcW w:w="562" w:type="pct"/>
            <w:tcBorders>
              <w:right w:val="nil"/>
            </w:tcBorders>
            <w:shd w:val="clear" w:color="auto" w:fill="auto"/>
            <w:vAlign w:val="center"/>
          </w:tcPr>
          <w:p w14:paraId="2578F83A" w14:textId="77777777" w:rsidR="006A001D" w:rsidRPr="00542804" w:rsidRDefault="006A001D" w:rsidP="006A71E0">
            <w:pPr>
              <w:spacing w:before="0" w:after="0"/>
              <w:ind w:left="57" w:right="57"/>
              <w:jc w:val="right"/>
              <w:rPr>
                <w:rFonts w:cs="Times New Roman"/>
                <w:sz w:val="16"/>
                <w:szCs w:val="16"/>
                <w:lang w:val="sr-Latn-RS"/>
              </w:rPr>
            </w:pPr>
          </w:p>
        </w:tc>
      </w:tr>
      <w:tr w:rsidR="006A001D" w:rsidRPr="00542804" w14:paraId="488C927F" w14:textId="77777777" w:rsidTr="00D93A70">
        <w:trPr>
          <w:cantSplit/>
        </w:trPr>
        <w:tc>
          <w:tcPr>
            <w:tcW w:w="558" w:type="pct"/>
            <w:vMerge/>
            <w:tcBorders>
              <w:left w:val="nil"/>
            </w:tcBorders>
            <w:shd w:val="clear" w:color="auto" w:fill="auto"/>
          </w:tcPr>
          <w:p w14:paraId="64E29539" w14:textId="77777777" w:rsidR="006A001D" w:rsidRPr="00542804" w:rsidRDefault="006A001D" w:rsidP="006A71E0">
            <w:pPr>
              <w:spacing w:before="0" w:after="0"/>
              <w:ind w:left="57" w:right="57"/>
              <w:rPr>
                <w:rFonts w:cs="Times New Roman"/>
                <w:sz w:val="16"/>
                <w:szCs w:val="16"/>
                <w:lang w:val="sr-Latn-RS"/>
              </w:rPr>
            </w:pPr>
          </w:p>
        </w:tc>
        <w:tc>
          <w:tcPr>
            <w:tcW w:w="589" w:type="pct"/>
            <w:shd w:val="clear" w:color="auto" w:fill="auto"/>
          </w:tcPr>
          <w:p w14:paraId="63839EF2" w14:textId="77777777" w:rsidR="006A001D" w:rsidRPr="00542804" w:rsidRDefault="006A001D" w:rsidP="006A71E0">
            <w:pPr>
              <w:spacing w:before="0" w:after="0"/>
              <w:ind w:left="57" w:right="57"/>
              <w:rPr>
                <w:sz w:val="16"/>
                <w:szCs w:val="16"/>
                <w:lang w:val="sr-Latn-RS"/>
              </w:rPr>
            </w:pPr>
            <w:r w:rsidRPr="00542804">
              <w:rPr>
                <w:sz w:val="16"/>
                <w:szCs w:val="16"/>
                <w:lang w:val="sr-Latn-RS"/>
              </w:rPr>
              <w:t>N_Stdev_OS</w:t>
            </w:r>
          </w:p>
        </w:tc>
        <w:tc>
          <w:tcPr>
            <w:tcW w:w="389" w:type="pct"/>
            <w:shd w:val="clear" w:color="auto" w:fill="auto"/>
          </w:tcPr>
          <w:p w14:paraId="4B7591B0"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2</w:t>
            </w:r>
            <w:r>
              <w:rPr>
                <w:sz w:val="16"/>
                <w:szCs w:val="16"/>
                <w:lang w:val="sr-Latn-RS"/>
              </w:rPr>
              <w:t>.</w:t>
            </w:r>
            <w:r w:rsidRPr="00542804">
              <w:rPr>
                <w:sz w:val="16"/>
                <w:szCs w:val="16"/>
                <w:lang w:val="sr-Latn-RS"/>
              </w:rPr>
              <w:t>829</w:t>
            </w:r>
          </w:p>
        </w:tc>
        <w:tc>
          <w:tcPr>
            <w:tcW w:w="389" w:type="pct"/>
            <w:shd w:val="clear" w:color="auto" w:fill="auto"/>
          </w:tcPr>
          <w:p w14:paraId="7862FCBA"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-4</w:t>
            </w:r>
            <w:r>
              <w:rPr>
                <w:sz w:val="16"/>
                <w:szCs w:val="16"/>
                <w:lang w:val="sr-Latn-RS"/>
              </w:rPr>
              <w:t>.</w:t>
            </w:r>
            <w:r w:rsidRPr="00542804">
              <w:rPr>
                <w:sz w:val="16"/>
                <w:szCs w:val="16"/>
                <w:lang w:val="sr-Latn-RS"/>
              </w:rPr>
              <w:t>305</w:t>
            </w:r>
          </w:p>
        </w:tc>
        <w:tc>
          <w:tcPr>
            <w:tcW w:w="389" w:type="pct"/>
            <w:shd w:val="clear" w:color="auto" w:fill="auto"/>
          </w:tcPr>
          <w:p w14:paraId="08866C13"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7</w:t>
            </w:r>
            <w:r>
              <w:rPr>
                <w:sz w:val="16"/>
                <w:szCs w:val="16"/>
                <w:lang w:val="sr-Latn-RS"/>
              </w:rPr>
              <w:t>.</w:t>
            </w:r>
            <w:r w:rsidRPr="00542804">
              <w:rPr>
                <w:sz w:val="16"/>
                <w:szCs w:val="16"/>
                <w:lang w:val="sr-Latn-RS"/>
              </w:rPr>
              <w:t>294</w:t>
            </w:r>
          </w:p>
        </w:tc>
        <w:tc>
          <w:tcPr>
            <w:tcW w:w="389" w:type="pct"/>
            <w:shd w:val="clear" w:color="auto" w:fill="auto"/>
          </w:tcPr>
          <w:p w14:paraId="27ECDC29"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-6</w:t>
            </w:r>
            <w:r>
              <w:rPr>
                <w:sz w:val="16"/>
                <w:szCs w:val="16"/>
                <w:lang w:val="sr-Latn-RS"/>
              </w:rPr>
              <w:t>.</w:t>
            </w:r>
            <w:r w:rsidRPr="00542804">
              <w:rPr>
                <w:sz w:val="16"/>
                <w:szCs w:val="16"/>
                <w:lang w:val="sr-Latn-RS"/>
              </w:rPr>
              <w:t>247</w:t>
            </w:r>
          </w:p>
        </w:tc>
        <w:tc>
          <w:tcPr>
            <w:tcW w:w="389" w:type="pct"/>
            <w:shd w:val="clear" w:color="auto" w:fill="auto"/>
          </w:tcPr>
          <w:p w14:paraId="44C6E0C5" w14:textId="77777777" w:rsidR="006A001D" w:rsidRPr="00542804" w:rsidRDefault="006A001D" w:rsidP="006A71E0">
            <w:pPr>
              <w:spacing w:before="0" w:after="0"/>
              <w:ind w:left="57" w:right="57"/>
              <w:jc w:val="right"/>
              <w:rPr>
                <w:sz w:val="16"/>
                <w:szCs w:val="16"/>
                <w:lang w:val="sr-Latn-RS"/>
              </w:rPr>
            </w:pPr>
            <w:r>
              <w:rPr>
                <w:sz w:val="16"/>
                <w:szCs w:val="16"/>
                <w:lang w:val="sr-Latn-RS"/>
              </w:rPr>
              <w:t>.</w:t>
            </w:r>
            <w:r w:rsidRPr="00542804">
              <w:rPr>
                <w:sz w:val="16"/>
                <w:szCs w:val="16"/>
                <w:lang w:val="sr-Latn-RS"/>
              </w:rPr>
              <w:t>519</w:t>
            </w:r>
          </w:p>
        </w:tc>
        <w:tc>
          <w:tcPr>
            <w:tcW w:w="390" w:type="pct"/>
            <w:shd w:val="clear" w:color="auto" w:fill="auto"/>
          </w:tcPr>
          <w:p w14:paraId="1CA9B12C" w14:textId="77777777" w:rsidR="006A001D" w:rsidRPr="00542804" w:rsidRDefault="006A001D" w:rsidP="006A71E0">
            <w:pPr>
              <w:spacing w:before="0" w:after="0"/>
              <w:ind w:left="57" w:right="57"/>
              <w:jc w:val="right"/>
              <w:rPr>
                <w:sz w:val="16"/>
                <w:szCs w:val="16"/>
                <w:lang w:val="sr-Latn-RS"/>
              </w:rPr>
            </w:pPr>
            <w:r>
              <w:rPr>
                <w:sz w:val="16"/>
                <w:szCs w:val="16"/>
                <w:lang w:val="sr-Latn-RS"/>
              </w:rPr>
              <w:t>.</w:t>
            </w:r>
            <w:r w:rsidRPr="00542804">
              <w:rPr>
                <w:sz w:val="16"/>
                <w:szCs w:val="16"/>
                <w:lang w:val="sr-Latn-RS"/>
              </w:rPr>
              <w:t>293</w:t>
            </w:r>
          </w:p>
        </w:tc>
        <w:tc>
          <w:tcPr>
            <w:tcW w:w="392" w:type="pct"/>
            <w:shd w:val="clear" w:color="auto" w:fill="auto"/>
          </w:tcPr>
          <w:p w14:paraId="34FEA307"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4</w:t>
            </w:r>
            <w:r>
              <w:rPr>
                <w:sz w:val="16"/>
                <w:szCs w:val="16"/>
                <w:lang w:val="sr-Latn-RS"/>
              </w:rPr>
              <w:t>.</w:t>
            </w:r>
            <w:r w:rsidRPr="00542804">
              <w:rPr>
                <w:sz w:val="16"/>
                <w:szCs w:val="16"/>
                <w:lang w:val="sr-Latn-RS"/>
              </w:rPr>
              <w:t>243</w:t>
            </w:r>
          </w:p>
        </w:tc>
        <w:tc>
          <w:tcPr>
            <w:tcW w:w="564" w:type="pct"/>
            <w:shd w:val="clear" w:color="auto" w:fill="auto"/>
            <w:vAlign w:val="center"/>
          </w:tcPr>
          <w:p w14:paraId="27C1064E" w14:textId="77777777" w:rsidR="006A001D" w:rsidRPr="00542804" w:rsidRDefault="006A001D" w:rsidP="006A71E0">
            <w:pPr>
              <w:spacing w:before="0" w:after="0"/>
              <w:ind w:left="57" w:right="57"/>
              <w:jc w:val="right"/>
              <w:rPr>
                <w:rFonts w:cs="Times New Roman"/>
                <w:sz w:val="16"/>
                <w:szCs w:val="16"/>
                <w:lang w:val="sr-Latn-RS"/>
              </w:rPr>
            </w:pPr>
          </w:p>
        </w:tc>
        <w:tc>
          <w:tcPr>
            <w:tcW w:w="562" w:type="pct"/>
            <w:tcBorders>
              <w:right w:val="nil"/>
            </w:tcBorders>
            <w:shd w:val="clear" w:color="auto" w:fill="auto"/>
            <w:vAlign w:val="center"/>
          </w:tcPr>
          <w:p w14:paraId="331BB21B" w14:textId="77777777" w:rsidR="006A001D" w:rsidRPr="00542804" w:rsidRDefault="006A001D" w:rsidP="006A71E0">
            <w:pPr>
              <w:spacing w:before="0" w:after="0"/>
              <w:ind w:left="57" w:right="57"/>
              <w:jc w:val="right"/>
              <w:rPr>
                <w:rFonts w:cs="Times New Roman"/>
                <w:sz w:val="16"/>
                <w:szCs w:val="16"/>
                <w:lang w:val="sr-Latn-RS"/>
              </w:rPr>
            </w:pPr>
          </w:p>
        </w:tc>
      </w:tr>
      <w:tr w:rsidR="006A001D" w:rsidRPr="00542804" w14:paraId="37639B0A" w14:textId="77777777" w:rsidTr="00D93A70">
        <w:trPr>
          <w:cantSplit/>
        </w:trPr>
        <w:tc>
          <w:tcPr>
            <w:tcW w:w="558" w:type="pct"/>
            <w:vMerge/>
            <w:tcBorders>
              <w:left w:val="nil"/>
            </w:tcBorders>
            <w:shd w:val="clear" w:color="auto" w:fill="auto"/>
          </w:tcPr>
          <w:p w14:paraId="53DCE010" w14:textId="77777777" w:rsidR="006A001D" w:rsidRPr="00542804" w:rsidRDefault="006A001D" w:rsidP="006A71E0">
            <w:pPr>
              <w:spacing w:before="0" w:after="0"/>
              <w:ind w:left="57" w:right="57"/>
              <w:rPr>
                <w:rFonts w:cs="Times New Roman"/>
                <w:sz w:val="16"/>
                <w:szCs w:val="16"/>
                <w:lang w:val="sr-Latn-RS"/>
              </w:rPr>
            </w:pPr>
          </w:p>
        </w:tc>
        <w:tc>
          <w:tcPr>
            <w:tcW w:w="589" w:type="pct"/>
            <w:shd w:val="clear" w:color="auto" w:fill="auto"/>
          </w:tcPr>
          <w:p w14:paraId="5B8C9C0E" w14:textId="77777777" w:rsidR="006A001D" w:rsidRPr="00542804" w:rsidRDefault="006A001D" w:rsidP="006A71E0">
            <w:pPr>
              <w:spacing w:before="0" w:after="0"/>
              <w:ind w:left="57" w:right="57"/>
              <w:rPr>
                <w:sz w:val="16"/>
                <w:szCs w:val="16"/>
                <w:lang w:val="sr-Latn-RS"/>
              </w:rPr>
            </w:pPr>
            <w:r w:rsidRPr="00542804">
              <w:rPr>
                <w:sz w:val="16"/>
                <w:szCs w:val="16"/>
                <w:lang w:val="sr-Latn-RS"/>
              </w:rPr>
              <w:t>N_Median_OS</w:t>
            </w:r>
          </w:p>
        </w:tc>
        <w:tc>
          <w:tcPr>
            <w:tcW w:w="389" w:type="pct"/>
            <w:shd w:val="clear" w:color="auto" w:fill="auto"/>
          </w:tcPr>
          <w:p w14:paraId="3C4BA18C" w14:textId="77777777" w:rsidR="006A001D" w:rsidRPr="00542804" w:rsidRDefault="006A001D" w:rsidP="006A71E0">
            <w:pPr>
              <w:spacing w:before="0" w:after="0"/>
              <w:ind w:left="57" w:right="57"/>
              <w:jc w:val="right"/>
              <w:rPr>
                <w:sz w:val="16"/>
                <w:szCs w:val="16"/>
                <w:lang w:val="sr-Latn-RS"/>
              </w:rPr>
            </w:pPr>
            <w:r>
              <w:rPr>
                <w:sz w:val="16"/>
                <w:szCs w:val="16"/>
                <w:lang w:val="sr-Latn-RS"/>
              </w:rPr>
              <w:t>.</w:t>
            </w:r>
            <w:r w:rsidRPr="00542804">
              <w:rPr>
                <w:sz w:val="16"/>
                <w:szCs w:val="16"/>
                <w:lang w:val="sr-Latn-RS"/>
              </w:rPr>
              <w:t>961</w:t>
            </w:r>
          </w:p>
        </w:tc>
        <w:tc>
          <w:tcPr>
            <w:tcW w:w="389" w:type="pct"/>
            <w:shd w:val="clear" w:color="auto" w:fill="auto"/>
          </w:tcPr>
          <w:p w14:paraId="3C81573E"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-6</w:t>
            </w:r>
            <w:r>
              <w:rPr>
                <w:sz w:val="16"/>
                <w:szCs w:val="16"/>
                <w:lang w:val="sr-Latn-RS"/>
              </w:rPr>
              <w:t>.</w:t>
            </w:r>
            <w:r w:rsidRPr="00542804">
              <w:rPr>
                <w:sz w:val="16"/>
                <w:szCs w:val="16"/>
                <w:lang w:val="sr-Latn-RS"/>
              </w:rPr>
              <w:t>446</w:t>
            </w:r>
          </w:p>
        </w:tc>
        <w:tc>
          <w:tcPr>
            <w:tcW w:w="389" w:type="pct"/>
            <w:shd w:val="clear" w:color="auto" w:fill="auto"/>
          </w:tcPr>
          <w:p w14:paraId="48FCC821"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1</w:t>
            </w:r>
            <w:r>
              <w:rPr>
                <w:sz w:val="16"/>
                <w:szCs w:val="16"/>
                <w:lang w:val="sr-Latn-RS"/>
              </w:rPr>
              <w:t>.</w:t>
            </w:r>
            <w:r w:rsidRPr="00542804">
              <w:rPr>
                <w:sz w:val="16"/>
                <w:szCs w:val="16"/>
                <w:lang w:val="sr-Latn-RS"/>
              </w:rPr>
              <w:t>045</w:t>
            </w:r>
          </w:p>
        </w:tc>
        <w:tc>
          <w:tcPr>
            <w:tcW w:w="389" w:type="pct"/>
            <w:shd w:val="clear" w:color="auto" w:fill="auto"/>
          </w:tcPr>
          <w:p w14:paraId="24967554"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w:t>
            </w:r>
            <w:r>
              <w:rPr>
                <w:sz w:val="16"/>
                <w:szCs w:val="16"/>
                <w:lang w:val="sr-Latn-RS"/>
              </w:rPr>
              <w:t>.</w:t>
            </w:r>
            <w:r w:rsidRPr="00542804">
              <w:rPr>
                <w:sz w:val="16"/>
                <w:szCs w:val="16"/>
                <w:lang w:val="sr-Latn-RS"/>
              </w:rPr>
              <w:t>543</w:t>
            </w:r>
          </w:p>
        </w:tc>
        <w:tc>
          <w:tcPr>
            <w:tcW w:w="389" w:type="pct"/>
            <w:shd w:val="clear" w:color="auto" w:fill="auto"/>
          </w:tcPr>
          <w:p w14:paraId="3B1FDB1A"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1</w:t>
            </w:r>
            <w:r>
              <w:rPr>
                <w:sz w:val="16"/>
                <w:szCs w:val="16"/>
                <w:lang w:val="sr-Latn-RS"/>
              </w:rPr>
              <w:t>.</w:t>
            </w:r>
            <w:r w:rsidRPr="00542804">
              <w:rPr>
                <w:sz w:val="16"/>
                <w:szCs w:val="16"/>
                <w:lang w:val="sr-Latn-RS"/>
              </w:rPr>
              <w:t>102</w:t>
            </w:r>
          </w:p>
        </w:tc>
        <w:tc>
          <w:tcPr>
            <w:tcW w:w="390" w:type="pct"/>
            <w:shd w:val="clear" w:color="auto" w:fill="auto"/>
          </w:tcPr>
          <w:p w14:paraId="50254824"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1</w:t>
            </w:r>
            <w:r>
              <w:rPr>
                <w:sz w:val="16"/>
                <w:szCs w:val="16"/>
                <w:lang w:val="sr-Latn-RS"/>
              </w:rPr>
              <w:t>.</w:t>
            </w:r>
            <w:r w:rsidRPr="00542804">
              <w:rPr>
                <w:sz w:val="16"/>
                <w:szCs w:val="16"/>
                <w:lang w:val="sr-Latn-RS"/>
              </w:rPr>
              <w:t>641</w:t>
            </w:r>
          </w:p>
        </w:tc>
        <w:tc>
          <w:tcPr>
            <w:tcW w:w="392" w:type="pct"/>
            <w:shd w:val="clear" w:color="auto" w:fill="auto"/>
          </w:tcPr>
          <w:p w14:paraId="414D62CC"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1</w:t>
            </w:r>
            <w:r>
              <w:rPr>
                <w:sz w:val="16"/>
                <w:szCs w:val="16"/>
                <w:lang w:val="sr-Latn-RS"/>
              </w:rPr>
              <w:t>.</w:t>
            </w:r>
            <w:r w:rsidRPr="00542804">
              <w:rPr>
                <w:sz w:val="16"/>
                <w:szCs w:val="16"/>
                <w:lang w:val="sr-Latn-RS"/>
              </w:rPr>
              <w:t>765</w:t>
            </w:r>
          </w:p>
        </w:tc>
        <w:tc>
          <w:tcPr>
            <w:tcW w:w="564" w:type="pct"/>
            <w:shd w:val="clear" w:color="auto" w:fill="auto"/>
            <w:vAlign w:val="center"/>
          </w:tcPr>
          <w:p w14:paraId="50D3FE28" w14:textId="77777777" w:rsidR="006A001D" w:rsidRPr="00542804" w:rsidRDefault="006A001D" w:rsidP="006A71E0">
            <w:pPr>
              <w:spacing w:before="0" w:after="0"/>
              <w:ind w:left="57" w:right="57"/>
              <w:jc w:val="right"/>
              <w:rPr>
                <w:rFonts w:cs="Times New Roman"/>
                <w:sz w:val="16"/>
                <w:szCs w:val="16"/>
                <w:lang w:val="sr-Latn-RS"/>
              </w:rPr>
            </w:pPr>
          </w:p>
        </w:tc>
        <w:tc>
          <w:tcPr>
            <w:tcW w:w="562" w:type="pct"/>
            <w:tcBorders>
              <w:right w:val="nil"/>
            </w:tcBorders>
            <w:shd w:val="clear" w:color="auto" w:fill="auto"/>
            <w:vAlign w:val="center"/>
          </w:tcPr>
          <w:p w14:paraId="6FCA1A65" w14:textId="77777777" w:rsidR="006A001D" w:rsidRPr="00542804" w:rsidRDefault="006A001D" w:rsidP="006A71E0">
            <w:pPr>
              <w:spacing w:before="0" w:after="0"/>
              <w:ind w:left="57" w:right="57"/>
              <w:jc w:val="right"/>
              <w:rPr>
                <w:rFonts w:cs="Times New Roman"/>
                <w:sz w:val="16"/>
                <w:szCs w:val="16"/>
                <w:lang w:val="sr-Latn-RS"/>
              </w:rPr>
            </w:pPr>
          </w:p>
        </w:tc>
      </w:tr>
      <w:tr w:rsidR="006A001D" w:rsidRPr="00542804" w14:paraId="03FB3662" w14:textId="77777777" w:rsidTr="00D93A70">
        <w:trPr>
          <w:cantSplit/>
        </w:trPr>
        <w:tc>
          <w:tcPr>
            <w:tcW w:w="558" w:type="pct"/>
            <w:vMerge/>
            <w:tcBorders>
              <w:left w:val="nil"/>
            </w:tcBorders>
            <w:shd w:val="clear" w:color="auto" w:fill="auto"/>
          </w:tcPr>
          <w:p w14:paraId="033F9C56" w14:textId="77777777" w:rsidR="006A001D" w:rsidRPr="00542804" w:rsidRDefault="006A001D" w:rsidP="006A71E0">
            <w:pPr>
              <w:spacing w:before="0" w:after="0"/>
              <w:ind w:left="57" w:right="57"/>
              <w:rPr>
                <w:rFonts w:cs="Times New Roman"/>
                <w:sz w:val="16"/>
                <w:szCs w:val="16"/>
                <w:lang w:val="sr-Latn-RS"/>
              </w:rPr>
            </w:pPr>
          </w:p>
        </w:tc>
        <w:tc>
          <w:tcPr>
            <w:tcW w:w="589" w:type="pct"/>
            <w:shd w:val="clear" w:color="auto" w:fill="auto"/>
          </w:tcPr>
          <w:p w14:paraId="3A5D5095" w14:textId="77777777" w:rsidR="006A001D" w:rsidRPr="00542804" w:rsidRDefault="006A001D" w:rsidP="006A71E0">
            <w:pPr>
              <w:spacing w:before="0" w:after="0"/>
              <w:ind w:left="57" w:right="57"/>
              <w:rPr>
                <w:sz w:val="16"/>
                <w:szCs w:val="16"/>
                <w:lang w:val="sr-Latn-RS"/>
              </w:rPr>
            </w:pPr>
            <w:r w:rsidRPr="00542804">
              <w:rPr>
                <w:sz w:val="16"/>
                <w:szCs w:val="16"/>
                <w:lang w:val="sr-Latn-RS"/>
              </w:rPr>
              <w:t>N_Min_OS</w:t>
            </w:r>
          </w:p>
        </w:tc>
        <w:tc>
          <w:tcPr>
            <w:tcW w:w="389" w:type="pct"/>
            <w:shd w:val="clear" w:color="auto" w:fill="auto"/>
          </w:tcPr>
          <w:p w14:paraId="28E92698"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3</w:t>
            </w:r>
            <w:r>
              <w:rPr>
                <w:sz w:val="16"/>
                <w:szCs w:val="16"/>
                <w:lang w:val="sr-Latn-RS"/>
              </w:rPr>
              <w:t>.</w:t>
            </w:r>
            <w:r w:rsidRPr="00542804">
              <w:rPr>
                <w:sz w:val="16"/>
                <w:szCs w:val="16"/>
                <w:lang w:val="sr-Latn-RS"/>
              </w:rPr>
              <w:t>615</w:t>
            </w:r>
          </w:p>
        </w:tc>
        <w:tc>
          <w:tcPr>
            <w:tcW w:w="389" w:type="pct"/>
            <w:shd w:val="clear" w:color="auto" w:fill="auto"/>
          </w:tcPr>
          <w:p w14:paraId="137A641F"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-2</w:t>
            </w:r>
            <w:r>
              <w:rPr>
                <w:sz w:val="16"/>
                <w:szCs w:val="16"/>
                <w:lang w:val="sr-Latn-RS"/>
              </w:rPr>
              <w:t>.</w:t>
            </w:r>
            <w:r w:rsidRPr="00542804">
              <w:rPr>
                <w:sz w:val="16"/>
                <w:szCs w:val="16"/>
                <w:lang w:val="sr-Latn-RS"/>
              </w:rPr>
              <w:t>550</w:t>
            </w:r>
          </w:p>
        </w:tc>
        <w:tc>
          <w:tcPr>
            <w:tcW w:w="389" w:type="pct"/>
            <w:shd w:val="clear" w:color="auto" w:fill="auto"/>
          </w:tcPr>
          <w:p w14:paraId="595FB700"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4</w:t>
            </w:r>
            <w:r>
              <w:rPr>
                <w:sz w:val="16"/>
                <w:szCs w:val="16"/>
                <w:lang w:val="sr-Latn-RS"/>
              </w:rPr>
              <w:t>.</w:t>
            </w:r>
            <w:r w:rsidRPr="00542804">
              <w:rPr>
                <w:sz w:val="16"/>
                <w:szCs w:val="16"/>
                <w:lang w:val="sr-Latn-RS"/>
              </w:rPr>
              <w:t>999</w:t>
            </w:r>
          </w:p>
        </w:tc>
        <w:tc>
          <w:tcPr>
            <w:tcW w:w="389" w:type="pct"/>
            <w:shd w:val="clear" w:color="auto" w:fill="auto"/>
          </w:tcPr>
          <w:p w14:paraId="47FC6E9D" w14:textId="77777777" w:rsidR="006A001D" w:rsidRPr="00542804" w:rsidRDefault="006A001D" w:rsidP="006A71E0">
            <w:pPr>
              <w:spacing w:before="0" w:after="0"/>
              <w:ind w:left="57" w:right="57"/>
              <w:jc w:val="right"/>
              <w:rPr>
                <w:sz w:val="16"/>
                <w:szCs w:val="16"/>
                <w:lang w:val="sr-Latn-RS"/>
              </w:rPr>
            </w:pPr>
            <w:r>
              <w:rPr>
                <w:sz w:val="16"/>
                <w:szCs w:val="16"/>
                <w:lang w:val="sr-Latn-RS"/>
              </w:rPr>
              <w:t>.</w:t>
            </w:r>
            <w:r w:rsidRPr="00542804">
              <w:rPr>
                <w:sz w:val="16"/>
                <w:szCs w:val="16"/>
                <w:lang w:val="sr-Latn-RS"/>
              </w:rPr>
              <w:t>791</w:t>
            </w:r>
          </w:p>
        </w:tc>
        <w:tc>
          <w:tcPr>
            <w:tcW w:w="389" w:type="pct"/>
            <w:shd w:val="clear" w:color="auto" w:fill="auto"/>
          </w:tcPr>
          <w:p w14:paraId="3A2C614A"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w:t>
            </w:r>
            <w:r>
              <w:rPr>
                <w:sz w:val="16"/>
                <w:szCs w:val="16"/>
                <w:lang w:val="sr-Latn-RS"/>
              </w:rPr>
              <w:t>.</w:t>
            </w:r>
            <w:r w:rsidRPr="00542804">
              <w:rPr>
                <w:sz w:val="16"/>
                <w:szCs w:val="16"/>
                <w:lang w:val="sr-Latn-RS"/>
              </w:rPr>
              <w:t>282</w:t>
            </w:r>
          </w:p>
        </w:tc>
        <w:tc>
          <w:tcPr>
            <w:tcW w:w="390" w:type="pct"/>
            <w:shd w:val="clear" w:color="auto" w:fill="auto"/>
          </w:tcPr>
          <w:p w14:paraId="539D2F12"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w:t>
            </w:r>
            <w:r>
              <w:rPr>
                <w:sz w:val="16"/>
                <w:szCs w:val="16"/>
                <w:lang w:val="sr-Latn-RS"/>
              </w:rPr>
              <w:t>.</w:t>
            </w:r>
            <w:r w:rsidRPr="00542804">
              <w:rPr>
                <w:sz w:val="16"/>
                <w:szCs w:val="16"/>
                <w:lang w:val="sr-Latn-RS"/>
              </w:rPr>
              <w:t>416</w:t>
            </w:r>
          </w:p>
        </w:tc>
        <w:tc>
          <w:tcPr>
            <w:tcW w:w="392" w:type="pct"/>
            <w:shd w:val="clear" w:color="auto" w:fill="auto"/>
          </w:tcPr>
          <w:p w14:paraId="5023A18D"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1</w:t>
            </w:r>
            <w:r>
              <w:rPr>
                <w:sz w:val="16"/>
                <w:szCs w:val="16"/>
                <w:lang w:val="sr-Latn-RS"/>
              </w:rPr>
              <w:t>.</w:t>
            </w:r>
            <w:r w:rsidRPr="00542804">
              <w:rPr>
                <w:sz w:val="16"/>
                <w:szCs w:val="16"/>
                <w:lang w:val="sr-Latn-RS"/>
              </w:rPr>
              <w:t>350</w:t>
            </w:r>
          </w:p>
        </w:tc>
        <w:tc>
          <w:tcPr>
            <w:tcW w:w="564" w:type="pct"/>
            <w:shd w:val="clear" w:color="auto" w:fill="auto"/>
            <w:vAlign w:val="center"/>
          </w:tcPr>
          <w:p w14:paraId="01F97A2A" w14:textId="77777777" w:rsidR="006A001D" w:rsidRPr="00542804" w:rsidRDefault="006A001D" w:rsidP="006A71E0">
            <w:pPr>
              <w:spacing w:before="0" w:after="0"/>
              <w:ind w:left="57" w:right="57"/>
              <w:jc w:val="right"/>
              <w:rPr>
                <w:rFonts w:cs="Times New Roman"/>
                <w:sz w:val="16"/>
                <w:szCs w:val="16"/>
                <w:lang w:val="sr-Latn-RS"/>
              </w:rPr>
            </w:pPr>
          </w:p>
        </w:tc>
        <w:tc>
          <w:tcPr>
            <w:tcW w:w="562" w:type="pct"/>
            <w:tcBorders>
              <w:right w:val="nil"/>
            </w:tcBorders>
            <w:shd w:val="clear" w:color="auto" w:fill="auto"/>
            <w:vAlign w:val="center"/>
          </w:tcPr>
          <w:p w14:paraId="5AD04BDD" w14:textId="77777777" w:rsidR="006A001D" w:rsidRPr="00542804" w:rsidRDefault="006A001D" w:rsidP="006A71E0">
            <w:pPr>
              <w:spacing w:before="0" w:after="0"/>
              <w:ind w:left="57" w:right="57"/>
              <w:jc w:val="right"/>
              <w:rPr>
                <w:rFonts w:cs="Times New Roman"/>
                <w:sz w:val="16"/>
                <w:szCs w:val="16"/>
                <w:lang w:val="sr-Latn-RS"/>
              </w:rPr>
            </w:pPr>
          </w:p>
        </w:tc>
      </w:tr>
      <w:tr w:rsidR="006A001D" w:rsidRPr="00542804" w14:paraId="1E709F35" w14:textId="77777777" w:rsidTr="00D93A70">
        <w:trPr>
          <w:cantSplit/>
        </w:trPr>
        <w:tc>
          <w:tcPr>
            <w:tcW w:w="558" w:type="pct"/>
            <w:vMerge/>
            <w:tcBorders>
              <w:left w:val="nil"/>
            </w:tcBorders>
            <w:shd w:val="clear" w:color="auto" w:fill="auto"/>
          </w:tcPr>
          <w:p w14:paraId="5761F098" w14:textId="77777777" w:rsidR="006A001D" w:rsidRPr="00542804" w:rsidRDefault="006A001D" w:rsidP="006A71E0">
            <w:pPr>
              <w:spacing w:before="0" w:after="0"/>
              <w:ind w:left="57" w:right="57"/>
              <w:rPr>
                <w:rFonts w:cs="Times New Roman"/>
                <w:sz w:val="16"/>
                <w:szCs w:val="16"/>
                <w:lang w:val="sr-Latn-RS"/>
              </w:rPr>
            </w:pPr>
          </w:p>
        </w:tc>
        <w:tc>
          <w:tcPr>
            <w:tcW w:w="589" w:type="pct"/>
            <w:shd w:val="clear" w:color="auto" w:fill="auto"/>
          </w:tcPr>
          <w:p w14:paraId="6357CA63" w14:textId="77777777" w:rsidR="006A001D" w:rsidRPr="00542804" w:rsidRDefault="006A001D" w:rsidP="006A71E0">
            <w:pPr>
              <w:spacing w:before="0" w:after="0"/>
              <w:ind w:left="57" w:right="57"/>
              <w:rPr>
                <w:sz w:val="16"/>
                <w:szCs w:val="16"/>
                <w:lang w:val="sr-Latn-RS"/>
              </w:rPr>
            </w:pPr>
            <w:r w:rsidRPr="00542804">
              <w:rPr>
                <w:sz w:val="16"/>
                <w:szCs w:val="16"/>
                <w:lang w:val="sr-Latn-RS"/>
              </w:rPr>
              <w:t>N_Max_OS</w:t>
            </w:r>
          </w:p>
        </w:tc>
        <w:tc>
          <w:tcPr>
            <w:tcW w:w="389" w:type="pct"/>
            <w:shd w:val="clear" w:color="auto" w:fill="auto"/>
          </w:tcPr>
          <w:p w14:paraId="39FC29A2"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3</w:t>
            </w:r>
            <w:r>
              <w:rPr>
                <w:sz w:val="16"/>
                <w:szCs w:val="16"/>
                <w:lang w:val="sr-Latn-RS"/>
              </w:rPr>
              <w:t>.</w:t>
            </w:r>
            <w:r w:rsidRPr="00542804">
              <w:rPr>
                <w:sz w:val="16"/>
                <w:szCs w:val="16"/>
                <w:lang w:val="sr-Latn-RS"/>
              </w:rPr>
              <w:t>423</w:t>
            </w:r>
          </w:p>
        </w:tc>
        <w:tc>
          <w:tcPr>
            <w:tcW w:w="389" w:type="pct"/>
            <w:shd w:val="clear" w:color="auto" w:fill="auto"/>
          </w:tcPr>
          <w:p w14:paraId="19D5F463"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w:t>
            </w:r>
            <w:r>
              <w:rPr>
                <w:sz w:val="16"/>
                <w:szCs w:val="16"/>
                <w:lang w:val="sr-Latn-RS"/>
              </w:rPr>
              <w:t>.</w:t>
            </w:r>
            <w:r w:rsidRPr="00542804">
              <w:rPr>
                <w:sz w:val="16"/>
                <w:szCs w:val="16"/>
                <w:lang w:val="sr-Latn-RS"/>
              </w:rPr>
              <w:t>613</w:t>
            </w:r>
          </w:p>
        </w:tc>
        <w:tc>
          <w:tcPr>
            <w:tcW w:w="389" w:type="pct"/>
            <w:shd w:val="clear" w:color="auto" w:fill="auto"/>
          </w:tcPr>
          <w:p w14:paraId="400D26D9"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-2</w:t>
            </w:r>
            <w:r>
              <w:rPr>
                <w:sz w:val="16"/>
                <w:szCs w:val="16"/>
                <w:lang w:val="sr-Latn-RS"/>
              </w:rPr>
              <w:t>.</w:t>
            </w:r>
            <w:r w:rsidRPr="00542804">
              <w:rPr>
                <w:sz w:val="16"/>
                <w:szCs w:val="16"/>
                <w:lang w:val="sr-Latn-RS"/>
              </w:rPr>
              <w:t>822</w:t>
            </w:r>
          </w:p>
        </w:tc>
        <w:tc>
          <w:tcPr>
            <w:tcW w:w="389" w:type="pct"/>
            <w:shd w:val="clear" w:color="auto" w:fill="auto"/>
          </w:tcPr>
          <w:p w14:paraId="5398251A"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-2</w:t>
            </w:r>
            <w:r>
              <w:rPr>
                <w:sz w:val="16"/>
                <w:szCs w:val="16"/>
                <w:lang w:val="sr-Latn-RS"/>
              </w:rPr>
              <w:t>.</w:t>
            </w:r>
            <w:r w:rsidRPr="00542804">
              <w:rPr>
                <w:sz w:val="16"/>
                <w:szCs w:val="16"/>
                <w:lang w:val="sr-Latn-RS"/>
              </w:rPr>
              <w:t>839</w:t>
            </w:r>
          </w:p>
        </w:tc>
        <w:tc>
          <w:tcPr>
            <w:tcW w:w="389" w:type="pct"/>
            <w:shd w:val="clear" w:color="auto" w:fill="auto"/>
          </w:tcPr>
          <w:p w14:paraId="0ED44139"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2</w:t>
            </w:r>
            <w:r>
              <w:rPr>
                <w:sz w:val="16"/>
                <w:szCs w:val="16"/>
                <w:lang w:val="sr-Latn-RS"/>
              </w:rPr>
              <w:t>.</w:t>
            </w:r>
            <w:r w:rsidRPr="00542804">
              <w:rPr>
                <w:sz w:val="16"/>
                <w:szCs w:val="16"/>
                <w:lang w:val="sr-Latn-RS"/>
              </w:rPr>
              <w:t>735</w:t>
            </w:r>
          </w:p>
        </w:tc>
        <w:tc>
          <w:tcPr>
            <w:tcW w:w="390" w:type="pct"/>
            <w:shd w:val="clear" w:color="auto" w:fill="auto"/>
          </w:tcPr>
          <w:p w14:paraId="7FD6D4F6"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5</w:t>
            </w:r>
            <w:r>
              <w:rPr>
                <w:sz w:val="16"/>
                <w:szCs w:val="16"/>
                <w:lang w:val="sr-Latn-RS"/>
              </w:rPr>
              <w:t>.</w:t>
            </w:r>
            <w:r w:rsidRPr="00542804">
              <w:rPr>
                <w:sz w:val="16"/>
                <w:szCs w:val="16"/>
                <w:lang w:val="sr-Latn-RS"/>
              </w:rPr>
              <w:t>480</w:t>
            </w:r>
          </w:p>
        </w:tc>
        <w:tc>
          <w:tcPr>
            <w:tcW w:w="392" w:type="pct"/>
            <w:shd w:val="clear" w:color="auto" w:fill="auto"/>
          </w:tcPr>
          <w:p w14:paraId="6FB4D67A"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3</w:t>
            </w:r>
            <w:r>
              <w:rPr>
                <w:sz w:val="16"/>
                <w:szCs w:val="16"/>
                <w:lang w:val="sr-Latn-RS"/>
              </w:rPr>
              <w:t>.</w:t>
            </w:r>
            <w:r w:rsidRPr="00542804">
              <w:rPr>
                <w:sz w:val="16"/>
                <w:szCs w:val="16"/>
                <w:lang w:val="sr-Latn-RS"/>
              </w:rPr>
              <w:t>010</w:t>
            </w:r>
          </w:p>
        </w:tc>
        <w:tc>
          <w:tcPr>
            <w:tcW w:w="564" w:type="pct"/>
            <w:shd w:val="clear" w:color="auto" w:fill="auto"/>
            <w:vAlign w:val="center"/>
          </w:tcPr>
          <w:p w14:paraId="079502EE" w14:textId="77777777" w:rsidR="006A001D" w:rsidRPr="00542804" w:rsidRDefault="006A001D" w:rsidP="006A71E0">
            <w:pPr>
              <w:spacing w:before="0" w:after="0"/>
              <w:ind w:left="57" w:right="57"/>
              <w:jc w:val="right"/>
              <w:rPr>
                <w:rFonts w:cs="Times New Roman"/>
                <w:sz w:val="16"/>
                <w:szCs w:val="16"/>
                <w:lang w:val="sr-Latn-RS"/>
              </w:rPr>
            </w:pPr>
          </w:p>
        </w:tc>
        <w:tc>
          <w:tcPr>
            <w:tcW w:w="562" w:type="pct"/>
            <w:tcBorders>
              <w:right w:val="nil"/>
            </w:tcBorders>
            <w:shd w:val="clear" w:color="auto" w:fill="auto"/>
            <w:vAlign w:val="center"/>
          </w:tcPr>
          <w:p w14:paraId="7A9E1AA1" w14:textId="77777777" w:rsidR="006A001D" w:rsidRPr="00542804" w:rsidRDefault="006A001D" w:rsidP="006A71E0">
            <w:pPr>
              <w:spacing w:before="0" w:after="0"/>
              <w:ind w:left="57" w:right="57"/>
              <w:jc w:val="right"/>
              <w:rPr>
                <w:rFonts w:cs="Times New Roman"/>
                <w:sz w:val="16"/>
                <w:szCs w:val="16"/>
                <w:lang w:val="sr-Latn-RS"/>
              </w:rPr>
            </w:pPr>
          </w:p>
        </w:tc>
      </w:tr>
      <w:tr w:rsidR="006A001D" w:rsidRPr="00542804" w14:paraId="2B69C093" w14:textId="77777777" w:rsidTr="00982E69">
        <w:trPr>
          <w:cantSplit/>
        </w:trPr>
        <w:tc>
          <w:tcPr>
            <w:tcW w:w="558" w:type="pct"/>
            <w:vMerge/>
            <w:tcBorders>
              <w:left w:val="nil"/>
            </w:tcBorders>
            <w:shd w:val="clear" w:color="auto" w:fill="auto"/>
          </w:tcPr>
          <w:p w14:paraId="61986C86" w14:textId="77777777" w:rsidR="006A001D" w:rsidRPr="00542804" w:rsidRDefault="006A001D" w:rsidP="006A71E0">
            <w:pPr>
              <w:spacing w:before="0" w:after="0"/>
              <w:ind w:left="57" w:right="57"/>
              <w:rPr>
                <w:rFonts w:cs="Times New Roman"/>
                <w:sz w:val="16"/>
                <w:szCs w:val="16"/>
                <w:lang w:val="sr-Latn-RS"/>
              </w:rPr>
            </w:pPr>
          </w:p>
        </w:tc>
        <w:tc>
          <w:tcPr>
            <w:tcW w:w="589" w:type="pct"/>
            <w:shd w:val="clear" w:color="auto" w:fill="auto"/>
          </w:tcPr>
          <w:p w14:paraId="2F883A54" w14:textId="77777777" w:rsidR="006A001D" w:rsidRPr="00542804" w:rsidRDefault="006A001D" w:rsidP="006A71E0">
            <w:pPr>
              <w:spacing w:before="0" w:after="0"/>
              <w:ind w:left="57" w:right="57"/>
              <w:rPr>
                <w:sz w:val="16"/>
                <w:szCs w:val="16"/>
                <w:lang w:val="sr-Latn-RS"/>
              </w:rPr>
            </w:pPr>
            <w:r w:rsidRPr="00542804">
              <w:rPr>
                <w:sz w:val="16"/>
                <w:szCs w:val="16"/>
                <w:lang w:val="sr-Latn-RS"/>
              </w:rPr>
              <w:t>N_Kurt_OS</w:t>
            </w:r>
          </w:p>
        </w:tc>
        <w:tc>
          <w:tcPr>
            <w:tcW w:w="389" w:type="pct"/>
            <w:shd w:val="clear" w:color="auto" w:fill="auto"/>
          </w:tcPr>
          <w:p w14:paraId="183286B4"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w:t>
            </w:r>
            <w:r>
              <w:rPr>
                <w:sz w:val="16"/>
                <w:szCs w:val="16"/>
                <w:lang w:val="sr-Latn-RS"/>
              </w:rPr>
              <w:t>.</w:t>
            </w:r>
            <w:r w:rsidRPr="00542804">
              <w:rPr>
                <w:sz w:val="16"/>
                <w:szCs w:val="16"/>
                <w:lang w:val="sr-Latn-RS"/>
              </w:rPr>
              <w:t>418</w:t>
            </w:r>
          </w:p>
        </w:tc>
        <w:tc>
          <w:tcPr>
            <w:tcW w:w="389" w:type="pct"/>
            <w:shd w:val="clear" w:color="auto" w:fill="auto"/>
          </w:tcPr>
          <w:p w14:paraId="6566673A"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w:t>
            </w:r>
            <w:r>
              <w:rPr>
                <w:sz w:val="16"/>
                <w:szCs w:val="16"/>
                <w:lang w:val="sr-Latn-RS"/>
              </w:rPr>
              <w:t>.</w:t>
            </w:r>
            <w:r w:rsidRPr="00542804">
              <w:rPr>
                <w:sz w:val="16"/>
                <w:szCs w:val="16"/>
                <w:lang w:val="sr-Latn-RS"/>
              </w:rPr>
              <w:t>801</w:t>
            </w:r>
          </w:p>
        </w:tc>
        <w:tc>
          <w:tcPr>
            <w:tcW w:w="389" w:type="pct"/>
            <w:shd w:val="clear" w:color="auto" w:fill="auto"/>
          </w:tcPr>
          <w:p w14:paraId="249312FC"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3</w:t>
            </w:r>
            <w:r>
              <w:rPr>
                <w:sz w:val="16"/>
                <w:szCs w:val="16"/>
                <w:lang w:val="sr-Latn-RS"/>
              </w:rPr>
              <w:t>.</w:t>
            </w:r>
            <w:r w:rsidRPr="00542804">
              <w:rPr>
                <w:sz w:val="16"/>
                <w:szCs w:val="16"/>
                <w:lang w:val="sr-Latn-RS"/>
              </w:rPr>
              <w:t>802</w:t>
            </w:r>
          </w:p>
        </w:tc>
        <w:tc>
          <w:tcPr>
            <w:tcW w:w="389" w:type="pct"/>
            <w:shd w:val="clear" w:color="auto" w:fill="auto"/>
          </w:tcPr>
          <w:p w14:paraId="394C0B23"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-1</w:t>
            </w:r>
            <w:r>
              <w:rPr>
                <w:sz w:val="16"/>
                <w:szCs w:val="16"/>
                <w:lang w:val="sr-Latn-RS"/>
              </w:rPr>
              <w:t>.</w:t>
            </w:r>
            <w:r w:rsidRPr="00542804">
              <w:rPr>
                <w:sz w:val="16"/>
                <w:szCs w:val="16"/>
                <w:lang w:val="sr-Latn-RS"/>
              </w:rPr>
              <w:t>035</w:t>
            </w:r>
          </w:p>
        </w:tc>
        <w:tc>
          <w:tcPr>
            <w:tcW w:w="389" w:type="pct"/>
            <w:shd w:val="clear" w:color="auto" w:fill="auto"/>
          </w:tcPr>
          <w:p w14:paraId="35542365"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w:t>
            </w:r>
            <w:r>
              <w:rPr>
                <w:sz w:val="16"/>
                <w:szCs w:val="16"/>
                <w:lang w:val="sr-Latn-RS"/>
              </w:rPr>
              <w:t>.</w:t>
            </w:r>
            <w:r w:rsidRPr="00542804">
              <w:rPr>
                <w:sz w:val="16"/>
                <w:szCs w:val="16"/>
                <w:lang w:val="sr-Latn-RS"/>
              </w:rPr>
              <w:t>406</w:t>
            </w:r>
          </w:p>
        </w:tc>
        <w:tc>
          <w:tcPr>
            <w:tcW w:w="390" w:type="pct"/>
            <w:shd w:val="clear" w:color="auto" w:fill="auto"/>
          </w:tcPr>
          <w:p w14:paraId="77DE9FD2"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w:t>
            </w:r>
            <w:r>
              <w:rPr>
                <w:sz w:val="16"/>
                <w:szCs w:val="16"/>
                <w:lang w:val="sr-Latn-RS"/>
              </w:rPr>
              <w:t>.</w:t>
            </w:r>
            <w:r w:rsidRPr="00542804">
              <w:rPr>
                <w:sz w:val="16"/>
                <w:szCs w:val="16"/>
                <w:lang w:val="sr-Latn-RS"/>
              </w:rPr>
              <w:t>647</w:t>
            </w:r>
          </w:p>
        </w:tc>
        <w:tc>
          <w:tcPr>
            <w:tcW w:w="392" w:type="pct"/>
            <w:shd w:val="clear" w:color="auto" w:fill="auto"/>
          </w:tcPr>
          <w:p w14:paraId="32A63C18"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1</w:t>
            </w:r>
            <w:r>
              <w:rPr>
                <w:sz w:val="16"/>
                <w:szCs w:val="16"/>
                <w:lang w:val="sr-Latn-RS"/>
              </w:rPr>
              <w:t>.</w:t>
            </w:r>
            <w:r w:rsidRPr="00542804">
              <w:rPr>
                <w:sz w:val="16"/>
                <w:szCs w:val="16"/>
                <w:lang w:val="sr-Latn-RS"/>
              </w:rPr>
              <w:t>933</w:t>
            </w:r>
          </w:p>
        </w:tc>
        <w:tc>
          <w:tcPr>
            <w:tcW w:w="564" w:type="pct"/>
            <w:shd w:val="clear" w:color="auto" w:fill="auto"/>
            <w:vAlign w:val="center"/>
          </w:tcPr>
          <w:p w14:paraId="2E5C217D" w14:textId="77777777" w:rsidR="006A001D" w:rsidRPr="00542804" w:rsidRDefault="006A001D" w:rsidP="006A71E0">
            <w:pPr>
              <w:spacing w:before="0" w:after="0"/>
              <w:ind w:left="57" w:right="57"/>
              <w:jc w:val="right"/>
              <w:rPr>
                <w:rFonts w:cs="Times New Roman"/>
                <w:sz w:val="16"/>
                <w:szCs w:val="16"/>
                <w:lang w:val="sr-Latn-RS"/>
              </w:rPr>
            </w:pPr>
          </w:p>
        </w:tc>
        <w:tc>
          <w:tcPr>
            <w:tcW w:w="562" w:type="pct"/>
            <w:tcBorders>
              <w:right w:val="nil"/>
            </w:tcBorders>
            <w:shd w:val="clear" w:color="auto" w:fill="auto"/>
            <w:vAlign w:val="center"/>
          </w:tcPr>
          <w:p w14:paraId="1F7D77CD" w14:textId="77777777" w:rsidR="006A001D" w:rsidRPr="00542804" w:rsidRDefault="006A001D" w:rsidP="006A71E0">
            <w:pPr>
              <w:spacing w:before="0" w:after="0"/>
              <w:ind w:left="57" w:right="57"/>
              <w:jc w:val="right"/>
              <w:rPr>
                <w:rFonts w:cs="Times New Roman"/>
                <w:sz w:val="16"/>
                <w:szCs w:val="16"/>
                <w:lang w:val="sr-Latn-RS"/>
              </w:rPr>
            </w:pPr>
          </w:p>
        </w:tc>
      </w:tr>
      <w:tr w:rsidR="006A001D" w:rsidRPr="00542804" w14:paraId="2DC538E7" w14:textId="77777777" w:rsidTr="00D93A70">
        <w:trPr>
          <w:cantSplit/>
        </w:trPr>
        <w:tc>
          <w:tcPr>
            <w:tcW w:w="558" w:type="pct"/>
            <w:vMerge w:val="restart"/>
            <w:tcBorders>
              <w:left w:val="nil"/>
            </w:tcBorders>
            <w:shd w:val="clear" w:color="auto" w:fill="auto"/>
            <w:vAlign w:val="center"/>
          </w:tcPr>
          <w:p w14:paraId="130D9DB9" w14:textId="77777777" w:rsidR="006A001D" w:rsidRPr="00542804" w:rsidRDefault="006A001D" w:rsidP="006A71E0">
            <w:pPr>
              <w:spacing w:before="0" w:after="0"/>
              <w:ind w:left="57" w:right="57"/>
              <w:jc w:val="left"/>
              <w:rPr>
                <w:sz w:val="16"/>
                <w:szCs w:val="16"/>
                <w:lang w:val="sr-Latn-RS"/>
              </w:rPr>
            </w:pPr>
            <w:r w:rsidRPr="00542804">
              <w:rPr>
                <w:sz w:val="16"/>
                <w:szCs w:val="16"/>
                <w:lang w:val="sr-Latn-RS"/>
              </w:rPr>
              <w:t>Hidden Layer</w:t>
            </w:r>
          </w:p>
        </w:tc>
        <w:tc>
          <w:tcPr>
            <w:tcW w:w="589" w:type="pct"/>
            <w:shd w:val="clear" w:color="auto" w:fill="auto"/>
          </w:tcPr>
          <w:p w14:paraId="0C687F47" w14:textId="77777777" w:rsidR="006A001D" w:rsidRPr="00542804" w:rsidRDefault="006A001D" w:rsidP="006A71E0">
            <w:pPr>
              <w:spacing w:before="0" w:after="0"/>
              <w:ind w:left="57" w:right="57"/>
              <w:rPr>
                <w:sz w:val="16"/>
                <w:szCs w:val="16"/>
                <w:lang w:val="sr-Latn-RS"/>
              </w:rPr>
            </w:pPr>
            <w:r w:rsidRPr="00542804">
              <w:rPr>
                <w:sz w:val="16"/>
                <w:szCs w:val="16"/>
                <w:lang w:val="sr-Latn-RS"/>
              </w:rPr>
              <w:t>(Bias)</w:t>
            </w:r>
          </w:p>
        </w:tc>
        <w:tc>
          <w:tcPr>
            <w:tcW w:w="389" w:type="pct"/>
            <w:shd w:val="clear" w:color="auto" w:fill="auto"/>
            <w:vAlign w:val="center"/>
          </w:tcPr>
          <w:p w14:paraId="1FE77BB2" w14:textId="77777777" w:rsidR="006A001D" w:rsidRPr="00542804" w:rsidRDefault="006A001D" w:rsidP="006A71E0">
            <w:pPr>
              <w:spacing w:before="0" w:after="0"/>
              <w:ind w:left="57" w:right="57"/>
              <w:jc w:val="right"/>
              <w:rPr>
                <w:rFonts w:cs="Times New Roman"/>
                <w:sz w:val="16"/>
                <w:szCs w:val="16"/>
                <w:lang w:val="sr-Latn-RS"/>
              </w:rPr>
            </w:pPr>
          </w:p>
        </w:tc>
        <w:tc>
          <w:tcPr>
            <w:tcW w:w="389" w:type="pct"/>
            <w:shd w:val="clear" w:color="auto" w:fill="auto"/>
            <w:vAlign w:val="center"/>
          </w:tcPr>
          <w:p w14:paraId="0E811849" w14:textId="77777777" w:rsidR="006A001D" w:rsidRPr="00542804" w:rsidRDefault="006A001D" w:rsidP="006A71E0">
            <w:pPr>
              <w:spacing w:before="0" w:after="0"/>
              <w:ind w:left="57" w:right="57"/>
              <w:jc w:val="right"/>
              <w:rPr>
                <w:rFonts w:cs="Times New Roman"/>
                <w:sz w:val="16"/>
                <w:szCs w:val="16"/>
                <w:lang w:val="sr-Latn-RS"/>
              </w:rPr>
            </w:pPr>
          </w:p>
        </w:tc>
        <w:tc>
          <w:tcPr>
            <w:tcW w:w="389" w:type="pct"/>
            <w:shd w:val="clear" w:color="auto" w:fill="auto"/>
            <w:vAlign w:val="center"/>
          </w:tcPr>
          <w:p w14:paraId="098D59FA" w14:textId="77777777" w:rsidR="006A001D" w:rsidRPr="00542804" w:rsidRDefault="006A001D" w:rsidP="006A71E0">
            <w:pPr>
              <w:spacing w:before="0" w:after="0"/>
              <w:ind w:left="57" w:right="57"/>
              <w:jc w:val="right"/>
              <w:rPr>
                <w:rFonts w:cs="Times New Roman"/>
                <w:sz w:val="16"/>
                <w:szCs w:val="16"/>
                <w:lang w:val="sr-Latn-RS"/>
              </w:rPr>
            </w:pPr>
          </w:p>
        </w:tc>
        <w:tc>
          <w:tcPr>
            <w:tcW w:w="389" w:type="pct"/>
            <w:shd w:val="clear" w:color="auto" w:fill="auto"/>
            <w:vAlign w:val="center"/>
          </w:tcPr>
          <w:p w14:paraId="0EC17ACE" w14:textId="77777777" w:rsidR="006A001D" w:rsidRPr="00542804" w:rsidRDefault="006A001D" w:rsidP="006A71E0">
            <w:pPr>
              <w:spacing w:before="0" w:after="0"/>
              <w:ind w:left="57" w:right="57"/>
              <w:jc w:val="right"/>
              <w:rPr>
                <w:rFonts w:cs="Times New Roman"/>
                <w:sz w:val="16"/>
                <w:szCs w:val="16"/>
                <w:lang w:val="sr-Latn-RS"/>
              </w:rPr>
            </w:pPr>
          </w:p>
        </w:tc>
        <w:tc>
          <w:tcPr>
            <w:tcW w:w="389" w:type="pct"/>
            <w:shd w:val="clear" w:color="auto" w:fill="auto"/>
            <w:vAlign w:val="center"/>
          </w:tcPr>
          <w:p w14:paraId="2F90E00B" w14:textId="77777777" w:rsidR="006A001D" w:rsidRPr="00542804" w:rsidRDefault="006A001D" w:rsidP="006A71E0">
            <w:pPr>
              <w:spacing w:before="0" w:after="0"/>
              <w:ind w:left="57" w:right="57"/>
              <w:jc w:val="right"/>
              <w:rPr>
                <w:rFonts w:cs="Times New Roman"/>
                <w:sz w:val="16"/>
                <w:szCs w:val="16"/>
                <w:lang w:val="sr-Latn-RS"/>
              </w:rPr>
            </w:pPr>
          </w:p>
        </w:tc>
        <w:tc>
          <w:tcPr>
            <w:tcW w:w="390" w:type="pct"/>
            <w:shd w:val="clear" w:color="auto" w:fill="auto"/>
            <w:vAlign w:val="center"/>
          </w:tcPr>
          <w:p w14:paraId="63EFCA1B" w14:textId="77777777" w:rsidR="006A001D" w:rsidRPr="00542804" w:rsidRDefault="006A001D" w:rsidP="006A71E0">
            <w:pPr>
              <w:spacing w:before="0" w:after="0"/>
              <w:ind w:left="57" w:right="57"/>
              <w:jc w:val="right"/>
              <w:rPr>
                <w:rFonts w:cs="Times New Roman"/>
                <w:sz w:val="16"/>
                <w:szCs w:val="16"/>
                <w:lang w:val="sr-Latn-RS"/>
              </w:rPr>
            </w:pPr>
          </w:p>
        </w:tc>
        <w:tc>
          <w:tcPr>
            <w:tcW w:w="392" w:type="pct"/>
            <w:shd w:val="clear" w:color="auto" w:fill="auto"/>
            <w:vAlign w:val="center"/>
          </w:tcPr>
          <w:p w14:paraId="01294BEC" w14:textId="77777777" w:rsidR="006A001D" w:rsidRPr="00542804" w:rsidRDefault="006A001D" w:rsidP="006A71E0">
            <w:pPr>
              <w:spacing w:before="0" w:after="0"/>
              <w:ind w:left="57" w:right="57"/>
              <w:jc w:val="right"/>
              <w:rPr>
                <w:rFonts w:cs="Times New Roman"/>
                <w:sz w:val="16"/>
                <w:szCs w:val="16"/>
                <w:lang w:val="sr-Latn-RS"/>
              </w:rPr>
            </w:pPr>
          </w:p>
        </w:tc>
        <w:tc>
          <w:tcPr>
            <w:tcW w:w="564" w:type="pct"/>
            <w:shd w:val="clear" w:color="auto" w:fill="auto"/>
          </w:tcPr>
          <w:p w14:paraId="2852559B"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w:t>
            </w:r>
            <w:r>
              <w:rPr>
                <w:sz w:val="16"/>
                <w:szCs w:val="16"/>
                <w:lang w:val="sr-Latn-RS"/>
              </w:rPr>
              <w:t>.</w:t>
            </w:r>
            <w:r w:rsidRPr="00542804">
              <w:rPr>
                <w:sz w:val="16"/>
                <w:szCs w:val="16"/>
                <w:lang w:val="sr-Latn-RS"/>
              </w:rPr>
              <w:t>624</w:t>
            </w:r>
          </w:p>
        </w:tc>
        <w:tc>
          <w:tcPr>
            <w:tcW w:w="562" w:type="pct"/>
            <w:tcBorders>
              <w:right w:val="nil"/>
            </w:tcBorders>
            <w:shd w:val="clear" w:color="auto" w:fill="auto"/>
          </w:tcPr>
          <w:p w14:paraId="79AAEFFA" w14:textId="77777777" w:rsidR="006A001D" w:rsidRPr="00542804" w:rsidRDefault="006A001D" w:rsidP="006A71E0">
            <w:pPr>
              <w:spacing w:before="0" w:after="0"/>
              <w:ind w:left="57" w:right="57"/>
              <w:jc w:val="right"/>
              <w:rPr>
                <w:sz w:val="16"/>
                <w:szCs w:val="16"/>
                <w:lang w:val="sr-Latn-RS"/>
              </w:rPr>
            </w:pPr>
            <w:r>
              <w:rPr>
                <w:sz w:val="16"/>
                <w:szCs w:val="16"/>
                <w:lang w:val="sr-Latn-RS"/>
              </w:rPr>
              <w:t>.</w:t>
            </w:r>
            <w:r w:rsidRPr="00542804">
              <w:rPr>
                <w:sz w:val="16"/>
                <w:szCs w:val="16"/>
                <w:lang w:val="sr-Latn-RS"/>
              </w:rPr>
              <w:t>434</w:t>
            </w:r>
          </w:p>
        </w:tc>
      </w:tr>
      <w:tr w:rsidR="006A001D" w:rsidRPr="00542804" w14:paraId="5B94F229" w14:textId="77777777" w:rsidTr="00D93A70">
        <w:trPr>
          <w:cantSplit/>
        </w:trPr>
        <w:tc>
          <w:tcPr>
            <w:tcW w:w="558" w:type="pct"/>
            <w:vMerge/>
            <w:tcBorders>
              <w:left w:val="nil"/>
            </w:tcBorders>
            <w:shd w:val="clear" w:color="auto" w:fill="auto"/>
          </w:tcPr>
          <w:p w14:paraId="0224C785" w14:textId="77777777" w:rsidR="006A001D" w:rsidRPr="00542804" w:rsidRDefault="006A001D" w:rsidP="006A71E0">
            <w:pPr>
              <w:spacing w:before="0" w:after="0"/>
              <w:ind w:left="57" w:right="57"/>
              <w:rPr>
                <w:sz w:val="16"/>
                <w:szCs w:val="16"/>
                <w:lang w:val="sr-Latn-RS"/>
              </w:rPr>
            </w:pPr>
          </w:p>
        </w:tc>
        <w:tc>
          <w:tcPr>
            <w:tcW w:w="589" w:type="pct"/>
            <w:shd w:val="clear" w:color="auto" w:fill="auto"/>
          </w:tcPr>
          <w:p w14:paraId="5806E560" w14:textId="77777777" w:rsidR="006A001D" w:rsidRPr="00542804" w:rsidRDefault="006A001D" w:rsidP="006A71E0">
            <w:pPr>
              <w:spacing w:before="0" w:after="0"/>
              <w:ind w:left="57" w:right="57"/>
              <w:rPr>
                <w:sz w:val="16"/>
                <w:szCs w:val="16"/>
                <w:lang w:val="sr-Latn-RS"/>
              </w:rPr>
            </w:pPr>
            <w:r w:rsidRPr="00542804">
              <w:rPr>
                <w:sz w:val="16"/>
                <w:szCs w:val="16"/>
                <w:lang w:val="sr-Latn-RS"/>
              </w:rPr>
              <w:t>H(1:1)</w:t>
            </w:r>
          </w:p>
        </w:tc>
        <w:tc>
          <w:tcPr>
            <w:tcW w:w="389" w:type="pct"/>
            <w:shd w:val="clear" w:color="auto" w:fill="auto"/>
            <w:vAlign w:val="center"/>
          </w:tcPr>
          <w:p w14:paraId="1B9A663A" w14:textId="77777777" w:rsidR="006A001D" w:rsidRPr="00542804" w:rsidRDefault="006A001D" w:rsidP="006A71E0">
            <w:pPr>
              <w:spacing w:before="0" w:after="0"/>
              <w:ind w:left="57" w:right="57"/>
              <w:jc w:val="right"/>
              <w:rPr>
                <w:rFonts w:cs="Times New Roman"/>
                <w:sz w:val="16"/>
                <w:szCs w:val="16"/>
                <w:lang w:val="sr-Latn-RS"/>
              </w:rPr>
            </w:pPr>
          </w:p>
        </w:tc>
        <w:tc>
          <w:tcPr>
            <w:tcW w:w="389" w:type="pct"/>
            <w:shd w:val="clear" w:color="auto" w:fill="auto"/>
            <w:vAlign w:val="center"/>
          </w:tcPr>
          <w:p w14:paraId="0D507B17" w14:textId="77777777" w:rsidR="006A001D" w:rsidRPr="00542804" w:rsidRDefault="006A001D" w:rsidP="006A71E0">
            <w:pPr>
              <w:spacing w:before="0" w:after="0"/>
              <w:ind w:left="57" w:right="57"/>
              <w:jc w:val="right"/>
              <w:rPr>
                <w:rFonts w:cs="Times New Roman"/>
                <w:sz w:val="16"/>
                <w:szCs w:val="16"/>
                <w:lang w:val="sr-Latn-RS"/>
              </w:rPr>
            </w:pPr>
          </w:p>
        </w:tc>
        <w:tc>
          <w:tcPr>
            <w:tcW w:w="389" w:type="pct"/>
            <w:shd w:val="clear" w:color="auto" w:fill="auto"/>
            <w:vAlign w:val="center"/>
          </w:tcPr>
          <w:p w14:paraId="638EE7C9" w14:textId="77777777" w:rsidR="006A001D" w:rsidRPr="00542804" w:rsidRDefault="006A001D" w:rsidP="006A71E0">
            <w:pPr>
              <w:spacing w:before="0" w:after="0"/>
              <w:ind w:left="57" w:right="57"/>
              <w:jc w:val="right"/>
              <w:rPr>
                <w:rFonts w:cs="Times New Roman"/>
                <w:sz w:val="16"/>
                <w:szCs w:val="16"/>
                <w:lang w:val="sr-Latn-RS"/>
              </w:rPr>
            </w:pPr>
          </w:p>
        </w:tc>
        <w:tc>
          <w:tcPr>
            <w:tcW w:w="389" w:type="pct"/>
            <w:shd w:val="clear" w:color="auto" w:fill="auto"/>
            <w:vAlign w:val="center"/>
          </w:tcPr>
          <w:p w14:paraId="7C5F0054" w14:textId="77777777" w:rsidR="006A001D" w:rsidRPr="00542804" w:rsidRDefault="006A001D" w:rsidP="006A71E0">
            <w:pPr>
              <w:spacing w:before="0" w:after="0"/>
              <w:ind w:left="57" w:right="57"/>
              <w:jc w:val="right"/>
              <w:rPr>
                <w:rFonts w:cs="Times New Roman"/>
                <w:sz w:val="16"/>
                <w:szCs w:val="16"/>
                <w:lang w:val="sr-Latn-RS"/>
              </w:rPr>
            </w:pPr>
          </w:p>
        </w:tc>
        <w:tc>
          <w:tcPr>
            <w:tcW w:w="389" w:type="pct"/>
            <w:shd w:val="clear" w:color="auto" w:fill="auto"/>
            <w:vAlign w:val="center"/>
          </w:tcPr>
          <w:p w14:paraId="639C8F73" w14:textId="77777777" w:rsidR="006A001D" w:rsidRPr="00542804" w:rsidRDefault="006A001D" w:rsidP="006A71E0">
            <w:pPr>
              <w:spacing w:before="0" w:after="0"/>
              <w:ind w:left="57" w:right="57"/>
              <w:jc w:val="right"/>
              <w:rPr>
                <w:rFonts w:cs="Times New Roman"/>
                <w:sz w:val="16"/>
                <w:szCs w:val="16"/>
                <w:lang w:val="sr-Latn-RS"/>
              </w:rPr>
            </w:pPr>
          </w:p>
        </w:tc>
        <w:tc>
          <w:tcPr>
            <w:tcW w:w="390" w:type="pct"/>
            <w:shd w:val="clear" w:color="auto" w:fill="auto"/>
            <w:vAlign w:val="center"/>
          </w:tcPr>
          <w:p w14:paraId="08380F37" w14:textId="77777777" w:rsidR="006A001D" w:rsidRPr="00542804" w:rsidRDefault="006A001D" w:rsidP="006A71E0">
            <w:pPr>
              <w:spacing w:before="0" w:after="0"/>
              <w:ind w:left="57" w:right="57"/>
              <w:jc w:val="right"/>
              <w:rPr>
                <w:rFonts w:cs="Times New Roman"/>
                <w:sz w:val="16"/>
                <w:szCs w:val="16"/>
                <w:lang w:val="sr-Latn-RS"/>
              </w:rPr>
            </w:pPr>
          </w:p>
        </w:tc>
        <w:tc>
          <w:tcPr>
            <w:tcW w:w="392" w:type="pct"/>
            <w:shd w:val="clear" w:color="auto" w:fill="auto"/>
            <w:vAlign w:val="center"/>
          </w:tcPr>
          <w:p w14:paraId="69AC5BB0" w14:textId="77777777" w:rsidR="006A001D" w:rsidRPr="00542804" w:rsidRDefault="006A001D" w:rsidP="006A71E0">
            <w:pPr>
              <w:spacing w:before="0" w:after="0"/>
              <w:ind w:left="57" w:right="57"/>
              <w:jc w:val="right"/>
              <w:rPr>
                <w:rFonts w:cs="Times New Roman"/>
                <w:sz w:val="16"/>
                <w:szCs w:val="16"/>
                <w:lang w:val="sr-Latn-RS"/>
              </w:rPr>
            </w:pPr>
          </w:p>
        </w:tc>
        <w:tc>
          <w:tcPr>
            <w:tcW w:w="564" w:type="pct"/>
            <w:shd w:val="clear" w:color="auto" w:fill="auto"/>
          </w:tcPr>
          <w:p w14:paraId="14465D4F"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4</w:t>
            </w:r>
            <w:r>
              <w:rPr>
                <w:sz w:val="16"/>
                <w:szCs w:val="16"/>
                <w:lang w:val="sr-Latn-RS"/>
              </w:rPr>
              <w:t>.</w:t>
            </w:r>
            <w:r w:rsidRPr="00542804">
              <w:rPr>
                <w:sz w:val="16"/>
                <w:szCs w:val="16"/>
                <w:lang w:val="sr-Latn-RS"/>
              </w:rPr>
              <w:t>475</w:t>
            </w:r>
          </w:p>
        </w:tc>
        <w:tc>
          <w:tcPr>
            <w:tcW w:w="562" w:type="pct"/>
            <w:tcBorders>
              <w:right w:val="nil"/>
            </w:tcBorders>
            <w:shd w:val="clear" w:color="auto" w:fill="auto"/>
          </w:tcPr>
          <w:p w14:paraId="6A766887"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-4</w:t>
            </w:r>
            <w:r>
              <w:rPr>
                <w:sz w:val="16"/>
                <w:szCs w:val="16"/>
                <w:lang w:val="sr-Latn-RS"/>
              </w:rPr>
              <w:t>.</w:t>
            </w:r>
            <w:r w:rsidRPr="00542804">
              <w:rPr>
                <w:sz w:val="16"/>
                <w:szCs w:val="16"/>
                <w:lang w:val="sr-Latn-RS"/>
              </w:rPr>
              <w:t>339</w:t>
            </w:r>
          </w:p>
        </w:tc>
      </w:tr>
      <w:tr w:rsidR="006A001D" w:rsidRPr="00542804" w14:paraId="6E9CB9F6" w14:textId="77777777" w:rsidTr="00D93A70">
        <w:trPr>
          <w:cantSplit/>
        </w:trPr>
        <w:tc>
          <w:tcPr>
            <w:tcW w:w="558" w:type="pct"/>
            <w:vMerge/>
            <w:tcBorders>
              <w:left w:val="nil"/>
            </w:tcBorders>
            <w:shd w:val="clear" w:color="auto" w:fill="auto"/>
          </w:tcPr>
          <w:p w14:paraId="7C1AF70B" w14:textId="77777777" w:rsidR="006A001D" w:rsidRPr="00542804" w:rsidRDefault="006A001D" w:rsidP="006A71E0">
            <w:pPr>
              <w:spacing w:before="0" w:after="0"/>
              <w:ind w:left="57" w:right="57"/>
              <w:rPr>
                <w:sz w:val="16"/>
                <w:szCs w:val="16"/>
                <w:lang w:val="sr-Latn-RS"/>
              </w:rPr>
            </w:pPr>
          </w:p>
        </w:tc>
        <w:tc>
          <w:tcPr>
            <w:tcW w:w="589" w:type="pct"/>
            <w:shd w:val="clear" w:color="auto" w:fill="auto"/>
          </w:tcPr>
          <w:p w14:paraId="31844D45" w14:textId="77777777" w:rsidR="006A001D" w:rsidRPr="00542804" w:rsidRDefault="006A001D" w:rsidP="006A71E0">
            <w:pPr>
              <w:spacing w:before="0" w:after="0"/>
              <w:ind w:left="57" w:right="57"/>
              <w:rPr>
                <w:sz w:val="16"/>
                <w:szCs w:val="16"/>
                <w:lang w:val="sr-Latn-RS"/>
              </w:rPr>
            </w:pPr>
            <w:r w:rsidRPr="00542804">
              <w:rPr>
                <w:sz w:val="16"/>
                <w:szCs w:val="16"/>
                <w:lang w:val="sr-Latn-RS"/>
              </w:rPr>
              <w:t>H(1:2)</w:t>
            </w:r>
          </w:p>
        </w:tc>
        <w:tc>
          <w:tcPr>
            <w:tcW w:w="389" w:type="pct"/>
            <w:shd w:val="clear" w:color="auto" w:fill="auto"/>
            <w:vAlign w:val="center"/>
          </w:tcPr>
          <w:p w14:paraId="3B9515AD" w14:textId="77777777" w:rsidR="006A001D" w:rsidRPr="00542804" w:rsidRDefault="006A001D" w:rsidP="006A71E0">
            <w:pPr>
              <w:spacing w:before="0" w:after="0"/>
              <w:ind w:left="57" w:right="57"/>
              <w:jc w:val="right"/>
              <w:rPr>
                <w:rFonts w:cs="Times New Roman"/>
                <w:sz w:val="16"/>
                <w:szCs w:val="16"/>
                <w:lang w:val="sr-Latn-RS"/>
              </w:rPr>
            </w:pPr>
          </w:p>
        </w:tc>
        <w:tc>
          <w:tcPr>
            <w:tcW w:w="389" w:type="pct"/>
            <w:shd w:val="clear" w:color="auto" w:fill="auto"/>
            <w:vAlign w:val="center"/>
          </w:tcPr>
          <w:p w14:paraId="616D5DDF" w14:textId="77777777" w:rsidR="006A001D" w:rsidRPr="00542804" w:rsidRDefault="006A001D" w:rsidP="006A71E0">
            <w:pPr>
              <w:spacing w:before="0" w:after="0"/>
              <w:ind w:left="57" w:right="57"/>
              <w:jc w:val="right"/>
              <w:rPr>
                <w:rFonts w:cs="Times New Roman"/>
                <w:sz w:val="16"/>
                <w:szCs w:val="16"/>
                <w:lang w:val="sr-Latn-RS"/>
              </w:rPr>
            </w:pPr>
          </w:p>
        </w:tc>
        <w:tc>
          <w:tcPr>
            <w:tcW w:w="389" w:type="pct"/>
            <w:shd w:val="clear" w:color="auto" w:fill="auto"/>
            <w:vAlign w:val="center"/>
          </w:tcPr>
          <w:p w14:paraId="3BB70D8D" w14:textId="77777777" w:rsidR="006A001D" w:rsidRPr="00542804" w:rsidRDefault="006A001D" w:rsidP="006A71E0">
            <w:pPr>
              <w:spacing w:before="0" w:after="0"/>
              <w:ind w:left="57" w:right="57"/>
              <w:jc w:val="right"/>
              <w:rPr>
                <w:rFonts w:cs="Times New Roman"/>
                <w:sz w:val="16"/>
                <w:szCs w:val="16"/>
                <w:lang w:val="sr-Latn-RS"/>
              </w:rPr>
            </w:pPr>
          </w:p>
        </w:tc>
        <w:tc>
          <w:tcPr>
            <w:tcW w:w="389" w:type="pct"/>
            <w:shd w:val="clear" w:color="auto" w:fill="auto"/>
            <w:vAlign w:val="center"/>
          </w:tcPr>
          <w:p w14:paraId="788FB662" w14:textId="77777777" w:rsidR="006A001D" w:rsidRPr="00542804" w:rsidRDefault="006A001D" w:rsidP="006A71E0">
            <w:pPr>
              <w:spacing w:before="0" w:after="0"/>
              <w:ind w:left="57" w:right="57"/>
              <w:jc w:val="right"/>
              <w:rPr>
                <w:rFonts w:cs="Times New Roman"/>
                <w:sz w:val="16"/>
                <w:szCs w:val="16"/>
                <w:lang w:val="sr-Latn-RS"/>
              </w:rPr>
            </w:pPr>
          </w:p>
        </w:tc>
        <w:tc>
          <w:tcPr>
            <w:tcW w:w="389" w:type="pct"/>
            <w:shd w:val="clear" w:color="auto" w:fill="auto"/>
            <w:vAlign w:val="center"/>
          </w:tcPr>
          <w:p w14:paraId="3C54B77A" w14:textId="77777777" w:rsidR="006A001D" w:rsidRPr="00542804" w:rsidRDefault="006A001D" w:rsidP="006A71E0">
            <w:pPr>
              <w:spacing w:before="0" w:after="0"/>
              <w:ind w:left="57" w:right="57"/>
              <w:jc w:val="right"/>
              <w:rPr>
                <w:rFonts w:cs="Times New Roman"/>
                <w:sz w:val="16"/>
                <w:szCs w:val="16"/>
                <w:lang w:val="sr-Latn-RS"/>
              </w:rPr>
            </w:pPr>
          </w:p>
        </w:tc>
        <w:tc>
          <w:tcPr>
            <w:tcW w:w="390" w:type="pct"/>
            <w:shd w:val="clear" w:color="auto" w:fill="auto"/>
            <w:vAlign w:val="center"/>
          </w:tcPr>
          <w:p w14:paraId="190F9020" w14:textId="77777777" w:rsidR="006A001D" w:rsidRPr="00542804" w:rsidRDefault="006A001D" w:rsidP="006A71E0">
            <w:pPr>
              <w:spacing w:before="0" w:after="0"/>
              <w:ind w:left="57" w:right="57"/>
              <w:jc w:val="right"/>
              <w:rPr>
                <w:rFonts w:cs="Times New Roman"/>
                <w:sz w:val="16"/>
                <w:szCs w:val="16"/>
                <w:lang w:val="sr-Latn-RS"/>
              </w:rPr>
            </w:pPr>
          </w:p>
        </w:tc>
        <w:tc>
          <w:tcPr>
            <w:tcW w:w="392" w:type="pct"/>
            <w:shd w:val="clear" w:color="auto" w:fill="auto"/>
            <w:vAlign w:val="center"/>
          </w:tcPr>
          <w:p w14:paraId="0518D613" w14:textId="77777777" w:rsidR="006A001D" w:rsidRPr="00542804" w:rsidRDefault="006A001D" w:rsidP="006A71E0">
            <w:pPr>
              <w:spacing w:before="0" w:after="0"/>
              <w:ind w:left="57" w:right="57"/>
              <w:jc w:val="right"/>
              <w:rPr>
                <w:rFonts w:cs="Times New Roman"/>
                <w:sz w:val="16"/>
                <w:szCs w:val="16"/>
                <w:lang w:val="sr-Latn-RS"/>
              </w:rPr>
            </w:pPr>
          </w:p>
        </w:tc>
        <w:tc>
          <w:tcPr>
            <w:tcW w:w="564" w:type="pct"/>
            <w:shd w:val="clear" w:color="auto" w:fill="auto"/>
          </w:tcPr>
          <w:p w14:paraId="24D93E18"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-5</w:t>
            </w:r>
            <w:r>
              <w:rPr>
                <w:sz w:val="16"/>
                <w:szCs w:val="16"/>
                <w:lang w:val="sr-Latn-RS"/>
              </w:rPr>
              <w:t>.</w:t>
            </w:r>
            <w:r w:rsidRPr="00542804">
              <w:rPr>
                <w:sz w:val="16"/>
                <w:szCs w:val="16"/>
                <w:lang w:val="sr-Latn-RS"/>
              </w:rPr>
              <w:t>210</w:t>
            </w:r>
          </w:p>
        </w:tc>
        <w:tc>
          <w:tcPr>
            <w:tcW w:w="562" w:type="pct"/>
            <w:tcBorders>
              <w:right w:val="nil"/>
            </w:tcBorders>
            <w:shd w:val="clear" w:color="auto" w:fill="auto"/>
          </w:tcPr>
          <w:p w14:paraId="3D2FD21F"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5</w:t>
            </w:r>
            <w:r>
              <w:rPr>
                <w:sz w:val="16"/>
                <w:szCs w:val="16"/>
                <w:lang w:val="sr-Latn-RS"/>
              </w:rPr>
              <w:t>.</w:t>
            </w:r>
            <w:r w:rsidRPr="00542804">
              <w:rPr>
                <w:sz w:val="16"/>
                <w:szCs w:val="16"/>
                <w:lang w:val="sr-Latn-RS"/>
              </w:rPr>
              <w:t>233</w:t>
            </w:r>
          </w:p>
        </w:tc>
      </w:tr>
      <w:tr w:rsidR="006A001D" w:rsidRPr="00542804" w14:paraId="482ED498" w14:textId="77777777" w:rsidTr="00D93A70">
        <w:trPr>
          <w:cantSplit/>
        </w:trPr>
        <w:tc>
          <w:tcPr>
            <w:tcW w:w="558" w:type="pct"/>
            <w:vMerge/>
            <w:tcBorders>
              <w:left w:val="nil"/>
            </w:tcBorders>
            <w:shd w:val="clear" w:color="auto" w:fill="auto"/>
          </w:tcPr>
          <w:p w14:paraId="0D97163F" w14:textId="77777777" w:rsidR="006A001D" w:rsidRPr="00542804" w:rsidRDefault="006A001D" w:rsidP="006A71E0">
            <w:pPr>
              <w:spacing w:before="0" w:after="0"/>
              <w:ind w:left="57" w:right="57"/>
              <w:rPr>
                <w:sz w:val="16"/>
                <w:szCs w:val="16"/>
                <w:lang w:val="sr-Latn-RS"/>
              </w:rPr>
            </w:pPr>
          </w:p>
        </w:tc>
        <w:tc>
          <w:tcPr>
            <w:tcW w:w="589" w:type="pct"/>
            <w:shd w:val="clear" w:color="auto" w:fill="auto"/>
          </w:tcPr>
          <w:p w14:paraId="783D165F" w14:textId="77777777" w:rsidR="006A001D" w:rsidRPr="00542804" w:rsidRDefault="006A001D" w:rsidP="006A71E0">
            <w:pPr>
              <w:spacing w:before="0" w:after="0"/>
              <w:ind w:left="57" w:right="57"/>
              <w:rPr>
                <w:sz w:val="16"/>
                <w:szCs w:val="16"/>
                <w:lang w:val="sr-Latn-RS"/>
              </w:rPr>
            </w:pPr>
            <w:r w:rsidRPr="00542804">
              <w:rPr>
                <w:sz w:val="16"/>
                <w:szCs w:val="16"/>
                <w:lang w:val="sr-Latn-RS"/>
              </w:rPr>
              <w:t>H(1:3)</w:t>
            </w:r>
          </w:p>
        </w:tc>
        <w:tc>
          <w:tcPr>
            <w:tcW w:w="389" w:type="pct"/>
            <w:shd w:val="clear" w:color="auto" w:fill="auto"/>
            <w:vAlign w:val="center"/>
          </w:tcPr>
          <w:p w14:paraId="5A903026" w14:textId="77777777" w:rsidR="006A001D" w:rsidRPr="00542804" w:rsidRDefault="006A001D" w:rsidP="006A71E0">
            <w:pPr>
              <w:spacing w:before="0" w:after="0"/>
              <w:ind w:left="57" w:right="57"/>
              <w:jc w:val="right"/>
              <w:rPr>
                <w:rFonts w:cs="Times New Roman"/>
                <w:sz w:val="16"/>
                <w:szCs w:val="16"/>
                <w:lang w:val="sr-Latn-RS"/>
              </w:rPr>
            </w:pPr>
          </w:p>
        </w:tc>
        <w:tc>
          <w:tcPr>
            <w:tcW w:w="389" w:type="pct"/>
            <w:shd w:val="clear" w:color="auto" w:fill="auto"/>
            <w:vAlign w:val="center"/>
          </w:tcPr>
          <w:p w14:paraId="68940289" w14:textId="77777777" w:rsidR="006A001D" w:rsidRPr="00542804" w:rsidRDefault="006A001D" w:rsidP="006A71E0">
            <w:pPr>
              <w:spacing w:before="0" w:after="0"/>
              <w:ind w:left="57" w:right="57"/>
              <w:jc w:val="right"/>
              <w:rPr>
                <w:rFonts w:cs="Times New Roman"/>
                <w:sz w:val="16"/>
                <w:szCs w:val="16"/>
                <w:lang w:val="sr-Latn-RS"/>
              </w:rPr>
            </w:pPr>
          </w:p>
        </w:tc>
        <w:tc>
          <w:tcPr>
            <w:tcW w:w="389" w:type="pct"/>
            <w:shd w:val="clear" w:color="auto" w:fill="auto"/>
            <w:vAlign w:val="center"/>
          </w:tcPr>
          <w:p w14:paraId="11322EB8" w14:textId="77777777" w:rsidR="006A001D" w:rsidRPr="00542804" w:rsidRDefault="006A001D" w:rsidP="006A71E0">
            <w:pPr>
              <w:spacing w:before="0" w:after="0"/>
              <w:ind w:left="57" w:right="57"/>
              <w:jc w:val="right"/>
              <w:rPr>
                <w:rFonts w:cs="Times New Roman"/>
                <w:sz w:val="16"/>
                <w:szCs w:val="16"/>
                <w:lang w:val="sr-Latn-RS"/>
              </w:rPr>
            </w:pPr>
          </w:p>
        </w:tc>
        <w:tc>
          <w:tcPr>
            <w:tcW w:w="389" w:type="pct"/>
            <w:shd w:val="clear" w:color="auto" w:fill="auto"/>
            <w:vAlign w:val="center"/>
          </w:tcPr>
          <w:p w14:paraId="4D37005D" w14:textId="77777777" w:rsidR="006A001D" w:rsidRPr="00542804" w:rsidRDefault="006A001D" w:rsidP="006A71E0">
            <w:pPr>
              <w:spacing w:before="0" w:after="0"/>
              <w:ind w:left="57" w:right="57"/>
              <w:jc w:val="right"/>
              <w:rPr>
                <w:rFonts w:cs="Times New Roman"/>
                <w:sz w:val="16"/>
                <w:szCs w:val="16"/>
                <w:lang w:val="sr-Latn-RS"/>
              </w:rPr>
            </w:pPr>
          </w:p>
        </w:tc>
        <w:tc>
          <w:tcPr>
            <w:tcW w:w="389" w:type="pct"/>
            <w:shd w:val="clear" w:color="auto" w:fill="auto"/>
            <w:vAlign w:val="center"/>
          </w:tcPr>
          <w:p w14:paraId="5215E07A" w14:textId="77777777" w:rsidR="006A001D" w:rsidRPr="00542804" w:rsidRDefault="006A001D" w:rsidP="006A71E0">
            <w:pPr>
              <w:spacing w:before="0" w:after="0"/>
              <w:ind w:left="57" w:right="57"/>
              <w:jc w:val="right"/>
              <w:rPr>
                <w:rFonts w:cs="Times New Roman"/>
                <w:sz w:val="16"/>
                <w:szCs w:val="16"/>
                <w:lang w:val="sr-Latn-RS"/>
              </w:rPr>
            </w:pPr>
          </w:p>
        </w:tc>
        <w:tc>
          <w:tcPr>
            <w:tcW w:w="390" w:type="pct"/>
            <w:shd w:val="clear" w:color="auto" w:fill="auto"/>
            <w:vAlign w:val="center"/>
          </w:tcPr>
          <w:p w14:paraId="2C51895B" w14:textId="77777777" w:rsidR="006A001D" w:rsidRPr="00542804" w:rsidRDefault="006A001D" w:rsidP="006A71E0">
            <w:pPr>
              <w:spacing w:before="0" w:after="0"/>
              <w:ind w:left="57" w:right="57"/>
              <w:jc w:val="right"/>
              <w:rPr>
                <w:rFonts w:cs="Times New Roman"/>
                <w:sz w:val="16"/>
                <w:szCs w:val="16"/>
                <w:lang w:val="sr-Latn-RS"/>
              </w:rPr>
            </w:pPr>
          </w:p>
        </w:tc>
        <w:tc>
          <w:tcPr>
            <w:tcW w:w="392" w:type="pct"/>
            <w:shd w:val="clear" w:color="auto" w:fill="auto"/>
            <w:vAlign w:val="center"/>
          </w:tcPr>
          <w:p w14:paraId="4F0F2427" w14:textId="77777777" w:rsidR="006A001D" w:rsidRPr="00542804" w:rsidRDefault="006A001D" w:rsidP="006A71E0">
            <w:pPr>
              <w:spacing w:before="0" w:after="0"/>
              <w:ind w:left="57" w:right="57"/>
              <w:jc w:val="right"/>
              <w:rPr>
                <w:rFonts w:cs="Times New Roman"/>
                <w:sz w:val="16"/>
                <w:szCs w:val="16"/>
                <w:lang w:val="sr-Latn-RS"/>
              </w:rPr>
            </w:pPr>
          </w:p>
        </w:tc>
        <w:tc>
          <w:tcPr>
            <w:tcW w:w="564" w:type="pct"/>
            <w:shd w:val="clear" w:color="auto" w:fill="auto"/>
          </w:tcPr>
          <w:p w14:paraId="12EAB992"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7</w:t>
            </w:r>
            <w:r>
              <w:rPr>
                <w:sz w:val="16"/>
                <w:szCs w:val="16"/>
                <w:lang w:val="sr-Latn-RS"/>
              </w:rPr>
              <w:t>.</w:t>
            </w:r>
            <w:r w:rsidRPr="00542804">
              <w:rPr>
                <w:sz w:val="16"/>
                <w:szCs w:val="16"/>
                <w:lang w:val="sr-Latn-RS"/>
              </w:rPr>
              <w:t>935</w:t>
            </w:r>
          </w:p>
        </w:tc>
        <w:tc>
          <w:tcPr>
            <w:tcW w:w="562" w:type="pct"/>
            <w:tcBorders>
              <w:right w:val="nil"/>
            </w:tcBorders>
            <w:shd w:val="clear" w:color="auto" w:fill="auto"/>
          </w:tcPr>
          <w:p w14:paraId="51DDE1DE"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-7</w:t>
            </w:r>
            <w:r>
              <w:rPr>
                <w:sz w:val="16"/>
                <w:szCs w:val="16"/>
                <w:lang w:val="sr-Latn-RS"/>
              </w:rPr>
              <w:t>.</w:t>
            </w:r>
            <w:r w:rsidRPr="00542804">
              <w:rPr>
                <w:sz w:val="16"/>
                <w:szCs w:val="16"/>
                <w:lang w:val="sr-Latn-RS"/>
              </w:rPr>
              <w:t>871</w:t>
            </w:r>
          </w:p>
        </w:tc>
      </w:tr>
      <w:tr w:rsidR="006A001D" w:rsidRPr="00542804" w14:paraId="0C55714F" w14:textId="77777777" w:rsidTr="00D93A70">
        <w:trPr>
          <w:cantSplit/>
        </w:trPr>
        <w:tc>
          <w:tcPr>
            <w:tcW w:w="558" w:type="pct"/>
            <w:vMerge/>
            <w:tcBorders>
              <w:left w:val="nil"/>
            </w:tcBorders>
            <w:shd w:val="clear" w:color="auto" w:fill="auto"/>
          </w:tcPr>
          <w:p w14:paraId="479EA7FB" w14:textId="77777777" w:rsidR="006A001D" w:rsidRPr="00542804" w:rsidRDefault="006A001D" w:rsidP="006A71E0">
            <w:pPr>
              <w:spacing w:before="0" w:after="0"/>
              <w:ind w:left="57" w:right="57"/>
              <w:rPr>
                <w:sz w:val="16"/>
                <w:szCs w:val="16"/>
                <w:lang w:val="sr-Latn-RS"/>
              </w:rPr>
            </w:pPr>
          </w:p>
        </w:tc>
        <w:tc>
          <w:tcPr>
            <w:tcW w:w="589" w:type="pct"/>
            <w:shd w:val="clear" w:color="auto" w:fill="auto"/>
          </w:tcPr>
          <w:p w14:paraId="2C9F1D14" w14:textId="77777777" w:rsidR="006A001D" w:rsidRPr="00542804" w:rsidRDefault="006A001D" w:rsidP="006A71E0">
            <w:pPr>
              <w:spacing w:before="0" w:after="0"/>
              <w:ind w:left="57" w:right="57"/>
              <w:rPr>
                <w:sz w:val="16"/>
                <w:szCs w:val="16"/>
                <w:lang w:val="sr-Latn-RS"/>
              </w:rPr>
            </w:pPr>
            <w:r w:rsidRPr="00542804">
              <w:rPr>
                <w:sz w:val="16"/>
                <w:szCs w:val="16"/>
                <w:lang w:val="sr-Latn-RS"/>
              </w:rPr>
              <w:t>H(1:4)</w:t>
            </w:r>
          </w:p>
        </w:tc>
        <w:tc>
          <w:tcPr>
            <w:tcW w:w="389" w:type="pct"/>
            <w:shd w:val="clear" w:color="auto" w:fill="auto"/>
            <w:vAlign w:val="center"/>
          </w:tcPr>
          <w:p w14:paraId="6F2B5A62" w14:textId="77777777" w:rsidR="006A001D" w:rsidRPr="00542804" w:rsidRDefault="006A001D" w:rsidP="006A71E0">
            <w:pPr>
              <w:spacing w:before="0" w:after="0"/>
              <w:ind w:left="57" w:right="57"/>
              <w:jc w:val="right"/>
              <w:rPr>
                <w:rFonts w:cs="Times New Roman"/>
                <w:sz w:val="16"/>
                <w:szCs w:val="16"/>
                <w:lang w:val="sr-Latn-RS"/>
              </w:rPr>
            </w:pPr>
          </w:p>
        </w:tc>
        <w:tc>
          <w:tcPr>
            <w:tcW w:w="389" w:type="pct"/>
            <w:shd w:val="clear" w:color="auto" w:fill="auto"/>
            <w:vAlign w:val="center"/>
          </w:tcPr>
          <w:p w14:paraId="6D3764CC" w14:textId="77777777" w:rsidR="006A001D" w:rsidRPr="00542804" w:rsidRDefault="006A001D" w:rsidP="006A71E0">
            <w:pPr>
              <w:spacing w:before="0" w:after="0"/>
              <w:ind w:left="57" w:right="57"/>
              <w:jc w:val="right"/>
              <w:rPr>
                <w:rFonts w:cs="Times New Roman"/>
                <w:sz w:val="16"/>
                <w:szCs w:val="16"/>
                <w:lang w:val="sr-Latn-RS"/>
              </w:rPr>
            </w:pPr>
          </w:p>
        </w:tc>
        <w:tc>
          <w:tcPr>
            <w:tcW w:w="389" w:type="pct"/>
            <w:shd w:val="clear" w:color="auto" w:fill="auto"/>
            <w:vAlign w:val="center"/>
          </w:tcPr>
          <w:p w14:paraId="0122E86A" w14:textId="77777777" w:rsidR="006A001D" w:rsidRPr="00542804" w:rsidRDefault="006A001D" w:rsidP="006A71E0">
            <w:pPr>
              <w:spacing w:before="0" w:after="0"/>
              <w:ind w:left="57" w:right="57"/>
              <w:jc w:val="right"/>
              <w:rPr>
                <w:rFonts w:cs="Times New Roman"/>
                <w:sz w:val="16"/>
                <w:szCs w:val="16"/>
                <w:lang w:val="sr-Latn-RS"/>
              </w:rPr>
            </w:pPr>
          </w:p>
        </w:tc>
        <w:tc>
          <w:tcPr>
            <w:tcW w:w="389" w:type="pct"/>
            <w:shd w:val="clear" w:color="auto" w:fill="auto"/>
            <w:vAlign w:val="center"/>
          </w:tcPr>
          <w:p w14:paraId="333AD930" w14:textId="77777777" w:rsidR="006A001D" w:rsidRPr="00542804" w:rsidRDefault="006A001D" w:rsidP="006A71E0">
            <w:pPr>
              <w:spacing w:before="0" w:after="0"/>
              <w:ind w:left="57" w:right="57"/>
              <w:jc w:val="right"/>
              <w:rPr>
                <w:rFonts w:cs="Times New Roman"/>
                <w:sz w:val="16"/>
                <w:szCs w:val="16"/>
                <w:lang w:val="sr-Latn-RS"/>
              </w:rPr>
            </w:pPr>
          </w:p>
        </w:tc>
        <w:tc>
          <w:tcPr>
            <w:tcW w:w="389" w:type="pct"/>
            <w:shd w:val="clear" w:color="auto" w:fill="auto"/>
            <w:vAlign w:val="center"/>
          </w:tcPr>
          <w:p w14:paraId="73AAE67E" w14:textId="77777777" w:rsidR="006A001D" w:rsidRPr="00542804" w:rsidRDefault="006A001D" w:rsidP="006A71E0">
            <w:pPr>
              <w:spacing w:before="0" w:after="0"/>
              <w:ind w:left="57" w:right="57"/>
              <w:jc w:val="right"/>
              <w:rPr>
                <w:rFonts w:cs="Times New Roman"/>
                <w:sz w:val="16"/>
                <w:szCs w:val="16"/>
                <w:lang w:val="sr-Latn-RS"/>
              </w:rPr>
            </w:pPr>
          </w:p>
        </w:tc>
        <w:tc>
          <w:tcPr>
            <w:tcW w:w="390" w:type="pct"/>
            <w:shd w:val="clear" w:color="auto" w:fill="auto"/>
            <w:vAlign w:val="center"/>
          </w:tcPr>
          <w:p w14:paraId="7E59763B" w14:textId="77777777" w:rsidR="006A001D" w:rsidRPr="00542804" w:rsidRDefault="006A001D" w:rsidP="006A71E0">
            <w:pPr>
              <w:spacing w:before="0" w:after="0"/>
              <w:ind w:left="57" w:right="57"/>
              <w:jc w:val="right"/>
              <w:rPr>
                <w:rFonts w:cs="Times New Roman"/>
                <w:sz w:val="16"/>
                <w:szCs w:val="16"/>
                <w:lang w:val="sr-Latn-RS"/>
              </w:rPr>
            </w:pPr>
          </w:p>
        </w:tc>
        <w:tc>
          <w:tcPr>
            <w:tcW w:w="392" w:type="pct"/>
            <w:shd w:val="clear" w:color="auto" w:fill="auto"/>
            <w:vAlign w:val="center"/>
          </w:tcPr>
          <w:p w14:paraId="4919A0CE" w14:textId="77777777" w:rsidR="006A001D" w:rsidRPr="00542804" w:rsidRDefault="006A001D" w:rsidP="006A71E0">
            <w:pPr>
              <w:spacing w:before="0" w:after="0"/>
              <w:ind w:left="57" w:right="57"/>
              <w:jc w:val="right"/>
              <w:rPr>
                <w:rFonts w:cs="Times New Roman"/>
                <w:sz w:val="16"/>
                <w:szCs w:val="16"/>
                <w:lang w:val="sr-Latn-RS"/>
              </w:rPr>
            </w:pPr>
          </w:p>
        </w:tc>
        <w:tc>
          <w:tcPr>
            <w:tcW w:w="564" w:type="pct"/>
            <w:shd w:val="clear" w:color="auto" w:fill="auto"/>
          </w:tcPr>
          <w:p w14:paraId="773AE3E9"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-5</w:t>
            </w:r>
            <w:r>
              <w:rPr>
                <w:sz w:val="16"/>
                <w:szCs w:val="16"/>
                <w:lang w:val="sr-Latn-RS"/>
              </w:rPr>
              <w:t>.</w:t>
            </w:r>
            <w:r w:rsidRPr="00542804">
              <w:rPr>
                <w:sz w:val="16"/>
                <w:szCs w:val="16"/>
                <w:lang w:val="sr-Latn-RS"/>
              </w:rPr>
              <w:t>241</w:t>
            </w:r>
          </w:p>
        </w:tc>
        <w:tc>
          <w:tcPr>
            <w:tcW w:w="562" w:type="pct"/>
            <w:tcBorders>
              <w:right w:val="nil"/>
            </w:tcBorders>
            <w:shd w:val="clear" w:color="auto" w:fill="auto"/>
          </w:tcPr>
          <w:p w14:paraId="2946631F"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5</w:t>
            </w:r>
            <w:r>
              <w:rPr>
                <w:sz w:val="16"/>
                <w:szCs w:val="16"/>
                <w:lang w:val="sr-Latn-RS"/>
              </w:rPr>
              <w:t>.</w:t>
            </w:r>
            <w:r w:rsidRPr="00542804">
              <w:rPr>
                <w:sz w:val="16"/>
                <w:szCs w:val="16"/>
                <w:lang w:val="sr-Latn-RS"/>
              </w:rPr>
              <w:t>327</w:t>
            </w:r>
          </w:p>
        </w:tc>
      </w:tr>
      <w:tr w:rsidR="006A001D" w:rsidRPr="00542804" w14:paraId="56013122" w14:textId="77777777" w:rsidTr="00D93A70">
        <w:trPr>
          <w:cantSplit/>
        </w:trPr>
        <w:tc>
          <w:tcPr>
            <w:tcW w:w="558" w:type="pct"/>
            <w:vMerge/>
            <w:tcBorders>
              <w:left w:val="nil"/>
            </w:tcBorders>
            <w:shd w:val="clear" w:color="auto" w:fill="auto"/>
          </w:tcPr>
          <w:p w14:paraId="44E89D65" w14:textId="77777777" w:rsidR="006A001D" w:rsidRPr="00542804" w:rsidRDefault="006A001D" w:rsidP="006A71E0">
            <w:pPr>
              <w:spacing w:before="0" w:after="0"/>
              <w:ind w:left="57" w:right="57"/>
              <w:rPr>
                <w:sz w:val="16"/>
                <w:szCs w:val="16"/>
                <w:lang w:val="sr-Latn-RS"/>
              </w:rPr>
            </w:pPr>
          </w:p>
        </w:tc>
        <w:tc>
          <w:tcPr>
            <w:tcW w:w="589" w:type="pct"/>
            <w:shd w:val="clear" w:color="auto" w:fill="auto"/>
          </w:tcPr>
          <w:p w14:paraId="2AEB0049" w14:textId="77777777" w:rsidR="006A001D" w:rsidRPr="00542804" w:rsidRDefault="006A001D" w:rsidP="006A71E0">
            <w:pPr>
              <w:spacing w:before="0" w:after="0"/>
              <w:ind w:left="57" w:right="57"/>
              <w:rPr>
                <w:sz w:val="16"/>
                <w:szCs w:val="16"/>
                <w:lang w:val="sr-Latn-RS"/>
              </w:rPr>
            </w:pPr>
            <w:r w:rsidRPr="00542804">
              <w:rPr>
                <w:sz w:val="16"/>
                <w:szCs w:val="16"/>
                <w:lang w:val="sr-Latn-RS"/>
              </w:rPr>
              <w:t>H(1:5)</w:t>
            </w:r>
          </w:p>
        </w:tc>
        <w:tc>
          <w:tcPr>
            <w:tcW w:w="389" w:type="pct"/>
            <w:shd w:val="clear" w:color="auto" w:fill="auto"/>
            <w:vAlign w:val="center"/>
          </w:tcPr>
          <w:p w14:paraId="1476CD22" w14:textId="77777777" w:rsidR="006A001D" w:rsidRPr="00542804" w:rsidRDefault="006A001D" w:rsidP="006A71E0">
            <w:pPr>
              <w:spacing w:before="0" w:after="0"/>
              <w:ind w:left="57" w:right="57"/>
              <w:jc w:val="right"/>
              <w:rPr>
                <w:rFonts w:cs="Times New Roman"/>
                <w:sz w:val="16"/>
                <w:szCs w:val="16"/>
                <w:lang w:val="sr-Latn-RS"/>
              </w:rPr>
            </w:pPr>
          </w:p>
        </w:tc>
        <w:tc>
          <w:tcPr>
            <w:tcW w:w="389" w:type="pct"/>
            <w:shd w:val="clear" w:color="auto" w:fill="auto"/>
            <w:vAlign w:val="center"/>
          </w:tcPr>
          <w:p w14:paraId="2CA8584F" w14:textId="77777777" w:rsidR="006A001D" w:rsidRPr="00542804" w:rsidRDefault="006A001D" w:rsidP="006A71E0">
            <w:pPr>
              <w:spacing w:before="0" w:after="0"/>
              <w:ind w:left="57" w:right="57"/>
              <w:jc w:val="right"/>
              <w:rPr>
                <w:rFonts w:cs="Times New Roman"/>
                <w:sz w:val="16"/>
                <w:szCs w:val="16"/>
                <w:lang w:val="sr-Latn-RS"/>
              </w:rPr>
            </w:pPr>
          </w:p>
        </w:tc>
        <w:tc>
          <w:tcPr>
            <w:tcW w:w="389" w:type="pct"/>
            <w:shd w:val="clear" w:color="auto" w:fill="auto"/>
            <w:vAlign w:val="center"/>
          </w:tcPr>
          <w:p w14:paraId="5150A910" w14:textId="77777777" w:rsidR="006A001D" w:rsidRPr="00542804" w:rsidRDefault="006A001D" w:rsidP="006A71E0">
            <w:pPr>
              <w:spacing w:before="0" w:after="0"/>
              <w:ind w:left="57" w:right="57"/>
              <w:jc w:val="right"/>
              <w:rPr>
                <w:rFonts w:cs="Times New Roman"/>
                <w:sz w:val="16"/>
                <w:szCs w:val="16"/>
                <w:lang w:val="sr-Latn-RS"/>
              </w:rPr>
            </w:pPr>
          </w:p>
        </w:tc>
        <w:tc>
          <w:tcPr>
            <w:tcW w:w="389" w:type="pct"/>
            <w:shd w:val="clear" w:color="auto" w:fill="auto"/>
            <w:vAlign w:val="center"/>
          </w:tcPr>
          <w:p w14:paraId="1E72A6E7" w14:textId="77777777" w:rsidR="006A001D" w:rsidRPr="00542804" w:rsidRDefault="006A001D" w:rsidP="006A71E0">
            <w:pPr>
              <w:spacing w:before="0" w:after="0"/>
              <w:ind w:left="57" w:right="57"/>
              <w:jc w:val="right"/>
              <w:rPr>
                <w:rFonts w:cs="Times New Roman"/>
                <w:sz w:val="16"/>
                <w:szCs w:val="16"/>
                <w:lang w:val="sr-Latn-RS"/>
              </w:rPr>
            </w:pPr>
          </w:p>
        </w:tc>
        <w:tc>
          <w:tcPr>
            <w:tcW w:w="389" w:type="pct"/>
            <w:shd w:val="clear" w:color="auto" w:fill="auto"/>
            <w:vAlign w:val="center"/>
          </w:tcPr>
          <w:p w14:paraId="2F79A876" w14:textId="77777777" w:rsidR="006A001D" w:rsidRPr="00542804" w:rsidRDefault="006A001D" w:rsidP="006A71E0">
            <w:pPr>
              <w:spacing w:before="0" w:after="0"/>
              <w:ind w:left="57" w:right="57"/>
              <w:jc w:val="right"/>
              <w:rPr>
                <w:rFonts w:cs="Times New Roman"/>
                <w:sz w:val="16"/>
                <w:szCs w:val="16"/>
                <w:lang w:val="sr-Latn-RS"/>
              </w:rPr>
            </w:pPr>
          </w:p>
        </w:tc>
        <w:tc>
          <w:tcPr>
            <w:tcW w:w="390" w:type="pct"/>
            <w:shd w:val="clear" w:color="auto" w:fill="auto"/>
            <w:vAlign w:val="center"/>
          </w:tcPr>
          <w:p w14:paraId="694087B6" w14:textId="77777777" w:rsidR="006A001D" w:rsidRPr="00542804" w:rsidRDefault="006A001D" w:rsidP="006A71E0">
            <w:pPr>
              <w:spacing w:before="0" w:after="0"/>
              <w:ind w:left="57" w:right="57"/>
              <w:jc w:val="right"/>
              <w:rPr>
                <w:rFonts w:cs="Times New Roman"/>
                <w:sz w:val="16"/>
                <w:szCs w:val="16"/>
                <w:lang w:val="sr-Latn-RS"/>
              </w:rPr>
            </w:pPr>
          </w:p>
        </w:tc>
        <w:tc>
          <w:tcPr>
            <w:tcW w:w="392" w:type="pct"/>
            <w:shd w:val="clear" w:color="auto" w:fill="auto"/>
            <w:vAlign w:val="center"/>
          </w:tcPr>
          <w:p w14:paraId="6BA350F1" w14:textId="77777777" w:rsidR="006A001D" w:rsidRPr="00542804" w:rsidRDefault="006A001D" w:rsidP="006A71E0">
            <w:pPr>
              <w:spacing w:before="0" w:after="0"/>
              <w:ind w:left="57" w:right="57"/>
              <w:jc w:val="right"/>
              <w:rPr>
                <w:rFonts w:cs="Times New Roman"/>
                <w:sz w:val="16"/>
                <w:szCs w:val="16"/>
                <w:lang w:val="sr-Latn-RS"/>
              </w:rPr>
            </w:pPr>
          </w:p>
        </w:tc>
        <w:tc>
          <w:tcPr>
            <w:tcW w:w="564" w:type="pct"/>
            <w:shd w:val="clear" w:color="auto" w:fill="auto"/>
          </w:tcPr>
          <w:p w14:paraId="7365291B"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-1</w:t>
            </w:r>
            <w:r>
              <w:rPr>
                <w:sz w:val="16"/>
                <w:szCs w:val="16"/>
                <w:lang w:val="sr-Latn-RS"/>
              </w:rPr>
              <w:t>.</w:t>
            </w:r>
            <w:r w:rsidRPr="00542804">
              <w:rPr>
                <w:sz w:val="16"/>
                <w:szCs w:val="16"/>
                <w:lang w:val="sr-Latn-RS"/>
              </w:rPr>
              <w:t>215</w:t>
            </w:r>
          </w:p>
        </w:tc>
        <w:tc>
          <w:tcPr>
            <w:tcW w:w="562" w:type="pct"/>
            <w:tcBorders>
              <w:right w:val="nil"/>
            </w:tcBorders>
            <w:shd w:val="clear" w:color="auto" w:fill="auto"/>
          </w:tcPr>
          <w:p w14:paraId="0AE6DEE2" w14:textId="77777777" w:rsidR="006A001D" w:rsidRPr="00542804" w:rsidRDefault="006A001D" w:rsidP="006A71E0">
            <w:pPr>
              <w:spacing w:before="0" w:after="0"/>
              <w:ind w:left="57" w:right="57"/>
              <w:jc w:val="right"/>
              <w:rPr>
                <w:sz w:val="16"/>
                <w:szCs w:val="16"/>
                <w:lang w:val="sr-Latn-RS"/>
              </w:rPr>
            </w:pPr>
            <w:r>
              <w:rPr>
                <w:sz w:val="16"/>
                <w:szCs w:val="16"/>
                <w:lang w:val="sr-Latn-RS"/>
              </w:rPr>
              <w:t>.</w:t>
            </w:r>
            <w:r w:rsidRPr="00542804">
              <w:rPr>
                <w:sz w:val="16"/>
                <w:szCs w:val="16"/>
                <w:lang w:val="sr-Latn-RS"/>
              </w:rPr>
              <w:t>885</w:t>
            </w:r>
          </w:p>
        </w:tc>
      </w:tr>
      <w:tr w:rsidR="006A001D" w:rsidRPr="00542804" w14:paraId="1A15488E" w14:textId="77777777" w:rsidTr="00D93A70">
        <w:trPr>
          <w:cantSplit/>
        </w:trPr>
        <w:tc>
          <w:tcPr>
            <w:tcW w:w="558" w:type="pct"/>
            <w:vMerge/>
            <w:tcBorders>
              <w:left w:val="nil"/>
            </w:tcBorders>
            <w:shd w:val="clear" w:color="auto" w:fill="auto"/>
          </w:tcPr>
          <w:p w14:paraId="06C6C590" w14:textId="77777777" w:rsidR="006A001D" w:rsidRPr="00542804" w:rsidRDefault="006A001D" w:rsidP="006A71E0">
            <w:pPr>
              <w:spacing w:before="0" w:after="0"/>
              <w:ind w:left="57" w:right="57"/>
              <w:rPr>
                <w:sz w:val="16"/>
                <w:szCs w:val="16"/>
                <w:lang w:val="sr-Latn-RS"/>
              </w:rPr>
            </w:pPr>
          </w:p>
        </w:tc>
        <w:tc>
          <w:tcPr>
            <w:tcW w:w="589" w:type="pct"/>
            <w:shd w:val="clear" w:color="auto" w:fill="auto"/>
          </w:tcPr>
          <w:p w14:paraId="1295E17C" w14:textId="77777777" w:rsidR="006A001D" w:rsidRPr="00542804" w:rsidRDefault="006A001D" w:rsidP="006A71E0">
            <w:pPr>
              <w:spacing w:before="0" w:after="0"/>
              <w:ind w:left="57" w:right="57"/>
              <w:rPr>
                <w:sz w:val="16"/>
                <w:szCs w:val="16"/>
                <w:lang w:val="sr-Latn-RS"/>
              </w:rPr>
            </w:pPr>
            <w:r w:rsidRPr="00542804">
              <w:rPr>
                <w:sz w:val="16"/>
                <w:szCs w:val="16"/>
                <w:lang w:val="sr-Latn-RS"/>
              </w:rPr>
              <w:t>H(1:6)</w:t>
            </w:r>
          </w:p>
        </w:tc>
        <w:tc>
          <w:tcPr>
            <w:tcW w:w="389" w:type="pct"/>
            <w:shd w:val="clear" w:color="auto" w:fill="auto"/>
            <w:vAlign w:val="center"/>
          </w:tcPr>
          <w:p w14:paraId="1AF8000E" w14:textId="77777777" w:rsidR="006A001D" w:rsidRPr="00542804" w:rsidRDefault="006A001D" w:rsidP="006A71E0">
            <w:pPr>
              <w:spacing w:before="0" w:after="0"/>
              <w:ind w:left="57" w:right="57"/>
              <w:jc w:val="right"/>
              <w:rPr>
                <w:rFonts w:cs="Times New Roman"/>
                <w:sz w:val="16"/>
                <w:szCs w:val="16"/>
                <w:lang w:val="sr-Latn-RS"/>
              </w:rPr>
            </w:pPr>
          </w:p>
        </w:tc>
        <w:tc>
          <w:tcPr>
            <w:tcW w:w="389" w:type="pct"/>
            <w:shd w:val="clear" w:color="auto" w:fill="auto"/>
            <w:vAlign w:val="center"/>
          </w:tcPr>
          <w:p w14:paraId="3726E0CB" w14:textId="77777777" w:rsidR="006A001D" w:rsidRPr="00542804" w:rsidRDefault="006A001D" w:rsidP="006A71E0">
            <w:pPr>
              <w:spacing w:before="0" w:after="0"/>
              <w:ind w:left="57" w:right="57"/>
              <w:jc w:val="right"/>
              <w:rPr>
                <w:rFonts w:cs="Times New Roman"/>
                <w:sz w:val="16"/>
                <w:szCs w:val="16"/>
                <w:lang w:val="sr-Latn-RS"/>
              </w:rPr>
            </w:pPr>
          </w:p>
        </w:tc>
        <w:tc>
          <w:tcPr>
            <w:tcW w:w="389" w:type="pct"/>
            <w:shd w:val="clear" w:color="auto" w:fill="auto"/>
            <w:vAlign w:val="center"/>
          </w:tcPr>
          <w:p w14:paraId="698A9F10" w14:textId="77777777" w:rsidR="006A001D" w:rsidRPr="00542804" w:rsidRDefault="006A001D" w:rsidP="006A71E0">
            <w:pPr>
              <w:spacing w:before="0" w:after="0"/>
              <w:ind w:left="57" w:right="57"/>
              <w:jc w:val="right"/>
              <w:rPr>
                <w:rFonts w:cs="Times New Roman"/>
                <w:sz w:val="16"/>
                <w:szCs w:val="16"/>
                <w:lang w:val="sr-Latn-RS"/>
              </w:rPr>
            </w:pPr>
          </w:p>
        </w:tc>
        <w:tc>
          <w:tcPr>
            <w:tcW w:w="389" w:type="pct"/>
            <w:shd w:val="clear" w:color="auto" w:fill="auto"/>
            <w:vAlign w:val="center"/>
          </w:tcPr>
          <w:p w14:paraId="0605286B" w14:textId="77777777" w:rsidR="006A001D" w:rsidRPr="00542804" w:rsidRDefault="006A001D" w:rsidP="006A71E0">
            <w:pPr>
              <w:spacing w:before="0" w:after="0"/>
              <w:ind w:left="57" w:right="57"/>
              <w:jc w:val="right"/>
              <w:rPr>
                <w:rFonts w:cs="Times New Roman"/>
                <w:sz w:val="16"/>
                <w:szCs w:val="16"/>
                <w:lang w:val="sr-Latn-RS"/>
              </w:rPr>
            </w:pPr>
          </w:p>
        </w:tc>
        <w:tc>
          <w:tcPr>
            <w:tcW w:w="389" w:type="pct"/>
            <w:shd w:val="clear" w:color="auto" w:fill="auto"/>
            <w:vAlign w:val="center"/>
          </w:tcPr>
          <w:p w14:paraId="0EEC512A" w14:textId="77777777" w:rsidR="006A001D" w:rsidRPr="00542804" w:rsidRDefault="006A001D" w:rsidP="006A71E0">
            <w:pPr>
              <w:spacing w:before="0" w:after="0"/>
              <w:ind w:left="57" w:right="57"/>
              <w:jc w:val="right"/>
              <w:rPr>
                <w:rFonts w:cs="Times New Roman"/>
                <w:sz w:val="16"/>
                <w:szCs w:val="16"/>
                <w:lang w:val="sr-Latn-RS"/>
              </w:rPr>
            </w:pPr>
          </w:p>
        </w:tc>
        <w:tc>
          <w:tcPr>
            <w:tcW w:w="390" w:type="pct"/>
            <w:shd w:val="clear" w:color="auto" w:fill="auto"/>
            <w:vAlign w:val="center"/>
          </w:tcPr>
          <w:p w14:paraId="1AF265E4" w14:textId="77777777" w:rsidR="006A001D" w:rsidRPr="00542804" w:rsidRDefault="006A001D" w:rsidP="006A71E0">
            <w:pPr>
              <w:spacing w:before="0" w:after="0"/>
              <w:ind w:left="57" w:right="57"/>
              <w:jc w:val="right"/>
              <w:rPr>
                <w:rFonts w:cs="Times New Roman"/>
                <w:sz w:val="16"/>
                <w:szCs w:val="16"/>
                <w:lang w:val="sr-Latn-RS"/>
              </w:rPr>
            </w:pPr>
          </w:p>
        </w:tc>
        <w:tc>
          <w:tcPr>
            <w:tcW w:w="392" w:type="pct"/>
            <w:shd w:val="clear" w:color="auto" w:fill="auto"/>
            <w:vAlign w:val="center"/>
          </w:tcPr>
          <w:p w14:paraId="603BA70E" w14:textId="77777777" w:rsidR="006A001D" w:rsidRPr="00542804" w:rsidRDefault="006A001D" w:rsidP="006A71E0">
            <w:pPr>
              <w:spacing w:before="0" w:after="0"/>
              <w:ind w:left="57" w:right="57"/>
              <w:jc w:val="right"/>
              <w:rPr>
                <w:rFonts w:cs="Times New Roman"/>
                <w:sz w:val="16"/>
                <w:szCs w:val="16"/>
                <w:lang w:val="sr-Latn-RS"/>
              </w:rPr>
            </w:pPr>
          </w:p>
        </w:tc>
        <w:tc>
          <w:tcPr>
            <w:tcW w:w="564" w:type="pct"/>
            <w:shd w:val="clear" w:color="auto" w:fill="auto"/>
          </w:tcPr>
          <w:p w14:paraId="6B84AC02"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-2</w:t>
            </w:r>
            <w:r>
              <w:rPr>
                <w:sz w:val="16"/>
                <w:szCs w:val="16"/>
                <w:lang w:val="sr-Latn-RS"/>
              </w:rPr>
              <w:t>.</w:t>
            </w:r>
            <w:r w:rsidRPr="00542804">
              <w:rPr>
                <w:sz w:val="16"/>
                <w:szCs w:val="16"/>
                <w:lang w:val="sr-Latn-RS"/>
              </w:rPr>
              <w:t>909</w:t>
            </w:r>
          </w:p>
        </w:tc>
        <w:tc>
          <w:tcPr>
            <w:tcW w:w="562" w:type="pct"/>
            <w:tcBorders>
              <w:right w:val="nil"/>
            </w:tcBorders>
            <w:shd w:val="clear" w:color="auto" w:fill="auto"/>
          </w:tcPr>
          <w:p w14:paraId="5BC7C674"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3</w:t>
            </w:r>
            <w:r>
              <w:rPr>
                <w:sz w:val="16"/>
                <w:szCs w:val="16"/>
                <w:lang w:val="sr-Latn-RS"/>
              </w:rPr>
              <w:t>.</w:t>
            </w:r>
            <w:r w:rsidRPr="00542804">
              <w:rPr>
                <w:sz w:val="16"/>
                <w:szCs w:val="16"/>
                <w:lang w:val="sr-Latn-RS"/>
              </w:rPr>
              <w:t>273</w:t>
            </w:r>
          </w:p>
        </w:tc>
      </w:tr>
      <w:tr w:rsidR="006A001D" w:rsidRPr="00542804" w14:paraId="22F1D68F" w14:textId="77777777" w:rsidTr="00982E69">
        <w:trPr>
          <w:cantSplit/>
        </w:trPr>
        <w:tc>
          <w:tcPr>
            <w:tcW w:w="558" w:type="pct"/>
            <w:vMerge/>
            <w:tcBorders>
              <w:left w:val="nil"/>
              <w:bottom w:val="single" w:sz="4" w:space="0" w:color="auto"/>
            </w:tcBorders>
            <w:shd w:val="clear" w:color="auto" w:fill="auto"/>
          </w:tcPr>
          <w:p w14:paraId="3D8D1F17" w14:textId="77777777" w:rsidR="006A001D" w:rsidRPr="00542804" w:rsidRDefault="006A001D" w:rsidP="006A71E0">
            <w:pPr>
              <w:spacing w:before="0" w:after="0"/>
              <w:ind w:left="57" w:right="57"/>
              <w:rPr>
                <w:sz w:val="16"/>
                <w:szCs w:val="16"/>
                <w:lang w:val="sr-Latn-RS"/>
              </w:rPr>
            </w:pPr>
          </w:p>
        </w:tc>
        <w:tc>
          <w:tcPr>
            <w:tcW w:w="589" w:type="pct"/>
            <w:tcBorders>
              <w:bottom w:val="single" w:sz="4" w:space="0" w:color="auto"/>
            </w:tcBorders>
            <w:shd w:val="clear" w:color="auto" w:fill="auto"/>
          </w:tcPr>
          <w:p w14:paraId="69EE9556" w14:textId="77777777" w:rsidR="006A001D" w:rsidRPr="00542804" w:rsidRDefault="006A001D" w:rsidP="006A71E0">
            <w:pPr>
              <w:spacing w:before="0" w:after="0"/>
              <w:ind w:left="57" w:right="57"/>
              <w:rPr>
                <w:sz w:val="16"/>
                <w:szCs w:val="16"/>
                <w:lang w:val="sr-Latn-RS"/>
              </w:rPr>
            </w:pPr>
            <w:r w:rsidRPr="00542804">
              <w:rPr>
                <w:sz w:val="16"/>
                <w:szCs w:val="16"/>
                <w:lang w:val="sr-Latn-RS"/>
              </w:rPr>
              <w:t>H(1:7)</w:t>
            </w:r>
          </w:p>
        </w:tc>
        <w:tc>
          <w:tcPr>
            <w:tcW w:w="389" w:type="pct"/>
            <w:tcBorders>
              <w:bottom w:val="single" w:sz="4" w:space="0" w:color="auto"/>
            </w:tcBorders>
            <w:shd w:val="clear" w:color="auto" w:fill="auto"/>
            <w:vAlign w:val="center"/>
          </w:tcPr>
          <w:p w14:paraId="00E3F83C" w14:textId="77777777" w:rsidR="006A001D" w:rsidRPr="00542804" w:rsidRDefault="006A001D" w:rsidP="006A71E0">
            <w:pPr>
              <w:spacing w:before="0" w:after="0"/>
              <w:ind w:left="57" w:right="57"/>
              <w:jc w:val="right"/>
              <w:rPr>
                <w:rFonts w:cs="Times New Roman"/>
                <w:sz w:val="16"/>
                <w:szCs w:val="16"/>
                <w:lang w:val="sr-Latn-RS"/>
              </w:rPr>
            </w:pPr>
          </w:p>
        </w:tc>
        <w:tc>
          <w:tcPr>
            <w:tcW w:w="389" w:type="pct"/>
            <w:tcBorders>
              <w:bottom w:val="single" w:sz="4" w:space="0" w:color="auto"/>
            </w:tcBorders>
            <w:shd w:val="clear" w:color="auto" w:fill="auto"/>
            <w:vAlign w:val="center"/>
          </w:tcPr>
          <w:p w14:paraId="44B6D02B" w14:textId="77777777" w:rsidR="006A001D" w:rsidRPr="00542804" w:rsidRDefault="006A001D" w:rsidP="006A71E0">
            <w:pPr>
              <w:spacing w:before="0" w:after="0"/>
              <w:ind w:left="57" w:right="57"/>
              <w:jc w:val="right"/>
              <w:rPr>
                <w:rFonts w:cs="Times New Roman"/>
                <w:sz w:val="16"/>
                <w:szCs w:val="16"/>
                <w:lang w:val="sr-Latn-RS"/>
              </w:rPr>
            </w:pPr>
          </w:p>
        </w:tc>
        <w:tc>
          <w:tcPr>
            <w:tcW w:w="389" w:type="pct"/>
            <w:tcBorders>
              <w:bottom w:val="single" w:sz="4" w:space="0" w:color="auto"/>
            </w:tcBorders>
            <w:shd w:val="clear" w:color="auto" w:fill="auto"/>
            <w:vAlign w:val="center"/>
          </w:tcPr>
          <w:p w14:paraId="345CC835" w14:textId="77777777" w:rsidR="006A001D" w:rsidRPr="00542804" w:rsidRDefault="006A001D" w:rsidP="006A71E0">
            <w:pPr>
              <w:spacing w:before="0" w:after="0"/>
              <w:ind w:left="57" w:right="57"/>
              <w:jc w:val="right"/>
              <w:rPr>
                <w:rFonts w:cs="Times New Roman"/>
                <w:sz w:val="16"/>
                <w:szCs w:val="16"/>
                <w:lang w:val="sr-Latn-RS"/>
              </w:rPr>
            </w:pPr>
          </w:p>
        </w:tc>
        <w:tc>
          <w:tcPr>
            <w:tcW w:w="389" w:type="pct"/>
            <w:tcBorders>
              <w:bottom w:val="single" w:sz="4" w:space="0" w:color="auto"/>
            </w:tcBorders>
            <w:shd w:val="clear" w:color="auto" w:fill="auto"/>
            <w:vAlign w:val="center"/>
          </w:tcPr>
          <w:p w14:paraId="66795C3D" w14:textId="77777777" w:rsidR="006A001D" w:rsidRPr="00542804" w:rsidRDefault="006A001D" w:rsidP="006A71E0">
            <w:pPr>
              <w:spacing w:before="0" w:after="0"/>
              <w:ind w:left="57" w:right="57"/>
              <w:jc w:val="right"/>
              <w:rPr>
                <w:rFonts w:cs="Times New Roman"/>
                <w:sz w:val="16"/>
                <w:szCs w:val="16"/>
                <w:lang w:val="sr-Latn-RS"/>
              </w:rPr>
            </w:pPr>
          </w:p>
        </w:tc>
        <w:tc>
          <w:tcPr>
            <w:tcW w:w="389" w:type="pct"/>
            <w:tcBorders>
              <w:bottom w:val="single" w:sz="4" w:space="0" w:color="auto"/>
            </w:tcBorders>
            <w:shd w:val="clear" w:color="auto" w:fill="auto"/>
            <w:vAlign w:val="center"/>
          </w:tcPr>
          <w:p w14:paraId="58D478D5" w14:textId="77777777" w:rsidR="006A001D" w:rsidRPr="00542804" w:rsidRDefault="006A001D" w:rsidP="006A71E0">
            <w:pPr>
              <w:spacing w:before="0" w:after="0"/>
              <w:ind w:left="57" w:right="57"/>
              <w:jc w:val="right"/>
              <w:rPr>
                <w:rFonts w:cs="Times New Roman"/>
                <w:sz w:val="16"/>
                <w:szCs w:val="16"/>
                <w:lang w:val="sr-Latn-RS"/>
              </w:rPr>
            </w:pPr>
          </w:p>
        </w:tc>
        <w:tc>
          <w:tcPr>
            <w:tcW w:w="390" w:type="pct"/>
            <w:tcBorders>
              <w:bottom w:val="single" w:sz="4" w:space="0" w:color="auto"/>
            </w:tcBorders>
            <w:shd w:val="clear" w:color="auto" w:fill="auto"/>
            <w:vAlign w:val="center"/>
          </w:tcPr>
          <w:p w14:paraId="6A2C7A10" w14:textId="77777777" w:rsidR="006A001D" w:rsidRPr="00542804" w:rsidRDefault="006A001D" w:rsidP="006A71E0">
            <w:pPr>
              <w:spacing w:before="0" w:after="0"/>
              <w:ind w:left="57" w:right="57"/>
              <w:jc w:val="right"/>
              <w:rPr>
                <w:rFonts w:cs="Times New Roman"/>
                <w:sz w:val="16"/>
                <w:szCs w:val="16"/>
                <w:lang w:val="sr-Latn-RS"/>
              </w:rPr>
            </w:pPr>
          </w:p>
        </w:tc>
        <w:tc>
          <w:tcPr>
            <w:tcW w:w="392" w:type="pct"/>
            <w:tcBorders>
              <w:bottom w:val="single" w:sz="4" w:space="0" w:color="auto"/>
            </w:tcBorders>
            <w:shd w:val="clear" w:color="auto" w:fill="auto"/>
            <w:vAlign w:val="center"/>
          </w:tcPr>
          <w:p w14:paraId="4753AD3A" w14:textId="77777777" w:rsidR="006A001D" w:rsidRPr="00542804" w:rsidRDefault="006A001D" w:rsidP="006A71E0">
            <w:pPr>
              <w:spacing w:before="0" w:after="0"/>
              <w:ind w:left="57" w:right="57"/>
              <w:jc w:val="right"/>
              <w:rPr>
                <w:rFonts w:cs="Times New Roman"/>
                <w:sz w:val="16"/>
                <w:szCs w:val="16"/>
                <w:lang w:val="sr-Latn-RS"/>
              </w:rPr>
            </w:pPr>
          </w:p>
        </w:tc>
        <w:tc>
          <w:tcPr>
            <w:tcW w:w="564" w:type="pct"/>
            <w:tcBorders>
              <w:bottom w:val="single" w:sz="4" w:space="0" w:color="auto"/>
            </w:tcBorders>
            <w:shd w:val="clear" w:color="auto" w:fill="auto"/>
          </w:tcPr>
          <w:p w14:paraId="702955BF"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3</w:t>
            </w:r>
            <w:r>
              <w:rPr>
                <w:sz w:val="16"/>
                <w:szCs w:val="16"/>
                <w:lang w:val="sr-Latn-RS"/>
              </w:rPr>
              <w:t>.</w:t>
            </w:r>
            <w:r w:rsidRPr="00542804">
              <w:rPr>
                <w:sz w:val="16"/>
                <w:szCs w:val="16"/>
                <w:lang w:val="sr-Latn-RS"/>
              </w:rPr>
              <w:t>885</w:t>
            </w:r>
          </w:p>
        </w:tc>
        <w:tc>
          <w:tcPr>
            <w:tcW w:w="562" w:type="pct"/>
            <w:tcBorders>
              <w:bottom w:val="single" w:sz="4" w:space="0" w:color="auto"/>
              <w:right w:val="nil"/>
            </w:tcBorders>
            <w:shd w:val="clear" w:color="auto" w:fill="auto"/>
          </w:tcPr>
          <w:p w14:paraId="7CCB6BC1" w14:textId="77777777" w:rsidR="006A001D" w:rsidRPr="00542804" w:rsidRDefault="006A001D" w:rsidP="006A71E0">
            <w:pPr>
              <w:spacing w:before="0" w:after="0"/>
              <w:ind w:left="57" w:right="57"/>
              <w:jc w:val="right"/>
              <w:rPr>
                <w:sz w:val="16"/>
                <w:szCs w:val="16"/>
                <w:lang w:val="sr-Latn-RS"/>
              </w:rPr>
            </w:pPr>
            <w:r w:rsidRPr="00542804">
              <w:rPr>
                <w:sz w:val="16"/>
                <w:szCs w:val="16"/>
                <w:lang w:val="sr-Latn-RS"/>
              </w:rPr>
              <w:t>-3</w:t>
            </w:r>
            <w:r>
              <w:rPr>
                <w:sz w:val="16"/>
                <w:szCs w:val="16"/>
                <w:lang w:val="sr-Latn-RS"/>
              </w:rPr>
              <w:t>.</w:t>
            </w:r>
            <w:r w:rsidRPr="00542804">
              <w:rPr>
                <w:sz w:val="16"/>
                <w:szCs w:val="16"/>
                <w:lang w:val="sr-Latn-RS"/>
              </w:rPr>
              <w:t>933</w:t>
            </w:r>
          </w:p>
        </w:tc>
      </w:tr>
    </w:tbl>
    <w:p w14:paraId="395398DC" w14:textId="099D0096" w:rsidR="00D76BCA" w:rsidRDefault="00D76BCA" w:rsidP="005A3C7F">
      <w:pPr>
        <w:autoSpaceDE w:val="0"/>
        <w:autoSpaceDN w:val="0"/>
        <w:adjustRightInd w:val="0"/>
        <w:spacing w:before="0" w:after="0"/>
        <w:jc w:val="center"/>
        <w:rPr>
          <w:rFonts w:ascii="Times New Roman" w:hAnsi="Times New Roman" w:cs="Times New Roman"/>
          <w:szCs w:val="24"/>
          <w:lang w:val="sr-Latn-RS"/>
        </w:rPr>
      </w:pPr>
      <w:r>
        <w:rPr>
          <w:rFonts w:ascii="Times New Roman" w:hAnsi="Times New Roman" w:cs="Times New Roman"/>
          <w:noProof/>
          <w:szCs w:val="24"/>
          <w:lang w:val="sr-Latn-RS"/>
        </w:rPr>
        <w:lastRenderedPageBreak/>
        <w:drawing>
          <wp:inline distT="0" distB="0" distL="0" distR="0" wp14:anchorId="108AD680" wp14:editId="335F1426">
            <wp:extent cx="5590968" cy="7457415"/>
            <wp:effectExtent l="0" t="0" r="0" b="0"/>
            <wp:docPr id="158" name="Picture 1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Diagram&#10;&#10;Description automatically generated"/>
                    <pic:cNvPicPr>
                      <a:picLocks noChangeAspect="1" noChangeArrowheads="1"/>
                    </pic:cNvPicPr>
                  </pic:nvPicPr>
                  <pic:blipFill rotWithShape="1">
                    <a:blip r:embed="rId139">
                      <a:extLst>
                        <a:ext uri="{28A0092B-C50C-407E-A947-70E740481C1C}">
                          <a14:useLocalDpi xmlns:a14="http://schemas.microsoft.com/office/drawing/2010/main" val="0"/>
                        </a:ext>
                      </a:extLst>
                    </a:blip>
                    <a:srcRect t="4315" b="5379"/>
                    <a:stretch/>
                  </pic:blipFill>
                  <pic:spPr bwMode="auto">
                    <a:xfrm>
                      <a:off x="0" y="0"/>
                      <a:ext cx="5591175" cy="7457691"/>
                    </a:xfrm>
                    <a:prstGeom prst="rect">
                      <a:avLst/>
                    </a:prstGeom>
                    <a:noFill/>
                    <a:ln>
                      <a:noFill/>
                    </a:ln>
                    <a:extLst>
                      <a:ext uri="{53640926-AAD7-44D8-BBD7-CCE9431645EC}">
                        <a14:shadowObscured xmlns:a14="http://schemas.microsoft.com/office/drawing/2010/main"/>
                      </a:ext>
                    </a:extLst>
                  </pic:spPr>
                </pic:pic>
              </a:graphicData>
            </a:graphic>
          </wp:inline>
        </w:drawing>
      </w:r>
    </w:p>
    <w:p w14:paraId="0A584681" w14:textId="1B859E23" w:rsidR="00343388" w:rsidRPr="00343388" w:rsidRDefault="00D84C53" w:rsidP="00343388">
      <w:pPr>
        <w:pStyle w:val="Caption"/>
      </w:pPr>
      <w:bookmarkStart w:id="589" w:name="_Ref98670172"/>
      <w:bookmarkStart w:id="590" w:name="_Toc101274625"/>
      <w:r>
        <w:t xml:space="preserve">Figure </w:t>
      </w:r>
      <w:fldSimple w:instr=" SEQ Figure \* ARABIC ">
        <w:r w:rsidR="00587AF0">
          <w:rPr>
            <w:noProof/>
          </w:rPr>
          <w:t>103</w:t>
        </w:r>
      </w:fldSimple>
      <w:bookmarkEnd w:id="589"/>
      <w:r>
        <w:t>. Multilayer percept</w:t>
      </w:r>
      <w:r w:rsidR="00EA177F">
        <w:t>r</w:t>
      </w:r>
      <w:r>
        <w:t xml:space="preserve">on </w:t>
      </w:r>
      <w:r w:rsidR="00CE4537">
        <w:t xml:space="preserve">artificial </w:t>
      </w:r>
      <w:r>
        <w:t xml:space="preserve">neural network </w:t>
      </w:r>
      <w:r w:rsidR="0070274D">
        <w:t>of opening saddle with syn</w:t>
      </w:r>
      <w:r w:rsidR="00F5373B">
        <w:t>apt</w:t>
      </w:r>
      <w:r w:rsidR="0070274D">
        <w:t>ic weights &gt; 0 (blue lines) and synoptic weight &lt; 0 (grey lines)</w:t>
      </w:r>
      <w:r w:rsidR="004D1FA2">
        <w:t xml:space="preserve"> with sigmoid activation function for hidden</w:t>
      </w:r>
      <w:r w:rsidR="00617B16">
        <w:t xml:space="preserve"> layer</w:t>
      </w:r>
      <w:r w:rsidR="004D1FA2">
        <w:t xml:space="preserve"> and </w:t>
      </w:r>
      <w:r w:rsidR="00617B16">
        <w:t xml:space="preserve">sigmoid activation function for </w:t>
      </w:r>
      <w:r w:rsidR="00F5373B">
        <w:t xml:space="preserve">the </w:t>
      </w:r>
      <w:r w:rsidR="004D1FA2">
        <w:t>output layer</w:t>
      </w:r>
      <w:bookmarkEnd w:id="590"/>
    </w:p>
    <w:p w14:paraId="15AB303E" w14:textId="16335AAD" w:rsidR="00542804" w:rsidRPr="00542804" w:rsidRDefault="00F5373B" w:rsidP="00933519">
      <w:pPr>
        <w:rPr>
          <w:lang w:val="sr-Latn-RS"/>
        </w:rPr>
      </w:pPr>
      <w:r>
        <w:rPr>
          <w:lang w:val="sr-Latn-RS"/>
        </w:rPr>
        <w:t>The most important variable is the standard deviation in signal processing from feature extraction and prediction of binary class (none and quasi-fault)</w:t>
      </w:r>
      <w:r w:rsidR="00D93D75">
        <w:rPr>
          <w:lang w:val="sr-Latn-RS"/>
        </w:rPr>
        <w:t xml:space="preserve"> (</w:t>
      </w:r>
      <w:r w:rsidR="00D93D75">
        <w:rPr>
          <w:lang w:val="sr-Latn-RS"/>
        </w:rPr>
        <w:fldChar w:fldCharType="begin"/>
      </w:r>
      <w:r w:rsidR="00D93D75">
        <w:rPr>
          <w:lang w:val="sr-Latn-RS"/>
        </w:rPr>
        <w:instrText xml:space="preserve"> REF _Ref98670902 \h </w:instrText>
      </w:r>
      <w:r w:rsidR="00D93D75">
        <w:rPr>
          <w:lang w:val="sr-Latn-RS"/>
        </w:rPr>
      </w:r>
      <w:r w:rsidR="00D93D75">
        <w:rPr>
          <w:lang w:val="sr-Latn-RS"/>
        </w:rPr>
        <w:fldChar w:fldCharType="separate"/>
      </w:r>
      <w:r w:rsidR="00587AF0">
        <w:t xml:space="preserve">Table </w:t>
      </w:r>
      <w:r w:rsidR="00587AF0">
        <w:rPr>
          <w:noProof/>
        </w:rPr>
        <w:t>35</w:t>
      </w:r>
      <w:r w:rsidR="00D93D75">
        <w:rPr>
          <w:lang w:val="sr-Latn-RS"/>
        </w:rPr>
        <w:fldChar w:fldCharType="end"/>
      </w:r>
      <w:r w:rsidR="00D93D75">
        <w:rPr>
          <w:lang w:val="sr-Latn-RS"/>
        </w:rPr>
        <w:t>)</w:t>
      </w:r>
      <w:r w:rsidR="00933519">
        <w:rPr>
          <w:lang w:val="sr-Latn-RS"/>
        </w:rPr>
        <w:t>. The standard deviation showed</w:t>
      </w:r>
      <w:r w:rsidR="008B4848">
        <w:rPr>
          <w:lang w:val="sr-Latn-RS"/>
        </w:rPr>
        <w:t xml:space="preserve"> the highest contribution to predicti</w:t>
      </w:r>
      <w:r>
        <w:rPr>
          <w:lang w:val="sr-Latn-RS"/>
        </w:rPr>
        <w:t>ng a class label, followed by minimum and median values at the</w:t>
      </w:r>
      <w:r w:rsidR="008B4848">
        <w:rPr>
          <w:lang w:val="sr-Latn-RS"/>
        </w:rPr>
        <w:t xml:space="preserve"> opening saddle position. Therefore, the change in standard deviation can be used as an indicator </w:t>
      </w:r>
      <w:r w:rsidR="008B4848">
        <w:rPr>
          <w:lang w:val="sr-Latn-RS"/>
        </w:rPr>
        <w:lastRenderedPageBreak/>
        <w:t>for condition monitoring properties of EBM signal, alongside median and mi</w:t>
      </w:r>
      <w:r>
        <w:rPr>
          <w:lang w:val="sr-Latn-RS"/>
        </w:rPr>
        <w:t>n</w:t>
      </w:r>
      <w:r w:rsidR="008B4848">
        <w:rPr>
          <w:lang w:val="sr-Latn-RS"/>
        </w:rPr>
        <w:t>imum that can be used for discriminant analysis of machine state.</w:t>
      </w:r>
    </w:p>
    <w:p w14:paraId="1F5665CE" w14:textId="00E8830E" w:rsidR="007C3826" w:rsidRDefault="00EE0ABF" w:rsidP="00EE0ABF">
      <w:pPr>
        <w:pStyle w:val="Caption"/>
        <w:jc w:val="both"/>
        <w:rPr>
          <w:lang w:val="sr-Latn-RS"/>
        </w:rPr>
      </w:pPr>
      <w:bookmarkStart w:id="591" w:name="_Ref98670902"/>
      <w:bookmarkStart w:id="592" w:name="_Toc101274475"/>
      <w:r>
        <w:t xml:space="preserve">Table </w:t>
      </w:r>
      <w:fldSimple w:instr=" SEQ Table \* ARABIC ">
        <w:r w:rsidR="00587AF0">
          <w:rPr>
            <w:noProof/>
          </w:rPr>
          <w:t>35</w:t>
        </w:r>
      </w:fldSimple>
      <w:bookmarkEnd w:id="591"/>
      <w:r>
        <w:t xml:space="preserve">. </w:t>
      </w:r>
      <w:r w:rsidR="0037497A" w:rsidRPr="0037497A">
        <w:t xml:space="preserve">Independent variable importance of ANN at </w:t>
      </w:r>
      <w:r w:rsidR="0037497A">
        <w:t>opening</w:t>
      </w:r>
      <w:r w:rsidR="0037497A" w:rsidRPr="0037497A">
        <w:t xml:space="preserve"> saddle position</w:t>
      </w:r>
      <w:bookmarkEnd w:id="592"/>
    </w:p>
    <w:tbl>
      <w:tblPr>
        <w:tblW w:w="5000" w:type="pct"/>
        <w:tblCellMar>
          <w:left w:w="0" w:type="dxa"/>
          <w:right w:w="0" w:type="dxa"/>
        </w:tblCellMar>
        <w:tblLook w:val="0000" w:firstRow="0" w:lastRow="0" w:firstColumn="0" w:lastColumn="0" w:noHBand="0" w:noVBand="0"/>
      </w:tblPr>
      <w:tblGrid>
        <w:gridCol w:w="3167"/>
        <w:gridCol w:w="2560"/>
        <w:gridCol w:w="3300"/>
      </w:tblGrid>
      <w:tr w:rsidR="009424EB" w:rsidRPr="00D93A70" w14:paraId="7C6B86E1" w14:textId="77777777" w:rsidTr="00933519">
        <w:trPr>
          <w:cantSplit/>
        </w:trPr>
        <w:tc>
          <w:tcPr>
            <w:tcW w:w="1754" w:type="pct"/>
            <w:tcBorders>
              <w:top w:val="single" w:sz="4" w:space="0" w:color="auto"/>
              <w:bottom w:val="single" w:sz="4" w:space="0" w:color="auto"/>
            </w:tcBorders>
            <w:shd w:val="clear" w:color="auto" w:fill="auto"/>
            <w:vAlign w:val="bottom"/>
          </w:tcPr>
          <w:p w14:paraId="65695499" w14:textId="74E4F5D4" w:rsidR="009424EB" w:rsidRPr="00D93A70" w:rsidRDefault="00933519" w:rsidP="009424EB">
            <w:pPr>
              <w:spacing w:before="0" w:after="0"/>
              <w:ind w:left="57" w:right="57"/>
              <w:rPr>
                <w:rFonts w:cs="Times New Roman"/>
                <w:b/>
                <w:bCs/>
                <w:sz w:val="20"/>
                <w:szCs w:val="20"/>
                <w:lang w:val="sr-Latn-RS"/>
              </w:rPr>
            </w:pPr>
            <w:r w:rsidRPr="00D93A70">
              <w:rPr>
                <w:rFonts w:cs="Times New Roman"/>
                <w:b/>
                <w:bCs/>
                <w:sz w:val="20"/>
                <w:szCs w:val="20"/>
                <w:lang w:val="sr-Latn-RS"/>
              </w:rPr>
              <w:t>Variable</w:t>
            </w:r>
          </w:p>
        </w:tc>
        <w:tc>
          <w:tcPr>
            <w:tcW w:w="1418" w:type="pct"/>
            <w:tcBorders>
              <w:top w:val="single" w:sz="4" w:space="0" w:color="auto"/>
              <w:bottom w:val="single" w:sz="4" w:space="0" w:color="auto"/>
            </w:tcBorders>
            <w:shd w:val="clear" w:color="auto" w:fill="auto"/>
            <w:vAlign w:val="bottom"/>
          </w:tcPr>
          <w:p w14:paraId="14DF5A90" w14:textId="77777777" w:rsidR="009424EB" w:rsidRPr="00D93A70" w:rsidRDefault="009424EB" w:rsidP="00933519">
            <w:pPr>
              <w:spacing w:before="0" w:after="0"/>
              <w:ind w:left="57" w:right="57"/>
              <w:jc w:val="center"/>
              <w:rPr>
                <w:b/>
                <w:bCs/>
                <w:sz w:val="20"/>
                <w:szCs w:val="20"/>
                <w:lang w:val="sr-Latn-RS"/>
              </w:rPr>
            </w:pPr>
            <w:r w:rsidRPr="00D93A70">
              <w:rPr>
                <w:b/>
                <w:bCs/>
                <w:sz w:val="20"/>
                <w:szCs w:val="20"/>
                <w:lang w:val="sr-Latn-RS"/>
              </w:rPr>
              <w:t>Importance</w:t>
            </w:r>
          </w:p>
        </w:tc>
        <w:tc>
          <w:tcPr>
            <w:tcW w:w="1828" w:type="pct"/>
            <w:tcBorders>
              <w:top w:val="single" w:sz="4" w:space="0" w:color="auto"/>
              <w:bottom w:val="single" w:sz="4" w:space="0" w:color="auto"/>
            </w:tcBorders>
            <w:shd w:val="clear" w:color="auto" w:fill="auto"/>
            <w:vAlign w:val="bottom"/>
          </w:tcPr>
          <w:p w14:paraId="57A1FCC9" w14:textId="77777777" w:rsidR="009424EB" w:rsidRPr="00D93A70" w:rsidRDefault="009424EB" w:rsidP="00933519">
            <w:pPr>
              <w:spacing w:before="0" w:after="0"/>
              <w:ind w:left="57" w:right="57"/>
              <w:jc w:val="center"/>
              <w:rPr>
                <w:b/>
                <w:bCs/>
                <w:sz w:val="20"/>
                <w:szCs w:val="20"/>
                <w:lang w:val="sr-Latn-RS"/>
              </w:rPr>
            </w:pPr>
            <w:r w:rsidRPr="00D93A70">
              <w:rPr>
                <w:b/>
                <w:bCs/>
                <w:sz w:val="20"/>
                <w:szCs w:val="20"/>
                <w:lang w:val="sr-Latn-RS"/>
              </w:rPr>
              <w:t>Normalized Importance</w:t>
            </w:r>
          </w:p>
        </w:tc>
      </w:tr>
      <w:tr w:rsidR="009424EB" w:rsidRPr="00D93A70" w14:paraId="414D6B29" w14:textId="77777777" w:rsidTr="00933519">
        <w:trPr>
          <w:cantSplit/>
        </w:trPr>
        <w:tc>
          <w:tcPr>
            <w:tcW w:w="1754" w:type="pct"/>
            <w:tcBorders>
              <w:top w:val="single" w:sz="4" w:space="0" w:color="auto"/>
            </w:tcBorders>
            <w:shd w:val="clear" w:color="auto" w:fill="auto"/>
          </w:tcPr>
          <w:p w14:paraId="44225A1A" w14:textId="77777777" w:rsidR="009424EB" w:rsidRPr="00D93A70" w:rsidRDefault="009424EB" w:rsidP="009424EB">
            <w:pPr>
              <w:spacing w:before="0" w:after="0"/>
              <w:ind w:left="57" w:right="57"/>
              <w:rPr>
                <w:sz w:val="20"/>
                <w:szCs w:val="20"/>
                <w:lang w:val="sr-Latn-RS"/>
              </w:rPr>
            </w:pPr>
            <w:r w:rsidRPr="00D93A70">
              <w:rPr>
                <w:sz w:val="20"/>
                <w:szCs w:val="20"/>
                <w:lang w:val="sr-Latn-RS"/>
              </w:rPr>
              <w:t>HS_idle_time</w:t>
            </w:r>
          </w:p>
        </w:tc>
        <w:tc>
          <w:tcPr>
            <w:tcW w:w="1418" w:type="pct"/>
            <w:tcBorders>
              <w:top w:val="single" w:sz="4" w:space="0" w:color="auto"/>
            </w:tcBorders>
            <w:shd w:val="clear" w:color="auto" w:fill="auto"/>
          </w:tcPr>
          <w:p w14:paraId="74E774BA" w14:textId="111A92F1" w:rsidR="009424EB" w:rsidRPr="00D93A70" w:rsidRDefault="00EE0ABF" w:rsidP="00EE0ABF">
            <w:pPr>
              <w:spacing w:before="0" w:after="0"/>
              <w:ind w:left="57" w:right="57"/>
              <w:jc w:val="right"/>
              <w:rPr>
                <w:sz w:val="20"/>
                <w:szCs w:val="20"/>
                <w:lang w:val="sr-Latn-RS"/>
              </w:rPr>
            </w:pPr>
            <w:r w:rsidRPr="00D93A70">
              <w:rPr>
                <w:sz w:val="20"/>
                <w:szCs w:val="20"/>
                <w:lang w:val="sr-Latn-RS"/>
              </w:rPr>
              <w:t>0.</w:t>
            </w:r>
            <w:r w:rsidR="009424EB" w:rsidRPr="00D93A70">
              <w:rPr>
                <w:sz w:val="20"/>
                <w:szCs w:val="20"/>
                <w:lang w:val="sr-Latn-RS"/>
              </w:rPr>
              <w:t>104</w:t>
            </w:r>
          </w:p>
        </w:tc>
        <w:tc>
          <w:tcPr>
            <w:tcW w:w="1828" w:type="pct"/>
            <w:tcBorders>
              <w:top w:val="single" w:sz="4" w:space="0" w:color="auto"/>
            </w:tcBorders>
            <w:shd w:val="clear" w:color="auto" w:fill="auto"/>
          </w:tcPr>
          <w:p w14:paraId="6E76093D" w14:textId="0103FC4D" w:rsidR="009424EB" w:rsidRPr="00D93A70" w:rsidRDefault="009424EB" w:rsidP="00933519">
            <w:pPr>
              <w:spacing w:before="0" w:after="0"/>
              <w:ind w:left="57" w:right="57"/>
              <w:jc w:val="right"/>
              <w:rPr>
                <w:sz w:val="20"/>
                <w:szCs w:val="20"/>
                <w:lang w:val="sr-Latn-RS"/>
              </w:rPr>
            </w:pPr>
            <w:r w:rsidRPr="00D93A70">
              <w:rPr>
                <w:sz w:val="20"/>
                <w:szCs w:val="20"/>
                <w:lang w:val="sr-Latn-RS"/>
              </w:rPr>
              <w:t>52</w:t>
            </w:r>
            <w:r w:rsidR="00EE0ABF" w:rsidRPr="00D93A70">
              <w:rPr>
                <w:sz w:val="20"/>
                <w:szCs w:val="20"/>
                <w:lang w:val="sr-Latn-RS"/>
              </w:rPr>
              <w:t>.</w:t>
            </w:r>
            <w:r w:rsidRPr="00D93A70">
              <w:rPr>
                <w:sz w:val="20"/>
                <w:szCs w:val="20"/>
                <w:lang w:val="sr-Latn-RS"/>
              </w:rPr>
              <w:t>3%</w:t>
            </w:r>
          </w:p>
        </w:tc>
      </w:tr>
      <w:tr w:rsidR="009424EB" w:rsidRPr="00D93A70" w14:paraId="4A6C3FAF" w14:textId="77777777" w:rsidTr="009424EB">
        <w:trPr>
          <w:cantSplit/>
        </w:trPr>
        <w:tc>
          <w:tcPr>
            <w:tcW w:w="1754" w:type="pct"/>
            <w:shd w:val="clear" w:color="auto" w:fill="auto"/>
          </w:tcPr>
          <w:p w14:paraId="5214E36D" w14:textId="77777777" w:rsidR="009424EB" w:rsidRPr="00D93A70" w:rsidRDefault="009424EB" w:rsidP="009424EB">
            <w:pPr>
              <w:spacing w:before="0" w:after="0"/>
              <w:ind w:left="57" w:right="57"/>
              <w:rPr>
                <w:sz w:val="20"/>
                <w:szCs w:val="20"/>
                <w:lang w:val="sr-Latn-RS"/>
              </w:rPr>
            </w:pPr>
            <w:r w:rsidRPr="00D93A70">
              <w:rPr>
                <w:sz w:val="20"/>
                <w:szCs w:val="20"/>
                <w:lang w:val="sr-Latn-RS"/>
              </w:rPr>
              <w:t>T1</w:t>
            </w:r>
          </w:p>
        </w:tc>
        <w:tc>
          <w:tcPr>
            <w:tcW w:w="1418" w:type="pct"/>
            <w:shd w:val="clear" w:color="auto" w:fill="auto"/>
          </w:tcPr>
          <w:p w14:paraId="0665BD25" w14:textId="4383DE66" w:rsidR="009424EB" w:rsidRPr="00D93A70" w:rsidRDefault="00EE0ABF" w:rsidP="00EE0ABF">
            <w:pPr>
              <w:spacing w:before="0" w:after="0"/>
              <w:ind w:left="57" w:right="57"/>
              <w:jc w:val="right"/>
              <w:rPr>
                <w:sz w:val="20"/>
                <w:szCs w:val="20"/>
                <w:lang w:val="sr-Latn-RS"/>
              </w:rPr>
            </w:pPr>
            <w:r w:rsidRPr="00D93A70">
              <w:rPr>
                <w:sz w:val="20"/>
                <w:szCs w:val="20"/>
                <w:lang w:val="sr-Latn-RS"/>
              </w:rPr>
              <w:t>0.</w:t>
            </w:r>
            <w:r w:rsidR="009424EB" w:rsidRPr="00D93A70">
              <w:rPr>
                <w:sz w:val="20"/>
                <w:szCs w:val="20"/>
                <w:lang w:val="sr-Latn-RS"/>
              </w:rPr>
              <w:t>032</w:t>
            </w:r>
          </w:p>
        </w:tc>
        <w:tc>
          <w:tcPr>
            <w:tcW w:w="1828" w:type="pct"/>
            <w:shd w:val="clear" w:color="auto" w:fill="auto"/>
          </w:tcPr>
          <w:p w14:paraId="0815E12D" w14:textId="2A4BA5CC" w:rsidR="009424EB" w:rsidRPr="00D93A70" w:rsidRDefault="009424EB" w:rsidP="00933519">
            <w:pPr>
              <w:spacing w:before="0" w:after="0"/>
              <w:ind w:left="57" w:right="57"/>
              <w:jc w:val="right"/>
              <w:rPr>
                <w:sz w:val="20"/>
                <w:szCs w:val="20"/>
                <w:lang w:val="sr-Latn-RS"/>
              </w:rPr>
            </w:pPr>
            <w:r w:rsidRPr="00D93A70">
              <w:rPr>
                <w:sz w:val="20"/>
                <w:szCs w:val="20"/>
                <w:lang w:val="sr-Latn-RS"/>
              </w:rPr>
              <w:t>16</w:t>
            </w:r>
            <w:r w:rsidR="00EE0ABF" w:rsidRPr="00D93A70">
              <w:rPr>
                <w:sz w:val="20"/>
                <w:szCs w:val="20"/>
                <w:lang w:val="sr-Latn-RS"/>
              </w:rPr>
              <w:t>.</w:t>
            </w:r>
            <w:r w:rsidRPr="00D93A70">
              <w:rPr>
                <w:sz w:val="20"/>
                <w:szCs w:val="20"/>
                <w:lang w:val="sr-Latn-RS"/>
              </w:rPr>
              <w:t>1%</w:t>
            </w:r>
          </w:p>
        </w:tc>
      </w:tr>
      <w:tr w:rsidR="009424EB" w:rsidRPr="00D93A70" w14:paraId="48BAB7FC" w14:textId="77777777" w:rsidTr="009424EB">
        <w:trPr>
          <w:cantSplit/>
        </w:trPr>
        <w:tc>
          <w:tcPr>
            <w:tcW w:w="1754" w:type="pct"/>
            <w:shd w:val="clear" w:color="auto" w:fill="auto"/>
          </w:tcPr>
          <w:p w14:paraId="35D3E93A" w14:textId="77777777" w:rsidR="009424EB" w:rsidRPr="00D93A70" w:rsidRDefault="009424EB" w:rsidP="009424EB">
            <w:pPr>
              <w:spacing w:before="0" w:after="0"/>
              <w:ind w:left="57" w:right="57"/>
              <w:rPr>
                <w:sz w:val="20"/>
                <w:szCs w:val="20"/>
                <w:lang w:val="sr-Latn-RS"/>
              </w:rPr>
            </w:pPr>
            <w:r w:rsidRPr="00D93A70">
              <w:rPr>
                <w:sz w:val="20"/>
                <w:szCs w:val="20"/>
                <w:lang w:val="sr-Latn-RS"/>
              </w:rPr>
              <w:t>T2</w:t>
            </w:r>
          </w:p>
        </w:tc>
        <w:tc>
          <w:tcPr>
            <w:tcW w:w="1418" w:type="pct"/>
            <w:shd w:val="clear" w:color="auto" w:fill="auto"/>
          </w:tcPr>
          <w:p w14:paraId="1DA728F2" w14:textId="34F7C765" w:rsidR="009424EB" w:rsidRPr="00D93A70" w:rsidRDefault="00EE0ABF" w:rsidP="00EE0ABF">
            <w:pPr>
              <w:spacing w:before="0" w:after="0"/>
              <w:ind w:left="57" w:right="57"/>
              <w:jc w:val="right"/>
              <w:rPr>
                <w:sz w:val="20"/>
                <w:szCs w:val="20"/>
                <w:lang w:val="sr-Latn-RS"/>
              </w:rPr>
            </w:pPr>
            <w:r w:rsidRPr="00D93A70">
              <w:rPr>
                <w:sz w:val="20"/>
                <w:szCs w:val="20"/>
                <w:lang w:val="sr-Latn-RS"/>
              </w:rPr>
              <w:t>0.</w:t>
            </w:r>
            <w:r w:rsidR="009424EB" w:rsidRPr="00D93A70">
              <w:rPr>
                <w:sz w:val="20"/>
                <w:szCs w:val="20"/>
                <w:lang w:val="sr-Latn-RS"/>
              </w:rPr>
              <w:t>047</w:t>
            </w:r>
          </w:p>
        </w:tc>
        <w:tc>
          <w:tcPr>
            <w:tcW w:w="1828" w:type="pct"/>
            <w:shd w:val="clear" w:color="auto" w:fill="auto"/>
          </w:tcPr>
          <w:p w14:paraId="30DA7B58" w14:textId="2F17C3E8" w:rsidR="009424EB" w:rsidRPr="00D93A70" w:rsidRDefault="009424EB" w:rsidP="00933519">
            <w:pPr>
              <w:spacing w:before="0" w:after="0"/>
              <w:ind w:left="57" w:right="57"/>
              <w:jc w:val="right"/>
              <w:rPr>
                <w:sz w:val="20"/>
                <w:szCs w:val="20"/>
                <w:lang w:val="sr-Latn-RS"/>
              </w:rPr>
            </w:pPr>
            <w:r w:rsidRPr="00D93A70">
              <w:rPr>
                <w:sz w:val="20"/>
                <w:szCs w:val="20"/>
                <w:lang w:val="sr-Latn-RS"/>
              </w:rPr>
              <w:t>23</w:t>
            </w:r>
            <w:r w:rsidR="00EE0ABF" w:rsidRPr="00D93A70">
              <w:rPr>
                <w:sz w:val="20"/>
                <w:szCs w:val="20"/>
                <w:lang w:val="sr-Latn-RS"/>
              </w:rPr>
              <w:t>.</w:t>
            </w:r>
            <w:r w:rsidRPr="00D93A70">
              <w:rPr>
                <w:sz w:val="20"/>
                <w:szCs w:val="20"/>
                <w:lang w:val="sr-Latn-RS"/>
              </w:rPr>
              <w:t>5%</w:t>
            </w:r>
          </w:p>
        </w:tc>
      </w:tr>
      <w:tr w:rsidR="009424EB" w:rsidRPr="00D93A70" w14:paraId="419737B6" w14:textId="77777777" w:rsidTr="009424EB">
        <w:trPr>
          <w:cantSplit/>
        </w:trPr>
        <w:tc>
          <w:tcPr>
            <w:tcW w:w="1754" w:type="pct"/>
            <w:shd w:val="clear" w:color="auto" w:fill="auto"/>
          </w:tcPr>
          <w:p w14:paraId="3E31104B" w14:textId="77777777" w:rsidR="009424EB" w:rsidRPr="00D93A70" w:rsidRDefault="009424EB" w:rsidP="009424EB">
            <w:pPr>
              <w:spacing w:before="0" w:after="0"/>
              <w:ind w:left="57" w:right="57"/>
              <w:rPr>
                <w:sz w:val="20"/>
                <w:szCs w:val="20"/>
                <w:lang w:val="sr-Latn-RS"/>
              </w:rPr>
            </w:pPr>
            <w:r w:rsidRPr="00D93A70">
              <w:rPr>
                <w:sz w:val="20"/>
                <w:szCs w:val="20"/>
                <w:lang w:val="sr-Latn-RS"/>
              </w:rPr>
              <w:t>T4</w:t>
            </w:r>
          </w:p>
        </w:tc>
        <w:tc>
          <w:tcPr>
            <w:tcW w:w="1418" w:type="pct"/>
            <w:shd w:val="clear" w:color="auto" w:fill="auto"/>
          </w:tcPr>
          <w:p w14:paraId="7B4AED9A" w14:textId="20A94D74" w:rsidR="009424EB" w:rsidRPr="00D93A70" w:rsidRDefault="00EE0ABF" w:rsidP="00EE0ABF">
            <w:pPr>
              <w:spacing w:before="0" w:after="0"/>
              <w:ind w:left="57" w:right="57"/>
              <w:jc w:val="right"/>
              <w:rPr>
                <w:sz w:val="20"/>
                <w:szCs w:val="20"/>
                <w:lang w:val="sr-Latn-RS"/>
              </w:rPr>
            </w:pPr>
            <w:r w:rsidRPr="00D93A70">
              <w:rPr>
                <w:sz w:val="20"/>
                <w:szCs w:val="20"/>
                <w:lang w:val="sr-Latn-RS"/>
              </w:rPr>
              <w:t>0.</w:t>
            </w:r>
            <w:r w:rsidR="009424EB" w:rsidRPr="00D93A70">
              <w:rPr>
                <w:sz w:val="20"/>
                <w:szCs w:val="20"/>
                <w:lang w:val="sr-Latn-RS"/>
              </w:rPr>
              <w:t>066</w:t>
            </w:r>
          </w:p>
        </w:tc>
        <w:tc>
          <w:tcPr>
            <w:tcW w:w="1828" w:type="pct"/>
            <w:shd w:val="clear" w:color="auto" w:fill="auto"/>
          </w:tcPr>
          <w:p w14:paraId="048A1D6B" w14:textId="7DBFB313" w:rsidR="009424EB" w:rsidRPr="00D93A70" w:rsidRDefault="009424EB" w:rsidP="00933519">
            <w:pPr>
              <w:spacing w:before="0" w:after="0"/>
              <w:ind w:left="57" w:right="57"/>
              <w:jc w:val="right"/>
              <w:rPr>
                <w:sz w:val="20"/>
                <w:szCs w:val="20"/>
                <w:lang w:val="sr-Latn-RS"/>
              </w:rPr>
            </w:pPr>
            <w:r w:rsidRPr="00D93A70">
              <w:rPr>
                <w:sz w:val="20"/>
                <w:szCs w:val="20"/>
                <w:lang w:val="sr-Latn-RS"/>
              </w:rPr>
              <w:t>33</w:t>
            </w:r>
            <w:r w:rsidR="00EE0ABF" w:rsidRPr="00D93A70">
              <w:rPr>
                <w:sz w:val="20"/>
                <w:szCs w:val="20"/>
                <w:lang w:val="sr-Latn-RS"/>
              </w:rPr>
              <w:t>.</w:t>
            </w:r>
            <w:r w:rsidRPr="00D93A70">
              <w:rPr>
                <w:sz w:val="20"/>
                <w:szCs w:val="20"/>
                <w:lang w:val="sr-Latn-RS"/>
              </w:rPr>
              <w:t>0%</w:t>
            </w:r>
          </w:p>
        </w:tc>
      </w:tr>
      <w:tr w:rsidR="009424EB" w:rsidRPr="00D93A70" w14:paraId="03019E34" w14:textId="77777777" w:rsidTr="009424EB">
        <w:trPr>
          <w:cantSplit/>
        </w:trPr>
        <w:tc>
          <w:tcPr>
            <w:tcW w:w="1754" w:type="pct"/>
            <w:shd w:val="clear" w:color="auto" w:fill="auto"/>
          </w:tcPr>
          <w:p w14:paraId="6141108A" w14:textId="77777777" w:rsidR="009424EB" w:rsidRPr="00D93A70" w:rsidRDefault="009424EB" w:rsidP="009424EB">
            <w:pPr>
              <w:spacing w:before="0" w:after="0"/>
              <w:ind w:left="57" w:right="57"/>
              <w:rPr>
                <w:sz w:val="20"/>
                <w:szCs w:val="20"/>
                <w:lang w:val="sr-Latn-RS"/>
              </w:rPr>
            </w:pPr>
            <w:r w:rsidRPr="00D93A70">
              <w:rPr>
                <w:sz w:val="20"/>
                <w:szCs w:val="20"/>
                <w:lang w:val="sr-Latn-RS"/>
              </w:rPr>
              <w:t>Load_kg_n</w:t>
            </w:r>
          </w:p>
        </w:tc>
        <w:tc>
          <w:tcPr>
            <w:tcW w:w="1418" w:type="pct"/>
            <w:shd w:val="clear" w:color="auto" w:fill="auto"/>
          </w:tcPr>
          <w:p w14:paraId="18246CA8" w14:textId="1A0D13DD" w:rsidR="009424EB" w:rsidRPr="00D93A70" w:rsidRDefault="00EE0ABF" w:rsidP="00EE0ABF">
            <w:pPr>
              <w:spacing w:before="0" w:after="0"/>
              <w:ind w:left="57" w:right="57"/>
              <w:jc w:val="right"/>
              <w:rPr>
                <w:sz w:val="20"/>
                <w:szCs w:val="20"/>
                <w:lang w:val="sr-Latn-RS"/>
              </w:rPr>
            </w:pPr>
            <w:r w:rsidRPr="00D93A70">
              <w:rPr>
                <w:sz w:val="20"/>
                <w:szCs w:val="20"/>
                <w:lang w:val="sr-Latn-RS"/>
              </w:rPr>
              <w:t>0.</w:t>
            </w:r>
            <w:r w:rsidR="009424EB" w:rsidRPr="00D93A70">
              <w:rPr>
                <w:sz w:val="20"/>
                <w:szCs w:val="20"/>
                <w:lang w:val="sr-Latn-RS"/>
              </w:rPr>
              <w:t>046</w:t>
            </w:r>
          </w:p>
        </w:tc>
        <w:tc>
          <w:tcPr>
            <w:tcW w:w="1828" w:type="pct"/>
            <w:shd w:val="clear" w:color="auto" w:fill="auto"/>
          </w:tcPr>
          <w:p w14:paraId="4869196F" w14:textId="2FBD8BE9" w:rsidR="009424EB" w:rsidRPr="00D93A70" w:rsidRDefault="009424EB" w:rsidP="00933519">
            <w:pPr>
              <w:spacing w:before="0" w:after="0"/>
              <w:ind w:left="57" w:right="57"/>
              <w:jc w:val="right"/>
              <w:rPr>
                <w:sz w:val="20"/>
                <w:szCs w:val="20"/>
                <w:lang w:val="sr-Latn-RS"/>
              </w:rPr>
            </w:pPr>
            <w:r w:rsidRPr="00D93A70">
              <w:rPr>
                <w:sz w:val="20"/>
                <w:szCs w:val="20"/>
                <w:lang w:val="sr-Latn-RS"/>
              </w:rPr>
              <w:t>23</w:t>
            </w:r>
            <w:r w:rsidR="00EE0ABF" w:rsidRPr="00D93A70">
              <w:rPr>
                <w:sz w:val="20"/>
                <w:szCs w:val="20"/>
                <w:lang w:val="sr-Latn-RS"/>
              </w:rPr>
              <w:t>.</w:t>
            </w:r>
            <w:r w:rsidRPr="00D93A70">
              <w:rPr>
                <w:sz w:val="20"/>
                <w:szCs w:val="20"/>
                <w:lang w:val="sr-Latn-RS"/>
              </w:rPr>
              <w:t>1%</w:t>
            </w:r>
          </w:p>
        </w:tc>
      </w:tr>
      <w:tr w:rsidR="009424EB" w:rsidRPr="00D93A70" w14:paraId="65089290" w14:textId="77777777" w:rsidTr="009424EB">
        <w:trPr>
          <w:cantSplit/>
        </w:trPr>
        <w:tc>
          <w:tcPr>
            <w:tcW w:w="1754" w:type="pct"/>
            <w:shd w:val="clear" w:color="auto" w:fill="auto"/>
          </w:tcPr>
          <w:p w14:paraId="701EF36D" w14:textId="77777777" w:rsidR="009424EB" w:rsidRPr="00D93A70" w:rsidRDefault="009424EB" w:rsidP="009424EB">
            <w:pPr>
              <w:spacing w:before="0" w:after="0"/>
              <w:ind w:left="57" w:right="57"/>
              <w:rPr>
                <w:sz w:val="20"/>
                <w:szCs w:val="20"/>
                <w:lang w:val="sr-Latn-RS"/>
              </w:rPr>
            </w:pPr>
            <w:r w:rsidRPr="00D93A70">
              <w:rPr>
                <w:sz w:val="20"/>
                <w:szCs w:val="20"/>
                <w:lang w:val="sr-Latn-RS"/>
              </w:rPr>
              <w:t>N_Stdev_OS</w:t>
            </w:r>
          </w:p>
        </w:tc>
        <w:tc>
          <w:tcPr>
            <w:tcW w:w="1418" w:type="pct"/>
            <w:shd w:val="clear" w:color="auto" w:fill="auto"/>
          </w:tcPr>
          <w:p w14:paraId="6E6D81D3" w14:textId="02BFCC06" w:rsidR="009424EB" w:rsidRPr="00D93A70" w:rsidRDefault="00EE0ABF" w:rsidP="00EE0ABF">
            <w:pPr>
              <w:spacing w:before="0" w:after="0"/>
              <w:ind w:left="57" w:right="57"/>
              <w:jc w:val="right"/>
              <w:rPr>
                <w:sz w:val="20"/>
                <w:szCs w:val="20"/>
                <w:lang w:val="sr-Latn-RS"/>
              </w:rPr>
            </w:pPr>
            <w:r w:rsidRPr="00D93A70">
              <w:rPr>
                <w:sz w:val="20"/>
                <w:szCs w:val="20"/>
                <w:lang w:val="sr-Latn-RS"/>
              </w:rPr>
              <w:t>0.</w:t>
            </w:r>
            <w:r w:rsidR="009424EB" w:rsidRPr="00D93A70">
              <w:rPr>
                <w:sz w:val="20"/>
                <w:szCs w:val="20"/>
                <w:lang w:val="sr-Latn-RS"/>
              </w:rPr>
              <w:t>199</w:t>
            </w:r>
          </w:p>
        </w:tc>
        <w:tc>
          <w:tcPr>
            <w:tcW w:w="1828" w:type="pct"/>
            <w:shd w:val="clear" w:color="auto" w:fill="auto"/>
          </w:tcPr>
          <w:p w14:paraId="7A1A7BB4" w14:textId="3C33D09E" w:rsidR="009424EB" w:rsidRPr="00D93A70" w:rsidRDefault="009424EB" w:rsidP="00933519">
            <w:pPr>
              <w:spacing w:before="0" w:after="0"/>
              <w:ind w:left="57" w:right="57"/>
              <w:jc w:val="right"/>
              <w:rPr>
                <w:sz w:val="20"/>
                <w:szCs w:val="20"/>
                <w:lang w:val="sr-Latn-RS"/>
              </w:rPr>
            </w:pPr>
            <w:r w:rsidRPr="00D93A70">
              <w:rPr>
                <w:sz w:val="20"/>
                <w:szCs w:val="20"/>
                <w:lang w:val="sr-Latn-RS"/>
              </w:rPr>
              <w:t>100</w:t>
            </w:r>
            <w:r w:rsidR="00EE0ABF" w:rsidRPr="00D93A70">
              <w:rPr>
                <w:sz w:val="20"/>
                <w:szCs w:val="20"/>
                <w:lang w:val="sr-Latn-RS"/>
              </w:rPr>
              <w:t>.</w:t>
            </w:r>
            <w:r w:rsidRPr="00D93A70">
              <w:rPr>
                <w:sz w:val="20"/>
                <w:szCs w:val="20"/>
                <w:lang w:val="sr-Latn-RS"/>
              </w:rPr>
              <w:t>0%</w:t>
            </w:r>
          </w:p>
        </w:tc>
      </w:tr>
      <w:tr w:rsidR="009424EB" w:rsidRPr="00D93A70" w14:paraId="1DD01483" w14:textId="77777777" w:rsidTr="009424EB">
        <w:trPr>
          <w:cantSplit/>
        </w:trPr>
        <w:tc>
          <w:tcPr>
            <w:tcW w:w="1754" w:type="pct"/>
            <w:shd w:val="clear" w:color="auto" w:fill="auto"/>
          </w:tcPr>
          <w:p w14:paraId="14EB86FE" w14:textId="77777777" w:rsidR="009424EB" w:rsidRPr="00D93A70" w:rsidRDefault="009424EB" w:rsidP="009424EB">
            <w:pPr>
              <w:spacing w:before="0" w:after="0"/>
              <w:ind w:left="57" w:right="57"/>
              <w:rPr>
                <w:sz w:val="20"/>
                <w:szCs w:val="20"/>
                <w:lang w:val="sr-Latn-RS"/>
              </w:rPr>
            </w:pPr>
            <w:r w:rsidRPr="00D93A70">
              <w:rPr>
                <w:sz w:val="20"/>
                <w:szCs w:val="20"/>
                <w:lang w:val="sr-Latn-RS"/>
              </w:rPr>
              <w:t>N_Median_OS</w:t>
            </w:r>
          </w:p>
        </w:tc>
        <w:tc>
          <w:tcPr>
            <w:tcW w:w="1418" w:type="pct"/>
            <w:shd w:val="clear" w:color="auto" w:fill="auto"/>
          </w:tcPr>
          <w:p w14:paraId="2AA6683C" w14:textId="1302A147" w:rsidR="009424EB" w:rsidRPr="00D93A70" w:rsidRDefault="00EE0ABF" w:rsidP="00EE0ABF">
            <w:pPr>
              <w:spacing w:before="0" w:after="0"/>
              <w:ind w:left="57" w:right="57"/>
              <w:jc w:val="right"/>
              <w:rPr>
                <w:sz w:val="20"/>
                <w:szCs w:val="20"/>
                <w:lang w:val="sr-Latn-RS"/>
              </w:rPr>
            </w:pPr>
            <w:r w:rsidRPr="00D93A70">
              <w:rPr>
                <w:sz w:val="20"/>
                <w:szCs w:val="20"/>
                <w:lang w:val="sr-Latn-RS"/>
              </w:rPr>
              <w:t>0.</w:t>
            </w:r>
            <w:r w:rsidR="009424EB" w:rsidRPr="00D93A70">
              <w:rPr>
                <w:sz w:val="20"/>
                <w:szCs w:val="20"/>
                <w:lang w:val="sr-Latn-RS"/>
              </w:rPr>
              <w:t>127</w:t>
            </w:r>
          </w:p>
        </w:tc>
        <w:tc>
          <w:tcPr>
            <w:tcW w:w="1828" w:type="pct"/>
            <w:shd w:val="clear" w:color="auto" w:fill="auto"/>
          </w:tcPr>
          <w:p w14:paraId="4CF994D9" w14:textId="7C910C6A" w:rsidR="009424EB" w:rsidRPr="00D93A70" w:rsidRDefault="009424EB" w:rsidP="00933519">
            <w:pPr>
              <w:spacing w:before="0" w:after="0"/>
              <w:ind w:left="57" w:right="57"/>
              <w:jc w:val="right"/>
              <w:rPr>
                <w:sz w:val="20"/>
                <w:szCs w:val="20"/>
                <w:lang w:val="sr-Latn-RS"/>
              </w:rPr>
            </w:pPr>
            <w:r w:rsidRPr="00D93A70">
              <w:rPr>
                <w:sz w:val="20"/>
                <w:szCs w:val="20"/>
                <w:lang w:val="sr-Latn-RS"/>
              </w:rPr>
              <w:t>63</w:t>
            </w:r>
            <w:r w:rsidR="00EE0ABF" w:rsidRPr="00D93A70">
              <w:rPr>
                <w:sz w:val="20"/>
                <w:szCs w:val="20"/>
                <w:lang w:val="sr-Latn-RS"/>
              </w:rPr>
              <w:t>.</w:t>
            </w:r>
            <w:r w:rsidRPr="00D93A70">
              <w:rPr>
                <w:sz w:val="20"/>
                <w:szCs w:val="20"/>
                <w:lang w:val="sr-Latn-RS"/>
              </w:rPr>
              <w:t>7%</w:t>
            </w:r>
          </w:p>
        </w:tc>
      </w:tr>
      <w:tr w:rsidR="009424EB" w:rsidRPr="00D93A70" w14:paraId="1BF4D062" w14:textId="77777777" w:rsidTr="009424EB">
        <w:trPr>
          <w:cantSplit/>
        </w:trPr>
        <w:tc>
          <w:tcPr>
            <w:tcW w:w="1754" w:type="pct"/>
            <w:shd w:val="clear" w:color="auto" w:fill="auto"/>
          </w:tcPr>
          <w:p w14:paraId="52AFAA99" w14:textId="77777777" w:rsidR="009424EB" w:rsidRPr="00D93A70" w:rsidRDefault="009424EB" w:rsidP="009424EB">
            <w:pPr>
              <w:spacing w:before="0" w:after="0"/>
              <w:ind w:left="57" w:right="57"/>
              <w:rPr>
                <w:sz w:val="20"/>
                <w:szCs w:val="20"/>
                <w:lang w:val="sr-Latn-RS"/>
              </w:rPr>
            </w:pPr>
            <w:r w:rsidRPr="00D93A70">
              <w:rPr>
                <w:sz w:val="20"/>
                <w:szCs w:val="20"/>
                <w:lang w:val="sr-Latn-RS"/>
              </w:rPr>
              <w:t>N_Min_OS</w:t>
            </w:r>
          </w:p>
        </w:tc>
        <w:tc>
          <w:tcPr>
            <w:tcW w:w="1418" w:type="pct"/>
            <w:shd w:val="clear" w:color="auto" w:fill="auto"/>
          </w:tcPr>
          <w:p w14:paraId="38309496" w14:textId="66F1E2E1" w:rsidR="009424EB" w:rsidRPr="00D93A70" w:rsidRDefault="00EE0ABF" w:rsidP="00EE0ABF">
            <w:pPr>
              <w:spacing w:before="0" w:after="0"/>
              <w:ind w:left="57" w:right="57"/>
              <w:jc w:val="right"/>
              <w:rPr>
                <w:sz w:val="20"/>
                <w:szCs w:val="20"/>
                <w:lang w:val="sr-Latn-RS"/>
              </w:rPr>
            </w:pPr>
            <w:r w:rsidRPr="00D93A70">
              <w:rPr>
                <w:sz w:val="20"/>
                <w:szCs w:val="20"/>
                <w:lang w:val="sr-Latn-RS"/>
              </w:rPr>
              <w:t>0.</w:t>
            </w:r>
            <w:r w:rsidR="009424EB" w:rsidRPr="00D93A70">
              <w:rPr>
                <w:sz w:val="20"/>
                <w:szCs w:val="20"/>
                <w:lang w:val="sr-Latn-RS"/>
              </w:rPr>
              <w:t>154</w:t>
            </w:r>
          </w:p>
        </w:tc>
        <w:tc>
          <w:tcPr>
            <w:tcW w:w="1828" w:type="pct"/>
            <w:shd w:val="clear" w:color="auto" w:fill="auto"/>
          </w:tcPr>
          <w:p w14:paraId="3AC112A3" w14:textId="0BFCB7CB" w:rsidR="009424EB" w:rsidRPr="00D93A70" w:rsidRDefault="009424EB" w:rsidP="00933519">
            <w:pPr>
              <w:spacing w:before="0" w:after="0"/>
              <w:ind w:left="57" w:right="57"/>
              <w:jc w:val="right"/>
              <w:rPr>
                <w:sz w:val="20"/>
                <w:szCs w:val="20"/>
                <w:lang w:val="sr-Latn-RS"/>
              </w:rPr>
            </w:pPr>
            <w:r w:rsidRPr="00D93A70">
              <w:rPr>
                <w:sz w:val="20"/>
                <w:szCs w:val="20"/>
                <w:lang w:val="sr-Latn-RS"/>
              </w:rPr>
              <w:t>77</w:t>
            </w:r>
            <w:r w:rsidR="00EE0ABF" w:rsidRPr="00D93A70">
              <w:rPr>
                <w:sz w:val="20"/>
                <w:szCs w:val="20"/>
                <w:lang w:val="sr-Latn-RS"/>
              </w:rPr>
              <w:t>.</w:t>
            </w:r>
            <w:r w:rsidRPr="00D93A70">
              <w:rPr>
                <w:sz w:val="20"/>
                <w:szCs w:val="20"/>
                <w:lang w:val="sr-Latn-RS"/>
              </w:rPr>
              <w:t>5%</w:t>
            </w:r>
          </w:p>
        </w:tc>
      </w:tr>
      <w:tr w:rsidR="009424EB" w:rsidRPr="00D93A70" w14:paraId="30680ACF" w14:textId="77777777" w:rsidTr="00933519">
        <w:trPr>
          <w:cantSplit/>
        </w:trPr>
        <w:tc>
          <w:tcPr>
            <w:tcW w:w="1754" w:type="pct"/>
            <w:shd w:val="clear" w:color="auto" w:fill="auto"/>
          </w:tcPr>
          <w:p w14:paraId="19EAF8ED" w14:textId="77777777" w:rsidR="009424EB" w:rsidRPr="00D93A70" w:rsidRDefault="009424EB" w:rsidP="009424EB">
            <w:pPr>
              <w:spacing w:before="0" w:after="0"/>
              <w:ind w:left="57" w:right="57"/>
              <w:rPr>
                <w:sz w:val="20"/>
                <w:szCs w:val="20"/>
                <w:lang w:val="sr-Latn-RS"/>
              </w:rPr>
            </w:pPr>
            <w:r w:rsidRPr="00D93A70">
              <w:rPr>
                <w:sz w:val="20"/>
                <w:szCs w:val="20"/>
                <w:lang w:val="sr-Latn-RS"/>
              </w:rPr>
              <w:t>N_Max_OS</w:t>
            </w:r>
          </w:p>
        </w:tc>
        <w:tc>
          <w:tcPr>
            <w:tcW w:w="1418" w:type="pct"/>
            <w:shd w:val="clear" w:color="auto" w:fill="auto"/>
          </w:tcPr>
          <w:p w14:paraId="665C4DD9" w14:textId="6899CA85" w:rsidR="009424EB" w:rsidRPr="00D93A70" w:rsidRDefault="00EE0ABF" w:rsidP="00EE0ABF">
            <w:pPr>
              <w:spacing w:before="0" w:after="0"/>
              <w:ind w:left="57" w:right="57"/>
              <w:jc w:val="right"/>
              <w:rPr>
                <w:sz w:val="20"/>
                <w:szCs w:val="20"/>
                <w:lang w:val="sr-Latn-RS"/>
              </w:rPr>
            </w:pPr>
            <w:r w:rsidRPr="00D93A70">
              <w:rPr>
                <w:sz w:val="20"/>
                <w:szCs w:val="20"/>
                <w:lang w:val="sr-Latn-RS"/>
              </w:rPr>
              <w:t>0.</w:t>
            </w:r>
            <w:r w:rsidR="009424EB" w:rsidRPr="00D93A70">
              <w:rPr>
                <w:sz w:val="20"/>
                <w:szCs w:val="20"/>
                <w:lang w:val="sr-Latn-RS"/>
              </w:rPr>
              <w:t>104</w:t>
            </w:r>
          </w:p>
        </w:tc>
        <w:tc>
          <w:tcPr>
            <w:tcW w:w="1828" w:type="pct"/>
            <w:shd w:val="clear" w:color="auto" w:fill="auto"/>
          </w:tcPr>
          <w:p w14:paraId="7E236F0C" w14:textId="336C2435" w:rsidR="009424EB" w:rsidRPr="00D93A70" w:rsidRDefault="009424EB" w:rsidP="00933519">
            <w:pPr>
              <w:spacing w:before="0" w:after="0"/>
              <w:ind w:left="57" w:right="57"/>
              <w:jc w:val="right"/>
              <w:rPr>
                <w:sz w:val="20"/>
                <w:szCs w:val="20"/>
                <w:lang w:val="sr-Latn-RS"/>
              </w:rPr>
            </w:pPr>
            <w:r w:rsidRPr="00D93A70">
              <w:rPr>
                <w:sz w:val="20"/>
                <w:szCs w:val="20"/>
                <w:lang w:val="sr-Latn-RS"/>
              </w:rPr>
              <w:t>52</w:t>
            </w:r>
            <w:r w:rsidR="00EE0ABF" w:rsidRPr="00D93A70">
              <w:rPr>
                <w:sz w:val="20"/>
                <w:szCs w:val="20"/>
                <w:lang w:val="sr-Latn-RS"/>
              </w:rPr>
              <w:t>.</w:t>
            </w:r>
            <w:r w:rsidRPr="00D93A70">
              <w:rPr>
                <w:sz w:val="20"/>
                <w:szCs w:val="20"/>
                <w:lang w:val="sr-Latn-RS"/>
              </w:rPr>
              <w:t>1%</w:t>
            </w:r>
          </w:p>
        </w:tc>
      </w:tr>
      <w:tr w:rsidR="009424EB" w:rsidRPr="00D93A70" w14:paraId="1E989A75" w14:textId="77777777" w:rsidTr="00933519">
        <w:trPr>
          <w:cantSplit/>
        </w:trPr>
        <w:tc>
          <w:tcPr>
            <w:tcW w:w="1754" w:type="pct"/>
            <w:tcBorders>
              <w:bottom w:val="single" w:sz="4" w:space="0" w:color="auto"/>
            </w:tcBorders>
            <w:shd w:val="clear" w:color="auto" w:fill="auto"/>
          </w:tcPr>
          <w:p w14:paraId="22736CF6" w14:textId="77777777" w:rsidR="009424EB" w:rsidRPr="00D93A70" w:rsidRDefault="009424EB" w:rsidP="009424EB">
            <w:pPr>
              <w:spacing w:before="0" w:after="0"/>
              <w:ind w:left="57" w:right="57"/>
              <w:rPr>
                <w:sz w:val="20"/>
                <w:szCs w:val="20"/>
                <w:lang w:val="sr-Latn-RS"/>
              </w:rPr>
            </w:pPr>
            <w:r w:rsidRPr="00D93A70">
              <w:rPr>
                <w:sz w:val="20"/>
                <w:szCs w:val="20"/>
                <w:lang w:val="sr-Latn-RS"/>
              </w:rPr>
              <w:t>N_Kurt_OS</w:t>
            </w:r>
          </w:p>
        </w:tc>
        <w:tc>
          <w:tcPr>
            <w:tcW w:w="1418" w:type="pct"/>
            <w:tcBorders>
              <w:bottom w:val="single" w:sz="4" w:space="0" w:color="auto"/>
            </w:tcBorders>
            <w:shd w:val="clear" w:color="auto" w:fill="auto"/>
          </w:tcPr>
          <w:p w14:paraId="4127D0F7" w14:textId="6EFB4906" w:rsidR="009424EB" w:rsidRPr="00D93A70" w:rsidRDefault="00EE0ABF" w:rsidP="00EE0ABF">
            <w:pPr>
              <w:spacing w:before="0" w:after="0"/>
              <w:ind w:left="57" w:right="57"/>
              <w:jc w:val="right"/>
              <w:rPr>
                <w:sz w:val="20"/>
                <w:szCs w:val="20"/>
                <w:lang w:val="sr-Latn-RS"/>
              </w:rPr>
            </w:pPr>
            <w:r w:rsidRPr="00D93A70">
              <w:rPr>
                <w:sz w:val="20"/>
                <w:szCs w:val="20"/>
                <w:lang w:val="sr-Latn-RS"/>
              </w:rPr>
              <w:t>0.</w:t>
            </w:r>
            <w:r w:rsidR="009424EB" w:rsidRPr="00D93A70">
              <w:rPr>
                <w:sz w:val="20"/>
                <w:szCs w:val="20"/>
                <w:lang w:val="sr-Latn-RS"/>
              </w:rPr>
              <w:t>122</w:t>
            </w:r>
          </w:p>
        </w:tc>
        <w:tc>
          <w:tcPr>
            <w:tcW w:w="1828" w:type="pct"/>
            <w:tcBorders>
              <w:bottom w:val="single" w:sz="4" w:space="0" w:color="auto"/>
            </w:tcBorders>
            <w:shd w:val="clear" w:color="auto" w:fill="auto"/>
          </w:tcPr>
          <w:p w14:paraId="2F886507" w14:textId="4520A9B0" w:rsidR="009424EB" w:rsidRPr="00D93A70" w:rsidRDefault="009424EB" w:rsidP="00933519">
            <w:pPr>
              <w:spacing w:before="0" w:after="0"/>
              <w:ind w:left="57" w:right="57"/>
              <w:jc w:val="right"/>
              <w:rPr>
                <w:sz w:val="20"/>
                <w:szCs w:val="20"/>
                <w:lang w:val="sr-Latn-RS"/>
              </w:rPr>
            </w:pPr>
            <w:r w:rsidRPr="00D93A70">
              <w:rPr>
                <w:sz w:val="20"/>
                <w:szCs w:val="20"/>
                <w:lang w:val="sr-Latn-RS"/>
              </w:rPr>
              <w:t>61</w:t>
            </w:r>
            <w:r w:rsidR="00EE0ABF" w:rsidRPr="00D93A70">
              <w:rPr>
                <w:sz w:val="20"/>
                <w:szCs w:val="20"/>
                <w:lang w:val="sr-Latn-RS"/>
              </w:rPr>
              <w:t>.</w:t>
            </w:r>
            <w:r w:rsidRPr="00D93A70">
              <w:rPr>
                <w:sz w:val="20"/>
                <w:szCs w:val="20"/>
                <w:lang w:val="sr-Latn-RS"/>
              </w:rPr>
              <w:t>1%</w:t>
            </w:r>
          </w:p>
        </w:tc>
      </w:tr>
    </w:tbl>
    <w:p w14:paraId="7FD8A569" w14:textId="25F0355C" w:rsidR="00B766BF" w:rsidRPr="00B766BF" w:rsidRDefault="004D6076" w:rsidP="00014390">
      <w:pPr>
        <w:rPr>
          <w:lang w:val="sr-Latn-RS"/>
        </w:rPr>
      </w:pPr>
      <w:r>
        <w:rPr>
          <w:lang w:val="sr-Latn-RS"/>
        </w:rPr>
        <w:t xml:space="preserve">The validation of a model is done through test data. The final prediction properties show excellent prediction, i.e., classification properties of test data. The results show that </w:t>
      </w:r>
      <w:r w:rsidR="00F5373B">
        <w:rPr>
          <w:lang w:val="sr-Latn-RS"/>
        </w:rPr>
        <w:t>98.98% prediction is achieved from the training data</w:t>
      </w:r>
      <w:r>
        <w:rPr>
          <w:lang w:val="sr-Latn-RS"/>
        </w:rPr>
        <w:t>, while little reduced value is given on the testing data of 94.56% (</w:t>
      </w:r>
      <w:r>
        <w:rPr>
          <w:lang w:val="sr-Latn-RS"/>
        </w:rPr>
        <w:fldChar w:fldCharType="begin"/>
      </w:r>
      <w:r>
        <w:rPr>
          <w:lang w:val="sr-Latn-RS"/>
        </w:rPr>
        <w:instrText xml:space="preserve"> REF _Ref98671334 \h </w:instrText>
      </w:r>
      <w:r>
        <w:rPr>
          <w:lang w:val="sr-Latn-RS"/>
        </w:rPr>
      </w:r>
      <w:r>
        <w:rPr>
          <w:lang w:val="sr-Latn-RS"/>
        </w:rPr>
        <w:fldChar w:fldCharType="separate"/>
      </w:r>
      <w:r w:rsidR="00587AF0">
        <w:t xml:space="preserve">Table </w:t>
      </w:r>
      <w:r w:rsidR="00587AF0">
        <w:rPr>
          <w:noProof/>
        </w:rPr>
        <w:t>36</w:t>
      </w:r>
      <w:r>
        <w:rPr>
          <w:lang w:val="sr-Latn-RS"/>
        </w:rPr>
        <w:fldChar w:fldCharType="end"/>
      </w:r>
      <w:r>
        <w:rPr>
          <w:lang w:val="sr-Latn-RS"/>
        </w:rPr>
        <w:t>). Hence, the model for opening saddle position has shown excellent results.</w:t>
      </w:r>
    </w:p>
    <w:p w14:paraId="764CD6A6" w14:textId="02BF6E18" w:rsidR="00B766BF" w:rsidRDefault="00644EBF" w:rsidP="00644EBF">
      <w:pPr>
        <w:pStyle w:val="Caption"/>
        <w:jc w:val="both"/>
      </w:pPr>
      <w:bookmarkStart w:id="593" w:name="_Ref98671334"/>
      <w:bookmarkStart w:id="594" w:name="_Toc101274476"/>
      <w:r>
        <w:t xml:space="preserve">Table </w:t>
      </w:r>
      <w:fldSimple w:instr=" SEQ Table \* ARABIC ">
        <w:r w:rsidR="00587AF0">
          <w:rPr>
            <w:noProof/>
          </w:rPr>
          <w:t>36</w:t>
        </w:r>
      </w:fldSimple>
      <w:bookmarkEnd w:id="593"/>
      <w:r>
        <w:t>. Classification results of Neural Network for opening saddle position</w:t>
      </w:r>
      <w:bookmarkEnd w:id="594"/>
    </w:p>
    <w:tbl>
      <w:tblPr>
        <w:tblW w:w="5000" w:type="pct"/>
        <w:tblLook w:val="04A0" w:firstRow="1" w:lastRow="0" w:firstColumn="1" w:lastColumn="0" w:noHBand="0" w:noVBand="1"/>
      </w:tblPr>
      <w:tblGrid>
        <w:gridCol w:w="2244"/>
        <w:gridCol w:w="2130"/>
        <w:gridCol w:w="1071"/>
        <w:gridCol w:w="1367"/>
        <w:gridCol w:w="2215"/>
      </w:tblGrid>
      <w:tr w:rsidR="004623B3" w:rsidRPr="004623B3" w14:paraId="6D8AEDB8" w14:textId="77777777" w:rsidTr="00982E69">
        <w:trPr>
          <w:trHeight w:val="255"/>
        </w:trPr>
        <w:tc>
          <w:tcPr>
            <w:tcW w:w="1243" w:type="pct"/>
            <w:vMerge w:val="restart"/>
            <w:tcBorders>
              <w:top w:val="single" w:sz="4" w:space="0" w:color="auto"/>
              <w:left w:val="nil"/>
              <w:bottom w:val="single" w:sz="8" w:space="0" w:color="152935"/>
              <w:right w:val="nil"/>
            </w:tcBorders>
            <w:shd w:val="clear" w:color="auto" w:fill="auto"/>
            <w:vAlign w:val="center"/>
            <w:hideMark/>
          </w:tcPr>
          <w:p w14:paraId="42C56085" w14:textId="77777777" w:rsidR="004623B3" w:rsidRPr="004623B3" w:rsidRDefault="004623B3" w:rsidP="004623B3">
            <w:pPr>
              <w:spacing w:before="0" w:after="0"/>
              <w:jc w:val="center"/>
              <w:rPr>
                <w:rFonts w:eastAsia="Times New Roman" w:cs="Times New Roman"/>
                <w:b/>
                <w:bCs/>
                <w:color w:val="000000"/>
                <w:sz w:val="20"/>
                <w:szCs w:val="20"/>
                <w:lang w:val="sr-Latn-RS" w:eastAsia="sr-Latn-RS"/>
              </w:rPr>
            </w:pPr>
            <w:r w:rsidRPr="004623B3">
              <w:rPr>
                <w:rFonts w:eastAsia="Times New Roman" w:cs="Times New Roman"/>
                <w:b/>
                <w:bCs/>
                <w:color w:val="000000"/>
                <w:sz w:val="20"/>
                <w:szCs w:val="20"/>
                <w:lang w:val="sr-Latn-RS" w:eastAsia="sr-Latn-RS"/>
              </w:rPr>
              <w:t>Sample</w:t>
            </w:r>
          </w:p>
        </w:tc>
        <w:tc>
          <w:tcPr>
            <w:tcW w:w="1180" w:type="pct"/>
            <w:vMerge w:val="restart"/>
            <w:tcBorders>
              <w:top w:val="single" w:sz="4" w:space="0" w:color="auto"/>
              <w:left w:val="nil"/>
              <w:bottom w:val="single" w:sz="8" w:space="0" w:color="152935"/>
              <w:right w:val="nil"/>
            </w:tcBorders>
            <w:shd w:val="clear" w:color="auto" w:fill="auto"/>
            <w:vAlign w:val="center"/>
            <w:hideMark/>
          </w:tcPr>
          <w:p w14:paraId="2914ACA7" w14:textId="77777777" w:rsidR="004623B3" w:rsidRPr="004623B3" w:rsidRDefault="004623B3" w:rsidP="004623B3">
            <w:pPr>
              <w:spacing w:before="0" w:after="0"/>
              <w:jc w:val="center"/>
              <w:rPr>
                <w:rFonts w:eastAsia="Times New Roman" w:cs="Times New Roman"/>
                <w:b/>
                <w:bCs/>
                <w:color w:val="000000"/>
                <w:sz w:val="20"/>
                <w:szCs w:val="20"/>
                <w:lang w:val="sr-Latn-RS" w:eastAsia="sr-Latn-RS"/>
              </w:rPr>
            </w:pPr>
            <w:r w:rsidRPr="004623B3">
              <w:rPr>
                <w:rFonts w:eastAsia="Times New Roman" w:cs="Times New Roman"/>
                <w:b/>
                <w:bCs/>
                <w:color w:val="000000"/>
                <w:sz w:val="20"/>
                <w:szCs w:val="20"/>
                <w:lang w:val="sr-Latn-RS" w:eastAsia="sr-Latn-RS"/>
              </w:rPr>
              <w:t>Observed</w:t>
            </w:r>
          </w:p>
        </w:tc>
        <w:tc>
          <w:tcPr>
            <w:tcW w:w="2578" w:type="pct"/>
            <w:gridSpan w:val="3"/>
            <w:tcBorders>
              <w:top w:val="single" w:sz="4" w:space="0" w:color="auto"/>
              <w:left w:val="nil"/>
              <w:bottom w:val="nil"/>
              <w:right w:val="nil"/>
            </w:tcBorders>
            <w:shd w:val="clear" w:color="auto" w:fill="auto"/>
            <w:vAlign w:val="center"/>
            <w:hideMark/>
          </w:tcPr>
          <w:p w14:paraId="19305072" w14:textId="77777777" w:rsidR="004623B3" w:rsidRPr="004623B3" w:rsidRDefault="004623B3" w:rsidP="004623B3">
            <w:pPr>
              <w:spacing w:before="0" w:after="0"/>
              <w:jc w:val="center"/>
              <w:rPr>
                <w:rFonts w:eastAsia="Times New Roman" w:cs="Times New Roman"/>
                <w:b/>
                <w:bCs/>
                <w:color w:val="000000"/>
                <w:sz w:val="20"/>
                <w:szCs w:val="20"/>
                <w:lang w:val="sr-Latn-RS" w:eastAsia="sr-Latn-RS"/>
              </w:rPr>
            </w:pPr>
            <w:r w:rsidRPr="004623B3">
              <w:rPr>
                <w:rFonts w:eastAsia="Times New Roman" w:cs="Times New Roman"/>
                <w:b/>
                <w:bCs/>
                <w:color w:val="000000"/>
                <w:sz w:val="20"/>
                <w:szCs w:val="20"/>
                <w:lang w:val="sr-Latn-RS" w:eastAsia="sr-Latn-RS"/>
              </w:rPr>
              <w:t>Predicted</w:t>
            </w:r>
          </w:p>
        </w:tc>
      </w:tr>
      <w:tr w:rsidR="004623B3" w:rsidRPr="004623B3" w14:paraId="359B0152" w14:textId="77777777" w:rsidTr="00982E69">
        <w:trPr>
          <w:trHeight w:val="270"/>
        </w:trPr>
        <w:tc>
          <w:tcPr>
            <w:tcW w:w="1243" w:type="pct"/>
            <w:vMerge/>
            <w:tcBorders>
              <w:top w:val="single" w:sz="8" w:space="0" w:color="auto"/>
              <w:left w:val="nil"/>
              <w:bottom w:val="single" w:sz="4" w:space="0" w:color="auto"/>
              <w:right w:val="nil"/>
            </w:tcBorders>
            <w:vAlign w:val="center"/>
            <w:hideMark/>
          </w:tcPr>
          <w:p w14:paraId="05CE908D" w14:textId="77777777" w:rsidR="004623B3" w:rsidRPr="004623B3" w:rsidRDefault="004623B3" w:rsidP="004623B3">
            <w:pPr>
              <w:spacing w:before="0" w:after="0"/>
              <w:jc w:val="left"/>
              <w:rPr>
                <w:rFonts w:eastAsia="Times New Roman" w:cs="Times New Roman"/>
                <w:b/>
                <w:bCs/>
                <w:color w:val="000000"/>
                <w:sz w:val="20"/>
                <w:szCs w:val="20"/>
                <w:lang w:val="sr-Latn-RS" w:eastAsia="sr-Latn-RS"/>
              </w:rPr>
            </w:pPr>
          </w:p>
        </w:tc>
        <w:tc>
          <w:tcPr>
            <w:tcW w:w="1180" w:type="pct"/>
            <w:vMerge/>
            <w:tcBorders>
              <w:top w:val="single" w:sz="8" w:space="0" w:color="auto"/>
              <w:left w:val="nil"/>
              <w:bottom w:val="single" w:sz="4" w:space="0" w:color="auto"/>
              <w:right w:val="nil"/>
            </w:tcBorders>
            <w:vAlign w:val="center"/>
            <w:hideMark/>
          </w:tcPr>
          <w:p w14:paraId="608C297E" w14:textId="77777777" w:rsidR="004623B3" w:rsidRPr="004623B3" w:rsidRDefault="004623B3" w:rsidP="004623B3">
            <w:pPr>
              <w:spacing w:before="0" w:after="0"/>
              <w:jc w:val="left"/>
              <w:rPr>
                <w:rFonts w:eastAsia="Times New Roman" w:cs="Times New Roman"/>
                <w:b/>
                <w:bCs/>
                <w:color w:val="000000"/>
                <w:sz w:val="20"/>
                <w:szCs w:val="20"/>
                <w:lang w:val="sr-Latn-RS" w:eastAsia="sr-Latn-RS"/>
              </w:rPr>
            </w:pPr>
          </w:p>
        </w:tc>
        <w:tc>
          <w:tcPr>
            <w:tcW w:w="593" w:type="pct"/>
            <w:tcBorders>
              <w:top w:val="nil"/>
              <w:left w:val="nil"/>
              <w:bottom w:val="single" w:sz="4" w:space="0" w:color="auto"/>
              <w:right w:val="nil"/>
            </w:tcBorders>
            <w:shd w:val="clear" w:color="auto" w:fill="auto"/>
            <w:vAlign w:val="center"/>
            <w:hideMark/>
          </w:tcPr>
          <w:p w14:paraId="7C20B06B" w14:textId="77777777" w:rsidR="004623B3" w:rsidRPr="004623B3" w:rsidRDefault="004623B3" w:rsidP="004623B3">
            <w:pPr>
              <w:spacing w:before="0" w:after="0"/>
              <w:jc w:val="center"/>
              <w:rPr>
                <w:rFonts w:eastAsia="Times New Roman" w:cs="Times New Roman"/>
                <w:b/>
                <w:bCs/>
                <w:color w:val="000000"/>
                <w:sz w:val="20"/>
                <w:szCs w:val="20"/>
                <w:lang w:val="sr-Latn-RS" w:eastAsia="sr-Latn-RS"/>
              </w:rPr>
            </w:pPr>
            <w:r w:rsidRPr="004623B3">
              <w:rPr>
                <w:rFonts w:eastAsia="Times New Roman" w:cs="Times New Roman"/>
                <w:b/>
                <w:bCs/>
                <w:color w:val="000000"/>
                <w:sz w:val="20"/>
                <w:szCs w:val="20"/>
                <w:lang w:val="sr-Latn-RS" w:eastAsia="sr-Latn-RS"/>
              </w:rPr>
              <w:t>None</w:t>
            </w:r>
          </w:p>
        </w:tc>
        <w:tc>
          <w:tcPr>
            <w:tcW w:w="757" w:type="pct"/>
            <w:tcBorders>
              <w:top w:val="nil"/>
              <w:left w:val="nil"/>
              <w:bottom w:val="single" w:sz="4" w:space="0" w:color="auto"/>
              <w:right w:val="nil"/>
            </w:tcBorders>
            <w:shd w:val="clear" w:color="auto" w:fill="auto"/>
            <w:vAlign w:val="center"/>
            <w:hideMark/>
          </w:tcPr>
          <w:p w14:paraId="0D1CFD6C" w14:textId="77777777" w:rsidR="004623B3" w:rsidRPr="004623B3" w:rsidRDefault="004623B3" w:rsidP="004623B3">
            <w:pPr>
              <w:spacing w:before="0" w:after="0"/>
              <w:jc w:val="center"/>
              <w:rPr>
                <w:rFonts w:eastAsia="Times New Roman" w:cs="Times New Roman"/>
                <w:b/>
                <w:bCs/>
                <w:color w:val="000000"/>
                <w:sz w:val="20"/>
                <w:szCs w:val="20"/>
                <w:lang w:val="sr-Latn-RS" w:eastAsia="sr-Latn-RS"/>
              </w:rPr>
            </w:pPr>
            <w:r w:rsidRPr="004623B3">
              <w:rPr>
                <w:rFonts w:eastAsia="Times New Roman" w:cs="Times New Roman"/>
                <w:b/>
                <w:bCs/>
                <w:color w:val="000000"/>
                <w:sz w:val="20"/>
                <w:szCs w:val="20"/>
                <w:lang w:val="sr-Latn-RS" w:eastAsia="sr-Latn-RS"/>
              </w:rPr>
              <w:t>Quasi-fault</w:t>
            </w:r>
          </w:p>
        </w:tc>
        <w:tc>
          <w:tcPr>
            <w:tcW w:w="1228" w:type="pct"/>
            <w:tcBorders>
              <w:top w:val="nil"/>
              <w:left w:val="nil"/>
              <w:bottom w:val="single" w:sz="4" w:space="0" w:color="auto"/>
              <w:right w:val="nil"/>
            </w:tcBorders>
            <w:shd w:val="clear" w:color="auto" w:fill="auto"/>
            <w:vAlign w:val="center"/>
            <w:hideMark/>
          </w:tcPr>
          <w:p w14:paraId="2C32D826" w14:textId="77777777" w:rsidR="004623B3" w:rsidRPr="004623B3" w:rsidRDefault="004623B3" w:rsidP="004623B3">
            <w:pPr>
              <w:spacing w:before="0" w:after="0"/>
              <w:jc w:val="center"/>
              <w:rPr>
                <w:rFonts w:eastAsia="Times New Roman" w:cs="Times New Roman"/>
                <w:b/>
                <w:bCs/>
                <w:color w:val="000000"/>
                <w:sz w:val="20"/>
                <w:szCs w:val="20"/>
                <w:lang w:val="sr-Latn-RS" w:eastAsia="sr-Latn-RS"/>
              </w:rPr>
            </w:pPr>
            <w:r w:rsidRPr="004623B3">
              <w:rPr>
                <w:rFonts w:eastAsia="Times New Roman" w:cs="Times New Roman"/>
                <w:b/>
                <w:bCs/>
                <w:color w:val="000000"/>
                <w:sz w:val="20"/>
                <w:szCs w:val="20"/>
                <w:lang w:val="sr-Latn-RS" w:eastAsia="sr-Latn-RS"/>
              </w:rPr>
              <w:t>Percent Correct</w:t>
            </w:r>
          </w:p>
        </w:tc>
      </w:tr>
      <w:tr w:rsidR="004623B3" w:rsidRPr="004623B3" w14:paraId="42689876" w14:textId="77777777" w:rsidTr="00982E69">
        <w:trPr>
          <w:trHeight w:val="255"/>
        </w:trPr>
        <w:tc>
          <w:tcPr>
            <w:tcW w:w="1243" w:type="pct"/>
            <w:vMerge w:val="restart"/>
            <w:tcBorders>
              <w:top w:val="single" w:sz="4" w:space="0" w:color="auto"/>
              <w:left w:val="nil"/>
              <w:bottom w:val="nil"/>
              <w:right w:val="nil"/>
            </w:tcBorders>
            <w:shd w:val="clear" w:color="auto" w:fill="auto"/>
            <w:vAlign w:val="center"/>
            <w:hideMark/>
          </w:tcPr>
          <w:p w14:paraId="168E86A0" w14:textId="77777777" w:rsidR="004623B3" w:rsidRPr="004623B3" w:rsidRDefault="004623B3" w:rsidP="004623B3">
            <w:pPr>
              <w:spacing w:before="0" w:after="0"/>
              <w:jc w:val="left"/>
              <w:rPr>
                <w:rFonts w:eastAsia="Times New Roman" w:cs="Times New Roman"/>
                <w:color w:val="000000"/>
                <w:sz w:val="20"/>
                <w:szCs w:val="20"/>
                <w:lang w:val="sr-Latn-RS" w:eastAsia="sr-Latn-RS"/>
              </w:rPr>
            </w:pPr>
            <w:r w:rsidRPr="004623B3">
              <w:rPr>
                <w:rFonts w:eastAsia="Times New Roman" w:cs="Times New Roman"/>
                <w:color w:val="000000"/>
                <w:sz w:val="20"/>
                <w:szCs w:val="20"/>
                <w:lang w:val="sr-Latn-RS" w:eastAsia="sr-Latn-RS"/>
              </w:rPr>
              <w:t>Training</w:t>
            </w:r>
          </w:p>
        </w:tc>
        <w:tc>
          <w:tcPr>
            <w:tcW w:w="1180" w:type="pct"/>
            <w:tcBorders>
              <w:top w:val="single" w:sz="4" w:space="0" w:color="auto"/>
              <w:left w:val="nil"/>
              <w:bottom w:val="nil"/>
              <w:right w:val="nil"/>
            </w:tcBorders>
            <w:shd w:val="clear" w:color="auto" w:fill="auto"/>
            <w:vAlign w:val="center"/>
            <w:hideMark/>
          </w:tcPr>
          <w:p w14:paraId="74CF67D0" w14:textId="77777777" w:rsidR="004623B3" w:rsidRPr="004623B3" w:rsidRDefault="004623B3" w:rsidP="004623B3">
            <w:pPr>
              <w:spacing w:before="0" w:after="0"/>
              <w:jc w:val="left"/>
              <w:rPr>
                <w:rFonts w:eastAsia="Times New Roman" w:cs="Times New Roman"/>
                <w:color w:val="000000"/>
                <w:sz w:val="20"/>
                <w:szCs w:val="20"/>
                <w:lang w:val="sr-Latn-RS" w:eastAsia="sr-Latn-RS"/>
              </w:rPr>
            </w:pPr>
            <w:r w:rsidRPr="004623B3">
              <w:rPr>
                <w:rFonts w:eastAsia="Times New Roman" w:cs="Times New Roman"/>
                <w:color w:val="000000"/>
                <w:sz w:val="20"/>
                <w:szCs w:val="20"/>
                <w:lang w:val="sr-Latn-RS" w:eastAsia="sr-Latn-RS"/>
              </w:rPr>
              <w:t>None</w:t>
            </w:r>
          </w:p>
        </w:tc>
        <w:tc>
          <w:tcPr>
            <w:tcW w:w="593" w:type="pct"/>
            <w:tcBorders>
              <w:top w:val="single" w:sz="4" w:space="0" w:color="auto"/>
              <w:left w:val="nil"/>
              <w:bottom w:val="nil"/>
              <w:right w:val="nil"/>
            </w:tcBorders>
            <w:shd w:val="clear" w:color="auto" w:fill="auto"/>
            <w:vAlign w:val="center"/>
            <w:hideMark/>
          </w:tcPr>
          <w:p w14:paraId="53CE7F89" w14:textId="77777777" w:rsidR="004623B3" w:rsidRPr="004623B3" w:rsidRDefault="004623B3" w:rsidP="004623B3">
            <w:pPr>
              <w:spacing w:before="0" w:after="0"/>
              <w:jc w:val="right"/>
              <w:rPr>
                <w:rFonts w:eastAsia="Times New Roman" w:cs="Times New Roman"/>
                <w:color w:val="000000"/>
                <w:sz w:val="20"/>
                <w:szCs w:val="20"/>
                <w:lang w:val="sr-Latn-RS" w:eastAsia="sr-Latn-RS"/>
              </w:rPr>
            </w:pPr>
            <w:r w:rsidRPr="004623B3">
              <w:rPr>
                <w:rFonts w:eastAsia="Times New Roman" w:cs="Times New Roman"/>
                <w:color w:val="000000"/>
                <w:sz w:val="20"/>
                <w:szCs w:val="20"/>
                <w:lang w:val="sr-Latn-RS" w:eastAsia="sr-Latn-RS"/>
              </w:rPr>
              <w:t>355</w:t>
            </w:r>
          </w:p>
        </w:tc>
        <w:tc>
          <w:tcPr>
            <w:tcW w:w="757" w:type="pct"/>
            <w:tcBorders>
              <w:top w:val="single" w:sz="4" w:space="0" w:color="auto"/>
              <w:left w:val="nil"/>
              <w:bottom w:val="nil"/>
              <w:right w:val="nil"/>
            </w:tcBorders>
            <w:shd w:val="clear" w:color="auto" w:fill="auto"/>
            <w:vAlign w:val="center"/>
            <w:hideMark/>
          </w:tcPr>
          <w:p w14:paraId="33FF970B" w14:textId="77777777" w:rsidR="004623B3" w:rsidRPr="004623B3" w:rsidRDefault="004623B3" w:rsidP="004623B3">
            <w:pPr>
              <w:spacing w:before="0" w:after="0"/>
              <w:jc w:val="right"/>
              <w:rPr>
                <w:rFonts w:eastAsia="Times New Roman" w:cs="Times New Roman"/>
                <w:color w:val="000000"/>
                <w:sz w:val="20"/>
                <w:szCs w:val="20"/>
                <w:lang w:val="sr-Latn-RS" w:eastAsia="sr-Latn-RS"/>
              </w:rPr>
            </w:pPr>
            <w:r w:rsidRPr="004623B3">
              <w:rPr>
                <w:rFonts w:eastAsia="Times New Roman" w:cs="Times New Roman"/>
                <w:color w:val="000000"/>
                <w:sz w:val="20"/>
                <w:szCs w:val="20"/>
                <w:lang w:val="sr-Latn-RS" w:eastAsia="sr-Latn-RS"/>
              </w:rPr>
              <w:t>2</w:t>
            </w:r>
          </w:p>
        </w:tc>
        <w:tc>
          <w:tcPr>
            <w:tcW w:w="1228" w:type="pct"/>
            <w:tcBorders>
              <w:top w:val="single" w:sz="4" w:space="0" w:color="auto"/>
              <w:left w:val="nil"/>
              <w:bottom w:val="nil"/>
              <w:right w:val="nil"/>
            </w:tcBorders>
            <w:shd w:val="clear" w:color="auto" w:fill="auto"/>
            <w:vAlign w:val="center"/>
            <w:hideMark/>
          </w:tcPr>
          <w:p w14:paraId="6F524687" w14:textId="77777777" w:rsidR="004623B3" w:rsidRPr="004623B3" w:rsidRDefault="004623B3" w:rsidP="004623B3">
            <w:pPr>
              <w:spacing w:before="0" w:after="0"/>
              <w:jc w:val="right"/>
              <w:rPr>
                <w:rFonts w:eastAsia="Times New Roman" w:cs="Times New Roman"/>
                <w:color w:val="000000"/>
                <w:sz w:val="20"/>
                <w:szCs w:val="20"/>
                <w:lang w:val="sr-Latn-RS" w:eastAsia="sr-Latn-RS"/>
              </w:rPr>
            </w:pPr>
            <w:r w:rsidRPr="004623B3">
              <w:rPr>
                <w:rFonts w:eastAsia="Times New Roman" w:cs="Times New Roman"/>
                <w:color w:val="000000"/>
                <w:sz w:val="20"/>
                <w:szCs w:val="20"/>
                <w:lang w:val="sr-Latn-RS" w:eastAsia="sr-Latn-RS"/>
              </w:rPr>
              <w:t>99.44%</w:t>
            </w:r>
          </w:p>
        </w:tc>
      </w:tr>
      <w:tr w:rsidR="004623B3" w:rsidRPr="004623B3" w14:paraId="6987DFB4" w14:textId="77777777" w:rsidTr="004623B3">
        <w:trPr>
          <w:trHeight w:val="255"/>
        </w:trPr>
        <w:tc>
          <w:tcPr>
            <w:tcW w:w="1243" w:type="pct"/>
            <w:vMerge/>
            <w:tcBorders>
              <w:top w:val="nil"/>
              <w:left w:val="nil"/>
              <w:bottom w:val="nil"/>
              <w:right w:val="nil"/>
            </w:tcBorders>
            <w:vAlign w:val="center"/>
            <w:hideMark/>
          </w:tcPr>
          <w:p w14:paraId="41ADC49A" w14:textId="77777777" w:rsidR="004623B3" w:rsidRPr="004623B3" w:rsidRDefault="004623B3" w:rsidP="004623B3">
            <w:pPr>
              <w:spacing w:before="0" w:after="0"/>
              <w:jc w:val="left"/>
              <w:rPr>
                <w:rFonts w:eastAsia="Times New Roman" w:cs="Times New Roman"/>
                <w:color w:val="000000"/>
                <w:sz w:val="20"/>
                <w:szCs w:val="20"/>
                <w:lang w:val="sr-Latn-RS" w:eastAsia="sr-Latn-RS"/>
              </w:rPr>
            </w:pPr>
          </w:p>
        </w:tc>
        <w:tc>
          <w:tcPr>
            <w:tcW w:w="1180" w:type="pct"/>
            <w:tcBorders>
              <w:top w:val="nil"/>
              <w:left w:val="nil"/>
              <w:bottom w:val="nil"/>
              <w:right w:val="nil"/>
            </w:tcBorders>
            <w:shd w:val="clear" w:color="auto" w:fill="auto"/>
            <w:vAlign w:val="center"/>
            <w:hideMark/>
          </w:tcPr>
          <w:p w14:paraId="425C2AB3" w14:textId="77777777" w:rsidR="004623B3" w:rsidRPr="004623B3" w:rsidRDefault="004623B3" w:rsidP="004623B3">
            <w:pPr>
              <w:spacing w:before="0" w:after="0"/>
              <w:jc w:val="left"/>
              <w:rPr>
                <w:rFonts w:eastAsia="Times New Roman" w:cs="Times New Roman"/>
                <w:color w:val="000000"/>
                <w:sz w:val="20"/>
                <w:szCs w:val="20"/>
                <w:lang w:val="sr-Latn-RS" w:eastAsia="sr-Latn-RS"/>
              </w:rPr>
            </w:pPr>
            <w:r w:rsidRPr="004623B3">
              <w:rPr>
                <w:rFonts w:eastAsia="Times New Roman" w:cs="Times New Roman"/>
                <w:color w:val="000000"/>
                <w:sz w:val="20"/>
                <w:szCs w:val="20"/>
                <w:lang w:val="sr-Latn-RS" w:eastAsia="sr-Latn-RS"/>
              </w:rPr>
              <w:t>Quasi-fault</w:t>
            </w:r>
          </w:p>
        </w:tc>
        <w:tc>
          <w:tcPr>
            <w:tcW w:w="593" w:type="pct"/>
            <w:tcBorders>
              <w:top w:val="nil"/>
              <w:left w:val="nil"/>
              <w:bottom w:val="nil"/>
              <w:right w:val="nil"/>
            </w:tcBorders>
            <w:shd w:val="clear" w:color="auto" w:fill="auto"/>
            <w:vAlign w:val="center"/>
            <w:hideMark/>
          </w:tcPr>
          <w:p w14:paraId="64DEFE4D" w14:textId="77777777" w:rsidR="004623B3" w:rsidRPr="004623B3" w:rsidRDefault="004623B3" w:rsidP="004623B3">
            <w:pPr>
              <w:spacing w:before="0" w:after="0"/>
              <w:jc w:val="right"/>
              <w:rPr>
                <w:rFonts w:eastAsia="Times New Roman" w:cs="Times New Roman"/>
                <w:color w:val="000000"/>
                <w:sz w:val="20"/>
                <w:szCs w:val="20"/>
                <w:lang w:val="sr-Latn-RS" w:eastAsia="sr-Latn-RS"/>
              </w:rPr>
            </w:pPr>
            <w:r w:rsidRPr="004623B3">
              <w:rPr>
                <w:rFonts w:eastAsia="Times New Roman" w:cs="Times New Roman"/>
                <w:color w:val="000000"/>
                <w:sz w:val="20"/>
                <w:szCs w:val="20"/>
                <w:lang w:val="sr-Latn-RS" w:eastAsia="sr-Latn-RS"/>
              </w:rPr>
              <w:t>5</w:t>
            </w:r>
          </w:p>
        </w:tc>
        <w:tc>
          <w:tcPr>
            <w:tcW w:w="757" w:type="pct"/>
            <w:tcBorders>
              <w:top w:val="nil"/>
              <w:left w:val="nil"/>
              <w:bottom w:val="nil"/>
              <w:right w:val="nil"/>
            </w:tcBorders>
            <w:shd w:val="clear" w:color="auto" w:fill="auto"/>
            <w:vAlign w:val="center"/>
            <w:hideMark/>
          </w:tcPr>
          <w:p w14:paraId="59CEB1AE" w14:textId="77777777" w:rsidR="004623B3" w:rsidRPr="004623B3" w:rsidRDefault="004623B3" w:rsidP="004623B3">
            <w:pPr>
              <w:spacing w:before="0" w:after="0"/>
              <w:jc w:val="right"/>
              <w:rPr>
                <w:rFonts w:eastAsia="Times New Roman" w:cs="Times New Roman"/>
                <w:color w:val="000000"/>
                <w:sz w:val="20"/>
                <w:szCs w:val="20"/>
                <w:lang w:val="sr-Latn-RS" w:eastAsia="sr-Latn-RS"/>
              </w:rPr>
            </w:pPr>
            <w:r w:rsidRPr="004623B3">
              <w:rPr>
                <w:rFonts w:eastAsia="Times New Roman" w:cs="Times New Roman"/>
                <w:color w:val="000000"/>
                <w:sz w:val="20"/>
                <w:szCs w:val="20"/>
                <w:lang w:val="sr-Latn-RS" w:eastAsia="sr-Latn-RS"/>
              </w:rPr>
              <w:t>324</w:t>
            </w:r>
          </w:p>
        </w:tc>
        <w:tc>
          <w:tcPr>
            <w:tcW w:w="1228" w:type="pct"/>
            <w:tcBorders>
              <w:top w:val="nil"/>
              <w:left w:val="nil"/>
              <w:bottom w:val="nil"/>
              <w:right w:val="nil"/>
            </w:tcBorders>
            <w:shd w:val="clear" w:color="auto" w:fill="auto"/>
            <w:vAlign w:val="center"/>
            <w:hideMark/>
          </w:tcPr>
          <w:p w14:paraId="698334A7" w14:textId="77777777" w:rsidR="004623B3" w:rsidRPr="004623B3" w:rsidRDefault="004623B3" w:rsidP="004623B3">
            <w:pPr>
              <w:spacing w:before="0" w:after="0"/>
              <w:jc w:val="right"/>
              <w:rPr>
                <w:rFonts w:eastAsia="Times New Roman" w:cs="Times New Roman"/>
                <w:color w:val="000000"/>
                <w:sz w:val="20"/>
                <w:szCs w:val="20"/>
                <w:lang w:val="sr-Latn-RS" w:eastAsia="sr-Latn-RS"/>
              </w:rPr>
            </w:pPr>
            <w:r w:rsidRPr="004623B3">
              <w:rPr>
                <w:rFonts w:eastAsia="Times New Roman" w:cs="Times New Roman"/>
                <w:color w:val="000000"/>
                <w:sz w:val="20"/>
                <w:szCs w:val="20"/>
                <w:lang w:val="sr-Latn-RS" w:eastAsia="sr-Latn-RS"/>
              </w:rPr>
              <w:t>98.48%</w:t>
            </w:r>
          </w:p>
        </w:tc>
      </w:tr>
      <w:tr w:rsidR="004623B3" w:rsidRPr="004623B3" w14:paraId="6DFBBAE6" w14:textId="77777777" w:rsidTr="00982E69">
        <w:trPr>
          <w:trHeight w:val="255"/>
        </w:trPr>
        <w:tc>
          <w:tcPr>
            <w:tcW w:w="1243" w:type="pct"/>
            <w:vMerge/>
            <w:tcBorders>
              <w:top w:val="nil"/>
              <w:left w:val="nil"/>
              <w:right w:val="nil"/>
            </w:tcBorders>
            <w:vAlign w:val="center"/>
            <w:hideMark/>
          </w:tcPr>
          <w:p w14:paraId="1C9DF1F5" w14:textId="77777777" w:rsidR="004623B3" w:rsidRPr="004623B3" w:rsidRDefault="004623B3" w:rsidP="004623B3">
            <w:pPr>
              <w:spacing w:before="0" w:after="0"/>
              <w:jc w:val="left"/>
              <w:rPr>
                <w:rFonts w:eastAsia="Times New Roman" w:cs="Times New Roman"/>
                <w:color w:val="000000"/>
                <w:sz w:val="20"/>
                <w:szCs w:val="20"/>
                <w:lang w:val="sr-Latn-RS" w:eastAsia="sr-Latn-RS"/>
              </w:rPr>
            </w:pPr>
          </w:p>
        </w:tc>
        <w:tc>
          <w:tcPr>
            <w:tcW w:w="1180" w:type="pct"/>
            <w:tcBorders>
              <w:top w:val="nil"/>
              <w:left w:val="nil"/>
              <w:right w:val="nil"/>
            </w:tcBorders>
            <w:shd w:val="clear" w:color="auto" w:fill="auto"/>
            <w:vAlign w:val="center"/>
            <w:hideMark/>
          </w:tcPr>
          <w:p w14:paraId="7257F741" w14:textId="77777777" w:rsidR="004623B3" w:rsidRPr="004623B3" w:rsidRDefault="004623B3" w:rsidP="004623B3">
            <w:pPr>
              <w:spacing w:before="0" w:after="0"/>
              <w:jc w:val="left"/>
              <w:rPr>
                <w:rFonts w:eastAsia="Times New Roman" w:cs="Times New Roman"/>
                <w:color w:val="000000"/>
                <w:sz w:val="20"/>
                <w:szCs w:val="20"/>
                <w:lang w:val="sr-Latn-RS" w:eastAsia="sr-Latn-RS"/>
              </w:rPr>
            </w:pPr>
            <w:r w:rsidRPr="004623B3">
              <w:rPr>
                <w:rFonts w:eastAsia="Times New Roman" w:cs="Times New Roman"/>
                <w:color w:val="000000"/>
                <w:sz w:val="20"/>
                <w:szCs w:val="20"/>
                <w:lang w:val="sr-Latn-RS" w:eastAsia="sr-Latn-RS"/>
              </w:rPr>
              <w:t>Overall Percentage</w:t>
            </w:r>
          </w:p>
        </w:tc>
        <w:tc>
          <w:tcPr>
            <w:tcW w:w="593" w:type="pct"/>
            <w:tcBorders>
              <w:top w:val="nil"/>
              <w:left w:val="nil"/>
              <w:right w:val="nil"/>
            </w:tcBorders>
            <w:shd w:val="clear" w:color="auto" w:fill="auto"/>
            <w:noWrap/>
            <w:vAlign w:val="center"/>
            <w:hideMark/>
          </w:tcPr>
          <w:p w14:paraId="33B55BBF" w14:textId="77777777" w:rsidR="004623B3" w:rsidRPr="004623B3" w:rsidRDefault="004623B3" w:rsidP="004623B3">
            <w:pPr>
              <w:spacing w:before="0" w:after="0"/>
              <w:jc w:val="right"/>
              <w:rPr>
                <w:rFonts w:eastAsia="Times New Roman" w:cs="Times New Roman"/>
                <w:color w:val="000000"/>
                <w:sz w:val="20"/>
                <w:szCs w:val="20"/>
                <w:lang w:val="sr-Latn-RS" w:eastAsia="sr-Latn-RS"/>
              </w:rPr>
            </w:pPr>
            <w:r w:rsidRPr="004623B3">
              <w:rPr>
                <w:rFonts w:eastAsia="Times New Roman" w:cs="Times New Roman"/>
                <w:color w:val="000000"/>
                <w:sz w:val="20"/>
                <w:szCs w:val="20"/>
                <w:lang w:val="sr-Latn-RS" w:eastAsia="sr-Latn-RS"/>
              </w:rPr>
              <w:t>52.48%</w:t>
            </w:r>
          </w:p>
        </w:tc>
        <w:tc>
          <w:tcPr>
            <w:tcW w:w="757" w:type="pct"/>
            <w:tcBorders>
              <w:top w:val="nil"/>
              <w:left w:val="nil"/>
              <w:right w:val="nil"/>
            </w:tcBorders>
            <w:shd w:val="clear" w:color="auto" w:fill="auto"/>
            <w:noWrap/>
            <w:vAlign w:val="center"/>
            <w:hideMark/>
          </w:tcPr>
          <w:p w14:paraId="4F8D6DDA" w14:textId="77777777" w:rsidR="004623B3" w:rsidRPr="004623B3" w:rsidRDefault="004623B3" w:rsidP="004623B3">
            <w:pPr>
              <w:spacing w:before="0" w:after="0"/>
              <w:jc w:val="right"/>
              <w:rPr>
                <w:rFonts w:eastAsia="Times New Roman" w:cs="Times New Roman"/>
                <w:color w:val="000000"/>
                <w:sz w:val="20"/>
                <w:szCs w:val="20"/>
                <w:lang w:val="sr-Latn-RS" w:eastAsia="sr-Latn-RS"/>
              </w:rPr>
            </w:pPr>
            <w:r w:rsidRPr="004623B3">
              <w:rPr>
                <w:rFonts w:eastAsia="Times New Roman" w:cs="Times New Roman"/>
                <w:color w:val="000000"/>
                <w:sz w:val="20"/>
                <w:szCs w:val="20"/>
                <w:lang w:val="sr-Latn-RS" w:eastAsia="sr-Latn-RS"/>
              </w:rPr>
              <w:t>47.52%</w:t>
            </w:r>
          </w:p>
        </w:tc>
        <w:tc>
          <w:tcPr>
            <w:tcW w:w="1228" w:type="pct"/>
            <w:tcBorders>
              <w:top w:val="nil"/>
              <w:left w:val="nil"/>
              <w:right w:val="nil"/>
            </w:tcBorders>
            <w:shd w:val="clear" w:color="auto" w:fill="auto"/>
            <w:vAlign w:val="center"/>
            <w:hideMark/>
          </w:tcPr>
          <w:p w14:paraId="7FBC1843" w14:textId="77777777" w:rsidR="004623B3" w:rsidRPr="00925662" w:rsidRDefault="004623B3" w:rsidP="004623B3">
            <w:pPr>
              <w:spacing w:before="0" w:after="0"/>
              <w:jc w:val="right"/>
              <w:rPr>
                <w:rFonts w:eastAsia="Times New Roman" w:cs="Times New Roman"/>
                <w:b/>
                <w:bCs/>
                <w:color w:val="000000"/>
                <w:sz w:val="20"/>
                <w:szCs w:val="20"/>
                <w:lang w:val="sr-Latn-RS" w:eastAsia="sr-Latn-RS"/>
              </w:rPr>
            </w:pPr>
            <w:r w:rsidRPr="00925662">
              <w:rPr>
                <w:rFonts w:eastAsia="Times New Roman" w:cs="Times New Roman"/>
                <w:b/>
                <w:bCs/>
                <w:color w:val="000000"/>
                <w:sz w:val="20"/>
                <w:szCs w:val="20"/>
                <w:lang w:val="sr-Latn-RS" w:eastAsia="sr-Latn-RS"/>
              </w:rPr>
              <w:t>98.98%</w:t>
            </w:r>
          </w:p>
        </w:tc>
      </w:tr>
      <w:tr w:rsidR="004623B3" w:rsidRPr="004623B3" w14:paraId="04063C70" w14:textId="77777777" w:rsidTr="004623B3">
        <w:trPr>
          <w:trHeight w:val="255"/>
        </w:trPr>
        <w:tc>
          <w:tcPr>
            <w:tcW w:w="1243" w:type="pct"/>
            <w:vMerge w:val="restart"/>
            <w:tcBorders>
              <w:top w:val="nil"/>
              <w:left w:val="nil"/>
              <w:bottom w:val="single" w:sz="8" w:space="0" w:color="152935"/>
              <w:right w:val="nil"/>
            </w:tcBorders>
            <w:shd w:val="clear" w:color="auto" w:fill="auto"/>
            <w:vAlign w:val="center"/>
            <w:hideMark/>
          </w:tcPr>
          <w:p w14:paraId="6D3DED6F" w14:textId="77777777" w:rsidR="004623B3" w:rsidRPr="004623B3" w:rsidRDefault="004623B3" w:rsidP="004623B3">
            <w:pPr>
              <w:spacing w:before="0" w:after="0"/>
              <w:jc w:val="left"/>
              <w:rPr>
                <w:rFonts w:eastAsia="Times New Roman" w:cs="Times New Roman"/>
                <w:color w:val="000000"/>
                <w:sz w:val="20"/>
                <w:szCs w:val="20"/>
                <w:lang w:val="sr-Latn-RS" w:eastAsia="sr-Latn-RS"/>
              </w:rPr>
            </w:pPr>
            <w:r w:rsidRPr="004623B3">
              <w:rPr>
                <w:rFonts w:eastAsia="Times New Roman" w:cs="Times New Roman"/>
                <w:color w:val="000000"/>
                <w:sz w:val="20"/>
                <w:szCs w:val="20"/>
                <w:lang w:val="sr-Latn-RS" w:eastAsia="sr-Latn-RS"/>
              </w:rPr>
              <w:t>Test</w:t>
            </w:r>
          </w:p>
        </w:tc>
        <w:tc>
          <w:tcPr>
            <w:tcW w:w="1180" w:type="pct"/>
            <w:tcBorders>
              <w:top w:val="nil"/>
              <w:left w:val="nil"/>
              <w:bottom w:val="nil"/>
              <w:right w:val="nil"/>
            </w:tcBorders>
            <w:shd w:val="clear" w:color="auto" w:fill="auto"/>
            <w:vAlign w:val="center"/>
            <w:hideMark/>
          </w:tcPr>
          <w:p w14:paraId="7BCA9A1B" w14:textId="77777777" w:rsidR="004623B3" w:rsidRPr="004623B3" w:rsidRDefault="004623B3" w:rsidP="004623B3">
            <w:pPr>
              <w:spacing w:before="0" w:after="0"/>
              <w:jc w:val="left"/>
              <w:rPr>
                <w:rFonts w:eastAsia="Times New Roman" w:cs="Times New Roman"/>
                <w:color w:val="000000"/>
                <w:sz w:val="20"/>
                <w:szCs w:val="20"/>
                <w:lang w:val="sr-Latn-RS" w:eastAsia="sr-Latn-RS"/>
              </w:rPr>
            </w:pPr>
            <w:r w:rsidRPr="004623B3">
              <w:rPr>
                <w:rFonts w:eastAsia="Times New Roman" w:cs="Times New Roman"/>
                <w:color w:val="000000"/>
                <w:sz w:val="20"/>
                <w:szCs w:val="20"/>
                <w:lang w:val="sr-Latn-RS" w:eastAsia="sr-Latn-RS"/>
              </w:rPr>
              <w:t>None</w:t>
            </w:r>
          </w:p>
        </w:tc>
        <w:tc>
          <w:tcPr>
            <w:tcW w:w="593" w:type="pct"/>
            <w:tcBorders>
              <w:top w:val="nil"/>
              <w:left w:val="nil"/>
              <w:bottom w:val="nil"/>
              <w:right w:val="nil"/>
            </w:tcBorders>
            <w:shd w:val="clear" w:color="auto" w:fill="auto"/>
            <w:vAlign w:val="center"/>
            <w:hideMark/>
          </w:tcPr>
          <w:p w14:paraId="2686F579" w14:textId="77777777" w:rsidR="004623B3" w:rsidRPr="004623B3" w:rsidRDefault="004623B3" w:rsidP="004623B3">
            <w:pPr>
              <w:spacing w:before="0" w:after="0"/>
              <w:jc w:val="right"/>
              <w:rPr>
                <w:rFonts w:eastAsia="Times New Roman" w:cs="Times New Roman"/>
                <w:color w:val="000000"/>
                <w:sz w:val="20"/>
                <w:szCs w:val="20"/>
                <w:lang w:val="sr-Latn-RS" w:eastAsia="sr-Latn-RS"/>
              </w:rPr>
            </w:pPr>
            <w:r w:rsidRPr="004623B3">
              <w:rPr>
                <w:rFonts w:eastAsia="Times New Roman" w:cs="Times New Roman"/>
                <w:color w:val="000000"/>
                <w:sz w:val="20"/>
                <w:szCs w:val="20"/>
                <w:lang w:val="sr-Latn-RS" w:eastAsia="sr-Latn-RS"/>
              </w:rPr>
              <w:t>151</w:t>
            </w:r>
          </w:p>
        </w:tc>
        <w:tc>
          <w:tcPr>
            <w:tcW w:w="757" w:type="pct"/>
            <w:tcBorders>
              <w:top w:val="nil"/>
              <w:left w:val="nil"/>
              <w:bottom w:val="nil"/>
              <w:right w:val="nil"/>
            </w:tcBorders>
            <w:shd w:val="clear" w:color="auto" w:fill="auto"/>
            <w:vAlign w:val="center"/>
            <w:hideMark/>
          </w:tcPr>
          <w:p w14:paraId="2283D995" w14:textId="77777777" w:rsidR="004623B3" w:rsidRPr="004623B3" w:rsidRDefault="004623B3" w:rsidP="004623B3">
            <w:pPr>
              <w:spacing w:before="0" w:after="0"/>
              <w:jc w:val="right"/>
              <w:rPr>
                <w:rFonts w:eastAsia="Times New Roman" w:cs="Times New Roman"/>
                <w:color w:val="000000"/>
                <w:sz w:val="20"/>
                <w:szCs w:val="20"/>
                <w:lang w:val="sr-Latn-RS" w:eastAsia="sr-Latn-RS"/>
              </w:rPr>
            </w:pPr>
            <w:r w:rsidRPr="004623B3">
              <w:rPr>
                <w:rFonts w:eastAsia="Times New Roman" w:cs="Times New Roman"/>
                <w:color w:val="000000"/>
                <w:sz w:val="20"/>
                <w:szCs w:val="20"/>
                <w:lang w:val="sr-Latn-RS" w:eastAsia="sr-Latn-RS"/>
              </w:rPr>
              <w:t>8</w:t>
            </w:r>
          </w:p>
        </w:tc>
        <w:tc>
          <w:tcPr>
            <w:tcW w:w="1228" w:type="pct"/>
            <w:tcBorders>
              <w:top w:val="nil"/>
              <w:left w:val="nil"/>
              <w:bottom w:val="nil"/>
              <w:right w:val="nil"/>
            </w:tcBorders>
            <w:shd w:val="clear" w:color="auto" w:fill="auto"/>
            <w:vAlign w:val="center"/>
            <w:hideMark/>
          </w:tcPr>
          <w:p w14:paraId="373EEC91" w14:textId="77777777" w:rsidR="004623B3" w:rsidRPr="004623B3" w:rsidRDefault="004623B3" w:rsidP="004623B3">
            <w:pPr>
              <w:spacing w:before="0" w:after="0"/>
              <w:jc w:val="right"/>
              <w:rPr>
                <w:rFonts w:eastAsia="Times New Roman" w:cs="Times New Roman"/>
                <w:color w:val="000000"/>
                <w:sz w:val="20"/>
                <w:szCs w:val="20"/>
                <w:lang w:val="sr-Latn-RS" w:eastAsia="sr-Latn-RS"/>
              </w:rPr>
            </w:pPr>
            <w:r w:rsidRPr="004623B3">
              <w:rPr>
                <w:rFonts w:eastAsia="Times New Roman" w:cs="Times New Roman"/>
                <w:color w:val="000000"/>
                <w:sz w:val="20"/>
                <w:szCs w:val="20"/>
                <w:lang w:val="sr-Latn-RS" w:eastAsia="sr-Latn-RS"/>
              </w:rPr>
              <w:t>94.97%</w:t>
            </w:r>
          </w:p>
        </w:tc>
      </w:tr>
      <w:tr w:rsidR="004623B3" w:rsidRPr="004623B3" w14:paraId="60034BF1" w14:textId="77777777" w:rsidTr="004623B3">
        <w:trPr>
          <w:trHeight w:val="255"/>
        </w:trPr>
        <w:tc>
          <w:tcPr>
            <w:tcW w:w="1243" w:type="pct"/>
            <w:vMerge/>
            <w:tcBorders>
              <w:top w:val="nil"/>
              <w:left w:val="nil"/>
              <w:bottom w:val="single" w:sz="8" w:space="0" w:color="152935"/>
              <w:right w:val="nil"/>
            </w:tcBorders>
            <w:vAlign w:val="center"/>
            <w:hideMark/>
          </w:tcPr>
          <w:p w14:paraId="7E494C48" w14:textId="77777777" w:rsidR="004623B3" w:rsidRPr="004623B3" w:rsidRDefault="004623B3" w:rsidP="004623B3">
            <w:pPr>
              <w:spacing w:before="0" w:after="0"/>
              <w:jc w:val="left"/>
              <w:rPr>
                <w:rFonts w:eastAsia="Times New Roman" w:cs="Times New Roman"/>
                <w:color w:val="000000"/>
                <w:sz w:val="20"/>
                <w:szCs w:val="20"/>
                <w:lang w:val="sr-Latn-RS" w:eastAsia="sr-Latn-RS"/>
              </w:rPr>
            </w:pPr>
          </w:p>
        </w:tc>
        <w:tc>
          <w:tcPr>
            <w:tcW w:w="1180" w:type="pct"/>
            <w:tcBorders>
              <w:top w:val="nil"/>
              <w:left w:val="nil"/>
              <w:bottom w:val="nil"/>
              <w:right w:val="nil"/>
            </w:tcBorders>
            <w:shd w:val="clear" w:color="auto" w:fill="auto"/>
            <w:vAlign w:val="center"/>
            <w:hideMark/>
          </w:tcPr>
          <w:p w14:paraId="5D005DD1" w14:textId="77777777" w:rsidR="004623B3" w:rsidRPr="004623B3" w:rsidRDefault="004623B3" w:rsidP="004623B3">
            <w:pPr>
              <w:spacing w:before="0" w:after="0"/>
              <w:jc w:val="left"/>
              <w:rPr>
                <w:rFonts w:eastAsia="Times New Roman" w:cs="Times New Roman"/>
                <w:color w:val="000000"/>
                <w:sz w:val="20"/>
                <w:szCs w:val="20"/>
                <w:lang w:val="sr-Latn-RS" w:eastAsia="sr-Latn-RS"/>
              </w:rPr>
            </w:pPr>
            <w:r w:rsidRPr="004623B3">
              <w:rPr>
                <w:rFonts w:eastAsia="Times New Roman" w:cs="Times New Roman"/>
                <w:color w:val="000000"/>
                <w:sz w:val="20"/>
                <w:szCs w:val="20"/>
                <w:lang w:val="sr-Latn-RS" w:eastAsia="sr-Latn-RS"/>
              </w:rPr>
              <w:t>Quasi-fault</w:t>
            </w:r>
          </w:p>
        </w:tc>
        <w:tc>
          <w:tcPr>
            <w:tcW w:w="593" w:type="pct"/>
            <w:tcBorders>
              <w:top w:val="nil"/>
              <w:left w:val="nil"/>
              <w:bottom w:val="nil"/>
              <w:right w:val="nil"/>
            </w:tcBorders>
            <w:shd w:val="clear" w:color="auto" w:fill="auto"/>
            <w:vAlign w:val="center"/>
            <w:hideMark/>
          </w:tcPr>
          <w:p w14:paraId="721BF7E9" w14:textId="77777777" w:rsidR="004623B3" w:rsidRPr="004623B3" w:rsidRDefault="004623B3" w:rsidP="004623B3">
            <w:pPr>
              <w:spacing w:before="0" w:after="0"/>
              <w:jc w:val="right"/>
              <w:rPr>
                <w:rFonts w:eastAsia="Times New Roman" w:cs="Times New Roman"/>
                <w:color w:val="000000"/>
                <w:sz w:val="20"/>
                <w:szCs w:val="20"/>
                <w:lang w:val="sr-Latn-RS" w:eastAsia="sr-Latn-RS"/>
              </w:rPr>
            </w:pPr>
            <w:r w:rsidRPr="004623B3">
              <w:rPr>
                <w:rFonts w:eastAsia="Times New Roman" w:cs="Times New Roman"/>
                <w:color w:val="000000"/>
                <w:sz w:val="20"/>
                <w:szCs w:val="20"/>
                <w:lang w:val="sr-Latn-RS" w:eastAsia="sr-Latn-RS"/>
              </w:rPr>
              <w:t>8</w:t>
            </w:r>
          </w:p>
        </w:tc>
        <w:tc>
          <w:tcPr>
            <w:tcW w:w="757" w:type="pct"/>
            <w:tcBorders>
              <w:top w:val="nil"/>
              <w:left w:val="nil"/>
              <w:bottom w:val="nil"/>
              <w:right w:val="nil"/>
            </w:tcBorders>
            <w:shd w:val="clear" w:color="auto" w:fill="auto"/>
            <w:vAlign w:val="center"/>
            <w:hideMark/>
          </w:tcPr>
          <w:p w14:paraId="36028F72" w14:textId="77777777" w:rsidR="004623B3" w:rsidRPr="004623B3" w:rsidRDefault="004623B3" w:rsidP="004623B3">
            <w:pPr>
              <w:spacing w:before="0" w:after="0"/>
              <w:jc w:val="right"/>
              <w:rPr>
                <w:rFonts w:eastAsia="Times New Roman" w:cs="Times New Roman"/>
                <w:color w:val="000000"/>
                <w:sz w:val="20"/>
                <w:szCs w:val="20"/>
                <w:lang w:val="sr-Latn-RS" w:eastAsia="sr-Latn-RS"/>
              </w:rPr>
            </w:pPr>
            <w:r w:rsidRPr="004623B3">
              <w:rPr>
                <w:rFonts w:eastAsia="Times New Roman" w:cs="Times New Roman"/>
                <w:color w:val="000000"/>
                <w:sz w:val="20"/>
                <w:szCs w:val="20"/>
                <w:lang w:val="sr-Latn-RS" w:eastAsia="sr-Latn-RS"/>
              </w:rPr>
              <w:t>127</w:t>
            </w:r>
          </w:p>
        </w:tc>
        <w:tc>
          <w:tcPr>
            <w:tcW w:w="1228" w:type="pct"/>
            <w:tcBorders>
              <w:top w:val="nil"/>
              <w:left w:val="nil"/>
              <w:bottom w:val="nil"/>
              <w:right w:val="nil"/>
            </w:tcBorders>
            <w:shd w:val="clear" w:color="auto" w:fill="auto"/>
            <w:vAlign w:val="center"/>
            <w:hideMark/>
          </w:tcPr>
          <w:p w14:paraId="1B45CE2D" w14:textId="77777777" w:rsidR="004623B3" w:rsidRPr="004623B3" w:rsidRDefault="004623B3" w:rsidP="004623B3">
            <w:pPr>
              <w:spacing w:before="0" w:after="0"/>
              <w:jc w:val="right"/>
              <w:rPr>
                <w:rFonts w:eastAsia="Times New Roman" w:cs="Times New Roman"/>
                <w:color w:val="000000"/>
                <w:sz w:val="20"/>
                <w:szCs w:val="20"/>
                <w:lang w:val="sr-Latn-RS" w:eastAsia="sr-Latn-RS"/>
              </w:rPr>
            </w:pPr>
            <w:r w:rsidRPr="004623B3">
              <w:rPr>
                <w:rFonts w:eastAsia="Times New Roman" w:cs="Times New Roman"/>
                <w:color w:val="000000"/>
                <w:sz w:val="20"/>
                <w:szCs w:val="20"/>
                <w:lang w:val="sr-Latn-RS" w:eastAsia="sr-Latn-RS"/>
              </w:rPr>
              <w:t>94.07%</w:t>
            </w:r>
          </w:p>
        </w:tc>
      </w:tr>
      <w:tr w:rsidR="004623B3" w:rsidRPr="004623B3" w14:paraId="1C94C46C" w14:textId="77777777" w:rsidTr="00982E69">
        <w:trPr>
          <w:trHeight w:val="270"/>
        </w:trPr>
        <w:tc>
          <w:tcPr>
            <w:tcW w:w="1243" w:type="pct"/>
            <w:vMerge/>
            <w:tcBorders>
              <w:top w:val="nil"/>
              <w:left w:val="nil"/>
              <w:bottom w:val="single" w:sz="4" w:space="0" w:color="auto"/>
              <w:right w:val="nil"/>
            </w:tcBorders>
            <w:vAlign w:val="center"/>
            <w:hideMark/>
          </w:tcPr>
          <w:p w14:paraId="79855435" w14:textId="77777777" w:rsidR="004623B3" w:rsidRPr="004623B3" w:rsidRDefault="004623B3" w:rsidP="004623B3">
            <w:pPr>
              <w:spacing w:before="0" w:after="0"/>
              <w:jc w:val="left"/>
              <w:rPr>
                <w:rFonts w:eastAsia="Times New Roman" w:cs="Times New Roman"/>
                <w:color w:val="000000"/>
                <w:sz w:val="20"/>
                <w:szCs w:val="20"/>
                <w:lang w:val="sr-Latn-RS" w:eastAsia="sr-Latn-RS"/>
              </w:rPr>
            </w:pPr>
          </w:p>
        </w:tc>
        <w:tc>
          <w:tcPr>
            <w:tcW w:w="1180" w:type="pct"/>
            <w:tcBorders>
              <w:top w:val="nil"/>
              <w:left w:val="nil"/>
              <w:bottom w:val="single" w:sz="4" w:space="0" w:color="auto"/>
              <w:right w:val="nil"/>
            </w:tcBorders>
            <w:shd w:val="clear" w:color="auto" w:fill="auto"/>
            <w:vAlign w:val="center"/>
            <w:hideMark/>
          </w:tcPr>
          <w:p w14:paraId="0AFC7888" w14:textId="77777777" w:rsidR="004623B3" w:rsidRPr="004623B3" w:rsidRDefault="004623B3" w:rsidP="004623B3">
            <w:pPr>
              <w:spacing w:before="0" w:after="0"/>
              <w:jc w:val="left"/>
              <w:rPr>
                <w:rFonts w:eastAsia="Times New Roman" w:cs="Times New Roman"/>
                <w:color w:val="000000"/>
                <w:sz w:val="20"/>
                <w:szCs w:val="20"/>
                <w:lang w:val="sr-Latn-RS" w:eastAsia="sr-Latn-RS"/>
              </w:rPr>
            </w:pPr>
            <w:r w:rsidRPr="004623B3">
              <w:rPr>
                <w:rFonts w:eastAsia="Times New Roman" w:cs="Times New Roman"/>
                <w:color w:val="000000"/>
                <w:sz w:val="20"/>
                <w:szCs w:val="20"/>
                <w:lang w:val="sr-Latn-RS" w:eastAsia="sr-Latn-RS"/>
              </w:rPr>
              <w:t>Overall Percentage</w:t>
            </w:r>
          </w:p>
        </w:tc>
        <w:tc>
          <w:tcPr>
            <w:tcW w:w="593" w:type="pct"/>
            <w:tcBorders>
              <w:top w:val="nil"/>
              <w:left w:val="nil"/>
              <w:bottom w:val="single" w:sz="4" w:space="0" w:color="auto"/>
              <w:right w:val="nil"/>
            </w:tcBorders>
            <w:shd w:val="clear" w:color="auto" w:fill="auto"/>
            <w:vAlign w:val="center"/>
            <w:hideMark/>
          </w:tcPr>
          <w:p w14:paraId="12A8B5E0" w14:textId="77777777" w:rsidR="004623B3" w:rsidRPr="004623B3" w:rsidRDefault="004623B3" w:rsidP="004623B3">
            <w:pPr>
              <w:spacing w:before="0" w:after="0"/>
              <w:jc w:val="right"/>
              <w:rPr>
                <w:rFonts w:eastAsia="Times New Roman" w:cs="Times New Roman"/>
                <w:color w:val="000000"/>
                <w:sz w:val="20"/>
                <w:szCs w:val="20"/>
                <w:lang w:val="sr-Latn-RS" w:eastAsia="sr-Latn-RS"/>
              </w:rPr>
            </w:pPr>
            <w:r w:rsidRPr="004623B3">
              <w:rPr>
                <w:rFonts w:eastAsia="Times New Roman" w:cs="Times New Roman"/>
                <w:color w:val="000000"/>
                <w:sz w:val="20"/>
                <w:szCs w:val="20"/>
                <w:lang w:val="sr-Latn-RS" w:eastAsia="sr-Latn-RS"/>
              </w:rPr>
              <w:t>54.08%</w:t>
            </w:r>
          </w:p>
        </w:tc>
        <w:tc>
          <w:tcPr>
            <w:tcW w:w="757" w:type="pct"/>
            <w:tcBorders>
              <w:top w:val="nil"/>
              <w:left w:val="nil"/>
              <w:bottom w:val="single" w:sz="4" w:space="0" w:color="auto"/>
              <w:right w:val="nil"/>
            </w:tcBorders>
            <w:shd w:val="clear" w:color="auto" w:fill="auto"/>
            <w:vAlign w:val="center"/>
            <w:hideMark/>
          </w:tcPr>
          <w:p w14:paraId="6D561C40" w14:textId="77777777" w:rsidR="004623B3" w:rsidRPr="004623B3" w:rsidRDefault="004623B3" w:rsidP="004623B3">
            <w:pPr>
              <w:spacing w:before="0" w:after="0"/>
              <w:jc w:val="right"/>
              <w:rPr>
                <w:rFonts w:eastAsia="Times New Roman" w:cs="Times New Roman"/>
                <w:color w:val="000000"/>
                <w:sz w:val="20"/>
                <w:szCs w:val="20"/>
                <w:lang w:val="sr-Latn-RS" w:eastAsia="sr-Latn-RS"/>
              </w:rPr>
            </w:pPr>
            <w:r w:rsidRPr="004623B3">
              <w:rPr>
                <w:rFonts w:eastAsia="Times New Roman" w:cs="Times New Roman"/>
                <w:color w:val="000000"/>
                <w:sz w:val="20"/>
                <w:szCs w:val="20"/>
                <w:lang w:val="sr-Latn-RS" w:eastAsia="sr-Latn-RS"/>
              </w:rPr>
              <w:t>43.20%</w:t>
            </w:r>
          </w:p>
        </w:tc>
        <w:tc>
          <w:tcPr>
            <w:tcW w:w="1228" w:type="pct"/>
            <w:tcBorders>
              <w:top w:val="nil"/>
              <w:left w:val="nil"/>
              <w:bottom w:val="single" w:sz="4" w:space="0" w:color="auto"/>
              <w:right w:val="nil"/>
            </w:tcBorders>
            <w:shd w:val="clear" w:color="auto" w:fill="auto"/>
            <w:vAlign w:val="center"/>
            <w:hideMark/>
          </w:tcPr>
          <w:p w14:paraId="1B86C734" w14:textId="77777777" w:rsidR="004623B3" w:rsidRPr="00925662" w:rsidRDefault="004623B3" w:rsidP="004623B3">
            <w:pPr>
              <w:spacing w:before="0" w:after="0"/>
              <w:jc w:val="right"/>
              <w:rPr>
                <w:rFonts w:eastAsia="Times New Roman" w:cs="Times New Roman"/>
                <w:b/>
                <w:bCs/>
                <w:color w:val="000000"/>
                <w:sz w:val="20"/>
                <w:szCs w:val="20"/>
                <w:lang w:val="sr-Latn-RS" w:eastAsia="sr-Latn-RS"/>
              </w:rPr>
            </w:pPr>
            <w:r w:rsidRPr="00925662">
              <w:rPr>
                <w:rFonts w:eastAsia="Times New Roman" w:cs="Times New Roman"/>
                <w:b/>
                <w:bCs/>
                <w:color w:val="000000"/>
                <w:sz w:val="20"/>
                <w:szCs w:val="20"/>
                <w:lang w:val="sr-Latn-RS" w:eastAsia="sr-Latn-RS"/>
              </w:rPr>
              <w:t>94.56%</w:t>
            </w:r>
          </w:p>
        </w:tc>
      </w:tr>
    </w:tbl>
    <w:p w14:paraId="542509EE" w14:textId="60CA16AE" w:rsidR="00644EBF" w:rsidRDefault="00D62621" w:rsidP="005F63F7">
      <w:pPr>
        <w:rPr>
          <w:lang w:val="sr-Latn-RS"/>
        </w:rPr>
      </w:pPr>
      <w:r>
        <w:rPr>
          <w:lang w:val="sr-Latn-RS"/>
        </w:rPr>
        <w:t>Although mostly in practical applications</w:t>
      </w:r>
      <w:r w:rsidR="00F5373B">
        <w:rPr>
          <w:lang w:val="sr-Latn-RS"/>
        </w:rPr>
        <w:t>,</w:t>
      </w:r>
      <w:r>
        <w:rPr>
          <w:lang w:val="sr-Latn-RS"/>
        </w:rPr>
        <w:t xml:space="preserve"> different activation functions are used (e.g., softmax and ReLU), the computation of ANN is done in SPSS with multilayer perceptron NN, and </w:t>
      </w:r>
      <w:r w:rsidR="00F5373B">
        <w:rPr>
          <w:lang w:val="sr-Latn-RS"/>
        </w:rPr>
        <w:t xml:space="preserve">the </w:t>
      </w:r>
      <w:r>
        <w:rPr>
          <w:lang w:val="sr-Latn-RS"/>
        </w:rPr>
        <w:t xml:space="preserve">sigmoid function showed the best prediction properties after </w:t>
      </w:r>
      <w:r w:rsidR="00F5373B">
        <w:rPr>
          <w:lang w:val="sr-Latn-RS"/>
        </w:rPr>
        <w:t xml:space="preserve">the </w:t>
      </w:r>
      <w:r>
        <w:rPr>
          <w:lang w:val="sr-Latn-RS"/>
        </w:rPr>
        <w:t xml:space="preserve">trial-and-error test. However, although sigmoid showed </w:t>
      </w:r>
      <w:r w:rsidR="00F5373B">
        <w:rPr>
          <w:lang w:val="sr-Latn-RS"/>
        </w:rPr>
        <w:t xml:space="preserve">the </w:t>
      </w:r>
      <w:r>
        <w:rPr>
          <w:lang w:val="sr-Latn-RS"/>
        </w:rPr>
        <w:t>best prediction properties</w:t>
      </w:r>
      <w:r w:rsidR="00F5373B">
        <w:rPr>
          <w:lang w:val="sr-Latn-RS"/>
        </w:rPr>
        <w:t>, it does necessarily not be concluded that other activation functions will not perform better in the future</w:t>
      </w:r>
      <w:r>
        <w:rPr>
          <w:lang w:val="sr-Latn-RS"/>
        </w:rPr>
        <w:t xml:space="preserve">. In addition, </w:t>
      </w:r>
      <w:r w:rsidR="004909B8">
        <w:rPr>
          <w:lang w:val="sr-Latn-RS"/>
        </w:rPr>
        <w:t>different outcomes can be achieved since many different neural networks exist and different optimisation strategies are used – changes of parameters and hyperparameters</w:t>
      </w:r>
      <w:r>
        <w:rPr>
          <w:lang w:val="sr-Latn-RS"/>
        </w:rPr>
        <w:t xml:space="preserve">. </w:t>
      </w:r>
      <w:r w:rsidR="00F5373B">
        <w:rPr>
          <w:lang w:val="sr-Latn-RS"/>
        </w:rPr>
        <w:t>P</w:t>
      </w:r>
      <w:r w:rsidR="00F105C9">
        <w:rPr>
          <w:lang w:val="sr-Latn-RS"/>
        </w:rPr>
        <w:t xml:space="preserve">arameters in neural networks </w:t>
      </w:r>
      <w:r w:rsidR="00F5373B">
        <w:rPr>
          <w:lang w:val="sr-Latn-RS"/>
        </w:rPr>
        <w:t>are</w:t>
      </w:r>
      <w:r w:rsidR="00F105C9">
        <w:rPr>
          <w:lang w:val="sr-Latn-RS"/>
        </w:rPr>
        <w:t xml:space="preserve"> meant by the change of weights in an ANN, while hyperparameters include a wide range of changes before the computation of an ANN. There </w:t>
      </w:r>
      <w:r w:rsidR="00F5373B">
        <w:rPr>
          <w:lang w:val="sr-Latn-RS"/>
        </w:rPr>
        <w:t xml:space="preserve">are a </w:t>
      </w:r>
      <w:r w:rsidR="00F105C9">
        <w:rPr>
          <w:lang w:val="sr-Latn-RS"/>
        </w:rPr>
        <w:t xml:space="preserve">huge amount of optimisation techniques for hyperparameters. As such, </w:t>
      </w:r>
      <w:r w:rsidR="00F5373B">
        <w:rPr>
          <w:lang w:val="sr-Latn-RS"/>
        </w:rPr>
        <w:t xml:space="preserve">a </w:t>
      </w:r>
      <w:r w:rsidR="00F105C9">
        <w:rPr>
          <w:lang w:val="sr-Latn-RS"/>
        </w:rPr>
        <w:t xml:space="preserve">model hyperparameter is a configuration technique that is „outside“ of the model parameters – the number of hidden layers in NN and the variables that determine the learning rate of an ANN. Usually, </w:t>
      </w:r>
      <w:r w:rsidR="001E343B">
        <w:rPr>
          <w:lang w:val="sr-Latn-RS"/>
        </w:rPr>
        <w:t xml:space="preserve">changes in hidden layers with regularisation </w:t>
      </w:r>
      <w:r w:rsidR="00F5373B">
        <w:rPr>
          <w:lang w:val="sr-Latn-RS"/>
        </w:rPr>
        <w:t>are</w:t>
      </w:r>
      <w:r w:rsidR="001E343B">
        <w:rPr>
          <w:lang w:val="sr-Latn-RS"/>
        </w:rPr>
        <w:t xml:space="preserve"> done to increase accuracy by adding or removing nodes („dropout“ regularisation“), thus increasing </w:t>
      </w:r>
      <w:r w:rsidR="00F5373B">
        <w:rPr>
          <w:lang w:val="sr-Latn-RS"/>
        </w:rPr>
        <w:t xml:space="preserve">the </w:t>
      </w:r>
      <w:r w:rsidR="001E343B">
        <w:rPr>
          <w:lang w:val="sr-Latn-RS"/>
        </w:rPr>
        <w:t xml:space="preserve">generalisation „power“ of a model and reducing </w:t>
      </w:r>
      <w:r w:rsidR="00F5373B">
        <w:rPr>
          <w:lang w:val="sr-Latn-RS"/>
        </w:rPr>
        <w:t xml:space="preserve">the </w:t>
      </w:r>
      <w:r w:rsidR="001E343B">
        <w:rPr>
          <w:lang w:val="sr-Latn-RS"/>
        </w:rPr>
        <w:t xml:space="preserve">overfitting of a model. Although </w:t>
      </w:r>
      <w:r w:rsidR="00F5373B">
        <w:rPr>
          <w:lang w:val="sr-Latn-RS"/>
        </w:rPr>
        <w:t xml:space="preserve">the </w:t>
      </w:r>
      <w:r w:rsidR="001E343B">
        <w:rPr>
          <w:lang w:val="sr-Latn-RS"/>
        </w:rPr>
        <w:t>activation function „Rectified Linear Activat</w:t>
      </w:r>
      <w:r w:rsidR="00F5373B">
        <w:rPr>
          <w:lang w:val="sr-Latn-RS"/>
        </w:rPr>
        <w:t>i</w:t>
      </w:r>
      <w:r w:rsidR="001E343B">
        <w:rPr>
          <w:lang w:val="sr-Latn-RS"/>
        </w:rPr>
        <w:t>on Unit“ or ReLU is gaining significant attention, as an unwritten rule sigmoid function is used for making binary predictions, while softmax is used for multi-class prediction problem</w:t>
      </w:r>
      <w:r w:rsidR="00F5373B">
        <w:rPr>
          <w:lang w:val="sr-Latn-RS"/>
        </w:rPr>
        <w:t>s</w:t>
      </w:r>
      <w:r w:rsidR="001E343B">
        <w:rPr>
          <w:lang w:val="sr-Latn-RS"/>
        </w:rPr>
        <w:t>.</w:t>
      </w:r>
      <w:r w:rsidR="00F105C9">
        <w:rPr>
          <w:lang w:val="sr-Latn-RS"/>
        </w:rPr>
        <w:t xml:space="preserve"> </w:t>
      </w:r>
      <w:r w:rsidR="001E343B">
        <w:rPr>
          <w:lang w:val="sr-Latn-RS"/>
        </w:rPr>
        <w:t xml:space="preserve">Since </w:t>
      </w:r>
      <w:r w:rsidR="00F5373B">
        <w:rPr>
          <w:lang w:val="sr-Latn-RS"/>
        </w:rPr>
        <w:t>simple ANN achieves high prediction properties,</w:t>
      </w:r>
      <w:r w:rsidR="001E343B">
        <w:rPr>
          <w:lang w:val="sr-Latn-RS"/>
        </w:rPr>
        <w:t xml:space="preserve"> the in-depth optimisation will not be done and is beyond the scope of the thesis.</w:t>
      </w:r>
    </w:p>
    <w:p w14:paraId="24F5A40A" w14:textId="77777777" w:rsidR="006713AF" w:rsidRDefault="006713AF">
      <w:pPr>
        <w:spacing w:before="0" w:after="160" w:line="259" w:lineRule="auto"/>
        <w:jc w:val="left"/>
        <w:rPr>
          <w:rFonts w:eastAsiaTheme="majorEastAsia" w:cstheme="majorBidi"/>
          <w:smallCaps/>
          <w:szCs w:val="24"/>
        </w:rPr>
      </w:pPr>
      <w:r>
        <w:br w:type="page"/>
      </w:r>
    </w:p>
    <w:p w14:paraId="77CF881B" w14:textId="3AD8A9C4" w:rsidR="00811117" w:rsidRDefault="00811117" w:rsidP="00811117">
      <w:pPr>
        <w:pStyle w:val="Heading3"/>
      </w:pPr>
      <w:bookmarkStart w:id="595" w:name="_Toc101274403"/>
      <w:r>
        <w:lastRenderedPageBreak/>
        <w:t xml:space="preserve">Artificial Neural Network for idle saddle </w:t>
      </w:r>
      <w:r w:rsidR="006713AF">
        <w:t>position</w:t>
      </w:r>
      <w:bookmarkEnd w:id="595"/>
    </w:p>
    <w:p w14:paraId="0D180658" w14:textId="4CE3A8EE" w:rsidR="00811117" w:rsidRPr="00CD1E4E" w:rsidRDefault="00CD1E4E" w:rsidP="00811117">
      <w:r>
        <w:t>Monitoring the regime at idle saddle position</w:t>
      </w:r>
      <w:r w:rsidR="00F5373B">
        <w:t xml:space="preserve"> and eliminating variables associated with sensor failure are removed since all values (readings) after non-returning the saddle in the initial position or not performing the cycle is</w:t>
      </w:r>
      <w:r>
        <w:t xml:space="preserve"> zero. Therefore, </w:t>
      </w:r>
      <w:r w:rsidR="00F5373B">
        <w:t xml:space="preserve">the </w:t>
      </w:r>
      <w:r>
        <w:t xml:space="preserve">reduced number of training data is </w:t>
      </w:r>
      <w:r>
        <w:rPr>
          <w:i/>
          <w:iCs/>
        </w:rPr>
        <w:t>n</w:t>
      </w:r>
      <w:r>
        <w:t xml:space="preserve"> = 540 (</w:t>
      </w:r>
      <w:r w:rsidR="003D1DC4">
        <w:fldChar w:fldCharType="begin"/>
      </w:r>
      <w:r w:rsidR="003D1DC4">
        <w:instrText xml:space="preserve"> REF _Ref98673190 \h </w:instrText>
      </w:r>
      <w:r w:rsidR="003D1DC4">
        <w:fldChar w:fldCharType="separate"/>
      </w:r>
      <w:r w:rsidR="00587AF0">
        <w:t xml:space="preserve">Table </w:t>
      </w:r>
      <w:r w:rsidR="00587AF0">
        <w:rPr>
          <w:noProof/>
        </w:rPr>
        <w:t>37</w:t>
      </w:r>
      <w:r w:rsidR="003D1DC4">
        <w:fldChar w:fldCharType="end"/>
      </w:r>
      <w:r>
        <w:t>)</w:t>
      </w:r>
      <w:r w:rsidR="003D1DC4">
        <w:t>.</w:t>
      </w:r>
    </w:p>
    <w:p w14:paraId="391C8BF3" w14:textId="203C7A3D" w:rsidR="00C23BE9" w:rsidRPr="00C23BE9" w:rsidRDefault="00CD1E4E" w:rsidP="00CD1E4E">
      <w:pPr>
        <w:pStyle w:val="Caption"/>
        <w:jc w:val="both"/>
        <w:rPr>
          <w:lang w:val="sr-Latn-RS"/>
        </w:rPr>
      </w:pPr>
      <w:bookmarkStart w:id="596" w:name="_Ref98673190"/>
      <w:bookmarkStart w:id="597" w:name="_Toc101274477"/>
      <w:r>
        <w:t xml:space="preserve">Table </w:t>
      </w:r>
      <w:fldSimple w:instr=" SEQ Table \* ARABIC ">
        <w:r w:rsidR="00587AF0">
          <w:rPr>
            <w:noProof/>
          </w:rPr>
          <w:t>37</w:t>
        </w:r>
      </w:fldSimple>
      <w:bookmarkEnd w:id="596"/>
      <w:r>
        <w:t>. Case processing summary of training data at idle saddle position</w:t>
      </w:r>
      <w:bookmarkEnd w:id="597"/>
    </w:p>
    <w:tbl>
      <w:tblPr>
        <w:tblW w:w="5000" w:type="pct"/>
        <w:tblCellMar>
          <w:left w:w="0" w:type="dxa"/>
          <w:right w:w="0" w:type="dxa"/>
        </w:tblCellMar>
        <w:tblLook w:val="0000" w:firstRow="0" w:lastRow="0" w:firstColumn="0" w:lastColumn="0" w:noHBand="0" w:noVBand="0"/>
      </w:tblPr>
      <w:tblGrid>
        <w:gridCol w:w="2046"/>
        <w:gridCol w:w="2112"/>
        <w:gridCol w:w="2435"/>
        <w:gridCol w:w="2434"/>
      </w:tblGrid>
      <w:tr w:rsidR="00CD1E4E" w:rsidRPr="00CD1E4E" w14:paraId="682605CB" w14:textId="77777777" w:rsidTr="00982E69">
        <w:trPr>
          <w:cantSplit/>
        </w:trPr>
        <w:tc>
          <w:tcPr>
            <w:tcW w:w="2303" w:type="pct"/>
            <w:gridSpan w:val="2"/>
            <w:tcBorders>
              <w:top w:val="single" w:sz="4" w:space="0" w:color="auto"/>
              <w:bottom w:val="single" w:sz="4" w:space="0" w:color="auto"/>
            </w:tcBorders>
            <w:shd w:val="clear" w:color="auto" w:fill="auto"/>
            <w:vAlign w:val="bottom"/>
          </w:tcPr>
          <w:p w14:paraId="23B4DFA1" w14:textId="39435804" w:rsidR="00C23BE9" w:rsidRPr="00CD1E4E" w:rsidRDefault="00CD1E4E" w:rsidP="00CD1E4E">
            <w:pPr>
              <w:spacing w:before="0" w:after="0"/>
              <w:ind w:left="57" w:right="57"/>
              <w:rPr>
                <w:rFonts w:ascii="Times New Roman" w:hAnsi="Times New Roman" w:cs="Times New Roman"/>
                <w:b/>
                <w:bCs/>
                <w:sz w:val="20"/>
                <w:szCs w:val="20"/>
                <w:lang w:val="sr-Latn-RS"/>
              </w:rPr>
            </w:pPr>
            <w:r w:rsidRPr="00CD1E4E">
              <w:rPr>
                <w:rFonts w:ascii="Times New Roman" w:hAnsi="Times New Roman" w:cs="Times New Roman"/>
                <w:b/>
                <w:bCs/>
                <w:sz w:val="20"/>
                <w:szCs w:val="20"/>
                <w:lang w:val="sr-Latn-RS"/>
              </w:rPr>
              <w:t>Properties</w:t>
            </w:r>
          </w:p>
        </w:tc>
        <w:tc>
          <w:tcPr>
            <w:tcW w:w="1349" w:type="pct"/>
            <w:tcBorders>
              <w:top w:val="single" w:sz="4" w:space="0" w:color="auto"/>
              <w:bottom w:val="single" w:sz="4" w:space="0" w:color="auto"/>
            </w:tcBorders>
            <w:shd w:val="clear" w:color="auto" w:fill="auto"/>
            <w:vAlign w:val="bottom"/>
          </w:tcPr>
          <w:p w14:paraId="6CF3FBFA" w14:textId="012C8520" w:rsidR="00C23BE9" w:rsidRPr="00CD1E4E" w:rsidRDefault="00D9609C" w:rsidP="00024EC5">
            <w:pPr>
              <w:spacing w:before="0" w:after="0"/>
              <w:ind w:left="57" w:right="57"/>
              <w:jc w:val="center"/>
              <w:rPr>
                <w:b/>
                <w:bCs/>
                <w:sz w:val="20"/>
                <w:szCs w:val="20"/>
                <w:lang w:val="sr-Latn-RS"/>
              </w:rPr>
            </w:pPr>
            <w:r>
              <w:rPr>
                <w:b/>
                <w:bCs/>
                <w:sz w:val="20"/>
                <w:szCs w:val="20"/>
                <w:lang w:val="sr-Latn-RS"/>
              </w:rPr>
              <w:t>Sample</w:t>
            </w:r>
          </w:p>
        </w:tc>
        <w:tc>
          <w:tcPr>
            <w:tcW w:w="1349" w:type="pct"/>
            <w:tcBorders>
              <w:top w:val="single" w:sz="4" w:space="0" w:color="auto"/>
              <w:bottom w:val="single" w:sz="4" w:space="0" w:color="auto"/>
            </w:tcBorders>
            <w:shd w:val="clear" w:color="auto" w:fill="auto"/>
            <w:vAlign w:val="bottom"/>
          </w:tcPr>
          <w:p w14:paraId="67169383" w14:textId="000ACCBF" w:rsidR="00C23BE9" w:rsidRPr="00CD1E4E" w:rsidRDefault="00D9609C" w:rsidP="00024EC5">
            <w:pPr>
              <w:spacing w:before="0" w:after="0"/>
              <w:ind w:left="57" w:right="57"/>
              <w:jc w:val="center"/>
              <w:rPr>
                <w:b/>
                <w:bCs/>
                <w:sz w:val="20"/>
                <w:szCs w:val="20"/>
                <w:lang w:val="sr-Latn-RS"/>
              </w:rPr>
            </w:pPr>
            <w:r>
              <w:rPr>
                <w:b/>
                <w:bCs/>
                <w:sz w:val="20"/>
                <w:szCs w:val="20"/>
                <w:lang w:val="sr-Latn-RS"/>
              </w:rPr>
              <w:t>Percentage</w:t>
            </w:r>
          </w:p>
        </w:tc>
      </w:tr>
      <w:tr w:rsidR="00CD1E4E" w:rsidRPr="00CD1E4E" w14:paraId="6C06B8AE" w14:textId="77777777" w:rsidTr="00982E69">
        <w:trPr>
          <w:cantSplit/>
        </w:trPr>
        <w:tc>
          <w:tcPr>
            <w:tcW w:w="1133" w:type="pct"/>
            <w:tcBorders>
              <w:top w:val="single" w:sz="4" w:space="0" w:color="auto"/>
            </w:tcBorders>
            <w:shd w:val="clear" w:color="auto" w:fill="auto"/>
          </w:tcPr>
          <w:p w14:paraId="15B92A98" w14:textId="77777777" w:rsidR="00C23BE9" w:rsidRPr="00CD1E4E" w:rsidRDefault="00C23BE9" w:rsidP="00CD1E4E">
            <w:pPr>
              <w:spacing w:before="0" w:after="0"/>
              <w:ind w:left="57" w:right="57"/>
              <w:rPr>
                <w:sz w:val="20"/>
                <w:szCs w:val="20"/>
                <w:lang w:val="sr-Latn-RS"/>
              </w:rPr>
            </w:pPr>
            <w:r w:rsidRPr="00CD1E4E">
              <w:rPr>
                <w:sz w:val="20"/>
                <w:szCs w:val="20"/>
                <w:lang w:val="sr-Latn-RS"/>
              </w:rPr>
              <w:t>Sample</w:t>
            </w:r>
          </w:p>
        </w:tc>
        <w:tc>
          <w:tcPr>
            <w:tcW w:w="1170" w:type="pct"/>
            <w:tcBorders>
              <w:top w:val="single" w:sz="4" w:space="0" w:color="auto"/>
            </w:tcBorders>
            <w:shd w:val="clear" w:color="auto" w:fill="auto"/>
          </w:tcPr>
          <w:p w14:paraId="7BA3C7A1" w14:textId="77777777" w:rsidR="00C23BE9" w:rsidRPr="00CD1E4E" w:rsidRDefault="00C23BE9" w:rsidP="00CD1E4E">
            <w:pPr>
              <w:spacing w:before="0" w:after="0"/>
              <w:ind w:left="57" w:right="57"/>
              <w:rPr>
                <w:sz w:val="20"/>
                <w:szCs w:val="20"/>
                <w:lang w:val="sr-Latn-RS"/>
              </w:rPr>
            </w:pPr>
            <w:r w:rsidRPr="00CD1E4E">
              <w:rPr>
                <w:sz w:val="20"/>
                <w:szCs w:val="20"/>
                <w:lang w:val="sr-Latn-RS"/>
              </w:rPr>
              <w:t>Training</w:t>
            </w:r>
          </w:p>
        </w:tc>
        <w:tc>
          <w:tcPr>
            <w:tcW w:w="1349" w:type="pct"/>
            <w:tcBorders>
              <w:top w:val="single" w:sz="4" w:space="0" w:color="auto"/>
            </w:tcBorders>
            <w:shd w:val="clear" w:color="auto" w:fill="auto"/>
          </w:tcPr>
          <w:p w14:paraId="552E7774" w14:textId="77777777" w:rsidR="00C23BE9" w:rsidRPr="00CD1E4E" w:rsidRDefault="00C23BE9" w:rsidP="00CD1E4E">
            <w:pPr>
              <w:spacing w:before="0" w:after="0"/>
              <w:ind w:left="57" w:right="57"/>
              <w:jc w:val="right"/>
              <w:rPr>
                <w:sz w:val="20"/>
                <w:szCs w:val="20"/>
                <w:lang w:val="sr-Latn-RS"/>
              </w:rPr>
            </w:pPr>
            <w:r w:rsidRPr="00CD1E4E">
              <w:rPr>
                <w:sz w:val="20"/>
                <w:szCs w:val="20"/>
                <w:lang w:val="sr-Latn-RS"/>
              </w:rPr>
              <w:t>540</w:t>
            </w:r>
          </w:p>
        </w:tc>
        <w:tc>
          <w:tcPr>
            <w:tcW w:w="1349" w:type="pct"/>
            <w:tcBorders>
              <w:top w:val="single" w:sz="4" w:space="0" w:color="auto"/>
            </w:tcBorders>
            <w:shd w:val="clear" w:color="auto" w:fill="auto"/>
          </w:tcPr>
          <w:p w14:paraId="72A982AA" w14:textId="1552B2EC" w:rsidR="00C23BE9" w:rsidRPr="00CD1E4E" w:rsidRDefault="00C23BE9" w:rsidP="00CD1E4E">
            <w:pPr>
              <w:spacing w:before="0" w:after="0"/>
              <w:ind w:left="57" w:right="57"/>
              <w:jc w:val="right"/>
              <w:rPr>
                <w:sz w:val="20"/>
                <w:szCs w:val="20"/>
                <w:lang w:val="sr-Latn-RS"/>
              </w:rPr>
            </w:pPr>
            <w:r w:rsidRPr="00CD1E4E">
              <w:rPr>
                <w:sz w:val="20"/>
                <w:szCs w:val="20"/>
                <w:lang w:val="sr-Latn-RS"/>
              </w:rPr>
              <w:t>100</w:t>
            </w:r>
            <w:r w:rsidR="00CD1E4E">
              <w:rPr>
                <w:sz w:val="20"/>
                <w:szCs w:val="20"/>
                <w:lang w:val="sr-Latn-RS"/>
              </w:rPr>
              <w:t>.</w:t>
            </w:r>
            <w:r w:rsidRPr="00CD1E4E">
              <w:rPr>
                <w:sz w:val="20"/>
                <w:szCs w:val="20"/>
                <w:lang w:val="sr-Latn-RS"/>
              </w:rPr>
              <w:t>0%</w:t>
            </w:r>
          </w:p>
        </w:tc>
      </w:tr>
      <w:tr w:rsidR="00CD1E4E" w:rsidRPr="00CD1E4E" w14:paraId="24693F14" w14:textId="77777777" w:rsidTr="00CD1E4E">
        <w:trPr>
          <w:cantSplit/>
        </w:trPr>
        <w:tc>
          <w:tcPr>
            <w:tcW w:w="2303" w:type="pct"/>
            <w:gridSpan w:val="2"/>
            <w:shd w:val="clear" w:color="auto" w:fill="auto"/>
          </w:tcPr>
          <w:p w14:paraId="58E7CE0A" w14:textId="77777777" w:rsidR="00C23BE9" w:rsidRPr="00CD1E4E" w:rsidRDefault="00C23BE9" w:rsidP="00CD1E4E">
            <w:pPr>
              <w:spacing w:before="0" w:after="0"/>
              <w:ind w:left="57" w:right="57"/>
              <w:rPr>
                <w:sz w:val="20"/>
                <w:szCs w:val="20"/>
                <w:lang w:val="sr-Latn-RS"/>
              </w:rPr>
            </w:pPr>
            <w:r w:rsidRPr="00CD1E4E">
              <w:rPr>
                <w:sz w:val="20"/>
                <w:szCs w:val="20"/>
                <w:lang w:val="sr-Latn-RS"/>
              </w:rPr>
              <w:t>Valid</w:t>
            </w:r>
          </w:p>
        </w:tc>
        <w:tc>
          <w:tcPr>
            <w:tcW w:w="1349" w:type="pct"/>
            <w:shd w:val="clear" w:color="auto" w:fill="auto"/>
          </w:tcPr>
          <w:p w14:paraId="4FD845F3" w14:textId="77777777" w:rsidR="00C23BE9" w:rsidRPr="00CD1E4E" w:rsidRDefault="00C23BE9" w:rsidP="00CD1E4E">
            <w:pPr>
              <w:spacing w:before="0" w:after="0"/>
              <w:ind w:left="57" w:right="57"/>
              <w:jc w:val="right"/>
              <w:rPr>
                <w:sz w:val="20"/>
                <w:szCs w:val="20"/>
                <w:lang w:val="sr-Latn-RS"/>
              </w:rPr>
            </w:pPr>
            <w:r w:rsidRPr="00CD1E4E">
              <w:rPr>
                <w:sz w:val="20"/>
                <w:szCs w:val="20"/>
                <w:lang w:val="sr-Latn-RS"/>
              </w:rPr>
              <w:t>540</w:t>
            </w:r>
          </w:p>
        </w:tc>
        <w:tc>
          <w:tcPr>
            <w:tcW w:w="1349" w:type="pct"/>
            <w:shd w:val="clear" w:color="auto" w:fill="auto"/>
          </w:tcPr>
          <w:p w14:paraId="37005FD5" w14:textId="3B820916" w:rsidR="00C23BE9" w:rsidRPr="00CD1E4E" w:rsidRDefault="00C23BE9" w:rsidP="00CD1E4E">
            <w:pPr>
              <w:spacing w:before="0" w:after="0"/>
              <w:ind w:left="57" w:right="57"/>
              <w:jc w:val="right"/>
              <w:rPr>
                <w:sz w:val="20"/>
                <w:szCs w:val="20"/>
                <w:lang w:val="sr-Latn-RS"/>
              </w:rPr>
            </w:pPr>
            <w:r w:rsidRPr="00CD1E4E">
              <w:rPr>
                <w:sz w:val="20"/>
                <w:szCs w:val="20"/>
                <w:lang w:val="sr-Latn-RS"/>
              </w:rPr>
              <w:t>100</w:t>
            </w:r>
            <w:r w:rsidR="00CD1E4E">
              <w:rPr>
                <w:sz w:val="20"/>
                <w:szCs w:val="20"/>
                <w:lang w:val="sr-Latn-RS"/>
              </w:rPr>
              <w:t>.</w:t>
            </w:r>
            <w:r w:rsidRPr="00CD1E4E">
              <w:rPr>
                <w:sz w:val="20"/>
                <w:szCs w:val="20"/>
                <w:lang w:val="sr-Latn-RS"/>
              </w:rPr>
              <w:t>0%</w:t>
            </w:r>
          </w:p>
        </w:tc>
      </w:tr>
      <w:tr w:rsidR="00CD1E4E" w:rsidRPr="00CD1E4E" w14:paraId="70B30944" w14:textId="77777777" w:rsidTr="00982E69">
        <w:trPr>
          <w:cantSplit/>
        </w:trPr>
        <w:tc>
          <w:tcPr>
            <w:tcW w:w="2303" w:type="pct"/>
            <w:gridSpan w:val="2"/>
            <w:shd w:val="clear" w:color="auto" w:fill="auto"/>
          </w:tcPr>
          <w:p w14:paraId="74A5ADCA" w14:textId="77777777" w:rsidR="00C23BE9" w:rsidRPr="00CD1E4E" w:rsidRDefault="00C23BE9" w:rsidP="00CD1E4E">
            <w:pPr>
              <w:spacing w:before="0" w:after="0"/>
              <w:ind w:left="57" w:right="57"/>
              <w:rPr>
                <w:sz w:val="20"/>
                <w:szCs w:val="20"/>
                <w:lang w:val="sr-Latn-RS"/>
              </w:rPr>
            </w:pPr>
            <w:r w:rsidRPr="00CD1E4E">
              <w:rPr>
                <w:sz w:val="20"/>
                <w:szCs w:val="20"/>
                <w:lang w:val="sr-Latn-RS"/>
              </w:rPr>
              <w:t>Excluded</w:t>
            </w:r>
          </w:p>
        </w:tc>
        <w:tc>
          <w:tcPr>
            <w:tcW w:w="1349" w:type="pct"/>
            <w:shd w:val="clear" w:color="auto" w:fill="auto"/>
          </w:tcPr>
          <w:p w14:paraId="1309222F" w14:textId="77777777" w:rsidR="00C23BE9" w:rsidRPr="00CD1E4E" w:rsidRDefault="00C23BE9" w:rsidP="00CD1E4E">
            <w:pPr>
              <w:spacing w:before="0" w:after="0"/>
              <w:ind w:left="57" w:right="57"/>
              <w:jc w:val="right"/>
              <w:rPr>
                <w:sz w:val="20"/>
                <w:szCs w:val="20"/>
                <w:lang w:val="sr-Latn-RS"/>
              </w:rPr>
            </w:pPr>
            <w:r w:rsidRPr="00CD1E4E">
              <w:rPr>
                <w:sz w:val="20"/>
                <w:szCs w:val="20"/>
                <w:lang w:val="sr-Latn-RS"/>
              </w:rPr>
              <w:t>0</w:t>
            </w:r>
          </w:p>
        </w:tc>
        <w:tc>
          <w:tcPr>
            <w:tcW w:w="1349" w:type="pct"/>
            <w:shd w:val="clear" w:color="auto" w:fill="auto"/>
            <w:vAlign w:val="center"/>
          </w:tcPr>
          <w:p w14:paraId="60712C08" w14:textId="77777777" w:rsidR="00C23BE9" w:rsidRPr="00CD1E4E" w:rsidRDefault="00C23BE9" w:rsidP="00CD1E4E">
            <w:pPr>
              <w:spacing w:before="0" w:after="0"/>
              <w:ind w:left="57" w:right="57"/>
              <w:jc w:val="right"/>
              <w:rPr>
                <w:rFonts w:ascii="Times New Roman" w:hAnsi="Times New Roman" w:cs="Times New Roman"/>
                <w:sz w:val="20"/>
                <w:szCs w:val="20"/>
                <w:lang w:val="sr-Latn-RS"/>
              </w:rPr>
            </w:pPr>
          </w:p>
        </w:tc>
      </w:tr>
      <w:tr w:rsidR="00CD1E4E" w:rsidRPr="00CD1E4E" w14:paraId="270F991B" w14:textId="77777777" w:rsidTr="00982E69">
        <w:trPr>
          <w:cantSplit/>
        </w:trPr>
        <w:tc>
          <w:tcPr>
            <w:tcW w:w="2303" w:type="pct"/>
            <w:gridSpan w:val="2"/>
            <w:tcBorders>
              <w:bottom w:val="single" w:sz="4" w:space="0" w:color="auto"/>
            </w:tcBorders>
            <w:shd w:val="clear" w:color="auto" w:fill="auto"/>
          </w:tcPr>
          <w:p w14:paraId="1F777828" w14:textId="77777777" w:rsidR="00C23BE9" w:rsidRPr="00CD1E4E" w:rsidRDefault="00C23BE9" w:rsidP="00CD1E4E">
            <w:pPr>
              <w:spacing w:before="0" w:after="0"/>
              <w:ind w:left="57" w:right="57"/>
              <w:rPr>
                <w:sz w:val="20"/>
                <w:szCs w:val="20"/>
                <w:lang w:val="sr-Latn-RS"/>
              </w:rPr>
            </w:pPr>
            <w:r w:rsidRPr="00CD1E4E">
              <w:rPr>
                <w:sz w:val="20"/>
                <w:szCs w:val="20"/>
                <w:lang w:val="sr-Latn-RS"/>
              </w:rPr>
              <w:t>Total</w:t>
            </w:r>
          </w:p>
        </w:tc>
        <w:tc>
          <w:tcPr>
            <w:tcW w:w="1349" w:type="pct"/>
            <w:tcBorders>
              <w:bottom w:val="single" w:sz="4" w:space="0" w:color="auto"/>
            </w:tcBorders>
            <w:shd w:val="clear" w:color="auto" w:fill="auto"/>
          </w:tcPr>
          <w:p w14:paraId="45495326" w14:textId="77777777" w:rsidR="00C23BE9" w:rsidRPr="00CD1E4E" w:rsidRDefault="00C23BE9" w:rsidP="00CD1E4E">
            <w:pPr>
              <w:spacing w:before="0" w:after="0"/>
              <w:ind w:left="57" w:right="57"/>
              <w:jc w:val="right"/>
              <w:rPr>
                <w:sz w:val="20"/>
                <w:szCs w:val="20"/>
                <w:lang w:val="sr-Latn-RS"/>
              </w:rPr>
            </w:pPr>
            <w:r w:rsidRPr="00CD1E4E">
              <w:rPr>
                <w:sz w:val="20"/>
                <w:szCs w:val="20"/>
                <w:lang w:val="sr-Latn-RS"/>
              </w:rPr>
              <w:t>540</w:t>
            </w:r>
          </w:p>
        </w:tc>
        <w:tc>
          <w:tcPr>
            <w:tcW w:w="1349" w:type="pct"/>
            <w:tcBorders>
              <w:bottom w:val="single" w:sz="4" w:space="0" w:color="auto"/>
            </w:tcBorders>
            <w:shd w:val="clear" w:color="auto" w:fill="auto"/>
            <w:vAlign w:val="center"/>
          </w:tcPr>
          <w:p w14:paraId="2907B09F" w14:textId="77777777" w:rsidR="00C23BE9" w:rsidRPr="00CD1E4E" w:rsidRDefault="00C23BE9" w:rsidP="00CD1E4E">
            <w:pPr>
              <w:spacing w:before="0" w:after="0"/>
              <w:ind w:left="57" w:right="57"/>
              <w:jc w:val="right"/>
              <w:rPr>
                <w:rFonts w:ascii="Times New Roman" w:hAnsi="Times New Roman" w:cs="Times New Roman"/>
                <w:sz w:val="20"/>
                <w:szCs w:val="20"/>
                <w:lang w:val="sr-Latn-RS"/>
              </w:rPr>
            </w:pPr>
          </w:p>
        </w:tc>
      </w:tr>
    </w:tbl>
    <w:p w14:paraId="097209F1" w14:textId="52DC483E" w:rsidR="00246C75" w:rsidRDefault="00F5373B" w:rsidP="0037479F">
      <w:pPr>
        <w:rPr>
          <w:lang w:val="sr-Latn-RS"/>
        </w:rPr>
      </w:pPr>
      <w:r>
        <w:rPr>
          <w:lang w:val="sr-Latn-RS"/>
        </w:rPr>
        <w:t>Pieces of information</w:t>
      </w:r>
      <w:r w:rsidR="0037479F">
        <w:rPr>
          <w:lang w:val="sr-Latn-RS"/>
        </w:rPr>
        <w:t xml:space="preserve"> regarding the construction of </w:t>
      </w:r>
      <w:r>
        <w:rPr>
          <w:lang w:val="sr-Latn-RS"/>
        </w:rPr>
        <w:t xml:space="preserve">a </w:t>
      </w:r>
      <w:r w:rsidR="0037479F">
        <w:rPr>
          <w:lang w:val="sr-Latn-RS"/>
        </w:rPr>
        <w:t xml:space="preserve">neural network for idle saddle position </w:t>
      </w:r>
      <w:r>
        <w:rPr>
          <w:lang w:val="sr-Latn-RS"/>
        </w:rPr>
        <w:t>are</w:t>
      </w:r>
      <w:r w:rsidR="0037479F">
        <w:rPr>
          <w:lang w:val="sr-Latn-RS"/>
        </w:rPr>
        <w:t xml:space="preserve"> given in </w:t>
      </w:r>
      <w:r w:rsidR="0037479F">
        <w:rPr>
          <w:lang w:val="sr-Latn-RS"/>
        </w:rPr>
        <w:fldChar w:fldCharType="begin"/>
      </w:r>
      <w:r w:rsidR="0037479F">
        <w:rPr>
          <w:lang w:val="sr-Latn-RS"/>
        </w:rPr>
        <w:instrText xml:space="preserve"> REF _Ref98739454 \h </w:instrText>
      </w:r>
      <w:r w:rsidR="0037479F">
        <w:rPr>
          <w:lang w:val="sr-Latn-RS"/>
        </w:rPr>
      </w:r>
      <w:r w:rsidR="0037479F">
        <w:rPr>
          <w:lang w:val="sr-Latn-RS"/>
        </w:rPr>
        <w:fldChar w:fldCharType="separate"/>
      </w:r>
      <w:r w:rsidR="00587AF0">
        <w:t xml:space="preserve">Table </w:t>
      </w:r>
      <w:r w:rsidR="00587AF0">
        <w:rPr>
          <w:noProof/>
        </w:rPr>
        <w:t>38</w:t>
      </w:r>
      <w:r w:rsidR="0037479F">
        <w:rPr>
          <w:lang w:val="sr-Latn-RS"/>
        </w:rPr>
        <w:fldChar w:fldCharType="end"/>
      </w:r>
      <w:r w:rsidR="0037479F">
        <w:rPr>
          <w:lang w:val="sr-Latn-RS"/>
        </w:rPr>
        <w:t xml:space="preserve">. Since different positions </w:t>
      </w:r>
      <w:r>
        <w:rPr>
          <w:lang w:val="sr-Latn-RS"/>
        </w:rPr>
        <w:t>consist</w:t>
      </w:r>
      <w:r w:rsidR="0037479F">
        <w:rPr>
          <w:lang w:val="sr-Latn-RS"/>
        </w:rPr>
        <w:t xml:space="preserve"> of different variables</w:t>
      </w:r>
      <w:r>
        <w:rPr>
          <w:lang w:val="sr-Latn-RS"/>
        </w:rPr>
        <w:t>,</w:t>
      </w:r>
      <w:r w:rsidR="0037479F">
        <w:rPr>
          <w:lang w:val="sr-Latn-RS"/>
        </w:rPr>
        <w:t xml:space="preserve"> it should be noted that the change of features in different positions affect</w:t>
      </w:r>
      <w:r>
        <w:rPr>
          <w:lang w:val="sr-Latn-RS"/>
        </w:rPr>
        <w:t>s</w:t>
      </w:r>
      <w:r w:rsidR="0037479F">
        <w:rPr>
          <w:lang w:val="sr-Latn-RS"/>
        </w:rPr>
        <w:t xml:space="preserve"> prediction properties. T</w:t>
      </w:r>
      <w:r>
        <w:rPr>
          <w:lang w:val="sr-Latn-RS"/>
        </w:rPr>
        <w:t>en features are</w:t>
      </w:r>
      <w:r w:rsidR="0037479F">
        <w:rPr>
          <w:lang w:val="sr-Latn-RS"/>
        </w:rPr>
        <w:t xml:space="preserve"> extracted and used with </w:t>
      </w:r>
      <w:r>
        <w:rPr>
          <w:lang w:val="sr-Latn-RS"/>
        </w:rPr>
        <w:t xml:space="preserve">the </w:t>
      </w:r>
      <w:r w:rsidR="0037479F">
        <w:rPr>
          <w:lang w:val="sr-Latn-RS"/>
        </w:rPr>
        <w:t>sigmoid activation function on hidden and output layer</w:t>
      </w:r>
      <w:r>
        <w:rPr>
          <w:lang w:val="sr-Latn-RS"/>
        </w:rPr>
        <w:t>s</w:t>
      </w:r>
      <w:r w:rsidR="0037479F">
        <w:rPr>
          <w:lang w:val="sr-Latn-RS"/>
        </w:rPr>
        <w:t>. The resulting neural network shows 2.013 SSE and 0.4% incorrect predictions in training (</w:t>
      </w:r>
      <w:r w:rsidR="0037479F">
        <w:rPr>
          <w:lang w:val="sr-Latn-RS"/>
        </w:rPr>
        <w:fldChar w:fldCharType="begin"/>
      </w:r>
      <w:r w:rsidR="0037479F">
        <w:rPr>
          <w:lang w:val="sr-Latn-RS"/>
        </w:rPr>
        <w:instrText xml:space="preserve"> REF _Ref98739606 \h </w:instrText>
      </w:r>
      <w:r w:rsidR="0037479F">
        <w:rPr>
          <w:lang w:val="sr-Latn-RS"/>
        </w:rPr>
      </w:r>
      <w:r w:rsidR="0037479F">
        <w:rPr>
          <w:lang w:val="sr-Latn-RS"/>
        </w:rPr>
        <w:fldChar w:fldCharType="separate"/>
      </w:r>
      <w:r w:rsidR="00587AF0">
        <w:t xml:space="preserve">Table </w:t>
      </w:r>
      <w:r w:rsidR="00587AF0">
        <w:rPr>
          <w:noProof/>
        </w:rPr>
        <w:t>39</w:t>
      </w:r>
      <w:r w:rsidR="0037479F">
        <w:rPr>
          <w:lang w:val="sr-Latn-RS"/>
        </w:rPr>
        <w:fldChar w:fldCharType="end"/>
      </w:r>
      <w:r w:rsidR="0037479F">
        <w:rPr>
          <w:lang w:val="sr-Latn-RS"/>
        </w:rPr>
        <w:t>) of the model.</w:t>
      </w:r>
    </w:p>
    <w:p w14:paraId="1C717661" w14:textId="49AC02F8" w:rsidR="00C23BE9" w:rsidRPr="00C23BE9" w:rsidRDefault="0037479F" w:rsidP="0037479F">
      <w:pPr>
        <w:rPr>
          <w:lang w:val="sr-Latn-RS"/>
        </w:rPr>
      </w:pPr>
      <w:r>
        <w:rPr>
          <w:lang w:val="sr-Latn-RS"/>
        </w:rPr>
        <w:t xml:space="preserve">The number of epochs </w:t>
      </w:r>
      <w:r w:rsidR="000F0669">
        <w:rPr>
          <w:lang w:val="sr-Latn-RS"/>
        </w:rPr>
        <w:t>is 100. This hyperparameter explains the number of times the learning algorithm worked through an entire tr</w:t>
      </w:r>
      <w:r w:rsidR="00F5373B">
        <w:rPr>
          <w:lang w:val="sr-Latn-RS"/>
        </w:rPr>
        <w:t>ai</w:t>
      </w:r>
      <w:r w:rsidR="000F0669">
        <w:rPr>
          <w:lang w:val="sr-Latn-RS"/>
        </w:rPr>
        <w:t>ning set. One epoch means that each sample updated every internal model parameter through the training model.</w:t>
      </w:r>
      <w:r>
        <w:rPr>
          <w:lang w:val="sr-Latn-RS"/>
        </w:rPr>
        <w:t xml:space="preserve"> </w:t>
      </w:r>
      <w:r w:rsidR="00EE194E">
        <w:rPr>
          <w:lang w:val="sr-Latn-RS"/>
        </w:rPr>
        <w:t xml:space="preserve">The difference between the batch and epoch in </w:t>
      </w:r>
      <w:r w:rsidR="00F5373B">
        <w:rPr>
          <w:lang w:val="sr-Latn-RS"/>
        </w:rPr>
        <w:t>the model's training</w:t>
      </w:r>
      <w:r w:rsidR="00EE194E">
        <w:rPr>
          <w:lang w:val="sr-Latn-RS"/>
        </w:rPr>
        <w:t xml:space="preserve"> is that batch represents the number of samples processed before the model update, while epoch is the number of passes through an entire training set.</w:t>
      </w:r>
    </w:p>
    <w:p w14:paraId="0DEC836A" w14:textId="2794AE32" w:rsidR="00C23BE9" w:rsidRPr="00C23BE9" w:rsidRDefault="003D1DC4" w:rsidP="003D1DC4">
      <w:pPr>
        <w:pStyle w:val="Caption"/>
        <w:jc w:val="both"/>
        <w:rPr>
          <w:lang w:val="sr-Latn-RS"/>
        </w:rPr>
      </w:pPr>
      <w:bookmarkStart w:id="598" w:name="_Ref98739454"/>
      <w:bookmarkStart w:id="599" w:name="_Toc101274478"/>
      <w:r>
        <w:t xml:space="preserve">Table </w:t>
      </w:r>
      <w:fldSimple w:instr=" SEQ Table \* ARABIC ">
        <w:r w:rsidR="00587AF0">
          <w:rPr>
            <w:noProof/>
          </w:rPr>
          <w:t>38</w:t>
        </w:r>
      </w:fldSimple>
      <w:bookmarkEnd w:id="598"/>
      <w:r>
        <w:t xml:space="preserve">. </w:t>
      </w:r>
      <w:r w:rsidRPr="003D1DC4">
        <w:t xml:space="preserve">Neural network information and parameters for </w:t>
      </w:r>
      <w:r>
        <w:t>idle</w:t>
      </w:r>
      <w:r w:rsidRPr="003D1DC4">
        <w:t xml:space="preserve"> saddle position</w:t>
      </w:r>
      <w:bookmarkEnd w:id="599"/>
    </w:p>
    <w:tbl>
      <w:tblPr>
        <w:tblW w:w="5000" w:type="pct"/>
        <w:tblCellMar>
          <w:left w:w="0" w:type="dxa"/>
          <w:right w:w="0" w:type="dxa"/>
        </w:tblCellMar>
        <w:tblLook w:val="0000" w:firstRow="0" w:lastRow="0" w:firstColumn="0" w:lastColumn="0" w:noHBand="0" w:noVBand="0"/>
      </w:tblPr>
      <w:tblGrid>
        <w:gridCol w:w="2109"/>
        <w:gridCol w:w="2686"/>
        <w:gridCol w:w="2168"/>
        <w:gridCol w:w="2064"/>
      </w:tblGrid>
      <w:tr w:rsidR="003D1DC4" w:rsidRPr="003D1DC4" w14:paraId="72CFDAE5" w14:textId="77777777" w:rsidTr="00982E69">
        <w:trPr>
          <w:cantSplit/>
        </w:trPr>
        <w:tc>
          <w:tcPr>
            <w:tcW w:w="1168" w:type="pct"/>
            <w:tcBorders>
              <w:top w:val="single" w:sz="4" w:space="0" w:color="auto"/>
              <w:bottom w:val="single" w:sz="4" w:space="0" w:color="auto"/>
            </w:tcBorders>
            <w:shd w:val="clear" w:color="auto" w:fill="auto"/>
            <w:vAlign w:val="center"/>
          </w:tcPr>
          <w:p w14:paraId="24664C45" w14:textId="3A1778BC" w:rsidR="003D1DC4" w:rsidRPr="003D1DC4" w:rsidRDefault="003D1DC4" w:rsidP="003D1DC4">
            <w:pPr>
              <w:spacing w:before="0" w:after="0"/>
              <w:ind w:left="57" w:right="57"/>
              <w:jc w:val="left"/>
              <w:rPr>
                <w:b/>
                <w:bCs/>
                <w:sz w:val="20"/>
                <w:szCs w:val="20"/>
                <w:lang w:val="sr-Latn-RS"/>
              </w:rPr>
            </w:pPr>
            <w:r>
              <w:rPr>
                <w:b/>
                <w:bCs/>
                <w:sz w:val="20"/>
                <w:szCs w:val="20"/>
                <w:lang w:val="sr-Latn-RS"/>
              </w:rPr>
              <w:t>Layer information</w:t>
            </w:r>
          </w:p>
        </w:tc>
        <w:tc>
          <w:tcPr>
            <w:tcW w:w="1488" w:type="pct"/>
            <w:tcBorders>
              <w:top w:val="single" w:sz="4" w:space="0" w:color="auto"/>
              <w:bottom w:val="single" w:sz="4" w:space="0" w:color="auto"/>
            </w:tcBorders>
            <w:shd w:val="clear" w:color="auto" w:fill="auto"/>
            <w:vAlign w:val="center"/>
          </w:tcPr>
          <w:p w14:paraId="0388C68A" w14:textId="014D0F7E" w:rsidR="003D1DC4" w:rsidRPr="009E7A03" w:rsidRDefault="001F40F6" w:rsidP="003D1DC4">
            <w:pPr>
              <w:spacing w:before="0" w:after="0"/>
              <w:ind w:left="57" w:right="57"/>
              <w:jc w:val="left"/>
              <w:rPr>
                <w:b/>
                <w:bCs/>
                <w:sz w:val="20"/>
                <w:szCs w:val="20"/>
                <w:lang w:val="sr-Latn-RS"/>
              </w:rPr>
            </w:pPr>
            <w:r w:rsidRPr="009E7A03">
              <w:rPr>
                <w:b/>
                <w:bCs/>
                <w:sz w:val="20"/>
                <w:szCs w:val="20"/>
                <w:lang w:val="sr-Latn-RS"/>
              </w:rPr>
              <w:t>Sub-layer information</w:t>
            </w:r>
          </w:p>
        </w:tc>
        <w:tc>
          <w:tcPr>
            <w:tcW w:w="1201" w:type="pct"/>
            <w:tcBorders>
              <w:top w:val="single" w:sz="4" w:space="0" w:color="auto"/>
              <w:bottom w:val="single" w:sz="4" w:space="0" w:color="auto"/>
            </w:tcBorders>
            <w:shd w:val="clear" w:color="auto" w:fill="auto"/>
            <w:vAlign w:val="center"/>
          </w:tcPr>
          <w:p w14:paraId="31355CF2" w14:textId="2E48E94F" w:rsidR="003D1DC4" w:rsidRPr="009E7A03" w:rsidRDefault="001F40F6" w:rsidP="001F40F6">
            <w:pPr>
              <w:spacing w:before="0" w:after="0"/>
              <w:ind w:left="57" w:right="57"/>
              <w:jc w:val="center"/>
              <w:rPr>
                <w:b/>
                <w:bCs/>
                <w:sz w:val="20"/>
                <w:szCs w:val="20"/>
                <w:lang w:val="sr-Latn-RS"/>
              </w:rPr>
            </w:pPr>
            <w:r w:rsidRPr="009E7A03">
              <w:rPr>
                <w:b/>
                <w:bCs/>
                <w:sz w:val="20"/>
                <w:szCs w:val="20"/>
                <w:lang w:val="sr-Latn-RS"/>
              </w:rPr>
              <w:t>Values</w:t>
            </w:r>
          </w:p>
        </w:tc>
        <w:tc>
          <w:tcPr>
            <w:tcW w:w="1144" w:type="pct"/>
            <w:tcBorders>
              <w:top w:val="single" w:sz="4" w:space="0" w:color="auto"/>
              <w:bottom w:val="single" w:sz="4" w:space="0" w:color="auto"/>
            </w:tcBorders>
            <w:shd w:val="clear" w:color="auto" w:fill="auto"/>
          </w:tcPr>
          <w:p w14:paraId="673B8E52" w14:textId="5B341578" w:rsidR="003D1DC4" w:rsidRPr="009E7A03" w:rsidRDefault="001F40F6" w:rsidP="001F40F6">
            <w:pPr>
              <w:spacing w:before="0" w:after="0"/>
              <w:ind w:left="57" w:right="57"/>
              <w:jc w:val="center"/>
              <w:rPr>
                <w:b/>
                <w:bCs/>
                <w:sz w:val="20"/>
                <w:szCs w:val="20"/>
                <w:lang w:val="sr-Latn-RS"/>
              </w:rPr>
            </w:pPr>
            <w:r w:rsidRPr="009E7A03">
              <w:rPr>
                <w:b/>
                <w:bCs/>
                <w:sz w:val="20"/>
                <w:szCs w:val="20"/>
                <w:lang w:val="sr-Latn-RS"/>
              </w:rPr>
              <w:t>Features</w:t>
            </w:r>
          </w:p>
        </w:tc>
      </w:tr>
      <w:tr w:rsidR="003D1DC4" w:rsidRPr="003D1DC4" w14:paraId="1D931BA5" w14:textId="77777777" w:rsidTr="00982E69">
        <w:trPr>
          <w:cantSplit/>
        </w:trPr>
        <w:tc>
          <w:tcPr>
            <w:tcW w:w="1168" w:type="pct"/>
            <w:vMerge w:val="restart"/>
            <w:tcBorders>
              <w:top w:val="single" w:sz="4" w:space="0" w:color="auto"/>
            </w:tcBorders>
            <w:shd w:val="clear" w:color="auto" w:fill="auto"/>
            <w:vAlign w:val="center"/>
          </w:tcPr>
          <w:p w14:paraId="5C71D115" w14:textId="77777777" w:rsidR="00C23BE9" w:rsidRPr="003D1DC4" w:rsidRDefault="00C23BE9" w:rsidP="003D1DC4">
            <w:pPr>
              <w:spacing w:before="0" w:after="0"/>
              <w:ind w:left="57" w:right="57"/>
              <w:jc w:val="left"/>
              <w:rPr>
                <w:b/>
                <w:bCs/>
                <w:sz w:val="20"/>
                <w:szCs w:val="20"/>
                <w:lang w:val="sr-Latn-RS"/>
              </w:rPr>
            </w:pPr>
            <w:r w:rsidRPr="003D1DC4">
              <w:rPr>
                <w:b/>
                <w:bCs/>
                <w:sz w:val="20"/>
                <w:szCs w:val="20"/>
                <w:lang w:val="sr-Latn-RS"/>
              </w:rPr>
              <w:t>Input Layer</w:t>
            </w:r>
          </w:p>
        </w:tc>
        <w:tc>
          <w:tcPr>
            <w:tcW w:w="1488" w:type="pct"/>
            <w:vMerge w:val="restart"/>
            <w:tcBorders>
              <w:top w:val="single" w:sz="4" w:space="0" w:color="auto"/>
            </w:tcBorders>
            <w:shd w:val="clear" w:color="auto" w:fill="auto"/>
            <w:vAlign w:val="center"/>
          </w:tcPr>
          <w:p w14:paraId="156F04BF" w14:textId="77777777" w:rsidR="00C23BE9" w:rsidRPr="003D1DC4" w:rsidRDefault="00C23BE9" w:rsidP="003D1DC4">
            <w:pPr>
              <w:spacing w:before="0" w:after="0"/>
              <w:ind w:left="57" w:right="57"/>
              <w:jc w:val="left"/>
              <w:rPr>
                <w:sz w:val="20"/>
                <w:szCs w:val="20"/>
                <w:lang w:val="sr-Latn-RS"/>
              </w:rPr>
            </w:pPr>
            <w:r w:rsidRPr="003D1DC4">
              <w:rPr>
                <w:sz w:val="20"/>
                <w:szCs w:val="20"/>
                <w:lang w:val="sr-Latn-RS"/>
              </w:rPr>
              <w:t>Covariates</w:t>
            </w:r>
          </w:p>
        </w:tc>
        <w:tc>
          <w:tcPr>
            <w:tcW w:w="1201" w:type="pct"/>
            <w:tcBorders>
              <w:top w:val="single" w:sz="4" w:space="0" w:color="auto"/>
            </w:tcBorders>
            <w:shd w:val="clear" w:color="auto" w:fill="auto"/>
            <w:vAlign w:val="center"/>
          </w:tcPr>
          <w:p w14:paraId="5F15DF5D" w14:textId="77777777" w:rsidR="00C23BE9" w:rsidRPr="003D1DC4" w:rsidRDefault="00C23BE9" w:rsidP="001F40F6">
            <w:pPr>
              <w:spacing w:before="0" w:after="0"/>
              <w:ind w:left="57" w:right="57"/>
              <w:jc w:val="right"/>
              <w:rPr>
                <w:sz w:val="20"/>
                <w:szCs w:val="20"/>
                <w:lang w:val="sr-Latn-RS"/>
              </w:rPr>
            </w:pPr>
            <w:r w:rsidRPr="003D1DC4">
              <w:rPr>
                <w:sz w:val="20"/>
                <w:szCs w:val="20"/>
                <w:lang w:val="sr-Latn-RS"/>
              </w:rPr>
              <w:t>1</w:t>
            </w:r>
          </w:p>
        </w:tc>
        <w:tc>
          <w:tcPr>
            <w:tcW w:w="1144" w:type="pct"/>
            <w:tcBorders>
              <w:top w:val="single" w:sz="4" w:space="0" w:color="auto"/>
            </w:tcBorders>
            <w:shd w:val="clear" w:color="auto" w:fill="auto"/>
          </w:tcPr>
          <w:p w14:paraId="6526D3AA" w14:textId="77777777" w:rsidR="00C23BE9" w:rsidRPr="003D1DC4" w:rsidRDefault="00C23BE9" w:rsidP="001F40F6">
            <w:pPr>
              <w:spacing w:before="0" w:after="0"/>
              <w:ind w:left="57" w:right="57"/>
              <w:jc w:val="right"/>
              <w:rPr>
                <w:sz w:val="20"/>
                <w:szCs w:val="20"/>
                <w:lang w:val="sr-Latn-RS"/>
              </w:rPr>
            </w:pPr>
            <w:r w:rsidRPr="003D1DC4">
              <w:rPr>
                <w:sz w:val="20"/>
                <w:szCs w:val="20"/>
                <w:lang w:val="sr-Latn-RS"/>
              </w:rPr>
              <w:t>HS_idle_time</w:t>
            </w:r>
          </w:p>
        </w:tc>
      </w:tr>
      <w:tr w:rsidR="003D1DC4" w:rsidRPr="003D1DC4" w14:paraId="13A07243" w14:textId="77777777" w:rsidTr="003D1DC4">
        <w:trPr>
          <w:cantSplit/>
        </w:trPr>
        <w:tc>
          <w:tcPr>
            <w:tcW w:w="1168" w:type="pct"/>
            <w:vMerge/>
            <w:shd w:val="clear" w:color="auto" w:fill="auto"/>
            <w:vAlign w:val="center"/>
          </w:tcPr>
          <w:p w14:paraId="2F983839" w14:textId="77777777" w:rsidR="00C23BE9" w:rsidRPr="003D1DC4" w:rsidRDefault="00C23BE9" w:rsidP="003D1DC4">
            <w:pPr>
              <w:spacing w:before="0" w:after="0"/>
              <w:ind w:left="57" w:right="57"/>
              <w:jc w:val="left"/>
              <w:rPr>
                <w:b/>
                <w:bCs/>
                <w:sz w:val="20"/>
                <w:szCs w:val="20"/>
                <w:lang w:val="sr-Latn-RS"/>
              </w:rPr>
            </w:pPr>
          </w:p>
        </w:tc>
        <w:tc>
          <w:tcPr>
            <w:tcW w:w="1488" w:type="pct"/>
            <w:vMerge/>
            <w:shd w:val="clear" w:color="auto" w:fill="auto"/>
            <w:vAlign w:val="center"/>
          </w:tcPr>
          <w:p w14:paraId="7DB1ADC8" w14:textId="77777777" w:rsidR="00C23BE9" w:rsidRPr="003D1DC4" w:rsidRDefault="00C23BE9" w:rsidP="003D1DC4">
            <w:pPr>
              <w:spacing w:before="0" w:after="0"/>
              <w:ind w:left="57" w:right="57"/>
              <w:jc w:val="left"/>
              <w:rPr>
                <w:sz w:val="20"/>
                <w:szCs w:val="20"/>
                <w:lang w:val="sr-Latn-RS"/>
              </w:rPr>
            </w:pPr>
          </w:p>
        </w:tc>
        <w:tc>
          <w:tcPr>
            <w:tcW w:w="1201" w:type="pct"/>
            <w:shd w:val="clear" w:color="auto" w:fill="auto"/>
            <w:vAlign w:val="center"/>
          </w:tcPr>
          <w:p w14:paraId="2464D203" w14:textId="77777777" w:rsidR="00C23BE9" w:rsidRPr="003D1DC4" w:rsidRDefault="00C23BE9" w:rsidP="001F40F6">
            <w:pPr>
              <w:spacing w:before="0" w:after="0"/>
              <w:ind w:left="57" w:right="57"/>
              <w:jc w:val="right"/>
              <w:rPr>
                <w:sz w:val="20"/>
                <w:szCs w:val="20"/>
                <w:lang w:val="sr-Latn-RS"/>
              </w:rPr>
            </w:pPr>
            <w:r w:rsidRPr="003D1DC4">
              <w:rPr>
                <w:sz w:val="20"/>
                <w:szCs w:val="20"/>
                <w:lang w:val="sr-Latn-RS"/>
              </w:rPr>
              <w:t>2</w:t>
            </w:r>
          </w:p>
        </w:tc>
        <w:tc>
          <w:tcPr>
            <w:tcW w:w="1144" w:type="pct"/>
            <w:shd w:val="clear" w:color="auto" w:fill="auto"/>
          </w:tcPr>
          <w:p w14:paraId="4AD97669" w14:textId="77777777" w:rsidR="00C23BE9" w:rsidRPr="003D1DC4" w:rsidRDefault="00C23BE9" w:rsidP="001F40F6">
            <w:pPr>
              <w:spacing w:before="0" w:after="0"/>
              <w:ind w:left="57" w:right="57"/>
              <w:jc w:val="right"/>
              <w:rPr>
                <w:sz w:val="20"/>
                <w:szCs w:val="20"/>
                <w:lang w:val="sr-Latn-RS"/>
              </w:rPr>
            </w:pPr>
            <w:r w:rsidRPr="003D1DC4">
              <w:rPr>
                <w:sz w:val="20"/>
                <w:szCs w:val="20"/>
                <w:lang w:val="sr-Latn-RS"/>
              </w:rPr>
              <w:t>T1</w:t>
            </w:r>
          </w:p>
        </w:tc>
      </w:tr>
      <w:tr w:rsidR="003D1DC4" w:rsidRPr="003D1DC4" w14:paraId="2E2C6274" w14:textId="77777777" w:rsidTr="003D1DC4">
        <w:trPr>
          <w:cantSplit/>
        </w:trPr>
        <w:tc>
          <w:tcPr>
            <w:tcW w:w="1168" w:type="pct"/>
            <w:vMerge/>
            <w:shd w:val="clear" w:color="auto" w:fill="auto"/>
            <w:vAlign w:val="center"/>
          </w:tcPr>
          <w:p w14:paraId="0D4C3F32" w14:textId="77777777" w:rsidR="00C23BE9" w:rsidRPr="003D1DC4" w:rsidRDefault="00C23BE9" w:rsidP="003D1DC4">
            <w:pPr>
              <w:spacing w:before="0" w:after="0"/>
              <w:ind w:left="57" w:right="57"/>
              <w:jc w:val="left"/>
              <w:rPr>
                <w:b/>
                <w:bCs/>
                <w:sz w:val="20"/>
                <w:szCs w:val="20"/>
                <w:lang w:val="sr-Latn-RS"/>
              </w:rPr>
            </w:pPr>
          </w:p>
        </w:tc>
        <w:tc>
          <w:tcPr>
            <w:tcW w:w="1488" w:type="pct"/>
            <w:vMerge/>
            <w:shd w:val="clear" w:color="auto" w:fill="auto"/>
            <w:vAlign w:val="center"/>
          </w:tcPr>
          <w:p w14:paraId="41212640" w14:textId="77777777" w:rsidR="00C23BE9" w:rsidRPr="003D1DC4" w:rsidRDefault="00C23BE9" w:rsidP="003D1DC4">
            <w:pPr>
              <w:spacing w:before="0" w:after="0"/>
              <w:ind w:left="57" w:right="57"/>
              <w:jc w:val="left"/>
              <w:rPr>
                <w:sz w:val="20"/>
                <w:szCs w:val="20"/>
                <w:lang w:val="sr-Latn-RS"/>
              </w:rPr>
            </w:pPr>
          </w:p>
        </w:tc>
        <w:tc>
          <w:tcPr>
            <w:tcW w:w="1201" w:type="pct"/>
            <w:shd w:val="clear" w:color="auto" w:fill="auto"/>
            <w:vAlign w:val="center"/>
          </w:tcPr>
          <w:p w14:paraId="2FC52ADC" w14:textId="77777777" w:rsidR="00C23BE9" w:rsidRPr="003D1DC4" w:rsidRDefault="00C23BE9" w:rsidP="001F40F6">
            <w:pPr>
              <w:spacing w:before="0" w:after="0"/>
              <w:ind w:left="57" w:right="57"/>
              <w:jc w:val="right"/>
              <w:rPr>
                <w:sz w:val="20"/>
                <w:szCs w:val="20"/>
                <w:lang w:val="sr-Latn-RS"/>
              </w:rPr>
            </w:pPr>
            <w:r w:rsidRPr="003D1DC4">
              <w:rPr>
                <w:sz w:val="20"/>
                <w:szCs w:val="20"/>
                <w:lang w:val="sr-Latn-RS"/>
              </w:rPr>
              <w:t>3</w:t>
            </w:r>
          </w:p>
        </w:tc>
        <w:tc>
          <w:tcPr>
            <w:tcW w:w="1144" w:type="pct"/>
            <w:shd w:val="clear" w:color="auto" w:fill="auto"/>
          </w:tcPr>
          <w:p w14:paraId="3A0A09F2" w14:textId="77777777" w:rsidR="00C23BE9" w:rsidRPr="003D1DC4" w:rsidRDefault="00C23BE9" w:rsidP="001F40F6">
            <w:pPr>
              <w:spacing w:before="0" w:after="0"/>
              <w:ind w:left="57" w:right="57"/>
              <w:jc w:val="right"/>
              <w:rPr>
                <w:sz w:val="20"/>
                <w:szCs w:val="20"/>
                <w:lang w:val="sr-Latn-RS"/>
              </w:rPr>
            </w:pPr>
            <w:r w:rsidRPr="003D1DC4">
              <w:rPr>
                <w:sz w:val="20"/>
                <w:szCs w:val="20"/>
                <w:lang w:val="sr-Latn-RS"/>
              </w:rPr>
              <w:t>T3</w:t>
            </w:r>
          </w:p>
        </w:tc>
      </w:tr>
      <w:tr w:rsidR="003D1DC4" w:rsidRPr="003D1DC4" w14:paraId="21D47BF3" w14:textId="77777777" w:rsidTr="003D1DC4">
        <w:trPr>
          <w:cantSplit/>
        </w:trPr>
        <w:tc>
          <w:tcPr>
            <w:tcW w:w="1168" w:type="pct"/>
            <w:vMerge/>
            <w:shd w:val="clear" w:color="auto" w:fill="auto"/>
            <w:vAlign w:val="center"/>
          </w:tcPr>
          <w:p w14:paraId="77C9D84D" w14:textId="77777777" w:rsidR="00C23BE9" w:rsidRPr="003D1DC4" w:rsidRDefault="00C23BE9" w:rsidP="003D1DC4">
            <w:pPr>
              <w:spacing w:before="0" w:after="0"/>
              <w:ind w:left="57" w:right="57"/>
              <w:jc w:val="left"/>
              <w:rPr>
                <w:b/>
                <w:bCs/>
                <w:sz w:val="20"/>
                <w:szCs w:val="20"/>
                <w:lang w:val="sr-Latn-RS"/>
              </w:rPr>
            </w:pPr>
          </w:p>
        </w:tc>
        <w:tc>
          <w:tcPr>
            <w:tcW w:w="1488" w:type="pct"/>
            <w:vMerge/>
            <w:shd w:val="clear" w:color="auto" w:fill="auto"/>
            <w:vAlign w:val="center"/>
          </w:tcPr>
          <w:p w14:paraId="157BEBD9" w14:textId="77777777" w:rsidR="00C23BE9" w:rsidRPr="003D1DC4" w:rsidRDefault="00C23BE9" w:rsidP="003D1DC4">
            <w:pPr>
              <w:spacing w:before="0" w:after="0"/>
              <w:ind w:left="57" w:right="57"/>
              <w:jc w:val="left"/>
              <w:rPr>
                <w:sz w:val="20"/>
                <w:szCs w:val="20"/>
                <w:lang w:val="sr-Latn-RS"/>
              </w:rPr>
            </w:pPr>
          </w:p>
        </w:tc>
        <w:tc>
          <w:tcPr>
            <w:tcW w:w="1201" w:type="pct"/>
            <w:shd w:val="clear" w:color="auto" w:fill="auto"/>
            <w:vAlign w:val="center"/>
          </w:tcPr>
          <w:p w14:paraId="4E13B0A2" w14:textId="77777777" w:rsidR="00C23BE9" w:rsidRPr="003D1DC4" w:rsidRDefault="00C23BE9" w:rsidP="001F40F6">
            <w:pPr>
              <w:spacing w:before="0" w:after="0"/>
              <w:ind w:left="57" w:right="57"/>
              <w:jc w:val="right"/>
              <w:rPr>
                <w:sz w:val="20"/>
                <w:szCs w:val="20"/>
                <w:lang w:val="sr-Latn-RS"/>
              </w:rPr>
            </w:pPr>
            <w:r w:rsidRPr="003D1DC4">
              <w:rPr>
                <w:sz w:val="20"/>
                <w:szCs w:val="20"/>
                <w:lang w:val="sr-Latn-RS"/>
              </w:rPr>
              <w:t>4</w:t>
            </w:r>
          </w:p>
        </w:tc>
        <w:tc>
          <w:tcPr>
            <w:tcW w:w="1144" w:type="pct"/>
            <w:shd w:val="clear" w:color="auto" w:fill="auto"/>
          </w:tcPr>
          <w:p w14:paraId="646C17A8" w14:textId="77777777" w:rsidR="00C23BE9" w:rsidRPr="003D1DC4" w:rsidRDefault="00C23BE9" w:rsidP="001F40F6">
            <w:pPr>
              <w:spacing w:before="0" w:after="0"/>
              <w:ind w:left="57" w:right="57"/>
              <w:jc w:val="right"/>
              <w:rPr>
                <w:sz w:val="20"/>
                <w:szCs w:val="20"/>
                <w:lang w:val="sr-Latn-RS"/>
              </w:rPr>
            </w:pPr>
            <w:r w:rsidRPr="003D1DC4">
              <w:rPr>
                <w:sz w:val="20"/>
                <w:szCs w:val="20"/>
                <w:lang w:val="sr-Latn-RS"/>
              </w:rPr>
              <w:t>T4</w:t>
            </w:r>
          </w:p>
        </w:tc>
      </w:tr>
      <w:tr w:rsidR="003D1DC4" w:rsidRPr="003D1DC4" w14:paraId="24B891A9" w14:textId="77777777" w:rsidTr="003D1DC4">
        <w:trPr>
          <w:cantSplit/>
        </w:trPr>
        <w:tc>
          <w:tcPr>
            <w:tcW w:w="1168" w:type="pct"/>
            <w:vMerge/>
            <w:shd w:val="clear" w:color="auto" w:fill="auto"/>
            <w:vAlign w:val="center"/>
          </w:tcPr>
          <w:p w14:paraId="6FA3CCAD" w14:textId="77777777" w:rsidR="00C23BE9" w:rsidRPr="003D1DC4" w:rsidRDefault="00C23BE9" w:rsidP="003D1DC4">
            <w:pPr>
              <w:spacing w:before="0" w:after="0"/>
              <w:ind w:left="57" w:right="57"/>
              <w:jc w:val="left"/>
              <w:rPr>
                <w:b/>
                <w:bCs/>
                <w:sz w:val="20"/>
                <w:szCs w:val="20"/>
                <w:lang w:val="sr-Latn-RS"/>
              </w:rPr>
            </w:pPr>
          </w:p>
        </w:tc>
        <w:tc>
          <w:tcPr>
            <w:tcW w:w="1488" w:type="pct"/>
            <w:vMerge/>
            <w:shd w:val="clear" w:color="auto" w:fill="auto"/>
            <w:vAlign w:val="center"/>
          </w:tcPr>
          <w:p w14:paraId="79EFF9E9" w14:textId="77777777" w:rsidR="00C23BE9" w:rsidRPr="003D1DC4" w:rsidRDefault="00C23BE9" w:rsidP="003D1DC4">
            <w:pPr>
              <w:spacing w:before="0" w:after="0"/>
              <w:ind w:left="57" w:right="57"/>
              <w:jc w:val="left"/>
              <w:rPr>
                <w:sz w:val="20"/>
                <w:szCs w:val="20"/>
                <w:lang w:val="sr-Latn-RS"/>
              </w:rPr>
            </w:pPr>
          </w:p>
        </w:tc>
        <w:tc>
          <w:tcPr>
            <w:tcW w:w="1201" w:type="pct"/>
            <w:shd w:val="clear" w:color="auto" w:fill="auto"/>
            <w:vAlign w:val="center"/>
          </w:tcPr>
          <w:p w14:paraId="06536399" w14:textId="77777777" w:rsidR="00C23BE9" w:rsidRPr="003D1DC4" w:rsidRDefault="00C23BE9" w:rsidP="001F40F6">
            <w:pPr>
              <w:spacing w:before="0" w:after="0"/>
              <w:ind w:left="57" w:right="57"/>
              <w:jc w:val="right"/>
              <w:rPr>
                <w:sz w:val="20"/>
                <w:szCs w:val="20"/>
                <w:lang w:val="sr-Latn-RS"/>
              </w:rPr>
            </w:pPr>
            <w:r w:rsidRPr="003D1DC4">
              <w:rPr>
                <w:sz w:val="20"/>
                <w:szCs w:val="20"/>
                <w:lang w:val="sr-Latn-RS"/>
              </w:rPr>
              <w:t>5</w:t>
            </w:r>
          </w:p>
        </w:tc>
        <w:tc>
          <w:tcPr>
            <w:tcW w:w="1144" w:type="pct"/>
            <w:shd w:val="clear" w:color="auto" w:fill="auto"/>
          </w:tcPr>
          <w:p w14:paraId="4820931D" w14:textId="77777777" w:rsidR="00C23BE9" w:rsidRPr="003D1DC4" w:rsidRDefault="00C23BE9" w:rsidP="001F40F6">
            <w:pPr>
              <w:spacing w:before="0" w:after="0"/>
              <w:ind w:left="57" w:right="57"/>
              <w:jc w:val="right"/>
              <w:rPr>
                <w:sz w:val="20"/>
                <w:szCs w:val="20"/>
                <w:lang w:val="sr-Latn-RS"/>
              </w:rPr>
            </w:pPr>
            <w:r w:rsidRPr="003D1DC4">
              <w:rPr>
                <w:sz w:val="20"/>
                <w:szCs w:val="20"/>
                <w:lang w:val="sr-Latn-RS"/>
              </w:rPr>
              <w:t>Load_kg_n</w:t>
            </w:r>
          </w:p>
        </w:tc>
      </w:tr>
      <w:tr w:rsidR="003D1DC4" w:rsidRPr="003D1DC4" w14:paraId="6AFF8784" w14:textId="77777777" w:rsidTr="003D1DC4">
        <w:trPr>
          <w:cantSplit/>
        </w:trPr>
        <w:tc>
          <w:tcPr>
            <w:tcW w:w="1168" w:type="pct"/>
            <w:vMerge/>
            <w:shd w:val="clear" w:color="auto" w:fill="auto"/>
            <w:vAlign w:val="center"/>
          </w:tcPr>
          <w:p w14:paraId="57B8B6DE" w14:textId="77777777" w:rsidR="00C23BE9" w:rsidRPr="003D1DC4" w:rsidRDefault="00C23BE9" w:rsidP="003D1DC4">
            <w:pPr>
              <w:spacing w:before="0" w:after="0"/>
              <w:ind w:left="57" w:right="57"/>
              <w:jc w:val="left"/>
              <w:rPr>
                <w:b/>
                <w:bCs/>
                <w:sz w:val="20"/>
                <w:szCs w:val="20"/>
                <w:lang w:val="sr-Latn-RS"/>
              </w:rPr>
            </w:pPr>
          </w:p>
        </w:tc>
        <w:tc>
          <w:tcPr>
            <w:tcW w:w="1488" w:type="pct"/>
            <w:vMerge/>
            <w:shd w:val="clear" w:color="auto" w:fill="auto"/>
            <w:vAlign w:val="center"/>
          </w:tcPr>
          <w:p w14:paraId="644C3E82" w14:textId="77777777" w:rsidR="00C23BE9" w:rsidRPr="003D1DC4" w:rsidRDefault="00C23BE9" w:rsidP="003D1DC4">
            <w:pPr>
              <w:spacing w:before="0" w:after="0"/>
              <w:ind w:left="57" w:right="57"/>
              <w:jc w:val="left"/>
              <w:rPr>
                <w:sz w:val="20"/>
                <w:szCs w:val="20"/>
                <w:lang w:val="sr-Latn-RS"/>
              </w:rPr>
            </w:pPr>
          </w:p>
        </w:tc>
        <w:tc>
          <w:tcPr>
            <w:tcW w:w="1201" w:type="pct"/>
            <w:shd w:val="clear" w:color="auto" w:fill="auto"/>
            <w:vAlign w:val="center"/>
          </w:tcPr>
          <w:p w14:paraId="5C06F597" w14:textId="77777777" w:rsidR="00C23BE9" w:rsidRPr="003D1DC4" w:rsidRDefault="00C23BE9" w:rsidP="001F40F6">
            <w:pPr>
              <w:spacing w:before="0" w:after="0"/>
              <w:ind w:left="57" w:right="57"/>
              <w:jc w:val="right"/>
              <w:rPr>
                <w:sz w:val="20"/>
                <w:szCs w:val="20"/>
                <w:lang w:val="sr-Latn-RS"/>
              </w:rPr>
            </w:pPr>
            <w:r w:rsidRPr="003D1DC4">
              <w:rPr>
                <w:sz w:val="20"/>
                <w:szCs w:val="20"/>
                <w:lang w:val="sr-Latn-RS"/>
              </w:rPr>
              <w:t>6</w:t>
            </w:r>
          </w:p>
        </w:tc>
        <w:tc>
          <w:tcPr>
            <w:tcW w:w="1144" w:type="pct"/>
            <w:shd w:val="clear" w:color="auto" w:fill="auto"/>
          </w:tcPr>
          <w:p w14:paraId="12087F12" w14:textId="77777777" w:rsidR="00C23BE9" w:rsidRPr="003D1DC4" w:rsidRDefault="00C23BE9" w:rsidP="001F40F6">
            <w:pPr>
              <w:spacing w:before="0" w:after="0"/>
              <w:ind w:left="57" w:right="57"/>
              <w:jc w:val="right"/>
              <w:rPr>
                <w:sz w:val="20"/>
                <w:szCs w:val="20"/>
                <w:lang w:val="sr-Latn-RS"/>
              </w:rPr>
            </w:pPr>
            <w:r w:rsidRPr="003D1DC4">
              <w:rPr>
                <w:sz w:val="20"/>
                <w:szCs w:val="20"/>
                <w:lang w:val="sr-Latn-RS"/>
              </w:rPr>
              <w:t>N_Stdev_IS</w:t>
            </w:r>
          </w:p>
        </w:tc>
      </w:tr>
      <w:tr w:rsidR="003D1DC4" w:rsidRPr="003D1DC4" w14:paraId="17E02410" w14:textId="77777777" w:rsidTr="003D1DC4">
        <w:trPr>
          <w:cantSplit/>
        </w:trPr>
        <w:tc>
          <w:tcPr>
            <w:tcW w:w="1168" w:type="pct"/>
            <w:vMerge/>
            <w:shd w:val="clear" w:color="auto" w:fill="auto"/>
            <w:vAlign w:val="center"/>
          </w:tcPr>
          <w:p w14:paraId="67FEB2B6" w14:textId="77777777" w:rsidR="00C23BE9" w:rsidRPr="003D1DC4" w:rsidRDefault="00C23BE9" w:rsidP="003D1DC4">
            <w:pPr>
              <w:spacing w:before="0" w:after="0"/>
              <w:ind w:left="57" w:right="57"/>
              <w:jc w:val="left"/>
              <w:rPr>
                <w:b/>
                <w:bCs/>
                <w:sz w:val="20"/>
                <w:szCs w:val="20"/>
                <w:lang w:val="sr-Latn-RS"/>
              </w:rPr>
            </w:pPr>
          </w:p>
        </w:tc>
        <w:tc>
          <w:tcPr>
            <w:tcW w:w="1488" w:type="pct"/>
            <w:vMerge/>
            <w:shd w:val="clear" w:color="auto" w:fill="auto"/>
            <w:vAlign w:val="center"/>
          </w:tcPr>
          <w:p w14:paraId="311ACF5A" w14:textId="77777777" w:rsidR="00C23BE9" w:rsidRPr="003D1DC4" w:rsidRDefault="00C23BE9" w:rsidP="003D1DC4">
            <w:pPr>
              <w:spacing w:before="0" w:after="0"/>
              <w:ind w:left="57" w:right="57"/>
              <w:jc w:val="left"/>
              <w:rPr>
                <w:sz w:val="20"/>
                <w:szCs w:val="20"/>
                <w:lang w:val="sr-Latn-RS"/>
              </w:rPr>
            </w:pPr>
          </w:p>
        </w:tc>
        <w:tc>
          <w:tcPr>
            <w:tcW w:w="1201" w:type="pct"/>
            <w:shd w:val="clear" w:color="auto" w:fill="auto"/>
            <w:vAlign w:val="center"/>
          </w:tcPr>
          <w:p w14:paraId="6C91845D" w14:textId="77777777" w:rsidR="00C23BE9" w:rsidRPr="003D1DC4" w:rsidRDefault="00C23BE9" w:rsidP="001F40F6">
            <w:pPr>
              <w:spacing w:before="0" w:after="0"/>
              <w:ind w:left="57" w:right="57"/>
              <w:jc w:val="right"/>
              <w:rPr>
                <w:sz w:val="20"/>
                <w:szCs w:val="20"/>
                <w:lang w:val="sr-Latn-RS"/>
              </w:rPr>
            </w:pPr>
            <w:r w:rsidRPr="003D1DC4">
              <w:rPr>
                <w:sz w:val="20"/>
                <w:szCs w:val="20"/>
                <w:lang w:val="sr-Latn-RS"/>
              </w:rPr>
              <w:t>7</w:t>
            </w:r>
          </w:p>
        </w:tc>
        <w:tc>
          <w:tcPr>
            <w:tcW w:w="1144" w:type="pct"/>
            <w:shd w:val="clear" w:color="auto" w:fill="auto"/>
          </w:tcPr>
          <w:p w14:paraId="258FC75E" w14:textId="77777777" w:rsidR="00C23BE9" w:rsidRPr="003D1DC4" w:rsidRDefault="00C23BE9" w:rsidP="001F40F6">
            <w:pPr>
              <w:spacing w:before="0" w:after="0"/>
              <w:ind w:left="57" w:right="57"/>
              <w:jc w:val="right"/>
              <w:rPr>
                <w:sz w:val="20"/>
                <w:szCs w:val="20"/>
                <w:lang w:val="sr-Latn-RS"/>
              </w:rPr>
            </w:pPr>
            <w:r w:rsidRPr="003D1DC4">
              <w:rPr>
                <w:sz w:val="20"/>
                <w:szCs w:val="20"/>
                <w:lang w:val="sr-Latn-RS"/>
              </w:rPr>
              <w:t>N_1Q_IS</w:t>
            </w:r>
          </w:p>
        </w:tc>
      </w:tr>
      <w:tr w:rsidR="003D1DC4" w:rsidRPr="003D1DC4" w14:paraId="6DFE63DB" w14:textId="77777777" w:rsidTr="003D1DC4">
        <w:trPr>
          <w:cantSplit/>
        </w:trPr>
        <w:tc>
          <w:tcPr>
            <w:tcW w:w="1168" w:type="pct"/>
            <w:vMerge/>
            <w:shd w:val="clear" w:color="auto" w:fill="auto"/>
            <w:vAlign w:val="center"/>
          </w:tcPr>
          <w:p w14:paraId="0CD43529" w14:textId="77777777" w:rsidR="00C23BE9" w:rsidRPr="003D1DC4" w:rsidRDefault="00C23BE9" w:rsidP="003D1DC4">
            <w:pPr>
              <w:spacing w:before="0" w:after="0"/>
              <w:ind w:left="57" w:right="57"/>
              <w:jc w:val="left"/>
              <w:rPr>
                <w:b/>
                <w:bCs/>
                <w:sz w:val="20"/>
                <w:szCs w:val="20"/>
                <w:lang w:val="sr-Latn-RS"/>
              </w:rPr>
            </w:pPr>
          </w:p>
        </w:tc>
        <w:tc>
          <w:tcPr>
            <w:tcW w:w="1488" w:type="pct"/>
            <w:vMerge/>
            <w:shd w:val="clear" w:color="auto" w:fill="auto"/>
            <w:vAlign w:val="center"/>
          </w:tcPr>
          <w:p w14:paraId="440813FA" w14:textId="77777777" w:rsidR="00C23BE9" w:rsidRPr="003D1DC4" w:rsidRDefault="00C23BE9" w:rsidP="003D1DC4">
            <w:pPr>
              <w:spacing w:before="0" w:after="0"/>
              <w:ind w:left="57" w:right="57"/>
              <w:jc w:val="left"/>
              <w:rPr>
                <w:sz w:val="20"/>
                <w:szCs w:val="20"/>
                <w:lang w:val="sr-Latn-RS"/>
              </w:rPr>
            </w:pPr>
          </w:p>
        </w:tc>
        <w:tc>
          <w:tcPr>
            <w:tcW w:w="1201" w:type="pct"/>
            <w:shd w:val="clear" w:color="auto" w:fill="auto"/>
            <w:vAlign w:val="center"/>
          </w:tcPr>
          <w:p w14:paraId="04F32C80" w14:textId="77777777" w:rsidR="00C23BE9" w:rsidRPr="003D1DC4" w:rsidRDefault="00C23BE9" w:rsidP="001F40F6">
            <w:pPr>
              <w:spacing w:before="0" w:after="0"/>
              <w:ind w:left="57" w:right="57"/>
              <w:jc w:val="right"/>
              <w:rPr>
                <w:sz w:val="20"/>
                <w:szCs w:val="20"/>
                <w:lang w:val="sr-Latn-RS"/>
              </w:rPr>
            </w:pPr>
            <w:r w:rsidRPr="003D1DC4">
              <w:rPr>
                <w:sz w:val="20"/>
                <w:szCs w:val="20"/>
                <w:lang w:val="sr-Latn-RS"/>
              </w:rPr>
              <w:t>8</w:t>
            </w:r>
          </w:p>
        </w:tc>
        <w:tc>
          <w:tcPr>
            <w:tcW w:w="1144" w:type="pct"/>
            <w:shd w:val="clear" w:color="auto" w:fill="auto"/>
          </w:tcPr>
          <w:p w14:paraId="7FFED355" w14:textId="77777777" w:rsidR="00C23BE9" w:rsidRPr="003D1DC4" w:rsidRDefault="00C23BE9" w:rsidP="001F40F6">
            <w:pPr>
              <w:spacing w:before="0" w:after="0"/>
              <w:ind w:left="57" w:right="57"/>
              <w:jc w:val="right"/>
              <w:rPr>
                <w:sz w:val="20"/>
                <w:szCs w:val="20"/>
                <w:lang w:val="sr-Latn-RS"/>
              </w:rPr>
            </w:pPr>
            <w:r w:rsidRPr="003D1DC4">
              <w:rPr>
                <w:sz w:val="20"/>
                <w:szCs w:val="20"/>
                <w:lang w:val="sr-Latn-RS"/>
              </w:rPr>
              <w:t>N_Median_IS</w:t>
            </w:r>
          </w:p>
        </w:tc>
      </w:tr>
      <w:tr w:rsidR="003D1DC4" w:rsidRPr="003D1DC4" w14:paraId="08BD8FEF" w14:textId="77777777" w:rsidTr="003D1DC4">
        <w:trPr>
          <w:cantSplit/>
        </w:trPr>
        <w:tc>
          <w:tcPr>
            <w:tcW w:w="1168" w:type="pct"/>
            <w:vMerge/>
            <w:shd w:val="clear" w:color="auto" w:fill="auto"/>
            <w:vAlign w:val="center"/>
          </w:tcPr>
          <w:p w14:paraId="5349ABB0" w14:textId="77777777" w:rsidR="00C23BE9" w:rsidRPr="003D1DC4" w:rsidRDefault="00C23BE9" w:rsidP="003D1DC4">
            <w:pPr>
              <w:spacing w:before="0" w:after="0"/>
              <w:ind w:left="57" w:right="57"/>
              <w:jc w:val="left"/>
              <w:rPr>
                <w:b/>
                <w:bCs/>
                <w:sz w:val="20"/>
                <w:szCs w:val="20"/>
                <w:lang w:val="sr-Latn-RS"/>
              </w:rPr>
            </w:pPr>
          </w:p>
        </w:tc>
        <w:tc>
          <w:tcPr>
            <w:tcW w:w="1488" w:type="pct"/>
            <w:vMerge/>
            <w:shd w:val="clear" w:color="auto" w:fill="auto"/>
            <w:vAlign w:val="center"/>
          </w:tcPr>
          <w:p w14:paraId="4C4C64C4" w14:textId="77777777" w:rsidR="00C23BE9" w:rsidRPr="003D1DC4" w:rsidRDefault="00C23BE9" w:rsidP="003D1DC4">
            <w:pPr>
              <w:spacing w:before="0" w:after="0"/>
              <w:ind w:left="57" w:right="57"/>
              <w:jc w:val="left"/>
              <w:rPr>
                <w:sz w:val="20"/>
                <w:szCs w:val="20"/>
                <w:lang w:val="sr-Latn-RS"/>
              </w:rPr>
            </w:pPr>
          </w:p>
        </w:tc>
        <w:tc>
          <w:tcPr>
            <w:tcW w:w="1201" w:type="pct"/>
            <w:shd w:val="clear" w:color="auto" w:fill="auto"/>
            <w:vAlign w:val="center"/>
          </w:tcPr>
          <w:p w14:paraId="29C28746" w14:textId="77777777" w:rsidR="00C23BE9" w:rsidRPr="003D1DC4" w:rsidRDefault="00C23BE9" w:rsidP="001F40F6">
            <w:pPr>
              <w:spacing w:before="0" w:after="0"/>
              <w:ind w:left="57" w:right="57"/>
              <w:jc w:val="right"/>
              <w:rPr>
                <w:sz w:val="20"/>
                <w:szCs w:val="20"/>
                <w:lang w:val="sr-Latn-RS"/>
              </w:rPr>
            </w:pPr>
            <w:r w:rsidRPr="003D1DC4">
              <w:rPr>
                <w:sz w:val="20"/>
                <w:szCs w:val="20"/>
                <w:lang w:val="sr-Latn-RS"/>
              </w:rPr>
              <w:t>9</w:t>
            </w:r>
          </w:p>
        </w:tc>
        <w:tc>
          <w:tcPr>
            <w:tcW w:w="1144" w:type="pct"/>
            <w:shd w:val="clear" w:color="auto" w:fill="auto"/>
          </w:tcPr>
          <w:p w14:paraId="26CC5AA1" w14:textId="77777777" w:rsidR="00C23BE9" w:rsidRPr="003D1DC4" w:rsidRDefault="00C23BE9" w:rsidP="001F40F6">
            <w:pPr>
              <w:spacing w:before="0" w:after="0"/>
              <w:ind w:left="57" w:right="57"/>
              <w:jc w:val="right"/>
              <w:rPr>
                <w:sz w:val="20"/>
                <w:szCs w:val="20"/>
                <w:lang w:val="sr-Latn-RS"/>
              </w:rPr>
            </w:pPr>
            <w:r w:rsidRPr="003D1DC4">
              <w:rPr>
                <w:sz w:val="20"/>
                <w:szCs w:val="20"/>
                <w:lang w:val="sr-Latn-RS"/>
              </w:rPr>
              <w:t>N_min_IS</w:t>
            </w:r>
          </w:p>
        </w:tc>
      </w:tr>
      <w:tr w:rsidR="003D1DC4" w:rsidRPr="003D1DC4" w14:paraId="61C1F502" w14:textId="77777777" w:rsidTr="003D1DC4">
        <w:trPr>
          <w:cantSplit/>
        </w:trPr>
        <w:tc>
          <w:tcPr>
            <w:tcW w:w="1168" w:type="pct"/>
            <w:vMerge/>
            <w:shd w:val="clear" w:color="auto" w:fill="auto"/>
            <w:vAlign w:val="center"/>
          </w:tcPr>
          <w:p w14:paraId="6B477533" w14:textId="77777777" w:rsidR="00C23BE9" w:rsidRPr="003D1DC4" w:rsidRDefault="00C23BE9" w:rsidP="003D1DC4">
            <w:pPr>
              <w:spacing w:before="0" w:after="0"/>
              <w:ind w:left="57" w:right="57"/>
              <w:jc w:val="left"/>
              <w:rPr>
                <w:b/>
                <w:bCs/>
                <w:sz w:val="20"/>
                <w:szCs w:val="20"/>
                <w:lang w:val="sr-Latn-RS"/>
              </w:rPr>
            </w:pPr>
          </w:p>
        </w:tc>
        <w:tc>
          <w:tcPr>
            <w:tcW w:w="1488" w:type="pct"/>
            <w:vMerge/>
            <w:shd w:val="clear" w:color="auto" w:fill="auto"/>
            <w:vAlign w:val="center"/>
          </w:tcPr>
          <w:p w14:paraId="2F681A44" w14:textId="77777777" w:rsidR="00C23BE9" w:rsidRPr="003D1DC4" w:rsidRDefault="00C23BE9" w:rsidP="003D1DC4">
            <w:pPr>
              <w:spacing w:before="0" w:after="0"/>
              <w:ind w:left="57" w:right="57"/>
              <w:jc w:val="left"/>
              <w:rPr>
                <w:sz w:val="20"/>
                <w:szCs w:val="20"/>
                <w:lang w:val="sr-Latn-RS"/>
              </w:rPr>
            </w:pPr>
          </w:p>
        </w:tc>
        <w:tc>
          <w:tcPr>
            <w:tcW w:w="1201" w:type="pct"/>
            <w:shd w:val="clear" w:color="auto" w:fill="auto"/>
            <w:vAlign w:val="center"/>
          </w:tcPr>
          <w:p w14:paraId="47C47C8B" w14:textId="77777777" w:rsidR="00C23BE9" w:rsidRPr="003D1DC4" w:rsidRDefault="00C23BE9" w:rsidP="001F40F6">
            <w:pPr>
              <w:spacing w:before="0" w:after="0"/>
              <w:ind w:left="57" w:right="57"/>
              <w:jc w:val="right"/>
              <w:rPr>
                <w:sz w:val="20"/>
                <w:szCs w:val="20"/>
                <w:lang w:val="sr-Latn-RS"/>
              </w:rPr>
            </w:pPr>
            <w:r w:rsidRPr="003D1DC4">
              <w:rPr>
                <w:sz w:val="20"/>
                <w:szCs w:val="20"/>
                <w:lang w:val="sr-Latn-RS"/>
              </w:rPr>
              <w:t>10</w:t>
            </w:r>
          </w:p>
        </w:tc>
        <w:tc>
          <w:tcPr>
            <w:tcW w:w="1144" w:type="pct"/>
            <w:shd w:val="clear" w:color="auto" w:fill="auto"/>
          </w:tcPr>
          <w:p w14:paraId="57EAB22B" w14:textId="77777777" w:rsidR="00C23BE9" w:rsidRPr="003D1DC4" w:rsidRDefault="00C23BE9" w:rsidP="001F40F6">
            <w:pPr>
              <w:spacing w:before="0" w:after="0"/>
              <w:ind w:left="57" w:right="57"/>
              <w:jc w:val="right"/>
              <w:rPr>
                <w:sz w:val="20"/>
                <w:szCs w:val="20"/>
                <w:lang w:val="sr-Latn-RS"/>
              </w:rPr>
            </w:pPr>
            <w:r w:rsidRPr="003D1DC4">
              <w:rPr>
                <w:sz w:val="20"/>
                <w:szCs w:val="20"/>
                <w:lang w:val="sr-Latn-RS"/>
              </w:rPr>
              <w:t>N_Kurt_IS</w:t>
            </w:r>
          </w:p>
        </w:tc>
      </w:tr>
      <w:tr w:rsidR="003D1DC4" w:rsidRPr="003D1DC4" w14:paraId="4B6B21D2" w14:textId="77777777" w:rsidTr="003D1DC4">
        <w:trPr>
          <w:cantSplit/>
        </w:trPr>
        <w:tc>
          <w:tcPr>
            <w:tcW w:w="1168" w:type="pct"/>
            <w:vMerge/>
            <w:shd w:val="clear" w:color="auto" w:fill="auto"/>
            <w:vAlign w:val="center"/>
          </w:tcPr>
          <w:p w14:paraId="68E14250" w14:textId="77777777" w:rsidR="00C23BE9" w:rsidRPr="003D1DC4" w:rsidRDefault="00C23BE9" w:rsidP="003D1DC4">
            <w:pPr>
              <w:spacing w:before="0" w:after="0"/>
              <w:ind w:left="57" w:right="57"/>
              <w:jc w:val="left"/>
              <w:rPr>
                <w:b/>
                <w:bCs/>
                <w:sz w:val="20"/>
                <w:szCs w:val="20"/>
                <w:lang w:val="sr-Latn-RS"/>
              </w:rPr>
            </w:pPr>
          </w:p>
        </w:tc>
        <w:tc>
          <w:tcPr>
            <w:tcW w:w="2689" w:type="pct"/>
            <w:gridSpan w:val="2"/>
            <w:shd w:val="clear" w:color="auto" w:fill="auto"/>
            <w:vAlign w:val="center"/>
          </w:tcPr>
          <w:p w14:paraId="24B9E92E" w14:textId="77777777" w:rsidR="00C23BE9" w:rsidRPr="003D1DC4" w:rsidRDefault="00C23BE9" w:rsidP="001F40F6">
            <w:pPr>
              <w:spacing w:before="0" w:after="0"/>
              <w:ind w:left="57" w:right="57"/>
              <w:jc w:val="left"/>
              <w:rPr>
                <w:sz w:val="20"/>
                <w:szCs w:val="20"/>
                <w:lang w:val="sr-Latn-RS"/>
              </w:rPr>
            </w:pPr>
            <w:r w:rsidRPr="003D1DC4">
              <w:rPr>
                <w:sz w:val="20"/>
                <w:szCs w:val="20"/>
                <w:lang w:val="sr-Latn-RS"/>
              </w:rPr>
              <w:t>Number of Units</w:t>
            </w:r>
            <w:r w:rsidRPr="003D1DC4">
              <w:rPr>
                <w:sz w:val="20"/>
                <w:szCs w:val="20"/>
                <w:vertAlign w:val="superscript"/>
                <w:lang w:val="sr-Latn-RS"/>
              </w:rPr>
              <w:t>a</w:t>
            </w:r>
          </w:p>
        </w:tc>
        <w:tc>
          <w:tcPr>
            <w:tcW w:w="1144" w:type="pct"/>
            <w:shd w:val="clear" w:color="auto" w:fill="auto"/>
          </w:tcPr>
          <w:p w14:paraId="0B3355B1" w14:textId="77777777" w:rsidR="00C23BE9" w:rsidRPr="003D1DC4" w:rsidRDefault="00C23BE9" w:rsidP="001F40F6">
            <w:pPr>
              <w:spacing w:before="0" w:after="0"/>
              <w:ind w:left="57" w:right="57"/>
              <w:jc w:val="right"/>
              <w:rPr>
                <w:sz w:val="20"/>
                <w:szCs w:val="20"/>
                <w:lang w:val="sr-Latn-RS"/>
              </w:rPr>
            </w:pPr>
            <w:r w:rsidRPr="003D1DC4">
              <w:rPr>
                <w:sz w:val="20"/>
                <w:szCs w:val="20"/>
                <w:lang w:val="sr-Latn-RS"/>
              </w:rPr>
              <w:t>10</w:t>
            </w:r>
          </w:p>
        </w:tc>
      </w:tr>
      <w:tr w:rsidR="003D1DC4" w:rsidRPr="003D1DC4" w14:paraId="1DFA5100" w14:textId="77777777" w:rsidTr="003D1DC4">
        <w:trPr>
          <w:cantSplit/>
        </w:trPr>
        <w:tc>
          <w:tcPr>
            <w:tcW w:w="1168" w:type="pct"/>
            <w:vMerge/>
            <w:shd w:val="clear" w:color="auto" w:fill="auto"/>
            <w:vAlign w:val="center"/>
          </w:tcPr>
          <w:p w14:paraId="67FD49CE" w14:textId="77777777" w:rsidR="00C23BE9" w:rsidRPr="003D1DC4" w:rsidRDefault="00C23BE9" w:rsidP="003D1DC4">
            <w:pPr>
              <w:spacing w:before="0" w:after="0"/>
              <w:ind w:left="57" w:right="57"/>
              <w:jc w:val="left"/>
              <w:rPr>
                <w:b/>
                <w:bCs/>
                <w:sz w:val="20"/>
                <w:szCs w:val="20"/>
                <w:lang w:val="sr-Latn-RS"/>
              </w:rPr>
            </w:pPr>
          </w:p>
        </w:tc>
        <w:tc>
          <w:tcPr>
            <w:tcW w:w="2689" w:type="pct"/>
            <w:gridSpan w:val="2"/>
            <w:shd w:val="clear" w:color="auto" w:fill="auto"/>
            <w:vAlign w:val="center"/>
          </w:tcPr>
          <w:p w14:paraId="7B055FD7" w14:textId="77777777" w:rsidR="00C23BE9" w:rsidRPr="003D1DC4" w:rsidRDefault="00C23BE9" w:rsidP="001F40F6">
            <w:pPr>
              <w:spacing w:before="0" w:after="0"/>
              <w:ind w:left="57" w:right="57"/>
              <w:jc w:val="left"/>
              <w:rPr>
                <w:sz w:val="20"/>
                <w:szCs w:val="20"/>
                <w:lang w:val="sr-Latn-RS"/>
              </w:rPr>
            </w:pPr>
            <w:r w:rsidRPr="003D1DC4">
              <w:rPr>
                <w:sz w:val="20"/>
                <w:szCs w:val="20"/>
                <w:lang w:val="sr-Latn-RS"/>
              </w:rPr>
              <w:t>Rescaling Method for Covariates</w:t>
            </w:r>
          </w:p>
        </w:tc>
        <w:tc>
          <w:tcPr>
            <w:tcW w:w="1144" w:type="pct"/>
            <w:shd w:val="clear" w:color="auto" w:fill="auto"/>
          </w:tcPr>
          <w:p w14:paraId="183AAC8D" w14:textId="77777777" w:rsidR="00C23BE9" w:rsidRPr="003D1DC4" w:rsidRDefault="00C23BE9" w:rsidP="001F40F6">
            <w:pPr>
              <w:spacing w:before="0" w:after="0"/>
              <w:ind w:left="57" w:right="57"/>
              <w:jc w:val="right"/>
              <w:rPr>
                <w:sz w:val="20"/>
                <w:szCs w:val="20"/>
                <w:lang w:val="sr-Latn-RS"/>
              </w:rPr>
            </w:pPr>
            <w:r w:rsidRPr="003D1DC4">
              <w:rPr>
                <w:sz w:val="20"/>
                <w:szCs w:val="20"/>
                <w:lang w:val="sr-Latn-RS"/>
              </w:rPr>
              <w:t>Standardized</w:t>
            </w:r>
          </w:p>
        </w:tc>
      </w:tr>
      <w:tr w:rsidR="003D1DC4" w:rsidRPr="003D1DC4" w14:paraId="228B9350" w14:textId="77777777" w:rsidTr="003D1DC4">
        <w:trPr>
          <w:cantSplit/>
        </w:trPr>
        <w:tc>
          <w:tcPr>
            <w:tcW w:w="1168" w:type="pct"/>
            <w:vMerge w:val="restart"/>
            <w:shd w:val="clear" w:color="auto" w:fill="auto"/>
            <w:vAlign w:val="center"/>
          </w:tcPr>
          <w:p w14:paraId="2702342F" w14:textId="77777777" w:rsidR="00C23BE9" w:rsidRPr="003D1DC4" w:rsidRDefault="00C23BE9" w:rsidP="003D1DC4">
            <w:pPr>
              <w:spacing w:before="0" w:after="0"/>
              <w:ind w:left="57" w:right="57"/>
              <w:jc w:val="left"/>
              <w:rPr>
                <w:b/>
                <w:bCs/>
                <w:sz w:val="20"/>
                <w:szCs w:val="20"/>
                <w:lang w:val="sr-Latn-RS"/>
              </w:rPr>
            </w:pPr>
            <w:r w:rsidRPr="003D1DC4">
              <w:rPr>
                <w:b/>
                <w:bCs/>
                <w:sz w:val="20"/>
                <w:szCs w:val="20"/>
                <w:lang w:val="sr-Latn-RS"/>
              </w:rPr>
              <w:t>Hidden Layer(s)</w:t>
            </w:r>
          </w:p>
        </w:tc>
        <w:tc>
          <w:tcPr>
            <w:tcW w:w="2689" w:type="pct"/>
            <w:gridSpan w:val="2"/>
            <w:shd w:val="clear" w:color="auto" w:fill="auto"/>
            <w:vAlign w:val="center"/>
          </w:tcPr>
          <w:p w14:paraId="1A98B7FB" w14:textId="77777777" w:rsidR="00C23BE9" w:rsidRPr="003D1DC4" w:rsidRDefault="00C23BE9" w:rsidP="001F40F6">
            <w:pPr>
              <w:spacing w:before="0" w:after="0"/>
              <w:ind w:left="57" w:right="57"/>
              <w:jc w:val="left"/>
              <w:rPr>
                <w:sz w:val="20"/>
                <w:szCs w:val="20"/>
                <w:lang w:val="sr-Latn-RS"/>
              </w:rPr>
            </w:pPr>
            <w:r w:rsidRPr="003D1DC4">
              <w:rPr>
                <w:sz w:val="20"/>
                <w:szCs w:val="20"/>
                <w:lang w:val="sr-Latn-RS"/>
              </w:rPr>
              <w:t>Number of Hidden Layers</w:t>
            </w:r>
          </w:p>
        </w:tc>
        <w:tc>
          <w:tcPr>
            <w:tcW w:w="1144" w:type="pct"/>
            <w:shd w:val="clear" w:color="auto" w:fill="auto"/>
          </w:tcPr>
          <w:p w14:paraId="6FD6E7E8" w14:textId="77777777" w:rsidR="00C23BE9" w:rsidRPr="003D1DC4" w:rsidRDefault="00C23BE9" w:rsidP="001F40F6">
            <w:pPr>
              <w:spacing w:before="0" w:after="0"/>
              <w:ind w:left="57" w:right="57"/>
              <w:jc w:val="right"/>
              <w:rPr>
                <w:sz w:val="20"/>
                <w:szCs w:val="20"/>
                <w:lang w:val="sr-Latn-RS"/>
              </w:rPr>
            </w:pPr>
            <w:r w:rsidRPr="003D1DC4">
              <w:rPr>
                <w:sz w:val="20"/>
                <w:szCs w:val="20"/>
                <w:lang w:val="sr-Latn-RS"/>
              </w:rPr>
              <w:t>1</w:t>
            </w:r>
          </w:p>
        </w:tc>
      </w:tr>
      <w:tr w:rsidR="003D1DC4" w:rsidRPr="003D1DC4" w14:paraId="1C897478" w14:textId="77777777" w:rsidTr="003D1DC4">
        <w:trPr>
          <w:cantSplit/>
        </w:trPr>
        <w:tc>
          <w:tcPr>
            <w:tcW w:w="1168" w:type="pct"/>
            <w:vMerge/>
            <w:shd w:val="clear" w:color="auto" w:fill="auto"/>
            <w:vAlign w:val="center"/>
          </w:tcPr>
          <w:p w14:paraId="5F9F2A6B" w14:textId="77777777" w:rsidR="00C23BE9" w:rsidRPr="003D1DC4" w:rsidRDefault="00C23BE9" w:rsidP="003D1DC4">
            <w:pPr>
              <w:spacing w:before="0" w:after="0"/>
              <w:ind w:left="57" w:right="57"/>
              <w:jc w:val="left"/>
              <w:rPr>
                <w:b/>
                <w:bCs/>
                <w:sz w:val="20"/>
                <w:szCs w:val="20"/>
                <w:lang w:val="sr-Latn-RS"/>
              </w:rPr>
            </w:pPr>
          </w:p>
        </w:tc>
        <w:tc>
          <w:tcPr>
            <w:tcW w:w="2689" w:type="pct"/>
            <w:gridSpan w:val="2"/>
            <w:shd w:val="clear" w:color="auto" w:fill="auto"/>
            <w:vAlign w:val="center"/>
          </w:tcPr>
          <w:p w14:paraId="782B3A36" w14:textId="77777777" w:rsidR="00C23BE9" w:rsidRPr="003D1DC4" w:rsidRDefault="00C23BE9" w:rsidP="001F40F6">
            <w:pPr>
              <w:spacing w:before="0" w:after="0"/>
              <w:ind w:left="57" w:right="57"/>
              <w:jc w:val="left"/>
              <w:rPr>
                <w:sz w:val="20"/>
                <w:szCs w:val="20"/>
                <w:lang w:val="sr-Latn-RS"/>
              </w:rPr>
            </w:pPr>
            <w:r w:rsidRPr="003D1DC4">
              <w:rPr>
                <w:sz w:val="20"/>
                <w:szCs w:val="20"/>
                <w:lang w:val="sr-Latn-RS"/>
              </w:rPr>
              <w:t>Number of Units in Hidden Layer 1</w:t>
            </w:r>
            <w:r w:rsidRPr="003D1DC4">
              <w:rPr>
                <w:sz w:val="20"/>
                <w:szCs w:val="20"/>
                <w:vertAlign w:val="superscript"/>
                <w:lang w:val="sr-Latn-RS"/>
              </w:rPr>
              <w:t>a</w:t>
            </w:r>
          </w:p>
        </w:tc>
        <w:tc>
          <w:tcPr>
            <w:tcW w:w="1144" w:type="pct"/>
            <w:shd w:val="clear" w:color="auto" w:fill="auto"/>
          </w:tcPr>
          <w:p w14:paraId="2D6526AD" w14:textId="77777777" w:rsidR="00C23BE9" w:rsidRPr="003D1DC4" w:rsidRDefault="00C23BE9" w:rsidP="001F40F6">
            <w:pPr>
              <w:spacing w:before="0" w:after="0"/>
              <w:ind w:left="57" w:right="57"/>
              <w:jc w:val="right"/>
              <w:rPr>
                <w:sz w:val="20"/>
                <w:szCs w:val="20"/>
                <w:lang w:val="sr-Latn-RS"/>
              </w:rPr>
            </w:pPr>
            <w:r w:rsidRPr="003D1DC4">
              <w:rPr>
                <w:sz w:val="20"/>
                <w:szCs w:val="20"/>
                <w:lang w:val="sr-Latn-RS"/>
              </w:rPr>
              <w:t>7</w:t>
            </w:r>
          </w:p>
        </w:tc>
      </w:tr>
      <w:tr w:rsidR="003D1DC4" w:rsidRPr="003D1DC4" w14:paraId="134FC1DF" w14:textId="77777777" w:rsidTr="00982E69">
        <w:trPr>
          <w:cantSplit/>
        </w:trPr>
        <w:tc>
          <w:tcPr>
            <w:tcW w:w="1168" w:type="pct"/>
            <w:vMerge/>
            <w:shd w:val="clear" w:color="auto" w:fill="auto"/>
            <w:vAlign w:val="center"/>
          </w:tcPr>
          <w:p w14:paraId="6045ED38" w14:textId="77777777" w:rsidR="00C23BE9" w:rsidRPr="003D1DC4" w:rsidRDefault="00C23BE9" w:rsidP="003D1DC4">
            <w:pPr>
              <w:spacing w:before="0" w:after="0"/>
              <w:ind w:left="57" w:right="57"/>
              <w:jc w:val="left"/>
              <w:rPr>
                <w:b/>
                <w:bCs/>
                <w:sz w:val="20"/>
                <w:szCs w:val="20"/>
                <w:lang w:val="sr-Latn-RS"/>
              </w:rPr>
            </w:pPr>
          </w:p>
        </w:tc>
        <w:tc>
          <w:tcPr>
            <w:tcW w:w="2689" w:type="pct"/>
            <w:gridSpan w:val="2"/>
            <w:shd w:val="clear" w:color="auto" w:fill="auto"/>
            <w:vAlign w:val="center"/>
          </w:tcPr>
          <w:p w14:paraId="75AA5E13" w14:textId="77777777" w:rsidR="00C23BE9" w:rsidRPr="003D1DC4" w:rsidRDefault="00C23BE9" w:rsidP="001F40F6">
            <w:pPr>
              <w:spacing w:before="0" w:after="0"/>
              <w:ind w:left="57" w:right="57"/>
              <w:rPr>
                <w:sz w:val="20"/>
                <w:szCs w:val="20"/>
                <w:lang w:val="sr-Latn-RS"/>
              </w:rPr>
            </w:pPr>
            <w:r w:rsidRPr="003D1DC4">
              <w:rPr>
                <w:sz w:val="20"/>
                <w:szCs w:val="20"/>
                <w:lang w:val="sr-Latn-RS"/>
              </w:rPr>
              <w:t>Activation Function</w:t>
            </w:r>
          </w:p>
        </w:tc>
        <w:tc>
          <w:tcPr>
            <w:tcW w:w="1144" w:type="pct"/>
            <w:shd w:val="clear" w:color="auto" w:fill="auto"/>
          </w:tcPr>
          <w:p w14:paraId="23E7EBDA" w14:textId="77777777" w:rsidR="00C23BE9" w:rsidRPr="003D1DC4" w:rsidRDefault="00C23BE9" w:rsidP="001F40F6">
            <w:pPr>
              <w:spacing w:before="0" w:after="0"/>
              <w:ind w:left="57" w:right="57"/>
              <w:jc w:val="right"/>
              <w:rPr>
                <w:sz w:val="20"/>
                <w:szCs w:val="20"/>
                <w:lang w:val="sr-Latn-RS"/>
              </w:rPr>
            </w:pPr>
            <w:r w:rsidRPr="003D1DC4">
              <w:rPr>
                <w:sz w:val="20"/>
                <w:szCs w:val="20"/>
                <w:lang w:val="sr-Latn-RS"/>
              </w:rPr>
              <w:t>Sigmoid</w:t>
            </w:r>
          </w:p>
        </w:tc>
      </w:tr>
      <w:tr w:rsidR="003D1DC4" w:rsidRPr="003D1DC4" w14:paraId="2905E9E4" w14:textId="77777777" w:rsidTr="003D1DC4">
        <w:trPr>
          <w:cantSplit/>
        </w:trPr>
        <w:tc>
          <w:tcPr>
            <w:tcW w:w="1168" w:type="pct"/>
            <w:vMerge w:val="restart"/>
            <w:shd w:val="clear" w:color="auto" w:fill="auto"/>
            <w:vAlign w:val="center"/>
          </w:tcPr>
          <w:p w14:paraId="75CD39E9" w14:textId="77777777" w:rsidR="00C23BE9" w:rsidRPr="003D1DC4" w:rsidRDefault="00C23BE9" w:rsidP="003D1DC4">
            <w:pPr>
              <w:spacing w:before="0" w:after="0"/>
              <w:ind w:left="57" w:right="57"/>
              <w:jc w:val="left"/>
              <w:rPr>
                <w:b/>
                <w:bCs/>
                <w:sz w:val="20"/>
                <w:szCs w:val="20"/>
                <w:lang w:val="sr-Latn-RS"/>
              </w:rPr>
            </w:pPr>
            <w:r w:rsidRPr="003D1DC4">
              <w:rPr>
                <w:b/>
                <w:bCs/>
                <w:sz w:val="20"/>
                <w:szCs w:val="20"/>
                <w:lang w:val="sr-Latn-RS"/>
              </w:rPr>
              <w:t>Output Layer</w:t>
            </w:r>
          </w:p>
        </w:tc>
        <w:tc>
          <w:tcPr>
            <w:tcW w:w="1488" w:type="pct"/>
            <w:shd w:val="clear" w:color="auto" w:fill="auto"/>
            <w:vAlign w:val="center"/>
          </w:tcPr>
          <w:p w14:paraId="5D339ECC" w14:textId="77777777" w:rsidR="00C23BE9" w:rsidRPr="003D1DC4" w:rsidRDefault="00C23BE9" w:rsidP="003D1DC4">
            <w:pPr>
              <w:spacing w:before="0" w:after="0"/>
              <w:ind w:left="57" w:right="57"/>
              <w:jc w:val="left"/>
              <w:rPr>
                <w:sz w:val="20"/>
                <w:szCs w:val="20"/>
                <w:lang w:val="sr-Latn-RS"/>
              </w:rPr>
            </w:pPr>
            <w:r w:rsidRPr="003D1DC4">
              <w:rPr>
                <w:sz w:val="20"/>
                <w:szCs w:val="20"/>
                <w:lang w:val="sr-Latn-RS"/>
              </w:rPr>
              <w:t>Dependent Variables</w:t>
            </w:r>
          </w:p>
        </w:tc>
        <w:tc>
          <w:tcPr>
            <w:tcW w:w="1201" w:type="pct"/>
            <w:shd w:val="clear" w:color="auto" w:fill="auto"/>
            <w:vAlign w:val="center"/>
          </w:tcPr>
          <w:p w14:paraId="205FDB64" w14:textId="77777777" w:rsidR="00C23BE9" w:rsidRPr="003D1DC4" w:rsidRDefault="00C23BE9" w:rsidP="001F40F6">
            <w:pPr>
              <w:spacing w:before="0" w:after="0"/>
              <w:ind w:left="57" w:right="57"/>
              <w:jc w:val="right"/>
              <w:rPr>
                <w:sz w:val="20"/>
                <w:szCs w:val="20"/>
                <w:lang w:val="sr-Latn-RS"/>
              </w:rPr>
            </w:pPr>
            <w:r w:rsidRPr="003D1DC4">
              <w:rPr>
                <w:sz w:val="20"/>
                <w:szCs w:val="20"/>
                <w:lang w:val="sr-Latn-RS"/>
              </w:rPr>
              <w:t>1</w:t>
            </w:r>
          </w:p>
        </w:tc>
        <w:tc>
          <w:tcPr>
            <w:tcW w:w="1144" w:type="pct"/>
            <w:shd w:val="clear" w:color="auto" w:fill="auto"/>
          </w:tcPr>
          <w:p w14:paraId="187058A8" w14:textId="77777777" w:rsidR="00C23BE9" w:rsidRPr="003D1DC4" w:rsidRDefault="00C23BE9" w:rsidP="001F40F6">
            <w:pPr>
              <w:spacing w:before="0" w:after="0"/>
              <w:ind w:left="57" w:right="57"/>
              <w:jc w:val="right"/>
              <w:rPr>
                <w:sz w:val="20"/>
                <w:szCs w:val="20"/>
                <w:lang w:val="sr-Latn-RS"/>
              </w:rPr>
            </w:pPr>
            <w:r w:rsidRPr="003D1DC4">
              <w:rPr>
                <w:sz w:val="20"/>
                <w:szCs w:val="20"/>
                <w:lang w:val="sr-Latn-RS"/>
              </w:rPr>
              <w:t>Degradation_IS</w:t>
            </w:r>
          </w:p>
        </w:tc>
      </w:tr>
      <w:tr w:rsidR="003D1DC4" w:rsidRPr="003D1DC4" w14:paraId="7B398C6F" w14:textId="77777777" w:rsidTr="003D1DC4">
        <w:trPr>
          <w:cantSplit/>
        </w:trPr>
        <w:tc>
          <w:tcPr>
            <w:tcW w:w="1168" w:type="pct"/>
            <w:vMerge/>
            <w:shd w:val="clear" w:color="auto" w:fill="auto"/>
            <w:vAlign w:val="center"/>
          </w:tcPr>
          <w:p w14:paraId="62EAA6E5" w14:textId="77777777" w:rsidR="00C23BE9" w:rsidRPr="003D1DC4" w:rsidRDefault="00C23BE9" w:rsidP="003D1DC4">
            <w:pPr>
              <w:spacing w:before="0" w:after="0"/>
              <w:ind w:left="57" w:right="57"/>
              <w:jc w:val="left"/>
              <w:rPr>
                <w:sz w:val="20"/>
                <w:szCs w:val="20"/>
                <w:lang w:val="sr-Latn-RS"/>
              </w:rPr>
            </w:pPr>
          </w:p>
        </w:tc>
        <w:tc>
          <w:tcPr>
            <w:tcW w:w="2689" w:type="pct"/>
            <w:gridSpan w:val="2"/>
            <w:shd w:val="clear" w:color="auto" w:fill="auto"/>
            <w:vAlign w:val="center"/>
          </w:tcPr>
          <w:p w14:paraId="5F117B94" w14:textId="77777777" w:rsidR="00C23BE9" w:rsidRPr="003D1DC4" w:rsidRDefault="00C23BE9" w:rsidP="001F40F6">
            <w:pPr>
              <w:spacing w:before="0" w:after="0"/>
              <w:ind w:left="57" w:right="57"/>
              <w:rPr>
                <w:sz w:val="20"/>
                <w:szCs w:val="20"/>
                <w:lang w:val="sr-Latn-RS"/>
              </w:rPr>
            </w:pPr>
            <w:r w:rsidRPr="003D1DC4">
              <w:rPr>
                <w:sz w:val="20"/>
                <w:szCs w:val="20"/>
                <w:lang w:val="sr-Latn-RS"/>
              </w:rPr>
              <w:t>Number of Units</w:t>
            </w:r>
          </w:p>
        </w:tc>
        <w:tc>
          <w:tcPr>
            <w:tcW w:w="1144" w:type="pct"/>
            <w:shd w:val="clear" w:color="auto" w:fill="auto"/>
          </w:tcPr>
          <w:p w14:paraId="3CBEB52E" w14:textId="77777777" w:rsidR="00C23BE9" w:rsidRPr="003D1DC4" w:rsidRDefault="00C23BE9" w:rsidP="001F40F6">
            <w:pPr>
              <w:spacing w:before="0" w:after="0"/>
              <w:ind w:left="57" w:right="57"/>
              <w:jc w:val="right"/>
              <w:rPr>
                <w:sz w:val="20"/>
                <w:szCs w:val="20"/>
                <w:lang w:val="sr-Latn-RS"/>
              </w:rPr>
            </w:pPr>
            <w:r w:rsidRPr="003D1DC4">
              <w:rPr>
                <w:sz w:val="20"/>
                <w:szCs w:val="20"/>
                <w:lang w:val="sr-Latn-RS"/>
              </w:rPr>
              <w:t>2</w:t>
            </w:r>
          </w:p>
        </w:tc>
      </w:tr>
      <w:tr w:rsidR="003D1DC4" w:rsidRPr="003D1DC4" w14:paraId="1D54B310" w14:textId="77777777" w:rsidTr="003D1DC4">
        <w:trPr>
          <w:cantSplit/>
        </w:trPr>
        <w:tc>
          <w:tcPr>
            <w:tcW w:w="1168" w:type="pct"/>
            <w:vMerge/>
            <w:shd w:val="clear" w:color="auto" w:fill="auto"/>
            <w:vAlign w:val="center"/>
          </w:tcPr>
          <w:p w14:paraId="69CD7FA6" w14:textId="77777777" w:rsidR="00C23BE9" w:rsidRPr="003D1DC4" w:rsidRDefault="00C23BE9" w:rsidP="003D1DC4">
            <w:pPr>
              <w:spacing w:before="0" w:after="0"/>
              <w:ind w:left="57" w:right="57"/>
              <w:jc w:val="left"/>
              <w:rPr>
                <w:sz w:val="20"/>
                <w:szCs w:val="20"/>
                <w:lang w:val="sr-Latn-RS"/>
              </w:rPr>
            </w:pPr>
          </w:p>
        </w:tc>
        <w:tc>
          <w:tcPr>
            <w:tcW w:w="2689" w:type="pct"/>
            <w:gridSpan w:val="2"/>
            <w:shd w:val="clear" w:color="auto" w:fill="auto"/>
            <w:vAlign w:val="center"/>
          </w:tcPr>
          <w:p w14:paraId="0BA6F0EE" w14:textId="77777777" w:rsidR="00C23BE9" w:rsidRPr="003D1DC4" w:rsidRDefault="00C23BE9" w:rsidP="001F40F6">
            <w:pPr>
              <w:spacing w:before="0" w:after="0"/>
              <w:ind w:left="57" w:right="57"/>
              <w:rPr>
                <w:sz w:val="20"/>
                <w:szCs w:val="20"/>
                <w:lang w:val="sr-Latn-RS"/>
              </w:rPr>
            </w:pPr>
            <w:r w:rsidRPr="003D1DC4">
              <w:rPr>
                <w:sz w:val="20"/>
                <w:szCs w:val="20"/>
                <w:lang w:val="sr-Latn-RS"/>
              </w:rPr>
              <w:t>Activation Function</w:t>
            </w:r>
          </w:p>
        </w:tc>
        <w:tc>
          <w:tcPr>
            <w:tcW w:w="1144" w:type="pct"/>
            <w:shd w:val="clear" w:color="auto" w:fill="auto"/>
          </w:tcPr>
          <w:p w14:paraId="1E7583F9" w14:textId="77777777" w:rsidR="00C23BE9" w:rsidRPr="003D1DC4" w:rsidRDefault="00C23BE9" w:rsidP="001F40F6">
            <w:pPr>
              <w:spacing w:before="0" w:after="0"/>
              <w:ind w:left="57" w:right="57"/>
              <w:jc w:val="right"/>
              <w:rPr>
                <w:sz w:val="20"/>
                <w:szCs w:val="20"/>
                <w:lang w:val="sr-Latn-RS"/>
              </w:rPr>
            </w:pPr>
            <w:r w:rsidRPr="003D1DC4">
              <w:rPr>
                <w:sz w:val="20"/>
                <w:szCs w:val="20"/>
                <w:lang w:val="sr-Latn-RS"/>
              </w:rPr>
              <w:t>Sigmoid</w:t>
            </w:r>
          </w:p>
        </w:tc>
      </w:tr>
      <w:tr w:rsidR="003D1DC4" w:rsidRPr="003D1DC4" w14:paraId="306BD9A3" w14:textId="77777777" w:rsidTr="00982E69">
        <w:trPr>
          <w:cantSplit/>
        </w:trPr>
        <w:tc>
          <w:tcPr>
            <w:tcW w:w="1168" w:type="pct"/>
            <w:vMerge/>
            <w:tcBorders>
              <w:bottom w:val="single" w:sz="4" w:space="0" w:color="auto"/>
            </w:tcBorders>
            <w:shd w:val="clear" w:color="auto" w:fill="auto"/>
            <w:vAlign w:val="center"/>
          </w:tcPr>
          <w:p w14:paraId="55662ADA" w14:textId="77777777" w:rsidR="00C23BE9" w:rsidRPr="003D1DC4" w:rsidRDefault="00C23BE9" w:rsidP="003D1DC4">
            <w:pPr>
              <w:spacing w:before="0" w:after="0"/>
              <w:ind w:left="57" w:right="57"/>
              <w:jc w:val="left"/>
              <w:rPr>
                <w:sz w:val="20"/>
                <w:szCs w:val="20"/>
                <w:lang w:val="sr-Latn-RS"/>
              </w:rPr>
            </w:pPr>
          </w:p>
        </w:tc>
        <w:tc>
          <w:tcPr>
            <w:tcW w:w="2689" w:type="pct"/>
            <w:gridSpan w:val="2"/>
            <w:tcBorders>
              <w:bottom w:val="single" w:sz="4" w:space="0" w:color="auto"/>
            </w:tcBorders>
            <w:shd w:val="clear" w:color="auto" w:fill="auto"/>
            <w:vAlign w:val="center"/>
          </w:tcPr>
          <w:p w14:paraId="4B86D652" w14:textId="77777777" w:rsidR="00C23BE9" w:rsidRPr="003D1DC4" w:rsidRDefault="00C23BE9" w:rsidP="001F40F6">
            <w:pPr>
              <w:spacing w:before="0" w:after="0"/>
              <w:ind w:left="57" w:right="57"/>
              <w:rPr>
                <w:sz w:val="20"/>
                <w:szCs w:val="20"/>
                <w:lang w:val="sr-Latn-RS"/>
              </w:rPr>
            </w:pPr>
            <w:r w:rsidRPr="003D1DC4">
              <w:rPr>
                <w:sz w:val="20"/>
                <w:szCs w:val="20"/>
                <w:lang w:val="sr-Latn-RS"/>
              </w:rPr>
              <w:t>Error Function</w:t>
            </w:r>
          </w:p>
        </w:tc>
        <w:tc>
          <w:tcPr>
            <w:tcW w:w="1144" w:type="pct"/>
            <w:tcBorders>
              <w:bottom w:val="single" w:sz="4" w:space="0" w:color="auto"/>
            </w:tcBorders>
            <w:shd w:val="clear" w:color="auto" w:fill="auto"/>
          </w:tcPr>
          <w:p w14:paraId="0ED8DB90" w14:textId="77777777" w:rsidR="00C23BE9" w:rsidRPr="003D1DC4" w:rsidRDefault="00C23BE9" w:rsidP="001F40F6">
            <w:pPr>
              <w:spacing w:before="0" w:after="0"/>
              <w:ind w:left="57" w:right="57"/>
              <w:jc w:val="right"/>
              <w:rPr>
                <w:sz w:val="20"/>
                <w:szCs w:val="20"/>
                <w:lang w:val="sr-Latn-RS"/>
              </w:rPr>
            </w:pPr>
            <w:r w:rsidRPr="003D1DC4">
              <w:rPr>
                <w:sz w:val="20"/>
                <w:szCs w:val="20"/>
                <w:lang w:val="sr-Latn-RS"/>
              </w:rPr>
              <w:t>Sum of Squares</w:t>
            </w:r>
          </w:p>
        </w:tc>
      </w:tr>
      <w:tr w:rsidR="003D1DC4" w:rsidRPr="003D1DC4" w14:paraId="093D0B53" w14:textId="77777777" w:rsidTr="00982E69">
        <w:trPr>
          <w:cantSplit/>
        </w:trPr>
        <w:tc>
          <w:tcPr>
            <w:tcW w:w="5000" w:type="pct"/>
            <w:gridSpan w:val="4"/>
            <w:tcBorders>
              <w:top w:val="single" w:sz="4" w:space="0" w:color="auto"/>
            </w:tcBorders>
            <w:shd w:val="clear" w:color="auto" w:fill="auto"/>
          </w:tcPr>
          <w:p w14:paraId="34891024" w14:textId="77777777" w:rsidR="00C23BE9" w:rsidRPr="003D1DC4" w:rsidRDefault="00C23BE9" w:rsidP="001F40F6">
            <w:pPr>
              <w:spacing w:before="0" w:after="0"/>
              <w:ind w:left="57" w:right="57"/>
              <w:jc w:val="left"/>
              <w:rPr>
                <w:sz w:val="20"/>
                <w:szCs w:val="20"/>
                <w:lang w:val="sr-Latn-RS"/>
              </w:rPr>
            </w:pPr>
            <w:r w:rsidRPr="001F40F6">
              <w:rPr>
                <w:sz w:val="18"/>
                <w:szCs w:val="18"/>
                <w:lang w:val="sr-Latn-RS"/>
              </w:rPr>
              <w:t>a. Excluding the bias unit</w:t>
            </w:r>
          </w:p>
        </w:tc>
      </w:tr>
    </w:tbl>
    <w:p w14:paraId="2FB3E611" w14:textId="285894B4" w:rsidR="00F87A5C" w:rsidRDefault="00F87A5C" w:rsidP="00BA520B">
      <w:pPr>
        <w:pStyle w:val="Caption"/>
        <w:spacing w:before="360"/>
        <w:jc w:val="both"/>
        <w:rPr>
          <w:lang w:val="sr-Latn-RS"/>
        </w:rPr>
      </w:pPr>
      <w:bookmarkStart w:id="600" w:name="_Ref98739606"/>
      <w:bookmarkStart w:id="601" w:name="_Toc101274479"/>
      <w:r>
        <w:t xml:space="preserve">Table </w:t>
      </w:r>
      <w:fldSimple w:instr=" SEQ Table \* ARABIC ">
        <w:r w:rsidR="00587AF0">
          <w:rPr>
            <w:noProof/>
          </w:rPr>
          <w:t>39</w:t>
        </w:r>
      </w:fldSimple>
      <w:bookmarkEnd w:id="600"/>
      <w:r>
        <w:t>. ANN training summary at idle saddle position</w:t>
      </w:r>
      <w:bookmarkEnd w:id="601"/>
    </w:p>
    <w:tbl>
      <w:tblPr>
        <w:tblW w:w="5000" w:type="pct"/>
        <w:tblCellMar>
          <w:left w:w="0" w:type="dxa"/>
          <w:right w:w="0" w:type="dxa"/>
        </w:tblCellMar>
        <w:tblLook w:val="0000" w:firstRow="0" w:lastRow="0" w:firstColumn="0" w:lastColumn="0" w:noHBand="0" w:noVBand="0"/>
      </w:tblPr>
      <w:tblGrid>
        <w:gridCol w:w="1646"/>
        <w:gridCol w:w="4586"/>
        <w:gridCol w:w="2795"/>
      </w:tblGrid>
      <w:tr w:rsidR="000406A8" w:rsidRPr="00F87A5C" w14:paraId="46DDA9BC" w14:textId="77777777" w:rsidTr="00982E69">
        <w:trPr>
          <w:cantSplit/>
        </w:trPr>
        <w:tc>
          <w:tcPr>
            <w:tcW w:w="912" w:type="pct"/>
            <w:tcBorders>
              <w:top w:val="single" w:sz="4" w:space="0" w:color="auto"/>
              <w:bottom w:val="single" w:sz="4" w:space="0" w:color="auto"/>
            </w:tcBorders>
            <w:shd w:val="clear" w:color="auto" w:fill="auto"/>
          </w:tcPr>
          <w:p w14:paraId="0690B555" w14:textId="4F4E213B" w:rsidR="000406A8" w:rsidRPr="00F87A5C" w:rsidRDefault="000406A8" w:rsidP="00F87A5C">
            <w:pPr>
              <w:spacing w:before="0" w:after="0"/>
              <w:ind w:left="57" w:right="57"/>
              <w:rPr>
                <w:b/>
                <w:bCs/>
                <w:sz w:val="20"/>
                <w:szCs w:val="18"/>
                <w:lang w:val="sr-Latn-RS"/>
              </w:rPr>
            </w:pPr>
            <w:r>
              <w:rPr>
                <w:b/>
                <w:bCs/>
                <w:sz w:val="20"/>
                <w:szCs w:val="18"/>
                <w:lang w:val="sr-Latn-RS"/>
              </w:rPr>
              <w:t>Data</w:t>
            </w:r>
          </w:p>
        </w:tc>
        <w:tc>
          <w:tcPr>
            <w:tcW w:w="2540" w:type="pct"/>
            <w:tcBorders>
              <w:top w:val="single" w:sz="4" w:space="0" w:color="auto"/>
              <w:bottom w:val="single" w:sz="4" w:space="0" w:color="auto"/>
            </w:tcBorders>
            <w:shd w:val="clear" w:color="auto" w:fill="auto"/>
          </w:tcPr>
          <w:p w14:paraId="78893F83" w14:textId="470E5EFE" w:rsidR="000406A8" w:rsidRPr="000406A8" w:rsidRDefault="000406A8" w:rsidP="00F87A5C">
            <w:pPr>
              <w:spacing w:before="0" w:after="0"/>
              <w:ind w:left="57" w:right="57"/>
              <w:rPr>
                <w:b/>
                <w:bCs/>
                <w:sz w:val="20"/>
                <w:szCs w:val="18"/>
                <w:lang w:val="sr-Latn-RS"/>
              </w:rPr>
            </w:pPr>
            <w:r w:rsidRPr="000406A8">
              <w:rPr>
                <w:b/>
                <w:bCs/>
                <w:sz w:val="20"/>
                <w:szCs w:val="18"/>
                <w:lang w:val="sr-Latn-RS"/>
              </w:rPr>
              <w:t>Properties</w:t>
            </w:r>
          </w:p>
        </w:tc>
        <w:tc>
          <w:tcPr>
            <w:tcW w:w="1548" w:type="pct"/>
            <w:tcBorders>
              <w:top w:val="single" w:sz="4" w:space="0" w:color="auto"/>
              <w:bottom w:val="single" w:sz="4" w:space="0" w:color="auto"/>
            </w:tcBorders>
            <w:shd w:val="clear" w:color="auto" w:fill="auto"/>
          </w:tcPr>
          <w:p w14:paraId="4456894A" w14:textId="29AF7475" w:rsidR="000406A8" w:rsidRPr="000406A8" w:rsidRDefault="000406A8" w:rsidP="00F87A5C">
            <w:pPr>
              <w:spacing w:before="0" w:after="0"/>
              <w:ind w:left="57" w:right="57"/>
              <w:jc w:val="right"/>
              <w:rPr>
                <w:b/>
                <w:bCs/>
                <w:sz w:val="20"/>
                <w:szCs w:val="18"/>
                <w:lang w:val="sr-Latn-RS"/>
              </w:rPr>
            </w:pPr>
            <w:r w:rsidRPr="000406A8">
              <w:rPr>
                <w:b/>
                <w:bCs/>
                <w:sz w:val="20"/>
                <w:szCs w:val="18"/>
                <w:lang w:val="sr-Latn-RS"/>
              </w:rPr>
              <w:t>Values</w:t>
            </w:r>
          </w:p>
        </w:tc>
      </w:tr>
      <w:tr w:rsidR="00F87A5C" w:rsidRPr="00F87A5C" w14:paraId="2799170E" w14:textId="77777777" w:rsidTr="00982E69">
        <w:trPr>
          <w:cantSplit/>
        </w:trPr>
        <w:tc>
          <w:tcPr>
            <w:tcW w:w="912" w:type="pct"/>
            <w:vMerge w:val="restart"/>
            <w:tcBorders>
              <w:top w:val="single" w:sz="4" w:space="0" w:color="auto"/>
            </w:tcBorders>
            <w:shd w:val="clear" w:color="auto" w:fill="auto"/>
            <w:vAlign w:val="center"/>
          </w:tcPr>
          <w:p w14:paraId="24D61DFA" w14:textId="77777777" w:rsidR="00F87A5C" w:rsidRPr="00F87A5C" w:rsidRDefault="00F87A5C" w:rsidP="000406A8">
            <w:pPr>
              <w:spacing w:before="0" w:after="0"/>
              <w:ind w:left="57" w:right="57"/>
              <w:jc w:val="left"/>
              <w:rPr>
                <w:b/>
                <w:bCs/>
                <w:sz w:val="20"/>
                <w:szCs w:val="18"/>
                <w:lang w:val="sr-Latn-RS"/>
              </w:rPr>
            </w:pPr>
            <w:r w:rsidRPr="00F87A5C">
              <w:rPr>
                <w:b/>
                <w:bCs/>
                <w:sz w:val="20"/>
                <w:szCs w:val="18"/>
                <w:lang w:val="sr-Latn-RS"/>
              </w:rPr>
              <w:t>Training</w:t>
            </w:r>
          </w:p>
        </w:tc>
        <w:tc>
          <w:tcPr>
            <w:tcW w:w="2540" w:type="pct"/>
            <w:tcBorders>
              <w:top w:val="single" w:sz="4" w:space="0" w:color="auto"/>
            </w:tcBorders>
            <w:shd w:val="clear" w:color="auto" w:fill="auto"/>
            <w:vAlign w:val="center"/>
          </w:tcPr>
          <w:p w14:paraId="4548C414" w14:textId="77777777" w:rsidR="00F87A5C" w:rsidRPr="00F87A5C" w:rsidRDefault="00F87A5C" w:rsidP="000406A8">
            <w:pPr>
              <w:spacing w:before="0" w:after="0"/>
              <w:ind w:left="57" w:right="57"/>
              <w:jc w:val="left"/>
              <w:rPr>
                <w:sz w:val="20"/>
                <w:szCs w:val="18"/>
                <w:lang w:val="sr-Latn-RS"/>
              </w:rPr>
            </w:pPr>
            <w:r w:rsidRPr="00F87A5C">
              <w:rPr>
                <w:sz w:val="20"/>
                <w:szCs w:val="18"/>
                <w:lang w:val="sr-Latn-RS"/>
              </w:rPr>
              <w:t>Sum of Squares Error</w:t>
            </w:r>
          </w:p>
        </w:tc>
        <w:tc>
          <w:tcPr>
            <w:tcW w:w="1548" w:type="pct"/>
            <w:tcBorders>
              <w:top w:val="single" w:sz="4" w:space="0" w:color="auto"/>
            </w:tcBorders>
            <w:shd w:val="clear" w:color="auto" w:fill="auto"/>
          </w:tcPr>
          <w:p w14:paraId="13971F51" w14:textId="00455D99" w:rsidR="00F87A5C" w:rsidRPr="00F87A5C" w:rsidRDefault="00F87A5C" w:rsidP="00F87A5C">
            <w:pPr>
              <w:spacing w:before="0" w:after="0"/>
              <w:ind w:left="57" w:right="57"/>
              <w:jc w:val="right"/>
              <w:rPr>
                <w:sz w:val="20"/>
                <w:szCs w:val="18"/>
                <w:lang w:val="sr-Latn-RS"/>
              </w:rPr>
            </w:pPr>
            <w:r w:rsidRPr="00F87A5C">
              <w:rPr>
                <w:sz w:val="20"/>
                <w:szCs w:val="18"/>
                <w:lang w:val="sr-Latn-RS"/>
              </w:rPr>
              <w:t>2</w:t>
            </w:r>
            <w:r>
              <w:rPr>
                <w:sz w:val="20"/>
                <w:szCs w:val="18"/>
                <w:lang w:val="sr-Latn-RS"/>
              </w:rPr>
              <w:t>.</w:t>
            </w:r>
            <w:r w:rsidRPr="00F87A5C">
              <w:rPr>
                <w:sz w:val="20"/>
                <w:szCs w:val="18"/>
                <w:lang w:val="sr-Latn-RS"/>
              </w:rPr>
              <w:t>013</w:t>
            </w:r>
          </w:p>
        </w:tc>
      </w:tr>
      <w:tr w:rsidR="00F87A5C" w:rsidRPr="00F87A5C" w14:paraId="6A3E6D6A" w14:textId="77777777" w:rsidTr="000406A8">
        <w:trPr>
          <w:cantSplit/>
        </w:trPr>
        <w:tc>
          <w:tcPr>
            <w:tcW w:w="912" w:type="pct"/>
            <w:vMerge/>
            <w:shd w:val="clear" w:color="auto" w:fill="auto"/>
          </w:tcPr>
          <w:p w14:paraId="37164981" w14:textId="77777777" w:rsidR="00F87A5C" w:rsidRPr="00F87A5C" w:rsidRDefault="00F87A5C" w:rsidP="00F87A5C">
            <w:pPr>
              <w:spacing w:before="0" w:after="0"/>
              <w:ind w:left="57" w:right="57"/>
              <w:rPr>
                <w:sz w:val="20"/>
                <w:szCs w:val="18"/>
                <w:lang w:val="sr-Latn-RS"/>
              </w:rPr>
            </w:pPr>
          </w:p>
        </w:tc>
        <w:tc>
          <w:tcPr>
            <w:tcW w:w="2540" w:type="pct"/>
            <w:shd w:val="clear" w:color="auto" w:fill="auto"/>
            <w:vAlign w:val="center"/>
          </w:tcPr>
          <w:p w14:paraId="6D0EB666" w14:textId="77777777" w:rsidR="00F87A5C" w:rsidRPr="00F87A5C" w:rsidRDefault="00F87A5C" w:rsidP="000406A8">
            <w:pPr>
              <w:spacing w:before="0" w:after="0"/>
              <w:ind w:left="57" w:right="57"/>
              <w:jc w:val="left"/>
              <w:rPr>
                <w:sz w:val="20"/>
                <w:szCs w:val="18"/>
                <w:lang w:val="sr-Latn-RS"/>
              </w:rPr>
            </w:pPr>
            <w:r w:rsidRPr="00F87A5C">
              <w:rPr>
                <w:sz w:val="20"/>
                <w:szCs w:val="18"/>
                <w:lang w:val="sr-Latn-RS"/>
              </w:rPr>
              <w:t>Percent Incorrect Predictions</w:t>
            </w:r>
          </w:p>
        </w:tc>
        <w:tc>
          <w:tcPr>
            <w:tcW w:w="1548" w:type="pct"/>
            <w:shd w:val="clear" w:color="auto" w:fill="auto"/>
          </w:tcPr>
          <w:p w14:paraId="68784D68" w14:textId="57B2FB3E" w:rsidR="00F87A5C" w:rsidRPr="00F87A5C" w:rsidRDefault="00F87A5C" w:rsidP="00F87A5C">
            <w:pPr>
              <w:spacing w:before="0" w:after="0"/>
              <w:ind w:left="57" w:right="57"/>
              <w:jc w:val="right"/>
              <w:rPr>
                <w:sz w:val="20"/>
                <w:szCs w:val="18"/>
                <w:lang w:val="sr-Latn-RS"/>
              </w:rPr>
            </w:pPr>
            <w:r w:rsidRPr="00F87A5C">
              <w:rPr>
                <w:sz w:val="20"/>
                <w:szCs w:val="18"/>
                <w:lang w:val="sr-Latn-RS"/>
              </w:rPr>
              <w:t>0</w:t>
            </w:r>
            <w:r>
              <w:rPr>
                <w:sz w:val="20"/>
                <w:szCs w:val="18"/>
                <w:lang w:val="sr-Latn-RS"/>
              </w:rPr>
              <w:t>.</w:t>
            </w:r>
            <w:r w:rsidRPr="00F87A5C">
              <w:rPr>
                <w:sz w:val="20"/>
                <w:szCs w:val="18"/>
                <w:lang w:val="sr-Latn-RS"/>
              </w:rPr>
              <w:t>4%</w:t>
            </w:r>
          </w:p>
        </w:tc>
      </w:tr>
      <w:tr w:rsidR="00F87A5C" w:rsidRPr="00F87A5C" w14:paraId="6CF868FE" w14:textId="77777777" w:rsidTr="000406A8">
        <w:trPr>
          <w:cantSplit/>
        </w:trPr>
        <w:tc>
          <w:tcPr>
            <w:tcW w:w="912" w:type="pct"/>
            <w:vMerge/>
            <w:shd w:val="clear" w:color="auto" w:fill="auto"/>
          </w:tcPr>
          <w:p w14:paraId="77F86527" w14:textId="77777777" w:rsidR="00F87A5C" w:rsidRPr="00F87A5C" w:rsidRDefault="00F87A5C" w:rsidP="00F87A5C">
            <w:pPr>
              <w:spacing w:before="0" w:after="0"/>
              <w:ind w:left="57" w:right="57"/>
              <w:rPr>
                <w:sz w:val="20"/>
                <w:szCs w:val="18"/>
                <w:lang w:val="sr-Latn-RS"/>
              </w:rPr>
            </w:pPr>
          </w:p>
        </w:tc>
        <w:tc>
          <w:tcPr>
            <w:tcW w:w="2540" w:type="pct"/>
            <w:shd w:val="clear" w:color="auto" w:fill="auto"/>
            <w:vAlign w:val="center"/>
          </w:tcPr>
          <w:p w14:paraId="0F4D8DB8" w14:textId="77777777" w:rsidR="00F87A5C" w:rsidRPr="00F87A5C" w:rsidRDefault="00F87A5C" w:rsidP="000406A8">
            <w:pPr>
              <w:spacing w:before="0" w:after="0"/>
              <w:ind w:left="57" w:right="57"/>
              <w:jc w:val="left"/>
              <w:rPr>
                <w:sz w:val="20"/>
                <w:szCs w:val="18"/>
                <w:lang w:val="sr-Latn-RS"/>
              </w:rPr>
            </w:pPr>
            <w:r w:rsidRPr="00F87A5C">
              <w:rPr>
                <w:sz w:val="20"/>
                <w:szCs w:val="18"/>
                <w:lang w:val="sr-Latn-RS"/>
              </w:rPr>
              <w:t>Stopping Rule Used</w:t>
            </w:r>
          </w:p>
        </w:tc>
        <w:tc>
          <w:tcPr>
            <w:tcW w:w="1548" w:type="pct"/>
            <w:shd w:val="clear" w:color="auto" w:fill="auto"/>
          </w:tcPr>
          <w:p w14:paraId="2D428BC2" w14:textId="5B07DADC" w:rsidR="00F87A5C" w:rsidRPr="00F87A5C" w:rsidRDefault="004909B8" w:rsidP="00F87A5C">
            <w:pPr>
              <w:spacing w:before="0" w:after="0"/>
              <w:ind w:left="57" w:right="57"/>
              <w:jc w:val="right"/>
              <w:rPr>
                <w:sz w:val="20"/>
                <w:szCs w:val="18"/>
                <w:lang w:val="sr-Latn-RS"/>
              </w:rPr>
            </w:pPr>
            <w:r>
              <w:rPr>
                <w:sz w:val="20"/>
                <w:szCs w:val="18"/>
                <w:lang w:val="sr-Latn-RS"/>
              </w:rPr>
              <w:t>The m</w:t>
            </w:r>
            <w:r w:rsidR="00F87A5C" w:rsidRPr="00F87A5C">
              <w:rPr>
                <w:sz w:val="20"/>
                <w:szCs w:val="18"/>
                <w:lang w:val="sr-Latn-RS"/>
              </w:rPr>
              <w:t>aximum number of epochs (100) exceeded</w:t>
            </w:r>
          </w:p>
        </w:tc>
      </w:tr>
      <w:tr w:rsidR="00F87A5C" w:rsidRPr="00F87A5C" w14:paraId="55BDD847" w14:textId="77777777" w:rsidTr="00982E69">
        <w:trPr>
          <w:cantSplit/>
        </w:trPr>
        <w:tc>
          <w:tcPr>
            <w:tcW w:w="912" w:type="pct"/>
            <w:vMerge/>
            <w:tcBorders>
              <w:bottom w:val="single" w:sz="4" w:space="0" w:color="auto"/>
            </w:tcBorders>
            <w:shd w:val="clear" w:color="auto" w:fill="auto"/>
          </w:tcPr>
          <w:p w14:paraId="10E0B81C" w14:textId="77777777" w:rsidR="00F87A5C" w:rsidRPr="00F87A5C" w:rsidRDefault="00F87A5C" w:rsidP="00F87A5C">
            <w:pPr>
              <w:spacing w:before="0" w:after="0"/>
              <w:ind w:left="57" w:right="57"/>
              <w:rPr>
                <w:sz w:val="20"/>
                <w:szCs w:val="18"/>
                <w:lang w:val="sr-Latn-RS"/>
              </w:rPr>
            </w:pPr>
          </w:p>
        </w:tc>
        <w:tc>
          <w:tcPr>
            <w:tcW w:w="2540" w:type="pct"/>
            <w:tcBorders>
              <w:bottom w:val="single" w:sz="4" w:space="0" w:color="auto"/>
            </w:tcBorders>
            <w:shd w:val="clear" w:color="auto" w:fill="auto"/>
            <w:vAlign w:val="center"/>
          </w:tcPr>
          <w:p w14:paraId="1803C9F0" w14:textId="77777777" w:rsidR="00F87A5C" w:rsidRPr="00F87A5C" w:rsidRDefault="00F87A5C" w:rsidP="000406A8">
            <w:pPr>
              <w:spacing w:before="0" w:after="0"/>
              <w:ind w:left="57" w:right="57"/>
              <w:jc w:val="left"/>
              <w:rPr>
                <w:sz w:val="20"/>
                <w:szCs w:val="18"/>
                <w:lang w:val="sr-Latn-RS"/>
              </w:rPr>
            </w:pPr>
            <w:r w:rsidRPr="00F87A5C">
              <w:rPr>
                <w:sz w:val="20"/>
                <w:szCs w:val="18"/>
                <w:lang w:val="sr-Latn-RS"/>
              </w:rPr>
              <w:t>Training Time</w:t>
            </w:r>
          </w:p>
        </w:tc>
        <w:tc>
          <w:tcPr>
            <w:tcW w:w="1548" w:type="pct"/>
            <w:tcBorders>
              <w:bottom w:val="single" w:sz="4" w:space="0" w:color="auto"/>
            </w:tcBorders>
            <w:shd w:val="clear" w:color="auto" w:fill="auto"/>
          </w:tcPr>
          <w:p w14:paraId="6466C5C4" w14:textId="4B96C8E4" w:rsidR="00F87A5C" w:rsidRPr="00F87A5C" w:rsidRDefault="00F87A5C" w:rsidP="00F87A5C">
            <w:pPr>
              <w:spacing w:before="0" w:after="0"/>
              <w:ind w:left="57" w:right="57"/>
              <w:jc w:val="right"/>
              <w:rPr>
                <w:sz w:val="20"/>
                <w:szCs w:val="18"/>
                <w:lang w:val="sr-Latn-RS"/>
              </w:rPr>
            </w:pPr>
            <w:r w:rsidRPr="00F87A5C">
              <w:rPr>
                <w:sz w:val="20"/>
                <w:szCs w:val="18"/>
                <w:lang w:val="sr-Latn-RS"/>
              </w:rPr>
              <w:t>0:00:00</w:t>
            </w:r>
            <w:r>
              <w:rPr>
                <w:sz w:val="20"/>
                <w:szCs w:val="18"/>
                <w:lang w:val="sr-Latn-RS"/>
              </w:rPr>
              <w:t>.</w:t>
            </w:r>
            <w:r w:rsidRPr="00F87A5C">
              <w:rPr>
                <w:sz w:val="20"/>
                <w:szCs w:val="18"/>
                <w:lang w:val="sr-Latn-RS"/>
              </w:rPr>
              <w:t>07</w:t>
            </w:r>
          </w:p>
        </w:tc>
      </w:tr>
      <w:tr w:rsidR="00F87A5C" w:rsidRPr="00F87A5C" w14:paraId="1379E5BD" w14:textId="77777777" w:rsidTr="00982E69">
        <w:trPr>
          <w:cantSplit/>
        </w:trPr>
        <w:tc>
          <w:tcPr>
            <w:tcW w:w="5000" w:type="pct"/>
            <w:gridSpan w:val="3"/>
            <w:tcBorders>
              <w:top w:val="single" w:sz="4" w:space="0" w:color="auto"/>
            </w:tcBorders>
            <w:shd w:val="clear" w:color="auto" w:fill="auto"/>
          </w:tcPr>
          <w:p w14:paraId="6F1F0118" w14:textId="77777777" w:rsidR="00F87A5C" w:rsidRPr="00F87A5C" w:rsidRDefault="00F87A5C" w:rsidP="00F87A5C">
            <w:pPr>
              <w:spacing w:before="0" w:after="0"/>
              <w:ind w:left="57" w:right="57"/>
              <w:jc w:val="left"/>
              <w:rPr>
                <w:sz w:val="20"/>
                <w:szCs w:val="18"/>
                <w:lang w:val="sr-Latn-RS"/>
              </w:rPr>
            </w:pPr>
            <w:r w:rsidRPr="00F87A5C">
              <w:rPr>
                <w:sz w:val="18"/>
                <w:szCs w:val="16"/>
                <w:lang w:val="sr-Latn-RS"/>
              </w:rPr>
              <w:t>Dependent Variable: Degradation_IS</w:t>
            </w:r>
          </w:p>
        </w:tc>
      </w:tr>
    </w:tbl>
    <w:p w14:paraId="1834B713" w14:textId="77777777" w:rsidR="00F1763B" w:rsidRPr="00F1763B" w:rsidRDefault="00F1763B" w:rsidP="00F1763B">
      <w:pPr>
        <w:autoSpaceDE w:val="0"/>
        <w:autoSpaceDN w:val="0"/>
        <w:adjustRightInd w:val="0"/>
        <w:spacing w:before="0" w:after="0" w:line="400" w:lineRule="atLeast"/>
        <w:jc w:val="left"/>
        <w:rPr>
          <w:rFonts w:ascii="Times New Roman" w:hAnsi="Times New Roman" w:cs="Times New Roman"/>
          <w:szCs w:val="24"/>
          <w:lang w:val="sr-Latn-RS"/>
        </w:rPr>
      </w:pPr>
    </w:p>
    <w:p w14:paraId="3E2BF56D" w14:textId="77777777" w:rsidR="00C23BE9" w:rsidRDefault="00C23BE9" w:rsidP="00C23BE9">
      <w:pPr>
        <w:keepNext/>
        <w:autoSpaceDE w:val="0"/>
        <w:autoSpaceDN w:val="0"/>
        <w:adjustRightInd w:val="0"/>
        <w:spacing w:before="0" w:after="0"/>
        <w:jc w:val="left"/>
      </w:pPr>
      <w:r>
        <w:rPr>
          <w:rFonts w:ascii="Times New Roman" w:hAnsi="Times New Roman" w:cs="Times New Roman"/>
          <w:noProof/>
          <w:szCs w:val="24"/>
          <w:lang w:val="sr-Latn-RS"/>
        </w:rPr>
        <w:drawing>
          <wp:inline distT="0" distB="0" distL="0" distR="0" wp14:anchorId="4E33387E" wp14:editId="6194B1F8">
            <wp:extent cx="5589564" cy="7291449"/>
            <wp:effectExtent l="0" t="0" r="0" b="5080"/>
            <wp:docPr id="159" name="Picture 1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Diagram&#10;&#10;Description automatically generated"/>
                    <pic:cNvPicPr>
                      <a:picLocks noChangeAspect="1" noChangeArrowheads="1"/>
                    </pic:cNvPicPr>
                  </pic:nvPicPr>
                  <pic:blipFill rotWithShape="1">
                    <a:blip r:embed="rId140">
                      <a:extLst>
                        <a:ext uri="{28A0092B-C50C-407E-A947-70E740481C1C}">
                          <a14:useLocalDpi xmlns:a14="http://schemas.microsoft.com/office/drawing/2010/main" val="0"/>
                        </a:ext>
                      </a:extLst>
                    </a:blip>
                    <a:srcRect t="5179" b="6495"/>
                    <a:stretch/>
                  </pic:blipFill>
                  <pic:spPr bwMode="auto">
                    <a:xfrm>
                      <a:off x="0" y="0"/>
                      <a:ext cx="5589905" cy="7291894"/>
                    </a:xfrm>
                    <a:prstGeom prst="rect">
                      <a:avLst/>
                    </a:prstGeom>
                    <a:noFill/>
                    <a:ln>
                      <a:noFill/>
                    </a:ln>
                    <a:extLst>
                      <a:ext uri="{53640926-AAD7-44D8-BBD7-CCE9431645EC}">
                        <a14:shadowObscured xmlns:a14="http://schemas.microsoft.com/office/drawing/2010/main"/>
                      </a:ext>
                    </a:extLst>
                  </pic:spPr>
                </pic:pic>
              </a:graphicData>
            </a:graphic>
          </wp:inline>
        </w:drawing>
      </w:r>
    </w:p>
    <w:p w14:paraId="1E0B1A22" w14:textId="59B941E0" w:rsidR="00C23BE9" w:rsidRPr="00C23BE9" w:rsidRDefault="00C23BE9" w:rsidP="00C23BE9">
      <w:pPr>
        <w:pStyle w:val="Caption"/>
      </w:pPr>
      <w:bookmarkStart w:id="602" w:name="_Ref98746102"/>
      <w:bookmarkStart w:id="603" w:name="_Toc101274626"/>
      <w:r>
        <w:t xml:space="preserve">Figure </w:t>
      </w:r>
      <w:fldSimple w:instr=" SEQ Figure \* ARABIC ">
        <w:r w:rsidR="00587AF0">
          <w:rPr>
            <w:noProof/>
          </w:rPr>
          <w:t>104</w:t>
        </w:r>
      </w:fldSimple>
      <w:bookmarkEnd w:id="602"/>
      <w:r>
        <w:t xml:space="preserve">. </w:t>
      </w:r>
      <w:r w:rsidR="00617B16" w:rsidRPr="00617B16">
        <w:t xml:space="preserve">Multilayer perceptron artificial neural network of </w:t>
      </w:r>
      <w:r w:rsidR="00F5373B">
        <w:t xml:space="preserve">the </w:t>
      </w:r>
      <w:r w:rsidR="00617B16">
        <w:t>idle</w:t>
      </w:r>
      <w:r w:rsidR="00617B16" w:rsidRPr="00617B16">
        <w:t xml:space="preserve"> saddle with syn</w:t>
      </w:r>
      <w:r w:rsidR="00F5373B">
        <w:t>apt</w:t>
      </w:r>
      <w:r w:rsidR="00617B16" w:rsidRPr="00617B16">
        <w:t xml:space="preserve">ic weights &gt; 0 (blue lines) and synoptic weight &lt; 0 (grey lines) with sigmoid activation function for hidden </w:t>
      </w:r>
      <w:r w:rsidR="00617B16">
        <w:t xml:space="preserve">layers </w:t>
      </w:r>
      <w:r w:rsidR="00617B16" w:rsidRPr="00617B16">
        <w:t xml:space="preserve">and </w:t>
      </w:r>
      <w:r w:rsidR="00617B16">
        <w:t xml:space="preserve">sigmoid activation function for </w:t>
      </w:r>
      <w:r w:rsidR="00F5373B">
        <w:t xml:space="preserve">the </w:t>
      </w:r>
      <w:r w:rsidR="00617B16" w:rsidRPr="00617B16">
        <w:t>output layer</w:t>
      </w:r>
      <w:bookmarkEnd w:id="603"/>
    </w:p>
    <w:p w14:paraId="4E8E97DA" w14:textId="4EA9AC08" w:rsidR="00D426A5" w:rsidRDefault="00A65BCE" w:rsidP="00A65BCE">
      <w:pPr>
        <w:rPr>
          <w:lang w:val="en-GB"/>
        </w:rPr>
      </w:pPr>
      <w:r w:rsidRPr="00A65BCE">
        <w:rPr>
          <w:lang w:val="en-GB"/>
        </w:rPr>
        <w:t xml:space="preserve">The values of associated weights of given parameters in </w:t>
      </w:r>
      <w:r w:rsidR="00F5373B">
        <w:rPr>
          <w:lang w:val="en-GB"/>
        </w:rPr>
        <w:t xml:space="preserve">the </w:t>
      </w:r>
      <w:r w:rsidRPr="00A65BCE">
        <w:rPr>
          <w:lang w:val="en-GB"/>
        </w:rPr>
        <w:t>training model and the bias value are given in</w:t>
      </w:r>
      <w:r>
        <w:rPr>
          <w:lang w:val="en-GB"/>
        </w:rPr>
        <w:t xml:space="preserve"> </w:t>
      </w:r>
      <w:r>
        <w:rPr>
          <w:lang w:val="en-GB"/>
        </w:rPr>
        <w:fldChar w:fldCharType="begin"/>
      </w:r>
      <w:r>
        <w:rPr>
          <w:lang w:val="en-GB"/>
        </w:rPr>
        <w:instrText xml:space="preserve"> REF _Ref98746122 \h </w:instrText>
      </w:r>
      <w:r>
        <w:rPr>
          <w:lang w:val="en-GB"/>
        </w:rPr>
      </w:r>
      <w:r>
        <w:rPr>
          <w:lang w:val="en-GB"/>
        </w:rPr>
        <w:fldChar w:fldCharType="separate"/>
      </w:r>
      <w:r w:rsidR="00587AF0">
        <w:t xml:space="preserve">Table </w:t>
      </w:r>
      <w:r w:rsidR="00587AF0">
        <w:rPr>
          <w:noProof/>
        </w:rPr>
        <w:t>40</w:t>
      </w:r>
      <w:r>
        <w:rPr>
          <w:lang w:val="en-GB"/>
        </w:rPr>
        <w:fldChar w:fldCharType="end"/>
      </w:r>
      <w:r w:rsidRPr="00A65BCE">
        <w:rPr>
          <w:lang w:val="en-GB"/>
        </w:rPr>
        <w:t xml:space="preserve">. </w:t>
      </w:r>
      <w:r w:rsidR="00603F0B">
        <w:rPr>
          <w:lang w:val="en-GB"/>
        </w:rPr>
        <w:t>T</w:t>
      </w:r>
      <w:r w:rsidR="00F5373B">
        <w:rPr>
          <w:lang w:val="en-GB"/>
        </w:rPr>
        <w:t>he weights and biases are used to test</w:t>
      </w:r>
      <w:r w:rsidRPr="00A65BCE">
        <w:rPr>
          <w:lang w:val="en-GB"/>
        </w:rPr>
        <w:t xml:space="preserve"> the model prediction properties. The complete look of a neural network is given in </w:t>
      </w:r>
      <w:r>
        <w:rPr>
          <w:lang w:val="en-GB"/>
        </w:rPr>
        <w:fldChar w:fldCharType="begin"/>
      </w:r>
      <w:r>
        <w:rPr>
          <w:lang w:val="en-GB"/>
        </w:rPr>
        <w:instrText xml:space="preserve"> REF _Ref98746102 \h </w:instrText>
      </w:r>
      <w:r>
        <w:rPr>
          <w:lang w:val="en-GB"/>
        </w:rPr>
      </w:r>
      <w:r>
        <w:rPr>
          <w:lang w:val="en-GB"/>
        </w:rPr>
        <w:fldChar w:fldCharType="separate"/>
      </w:r>
      <w:r w:rsidR="00587AF0">
        <w:t xml:space="preserve">Figure </w:t>
      </w:r>
      <w:r w:rsidR="00587AF0">
        <w:rPr>
          <w:noProof/>
        </w:rPr>
        <w:t>104</w:t>
      </w:r>
      <w:r>
        <w:rPr>
          <w:lang w:val="en-GB"/>
        </w:rPr>
        <w:fldChar w:fldCharType="end"/>
      </w:r>
      <w:r>
        <w:rPr>
          <w:lang w:val="en-GB"/>
        </w:rPr>
        <w:t>.</w:t>
      </w:r>
    </w:p>
    <w:p w14:paraId="5DB1420A" w14:textId="77777777" w:rsidR="00343388" w:rsidRPr="007A088B" w:rsidRDefault="00343388" w:rsidP="00A65BCE">
      <w:pPr>
        <w:rPr>
          <w:lang w:val="en-GB"/>
        </w:rPr>
      </w:pPr>
    </w:p>
    <w:p w14:paraId="1FC9FD2D" w14:textId="106594A9" w:rsidR="00D426A5" w:rsidRPr="00D426A5" w:rsidRDefault="00D426A5" w:rsidP="00D426A5">
      <w:pPr>
        <w:pStyle w:val="Caption"/>
        <w:jc w:val="both"/>
        <w:rPr>
          <w:lang w:val="sr-Latn-RS"/>
        </w:rPr>
      </w:pPr>
      <w:bookmarkStart w:id="604" w:name="_Ref98746122"/>
      <w:bookmarkStart w:id="605" w:name="_Toc101274480"/>
      <w:r>
        <w:t xml:space="preserve">Table </w:t>
      </w:r>
      <w:fldSimple w:instr=" SEQ Table \* ARABIC ">
        <w:r w:rsidR="00587AF0">
          <w:rPr>
            <w:noProof/>
          </w:rPr>
          <w:t>40</w:t>
        </w:r>
      </w:fldSimple>
      <w:bookmarkEnd w:id="604"/>
      <w:r>
        <w:t xml:space="preserve">. Parameter estimates for ANN at </w:t>
      </w:r>
      <w:r w:rsidR="000E770E">
        <w:t>idle</w:t>
      </w:r>
      <w:r>
        <w:t xml:space="preserve"> saddle position</w:t>
      </w:r>
      <w:bookmarkEnd w:id="605"/>
    </w:p>
    <w:tbl>
      <w:tblPr>
        <w:tblW w:w="5000" w:type="pct"/>
        <w:tblCellMar>
          <w:left w:w="0" w:type="dxa"/>
          <w:right w:w="0" w:type="dxa"/>
        </w:tblCellMar>
        <w:tblLook w:val="0000" w:firstRow="0" w:lastRow="0" w:firstColumn="0" w:lastColumn="0" w:noHBand="0" w:noVBand="0"/>
      </w:tblPr>
      <w:tblGrid>
        <w:gridCol w:w="1014"/>
        <w:gridCol w:w="994"/>
        <w:gridCol w:w="709"/>
        <w:gridCol w:w="710"/>
        <w:gridCol w:w="710"/>
        <w:gridCol w:w="710"/>
        <w:gridCol w:w="710"/>
        <w:gridCol w:w="710"/>
        <w:gridCol w:w="719"/>
        <w:gridCol w:w="1025"/>
        <w:gridCol w:w="1016"/>
      </w:tblGrid>
      <w:tr w:rsidR="00C23BE9" w:rsidRPr="00C23BE9" w14:paraId="202A7D71" w14:textId="77777777" w:rsidTr="00260E5C">
        <w:trPr>
          <w:cantSplit/>
        </w:trPr>
        <w:tc>
          <w:tcPr>
            <w:tcW w:w="1112" w:type="pct"/>
            <w:gridSpan w:val="2"/>
            <w:vMerge w:val="restart"/>
            <w:tcBorders>
              <w:top w:val="single" w:sz="4" w:space="0" w:color="auto"/>
              <w:left w:val="nil"/>
              <w:bottom w:val="nil"/>
              <w:right w:val="nil"/>
            </w:tcBorders>
            <w:shd w:val="clear" w:color="auto" w:fill="auto"/>
            <w:vAlign w:val="center"/>
          </w:tcPr>
          <w:p w14:paraId="43BB5BF0" w14:textId="77777777" w:rsidR="00C23BE9" w:rsidRPr="00796C5A" w:rsidRDefault="00C23BE9" w:rsidP="007B1C88">
            <w:pPr>
              <w:spacing w:before="0" w:after="0"/>
              <w:ind w:left="57" w:right="57"/>
              <w:jc w:val="left"/>
              <w:rPr>
                <w:b/>
                <w:bCs/>
                <w:sz w:val="16"/>
                <w:szCs w:val="16"/>
                <w:lang w:val="sr-Latn-RS"/>
              </w:rPr>
            </w:pPr>
            <w:r w:rsidRPr="00796C5A">
              <w:rPr>
                <w:b/>
                <w:bCs/>
                <w:sz w:val="16"/>
                <w:szCs w:val="16"/>
                <w:lang w:val="sr-Latn-RS"/>
              </w:rPr>
              <w:t>Predictor</w:t>
            </w:r>
          </w:p>
        </w:tc>
        <w:tc>
          <w:tcPr>
            <w:tcW w:w="3888" w:type="pct"/>
            <w:gridSpan w:val="9"/>
            <w:tcBorders>
              <w:top w:val="single" w:sz="4" w:space="0" w:color="auto"/>
              <w:left w:val="nil"/>
              <w:bottom w:val="nil"/>
              <w:right w:val="nil"/>
            </w:tcBorders>
            <w:shd w:val="clear" w:color="auto" w:fill="auto"/>
            <w:vAlign w:val="bottom"/>
          </w:tcPr>
          <w:p w14:paraId="05C2E07B" w14:textId="77777777" w:rsidR="00C23BE9" w:rsidRPr="00796C5A" w:rsidRDefault="00C23BE9" w:rsidP="007B1C88">
            <w:pPr>
              <w:spacing w:before="0" w:after="0"/>
              <w:ind w:left="57" w:right="57"/>
              <w:jc w:val="center"/>
              <w:rPr>
                <w:b/>
                <w:bCs/>
                <w:sz w:val="16"/>
                <w:szCs w:val="16"/>
                <w:lang w:val="sr-Latn-RS"/>
              </w:rPr>
            </w:pPr>
            <w:r w:rsidRPr="00796C5A">
              <w:rPr>
                <w:b/>
                <w:bCs/>
                <w:sz w:val="16"/>
                <w:szCs w:val="16"/>
                <w:lang w:val="sr-Latn-RS"/>
              </w:rPr>
              <w:t>Predicted</w:t>
            </w:r>
          </w:p>
        </w:tc>
      </w:tr>
      <w:tr w:rsidR="00C23BE9" w:rsidRPr="00C23BE9" w14:paraId="0D7210ED" w14:textId="77777777" w:rsidTr="00A1076D">
        <w:trPr>
          <w:cantSplit/>
        </w:trPr>
        <w:tc>
          <w:tcPr>
            <w:tcW w:w="1112" w:type="pct"/>
            <w:gridSpan w:val="2"/>
            <w:vMerge/>
            <w:tcBorders>
              <w:top w:val="nil"/>
              <w:left w:val="nil"/>
              <w:bottom w:val="nil"/>
              <w:right w:val="nil"/>
            </w:tcBorders>
            <w:shd w:val="clear" w:color="auto" w:fill="auto"/>
            <w:vAlign w:val="bottom"/>
          </w:tcPr>
          <w:p w14:paraId="191B18B7" w14:textId="77777777" w:rsidR="00C23BE9" w:rsidRPr="00796C5A" w:rsidRDefault="00C23BE9" w:rsidP="00C23BE9">
            <w:pPr>
              <w:spacing w:before="0" w:after="0"/>
              <w:ind w:left="57" w:right="57"/>
              <w:rPr>
                <w:b/>
                <w:bCs/>
                <w:sz w:val="16"/>
                <w:szCs w:val="16"/>
                <w:lang w:val="sr-Latn-RS"/>
              </w:rPr>
            </w:pPr>
          </w:p>
        </w:tc>
        <w:tc>
          <w:tcPr>
            <w:tcW w:w="2756" w:type="pct"/>
            <w:gridSpan w:val="7"/>
            <w:tcBorders>
              <w:top w:val="nil"/>
              <w:left w:val="nil"/>
              <w:bottom w:val="nil"/>
              <w:right w:val="single" w:sz="8" w:space="0" w:color="E0E0E0"/>
            </w:tcBorders>
            <w:shd w:val="clear" w:color="auto" w:fill="auto"/>
            <w:vAlign w:val="bottom"/>
          </w:tcPr>
          <w:p w14:paraId="3F8FF4F4" w14:textId="77777777" w:rsidR="00C23BE9" w:rsidRPr="00796C5A" w:rsidRDefault="00C23BE9" w:rsidP="007B1C88">
            <w:pPr>
              <w:spacing w:before="0" w:after="0"/>
              <w:ind w:left="57" w:right="57"/>
              <w:jc w:val="center"/>
              <w:rPr>
                <w:b/>
                <w:bCs/>
                <w:sz w:val="16"/>
                <w:szCs w:val="16"/>
                <w:lang w:val="sr-Latn-RS"/>
              </w:rPr>
            </w:pPr>
            <w:r w:rsidRPr="00796C5A">
              <w:rPr>
                <w:b/>
                <w:bCs/>
                <w:sz w:val="16"/>
                <w:szCs w:val="16"/>
                <w:lang w:val="sr-Latn-RS"/>
              </w:rPr>
              <w:t>Hidden Layer 1</w:t>
            </w:r>
          </w:p>
        </w:tc>
        <w:tc>
          <w:tcPr>
            <w:tcW w:w="1132" w:type="pct"/>
            <w:gridSpan w:val="2"/>
            <w:tcBorders>
              <w:top w:val="nil"/>
              <w:left w:val="single" w:sz="8" w:space="0" w:color="E0E0E0"/>
              <w:bottom w:val="nil"/>
              <w:right w:val="nil"/>
            </w:tcBorders>
            <w:shd w:val="clear" w:color="auto" w:fill="auto"/>
            <w:vAlign w:val="bottom"/>
          </w:tcPr>
          <w:p w14:paraId="10B511A1" w14:textId="77777777" w:rsidR="00C23BE9" w:rsidRPr="00796C5A" w:rsidRDefault="00C23BE9" w:rsidP="007B1C88">
            <w:pPr>
              <w:spacing w:before="0" w:after="0"/>
              <w:ind w:left="57" w:right="57"/>
              <w:jc w:val="center"/>
              <w:rPr>
                <w:b/>
                <w:bCs/>
                <w:sz w:val="16"/>
                <w:szCs w:val="16"/>
                <w:lang w:val="sr-Latn-RS"/>
              </w:rPr>
            </w:pPr>
            <w:r w:rsidRPr="00796C5A">
              <w:rPr>
                <w:b/>
                <w:bCs/>
                <w:sz w:val="16"/>
                <w:szCs w:val="16"/>
                <w:lang w:val="sr-Latn-RS"/>
              </w:rPr>
              <w:t>Output Layer</w:t>
            </w:r>
          </w:p>
        </w:tc>
      </w:tr>
      <w:tr w:rsidR="00C23BE9" w:rsidRPr="00C23BE9" w14:paraId="4A657F52" w14:textId="77777777" w:rsidTr="00982E69">
        <w:trPr>
          <w:cantSplit/>
        </w:trPr>
        <w:tc>
          <w:tcPr>
            <w:tcW w:w="1112" w:type="pct"/>
            <w:gridSpan w:val="2"/>
            <w:vMerge/>
            <w:tcBorders>
              <w:top w:val="nil"/>
              <w:left w:val="nil"/>
              <w:bottom w:val="single" w:sz="4" w:space="0" w:color="auto"/>
              <w:right w:val="nil"/>
            </w:tcBorders>
            <w:shd w:val="clear" w:color="auto" w:fill="auto"/>
            <w:vAlign w:val="bottom"/>
          </w:tcPr>
          <w:p w14:paraId="6C0019DB" w14:textId="77777777" w:rsidR="00C23BE9" w:rsidRPr="00C23BE9" w:rsidRDefault="00C23BE9" w:rsidP="00C23BE9">
            <w:pPr>
              <w:spacing w:before="0" w:after="0"/>
              <w:ind w:left="57" w:right="57"/>
              <w:rPr>
                <w:sz w:val="16"/>
                <w:szCs w:val="16"/>
                <w:lang w:val="sr-Latn-RS"/>
              </w:rPr>
            </w:pPr>
          </w:p>
        </w:tc>
        <w:tc>
          <w:tcPr>
            <w:tcW w:w="393" w:type="pct"/>
            <w:tcBorders>
              <w:top w:val="nil"/>
              <w:left w:val="nil"/>
              <w:bottom w:val="single" w:sz="4" w:space="0" w:color="auto"/>
              <w:right w:val="single" w:sz="8" w:space="0" w:color="E0E0E0"/>
            </w:tcBorders>
            <w:shd w:val="clear" w:color="auto" w:fill="auto"/>
            <w:vAlign w:val="bottom"/>
          </w:tcPr>
          <w:p w14:paraId="5AECC484" w14:textId="77777777" w:rsidR="00C23BE9" w:rsidRPr="00796C5A" w:rsidRDefault="00C23BE9" w:rsidP="007B1C88">
            <w:pPr>
              <w:spacing w:before="0" w:after="0"/>
              <w:ind w:left="57" w:right="57"/>
              <w:jc w:val="center"/>
              <w:rPr>
                <w:b/>
                <w:bCs/>
                <w:sz w:val="16"/>
                <w:szCs w:val="16"/>
                <w:lang w:val="sr-Latn-RS"/>
              </w:rPr>
            </w:pPr>
            <w:r w:rsidRPr="00796C5A">
              <w:rPr>
                <w:b/>
                <w:bCs/>
                <w:sz w:val="16"/>
                <w:szCs w:val="16"/>
                <w:lang w:val="sr-Latn-RS"/>
              </w:rPr>
              <w:t>H(1:1)</w:t>
            </w:r>
          </w:p>
        </w:tc>
        <w:tc>
          <w:tcPr>
            <w:tcW w:w="393" w:type="pct"/>
            <w:tcBorders>
              <w:top w:val="nil"/>
              <w:left w:val="single" w:sz="8" w:space="0" w:color="E0E0E0"/>
              <w:bottom w:val="single" w:sz="4" w:space="0" w:color="auto"/>
              <w:right w:val="single" w:sz="8" w:space="0" w:color="E0E0E0"/>
            </w:tcBorders>
            <w:shd w:val="clear" w:color="auto" w:fill="auto"/>
            <w:vAlign w:val="bottom"/>
          </w:tcPr>
          <w:p w14:paraId="483BF3C3" w14:textId="77777777" w:rsidR="00C23BE9" w:rsidRPr="00796C5A" w:rsidRDefault="00C23BE9" w:rsidP="007B1C88">
            <w:pPr>
              <w:spacing w:before="0" w:after="0"/>
              <w:ind w:left="57" w:right="57"/>
              <w:jc w:val="center"/>
              <w:rPr>
                <w:b/>
                <w:bCs/>
                <w:sz w:val="16"/>
                <w:szCs w:val="16"/>
                <w:lang w:val="sr-Latn-RS"/>
              </w:rPr>
            </w:pPr>
            <w:r w:rsidRPr="00796C5A">
              <w:rPr>
                <w:b/>
                <w:bCs/>
                <w:sz w:val="16"/>
                <w:szCs w:val="16"/>
                <w:lang w:val="sr-Latn-RS"/>
              </w:rPr>
              <w:t>H(1:2)</w:t>
            </w:r>
          </w:p>
        </w:tc>
        <w:tc>
          <w:tcPr>
            <w:tcW w:w="393" w:type="pct"/>
            <w:tcBorders>
              <w:top w:val="nil"/>
              <w:left w:val="single" w:sz="8" w:space="0" w:color="E0E0E0"/>
              <w:bottom w:val="single" w:sz="4" w:space="0" w:color="auto"/>
              <w:right w:val="single" w:sz="8" w:space="0" w:color="E0E0E0"/>
            </w:tcBorders>
            <w:shd w:val="clear" w:color="auto" w:fill="auto"/>
            <w:vAlign w:val="bottom"/>
          </w:tcPr>
          <w:p w14:paraId="3F036AB0" w14:textId="77777777" w:rsidR="00C23BE9" w:rsidRPr="00796C5A" w:rsidRDefault="00C23BE9" w:rsidP="007B1C88">
            <w:pPr>
              <w:spacing w:before="0" w:after="0"/>
              <w:ind w:left="57" w:right="57"/>
              <w:jc w:val="center"/>
              <w:rPr>
                <w:b/>
                <w:bCs/>
                <w:sz w:val="16"/>
                <w:szCs w:val="16"/>
                <w:lang w:val="sr-Latn-RS"/>
              </w:rPr>
            </w:pPr>
            <w:r w:rsidRPr="00796C5A">
              <w:rPr>
                <w:b/>
                <w:bCs/>
                <w:sz w:val="16"/>
                <w:szCs w:val="16"/>
                <w:lang w:val="sr-Latn-RS"/>
              </w:rPr>
              <w:t>H(1:3)</w:t>
            </w:r>
          </w:p>
        </w:tc>
        <w:tc>
          <w:tcPr>
            <w:tcW w:w="393" w:type="pct"/>
            <w:tcBorders>
              <w:top w:val="nil"/>
              <w:left w:val="single" w:sz="8" w:space="0" w:color="E0E0E0"/>
              <w:bottom w:val="single" w:sz="4" w:space="0" w:color="auto"/>
              <w:right w:val="single" w:sz="8" w:space="0" w:color="E0E0E0"/>
            </w:tcBorders>
            <w:shd w:val="clear" w:color="auto" w:fill="auto"/>
            <w:vAlign w:val="bottom"/>
          </w:tcPr>
          <w:p w14:paraId="0120BC88" w14:textId="77777777" w:rsidR="00C23BE9" w:rsidRPr="00796C5A" w:rsidRDefault="00C23BE9" w:rsidP="007B1C88">
            <w:pPr>
              <w:spacing w:before="0" w:after="0"/>
              <w:ind w:left="57" w:right="57"/>
              <w:jc w:val="center"/>
              <w:rPr>
                <w:b/>
                <w:bCs/>
                <w:sz w:val="16"/>
                <w:szCs w:val="16"/>
                <w:lang w:val="sr-Latn-RS"/>
              </w:rPr>
            </w:pPr>
            <w:r w:rsidRPr="00796C5A">
              <w:rPr>
                <w:b/>
                <w:bCs/>
                <w:sz w:val="16"/>
                <w:szCs w:val="16"/>
                <w:lang w:val="sr-Latn-RS"/>
              </w:rPr>
              <w:t>H(1:4)</w:t>
            </w:r>
          </w:p>
        </w:tc>
        <w:tc>
          <w:tcPr>
            <w:tcW w:w="393" w:type="pct"/>
            <w:tcBorders>
              <w:top w:val="nil"/>
              <w:left w:val="single" w:sz="8" w:space="0" w:color="E0E0E0"/>
              <w:bottom w:val="single" w:sz="4" w:space="0" w:color="auto"/>
              <w:right w:val="single" w:sz="8" w:space="0" w:color="E0E0E0"/>
            </w:tcBorders>
            <w:shd w:val="clear" w:color="auto" w:fill="auto"/>
            <w:vAlign w:val="bottom"/>
          </w:tcPr>
          <w:p w14:paraId="5FED51AC" w14:textId="77777777" w:rsidR="00C23BE9" w:rsidRPr="00796C5A" w:rsidRDefault="00C23BE9" w:rsidP="007B1C88">
            <w:pPr>
              <w:spacing w:before="0" w:after="0"/>
              <w:ind w:left="57" w:right="57"/>
              <w:jc w:val="center"/>
              <w:rPr>
                <w:b/>
                <w:bCs/>
                <w:sz w:val="16"/>
                <w:szCs w:val="16"/>
                <w:lang w:val="sr-Latn-RS"/>
              </w:rPr>
            </w:pPr>
            <w:r w:rsidRPr="00796C5A">
              <w:rPr>
                <w:b/>
                <w:bCs/>
                <w:sz w:val="16"/>
                <w:szCs w:val="16"/>
                <w:lang w:val="sr-Latn-RS"/>
              </w:rPr>
              <w:t>H(1:5)</w:t>
            </w:r>
          </w:p>
        </w:tc>
        <w:tc>
          <w:tcPr>
            <w:tcW w:w="393" w:type="pct"/>
            <w:tcBorders>
              <w:top w:val="nil"/>
              <w:left w:val="single" w:sz="8" w:space="0" w:color="E0E0E0"/>
              <w:bottom w:val="single" w:sz="4" w:space="0" w:color="auto"/>
              <w:right w:val="single" w:sz="8" w:space="0" w:color="E0E0E0"/>
            </w:tcBorders>
            <w:shd w:val="clear" w:color="auto" w:fill="auto"/>
            <w:vAlign w:val="bottom"/>
          </w:tcPr>
          <w:p w14:paraId="2E630A07" w14:textId="77777777" w:rsidR="00C23BE9" w:rsidRPr="00796C5A" w:rsidRDefault="00C23BE9" w:rsidP="007B1C88">
            <w:pPr>
              <w:spacing w:before="0" w:after="0"/>
              <w:ind w:left="57" w:right="57"/>
              <w:jc w:val="center"/>
              <w:rPr>
                <w:b/>
                <w:bCs/>
                <w:sz w:val="16"/>
                <w:szCs w:val="16"/>
                <w:lang w:val="sr-Latn-RS"/>
              </w:rPr>
            </w:pPr>
            <w:r w:rsidRPr="00796C5A">
              <w:rPr>
                <w:b/>
                <w:bCs/>
                <w:sz w:val="16"/>
                <w:szCs w:val="16"/>
                <w:lang w:val="sr-Latn-RS"/>
              </w:rPr>
              <w:t>H(1:6)</w:t>
            </w:r>
          </w:p>
        </w:tc>
        <w:tc>
          <w:tcPr>
            <w:tcW w:w="397" w:type="pct"/>
            <w:tcBorders>
              <w:top w:val="nil"/>
              <w:left w:val="single" w:sz="8" w:space="0" w:color="E0E0E0"/>
              <w:bottom w:val="single" w:sz="4" w:space="0" w:color="auto"/>
              <w:right w:val="single" w:sz="8" w:space="0" w:color="E0E0E0"/>
            </w:tcBorders>
            <w:shd w:val="clear" w:color="auto" w:fill="auto"/>
            <w:vAlign w:val="bottom"/>
          </w:tcPr>
          <w:p w14:paraId="28848BFB" w14:textId="77777777" w:rsidR="00C23BE9" w:rsidRPr="00796C5A" w:rsidRDefault="00C23BE9" w:rsidP="007B1C88">
            <w:pPr>
              <w:spacing w:before="0" w:after="0"/>
              <w:ind w:left="57" w:right="57"/>
              <w:jc w:val="center"/>
              <w:rPr>
                <w:b/>
                <w:bCs/>
                <w:sz w:val="16"/>
                <w:szCs w:val="16"/>
                <w:lang w:val="sr-Latn-RS"/>
              </w:rPr>
            </w:pPr>
            <w:r w:rsidRPr="00796C5A">
              <w:rPr>
                <w:b/>
                <w:bCs/>
                <w:sz w:val="16"/>
                <w:szCs w:val="16"/>
                <w:lang w:val="sr-Latn-RS"/>
              </w:rPr>
              <w:t>H(1:7)</w:t>
            </w:r>
          </w:p>
        </w:tc>
        <w:tc>
          <w:tcPr>
            <w:tcW w:w="568" w:type="pct"/>
            <w:tcBorders>
              <w:top w:val="nil"/>
              <w:left w:val="single" w:sz="8" w:space="0" w:color="E0E0E0"/>
              <w:bottom w:val="single" w:sz="4" w:space="0" w:color="auto"/>
              <w:right w:val="single" w:sz="8" w:space="0" w:color="E0E0E0"/>
            </w:tcBorders>
            <w:shd w:val="clear" w:color="auto" w:fill="auto"/>
            <w:vAlign w:val="bottom"/>
          </w:tcPr>
          <w:p w14:paraId="7FFAE310" w14:textId="4D1255A9" w:rsidR="00C23BE9" w:rsidRPr="00796C5A" w:rsidRDefault="00C23BE9" w:rsidP="007B1C88">
            <w:pPr>
              <w:spacing w:before="0" w:after="0"/>
              <w:ind w:left="57" w:right="57"/>
              <w:jc w:val="center"/>
              <w:rPr>
                <w:b/>
                <w:bCs/>
                <w:sz w:val="16"/>
                <w:szCs w:val="16"/>
                <w:lang w:val="sr-Latn-RS"/>
              </w:rPr>
            </w:pPr>
            <w:r w:rsidRPr="00796C5A">
              <w:rPr>
                <w:b/>
                <w:bCs/>
                <w:sz w:val="16"/>
                <w:szCs w:val="16"/>
                <w:lang w:val="sr-Latn-RS"/>
              </w:rPr>
              <w:t>None</w:t>
            </w:r>
          </w:p>
        </w:tc>
        <w:tc>
          <w:tcPr>
            <w:tcW w:w="564" w:type="pct"/>
            <w:tcBorders>
              <w:top w:val="nil"/>
              <w:left w:val="single" w:sz="8" w:space="0" w:color="E0E0E0"/>
              <w:bottom w:val="single" w:sz="4" w:space="0" w:color="auto"/>
              <w:right w:val="nil"/>
            </w:tcBorders>
            <w:shd w:val="clear" w:color="auto" w:fill="auto"/>
            <w:vAlign w:val="bottom"/>
          </w:tcPr>
          <w:p w14:paraId="56E5D692" w14:textId="0CABD541" w:rsidR="00C23BE9" w:rsidRPr="00796C5A" w:rsidRDefault="00C23BE9" w:rsidP="007B1C88">
            <w:pPr>
              <w:spacing w:before="0" w:after="0"/>
              <w:ind w:left="57" w:right="57"/>
              <w:jc w:val="center"/>
              <w:rPr>
                <w:b/>
                <w:bCs/>
                <w:sz w:val="16"/>
                <w:szCs w:val="16"/>
                <w:lang w:val="sr-Latn-RS"/>
              </w:rPr>
            </w:pPr>
            <w:r w:rsidRPr="00796C5A">
              <w:rPr>
                <w:b/>
                <w:bCs/>
                <w:sz w:val="16"/>
                <w:szCs w:val="16"/>
                <w:lang w:val="sr-Latn-RS"/>
              </w:rPr>
              <w:t>Quasi-fault</w:t>
            </w:r>
          </w:p>
        </w:tc>
      </w:tr>
      <w:tr w:rsidR="00C23BE9" w:rsidRPr="00C23BE9" w14:paraId="64D4DF35" w14:textId="77777777" w:rsidTr="00982E69">
        <w:trPr>
          <w:cantSplit/>
        </w:trPr>
        <w:tc>
          <w:tcPr>
            <w:tcW w:w="562" w:type="pct"/>
            <w:vMerge w:val="restart"/>
            <w:tcBorders>
              <w:top w:val="single" w:sz="4" w:space="0" w:color="auto"/>
              <w:left w:val="nil"/>
            </w:tcBorders>
            <w:shd w:val="clear" w:color="auto" w:fill="auto"/>
            <w:vAlign w:val="center"/>
          </w:tcPr>
          <w:p w14:paraId="32D2564A" w14:textId="77777777" w:rsidR="00C23BE9" w:rsidRPr="00C23BE9" w:rsidRDefault="00C23BE9" w:rsidP="007B1C88">
            <w:pPr>
              <w:spacing w:before="0" w:after="0"/>
              <w:ind w:left="57" w:right="57"/>
              <w:jc w:val="left"/>
              <w:rPr>
                <w:sz w:val="16"/>
                <w:szCs w:val="16"/>
                <w:lang w:val="sr-Latn-RS"/>
              </w:rPr>
            </w:pPr>
            <w:r w:rsidRPr="00C23BE9">
              <w:rPr>
                <w:sz w:val="16"/>
                <w:szCs w:val="16"/>
                <w:lang w:val="sr-Latn-RS"/>
              </w:rPr>
              <w:t>Input Layer</w:t>
            </w:r>
          </w:p>
        </w:tc>
        <w:tc>
          <w:tcPr>
            <w:tcW w:w="551" w:type="pct"/>
            <w:tcBorders>
              <w:top w:val="single" w:sz="4" w:space="0" w:color="auto"/>
            </w:tcBorders>
            <w:shd w:val="clear" w:color="auto" w:fill="auto"/>
            <w:vAlign w:val="center"/>
          </w:tcPr>
          <w:p w14:paraId="4A452521" w14:textId="77777777" w:rsidR="00C23BE9" w:rsidRPr="00C23BE9" w:rsidRDefault="00C23BE9" w:rsidP="007B1C88">
            <w:pPr>
              <w:spacing w:before="0" w:after="0"/>
              <w:ind w:left="57" w:right="57"/>
              <w:jc w:val="left"/>
              <w:rPr>
                <w:sz w:val="16"/>
                <w:szCs w:val="16"/>
                <w:lang w:val="sr-Latn-RS"/>
              </w:rPr>
            </w:pPr>
            <w:r w:rsidRPr="00C23BE9">
              <w:rPr>
                <w:sz w:val="16"/>
                <w:szCs w:val="16"/>
                <w:lang w:val="sr-Latn-RS"/>
              </w:rPr>
              <w:t>(Bias)</w:t>
            </w:r>
          </w:p>
        </w:tc>
        <w:tc>
          <w:tcPr>
            <w:tcW w:w="393" w:type="pct"/>
            <w:tcBorders>
              <w:top w:val="single" w:sz="4" w:space="0" w:color="auto"/>
            </w:tcBorders>
            <w:shd w:val="clear" w:color="auto" w:fill="auto"/>
            <w:vAlign w:val="center"/>
          </w:tcPr>
          <w:p w14:paraId="59AE516E" w14:textId="2B5DEF1D" w:rsidR="00C23BE9" w:rsidRPr="00C23BE9" w:rsidRDefault="00C23BE9" w:rsidP="007B1C88">
            <w:pPr>
              <w:spacing w:before="0" w:after="0"/>
              <w:ind w:left="57" w:right="57"/>
              <w:jc w:val="right"/>
              <w:rPr>
                <w:sz w:val="16"/>
                <w:szCs w:val="16"/>
                <w:lang w:val="sr-Latn-RS"/>
              </w:rPr>
            </w:pPr>
            <w:r w:rsidRPr="00C23BE9">
              <w:rPr>
                <w:sz w:val="16"/>
                <w:szCs w:val="16"/>
                <w:lang w:val="sr-Latn-RS"/>
              </w:rPr>
              <w:t>-1</w:t>
            </w:r>
            <w:r w:rsidR="005D0722">
              <w:rPr>
                <w:sz w:val="16"/>
                <w:szCs w:val="16"/>
                <w:lang w:val="sr-Latn-RS"/>
              </w:rPr>
              <w:t>.</w:t>
            </w:r>
            <w:r w:rsidRPr="00C23BE9">
              <w:rPr>
                <w:sz w:val="16"/>
                <w:szCs w:val="16"/>
                <w:lang w:val="sr-Latn-RS"/>
              </w:rPr>
              <w:t>257</w:t>
            </w:r>
          </w:p>
        </w:tc>
        <w:tc>
          <w:tcPr>
            <w:tcW w:w="393" w:type="pct"/>
            <w:tcBorders>
              <w:top w:val="single" w:sz="4" w:space="0" w:color="auto"/>
            </w:tcBorders>
            <w:shd w:val="clear" w:color="auto" w:fill="auto"/>
            <w:vAlign w:val="center"/>
          </w:tcPr>
          <w:p w14:paraId="0F76DF20" w14:textId="3502A529" w:rsidR="00C23BE9" w:rsidRPr="00C23BE9" w:rsidRDefault="005D0722" w:rsidP="007B1C88">
            <w:pPr>
              <w:spacing w:before="0" w:after="0"/>
              <w:ind w:left="57" w:right="57"/>
              <w:jc w:val="right"/>
              <w:rPr>
                <w:sz w:val="16"/>
                <w:szCs w:val="16"/>
                <w:lang w:val="sr-Latn-RS"/>
              </w:rPr>
            </w:pPr>
            <w:r>
              <w:rPr>
                <w:sz w:val="16"/>
                <w:szCs w:val="16"/>
                <w:lang w:val="sr-Latn-RS"/>
              </w:rPr>
              <w:t>.</w:t>
            </w:r>
            <w:r w:rsidR="00C23BE9" w:rsidRPr="00C23BE9">
              <w:rPr>
                <w:sz w:val="16"/>
                <w:szCs w:val="16"/>
                <w:lang w:val="sr-Latn-RS"/>
              </w:rPr>
              <w:t>598</w:t>
            </w:r>
          </w:p>
        </w:tc>
        <w:tc>
          <w:tcPr>
            <w:tcW w:w="393" w:type="pct"/>
            <w:tcBorders>
              <w:top w:val="single" w:sz="4" w:space="0" w:color="auto"/>
            </w:tcBorders>
            <w:shd w:val="clear" w:color="auto" w:fill="auto"/>
            <w:vAlign w:val="center"/>
          </w:tcPr>
          <w:p w14:paraId="5E5A9342" w14:textId="6EBC4715" w:rsidR="00C23BE9" w:rsidRPr="00C23BE9" w:rsidRDefault="00C23BE9" w:rsidP="007B1C88">
            <w:pPr>
              <w:spacing w:before="0" w:after="0"/>
              <w:ind w:left="57" w:right="57"/>
              <w:jc w:val="right"/>
              <w:rPr>
                <w:sz w:val="16"/>
                <w:szCs w:val="16"/>
                <w:lang w:val="sr-Latn-RS"/>
              </w:rPr>
            </w:pPr>
            <w:r w:rsidRPr="00C23BE9">
              <w:rPr>
                <w:sz w:val="16"/>
                <w:szCs w:val="16"/>
                <w:lang w:val="sr-Latn-RS"/>
              </w:rPr>
              <w:t>-2</w:t>
            </w:r>
            <w:r w:rsidR="005D0722">
              <w:rPr>
                <w:sz w:val="16"/>
                <w:szCs w:val="16"/>
                <w:lang w:val="sr-Latn-RS"/>
              </w:rPr>
              <w:t>.</w:t>
            </w:r>
            <w:r w:rsidRPr="00C23BE9">
              <w:rPr>
                <w:sz w:val="16"/>
                <w:szCs w:val="16"/>
                <w:lang w:val="sr-Latn-RS"/>
              </w:rPr>
              <w:t>377</w:t>
            </w:r>
          </w:p>
        </w:tc>
        <w:tc>
          <w:tcPr>
            <w:tcW w:w="393" w:type="pct"/>
            <w:tcBorders>
              <w:top w:val="single" w:sz="4" w:space="0" w:color="auto"/>
            </w:tcBorders>
            <w:shd w:val="clear" w:color="auto" w:fill="auto"/>
            <w:vAlign w:val="center"/>
          </w:tcPr>
          <w:p w14:paraId="53D03380" w14:textId="3D1537C0" w:rsidR="00C23BE9" w:rsidRPr="00C23BE9" w:rsidRDefault="005D0722" w:rsidP="007B1C88">
            <w:pPr>
              <w:spacing w:before="0" w:after="0"/>
              <w:ind w:left="57" w:right="57"/>
              <w:jc w:val="right"/>
              <w:rPr>
                <w:sz w:val="16"/>
                <w:szCs w:val="16"/>
                <w:lang w:val="sr-Latn-RS"/>
              </w:rPr>
            </w:pPr>
            <w:r>
              <w:rPr>
                <w:sz w:val="16"/>
                <w:szCs w:val="16"/>
                <w:lang w:val="sr-Latn-RS"/>
              </w:rPr>
              <w:t>.</w:t>
            </w:r>
            <w:r w:rsidR="00C23BE9" w:rsidRPr="00C23BE9">
              <w:rPr>
                <w:sz w:val="16"/>
                <w:szCs w:val="16"/>
                <w:lang w:val="sr-Latn-RS"/>
              </w:rPr>
              <w:t>124</w:t>
            </w:r>
          </w:p>
        </w:tc>
        <w:tc>
          <w:tcPr>
            <w:tcW w:w="393" w:type="pct"/>
            <w:tcBorders>
              <w:top w:val="single" w:sz="4" w:space="0" w:color="auto"/>
            </w:tcBorders>
            <w:shd w:val="clear" w:color="auto" w:fill="auto"/>
            <w:vAlign w:val="center"/>
          </w:tcPr>
          <w:p w14:paraId="75549E3F" w14:textId="4D5C18D5" w:rsidR="00C23BE9" w:rsidRPr="00C23BE9" w:rsidRDefault="005D0722" w:rsidP="007B1C88">
            <w:pPr>
              <w:spacing w:before="0" w:after="0"/>
              <w:ind w:left="57" w:right="57"/>
              <w:jc w:val="right"/>
              <w:rPr>
                <w:sz w:val="16"/>
                <w:szCs w:val="16"/>
                <w:lang w:val="sr-Latn-RS"/>
              </w:rPr>
            </w:pPr>
            <w:r>
              <w:rPr>
                <w:sz w:val="16"/>
                <w:szCs w:val="16"/>
                <w:lang w:val="sr-Latn-RS"/>
              </w:rPr>
              <w:t>.</w:t>
            </w:r>
            <w:r w:rsidR="00C23BE9" w:rsidRPr="00C23BE9">
              <w:rPr>
                <w:sz w:val="16"/>
                <w:szCs w:val="16"/>
                <w:lang w:val="sr-Latn-RS"/>
              </w:rPr>
              <w:t>756</w:t>
            </w:r>
          </w:p>
        </w:tc>
        <w:tc>
          <w:tcPr>
            <w:tcW w:w="393" w:type="pct"/>
            <w:tcBorders>
              <w:top w:val="single" w:sz="4" w:space="0" w:color="auto"/>
            </w:tcBorders>
            <w:shd w:val="clear" w:color="auto" w:fill="auto"/>
            <w:vAlign w:val="center"/>
          </w:tcPr>
          <w:p w14:paraId="4A47D48B" w14:textId="41C8E896" w:rsidR="00C23BE9" w:rsidRPr="00C23BE9" w:rsidRDefault="00C23BE9" w:rsidP="007B1C88">
            <w:pPr>
              <w:spacing w:before="0" w:after="0"/>
              <w:ind w:left="57" w:right="57"/>
              <w:jc w:val="right"/>
              <w:rPr>
                <w:sz w:val="16"/>
                <w:szCs w:val="16"/>
                <w:lang w:val="sr-Latn-RS"/>
              </w:rPr>
            </w:pPr>
            <w:r w:rsidRPr="00C23BE9">
              <w:rPr>
                <w:sz w:val="16"/>
                <w:szCs w:val="16"/>
                <w:lang w:val="sr-Latn-RS"/>
              </w:rPr>
              <w:t>1</w:t>
            </w:r>
            <w:r w:rsidR="005D0722">
              <w:rPr>
                <w:sz w:val="16"/>
                <w:szCs w:val="16"/>
                <w:lang w:val="sr-Latn-RS"/>
              </w:rPr>
              <w:t>.</w:t>
            </w:r>
            <w:r w:rsidRPr="00C23BE9">
              <w:rPr>
                <w:sz w:val="16"/>
                <w:szCs w:val="16"/>
                <w:lang w:val="sr-Latn-RS"/>
              </w:rPr>
              <w:t>120</w:t>
            </w:r>
          </w:p>
        </w:tc>
        <w:tc>
          <w:tcPr>
            <w:tcW w:w="397" w:type="pct"/>
            <w:tcBorders>
              <w:top w:val="single" w:sz="4" w:space="0" w:color="auto"/>
            </w:tcBorders>
            <w:shd w:val="clear" w:color="auto" w:fill="auto"/>
            <w:vAlign w:val="center"/>
          </w:tcPr>
          <w:p w14:paraId="40B1A380" w14:textId="47113EB0" w:rsidR="00C23BE9" w:rsidRPr="00C23BE9" w:rsidRDefault="005D0722" w:rsidP="007B1C88">
            <w:pPr>
              <w:spacing w:before="0" w:after="0"/>
              <w:ind w:left="57" w:right="57"/>
              <w:jc w:val="right"/>
              <w:rPr>
                <w:sz w:val="16"/>
                <w:szCs w:val="16"/>
                <w:lang w:val="sr-Latn-RS"/>
              </w:rPr>
            </w:pPr>
            <w:r>
              <w:rPr>
                <w:sz w:val="16"/>
                <w:szCs w:val="16"/>
                <w:lang w:val="sr-Latn-RS"/>
              </w:rPr>
              <w:t>.</w:t>
            </w:r>
            <w:r w:rsidR="00C23BE9" w:rsidRPr="00C23BE9">
              <w:rPr>
                <w:sz w:val="16"/>
                <w:szCs w:val="16"/>
                <w:lang w:val="sr-Latn-RS"/>
              </w:rPr>
              <w:t>122</w:t>
            </w:r>
          </w:p>
        </w:tc>
        <w:tc>
          <w:tcPr>
            <w:tcW w:w="568" w:type="pct"/>
            <w:tcBorders>
              <w:top w:val="single" w:sz="4" w:space="0" w:color="auto"/>
            </w:tcBorders>
            <w:shd w:val="clear" w:color="auto" w:fill="auto"/>
            <w:vAlign w:val="center"/>
          </w:tcPr>
          <w:p w14:paraId="79DA3884" w14:textId="77777777" w:rsidR="00C23BE9" w:rsidRPr="00C23BE9" w:rsidRDefault="00C23BE9" w:rsidP="005D0722">
            <w:pPr>
              <w:spacing w:before="0" w:after="0"/>
              <w:ind w:left="57" w:right="57"/>
              <w:jc w:val="right"/>
              <w:rPr>
                <w:rFonts w:cs="Times New Roman"/>
                <w:sz w:val="16"/>
                <w:szCs w:val="16"/>
                <w:lang w:val="sr-Latn-RS"/>
              </w:rPr>
            </w:pPr>
          </w:p>
        </w:tc>
        <w:tc>
          <w:tcPr>
            <w:tcW w:w="564" w:type="pct"/>
            <w:tcBorders>
              <w:top w:val="single" w:sz="4" w:space="0" w:color="auto"/>
              <w:right w:val="nil"/>
            </w:tcBorders>
            <w:shd w:val="clear" w:color="auto" w:fill="auto"/>
            <w:vAlign w:val="center"/>
          </w:tcPr>
          <w:p w14:paraId="43B72A0C" w14:textId="77777777" w:rsidR="00C23BE9" w:rsidRPr="00C23BE9" w:rsidRDefault="00C23BE9" w:rsidP="005D0722">
            <w:pPr>
              <w:spacing w:before="0" w:after="0"/>
              <w:ind w:left="57" w:right="57"/>
              <w:jc w:val="right"/>
              <w:rPr>
                <w:rFonts w:cs="Times New Roman"/>
                <w:sz w:val="16"/>
                <w:szCs w:val="16"/>
                <w:lang w:val="sr-Latn-RS"/>
              </w:rPr>
            </w:pPr>
          </w:p>
        </w:tc>
      </w:tr>
      <w:tr w:rsidR="00C23BE9" w:rsidRPr="00C23BE9" w14:paraId="4FDAF066" w14:textId="77777777" w:rsidTr="00A1076D">
        <w:trPr>
          <w:cantSplit/>
        </w:trPr>
        <w:tc>
          <w:tcPr>
            <w:tcW w:w="562" w:type="pct"/>
            <w:vMerge/>
            <w:tcBorders>
              <w:left w:val="nil"/>
            </w:tcBorders>
            <w:shd w:val="clear" w:color="auto" w:fill="auto"/>
            <w:vAlign w:val="center"/>
          </w:tcPr>
          <w:p w14:paraId="5583CDB8" w14:textId="77777777" w:rsidR="00C23BE9" w:rsidRPr="00C23BE9" w:rsidRDefault="00C23BE9" w:rsidP="007B1C88">
            <w:pPr>
              <w:spacing w:before="0" w:after="0"/>
              <w:ind w:left="57" w:right="57"/>
              <w:jc w:val="left"/>
              <w:rPr>
                <w:rFonts w:cs="Times New Roman"/>
                <w:sz w:val="16"/>
                <w:szCs w:val="16"/>
                <w:lang w:val="sr-Latn-RS"/>
              </w:rPr>
            </w:pPr>
          </w:p>
        </w:tc>
        <w:tc>
          <w:tcPr>
            <w:tcW w:w="551" w:type="pct"/>
            <w:shd w:val="clear" w:color="auto" w:fill="auto"/>
            <w:vAlign w:val="center"/>
          </w:tcPr>
          <w:p w14:paraId="3C77E10A" w14:textId="77777777" w:rsidR="00C23BE9" w:rsidRPr="00C23BE9" w:rsidRDefault="00C23BE9" w:rsidP="007B1C88">
            <w:pPr>
              <w:spacing w:before="0" w:after="0"/>
              <w:ind w:left="57" w:right="57"/>
              <w:jc w:val="left"/>
              <w:rPr>
                <w:sz w:val="16"/>
                <w:szCs w:val="16"/>
                <w:lang w:val="sr-Latn-RS"/>
              </w:rPr>
            </w:pPr>
            <w:r w:rsidRPr="00C23BE9">
              <w:rPr>
                <w:sz w:val="16"/>
                <w:szCs w:val="16"/>
                <w:lang w:val="sr-Latn-RS"/>
              </w:rPr>
              <w:t>HS_idle_time</w:t>
            </w:r>
          </w:p>
        </w:tc>
        <w:tc>
          <w:tcPr>
            <w:tcW w:w="393" w:type="pct"/>
            <w:shd w:val="clear" w:color="auto" w:fill="auto"/>
            <w:vAlign w:val="center"/>
          </w:tcPr>
          <w:p w14:paraId="5E010443" w14:textId="16A2AAC6" w:rsidR="00C23BE9" w:rsidRPr="00C23BE9" w:rsidRDefault="00C23BE9" w:rsidP="007B1C88">
            <w:pPr>
              <w:spacing w:before="0" w:after="0"/>
              <w:ind w:left="57" w:right="57"/>
              <w:jc w:val="right"/>
              <w:rPr>
                <w:sz w:val="16"/>
                <w:szCs w:val="16"/>
                <w:lang w:val="sr-Latn-RS"/>
              </w:rPr>
            </w:pPr>
            <w:r w:rsidRPr="00C23BE9">
              <w:rPr>
                <w:sz w:val="16"/>
                <w:szCs w:val="16"/>
                <w:lang w:val="sr-Latn-RS"/>
              </w:rPr>
              <w:t>-</w:t>
            </w:r>
            <w:r w:rsidR="005D0722">
              <w:rPr>
                <w:sz w:val="16"/>
                <w:szCs w:val="16"/>
                <w:lang w:val="sr-Latn-RS"/>
              </w:rPr>
              <w:t>.</w:t>
            </w:r>
            <w:r w:rsidRPr="00C23BE9">
              <w:rPr>
                <w:sz w:val="16"/>
                <w:szCs w:val="16"/>
                <w:lang w:val="sr-Latn-RS"/>
              </w:rPr>
              <w:t>178</w:t>
            </w:r>
          </w:p>
        </w:tc>
        <w:tc>
          <w:tcPr>
            <w:tcW w:w="393" w:type="pct"/>
            <w:shd w:val="clear" w:color="auto" w:fill="auto"/>
            <w:vAlign w:val="center"/>
          </w:tcPr>
          <w:p w14:paraId="680D710E" w14:textId="7A1BBEB0" w:rsidR="00C23BE9" w:rsidRPr="00C23BE9" w:rsidRDefault="005D0722" w:rsidP="007B1C88">
            <w:pPr>
              <w:spacing w:before="0" w:after="0"/>
              <w:ind w:left="57" w:right="57"/>
              <w:jc w:val="right"/>
              <w:rPr>
                <w:sz w:val="16"/>
                <w:szCs w:val="16"/>
                <w:lang w:val="sr-Latn-RS"/>
              </w:rPr>
            </w:pPr>
            <w:r>
              <w:rPr>
                <w:sz w:val="16"/>
                <w:szCs w:val="16"/>
                <w:lang w:val="sr-Latn-RS"/>
              </w:rPr>
              <w:t>.</w:t>
            </w:r>
            <w:r w:rsidR="00C23BE9" w:rsidRPr="00C23BE9">
              <w:rPr>
                <w:sz w:val="16"/>
                <w:szCs w:val="16"/>
                <w:lang w:val="sr-Latn-RS"/>
              </w:rPr>
              <w:t>925</w:t>
            </w:r>
          </w:p>
        </w:tc>
        <w:tc>
          <w:tcPr>
            <w:tcW w:w="393" w:type="pct"/>
            <w:shd w:val="clear" w:color="auto" w:fill="auto"/>
            <w:vAlign w:val="center"/>
          </w:tcPr>
          <w:p w14:paraId="66B70372" w14:textId="6B865DA7" w:rsidR="00C23BE9" w:rsidRPr="00C23BE9" w:rsidRDefault="00C23BE9" w:rsidP="007B1C88">
            <w:pPr>
              <w:spacing w:before="0" w:after="0"/>
              <w:ind w:left="57" w:right="57"/>
              <w:jc w:val="right"/>
              <w:rPr>
                <w:sz w:val="16"/>
                <w:szCs w:val="16"/>
                <w:lang w:val="sr-Latn-RS"/>
              </w:rPr>
            </w:pPr>
            <w:r w:rsidRPr="00C23BE9">
              <w:rPr>
                <w:sz w:val="16"/>
                <w:szCs w:val="16"/>
                <w:lang w:val="sr-Latn-RS"/>
              </w:rPr>
              <w:t>-3</w:t>
            </w:r>
            <w:r w:rsidR="005D0722">
              <w:rPr>
                <w:sz w:val="16"/>
                <w:szCs w:val="16"/>
                <w:lang w:val="sr-Latn-RS"/>
              </w:rPr>
              <w:t>.</w:t>
            </w:r>
            <w:r w:rsidRPr="00C23BE9">
              <w:rPr>
                <w:sz w:val="16"/>
                <w:szCs w:val="16"/>
                <w:lang w:val="sr-Latn-RS"/>
              </w:rPr>
              <w:t>159</w:t>
            </w:r>
          </w:p>
        </w:tc>
        <w:tc>
          <w:tcPr>
            <w:tcW w:w="393" w:type="pct"/>
            <w:shd w:val="clear" w:color="auto" w:fill="auto"/>
            <w:vAlign w:val="center"/>
          </w:tcPr>
          <w:p w14:paraId="160C12B2" w14:textId="1DDC9D6A" w:rsidR="00C23BE9" w:rsidRPr="00C23BE9" w:rsidRDefault="00C23BE9" w:rsidP="007B1C88">
            <w:pPr>
              <w:spacing w:before="0" w:after="0"/>
              <w:ind w:left="57" w:right="57"/>
              <w:jc w:val="right"/>
              <w:rPr>
                <w:sz w:val="16"/>
                <w:szCs w:val="16"/>
                <w:lang w:val="sr-Latn-RS"/>
              </w:rPr>
            </w:pPr>
            <w:r w:rsidRPr="00C23BE9">
              <w:rPr>
                <w:sz w:val="16"/>
                <w:szCs w:val="16"/>
                <w:lang w:val="sr-Latn-RS"/>
              </w:rPr>
              <w:t>3</w:t>
            </w:r>
            <w:r w:rsidR="005D0722">
              <w:rPr>
                <w:sz w:val="16"/>
                <w:szCs w:val="16"/>
                <w:lang w:val="sr-Latn-RS"/>
              </w:rPr>
              <w:t>.</w:t>
            </w:r>
            <w:r w:rsidRPr="00C23BE9">
              <w:rPr>
                <w:sz w:val="16"/>
                <w:szCs w:val="16"/>
                <w:lang w:val="sr-Latn-RS"/>
              </w:rPr>
              <w:t>051</w:t>
            </w:r>
          </w:p>
        </w:tc>
        <w:tc>
          <w:tcPr>
            <w:tcW w:w="393" w:type="pct"/>
            <w:shd w:val="clear" w:color="auto" w:fill="auto"/>
            <w:vAlign w:val="center"/>
          </w:tcPr>
          <w:p w14:paraId="6835E7D1" w14:textId="2B737173" w:rsidR="00C23BE9" w:rsidRPr="00C23BE9" w:rsidRDefault="00C23BE9" w:rsidP="007B1C88">
            <w:pPr>
              <w:spacing w:before="0" w:after="0"/>
              <w:ind w:left="57" w:right="57"/>
              <w:jc w:val="right"/>
              <w:rPr>
                <w:sz w:val="16"/>
                <w:szCs w:val="16"/>
                <w:lang w:val="sr-Latn-RS"/>
              </w:rPr>
            </w:pPr>
            <w:r w:rsidRPr="00C23BE9">
              <w:rPr>
                <w:sz w:val="16"/>
                <w:szCs w:val="16"/>
                <w:lang w:val="sr-Latn-RS"/>
              </w:rPr>
              <w:t>2</w:t>
            </w:r>
            <w:r w:rsidR="005D0722">
              <w:rPr>
                <w:sz w:val="16"/>
                <w:szCs w:val="16"/>
                <w:lang w:val="sr-Latn-RS"/>
              </w:rPr>
              <w:t>.</w:t>
            </w:r>
            <w:r w:rsidRPr="00C23BE9">
              <w:rPr>
                <w:sz w:val="16"/>
                <w:szCs w:val="16"/>
                <w:lang w:val="sr-Latn-RS"/>
              </w:rPr>
              <w:t>239</w:t>
            </w:r>
          </w:p>
        </w:tc>
        <w:tc>
          <w:tcPr>
            <w:tcW w:w="393" w:type="pct"/>
            <w:shd w:val="clear" w:color="auto" w:fill="auto"/>
            <w:vAlign w:val="center"/>
          </w:tcPr>
          <w:p w14:paraId="770B1CC2" w14:textId="0F2D6805" w:rsidR="00C23BE9" w:rsidRPr="00C23BE9" w:rsidRDefault="00C23BE9" w:rsidP="007B1C88">
            <w:pPr>
              <w:spacing w:before="0" w:after="0"/>
              <w:ind w:left="57" w:right="57"/>
              <w:jc w:val="right"/>
              <w:rPr>
                <w:sz w:val="16"/>
                <w:szCs w:val="16"/>
                <w:lang w:val="sr-Latn-RS"/>
              </w:rPr>
            </w:pPr>
            <w:r w:rsidRPr="00C23BE9">
              <w:rPr>
                <w:sz w:val="16"/>
                <w:szCs w:val="16"/>
                <w:lang w:val="sr-Latn-RS"/>
              </w:rPr>
              <w:t>-</w:t>
            </w:r>
            <w:r w:rsidR="005D0722">
              <w:rPr>
                <w:sz w:val="16"/>
                <w:szCs w:val="16"/>
                <w:lang w:val="sr-Latn-RS"/>
              </w:rPr>
              <w:t>.</w:t>
            </w:r>
            <w:r w:rsidRPr="00C23BE9">
              <w:rPr>
                <w:sz w:val="16"/>
                <w:szCs w:val="16"/>
                <w:lang w:val="sr-Latn-RS"/>
              </w:rPr>
              <w:t>429</w:t>
            </w:r>
          </w:p>
        </w:tc>
        <w:tc>
          <w:tcPr>
            <w:tcW w:w="397" w:type="pct"/>
            <w:shd w:val="clear" w:color="auto" w:fill="auto"/>
            <w:vAlign w:val="center"/>
          </w:tcPr>
          <w:p w14:paraId="005B2488" w14:textId="76619F14" w:rsidR="00C23BE9" w:rsidRPr="00C23BE9" w:rsidRDefault="005D0722" w:rsidP="007B1C88">
            <w:pPr>
              <w:spacing w:before="0" w:after="0"/>
              <w:ind w:left="57" w:right="57"/>
              <w:jc w:val="right"/>
              <w:rPr>
                <w:sz w:val="16"/>
                <w:szCs w:val="16"/>
                <w:lang w:val="sr-Latn-RS"/>
              </w:rPr>
            </w:pPr>
            <w:r>
              <w:rPr>
                <w:sz w:val="16"/>
                <w:szCs w:val="16"/>
                <w:lang w:val="sr-Latn-RS"/>
              </w:rPr>
              <w:t>.</w:t>
            </w:r>
            <w:r w:rsidR="00C23BE9" w:rsidRPr="00C23BE9">
              <w:rPr>
                <w:sz w:val="16"/>
                <w:szCs w:val="16"/>
                <w:lang w:val="sr-Latn-RS"/>
              </w:rPr>
              <w:t>910</w:t>
            </w:r>
          </w:p>
        </w:tc>
        <w:tc>
          <w:tcPr>
            <w:tcW w:w="568" w:type="pct"/>
            <w:shd w:val="clear" w:color="auto" w:fill="auto"/>
            <w:vAlign w:val="center"/>
          </w:tcPr>
          <w:p w14:paraId="4395382B" w14:textId="77777777" w:rsidR="00C23BE9" w:rsidRPr="00C23BE9" w:rsidRDefault="00C23BE9" w:rsidP="005D0722">
            <w:pPr>
              <w:spacing w:before="0" w:after="0"/>
              <w:ind w:left="57" w:right="57"/>
              <w:jc w:val="right"/>
              <w:rPr>
                <w:rFonts w:cs="Times New Roman"/>
                <w:sz w:val="16"/>
                <w:szCs w:val="16"/>
                <w:lang w:val="sr-Latn-RS"/>
              </w:rPr>
            </w:pPr>
          </w:p>
        </w:tc>
        <w:tc>
          <w:tcPr>
            <w:tcW w:w="564" w:type="pct"/>
            <w:tcBorders>
              <w:right w:val="nil"/>
            </w:tcBorders>
            <w:shd w:val="clear" w:color="auto" w:fill="auto"/>
            <w:vAlign w:val="center"/>
          </w:tcPr>
          <w:p w14:paraId="4E989D64" w14:textId="77777777" w:rsidR="00C23BE9" w:rsidRPr="00C23BE9" w:rsidRDefault="00C23BE9" w:rsidP="005D0722">
            <w:pPr>
              <w:spacing w:before="0" w:after="0"/>
              <w:ind w:left="57" w:right="57"/>
              <w:jc w:val="right"/>
              <w:rPr>
                <w:rFonts w:cs="Times New Roman"/>
                <w:sz w:val="16"/>
                <w:szCs w:val="16"/>
                <w:lang w:val="sr-Latn-RS"/>
              </w:rPr>
            </w:pPr>
          </w:p>
        </w:tc>
      </w:tr>
      <w:tr w:rsidR="00C23BE9" w:rsidRPr="00C23BE9" w14:paraId="438B565A" w14:textId="77777777" w:rsidTr="00A1076D">
        <w:trPr>
          <w:cantSplit/>
        </w:trPr>
        <w:tc>
          <w:tcPr>
            <w:tcW w:w="562" w:type="pct"/>
            <w:vMerge/>
            <w:tcBorders>
              <w:left w:val="nil"/>
            </w:tcBorders>
            <w:shd w:val="clear" w:color="auto" w:fill="auto"/>
            <w:vAlign w:val="center"/>
          </w:tcPr>
          <w:p w14:paraId="1D45688D" w14:textId="77777777" w:rsidR="00C23BE9" w:rsidRPr="00C23BE9" w:rsidRDefault="00C23BE9" w:rsidP="007B1C88">
            <w:pPr>
              <w:spacing w:before="0" w:after="0"/>
              <w:ind w:left="57" w:right="57"/>
              <w:jc w:val="left"/>
              <w:rPr>
                <w:rFonts w:cs="Times New Roman"/>
                <w:sz w:val="16"/>
                <w:szCs w:val="16"/>
                <w:lang w:val="sr-Latn-RS"/>
              </w:rPr>
            </w:pPr>
          </w:p>
        </w:tc>
        <w:tc>
          <w:tcPr>
            <w:tcW w:w="551" w:type="pct"/>
            <w:shd w:val="clear" w:color="auto" w:fill="auto"/>
            <w:vAlign w:val="center"/>
          </w:tcPr>
          <w:p w14:paraId="0AC8A77E" w14:textId="77777777" w:rsidR="00C23BE9" w:rsidRPr="00C23BE9" w:rsidRDefault="00C23BE9" w:rsidP="007B1C88">
            <w:pPr>
              <w:spacing w:before="0" w:after="0"/>
              <w:ind w:left="57" w:right="57"/>
              <w:jc w:val="left"/>
              <w:rPr>
                <w:sz w:val="16"/>
                <w:szCs w:val="16"/>
                <w:lang w:val="sr-Latn-RS"/>
              </w:rPr>
            </w:pPr>
            <w:r w:rsidRPr="00C23BE9">
              <w:rPr>
                <w:sz w:val="16"/>
                <w:szCs w:val="16"/>
                <w:lang w:val="sr-Latn-RS"/>
              </w:rPr>
              <w:t>T1</w:t>
            </w:r>
          </w:p>
        </w:tc>
        <w:tc>
          <w:tcPr>
            <w:tcW w:w="393" w:type="pct"/>
            <w:shd w:val="clear" w:color="auto" w:fill="auto"/>
            <w:vAlign w:val="center"/>
          </w:tcPr>
          <w:p w14:paraId="4ECE3E13" w14:textId="758F2A3D" w:rsidR="00C23BE9" w:rsidRPr="00C23BE9" w:rsidRDefault="005D0722" w:rsidP="007B1C88">
            <w:pPr>
              <w:spacing w:before="0" w:after="0"/>
              <w:ind w:left="57" w:right="57"/>
              <w:jc w:val="right"/>
              <w:rPr>
                <w:sz w:val="16"/>
                <w:szCs w:val="16"/>
                <w:lang w:val="sr-Latn-RS"/>
              </w:rPr>
            </w:pPr>
            <w:r>
              <w:rPr>
                <w:sz w:val="16"/>
                <w:szCs w:val="16"/>
                <w:lang w:val="sr-Latn-RS"/>
              </w:rPr>
              <w:t>.</w:t>
            </w:r>
            <w:r w:rsidR="00C23BE9" w:rsidRPr="00C23BE9">
              <w:rPr>
                <w:sz w:val="16"/>
                <w:szCs w:val="16"/>
                <w:lang w:val="sr-Latn-RS"/>
              </w:rPr>
              <w:t>749</w:t>
            </w:r>
          </w:p>
        </w:tc>
        <w:tc>
          <w:tcPr>
            <w:tcW w:w="393" w:type="pct"/>
            <w:shd w:val="clear" w:color="auto" w:fill="auto"/>
            <w:vAlign w:val="center"/>
          </w:tcPr>
          <w:p w14:paraId="59304CAC" w14:textId="0DCB936F" w:rsidR="00C23BE9" w:rsidRPr="00C23BE9" w:rsidRDefault="00C23BE9" w:rsidP="007B1C88">
            <w:pPr>
              <w:spacing w:before="0" w:after="0"/>
              <w:ind w:left="57" w:right="57"/>
              <w:jc w:val="right"/>
              <w:rPr>
                <w:sz w:val="16"/>
                <w:szCs w:val="16"/>
                <w:lang w:val="sr-Latn-RS"/>
              </w:rPr>
            </w:pPr>
            <w:r w:rsidRPr="00C23BE9">
              <w:rPr>
                <w:sz w:val="16"/>
                <w:szCs w:val="16"/>
                <w:lang w:val="sr-Latn-RS"/>
              </w:rPr>
              <w:t>2</w:t>
            </w:r>
            <w:r w:rsidR="005D0722">
              <w:rPr>
                <w:sz w:val="16"/>
                <w:szCs w:val="16"/>
                <w:lang w:val="sr-Latn-RS"/>
              </w:rPr>
              <w:t>.</w:t>
            </w:r>
            <w:r w:rsidRPr="00C23BE9">
              <w:rPr>
                <w:sz w:val="16"/>
                <w:szCs w:val="16"/>
                <w:lang w:val="sr-Latn-RS"/>
              </w:rPr>
              <w:t>747</w:t>
            </w:r>
          </w:p>
        </w:tc>
        <w:tc>
          <w:tcPr>
            <w:tcW w:w="393" w:type="pct"/>
            <w:shd w:val="clear" w:color="auto" w:fill="auto"/>
            <w:vAlign w:val="center"/>
          </w:tcPr>
          <w:p w14:paraId="2CFA404C" w14:textId="1D6CEF09" w:rsidR="00C23BE9" w:rsidRPr="00C23BE9" w:rsidRDefault="005D0722" w:rsidP="007B1C88">
            <w:pPr>
              <w:spacing w:before="0" w:after="0"/>
              <w:ind w:left="57" w:right="57"/>
              <w:jc w:val="right"/>
              <w:rPr>
                <w:sz w:val="16"/>
                <w:szCs w:val="16"/>
                <w:lang w:val="sr-Latn-RS"/>
              </w:rPr>
            </w:pPr>
            <w:r>
              <w:rPr>
                <w:sz w:val="16"/>
                <w:szCs w:val="16"/>
                <w:lang w:val="sr-Latn-RS"/>
              </w:rPr>
              <w:t>.</w:t>
            </w:r>
            <w:r w:rsidR="00C23BE9" w:rsidRPr="00C23BE9">
              <w:rPr>
                <w:sz w:val="16"/>
                <w:szCs w:val="16"/>
                <w:lang w:val="sr-Latn-RS"/>
              </w:rPr>
              <w:t>138</w:t>
            </w:r>
          </w:p>
        </w:tc>
        <w:tc>
          <w:tcPr>
            <w:tcW w:w="393" w:type="pct"/>
            <w:shd w:val="clear" w:color="auto" w:fill="auto"/>
            <w:vAlign w:val="center"/>
          </w:tcPr>
          <w:p w14:paraId="178166F9" w14:textId="5D7C4EC1" w:rsidR="00C23BE9" w:rsidRPr="00C23BE9" w:rsidRDefault="005D0722" w:rsidP="007B1C88">
            <w:pPr>
              <w:spacing w:before="0" w:after="0"/>
              <w:ind w:left="57" w:right="57"/>
              <w:jc w:val="right"/>
              <w:rPr>
                <w:sz w:val="16"/>
                <w:szCs w:val="16"/>
                <w:lang w:val="sr-Latn-RS"/>
              </w:rPr>
            </w:pPr>
            <w:r>
              <w:rPr>
                <w:sz w:val="16"/>
                <w:szCs w:val="16"/>
                <w:lang w:val="sr-Latn-RS"/>
              </w:rPr>
              <w:t>.</w:t>
            </w:r>
            <w:r w:rsidR="00C23BE9" w:rsidRPr="00C23BE9">
              <w:rPr>
                <w:sz w:val="16"/>
                <w:szCs w:val="16"/>
                <w:lang w:val="sr-Latn-RS"/>
              </w:rPr>
              <w:t>965</w:t>
            </w:r>
          </w:p>
        </w:tc>
        <w:tc>
          <w:tcPr>
            <w:tcW w:w="393" w:type="pct"/>
            <w:shd w:val="clear" w:color="auto" w:fill="auto"/>
            <w:vAlign w:val="center"/>
          </w:tcPr>
          <w:p w14:paraId="5A581D3F" w14:textId="0E298A85" w:rsidR="00C23BE9" w:rsidRPr="00C23BE9" w:rsidRDefault="00C23BE9" w:rsidP="007B1C88">
            <w:pPr>
              <w:spacing w:before="0" w:after="0"/>
              <w:ind w:left="57" w:right="57"/>
              <w:jc w:val="right"/>
              <w:rPr>
                <w:sz w:val="16"/>
                <w:szCs w:val="16"/>
                <w:lang w:val="sr-Latn-RS"/>
              </w:rPr>
            </w:pPr>
            <w:r w:rsidRPr="00C23BE9">
              <w:rPr>
                <w:sz w:val="16"/>
                <w:szCs w:val="16"/>
                <w:lang w:val="sr-Latn-RS"/>
              </w:rPr>
              <w:t>1</w:t>
            </w:r>
            <w:r w:rsidR="005D0722">
              <w:rPr>
                <w:sz w:val="16"/>
                <w:szCs w:val="16"/>
                <w:lang w:val="sr-Latn-RS"/>
              </w:rPr>
              <w:t>.</w:t>
            </w:r>
            <w:r w:rsidRPr="00C23BE9">
              <w:rPr>
                <w:sz w:val="16"/>
                <w:szCs w:val="16"/>
                <w:lang w:val="sr-Latn-RS"/>
              </w:rPr>
              <w:t>098</w:t>
            </w:r>
          </w:p>
        </w:tc>
        <w:tc>
          <w:tcPr>
            <w:tcW w:w="393" w:type="pct"/>
            <w:shd w:val="clear" w:color="auto" w:fill="auto"/>
            <w:vAlign w:val="center"/>
          </w:tcPr>
          <w:p w14:paraId="0166DBF9" w14:textId="0C0C6433" w:rsidR="00C23BE9" w:rsidRPr="00C23BE9" w:rsidRDefault="00C23BE9" w:rsidP="007B1C88">
            <w:pPr>
              <w:spacing w:before="0" w:after="0"/>
              <w:ind w:left="57" w:right="57"/>
              <w:jc w:val="right"/>
              <w:rPr>
                <w:sz w:val="16"/>
                <w:szCs w:val="16"/>
                <w:lang w:val="sr-Latn-RS"/>
              </w:rPr>
            </w:pPr>
            <w:r w:rsidRPr="00C23BE9">
              <w:rPr>
                <w:sz w:val="16"/>
                <w:szCs w:val="16"/>
                <w:lang w:val="sr-Latn-RS"/>
              </w:rPr>
              <w:t>-1</w:t>
            </w:r>
            <w:r w:rsidR="005D0722">
              <w:rPr>
                <w:sz w:val="16"/>
                <w:szCs w:val="16"/>
                <w:lang w:val="sr-Latn-RS"/>
              </w:rPr>
              <w:t>.</w:t>
            </w:r>
            <w:r w:rsidRPr="00C23BE9">
              <w:rPr>
                <w:sz w:val="16"/>
                <w:szCs w:val="16"/>
                <w:lang w:val="sr-Latn-RS"/>
              </w:rPr>
              <w:t>789</w:t>
            </w:r>
          </w:p>
        </w:tc>
        <w:tc>
          <w:tcPr>
            <w:tcW w:w="397" w:type="pct"/>
            <w:shd w:val="clear" w:color="auto" w:fill="auto"/>
            <w:vAlign w:val="center"/>
          </w:tcPr>
          <w:p w14:paraId="62118A04" w14:textId="2E996DD4" w:rsidR="00C23BE9" w:rsidRPr="00C23BE9" w:rsidRDefault="00C23BE9" w:rsidP="007B1C88">
            <w:pPr>
              <w:spacing w:before="0" w:after="0"/>
              <w:ind w:left="57" w:right="57"/>
              <w:jc w:val="right"/>
              <w:rPr>
                <w:sz w:val="16"/>
                <w:szCs w:val="16"/>
                <w:lang w:val="sr-Latn-RS"/>
              </w:rPr>
            </w:pPr>
            <w:r w:rsidRPr="00C23BE9">
              <w:rPr>
                <w:sz w:val="16"/>
                <w:szCs w:val="16"/>
                <w:lang w:val="sr-Latn-RS"/>
              </w:rPr>
              <w:t>-</w:t>
            </w:r>
            <w:r w:rsidR="005D0722">
              <w:rPr>
                <w:sz w:val="16"/>
                <w:szCs w:val="16"/>
                <w:lang w:val="sr-Latn-RS"/>
              </w:rPr>
              <w:t>.</w:t>
            </w:r>
            <w:r w:rsidRPr="00C23BE9">
              <w:rPr>
                <w:sz w:val="16"/>
                <w:szCs w:val="16"/>
                <w:lang w:val="sr-Latn-RS"/>
              </w:rPr>
              <w:t>718</w:t>
            </w:r>
          </w:p>
        </w:tc>
        <w:tc>
          <w:tcPr>
            <w:tcW w:w="568" w:type="pct"/>
            <w:shd w:val="clear" w:color="auto" w:fill="auto"/>
            <w:vAlign w:val="center"/>
          </w:tcPr>
          <w:p w14:paraId="55E89BE3" w14:textId="77777777" w:rsidR="00C23BE9" w:rsidRPr="00C23BE9" w:rsidRDefault="00C23BE9" w:rsidP="005D0722">
            <w:pPr>
              <w:spacing w:before="0" w:after="0"/>
              <w:ind w:left="57" w:right="57"/>
              <w:jc w:val="right"/>
              <w:rPr>
                <w:rFonts w:cs="Times New Roman"/>
                <w:sz w:val="16"/>
                <w:szCs w:val="16"/>
                <w:lang w:val="sr-Latn-RS"/>
              </w:rPr>
            </w:pPr>
          </w:p>
        </w:tc>
        <w:tc>
          <w:tcPr>
            <w:tcW w:w="564" w:type="pct"/>
            <w:tcBorders>
              <w:right w:val="nil"/>
            </w:tcBorders>
            <w:shd w:val="clear" w:color="auto" w:fill="auto"/>
            <w:vAlign w:val="center"/>
          </w:tcPr>
          <w:p w14:paraId="57B13000" w14:textId="77777777" w:rsidR="00C23BE9" w:rsidRPr="00C23BE9" w:rsidRDefault="00C23BE9" w:rsidP="005D0722">
            <w:pPr>
              <w:spacing w:before="0" w:after="0"/>
              <w:ind w:left="57" w:right="57"/>
              <w:jc w:val="right"/>
              <w:rPr>
                <w:rFonts w:cs="Times New Roman"/>
                <w:sz w:val="16"/>
                <w:szCs w:val="16"/>
                <w:lang w:val="sr-Latn-RS"/>
              </w:rPr>
            </w:pPr>
          </w:p>
        </w:tc>
      </w:tr>
      <w:tr w:rsidR="00C23BE9" w:rsidRPr="00C23BE9" w14:paraId="6FAE5DDF" w14:textId="77777777" w:rsidTr="00A1076D">
        <w:trPr>
          <w:cantSplit/>
        </w:trPr>
        <w:tc>
          <w:tcPr>
            <w:tcW w:w="562" w:type="pct"/>
            <w:vMerge/>
            <w:tcBorders>
              <w:left w:val="nil"/>
            </w:tcBorders>
            <w:shd w:val="clear" w:color="auto" w:fill="auto"/>
            <w:vAlign w:val="center"/>
          </w:tcPr>
          <w:p w14:paraId="537C992E" w14:textId="77777777" w:rsidR="00C23BE9" w:rsidRPr="00C23BE9" w:rsidRDefault="00C23BE9" w:rsidP="007B1C88">
            <w:pPr>
              <w:spacing w:before="0" w:after="0"/>
              <w:ind w:left="57" w:right="57"/>
              <w:jc w:val="left"/>
              <w:rPr>
                <w:rFonts w:cs="Times New Roman"/>
                <w:sz w:val="16"/>
                <w:szCs w:val="16"/>
                <w:lang w:val="sr-Latn-RS"/>
              </w:rPr>
            </w:pPr>
          </w:p>
        </w:tc>
        <w:tc>
          <w:tcPr>
            <w:tcW w:w="551" w:type="pct"/>
            <w:shd w:val="clear" w:color="auto" w:fill="auto"/>
            <w:vAlign w:val="center"/>
          </w:tcPr>
          <w:p w14:paraId="6E0D556C" w14:textId="77777777" w:rsidR="00C23BE9" w:rsidRPr="00C23BE9" w:rsidRDefault="00C23BE9" w:rsidP="007B1C88">
            <w:pPr>
              <w:spacing w:before="0" w:after="0"/>
              <w:ind w:left="57" w:right="57"/>
              <w:jc w:val="left"/>
              <w:rPr>
                <w:sz w:val="16"/>
                <w:szCs w:val="16"/>
                <w:lang w:val="sr-Latn-RS"/>
              </w:rPr>
            </w:pPr>
            <w:r w:rsidRPr="00C23BE9">
              <w:rPr>
                <w:sz w:val="16"/>
                <w:szCs w:val="16"/>
                <w:lang w:val="sr-Latn-RS"/>
              </w:rPr>
              <w:t>T3</w:t>
            </w:r>
          </w:p>
        </w:tc>
        <w:tc>
          <w:tcPr>
            <w:tcW w:w="393" w:type="pct"/>
            <w:shd w:val="clear" w:color="auto" w:fill="auto"/>
            <w:vAlign w:val="center"/>
          </w:tcPr>
          <w:p w14:paraId="1092F6AA" w14:textId="47CF695A" w:rsidR="00C23BE9" w:rsidRPr="00C23BE9" w:rsidRDefault="00C23BE9" w:rsidP="007B1C88">
            <w:pPr>
              <w:spacing w:before="0" w:after="0"/>
              <w:ind w:left="57" w:right="57"/>
              <w:jc w:val="right"/>
              <w:rPr>
                <w:sz w:val="16"/>
                <w:szCs w:val="16"/>
                <w:lang w:val="sr-Latn-RS"/>
              </w:rPr>
            </w:pPr>
            <w:r w:rsidRPr="00C23BE9">
              <w:rPr>
                <w:sz w:val="16"/>
                <w:szCs w:val="16"/>
                <w:lang w:val="sr-Latn-RS"/>
              </w:rPr>
              <w:t>-2</w:t>
            </w:r>
            <w:r w:rsidR="005D0722">
              <w:rPr>
                <w:sz w:val="16"/>
                <w:szCs w:val="16"/>
                <w:lang w:val="sr-Latn-RS"/>
              </w:rPr>
              <w:t>.</w:t>
            </w:r>
            <w:r w:rsidRPr="00C23BE9">
              <w:rPr>
                <w:sz w:val="16"/>
                <w:szCs w:val="16"/>
                <w:lang w:val="sr-Latn-RS"/>
              </w:rPr>
              <w:t>409</w:t>
            </w:r>
          </w:p>
        </w:tc>
        <w:tc>
          <w:tcPr>
            <w:tcW w:w="393" w:type="pct"/>
            <w:shd w:val="clear" w:color="auto" w:fill="auto"/>
            <w:vAlign w:val="center"/>
          </w:tcPr>
          <w:p w14:paraId="710D96EB" w14:textId="37227971" w:rsidR="00C23BE9" w:rsidRPr="00C23BE9" w:rsidRDefault="00C23BE9" w:rsidP="007B1C88">
            <w:pPr>
              <w:spacing w:before="0" w:after="0"/>
              <w:ind w:left="57" w:right="57"/>
              <w:jc w:val="right"/>
              <w:rPr>
                <w:sz w:val="16"/>
                <w:szCs w:val="16"/>
                <w:lang w:val="sr-Latn-RS"/>
              </w:rPr>
            </w:pPr>
            <w:r w:rsidRPr="00C23BE9">
              <w:rPr>
                <w:sz w:val="16"/>
                <w:szCs w:val="16"/>
                <w:lang w:val="sr-Latn-RS"/>
              </w:rPr>
              <w:t>-1</w:t>
            </w:r>
            <w:r w:rsidR="005D0722">
              <w:rPr>
                <w:sz w:val="16"/>
                <w:szCs w:val="16"/>
                <w:lang w:val="sr-Latn-RS"/>
              </w:rPr>
              <w:t>.</w:t>
            </w:r>
            <w:r w:rsidRPr="00C23BE9">
              <w:rPr>
                <w:sz w:val="16"/>
                <w:szCs w:val="16"/>
                <w:lang w:val="sr-Latn-RS"/>
              </w:rPr>
              <w:t>378</w:t>
            </w:r>
          </w:p>
        </w:tc>
        <w:tc>
          <w:tcPr>
            <w:tcW w:w="393" w:type="pct"/>
            <w:shd w:val="clear" w:color="auto" w:fill="auto"/>
            <w:vAlign w:val="center"/>
          </w:tcPr>
          <w:p w14:paraId="3163BA4C" w14:textId="6264C489" w:rsidR="00C23BE9" w:rsidRPr="00C23BE9" w:rsidRDefault="00C23BE9" w:rsidP="007B1C88">
            <w:pPr>
              <w:spacing w:before="0" w:after="0"/>
              <w:ind w:left="57" w:right="57"/>
              <w:jc w:val="right"/>
              <w:rPr>
                <w:sz w:val="16"/>
                <w:szCs w:val="16"/>
                <w:lang w:val="sr-Latn-RS"/>
              </w:rPr>
            </w:pPr>
            <w:r w:rsidRPr="00C23BE9">
              <w:rPr>
                <w:sz w:val="16"/>
                <w:szCs w:val="16"/>
                <w:lang w:val="sr-Latn-RS"/>
              </w:rPr>
              <w:t>-2</w:t>
            </w:r>
            <w:r w:rsidR="005D0722">
              <w:rPr>
                <w:sz w:val="16"/>
                <w:szCs w:val="16"/>
                <w:lang w:val="sr-Latn-RS"/>
              </w:rPr>
              <w:t>.</w:t>
            </w:r>
            <w:r w:rsidRPr="00C23BE9">
              <w:rPr>
                <w:sz w:val="16"/>
                <w:szCs w:val="16"/>
                <w:lang w:val="sr-Latn-RS"/>
              </w:rPr>
              <w:t>728</w:t>
            </w:r>
          </w:p>
        </w:tc>
        <w:tc>
          <w:tcPr>
            <w:tcW w:w="393" w:type="pct"/>
            <w:shd w:val="clear" w:color="auto" w:fill="auto"/>
            <w:vAlign w:val="center"/>
          </w:tcPr>
          <w:p w14:paraId="59EEB213" w14:textId="50E8E063" w:rsidR="00C23BE9" w:rsidRPr="00C23BE9" w:rsidRDefault="00C23BE9" w:rsidP="007B1C88">
            <w:pPr>
              <w:spacing w:before="0" w:after="0"/>
              <w:ind w:left="57" w:right="57"/>
              <w:jc w:val="right"/>
              <w:rPr>
                <w:sz w:val="16"/>
                <w:szCs w:val="16"/>
                <w:lang w:val="sr-Latn-RS"/>
              </w:rPr>
            </w:pPr>
            <w:r w:rsidRPr="00C23BE9">
              <w:rPr>
                <w:sz w:val="16"/>
                <w:szCs w:val="16"/>
                <w:lang w:val="sr-Latn-RS"/>
              </w:rPr>
              <w:t>-9</w:t>
            </w:r>
            <w:r w:rsidR="005D0722">
              <w:rPr>
                <w:sz w:val="16"/>
                <w:szCs w:val="16"/>
                <w:lang w:val="sr-Latn-RS"/>
              </w:rPr>
              <w:t>.</w:t>
            </w:r>
            <w:r w:rsidRPr="00C23BE9">
              <w:rPr>
                <w:sz w:val="16"/>
                <w:szCs w:val="16"/>
                <w:lang w:val="sr-Latn-RS"/>
              </w:rPr>
              <w:t>774</w:t>
            </w:r>
          </w:p>
        </w:tc>
        <w:tc>
          <w:tcPr>
            <w:tcW w:w="393" w:type="pct"/>
            <w:shd w:val="clear" w:color="auto" w:fill="auto"/>
            <w:vAlign w:val="center"/>
          </w:tcPr>
          <w:p w14:paraId="35327325" w14:textId="283D778A" w:rsidR="00C23BE9" w:rsidRPr="00C23BE9" w:rsidRDefault="00C23BE9" w:rsidP="007B1C88">
            <w:pPr>
              <w:spacing w:before="0" w:after="0"/>
              <w:ind w:left="57" w:right="57"/>
              <w:jc w:val="right"/>
              <w:rPr>
                <w:sz w:val="16"/>
                <w:szCs w:val="16"/>
                <w:lang w:val="sr-Latn-RS"/>
              </w:rPr>
            </w:pPr>
            <w:r w:rsidRPr="00C23BE9">
              <w:rPr>
                <w:sz w:val="16"/>
                <w:szCs w:val="16"/>
                <w:lang w:val="sr-Latn-RS"/>
              </w:rPr>
              <w:t>7</w:t>
            </w:r>
            <w:r w:rsidR="005D0722">
              <w:rPr>
                <w:sz w:val="16"/>
                <w:szCs w:val="16"/>
                <w:lang w:val="sr-Latn-RS"/>
              </w:rPr>
              <w:t>.</w:t>
            </w:r>
            <w:r w:rsidRPr="00C23BE9">
              <w:rPr>
                <w:sz w:val="16"/>
                <w:szCs w:val="16"/>
                <w:lang w:val="sr-Latn-RS"/>
              </w:rPr>
              <w:t>231</w:t>
            </w:r>
          </w:p>
        </w:tc>
        <w:tc>
          <w:tcPr>
            <w:tcW w:w="393" w:type="pct"/>
            <w:shd w:val="clear" w:color="auto" w:fill="auto"/>
            <w:vAlign w:val="center"/>
          </w:tcPr>
          <w:p w14:paraId="6B783006" w14:textId="2F73FF91" w:rsidR="00C23BE9" w:rsidRPr="00C23BE9" w:rsidRDefault="00C23BE9" w:rsidP="007B1C88">
            <w:pPr>
              <w:spacing w:before="0" w:after="0"/>
              <w:ind w:left="57" w:right="57"/>
              <w:jc w:val="right"/>
              <w:rPr>
                <w:sz w:val="16"/>
                <w:szCs w:val="16"/>
                <w:lang w:val="sr-Latn-RS"/>
              </w:rPr>
            </w:pPr>
            <w:r w:rsidRPr="00C23BE9">
              <w:rPr>
                <w:sz w:val="16"/>
                <w:szCs w:val="16"/>
                <w:lang w:val="sr-Latn-RS"/>
              </w:rPr>
              <w:t>1</w:t>
            </w:r>
            <w:r w:rsidR="005D0722">
              <w:rPr>
                <w:sz w:val="16"/>
                <w:szCs w:val="16"/>
                <w:lang w:val="sr-Latn-RS"/>
              </w:rPr>
              <w:t>.</w:t>
            </w:r>
            <w:r w:rsidRPr="00C23BE9">
              <w:rPr>
                <w:sz w:val="16"/>
                <w:szCs w:val="16"/>
                <w:lang w:val="sr-Latn-RS"/>
              </w:rPr>
              <w:t>704</w:t>
            </w:r>
          </w:p>
        </w:tc>
        <w:tc>
          <w:tcPr>
            <w:tcW w:w="397" w:type="pct"/>
            <w:shd w:val="clear" w:color="auto" w:fill="auto"/>
            <w:vAlign w:val="center"/>
          </w:tcPr>
          <w:p w14:paraId="7CD7515C" w14:textId="3BABBAE8" w:rsidR="00C23BE9" w:rsidRPr="00C23BE9" w:rsidRDefault="00C23BE9" w:rsidP="007B1C88">
            <w:pPr>
              <w:spacing w:before="0" w:after="0"/>
              <w:ind w:left="57" w:right="57"/>
              <w:jc w:val="right"/>
              <w:rPr>
                <w:sz w:val="16"/>
                <w:szCs w:val="16"/>
                <w:lang w:val="sr-Latn-RS"/>
              </w:rPr>
            </w:pPr>
            <w:r w:rsidRPr="00C23BE9">
              <w:rPr>
                <w:sz w:val="16"/>
                <w:szCs w:val="16"/>
                <w:lang w:val="sr-Latn-RS"/>
              </w:rPr>
              <w:t>2</w:t>
            </w:r>
            <w:r w:rsidR="005D0722">
              <w:rPr>
                <w:sz w:val="16"/>
                <w:szCs w:val="16"/>
                <w:lang w:val="sr-Latn-RS"/>
              </w:rPr>
              <w:t>.</w:t>
            </w:r>
            <w:r w:rsidRPr="00C23BE9">
              <w:rPr>
                <w:sz w:val="16"/>
                <w:szCs w:val="16"/>
                <w:lang w:val="sr-Latn-RS"/>
              </w:rPr>
              <w:t>851</w:t>
            </w:r>
          </w:p>
        </w:tc>
        <w:tc>
          <w:tcPr>
            <w:tcW w:w="568" w:type="pct"/>
            <w:shd w:val="clear" w:color="auto" w:fill="auto"/>
            <w:vAlign w:val="center"/>
          </w:tcPr>
          <w:p w14:paraId="6B5927F0" w14:textId="77777777" w:rsidR="00C23BE9" w:rsidRPr="00C23BE9" w:rsidRDefault="00C23BE9" w:rsidP="005D0722">
            <w:pPr>
              <w:spacing w:before="0" w:after="0"/>
              <w:ind w:left="57" w:right="57"/>
              <w:jc w:val="right"/>
              <w:rPr>
                <w:rFonts w:cs="Times New Roman"/>
                <w:sz w:val="16"/>
                <w:szCs w:val="16"/>
                <w:lang w:val="sr-Latn-RS"/>
              </w:rPr>
            </w:pPr>
          </w:p>
        </w:tc>
        <w:tc>
          <w:tcPr>
            <w:tcW w:w="564" w:type="pct"/>
            <w:tcBorders>
              <w:right w:val="nil"/>
            </w:tcBorders>
            <w:shd w:val="clear" w:color="auto" w:fill="auto"/>
            <w:vAlign w:val="center"/>
          </w:tcPr>
          <w:p w14:paraId="565E0338" w14:textId="77777777" w:rsidR="00C23BE9" w:rsidRPr="00C23BE9" w:rsidRDefault="00C23BE9" w:rsidP="005D0722">
            <w:pPr>
              <w:spacing w:before="0" w:after="0"/>
              <w:ind w:left="57" w:right="57"/>
              <w:jc w:val="right"/>
              <w:rPr>
                <w:rFonts w:cs="Times New Roman"/>
                <w:sz w:val="16"/>
                <w:szCs w:val="16"/>
                <w:lang w:val="sr-Latn-RS"/>
              </w:rPr>
            </w:pPr>
          </w:p>
        </w:tc>
      </w:tr>
      <w:tr w:rsidR="00C23BE9" w:rsidRPr="00C23BE9" w14:paraId="45909321" w14:textId="77777777" w:rsidTr="00A1076D">
        <w:trPr>
          <w:cantSplit/>
        </w:trPr>
        <w:tc>
          <w:tcPr>
            <w:tcW w:w="562" w:type="pct"/>
            <w:vMerge/>
            <w:tcBorders>
              <w:left w:val="nil"/>
            </w:tcBorders>
            <w:shd w:val="clear" w:color="auto" w:fill="auto"/>
            <w:vAlign w:val="center"/>
          </w:tcPr>
          <w:p w14:paraId="0F542EBF" w14:textId="77777777" w:rsidR="00C23BE9" w:rsidRPr="00C23BE9" w:rsidRDefault="00C23BE9" w:rsidP="007B1C88">
            <w:pPr>
              <w:spacing w:before="0" w:after="0"/>
              <w:ind w:left="57" w:right="57"/>
              <w:jc w:val="left"/>
              <w:rPr>
                <w:rFonts w:cs="Times New Roman"/>
                <w:sz w:val="16"/>
                <w:szCs w:val="16"/>
                <w:lang w:val="sr-Latn-RS"/>
              </w:rPr>
            </w:pPr>
          </w:p>
        </w:tc>
        <w:tc>
          <w:tcPr>
            <w:tcW w:w="551" w:type="pct"/>
            <w:shd w:val="clear" w:color="auto" w:fill="auto"/>
            <w:vAlign w:val="center"/>
          </w:tcPr>
          <w:p w14:paraId="2B921D3F" w14:textId="77777777" w:rsidR="00C23BE9" w:rsidRPr="00C23BE9" w:rsidRDefault="00C23BE9" w:rsidP="007B1C88">
            <w:pPr>
              <w:spacing w:before="0" w:after="0"/>
              <w:ind w:left="57" w:right="57"/>
              <w:jc w:val="left"/>
              <w:rPr>
                <w:sz w:val="16"/>
                <w:szCs w:val="16"/>
                <w:lang w:val="sr-Latn-RS"/>
              </w:rPr>
            </w:pPr>
            <w:r w:rsidRPr="00C23BE9">
              <w:rPr>
                <w:sz w:val="16"/>
                <w:szCs w:val="16"/>
                <w:lang w:val="sr-Latn-RS"/>
              </w:rPr>
              <w:t>T4</w:t>
            </w:r>
          </w:p>
        </w:tc>
        <w:tc>
          <w:tcPr>
            <w:tcW w:w="393" w:type="pct"/>
            <w:shd w:val="clear" w:color="auto" w:fill="auto"/>
            <w:vAlign w:val="center"/>
          </w:tcPr>
          <w:p w14:paraId="1F78B4C8" w14:textId="73BCB528" w:rsidR="00C23BE9" w:rsidRPr="00C23BE9" w:rsidRDefault="00C23BE9" w:rsidP="007B1C88">
            <w:pPr>
              <w:spacing w:before="0" w:after="0"/>
              <w:ind w:left="57" w:right="57"/>
              <w:jc w:val="right"/>
              <w:rPr>
                <w:sz w:val="16"/>
                <w:szCs w:val="16"/>
                <w:lang w:val="sr-Latn-RS"/>
              </w:rPr>
            </w:pPr>
            <w:r w:rsidRPr="00C23BE9">
              <w:rPr>
                <w:sz w:val="16"/>
                <w:szCs w:val="16"/>
                <w:lang w:val="sr-Latn-RS"/>
              </w:rPr>
              <w:t>-</w:t>
            </w:r>
            <w:r w:rsidR="005D0722">
              <w:rPr>
                <w:sz w:val="16"/>
                <w:szCs w:val="16"/>
                <w:lang w:val="sr-Latn-RS"/>
              </w:rPr>
              <w:t>.</w:t>
            </w:r>
            <w:r w:rsidRPr="00C23BE9">
              <w:rPr>
                <w:sz w:val="16"/>
                <w:szCs w:val="16"/>
                <w:lang w:val="sr-Latn-RS"/>
              </w:rPr>
              <w:t>001</w:t>
            </w:r>
          </w:p>
        </w:tc>
        <w:tc>
          <w:tcPr>
            <w:tcW w:w="393" w:type="pct"/>
            <w:shd w:val="clear" w:color="auto" w:fill="auto"/>
            <w:vAlign w:val="center"/>
          </w:tcPr>
          <w:p w14:paraId="74BC2DA7" w14:textId="7D6EEDF9" w:rsidR="00C23BE9" w:rsidRPr="00C23BE9" w:rsidRDefault="00C23BE9" w:rsidP="007B1C88">
            <w:pPr>
              <w:spacing w:before="0" w:after="0"/>
              <w:ind w:left="57" w:right="57"/>
              <w:jc w:val="right"/>
              <w:rPr>
                <w:sz w:val="16"/>
                <w:szCs w:val="16"/>
                <w:lang w:val="sr-Latn-RS"/>
              </w:rPr>
            </w:pPr>
            <w:r w:rsidRPr="00C23BE9">
              <w:rPr>
                <w:sz w:val="16"/>
                <w:szCs w:val="16"/>
                <w:lang w:val="sr-Latn-RS"/>
              </w:rPr>
              <w:t>1</w:t>
            </w:r>
            <w:r w:rsidR="005D0722">
              <w:rPr>
                <w:sz w:val="16"/>
                <w:szCs w:val="16"/>
                <w:lang w:val="sr-Latn-RS"/>
              </w:rPr>
              <w:t>.</w:t>
            </w:r>
            <w:r w:rsidRPr="00C23BE9">
              <w:rPr>
                <w:sz w:val="16"/>
                <w:szCs w:val="16"/>
                <w:lang w:val="sr-Latn-RS"/>
              </w:rPr>
              <w:t>814</w:t>
            </w:r>
          </w:p>
        </w:tc>
        <w:tc>
          <w:tcPr>
            <w:tcW w:w="393" w:type="pct"/>
            <w:shd w:val="clear" w:color="auto" w:fill="auto"/>
            <w:vAlign w:val="center"/>
          </w:tcPr>
          <w:p w14:paraId="72304711" w14:textId="27DCF00A" w:rsidR="00C23BE9" w:rsidRPr="00C23BE9" w:rsidRDefault="00C23BE9" w:rsidP="007B1C88">
            <w:pPr>
              <w:spacing w:before="0" w:after="0"/>
              <w:ind w:left="57" w:right="57"/>
              <w:jc w:val="right"/>
              <w:rPr>
                <w:sz w:val="16"/>
                <w:szCs w:val="16"/>
                <w:lang w:val="sr-Latn-RS"/>
              </w:rPr>
            </w:pPr>
            <w:r w:rsidRPr="00C23BE9">
              <w:rPr>
                <w:sz w:val="16"/>
                <w:szCs w:val="16"/>
                <w:lang w:val="sr-Latn-RS"/>
              </w:rPr>
              <w:t>-8</w:t>
            </w:r>
            <w:r w:rsidR="005D0722">
              <w:rPr>
                <w:sz w:val="16"/>
                <w:szCs w:val="16"/>
                <w:lang w:val="sr-Latn-RS"/>
              </w:rPr>
              <w:t>.</w:t>
            </w:r>
            <w:r w:rsidRPr="00C23BE9">
              <w:rPr>
                <w:sz w:val="16"/>
                <w:szCs w:val="16"/>
                <w:lang w:val="sr-Latn-RS"/>
              </w:rPr>
              <w:t>875</w:t>
            </w:r>
          </w:p>
        </w:tc>
        <w:tc>
          <w:tcPr>
            <w:tcW w:w="393" w:type="pct"/>
            <w:shd w:val="clear" w:color="auto" w:fill="auto"/>
            <w:vAlign w:val="center"/>
          </w:tcPr>
          <w:p w14:paraId="41234A7E" w14:textId="05850E90" w:rsidR="00C23BE9" w:rsidRPr="00C23BE9" w:rsidRDefault="00C23BE9" w:rsidP="007B1C88">
            <w:pPr>
              <w:spacing w:before="0" w:after="0"/>
              <w:ind w:left="57" w:right="57"/>
              <w:jc w:val="right"/>
              <w:rPr>
                <w:sz w:val="16"/>
                <w:szCs w:val="16"/>
                <w:lang w:val="sr-Latn-RS"/>
              </w:rPr>
            </w:pPr>
            <w:r w:rsidRPr="00C23BE9">
              <w:rPr>
                <w:sz w:val="16"/>
                <w:szCs w:val="16"/>
                <w:lang w:val="sr-Latn-RS"/>
              </w:rPr>
              <w:t>1</w:t>
            </w:r>
            <w:r w:rsidR="005D0722">
              <w:rPr>
                <w:sz w:val="16"/>
                <w:szCs w:val="16"/>
                <w:lang w:val="sr-Latn-RS"/>
              </w:rPr>
              <w:t>.</w:t>
            </w:r>
            <w:r w:rsidRPr="00C23BE9">
              <w:rPr>
                <w:sz w:val="16"/>
                <w:szCs w:val="16"/>
                <w:lang w:val="sr-Latn-RS"/>
              </w:rPr>
              <w:t>590</w:t>
            </w:r>
          </w:p>
        </w:tc>
        <w:tc>
          <w:tcPr>
            <w:tcW w:w="393" w:type="pct"/>
            <w:shd w:val="clear" w:color="auto" w:fill="auto"/>
            <w:vAlign w:val="center"/>
          </w:tcPr>
          <w:p w14:paraId="01ED8C3C" w14:textId="0EB7CE6A" w:rsidR="00C23BE9" w:rsidRPr="00C23BE9" w:rsidRDefault="005D0722" w:rsidP="007B1C88">
            <w:pPr>
              <w:spacing w:before="0" w:after="0"/>
              <w:ind w:left="57" w:right="57"/>
              <w:jc w:val="right"/>
              <w:rPr>
                <w:sz w:val="16"/>
                <w:szCs w:val="16"/>
                <w:lang w:val="sr-Latn-RS"/>
              </w:rPr>
            </w:pPr>
            <w:r>
              <w:rPr>
                <w:sz w:val="16"/>
                <w:szCs w:val="16"/>
                <w:lang w:val="sr-Latn-RS"/>
              </w:rPr>
              <w:t>.</w:t>
            </w:r>
            <w:r w:rsidR="00C23BE9" w:rsidRPr="00C23BE9">
              <w:rPr>
                <w:sz w:val="16"/>
                <w:szCs w:val="16"/>
                <w:lang w:val="sr-Latn-RS"/>
              </w:rPr>
              <w:t>994</w:t>
            </w:r>
          </w:p>
        </w:tc>
        <w:tc>
          <w:tcPr>
            <w:tcW w:w="393" w:type="pct"/>
            <w:shd w:val="clear" w:color="auto" w:fill="auto"/>
            <w:vAlign w:val="center"/>
          </w:tcPr>
          <w:p w14:paraId="11297FB7" w14:textId="25981A0A" w:rsidR="00C23BE9" w:rsidRPr="00C23BE9" w:rsidRDefault="00C23BE9" w:rsidP="007B1C88">
            <w:pPr>
              <w:spacing w:before="0" w:after="0"/>
              <w:ind w:left="57" w:right="57"/>
              <w:jc w:val="right"/>
              <w:rPr>
                <w:sz w:val="16"/>
                <w:szCs w:val="16"/>
                <w:lang w:val="sr-Latn-RS"/>
              </w:rPr>
            </w:pPr>
            <w:r w:rsidRPr="00C23BE9">
              <w:rPr>
                <w:sz w:val="16"/>
                <w:szCs w:val="16"/>
                <w:lang w:val="sr-Latn-RS"/>
              </w:rPr>
              <w:t>-</w:t>
            </w:r>
            <w:r w:rsidR="005D0722">
              <w:rPr>
                <w:sz w:val="16"/>
                <w:szCs w:val="16"/>
                <w:lang w:val="sr-Latn-RS"/>
              </w:rPr>
              <w:t>.</w:t>
            </w:r>
            <w:r w:rsidRPr="00C23BE9">
              <w:rPr>
                <w:sz w:val="16"/>
                <w:szCs w:val="16"/>
                <w:lang w:val="sr-Latn-RS"/>
              </w:rPr>
              <w:t>539</w:t>
            </w:r>
          </w:p>
        </w:tc>
        <w:tc>
          <w:tcPr>
            <w:tcW w:w="397" w:type="pct"/>
            <w:shd w:val="clear" w:color="auto" w:fill="auto"/>
            <w:vAlign w:val="center"/>
          </w:tcPr>
          <w:p w14:paraId="00153F84" w14:textId="45241E66" w:rsidR="00C23BE9" w:rsidRPr="00C23BE9" w:rsidRDefault="00C23BE9" w:rsidP="007B1C88">
            <w:pPr>
              <w:spacing w:before="0" w:after="0"/>
              <w:ind w:left="57" w:right="57"/>
              <w:jc w:val="right"/>
              <w:rPr>
                <w:sz w:val="16"/>
                <w:szCs w:val="16"/>
                <w:lang w:val="sr-Latn-RS"/>
              </w:rPr>
            </w:pPr>
            <w:r w:rsidRPr="00C23BE9">
              <w:rPr>
                <w:sz w:val="16"/>
                <w:szCs w:val="16"/>
                <w:lang w:val="sr-Latn-RS"/>
              </w:rPr>
              <w:t>-5</w:t>
            </w:r>
            <w:r w:rsidR="005D0722">
              <w:rPr>
                <w:sz w:val="16"/>
                <w:szCs w:val="16"/>
                <w:lang w:val="sr-Latn-RS"/>
              </w:rPr>
              <w:t>.</w:t>
            </w:r>
            <w:r w:rsidRPr="00C23BE9">
              <w:rPr>
                <w:sz w:val="16"/>
                <w:szCs w:val="16"/>
                <w:lang w:val="sr-Latn-RS"/>
              </w:rPr>
              <w:t>837</w:t>
            </w:r>
          </w:p>
        </w:tc>
        <w:tc>
          <w:tcPr>
            <w:tcW w:w="568" w:type="pct"/>
            <w:shd w:val="clear" w:color="auto" w:fill="auto"/>
            <w:vAlign w:val="center"/>
          </w:tcPr>
          <w:p w14:paraId="4A325FA1" w14:textId="77777777" w:rsidR="00C23BE9" w:rsidRPr="00C23BE9" w:rsidRDefault="00C23BE9" w:rsidP="005D0722">
            <w:pPr>
              <w:spacing w:before="0" w:after="0"/>
              <w:ind w:left="57" w:right="57"/>
              <w:jc w:val="right"/>
              <w:rPr>
                <w:rFonts w:cs="Times New Roman"/>
                <w:sz w:val="16"/>
                <w:szCs w:val="16"/>
                <w:lang w:val="sr-Latn-RS"/>
              </w:rPr>
            </w:pPr>
          </w:p>
        </w:tc>
        <w:tc>
          <w:tcPr>
            <w:tcW w:w="564" w:type="pct"/>
            <w:tcBorders>
              <w:right w:val="nil"/>
            </w:tcBorders>
            <w:shd w:val="clear" w:color="auto" w:fill="auto"/>
            <w:vAlign w:val="center"/>
          </w:tcPr>
          <w:p w14:paraId="098B7192" w14:textId="77777777" w:rsidR="00C23BE9" w:rsidRPr="00C23BE9" w:rsidRDefault="00C23BE9" w:rsidP="005D0722">
            <w:pPr>
              <w:spacing w:before="0" w:after="0"/>
              <w:ind w:left="57" w:right="57"/>
              <w:jc w:val="right"/>
              <w:rPr>
                <w:rFonts w:cs="Times New Roman"/>
                <w:sz w:val="16"/>
                <w:szCs w:val="16"/>
                <w:lang w:val="sr-Latn-RS"/>
              </w:rPr>
            </w:pPr>
          </w:p>
        </w:tc>
      </w:tr>
      <w:tr w:rsidR="00C23BE9" w:rsidRPr="00C23BE9" w14:paraId="619349D2" w14:textId="77777777" w:rsidTr="00A1076D">
        <w:trPr>
          <w:cantSplit/>
        </w:trPr>
        <w:tc>
          <w:tcPr>
            <w:tcW w:w="562" w:type="pct"/>
            <w:vMerge/>
            <w:tcBorders>
              <w:left w:val="nil"/>
            </w:tcBorders>
            <w:shd w:val="clear" w:color="auto" w:fill="auto"/>
            <w:vAlign w:val="center"/>
          </w:tcPr>
          <w:p w14:paraId="56692F74" w14:textId="77777777" w:rsidR="00C23BE9" w:rsidRPr="00C23BE9" w:rsidRDefault="00C23BE9" w:rsidP="007B1C88">
            <w:pPr>
              <w:spacing w:before="0" w:after="0"/>
              <w:ind w:left="57" w:right="57"/>
              <w:jc w:val="left"/>
              <w:rPr>
                <w:rFonts w:cs="Times New Roman"/>
                <w:sz w:val="16"/>
                <w:szCs w:val="16"/>
                <w:lang w:val="sr-Latn-RS"/>
              </w:rPr>
            </w:pPr>
          </w:p>
        </w:tc>
        <w:tc>
          <w:tcPr>
            <w:tcW w:w="551" w:type="pct"/>
            <w:shd w:val="clear" w:color="auto" w:fill="auto"/>
            <w:vAlign w:val="center"/>
          </w:tcPr>
          <w:p w14:paraId="1C4E6682" w14:textId="77777777" w:rsidR="00C23BE9" w:rsidRPr="00C23BE9" w:rsidRDefault="00C23BE9" w:rsidP="007B1C88">
            <w:pPr>
              <w:spacing w:before="0" w:after="0"/>
              <w:ind w:left="57" w:right="57"/>
              <w:jc w:val="left"/>
              <w:rPr>
                <w:sz w:val="16"/>
                <w:szCs w:val="16"/>
                <w:lang w:val="sr-Latn-RS"/>
              </w:rPr>
            </w:pPr>
            <w:r w:rsidRPr="00C23BE9">
              <w:rPr>
                <w:sz w:val="16"/>
                <w:szCs w:val="16"/>
                <w:lang w:val="sr-Latn-RS"/>
              </w:rPr>
              <w:t>Load_kg_n</w:t>
            </w:r>
          </w:p>
        </w:tc>
        <w:tc>
          <w:tcPr>
            <w:tcW w:w="393" w:type="pct"/>
            <w:shd w:val="clear" w:color="auto" w:fill="auto"/>
            <w:vAlign w:val="center"/>
          </w:tcPr>
          <w:p w14:paraId="06BF5C40" w14:textId="75993A82" w:rsidR="00C23BE9" w:rsidRPr="00C23BE9" w:rsidRDefault="005D0722" w:rsidP="007B1C88">
            <w:pPr>
              <w:spacing w:before="0" w:after="0"/>
              <w:ind w:left="57" w:right="57"/>
              <w:jc w:val="right"/>
              <w:rPr>
                <w:sz w:val="16"/>
                <w:szCs w:val="16"/>
                <w:lang w:val="sr-Latn-RS"/>
              </w:rPr>
            </w:pPr>
            <w:r>
              <w:rPr>
                <w:sz w:val="16"/>
                <w:szCs w:val="16"/>
                <w:lang w:val="sr-Latn-RS"/>
              </w:rPr>
              <w:t>.</w:t>
            </w:r>
            <w:r w:rsidR="00C23BE9" w:rsidRPr="00C23BE9">
              <w:rPr>
                <w:sz w:val="16"/>
                <w:szCs w:val="16"/>
                <w:lang w:val="sr-Latn-RS"/>
              </w:rPr>
              <w:t>157</w:t>
            </w:r>
          </w:p>
        </w:tc>
        <w:tc>
          <w:tcPr>
            <w:tcW w:w="393" w:type="pct"/>
            <w:shd w:val="clear" w:color="auto" w:fill="auto"/>
            <w:vAlign w:val="center"/>
          </w:tcPr>
          <w:p w14:paraId="7642C09D" w14:textId="0338678B" w:rsidR="00C23BE9" w:rsidRPr="00C23BE9" w:rsidRDefault="00C23BE9" w:rsidP="007B1C88">
            <w:pPr>
              <w:spacing w:before="0" w:after="0"/>
              <w:ind w:left="57" w:right="57"/>
              <w:jc w:val="right"/>
              <w:rPr>
                <w:sz w:val="16"/>
                <w:szCs w:val="16"/>
                <w:lang w:val="sr-Latn-RS"/>
              </w:rPr>
            </w:pPr>
            <w:r w:rsidRPr="00C23BE9">
              <w:rPr>
                <w:sz w:val="16"/>
                <w:szCs w:val="16"/>
                <w:lang w:val="sr-Latn-RS"/>
              </w:rPr>
              <w:t>2</w:t>
            </w:r>
            <w:r w:rsidR="005D0722">
              <w:rPr>
                <w:sz w:val="16"/>
                <w:szCs w:val="16"/>
                <w:lang w:val="sr-Latn-RS"/>
              </w:rPr>
              <w:t>.</w:t>
            </w:r>
            <w:r w:rsidRPr="00C23BE9">
              <w:rPr>
                <w:sz w:val="16"/>
                <w:szCs w:val="16"/>
                <w:lang w:val="sr-Latn-RS"/>
              </w:rPr>
              <w:t>408</w:t>
            </w:r>
          </w:p>
        </w:tc>
        <w:tc>
          <w:tcPr>
            <w:tcW w:w="393" w:type="pct"/>
            <w:shd w:val="clear" w:color="auto" w:fill="auto"/>
            <w:vAlign w:val="center"/>
          </w:tcPr>
          <w:p w14:paraId="79E43E2B" w14:textId="733FBD54" w:rsidR="00C23BE9" w:rsidRPr="00C23BE9" w:rsidRDefault="00C23BE9" w:rsidP="007B1C88">
            <w:pPr>
              <w:spacing w:before="0" w:after="0"/>
              <w:ind w:left="57" w:right="57"/>
              <w:jc w:val="right"/>
              <w:rPr>
                <w:sz w:val="16"/>
                <w:szCs w:val="16"/>
                <w:lang w:val="sr-Latn-RS"/>
              </w:rPr>
            </w:pPr>
            <w:r w:rsidRPr="00C23BE9">
              <w:rPr>
                <w:sz w:val="16"/>
                <w:szCs w:val="16"/>
                <w:lang w:val="sr-Latn-RS"/>
              </w:rPr>
              <w:t>-</w:t>
            </w:r>
            <w:r w:rsidR="005D0722">
              <w:rPr>
                <w:sz w:val="16"/>
                <w:szCs w:val="16"/>
                <w:lang w:val="sr-Latn-RS"/>
              </w:rPr>
              <w:t>.</w:t>
            </w:r>
            <w:r w:rsidRPr="00C23BE9">
              <w:rPr>
                <w:sz w:val="16"/>
                <w:szCs w:val="16"/>
                <w:lang w:val="sr-Latn-RS"/>
              </w:rPr>
              <w:t>754</w:t>
            </w:r>
          </w:p>
        </w:tc>
        <w:tc>
          <w:tcPr>
            <w:tcW w:w="393" w:type="pct"/>
            <w:shd w:val="clear" w:color="auto" w:fill="auto"/>
            <w:vAlign w:val="center"/>
          </w:tcPr>
          <w:p w14:paraId="4431F0A1" w14:textId="4D944FDE" w:rsidR="00C23BE9" w:rsidRPr="00C23BE9" w:rsidRDefault="005D0722" w:rsidP="007B1C88">
            <w:pPr>
              <w:spacing w:before="0" w:after="0"/>
              <w:ind w:left="57" w:right="57"/>
              <w:jc w:val="right"/>
              <w:rPr>
                <w:sz w:val="16"/>
                <w:szCs w:val="16"/>
                <w:lang w:val="sr-Latn-RS"/>
              </w:rPr>
            </w:pPr>
            <w:r>
              <w:rPr>
                <w:sz w:val="16"/>
                <w:szCs w:val="16"/>
                <w:lang w:val="sr-Latn-RS"/>
              </w:rPr>
              <w:t>.</w:t>
            </w:r>
            <w:r w:rsidR="00C23BE9" w:rsidRPr="00C23BE9">
              <w:rPr>
                <w:sz w:val="16"/>
                <w:szCs w:val="16"/>
                <w:lang w:val="sr-Latn-RS"/>
              </w:rPr>
              <w:t>462</w:t>
            </w:r>
          </w:p>
        </w:tc>
        <w:tc>
          <w:tcPr>
            <w:tcW w:w="393" w:type="pct"/>
            <w:shd w:val="clear" w:color="auto" w:fill="auto"/>
            <w:vAlign w:val="center"/>
          </w:tcPr>
          <w:p w14:paraId="4AE937D0" w14:textId="2C5E76FB" w:rsidR="00C23BE9" w:rsidRPr="00C23BE9" w:rsidRDefault="00C23BE9" w:rsidP="007B1C88">
            <w:pPr>
              <w:spacing w:before="0" w:after="0"/>
              <w:ind w:left="57" w:right="57"/>
              <w:jc w:val="right"/>
              <w:rPr>
                <w:sz w:val="16"/>
                <w:szCs w:val="16"/>
                <w:lang w:val="sr-Latn-RS"/>
              </w:rPr>
            </w:pPr>
            <w:r w:rsidRPr="00C23BE9">
              <w:rPr>
                <w:sz w:val="16"/>
                <w:szCs w:val="16"/>
                <w:lang w:val="sr-Latn-RS"/>
              </w:rPr>
              <w:t>-3</w:t>
            </w:r>
            <w:r w:rsidR="005D0722">
              <w:rPr>
                <w:sz w:val="16"/>
                <w:szCs w:val="16"/>
                <w:lang w:val="sr-Latn-RS"/>
              </w:rPr>
              <w:t>.</w:t>
            </w:r>
            <w:r w:rsidRPr="00C23BE9">
              <w:rPr>
                <w:sz w:val="16"/>
                <w:szCs w:val="16"/>
                <w:lang w:val="sr-Latn-RS"/>
              </w:rPr>
              <w:t>158</w:t>
            </w:r>
          </w:p>
        </w:tc>
        <w:tc>
          <w:tcPr>
            <w:tcW w:w="393" w:type="pct"/>
            <w:shd w:val="clear" w:color="auto" w:fill="auto"/>
            <w:vAlign w:val="center"/>
          </w:tcPr>
          <w:p w14:paraId="700F12E8" w14:textId="13F17FE9" w:rsidR="00C23BE9" w:rsidRPr="00C23BE9" w:rsidRDefault="00C23BE9" w:rsidP="007B1C88">
            <w:pPr>
              <w:spacing w:before="0" w:after="0"/>
              <w:ind w:left="57" w:right="57"/>
              <w:jc w:val="right"/>
              <w:rPr>
                <w:sz w:val="16"/>
                <w:szCs w:val="16"/>
                <w:lang w:val="sr-Latn-RS"/>
              </w:rPr>
            </w:pPr>
            <w:r w:rsidRPr="00C23BE9">
              <w:rPr>
                <w:sz w:val="16"/>
                <w:szCs w:val="16"/>
                <w:lang w:val="sr-Latn-RS"/>
              </w:rPr>
              <w:t>-</w:t>
            </w:r>
            <w:r w:rsidR="005D0722">
              <w:rPr>
                <w:sz w:val="16"/>
                <w:szCs w:val="16"/>
                <w:lang w:val="sr-Latn-RS"/>
              </w:rPr>
              <w:t>.</w:t>
            </w:r>
            <w:r w:rsidRPr="00C23BE9">
              <w:rPr>
                <w:sz w:val="16"/>
                <w:szCs w:val="16"/>
                <w:lang w:val="sr-Latn-RS"/>
              </w:rPr>
              <w:t>769</w:t>
            </w:r>
          </w:p>
        </w:tc>
        <w:tc>
          <w:tcPr>
            <w:tcW w:w="397" w:type="pct"/>
            <w:shd w:val="clear" w:color="auto" w:fill="auto"/>
            <w:vAlign w:val="center"/>
          </w:tcPr>
          <w:p w14:paraId="0D554126" w14:textId="43A9F77B" w:rsidR="00C23BE9" w:rsidRPr="00C23BE9" w:rsidRDefault="005D0722" w:rsidP="007B1C88">
            <w:pPr>
              <w:spacing w:before="0" w:after="0"/>
              <w:ind w:left="57" w:right="57"/>
              <w:jc w:val="right"/>
              <w:rPr>
                <w:sz w:val="16"/>
                <w:szCs w:val="16"/>
                <w:lang w:val="sr-Latn-RS"/>
              </w:rPr>
            </w:pPr>
            <w:r>
              <w:rPr>
                <w:sz w:val="16"/>
                <w:szCs w:val="16"/>
                <w:lang w:val="sr-Latn-RS"/>
              </w:rPr>
              <w:t>.</w:t>
            </w:r>
            <w:r w:rsidR="00C23BE9" w:rsidRPr="00C23BE9">
              <w:rPr>
                <w:sz w:val="16"/>
                <w:szCs w:val="16"/>
                <w:lang w:val="sr-Latn-RS"/>
              </w:rPr>
              <w:t>871</w:t>
            </w:r>
          </w:p>
        </w:tc>
        <w:tc>
          <w:tcPr>
            <w:tcW w:w="568" w:type="pct"/>
            <w:shd w:val="clear" w:color="auto" w:fill="auto"/>
            <w:vAlign w:val="center"/>
          </w:tcPr>
          <w:p w14:paraId="1AB113D1" w14:textId="77777777" w:rsidR="00C23BE9" w:rsidRPr="00C23BE9" w:rsidRDefault="00C23BE9" w:rsidP="005D0722">
            <w:pPr>
              <w:spacing w:before="0" w:after="0"/>
              <w:ind w:left="57" w:right="57"/>
              <w:jc w:val="right"/>
              <w:rPr>
                <w:rFonts w:cs="Times New Roman"/>
                <w:sz w:val="16"/>
                <w:szCs w:val="16"/>
                <w:lang w:val="sr-Latn-RS"/>
              </w:rPr>
            </w:pPr>
          </w:p>
        </w:tc>
        <w:tc>
          <w:tcPr>
            <w:tcW w:w="564" w:type="pct"/>
            <w:tcBorders>
              <w:right w:val="nil"/>
            </w:tcBorders>
            <w:shd w:val="clear" w:color="auto" w:fill="auto"/>
            <w:vAlign w:val="center"/>
          </w:tcPr>
          <w:p w14:paraId="1651F792" w14:textId="77777777" w:rsidR="00C23BE9" w:rsidRPr="00C23BE9" w:rsidRDefault="00C23BE9" w:rsidP="005D0722">
            <w:pPr>
              <w:spacing w:before="0" w:after="0"/>
              <w:ind w:left="57" w:right="57"/>
              <w:jc w:val="right"/>
              <w:rPr>
                <w:rFonts w:cs="Times New Roman"/>
                <w:sz w:val="16"/>
                <w:szCs w:val="16"/>
                <w:lang w:val="sr-Latn-RS"/>
              </w:rPr>
            </w:pPr>
          </w:p>
        </w:tc>
      </w:tr>
      <w:tr w:rsidR="00C23BE9" w:rsidRPr="00C23BE9" w14:paraId="1DE2DF10" w14:textId="77777777" w:rsidTr="00A1076D">
        <w:trPr>
          <w:cantSplit/>
        </w:trPr>
        <w:tc>
          <w:tcPr>
            <w:tcW w:w="562" w:type="pct"/>
            <w:vMerge/>
            <w:tcBorders>
              <w:left w:val="nil"/>
            </w:tcBorders>
            <w:shd w:val="clear" w:color="auto" w:fill="auto"/>
            <w:vAlign w:val="center"/>
          </w:tcPr>
          <w:p w14:paraId="6A83D674" w14:textId="77777777" w:rsidR="00C23BE9" w:rsidRPr="00C23BE9" w:rsidRDefault="00C23BE9" w:rsidP="007B1C88">
            <w:pPr>
              <w:spacing w:before="0" w:after="0"/>
              <w:ind w:left="57" w:right="57"/>
              <w:jc w:val="left"/>
              <w:rPr>
                <w:rFonts w:cs="Times New Roman"/>
                <w:sz w:val="16"/>
                <w:szCs w:val="16"/>
                <w:lang w:val="sr-Latn-RS"/>
              </w:rPr>
            </w:pPr>
          </w:p>
        </w:tc>
        <w:tc>
          <w:tcPr>
            <w:tcW w:w="551" w:type="pct"/>
            <w:shd w:val="clear" w:color="auto" w:fill="auto"/>
            <w:vAlign w:val="center"/>
          </w:tcPr>
          <w:p w14:paraId="5EC6FFD3" w14:textId="77777777" w:rsidR="00C23BE9" w:rsidRPr="00C23BE9" w:rsidRDefault="00C23BE9" w:rsidP="007B1C88">
            <w:pPr>
              <w:spacing w:before="0" w:after="0"/>
              <w:ind w:left="57" w:right="57"/>
              <w:jc w:val="left"/>
              <w:rPr>
                <w:sz w:val="16"/>
                <w:szCs w:val="16"/>
                <w:lang w:val="sr-Latn-RS"/>
              </w:rPr>
            </w:pPr>
            <w:r w:rsidRPr="00C23BE9">
              <w:rPr>
                <w:sz w:val="16"/>
                <w:szCs w:val="16"/>
                <w:lang w:val="sr-Latn-RS"/>
              </w:rPr>
              <w:t>N_Stdev_IS</w:t>
            </w:r>
          </w:p>
        </w:tc>
        <w:tc>
          <w:tcPr>
            <w:tcW w:w="393" w:type="pct"/>
            <w:shd w:val="clear" w:color="auto" w:fill="auto"/>
            <w:vAlign w:val="center"/>
          </w:tcPr>
          <w:p w14:paraId="135119C5" w14:textId="010725D2" w:rsidR="00C23BE9" w:rsidRPr="00C23BE9" w:rsidRDefault="00C23BE9" w:rsidP="007B1C88">
            <w:pPr>
              <w:spacing w:before="0" w:after="0"/>
              <w:ind w:left="57" w:right="57"/>
              <w:jc w:val="right"/>
              <w:rPr>
                <w:sz w:val="16"/>
                <w:szCs w:val="16"/>
                <w:lang w:val="sr-Latn-RS"/>
              </w:rPr>
            </w:pPr>
            <w:r w:rsidRPr="00C23BE9">
              <w:rPr>
                <w:sz w:val="16"/>
                <w:szCs w:val="16"/>
                <w:lang w:val="sr-Latn-RS"/>
              </w:rPr>
              <w:t>-1</w:t>
            </w:r>
            <w:r w:rsidR="005D0722">
              <w:rPr>
                <w:sz w:val="16"/>
                <w:szCs w:val="16"/>
                <w:lang w:val="sr-Latn-RS"/>
              </w:rPr>
              <w:t>.</w:t>
            </w:r>
            <w:r w:rsidRPr="00C23BE9">
              <w:rPr>
                <w:sz w:val="16"/>
                <w:szCs w:val="16"/>
                <w:lang w:val="sr-Latn-RS"/>
              </w:rPr>
              <w:t>879</w:t>
            </w:r>
          </w:p>
        </w:tc>
        <w:tc>
          <w:tcPr>
            <w:tcW w:w="393" w:type="pct"/>
            <w:shd w:val="clear" w:color="auto" w:fill="auto"/>
            <w:vAlign w:val="center"/>
          </w:tcPr>
          <w:p w14:paraId="2956656C" w14:textId="3549021F" w:rsidR="00C23BE9" w:rsidRPr="00C23BE9" w:rsidRDefault="00C23BE9" w:rsidP="007B1C88">
            <w:pPr>
              <w:spacing w:before="0" w:after="0"/>
              <w:ind w:left="57" w:right="57"/>
              <w:jc w:val="right"/>
              <w:rPr>
                <w:sz w:val="16"/>
                <w:szCs w:val="16"/>
                <w:lang w:val="sr-Latn-RS"/>
              </w:rPr>
            </w:pPr>
            <w:r w:rsidRPr="00C23BE9">
              <w:rPr>
                <w:sz w:val="16"/>
                <w:szCs w:val="16"/>
                <w:lang w:val="sr-Latn-RS"/>
              </w:rPr>
              <w:t>-</w:t>
            </w:r>
            <w:r w:rsidR="005D0722">
              <w:rPr>
                <w:sz w:val="16"/>
                <w:szCs w:val="16"/>
                <w:lang w:val="sr-Latn-RS"/>
              </w:rPr>
              <w:t>.</w:t>
            </w:r>
            <w:r w:rsidRPr="00C23BE9">
              <w:rPr>
                <w:sz w:val="16"/>
                <w:szCs w:val="16"/>
                <w:lang w:val="sr-Latn-RS"/>
              </w:rPr>
              <w:t>461</w:t>
            </w:r>
          </w:p>
        </w:tc>
        <w:tc>
          <w:tcPr>
            <w:tcW w:w="393" w:type="pct"/>
            <w:shd w:val="clear" w:color="auto" w:fill="auto"/>
            <w:vAlign w:val="center"/>
          </w:tcPr>
          <w:p w14:paraId="727DA551" w14:textId="455E6D2E" w:rsidR="00C23BE9" w:rsidRPr="00C23BE9" w:rsidRDefault="00C23BE9" w:rsidP="007B1C88">
            <w:pPr>
              <w:spacing w:before="0" w:after="0"/>
              <w:ind w:left="57" w:right="57"/>
              <w:jc w:val="right"/>
              <w:rPr>
                <w:sz w:val="16"/>
                <w:szCs w:val="16"/>
                <w:lang w:val="sr-Latn-RS"/>
              </w:rPr>
            </w:pPr>
            <w:r w:rsidRPr="00C23BE9">
              <w:rPr>
                <w:sz w:val="16"/>
                <w:szCs w:val="16"/>
                <w:lang w:val="sr-Latn-RS"/>
              </w:rPr>
              <w:t>-</w:t>
            </w:r>
            <w:r w:rsidR="005D0722">
              <w:rPr>
                <w:sz w:val="16"/>
                <w:szCs w:val="16"/>
                <w:lang w:val="sr-Latn-RS"/>
              </w:rPr>
              <w:t>.</w:t>
            </w:r>
            <w:r w:rsidRPr="00C23BE9">
              <w:rPr>
                <w:sz w:val="16"/>
                <w:szCs w:val="16"/>
                <w:lang w:val="sr-Latn-RS"/>
              </w:rPr>
              <w:t>824</w:t>
            </w:r>
          </w:p>
        </w:tc>
        <w:tc>
          <w:tcPr>
            <w:tcW w:w="393" w:type="pct"/>
            <w:shd w:val="clear" w:color="auto" w:fill="auto"/>
            <w:vAlign w:val="center"/>
          </w:tcPr>
          <w:p w14:paraId="593C0065" w14:textId="60946897" w:rsidR="00C23BE9" w:rsidRPr="00C23BE9" w:rsidRDefault="00C23BE9" w:rsidP="007B1C88">
            <w:pPr>
              <w:spacing w:before="0" w:after="0"/>
              <w:ind w:left="57" w:right="57"/>
              <w:jc w:val="right"/>
              <w:rPr>
                <w:sz w:val="16"/>
                <w:szCs w:val="16"/>
                <w:lang w:val="sr-Latn-RS"/>
              </w:rPr>
            </w:pPr>
            <w:r w:rsidRPr="00C23BE9">
              <w:rPr>
                <w:sz w:val="16"/>
                <w:szCs w:val="16"/>
                <w:lang w:val="sr-Latn-RS"/>
              </w:rPr>
              <w:t>1</w:t>
            </w:r>
            <w:r w:rsidR="005D0722">
              <w:rPr>
                <w:sz w:val="16"/>
                <w:szCs w:val="16"/>
                <w:lang w:val="sr-Latn-RS"/>
              </w:rPr>
              <w:t>.</w:t>
            </w:r>
            <w:r w:rsidRPr="00C23BE9">
              <w:rPr>
                <w:sz w:val="16"/>
                <w:szCs w:val="16"/>
                <w:lang w:val="sr-Latn-RS"/>
              </w:rPr>
              <w:t>584</w:t>
            </w:r>
          </w:p>
        </w:tc>
        <w:tc>
          <w:tcPr>
            <w:tcW w:w="393" w:type="pct"/>
            <w:shd w:val="clear" w:color="auto" w:fill="auto"/>
            <w:vAlign w:val="center"/>
          </w:tcPr>
          <w:p w14:paraId="6DE81927" w14:textId="3BCFF1AB" w:rsidR="00C23BE9" w:rsidRPr="00C23BE9" w:rsidRDefault="00C23BE9" w:rsidP="007B1C88">
            <w:pPr>
              <w:spacing w:before="0" w:after="0"/>
              <w:ind w:left="57" w:right="57"/>
              <w:jc w:val="right"/>
              <w:rPr>
                <w:sz w:val="16"/>
                <w:szCs w:val="16"/>
                <w:lang w:val="sr-Latn-RS"/>
              </w:rPr>
            </w:pPr>
            <w:r w:rsidRPr="00C23BE9">
              <w:rPr>
                <w:sz w:val="16"/>
                <w:szCs w:val="16"/>
                <w:lang w:val="sr-Latn-RS"/>
              </w:rPr>
              <w:t>-2</w:t>
            </w:r>
            <w:r w:rsidR="005D0722">
              <w:rPr>
                <w:sz w:val="16"/>
                <w:szCs w:val="16"/>
                <w:lang w:val="sr-Latn-RS"/>
              </w:rPr>
              <w:t>.</w:t>
            </w:r>
            <w:r w:rsidRPr="00C23BE9">
              <w:rPr>
                <w:sz w:val="16"/>
                <w:szCs w:val="16"/>
                <w:lang w:val="sr-Latn-RS"/>
              </w:rPr>
              <w:t>579</w:t>
            </w:r>
          </w:p>
        </w:tc>
        <w:tc>
          <w:tcPr>
            <w:tcW w:w="393" w:type="pct"/>
            <w:shd w:val="clear" w:color="auto" w:fill="auto"/>
            <w:vAlign w:val="center"/>
          </w:tcPr>
          <w:p w14:paraId="7C19CDAC" w14:textId="779245B3" w:rsidR="00C23BE9" w:rsidRPr="00C23BE9" w:rsidRDefault="005D0722" w:rsidP="007B1C88">
            <w:pPr>
              <w:spacing w:before="0" w:after="0"/>
              <w:ind w:left="57" w:right="57"/>
              <w:jc w:val="right"/>
              <w:rPr>
                <w:sz w:val="16"/>
                <w:szCs w:val="16"/>
                <w:lang w:val="sr-Latn-RS"/>
              </w:rPr>
            </w:pPr>
            <w:r>
              <w:rPr>
                <w:sz w:val="16"/>
                <w:szCs w:val="16"/>
                <w:lang w:val="sr-Latn-RS"/>
              </w:rPr>
              <w:t>.</w:t>
            </w:r>
            <w:r w:rsidR="00C23BE9" w:rsidRPr="00C23BE9">
              <w:rPr>
                <w:sz w:val="16"/>
                <w:szCs w:val="16"/>
                <w:lang w:val="sr-Latn-RS"/>
              </w:rPr>
              <w:t>435</w:t>
            </w:r>
          </w:p>
        </w:tc>
        <w:tc>
          <w:tcPr>
            <w:tcW w:w="397" w:type="pct"/>
            <w:shd w:val="clear" w:color="auto" w:fill="auto"/>
            <w:vAlign w:val="center"/>
          </w:tcPr>
          <w:p w14:paraId="04F43DE4" w14:textId="3CB990F8" w:rsidR="00C23BE9" w:rsidRPr="00C23BE9" w:rsidRDefault="00C23BE9" w:rsidP="007B1C88">
            <w:pPr>
              <w:spacing w:before="0" w:after="0"/>
              <w:ind w:left="57" w:right="57"/>
              <w:jc w:val="right"/>
              <w:rPr>
                <w:sz w:val="16"/>
                <w:szCs w:val="16"/>
                <w:lang w:val="sr-Latn-RS"/>
              </w:rPr>
            </w:pPr>
            <w:r w:rsidRPr="00C23BE9">
              <w:rPr>
                <w:sz w:val="16"/>
                <w:szCs w:val="16"/>
                <w:lang w:val="sr-Latn-RS"/>
              </w:rPr>
              <w:t>-2</w:t>
            </w:r>
            <w:r w:rsidR="005D0722">
              <w:rPr>
                <w:sz w:val="16"/>
                <w:szCs w:val="16"/>
                <w:lang w:val="sr-Latn-RS"/>
              </w:rPr>
              <w:t>.</w:t>
            </w:r>
            <w:r w:rsidRPr="00C23BE9">
              <w:rPr>
                <w:sz w:val="16"/>
                <w:szCs w:val="16"/>
                <w:lang w:val="sr-Latn-RS"/>
              </w:rPr>
              <w:t>771</w:t>
            </w:r>
          </w:p>
        </w:tc>
        <w:tc>
          <w:tcPr>
            <w:tcW w:w="568" w:type="pct"/>
            <w:shd w:val="clear" w:color="auto" w:fill="auto"/>
            <w:vAlign w:val="center"/>
          </w:tcPr>
          <w:p w14:paraId="28F717CA" w14:textId="77777777" w:rsidR="00C23BE9" w:rsidRPr="00C23BE9" w:rsidRDefault="00C23BE9" w:rsidP="005D0722">
            <w:pPr>
              <w:spacing w:before="0" w:after="0"/>
              <w:ind w:left="57" w:right="57"/>
              <w:jc w:val="right"/>
              <w:rPr>
                <w:rFonts w:cs="Times New Roman"/>
                <w:sz w:val="16"/>
                <w:szCs w:val="16"/>
                <w:lang w:val="sr-Latn-RS"/>
              </w:rPr>
            </w:pPr>
          </w:p>
        </w:tc>
        <w:tc>
          <w:tcPr>
            <w:tcW w:w="564" w:type="pct"/>
            <w:tcBorders>
              <w:right w:val="nil"/>
            </w:tcBorders>
            <w:shd w:val="clear" w:color="auto" w:fill="auto"/>
            <w:vAlign w:val="center"/>
          </w:tcPr>
          <w:p w14:paraId="2A58708F" w14:textId="77777777" w:rsidR="00C23BE9" w:rsidRPr="00C23BE9" w:rsidRDefault="00C23BE9" w:rsidP="005D0722">
            <w:pPr>
              <w:spacing w:before="0" w:after="0"/>
              <w:ind w:left="57" w:right="57"/>
              <w:jc w:val="right"/>
              <w:rPr>
                <w:rFonts w:cs="Times New Roman"/>
                <w:sz w:val="16"/>
                <w:szCs w:val="16"/>
                <w:lang w:val="sr-Latn-RS"/>
              </w:rPr>
            </w:pPr>
          </w:p>
        </w:tc>
      </w:tr>
      <w:tr w:rsidR="00C23BE9" w:rsidRPr="00C23BE9" w14:paraId="1A6E926D" w14:textId="77777777" w:rsidTr="00A1076D">
        <w:trPr>
          <w:cantSplit/>
        </w:trPr>
        <w:tc>
          <w:tcPr>
            <w:tcW w:w="562" w:type="pct"/>
            <w:vMerge/>
            <w:tcBorders>
              <w:left w:val="nil"/>
            </w:tcBorders>
            <w:shd w:val="clear" w:color="auto" w:fill="auto"/>
            <w:vAlign w:val="center"/>
          </w:tcPr>
          <w:p w14:paraId="23943CBC" w14:textId="77777777" w:rsidR="00C23BE9" w:rsidRPr="00C23BE9" w:rsidRDefault="00C23BE9" w:rsidP="007B1C88">
            <w:pPr>
              <w:spacing w:before="0" w:after="0"/>
              <w:ind w:left="57" w:right="57"/>
              <w:jc w:val="left"/>
              <w:rPr>
                <w:rFonts w:cs="Times New Roman"/>
                <w:sz w:val="16"/>
                <w:szCs w:val="16"/>
                <w:lang w:val="sr-Latn-RS"/>
              </w:rPr>
            </w:pPr>
          </w:p>
        </w:tc>
        <w:tc>
          <w:tcPr>
            <w:tcW w:w="551" w:type="pct"/>
            <w:shd w:val="clear" w:color="auto" w:fill="auto"/>
            <w:vAlign w:val="center"/>
          </w:tcPr>
          <w:p w14:paraId="08EABC8F" w14:textId="77777777" w:rsidR="00C23BE9" w:rsidRPr="00C23BE9" w:rsidRDefault="00C23BE9" w:rsidP="007B1C88">
            <w:pPr>
              <w:spacing w:before="0" w:after="0"/>
              <w:ind w:left="57" w:right="57"/>
              <w:jc w:val="left"/>
              <w:rPr>
                <w:sz w:val="16"/>
                <w:szCs w:val="16"/>
                <w:lang w:val="sr-Latn-RS"/>
              </w:rPr>
            </w:pPr>
            <w:r w:rsidRPr="00C23BE9">
              <w:rPr>
                <w:sz w:val="16"/>
                <w:szCs w:val="16"/>
                <w:lang w:val="sr-Latn-RS"/>
              </w:rPr>
              <w:t>N_1Q_IS</w:t>
            </w:r>
          </w:p>
        </w:tc>
        <w:tc>
          <w:tcPr>
            <w:tcW w:w="393" w:type="pct"/>
            <w:shd w:val="clear" w:color="auto" w:fill="auto"/>
            <w:vAlign w:val="center"/>
          </w:tcPr>
          <w:p w14:paraId="30507FA2" w14:textId="06A75FCD" w:rsidR="00C23BE9" w:rsidRPr="00C23BE9" w:rsidRDefault="00C23BE9" w:rsidP="007B1C88">
            <w:pPr>
              <w:spacing w:before="0" w:after="0"/>
              <w:ind w:left="57" w:right="57"/>
              <w:jc w:val="right"/>
              <w:rPr>
                <w:sz w:val="16"/>
                <w:szCs w:val="16"/>
                <w:lang w:val="sr-Latn-RS"/>
              </w:rPr>
            </w:pPr>
            <w:r w:rsidRPr="00C23BE9">
              <w:rPr>
                <w:sz w:val="16"/>
                <w:szCs w:val="16"/>
                <w:lang w:val="sr-Latn-RS"/>
              </w:rPr>
              <w:t>-1</w:t>
            </w:r>
            <w:r w:rsidR="005D0722">
              <w:rPr>
                <w:sz w:val="16"/>
                <w:szCs w:val="16"/>
                <w:lang w:val="sr-Latn-RS"/>
              </w:rPr>
              <w:t>.</w:t>
            </w:r>
            <w:r w:rsidRPr="00C23BE9">
              <w:rPr>
                <w:sz w:val="16"/>
                <w:szCs w:val="16"/>
                <w:lang w:val="sr-Latn-RS"/>
              </w:rPr>
              <w:t>843</w:t>
            </w:r>
          </w:p>
        </w:tc>
        <w:tc>
          <w:tcPr>
            <w:tcW w:w="393" w:type="pct"/>
            <w:shd w:val="clear" w:color="auto" w:fill="auto"/>
            <w:vAlign w:val="center"/>
          </w:tcPr>
          <w:p w14:paraId="1B3D40D9" w14:textId="1701167A" w:rsidR="00C23BE9" w:rsidRPr="00C23BE9" w:rsidRDefault="00C23BE9" w:rsidP="007B1C88">
            <w:pPr>
              <w:spacing w:before="0" w:after="0"/>
              <w:ind w:left="57" w:right="57"/>
              <w:jc w:val="right"/>
              <w:rPr>
                <w:sz w:val="16"/>
                <w:szCs w:val="16"/>
                <w:lang w:val="sr-Latn-RS"/>
              </w:rPr>
            </w:pPr>
            <w:r w:rsidRPr="00C23BE9">
              <w:rPr>
                <w:sz w:val="16"/>
                <w:szCs w:val="16"/>
                <w:lang w:val="sr-Latn-RS"/>
              </w:rPr>
              <w:t>4</w:t>
            </w:r>
            <w:r w:rsidR="005D0722">
              <w:rPr>
                <w:sz w:val="16"/>
                <w:szCs w:val="16"/>
                <w:lang w:val="sr-Latn-RS"/>
              </w:rPr>
              <w:t>.</w:t>
            </w:r>
            <w:r w:rsidRPr="00C23BE9">
              <w:rPr>
                <w:sz w:val="16"/>
                <w:szCs w:val="16"/>
                <w:lang w:val="sr-Latn-RS"/>
              </w:rPr>
              <w:t>925</w:t>
            </w:r>
          </w:p>
        </w:tc>
        <w:tc>
          <w:tcPr>
            <w:tcW w:w="393" w:type="pct"/>
            <w:shd w:val="clear" w:color="auto" w:fill="auto"/>
            <w:vAlign w:val="center"/>
          </w:tcPr>
          <w:p w14:paraId="17ED73E4" w14:textId="5A13C740" w:rsidR="00C23BE9" w:rsidRPr="00C23BE9" w:rsidRDefault="00C23BE9" w:rsidP="007B1C88">
            <w:pPr>
              <w:spacing w:before="0" w:after="0"/>
              <w:ind w:left="57" w:right="57"/>
              <w:jc w:val="right"/>
              <w:rPr>
                <w:sz w:val="16"/>
                <w:szCs w:val="16"/>
                <w:lang w:val="sr-Latn-RS"/>
              </w:rPr>
            </w:pPr>
            <w:r w:rsidRPr="00C23BE9">
              <w:rPr>
                <w:sz w:val="16"/>
                <w:szCs w:val="16"/>
                <w:lang w:val="sr-Latn-RS"/>
              </w:rPr>
              <w:t>-1</w:t>
            </w:r>
            <w:r w:rsidR="005D0722">
              <w:rPr>
                <w:sz w:val="16"/>
                <w:szCs w:val="16"/>
                <w:lang w:val="sr-Latn-RS"/>
              </w:rPr>
              <w:t>.</w:t>
            </w:r>
            <w:r w:rsidRPr="00C23BE9">
              <w:rPr>
                <w:sz w:val="16"/>
                <w:szCs w:val="16"/>
                <w:lang w:val="sr-Latn-RS"/>
              </w:rPr>
              <w:t>422</w:t>
            </w:r>
          </w:p>
        </w:tc>
        <w:tc>
          <w:tcPr>
            <w:tcW w:w="393" w:type="pct"/>
            <w:shd w:val="clear" w:color="auto" w:fill="auto"/>
            <w:vAlign w:val="center"/>
          </w:tcPr>
          <w:p w14:paraId="0B83A801" w14:textId="128C7A3F" w:rsidR="00C23BE9" w:rsidRPr="00C23BE9" w:rsidRDefault="00C23BE9" w:rsidP="007B1C88">
            <w:pPr>
              <w:spacing w:before="0" w:after="0"/>
              <w:ind w:left="57" w:right="57"/>
              <w:jc w:val="right"/>
              <w:rPr>
                <w:sz w:val="16"/>
                <w:szCs w:val="16"/>
                <w:lang w:val="sr-Latn-RS"/>
              </w:rPr>
            </w:pPr>
            <w:r w:rsidRPr="00C23BE9">
              <w:rPr>
                <w:sz w:val="16"/>
                <w:szCs w:val="16"/>
                <w:lang w:val="sr-Latn-RS"/>
              </w:rPr>
              <w:t>-2</w:t>
            </w:r>
            <w:r w:rsidR="005D0722">
              <w:rPr>
                <w:sz w:val="16"/>
                <w:szCs w:val="16"/>
                <w:lang w:val="sr-Latn-RS"/>
              </w:rPr>
              <w:t>.</w:t>
            </w:r>
            <w:r w:rsidRPr="00C23BE9">
              <w:rPr>
                <w:sz w:val="16"/>
                <w:szCs w:val="16"/>
                <w:lang w:val="sr-Latn-RS"/>
              </w:rPr>
              <w:t>720</w:t>
            </w:r>
          </w:p>
        </w:tc>
        <w:tc>
          <w:tcPr>
            <w:tcW w:w="393" w:type="pct"/>
            <w:shd w:val="clear" w:color="auto" w:fill="auto"/>
            <w:vAlign w:val="center"/>
          </w:tcPr>
          <w:p w14:paraId="54D0EE5A" w14:textId="0A962009" w:rsidR="00C23BE9" w:rsidRPr="00C23BE9" w:rsidRDefault="00C23BE9" w:rsidP="007B1C88">
            <w:pPr>
              <w:spacing w:before="0" w:after="0"/>
              <w:ind w:left="57" w:right="57"/>
              <w:jc w:val="right"/>
              <w:rPr>
                <w:sz w:val="16"/>
                <w:szCs w:val="16"/>
                <w:lang w:val="sr-Latn-RS"/>
              </w:rPr>
            </w:pPr>
            <w:r w:rsidRPr="00C23BE9">
              <w:rPr>
                <w:sz w:val="16"/>
                <w:szCs w:val="16"/>
                <w:lang w:val="sr-Latn-RS"/>
              </w:rPr>
              <w:t>7</w:t>
            </w:r>
            <w:r w:rsidR="005D0722">
              <w:rPr>
                <w:sz w:val="16"/>
                <w:szCs w:val="16"/>
                <w:lang w:val="sr-Latn-RS"/>
              </w:rPr>
              <w:t>.</w:t>
            </w:r>
            <w:r w:rsidRPr="00C23BE9">
              <w:rPr>
                <w:sz w:val="16"/>
                <w:szCs w:val="16"/>
                <w:lang w:val="sr-Latn-RS"/>
              </w:rPr>
              <w:t>608</w:t>
            </w:r>
          </w:p>
        </w:tc>
        <w:tc>
          <w:tcPr>
            <w:tcW w:w="393" w:type="pct"/>
            <w:shd w:val="clear" w:color="auto" w:fill="auto"/>
            <w:vAlign w:val="center"/>
          </w:tcPr>
          <w:p w14:paraId="6E54D12D" w14:textId="09E154B1" w:rsidR="00C23BE9" w:rsidRPr="00C23BE9" w:rsidRDefault="00C23BE9" w:rsidP="007B1C88">
            <w:pPr>
              <w:spacing w:before="0" w:after="0"/>
              <w:ind w:left="57" w:right="57"/>
              <w:jc w:val="right"/>
              <w:rPr>
                <w:sz w:val="16"/>
                <w:szCs w:val="16"/>
                <w:lang w:val="sr-Latn-RS"/>
              </w:rPr>
            </w:pPr>
            <w:r w:rsidRPr="00C23BE9">
              <w:rPr>
                <w:sz w:val="16"/>
                <w:szCs w:val="16"/>
                <w:lang w:val="sr-Latn-RS"/>
              </w:rPr>
              <w:t>-3</w:t>
            </w:r>
            <w:r w:rsidR="005D0722">
              <w:rPr>
                <w:sz w:val="16"/>
                <w:szCs w:val="16"/>
                <w:lang w:val="sr-Latn-RS"/>
              </w:rPr>
              <w:t>.</w:t>
            </w:r>
            <w:r w:rsidRPr="00C23BE9">
              <w:rPr>
                <w:sz w:val="16"/>
                <w:szCs w:val="16"/>
                <w:lang w:val="sr-Latn-RS"/>
              </w:rPr>
              <w:t>643</w:t>
            </w:r>
          </w:p>
        </w:tc>
        <w:tc>
          <w:tcPr>
            <w:tcW w:w="397" w:type="pct"/>
            <w:shd w:val="clear" w:color="auto" w:fill="auto"/>
            <w:vAlign w:val="center"/>
          </w:tcPr>
          <w:p w14:paraId="46E9AD6C" w14:textId="15AF575F" w:rsidR="00C23BE9" w:rsidRPr="00C23BE9" w:rsidRDefault="00C23BE9" w:rsidP="007B1C88">
            <w:pPr>
              <w:spacing w:before="0" w:after="0"/>
              <w:ind w:left="57" w:right="57"/>
              <w:jc w:val="right"/>
              <w:rPr>
                <w:sz w:val="16"/>
                <w:szCs w:val="16"/>
                <w:lang w:val="sr-Latn-RS"/>
              </w:rPr>
            </w:pPr>
            <w:r w:rsidRPr="00C23BE9">
              <w:rPr>
                <w:sz w:val="16"/>
                <w:szCs w:val="16"/>
                <w:lang w:val="sr-Latn-RS"/>
              </w:rPr>
              <w:t>-</w:t>
            </w:r>
            <w:r w:rsidR="005D0722">
              <w:rPr>
                <w:sz w:val="16"/>
                <w:szCs w:val="16"/>
                <w:lang w:val="sr-Latn-RS"/>
              </w:rPr>
              <w:t>.</w:t>
            </w:r>
            <w:r w:rsidRPr="00C23BE9">
              <w:rPr>
                <w:sz w:val="16"/>
                <w:szCs w:val="16"/>
                <w:lang w:val="sr-Latn-RS"/>
              </w:rPr>
              <w:t>819</w:t>
            </w:r>
          </w:p>
        </w:tc>
        <w:tc>
          <w:tcPr>
            <w:tcW w:w="568" w:type="pct"/>
            <w:shd w:val="clear" w:color="auto" w:fill="auto"/>
            <w:vAlign w:val="center"/>
          </w:tcPr>
          <w:p w14:paraId="0DAEEEAA" w14:textId="77777777" w:rsidR="00C23BE9" w:rsidRPr="00C23BE9" w:rsidRDefault="00C23BE9" w:rsidP="005D0722">
            <w:pPr>
              <w:spacing w:before="0" w:after="0"/>
              <w:ind w:left="57" w:right="57"/>
              <w:jc w:val="right"/>
              <w:rPr>
                <w:rFonts w:cs="Times New Roman"/>
                <w:sz w:val="16"/>
                <w:szCs w:val="16"/>
                <w:lang w:val="sr-Latn-RS"/>
              </w:rPr>
            </w:pPr>
          </w:p>
        </w:tc>
        <w:tc>
          <w:tcPr>
            <w:tcW w:w="564" w:type="pct"/>
            <w:tcBorders>
              <w:right w:val="nil"/>
            </w:tcBorders>
            <w:shd w:val="clear" w:color="auto" w:fill="auto"/>
            <w:vAlign w:val="center"/>
          </w:tcPr>
          <w:p w14:paraId="0B06AEDA" w14:textId="77777777" w:rsidR="00C23BE9" w:rsidRPr="00C23BE9" w:rsidRDefault="00C23BE9" w:rsidP="005D0722">
            <w:pPr>
              <w:spacing w:before="0" w:after="0"/>
              <w:ind w:left="57" w:right="57"/>
              <w:jc w:val="right"/>
              <w:rPr>
                <w:rFonts w:cs="Times New Roman"/>
                <w:sz w:val="16"/>
                <w:szCs w:val="16"/>
                <w:lang w:val="sr-Latn-RS"/>
              </w:rPr>
            </w:pPr>
          </w:p>
        </w:tc>
      </w:tr>
      <w:tr w:rsidR="00C23BE9" w:rsidRPr="00C23BE9" w14:paraId="0E9D42D9" w14:textId="77777777" w:rsidTr="00A1076D">
        <w:trPr>
          <w:cantSplit/>
        </w:trPr>
        <w:tc>
          <w:tcPr>
            <w:tcW w:w="562" w:type="pct"/>
            <w:vMerge/>
            <w:tcBorders>
              <w:left w:val="nil"/>
            </w:tcBorders>
            <w:shd w:val="clear" w:color="auto" w:fill="auto"/>
            <w:vAlign w:val="center"/>
          </w:tcPr>
          <w:p w14:paraId="1EF4200A" w14:textId="77777777" w:rsidR="00C23BE9" w:rsidRPr="00C23BE9" w:rsidRDefault="00C23BE9" w:rsidP="007B1C88">
            <w:pPr>
              <w:spacing w:before="0" w:after="0"/>
              <w:ind w:left="57" w:right="57"/>
              <w:jc w:val="left"/>
              <w:rPr>
                <w:rFonts w:cs="Times New Roman"/>
                <w:sz w:val="16"/>
                <w:szCs w:val="16"/>
                <w:lang w:val="sr-Latn-RS"/>
              </w:rPr>
            </w:pPr>
          </w:p>
        </w:tc>
        <w:tc>
          <w:tcPr>
            <w:tcW w:w="551" w:type="pct"/>
            <w:shd w:val="clear" w:color="auto" w:fill="auto"/>
            <w:vAlign w:val="center"/>
          </w:tcPr>
          <w:p w14:paraId="167DDB34" w14:textId="77777777" w:rsidR="00C23BE9" w:rsidRPr="00C23BE9" w:rsidRDefault="00C23BE9" w:rsidP="007B1C88">
            <w:pPr>
              <w:spacing w:before="0" w:after="0"/>
              <w:ind w:left="57" w:right="57"/>
              <w:jc w:val="left"/>
              <w:rPr>
                <w:sz w:val="16"/>
                <w:szCs w:val="16"/>
                <w:lang w:val="sr-Latn-RS"/>
              </w:rPr>
            </w:pPr>
            <w:r w:rsidRPr="00C23BE9">
              <w:rPr>
                <w:sz w:val="16"/>
                <w:szCs w:val="16"/>
                <w:lang w:val="sr-Latn-RS"/>
              </w:rPr>
              <w:t>N_Median_IS</w:t>
            </w:r>
          </w:p>
        </w:tc>
        <w:tc>
          <w:tcPr>
            <w:tcW w:w="393" w:type="pct"/>
            <w:shd w:val="clear" w:color="auto" w:fill="auto"/>
            <w:vAlign w:val="center"/>
          </w:tcPr>
          <w:p w14:paraId="754F1CE0" w14:textId="56A3BA59" w:rsidR="00C23BE9" w:rsidRPr="00C23BE9" w:rsidRDefault="00C23BE9" w:rsidP="007B1C88">
            <w:pPr>
              <w:spacing w:before="0" w:after="0"/>
              <w:ind w:left="57" w:right="57"/>
              <w:jc w:val="right"/>
              <w:rPr>
                <w:sz w:val="16"/>
                <w:szCs w:val="16"/>
                <w:lang w:val="sr-Latn-RS"/>
              </w:rPr>
            </w:pPr>
            <w:r w:rsidRPr="00C23BE9">
              <w:rPr>
                <w:sz w:val="16"/>
                <w:szCs w:val="16"/>
                <w:lang w:val="sr-Latn-RS"/>
              </w:rPr>
              <w:t>-1</w:t>
            </w:r>
            <w:r w:rsidR="005D0722">
              <w:rPr>
                <w:sz w:val="16"/>
                <w:szCs w:val="16"/>
                <w:lang w:val="sr-Latn-RS"/>
              </w:rPr>
              <w:t>.</w:t>
            </w:r>
            <w:r w:rsidRPr="00C23BE9">
              <w:rPr>
                <w:sz w:val="16"/>
                <w:szCs w:val="16"/>
                <w:lang w:val="sr-Latn-RS"/>
              </w:rPr>
              <w:t>542</w:t>
            </w:r>
          </w:p>
        </w:tc>
        <w:tc>
          <w:tcPr>
            <w:tcW w:w="393" w:type="pct"/>
            <w:shd w:val="clear" w:color="auto" w:fill="auto"/>
            <w:vAlign w:val="center"/>
          </w:tcPr>
          <w:p w14:paraId="7713A60C" w14:textId="0553869E" w:rsidR="00C23BE9" w:rsidRPr="00C23BE9" w:rsidRDefault="00C23BE9" w:rsidP="007B1C88">
            <w:pPr>
              <w:spacing w:before="0" w:after="0"/>
              <w:ind w:left="57" w:right="57"/>
              <w:jc w:val="right"/>
              <w:rPr>
                <w:sz w:val="16"/>
                <w:szCs w:val="16"/>
                <w:lang w:val="sr-Latn-RS"/>
              </w:rPr>
            </w:pPr>
            <w:r w:rsidRPr="00C23BE9">
              <w:rPr>
                <w:sz w:val="16"/>
                <w:szCs w:val="16"/>
                <w:lang w:val="sr-Latn-RS"/>
              </w:rPr>
              <w:t>2</w:t>
            </w:r>
            <w:r w:rsidR="005D0722">
              <w:rPr>
                <w:sz w:val="16"/>
                <w:szCs w:val="16"/>
                <w:lang w:val="sr-Latn-RS"/>
              </w:rPr>
              <w:t>.</w:t>
            </w:r>
            <w:r w:rsidRPr="00C23BE9">
              <w:rPr>
                <w:sz w:val="16"/>
                <w:szCs w:val="16"/>
                <w:lang w:val="sr-Latn-RS"/>
              </w:rPr>
              <w:t>618</w:t>
            </w:r>
          </w:p>
        </w:tc>
        <w:tc>
          <w:tcPr>
            <w:tcW w:w="393" w:type="pct"/>
            <w:shd w:val="clear" w:color="auto" w:fill="auto"/>
            <w:vAlign w:val="center"/>
          </w:tcPr>
          <w:p w14:paraId="47D6111F" w14:textId="30BCF253" w:rsidR="00C23BE9" w:rsidRPr="00C23BE9" w:rsidRDefault="00C23BE9" w:rsidP="007B1C88">
            <w:pPr>
              <w:spacing w:before="0" w:after="0"/>
              <w:ind w:left="57" w:right="57"/>
              <w:jc w:val="right"/>
              <w:rPr>
                <w:sz w:val="16"/>
                <w:szCs w:val="16"/>
                <w:lang w:val="sr-Latn-RS"/>
              </w:rPr>
            </w:pPr>
            <w:r w:rsidRPr="00C23BE9">
              <w:rPr>
                <w:sz w:val="16"/>
                <w:szCs w:val="16"/>
                <w:lang w:val="sr-Latn-RS"/>
              </w:rPr>
              <w:t>1</w:t>
            </w:r>
            <w:r w:rsidR="005D0722">
              <w:rPr>
                <w:sz w:val="16"/>
                <w:szCs w:val="16"/>
                <w:lang w:val="sr-Latn-RS"/>
              </w:rPr>
              <w:t>.</w:t>
            </w:r>
            <w:r w:rsidRPr="00C23BE9">
              <w:rPr>
                <w:sz w:val="16"/>
                <w:szCs w:val="16"/>
                <w:lang w:val="sr-Latn-RS"/>
              </w:rPr>
              <w:t>049</w:t>
            </w:r>
          </w:p>
        </w:tc>
        <w:tc>
          <w:tcPr>
            <w:tcW w:w="393" w:type="pct"/>
            <w:shd w:val="clear" w:color="auto" w:fill="auto"/>
            <w:vAlign w:val="center"/>
          </w:tcPr>
          <w:p w14:paraId="7A5BA85A" w14:textId="01D29044" w:rsidR="00C23BE9" w:rsidRPr="00C23BE9" w:rsidRDefault="00C23BE9" w:rsidP="007B1C88">
            <w:pPr>
              <w:spacing w:before="0" w:after="0"/>
              <w:ind w:left="57" w:right="57"/>
              <w:jc w:val="right"/>
              <w:rPr>
                <w:sz w:val="16"/>
                <w:szCs w:val="16"/>
                <w:lang w:val="sr-Latn-RS"/>
              </w:rPr>
            </w:pPr>
            <w:r w:rsidRPr="00C23BE9">
              <w:rPr>
                <w:sz w:val="16"/>
                <w:szCs w:val="16"/>
                <w:lang w:val="sr-Latn-RS"/>
              </w:rPr>
              <w:t>-</w:t>
            </w:r>
            <w:r w:rsidR="005D0722">
              <w:rPr>
                <w:sz w:val="16"/>
                <w:szCs w:val="16"/>
                <w:lang w:val="sr-Latn-RS"/>
              </w:rPr>
              <w:t>.</w:t>
            </w:r>
            <w:r w:rsidRPr="00C23BE9">
              <w:rPr>
                <w:sz w:val="16"/>
                <w:szCs w:val="16"/>
                <w:lang w:val="sr-Latn-RS"/>
              </w:rPr>
              <w:t>760</w:t>
            </w:r>
          </w:p>
        </w:tc>
        <w:tc>
          <w:tcPr>
            <w:tcW w:w="393" w:type="pct"/>
            <w:shd w:val="clear" w:color="auto" w:fill="auto"/>
            <w:vAlign w:val="center"/>
          </w:tcPr>
          <w:p w14:paraId="29567996" w14:textId="28D471ED" w:rsidR="00C23BE9" w:rsidRPr="00C23BE9" w:rsidRDefault="00C23BE9" w:rsidP="007B1C88">
            <w:pPr>
              <w:spacing w:before="0" w:after="0"/>
              <w:ind w:left="57" w:right="57"/>
              <w:jc w:val="right"/>
              <w:rPr>
                <w:sz w:val="16"/>
                <w:szCs w:val="16"/>
                <w:lang w:val="sr-Latn-RS"/>
              </w:rPr>
            </w:pPr>
            <w:r w:rsidRPr="00C23BE9">
              <w:rPr>
                <w:sz w:val="16"/>
                <w:szCs w:val="16"/>
                <w:lang w:val="sr-Latn-RS"/>
              </w:rPr>
              <w:t>1</w:t>
            </w:r>
            <w:r w:rsidR="005D0722">
              <w:rPr>
                <w:sz w:val="16"/>
                <w:szCs w:val="16"/>
                <w:lang w:val="sr-Latn-RS"/>
              </w:rPr>
              <w:t>.</w:t>
            </w:r>
            <w:r w:rsidRPr="00C23BE9">
              <w:rPr>
                <w:sz w:val="16"/>
                <w:szCs w:val="16"/>
                <w:lang w:val="sr-Latn-RS"/>
              </w:rPr>
              <w:t>975</w:t>
            </w:r>
          </w:p>
        </w:tc>
        <w:tc>
          <w:tcPr>
            <w:tcW w:w="393" w:type="pct"/>
            <w:shd w:val="clear" w:color="auto" w:fill="auto"/>
            <w:vAlign w:val="center"/>
          </w:tcPr>
          <w:p w14:paraId="758330C0" w14:textId="59D647EB" w:rsidR="00C23BE9" w:rsidRPr="00C23BE9" w:rsidRDefault="00C23BE9" w:rsidP="007B1C88">
            <w:pPr>
              <w:spacing w:before="0" w:after="0"/>
              <w:ind w:left="57" w:right="57"/>
              <w:jc w:val="right"/>
              <w:rPr>
                <w:sz w:val="16"/>
                <w:szCs w:val="16"/>
                <w:lang w:val="sr-Latn-RS"/>
              </w:rPr>
            </w:pPr>
            <w:r w:rsidRPr="00C23BE9">
              <w:rPr>
                <w:sz w:val="16"/>
                <w:szCs w:val="16"/>
                <w:lang w:val="sr-Latn-RS"/>
              </w:rPr>
              <w:t>4</w:t>
            </w:r>
            <w:r w:rsidR="005D0722">
              <w:rPr>
                <w:sz w:val="16"/>
                <w:szCs w:val="16"/>
                <w:lang w:val="sr-Latn-RS"/>
              </w:rPr>
              <w:t>.</w:t>
            </w:r>
            <w:r w:rsidRPr="00C23BE9">
              <w:rPr>
                <w:sz w:val="16"/>
                <w:szCs w:val="16"/>
                <w:lang w:val="sr-Latn-RS"/>
              </w:rPr>
              <w:t>024</w:t>
            </w:r>
          </w:p>
        </w:tc>
        <w:tc>
          <w:tcPr>
            <w:tcW w:w="397" w:type="pct"/>
            <w:shd w:val="clear" w:color="auto" w:fill="auto"/>
            <w:vAlign w:val="center"/>
          </w:tcPr>
          <w:p w14:paraId="44F23DF8" w14:textId="52245C03" w:rsidR="00C23BE9" w:rsidRPr="00C23BE9" w:rsidRDefault="00C23BE9" w:rsidP="007B1C88">
            <w:pPr>
              <w:spacing w:before="0" w:after="0"/>
              <w:ind w:left="57" w:right="57"/>
              <w:jc w:val="right"/>
              <w:rPr>
                <w:sz w:val="16"/>
                <w:szCs w:val="16"/>
                <w:lang w:val="sr-Latn-RS"/>
              </w:rPr>
            </w:pPr>
            <w:r w:rsidRPr="00C23BE9">
              <w:rPr>
                <w:sz w:val="16"/>
                <w:szCs w:val="16"/>
                <w:lang w:val="sr-Latn-RS"/>
              </w:rPr>
              <w:t>6</w:t>
            </w:r>
            <w:r w:rsidR="005D0722">
              <w:rPr>
                <w:sz w:val="16"/>
                <w:szCs w:val="16"/>
                <w:lang w:val="sr-Latn-RS"/>
              </w:rPr>
              <w:t>.</w:t>
            </w:r>
            <w:r w:rsidRPr="00C23BE9">
              <w:rPr>
                <w:sz w:val="16"/>
                <w:szCs w:val="16"/>
                <w:lang w:val="sr-Latn-RS"/>
              </w:rPr>
              <w:t>834</w:t>
            </w:r>
          </w:p>
        </w:tc>
        <w:tc>
          <w:tcPr>
            <w:tcW w:w="568" w:type="pct"/>
            <w:shd w:val="clear" w:color="auto" w:fill="auto"/>
            <w:vAlign w:val="center"/>
          </w:tcPr>
          <w:p w14:paraId="1C4035A1" w14:textId="77777777" w:rsidR="00C23BE9" w:rsidRPr="00C23BE9" w:rsidRDefault="00C23BE9" w:rsidP="005D0722">
            <w:pPr>
              <w:spacing w:before="0" w:after="0"/>
              <w:ind w:left="57" w:right="57"/>
              <w:jc w:val="right"/>
              <w:rPr>
                <w:rFonts w:cs="Times New Roman"/>
                <w:sz w:val="16"/>
                <w:szCs w:val="16"/>
                <w:lang w:val="sr-Latn-RS"/>
              </w:rPr>
            </w:pPr>
          </w:p>
        </w:tc>
        <w:tc>
          <w:tcPr>
            <w:tcW w:w="564" w:type="pct"/>
            <w:tcBorders>
              <w:right w:val="nil"/>
            </w:tcBorders>
            <w:shd w:val="clear" w:color="auto" w:fill="auto"/>
            <w:vAlign w:val="center"/>
          </w:tcPr>
          <w:p w14:paraId="66560F7E" w14:textId="77777777" w:rsidR="00C23BE9" w:rsidRPr="00C23BE9" w:rsidRDefault="00C23BE9" w:rsidP="005D0722">
            <w:pPr>
              <w:spacing w:before="0" w:after="0"/>
              <w:ind w:left="57" w:right="57"/>
              <w:jc w:val="right"/>
              <w:rPr>
                <w:rFonts w:cs="Times New Roman"/>
                <w:sz w:val="16"/>
                <w:szCs w:val="16"/>
                <w:lang w:val="sr-Latn-RS"/>
              </w:rPr>
            </w:pPr>
          </w:p>
        </w:tc>
      </w:tr>
      <w:tr w:rsidR="00C23BE9" w:rsidRPr="00C23BE9" w14:paraId="2795F451" w14:textId="77777777" w:rsidTr="00A1076D">
        <w:trPr>
          <w:cantSplit/>
        </w:trPr>
        <w:tc>
          <w:tcPr>
            <w:tcW w:w="562" w:type="pct"/>
            <w:vMerge/>
            <w:tcBorders>
              <w:left w:val="nil"/>
            </w:tcBorders>
            <w:shd w:val="clear" w:color="auto" w:fill="auto"/>
            <w:vAlign w:val="center"/>
          </w:tcPr>
          <w:p w14:paraId="421A2BCA" w14:textId="77777777" w:rsidR="00C23BE9" w:rsidRPr="00C23BE9" w:rsidRDefault="00C23BE9" w:rsidP="007B1C88">
            <w:pPr>
              <w:spacing w:before="0" w:after="0"/>
              <w:ind w:left="57" w:right="57"/>
              <w:jc w:val="left"/>
              <w:rPr>
                <w:rFonts w:cs="Times New Roman"/>
                <w:sz w:val="16"/>
                <w:szCs w:val="16"/>
                <w:lang w:val="sr-Latn-RS"/>
              </w:rPr>
            </w:pPr>
          </w:p>
        </w:tc>
        <w:tc>
          <w:tcPr>
            <w:tcW w:w="551" w:type="pct"/>
            <w:shd w:val="clear" w:color="auto" w:fill="auto"/>
            <w:vAlign w:val="center"/>
          </w:tcPr>
          <w:p w14:paraId="010EBDA0" w14:textId="77777777" w:rsidR="00C23BE9" w:rsidRPr="00C23BE9" w:rsidRDefault="00C23BE9" w:rsidP="007B1C88">
            <w:pPr>
              <w:spacing w:before="0" w:after="0"/>
              <w:ind w:left="57" w:right="57"/>
              <w:jc w:val="left"/>
              <w:rPr>
                <w:sz w:val="16"/>
                <w:szCs w:val="16"/>
                <w:lang w:val="sr-Latn-RS"/>
              </w:rPr>
            </w:pPr>
            <w:r w:rsidRPr="00C23BE9">
              <w:rPr>
                <w:sz w:val="16"/>
                <w:szCs w:val="16"/>
                <w:lang w:val="sr-Latn-RS"/>
              </w:rPr>
              <w:t>N_min_IS</w:t>
            </w:r>
          </w:p>
        </w:tc>
        <w:tc>
          <w:tcPr>
            <w:tcW w:w="393" w:type="pct"/>
            <w:shd w:val="clear" w:color="auto" w:fill="auto"/>
            <w:vAlign w:val="center"/>
          </w:tcPr>
          <w:p w14:paraId="2D8D636A" w14:textId="66126E1C" w:rsidR="00C23BE9" w:rsidRPr="00C23BE9" w:rsidRDefault="00C23BE9" w:rsidP="007B1C88">
            <w:pPr>
              <w:spacing w:before="0" w:after="0"/>
              <w:ind w:left="57" w:right="57"/>
              <w:jc w:val="right"/>
              <w:rPr>
                <w:sz w:val="16"/>
                <w:szCs w:val="16"/>
                <w:lang w:val="sr-Latn-RS"/>
              </w:rPr>
            </w:pPr>
            <w:r w:rsidRPr="00C23BE9">
              <w:rPr>
                <w:sz w:val="16"/>
                <w:szCs w:val="16"/>
                <w:lang w:val="sr-Latn-RS"/>
              </w:rPr>
              <w:t>-3</w:t>
            </w:r>
            <w:r w:rsidR="005D0722">
              <w:rPr>
                <w:sz w:val="16"/>
                <w:szCs w:val="16"/>
                <w:lang w:val="sr-Latn-RS"/>
              </w:rPr>
              <w:t>.</w:t>
            </w:r>
            <w:r w:rsidRPr="00C23BE9">
              <w:rPr>
                <w:sz w:val="16"/>
                <w:szCs w:val="16"/>
                <w:lang w:val="sr-Latn-RS"/>
              </w:rPr>
              <w:t>025</w:t>
            </w:r>
          </w:p>
        </w:tc>
        <w:tc>
          <w:tcPr>
            <w:tcW w:w="393" w:type="pct"/>
            <w:shd w:val="clear" w:color="auto" w:fill="auto"/>
            <w:vAlign w:val="center"/>
          </w:tcPr>
          <w:p w14:paraId="242BAD81" w14:textId="4C0AE3DD" w:rsidR="00C23BE9" w:rsidRPr="00C23BE9" w:rsidRDefault="00C23BE9" w:rsidP="007B1C88">
            <w:pPr>
              <w:spacing w:before="0" w:after="0"/>
              <w:ind w:left="57" w:right="57"/>
              <w:jc w:val="right"/>
              <w:rPr>
                <w:sz w:val="16"/>
                <w:szCs w:val="16"/>
                <w:lang w:val="sr-Latn-RS"/>
              </w:rPr>
            </w:pPr>
            <w:r w:rsidRPr="00C23BE9">
              <w:rPr>
                <w:sz w:val="16"/>
                <w:szCs w:val="16"/>
                <w:lang w:val="sr-Latn-RS"/>
              </w:rPr>
              <w:t>3</w:t>
            </w:r>
            <w:r w:rsidR="005D0722">
              <w:rPr>
                <w:sz w:val="16"/>
                <w:szCs w:val="16"/>
                <w:lang w:val="sr-Latn-RS"/>
              </w:rPr>
              <w:t>.</w:t>
            </w:r>
            <w:r w:rsidRPr="00C23BE9">
              <w:rPr>
                <w:sz w:val="16"/>
                <w:szCs w:val="16"/>
                <w:lang w:val="sr-Latn-RS"/>
              </w:rPr>
              <w:t>455</w:t>
            </w:r>
          </w:p>
        </w:tc>
        <w:tc>
          <w:tcPr>
            <w:tcW w:w="393" w:type="pct"/>
            <w:shd w:val="clear" w:color="auto" w:fill="auto"/>
            <w:vAlign w:val="center"/>
          </w:tcPr>
          <w:p w14:paraId="3AAC0498" w14:textId="66B28793" w:rsidR="00C23BE9" w:rsidRPr="00C23BE9" w:rsidRDefault="00C23BE9" w:rsidP="007B1C88">
            <w:pPr>
              <w:spacing w:before="0" w:after="0"/>
              <w:ind w:left="57" w:right="57"/>
              <w:jc w:val="right"/>
              <w:rPr>
                <w:sz w:val="16"/>
                <w:szCs w:val="16"/>
                <w:lang w:val="sr-Latn-RS"/>
              </w:rPr>
            </w:pPr>
            <w:r w:rsidRPr="00C23BE9">
              <w:rPr>
                <w:sz w:val="16"/>
                <w:szCs w:val="16"/>
                <w:lang w:val="sr-Latn-RS"/>
              </w:rPr>
              <w:t>-8</w:t>
            </w:r>
            <w:r w:rsidR="005D0722">
              <w:rPr>
                <w:sz w:val="16"/>
                <w:szCs w:val="16"/>
                <w:lang w:val="sr-Latn-RS"/>
              </w:rPr>
              <w:t>.</w:t>
            </w:r>
            <w:r w:rsidRPr="00C23BE9">
              <w:rPr>
                <w:sz w:val="16"/>
                <w:szCs w:val="16"/>
                <w:lang w:val="sr-Latn-RS"/>
              </w:rPr>
              <w:t>495</w:t>
            </w:r>
          </w:p>
        </w:tc>
        <w:tc>
          <w:tcPr>
            <w:tcW w:w="393" w:type="pct"/>
            <w:shd w:val="clear" w:color="auto" w:fill="auto"/>
            <w:vAlign w:val="center"/>
          </w:tcPr>
          <w:p w14:paraId="74390B6D" w14:textId="4EDC02BA" w:rsidR="00C23BE9" w:rsidRPr="00C23BE9" w:rsidRDefault="005D0722" w:rsidP="007B1C88">
            <w:pPr>
              <w:spacing w:before="0" w:after="0"/>
              <w:ind w:left="57" w:right="57"/>
              <w:jc w:val="right"/>
              <w:rPr>
                <w:sz w:val="16"/>
                <w:szCs w:val="16"/>
                <w:lang w:val="sr-Latn-RS"/>
              </w:rPr>
            </w:pPr>
            <w:r>
              <w:rPr>
                <w:sz w:val="16"/>
                <w:szCs w:val="16"/>
                <w:lang w:val="sr-Latn-RS"/>
              </w:rPr>
              <w:t>.</w:t>
            </w:r>
            <w:r w:rsidR="00C23BE9" w:rsidRPr="00C23BE9">
              <w:rPr>
                <w:sz w:val="16"/>
                <w:szCs w:val="16"/>
                <w:lang w:val="sr-Latn-RS"/>
              </w:rPr>
              <w:t>734</w:t>
            </w:r>
          </w:p>
        </w:tc>
        <w:tc>
          <w:tcPr>
            <w:tcW w:w="393" w:type="pct"/>
            <w:shd w:val="clear" w:color="auto" w:fill="auto"/>
            <w:vAlign w:val="center"/>
          </w:tcPr>
          <w:p w14:paraId="4B7852C7" w14:textId="5B7B4A78" w:rsidR="00C23BE9" w:rsidRPr="00C23BE9" w:rsidRDefault="00C23BE9" w:rsidP="007B1C88">
            <w:pPr>
              <w:spacing w:before="0" w:after="0"/>
              <w:ind w:left="57" w:right="57"/>
              <w:jc w:val="right"/>
              <w:rPr>
                <w:sz w:val="16"/>
                <w:szCs w:val="16"/>
                <w:lang w:val="sr-Latn-RS"/>
              </w:rPr>
            </w:pPr>
            <w:r w:rsidRPr="00C23BE9">
              <w:rPr>
                <w:sz w:val="16"/>
                <w:szCs w:val="16"/>
                <w:lang w:val="sr-Latn-RS"/>
              </w:rPr>
              <w:t>-4</w:t>
            </w:r>
            <w:r w:rsidR="005D0722">
              <w:rPr>
                <w:sz w:val="16"/>
                <w:szCs w:val="16"/>
                <w:lang w:val="sr-Latn-RS"/>
              </w:rPr>
              <w:t>.</w:t>
            </w:r>
            <w:r w:rsidRPr="00C23BE9">
              <w:rPr>
                <w:sz w:val="16"/>
                <w:szCs w:val="16"/>
                <w:lang w:val="sr-Latn-RS"/>
              </w:rPr>
              <w:t>323</w:t>
            </w:r>
          </w:p>
        </w:tc>
        <w:tc>
          <w:tcPr>
            <w:tcW w:w="393" w:type="pct"/>
            <w:shd w:val="clear" w:color="auto" w:fill="auto"/>
            <w:vAlign w:val="center"/>
          </w:tcPr>
          <w:p w14:paraId="620C71A2" w14:textId="1AA294E0" w:rsidR="00C23BE9" w:rsidRPr="00C23BE9" w:rsidRDefault="00C23BE9" w:rsidP="007B1C88">
            <w:pPr>
              <w:spacing w:before="0" w:after="0"/>
              <w:ind w:left="57" w:right="57"/>
              <w:jc w:val="right"/>
              <w:rPr>
                <w:sz w:val="16"/>
                <w:szCs w:val="16"/>
                <w:lang w:val="sr-Latn-RS"/>
              </w:rPr>
            </w:pPr>
            <w:r w:rsidRPr="00C23BE9">
              <w:rPr>
                <w:sz w:val="16"/>
                <w:szCs w:val="16"/>
                <w:lang w:val="sr-Latn-RS"/>
              </w:rPr>
              <w:t>-2</w:t>
            </w:r>
            <w:r w:rsidR="005D0722">
              <w:rPr>
                <w:sz w:val="16"/>
                <w:szCs w:val="16"/>
                <w:lang w:val="sr-Latn-RS"/>
              </w:rPr>
              <w:t>.</w:t>
            </w:r>
            <w:r w:rsidRPr="00C23BE9">
              <w:rPr>
                <w:sz w:val="16"/>
                <w:szCs w:val="16"/>
                <w:lang w:val="sr-Latn-RS"/>
              </w:rPr>
              <w:t>226</w:t>
            </w:r>
          </w:p>
        </w:tc>
        <w:tc>
          <w:tcPr>
            <w:tcW w:w="397" w:type="pct"/>
            <w:shd w:val="clear" w:color="auto" w:fill="auto"/>
            <w:vAlign w:val="center"/>
          </w:tcPr>
          <w:p w14:paraId="12704FC9" w14:textId="37A7D1BA" w:rsidR="00C23BE9" w:rsidRPr="00C23BE9" w:rsidRDefault="005D0722" w:rsidP="007B1C88">
            <w:pPr>
              <w:spacing w:before="0" w:after="0"/>
              <w:ind w:left="57" w:right="57"/>
              <w:jc w:val="right"/>
              <w:rPr>
                <w:sz w:val="16"/>
                <w:szCs w:val="16"/>
                <w:lang w:val="sr-Latn-RS"/>
              </w:rPr>
            </w:pPr>
            <w:r>
              <w:rPr>
                <w:sz w:val="16"/>
                <w:szCs w:val="16"/>
                <w:lang w:val="sr-Latn-RS"/>
              </w:rPr>
              <w:t>.</w:t>
            </w:r>
            <w:r w:rsidR="00C23BE9" w:rsidRPr="00C23BE9">
              <w:rPr>
                <w:sz w:val="16"/>
                <w:szCs w:val="16"/>
                <w:lang w:val="sr-Latn-RS"/>
              </w:rPr>
              <w:t>097</w:t>
            </w:r>
          </w:p>
        </w:tc>
        <w:tc>
          <w:tcPr>
            <w:tcW w:w="568" w:type="pct"/>
            <w:shd w:val="clear" w:color="auto" w:fill="auto"/>
            <w:vAlign w:val="center"/>
          </w:tcPr>
          <w:p w14:paraId="79B19620" w14:textId="77777777" w:rsidR="00C23BE9" w:rsidRPr="00C23BE9" w:rsidRDefault="00C23BE9" w:rsidP="005D0722">
            <w:pPr>
              <w:spacing w:before="0" w:after="0"/>
              <w:ind w:left="57" w:right="57"/>
              <w:jc w:val="right"/>
              <w:rPr>
                <w:rFonts w:cs="Times New Roman"/>
                <w:sz w:val="16"/>
                <w:szCs w:val="16"/>
                <w:lang w:val="sr-Latn-RS"/>
              </w:rPr>
            </w:pPr>
          </w:p>
        </w:tc>
        <w:tc>
          <w:tcPr>
            <w:tcW w:w="564" w:type="pct"/>
            <w:tcBorders>
              <w:right w:val="nil"/>
            </w:tcBorders>
            <w:shd w:val="clear" w:color="auto" w:fill="auto"/>
            <w:vAlign w:val="center"/>
          </w:tcPr>
          <w:p w14:paraId="2CD94E1A" w14:textId="77777777" w:rsidR="00C23BE9" w:rsidRPr="00C23BE9" w:rsidRDefault="00C23BE9" w:rsidP="005D0722">
            <w:pPr>
              <w:spacing w:before="0" w:after="0"/>
              <w:ind w:left="57" w:right="57"/>
              <w:jc w:val="right"/>
              <w:rPr>
                <w:rFonts w:cs="Times New Roman"/>
                <w:sz w:val="16"/>
                <w:szCs w:val="16"/>
                <w:lang w:val="sr-Latn-RS"/>
              </w:rPr>
            </w:pPr>
          </w:p>
        </w:tc>
      </w:tr>
      <w:tr w:rsidR="00C23BE9" w:rsidRPr="00C23BE9" w14:paraId="2437C34A" w14:textId="77777777" w:rsidTr="00982E69">
        <w:trPr>
          <w:cantSplit/>
        </w:trPr>
        <w:tc>
          <w:tcPr>
            <w:tcW w:w="562" w:type="pct"/>
            <w:vMerge/>
            <w:tcBorders>
              <w:left w:val="nil"/>
            </w:tcBorders>
            <w:shd w:val="clear" w:color="auto" w:fill="auto"/>
            <w:vAlign w:val="center"/>
          </w:tcPr>
          <w:p w14:paraId="3ECA9C18" w14:textId="77777777" w:rsidR="00C23BE9" w:rsidRPr="00C23BE9" w:rsidRDefault="00C23BE9" w:rsidP="007B1C88">
            <w:pPr>
              <w:spacing w:before="0" w:after="0"/>
              <w:ind w:left="57" w:right="57"/>
              <w:jc w:val="left"/>
              <w:rPr>
                <w:rFonts w:cs="Times New Roman"/>
                <w:sz w:val="16"/>
                <w:szCs w:val="16"/>
                <w:lang w:val="sr-Latn-RS"/>
              </w:rPr>
            </w:pPr>
          </w:p>
        </w:tc>
        <w:tc>
          <w:tcPr>
            <w:tcW w:w="551" w:type="pct"/>
            <w:shd w:val="clear" w:color="auto" w:fill="auto"/>
            <w:vAlign w:val="center"/>
          </w:tcPr>
          <w:p w14:paraId="7DD3284C" w14:textId="77777777" w:rsidR="00C23BE9" w:rsidRPr="00C23BE9" w:rsidRDefault="00C23BE9" w:rsidP="007B1C88">
            <w:pPr>
              <w:spacing w:before="0" w:after="0"/>
              <w:ind w:left="57" w:right="57"/>
              <w:jc w:val="left"/>
              <w:rPr>
                <w:sz w:val="16"/>
                <w:szCs w:val="16"/>
                <w:lang w:val="sr-Latn-RS"/>
              </w:rPr>
            </w:pPr>
            <w:r w:rsidRPr="00C23BE9">
              <w:rPr>
                <w:sz w:val="16"/>
                <w:szCs w:val="16"/>
                <w:lang w:val="sr-Latn-RS"/>
              </w:rPr>
              <w:t>N_Kurt_IS</w:t>
            </w:r>
          </w:p>
        </w:tc>
        <w:tc>
          <w:tcPr>
            <w:tcW w:w="393" w:type="pct"/>
            <w:shd w:val="clear" w:color="auto" w:fill="auto"/>
            <w:vAlign w:val="center"/>
          </w:tcPr>
          <w:p w14:paraId="28BDD4CF" w14:textId="0BF215DF" w:rsidR="00C23BE9" w:rsidRPr="00C23BE9" w:rsidRDefault="00C23BE9" w:rsidP="007B1C88">
            <w:pPr>
              <w:spacing w:before="0" w:after="0"/>
              <w:ind w:left="57" w:right="57"/>
              <w:jc w:val="right"/>
              <w:rPr>
                <w:sz w:val="16"/>
                <w:szCs w:val="16"/>
                <w:lang w:val="sr-Latn-RS"/>
              </w:rPr>
            </w:pPr>
            <w:r w:rsidRPr="00C23BE9">
              <w:rPr>
                <w:sz w:val="16"/>
                <w:szCs w:val="16"/>
                <w:lang w:val="sr-Latn-RS"/>
              </w:rPr>
              <w:t>-</w:t>
            </w:r>
            <w:r w:rsidR="005D0722">
              <w:rPr>
                <w:sz w:val="16"/>
                <w:szCs w:val="16"/>
                <w:lang w:val="sr-Latn-RS"/>
              </w:rPr>
              <w:t>.</w:t>
            </w:r>
            <w:r w:rsidRPr="00C23BE9">
              <w:rPr>
                <w:sz w:val="16"/>
                <w:szCs w:val="16"/>
                <w:lang w:val="sr-Latn-RS"/>
              </w:rPr>
              <w:t>509</w:t>
            </w:r>
          </w:p>
        </w:tc>
        <w:tc>
          <w:tcPr>
            <w:tcW w:w="393" w:type="pct"/>
            <w:shd w:val="clear" w:color="auto" w:fill="auto"/>
            <w:vAlign w:val="center"/>
          </w:tcPr>
          <w:p w14:paraId="1599E3F1" w14:textId="192CECFB" w:rsidR="00C23BE9" w:rsidRPr="00C23BE9" w:rsidRDefault="00C23BE9" w:rsidP="007B1C88">
            <w:pPr>
              <w:spacing w:before="0" w:after="0"/>
              <w:ind w:left="57" w:right="57"/>
              <w:jc w:val="right"/>
              <w:rPr>
                <w:sz w:val="16"/>
                <w:szCs w:val="16"/>
                <w:lang w:val="sr-Latn-RS"/>
              </w:rPr>
            </w:pPr>
            <w:r w:rsidRPr="00C23BE9">
              <w:rPr>
                <w:sz w:val="16"/>
                <w:szCs w:val="16"/>
                <w:lang w:val="sr-Latn-RS"/>
              </w:rPr>
              <w:t>4</w:t>
            </w:r>
            <w:r w:rsidR="005D0722">
              <w:rPr>
                <w:sz w:val="16"/>
                <w:szCs w:val="16"/>
                <w:lang w:val="sr-Latn-RS"/>
              </w:rPr>
              <w:t>.</w:t>
            </w:r>
            <w:r w:rsidRPr="00C23BE9">
              <w:rPr>
                <w:sz w:val="16"/>
                <w:szCs w:val="16"/>
                <w:lang w:val="sr-Latn-RS"/>
              </w:rPr>
              <w:t>084</w:t>
            </w:r>
          </w:p>
        </w:tc>
        <w:tc>
          <w:tcPr>
            <w:tcW w:w="393" w:type="pct"/>
            <w:shd w:val="clear" w:color="auto" w:fill="auto"/>
            <w:vAlign w:val="center"/>
          </w:tcPr>
          <w:p w14:paraId="4BCA46C1" w14:textId="792A25E8" w:rsidR="00C23BE9" w:rsidRPr="00C23BE9" w:rsidRDefault="00C23BE9" w:rsidP="007B1C88">
            <w:pPr>
              <w:spacing w:before="0" w:after="0"/>
              <w:ind w:left="57" w:right="57"/>
              <w:jc w:val="right"/>
              <w:rPr>
                <w:sz w:val="16"/>
                <w:szCs w:val="16"/>
                <w:lang w:val="sr-Latn-RS"/>
              </w:rPr>
            </w:pPr>
            <w:r w:rsidRPr="00C23BE9">
              <w:rPr>
                <w:sz w:val="16"/>
                <w:szCs w:val="16"/>
                <w:lang w:val="sr-Latn-RS"/>
              </w:rPr>
              <w:t>-</w:t>
            </w:r>
            <w:r w:rsidR="005D0722">
              <w:rPr>
                <w:sz w:val="16"/>
                <w:szCs w:val="16"/>
                <w:lang w:val="sr-Latn-RS"/>
              </w:rPr>
              <w:t>.</w:t>
            </w:r>
            <w:r w:rsidRPr="00C23BE9">
              <w:rPr>
                <w:sz w:val="16"/>
                <w:szCs w:val="16"/>
                <w:lang w:val="sr-Latn-RS"/>
              </w:rPr>
              <w:t>281</w:t>
            </w:r>
          </w:p>
        </w:tc>
        <w:tc>
          <w:tcPr>
            <w:tcW w:w="393" w:type="pct"/>
            <w:shd w:val="clear" w:color="auto" w:fill="auto"/>
            <w:vAlign w:val="center"/>
          </w:tcPr>
          <w:p w14:paraId="2A09286A" w14:textId="69B24D8E" w:rsidR="00C23BE9" w:rsidRPr="00C23BE9" w:rsidRDefault="00C23BE9" w:rsidP="007B1C88">
            <w:pPr>
              <w:spacing w:before="0" w:after="0"/>
              <w:ind w:left="57" w:right="57"/>
              <w:jc w:val="right"/>
              <w:rPr>
                <w:sz w:val="16"/>
                <w:szCs w:val="16"/>
                <w:lang w:val="sr-Latn-RS"/>
              </w:rPr>
            </w:pPr>
            <w:r w:rsidRPr="00C23BE9">
              <w:rPr>
                <w:sz w:val="16"/>
                <w:szCs w:val="16"/>
                <w:lang w:val="sr-Latn-RS"/>
              </w:rPr>
              <w:t>2</w:t>
            </w:r>
            <w:r w:rsidR="005D0722">
              <w:rPr>
                <w:sz w:val="16"/>
                <w:szCs w:val="16"/>
                <w:lang w:val="sr-Latn-RS"/>
              </w:rPr>
              <w:t>.</w:t>
            </w:r>
            <w:r w:rsidRPr="00C23BE9">
              <w:rPr>
                <w:sz w:val="16"/>
                <w:szCs w:val="16"/>
                <w:lang w:val="sr-Latn-RS"/>
              </w:rPr>
              <w:t>491</w:t>
            </w:r>
          </w:p>
        </w:tc>
        <w:tc>
          <w:tcPr>
            <w:tcW w:w="393" w:type="pct"/>
            <w:shd w:val="clear" w:color="auto" w:fill="auto"/>
            <w:vAlign w:val="center"/>
          </w:tcPr>
          <w:p w14:paraId="3C603D3B" w14:textId="1D5715B5" w:rsidR="00C23BE9" w:rsidRPr="00C23BE9" w:rsidRDefault="00C23BE9" w:rsidP="007B1C88">
            <w:pPr>
              <w:spacing w:before="0" w:after="0"/>
              <w:ind w:left="57" w:right="57"/>
              <w:jc w:val="right"/>
              <w:rPr>
                <w:sz w:val="16"/>
                <w:szCs w:val="16"/>
                <w:lang w:val="sr-Latn-RS"/>
              </w:rPr>
            </w:pPr>
            <w:r w:rsidRPr="00C23BE9">
              <w:rPr>
                <w:sz w:val="16"/>
                <w:szCs w:val="16"/>
                <w:lang w:val="sr-Latn-RS"/>
              </w:rPr>
              <w:t>3</w:t>
            </w:r>
            <w:r w:rsidR="005D0722">
              <w:rPr>
                <w:sz w:val="16"/>
                <w:szCs w:val="16"/>
                <w:lang w:val="sr-Latn-RS"/>
              </w:rPr>
              <w:t>.</w:t>
            </w:r>
            <w:r w:rsidRPr="00C23BE9">
              <w:rPr>
                <w:sz w:val="16"/>
                <w:szCs w:val="16"/>
                <w:lang w:val="sr-Latn-RS"/>
              </w:rPr>
              <w:t>619</w:t>
            </w:r>
          </w:p>
        </w:tc>
        <w:tc>
          <w:tcPr>
            <w:tcW w:w="393" w:type="pct"/>
            <w:shd w:val="clear" w:color="auto" w:fill="auto"/>
            <w:vAlign w:val="center"/>
          </w:tcPr>
          <w:p w14:paraId="5319C84A" w14:textId="6354EF5C" w:rsidR="00C23BE9" w:rsidRPr="00C23BE9" w:rsidRDefault="00C23BE9" w:rsidP="007B1C88">
            <w:pPr>
              <w:spacing w:before="0" w:after="0"/>
              <w:ind w:left="57" w:right="57"/>
              <w:jc w:val="right"/>
              <w:rPr>
                <w:sz w:val="16"/>
                <w:szCs w:val="16"/>
                <w:lang w:val="sr-Latn-RS"/>
              </w:rPr>
            </w:pPr>
            <w:r w:rsidRPr="00C23BE9">
              <w:rPr>
                <w:sz w:val="16"/>
                <w:szCs w:val="16"/>
                <w:lang w:val="sr-Latn-RS"/>
              </w:rPr>
              <w:t>-1</w:t>
            </w:r>
            <w:r w:rsidR="005D0722">
              <w:rPr>
                <w:sz w:val="16"/>
                <w:szCs w:val="16"/>
                <w:lang w:val="sr-Latn-RS"/>
              </w:rPr>
              <w:t>.</w:t>
            </w:r>
            <w:r w:rsidRPr="00C23BE9">
              <w:rPr>
                <w:sz w:val="16"/>
                <w:szCs w:val="16"/>
                <w:lang w:val="sr-Latn-RS"/>
              </w:rPr>
              <w:t>492</w:t>
            </w:r>
          </w:p>
        </w:tc>
        <w:tc>
          <w:tcPr>
            <w:tcW w:w="397" w:type="pct"/>
            <w:shd w:val="clear" w:color="auto" w:fill="auto"/>
            <w:vAlign w:val="center"/>
          </w:tcPr>
          <w:p w14:paraId="1F25A024" w14:textId="6CB6A763" w:rsidR="00C23BE9" w:rsidRPr="00C23BE9" w:rsidRDefault="00C23BE9" w:rsidP="007B1C88">
            <w:pPr>
              <w:spacing w:before="0" w:after="0"/>
              <w:ind w:left="57" w:right="57"/>
              <w:jc w:val="right"/>
              <w:rPr>
                <w:sz w:val="16"/>
                <w:szCs w:val="16"/>
                <w:lang w:val="sr-Latn-RS"/>
              </w:rPr>
            </w:pPr>
            <w:r w:rsidRPr="00C23BE9">
              <w:rPr>
                <w:sz w:val="16"/>
                <w:szCs w:val="16"/>
                <w:lang w:val="sr-Latn-RS"/>
              </w:rPr>
              <w:t>4</w:t>
            </w:r>
            <w:r w:rsidR="005D0722">
              <w:rPr>
                <w:sz w:val="16"/>
                <w:szCs w:val="16"/>
                <w:lang w:val="sr-Latn-RS"/>
              </w:rPr>
              <w:t>.</w:t>
            </w:r>
            <w:r w:rsidRPr="00C23BE9">
              <w:rPr>
                <w:sz w:val="16"/>
                <w:szCs w:val="16"/>
                <w:lang w:val="sr-Latn-RS"/>
              </w:rPr>
              <w:t>887</w:t>
            </w:r>
          </w:p>
        </w:tc>
        <w:tc>
          <w:tcPr>
            <w:tcW w:w="568" w:type="pct"/>
            <w:shd w:val="clear" w:color="auto" w:fill="auto"/>
            <w:vAlign w:val="center"/>
          </w:tcPr>
          <w:p w14:paraId="017D5614" w14:textId="77777777" w:rsidR="00C23BE9" w:rsidRPr="00C23BE9" w:rsidRDefault="00C23BE9" w:rsidP="005D0722">
            <w:pPr>
              <w:spacing w:before="0" w:after="0"/>
              <w:ind w:left="57" w:right="57"/>
              <w:jc w:val="right"/>
              <w:rPr>
                <w:rFonts w:cs="Times New Roman"/>
                <w:sz w:val="16"/>
                <w:szCs w:val="16"/>
                <w:lang w:val="sr-Latn-RS"/>
              </w:rPr>
            </w:pPr>
          </w:p>
        </w:tc>
        <w:tc>
          <w:tcPr>
            <w:tcW w:w="564" w:type="pct"/>
            <w:tcBorders>
              <w:right w:val="nil"/>
            </w:tcBorders>
            <w:shd w:val="clear" w:color="auto" w:fill="auto"/>
            <w:vAlign w:val="center"/>
          </w:tcPr>
          <w:p w14:paraId="405BFE4E" w14:textId="77777777" w:rsidR="00C23BE9" w:rsidRPr="00C23BE9" w:rsidRDefault="00C23BE9" w:rsidP="005D0722">
            <w:pPr>
              <w:spacing w:before="0" w:after="0"/>
              <w:ind w:left="57" w:right="57"/>
              <w:jc w:val="right"/>
              <w:rPr>
                <w:rFonts w:cs="Times New Roman"/>
                <w:sz w:val="16"/>
                <w:szCs w:val="16"/>
                <w:lang w:val="sr-Latn-RS"/>
              </w:rPr>
            </w:pPr>
          </w:p>
        </w:tc>
      </w:tr>
      <w:tr w:rsidR="00C23BE9" w:rsidRPr="00C23BE9" w14:paraId="6D8B8310" w14:textId="77777777" w:rsidTr="00A1076D">
        <w:trPr>
          <w:cantSplit/>
        </w:trPr>
        <w:tc>
          <w:tcPr>
            <w:tcW w:w="562" w:type="pct"/>
            <w:vMerge w:val="restart"/>
            <w:tcBorders>
              <w:left w:val="nil"/>
            </w:tcBorders>
            <w:shd w:val="clear" w:color="auto" w:fill="auto"/>
            <w:vAlign w:val="center"/>
          </w:tcPr>
          <w:p w14:paraId="0A4BC1BB" w14:textId="10CC9D83" w:rsidR="00C23BE9" w:rsidRPr="00C23BE9" w:rsidRDefault="00C23BE9" w:rsidP="007B1C88">
            <w:pPr>
              <w:spacing w:before="0" w:after="0"/>
              <w:ind w:left="57" w:right="57"/>
              <w:jc w:val="left"/>
              <w:rPr>
                <w:sz w:val="16"/>
                <w:szCs w:val="16"/>
                <w:lang w:val="sr-Latn-RS"/>
              </w:rPr>
            </w:pPr>
            <w:r w:rsidRPr="00C23BE9">
              <w:rPr>
                <w:sz w:val="16"/>
                <w:szCs w:val="16"/>
                <w:lang w:val="sr-Latn-RS"/>
              </w:rPr>
              <w:t>Hidden Layer</w:t>
            </w:r>
          </w:p>
        </w:tc>
        <w:tc>
          <w:tcPr>
            <w:tcW w:w="551" w:type="pct"/>
            <w:shd w:val="clear" w:color="auto" w:fill="auto"/>
            <w:vAlign w:val="center"/>
          </w:tcPr>
          <w:p w14:paraId="1753E03A" w14:textId="77777777" w:rsidR="00C23BE9" w:rsidRPr="00C23BE9" w:rsidRDefault="00C23BE9" w:rsidP="007B1C88">
            <w:pPr>
              <w:spacing w:before="0" w:after="0"/>
              <w:ind w:left="57" w:right="57"/>
              <w:jc w:val="left"/>
              <w:rPr>
                <w:sz w:val="16"/>
                <w:szCs w:val="16"/>
                <w:lang w:val="sr-Latn-RS"/>
              </w:rPr>
            </w:pPr>
            <w:r w:rsidRPr="00C23BE9">
              <w:rPr>
                <w:sz w:val="16"/>
                <w:szCs w:val="16"/>
                <w:lang w:val="sr-Latn-RS"/>
              </w:rPr>
              <w:t>(Bias)</w:t>
            </w:r>
          </w:p>
        </w:tc>
        <w:tc>
          <w:tcPr>
            <w:tcW w:w="393" w:type="pct"/>
            <w:shd w:val="clear" w:color="auto" w:fill="auto"/>
            <w:vAlign w:val="center"/>
          </w:tcPr>
          <w:p w14:paraId="07CDDAE1"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7F5299FD"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1EEA7E37"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24F8CED6"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7823ACD3"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0BAA06A1" w14:textId="77777777" w:rsidR="00C23BE9" w:rsidRPr="00C23BE9" w:rsidRDefault="00C23BE9" w:rsidP="005D0722">
            <w:pPr>
              <w:spacing w:before="0" w:after="0"/>
              <w:ind w:left="57" w:right="57"/>
              <w:jc w:val="right"/>
              <w:rPr>
                <w:rFonts w:cs="Times New Roman"/>
                <w:sz w:val="16"/>
                <w:szCs w:val="16"/>
                <w:lang w:val="sr-Latn-RS"/>
              </w:rPr>
            </w:pPr>
          </w:p>
        </w:tc>
        <w:tc>
          <w:tcPr>
            <w:tcW w:w="397" w:type="pct"/>
            <w:shd w:val="clear" w:color="auto" w:fill="auto"/>
            <w:vAlign w:val="center"/>
          </w:tcPr>
          <w:p w14:paraId="14CCF83A" w14:textId="77777777" w:rsidR="00C23BE9" w:rsidRPr="00C23BE9" w:rsidRDefault="00C23BE9" w:rsidP="005D0722">
            <w:pPr>
              <w:spacing w:before="0" w:after="0"/>
              <w:ind w:left="57" w:right="57"/>
              <w:jc w:val="right"/>
              <w:rPr>
                <w:rFonts w:cs="Times New Roman"/>
                <w:sz w:val="16"/>
                <w:szCs w:val="16"/>
                <w:lang w:val="sr-Latn-RS"/>
              </w:rPr>
            </w:pPr>
          </w:p>
        </w:tc>
        <w:tc>
          <w:tcPr>
            <w:tcW w:w="568" w:type="pct"/>
            <w:shd w:val="clear" w:color="auto" w:fill="auto"/>
            <w:vAlign w:val="center"/>
          </w:tcPr>
          <w:p w14:paraId="165B8338" w14:textId="60E5002E" w:rsidR="00C23BE9" w:rsidRPr="00C23BE9" w:rsidRDefault="00C23BE9" w:rsidP="007B1C88">
            <w:pPr>
              <w:spacing w:before="0" w:after="0"/>
              <w:ind w:left="57" w:right="57"/>
              <w:jc w:val="right"/>
              <w:rPr>
                <w:sz w:val="16"/>
                <w:szCs w:val="16"/>
                <w:lang w:val="sr-Latn-RS"/>
              </w:rPr>
            </w:pPr>
            <w:r w:rsidRPr="00C23BE9">
              <w:rPr>
                <w:sz w:val="16"/>
                <w:szCs w:val="16"/>
                <w:lang w:val="sr-Latn-RS"/>
              </w:rPr>
              <w:t>6</w:t>
            </w:r>
            <w:r w:rsidR="005D0722">
              <w:rPr>
                <w:sz w:val="16"/>
                <w:szCs w:val="16"/>
                <w:lang w:val="sr-Latn-RS"/>
              </w:rPr>
              <w:t>.</w:t>
            </w:r>
            <w:r w:rsidRPr="00C23BE9">
              <w:rPr>
                <w:sz w:val="16"/>
                <w:szCs w:val="16"/>
                <w:lang w:val="sr-Latn-RS"/>
              </w:rPr>
              <w:t>414</w:t>
            </w:r>
          </w:p>
        </w:tc>
        <w:tc>
          <w:tcPr>
            <w:tcW w:w="564" w:type="pct"/>
            <w:tcBorders>
              <w:right w:val="nil"/>
            </w:tcBorders>
            <w:shd w:val="clear" w:color="auto" w:fill="auto"/>
            <w:vAlign w:val="center"/>
          </w:tcPr>
          <w:p w14:paraId="4FC5AD05" w14:textId="07BBB174" w:rsidR="00C23BE9" w:rsidRPr="00C23BE9" w:rsidRDefault="00C23BE9" w:rsidP="007B1C88">
            <w:pPr>
              <w:spacing w:before="0" w:after="0"/>
              <w:ind w:left="57" w:right="57"/>
              <w:jc w:val="right"/>
              <w:rPr>
                <w:sz w:val="16"/>
                <w:szCs w:val="16"/>
                <w:lang w:val="sr-Latn-RS"/>
              </w:rPr>
            </w:pPr>
            <w:r w:rsidRPr="00C23BE9">
              <w:rPr>
                <w:sz w:val="16"/>
                <w:szCs w:val="16"/>
                <w:lang w:val="sr-Latn-RS"/>
              </w:rPr>
              <w:t>-6</w:t>
            </w:r>
            <w:r w:rsidR="005D0722">
              <w:rPr>
                <w:sz w:val="16"/>
                <w:szCs w:val="16"/>
                <w:lang w:val="sr-Latn-RS"/>
              </w:rPr>
              <w:t>.</w:t>
            </w:r>
            <w:r w:rsidRPr="00C23BE9">
              <w:rPr>
                <w:sz w:val="16"/>
                <w:szCs w:val="16"/>
                <w:lang w:val="sr-Latn-RS"/>
              </w:rPr>
              <w:t>449</w:t>
            </w:r>
          </w:p>
        </w:tc>
      </w:tr>
      <w:tr w:rsidR="00C23BE9" w:rsidRPr="00C23BE9" w14:paraId="49AB3DDF" w14:textId="77777777" w:rsidTr="00A1076D">
        <w:trPr>
          <w:cantSplit/>
        </w:trPr>
        <w:tc>
          <w:tcPr>
            <w:tcW w:w="562" w:type="pct"/>
            <w:vMerge/>
            <w:tcBorders>
              <w:left w:val="nil"/>
            </w:tcBorders>
            <w:shd w:val="clear" w:color="auto" w:fill="auto"/>
          </w:tcPr>
          <w:p w14:paraId="1C2FEC62" w14:textId="77777777" w:rsidR="00C23BE9" w:rsidRPr="00C23BE9" w:rsidRDefault="00C23BE9" w:rsidP="00C23BE9">
            <w:pPr>
              <w:spacing w:before="0" w:after="0"/>
              <w:ind w:left="57" w:right="57"/>
              <w:rPr>
                <w:sz w:val="16"/>
                <w:szCs w:val="16"/>
                <w:lang w:val="sr-Latn-RS"/>
              </w:rPr>
            </w:pPr>
          </w:p>
        </w:tc>
        <w:tc>
          <w:tcPr>
            <w:tcW w:w="551" w:type="pct"/>
            <w:shd w:val="clear" w:color="auto" w:fill="auto"/>
            <w:vAlign w:val="center"/>
          </w:tcPr>
          <w:p w14:paraId="758C30E8" w14:textId="77777777" w:rsidR="00C23BE9" w:rsidRPr="00C23BE9" w:rsidRDefault="00C23BE9" w:rsidP="007B1C88">
            <w:pPr>
              <w:spacing w:before="0" w:after="0"/>
              <w:ind w:left="57" w:right="57"/>
              <w:jc w:val="left"/>
              <w:rPr>
                <w:sz w:val="16"/>
                <w:szCs w:val="16"/>
                <w:lang w:val="sr-Latn-RS"/>
              </w:rPr>
            </w:pPr>
            <w:r w:rsidRPr="00C23BE9">
              <w:rPr>
                <w:sz w:val="16"/>
                <w:szCs w:val="16"/>
                <w:lang w:val="sr-Latn-RS"/>
              </w:rPr>
              <w:t>H(1:1)</w:t>
            </w:r>
          </w:p>
        </w:tc>
        <w:tc>
          <w:tcPr>
            <w:tcW w:w="393" w:type="pct"/>
            <w:shd w:val="clear" w:color="auto" w:fill="auto"/>
            <w:vAlign w:val="center"/>
          </w:tcPr>
          <w:p w14:paraId="1E3D3529"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2D2D298E"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38A00740"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6E42F3D8"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19919E41"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0270F5F7" w14:textId="77777777" w:rsidR="00C23BE9" w:rsidRPr="00C23BE9" w:rsidRDefault="00C23BE9" w:rsidP="005D0722">
            <w:pPr>
              <w:spacing w:before="0" w:after="0"/>
              <w:ind w:left="57" w:right="57"/>
              <w:jc w:val="right"/>
              <w:rPr>
                <w:rFonts w:cs="Times New Roman"/>
                <w:sz w:val="16"/>
                <w:szCs w:val="16"/>
                <w:lang w:val="sr-Latn-RS"/>
              </w:rPr>
            </w:pPr>
          </w:p>
        </w:tc>
        <w:tc>
          <w:tcPr>
            <w:tcW w:w="397" w:type="pct"/>
            <w:shd w:val="clear" w:color="auto" w:fill="auto"/>
            <w:vAlign w:val="center"/>
          </w:tcPr>
          <w:p w14:paraId="4298A9BF" w14:textId="77777777" w:rsidR="00C23BE9" w:rsidRPr="00C23BE9" w:rsidRDefault="00C23BE9" w:rsidP="005D0722">
            <w:pPr>
              <w:spacing w:before="0" w:after="0"/>
              <w:ind w:left="57" w:right="57"/>
              <w:jc w:val="right"/>
              <w:rPr>
                <w:rFonts w:cs="Times New Roman"/>
                <w:sz w:val="16"/>
                <w:szCs w:val="16"/>
                <w:lang w:val="sr-Latn-RS"/>
              </w:rPr>
            </w:pPr>
          </w:p>
        </w:tc>
        <w:tc>
          <w:tcPr>
            <w:tcW w:w="568" w:type="pct"/>
            <w:shd w:val="clear" w:color="auto" w:fill="auto"/>
            <w:vAlign w:val="center"/>
          </w:tcPr>
          <w:p w14:paraId="75B4D3E3" w14:textId="2085AA33" w:rsidR="00C23BE9" w:rsidRPr="00C23BE9" w:rsidRDefault="005D0722" w:rsidP="007B1C88">
            <w:pPr>
              <w:spacing w:before="0" w:after="0"/>
              <w:ind w:left="57" w:right="57"/>
              <w:jc w:val="right"/>
              <w:rPr>
                <w:sz w:val="16"/>
                <w:szCs w:val="16"/>
                <w:lang w:val="sr-Latn-RS"/>
              </w:rPr>
            </w:pPr>
            <w:r>
              <w:rPr>
                <w:sz w:val="16"/>
                <w:szCs w:val="16"/>
                <w:lang w:val="sr-Latn-RS"/>
              </w:rPr>
              <w:t>.</w:t>
            </w:r>
            <w:r w:rsidR="00C23BE9" w:rsidRPr="00C23BE9">
              <w:rPr>
                <w:sz w:val="16"/>
                <w:szCs w:val="16"/>
                <w:lang w:val="sr-Latn-RS"/>
              </w:rPr>
              <w:t>473</w:t>
            </w:r>
          </w:p>
        </w:tc>
        <w:tc>
          <w:tcPr>
            <w:tcW w:w="564" w:type="pct"/>
            <w:tcBorders>
              <w:right w:val="nil"/>
            </w:tcBorders>
            <w:shd w:val="clear" w:color="auto" w:fill="auto"/>
            <w:vAlign w:val="center"/>
          </w:tcPr>
          <w:p w14:paraId="35319198" w14:textId="079BA002" w:rsidR="00C23BE9" w:rsidRPr="00C23BE9" w:rsidRDefault="00C23BE9" w:rsidP="007B1C88">
            <w:pPr>
              <w:spacing w:before="0" w:after="0"/>
              <w:ind w:left="57" w:right="57"/>
              <w:jc w:val="right"/>
              <w:rPr>
                <w:sz w:val="16"/>
                <w:szCs w:val="16"/>
                <w:lang w:val="sr-Latn-RS"/>
              </w:rPr>
            </w:pPr>
            <w:r w:rsidRPr="00C23BE9">
              <w:rPr>
                <w:sz w:val="16"/>
                <w:szCs w:val="16"/>
                <w:lang w:val="sr-Latn-RS"/>
              </w:rPr>
              <w:t>-</w:t>
            </w:r>
            <w:r w:rsidR="005D0722">
              <w:rPr>
                <w:sz w:val="16"/>
                <w:szCs w:val="16"/>
                <w:lang w:val="sr-Latn-RS"/>
              </w:rPr>
              <w:t>.</w:t>
            </w:r>
            <w:r w:rsidRPr="00C23BE9">
              <w:rPr>
                <w:sz w:val="16"/>
                <w:szCs w:val="16"/>
                <w:lang w:val="sr-Latn-RS"/>
              </w:rPr>
              <w:t>485</w:t>
            </w:r>
          </w:p>
        </w:tc>
      </w:tr>
      <w:tr w:rsidR="00C23BE9" w:rsidRPr="00C23BE9" w14:paraId="57ACE6A5" w14:textId="77777777" w:rsidTr="00A1076D">
        <w:trPr>
          <w:cantSplit/>
        </w:trPr>
        <w:tc>
          <w:tcPr>
            <w:tcW w:w="562" w:type="pct"/>
            <w:vMerge/>
            <w:tcBorders>
              <w:left w:val="nil"/>
            </w:tcBorders>
            <w:shd w:val="clear" w:color="auto" w:fill="auto"/>
          </w:tcPr>
          <w:p w14:paraId="4971830E" w14:textId="77777777" w:rsidR="00C23BE9" w:rsidRPr="00C23BE9" w:rsidRDefault="00C23BE9" w:rsidP="00C23BE9">
            <w:pPr>
              <w:spacing w:before="0" w:after="0"/>
              <w:ind w:left="57" w:right="57"/>
              <w:rPr>
                <w:sz w:val="16"/>
                <w:szCs w:val="16"/>
                <w:lang w:val="sr-Latn-RS"/>
              </w:rPr>
            </w:pPr>
          </w:p>
        </w:tc>
        <w:tc>
          <w:tcPr>
            <w:tcW w:w="551" w:type="pct"/>
            <w:shd w:val="clear" w:color="auto" w:fill="auto"/>
            <w:vAlign w:val="center"/>
          </w:tcPr>
          <w:p w14:paraId="22BD9145" w14:textId="77777777" w:rsidR="00C23BE9" w:rsidRPr="00C23BE9" w:rsidRDefault="00C23BE9" w:rsidP="007B1C88">
            <w:pPr>
              <w:spacing w:before="0" w:after="0"/>
              <w:ind w:left="57" w:right="57"/>
              <w:jc w:val="left"/>
              <w:rPr>
                <w:sz w:val="16"/>
                <w:szCs w:val="16"/>
                <w:lang w:val="sr-Latn-RS"/>
              </w:rPr>
            </w:pPr>
            <w:r w:rsidRPr="00C23BE9">
              <w:rPr>
                <w:sz w:val="16"/>
                <w:szCs w:val="16"/>
                <w:lang w:val="sr-Latn-RS"/>
              </w:rPr>
              <w:t>H(1:2)</w:t>
            </w:r>
          </w:p>
        </w:tc>
        <w:tc>
          <w:tcPr>
            <w:tcW w:w="393" w:type="pct"/>
            <w:shd w:val="clear" w:color="auto" w:fill="auto"/>
            <w:vAlign w:val="center"/>
          </w:tcPr>
          <w:p w14:paraId="5D7ACE18"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4B415A3E"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252FC91A"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3542B659"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5B5A4E3F"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32789F87" w14:textId="77777777" w:rsidR="00C23BE9" w:rsidRPr="00C23BE9" w:rsidRDefault="00C23BE9" w:rsidP="005D0722">
            <w:pPr>
              <w:spacing w:before="0" w:after="0"/>
              <w:ind w:left="57" w:right="57"/>
              <w:jc w:val="right"/>
              <w:rPr>
                <w:rFonts w:cs="Times New Roman"/>
                <w:sz w:val="16"/>
                <w:szCs w:val="16"/>
                <w:lang w:val="sr-Latn-RS"/>
              </w:rPr>
            </w:pPr>
          </w:p>
        </w:tc>
        <w:tc>
          <w:tcPr>
            <w:tcW w:w="397" w:type="pct"/>
            <w:shd w:val="clear" w:color="auto" w:fill="auto"/>
            <w:vAlign w:val="center"/>
          </w:tcPr>
          <w:p w14:paraId="588CD34F" w14:textId="77777777" w:rsidR="00C23BE9" w:rsidRPr="00C23BE9" w:rsidRDefault="00C23BE9" w:rsidP="005D0722">
            <w:pPr>
              <w:spacing w:before="0" w:after="0"/>
              <w:ind w:left="57" w:right="57"/>
              <w:jc w:val="right"/>
              <w:rPr>
                <w:rFonts w:cs="Times New Roman"/>
                <w:sz w:val="16"/>
                <w:szCs w:val="16"/>
                <w:lang w:val="sr-Latn-RS"/>
              </w:rPr>
            </w:pPr>
          </w:p>
        </w:tc>
        <w:tc>
          <w:tcPr>
            <w:tcW w:w="568" w:type="pct"/>
            <w:shd w:val="clear" w:color="auto" w:fill="auto"/>
            <w:vAlign w:val="center"/>
          </w:tcPr>
          <w:p w14:paraId="2D9372AA" w14:textId="1B8E5785" w:rsidR="00C23BE9" w:rsidRPr="00C23BE9" w:rsidRDefault="00C23BE9" w:rsidP="007B1C88">
            <w:pPr>
              <w:spacing w:before="0" w:after="0"/>
              <w:ind w:left="57" w:right="57"/>
              <w:jc w:val="right"/>
              <w:rPr>
                <w:sz w:val="16"/>
                <w:szCs w:val="16"/>
                <w:lang w:val="sr-Latn-RS"/>
              </w:rPr>
            </w:pPr>
            <w:r w:rsidRPr="00C23BE9">
              <w:rPr>
                <w:sz w:val="16"/>
                <w:szCs w:val="16"/>
                <w:lang w:val="sr-Latn-RS"/>
              </w:rPr>
              <w:t>7</w:t>
            </w:r>
            <w:r w:rsidR="005D0722">
              <w:rPr>
                <w:sz w:val="16"/>
                <w:szCs w:val="16"/>
                <w:lang w:val="sr-Latn-RS"/>
              </w:rPr>
              <w:t>.</w:t>
            </w:r>
            <w:r w:rsidRPr="00C23BE9">
              <w:rPr>
                <w:sz w:val="16"/>
                <w:szCs w:val="16"/>
                <w:lang w:val="sr-Latn-RS"/>
              </w:rPr>
              <w:t>004</w:t>
            </w:r>
          </w:p>
        </w:tc>
        <w:tc>
          <w:tcPr>
            <w:tcW w:w="564" w:type="pct"/>
            <w:tcBorders>
              <w:right w:val="nil"/>
            </w:tcBorders>
            <w:shd w:val="clear" w:color="auto" w:fill="auto"/>
            <w:vAlign w:val="center"/>
          </w:tcPr>
          <w:p w14:paraId="0CA2ABFE" w14:textId="74839464" w:rsidR="00C23BE9" w:rsidRPr="00C23BE9" w:rsidRDefault="00C23BE9" w:rsidP="007B1C88">
            <w:pPr>
              <w:spacing w:before="0" w:after="0"/>
              <w:ind w:left="57" w:right="57"/>
              <w:jc w:val="right"/>
              <w:rPr>
                <w:sz w:val="16"/>
                <w:szCs w:val="16"/>
                <w:lang w:val="sr-Latn-RS"/>
              </w:rPr>
            </w:pPr>
            <w:r w:rsidRPr="00C23BE9">
              <w:rPr>
                <w:sz w:val="16"/>
                <w:szCs w:val="16"/>
                <w:lang w:val="sr-Latn-RS"/>
              </w:rPr>
              <w:t>-6</w:t>
            </w:r>
            <w:r w:rsidR="005D0722">
              <w:rPr>
                <w:sz w:val="16"/>
                <w:szCs w:val="16"/>
                <w:lang w:val="sr-Latn-RS"/>
              </w:rPr>
              <w:t>.</w:t>
            </w:r>
            <w:r w:rsidRPr="00C23BE9">
              <w:rPr>
                <w:sz w:val="16"/>
                <w:szCs w:val="16"/>
                <w:lang w:val="sr-Latn-RS"/>
              </w:rPr>
              <w:t>977</w:t>
            </w:r>
          </w:p>
        </w:tc>
      </w:tr>
      <w:tr w:rsidR="00C23BE9" w:rsidRPr="00C23BE9" w14:paraId="045E1207" w14:textId="77777777" w:rsidTr="00A1076D">
        <w:trPr>
          <w:cantSplit/>
        </w:trPr>
        <w:tc>
          <w:tcPr>
            <w:tcW w:w="562" w:type="pct"/>
            <w:vMerge/>
            <w:tcBorders>
              <w:left w:val="nil"/>
            </w:tcBorders>
            <w:shd w:val="clear" w:color="auto" w:fill="auto"/>
          </w:tcPr>
          <w:p w14:paraId="1F192AB3" w14:textId="77777777" w:rsidR="00C23BE9" w:rsidRPr="00C23BE9" w:rsidRDefault="00C23BE9" w:rsidP="00C23BE9">
            <w:pPr>
              <w:spacing w:before="0" w:after="0"/>
              <w:ind w:left="57" w:right="57"/>
              <w:rPr>
                <w:sz w:val="16"/>
                <w:szCs w:val="16"/>
                <w:lang w:val="sr-Latn-RS"/>
              </w:rPr>
            </w:pPr>
          </w:p>
        </w:tc>
        <w:tc>
          <w:tcPr>
            <w:tcW w:w="551" w:type="pct"/>
            <w:shd w:val="clear" w:color="auto" w:fill="auto"/>
            <w:vAlign w:val="center"/>
          </w:tcPr>
          <w:p w14:paraId="2387D7F1" w14:textId="77777777" w:rsidR="00C23BE9" w:rsidRPr="00C23BE9" w:rsidRDefault="00C23BE9" w:rsidP="007B1C88">
            <w:pPr>
              <w:spacing w:before="0" w:after="0"/>
              <w:ind w:left="57" w:right="57"/>
              <w:jc w:val="left"/>
              <w:rPr>
                <w:sz w:val="16"/>
                <w:szCs w:val="16"/>
                <w:lang w:val="sr-Latn-RS"/>
              </w:rPr>
            </w:pPr>
            <w:r w:rsidRPr="00C23BE9">
              <w:rPr>
                <w:sz w:val="16"/>
                <w:szCs w:val="16"/>
                <w:lang w:val="sr-Latn-RS"/>
              </w:rPr>
              <w:t>H(1:3)</w:t>
            </w:r>
          </w:p>
        </w:tc>
        <w:tc>
          <w:tcPr>
            <w:tcW w:w="393" w:type="pct"/>
            <w:shd w:val="clear" w:color="auto" w:fill="auto"/>
            <w:vAlign w:val="center"/>
          </w:tcPr>
          <w:p w14:paraId="2D73F3E5"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54606CA2"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123477E5"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01E83508"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44472728"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78B60CA9" w14:textId="77777777" w:rsidR="00C23BE9" w:rsidRPr="00C23BE9" w:rsidRDefault="00C23BE9" w:rsidP="005D0722">
            <w:pPr>
              <w:spacing w:before="0" w:after="0"/>
              <w:ind w:left="57" w:right="57"/>
              <w:jc w:val="right"/>
              <w:rPr>
                <w:rFonts w:cs="Times New Roman"/>
                <w:sz w:val="16"/>
                <w:szCs w:val="16"/>
                <w:lang w:val="sr-Latn-RS"/>
              </w:rPr>
            </w:pPr>
          </w:p>
        </w:tc>
        <w:tc>
          <w:tcPr>
            <w:tcW w:w="397" w:type="pct"/>
            <w:shd w:val="clear" w:color="auto" w:fill="auto"/>
            <w:vAlign w:val="center"/>
          </w:tcPr>
          <w:p w14:paraId="7B10AC26" w14:textId="77777777" w:rsidR="00C23BE9" w:rsidRPr="00C23BE9" w:rsidRDefault="00C23BE9" w:rsidP="005D0722">
            <w:pPr>
              <w:spacing w:before="0" w:after="0"/>
              <w:ind w:left="57" w:right="57"/>
              <w:jc w:val="right"/>
              <w:rPr>
                <w:rFonts w:cs="Times New Roman"/>
                <w:sz w:val="16"/>
                <w:szCs w:val="16"/>
                <w:lang w:val="sr-Latn-RS"/>
              </w:rPr>
            </w:pPr>
          </w:p>
        </w:tc>
        <w:tc>
          <w:tcPr>
            <w:tcW w:w="568" w:type="pct"/>
            <w:shd w:val="clear" w:color="auto" w:fill="auto"/>
            <w:vAlign w:val="center"/>
          </w:tcPr>
          <w:p w14:paraId="49A91847" w14:textId="26F676C7" w:rsidR="00C23BE9" w:rsidRPr="00C23BE9" w:rsidRDefault="00C23BE9" w:rsidP="007B1C88">
            <w:pPr>
              <w:spacing w:before="0" w:after="0"/>
              <w:ind w:left="57" w:right="57"/>
              <w:jc w:val="right"/>
              <w:rPr>
                <w:sz w:val="16"/>
                <w:szCs w:val="16"/>
                <w:lang w:val="sr-Latn-RS"/>
              </w:rPr>
            </w:pPr>
            <w:r w:rsidRPr="00C23BE9">
              <w:rPr>
                <w:sz w:val="16"/>
                <w:szCs w:val="16"/>
                <w:lang w:val="sr-Latn-RS"/>
              </w:rPr>
              <w:t>-4</w:t>
            </w:r>
            <w:r w:rsidR="005D0722">
              <w:rPr>
                <w:sz w:val="16"/>
                <w:szCs w:val="16"/>
                <w:lang w:val="sr-Latn-RS"/>
              </w:rPr>
              <w:t>.</w:t>
            </w:r>
            <w:r w:rsidRPr="00C23BE9">
              <w:rPr>
                <w:sz w:val="16"/>
                <w:szCs w:val="16"/>
                <w:lang w:val="sr-Latn-RS"/>
              </w:rPr>
              <w:t>648</w:t>
            </w:r>
          </w:p>
        </w:tc>
        <w:tc>
          <w:tcPr>
            <w:tcW w:w="564" w:type="pct"/>
            <w:tcBorders>
              <w:right w:val="nil"/>
            </w:tcBorders>
            <w:shd w:val="clear" w:color="auto" w:fill="auto"/>
            <w:vAlign w:val="center"/>
          </w:tcPr>
          <w:p w14:paraId="771539FA" w14:textId="6103C257" w:rsidR="00C23BE9" w:rsidRPr="00C23BE9" w:rsidRDefault="00C23BE9" w:rsidP="007B1C88">
            <w:pPr>
              <w:spacing w:before="0" w:after="0"/>
              <w:ind w:left="57" w:right="57"/>
              <w:jc w:val="right"/>
              <w:rPr>
                <w:sz w:val="16"/>
                <w:szCs w:val="16"/>
                <w:lang w:val="sr-Latn-RS"/>
              </w:rPr>
            </w:pPr>
            <w:r w:rsidRPr="00C23BE9">
              <w:rPr>
                <w:sz w:val="16"/>
                <w:szCs w:val="16"/>
                <w:lang w:val="sr-Latn-RS"/>
              </w:rPr>
              <w:t>4</w:t>
            </w:r>
            <w:r w:rsidR="005D0722">
              <w:rPr>
                <w:sz w:val="16"/>
                <w:szCs w:val="16"/>
                <w:lang w:val="sr-Latn-RS"/>
              </w:rPr>
              <w:t>.</w:t>
            </w:r>
            <w:r w:rsidRPr="00C23BE9">
              <w:rPr>
                <w:sz w:val="16"/>
                <w:szCs w:val="16"/>
                <w:lang w:val="sr-Latn-RS"/>
              </w:rPr>
              <w:t>611</w:t>
            </w:r>
          </w:p>
        </w:tc>
      </w:tr>
      <w:tr w:rsidR="00C23BE9" w:rsidRPr="00C23BE9" w14:paraId="3A0624FC" w14:textId="77777777" w:rsidTr="00A1076D">
        <w:trPr>
          <w:cantSplit/>
        </w:trPr>
        <w:tc>
          <w:tcPr>
            <w:tcW w:w="562" w:type="pct"/>
            <w:vMerge/>
            <w:tcBorders>
              <w:left w:val="nil"/>
            </w:tcBorders>
            <w:shd w:val="clear" w:color="auto" w:fill="auto"/>
          </w:tcPr>
          <w:p w14:paraId="27E640BB" w14:textId="77777777" w:rsidR="00C23BE9" w:rsidRPr="00C23BE9" w:rsidRDefault="00C23BE9" w:rsidP="00C23BE9">
            <w:pPr>
              <w:spacing w:before="0" w:after="0"/>
              <w:ind w:left="57" w:right="57"/>
              <w:rPr>
                <w:sz w:val="16"/>
                <w:szCs w:val="16"/>
                <w:lang w:val="sr-Latn-RS"/>
              </w:rPr>
            </w:pPr>
          </w:p>
        </w:tc>
        <w:tc>
          <w:tcPr>
            <w:tcW w:w="551" w:type="pct"/>
            <w:shd w:val="clear" w:color="auto" w:fill="auto"/>
            <w:vAlign w:val="center"/>
          </w:tcPr>
          <w:p w14:paraId="474E0386" w14:textId="77777777" w:rsidR="00C23BE9" w:rsidRPr="00C23BE9" w:rsidRDefault="00C23BE9" w:rsidP="007B1C88">
            <w:pPr>
              <w:spacing w:before="0" w:after="0"/>
              <w:ind w:left="57" w:right="57"/>
              <w:jc w:val="left"/>
              <w:rPr>
                <w:sz w:val="16"/>
                <w:szCs w:val="16"/>
                <w:lang w:val="sr-Latn-RS"/>
              </w:rPr>
            </w:pPr>
            <w:r w:rsidRPr="00C23BE9">
              <w:rPr>
                <w:sz w:val="16"/>
                <w:szCs w:val="16"/>
                <w:lang w:val="sr-Latn-RS"/>
              </w:rPr>
              <w:t>H(1:4)</w:t>
            </w:r>
          </w:p>
        </w:tc>
        <w:tc>
          <w:tcPr>
            <w:tcW w:w="393" w:type="pct"/>
            <w:shd w:val="clear" w:color="auto" w:fill="auto"/>
            <w:vAlign w:val="center"/>
          </w:tcPr>
          <w:p w14:paraId="16EA115C"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2CA8BC8E"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60566E06"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6EC7BF3B"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00003F96"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2494086E" w14:textId="77777777" w:rsidR="00C23BE9" w:rsidRPr="00C23BE9" w:rsidRDefault="00C23BE9" w:rsidP="005D0722">
            <w:pPr>
              <w:spacing w:before="0" w:after="0"/>
              <w:ind w:left="57" w:right="57"/>
              <w:jc w:val="right"/>
              <w:rPr>
                <w:rFonts w:cs="Times New Roman"/>
                <w:sz w:val="16"/>
                <w:szCs w:val="16"/>
                <w:lang w:val="sr-Latn-RS"/>
              </w:rPr>
            </w:pPr>
          </w:p>
        </w:tc>
        <w:tc>
          <w:tcPr>
            <w:tcW w:w="397" w:type="pct"/>
            <w:shd w:val="clear" w:color="auto" w:fill="auto"/>
            <w:vAlign w:val="center"/>
          </w:tcPr>
          <w:p w14:paraId="5E141A82" w14:textId="77777777" w:rsidR="00C23BE9" w:rsidRPr="00C23BE9" w:rsidRDefault="00C23BE9" w:rsidP="005D0722">
            <w:pPr>
              <w:spacing w:before="0" w:after="0"/>
              <w:ind w:left="57" w:right="57"/>
              <w:jc w:val="right"/>
              <w:rPr>
                <w:rFonts w:cs="Times New Roman"/>
                <w:sz w:val="16"/>
                <w:szCs w:val="16"/>
                <w:lang w:val="sr-Latn-RS"/>
              </w:rPr>
            </w:pPr>
          </w:p>
        </w:tc>
        <w:tc>
          <w:tcPr>
            <w:tcW w:w="568" w:type="pct"/>
            <w:shd w:val="clear" w:color="auto" w:fill="auto"/>
            <w:vAlign w:val="center"/>
          </w:tcPr>
          <w:p w14:paraId="4449DDD8" w14:textId="7BFFE919" w:rsidR="00C23BE9" w:rsidRPr="00C23BE9" w:rsidRDefault="00C23BE9" w:rsidP="007B1C88">
            <w:pPr>
              <w:spacing w:before="0" w:after="0"/>
              <w:ind w:left="57" w:right="57"/>
              <w:jc w:val="right"/>
              <w:rPr>
                <w:sz w:val="16"/>
                <w:szCs w:val="16"/>
                <w:lang w:val="sr-Latn-RS"/>
              </w:rPr>
            </w:pPr>
            <w:r w:rsidRPr="00C23BE9">
              <w:rPr>
                <w:sz w:val="16"/>
                <w:szCs w:val="16"/>
                <w:lang w:val="sr-Latn-RS"/>
              </w:rPr>
              <w:t>-7</w:t>
            </w:r>
            <w:r w:rsidR="005D0722">
              <w:rPr>
                <w:sz w:val="16"/>
                <w:szCs w:val="16"/>
                <w:lang w:val="sr-Latn-RS"/>
              </w:rPr>
              <w:t>.</w:t>
            </w:r>
            <w:r w:rsidRPr="00C23BE9">
              <w:rPr>
                <w:sz w:val="16"/>
                <w:szCs w:val="16"/>
                <w:lang w:val="sr-Latn-RS"/>
              </w:rPr>
              <w:t>927</w:t>
            </w:r>
          </w:p>
        </w:tc>
        <w:tc>
          <w:tcPr>
            <w:tcW w:w="564" w:type="pct"/>
            <w:tcBorders>
              <w:right w:val="nil"/>
            </w:tcBorders>
            <w:shd w:val="clear" w:color="auto" w:fill="auto"/>
            <w:vAlign w:val="center"/>
          </w:tcPr>
          <w:p w14:paraId="60D08188" w14:textId="0F8E09DB" w:rsidR="00C23BE9" w:rsidRPr="00C23BE9" w:rsidRDefault="00C23BE9" w:rsidP="007B1C88">
            <w:pPr>
              <w:spacing w:before="0" w:after="0"/>
              <w:ind w:left="57" w:right="57"/>
              <w:jc w:val="right"/>
              <w:rPr>
                <w:sz w:val="16"/>
                <w:szCs w:val="16"/>
                <w:lang w:val="sr-Latn-RS"/>
              </w:rPr>
            </w:pPr>
            <w:r w:rsidRPr="00C23BE9">
              <w:rPr>
                <w:sz w:val="16"/>
                <w:szCs w:val="16"/>
                <w:lang w:val="sr-Latn-RS"/>
              </w:rPr>
              <w:t>7</w:t>
            </w:r>
            <w:r w:rsidR="005D0722">
              <w:rPr>
                <w:sz w:val="16"/>
                <w:szCs w:val="16"/>
                <w:lang w:val="sr-Latn-RS"/>
              </w:rPr>
              <w:t>.</w:t>
            </w:r>
            <w:r w:rsidRPr="00C23BE9">
              <w:rPr>
                <w:sz w:val="16"/>
                <w:szCs w:val="16"/>
                <w:lang w:val="sr-Latn-RS"/>
              </w:rPr>
              <w:t>920</w:t>
            </w:r>
          </w:p>
        </w:tc>
      </w:tr>
      <w:tr w:rsidR="00C23BE9" w:rsidRPr="00C23BE9" w14:paraId="56B15A00" w14:textId="77777777" w:rsidTr="00A1076D">
        <w:trPr>
          <w:cantSplit/>
        </w:trPr>
        <w:tc>
          <w:tcPr>
            <w:tcW w:w="562" w:type="pct"/>
            <w:vMerge/>
            <w:tcBorders>
              <w:left w:val="nil"/>
            </w:tcBorders>
            <w:shd w:val="clear" w:color="auto" w:fill="auto"/>
          </w:tcPr>
          <w:p w14:paraId="18C5A493" w14:textId="77777777" w:rsidR="00C23BE9" w:rsidRPr="00C23BE9" w:rsidRDefault="00C23BE9" w:rsidP="00C23BE9">
            <w:pPr>
              <w:spacing w:before="0" w:after="0"/>
              <w:ind w:left="57" w:right="57"/>
              <w:rPr>
                <w:sz w:val="16"/>
                <w:szCs w:val="16"/>
                <w:lang w:val="sr-Latn-RS"/>
              </w:rPr>
            </w:pPr>
          </w:p>
        </w:tc>
        <w:tc>
          <w:tcPr>
            <w:tcW w:w="551" w:type="pct"/>
            <w:shd w:val="clear" w:color="auto" w:fill="auto"/>
            <w:vAlign w:val="center"/>
          </w:tcPr>
          <w:p w14:paraId="71476AC0" w14:textId="77777777" w:rsidR="00C23BE9" w:rsidRPr="00C23BE9" w:rsidRDefault="00C23BE9" w:rsidP="007B1C88">
            <w:pPr>
              <w:spacing w:before="0" w:after="0"/>
              <w:ind w:left="57" w:right="57"/>
              <w:jc w:val="left"/>
              <w:rPr>
                <w:sz w:val="16"/>
                <w:szCs w:val="16"/>
                <w:lang w:val="sr-Latn-RS"/>
              </w:rPr>
            </w:pPr>
            <w:r w:rsidRPr="00C23BE9">
              <w:rPr>
                <w:sz w:val="16"/>
                <w:szCs w:val="16"/>
                <w:lang w:val="sr-Latn-RS"/>
              </w:rPr>
              <w:t>H(1:5)</w:t>
            </w:r>
          </w:p>
        </w:tc>
        <w:tc>
          <w:tcPr>
            <w:tcW w:w="393" w:type="pct"/>
            <w:shd w:val="clear" w:color="auto" w:fill="auto"/>
            <w:vAlign w:val="center"/>
          </w:tcPr>
          <w:p w14:paraId="5BD72F4D"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693E7802"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1C8ED92B"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2F2E0470"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136D10E9"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5A2E746A" w14:textId="77777777" w:rsidR="00C23BE9" w:rsidRPr="00C23BE9" w:rsidRDefault="00C23BE9" w:rsidP="005D0722">
            <w:pPr>
              <w:spacing w:before="0" w:after="0"/>
              <w:ind w:left="57" w:right="57"/>
              <w:jc w:val="right"/>
              <w:rPr>
                <w:rFonts w:cs="Times New Roman"/>
                <w:sz w:val="16"/>
                <w:szCs w:val="16"/>
                <w:lang w:val="sr-Latn-RS"/>
              </w:rPr>
            </w:pPr>
          </w:p>
        </w:tc>
        <w:tc>
          <w:tcPr>
            <w:tcW w:w="397" w:type="pct"/>
            <w:shd w:val="clear" w:color="auto" w:fill="auto"/>
            <w:vAlign w:val="center"/>
          </w:tcPr>
          <w:p w14:paraId="4334E212" w14:textId="77777777" w:rsidR="00C23BE9" w:rsidRPr="00C23BE9" w:rsidRDefault="00C23BE9" w:rsidP="005D0722">
            <w:pPr>
              <w:spacing w:before="0" w:after="0"/>
              <w:ind w:left="57" w:right="57"/>
              <w:jc w:val="right"/>
              <w:rPr>
                <w:rFonts w:cs="Times New Roman"/>
                <w:sz w:val="16"/>
                <w:szCs w:val="16"/>
                <w:lang w:val="sr-Latn-RS"/>
              </w:rPr>
            </w:pPr>
          </w:p>
        </w:tc>
        <w:tc>
          <w:tcPr>
            <w:tcW w:w="568" w:type="pct"/>
            <w:shd w:val="clear" w:color="auto" w:fill="auto"/>
            <w:vAlign w:val="center"/>
          </w:tcPr>
          <w:p w14:paraId="5ED1A507" w14:textId="05ADB663" w:rsidR="00C23BE9" w:rsidRPr="00C23BE9" w:rsidRDefault="00C23BE9" w:rsidP="007B1C88">
            <w:pPr>
              <w:spacing w:before="0" w:after="0"/>
              <w:ind w:left="57" w:right="57"/>
              <w:jc w:val="right"/>
              <w:rPr>
                <w:sz w:val="16"/>
                <w:szCs w:val="16"/>
                <w:lang w:val="sr-Latn-RS"/>
              </w:rPr>
            </w:pPr>
            <w:r w:rsidRPr="00C23BE9">
              <w:rPr>
                <w:sz w:val="16"/>
                <w:szCs w:val="16"/>
                <w:lang w:val="sr-Latn-RS"/>
              </w:rPr>
              <w:t>8</w:t>
            </w:r>
            <w:r w:rsidR="005D0722">
              <w:rPr>
                <w:sz w:val="16"/>
                <w:szCs w:val="16"/>
                <w:lang w:val="sr-Latn-RS"/>
              </w:rPr>
              <w:t>.</w:t>
            </w:r>
            <w:r w:rsidRPr="00C23BE9">
              <w:rPr>
                <w:sz w:val="16"/>
                <w:szCs w:val="16"/>
                <w:lang w:val="sr-Latn-RS"/>
              </w:rPr>
              <w:t>173</w:t>
            </w:r>
          </w:p>
        </w:tc>
        <w:tc>
          <w:tcPr>
            <w:tcW w:w="564" w:type="pct"/>
            <w:tcBorders>
              <w:right w:val="nil"/>
            </w:tcBorders>
            <w:shd w:val="clear" w:color="auto" w:fill="auto"/>
            <w:vAlign w:val="center"/>
          </w:tcPr>
          <w:p w14:paraId="2BB4EB3D" w14:textId="083C56FA" w:rsidR="00C23BE9" w:rsidRPr="00C23BE9" w:rsidRDefault="00C23BE9" w:rsidP="007B1C88">
            <w:pPr>
              <w:spacing w:before="0" w:after="0"/>
              <w:ind w:left="57" w:right="57"/>
              <w:jc w:val="right"/>
              <w:rPr>
                <w:sz w:val="16"/>
                <w:szCs w:val="16"/>
                <w:lang w:val="sr-Latn-RS"/>
              </w:rPr>
            </w:pPr>
            <w:r w:rsidRPr="00C23BE9">
              <w:rPr>
                <w:sz w:val="16"/>
                <w:szCs w:val="16"/>
                <w:lang w:val="sr-Latn-RS"/>
              </w:rPr>
              <w:t>-8</w:t>
            </w:r>
            <w:r w:rsidR="005D0722">
              <w:rPr>
                <w:sz w:val="16"/>
                <w:szCs w:val="16"/>
                <w:lang w:val="sr-Latn-RS"/>
              </w:rPr>
              <w:t>.</w:t>
            </w:r>
            <w:r w:rsidRPr="00C23BE9">
              <w:rPr>
                <w:sz w:val="16"/>
                <w:szCs w:val="16"/>
                <w:lang w:val="sr-Latn-RS"/>
              </w:rPr>
              <w:t>189</w:t>
            </w:r>
          </w:p>
        </w:tc>
      </w:tr>
      <w:tr w:rsidR="00C23BE9" w:rsidRPr="00C23BE9" w14:paraId="7EEF43FE" w14:textId="77777777" w:rsidTr="00A1076D">
        <w:trPr>
          <w:cantSplit/>
        </w:trPr>
        <w:tc>
          <w:tcPr>
            <w:tcW w:w="562" w:type="pct"/>
            <w:vMerge/>
            <w:tcBorders>
              <w:left w:val="nil"/>
            </w:tcBorders>
            <w:shd w:val="clear" w:color="auto" w:fill="auto"/>
          </w:tcPr>
          <w:p w14:paraId="6CD69FD8" w14:textId="77777777" w:rsidR="00C23BE9" w:rsidRPr="00C23BE9" w:rsidRDefault="00C23BE9" w:rsidP="00C23BE9">
            <w:pPr>
              <w:spacing w:before="0" w:after="0"/>
              <w:ind w:left="57" w:right="57"/>
              <w:rPr>
                <w:sz w:val="16"/>
                <w:szCs w:val="16"/>
                <w:lang w:val="sr-Latn-RS"/>
              </w:rPr>
            </w:pPr>
          </w:p>
        </w:tc>
        <w:tc>
          <w:tcPr>
            <w:tcW w:w="551" w:type="pct"/>
            <w:shd w:val="clear" w:color="auto" w:fill="auto"/>
            <w:vAlign w:val="center"/>
          </w:tcPr>
          <w:p w14:paraId="00BF0640" w14:textId="77777777" w:rsidR="00C23BE9" w:rsidRPr="00C23BE9" w:rsidRDefault="00C23BE9" w:rsidP="007B1C88">
            <w:pPr>
              <w:spacing w:before="0" w:after="0"/>
              <w:ind w:left="57" w:right="57"/>
              <w:jc w:val="left"/>
              <w:rPr>
                <w:sz w:val="16"/>
                <w:szCs w:val="16"/>
                <w:lang w:val="sr-Latn-RS"/>
              </w:rPr>
            </w:pPr>
            <w:r w:rsidRPr="00C23BE9">
              <w:rPr>
                <w:sz w:val="16"/>
                <w:szCs w:val="16"/>
                <w:lang w:val="sr-Latn-RS"/>
              </w:rPr>
              <w:t>H(1:6)</w:t>
            </w:r>
          </w:p>
        </w:tc>
        <w:tc>
          <w:tcPr>
            <w:tcW w:w="393" w:type="pct"/>
            <w:shd w:val="clear" w:color="auto" w:fill="auto"/>
            <w:vAlign w:val="center"/>
          </w:tcPr>
          <w:p w14:paraId="3B5F8491"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5A6D74CF"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34270F1A"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597B337B"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6672EA1F" w14:textId="77777777" w:rsidR="00C23BE9" w:rsidRPr="00C23BE9" w:rsidRDefault="00C23BE9" w:rsidP="005D0722">
            <w:pPr>
              <w:spacing w:before="0" w:after="0"/>
              <w:ind w:left="57" w:right="57"/>
              <w:jc w:val="right"/>
              <w:rPr>
                <w:rFonts w:cs="Times New Roman"/>
                <w:sz w:val="16"/>
                <w:szCs w:val="16"/>
                <w:lang w:val="sr-Latn-RS"/>
              </w:rPr>
            </w:pPr>
          </w:p>
        </w:tc>
        <w:tc>
          <w:tcPr>
            <w:tcW w:w="393" w:type="pct"/>
            <w:shd w:val="clear" w:color="auto" w:fill="auto"/>
            <w:vAlign w:val="center"/>
          </w:tcPr>
          <w:p w14:paraId="618C8B70" w14:textId="77777777" w:rsidR="00C23BE9" w:rsidRPr="00C23BE9" w:rsidRDefault="00C23BE9" w:rsidP="005D0722">
            <w:pPr>
              <w:spacing w:before="0" w:after="0"/>
              <w:ind w:left="57" w:right="57"/>
              <w:jc w:val="right"/>
              <w:rPr>
                <w:rFonts w:cs="Times New Roman"/>
                <w:sz w:val="16"/>
                <w:szCs w:val="16"/>
                <w:lang w:val="sr-Latn-RS"/>
              </w:rPr>
            </w:pPr>
          </w:p>
        </w:tc>
        <w:tc>
          <w:tcPr>
            <w:tcW w:w="397" w:type="pct"/>
            <w:shd w:val="clear" w:color="auto" w:fill="auto"/>
            <w:vAlign w:val="center"/>
          </w:tcPr>
          <w:p w14:paraId="67CE4245" w14:textId="77777777" w:rsidR="00C23BE9" w:rsidRPr="00C23BE9" w:rsidRDefault="00C23BE9" w:rsidP="005D0722">
            <w:pPr>
              <w:spacing w:before="0" w:after="0"/>
              <w:ind w:left="57" w:right="57"/>
              <w:jc w:val="right"/>
              <w:rPr>
                <w:rFonts w:cs="Times New Roman"/>
                <w:sz w:val="16"/>
                <w:szCs w:val="16"/>
                <w:lang w:val="sr-Latn-RS"/>
              </w:rPr>
            </w:pPr>
          </w:p>
        </w:tc>
        <w:tc>
          <w:tcPr>
            <w:tcW w:w="568" w:type="pct"/>
            <w:shd w:val="clear" w:color="auto" w:fill="auto"/>
            <w:vAlign w:val="center"/>
          </w:tcPr>
          <w:p w14:paraId="6ED13132" w14:textId="1D59670A" w:rsidR="00C23BE9" w:rsidRPr="00C23BE9" w:rsidRDefault="00C23BE9" w:rsidP="007B1C88">
            <w:pPr>
              <w:spacing w:before="0" w:after="0"/>
              <w:ind w:left="57" w:right="57"/>
              <w:jc w:val="right"/>
              <w:rPr>
                <w:sz w:val="16"/>
                <w:szCs w:val="16"/>
                <w:lang w:val="sr-Latn-RS"/>
              </w:rPr>
            </w:pPr>
            <w:r w:rsidRPr="00C23BE9">
              <w:rPr>
                <w:sz w:val="16"/>
                <w:szCs w:val="16"/>
                <w:lang w:val="sr-Latn-RS"/>
              </w:rPr>
              <w:t>-5</w:t>
            </w:r>
            <w:r w:rsidR="005D0722">
              <w:rPr>
                <w:sz w:val="16"/>
                <w:szCs w:val="16"/>
                <w:lang w:val="sr-Latn-RS"/>
              </w:rPr>
              <w:t>.</w:t>
            </w:r>
            <w:r w:rsidRPr="00C23BE9">
              <w:rPr>
                <w:sz w:val="16"/>
                <w:szCs w:val="16"/>
                <w:lang w:val="sr-Latn-RS"/>
              </w:rPr>
              <w:t>033</w:t>
            </w:r>
          </w:p>
        </w:tc>
        <w:tc>
          <w:tcPr>
            <w:tcW w:w="564" w:type="pct"/>
            <w:tcBorders>
              <w:right w:val="nil"/>
            </w:tcBorders>
            <w:shd w:val="clear" w:color="auto" w:fill="auto"/>
            <w:vAlign w:val="center"/>
          </w:tcPr>
          <w:p w14:paraId="6A594D16" w14:textId="72F987F5" w:rsidR="00C23BE9" w:rsidRPr="00C23BE9" w:rsidRDefault="00C23BE9" w:rsidP="007B1C88">
            <w:pPr>
              <w:spacing w:before="0" w:after="0"/>
              <w:ind w:left="57" w:right="57"/>
              <w:jc w:val="right"/>
              <w:rPr>
                <w:sz w:val="16"/>
                <w:szCs w:val="16"/>
                <w:lang w:val="sr-Latn-RS"/>
              </w:rPr>
            </w:pPr>
            <w:r w:rsidRPr="00C23BE9">
              <w:rPr>
                <w:sz w:val="16"/>
                <w:szCs w:val="16"/>
                <w:lang w:val="sr-Latn-RS"/>
              </w:rPr>
              <w:t>5</w:t>
            </w:r>
            <w:r w:rsidR="005D0722">
              <w:rPr>
                <w:sz w:val="16"/>
                <w:szCs w:val="16"/>
                <w:lang w:val="sr-Latn-RS"/>
              </w:rPr>
              <w:t>.</w:t>
            </w:r>
            <w:r w:rsidRPr="00C23BE9">
              <w:rPr>
                <w:sz w:val="16"/>
                <w:szCs w:val="16"/>
                <w:lang w:val="sr-Latn-RS"/>
              </w:rPr>
              <w:t>028</w:t>
            </w:r>
          </w:p>
        </w:tc>
      </w:tr>
      <w:tr w:rsidR="00C23BE9" w:rsidRPr="00C23BE9" w14:paraId="1B7F47A5" w14:textId="77777777" w:rsidTr="00982E69">
        <w:trPr>
          <w:cantSplit/>
        </w:trPr>
        <w:tc>
          <w:tcPr>
            <w:tcW w:w="562" w:type="pct"/>
            <w:vMerge/>
            <w:tcBorders>
              <w:left w:val="nil"/>
              <w:bottom w:val="single" w:sz="4" w:space="0" w:color="auto"/>
            </w:tcBorders>
            <w:shd w:val="clear" w:color="auto" w:fill="auto"/>
          </w:tcPr>
          <w:p w14:paraId="3C1062E8" w14:textId="77777777" w:rsidR="00C23BE9" w:rsidRPr="00C23BE9" w:rsidRDefault="00C23BE9" w:rsidP="00C23BE9">
            <w:pPr>
              <w:spacing w:before="0" w:after="0"/>
              <w:ind w:left="57" w:right="57"/>
              <w:rPr>
                <w:sz w:val="16"/>
                <w:szCs w:val="16"/>
                <w:lang w:val="sr-Latn-RS"/>
              </w:rPr>
            </w:pPr>
          </w:p>
        </w:tc>
        <w:tc>
          <w:tcPr>
            <w:tcW w:w="551" w:type="pct"/>
            <w:tcBorders>
              <w:bottom w:val="single" w:sz="4" w:space="0" w:color="auto"/>
            </w:tcBorders>
            <w:shd w:val="clear" w:color="auto" w:fill="auto"/>
            <w:vAlign w:val="center"/>
          </w:tcPr>
          <w:p w14:paraId="5BAF2D08" w14:textId="77777777" w:rsidR="00C23BE9" w:rsidRPr="00C23BE9" w:rsidRDefault="00C23BE9" w:rsidP="007B1C88">
            <w:pPr>
              <w:spacing w:before="0" w:after="0"/>
              <w:ind w:left="57" w:right="57"/>
              <w:jc w:val="left"/>
              <w:rPr>
                <w:sz w:val="16"/>
                <w:szCs w:val="16"/>
                <w:lang w:val="sr-Latn-RS"/>
              </w:rPr>
            </w:pPr>
            <w:r w:rsidRPr="00C23BE9">
              <w:rPr>
                <w:sz w:val="16"/>
                <w:szCs w:val="16"/>
                <w:lang w:val="sr-Latn-RS"/>
              </w:rPr>
              <w:t>H(1:7)</w:t>
            </w:r>
          </w:p>
        </w:tc>
        <w:tc>
          <w:tcPr>
            <w:tcW w:w="393" w:type="pct"/>
            <w:tcBorders>
              <w:bottom w:val="single" w:sz="4" w:space="0" w:color="auto"/>
            </w:tcBorders>
            <w:shd w:val="clear" w:color="auto" w:fill="auto"/>
            <w:vAlign w:val="center"/>
          </w:tcPr>
          <w:p w14:paraId="6A5F6212" w14:textId="77777777" w:rsidR="00C23BE9" w:rsidRPr="00C23BE9" w:rsidRDefault="00C23BE9" w:rsidP="005D0722">
            <w:pPr>
              <w:spacing w:before="0" w:after="0"/>
              <w:ind w:left="57" w:right="57"/>
              <w:jc w:val="right"/>
              <w:rPr>
                <w:rFonts w:cs="Times New Roman"/>
                <w:sz w:val="16"/>
                <w:szCs w:val="16"/>
                <w:lang w:val="sr-Latn-RS"/>
              </w:rPr>
            </w:pPr>
          </w:p>
        </w:tc>
        <w:tc>
          <w:tcPr>
            <w:tcW w:w="393" w:type="pct"/>
            <w:tcBorders>
              <w:bottom w:val="single" w:sz="4" w:space="0" w:color="auto"/>
            </w:tcBorders>
            <w:shd w:val="clear" w:color="auto" w:fill="auto"/>
            <w:vAlign w:val="center"/>
          </w:tcPr>
          <w:p w14:paraId="68424865" w14:textId="77777777" w:rsidR="00C23BE9" w:rsidRPr="00C23BE9" w:rsidRDefault="00C23BE9" w:rsidP="005D0722">
            <w:pPr>
              <w:spacing w:before="0" w:after="0"/>
              <w:ind w:left="57" w:right="57"/>
              <w:jc w:val="right"/>
              <w:rPr>
                <w:rFonts w:cs="Times New Roman"/>
                <w:sz w:val="16"/>
                <w:szCs w:val="16"/>
                <w:lang w:val="sr-Latn-RS"/>
              </w:rPr>
            </w:pPr>
          </w:p>
        </w:tc>
        <w:tc>
          <w:tcPr>
            <w:tcW w:w="393" w:type="pct"/>
            <w:tcBorders>
              <w:bottom w:val="single" w:sz="4" w:space="0" w:color="auto"/>
            </w:tcBorders>
            <w:shd w:val="clear" w:color="auto" w:fill="auto"/>
            <w:vAlign w:val="center"/>
          </w:tcPr>
          <w:p w14:paraId="51E02E32" w14:textId="77777777" w:rsidR="00C23BE9" w:rsidRPr="00C23BE9" w:rsidRDefault="00C23BE9" w:rsidP="005D0722">
            <w:pPr>
              <w:spacing w:before="0" w:after="0"/>
              <w:ind w:left="57" w:right="57"/>
              <w:jc w:val="right"/>
              <w:rPr>
                <w:rFonts w:cs="Times New Roman"/>
                <w:sz w:val="16"/>
                <w:szCs w:val="16"/>
                <w:lang w:val="sr-Latn-RS"/>
              </w:rPr>
            </w:pPr>
          </w:p>
        </w:tc>
        <w:tc>
          <w:tcPr>
            <w:tcW w:w="393" w:type="pct"/>
            <w:tcBorders>
              <w:bottom w:val="single" w:sz="4" w:space="0" w:color="auto"/>
            </w:tcBorders>
            <w:shd w:val="clear" w:color="auto" w:fill="auto"/>
            <w:vAlign w:val="center"/>
          </w:tcPr>
          <w:p w14:paraId="20591666" w14:textId="77777777" w:rsidR="00C23BE9" w:rsidRPr="00C23BE9" w:rsidRDefault="00C23BE9" w:rsidP="005D0722">
            <w:pPr>
              <w:spacing w:before="0" w:after="0"/>
              <w:ind w:left="57" w:right="57"/>
              <w:jc w:val="right"/>
              <w:rPr>
                <w:rFonts w:cs="Times New Roman"/>
                <w:sz w:val="16"/>
                <w:szCs w:val="16"/>
                <w:lang w:val="sr-Latn-RS"/>
              </w:rPr>
            </w:pPr>
          </w:p>
        </w:tc>
        <w:tc>
          <w:tcPr>
            <w:tcW w:w="393" w:type="pct"/>
            <w:tcBorders>
              <w:bottom w:val="single" w:sz="4" w:space="0" w:color="auto"/>
            </w:tcBorders>
            <w:shd w:val="clear" w:color="auto" w:fill="auto"/>
            <w:vAlign w:val="center"/>
          </w:tcPr>
          <w:p w14:paraId="14BCFF8E" w14:textId="77777777" w:rsidR="00C23BE9" w:rsidRPr="00C23BE9" w:rsidRDefault="00C23BE9" w:rsidP="005D0722">
            <w:pPr>
              <w:spacing w:before="0" w:after="0"/>
              <w:ind w:left="57" w:right="57"/>
              <w:jc w:val="right"/>
              <w:rPr>
                <w:rFonts w:cs="Times New Roman"/>
                <w:sz w:val="16"/>
                <w:szCs w:val="16"/>
                <w:lang w:val="sr-Latn-RS"/>
              </w:rPr>
            </w:pPr>
          </w:p>
        </w:tc>
        <w:tc>
          <w:tcPr>
            <w:tcW w:w="393" w:type="pct"/>
            <w:tcBorders>
              <w:bottom w:val="single" w:sz="4" w:space="0" w:color="auto"/>
            </w:tcBorders>
            <w:shd w:val="clear" w:color="auto" w:fill="auto"/>
            <w:vAlign w:val="center"/>
          </w:tcPr>
          <w:p w14:paraId="31A49C6A" w14:textId="77777777" w:rsidR="00C23BE9" w:rsidRPr="00C23BE9" w:rsidRDefault="00C23BE9" w:rsidP="005D0722">
            <w:pPr>
              <w:spacing w:before="0" w:after="0"/>
              <w:ind w:left="57" w:right="57"/>
              <w:jc w:val="right"/>
              <w:rPr>
                <w:rFonts w:cs="Times New Roman"/>
                <w:sz w:val="16"/>
                <w:szCs w:val="16"/>
                <w:lang w:val="sr-Latn-RS"/>
              </w:rPr>
            </w:pPr>
          </w:p>
        </w:tc>
        <w:tc>
          <w:tcPr>
            <w:tcW w:w="397" w:type="pct"/>
            <w:tcBorders>
              <w:bottom w:val="single" w:sz="4" w:space="0" w:color="auto"/>
            </w:tcBorders>
            <w:shd w:val="clear" w:color="auto" w:fill="auto"/>
            <w:vAlign w:val="center"/>
          </w:tcPr>
          <w:p w14:paraId="13116055" w14:textId="77777777" w:rsidR="00C23BE9" w:rsidRPr="00C23BE9" w:rsidRDefault="00C23BE9" w:rsidP="005D0722">
            <w:pPr>
              <w:spacing w:before="0" w:after="0"/>
              <w:ind w:left="57" w:right="57"/>
              <w:jc w:val="right"/>
              <w:rPr>
                <w:rFonts w:cs="Times New Roman"/>
                <w:sz w:val="16"/>
                <w:szCs w:val="16"/>
                <w:lang w:val="sr-Latn-RS"/>
              </w:rPr>
            </w:pPr>
          </w:p>
        </w:tc>
        <w:tc>
          <w:tcPr>
            <w:tcW w:w="568" w:type="pct"/>
            <w:tcBorders>
              <w:bottom w:val="single" w:sz="4" w:space="0" w:color="auto"/>
            </w:tcBorders>
            <w:shd w:val="clear" w:color="auto" w:fill="auto"/>
            <w:vAlign w:val="center"/>
          </w:tcPr>
          <w:p w14:paraId="1CA95DD8" w14:textId="13FE475A" w:rsidR="00C23BE9" w:rsidRPr="00C23BE9" w:rsidRDefault="00C23BE9" w:rsidP="007B1C88">
            <w:pPr>
              <w:spacing w:before="0" w:after="0"/>
              <w:ind w:left="57" w:right="57"/>
              <w:jc w:val="right"/>
              <w:rPr>
                <w:sz w:val="16"/>
                <w:szCs w:val="16"/>
                <w:lang w:val="sr-Latn-RS"/>
              </w:rPr>
            </w:pPr>
            <w:r w:rsidRPr="00C23BE9">
              <w:rPr>
                <w:sz w:val="16"/>
                <w:szCs w:val="16"/>
                <w:lang w:val="sr-Latn-RS"/>
              </w:rPr>
              <w:t>6</w:t>
            </w:r>
            <w:r w:rsidR="005D0722">
              <w:rPr>
                <w:sz w:val="16"/>
                <w:szCs w:val="16"/>
                <w:lang w:val="sr-Latn-RS"/>
              </w:rPr>
              <w:t>.</w:t>
            </w:r>
            <w:r w:rsidRPr="00C23BE9">
              <w:rPr>
                <w:sz w:val="16"/>
                <w:szCs w:val="16"/>
                <w:lang w:val="sr-Latn-RS"/>
              </w:rPr>
              <w:t>634</w:t>
            </w:r>
          </w:p>
        </w:tc>
        <w:tc>
          <w:tcPr>
            <w:tcW w:w="564" w:type="pct"/>
            <w:tcBorders>
              <w:bottom w:val="single" w:sz="4" w:space="0" w:color="auto"/>
              <w:right w:val="nil"/>
            </w:tcBorders>
            <w:shd w:val="clear" w:color="auto" w:fill="auto"/>
            <w:vAlign w:val="center"/>
          </w:tcPr>
          <w:p w14:paraId="2881ED74" w14:textId="3B6BC84E" w:rsidR="00C23BE9" w:rsidRPr="00C23BE9" w:rsidRDefault="00C23BE9" w:rsidP="007B1C88">
            <w:pPr>
              <w:spacing w:before="0" w:after="0"/>
              <w:ind w:left="57" w:right="57"/>
              <w:jc w:val="right"/>
              <w:rPr>
                <w:sz w:val="16"/>
                <w:szCs w:val="16"/>
                <w:lang w:val="sr-Latn-RS"/>
              </w:rPr>
            </w:pPr>
            <w:r w:rsidRPr="00C23BE9">
              <w:rPr>
                <w:sz w:val="16"/>
                <w:szCs w:val="16"/>
                <w:lang w:val="sr-Latn-RS"/>
              </w:rPr>
              <w:t>-6</w:t>
            </w:r>
            <w:r w:rsidR="005D0722">
              <w:rPr>
                <w:sz w:val="16"/>
                <w:szCs w:val="16"/>
                <w:lang w:val="sr-Latn-RS"/>
              </w:rPr>
              <w:t>.</w:t>
            </w:r>
            <w:r w:rsidRPr="00C23BE9">
              <w:rPr>
                <w:sz w:val="16"/>
                <w:szCs w:val="16"/>
                <w:lang w:val="sr-Latn-RS"/>
              </w:rPr>
              <w:t>652</w:t>
            </w:r>
          </w:p>
        </w:tc>
      </w:tr>
    </w:tbl>
    <w:p w14:paraId="7CEC49DF" w14:textId="60B09BA5" w:rsidR="00C23BE9" w:rsidRPr="00C23BE9" w:rsidRDefault="00A1076D" w:rsidP="00A1076D">
      <w:pPr>
        <w:rPr>
          <w:lang w:val="sr-Latn-RS"/>
        </w:rPr>
      </w:pPr>
      <w:r w:rsidRPr="00A1076D">
        <w:rPr>
          <w:lang w:val="sr-Latn-RS"/>
        </w:rPr>
        <w:t>From feature extraction and prediction of binary class (none and quasi-fault)</w:t>
      </w:r>
      <w:r w:rsidR="00F5373B">
        <w:rPr>
          <w:lang w:val="sr-Latn-RS"/>
        </w:rPr>
        <w:t>,</w:t>
      </w:r>
      <w:r w:rsidRPr="00A1076D">
        <w:rPr>
          <w:lang w:val="sr-Latn-RS"/>
        </w:rPr>
        <w:t xml:space="preserve"> the most important variable is </w:t>
      </w:r>
      <w:r>
        <w:rPr>
          <w:lang w:val="sr-Latn-RS"/>
        </w:rPr>
        <w:t xml:space="preserve">the change in </w:t>
      </w:r>
      <w:r w:rsidR="00F5373B">
        <w:rPr>
          <w:lang w:val="sr-Latn-RS"/>
        </w:rPr>
        <w:t xml:space="preserve">the </w:t>
      </w:r>
      <w:r>
        <w:rPr>
          <w:lang w:val="sr-Latn-RS"/>
        </w:rPr>
        <w:t>first quartile range</w:t>
      </w:r>
      <w:r w:rsidRPr="00A1076D">
        <w:rPr>
          <w:lang w:val="sr-Latn-RS"/>
        </w:rPr>
        <w:t xml:space="preserve"> in the signal processing (</w:t>
      </w:r>
      <w:r>
        <w:rPr>
          <w:lang w:val="sr-Latn-RS"/>
        </w:rPr>
        <w:fldChar w:fldCharType="begin"/>
      </w:r>
      <w:r>
        <w:rPr>
          <w:lang w:val="sr-Latn-RS"/>
        </w:rPr>
        <w:instrText xml:space="preserve"> REF _Ref98746298 \h </w:instrText>
      </w:r>
      <w:r>
        <w:rPr>
          <w:lang w:val="sr-Latn-RS"/>
        </w:rPr>
      </w:r>
      <w:r>
        <w:rPr>
          <w:lang w:val="sr-Latn-RS"/>
        </w:rPr>
        <w:fldChar w:fldCharType="separate"/>
      </w:r>
      <w:r w:rsidR="00587AF0">
        <w:t xml:space="preserve">Table </w:t>
      </w:r>
      <w:r w:rsidR="00587AF0">
        <w:rPr>
          <w:noProof/>
        </w:rPr>
        <w:t>41</w:t>
      </w:r>
      <w:r>
        <w:rPr>
          <w:lang w:val="sr-Latn-RS"/>
        </w:rPr>
        <w:fldChar w:fldCharType="end"/>
      </w:r>
      <w:r w:rsidRPr="00A1076D">
        <w:rPr>
          <w:lang w:val="sr-Latn-RS"/>
        </w:rPr>
        <w:t xml:space="preserve">). </w:t>
      </w:r>
      <w:r>
        <w:rPr>
          <w:lang w:val="sr-Latn-RS"/>
        </w:rPr>
        <w:t xml:space="preserve">The first quartile (N_1Q_IS) shows the highest normalized importance to the model in predicting the class label, followed by kurtosis and speed of the actuator response time at idle saddle regime (T4), followed by again, the standard deviation of the signal. </w:t>
      </w:r>
    </w:p>
    <w:p w14:paraId="2EC7F54A" w14:textId="4E1BDF59" w:rsidR="00C23BE9" w:rsidRPr="00C23BE9" w:rsidRDefault="001841EE" w:rsidP="001841EE">
      <w:pPr>
        <w:pStyle w:val="Caption"/>
        <w:jc w:val="both"/>
        <w:rPr>
          <w:lang w:val="sr-Latn-RS"/>
        </w:rPr>
      </w:pPr>
      <w:bookmarkStart w:id="606" w:name="_Ref98746298"/>
      <w:bookmarkStart w:id="607" w:name="_Toc101274481"/>
      <w:r>
        <w:t xml:space="preserve">Table </w:t>
      </w:r>
      <w:fldSimple w:instr=" SEQ Table \* ARABIC ">
        <w:r w:rsidR="00587AF0">
          <w:rPr>
            <w:noProof/>
          </w:rPr>
          <w:t>41</w:t>
        </w:r>
      </w:fldSimple>
      <w:bookmarkEnd w:id="606"/>
      <w:r>
        <w:t xml:space="preserve">. </w:t>
      </w:r>
      <w:r w:rsidRPr="001841EE">
        <w:t xml:space="preserve">Independent variable importance </w:t>
      </w:r>
      <w:r w:rsidR="0037497A">
        <w:t>of ANN at idle saddle position</w:t>
      </w:r>
      <w:bookmarkEnd w:id="607"/>
    </w:p>
    <w:tbl>
      <w:tblPr>
        <w:tblW w:w="5000" w:type="pct"/>
        <w:tblCellMar>
          <w:left w:w="0" w:type="dxa"/>
          <w:right w:w="0" w:type="dxa"/>
        </w:tblCellMar>
        <w:tblLook w:val="0000" w:firstRow="0" w:lastRow="0" w:firstColumn="0" w:lastColumn="0" w:noHBand="0" w:noVBand="0"/>
      </w:tblPr>
      <w:tblGrid>
        <w:gridCol w:w="3055"/>
        <w:gridCol w:w="2609"/>
        <w:gridCol w:w="3363"/>
      </w:tblGrid>
      <w:tr w:rsidR="004C7C0C" w:rsidRPr="004C7C0C" w14:paraId="4A0564D7" w14:textId="77777777" w:rsidTr="00982E69">
        <w:trPr>
          <w:cantSplit/>
        </w:trPr>
        <w:tc>
          <w:tcPr>
            <w:tcW w:w="1692" w:type="pct"/>
            <w:tcBorders>
              <w:top w:val="single" w:sz="4" w:space="0" w:color="auto"/>
              <w:bottom w:val="single" w:sz="4" w:space="0" w:color="auto"/>
            </w:tcBorders>
            <w:shd w:val="clear" w:color="auto" w:fill="auto"/>
            <w:vAlign w:val="bottom"/>
          </w:tcPr>
          <w:p w14:paraId="42D6AD49" w14:textId="4D891C92" w:rsidR="00C23BE9" w:rsidRPr="004C7C0C" w:rsidRDefault="004C7C0C" w:rsidP="004C7C0C">
            <w:pPr>
              <w:autoSpaceDE w:val="0"/>
              <w:autoSpaceDN w:val="0"/>
              <w:adjustRightInd w:val="0"/>
              <w:spacing w:before="0" w:after="0"/>
              <w:ind w:left="57" w:right="57"/>
              <w:jc w:val="left"/>
              <w:rPr>
                <w:rFonts w:cs="Times New Roman"/>
                <w:b/>
                <w:bCs/>
                <w:sz w:val="20"/>
                <w:szCs w:val="20"/>
                <w:lang w:val="sr-Latn-RS"/>
              </w:rPr>
            </w:pPr>
            <w:r w:rsidRPr="004C7C0C">
              <w:rPr>
                <w:rFonts w:cs="Times New Roman"/>
                <w:b/>
                <w:bCs/>
                <w:sz w:val="20"/>
                <w:szCs w:val="20"/>
                <w:lang w:val="sr-Latn-RS"/>
              </w:rPr>
              <w:t>Variables</w:t>
            </w:r>
          </w:p>
        </w:tc>
        <w:tc>
          <w:tcPr>
            <w:tcW w:w="1445" w:type="pct"/>
            <w:tcBorders>
              <w:top w:val="single" w:sz="4" w:space="0" w:color="auto"/>
              <w:bottom w:val="single" w:sz="4" w:space="0" w:color="auto"/>
            </w:tcBorders>
            <w:shd w:val="clear" w:color="auto" w:fill="auto"/>
            <w:vAlign w:val="bottom"/>
          </w:tcPr>
          <w:p w14:paraId="40C2A17C" w14:textId="77777777" w:rsidR="00C23BE9" w:rsidRPr="004C7C0C" w:rsidRDefault="00C23BE9" w:rsidP="004C7C0C">
            <w:pPr>
              <w:autoSpaceDE w:val="0"/>
              <w:autoSpaceDN w:val="0"/>
              <w:adjustRightInd w:val="0"/>
              <w:spacing w:before="0" w:after="0"/>
              <w:ind w:left="57" w:right="57"/>
              <w:jc w:val="center"/>
              <w:rPr>
                <w:rFonts w:cs="Arial"/>
                <w:b/>
                <w:bCs/>
                <w:sz w:val="20"/>
                <w:szCs w:val="20"/>
                <w:lang w:val="sr-Latn-RS"/>
              </w:rPr>
            </w:pPr>
            <w:r w:rsidRPr="004C7C0C">
              <w:rPr>
                <w:rFonts w:cs="Arial"/>
                <w:b/>
                <w:bCs/>
                <w:sz w:val="20"/>
                <w:szCs w:val="20"/>
                <w:lang w:val="sr-Latn-RS"/>
              </w:rPr>
              <w:t>Importance</w:t>
            </w:r>
          </w:p>
        </w:tc>
        <w:tc>
          <w:tcPr>
            <w:tcW w:w="1863" w:type="pct"/>
            <w:tcBorders>
              <w:top w:val="single" w:sz="4" w:space="0" w:color="auto"/>
              <w:bottom w:val="single" w:sz="4" w:space="0" w:color="auto"/>
            </w:tcBorders>
            <w:shd w:val="clear" w:color="auto" w:fill="auto"/>
            <w:vAlign w:val="bottom"/>
          </w:tcPr>
          <w:p w14:paraId="05B9F555" w14:textId="77777777" w:rsidR="00C23BE9" w:rsidRPr="004C7C0C" w:rsidRDefault="00C23BE9" w:rsidP="004C7C0C">
            <w:pPr>
              <w:autoSpaceDE w:val="0"/>
              <w:autoSpaceDN w:val="0"/>
              <w:adjustRightInd w:val="0"/>
              <w:spacing w:before="0" w:after="0"/>
              <w:ind w:left="57" w:right="57"/>
              <w:jc w:val="center"/>
              <w:rPr>
                <w:rFonts w:cs="Arial"/>
                <w:b/>
                <w:bCs/>
                <w:sz w:val="20"/>
                <w:szCs w:val="20"/>
                <w:lang w:val="sr-Latn-RS"/>
              </w:rPr>
            </w:pPr>
            <w:r w:rsidRPr="004C7C0C">
              <w:rPr>
                <w:rFonts w:cs="Arial"/>
                <w:b/>
                <w:bCs/>
                <w:sz w:val="20"/>
                <w:szCs w:val="20"/>
                <w:lang w:val="sr-Latn-RS"/>
              </w:rPr>
              <w:t>Normalized Importance</w:t>
            </w:r>
          </w:p>
        </w:tc>
      </w:tr>
      <w:tr w:rsidR="004C7C0C" w:rsidRPr="004C7C0C" w14:paraId="4D54F85E" w14:textId="77777777" w:rsidTr="00982E69">
        <w:trPr>
          <w:cantSplit/>
        </w:trPr>
        <w:tc>
          <w:tcPr>
            <w:tcW w:w="1692" w:type="pct"/>
            <w:tcBorders>
              <w:top w:val="single" w:sz="4" w:space="0" w:color="auto"/>
            </w:tcBorders>
            <w:shd w:val="clear" w:color="auto" w:fill="auto"/>
          </w:tcPr>
          <w:p w14:paraId="4BFA7754" w14:textId="77777777" w:rsidR="00C23BE9" w:rsidRPr="004C7C0C" w:rsidRDefault="00C23BE9" w:rsidP="004C7C0C">
            <w:pPr>
              <w:autoSpaceDE w:val="0"/>
              <w:autoSpaceDN w:val="0"/>
              <w:adjustRightInd w:val="0"/>
              <w:spacing w:before="0" w:after="0"/>
              <w:ind w:left="57" w:right="57"/>
              <w:jc w:val="left"/>
              <w:rPr>
                <w:rFonts w:cs="Arial"/>
                <w:sz w:val="20"/>
                <w:szCs w:val="20"/>
                <w:lang w:val="sr-Latn-RS"/>
              </w:rPr>
            </w:pPr>
            <w:r w:rsidRPr="004C7C0C">
              <w:rPr>
                <w:rFonts w:cs="Arial"/>
                <w:sz w:val="20"/>
                <w:szCs w:val="20"/>
                <w:lang w:val="sr-Latn-RS"/>
              </w:rPr>
              <w:t>HS_idle_time</w:t>
            </w:r>
          </w:p>
        </w:tc>
        <w:tc>
          <w:tcPr>
            <w:tcW w:w="1445" w:type="pct"/>
            <w:tcBorders>
              <w:top w:val="single" w:sz="4" w:space="0" w:color="auto"/>
            </w:tcBorders>
            <w:shd w:val="clear" w:color="auto" w:fill="auto"/>
          </w:tcPr>
          <w:p w14:paraId="62C0A895" w14:textId="29C37CF7" w:rsidR="00C23BE9" w:rsidRPr="004C7C0C" w:rsidRDefault="004C7C0C" w:rsidP="004C7C0C">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C23BE9" w:rsidRPr="004C7C0C">
              <w:rPr>
                <w:rFonts w:cs="Arial"/>
                <w:sz w:val="20"/>
                <w:szCs w:val="20"/>
                <w:lang w:val="sr-Latn-RS"/>
              </w:rPr>
              <w:t>096</w:t>
            </w:r>
          </w:p>
        </w:tc>
        <w:tc>
          <w:tcPr>
            <w:tcW w:w="1863" w:type="pct"/>
            <w:tcBorders>
              <w:top w:val="single" w:sz="4" w:space="0" w:color="auto"/>
            </w:tcBorders>
            <w:shd w:val="clear" w:color="auto" w:fill="auto"/>
          </w:tcPr>
          <w:p w14:paraId="14103885" w14:textId="1CA06E02" w:rsidR="00C23BE9" w:rsidRPr="004C7C0C" w:rsidRDefault="00C23BE9" w:rsidP="004C7C0C">
            <w:pPr>
              <w:autoSpaceDE w:val="0"/>
              <w:autoSpaceDN w:val="0"/>
              <w:adjustRightInd w:val="0"/>
              <w:spacing w:before="0" w:after="0"/>
              <w:ind w:left="57" w:right="57"/>
              <w:jc w:val="right"/>
              <w:rPr>
                <w:rFonts w:cs="Arial"/>
                <w:sz w:val="20"/>
                <w:szCs w:val="20"/>
                <w:lang w:val="sr-Latn-RS"/>
              </w:rPr>
            </w:pPr>
            <w:r w:rsidRPr="004C7C0C">
              <w:rPr>
                <w:rFonts w:cs="Arial"/>
                <w:sz w:val="20"/>
                <w:szCs w:val="20"/>
                <w:lang w:val="sr-Latn-RS"/>
              </w:rPr>
              <w:t>54</w:t>
            </w:r>
            <w:r w:rsidR="004C7C0C">
              <w:rPr>
                <w:rFonts w:cs="Arial"/>
                <w:sz w:val="20"/>
                <w:szCs w:val="20"/>
                <w:lang w:val="sr-Latn-RS"/>
              </w:rPr>
              <w:t>.</w:t>
            </w:r>
            <w:r w:rsidRPr="004C7C0C">
              <w:rPr>
                <w:rFonts w:cs="Arial"/>
                <w:sz w:val="20"/>
                <w:szCs w:val="20"/>
                <w:lang w:val="sr-Latn-RS"/>
              </w:rPr>
              <w:t>2%</w:t>
            </w:r>
          </w:p>
        </w:tc>
      </w:tr>
      <w:tr w:rsidR="004C7C0C" w:rsidRPr="004C7C0C" w14:paraId="1C24EE7F" w14:textId="77777777" w:rsidTr="004C7C0C">
        <w:trPr>
          <w:cantSplit/>
        </w:trPr>
        <w:tc>
          <w:tcPr>
            <w:tcW w:w="1692" w:type="pct"/>
            <w:shd w:val="clear" w:color="auto" w:fill="auto"/>
          </w:tcPr>
          <w:p w14:paraId="4FC914E0" w14:textId="77777777" w:rsidR="00C23BE9" w:rsidRPr="004C7C0C" w:rsidRDefault="00C23BE9" w:rsidP="004C7C0C">
            <w:pPr>
              <w:autoSpaceDE w:val="0"/>
              <w:autoSpaceDN w:val="0"/>
              <w:adjustRightInd w:val="0"/>
              <w:spacing w:before="0" w:after="0"/>
              <w:ind w:left="57" w:right="57"/>
              <w:jc w:val="left"/>
              <w:rPr>
                <w:rFonts w:cs="Arial"/>
                <w:sz w:val="20"/>
                <w:szCs w:val="20"/>
                <w:lang w:val="sr-Latn-RS"/>
              </w:rPr>
            </w:pPr>
            <w:r w:rsidRPr="004C7C0C">
              <w:rPr>
                <w:rFonts w:cs="Arial"/>
                <w:sz w:val="20"/>
                <w:szCs w:val="20"/>
                <w:lang w:val="sr-Latn-RS"/>
              </w:rPr>
              <w:t>T1</w:t>
            </w:r>
          </w:p>
        </w:tc>
        <w:tc>
          <w:tcPr>
            <w:tcW w:w="1445" w:type="pct"/>
            <w:shd w:val="clear" w:color="auto" w:fill="auto"/>
          </w:tcPr>
          <w:p w14:paraId="7032B056" w14:textId="4B9DCFCB" w:rsidR="00C23BE9" w:rsidRPr="004C7C0C" w:rsidRDefault="004C7C0C" w:rsidP="004C7C0C">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C23BE9" w:rsidRPr="004C7C0C">
              <w:rPr>
                <w:rFonts w:cs="Arial"/>
                <w:sz w:val="20"/>
                <w:szCs w:val="20"/>
                <w:lang w:val="sr-Latn-RS"/>
              </w:rPr>
              <w:t>047</w:t>
            </w:r>
          </w:p>
        </w:tc>
        <w:tc>
          <w:tcPr>
            <w:tcW w:w="1863" w:type="pct"/>
            <w:shd w:val="clear" w:color="auto" w:fill="auto"/>
          </w:tcPr>
          <w:p w14:paraId="63A3C0B6" w14:textId="2143973A" w:rsidR="00C23BE9" w:rsidRPr="004C7C0C" w:rsidRDefault="00C23BE9" w:rsidP="004C7C0C">
            <w:pPr>
              <w:autoSpaceDE w:val="0"/>
              <w:autoSpaceDN w:val="0"/>
              <w:adjustRightInd w:val="0"/>
              <w:spacing w:before="0" w:after="0"/>
              <w:ind w:left="57" w:right="57"/>
              <w:jc w:val="right"/>
              <w:rPr>
                <w:rFonts w:cs="Arial"/>
                <w:sz w:val="20"/>
                <w:szCs w:val="20"/>
                <w:lang w:val="sr-Latn-RS"/>
              </w:rPr>
            </w:pPr>
            <w:r w:rsidRPr="004C7C0C">
              <w:rPr>
                <w:rFonts w:cs="Arial"/>
                <w:sz w:val="20"/>
                <w:szCs w:val="20"/>
                <w:lang w:val="sr-Latn-RS"/>
              </w:rPr>
              <w:t>26</w:t>
            </w:r>
            <w:r w:rsidR="004C7C0C">
              <w:rPr>
                <w:rFonts w:cs="Arial"/>
                <w:sz w:val="20"/>
                <w:szCs w:val="20"/>
                <w:lang w:val="sr-Latn-RS"/>
              </w:rPr>
              <w:t>.</w:t>
            </w:r>
            <w:r w:rsidRPr="004C7C0C">
              <w:rPr>
                <w:rFonts w:cs="Arial"/>
                <w:sz w:val="20"/>
                <w:szCs w:val="20"/>
                <w:lang w:val="sr-Latn-RS"/>
              </w:rPr>
              <w:t>5%</w:t>
            </w:r>
          </w:p>
        </w:tc>
      </w:tr>
      <w:tr w:rsidR="004C7C0C" w:rsidRPr="004C7C0C" w14:paraId="678DEE4D" w14:textId="77777777" w:rsidTr="004C7C0C">
        <w:trPr>
          <w:cantSplit/>
        </w:trPr>
        <w:tc>
          <w:tcPr>
            <w:tcW w:w="1692" w:type="pct"/>
            <w:shd w:val="clear" w:color="auto" w:fill="auto"/>
          </w:tcPr>
          <w:p w14:paraId="4FDE3296" w14:textId="77777777" w:rsidR="00C23BE9" w:rsidRPr="004C7C0C" w:rsidRDefault="00C23BE9" w:rsidP="004C7C0C">
            <w:pPr>
              <w:autoSpaceDE w:val="0"/>
              <w:autoSpaceDN w:val="0"/>
              <w:adjustRightInd w:val="0"/>
              <w:spacing w:before="0" w:after="0"/>
              <w:ind w:left="57" w:right="57"/>
              <w:jc w:val="left"/>
              <w:rPr>
                <w:rFonts w:cs="Arial"/>
                <w:sz w:val="20"/>
                <w:szCs w:val="20"/>
                <w:lang w:val="sr-Latn-RS"/>
              </w:rPr>
            </w:pPr>
            <w:r w:rsidRPr="004C7C0C">
              <w:rPr>
                <w:rFonts w:cs="Arial"/>
                <w:sz w:val="20"/>
                <w:szCs w:val="20"/>
                <w:lang w:val="sr-Latn-RS"/>
              </w:rPr>
              <w:t>T3</w:t>
            </w:r>
          </w:p>
        </w:tc>
        <w:tc>
          <w:tcPr>
            <w:tcW w:w="1445" w:type="pct"/>
            <w:shd w:val="clear" w:color="auto" w:fill="auto"/>
          </w:tcPr>
          <w:p w14:paraId="1A478407" w14:textId="00398434" w:rsidR="00C23BE9" w:rsidRPr="004C7C0C" w:rsidRDefault="004C7C0C" w:rsidP="004C7C0C">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C23BE9" w:rsidRPr="004C7C0C">
              <w:rPr>
                <w:rFonts w:cs="Arial"/>
                <w:sz w:val="20"/>
                <w:szCs w:val="20"/>
                <w:lang w:val="sr-Latn-RS"/>
              </w:rPr>
              <w:t>116</w:t>
            </w:r>
          </w:p>
        </w:tc>
        <w:tc>
          <w:tcPr>
            <w:tcW w:w="1863" w:type="pct"/>
            <w:shd w:val="clear" w:color="auto" w:fill="auto"/>
          </w:tcPr>
          <w:p w14:paraId="44A0CAB9" w14:textId="203F06C2" w:rsidR="00C23BE9" w:rsidRPr="004C7C0C" w:rsidRDefault="00C23BE9" w:rsidP="004C7C0C">
            <w:pPr>
              <w:autoSpaceDE w:val="0"/>
              <w:autoSpaceDN w:val="0"/>
              <w:adjustRightInd w:val="0"/>
              <w:spacing w:before="0" w:after="0"/>
              <w:ind w:left="57" w:right="57"/>
              <w:jc w:val="right"/>
              <w:rPr>
                <w:rFonts w:cs="Arial"/>
                <w:sz w:val="20"/>
                <w:szCs w:val="20"/>
                <w:lang w:val="sr-Latn-RS"/>
              </w:rPr>
            </w:pPr>
            <w:r w:rsidRPr="004C7C0C">
              <w:rPr>
                <w:rFonts w:cs="Arial"/>
                <w:sz w:val="20"/>
                <w:szCs w:val="20"/>
                <w:lang w:val="sr-Latn-RS"/>
              </w:rPr>
              <w:t>65</w:t>
            </w:r>
            <w:r w:rsidR="004C7C0C">
              <w:rPr>
                <w:rFonts w:cs="Arial"/>
                <w:sz w:val="20"/>
                <w:szCs w:val="20"/>
                <w:lang w:val="sr-Latn-RS"/>
              </w:rPr>
              <w:t>.</w:t>
            </w:r>
            <w:r w:rsidRPr="004C7C0C">
              <w:rPr>
                <w:rFonts w:cs="Arial"/>
                <w:sz w:val="20"/>
                <w:szCs w:val="20"/>
                <w:lang w:val="sr-Latn-RS"/>
              </w:rPr>
              <w:t>3%</w:t>
            </w:r>
          </w:p>
        </w:tc>
      </w:tr>
      <w:tr w:rsidR="004C7C0C" w:rsidRPr="004C7C0C" w14:paraId="3BC57A49" w14:textId="77777777" w:rsidTr="004C7C0C">
        <w:trPr>
          <w:cantSplit/>
        </w:trPr>
        <w:tc>
          <w:tcPr>
            <w:tcW w:w="1692" w:type="pct"/>
            <w:shd w:val="clear" w:color="auto" w:fill="auto"/>
          </w:tcPr>
          <w:p w14:paraId="4AFBEAAC" w14:textId="77777777" w:rsidR="00C23BE9" w:rsidRPr="004C7C0C" w:rsidRDefault="00C23BE9" w:rsidP="004C7C0C">
            <w:pPr>
              <w:autoSpaceDE w:val="0"/>
              <w:autoSpaceDN w:val="0"/>
              <w:adjustRightInd w:val="0"/>
              <w:spacing w:before="0" w:after="0"/>
              <w:ind w:left="57" w:right="57"/>
              <w:jc w:val="left"/>
              <w:rPr>
                <w:rFonts w:cs="Arial"/>
                <w:sz w:val="20"/>
                <w:szCs w:val="20"/>
                <w:lang w:val="sr-Latn-RS"/>
              </w:rPr>
            </w:pPr>
            <w:r w:rsidRPr="004C7C0C">
              <w:rPr>
                <w:rFonts w:cs="Arial"/>
                <w:sz w:val="20"/>
                <w:szCs w:val="20"/>
                <w:lang w:val="sr-Latn-RS"/>
              </w:rPr>
              <w:t>T4</w:t>
            </w:r>
          </w:p>
        </w:tc>
        <w:tc>
          <w:tcPr>
            <w:tcW w:w="1445" w:type="pct"/>
            <w:shd w:val="clear" w:color="auto" w:fill="auto"/>
          </w:tcPr>
          <w:p w14:paraId="3D669523" w14:textId="3991701F" w:rsidR="00C23BE9" w:rsidRPr="004C7C0C" w:rsidRDefault="004C7C0C" w:rsidP="004C7C0C">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C23BE9" w:rsidRPr="004C7C0C">
              <w:rPr>
                <w:rFonts w:cs="Arial"/>
                <w:sz w:val="20"/>
                <w:szCs w:val="20"/>
                <w:lang w:val="sr-Latn-RS"/>
              </w:rPr>
              <w:t>087</w:t>
            </w:r>
          </w:p>
        </w:tc>
        <w:tc>
          <w:tcPr>
            <w:tcW w:w="1863" w:type="pct"/>
            <w:shd w:val="clear" w:color="auto" w:fill="auto"/>
          </w:tcPr>
          <w:p w14:paraId="23743296" w14:textId="7E59E6BD" w:rsidR="00C23BE9" w:rsidRPr="004C7C0C" w:rsidRDefault="00C23BE9" w:rsidP="004C7C0C">
            <w:pPr>
              <w:autoSpaceDE w:val="0"/>
              <w:autoSpaceDN w:val="0"/>
              <w:adjustRightInd w:val="0"/>
              <w:spacing w:before="0" w:after="0"/>
              <w:ind w:left="57" w:right="57"/>
              <w:jc w:val="right"/>
              <w:rPr>
                <w:rFonts w:cs="Arial"/>
                <w:sz w:val="20"/>
                <w:szCs w:val="20"/>
                <w:lang w:val="sr-Latn-RS"/>
              </w:rPr>
            </w:pPr>
            <w:r w:rsidRPr="004C7C0C">
              <w:rPr>
                <w:rFonts w:cs="Arial"/>
                <w:sz w:val="20"/>
                <w:szCs w:val="20"/>
                <w:lang w:val="sr-Latn-RS"/>
              </w:rPr>
              <w:t>49</w:t>
            </w:r>
            <w:r w:rsidR="004C7C0C">
              <w:rPr>
                <w:rFonts w:cs="Arial"/>
                <w:sz w:val="20"/>
                <w:szCs w:val="20"/>
                <w:lang w:val="sr-Latn-RS"/>
              </w:rPr>
              <w:t>.</w:t>
            </w:r>
            <w:r w:rsidRPr="004C7C0C">
              <w:rPr>
                <w:rFonts w:cs="Arial"/>
                <w:sz w:val="20"/>
                <w:szCs w:val="20"/>
                <w:lang w:val="sr-Latn-RS"/>
              </w:rPr>
              <w:t>1%</w:t>
            </w:r>
          </w:p>
        </w:tc>
      </w:tr>
      <w:tr w:rsidR="004C7C0C" w:rsidRPr="004C7C0C" w14:paraId="6997372A" w14:textId="77777777" w:rsidTr="004C7C0C">
        <w:trPr>
          <w:cantSplit/>
        </w:trPr>
        <w:tc>
          <w:tcPr>
            <w:tcW w:w="1692" w:type="pct"/>
            <w:shd w:val="clear" w:color="auto" w:fill="auto"/>
          </w:tcPr>
          <w:p w14:paraId="21F11B89" w14:textId="77777777" w:rsidR="00C23BE9" w:rsidRPr="004C7C0C" w:rsidRDefault="00C23BE9" w:rsidP="004C7C0C">
            <w:pPr>
              <w:autoSpaceDE w:val="0"/>
              <w:autoSpaceDN w:val="0"/>
              <w:adjustRightInd w:val="0"/>
              <w:spacing w:before="0" w:after="0"/>
              <w:ind w:left="57" w:right="57"/>
              <w:jc w:val="left"/>
              <w:rPr>
                <w:rFonts w:cs="Arial"/>
                <w:sz w:val="20"/>
                <w:szCs w:val="20"/>
                <w:lang w:val="sr-Latn-RS"/>
              </w:rPr>
            </w:pPr>
            <w:r w:rsidRPr="004C7C0C">
              <w:rPr>
                <w:rFonts w:cs="Arial"/>
                <w:sz w:val="20"/>
                <w:szCs w:val="20"/>
                <w:lang w:val="sr-Latn-RS"/>
              </w:rPr>
              <w:t>Load_kg_n</w:t>
            </w:r>
          </w:p>
        </w:tc>
        <w:tc>
          <w:tcPr>
            <w:tcW w:w="1445" w:type="pct"/>
            <w:shd w:val="clear" w:color="auto" w:fill="auto"/>
          </w:tcPr>
          <w:p w14:paraId="39BA2884" w14:textId="1B8715B4" w:rsidR="00C23BE9" w:rsidRPr="004C7C0C" w:rsidRDefault="004C7C0C" w:rsidP="004C7C0C">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C23BE9" w:rsidRPr="004C7C0C">
              <w:rPr>
                <w:rFonts w:cs="Arial"/>
                <w:sz w:val="20"/>
                <w:szCs w:val="20"/>
                <w:lang w:val="sr-Latn-RS"/>
              </w:rPr>
              <w:t>020</w:t>
            </w:r>
          </w:p>
        </w:tc>
        <w:tc>
          <w:tcPr>
            <w:tcW w:w="1863" w:type="pct"/>
            <w:shd w:val="clear" w:color="auto" w:fill="auto"/>
          </w:tcPr>
          <w:p w14:paraId="35B13050" w14:textId="25FBA506" w:rsidR="00C23BE9" w:rsidRPr="004C7C0C" w:rsidRDefault="00C23BE9" w:rsidP="004C7C0C">
            <w:pPr>
              <w:autoSpaceDE w:val="0"/>
              <w:autoSpaceDN w:val="0"/>
              <w:adjustRightInd w:val="0"/>
              <w:spacing w:before="0" w:after="0"/>
              <w:ind w:left="57" w:right="57"/>
              <w:jc w:val="right"/>
              <w:rPr>
                <w:rFonts w:cs="Arial"/>
                <w:sz w:val="20"/>
                <w:szCs w:val="20"/>
                <w:lang w:val="sr-Latn-RS"/>
              </w:rPr>
            </w:pPr>
            <w:r w:rsidRPr="004C7C0C">
              <w:rPr>
                <w:rFonts w:cs="Arial"/>
                <w:sz w:val="20"/>
                <w:szCs w:val="20"/>
                <w:lang w:val="sr-Latn-RS"/>
              </w:rPr>
              <w:t>11</w:t>
            </w:r>
            <w:r w:rsidR="004C7C0C">
              <w:rPr>
                <w:rFonts w:cs="Arial"/>
                <w:sz w:val="20"/>
                <w:szCs w:val="20"/>
                <w:lang w:val="sr-Latn-RS"/>
              </w:rPr>
              <w:t>.</w:t>
            </w:r>
            <w:r w:rsidRPr="004C7C0C">
              <w:rPr>
                <w:rFonts w:cs="Arial"/>
                <w:sz w:val="20"/>
                <w:szCs w:val="20"/>
                <w:lang w:val="sr-Latn-RS"/>
              </w:rPr>
              <w:t>4%</w:t>
            </w:r>
          </w:p>
        </w:tc>
      </w:tr>
      <w:tr w:rsidR="004C7C0C" w:rsidRPr="004C7C0C" w14:paraId="3ACB76CD" w14:textId="77777777" w:rsidTr="004C7C0C">
        <w:trPr>
          <w:cantSplit/>
        </w:trPr>
        <w:tc>
          <w:tcPr>
            <w:tcW w:w="1692" w:type="pct"/>
            <w:shd w:val="clear" w:color="auto" w:fill="auto"/>
          </w:tcPr>
          <w:p w14:paraId="692C38BF" w14:textId="77777777" w:rsidR="00C23BE9" w:rsidRPr="004C7C0C" w:rsidRDefault="00C23BE9" w:rsidP="004C7C0C">
            <w:pPr>
              <w:autoSpaceDE w:val="0"/>
              <w:autoSpaceDN w:val="0"/>
              <w:adjustRightInd w:val="0"/>
              <w:spacing w:before="0" w:after="0"/>
              <w:ind w:left="57" w:right="57"/>
              <w:jc w:val="left"/>
              <w:rPr>
                <w:rFonts w:cs="Arial"/>
                <w:sz w:val="20"/>
                <w:szCs w:val="20"/>
                <w:lang w:val="sr-Latn-RS"/>
              </w:rPr>
            </w:pPr>
            <w:r w:rsidRPr="004C7C0C">
              <w:rPr>
                <w:rFonts w:cs="Arial"/>
                <w:sz w:val="20"/>
                <w:szCs w:val="20"/>
                <w:lang w:val="sr-Latn-RS"/>
              </w:rPr>
              <w:t>N_Stdev_IS</w:t>
            </w:r>
          </w:p>
        </w:tc>
        <w:tc>
          <w:tcPr>
            <w:tcW w:w="1445" w:type="pct"/>
            <w:shd w:val="clear" w:color="auto" w:fill="auto"/>
          </w:tcPr>
          <w:p w14:paraId="6089E634" w14:textId="28586459" w:rsidR="00C23BE9" w:rsidRPr="004C7C0C" w:rsidRDefault="004C7C0C" w:rsidP="004C7C0C">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C23BE9" w:rsidRPr="004C7C0C">
              <w:rPr>
                <w:rFonts w:cs="Arial"/>
                <w:sz w:val="20"/>
                <w:szCs w:val="20"/>
                <w:lang w:val="sr-Latn-RS"/>
              </w:rPr>
              <w:t>115</w:t>
            </w:r>
          </w:p>
        </w:tc>
        <w:tc>
          <w:tcPr>
            <w:tcW w:w="1863" w:type="pct"/>
            <w:shd w:val="clear" w:color="auto" w:fill="auto"/>
          </w:tcPr>
          <w:p w14:paraId="25514B88" w14:textId="59ED970A" w:rsidR="00C23BE9" w:rsidRPr="004C7C0C" w:rsidRDefault="00C23BE9" w:rsidP="004C7C0C">
            <w:pPr>
              <w:autoSpaceDE w:val="0"/>
              <w:autoSpaceDN w:val="0"/>
              <w:adjustRightInd w:val="0"/>
              <w:spacing w:before="0" w:after="0"/>
              <w:ind w:left="57" w:right="57"/>
              <w:jc w:val="right"/>
              <w:rPr>
                <w:rFonts w:cs="Arial"/>
                <w:sz w:val="20"/>
                <w:szCs w:val="20"/>
                <w:lang w:val="sr-Latn-RS"/>
              </w:rPr>
            </w:pPr>
            <w:r w:rsidRPr="004C7C0C">
              <w:rPr>
                <w:rFonts w:cs="Arial"/>
                <w:sz w:val="20"/>
                <w:szCs w:val="20"/>
                <w:lang w:val="sr-Latn-RS"/>
              </w:rPr>
              <w:t>64</w:t>
            </w:r>
            <w:r w:rsidR="004C7C0C">
              <w:rPr>
                <w:rFonts w:cs="Arial"/>
                <w:sz w:val="20"/>
                <w:szCs w:val="20"/>
                <w:lang w:val="sr-Latn-RS"/>
              </w:rPr>
              <w:t>.</w:t>
            </w:r>
            <w:r w:rsidRPr="004C7C0C">
              <w:rPr>
                <w:rFonts w:cs="Arial"/>
                <w:sz w:val="20"/>
                <w:szCs w:val="20"/>
                <w:lang w:val="sr-Latn-RS"/>
              </w:rPr>
              <w:t>8%</w:t>
            </w:r>
          </w:p>
        </w:tc>
      </w:tr>
      <w:tr w:rsidR="004C7C0C" w:rsidRPr="004C7C0C" w14:paraId="1D1BC229" w14:textId="77777777" w:rsidTr="004C7C0C">
        <w:trPr>
          <w:cantSplit/>
        </w:trPr>
        <w:tc>
          <w:tcPr>
            <w:tcW w:w="1692" w:type="pct"/>
            <w:shd w:val="clear" w:color="auto" w:fill="auto"/>
          </w:tcPr>
          <w:p w14:paraId="2A995A82" w14:textId="77777777" w:rsidR="00C23BE9" w:rsidRPr="004C7C0C" w:rsidRDefault="00C23BE9" w:rsidP="004C7C0C">
            <w:pPr>
              <w:autoSpaceDE w:val="0"/>
              <w:autoSpaceDN w:val="0"/>
              <w:adjustRightInd w:val="0"/>
              <w:spacing w:before="0" w:after="0"/>
              <w:ind w:left="57" w:right="57"/>
              <w:jc w:val="left"/>
              <w:rPr>
                <w:rFonts w:cs="Arial"/>
                <w:sz w:val="20"/>
                <w:szCs w:val="20"/>
                <w:lang w:val="sr-Latn-RS"/>
              </w:rPr>
            </w:pPr>
            <w:r w:rsidRPr="004C7C0C">
              <w:rPr>
                <w:rFonts w:cs="Arial"/>
                <w:sz w:val="20"/>
                <w:szCs w:val="20"/>
                <w:lang w:val="sr-Latn-RS"/>
              </w:rPr>
              <w:t>N_1Q_IS</w:t>
            </w:r>
          </w:p>
        </w:tc>
        <w:tc>
          <w:tcPr>
            <w:tcW w:w="1445" w:type="pct"/>
            <w:shd w:val="clear" w:color="auto" w:fill="auto"/>
          </w:tcPr>
          <w:p w14:paraId="5832045E" w14:textId="620E6885" w:rsidR="00C23BE9" w:rsidRPr="004C7C0C" w:rsidRDefault="004C7C0C" w:rsidP="004C7C0C">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C23BE9" w:rsidRPr="004C7C0C">
              <w:rPr>
                <w:rFonts w:cs="Arial"/>
                <w:sz w:val="20"/>
                <w:szCs w:val="20"/>
                <w:lang w:val="sr-Latn-RS"/>
              </w:rPr>
              <w:t>177</w:t>
            </w:r>
          </w:p>
        </w:tc>
        <w:tc>
          <w:tcPr>
            <w:tcW w:w="1863" w:type="pct"/>
            <w:shd w:val="clear" w:color="auto" w:fill="auto"/>
          </w:tcPr>
          <w:p w14:paraId="11DE6D82" w14:textId="0DBBBCFD" w:rsidR="00C23BE9" w:rsidRPr="004C7C0C" w:rsidRDefault="00C23BE9" w:rsidP="004C7C0C">
            <w:pPr>
              <w:autoSpaceDE w:val="0"/>
              <w:autoSpaceDN w:val="0"/>
              <w:adjustRightInd w:val="0"/>
              <w:spacing w:before="0" w:after="0"/>
              <w:ind w:left="57" w:right="57"/>
              <w:jc w:val="right"/>
              <w:rPr>
                <w:rFonts w:cs="Arial"/>
                <w:sz w:val="20"/>
                <w:szCs w:val="20"/>
                <w:lang w:val="sr-Latn-RS"/>
              </w:rPr>
            </w:pPr>
            <w:r w:rsidRPr="004C7C0C">
              <w:rPr>
                <w:rFonts w:cs="Arial"/>
                <w:sz w:val="20"/>
                <w:szCs w:val="20"/>
                <w:lang w:val="sr-Latn-RS"/>
              </w:rPr>
              <w:t>100</w:t>
            </w:r>
            <w:r w:rsidR="004C7C0C">
              <w:rPr>
                <w:rFonts w:cs="Arial"/>
                <w:sz w:val="20"/>
                <w:szCs w:val="20"/>
                <w:lang w:val="sr-Latn-RS"/>
              </w:rPr>
              <w:t>.</w:t>
            </w:r>
            <w:r w:rsidRPr="004C7C0C">
              <w:rPr>
                <w:rFonts w:cs="Arial"/>
                <w:sz w:val="20"/>
                <w:szCs w:val="20"/>
                <w:lang w:val="sr-Latn-RS"/>
              </w:rPr>
              <w:t>0%</w:t>
            </w:r>
          </w:p>
        </w:tc>
      </w:tr>
      <w:tr w:rsidR="004C7C0C" w:rsidRPr="004C7C0C" w14:paraId="575D8358" w14:textId="77777777" w:rsidTr="004C7C0C">
        <w:trPr>
          <w:cantSplit/>
        </w:trPr>
        <w:tc>
          <w:tcPr>
            <w:tcW w:w="1692" w:type="pct"/>
            <w:shd w:val="clear" w:color="auto" w:fill="auto"/>
          </w:tcPr>
          <w:p w14:paraId="4CF45FA2" w14:textId="77777777" w:rsidR="00C23BE9" w:rsidRPr="004C7C0C" w:rsidRDefault="00C23BE9" w:rsidP="004C7C0C">
            <w:pPr>
              <w:autoSpaceDE w:val="0"/>
              <w:autoSpaceDN w:val="0"/>
              <w:adjustRightInd w:val="0"/>
              <w:spacing w:before="0" w:after="0"/>
              <w:ind w:left="57" w:right="57"/>
              <w:jc w:val="left"/>
              <w:rPr>
                <w:rFonts w:cs="Arial"/>
                <w:sz w:val="20"/>
                <w:szCs w:val="20"/>
                <w:lang w:val="sr-Latn-RS"/>
              </w:rPr>
            </w:pPr>
            <w:r w:rsidRPr="004C7C0C">
              <w:rPr>
                <w:rFonts w:cs="Arial"/>
                <w:sz w:val="20"/>
                <w:szCs w:val="20"/>
                <w:lang w:val="sr-Latn-RS"/>
              </w:rPr>
              <w:t>N_Median_IS</w:t>
            </w:r>
          </w:p>
        </w:tc>
        <w:tc>
          <w:tcPr>
            <w:tcW w:w="1445" w:type="pct"/>
            <w:shd w:val="clear" w:color="auto" w:fill="auto"/>
          </w:tcPr>
          <w:p w14:paraId="5605A14B" w14:textId="5DCCAD60" w:rsidR="00C23BE9" w:rsidRPr="004C7C0C" w:rsidRDefault="004C7C0C" w:rsidP="004C7C0C">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C23BE9" w:rsidRPr="004C7C0C">
              <w:rPr>
                <w:rFonts w:cs="Arial"/>
                <w:sz w:val="20"/>
                <w:szCs w:val="20"/>
                <w:lang w:val="sr-Latn-RS"/>
              </w:rPr>
              <w:t>111</w:t>
            </w:r>
          </w:p>
        </w:tc>
        <w:tc>
          <w:tcPr>
            <w:tcW w:w="1863" w:type="pct"/>
            <w:shd w:val="clear" w:color="auto" w:fill="auto"/>
          </w:tcPr>
          <w:p w14:paraId="3109931D" w14:textId="5E2856FE" w:rsidR="00C23BE9" w:rsidRPr="004C7C0C" w:rsidRDefault="00C23BE9" w:rsidP="004C7C0C">
            <w:pPr>
              <w:autoSpaceDE w:val="0"/>
              <w:autoSpaceDN w:val="0"/>
              <w:adjustRightInd w:val="0"/>
              <w:spacing w:before="0" w:after="0"/>
              <w:ind w:left="57" w:right="57"/>
              <w:jc w:val="right"/>
              <w:rPr>
                <w:rFonts w:cs="Arial"/>
                <w:sz w:val="20"/>
                <w:szCs w:val="20"/>
                <w:lang w:val="sr-Latn-RS"/>
              </w:rPr>
            </w:pPr>
            <w:r w:rsidRPr="004C7C0C">
              <w:rPr>
                <w:rFonts w:cs="Arial"/>
                <w:sz w:val="20"/>
                <w:szCs w:val="20"/>
                <w:lang w:val="sr-Latn-RS"/>
              </w:rPr>
              <w:t>62</w:t>
            </w:r>
            <w:r w:rsidR="004C7C0C">
              <w:rPr>
                <w:rFonts w:cs="Arial"/>
                <w:sz w:val="20"/>
                <w:szCs w:val="20"/>
                <w:lang w:val="sr-Latn-RS"/>
              </w:rPr>
              <w:t>.</w:t>
            </w:r>
            <w:r w:rsidRPr="004C7C0C">
              <w:rPr>
                <w:rFonts w:cs="Arial"/>
                <w:sz w:val="20"/>
                <w:szCs w:val="20"/>
                <w:lang w:val="sr-Latn-RS"/>
              </w:rPr>
              <w:t>6%</w:t>
            </w:r>
          </w:p>
        </w:tc>
      </w:tr>
      <w:tr w:rsidR="004C7C0C" w:rsidRPr="004C7C0C" w14:paraId="5BBCCF96" w14:textId="77777777" w:rsidTr="00611858">
        <w:trPr>
          <w:cantSplit/>
        </w:trPr>
        <w:tc>
          <w:tcPr>
            <w:tcW w:w="1692" w:type="pct"/>
            <w:shd w:val="clear" w:color="auto" w:fill="auto"/>
          </w:tcPr>
          <w:p w14:paraId="3984AF92" w14:textId="77777777" w:rsidR="00C23BE9" w:rsidRPr="004C7C0C" w:rsidRDefault="00C23BE9" w:rsidP="004C7C0C">
            <w:pPr>
              <w:autoSpaceDE w:val="0"/>
              <w:autoSpaceDN w:val="0"/>
              <w:adjustRightInd w:val="0"/>
              <w:spacing w:before="0" w:after="0"/>
              <w:ind w:left="57" w:right="57"/>
              <w:jc w:val="left"/>
              <w:rPr>
                <w:rFonts w:cs="Arial"/>
                <w:sz w:val="20"/>
                <w:szCs w:val="20"/>
                <w:lang w:val="sr-Latn-RS"/>
              </w:rPr>
            </w:pPr>
            <w:r w:rsidRPr="004C7C0C">
              <w:rPr>
                <w:rFonts w:cs="Arial"/>
                <w:sz w:val="20"/>
                <w:szCs w:val="20"/>
                <w:lang w:val="sr-Latn-RS"/>
              </w:rPr>
              <w:t>N_min_IS</w:t>
            </w:r>
          </w:p>
        </w:tc>
        <w:tc>
          <w:tcPr>
            <w:tcW w:w="1445" w:type="pct"/>
            <w:shd w:val="clear" w:color="auto" w:fill="auto"/>
          </w:tcPr>
          <w:p w14:paraId="32503D65" w14:textId="10242DC5" w:rsidR="00C23BE9" w:rsidRPr="004C7C0C" w:rsidRDefault="004C7C0C" w:rsidP="004C7C0C">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C23BE9" w:rsidRPr="004C7C0C">
              <w:rPr>
                <w:rFonts w:cs="Arial"/>
                <w:sz w:val="20"/>
                <w:szCs w:val="20"/>
                <w:lang w:val="sr-Latn-RS"/>
              </w:rPr>
              <w:t>106</w:t>
            </w:r>
          </w:p>
        </w:tc>
        <w:tc>
          <w:tcPr>
            <w:tcW w:w="1863" w:type="pct"/>
            <w:shd w:val="clear" w:color="auto" w:fill="auto"/>
          </w:tcPr>
          <w:p w14:paraId="4B501EDD" w14:textId="7292056B" w:rsidR="00C23BE9" w:rsidRPr="004C7C0C" w:rsidRDefault="00C23BE9" w:rsidP="004C7C0C">
            <w:pPr>
              <w:autoSpaceDE w:val="0"/>
              <w:autoSpaceDN w:val="0"/>
              <w:adjustRightInd w:val="0"/>
              <w:spacing w:before="0" w:after="0"/>
              <w:ind w:left="57" w:right="57"/>
              <w:jc w:val="right"/>
              <w:rPr>
                <w:rFonts w:cs="Arial"/>
                <w:sz w:val="20"/>
                <w:szCs w:val="20"/>
                <w:lang w:val="sr-Latn-RS"/>
              </w:rPr>
            </w:pPr>
            <w:r w:rsidRPr="004C7C0C">
              <w:rPr>
                <w:rFonts w:cs="Arial"/>
                <w:sz w:val="20"/>
                <w:szCs w:val="20"/>
                <w:lang w:val="sr-Latn-RS"/>
              </w:rPr>
              <w:t>59</w:t>
            </w:r>
            <w:r w:rsidR="004C7C0C">
              <w:rPr>
                <w:rFonts w:cs="Arial"/>
                <w:sz w:val="20"/>
                <w:szCs w:val="20"/>
                <w:lang w:val="sr-Latn-RS"/>
              </w:rPr>
              <w:t>.</w:t>
            </w:r>
            <w:r w:rsidRPr="004C7C0C">
              <w:rPr>
                <w:rFonts w:cs="Arial"/>
                <w:sz w:val="20"/>
                <w:szCs w:val="20"/>
                <w:lang w:val="sr-Latn-RS"/>
              </w:rPr>
              <w:t>6%</w:t>
            </w:r>
          </w:p>
        </w:tc>
      </w:tr>
      <w:tr w:rsidR="004C7C0C" w:rsidRPr="004C7C0C" w14:paraId="5104311C" w14:textId="77777777" w:rsidTr="00611858">
        <w:trPr>
          <w:cantSplit/>
        </w:trPr>
        <w:tc>
          <w:tcPr>
            <w:tcW w:w="1692" w:type="pct"/>
            <w:tcBorders>
              <w:bottom w:val="single" w:sz="4" w:space="0" w:color="auto"/>
            </w:tcBorders>
            <w:shd w:val="clear" w:color="auto" w:fill="auto"/>
          </w:tcPr>
          <w:p w14:paraId="75749C62" w14:textId="77777777" w:rsidR="00C23BE9" w:rsidRPr="004C7C0C" w:rsidRDefault="00C23BE9" w:rsidP="004C7C0C">
            <w:pPr>
              <w:autoSpaceDE w:val="0"/>
              <w:autoSpaceDN w:val="0"/>
              <w:adjustRightInd w:val="0"/>
              <w:spacing w:before="0" w:after="0"/>
              <w:ind w:left="57" w:right="57"/>
              <w:jc w:val="left"/>
              <w:rPr>
                <w:rFonts w:cs="Arial"/>
                <w:sz w:val="20"/>
                <w:szCs w:val="20"/>
                <w:lang w:val="sr-Latn-RS"/>
              </w:rPr>
            </w:pPr>
            <w:r w:rsidRPr="004C7C0C">
              <w:rPr>
                <w:rFonts w:cs="Arial"/>
                <w:sz w:val="20"/>
                <w:szCs w:val="20"/>
                <w:lang w:val="sr-Latn-RS"/>
              </w:rPr>
              <w:t>N_Kurt_IS</w:t>
            </w:r>
          </w:p>
        </w:tc>
        <w:tc>
          <w:tcPr>
            <w:tcW w:w="1445" w:type="pct"/>
            <w:tcBorders>
              <w:bottom w:val="single" w:sz="4" w:space="0" w:color="auto"/>
            </w:tcBorders>
            <w:shd w:val="clear" w:color="auto" w:fill="auto"/>
          </w:tcPr>
          <w:p w14:paraId="15A05537" w14:textId="56FC95A3" w:rsidR="00C23BE9" w:rsidRPr="004C7C0C" w:rsidRDefault="004C7C0C" w:rsidP="004C7C0C">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C23BE9" w:rsidRPr="004C7C0C">
              <w:rPr>
                <w:rFonts w:cs="Arial"/>
                <w:sz w:val="20"/>
                <w:szCs w:val="20"/>
                <w:lang w:val="sr-Latn-RS"/>
              </w:rPr>
              <w:t>126</w:t>
            </w:r>
          </w:p>
        </w:tc>
        <w:tc>
          <w:tcPr>
            <w:tcW w:w="1863" w:type="pct"/>
            <w:tcBorders>
              <w:bottom w:val="single" w:sz="4" w:space="0" w:color="auto"/>
            </w:tcBorders>
            <w:shd w:val="clear" w:color="auto" w:fill="auto"/>
          </w:tcPr>
          <w:p w14:paraId="42F1CAF7" w14:textId="373C9240" w:rsidR="00C23BE9" w:rsidRPr="004C7C0C" w:rsidRDefault="00C23BE9" w:rsidP="004C7C0C">
            <w:pPr>
              <w:autoSpaceDE w:val="0"/>
              <w:autoSpaceDN w:val="0"/>
              <w:adjustRightInd w:val="0"/>
              <w:spacing w:before="0" w:after="0"/>
              <w:ind w:left="57" w:right="57"/>
              <w:jc w:val="right"/>
              <w:rPr>
                <w:rFonts w:cs="Arial"/>
                <w:sz w:val="20"/>
                <w:szCs w:val="20"/>
                <w:lang w:val="sr-Latn-RS"/>
              </w:rPr>
            </w:pPr>
            <w:r w:rsidRPr="004C7C0C">
              <w:rPr>
                <w:rFonts w:cs="Arial"/>
                <w:sz w:val="20"/>
                <w:szCs w:val="20"/>
                <w:lang w:val="sr-Latn-RS"/>
              </w:rPr>
              <w:t>71</w:t>
            </w:r>
            <w:r w:rsidR="004C7C0C">
              <w:rPr>
                <w:rFonts w:cs="Arial"/>
                <w:sz w:val="20"/>
                <w:szCs w:val="20"/>
                <w:lang w:val="sr-Latn-RS"/>
              </w:rPr>
              <w:t>.</w:t>
            </w:r>
            <w:r w:rsidRPr="004C7C0C">
              <w:rPr>
                <w:rFonts w:cs="Arial"/>
                <w:sz w:val="20"/>
                <w:szCs w:val="20"/>
                <w:lang w:val="sr-Latn-RS"/>
              </w:rPr>
              <w:t>2%</w:t>
            </w:r>
          </w:p>
        </w:tc>
      </w:tr>
    </w:tbl>
    <w:p w14:paraId="52BC588E" w14:textId="667BAB98" w:rsidR="000746D6" w:rsidRDefault="000746D6" w:rsidP="000746D6">
      <w:pPr>
        <w:rPr>
          <w:lang w:val="sr-Latn-RS"/>
        </w:rPr>
      </w:pPr>
      <w:bookmarkStart w:id="608" w:name="_Ref98746810"/>
      <w:bookmarkStart w:id="609" w:name="_Ref98746796"/>
      <w:r>
        <w:rPr>
          <w:lang w:val="sr-Latn-RS"/>
        </w:rPr>
        <w:t>The change of the 1Q in the signal processing can indicate the change in the actuator's response time and the directional valve's movement. It is questionable whether the quasi-fault can be associated with the sensor response time (for opening and closing the saddle) or is affected by the degradation of the directional valve. Besides, a high association with the change of standard deviation and median values of the signal can indicate the degradation of the hydraulic power drop and needs to be further investigated for multiclass predictions. Finally, the model shows excellent prediction properties for binary values (</w:t>
      </w:r>
      <w:r>
        <w:rPr>
          <w:lang w:val="sr-Latn-RS"/>
        </w:rPr>
        <w:fldChar w:fldCharType="begin"/>
      </w:r>
      <w:r>
        <w:rPr>
          <w:lang w:val="sr-Latn-RS"/>
        </w:rPr>
        <w:instrText xml:space="preserve"> REF _Ref100757786 \h </w:instrText>
      </w:r>
      <w:r>
        <w:rPr>
          <w:lang w:val="sr-Latn-RS"/>
        </w:rPr>
      </w:r>
      <w:r>
        <w:rPr>
          <w:lang w:val="sr-Latn-RS"/>
        </w:rPr>
        <w:fldChar w:fldCharType="separate"/>
      </w:r>
      <w:r w:rsidR="00587AF0">
        <w:t xml:space="preserve">Table </w:t>
      </w:r>
      <w:r w:rsidR="00587AF0">
        <w:rPr>
          <w:noProof/>
        </w:rPr>
        <w:t>42</w:t>
      </w:r>
      <w:r>
        <w:rPr>
          <w:lang w:val="sr-Latn-RS"/>
        </w:rPr>
        <w:fldChar w:fldCharType="end"/>
      </w:r>
      <w:r>
        <w:rPr>
          <w:lang w:val="sr-Latn-RS"/>
        </w:rPr>
        <w:t>).</w:t>
      </w:r>
    </w:p>
    <w:p w14:paraId="42A28336" w14:textId="3C81F09F" w:rsidR="00811117" w:rsidRDefault="000746D6" w:rsidP="000746D6">
      <w:pPr>
        <w:pStyle w:val="Caption"/>
        <w:jc w:val="left"/>
      </w:pPr>
      <w:bookmarkStart w:id="610" w:name="_Ref100757786"/>
      <w:bookmarkStart w:id="611" w:name="_Toc101274482"/>
      <w:bookmarkEnd w:id="608"/>
      <w:r>
        <w:t xml:space="preserve">Table </w:t>
      </w:r>
      <w:fldSimple w:instr=" SEQ Table \* ARABIC ">
        <w:r w:rsidR="00587AF0">
          <w:rPr>
            <w:noProof/>
          </w:rPr>
          <w:t>42</w:t>
        </w:r>
      </w:fldSimple>
      <w:bookmarkEnd w:id="610"/>
      <w:r>
        <w:t xml:space="preserve">. </w:t>
      </w:r>
      <w:r w:rsidR="00A45E06">
        <w:t xml:space="preserve">ANN classification matrix of results at </w:t>
      </w:r>
      <w:r w:rsidR="00F1763B">
        <w:t>idle saddle position</w:t>
      </w:r>
      <w:bookmarkEnd w:id="609"/>
      <w:bookmarkEnd w:id="611"/>
    </w:p>
    <w:tbl>
      <w:tblPr>
        <w:tblW w:w="5067" w:type="pct"/>
        <w:tblLook w:val="04A0" w:firstRow="1" w:lastRow="0" w:firstColumn="1" w:lastColumn="0" w:noHBand="0" w:noVBand="1"/>
      </w:tblPr>
      <w:tblGrid>
        <w:gridCol w:w="1469"/>
        <w:gridCol w:w="2047"/>
        <w:gridCol w:w="1504"/>
        <w:gridCol w:w="1883"/>
        <w:gridCol w:w="2245"/>
      </w:tblGrid>
      <w:tr w:rsidR="00811117" w:rsidRPr="00811117" w14:paraId="0A67228C" w14:textId="77777777" w:rsidTr="00982E69">
        <w:trPr>
          <w:trHeight w:val="60"/>
        </w:trPr>
        <w:tc>
          <w:tcPr>
            <w:tcW w:w="803" w:type="pct"/>
            <w:vMerge w:val="restart"/>
            <w:tcBorders>
              <w:top w:val="single" w:sz="4" w:space="0" w:color="auto"/>
              <w:left w:val="nil"/>
              <w:bottom w:val="single" w:sz="8" w:space="0" w:color="152935"/>
              <w:right w:val="nil"/>
            </w:tcBorders>
            <w:shd w:val="clear" w:color="auto" w:fill="auto"/>
            <w:vAlign w:val="center"/>
            <w:hideMark/>
          </w:tcPr>
          <w:p w14:paraId="53D8430D" w14:textId="77777777" w:rsidR="00811117" w:rsidRPr="00811117" w:rsidRDefault="00811117" w:rsidP="00110A61">
            <w:pPr>
              <w:spacing w:before="0" w:after="0"/>
              <w:jc w:val="center"/>
              <w:rPr>
                <w:rFonts w:eastAsia="Times New Roman" w:cs="Times New Roman"/>
                <w:b/>
                <w:bCs/>
                <w:color w:val="000000"/>
                <w:sz w:val="20"/>
                <w:szCs w:val="20"/>
                <w:lang w:val="sr-Latn-RS" w:eastAsia="sr-Latn-RS"/>
              </w:rPr>
            </w:pPr>
            <w:r w:rsidRPr="00811117">
              <w:rPr>
                <w:rFonts w:eastAsia="Times New Roman" w:cs="Times New Roman"/>
                <w:b/>
                <w:bCs/>
                <w:color w:val="000000"/>
                <w:sz w:val="20"/>
                <w:szCs w:val="20"/>
                <w:lang w:val="sr-Latn-RS" w:eastAsia="sr-Latn-RS"/>
              </w:rPr>
              <w:t>Sample</w:t>
            </w:r>
          </w:p>
        </w:tc>
        <w:tc>
          <w:tcPr>
            <w:tcW w:w="1119" w:type="pct"/>
            <w:vMerge w:val="restart"/>
            <w:tcBorders>
              <w:top w:val="single" w:sz="4" w:space="0" w:color="auto"/>
              <w:left w:val="nil"/>
              <w:bottom w:val="single" w:sz="8" w:space="0" w:color="152935"/>
              <w:right w:val="nil"/>
            </w:tcBorders>
            <w:shd w:val="clear" w:color="auto" w:fill="auto"/>
            <w:vAlign w:val="center"/>
            <w:hideMark/>
          </w:tcPr>
          <w:p w14:paraId="2A912117" w14:textId="77777777" w:rsidR="00811117" w:rsidRPr="00811117" w:rsidRDefault="00811117" w:rsidP="00110A61">
            <w:pPr>
              <w:spacing w:before="0" w:after="0"/>
              <w:jc w:val="center"/>
              <w:rPr>
                <w:rFonts w:eastAsia="Times New Roman" w:cs="Times New Roman"/>
                <w:b/>
                <w:bCs/>
                <w:color w:val="000000"/>
                <w:sz w:val="20"/>
                <w:szCs w:val="20"/>
                <w:lang w:val="sr-Latn-RS" w:eastAsia="sr-Latn-RS"/>
              </w:rPr>
            </w:pPr>
            <w:r w:rsidRPr="00811117">
              <w:rPr>
                <w:rFonts w:eastAsia="Times New Roman" w:cs="Times New Roman"/>
                <w:b/>
                <w:bCs/>
                <w:color w:val="000000"/>
                <w:sz w:val="20"/>
                <w:szCs w:val="20"/>
                <w:lang w:val="sr-Latn-RS" w:eastAsia="sr-Latn-RS"/>
              </w:rPr>
              <w:t>Observed</w:t>
            </w:r>
          </w:p>
        </w:tc>
        <w:tc>
          <w:tcPr>
            <w:tcW w:w="3078" w:type="pct"/>
            <w:gridSpan w:val="3"/>
            <w:tcBorders>
              <w:top w:val="single" w:sz="4" w:space="0" w:color="auto"/>
              <w:left w:val="nil"/>
              <w:bottom w:val="nil"/>
              <w:right w:val="nil"/>
            </w:tcBorders>
            <w:shd w:val="clear" w:color="auto" w:fill="auto"/>
            <w:vAlign w:val="center"/>
            <w:hideMark/>
          </w:tcPr>
          <w:p w14:paraId="1CAF4141" w14:textId="77777777" w:rsidR="00811117" w:rsidRPr="00811117" w:rsidRDefault="00811117" w:rsidP="00110A61">
            <w:pPr>
              <w:spacing w:before="0" w:after="0"/>
              <w:jc w:val="center"/>
              <w:rPr>
                <w:rFonts w:eastAsia="Times New Roman" w:cs="Times New Roman"/>
                <w:b/>
                <w:bCs/>
                <w:color w:val="000000"/>
                <w:sz w:val="20"/>
                <w:szCs w:val="20"/>
                <w:lang w:val="sr-Latn-RS" w:eastAsia="sr-Latn-RS"/>
              </w:rPr>
            </w:pPr>
            <w:r w:rsidRPr="00811117">
              <w:rPr>
                <w:rFonts w:eastAsia="Times New Roman" w:cs="Times New Roman"/>
                <w:b/>
                <w:bCs/>
                <w:color w:val="000000"/>
                <w:sz w:val="20"/>
                <w:szCs w:val="20"/>
                <w:lang w:val="sr-Latn-RS" w:eastAsia="sr-Latn-RS"/>
              </w:rPr>
              <w:t>Predicted</w:t>
            </w:r>
          </w:p>
        </w:tc>
      </w:tr>
      <w:tr w:rsidR="00110A61" w:rsidRPr="00811117" w14:paraId="526A02A8" w14:textId="77777777" w:rsidTr="00982E69">
        <w:trPr>
          <w:trHeight w:val="177"/>
        </w:trPr>
        <w:tc>
          <w:tcPr>
            <w:tcW w:w="803" w:type="pct"/>
            <w:vMerge/>
            <w:tcBorders>
              <w:top w:val="single" w:sz="8" w:space="0" w:color="auto"/>
              <w:left w:val="nil"/>
              <w:bottom w:val="single" w:sz="4" w:space="0" w:color="auto"/>
              <w:right w:val="nil"/>
            </w:tcBorders>
            <w:vAlign w:val="center"/>
            <w:hideMark/>
          </w:tcPr>
          <w:p w14:paraId="31A516B9" w14:textId="77777777" w:rsidR="00811117" w:rsidRPr="00811117" w:rsidRDefault="00811117" w:rsidP="00110A61">
            <w:pPr>
              <w:spacing w:before="0" w:after="0"/>
              <w:jc w:val="left"/>
              <w:rPr>
                <w:rFonts w:eastAsia="Times New Roman" w:cs="Times New Roman"/>
                <w:b/>
                <w:bCs/>
                <w:color w:val="000000"/>
                <w:sz w:val="20"/>
                <w:szCs w:val="20"/>
                <w:lang w:val="sr-Latn-RS" w:eastAsia="sr-Latn-RS"/>
              </w:rPr>
            </w:pPr>
          </w:p>
        </w:tc>
        <w:tc>
          <w:tcPr>
            <w:tcW w:w="1119" w:type="pct"/>
            <w:vMerge/>
            <w:tcBorders>
              <w:top w:val="single" w:sz="8" w:space="0" w:color="auto"/>
              <w:left w:val="nil"/>
              <w:bottom w:val="single" w:sz="4" w:space="0" w:color="auto"/>
              <w:right w:val="nil"/>
            </w:tcBorders>
            <w:vAlign w:val="center"/>
            <w:hideMark/>
          </w:tcPr>
          <w:p w14:paraId="25658416" w14:textId="77777777" w:rsidR="00811117" w:rsidRPr="00811117" w:rsidRDefault="00811117" w:rsidP="00110A61">
            <w:pPr>
              <w:spacing w:before="0" w:after="0"/>
              <w:jc w:val="left"/>
              <w:rPr>
                <w:rFonts w:eastAsia="Times New Roman" w:cs="Times New Roman"/>
                <w:b/>
                <w:bCs/>
                <w:color w:val="000000"/>
                <w:sz w:val="20"/>
                <w:szCs w:val="20"/>
                <w:lang w:val="sr-Latn-RS" w:eastAsia="sr-Latn-RS"/>
              </w:rPr>
            </w:pPr>
          </w:p>
        </w:tc>
        <w:tc>
          <w:tcPr>
            <w:tcW w:w="822" w:type="pct"/>
            <w:tcBorders>
              <w:top w:val="nil"/>
              <w:left w:val="nil"/>
              <w:bottom w:val="single" w:sz="4" w:space="0" w:color="auto"/>
              <w:right w:val="nil"/>
            </w:tcBorders>
            <w:shd w:val="clear" w:color="auto" w:fill="auto"/>
            <w:vAlign w:val="center"/>
            <w:hideMark/>
          </w:tcPr>
          <w:p w14:paraId="42890168" w14:textId="77777777" w:rsidR="00811117" w:rsidRPr="00811117" w:rsidRDefault="00811117" w:rsidP="00110A61">
            <w:pPr>
              <w:spacing w:before="0" w:after="0"/>
              <w:jc w:val="center"/>
              <w:rPr>
                <w:rFonts w:eastAsia="Times New Roman" w:cs="Times New Roman"/>
                <w:b/>
                <w:bCs/>
                <w:color w:val="000000"/>
                <w:sz w:val="20"/>
                <w:szCs w:val="20"/>
                <w:lang w:val="sr-Latn-RS" w:eastAsia="sr-Latn-RS"/>
              </w:rPr>
            </w:pPr>
            <w:r w:rsidRPr="00811117">
              <w:rPr>
                <w:rFonts w:eastAsia="Times New Roman" w:cs="Times New Roman"/>
                <w:b/>
                <w:bCs/>
                <w:color w:val="000000"/>
                <w:sz w:val="20"/>
                <w:szCs w:val="20"/>
                <w:lang w:val="sr-Latn-RS" w:eastAsia="sr-Latn-RS"/>
              </w:rPr>
              <w:t>None</w:t>
            </w:r>
          </w:p>
        </w:tc>
        <w:tc>
          <w:tcPr>
            <w:tcW w:w="1029" w:type="pct"/>
            <w:tcBorders>
              <w:top w:val="nil"/>
              <w:left w:val="nil"/>
              <w:bottom w:val="single" w:sz="4" w:space="0" w:color="auto"/>
              <w:right w:val="nil"/>
            </w:tcBorders>
            <w:shd w:val="clear" w:color="auto" w:fill="auto"/>
            <w:vAlign w:val="center"/>
            <w:hideMark/>
          </w:tcPr>
          <w:p w14:paraId="1D07BC37" w14:textId="77777777" w:rsidR="00811117" w:rsidRPr="00811117" w:rsidRDefault="00811117" w:rsidP="00110A61">
            <w:pPr>
              <w:spacing w:before="0" w:after="0"/>
              <w:jc w:val="center"/>
              <w:rPr>
                <w:rFonts w:eastAsia="Times New Roman" w:cs="Times New Roman"/>
                <w:b/>
                <w:bCs/>
                <w:color w:val="000000"/>
                <w:sz w:val="20"/>
                <w:szCs w:val="20"/>
                <w:lang w:val="sr-Latn-RS" w:eastAsia="sr-Latn-RS"/>
              </w:rPr>
            </w:pPr>
            <w:r w:rsidRPr="00811117">
              <w:rPr>
                <w:rFonts w:eastAsia="Times New Roman" w:cs="Times New Roman"/>
                <w:b/>
                <w:bCs/>
                <w:color w:val="000000"/>
                <w:sz w:val="20"/>
                <w:szCs w:val="20"/>
                <w:lang w:val="sr-Latn-RS" w:eastAsia="sr-Latn-RS"/>
              </w:rPr>
              <w:t>Quasi-fault</w:t>
            </w:r>
          </w:p>
        </w:tc>
        <w:tc>
          <w:tcPr>
            <w:tcW w:w="1227" w:type="pct"/>
            <w:tcBorders>
              <w:top w:val="nil"/>
              <w:left w:val="nil"/>
              <w:bottom w:val="single" w:sz="4" w:space="0" w:color="auto"/>
              <w:right w:val="nil"/>
            </w:tcBorders>
            <w:shd w:val="clear" w:color="auto" w:fill="auto"/>
            <w:vAlign w:val="center"/>
            <w:hideMark/>
          </w:tcPr>
          <w:p w14:paraId="4CCC3DC1" w14:textId="77777777" w:rsidR="00811117" w:rsidRPr="00811117" w:rsidRDefault="00811117" w:rsidP="00110A61">
            <w:pPr>
              <w:spacing w:before="0" w:after="0"/>
              <w:jc w:val="center"/>
              <w:rPr>
                <w:rFonts w:eastAsia="Times New Roman" w:cs="Times New Roman"/>
                <w:b/>
                <w:bCs/>
                <w:color w:val="000000"/>
                <w:sz w:val="20"/>
                <w:szCs w:val="20"/>
                <w:lang w:val="sr-Latn-RS" w:eastAsia="sr-Latn-RS"/>
              </w:rPr>
            </w:pPr>
            <w:r w:rsidRPr="00811117">
              <w:rPr>
                <w:rFonts w:eastAsia="Times New Roman" w:cs="Times New Roman"/>
                <w:b/>
                <w:bCs/>
                <w:color w:val="000000"/>
                <w:sz w:val="20"/>
                <w:szCs w:val="20"/>
                <w:lang w:val="sr-Latn-RS" w:eastAsia="sr-Latn-RS"/>
              </w:rPr>
              <w:t>Percent Correct</w:t>
            </w:r>
          </w:p>
        </w:tc>
      </w:tr>
      <w:tr w:rsidR="00110A61" w:rsidRPr="00811117" w14:paraId="516CC670" w14:textId="77777777" w:rsidTr="00982E69">
        <w:trPr>
          <w:trHeight w:val="184"/>
        </w:trPr>
        <w:tc>
          <w:tcPr>
            <w:tcW w:w="803" w:type="pct"/>
            <w:vMerge w:val="restart"/>
            <w:tcBorders>
              <w:top w:val="single" w:sz="4" w:space="0" w:color="auto"/>
              <w:left w:val="nil"/>
              <w:bottom w:val="nil"/>
              <w:right w:val="nil"/>
            </w:tcBorders>
            <w:shd w:val="clear" w:color="auto" w:fill="auto"/>
            <w:vAlign w:val="center"/>
            <w:hideMark/>
          </w:tcPr>
          <w:p w14:paraId="47F4D64D" w14:textId="77777777" w:rsidR="00811117" w:rsidRPr="00811117" w:rsidRDefault="00811117" w:rsidP="00110A61">
            <w:pPr>
              <w:spacing w:before="0" w:after="0"/>
              <w:jc w:val="left"/>
              <w:rPr>
                <w:rFonts w:eastAsia="Times New Roman" w:cs="Times New Roman"/>
                <w:color w:val="000000"/>
                <w:sz w:val="20"/>
                <w:szCs w:val="20"/>
                <w:lang w:val="sr-Latn-RS" w:eastAsia="sr-Latn-RS"/>
              </w:rPr>
            </w:pPr>
            <w:r w:rsidRPr="00811117">
              <w:rPr>
                <w:rFonts w:eastAsia="Times New Roman" w:cs="Times New Roman"/>
                <w:color w:val="000000"/>
                <w:sz w:val="20"/>
                <w:szCs w:val="20"/>
                <w:lang w:val="sr-Latn-RS" w:eastAsia="sr-Latn-RS"/>
              </w:rPr>
              <w:t>Training</w:t>
            </w:r>
          </w:p>
        </w:tc>
        <w:tc>
          <w:tcPr>
            <w:tcW w:w="1119" w:type="pct"/>
            <w:tcBorders>
              <w:top w:val="single" w:sz="4" w:space="0" w:color="auto"/>
              <w:left w:val="nil"/>
              <w:bottom w:val="nil"/>
              <w:right w:val="nil"/>
            </w:tcBorders>
            <w:shd w:val="clear" w:color="auto" w:fill="auto"/>
            <w:vAlign w:val="center"/>
            <w:hideMark/>
          </w:tcPr>
          <w:p w14:paraId="16CE17B3" w14:textId="77777777" w:rsidR="00811117" w:rsidRPr="00811117" w:rsidRDefault="00811117" w:rsidP="00110A61">
            <w:pPr>
              <w:spacing w:before="0" w:after="0"/>
              <w:jc w:val="left"/>
              <w:rPr>
                <w:rFonts w:eastAsia="Times New Roman" w:cs="Times New Roman"/>
                <w:color w:val="000000"/>
                <w:sz w:val="20"/>
                <w:szCs w:val="20"/>
                <w:lang w:val="sr-Latn-RS" w:eastAsia="sr-Latn-RS"/>
              </w:rPr>
            </w:pPr>
            <w:r w:rsidRPr="00811117">
              <w:rPr>
                <w:rFonts w:eastAsia="Times New Roman" w:cs="Times New Roman"/>
                <w:color w:val="000000"/>
                <w:sz w:val="20"/>
                <w:szCs w:val="20"/>
                <w:lang w:val="sr-Latn-RS" w:eastAsia="sr-Latn-RS"/>
              </w:rPr>
              <w:t>None</w:t>
            </w:r>
          </w:p>
        </w:tc>
        <w:tc>
          <w:tcPr>
            <w:tcW w:w="822" w:type="pct"/>
            <w:tcBorders>
              <w:top w:val="single" w:sz="4" w:space="0" w:color="auto"/>
              <w:left w:val="nil"/>
              <w:bottom w:val="nil"/>
              <w:right w:val="nil"/>
            </w:tcBorders>
            <w:shd w:val="clear" w:color="auto" w:fill="auto"/>
            <w:vAlign w:val="center"/>
            <w:hideMark/>
          </w:tcPr>
          <w:p w14:paraId="7B6FEBB1" w14:textId="1D1EBF70" w:rsidR="00811117" w:rsidRPr="00811117" w:rsidRDefault="00811117" w:rsidP="00110A61">
            <w:pPr>
              <w:spacing w:before="0" w:after="0"/>
              <w:jc w:val="right"/>
              <w:rPr>
                <w:rFonts w:eastAsia="Times New Roman" w:cs="Times New Roman"/>
                <w:color w:val="000000"/>
                <w:sz w:val="20"/>
                <w:szCs w:val="20"/>
                <w:lang w:val="sr-Latn-RS" w:eastAsia="sr-Latn-RS"/>
              </w:rPr>
            </w:pPr>
            <w:r w:rsidRPr="00811117">
              <w:rPr>
                <w:rFonts w:eastAsia="Times New Roman" w:cs="Times New Roman"/>
                <w:color w:val="000000"/>
                <w:sz w:val="20"/>
                <w:szCs w:val="20"/>
                <w:lang w:val="sr-Latn-RS" w:eastAsia="sr-Latn-RS"/>
              </w:rPr>
              <w:t>3</w:t>
            </w:r>
            <w:r w:rsidR="00C23BE9" w:rsidRPr="00110A61">
              <w:rPr>
                <w:rFonts w:eastAsia="Times New Roman" w:cs="Times New Roman"/>
                <w:color w:val="000000"/>
                <w:sz w:val="20"/>
                <w:szCs w:val="20"/>
                <w:lang w:val="sr-Latn-RS" w:eastAsia="sr-Latn-RS"/>
              </w:rPr>
              <w:t>54</w:t>
            </w:r>
          </w:p>
        </w:tc>
        <w:tc>
          <w:tcPr>
            <w:tcW w:w="1029" w:type="pct"/>
            <w:tcBorders>
              <w:top w:val="single" w:sz="4" w:space="0" w:color="auto"/>
              <w:left w:val="nil"/>
              <w:bottom w:val="nil"/>
              <w:right w:val="nil"/>
            </w:tcBorders>
            <w:shd w:val="clear" w:color="auto" w:fill="auto"/>
            <w:vAlign w:val="center"/>
            <w:hideMark/>
          </w:tcPr>
          <w:p w14:paraId="0FB1D1F3" w14:textId="67AB50AB" w:rsidR="00811117" w:rsidRPr="00811117" w:rsidRDefault="00C23BE9" w:rsidP="00110A61">
            <w:pPr>
              <w:spacing w:before="0" w:after="0"/>
              <w:jc w:val="right"/>
              <w:rPr>
                <w:rFonts w:eastAsia="Times New Roman" w:cs="Times New Roman"/>
                <w:color w:val="000000"/>
                <w:sz w:val="20"/>
                <w:szCs w:val="20"/>
                <w:lang w:val="sr-Latn-RS" w:eastAsia="sr-Latn-RS"/>
              </w:rPr>
            </w:pPr>
            <w:r w:rsidRPr="00110A61">
              <w:rPr>
                <w:rFonts w:eastAsia="Times New Roman" w:cs="Times New Roman"/>
                <w:color w:val="000000"/>
                <w:sz w:val="20"/>
                <w:szCs w:val="20"/>
                <w:lang w:val="sr-Latn-RS" w:eastAsia="sr-Latn-RS"/>
              </w:rPr>
              <w:t>1</w:t>
            </w:r>
          </w:p>
        </w:tc>
        <w:tc>
          <w:tcPr>
            <w:tcW w:w="1227" w:type="pct"/>
            <w:tcBorders>
              <w:top w:val="single" w:sz="4" w:space="0" w:color="auto"/>
              <w:left w:val="nil"/>
              <w:bottom w:val="nil"/>
              <w:right w:val="nil"/>
            </w:tcBorders>
            <w:shd w:val="clear" w:color="auto" w:fill="auto"/>
            <w:vAlign w:val="center"/>
            <w:hideMark/>
          </w:tcPr>
          <w:p w14:paraId="33D01971" w14:textId="49D5BB52" w:rsidR="00811117" w:rsidRPr="00811117" w:rsidRDefault="00811117" w:rsidP="00110A61">
            <w:pPr>
              <w:spacing w:before="0" w:after="0"/>
              <w:jc w:val="right"/>
              <w:rPr>
                <w:rFonts w:eastAsia="Times New Roman" w:cs="Times New Roman"/>
                <w:color w:val="000000"/>
                <w:sz w:val="20"/>
                <w:szCs w:val="20"/>
                <w:lang w:val="sr-Latn-RS" w:eastAsia="sr-Latn-RS"/>
              </w:rPr>
            </w:pPr>
            <w:r w:rsidRPr="00811117">
              <w:rPr>
                <w:rFonts w:eastAsia="Times New Roman" w:cs="Times New Roman"/>
                <w:color w:val="000000"/>
                <w:sz w:val="20"/>
                <w:szCs w:val="20"/>
                <w:lang w:val="sr-Latn-RS" w:eastAsia="sr-Latn-RS"/>
              </w:rPr>
              <w:t>99.</w:t>
            </w:r>
            <w:r w:rsidR="00E04FF6" w:rsidRPr="00110A61">
              <w:rPr>
                <w:rFonts w:eastAsia="Times New Roman" w:cs="Times New Roman"/>
                <w:color w:val="000000"/>
                <w:sz w:val="20"/>
                <w:szCs w:val="20"/>
                <w:lang w:val="sr-Latn-RS" w:eastAsia="sr-Latn-RS"/>
              </w:rPr>
              <w:t>7</w:t>
            </w:r>
            <w:r w:rsidRPr="00811117">
              <w:rPr>
                <w:rFonts w:eastAsia="Times New Roman" w:cs="Times New Roman"/>
                <w:color w:val="000000"/>
                <w:sz w:val="20"/>
                <w:szCs w:val="20"/>
                <w:lang w:val="sr-Latn-RS" w:eastAsia="sr-Latn-RS"/>
              </w:rPr>
              <w:t>%</w:t>
            </w:r>
          </w:p>
        </w:tc>
      </w:tr>
      <w:tr w:rsidR="00110A61" w:rsidRPr="00811117" w14:paraId="0ED3032B" w14:textId="77777777" w:rsidTr="00110A61">
        <w:trPr>
          <w:trHeight w:val="184"/>
        </w:trPr>
        <w:tc>
          <w:tcPr>
            <w:tcW w:w="803" w:type="pct"/>
            <w:vMerge/>
            <w:tcBorders>
              <w:top w:val="nil"/>
              <w:left w:val="nil"/>
              <w:bottom w:val="nil"/>
              <w:right w:val="nil"/>
            </w:tcBorders>
            <w:vAlign w:val="center"/>
            <w:hideMark/>
          </w:tcPr>
          <w:p w14:paraId="55058DFA" w14:textId="77777777" w:rsidR="00811117" w:rsidRPr="00811117" w:rsidRDefault="00811117" w:rsidP="00110A61">
            <w:pPr>
              <w:spacing w:before="0" w:after="0"/>
              <w:jc w:val="left"/>
              <w:rPr>
                <w:rFonts w:eastAsia="Times New Roman" w:cs="Times New Roman"/>
                <w:color w:val="000000"/>
                <w:sz w:val="20"/>
                <w:szCs w:val="20"/>
                <w:lang w:val="sr-Latn-RS" w:eastAsia="sr-Latn-RS"/>
              </w:rPr>
            </w:pPr>
          </w:p>
        </w:tc>
        <w:tc>
          <w:tcPr>
            <w:tcW w:w="1119" w:type="pct"/>
            <w:tcBorders>
              <w:top w:val="nil"/>
              <w:left w:val="nil"/>
              <w:bottom w:val="nil"/>
              <w:right w:val="nil"/>
            </w:tcBorders>
            <w:shd w:val="clear" w:color="auto" w:fill="auto"/>
            <w:vAlign w:val="center"/>
            <w:hideMark/>
          </w:tcPr>
          <w:p w14:paraId="5124A11C" w14:textId="77777777" w:rsidR="00811117" w:rsidRPr="00811117" w:rsidRDefault="00811117" w:rsidP="00110A61">
            <w:pPr>
              <w:spacing w:before="0" w:after="0"/>
              <w:jc w:val="left"/>
              <w:rPr>
                <w:rFonts w:eastAsia="Times New Roman" w:cs="Times New Roman"/>
                <w:color w:val="000000"/>
                <w:sz w:val="20"/>
                <w:szCs w:val="20"/>
                <w:lang w:val="sr-Latn-RS" w:eastAsia="sr-Latn-RS"/>
              </w:rPr>
            </w:pPr>
            <w:r w:rsidRPr="00811117">
              <w:rPr>
                <w:rFonts w:eastAsia="Times New Roman" w:cs="Times New Roman"/>
                <w:color w:val="000000"/>
                <w:sz w:val="20"/>
                <w:szCs w:val="20"/>
                <w:lang w:val="sr-Latn-RS" w:eastAsia="sr-Latn-RS"/>
              </w:rPr>
              <w:t>Quasi-fault</w:t>
            </w:r>
          </w:p>
        </w:tc>
        <w:tc>
          <w:tcPr>
            <w:tcW w:w="822" w:type="pct"/>
            <w:tcBorders>
              <w:top w:val="nil"/>
              <w:left w:val="nil"/>
              <w:bottom w:val="nil"/>
              <w:right w:val="nil"/>
            </w:tcBorders>
            <w:shd w:val="clear" w:color="auto" w:fill="auto"/>
            <w:vAlign w:val="center"/>
            <w:hideMark/>
          </w:tcPr>
          <w:p w14:paraId="0545A197" w14:textId="77777777" w:rsidR="00811117" w:rsidRPr="00811117" w:rsidRDefault="00811117" w:rsidP="00110A61">
            <w:pPr>
              <w:spacing w:before="0" w:after="0"/>
              <w:jc w:val="right"/>
              <w:rPr>
                <w:rFonts w:eastAsia="Times New Roman" w:cs="Times New Roman"/>
                <w:color w:val="000000"/>
                <w:sz w:val="20"/>
                <w:szCs w:val="20"/>
                <w:lang w:val="sr-Latn-RS" w:eastAsia="sr-Latn-RS"/>
              </w:rPr>
            </w:pPr>
            <w:r w:rsidRPr="00811117">
              <w:rPr>
                <w:rFonts w:eastAsia="Times New Roman" w:cs="Times New Roman"/>
                <w:color w:val="000000"/>
                <w:sz w:val="20"/>
                <w:szCs w:val="20"/>
                <w:lang w:val="sr-Latn-RS" w:eastAsia="sr-Latn-RS"/>
              </w:rPr>
              <w:t>1</w:t>
            </w:r>
          </w:p>
        </w:tc>
        <w:tc>
          <w:tcPr>
            <w:tcW w:w="1029" w:type="pct"/>
            <w:tcBorders>
              <w:top w:val="nil"/>
              <w:left w:val="nil"/>
              <w:bottom w:val="nil"/>
              <w:right w:val="nil"/>
            </w:tcBorders>
            <w:shd w:val="clear" w:color="auto" w:fill="auto"/>
            <w:vAlign w:val="center"/>
            <w:hideMark/>
          </w:tcPr>
          <w:p w14:paraId="5B54DF57" w14:textId="1AB63DDA" w:rsidR="00811117" w:rsidRPr="00811117" w:rsidRDefault="00C23BE9" w:rsidP="00110A61">
            <w:pPr>
              <w:spacing w:before="0" w:after="0"/>
              <w:jc w:val="right"/>
              <w:rPr>
                <w:rFonts w:eastAsia="Times New Roman" w:cs="Times New Roman"/>
                <w:color w:val="000000"/>
                <w:sz w:val="20"/>
                <w:szCs w:val="20"/>
                <w:lang w:val="sr-Latn-RS" w:eastAsia="sr-Latn-RS"/>
              </w:rPr>
            </w:pPr>
            <w:r w:rsidRPr="00110A61">
              <w:rPr>
                <w:rFonts w:eastAsia="Times New Roman" w:cs="Times New Roman"/>
                <w:color w:val="000000"/>
                <w:sz w:val="20"/>
                <w:szCs w:val="20"/>
                <w:lang w:val="sr-Latn-RS" w:eastAsia="sr-Latn-RS"/>
              </w:rPr>
              <w:t>184</w:t>
            </w:r>
          </w:p>
        </w:tc>
        <w:tc>
          <w:tcPr>
            <w:tcW w:w="1227" w:type="pct"/>
            <w:tcBorders>
              <w:top w:val="nil"/>
              <w:left w:val="nil"/>
              <w:bottom w:val="nil"/>
              <w:right w:val="nil"/>
            </w:tcBorders>
            <w:shd w:val="clear" w:color="auto" w:fill="auto"/>
            <w:vAlign w:val="center"/>
            <w:hideMark/>
          </w:tcPr>
          <w:p w14:paraId="6209035D" w14:textId="186508BD" w:rsidR="00811117" w:rsidRPr="00811117" w:rsidRDefault="00811117" w:rsidP="00110A61">
            <w:pPr>
              <w:spacing w:before="0" w:after="0"/>
              <w:jc w:val="right"/>
              <w:rPr>
                <w:rFonts w:eastAsia="Times New Roman" w:cs="Times New Roman"/>
                <w:color w:val="000000"/>
                <w:sz w:val="20"/>
                <w:szCs w:val="20"/>
                <w:lang w:val="sr-Latn-RS" w:eastAsia="sr-Latn-RS"/>
              </w:rPr>
            </w:pPr>
            <w:r w:rsidRPr="00811117">
              <w:rPr>
                <w:rFonts w:eastAsia="Times New Roman" w:cs="Times New Roman"/>
                <w:color w:val="000000"/>
                <w:sz w:val="20"/>
                <w:szCs w:val="20"/>
                <w:lang w:val="sr-Latn-RS" w:eastAsia="sr-Latn-RS"/>
              </w:rPr>
              <w:t>99.</w:t>
            </w:r>
            <w:r w:rsidR="00E04FF6" w:rsidRPr="00110A61">
              <w:rPr>
                <w:rFonts w:eastAsia="Times New Roman" w:cs="Times New Roman"/>
                <w:color w:val="000000"/>
                <w:sz w:val="20"/>
                <w:szCs w:val="20"/>
                <w:lang w:val="sr-Latn-RS" w:eastAsia="sr-Latn-RS"/>
              </w:rPr>
              <w:t>5</w:t>
            </w:r>
            <w:r w:rsidRPr="00811117">
              <w:rPr>
                <w:rFonts w:eastAsia="Times New Roman" w:cs="Times New Roman"/>
                <w:color w:val="000000"/>
                <w:sz w:val="20"/>
                <w:szCs w:val="20"/>
                <w:lang w:val="sr-Latn-RS" w:eastAsia="sr-Latn-RS"/>
              </w:rPr>
              <w:t>%</w:t>
            </w:r>
          </w:p>
        </w:tc>
      </w:tr>
      <w:tr w:rsidR="00110A61" w:rsidRPr="00811117" w14:paraId="3AB448D6" w14:textId="77777777" w:rsidTr="00982E69">
        <w:trPr>
          <w:trHeight w:val="215"/>
        </w:trPr>
        <w:tc>
          <w:tcPr>
            <w:tcW w:w="803" w:type="pct"/>
            <w:vMerge/>
            <w:tcBorders>
              <w:top w:val="nil"/>
              <w:left w:val="nil"/>
              <w:right w:val="nil"/>
            </w:tcBorders>
            <w:vAlign w:val="center"/>
            <w:hideMark/>
          </w:tcPr>
          <w:p w14:paraId="502D502D" w14:textId="77777777" w:rsidR="00811117" w:rsidRPr="00811117" w:rsidRDefault="00811117" w:rsidP="00110A61">
            <w:pPr>
              <w:spacing w:before="0" w:after="0"/>
              <w:jc w:val="left"/>
              <w:rPr>
                <w:rFonts w:eastAsia="Times New Roman" w:cs="Times New Roman"/>
                <w:color w:val="000000"/>
                <w:sz w:val="20"/>
                <w:szCs w:val="20"/>
                <w:lang w:val="sr-Latn-RS" w:eastAsia="sr-Latn-RS"/>
              </w:rPr>
            </w:pPr>
          </w:p>
        </w:tc>
        <w:tc>
          <w:tcPr>
            <w:tcW w:w="1119" w:type="pct"/>
            <w:tcBorders>
              <w:top w:val="nil"/>
              <w:left w:val="nil"/>
              <w:right w:val="nil"/>
            </w:tcBorders>
            <w:shd w:val="clear" w:color="auto" w:fill="auto"/>
            <w:vAlign w:val="center"/>
            <w:hideMark/>
          </w:tcPr>
          <w:p w14:paraId="7569BA17" w14:textId="77777777" w:rsidR="00811117" w:rsidRPr="00811117" w:rsidRDefault="00811117" w:rsidP="00110A61">
            <w:pPr>
              <w:spacing w:before="0" w:after="0"/>
              <w:jc w:val="left"/>
              <w:rPr>
                <w:rFonts w:eastAsia="Times New Roman" w:cs="Times New Roman"/>
                <w:color w:val="000000"/>
                <w:sz w:val="20"/>
                <w:szCs w:val="20"/>
                <w:lang w:val="sr-Latn-RS" w:eastAsia="sr-Latn-RS"/>
              </w:rPr>
            </w:pPr>
            <w:r w:rsidRPr="00811117">
              <w:rPr>
                <w:rFonts w:eastAsia="Times New Roman" w:cs="Times New Roman"/>
                <w:color w:val="000000"/>
                <w:sz w:val="20"/>
                <w:szCs w:val="20"/>
                <w:lang w:val="sr-Latn-RS" w:eastAsia="sr-Latn-RS"/>
              </w:rPr>
              <w:t>Overall Percentage</w:t>
            </w:r>
          </w:p>
        </w:tc>
        <w:tc>
          <w:tcPr>
            <w:tcW w:w="822" w:type="pct"/>
            <w:tcBorders>
              <w:top w:val="nil"/>
              <w:left w:val="nil"/>
              <w:right w:val="nil"/>
            </w:tcBorders>
            <w:shd w:val="clear" w:color="auto" w:fill="auto"/>
            <w:noWrap/>
            <w:vAlign w:val="center"/>
            <w:hideMark/>
          </w:tcPr>
          <w:p w14:paraId="74150C33" w14:textId="5F924E24" w:rsidR="00811117" w:rsidRPr="00811117" w:rsidRDefault="00E04FF6" w:rsidP="00110A61">
            <w:pPr>
              <w:spacing w:before="0" w:after="0"/>
              <w:jc w:val="right"/>
              <w:rPr>
                <w:rFonts w:eastAsia="Times New Roman" w:cs="Times New Roman"/>
                <w:color w:val="000000"/>
                <w:sz w:val="20"/>
                <w:szCs w:val="20"/>
                <w:lang w:val="sr-Latn-RS" w:eastAsia="sr-Latn-RS"/>
              </w:rPr>
            </w:pPr>
            <w:r w:rsidRPr="00110A61">
              <w:rPr>
                <w:rFonts w:eastAsia="Times New Roman" w:cs="Times New Roman"/>
                <w:color w:val="000000"/>
                <w:sz w:val="20"/>
                <w:szCs w:val="20"/>
                <w:lang w:val="sr-Latn-RS" w:eastAsia="sr-Latn-RS"/>
              </w:rPr>
              <w:t>65.7%</w:t>
            </w:r>
          </w:p>
        </w:tc>
        <w:tc>
          <w:tcPr>
            <w:tcW w:w="1029" w:type="pct"/>
            <w:tcBorders>
              <w:top w:val="nil"/>
              <w:left w:val="nil"/>
              <w:right w:val="nil"/>
            </w:tcBorders>
            <w:shd w:val="clear" w:color="auto" w:fill="auto"/>
            <w:noWrap/>
            <w:vAlign w:val="center"/>
            <w:hideMark/>
          </w:tcPr>
          <w:p w14:paraId="6681E681" w14:textId="277D68B7" w:rsidR="00811117" w:rsidRPr="00811117" w:rsidRDefault="00E04FF6" w:rsidP="00110A61">
            <w:pPr>
              <w:spacing w:before="0" w:after="0"/>
              <w:jc w:val="right"/>
              <w:rPr>
                <w:rFonts w:eastAsia="Times New Roman" w:cs="Times New Roman"/>
                <w:color w:val="000000"/>
                <w:sz w:val="20"/>
                <w:szCs w:val="20"/>
                <w:lang w:val="sr-Latn-RS" w:eastAsia="sr-Latn-RS"/>
              </w:rPr>
            </w:pPr>
            <w:r w:rsidRPr="00110A61">
              <w:rPr>
                <w:rFonts w:eastAsia="Times New Roman" w:cs="Times New Roman"/>
                <w:color w:val="000000"/>
                <w:sz w:val="20"/>
                <w:szCs w:val="20"/>
                <w:lang w:val="sr-Latn-RS" w:eastAsia="sr-Latn-RS"/>
              </w:rPr>
              <w:t>34.3%</w:t>
            </w:r>
          </w:p>
        </w:tc>
        <w:tc>
          <w:tcPr>
            <w:tcW w:w="1227" w:type="pct"/>
            <w:tcBorders>
              <w:top w:val="nil"/>
              <w:left w:val="nil"/>
              <w:right w:val="nil"/>
            </w:tcBorders>
            <w:shd w:val="clear" w:color="auto" w:fill="auto"/>
            <w:vAlign w:val="center"/>
            <w:hideMark/>
          </w:tcPr>
          <w:p w14:paraId="2074C4F2" w14:textId="3E97045F" w:rsidR="00811117" w:rsidRPr="00811117" w:rsidRDefault="00E04FF6" w:rsidP="00110A61">
            <w:pPr>
              <w:spacing w:before="0" w:after="0"/>
              <w:jc w:val="right"/>
              <w:rPr>
                <w:rFonts w:eastAsia="Times New Roman" w:cs="Times New Roman"/>
                <w:b/>
                <w:bCs/>
                <w:color w:val="000000"/>
                <w:sz w:val="20"/>
                <w:szCs w:val="20"/>
                <w:lang w:val="sr-Latn-RS" w:eastAsia="sr-Latn-RS"/>
              </w:rPr>
            </w:pPr>
            <w:r w:rsidRPr="00110A61">
              <w:rPr>
                <w:rFonts w:eastAsia="Times New Roman" w:cs="Times New Roman"/>
                <w:b/>
                <w:bCs/>
                <w:color w:val="000000"/>
                <w:sz w:val="20"/>
                <w:szCs w:val="20"/>
                <w:lang w:val="sr-Latn-RS" w:eastAsia="sr-Latn-RS"/>
              </w:rPr>
              <w:t>99.6%</w:t>
            </w:r>
          </w:p>
        </w:tc>
      </w:tr>
      <w:tr w:rsidR="00110A61" w:rsidRPr="00811117" w14:paraId="787B81B6" w14:textId="77777777" w:rsidTr="00110A61">
        <w:trPr>
          <w:trHeight w:val="184"/>
        </w:trPr>
        <w:tc>
          <w:tcPr>
            <w:tcW w:w="803" w:type="pct"/>
            <w:vMerge w:val="restart"/>
            <w:tcBorders>
              <w:top w:val="nil"/>
              <w:left w:val="nil"/>
              <w:bottom w:val="single" w:sz="8" w:space="0" w:color="152935"/>
              <w:right w:val="nil"/>
            </w:tcBorders>
            <w:shd w:val="clear" w:color="auto" w:fill="auto"/>
            <w:vAlign w:val="center"/>
            <w:hideMark/>
          </w:tcPr>
          <w:p w14:paraId="315B1A2D" w14:textId="77777777" w:rsidR="00811117" w:rsidRPr="00811117" w:rsidRDefault="00811117" w:rsidP="00110A61">
            <w:pPr>
              <w:spacing w:before="0" w:after="0"/>
              <w:jc w:val="left"/>
              <w:rPr>
                <w:rFonts w:eastAsia="Times New Roman" w:cs="Times New Roman"/>
                <w:color w:val="000000"/>
                <w:sz w:val="20"/>
                <w:szCs w:val="20"/>
                <w:lang w:val="sr-Latn-RS" w:eastAsia="sr-Latn-RS"/>
              </w:rPr>
            </w:pPr>
            <w:r w:rsidRPr="00811117">
              <w:rPr>
                <w:rFonts w:eastAsia="Times New Roman" w:cs="Times New Roman"/>
                <w:color w:val="000000"/>
                <w:sz w:val="20"/>
                <w:szCs w:val="20"/>
                <w:lang w:val="sr-Latn-RS" w:eastAsia="sr-Latn-RS"/>
              </w:rPr>
              <w:t>Test</w:t>
            </w:r>
          </w:p>
        </w:tc>
        <w:tc>
          <w:tcPr>
            <w:tcW w:w="1119" w:type="pct"/>
            <w:tcBorders>
              <w:top w:val="nil"/>
              <w:left w:val="nil"/>
              <w:bottom w:val="nil"/>
              <w:right w:val="nil"/>
            </w:tcBorders>
            <w:shd w:val="clear" w:color="auto" w:fill="auto"/>
            <w:vAlign w:val="center"/>
            <w:hideMark/>
          </w:tcPr>
          <w:p w14:paraId="0F08016C" w14:textId="77777777" w:rsidR="00811117" w:rsidRPr="00811117" w:rsidRDefault="00811117" w:rsidP="00110A61">
            <w:pPr>
              <w:spacing w:before="0" w:after="0"/>
              <w:jc w:val="left"/>
              <w:rPr>
                <w:rFonts w:eastAsia="Times New Roman" w:cs="Times New Roman"/>
                <w:color w:val="000000"/>
                <w:sz w:val="20"/>
                <w:szCs w:val="20"/>
                <w:lang w:val="sr-Latn-RS" w:eastAsia="sr-Latn-RS"/>
              </w:rPr>
            </w:pPr>
            <w:r w:rsidRPr="00811117">
              <w:rPr>
                <w:rFonts w:eastAsia="Times New Roman" w:cs="Times New Roman"/>
                <w:color w:val="000000"/>
                <w:sz w:val="20"/>
                <w:szCs w:val="20"/>
                <w:lang w:val="sr-Latn-RS" w:eastAsia="sr-Latn-RS"/>
              </w:rPr>
              <w:t>None</w:t>
            </w:r>
          </w:p>
        </w:tc>
        <w:tc>
          <w:tcPr>
            <w:tcW w:w="822" w:type="pct"/>
            <w:tcBorders>
              <w:top w:val="nil"/>
              <w:left w:val="nil"/>
              <w:bottom w:val="nil"/>
              <w:right w:val="nil"/>
            </w:tcBorders>
            <w:shd w:val="clear" w:color="auto" w:fill="auto"/>
            <w:vAlign w:val="center"/>
            <w:hideMark/>
          </w:tcPr>
          <w:p w14:paraId="412B543E" w14:textId="57592014" w:rsidR="00811117" w:rsidRPr="00811117" w:rsidRDefault="00811117" w:rsidP="00110A61">
            <w:pPr>
              <w:spacing w:before="0" w:after="0"/>
              <w:jc w:val="right"/>
              <w:rPr>
                <w:rFonts w:eastAsia="Times New Roman" w:cs="Times New Roman"/>
                <w:color w:val="000000"/>
                <w:sz w:val="20"/>
                <w:szCs w:val="20"/>
                <w:lang w:val="sr-Latn-RS" w:eastAsia="sr-Latn-RS"/>
              </w:rPr>
            </w:pPr>
            <w:r w:rsidRPr="00811117">
              <w:rPr>
                <w:rFonts w:eastAsia="Times New Roman" w:cs="Times New Roman"/>
                <w:color w:val="000000"/>
                <w:sz w:val="20"/>
                <w:szCs w:val="20"/>
                <w:lang w:val="sr-Latn-RS" w:eastAsia="sr-Latn-RS"/>
              </w:rPr>
              <w:t>1</w:t>
            </w:r>
            <w:r w:rsidR="000C408F" w:rsidRPr="00110A61">
              <w:rPr>
                <w:rFonts w:eastAsia="Times New Roman" w:cs="Times New Roman"/>
                <w:color w:val="000000"/>
                <w:sz w:val="20"/>
                <w:szCs w:val="20"/>
                <w:lang w:val="sr-Latn-RS" w:eastAsia="sr-Latn-RS"/>
              </w:rPr>
              <w:t>46</w:t>
            </w:r>
          </w:p>
        </w:tc>
        <w:tc>
          <w:tcPr>
            <w:tcW w:w="1029" w:type="pct"/>
            <w:tcBorders>
              <w:top w:val="nil"/>
              <w:left w:val="nil"/>
              <w:bottom w:val="nil"/>
              <w:right w:val="nil"/>
            </w:tcBorders>
            <w:shd w:val="clear" w:color="auto" w:fill="auto"/>
            <w:noWrap/>
            <w:vAlign w:val="bottom"/>
            <w:hideMark/>
          </w:tcPr>
          <w:p w14:paraId="364B975B" w14:textId="0CFEA2D6" w:rsidR="00811117" w:rsidRPr="00811117" w:rsidRDefault="000C408F" w:rsidP="00110A61">
            <w:pPr>
              <w:spacing w:before="0" w:after="0"/>
              <w:jc w:val="right"/>
              <w:rPr>
                <w:rFonts w:eastAsia="Times New Roman" w:cs="Times New Roman"/>
                <w:color w:val="000000"/>
                <w:sz w:val="20"/>
                <w:szCs w:val="20"/>
                <w:lang w:val="sr-Latn-RS" w:eastAsia="sr-Latn-RS"/>
              </w:rPr>
            </w:pPr>
            <w:r w:rsidRPr="00110A61">
              <w:rPr>
                <w:rFonts w:eastAsia="Times New Roman" w:cs="Times New Roman"/>
                <w:color w:val="000000"/>
                <w:sz w:val="20"/>
                <w:szCs w:val="20"/>
                <w:lang w:val="sr-Latn-RS" w:eastAsia="sr-Latn-RS"/>
              </w:rPr>
              <w:t>2</w:t>
            </w:r>
          </w:p>
        </w:tc>
        <w:tc>
          <w:tcPr>
            <w:tcW w:w="1227" w:type="pct"/>
            <w:tcBorders>
              <w:top w:val="nil"/>
              <w:left w:val="nil"/>
              <w:bottom w:val="nil"/>
              <w:right w:val="nil"/>
            </w:tcBorders>
            <w:shd w:val="clear" w:color="auto" w:fill="auto"/>
            <w:vAlign w:val="center"/>
            <w:hideMark/>
          </w:tcPr>
          <w:p w14:paraId="0CFA46D1" w14:textId="5AE06F2F" w:rsidR="00811117" w:rsidRPr="00811117" w:rsidRDefault="00811117" w:rsidP="00110A61">
            <w:pPr>
              <w:spacing w:before="0" w:after="0"/>
              <w:jc w:val="right"/>
              <w:rPr>
                <w:rFonts w:eastAsia="Times New Roman" w:cs="Times New Roman"/>
                <w:color w:val="000000"/>
                <w:sz w:val="20"/>
                <w:szCs w:val="20"/>
                <w:lang w:val="sr-Latn-RS" w:eastAsia="sr-Latn-RS"/>
              </w:rPr>
            </w:pPr>
            <w:r w:rsidRPr="00811117">
              <w:rPr>
                <w:rFonts w:eastAsia="Times New Roman" w:cs="Times New Roman"/>
                <w:color w:val="000000"/>
                <w:sz w:val="20"/>
                <w:szCs w:val="20"/>
                <w:lang w:val="sr-Latn-RS" w:eastAsia="sr-Latn-RS"/>
              </w:rPr>
              <w:t>9</w:t>
            </w:r>
            <w:r w:rsidR="000C408F" w:rsidRPr="00110A61">
              <w:rPr>
                <w:rFonts w:eastAsia="Times New Roman" w:cs="Times New Roman"/>
                <w:color w:val="000000"/>
                <w:sz w:val="20"/>
                <w:szCs w:val="20"/>
                <w:lang w:val="sr-Latn-RS" w:eastAsia="sr-Latn-RS"/>
              </w:rPr>
              <w:t>8</w:t>
            </w:r>
            <w:r w:rsidRPr="00811117">
              <w:rPr>
                <w:rFonts w:eastAsia="Times New Roman" w:cs="Times New Roman"/>
                <w:color w:val="000000"/>
                <w:sz w:val="20"/>
                <w:szCs w:val="20"/>
                <w:lang w:val="sr-Latn-RS" w:eastAsia="sr-Latn-RS"/>
              </w:rPr>
              <w:t>.</w:t>
            </w:r>
            <w:r w:rsidR="005D56E8" w:rsidRPr="00110A61">
              <w:rPr>
                <w:rFonts w:eastAsia="Times New Roman" w:cs="Times New Roman"/>
                <w:color w:val="000000"/>
                <w:sz w:val="20"/>
                <w:szCs w:val="20"/>
                <w:lang w:val="sr-Latn-RS" w:eastAsia="sr-Latn-RS"/>
              </w:rPr>
              <w:t>6</w:t>
            </w:r>
            <w:r w:rsidRPr="00811117">
              <w:rPr>
                <w:rFonts w:eastAsia="Times New Roman" w:cs="Times New Roman"/>
                <w:color w:val="000000"/>
                <w:sz w:val="20"/>
                <w:szCs w:val="20"/>
                <w:lang w:val="sr-Latn-RS" w:eastAsia="sr-Latn-RS"/>
              </w:rPr>
              <w:t>%</w:t>
            </w:r>
          </w:p>
        </w:tc>
      </w:tr>
      <w:tr w:rsidR="00110A61" w:rsidRPr="00811117" w14:paraId="2144322D" w14:textId="77777777" w:rsidTr="00110A61">
        <w:trPr>
          <w:trHeight w:val="184"/>
        </w:trPr>
        <w:tc>
          <w:tcPr>
            <w:tcW w:w="803" w:type="pct"/>
            <w:vMerge/>
            <w:tcBorders>
              <w:top w:val="nil"/>
              <w:left w:val="nil"/>
              <w:bottom w:val="single" w:sz="8" w:space="0" w:color="152935"/>
              <w:right w:val="nil"/>
            </w:tcBorders>
            <w:vAlign w:val="center"/>
            <w:hideMark/>
          </w:tcPr>
          <w:p w14:paraId="352C0F64" w14:textId="77777777" w:rsidR="00811117" w:rsidRPr="00811117" w:rsidRDefault="00811117" w:rsidP="00110A61">
            <w:pPr>
              <w:spacing w:before="0" w:after="0"/>
              <w:jc w:val="left"/>
              <w:rPr>
                <w:rFonts w:eastAsia="Times New Roman" w:cs="Times New Roman"/>
                <w:color w:val="000000"/>
                <w:sz w:val="20"/>
                <w:szCs w:val="20"/>
                <w:lang w:val="sr-Latn-RS" w:eastAsia="sr-Latn-RS"/>
              </w:rPr>
            </w:pPr>
          </w:p>
        </w:tc>
        <w:tc>
          <w:tcPr>
            <w:tcW w:w="1119" w:type="pct"/>
            <w:tcBorders>
              <w:top w:val="nil"/>
              <w:left w:val="nil"/>
              <w:bottom w:val="nil"/>
              <w:right w:val="nil"/>
            </w:tcBorders>
            <w:shd w:val="clear" w:color="auto" w:fill="auto"/>
            <w:vAlign w:val="center"/>
            <w:hideMark/>
          </w:tcPr>
          <w:p w14:paraId="765734EF" w14:textId="77777777" w:rsidR="00811117" w:rsidRPr="00811117" w:rsidRDefault="00811117" w:rsidP="00110A61">
            <w:pPr>
              <w:spacing w:before="0" w:after="0"/>
              <w:jc w:val="left"/>
              <w:rPr>
                <w:rFonts w:eastAsia="Times New Roman" w:cs="Times New Roman"/>
                <w:color w:val="000000"/>
                <w:sz w:val="20"/>
                <w:szCs w:val="20"/>
                <w:lang w:val="sr-Latn-RS" w:eastAsia="sr-Latn-RS"/>
              </w:rPr>
            </w:pPr>
            <w:r w:rsidRPr="00811117">
              <w:rPr>
                <w:rFonts w:eastAsia="Times New Roman" w:cs="Times New Roman"/>
                <w:color w:val="000000"/>
                <w:sz w:val="20"/>
                <w:szCs w:val="20"/>
                <w:lang w:val="sr-Latn-RS" w:eastAsia="sr-Latn-RS"/>
              </w:rPr>
              <w:t>Quasi-fault</w:t>
            </w:r>
          </w:p>
        </w:tc>
        <w:tc>
          <w:tcPr>
            <w:tcW w:w="822" w:type="pct"/>
            <w:tcBorders>
              <w:top w:val="nil"/>
              <w:left w:val="nil"/>
              <w:bottom w:val="nil"/>
              <w:right w:val="nil"/>
            </w:tcBorders>
            <w:shd w:val="clear" w:color="auto" w:fill="auto"/>
            <w:vAlign w:val="center"/>
            <w:hideMark/>
          </w:tcPr>
          <w:p w14:paraId="0A96AB37" w14:textId="686754A4" w:rsidR="00811117" w:rsidRPr="00811117" w:rsidRDefault="000C408F" w:rsidP="00110A61">
            <w:pPr>
              <w:spacing w:before="0" w:after="0"/>
              <w:jc w:val="right"/>
              <w:rPr>
                <w:rFonts w:eastAsia="Times New Roman" w:cs="Times New Roman"/>
                <w:color w:val="000000"/>
                <w:sz w:val="20"/>
                <w:szCs w:val="20"/>
                <w:lang w:val="sr-Latn-RS" w:eastAsia="sr-Latn-RS"/>
              </w:rPr>
            </w:pPr>
            <w:r w:rsidRPr="00110A61">
              <w:rPr>
                <w:rFonts w:eastAsia="Times New Roman" w:cs="Times New Roman"/>
                <w:color w:val="000000"/>
                <w:sz w:val="20"/>
                <w:szCs w:val="20"/>
                <w:lang w:val="sr-Latn-RS" w:eastAsia="sr-Latn-RS"/>
              </w:rPr>
              <w:t>2</w:t>
            </w:r>
          </w:p>
        </w:tc>
        <w:tc>
          <w:tcPr>
            <w:tcW w:w="1029" w:type="pct"/>
            <w:tcBorders>
              <w:top w:val="nil"/>
              <w:left w:val="nil"/>
              <w:bottom w:val="nil"/>
              <w:right w:val="nil"/>
            </w:tcBorders>
            <w:shd w:val="clear" w:color="auto" w:fill="auto"/>
            <w:vAlign w:val="center"/>
            <w:hideMark/>
          </w:tcPr>
          <w:p w14:paraId="51331028" w14:textId="0ADC701A" w:rsidR="00811117" w:rsidRPr="00811117" w:rsidRDefault="000C408F" w:rsidP="00110A61">
            <w:pPr>
              <w:spacing w:before="0" w:after="0"/>
              <w:jc w:val="right"/>
              <w:rPr>
                <w:rFonts w:eastAsia="Times New Roman" w:cs="Times New Roman"/>
                <w:color w:val="000000"/>
                <w:sz w:val="20"/>
                <w:szCs w:val="20"/>
                <w:lang w:val="sr-Latn-RS" w:eastAsia="sr-Latn-RS"/>
              </w:rPr>
            </w:pPr>
            <w:r w:rsidRPr="00110A61">
              <w:rPr>
                <w:rFonts w:eastAsia="Times New Roman" w:cs="Times New Roman"/>
                <w:color w:val="000000"/>
                <w:sz w:val="20"/>
                <w:szCs w:val="20"/>
                <w:lang w:val="sr-Latn-RS" w:eastAsia="sr-Latn-RS"/>
              </w:rPr>
              <w:t>81</w:t>
            </w:r>
          </w:p>
        </w:tc>
        <w:tc>
          <w:tcPr>
            <w:tcW w:w="1227" w:type="pct"/>
            <w:tcBorders>
              <w:top w:val="nil"/>
              <w:left w:val="nil"/>
              <w:bottom w:val="nil"/>
              <w:right w:val="nil"/>
            </w:tcBorders>
            <w:shd w:val="clear" w:color="auto" w:fill="auto"/>
            <w:vAlign w:val="center"/>
            <w:hideMark/>
          </w:tcPr>
          <w:p w14:paraId="2EFFAAB2" w14:textId="48878CE3" w:rsidR="00811117" w:rsidRPr="00811117" w:rsidRDefault="00811117" w:rsidP="00110A61">
            <w:pPr>
              <w:spacing w:before="0" w:after="0"/>
              <w:jc w:val="right"/>
              <w:rPr>
                <w:rFonts w:eastAsia="Times New Roman" w:cs="Times New Roman"/>
                <w:color w:val="000000"/>
                <w:sz w:val="20"/>
                <w:szCs w:val="20"/>
                <w:lang w:val="sr-Latn-RS" w:eastAsia="sr-Latn-RS"/>
              </w:rPr>
            </w:pPr>
            <w:r w:rsidRPr="00811117">
              <w:rPr>
                <w:rFonts w:eastAsia="Times New Roman" w:cs="Times New Roman"/>
                <w:color w:val="000000"/>
                <w:sz w:val="20"/>
                <w:szCs w:val="20"/>
                <w:lang w:val="sr-Latn-RS" w:eastAsia="sr-Latn-RS"/>
              </w:rPr>
              <w:t>9</w:t>
            </w:r>
            <w:r w:rsidR="000C408F" w:rsidRPr="00110A61">
              <w:rPr>
                <w:rFonts w:eastAsia="Times New Roman" w:cs="Times New Roman"/>
                <w:color w:val="000000"/>
                <w:sz w:val="20"/>
                <w:szCs w:val="20"/>
                <w:lang w:val="sr-Latn-RS" w:eastAsia="sr-Latn-RS"/>
              </w:rPr>
              <w:t>7</w:t>
            </w:r>
            <w:r w:rsidRPr="00811117">
              <w:rPr>
                <w:rFonts w:eastAsia="Times New Roman" w:cs="Times New Roman"/>
                <w:color w:val="000000"/>
                <w:sz w:val="20"/>
                <w:szCs w:val="20"/>
                <w:lang w:val="sr-Latn-RS" w:eastAsia="sr-Latn-RS"/>
              </w:rPr>
              <w:t>.</w:t>
            </w:r>
            <w:r w:rsidR="00D127C1">
              <w:rPr>
                <w:rFonts w:eastAsia="Times New Roman" w:cs="Times New Roman"/>
                <w:color w:val="000000"/>
                <w:sz w:val="20"/>
                <w:szCs w:val="20"/>
                <w:lang w:val="sr-Latn-RS" w:eastAsia="sr-Latn-RS"/>
              </w:rPr>
              <w:t>6</w:t>
            </w:r>
            <w:r w:rsidRPr="00811117">
              <w:rPr>
                <w:rFonts w:eastAsia="Times New Roman" w:cs="Times New Roman"/>
                <w:color w:val="000000"/>
                <w:sz w:val="20"/>
                <w:szCs w:val="20"/>
                <w:lang w:val="sr-Latn-RS" w:eastAsia="sr-Latn-RS"/>
              </w:rPr>
              <w:t>%</w:t>
            </w:r>
          </w:p>
        </w:tc>
      </w:tr>
      <w:tr w:rsidR="00110A61" w:rsidRPr="00811117" w14:paraId="17443ED1" w14:textId="77777777" w:rsidTr="00982E69">
        <w:trPr>
          <w:trHeight w:val="75"/>
        </w:trPr>
        <w:tc>
          <w:tcPr>
            <w:tcW w:w="803" w:type="pct"/>
            <w:vMerge/>
            <w:tcBorders>
              <w:top w:val="nil"/>
              <w:left w:val="nil"/>
              <w:bottom w:val="single" w:sz="4" w:space="0" w:color="auto"/>
              <w:right w:val="nil"/>
            </w:tcBorders>
            <w:vAlign w:val="center"/>
            <w:hideMark/>
          </w:tcPr>
          <w:p w14:paraId="5045B513" w14:textId="77777777" w:rsidR="00110A61" w:rsidRPr="00811117" w:rsidRDefault="00110A61" w:rsidP="00110A61">
            <w:pPr>
              <w:spacing w:before="0" w:after="0"/>
              <w:jc w:val="left"/>
              <w:rPr>
                <w:rFonts w:eastAsia="Times New Roman" w:cs="Times New Roman"/>
                <w:color w:val="000000"/>
                <w:sz w:val="20"/>
                <w:szCs w:val="20"/>
                <w:lang w:val="sr-Latn-RS" w:eastAsia="sr-Latn-RS"/>
              </w:rPr>
            </w:pPr>
          </w:p>
        </w:tc>
        <w:tc>
          <w:tcPr>
            <w:tcW w:w="1119" w:type="pct"/>
            <w:tcBorders>
              <w:top w:val="nil"/>
              <w:left w:val="nil"/>
              <w:bottom w:val="single" w:sz="4" w:space="0" w:color="auto"/>
              <w:right w:val="nil"/>
            </w:tcBorders>
            <w:shd w:val="clear" w:color="auto" w:fill="auto"/>
            <w:vAlign w:val="center"/>
            <w:hideMark/>
          </w:tcPr>
          <w:p w14:paraId="1D4073BE" w14:textId="77777777" w:rsidR="00110A61" w:rsidRPr="00811117" w:rsidRDefault="00110A61" w:rsidP="00110A61">
            <w:pPr>
              <w:spacing w:before="0" w:after="0"/>
              <w:jc w:val="left"/>
              <w:rPr>
                <w:rFonts w:eastAsia="Times New Roman" w:cs="Times New Roman"/>
                <w:color w:val="000000"/>
                <w:sz w:val="20"/>
                <w:szCs w:val="20"/>
                <w:lang w:val="sr-Latn-RS" w:eastAsia="sr-Latn-RS"/>
              </w:rPr>
            </w:pPr>
            <w:r w:rsidRPr="00811117">
              <w:rPr>
                <w:rFonts w:eastAsia="Times New Roman" w:cs="Times New Roman"/>
                <w:color w:val="000000"/>
                <w:sz w:val="20"/>
                <w:szCs w:val="20"/>
                <w:lang w:val="sr-Latn-RS" w:eastAsia="sr-Latn-RS"/>
              </w:rPr>
              <w:t>Overall Percentage</w:t>
            </w:r>
          </w:p>
        </w:tc>
        <w:tc>
          <w:tcPr>
            <w:tcW w:w="822" w:type="pct"/>
            <w:tcBorders>
              <w:top w:val="nil"/>
              <w:left w:val="nil"/>
              <w:bottom w:val="single" w:sz="4" w:space="0" w:color="auto"/>
              <w:right w:val="nil"/>
            </w:tcBorders>
            <w:shd w:val="clear" w:color="auto" w:fill="auto"/>
            <w:vAlign w:val="center"/>
            <w:hideMark/>
          </w:tcPr>
          <w:p w14:paraId="4CA511B2" w14:textId="1C880B37" w:rsidR="00110A61" w:rsidRPr="00811117" w:rsidRDefault="00110A61" w:rsidP="00110A61">
            <w:pPr>
              <w:spacing w:before="0" w:after="0"/>
              <w:jc w:val="right"/>
              <w:rPr>
                <w:rFonts w:eastAsia="Times New Roman" w:cs="Times New Roman"/>
                <w:color w:val="000000"/>
                <w:sz w:val="20"/>
                <w:szCs w:val="20"/>
                <w:lang w:val="sr-Latn-RS" w:eastAsia="sr-Latn-RS"/>
              </w:rPr>
            </w:pPr>
            <w:r w:rsidRPr="00110A61">
              <w:rPr>
                <w:sz w:val="20"/>
                <w:szCs w:val="20"/>
              </w:rPr>
              <w:t>64.</w:t>
            </w:r>
            <w:r w:rsidR="00D127C1">
              <w:rPr>
                <w:sz w:val="20"/>
                <w:szCs w:val="20"/>
              </w:rPr>
              <w:t>1</w:t>
            </w:r>
            <w:r w:rsidRPr="00110A61">
              <w:rPr>
                <w:sz w:val="20"/>
                <w:szCs w:val="20"/>
              </w:rPr>
              <w:t>%</w:t>
            </w:r>
          </w:p>
        </w:tc>
        <w:tc>
          <w:tcPr>
            <w:tcW w:w="1029" w:type="pct"/>
            <w:tcBorders>
              <w:top w:val="nil"/>
              <w:left w:val="nil"/>
              <w:bottom w:val="single" w:sz="4" w:space="0" w:color="auto"/>
              <w:right w:val="nil"/>
            </w:tcBorders>
            <w:shd w:val="clear" w:color="auto" w:fill="auto"/>
            <w:vAlign w:val="center"/>
            <w:hideMark/>
          </w:tcPr>
          <w:p w14:paraId="73A4B30D" w14:textId="734D12C1" w:rsidR="00110A61" w:rsidRPr="00811117" w:rsidRDefault="00110A61" w:rsidP="00110A61">
            <w:pPr>
              <w:spacing w:before="0" w:after="0"/>
              <w:jc w:val="right"/>
              <w:rPr>
                <w:rFonts w:eastAsia="Times New Roman" w:cs="Times New Roman"/>
                <w:color w:val="000000"/>
                <w:sz w:val="20"/>
                <w:szCs w:val="20"/>
                <w:lang w:val="sr-Latn-RS" w:eastAsia="sr-Latn-RS"/>
              </w:rPr>
            </w:pPr>
            <w:r w:rsidRPr="00110A61">
              <w:rPr>
                <w:sz w:val="20"/>
                <w:szCs w:val="20"/>
              </w:rPr>
              <w:t>35.</w:t>
            </w:r>
            <w:r w:rsidR="00D127C1">
              <w:rPr>
                <w:sz w:val="20"/>
                <w:szCs w:val="20"/>
              </w:rPr>
              <w:t>9</w:t>
            </w:r>
            <w:r w:rsidRPr="00110A61">
              <w:rPr>
                <w:sz w:val="20"/>
                <w:szCs w:val="20"/>
              </w:rPr>
              <w:t>%</w:t>
            </w:r>
          </w:p>
        </w:tc>
        <w:tc>
          <w:tcPr>
            <w:tcW w:w="1227" w:type="pct"/>
            <w:tcBorders>
              <w:top w:val="nil"/>
              <w:left w:val="nil"/>
              <w:bottom w:val="single" w:sz="4" w:space="0" w:color="auto"/>
              <w:right w:val="nil"/>
            </w:tcBorders>
            <w:shd w:val="clear" w:color="auto" w:fill="auto"/>
            <w:vAlign w:val="center"/>
            <w:hideMark/>
          </w:tcPr>
          <w:p w14:paraId="1075EE50" w14:textId="3E33E8EB" w:rsidR="00110A61" w:rsidRPr="00811117" w:rsidRDefault="00110A61" w:rsidP="00110A61">
            <w:pPr>
              <w:spacing w:before="0" w:after="0"/>
              <w:jc w:val="right"/>
              <w:rPr>
                <w:rFonts w:eastAsia="Times New Roman" w:cs="Times New Roman"/>
                <w:b/>
                <w:bCs/>
                <w:color w:val="000000"/>
                <w:sz w:val="20"/>
                <w:szCs w:val="20"/>
                <w:lang w:val="sr-Latn-RS" w:eastAsia="sr-Latn-RS"/>
              </w:rPr>
            </w:pPr>
            <w:r w:rsidRPr="00811117">
              <w:rPr>
                <w:rFonts w:eastAsia="Times New Roman" w:cs="Times New Roman"/>
                <w:b/>
                <w:bCs/>
                <w:color w:val="000000"/>
                <w:sz w:val="20"/>
                <w:szCs w:val="20"/>
                <w:lang w:val="sr-Latn-RS" w:eastAsia="sr-Latn-RS"/>
              </w:rPr>
              <w:t>9</w:t>
            </w:r>
            <w:r w:rsidRPr="00110A61">
              <w:rPr>
                <w:rFonts w:eastAsia="Times New Roman" w:cs="Times New Roman"/>
                <w:b/>
                <w:bCs/>
                <w:color w:val="000000"/>
                <w:sz w:val="20"/>
                <w:szCs w:val="20"/>
                <w:lang w:val="sr-Latn-RS" w:eastAsia="sr-Latn-RS"/>
              </w:rPr>
              <w:t>8</w:t>
            </w:r>
            <w:r w:rsidRPr="00811117">
              <w:rPr>
                <w:rFonts w:eastAsia="Times New Roman" w:cs="Times New Roman"/>
                <w:b/>
                <w:bCs/>
                <w:color w:val="000000"/>
                <w:sz w:val="20"/>
                <w:szCs w:val="20"/>
                <w:lang w:val="sr-Latn-RS" w:eastAsia="sr-Latn-RS"/>
              </w:rPr>
              <w:t>.</w:t>
            </w:r>
            <w:r w:rsidR="00D127C1">
              <w:rPr>
                <w:rFonts w:eastAsia="Times New Roman" w:cs="Times New Roman"/>
                <w:b/>
                <w:bCs/>
                <w:color w:val="000000"/>
                <w:sz w:val="20"/>
                <w:szCs w:val="20"/>
                <w:lang w:val="sr-Latn-RS" w:eastAsia="sr-Latn-RS"/>
              </w:rPr>
              <w:t>3</w:t>
            </w:r>
            <w:r w:rsidRPr="00811117">
              <w:rPr>
                <w:rFonts w:eastAsia="Times New Roman" w:cs="Times New Roman"/>
                <w:b/>
                <w:bCs/>
                <w:color w:val="000000"/>
                <w:sz w:val="20"/>
                <w:szCs w:val="20"/>
                <w:lang w:val="sr-Latn-RS" w:eastAsia="sr-Latn-RS"/>
              </w:rPr>
              <w:t>%</w:t>
            </w:r>
          </w:p>
        </w:tc>
      </w:tr>
    </w:tbl>
    <w:p w14:paraId="26BF661D" w14:textId="6D75F794" w:rsidR="00532737" w:rsidRDefault="00532737" w:rsidP="00532737">
      <w:pPr>
        <w:pStyle w:val="Heading3"/>
      </w:pPr>
      <w:bookmarkStart w:id="612" w:name="_Toc101274404"/>
      <w:r>
        <w:lastRenderedPageBreak/>
        <w:t xml:space="preserve">Artificial neural network for closing saddle </w:t>
      </w:r>
      <w:r w:rsidR="006713AF">
        <w:t>position</w:t>
      </w:r>
      <w:bookmarkEnd w:id="612"/>
    </w:p>
    <w:p w14:paraId="111C198C" w14:textId="35550465" w:rsidR="00532737" w:rsidRDefault="00477CAE" w:rsidP="0046248A">
      <w:r>
        <w:t xml:space="preserve">After initial data exploration and elimination of selected features, the rest of the features at </w:t>
      </w:r>
      <w:r w:rsidR="00F5373B">
        <w:t xml:space="preserve">the </w:t>
      </w:r>
      <w:r>
        <w:t xml:space="preserve">closing saddle position have been initialized for binary prediction in </w:t>
      </w:r>
      <w:r w:rsidR="00F5373B">
        <w:t xml:space="preserve">the </w:t>
      </w:r>
      <w:r>
        <w:t>neural network. However</w:t>
      </w:r>
      <w:r w:rsidR="00F5373B">
        <w:t>,</w:t>
      </w:r>
      <w:r>
        <w:t xml:space="preserve"> there were cases where the system stopped (total failure) due to sensor failure and replacement</w:t>
      </w:r>
      <w:r w:rsidR="00F5373B">
        <w:t>;</w:t>
      </w:r>
      <w:r>
        <w:t xml:space="preserve"> the same samples </w:t>
      </w:r>
      <w:r w:rsidR="00F5373B">
        <w:t>we</w:t>
      </w:r>
      <w:r>
        <w:t xml:space="preserve">re removed from the analysis. Therefore, unlike previous samples, 640 samples are used for training </w:t>
      </w:r>
      <w:r>
        <w:fldChar w:fldCharType="begin"/>
      </w:r>
      <w:r>
        <w:instrText xml:space="preserve"> REF _Ref98747609 \h </w:instrText>
      </w:r>
      <w:r>
        <w:fldChar w:fldCharType="separate"/>
      </w:r>
      <w:r w:rsidR="00587AF0">
        <w:t xml:space="preserve">Table </w:t>
      </w:r>
      <w:r w:rsidR="00587AF0">
        <w:rPr>
          <w:noProof/>
        </w:rPr>
        <w:t>43</w:t>
      </w:r>
      <w:r>
        <w:fldChar w:fldCharType="end"/>
      </w:r>
      <w:r>
        <w:t>.</w:t>
      </w:r>
    </w:p>
    <w:p w14:paraId="26A5A93D" w14:textId="0887939A" w:rsidR="00C51435" w:rsidRPr="00C51435" w:rsidRDefault="0046248A" w:rsidP="0046248A">
      <w:pPr>
        <w:pStyle w:val="Caption"/>
        <w:jc w:val="both"/>
        <w:rPr>
          <w:lang w:val="sr-Latn-RS"/>
        </w:rPr>
      </w:pPr>
      <w:bookmarkStart w:id="613" w:name="_Ref98747609"/>
      <w:bookmarkStart w:id="614" w:name="_Toc101274483"/>
      <w:r>
        <w:t xml:space="preserve">Table </w:t>
      </w:r>
      <w:fldSimple w:instr=" SEQ Table \* ARABIC ">
        <w:r w:rsidR="00587AF0">
          <w:rPr>
            <w:noProof/>
          </w:rPr>
          <w:t>43</w:t>
        </w:r>
      </w:fldSimple>
      <w:bookmarkEnd w:id="613"/>
      <w:r>
        <w:t xml:space="preserve">. </w:t>
      </w:r>
      <w:r w:rsidRPr="0046248A">
        <w:t xml:space="preserve">Case processing summary of training data at </w:t>
      </w:r>
      <w:r>
        <w:t xml:space="preserve">closing </w:t>
      </w:r>
      <w:r w:rsidRPr="0046248A">
        <w:t>saddle position</w:t>
      </w:r>
      <w:bookmarkEnd w:id="614"/>
    </w:p>
    <w:tbl>
      <w:tblPr>
        <w:tblW w:w="5000" w:type="pct"/>
        <w:tblCellMar>
          <w:left w:w="0" w:type="dxa"/>
          <w:right w:w="0" w:type="dxa"/>
        </w:tblCellMar>
        <w:tblLook w:val="0000" w:firstRow="0" w:lastRow="0" w:firstColumn="0" w:lastColumn="0" w:noHBand="0" w:noVBand="0"/>
      </w:tblPr>
      <w:tblGrid>
        <w:gridCol w:w="2045"/>
        <w:gridCol w:w="2112"/>
        <w:gridCol w:w="2435"/>
        <w:gridCol w:w="2435"/>
      </w:tblGrid>
      <w:tr w:rsidR="0046248A" w:rsidRPr="0046248A" w14:paraId="6558C689" w14:textId="77777777" w:rsidTr="003D393A">
        <w:trPr>
          <w:cantSplit/>
        </w:trPr>
        <w:tc>
          <w:tcPr>
            <w:tcW w:w="2302" w:type="pct"/>
            <w:gridSpan w:val="2"/>
            <w:tcBorders>
              <w:top w:val="single" w:sz="4" w:space="0" w:color="152935"/>
              <w:bottom w:val="single" w:sz="4" w:space="0" w:color="152935"/>
            </w:tcBorders>
            <w:shd w:val="clear" w:color="auto" w:fill="auto"/>
            <w:vAlign w:val="bottom"/>
          </w:tcPr>
          <w:p w14:paraId="12532E56" w14:textId="48C60317" w:rsidR="00C51435" w:rsidRPr="003D393A" w:rsidRDefault="003D393A" w:rsidP="0046248A">
            <w:pPr>
              <w:autoSpaceDE w:val="0"/>
              <w:autoSpaceDN w:val="0"/>
              <w:adjustRightInd w:val="0"/>
              <w:spacing w:before="0" w:after="0"/>
              <w:ind w:left="57" w:right="57"/>
              <w:jc w:val="left"/>
              <w:rPr>
                <w:rFonts w:cs="Times New Roman"/>
                <w:b/>
                <w:bCs/>
                <w:sz w:val="20"/>
                <w:szCs w:val="20"/>
                <w:lang w:val="sr-Latn-RS"/>
              </w:rPr>
            </w:pPr>
            <w:r w:rsidRPr="003D393A">
              <w:rPr>
                <w:rFonts w:cs="Times New Roman"/>
                <w:b/>
                <w:bCs/>
                <w:sz w:val="20"/>
                <w:szCs w:val="20"/>
                <w:lang w:val="sr-Latn-RS"/>
              </w:rPr>
              <w:t>Properties</w:t>
            </w:r>
          </w:p>
        </w:tc>
        <w:tc>
          <w:tcPr>
            <w:tcW w:w="1349" w:type="pct"/>
            <w:tcBorders>
              <w:top w:val="single" w:sz="4" w:space="0" w:color="152935"/>
              <w:bottom w:val="single" w:sz="4" w:space="0" w:color="152935"/>
            </w:tcBorders>
            <w:shd w:val="clear" w:color="auto" w:fill="auto"/>
            <w:vAlign w:val="bottom"/>
          </w:tcPr>
          <w:p w14:paraId="1C25599C" w14:textId="77777777" w:rsidR="00C51435" w:rsidRPr="003D393A" w:rsidRDefault="00C51435" w:rsidP="0046248A">
            <w:pPr>
              <w:autoSpaceDE w:val="0"/>
              <w:autoSpaceDN w:val="0"/>
              <w:adjustRightInd w:val="0"/>
              <w:spacing w:before="0" w:after="0"/>
              <w:ind w:left="57" w:right="57"/>
              <w:jc w:val="center"/>
              <w:rPr>
                <w:rFonts w:cs="Arial"/>
                <w:b/>
                <w:bCs/>
                <w:sz w:val="20"/>
                <w:szCs w:val="20"/>
                <w:lang w:val="sr-Latn-RS"/>
              </w:rPr>
            </w:pPr>
            <w:r w:rsidRPr="003D393A">
              <w:rPr>
                <w:rFonts w:cs="Arial"/>
                <w:b/>
                <w:bCs/>
                <w:sz w:val="20"/>
                <w:szCs w:val="20"/>
                <w:lang w:val="sr-Latn-RS"/>
              </w:rPr>
              <w:t>N</w:t>
            </w:r>
          </w:p>
        </w:tc>
        <w:tc>
          <w:tcPr>
            <w:tcW w:w="1349" w:type="pct"/>
            <w:tcBorders>
              <w:top w:val="single" w:sz="4" w:space="0" w:color="152935"/>
              <w:bottom w:val="single" w:sz="4" w:space="0" w:color="152935"/>
            </w:tcBorders>
            <w:shd w:val="clear" w:color="auto" w:fill="auto"/>
            <w:vAlign w:val="bottom"/>
          </w:tcPr>
          <w:p w14:paraId="5FEB6A45" w14:textId="77777777" w:rsidR="00C51435" w:rsidRPr="003D393A" w:rsidRDefault="00C51435" w:rsidP="0046248A">
            <w:pPr>
              <w:autoSpaceDE w:val="0"/>
              <w:autoSpaceDN w:val="0"/>
              <w:adjustRightInd w:val="0"/>
              <w:spacing w:before="0" w:after="0"/>
              <w:ind w:left="57" w:right="57"/>
              <w:jc w:val="center"/>
              <w:rPr>
                <w:rFonts w:cs="Arial"/>
                <w:b/>
                <w:bCs/>
                <w:sz w:val="20"/>
                <w:szCs w:val="20"/>
                <w:lang w:val="sr-Latn-RS"/>
              </w:rPr>
            </w:pPr>
            <w:r w:rsidRPr="003D393A">
              <w:rPr>
                <w:rFonts w:cs="Arial"/>
                <w:b/>
                <w:bCs/>
                <w:sz w:val="20"/>
                <w:szCs w:val="20"/>
                <w:lang w:val="sr-Latn-RS"/>
              </w:rPr>
              <w:t>Percent</w:t>
            </w:r>
          </w:p>
        </w:tc>
      </w:tr>
      <w:tr w:rsidR="0046248A" w:rsidRPr="0046248A" w14:paraId="6E346F45" w14:textId="77777777" w:rsidTr="003D393A">
        <w:trPr>
          <w:cantSplit/>
        </w:trPr>
        <w:tc>
          <w:tcPr>
            <w:tcW w:w="1132" w:type="pct"/>
            <w:tcBorders>
              <w:top w:val="single" w:sz="4" w:space="0" w:color="152935"/>
            </w:tcBorders>
            <w:shd w:val="clear" w:color="auto" w:fill="auto"/>
          </w:tcPr>
          <w:p w14:paraId="19C55E13" w14:textId="77777777" w:rsidR="00C51435" w:rsidRPr="0046248A" w:rsidRDefault="00C51435" w:rsidP="0046248A">
            <w:pPr>
              <w:autoSpaceDE w:val="0"/>
              <w:autoSpaceDN w:val="0"/>
              <w:adjustRightInd w:val="0"/>
              <w:spacing w:before="0" w:after="0"/>
              <w:ind w:left="57" w:right="57"/>
              <w:jc w:val="left"/>
              <w:rPr>
                <w:rFonts w:cs="Arial"/>
                <w:sz w:val="20"/>
                <w:szCs w:val="20"/>
                <w:lang w:val="sr-Latn-RS"/>
              </w:rPr>
            </w:pPr>
            <w:r w:rsidRPr="0046248A">
              <w:rPr>
                <w:rFonts w:cs="Arial"/>
                <w:sz w:val="20"/>
                <w:szCs w:val="20"/>
                <w:lang w:val="sr-Latn-RS"/>
              </w:rPr>
              <w:t>Sample</w:t>
            </w:r>
          </w:p>
        </w:tc>
        <w:tc>
          <w:tcPr>
            <w:tcW w:w="1170" w:type="pct"/>
            <w:tcBorders>
              <w:top w:val="single" w:sz="4" w:space="0" w:color="152935"/>
            </w:tcBorders>
            <w:shd w:val="clear" w:color="auto" w:fill="auto"/>
          </w:tcPr>
          <w:p w14:paraId="43B6AC62" w14:textId="77777777" w:rsidR="00C51435" w:rsidRPr="0046248A" w:rsidRDefault="00C51435" w:rsidP="0046248A">
            <w:pPr>
              <w:autoSpaceDE w:val="0"/>
              <w:autoSpaceDN w:val="0"/>
              <w:adjustRightInd w:val="0"/>
              <w:spacing w:before="0" w:after="0"/>
              <w:ind w:left="57" w:right="57"/>
              <w:jc w:val="left"/>
              <w:rPr>
                <w:rFonts w:cs="Arial"/>
                <w:sz w:val="20"/>
                <w:szCs w:val="20"/>
                <w:lang w:val="sr-Latn-RS"/>
              </w:rPr>
            </w:pPr>
            <w:r w:rsidRPr="0046248A">
              <w:rPr>
                <w:rFonts w:cs="Arial"/>
                <w:sz w:val="20"/>
                <w:szCs w:val="20"/>
                <w:lang w:val="sr-Latn-RS"/>
              </w:rPr>
              <w:t>Training</w:t>
            </w:r>
          </w:p>
        </w:tc>
        <w:tc>
          <w:tcPr>
            <w:tcW w:w="1349" w:type="pct"/>
            <w:tcBorders>
              <w:top w:val="single" w:sz="4" w:space="0" w:color="152935"/>
            </w:tcBorders>
            <w:shd w:val="clear" w:color="auto" w:fill="auto"/>
          </w:tcPr>
          <w:p w14:paraId="52000F41" w14:textId="77777777" w:rsidR="00C51435" w:rsidRPr="0046248A" w:rsidRDefault="00C51435" w:rsidP="0046248A">
            <w:pPr>
              <w:autoSpaceDE w:val="0"/>
              <w:autoSpaceDN w:val="0"/>
              <w:adjustRightInd w:val="0"/>
              <w:spacing w:before="0" w:after="0"/>
              <w:ind w:left="57" w:right="57"/>
              <w:jc w:val="right"/>
              <w:rPr>
                <w:rFonts w:cs="Arial"/>
                <w:sz w:val="20"/>
                <w:szCs w:val="20"/>
                <w:lang w:val="sr-Latn-RS"/>
              </w:rPr>
            </w:pPr>
            <w:r w:rsidRPr="0046248A">
              <w:rPr>
                <w:rFonts w:cs="Arial"/>
                <w:sz w:val="20"/>
                <w:szCs w:val="20"/>
                <w:lang w:val="sr-Latn-RS"/>
              </w:rPr>
              <w:t>640</w:t>
            </w:r>
          </w:p>
        </w:tc>
        <w:tc>
          <w:tcPr>
            <w:tcW w:w="1349" w:type="pct"/>
            <w:tcBorders>
              <w:top w:val="single" w:sz="4" w:space="0" w:color="152935"/>
            </w:tcBorders>
            <w:shd w:val="clear" w:color="auto" w:fill="auto"/>
          </w:tcPr>
          <w:p w14:paraId="675620C7" w14:textId="5F77E046" w:rsidR="00C51435" w:rsidRPr="0046248A" w:rsidRDefault="00C51435" w:rsidP="0046248A">
            <w:pPr>
              <w:autoSpaceDE w:val="0"/>
              <w:autoSpaceDN w:val="0"/>
              <w:adjustRightInd w:val="0"/>
              <w:spacing w:before="0" w:after="0"/>
              <w:ind w:left="57" w:right="57"/>
              <w:jc w:val="right"/>
              <w:rPr>
                <w:rFonts w:cs="Arial"/>
                <w:sz w:val="20"/>
                <w:szCs w:val="20"/>
                <w:lang w:val="sr-Latn-RS"/>
              </w:rPr>
            </w:pPr>
            <w:r w:rsidRPr="0046248A">
              <w:rPr>
                <w:rFonts w:cs="Arial"/>
                <w:sz w:val="20"/>
                <w:szCs w:val="20"/>
                <w:lang w:val="sr-Latn-RS"/>
              </w:rPr>
              <w:t>100</w:t>
            </w:r>
            <w:r w:rsidR="003D393A">
              <w:rPr>
                <w:rFonts w:cs="Arial"/>
                <w:sz w:val="20"/>
                <w:szCs w:val="20"/>
                <w:lang w:val="sr-Latn-RS"/>
              </w:rPr>
              <w:t>.</w:t>
            </w:r>
            <w:r w:rsidRPr="0046248A">
              <w:rPr>
                <w:rFonts w:cs="Arial"/>
                <w:sz w:val="20"/>
                <w:szCs w:val="20"/>
                <w:lang w:val="sr-Latn-RS"/>
              </w:rPr>
              <w:t>0%</w:t>
            </w:r>
          </w:p>
        </w:tc>
      </w:tr>
      <w:tr w:rsidR="0046248A" w:rsidRPr="0046248A" w14:paraId="7BDBFE59" w14:textId="77777777" w:rsidTr="0046248A">
        <w:trPr>
          <w:cantSplit/>
        </w:trPr>
        <w:tc>
          <w:tcPr>
            <w:tcW w:w="2302" w:type="pct"/>
            <w:gridSpan w:val="2"/>
            <w:shd w:val="clear" w:color="auto" w:fill="auto"/>
          </w:tcPr>
          <w:p w14:paraId="6C9DA95E" w14:textId="77777777" w:rsidR="00C51435" w:rsidRPr="0046248A" w:rsidRDefault="00C51435" w:rsidP="0046248A">
            <w:pPr>
              <w:autoSpaceDE w:val="0"/>
              <w:autoSpaceDN w:val="0"/>
              <w:adjustRightInd w:val="0"/>
              <w:spacing w:before="0" w:after="0"/>
              <w:ind w:left="57" w:right="57"/>
              <w:jc w:val="left"/>
              <w:rPr>
                <w:rFonts w:cs="Arial"/>
                <w:sz w:val="20"/>
                <w:szCs w:val="20"/>
                <w:lang w:val="sr-Latn-RS"/>
              </w:rPr>
            </w:pPr>
            <w:r w:rsidRPr="0046248A">
              <w:rPr>
                <w:rFonts w:cs="Arial"/>
                <w:sz w:val="20"/>
                <w:szCs w:val="20"/>
                <w:lang w:val="sr-Latn-RS"/>
              </w:rPr>
              <w:t>Valid</w:t>
            </w:r>
          </w:p>
        </w:tc>
        <w:tc>
          <w:tcPr>
            <w:tcW w:w="1349" w:type="pct"/>
            <w:shd w:val="clear" w:color="auto" w:fill="auto"/>
          </w:tcPr>
          <w:p w14:paraId="77776C5D" w14:textId="77777777" w:rsidR="00C51435" w:rsidRPr="0046248A" w:rsidRDefault="00C51435" w:rsidP="0046248A">
            <w:pPr>
              <w:autoSpaceDE w:val="0"/>
              <w:autoSpaceDN w:val="0"/>
              <w:adjustRightInd w:val="0"/>
              <w:spacing w:before="0" w:after="0"/>
              <w:ind w:left="57" w:right="57"/>
              <w:jc w:val="right"/>
              <w:rPr>
                <w:rFonts w:cs="Arial"/>
                <w:sz w:val="20"/>
                <w:szCs w:val="20"/>
                <w:lang w:val="sr-Latn-RS"/>
              </w:rPr>
            </w:pPr>
            <w:r w:rsidRPr="0046248A">
              <w:rPr>
                <w:rFonts w:cs="Arial"/>
                <w:sz w:val="20"/>
                <w:szCs w:val="20"/>
                <w:lang w:val="sr-Latn-RS"/>
              </w:rPr>
              <w:t>640</w:t>
            </w:r>
          </w:p>
        </w:tc>
        <w:tc>
          <w:tcPr>
            <w:tcW w:w="1349" w:type="pct"/>
            <w:shd w:val="clear" w:color="auto" w:fill="auto"/>
          </w:tcPr>
          <w:p w14:paraId="3B85174F" w14:textId="02B4F8CE" w:rsidR="00C51435" w:rsidRPr="0046248A" w:rsidRDefault="00C51435" w:rsidP="0046248A">
            <w:pPr>
              <w:autoSpaceDE w:val="0"/>
              <w:autoSpaceDN w:val="0"/>
              <w:adjustRightInd w:val="0"/>
              <w:spacing w:before="0" w:after="0"/>
              <w:ind w:left="57" w:right="57"/>
              <w:jc w:val="right"/>
              <w:rPr>
                <w:rFonts w:cs="Arial"/>
                <w:sz w:val="20"/>
                <w:szCs w:val="20"/>
                <w:lang w:val="sr-Latn-RS"/>
              </w:rPr>
            </w:pPr>
            <w:r w:rsidRPr="0046248A">
              <w:rPr>
                <w:rFonts w:cs="Arial"/>
                <w:sz w:val="20"/>
                <w:szCs w:val="20"/>
                <w:lang w:val="sr-Latn-RS"/>
              </w:rPr>
              <w:t>100</w:t>
            </w:r>
            <w:r w:rsidR="003D393A">
              <w:rPr>
                <w:rFonts w:cs="Arial"/>
                <w:sz w:val="20"/>
                <w:szCs w:val="20"/>
                <w:lang w:val="sr-Latn-RS"/>
              </w:rPr>
              <w:t>.</w:t>
            </w:r>
            <w:r w:rsidRPr="0046248A">
              <w:rPr>
                <w:rFonts w:cs="Arial"/>
                <w:sz w:val="20"/>
                <w:szCs w:val="20"/>
                <w:lang w:val="sr-Latn-RS"/>
              </w:rPr>
              <w:t>0%</w:t>
            </w:r>
          </w:p>
        </w:tc>
      </w:tr>
      <w:tr w:rsidR="0046248A" w:rsidRPr="0046248A" w14:paraId="3BD70333" w14:textId="77777777" w:rsidTr="003D393A">
        <w:trPr>
          <w:cantSplit/>
        </w:trPr>
        <w:tc>
          <w:tcPr>
            <w:tcW w:w="2302" w:type="pct"/>
            <w:gridSpan w:val="2"/>
            <w:shd w:val="clear" w:color="auto" w:fill="auto"/>
          </w:tcPr>
          <w:p w14:paraId="41B99591" w14:textId="77777777" w:rsidR="00C51435" w:rsidRPr="0046248A" w:rsidRDefault="00C51435" w:rsidP="0046248A">
            <w:pPr>
              <w:autoSpaceDE w:val="0"/>
              <w:autoSpaceDN w:val="0"/>
              <w:adjustRightInd w:val="0"/>
              <w:spacing w:before="0" w:after="0"/>
              <w:ind w:left="57" w:right="57"/>
              <w:jc w:val="left"/>
              <w:rPr>
                <w:rFonts w:cs="Arial"/>
                <w:sz w:val="20"/>
                <w:szCs w:val="20"/>
                <w:lang w:val="sr-Latn-RS"/>
              </w:rPr>
            </w:pPr>
            <w:r w:rsidRPr="0046248A">
              <w:rPr>
                <w:rFonts w:cs="Arial"/>
                <w:sz w:val="20"/>
                <w:szCs w:val="20"/>
                <w:lang w:val="sr-Latn-RS"/>
              </w:rPr>
              <w:t>Excluded</w:t>
            </w:r>
          </w:p>
        </w:tc>
        <w:tc>
          <w:tcPr>
            <w:tcW w:w="1349" w:type="pct"/>
            <w:shd w:val="clear" w:color="auto" w:fill="auto"/>
          </w:tcPr>
          <w:p w14:paraId="07ABB19F" w14:textId="77777777" w:rsidR="00C51435" w:rsidRPr="0046248A" w:rsidRDefault="00C51435" w:rsidP="0046248A">
            <w:pPr>
              <w:autoSpaceDE w:val="0"/>
              <w:autoSpaceDN w:val="0"/>
              <w:adjustRightInd w:val="0"/>
              <w:spacing w:before="0" w:after="0"/>
              <w:ind w:left="57" w:right="57"/>
              <w:jc w:val="right"/>
              <w:rPr>
                <w:rFonts w:cs="Arial"/>
                <w:sz w:val="20"/>
                <w:szCs w:val="20"/>
                <w:lang w:val="sr-Latn-RS"/>
              </w:rPr>
            </w:pPr>
            <w:r w:rsidRPr="0046248A">
              <w:rPr>
                <w:rFonts w:cs="Arial"/>
                <w:sz w:val="20"/>
                <w:szCs w:val="20"/>
                <w:lang w:val="sr-Latn-RS"/>
              </w:rPr>
              <w:t>0</w:t>
            </w:r>
          </w:p>
        </w:tc>
        <w:tc>
          <w:tcPr>
            <w:tcW w:w="1349" w:type="pct"/>
            <w:shd w:val="clear" w:color="auto" w:fill="auto"/>
            <w:vAlign w:val="center"/>
          </w:tcPr>
          <w:p w14:paraId="60C9E159" w14:textId="77777777" w:rsidR="00C51435" w:rsidRPr="0046248A" w:rsidRDefault="00C51435" w:rsidP="0046248A">
            <w:pPr>
              <w:autoSpaceDE w:val="0"/>
              <w:autoSpaceDN w:val="0"/>
              <w:adjustRightInd w:val="0"/>
              <w:spacing w:before="0" w:after="0"/>
              <w:ind w:left="57" w:right="57"/>
              <w:jc w:val="left"/>
              <w:rPr>
                <w:rFonts w:cs="Times New Roman"/>
                <w:sz w:val="20"/>
                <w:szCs w:val="20"/>
                <w:lang w:val="sr-Latn-RS"/>
              </w:rPr>
            </w:pPr>
          </w:p>
        </w:tc>
      </w:tr>
      <w:tr w:rsidR="0046248A" w:rsidRPr="0046248A" w14:paraId="6C6FFA40" w14:textId="77777777" w:rsidTr="003D393A">
        <w:trPr>
          <w:cantSplit/>
        </w:trPr>
        <w:tc>
          <w:tcPr>
            <w:tcW w:w="2302" w:type="pct"/>
            <w:gridSpan w:val="2"/>
            <w:tcBorders>
              <w:bottom w:val="single" w:sz="4" w:space="0" w:color="152935"/>
            </w:tcBorders>
            <w:shd w:val="clear" w:color="auto" w:fill="auto"/>
          </w:tcPr>
          <w:p w14:paraId="42A29CA2" w14:textId="77777777" w:rsidR="00C51435" w:rsidRPr="0046248A" w:rsidRDefault="00C51435" w:rsidP="0046248A">
            <w:pPr>
              <w:autoSpaceDE w:val="0"/>
              <w:autoSpaceDN w:val="0"/>
              <w:adjustRightInd w:val="0"/>
              <w:spacing w:before="0" w:after="0"/>
              <w:ind w:left="57" w:right="57"/>
              <w:jc w:val="left"/>
              <w:rPr>
                <w:rFonts w:cs="Arial"/>
                <w:sz w:val="20"/>
                <w:szCs w:val="20"/>
                <w:lang w:val="sr-Latn-RS"/>
              </w:rPr>
            </w:pPr>
            <w:r w:rsidRPr="0046248A">
              <w:rPr>
                <w:rFonts w:cs="Arial"/>
                <w:sz w:val="20"/>
                <w:szCs w:val="20"/>
                <w:lang w:val="sr-Latn-RS"/>
              </w:rPr>
              <w:t>Total</w:t>
            </w:r>
          </w:p>
        </w:tc>
        <w:tc>
          <w:tcPr>
            <w:tcW w:w="1349" w:type="pct"/>
            <w:tcBorders>
              <w:bottom w:val="single" w:sz="4" w:space="0" w:color="152935"/>
            </w:tcBorders>
            <w:shd w:val="clear" w:color="auto" w:fill="auto"/>
          </w:tcPr>
          <w:p w14:paraId="735FDC46" w14:textId="77777777" w:rsidR="00C51435" w:rsidRPr="0046248A" w:rsidRDefault="00C51435" w:rsidP="0046248A">
            <w:pPr>
              <w:autoSpaceDE w:val="0"/>
              <w:autoSpaceDN w:val="0"/>
              <w:adjustRightInd w:val="0"/>
              <w:spacing w:before="0" w:after="0"/>
              <w:ind w:left="57" w:right="57"/>
              <w:jc w:val="right"/>
              <w:rPr>
                <w:rFonts w:cs="Arial"/>
                <w:sz w:val="20"/>
                <w:szCs w:val="20"/>
                <w:lang w:val="sr-Latn-RS"/>
              </w:rPr>
            </w:pPr>
            <w:r w:rsidRPr="0046248A">
              <w:rPr>
                <w:rFonts w:cs="Arial"/>
                <w:sz w:val="20"/>
                <w:szCs w:val="20"/>
                <w:lang w:val="sr-Latn-RS"/>
              </w:rPr>
              <w:t>640</w:t>
            </w:r>
          </w:p>
        </w:tc>
        <w:tc>
          <w:tcPr>
            <w:tcW w:w="1349" w:type="pct"/>
            <w:tcBorders>
              <w:bottom w:val="single" w:sz="4" w:space="0" w:color="152935"/>
            </w:tcBorders>
            <w:shd w:val="clear" w:color="auto" w:fill="auto"/>
            <w:vAlign w:val="center"/>
          </w:tcPr>
          <w:p w14:paraId="3F925913" w14:textId="77777777" w:rsidR="00C51435" w:rsidRPr="0046248A" w:rsidRDefault="00C51435" w:rsidP="0046248A">
            <w:pPr>
              <w:autoSpaceDE w:val="0"/>
              <w:autoSpaceDN w:val="0"/>
              <w:adjustRightInd w:val="0"/>
              <w:spacing w:before="0" w:after="0"/>
              <w:ind w:left="57" w:right="57"/>
              <w:jc w:val="left"/>
              <w:rPr>
                <w:rFonts w:cs="Times New Roman"/>
                <w:sz w:val="20"/>
                <w:szCs w:val="20"/>
                <w:lang w:val="sr-Latn-RS"/>
              </w:rPr>
            </w:pPr>
          </w:p>
        </w:tc>
      </w:tr>
    </w:tbl>
    <w:p w14:paraId="1EE06CFA" w14:textId="39A88E97" w:rsidR="00C51435" w:rsidRPr="00C51435" w:rsidRDefault="001732EA" w:rsidP="001732EA">
      <w:pPr>
        <w:rPr>
          <w:lang w:val="sr-Latn-RS"/>
        </w:rPr>
      </w:pPr>
      <w:r>
        <w:rPr>
          <w:lang w:val="sr-Latn-RS"/>
        </w:rPr>
        <w:t xml:space="preserve">Same as </w:t>
      </w:r>
      <w:r w:rsidR="00F5373B">
        <w:rPr>
          <w:lang w:val="sr-Latn-RS"/>
        </w:rPr>
        <w:t xml:space="preserve">the cases with </w:t>
      </w:r>
      <w:r w:rsidR="004909B8">
        <w:rPr>
          <w:lang w:val="sr-Latn-RS"/>
        </w:rPr>
        <w:t xml:space="preserve">the </w:t>
      </w:r>
      <w:r w:rsidR="00F5373B">
        <w:rPr>
          <w:lang w:val="sr-Latn-RS"/>
        </w:rPr>
        <w:t xml:space="preserve">previous two neural network training conditions, parameters from the model are represented in </w:t>
      </w:r>
      <w:r w:rsidR="000746D6">
        <w:rPr>
          <w:lang w:val="sr-Latn-RS"/>
        </w:rPr>
        <w:fldChar w:fldCharType="begin"/>
      </w:r>
      <w:r w:rsidR="000746D6">
        <w:rPr>
          <w:lang w:val="sr-Latn-RS"/>
        </w:rPr>
        <w:instrText xml:space="preserve"> REF _Ref98747651 \h </w:instrText>
      </w:r>
      <w:r w:rsidR="000746D6">
        <w:rPr>
          <w:lang w:val="sr-Latn-RS"/>
        </w:rPr>
      </w:r>
      <w:r w:rsidR="000746D6">
        <w:rPr>
          <w:lang w:val="sr-Latn-RS"/>
        </w:rPr>
        <w:fldChar w:fldCharType="separate"/>
      </w:r>
      <w:r w:rsidR="00587AF0">
        <w:t xml:space="preserve">Table </w:t>
      </w:r>
      <w:r w:rsidR="00587AF0">
        <w:rPr>
          <w:noProof/>
        </w:rPr>
        <w:t>44</w:t>
      </w:r>
      <w:r w:rsidR="000746D6">
        <w:rPr>
          <w:lang w:val="sr-Latn-RS"/>
        </w:rPr>
        <w:fldChar w:fldCharType="end"/>
      </w:r>
      <w:r w:rsidR="00F5373B">
        <w:rPr>
          <w:lang w:val="sr-Latn-RS"/>
        </w:rPr>
        <w:t>. A</w:t>
      </w:r>
      <w:r>
        <w:rPr>
          <w:lang w:val="sr-Latn-RS"/>
        </w:rPr>
        <w:t xml:space="preserve">ll three </w:t>
      </w:r>
      <w:r w:rsidR="00F5373B">
        <w:rPr>
          <w:lang w:val="sr-Latn-RS"/>
        </w:rPr>
        <w:t>use defined variables set before initialisation with the</w:t>
      </w:r>
      <w:r>
        <w:rPr>
          <w:lang w:val="sr-Latn-RS"/>
        </w:rPr>
        <w:t xml:space="preserve"> sigmoid activation function for hidden and output layers.</w:t>
      </w:r>
    </w:p>
    <w:p w14:paraId="176A47EE" w14:textId="2DB7B993" w:rsidR="00C51435" w:rsidRPr="00C51435" w:rsidRDefault="000342B1" w:rsidP="000342B1">
      <w:pPr>
        <w:pStyle w:val="Caption"/>
        <w:jc w:val="both"/>
        <w:rPr>
          <w:lang w:val="sr-Latn-RS"/>
        </w:rPr>
      </w:pPr>
      <w:bookmarkStart w:id="615" w:name="_Ref98747651"/>
      <w:bookmarkStart w:id="616" w:name="_Toc101274484"/>
      <w:r>
        <w:t xml:space="preserve">Table </w:t>
      </w:r>
      <w:fldSimple w:instr=" SEQ Table \* ARABIC ">
        <w:r w:rsidR="00587AF0">
          <w:rPr>
            <w:noProof/>
          </w:rPr>
          <w:t>44</w:t>
        </w:r>
      </w:fldSimple>
      <w:bookmarkEnd w:id="615"/>
      <w:r>
        <w:t xml:space="preserve">. </w:t>
      </w:r>
      <w:r w:rsidRPr="000342B1">
        <w:t xml:space="preserve">Neural network information and parameters for </w:t>
      </w:r>
      <w:r>
        <w:t xml:space="preserve">closing </w:t>
      </w:r>
      <w:r w:rsidRPr="000342B1">
        <w:t>saddle position</w:t>
      </w:r>
      <w:bookmarkEnd w:id="616"/>
    </w:p>
    <w:tbl>
      <w:tblPr>
        <w:tblW w:w="5000" w:type="pct"/>
        <w:tblCellMar>
          <w:left w:w="0" w:type="dxa"/>
          <w:right w:w="0" w:type="dxa"/>
        </w:tblCellMar>
        <w:tblLook w:val="0000" w:firstRow="0" w:lastRow="0" w:firstColumn="0" w:lastColumn="0" w:noHBand="0" w:noVBand="0"/>
      </w:tblPr>
      <w:tblGrid>
        <w:gridCol w:w="2108"/>
        <w:gridCol w:w="2686"/>
        <w:gridCol w:w="2168"/>
        <w:gridCol w:w="2065"/>
      </w:tblGrid>
      <w:tr w:rsidR="000342B1" w:rsidRPr="000342B1" w14:paraId="3A16A611" w14:textId="77777777" w:rsidTr="000342B1">
        <w:trPr>
          <w:cantSplit/>
        </w:trPr>
        <w:tc>
          <w:tcPr>
            <w:tcW w:w="1167" w:type="pct"/>
            <w:tcBorders>
              <w:top w:val="single" w:sz="4" w:space="0" w:color="152935"/>
              <w:bottom w:val="single" w:sz="4" w:space="0" w:color="152935"/>
            </w:tcBorders>
            <w:shd w:val="clear" w:color="auto" w:fill="auto"/>
          </w:tcPr>
          <w:p w14:paraId="3B66C681" w14:textId="64D153FF" w:rsidR="000342B1" w:rsidRPr="000342B1" w:rsidRDefault="000342B1" w:rsidP="000342B1">
            <w:pPr>
              <w:autoSpaceDE w:val="0"/>
              <w:autoSpaceDN w:val="0"/>
              <w:adjustRightInd w:val="0"/>
              <w:spacing w:before="0" w:after="0"/>
              <w:ind w:left="57" w:right="57"/>
              <w:jc w:val="left"/>
              <w:rPr>
                <w:rFonts w:cs="Arial"/>
                <w:b/>
                <w:bCs/>
                <w:sz w:val="20"/>
                <w:szCs w:val="20"/>
                <w:lang w:val="sr-Latn-RS"/>
              </w:rPr>
            </w:pPr>
            <w:r w:rsidRPr="000342B1">
              <w:rPr>
                <w:rFonts w:cs="Arial"/>
                <w:b/>
                <w:bCs/>
                <w:sz w:val="20"/>
                <w:szCs w:val="20"/>
                <w:lang w:val="sr-Latn-RS"/>
              </w:rPr>
              <w:t>Layer information</w:t>
            </w:r>
          </w:p>
        </w:tc>
        <w:tc>
          <w:tcPr>
            <w:tcW w:w="1488" w:type="pct"/>
            <w:tcBorders>
              <w:top w:val="single" w:sz="4" w:space="0" w:color="152935"/>
              <w:bottom w:val="single" w:sz="4" w:space="0" w:color="152935"/>
            </w:tcBorders>
            <w:shd w:val="clear" w:color="auto" w:fill="auto"/>
          </w:tcPr>
          <w:p w14:paraId="70DA1AE7" w14:textId="0205D7C3" w:rsidR="000342B1" w:rsidRPr="000342B1" w:rsidRDefault="000342B1" w:rsidP="000342B1">
            <w:pPr>
              <w:autoSpaceDE w:val="0"/>
              <w:autoSpaceDN w:val="0"/>
              <w:adjustRightInd w:val="0"/>
              <w:spacing w:before="0" w:after="0"/>
              <w:ind w:left="57" w:right="57"/>
              <w:jc w:val="left"/>
              <w:rPr>
                <w:rFonts w:cs="Arial"/>
                <w:b/>
                <w:bCs/>
                <w:sz w:val="20"/>
                <w:szCs w:val="20"/>
                <w:lang w:val="sr-Latn-RS"/>
              </w:rPr>
            </w:pPr>
            <w:r w:rsidRPr="000342B1">
              <w:rPr>
                <w:rFonts w:cs="Arial"/>
                <w:b/>
                <w:bCs/>
                <w:sz w:val="20"/>
                <w:szCs w:val="20"/>
                <w:lang w:val="sr-Latn-RS"/>
              </w:rPr>
              <w:t>Sub-layer information</w:t>
            </w:r>
          </w:p>
        </w:tc>
        <w:tc>
          <w:tcPr>
            <w:tcW w:w="1201" w:type="pct"/>
            <w:tcBorders>
              <w:top w:val="single" w:sz="4" w:space="0" w:color="152935"/>
              <w:bottom w:val="single" w:sz="4" w:space="0" w:color="152935"/>
            </w:tcBorders>
            <w:shd w:val="clear" w:color="auto" w:fill="auto"/>
          </w:tcPr>
          <w:p w14:paraId="7A46FA2A" w14:textId="10E4C2B2" w:rsidR="000342B1" w:rsidRPr="000342B1" w:rsidRDefault="000342B1" w:rsidP="000342B1">
            <w:pPr>
              <w:autoSpaceDE w:val="0"/>
              <w:autoSpaceDN w:val="0"/>
              <w:adjustRightInd w:val="0"/>
              <w:spacing w:before="0" w:after="0"/>
              <w:ind w:left="57" w:right="57"/>
              <w:jc w:val="left"/>
              <w:rPr>
                <w:rFonts w:cs="Arial"/>
                <w:b/>
                <w:bCs/>
                <w:sz w:val="20"/>
                <w:szCs w:val="20"/>
                <w:lang w:val="sr-Latn-RS"/>
              </w:rPr>
            </w:pPr>
            <w:r w:rsidRPr="000342B1">
              <w:rPr>
                <w:rFonts w:cs="Arial"/>
                <w:b/>
                <w:bCs/>
                <w:sz w:val="20"/>
                <w:szCs w:val="20"/>
                <w:lang w:val="sr-Latn-RS"/>
              </w:rPr>
              <w:t>Values</w:t>
            </w:r>
          </w:p>
        </w:tc>
        <w:tc>
          <w:tcPr>
            <w:tcW w:w="1144" w:type="pct"/>
            <w:tcBorders>
              <w:top w:val="single" w:sz="4" w:space="0" w:color="152935"/>
              <w:bottom w:val="single" w:sz="4" w:space="0" w:color="152935"/>
            </w:tcBorders>
            <w:shd w:val="clear" w:color="auto" w:fill="auto"/>
          </w:tcPr>
          <w:p w14:paraId="0FF80CFB" w14:textId="3AA87313" w:rsidR="000342B1" w:rsidRPr="000342B1" w:rsidRDefault="000342B1" w:rsidP="000342B1">
            <w:pPr>
              <w:autoSpaceDE w:val="0"/>
              <w:autoSpaceDN w:val="0"/>
              <w:adjustRightInd w:val="0"/>
              <w:spacing w:before="0" w:after="0"/>
              <w:ind w:left="57" w:right="57"/>
              <w:jc w:val="right"/>
              <w:rPr>
                <w:rFonts w:cs="Arial"/>
                <w:b/>
                <w:bCs/>
                <w:sz w:val="20"/>
                <w:szCs w:val="20"/>
                <w:lang w:val="sr-Latn-RS"/>
              </w:rPr>
            </w:pPr>
            <w:r w:rsidRPr="000342B1">
              <w:rPr>
                <w:rFonts w:cs="Arial"/>
                <w:b/>
                <w:bCs/>
                <w:sz w:val="20"/>
                <w:szCs w:val="20"/>
                <w:lang w:val="sr-Latn-RS"/>
              </w:rPr>
              <w:t>Properties</w:t>
            </w:r>
          </w:p>
        </w:tc>
      </w:tr>
      <w:tr w:rsidR="000342B1" w:rsidRPr="000342B1" w14:paraId="4BD6E6AC" w14:textId="77777777" w:rsidTr="000342B1">
        <w:trPr>
          <w:cantSplit/>
        </w:trPr>
        <w:tc>
          <w:tcPr>
            <w:tcW w:w="1167" w:type="pct"/>
            <w:vMerge w:val="restart"/>
            <w:tcBorders>
              <w:top w:val="single" w:sz="4" w:space="0" w:color="152935"/>
            </w:tcBorders>
            <w:shd w:val="clear" w:color="auto" w:fill="auto"/>
            <w:vAlign w:val="center"/>
          </w:tcPr>
          <w:p w14:paraId="7658E4C4"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r w:rsidRPr="000342B1">
              <w:rPr>
                <w:rFonts w:cs="Arial"/>
                <w:sz w:val="20"/>
                <w:szCs w:val="20"/>
                <w:lang w:val="sr-Latn-RS"/>
              </w:rPr>
              <w:t>Input Layer</w:t>
            </w:r>
          </w:p>
        </w:tc>
        <w:tc>
          <w:tcPr>
            <w:tcW w:w="1488" w:type="pct"/>
            <w:vMerge w:val="restart"/>
            <w:tcBorders>
              <w:top w:val="single" w:sz="4" w:space="0" w:color="152935"/>
            </w:tcBorders>
            <w:shd w:val="clear" w:color="auto" w:fill="auto"/>
            <w:vAlign w:val="center"/>
          </w:tcPr>
          <w:p w14:paraId="4B4D3368"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r w:rsidRPr="000342B1">
              <w:rPr>
                <w:rFonts w:cs="Arial"/>
                <w:sz w:val="20"/>
                <w:szCs w:val="20"/>
                <w:lang w:val="sr-Latn-RS"/>
              </w:rPr>
              <w:t>Covariates</w:t>
            </w:r>
          </w:p>
        </w:tc>
        <w:tc>
          <w:tcPr>
            <w:tcW w:w="1201" w:type="pct"/>
            <w:tcBorders>
              <w:top w:val="single" w:sz="4" w:space="0" w:color="152935"/>
            </w:tcBorders>
            <w:shd w:val="clear" w:color="auto" w:fill="auto"/>
            <w:vAlign w:val="center"/>
          </w:tcPr>
          <w:p w14:paraId="6BB9EE87"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1</w:t>
            </w:r>
          </w:p>
        </w:tc>
        <w:tc>
          <w:tcPr>
            <w:tcW w:w="1144" w:type="pct"/>
            <w:tcBorders>
              <w:top w:val="single" w:sz="4" w:space="0" w:color="152935"/>
            </w:tcBorders>
            <w:shd w:val="clear" w:color="auto" w:fill="auto"/>
          </w:tcPr>
          <w:p w14:paraId="57009166"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T2</w:t>
            </w:r>
          </w:p>
        </w:tc>
      </w:tr>
      <w:tr w:rsidR="000342B1" w:rsidRPr="000342B1" w14:paraId="3FFC1711" w14:textId="77777777" w:rsidTr="000342B1">
        <w:trPr>
          <w:cantSplit/>
        </w:trPr>
        <w:tc>
          <w:tcPr>
            <w:tcW w:w="1167" w:type="pct"/>
            <w:vMerge/>
            <w:shd w:val="clear" w:color="auto" w:fill="auto"/>
            <w:vAlign w:val="center"/>
          </w:tcPr>
          <w:p w14:paraId="0E5C2E8D"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p>
        </w:tc>
        <w:tc>
          <w:tcPr>
            <w:tcW w:w="1488" w:type="pct"/>
            <w:vMerge/>
            <w:shd w:val="clear" w:color="auto" w:fill="auto"/>
            <w:vAlign w:val="center"/>
          </w:tcPr>
          <w:p w14:paraId="01729771"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p>
        </w:tc>
        <w:tc>
          <w:tcPr>
            <w:tcW w:w="1201" w:type="pct"/>
            <w:shd w:val="clear" w:color="auto" w:fill="auto"/>
            <w:vAlign w:val="center"/>
          </w:tcPr>
          <w:p w14:paraId="242870B7"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2</w:t>
            </w:r>
          </w:p>
        </w:tc>
        <w:tc>
          <w:tcPr>
            <w:tcW w:w="1144" w:type="pct"/>
            <w:shd w:val="clear" w:color="auto" w:fill="auto"/>
          </w:tcPr>
          <w:p w14:paraId="3E78EBD5"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T3</w:t>
            </w:r>
          </w:p>
        </w:tc>
      </w:tr>
      <w:tr w:rsidR="000342B1" w:rsidRPr="000342B1" w14:paraId="75075315" w14:textId="77777777" w:rsidTr="000342B1">
        <w:trPr>
          <w:cantSplit/>
        </w:trPr>
        <w:tc>
          <w:tcPr>
            <w:tcW w:w="1167" w:type="pct"/>
            <w:vMerge/>
            <w:shd w:val="clear" w:color="auto" w:fill="auto"/>
            <w:vAlign w:val="center"/>
          </w:tcPr>
          <w:p w14:paraId="450DD0AD"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p>
        </w:tc>
        <w:tc>
          <w:tcPr>
            <w:tcW w:w="1488" w:type="pct"/>
            <w:vMerge/>
            <w:shd w:val="clear" w:color="auto" w:fill="auto"/>
            <w:vAlign w:val="center"/>
          </w:tcPr>
          <w:p w14:paraId="3E0B4D19"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p>
        </w:tc>
        <w:tc>
          <w:tcPr>
            <w:tcW w:w="1201" w:type="pct"/>
            <w:shd w:val="clear" w:color="auto" w:fill="auto"/>
            <w:vAlign w:val="center"/>
          </w:tcPr>
          <w:p w14:paraId="5299802A"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3</w:t>
            </w:r>
          </w:p>
        </w:tc>
        <w:tc>
          <w:tcPr>
            <w:tcW w:w="1144" w:type="pct"/>
            <w:shd w:val="clear" w:color="auto" w:fill="auto"/>
          </w:tcPr>
          <w:p w14:paraId="65D69B0E"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T4</w:t>
            </w:r>
          </w:p>
        </w:tc>
      </w:tr>
      <w:tr w:rsidR="000342B1" w:rsidRPr="000342B1" w14:paraId="4C5A3331" w14:textId="77777777" w:rsidTr="000342B1">
        <w:trPr>
          <w:cantSplit/>
        </w:trPr>
        <w:tc>
          <w:tcPr>
            <w:tcW w:w="1167" w:type="pct"/>
            <w:vMerge/>
            <w:shd w:val="clear" w:color="auto" w:fill="auto"/>
            <w:vAlign w:val="center"/>
          </w:tcPr>
          <w:p w14:paraId="350B3528"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p>
        </w:tc>
        <w:tc>
          <w:tcPr>
            <w:tcW w:w="1488" w:type="pct"/>
            <w:vMerge/>
            <w:shd w:val="clear" w:color="auto" w:fill="auto"/>
            <w:vAlign w:val="center"/>
          </w:tcPr>
          <w:p w14:paraId="0A0301FF"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p>
        </w:tc>
        <w:tc>
          <w:tcPr>
            <w:tcW w:w="1201" w:type="pct"/>
            <w:shd w:val="clear" w:color="auto" w:fill="auto"/>
            <w:vAlign w:val="center"/>
          </w:tcPr>
          <w:p w14:paraId="30704B89"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4</w:t>
            </w:r>
          </w:p>
        </w:tc>
        <w:tc>
          <w:tcPr>
            <w:tcW w:w="1144" w:type="pct"/>
            <w:shd w:val="clear" w:color="auto" w:fill="auto"/>
          </w:tcPr>
          <w:p w14:paraId="5F0E8D93"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Load_kg_n</w:t>
            </w:r>
          </w:p>
        </w:tc>
      </w:tr>
      <w:tr w:rsidR="000342B1" w:rsidRPr="000342B1" w14:paraId="7934D03F" w14:textId="77777777" w:rsidTr="000342B1">
        <w:trPr>
          <w:cantSplit/>
        </w:trPr>
        <w:tc>
          <w:tcPr>
            <w:tcW w:w="1167" w:type="pct"/>
            <w:vMerge/>
            <w:shd w:val="clear" w:color="auto" w:fill="auto"/>
            <w:vAlign w:val="center"/>
          </w:tcPr>
          <w:p w14:paraId="3B6AC321"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p>
        </w:tc>
        <w:tc>
          <w:tcPr>
            <w:tcW w:w="1488" w:type="pct"/>
            <w:vMerge/>
            <w:shd w:val="clear" w:color="auto" w:fill="auto"/>
            <w:vAlign w:val="center"/>
          </w:tcPr>
          <w:p w14:paraId="09CCAB26"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p>
        </w:tc>
        <w:tc>
          <w:tcPr>
            <w:tcW w:w="1201" w:type="pct"/>
            <w:shd w:val="clear" w:color="auto" w:fill="auto"/>
            <w:vAlign w:val="center"/>
          </w:tcPr>
          <w:p w14:paraId="0BCE8256"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5</w:t>
            </w:r>
          </w:p>
        </w:tc>
        <w:tc>
          <w:tcPr>
            <w:tcW w:w="1144" w:type="pct"/>
            <w:shd w:val="clear" w:color="auto" w:fill="auto"/>
          </w:tcPr>
          <w:p w14:paraId="0C6AD332"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N_Stdev_CS</w:t>
            </w:r>
          </w:p>
        </w:tc>
      </w:tr>
      <w:tr w:rsidR="000342B1" w:rsidRPr="000342B1" w14:paraId="0DFAB99C" w14:textId="77777777" w:rsidTr="000342B1">
        <w:trPr>
          <w:cantSplit/>
        </w:trPr>
        <w:tc>
          <w:tcPr>
            <w:tcW w:w="1167" w:type="pct"/>
            <w:vMerge/>
            <w:shd w:val="clear" w:color="auto" w:fill="auto"/>
            <w:vAlign w:val="center"/>
          </w:tcPr>
          <w:p w14:paraId="7A25EBBB"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p>
        </w:tc>
        <w:tc>
          <w:tcPr>
            <w:tcW w:w="1488" w:type="pct"/>
            <w:vMerge/>
            <w:shd w:val="clear" w:color="auto" w:fill="auto"/>
            <w:vAlign w:val="center"/>
          </w:tcPr>
          <w:p w14:paraId="1BD1660A"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p>
        </w:tc>
        <w:tc>
          <w:tcPr>
            <w:tcW w:w="1201" w:type="pct"/>
            <w:shd w:val="clear" w:color="auto" w:fill="auto"/>
            <w:vAlign w:val="center"/>
          </w:tcPr>
          <w:p w14:paraId="4B443FE9"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6</w:t>
            </w:r>
          </w:p>
        </w:tc>
        <w:tc>
          <w:tcPr>
            <w:tcW w:w="1144" w:type="pct"/>
            <w:shd w:val="clear" w:color="auto" w:fill="auto"/>
          </w:tcPr>
          <w:p w14:paraId="1454A2EA"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N_Mean_CS</w:t>
            </w:r>
          </w:p>
        </w:tc>
      </w:tr>
      <w:tr w:rsidR="000342B1" w:rsidRPr="000342B1" w14:paraId="6FAC19AD" w14:textId="77777777" w:rsidTr="000342B1">
        <w:trPr>
          <w:cantSplit/>
        </w:trPr>
        <w:tc>
          <w:tcPr>
            <w:tcW w:w="1167" w:type="pct"/>
            <w:vMerge/>
            <w:shd w:val="clear" w:color="auto" w:fill="auto"/>
            <w:vAlign w:val="center"/>
          </w:tcPr>
          <w:p w14:paraId="66AF5DE7"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p>
        </w:tc>
        <w:tc>
          <w:tcPr>
            <w:tcW w:w="1488" w:type="pct"/>
            <w:vMerge/>
            <w:shd w:val="clear" w:color="auto" w:fill="auto"/>
            <w:vAlign w:val="center"/>
          </w:tcPr>
          <w:p w14:paraId="70B244A7"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p>
        </w:tc>
        <w:tc>
          <w:tcPr>
            <w:tcW w:w="1201" w:type="pct"/>
            <w:shd w:val="clear" w:color="auto" w:fill="auto"/>
            <w:vAlign w:val="center"/>
          </w:tcPr>
          <w:p w14:paraId="02009D6D"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7</w:t>
            </w:r>
          </w:p>
        </w:tc>
        <w:tc>
          <w:tcPr>
            <w:tcW w:w="1144" w:type="pct"/>
            <w:shd w:val="clear" w:color="auto" w:fill="auto"/>
          </w:tcPr>
          <w:p w14:paraId="6CA421A8"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N_RMS_CS</w:t>
            </w:r>
          </w:p>
        </w:tc>
      </w:tr>
      <w:tr w:rsidR="000342B1" w:rsidRPr="000342B1" w14:paraId="1C12CA29" w14:textId="77777777" w:rsidTr="000342B1">
        <w:trPr>
          <w:cantSplit/>
        </w:trPr>
        <w:tc>
          <w:tcPr>
            <w:tcW w:w="1167" w:type="pct"/>
            <w:vMerge/>
            <w:shd w:val="clear" w:color="auto" w:fill="auto"/>
            <w:vAlign w:val="center"/>
          </w:tcPr>
          <w:p w14:paraId="3861E521"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p>
        </w:tc>
        <w:tc>
          <w:tcPr>
            <w:tcW w:w="1488" w:type="pct"/>
            <w:vMerge/>
            <w:shd w:val="clear" w:color="auto" w:fill="auto"/>
            <w:vAlign w:val="center"/>
          </w:tcPr>
          <w:p w14:paraId="1E9FF064"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p>
        </w:tc>
        <w:tc>
          <w:tcPr>
            <w:tcW w:w="1201" w:type="pct"/>
            <w:shd w:val="clear" w:color="auto" w:fill="auto"/>
            <w:vAlign w:val="center"/>
          </w:tcPr>
          <w:p w14:paraId="78D5F827"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8</w:t>
            </w:r>
          </w:p>
        </w:tc>
        <w:tc>
          <w:tcPr>
            <w:tcW w:w="1144" w:type="pct"/>
            <w:shd w:val="clear" w:color="auto" w:fill="auto"/>
          </w:tcPr>
          <w:p w14:paraId="439DE97A"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N_1Q_CS</w:t>
            </w:r>
          </w:p>
        </w:tc>
      </w:tr>
      <w:tr w:rsidR="000342B1" w:rsidRPr="000342B1" w14:paraId="3BD8E638" w14:textId="77777777" w:rsidTr="000342B1">
        <w:trPr>
          <w:cantSplit/>
        </w:trPr>
        <w:tc>
          <w:tcPr>
            <w:tcW w:w="1167" w:type="pct"/>
            <w:vMerge/>
            <w:shd w:val="clear" w:color="auto" w:fill="auto"/>
            <w:vAlign w:val="center"/>
          </w:tcPr>
          <w:p w14:paraId="17E23C65"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p>
        </w:tc>
        <w:tc>
          <w:tcPr>
            <w:tcW w:w="1488" w:type="pct"/>
            <w:vMerge/>
            <w:shd w:val="clear" w:color="auto" w:fill="auto"/>
            <w:vAlign w:val="center"/>
          </w:tcPr>
          <w:p w14:paraId="5D33BCB1"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p>
        </w:tc>
        <w:tc>
          <w:tcPr>
            <w:tcW w:w="1201" w:type="pct"/>
            <w:shd w:val="clear" w:color="auto" w:fill="auto"/>
            <w:vAlign w:val="center"/>
          </w:tcPr>
          <w:p w14:paraId="24DAAF83"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9</w:t>
            </w:r>
          </w:p>
        </w:tc>
        <w:tc>
          <w:tcPr>
            <w:tcW w:w="1144" w:type="pct"/>
            <w:shd w:val="clear" w:color="auto" w:fill="auto"/>
          </w:tcPr>
          <w:p w14:paraId="748C0CED"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N_IQR_CS</w:t>
            </w:r>
          </w:p>
        </w:tc>
      </w:tr>
      <w:tr w:rsidR="000342B1" w:rsidRPr="000342B1" w14:paraId="70027CA2" w14:textId="77777777" w:rsidTr="000342B1">
        <w:trPr>
          <w:cantSplit/>
        </w:trPr>
        <w:tc>
          <w:tcPr>
            <w:tcW w:w="1167" w:type="pct"/>
            <w:vMerge/>
            <w:shd w:val="clear" w:color="auto" w:fill="auto"/>
            <w:vAlign w:val="center"/>
          </w:tcPr>
          <w:p w14:paraId="0B04D195"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p>
        </w:tc>
        <w:tc>
          <w:tcPr>
            <w:tcW w:w="1488" w:type="pct"/>
            <w:vMerge/>
            <w:shd w:val="clear" w:color="auto" w:fill="auto"/>
            <w:vAlign w:val="center"/>
          </w:tcPr>
          <w:p w14:paraId="52E8EF6F"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p>
        </w:tc>
        <w:tc>
          <w:tcPr>
            <w:tcW w:w="1201" w:type="pct"/>
            <w:shd w:val="clear" w:color="auto" w:fill="auto"/>
            <w:vAlign w:val="center"/>
          </w:tcPr>
          <w:p w14:paraId="4D3658E7"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10</w:t>
            </w:r>
          </w:p>
        </w:tc>
        <w:tc>
          <w:tcPr>
            <w:tcW w:w="1144" w:type="pct"/>
            <w:shd w:val="clear" w:color="auto" w:fill="auto"/>
          </w:tcPr>
          <w:p w14:paraId="38FD7F1E"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N_Min_CS</w:t>
            </w:r>
          </w:p>
        </w:tc>
      </w:tr>
      <w:tr w:rsidR="000342B1" w:rsidRPr="000342B1" w14:paraId="65611255" w14:textId="77777777" w:rsidTr="000342B1">
        <w:trPr>
          <w:cantSplit/>
        </w:trPr>
        <w:tc>
          <w:tcPr>
            <w:tcW w:w="1167" w:type="pct"/>
            <w:vMerge/>
            <w:shd w:val="clear" w:color="auto" w:fill="auto"/>
            <w:vAlign w:val="center"/>
          </w:tcPr>
          <w:p w14:paraId="2A7451C8"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p>
        </w:tc>
        <w:tc>
          <w:tcPr>
            <w:tcW w:w="1488" w:type="pct"/>
            <w:vMerge/>
            <w:shd w:val="clear" w:color="auto" w:fill="auto"/>
            <w:vAlign w:val="center"/>
          </w:tcPr>
          <w:p w14:paraId="4B72341B"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p>
        </w:tc>
        <w:tc>
          <w:tcPr>
            <w:tcW w:w="1201" w:type="pct"/>
            <w:shd w:val="clear" w:color="auto" w:fill="auto"/>
            <w:vAlign w:val="center"/>
          </w:tcPr>
          <w:p w14:paraId="7745D077"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11</w:t>
            </w:r>
          </w:p>
        </w:tc>
        <w:tc>
          <w:tcPr>
            <w:tcW w:w="1144" w:type="pct"/>
            <w:shd w:val="clear" w:color="auto" w:fill="auto"/>
          </w:tcPr>
          <w:p w14:paraId="4C5B4B35"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N_Skew_CS</w:t>
            </w:r>
          </w:p>
        </w:tc>
      </w:tr>
      <w:tr w:rsidR="000342B1" w:rsidRPr="000342B1" w14:paraId="57B9BF08" w14:textId="77777777" w:rsidTr="000342B1">
        <w:trPr>
          <w:cantSplit/>
        </w:trPr>
        <w:tc>
          <w:tcPr>
            <w:tcW w:w="1167" w:type="pct"/>
            <w:vMerge/>
            <w:shd w:val="clear" w:color="auto" w:fill="auto"/>
            <w:vAlign w:val="center"/>
          </w:tcPr>
          <w:p w14:paraId="58093E2A"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p>
        </w:tc>
        <w:tc>
          <w:tcPr>
            <w:tcW w:w="2689" w:type="pct"/>
            <w:gridSpan w:val="2"/>
            <w:shd w:val="clear" w:color="auto" w:fill="auto"/>
            <w:vAlign w:val="center"/>
          </w:tcPr>
          <w:p w14:paraId="75A2B1B0"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r w:rsidRPr="000342B1">
              <w:rPr>
                <w:rFonts w:cs="Arial"/>
                <w:sz w:val="20"/>
                <w:szCs w:val="20"/>
                <w:lang w:val="sr-Latn-RS"/>
              </w:rPr>
              <w:t>Number of Units</w:t>
            </w:r>
            <w:r w:rsidRPr="000342B1">
              <w:rPr>
                <w:rFonts w:cs="Arial"/>
                <w:sz w:val="20"/>
                <w:szCs w:val="20"/>
                <w:vertAlign w:val="superscript"/>
                <w:lang w:val="sr-Latn-RS"/>
              </w:rPr>
              <w:t>a</w:t>
            </w:r>
          </w:p>
        </w:tc>
        <w:tc>
          <w:tcPr>
            <w:tcW w:w="1144" w:type="pct"/>
            <w:shd w:val="clear" w:color="auto" w:fill="auto"/>
          </w:tcPr>
          <w:p w14:paraId="7D87A45F"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11</w:t>
            </w:r>
          </w:p>
        </w:tc>
      </w:tr>
      <w:tr w:rsidR="000342B1" w:rsidRPr="000342B1" w14:paraId="03671A39" w14:textId="77777777" w:rsidTr="000342B1">
        <w:trPr>
          <w:cantSplit/>
        </w:trPr>
        <w:tc>
          <w:tcPr>
            <w:tcW w:w="1167" w:type="pct"/>
            <w:vMerge/>
            <w:shd w:val="clear" w:color="auto" w:fill="auto"/>
            <w:vAlign w:val="center"/>
          </w:tcPr>
          <w:p w14:paraId="0BE26CC0"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p>
        </w:tc>
        <w:tc>
          <w:tcPr>
            <w:tcW w:w="2689" w:type="pct"/>
            <w:gridSpan w:val="2"/>
            <w:shd w:val="clear" w:color="auto" w:fill="auto"/>
            <w:vAlign w:val="center"/>
          </w:tcPr>
          <w:p w14:paraId="0872C93C"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r w:rsidRPr="000342B1">
              <w:rPr>
                <w:rFonts w:cs="Arial"/>
                <w:sz w:val="20"/>
                <w:szCs w:val="20"/>
                <w:lang w:val="sr-Latn-RS"/>
              </w:rPr>
              <w:t>Rescaling Method for Covariates</w:t>
            </w:r>
          </w:p>
        </w:tc>
        <w:tc>
          <w:tcPr>
            <w:tcW w:w="1144" w:type="pct"/>
            <w:shd w:val="clear" w:color="auto" w:fill="auto"/>
          </w:tcPr>
          <w:p w14:paraId="369EC137"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Standardized</w:t>
            </w:r>
          </w:p>
        </w:tc>
      </w:tr>
      <w:tr w:rsidR="000342B1" w:rsidRPr="000342B1" w14:paraId="700C4426" w14:textId="77777777" w:rsidTr="000342B1">
        <w:trPr>
          <w:cantSplit/>
        </w:trPr>
        <w:tc>
          <w:tcPr>
            <w:tcW w:w="1167" w:type="pct"/>
            <w:vMerge w:val="restart"/>
            <w:shd w:val="clear" w:color="auto" w:fill="auto"/>
            <w:vAlign w:val="center"/>
          </w:tcPr>
          <w:p w14:paraId="2565BBE0"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r w:rsidRPr="000342B1">
              <w:rPr>
                <w:rFonts w:cs="Arial"/>
                <w:sz w:val="20"/>
                <w:szCs w:val="20"/>
                <w:lang w:val="sr-Latn-RS"/>
              </w:rPr>
              <w:t>Hidden Layer(s)</w:t>
            </w:r>
          </w:p>
        </w:tc>
        <w:tc>
          <w:tcPr>
            <w:tcW w:w="2689" w:type="pct"/>
            <w:gridSpan w:val="2"/>
            <w:shd w:val="clear" w:color="auto" w:fill="auto"/>
            <w:vAlign w:val="center"/>
          </w:tcPr>
          <w:p w14:paraId="4AE53892"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r w:rsidRPr="000342B1">
              <w:rPr>
                <w:rFonts w:cs="Arial"/>
                <w:sz w:val="20"/>
                <w:szCs w:val="20"/>
                <w:lang w:val="sr-Latn-RS"/>
              </w:rPr>
              <w:t>Number of Hidden Layers</w:t>
            </w:r>
          </w:p>
        </w:tc>
        <w:tc>
          <w:tcPr>
            <w:tcW w:w="1144" w:type="pct"/>
            <w:shd w:val="clear" w:color="auto" w:fill="auto"/>
          </w:tcPr>
          <w:p w14:paraId="56B81BB8"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1</w:t>
            </w:r>
          </w:p>
        </w:tc>
      </w:tr>
      <w:tr w:rsidR="000342B1" w:rsidRPr="000342B1" w14:paraId="16F9EC4F" w14:textId="77777777" w:rsidTr="000342B1">
        <w:trPr>
          <w:cantSplit/>
        </w:trPr>
        <w:tc>
          <w:tcPr>
            <w:tcW w:w="1167" w:type="pct"/>
            <w:vMerge/>
            <w:shd w:val="clear" w:color="auto" w:fill="auto"/>
            <w:vAlign w:val="center"/>
          </w:tcPr>
          <w:p w14:paraId="219F4BA2"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p>
        </w:tc>
        <w:tc>
          <w:tcPr>
            <w:tcW w:w="2689" w:type="pct"/>
            <w:gridSpan w:val="2"/>
            <w:shd w:val="clear" w:color="auto" w:fill="auto"/>
            <w:vAlign w:val="center"/>
          </w:tcPr>
          <w:p w14:paraId="772559FE"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r w:rsidRPr="000342B1">
              <w:rPr>
                <w:rFonts w:cs="Arial"/>
                <w:sz w:val="20"/>
                <w:szCs w:val="20"/>
                <w:lang w:val="sr-Latn-RS"/>
              </w:rPr>
              <w:t>Number of Units in Hidden Layer 1</w:t>
            </w:r>
            <w:r w:rsidRPr="000342B1">
              <w:rPr>
                <w:rFonts w:cs="Arial"/>
                <w:sz w:val="20"/>
                <w:szCs w:val="20"/>
                <w:vertAlign w:val="superscript"/>
                <w:lang w:val="sr-Latn-RS"/>
              </w:rPr>
              <w:t>a</w:t>
            </w:r>
          </w:p>
        </w:tc>
        <w:tc>
          <w:tcPr>
            <w:tcW w:w="1144" w:type="pct"/>
            <w:shd w:val="clear" w:color="auto" w:fill="auto"/>
          </w:tcPr>
          <w:p w14:paraId="6EFA64CD"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8</w:t>
            </w:r>
          </w:p>
        </w:tc>
      </w:tr>
      <w:tr w:rsidR="000342B1" w:rsidRPr="000342B1" w14:paraId="759323BB" w14:textId="77777777" w:rsidTr="000342B1">
        <w:trPr>
          <w:cantSplit/>
        </w:trPr>
        <w:tc>
          <w:tcPr>
            <w:tcW w:w="1167" w:type="pct"/>
            <w:vMerge/>
            <w:shd w:val="clear" w:color="auto" w:fill="auto"/>
            <w:vAlign w:val="center"/>
          </w:tcPr>
          <w:p w14:paraId="0CEB5277"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p>
        </w:tc>
        <w:tc>
          <w:tcPr>
            <w:tcW w:w="2689" w:type="pct"/>
            <w:gridSpan w:val="2"/>
            <w:shd w:val="clear" w:color="auto" w:fill="auto"/>
            <w:vAlign w:val="center"/>
          </w:tcPr>
          <w:p w14:paraId="3AC768D0"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r w:rsidRPr="000342B1">
              <w:rPr>
                <w:rFonts w:cs="Arial"/>
                <w:sz w:val="20"/>
                <w:szCs w:val="20"/>
                <w:lang w:val="sr-Latn-RS"/>
              </w:rPr>
              <w:t>Activation Function</w:t>
            </w:r>
          </w:p>
        </w:tc>
        <w:tc>
          <w:tcPr>
            <w:tcW w:w="1144" w:type="pct"/>
            <w:shd w:val="clear" w:color="auto" w:fill="auto"/>
          </w:tcPr>
          <w:p w14:paraId="0F0CB547"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Sigmoid</w:t>
            </w:r>
          </w:p>
        </w:tc>
      </w:tr>
      <w:tr w:rsidR="000342B1" w:rsidRPr="000342B1" w14:paraId="08AC65C7" w14:textId="77777777" w:rsidTr="000342B1">
        <w:trPr>
          <w:cantSplit/>
        </w:trPr>
        <w:tc>
          <w:tcPr>
            <w:tcW w:w="1167" w:type="pct"/>
            <w:vMerge w:val="restart"/>
            <w:shd w:val="clear" w:color="auto" w:fill="auto"/>
            <w:vAlign w:val="center"/>
          </w:tcPr>
          <w:p w14:paraId="28CEACF4"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r w:rsidRPr="000342B1">
              <w:rPr>
                <w:rFonts w:cs="Arial"/>
                <w:sz w:val="20"/>
                <w:szCs w:val="20"/>
                <w:lang w:val="sr-Latn-RS"/>
              </w:rPr>
              <w:t>Output Layer</w:t>
            </w:r>
          </w:p>
        </w:tc>
        <w:tc>
          <w:tcPr>
            <w:tcW w:w="1488" w:type="pct"/>
            <w:shd w:val="clear" w:color="auto" w:fill="auto"/>
            <w:vAlign w:val="center"/>
          </w:tcPr>
          <w:p w14:paraId="1BCDD566"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r w:rsidRPr="000342B1">
              <w:rPr>
                <w:rFonts w:cs="Arial"/>
                <w:sz w:val="20"/>
                <w:szCs w:val="20"/>
                <w:lang w:val="sr-Latn-RS"/>
              </w:rPr>
              <w:t>Dependent Variables</w:t>
            </w:r>
          </w:p>
        </w:tc>
        <w:tc>
          <w:tcPr>
            <w:tcW w:w="1201" w:type="pct"/>
            <w:shd w:val="clear" w:color="auto" w:fill="auto"/>
            <w:vAlign w:val="center"/>
          </w:tcPr>
          <w:p w14:paraId="42806BD8"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1</w:t>
            </w:r>
          </w:p>
        </w:tc>
        <w:tc>
          <w:tcPr>
            <w:tcW w:w="1144" w:type="pct"/>
            <w:shd w:val="clear" w:color="auto" w:fill="auto"/>
          </w:tcPr>
          <w:p w14:paraId="53B60360"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Degradation_CS</w:t>
            </w:r>
          </w:p>
        </w:tc>
      </w:tr>
      <w:tr w:rsidR="000342B1" w:rsidRPr="000342B1" w14:paraId="427E0807" w14:textId="77777777" w:rsidTr="000342B1">
        <w:trPr>
          <w:cantSplit/>
        </w:trPr>
        <w:tc>
          <w:tcPr>
            <w:tcW w:w="1167" w:type="pct"/>
            <w:vMerge/>
            <w:shd w:val="clear" w:color="auto" w:fill="auto"/>
            <w:vAlign w:val="center"/>
          </w:tcPr>
          <w:p w14:paraId="58C925FC"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p>
        </w:tc>
        <w:tc>
          <w:tcPr>
            <w:tcW w:w="2689" w:type="pct"/>
            <w:gridSpan w:val="2"/>
            <w:shd w:val="clear" w:color="auto" w:fill="auto"/>
            <w:vAlign w:val="center"/>
          </w:tcPr>
          <w:p w14:paraId="37C31235"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r w:rsidRPr="000342B1">
              <w:rPr>
                <w:rFonts w:cs="Arial"/>
                <w:sz w:val="20"/>
                <w:szCs w:val="20"/>
                <w:lang w:val="sr-Latn-RS"/>
              </w:rPr>
              <w:t>Number of Units</w:t>
            </w:r>
          </w:p>
        </w:tc>
        <w:tc>
          <w:tcPr>
            <w:tcW w:w="1144" w:type="pct"/>
            <w:shd w:val="clear" w:color="auto" w:fill="auto"/>
          </w:tcPr>
          <w:p w14:paraId="519E570A"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2</w:t>
            </w:r>
          </w:p>
        </w:tc>
      </w:tr>
      <w:tr w:rsidR="000342B1" w:rsidRPr="000342B1" w14:paraId="7C26E787" w14:textId="77777777" w:rsidTr="000342B1">
        <w:trPr>
          <w:cantSplit/>
        </w:trPr>
        <w:tc>
          <w:tcPr>
            <w:tcW w:w="1167" w:type="pct"/>
            <w:vMerge/>
            <w:shd w:val="clear" w:color="auto" w:fill="auto"/>
            <w:vAlign w:val="center"/>
          </w:tcPr>
          <w:p w14:paraId="7806D5DF"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p>
        </w:tc>
        <w:tc>
          <w:tcPr>
            <w:tcW w:w="2689" w:type="pct"/>
            <w:gridSpan w:val="2"/>
            <w:shd w:val="clear" w:color="auto" w:fill="auto"/>
            <w:vAlign w:val="center"/>
          </w:tcPr>
          <w:p w14:paraId="3947CA57"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r w:rsidRPr="000342B1">
              <w:rPr>
                <w:rFonts w:cs="Arial"/>
                <w:sz w:val="20"/>
                <w:szCs w:val="20"/>
                <w:lang w:val="sr-Latn-RS"/>
              </w:rPr>
              <w:t>Activation Function</w:t>
            </w:r>
          </w:p>
        </w:tc>
        <w:tc>
          <w:tcPr>
            <w:tcW w:w="1144" w:type="pct"/>
            <w:shd w:val="clear" w:color="auto" w:fill="auto"/>
          </w:tcPr>
          <w:p w14:paraId="122A4F0A"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Sigmoid</w:t>
            </w:r>
          </w:p>
        </w:tc>
      </w:tr>
      <w:tr w:rsidR="000342B1" w:rsidRPr="000342B1" w14:paraId="0064B569" w14:textId="77777777" w:rsidTr="000342B1">
        <w:trPr>
          <w:cantSplit/>
        </w:trPr>
        <w:tc>
          <w:tcPr>
            <w:tcW w:w="1167" w:type="pct"/>
            <w:vMerge/>
            <w:tcBorders>
              <w:bottom w:val="single" w:sz="4" w:space="0" w:color="152935"/>
            </w:tcBorders>
            <w:shd w:val="clear" w:color="auto" w:fill="auto"/>
            <w:vAlign w:val="center"/>
          </w:tcPr>
          <w:p w14:paraId="7B8D2F62"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p>
        </w:tc>
        <w:tc>
          <w:tcPr>
            <w:tcW w:w="2689" w:type="pct"/>
            <w:gridSpan w:val="2"/>
            <w:tcBorders>
              <w:bottom w:val="single" w:sz="4" w:space="0" w:color="152935"/>
            </w:tcBorders>
            <w:shd w:val="clear" w:color="auto" w:fill="auto"/>
            <w:vAlign w:val="center"/>
          </w:tcPr>
          <w:p w14:paraId="725FC0DA"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r w:rsidRPr="000342B1">
              <w:rPr>
                <w:rFonts w:cs="Arial"/>
                <w:sz w:val="20"/>
                <w:szCs w:val="20"/>
                <w:lang w:val="sr-Latn-RS"/>
              </w:rPr>
              <w:t>Error Function</w:t>
            </w:r>
          </w:p>
        </w:tc>
        <w:tc>
          <w:tcPr>
            <w:tcW w:w="1144" w:type="pct"/>
            <w:tcBorders>
              <w:bottom w:val="single" w:sz="4" w:space="0" w:color="152935"/>
            </w:tcBorders>
            <w:shd w:val="clear" w:color="auto" w:fill="auto"/>
          </w:tcPr>
          <w:p w14:paraId="5E766DF2" w14:textId="77777777" w:rsidR="00C51435" w:rsidRPr="000342B1" w:rsidRDefault="00C51435" w:rsidP="000342B1">
            <w:pPr>
              <w:autoSpaceDE w:val="0"/>
              <w:autoSpaceDN w:val="0"/>
              <w:adjustRightInd w:val="0"/>
              <w:spacing w:before="0" w:after="0"/>
              <w:ind w:left="57" w:right="57"/>
              <w:jc w:val="right"/>
              <w:rPr>
                <w:rFonts w:cs="Arial"/>
                <w:sz w:val="20"/>
                <w:szCs w:val="20"/>
                <w:lang w:val="sr-Latn-RS"/>
              </w:rPr>
            </w:pPr>
            <w:r w:rsidRPr="000342B1">
              <w:rPr>
                <w:rFonts w:cs="Arial"/>
                <w:sz w:val="20"/>
                <w:szCs w:val="20"/>
                <w:lang w:val="sr-Latn-RS"/>
              </w:rPr>
              <w:t>Sum of Squares</w:t>
            </w:r>
          </w:p>
        </w:tc>
      </w:tr>
      <w:tr w:rsidR="000342B1" w:rsidRPr="000342B1" w14:paraId="5DE01561" w14:textId="77777777" w:rsidTr="000342B1">
        <w:trPr>
          <w:cantSplit/>
        </w:trPr>
        <w:tc>
          <w:tcPr>
            <w:tcW w:w="5000" w:type="pct"/>
            <w:gridSpan w:val="4"/>
            <w:tcBorders>
              <w:top w:val="single" w:sz="4" w:space="0" w:color="152935"/>
            </w:tcBorders>
            <w:shd w:val="clear" w:color="auto" w:fill="auto"/>
          </w:tcPr>
          <w:p w14:paraId="32901E1D" w14:textId="77777777" w:rsidR="00C51435" w:rsidRPr="000342B1" w:rsidRDefault="00C51435" w:rsidP="000342B1">
            <w:pPr>
              <w:autoSpaceDE w:val="0"/>
              <w:autoSpaceDN w:val="0"/>
              <w:adjustRightInd w:val="0"/>
              <w:spacing w:before="0" w:after="0"/>
              <w:ind w:left="57" w:right="57"/>
              <w:jc w:val="left"/>
              <w:rPr>
                <w:rFonts w:cs="Arial"/>
                <w:sz w:val="20"/>
                <w:szCs w:val="20"/>
                <w:lang w:val="sr-Latn-RS"/>
              </w:rPr>
            </w:pPr>
            <w:r w:rsidRPr="000342B1">
              <w:rPr>
                <w:rFonts w:cs="Arial"/>
                <w:sz w:val="18"/>
                <w:szCs w:val="18"/>
                <w:lang w:val="sr-Latn-RS"/>
              </w:rPr>
              <w:t>a. Excluding the bias unit</w:t>
            </w:r>
          </w:p>
        </w:tc>
      </w:tr>
    </w:tbl>
    <w:p w14:paraId="1A32CEE7" w14:textId="796ABA65" w:rsidR="007225E0" w:rsidRDefault="001732EA" w:rsidP="007225E0">
      <w:r>
        <w:rPr>
          <w:lang w:val="sr-Latn-RS"/>
        </w:rPr>
        <w:t xml:space="preserve">The summary of processing time and 100 epochs for training the data are represented in </w:t>
      </w:r>
      <w:r>
        <w:rPr>
          <w:lang w:val="sr-Latn-RS"/>
        </w:rPr>
        <w:fldChar w:fldCharType="begin"/>
      </w:r>
      <w:r>
        <w:rPr>
          <w:lang w:val="sr-Latn-RS"/>
        </w:rPr>
        <w:instrText xml:space="preserve"> REF _Ref98747716 \h </w:instrText>
      </w:r>
      <w:r>
        <w:rPr>
          <w:lang w:val="sr-Latn-RS"/>
        </w:rPr>
      </w:r>
      <w:r>
        <w:rPr>
          <w:lang w:val="sr-Latn-RS"/>
        </w:rPr>
        <w:fldChar w:fldCharType="separate"/>
      </w:r>
      <w:r w:rsidR="00587AF0">
        <w:t xml:space="preserve">Table </w:t>
      </w:r>
      <w:r w:rsidR="00587AF0">
        <w:rPr>
          <w:noProof/>
        </w:rPr>
        <w:t>45</w:t>
      </w:r>
      <w:r>
        <w:rPr>
          <w:lang w:val="sr-Latn-RS"/>
        </w:rPr>
        <w:fldChar w:fldCharType="end"/>
      </w:r>
      <w:r>
        <w:rPr>
          <w:lang w:val="sr-Latn-RS"/>
        </w:rPr>
        <w:t xml:space="preserve">. However, although the stopping rule was the same, </w:t>
      </w:r>
      <w:r w:rsidR="00F5373B">
        <w:rPr>
          <w:lang w:val="sr-Latn-RS"/>
        </w:rPr>
        <w:t xml:space="preserve">the </w:t>
      </w:r>
      <w:r>
        <w:rPr>
          <w:lang w:val="sr-Latn-RS"/>
        </w:rPr>
        <w:t xml:space="preserve">time for training the last network took 14 sec, doubling the second training and tripling the first training network. The PC used for training is Inter(R) i3-4170 3.7GHz, 8 GB RAM, </w:t>
      </w:r>
      <w:r w:rsidR="00F5373B">
        <w:rPr>
          <w:lang w:val="sr-Latn-RS"/>
        </w:rPr>
        <w:t>Nv</w:t>
      </w:r>
      <w:r>
        <w:rPr>
          <w:lang w:val="sr-Latn-RS"/>
        </w:rPr>
        <w:t>idia GeForce GT 1030 graphics. After the training was done</w:t>
      </w:r>
      <w:r w:rsidR="00F5373B">
        <w:rPr>
          <w:lang w:val="sr-Latn-RS"/>
        </w:rPr>
        <w:t>,</w:t>
      </w:r>
      <w:r>
        <w:rPr>
          <w:lang w:val="sr-Latn-RS"/>
        </w:rPr>
        <w:t xml:space="preserve"> SSE was 10.384 with 1.6% incorrect predictions with 100 epochs reached.</w:t>
      </w:r>
    </w:p>
    <w:p w14:paraId="2A382346" w14:textId="434B6800" w:rsidR="007225E0" w:rsidRPr="003A3640" w:rsidRDefault="007225E0" w:rsidP="007225E0">
      <w:pPr>
        <w:pStyle w:val="Caption"/>
        <w:jc w:val="both"/>
        <w:rPr>
          <w:lang w:val="sr-Latn-RS"/>
        </w:rPr>
      </w:pPr>
      <w:bookmarkStart w:id="617" w:name="_Ref98747716"/>
      <w:bookmarkStart w:id="618" w:name="_Toc101274485"/>
      <w:r>
        <w:t xml:space="preserve">Table </w:t>
      </w:r>
      <w:fldSimple w:instr=" SEQ Table \* ARABIC ">
        <w:r w:rsidR="00587AF0">
          <w:rPr>
            <w:noProof/>
          </w:rPr>
          <w:t>45</w:t>
        </w:r>
      </w:fldSimple>
      <w:bookmarkEnd w:id="617"/>
      <w:r>
        <w:t>. ANN model summary at closing saddle opening position</w:t>
      </w:r>
      <w:bookmarkEnd w:id="618"/>
    </w:p>
    <w:tbl>
      <w:tblPr>
        <w:tblW w:w="5000" w:type="pct"/>
        <w:tblCellMar>
          <w:left w:w="0" w:type="dxa"/>
          <w:right w:w="0" w:type="dxa"/>
        </w:tblCellMar>
        <w:tblLook w:val="0000" w:firstRow="0" w:lastRow="0" w:firstColumn="0" w:lastColumn="0" w:noHBand="0" w:noVBand="0"/>
      </w:tblPr>
      <w:tblGrid>
        <w:gridCol w:w="1646"/>
        <w:gridCol w:w="4586"/>
        <w:gridCol w:w="2795"/>
      </w:tblGrid>
      <w:tr w:rsidR="007225E0" w:rsidRPr="001841EE" w14:paraId="5A97D5DC" w14:textId="77777777" w:rsidTr="006A71E0">
        <w:trPr>
          <w:cantSplit/>
        </w:trPr>
        <w:tc>
          <w:tcPr>
            <w:tcW w:w="912" w:type="pct"/>
            <w:tcBorders>
              <w:top w:val="single" w:sz="4" w:space="0" w:color="152935"/>
              <w:bottom w:val="single" w:sz="4" w:space="0" w:color="152935"/>
            </w:tcBorders>
            <w:shd w:val="clear" w:color="auto" w:fill="auto"/>
          </w:tcPr>
          <w:p w14:paraId="46AE067A" w14:textId="77777777" w:rsidR="007225E0" w:rsidRPr="001841EE" w:rsidRDefault="007225E0" w:rsidP="006A71E0">
            <w:pPr>
              <w:autoSpaceDE w:val="0"/>
              <w:autoSpaceDN w:val="0"/>
              <w:adjustRightInd w:val="0"/>
              <w:spacing w:before="0" w:after="0"/>
              <w:ind w:left="57" w:right="57"/>
              <w:jc w:val="left"/>
              <w:rPr>
                <w:rFonts w:cs="Arial"/>
                <w:b/>
                <w:bCs/>
                <w:sz w:val="20"/>
                <w:szCs w:val="20"/>
                <w:lang w:val="sr-Latn-RS"/>
              </w:rPr>
            </w:pPr>
            <w:r w:rsidRPr="001841EE">
              <w:rPr>
                <w:rFonts w:cs="Arial"/>
                <w:b/>
                <w:bCs/>
                <w:sz w:val="20"/>
                <w:szCs w:val="20"/>
                <w:lang w:val="sr-Latn-RS"/>
              </w:rPr>
              <w:t>Properties</w:t>
            </w:r>
          </w:p>
        </w:tc>
        <w:tc>
          <w:tcPr>
            <w:tcW w:w="2540" w:type="pct"/>
            <w:tcBorders>
              <w:top w:val="single" w:sz="4" w:space="0" w:color="152935"/>
              <w:bottom w:val="single" w:sz="4" w:space="0" w:color="152935"/>
            </w:tcBorders>
            <w:shd w:val="clear" w:color="auto" w:fill="auto"/>
          </w:tcPr>
          <w:p w14:paraId="1D3B4C31" w14:textId="77777777" w:rsidR="007225E0" w:rsidRPr="001841EE" w:rsidRDefault="007225E0" w:rsidP="006A71E0">
            <w:pPr>
              <w:autoSpaceDE w:val="0"/>
              <w:autoSpaceDN w:val="0"/>
              <w:adjustRightInd w:val="0"/>
              <w:spacing w:before="0" w:after="0"/>
              <w:ind w:left="57" w:right="57"/>
              <w:jc w:val="left"/>
              <w:rPr>
                <w:rFonts w:cs="Arial"/>
                <w:b/>
                <w:bCs/>
                <w:sz w:val="20"/>
                <w:szCs w:val="20"/>
                <w:lang w:val="sr-Latn-RS"/>
              </w:rPr>
            </w:pPr>
            <w:r w:rsidRPr="001841EE">
              <w:rPr>
                <w:rFonts w:cs="Arial"/>
                <w:b/>
                <w:bCs/>
                <w:sz w:val="20"/>
                <w:szCs w:val="20"/>
                <w:lang w:val="sr-Latn-RS"/>
              </w:rPr>
              <w:t>Information</w:t>
            </w:r>
          </w:p>
        </w:tc>
        <w:tc>
          <w:tcPr>
            <w:tcW w:w="1548" w:type="pct"/>
            <w:tcBorders>
              <w:top w:val="single" w:sz="4" w:space="0" w:color="152935"/>
              <w:bottom w:val="single" w:sz="4" w:space="0" w:color="152935"/>
            </w:tcBorders>
            <w:shd w:val="clear" w:color="auto" w:fill="auto"/>
          </w:tcPr>
          <w:p w14:paraId="06E6AD6D" w14:textId="77777777" w:rsidR="007225E0" w:rsidRPr="001841EE" w:rsidRDefault="007225E0" w:rsidP="006A71E0">
            <w:pPr>
              <w:autoSpaceDE w:val="0"/>
              <w:autoSpaceDN w:val="0"/>
              <w:adjustRightInd w:val="0"/>
              <w:spacing w:before="0" w:after="0"/>
              <w:ind w:left="57" w:right="57"/>
              <w:jc w:val="right"/>
              <w:rPr>
                <w:rFonts w:cs="Arial"/>
                <w:b/>
                <w:bCs/>
                <w:sz w:val="20"/>
                <w:szCs w:val="20"/>
                <w:lang w:val="sr-Latn-RS"/>
              </w:rPr>
            </w:pPr>
            <w:r w:rsidRPr="001841EE">
              <w:rPr>
                <w:rFonts w:cs="Arial"/>
                <w:b/>
                <w:bCs/>
                <w:sz w:val="20"/>
                <w:szCs w:val="20"/>
                <w:lang w:val="sr-Latn-RS"/>
              </w:rPr>
              <w:t>Values</w:t>
            </w:r>
          </w:p>
        </w:tc>
      </w:tr>
      <w:tr w:rsidR="007225E0" w:rsidRPr="001841EE" w14:paraId="0DC06424" w14:textId="77777777" w:rsidTr="006A71E0">
        <w:trPr>
          <w:cantSplit/>
        </w:trPr>
        <w:tc>
          <w:tcPr>
            <w:tcW w:w="912" w:type="pct"/>
            <w:vMerge w:val="restart"/>
            <w:tcBorders>
              <w:top w:val="single" w:sz="4" w:space="0" w:color="152935"/>
              <w:bottom w:val="single" w:sz="4" w:space="0" w:color="152935"/>
            </w:tcBorders>
            <w:shd w:val="clear" w:color="auto" w:fill="auto"/>
            <w:vAlign w:val="center"/>
          </w:tcPr>
          <w:p w14:paraId="0DF439A8" w14:textId="77777777" w:rsidR="007225E0" w:rsidRPr="001841EE" w:rsidRDefault="007225E0" w:rsidP="006A71E0">
            <w:pPr>
              <w:autoSpaceDE w:val="0"/>
              <w:autoSpaceDN w:val="0"/>
              <w:adjustRightInd w:val="0"/>
              <w:spacing w:before="0" w:after="0"/>
              <w:ind w:left="57" w:right="57"/>
              <w:jc w:val="left"/>
              <w:rPr>
                <w:rFonts w:cs="Arial"/>
                <w:sz w:val="20"/>
                <w:szCs w:val="20"/>
                <w:lang w:val="sr-Latn-RS"/>
              </w:rPr>
            </w:pPr>
            <w:r w:rsidRPr="001841EE">
              <w:rPr>
                <w:rFonts w:cs="Arial"/>
                <w:sz w:val="20"/>
                <w:szCs w:val="20"/>
                <w:lang w:val="sr-Latn-RS"/>
              </w:rPr>
              <w:t>Training</w:t>
            </w:r>
          </w:p>
        </w:tc>
        <w:tc>
          <w:tcPr>
            <w:tcW w:w="2540" w:type="pct"/>
            <w:tcBorders>
              <w:top w:val="single" w:sz="4" w:space="0" w:color="152935"/>
            </w:tcBorders>
            <w:shd w:val="clear" w:color="auto" w:fill="auto"/>
            <w:vAlign w:val="center"/>
          </w:tcPr>
          <w:p w14:paraId="6D54A89C" w14:textId="77777777" w:rsidR="007225E0" w:rsidRPr="001841EE" w:rsidRDefault="007225E0" w:rsidP="006A71E0">
            <w:pPr>
              <w:autoSpaceDE w:val="0"/>
              <w:autoSpaceDN w:val="0"/>
              <w:adjustRightInd w:val="0"/>
              <w:spacing w:before="0" w:after="0"/>
              <w:ind w:left="57" w:right="57"/>
              <w:jc w:val="left"/>
              <w:rPr>
                <w:rFonts w:cs="Arial"/>
                <w:sz w:val="20"/>
                <w:szCs w:val="20"/>
                <w:lang w:val="sr-Latn-RS"/>
              </w:rPr>
            </w:pPr>
            <w:r w:rsidRPr="001841EE">
              <w:rPr>
                <w:rFonts w:cs="Arial"/>
                <w:sz w:val="20"/>
                <w:szCs w:val="20"/>
                <w:lang w:val="sr-Latn-RS"/>
              </w:rPr>
              <w:t>Sum of Squares Error</w:t>
            </w:r>
          </w:p>
        </w:tc>
        <w:tc>
          <w:tcPr>
            <w:tcW w:w="1548" w:type="pct"/>
            <w:tcBorders>
              <w:top w:val="single" w:sz="4" w:space="0" w:color="152935"/>
            </w:tcBorders>
            <w:shd w:val="clear" w:color="auto" w:fill="auto"/>
            <w:vAlign w:val="center"/>
          </w:tcPr>
          <w:p w14:paraId="63D56CEB" w14:textId="77777777" w:rsidR="007225E0" w:rsidRPr="001841EE" w:rsidRDefault="007225E0" w:rsidP="006A71E0">
            <w:pPr>
              <w:autoSpaceDE w:val="0"/>
              <w:autoSpaceDN w:val="0"/>
              <w:adjustRightInd w:val="0"/>
              <w:spacing w:before="0" w:after="0"/>
              <w:ind w:left="57" w:right="57"/>
              <w:jc w:val="right"/>
              <w:rPr>
                <w:rFonts w:cs="Arial"/>
                <w:sz w:val="20"/>
                <w:szCs w:val="20"/>
                <w:lang w:val="sr-Latn-RS"/>
              </w:rPr>
            </w:pPr>
            <w:r w:rsidRPr="001841EE">
              <w:rPr>
                <w:rFonts w:cs="Arial"/>
                <w:sz w:val="20"/>
                <w:szCs w:val="20"/>
                <w:lang w:val="sr-Latn-RS"/>
              </w:rPr>
              <w:t>10</w:t>
            </w:r>
            <w:r>
              <w:rPr>
                <w:rFonts w:cs="Arial"/>
                <w:sz w:val="20"/>
                <w:szCs w:val="20"/>
                <w:lang w:val="sr-Latn-RS"/>
              </w:rPr>
              <w:t>.</w:t>
            </w:r>
            <w:r w:rsidRPr="001841EE">
              <w:rPr>
                <w:rFonts w:cs="Arial"/>
                <w:sz w:val="20"/>
                <w:szCs w:val="20"/>
                <w:lang w:val="sr-Latn-RS"/>
              </w:rPr>
              <w:t>384</w:t>
            </w:r>
          </w:p>
        </w:tc>
      </w:tr>
      <w:tr w:rsidR="007225E0" w:rsidRPr="001841EE" w14:paraId="776580B2" w14:textId="77777777" w:rsidTr="006A71E0">
        <w:trPr>
          <w:cantSplit/>
        </w:trPr>
        <w:tc>
          <w:tcPr>
            <w:tcW w:w="912" w:type="pct"/>
            <w:vMerge/>
            <w:tcBorders>
              <w:bottom w:val="single" w:sz="4" w:space="0" w:color="152935"/>
            </w:tcBorders>
            <w:shd w:val="clear" w:color="auto" w:fill="auto"/>
          </w:tcPr>
          <w:p w14:paraId="28CE7AB8" w14:textId="77777777" w:rsidR="007225E0" w:rsidRPr="001841EE" w:rsidRDefault="007225E0" w:rsidP="006A71E0">
            <w:pPr>
              <w:autoSpaceDE w:val="0"/>
              <w:autoSpaceDN w:val="0"/>
              <w:adjustRightInd w:val="0"/>
              <w:spacing w:before="0" w:after="0"/>
              <w:ind w:left="57" w:right="57"/>
              <w:jc w:val="left"/>
              <w:rPr>
                <w:rFonts w:cs="Arial"/>
                <w:sz w:val="20"/>
                <w:szCs w:val="20"/>
                <w:lang w:val="sr-Latn-RS"/>
              </w:rPr>
            </w:pPr>
          </w:p>
        </w:tc>
        <w:tc>
          <w:tcPr>
            <w:tcW w:w="2540" w:type="pct"/>
            <w:shd w:val="clear" w:color="auto" w:fill="auto"/>
            <w:vAlign w:val="center"/>
          </w:tcPr>
          <w:p w14:paraId="14469CD1" w14:textId="77777777" w:rsidR="007225E0" w:rsidRPr="001841EE" w:rsidRDefault="007225E0" w:rsidP="006A71E0">
            <w:pPr>
              <w:autoSpaceDE w:val="0"/>
              <w:autoSpaceDN w:val="0"/>
              <w:adjustRightInd w:val="0"/>
              <w:spacing w:before="0" w:after="0"/>
              <w:ind w:left="57" w:right="57"/>
              <w:jc w:val="left"/>
              <w:rPr>
                <w:rFonts w:cs="Arial"/>
                <w:sz w:val="20"/>
                <w:szCs w:val="20"/>
                <w:lang w:val="sr-Latn-RS"/>
              </w:rPr>
            </w:pPr>
            <w:r w:rsidRPr="001841EE">
              <w:rPr>
                <w:rFonts w:cs="Arial"/>
                <w:sz w:val="20"/>
                <w:szCs w:val="20"/>
                <w:lang w:val="sr-Latn-RS"/>
              </w:rPr>
              <w:t>Percent Incorrect Predictions</w:t>
            </w:r>
          </w:p>
        </w:tc>
        <w:tc>
          <w:tcPr>
            <w:tcW w:w="1548" w:type="pct"/>
            <w:shd w:val="clear" w:color="auto" w:fill="auto"/>
            <w:vAlign w:val="center"/>
          </w:tcPr>
          <w:p w14:paraId="73FACBB3" w14:textId="77777777" w:rsidR="007225E0" w:rsidRPr="001841EE" w:rsidRDefault="007225E0" w:rsidP="006A71E0">
            <w:pPr>
              <w:autoSpaceDE w:val="0"/>
              <w:autoSpaceDN w:val="0"/>
              <w:adjustRightInd w:val="0"/>
              <w:spacing w:before="0" w:after="0"/>
              <w:ind w:left="57" w:right="57"/>
              <w:jc w:val="right"/>
              <w:rPr>
                <w:rFonts w:cs="Arial"/>
                <w:sz w:val="20"/>
                <w:szCs w:val="20"/>
                <w:lang w:val="sr-Latn-RS"/>
              </w:rPr>
            </w:pPr>
            <w:r w:rsidRPr="001841EE">
              <w:rPr>
                <w:rFonts w:cs="Arial"/>
                <w:sz w:val="20"/>
                <w:szCs w:val="20"/>
                <w:lang w:val="sr-Latn-RS"/>
              </w:rPr>
              <w:t>1</w:t>
            </w:r>
            <w:r>
              <w:rPr>
                <w:rFonts w:cs="Arial"/>
                <w:sz w:val="20"/>
                <w:szCs w:val="20"/>
                <w:lang w:val="sr-Latn-RS"/>
              </w:rPr>
              <w:t>.</w:t>
            </w:r>
            <w:r w:rsidRPr="001841EE">
              <w:rPr>
                <w:rFonts w:cs="Arial"/>
                <w:sz w:val="20"/>
                <w:szCs w:val="20"/>
                <w:lang w:val="sr-Latn-RS"/>
              </w:rPr>
              <w:t>6%</w:t>
            </w:r>
          </w:p>
        </w:tc>
      </w:tr>
      <w:tr w:rsidR="007225E0" w:rsidRPr="001841EE" w14:paraId="47844B9D" w14:textId="77777777" w:rsidTr="006A71E0">
        <w:trPr>
          <w:cantSplit/>
        </w:trPr>
        <w:tc>
          <w:tcPr>
            <w:tcW w:w="912" w:type="pct"/>
            <w:vMerge/>
            <w:tcBorders>
              <w:bottom w:val="single" w:sz="4" w:space="0" w:color="152935"/>
            </w:tcBorders>
            <w:shd w:val="clear" w:color="auto" w:fill="auto"/>
          </w:tcPr>
          <w:p w14:paraId="0C071172" w14:textId="77777777" w:rsidR="007225E0" w:rsidRPr="001841EE" w:rsidRDefault="007225E0" w:rsidP="006A71E0">
            <w:pPr>
              <w:autoSpaceDE w:val="0"/>
              <w:autoSpaceDN w:val="0"/>
              <w:adjustRightInd w:val="0"/>
              <w:spacing w:before="0" w:after="0"/>
              <w:ind w:left="57" w:right="57"/>
              <w:jc w:val="left"/>
              <w:rPr>
                <w:rFonts w:cs="Arial"/>
                <w:sz w:val="20"/>
                <w:szCs w:val="20"/>
                <w:lang w:val="sr-Latn-RS"/>
              </w:rPr>
            </w:pPr>
          </w:p>
        </w:tc>
        <w:tc>
          <w:tcPr>
            <w:tcW w:w="2540" w:type="pct"/>
            <w:shd w:val="clear" w:color="auto" w:fill="auto"/>
            <w:vAlign w:val="center"/>
          </w:tcPr>
          <w:p w14:paraId="063501BB" w14:textId="77777777" w:rsidR="007225E0" w:rsidRPr="001841EE" w:rsidRDefault="007225E0" w:rsidP="006A71E0">
            <w:pPr>
              <w:autoSpaceDE w:val="0"/>
              <w:autoSpaceDN w:val="0"/>
              <w:adjustRightInd w:val="0"/>
              <w:spacing w:before="0" w:after="0"/>
              <w:ind w:left="57" w:right="57"/>
              <w:jc w:val="left"/>
              <w:rPr>
                <w:rFonts w:cs="Arial"/>
                <w:sz w:val="20"/>
                <w:szCs w:val="20"/>
                <w:lang w:val="sr-Latn-RS"/>
              </w:rPr>
            </w:pPr>
            <w:r w:rsidRPr="001841EE">
              <w:rPr>
                <w:rFonts w:cs="Arial"/>
                <w:sz w:val="20"/>
                <w:szCs w:val="20"/>
                <w:lang w:val="sr-Latn-RS"/>
              </w:rPr>
              <w:t>Stopping Rule Used</w:t>
            </w:r>
          </w:p>
        </w:tc>
        <w:tc>
          <w:tcPr>
            <w:tcW w:w="1548" w:type="pct"/>
            <w:shd w:val="clear" w:color="auto" w:fill="auto"/>
            <w:vAlign w:val="center"/>
          </w:tcPr>
          <w:p w14:paraId="3A902911" w14:textId="119118F1" w:rsidR="007225E0" w:rsidRPr="001841EE" w:rsidRDefault="00F5373B" w:rsidP="006A71E0">
            <w:pPr>
              <w:autoSpaceDE w:val="0"/>
              <w:autoSpaceDN w:val="0"/>
              <w:adjustRightInd w:val="0"/>
              <w:spacing w:before="0" w:after="0"/>
              <w:ind w:left="57" w:right="57"/>
              <w:jc w:val="right"/>
              <w:rPr>
                <w:rFonts w:cs="Arial"/>
                <w:sz w:val="20"/>
                <w:szCs w:val="20"/>
                <w:lang w:val="sr-Latn-RS"/>
              </w:rPr>
            </w:pPr>
            <w:r>
              <w:rPr>
                <w:rFonts w:cs="Arial"/>
                <w:sz w:val="20"/>
                <w:szCs w:val="20"/>
                <w:lang w:val="sr-Latn-RS"/>
              </w:rPr>
              <w:t>The m</w:t>
            </w:r>
            <w:r w:rsidR="007225E0" w:rsidRPr="001841EE">
              <w:rPr>
                <w:rFonts w:cs="Arial"/>
                <w:sz w:val="20"/>
                <w:szCs w:val="20"/>
                <w:lang w:val="sr-Latn-RS"/>
              </w:rPr>
              <w:t>aximum number of epochs (100) exceeded</w:t>
            </w:r>
          </w:p>
        </w:tc>
      </w:tr>
      <w:tr w:rsidR="007225E0" w:rsidRPr="001841EE" w14:paraId="350AE3EB" w14:textId="77777777" w:rsidTr="006A71E0">
        <w:trPr>
          <w:cantSplit/>
        </w:trPr>
        <w:tc>
          <w:tcPr>
            <w:tcW w:w="912" w:type="pct"/>
            <w:vMerge/>
            <w:tcBorders>
              <w:bottom w:val="single" w:sz="4" w:space="0" w:color="152935"/>
            </w:tcBorders>
            <w:shd w:val="clear" w:color="auto" w:fill="auto"/>
          </w:tcPr>
          <w:p w14:paraId="3955A917" w14:textId="77777777" w:rsidR="007225E0" w:rsidRPr="001841EE" w:rsidRDefault="007225E0" w:rsidP="006A71E0">
            <w:pPr>
              <w:autoSpaceDE w:val="0"/>
              <w:autoSpaceDN w:val="0"/>
              <w:adjustRightInd w:val="0"/>
              <w:spacing w:before="0" w:after="0"/>
              <w:ind w:left="57" w:right="57"/>
              <w:jc w:val="left"/>
              <w:rPr>
                <w:rFonts w:cs="Arial"/>
                <w:sz w:val="20"/>
                <w:szCs w:val="20"/>
                <w:lang w:val="sr-Latn-RS"/>
              </w:rPr>
            </w:pPr>
          </w:p>
        </w:tc>
        <w:tc>
          <w:tcPr>
            <w:tcW w:w="2540" w:type="pct"/>
            <w:tcBorders>
              <w:bottom w:val="single" w:sz="4" w:space="0" w:color="152935"/>
            </w:tcBorders>
            <w:shd w:val="clear" w:color="auto" w:fill="auto"/>
            <w:vAlign w:val="center"/>
          </w:tcPr>
          <w:p w14:paraId="2644B624" w14:textId="77777777" w:rsidR="007225E0" w:rsidRPr="001841EE" w:rsidRDefault="007225E0" w:rsidP="006A71E0">
            <w:pPr>
              <w:autoSpaceDE w:val="0"/>
              <w:autoSpaceDN w:val="0"/>
              <w:adjustRightInd w:val="0"/>
              <w:spacing w:before="0" w:after="0"/>
              <w:ind w:left="57" w:right="57"/>
              <w:jc w:val="left"/>
              <w:rPr>
                <w:rFonts w:cs="Arial"/>
                <w:sz w:val="20"/>
                <w:szCs w:val="20"/>
                <w:lang w:val="sr-Latn-RS"/>
              </w:rPr>
            </w:pPr>
            <w:r w:rsidRPr="001841EE">
              <w:rPr>
                <w:rFonts w:cs="Arial"/>
                <w:sz w:val="20"/>
                <w:szCs w:val="20"/>
                <w:lang w:val="sr-Latn-RS"/>
              </w:rPr>
              <w:t>Training Time</w:t>
            </w:r>
          </w:p>
        </w:tc>
        <w:tc>
          <w:tcPr>
            <w:tcW w:w="1548" w:type="pct"/>
            <w:tcBorders>
              <w:bottom w:val="single" w:sz="4" w:space="0" w:color="152935"/>
            </w:tcBorders>
            <w:shd w:val="clear" w:color="auto" w:fill="auto"/>
            <w:vAlign w:val="center"/>
          </w:tcPr>
          <w:p w14:paraId="350C544D" w14:textId="77777777" w:rsidR="007225E0" w:rsidRPr="001841EE" w:rsidRDefault="007225E0" w:rsidP="006A71E0">
            <w:pPr>
              <w:autoSpaceDE w:val="0"/>
              <w:autoSpaceDN w:val="0"/>
              <w:adjustRightInd w:val="0"/>
              <w:spacing w:before="0" w:after="0"/>
              <w:ind w:left="57" w:right="57"/>
              <w:jc w:val="right"/>
              <w:rPr>
                <w:rFonts w:cs="Arial"/>
                <w:sz w:val="20"/>
                <w:szCs w:val="20"/>
                <w:lang w:val="sr-Latn-RS"/>
              </w:rPr>
            </w:pPr>
            <w:r w:rsidRPr="001841EE">
              <w:rPr>
                <w:rFonts w:cs="Arial"/>
                <w:sz w:val="20"/>
                <w:szCs w:val="20"/>
                <w:lang w:val="sr-Latn-RS"/>
              </w:rPr>
              <w:t>0:00:00</w:t>
            </w:r>
            <w:r>
              <w:rPr>
                <w:rFonts w:cs="Arial"/>
                <w:sz w:val="20"/>
                <w:szCs w:val="20"/>
                <w:lang w:val="sr-Latn-RS"/>
              </w:rPr>
              <w:t>.</w:t>
            </w:r>
            <w:r w:rsidRPr="001841EE">
              <w:rPr>
                <w:rFonts w:cs="Arial"/>
                <w:sz w:val="20"/>
                <w:szCs w:val="20"/>
                <w:lang w:val="sr-Latn-RS"/>
              </w:rPr>
              <w:t>14</w:t>
            </w:r>
          </w:p>
        </w:tc>
      </w:tr>
      <w:tr w:rsidR="007225E0" w:rsidRPr="001841EE" w14:paraId="266B9CE0" w14:textId="77777777" w:rsidTr="006A71E0">
        <w:trPr>
          <w:cantSplit/>
        </w:trPr>
        <w:tc>
          <w:tcPr>
            <w:tcW w:w="5000" w:type="pct"/>
            <w:gridSpan w:val="3"/>
            <w:shd w:val="clear" w:color="auto" w:fill="auto"/>
          </w:tcPr>
          <w:p w14:paraId="7DD66EF5" w14:textId="77777777" w:rsidR="007225E0" w:rsidRPr="001841EE" w:rsidRDefault="007225E0" w:rsidP="006A71E0">
            <w:pPr>
              <w:autoSpaceDE w:val="0"/>
              <w:autoSpaceDN w:val="0"/>
              <w:adjustRightInd w:val="0"/>
              <w:spacing w:before="0" w:after="0"/>
              <w:ind w:left="57" w:right="57"/>
              <w:jc w:val="left"/>
              <w:rPr>
                <w:rFonts w:cs="Arial"/>
                <w:sz w:val="20"/>
                <w:szCs w:val="20"/>
                <w:lang w:val="sr-Latn-RS"/>
              </w:rPr>
            </w:pPr>
            <w:r w:rsidRPr="001841EE">
              <w:rPr>
                <w:rFonts w:cs="Arial"/>
                <w:sz w:val="18"/>
                <w:szCs w:val="18"/>
                <w:lang w:val="sr-Latn-RS"/>
              </w:rPr>
              <w:t>Dependent Variable: Degradation_CS</w:t>
            </w:r>
          </w:p>
        </w:tc>
      </w:tr>
    </w:tbl>
    <w:p w14:paraId="40222DFC" w14:textId="77777777" w:rsidR="00C51435" w:rsidRPr="00532737" w:rsidRDefault="00C51435" w:rsidP="00477AB2">
      <w:pPr>
        <w:rPr>
          <w:lang w:val="sr-Latn-RS"/>
        </w:rPr>
      </w:pPr>
    </w:p>
    <w:p w14:paraId="3D938A3E" w14:textId="6A7B425E" w:rsidR="00C51435" w:rsidRDefault="00C51435" w:rsidP="00C51435">
      <w:pPr>
        <w:autoSpaceDE w:val="0"/>
        <w:autoSpaceDN w:val="0"/>
        <w:adjustRightInd w:val="0"/>
        <w:spacing w:before="0" w:after="0"/>
        <w:jc w:val="center"/>
        <w:rPr>
          <w:rFonts w:ascii="Times New Roman" w:hAnsi="Times New Roman" w:cs="Times New Roman"/>
          <w:szCs w:val="24"/>
          <w:lang w:val="sr-Latn-RS"/>
        </w:rPr>
      </w:pPr>
      <w:r>
        <w:rPr>
          <w:rFonts w:ascii="Times New Roman" w:hAnsi="Times New Roman" w:cs="Times New Roman"/>
          <w:noProof/>
          <w:szCs w:val="24"/>
          <w:lang w:val="sr-Latn-RS"/>
        </w:rPr>
        <w:lastRenderedPageBreak/>
        <w:drawing>
          <wp:inline distT="0" distB="0" distL="0" distR="0" wp14:anchorId="6D8C61DF" wp14:editId="207C71D4">
            <wp:extent cx="5184375" cy="7315200"/>
            <wp:effectExtent l="0" t="0" r="0" b="0"/>
            <wp:docPr id="161" name="Picture 1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Diagram&#10;&#10;Description automatically generated"/>
                    <pic:cNvPicPr>
                      <a:picLocks noChangeAspect="1" noChangeArrowheads="1"/>
                    </pic:cNvPicPr>
                  </pic:nvPicPr>
                  <pic:blipFill rotWithShape="1">
                    <a:blip r:embed="rId141">
                      <a:extLst>
                        <a:ext uri="{28A0092B-C50C-407E-A947-70E740481C1C}">
                          <a14:useLocalDpi xmlns:a14="http://schemas.microsoft.com/office/drawing/2010/main" val="0"/>
                        </a:ext>
                      </a:extLst>
                    </a:blip>
                    <a:srcRect t="4315" b="7069"/>
                    <a:stretch/>
                  </pic:blipFill>
                  <pic:spPr bwMode="auto">
                    <a:xfrm>
                      <a:off x="0" y="0"/>
                      <a:ext cx="5184775" cy="7315765"/>
                    </a:xfrm>
                    <a:prstGeom prst="rect">
                      <a:avLst/>
                    </a:prstGeom>
                    <a:noFill/>
                    <a:ln>
                      <a:noFill/>
                    </a:ln>
                    <a:extLst>
                      <a:ext uri="{53640926-AAD7-44D8-BBD7-CCE9431645EC}">
                        <a14:shadowObscured xmlns:a14="http://schemas.microsoft.com/office/drawing/2010/main"/>
                      </a:ext>
                    </a:extLst>
                  </pic:spPr>
                </pic:pic>
              </a:graphicData>
            </a:graphic>
          </wp:inline>
        </w:drawing>
      </w:r>
    </w:p>
    <w:p w14:paraId="447C2222" w14:textId="43EA73B5" w:rsidR="00532737" w:rsidRDefault="00642904" w:rsidP="00642904">
      <w:pPr>
        <w:pStyle w:val="Caption"/>
        <w:rPr>
          <w:rFonts w:ascii="Times New Roman" w:hAnsi="Times New Roman" w:cs="Times New Roman"/>
          <w:szCs w:val="24"/>
          <w:lang w:val="sr-Latn-RS"/>
        </w:rPr>
      </w:pPr>
      <w:bookmarkStart w:id="619" w:name="_Ref98749358"/>
      <w:bookmarkStart w:id="620" w:name="_Toc101274627"/>
      <w:r>
        <w:t xml:space="preserve">Figure </w:t>
      </w:r>
      <w:fldSimple w:instr=" SEQ Figure \* ARABIC ">
        <w:r w:rsidR="00587AF0">
          <w:rPr>
            <w:noProof/>
          </w:rPr>
          <w:t>105</w:t>
        </w:r>
      </w:fldSimple>
      <w:bookmarkEnd w:id="619"/>
      <w:r>
        <w:t xml:space="preserve">. Multilayer perception artificial neural network of </w:t>
      </w:r>
      <w:r w:rsidR="00F5373B">
        <w:t xml:space="preserve">the </w:t>
      </w:r>
      <w:r w:rsidR="001841EE">
        <w:t xml:space="preserve">closing </w:t>
      </w:r>
      <w:r>
        <w:t>saddle with syn</w:t>
      </w:r>
      <w:r w:rsidR="00F5373B">
        <w:t>apt</w:t>
      </w:r>
      <w:r>
        <w:t xml:space="preserve">ic weights &gt; 0 (blue lines) and synoptic weight &lt; 0 (grey lines) with sigmoid activation functions for hidden and output layers using features for </w:t>
      </w:r>
      <w:r w:rsidR="00F5373B">
        <w:t xml:space="preserve">the </w:t>
      </w:r>
      <w:r>
        <w:t>closing saddle regime</w:t>
      </w:r>
      <w:bookmarkEnd w:id="620"/>
    </w:p>
    <w:p w14:paraId="2DDD24A0" w14:textId="42582115" w:rsidR="005C21B1" w:rsidRDefault="00DC4891" w:rsidP="007225E0">
      <w:pPr>
        <w:pStyle w:val="Caption"/>
        <w:jc w:val="both"/>
      </w:pPr>
      <w:r w:rsidRPr="00DC4891">
        <w:t xml:space="preserve">The values of associated weights of given parameters in </w:t>
      </w:r>
      <w:r w:rsidR="00F5373B">
        <w:t xml:space="preserve">the </w:t>
      </w:r>
      <w:r w:rsidRPr="00DC4891">
        <w:t>training model and the bias value are given in</w:t>
      </w:r>
      <w:r>
        <w:t xml:space="preserve"> </w:t>
      </w:r>
      <w:r>
        <w:fldChar w:fldCharType="begin"/>
      </w:r>
      <w:r>
        <w:instrText xml:space="preserve"> REF _Ref98749379 \h </w:instrText>
      </w:r>
      <w:r>
        <w:fldChar w:fldCharType="separate"/>
      </w:r>
      <w:r w:rsidR="00587AF0">
        <w:t xml:space="preserve">Table </w:t>
      </w:r>
      <w:r w:rsidR="00587AF0">
        <w:rPr>
          <w:noProof/>
        </w:rPr>
        <w:t>46</w:t>
      </w:r>
      <w:r>
        <w:fldChar w:fldCharType="end"/>
      </w:r>
      <w:r w:rsidRPr="00DC4891">
        <w:t xml:space="preserve">. </w:t>
      </w:r>
      <w:r w:rsidR="00603F0B">
        <w:t>T</w:t>
      </w:r>
      <w:r w:rsidR="00F5373B">
        <w:t>he weights and biases are used to test</w:t>
      </w:r>
      <w:r w:rsidRPr="00DC4891">
        <w:t xml:space="preserve"> the model prediction properties. The complete look of a neural network is given in </w:t>
      </w:r>
      <w:r>
        <w:fldChar w:fldCharType="begin"/>
      </w:r>
      <w:r>
        <w:instrText xml:space="preserve"> REF _Ref98749358 \h </w:instrText>
      </w:r>
      <w:r>
        <w:fldChar w:fldCharType="separate"/>
      </w:r>
      <w:r w:rsidR="00587AF0">
        <w:t xml:space="preserve">Figure </w:t>
      </w:r>
      <w:r w:rsidR="00587AF0">
        <w:rPr>
          <w:noProof/>
        </w:rPr>
        <w:t>105</w:t>
      </w:r>
      <w:r>
        <w:fldChar w:fldCharType="end"/>
      </w:r>
      <w:r>
        <w:t>.</w:t>
      </w:r>
    </w:p>
    <w:p w14:paraId="466DBC44" w14:textId="77777777" w:rsidR="00447278" w:rsidRPr="00447278" w:rsidRDefault="00447278" w:rsidP="00447278"/>
    <w:p w14:paraId="51CBF135" w14:textId="7CE60509" w:rsidR="007225E0" w:rsidRPr="00C51435" w:rsidRDefault="007225E0" w:rsidP="007225E0">
      <w:pPr>
        <w:pStyle w:val="Caption"/>
        <w:jc w:val="both"/>
        <w:rPr>
          <w:lang w:val="sr-Latn-RS"/>
        </w:rPr>
      </w:pPr>
      <w:bookmarkStart w:id="621" w:name="_Ref98749379"/>
      <w:bookmarkStart w:id="622" w:name="_Toc101274486"/>
      <w:r>
        <w:lastRenderedPageBreak/>
        <w:t xml:space="preserve">Table </w:t>
      </w:r>
      <w:fldSimple w:instr=" SEQ Table \* ARABIC ">
        <w:r w:rsidR="00587AF0">
          <w:rPr>
            <w:noProof/>
          </w:rPr>
          <w:t>46</w:t>
        </w:r>
      </w:fldSimple>
      <w:bookmarkEnd w:id="621"/>
      <w:r>
        <w:t xml:space="preserve">. Parameter estimates ANN at </w:t>
      </w:r>
      <w:r w:rsidR="000E770E">
        <w:t>closing saddle position</w:t>
      </w:r>
      <w:bookmarkEnd w:id="622"/>
    </w:p>
    <w:tbl>
      <w:tblPr>
        <w:tblW w:w="5000" w:type="pct"/>
        <w:tblCellMar>
          <w:left w:w="0" w:type="dxa"/>
          <w:right w:w="0" w:type="dxa"/>
        </w:tblCellMar>
        <w:tblLook w:val="0000" w:firstRow="0" w:lastRow="0" w:firstColumn="0" w:lastColumn="0" w:noHBand="0" w:noVBand="0"/>
      </w:tblPr>
      <w:tblGrid>
        <w:gridCol w:w="581"/>
        <w:gridCol w:w="923"/>
        <w:gridCol w:w="535"/>
        <w:gridCol w:w="546"/>
        <w:gridCol w:w="546"/>
        <w:gridCol w:w="546"/>
        <w:gridCol w:w="546"/>
        <w:gridCol w:w="546"/>
        <w:gridCol w:w="546"/>
        <w:gridCol w:w="546"/>
        <w:gridCol w:w="1562"/>
        <w:gridCol w:w="1604"/>
      </w:tblGrid>
      <w:tr w:rsidR="007225E0" w:rsidRPr="00C51435" w14:paraId="453DE2EC" w14:textId="77777777" w:rsidTr="001D14EA">
        <w:trPr>
          <w:cantSplit/>
        </w:trPr>
        <w:tc>
          <w:tcPr>
            <w:tcW w:w="833" w:type="pct"/>
            <w:gridSpan w:val="2"/>
            <w:vMerge w:val="restart"/>
            <w:tcBorders>
              <w:top w:val="single" w:sz="4" w:space="0" w:color="auto"/>
              <w:left w:val="nil"/>
              <w:bottom w:val="nil"/>
              <w:right w:val="nil"/>
            </w:tcBorders>
            <w:shd w:val="clear" w:color="auto" w:fill="auto"/>
            <w:vAlign w:val="center"/>
          </w:tcPr>
          <w:p w14:paraId="17F15746" w14:textId="77777777" w:rsidR="007225E0" w:rsidRPr="009E7A03" w:rsidRDefault="007225E0" w:rsidP="006A71E0">
            <w:pPr>
              <w:autoSpaceDE w:val="0"/>
              <w:autoSpaceDN w:val="0"/>
              <w:adjustRightInd w:val="0"/>
              <w:spacing w:before="0" w:after="0"/>
              <w:ind w:left="57" w:right="57"/>
              <w:jc w:val="left"/>
              <w:rPr>
                <w:rFonts w:cs="Arial"/>
                <w:b/>
                <w:bCs/>
                <w:sz w:val="16"/>
                <w:szCs w:val="16"/>
                <w:lang w:val="sr-Latn-RS"/>
              </w:rPr>
            </w:pPr>
            <w:r w:rsidRPr="009E7A03">
              <w:rPr>
                <w:rFonts w:cs="Arial"/>
                <w:b/>
                <w:bCs/>
                <w:sz w:val="16"/>
                <w:szCs w:val="16"/>
                <w:lang w:val="sr-Latn-RS"/>
              </w:rPr>
              <w:t>Predictor</w:t>
            </w:r>
          </w:p>
        </w:tc>
        <w:tc>
          <w:tcPr>
            <w:tcW w:w="4167" w:type="pct"/>
            <w:gridSpan w:val="10"/>
            <w:tcBorders>
              <w:top w:val="single" w:sz="4" w:space="0" w:color="auto"/>
              <w:left w:val="nil"/>
              <w:bottom w:val="nil"/>
              <w:right w:val="nil"/>
            </w:tcBorders>
            <w:shd w:val="clear" w:color="auto" w:fill="auto"/>
            <w:vAlign w:val="center"/>
          </w:tcPr>
          <w:p w14:paraId="20ADC3D1" w14:textId="77777777" w:rsidR="007225E0" w:rsidRPr="009E7A03" w:rsidRDefault="007225E0" w:rsidP="001D14EA">
            <w:pPr>
              <w:autoSpaceDE w:val="0"/>
              <w:autoSpaceDN w:val="0"/>
              <w:adjustRightInd w:val="0"/>
              <w:spacing w:before="0" w:after="0"/>
              <w:ind w:left="57" w:right="57"/>
              <w:jc w:val="center"/>
              <w:rPr>
                <w:rFonts w:cs="Arial"/>
                <w:b/>
                <w:bCs/>
                <w:sz w:val="16"/>
                <w:szCs w:val="16"/>
                <w:lang w:val="sr-Latn-RS"/>
              </w:rPr>
            </w:pPr>
            <w:r w:rsidRPr="009E7A03">
              <w:rPr>
                <w:rFonts w:cs="Arial"/>
                <w:b/>
                <w:bCs/>
                <w:sz w:val="16"/>
                <w:szCs w:val="16"/>
                <w:lang w:val="sr-Latn-RS"/>
              </w:rPr>
              <w:t>Predicted</w:t>
            </w:r>
          </w:p>
        </w:tc>
      </w:tr>
      <w:tr w:rsidR="007225E0" w:rsidRPr="00C51435" w14:paraId="348BE0E4" w14:textId="77777777" w:rsidTr="0055385E">
        <w:trPr>
          <w:cantSplit/>
        </w:trPr>
        <w:tc>
          <w:tcPr>
            <w:tcW w:w="833" w:type="pct"/>
            <w:gridSpan w:val="2"/>
            <w:vMerge/>
            <w:tcBorders>
              <w:top w:val="nil"/>
              <w:left w:val="nil"/>
              <w:bottom w:val="nil"/>
            </w:tcBorders>
            <w:shd w:val="clear" w:color="auto" w:fill="auto"/>
            <w:vAlign w:val="bottom"/>
          </w:tcPr>
          <w:p w14:paraId="723741D6" w14:textId="77777777" w:rsidR="007225E0" w:rsidRPr="009E7A03" w:rsidRDefault="007225E0" w:rsidP="006A71E0">
            <w:pPr>
              <w:autoSpaceDE w:val="0"/>
              <w:autoSpaceDN w:val="0"/>
              <w:adjustRightInd w:val="0"/>
              <w:spacing w:before="0" w:after="0"/>
              <w:ind w:left="57" w:right="57"/>
              <w:jc w:val="left"/>
              <w:rPr>
                <w:rFonts w:cs="Arial"/>
                <w:b/>
                <w:bCs/>
                <w:sz w:val="16"/>
                <w:szCs w:val="16"/>
                <w:lang w:val="sr-Latn-RS"/>
              </w:rPr>
            </w:pPr>
          </w:p>
        </w:tc>
        <w:tc>
          <w:tcPr>
            <w:tcW w:w="2361" w:type="pct"/>
            <w:gridSpan w:val="8"/>
            <w:tcBorders>
              <w:top w:val="nil"/>
              <w:bottom w:val="nil"/>
            </w:tcBorders>
            <w:shd w:val="clear" w:color="auto" w:fill="auto"/>
            <w:vAlign w:val="bottom"/>
          </w:tcPr>
          <w:p w14:paraId="4CE5A13B" w14:textId="77777777" w:rsidR="007225E0" w:rsidRPr="009E7A03" w:rsidRDefault="007225E0" w:rsidP="006A71E0">
            <w:pPr>
              <w:autoSpaceDE w:val="0"/>
              <w:autoSpaceDN w:val="0"/>
              <w:adjustRightInd w:val="0"/>
              <w:spacing w:before="0" w:after="0"/>
              <w:ind w:left="57" w:right="57"/>
              <w:jc w:val="center"/>
              <w:rPr>
                <w:rFonts w:cs="Arial"/>
                <w:b/>
                <w:bCs/>
                <w:sz w:val="16"/>
                <w:szCs w:val="16"/>
                <w:lang w:val="sr-Latn-RS"/>
              </w:rPr>
            </w:pPr>
            <w:r w:rsidRPr="009E7A03">
              <w:rPr>
                <w:rFonts w:cs="Arial"/>
                <w:b/>
                <w:bCs/>
                <w:sz w:val="16"/>
                <w:szCs w:val="16"/>
                <w:lang w:val="sr-Latn-RS"/>
              </w:rPr>
              <w:t>Hidden Layer 1</w:t>
            </w:r>
          </w:p>
        </w:tc>
        <w:tc>
          <w:tcPr>
            <w:tcW w:w="1806" w:type="pct"/>
            <w:gridSpan w:val="2"/>
            <w:tcBorders>
              <w:top w:val="nil"/>
              <w:bottom w:val="nil"/>
              <w:right w:val="nil"/>
            </w:tcBorders>
            <w:shd w:val="clear" w:color="auto" w:fill="auto"/>
            <w:vAlign w:val="bottom"/>
          </w:tcPr>
          <w:p w14:paraId="20674341" w14:textId="77777777" w:rsidR="007225E0" w:rsidRPr="009E7A03" w:rsidRDefault="007225E0" w:rsidP="006A71E0">
            <w:pPr>
              <w:autoSpaceDE w:val="0"/>
              <w:autoSpaceDN w:val="0"/>
              <w:adjustRightInd w:val="0"/>
              <w:spacing w:before="0" w:after="0"/>
              <w:ind w:left="57" w:right="57"/>
              <w:jc w:val="center"/>
              <w:rPr>
                <w:rFonts w:cs="Arial"/>
                <w:b/>
                <w:bCs/>
                <w:sz w:val="16"/>
                <w:szCs w:val="16"/>
                <w:lang w:val="sr-Latn-RS"/>
              </w:rPr>
            </w:pPr>
            <w:r w:rsidRPr="009E7A03">
              <w:rPr>
                <w:rFonts w:cs="Arial"/>
                <w:b/>
                <w:bCs/>
                <w:sz w:val="16"/>
                <w:szCs w:val="16"/>
                <w:lang w:val="sr-Latn-RS"/>
              </w:rPr>
              <w:t>Output Layer</w:t>
            </w:r>
          </w:p>
        </w:tc>
      </w:tr>
      <w:tr w:rsidR="007225E0" w:rsidRPr="00C51435" w14:paraId="20E84479" w14:textId="77777777" w:rsidTr="00982E69">
        <w:trPr>
          <w:cantSplit/>
          <w:trHeight w:val="170"/>
        </w:trPr>
        <w:tc>
          <w:tcPr>
            <w:tcW w:w="833" w:type="pct"/>
            <w:gridSpan w:val="2"/>
            <w:vMerge/>
            <w:tcBorders>
              <w:top w:val="nil"/>
              <w:left w:val="nil"/>
              <w:bottom w:val="single" w:sz="4" w:space="0" w:color="auto"/>
            </w:tcBorders>
            <w:shd w:val="clear" w:color="auto" w:fill="auto"/>
            <w:vAlign w:val="bottom"/>
          </w:tcPr>
          <w:p w14:paraId="753F6138" w14:textId="77777777" w:rsidR="007225E0" w:rsidRPr="009E7A03" w:rsidRDefault="007225E0" w:rsidP="006A71E0">
            <w:pPr>
              <w:autoSpaceDE w:val="0"/>
              <w:autoSpaceDN w:val="0"/>
              <w:adjustRightInd w:val="0"/>
              <w:spacing w:before="0" w:after="0"/>
              <w:ind w:left="57" w:right="57"/>
              <w:jc w:val="left"/>
              <w:rPr>
                <w:rFonts w:cs="Arial"/>
                <w:b/>
                <w:bCs/>
                <w:sz w:val="16"/>
                <w:szCs w:val="16"/>
                <w:lang w:val="sr-Latn-RS"/>
              </w:rPr>
            </w:pPr>
          </w:p>
        </w:tc>
        <w:tc>
          <w:tcPr>
            <w:tcW w:w="290" w:type="pct"/>
            <w:tcBorders>
              <w:top w:val="nil"/>
              <w:bottom w:val="single" w:sz="4" w:space="0" w:color="auto"/>
            </w:tcBorders>
            <w:shd w:val="clear" w:color="auto" w:fill="auto"/>
            <w:vAlign w:val="bottom"/>
          </w:tcPr>
          <w:p w14:paraId="1B818BBF" w14:textId="77777777" w:rsidR="007225E0" w:rsidRPr="009E7A03" w:rsidRDefault="007225E0" w:rsidP="006A71E0">
            <w:pPr>
              <w:autoSpaceDE w:val="0"/>
              <w:autoSpaceDN w:val="0"/>
              <w:adjustRightInd w:val="0"/>
              <w:spacing w:before="0" w:after="0"/>
              <w:ind w:left="57" w:right="57"/>
              <w:jc w:val="center"/>
              <w:rPr>
                <w:rFonts w:cs="Arial"/>
                <w:b/>
                <w:bCs/>
                <w:sz w:val="16"/>
                <w:szCs w:val="16"/>
                <w:lang w:val="sr-Latn-RS"/>
              </w:rPr>
            </w:pPr>
            <w:r w:rsidRPr="009E7A03">
              <w:rPr>
                <w:rFonts w:cs="Arial"/>
                <w:b/>
                <w:bCs/>
                <w:sz w:val="16"/>
                <w:szCs w:val="16"/>
                <w:lang w:val="sr-Latn-RS"/>
              </w:rPr>
              <w:t>H(1:1)</w:t>
            </w:r>
          </w:p>
        </w:tc>
        <w:tc>
          <w:tcPr>
            <w:tcW w:w="296" w:type="pct"/>
            <w:tcBorders>
              <w:top w:val="nil"/>
              <w:bottom w:val="single" w:sz="4" w:space="0" w:color="auto"/>
            </w:tcBorders>
            <w:shd w:val="clear" w:color="auto" w:fill="auto"/>
            <w:vAlign w:val="bottom"/>
          </w:tcPr>
          <w:p w14:paraId="53DACF2A" w14:textId="77777777" w:rsidR="007225E0" w:rsidRPr="009E7A03" w:rsidRDefault="007225E0" w:rsidP="006A71E0">
            <w:pPr>
              <w:autoSpaceDE w:val="0"/>
              <w:autoSpaceDN w:val="0"/>
              <w:adjustRightInd w:val="0"/>
              <w:spacing w:before="0" w:after="0"/>
              <w:ind w:left="57" w:right="57"/>
              <w:jc w:val="center"/>
              <w:rPr>
                <w:rFonts w:cs="Arial"/>
                <w:b/>
                <w:bCs/>
                <w:sz w:val="16"/>
                <w:szCs w:val="16"/>
                <w:lang w:val="sr-Latn-RS"/>
              </w:rPr>
            </w:pPr>
            <w:r w:rsidRPr="009E7A03">
              <w:rPr>
                <w:rFonts w:cs="Arial"/>
                <w:b/>
                <w:bCs/>
                <w:sz w:val="16"/>
                <w:szCs w:val="16"/>
                <w:lang w:val="sr-Latn-RS"/>
              </w:rPr>
              <w:t>H(1:2)</w:t>
            </w:r>
          </w:p>
        </w:tc>
        <w:tc>
          <w:tcPr>
            <w:tcW w:w="296" w:type="pct"/>
            <w:tcBorders>
              <w:top w:val="nil"/>
              <w:bottom w:val="single" w:sz="4" w:space="0" w:color="auto"/>
            </w:tcBorders>
            <w:shd w:val="clear" w:color="auto" w:fill="auto"/>
            <w:vAlign w:val="bottom"/>
          </w:tcPr>
          <w:p w14:paraId="0C4A619E" w14:textId="77777777" w:rsidR="007225E0" w:rsidRPr="009E7A03" w:rsidRDefault="007225E0" w:rsidP="006A71E0">
            <w:pPr>
              <w:autoSpaceDE w:val="0"/>
              <w:autoSpaceDN w:val="0"/>
              <w:adjustRightInd w:val="0"/>
              <w:spacing w:before="0" w:after="0"/>
              <w:ind w:left="57" w:right="57"/>
              <w:jc w:val="center"/>
              <w:rPr>
                <w:rFonts w:cs="Arial"/>
                <w:b/>
                <w:bCs/>
                <w:sz w:val="16"/>
                <w:szCs w:val="16"/>
                <w:lang w:val="sr-Latn-RS"/>
              </w:rPr>
            </w:pPr>
            <w:r w:rsidRPr="009E7A03">
              <w:rPr>
                <w:rFonts w:cs="Arial"/>
                <w:b/>
                <w:bCs/>
                <w:sz w:val="16"/>
                <w:szCs w:val="16"/>
                <w:lang w:val="sr-Latn-RS"/>
              </w:rPr>
              <w:t>H(1:3)</w:t>
            </w:r>
          </w:p>
        </w:tc>
        <w:tc>
          <w:tcPr>
            <w:tcW w:w="296" w:type="pct"/>
            <w:tcBorders>
              <w:top w:val="nil"/>
              <w:bottom w:val="single" w:sz="4" w:space="0" w:color="auto"/>
            </w:tcBorders>
            <w:shd w:val="clear" w:color="auto" w:fill="auto"/>
            <w:vAlign w:val="bottom"/>
          </w:tcPr>
          <w:p w14:paraId="1C8F9855" w14:textId="77777777" w:rsidR="007225E0" w:rsidRPr="009E7A03" w:rsidRDefault="007225E0" w:rsidP="006A71E0">
            <w:pPr>
              <w:autoSpaceDE w:val="0"/>
              <w:autoSpaceDN w:val="0"/>
              <w:adjustRightInd w:val="0"/>
              <w:spacing w:before="0" w:after="0"/>
              <w:ind w:left="57" w:right="57"/>
              <w:jc w:val="center"/>
              <w:rPr>
                <w:rFonts w:cs="Arial"/>
                <w:b/>
                <w:bCs/>
                <w:sz w:val="16"/>
                <w:szCs w:val="16"/>
                <w:lang w:val="sr-Latn-RS"/>
              </w:rPr>
            </w:pPr>
            <w:r w:rsidRPr="009E7A03">
              <w:rPr>
                <w:rFonts w:cs="Arial"/>
                <w:b/>
                <w:bCs/>
                <w:sz w:val="16"/>
                <w:szCs w:val="16"/>
                <w:lang w:val="sr-Latn-RS"/>
              </w:rPr>
              <w:t>H(1:4)</w:t>
            </w:r>
          </w:p>
        </w:tc>
        <w:tc>
          <w:tcPr>
            <w:tcW w:w="296" w:type="pct"/>
            <w:tcBorders>
              <w:top w:val="nil"/>
              <w:bottom w:val="single" w:sz="4" w:space="0" w:color="auto"/>
            </w:tcBorders>
            <w:shd w:val="clear" w:color="auto" w:fill="auto"/>
            <w:vAlign w:val="bottom"/>
          </w:tcPr>
          <w:p w14:paraId="4BD3B59E" w14:textId="77777777" w:rsidR="007225E0" w:rsidRPr="009E7A03" w:rsidRDefault="007225E0" w:rsidP="006A71E0">
            <w:pPr>
              <w:autoSpaceDE w:val="0"/>
              <w:autoSpaceDN w:val="0"/>
              <w:adjustRightInd w:val="0"/>
              <w:spacing w:before="0" w:after="0"/>
              <w:ind w:left="57" w:right="57"/>
              <w:jc w:val="center"/>
              <w:rPr>
                <w:rFonts w:cs="Arial"/>
                <w:b/>
                <w:bCs/>
                <w:sz w:val="16"/>
                <w:szCs w:val="16"/>
                <w:lang w:val="sr-Latn-RS"/>
              </w:rPr>
            </w:pPr>
            <w:r w:rsidRPr="009E7A03">
              <w:rPr>
                <w:rFonts w:cs="Arial"/>
                <w:b/>
                <w:bCs/>
                <w:sz w:val="16"/>
                <w:szCs w:val="16"/>
                <w:lang w:val="sr-Latn-RS"/>
              </w:rPr>
              <w:t>H(1:5)</w:t>
            </w:r>
          </w:p>
        </w:tc>
        <w:tc>
          <w:tcPr>
            <w:tcW w:w="296" w:type="pct"/>
            <w:tcBorders>
              <w:top w:val="nil"/>
              <w:bottom w:val="single" w:sz="4" w:space="0" w:color="auto"/>
            </w:tcBorders>
            <w:shd w:val="clear" w:color="auto" w:fill="auto"/>
            <w:vAlign w:val="bottom"/>
          </w:tcPr>
          <w:p w14:paraId="13EB45D8" w14:textId="77777777" w:rsidR="007225E0" w:rsidRPr="009E7A03" w:rsidRDefault="007225E0" w:rsidP="006A71E0">
            <w:pPr>
              <w:autoSpaceDE w:val="0"/>
              <w:autoSpaceDN w:val="0"/>
              <w:adjustRightInd w:val="0"/>
              <w:spacing w:before="0" w:after="0"/>
              <w:ind w:left="57" w:right="57"/>
              <w:jc w:val="center"/>
              <w:rPr>
                <w:rFonts w:cs="Arial"/>
                <w:b/>
                <w:bCs/>
                <w:sz w:val="16"/>
                <w:szCs w:val="16"/>
                <w:lang w:val="sr-Latn-RS"/>
              </w:rPr>
            </w:pPr>
            <w:r w:rsidRPr="009E7A03">
              <w:rPr>
                <w:rFonts w:cs="Arial"/>
                <w:b/>
                <w:bCs/>
                <w:sz w:val="16"/>
                <w:szCs w:val="16"/>
                <w:lang w:val="sr-Latn-RS"/>
              </w:rPr>
              <w:t>H(1:6)</w:t>
            </w:r>
          </w:p>
        </w:tc>
        <w:tc>
          <w:tcPr>
            <w:tcW w:w="296" w:type="pct"/>
            <w:tcBorders>
              <w:top w:val="nil"/>
              <w:bottom w:val="single" w:sz="4" w:space="0" w:color="auto"/>
            </w:tcBorders>
            <w:shd w:val="clear" w:color="auto" w:fill="auto"/>
            <w:vAlign w:val="bottom"/>
          </w:tcPr>
          <w:p w14:paraId="43E321F8" w14:textId="77777777" w:rsidR="007225E0" w:rsidRPr="009E7A03" w:rsidRDefault="007225E0" w:rsidP="006A71E0">
            <w:pPr>
              <w:autoSpaceDE w:val="0"/>
              <w:autoSpaceDN w:val="0"/>
              <w:adjustRightInd w:val="0"/>
              <w:spacing w:before="0" w:after="0"/>
              <w:ind w:left="57" w:right="57"/>
              <w:jc w:val="center"/>
              <w:rPr>
                <w:rFonts w:cs="Arial"/>
                <w:b/>
                <w:bCs/>
                <w:sz w:val="16"/>
                <w:szCs w:val="16"/>
                <w:lang w:val="sr-Latn-RS"/>
              </w:rPr>
            </w:pPr>
            <w:r w:rsidRPr="009E7A03">
              <w:rPr>
                <w:rFonts w:cs="Arial"/>
                <w:b/>
                <w:bCs/>
                <w:sz w:val="16"/>
                <w:szCs w:val="16"/>
                <w:lang w:val="sr-Latn-RS"/>
              </w:rPr>
              <w:t>H(1:7)</w:t>
            </w:r>
          </w:p>
        </w:tc>
        <w:tc>
          <w:tcPr>
            <w:tcW w:w="296" w:type="pct"/>
            <w:tcBorders>
              <w:top w:val="nil"/>
              <w:bottom w:val="single" w:sz="4" w:space="0" w:color="auto"/>
            </w:tcBorders>
            <w:shd w:val="clear" w:color="auto" w:fill="auto"/>
            <w:vAlign w:val="bottom"/>
          </w:tcPr>
          <w:p w14:paraId="7B9B1144" w14:textId="77777777" w:rsidR="007225E0" w:rsidRPr="009E7A03" w:rsidRDefault="007225E0" w:rsidP="006A71E0">
            <w:pPr>
              <w:autoSpaceDE w:val="0"/>
              <w:autoSpaceDN w:val="0"/>
              <w:adjustRightInd w:val="0"/>
              <w:spacing w:before="0" w:after="0"/>
              <w:ind w:left="57" w:right="57"/>
              <w:jc w:val="center"/>
              <w:rPr>
                <w:rFonts w:cs="Arial"/>
                <w:b/>
                <w:bCs/>
                <w:sz w:val="16"/>
                <w:szCs w:val="16"/>
                <w:lang w:val="sr-Latn-RS"/>
              </w:rPr>
            </w:pPr>
            <w:r w:rsidRPr="009E7A03">
              <w:rPr>
                <w:rFonts w:cs="Arial"/>
                <w:b/>
                <w:bCs/>
                <w:sz w:val="16"/>
                <w:szCs w:val="16"/>
                <w:lang w:val="sr-Latn-RS"/>
              </w:rPr>
              <w:t>H(1:8)</w:t>
            </w:r>
          </w:p>
        </w:tc>
        <w:tc>
          <w:tcPr>
            <w:tcW w:w="891" w:type="pct"/>
            <w:tcBorders>
              <w:top w:val="nil"/>
              <w:bottom w:val="single" w:sz="4" w:space="0" w:color="auto"/>
            </w:tcBorders>
            <w:shd w:val="clear" w:color="auto" w:fill="auto"/>
            <w:vAlign w:val="bottom"/>
          </w:tcPr>
          <w:p w14:paraId="06F2464F" w14:textId="77777777" w:rsidR="007225E0" w:rsidRPr="009E7A03" w:rsidRDefault="007225E0" w:rsidP="006A71E0">
            <w:pPr>
              <w:autoSpaceDE w:val="0"/>
              <w:autoSpaceDN w:val="0"/>
              <w:adjustRightInd w:val="0"/>
              <w:spacing w:before="0" w:after="0"/>
              <w:ind w:left="57" w:right="57"/>
              <w:jc w:val="center"/>
              <w:rPr>
                <w:rFonts w:cs="Arial"/>
                <w:b/>
                <w:bCs/>
                <w:sz w:val="16"/>
                <w:szCs w:val="16"/>
                <w:lang w:val="sr-Latn-RS"/>
              </w:rPr>
            </w:pPr>
            <w:r w:rsidRPr="009E7A03">
              <w:rPr>
                <w:rFonts w:cs="Arial"/>
                <w:b/>
                <w:bCs/>
                <w:sz w:val="16"/>
                <w:szCs w:val="16"/>
                <w:lang w:val="sr-Latn-RS"/>
              </w:rPr>
              <w:t>None</w:t>
            </w:r>
          </w:p>
        </w:tc>
        <w:tc>
          <w:tcPr>
            <w:tcW w:w="916" w:type="pct"/>
            <w:tcBorders>
              <w:top w:val="nil"/>
              <w:bottom w:val="single" w:sz="4" w:space="0" w:color="auto"/>
              <w:right w:val="nil"/>
            </w:tcBorders>
            <w:shd w:val="clear" w:color="auto" w:fill="auto"/>
            <w:vAlign w:val="bottom"/>
          </w:tcPr>
          <w:p w14:paraId="177FE7B2" w14:textId="77777777" w:rsidR="007225E0" w:rsidRPr="009E7A03" w:rsidRDefault="007225E0" w:rsidP="006A71E0">
            <w:pPr>
              <w:autoSpaceDE w:val="0"/>
              <w:autoSpaceDN w:val="0"/>
              <w:adjustRightInd w:val="0"/>
              <w:spacing w:before="0" w:after="0"/>
              <w:ind w:left="57" w:right="57"/>
              <w:jc w:val="center"/>
              <w:rPr>
                <w:rFonts w:cs="Arial"/>
                <w:b/>
                <w:bCs/>
                <w:sz w:val="16"/>
                <w:szCs w:val="16"/>
                <w:lang w:val="sr-Latn-RS"/>
              </w:rPr>
            </w:pPr>
            <w:r w:rsidRPr="009E7A03">
              <w:rPr>
                <w:rFonts w:cs="Arial"/>
                <w:b/>
                <w:bCs/>
                <w:sz w:val="16"/>
                <w:szCs w:val="16"/>
                <w:lang w:val="sr-Latn-RS"/>
              </w:rPr>
              <w:t>Quasi-fault</w:t>
            </w:r>
          </w:p>
        </w:tc>
      </w:tr>
      <w:tr w:rsidR="007225E0" w:rsidRPr="00C51435" w14:paraId="67328162" w14:textId="77777777" w:rsidTr="00982E69">
        <w:trPr>
          <w:cantSplit/>
          <w:trHeight w:val="170"/>
        </w:trPr>
        <w:tc>
          <w:tcPr>
            <w:tcW w:w="322" w:type="pct"/>
            <w:vMerge w:val="restart"/>
            <w:tcBorders>
              <w:top w:val="single" w:sz="4" w:space="0" w:color="auto"/>
              <w:left w:val="nil"/>
            </w:tcBorders>
            <w:shd w:val="clear" w:color="auto" w:fill="auto"/>
          </w:tcPr>
          <w:p w14:paraId="0997A143"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r w:rsidRPr="00C51435">
              <w:rPr>
                <w:rFonts w:cs="Arial"/>
                <w:sz w:val="16"/>
                <w:szCs w:val="16"/>
                <w:lang w:val="sr-Latn-RS"/>
              </w:rPr>
              <w:t>Input Layer</w:t>
            </w:r>
          </w:p>
        </w:tc>
        <w:tc>
          <w:tcPr>
            <w:tcW w:w="511" w:type="pct"/>
            <w:tcBorders>
              <w:top w:val="single" w:sz="4" w:space="0" w:color="auto"/>
            </w:tcBorders>
            <w:shd w:val="clear" w:color="auto" w:fill="auto"/>
          </w:tcPr>
          <w:p w14:paraId="19124FE0"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r w:rsidRPr="00C51435">
              <w:rPr>
                <w:rFonts w:cs="Arial"/>
                <w:sz w:val="16"/>
                <w:szCs w:val="16"/>
                <w:lang w:val="sr-Latn-RS"/>
              </w:rPr>
              <w:t>(Bias)</w:t>
            </w:r>
          </w:p>
        </w:tc>
        <w:tc>
          <w:tcPr>
            <w:tcW w:w="290" w:type="pct"/>
            <w:tcBorders>
              <w:top w:val="single" w:sz="4" w:space="0" w:color="auto"/>
            </w:tcBorders>
            <w:shd w:val="clear" w:color="auto" w:fill="auto"/>
          </w:tcPr>
          <w:p w14:paraId="6E8EF141"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4</w:t>
            </w:r>
            <w:r>
              <w:rPr>
                <w:rFonts w:cs="Arial"/>
                <w:sz w:val="16"/>
                <w:szCs w:val="16"/>
                <w:lang w:val="sr-Latn-RS"/>
              </w:rPr>
              <w:t>.</w:t>
            </w:r>
            <w:r w:rsidRPr="00C51435">
              <w:rPr>
                <w:rFonts w:cs="Arial"/>
                <w:sz w:val="16"/>
                <w:szCs w:val="16"/>
                <w:lang w:val="sr-Latn-RS"/>
              </w:rPr>
              <w:t>199</w:t>
            </w:r>
          </w:p>
        </w:tc>
        <w:tc>
          <w:tcPr>
            <w:tcW w:w="296" w:type="pct"/>
            <w:tcBorders>
              <w:top w:val="single" w:sz="4" w:space="0" w:color="auto"/>
            </w:tcBorders>
            <w:shd w:val="clear" w:color="auto" w:fill="auto"/>
          </w:tcPr>
          <w:p w14:paraId="7CCA433F" w14:textId="34FA9692" w:rsidR="007225E0" w:rsidRPr="00C51435" w:rsidRDefault="0022344D" w:rsidP="006A71E0">
            <w:pPr>
              <w:autoSpaceDE w:val="0"/>
              <w:autoSpaceDN w:val="0"/>
              <w:adjustRightInd w:val="0"/>
              <w:spacing w:before="0" w:after="0"/>
              <w:ind w:left="57" w:right="57"/>
              <w:jc w:val="right"/>
              <w:rPr>
                <w:rFonts w:cs="Arial"/>
                <w:sz w:val="16"/>
                <w:szCs w:val="16"/>
                <w:lang w:val="sr-Latn-RS"/>
              </w:rPr>
            </w:pPr>
            <w:r>
              <w:rPr>
                <w:rFonts w:cs="Arial"/>
                <w:sz w:val="16"/>
                <w:szCs w:val="16"/>
                <w:lang w:val="sr-Latn-RS"/>
              </w:rPr>
              <w:t>0</w:t>
            </w:r>
            <w:r w:rsidR="007225E0">
              <w:rPr>
                <w:rFonts w:cs="Arial"/>
                <w:sz w:val="16"/>
                <w:szCs w:val="16"/>
                <w:lang w:val="sr-Latn-RS"/>
              </w:rPr>
              <w:t>.</w:t>
            </w:r>
            <w:r w:rsidR="007225E0" w:rsidRPr="00C51435">
              <w:rPr>
                <w:rFonts w:cs="Arial"/>
                <w:sz w:val="16"/>
                <w:szCs w:val="16"/>
                <w:lang w:val="sr-Latn-RS"/>
              </w:rPr>
              <w:t>175</w:t>
            </w:r>
          </w:p>
        </w:tc>
        <w:tc>
          <w:tcPr>
            <w:tcW w:w="296" w:type="pct"/>
            <w:tcBorders>
              <w:top w:val="single" w:sz="4" w:space="0" w:color="auto"/>
            </w:tcBorders>
            <w:shd w:val="clear" w:color="auto" w:fill="auto"/>
          </w:tcPr>
          <w:p w14:paraId="7682B2CE"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1</w:t>
            </w:r>
            <w:r>
              <w:rPr>
                <w:rFonts w:cs="Arial"/>
                <w:sz w:val="16"/>
                <w:szCs w:val="16"/>
                <w:lang w:val="sr-Latn-RS"/>
              </w:rPr>
              <w:t>.</w:t>
            </w:r>
            <w:r w:rsidRPr="00C51435">
              <w:rPr>
                <w:rFonts w:cs="Arial"/>
                <w:sz w:val="16"/>
                <w:szCs w:val="16"/>
                <w:lang w:val="sr-Latn-RS"/>
              </w:rPr>
              <w:t>436</w:t>
            </w:r>
          </w:p>
        </w:tc>
        <w:tc>
          <w:tcPr>
            <w:tcW w:w="296" w:type="pct"/>
            <w:tcBorders>
              <w:top w:val="single" w:sz="4" w:space="0" w:color="auto"/>
            </w:tcBorders>
            <w:shd w:val="clear" w:color="auto" w:fill="auto"/>
          </w:tcPr>
          <w:p w14:paraId="0F1290D6"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-3</w:t>
            </w:r>
            <w:r>
              <w:rPr>
                <w:rFonts w:cs="Arial"/>
                <w:sz w:val="16"/>
                <w:szCs w:val="16"/>
                <w:lang w:val="sr-Latn-RS"/>
              </w:rPr>
              <w:t>.</w:t>
            </w:r>
            <w:r w:rsidRPr="00C51435">
              <w:rPr>
                <w:rFonts w:cs="Arial"/>
                <w:sz w:val="16"/>
                <w:szCs w:val="16"/>
                <w:lang w:val="sr-Latn-RS"/>
              </w:rPr>
              <w:t>106</w:t>
            </w:r>
          </w:p>
        </w:tc>
        <w:tc>
          <w:tcPr>
            <w:tcW w:w="296" w:type="pct"/>
            <w:tcBorders>
              <w:top w:val="single" w:sz="4" w:space="0" w:color="auto"/>
            </w:tcBorders>
            <w:shd w:val="clear" w:color="auto" w:fill="auto"/>
          </w:tcPr>
          <w:p w14:paraId="564B08EE" w14:textId="406F9FDC" w:rsidR="007225E0" w:rsidRPr="00C51435" w:rsidRDefault="0022344D" w:rsidP="006A71E0">
            <w:pPr>
              <w:autoSpaceDE w:val="0"/>
              <w:autoSpaceDN w:val="0"/>
              <w:adjustRightInd w:val="0"/>
              <w:spacing w:before="0" w:after="0"/>
              <w:ind w:left="57" w:right="57"/>
              <w:jc w:val="right"/>
              <w:rPr>
                <w:rFonts w:cs="Arial"/>
                <w:sz w:val="16"/>
                <w:szCs w:val="16"/>
                <w:lang w:val="sr-Latn-RS"/>
              </w:rPr>
            </w:pPr>
            <w:r>
              <w:rPr>
                <w:rFonts w:cs="Arial"/>
                <w:sz w:val="16"/>
                <w:szCs w:val="16"/>
                <w:lang w:val="sr-Latn-RS"/>
              </w:rPr>
              <w:t>0</w:t>
            </w:r>
            <w:r w:rsidR="007225E0">
              <w:rPr>
                <w:rFonts w:cs="Arial"/>
                <w:sz w:val="16"/>
                <w:szCs w:val="16"/>
                <w:lang w:val="sr-Latn-RS"/>
              </w:rPr>
              <w:t>.</w:t>
            </w:r>
            <w:r w:rsidR="007225E0" w:rsidRPr="00C51435">
              <w:rPr>
                <w:rFonts w:cs="Arial"/>
                <w:sz w:val="16"/>
                <w:szCs w:val="16"/>
                <w:lang w:val="sr-Latn-RS"/>
              </w:rPr>
              <w:t>975</w:t>
            </w:r>
          </w:p>
        </w:tc>
        <w:tc>
          <w:tcPr>
            <w:tcW w:w="296" w:type="pct"/>
            <w:tcBorders>
              <w:top w:val="single" w:sz="4" w:space="0" w:color="auto"/>
            </w:tcBorders>
            <w:shd w:val="clear" w:color="auto" w:fill="auto"/>
          </w:tcPr>
          <w:p w14:paraId="17A26C3A"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2</w:t>
            </w:r>
            <w:r>
              <w:rPr>
                <w:rFonts w:cs="Arial"/>
                <w:sz w:val="16"/>
                <w:szCs w:val="16"/>
                <w:lang w:val="sr-Latn-RS"/>
              </w:rPr>
              <w:t>.</w:t>
            </w:r>
            <w:r w:rsidRPr="00C51435">
              <w:rPr>
                <w:rFonts w:cs="Arial"/>
                <w:sz w:val="16"/>
                <w:szCs w:val="16"/>
                <w:lang w:val="sr-Latn-RS"/>
              </w:rPr>
              <w:t>806</w:t>
            </w:r>
          </w:p>
        </w:tc>
        <w:tc>
          <w:tcPr>
            <w:tcW w:w="296" w:type="pct"/>
            <w:tcBorders>
              <w:top w:val="single" w:sz="4" w:space="0" w:color="auto"/>
            </w:tcBorders>
            <w:shd w:val="clear" w:color="auto" w:fill="auto"/>
          </w:tcPr>
          <w:p w14:paraId="4D1EB7C6" w14:textId="051EA48C" w:rsidR="007225E0" w:rsidRPr="00C51435" w:rsidRDefault="0022344D" w:rsidP="006A71E0">
            <w:pPr>
              <w:autoSpaceDE w:val="0"/>
              <w:autoSpaceDN w:val="0"/>
              <w:adjustRightInd w:val="0"/>
              <w:spacing w:before="0" w:after="0"/>
              <w:ind w:left="57" w:right="57"/>
              <w:jc w:val="right"/>
              <w:rPr>
                <w:rFonts w:cs="Arial"/>
                <w:sz w:val="16"/>
                <w:szCs w:val="16"/>
                <w:lang w:val="sr-Latn-RS"/>
              </w:rPr>
            </w:pPr>
            <w:r>
              <w:rPr>
                <w:rFonts w:cs="Arial"/>
                <w:sz w:val="16"/>
                <w:szCs w:val="16"/>
                <w:lang w:val="sr-Latn-RS"/>
              </w:rPr>
              <w:t>0</w:t>
            </w:r>
            <w:r w:rsidR="007225E0">
              <w:rPr>
                <w:rFonts w:cs="Arial"/>
                <w:sz w:val="16"/>
                <w:szCs w:val="16"/>
                <w:lang w:val="sr-Latn-RS"/>
              </w:rPr>
              <w:t>.</w:t>
            </w:r>
            <w:r w:rsidR="007225E0" w:rsidRPr="00C51435">
              <w:rPr>
                <w:rFonts w:cs="Arial"/>
                <w:sz w:val="16"/>
                <w:szCs w:val="16"/>
                <w:lang w:val="sr-Latn-RS"/>
              </w:rPr>
              <w:t>702</w:t>
            </w:r>
          </w:p>
        </w:tc>
        <w:tc>
          <w:tcPr>
            <w:tcW w:w="296" w:type="pct"/>
            <w:tcBorders>
              <w:top w:val="single" w:sz="4" w:space="0" w:color="auto"/>
            </w:tcBorders>
            <w:shd w:val="clear" w:color="auto" w:fill="auto"/>
          </w:tcPr>
          <w:p w14:paraId="2E7D0471" w14:textId="039B3274" w:rsidR="007225E0" w:rsidRPr="00C51435" w:rsidRDefault="0022344D" w:rsidP="006A71E0">
            <w:pPr>
              <w:autoSpaceDE w:val="0"/>
              <w:autoSpaceDN w:val="0"/>
              <w:adjustRightInd w:val="0"/>
              <w:spacing w:before="0" w:after="0"/>
              <w:ind w:left="57" w:right="57"/>
              <w:jc w:val="right"/>
              <w:rPr>
                <w:rFonts w:cs="Arial"/>
                <w:sz w:val="16"/>
                <w:szCs w:val="16"/>
                <w:lang w:val="sr-Latn-RS"/>
              </w:rPr>
            </w:pPr>
            <w:r>
              <w:rPr>
                <w:rFonts w:cs="Arial"/>
                <w:sz w:val="16"/>
                <w:szCs w:val="16"/>
                <w:lang w:val="sr-Latn-RS"/>
              </w:rPr>
              <w:t>0</w:t>
            </w:r>
            <w:r w:rsidR="007225E0">
              <w:rPr>
                <w:rFonts w:cs="Arial"/>
                <w:sz w:val="16"/>
                <w:szCs w:val="16"/>
                <w:lang w:val="sr-Latn-RS"/>
              </w:rPr>
              <w:t>.</w:t>
            </w:r>
            <w:r w:rsidR="007225E0" w:rsidRPr="00C51435">
              <w:rPr>
                <w:rFonts w:cs="Arial"/>
                <w:sz w:val="16"/>
                <w:szCs w:val="16"/>
                <w:lang w:val="sr-Latn-RS"/>
              </w:rPr>
              <w:t>736</w:t>
            </w:r>
          </w:p>
        </w:tc>
        <w:tc>
          <w:tcPr>
            <w:tcW w:w="891" w:type="pct"/>
            <w:tcBorders>
              <w:top w:val="single" w:sz="4" w:space="0" w:color="auto"/>
            </w:tcBorders>
            <w:shd w:val="clear" w:color="auto" w:fill="auto"/>
            <w:vAlign w:val="center"/>
          </w:tcPr>
          <w:p w14:paraId="0D2030E8"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916" w:type="pct"/>
            <w:tcBorders>
              <w:top w:val="single" w:sz="4" w:space="0" w:color="auto"/>
              <w:right w:val="nil"/>
            </w:tcBorders>
            <w:shd w:val="clear" w:color="auto" w:fill="auto"/>
            <w:vAlign w:val="center"/>
          </w:tcPr>
          <w:p w14:paraId="2700DD32"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r>
      <w:tr w:rsidR="007225E0" w:rsidRPr="00C51435" w14:paraId="5A60C7C8" w14:textId="77777777" w:rsidTr="00BE61A6">
        <w:trPr>
          <w:cantSplit/>
          <w:trHeight w:val="170"/>
        </w:trPr>
        <w:tc>
          <w:tcPr>
            <w:tcW w:w="322" w:type="pct"/>
            <w:vMerge/>
            <w:tcBorders>
              <w:left w:val="nil"/>
            </w:tcBorders>
            <w:shd w:val="clear" w:color="auto" w:fill="auto"/>
          </w:tcPr>
          <w:p w14:paraId="179A6B9D"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511" w:type="pct"/>
            <w:shd w:val="clear" w:color="auto" w:fill="auto"/>
          </w:tcPr>
          <w:p w14:paraId="1A1F25CD"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r w:rsidRPr="00C51435">
              <w:rPr>
                <w:rFonts w:cs="Arial"/>
                <w:sz w:val="16"/>
                <w:szCs w:val="16"/>
                <w:lang w:val="sr-Latn-RS"/>
              </w:rPr>
              <w:t>T2</w:t>
            </w:r>
          </w:p>
        </w:tc>
        <w:tc>
          <w:tcPr>
            <w:tcW w:w="290" w:type="pct"/>
            <w:shd w:val="clear" w:color="auto" w:fill="auto"/>
          </w:tcPr>
          <w:p w14:paraId="37F9F30E" w14:textId="29CD4912" w:rsidR="007225E0" w:rsidRPr="00C51435" w:rsidRDefault="0022344D" w:rsidP="006A71E0">
            <w:pPr>
              <w:autoSpaceDE w:val="0"/>
              <w:autoSpaceDN w:val="0"/>
              <w:adjustRightInd w:val="0"/>
              <w:spacing w:before="0" w:after="0"/>
              <w:ind w:left="57" w:right="57"/>
              <w:jc w:val="right"/>
              <w:rPr>
                <w:rFonts w:cs="Arial"/>
                <w:sz w:val="16"/>
                <w:szCs w:val="16"/>
                <w:lang w:val="sr-Latn-RS"/>
              </w:rPr>
            </w:pPr>
            <w:r>
              <w:rPr>
                <w:rFonts w:cs="Arial"/>
                <w:sz w:val="16"/>
                <w:szCs w:val="16"/>
                <w:lang w:val="sr-Latn-RS"/>
              </w:rPr>
              <w:t>0</w:t>
            </w:r>
            <w:r w:rsidR="007225E0">
              <w:rPr>
                <w:rFonts w:cs="Arial"/>
                <w:sz w:val="16"/>
                <w:szCs w:val="16"/>
                <w:lang w:val="sr-Latn-RS"/>
              </w:rPr>
              <w:t>.</w:t>
            </w:r>
            <w:r w:rsidR="007225E0" w:rsidRPr="00C51435">
              <w:rPr>
                <w:rFonts w:cs="Arial"/>
                <w:sz w:val="16"/>
                <w:szCs w:val="16"/>
                <w:lang w:val="sr-Latn-RS"/>
              </w:rPr>
              <w:t>153</w:t>
            </w:r>
          </w:p>
        </w:tc>
        <w:tc>
          <w:tcPr>
            <w:tcW w:w="296" w:type="pct"/>
            <w:shd w:val="clear" w:color="auto" w:fill="auto"/>
          </w:tcPr>
          <w:p w14:paraId="0AEE21CD" w14:textId="0C6F3DE7" w:rsidR="007225E0" w:rsidRPr="00C51435" w:rsidRDefault="0022344D" w:rsidP="006A71E0">
            <w:pPr>
              <w:autoSpaceDE w:val="0"/>
              <w:autoSpaceDN w:val="0"/>
              <w:adjustRightInd w:val="0"/>
              <w:spacing w:before="0" w:after="0"/>
              <w:ind w:left="57" w:right="57"/>
              <w:jc w:val="right"/>
              <w:rPr>
                <w:rFonts w:cs="Arial"/>
                <w:sz w:val="16"/>
                <w:szCs w:val="16"/>
                <w:lang w:val="sr-Latn-RS"/>
              </w:rPr>
            </w:pPr>
            <w:r>
              <w:rPr>
                <w:rFonts w:cs="Arial"/>
                <w:sz w:val="16"/>
                <w:szCs w:val="16"/>
                <w:lang w:val="sr-Latn-RS"/>
              </w:rPr>
              <w:t>0</w:t>
            </w:r>
            <w:r w:rsidR="007225E0">
              <w:rPr>
                <w:rFonts w:cs="Arial"/>
                <w:sz w:val="16"/>
                <w:szCs w:val="16"/>
                <w:lang w:val="sr-Latn-RS"/>
              </w:rPr>
              <w:t>.</w:t>
            </w:r>
            <w:r w:rsidR="007225E0" w:rsidRPr="00C51435">
              <w:rPr>
                <w:rFonts w:cs="Arial"/>
                <w:sz w:val="16"/>
                <w:szCs w:val="16"/>
                <w:lang w:val="sr-Latn-RS"/>
              </w:rPr>
              <w:t>537</w:t>
            </w:r>
          </w:p>
        </w:tc>
        <w:tc>
          <w:tcPr>
            <w:tcW w:w="296" w:type="pct"/>
            <w:shd w:val="clear" w:color="auto" w:fill="auto"/>
          </w:tcPr>
          <w:p w14:paraId="6C937469" w14:textId="43351D95" w:rsidR="007225E0" w:rsidRPr="00C51435" w:rsidRDefault="0022344D" w:rsidP="006A71E0">
            <w:pPr>
              <w:autoSpaceDE w:val="0"/>
              <w:autoSpaceDN w:val="0"/>
              <w:adjustRightInd w:val="0"/>
              <w:spacing w:before="0" w:after="0"/>
              <w:ind w:left="57" w:right="57"/>
              <w:jc w:val="right"/>
              <w:rPr>
                <w:rFonts w:cs="Arial"/>
                <w:sz w:val="16"/>
                <w:szCs w:val="16"/>
                <w:lang w:val="sr-Latn-RS"/>
              </w:rPr>
            </w:pPr>
            <w:r>
              <w:rPr>
                <w:rFonts w:cs="Arial"/>
                <w:sz w:val="16"/>
                <w:szCs w:val="16"/>
                <w:lang w:val="sr-Latn-RS"/>
              </w:rPr>
              <w:t>0</w:t>
            </w:r>
            <w:r w:rsidR="007225E0">
              <w:rPr>
                <w:rFonts w:cs="Arial"/>
                <w:sz w:val="16"/>
                <w:szCs w:val="16"/>
                <w:lang w:val="sr-Latn-RS"/>
              </w:rPr>
              <w:t>.</w:t>
            </w:r>
            <w:r w:rsidR="007225E0" w:rsidRPr="00C51435">
              <w:rPr>
                <w:rFonts w:cs="Arial"/>
                <w:sz w:val="16"/>
                <w:szCs w:val="16"/>
                <w:lang w:val="sr-Latn-RS"/>
              </w:rPr>
              <w:t>851</w:t>
            </w:r>
          </w:p>
        </w:tc>
        <w:tc>
          <w:tcPr>
            <w:tcW w:w="296" w:type="pct"/>
            <w:shd w:val="clear" w:color="auto" w:fill="auto"/>
          </w:tcPr>
          <w:p w14:paraId="6FE5D029" w14:textId="19AA9700" w:rsidR="007225E0" w:rsidRPr="00C51435" w:rsidRDefault="0022344D" w:rsidP="006A71E0">
            <w:pPr>
              <w:autoSpaceDE w:val="0"/>
              <w:autoSpaceDN w:val="0"/>
              <w:adjustRightInd w:val="0"/>
              <w:spacing w:before="0" w:after="0"/>
              <w:ind w:left="57" w:right="57"/>
              <w:jc w:val="right"/>
              <w:rPr>
                <w:rFonts w:cs="Arial"/>
                <w:sz w:val="16"/>
                <w:szCs w:val="16"/>
                <w:lang w:val="sr-Latn-RS"/>
              </w:rPr>
            </w:pPr>
            <w:r>
              <w:rPr>
                <w:rFonts w:cs="Arial"/>
                <w:sz w:val="16"/>
                <w:szCs w:val="16"/>
                <w:lang w:val="sr-Latn-RS"/>
              </w:rPr>
              <w:t>0</w:t>
            </w:r>
            <w:r w:rsidR="007225E0">
              <w:rPr>
                <w:rFonts w:cs="Arial"/>
                <w:sz w:val="16"/>
                <w:szCs w:val="16"/>
                <w:lang w:val="sr-Latn-RS"/>
              </w:rPr>
              <w:t>.</w:t>
            </w:r>
            <w:r w:rsidR="007225E0" w:rsidRPr="00C51435">
              <w:rPr>
                <w:rFonts w:cs="Arial"/>
                <w:sz w:val="16"/>
                <w:szCs w:val="16"/>
                <w:lang w:val="sr-Latn-RS"/>
              </w:rPr>
              <w:t>497</w:t>
            </w:r>
          </w:p>
        </w:tc>
        <w:tc>
          <w:tcPr>
            <w:tcW w:w="296" w:type="pct"/>
            <w:shd w:val="clear" w:color="auto" w:fill="auto"/>
          </w:tcPr>
          <w:p w14:paraId="5E6FA403"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-1</w:t>
            </w:r>
            <w:r>
              <w:rPr>
                <w:rFonts w:cs="Arial"/>
                <w:sz w:val="16"/>
                <w:szCs w:val="16"/>
                <w:lang w:val="sr-Latn-RS"/>
              </w:rPr>
              <w:t>.</w:t>
            </w:r>
            <w:r w:rsidRPr="00C51435">
              <w:rPr>
                <w:rFonts w:cs="Arial"/>
                <w:sz w:val="16"/>
                <w:szCs w:val="16"/>
                <w:lang w:val="sr-Latn-RS"/>
              </w:rPr>
              <w:t>580</w:t>
            </w:r>
          </w:p>
        </w:tc>
        <w:tc>
          <w:tcPr>
            <w:tcW w:w="296" w:type="pct"/>
            <w:shd w:val="clear" w:color="auto" w:fill="auto"/>
          </w:tcPr>
          <w:p w14:paraId="7BF3EF50" w14:textId="155491FE"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w:t>
            </w:r>
            <w:r w:rsidR="0022344D">
              <w:rPr>
                <w:rFonts w:cs="Arial"/>
                <w:sz w:val="16"/>
                <w:szCs w:val="16"/>
                <w:lang w:val="sr-Latn-RS"/>
              </w:rPr>
              <w:t>0</w:t>
            </w:r>
            <w:r>
              <w:rPr>
                <w:rFonts w:cs="Arial"/>
                <w:sz w:val="16"/>
                <w:szCs w:val="16"/>
                <w:lang w:val="sr-Latn-RS"/>
              </w:rPr>
              <w:t>.</w:t>
            </w:r>
            <w:r w:rsidRPr="00C51435">
              <w:rPr>
                <w:rFonts w:cs="Arial"/>
                <w:sz w:val="16"/>
                <w:szCs w:val="16"/>
                <w:lang w:val="sr-Latn-RS"/>
              </w:rPr>
              <w:t>224</w:t>
            </w:r>
          </w:p>
        </w:tc>
        <w:tc>
          <w:tcPr>
            <w:tcW w:w="296" w:type="pct"/>
            <w:shd w:val="clear" w:color="auto" w:fill="auto"/>
          </w:tcPr>
          <w:p w14:paraId="5830C34D" w14:textId="7704903E" w:rsidR="007225E0" w:rsidRPr="00C51435" w:rsidRDefault="0022344D" w:rsidP="006A71E0">
            <w:pPr>
              <w:autoSpaceDE w:val="0"/>
              <w:autoSpaceDN w:val="0"/>
              <w:adjustRightInd w:val="0"/>
              <w:spacing w:before="0" w:after="0"/>
              <w:ind w:left="57" w:right="57"/>
              <w:jc w:val="right"/>
              <w:rPr>
                <w:rFonts w:cs="Arial"/>
                <w:sz w:val="16"/>
                <w:szCs w:val="16"/>
                <w:lang w:val="sr-Latn-RS"/>
              </w:rPr>
            </w:pPr>
            <w:r>
              <w:rPr>
                <w:rFonts w:cs="Arial"/>
                <w:sz w:val="16"/>
                <w:szCs w:val="16"/>
                <w:lang w:val="sr-Latn-RS"/>
              </w:rPr>
              <w:t>0</w:t>
            </w:r>
            <w:r w:rsidR="007225E0">
              <w:rPr>
                <w:rFonts w:cs="Arial"/>
                <w:sz w:val="16"/>
                <w:szCs w:val="16"/>
                <w:lang w:val="sr-Latn-RS"/>
              </w:rPr>
              <w:t>.</w:t>
            </w:r>
            <w:r w:rsidR="007225E0" w:rsidRPr="00C51435">
              <w:rPr>
                <w:rFonts w:cs="Arial"/>
                <w:sz w:val="16"/>
                <w:szCs w:val="16"/>
                <w:lang w:val="sr-Latn-RS"/>
              </w:rPr>
              <w:t>414</w:t>
            </w:r>
          </w:p>
        </w:tc>
        <w:tc>
          <w:tcPr>
            <w:tcW w:w="296" w:type="pct"/>
            <w:shd w:val="clear" w:color="auto" w:fill="auto"/>
          </w:tcPr>
          <w:p w14:paraId="61C148E5"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1</w:t>
            </w:r>
            <w:r>
              <w:rPr>
                <w:rFonts w:cs="Arial"/>
                <w:sz w:val="16"/>
                <w:szCs w:val="16"/>
                <w:lang w:val="sr-Latn-RS"/>
              </w:rPr>
              <w:t>.</w:t>
            </w:r>
            <w:r w:rsidRPr="00C51435">
              <w:rPr>
                <w:rFonts w:cs="Arial"/>
                <w:sz w:val="16"/>
                <w:szCs w:val="16"/>
                <w:lang w:val="sr-Latn-RS"/>
              </w:rPr>
              <w:t>245</w:t>
            </w:r>
          </w:p>
        </w:tc>
        <w:tc>
          <w:tcPr>
            <w:tcW w:w="891" w:type="pct"/>
            <w:shd w:val="clear" w:color="auto" w:fill="auto"/>
            <w:vAlign w:val="center"/>
          </w:tcPr>
          <w:p w14:paraId="4F1676EC"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916" w:type="pct"/>
            <w:tcBorders>
              <w:right w:val="nil"/>
            </w:tcBorders>
            <w:shd w:val="clear" w:color="auto" w:fill="auto"/>
            <w:vAlign w:val="center"/>
          </w:tcPr>
          <w:p w14:paraId="2BDD0DA2"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r>
      <w:tr w:rsidR="007225E0" w:rsidRPr="00C51435" w14:paraId="6B9FD21F" w14:textId="77777777" w:rsidTr="00BE61A6">
        <w:trPr>
          <w:cantSplit/>
          <w:trHeight w:val="170"/>
        </w:trPr>
        <w:tc>
          <w:tcPr>
            <w:tcW w:w="322" w:type="pct"/>
            <w:vMerge/>
            <w:tcBorders>
              <w:left w:val="nil"/>
            </w:tcBorders>
            <w:shd w:val="clear" w:color="auto" w:fill="auto"/>
          </w:tcPr>
          <w:p w14:paraId="4DDD2BE2"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511" w:type="pct"/>
            <w:shd w:val="clear" w:color="auto" w:fill="auto"/>
          </w:tcPr>
          <w:p w14:paraId="38E949FB"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r w:rsidRPr="00C51435">
              <w:rPr>
                <w:rFonts w:cs="Arial"/>
                <w:sz w:val="16"/>
                <w:szCs w:val="16"/>
                <w:lang w:val="sr-Latn-RS"/>
              </w:rPr>
              <w:t>T3</w:t>
            </w:r>
          </w:p>
        </w:tc>
        <w:tc>
          <w:tcPr>
            <w:tcW w:w="290" w:type="pct"/>
            <w:shd w:val="clear" w:color="auto" w:fill="auto"/>
          </w:tcPr>
          <w:p w14:paraId="68C7E398" w14:textId="43790B29" w:rsidR="007225E0" w:rsidRPr="00C51435" w:rsidRDefault="0022344D" w:rsidP="006A71E0">
            <w:pPr>
              <w:autoSpaceDE w:val="0"/>
              <w:autoSpaceDN w:val="0"/>
              <w:adjustRightInd w:val="0"/>
              <w:spacing w:before="0" w:after="0"/>
              <w:ind w:left="57" w:right="57"/>
              <w:jc w:val="right"/>
              <w:rPr>
                <w:rFonts w:cs="Arial"/>
                <w:sz w:val="16"/>
                <w:szCs w:val="16"/>
                <w:lang w:val="sr-Latn-RS"/>
              </w:rPr>
            </w:pPr>
            <w:r>
              <w:rPr>
                <w:rFonts w:cs="Arial"/>
                <w:sz w:val="16"/>
                <w:szCs w:val="16"/>
                <w:lang w:val="sr-Latn-RS"/>
              </w:rPr>
              <w:t>0</w:t>
            </w:r>
            <w:r w:rsidR="007225E0">
              <w:rPr>
                <w:rFonts w:cs="Arial"/>
                <w:sz w:val="16"/>
                <w:szCs w:val="16"/>
                <w:lang w:val="sr-Latn-RS"/>
              </w:rPr>
              <w:t>.</w:t>
            </w:r>
            <w:r w:rsidR="007225E0" w:rsidRPr="00C51435">
              <w:rPr>
                <w:rFonts w:cs="Arial"/>
                <w:sz w:val="16"/>
                <w:szCs w:val="16"/>
                <w:lang w:val="sr-Latn-RS"/>
              </w:rPr>
              <w:t>299</w:t>
            </w:r>
          </w:p>
        </w:tc>
        <w:tc>
          <w:tcPr>
            <w:tcW w:w="296" w:type="pct"/>
            <w:shd w:val="clear" w:color="auto" w:fill="auto"/>
          </w:tcPr>
          <w:p w14:paraId="57732E03"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-2</w:t>
            </w:r>
            <w:r>
              <w:rPr>
                <w:rFonts w:cs="Arial"/>
                <w:sz w:val="16"/>
                <w:szCs w:val="16"/>
                <w:lang w:val="sr-Latn-RS"/>
              </w:rPr>
              <w:t>.</w:t>
            </w:r>
            <w:r w:rsidRPr="00C51435">
              <w:rPr>
                <w:rFonts w:cs="Arial"/>
                <w:sz w:val="16"/>
                <w:szCs w:val="16"/>
                <w:lang w:val="sr-Latn-RS"/>
              </w:rPr>
              <w:t>387</w:t>
            </w:r>
          </w:p>
        </w:tc>
        <w:tc>
          <w:tcPr>
            <w:tcW w:w="296" w:type="pct"/>
            <w:shd w:val="clear" w:color="auto" w:fill="auto"/>
          </w:tcPr>
          <w:p w14:paraId="78B9033A" w14:textId="67BCA31C" w:rsidR="007225E0" w:rsidRPr="00C51435" w:rsidRDefault="0022344D" w:rsidP="006A71E0">
            <w:pPr>
              <w:autoSpaceDE w:val="0"/>
              <w:autoSpaceDN w:val="0"/>
              <w:adjustRightInd w:val="0"/>
              <w:spacing w:before="0" w:after="0"/>
              <w:ind w:left="57" w:right="57"/>
              <w:jc w:val="right"/>
              <w:rPr>
                <w:rFonts w:cs="Arial"/>
                <w:sz w:val="16"/>
                <w:szCs w:val="16"/>
                <w:lang w:val="sr-Latn-RS"/>
              </w:rPr>
            </w:pPr>
            <w:r>
              <w:rPr>
                <w:rFonts w:cs="Arial"/>
                <w:sz w:val="16"/>
                <w:szCs w:val="16"/>
                <w:lang w:val="sr-Latn-RS"/>
              </w:rPr>
              <w:t>0</w:t>
            </w:r>
            <w:r w:rsidR="007225E0">
              <w:rPr>
                <w:rFonts w:cs="Arial"/>
                <w:sz w:val="16"/>
                <w:szCs w:val="16"/>
                <w:lang w:val="sr-Latn-RS"/>
              </w:rPr>
              <w:t>.</w:t>
            </w:r>
            <w:r w:rsidR="007225E0" w:rsidRPr="00C51435">
              <w:rPr>
                <w:rFonts w:cs="Arial"/>
                <w:sz w:val="16"/>
                <w:szCs w:val="16"/>
                <w:lang w:val="sr-Latn-RS"/>
              </w:rPr>
              <w:t>764</w:t>
            </w:r>
          </w:p>
        </w:tc>
        <w:tc>
          <w:tcPr>
            <w:tcW w:w="296" w:type="pct"/>
            <w:shd w:val="clear" w:color="auto" w:fill="auto"/>
          </w:tcPr>
          <w:p w14:paraId="6CBDB59D"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-1</w:t>
            </w:r>
            <w:r>
              <w:rPr>
                <w:rFonts w:cs="Arial"/>
                <w:sz w:val="16"/>
                <w:szCs w:val="16"/>
                <w:lang w:val="sr-Latn-RS"/>
              </w:rPr>
              <w:t>.</w:t>
            </w:r>
            <w:r w:rsidRPr="00C51435">
              <w:rPr>
                <w:rFonts w:cs="Arial"/>
                <w:sz w:val="16"/>
                <w:szCs w:val="16"/>
                <w:lang w:val="sr-Latn-RS"/>
              </w:rPr>
              <w:t>944</w:t>
            </w:r>
          </w:p>
        </w:tc>
        <w:tc>
          <w:tcPr>
            <w:tcW w:w="296" w:type="pct"/>
            <w:shd w:val="clear" w:color="auto" w:fill="auto"/>
          </w:tcPr>
          <w:p w14:paraId="44ED3774"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-2</w:t>
            </w:r>
            <w:r>
              <w:rPr>
                <w:rFonts w:cs="Arial"/>
                <w:sz w:val="16"/>
                <w:szCs w:val="16"/>
                <w:lang w:val="sr-Latn-RS"/>
              </w:rPr>
              <w:t>.</w:t>
            </w:r>
            <w:r w:rsidRPr="00C51435">
              <w:rPr>
                <w:rFonts w:cs="Arial"/>
                <w:sz w:val="16"/>
                <w:szCs w:val="16"/>
                <w:lang w:val="sr-Latn-RS"/>
              </w:rPr>
              <w:t>538</w:t>
            </w:r>
          </w:p>
        </w:tc>
        <w:tc>
          <w:tcPr>
            <w:tcW w:w="296" w:type="pct"/>
            <w:shd w:val="clear" w:color="auto" w:fill="auto"/>
          </w:tcPr>
          <w:p w14:paraId="5B753AE0" w14:textId="6871734B" w:rsidR="007225E0" w:rsidRPr="00C51435" w:rsidRDefault="0022344D" w:rsidP="006A71E0">
            <w:pPr>
              <w:autoSpaceDE w:val="0"/>
              <w:autoSpaceDN w:val="0"/>
              <w:adjustRightInd w:val="0"/>
              <w:spacing w:before="0" w:after="0"/>
              <w:ind w:left="57" w:right="57"/>
              <w:jc w:val="right"/>
              <w:rPr>
                <w:rFonts w:cs="Arial"/>
                <w:sz w:val="16"/>
                <w:szCs w:val="16"/>
                <w:lang w:val="sr-Latn-RS"/>
              </w:rPr>
            </w:pPr>
            <w:r>
              <w:rPr>
                <w:rFonts w:cs="Arial"/>
                <w:sz w:val="16"/>
                <w:szCs w:val="16"/>
                <w:lang w:val="sr-Latn-RS"/>
              </w:rPr>
              <w:t>0</w:t>
            </w:r>
            <w:r w:rsidR="007225E0">
              <w:rPr>
                <w:rFonts w:cs="Arial"/>
                <w:sz w:val="16"/>
                <w:szCs w:val="16"/>
                <w:lang w:val="sr-Latn-RS"/>
              </w:rPr>
              <w:t>.</w:t>
            </w:r>
            <w:r w:rsidR="007225E0" w:rsidRPr="00C51435">
              <w:rPr>
                <w:rFonts w:cs="Arial"/>
                <w:sz w:val="16"/>
                <w:szCs w:val="16"/>
                <w:lang w:val="sr-Latn-RS"/>
              </w:rPr>
              <w:t>081</w:t>
            </w:r>
          </w:p>
        </w:tc>
        <w:tc>
          <w:tcPr>
            <w:tcW w:w="296" w:type="pct"/>
            <w:shd w:val="clear" w:color="auto" w:fill="auto"/>
          </w:tcPr>
          <w:p w14:paraId="3B608622" w14:textId="5D433992"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w:t>
            </w:r>
            <w:r w:rsidR="0022344D">
              <w:rPr>
                <w:rFonts w:cs="Arial"/>
                <w:sz w:val="16"/>
                <w:szCs w:val="16"/>
                <w:lang w:val="sr-Latn-RS"/>
              </w:rPr>
              <w:t>0</w:t>
            </w:r>
            <w:r>
              <w:rPr>
                <w:rFonts w:cs="Arial"/>
                <w:sz w:val="16"/>
                <w:szCs w:val="16"/>
                <w:lang w:val="sr-Latn-RS"/>
              </w:rPr>
              <w:t>.</w:t>
            </w:r>
            <w:r w:rsidRPr="00C51435">
              <w:rPr>
                <w:rFonts w:cs="Arial"/>
                <w:sz w:val="16"/>
                <w:szCs w:val="16"/>
                <w:lang w:val="sr-Latn-RS"/>
              </w:rPr>
              <w:t>432</w:t>
            </w:r>
          </w:p>
        </w:tc>
        <w:tc>
          <w:tcPr>
            <w:tcW w:w="296" w:type="pct"/>
            <w:shd w:val="clear" w:color="auto" w:fill="auto"/>
          </w:tcPr>
          <w:p w14:paraId="01068944" w14:textId="73EB4A54" w:rsidR="007225E0" w:rsidRPr="00C51435" w:rsidRDefault="0022344D" w:rsidP="006A71E0">
            <w:pPr>
              <w:autoSpaceDE w:val="0"/>
              <w:autoSpaceDN w:val="0"/>
              <w:adjustRightInd w:val="0"/>
              <w:spacing w:before="0" w:after="0"/>
              <w:ind w:left="57" w:right="57"/>
              <w:jc w:val="right"/>
              <w:rPr>
                <w:rFonts w:cs="Arial"/>
                <w:sz w:val="16"/>
                <w:szCs w:val="16"/>
                <w:lang w:val="sr-Latn-RS"/>
              </w:rPr>
            </w:pPr>
            <w:r>
              <w:rPr>
                <w:rFonts w:cs="Arial"/>
                <w:sz w:val="16"/>
                <w:szCs w:val="16"/>
                <w:lang w:val="sr-Latn-RS"/>
              </w:rPr>
              <w:t>0</w:t>
            </w:r>
            <w:r w:rsidR="007225E0">
              <w:rPr>
                <w:rFonts w:cs="Arial"/>
                <w:sz w:val="16"/>
                <w:szCs w:val="16"/>
                <w:lang w:val="sr-Latn-RS"/>
              </w:rPr>
              <w:t>.</w:t>
            </w:r>
            <w:r w:rsidR="007225E0" w:rsidRPr="00C51435">
              <w:rPr>
                <w:rFonts w:cs="Arial"/>
                <w:sz w:val="16"/>
                <w:szCs w:val="16"/>
                <w:lang w:val="sr-Latn-RS"/>
              </w:rPr>
              <w:t>639</w:t>
            </w:r>
          </w:p>
        </w:tc>
        <w:tc>
          <w:tcPr>
            <w:tcW w:w="891" w:type="pct"/>
            <w:shd w:val="clear" w:color="auto" w:fill="auto"/>
            <w:vAlign w:val="center"/>
          </w:tcPr>
          <w:p w14:paraId="72CCB10B"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916" w:type="pct"/>
            <w:tcBorders>
              <w:right w:val="nil"/>
            </w:tcBorders>
            <w:shd w:val="clear" w:color="auto" w:fill="auto"/>
            <w:vAlign w:val="center"/>
          </w:tcPr>
          <w:p w14:paraId="31B0EDCE"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r>
      <w:tr w:rsidR="007225E0" w:rsidRPr="00C51435" w14:paraId="12A4EF4A" w14:textId="77777777" w:rsidTr="00BE61A6">
        <w:trPr>
          <w:cantSplit/>
          <w:trHeight w:val="170"/>
        </w:trPr>
        <w:tc>
          <w:tcPr>
            <w:tcW w:w="322" w:type="pct"/>
            <w:vMerge/>
            <w:tcBorders>
              <w:left w:val="nil"/>
            </w:tcBorders>
            <w:shd w:val="clear" w:color="auto" w:fill="auto"/>
          </w:tcPr>
          <w:p w14:paraId="6D4CEABE"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511" w:type="pct"/>
            <w:shd w:val="clear" w:color="auto" w:fill="auto"/>
          </w:tcPr>
          <w:p w14:paraId="3AD6620D"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r w:rsidRPr="00C51435">
              <w:rPr>
                <w:rFonts w:cs="Arial"/>
                <w:sz w:val="16"/>
                <w:szCs w:val="16"/>
                <w:lang w:val="sr-Latn-RS"/>
              </w:rPr>
              <w:t>T4</w:t>
            </w:r>
          </w:p>
        </w:tc>
        <w:tc>
          <w:tcPr>
            <w:tcW w:w="290" w:type="pct"/>
            <w:shd w:val="clear" w:color="auto" w:fill="auto"/>
          </w:tcPr>
          <w:p w14:paraId="4D7C5D45" w14:textId="15ADF2A6" w:rsidR="007225E0" w:rsidRPr="00C51435" w:rsidRDefault="0022344D" w:rsidP="006A71E0">
            <w:pPr>
              <w:autoSpaceDE w:val="0"/>
              <w:autoSpaceDN w:val="0"/>
              <w:adjustRightInd w:val="0"/>
              <w:spacing w:before="0" w:after="0"/>
              <w:ind w:left="57" w:right="57"/>
              <w:jc w:val="right"/>
              <w:rPr>
                <w:rFonts w:cs="Arial"/>
                <w:sz w:val="16"/>
                <w:szCs w:val="16"/>
                <w:lang w:val="sr-Latn-RS"/>
              </w:rPr>
            </w:pPr>
            <w:r>
              <w:rPr>
                <w:rFonts w:cs="Arial"/>
                <w:sz w:val="16"/>
                <w:szCs w:val="16"/>
                <w:lang w:val="sr-Latn-RS"/>
              </w:rPr>
              <w:t>0</w:t>
            </w:r>
            <w:r w:rsidR="007225E0">
              <w:rPr>
                <w:rFonts w:cs="Arial"/>
                <w:sz w:val="16"/>
                <w:szCs w:val="16"/>
                <w:lang w:val="sr-Latn-RS"/>
              </w:rPr>
              <w:t>.</w:t>
            </w:r>
            <w:r w:rsidR="007225E0" w:rsidRPr="00C51435">
              <w:rPr>
                <w:rFonts w:cs="Arial"/>
                <w:sz w:val="16"/>
                <w:szCs w:val="16"/>
                <w:lang w:val="sr-Latn-RS"/>
              </w:rPr>
              <w:t>079</w:t>
            </w:r>
          </w:p>
        </w:tc>
        <w:tc>
          <w:tcPr>
            <w:tcW w:w="296" w:type="pct"/>
            <w:shd w:val="clear" w:color="auto" w:fill="auto"/>
          </w:tcPr>
          <w:p w14:paraId="37130406"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1</w:t>
            </w:r>
            <w:r>
              <w:rPr>
                <w:rFonts w:cs="Arial"/>
                <w:sz w:val="16"/>
                <w:szCs w:val="16"/>
                <w:lang w:val="sr-Latn-RS"/>
              </w:rPr>
              <w:t>.</w:t>
            </w:r>
            <w:r w:rsidRPr="00C51435">
              <w:rPr>
                <w:rFonts w:cs="Arial"/>
                <w:sz w:val="16"/>
                <w:szCs w:val="16"/>
                <w:lang w:val="sr-Latn-RS"/>
              </w:rPr>
              <w:t>591</w:t>
            </w:r>
          </w:p>
        </w:tc>
        <w:tc>
          <w:tcPr>
            <w:tcW w:w="296" w:type="pct"/>
            <w:shd w:val="clear" w:color="auto" w:fill="auto"/>
          </w:tcPr>
          <w:p w14:paraId="6F8E197E" w14:textId="4ACA5C09"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w:t>
            </w:r>
            <w:r w:rsidR="0022344D">
              <w:rPr>
                <w:rFonts w:cs="Arial"/>
                <w:sz w:val="16"/>
                <w:szCs w:val="16"/>
                <w:lang w:val="sr-Latn-RS"/>
              </w:rPr>
              <w:t>0</w:t>
            </w:r>
            <w:r>
              <w:rPr>
                <w:rFonts w:cs="Arial"/>
                <w:sz w:val="16"/>
                <w:szCs w:val="16"/>
                <w:lang w:val="sr-Latn-RS"/>
              </w:rPr>
              <w:t>.</w:t>
            </w:r>
            <w:r w:rsidRPr="00C51435">
              <w:rPr>
                <w:rFonts w:cs="Arial"/>
                <w:sz w:val="16"/>
                <w:szCs w:val="16"/>
                <w:lang w:val="sr-Latn-RS"/>
              </w:rPr>
              <w:t>083</w:t>
            </w:r>
          </w:p>
        </w:tc>
        <w:tc>
          <w:tcPr>
            <w:tcW w:w="296" w:type="pct"/>
            <w:shd w:val="clear" w:color="auto" w:fill="auto"/>
          </w:tcPr>
          <w:p w14:paraId="3974E345" w14:textId="68477D9B"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w:t>
            </w:r>
            <w:r w:rsidR="0022344D">
              <w:rPr>
                <w:rFonts w:cs="Arial"/>
                <w:sz w:val="16"/>
                <w:szCs w:val="16"/>
                <w:lang w:val="sr-Latn-RS"/>
              </w:rPr>
              <w:t>0</w:t>
            </w:r>
            <w:r>
              <w:rPr>
                <w:rFonts w:cs="Arial"/>
                <w:sz w:val="16"/>
                <w:szCs w:val="16"/>
                <w:lang w:val="sr-Latn-RS"/>
              </w:rPr>
              <w:t>.</w:t>
            </w:r>
            <w:r w:rsidRPr="00C51435">
              <w:rPr>
                <w:rFonts w:cs="Arial"/>
                <w:sz w:val="16"/>
                <w:szCs w:val="16"/>
                <w:lang w:val="sr-Latn-RS"/>
              </w:rPr>
              <w:t>020</w:t>
            </w:r>
          </w:p>
        </w:tc>
        <w:tc>
          <w:tcPr>
            <w:tcW w:w="296" w:type="pct"/>
            <w:shd w:val="clear" w:color="auto" w:fill="auto"/>
          </w:tcPr>
          <w:p w14:paraId="543FA881"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-1</w:t>
            </w:r>
            <w:r>
              <w:rPr>
                <w:rFonts w:cs="Arial"/>
                <w:sz w:val="16"/>
                <w:szCs w:val="16"/>
                <w:lang w:val="sr-Latn-RS"/>
              </w:rPr>
              <w:t>.</w:t>
            </w:r>
            <w:r w:rsidRPr="00C51435">
              <w:rPr>
                <w:rFonts w:cs="Arial"/>
                <w:sz w:val="16"/>
                <w:szCs w:val="16"/>
                <w:lang w:val="sr-Latn-RS"/>
              </w:rPr>
              <w:t>000</w:t>
            </w:r>
          </w:p>
        </w:tc>
        <w:tc>
          <w:tcPr>
            <w:tcW w:w="296" w:type="pct"/>
            <w:shd w:val="clear" w:color="auto" w:fill="auto"/>
          </w:tcPr>
          <w:p w14:paraId="29303FEC"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1</w:t>
            </w:r>
            <w:r>
              <w:rPr>
                <w:rFonts w:cs="Arial"/>
                <w:sz w:val="16"/>
                <w:szCs w:val="16"/>
                <w:lang w:val="sr-Latn-RS"/>
              </w:rPr>
              <w:t>.</w:t>
            </w:r>
            <w:r w:rsidRPr="00C51435">
              <w:rPr>
                <w:rFonts w:cs="Arial"/>
                <w:sz w:val="16"/>
                <w:szCs w:val="16"/>
                <w:lang w:val="sr-Latn-RS"/>
              </w:rPr>
              <w:t>374</w:t>
            </w:r>
          </w:p>
        </w:tc>
        <w:tc>
          <w:tcPr>
            <w:tcW w:w="296" w:type="pct"/>
            <w:shd w:val="clear" w:color="auto" w:fill="auto"/>
          </w:tcPr>
          <w:p w14:paraId="3B10F928" w14:textId="62AB35FE"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w:t>
            </w:r>
            <w:r w:rsidR="0022344D">
              <w:rPr>
                <w:rFonts w:cs="Arial"/>
                <w:sz w:val="16"/>
                <w:szCs w:val="16"/>
                <w:lang w:val="sr-Latn-RS"/>
              </w:rPr>
              <w:t>0</w:t>
            </w:r>
            <w:r>
              <w:rPr>
                <w:rFonts w:cs="Arial"/>
                <w:sz w:val="16"/>
                <w:szCs w:val="16"/>
                <w:lang w:val="sr-Latn-RS"/>
              </w:rPr>
              <w:t>.</w:t>
            </w:r>
            <w:r w:rsidRPr="00C51435">
              <w:rPr>
                <w:rFonts w:cs="Arial"/>
                <w:sz w:val="16"/>
                <w:szCs w:val="16"/>
                <w:lang w:val="sr-Latn-RS"/>
              </w:rPr>
              <w:t>156</w:t>
            </w:r>
          </w:p>
        </w:tc>
        <w:tc>
          <w:tcPr>
            <w:tcW w:w="296" w:type="pct"/>
            <w:shd w:val="clear" w:color="auto" w:fill="auto"/>
          </w:tcPr>
          <w:p w14:paraId="153344C2" w14:textId="248F6F94"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w:t>
            </w:r>
            <w:r w:rsidR="0022344D">
              <w:rPr>
                <w:rFonts w:cs="Arial"/>
                <w:sz w:val="16"/>
                <w:szCs w:val="16"/>
                <w:lang w:val="sr-Latn-RS"/>
              </w:rPr>
              <w:t>0</w:t>
            </w:r>
            <w:r>
              <w:rPr>
                <w:rFonts w:cs="Arial"/>
                <w:sz w:val="16"/>
                <w:szCs w:val="16"/>
                <w:lang w:val="sr-Latn-RS"/>
              </w:rPr>
              <w:t>.</w:t>
            </w:r>
            <w:r w:rsidRPr="00C51435">
              <w:rPr>
                <w:rFonts w:cs="Arial"/>
                <w:sz w:val="16"/>
                <w:szCs w:val="16"/>
                <w:lang w:val="sr-Latn-RS"/>
              </w:rPr>
              <w:t>540</w:t>
            </w:r>
          </w:p>
        </w:tc>
        <w:tc>
          <w:tcPr>
            <w:tcW w:w="891" w:type="pct"/>
            <w:shd w:val="clear" w:color="auto" w:fill="auto"/>
            <w:vAlign w:val="center"/>
          </w:tcPr>
          <w:p w14:paraId="6AE1760E"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916" w:type="pct"/>
            <w:tcBorders>
              <w:right w:val="nil"/>
            </w:tcBorders>
            <w:shd w:val="clear" w:color="auto" w:fill="auto"/>
            <w:vAlign w:val="center"/>
          </w:tcPr>
          <w:p w14:paraId="667ADE09"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r>
      <w:tr w:rsidR="007225E0" w:rsidRPr="00C51435" w14:paraId="605D6714" w14:textId="77777777" w:rsidTr="00BE61A6">
        <w:trPr>
          <w:cantSplit/>
          <w:trHeight w:val="170"/>
        </w:trPr>
        <w:tc>
          <w:tcPr>
            <w:tcW w:w="322" w:type="pct"/>
            <w:vMerge/>
            <w:tcBorders>
              <w:left w:val="nil"/>
            </w:tcBorders>
            <w:shd w:val="clear" w:color="auto" w:fill="auto"/>
          </w:tcPr>
          <w:p w14:paraId="5C7CB290"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511" w:type="pct"/>
            <w:shd w:val="clear" w:color="auto" w:fill="auto"/>
          </w:tcPr>
          <w:p w14:paraId="36DB1F7F"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r w:rsidRPr="00C51435">
              <w:rPr>
                <w:rFonts w:cs="Arial"/>
                <w:sz w:val="16"/>
                <w:szCs w:val="16"/>
                <w:lang w:val="sr-Latn-RS"/>
              </w:rPr>
              <w:t>Load_kg_n</w:t>
            </w:r>
          </w:p>
        </w:tc>
        <w:tc>
          <w:tcPr>
            <w:tcW w:w="290" w:type="pct"/>
            <w:shd w:val="clear" w:color="auto" w:fill="auto"/>
          </w:tcPr>
          <w:p w14:paraId="0F54152B" w14:textId="4D427A1C" w:rsidR="007225E0" w:rsidRPr="00C51435" w:rsidRDefault="0022344D" w:rsidP="006A71E0">
            <w:pPr>
              <w:autoSpaceDE w:val="0"/>
              <w:autoSpaceDN w:val="0"/>
              <w:adjustRightInd w:val="0"/>
              <w:spacing w:before="0" w:after="0"/>
              <w:ind w:left="57" w:right="57"/>
              <w:jc w:val="right"/>
              <w:rPr>
                <w:rFonts w:cs="Arial"/>
                <w:sz w:val="16"/>
                <w:szCs w:val="16"/>
                <w:lang w:val="sr-Latn-RS"/>
              </w:rPr>
            </w:pPr>
            <w:r>
              <w:rPr>
                <w:rFonts w:cs="Arial"/>
                <w:sz w:val="16"/>
                <w:szCs w:val="16"/>
                <w:lang w:val="sr-Latn-RS"/>
              </w:rPr>
              <w:t>0</w:t>
            </w:r>
            <w:r w:rsidR="007225E0">
              <w:rPr>
                <w:rFonts w:cs="Arial"/>
                <w:sz w:val="16"/>
                <w:szCs w:val="16"/>
                <w:lang w:val="sr-Latn-RS"/>
              </w:rPr>
              <w:t>.</w:t>
            </w:r>
            <w:r w:rsidR="007225E0" w:rsidRPr="00C51435">
              <w:rPr>
                <w:rFonts w:cs="Arial"/>
                <w:sz w:val="16"/>
                <w:szCs w:val="16"/>
                <w:lang w:val="sr-Latn-RS"/>
              </w:rPr>
              <w:t>228</w:t>
            </w:r>
          </w:p>
        </w:tc>
        <w:tc>
          <w:tcPr>
            <w:tcW w:w="296" w:type="pct"/>
            <w:shd w:val="clear" w:color="auto" w:fill="auto"/>
          </w:tcPr>
          <w:p w14:paraId="27BCD7C8"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-5</w:t>
            </w:r>
            <w:r>
              <w:rPr>
                <w:rFonts w:cs="Arial"/>
                <w:sz w:val="16"/>
                <w:szCs w:val="16"/>
                <w:lang w:val="sr-Latn-RS"/>
              </w:rPr>
              <w:t>.</w:t>
            </w:r>
            <w:r w:rsidRPr="00C51435">
              <w:rPr>
                <w:rFonts w:cs="Arial"/>
                <w:sz w:val="16"/>
                <w:szCs w:val="16"/>
                <w:lang w:val="sr-Latn-RS"/>
              </w:rPr>
              <w:t>477</w:t>
            </w:r>
          </w:p>
        </w:tc>
        <w:tc>
          <w:tcPr>
            <w:tcW w:w="296" w:type="pct"/>
            <w:shd w:val="clear" w:color="auto" w:fill="auto"/>
          </w:tcPr>
          <w:p w14:paraId="12AEE03C" w14:textId="5039B091"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w:t>
            </w:r>
            <w:r w:rsidR="0022344D">
              <w:rPr>
                <w:rFonts w:cs="Arial"/>
                <w:sz w:val="16"/>
                <w:szCs w:val="16"/>
                <w:lang w:val="sr-Latn-RS"/>
              </w:rPr>
              <w:t>0</w:t>
            </w:r>
            <w:r>
              <w:rPr>
                <w:rFonts w:cs="Arial"/>
                <w:sz w:val="16"/>
                <w:szCs w:val="16"/>
                <w:lang w:val="sr-Latn-RS"/>
              </w:rPr>
              <w:t>.</w:t>
            </w:r>
            <w:r w:rsidRPr="00C51435">
              <w:rPr>
                <w:rFonts w:cs="Arial"/>
                <w:sz w:val="16"/>
                <w:szCs w:val="16"/>
                <w:lang w:val="sr-Latn-RS"/>
              </w:rPr>
              <w:t>212</w:t>
            </w:r>
          </w:p>
        </w:tc>
        <w:tc>
          <w:tcPr>
            <w:tcW w:w="296" w:type="pct"/>
            <w:shd w:val="clear" w:color="auto" w:fill="auto"/>
          </w:tcPr>
          <w:p w14:paraId="59DD29B3"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7</w:t>
            </w:r>
            <w:r>
              <w:rPr>
                <w:rFonts w:cs="Arial"/>
                <w:sz w:val="16"/>
                <w:szCs w:val="16"/>
                <w:lang w:val="sr-Latn-RS"/>
              </w:rPr>
              <w:t>.</w:t>
            </w:r>
            <w:r w:rsidRPr="00C51435">
              <w:rPr>
                <w:rFonts w:cs="Arial"/>
                <w:sz w:val="16"/>
                <w:szCs w:val="16"/>
                <w:lang w:val="sr-Latn-RS"/>
              </w:rPr>
              <w:t>761</w:t>
            </w:r>
          </w:p>
        </w:tc>
        <w:tc>
          <w:tcPr>
            <w:tcW w:w="296" w:type="pct"/>
            <w:shd w:val="clear" w:color="auto" w:fill="auto"/>
          </w:tcPr>
          <w:p w14:paraId="149591F2"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-5</w:t>
            </w:r>
            <w:r>
              <w:rPr>
                <w:rFonts w:cs="Arial"/>
                <w:sz w:val="16"/>
                <w:szCs w:val="16"/>
                <w:lang w:val="sr-Latn-RS"/>
              </w:rPr>
              <w:t>.</w:t>
            </w:r>
            <w:r w:rsidRPr="00C51435">
              <w:rPr>
                <w:rFonts w:cs="Arial"/>
                <w:sz w:val="16"/>
                <w:szCs w:val="16"/>
                <w:lang w:val="sr-Latn-RS"/>
              </w:rPr>
              <w:t>605</w:t>
            </w:r>
          </w:p>
        </w:tc>
        <w:tc>
          <w:tcPr>
            <w:tcW w:w="296" w:type="pct"/>
            <w:shd w:val="clear" w:color="auto" w:fill="auto"/>
          </w:tcPr>
          <w:p w14:paraId="490CA331"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-1</w:t>
            </w:r>
            <w:r>
              <w:rPr>
                <w:rFonts w:cs="Arial"/>
                <w:sz w:val="16"/>
                <w:szCs w:val="16"/>
                <w:lang w:val="sr-Latn-RS"/>
              </w:rPr>
              <w:t>.</w:t>
            </w:r>
            <w:r w:rsidRPr="00C51435">
              <w:rPr>
                <w:rFonts w:cs="Arial"/>
                <w:sz w:val="16"/>
                <w:szCs w:val="16"/>
                <w:lang w:val="sr-Latn-RS"/>
              </w:rPr>
              <w:t>957</w:t>
            </w:r>
          </w:p>
        </w:tc>
        <w:tc>
          <w:tcPr>
            <w:tcW w:w="296" w:type="pct"/>
            <w:shd w:val="clear" w:color="auto" w:fill="auto"/>
          </w:tcPr>
          <w:p w14:paraId="04DD6413"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1</w:t>
            </w:r>
            <w:r>
              <w:rPr>
                <w:rFonts w:cs="Arial"/>
                <w:sz w:val="16"/>
                <w:szCs w:val="16"/>
                <w:lang w:val="sr-Latn-RS"/>
              </w:rPr>
              <w:t>.</w:t>
            </w:r>
            <w:r w:rsidRPr="00C51435">
              <w:rPr>
                <w:rFonts w:cs="Arial"/>
                <w:sz w:val="16"/>
                <w:szCs w:val="16"/>
                <w:lang w:val="sr-Latn-RS"/>
              </w:rPr>
              <w:t>802</w:t>
            </w:r>
          </w:p>
        </w:tc>
        <w:tc>
          <w:tcPr>
            <w:tcW w:w="296" w:type="pct"/>
            <w:shd w:val="clear" w:color="auto" w:fill="auto"/>
          </w:tcPr>
          <w:p w14:paraId="3C54D524"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1</w:t>
            </w:r>
            <w:r>
              <w:rPr>
                <w:rFonts w:cs="Arial"/>
                <w:sz w:val="16"/>
                <w:szCs w:val="16"/>
                <w:lang w:val="sr-Latn-RS"/>
              </w:rPr>
              <w:t>.</w:t>
            </w:r>
            <w:r w:rsidRPr="00C51435">
              <w:rPr>
                <w:rFonts w:cs="Arial"/>
                <w:sz w:val="16"/>
                <w:szCs w:val="16"/>
                <w:lang w:val="sr-Latn-RS"/>
              </w:rPr>
              <w:t>976</w:t>
            </w:r>
          </w:p>
        </w:tc>
        <w:tc>
          <w:tcPr>
            <w:tcW w:w="891" w:type="pct"/>
            <w:shd w:val="clear" w:color="auto" w:fill="auto"/>
            <w:vAlign w:val="center"/>
          </w:tcPr>
          <w:p w14:paraId="1D818E50"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916" w:type="pct"/>
            <w:tcBorders>
              <w:right w:val="nil"/>
            </w:tcBorders>
            <w:shd w:val="clear" w:color="auto" w:fill="auto"/>
            <w:vAlign w:val="center"/>
          </w:tcPr>
          <w:p w14:paraId="0E3D4A70"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r>
      <w:tr w:rsidR="007225E0" w:rsidRPr="00C51435" w14:paraId="6FACF2DA" w14:textId="77777777" w:rsidTr="00BE61A6">
        <w:trPr>
          <w:cantSplit/>
          <w:trHeight w:val="170"/>
        </w:trPr>
        <w:tc>
          <w:tcPr>
            <w:tcW w:w="322" w:type="pct"/>
            <w:vMerge/>
            <w:tcBorders>
              <w:left w:val="nil"/>
            </w:tcBorders>
            <w:shd w:val="clear" w:color="auto" w:fill="auto"/>
          </w:tcPr>
          <w:p w14:paraId="7A485389"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511" w:type="pct"/>
            <w:shd w:val="clear" w:color="auto" w:fill="auto"/>
          </w:tcPr>
          <w:p w14:paraId="43B9B6D7"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r w:rsidRPr="00C51435">
              <w:rPr>
                <w:rFonts w:cs="Arial"/>
                <w:sz w:val="16"/>
                <w:szCs w:val="16"/>
                <w:lang w:val="sr-Latn-RS"/>
              </w:rPr>
              <w:t>N_Stdev_CS</w:t>
            </w:r>
          </w:p>
        </w:tc>
        <w:tc>
          <w:tcPr>
            <w:tcW w:w="290" w:type="pct"/>
            <w:shd w:val="clear" w:color="auto" w:fill="auto"/>
          </w:tcPr>
          <w:p w14:paraId="46A82A8D"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1</w:t>
            </w:r>
            <w:r>
              <w:rPr>
                <w:rFonts w:cs="Arial"/>
                <w:sz w:val="16"/>
                <w:szCs w:val="16"/>
                <w:lang w:val="sr-Latn-RS"/>
              </w:rPr>
              <w:t>.</w:t>
            </w:r>
            <w:r w:rsidRPr="00C51435">
              <w:rPr>
                <w:rFonts w:cs="Arial"/>
                <w:sz w:val="16"/>
                <w:szCs w:val="16"/>
                <w:lang w:val="sr-Latn-RS"/>
              </w:rPr>
              <w:t>361</w:t>
            </w:r>
          </w:p>
        </w:tc>
        <w:tc>
          <w:tcPr>
            <w:tcW w:w="296" w:type="pct"/>
            <w:shd w:val="clear" w:color="auto" w:fill="auto"/>
          </w:tcPr>
          <w:p w14:paraId="3C7531E6" w14:textId="22A678BF"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w:t>
            </w:r>
            <w:r w:rsidR="0022344D">
              <w:rPr>
                <w:rFonts w:cs="Arial"/>
                <w:sz w:val="16"/>
                <w:szCs w:val="16"/>
                <w:lang w:val="sr-Latn-RS"/>
              </w:rPr>
              <w:t>0</w:t>
            </w:r>
            <w:r>
              <w:rPr>
                <w:rFonts w:cs="Arial"/>
                <w:sz w:val="16"/>
                <w:szCs w:val="16"/>
                <w:lang w:val="sr-Latn-RS"/>
              </w:rPr>
              <w:t>.</w:t>
            </w:r>
            <w:r w:rsidRPr="00C51435">
              <w:rPr>
                <w:rFonts w:cs="Arial"/>
                <w:sz w:val="16"/>
                <w:szCs w:val="16"/>
                <w:lang w:val="sr-Latn-RS"/>
              </w:rPr>
              <w:t>743</w:t>
            </w:r>
          </w:p>
        </w:tc>
        <w:tc>
          <w:tcPr>
            <w:tcW w:w="296" w:type="pct"/>
            <w:shd w:val="clear" w:color="auto" w:fill="auto"/>
          </w:tcPr>
          <w:p w14:paraId="770813C0"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1</w:t>
            </w:r>
            <w:r>
              <w:rPr>
                <w:rFonts w:cs="Arial"/>
                <w:sz w:val="16"/>
                <w:szCs w:val="16"/>
                <w:lang w:val="sr-Latn-RS"/>
              </w:rPr>
              <w:t>.</w:t>
            </w:r>
            <w:r w:rsidRPr="00C51435">
              <w:rPr>
                <w:rFonts w:cs="Arial"/>
                <w:sz w:val="16"/>
                <w:szCs w:val="16"/>
                <w:lang w:val="sr-Latn-RS"/>
              </w:rPr>
              <w:t>002</w:t>
            </w:r>
          </w:p>
        </w:tc>
        <w:tc>
          <w:tcPr>
            <w:tcW w:w="296" w:type="pct"/>
            <w:shd w:val="clear" w:color="auto" w:fill="auto"/>
          </w:tcPr>
          <w:p w14:paraId="0BEAACBB"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-2</w:t>
            </w:r>
            <w:r>
              <w:rPr>
                <w:rFonts w:cs="Arial"/>
                <w:sz w:val="16"/>
                <w:szCs w:val="16"/>
                <w:lang w:val="sr-Latn-RS"/>
              </w:rPr>
              <w:t>.</w:t>
            </w:r>
            <w:r w:rsidRPr="00C51435">
              <w:rPr>
                <w:rFonts w:cs="Arial"/>
                <w:sz w:val="16"/>
                <w:szCs w:val="16"/>
                <w:lang w:val="sr-Latn-RS"/>
              </w:rPr>
              <w:t>986</w:t>
            </w:r>
          </w:p>
        </w:tc>
        <w:tc>
          <w:tcPr>
            <w:tcW w:w="296" w:type="pct"/>
            <w:shd w:val="clear" w:color="auto" w:fill="auto"/>
          </w:tcPr>
          <w:p w14:paraId="44F13EB3"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-2</w:t>
            </w:r>
            <w:r>
              <w:rPr>
                <w:rFonts w:cs="Arial"/>
                <w:sz w:val="16"/>
                <w:szCs w:val="16"/>
                <w:lang w:val="sr-Latn-RS"/>
              </w:rPr>
              <w:t>.</w:t>
            </w:r>
            <w:r w:rsidRPr="00C51435">
              <w:rPr>
                <w:rFonts w:cs="Arial"/>
                <w:sz w:val="16"/>
                <w:szCs w:val="16"/>
                <w:lang w:val="sr-Latn-RS"/>
              </w:rPr>
              <w:t>157</w:t>
            </w:r>
          </w:p>
        </w:tc>
        <w:tc>
          <w:tcPr>
            <w:tcW w:w="296" w:type="pct"/>
            <w:shd w:val="clear" w:color="auto" w:fill="auto"/>
          </w:tcPr>
          <w:p w14:paraId="75FF3EC7"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4</w:t>
            </w:r>
            <w:r>
              <w:rPr>
                <w:rFonts w:cs="Arial"/>
                <w:sz w:val="16"/>
                <w:szCs w:val="16"/>
                <w:lang w:val="sr-Latn-RS"/>
              </w:rPr>
              <w:t>.</w:t>
            </w:r>
            <w:r w:rsidRPr="00C51435">
              <w:rPr>
                <w:rFonts w:cs="Arial"/>
                <w:sz w:val="16"/>
                <w:szCs w:val="16"/>
                <w:lang w:val="sr-Latn-RS"/>
              </w:rPr>
              <w:t>978</w:t>
            </w:r>
          </w:p>
        </w:tc>
        <w:tc>
          <w:tcPr>
            <w:tcW w:w="296" w:type="pct"/>
            <w:shd w:val="clear" w:color="auto" w:fill="auto"/>
          </w:tcPr>
          <w:p w14:paraId="5C184BC2"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-4</w:t>
            </w:r>
            <w:r>
              <w:rPr>
                <w:rFonts w:cs="Arial"/>
                <w:sz w:val="16"/>
                <w:szCs w:val="16"/>
                <w:lang w:val="sr-Latn-RS"/>
              </w:rPr>
              <w:t>.</w:t>
            </w:r>
            <w:r w:rsidRPr="00C51435">
              <w:rPr>
                <w:rFonts w:cs="Arial"/>
                <w:sz w:val="16"/>
                <w:szCs w:val="16"/>
                <w:lang w:val="sr-Latn-RS"/>
              </w:rPr>
              <w:t>355</w:t>
            </w:r>
          </w:p>
        </w:tc>
        <w:tc>
          <w:tcPr>
            <w:tcW w:w="296" w:type="pct"/>
            <w:shd w:val="clear" w:color="auto" w:fill="auto"/>
          </w:tcPr>
          <w:p w14:paraId="2B1F27DF" w14:textId="2DB84C5F"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w:t>
            </w:r>
            <w:r w:rsidR="0022344D">
              <w:rPr>
                <w:rFonts w:cs="Arial"/>
                <w:sz w:val="16"/>
                <w:szCs w:val="16"/>
                <w:lang w:val="sr-Latn-RS"/>
              </w:rPr>
              <w:t>0</w:t>
            </w:r>
            <w:r>
              <w:rPr>
                <w:rFonts w:cs="Arial"/>
                <w:sz w:val="16"/>
                <w:szCs w:val="16"/>
                <w:lang w:val="sr-Latn-RS"/>
              </w:rPr>
              <w:t>.</w:t>
            </w:r>
            <w:r w:rsidRPr="00C51435">
              <w:rPr>
                <w:rFonts w:cs="Arial"/>
                <w:sz w:val="16"/>
                <w:szCs w:val="16"/>
                <w:lang w:val="sr-Latn-RS"/>
              </w:rPr>
              <w:t>918</w:t>
            </w:r>
          </w:p>
        </w:tc>
        <w:tc>
          <w:tcPr>
            <w:tcW w:w="891" w:type="pct"/>
            <w:shd w:val="clear" w:color="auto" w:fill="auto"/>
            <w:vAlign w:val="center"/>
          </w:tcPr>
          <w:p w14:paraId="65495A0B"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916" w:type="pct"/>
            <w:tcBorders>
              <w:right w:val="nil"/>
            </w:tcBorders>
            <w:shd w:val="clear" w:color="auto" w:fill="auto"/>
            <w:vAlign w:val="center"/>
          </w:tcPr>
          <w:p w14:paraId="4A105580"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r>
      <w:tr w:rsidR="007225E0" w:rsidRPr="00C51435" w14:paraId="37EA297F" w14:textId="77777777" w:rsidTr="00BE61A6">
        <w:trPr>
          <w:cantSplit/>
          <w:trHeight w:val="170"/>
        </w:trPr>
        <w:tc>
          <w:tcPr>
            <w:tcW w:w="322" w:type="pct"/>
            <w:vMerge/>
            <w:tcBorders>
              <w:left w:val="nil"/>
            </w:tcBorders>
            <w:shd w:val="clear" w:color="auto" w:fill="auto"/>
          </w:tcPr>
          <w:p w14:paraId="58ED8FDA"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511" w:type="pct"/>
            <w:shd w:val="clear" w:color="auto" w:fill="auto"/>
          </w:tcPr>
          <w:p w14:paraId="2CB48560"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r w:rsidRPr="00C51435">
              <w:rPr>
                <w:rFonts w:cs="Arial"/>
                <w:sz w:val="16"/>
                <w:szCs w:val="16"/>
                <w:lang w:val="sr-Latn-RS"/>
              </w:rPr>
              <w:t>N_Mean_CS</w:t>
            </w:r>
          </w:p>
        </w:tc>
        <w:tc>
          <w:tcPr>
            <w:tcW w:w="290" w:type="pct"/>
            <w:shd w:val="clear" w:color="auto" w:fill="auto"/>
          </w:tcPr>
          <w:p w14:paraId="246D6BEC"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-2</w:t>
            </w:r>
            <w:r>
              <w:rPr>
                <w:rFonts w:cs="Arial"/>
                <w:sz w:val="16"/>
                <w:szCs w:val="16"/>
                <w:lang w:val="sr-Latn-RS"/>
              </w:rPr>
              <w:t>.</w:t>
            </w:r>
            <w:r w:rsidRPr="00C51435">
              <w:rPr>
                <w:rFonts w:cs="Arial"/>
                <w:sz w:val="16"/>
                <w:szCs w:val="16"/>
                <w:lang w:val="sr-Latn-RS"/>
              </w:rPr>
              <w:t>907</w:t>
            </w:r>
          </w:p>
        </w:tc>
        <w:tc>
          <w:tcPr>
            <w:tcW w:w="296" w:type="pct"/>
            <w:shd w:val="clear" w:color="auto" w:fill="auto"/>
          </w:tcPr>
          <w:p w14:paraId="14D2117B"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-1</w:t>
            </w:r>
            <w:r>
              <w:rPr>
                <w:rFonts w:cs="Arial"/>
                <w:sz w:val="16"/>
                <w:szCs w:val="16"/>
                <w:lang w:val="sr-Latn-RS"/>
              </w:rPr>
              <w:t>.</w:t>
            </w:r>
            <w:r w:rsidRPr="00C51435">
              <w:rPr>
                <w:rFonts w:cs="Arial"/>
                <w:sz w:val="16"/>
                <w:szCs w:val="16"/>
                <w:lang w:val="sr-Latn-RS"/>
              </w:rPr>
              <w:t>246</w:t>
            </w:r>
          </w:p>
        </w:tc>
        <w:tc>
          <w:tcPr>
            <w:tcW w:w="296" w:type="pct"/>
            <w:shd w:val="clear" w:color="auto" w:fill="auto"/>
          </w:tcPr>
          <w:p w14:paraId="59F55FDE"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-1</w:t>
            </w:r>
            <w:r>
              <w:rPr>
                <w:rFonts w:cs="Arial"/>
                <w:sz w:val="16"/>
                <w:szCs w:val="16"/>
                <w:lang w:val="sr-Latn-RS"/>
              </w:rPr>
              <w:t>.</w:t>
            </w:r>
            <w:r w:rsidRPr="00C51435">
              <w:rPr>
                <w:rFonts w:cs="Arial"/>
                <w:sz w:val="16"/>
                <w:szCs w:val="16"/>
                <w:lang w:val="sr-Latn-RS"/>
              </w:rPr>
              <w:t>521</w:t>
            </w:r>
          </w:p>
        </w:tc>
        <w:tc>
          <w:tcPr>
            <w:tcW w:w="296" w:type="pct"/>
            <w:shd w:val="clear" w:color="auto" w:fill="auto"/>
          </w:tcPr>
          <w:p w14:paraId="356BACBA"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4</w:t>
            </w:r>
            <w:r>
              <w:rPr>
                <w:rFonts w:cs="Arial"/>
                <w:sz w:val="16"/>
                <w:szCs w:val="16"/>
                <w:lang w:val="sr-Latn-RS"/>
              </w:rPr>
              <w:t>.</w:t>
            </w:r>
            <w:r w:rsidRPr="00C51435">
              <w:rPr>
                <w:rFonts w:cs="Arial"/>
                <w:sz w:val="16"/>
                <w:szCs w:val="16"/>
                <w:lang w:val="sr-Latn-RS"/>
              </w:rPr>
              <w:t>622</w:t>
            </w:r>
          </w:p>
        </w:tc>
        <w:tc>
          <w:tcPr>
            <w:tcW w:w="296" w:type="pct"/>
            <w:shd w:val="clear" w:color="auto" w:fill="auto"/>
          </w:tcPr>
          <w:p w14:paraId="7ECE36AE"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-1</w:t>
            </w:r>
            <w:r>
              <w:rPr>
                <w:rFonts w:cs="Arial"/>
                <w:sz w:val="16"/>
                <w:szCs w:val="16"/>
                <w:lang w:val="sr-Latn-RS"/>
              </w:rPr>
              <w:t>.</w:t>
            </w:r>
            <w:r w:rsidRPr="00C51435">
              <w:rPr>
                <w:rFonts w:cs="Arial"/>
                <w:sz w:val="16"/>
                <w:szCs w:val="16"/>
                <w:lang w:val="sr-Latn-RS"/>
              </w:rPr>
              <w:t>050</w:t>
            </w:r>
          </w:p>
        </w:tc>
        <w:tc>
          <w:tcPr>
            <w:tcW w:w="296" w:type="pct"/>
            <w:shd w:val="clear" w:color="auto" w:fill="auto"/>
          </w:tcPr>
          <w:p w14:paraId="4814AC9E"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-3</w:t>
            </w:r>
            <w:r>
              <w:rPr>
                <w:rFonts w:cs="Arial"/>
                <w:sz w:val="16"/>
                <w:szCs w:val="16"/>
                <w:lang w:val="sr-Latn-RS"/>
              </w:rPr>
              <w:t>.</w:t>
            </w:r>
            <w:r w:rsidRPr="00C51435">
              <w:rPr>
                <w:rFonts w:cs="Arial"/>
                <w:sz w:val="16"/>
                <w:szCs w:val="16"/>
                <w:lang w:val="sr-Latn-RS"/>
              </w:rPr>
              <w:t>495</w:t>
            </w:r>
          </w:p>
        </w:tc>
        <w:tc>
          <w:tcPr>
            <w:tcW w:w="296" w:type="pct"/>
            <w:shd w:val="clear" w:color="auto" w:fill="auto"/>
          </w:tcPr>
          <w:p w14:paraId="5C2F0988"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1</w:t>
            </w:r>
            <w:r>
              <w:rPr>
                <w:rFonts w:cs="Arial"/>
                <w:sz w:val="16"/>
                <w:szCs w:val="16"/>
                <w:lang w:val="sr-Latn-RS"/>
              </w:rPr>
              <w:t>.</w:t>
            </w:r>
            <w:r w:rsidRPr="00C51435">
              <w:rPr>
                <w:rFonts w:cs="Arial"/>
                <w:sz w:val="16"/>
                <w:szCs w:val="16"/>
                <w:lang w:val="sr-Latn-RS"/>
              </w:rPr>
              <w:t>684</w:t>
            </w:r>
          </w:p>
        </w:tc>
        <w:tc>
          <w:tcPr>
            <w:tcW w:w="296" w:type="pct"/>
            <w:shd w:val="clear" w:color="auto" w:fill="auto"/>
          </w:tcPr>
          <w:p w14:paraId="138D81F9"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-7</w:t>
            </w:r>
            <w:r>
              <w:rPr>
                <w:rFonts w:cs="Arial"/>
                <w:sz w:val="16"/>
                <w:szCs w:val="16"/>
                <w:lang w:val="sr-Latn-RS"/>
              </w:rPr>
              <w:t>.</w:t>
            </w:r>
            <w:r w:rsidRPr="00C51435">
              <w:rPr>
                <w:rFonts w:cs="Arial"/>
                <w:sz w:val="16"/>
                <w:szCs w:val="16"/>
                <w:lang w:val="sr-Latn-RS"/>
              </w:rPr>
              <w:t>179</w:t>
            </w:r>
          </w:p>
        </w:tc>
        <w:tc>
          <w:tcPr>
            <w:tcW w:w="891" w:type="pct"/>
            <w:shd w:val="clear" w:color="auto" w:fill="auto"/>
            <w:vAlign w:val="center"/>
          </w:tcPr>
          <w:p w14:paraId="36BFDF96"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916" w:type="pct"/>
            <w:tcBorders>
              <w:right w:val="nil"/>
            </w:tcBorders>
            <w:shd w:val="clear" w:color="auto" w:fill="auto"/>
            <w:vAlign w:val="center"/>
          </w:tcPr>
          <w:p w14:paraId="79F144D2"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r>
      <w:tr w:rsidR="007225E0" w:rsidRPr="00C51435" w14:paraId="30B29D4B" w14:textId="77777777" w:rsidTr="00BE61A6">
        <w:trPr>
          <w:cantSplit/>
          <w:trHeight w:val="170"/>
        </w:trPr>
        <w:tc>
          <w:tcPr>
            <w:tcW w:w="322" w:type="pct"/>
            <w:vMerge/>
            <w:tcBorders>
              <w:left w:val="nil"/>
            </w:tcBorders>
            <w:shd w:val="clear" w:color="auto" w:fill="auto"/>
          </w:tcPr>
          <w:p w14:paraId="2D46B4B2"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511" w:type="pct"/>
            <w:shd w:val="clear" w:color="auto" w:fill="auto"/>
          </w:tcPr>
          <w:p w14:paraId="0C8ED60D"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r w:rsidRPr="00C51435">
              <w:rPr>
                <w:rFonts w:cs="Arial"/>
                <w:sz w:val="16"/>
                <w:szCs w:val="16"/>
                <w:lang w:val="sr-Latn-RS"/>
              </w:rPr>
              <w:t>N_RMS_CS</w:t>
            </w:r>
          </w:p>
        </w:tc>
        <w:tc>
          <w:tcPr>
            <w:tcW w:w="290" w:type="pct"/>
            <w:shd w:val="clear" w:color="auto" w:fill="auto"/>
          </w:tcPr>
          <w:p w14:paraId="5EB66BD7"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-1</w:t>
            </w:r>
            <w:r>
              <w:rPr>
                <w:rFonts w:cs="Arial"/>
                <w:sz w:val="16"/>
                <w:szCs w:val="16"/>
                <w:lang w:val="sr-Latn-RS"/>
              </w:rPr>
              <w:t>.</w:t>
            </w:r>
            <w:r w:rsidRPr="00C51435">
              <w:rPr>
                <w:rFonts w:cs="Arial"/>
                <w:sz w:val="16"/>
                <w:szCs w:val="16"/>
                <w:lang w:val="sr-Latn-RS"/>
              </w:rPr>
              <w:t>652</w:t>
            </w:r>
          </w:p>
        </w:tc>
        <w:tc>
          <w:tcPr>
            <w:tcW w:w="296" w:type="pct"/>
            <w:shd w:val="clear" w:color="auto" w:fill="auto"/>
          </w:tcPr>
          <w:p w14:paraId="1753FD03"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-1</w:t>
            </w:r>
            <w:r>
              <w:rPr>
                <w:rFonts w:cs="Arial"/>
                <w:sz w:val="16"/>
                <w:szCs w:val="16"/>
                <w:lang w:val="sr-Latn-RS"/>
              </w:rPr>
              <w:t>.</w:t>
            </w:r>
            <w:r w:rsidRPr="00C51435">
              <w:rPr>
                <w:rFonts w:cs="Arial"/>
                <w:sz w:val="16"/>
                <w:szCs w:val="16"/>
                <w:lang w:val="sr-Latn-RS"/>
              </w:rPr>
              <w:t>925</w:t>
            </w:r>
          </w:p>
        </w:tc>
        <w:tc>
          <w:tcPr>
            <w:tcW w:w="296" w:type="pct"/>
            <w:shd w:val="clear" w:color="auto" w:fill="auto"/>
          </w:tcPr>
          <w:p w14:paraId="0C1E10C5" w14:textId="503788B6"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w:t>
            </w:r>
            <w:r w:rsidR="0022344D">
              <w:rPr>
                <w:rFonts w:cs="Arial"/>
                <w:sz w:val="16"/>
                <w:szCs w:val="16"/>
                <w:lang w:val="sr-Latn-RS"/>
              </w:rPr>
              <w:t>0</w:t>
            </w:r>
            <w:r>
              <w:rPr>
                <w:rFonts w:cs="Arial"/>
                <w:sz w:val="16"/>
                <w:szCs w:val="16"/>
                <w:lang w:val="sr-Latn-RS"/>
              </w:rPr>
              <w:t>.</w:t>
            </w:r>
            <w:r w:rsidRPr="00C51435">
              <w:rPr>
                <w:rFonts w:cs="Arial"/>
                <w:sz w:val="16"/>
                <w:szCs w:val="16"/>
                <w:lang w:val="sr-Latn-RS"/>
              </w:rPr>
              <w:t>782</w:t>
            </w:r>
          </w:p>
        </w:tc>
        <w:tc>
          <w:tcPr>
            <w:tcW w:w="296" w:type="pct"/>
            <w:shd w:val="clear" w:color="auto" w:fill="auto"/>
          </w:tcPr>
          <w:p w14:paraId="7875FD46"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2</w:t>
            </w:r>
            <w:r>
              <w:rPr>
                <w:rFonts w:cs="Arial"/>
                <w:sz w:val="16"/>
                <w:szCs w:val="16"/>
                <w:lang w:val="sr-Latn-RS"/>
              </w:rPr>
              <w:t>.</w:t>
            </w:r>
            <w:r w:rsidRPr="00C51435">
              <w:rPr>
                <w:rFonts w:cs="Arial"/>
                <w:sz w:val="16"/>
                <w:szCs w:val="16"/>
                <w:lang w:val="sr-Latn-RS"/>
              </w:rPr>
              <w:t>251</w:t>
            </w:r>
          </w:p>
        </w:tc>
        <w:tc>
          <w:tcPr>
            <w:tcW w:w="296" w:type="pct"/>
            <w:shd w:val="clear" w:color="auto" w:fill="auto"/>
          </w:tcPr>
          <w:p w14:paraId="618270F8"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-2</w:t>
            </w:r>
            <w:r>
              <w:rPr>
                <w:rFonts w:cs="Arial"/>
                <w:sz w:val="16"/>
                <w:szCs w:val="16"/>
                <w:lang w:val="sr-Latn-RS"/>
              </w:rPr>
              <w:t>.</w:t>
            </w:r>
            <w:r w:rsidRPr="00C51435">
              <w:rPr>
                <w:rFonts w:cs="Arial"/>
                <w:sz w:val="16"/>
                <w:szCs w:val="16"/>
                <w:lang w:val="sr-Latn-RS"/>
              </w:rPr>
              <w:t>714</w:t>
            </w:r>
          </w:p>
        </w:tc>
        <w:tc>
          <w:tcPr>
            <w:tcW w:w="296" w:type="pct"/>
            <w:shd w:val="clear" w:color="auto" w:fill="auto"/>
          </w:tcPr>
          <w:p w14:paraId="6434D4C0" w14:textId="63610306"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w:t>
            </w:r>
            <w:r w:rsidR="0022344D">
              <w:rPr>
                <w:rFonts w:cs="Arial"/>
                <w:sz w:val="16"/>
                <w:szCs w:val="16"/>
                <w:lang w:val="sr-Latn-RS"/>
              </w:rPr>
              <w:t>0</w:t>
            </w:r>
            <w:r>
              <w:rPr>
                <w:rFonts w:cs="Arial"/>
                <w:sz w:val="16"/>
                <w:szCs w:val="16"/>
                <w:lang w:val="sr-Latn-RS"/>
              </w:rPr>
              <w:t>.</w:t>
            </w:r>
            <w:r w:rsidRPr="00C51435">
              <w:rPr>
                <w:rFonts w:cs="Arial"/>
                <w:sz w:val="16"/>
                <w:szCs w:val="16"/>
                <w:lang w:val="sr-Latn-RS"/>
              </w:rPr>
              <w:t>417</w:t>
            </w:r>
          </w:p>
        </w:tc>
        <w:tc>
          <w:tcPr>
            <w:tcW w:w="296" w:type="pct"/>
            <w:shd w:val="clear" w:color="auto" w:fill="auto"/>
          </w:tcPr>
          <w:p w14:paraId="59D2B0DA" w14:textId="1DD189BC"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w:t>
            </w:r>
            <w:r w:rsidR="00DD466D">
              <w:rPr>
                <w:rFonts w:cs="Arial"/>
                <w:sz w:val="16"/>
                <w:szCs w:val="16"/>
                <w:lang w:val="sr-Latn-RS"/>
              </w:rPr>
              <w:t>0</w:t>
            </w:r>
            <w:r>
              <w:rPr>
                <w:rFonts w:cs="Arial"/>
                <w:sz w:val="16"/>
                <w:szCs w:val="16"/>
                <w:lang w:val="sr-Latn-RS"/>
              </w:rPr>
              <w:t>.</w:t>
            </w:r>
            <w:r w:rsidRPr="00C51435">
              <w:rPr>
                <w:rFonts w:cs="Arial"/>
                <w:sz w:val="16"/>
                <w:szCs w:val="16"/>
                <w:lang w:val="sr-Latn-RS"/>
              </w:rPr>
              <w:t>814</w:t>
            </w:r>
          </w:p>
        </w:tc>
        <w:tc>
          <w:tcPr>
            <w:tcW w:w="296" w:type="pct"/>
            <w:shd w:val="clear" w:color="auto" w:fill="auto"/>
          </w:tcPr>
          <w:p w14:paraId="02D772A4"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-5</w:t>
            </w:r>
            <w:r>
              <w:rPr>
                <w:rFonts w:cs="Arial"/>
                <w:sz w:val="16"/>
                <w:szCs w:val="16"/>
                <w:lang w:val="sr-Latn-RS"/>
              </w:rPr>
              <w:t>.</w:t>
            </w:r>
            <w:r w:rsidRPr="00C51435">
              <w:rPr>
                <w:rFonts w:cs="Arial"/>
                <w:sz w:val="16"/>
                <w:szCs w:val="16"/>
                <w:lang w:val="sr-Latn-RS"/>
              </w:rPr>
              <w:t>931</w:t>
            </w:r>
          </w:p>
        </w:tc>
        <w:tc>
          <w:tcPr>
            <w:tcW w:w="891" w:type="pct"/>
            <w:shd w:val="clear" w:color="auto" w:fill="auto"/>
            <w:vAlign w:val="center"/>
          </w:tcPr>
          <w:p w14:paraId="1E55B015"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916" w:type="pct"/>
            <w:tcBorders>
              <w:right w:val="nil"/>
            </w:tcBorders>
            <w:shd w:val="clear" w:color="auto" w:fill="auto"/>
            <w:vAlign w:val="center"/>
          </w:tcPr>
          <w:p w14:paraId="5850D971"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r>
      <w:tr w:rsidR="007225E0" w:rsidRPr="00C51435" w14:paraId="73856B6B" w14:textId="77777777" w:rsidTr="00BE61A6">
        <w:trPr>
          <w:cantSplit/>
          <w:trHeight w:val="170"/>
        </w:trPr>
        <w:tc>
          <w:tcPr>
            <w:tcW w:w="322" w:type="pct"/>
            <w:vMerge/>
            <w:tcBorders>
              <w:left w:val="nil"/>
            </w:tcBorders>
            <w:shd w:val="clear" w:color="auto" w:fill="auto"/>
          </w:tcPr>
          <w:p w14:paraId="4F490689"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511" w:type="pct"/>
            <w:shd w:val="clear" w:color="auto" w:fill="auto"/>
          </w:tcPr>
          <w:p w14:paraId="3F8C89C4"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r w:rsidRPr="00C51435">
              <w:rPr>
                <w:rFonts w:cs="Arial"/>
                <w:sz w:val="16"/>
                <w:szCs w:val="16"/>
                <w:lang w:val="sr-Latn-RS"/>
              </w:rPr>
              <w:t>N_1Q_CS</w:t>
            </w:r>
          </w:p>
        </w:tc>
        <w:tc>
          <w:tcPr>
            <w:tcW w:w="290" w:type="pct"/>
            <w:shd w:val="clear" w:color="auto" w:fill="auto"/>
          </w:tcPr>
          <w:p w14:paraId="0D8DEF6F" w14:textId="0A5359AB"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w:t>
            </w:r>
            <w:r w:rsidR="0022344D">
              <w:rPr>
                <w:rFonts w:cs="Arial"/>
                <w:sz w:val="16"/>
                <w:szCs w:val="16"/>
                <w:lang w:val="sr-Latn-RS"/>
              </w:rPr>
              <w:t>0</w:t>
            </w:r>
            <w:r>
              <w:rPr>
                <w:rFonts w:cs="Arial"/>
                <w:sz w:val="16"/>
                <w:szCs w:val="16"/>
                <w:lang w:val="sr-Latn-RS"/>
              </w:rPr>
              <w:t>.</w:t>
            </w:r>
            <w:r w:rsidRPr="00C51435">
              <w:rPr>
                <w:rFonts w:cs="Arial"/>
                <w:sz w:val="16"/>
                <w:szCs w:val="16"/>
                <w:lang w:val="sr-Latn-RS"/>
              </w:rPr>
              <w:t>446</w:t>
            </w:r>
          </w:p>
        </w:tc>
        <w:tc>
          <w:tcPr>
            <w:tcW w:w="296" w:type="pct"/>
            <w:shd w:val="clear" w:color="auto" w:fill="auto"/>
          </w:tcPr>
          <w:p w14:paraId="192736E4"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-4</w:t>
            </w:r>
            <w:r>
              <w:rPr>
                <w:rFonts w:cs="Arial"/>
                <w:sz w:val="16"/>
                <w:szCs w:val="16"/>
                <w:lang w:val="sr-Latn-RS"/>
              </w:rPr>
              <w:t>.</w:t>
            </w:r>
            <w:r w:rsidRPr="00C51435">
              <w:rPr>
                <w:rFonts w:cs="Arial"/>
                <w:sz w:val="16"/>
                <w:szCs w:val="16"/>
                <w:lang w:val="sr-Latn-RS"/>
              </w:rPr>
              <w:t>257</w:t>
            </w:r>
          </w:p>
        </w:tc>
        <w:tc>
          <w:tcPr>
            <w:tcW w:w="296" w:type="pct"/>
            <w:shd w:val="clear" w:color="auto" w:fill="auto"/>
          </w:tcPr>
          <w:p w14:paraId="107179D6"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-2</w:t>
            </w:r>
            <w:r>
              <w:rPr>
                <w:rFonts w:cs="Arial"/>
                <w:sz w:val="16"/>
                <w:szCs w:val="16"/>
                <w:lang w:val="sr-Latn-RS"/>
              </w:rPr>
              <w:t>.</w:t>
            </w:r>
            <w:r w:rsidRPr="00C51435">
              <w:rPr>
                <w:rFonts w:cs="Arial"/>
                <w:sz w:val="16"/>
                <w:szCs w:val="16"/>
                <w:lang w:val="sr-Latn-RS"/>
              </w:rPr>
              <w:t>621</w:t>
            </w:r>
          </w:p>
        </w:tc>
        <w:tc>
          <w:tcPr>
            <w:tcW w:w="296" w:type="pct"/>
            <w:shd w:val="clear" w:color="auto" w:fill="auto"/>
          </w:tcPr>
          <w:p w14:paraId="6C5BB246" w14:textId="60243664" w:rsidR="007225E0" w:rsidRPr="00C51435" w:rsidRDefault="0022344D" w:rsidP="006A71E0">
            <w:pPr>
              <w:autoSpaceDE w:val="0"/>
              <w:autoSpaceDN w:val="0"/>
              <w:adjustRightInd w:val="0"/>
              <w:spacing w:before="0" w:after="0"/>
              <w:ind w:left="57" w:right="57"/>
              <w:jc w:val="right"/>
              <w:rPr>
                <w:rFonts w:cs="Arial"/>
                <w:sz w:val="16"/>
                <w:szCs w:val="16"/>
                <w:lang w:val="sr-Latn-RS"/>
              </w:rPr>
            </w:pPr>
            <w:r>
              <w:rPr>
                <w:rFonts w:cs="Arial"/>
                <w:sz w:val="16"/>
                <w:szCs w:val="16"/>
                <w:lang w:val="sr-Latn-RS"/>
              </w:rPr>
              <w:t>0</w:t>
            </w:r>
            <w:r w:rsidR="007225E0">
              <w:rPr>
                <w:rFonts w:cs="Arial"/>
                <w:sz w:val="16"/>
                <w:szCs w:val="16"/>
                <w:lang w:val="sr-Latn-RS"/>
              </w:rPr>
              <w:t>.</w:t>
            </w:r>
            <w:r w:rsidR="007225E0" w:rsidRPr="00C51435">
              <w:rPr>
                <w:rFonts w:cs="Arial"/>
                <w:sz w:val="16"/>
                <w:szCs w:val="16"/>
                <w:lang w:val="sr-Latn-RS"/>
              </w:rPr>
              <w:t>702</w:t>
            </w:r>
          </w:p>
        </w:tc>
        <w:tc>
          <w:tcPr>
            <w:tcW w:w="296" w:type="pct"/>
            <w:shd w:val="clear" w:color="auto" w:fill="auto"/>
          </w:tcPr>
          <w:p w14:paraId="14D315BA"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-4</w:t>
            </w:r>
            <w:r>
              <w:rPr>
                <w:rFonts w:cs="Arial"/>
                <w:sz w:val="16"/>
                <w:szCs w:val="16"/>
                <w:lang w:val="sr-Latn-RS"/>
              </w:rPr>
              <w:t>.</w:t>
            </w:r>
            <w:r w:rsidRPr="00C51435">
              <w:rPr>
                <w:rFonts w:cs="Arial"/>
                <w:sz w:val="16"/>
                <w:szCs w:val="16"/>
                <w:lang w:val="sr-Latn-RS"/>
              </w:rPr>
              <w:t>686</w:t>
            </w:r>
          </w:p>
        </w:tc>
        <w:tc>
          <w:tcPr>
            <w:tcW w:w="296" w:type="pct"/>
            <w:shd w:val="clear" w:color="auto" w:fill="auto"/>
          </w:tcPr>
          <w:p w14:paraId="00F54270"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1</w:t>
            </w:r>
            <w:r>
              <w:rPr>
                <w:rFonts w:cs="Arial"/>
                <w:sz w:val="16"/>
                <w:szCs w:val="16"/>
                <w:lang w:val="sr-Latn-RS"/>
              </w:rPr>
              <w:t>.</w:t>
            </w:r>
            <w:r w:rsidRPr="00C51435">
              <w:rPr>
                <w:rFonts w:cs="Arial"/>
                <w:sz w:val="16"/>
                <w:szCs w:val="16"/>
                <w:lang w:val="sr-Latn-RS"/>
              </w:rPr>
              <w:t>116</w:t>
            </w:r>
          </w:p>
        </w:tc>
        <w:tc>
          <w:tcPr>
            <w:tcW w:w="296" w:type="pct"/>
            <w:shd w:val="clear" w:color="auto" w:fill="auto"/>
          </w:tcPr>
          <w:p w14:paraId="5C026933" w14:textId="0FF3FA2F"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w:t>
            </w:r>
            <w:r w:rsidR="00DD466D">
              <w:rPr>
                <w:rFonts w:cs="Arial"/>
                <w:sz w:val="16"/>
                <w:szCs w:val="16"/>
                <w:lang w:val="sr-Latn-RS"/>
              </w:rPr>
              <w:t>0</w:t>
            </w:r>
            <w:r>
              <w:rPr>
                <w:rFonts w:cs="Arial"/>
                <w:sz w:val="16"/>
                <w:szCs w:val="16"/>
                <w:lang w:val="sr-Latn-RS"/>
              </w:rPr>
              <w:t>.</w:t>
            </w:r>
            <w:r w:rsidRPr="00C51435">
              <w:rPr>
                <w:rFonts w:cs="Arial"/>
                <w:sz w:val="16"/>
                <w:szCs w:val="16"/>
                <w:lang w:val="sr-Latn-RS"/>
              </w:rPr>
              <w:t>451</w:t>
            </w:r>
          </w:p>
        </w:tc>
        <w:tc>
          <w:tcPr>
            <w:tcW w:w="296" w:type="pct"/>
            <w:shd w:val="clear" w:color="auto" w:fill="auto"/>
          </w:tcPr>
          <w:p w14:paraId="638AB14D"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-1</w:t>
            </w:r>
            <w:r>
              <w:rPr>
                <w:rFonts w:cs="Arial"/>
                <w:sz w:val="16"/>
                <w:szCs w:val="16"/>
                <w:lang w:val="sr-Latn-RS"/>
              </w:rPr>
              <w:t>.</w:t>
            </w:r>
            <w:r w:rsidRPr="00C51435">
              <w:rPr>
                <w:rFonts w:cs="Arial"/>
                <w:sz w:val="16"/>
                <w:szCs w:val="16"/>
                <w:lang w:val="sr-Latn-RS"/>
              </w:rPr>
              <w:t>633</w:t>
            </w:r>
          </w:p>
        </w:tc>
        <w:tc>
          <w:tcPr>
            <w:tcW w:w="891" w:type="pct"/>
            <w:shd w:val="clear" w:color="auto" w:fill="auto"/>
            <w:vAlign w:val="center"/>
          </w:tcPr>
          <w:p w14:paraId="5AC0D23A"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916" w:type="pct"/>
            <w:tcBorders>
              <w:right w:val="nil"/>
            </w:tcBorders>
            <w:shd w:val="clear" w:color="auto" w:fill="auto"/>
            <w:vAlign w:val="center"/>
          </w:tcPr>
          <w:p w14:paraId="324DF38E"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r>
      <w:tr w:rsidR="007225E0" w:rsidRPr="00C51435" w14:paraId="1DCD51A7" w14:textId="77777777" w:rsidTr="00BE61A6">
        <w:trPr>
          <w:cantSplit/>
          <w:trHeight w:val="170"/>
        </w:trPr>
        <w:tc>
          <w:tcPr>
            <w:tcW w:w="322" w:type="pct"/>
            <w:vMerge/>
            <w:tcBorders>
              <w:left w:val="nil"/>
            </w:tcBorders>
            <w:shd w:val="clear" w:color="auto" w:fill="auto"/>
          </w:tcPr>
          <w:p w14:paraId="6076EA18"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511" w:type="pct"/>
            <w:shd w:val="clear" w:color="auto" w:fill="auto"/>
          </w:tcPr>
          <w:p w14:paraId="4CFF8F3B"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r w:rsidRPr="00C51435">
              <w:rPr>
                <w:rFonts w:cs="Arial"/>
                <w:sz w:val="16"/>
                <w:szCs w:val="16"/>
                <w:lang w:val="sr-Latn-RS"/>
              </w:rPr>
              <w:t>N_IQR_CS</w:t>
            </w:r>
          </w:p>
        </w:tc>
        <w:tc>
          <w:tcPr>
            <w:tcW w:w="290" w:type="pct"/>
            <w:shd w:val="clear" w:color="auto" w:fill="auto"/>
          </w:tcPr>
          <w:p w14:paraId="0326B596" w14:textId="3AA3B243" w:rsidR="007225E0" w:rsidRPr="00C51435" w:rsidRDefault="0022344D" w:rsidP="006A71E0">
            <w:pPr>
              <w:autoSpaceDE w:val="0"/>
              <w:autoSpaceDN w:val="0"/>
              <w:adjustRightInd w:val="0"/>
              <w:spacing w:before="0" w:after="0"/>
              <w:ind w:left="57" w:right="57"/>
              <w:jc w:val="right"/>
              <w:rPr>
                <w:rFonts w:cs="Arial"/>
                <w:sz w:val="16"/>
                <w:szCs w:val="16"/>
                <w:lang w:val="sr-Latn-RS"/>
              </w:rPr>
            </w:pPr>
            <w:r>
              <w:rPr>
                <w:rFonts w:cs="Arial"/>
                <w:sz w:val="16"/>
                <w:szCs w:val="16"/>
                <w:lang w:val="sr-Latn-RS"/>
              </w:rPr>
              <w:t>0</w:t>
            </w:r>
            <w:r w:rsidR="007225E0">
              <w:rPr>
                <w:rFonts w:cs="Arial"/>
                <w:sz w:val="16"/>
                <w:szCs w:val="16"/>
                <w:lang w:val="sr-Latn-RS"/>
              </w:rPr>
              <w:t>.</w:t>
            </w:r>
            <w:r w:rsidR="007225E0" w:rsidRPr="00C51435">
              <w:rPr>
                <w:rFonts w:cs="Arial"/>
                <w:sz w:val="16"/>
                <w:szCs w:val="16"/>
                <w:lang w:val="sr-Latn-RS"/>
              </w:rPr>
              <w:t>553</w:t>
            </w:r>
          </w:p>
        </w:tc>
        <w:tc>
          <w:tcPr>
            <w:tcW w:w="296" w:type="pct"/>
            <w:shd w:val="clear" w:color="auto" w:fill="auto"/>
          </w:tcPr>
          <w:p w14:paraId="7F10E539"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3</w:t>
            </w:r>
            <w:r>
              <w:rPr>
                <w:rFonts w:cs="Arial"/>
                <w:sz w:val="16"/>
                <w:szCs w:val="16"/>
                <w:lang w:val="sr-Latn-RS"/>
              </w:rPr>
              <w:t>.</w:t>
            </w:r>
            <w:r w:rsidRPr="00C51435">
              <w:rPr>
                <w:rFonts w:cs="Arial"/>
                <w:sz w:val="16"/>
                <w:szCs w:val="16"/>
                <w:lang w:val="sr-Latn-RS"/>
              </w:rPr>
              <w:t>019</w:t>
            </w:r>
          </w:p>
        </w:tc>
        <w:tc>
          <w:tcPr>
            <w:tcW w:w="296" w:type="pct"/>
            <w:shd w:val="clear" w:color="auto" w:fill="auto"/>
          </w:tcPr>
          <w:p w14:paraId="4636C295"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1</w:t>
            </w:r>
            <w:r>
              <w:rPr>
                <w:rFonts w:cs="Arial"/>
                <w:sz w:val="16"/>
                <w:szCs w:val="16"/>
                <w:lang w:val="sr-Latn-RS"/>
              </w:rPr>
              <w:t>.</w:t>
            </w:r>
            <w:r w:rsidRPr="00C51435">
              <w:rPr>
                <w:rFonts w:cs="Arial"/>
                <w:sz w:val="16"/>
                <w:szCs w:val="16"/>
                <w:lang w:val="sr-Latn-RS"/>
              </w:rPr>
              <w:t>653</w:t>
            </w:r>
          </w:p>
        </w:tc>
        <w:tc>
          <w:tcPr>
            <w:tcW w:w="296" w:type="pct"/>
            <w:shd w:val="clear" w:color="auto" w:fill="auto"/>
          </w:tcPr>
          <w:p w14:paraId="3DD396E2"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2</w:t>
            </w:r>
            <w:r>
              <w:rPr>
                <w:rFonts w:cs="Arial"/>
                <w:sz w:val="16"/>
                <w:szCs w:val="16"/>
                <w:lang w:val="sr-Latn-RS"/>
              </w:rPr>
              <w:t>.</w:t>
            </w:r>
            <w:r w:rsidRPr="00C51435">
              <w:rPr>
                <w:rFonts w:cs="Arial"/>
                <w:sz w:val="16"/>
                <w:szCs w:val="16"/>
                <w:lang w:val="sr-Latn-RS"/>
              </w:rPr>
              <w:t>172</w:t>
            </w:r>
          </w:p>
        </w:tc>
        <w:tc>
          <w:tcPr>
            <w:tcW w:w="296" w:type="pct"/>
            <w:shd w:val="clear" w:color="auto" w:fill="auto"/>
          </w:tcPr>
          <w:p w14:paraId="79504440"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2</w:t>
            </w:r>
            <w:r>
              <w:rPr>
                <w:rFonts w:cs="Arial"/>
                <w:sz w:val="16"/>
                <w:szCs w:val="16"/>
                <w:lang w:val="sr-Latn-RS"/>
              </w:rPr>
              <w:t>.</w:t>
            </w:r>
            <w:r w:rsidRPr="00C51435">
              <w:rPr>
                <w:rFonts w:cs="Arial"/>
                <w:sz w:val="16"/>
                <w:szCs w:val="16"/>
                <w:lang w:val="sr-Latn-RS"/>
              </w:rPr>
              <w:t>594</w:t>
            </w:r>
          </w:p>
        </w:tc>
        <w:tc>
          <w:tcPr>
            <w:tcW w:w="296" w:type="pct"/>
            <w:shd w:val="clear" w:color="auto" w:fill="auto"/>
          </w:tcPr>
          <w:p w14:paraId="17573786" w14:textId="1BBDE3E9" w:rsidR="007225E0" w:rsidRPr="00C51435" w:rsidRDefault="0022344D" w:rsidP="006A71E0">
            <w:pPr>
              <w:autoSpaceDE w:val="0"/>
              <w:autoSpaceDN w:val="0"/>
              <w:adjustRightInd w:val="0"/>
              <w:spacing w:before="0" w:after="0"/>
              <w:ind w:left="57" w:right="57"/>
              <w:jc w:val="right"/>
              <w:rPr>
                <w:rFonts w:cs="Arial"/>
                <w:sz w:val="16"/>
                <w:szCs w:val="16"/>
                <w:lang w:val="sr-Latn-RS"/>
              </w:rPr>
            </w:pPr>
            <w:r>
              <w:rPr>
                <w:rFonts w:cs="Arial"/>
                <w:sz w:val="16"/>
                <w:szCs w:val="16"/>
                <w:lang w:val="sr-Latn-RS"/>
              </w:rPr>
              <w:t>0</w:t>
            </w:r>
            <w:r w:rsidR="007225E0">
              <w:rPr>
                <w:rFonts w:cs="Arial"/>
                <w:sz w:val="16"/>
                <w:szCs w:val="16"/>
                <w:lang w:val="sr-Latn-RS"/>
              </w:rPr>
              <w:t>.</w:t>
            </w:r>
            <w:r w:rsidR="007225E0" w:rsidRPr="00C51435">
              <w:rPr>
                <w:rFonts w:cs="Arial"/>
                <w:sz w:val="16"/>
                <w:szCs w:val="16"/>
                <w:lang w:val="sr-Latn-RS"/>
              </w:rPr>
              <w:t>296</w:t>
            </w:r>
          </w:p>
        </w:tc>
        <w:tc>
          <w:tcPr>
            <w:tcW w:w="296" w:type="pct"/>
            <w:shd w:val="clear" w:color="auto" w:fill="auto"/>
          </w:tcPr>
          <w:p w14:paraId="07F9D54B" w14:textId="0286FF12"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w:t>
            </w:r>
            <w:r w:rsidR="00DD466D">
              <w:rPr>
                <w:rFonts w:cs="Arial"/>
                <w:sz w:val="16"/>
                <w:szCs w:val="16"/>
                <w:lang w:val="sr-Latn-RS"/>
              </w:rPr>
              <w:t>0</w:t>
            </w:r>
            <w:r>
              <w:rPr>
                <w:rFonts w:cs="Arial"/>
                <w:sz w:val="16"/>
                <w:szCs w:val="16"/>
                <w:lang w:val="sr-Latn-RS"/>
              </w:rPr>
              <w:t>.</w:t>
            </w:r>
            <w:r w:rsidRPr="00C51435">
              <w:rPr>
                <w:rFonts w:cs="Arial"/>
                <w:sz w:val="16"/>
                <w:szCs w:val="16"/>
                <w:lang w:val="sr-Latn-RS"/>
              </w:rPr>
              <w:t>230</w:t>
            </w:r>
          </w:p>
        </w:tc>
        <w:tc>
          <w:tcPr>
            <w:tcW w:w="296" w:type="pct"/>
            <w:shd w:val="clear" w:color="auto" w:fill="auto"/>
          </w:tcPr>
          <w:p w14:paraId="167847E9"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-2</w:t>
            </w:r>
            <w:r>
              <w:rPr>
                <w:rFonts w:cs="Arial"/>
                <w:sz w:val="16"/>
                <w:szCs w:val="16"/>
                <w:lang w:val="sr-Latn-RS"/>
              </w:rPr>
              <w:t>.</w:t>
            </w:r>
            <w:r w:rsidRPr="00C51435">
              <w:rPr>
                <w:rFonts w:cs="Arial"/>
                <w:sz w:val="16"/>
                <w:szCs w:val="16"/>
                <w:lang w:val="sr-Latn-RS"/>
              </w:rPr>
              <w:t>953</w:t>
            </w:r>
          </w:p>
        </w:tc>
        <w:tc>
          <w:tcPr>
            <w:tcW w:w="891" w:type="pct"/>
            <w:shd w:val="clear" w:color="auto" w:fill="auto"/>
            <w:vAlign w:val="center"/>
          </w:tcPr>
          <w:p w14:paraId="1F6B68D3"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916" w:type="pct"/>
            <w:tcBorders>
              <w:right w:val="nil"/>
            </w:tcBorders>
            <w:shd w:val="clear" w:color="auto" w:fill="auto"/>
            <w:vAlign w:val="center"/>
          </w:tcPr>
          <w:p w14:paraId="76A11C73"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r>
      <w:tr w:rsidR="007225E0" w:rsidRPr="00C51435" w14:paraId="24104D79" w14:textId="77777777" w:rsidTr="00BE61A6">
        <w:trPr>
          <w:cantSplit/>
          <w:trHeight w:val="170"/>
        </w:trPr>
        <w:tc>
          <w:tcPr>
            <w:tcW w:w="322" w:type="pct"/>
            <w:vMerge/>
            <w:tcBorders>
              <w:left w:val="nil"/>
            </w:tcBorders>
            <w:shd w:val="clear" w:color="auto" w:fill="auto"/>
          </w:tcPr>
          <w:p w14:paraId="68C24078"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511" w:type="pct"/>
            <w:shd w:val="clear" w:color="auto" w:fill="auto"/>
          </w:tcPr>
          <w:p w14:paraId="7F301C66"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r w:rsidRPr="00C51435">
              <w:rPr>
                <w:rFonts w:cs="Arial"/>
                <w:sz w:val="16"/>
                <w:szCs w:val="16"/>
                <w:lang w:val="sr-Latn-RS"/>
              </w:rPr>
              <w:t>N_Min_CS</w:t>
            </w:r>
          </w:p>
        </w:tc>
        <w:tc>
          <w:tcPr>
            <w:tcW w:w="290" w:type="pct"/>
            <w:shd w:val="clear" w:color="auto" w:fill="auto"/>
          </w:tcPr>
          <w:p w14:paraId="73BE68F7"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-2</w:t>
            </w:r>
            <w:r>
              <w:rPr>
                <w:rFonts w:cs="Arial"/>
                <w:sz w:val="16"/>
                <w:szCs w:val="16"/>
                <w:lang w:val="sr-Latn-RS"/>
              </w:rPr>
              <w:t>.</w:t>
            </w:r>
            <w:r w:rsidRPr="00C51435">
              <w:rPr>
                <w:rFonts w:cs="Arial"/>
                <w:sz w:val="16"/>
                <w:szCs w:val="16"/>
                <w:lang w:val="sr-Latn-RS"/>
              </w:rPr>
              <w:t>060</w:t>
            </w:r>
          </w:p>
        </w:tc>
        <w:tc>
          <w:tcPr>
            <w:tcW w:w="296" w:type="pct"/>
            <w:shd w:val="clear" w:color="auto" w:fill="auto"/>
          </w:tcPr>
          <w:p w14:paraId="6ACDCBEE"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-3</w:t>
            </w:r>
            <w:r>
              <w:rPr>
                <w:rFonts w:cs="Arial"/>
                <w:sz w:val="16"/>
                <w:szCs w:val="16"/>
                <w:lang w:val="sr-Latn-RS"/>
              </w:rPr>
              <w:t>.</w:t>
            </w:r>
            <w:r w:rsidRPr="00C51435">
              <w:rPr>
                <w:rFonts w:cs="Arial"/>
                <w:sz w:val="16"/>
                <w:szCs w:val="16"/>
                <w:lang w:val="sr-Latn-RS"/>
              </w:rPr>
              <w:t>250</w:t>
            </w:r>
          </w:p>
        </w:tc>
        <w:tc>
          <w:tcPr>
            <w:tcW w:w="296" w:type="pct"/>
            <w:shd w:val="clear" w:color="auto" w:fill="auto"/>
          </w:tcPr>
          <w:p w14:paraId="74156191"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-1</w:t>
            </w:r>
            <w:r>
              <w:rPr>
                <w:rFonts w:cs="Arial"/>
                <w:sz w:val="16"/>
                <w:szCs w:val="16"/>
                <w:lang w:val="sr-Latn-RS"/>
              </w:rPr>
              <w:t>.</w:t>
            </w:r>
            <w:r w:rsidRPr="00C51435">
              <w:rPr>
                <w:rFonts w:cs="Arial"/>
                <w:sz w:val="16"/>
                <w:szCs w:val="16"/>
                <w:lang w:val="sr-Latn-RS"/>
              </w:rPr>
              <w:t>673</w:t>
            </w:r>
          </w:p>
        </w:tc>
        <w:tc>
          <w:tcPr>
            <w:tcW w:w="296" w:type="pct"/>
            <w:shd w:val="clear" w:color="auto" w:fill="auto"/>
          </w:tcPr>
          <w:p w14:paraId="734CFE78"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1</w:t>
            </w:r>
            <w:r>
              <w:rPr>
                <w:rFonts w:cs="Arial"/>
                <w:sz w:val="16"/>
                <w:szCs w:val="16"/>
                <w:lang w:val="sr-Latn-RS"/>
              </w:rPr>
              <w:t>.</w:t>
            </w:r>
            <w:r w:rsidRPr="00C51435">
              <w:rPr>
                <w:rFonts w:cs="Arial"/>
                <w:sz w:val="16"/>
                <w:szCs w:val="16"/>
                <w:lang w:val="sr-Latn-RS"/>
              </w:rPr>
              <w:t>976</w:t>
            </w:r>
          </w:p>
        </w:tc>
        <w:tc>
          <w:tcPr>
            <w:tcW w:w="296" w:type="pct"/>
            <w:shd w:val="clear" w:color="auto" w:fill="auto"/>
          </w:tcPr>
          <w:p w14:paraId="6BCB391A"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-2</w:t>
            </w:r>
            <w:r>
              <w:rPr>
                <w:rFonts w:cs="Arial"/>
                <w:sz w:val="16"/>
                <w:szCs w:val="16"/>
                <w:lang w:val="sr-Latn-RS"/>
              </w:rPr>
              <w:t>.</w:t>
            </w:r>
            <w:r w:rsidRPr="00C51435">
              <w:rPr>
                <w:rFonts w:cs="Arial"/>
                <w:sz w:val="16"/>
                <w:szCs w:val="16"/>
                <w:lang w:val="sr-Latn-RS"/>
              </w:rPr>
              <w:t>837</w:t>
            </w:r>
          </w:p>
        </w:tc>
        <w:tc>
          <w:tcPr>
            <w:tcW w:w="296" w:type="pct"/>
            <w:shd w:val="clear" w:color="auto" w:fill="auto"/>
          </w:tcPr>
          <w:p w14:paraId="6E5A8FDB"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-1</w:t>
            </w:r>
            <w:r>
              <w:rPr>
                <w:rFonts w:cs="Arial"/>
                <w:sz w:val="16"/>
                <w:szCs w:val="16"/>
                <w:lang w:val="sr-Latn-RS"/>
              </w:rPr>
              <w:t>.</w:t>
            </w:r>
            <w:r w:rsidRPr="00C51435">
              <w:rPr>
                <w:rFonts w:cs="Arial"/>
                <w:sz w:val="16"/>
                <w:szCs w:val="16"/>
                <w:lang w:val="sr-Latn-RS"/>
              </w:rPr>
              <w:t>946</w:t>
            </w:r>
          </w:p>
        </w:tc>
        <w:tc>
          <w:tcPr>
            <w:tcW w:w="296" w:type="pct"/>
            <w:shd w:val="clear" w:color="auto" w:fill="auto"/>
          </w:tcPr>
          <w:p w14:paraId="234DB6AD" w14:textId="5EDD163E" w:rsidR="007225E0" w:rsidRPr="00C51435" w:rsidRDefault="0022344D" w:rsidP="006A71E0">
            <w:pPr>
              <w:autoSpaceDE w:val="0"/>
              <w:autoSpaceDN w:val="0"/>
              <w:adjustRightInd w:val="0"/>
              <w:spacing w:before="0" w:after="0"/>
              <w:ind w:left="57" w:right="57"/>
              <w:jc w:val="right"/>
              <w:rPr>
                <w:rFonts w:cs="Arial"/>
                <w:sz w:val="16"/>
                <w:szCs w:val="16"/>
                <w:lang w:val="sr-Latn-RS"/>
              </w:rPr>
            </w:pPr>
            <w:r>
              <w:rPr>
                <w:rFonts w:cs="Arial"/>
                <w:sz w:val="16"/>
                <w:szCs w:val="16"/>
                <w:lang w:val="sr-Latn-RS"/>
              </w:rPr>
              <w:t>0</w:t>
            </w:r>
            <w:r w:rsidR="007225E0">
              <w:rPr>
                <w:rFonts w:cs="Arial"/>
                <w:sz w:val="16"/>
                <w:szCs w:val="16"/>
                <w:lang w:val="sr-Latn-RS"/>
              </w:rPr>
              <w:t>.</w:t>
            </w:r>
            <w:r w:rsidR="007225E0" w:rsidRPr="00C51435">
              <w:rPr>
                <w:rFonts w:cs="Arial"/>
                <w:sz w:val="16"/>
                <w:szCs w:val="16"/>
                <w:lang w:val="sr-Latn-RS"/>
              </w:rPr>
              <w:t>780</w:t>
            </w:r>
          </w:p>
        </w:tc>
        <w:tc>
          <w:tcPr>
            <w:tcW w:w="296" w:type="pct"/>
            <w:shd w:val="clear" w:color="auto" w:fill="auto"/>
          </w:tcPr>
          <w:p w14:paraId="7765D6E6"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-1</w:t>
            </w:r>
            <w:r>
              <w:rPr>
                <w:rFonts w:cs="Arial"/>
                <w:sz w:val="16"/>
                <w:szCs w:val="16"/>
                <w:lang w:val="sr-Latn-RS"/>
              </w:rPr>
              <w:t>.</w:t>
            </w:r>
            <w:r w:rsidRPr="00C51435">
              <w:rPr>
                <w:rFonts w:cs="Arial"/>
                <w:sz w:val="16"/>
                <w:szCs w:val="16"/>
                <w:lang w:val="sr-Latn-RS"/>
              </w:rPr>
              <w:t>756</w:t>
            </w:r>
          </w:p>
        </w:tc>
        <w:tc>
          <w:tcPr>
            <w:tcW w:w="891" w:type="pct"/>
            <w:shd w:val="clear" w:color="auto" w:fill="auto"/>
            <w:vAlign w:val="center"/>
          </w:tcPr>
          <w:p w14:paraId="18F21D68"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916" w:type="pct"/>
            <w:tcBorders>
              <w:right w:val="nil"/>
            </w:tcBorders>
            <w:shd w:val="clear" w:color="auto" w:fill="auto"/>
            <w:vAlign w:val="center"/>
          </w:tcPr>
          <w:p w14:paraId="1B5EEF55"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r>
      <w:tr w:rsidR="007225E0" w:rsidRPr="00C51435" w14:paraId="37862F08" w14:textId="77777777" w:rsidTr="00DC4891">
        <w:trPr>
          <w:cantSplit/>
          <w:trHeight w:val="170"/>
        </w:trPr>
        <w:tc>
          <w:tcPr>
            <w:tcW w:w="322" w:type="pct"/>
            <w:vMerge/>
            <w:tcBorders>
              <w:left w:val="nil"/>
            </w:tcBorders>
            <w:shd w:val="clear" w:color="auto" w:fill="auto"/>
          </w:tcPr>
          <w:p w14:paraId="2078DA46"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511" w:type="pct"/>
            <w:shd w:val="clear" w:color="auto" w:fill="auto"/>
          </w:tcPr>
          <w:p w14:paraId="575A7590"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r w:rsidRPr="00C51435">
              <w:rPr>
                <w:rFonts w:cs="Arial"/>
                <w:sz w:val="16"/>
                <w:szCs w:val="16"/>
                <w:lang w:val="sr-Latn-RS"/>
              </w:rPr>
              <w:t>N_Skew_CS</w:t>
            </w:r>
          </w:p>
        </w:tc>
        <w:tc>
          <w:tcPr>
            <w:tcW w:w="290" w:type="pct"/>
            <w:shd w:val="clear" w:color="auto" w:fill="auto"/>
          </w:tcPr>
          <w:p w14:paraId="445CEFC0"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2</w:t>
            </w:r>
            <w:r>
              <w:rPr>
                <w:rFonts w:cs="Arial"/>
                <w:sz w:val="16"/>
                <w:szCs w:val="16"/>
                <w:lang w:val="sr-Latn-RS"/>
              </w:rPr>
              <w:t>.</w:t>
            </w:r>
            <w:r w:rsidRPr="00C51435">
              <w:rPr>
                <w:rFonts w:cs="Arial"/>
                <w:sz w:val="16"/>
                <w:szCs w:val="16"/>
                <w:lang w:val="sr-Latn-RS"/>
              </w:rPr>
              <w:t>993</w:t>
            </w:r>
          </w:p>
        </w:tc>
        <w:tc>
          <w:tcPr>
            <w:tcW w:w="296" w:type="pct"/>
            <w:shd w:val="clear" w:color="auto" w:fill="auto"/>
          </w:tcPr>
          <w:p w14:paraId="3C667BCE" w14:textId="67730935" w:rsidR="007225E0" w:rsidRPr="00C51435" w:rsidRDefault="0022344D" w:rsidP="006A71E0">
            <w:pPr>
              <w:autoSpaceDE w:val="0"/>
              <w:autoSpaceDN w:val="0"/>
              <w:adjustRightInd w:val="0"/>
              <w:spacing w:before="0" w:after="0"/>
              <w:ind w:left="57" w:right="57"/>
              <w:jc w:val="right"/>
              <w:rPr>
                <w:rFonts w:cs="Arial"/>
                <w:sz w:val="16"/>
                <w:szCs w:val="16"/>
                <w:lang w:val="sr-Latn-RS"/>
              </w:rPr>
            </w:pPr>
            <w:r>
              <w:rPr>
                <w:rFonts w:cs="Arial"/>
                <w:sz w:val="16"/>
                <w:szCs w:val="16"/>
                <w:lang w:val="sr-Latn-RS"/>
              </w:rPr>
              <w:t>0</w:t>
            </w:r>
            <w:r w:rsidR="007225E0">
              <w:rPr>
                <w:rFonts w:cs="Arial"/>
                <w:sz w:val="16"/>
                <w:szCs w:val="16"/>
                <w:lang w:val="sr-Latn-RS"/>
              </w:rPr>
              <w:t>.</w:t>
            </w:r>
            <w:r w:rsidR="007225E0" w:rsidRPr="00C51435">
              <w:rPr>
                <w:rFonts w:cs="Arial"/>
                <w:sz w:val="16"/>
                <w:szCs w:val="16"/>
                <w:lang w:val="sr-Latn-RS"/>
              </w:rPr>
              <w:t>451</w:t>
            </w:r>
          </w:p>
        </w:tc>
        <w:tc>
          <w:tcPr>
            <w:tcW w:w="296" w:type="pct"/>
            <w:shd w:val="clear" w:color="auto" w:fill="auto"/>
          </w:tcPr>
          <w:p w14:paraId="42A86C9F" w14:textId="7D848661" w:rsidR="007225E0" w:rsidRPr="00C51435" w:rsidRDefault="0022344D" w:rsidP="006A71E0">
            <w:pPr>
              <w:autoSpaceDE w:val="0"/>
              <w:autoSpaceDN w:val="0"/>
              <w:adjustRightInd w:val="0"/>
              <w:spacing w:before="0" w:after="0"/>
              <w:ind w:left="57" w:right="57"/>
              <w:jc w:val="right"/>
              <w:rPr>
                <w:rFonts w:cs="Arial"/>
                <w:sz w:val="16"/>
                <w:szCs w:val="16"/>
                <w:lang w:val="sr-Latn-RS"/>
              </w:rPr>
            </w:pPr>
            <w:r>
              <w:rPr>
                <w:rFonts w:cs="Arial"/>
                <w:sz w:val="16"/>
                <w:szCs w:val="16"/>
                <w:lang w:val="sr-Latn-RS"/>
              </w:rPr>
              <w:t>0</w:t>
            </w:r>
            <w:r w:rsidR="007225E0">
              <w:rPr>
                <w:rFonts w:cs="Arial"/>
                <w:sz w:val="16"/>
                <w:szCs w:val="16"/>
                <w:lang w:val="sr-Latn-RS"/>
              </w:rPr>
              <w:t>.</w:t>
            </w:r>
            <w:r w:rsidR="007225E0" w:rsidRPr="00C51435">
              <w:rPr>
                <w:rFonts w:cs="Arial"/>
                <w:sz w:val="16"/>
                <w:szCs w:val="16"/>
                <w:lang w:val="sr-Latn-RS"/>
              </w:rPr>
              <w:t>285</w:t>
            </w:r>
          </w:p>
        </w:tc>
        <w:tc>
          <w:tcPr>
            <w:tcW w:w="296" w:type="pct"/>
            <w:shd w:val="clear" w:color="auto" w:fill="auto"/>
          </w:tcPr>
          <w:p w14:paraId="525BE0FC"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1</w:t>
            </w:r>
            <w:r>
              <w:rPr>
                <w:rFonts w:cs="Arial"/>
                <w:sz w:val="16"/>
                <w:szCs w:val="16"/>
                <w:lang w:val="sr-Latn-RS"/>
              </w:rPr>
              <w:t>.</w:t>
            </w:r>
            <w:r w:rsidRPr="00C51435">
              <w:rPr>
                <w:rFonts w:cs="Arial"/>
                <w:sz w:val="16"/>
                <w:szCs w:val="16"/>
                <w:lang w:val="sr-Latn-RS"/>
              </w:rPr>
              <w:t>203</w:t>
            </w:r>
          </w:p>
        </w:tc>
        <w:tc>
          <w:tcPr>
            <w:tcW w:w="296" w:type="pct"/>
            <w:shd w:val="clear" w:color="auto" w:fill="auto"/>
          </w:tcPr>
          <w:p w14:paraId="29D2F97E"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2</w:t>
            </w:r>
            <w:r>
              <w:rPr>
                <w:rFonts w:cs="Arial"/>
                <w:sz w:val="16"/>
                <w:szCs w:val="16"/>
                <w:lang w:val="sr-Latn-RS"/>
              </w:rPr>
              <w:t>.</w:t>
            </w:r>
            <w:r w:rsidRPr="00C51435">
              <w:rPr>
                <w:rFonts w:cs="Arial"/>
                <w:sz w:val="16"/>
                <w:szCs w:val="16"/>
                <w:lang w:val="sr-Latn-RS"/>
              </w:rPr>
              <w:t>621</w:t>
            </w:r>
          </w:p>
        </w:tc>
        <w:tc>
          <w:tcPr>
            <w:tcW w:w="296" w:type="pct"/>
            <w:shd w:val="clear" w:color="auto" w:fill="auto"/>
          </w:tcPr>
          <w:p w14:paraId="1DBA175D"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-1</w:t>
            </w:r>
            <w:r>
              <w:rPr>
                <w:rFonts w:cs="Arial"/>
                <w:sz w:val="16"/>
                <w:szCs w:val="16"/>
                <w:lang w:val="sr-Latn-RS"/>
              </w:rPr>
              <w:t>.</w:t>
            </w:r>
            <w:r w:rsidRPr="00C51435">
              <w:rPr>
                <w:rFonts w:cs="Arial"/>
                <w:sz w:val="16"/>
                <w:szCs w:val="16"/>
                <w:lang w:val="sr-Latn-RS"/>
              </w:rPr>
              <w:t>392</w:t>
            </w:r>
          </w:p>
        </w:tc>
        <w:tc>
          <w:tcPr>
            <w:tcW w:w="296" w:type="pct"/>
            <w:shd w:val="clear" w:color="auto" w:fill="auto"/>
          </w:tcPr>
          <w:p w14:paraId="071F144B"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2</w:t>
            </w:r>
            <w:r>
              <w:rPr>
                <w:rFonts w:cs="Arial"/>
                <w:sz w:val="16"/>
                <w:szCs w:val="16"/>
                <w:lang w:val="sr-Latn-RS"/>
              </w:rPr>
              <w:t>.</w:t>
            </w:r>
            <w:r w:rsidRPr="00C51435">
              <w:rPr>
                <w:rFonts w:cs="Arial"/>
                <w:sz w:val="16"/>
                <w:szCs w:val="16"/>
                <w:lang w:val="sr-Latn-RS"/>
              </w:rPr>
              <w:t>393</w:t>
            </w:r>
          </w:p>
        </w:tc>
        <w:tc>
          <w:tcPr>
            <w:tcW w:w="296" w:type="pct"/>
            <w:shd w:val="clear" w:color="auto" w:fill="auto"/>
          </w:tcPr>
          <w:p w14:paraId="4E5A3BFD"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2</w:t>
            </w:r>
            <w:r>
              <w:rPr>
                <w:rFonts w:cs="Arial"/>
                <w:sz w:val="16"/>
                <w:szCs w:val="16"/>
                <w:lang w:val="sr-Latn-RS"/>
              </w:rPr>
              <w:t>.</w:t>
            </w:r>
            <w:r w:rsidRPr="00C51435">
              <w:rPr>
                <w:rFonts w:cs="Arial"/>
                <w:sz w:val="16"/>
                <w:szCs w:val="16"/>
                <w:lang w:val="sr-Latn-RS"/>
              </w:rPr>
              <w:t>512</w:t>
            </w:r>
          </w:p>
        </w:tc>
        <w:tc>
          <w:tcPr>
            <w:tcW w:w="891" w:type="pct"/>
            <w:shd w:val="clear" w:color="auto" w:fill="auto"/>
            <w:vAlign w:val="center"/>
          </w:tcPr>
          <w:p w14:paraId="76BC4255"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916" w:type="pct"/>
            <w:tcBorders>
              <w:right w:val="nil"/>
            </w:tcBorders>
            <w:shd w:val="clear" w:color="auto" w:fill="auto"/>
            <w:vAlign w:val="center"/>
          </w:tcPr>
          <w:p w14:paraId="2F49A686"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r>
      <w:tr w:rsidR="007225E0" w:rsidRPr="00C51435" w14:paraId="404DB5F8" w14:textId="77777777" w:rsidTr="00BE61A6">
        <w:trPr>
          <w:cantSplit/>
          <w:trHeight w:val="170"/>
        </w:trPr>
        <w:tc>
          <w:tcPr>
            <w:tcW w:w="322" w:type="pct"/>
            <w:vMerge w:val="restart"/>
            <w:tcBorders>
              <w:left w:val="nil"/>
            </w:tcBorders>
            <w:shd w:val="clear" w:color="auto" w:fill="auto"/>
          </w:tcPr>
          <w:p w14:paraId="31C72345"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r w:rsidRPr="00C51435">
              <w:rPr>
                <w:rFonts w:cs="Arial"/>
                <w:sz w:val="16"/>
                <w:szCs w:val="16"/>
                <w:lang w:val="sr-Latn-RS"/>
              </w:rPr>
              <w:t>Hidden Layer 1</w:t>
            </w:r>
          </w:p>
        </w:tc>
        <w:tc>
          <w:tcPr>
            <w:tcW w:w="511" w:type="pct"/>
            <w:shd w:val="clear" w:color="auto" w:fill="auto"/>
          </w:tcPr>
          <w:p w14:paraId="3FA0CDFB"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r w:rsidRPr="00C51435">
              <w:rPr>
                <w:rFonts w:cs="Arial"/>
                <w:sz w:val="16"/>
                <w:szCs w:val="16"/>
                <w:lang w:val="sr-Latn-RS"/>
              </w:rPr>
              <w:t>(Bias)</w:t>
            </w:r>
          </w:p>
        </w:tc>
        <w:tc>
          <w:tcPr>
            <w:tcW w:w="290" w:type="pct"/>
            <w:shd w:val="clear" w:color="auto" w:fill="auto"/>
            <w:vAlign w:val="center"/>
          </w:tcPr>
          <w:p w14:paraId="170AEDB4"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194DCBDD"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58929CF9"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0B9CE56F"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1D1A9929"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20727876"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6284140B"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0001C749"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891" w:type="pct"/>
            <w:shd w:val="clear" w:color="auto" w:fill="auto"/>
          </w:tcPr>
          <w:p w14:paraId="5F46F477" w14:textId="1256968E" w:rsidR="007225E0" w:rsidRPr="00C51435" w:rsidRDefault="0022344D" w:rsidP="006A71E0">
            <w:pPr>
              <w:autoSpaceDE w:val="0"/>
              <w:autoSpaceDN w:val="0"/>
              <w:adjustRightInd w:val="0"/>
              <w:spacing w:before="0" w:after="0"/>
              <w:ind w:left="57" w:right="57"/>
              <w:jc w:val="right"/>
              <w:rPr>
                <w:rFonts w:cs="Arial"/>
                <w:sz w:val="16"/>
                <w:szCs w:val="16"/>
                <w:lang w:val="sr-Latn-RS"/>
              </w:rPr>
            </w:pPr>
            <w:r>
              <w:rPr>
                <w:rFonts w:cs="Arial"/>
                <w:sz w:val="16"/>
                <w:szCs w:val="16"/>
                <w:lang w:val="sr-Latn-RS"/>
              </w:rPr>
              <w:t>0</w:t>
            </w:r>
            <w:r w:rsidR="007225E0">
              <w:rPr>
                <w:rFonts w:cs="Arial"/>
                <w:sz w:val="16"/>
                <w:szCs w:val="16"/>
                <w:lang w:val="sr-Latn-RS"/>
              </w:rPr>
              <w:t>.</w:t>
            </w:r>
            <w:r w:rsidR="007225E0" w:rsidRPr="00C51435">
              <w:rPr>
                <w:rFonts w:cs="Arial"/>
                <w:sz w:val="16"/>
                <w:szCs w:val="16"/>
                <w:lang w:val="sr-Latn-RS"/>
              </w:rPr>
              <w:t>119</w:t>
            </w:r>
          </w:p>
        </w:tc>
        <w:tc>
          <w:tcPr>
            <w:tcW w:w="916" w:type="pct"/>
            <w:tcBorders>
              <w:right w:val="nil"/>
            </w:tcBorders>
            <w:shd w:val="clear" w:color="auto" w:fill="auto"/>
          </w:tcPr>
          <w:p w14:paraId="401D54DF" w14:textId="1EDA8859"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w:t>
            </w:r>
            <w:r w:rsidR="0022344D">
              <w:rPr>
                <w:rFonts w:cs="Arial"/>
                <w:sz w:val="16"/>
                <w:szCs w:val="16"/>
                <w:lang w:val="sr-Latn-RS"/>
              </w:rPr>
              <w:t>0</w:t>
            </w:r>
            <w:r>
              <w:rPr>
                <w:rFonts w:cs="Arial"/>
                <w:sz w:val="16"/>
                <w:szCs w:val="16"/>
                <w:lang w:val="sr-Latn-RS"/>
              </w:rPr>
              <w:t>.</w:t>
            </w:r>
            <w:r w:rsidRPr="00C51435">
              <w:rPr>
                <w:rFonts w:cs="Arial"/>
                <w:sz w:val="16"/>
                <w:szCs w:val="16"/>
                <w:lang w:val="sr-Latn-RS"/>
              </w:rPr>
              <w:t>123</w:t>
            </w:r>
          </w:p>
        </w:tc>
      </w:tr>
      <w:tr w:rsidR="007225E0" w:rsidRPr="00C51435" w14:paraId="19B169DE" w14:textId="77777777" w:rsidTr="00BE61A6">
        <w:trPr>
          <w:cantSplit/>
          <w:trHeight w:val="170"/>
        </w:trPr>
        <w:tc>
          <w:tcPr>
            <w:tcW w:w="322" w:type="pct"/>
            <w:vMerge/>
            <w:tcBorders>
              <w:left w:val="nil"/>
            </w:tcBorders>
            <w:shd w:val="clear" w:color="auto" w:fill="auto"/>
          </w:tcPr>
          <w:p w14:paraId="004AC576"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p>
        </w:tc>
        <w:tc>
          <w:tcPr>
            <w:tcW w:w="511" w:type="pct"/>
            <w:shd w:val="clear" w:color="auto" w:fill="auto"/>
          </w:tcPr>
          <w:p w14:paraId="4F85F597"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r w:rsidRPr="00C51435">
              <w:rPr>
                <w:rFonts w:cs="Arial"/>
                <w:sz w:val="16"/>
                <w:szCs w:val="16"/>
                <w:lang w:val="sr-Latn-RS"/>
              </w:rPr>
              <w:t>H(1:1)</w:t>
            </w:r>
          </w:p>
        </w:tc>
        <w:tc>
          <w:tcPr>
            <w:tcW w:w="290" w:type="pct"/>
            <w:shd w:val="clear" w:color="auto" w:fill="auto"/>
            <w:vAlign w:val="center"/>
          </w:tcPr>
          <w:p w14:paraId="612B84C3"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5D910C12"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20890993"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4441099E"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0E1ADB9A"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37675752"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128DBD5B"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62A61A5B"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891" w:type="pct"/>
            <w:shd w:val="clear" w:color="auto" w:fill="auto"/>
          </w:tcPr>
          <w:p w14:paraId="194E0E25"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-5</w:t>
            </w:r>
            <w:r>
              <w:rPr>
                <w:rFonts w:cs="Arial"/>
                <w:sz w:val="16"/>
                <w:szCs w:val="16"/>
                <w:lang w:val="sr-Latn-RS"/>
              </w:rPr>
              <w:t>.</w:t>
            </w:r>
            <w:r w:rsidRPr="00C51435">
              <w:rPr>
                <w:rFonts w:cs="Arial"/>
                <w:sz w:val="16"/>
                <w:szCs w:val="16"/>
                <w:lang w:val="sr-Latn-RS"/>
              </w:rPr>
              <w:t>734</w:t>
            </w:r>
          </w:p>
        </w:tc>
        <w:tc>
          <w:tcPr>
            <w:tcW w:w="916" w:type="pct"/>
            <w:tcBorders>
              <w:right w:val="nil"/>
            </w:tcBorders>
            <w:shd w:val="clear" w:color="auto" w:fill="auto"/>
          </w:tcPr>
          <w:p w14:paraId="6281694C"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5</w:t>
            </w:r>
            <w:r>
              <w:rPr>
                <w:rFonts w:cs="Arial"/>
                <w:sz w:val="16"/>
                <w:szCs w:val="16"/>
                <w:lang w:val="sr-Latn-RS"/>
              </w:rPr>
              <w:t>.</w:t>
            </w:r>
            <w:r w:rsidRPr="00C51435">
              <w:rPr>
                <w:rFonts w:cs="Arial"/>
                <w:sz w:val="16"/>
                <w:szCs w:val="16"/>
                <w:lang w:val="sr-Latn-RS"/>
              </w:rPr>
              <w:t>704</w:t>
            </w:r>
          </w:p>
        </w:tc>
      </w:tr>
      <w:tr w:rsidR="007225E0" w:rsidRPr="00C51435" w14:paraId="1B70DFD6" w14:textId="77777777" w:rsidTr="00BE61A6">
        <w:trPr>
          <w:cantSplit/>
          <w:trHeight w:val="170"/>
        </w:trPr>
        <w:tc>
          <w:tcPr>
            <w:tcW w:w="322" w:type="pct"/>
            <w:vMerge/>
            <w:tcBorders>
              <w:left w:val="nil"/>
            </w:tcBorders>
            <w:shd w:val="clear" w:color="auto" w:fill="auto"/>
          </w:tcPr>
          <w:p w14:paraId="46373AA5"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p>
        </w:tc>
        <w:tc>
          <w:tcPr>
            <w:tcW w:w="511" w:type="pct"/>
            <w:shd w:val="clear" w:color="auto" w:fill="auto"/>
          </w:tcPr>
          <w:p w14:paraId="4FD1B358"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r w:rsidRPr="00C51435">
              <w:rPr>
                <w:rFonts w:cs="Arial"/>
                <w:sz w:val="16"/>
                <w:szCs w:val="16"/>
                <w:lang w:val="sr-Latn-RS"/>
              </w:rPr>
              <w:t>H(1:2)</w:t>
            </w:r>
          </w:p>
        </w:tc>
        <w:tc>
          <w:tcPr>
            <w:tcW w:w="290" w:type="pct"/>
            <w:shd w:val="clear" w:color="auto" w:fill="auto"/>
            <w:vAlign w:val="center"/>
          </w:tcPr>
          <w:p w14:paraId="3ADA03EC"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58D53D1D"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07966D36"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30E864C5"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5E6E9D3A"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549294BC"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1660C1E6"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18FB409E"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891" w:type="pct"/>
            <w:shd w:val="clear" w:color="auto" w:fill="auto"/>
          </w:tcPr>
          <w:p w14:paraId="79EA9961"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4</w:t>
            </w:r>
            <w:r>
              <w:rPr>
                <w:rFonts w:cs="Arial"/>
                <w:sz w:val="16"/>
                <w:szCs w:val="16"/>
                <w:lang w:val="sr-Latn-RS"/>
              </w:rPr>
              <w:t>.</w:t>
            </w:r>
            <w:r w:rsidRPr="00C51435">
              <w:rPr>
                <w:rFonts w:cs="Arial"/>
                <w:sz w:val="16"/>
                <w:szCs w:val="16"/>
                <w:lang w:val="sr-Latn-RS"/>
              </w:rPr>
              <w:t>805</w:t>
            </w:r>
          </w:p>
        </w:tc>
        <w:tc>
          <w:tcPr>
            <w:tcW w:w="916" w:type="pct"/>
            <w:tcBorders>
              <w:right w:val="nil"/>
            </w:tcBorders>
            <w:shd w:val="clear" w:color="auto" w:fill="auto"/>
          </w:tcPr>
          <w:p w14:paraId="380B0FFB"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-4</w:t>
            </w:r>
            <w:r>
              <w:rPr>
                <w:rFonts w:cs="Arial"/>
                <w:sz w:val="16"/>
                <w:szCs w:val="16"/>
                <w:lang w:val="sr-Latn-RS"/>
              </w:rPr>
              <w:t>.</w:t>
            </w:r>
            <w:r w:rsidRPr="00C51435">
              <w:rPr>
                <w:rFonts w:cs="Arial"/>
                <w:sz w:val="16"/>
                <w:szCs w:val="16"/>
                <w:lang w:val="sr-Latn-RS"/>
              </w:rPr>
              <w:t>814</w:t>
            </w:r>
          </w:p>
        </w:tc>
      </w:tr>
      <w:tr w:rsidR="007225E0" w:rsidRPr="00C51435" w14:paraId="319CF382" w14:textId="77777777" w:rsidTr="00BE61A6">
        <w:trPr>
          <w:cantSplit/>
          <w:trHeight w:val="170"/>
        </w:trPr>
        <w:tc>
          <w:tcPr>
            <w:tcW w:w="322" w:type="pct"/>
            <w:vMerge/>
            <w:tcBorders>
              <w:left w:val="nil"/>
            </w:tcBorders>
            <w:shd w:val="clear" w:color="auto" w:fill="auto"/>
          </w:tcPr>
          <w:p w14:paraId="5447CB70"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p>
        </w:tc>
        <w:tc>
          <w:tcPr>
            <w:tcW w:w="511" w:type="pct"/>
            <w:shd w:val="clear" w:color="auto" w:fill="auto"/>
          </w:tcPr>
          <w:p w14:paraId="61547874"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r w:rsidRPr="00C51435">
              <w:rPr>
                <w:rFonts w:cs="Arial"/>
                <w:sz w:val="16"/>
                <w:szCs w:val="16"/>
                <w:lang w:val="sr-Latn-RS"/>
              </w:rPr>
              <w:t>H(1:3)</w:t>
            </w:r>
          </w:p>
        </w:tc>
        <w:tc>
          <w:tcPr>
            <w:tcW w:w="290" w:type="pct"/>
            <w:shd w:val="clear" w:color="auto" w:fill="auto"/>
            <w:vAlign w:val="center"/>
          </w:tcPr>
          <w:p w14:paraId="009DE225"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43F95D6A"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50817949"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1216B94B"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0CCF2893"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025436F8"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73CD77F8"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2C8067EC"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891" w:type="pct"/>
            <w:shd w:val="clear" w:color="auto" w:fill="auto"/>
          </w:tcPr>
          <w:p w14:paraId="551F98D5"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-4</w:t>
            </w:r>
            <w:r>
              <w:rPr>
                <w:rFonts w:cs="Arial"/>
                <w:sz w:val="16"/>
                <w:szCs w:val="16"/>
                <w:lang w:val="sr-Latn-RS"/>
              </w:rPr>
              <w:t>.</w:t>
            </w:r>
            <w:r w:rsidRPr="00C51435">
              <w:rPr>
                <w:rFonts w:cs="Arial"/>
                <w:sz w:val="16"/>
                <w:szCs w:val="16"/>
                <w:lang w:val="sr-Latn-RS"/>
              </w:rPr>
              <w:t>234</w:t>
            </w:r>
          </w:p>
        </w:tc>
        <w:tc>
          <w:tcPr>
            <w:tcW w:w="916" w:type="pct"/>
            <w:tcBorders>
              <w:right w:val="nil"/>
            </w:tcBorders>
            <w:shd w:val="clear" w:color="auto" w:fill="auto"/>
          </w:tcPr>
          <w:p w14:paraId="383703E3"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4</w:t>
            </w:r>
            <w:r>
              <w:rPr>
                <w:rFonts w:cs="Arial"/>
                <w:sz w:val="16"/>
                <w:szCs w:val="16"/>
                <w:lang w:val="sr-Latn-RS"/>
              </w:rPr>
              <w:t>.</w:t>
            </w:r>
            <w:r w:rsidRPr="00C51435">
              <w:rPr>
                <w:rFonts w:cs="Arial"/>
                <w:sz w:val="16"/>
                <w:szCs w:val="16"/>
                <w:lang w:val="sr-Latn-RS"/>
              </w:rPr>
              <w:t>216</w:t>
            </w:r>
          </w:p>
        </w:tc>
      </w:tr>
      <w:tr w:rsidR="007225E0" w:rsidRPr="00C51435" w14:paraId="043AB5CD" w14:textId="77777777" w:rsidTr="00BE61A6">
        <w:trPr>
          <w:cantSplit/>
          <w:trHeight w:val="170"/>
        </w:trPr>
        <w:tc>
          <w:tcPr>
            <w:tcW w:w="322" w:type="pct"/>
            <w:vMerge/>
            <w:tcBorders>
              <w:left w:val="nil"/>
            </w:tcBorders>
            <w:shd w:val="clear" w:color="auto" w:fill="auto"/>
          </w:tcPr>
          <w:p w14:paraId="6D36861C"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p>
        </w:tc>
        <w:tc>
          <w:tcPr>
            <w:tcW w:w="511" w:type="pct"/>
            <w:shd w:val="clear" w:color="auto" w:fill="auto"/>
          </w:tcPr>
          <w:p w14:paraId="5FC3CFBD"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r w:rsidRPr="00C51435">
              <w:rPr>
                <w:rFonts w:cs="Arial"/>
                <w:sz w:val="16"/>
                <w:szCs w:val="16"/>
                <w:lang w:val="sr-Latn-RS"/>
              </w:rPr>
              <w:t>H(1:4)</w:t>
            </w:r>
          </w:p>
        </w:tc>
        <w:tc>
          <w:tcPr>
            <w:tcW w:w="290" w:type="pct"/>
            <w:shd w:val="clear" w:color="auto" w:fill="auto"/>
            <w:vAlign w:val="center"/>
          </w:tcPr>
          <w:p w14:paraId="76057154"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49D9A464"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3D847A5A"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1E56A95C"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7DAC0004"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4A89923D"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1ABC0082"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396C469B"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891" w:type="pct"/>
            <w:shd w:val="clear" w:color="auto" w:fill="auto"/>
          </w:tcPr>
          <w:p w14:paraId="09DD77D0"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7</w:t>
            </w:r>
            <w:r>
              <w:rPr>
                <w:rFonts w:cs="Arial"/>
                <w:sz w:val="16"/>
                <w:szCs w:val="16"/>
                <w:lang w:val="sr-Latn-RS"/>
              </w:rPr>
              <w:t>.</w:t>
            </w:r>
            <w:r w:rsidRPr="00C51435">
              <w:rPr>
                <w:rFonts w:cs="Arial"/>
                <w:sz w:val="16"/>
                <w:szCs w:val="16"/>
                <w:lang w:val="sr-Latn-RS"/>
              </w:rPr>
              <w:t>780</w:t>
            </w:r>
          </w:p>
        </w:tc>
        <w:tc>
          <w:tcPr>
            <w:tcW w:w="916" w:type="pct"/>
            <w:tcBorders>
              <w:right w:val="nil"/>
            </w:tcBorders>
            <w:shd w:val="clear" w:color="auto" w:fill="auto"/>
          </w:tcPr>
          <w:p w14:paraId="104A0F54"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-7</w:t>
            </w:r>
            <w:r>
              <w:rPr>
                <w:rFonts w:cs="Arial"/>
                <w:sz w:val="16"/>
                <w:szCs w:val="16"/>
                <w:lang w:val="sr-Latn-RS"/>
              </w:rPr>
              <w:t>.</w:t>
            </w:r>
            <w:r w:rsidRPr="00C51435">
              <w:rPr>
                <w:rFonts w:cs="Arial"/>
                <w:sz w:val="16"/>
                <w:szCs w:val="16"/>
                <w:lang w:val="sr-Latn-RS"/>
              </w:rPr>
              <w:t>803</w:t>
            </w:r>
          </w:p>
        </w:tc>
      </w:tr>
      <w:tr w:rsidR="007225E0" w:rsidRPr="00C51435" w14:paraId="5B969A0A" w14:textId="77777777" w:rsidTr="00BE61A6">
        <w:trPr>
          <w:cantSplit/>
          <w:trHeight w:val="170"/>
        </w:trPr>
        <w:tc>
          <w:tcPr>
            <w:tcW w:w="322" w:type="pct"/>
            <w:vMerge/>
            <w:tcBorders>
              <w:left w:val="nil"/>
            </w:tcBorders>
            <w:shd w:val="clear" w:color="auto" w:fill="auto"/>
          </w:tcPr>
          <w:p w14:paraId="5B5D3A5C"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p>
        </w:tc>
        <w:tc>
          <w:tcPr>
            <w:tcW w:w="511" w:type="pct"/>
            <w:shd w:val="clear" w:color="auto" w:fill="auto"/>
          </w:tcPr>
          <w:p w14:paraId="2294C0CD"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r w:rsidRPr="00C51435">
              <w:rPr>
                <w:rFonts w:cs="Arial"/>
                <w:sz w:val="16"/>
                <w:szCs w:val="16"/>
                <w:lang w:val="sr-Latn-RS"/>
              </w:rPr>
              <w:t>H(1:5)</w:t>
            </w:r>
          </w:p>
        </w:tc>
        <w:tc>
          <w:tcPr>
            <w:tcW w:w="290" w:type="pct"/>
            <w:shd w:val="clear" w:color="auto" w:fill="auto"/>
            <w:vAlign w:val="center"/>
          </w:tcPr>
          <w:p w14:paraId="3FB54919"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28C208A5"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36D25D23"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3F4BCE39"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5A33379F"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79E9C392"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1800BF10"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6FAE8893"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891" w:type="pct"/>
            <w:shd w:val="clear" w:color="auto" w:fill="auto"/>
          </w:tcPr>
          <w:p w14:paraId="15BA5F59"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6</w:t>
            </w:r>
            <w:r>
              <w:rPr>
                <w:rFonts w:cs="Arial"/>
                <w:sz w:val="16"/>
                <w:szCs w:val="16"/>
                <w:lang w:val="sr-Latn-RS"/>
              </w:rPr>
              <w:t>.</w:t>
            </w:r>
            <w:r w:rsidRPr="00C51435">
              <w:rPr>
                <w:rFonts w:cs="Arial"/>
                <w:sz w:val="16"/>
                <w:szCs w:val="16"/>
                <w:lang w:val="sr-Latn-RS"/>
              </w:rPr>
              <w:t>055</w:t>
            </w:r>
          </w:p>
        </w:tc>
        <w:tc>
          <w:tcPr>
            <w:tcW w:w="916" w:type="pct"/>
            <w:tcBorders>
              <w:right w:val="nil"/>
            </w:tcBorders>
            <w:shd w:val="clear" w:color="auto" w:fill="auto"/>
          </w:tcPr>
          <w:p w14:paraId="29E89B32"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-6</w:t>
            </w:r>
            <w:r>
              <w:rPr>
                <w:rFonts w:cs="Arial"/>
                <w:sz w:val="16"/>
                <w:szCs w:val="16"/>
                <w:lang w:val="sr-Latn-RS"/>
              </w:rPr>
              <w:t>.</w:t>
            </w:r>
            <w:r w:rsidRPr="00C51435">
              <w:rPr>
                <w:rFonts w:cs="Arial"/>
                <w:sz w:val="16"/>
                <w:szCs w:val="16"/>
                <w:lang w:val="sr-Latn-RS"/>
              </w:rPr>
              <w:t>061</w:t>
            </w:r>
          </w:p>
        </w:tc>
      </w:tr>
      <w:tr w:rsidR="007225E0" w:rsidRPr="00C51435" w14:paraId="0D48C69B" w14:textId="77777777" w:rsidTr="00BE61A6">
        <w:trPr>
          <w:cantSplit/>
          <w:trHeight w:val="170"/>
        </w:trPr>
        <w:tc>
          <w:tcPr>
            <w:tcW w:w="322" w:type="pct"/>
            <w:vMerge/>
            <w:tcBorders>
              <w:left w:val="nil"/>
            </w:tcBorders>
            <w:shd w:val="clear" w:color="auto" w:fill="auto"/>
          </w:tcPr>
          <w:p w14:paraId="3BA05969"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p>
        </w:tc>
        <w:tc>
          <w:tcPr>
            <w:tcW w:w="511" w:type="pct"/>
            <w:shd w:val="clear" w:color="auto" w:fill="auto"/>
          </w:tcPr>
          <w:p w14:paraId="1192DA94"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r w:rsidRPr="00C51435">
              <w:rPr>
                <w:rFonts w:cs="Arial"/>
                <w:sz w:val="16"/>
                <w:szCs w:val="16"/>
                <w:lang w:val="sr-Latn-RS"/>
              </w:rPr>
              <w:t>H(1:6)</w:t>
            </w:r>
          </w:p>
        </w:tc>
        <w:tc>
          <w:tcPr>
            <w:tcW w:w="290" w:type="pct"/>
            <w:shd w:val="clear" w:color="auto" w:fill="auto"/>
            <w:vAlign w:val="center"/>
          </w:tcPr>
          <w:p w14:paraId="49D8138A"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017282AF"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210C161E"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67B94C9F"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4ABD5F4B"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5DFD9537"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64523811"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413DE341"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891" w:type="pct"/>
            <w:shd w:val="clear" w:color="auto" w:fill="auto"/>
          </w:tcPr>
          <w:p w14:paraId="7E4410D9"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-5</w:t>
            </w:r>
            <w:r>
              <w:rPr>
                <w:rFonts w:cs="Arial"/>
                <w:sz w:val="16"/>
                <w:szCs w:val="16"/>
                <w:lang w:val="sr-Latn-RS"/>
              </w:rPr>
              <w:t>.</w:t>
            </w:r>
            <w:r w:rsidRPr="00C51435">
              <w:rPr>
                <w:rFonts w:cs="Arial"/>
                <w:sz w:val="16"/>
                <w:szCs w:val="16"/>
                <w:lang w:val="sr-Latn-RS"/>
              </w:rPr>
              <w:t>765</w:t>
            </w:r>
          </w:p>
        </w:tc>
        <w:tc>
          <w:tcPr>
            <w:tcW w:w="916" w:type="pct"/>
            <w:tcBorders>
              <w:right w:val="nil"/>
            </w:tcBorders>
            <w:shd w:val="clear" w:color="auto" w:fill="auto"/>
          </w:tcPr>
          <w:p w14:paraId="144745AD"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5</w:t>
            </w:r>
            <w:r>
              <w:rPr>
                <w:rFonts w:cs="Arial"/>
                <w:sz w:val="16"/>
                <w:szCs w:val="16"/>
                <w:lang w:val="sr-Latn-RS"/>
              </w:rPr>
              <w:t>.</w:t>
            </w:r>
            <w:r w:rsidRPr="00C51435">
              <w:rPr>
                <w:rFonts w:cs="Arial"/>
                <w:sz w:val="16"/>
                <w:szCs w:val="16"/>
                <w:lang w:val="sr-Latn-RS"/>
              </w:rPr>
              <w:t>730</w:t>
            </w:r>
          </w:p>
        </w:tc>
      </w:tr>
      <w:tr w:rsidR="007225E0" w:rsidRPr="00C51435" w14:paraId="62249D17" w14:textId="77777777" w:rsidTr="00BE61A6">
        <w:trPr>
          <w:cantSplit/>
          <w:trHeight w:val="170"/>
        </w:trPr>
        <w:tc>
          <w:tcPr>
            <w:tcW w:w="322" w:type="pct"/>
            <w:vMerge/>
            <w:tcBorders>
              <w:left w:val="nil"/>
            </w:tcBorders>
            <w:shd w:val="clear" w:color="auto" w:fill="auto"/>
          </w:tcPr>
          <w:p w14:paraId="3BF7EA19"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p>
        </w:tc>
        <w:tc>
          <w:tcPr>
            <w:tcW w:w="511" w:type="pct"/>
            <w:shd w:val="clear" w:color="auto" w:fill="auto"/>
          </w:tcPr>
          <w:p w14:paraId="30DC86FE"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r w:rsidRPr="00C51435">
              <w:rPr>
                <w:rFonts w:cs="Arial"/>
                <w:sz w:val="16"/>
                <w:szCs w:val="16"/>
                <w:lang w:val="sr-Latn-RS"/>
              </w:rPr>
              <w:t>H(1:7)</w:t>
            </w:r>
          </w:p>
        </w:tc>
        <w:tc>
          <w:tcPr>
            <w:tcW w:w="290" w:type="pct"/>
            <w:shd w:val="clear" w:color="auto" w:fill="auto"/>
            <w:vAlign w:val="center"/>
          </w:tcPr>
          <w:p w14:paraId="173383CF"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2E546541"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76BD4C45"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5723F537"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19832C74"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584D2014"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21D4731D"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shd w:val="clear" w:color="auto" w:fill="auto"/>
            <w:vAlign w:val="center"/>
          </w:tcPr>
          <w:p w14:paraId="6E50DCD3"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891" w:type="pct"/>
            <w:shd w:val="clear" w:color="auto" w:fill="auto"/>
          </w:tcPr>
          <w:p w14:paraId="2F347AD2"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4</w:t>
            </w:r>
            <w:r>
              <w:rPr>
                <w:rFonts w:cs="Arial"/>
                <w:sz w:val="16"/>
                <w:szCs w:val="16"/>
                <w:lang w:val="sr-Latn-RS"/>
              </w:rPr>
              <w:t>.</w:t>
            </w:r>
            <w:r w:rsidRPr="00C51435">
              <w:rPr>
                <w:rFonts w:cs="Arial"/>
                <w:sz w:val="16"/>
                <w:szCs w:val="16"/>
                <w:lang w:val="sr-Latn-RS"/>
              </w:rPr>
              <w:t>253</w:t>
            </w:r>
          </w:p>
        </w:tc>
        <w:tc>
          <w:tcPr>
            <w:tcW w:w="916" w:type="pct"/>
            <w:tcBorders>
              <w:right w:val="nil"/>
            </w:tcBorders>
            <w:shd w:val="clear" w:color="auto" w:fill="auto"/>
          </w:tcPr>
          <w:p w14:paraId="0B58A0FC"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-4</w:t>
            </w:r>
            <w:r>
              <w:rPr>
                <w:rFonts w:cs="Arial"/>
                <w:sz w:val="16"/>
                <w:szCs w:val="16"/>
                <w:lang w:val="sr-Latn-RS"/>
              </w:rPr>
              <w:t>.</w:t>
            </w:r>
            <w:r w:rsidRPr="00C51435">
              <w:rPr>
                <w:rFonts w:cs="Arial"/>
                <w:sz w:val="16"/>
                <w:szCs w:val="16"/>
                <w:lang w:val="sr-Latn-RS"/>
              </w:rPr>
              <w:t>270</w:t>
            </w:r>
          </w:p>
        </w:tc>
      </w:tr>
      <w:tr w:rsidR="007225E0" w:rsidRPr="00C51435" w14:paraId="685E68A4" w14:textId="77777777" w:rsidTr="00DC4891">
        <w:trPr>
          <w:cantSplit/>
          <w:trHeight w:val="170"/>
        </w:trPr>
        <w:tc>
          <w:tcPr>
            <w:tcW w:w="322" w:type="pct"/>
            <w:vMerge/>
            <w:tcBorders>
              <w:left w:val="nil"/>
              <w:bottom w:val="single" w:sz="4" w:space="0" w:color="auto"/>
            </w:tcBorders>
            <w:shd w:val="clear" w:color="auto" w:fill="auto"/>
          </w:tcPr>
          <w:p w14:paraId="31AB6861"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p>
        </w:tc>
        <w:tc>
          <w:tcPr>
            <w:tcW w:w="511" w:type="pct"/>
            <w:tcBorders>
              <w:bottom w:val="single" w:sz="4" w:space="0" w:color="auto"/>
            </w:tcBorders>
            <w:shd w:val="clear" w:color="auto" w:fill="auto"/>
          </w:tcPr>
          <w:p w14:paraId="17D00FBB" w14:textId="77777777" w:rsidR="007225E0" w:rsidRPr="00C51435" w:rsidRDefault="007225E0" w:rsidP="006A71E0">
            <w:pPr>
              <w:autoSpaceDE w:val="0"/>
              <w:autoSpaceDN w:val="0"/>
              <w:adjustRightInd w:val="0"/>
              <w:spacing w:before="0" w:after="0"/>
              <w:ind w:left="57" w:right="57"/>
              <w:jc w:val="left"/>
              <w:rPr>
                <w:rFonts w:cs="Arial"/>
                <w:sz w:val="16"/>
                <w:szCs w:val="16"/>
                <w:lang w:val="sr-Latn-RS"/>
              </w:rPr>
            </w:pPr>
            <w:r w:rsidRPr="00C51435">
              <w:rPr>
                <w:rFonts w:cs="Arial"/>
                <w:sz w:val="16"/>
                <w:szCs w:val="16"/>
                <w:lang w:val="sr-Latn-RS"/>
              </w:rPr>
              <w:t>H(1:8)</w:t>
            </w:r>
          </w:p>
        </w:tc>
        <w:tc>
          <w:tcPr>
            <w:tcW w:w="290" w:type="pct"/>
            <w:tcBorders>
              <w:bottom w:val="single" w:sz="4" w:space="0" w:color="auto"/>
            </w:tcBorders>
            <w:shd w:val="clear" w:color="auto" w:fill="auto"/>
            <w:vAlign w:val="center"/>
          </w:tcPr>
          <w:p w14:paraId="23F83F25"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tcBorders>
              <w:bottom w:val="single" w:sz="4" w:space="0" w:color="auto"/>
            </w:tcBorders>
            <w:shd w:val="clear" w:color="auto" w:fill="auto"/>
            <w:vAlign w:val="center"/>
          </w:tcPr>
          <w:p w14:paraId="059B297D"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tcBorders>
              <w:bottom w:val="single" w:sz="4" w:space="0" w:color="auto"/>
            </w:tcBorders>
            <w:shd w:val="clear" w:color="auto" w:fill="auto"/>
            <w:vAlign w:val="center"/>
          </w:tcPr>
          <w:p w14:paraId="2C9358FC"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tcBorders>
              <w:bottom w:val="single" w:sz="4" w:space="0" w:color="auto"/>
            </w:tcBorders>
            <w:shd w:val="clear" w:color="auto" w:fill="auto"/>
            <w:vAlign w:val="center"/>
          </w:tcPr>
          <w:p w14:paraId="2BC97458"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tcBorders>
              <w:bottom w:val="single" w:sz="4" w:space="0" w:color="auto"/>
            </w:tcBorders>
            <w:shd w:val="clear" w:color="auto" w:fill="auto"/>
            <w:vAlign w:val="center"/>
          </w:tcPr>
          <w:p w14:paraId="6A8121AB"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tcBorders>
              <w:bottom w:val="single" w:sz="4" w:space="0" w:color="auto"/>
            </w:tcBorders>
            <w:shd w:val="clear" w:color="auto" w:fill="auto"/>
            <w:vAlign w:val="center"/>
          </w:tcPr>
          <w:p w14:paraId="76F584D2"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tcBorders>
              <w:bottom w:val="single" w:sz="4" w:space="0" w:color="auto"/>
            </w:tcBorders>
            <w:shd w:val="clear" w:color="auto" w:fill="auto"/>
            <w:vAlign w:val="center"/>
          </w:tcPr>
          <w:p w14:paraId="43F5551D"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296" w:type="pct"/>
            <w:tcBorders>
              <w:bottom w:val="single" w:sz="4" w:space="0" w:color="auto"/>
            </w:tcBorders>
            <w:shd w:val="clear" w:color="auto" w:fill="auto"/>
            <w:vAlign w:val="center"/>
          </w:tcPr>
          <w:p w14:paraId="35CF17DF" w14:textId="77777777" w:rsidR="007225E0" w:rsidRPr="00C51435" w:rsidRDefault="007225E0" w:rsidP="006A71E0">
            <w:pPr>
              <w:autoSpaceDE w:val="0"/>
              <w:autoSpaceDN w:val="0"/>
              <w:adjustRightInd w:val="0"/>
              <w:spacing w:before="0" w:after="0"/>
              <w:ind w:left="57" w:right="57"/>
              <w:jc w:val="left"/>
              <w:rPr>
                <w:rFonts w:cs="Times New Roman"/>
                <w:sz w:val="16"/>
                <w:szCs w:val="16"/>
                <w:lang w:val="sr-Latn-RS"/>
              </w:rPr>
            </w:pPr>
          </w:p>
        </w:tc>
        <w:tc>
          <w:tcPr>
            <w:tcW w:w="891" w:type="pct"/>
            <w:tcBorders>
              <w:bottom w:val="single" w:sz="4" w:space="0" w:color="auto"/>
            </w:tcBorders>
            <w:shd w:val="clear" w:color="auto" w:fill="auto"/>
          </w:tcPr>
          <w:p w14:paraId="64D393C9"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-8</w:t>
            </w:r>
            <w:r>
              <w:rPr>
                <w:rFonts w:cs="Arial"/>
                <w:sz w:val="16"/>
                <w:szCs w:val="16"/>
                <w:lang w:val="sr-Latn-RS"/>
              </w:rPr>
              <w:t>.</w:t>
            </w:r>
            <w:r w:rsidRPr="00C51435">
              <w:rPr>
                <w:rFonts w:cs="Arial"/>
                <w:sz w:val="16"/>
                <w:szCs w:val="16"/>
                <w:lang w:val="sr-Latn-RS"/>
              </w:rPr>
              <w:t>319</w:t>
            </w:r>
          </w:p>
        </w:tc>
        <w:tc>
          <w:tcPr>
            <w:tcW w:w="916" w:type="pct"/>
            <w:tcBorders>
              <w:bottom w:val="single" w:sz="4" w:space="0" w:color="auto"/>
              <w:right w:val="nil"/>
            </w:tcBorders>
            <w:shd w:val="clear" w:color="auto" w:fill="auto"/>
          </w:tcPr>
          <w:p w14:paraId="23D974B1" w14:textId="77777777" w:rsidR="007225E0" w:rsidRPr="00C51435" w:rsidRDefault="007225E0" w:rsidP="006A71E0">
            <w:pPr>
              <w:autoSpaceDE w:val="0"/>
              <w:autoSpaceDN w:val="0"/>
              <w:adjustRightInd w:val="0"/>
              <w:spacing w:before="0" w:after="0"/>
              <w:ind w:left="57" w:right="57"/>
              <w:jc w:val="right"/>
              <w:rPr>
                <w:rFonts w:cs="Arial"/>
                <w:sz w:val="16"/>
                <w:szCs w:val="16"/>
                <w:lang w:val="sr-Latn-RS"/>
              </w:rPr>
            </w:pPr>
            <w:r w:rsidRPr="00C51435">
              <w:rPr>
                <w:rFonts w:cs="Arial"/>
                <w:sz w:val="16"/>
                <w:szCs w:val="16"/>
                <w:lang w:val="sr-Latn-RS"/>
              </w:rPr>
              <w:t>8</w:t>
            </w:r>
            <w:r>
              <w:rPr>
                <w:rFonts w:cs="Arial"/>
                <w:sz w:val="16"/>
                <w:szCs w:val="16"/>
                <w:lang w:val="sr-Latn-RS"/>
              </w:rPr>
              <w:t>.</w:t>
            </w:r>
            <w:r w:rsidRPr="00C51435">
              <w:rPr>
                <w:rFonts w:cs="Arial"/>
                <w:sz w:val="16"/>
                <w:szCs w:val="16"/>
                <w:lang w:val="sr-Latn-RS"/>
              </w:rPr>
              <w:t>322</w:t>
            </w:r>
          </w:p>
        </w:tc>
      </w:tr>
    </w:tbl>
    <w:p w14:paraId="094396EB" w14:textId="2CA02BAD" w:rsidR="00C51435" w:rsidRDefault="00511551" w:rsidP="00532737">
      <w:r>
        <w:rPr>
          <w:lang w:val="sr-Latn-RS"/>
        </w:rPr>
        <w:t xml:space="preserve">As presented in </w:t>
      </w:r>
      <w:r>
        <w:rPr>
          <w:lang w:val="sr-Latn-RS"/>
        </w:rPr>
        <w:fldChar w:fldCharType="begin"/>
      </w:r>
      <w:r>
        <w:rPr>
          <w:lang w:val="sr-Latn-RS"/>
        </w:rPr>
        <w:instrText xml:space="preserve"> REF _Ref98750475 \h </w:instrText>
      </w:r>
      <w:r>
        <w:rPr>
          <w:lang w:val="sr-Latn-RS"/>
        </w:rPr>
      </w:r>
      <w:r>
        <w:rPr>
          <w:lang w:val="sr-Latn-RS"/>
        </w:rPr>
        <w:fldChar w:fldCharType="separate"/>
      </w:r>
      <w:r w:rsidR="00587AF0">
        <w:t xml:space="preserve">Table </w:t>
      </w:r>
      <w:r w:rsidR="00587AF0">
        <w:rPr>
          <w:noProof/>
        </w:rPr>
        <w:t>47</w:t>
      </w:r>
      <w:r>
        <w:rPr>
          <w:lang w:val="sr-Latn-RS"/>
        </w:rPr>
        <w:fldChar w:fldCharType="end"/>
      </w:r>
      <w:r w:rsidR="00F5373B">
        <w:rPr>
          <w:lang w:val="sr-Latn-RS"/>
        </w:rPr>
        <w:t>,</w:t>
      </w:r>
      <w:r>
        <w:rPr>
          <w:lang w:val="sr-Latn-RS"/>
        </w:rPr>
        <w:t xml:space="preserve"> the most important features for </w:t>
      </w:r>
      <w:r w:rsidR="00F5373B">
        <w:rPr>
          <w:lang w:val="sr-Latn-RS"/>
        </w:rPr>
        <w:t>predicting are median, minimum value, and standard deviation</w:t>
      </w:r>
      <w:r>
        <w:rPr>
          <w:lang w:val="sr-Latn-RS"/>
        </w:rPr>
        <w:t xml:space="preserve">. It is important to conclude that </w:t>
      </w:r>
      <w:r w:rsidR="00F5373B">
        <w:rPr>
          <w:lang w:val="sr-Latn-RS"/>
        </w:rPr>
        <w:t>standard deviation marks the presence of importance for making predictions in all three case</w:t>
      </w:r>
      <w:r>
        <w:rPr>
          <w:lang w:val="sr-Latn-RS"/>
        </w:rPr>
        <w:t>s. As it can also be observed by box and whisker plots</w:t>
      </w:r>
      <w:r w:rsidR="00F5373B">
        <w:rPr>
          <w:lang w:val="sr-Latn-RS"/>
        </w:rPr>
        <w:t>, each sample can be improved by changing the</w:t>
      </w:r>
      <w:r>
        <w:rPr>
          <w:lang w:val="sr-Latn-RS"/>
        </w:rPr>
        <w:t xml:space="preserve"> activation function considering all of the previous variables. </w:t>
      </w:r>
      <w:r w:rsidR="009B2183">
        <w:rPr>
          <w:lang w:val="sr-Latn-RS"/>
        </w:rPr>
        <w:t>It can be concluded that most of the model</w:t>
      </w:r>
      <w:r w:rsidR="00F5373B">
        <w:rPr>
          <w:lang w:val="sr-Latn-RS"/>
        </w:rPr>
        <w:t>s</w:t>
      </w:r>
      <w:r w:rsidR="009B2183">
        <w:rPr>
          <w:lang w:val="sr-Latn-RS"/>
        </w:rPr>
        <w:t xml:space="preserve"> can be attributed to factors that cause deviation in a signal, along with </w:t>
      </w:r>
      <w:r w:rsidR="00F5373B">
        <w:rPr>
          <w:lang w:val="sr-Latn-RS"/>
        </w:rPr>
        <w:t xml:space="preserve">a </w:t>
      </w:r>
      <w:r w:rsidR="009B2183">
        <w:rPr>
          <w:lang w:val="sr-Latn-RS"/>
        </w:rPr>
        <w:t xml:space="preserve">change in minimum values and mean values. Hence, indeed the functional-productiveness of a system can be associated with variables for monitoring </w:t>
      </w:r>
      <w:r w:rsidR="00F5373B">
        <w:rPr>
          <w:lang w:val="sr-Latn-RS"/>
        </w:rPr>
        <w:t xml:space="preserve">the </w:t>
      </w:r>
      <w:r w:rsidR="009B2183">
        <w:rPr>
          <w:lang w:val="sr-Latn-RS"/>
        </w:rPr>
        <w:t>performance of standard deviation and mean values. Finally, the overall performance of a</w:t>
      </w:r>
      <w:r w:rsidR="00F5373B">
        <w:rPr>
          <w:lang w:val="sr-Latn-RS"/>
        </w:rPr>
        <w:t>n</w:t>
      </w:r>
      <w:r w:rsidR="009B2183">
        <w:rPr>
          <w:lang w:val="sr-Latn-RS"/>
        </w:rPr>
        <w:t xml:space="preserve"> ANN model at </w:t>
      </w:r>
      <w:r w:rsidR="00F5373B">
        <w:rPr>
          <w:lang w:val="sr-Latn-RS"/>
        </w:rPr>
        <w:t xml:space="preserve">the </w:t>
      </w:r>
      <w:r w:rsidR="009B2183">
        <w:rPr>
          <w:lang w:val="sr-Latn-RS"/>
        </w:rPr>
        <w:t>closing saddle position shows somewhat reduced performance on testing data by show</w:t>
      </w:r>
      <w:r w:rsidR="00F5373B">
        <w:rPr>
          <w:lang w:val="sr-Latn-RS"/>
        </w:rPr>
        <w:t>ing</w:t>
      </w:r>
      <w:r w:rsidR="009B2183">
        <w:rPr>
          <w:lang w:val="sr-Latn-RS"/>
        </w:rPr>
        <w:t xml:space="preserve"> </w:t>
      </w:r>
      <w:r w:rsidR="00F5373B">
        <w:rPr>
          <w:lang w:val="sr-Latn-RS"/>
        </w:rPr>
        <w:t xml:space="preserve">a </w:t>
      </w:r>
      <w:r w:rsidR="009B2183">
        <w:rPr>
          <w:lang w:val="sr-Latn-RS"/>
        </w:rPr>
        <w:t xml:space="preserve">75.3% prediction of </w:t>
      </w:r>
      <w:r w:rsidR="00F5373B">
        <w:rPr>
          <w:lang w:val="sr-Latn-RS"/>
        </w:rPr>
        <w:t xml:space="preserve">a </w:t>
      </w:r>
      <w:r w:rsidR="009B2183">
        <w:rPr>
          <w:lang w:val="sr-Latn-RS"/>
        </w:rPr>
        <w:t>normal operating state.</w:t>
      </w:r>
    </w:p>
    <w:p w14:paraId="7BE8E508" w14:textId="2C7A37BC" w:rsidR="00C51435" w:rsidRPr="00C51435" w:rsidRDefault="00DA2CDC" w:rsidP="00DA2CDC">
      <w:pPr>
        <w:pStyle w:val="Caption"/>
        <w:jc w:val="both"/>
        <w:rPr>
          <w:lang w:val="sr-Latn-RS"/>
        </w:rPr>
      </w:pPr>
      <w:bookmarkStart w:id="623" w:name="_Ref98750475"/>
      <w:bookmarkStart w:id="624" w:name="_Toc101274487"/>
      <w:r>
        <w:t xml:space="preserve">Table </w:t>
      </w:r>
      <w:fldSimple w:instr=" SEQ Table \* ARABIC ">
        <w:r w:rsidR="00587AF0">
          <w:rPr>
            <w:noProof/>
          </w:rPr>
          <w:t>47</w:t>
        </w:r>
      </w:fldSimple>
      <w:bookmarkEnd w:id="623"/>
      <w:r>
        <w:t xml:space="preserve">. </w:t>
      </w:r>
      <w:r w:rsidR="0037497A" w:rsidRPr="0037497A">
        <w:t xml:space="preserve">Independent variable importance of ANN at </w:t>
      </w:r>
      <w:r w:rsidR="0037497A">
        <w:t>closing</w:t>
      </w:r>
      <w:r w:rsidR="0037497A" w:rsidRPr="0037497A">
        <w:t xml:space="preserve"> saddle position</w:t>
      </w:r>
      <w:bookmarkEnd w:id="624"/>
    </w:p>
    <w:tbl>
      <w:tblPr>
        <w:tblW w:w="5000" w:type="pct"/>
        <w:tblCellMar>
          <w:left w:w="0" w:type="dxa"/>
          <w:right w:w="0" w:type="dxa"/>
        </w:tblCellMar>
        <w:tblLook w:val="0000" w:firstRow="0" w:lastRow="0" w:firstColumn="0" w:lastColumn="0" w:noHBand="0" w:noVBand="0"/>
      </w:tblPr>
      <w:tblGrid>
        <w:gridCol w:w="2941"/>
        <w:gridCol w:w="2659"/>
        <w:gridCol w:w="3427"/>
      </w:tblGrid>
      <w:tr w:rsidR="00DA2CDC" w:rsidRPr="00DA2CDC" w14:paraId="21424B0E" w14:textId="77777777" w:rsidTr="00DA2CDC">
        <w:trPr>
          <w:cantSplit/>
        </w:trPr>
        <w:tc>
          <w:tcPr>
            <w:tcW w:w="1629" w:type="pct"/>
            <w:tcBorders>
              <w:top w:val="single" w:sz="4" w:space="0" w:color="152935"/>
              <w:bottom w:val="single" w:sz="4" w:space="0" w:color="152935"/>
            </w:tcBorders>
            <w:shd w:val="clear" w:color="auto" w:fill="auto"/>
            <w:vAlign w:val="center"/>
          </w:tcPr>
          <w:p w14:paraId="28676600" w14:textId="3A45AF45" w:rsidR="00C51435" w:rsidRPr="00DA2CDC" w:rsidRDefault="00DA2CDC" w:rsidP="00DA2CDC">
            <w:pPr>
              <w:autoSpaceDE w:val="0"/>
              <w:autoSpaceDN w:val="0"/>
              <w:adjustRightInd w:val="0"/>
              <w:spacing w:before="0" w:after="0"/>
              <w:ind w:left="57" w:right="57"/>
              <w:jc w:val="left"/>
              <w:rPr>
                <w:rFonts w:cs="Times New Roman"/>
                <w:b/>
                <w:bCs/>
                <w:sz w:val="20"/>
                <w:szCs w:val="20"/>
                <w:lang w:val="sr-Latn-RS"/>
              </w:rPr>
            </w:pPr>
            <w:r w:rsidRPr="00DA2CDC">
              <w:rPr>
                <w:rFonts w:cs="Times New Roman"/>
                <w:b/>
                <w:bCs/>
                <w:sz w:val="20"/>
                <w:szCs w:val="20"/>
                <w:lang w:val="sr-Latn-RS"/>
              </w:rPr>
              <w:t>Variables</w:t>
            </w:r>
          </w:p>
        </w:tc>
        <w:tc>
          <w:tcPr>
            <w:tcW w:w="1473" w:type="pct"/>
            <w:tcBorders>
              <w:top w:val="single" w:sz="4" w:space="0" w:color="152935"/>
              <w:bottom w:val="single" w:sz="4" w:space="0" w:color="152935"/>
            </w:tcBorders>
            <w:shd w:val="clear" w:color="auto" w:fill="auto"/>
            <w:vAlign w:val="center"/>
          </w:tcPr>
          <w:p w14:paraId="21C0E00C" w14:textId="77777777" w:rsidR="00C51435" w:rsidRPr="00DA2CDC" w:rsidRDefault="00C51435" w:rsidP="00DA2CDC">
            <w:pPr>
              <w:autoSpaceDE w:val="0"/>
              <w:autoSpaceDN w:val="0"/>
              <w:adjustRightInd w:val="0"/>
              <w:spacing w:before="0" w:after="0"/>
              <w:ind w:left="57" w:right="57"/>
              <w:jc w:val="center"/>
              <w:rPr>
                <w:rFonts w:cs="Arial"/>
                <w:b/>
                <w:bCs/>
                <w:sz w:val="20"/>
                <w:szCs w:val="20"/>
                <w:lang w:val="sr-Latn-RS"/>
              </w:rPr>
            </w:pPr>
            <w:r w:rsidRPr="00DA2CDC">
              <w:rPr>
                <w:rFonts w:cs="Arial"/>
                <w:b/>
                <w:bCs/>
                <w:sz w:val="20"/>
                <w:szCs w:val="20"/>
                <w:lang w:val="sr-Latn-RS"/>
              </w:rPr>
              <w:t>Importance</w:t>
            </w:r>
          </w:p>
        </w:tc>
        <w:tc>
          <w:tcPr>
            <w:tcW w:w="1898" w:type="pct"/>
            <w:tcBorders>
              <w:top w:val="single" w:sz="4" w:space="0" w:color="152935"/>
              <w:bottom w:val="single" w:sz="4" w:space="0" w:color="152935"/>
            </w:tcBorders>
            <w:shd w:val="clear" w:color="auto" w:fill="auto"/>
            <w:vAlign w:val="center"/>
          </w:tcPr>
          <w:p w14:paraId="7F600239" w14:textId="77777777" w:rsidR="00C51435" w:rsidRPr="00DA2CDC" w:rsidRDefault="00C51435" w:rsidP="00DA2CDC">
            <w:pPr>
              <w:autoSpaceDE w:val="0"/>
              <w:autoSpaceDN w:val="0"/>
              <w:adjustRightInd w:val="0"/>
              <w:spacing w:before="0" w:after="0"/>
              <w:ind w:left="57" w:right="57"/>
              <w:jc w:val="center"/>
              <w:rPr>
                <w:rFonts w:cs="Arial"/>
                <w:b/>
                <w:bCs/>
                <w:sz w:val="20"/>
                <w:szCs w:val="20"/>
                <w:lang w:val="sr-Latn-RS"/>
              </w:rPr>
            </w:pPr>
            <w:r w:rsidRPr="00DA2CDC">
              <w:rPr>
                <w:rFonts w:cs="Arial"/>
                <w:b/>
                <w:bCs/>
                <w:sz w:val="20"/>
                <w:szCs w:val="20"/>
                <w:lang w:val="sr-Latn-RS"/>
              </w:rPr>
              <w:t>Normalized Importance</w:t>
            </w:r>
          </w:p>
        </w:tc>
      </w:tr>
      <w:tr w:rsidR="00DA2CDC" w:rsidRPr="00DA2CDC" w14:paraId="7D999C61" w14:textId="77777777" w:rsidTr="00DA2CDC">
        <w:trPr>
          <w:cantSplit/>
        </w:trPr>
        <w:tc>
          <w:tcPr>
            <w:tcW w:w="1629" w:type="pct"/>
            <w:tcBorders>
              <w:top w:val="single" w:sz="4" w:space="0" w:color="152935"/>
            </w:tcBorders>
            <w:shd w:val="clear" w:color="auto" w:fill="auto"/>
            <w:vAlign w:val="center"/>
          </w:tcPr>
          <w:p w14:paraId="074625CA" w14:textId="77777777" w:rsidR="00C51435" w:rsidRPr="00DA2CDC" w:rsidRDefault="00C51435" w:rsidP="00DA2CDC">
            <w:pPr>
              <w:autoSpaceDE w:val="0"/>
              <w:autoSpaceDN w:val="0"/>
              <w:adjustRightInd w:val="0"/>
              <w:spacing w:before="0" w:after="0"/>
              <w:ind w:left="57" w:right="57"/>
              <w:jc w:val="left"/>
              <w:rPr>
                <w:rFonts w:cs="Arial"/>
                <w:sz w:val="20"/>
                <w:szCs w:val="20"/>
                <w:lang w:val="sr-Latn-RS"/>
              </w:rPr>
            </w:pPr>
            <w:r w:rsidRPr="00DA2CDC">
              <w:rPr>
                <w:rFonts w:cs="Arial"/>
                <w:sz w:val="20"/>
                <w:szCs w:val="20"/>
                <w:lang w:val="sr-Latn-RS"/>
              </w:rPr>
              <w:t>T2</w:t>
            </w:r>
          </w:p>
        </w:tc>
        <w:tc>
          <w:tcPr>
            <w:tcW w:w="1473" w:type="pct"/>
            <w:tcBorders>
              <w:top w:val="single" w:sz="4" w:space="0" w:color="152935"/>
            </w:tcBorders>
            <w:shd w:val="clear" w:color="auto" w:fill="auto"/>
            <w:vAlign w:val="center"/>
          </w:tcPr>
          <w:p w14:paraId="292477B9" w14:textId="2804E94A" w:rsidR="00C51435" w:rsidRPr="00DA2CDC" w:rsidRDefault="00DA2CDC" w:rsidP="00DA2CDC">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C51435" w:rsidRPr="00DA2CDC">
              <w:rPr>
                <w:rFonts w:cs="Arial"/>
                <w:sz w:val="20"/>
                <w:szCs w:val="20"/>
                <w:lang w:val="sr-Latn-RS"/>
              </w:rPr>
              <w:t>043</w:t>
            </w:r>
          </w:p>
        </w:tc>
        <w:tc>
          <w:tcPr>
            <w:tcW w:w="1898" w:type="pct"/>
            <w:tcBorders>
              <w:top w:val="single" w:sz="4" w:space="0" w:color="152935"/>
            </w:tcBorders>
            <w:shd w:val="clear" w:color="auto" w:fill="auto"/>
            <w:vAlign w:val="center"/>
          </w:tcPr>
          <w:p w14:paraId="7711B6AA" w14:textId="5EA08253" w:rsidR="00C51435" w:rsidRPr="00DA2CDC" w:rsidRDefault="00C51435" w:rsidP="00DA2CDC">
            <w:pPr>
              <w:autoSpaceDE w:val="0"/>
              <w:autoSpaceDN w:val="0"/>
              <w:adjustRightInd w:val="0"/>
              <w:spacing w:before="0" w:after="0"/>
              <w:ind w:left="57" w:right="57"/>
              <w:jc w:val="right"/>
              <w:rPr>
                <w:rFonts w:cs="Arial"/>
                <w:sz w:val="20"/>
                <w:szCs w:val="20"/>
                <w:lang w:val="sr-Latn-RS"/>
              </w:rPr>
            </w:pPr>
            <w:r w:rsidRPr="00DA2CDC">
              <w:rPr>
                <w:rFonts w:cs="Arial"/>
                <w:sz w:val="20"/>
                <w:szCs w:val="20"/>
                <w:lang w:val="sr-Latn-RS"/>
              </w:rPr>
              <w:t>21</w:t>
            </w:r>
            <w:r w:rsidR="00DA2CDC">
              <w:rPr>
                <w:rFonts w:cs="Arial"/>
                <w:sz w:val="20"/>
                <w:szCs w:val="20"/>
                <w:lang w:val="sr-Latn-RS"/>
              </w:rPr>
              <w:t>.</w:t>
            </w:r>
            <w:r w:rsidRPr="00DA2CDC">
              <w:rPr>
                <w:rFonts w:cs="Arial"/>
                <w:sz w:val="20"/>
                <w:szCs w:val="20"/>
                <w:lang w:val="sr-Latn-RS"/>
              </w:rPr>
              <w:t>6%</w:t>
            </w:r>
          </w:p>
        </w:tc>
      </w:tr>
      <w:tr w:rsidR="00DA2CDC" w:rsidRPr="00DA2CDC" w14:paraId="7C8E05BF" w14:textId="77777777" w:rsidTr="00DA2CDC">
        <w:trPr>
          <w:cantSplit/>
        </w:trPr>
        <w:tc>
          <w:tcPr>
            <w:tcW w:w="1629" w:type="pct"/>
            <w:shd w:val="clear" w:color="auto" w:fill="auto"/>
            <w:vAlign w:val="center"/>
          </w:tcPr>
          <w:p w14:paraId="09112290" w14:textId="77777777" w:rsidR="00C51435" w:rsidRPr="00DA2CDC" w:rsidRDefault="00C51435" w:rsidP="00DA2CDC">
            <w:pPr>
              <w:autoSpaceDE w:val="0"/>
              <w:autoSpaceDN w:val="0"/>
              <w:adjustRightInd w:val="0"/>
              <w:spacing w:before="0" w:after="0"/>
              <w:ind w:left="57" w:right="57"/>
              <w:jc w:val="left"/>
              <w:rPr>
                <w:rFonts w:cs="Arial"/>
                <w:sz w:val="20"/>
                <w:szCs w:val="20"/>
                <w:lang w:val="sr-Latn-RS"/>
              </w:rPr>
            </w:pPr>
            <w:r w:rsidRPr="00DA2CDC">
              <w:rPr>
                <w:rFonts w:cs="Arial"/>
                <w:sz w:val="20"/>
                <w:szCs w:val="20"/>
                <w:lang w:val="sr-Latn-RS"/>
              </w:rPr>
              <w:t>T3</w:t>
            </w:r>
          </w:p>
        </w:tc>
        <w:tc>
          <w:tcPr>
            <w:tcW w:w="1473" w:type="pct"/>
            <w:shd w:val="clear" w:color="auto" w:fill="auto"/>
            <w:vAlign w:val="center"/>
          </w:tcPr>
          <w:p w14:paraId="7167A263" w14:textId="7F71CAD8" w:rsidR="00C51435" w:rsidRPr="00DA2CDC" w:rsidRDefault="00DA2CDC" w:rsidP="00DA2CDC">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C51435" w:rsidRPr="00DA2CDC">
              <w:rPr>
                <w:rFonts w:cs="Arial"/>
                <w:sz w:val="20"/>
                <w:szCs w:val="20"/>
                <w:lang w:val="sr-Latn-RS"/>
              </w:rPr>
              <w:t>067</w:t>
            </w:r>
          </w:p>
        </w:tc>
        <w:tc>
          <w:tcPr>
            <w:tcW w:w="1898" w:type="pct"/>
            <w:shd w:val="clear" w:color="auto" w:fill="auto"/>
            <w:vAlign w:val="center"/>
          </w:tcPr>
          <w:p w14:paraId="2FCD9305" w14:textId="00AA65D1" w:rsidR="00C51435" w:rsidRPr="00DA2CDC" w:rsidRDefault="00C51435" w:rsidP="00DA2CDC">
            <w:pPr>
              <w:autoSpaceDE w:val="0"/>
              <w:autoSpaceDN w:val="0"/>
              <w:adjustRightInd w:val="0"/>
              <w:spacing w:before="0" w:after="0"/>
              <w:ind w:left="57" w:right="57"/>
              <w:jc w:val="right"/>
              <w:rPr>
                <w:rFonts w:cs="Arial"/>
                <w:sz w:val="20"/>
                <w:szCs w:val="20"/>
                <w:lang w:val="sr-Latn-RS"/>
              </w:rPr>
            </w:pPr>
            <w:r w:rsidRPr="00DA2CDC">
              <w:rPr>
                <w:rFonts w:cs="Arial"/>
                <w:sz w:val="20"/>
                <w:szCs w:val="20"/>
                <w:lang w:val="sr-Latn-RS"/>
              </w:rPr>
              <w:t>33</w:t>
            </w:r>
            <w:r w:rsidR="00DA2CDC">
              <w:rPr>
                <w:rFonts w:cs="Arial"/>
                <w:sz w:val="20"/>
                <w:szCs w:val="20"/>
                <w:lang w:val="sr-Latn-RS"/>
              </w:rPr>
              <w:t>.</w:t>
            </w:r>
            <w:r w:rsidRPr="00DA2CDC">
              <w:rPr>
                <w:rFonts w:cs="Arial"/>
                <w:sz w:val="20"/>
                <w:szCs w:val="20"/>
                <w:lang w:val="sr-Latn-RS"/>
              </w:rPr>
              <w:t>2%</w:t>
            </w:r>
          </w:p>
        </w:tc>
      </w:tr>
      <w:tr w:rsidR="00DA2CDC" w:rsidRPr="00DA2CDC" w14:paraId="3ACF5899" w14:textId="77777777" w:rsidTr="00DA2CDC">
        <w:trPr>
          <w:cantSplit/>
        </w:trPr>
        <w:tc>
          <w:tcPr>
            <w:tcW w:w="1629" w:type="pct"/>
            <w:shd w:val="clear" w:color="auto" w:fill="auto"/>
            <w:vAlign w:val="center"/>
          </w:tcPr>
          <w:p w14:paraId="6F7F75E8" w14:textId="77777777" w:rsidR="00C51435" w:rsidRPr="00DA2CDC" w:rsidRDefault="00C51435" w:rsidP="00DA2CDC">
            <w:pPr>
              <w:autoSpaceDE w:val="0"/>
              <w:autoSpaceDN w:val="0"/>
              <w:adjustRightInd w:val="0"/>
              <w:spacing w:before="0" w:after="0"/>
              <w:ind w:left="57" w:right="57"/>
              <w:jc w:val="left"/>
              <w:rPr>
                <w:rFonts w:cs="Arial"/>
                <w:sz w:val="20"/>
                <w:szCs w:val="20"/>
                <w:lang w:val="sr-Latn-RS"/>
              </w:rPr>
            </w:pPr>
            <w:r w:rsidRPr="00DA2CDC">
              <w:rPr>
                <w:rFonts w:cs="Arial"/>
                <w:sz w:val="20"/>
                <w:szCs w:val="20"/>
                <w:lang w:val="sr-Latn-RS"/>
              </w:rPr>
              <w:t>T4</w:t>
            </w:r>
          </w:p>
        </w:tc>
        <w:tc>
          <w:tcPr>
            <w:tcW w:w="1473" w:type="pct"/>
            <w:shd w:val="clear" w:color="auto" w:fill="auto"/>
            <w:vAlign w:val="center"/>
          </w:tcPr>
          <w:p w14:paraId="07DB3980" w14:textId="3023FFBD" w:rsidR="00C51435" w:rsidRPr="00DA2CDC" w:rsidRDefault="00DA2CDC" w:rsidP="00DA2CDC">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C51435" w:rsidRPr="00DA2CDC">
              <w:rPr>
                <w:rFonts w:cs="Arial"/>
                <w:sz w:val="20"/>
                <w:szCs w:val="20"/>
                <w:lang w:val="sr-Latn-RS"/>
              </w:rPr>
              <w:t>026</w:t>
            </w:r>
          </w:p>
        </w:tc>
        <w:tc>
          <w:tcPr>
            <w:tcW w:w="1898" w:type="pct"/>
            <w:shd w:val="clear" w:color="auto" w:fill="auto"/>
            <w:vAlign w:val="center"/>
          </w:tcPr>
          <w:p w14:paraId="00398C7D" w14:textId="3521EEBF" w:rsidR="00C51435" w:rsidRPr="00DA2CDC" w:rsidRDefault="00C51435" w:rsidP="00DA2CDC">
            <w:pPr>
              <w:autoSpaceDE w:val="0"/>
              <w:autoSpaceDN w:val="0"/>
              <w:adjustRightInd w:val="0"/>
              <w:spacing w:before="0" w:after="0"/>
              <w:ind w:left="57" w:right="57"/>
              <w:jc w:val="right"/>
              <w:rPr>
                <w:rFonts w:cs="Arial"/>
                <w:sz w:val="20"/>
                <w:szCs w:val="20"/>
                <w:lang w:val="sr-Latn-RS"/>
              </w:rPr>
            </w:pPr>
            <w:r w:rsidRPr="00DA2CDC">
              <w:rPr>
                <w:rFonts w:cs="Arial"/>
                <w:sz w:val="20"/>
                <w:szCs w:val="20"/>
                <w:lang w:val="sr-Latn-RS"/>
              </w:rPr>
              <w:t>12</w:t>
            </w:r>
            <w:r w:rsidR="00DA2CDC">
              <w:rPr>
                <w:rFonts w:cs="Arial"/>
                <w:sz w:val="20"/>
                <w:szCs w:val="20"/>
                <w:lang w:val="sr-Latn-RS"/>
              </w:rPr>
              <w:t>.</w:t>
            </w:r>
            <w:r w:rsidRPr="00DA2CDC">
              <w:rPr>
                <w:rFonts w:cs="Arial"/>
                <w:sz w:val="20"/>
                <w:szCs w:val="20"/>
                <w:lang w:val="sr-Latn-RS"/>
              </w:rPr>
              <w:t>9%</w:t>
            </w:r>
          </w:p>
        </w:tc>
      </w:tr>
      <w:tr w:rsidR="00DA2CDC" w:rsidRPr="00DA2CDC" w14:paraId="125B268F" w14:textId="77777777" w:rsidTr="00DA2CDC">
        <w:trPr>
          <w:cantSplit/>
        </w:trPr>
        <w:tc>
          <w:tcPr>
            <w:tcW w:w="1629" w:type="pct"/>
            <w:shd w:val="clear" w:color="auto" w:fill="auto"/>
            <w:vAlign w:val="center"/>
          </w:tcPr>
          <w:p w14:paraId="3F86C079" w14:textId="77777777" w:rsidR="00C51435" w:rsidRPr="00DA2CDC" w:rsidRDefault="00C51435" w:rsidP="00DA2CDC">
            <w:pPr>
              <w:autoSpaceDE w:val="0"/>
              <w:autoSpaceDN w:val="0"/>
              <w:adjustRightInd w:val="0"/>
              <w:spacing w:before="0" w:after="0"/>
              <w:ind w:left="57" w:right="57"/>
              <w:jc w:val="left"/>
              <w:rPr>
                <w:rFonts w:cs="Arial"/>
                <w:sz w:val="20"/>
                <w:szCs w:val="20"/>
                <w:lang w:val="sr-Latn-RS"/>
              </w:rPr>
            </w:pPr>
            <w:r w:rsidRPr="00DA2CDC">
              <w:rPr>
                <w:rFonts w:cs="Arial"/>
                <w:sz w:val="20"/>
                <w:szCs w:val="20"/>
                <w:lang w:val="sr-Latn-RS"/>
              </w:rPr>
              <w:t>Load_kg_n</w:t>
            </w:r>
          </w:p>
        </w:tc>
        <w:tc>
          <w:tcPr>
            <w:tcW w:w="1473" w:type="pct"/>
            <w:shd w:val="clear" w:color="auto" w:fill="auto"/>
            <w:vAlign w:val="center"/>
          </w:tcPr>
          <w:p w14:paraId="2F92B07C" w14:textId="78118EC1" w:rsidR="00C51435" w:rsidRPr="00DA2CDC" w:rsidRDefault="00DA2CDC" w:rsidP="00DA2CDC">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C51435" w:rsidRPr="00DA2CDC">
              <w:rPr>
                <w:rFonts w:cs="Arial"/>
                <w:sz w:val="20"/>
                <w:szCs w:val="20"/>
                <w:lang w:val="sr-Latn-RS"/>
              </w:rPr>
              <w:t>043</w:t>
            </w:r>
          </w:p>
        </w:tc>
        <w:tc>
          <w:tcPr>
            <w:tcW w:w="1898" w:type="pct"/>
            <w:shd w:val="clear" w:color="auto" w:fill="auto"/>
            <w:vAlign w:val="center"/>
          </w:tcPr>
          <w:p w14:paraId="29894650" w14:textId="610E22C1" w:rsidR="00C51435" w:rsidRPr="00DA2CDC" w:rsidRDefault="00C51435" w:rsidP="00DA2CDC">
            <w:pPr>
              <w:autoSpaceDE w:val="0"/>
              <w:autoSpaceDN w:val="0"/>
              <w:adjustRightInd w:val="0"/>
              <w:spacing w:before="0" w:after="0"/>
              <w:ind w:left="57" w:right="57"/>
              <w:jc w:val="right"/>
              <w:rPr>
                <w:rFonts w:cs="Arial"/>
                <w:sz w:val="20"/>
                <w:szCs w:val="20"/>
                <w:lang w:val="sr-Latn-RS"/>
              </w:rPr>
            </w:pPr>
            <w:r w:rsidRPr="00DA2CDC">
              <w:rPr>
                <w:rFonts w:cs="Arial"/>
                <w:sz w:val="20"/>
                <w:szCs w:val="20"/>
                <w:lang w:val="sr-Latn-RS"/>
              </w:rPr>
              <w:t>21</w:t>
            </w:r>
            <w:r w:rsidR="00DA2CDC">
              <w:rPr>
                <w:rFonts w:cs="Arial"/>
                <w:sz w:val="20"/>
                <w:szCs w:val="20"/>
                <w:lang w:val="sr-Latn-RS"/>
              </w:rPr>
              <w:t>.</w:t>
            </w:r>
            <w:r w:rsidRPr="00DA2CDC">
              <w:rPr>
                <w:rFonts w:cs="Arial"/>
                <w:sz w:val="20"/>
                <w:szCs w:val="20"/>
                <w:lang w:val="sr-Latn-RS"/>
              </w:rPr>
              <w:t>3%</w:t>
            </w:r>
          </w:p>
        </w:tc>
      </w:tr>
      <w:tr w:rsidR="00DA2CDC" w:rsidRPr="00DA2CDC" w14:paraId="117BC7D9" w14:textId="77777777" w:rsidTr="00DA2CDC">
        <w:trPr>
          <w:cantSplit/>
        </w:trPr>
        <w:tc>
          <w:tcPr>
            <w:tcW w:w="1629" w:type="pct"/>
            <w:shd w:val="clear" w:color="auto" w:fill="auto"/>
            <w:vAlign w:val="center"/>
          </w:tcPr>
          <w:p w14:paraId="4DE2F7F7" w14:textId="77777777" w:rsidR="00C51435" w:rsidRPr="00DA2CDC" w:rsidRDefault="00C51435" w:rsidP="00DA2CDC">
            <w:pPr>
              <w:autoSpaceDE w:val="0"/>
              <w:autoSpaceDN w:val="0"/>
              <w:adjustRightInd w:val="0"/>
              <w:spacing w:before="0" w:after="0"/>
              <w:ind w:left="57" w:right="57"/>
              <w:jc w:val="left"/>
              <w:rPr>
                <w:rFonts w:cs="Arial"/>
                <w:sz w:val="20"/>
                <w:szCs w:val="20"/>
                <w:lang w:val="sr-Latn-RS"/>
              </w:rPr>
            </w:pPr>
            <w:r w:rsidRPr="00DA2CDC">
              <w:rPr>
                <w:rFonts w:cs="Arial"/>
                <w:sz w:val="20"/>
                <w:szCs w:val="20"/>
                <w:lang w:val="sr-Latn-RS"/>
              </w:rPr>
              <w:t>N_Stdev_CS</w:t>
            </w:r>
          </w:p>
        </w:tc>
        <w:tc>
          <w:tcPr>
            <w:tcW w:w="1473" w:type="pct"/>
            <w:shd w:val="clear" w:color="auto" w:fill="auto"/>
            <w:vAlign w:val="center"/>
          </w:tcPr>
          <w:p w14:paraId="174FAB87" w14:textId="32BC8C8A" w:rsidR="00C51435" w:rsidRPr="00DA2CDC" w:rsidRDefault="00DA2CDC" w:rsidP="00DA2CDC">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C51435" w:rsidRPr="00DA2CDC">
              <w:rPr>
                <w:rFonts w:cs="Arial"/>
                <w:sz w:val="20"/>
                <w:szCs w:val="20"/>
                <w:lang w:val="sr-Latn-RS"/>
              </w:rPr>
              <w:t>162</w:t>
            </w:r>
          </w:p>
        </w:tc>
        <w:tc>
          <w:tcPr>
            <w:tcW w:w="1898" w:type="pct"/>
            <w:shd w:val="clear" w:color="auto" w:fill="auto"/>
            <w:vAlign w:val="center"/>
          </w:tcPr>
          <w:p w14:paraId="667429FD" w14:textId="6CD8E440" w:rsidR="00C51435" w:rsidRPr="00DA2CDC" w:rsidRDefault="00C51435" w:rsidP="00DA2CDC">
            <w:pPr>
              <w:autoSpaceDE w:val="0"/>
              <w:autoSpaceDN w:val="0"/>
              <w:adjustRightInd w:val="0"/>
              <w:spacing w:before="0" w:after="0"/>
              <w:ind w:left="57" w:right="57"/>
              <w:jc w:val="right"/>
              <w:rPr>
                <w:rFonts w:cs="Arial"/>
                <w:sz w:val="20"/>
                <w:szCs w:val="20"/>
                <w:lang w:val="sr-Latn-RS"/>
              </w:rPr>
            </w:pPr>
            <w:r w:rsidRPr="00DA2CDC">
              <w:rPr>
                <w:rFonts w:cs="Arial"/>
                <w:sz w:val="20"/>
                <w:szCs w:val="20"/>
                <w:lang w:val="sr-Latn-RS"/>
              </w:rPr>
              <w:t>81</w:t>
            </w:r>
            <w:r w:rsidR="00DA2CDC">
              <w:rPr>
                <w:rFonts w:cs="Arial"/>
                <w:sz w:val="20"/>
                <w:szCs w:val="20"/>
                <w:lang w:val="sr-Latn-RS"/>
              </w:rPr>
              <w:t>.</w:t>
            </w:r>
            <w:r w:rsidRPr="00DA2CDC">
              <w:rPr>
                <w:rFonts w:cs="Arial"/>
                <w:sz w:val="20"/>
                <w:szCs w:val="20"/>
                <w:lang w:val="sr-Latn-RS"/>
              </w:rPr>
              <w:t>0%</w:t>
            </w:r>
          </w:p>
        </w:tc>
      </w:tr>
      <w:tr w:rsidR="00DA2CDC" w:rsidRPr="00DA2CDC" w14:paraId="5DEB7594" w14:textId="77777777" w:rsidTr="00DA2CDC">
        <w:trPr>
          <w:cantSplit/>
        </w:trPr>
        <w:tc>
          <w:tcPr>
            <w:tcW w:w="1629" w:type="pct"/>
            <w:shd w:val="clear" w:color="auto" w:fill="auto"/>
            <w:vAlign w:val="center"/>
          </w:tcPr>
          <w:p w14:paraId="54AE89C0" w14:textId="77777777" w:rsidR="00C51435" w:rsidRPr="00DA2CDC" w:rsidRDefault="00C51435" w:rsidP="00DA2CDC">
            <w:pPr>
              <w:autoSpaceDE w:val="0"/>
              <w:autoSpaceDN w:val="0"/>
              <w:adjustRightInd w:val="0"/>
              <w:spacing w:before="0" w:after="0"/>
              <w:ind w:left="57" w:right="57"/>
              <w:jc w:val="left"/>
              <w:rPr>
                <w:rFonts w:cs="Arial"/>
                <w:sz w:val="20"/>
                <w:szCs w:val="20"/>
                <w:lang w:val="sr-Latn-RS"/>
              </w:rPr>
            </w:pPr>
            <w:r w:rsidRPr="00DA2CDC">
              <w:rPr>
                <w:rFonts w:cs="Arial"/>
                <w:sz w:val="20"/>
                <w:szCs w:val="20"/>
                <w:lang w:val="sr-Latn-RS"/>
              </w:rPr>
              <w:t>N_Mean_CS</w:t>
            </w:r>
          </w:p>
        </w:tc>
        <w:tc>
          <w:tcPr>
            <w:tcW w:w="1473" w:type="pct"/>
            <w:shd w:val="clear" w:color="auto" w:fill="auto"/>
            <w:vAlign w:val="center"/>
          </w:tcPr>
          <w:p w14:paraId="46E77440" w14:textId="7AE9C619" w:rsidR="00C51435" w:rsidRPr="00DA2CDC" w:rsidRDefault="00DA2CDC" w:rsidP="00DA2CDC">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C51435" w:rsidRPr="00DA2CDC">
              <w:rPr>
                <w:rFonts w:cs="Arial"/>
                <w:sz w:val="20"/>
                <w:szCs w:val="20"/>
                <w:lang w:val="sr-Latn-RS"/>
              </w:rPr>
              <w:t>200</w:t>
            </w:r>
          </w:p>
        </w:tc>
        <w:tc>
          <w:tcPr>
            <w:tcW w:w="1898" w:type="pct"/>
            <w:shd w:val="clear" w:color="auto" w:fill="auto"/>
            <w:vAlign w:val="center"/>
          </w:tcPr>
          <w:p w14:paraId="38638B80" w14:textId="3D954E9C" w:rsidR="00C51435" w:rsidRPr="00DA2CDC" w:rsidRDefault="00C51435" w:rsidP="00DA2CDC">
            <w:pPr>
              <w:autoSpaceDE w:val="0"/>
              <w:autoSpaceDN w:val="0"/>
              <w:adjustRightInd w:val="0"/>
              <w:spacing w:before="0" w:after="0"/>
              <w:ind w:left="57" w:right="57"/>
              <w:jc w:val="right"/>
              <w:rPr>
                <w:rFonts w:cs="Arial"/>
                <w:sz w:val="20"/>
                <w:szCs w:val="20"/>
                <w:lang w:val="sr-Latn-RS"/>
              </w:rPr>
            </w:pPr>
            <w:r w:rsidRPr="00DA2CDC">
              <w:rPr>
                <w:rFonts w:cs="Arial"/>
                <w:sz w:val="20"/>
                <w:szCs w:val="20"/>
                <w:lang w:val="sr-Latn-RS"/>
              </w:rPr>
              <w:t>100</w:t>
            </w:r>
            <w:r w:rsidR="00DA2CDC">
              <w:rPr>
                <w:rFonts w:cs="Arial"/>
                <w:sz w:val="20"/>
                <w:szCs w:val="20"/>
                <w:lang w:val="sr-Latn-RS"/>
              </w:rPr>
              <w:t>.</w:t>
            </w:r>
            <w:r w:rsidRPr="00DA2CDC">
              <w:rPr>
                <w:rFonts w:cs="Arial"/>
                <w:sz w:val="20"/>
                <w:szCs w:val="20"/>
                <w:lang w:val="sr-Latn-RS"/>
              </w:rPr>
              <w:t>0%</w:t>
            </w:r>
          </w:p>
        </w:tc>
      </w:tr>
      <w:tr w:rsidR="00DA2CDC" w:rsidRPr="00DA2CDC" w14:paraId="2C8A6B46" w14:textId="77777777" w:rsidTr="00DA2CDC">
        <w:trPr>
          <w:cantSplit/>
        </w:trPr>
        <w:tc>
          <w:tcPr>
            <w:tcW w:w="1629" w:type="pct"/>
            <w:shd w:val="clear" w:color="auto" w:fill="auto"/>
            <w:vAlign w:val="center"/>
          </w:tcPr>
          <w:p w14:paraId="2D0AA4EE" w14:textId="77777777" w:rsidR="00C51435" w:rsidRPr="00DA2CDC" w:rsidRDefault="00C51435" w:rsidP="00DA2CDC">
            <w:pPr>
              <w:autoSpaceDE w:val="0"/>
              <w:autoSpaceDN w:val="0"/>
              <w:adjustRightInd w:val="0"/>
              <w:spacing w:before="0" w:after="0"/>
              <w:ind w:left="57" w:right="57"/>
              <w:jc w:val="left"/>
              <w:rPr>
                <w:rFonts w:cs="Arial"/>
                <w:sz w:val="20"/>
                <w:szCs w:val="20"/>
                <w:lang w:val="sr-Latn-RS"/>
              </w:rPr>
            </w:pPr>
            <w:r w:rsidRPr="00DA2CDC">
              <w:rPr>
                <w:rFonts w:cs="Arial"/>
                <w:sz w:val="20"/>
                <w:szCs w:val="20"/>
                <w:lang w:val="sr-Latn-RS"/>
              </w:rPr>
              <w:t>N_RMS_CS</w:t>
            </w:r>
          </w:p>
        </w:tc>
        <w:tc>
          <w:tcPr>
            <w:tcW w:w="1473" w:type="pct"/>
            <w:shd w:val="clear" w:color="auto" w:fill="auto"/>
            <w:vAlign w:val="center"/>
          </w:tcPr>
          <w:p w14:paraId="0C660319" w14:textId="20C6AB78" w:rsidR="00C51435" w:rsidRPr="00DA2CDC" w:rsidRDefault="00DA2CDC" w:rsidP="00DA2CDC">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C51435" w:rsidRPr="00DA2CDC">
              <w:rPr>
                <w:rFonts w:cs="Arial"/>
                <w:sz w:val="20"/>
                <w:szCs w:val="20"/>
                <w:lang w:val="sr-Latn-RS"/>
              </w:rPr>
              <w:t>127</w:t>
            </w:r>
          </w:p>
        </w:tc>
        <w:tc>
          <w:tcPr>
            <w:tcW w:w="1898" w:type="pct"/>
            <w:shd w:val="clear" w:color="auto" w:fill="auto"/>
            <w:vAlign w:val="center"/>
          </w:tcPr>
          <w:p w14:paraId="4091983E" w14:textId="01B20B79" w:rsidR="00C51435" w:rsidRPr="00DA2CDC" w:rsidRDefault="00C51435" w:rsidP="00DA2CDC">
            <w:pPr>
              <w:autoSpaceDE w:val="0"/>
              <w:autoSpaceDN w:val="0"/>
              <w:adjustRightInd w:val="0"/>
              <w:spacing w:before="0" w:after="0"/>
              <w:ind w:left="57" w:right="57"/>
              <w:jc w:val="right"/>
              <w:rPr>
                <w:rFonts w:cs="Arial"/>
                <w:sz w:val="20"/>
                <w:szCs w:val="20"/>
                <w:lang w:val="sr-Latn-RS"/>
              </w:rPr>
            </w:pPr>
            <w:r w:rsidRPr="00DA2CDC">
              <w:rPr>
                <w:rFonts w:cs="Arial"/>
                <w:sz w:val="20"/>
                <w:szCs w:val="20"/>
                <w:lang w:val="sr-Latn-RS"/>
              </w:rPr>
              <w:t>63</w:t>
            </w:r>
            <w:r w:rsidR="00DA2CDC">
              <w:rPr>
                <w:rFonts w:cs="Arial"/>
                <w:sz w:val="20"/>
                <w:szCs w:val="20"/>
                <w:lang w:val="sr-Latn-RS"/>
              </w:rPr>
              <w:t>.</w:t>
            </w:r>
            <w:r w:rsidRPr="00DA2CDC">
              <w:rPr>
                <w:rFonts w:cs="Arial"/>
                <w:sz w:val="20"/>
                <w:szCs w:val="20"/>
                <w:lang w:val="sr-Latn-RS"/>
              </w:rPr>
              <w:t>6%</w:t>
            </w:r>
          </w:p>
        </w:tc>
      </w:tr>
      <w:tr w:rsidR="00DA2CDC" w:rsidRPr="00DA2CDC" w14:paraId="419A8C0E" w14:textId="77777777" w:rsidTr="00DA2CDC">
        <w:trPr>
          <w:cantSplit/>
        </w:trPr>
        <w:tc>
          <w:tcPr>
            <w:tcW w:w="1629" w:type="pct"/>
            <w:shd w:val="clear" w:color="auto" w:fill="auto"/>
            <w:vAlign w:val="center"/>
          </w:tcPr>
          <w:p w14:paraId="554233B8" w14:textId="77777777" w:rsidR="00C51435" w:rsidRPr="00DA2CDC" w:rsidRDefault="00C51435" w:rsidP="00DA2CDC">
            <w:pPr>
              <w:autoSpaceDE w:val="0"/>
              <w:autoSpaceDN w:val="0"/>
              <w:adjustRightInd w:val="0"/>
              <w:spacing w:before="0" w:after="0"/>
              <w:ind w:left="57" w:right="57"/>
              <w:jc w:val="left"/>
              <w:rPr>
                <w:rFonts w:cs="Arial"/>
                <w:sz w:val="20"/>
                <w:szCs w:val="20"/>
                <w:lang w:val="sr-Latn-RS"/>
              </w:rPr>
            </w:pPr>
            <w:r w:rsidRPr="00DA2CDC">
              <w:rPr>
                <w:rFonts w:cs="Arial"/>
                <w:sz w:val="20"/>
                <w:szCs w:val="20"/>
                <w:lang w:val="sr-Latn-RS"/>
              </w:rPr>
              <w:t>N_1Q_CS</w:t>
            </w:r>
          </w:p>
        </w:tc>
        <w:tc>
          <w:tcPr>
            <w:tcW w:w="1473" w:type="pct"/>
            <w:shd w:val="clear" w:color="auto" w:fill="auto"/>
            <w:vAlign w:val="center"/>
          </w:tcPr>
          <w:p w14:paraId="67C70B22" w14:textId="035D1492" w:rsidR="00C51435" w:rsidRPr="00DA2CDC" w:rsidRDefault="00DA2CDC" w:rsidP="00DA2CDC">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C51435" w:rsidRPr="00DA2CDC">
              <w:rPr>
                <w:rFonts w:cs="Arial"/>
                <w:sz w:val="20"/>
                <w:szCs w:val="20"/>
                <w:lang w:val="sr-Latn-RS"/>
              </w:rPr>
              <w:t>019</w:t>
            </w:r>
          </w:p>
        </w:tc>
        <w:tc>
          <w:tcPr>
            <w:tcW w:w="1898" w:type="pct"/>
            <w:shd w:val="clear" w:color="auto" w:fill="auto"/>
            <w:vAlign w:val="center"/>
          </w:tcPr>
          <w:p w14:paraId="5A0309C4" w14:textId="6037C4EC" w:rsidR="00C51435" w:rsidRPr="00DA2CDC" w:rsidRDefault="00C51435" w:rsidP="00DA2CDC">
            <w:pPr>
              <w:autoSpaceDE w:val="0"/>
              <w:autoSpaceDN w:val="0"/>
              <w:adjustRightInd w:val="0"/>
              <w:spacing w:before="0" w:after="0"/>
              <w:ind w:left="57" w:right="57"/>
              <w:jc w:val="right"/>
              <w:rPr>
                <w:rFonts w:cs="Arial"/>
                <w:sz w:val="20"/>
                <w:szCs w:val="20"/>
                <w:lang w:val="sr-Latn-RS"/>
              </w:rPr>
            </w:pPr>
            <w:r w:rsidRPr="00DA2CDC">
              <w:rPr>
                <w:rFonts w:cs="Arial"/>
                <w:sz w:val="20"/>
                <w:szCs w:val="20"/>
                <w:lang w:val="sr-Latn-RS"/>
              </w:rPr>
              <w:t>9</w:t>
            </w:r>
            <w:r w:rsidR="00DA2CDC">
              <w:rPr>
                <w:rFonts w:cs="Arial"/>
                <w:sz w:val="20"/>
                <w:szCs w:val="20"/>
                <w:lang w:val="sr-Latn-RS"/>
              </w:rPr>
              <w:t>.</w:t>
            </w:r>
            <w:r w:rsidRPr="00DA2CDC">
              <w:rPr>
                <w:rFonts w:cs="Arial"/>
                <w:sz w:val="20"/>
                <w:szCs w:val="20"/>
                <w:lang w:val="sr-Latn-RS"/>
              </w:rPr>
              <w:t>4%</w:t>
            </w:r>
          </w:p>
        </w:tc>
      </w:tr>
      <w:tr w:rsidR="00DA2CDC" w:rsidRPr="00DA2CDC" w14:paraId="7E88F4AD" w14:textId="77777777" w:rsidTr="00DA2CDC">
        <w:trPr>
          <w:cantSplit/>
        </w:trPr>
        <w:tc>
          <w:tcPr>
            <w:tcW w:w="1629" w:type="pct"/>
            <w:shd w:val="clear" w:color="auto" w:fill="auto"/>
            <w:vAlign w:val="center"/>
          </w:tcPr>
          <w:p w14:paraId="60FBC57B" w14:textId="77777777" w:rsidR="00C51435" w:rsidRPr="00DA2CDC" w:rsidRDefault="00C51435" w:rsidP="00DA2CDC">
            <w:pPr>
              <w:autoSpaceDE w:val="0"/>
              <w:autoSpaceDN w:val="0"/>
              <w:adjustRightInd w:val="0"/>
              <w:spacing w:before="0" w:after="0"/>
              <w:ind w:left="57" w:right="57"/>
              <w:jc w:val="left"/>
              <w:rPr>
                <w:rFonts w:cs="Arial"/>
                <w:sz w:val="20"/>
                <w:szCs w:val="20"/>
                <w:lang w:val="sr-Latn-RS"/>
              </w:rPr>
            </w:pPr>
            <w:r w:rsidRPr="00DA2CDC">
              <w:rPr>
                <w:rFonts w:cs="Arial"/>
                <w:sz w:val="20"/>
                <w:szCs w:val="20"/>
                <w:lang w:val="sr-Latn-RS"/>
              </w:rPr>
              <w:t>N_IQR_CS</w:t>
            </w:r>
          </w:p>
        </w:tc>
        <w:tc>
          <w:tcPr>
            <w:tcW w:w="1473" w:type="pct"/>
            <w:shd w:val="clear" w:color="auto" w:fill="auto"/>
            <w:vAlign w:val="center"/>
          </w:tcPr>
          <w:p w14:paraId="35D3FC11" w14:textId="189C98F9" w:rsidR="00C51435" w:rsidRPr="00DA2CDC" w:rsidRDefault="00DA2CDC" w:rsidP="00DA2CDC">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C51435" w:rsidRPr="00DA2CDC">
              <w:rPr>
                <w:rFonts w:cs="Arial"/>
                <w:sz w:val="20"/>
                <w:szCs w:val="20"/>
                <w:lang w:val="sr-Latn-RS"/>
              </w:rPr>
              <w:t>050</w:t>
            </w:r>
          </w:p>
        </w:tc>
        <w:tc>
          <w:tcPr>
            <w:tcW w:w="1898" w:type="pct"/>
            <w:shd w:val="clear" w:color="auto" w:fill="auto"/>
            <w:vAlign w:val="center"/>
          </w:tcPr>
          <w:p w14:paraId="2079DFBC" w14:textId="422C7826" w:rsidR="00C51435" w:rsidRPr="00DA2CDC" w:rsidRDefault="00C51435" w:rsidP="00DA2CDC">
            <w:pPr>
              <w:autoSpaceDE w:val="0"/>
              <w:autoSpaceDN w:val="0"/>
              <w:adjustRightInd w:val="0"/>
              <w:spacing w:before="0" w:after="0"/>
              <w:ind w:left="57" w:right="57"/>
              <w:jc w:val="right"/>
              <w:rPr>
                <w:rFonts w:cs="Arial"/>
                <w:sz w:val="20"/>
                <w:szCs w:val="20"/>
                <w:lang w:val="sr-Latn-RS"/>
              </w:rPr>
            </w:pPr>
            <w:r w:rsidRPr="00DA2CDC">
              <w:rPr>
                <w:rFonts w:cs="Arial"/>
                <w:sz w:val="20"/>
                <w:szCs w:val="20"/>
                <w:lang w:val="sr-Latn-RS"/>
              </w:rPr>
              <w:t>25</w:t>
            </w:r>
            <w:r w:rsidR="00DA2CDC">
              <w:rPr>
                <w:rFonts w:cs="Arial"/>
                <w:sz w:val="20"/>
                <w:szCs w:val="20"/>
                <w:lang w:val="sr-Latn-RS"/>
              </w:rPr>
              <w:t>.</w:t>
            </w:r>
            <w:r w:rsidRPr="00DA2CDC">
              <w:rPr>
                <w:rFonts w:cs="Arial"/>
                <w:sz w:val="20"/>
                <w:szCs w:val="20"/>
                <w:lang w:val="sr-Latn-RS"/>
              </w:rPr>
              <w:t>0%</w:t>
            </w:r>
          </w:p>
        </w:tc>
      </w:tr>
      <w:tr w:rsidR="00DA2CDC" w:rsidRPr="00DA2CDC" w14:paraId="6B82976D" w14:textId="77777777" w:rsidTr="0037791F">
        <w:trPr>
          <w:cantSplit/>
        </w:trPr>
        <w:tc>
          <w:tcPr>
            <w:tcW w:w="1629" w:type="pct"/>
            <w:shd w:val="clear" w:color="auto" w:fill="auto"/>
            <w:vAlign w:val="center"/>
          </w:tcPr>
          <w:p w14:paraId="671F98B1" w14:textId="77777777" w:rsidR="00C51435" w:rsidRPr="00DA2CDC" w:rsidRDefault="00C51435" w:rsidP="00DA2CDC">
            <w:pPr>
              <w:autoSpaceDE w:val="0"/>
              <w:autoSpaceDN w:val="0"/>
              <w:adjustRightInd w:val="0"/>
              <w:spacing w:before="0" w:after="0"/>
              <w:ind w:left="57" w:right="57"/>
              <w:jc w:val="left"/>
              <w:rPr>
                <w:rFonts w:cs="Arial"/>
                <w:sz w:val="20"/>
                <w:szCs w:val="20"/>
                <w:lang w:val="sr-Latn-RS"/>
              </w:rPr>
            </w:pPr>
            <w:r w:rsidRPr="00DA2CDC">
              <w:rPr>
                <w:rFonts w:cs="Arial"/>
                <w:sz w:val="20"/>
                <w:szCs w:val="20"/>
                <w:lang w:val="sr-Latn-RS"/>
              </w:rPr>
              <w:t>N_Min_CS</w:t>
            </w:r>
          </w:p>
        </w:tc>
        <w:tc>
          <w:tcPr>
            <w:tcW w:w="1473" w:type="pct"/>
            <w:shd w:val="clear" w:color="auto" w:fill="auto"/>
            <w:vAlign w:val="center"/>
          </w:tcPr>
          <w:p w14:paraId="4231A447" w14:textId="02A48704" w:rsidR="00C51435" w:rsidRPr="00DA2CDC" w:rsidRDefault="00DA2CDC" w:rsidP="00DA2CDC">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C51435" w:rsidRPr="00DA2CDC">
              <w:rPr>
                <w:rFonts w:cs="Arial"/>
                <w:sz w:val="20"/>
                <w:szCs w:val="20"/>
                <w:lang w:val="sr-Latn-RS"/>
              </w:rPr>
              <w:t>186</w:t>
            </w:r>
          </w:p>
        </w:tc>
        <w:tc>
          <w:tcPr>
            <w:tcW w:w="1898" w:type="pct"/>
            <w:shd w:val="clear" w:color="auto" w:fill="auto"/>
            <w:vAlign w:val="center"/>
          </w:tcPr>
          <w:p w14:paraId="057819CE" w14:textId="2A152EEF" w:rsidR="00C51435" w:rsidRPr="00DA2CDC" w:rsidRDefault="00C51435" w:rsidP="00DA2CDC">
            <w:pPr>
              <w:autoSpaceDE w:val="0"/>
              <w:autoSpaceDN w:val="0"/>
              <w:adjustRightInd w:val="0"/>
              <w:spacing w:before="0" w:after="0"/>
              <w:ind w:left="57" w:right="57"/>
              <w:jc w:val="right"/>
              <w:rPr>
                <w:rFonts w:cs="Arial"/>
                <w:sz w:val="20"/>
                <w:szCs w:val="20"/>
                <w:lang w:val="sr-Latn-RS"/>
              </w:rPr>
            </w:pPr>
            <w:r w:rsidRPr="00DA2CDC">
              <w:rPr>
                <w:rFonts w:cs="Arial"/>
                <w:sz w:val="20"/>
                <w:szCs w:val="20"/>
                <w:lang w:val="sr-Latn-RS"/>
              </w:rPr>
              <w:t>93</w:t>
            </w:r>
            <w:r w:rsidR="00DA2CDC">
              <w:rPr>
                <w:rFonts w:cs="Arial"/>
                <w:sz w:val="20"/>
                <w:szCs w:val="20"/>
                <w:lang w:val="sr-Latn-RS"/>
              </w:rPr>
              <w:t>.</w:t>
            </w:r>
            <w:r w:rsidRPr="00DA2CDC">
              <w:rPr>
                <w:rFonts w:cs="Arial"/>
                <w:sz w:val="20"/>
                <w:szCs w:val="20"/>
                <w:lang w:val="sr-Latn-RS"/>
              </w:rPr>
              <w:t>1%</w:t>
            </w:r>
          </w:p>
        </w:tc>
      </w:tr>
      <w:tr w:rsidR="00DA2CDC" w:rsidRPr="00DA2CDC" w14:paraId="68AA9090" w14:textId="77777777" w:rsidTr="0037791F">
        <w:trPr>
          <w:cantSplit/>
        </w:trPr>
        <w:tc>
          <w:tcPr>
            <w:tcW w:w="1629" w:type="pct"/>
            <w:tcBorders>
              <w:bottom w:val="single" w:sz="4" w:space="0" w:color="auto"/>
            </w:tcBorders>
            <w:shd w:val="clear" w:color="auto" w:fill="auto"/>
            <w:vAlign w:val="center"/>
          </w:tcPr>
          <w:p w14:paraId="0BF81528" w14:textId="77777777" w:rsidR="00C51435" w:rsidRPr="00DA2CDC" w:rsidRDefault="00C51435" w:rsidP="00DA2CDC">
            <w:pPr>
              <w:autoSpaceDE w:val="0"/>
              <w:autoSpaceDN w:val="0"/>
              <w:adjustRightInd w:val="0"/>
              <w:spacing w:before="0" w:after="0"/>
              <w:ind w:left="57" w:right="57"/>
              <w:jc w:val="left"/>
              <w:rPr>
                <w:rFonts w:cs="Arial"/>
                <w:sz w:val="20"/>
                <w:szCs w:val="20"/>
                <w:lang w:val="sr-Latn-RS"/>
              </w:rPr>
            </w:pPr>
            <w:r w:rsidRPr="00DA2CDC">
              <w:rPr>
                <w:rFonts w:cs="Arial"/>
                <w:sz w:val="20"/>
                <w:szCs w:val="20"/>
                <w:lang w:val="sr-Latn-RS"/>
              </w:rPr>
              <w:t>N_Skew_CS</w:t>
            </w:r>
          </w:p>
        </w:tc>
        <w:tc>
          <w:tcPr>
            <w:tcW w:w="1473" w:type="pct"/>
            <w:tcBorders>
              <w:bottom w:val="single" w:sz="4" w:space="0" w:color="auto"/>
            </w:tcBorders>
            <w:shd w:val="clear" w:color="auto" w:fill="auto"/>
            <w:vAlign w:val="center"/>
          </w:tcPr>
          <w:p w14:paraId="47504A04" w14:textId="30F2961C" w:rsidR="00C51435" w:rsidRPr="00DA2CDC" w:rsidRDefault="00DA2CDC" w:rsidP="00DA2CDC">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C51435" w:rsidRPr="00DA2CDC">
              <w:rPr>
                <w:rFonts w:cs="Arial"/>
                <w:sz w:val="20"/>
                <w:szCs w:val="20"/>
                <w:lang w:val="sr-Latn-RS"/>
              </w:rPr>
              <w:t>077</w:t>
            </w:r>
          </w:p>
        </w:tc>
        <w:tc>
          <w:tcPr>
            <w:tcW w:w="1898" w:type="pct"/>
            <w:tcBorders>
              <w:bottom w:val="single" w:sz="4" w:space="0" w:color="auto"/>
            </w:tcBorders>
            <w:shd w:val="clear" w:color="auto" w:fill="auto"/>
            <w:vAlign w:val="center"/>
          </w:tcPr>
          <w:p w14:paraId="6E3454EA" w14:textId="66008C01" w:rsidR="00C51435" w:rsidRPr="00DA2CDC" w:rsidRDefault="00C51435" w:rsidP="00DA2CDC">
            <w:pPr>
              <w:autoSpaceDE w:val="0"/>
              <w:autoSpaceDN w:val="0"/>
              <w:adjustRightInd w:val="0"/>
              <w:spacing w:before="0" w:after="0"/>
              <w:ind w:left="57" w:right="57"/>
              <w:jc w:val="right"/>
              <w:rPr>
                <w:rFonts w:cs="Arial"/>
                <w:sz w:val="20"/>
                <w:szCs w:val="20"/>
                <w:lang w:val="sr-Latn-RS"/>
              </w:rPr>
            </w:pPr>
            <w:r w:rsidRPr="00DA2CDC">
              <w:rPr>
                <w:rFonts w:cs="Arial"/>
                <w:sz w:val="20"/>
                <w:szCs w:val="20"/>
                <w:lang w:val="sr-Latn-RS"/>
              </w:rPr>
              <w:t>38</w:t>
            </w:r>
            <w:r w:rsidR="00DA2CDC">
              <w:rPr>
                <w:rFonts w:cs="Arial"/>
                <w:sz w:val="20"/>
                <w:szCs w:val="20"/>
                <w:lang w:val="sr-Latn-RS"/>
              </w:rPr>
              <w:t>.</w:t>
            </w:r>
            <w:r w:rsidRPr="00DA2CDC">
              <w:rPr>
                <w:rFonts w:cs="Arial"/>
                <w:sz w:val="20"/>
                <w:szCs w:val="20"/>
                <w:lang w:val="sr-Latn-RS"/>
              </w:rPr>
              <w:t>3%</w:t>
            </w:r>
          </w:p>
        </w:tc>
      </w:tr>
    </w:tbl>
    <w:p w14:paraId="33043947" w14:textId="30A14DCF" w:rsidR="005C21B1" w:rsidRDefault="005C21B1" w:rsidP="00321EAE">
      <w:pPr>
        <w:pStyle w:val="Caption"/>
        <w:spacing w:before="360"/>
        <w:jc w:val="both"/>
      </w:pPr>
      <w:bookmarkStart w:id="625" w:name="_Toc101274488"/>
      <w:r>
        <w:t xml:space="preserve">Table </w:t>
      </w:r>
      <w:fldSimple w:instr=" SEQ Table \* ARABIC ">
        <w:r w:rsidR="00587AF0">
          <w:rPr>
            <w:noProof/>
          </w:rPr>
          <w:t>48</w:t>
        </w:r>
      </w:fldSimple>
      <w:r>
        <w:t>. ANN Classification matrix at closing saddle regime</w:t>
      </w:r>
      <w:bookmarkEnd w:id="625"/>
    </w:p>
    <w:tbl>
      <w:tblPr>
        <w:tblW w:w="5000" w:type="pct"/>
        <w:tblLook w:val="04A0" w:firstRow="1" w:lastRow="0" w:firstColumn="1" w:lastColumn="0" w:noHBand="0" w:noVBand="1"/>
      </w:tblPr>
      <w:tblGrid>
        <w:gridCol w:w="1422"/>
        <w:gridCol w:w="2537"/>
        <w:gridCol w:w="1248"/>
        <w:gridCol w:w="1695"/>
        <w:gridCol w:w="2125"/>
      </w:tblGrid>
      <w:tr w:rsidR="005C21B1" w:rsidRPr="004621A0" w14:paraId="675D651F" w14:textId="77777777" w:rsidTr="00982E69">
        <w:trPr>
          <w:trHeight w:val="50"/>
        </w:trPr>
        <w:tc>
          <w:tcPr>
            <w:tcW w:w="788" w:type="pct"/>
            <w:tcBorders>
              <w:top w:val="single" w:sz="4" w:space="0" w:color="auto"/>
              <w:left w:val="nil"/>
              <w:bottom w:val="single" w:sz="4" w:space="0" w:color="auto"/>
              <w:right w:val="nil"/>
            </w:tcBorders>
            <w:vAlign w:val="center"/>
            <w:hideMark/>
          </w:tcPr>
          <w:p w14:paraId="44161C27" w14:textId="77777777" w:rsidR="005C21B1" w:rsidRPr="004621A0" w:rsidRDefault="005C21B1" w:rsidP="00CA60F0">
            <w:pPr>
              <w:spacing w:before="0" w:after="0"/>
              <w:jc w:val="left"/>
              <w:rPr>
                <w:rFonts w:eastAsia="Times New Roman" w:cs="Times New Roman"/>
                <w:b/>
                <w:bCs/>
                <w:color w:val="000000"/>
                <w:sz w:val="20"/>
                <w:szCs w:val="20"/>
                <w:lang w:val="sr-Latn-RS" w:eastAsia="sr-Latn-RS"/>
              </w:rPr>
            </w:pPr>
            <w:r w:rsidRPr="004621A0">
              <w:rPr>
                <w:rFonts w:eastAsia="Times New Roman" w:cs="Times New Roman"/>
                <w:b/>
                <w:bCs/>
                <w:color w:val="000000"/>
                <w:sz w:val="20"/>
                <w:szCs w:val="20"/>
                <w:lang w:val="sr-Latn-RS" w:eastAsia="sr-Latn-RS"/>
              </w:rPr>
              <w:t>Sample</w:t>
            </w:r>
          </w:p>
        </w:tc>
        <w:tc>
          <w:tcPr>
            <w:tcW w:w="1405" w:type="pct"/>
            <w:tcBorders>
              <w:top w:val="single" w:sz="4" w:space="0" w:color="auto"/>
              <w:left w:val="nil"/>
              <w:bottom w:val="single" w:sz="4" w:space="0" w:color="auto"/>
              <w:right w:val="nil"/>
            </w:tcBorders>
            <w:vAlign w:val="center"/>
            <w:hideMark/>
          </w:tcPr>
          <w:p w14:paraId="1F42E953" w14:textId="77777777" w:rsidR="005C21B1" w:rsidRPr="004621A0" w:rsidRDefault="005C21B1" w:rsidP="00CA60F0">
            <w:pPr>
              <w:spacing w:before="0" w:after="0"/>
              <w:jc w:val="left"/>
              <w:rPr>
                <w:rFonts w:eastAsia="Times New Roman" w:cs="Times New Roman"/>
                <w:b/>
                <w:bCs/>
                <w:color w:val="000000"/>
                <w:sz w:val="20"/>
                <w:szCs w:val="20"/>
                <w:lang w:val="sr-Latn-RS" w:eastAsia="sr-Latn-RS"/>
              </w:rPr>
            </w:pPr>
            <w:r w:rsidRPr="004621A0">
              <w:rPr>
                <w:rFonts w:eastAsia="Times New Roman" w:cs="Times New Roman"/>
                <w:b/>
                <w:bCs/>
                <w:color w:val="000000"/>
                <w:sz w:val="20"/>
                <w:szCs w:val="20"/>
                <w:lang w:val="sr-Latn-RS" w:eastAsia="sr-Latn-RS"/>
              </w:rPr>
              <w:t>Observed</w:t>
            </w:r>
          </w:p>
        </w:tc>
        <w:tc>
          <w:tcPr>
            <w:tcW w:w="691" w:type="pct"/>
            <w:tcBorders>
              <w:top w:val="single" w:sz="4" w:space="0" w:color="auto"/>
              <w:left w:val="nil"/>
              <w:bottom w:val="single" w:sz="4" w:space="0" w:color="auto"/>
              <w:right w:val="nil"/>
            </w:tcBorders>
            <w:shd w:val="clear" w:color="auto" w:fill="auto"/>
            <w:vAlign w:val="center"/>
            <w:hideMark/>
          </w:tcPr>
          <w:p w14:paraId="64FDD0DE" w14:textId="77777777" w:rsidR="005C21B1" w:rsidRPr="004621A0" w:rsidRDefault="005C21B1" w:rsidP="00CA60F0">
            <w:pPr>
              <w:spacing w:before="0" w:after="0"/>
              <w:jc w:val="center"/>
              <w:rPr>
                <w:rFonts w:eastAsia="Times New Roman" w:cs="Times New Roman"/>
                <w:b/>
                <w:bCs/>
                <w:color w:val="000000"/>
                <w:sz w:val="20"/>
                <w:szCs w:val="20"/>
                <w:lang w:val="sr-Latn-RS" w:eastAsia="sr-Latn-RS"/>
              </w:rPr>
            </w:pPr>
            <w:r w:rsidRPr="004621A0">
              <w:rPr>
                <w:rFonts w:eastAsia="Times New Roman" w:cs="Times New Roman"/>
                <w:b/>
                <w:bCs/>
                <w:color w:val="000000"/>
                <w:sz w:val="20"/>
                <w:szCs w:val="20"/>
                <w:lang w:val="sr-Latn-RS" w:eastAsia="sr-Latn-RS"/>
              </w:rPr>
              <w:t>None</w:t>
            </w:r>
          </w:p>
        </w:tc>
        <w:tc>
          <w:tcPr>
            <w:tcW w:w="939" w:type="pct"/>
            <w:tcBorders>
              <w:top w:val="single" w:sz="4" w:space="0" w:color="auto"/>
              <w:left w:val="nil"/>
              <w:bottom w:val="single" w:sz="4" w:space="0" w:color="auto"/>
              <w:right w:val="nil"/>
            </w:tcBorders>
            <w:shd w:val="clear" w:color="auto" w:fill="auto"/>
            <w:vAlign w:val="center"/>
            <w:hideMark/>
          </w:tcPr>
          <w:p w14:paraId="7842CBEE" w14:textId="77777777" w:rsidR="005C21B1" w:rsidRPr="004621A0" w:rsidRDefault="005C21B1" w:rsidP="00CA60F0">
            <w:pPr>
              <w:spacing w:before="0" w:after="0"/>
              <w:jc w:val="center"/>
              <w:rPr>
                <w:rFonts w:eastAsia="Times New Roman" w:cs="Times New Roman"/>
                <w:b/>
                <w:bCs/>
                <w:color w:val="000000"/>
                <w:sz w:val="20"/>
                <w:szCs w:val="20"/>
                <w:lang w:val="sr-Latn-RS" w:eastAsia="sr-Latn-RS"/>
              </w:rPr>
            </w:pPr>
            <w:r w:rsidRPr="004621A0">
              <w:rPr>
                <w:rFonts w:eastAsia="Times New Roman" w:cs="Times New Roman"/>
                <w:b/>
                <w:bCs/>
                <w:color w:val="000000"/>
                <w:sz w:val="20"/>
                <w:szCs w:val="20"/>
                <w:lang w:val="sr-Latn-RS" w:eastAsia="sr-Latn-RS"/>
              </w:rPr>
              <w:t>Quasi-fault</w:t>
            </w:r>
          </w:p>
        </w:tc>
        <w:tc>
          <w:tcPr>
            <w:tcW w:w="1177" w:type="pct"/>
            <w:tcBorders>
              <w:top w:val="single" w:sz="4" w:space="0" w:color="auto"/>
              <w:left w:val="nil"/>
              <w:bottom w:val="single" w:sz="4" w:space="0" w:color="auto"/>
              <w:right w:val="nil"/>
            </w:tcBorders>
            <w:shd w:val="clear" w:color="auto" w:fill="auto"/>
            <w:vAlign w:val="center"/>
            <w:hideMark/>
          </w:tcPr>
          <w:p w14:paraId="35967042" w14:textId="77777777" w:rsidR="005C21B1" w:rsidRPr="004621A0" w:rsidRDefault="005C21B1" w:rsidP="00CA60F0">
            <w:pPr>
              <w:spacing w:before="0" w:after="0"/>
              <w:jc w:val="center"/>
              <w:rPr>
                <w:rFonts w:eastAsia="Times New Roman" w:cs="Times New Roman"/>
                <w:b/>
                <w:bCs/>
                <w:color w:val="000000"/>
                <w:sz w:val="20"/>
                <w:szCs w:val="20"/>
                <w:lang w:val="sr-Latn-RS" w:eastAsia="sr-Latn-RS"/>
              </w:rPr>
            </w:pPr>
            <w:r w:rsidRPr="004621A0">
              <w:rPr>
                <w:rFonts w:eastAsia="Times New Roman" w:cs="Times New Roman"/>
                <w:b/>
                <w:bCs/>
                <w:color w:val="000000"/>
                <w:sz w:val="20"/>
                <w:szCs w:val="20"/>
                <w:lang w:val="sr-Latn-RS" w:eastAsia="sr-Latn-RS"/>
              </w:rPr>
              <w:t>Percent Correct</w:t>
            </w:r>
          </w:p>
        </w:tc>
      </w:tr>
      <w:tr w:rsidR="005C21B1" w:rsidRPr="004621A0" w14:paraId="015A7FBE" w14:textId="77777777" w:rsidTr="00982E69">
        <w:trPr>
          <w:trHeight w:val="50"/>
        </w:trPr>
        <w:tc>
          <w:tcPr>
            <w:tcW w:w="788" w:type="pct"/>
            <w:vMerge w:val="restart"/>
            <w:tcBorders>
              <w:top w:val="single" w:sz="4" w:space="0" w:color="auto"/>
              <w:left w:val="nil"/>
              <w:bottom w:val="nil"/>
              <w:right w:val="nil"/>
            </w:tcBorders>
            <w:shd w:val="clear" w:color="auto" w:fill="auto"/>
            <w:vAlign w:val="center"/>
            <w:hideMark/>
          </w:tcPr>
          <w:p w14:paraId="04FD4B9A" w14:textId="77777777" w:rsidR="005C21B1" w:rsidRPr="004621A0" w:rsidRDefault="005C21B1" w:rsidP="00CA60F0">
            <w:pPr>
              <w:spacing w:before="0" w:after="0"/>
              <w:jc w:val="left"/>
              <w:rPr>
                <w:rFonts w:eastAsia="Times New Roman" w:cs="Times New Roman"/>
                <w:color w:val="000000"/>
                <w:sz w:val="20"/>
                <w:szCs w:val="20"/>
                <w:lang w:val="sr-Latn-RS" w:eastAsia="sr-Latn-RS"/>
              </w:rPr>
            </w:pPr>
            <w:r w:rsidRPr="004621A0">
              <w:rPr>
                <w:rFonts w:eastAsia="Times New Roman" w:cs="Times New Roman"/>
                <w:color w:val="000000"/>
                <w:sz w:val="20"/>
                <w:szCs w:val="20"/>
                <w:lang w:val="sr-Latn-RS" w:eastAsia="sr-Latn-RS"/>
              </w:rPr>
              <w:t>Training</w:t>
            </w:r>
          </w:p>
        </w:tc>
        <w:tc>
          <w:tcPr>
            <w:tcW w:w="1405" w:type="pct"/>
            <w:tcBorders>
              <w:top w:val="single" w:sz="4" w:space="0" w:color="auto"/>
              <w:left w:val="nil"/>
              <w:bottom w:val="nil"/>
              <w:right w:val="nil"/>
            </w:tcBorders>
            <w:shd w:val="clear" w:color="auto" w:fill="auto"/>
            <w:vAlign w:val="center"/>
            <w:hideMark/>
          </w:tcPr>
          <w:p w14:paraId="044A17A9" w14:textId="77777777" w:rsidR="005C21B1" w:rsidRPr="004621A0" w:rsidRDefault="005C21B1" w:rsidP="00CA60F0">
            <w:pPr>
              <w:spacing w:before="0" w:after="0"/>
              <w:jc w:val="left"/>
              <w:rPr>
                <w:rFonts w:eastAsia="Times New Roman" w:cs="Times New Roman"/>
                <w:color w:val="000000"/>
                <w:sz w:val="20"/>
                <w:szCs w:val="20"/>
                <w:lang w:val="sr-Latn-RS" w:eastAsia="sr-Latn-RS"/>
              </w:rPr>
            </w:pPr>
            <w:r w:rsidRPr="004621A0">
              <w:rPr>
                <w:rFonts w:eastAsia="Times New Roman" w:cs="Times New Roman"/>
                <w:color w:val="000000"/>
                <w:sz w:val="20"/>
                <w:szCs w:val="20"/>
                <w:lang w:val="sr-Latn-RS" w:eastAsia="sr-Latn-RS"/>
              </w:rPr>
              <w:t>None</w:t>
            </w:r>
          </w:p>
        </w:tc>
        <w:tc>
          <w:tcPr>
            <w:tcW w:w="691" w:type="pct"/>
            <w:tcBorders>
              <w:top w:val="single" w:sz="4" w:space="0" w:color="auto"/>
              <w:left w:val="nil"/>
              <w:bottom w:val="nil"/>
              <w:right w:val="nil"/>
            </w:tcBorders>
            <w:shd w:val="clear" w:color="auto" w:fill="auto"/>
            <w:vAlign w:val="center"/>
            <w:hideMark/>
          </w:tcPr>
          <w:p w14:paraId="297A512A" w14:textId="77777777" w:rsidR="005C21B1" w:rsidRPr="004621A0" w:rsidRDefault="005C21B1" w:rsidP="00CA60F0">
            <w:pPr>
              <w:spacing w:before="0" w:after="0"/>
              <w:jc w:val="right"/>
              <w:rPr>
                <w:rFonts w:eastAsia="Times New Roman" w:cs="Times New Roman"/>
                <w:color w:val="000000"/>
                <w:sz w:val="20"/>
                <w:szCs w:val="20"/>
                <w:lang w:val="sr-Latn-RS" w:eastAsia="sr-Latn-RS"/>
              </w:rPr>
            </w:pPr>
            <w:r>
              <w:rPr>
                <w:rFonts w:eastAsia="Times New Roman" w:cs="Times New Roman"/>
                <w:color w:val="000000"/>
                <w:sz w:val="20"/>
                <w:szCs w:val="20"/>
                <w:lang w:val="sr-Latn-RS" w:eastAsia="sr-Latn-RS"/>
              </w:rPr>
              <w:t>118</w:t>
            </w:r>
          </w:p>
        </w:tc>
        <w:tc>
          <w:tcPr>
            <w:tcW w:w="939" w:type="pct"/>
            <w:tcBorders>
              <w:top w:val="single" w:sz="4" w:space="0" w:color="auto"/>
              <w:left w:val="nil"/>
              <w:bottom w:val="nil"/>
              <w:right w:val="nil"/>
            </w:tcBorders>
            <w:shd w:val="clear" w:color="auto" w:fill="auto"/>
            <w:vAlign w:val="center"/>
            <w:hideMark/>
          </w:tcPr>
          <w:p w14:paraId="54887686" w14:textId="77777777" w:rsidR="005C21B1" w:rsidRPr="004621A0" w:rsidRDefault="005C21B1" w:rsidP="00CA60F0">
            <w:pPr>
              <w:spacing w:before="0" w:after="0"/>
              <w:jc w:val="right"/>
              <w:rPr>
                <w:rFonts w:eastAsia="Times New Roman" w:cs="Times New Roman"/>
                <w:color w:val="000000"/>
                <w:sz w:val="20"/>
                <w:szCs w:val="20"/>
                <w:lang w:val="sr-Latn-RS" w:eastAsia="sr-Latn-RS"/>
              </w:rPr>
            </w:pPr>
            <w:r>
              <w:rPr>
                <w:rFonts w:eastAsia="Times New Roman" w:cs="Times New Roman"/>
                <w:color w:val="000000"/>
                <w:sz w:val="20"/>
                <w:szCs w:val="20"/>
                <w:lang w:val="sr-Latn-RS" w:eastAsia="sr-Latn-RS"/>
              </w:rPr>
              <w:t>10</w:t>
            </w:r>
          </w:p>
        </w:tc>
        <w:tc>
          <w:tcPr>
            <w:tcW w:w="1177" w:type="pct"/>
            <w:tcBorders>
              <w:top w:val="single" w:sz="4" w:space="0" w:color="auto"/>
              <w:left w:val="nil"/>
              <w:bottom w:val="nil"/>
              <w:right w:val="nil"/>
            </w:tcBorders>
            <w:shd w:val="clear" w:color="auto" w:fill="auto"/>
            <w:vAlign w:val="center"/>
            <w:hideMark/>
          </w:tcPr>
          <w:p w14:paraId="1237CA59" w14:textId="77777777" w:rsidR="005C21B1" w:rsidRPr="004621A0" w:rsidRDefault="005C21B1" w:rsidP="00CA60F0">
            <w:pPr>
              <w:spacing w:before="0" w:after="0"/>
              <w:jc w:val="right"/>
              <w:rPr>
                <w:rFonts w:eastAsia="Times New Roman" w:cs="Times New Roman"/>
                <w:color w:val="000000"/>
                <w:sz w:val="20"/>
                <w:szCs w:val="20"/>
                <w:lang w:val="sr-Latn-RS" w:eastAsia="sr-Latn-RS"/>
              </w:rPr>
            </w:pPr>
            <w:r>
              <w:rPr>
                <w:rFonts w:eastAsia="Times New Roman" w:cs="Times New Roman"/>
                <w:color w:val="000000"/>
                <w:sz w:val="20"/>
                <w:szCs w:val="20"/>
                <w:lang w:val="sr-Latn-RS" w:eastAsia="sr-Latn-RS"/>
              </w:rPr>
              <w:t>92.2%</w:t>
            </w:r>
          </w:p>
        </w:tc>
      </w:tr>
      <w:tr w:rsidR="005C21B1" w:rsidRPr="004621A0" w14:paraId="22794ABA" w14:textId="77777777" w:rsidTr="00CA60F0">
        <w:trPr>
          <w:trHeight w:val="74"/>
        </w:trPr>
        <w:tc>
          <w:tcPr>
            <w:tcW w:w="788" w:type="pct"/>
            <w:vMerge/>
            <w:tcBorders>
              <w:top w:val="nil"/>
              <w:left w:val="nil"/>
              <w:bottom w:val="nil"/>
              <w:right w:val="nil"/>
            </w:tcBorders>
            <w:vAlign w:val="center"/>
            <w:hideMark/>
          </w:tcPr>
          <w:p w14:paraId="07E35379" w14:textId="77777777" w:rsidR="005C21B1" w:rsidRPr="004621A0" w:rsidRDefault="005C21B1" w:rsidP="00CA60F0">
            <w:pPr>
              <w:spacing w:before="0" w:after="0"/>
              <w:jc w:val="left"/>
              <w:rPr>
                <w:rFonts w:eastAsia="Times New Roman" w:cs="Times New Roman"/>
                <w:color w:val="000000"/>
                <w:sz w:val="20"/>
                <w:szCs w:val="20"/>
                <w:lang w:val="sr-Latn-RS" w:eastAsia="sr-Latn-RS"/>
              </w:rPr>
            </w:pPr>
          </w:p>
        </w:tc>
        <w:tc>
          <w:tcPr>
            <w:tcW w:w="1405" w:type="pct"/>
            <w:tcBorders>
              <w:top w:val="nil"/>
              <w:left w:val="nil"/>
              <w:bottom w:val="nil"/>
              <w:right w:val="nil"/>
            </w:tcBorders>
            <w:shd w:val="clear" w:color="auto" w:fill="auto"/>
            <w:vAlign w:val="center"/>
            <w:hideMark/>
          </w:tcPr>
          <w:p w14:paraId="37060C52" w14:textId="77777777" w:rsidR="005C21B1" w:rsidRPr="004621A0" w:rsidRDefault="005C21B1" w:rsidP="00CA60F0">
            <w:pPr>
              <w:spacing w:before="0" w:after="0"/>
              <w:jc w:val="left"/>
              <w:rPr>
                <w:rFonts w:eastAsia="Times New Roman" w:cs="Times New Roman"/>
                <w:color w:val="000000"/>
                <w:sz w:val="20"/>
                <w:szCs w:val="20"/>
                <w:lang w:val="sr-Latn-RS" w:eastAsia="sr-Latn-RS"/>
              </w:rPr>
            </w:pPr>
            <w:r w:rsidRPr="004621A0">
              <w:rPr>
                <w:rFonts w:eastAsia="Times New Roman" w:cs="Times New Roman"/>
                <w:color w:val="000000"/>
                <w:sz w:val="20"/>
                <w:szCs w:val="20"/>
                <w:lang w:val="sr-Latn-RS" w:eastAsia="sr-Latn-RS"/>
              </w:rPr>
              <w:t>Quasi-fault</w:t>
            </w:r>
          </w:p>
        </w:tc>
        <w:tc>
          <w:tcPr>
            <w:tcW w:w="691" w:type="pct"/>
            <w:tcBorders>
              <w:top w:val="nil"/>
              <w:left w:val="nil"/>
              <w:bottom w:val="nil"/>
              <w:right w:val="nil"/>
            </w:tcBorders>
            <w:shd w:val="clear" w:color="auto" w:fill="auto"/>
            <w:vAlign w:val="center"/>
            <w:hideMark/>
          </w:tcPr>
          <w:p w14:paraId="7E137014" w14:textId="77777777" w:rsidR="005C21B1" w:rsidRPr="004621A0" w:rsidRDefault="005C21B1" w:rsidP="00CA60F0">
            <w:pPr>
              <w:spacing w:before="0" w:after="0"/>
              <w:jc w:val="right"/>
              <w:rPr>
                <w:rFonts w:eastAsia="Times New Roman" w:cs="Times New Roman"/>
                <w:color w:val="000000"/>
                <w:sz w:val="20"/>
                <w:szCs w:val="20"/>
                <w:lang w:val="sr-Latn-RS" w:eastAsia="sr-Latn-RS"/>
              </w:rPr>
            </w:pPr>
            <w:r>
              <w:rPr>
                <w:rFonts w:eastAsia="Times New Roman" w:cs="Times New Roman"/>
                <w:color w:val="000000"/>
                <w:sz w:val="20"/>
                <w:szCs w:val="20"/>
                <w:lang w:val="sr-Latn-RS" w:eastAsia="sr-Latn-RS"/>
              </w:rPr>
              <w:t>0</w:t>
            </w:r>
          </w:p>
        </w:tc>
        <w:tc>
          <w:tcPr>
            <w:tcW w:w="939" w:type="pct"/>
            <w:tcBorders>
              <w:top w:val="nil"/>
              <w:left w:val="nil"/>
              <w:bottom w:val="nil"/>
              <w:right w:val="nil"/>
            </w:tcBorders>
            <w:shd w:val="clear" w:color="auto" w:fill="auto"/>
            <w:vAlign w:val="center"/>
            <w:hideMark/>
          </w:tcPr>
          <w:p w14:paraId="4ABF9FF5" w14:textId="77777777" w:rsidR="005C21B1" w:rsidRPr="004621A0" w:rsidRDefault="005C21B1" w:rsidP="00CA60F0">
            <w:pPr>
              <w:spacing w:before="0" w:after="0"/>
              <w:jc w:val="right"/>
              <w:rPr>
                <w:rFonts w:eastAsia="Times New Roman" w:cs="Times New Roman"/>
                <w:color w:val="000000"/>
                <w:sz w:val="20"/>
                <w:szCs w:val="20"/>
                <w:lang w:val="sr-Latn-RS" w:eastAsia="sr-Latn-RS"/>
              </w:rPr>
            </w:pPr>
            <w:r>
              <w:rPr>
                <w:rFonts w:eastAsia="Times New Roman" w:cs="Times New Roman"/>
                <w:color w:val="000000"/>
                <w:sz w:val="20"/>
                <w:szCs w:val="20"/>
                <w:lang w:val="sr-Latn-RS" w:eastAsia="sr-Latn-RS"/>
              </w:rPr>
              <w:t>512</w:t>
            </w:r>
          </w:p>
        </w:tc>
        <w:tc>
          <w:tcPr>
            <w:tcW w:w="1177" w:type="pct"/>
            <w:tcBorders>
              <w:top w:val="nil"/>
              <w:left w:val="nil"/>
              <w:bottom w:val="nil"/>
              <w:right w:val="nil"/>
            </w:tcBorders>
            <w:shd w:val="clear" w:color="auto" w:fill="auto"/>
            <w:vAlign w:val="center"/>
            <w:hideMark/>
          </w:tcPr>
          <w:p w14:paraId="34685B09" w14:textId="77777777" w:rsidR="005C21B1" w:rsidRPr="004621A0" w:rsidRDefault="005C21B1" w:rsidP="00CA60F0">
            <w:pPr>
              <w:spacing w:before="0" w:after="0"/>
              <w:jc w:val="right"/>
              <w:rPr>
                <w:rFonts w:eastAsia="Times New Roman" w:cs="Times New Roman"/>
                <w:color w:val="000000"/>
                <w:sz w:val="20"/>
                <w:szCs w:val="20"/>
                <w:lang w:val="sr-Latn-RS" w:eastAsia="sr-Latn-RS"/>
              </w:rPr>
            </w:pPr>
            <w:r>
              <w:rPr>
                <w:rFonts w:eastAsia="Times New Roman" w:cs="Times New Roman"/>
                <w:color w:val="000000"/>
                <w:sz w:val="20"/>
                <w:szCs w:val="20"/>
                <w:lang w:val="sr-Latn-RS" w:eastAsia="sr-Latn-RS"/>
              </w:rPr>
              <w:t>100.0%</w:t>
            </w:r>
          </w:p>
        </w:tc>
      </w:tr>
      <w:tr w:rsidR="005C21B1" w:rsidRPr="004621A0" w14:paraId="023F8ED2" w14:textId="77777777" w:rsidTr="00982E69">
        <w:trPr>
          <w:trHeight w:val="122"/>
        </w:trPr>
        <w:tc>
          <w:tcPr>
            <w:tcW w:w="788" w:type="pct"/>
            <w:vMerge/>
            <w:tcBorders>
              <w:top w:val="nil"/>
              <w:left w:val="nil"/>
              <w:right w:val="nil"/>
            </w:tcBorders>
            <w:vAlign w:val="center"/>
            <w:hideMark/>
          </w:tcPr>
          <w:p w14:paraId="22348EF9" w14:textId="77777777" w:rsidR="005C21B1" w:rsidRPr="004621A0" w:rsidRDefault="005C21B1" w:rsidP="00CA60F0">
            <w:pPr>
              <w:spacing w:before="0" w:after="0"/>
              <w:jc w:val="left"/>
              <w:rPr>
                <w:rFonts w:eastAsia="Times New Roman" w:cs="Times New Roman"/>
                <w:color w:val="000000"/>
                <w:sz w:val="20"/>
                <w:szCs w:val="20"/>
                <w:lang w:val="sr-Latn-RS" w:eastAsia="sr-Latn-RS"/>
              </w:rPr>
            </w:pPr>
          </w:p>
        </w:tc>
        <w:tc>
          <w:tcPr>
            <w:tcW w:w="1405" w:type="pct"/>
            <w:tcBorders>
              <w:top w:val="nil"/>
              <w:left w:val="nil"/>
              <w:right w:val="nil"/>
            </w:tcBorders>
            <w:shd w:val="clear" w:color="auto" w:fill="auto"/>
            <w:vAlign w:val="center"/>
            <w:hideMark/>
          </w:tcPr>
          <w:p w14:paraId="555DB249" w14:textId="77777777" w:rsidR="005C21B1" w:rsidRPr="004621A0" w:rsidRDefault="005C21B1" w:rsidP="00CA60F0">
            <w:pPr>
              <w:spacing w:before="0" w:after="0"/>
              <w:jc w:val="left"/>
              <w:rPr>
                <w:rFonts w:eastAsia="Times New Roman" w:cs="Times New Roman"/>
                <w:color w:val="000000"/>
                <w:sz w:val="20"/>
                <w:szCs w:val="20"/>
                <w:lang w:val="sr-Latn-RS" w:eastAsia="sr-Latn-RS"/>
              </w:rPr>
            </w:pPr>
            <w:r w:rsidRPr="004621A0">
              <w:rPr>
                <w:rFonts w:eastAsia="Times New Roman" w:cs="Times New Roman"/>
                <w:color w:val="000000"/>
                <w:sz w:val="20"/>
                <w:szCs w:val="20"/>
                <w:lang w:val="sr-Latn-RS" w:eastAsia="sr-Latn-RS"/>
              </w:rPr>
              <w:t xml:space="preserve">Overall </w:t>
            </w:r>
            <w:r>
              <w:rPr>
                <w:rFonts w:eastAsia="Times New Roman" w:cs="Times New Roman"/>
                <w:color w:val="000000"/>
                <w:sz w:val="20"/>
                <w:szCs w:val="20"/>
                <w:lang w:val="sr-Latn-RS" w:eastAsia="sr-Latn-RS"/>
              </w:rPr>
              <w:t xml:space="preserve">Training </w:t>
            </w:r>
            <w:r w:rsidRPr="004621A0">
              <w:rPr>
                <w:rFonts w:eastAsia="Times New Roman" w:cs="Times New Roman"/>
                <w:color w:val="000000"/>
                <w:sz w:val="20"/>
                <w:szCs w:val="20"/>
                <w:lang w:val="sr-Latn-RS" w:eastAsia="sr-Latn-RS"/>
              </w:rPr>
              <w:t>Percentage</w:t>
            </w:r>
          </w:p>
        </w:tc>
        <w:tc>
          <w:tcPr>
            <w:tcW w:w="691" w:type="pct"/>
            <w:tcBorders>
              <w:top w:val="nil"/>
              <w:left w:val="nil"/>
              <w:right w:val="nil"/>
            </w:tcBorders>
            <w:shd w:val="clear" w:color="auto" w:fill="auto"/>
            <w:noWrap/>
            <w:vAlign w:val="center"/>
            <w:hideMark/>
          </w:tcPr>
          <w:p w14:paraId="068D6D78" w14:textId="77777777" w:rsidR="005C21B1" w:rsidRPr="004621A0" w:rsidRDefault="005C21B1" w:rsidP="00CA60F0">
            <w:pPr>
              <w:spacing w:before="0" w:after="0"/>
              <w:jc w:val="right"/>
              <w:rPr>
                <w:rFonts w:eastAsia="Times New Roman" w:cs="Times New Roman"/>
                <w:color w:val="000000"/>
                <w:sz w:val="20"/>
                <w:szCs w:val="20"/>
                <w:lang w:val="sr-Latn-RS" w:eastAsia="sr-Latn-RS"/>
              </w:rPr>
            </w:pPr>
            <w:r>
              <w:rPr>
                <w:rFonts w:eastAsia="Times New Roman" w:cs="Times New Roman"/>
                <w:color w:val="000000"/>
                <w:sz w:val="20"/>
                <w:szCs w:val="20"/>
                <w:lang w:val="sr-Latn-RS" w:eastAsia="sr-Latn-RS"/>
              </w:rPr>
              <w:t>18.4%</w:t>
            </w:r>
          </w:p>
        </w:tc>
        <w:tc>
          <w:tcPr>
            <w:tcW w:w="939" w:type="pct"/>
            <w:tcBorders>
              <w:top w:val="nil"/>
              <w:left w:val="nil"/>
              <w:right w:val="nil"/>
            </w:tcBorders>
            <w:shd w:val="clear" w:color="auto" w:fill="auto"/>
            <w:noWrap/>
            <w:vAlign w:val="center"/>
            <w:hideMark/>
          </w:tcPr>
          <w:p w14:paraId="7AAD4AFD" w14:textId="77777777" w:rsidR="005C21B1" w:rsidRPr="004621A0" w:rsidRDefault="005C21B1" w:rsidP="00CA60F0">
            <w:pPr>
              <w:spacing w:before="0" w:after="0"/>
              <w:jc w:val="right"/>
              <w:rPr>
                <w:rFonts w:eastAsia="Times New Roman" w:cs="Times New Roman"/>
                <w:color w:val="000000"/>
                <w:sz w:val="20"/>
                <w:szCs w:val="20"/>
                <w:lang w:val="sr-Latn-RS" w:eastAsia="sr-Latn-RS"/>
              </w:rPr>
            </w:pPr>
            <w:r>
              <w:rPr>
                <w:rFonts w:eastAsia="Times New Roman" w:cs="Times New Roman"/>
                <w:color w:val="000000"/>
                <w:sz w:val="20"/>
                <w:szCs w:val="20"/>
                <w:lang w:val="sr-Latn-RS" w:eastAsia="sr-Latn-RS"/>
              </w:rPr>
              <w:t>81.6%</w:t>
            </w:r>
          </w:p>
        </w:tc>
        <w:tc>
          <w:tcPr>
            <w:tcW w:w="1177" w:type="pct"/>
            <w:tcBorders>
              <w:top w:val="nil"/>
              <w:left w:val="nil"/>
              <w:right w:val="nil"/>
            </w:tcBorders>
            <w:shd w:val="clear" w:color="auto" w:fill="auto"/>
            <w:vAlign w:val="center"/>
            <w:hideMark/>
          </w:tcPr>
          <w:p w14:paraId="6522C72A" w14:textId="77777777" w:rsidR="005C21B1" w:rsidRPr="004621A0" w:rsidRDefault="005C21B1" w:rsidP="00CA60F0">
            <w:pPr>
              <w:spacing w:before="0" w:after="0"/>
              <w:jc w:val="right"/>
              <w:rPr>
                <w:rFonts w:eastAsia="Times New Roman" w:cs="Times New Roman"/>
                <w:b/>
                <w:bCs/>
                <w:color w:val="000000"/>
                <w:sz w:val="20"/>
                <w:szCs w:val="20"/>
                <w:lang w:val="sr-Latn-RS" w:eastAsia="sr-Latn-RS"/>
              </w:rPr>
            </w:pPr>
            <w:r>
              <w:rPr>
                <w:rFonts w:eastAsia="Times New Roman" w:cs="Times New Roman"/>
                <w:b/>
                <w:bCs/>
                <w:color w:val="000000"/>
                <w:sz w:val="20"/>
                <w:szCs w:val="20"/>
                <w:lang w:val="sr-Latn-RS" w:eastAsia="sr-Latn-RS"/>
              </w:rPr>
              <w:t>98.4%</w:t>
            </w:r>
          </w:p>
        </w:tc>
      </w:tr>
      <w:tr w:rsidR="005C21B1" w:rsidRPr="004621A0" w14:paraId="2BD63844" w14:textId="77777777" w:rsidTr="003751B7">
        <w:trPr>
          <w:trHeight w:val="70"/>
        </w:trPr>
        <w:tc>
          <w:tcPr>
            <w:tcW w:w="788" w:type="pct"/>
            <w:vMerge w:val="restart"/>
            <w:tcBorders>
              <w:top w:val="nil"/>
              <w:left w:val="nil"/>
              <w:bottom w:val="single" w:sz="8" w:space="0" w:color="152935"/>
              <w:right w:val="nil"/>
            </w:tcBorders>
            <w:shd w:val="clear" w:color="auto" w:fill="auto"/>
            <w:vAlign w:val="center"/>
            <w:hideMark/>
          </w:tcPr>
          <w:p w14:paraId="5B56CBBB" w14:textId="77777777" w:rsidR="005C21B1" w:rsidRPr="004621A0" w:rsidRDefault="005C21B1" w:rsidP="00CA60F0">
            <w:pPr>
              <w:spacing w:before="0" w:after="0"/>
              <w:jc w:val="left"/>
              <w:rPr>
                <w:rFonts w:eastAsia="Times New Roman" w:cs="Times New Roman"/>
                <w:color w:val="000000"/>
                <w:sz w:val="20"/>
                <w:szCs w:val="20"/>
                <w:lang w:val="sr-Latn-RS" w:eastAsia="sr-Latn-RS"/>
              </w:rPr>
            </w:pPr>
            <w:r w:rsidRPr="004621A0">
              <w:rPr>
                <w:rFonts w:eastAsia="Times New Roman" w:cs="Times New Roman"/>
                <w:color w:val="000000"/>
                <w:sz w:val="20"/>
                <w:szCs w:val="20"/>
                <w:lang w:val="sr-Latn-RS" w:eastAsia="sr-Latn-RS"/>
              </w:rPr>
              <w:t>Test</w:t>
            </w:r>
          </w:p>
        </w:tc>
        <w:tc>
          <w:tcPr>
            <w:tcW w:w="1405" w:type="pct"/>
            <w:tcBorders>
              <w:top w:val="nil"/>
              <w:left w:val="nil"/>
              <w:bottom w:val="nil"/>
              <w:right w:val="nil"/>
            </w:tcBorders>
            <w:shd w:val="clear" w:color="auto" w:fill="auto"/>
            <w:vAlign w:val="center"/>
            <w:hideMark/>
          </w:tcPr>
          <w:p w14:paraId="2BD29CAE" w14:textId="77777777" w:rsidR="005C21B1" w:rsidRPr="004621A0" w:rsidRDefault="005C21B1" w:rsidP="00CA60F0">
            <w:pPr>
              <w:spacing w:before="0" w:after="0"/>
              <w:jc w:val="left"/>
              <w:rPr>
                <w:rFonts w:eastAsia="Times New Roman" w:cs="Times New Roman"/>
                <w:color w:val="000000"/>
                <w:sz w:val="20"/>
                <w:szCs w:val="20"/>
                <w:lang w:val="sr-Latn-RS" w:eastAsia="sr-Latn-RS"/>
              </w:rPr>
            </w:pPr>
            <w:r w:rsidRPr="004621A0">
              <w:rPr>
                <w:rFonts w:eastAsia="Times New Roman" w:cs="Times New Roman"/>
                <w:color w:val="000000"/>
                <w:sz w:val="20"/>
                <w:szCs w:val="20"/>
                <w:lang w:val="sr-Latn-RS" w:eastAsia="sr-Latn-RS"/>
              </w:rPr>
              <w:t>None</w:t>
            </w:r>
          </w:p>
        </w:tc>
        <w:tc>
          <w:tcPr>
            <w:tcW w:w="691" w:type="pct"/>
            <w:tcBorders>
              <w:top w:val="nil"/>
              <w:left w:val="nil"/>
              <w:bottom w:val="nil"/>
              <w:right w:val="nil"/>
            </w:tcBorders>
            <w:shd w:val="clear" w:color="auto" w:fill="auto"/>
            <w:hideMark/>
          </w:tcPr>
          <w:p w14:paraId="49D17E3A" w14:textId="77777777" w:rsidR="005C21B1" w:rsidRPr="004621A0" w:rsidRDefault="005C21B1" w:rsidP="00CA60F0">
            <w:pPr>
              <w:spacing w:before="0" w:after="0"/>
              <w:jc w:val="right"/>
              <w:rPr>
                <w:rFonts w:eastAsia="Times New Roman" w:cs="Times New Roman"/>
                <w:color w:val="000000"/>
                <w:sz w:val="20"/>
                <w:szCs w:val="18"/>
                <w:lang w:val="sr-Latn-RS" w:eastAsia="sr-Latn-RS"/>
              </w:rPr>
            </w:pPr>
            <w:r w:rsidRPr="00D35640">
              <w:rPr>
                <w:sz w:val="20"/>
                <w:szCs w:val="18"/>
              </w:rPr>
              <w:t>55</w:t>
            </w:r>
          </w:p>
        </w:tc>
        <w:tc>
          <w:tcPr>
            <w:tcW w:w="939" w:type="pct"/>
            <w:tcBorders>
              <w:top w:val="nil"/>
              <w:left w:val="nil"/>
              <w:bottom w:val="nil"/>
              <w:right w:val="nil"/>
            </w:tcBorders>
            <w:shd w:val="clear" w:color="auto" w:fill="auto"/>
            <w:noWrap/>
            <w:hideMark/>
          </w:tcPr>
          <w:p w14:paraId="04E447B2" w14:textId="77777777" w:rsidR="005C21B1" w:rsidRPr="004621A0" w:rsidRDefault="005C21B1" w:rsidP="00CA60F0">
            <w:pPr>
              <w:spacing w:before="0" w:after="0"/>
              <w:jc w:val="right"/>
              <w:rPr>
                <w:rFonts w:eastAsia="Times New Roman" w:cs="Times New Roman"/>
                <w:color w:val="000000"/>
                <w:sz w:val="20"/>
                <w:szCs w:val="18"/>
                <w:lang w:val="sr-Latn-RS" w:eastAsia="sr-Latn-RS"/>
              </w:rPr>
            </w:pPr>
            <w:r w:rsidRPr="00D35640">
              <w:rPr>
                <w:sz w:val="20"/>
                <w:szCs w:val="18"/>
              </w:rPr>
              <w:t>18</w:t>
            </w:r>
          </w:p>
        </w:tc>
        <w:tc>
          <w:tcPr>
            <w:tcW w:w="1177" w:type="pct"/>
            <w:tcBorders>
              <w:top w:val="nil"/>
              <w:left w:val="nil"/>
              <w:bottom w:val="nil"/>
              <w:right w:val="nil"/>
            </w:tcBorders>
            <w:shd w:val="clear" w:color="auto" w:fill="auto"/>
            <w:hideMark/>
          </w:tcPr>
          <w:p w14:paraId="449F3C39" w14:textId="77777777" w:rsidR="005C21B1" w:rsidRPr="004621A0" w:rsidRDefault="005C21B1" w:rsidP="00CA60F0">
            <w:pPr>
              <w:spacing w:before="0" w:after="0"/>
              <w:jc w:val="right"/>
              <w:rPr>
                <w:rFonts w:eastAsia="Times New Roman" w:cs="Times New Roman"/>
                <w:color w:val="000000"/>
                <w:sz w:val="20"/>
                <w:szCs w:val="18"/>
                <w:lang w:val="sr-Latn-RS" w:eastAsia="sr-Latn-RS"/>
              </w:rPr>
            </w:pPr>
            <w:r w:rsidRPr="00D35640">
              <w:rPr>
                <w:sz w:val="20"/>
                <w:szCs w:val="18"/>
              </w:rPr>
              <w:t>75.3%</w:t>
            </w:r>
          </w:p>
        </w:tc>
      </w:tr>
      <w:tr w:rsidR="005C21B1" w:rsidRPr="004621A0" w14:paraId="494A9591" w14:textId="77777777" w:rsidTr="003751B7">
        <w:trPr>
          <w:trHeight w:val="50"/>
        </w:trPr>
        <w:tc>
          <w:tcPr>
            <w:tcW w:w="788" w:type="pct"/>
            <w:vMerge/>
            <w:tcBorders>
              <w:top w:val="nil"/>
              <w:left w:val="nil"/>
              <w:bottom w:val="single" w:sz="8" w:space="0" w:color="152935"/>
              <w:right w:val="nil"/>
            </w:tcBorders>
            <w:vAlign w:val="center"/>
            <w:hideMark/>
          </w:tcPr>
          <w:p w14:paraId="54394F36" w14:textId="77777777" w:rsidR="005C21B1" w:rsidRPr="004621A0" w:rsidRDefault="005C21B1" w:rsidP="00CA60F0">
            <w:pPr>
              <w:spacing w:before="0" w:after="0"/>
              <w:jc w:val="left"/>
              <w:rPr>
                <w:rFonts w:eastAsia="Times New Roman" w:cs="Times New Roman"/>
                <w:color w:val="000000"/>
                <w:sz w:val="20"/>
                <w:szCs w:val="20"/>
                <w:lang w:val="sr-Latn-RS" w:eastAsia="sr-Latn-RS"/>
              </w:rPr>
            </w:pPr>
          </w:p>
        </w:tc>
        <w:tc>
          <w:tcPr>
            <w:tcW w:w="1405" w:type="pct"/>
            <w:tcBorders>
              <w:top w:val="nil"/>
              <w:left w:val="nil"/>
              <w:bottom w:val="nil"/>
              <w:right w:val="nil"/>
            </w:tcBorders>
            <w:shd w:val="clear" w:color="auto" w:fill="auto"/>
            <w:vAlign w:val="center"/>
            <w:hideMark/>
          </w:tcPr>
          <w:p w14:paraId="35A0A189" w14:textId="77777777" w:rsidR="005C21B1" w:rsidRPr="004621A0" w:rsidRDefault="005C21B1" w:rsidP="00CA60F0">
            <w:pPr>
              <w:spacing w:before="0" w:after="0"/>
              <w:jc w:val="left"/>
              <w:rPr>
                <w:rFonts w:eastAsia="Times New Roman" w:cs="Times New Roman"/>
                <w:color w:val="000000"/>
                <w:sz w:val="20"/>
                <w:szCs w:val="20"/>
                <w:lang w:val="sr-Latn-RS" w:eastAsia="sr-Latn-RS"/>
              </w:rPr>
            </w:pPr>
            <w:r w:rsidRPr="004621A0">
              <w:rPr>
                <w:rFonts w:eastAsia="Times New Roman" w:cs="Times New Roman"/>
                <w:color w:val="000000"/>
                <w:sz w:val="20"/>
                <w:szCs w:val="20"/>
                <w:lang w:val="sr-Latn-RS" w:eastAsia="sr-Latn-RS"/>
              </w:rPr>
              <w:t>Quasi-fault</w:t>
            </w:r>
          </w:p>
        </w:tc>
        <w:tc>
          <w:tcPr>
            <w:tcW w:w="691" w:type="pct"/>
            <w:tcBorders>
              <w:top w:val="nil"/>
              <w:left w:val="nil"/>
              <w:bottom w:val="nil"/>
              <w:right w:val="nil"/>
            </w:tcBorders>
            <w:shd w:val="clear" w:color="auto" w:fill="auto"/>
            <w:hideMark/>
          </w:tcPr>
          <w:p w14:paraId="6E61D338" w14:textId="77777777" w:rsidR="005C21B1" w:rsidRPr="004621A0" w:rsidRDefault="005C21B1" w:rsidP="00CA60F0">
            <w:pPr>
              <w:spacing w:before="0" w:after="0"/>
              <w:jc w:val="right"/>
              <w:rPr>
                <w:rFonts w:eastAsia="Times New Roman" w:cs="Times New Roman"/>
                <w:color w:val="000000"/>
                <w:sz w:val="20"/>
                <w:szCs w:val="18"/>
                <w:lang w:val="sr-Latn-RS" w:eastAsia="sr-Latn-RS"/>
              </w:rPr>
            </w:pPr>
            <w:r w:rsidRPr="00D35640">
              <w:rPr>
                <w:sz w:val="20"/>
                <w:szCs w:val="18"/>
              </w:rPr>
              <w:t>4</w:t>
            </w:r>
          </w:p>
        </w:tc>
        <w:tc>
          <w:tcPr>
            <w:tcW w:w="939" w:type="pct"/>
            <w:tcBorders>
              <w:top w:val="nil"/>
              <w:left w:val="nil"/>
              <w:bottom w:val="nil"/>
              <w:right w:val="nil"/>
            </w:tcBorders>
            <w:shd w:val="clear" w:color="auto" w:fill="auto"/>
            <w:hideMark/>
          </w:tcPr>
          <w:p w14:paraId="39F0EC01" w14:textId="77777777" w:rsidR="005C21B1" w:rsidRPr="004621A0" w:rsidRDefault="005C21B1" w:rsidP="00CA60F0">
            <w:pPr>
              <w:spacing w:before="0" w:after="0"/>
              <w:jc w:val="right"/>
              <w:rPr>
                <w:rFonts w:eastAsia="Times New Roman" w:cs="Times New Roman"/>
                <w:color w:val="000000"/>
                <w:sz w:val="20"/>
                <w:szCs w:val="18"/>
                <w:lang w:val="sr-Latn-RS" w:eastAsia="sr-Latn-RS"/>
              </w:rPr>
            </w:pPr>
            <w:r w:rsidRPr="00D35640">
              <w:rPr>
                <w:sz w:val="20"/>
                <w:szCs w:val="18"/>
              </w:rPr>
              <w:t>199</w:t>
            </w:r>
          </w:p>
        </w:tc>
        <w:tc>
          <w:tcPr>
            <w:tcW w:w="1177" w:type="pct"/>
            <w:tcBorders>
              <w:top w:val="nil"/>
              <w:left w:val="nil"/>
              <w:bottom w:val="nil"/>
              <w:right w:val="nil"/>
            </w:tcBorders>
            <w:shd w:val="clear" w:color="auto" w:fill="auto"/>
            <w:hideMark/>
          </w:tcPr>
          <w:p w14:paraId="6A9AA220" w14:textId="77777777" w:rsidR="005C21B1" w:rsidRPr="004621A0" w:rsidRDefault="005C21B1" w:rsidP="00CA60F0">
            <w:pPr>
              <w:spacing w:before="0" w:after="0"/>
              <w:jc w:val="right"/>
              <w:rPr>
                <w:rFonts w:eastAsia="Times New Roman" w:cs="Times New Roman"/>
                <w:color w:val="000000"/>
                <w:sz w:val="20"/>
                <w:szCs w:val="18"/>
                <w:lang w:val="sr-Latn-RS" w:eastAsia="sr-Latn-RS"/>
              </w:rPr>
            </w:pPr>
            <w:r w:rsidRPr="00D35640">
              <w:rPr>
                <w:sz w:val="20"/>
                <w:szCs w:val="18"/>
              </w:rPr>
              <w:t>98.0%</w:t>
            </w:r>
          </w:p>
        </w:tc>
      </w:tr>
      <w:tr w:rsidR="005C21B1" w:rsidRPr="004621A0" w14:paraId="3D66986F" w14:textId="77777777" w:rsidTr="00982E69">
        <w:trPr>
          <w:trHeight w:val="83"/>
        </w:trPr>
        <w:tc>
          <w:tcPr>
            <w:tcW w:w="788" w:type="pct"/>
            <w:vMerge/>
            <w:tcBorders>
              <w:top w:val="nil"/>
              <w:left w:val="nil"/>
              <w:bottom w:val="single" w:sz="4" w:space="0" w:color="auto"/>
              <w:right w:val="nil"/>
            </w:tcBorders>
            <w:vAlign w:val="center"/>
            <w:hideMark/>
          </w:tcPr>
          <w:p w14:paraId="4D58C3C0" w14:textId="77777777" w:rsidR="005C21B1" w:rsidRPr="004621A0" w:rsidRDefault="005C21B1" w:rsidP="00CA60F0">
            <w:pPr>
              <w:spacing w:before="0" w:after="0"/>
              <w:jc w:val="left"/>
              <w:rPr>
                <w:rFonts w:eastAsia="Times New Roman" w:cs="Times New Roman"/>
                <w:color w:val="000000"/>
                <w:sz w:val="20"/>
                <w:szCs w:val="20"/>
                <w:lang w:val="sr-Latn-RS" w:eastAsia="sr-Latn-RS"/>
              </w:rPr>
            </w:pPr>
          </w:p>
        </w:tc>
        <w:tc>
          <w:tcPr>
            <w:tcW w:w="1405" w:type="pct"/>
            <w:tcBorders>
              <w:top w:val="nil"/>
              <w:left w:val="nil"/>
              <w:bottom w:val="single" w:sz="4" w:space="0" w:color="auto"/>
              <w:right w:val="nil"/>
            </w:tcBorders>
            <w:shd w:val="clear" w:color="auto" w:fill="auto"/>
            <w:vAlign w:val="center"/>
            <w:hideMark/>
          </w:tcPr>
          <w:p w14:paraId="615A820D" w14:textId="77777777" w:rsidR="005C21B1" w:rsidRPr="004621A0" w:rsidRDefault="005C21B1" w:rsidP="00CA60F0">
            <w:pPr>
              <w:spacing w:before="0" w:after="0"/>
              <w:jc w:val="left"/>
              <w:rPr>
                <w:rFonts w:eastAsia="Times New Roman" w:cs="Times New Roman"/>
                <w:color w:val="000000"/>
                <w:sz w:val="20"/>
                <w:szCs w:val="20"/>
                <w:lang w:val="sr-Latn-RS" w:eastAsia="sr-Latn-RS"/>
              </w:rPr>
            </w:pPr>
            <w:r w:rsidRPr="004621A0">
              <w:rPr>
                <w:rFonts w:eastAsia="Times New Roman" w:cs="Times New Roman"/>
                <w:color w:val="000000"/>
                <w:sz w:val="20"/>
                <w:szCs w:val="20"/>
                <w:lang w:val="sr-Latn-RS" w:eastAsia="sr-Latn-RS"/>
              </w:rPr>
              <w:t xml:space="preserve">Overall </w:t>
            </w:r>
            <w:r>
              <w:rPr>
                <w:rFonts w:eastAsia="Times New Roman" w:cs="Times New Roman"/>
                <w:color w:val="000000"/>
                <w:sz w:val="20"/>
                <w:szCs w:val="20"/>
                <w:lang w:val="sr-Latn-RS" w:eastAsia="sr-Latn-RS"/>
              </w:rPr>
              <w:t xml:space="preserve">Testing </w:t>
            </w:r>
            <w:r w:rsidRPr="004621A0">
              <w:rPr>
                <w:rFonts w:eastAsia="Times New Roman" w:cs="Times New Roman"/>
                <w:color w:val="000000"/>
                <w:sz w:val="20"/>
                <w:szCs w:val="20"/>
                <w:lang w:val="sr-Latn-RS" w:eastAsia="sr-Latn-RS"/>
              </w:rPr>
              <w:t>Percentage</w:t>
            </w:r>
          </w:p>
        </w:tc>
        <w:tc>
          <w:tcPr>
            <w:tcW w:w="691" w:type="pct"/>
            <w:tcBorders>
              <w:top w:val="nil"/>
              <w:left w:val="nil"/>
              <w:bottom w:val="single" w:sz="4" w:space="0" w:color="auto"/>
              <w:right w:val="nil"/>
            </w:tcBorders>
            <w:shd w:val="clear" w:color="auto" w:fill="auto"/>
            <w:hideMark/>
          </w:tcPr>
          <w:p w14:paraId="683C1CBD" w14:textId="77777777" w:rsidR="005C21B1" w:rsidRPr="004621A0" w:rsidRDefault="005C21B1" w:rsidP="00CA60F0">
            <w:pPr>
              <w:spacing w:before="0" w:after="0"/>
              <w:jc w:val="right"/>
              <w:rPr>
                <w:rFonts w:eastAsia="Times New Roman" w:cs="Times New Roman"/>
                <w:color w:val="000000"/>
                <w:sz w:val="20"/>
                <w:szCs w:val="18"/>
                <w:lang w:val="sr-Latn-RS" w:eastAsia="sr-Latn-RS"/>
              </w:rPr>
            </w:pPr>
            <w:r w:rsidRPr="00D35640">
              <w:rPr>
                <w:sz w:val="20"/>
                <w:szCs w:val="18"/>
              </w:rPr>
              <w:t>21.</w:t>
            </w:r>
            <w:r>
              <w:rPr>
                <w:sz w:val="20"/>
                <w:szCs w:val="18"/>
              </w:rPr>
              <w:t>4</w:t>
            </w:r>
            <w:r w:rsidRPr="00D35640">
              <w:rPr>
                <w:sz w:val="20"/>
                <w:szCs w:val="18"/>
              </w:rPr>
              <w:t>%</w:t>
            </w:r>
          </w:p>
        </w:tc>
        <w:tc>
          <w:tcPr>
            <w:tcW w:w="939" w:type="pct"/>
            <w:tcBorders>
              <w:top w:val="nil"/>
              <w:left w:val="nil"/>
              <w:bottom w:val="single" w:sz="4" w:space="0" w:color="auto"/>
              <w:right w:val="nil"/>
            </w:tcBorders>
            <w:shd w:val="clear" w:color="auto" w:fill="auto"/>
            <w:hideMark/>
          </w:tcPr>
          <w:p w14:paraId="65276DB4" w14:textId="77777777" w:rsidR="005C21B1" w:rsidRPr="004621A0" w:rsidRDefault="005C21B1" w:rsidP="00CA60F0">
            <w:pPr>
              <w:spacing w:before="0" w:after="0"/>
              <w:jc w:val="right"/>
              <w:rPr>
                <w:rFonts w:eastAsia="Times New Roman" w:cs="Times New Roman"/>
                <w:color w:val="000000"/>
                <w:sz w:val="20"/>
                <w:szCs w:val="18"/>
                <w:lang w:val="sr-Latn-RS" w:eastAsia="sr-Latn-RS"/>
              </w:rPr>
            </w:pPr>
            <w:r w:rsidRPr="00D35640">
              <w:rPr>
                <w:sz w:val="20"/>
                <w:szCs w:val="18"/>
              </w:rPr>
              <w:t>78.6%</w:t>
            </w:r>
          </w:p>
        </w:tc>
        <w:tc>
          <w:tcPr>
            <w:tcW w:w="1177" w:type="pct"/>
            <w:tcBorders>
              <w:top w:val="nil"/>
              <w:left w:val="nil"/>
              <w:bottom w:val="single" w:sz="4" w:space="0" w:color="auto"/>
              <w:right w:val="nil"/>
            </w:tcBorders>
            <w:shd w:val="clear" w:color="auto" w:fill="auto"/>
            <w:hideMark/>
          </w:tcPr>
          <w:p w14:paraId="34A87393" w14:textId="77777777" w:rsidR="005C21B1" w:rsidRPr="0062207B" w:rsidRDefault="005C21B1" w:rsidP="00CA60F0">
            <w:pPr>
              <w:spacing w:before="0" w:after="0"/>
              <w:jc w:val="right"/>
              <w:rPr>
                <w:rFonts w:eastAsia="Times New Roman" w:cs="Times New Roman"/>
                <w:b/>
                <w:bCs/>
                <w:color w:val="000000"/>
                <w:sz w:val="20"/>
                <w:szCs w:val="18"/>
                <w:lang w:val="sr-Latn-RS" w:eastAsia="sr-Latn-RS"/>
              </w:rPr>
            </w:pPr>
            <w:r w:rsidRPr="0062207B">
              <w:rPr>
                <w:b/>
                <w:bCs/>
                <w:sz w:val="20"/>
                <w:szCs w:val="18"/>
              </w:rPr>
              <w:t>92.0%</w:t>
            </w:r>
          </w:p>
        </w:tc>
      </w:tr>
    </w:tbl>
    <w:p w14:paraId="2561E561" w14:textId="3FEDB3B9" w:rsidR="00E34A64" w:rsidRDefault="00E34A64" w:rsidP="00707723">
      <w:pPr>
        <w:rPr>
          <w:rFonts w:eastAsiaTheme="majorEastAsia" w:cstheme="majorBidi"/>
          <w:szCs w:val="24"/>
        </w:rPr>
      </w:pPr>
    </w:p>
    <w:p w14:paraId="444BC72F" w14:textId="0B5BF64D" w:rsidR="0084709D" w:rsidRDefault="00A36A5B" w:rsidP="00BF27C2">
      <w:pPr>
        <w:pStyle w:val="Heading2"/>
      </w:pPr>
      <w:bookmarkStart w:id="626" w:name="_Toc101274405"/>
      <w:r>
        <w:lastRenderedPageBreak/>
        <w:t>Decision tree algorithm</w:t>
      </w:r>
      <w:r w:rsidR="00180B3E">
        <w:t xml:space="preserve"> for binary classification</w:t>
      </w:r>
      <w:bookmarkEnd w:id="626"/>
    </w:p>
    <w:p w14:paraId="07525091" w14:textId="52EAC4F8" w:rsidR="0084709D" w:rsidRDefault="004909B8" w:rsidP="0084709D">
      <w:r>
        <w:t>A d</w:t>
      </w:r>
      <w:r w:rsidR="00196B0F">
        <w:t xml:space="preserve">ecision tree </w:t>
      </w:r>
      <w:r w:rsidR="009759B4">
        <w:t xml:space="preserve">is a </w:t>
      </w:r>
      <w:r w:rsidR="00F30F70">
        <w:t xml:space="preserve">non-parametric </w:t>
      </w:r>
      <w:r w:rsidR="00196B0F">
        <w:t>supervised</w:t>
      </w:r>
      <w:r w:rsidR="00F30F70">
        <w:t xml:space="preserve"> </w:t>
      </w:r>
      <w:r w:rsidR="00196B0F">
        <w:t>learning algorithm that can be used both for prediction properties</w:t>
      </w:r>
      <w:r>
        <w:t>,</w:t>
      </w:r>
      <w:r w:rsidR="00196B0F">
        <w:t xml:space="preserve"> of which prediction include</w:t>
      </w:r>
      <w:r w:rsidR="009759B4">
        <w:t>s</w:t>
      </w:r>
      <w:r w:rsidR="00196B0F">
        <w:t xml:space="preserve"> </w:t>
      </w:r>
      <w:r w:rsidR="009759B4">
        <w:t>–</w:t>
      </w:r>
      <w:r w:rsidR="00196B0F">
        <w:t xml:space="preserve"> classification and regression.</w:t>
      </w:r>
      <w:r w:rsidR="009759B4">
        <w:t xml:space="preserve"> Since the goal</w:t>
      </w:r>
      <w:r>
        <w:t>, in this case,</w:t>
      </w:r>
      <w:r w:rsidR="009759B4">
        <w:t xml:space="preserve"> is to distinguish between operating states</w:t>
      </w:r>
      <w:r>
        <w:t>,</w:t>
      </w:r>
      <w:r w:rsidR="009759B4">
        <w:t xml:space="preserve"> the algorithm is used for classification. In addition, the algorithm</w:t>
      </w:r>
      <w:r>
        <w:t>,</w:t>
      </w:r>
      <w:r w:rsidR="009759B4">
        <w:t xml:space="preserve"> just like naïve Bayes</w:t>
      </w:r>
      <w:r>
        <w:t>,</w:t>
      </w:r>
      <w:r w:rsidR="009759B4">
        <w:t xml:space="preserve"> can be used both for numerical and categorical classification. The algorithm consists </w:t>
      </w:r>
      <w:r>
        <w:t xml:space="preserve">of </w:t>
      </w:r>
      <w:r w:rsidR="009759B4">
        <w:t xml:space="preserve">elements – </w:t>
      </w:r>
      <w:r w:rsidR="009759B4" w:rsidRPr="00BE59E2">
        <w:rPr>
          <w:b/>
          <w:bCs/>
        </w:rPr>
        <w:t>nodes and lea</w:t>
      </w:r>
      <w:r>
        <w:rPr>
          <w:b/>
          <w:bCs/>
        </w:rPr>
        <w:t>ve</w:t>
      </w:r>
      <w:r w:rsidR="009759B4" w:rsidRPr="00BE59E2">
        <w:rPr>
          <w:b/>
          <w:bCs/>
        </w:rPr>
        <w:t>s</w:t>
      </w:r>
      <w:r w:rsidR="009759B4">
        <w:t xml:space="preserve">. The starting point of the algorithm is the </w:t>
      </w:r>
      <w:r w:rsidR="009759B4" w:rsidRPr="00BE59E2">
        <w:rPr>
          <w:b/>
          <w:bCs/>
        </w:rPr>
        <w:t>root node</w:t>
      </w:r>
      <w:r>
        <w:rPr>
          <w:b/>
          <w:bCs/>
        </w:rPr>
        <w:t>,</w:t>
      </w:r>
      <w:r w:rsidR="009759B4" w:rsidRPr="00BE59E2">
        <w:rPr>
          <w:b/>
          <w:bCs/>
        </w:rPr>
        <w:t xml:space="preserve"> </w:t>
      </w:r>
      <w:r w:rsidR="009759B4">
        <w:t xml:space="preserve">while every other node is called </w:t>
      </w:r>
      <w:r>
        <w:t xml:space="preserve">an </w:t>
      </w:r>
      <w:r w:rsidR="009759B4" w:rsidRPr="00BE59E2">
        <w:rPr>
          <w:b/>
          <w:bCs/>
        </w:rPr>
        <w:t>internal node</w:t>
      </w:r>
      <w:r w:rsidR="009759B4">
        <w:t>. The tree build</w:t>
      </w:r>
      <w:r>
        <w:t>s</w:t>
      </w:r>
      <w:r w:rsidR="009759B4">
        <w:t xml:space="preserve"> until it reaches a node with</w:t>
      </w:r>
      <w:r w:rsidR="00BE59E2">
        <w:t xml:space="preserve">out the need or inability to separate more. </w:t>
      </w:r>
      <w:r>
        <w:t>The f</w:t>
      </w:r>
      <w:r w:rsidR="00BE59E2">
        <w:t xml:space="preserve">inal nodes that </w:t>
      </w:r>
      <w:r>
        <w:t xml:space="preserve">the </w:t>
      </w:r>
      <w:r w:rsidR="00BE59E2">
        <w:t xml:space="preserve">algorithm reaches for making decisions are called </w:t>
      </w:r>
      <w:r w:rsidR="00BE59E2" w:rsidRPr="00BE59E2">
        <w:rPr>
          <w:b/>
          <w:bCs/>
        </w:rPr>
        <w:t>lea</w:t>
      </w:r>
      <w:r>
        <w:rPr>
          <w:b/>
          <w:bCs/>
        </w:rPr>
        <w:t>ve</w:t>
      </w:r>
      <w:r w:rsidR="00BE59E2" w:rsidRPr="00BE59E2">
        <w:rPr>
          <w:b/>
          <w:bCs/>
        </w:rPr>
        <w:t>s</w:t>
      </w:r>
      <w:r w:rsidR="00BE59E2">
        <w:t xml:space="preserve">. </w:t>
      </w:r>
      <w:r>
        <w:t>The first separation is done to the internal nodes from the root node,</w:t>
      </w:r>
      <w:r w:rsidR="001F2EE7">
        <w:t xml:space="preserve"> and the algorithm keeps track of the separation. </w:t>
      </w:r>
      <w:r w:rsidR="00F34362">
        <w:t xml:space="preserve">Looking at the algorithm and its classification </w:t>
      </w:r>
      <w:r w:rsidR="001F2EE7">
        <w:t>characteristics</w:t>
      </w:r>
      <w:r>
        <w:t>,</w:t>
      </w:r>
      <w:r w:rsidR="001F2EE7">
        <w:t xml:space="preserve"> </w:t>
      </w:r>
      <w:r w:rsidR="00F34362">
        <w:t>one may conclude that it</w:t>
      </w:r>
      <w:r w:rsidR="001F2EE7">
        <w:t xml:space="preserve"> behaves like an “IF-ELSE” algorithm</w:t>
      </w:r>
      <w:r w:rsidR="00F34362">
        <w:t xml:space="preserve">, which is true </w:t>
      </w:r>
      <w:r>
        <w:t>because</w:t>
      </w:r>
      <w:r w:rsidR="00F34362">
        <w:t xml:space="preserve"> it does separation based on logical terms.</w:t>
      </w:r>
      <w:r w:rsidR="002223FE">
        <w:t xml:space="preserve"> However, the algorithm includes elements of </w:t>
      </w:r>
      <w:r w:rsidR="002223FE">
        <w:rPr>
          <w:b/>
          <w:bCs/>
        </w:rPr>
        <w:t>impurity</w:t>
      </w:r>
      <w:r w:rsidR="002223FE">
        <w:t xml:space="preserve"> </w:t>
      </w:r>
      <w:r w:rsidR="001173FF">
        <w:t>or</w:t>
      </w:r>
      <w:r w:rsidR="002223FE">
        <w:t xml:space="preserve"> </w:t>
      </w:r>
      <w:r w:rsidR="00FF7CE1">
        <w:rPr>
          <w:b/>
          <w:bCs/>
        </w:rPr>
        <w:t>entropy</w:t>
      </w:r>
      <w:r w:rsidR="001173FF">
        <w:t xml:space="preserve"> for </w:t>
      </w:r>
      <w:r>
        <w:t>selecting</w:t>
      </w:r>
      <w:r w:rsidR="001173FF">
        <w:t xml:space="preserve"> top nodes</w:t>
      </w:r>
      <w:r w:rsidR="00FF7CE1">
        <w:t>.</w:t>
      </w:r>
      <w:r w:rsidR="00523582">
        <w:t xml:space="preserve"> </w:t>
      </w:r>
      <w:r w:rsidR="003D522C">
        <w:t>The</w:t>
      </w:r>
      <w:r w:rsidR="000213B2">
        <w:t xml:space="preserve"> impurity </w:t>
      </w:r>
      <w:r>
        <w:t>determines</w:t>
      </w:r>
      <w:r w:rsidR="00F2551D">
        <w:t xml:space="preserve"> which variable has the lowest impurity that can be used as a </w:t>
      </w:r>
      <w:r w:rsidR="003D522C" w:rsidRPr="003D522C">
        <w:rPr>
          <w:i/>
          <w:iCs/>
        </w:rPr>
        <w:t>“parent”</w:t>
      </w:r>
      <w:r w:rsidR="003D522C">
        <w:t xml:space="preserve"> </w:t>
      </w:r>
      <w:r w:rsidR="00F2551D">
        <w:t>node.</w:t>
      </w:r>
      <w:r w:rsidR="000213B2">
        <w:t xml:space="preserve"> </w:t>
      </w:r>
      <w:r w:rsidR="00D402D0">
        <w:t>There are different ways t</w:t>
      </w:r>
      <w:r>
        <w:t>o model</w:t>
      </w:r>
      <w:r w:rsidR="00D402D0">
        <w:t xml:space="preserve"> the impurity, but the most common one used is called </w:t>
      </w:r>
      <w:r w:rsidR="00D402D0">
        <w:rPr>
          <w:b/>
          <w:bCs/>
          <w:i/>
          <w:iCs/>
        </w:rPr>
        <w:t>GINI</w:t>
      </w:r>
      <w:r w:rsidR="00D402D0">
        <w:rPr>
          <w:i/>
          <w:iCs/>
        </w:rPr>
        <w:t xml:space="preserve"> </w:t>
      </w:r>
      <w:r w:rsidR="00D402D0" w:rsidRPr="00B9507D">
        <w:rPr>
          <w:i/>
          <w:iCs/>
        </w:rPr>
        <w:t>impurity</w:t>
      </w:r>
      <w:r w:rsidR="007B0C03">
        <w:rPr>
          <w:i/>
          <w:iCs/>
        </w:rPr>
        <w:t xml:space="preserve"> </w:t>
      </w:r>
      <w:r w:rsidR="007B0C03" w:rsidRPr="007B0C03">
        <w:t>(</w:t>
      </w:r>
      <w:r w:rsidR="007B0C03">
        <w:t>I</w:t>
      </w:r>
      <w:r w:rsidR="007B0C03">
        <w:rPr>
          <w:vertAlign w:val="subscript"/>
        </w:rPr>
        <w:t>G</w:t>
      </w:r>
      <w:r w:rsidR="007B0C03" w:rsidRPr="007B0C03">
        <w:t>)</w:t>
      </w:r>
      <w:r w:rsidR="00D402D0" w:rsidRPr="00D402D0">
        <w:rPr>
          <w:i/>
          <w:iC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5"/>
        <w:gridCol w:w="992"/>
      </w:tblGrid>
      <w:tr w:rsidR="000A3BD1" w14:paraId="7DB340E3" w14:textId="77777777" w:rsidTr="00524959">
        <w:tc>
          <w:tcPr>
            <w:tcW w:w="8025" w:type="dxa"/>
            <w:vAlign w:val="center"/>
          </w:tcPr>
          <w:p w14:paraId="0564B861" w14:textId="09587AFC" w:rsidR="00524959" w:rsidRPr="00524959" w:rsidRDefault="00427B33" w:rsidP="00524959">
            <w:pPr>
              <w:jc w:val="center"/>
              <w:rPr>
                <w:rFonts w:eastAsiaTheme="minorEastAsia"/>
              </w:rPr>
            </w:pPr>
            <m:oMath>
              <m:sSub>
                <m:sSubPr>
                  <m:ctrlPr>
                    <w:rPr>
                      <w:rFonts w:ascii="Cambria Math" w:hAnsi="Cambria Math"/>
                      <w:i/>
                    </w:rPr>
                  </m:ctrlPr>
                </m:sSubPr>
                <m:e>
                  <m:r>
                    <w:rPr>
                      <w:rFonts w:ascii="Cambria Math" w:hAnsi="Cambria Math"/>
                    </w:rPr>
                    <m:t>I</m:t>
                  </m:r>
                </m:e>
                <m:sub>
                  <m:r>
                    <w:rPr>
                      <w:rFonts w:ascii="Cambria Math" w:hAnsi="Cambria Math"/>
                    </w:rPr>
                    <m:t>G</m:t>
                  </m:r>
                </m:sub>
              </m:sSub>
              <m:r>
                <w:rPr>
                  <w:rFonts w:ascii="Cambria Math" w:hAnsi="Cambria Math"/>
                </w:rPr>
                <m:t>=1-</m:t>
              </m:r>
              <m:nary>
                <m:naryPr>
                  <m:chr m:val="∑"/>
                  <m:limLoc m:val="undOvr"/>
                  <m:ctrlPr>
                    <w:rPr>
                      <w:rFonts w:ascii="Cambria Math" w:hAnsi="Cambria Math"/>
                      <w:i/>
                    </w:rPr>
                  </m:ctrlPr>
                </m:naryPr>
                <m:sub>
                  <m:r>
                    <w:rPr>
                      <w:rFonts w:ascii="Cambria Math" w:hAnsi="Cambria Math"/>
                    </w:rPr>
                    <m:t>j=1</m:t>
                  </m:r>
                </m:sub>
                <m:sup>
                  <m:r>
                    <w:rPr>
                      <w:rFonts w:ascii="Cambria Math" w:hAnsi="Cambria Math"/>
                    </w:rPr>
                    <m:t>s</m:t>
                  </m:r>
                </m:sup>
                <m:e>
                  <m:sSubSup>
                    <m:sSubSupPr>
                      <m:ctrlPr>
                        <w:rPr>
                          <w:rFonts w:ascii="Cambria Math" w:hAnsi="Cambria Math"/>
                          <w:i/>
                        </w:rPr>
                      </m:ctrlPr>
                    </m:sSubSupPr>
                    <m:e>
                      <m:r>
                        <w:rPr>
                          <w:rFonts w:ascii="Cambria Math" w:hAnsi="Cambria Math"/>
                        </w:rPr>
                        <m:t>p</m:t>
                      </m:r>
                    </m:e>
                    <m:sub>
                      <m:r>
                        <w:rPr>
                          <w:rFonts w:ascii="Cambria Math" w:hAnsi="Cambria Math"/>
                        </w:rPr>
                        <m:t>j</m:t>
                      </m:r>
                    </m:sub>
                    <m:sup>
                      <m:r>
                        <w:rPr>
                          <w:rFonts w:ascii="Cambria Math" w:hAnsi="Cambria Math"/>
                        </w:rPr>
                        <m:t>2</m:t>
                      </m:r>
                    </m:sup>
                  </m:sSubSup>
                </m:e>
              </m:nary>
            </m:oMath>
            <w:r w:rsidR="00524959">
              <w:rPr>
                <w:rFonts w:eastAsiaTheme="minorEastAsia"/>
              </w:rPr>
              <w:t>, or specifically</w:t>
            </w:r>
          </w:p>
          <w:p w14:paraId="3BBB1636" w14:textId="73450D61" w:rsidR="000A3BD1" w:rsidRDefault="00427B33" w:rsidP="00524959">
            <w:pPr>
              <w:jc w:val="center"/>
            </w:pPr>
            <m:oMathPara>
              <m:oMath>
                <m:sSub>
                  <m:sSubPr>
                    <m:ctrlPr>
                      <w:rPr>
                        <w:rFonts w:ascii="Cambria Math" w:hAnsi="Cambria Math"/>
                        <w:i/>
                      </w:rPr>
                    </m:ctrlPr>
                  </m:sSubPr>
                  <m:e>
                    <m:r>
                      <w:rPr>
                        <w:rFonts w:ascii="Cambria Math" w:hAnsi="Cambria Math"/>
                      </w:rPr>
                      <m:t>I</m:t>
                    </m:r>
                  </m:e>
                  <m:sub>
                    <m:r>
                      <w:rPr>
                        <w:rFonts w:ascii="Cambria Math" w:hAnsi="Cambria Math"/>
                      </w:rPr>
                      <m:t>G</m:t>
                    </m:r>
                  </m:sub>
                </m:sSub>
                <m:r>
                  <w:rPr>
                    <w:rFonts w:ascii="Cambria Math" w:hAnsi="Cambria Math"/>
                  </w:rPr>
                  <m:t>=1-</m:t>
                </m:r>
                <m:sSup>
                  <m:sSupPr>
                    <m:ctrlPr>
                      <w:rPr>
                        <w:rFonts w:ascii="Cambria Math" w:hAnsi="Cambria Math"/>
                        <w:i/>
                      </w:rPr>
                    </m:ctrlPr>
                  </m:sSupPr>
                  <m:e>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ab</m:t>
                            </m:r>
                          </m:sub>
                        </m:sSub>
                      </m:e>
                    </m:d>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P(</m:t>
                    </m:r>
                    <m:sSub>
                      <m:sSubPr>
                        <m:ctrlPr>
                          <w:rPr>
                            <w:rFonts w:ascii="Cambria Math" w:hAnsi="Cambria Math"/>
                            <w:i/>
                          </w:rPr>
                        </m:ctrlPr>
                      </m:sSubPr>
                      <m:e>
                        <m:r>
                          <w:rPr>
                            <w:rFonts w:ascii="Cambria Math" w:hAnsi="Cambria Math"/>
                          </w:rPr>
                          <m:t>y</m:t>
                        </m:r>
                      </m:e>
                      <m:sub>
                        <m:r>
                          <w:rPr>
                            <w:rFonts w:ascii="Cambria Math" w:hAnsi="Cambria Math"/>
                          </w:rPr>
                          <m:t>cd</m:t>
                        </m:r>
                      </m:sub>
                    </m:sSub>
                    <m:r>
                      <w:rPr>
                        <w:rFonts w:ascii="Cambria Math" w:hAnsi="Cambria Math"/>
                      </w:rPr>
                      <m:t>)</m:t>
                    </m:r>
                  </m:e>
                  <m:sup>
                    <m:r>
                      <w:rPr>
                        <w:rFonts w:ascii="Cambria Math" w:hAnsi="Cambria Math"/>
                      </w:rPr>
                      <m:t>2</m:t>
                    </m:r>
                  </m:sup>
                </m:sSup>
              </m:oMath>
            </m:oMathPara>
          </w:p>
        </w:tc>
        <w:tc>
          <w:tcPr>
            <w:tcW w:w="992" w:type="dxa"/>
            <w:vAlign w:val="center"/>
          </w:tcPr>
          <w:p w14:paraId="134FF694" w14:textId="3D08EBED" w:rsidR="000A3BD1" w:rsidRDefault="002C693A" w:rsidP="00524959">
            <w:pPr>
              <w:jc w:val="right"/>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36</w:t>
            </w:r>
            <w:r w:rsidR="00427B33">
              <w:rPr>
                <w:noProof/>
              </w:rPr>
              <w:fldChar w:fldCharType="end"/>
            </w:r>
            <w:r>
              <w:t>)</w:t>
            </w:r>
          </w:p>
        </w:tc>
      </w:tr>
    </w:tbl>
    <w:p w14:paraId="2678D430" w14:textId="7E60BC1D" w:rsidR="005A5175" w:rsidRDefault="00AF05C4" w:rsidP="0084709D">
      <w:r>
        <w:t>given that both resulted cla</w:t>
      </w:r>
      <w:r w:rsidR="004909B8">
        <w:t>s</w:t>
      </w:r>
      <w:r>
        <w:t>sifications (y</w:t>
      </w:r>
      <w:r w:rsidR="0092319A">
        <w:rPr>
          <w:vertAlign w:val="subscript"/>
        </w:rPr>
        <w:t>ab</w:t>
      </w:r>
      <w:r>
        <w:t>; y</w:t>
      </w:r>
      <w:r w:rsidR="0092319A">
        <w:rPr>
          <w:vertAlign w:val="subscript"/>
        </w:rPr>
        <w:t>cd</w:t>
      </w:r>
      <w:r>
        <w:t>) consist of resulting classification y</w:t>
      </w:r>
      <w:r>
        <w:rPr>
          <w:i/>
          <w:iCs/>
          <w:vertAlign w:val="subscript"/>
        </w:rPr>
        <w:t>i</w:t>
      </w:r>
      <w:r>
        <w:t xml:space="preserve"> = {</w:t>
      </w:r>
      <w:r>
        <w:rPr>
          <w:i/>
          <w:iCs/>
        </w:rPr>
        <w:t>x</w:t>
      </w:r>
      <w:r w:rsidR="00B70850">
        <w:rPr>
          <w:i/>
          <w:iCs/>
          <w:vertAlign w:val="subscript"/>
        </w:rPr>
        <w:t>a</w:t>
      </w:r>
      <w:r>
        <w:t xml:space="preserve"> ; </w:t>
      </w:r>
      <w:r>
        <w:rPr>
          <w:i/>
          <w:iCs/>
        </w:rPr>
        <w:t>x</w:t>
      </w:r>
      <w:r w:rsidR="00B70850">
        <w:rPr>
          <w:i/>
          <w:iCs/>
          <w:vertAlign w:val="subscript"/>
        </w:rPr>
        <w:t>b</w:t>
      </w:r>
      <w:r>
        <w:t>}</w:t>
      </w:r>
      <w:r w:rsidR="00F85D6E">
        <w:t xml:space="preserve"> and y</w:t>
      </w:r>
      <w:r w:rsidR="00F85D6E">
        <w:rPr>
          <w:i/>
          <w:iCs/>
          <w:vertAlign w:val="subscript"/>
        </w:rPr>
        <w:t>i</w:t>
      </w:r>
      <w:r w:rsidR="00F85D6E">
        <w:t xml:space="preserve"> = {</w:t>
      </w:r>
      <w:r w:rsidR="00F85D6E">
        <w:rPr>
          <w:i/>
          <w:iCs/>
        </w:rPr>
        <w:t>x</w:t>
      </w:r>
      <w:r w:rsidR="00B70850">
        <w:rPr>
          <w:i/>
          <w:iCs/>
          <w:vertAlign w:val="subscript"/>
        </w:rPr>
        <w:t>c</w:t>
      </w:r>
      <w:r w:rsidR="00F85D6E">
        <w:t xml:space="preserve"> ; </w:t>
      </w:r>
      <w:r w:rsidR="00F85D6E">
        <w:rPr>
          <w:i/>
          <w:iCs/>
        </w:rPr>
        <w:t>x</w:t>
      </w:r>
      <w:r w:rsidR="00B70850">
        <w:rPr>
          <w:i/>
          <w:iCs/>
          <w:vertAlign w:val="subscript"/>
        </w:rPr>
        <w:t>d</w:t>
      </w:r>
      <w:r w:rsidR="00F85D6E">
        <w:t xml:space="preserve">}. </w:t>
      </w:r>
      <w:r w:rsidR="0092319A">
        <w:t xml:space="preserve">Hence, going from </w:t>
      </w:r>
      <w:r w:rsidR="004909B8">
        <w:t xml:space="preserve">the </w:t>
      </w:r>
      <w:r w:rsidR="0092319A">
        <w:t xml:space="preserve">raw dataset to </w:t>
      </w:r>
      <w:r w:rsidR="004909B8">
        <w:t xml:space="preserve">the </w:t>
      </w:r>
      <w:r w:rsidR="0092319A">
        <w:t>decision tree, we first d</w:t>
      </w:r>
      <w:r w:rsidR="004909B8">
        <w:t>id</w:t>
      </w:r>
      <w:r w:rsidR="0092319A">
        <w:t xml:space="preserve"> the selection of the top node (root) by calculating </w:t>
      </w:r>
      <w:r w:rsidR="004909B8">
        <w:t xml:space="preserve">the </w:t>
      </w:r>
      <w:r w:rsidR="0092319A">
        <w:t xml:space="preserve">weighted </w:t>
      </w:r>
      <w:r w:rsidR="004909B8">
        <w:t>G</w:t>
      </w:r>
      <w:r w:rsidR="0092319A">
        <w:t xml:space="preserve">ini impurity </w:t>
      </w:r>
      <w:r w:rsidR="00EB6FD0">
        <w:t xml:space="preserve">score </w:t>
      </w:r>
      <w:r w:rsidR="0092319A">
        <w:t xml:space="preserve">for each array of </w:t>
      </w:r>
      <w:r w:rsidR="004909B8">
        <w:t xml:space="preserve">an </w:t>
      </w:r>
      <w:r w:rsidR="0092319A">
        <w:t>exploratory variable.</w:t>
      </w:r>
      <w:r w:rsidR="00EB6FD0">
        <w:t xml:space="preserve"> </w:t>
      </w:r>
      <w:r w:rsidR="004909B8">
        <w:t>Each variable's best score of Gini impurity</w:t>
      </w:r>
      <w:r w:rsidR="00EB6FD0">
        <w:t xml:space="preserve"> is then compared, and the </w:t>
      </w:r>
      <w:r w:rsidR="00F20446">
        <w:t>lowest</w:t>
      </w:r>
      <w:r w:rsidR="00EB6FD0">
        <w:t xml:space="preserve"> score is set as the top (root) node. </w:t>
      </w:r>
      <w:r w:rsidR="00196AAE">
        <w:t>Hence, for every variable the classification is done</w:t>
      </w:r>
      <w:r w:rsidR="004909B8">
        <w:t>, the values are represented for each</w:t>
      </w:r>
      <w:r w:rsidR="00196AAE">
        <w:t xml:space="preserve"> accuracy and wrong classification (</w:t>
      </w:r>
      <w:r w:rsidR="008E3213">
        <w:fldChar w:fldCharType="begin"/>
      </w:r>
      <w:r w:rsidR="008E3213">
        <w:instrText xml:space="preserve"> REF _Ref99104542 \h </w:instrText>
      </w:r>
      <w:r w:rsidR="008E3213">
        <w:fldChar w:fldCharType="separate"/>
      </w:r>
      <w:r w:rsidR="00587AF0">
        <w:t xml:space="preserve">Figure </w:t>
      </w:r>
      <w:r w:rsidR="00587AF0">
        <w:rPr>
          <w:noProof/>
        </w:rPr>
        <w:t>107</w:t>
      </w:r>
      <w:r w:rsidR="008E3213">
        <w:fldChar w:fldCharType="end"/>
      </w:r>
      <w:r w:rsidR="00196AAE">
        <w:t>).</w:t>
      </w:r>
    </w:p>
    <w:p w14:paraId="5E995ABF" w14:textId="5EAFCBF1" w:rsidR="009759B4" w:rsidRDefault="00AF05C4" w:rsidP="00B45AB0">
      <w:pPr>
        <w:jc w:val="center"/>
      </w:pPr>
      <w:r w:rsidRPr="00AF05C4">
        <w:rPr>
          <w:noProof/>
        </w:rPr>
        <w:drawing>
          <wp:inline distT="0" distB="0" distL="0" distR="0" wp14:anchorId="17309550" wp14:editId="612799B8">
            <wp:extent cx="5657850" cy="3950529"/>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65210" cy="3955668"/>
                    </a:xfrm>
                    <a:prstGeom prst="rect">
                      <a:avLst/>
                    </a:prstGeom>
                    <a:noFill/>
                    <a:ln>
                      <a:noFill/>
                    </a:ln>
                  </pic:spPr>
                </pic:pic>
              </a:graphicData>
            </a:graphic>
          </wp:inline>
        </w:drawing>
      </w:r>
    </w:p>
    <w:p w14:paraId="554D4B8D" w14:textId="26431DDC" w:rsidR="008C7323" w:rsidRDefault="009759B4" w:rsidP="009759B4">
      <w:pPr>
        <w:pStyle w:val="Caption"/>
      </w:pPr>
      <w:bookmarkStart w:id="627" w:name="_Toc101274628"/>
      <w:r>
        <w:t xml:space="preserve">Figure </w:t>
      </w:r>
      <w:fldSimple w:instr=" SEQ Figure \* ARABIC ">
        <w:r w:rsidR="00587AF0">
          <w:rPr>
            <w:noProof/>
          </w:rPr>
          <w:t>106</w:t>
        </w:r>
      </w:fldSimple>
      <w:r>
        <w:t>. Graphical representation of decision tree algorithm</w:t>
      </w:r>
      <w:bookmarkEnd w:id="627"/>
    </w:p>
    <w:p w14:paraId="7B84CEC3" w14:textId="2656B746" w:rsidR="005A5175" w:rsidRDefault="00186430">
      <w:pPr>
        <w:spacing w:before="0" w:after="160" w:line="259" w:lineRule="auto"/>
        <w:jc w:val="left"/>
      </w:pPr>
      <w:r>
        <w:lastRenderedPageBreak/>
        <w:t xml:space="preserve">Calculating </w:t>
      </w:r>
      <w:r w:rsidR="004909B8">
        <w:t>G</w:t>
      </w:r>
      <w:r>
        <w:t xml:space="preserve">ini impurity for the given variable </w:t>
      </w:r>
      <w:r>
        <w:rPr>
          <w:i/>
          <w:iCs/>
        </w:rPr>
        <w:t>x</w:t>
      </w:r>
      <w:r>
        <w:t xml:space="preserve"> is done </w:t>
      </w:r>
      <w:r w:rsidR="00F85350">
        <w:t>as</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5"/>
        <w:gridCol w:w="992"/>
      </w:tblGrid>
      <w:tr w:rsidR="00186430" w14:paraId="234D2910" w14:textId="77777777" w:rsidTr="00043DEB">
        <w:tc>
          <w:tcPr>
            <w:tcW w:w="8025" w:type="dxa"/>
          </w:tcPr>
          <w:p w14:paraId="7CB3F8B1" w14:textId="36847A8F" w:rsidR="00186430" w:rsidRDefault="00427B33" w:rsidP="00CC5DAD">
            <w:pPr>
              <w:jc w:val="center"/>
            </w:pPr>
            <m:oMath>
              <m:sSub>
                <m:sSubPr>
                  <m:ctrlPr>
                    <w:rPr>
                      <w:rFonts w:ascii="Cambria Math" w:hAnsi="Cambria Math"/>
                      <w:i/>
                    </w:rPr>
                  </m:ctrlPr>
                </m:sSubPr>
                <m:e>
                  <m:sSub>
                    <m:sSubPr>
                      <m:ctrlPr>
                        <w:rPr>
                          <w:rFonts w:ascii="Cambria Math" w:hAnsi="Cambria Math"/>
                          <w:i/>
                        </w:rPr>
                      </m:ctrlPr>
                    </m:sSubPr>
                    <m:e>
                      <m:r>
                        <w:rPr>
                          <w:rFonts w:ascii="Cambria Math" w:hAnsi="Cambria Math"/>
                        </w:rPr>
                        <m:t>I</m:t>
                      </m:r>
                    </m:e>
                    <m:sub>
                      <m:r>
                        <w:rPr>
                          <w:rFonts w:ascii="Cambria Math" w:hAnsi="Cambria Math"/>
                        </w:rPr>
                        <m:t>G</m:t>
                      </m:r>
                    </m:sub>
                  </m:sSub>
                </m:e>
                <m:sub>
                  <m:sSub>
                    <m:sSubPr>
                      <m:ctrlPr>
                        <w:rPr>
                          <w:rFonts w:ascii="Cambria Math" w:hAnsi="Cambria Math"/>
                          <w:i/>
                        </w:rPr>
                      </m:ctrlPr>
                    </m:sSubPr>
                    <m:e>
                      <m:r>
                        <w:rPr>
                          <w:rFonts w:ascii="Cambria Math" w:hAnsi="Cambria Math"/>
                        </w:rPr>
                        <m:t>x</m:t>
                      </m:r>
                    </m:e>
                    <m:sub>
                      <m:r>
                        <w:rPr>
                          <w:rFonts w:ascii="Cambria Math" w:hAnsi="Cambria Math"/>
                        </w:rPr>
                        <m:t>ab</m:t>
                      </m:r>
                    </m:sub>
                  </m:sSub>
                </m:sub>
              </m:sSub>
              <m:r>
                <w:rPr>
                  <w:rFonts w:ascii="Cambria Math" w:hAnsi="Cambria Math"/>
                </w:rPr>
                <m:t>=1-</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a+b</m:t>
                          </m:r>
                        </m:den>
                      </m:f>
                    </m:e>
                  </m:d>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a+b</m:t>
                      </m:r>
                    </m:den>
                  </m:f>
                  <m:r>
                    <w:rPr>
                      <w:rFonts w:ascii="Cambria Math" w:hAnsi="Cambria Math"/>
                    </w:rPr>
                    <m:t>)</m:t>
                  </m:r>
                </m:e>
                <m:sup>
                  <m:r>
                    <w:rPr>
                      <w:rFonts w:ascii="Cambria Math" w:hAnsi="Cambria Math"/>
                    </w:rPr>
                    <m:t>2</m:t>
                  </m:r>
                </m:sup>
              </m:sSup>
            </m:oMath>
            <w:r w:rsidR="000B102C">
              <w:rPr>
                <w:rFonts w:eastAsiaTheme="minorEastAsia"/>
              </w:rPr>
              <w:t>,</w:t>
            </w:r>
          </w:p>
        </w:tc>
        <w:tc>
          <w:tcPr>
            <w:tcW w:w="992" w:type="dxa"/>
            <w:vAlign w:val="center"/>
          </w:tcPr>
          <w:p w14:paraId="1F588E05" w14:textId="3E2F46C5" w:rsidR="00186430" w:rsidRDefault="00043DEB" w:rsidP="00043DEB">
            <w:pPr>
              <w:jc w:val="right"/>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37</w:t>
            </w:r>
            <w:r w:rsidR="00427B33">
              <w:rPr>
                <w:noProof/>
              </w:rPr>
              <w:fldChar w:fldCharType="end"/>
            </w:r>
            <w:r>
              <w:t>)</w:t>
            </w:r>
          </w:p>
        </w:tc>
      </w:tr>
      <w:tr w:rsidR="00186430" w14:paraId="2443717B" w14:textId="77777777" w:rsidTr="001864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5" w:type="dxa"/>
            <w:tcBorders>
              <w:top w:val="nil"/>
              <w:left w:val="nil"/>
              <w:bottom w:val="nil"/>
              <w:right w:val="nil"/>
            </w:tcBorders>
            <w:vAlign w:val="center"/>
          </w:tcPr>
          <w:p w14:paraId="5D3C4FB8" w14:textId="2D58E1EA" w:rsidR="00186430" w:rsidRDefault="00427B33" w:rsidP="00186430">
            <w:pPr>
              <w:jc w:val="center"/>
            </w:pPr>
            <m:oMath>
              <m:sSub>
                <m:sSubPr>
                  <m:ctrlPr>
                    <w:rPr>
                      <w:rFonts w:ascii="Cambria Math" w:hAnsi="Cambria Math"/>
                      <w:i/>
                    </w:rPr>
                  </m:ctrlPr>
                </m:sSubPr>
                <m:e>
                  <m:sSub>
                    <m:sSubPr>
                      <m:ctrlPr>
                        <w:rPr>
                          <w:rFonts w:ascii="Cambria Math" w:hAnsi="Cambria Math"/>
                          <w:i/>
                        </w:rPr>
                      </m:ctrlPr>
                    </m:sSubPr>
                    <m:e>
                      <m:r>
                        <w:rPr>
                          <w:rFonts w:ascii="Cambria Math" w:hAnsi="Cambria Math"/>
                        </w:rPr>
                        <m:t>I</m:t>
                      </m:r>
                    </m:e>
                    <m:sub>
                      <m:r>
                        <w:rPr>
                          <w:rFonts w:ascii="Cambria Math" w:hAnsi="Cambria Math"/>
                        </w:rPr>
                        <m:t>G</m:t>
                      </m:r>
                    </m:sub>
                  </m:sSub>
                </m:e>
                <m:sub>
                  <m:sSub>
                    <m:sSubPr>
                      <m:ctrlPr>
                        <w:rPr>
                          <w:rFonts w:ascii="Cambria Math" w:hAnsi="Cambria Math"/>
                          <w:i/>
                        </w:rPr>
                      </m:ctrlPr>
                    </m:sSubPr>
                    <m:e>
                      <m:r>
                        <w:rPr>
                          <w:rFonts w:ascii="Cambria Math" w:hAnsi="Cambria Math"/>
                        </w:rPr>
                        <m:t>x</m:t>
                      </m:r>
                    </m:e>
                    <m:sub>
                      <m:r>
                        <w:rPr>
                          <w:rFonts w:ascii="Cambria Math" w:hAnsi="Cambria Math"/>
                        </w:rPr>
                        <m:t>cd</m:t>
                      </m:r>
                    </m:sub>
                  </m:sSub>
                </m:sub>
              </m:sSub>
              <m:r>
                <w:rPr>
                  <w:rFonts w:ascii="Cambria Math" w:hAnsi="Cambria Math"/>
                </w:rPr>
                <m:t>=1-</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c</m:t>
                          </m:r>
                        </m:num>
                        <m:den>
                          <m:r>
                            <w:rPr>
                              <w:rFonts w:ascii="Cambria Math" w:hAnsi="Cambria Math"/>
                            </w:rPr>
                            <m:t>c+d</m:t>
                          </m:r>
                        </m:den>
                      </m:f>
                    </m:e>
                  </m:d>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d</m:t>
                      </m:r>
                    </m:num>
                    <m:den>
                      <m:r>
                        <w:rPr>
                          <w:rFonts w:ascii="Cambria Math" w:hAnsi="Cambria Math"/>
                        </w:rPr>
                        <m:t>c+d</m:t>
                      </m:r>
                    </m:den>
                  </m:f>
                  <m:r>
                    <w:rPr>
                      <w:rFonts w:ascii="Cambria Math" w:hAnsi="Cambria Math"/>
                    </w:rPr>
                    <m:t>)</m:t>
                  </m:r>
                </m:e>
                <m:sup>
                  <m:r>
                    <w:rPr>
                      <w:rFonts w:ascii="Cambria Math" w:hAnsi="Cambria Math"/>
                    </w:rPr>
                    <m:t>2</m:t>
                  </m:r>
                </m:sup>
              </m:sSup>
            </m:oMath>
            <w:r w:rsidR="000B102C">
              <w:rPr>
                <w:rFonts w:eastAsiaTheme="minorEastAsia"/>
              </w:rPr>
              <w:t>,</w:t>
            </w:r>
          </w:p>
        </w:tc>
        <w:tc>
          <w:tcPr>
            <w:tcW w:w="992" w:type="dxa"/>
            <w:tcBorders>
              <w:top w:val="nil"/>
              <w:left w:val="nil"/>
              <w:bottom w:val="nil"/>
              <w:right w:val="nil"/>
            </w:tcBorders>
            <w:vAlign w:val="center"/>
          </w:tcPr>
          <w:p w14:paraId="6DCB1DCF" w14:textId="6501BB43" w:rsidR="00186430" w:rsidRDefault="00043DEB" w:rsidP="00186430">
            <w:pPr>
              <w:jc w:val="right"/>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38</w:t>
            </w:r>
            <w:r w:rsidR="00427B33">
              <w:rPr>
                <w:noProof/>
              </w:rPr>
              <w:fldChar w:fldCharType="end"/>
            </w:r>
            <w:r>
              <w:t>)</w:t>
            </w:r>
          </w:p>
        </w:tc>
      </w:tr>
    </w:tbl>
    <w:p w14:paraId="6BD3D976" w14:textId="4EF8F393" w:rsidR="00186430" w:rsidRDefault="00CB5DDD" w:rsidP="00186430">
      <w:r>
        <w:t>where we get initial GINI impurity</w:t>
      </w:r>
      <w:r w:rsidR="004909B8">
        <w:t>;</w:t>
      </w:r>
      <w:r>
        <w:t xml:space="preserve"> however, since we usually do not pose the same amount of classification data  N(a, b) ≠ N(c, d), then </w:t>
      </w:r>
      <w:r w:rsidR="006132BF">
        <w:t>we need to calculate the weighted average: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5"/>
        <w:gridCol w:w="992"/>
      </w:tblGrid>
      <w:tr w:rsidR="00CB5DDD" w14:paraId="1F2FD4F7" w14:textId="77777777" w:rsidTr="00CB5DDD">
        <w:tc>
          <w:tcPr>
            <w:tcW w:w="8025" w:type="dxa"/>
            <w:vAlign w:val="center"/>
          </w:tcPr>
          <w:p w14:paraId="021C60CC" w14:textId="53CEF8F9" w:rsidR="00CB5DDD" w:rsidRDefault="006132BF" w:rsidP="00CB5DDD">
            <w:pPr>
              <w:jc w:val="center"/>
            </w:pPr>
            <m:oMath>
              <m:r>
                <w:rPr>
                  <w:rFonts w:ascii="Cambria Math" w:hAnsi="Cambria Math"/>
                </w:rPr>
                <m:t>Weighted</m:t>
              </m:r>
              <m:d>
                <m:dPr>
                  <m:ctrlPr>
                    <w:rPr>
                      <w:rFonts w:ascii="Cambria Math" w:hAnsi="Cambria Math"/>
                      <w:i/>
                    </w:rPr>
                  </m:ctrlPr>
                </m:dPr>
                <m:e>
                  <m:sSub>
                    <m:sSubPr>
                      <m:ctrlPr>
                        <w:rPr>
                          <w:rFonts w:ascii="Cambria Math" w:hAnsi="Cambria Math"/>
                          <w:i/>
                        </w:rPr>
                      </m:ctrlPr>
                    </m:sSubPr>
                    <m:e>
                      <m:sSub>
                        <m:sSubPr>
                          <m:ctrlPr>
                            <w:rPr>
                              <w:rFonts w:ascii="Cambria Math" w:hAnsi="Cambria Math"/>
                              <w:i/>
                            </w:rPr>
                          </m:ctrlPr>
                        </m:sSubPr>
                        <m:e>
                          <m:r>
                            <w:rPr>
                              <w:rFonts w:ascii="Cambria Math" w:hAnsi="Cambria Math"/>
                            </w:rPr>
                            <m:t>I</m:t>
                          </m:r>
                        </m:e>
                        <m:sub>
                          <m:r>
                            <w:rPr>
                              <w:rFonts w:ascii="Cambria Math" w:hAnsi="Cambria Math"/>
                            </w:rPr>
                            <m:t>G</m:t>
                          </m:r>
                        </m:sub>
                      </m:sSub>
                    </m:e>
                    <m:sub>
                      <m:sSub>
                        <m:sSubPr>
                          <m:ctrlPr>
                            <w:rPr>
                              <w:rFonts w:ascii="Cambria Math" w:hAnsi="Cambria Math"/>
                              <w:i/>
                            </w:rPr>
                          </m:ctrlPr>
                        </m:sSubPr>
                        <m:e>
                          <m:r>
                            <w:rPr>
                              <w:rFonts w:ascii="Cambria Math" w:hAnsi="Cambria Math"/>
                            </w:rPr>
                            <m:t>x</m:t>
                          </m:r>
                        </m:e>
                        <m:sub>
                          <m:r>
                            <w:rPr>
                              <w:rFonts w:ascii="Cambria Math" w:hAnsi="Cambria Math"/>
                            </w:rPr>
                            <m:t>i</m:t>
                          </m:r>
                        </m:sub>
                      </m:sSub>
                    </m:sub>
                  </m:sSub>
                </m:e>
              </m:d>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a+b</m:t>
                      </m:r>
                    </m:num>
                    <m:den>
                      <m:r>
                        <w:rPr>
                          <w:rFonts w:ascii="Cambria Math" w:hAnsi="Cambria Math"/>
                        </w:rPr>
                        <m:t>a+b+c+d</m:t>
                      </m:r>
                    </m:den>
                  </m:f>
                </m:e>
              </m:d>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I</m:t>
                      </m:r>
                    </m:e>
                    <m:sub>
                      <m:r>
                        <w:rPr>
                          <w:rFonts w:ascii="Cambria Math" w:hAnsi="Cambria Math"/>
                        </w:rPr>
                        <m:t>G</m:t>
                      </m:r>
                    </m:sub>
                  </m:sSub>
                </m:e>
                <m:sub>
                  <m:sSub>
                    <m:sSubPr>
                      <m:ctrlPr>
                        <w:rPr>
                          <w:rFonts w:ascii="Cambria Math" w:hAnsi="Cambria Math"/>
                          <w:i/>
                        </w:rPr>
                      </m:ctrlPr>
                    </m:sSubPr>
                    <m:e>
                      <m:r>
                        <w:rPr>
                          <w:rFonts w:ascii="Cambria Math" w:hAnsi="Cambria Math"/>
                        </w:rPr>
                        <m:t>x</m:t>
                      </m:r>
                    </m:e>
                    <m:sub>
                      <m:r>
                        <w:rPr>
                          <w:rFonts w:ascii="Cambria Math" w:hAnsi="Cambria Math"/>
                        </w:rPr>
                        <m:t>ab</m:t>
                      </m:r>
                    </m:sub>
                  </m:sSub>
                </m:sub>
              </m:sSub>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c+d</m:t>
                      </m:r>
                    </m:num>
                    <m:den>
                      <m:r>
                        <w:rPr>
                          <w:rFonts w:ascii="Cambria Math" w:hAnsi="Cambria Math"/>
                        </w:rPr>
                        <m:t>a+b+c+d</m:t>
                      </m:r>
                    </m:den>
                  </m:f>
                </m:e>
              </m:d>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I</m:t>
                      </m:r>
                    </m:e>
                    <m:sub>
                      <m:r>
                        <w:rPr>
                          <w:rFonts w:ascii="Cambria Math" w:hAnsi="Cambria Math"/>
                        </w:rPr>
                        <m:t>G</m:t>
                      </m:r>
                    </m:sub>
                  </m:sSub>
                </m:e>
                <m:sub>
                  <m:sSub>
                    <m:sSubPr>
                      <m:ctrlPr>
                        <w:rPr>
                          <w:rFonts w:ascii="Cambria Math" w:hAnsi="Cambria Math"/>
                          <w:i/>
                        </w:rPr>
                      </m:ctrlPr>
                    </m:sSubPr>
                    <m:e>
                      <m:r>
                        <w:rPr>
                          <w:rFonts w:ascii="Cambria Math" w:hAnsi="Cambria Math"/>
                        </w:rPr>
                        <m:t>x</m:t>
                      </m:r>
                    </m:e>
                    <m:sub>
                      <m:r>
                        <w:rPr>
                          <w:rFonts w:ascii="Cambria Math" w:hAnsi="Cambria Math"/>
                        </w:rPr>
                        <m:t>cd</m:t>
                      </m:r>
                    </m:sub>
                  </m:sSub>
                </m:sub>
              </m:sSub>
            </m:oMath>
            <w:r w:rsidR="00CB5DDD">
              <w:rPr>
                <w:rFonts w:eastAsiaTheme="minorEastAsia"/>
              </w:rPr>
              <w:t>,</w:t>
            </w:r>
          </w:p>
        </w:tc>
        <w:tc>
          <w:tcPr>
            <w:tcW w:w="992" w:type="dxa"/>
            <w:vAlign w:val="center"/>
          </w:tcPr>
          <w:p w14:paraId="15BA17CD" w14:textId="50F6F7CE" w:rsidR="00CB5DDD" w:rsidRDefault="00043DEB" w:rsidP="00CB5DDD">
            <w:pPr>
              <w:jc w:val="right"/>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w:instrText>
            </w:r>
            <w:r w:rsidR="00427B33">
              <w:instrText xml:space="preserve">quation \* ARABIC \s 1 </w:instrText>
            </w:r>
            <w:r w:rsidR="00427B33">
              <w:fldChar w:fldCharType="separate"/>
            </w:r>
            <w:r w:rsidR="00587AF0">
              <w:rPr>
                <w:noProof/>
              </w:rPr>
              <w:t>39</w:t>
            </w:r>
            <w:r w:rsidR="00427B33">
              <w:rPr>
                <w:noProof/>
              </w:rPr>
              <w:fldChar w:fldCharType="end"/>
            </w:r>
            <w:r>
              <w:t>)</w:t>
            </w:r>
          </w:p>
        </w:tc>
      </w:tr>
    </w:tbl>
    <w:p w14:paraId="2ED6EB18" w14:textId="3109D1B1" w:rsidR="004D2C34" w:rsidRDefault="004909B8" w:rsidP="00186430">
      <w:r>
        <w:t>a</w:t>
      </w:r>
      <w:r w:rsidR="00696174">
        <w:t xml:space="preserve">nd we select the </w:t>
      </w:r>
      <w:r w:rsidR="00B3091D">
        <w:t>minimum</w:t>
      </w:r>
      <w:r w:rsidR="00696174">
        <w:t xml:space="preserve"> weighted </w:t>
      </w:r>
      <w:r>
        <w:t>G</w:t>
      </w:r>
      <w:r w:rsidR="00696174">
        <w:t xml:space="preserve">ini as </w:t>
      </w:r>
      <w:r w:rsidR="00B3091D">
        <w:t>min</w:t>
      </w:r>
      <w:r w:rsidR="00696174">
        <w:t>{</w:t>
      </w:r>
      <w:r w:rsidR="00696174" w:rsidRPr="00982CE8">
        <w:rPr>
          <w:i/>
          <w:iCs/>
        </w:rPr>
        <w:t>Weighted</w:t>
      </w:r>
      <w:r w:rsidR="00696174">
        <w:t>(</w:t>
      </w:r>
      <w:r w:rsidR="00696174" w:rsidRPr="00696174">
        <w:rPr>
          <w:i/>
          <w:iCs/>
        </w:rPr>
        <w:t>GINI</w:t>
      </w:r>
      <w:r w:rsidR="00696174" w:rsidRPr="00696174">
        <w:rPr>
          <w:sz w:val="28"/>
          <w:szCs w:val="24"/>
          <w:vertAlign w:val="subscript"/>
        </w:rPr>
        <w:t>x</w:t>
      </w:r>
      <w:r w:rsidR="00696174" w:rsidRPr="00696174">
        <w:rPr>
          <w:vertAlign w:val="subscript"/>
        </w:rPr>
        <w:t>i</w:t>
      </w:r>
      <w:r w:rsidR="00696174">
        <w:t>)</w:t>
      </w:r>
      <w:r w:rsidR="003F0226" w:rsidRPr="003F0226">
        <w:rPr>
          <w:i/>
          <w:iCs/>
          <w:vertAlign w:val="subscript"/>
        </w:rPr>
        <w:t>k</w:t>
      </w:r>
      <w:r w:rsidR="00696174">
        <w:t>} as the root node.</w:t>
      </w:r>
      <w:r w:rsidR="008461A4">
        <w:t xml:space="preserve"> </w:t>
      </w:r>
      <w:r w:rsidR="004E47EE">
        <w:t xml:space="preserve">Following the root node, we </w:t>
      </w:r>
      <w:r>
        <w:t>need to calculate the weighted Gini impurity for the rest of the nodes until we use all the nodes to classify</w:t>
      </w:r>
      <w:r w:rsidR="004E47EE">
        <w:t xml:space="preserve"> the input labels</w:t>
      </w:r>
      <w:r w:rsidR="00211FE5">
        <w:t xml:space="preserve"> or when the node reaches the lowest score</w:t>
      </w:r>
      <w:r>
        <w:t>,</w:t>
      </w:r>
      <w:r w:rsidR="00211FE5">
        <w:t xml:space="preserve"> so we do not need to separate nodes anymore.</w:t>
      </w:r>
      <w:r w:rsidR="002D5727">
        <w:t xml:space="preserve"> </w:t>
      </w:r>
      <w:r w:rsidR="00CF2648">
        <w:t>If we are considering numeric data</w:t>
      </w:r>
      <w:r>
        <w:t>,</w:t>
      </w:r>
      <w:r w:rsidR="00CF2648">
        <w:t xml:space="preserve"> we first</w:t>
      </w:r>
      <w:r w:rsidR="002D5727">
        <w:t xml:space="preserve"> need to rank data of all variables</w:t>
      </w:r>
      <w:r>
        <w:t>,</w:t>
      </w:r>
      <w:r w:rsidR="002D5727">
        <w:t xml:space="preserve"> where after rankings</w:t>
      </w:r>
      <w:r>
        <w:t>,</w:t>
      </w:r>
      <w:r w:rsidR="002D5727">
        <w:t xml:space="preserve"> we need to calculate </w:t>
      </w:r>
      <w:r>
        <w:t>the G</w:t>
      </w:r>
      <w:r w:rsidR="002D5727">
        <w:t>ini impurity</w:t>
      </w:r>
      <w:r w:rsidR="00B3091D">
        <w:t xml:space="preserve"> between each point (in array) of a given </w:t>
      </w:r>
      <w:r w:rsidR="00CF2648">
        <w:t>sample</w:t>
      </w:r>
      <w:r w:rsidR="00B3091D">
        <w:t>.</w:t>
      </w:r>
      <w:r w:rsidR="002D5727">
        <w:t xml:space="preserve"> </w:t>
      </w:r>
      <w:r w:rsidR="002203F9">
        <w:t>W</w:t>
      </w:r>
      <w:r w:rsidR="00B3091D">
        <w:t xml:space="preserve">e then find weighted </w:t>
      </w:r>
      <w:r>
        <w:t>G</w:t>
      </w:r>
      <w:r w:rsidR="00B3091D">
        <w:t>ini impurity for e</w:t>
      </w:r>
      <w:r>
        <w:t>very</w:t>
      </w:r>
      <w:r w:rsidR="00B3091D">
        <w:t xml:space="preserve"> point in a given array of variable </w:t>
      </w:r>
      <w:r w:rsidR="00B3091D">
        <w:rPr>
          <w:i/>
          <w:iCs/>
        </w:rPr>
        <w:t>X</w:t>
      </w:r>
      <w:r w:rsidR="00B3091D">
        <w:rPr>
          <w:i/>
          <w:iCs/>
          <w:vertAlign w:val="subscript"/>
        </w:rPr>
        <w:t>i</w:t>
      </w:r>
      <w:r w:rsidR="00B3091D">
        <w:t xml:space="preserve"> and set it as </w:t>
      </w:r>
      <w:r>
        <w:t xml:space="preserve">the </w:t>
      </w:r>
      <w:r w:rsidR="00B3091D">
        <w:t>root node.</w:t>
      </w:r>
      <w:r w:rsidR="000358C3">
        <w:t xml:space="preserve"> </w:t>
      </w:r>
      <w:r>
        <w:t>The perfectly separate leaves, i.e., containing only 1 class, are called pure leaf nodes in the final</w:t>
      </w:r>
      <w:r w:rsidR="000358C3">
        <w:rPr>
          <w:b/>
          <w:bCs/>
          <w:i/>
          <w:iCs/>
        </w:rPr>
        <w:t xml:space="preserve"> </w:t>
      </w:r>
      <w:r w:rsidR="000358C3" w:rsidRPr="000358C3">
        <w:rPr>
          <w:i/>
          <w:iCs/>
        </w:rPr>
        <w:t>leaf nodes</w:t>
      </w:r>
      <w:r w:rsidR="002203F9">
        <w:t xml:space="preserve">. </w:t>
      </w:r>
      <w:r w:rsidR="001173FF">
        <w:t>Latching on the same outcome</w:t>
      </w:r>
      <w:r>
        <w:t>,</w:t>
      </w:r>
      <w:r w:rsidR="001173FF">
        <w:t xml:space="preserve"> the resulting</w:t>
      </w:r>
      <w:r w:rsidR="002203F9">
        <w:t xml:space="preserve"> entropy is the lowest</w:t>
      </w:r>
      <w:r w:rsidR="00FB4CDB">
        <w:t xml:space="preserve"> (</w:t>
      </w:r>
      <w:r w:rsidR="00FB4CDB">
        <w:rPr>
          <w:i/>
          <w:iCs/>
        </w:rPr>
        <w:t>e</w:t>
      </w:r>
      <w:r w:rsidR="00FB4CDB" w:rsidRPr="00FB4CDB">
        <w:rPr>
          <w:i/>
          <w:iCs/>
        </w:rPr>
        <w:t>ntropy</w:t>
      </w:r>
      <w:r w:rsidR="00FB4CDB">
        <w:rPr>
          <w:i/>
          <w:iCs/>
        </w:rPr>
        <w:t xml:space="preserve"> </w:t>
      </w:r>
      <w:r w:rsidR="00FB4CDB">
        <w:t>= 0)</w:t>
      </w:r>
      <w:r w:rsidR="002203F9">
        <w:t xml:space="preserve">, meaning that information gain, i.e., the probability of finding </w:t>
      </w:r>
      <w:r>
        <w:t xml:space="preserve">a </w:t>
      </w:r>
      <w:r w:rsidR="002203F9">
        <w:t>precise label class</w:t>
      </w:r>
      <w:r>
        <w:t>,</w:t>
      </w:r>
      <w:r w:rsidR="002203F9">
        <w:t xml:space="preserve"> is max</w:t>
      </w:r>
      <w:r w:rsidR="00FB4CDB">
        <w:t>imum</w:t>
      </w:r>
      <w:r w:rsidR="002203F9">
        <w:t xml:space="preserve">. </w:t>
      </w:r>
      <w:r>
        <w:t>A d</w:t>
      </w:r>
      <w:r w:rsidR="002203F9">
        <w:t>ecision tree as a machine learning algorithm “learns” by finding a</w:t>
      </w:r>
      <w:r w:rsidR="001173FF">
        <w:t>n</w:t>
      </w:r>
      <w:r w:rsidR="002203F9">
        <w:t xml:space="preserve"> optimum solution by establishing </w:t>
      </w:r>
      <w:r w:rsidR="001173FF">
        <w:t xml:space="preserve">either minimum </w:t>
      </w:r>
      <w:r>
        <w:t>G</w:t>
      </w:r>
      <w:r w:rsidR="001173FF">
        <w:t>ini impurity or</w:t>
      </w:r>
      <w:r w:rsidR="002203F9">
        <w:t xml:space="preserve"> minimum entropy</w:t>
      </w:r>
      <w:r w:rsidR="001173FF">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5"/>
        <w:gridCol w:w="992"/>
      </w:tblGrid>
      <w:tr w:rsidR="0004371C" w14:paraId="32395CFB" w14:textId="77777777" w:rsidTr="008461A4">
        <w:tc>
          <w:tcPr>
            <w:tcW w:w="8025" w:type="dxa"/>
          </w:tcPr>
          <w:p w14:paraId="35D96EDE" w14:textId="2B8D7239" w:rsidR="0004371C" w:rsidRDefault="00427B33" w:rsidP="00CC5DAD">
            <w:pPr>
              <w:jc w:val="center"/>
            </w:pPr>
            <m:oMathPara>
              <m:oMath>
                <m:sSub>
                  <m:sSubPr>
                    <m:ctrlPr>
                      <w:rPr>
                        <w:rFonts w:ascii="Cambria Math" w:hAnsi="Cambria Math"/>
                        <w:i/>
                      </w:rPr>
                    </m:ctrlPr>
                  </m:sSubPr>
                  <m:e>
                    <m:r>
                      <w:rPr>
                        <w:rFonts w:ascii="Cambria Math" w:hAnsi="Cambria Math"/>
                      </w:rPr>
                      <m:t>I</m:t>
                    </m:r>
                  </m:e>
                  <m:sub>
                    <m:r>
                      <w:rPr>
                        <w:rFonts w:ascii="Cambria Math" w:hAnsi="Cambria Math"/>
                      </w:rPr>
                      <m:t>H</m:t>
                    </m:r>
                  </m:sub>
                </m:sSub>
                <m:r>
                  <w:rPr>
                    <w:rFonts w:ascii="Cambria Math" w:hAnsi="Cambria Math"/>
                  </w:rPr>
                  <m:t>=</m:t>
                </m:r>
                <m:nary>
                  <m:naryPr>
                    <m:chr m:val="∑"/>
                    <m:limLoc m:val="undOvr"/>
                    <m:subHide m:val="1"/>
                    <m:supHide m:val="1"/>
                    <m:ctrlPr>
                      <w:rPr>
                        <w:rFonts w:ascii="Cambria Math" w:hAnsi="Cambria Math"/>
                        <w:i/>
                      </w:rPr>
                    </m:ctrlPr>
                  </m:naryPr>
                  <m:sub/>
                  <m:sup/>
                  <m:e>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m:t>
                        </m:r>
                      </m:sub>
                    </m:sSub>
                  </m:e>
                </m:nary>
                <m:r>
                  <w:rPr>
                    <w:rFonts w:ascii="Cambria Math" w:hAnsi="Cambria Math"/>
                  </w:rPr>
                  <m:t>∙</m:t>
                </m:r>
                <m:r>
                  <m:rPr>
                    <m:sty m:val="p"/>
                  </m:rPr>
                  <w:rPr>
                    <w:rFonts w:ascii="Cambria Math" w:hAnsi="Cambria Math"/>
                  </w:rPr>
                  <m:t>log⁡</m:t>
                </m:r>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m:t>
                </m:r>
              </m:oMath>
            </m:oMathPara>
          </w:p>
        </w:tc>
        <w:tc>
          <w:tcPr>
            <w:tcW w:w="992" w:type="dxa"/>
            <w:vAlign w:val="center"/>
          </w:tcPr>
          <w:p w14:paraId="717F0D97" w14:textId="78C4FD98" w:rsidR="0004371C" w:rsidRDefault="00043DEB" w:rsidP="008461A4">
            <w:pPr>
              <w:jc w:val="right"/>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40</w:t>
            </w:r>
            <w:r w:rsidR="00427B33">
              <w:rPr>
                <w:noProof/>
              </w:rPr>
              <w:fldChar w:fldCharType="end"/>
            </w:r>
            <w:r>
              <w:t>)</w:t>
            </w:r>
          </w:p>
        </w:tc>
      </w:tr>
    </w:tbl>
    <w:p w14:paraId="30DB20E8" w14:textId="585A94DE" w:rsidR="00CB5DDD" w:rsidRPr="0004371C" w:rsidRDefault="0004371C" w:rsidP="00186430">
      <w:r>
        <w:t xml:space="preserve">where </w:t>
      </w:r>
      <w:r>
        <w:rPr>
          <w:i/>
          <w:iCs/>
        </w:rPr>
        <w:t xml:space="preserve">p </w:t>
      </w:r>
      <w:r>
        <w:t>is the probability of a given state</w:t>
      </w:r>
      <w:r w:rsidR="004909B8">
        <w:t>,</w:t>
      </w:r>
      <w:r>
        <w:t xml:space="preserve"> </w:t>
      </w:r>
      <w:r>
        <w:rPr>
          <w:i/>
          <w:iCs/>
        </w:rPr>
        <w:t>i</w:t>
      </w:r>
      <w:r>
        <w:t xml:space="preserve"> = [1,0]. </w:t>
      </w:r>
      <w:r w:rsidR="009C1E00">
        <w:t>The model</w:t>
      </w:r>
      <w:r w:rsidR="00603F0B">
        <w:t xml:space="preserve"> aim</w:t>
      </w:r>
      <w:r>
        <w:t xml:space="preserve">s to </w:t>
      </w:r>
      <w:r w:rsidR="009C1E00">
        <w:t xml:space="preserve">find the </w:t>
      </w:r>
      <w:r>
        <w:t>state</w:t>
      </w:r>
      <w:r w:rsidR="009C1E00">
        <w:t xml:space="preserve"> where it achieves maximum information gain</w:t>
      </w:r>
      <w:r w:rsidR="004D2C34">
        <w:t xml:space="preserve"> </w:t>
      </w:r>
      <w:r>
        <w:t>because</w:t>
      </w:r>
      <w:r w:rsidR="004D2C34">
        <w:t xml:space="preserve"> entropy </w:t>
      </w:r>
      <w:r w:rsidR="004909B8">
        <w:t>measures</w:t>
      </w:r>
      <w:r w:rsidR="004D2C34">
        <w:t xml:space="preserve"> information contained in a state.</w:t>
      </w:r>
      <w:r>
        <w:t xml:space="preserve"> Let’s say that we select the node as having equal probability (</w:t>
      </w:r>
      <w:r>
        <w:rPr>
          <w:i/>
          <w:iCs/>
        </w:rPr>
        <w:t>p</w:t>
      </w:r>
      <w:r>
        <w:t xml:space="preserve">(y=a)=0.5 and </w:t>
      </w:r>
      <w:r>
        <w:rPr>
          <w:i/>
          <w:iCs/>
        </w:rPr>
        <w:t>p</w:t>
      </w:r>
      <w:r>
        <w:t>(y=b)=0.5), the entropy is then 1</w:t>
      </w:r>
      <w:r w:rsidR="008461A4">
        <w:t>.</w:t>
      </w:r>
      <w:r w:rsidR="00FB4CDB">
        <w:t xml:space="preserve"> </w:t>
      </w:r>
      <w:r w:rsidR="008461A4">
        <w:t xml:space="preserve">Since </w:t>
      </w:r>
      <w:r w:rsidR="004909B8">
        <w:t>the decision tree uses gini impurity or entropy () for estimating information gain, it is usually called</w:t>
      </w:r>
      <w:r w:rsidR="008461A4">
        <w:t xml:space="preserve"> a </w:t>
      </w:r>
      <w:r w:rsidR="00FB4CDB" w:rsidRPr="00FB4CDB">
        <w:rPr>
          <w:b/>
          <w:bCs/>
        </w:rPr>
        <w:t>greedy</w:t>
      </w:r>
      <w:r w:rsidR="00FB4CDB">
        <w:t xml:space="preserve"> algorithm.</w:t>
      </w:r>
    </w:p>
    <w:p w14:paraId="6B92B5EB" w14:textId="4DC0D523" w:rsidR="005A5175" w:rsidRDefault="007034DD" w:rsidP="005A5175">
      <w:pPr>
        <w:keepNext/>
        <w:spacing w:before="0" w:after="160" w:line="259" w:lineRule="auto"/>
        <w:jc w:val="center"/>
      </w:pPr>
      <w:r w:rsidRPr="007034DD">
        <w:rPr>
          <w:noProof/>
        </w:rPr>
        <w:drawing>
          <wp:inline distT="0" distB="0" distL="0" distR="0" wp14:anchorId="174CDA39" wp14:editId="47412187">
            <wp:extent cx="4412615" cy="2764155"/>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412615" cy="2764155"/>
                    </a:xfrm>
                    <a:prstGeom prst="rect">
                      <a:avLst/>
                    </a:prstGeom>
                    <a:noFill/>
                    <a:ln>
                      <a:noFill/>
                    </a:ln>
                  </pic:spPr>
                </pic:pic>
              </a:graphicData>
            </a:graphic>
          </wp:inline>
        </w:drawing>
      </w:r>
    </w:p>
    <w:p w14:paraId="7659EAC9" w14:textId="06055A7C" w:rsidR="005A5175" w:rsidRDefault="005A5175" w:rsidP="005A5175">
      <w:pPr>
        <w:pStyle w:val="Caption"/>
      </w:pPr>
      <w:bookmarkStart w:id="628" w:name="_Ref99104542"/>
      <w:bookmarkStart w:id="629" w:name="_Toc101274629"/>
      <w:r>
        <w:t xml:space="preserve">Figure </w:t>
      </w:r>
      <w:fldSimple w:instr=" SEQ Figure \* ARABIC ">
        <w:r w:rsidR="00587AF0">
          <w:rPr>
            <w:noProof/>
          </w:rPr>
          <w:t>107</w:t>
        </w:r>
      </w:fldSimple>
      <w:bookmarkEnd w:id="628"/>
      <w:r>
        <w:t xml:space="preserve">. </w:t>
      </w:r>
      <w:r w:rsidR="000358C3">
        <w:t xml:space="preserve">Selection of a </w:t>
      </w:r>
      <w:r w:rsidR="000B1F99">
        <w:t xml:space="preserve">node </w:t>
      </w:r>
      <w:r w:rsidR="004909B8">
        <w:t>based on</w:t>
      </w:r>
      <w:r w:rsidR="000B1F99">
        <w:t xml:space="preserve"> minimum entropy</w:t>
      </w:r>
      <w:bookmarkEnd w:id="629"/>
    </w:p>
    <w:p w14:paraId="2A127E14" w14:textId="4E13120B" w:rsidR="00F3280F" w:rsidRDefault="00263708" w:rsidP="0071518B">
      <w:pPr>
        <w:pStyle w:val="Heading3"/>
      </w:pPr>
      <w:bookmarkStart w:id="630" w:name="_Toc101274406"/>
      <w:r>
        <w:lastRenderedPageBreak/>
        <w:t xml:space="preserve">Decision </w:t>
      </w:r>
      <w:r w:rsidR="00195D4B">
        <w:t>CART tree</w:t>
      </w:r>
      <w:r>
        <w:t xml:space="preserve"> for opening saddle regime</w:t>
      </w:r>
      <w:bookmarkEnd w:id="630"/>
    </w:p>
    <w:p w14:paraId="4622B0CC" w14:textId="41299829" w:rsidR="003550E7" w:rsidRPr="00F3280F" w:rsidRDefault="00645683" w:rsidP="00F3280F">
      <w:r>
        <w:t xml:space="preserve">Decision tree classification is conducted via </w:t>
      </w:r>
      <w:r w:rsidR="004909B8">
        <w:t xml:space="preserve">the </w:t>
      </w:r>
      <w:r>
        <w:t xml:space="preserve">IBM SPSS platform. The selection of the growing method for </w:t>
      </w:r>
      <w:r w:rsidR="004909B8">
        <w:t xml:space="preserve">the </w:t>
      </w:r>
      <w:r>
        <w:t xml:space="preserve">decision tree is CRT or usually called </w:t>
      </w:r>
      <w:r w:rsidR="004909B8">
        <w:t xml:space="preserve">the </w:t>
      </w:r>
      <w:r>
        <w:t>CART (Classification and Regression Tree) method. Since decision tree</w:t>
      </w:r>
      <w:r w:rsidR="004909B8">
        <w:t>s, like almost every other ML algorithm, can be used for regression and classification, they are</w:t>
      </w:r>
      <w:r>
        <w:rPr>
          <w:lang w:val="en-GB"/>
        </w:rPr>
        <w:t xml:space="preserve"> used for classification on all three saddle positions. Given the parameters in </w:t>
      </w:r>
      <w:r>
        <w:rPr>
          <w:lang w:val="en-GB"/>
        </w:rPr>
        <w:fldChar w:fldCharType="begin"/>
      </w:r>
      <w:r>
        <w:rPr>
          <w:lang w:val="en-GB"/>
        </w:rPr>
        <w:instrText xml:space="preserve"> REF _Ref99269846 \h </w:instrText>
      </w:r>
      <w:r>
        <w:rPr>
          <w:lang w:val="en-GB"/>
        </w:rPr>
      </w:r>
      <w:r>
        <w:rPr>
          <w:lang w:val="en-GB"/>
        </w:rPr>
        <w:fldChar w:fldCharType="separate"/>
      </w:r>
      <w:r w:rsidR="00587AF0">
        <w:t xml:space="preserve">Table </w:t>
      </w:r>
      <w:r w:rsidR="00587AF0">
        <w:rPr>
          <w:noProof/>
        </w:rPr>
        <w:t>49</w:t>
      </w:r>
      <w:r>
        <w:rPr>
          <w:lang w:val="en-GB"/>
        </w:rPr>
        <w:fldChar w:fldCharType="end"/>
      </w:r>
      <w:r w:rsidR="004909B8">
        <w:rPr>
          <w:lang w:val="en-GB"/>
        </w:rPr>
        <w:t>,</w:t>
      </w:r>
      <w:r w:rsidR="001746A1">
        <w:rPr>
          <w:lang w:val="en-GB"/>
        </w:rPr>
        <w:t xml:space="preserve"> the tree automatically built </w:t>
      </w:r>
      <w:r w:rsidR="004909B8">
        <w:rPr>
          <w:lang w:val="en-GB"/>
        </w:rPr>
        <w:t>five</w:t>
      </w:r>
      <w:r w:rsidR="001746A1">
        <w:rPr>
          <w:lang w:val="en-GB"/>
        </w:rPr>
        <w:t xml:space="preserve"> trees, i.e., </w:t>
      </w:r>
      <w:r w:rsidR="004909B8">
        <w:rPr>
          <w:lang w:val="en-GB"/>
        </w:rPr>
        <w:t>five</w:t>
      </w:r>
      <w:r w:rsidR="001746A1">
        <w:rPr>
          <w:lang w:val="en-GB"/>
        </w:rPr>
        <w:t xml:space="preserve"> nodes in the tree with 3 terminal nodes of 2 levels of depth. The two most important variables for making decisions in </w:t>
      </w:r>
      <w:r w:rsidR="004909B8">
        <w:rPr>
          <w:lang w:val="en-GB"/>
        </w:rPr>
        <w:t>classifying</w:t>
      </w:r>
      <w:r w:rsidR="001746A1">
        <w:rPr>
          <w:lang w:val="en-GB"/>
        </w:rPr>
        <w:t xml:space="preserve"> the layers split are N_Median_OS and N_StDev_OS.</w:t>
      </w:r>
    </w:p>
    <w:p w14:paraId="7C58AD23" w14:textId="691F132D" w:rsidR="0084709D" w:rsidRPr="00632136" w:rsidRDefault="00AC3AF9" w:rsidP="00AC3AF9">
      <w:pPr>
        <w:pStyle w:val="Caption"/>
        <w:jc w:val="both"/>
        <w:rPr>
          <w:lang w:val="en-GB"/>
        </w:rPr>
      </w:pPr>
      <w:bookmarkStart w:id="631" w:name="_Ref99269846"/>
      <w:bookmarkStart w:id="632" w:name="_Toc101274489"/>
      <w:r>
        <w:t xml:space="preserve">Table </w:t>
      </w:r>
      <w:fldSimple w:instr=" SEQ Table \* ARABIC ">
        <w:r w:rsidR="00587AF0">
          <w:rPr>
            <w:noProof/>
          </w:rPr>
          <w:t>49</w:t>
        </w:r>
      </w:fldSimple>
      <w:bookmarkEnd w:id="631"/>
      <w:r>
        <w:t xml:space="preserve">. </w:t>
      </w:r>
      <w:r w:rsidR="00123D26" w:rsidRPr="00123D26">
        <w:t>Parameters and variables for decision tree at</w:t>
      </w:r>
      <w:r w:rsidR="00123D26">
        <w:t xml:space="preserve"> opening</w:t>
      </w:r>
      <w:r w:rsidR="00123D26" w:rsidRPr="00123D26">
        <w:t xml:space="preserve"> saddle position</w:t>
      </w:r>
      <w:bookmarkEnd w:id="632"/>
    </w:p>
    <w:tbl>
      <w:tblPr>
        <w:tblW w:w="5000" w:type="pct"/>
        <w:tblCellMar>
          <w:left w:w="0" w:type="dxa"/>
          <w:right w:w="0" w:type="dxa"/>
        </w:tblCellMar>
        <w:tblLook w:val="0000" w:firstRow="0" w:lastRow="0" w:firstColumn="0" w:lastColumn="0" w:noHBand="0" w:noVBand="0"/>
      </w:tblPr>
      <w:tblGrid>
        <w:gridCol w:w="1808"/>
        <w:gridCol w:w="3253"/>
        <w:gridCol w:w="3966"/>
      </w:tblGrid>
      <w:tr w:rsidR="005373C2" w:rsidRPr="00F3280F" w14:paraId="49BD7FCE" w14:textId="77777777" w:rsidTr="00024683">
        <w:trPr>
          <w:cantSplit/>
        </w:trPr>
        <w:tc>
          <w:tcPr>
            <w:tcW w:w="1001" w:type="pct"/>
            <w:tcBorders>
              <w:top w:val="single" w:sz="4" w:space="0" w:color="auto"/>
              <w:left w:val="nil"/>
              <w:bottom w:val="single" w:sz="4" w:space="0" w:color="auto"/>
              <w:right w:val="nil"/>
            </w:tcBorders>
            <w:shd w:val="clear" w:color="auto" w:fill="auto"/>
          </w:tcPr>
          <w:p w14:paraId="2CED2FF4" w14:textId="08440429" w:rsidR="005373C2" w:rsidRPr="005373C2" w:rsidRDefault="005373C2" w:rsidP="005373C2">
            <w:pPr>
              <w:autoSpaceDE w:val="0"/>
              <w:autoSpaceDN w:val="0"/>
              <w:adjustRightInd w:val="0"/>
              <w:spacing w:before="0" w:after="0"/>
              <w:ind w:left="57" w:right="57"/>
              <w:jc w:val="left"/>
              <w:rPr>
                <w:rFonts w:cs="Arial"/>
                <w:b/>
                <w:bCs/>
                <w:sz w:val="20"/>
                <w:szCs w:val="18"/>
                <w:lang w:val="sr-Latn-RS"/>
              </w:rPr>
            </w:pPr>
            <w:r w:rsidRPr="005373C2">
              <w:rPr>
                <w:b/>
                <w:bCs/>
                <w:sz w:val="20"/>
                <w:szCs w:val="18"/>
              </w:rPr>
              <w:t>Content</w:t>
            </w:r>
          </w:p>
        </w:tc>
        <w:tc>
          <w:tcPr>
            <w:tcW w:w="1802" w:type="pct"/>
            <w:tcBorders>
              <w:top w:val="single" w:sz="4" w:space="0" w:color="auto"/>
              <w:left w:val="nil"/>
              <w:bottom w:val="single" w:sz="4" w:space="0" w:color="auto"/>
              <w:right w:val="nil"/>
            </w:tcBorders>
            <w:shd w:val="clear" w:color="auto" w:fill="auto"/>
          </w:tcPr>
          <w:p w14:paraId="22555DB6" w14:textId="6BE05B62" w:rsidR="005373C2" w:rsidRPr="005373C2" w:rsidRDefault="005373C2" w:rsidP="005373C2">
            <w:pPr>
              <w:autoSpaceDE w:val="0"/>
              <w:autoSpaceDN w:val="0"/>
              <w:adjustRightInd w:val="0"/>
              <w:spacing w:before="0" w:after="0"/>
              <w:ind w:left="57" w:right="57"/>
              <w:jc w:val="left"/>
              <w:rPr>
                <w:rFonts w:cs="Arial"/>
                <w:b/>
                <w:bCs/>
                <w:sz w:val="20"/>
                <w:szCs w:val="18"/>
                <w:lang w:val="sr-Latn-RS"/>
              </w:rPr>
            </w:pPr>
            <w:r w:rsidRPr="005373C2">
              <w:rPr>
                <w:b/>
                <w:bCs/>
                <w:sz w:val="20"/>
                <w:szCs w:val="18"/>
              </w:rPr>
              <w:t>Input parameters</w:t>
            </w:r>
          </w:p>
        </w:tc>
        <w:tc>
          <w:tcPr>
            <w:tcW w:w="2197" w:type="pct"/>
            <w:tcBorders>
              <w:top w:val="single" w:sz="4" w:space="0" w:color="auto"/>
              <w:left w:val="nil"/>
              <w:bottom w:val="single" w:sz="4" w:space="0" w:color="auto"/>
              <w:right w:val="nil"/>
            </w:tcBorders>
            <w:shd w:val="clear" w:color="auto" w:fill="auto"/>
          </w:tcPr>
          <w:p w14:paraId="3FF8E031" w14:textId="4760467D" w:rsidR="005373C2" w:rsidRPr="005373C2" w:rsidRDefault="005373C2" w:rsidP="005373C2">
            <w:pPr>
              <w:autoSpaceDE w:val="0"/>
              <w:autoSpaceDN w:val="0"/>
              <w:adjustRightInd w:val="0"/>
              <w:spacing w:before="0" w:after="0"/>
              <w:ind w:left="57" w:right="57"/>
              <w:jc w:val="right"/>
              <w:rPr>
                <w:rFonts w:cs="Arial"/>
                <w:b/>
                <w:bCs/>
                <w:sz w:val="20"/>
                <w:szCs w:val="18"/>
                <w:lang w:val="sr-Latn-RS"/>
              </w:rPr>
            </w:pPr>
            <w:r w:rsidRPr="005373C2">
              <w:rPr>
                <w:b/>
                <w:bCs/>
                <w:sz w:val="20"/>
                <w:szCs w:val="18"/>
              </w:rPr>
              <w:t>Variables and values</w:t>
            </w:r>
          </w:p>
        </w:tc>
      </w:tr>
      <w:tr w:rsidR="00F3280F" w:rsidRPr="00F3280F" w14:paraId="6E74C772" w14:textId="77777777" w:rsidTr="00091DF1">
        <w:trPr>
          <w:cantSplit/>
        </w:trPr>
        <w:tc>
          <w:tcPr>
            <w:tcW w:w="1001" w:type="pct"/>
            <w:vMerge w:val="restart"/>
            <w:tcBorders>
              <w:top w:val="single" w:sz="4" w:space="0" w:color="auto"/>
              <w:left w:val="nil"/>
              <w:right w:val="nil"/>
            </w:tcBorders>
            <w:shd w:val="clear" w:color="auto" w:fill="auto"/>
            <w:vAlign w:val="center"/>
          </w:tcPr>
          <w:p w14:paraId="2D6CE9DE" w14:textId="77777777" w:rsidR="00481507" w:rsidRPr="00F3280F" w:rsidRDefault="00481507" w:rsidP="00F3280F">
            <w:pPr>
              <w:autoSpaceDE w:val="0"/>
              <w:autoSpaceDN w:val="0"/>
              <w:adjustRightInd w:val="0"/>
              <w:spacing w:before="0" w:after="0"/>
              <w:ind w:left="57" w:right="57"/>
              <w:jc w:val="left"/>
              <w:rPr>
                <w:rFonts w:cs="Arial"/>
                <w:sz w:val="20"/>
                <w:szCs w:val="20"/>
                <w:lang w:val="sr-Latn-RS"/>
              </w:rPr>
            </w:pPr>
            <w:r w:rsidRPr="00F3280F">
              <w:rPr>
                <w:rFonts w:cs="Arial"/>
                <w:sz w:val="20"/>
                <w:szCs w:val="20"/>
                <w:lang w:val="sr-Latn-RS"/>
              </w:rPr>
              <w:t>Specifications</w:t>
            </w:r>
          </w:p>
        </w:tc>
        <w:tc>
          <w:tcPr>
            <w:tcW w:w="1802" w:type="pct"/>
            <w:tcBorders>
              <w:top w:val="single" w:sz="4" w:space="0" w:color="auto"/>
              <w:left w:val="nil"/>
              <w:right w:val="nil"/>
            </w:tcBorders>
            <w:shd w:val="clear" w:color="auto" w:fill="auto"/>
            <w:vAlign w:val="center"/>
          </w:tcPr>
          <w:p w14:paraId="4654B002" w14:textId="77777777" w:rsidR="00481507" w:rsidRPr="00F3280F" w:rsidRDefault="00481507" w:rsidP="00F3280F">
            <w:pPr>
              <w:autoSpaceDE w:val="0"/>
              <w:autoSpaceDN w:val="0"/>
              <w:adjustRightInd w:val="0"/>
              <w:spacing w:before="0" w:after="0"/>
              <w:ind w:left="57" w:right="57"/>
              <w:jc w:val="left"/>
              <w:rPr>
                <w:rFonts w:cs="Arial"/>
                <w:sz w:val="20"/>
                <w:szCs w:val="20"/>
                <w:lang w:val="sr-Latn-RS"/>
              </w:rPr>
            </w:pPr>
            <w:r w:rsidRPr="00F3280F">
              <w:rPr>
                <w:rFonts w:cs="Arial"/>
                <w:sz w:val="20"/>
                <w:szCs w:val="20"/>
                <w:lang w:val="sr-Latn-RS"/>
              </w:rPr>
              <w:t>Growing Method</w:t>
            </w:r>
          </w:p>
        </w:tc>
        <w:tc>
          <w:tcPr>
            <w:tcW w:w="2197" w:type="pct"/>
            <w:tcBorders>
              <w:top w:val="single" w:sz="4" w:space="0" w:color="auto"/>
              <w:left w:val="nil"/>
              <w:right w:val="nil"/>
            </w:tcBorders>
            <w:shd w:val="clear" w:color="auto" w:fill="auto"/>
          </w:tcPr>
          <w:p w14:paraId="39F105B5" w14:textId="77777777" w:rsidR="00481507" w:rsidRPr="00F3280F" w:rsidRDefault="00481507" w:rsidP="00F3280F">
            <w:pPr>
              <w:autoSpaceDE w:val="0"/>
              <w:autoSpaceDN w:val="0"/>
              <w:adjustRightInd w:val="0"/>
              <w:spacing w:before="0" w:after="0"/>
              <w:ind w:left="57" w:right="57"/>
              <w:jc w:val="right"/>
              <w:rPr>
                <w:rFonts w:cs="Arial"/>
                <w:sz w:val="20"/>
                <w:szCs w:val="20"/>
                <w:lang w:val="sr-Latn-RS"/>
              </w:rPr>
            </w:pPr>
            <w:r w:rsidRPr="00F3280F">
              <w:rPr>
                <w:rFonts w:cs="Arial"/>
                <w:sz w:val="20"/>
                <w:szCs w:val="20"/>
                <w:lang w:val="sr-Latn-RS"/>
              </w:rPr>
              <w:t>CRT</w:t>
            </w:r>
          </w:p>
        </w:tc>
      </w:tr>
      <w:tr w:rsidR="00F3280F" w:rsidRPr="00F3280F" w14:paraId="13CD874C" w14:textId="77777777" w:rsidTr="00091DF1">
        <w:trPr>
          <w:cantSplit/>
        </w:trPr>
        <w:tc>
          <w:tcPr>
            <w:tcW w:w="1001" w:type="pct"/>
            <w:vMerge/>
            <w:tcBorders>
              <w:left w:val="nil"/>
              <w:right w:val="nil"/>
            </w:tcBorders>
            <w:shd w:val="clear" w:color="auto" w:fill="auto"/>
            <w:vAlign w:val="center"/>
          </w:tcPr>
          <w:p w14:paraId="11144053" w14:textId="77777777" w:rsidR="00481507" w:rsidRPr="00F3280F" w:rsidRDefault="00481507" w:rsidP="00F3280F">
            <w:pPr>
              <w:autoSpaceDE w:val="0"/>
              <w:autoSpaceDN w:val="0"/>
              <w:adjustRightInd w:val="0"/>
              <w:spacing w:before="0" w:after="0"/>
              <w:ind w:left="57" w:right="57"/>
              <w:jc w:val="left"/>
              <w:rPr>
                <w:rFonts w:cs="Arial"/>
                <w:sz w:val="20"/>
                <w:szCs w:val="20"/>
                <w:lang w:val="sr-Latn-RS"/>
              </w:rPr>
            </w:pPr>
          </w:p>
        </w:tc>
        <w:tc>
          <w:tcPr>
            <w:tcW w:w="1802" w:type="pct"/>
            <w:tcBorders>
              <w:left w:val="nil"/>
              <w:right w:val="nil"/>
            </w:tcBorders>
            <w:shd w:val="clear" w:color="auto" w:fill="auto"/>
            <w:vAlign w:val="center"/>
          </w:tcPr>
          <w:p w14:paraId="50F476CF" w14:textId="77777777" w:rsidR="00481507" w:rsidRPr="00F3280F" w:rsidRDefault="00481507" w:rsidP="00F3280F">
            <w:pPr>
              <w:autoSpaceDE w:val="0"/>
              <w:autoSpaceDN w:val="0"/>
              <w:adjustRightInd w:val="0"/>
              <w:spacing w:before="0" w:after="0"/>
              <w:ind w:left="57" w:right="57"/>
              <w:jc w:val="left"/>
              <w:rPr>
                <w:rFonts w:cs="Arial"/>
                <w:sz w:val="20"/>
                <w:szCs w:val="20"/>
                <w:lang w:val="sr-Latn-RS"/>
              </w:rPr>
            </w:pPr>
            <w:r w:rsidRPr="00F3280F">
              <w:rPr>
                <w:rFonts w:cs="Arial"/>
                <w:sz w:val="20"/>
                <w:szCs w:val="20"/>
                <w:lang w:val="sr-Latn-RS"/>
              </w:rPr>
              <w:t>Dependent Variable</w:t>
            </w:r>
          </w:p>
        </w:tc>
        <w:tc>
          <w:tcPr>
            <w:tcW w:w="2197" w:type="pct"/>
            <w:tcBorders>
              <w:left w:val="nil"/>
              <w:right w:val="nil"/>
            </w:tcBorders>
            <w:shd w:val="clear" w:color="auto" w:fill="auto"/>
          </w:tcPr>
          <w:p w14:paraId="4D7EC80D" w14:textId="77777777" w:rsidR="00481507" w:rsidRPr="00F3280F" w:rsidRDefault="00481507" w:rsidP="00F3280F">
            <w:pPr>
              <w:autoSpaceDE w:val="0"/>
              <w:autoSpaceDN w:val="0"/>
              <w:adjustRightInd w:val="0"/>
              <w:spacing w:before="0" w:after="0"/>
              <w:ind w:left="57" w:right="57"/>
              <w:jc w:val="right"/>
              <w:rPr>
                <w:rFonts w:cs="Arial"/>
                <w:sz w:val="20"/>
                <w:szCs w:val="20"/>
                <w:lang w:val="sr-Latn-RS"/>
              </w:rPr>
            </w:pPr>
            <w:r w:rsidRPr="00F3280F">
              <w:rPr>
                <w:rFonts w:cs="Arial"/>
                <w:sz w:val="20"/>
                <w:szCs w:val="20"/>
                <w:lang w:val="sr-Latn-RS"/>
              </w:rPr>
              <w:t>Degradation_OS</w:t>
            </w:r>
          </w:p>
        </w:tc>
      </w:tr>
      <w:tr w:rsidR="00F3280F" w:rsidRPr="00F3280F" w14:paraId="4808BA82" w14:textId="77777777" w:rsidTr="00091DF1">
        <w:trPr>
          <w:cantSplit/>
        </w:trPr>
        <w:tc>
          <w:tcPr>
            <w:tcW w:w="1001" w:type="pct"/>
            <w:vMerge/>
            <w:tcBorders>
              <w:left w:val="nil"/>
              <w:right w:val="nil"/>
            </w:tcBorders>
            <w:shd w:val="clear" w:color="auto" w:fill="auto"/>
            <w:vAlign w:val="center"/>
          </w:tcPr>
          <w:p w14:paraId="4ECC29A7" w14:textId="77777777" w:rsidR="00481507" w:rsidRPr="00F3280F" w:rsidRDefault="00481507" w:rsidP="00F3280F">
            <w:pPr>
              <w:autoSpaceDE w:val="0"/>
              <w:autoSpaceDN w:val="0"/>
              <w:adjustRightInd w:val="0"/>
              <w:spacing w:before="0" w:after="0"/>
              <w:ind w:left="57" w:right="57"/>
              <w:jc w:val="left"/>
              <w:rPr>
                <w:rFonts w:cs="Arial"/>
                <w:sz w:val="20"/>
                <w:szCs w:val="20"/>
                <w:lang w:val="sr-Latn-RS"/>
              </w:rPr>
            </w:pPr>
          </w:p>
        </w:tc>
        <w:tc>
          <w:tcPr>
            <w:tcW w:w="1802" w:type="pct"/>
            <w:tcBorders>
              <w:left w:val="nil"/>
              <w:right w:val="nil"/>
            </w:tcBorders>
            <w:shd w:val="clear" w:color="auto" w:fill="auto"/>
            <w:vAlign w:val="center"/>
          </w:tcPr>
          <w:p w14:paraId="0966CA9B" w14:textId="77777777" w:rsidR="00481507" w:rsidRPr="00F3280F" w:rsidRDefault="00481507" w:rsidP="00F3280F">
            <w:pPr>
              <w:autoSpaceDE w:val="0"/>
              <w:autoSpaceDN w:val="0"/>
              <w:adjustRightInd w:val="0"/>
              <w:spacing w:before="0" w:after="0"/>
              <w:ind w:left="57" w:right="57"/>
              <w:jc w:val="left"/>
              <w:rPr>
                <w:rFonts w:cs="Arial"/>
                <w:sz w:val="20"/>
                <w:szCs w:val="20"/>
                <w:lang w:val="sr-Latn-RS"/>
              </w:rPr>
            </w:pPr>
            <w:r w:rsidRPr="00F3280F">
              <w:rPr>
                <w:rFonts w:cs="Arial"/>
                <w:sz w:val="20"/>
                <w:szCs w:val="20"/>
                <w:lang w:val="sr-Latn-RS"/>
              </w:rPr>
              <w:t>Independent Variables</w:t>
            </w:r>
          </w:p>
        </w:tc>
        <w:tc>
          <w:tcPr>
            <w:tcW w:w="2197" w:type="pct"/>
            <w:tcBorders>
              <w:left w:val="nil"/>
              <w:right w:val="nil"/>
            </w:tcBorders>
            <w:shd w:val="clear" w:color="auto" w:fill="auto"/>
          </w:tcPr>
          <w:p w14:paraId="4777551B" w14:textId="77777777" w:rsidR="00481507" w:rsidRPr="00F3280F" w:rsidRDefault="00481507" w:rsidP="00F3280F">
            <w:pPr>
              <w:autoSpaceDE w:val="0"/>
              <w:autoSpaceDN w:val="0"/>
              <w:adjustRightInd w:val="0"/>
              <w:spacing w:before="0" w:after="0"/>
              <w:ind w:left="57" w:right="57"/>
              <w:jc w:val="right"/>
              <w:rPr>
                <w:rFonts w:cs="Arial"/>
                <w:sz w:val="20"/>
                <w:szCs w:val="20"/>
                <w:lang w:val="sr-Latn-RS"/>
              </w:rPr>
            </w:pPr>
            <w:r w:rsidRPr="00F3280F">
              <w:rPr>
                <w:rFonts w:cs="Arial"/>
                <w:sz w:val="20"/>
                <w:szCs w:val="20"/>
                <w:lang w:val="sr-Latn-RS"/>
              </w:rPr>
              <w:t>HS_idle_time, T1, T2, T4, Load_kg_n, N_Stdev_OS, N_Median_OS, N_Min_OS, N_Max_OS, N_Kurt_OS</w:t>
            </w:r>
          </w:p>
        </w:tc>
      </w:tr>
      <w:tr w:rsidR="00F3280F" w:rsidRPr="00F3280F" w14:paraId="7D62FC71" w14:textId="77777777" w:rsidTr="00091DF1">
        <w:trPr>
          <w:cantSplit/>
        </w:trPr>
        <w:tc>
          <w:tcPr>
            <w:tcW w:w="1001" w:type="pct"/>
            <w:vMerge/>
            <w:tcBorders>
              <w:left w:val="nil"/>
              <w:right w:val="nil"/>
            </w:tcBorders>
            <w:shd w:val="clear" w:color="auto" w:fill="auto"/>
            <w:vAlign w:val="center"/>
          </w:tcPr>
          <w:p w14:paraId="11E7F4EE" w14:textId="77777777" w:rsidR="00481507" w:rsidRPr="00F3280F" w:rsidRDefault="00481507" w:rsidP="00F3280F">
            <w:pPr>
              <w:autoSpaceDE w:val="0"/>
              <w:autoSpaceDN w:val="0"/>
              <w:adjustRightInd w:val="0"/>
              <w:spacing w:before="0" w:after="0"/>
              <w:ind w:left="57" w:right="57"/>
              <w:jc w:val="left"/>
              <w:rPr>
                <w:rFonts w:cs="Arial"/>
                <w:sz w:val="20"/>
                <w:szCs w:val="20"/>
                <w:lang w:val="sr-Latn-RS"/>
              </w:rPr>
            </w:pPr>
          </w:p>
        </w:tc>
        <w:tc>
          <w:tcPr>
            <w:tcW w:w="1802" w:type="pct"/>
            <w:tcBorders>
              <w:left w:val="nil"/>
              <w:right w:val="nil"/>
            </w:tcBorders>
            <w:shd w:val="clear" w:color="auto" w:fill="auto"/>
            <w:vAlign w:val="center"/>
          </w:tcPr>
          <w:p w14:paraId="0AAC10ED" w14:textId="77777777" w:rsidR="00481507" w:rsidRPr="00F3280F" w:rsidRDefault="00481507" w:rsidP="00F3280F">
            <w:pPr>
              <w:autoSpaceDE w:val="0"/>
              <w:autoSpaceDN w:val="0"/>
              <w:adjustRightInd w:val="0"/>
              <w:spacing w:before="0" w:after="0"/>
              <w:ind w:left="57" w:right="57"/>
              <w:jc w:val="left"/>
              <w:rPr>
                <w:rFonts w:cs="Arial"/>
                <w:sz w:val="20"/>
                <w:szCs w:val="20"/>
                <w:lang w:val="sr-Latn-RS"/>
              </w:rPr>
            </w:pPr>
            <w:r w:rsidRPr="00F3280F">
              <w:rPr>
                <w:rFonts w:cs="Arial"/>
                <w:sz w:val="20"/>
                <w:szCs w:val="20"/>
                <w:lang w:val="sr-Latn-RS"/>
              </w:rPr>
              <w:t>Validation</w:t>
            </w:r>
          </w:p>
        </w:tc>
        <w:tc>
          <w:tcPr>
            <w:tcW w:w="2197" w:type="pct"/>
            <w:tcBorders>
              <w:left w:val="nil"/>
              <w:right w:val="nil"/>
            </w:tcBorders>
            <w:shd w:val="clear" w:color="auto" w:fill="auto"/>
          </w:tcPr>
          <w:p w14:paraId="06120BFF" w14:textId="77777777" w:rsidR="00481507" w:rsidRPr="00F3280F" w:rsidRDefault="00481507" w:rsidP="00F3280F">
            <w:pPr>
              <w:autoSpaceDE w:val="0"/>
              <w:autoSpaceDN w:val="0"/>
              <w:adjustRightInd w:val="0"/>
              <w:spacing w:before="0" w:after="0"/>
              <w:ind w:left="57" w:right="57"/>
              <w:jc w:val="right"/>
              <w:rPr>
                <w:rFonts w:cs="Arial"/>
                <w:sz w:val="20"/>
                <w:szCs w:val="20"/>
                <w:lang w:val="sr-Latn-RS"/>
              </w:rPr>
            </w:pPr>
            <w:r w:rsidRPr="00F3280F">
              <w:rPr>
                <w:rFonts w:cs="Arial"/>
                <w:sz w:val="20"/>
                <w:szCs w:val="20"/>
                <w:lang w:val="sr-Latn-RS"/>
              </w:rPr>
              <w:t>None</w:t>
            </w:r>
          </w:p>
        </w:tc>
      </w:tr>
      <w:tr w:rsidR="00F3280F" w:rsidRPr="00F3280F" w14:paraId="621857B9" w14:textId="77777777" w:rsidTr="00091DF1">
        <w:trPr>
          <w:cantSplit/>
        </w:trPr>
        <w:tc>
          <w:tcPr>
            <w:tcW w:w="1001" w:type="pct"/>
            <w:vMerge/>
            <w:tcBorders>
              <w:left w:val="nil"/>
              <w:right w:val="nil"/>
            </w:tcBorders>
            <w:shd w:val="clear" w:color="auto" w:fill="auto"/>
            <w:vAlign w:val="center"/>
          </w:tcPr>
          <w:p w14:paraId="597B6DD7" w14:textId="77777777" w:rsidR="00481507" w:rsidRPr="00F3280F" w:rsidRDefault="00481507" w:rsidP="00F3280F">
            <w:pPr>
              <w:autoSpaceDE w:val="0"/>
              <w:autoSpaceDN w:val="0"/>
              <w:adjustRightInd w:val="0"/>
              <w:spacing w:before="0" w:after="0"/>
              <w:ind w:left="57" w:right="57"/>
              <w:jc w:val="left"/>
              <w:rPr>
                <w:rFonts w:cs="Arial"/>
                <w:sz w:val="20"/>
                <w:szCs w:val="20"/>
                <w:lang w:val="sr-Latn-RS"/>
              </w:rPr>
            </w:pPr>
          </w:p>
        </w:tc>
        <w:tc>
          <w:tcPr>
            <w:tcW w:w="1802" w:type="pct"/>
            <w:tcBorders>
              <w:left w:val="nil"/>
              <w:right w:val="nil"/>
            </w:tcBorders>
            <w:shd w:val="clear" w:color="auto" w:fill="auto"/>
            <w:vAlign w:val="center"/>
          </w:tcPr>
          <w:p w14:paraId="6F31B56F" w14:textId="77777777" w:rsidR="00481507" w:rsidRPr="00F3280F" w:rsidRDefault="00481507" w:rsidP="00F3280F">
            <w:pPr>
              <w:autoSpaceDE w:val="0"/>
              <w:autoSpaceDN w:val="0"/>
              <w:adjustRightInd w:val="0"/>
              <w:spacing w:before="0" w:after="0"/>
              <w:ind w:left="57" w:right="57"/>
              <w:jc w:val="left"/>
              <w:rPr>
                <w:rFonts w:cs="Arial"/>
                <w:sz w:val="20"/>
                <w:szCs w:val="20"/>
                <w:lang w:val="sr-Latn-RS"/>
              </w:rPr>
            </w:pPr>
            <w:r w:rsidRPr="00F3280F">
              <w:rPr>
                <w:rFonts w:cs="Arial"/>
                <w:sz w:val="20"/>
                <w:szCs w:val="20"/>
                <w:lang w:val="sr-Latn-RS"/>
              </w:rPr>
              <w:t>Maximum Tree Depth</w:t>
            </w:r>
          </w:p>
        </w:tc>
        <w:tc>
          <w:tcPr>
            <w:tcW w:w="2197" w:type="pct"/>
            <w:tcBorders>
              <w:left w:val="nil"/>
              <w:right w:val="nil"/>
            </w:tcBorders>
            <w:shd w:val="clear" w:color="auto" w:fill="auto"/>
          </w:tcPr>
          <w:p w14:paraId="610A457B" w14:textId="77777777" w:rsidR="00481507" w:rsidRPr="00F3280F" w:rsidRDefault="00481507" w:rsidP="00F3280F">
            <w:pPr>
              <w:autoSpaceDE w:val="0"/>
              <w:autoSpaceDN w:val="0"/>
              <w:adjustRightInd w:val="0"/>
              <w:spacing w:before="0" w:after="0"/>
              <w:ind w:left="57" w:right="57"/>
              <w:jc w:val="right"/>
              <w:rPr>
                <w:rFonts w:cs="Arial"/>
                <w:sz w:val="20"/>
                <w:szCs w:val="20"/>
                <w:lang w:val="sr-Latn-RS"/>
              </w:rPr>
            </w:pPr>
            <w:r w:rsidRPr="00F3280F">
              <w:rPr>
                <w:rFonts w:cs="Arial"/>
                <w:sz w:val="20"/>
                <w:szCs w:val="20"/>
                <w:lang w:val="sr-Latn-RS"/>
              </w:rPr>
              <w:t>5</w:t>
            </w:r>
          </w:p>
        </w:tc>
      </w:tr>
      <w:tr w:rsidR="00F3280F" w:rsidRPr="00F3280F" w14:paraId="66E61E3D" w14:textId="77777777" w:rsidTr="00091DF1">
        <w:trPr>
          <w:cantSplit/>
        </w:trPr>
        <w:tc>
          <w:tcPr>
            <w:tcW w:w="1001" w:type="pct"/>
            <w:vMerge/>
            <w:tcBorders>
              <w:left w:val="nil"/>
              <w:right w:val="nil"/>
            </w:tcBorders>
            <w:shd w:val="clear" w:color="auto" w:fill="auto"/>
            <w:vAlign w:val="center"/>
          </w:tcPr>
          <w:p w14:paraId="5AEA3E74" w14:textId="77777777" w:rsidR="00481507" w:rsidRPr="00F3280F" w:rsidRDefault="00481507" w:rsidP="00F3280F">
            <w:pPr>
              <w:autoSpaceDE w:val="0"/>
              <w:autoSpaceDN w:val="0"/>
              <w:adjustRightInd w:val="0"/>
              <w:spacing w:before="0" w:after="0"/>
              <w:ind w:left="57" w:right="57"/>
              <w:jc w:val="left"/>
              <w:rPr>
                <w:rFonts w:cs="Arial"/>
                <w:sz w:val="20"/>
                <w:szCs w:val="20"/>
                <w:lang w:val="sr-Latn-RS"/>
              </w:rPr>
            </w:pPr>
          </w:p>
        </w:tc>
        <w:tc>
          <w:tcPr>
            <w:tcW w:w="1802" w:type="pct"/>
            <w:tcBorders>
              <w:left w:val="nil"/>
              <w:right w:val="nil"/>
            </w:tcBorders>
            <w:shd w:val="clear" w:color="auto" w:fill="auto"/>
            <w:vAlign w:val="center"/>
          </w:tcPr>
          <w:p w14:paraId="676AD7B5" w14:textId="77777777" w:rsidR="00481507" w:rsidRPr="00F3280F" w:rsidRDefault="00481507" w:rsidP="00F3280F">
            <w:pPr>
              <w:autoSpaceDE w:val="0"/>
              <w:autoSpaceDN w:val="0"/>
              <w:adjustRightInd w:val="0"/>
              <w:spacing w:before="0" w:after="0"/>
              <w:ind w:left="57" w:right="57"/>
              <w:jc w:val="left"/>
              <w:rPr>
                <w:rFonts w:cs="Arial"/>
                <w:sz w:val="20"/>
                <w:szCs w:val="20"/>
                <w:lang w:val="sr-Latn-RS"/>
              </w:rPr>
            </w:pPr>
            <w:r w:rsidRPr="00F3280F">
              <w:rPr>
                <w:rFonts w:cs="Arial"/>
                <w:sz w:val="20"/>
                <w:szCs w:val="20"/>
                <w:lang w:val="sr-Latn-RS"/>
              </w:rPr>
              <w:t>Minimum Cases in Parent Node</w:t>
            </w:r>
          </w:p>
        </w:tc>
        <w:tc>
          <w:tcPr>
            <w:tcW w:w="2197" w:type="pct"/>
            <w:tcBorders>
              <w:left w:val="nil"/>
              <w:right w:val="nil"/>
            </w:tcBorders>
            <w:shd w:val="clear" w:color="auto" w:fill="auto"/>
          </w:tcPr>
          <w:p w14:paraId="08E2265B" w14:textId="77777777" w:rsidR="00481507" w:rsidRPr="00F3280F" w:rsidRDefault="00481507" w:rsidP="00F3280F">
            <w:pPr>
              <w:autoSpaceDE w:val="0"/>
              <w:autoSpaceDN w:val="0"/>
              <w:adjustRightInd w:val="0"/>
              <w:spacing w:before="0" w:after="0"/>
              <w:ind w:left="57" w:right="57"/>
              <w:jc w:val="right"/>
              <w:rPr>
                <w:rFonts w:cs="Arial"/>
                <w:sz w:val="20"/>
                <w:szCs w:val="20"/>
                <w:lang w:val="sr-Latn-RS"/>
              </w:rPr>
            </w:pPr>
            <w:r w:rsidRPr="00F3280F">
              <w:rPr>
                <w:rFonts w:cs="Arial"/>
                <w:sz w:val="20"/>
                <w:szCs w:val="20"/>
                <w:lang w:val="sr-Latn-RS"/>
              </w:rPr>
              <w:t>100</w:t>
            </w:r>
          </w:p>
        </w:tc>
      </w:tr>
      <w:tr w:rsidR="00F3280F" w:rsidRPr="00F3280F" w14:paraId="3BC4968D" w14:textId="77777777" w:rsidTr="00091DF1">
        <w:trPr>
          <w:cantSplit/>
        </w:trPr>
        <w:tc>
          <w:tcPr>
            <w:tcW w:w="1001" w:type="pct"/>
            <w:vMerge/>
            <w:tcBorders>
              <w:left w:val="nil"/>
              <w:right w:val="nil"/>
            </w:tcBorders>
            <w:shd w:val="clear" w:color="auto" w:fill="auto"/>
            <w:vAlign w:val="center"/>
          </w:tcPr>
          <w:p w14:paraId="2522F84F" w14:textId="77777777" w:rsidR="00481507" w:rsidRPr="00F3280F" w:rsidRDefault="00481507" w:rsidP="00F3280F">
            <w:pPr>
              <w:autoSpaceDE w:val="0"/>
              <w:autoSpaceDN w:val="0"/>
              <w:adjustRightInd w:val="0"/>
              <w:spacing w:before="0" w:after="0"/>
              <w:ind w:left="57" w:right="57"/>
              <w:jc w:val="left"/>
              <w:rPr>
                <w:rFonts w:cs="Arial"/>
                <w:sz w:val="20"/>
                <w:szCs w:val="20"/>
                <w:lang w:val="sr-Latn-RS"/>
              </w:rPr>
            </w:pPr>
          </w:p>
        </w:tc>
        <w:tc>
          <w:tcPr>
            <w:tcW w:w="1802" w:type="pct"/>
            <w:tcBorders>
              <w:left w:val="nil"/>
              <w:right w:val="nil"/>
            </w:tcBorders>
            <w:shd w:val="clear" w:color="auto" w:fill="auto"/>
            <w:vAlign w:val="center"/>
          </w:tcPr>
          <w:p w14:paraId="499CA2A0" w14:textId="77777777" w:rsidR="00481507" w:rsidRPr="00F3280F" w:rsidRDefault="00481507" w:rsidP="00F3280F">
            <w:pPr>
              <w:autoSpaceDE w:val="0"/>
              <w:autoSpaceDN w:val="0"/>
              <w:adjustRightInd w:val="0"/>
              <w:spacing w:before="0" w:after="0"/>
              <w:ind w:left="57" w:right="57"/>
              <w:jc w:val="left"/>
              <w:rPr>
                <w:rFonts w:cs="Arial"/>
                <w:sz w:val="20"/>
                <w:szCs w:val="20"/>
                <w:lang w:val="sr-Latn-RS"/>
              </w:rPr>
            </w:pPr>
            <w:r w:rsidRPr="00F3280F">
              <w:rPr>
                <w:rFonts w:cs="Arial"/>
                <w:sz w:val="20"/>
                <w:szCs w:val="20"/>
                <w:lang w:val="sr-Latn-RS"/>
              </w:rPr>
              <w:t>Minimum Cases in Child Node</w:t>
            </w:r>
          </w:p>
        </w:tc>
        <w:tc>
          <w:tcPr>
            <w:tcW w:w="2197" w:type="pct"/>
            <w:tcBorders>
              <w:left w:val="nil"/>
              <w:right w:val="nil"/>
            </w:tcBorders>
            <w:shd w:val="clear" w:color="auto" w:fill="auto"/>
          </w:tcPr>
          <w:p w14:paraId="1917A93F" w14:textId="77777777" w:rsidR="00481507" w:rsidRPr="00F3280F" w:rsidRDefault="00481507" w:rsidP="00F3280F">
            <w:pPr>
              <w:autoSpaceDE w:val="0"/>
              <w:autoSpaceDN w:val="0"/>
              <w:adjustRightInd w:val="0"/>
              <w:spacing w:before="0" w:after="0"/>
              <w:ind w:left="57" w:right="57"/>
              <w:jc w:val="right"/>
              <w:rPr>
                <w:rFonts w:cs="Arial"/>
                <w:sz w:val="20"/>
                <w:szCs w:val="20"/>
                <w:lang w:val="sr-Latn-RS"/>
              </w:rPr>
            </w:pPr>
            <w:r w:rsidRPr="00F3280F">
              <w:rPr>
                <w:rFonts w:cs="Arial"/>
                <w:sz w:val="20"/>
                <w:szCs w:val="20"/>
                <w:lang w:val="sr-Latn-RS"/>
              </w:rPr>
              <w:t>50</w:t>
            </w:r>
          </w:p>
        </w:tc>
      </w:tr>
      <w:tr w:rsidR="00F3280F" w:rsidRPr="00F3280F" w14:paraId="1FC3CF84" w14:textId="77777777" w:rsidTr="00091DF1">
        <w:trPr>
          <w:cantSplit/>
        </w:trPr>
        <w:tc>
          <w:tcPr>
            <w:tcW w:w="1001" w:type="pct"/>
            <w:vMerge w:val="restart"/>
            <w:tcBorders>
              <w:left w:val="nil"/>
              <w:right w:val="nil"/>
            </w:tcBorders>
            <w:shd w:val="clear" w:color="auto" w:fill="auto"/>
            <w:vAlign w:val="center"/>
          </w:tcPr>
          <w:p w14:paraId="7FD06FB1" w14:textId="77777777" w:rsidR="00481507" w:rsidRPr="00F3280F" w:rsidRDefault="00481507" w:rsidP="00F3280F">
            <w:pPr>
              <w:autoSpaceDE w:val="0"/>
              <w:autoSpaceDN w:val="0"/>
              <w:adjustRightInd w:val="0"/>
              <w:spacing w:before="0" w:after="0"/>
              <w:ind w:left="57" w:right="57"/>
              <w:jc w:val="left"/>
              <w:rPr>
                <w:rFonts w:cs="Arial"/>
                <w:sz w:val="20"/>
                <w:szCs w:val="20"/>
                <w:lang w:val="sr-Latn-RS"/>
              </w:rPr>
            </w:pPr>
            <w:r w:rsidRPr="00F3280F">
              <w:rPr>
                <w:rFonts w:cs="Arial"/>
                <w:sz w:val="20"/>
                <w:szCs w:val="20"/>
                <w:lang w:val="sr-Latn-RS"/>
              </w:rPr>
              <w:t>Results</w:t>
            </w:r>
          </w:p>
        </w:tc>
        <w:tc>
          <w:tcPr>
            <w:tcW w:w="1802" w:type="pct"/>
            <w:tcBorders>
              <w:left w:val="nil"/>
              <w:right w:val="nil"/>
            </w:tcBorders>
            <w:shd w:val="clear" w:color="auto" w:fill="auto"/>
            <w:vAlign w:val="center"/>
          </w:tcPr>
          <w:p w14:paraId="7A59DCA6" w14:textId="77777777" w:rsidR="00481507" w:rsidRPr="00F3280F" w:rsidRDefault="00481507" w:rsidP="00F3280F">
            <w:pPr>
              <w:autoSpaceDE w:val="0"/>
              <w:autoSpaceDN w:val="0"/>
              <w:adjustRightInd w:val="0"/>
              <w:spacing w:before="0" w:after="0"/>
              <w:ind w:left="57" w:right="57"/>
              <w:jc w:val="left"/>
              <w:rPr>
                <w:rFonts w:cs="Arial"/>
                <w:sz w:val="20"/>
                <w:szCs w:val="20"/>
                <w:lang w:val="sr-Latn-RS"/>
              </w:rPr>
            </w:pPr>
            <w:r w:rsidRPr="00F3280F">
              <w:rPr>
                <w:rFonts w:cs="Arial"/>
                <w:sz w:val="20"/>
                <w:szCs w:val="20"/>
                <w:lang w:val="sr-Latn-RS"/>
              </w:rPr>
              <w:t>Independent Variables Included</w:t>
            </w:r>
          </w:p>
        </w:tc>
        <w:tc>
          <w:tcPr>
            <w:tcW w:w="2197" w:type="pct"/>
            <w:tcBorders>
              <w:left w:val="nil"/>
              <w:right w:val="nil"/>
            </w:tcBorders>
            <w:shd w:val="clear" w:color="auto" w:fill="auto"/>
          </w:tcPr>
          <w:p w14:paraId="6472B62D" w14:textId="77777777" w:rsidR="00481507" w:rsidRPr="00F3280F" w:rsidRDefault="00481507" w:rsidP="00F3280F">
            <w:pPr>
              <w:autoSpaceDE w:val="0"/>
              <w:autoSpaceDN w:val="0"/>
              <w:adjustRightInd w:val="0"/>
              <w:spacing w:before="0" w:after="0"/>
              <w:ind w:left="57" w:right="57"/>
              <w:jc w:val="right"/>
              <w:rPr>
                <w:rFonts w:cs="Arial"/>
                <w:sz w:val="20"/>
                <w:szCs w:val="20"/>
                <w:lang w:val="sr-Latn-RS"/>
              </w:rPr>
            </w:pPr>
            <w:r w:rsidRPr="00F3280F">
              <w:rPr>
                <w:rFonts w:cs="Arial"/>
                <w:sz w:val="20"/>
                <w:szCs w:val="20"/>
                <w:lang w:val="sr-Latn-RS"/>
              </w:rPr>
              <w:t>N_Median_OS, N_Max_OS, N_Min_OS, N_Stdev_OS, T2, N_Kurt_OS, HS_idle_time, T1, Load_kg_n, T4</w:t>
            </w:r>
          </w:p>
        </w:tc>
      </w:tr>
      <w:tr w:rsidR="00F3280F" w:rsidRPr="00F3280F" w14:paraId="6BC5B69A" w14:textId="77777777" w:rsidTr="00091DF1">
        <w:trPr>
          <w:cantSplit/>
        </w:trPr>
        <w:tc>
          <w:tcPr>
            <w:tcW w:w="1001" w:type="pct"/>
            <w:vMerge/>
            <w:tcBorders>
              <w:left w:val="nil"/>
              <w:right w:val="nil"/>
            </w:tcBorders>
            <w:shd w:val="clear" w:color="auto" w:fill="auto"/>
            <w:vAlign w:val="center"/>
          </w:tcPr>
          <w:p w14:paraId="35FCB566" w14:textId="77777777" w:rsidR="00481507" w:rsidRPr="00F3280F" w:rsidRDefault="00481507" w:rsidP="00F3280F">
            <w:pPr>
              <w:autoSpaceDE w:val="0"/>
              <w:autoSpaceDN w:val="0"/>
              <w:adjustRightInd w:val="0"/>
              <w:spacing w:before="0" w:after="0"/>
              <w:ind w:left="57" w:right="57"/>
              <w:jc w:val="left"/>
              <w:rPr>
                <w:rFonts w:cs="Arial"/>
                <w:sz w:val="20"/>
                <w:szCs w:val="20"/>
                <w:lang w:val="sr-Latn-RS"/>
              </w:rPr>
            </w:pPr>
          </w:p>
        </w:tc>
        <w:tc>
          <w:tcPr>
            <w:tcW w:w="1802" w:type="pct"/>
            <w:tcBorders>
              <w:left w:val="nil"/>
              <w:right w:val="nil"/>
            </w:tcBorders>
            <w:shd w:val="clear" w:color="auto" w:fill="auto"/>
            <w:vAlign w:val="center"/>
          </w:tcPr>
          <w:p w14:paraId="3AC7D79B" w14:textId="77777777" w:rsidR="00481507" w:rsidRPr="00F3280F" w:rsidRDefault="00481507" w:rsidP="00F3280F">
            <w:pPr>
              <w:autoSpaceDE w:val="0"/>
              <w:autoSpaceDN w:val="0"/>
              <w:adjustRightInd w:val="0"/>
              <w:spacing w:before="0" w:after="0"/>
              <w:ind w:left="57" w:right="57"/>
              <w:jc w:val="left"/>
              <w:rPr>
                <w:rFonts w:cs="Arial"/>
                <w:sz w:val="20"/>
                <w:szCs w:val="20"/>
                <w:lang w:val="sr-Latn-RS"/>
              </w:rPr>
            </w:pPr>
            <w:r w:rsidRPr="00F3280F">
              <w:rPr>
                <w:rFonts w:cs="Arial"/>
                <w:sz w:val="20"/>
                <w:szCs w:val="20"/>
                <w:lang w:val="sr-Latn-RS"/>
              </w:rPr>
              <w:t>Number of Nodes</w:t>
            </w:r>
          </w:p>
        </w:tc>
        <w:tc>
          <w:tcPr>
            <w:tcW w:w="2197" w:type="pct"/>
            <w:tcBorders>
              <w:left w:val="nil"/>
              <w:right w:val="nil"/>
            </w:tcBorders>
            <w:shd w:val="clear" w:color="auto" w:fill="auto"/>
          </w:tcPr>
          <w:p w14:paraId="1FA72F13" w14:textId="77777777" w:rsidR="00481507" w:rsidRPr="00F3280F" w:rsidRDefault="00481507" w:rsidP="00F3280F">
            <w:pPr>
              <w:autoSpaceDE w:val="0"/>
              <w:autoSpaceDN w:val="0"/>
              <w:adjustRightInd w:val="0"/>
              <w:spacing w:before="0" w:after="0"/>
              <w:ind w:left="57" w:right="57"/>
              <w:jc w:val="right"/>
              <w:rPr>
                <w:rFonts w:cs="Arial"/>
                <w:sz w:val="20"/>
                <w:szCs w:val="20"/>
                <w:lang w:val="sr-Latn-RS"/>
              </w:rPr>
            </w:pPr>
            <w:r w:rsidRPr="00F3280F">
              <w:rPr>
                <w:rFonts w:cs="Arial"/>
                <w:sz w:val="20"/>
                <w:szCs w:val="20"/>
                <w:lang w:val="sr-Latn-RS"/>
              </w:rPr>
              <w:t>5</w:t>
            </w:r>
          </w:p>
        </w:tc>
      </w:tr>
      <w:tr w:rsidR="00F3280F" w:rsidRPr="00F3280F" w14:paraId="5B304047" w14:textId="77777777" w:rsidTr="00091DF1">
        <w:trPr>
          <w:cantSplit/>
        </w:trPr>
        <w:tc>
          <w:tcPr>
            <w:tcW w:w="1001" w:type="pct"/>
            <w:vMerge/>
            <w:tcBorders>
              <w:left w:val="nil"/>
              <w:right w:val="nil"/>
            </w:tcBorders>
            <w:shd w:val="clear" w:color="auto" w:fill="auto"/>
            <w:vAlign w:val="center"/>
          </w:tcPr>
          <w:p w14:paraId="1AFB35D2" w14:textId="77777777" w:rsidR="00481507" w:rsidRPr="00F3280F" w:rsidRDefault="00481507" w:rsidP="00F3280F">
            <w:pPr>
              <w:autoSpaceDE w:val="0"/>
              <w:autoSpaceDN w:val="0"/>
              <w:adjustRightInd w:val="0"/>
              <w:spacing w:before="0" w:after="0"/>
              <w:ind w:left="57" w:right="57"/>
              <w:jc w:val="left"/>
              <w:rPr>
                <w:rFonts w:cs="Arial"/>
                <w:sz w:val="20"/>
                <w:szCs w:val="20"/>
                <w:lang w:val="sr-Latn-RS"/>
              </w:rPr>
            </w:pPr>
          </w:p>
        </w:tc>
        <w:tc>
          <w:tcPr>
            <w:tcW w:w="1802" w:type="pct"/>
            <w:tcBorders>
              <w:left w:val="nil"/>
              <w:right w:val="nil"/>
            </w:tcBorders>
            <w:shd w:val="clear" w:color="auto" w:fill="auto"/>
            <w:vAlign w:val="center"/>
          </w:tcPr>
          <w:p w14:paraId="324C8724" w14:textId="77777777" w:rsidR="00481507" w:rsidRPr="00F3280F" w:rsidRDefault="00481507" w:rsidP="00F3280F">
            <w:pPr>
              <w:autoSpaceDE w:val="0"/>
              <w:autoSpaceDN w:val="0"/>
              <w:adjustRightInd w:val="0"/>
              <w:spacing w:before="0" w:after="0"/>
              <w:ind w:left="57" w:right="57"/>
              <w:jc w:val="left"/>
              <w:rPr>
                <w:rFonts w:cs="Arial"/>
                <w:sz w:val="20"/>
                <w:szCs w:val="20"/>
                <w:lang w:val="sr-Latn-RS"/>
              </w:rPr>
            </w:pPr>
            <w:r w:rsidRPr="00F3280F">
              <w:rPr>
                <w:rFonts w:cs="Arial"/>
                <w:sz w:val="20"/>
                <w:szCs w:val="20"/>
                <w:lang w:val="sr-Latn-RS"/>
              </w:rPr>
              <w:t>Number of Terminal Nodes</w:t>
            </w:r>
          </w:p>
        </w:tc>
        <w:tc>
          <w:tcPr>
            <w:tcW w:w="2197" w:type="pct"/>
            <w:tcBorders>
              <w:left w:val="nil"/>
              <w:right w:val="nil"/>
            </w:tcBorders>
            <w:shd w:val="clear" w:color="auto" w:fill="auto"/>
          </w:tcPr>
          <w:p w14:paraId="3CE93F5A" w14:textId="77777777" w:rsidR="00481507" w:rsidRPr="00F3280F" w:rsidRDefault="00481507" w:rsidP="00F3280F">
            <w:pPr>
              <w:autoSpaceDE w:val="0"/>
              <w:autoSpaceDN w:val="0"/>
              <w:adjustRightInd w:val="0"/>
              <w:spacing w:before="0" w:after="0"/>
              <w:ind w:left="57" w:right="57"/>
              <w:jc w:val="right"/>
              <w:rPr>
                <w:rFonts w:cs="Arial"/>
                <w:sz w:val="20"/>
                <w:szCs w:val="20"/>
                <w:lang w:val="sr-Latn-RS"/>
              </w:rPr>
            </w:pPr>
            <w:r w:rsidRPr="00F3280F">
              <w:rPr>
                <w:rFonts w:cs="Arial"/>
                <w:sz w:val="20"/>
                <w:szCs w:val="20"/>
                <w:lang w:val="sr-Latn-RS"/>
              </w:rPr>
              <w:t>3</w:t>
            </w:r>
          </w:p>
        </w:tc>
      </w:tr>
      <w:tr w:rsidR="00F3280F" w:rsidRPr="00F3280F" w14:paraId="1C051DC2" w14:textId="77777777" w:rsidTr="00091DF1">
        <w:trPr>
          <w:cantSplit/>
        </w:trPr>
        <w:tc>
          <w:tcPr>
            <w:tcW w:w="1001" w:type="pct"/>
            <w:vMerge/>
            <w:tcBorders>
              <w:left w:val="nil"/>
              <w:bottom w:val="single" w:sz="4" w:space="0" w:color="auto"/>
              <w:right w:val="nil"/>
            </w:tcBorders>
            <w:shd w:val="clear" w:color="auto" w:fill="auto"/>
            <w:vAlign w:val="center"/>
          </w:tcPr>
          <w:p w14:paraId="651EC2CD" w14:textId="77777777" w:rsidR="00481507" w:rsidRPr="00F3280F" w:rsidRDefault="00481507" w:rsidP="00F3280F">
            <w:pPr>
              <w:autoSpaceDE w:val="0"/>
              <w:autoSpaceDN w:val="0"/>
              <w:adjustRightInd w:val="0"/>
              <w:spacing w:before="0" w:after="0"/>
              <w:ind w:left="57" w:right="57"/>
              <w:jc w:val="left"/>
              <w:rPr>
                <w:rFonts w:cs="Arial"/>
                <w:sz w:val="20"/>
                <w:szCs w:val="20"/>
                <w:lang w:val="sr-Latn-RS"/>
              </w:rPr>
            </w:pPr>
          </w:p>
        </w:tc>
        <w:tc>
          <w:tcPr>
            <w:tcW w:w="1802" w:type="pct"/>
            <w:tcBorders>
              <w:left w:val="nil"/>
              <w:bottom w:val="single" w:sz="4" w:space="0" w:color="auto"/>
              <w:right w:val="nil"/>
            </w:tcBorders>
            <w:shd w:val="clear" w:color="auto" w:fill="auto"/>
            <w:vAlign w:val="center"/>
          </w:tcPr>
          <w:p w14:paraId="68241899" w14:textId="77777777" w:rsidR="00481507" w:rsidRPr="00F3280F" w:rsidRDefault="00481507" w:rsidP="00F3280F">
            <w:pPr>
              <w:autoSpaceDE w:val="0"/>
              <w:autoSpaceDN w:val="0"/>
              <w:adjustRightInd w:val="0"/>
              <w:spacing w:before="0" w:after="0"/>
              <w:ind w:left="57" w:right="57"/>
              <w:jc w:val="left"/>
              <w:rPr>
                <w:rFonts w:cs="Arial"/>
                <w:sz w:val="20"/>
                <w:szCs w:val="20"/>
                <w:lang w:val="sr-Latn-RS"/>
              </w:rPr>
            </w:pPr>
            <w:r w:rsidRPr="00F3280F">
              <w:rPr>
                <w:rFonts w:cs="Arial"/>
                <w:sz w:val="20"/>
                <w:szCs w:val="20"/>
                <w:lang w:val="sr-Latn-RS"/>
              </w:rPr>
              <w:t>Depth</w:t>
            </w:r>
          </w:p>
        </w:tc>
        <w:tc>
          <w:tcPr>
            <w:tcW w:w="2197" w:type="pct"/>
            <w:tcBorders>
              <w:left w:val="nil"/>
              <w:bottom w:val="single" w:sz="4" w:space="0" w:color="auto"/>
              <w:right w:val="nil"/>
            </w:tcBorders>
            <w:shd w:val="clear" w:color="auto" w:fill="auto"/>
          </w:tcPr>
          <w:p w14:paraId="4BD09586" w14:textId="77777777" w:rsidR="00481507" w:rsidRPr="00F3280F" w:rsidRDefault="00481507" w:rsidP="00F3280F">
            <w:pPr>
              <w:autoSpaceDE w:val="0"/>
              <w:autoSpaceDN w:val="0"/>
              <w:adjustRightInd w:val="0"/>
              <w:spacing w:before="0" w:after="0"/>
              <w:ind w:left="57" w:right="57"/>
              <w:jc w:val="right"/>
              <w:rPr>
                <w:rFonts w:cs="Arial"/>
                <w:sz w:val="20"/>
                <w:szCs w:val="20"/>
                <w:lang w:val="sr-Latn-RS"/>
              </w:rPr>
            </w:pPr>
            <w:r w:rsidRPr="00F3280F">
              <w:rPr>
                <w:rFonts w:cs="Arial"/>
                <w:sz w:val="20"/>
                <w:szCs w:val="20"/>
                <w:lang w:val="sr-Latn-RS"/>
              </w:rPr>
              <w:t>2</w:t>
            </w:r>
          </w:p>
        </w:tc>
      </w:tr>
    </w:tbl>
    <w:p w14:paraId="5A9D1A4F" w14:textId="121D1F75" w:rsidR="00481507" w:rsidRDefault="001746A1" w:rsidP="003D4526">
      <w:pPr>
        <w:rPr>
          <w:lang w:val="sr-Latn-RS"/>
        </w:rPr>
      </w:pPr>
      <w:r>
        <w:rPr>
          <w:lang w:val="sr-Latn-RS"/>
        </w:rPr>
        <w:t>Following that</w:t>
      </w:r>
      <w:r w:rsidR="004909B8">
        <w:rPr>
          <w:lang w:val="sr-Latn-RS"/>
        </w:rPr>
        <w:t>,</w:t>
      </w:r>
      <w:r>
        <w:rPr>
          <w:lang w:val="sr-Latn-RS"/>
        </w:rPr>
        <w:t xml:space="preserve"> the parent node N_Median_OS showed the highest improvement of the tree decision (node separation) due to </w:t>
      </w:r>
      <w:r w:rsidR="004909B8">
        <w:rPr>
          <w:lang w:val="sr-Latn-RS"/>
        </w:rPr>
        <w:t xml:space="preserve">the </w:t>
      </w:r>
      <w:r>
        <w:rPr>
          <w:lang w:val="sr-Latn-RS"/>
        </w:rPr>
        <w:t>lowest impurity</w:t>
      </w:r>
      <w:r w:rsidR="004909B8">
        <w:rPr>
          <w:lang w:val="sr-Latn-RS"/>
        </w:rPr>
        <w:t>;</w:t>
      </w:r>
      <w:r>
        <w:rPr>
          <w:lang w:val="sr-Latn-RS"/>
        </w:rPr>
        <w:t xml:space="preserve"> the second level of improvement is N_StDev_OS </w:t>
      </w:r>
      <w:r w:rsidR="003D4526">
        <w:rPr>
          <w:lang w:val="sr-Latn-RS"/>
        </w:rPr>
        <w:t>(</w:t>
      </w:r>
      <w:r>
        <w:rPr>
          <w:lang w:val="sr-Latn-RS"/>
        </w:rPr>
        <w:fldChar w:fldCharType="begin"/>
      </w:r>
      <w:r>
        <w:rPr>
          <w:lang w:val="sr-Latn-RS"/>
        </w:rPr>
        <w:instrText xml:space="preserve"> REF _Ref98750475 \h </w:instrText>
      </w:r>
      <w:r>
        <w:rPr>
          <w:lang w:val="sr-Latn-RS"/>
        </w:rPr>
      </w:r>
      <w:r>
        <w:rPr>
          <w:lang w:val="sr-Latn-RS"/>
        </w:rPr>
        <w:fldChar w:fldCharType="separate"/>
      </w:r>
      <w:r w:rsidR="00587AF0">
        <w:t xml:space="preserve">Table </w:t>
      </w:r>
      <w:r w:rsidR="00587AF0">
        <w:rPr>
          <w:noProof/>
        </w:rPr>
        <w:t>47</w:t>
      </w:r>
      <w:r>
        <w:rPr>
          <w:lang w:val="sr-Latn-RS"/>
        </w:rPr>
        <w:fldChar w:fldCharType="end"/>
      </w:r>
      <w:r w:rsidR="003D4526">
        <w:rPr>
          <w:lang w:val="sr-Latn-RS"/>
        </w:rPr>
        <w:t xml:space="preserve">), which is not the case </w:t>
      </w:r>
      <w:r w:rsidR="004909B8">
        <w:rPr>
          <w:lang w:val="sr-Latn-RS"/>
        </w:rPr>
        <w:t>in</w:t>
      </w:r>
      <w:r w:rsidR="003D4526">
        <w:rPr>
          <w:lang w:val="sr-Latn-RS"/>
        </w:rPr>
        <w:t xml:space="preserve"> </w:t>
      </w:r>
      <w:r w:rsidR="004909B8">
        <w:rPr>
          <w:lang w:val="sr-Latn-RS"/>
        </w:rPr>
        <w:t xml:space="preserve">the </w:t>
      </w:r>
      <w:r w:rsidR="003D4526">
        <w:rPr>
          <w:lang w:val="sr-Latn-RS"/>
        </w:rPr>
        <w:t>GNB and ANN model that selected N_Max_OS and N_Min_OS values inste</w:t>
      </w:r>
      <w:r w:rsidR="004909B8">
        <w:rPr>
          <w:lang w:val="sr-Latn-RS"/>
        </w:rPr>
        <w:t>a</w:t>
      </w:r>
      <w:r w:rsidR="003D4526">
        <w:rPr>
          <w:lang w:val="sr-Latn-RS"/>
        </w:rPr>
        <w:t>d of N_Median_OS, respectively. The underlying reason is that</w:t>
      </w:r>
      <w:r w:rsidR="004909B8">
        <w:rPr>
          <w:lang w:val="sr-Latn-RS"/>
        </w:rPr>
        <w:t>,</w:t>
      </w:r>
      <w:r w:rsidR="003D4526">
        <w:rPr>
          <w:lang w:val="sr-Latn-RS"/>
        </w:rPr>
        <w:t xml:space="preserve"> unlike </w:t>
      </w:r>
      <w:r w:rsidR="004909B8">
        <w:rPr>
          <w:lang w:val="sr-Latn-RS"/>
        </w:rPr>
        <w:t xml:space="preserve">the </w:t>
      </w:r>
      <w:r w:rsidR="003D4526">
        <w:rPr>
          <w:lang w:val="sr-Latn-RS"/>
        </w:rPr>
        <w:t xml:space="preserve">GNB model, the DT-CART is </w:t>
      </w:r>
      <w:r w:rsidR="004909B8">
        <w:rPr>
          <w:lang w:val="sr-Latn-RS"/>
        </w:rPr>
        <w:t xml:space="preserve">a </w:t>
      </w:r>
      <w:r w:rsidR="003D4526">
        <w:rPr>
          <w:lang w:val="sr-Latn-RS"/>
        </w:rPr>
        <w:t>discriminant model and does include the parameters of Gaussian assumption as GNB does (generative)</w:t>
      </w:r>
      <w:r w:rsidR="004909B8">
        <w:rPr>
          <w:lang w:val="sr-Latn-RS"/>
        </w:rPr>
        <w:t>;</w:t>
      </w:r>
      <w:r w:rsidR="003D4526">
        <w:rPr>
          <w:lang w:val="sr-Latn-RS"/>
        </w:rPr>
        <w:t xml:space="preserve"> however, ANN</w:t>
      </w:r>
      <w:r w:rsidR="004909B8">
        <w:rPr>
          <w:lang w:val="sr-Latn-RS"/>
        </w:rPr>
        <w:t>,</w:t>
      </w:r>
      <w:r w:rsidR="003D4526">
        <w:rPr>
          <w:lang w:val="sr-Latn-RS"/>
        </w:rPr>
        <w:t xml:space="preserve"> in this case</w:t>
      </w:r>
      <w:r w:rsidR="004909B8">
        <w:rPr>
          <w:lang w:val="sr-Latn-RS"/>
        </w:rPr>
        <w:t>,</w:t>
      </w:r>
      <w:r w:rsidR="003D4526">
        <w:rPr>
          <w:lang w:val="sr-Latn-RS"/>
        </w:rPr>
        <w:t xml:space="preserve"> is also discrim</w:t>
      </w:r>
      <w:r w:rsidR="004909B8">
        <w:rPr>
          <w:lang w:val="sr-Latn-RS"/>
        </w:rPr>
        <w:t>in</w:t>
      </w:r>
      <w:r w:rsidR="003D4526">
        <w:rPr>
          <w:lang w:val="sr-Latn-RS"/>
        </w:rPr>
        <w:t xml:space="preserve">ative but uses mapping the outputs based on the entropy of </w:t>
      </w:r>
      <w:r w:rsidR="003D4526">
        <w:rPr>
          <w:i/>
          <w:iCs/>
          <w:lang w:val="sr-Latn-RS"/>
        </w:rPr>
        <w:t>X</w:t>
      </w:r>
      <w:r w:rsidR="003D4526">
        <w:rPr>
          <w:lang w:val="sr-Latn-RS"/>
        </w:rPr>
        <w:t xml:space="preserve"> parameters</w:t>
      </w:r>
      <w:r w:rsidR="004909B8">
        <w:rPr>
          <w:lang w:val="sr-Latn-RS"/>
        </w:rPr>
        <w:t>.</w:t>
      </w:r>
    </w:p>
    <w:p w14:paraId="4AA8B896" w14:textId="01181BD5" w:rsidR="00F92434" w:rsidRPr="0073511A" w:rsidRDefault="00F92434" w:rsidP="00F92434">
      <w:pPr>
        <w:pStyle w:val="Caption"/>
        <w:jc w:val="both"/>
        <w:rPr>
          <w:lang w:val="sr-Latn-RS"/>
        </w:rPr>
      </w:pPr>
      <w:bookmarkStart w:id="633" w:name="_Toc101274490"/>
      <w:r>
        <w:t xml:space="preserve">Table </w:t>
      </w:r>
      <w:fldSimple w:instr=" SEQ Table \* ARABIC ">
        <w:r w:rsidR="00587AF0">
          <w:rPr>
            <w:noProof/>
          </w:rPr>
          <w:t>50</w:t>
        </w:r>
      </w:fldSimple>
      <w:r>
        <w:t>. Table of surrogates of variables at opening saddle position</w:t>
      </w:r>
      <w:bookmarkEnd w:id="633"/>
    </w:p>
    <w:tbl>
      <w:tblPr>
        <w:tblW w:w="5000" w:type="pct"/>
        <w:tblCellMar>
          <w:left w:w="0" w:type="dxa"/>
          <w:right w:w="0" w:type="dxa"/>
        </w:tblCellMar>
        <w:tblLook w:val="0000" w:firstRow="0" w:lastRow="0" w:firstColumn="0" w:lastColumn="0" w:noHBand="0" w:noVBand="0"/>
      </w:tblPr>
      <w:tblGrid>
        <w:gridCol w:w="1755"/>
        <w:gridCol w:w="1437"/>
        <w:gridCol w:w="2369"/>
        <w:gridCol w:w="1818"/>
        <w:gridCol w:w="1648"/>
      </w:tblGrid>
      <w:tr w:rsidR="00F92434" w:rsidRPr="00F92434" w14:paraId="4B32B1C7" w14:textId="77777777" w:rsidTr="000701A7">
        <w:trPr>
          <w:cantSplit/>
        </w:trPr>
        <w:tc>
          <w:tcPr>
            <w:tcW w:w="972" w:type="pct"/>
            <w:tcBorders>
              <w:top w:val="single" w:sz="4" w:space="0" w:color="auto"/>
              <w:bottom w:val="single" w:sz="4" w:space="0" w:color="auto"/>
            </w:tcBorders>
            <w:shd w:val="clear" w:color="auto" w:fill="auto"/>
            <w:vAlign w:val="bottom"/>
          </w:tcPr>
          <w:p w14:paraId="79FA5342" w14:textId="77777777" w:rsidR="00F92434" w:rsidRPr="000701A7" w:rsidRDefault="00F92434" w:rsidP="00F92434">
            <w:pPr>
              <w:autoSpaceDE w:val="0"/>
              <w:autoSpaceDN w:val="0"/>
              <w:adjustRightInd w:val="0"/>
              <w:spacing w:before="0" w:after="0"/>
              <w:ind w:left="57" w:right="57"/>
              <w:jc w:val="left"/>
              <w:rPr>
                <w:rFonts w:cs="Arial"/>
                <w:b/>
                <w:bCs/>
                <w:sz w:val="20"/>
                <w:szCs w:val="20"/>
                <w:lang w:val="sr-Latn-RS"/>
              </w:rPr>
            </w:pPr>
            <w:r w:rsidRPr="000701A7">
              <w:rPr>
                <w:rFonts w:cs="Arial"/>
                <w:b/>
                <w:bCs/>
                <w:sz w:val="20"/>
                <w:szCs w:val="20"/>
                <w:lang w:val="sr-Latn-RS"/>
              </w:rPr>
              <w:t>Parent Node</w:t>
            </w:r>
          </w:p>
        </w:tc>
        <w:tc>
          <w:tcPr>
            <w:tcW w:w="2108" w:type="pct"/>
            <w:gridSpan w:val="2"/>
            <w:tcBorders>
              <w:top w:val="single" w:sz="4" w:space="0" w:color="auto"/>
              <w:bottom w:val="single" w:sz="4" w:space="0" w:color="auto"/>
            </w:tcBorders>
            <w:shd w:val="clear" w:color="auto" w:fill="auto"/>
            <w:vAlign w:val="bottom"/>
          </w:tcPr>
          <w:p w14:paraId="1358F527" w14:textId="77777777" w:rsidR="00F92434" w:rsidRPr="000701A7" w:rsidRDefault="00F92434" w:rsidP="00F92434">
            <w:pPr>
              <w:autoSpaceDE w:val="0"/>
              <w:autoSpaceDN w:val="0"/>
              <w:adjustRightInd w:val="0"/>
              <w:spacing w:before="0" w:after="0"/>
              <w:ind w:left="57" w:right="57"/>
              <w:jc w:val="left"/>
              <w:rPr>
                <w:rFonts w:cs="Arial"/>
                <w:b/>
                <w:bCs/>
                <w:sz w:val="20"/>
                <w:szCs w:val="20"/>
                <w:lang w:val="sr-Latn-RS"/>
              </w:rPr>
            </w:pPr>
            <w:r w:rsidRPr="000701A7">
              <w:rPr>
                <w:rFonts w:cs="Arial"/>
                <w:b/>
                <w:bCs/>
                <w:sz w:val="20"/>
                <w:szCs w:val="20"/>
                <w:lang w:val="sr-Latn-RS"/>
              </w:rPr>
              <w:t>Independent Variable</w:t>
            </w:r>
          </w:p>
        </w:tc>
        <w:tc>
          <w:tcPr>
            <w:tcW w:w="1007" w:type="pct"/>
            <w:tcBorders>
              <w:top w:val="single" w:sz="4" w:space="0" w:color="auto"/>
              <w:bottom w:val="single" w:sz="4" w:space="0" w:color="auto"/>
            </w:tcBorders>
            <w:shd w:val="clear" w:color="auto" w:fill="auto"/>
            <w:vAlign w:val="bottom"/>
          </w:tcPr>
          <w:p w14:paraId="56C19B7A" w14:textId="77777777" w:rsidR="00F92434" w:rsidRPr="000701A7" w:rsidRDefault="00F92434" w:rsidP="00F92434">
            <w:pPr>
              <w:autoSpaceDE w:val="0"/>
              <w:autoSpaceDN w:val="0"/>
              <w:adjustRightInd w:val="0"/>
              <w:spacing w:before="0" w:after="0"/>
              <w:ind w:left="57" w:right="57"/>
              <w:jc w:val="center"/>
              <w:rPr>
                <w:rFonts w:cs="Arial"/>
                <w:b/>
                <w:bCs/>
                <w:sz w:val="20"/>
                <w:szCs w:val="20"/>
                <w:lang w:val="sr-Latn-RS"/>
              </w:rPr>
            </w:pPr>
            <w:r w:rsidRPr="000701A7">
              <w:rPr>
                <w:rFonts w:cs="Arial"/>
                <w:b/>
                <w:bCs/>
                <w:sz w:val="20"/>
                <w:szCs w:val="20"/>
                <w:lang w:val="sr-Latn-RS"/>
              </w:rPr>
              <w:t>Improvement</w:t>
            </w:r>
          </w:p>
        </w:tc>
        <w:tc>
          <w:tcPr>
            <w:tcW w:w="913" w:type="pct"/>
            <w:tcBorders>
              <w:top w:val="single" w:sz="4" w:space="0" w:color="auto"/>
              <w:bottom w:val="single" w:sz="4" w:space="0" w:color="auto"/>
            </w:tcBorders>
            <w:shd w:val="clear" w:color="auto" w:fill="auto"/>
            <w:vAlign w:val="bottom"/>
          </w:tcPr>
          <w:p w14:paraId="5C768E01" w14:textId="77777777" w:rsidR="00F92434" w:rsidRPr="000701A7" w:rsidRDefault="00F92434" w:rsidP="00F92434">
            <w:pPr>
              <w:autoSpaceDE w:val="0"/>
              <w:autoSpaceDN w:val="0"/>
              <w:adjustRightInd w:val="0"/>
              <w:spacing w:before="0" w:after="0"/>
              <w:ind w:left="57" w:right="57"/>
              <w:jc w:val="center"/>
              <w:rPr>
                <w:rFonts w:cs="Arial"/>
                <w:b/>
                <w:bCs/>
                <w:sz w:val="20"/>
                <w:szCs w:val="20"/>
                <w:lang w:val="sr-Latn-RS"/>
              </w:rPr>
            </w:pPr>
            <w:r w:rsidRPr="000701A7">
              <w:rPr>
                <w:rFonts w:cs="Arial"/>
                <w:b/>
                <w:bCs/>
                <w:sz w:val="20"/>
                <w:szCs w:val="20"/>
                <w:lang w:val="sr-Latn-RS"/>
              </w:rPr>
              <w:t>Association</w:t>
            </w:r>
          </w:p>
        </w:tc>
      </w:tr>
      <w:tr w:rsidR="00F92434" w:rsidRPr="00F92434" w14:paraId="07F27C5F" w14:textId="77777777" w:rsidTr="000701A7">
        <w:trPr>
          <w:cantSplit/>
        </w:trPr>
        <w:tc>
          <w:tcPr>
            <w:tcW w:w="972" w:type="pct"/>
            <w:vMerge w:val="restart"/>
            <w:tcBorders>
              <w:top w:val="single" w:sz="4" w:space="0" w:color="auto"/>
            </w:tcBorders>
            <w:shd w:val="clear" w:color="auto" w:fill="auto"/>
            <w:vAlign w:val="center"/>
          </w:tcPr>
          <w:p w14:paraId="72DAEAF8" w14:textId="15BD8DF3" w:rsidR="00F92434" w:rsidRPr="00F92434" w:rsidRDefault="002C64D2" w:rsidP="000701A7">
            <w:pPr>
              <w:autoSpaceDE w:val="0"/>
              <w:autoSpaceDN w:val="0"/>
              <w:adjustRightInd w:val="0"/>
              <w:spacing w:before="0" w:after="0"/>
              <w:ind w:left="57" w:right="57"/>
              <w:jc w:val="left"/>
              <w:rPr>
                <w:rFonts w:cs="Arial"/>
                <w:sz w:val="20"/>
                <w:szCs w:val="20"/>
                <w:lang w:val="sr-Latn-RS"/>
              </w:rPr>
            </w:pPr>
            <w:r>
              <w:rPr>
                <w:rFonts w:cs="Arial"/>
                <w:sz w:val="20"/>
                <w:szCs w:val="20"/>
                <w:lang w:val="sr-Latn-RS"/>
              </w:rPr>
              <w:t>0</w:t>
            </w:r>
          </w:p>
        </w:tc>
        <w:tc>
          <w:tcPr>
            <w:tcW w:w="796" w:type="pct"/>
            <w:tcBorders>
              <w:top w:val="single" w:sz="4" w:space="0" w:color="auto"/>
            </w:tcBorders>
            <w:shd w:val="clear" w:color="auto" w:fill="auto"/>
            <w:vAlign w:val="center"/>
          </w:tcPr>
          <w:p w14:paraId="53751777"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r w:rsidRPr="00F92434">
              <w:rPr>
                <w:rFonts w:cs="Arial"/>
                <w:sz w:val="20"/>
                <w:szCs w:val="20"/>
                <w:lang w:val="sr-Latn-RS"/>
              </w:rPr>
              <w:t>Primary</w:t>
            </w:r>
          </w:p>
        </w:tc>
        <w:tc>
          <w:tcPr>
            <w:tcW w:w="1312" w:type="pct"/>
            <w:tcBorders>
              <w:top w:val="single" w:sz="4" w:space="0" w:color="auto"/>
            </w:tcBorders>
            <w:shd w:val="clear" w:color="auto" w:fill="auto"/>
            <w:vAlign w:val="center"/>
          </w:tcPr>
          <w:p w14:paraId="4E12154F"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r w:rsidRPr="00F92434">
              <w:rPr>
                <w:rFonts w:cs="Arial"/>
                <w:sz w:val="20"/>
                <w:szCs w:val="20"/>
                <w:lang w:val="sr-Latn-RS"/>
              </w:rPr>
              <w:t>St_N_Median_OS</w:t>
            </w:r>
          </w:p>
        </w:tc>
        <w:tc>
          <w:tcPr>
            <w:tcW w:w="1007" w:type="pct"/>
            <w:tcBorders>
              <w:top w:val="single" w:sz="4" w:space="0" w:color="auto"/>
            </w:tcBorders>
            <w:shd w:val="clear" w:color="auto" w:fill="auto"/>
            <w:vAlign w:val="center"/>
          </w:tcPr>
          <w:p w14:paraId="26C852D0" w14:textId="7013FC92"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349</w:t>
            </w:r>
          </w:p>
        </w:tc>
        <w:tc>
          <w:tcPr>
            <w:tcW w:w="913" w:type="pct"/>
            <w:tcBorders>
              <w:top w:val="single" w:sz="4" w:space="0" w:color="auto"/>
            </w:tcBorders>
            <w:shd w:val="clear" w:color="auto" w:fill="auto"/>
            <w:vAlign w:val="center"/>
          </w:tcPr>
          <w:p w14:paraId="6E1DCA9B" w14:textId="77777777" w:rsidR="00F92434" w:rsidRPr="00F92434" w:rsidRDefault="00F92434" w:rsidP="000701A7">
            <w:pPr>
              <w:autoSpaceDE w:val="0"/>
              <w:autoSpaceDN w:val="0"/>
              <w:adjustRightInd w:val="0"/>
              <w:spacing w:before="0" w:after="0"/>
              <w:ind w:left="57" w:right="57"/>
              <w:jc w:val="right"/>
              <w:rPr>
                <w:rFonts w:cs="Times New Roman"/>
                <w:sz w:val="20"/>
                <w:szCs w:val="20"/>
                <w:lang w:val="sr-Latn-RS"/>
              </w:rPr>
            </w:pPr>
          </w:p>
        </w:tc>
      </w:tr>
      <w:tr w:rsidR="00F92434" w:rsidRPr="00F92434" w14:paraId="1B5CFC00" w14:textId="77777777" w:rsidTr="000701A7">
        <w:trPr>
          <w:cantSplit/>
        </w:trPr>
        <w:tc>
          <w:tcPr>
            <w:tcW w:w="972" w:type="pct"/>
            <w:vMerge/>
            <w:shd w:val="clear" w:color="auto" w:fill="auto"/>
            <w:vAlign w:val="center"/>
          </w:tcPr>
          <w:p w14:paraId="7C99F6E4" w14:textId="77777777" w:rsidR="00F92434" w:rsidRPr="00F92434" w:rsidRDefault="00F92434" w:rsidP="000701A7">
            <w:pPr>
              <w:autoSpaceDE w:val="0"/>
              <w:autoSpaceDN w:val="0"/>
              <w:adjustRightInd w:val="0"/>
              <w:spacing w:before="0" w:after="0"/>
              <w:ind w:left="57" w:right="57"/>
              <w:jc w:val="left"/>
              <w:rPr>
                <w:rFonts w:cs="Times New Roman"/>
                <w:sz w:val="20"/>
                <w:szCs w:val="20"/>
                <w:lang w:val="sr-Latn-RS"/>
              </w:rPr>
            </w:pPr>
          </w:p>
        </w:tc>
        <w:tc>
          <w:tcPr>
            <w:tcW w:w="796" w:type="pct"/>
            <w:vMerge w:val="restart"/>
            <w:shd w:val="clear" w:color="auto" w:fill="auto"/>
            <w:vAlign w:val="center"/>
          </w:tcPr>
          <w:p w14:paraId="39A17360"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r w:rsidRPr="00F92434">
              <w:rPr>
                <w:rFonts w:cs="Arial"/>
                <w:sz w:val="20"/>
                <w:szCs w:val="20"/>
                <w:lang w:val="sr-Latn-RS"/>
              </w:rPr>
              <w:t>Surrogate</w:t>
            </w:r>
          </w:p>
        </w:tc>
        <w:tc>
          <w:tcPr>
            <w:tcW w:w="1312" w:type="pct"/>
            <w:shd w:val="clear" w:color="auto" w:fill="auto"/>
            <w:vAlign w:val="center"/>
          </w:tcPr>
          <w:p w14:paraId="01D40F1B"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r w:rsidRPr="00F92434">
              <w:rPr>
                <w:rFonts w:cs="Arial"/>
                <w:sz w:val="20"/>
                <w:szCs w:val="20"/>
                <w:lang w:val="sr-Latn-RS"/>
              </w:rPr>
              <w:t>St_N_Max_OS</w:t>
            </w:r>
          </w:p>
        </w:tc>
        <w:tc>
          <w:tcPr>
            <w:tcW w:w="1007" w:type="pct"/>
            <w:shd w:val="clear" w:color="auto" w:fill="auto"/>
            <w:vAlign w:val="center"/>
          </w:tcPr>
          <w:p w14:paraId="3F54417F" w14:textId="6689106D"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129</w:t>
            </w:r>
          </w:p>
        </w:tc>
        <w:tc>
          <w:tcPr>
            <w:tcW w:w="913" w:type="pct"/>
            <w:shd w:val="clear" w:color="auto" w:fill="auto"/>
            <w:vAlign w:val="center"/>
          </w:tcPr>
          <w:p w14:paraId="1E6171F1" w14:textId="704F6D1E"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533</w:t>
            </w:r>
          </w:p>
        </w:tc>
      </w:tr>
      <w:tr w:rsidR="00F92434" w:rsidRPr="00F92434" w14:paraId="0A59A4B7" w14:textId="77777777" w:rsidTr="000701A7">
        <w:trPr>
          <w:cantSplit/>
        </w:trPr>
        <w:tc>
          <w:tcPr>
            <w:tcW w:w="972" w:type="pct"/>
            <w:vMerge/>
            <w:shd w:val="clear" w:color="auto" w:fill="auto"/>
            <w:vAlign w:val="center"/>
          </w:tcPr>
          <w:p w14:paraId="593C507C"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p>
        </w:tc>
        <w:tc>
          <w:tcPr>
            <w:tcW w:w="796" w:type="pct"/>
            <w:vMerge/>
            <w:shd w:val="clear" w:color="auto" w:fill="auto"/>
            <w:vAlign w:val="center"/>
          </w:tcPr>
          <w:p w14:paraId="79E87FA2"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p>
        </w:tc>
        <w:tc>
          <w:tcPr>
            <w:tcW w:w="1312" w:type="pct"/>
            <w:shd w:val="clear" w:color="auto" w:fill="auto"/>
            <w:vAlign w:val="center"/>
          </w:tcPr>
          <w:p w14:paraId="67755AD7"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r w:rsidRPr="00F92434">
              <w:rPr>
                <w:rFonts w:cs="Arial"/>
                <w:sz w:val="20"/>
                <w:szCs w:val="20"/>
                <w:lang w:val="sr-Latn-RS"/>
              </w:rPr>
              <w:t>St_N_Min_OS</w:t>
            </w:r>
          </w:p>
        </w:tc>
        <w:tc>
          <w:tcPr>
            <w:tcW w:w="1007" w:type="pct"/>
            <w:shd w:val="clear" w:color="auto" w:fill="auto"/>
            <w:vAlign w:val="center"/>
          </w:tcPr>
          <w:p w14:paraId="1C2AE703" w14:textId="2DA59492"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131</w:t>
            </w:r>
          </w:p>
        </w:tc>
        <w:tc>
          <w:tcPr>
            <w:tcW w:w="913" w:type="pct"/>
            <w:shd w:val="clear" w:color="auto" w:fill="auto"/>
            <w:vAlign w:val="center"/>
          </w:tcPr>
          <w:p w14:paraId="34ED3010" w14:textId="1E45FF94"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506</w:t>
            </w:r>
          </w:p>
        </w:tc>
      </w:tr>
      <w:tr w:rsidR="00F92434" w:rsidRPr="00F92434" w14:paraId="313A4901" w14:textId="77777777" w:rsidTr="000701A7">
        <w:trPr>
          <w:cantSplit/>
        </w:trPr>
        <w:tc>
          <w:tcPr>
            <w:tcW w:w="972" w:type="pct"/>
            <w:vMerge/>
            <w:shd w:val="clear" w:color="auto" w:fill="auto"/>
            <w:vAlign w:val="center"/>
          </w:tcPr>
          <w:p w14:paraId="2C10BE39"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p>
        </w:tc>
        <w:tc>
          <w:tcPr>
            <w:tcW w:w="796" w:type="pct"/>
            <w:vMerge/>
            <w:shd w:val="clear" w:color="auto" w:fill="auto"/>
            <w:vAlign w:val="center"/>
          </w:tcPr>
          <w:p w14:paraId="195E5DF6"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p>
        </w:tc>
        <w:tc>
          <w:tcPr>
            <w:tcW w:w="1312" w:type="pct"/>
            <w:shd w:val="clear" w:color="auto" w:fill="auto"/>
            <w:vAlign w:val="center"/>
          </w:tcPr>
          <w:p w14:paraId="54476442"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r w:rsidRPr="00F92434">
              <w:rPr>
                <w:rFonts w:cs="Arial"/>
                <w:sz w:val="20"/>
                <w:szCs w:val="20"/>
                <w:lang w:val="sr-Latn-RS"/>
              </w:rPr>
              <w:t>St_N_StDev_OS</w:t>
            </w:r>
          </w:p>
        </w:tc>
        <w:tc>
          <w:tcPr>
            <w:tcW w:w="1007" w:type="pct"/>
            <w:shd w:val="clear" w:color="auto" w:fill="auto"/>
            <w:vAlign w:val="center"/>
          </w:tcPr>
          <w:p w14:paraId="51DE132A" w14:textId="59C454A6"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154</w:t>
            </w:r>
          </w:p>
        </w:tc>
        <w:tc>
          <w:tcPr>
            <w:tcW w:w="913" w:type="pct"/>
            <w:shd w:val="clear" w:color="auto" w:fill="auto"/>
            <w:vAlign w:val="center"/>
          </w:tcPr>
          <w:p w14:paraId="4F920E45" w14:textId="2B2DDBDF"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422</w:t>
            </w:r>
          </w:p>
        </w:tc>
      </w:tr>
      <w:tr w:rsidR="00F92434" w:rsidRPr="00F92434" w14:paraId="045FB80A" w14:textId="77777777" w:rsidTr="000701A7">
        <w:trPr>
          <w:cantSplit/>
        </w:trPr>
        <w:tc>
          <w:tcPr>
            <w:tcW w:w="972" w:type="pct"/>
            <w:vMerge/>
            <w:shd w:val="clear" w:color="auto" w:fill="auto"/>
            <w:vAlign w:val="center"/>
          </w:tcPr>
          <w:p w14:paraId="240F8056"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p>
        </w:tc>
        <w:tc>
          <w:tcPr>
            <w:tcW w:w="796" w:type="pct"/>
            <w:vMerge/>
            <w:shd w:val="clear" w:color="auto" w:fill="auto"/>
            <w:vAlign w:val="center"/>
          </w:tcPr>
          <w:p w14:paraId="01BB15F9"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p>
        </w:tc>
        <w:tc>
          <w:tcPr>
            <w:tcW w:w="1312" w:type="pct"/>
            <w:shd w:val="clear" w:color="auto" w:fill="auto"/>
            <w:vAlign w:val="center"/>
          </w:tcPr>
          <w:p w14:paraId="0146A3D0"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r w:rsidRPr="00F92434">
              <w:rPr>
                <w:rFonts w:cs="Arial"/>
                <w:sz w:val="20"/>
                <w:szCs w:val="20"/>
                <w:lang w:val="sr-Latn-RS"/>
              </w:rPr>
              <w:t>St_T2_OS</w:t>
            </w:r>
          </w:p>
        </w:tc>
        <w:tc>
          <w:tcPr>
            <w:tcW w:w="1007" w:type="pct"/>
            <w:shd w:val="clear" w:color="auto" w:fill="auto"/>
            <w:vAlign w:val="center"/>
          </w:tcPr>
          <w:p w14:paraId="0E071871" w14:textId="7F9BE5AD"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041</w:t>
            </w:r>
          </w:p>
        </w:tc>
        <w:tc>
          <w:tcPr>
            <w:tcW w:w="913" w:type="pct"/>
            <w:shd w:val="clear" w:color="auto" w:fill="auto"/>
            <w:vAlign w:val="center"/>
          </w:tcPr>
          <w:p w14:paraId="4141622A" w14:textId="60ED4C18"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292</w:t>
            </w:r>
          </w:p>
        </w:tc>
      </w:tr>
      <w:tr w:rsidR="00F92434" w:rsidRPr="00F92434" w14:paraId="086A3DE6" w14:textId="77777777" w:rsidTr="000701A7">
        <w:trPr>
          <w:cantSplit/>
        </w:trPr>
        <w:tc>
          <w:tcPr>
            <w:tcW w:w="972" w:type="pct"/>
            <w:vMerge/>
            <w:shd w:val="clear" w:color="auto" w:fill="auto"/>
            <w:vAlign w:val="center"/>
          </w:tcPr>
          <w:p w14:paraId="672407F6"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p>
        </w:tc>
        <w:tc>
          <w:tcPr>
            <w:tcW w:w="796" w:type="pct"/>
            <w:vMerge/>
            <w:shd w:val="clear" w:color="auto" w:fill="auto"/>
            <w:vAlign w:val="center"/>
          </w:tcPr>
          <w:p w14:paraId="6C524846"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p>
        </w:tc>
        <w:tc>
          <w:tcPr>
            <w:tcW w:w="1312" w:type="pct"/>
            <w:shd w:val="clear" w:color="auto" w:fill="auto"/>
            <w:vAlign w:val="center"/>
          </w:tcPr>
          <w:p w14:paraId="2BAB9274"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r w:rsidRPr="00F92434">
              <w:rPr>
                <w:rFonts w:cs="Arial"/>
                <w:sz w:val="20"/>
                <w:szCs w:val="20"/>
                <w:lang w:val="sr-Latn-RS"/>
              </w:rPr>
              <w:t>St_N_Kurt_OS</w:t>
            </w:r>
          </w:p>
        </w:tc>
        <w:tc>
          <w:tcPr>
            <w:tcW w:w="1007" w:type="pct"/>
            <w:shd w:val="clear" w:color="auto" w:fill="auto"/>
            <w:vAlign w:val="center"/>
          </w:tcPr>
          <w:p w14:paraId="701E2AB4" w14:textId="6106EF06"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043</w:t>
            </w:r>
          </w:p>
        </w:tc>
        <w:tc>
          <w:tcPr>
            <w:tcW w:w="913" w:type="pct"/>
            <w:shd w:val="clear" w:color="auto" w:fill="auto"/>
            <w:vAlign w:val="center"/>
          </w:tcPr>
          <w:p w14:paraId="50592EEE" w14:textId="1A5F36BD"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256</w:t>
            </w:r>
          </w:p>
        </w:tc>
      </w:tr>
      <w:tr w:rsidR="00F92434" w:rsidRPr="00F92434" w14:paraId="0AC2A163" w14:textId="77777777" w:rsidTr="000701A7">
        <w:trPr>
          <w:cantSplit/>
        </w:trPr>
        <w:tc>
          <w:tcPr>
            <w:tcW w:w="972" w:type="pct"/>
            <w:vMerge/>
            <w:shd w:val="clear" w:color="auto" w:fill="auto"/>
            <w:vAlign w:val="center"/>
          </w:tcPr>
          <w:p w14:paraId="6ED5676F"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p>
        </w:tc>
        <w:tc>
          <w:tcPr>
            <w:tcW w:w="796" w:type="pct"/>
            <w:vMerge/>
            <w:shd w:val="clear" w:color="auto" w:fill="auto"/>
            <w:vAlign w:val="center"/>
          </w:tcPr>
          <w:p w14:paraId="0BEE0716"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p>
        </w:tc>
        <w:tc>
          <w:tcPr>
            <w:tcW w:w="1312" w:type="pct"/>
            <w:shd w:val="clear" w:color="auto" w:fill="auto"/>
            <w:vAlign w:val="center"/>
          </w:tcPr>
          <w:p w14:paraId="459290E9"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r w:rsidRPr="00F92434">
              <w:rPr>
                <w:rFonts w:cs="Arial"/>
                <w:sz w:val="20"/>
                <w:szCs w:val="20"/>
                <w:lang w:val="sr-Latn-RS"/>
              </w:rPr>
              <w:t>Stand_HS_Idle</w:t>
            </w:r>
          </w:p>
        </w:tc>
        <w:tc>
          <w:tcPr>
            <w:tcW w:w="1007" w:type="pct"/>
            <w:shd w:val="clear" w:color="auto" w:fill="auto"/>
            <w:vAlign w:val="center"/>
          </w:tcPr>
          <w:p w14:paraId="22CE2425" w14:textId="5934C79E"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067</w:t>
            </w:r>
          </w:p>
        </w:tc>
        <w:tc>
          <w:tcPr>
            <w:tcW w:w="913" w:type="pct"/>
            <w:shd w:val="clear" w:color="auto" w:fill="auto"/>
            <w:vAlign w:val="center"/>
          </w:tcPr>
          <w:p w14:paraId="594D6FB0" w14:textId="619FF336"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241</w:t>
            </w:r>
          </w:p>
        </w:tc>
      </w:tr>
      <w:tr w:rsidR="00F92434" w:rsidRPr="00F92434" w14:paraId="39E7A1F9" w14:textId="77777777" w:rsidTr="000701A7">
        <w:trPr>
          <w:cantSplit/>
        </w:trPr>
        <w:tc>
          <w:tcPr>
            <w:tcW w:w="972" w:type="pct"/>
            <w:vMerge/>
            <w:shd w:val="clear" w:color="auto" w:fill="auto"/>
            <w:vAlign w:val="center"/>
          </w:tcPr>
          <w:p w14:paraId="67B5FC66"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p>
        </w:tc>
        <w:tc>
          <w:tcPr>
            <w:tcW w:w="796" w:type="pct"/>
            <w:vMerge/>
            <w:shd w:val="clear" w:color="auto" w:fill="auto"/>
            <w:vAlign w:val="center"/>
          </w:tcPr>
          <w:p w14:paraId="4BA0C00D"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p>
        </w:tc>
        <w:tc>
          <w:tcPr>
            <w:tcW w:w="1312" w:type="pct"/>
            <w:shd w:val="clear" w:color="auto" w:fill="auto"/>
            <w:vAlign w:val="center"/>
          </w:tcPr>
          <w:p w14:paraId="70F49B3F"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r w:rsidRPr="00F92434">
              <w:rPr>
                <w:rFonts w:cs="Arial"/>
                <w:sz w:val="20"/>
                <w:szCs w:val="20"/>
                <w:lang w:val="sr-Latn-RS"/>
              </w:rPr>
              <w:t>St_T1_OS</w:t>
            </w:r>
          </w:p>
        </w:tc>
        <w:tc>
          <w:tcPr>
            <w:tcW w:w="1007" w:type="pct"/>
            <w:shd w:val="clear" w:color="auto" w:fill="auto"/>
            <w:vAlign w:val="center"/>
          </w:tcPr>
          <w:p w14:paraId="72F4A8A2" w14:textId="1CD214C0"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062</w:t>
            </w:r>
          </w:p>
        </w:tc>
        <w:tc>
          <w:tcPr>
            <w:tcW w:w="913" w:type="pct"/>
            <w:shd w:val="clear" w:color="auto" w:fill="auto"/>
            <w:vAlign w:val="center"/>
          </w:tcPr>
          <w:p w14:paraId="2EF64CA8" w14:textId="469B8E33"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235</w:t>
            </w:r>
          </w:p>
        </w:tc>
      </w:tr>
      <w:tr w:rsidR="00F92434" w:rsidRPr="00F92434" w14:paraId="14ABFE1E" w14:textId="77777777" w:rsidTr="000701A7">
        <w:trPr>
          <w:cantSplit/>
        </w:trPr>
        <w:tc>
          <w:tcPr>
            <w:tcW w:w="972" w:type="pct"/>
            <w:vMerge/>
            <w:shd w:val="clear" w:color="auto" w:fill="auto"/>
            <w:vAlign w:val="center"/>
          </w:tcPr>
          <w:p w14:paraId="063D983D"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p>
        </w:tc>
        <w:tc>
          <w:tcPr>
            <w:tcW w:w="796" w:type="pct"/>
            <w:vMerge/>
            <w:shd w:val="clear" w:color="auto" w:fill="auto"/>
            <w:vAlign w:val="center"/>
          </w:tcPr>
          <w:p w14:paraId="04061A48"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p>
        </w:tc>
        <w:tc>
          <w:tcPr>
            <w:tcW w:w="1312" w:type="pct"/>
            <w:shd w:val="clear" w:color="auto" w:fill="auto"/>
            <w:vAlign w:val="center"/>
          </w:tcPr>
          <w:p w14:paraId="792ADF85"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r w:rsidRPr="00F92434">
              <w:rPr>
                <w:rFonts w:cs="Arial"/>
                <w:sz w:val="20"/>
                <w:szCs w:val="20"/>
                <w:lang w:val="sr-Latn-RS"/>
              </w:rPr>
              <w:t>St_Load_kg_OS</w:t>
            </w:r>
          </w:p>
        </w:tc>
        <w:tc>
          <w:tcPr>
            <w:tcW w:w="1007" w:type="pct"/>
            <w:shd w:val="clear" w:color="auto" w:fill="auto"/>
            <w:vAlign w:val="center"/>
          </w:tcPr>
          <w:p w14:paraId="7CCDE753" w14:textId="366449E2"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055</w:t>
            </w:r>
          </w:p>
        </w:tc>
        <w:tc>
          <w:tcPr>
            <w:tcW w:w="913" w:type="pct"/>
            <w:shd w:val="clear" w:color="auto" w:fill="auto"/>
            <w:vAlign w:val="center"/>
          </w:tcPr>
          <w:p w14:paraId="02305EA8" w14:textId="1C60C47B"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226</w:t>
            </w:r>
          </w:p>
        </w:tc>
      </w:tr>
      <w:tr w:rsidR="00F92434" w:rsidRPr="00F92434" w14:paraId="09417FED" w14:textId="77777777" w:rsidTr="000701A7">
        <w:trPr>
          <w:cantSplit/>
        </w:trPr>
        <w:tc>
          <w:tcPr>
            <w:tcW w:w="972" w:type="pct"/>
            <w:vMerge/>
            <w:shd w:val="clear" w:color="auto" w:fill="auto"/>
            <w:vAlign w:val="center"/>
          </w:tcPr>
          <w:p w14:paraId="25408963"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p>
        </w:tc>
        <w:tc>
          <w:tcPr>
            <w:tcW w:w="796" w:type="pct"/>
            <w:vMerge/>
            <w:shd w:val="clear" w:color="auto" w:fill="auto"/>
            <w:vAlign w:val="center"/>
          </w:tcPr>
          <w:p w14:paraId="37E36632"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p>
        </w:tc>
        <w:tc>
          <w:tcPr>
            <w:tcW w:w="1312" w:type="pct"/>
            <w:shd w:val="clear" w:color="auto" w:fill="auto"/>
            <w:vAlign w:val="center"/>
          </w:tcPr>
          <w:p w14:paraId="29D44DBA"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r w:rsidRPr="00F92434">
              <w:rPr>
                <w:rFonts w:cs="Arial"/>
                <w:sz w:val="20"/>
                <w:szCs w:val="20"/>
                <w:lang w:val="sr-Latn-RS"/>
              </w:rPr>
              <w:t>St_T4_OS</w:t>
            </w:r>
          </w:p>
        </w:tc>
        <w:tc>
          <w:tcPr>
            <w:tcW w:w="1007" w:type="pct"/>
            <w:shd w:val="clear" w:color="auto" w:fill="auto"/>
            <w:vAlign w:val="center"/>
          </w:tcPr>
          <w:p w14:paraId="50B6AFF0" w14:textId="0A94C3A1"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040</w:t>
            </w:r>
          </w:p>
        </w:tc>
        <w:tc>
          <w:tcPr>
            <w:tcW w:w="913" w:type="pct"/>
            <w:shd w:val="clear" w:color="auto" w:fill="auto"/>
            <w:vAlign w:val="center"/>
          </w:tcPr>
          <w:p w14:paraId="0B885C16" w14:textId="0E2CFCF7"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145</w:t>
            </w:r>
          </w:p>
        </w:tc>
      </w:tr>
      <w:tr w:rsidR="00F92434" w:rsidRPr="00F92434" w14:paraId="7100F134" w14:textId="77777777" w:rsidTr="000701A7">
        <w:trPr>
          <w:cantSplit/>
        </w:trPr>
        <w:tc>
          <w:tcPr>
            <w:tcW w:w="972" w:type="pct"/>
            <w:vMerge w:val="restart"/>
            <w:shd w:val="clear" w:color="auto" w:fill="auto"/>
            <w:vAlign w:val="center"/>
          </w:tcPr>
          <w:p w14:paraId="30D568F6" w14:textId="7D4FEF5E" w:rsidR="00F92434" w:rsidRPr="00F92434" w:rsidRDefault="002C64D2" w:rsidP="000701A7">
            <w:pPr>
              <w:autoSpaceDE w:val="0"/>
              <w:autoSpaceDN w:val="0"/>
              <w:adjustRightInd w:val="0"/>
              <w:spacing w:before="0" w:after="0"/>
              <w:ind w:left="57" w:right="57"/>
              <w:jc w:val="left"/>
              <w:rPr>
                <w:rFonts w:cs="Arial"/>
                <w:sz w:val="20"/>
                <w:szCs w:val="20"/>
                <w:lang w:val="sr-Latn-RS"/>
              </w:rPr>
            </w:pPr>
            <w:r>
              <w:rPr>
                <w:rFonts w:cs="Arial"/>
                <w:sz w:val="20"/>
                <w:szCs w:val="20"/>
                <w:lang w:val="sr-Latn-RS"/>
              </w:rPr>
              <w:t>1</w:t>
            </w:r>
          </w:p>
        </w:tc>
        <w:tc>
          <w:tcPr>
            <w:tcW w:w="796" w:type="pct"/>
            <w:shd w:val="clear" w:color="auto" w:fill="auto"/>
            <w:vAlign w:val="center"/>
          </w:tcPr>
          <w:p w14:paraId="0628723F"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r w:rsidRPr="00F92434">
              <w:rPr>
                <w:rFonts w:cs="Arial"/>
                <w:sz w:val="20"/>
                <w:szCs w:val="20"/>
                <w:lang w:val="sr-Latn-RS"/>
              </w:rPr>
              <w:t>Primary</w:t>
            </w:r>
          </w:p>
        </w:tc>
        <w:tc>
          <w:tcPr>
            <w:tcW w:w="1312" w:type="pct"/>
            <w:shd w:val="clear" w:color="auto" w:fill="auto"/>
            <w:vAlign w:val="center"/>
          </w:tcPr>
          <w:p w14:paraId="58B39C4C"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r w:rsidRPr="00F92434">
              <w:rPr>
                <w:rFonts w:cs="Arial"/>
                <w:sz w:val="20"/>
                <w:szCs w:val="20"/>
                <w:lang w:val="sr-Latn-RS"/>
              </w:rPr>
              <w:t>St_N_StDev_OS</w:t>
            </w:r>
          </w:p>
        </w:tc>
        <w:tc>
          <w:tcPr>
            <w:tcW w:w="1007" w:type="pct"/>
            <w:shd w:val="clear" w:color="auto" w:fill="auto"/>
            <w:vAlign w:val="center"/>
          </w:tcPr>
          <w:p w14:paraId="7D7FFF66" w14:textId="3C2A11B5"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052</w:t>
            </w:r>
          </w:p>
        </w:tc>
        <w:tc>
          <w:tcPr>
            <w:tcW w:w="913" w:type="pct"/>
            <w:shd w:val="clear" w:color="auto" w:fill="auto"/>
            <w:vAlign w:val="center"/>
          </w:tcPr>
          <w:p w14:paraId="3275EC8F" w14:textId="77777777" w:rsidR="00F92434" w:rsidRPr="00F92434" w:rsidRDefault="00F92434" w:rsidP="000701A7">
            <w:pPr>
              <w:autoSpaceDE w:val="0"/>
              <w:autoSpaceDN w:val="0"/>
              <w:adjustRightInd w:val="0"/>
              <w:spacing w:before="0" w:after="0"/>
              <w:ind w:left="57" w:right="57"/>
              <w:jc w:val="right"/>
              <w:rPr>
                <w:rFonts w:cs="Times New Roman"/>
                <w:sz w:val="20"/>
                <w:szCs w:val="20"/>
                <w:lang w:val="sr-Latn-RS"/>
              </w:rPr>
            </w:pPr>
          </w:p>
        </w:tc>
      </w:tr>
      <w:tr w:rsidR="00F92434" w:rsidRPr="00F92434" w14:paraId="491A0F68" w14:textId="77777777" w:rsidTr="000701A7">
        <w:trPr>
          <w:cantSplit/>
        </w:trPr>
        <w:tc>
          <w:tcPr>
            <w:tcW w:w="972" w:type="pct"/>
            <w:vMerge/>
            <w:shd w:val="clear" w:color="auto" w:fill="auto"/>
            <w:vAlign w:val="center"/>
          </w:tcPr>
          <w:p w14:paraId="4C324E21" w14:textId="77777777" w:rsidR="00F92434" w:rsidRPr="00F92434" w:rsidRDefault="00F92434" w:rsidP="000701A7">
            <w:pPr>
              <w:autoSpaceDE w:val="0"/>
              <w:autoSpaceDN w:val="0"/>
              <w:adjustRightInd w:val="0"/>
              <w:spacing w:before="0" w:after="0"/>
              <w:ind w:left="57" w:right="57"/>
              <w:jc w:val="left"/>
              <w:rPr>
                <w:rFonts w:cs="Times New Roman"/>
                <w:sz w:val="20"/>
                <w:szCs w:val="20"/>
                <w:lang w:val="sr-Latn-RS"/>
              </w:rPr>
            </w:pPr>
          </w:p>
        </w:tc>
        <w:tc>
          <w:tcPr>
            <w:tcW w:w="796" w:type="pct"/>
            <w:vMerge w:val="restart"/>
            <w:shd w:val="clear" w:color="auto" w:fill="auto"/>
            <w:vAlign w:val="center"/>
          </w:tcPr>
          <w:p w14:paraId="40EC13BE"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r w:rsidRPr="00F92434">
              <w:rPr>
                <w:rFonts w:cs="Arial"/>
                <w:sz w:val="20"/>
                <w:szCs w:val="20"/>
                <w:lang w:val="sr-Latn-RS"/>
              </w:rPr>
              <w:t>Surrogate</w:t>
            </w:r>
          </w:p>
        </w:tc>
        <w:tc>
          <w:tcPr>
            <w:tcW w:w="1312" w:type="pct"/>
            <w:shd w:val="clear" w:color="auto" w:fill="auto"/>
            <w:vAlign w:val="center"/>
          </w:tcPr>
          <w:p w14:paraId="3BBE2C00"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r w:rsidRPr="00F92434">
              <w:rPr>
                <w:rFonts w:cs="Arial"/>
                <w:sz w:val="20"/>
                <w:szCs w:val="20"/>
                <w:lang w:val="sr-Latn-RS"/>
              </w:rPr>
              <w:t>St_N_Kurt_OS</w:t>
            </w:r>
          </w:p>
        </w:tc>
        <w:tc>
          <w:tcPr>
            <w:tcW w:w="1007" w:type="pct"/>
            <w:shd w:val="clear" w:color="auto" w:fill="auto"/>
            <w:vAlign w:val="center"/>
          </w:tcPr>
          <w:p w14:paraId="09AADCE3" w14:textId="5FCC4291"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016</w:t>
            </w:r>
          </w:p>
        </w:tc>
        <w:tc>
          <w:tcPr>
            <w:tcW w:w="913" w:type="pct"/>
            <w:shd w:val="clear" w:color="auto" w:fill="auto"/>
            <w:vAlign w:val="center"/>
          </w:tcPr>
          <w:p w14:paraId="7AE89E9E" w14:textId="5A9FB12D"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586</w:t>
            </w:r>
          </w:p>
        </w:tc>
      </w:tr>
      <w:tr w:rsidR="00F92434" w:rsidRPr="00F92434" w14:paraId="3070B66F" w14:textId="77777777" w:rsidTr="000701A7">
        <w:trPr>
          <w:cantSplit/>
        </w:trPr>
        <w:tc>
          <w:tcPr>
            <w:tcW w:w="972" w:type="pct"/>
            <w:vMerge/>
            <w:shd w:val="clear" w:color="auto" w:fill="auto"/>
          </w:tcPr>
          <w:p w14:paraId="07CDD3F0" w14:textId="77777777" w:rsidR="00F92434" w:rsidRPr="00F92434" w:rsidRDefault="00F92434" w:rsidP="00F92434">
            <w:pPr>
              <w:autoSpaceDE w:val="0"/>
              <w:autoSpaceDN w:val="0"/>
              <w:adjustRightInd w:val="0"/>
              <w:spacing w:before="0" w:after="0"/>
              <w:ind w:left="57" w:right="57"/>
              <w:jc w:val="left"/>
              <w:rPr>
                <w:rFonts w:cs="Arial"/>
                <w:sz w:val="20"/>
                <w:szCs w:val="20"/>
                <w:lang w:val="sr-Latn-RS"/>
              </w:rPr>
            </w:pPr>
          </w:p>
        </w:tc>
        <w:tc>
          <w:tcPr>
            <w:tcW w:w="796" w:type="pct"/>
            <w:vMerge/>
            <w:shd w:val="clear" w:color="auto" w:fill="auto"/>
          </w:tcPr>
          <w:p w14:paraId="7E4858C7" w14:textId="77777777" w:rsidR="00F92434" w:rsidRPr="00F92434" w:rsidRDefault="00F92434" w:rsidP="00F92434">
            <w:pPr>
              <w:autoSpaceDE w:val="0"/>
              <w:autoSpaceDN w:val="0"/>
              <w:adjustRightInd w:val="0"/>
              <w:spacing w:before="0" w:after="0"/>
              <w:ind w:left="57" w:right="57"/>
              <w:jc w:val="left"/>
              <w:rPr>
                <w:rFonts w:cs="Arial"/>
                <w:sz w:val="20"/>
                <w:szCs w:val="20"/>
                <w:lang w:val="sr-Latn-RS"/>
              </w:rPr>
            </w:pPr>
          </w:p>
        </w:tc>
        <w:tc>
          <w:tcPr>
            <w:tcW w:w="1312" w:type="pct"/>
            <w:shd w:val="clear" w:color="auto" w:fill="auto"/>
            <w:vAlign w:val="center"/>
          </w:tcPr>
          <w:p w14:paraId="3882CC25"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r w:rsidRPr="00F92434">
              <w:rPr>
                <w:rFonts w:cs="Arial"/>
                <w:sz w:val="20"/>
                <w:szCs w:val="20"/>
                <w:lang w:val="sr-Latn-RS"/>
              </w:rPr>
              <w:t>St_N_Min_OS</w:t>
            </w:r>
          </w:p>
        </w:tc>
        <w:tc>
          <w:tcPr>
            <w:tcW w:w="1007" w:type="pct"/>
            <w:shd w:val="clear" w:color="auto" w:fill="auto"/>
            <w:vAlign w:val="center"/>
          </w:tcPr>
          <w:p w14:paraId="0CDE790B" w14:textId="776961BE"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024</w:t>
            </w:r>
          </w:p>
        </w:tc>
        <w:tc>
          <w:tcPr>
            <w:tcW w:w="913" w:type="pct"/>
            <w:shd w:val="clear" w:color="auto" w:fill="auto"/>
            <w:vAlign w:val="center"/>
          </w:tcPr>
          <w:p w14:paraId="4DD6470E" w14:textId="0CEFB269"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276</w:t>
            </w:r>
          </w:p>
        </w:tc>
      </w:tr>
      <w:tr w:rsidR="00F92434" w:rsidRPr="00F92434" w14:paraId="78786525" w14:textId="77777777" w:rsidTr="000701A7">
        <w:trPr>
          <w:cantSplit/>
        </w:trPr>
        <w:tc>
          <w:tcPr>
            <w:tcW w:w="972" w:type="pct"/>
            <w:vMerge/>
            <w:shd w:val="clear" w:color="auto" w:fill="auto"/>
          </w:tcPr>
          <w:p w14:paraId="6F138BB3" w14:textId="77777777" w:rsidR="00F92434" w:rsidRPr="00F92434" w:rsidRDefault="00F92434" w:rsidP="00F92434">
            <w:pPr>
              <w:autoSpaceDE w:val="0"/>
              <w:autoSpaceDN w:val="0"/>
              <w:adjustRightInd w:val="0"/>
              <w:spacing w:before="0" w:after="0"/>
              <w:ind w:left="57" w:right="57"/>
              <w:jc w:val="left"/>
              <w:rPr>
                <w:rFonts w:cs="Arial"/>
                <w:sz w:val="20"/>
                <w:szCs w:val="20"/>
                <w:lang w:val="sr-Latn-RS"/>
              </w:rPr>
            </w:pPr>
          </w:p>
        </w:tc>
        <w:tc>
          <w:tcPr>
            <w:tcW w:w="796" w:type="pct"/>
            <w:vMerge/>
            <w:shd w:val="clear" w:color="auto" w:fill="auto"/>
          </w:tcPr>
          <w:p w14:paraId="5BE347E3" w14:textId="77777777" w:rsidR="00F92434" w:rsidRPr="00F92434" w:rsidRDefault="00F92434" w:rsidP="00F92434">
            <w:pPr>
              <w:autoSpaceDE w:val="0"/>
              <w:autoSpaceDN w:val="0"/>
              <w:adjustRightInd w:val="0"/>
              <w:spacing w:before="0" w:after="0"/>
              <w:ind w:left="57" w:right="57"/>
              <w:jc w:val="left"/>
              <w:rPr>
                <w:rFonts w:cs="Arial"/>
                <w:sz w:val="20"/>
                <w:szCs w:val="20"/>
                <w:lang w:val="sr-Latn-RS"/>
              </w:rPr>
            </w:pPr>
          </w:p>
        </w:tc>
        <w:tc>
          <w:tcPr>
            <w:tcW w:w="1312" w:type="pct"/>
            <w:shd w:val="clear" w:color="auto" w:fill="auto"/>
            <w:vAlign w:val="center"/>
          </w:tcPr>
          <w:p w14:paraId="3949C507"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r w:rsidRPr="00F92434">
              <w:rPr>
                <w:rFonts w:cs="Arial"/>
                <w:sz w:val="20"/>
                <w:szCs w:val="20"/>
                <w:lang w:val="sr-Latn-RS"/>
              </w:rPr>
              <w:t>St_T1_OS</w:t>
            </w:r>
          </w:p>
        </w:tc>
        <w:tc>
          <w:tcPr>
            <w:tcW w:w="1007" w:type="pct"/>
            <w:shd w:val="clear" w:color="auto" w:fill="auto"/>
            <w:vAlign w:val="center"/>
          </w:tcPr>
          <w:p w14:paraId="5E187728" w14:textId="184AE90D"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017</w:t>
            </w:r>
          </w:p>
        </w:tc>
        <w:tc>
          <w:tcPr>
            <w:tcW w:w="913" w:type="pct"/>
            <w:shd w:val="clear" w:color="auto" w:fill="auto"/>
            <w:vAlign w:val="center"/>
          </w:tcPr>
          <w:p w14:paraId="6BA01CA9" w14:textId="549B8CCB"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276</w:t>
            </w:r>
          </w:p>
        </w:tc>
      </w:tr>
      <w:tr w:rsidR="00F92434" w:rsidRPr="00F92434" w14:paraId="6D9414B7" w14:textId="77777777" w:rsidTr="000701A7">
        <w:trPr>
          <w:cantSplit/>
        </w:trPr>
        <w:tc>
          <w:tcPr>
            <w:tcW w:w="972" w:type="pct"/>
            <w:vMerge/>
            <w:shd w:val="clear" w:color="auto" w:fill="auto"/>
          </w:tcPr>
          <w:p w14:paraId="3DCD300E" w14:textId="77777777" w:rsidR="00F92434" w:rsidRPr="00F92434" w:rsidRDefault="00F92434" w:rsidP="00F92434">
            <w:pPr>
              <w:autoSpaceDE w:val="0"/>
              <w:autoSpaceDN w:val="0"/>
              <w:adjustRightInd w:val="0"/>
              <w:spacing w:before="0" w:after="0"/>
              <w:ind w:left="57" w:right="57"/>
              <w:jc w:val="left"/>
              <w:rPr>
                <w:rFonts w:cs="Arial"/>
                <w:sz w:val="20"/>
                <w:szCs w:val="20"/>
                <w:lang w:val="sr-Latn-RS"/>
              </w:rPr>
            </w:pPr>
          </w:p>
        </w:tc>
        <w:tc>
          <w:tcPr>
            <w:tcW w:w="796" w:type="pct"/>
            <w:vMerge/>
            <w:shd w:val="clear" w:color="auto" w:fill="auto"/>
          </w:tcPr>
          <w:p w14:paraId="03B96D6B" w14:textId="77777777" w:rsidR="00F92434" w:rsidRPr="00F92434" w:rsidRDefault="00F92434" w:rsidP="00F92434">
            <w:pPr>
              <w:autoSpaceDE w:val="0"/>
              <w:autoSpaceDN w:val="0"/>
              <w:adjustRightInd w:val="0"/>
              <w:spacing w:before="0" w:after="0"/>
              <w:ind w:left="57" w:right="57"/>
              <w:jc w:val="left"/>
              <w:rPr>
                <w:rFonts w:cs="Arial"/>
                <w:sz w:val="20"/>
                <w:szCs w:val="20"/>
                <w:lang w:val="sr-Latn-RS"/>
              </w:rPr>
            </w:pPr>
          </w:p>
        </w:tc>
        <w:tc>
          <w:tcPr>
            <w:tcW w:w="1312" w:type="pct"/>
            <w:shd w:val="clear" w:color="auto" w:fill="auto"/>
            <w:vAlign w:val="center"/>
          </w:tcPr>
          <w:p w14:paraId="7BA75DA9"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r w:rsidRPr="00F92434">
              <w:rPr>
                <w:rFonts w:cs="Arial"/>
                <w:sz w:val="20"/>
                <w:szCs w:val="20"/>
                <w:lang w:val="sr-Latn-RS"/>
              </w:rPr>
              <w:t>St_N_Median_OS</w:t>
            </w:r>
          </w:p>
        </w:tc>
        <w:tc>
          <w:tcPr>
            <w:tcW w:w="1007" w:type="pct"/>
            <w:shd w:val="clear" w:color="auto" w:fill="auto"/>
            <w:vAlign w:val="center"/>
          </w:tcPr>
          <w:p w14:paraId="5EC11AA6" w14:textId="1E9EE8C7"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028</w:t>
            </w:r>
          </w:p>
        </w:tc>
        <w:tc>
          <w:tcPr>
            <w:tcW w:w="913" w:type="pct"/>
            <w:shd w:val="clear" w:color="auto" w:fill="auto"/>
            <w:vAlign w:val="center"/>
          </w:tcPr>
          <w:p w14:paraId="31282EB1" w14:textId="413DE402"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207</w:t>
            </w:r>
          </w:p>
        </w:tc>
      </w:tr>
      <w:tr w:rsidR="00F92434" w:rsidRPr="00F92434" w14:paraId="46110632" w14:textId="77777777" w:rsidTr="000701A7">
        <w:trPr>
          <w:cantSplit/>
        </w:trPr>
        <w:tc>
          <w:tcPr>
            <w:tcW w:w="972" w:type="pct"/>
            <w:vMerge/>
            <w:shd w:val="clear" w:color="auto" w:fill="auto"/>
          </w:tcPr>
          <w:p w14:paraId="64EB9735" w14:textId="77777777" w:rsidR="00F92434" w:rsidRPr="00F92434" w:rsidRDefault="00F92434" w:rsidP="00F92434">
            <w:pPr>
              <w:autoSpaceDE w:val="0"/>
              <w:autoSpaceDN w:val="0"/>
              <w:adjustRightInd w:val="0"/>
              <w:spacing w:before="0" w:after="0"/>
              <w:ind w:left="57" w:right="57"/>
              <w:jc w:val="left"/>
              <w:rPr>
                <w:rFonts w:cs="Arial"/>
                <w:sz w:val="20"/>
                <w:szCs w:val="20"/>
                <w:lang w:val="sr-Latn-RS"/>
              </w:rPr>
            </w:pPr>
          </w:p>
        </w:tc>
        <w:tc>
          <w:tcPr>
            <w:tcW w:w="796" w:type="pct"/>
            <w:vMerge/>
            <w:shd w:val="clear" w:color="auto" w:fill="auto"/>
          </w:tcPr>
          <w:p w14:paraId="3D14A74B" w14:textId="77777777" w:rsidR="00F92434" w:rsidRPr="00F92434" w:rsidRDefault="00F92434" w:rsidP="00F92434">
            <w:pPr>
              <w:autoSpaceDE w:val="0"/>
              <w:autoSpaceDN w:val="0"/>
              <w:adjustRightInd w:val="0"/>
              <w:spacing w:before="0" w:after="0"/>
              <w:ind w:left="57" w:right="57"/>
              <w:jc w:val="left"/>
              <w:rPr>
                <w:rFonts w:cs="Arial"/>
                <w:sz w:val="20"/>
                <w:szCs w:val="20"/>
                <w:lang w:val="sr-Latn-RS"/>
              </w:rPr>
            </w:pPr>
          </w:p>
        </w:tc>
        <w:tc>
          <w:tcPr>
            <w:tcW w:w="1312" w:type="pct"/>
            <w:shd w:val="clear" w:color="auto" w:fill="auto"/>
            <w:vAlign w:val="center"/>
          </w:tcPr>
          <w:p w14:paraId="5C62B652"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r w:rsidRPr="00F92434">
              <w:rPr>
                <w:rFonts w:cs="Arial"/>
                <w:sz w:val="20"/>
                <w:szCs w:val="20"/>
                <w:lang w:val="sr-Latn-RS"/>
              </w:rPr>
              <w:t>St_Load_kg_OS</w:t>
            </w:r>
          </w:p>
        </w:tc>
        <w:tc>
          <w:tcPr>
            <w:tcW w:w="1007" w:type="pct"/>
            <w:shd w:val="clear" w:color="auto" w:fill="auto"/>
            <w:vAlign w:val="center"/>
          </w:tcPr>
          <w:p w14:paraId="51F94BF8" w14:textId="6AE94DCB"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043</w:t>
            </w:r>
          </w:p>
        </w:tc>
        <w:tc>
          <w:tcPr>
            <w:tcW w:w="913" w:type="pct"/>
            <w:shd w:val="clear" w:color="auto" w:fill="auto"/>
            <w:vAlign w:val="center"/>
          </w:tcPr>
          <w:p w14:paraId="63E43D50" w14:textId="09844235"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207</w:t>
            </w:r>
          </w:p>
        </w:tc>
      </w:tr>
      <w:tr w:rsidR="00F92434" w:rsidRPr="00F92434" w14:paraId="3D39C2EE" w14:textId="77777777" w:rsidTr="000701A7">
        <w:trPr>
          <w:cantSplit/>
        </w:trPr>
        <w:tc>
          <w:tcPr>
            <w:tcW w:w="972" w:type="pct"/>
            <w:vMerge/>
            <w:shd w:val="clear" w:color="auto" w:fill="auto"/>
          </w:tcPr>
          <w:p w14:paraId="162787BB" w14:textId="77777777" w:rsidR="00F92434" w:rsidRPr="00F92434" w:rsidRDefault="00F92434" w:rsidP="00F92434">
            <w:pPr>
              <w:autoSpaceDE w:val="0"/>
              <w:autoSpaceDN w:val="0"/>
              <w:adjustRightInd w:val="0"/>
              <w:spacing w:before="0" w:after="0"/>
              <w:ind w:left="57" w:right="57"/>
              <w:jc w:val="left"/>
              <w:rPr>
                <w:rFonts w:cs="Arial"/>
                <w:sz w:val="20"/>
                <w:szCs w:val="20"/>
                <w:lang w:val="sr-Latn-RS"/>
              </w:rPr>
            </w:pPr>
          </w:p>
        </w:tc>
        <w:tc>
          <w:tcPr>
            <w:tcW w:w="796" w:type="pct"/>
            <w:vMerge/>
            <w:shd w:val="clear" w:color="auto" w:fill="auto"/>
          </w:tcPr>
          <w:p w14:paraId="058EC311" w14:textId="77777777" w:rsidR="00F92434" w:rsidRPr="00F92434" w:rsidRDefault="00F92434" w:rsidP="00F92434">
            <w:pPr>
              <w:autoSpaceDE w:val="0"/>
              <w:autoSpaceDN w:val="0"/>
              <w:adjustRightInd w:val="0"/>
              <w:spacing w:before="0" w:after="0"/>
              <w:ind w:left="57" w:right="57"/>
              <w:jc w:val="left"/>
              <w:rPr>
                <w:rFonts w:cs="Arial"/>
                <w:sz w:val="20"/>
                <w:szCs w:val="20"/>
                <w:lang w:val="sr-Latn-RS"/>
              </w:rPr>
            </w:pPr>
          </w:p>
        </w:tc>
        <w:tc>
          <w:tcPr>
            <w:tcW w:w="1312" w:type="pct"/>
            <w:shd w:val="clear" w:color="auto" w:fill="auto"/>
            <w:vAlign w:val="center"/>
          </w:tcPr>
          <w:p w14:paraId="50DE0425"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r w:rsidRPr="00F92434">
              <w:rPr>
                <w:rFonts w:cs="Arial"/>
                <w:sz w:val="20"/>
                <w:szCs w:val="20"/>
                <w:lang w:val="sr-Latn-RS"/>
              </w:rPr>
              <w:t>St_N_Max_OS</w:t>
            </w:r>
          </w:p>
        </w:tc>
        <w:tc>
          <w:tcPr>
            <w:tcW w:w="1007" w:type="pct"/>
            <w:shd w:val="clear" w:color="auto" w:fill="auto"/>
            <w:vAlign w:val="center"/>
          </w:tcPr>
          <w:p w14:paraId="7051D648" w14:textId="5CB4E790"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031</w:t>
            </w:r>
          </w:p>
        </w:tc>
        <w:tc>
          <w:tcPr>
            <w:tcW w:w="913" w:type="pct"/>
            <w:shd w:val="clear" w:color="auto" w:fill="auto"/>
            <w:vAlign w:val="center"/>
          </w:tcPr>
          <w:p w14:paraId="0E967601" w14:textId="45FB4DA4"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190</w:t>
            </w:r>
          </w:p>
        </w:tc>
      </w:tr>
      <w:tr w:rsidR="00F92434" w:rsidRPr="00F92434" w14:paraId="0DD3134F" w14:textId="77777777" w:rsidTr="000701A7">
        <w:trPr>
          <w:cantSplit/>
        </w:trPr>
        <w:tc>
          <w:tcPr>
            <w:tcW w:w="972" w:type="pct"/>
            <w:vMerge/>
            <w:shd w:val="clear" w:color="auto" w:fill="auto"/>
          </w:tcPr>
          <w:p w14:paraId="6BF7F1A2" w14:textId="77777777" w:rsidR="00F92434" w:rsidRPr="00F92434" w:rsidRDefault="00F92434" w:rsidP="00F92434">
            <w:pPr>
              <w:autoSpaceDE w:val="0"/>
              <w:autoSpaceDN w:val="0"/>
              <w:adjustRightInd w:val="0"/>
              <w:spacing w:before="0" w:after="0"/>
              <w:ind w:left="57" w:right="57"/>
              <w:jc w:val="left"/>
              <w:rPr>
                <w:rFonts w:cs="Arial"/>
                <w:sz w:val="20"/>
                <w:szCs w:val="20"/>
                <w:lang w:val="sr-Latn-RS"/>
              </w:rPr>
            </w:pPr>
          </w:p>
        </w:tc>
        <w:tc>
          <w:tcPr>
            <w:tcW w:w="796" w:type="pct"/>
            <w:vMerge/>
            <w:shd w:val="clear" w:color="auto" w:fill="auto"/>
          </w:tcPr>
          <w:p w14:paraId="21FDD781" w14:textId="77777777" w:rsidR="00F92434" w:rsidRPr="00F92434" w:rsidRDefault="00F92434" w:rsidP="00F92434">
            <w:pPr>
              <w:autoSpaceDE w:val="0"/>
              <w:autoSpaceDN w:val="0"/>
              <w:adjustRightInd w:val="0"/>
              <w:spacing w:before="0" w:after="0"/>
              <w:ind w:left="57" w:right="57"/>
              <w:jc w:val="left"/>
              <w:rPr>
                <w:rFonts w:cs="Arial"/>
                <w:sz w:val="20"/>
                <w:szCs w:val="20"/>
                <w:lang w:val="sr-Latn-RS"/>
              </w:rPr>
            </w:pPr>
          </w:p>
        </w:tc>
        <w:tc>
          <w:tcPr>
            <w:tcW w:w="1312" w:type="pct"/>
            <w:shd w:val="clear" w:color="auto" w:fill="auto"/>
            <w:vAlign w:val="center"/>
          </w:tcPr>
          <w:p w14:paraId="224128E3"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r w:rsidRPr="00F92434">
              <w:rPr>
                <w:rFonts w:cs="Arial"/>
                <w:sz w:val="20"/>
                <w:szCs w:val="20"/>
                <w:lang w:val="sr-Latn-RS"/>
              </w:rPr>
              <w:t>St_T2_OS</w:t>
            </w:r>
          </w:p>
        </w:tc>
        <w:tc>
          <w:tcPr>
            <w:tcW w:w="1007" w:type="pct"/>
            <w:shd w:val="clear" w:color="auto" w:fill="auto"/>
            <w:vAlign w:val="center"/>
          </w:tcPr>
          <w:p w14:paraId="38CA48B5" w14:textId="71541C54"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007</w:t>
            </w:r>
          </w:p>
        </w:tc>
        <w:tc>
          <w:tcPr>
            <w:tcW w:w="913" w:type="pct"/>
            <w:shd w:val="clear" w:color="auto" w:fill="auto"/>
            <w:vAlign w:val="center"/>
          </w:tcPr>
          <w:p w14:paraId="43542317" w14:textId="341DE4AB"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172</w:t>
            </w:r>
          </w:p>
        </w:tc>
      </w:tr>
      <w:tr w:rsidR="00F92434" w:rsidRPr="00F92434" w14:paraId="45B4C33A" w14:textId="77777777" w:rsidTr="000701A7">
        <w:trPr>
          <w:cantSplit/>
        </w:trPr>
        <w:tc>
          <w:tcPr>
            <w:tcW w:w="972" w:type="pct"/>
            <w:vMerge/>
            <w:shd w:val="clear" w:color="auto" w:fill="auto"/>
          </w:tcPr>
          <w:p w14:paraId="75986B07" w14:textId="77777777" w:rsidR="00F92434" w:rsidRPr="00F92434" w:rsidRDefault="00F92434" w:rsidP="00F92434">
            <w:pPr>
              <w:autoSpaceDE w:val="0"/>
              <w:autoSpaceDN w:val="0"/>
              <w:adjustRightInd w:val="0"/>
              <w:spacing w:before="0" w:after="0"/>
              <w:ind w:left="57" w:right="57"/>
              <w:jc w:val="left"/>
              <w:rPr>
                <w:rFonts w:cs="Arial"/>
                <w:sz w:val="20"/>
                <w:szCs w:val="20"/>
                <w:lang w:val="sr-Latn-RS"/>
              </w:rPr>
            </w:pPr>
          </w:p>
        </w:tc>
        <w:tc>
          <w:tcPr>
            <w:tcW w:w="796" w:type="pct"/>
            <w:vMerge/>
            <w:shd w:val="clear" w:color="auto" w:fill="auto"/>
          </w:tcPr>
          <w:p w14:paraId="734EE79F" w14:textId="77777777" w:rsidR="00F92434" w:rsidRPr="00F92434" w:rsidRDefault="00F92434" w:rsidP="00F92434">
            <w:pPr>
              <w:autoSpaceDE w:val="0"/>
              <w:autoSpaceDN w:val="0"/>
              <w:adjustRightInd w:val="0"/>
              <w:spacing w:before="0" w:after="0"/>
              <w:ind w:left="57" w:right="57"/>
              <w:jc w:val="left"/>
              <w:rPr>
                <w:rFonts w:cs="Arial"/>
                <w:sz w:val="20"/>
                <w:szCs w:val="20"/>
                <w:lang w:val="sr-Latn-RS"/>
              </w:rPr>
            </w:pPr>
          </w:p>
        </w:tc>
        <w:tc>
          <w:tcPr>
            <w:tcW w:w="1312" w:type="pct"/>
            <w:shd w:val="clear" w:color="auto" w:fill="auto"/>
            <w:vAlign w:val="center"/>
          </w:tcPr>
          <w:p w14:paraId="3518B72C"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r w:rsidRPr="00F92434">
              <w:rPr>
                <w:rFonts w:cs="Arial"/>
                <w:sz w:val="20"/>
                <w:szCs w:val="20"/>
                <w:lang w:val="sr-Latn-RS"/>
              </w:rPr>
              <w:t>Stand_HS_Idle</w:t>
            </w:r>
          </w:p>
        </w:tc>
        <w:tc>
          <w:tcPr>
            <w:tcW w:w="1007" w:type="pct"/>
            <w:shd w:val="clear" w:color="auto" w:fill="auto"/>
            <w:vAlign w:val="center"/>
          </w:tcPr>
          <w:p w14:paraId="1037E8EE" w14:textId="45135D61" w:rsidR="00F92434" w:rsidRPr="00F92434" w:rsidRDefault="00F92434" w:rsidP="000701A7">
            <w:pPr>
              <w:autoSpaceDE w:val="0"/>
              <w:autoSpaceDN w:val="0"/>
              <w:adjustRightInd w:val="0"/>
              <w:spacing w:before="0" w:after="0"/>
              <w:ind w:left="57" w:right="57"/>
              <w:jc w:val="right"/>
              <w:rPr>
                <w:rFonts w:cs="Arial"/>
                <w:sz w:val="20"/>
                <w:szCs w:val="20"/>
                <w:lang w:val="sr-Latn-RS"/>
              </w:rPr>
            </w:pPr>
            <w:r w:rsidRPr="00F92434">
              <w:rPr>
                <w:rFonts w:cs="Arial"/>
                <w:sz w:val="20"/>
                <w:szCs w:val="20"/>
                <w:lang w:val="sr-Latn-RS"/>
              </w:rPr>
              <w:t>8</w:t>
            </w:r>
            <w:r>
              <w:rPr>
                <w:rFonts w:cs="Arial"/>
                <w:sz w:val="20"/>
                <w:szCs w:val="20"/>
                <w:lang w:val="sr-Latn-RS"/>
              </w:rPr>
              <w:t>.</w:t>
            </w:r>
            <w:r w:rsidRPr="00F92434">
              <w:rPr>
                <w:rFonts w:cs="Arial"/>
                <w:sz w:val="20"/>
                <w:szCs w:val="20"/>
                <w:lang w:val="sr-Latn-RS"/>
              </w:rPr>
              <w:t>374E-5</w:t>
            </w:r>
          </w:p>
        </w:tc>
        <w:tc>
          <w:tcPr>
            <w:tcW w:w="913" w:type="pct"/>
            <w:shd w:val="clear" w:color="auto" w:fill="auto"/>
            <w:vAlign w:val="center"/>
          </w:tcPr>
          <w:p w14:paraId="4BEFB30C" w14:textId="6DEE1FD1"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103</w:t>
            </w:r>
          </w:p>
        </w:tc>
      </w:tr>
      <w:tr w:rsidR="00F92434" w:rsidRPr="00F92434" w14:paraId="40850FA3" w14:textId="77777777" w:rsidTr="000701A7">
        <w:trPr>
          <w:cantSplit/>
        </w:trPr>
        <w:tc>
          <w:tcPr>
            <w:tcW w:w="972" w:type="pct"/>
            <w:vMerge/>
            <w:tcBorders>
              <w:bottom w:val="single" w:sz="4" w:space="0" w:color="auto"/>
            </w:tcBorders>
            <w:shd w:val="clear" w:color="auto" w:fill="auto"/>
          </w:tcPr>
          <w:p w14:paraId="42B2692D" w14:textId="77777777" w:rsidR="00F92434" w:rsidRPr="00F92434" w:rsidRDefault="00F92434" w:rsidP="00F92434">
            <w:pPr>
              <w:autoSpaceDE w:val="0"/>
              <w:autoSpaceDN w:val="0"/>
              <w:adjustRightInd w:val="0"/>
              <w:spacing w:before="0" w:after="0"/>
              <w:ind w:left="57" w:right="57"/>
              <w:jc w:val="left"/>
              <w:rPr>
                <w:rFonts w:cs="Arial"/>
                <w:sz w:val="20"/>
                <w:szCs w:val="20"/>
                <w:lang w:val="sr-Latn-RS"/>
              </w:rPr>
            </w:pPr>
          </w:p>
        </w:tc>
        <w:tc>
          <w:tcPr>
            <w:tcW w:w="796" w:type="pct"/>
            <w:vMerge/>
            <w:tcBorders>
              <w:bottom w:val="single" w:sz="4" w:space="0" w:color="auto"/>
            </w:tcBorders>
            <w:shd w:val="clear" w:color="auto" w:fill="auto"/>
          </w:tcPr>
          <w:p w14:paraId="5179CCC5" w14:textId="77777777" w:rsidR="00F92434" w:rsidRPr="00F92434" w:rsidRDefault="00F92434" w:rsidP="00F92434">
            <w:pPr>
              <w:autoSpaceDE w:val="0"/>
              <w:autoSpaceDN w:val="0"/>
              <w:adjustRightInd w:val="0"/>
              <w:spacing w:before="0" w:after="0"/>
              <w:ind w:left="57" w:right="57"/>
              <w:jc w:val="left"/>
              <w:rPr>
                <w:rFonts w:cs="Arial"/>
                <w:sz w:val="20"/>
                <w:szCs w:val="20"/>
                <w:lang w:val="sr-Latn-RS"/>
              </w:rPr>
            </w:pPr>
          </w:p>
        </w:tc>
        <w:tc>
          <w:tcPr>
            <w:tcW w:w="1312" w:type="pct"/>
            <w:tcBorders>
              <w:bottom w:val="single" w:sz="4" w:space="0" w:color="auto"/>
            </w:tcBorders>
            <w:shd w:val="clear" w:color="auto" w:fill="auto"/>
            <w:vAlign w:val="center"/>
          </w:tcPr>
          <w:p w14:paraId="48B19136" w14:textId="77777777" w:rsidR="00F92434" w:rsidRPr="00F92434" w:rsidRDefault="00F92434" w:rsidP="000701A7">
            <w:pPr>
              <w:autoSpaceDE w:val="0"/>
              <w:autoSpaceDN w:val="0"/>
              <w:adjustRightInd w:val="0"/>
              <w:spacing w:before="0" w:after="0"/>
              <w:ind w:left="57" w:right="57"/>
              <w:jc w:val="left"/>
              <w:rPr>
                <w:rFonts w:cs="Arial"/>
                <w:sz w:val="20"/>
                <w:szCs w:val="20"/>
                <w:lang w:val="sr-Latn-RS"/>
              </w:rPr>
            </w:pPr>
            <w:r w:rsidRPr="00F92434">
              <w:rPr>
                <w:rFonts w:cs="Arial"/>
                <w:sz w:val="20"/>
                <w:szCs w:val="20"/>
                <w:lang w:val="sr-Latn-RS"/>
              </w:rPr>
              <w:t>St_T4_OS</w:t>
            </w:r>
          </w:p>
        </w:tc>
        <w:tc>
          <w:tcPr>
            <w:tcW w:w="1007" w:type="pct"/>
            <w:tcBorders>
              <w:bottom w:val="single" w:sz="4" w:space="0" w:color="auto"/>
            </w:tcBorders>
            <w:shd w:val="clear" w:color="auto" w:fill="auto"/>
            <w:vAlign w:val="center"/>
          </w:tcPr>
          <w:p w14:paraId="5F1C90D1" w14:textId="4A4DFA76"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005</w:t>
            </w:r>
          </w:p>
        </w:tc>
        <w:tc>
          <w:tcPr>
            <w:tcW w:w="913" w:type="pct"/>
            <w:tcBorders>
              <w:bottom w:val="single" w:sz="4" w:space="0" w:color="auto"/>
            </w:tcBorders>
            <w:shd w:val="clear" w:color="auto" w:fill="auto"/>
            <w:vAlign w:val="center"/>
          </w:tcPr>
          <w:p w14:paraId="65EC97B6" w14:textId="6D79B511" w:rsidR="00F92434" w:rsidRPr="00F92434" w:rsidRDefault="00F92434" w:rsidP="000701A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F92434">
              <w:rPr>
                <w:rFonts w:cs="Arial"/>
                <w:sz w:val="20"/>
                <w:szCs w:val="20"/>
                <w:lang w:val="sr-Latn-RS"/>
              </w:rPr>
              <w:t>034</w:t>
            </w:r>
          </w:p>
        </w:tc>
      </w:tr>
    </w:tbl>
    <w:p w14:paraId="46DA2F97" w14:textId="48386FF2" w:rsidR="00C23C04" w:rsidRDefault="00C23C04" w:rsidP="00C23C04">
      <w:pPr>
        <w:autoSpaceDE w:val="0"/>
        <w:autoSpaceDN w:val="0"/>
        <w:adjustRightInd w:val="0"/>
        <w:spacing w:before="0" w:after="0"/>
        <w:jc w:val="center"/>
        <w:rPr>
          <w:rFonts w:ascii="Times New Roman" w:hAnsi="Times New Roman" w:cs="Times New Roman"/>
          <w:szCs w:val="24"/>
          <w:lang w:val="sr-Latn-RS"/>
        </w:rPr>
      </w:pPr>
      <w:r>
        <w:rPr>
          <w:rFonts w:ascii="Times New Roman" w:hAnsi="Times New Roman" w:cs="Times New Roman"/>
          <w:noProof/>
          <w:szCs w:val="24"/>
          <w:lang w:val="sr-Latn-RS"/>
        </w:rPr>
        <w:lastRenderedPageBreak/>
        <w:drawing>
          <wp:inline distT="0" distB="0" distL="0" distR="0" wp14:anchorId="19C21CDE" wp14:editId="28B01149">
            <wp:extent cx="4447436" cy="7031182"/>
            <wp:effectExtent l="0" t="0" r="0" b="0"/>
            <wp:docPr id="120" name="Picture 1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Diagram&#10;&#10;Description automatically generated"/>
                    <pic:cNvPicPr>
                      <a:picLocks noChangeAspect="1" noChangeArrowheads="1"/>
                    </pic:cNvPicPr>
                  </pic:nvPicPr>
                  <pic:blipFill rotWithShape="1">
                    <a:blip r:embed="rId144">
                      <a:extLst>
                        <a:ext uri="{28A0092B-C50C-407E-A947-70E740481C1C}">
                          <a14:useLocalDpi xmlns:a14="http://schemas.microsoft.com/office/drawing/2010/main" val="0"/>
                        </a:ext>
                      </a:extLst>
                    </a:blip>
                    <a:srcRect t="4222" b="4581"/>
                    <a:stretch/>
                  </pic:blipFill>
                  <pic:spPr bwMode="auto">
                    <a:xfrm>
                      <a:off x="0" y="0"/>
                      <a:ext cx="4447436" cy="7031182"/>
                    </a:xfrm>
                    <a:prstGeom prst="rect">
                      <a:avLst/>
                    </a:prstGeom>
                    <a:noFill/>
                    <a:ln>
                      <a:noFill/>
                    </a:ln>
                    <a:extLst>
                      <a:ext uri="{53640926-AAD7-44D8-BBD7-CCE9431645EC}">
                        <a14:shadowObscured xmlns:a14="http://schemas.microsoft.com/office/drawing/2010/main"/>
                      </a:ext>
                    </a:extLst>
                  </pic:spPr>
                </pic:pic>
              </a:graphicData>
            </a:graphic>
          </wp:inline>
        </w:drawing>
      </w:r>
    </w:p>
    <w:p w14:paraId="54B92271" w14:textId="351439EE" w:rsidR="0084709D" w:rsidRDefault="0084709D" w:rsidP="0084709D">
      <w:pPr>
        <w:pStyle w:val="Caption"/>
      </w:pPr>
      <w:bookmarkStart w:id="634" w:name="_Toc101274630"/>
      <w:r>
        <w:t xml:space="preserve">Figure </w:t>
      </w:r>
      <w:fldSimple w:instr=" SEQ Figure \* ARABIC ">
        <w:r w:rsidR="00587AF0">
          <w:rPr>
            <w:noProof/>
          </w:rPr>
          <w:t>108</w:t>
        </w:r>
      </w:fldSimple>
      <w:r>
        <w:t xml:space="preserve">. </w:t>
      </w:r>
      <w:r w:rsidR="004D6D48">
        <w:t>Decision tree of training sample at opening saddle position</w:t>
      </w:r>
      <w:bookmarkEnd w:id="634"/>
    </w:p>
    <w:p w14:paraId="4B9E75C4" w14:textId="2BB6A23C" w:rsidR="008B66F1" w:rsidRPr="00D8671D" w:rsidRDefault="00187D77" w:rsidP="008B66F1">
      <w:r>
        <w:t>Although decision trees depth can be increased to increase the model fit, however, in that case</w:t>
      </w:r>
      <w:r w:rsidR="00C657B8">
        <w:t>,</w:t>
      </w:r>
      <w:r>
        <w:t xml:space="preserve"> overfitting can cause bias in getting appropriate results in achieving “optimal” classification with testing results.</w:t>
      </w:r>
      <w:r w:rsidR="00D8671D">
        <w:t xml:space="preserve"> In order to avoid overfitting</w:t>
      </w:r>
      <w:r w:rsidR="00C657B8">
        <w:t>,</w:t>
      </w:r>
      <w:r w:rsidR="00D8671D">
        <w:t xml:space="preserve"> the algorithm provides </w:t>
      </w:r>
      <w:r w:rsidR="00C657B8">
        <w:t xml:space="preserve">a </w:t>
      </w:r>
      <w:r w:rsidR="00D8671D">
        <w:t xml:space="preserve">classification tree with somewhat reasonable growth. </w:t>
      </w:r>
      <w:r w:rsidR="00C657B8" w:rsidRPr="00C657B8">
        <w:rPr>
          <w:b/>
          <w:bCs/>
          <w:i/>
          <w:iCs/>
        </w:rPr>
        <w:t>P</w:t>
      </w:r>
      <w:r w:rsidR="00D8671D">
        <w:rPr>
          <w:b/>
          <w:bCs/>
          <w:i/>
          <w:iCs/>
        </w:rPr>
        <w:t>runing</w:t>
      </w:r>
      <w:r w:rsidR="00D8671D">
        <w:t xml:space="preserve"> is a method of data compression of this type of search algorithm to reduce the size of </w:t>
      </w:r>
      <w:r w:rsidR="00C657B8">
        <w:t xml:space="preserve">the </w:t>
      </w:r>
      <w:r w:rsidR="00D8671D">
        <w:t>decision tree</w:t>
      </w:r>
      <w:r w:rsidR="003A1CE6">
        <w:t xml:space="preserve">, i.e., </w:t>
      </w:r>
      <w:r w:rsidR="00D8671D">
        <w:t>improv</w:t>
      </w:r>
      <w:r w:rsidR="003A1CE6">
        <w:t>ing</w:t>
      </w:r>
      <w:r w:rsidR="00D8671D">
        <w:t xml:space="preserve"> predictive accuracy by reducing overfitting. The pruning was not used in this case since </w:t>
      </w:r>
      <w:r w:rsidR="007C6F59">
        <w:t xml:space="preserve">the </w:t>
      </w:r>
      <w:r w:rsidR="00D8671D">
        <w:t>results show good predictive accuracy</w:t>
      </w:r>
      <w:r w:rsidR="00C657B8">
        <w:t>,</w:t>
      </w:r>
      <w:r w:rsidR="00D8671D">
        <w:t xml:space="preserve"> and the error does not suggest </w:t>
      </w:r>
      <w:r w:rsidR="004909B8">
        <w:t xml:space="preserve">an </w:t>
      </w:r>
      <w:r w:rsidR="00D8671D">
        <w:t>increased error of prediction accuracy.</w:t>
      </w:r>
    </w:p>
    <w:p w14:paraId="299450F8" w14:textId="5E8ECEF4" w:rsidR="005A19F8" w:rsidRDefault="000F161A" w:rsidP="007922C0">
      <w:r>
        <w:lastRenderedPageBreak/>
        <w:t xml:space="preserve">The results of a model are shown in </w:t>
      </w:r>
      <w:r>
        <w:fldChar w:fldCharType="begin"/>
      </w:r>
      <w:r>
        <w:instrText xml:space="preserve"> REF _Ref99273926 \h </w:instrText>
      </w:r>
      <w:r>
        <w:fldChar w:fldCharType="separate"/>
      </w:r>
      <w:r w:rsidR="00587AF0">
        <w:t xml:space="preserve">Table </w:t>
      </w:r>
      <w:r w:rsidR="00587AF0">
        <w:rPr>
          <w:noProof/>
        </w:rPr>
        <w:t>56</w:t>
      </w:r>
      <w:r>
        <w:fldChar w:fldCharType="end"/>
      </w:r>
      <w:r>
        <w:t xml:space="preserve">. The classification suggests increased bias in </w:t>
      </w:r>
      <w:r w:rsidR="004909B8">
        <w:t>predicting the normal operating “None”; however, increased variance and error in prediction suggest the presence of bias, i.e., overfitting in</w:t>
      </w:r>
      <w:r>
        <w:t xml:space="preserve"> predicting the presence of quasi-fault operating state or anomaly in prediction.</w:t>
      </w:r>
      <w:r w:rsidR="002E6A6F">
        <w:t xml:space="preserve"> </w:t>
      </w:r>
      <w:r w:rsidR="007922C0">
        <w:t>The accuracy of a model shows reasonable good prediction properties</w:t>
      </w:r>
      <w:r w:rsidR="004909B8">
        <w:t>;</w:t>
      </w:r>
      <w:r w:rsidR="007922C0">
        <w:t xml:space="preserve"> however, compared to the previous methods, a model shows a slight bias in mapping inputs to outputs given the parameters of a model in comparison to ANN. However, the model outperforms GNB since, as suggested, the model is a non-parametric algorithm</w:t>
      </w:r>
      <w:r w:rsidR="004909B8">
        <w:t>,</w:t>
      </w:r>
      <w:r w:rsidR="007922C0">
        <w:t xml:space="preserve"> unlike GNB.</w:t>
      </w:r>
    </w:p>
    <w:p w14:paraId="37885CC4" w14:textId="7FB8C6AA" w:rsidR="0084709D" w:rsidRPr="0084709D" w:rsidRDefault="00513DE7" w:rsidP="00513DE7">
      <w:pPr>
        <w:pStyle w:val="Caption"/>
        <w:jc w:val="both"/>
        <w:rPr>
          <w:lang w:val="sr-Latn-RS"/>
        </w:rPr>
      </w:pPr>
      <w:bookmarkStart w:id="635" w:name="_Toc101274491"/>
      <w:r>
        <w:t xml:space="preserve">Table </w:t>
      </w:r>
      <w:fldSimple w:instr=" SEQ Table \* ARABIC ">
        <w:r w:rsidR="00587AF0">
          <w:rPr>
            <w:noProof/>
          </w:rPr>
          <w:t>51</w:t>
        </w:r>
      </w:fldSimple>
      <w:r>
        <w:t>. Classification results for decision tree for opening saddle position</w:t>
      </w:r>
      <w:bookmarkEnd w:id="635"/>
    </w:p>
    <w:tbl>
      <w:tblPr>
        <w:tblW w:w="5000" w:type="pct"/>
        <w:tblLook w:val="04A0" w:firstRow="1" w:lastRow="0" w:firstColumn="1" w:lastColumn="0" w:noHBand="0" w:noVBand="1"/>
      </w:tblPr>
      <w:tblGrid>
        <w:gridCol w:w="2005"/>
        <w:gridCol w:w="2351"/>
        <w:gridCol w:w="1004"/>
        <w:gridCol w:w="1780"/>
        <w:gridCol w:w="1887"/>
      </w:tblGrid>
      <w:tr w:rsidR="00FA30F4" w:rsidRPr="0047391D" w14:paraId="03CEE031" w14:textId="77777777" w:rsidTr="00FA30F4">
        <w:trPr>
          <w:trHeight w:val="270"/>
        </w:trPr>
        <w:tc>
          <w:tcPr>
            <w:tcW w:w="1111" w:type="pct"/>
            <w:tcBorders>
              <w:top w:val="single" w:sz="4" w:space="0" w:color="auto"/>
              <w:left w:val="nil"/>
              <w:bottom w:val="single" w:sz="4" w:space="0" w:color="auto"/>
              <w:right w:val="nil"/>
            </w:tcBorders>
            <w:vAlign w:val="center"/>
            <w:hideMark/>
          </w:tcPr>
          <w:p w14:paraId="177FDE92" w14:textId="7F9F0CF7" w:rsidR="00FA30F4" w:rsidRPr="0047391D" w:rsidRDefault="00FA30F4" w:rsidP="00FA30F4">
            <w:pPr>
              <w:spacing w:before="0" w:after="0"/>
              <w:jc w:val="left"/>
              <w:rPr>
                <w:rFonts w:eastAsia="Times New Roman" w:cs="Times New Roman"/>
                <w:b/>
                <w:bCs/>
                <w:color w:val="000000"/>
                <w:sz w:val="20"/>
                <w:szCs w:val="20"/>
                <w:lang w:val="sr-Latn-RS" w:eastAsia="sr-Latn-RS"/>
              </w:rPr>
            </w:pPr>
            <w:r w:rsidRPr="0047391D">
              <w:rPr>
                <w:rFonts w:eastAsia="Times New Roman" w:cs="Times New Roman"/>
                <w:b/>
                <w:bCs/>
                <w:color w:val="000000"/>
                <w:sz w:val="20"/>
                <w:szCs w:val="20"/>
                <w:lang w:val="sr-Latn-RS" w:eastAsia="sr-Latn-RS"/>
              </w:rPr>
              <w:t>Sample</w:t>
            </w:r>
          </w:p>
        </w:tc>
        <w:tc>
          <w:tcPr>
            <w:tcW w:w="1302" w:type="pct"/>
            <w:tcBorders>
              <w:top w:val="single" w:sz="4" w:space="0" w:color="auto"/>
              <w:left w:val="nil"/>
              <w:bottom w:val="single" w:sz="4" w:space="0" w:color="auto"/>
              <w:right w:val="nil"/>
            </w:tcBorders>
            <w:vAlign w:val="center"/>
            <w:hideMark/>
          </w:tcPr>
          <w:p w14:paraId="1F8A4D8D" w14:textId="13C1640F" w:rsidR="00FA30F4" w:rsidRPr="0047391D" w:rsidRDefault="00FA30F4" w:rsidP="00FA30F4">
            <w:pPr>
              <w:spacing w:before="0" w:after="0"/>
              <w:jc w:val="left"/>
              <w:rPr>
                <w:rFonts w:eastAsia="Times New Roman" w:cs="Times New Roman"/>
                <w:b/>
                <w:bCs/>
                <w:color w:val="000000"/>
                <w:sz w:val="20"/>
                <w:szCs w:val="20"/>
                <w:lang w:val="sr-Latn-RS" w:eastAsia="sr-Latn-RS"/>
              </w:rPr>
            </w:pPr>
            <w:r w:rsidRPr="0047391D">
              <w:rPr>
                <w:rFonts w:eastAsia="Times New Roman" w:cs="Times New Roman"/>
                <w:b/>
                <w:bCs/>
                <w:color w:val="000000"/>
                <w:sz w:val="20"/>
                <w:szCs w:val="20"/>
                <w:lang w:val="sr-Latn-RS" w:eastAsia="sr-Latn-RS"/>
              </w:rPr>
              <w:t>Observed</w:t>
            </w:r>
          </w:p>
        </w:tc>
        <w:tc>
          <w:tcPr>
            <w:tcW w:w="556" w:type="pct"/>
            <w:tcBorders>
              <w:top w:val="single" w:sz="4" w:space="0" w:color="auto"/>
              <w:left w:val="nil"/>
              <w:bottom w:val="single" w:sz="4" w:space="0" w:color="auto"/>
              <w:right w:val="nil"/>
            </w:tcBorders>
            <w:shd w:val="clear" w:color="auto" w:fill="auto"/>
            <w:vAlign w:val="center"/>
            <w:hideMark/>
          </w:tcPr>
          <w:p w14:paraId="17CDCAC7" w14:textId="77777777" w:rsidR="00FA30F4" w:rsidRPr="0047391D" w:rsidRDefault="00FA30F4" w:rsidP="00C21DEC">
            <w:pPr>
              <w:spacing w:before="0" w:after="0"/>
              <w:jc w:val="right"/>
              <w:rPr>
                <w:rFonts w:eastAsia="Times New Roman" w:cs="Times New Roman"/>
                <w:b/>
                <w:bCs/>
                <w:color w:val="000000"/>
                <w:sz w:val="20"/>
                <w:szCs w:val="20"/>
                <w:lang w:val="sr-Latn-RS" w:eastAsia="sr-Latn-RS"/>
              </w:rPr>
            </w:pPr>
            <w:r w:rsidRPr="0047391D">
              <w:rPr>
                <w:rFonts w:eastAsia="Times New Roman" w:cs="Times New Roman"/>
                <w:b/>
                <w:bCs/>
                <w:color w:val="000000"/>
                <w:sz w:val="20"/>
                <w:szCs w:val="20"/>
                <w:lang w:val="sr-Latn-RS" w:eastAsia="sr-Latn-RS"/>
              </w:rPr>
              <w:t>None</w:t>
            </w:r>
          </w:p>
        </w:tc>
        <w:tc>
          <w:tcPr>
            <w:tcW w:w="986" w:type="pct"/>
            <w:tcBorders>
              <w:top w:val="single" w:sz="4" w:space="0" w:color="auto"/>
              <w:left w:val="nil"/>
              <w:bottom w:val="single" w:sz="4" w:space="0" w:color="auto"/>
              <w:right w:val="nil"/>
            </w:tcBorders>
            <w:shd w:val="clear" w:color="auto" w:fill="auto"/>
            <w:vAlign w:val="center"/>
            <w:hideMark/>
          </w:tcPr>
          <w:p w14:paraId="4CE902BE" w14:textId="77777777" w:rsidR="00FA30F4" w:rsidRPr="0047391D" w:rsidRDefault="00FA30F4" w:rsidP="00C21DEC">
            <w:pPr>
              <w:spacing w:before="0" w:after="0"/>
              <w:jc w:val="right"/>
              <w:rPr>
                <w:rFonts w:eastAsia="Times New Roman" w:cs="Times New Roman"/>
                <w:b/>
                <w:bCs/>
                <w:color w:val="000000"/>
                <w:sz w:val="20"/>
                <w:szCs w:val="20"/>
                <w:lang w:val="sr-Latn-RS" w:eastAsia="sr-Latn-RS"/>
              </w:rPr>
            </w:pPr>
            <w:r w:rsidRPr="0047391D">
              <w:rPr>
                <w:rFonts w:eastAsia="Times New Roman" w:cs="Times New Roman"/>
                <w:b/>
                <w:bCs/>
                <w:color w:val="000000"/>
                <w:sz w:val="20"/>
                <w:szCs w:val="20"/>
                <w:lang w:val="sr-Latn-RS" w:eastAsia="sr-Latn-RS"/>
              </w:rPr>
              <w:t>Quasi-fault</w:t>
            </w:r>
          </w:p>
        </w:tc>
        <w:tc>
          <w:tcPr>
            <w:tcW w:w="1045" w:type="pct"/>
            <w:tcBorders>
              <w:top w:val="single" w:sz="4" w:space="0" w:color="auto"/>
              <w:left w:val="nil"/>
              <w:bottom w:val="single" w:sz="4" w:space="0" w:color="auto"/>
              <w:right w:val="nil"/>
            </w:tcBorders>
            <w:shd w:val="clear" w:color="auto" w:fill="auto"/>
            <w:vAlign w:val="center"/>
            <w:hideMark/>
          </w:tcPr>
          <w:p w14:paraId="221B13AF" w14:textId="77777777" w:rsidR="00FA30F4" w:rsidRPr="0047391D" w:rsidRDefault="00FA30F4" w:rsidP="00C21DEC">
            <w:pPr>
              <w:spacing w:before="0" w:after="0"/>
              <w:jc w:val="right"/>
              <w:rPr>
                <w:rFonts w:eastAsia="Times New Roman" w:cs="Times New Roman"/>
                <w:b/>
                <w:bCs/>
                <w:color w:val="000000"/>
                <w:sz w:val="20"/>
                <w:szCs w:val="20"/>
                <w:lang w:val="sr-Latn-RS" w:eastAsia="sr-Latn-RS"/>
              </w:rPr>
            </w:pPr>
            <w:r w:rsidRPr="0047391D">
              <w:rPr>
                <w:rFonts w:eastAsia="Times New Roman" w:cs="Times New Roman"/>
                <w:b/>
                <w:bCs/>
                <w:color w:val="000000"/>
                <w:sz w:val="20"/>
                <w:szCs w:val="20"/>
                <w:lang w:val="sr-Latn-RS" w:eastAsia="sr-Latn-RS"/>
              </w:rPr>
              <w:t>Percent Correct</w:t>
            </w:r>
          </w:p>
        </w:tc>
      </w:tr>
      <w:tr w:rsidR="0047391D" w:rsidRPr="0047391D" w14:paraId="0135C669" w14:textId="77777777" w:rsidTr="009534B5">
        <w:trPr>
          <w:trHeight w:val="64"/>
        </w:trPr>
        <w:tc>
          <w:tcPr>
            <w:tcW w:w="1111" w:type="pct"/>
            <w:vMerge w:val="restart"/>
            <w:tcBorders>
              <w:top w:val="single" w:sz="4" w:space="0" w:color="auto"/>
              <w:left w:val="nil"/>
              <w:bottom w:val="nil"/>
              <w:right w:val="nil"/>
            </w:tcBorders>
            <w:shd w:val="clear" w:color="auto" w:fill="auto"/>
            <w:vAlign w:val="center"/>
            <w:hideMark/>
          </w:tcPr>
          <w:p w14:paraId="327B7372" w14:textId="77777777" w:rsidR="0047391D" w:rsidRPr="0047391D" w:rsidRDefault="0047391D" w:rsidP="0047391D">
            <w:pPr>
              <w:spacing w:before="0" w:after="0"/>
              <w:jc w:val="left"/>
              <w:rPr>
                <w:rFonts w:eastAsia="Times New Roman" w:cs="Times New Roman"/>
                <w:color w:val="000000"/>
                <w:sz w:val="20"/>
                <w:szCs w:val="20"/>
                <w:lang w:val="sr-Latn-RS" w:eastAsia="sr-Latn-RS"/>
              </w:rPr>
            </w:pPr>
            <w:r w:rsidRPr="0047391D">
              <w:rPr>
                <w:rFonts w:eastAsia="Times New Roman" w:cs="Times New Roman"/>
                <w:color w:val="000000"/>
                <w:sz w:val="20"/>
                <w:szCs w:val="20"/>
                <w:lang w:val="sr-Latn-RS" w:eastAsia="sr-Latn-RS"/>
              </w:rPr>
              <w:t>Training</w:t>
            </w:r>
          </w:p>
        </w:tc>
        <w:tc>
          <w:tcPr>
            <w:tcW w:w="1302" w:type="pct"/>
            <w:tcBorders>
              <w:top w:val="single" w:sz="4" w:space="0" w:color="auto"/>
              <w:left w:val="nil"/>
              <w:bottom w:val="nil"/>
              <w:right w:val="nil"/>
            </w:tcBorders>
            <w:shd w:val="clear" w:color="auto" w:fill="auto"/>
            <w:vAlign w:val="center"/>
            <w:hideMark/>
          </w:tcPr>
          <w:p w14:paraId="4508A65E" w14:textId="77777777" w:rsidR="0047391D" w:rsidRPr="0047391D" w:rsidRDefault="0047391D" w:rsidP="0047391D">
            <w:pPr>
              <w:spacing w:before="0" w:after="0"/>
              <w:jc w:val="left"/>
              <w:rPr>
                <w:rFonts w:eastAsia="Times New Roman" w:cs="Times New Roman"/>
                <w:color w:val="000000"/>
                <w:sz w:val="20"/>
                <w:szCs w:val="20"/>
                <w:lang w:val="sr-Latn-RS" w:eastAsia="sr-Latn-RS"/>
              </w:rPr>
            </w:pPr>
            <w:r w:rsidRPr="0047391D">
              <w:rPr>
                <w:rFonts w:eastAsia="Times New Roman" w:cs="Times New Roman"/>
                <w:color w:val="000000"/>
                <w:sz w:val="20"/>
                <w:szCs w:val="20"/>
                <w:lang w:val="sr-Latn-RS" w:eastAsia="sr-Latn-RS"/>
              </w:rPr>
              <w:t>None</w:t>
            </w:r>
          </w:p>
        </w:tc>
        <w:tc>
          <w:tcPr>
            <w:tcW w:w="556" w:type="pct"/>
            <w:tcBorders>
              <w:top w:val="single" w:sz="4" w:space="0" w:color="auto"/>
              <w:left w:val="nil"/>
              <w:bottom w:val="nil"/>
              <w:right w:val="nil"/>
            </w:tcBorders>
            <w:shd w:val="clear" w:color="auto" w:fill="auto"/>
            <w:vAlign w:val="center"/>
            <w:hideMark/>
          </w:tcPr>
          <w:p w14:paraId="77E348B3" w14:textId="77777777" w:rsidR="0047391D" w:rsidRPr="0047391D" w:rsidRDefault="0047391D" w:rsidP="0047391D">
            <w:pPr>
              <w:spacing w:before="0" w:after="0"/>
              <w:jc w:val="right"/>
              <w:rPr>
                <w:rFonts w:eastAsia="Times New Roman" w:cs="Times New Roman"/>
                <w:color w:val="000000"/>
                <w:sz w:val="20"/>
                <w:szCs w:val="20"/>
                <w:lang w:val="sr-Latn-RS" w:eastAsia="sr-Latn-RS"/>
              </w:rPr>
            </w:pPr>
            <w:r w:rsidRPr="0047391D">
              <w:rPr>
                <w:rFonts w:eastAsia="Times New Roman" w:cs="Times New Roman"/>
                <w:color w:val="000000"/>
                <w:sz w:val="20"/>
                <w:szCs w:val="20"/>
                <w:lang w:val="sr-Latn-RS" w:eastAsia="sr-Latn-RS"/>
              </w:rPr>
              <w:t>352</w:t>
            </w:r>
          </w:p>
        </w:tc>
        <w:tc>
          <w:tcPr>
            <w:tcW w:w="986" w:type="pct"/>
            <w:tcBorders>
              <w:top w:val="single" w:sz="4" w:space="0" w:color="auto"/>
              <w:left w:val="nil"/>
              <w:bottom w:val="nil"/>
              <w:right w:val="nil"/>
            </w:tcBorders>
            <w:shd w:val="clear" w:color="auto" w:fill="auto"/>
            <w:vAlign w:val="center"/>
            <w:hideMark/>
          </w:tcPr>
          <w:p w14:paraId="6568F216" w14:textId="77777777" w:rsidR="0047391D" w:rsidRPr="0047391D" w:rsidRDefault="0047391D" w:rsidP="0047391D">
            <w:pPr>
              <w:spacing w:before="0" w:after="0"/>
              <w:jc w:val="right"/>
              <w:rPr>
                <w:rFonts w:eastAsia="Times New Roman" w:cs="Times New Roman"/>
                <w:color w:val="000000"/>
                <w:sz w:val="20"/>
                <w:szCs w:val="20"/>
                <w:lang w:val="sr-Latn-RS" w:eastAsia="sr-Latn-RS"/>
              </w:rPr>
            </w:pPr>
            <w:r w:rsidRPr="0047391D">
              <w:rPr>
                <w:rFonts w:eastAsia="Times New Roman" w:cs="Times New Roman"/>
                <w:color w:val="000000"/>
                <w:sz w:val="20"/>
                <w:szCs w:val="20"/>
                <w:lang w:val="sr-Latn-RS" w:eastAsia="sr-Latn-RS"/>
              </w:rPr>
              <w:t>5</w:t>
            </w:r>
          </w:p>
        </w:tc>
        <w:tc>
          <w:tcPr>
            <w:tcW w:w="1045" w:type="pct"/>
            <w:tcBorders>
              <w:top w:val="single" w:sz="4" w:space="0" w:color="auto"/>
              <w:left w:val="nil"/>
              <w:bottom w:val="nil"/>
              <w:right w:val="nil"/>
            </w:tcBorders>
            <w:shd w:val="clear" w:color="auto" w:fill="auto"/>
            <w:vAlign w:val="center"/>
            <w:hideMark/>
          </w:tcPr>
          <w:p w14:paraId="061C27F6" w14:textId="48EDEFB4" w:rsidR="0047391D" w:rsidRPr="0047391D" w:rsidRDefault="0047391D" w:rsidP="0047391D">
            <w:pPr>
              <w:spacing w:before="0" w:after="0"/>
              <w:jc w:val="right"/>
              <w:rPr>
                <w:rFonts w:eastAsia="Times New Roman" w:cs="Times New Roman"/>
                <w:color w:val="000000"/>
                <w:sz w:val="20"/>
                <w:szCs w:val="20"/>
                <w:lang w:val="sr-Latn-RS" w:eastAsia="sr-Latn-RS"/>
              </w:rPr>
            </w:pPr>
            <w:r w:rsidRPr="0047391D">
              <w:rPr>
                <w:rFonts w:eastAsia="Times New Roman" w:cs="Times New Roman"/>
                <w:color w:val="000000"/>
                <w:sz w:val="20"/>
                <w:szCs w:val="20"/>
                <w:lang w:val="sr-Latn-RS" w:eastAsia="sr-Latn-RS"/>
              </w:rPr>
              <w:t>98.6%</w:t>
            </w:r>
          </w:p>
        </w:tc>
      </w:tr>
      <w:tr w:rsidR="0047391D" w:rsidRPr="0047391D" w14:paraId="2E99CD3E" w14:textId="77777777" w:rsidTr="009534B5">
        <w:trPr>
          <w:trHeight w:val="143"/>
        </w:trPr>
        <w:tc>
          <w:tcPr>
            <w:tcW w:w="1111" w:type="pct"/>
            <w:vMerge/>
            <w:tcBorders>
              <w:top w:val="nil"/>
              <w:left w:val="nil"/>
              <w:bottom w:val="nil"/>
              <w:right w:val="nil"/>
            </w:tcBorders>
            <w:vAlign w:val="center"/>
            <w:hideMark/>
          </w:tcPr>
          <w:p w14:paraId="07096CE9" w14:textId="77777777" w:rsidR="0047391D" w:rsidRPr="0047391D" w:rsidRDefault="0047391D" w:rsidP="0047391D">
            <w:pPr>
              <w:spacing w:before="0" w:after="0"/>
              <w:jc w:val="left"/>
              <w:rPr>
                <w:rFonts w:eastAsia="Times New Roman" w:cs="Times New Roman"/>
                <w:color w:val="000000"/>
                <w:sz w:val="20"/>
                <w:szCs w:val="20"/>
                <w:lang w:val="sr-Latn-RS" w:eastAsia="sr-Latn-RS"/>
              </w:rPr>
            </w:pPr>
          </w:p>
        </w:tc>
        <w:tc>
          <w:tcPr>
            <w:tcW w:w="1302" w:type="pct"/>
            <w:tcBorders>
              <w:top w:val="nil"/>
              <w:left w:val="nil"/>
              <w:bottom w:val="nil"/>
              <w:right w:val="nil"/>
            </w:tcBorders>
            <w:shd w:val="clear" w:color="auto" w:fill="auto"/>
            <w:vAlign w:val="center"/>
            <w:hideMark/>
          </w:tcPr>
          <w:p w14:paraId="0FA3D40E" w14:textId="77777777" w:rsidR="0047391D" w:rsidRPr="0047391D" w:rsidRDefault="0047391D" w:rsidP="0047391D">
            <w:pPr>
              <w:spacing w:before="0" w:after="0"/>
              <w:jc w:val="left"/>
              <w:rPr>
                <w:rFonts w:eastAsia="Times New Roman" w:cs="Times New Roman"/>
                <w:color w:val="000000"/>
                <w:sz w:val="20"/>
                <w:szCs w:val="20"/>
                <w:lang w:val="sr-Latn-RS" w:eastAsia="sr-Latn-RS"/>
              </w:rPr>
            </w:pPr>
            <w:r w:rsidRPr="0047391D">
              <w:rPr>
                <w:rFonts w:eastAsia="Times New Roman" w:cs="Times New Roman"/>
                <w:color w:val="000000"/>
                <w:sz w:val="20"/>
                <w:szCs w:val="20"/>
                <w:lang w:val="sr-Latn-RS" w:eastAsia="sr-Latn-RS"/>
              </w:rPr>
              <w:t>Quasi-fault</w:t>
            </w:r>
          </w:p>
        </w:tc>
        <w:tc>
          <w:tcPr>
            <w:tcW w:w="556" w:type="pct"/>
            <w:tcBorders>
              <w:top w:val="nil"/>
              <w:left w:val="nil"/>
              <w:bottom w:val="nil"/>
              <w:right w:val="nil"/>
            </w:tcBorders>
            <w:shd w:val="clear" w:color="auto" w:fill="auto"/>
            <w:vAlign w:val="center"/>
            <w:hideMark/>
          </w:tcPr>
          <w:p w14:paraId="1B0ADEEA" w14:textId="77777777" w:rsidR="0047391D" w:rsidRPr="0047391D" w:rsidRDefault="0047391D" w:rsidP="0047391D">
            <w:pPr>
              <w:spacing w:before="0" w:after="0"/>
              <w:jc w:val="right"/>
              <w:rPr>
                <w:rFonts w:eastAsia="Times New Roman" w:cs="Times New Roman"/>
                <w:color w:val="000000"/>
                <w:sz w:val="20"/>
                <w:szCs w:val="20"/>
                <w:lang w:val="sr-Latn-RS" w:eastAsia="sr-Latn-RS"/>
              </w:rPr>
            </w:pPr>
            <w:r w:rsidRPr="0047391D">
              <w:rPr>
                <w:rFonts w:eastAsia="Times New Roman" w:cs="Times New Roman"/>
                <w:color w:val="000000"/>
                <w:sz w:val="20"/>
                <w:szCs w:val="20"/>
                <w:lang w:val="sr-Latn-RS" w:eastAsia="sr-Latn-RS"/>
              </w:rPr>
              <w:t>38</w:t>
            </w:r>
          </w:p>
        </w:tc>
        <w:tc>
          <w:tcPr>
            <w:tcW w:w="986" w:type="pct"/>
            <w:tcBorders>
              <w:top w:val="nil"/>
              <w:left w:val="nil"/>
              <w:bottom w:val="nil"/>
              <w:right w:val="nil"/>
            </w:tcBorders>
            <w:shd w:val="clear" w:color="auto" w:fill="auto"/>
            <w:vAlign w:val="center"/>
            <w:hideMark/>
          </w:tcPr>
          <w:p w14:paraId="0B166D39" w14:textId="77777777" w:rsidR="0047391D" w:rsidRPr="0047391D" w:rsidRDefault="0047391D" w:rsidP="0047391D">
            <w:pPr>
              <w:spacing w:before="0" w:after="0"/>
              <w:jc w:val="right"/>
              <w:rPr>
                <w:rFonts w:eastAsia="Times New Roman" w:cs="Times New Roman"/>
                <w:color w:val="000000"/>
                <w:sz w:val="20"/>
                <w:szCs w:val="20"/>
                <w:lang w:val="sr-Latn-RS" w:eastAsia="sr-Latn-RS"/>
              </w:rPr>
            </w:pPr>
            <w:r w:rsidRPr="0047391D">
              <w:rPr>
                <w:rFonts w:eastAsia="Times New Roman" w:cs="Times New Roman"/>
                <w:color w:val="000000"/>
                <w:sz w:val="20"/>
                <w:szCs w:val="20"/>
                <w:lang w:val="sr-Latn-RS" w:eastAsia="sr-Latn-RS"/>
              </w:rPr>
              <w:t>291</w:t>
            </w:r>
          </w:p>
        </w:tc>
        <w:tc>
          <w:tcPr>
            <w:tcW w:w="1045" w:type="pct"/>
            <w:tcBorders>
              <w:top w:val="nil"/>
              <w:left w:val="nil"/>
              <w:bottom w:val="nil"/>
              <w:right w:val="nil"/>
            </w:tcBorders>
            <w:shd w:val="clear" w:color="auto" w:fill="auto"/>
            <w:vAlign w:val="center"/>
            <w:hideMark/>
          </w:tcPr>
          <w:p w14:paraId="7668D3FF" w14:textId="3F4B5AFA" w:rsidR="0047391D" w:rsidRPr="0047391D" w:rsidRDefault="0047391D" w:rsidP="0047391D">
            <w:pPr>
              <w:spacing w:before="0" w:after="0"/>
              <w:jc w:val="right"/>
              <w:rPr>
                <w:rFonts w:eastAsia="Times New Roman" w:cs="Times New Roman"/>
                <w:color w:val="000000"/>
                <w:sz w:val="20"/>
                <w:szCs w:val="20"/>
                <w:lang w:val="sr-Latn-RS" w:eastAsia="sr-Latn-RS"/>
              </w:rPr>
            </w:pPr>
            <w:r w:rsidRPr="0047391D">
              <w:rPr>
                <w:rFonts w:eastAsia="Times New Roman" w:cs="Times New Roman"/>
                <w:color w:val="000000"/>
                <w:sz w:val="20"/>
                <w:szCs w:val="20"/>
                <w:lang w:val="sr-Latn-RS" w:eastAsia="sr-Latn-RS"/>
              </w:rPr>
              <w:t>88.4%</w:t>
            </w:r>
          </w:p>
        </w:tc>
      </w:tr>
      <w:tr w:rsidR="0047391D" w:rsidRPr="0047391D" w14:paraId="778A417B" w14:textId="77777777" w:rsidTr="00982E69">
        <w:trPr>
          <w:trHeight w:val="255"/>
        </w:trPr>
        <w:tc>
          <w:tcPr>
            <w:tcW w:w="1111" w:type="pct"/>
            <w:vMerge/>
            <w:tcBorders>
              <w:top w:val="nil"/>
              <w:left w:val="nil"/>
              <w:right w:val="nil"/>
            </w:tcBorders>
            <w:vAlign w:val="center"/>
            <w:hideMark/>
          </w:tcPr>
          <w:p w14:paraId="5D639F75" w14:textId="77777777" w:rsidR="0047391D" w:rsidRPr="0047391D" w:rsidRDefault="0047391D" w:rsidP="0047391D">
            <w:pPr>
              <w:spacing w:before="0" w:after="0"/>
              <w:jc w:val="left"/>
              <w:rPr>
                <w:rFonts w:eastAsia="Times New Roman" w:cs="Times New Roman"/>
                <w:color w:val="000000"/>
                <w:sz w:val="20"/>
                <w:szCs w:val="20"/>
                <w:lang w:val="sr-Latn-RS" w:eastAsia="sr-Latn-RS"/>
              </w:rPr>
            </w:pPr>
          </w:p>
        </w:tc>
        <w:tc>
          <w:tcPr>
            <w:tcW w:w="1302" w:type="pct"/>
            <w:tcBorders>
              <w:top w:val="nil"/>
              <w:left w:val="nil"/>
              <w:right w:val="nil"/>
            </w:tcBorders>
            <w:shd w:val="clear" w:color="auto" w:fill="auto"/>
            <w:vAlign w:val="center"/>
            <w:hideMark/>
          </w:tcPr>
          <w:p w14:paraId="51E946D6" w14:textId="77777777" w:rsidR="0047391D" w:rsidRPr="0047391D" w:rsidRDefault="0047391D" w:rsidP="0047391D">
            <w:pPr>
              <w:spacing w:before="0" w:after="0"/>
              <w:jc w:val="left"/>
              <w:rPr>
                <w:rFonts w:eastAsia="Times New Roman" w:cs="Times New Roman"/>
                <w:color w:val="000000"/>
                <w:sz w:val="20"/>
                <w:szCs w:val="20"/>
                <w:lang w:val="sr-Latn-RS" w:eastAsia="sr-Latn-RS"/>
              </w:rPr>
            </w:pPr>
            <w:r w:rsidRPr="0047391D">
              <w:rPr>
                <w:rFonts w:eastAsia="Times New Roman" w:cs="Times New Roman"/>
                <w:color w:val="000000"/>
                <w:sz w:val="20"/>
                <w:szCs w:val="20"/>
                <w:lang w:val="sr-Latn-RS" w:eastAsia="sr-Latn-RS"/>
              </w:rPr>
              <w:t>Overall Percentage</w:t>
            </w:r>
          </w:p>
        </w:tc>
        <w:tc>
          <w:tcPr>
            <w:tcW w:w="556" w:type="pct"/>
            <w:tcBorders>
              <w:top w:val="nil"/>
              <w:left w:val="nil"/>
              <w:right w:val="nil"/>
            </w:tcBorders>
            <w:shd w:val="clear" w:color="auto" w:fill="auto"/>
            <w:noWrap/>
            <w:vAlign w:val="center"/>
            <w:hideMark/>
          </w:tcPr>
          <w:p w14:paraId="7D4F58D4" w14:textId="2DAF3B07" w:rsidR="0047391D" w:rsidRPr="0047391D" w:rsidRDefault="0047391D" w:rsidP="0047391D">
            <w:pPr>
              <w:spacing w:before="0" w:after="0"/>
              <w:jc w:val="right"/>
              <w:rPr>
                <w:rFonts w:eastAsia="Times New Roman" w:cs="Times New Roman"/>
                <w:color w:val="000000"/>
                <w:sz w:val="20"/>
                <w:szCs w:val="20"/>
                <w:lang w:val="sr-Latn-RS" w:eastAsia="sr-Latn-RS"/>
              </w:rPr>
            </w:pPr>
            <w:r w:rsidRPr="0047391D">
              <w:rPr>
                <w:rFonts w:eastAsia="Times New Roman" w:cs="Times New Roman"/>
                <w:color w:val="000000"/>
                <w:sz w:val="20"/>
                <w:szCs w:val="20"/>
                <w:lang w:val="sr-Latn-RS" w:eastAsia="sr-Latn-RS"/>
              </w:rPr>
              <w:t>56.8%</w:t>
            </w:r>
          </w:p>
        </w:tc>
        <w:tc>
          <w:tcPr>
            <w:tcW w:w="986" w:type="pct"/>
            <w:tcBorders>
              <w:top w:val="nil"/>
              <w:left w:val="nil"/>
              <w:right w:val="nil"/>
            </w:tcBorders>
            <w:shd w:val="clear" w:color="auto" w:fill="auto"/>
            <w:noWrap/>
            <w:vAlign w:val="center"/>
            <w:hideMark/>
          </w:tcPr>
          <w:p w14:paraId="680FBC18" w14:textId="77777777" w:rsidR="0047391D" w:rsidRPr="0047391D" w:rsidRDefault="0047391D" w:rsidP="0047391D">
            <w:pPr>
              <w:spacing w:before="0" w:after="0"/>
              <w:jc w:val="right"/>
              <w:rPr>
                <w:rFonts w:eastAsia="Times New Roman" w:cs="Times New Roman"/>
                <w:color w:val="000000"/>
                <w:sz w:val="20"/>
                <w:szCs w:val="20"/>
                <w:lang w:val="sr-Latn-RS" w:eastAsia="sr-Latn-RS"/>
              </w:rPr>
            </w:pPr>
            <w:r w:rsidRPr="0047391D">
              <w:rPr>
                <w:rFonts w:eastAsia="Times New Roman" w:cs="Times New Roman"/>
                <w:color w:val="000000"/>
                <w:sz w:val="20"/>
                <w:szCs w:val="20"/>
                <w:lang w:val="sr-Latn-RS" w:eastAsia="sr-Latn-RS"/>
              </w:rPr>
              <w:t>43.1%</w:t>
            </w:r>
          </w:p>
        </w:tc>
        <w:tc>
          <w:tcPr>
            <w:tcW w:w="1045" w:type="pct"/>
            <w:tcBorders>
              <w:top w:val="nil"/>
              <w:left w:val="nil"/>
              <w:right w:val="nil"/>
            </w:tcBorders>
            <w:shd w:val="clear" w:color="auto" w:fill="auto"/>
            <w:vAlign w:val="center"/>
            <w:hideMark/>
          </w:tcPr>
          <w:p w14:paraId="3EAFC0F5" w14:textId="36784712" w:rsidR="0047391D" w:rsidRPr="0047391D" w:rsidRDefault="0047391D" w:rsidP="0047391D">
            <w:pPr>
              <w:spacing w:before="0" w:after="0"/>
              <w:jc w:val="right"/>
              <w:rPr>
                <w:rFonts w:eastAsia="Times New Roman" w:cs="Times New Roman"/>
                <w:b/>
                <w:bCs/>
                <w:color w:val="000000"/>
                <w:sz w:val="20"/>
                <w:szCs w:val="20"/>
                <w:lang w:val="sr-Latn-RS" w:eastAsia="sr-Latn-RS"/>
              </w:rPr>
            </w:pPr>
            <w:r w:rsidRPr="0047391D">
              <w:rPr>
                <w:rFonts w:eastAsia="Times New Roman" w:cs="Times New Roman"/>
                <w:b/>
                <w:bCs/>
                <w:color w:val="000000"/>
                <w:sz w:val="20"/>
                <w:szCs w:val="20"/>
                <w:lang w:val="sr-Latn-RS" w:eastAsia="sr-Latn-RS"/>
              </w:rPr>
              <w:t>93.7%</w:t>
            </w:r>
          </w:p>
        </w:tc>
      </w:tr>
      <w:tr w:rsidR="0047391D" w:rsidRPr="0047391D" w14:paraId="513F650B" w14:textId="77777777" w:rsidTr="009534B5">
        <w:trPr>
          <w:trHeight w:val="164"/>
        </w:trPr>
        <w:tc>
          <w:tcPr>
            <w:tcW w:w="1111" w:type="pct"/>
            <w:vMerge w:val="restart"/>
            <w:tcBorders>
              <w:top w:val="nil"/>
              <w:left w:val="nil"/>
              <w:bottom w:val="single" w:sz="8" w:space="0" w:color="152935"/>
              <w:right w:val="nil"/>
            </w:tcBorders>
            <w:shd w:val="clear" w:color="auto" w:fill="auto"/>
            <w:vAlign w:val="center"/>
            <w:hideMark/>
          </w:tcPr>
          <w:p w14:paraId="0DFEFAA8" w14:textId="77777777" w:rsidR="0047391D" w:rsidRPr="0047391D" w:rsidRDefault="0047391D" w:rsidP="0047391D">
            <w:pPr>
              <w:spacing w:before="0" w:after="0"/>
              <w:jc w:val="left"/>
              <w:rPr>
                <w:rFonts w:eastAsia="Times New Roman" w:cs="Times New Roman"/>
                <w:color w:val="000000"/>
                <w:sz w:val="20"/>
                <w:szCs w:val="20"/>
                <w:lang w:val="sr-Latn-RS" w:eastAsia="sr-Latn-RS"/>
              </w:rPr>
            </w:pPr>
            <w:r w:rsidRPr="0047391D">
              <w:rPr>
                <w:rFonts w:eastAsia="Times New Roman" w:cs="Times New Roman"/>
                <w:color w:val="000000"/>
                <w:sz w:val="20"/>
                <w:szCs w:val="20"/>
                <w:lang w:val="sr-Latn-RS" w:eastAsia="sr-Latn-RS"/>
              </w:rPr>
              <w:t>Test</w:t>
            </w:r>
          </w:p>
        </w:tc>
        <w:tc>
          <w:tcPr>
            <w:tcW w:w="1302" w:type="pct"/>
            <w:tcBorders>
              <w:top w:val="nil"/>
              <w:left w:val="nil"/>
              <w:bottom w:val="nil"/>
              <w:right w:val="nil"/>
            </w:tcBorders>
            <w:shd w:val="clear" w:color="auto" w:fill="auto"/>
            <w:vAlign w:val="center"/>
            <w:hideMark/>
          </w:tcPr>
          <w:p w14:paraId="09E2B2F6" w14:textId="77777777" w:rsidR="0047391D" w:rsidRPr="0047391D" w:rsidRDefault="0047391D" w:rsidP="0047391D">
            <w:pPr>
              <w:spacing w:before="0" w:after="0"/>
              <w:jc w:val="left"/>
              <w:rPr>
                <w:rFonts w:eastAsia="Times New Roman" w:cs="Times New Roman"/>
                <w:color w:val="000000"/>
                <w:sz w:val="20"/>
                <w:szCs w:val="20"/>
                <w:lang w:val="sr-Latn-RS" w:eastAsia="sr-Latn-RS"/>
              </w:rPr>
            </w:pPr>
            <w:r w:rsidRPr="0047391D">
              <w:rPr>
                <w:rFonts w:eastAsia="Times New Roman" w:cs="Times New Roman"/>
                <w:color w:val="000000"/>
                <w:sz w:val="20"/>
                <w:szCs w:val="20"/>
                <w:lang w:val="sr-Latn-RS" w:eastAsia="sr-Latn-RS"/>
              </w:rPr>
              <w:t>None</w:t>
            </w:r>
          </w:p>
        </w:tc>
        <w:tc>
          <w:tcPr>
            <w:tcW w:w="556" w:type="pct"/>
            <w:tcBorders>
              <w:top w:val="nil"/>
              <w:left w:val="nil"/>
              <w:bottom w:val="nil"/>
              <w:right w:val="nil"/>
            </w:tcBorders>
            <w:shd w:val="clear" w:color="auto" w:fill="auto"/>
            <w:vAlign w:val="center"/>
            <w:hideMark/>
          </w:tcPr>
          <w:p w14:paraId="58F8361F" w14:textId="77777777" w:rsidR="0047391D" w:rsidRPr="0047391D" w:rsidRDefault="0047391D" w:rsidP="0047391D">
            <w:pPr>
              <w:spacing w:before="0" w:after="0"/>
              <w:jc w:val="right"/>
              <w:rPr>
                <w:rFonts w:eastAsia="Times New Roman" w:cs="Times New Roman"/>
                <w:color w:val="000000"/>
                <w:sz w:val="20"/>
                <w:szCs w:val="20"/>
                <w:lang w:val="sr-Latn-RS" w:eastAsia="sr-Latn-RS"/>
              </w:rPr>
            </w:pPr>
            <w:r w:rsidRPr="0047391D">
              <w:rPr>
                <w:rFonts w:eastAsia="Times New Roman" w:cs="Times New Roman"/>
                <w:color w:val="000000"/>
                <w:sz w:val="20"/>
                <w:szCs w:val="20"/>
                <w:lang w:val="sr-Latn-RS" w:eastAsia="sr-Latn-RS"/>
              </w:rPr>
              <w:t>150</w:t>
            </w:r>
          </w:p>
        </w:tc>
        <w:tc>
          <w:tcPr>
            <w:tcW w:w="986" w:type="pct"/>
            <w:tcBorders>
              <w:top w:val="nil"/>
              <w:left w:val="nil"/>
              <w:bottom w:val="nil"/>
              <w:right w:val="nil"/>
            </w:tcBorders>
            <w:shd w:val="clear" w:color="auto" w:fill="auto"/>
            <w:noWrap/>
            <w:vAlign w:val="bottom"/>
            <w:hideMark/>
          </w:tcPr>
          <w:p w14:paraId="45412A4A" w14:textId="77777777" w:rsidR="0047391D" w:rsidRPr="0047391D" w:rsidRDefault="0047391D" w:rsidP="0047391D">
            <w:pPr>
              <w:spacing w:before="0" w:after="0"/>
              <w:jc w:val="right"/>
              <w:rPr>
                <w:rFonts w:eastAsia="Times New Roman" w:cs="Times New Roman"/>
                <w:color w:val="000000"/>
                <w:sz w:val="20"/>
                <w:szCs w:val="20"/>
                <w:lang w:val="sr-Latn-RS" w:eastAsia="sr-Latn-RS"/>
              </w:rPr>
            </w:pPr>
            <w:r w:rsidRPr="0047391D">
              <w:rPr>
                <w:rFonts w:eastAsia="Times New Roman" w:cs="Times New Roman"/>
                <w:color w:val="000000"/>
                <w:sz w:val="20"/>
                <w:szCs w:val="20"/>
                <w:lang w:val="sr-Latn-RS" w:eastAsia="sr-Latn-RS"/>
              </w:rPr>
              <w:t>9</w:t>
            </w:r>
          </w:p>
        </w:tc>
        <w:tc>
          <w:tcPr>
            <w:tcW w:w="1045" w:type="pct"/>
            <w:tcBorders>
              <w:top w:val="nil"/>
              <w:left w:val="nil"/>
              <w:bottom w:val="nil"/>
              <w:right w:val="nil"/>
            </w:tcBorders>
            <w:shd w:val="clear" w:color="auto" w:fill="auto"/>
            <w:vAlign w:val="center"/>
            <w:hideMark/>
          </w:tcPr>
          <w:p w14:paraId="7000295A" w14:textId="6B119FC9" w:rsidR="0047391D" w:rsidRPr="0047391D" w:rsidRDefault="0047391D" w:rsidP="0047391D">
            <w:pPr>
              <w:spacing w:before="0" w:after="0"/>
              <w:jc w:val="right"/>
              <w:rPr>
                <w:rFonts w:eastAsia="Times New Roman" w:cs="Times New Roman"/>
                <w:color w:val="000000"/>
                <w:sz w:val="20"/>
                <w:szCs w:val="20"/>
                <w:lang w:val="sr-Latn-RS" w:eastAsia="sr-Latn-RS"/>
              </w:rPr>
            </w:pPr>
            <w:r w:rsidRPr="0047391D">
              <w:rPr>
                <w:rFonts w:eastAsia="Times New Roman" w:cs="Times New Roman"/>
                <w:color w:val="000000"/>
                <w:sz w:val="20"/>
                <w:szCs w:val="20"/>
                <w:lang w:val="sr-Latn-RS" w:eastAsia="sr-Latn-RS"/>
              </w:rPr>
              <w:t>94.3%</w:t>
            </w:r>
          </w:p>
        </w:tc>
      </w:tr>
      <w:tr w:rsidR="0047391D" w:rsidRPr="0047391D" w14:paraId="38DA411A" w14:textId="77777777" w:rsidTr="009534B5">
        <w:trPr>
          <w:trHeight w:val="54"/>
        </w:trPr>
        <w:tc>
          <w:tcPr>
            <w:tcW w:w="1111" w:type="pct"/>
            <w:vMerge/>
            <w:tcBorders>
              <w:top w:val="nil"/>
              <w:left w:val="nil"/>
              <w:bottom w:val="single" w:sz="8" w:space="0" w:color="152935"/>
              <w:right w:val="nil"/>
            </w:tcBorders>
            <w:vAlign w:val="center"/>
            <w:hideMark/>
          </w:tcPr>
          <w:p w14:paraId="081440E0" w14:textId="77777777" w:rsidR="0047391D" w:rsidRPr="0047391D" w:rsidRDefault="0047391D" w:rsidP="0047391D">
            <w:pPr>
              <w:spacing w:before="0" w:after="0"/>
              <w:jc w:val="left"/>
              <w:rPr>
                <w:rFonts w:eastAsia="Times New Roman" w:cs="Times New Roman"/>
                <w:color w:val="000000"/>
                <w:sz w:val="20"/>
                <w:szCs w:val="20"/>
                <w:lang w:val="sr-Latn-RS" w:eastAsia="sr-Latn-RS"/>
              </w:rPr>
            </w:pPr>
          </w:p>
        </w:tc>
        <w:tc>
          <w:tcPr>
            <w:tcW w:w="1302" w:type="pct"/>
            <w:tcBorders>
              <w:top w:val="nil"/>
              <w:left w:val="nil"/>
              <w:bottom w:val="nil"/>
              <w:right w:val="nil"/>
            </w:tcBorders>
            <w:shd w:val="clear" w:color="auto" w:fill="auto"/>
            <w:vAlign w:val="center"/>
            <w:hideMark/>
          </w:tcPr>
          <w:p w14:paraId="0C0977BE" w14:textId="77777777" w:rsidR="0047391D" w:rsidRPr="0047391D" w:rsidRDefault="0047391D" w:rsidP="0047391D">
            <w:pPr>
              <w:spacing w:before="0" w:after="0"/>
              <w:jc w:val="left"/>
              <w:rPr>
                <w:rFonts w:eastAsia="Times New Roman" w:cs="Times New Roman"/>
                <w:color w:val="000000"/>
                <w:sz w:val="20"/>
                <w:szCs w:val="20"/>
                <w:lang w:val="sr-Latn-RS" w:eastAsia="sr-Latn-RS"/>
              </w:rPr>
            </w:pPr>
            <w:r w:rsidRPr="0047391D">
              <w:rPr>
                <w:rFonts w:eastAsia="Times New Roman" w:cs="Times New Roman"/>
                <w:color w:val="000000"/>
                <w:sz w:val="20"/>
                <w:szCs w:val="20"/>
                <w:lang w:val="sr-Latn-RS" w:eastAsia="sr-Latn-RS"/>
              </w:rPr>
              <w:t>Quasi-fault</w:t>
            </w:r>
          </w:p>
        </w:tc>
        <w:tc>
          <w:tcPr>
            <w:tcW w:w="556" w:type="pct"/>
            <w:tcBorders>
              <w:top w:val="nil"/>
              <w:left w:val="nil"/>
              <w:bottom w:val="nil"/>
              <w:right w:val="nil"/>
            </w:tcBorders>
            <w:shd w:val="clear" w:color="auto" w:fill="auto"/>
            <w:vAlign w:val="center"/>
            <w:hideMark/>
          </w:tcPr>
          <w:p w14:paraId="6243677F" w14:textId="77777777" w:rsidR="0047391D" w:rsidRPr="0047391D" w:rsidRDefault="0047391D" w:rsidP="0047391D">
            <w:pPr>
              <w:spacing w:before="0" w:after="0"/>
              <w:jc w:val="right"/>
              <w:rPr>
                <w:rFonts w:eastAsia="Times New Roman" w:cs="Times New Roman"/>
                <w:color w:val="000000"/>
                <w:sz w:val="20"/>
                <w:szCs w:val="20"/>
                <w:lang w:val="sr-Latn-RS" w:eastAsia="sr-Latn-RS"/>
              </w:rPr>
            </w:pPr>
            <w:r w:rsidRPr="0047391D">
              <w:rPr>
                <w:rFonts w:eastAsia="Times New Roman" w:cs="Times New Roman"/>
                <w:color w:val="000000"/>
                <w:sz w:val="20"/>
                <w:szCs w:val="20"/>
                <w:lang w:val="sr-Latn-RS" w:eastAsia="sr-Latn-RS"/>
              </w:rPr>
              <w:t>19</w:t>
            </w:r>
          </w:p>
        </w:tc>
        <w:tc>
          <w:tcPr>
            <w:tcW w:w="986" w:type="pct"/>
            <w:tcBorders>
              <w:top w:val="nil"/>
              <w:left w:val="nil"/>
              <w:bottom w:val="nil"/>
              <w:right w:val="nil"/>
            </w:tcBorders>
            <w:shd w:val="clear" w:color="auto" w:fill="auto"/>
            <w:vAlign w:val="center"/>
            <w:hideMark/>
          </w:tcPr>
          <w:p w14:paraId="4EE66B2C" w14:textId="77777777" w:rsidR="0047391D" w:rsidRPr="0047391D" w:rsidRDefault="0047391D" w:rsidP="0047391D">
            <w:pPr>
              <w:spacing w:before="0" w:after="0"/>
              <w:jc w:val="right"/>
              <w:rPr>
                <w:rFonts w:eastAsia="Times New Roman" w:cs="Times New Roman"/>
                <w:color w:val="000000"/>
                <w:sz w:val="20"/>
                <w:szCs w:val="20"/>
                <w:lang w:val="sr-Latn-RS" w:eastAsia="sr-Latn-RS"/>
              </w:rPr>
            </w:pPr>
            <w:r w:rsidRPr="0047391D">
              <w:rPr>
                <w:rFonts w:eastAsia="Times New Roman" w:cs="Times New Roman"/>
                <w:color w:val="000000"/>
                <w:sz w:val="20"/>
                <w:szCs w:val="20"/>
                <w:lang w:val="sr-Latn-RS" w:eastAsia="sr-Latn-RS"/>
              </w:rPr>
              <w:t>116</w:t>
            </w:r>
          </w:p>
        </w:tc>
        <w:tc>
          <w:tcPr>
            <w:tcW w:w="1045" w:type="pct"/>
            <w:tcBorders>
              <w:top w:val="nil"/>
              <w:left w:val="nil"/>
              <w:bottom w:val="nil"/>
              <w:right w:val="nil"/>
            </w:tcBorders>
            <w:shd w:val="clear" w:color="auto" w:fill="auto"/>
            <w:vAlign w:val="center"/>
            <w:hideMark/>
          </w:tcPr>
          <w:p w14:paraId="78AA505F" w14:textId="1E2BC23B" w:rsidR="0047391D" w:rsidRPr="0047391D" w:rsidRDefault="0047391D" w:rsidP="0047391D">
            <w:pPr>
              <w:spacing w:before="0" w:after="0"/>
              <w:jc w:val="right"/>
              <w:rPr>
                <w:rFonts w:eastAsia="Times New Roman" w:cs="Times New Roman"/>
                <w:color w:val="000000"/>
                <w:sz w:val="20"/>
                <w:szCs w:val="20"/>
                <w:lang w:val="sr-Latn-RS" w:eastAsia="sr-Latn-RS"/>
              </w:rPr>
            </w:pPr>
            <w:r w:rsidRPr="0047391D">
              <w:rPr>
                <w:rFonts w:eastAsia="Times New Roman" w:cs="Times New Roman"/>
                <w:color w:val="000000"/>
                <w:sz w:val="20"/>
                <w:szCs w:val="20"/>
                <w:lang w:val="sr-Latn-RS" w:eastAsia="sr-Latn-RS"/>
              </w:rPr>
              <w:t>85.9%</w:t>
            </w:r>
          </w:p>
        </w:tc>
      </w:tr>
      <w:tr w:rsidR="0047391D" w:rsidRPr="0047391D" w14:paraId="40FBDE40" w14:textId="77777777" w:rsidTr="00982E69">
        <w:trPr>
          <w:trHeight w:val="54"/>
        </w:trPr>
        <w:tc>
          <w:tcPr>
            <w:tcW w:w="1111" w:type="pct"/>
            <w:vMerge/>
            <w:tcBorders>
              <w:top w:val="nil"/>
              <w:left w:val="nil"/>
              <w:bottom w:val="single" w:sz="4" w:space="0" w:color="auto"/>
              <w:right w:val="nil"/>
            </w:tcBorders>
            <w:vAlign w:val="center"/>
            <w:hideMark/>
          </w:tcPr>
          <w:p w14:paraId="28004E33" w14:textId="77777777" w:rsidR="0047391D" w:rsidRPr="0047391D" w:rsidRDefault="0047391D" w:rsidP="0047391D">
            <w:pPr>
              <w:spacing w:before="0" w:after="0"/>
              <w:jc w:val="left"/>
              <w:rPr>
                <w:rFonts w:eastAsia="Times New Roman" w:cs="Times New Roman"/>
                <w:color w:val="000000"/>
                <w:sz w:val="20"/>
                <w:szCs w:val="20"/>
                <w:lang w:val="sr-Latn-RS" w:eastAsia="sr-Latn-RS"/>
              </w:rPr>
            </w:pPr>
          </w:p>
        </w:tc>
        <w:tc>
          <w:tcPr>
            <w:tcW w:w="1302" w:type="pct"/>
            <w:tcBorders>
              <w:top w:val="nil"/>
              <w:left w:val="nil"/>
              <w:bottom w:val="single" w:sz="4" w:space="0" w:color="auto"/>
              <w:right w:val="nil"/>
            </w:tcBorders>
            <w:shd w:val="clear" w:color="auto" w:fill="auto"/>
            <w:vAlign w:val="center"/>
            <w:hideMark/>
          </w:tcPr>
          <w:p w14:paraId="2EC4C682" w14:textId="77777777" w:rsidR="0047391D" w:rsidRPr="0047391D" w:rsidRDefault="0047391D" w:rsidP="0047391D">
            <w:pPr>
              <w:spacing w:before="0" w:after="0"/>
              <w:jc w:val="left"/>
              <w:rPr>
                <w:rFonts w:eastAsia="Times New Roman" w:cs="Times New Roman"/>
                <w:color w:val="000000"/>
                <w:sz w:val="20"/>
                <w:szCs w:val="20"/>
                <w:lang w:val="sr-Latn-RS" w:eastAsia="sr-Latn-RS"/>
              </w:rPr>
            </w:pPr>
            <w:r w:rsidRPr="0047391D">
              <w:rPr>
                <w:rFonts w:eastAsia="Times New Roman" w:cs="Times New Roman"/>
                <w:color w:val="000000"/>
                <w:sz w:val="20"/>
                <w:szCs w:val="20"/>
                <w:lang w:val="sr-Latn-RS" w:eastAsia="sr-Latn-RS"/>
              </w:rPr>
              <w:t>Overall Percentage</w:t>
            </w:r>
          </w:p>
        </w:tc>
        <w:tc>
          <w:tcPr>
            <w:tcW w:w="556" w:type="pct"/>
            <w:tcBorders>
              <w:top w:val="nil"/>
              <w:left w:val="nil"/>
              <w:bottom w:val="single" w:sz="4" w:space="0" w:color="auto"/>
              <w:right w:val="nil"/>
            </w:tcBorders>
            <w:shd w:val="clear" w:color="auto" w:fill="auto"/>
            <w:vAlign w:val="center"/>
            <w:hideMark/>
          </w:tcPr>
          <w:p w14:paraId="4E0023BF" w14:textId="6DEAEDDB" w:rsidR="0047391D" w:rsidRPr="0047391D" w:rsidRDefault="0047391D" w:rsidP="0047391D">
            <w:pPr>
              <w:spacing w:before="0" w:after="0"/>
              <w:jc w:val="right"/>
              <w:rPr>
                <w:rFonts w:eastAsia="Times New Roman" w:cs="Times New Roman"/>
                <w:color w:val="000000"/>
                <w:sz w:val="20"/>
                <w:szCs w:val="20"/>
                <w:lang w:val="sr-Latn-RS" w:eastAsia="sr-Latn-RS"/>
              </w:rPr>
            </w:pPr>
            <w:r w:rsidRPr="0047391D">
              <w:rPr>
                <w:rFonts w:eastAsia="Times New Roman" w:cs="Times New Roman"/>
                <w:color w:val="000000"/>
                <w:sz w:val="20"/>
                <w:szCs w:val="20"/>
                <w:lang w:val="sr-Latn-RS" w:eastAsia="sr-Latn-RS"/>
              </w:rPr>
              <w:t>57.</w:t>
            </w:r>
            <w:r w:rsidR="00681AC4">
              <w:rPr>
                <w:rFonts w:eastAsia="Times New Roman" w:cs="Times New Roman"/>
                <w:color w:val="000000"/>
                <w:sz w:val="20"/>
                <w:szCs w:val="20"/>
                <w:lang w:val="sr-Latn-RS" w:eastAsia="sr-Latn-RS"/>
              </w:rPr>
              <w:t>5</w:t>
            </w:r>
            <w:r w:rsidRPr="0047391D">
              <w:rPr>
                <w:rFonts w:eastAsia="Times New Roman" w:cs="Times New Roman"/>
                <w:color w:val="000000"/>
                <w:sz w:val="20"/>
                <w:szCs w:val="20"/>
                <w:lang w:val="sr-Latn-RS" w:eastAsia="sr-Latn-RS"/>
              </w:rPr>
              <w:t>%</w:t>
            </w:r>
          </w:p>
        </w:tc>
        <w:tc>
          <w:tcPr>
            <w:tcW w:w="986" w:type="pct"/>
            <w:tcBorders>
              <w:top w:val="nil"/>
              <w:left w:val="nil"/>
              <w:bottom w:val="single" w:sz="4" w:space="0" w:color="auto"/>
              <w:right w:val="nil"/>
            </w:tcBorders>
            <w:shd w:val="clear" w:color="auto" w:fill="auto"/>
            <w:vAlign w:val="center"/>
            <w:hideMark/>
          </w:tcPr>
          <w:p w14:paraId="76682AE7" w14:textId="5867966A" w:rsidR="0047391D" w:rsidRPr="0047391D" w:rsidRDefault="0047391D" w:rsidP="0047391D">
            <w:pPr>
              <w:spacing w:before="0" w:after="0"/>
              <w:jc w:val="right"/>
              <w:rPr>
                <w:rFonts w:eastAsia="Times New Roman" w:cs="Times New Roman"/>
                <w:color w:val="000000"/>
                <w:sz w:val="20"/>
                <w:szCs w:val="20"/>
                <w:lang w:val="sr-Latn-RS" w:eastAsia="sr-Latn-RS"/>
              </w:rPr>
            </w:pPr>
            <w:r w:rsidRPr="0047391D">
              <w:rPr>
                <w:rFonts w:eastAsia="Times New Roman" w:cs="Times New Roman"/>
                <w:color w:val="000000"/>
                <w:sz w:val="20"/>
                <w:szCs w:val="20"/>
                <w:lang w:val="sr-Latn-RS" w:eastAsia="sr-Latn-RS"/>
              </w:rPr>
              <w:t>39.</w:t>
            </w:r>
            <w:r w:rsidR="00681AC4">
              <w:rPr>
                <w:rFonts w:eastAsia="Times New Roman" w:cs="Times New Roman"/>
                <w:color w:val="000000"/>
                <w:sz w:val="20"/>
                <w:szCs w:val="20"/>
                <w:lang w:val="sr-Latn-RS" w:eastAsia="sr-Latn-RS"/>
              </w:rPr>
              <w:t>5</w:t>
            </w:r>
            <w:r w:rsidRPr="0047391D">
              <w:rPr>
                <w:rFonts w:eastAsia="Times New Roman" w:cs="Times New Roman"/>
                <w:color w:val="000000"/>
                <w:sz w:val="20"/>
                <w:szCs w:val="20"/>
                <w:lang w:val="sr-Latn-RS" w:eastAsia="sr-Latn-RS"/>
              </w:rPr>
              <w:t>%</w:t>
            </w:r>
          </w:p>
        </w:tc>
        <w:tc>
          <w:tcPr>
            <w:tcW w:w="1045" w:type="pct"/>
            <w:tcBorders>
              <w:top w:val="nil"/>
              <w:left w:val="nil"/>
              <w:bottom w:val="single" w:sz="4" w:space="0" w:color="auto"/>
              <w:right w:val="nil"/>
            </w:tcBorders>
            <w:shd w:val="clear" w:color="auto" w:fill="auto"/>
            <w:vAlign w:val="center"/>
            <w:hideMark/>
          </w:tcPr>
          <w:p w14:paraId="1542DBED" w14:textId="56766822" w:rsidR="0047391D" w:rsidRPr="0047391D" w:rsidRDefault="0047391D" w:rsidP="0047391D">
            <w:pPr>
              <w:spacing w:before="0" w:after="0"/>
              <w:jc w:val="right"/>
              <w:rPr>
                <w:rFonts w:eastAsia="Times New Roman" w:cs="Times New Roman"/>
                <w:b/>
                <w:bCs/>
                <w:color w:val="000000"/>
                <w:sz w:val="20"/>
                <w:szCs w:val="20"/>
                <w:lang w:val="sr-Latn-RS" w:eastAsia="sr-Latn-RS"/>
              </w:rPr>
            </w:pPr>
            <w:r w:rsidRPr="0047391D">
              <w:rPr>
                <w:rFonts w:eastAsia="Times New Roman" w:cs="Times New Roman"/>
                <w:b/>
                <w:bCs/>
                <w:color w:val="000000"/>
                <w:sz w:val="20"/>
                <w:szCs w:val="20"/>
                <w:lang w:val="sr-Latn-RS" w:eastAsia="sr-Latn-RS"/>
              </w:rPr>
              <w:t>90.</w:t>
            </w:r>
            <w:r w:rsidR="00681AC4">
              <w:rPr>
                <w:rFonts w:eastAsia="Times New Roman" w:cs="Times New Roman"/>
                <w:b/>
                <w:bCs/>
                <w:color w:val="000000"/>
                <w:sz w:val="20"/>
                <w:szCs w:val="20"/>
                <w:lang w:val="sr-Latn-RS" w:eastAsia="sr-Latn-RS"/>
              </w:rPr>
              <w:t>5</w:t>
            </w:r>
            <w:r w:rsidRPr="0047391D">
              <w:rPr>
                <w:rFonts w:eastAsia="Times New Roman" w:cs="Times New Roman"/>
                <w:b/>
                <w:bCs/>
                <w:color w:val="000000"/>
                <w:sz w:val="20"/>
                <w:szCs w:val="20"/>
                <w:lang w:val="sr-Latn-RS" w:eastAsia="sr-Latn-RS"/>
              </w:rPr>
              <w:t>%</w:t>
            </w:r>
          </w:p>
        </w:tc>
      </w:tr>
    </w:tbl>
    <w:p w14:paraId="1F331D3B" w14:textId="59AB336B" w:rsidR="0073511A" w:rsidRDefault="00554BE9" w:rsidP="00C858D0">
      <w:pPr>
        <w:rPr>
          <w:lang w:val="sr-Latn-RS"/>
        </w:rPr>
      </w:pPr>
      <w:r>
        <w:rPr>
          <w:lang w:val="sr-Latn-RS"/>
        </w:rPr>
        <w:t>Investigating the importance of variables given operating condition</w:t>
      </w:r>
      <w:r w:rsidR="004909B8">
        <w:rPr>
          <w:lang w:val="sr-Latn-RS"/>
        </w:rPr>
        <w:t>s</w:t>
      </w:r>
      <w:r>
        <w:rPr>
          <w:lang w:val="sr-Latn-RS"/>
        </w:rPr>
        <w:t xml:space="preserve"> and a hydraulic power system shows that for diagnostic purposes of hydraulic power deviation or detecting the presence of </w:t>
      </w:r>
      <w:r w:rsidR="004909B8">
        <w:rPr>
          <w:lang w:val="sr-Latn-RS"/>
        </w:rPr>
        <w:t xml:space="preserve">an </w:t>
      </w:r>
      <w:r>
        <w:rPr>
          <w:lang w:val="sr-Latn-RS"/>
        </w:rPr>
        <w:t xml:space="preserve">anomaly in operation, it can be seen that </w:t>
      </w:r>
      <w:r w:rsidR="004909B8">
        <w:rPr>
          <w:lang w:val="sr-Latn-RS"/>
        </w:rPr>
        <w:t>the change can follow degradation</w:t>
      </w:r>
      <w:r>
        <w:rPr>
          <w:lang w:val="sr-Latn-RS"/>
        </w:rPr>
        <w:t xml:space="preserve"> in N_Median_OS properties (</w:t>
      </w:r>
      <w:r>
        <w:rPr>
          <w:lang w:val="sr-Latn-RS"/>
        </w:rPr>
        <w:fldChar w:fldCharType="begin"/>
      </w:r>
      <w:r>
        <w:rPr>
          <w:lang w:val="sr-Latn-RS"/>
        </w:rPr>
        <w:instrText xml:space="preserve"> REF _Ref99274506 \h </w:instrText>
      </w:r>
      <w:r>
        <w:rPr>
          <w:lang w:val="sr-Latn-RS"/>
        </w:rPr>
      </w:r>
      <w:r>
        <w:rPr>
          <w:lang w:val="sr-Latn-RS"/>
        </w:rPr>
        <w:fldChar w:fldCharType="separate"/>
      </w:r>
      <w:r w:rsidR="00587AF0">
        <w:t xml:space="preserve">Table </w:t>
      </w:r>
      <w:r w:rsidR="00587AF0">
        <w:rPr>
          <w:noProof/>
        </w:rPr>
        <w:t>52</w:t>
      </w:r>
      <w:r>
        <w:rPr>
          <w:lang w:val="sr-Latn-RS"/>
        </w:rPr>
        <w:fldChar w:fldCharType="end"/>
      </w:r>
      <w:r>
        <w:rPr>
          <w:lang w:val="sr-Latn-RS"/>
        </w:rPr>
        <w:t xml:space="preserve">). </w:t>
      </w:r>
    </w:p>
    <w:p w14:paraId="50F82606" w14:textId="25F4D3CE" w:rsidR="0073511A" w:rsidRPr="0073511A" w:rsidRDefault="00545D58" w:rsidP="00545D58">
      <w:pPr>
        <w:pStyle w:val="Caption"/>
        <w:jc w:val="both"/>
        <w:rPr>
          <w:lang w:val="sr-Latn-RS"/>
        </w:rPr>
      </w:pPr>
      <w:bookmarkStart w:id="636" w:name="_Ref99274506"/>
      <w:bookmarkStart w:id="637" w:name="_Toc101274492"/>
      <w:r>
        <w:t xml:space="preserve">Table </w:t>
      </w:r>
      <w:fldSimple w:instr=" SEQ Table \* ARABIC ">
        <w:r w:rsidR="00587AF0">
          <w:rPr>
            <w:noProof/>
          </w:rPr>
          <w:t>52</w:t>
        </w:r>
      </w:fldSimple>
      <w:bookmarkEnd w:id="636"/>
      <w:r>
        <w:t>. Independent variable importance at opening saddle position for CART tree</w:t>
      </w:r>
      <w:bookmarkEnd w:id="637"/>
    </w:p>
    <w:tbl>
      <w:tblPr>
        <w:tblW w:w="5000" w:type="pct"/>
        <w:tblCellMar>
          <w:left w:w="0" w:type="dxa"/>
          <w:right w:w="0" w:type="dxa"/>
        </w:tblCellMar>
        <w:tblLook w:val="0000" w:firstRow="0" w:lastRow="0" w:firstColumn="0" w:lastColumn="0" w:noHBand="0" w:noVBand="0"/>
      </w:tblPr>
      <w:tblGrid>
        <w:gridCol w:w="3878"/>
        <w:gridCol w:w="2250"/>
        <w:gridCol w:w="2899"/>
      </w:tblGrid>
      <w:tr w:rsidR="00545D58" w:rsidRPr="00545D58" w14:paraId="6D472D6B" w14:textId="77777777" w:rsidTr="00545D58">
        <w:trPr>
          <w:cantSplit/>
        </w:trPr>
        <w:tc>
          <w:tcPr>
            <w:tcW w:w="2148" w:type="pct"/>
            <w:tcBorders>
              <w:top w:val="single" w:sz="4" w:space="0" w:color="auto"/>
              <w:bottom w:val="single" w:sz="4" w:space="0" w:color="auto"/>
            </w:tcBorders>
            <w:shd w:val="clear" w:color="auto" w:fill="auto"/>
            <w:vAlign w:val="bottom"/>
          </w:tcPr>
          <w:p w14:paraId="14FFA194" w14:textId="77777777" w:rsidR="0073511A" w:rsidRPr="00545D58" w:rsidRDefault="0073511A" w:rsidP="00545D58">
            <w:pPr>
              <w:autoSpaceDE w:val="0"/>
              <w:autoSpaceDN w:val="0"/>
              <w:adjustRightInd w:val="0"/>
              <w:spacing w:before="0" w:after="0"/>
              <w:ind w:left="57" w:right="57"/>
              <w:jc w:val="left"/>
              <w:rPr>
                <w:rFonts w:cs="Arial"/>
                <w:b/>
                <w:bCs/>
                <w:sz w:val="20"/>
                <w:szCs w:val="20"/>
                <w:lang w:val="sr-Latn-RS"/>
              </w:rPr>
            </w:pPr>
            <w:r w:rsidRPr="00545D58">
              <w:rPr>
                <w:rFonts w:cs="Arial"/>
                <w:b/>
                <w:bCs/>
                <w:sz w:val="20"/>
                <w:szCs w:val="20"/>
                <w:lang w:val="sr-Latn-RS"/>
              </w:rPr>
              <w:t>Independent Variable</w:t>
            </w:r>
          </w:p>
        </w:tc>
        <w:tc>
          <w:tcPr>
            <w:tcW w:w="1246" w:type="pct"/>
            <w:tcBorders>
              <w:top w:val="single" w:sz="4" w:space="0" w:color="auto"/>
              <w:bottom w:val="single" w:sz="4" w:space="0" w:color="auto"/>
            </w:tcBorders>
            <w:shd w:val="clear" w:color="auto" w:fill="auto"/>
            <w:vAlign w:val="bottom"/>
          </w:tcPr>
          <w:p w14:paraId="2DE67027" w14:textId="77777777" w:rsidR="0073511A" w:rsidRPr="00545D58" w:rsidRDefault="0073511A" w:rsidP="00545D58">
            <w:pPr>
              <w:autoSpaceDE w:val="0"/>
              <w:autoSpaceDN w:val="0"/>
              <w:adjustRightInd w:val="0"/>
              <w:spacing w:before="0" w:after="0"/>
              <w:ind w:left="57" w:right="57"/>
              <w:jc w:val="center"/>
              <w:rPr>
                <w:rFonts w:cs="Arial"/>
                <w:b/>
                <w:bCs/>
                <w:sz w:val="20"/>
                <w:szCs w:val="20"/>
                <w:lang w:val="sr-Latn-RS"/>
              </w:rPr>
            </w:pPr>
            <w:r w:rsidRPr="00545D58">
              <w:rPr>
                <w:rFonts w:cs="Arial"/>
                <w:b/>
                <w:bCs/>
                <w:sz w:val="20"/>
                <w:szCs w:val="20"/>
                <w:lang w:val="sr-Latn-RS"/>
              </w:rPr>
              <w:t>Importance</w:t>
            </w:r>
          </w:p>
        </w:tc>
        <w:tc>
          <w:tcPr>
            <w:tcW w:w="1606" w:type="pct"/>
            <w:tcBorders>
              <w:top w:val="single" w:sz="4" w:space="0" w:color="auto"/>
              <w:bottom w:val="single" w:sz="4" w:space="0" w:color="auto"/>
            </w:tcBorders>
            <w:shd w:val="clear" w:color="auto" w:fill="auto"/>
            <w:vAlign w:val="bottom"/>
          </w:tcPr>
          <w:p w14:paraId="7C694348" w14:textId="77777777" w:rsidR="0073511A" w:rsidRPr="00545D58" w:rsidRDefault="0073511A" w:rsidP="00545D58">
            <w:pPr>
              <w:autoSpaceDE w:val="0"/>
              <w:autoSpaceDN w:val="0"/>
              <w:adjustRightInd w:val="0"/>
              <w:spacing w:before="0" w:after="0"/>
              <w:ind w:left="57" w:right="57"/>
              <w:jc w:val="center"/>
              <w:rPr>
                <w:rFonts w:cs="Arial"/>
                <w:b/>
                <w:bCs/>
                <w:sz w:val="20"/>
                <w:szCs w:val="20"/>
                <w:lang w:val="sr-Latn-RS"/>
              </w:rPr>
            </w:pPr>
            <w:r w:rsidRPr="00545D58">
              <w:rPr>
                <w:rFonts w:cs="Arial"/>
                <w:b/>
                <w:bCs/>
                <w:sz w:val="20"/>
                <w:szCs w:val="20"/>
                <w:lang w:val="sr-Latn-RS"/>
              </w:rPr>
              <w:t>Normalized Importance</w:t>
            </w:r>
          </w:p>
        </w:tc>
      </w:tr>
      <w:tr w:rsidR="00545D58" w:rsidRPr="00545D58" w14:paraId="08C06B1C" w14:textId="77777777" w:rsidTr="00545D58">
        <w:trPr>
          <w:cantSplit/>
        </w:trPr>
        <w:tc>
          <w:tcPr>
            <w:tcW w:w="2148" w:type="pct"/>
            <w:tcBorders>
              <w:top w:val="single" w:sz="4" w:space="0" w:color="auto"/>
            </w:tcBorders>
            <w:shd w:val="clear" w:color="auto" w:fill="auto"/>
          </w:tcPr>
          <w:p w14:paraId="5EA66345" w14:textId="77777777" w:rsidR="0073511A" w:rsidRPr="00545D58" w:rsidRDefault="0073511A" w:rsidP="00545D58">
            <w:pPr>
              <w:autoSpaceDE w:val="0"/>
              <w:autoSpaceDN w:val="0"/>
              <w:adjustRightInd w:val="0"/>
              <w:spacing w:before="0" w:after="0"/>
              <w:ind w:left="57" w:right="57"/>
              <w:jc w:val="left"/>
              <w:rPr>
                <w:rFonts w:cs="Arial"/>
                <w:sz w:val="20"/>
                <w:szCs w:val="20"/>
                <w:lang w:val="sr-Latn-RS"/>
              </w:rPr>
            </w:pPr>
            <w:r w:rsidRPr="00545D58">
              <w:rPr>
                <w:rFonts w:cs="Arial"/>
                <w:sz w:val="20"/>
                <w:szCs w:val="20"/>
                <w:lang w:val="sr-Latn-RS"/>
              </w:rPr>
              <w:t>St_N_Median_OS</w:t>
            </w:r>
          </w:p>
        </w:tc>
        <w:tc>
          <w:tcPr>
            <w:tcW w:w="1246" w:type="pct"/>
            <w:tcBorders>
              <w:top w:val="single" w:sz="4" w:space="0" w:color="auto"/>
            </w:tcBorders>
            <w:shd w:val="clear" w:color="auto" w:fill="auto"/>
          </w:tcPr>
          <w:p w14:paraId="303B4295" w14:textId="625400BF" w:rsidR="0073511A" w:rsidRPr="00545D58" w:rsidRDefault="00545D58" w:rsidP="00545D58">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73511A" w:rsidRPr="00545D58">
              <w:rPr>
                <w:rFonts w:cs="Arial"/>
                <w:sz w:val="20"/>
                <w:szCs w:val="20"/>
                <w:lang w:val="sr-Latn-RS"/>
              </w:rPr>
              <w:t>377</w:t>
            </w:r>
          </w:p>
        </w:tc>
        <w:tc>
          <w:tcPr>
            <w:tcW w:w="1606" w:type="pct"/>
            <w:tcBorders>
              <w:top w:val="single" w:sz="4" w:space="0" w:color="auto"/>
            </w:tcBorders>
            <w:shd w:val="clear" w:color="auto" w:fill="auto"/>
          </w:tcPr>
          <w:p w14:paraId="6C7612E9" w14:textId="5E1B1DAC" w:rsidR="0073511A" w:rsidRPr="00545D58" w:rsidRDefault="0073511A" w:rsidP="00545D58">
            <w:pPr>
              <w:autoSpaceDE w:val="0"/>
              <w:autoSpaceDN w:val="0"/>
              <w:adjustRightInd w:val="0"/>
              <w:spacing w:before="0" w:after="0"/>
              <w:ind w:left="57" w:right="57"/>
              <w:jc w:val="right"/>
              <w:rPr>
                <w:rFonts w:cs="Arial"/>
                <w:sz w:val="20"/>
                <w:szCs w:val="20"/>
                <w:lang w:val="sr-Latn-RS"/>
              </w:rPr>
            </w:pPr>
            <w:r w:rsidRPr="00545D58">
              <w:rPr>
                <w:rFonts w:cs="Arial"/>
                <w:sz w:val="20"/>
                <w:szCs w:val="20"/>
                <w:lang w:val="sr-Latn-RS"/>
              </w:rPr>
              <w:t>100</w:t>
            </w:r>
            <w:r w:rsidR="00545D58">
              <w:rPr>
                <w:rFonts w:cs="Arial"/>
                <w:sz w:val="20"/>
                <w:szCs w:val="20"/>
                <w:lang w:val="sr-Latn-RS"/>
              </w:rPr>
              <w:t>.</w:t>
            </w:r>
            <w:r w:rsidRPr="00545D58">
              <w:rPr>
                <w:rFonts w:cs="Arial"/>
                <w:sz w:val="20"/>
                <w:szCs w:val="20"/>
                <w:lang w:val="sr-Latn-RS"/>
              </w:rPr>
              <w:t>0%</w:t>
            </w:r>
          </w:p>
        </w:tc>
      </w:tr>
      <w:tr w:rsidR="00545D58" w:rsidRPr="00545D58" w14:paraId="39B5F518" w14:textId="77777777" w:rsidTr="00545D58">
        <w:trPr>
          <w:cantSplit/>
        </w:trPr>
        <w:tc>
          <w:tcPr>
            <w:tcW w:w="2148" w:type="pct"/>
            <w:shd w:val="clear" w:color="auto" w:fill="auto"/>
          </w:tcPr>
          <w:p w14:paraId="58D9CB64" w14:textId="77777777" w:rsidR="0073511A" w:rsidRPr="00545D58" w:rsidRDefault="0073511A" w:rsidP="00545D58">
            <w:pPr>
              <w:autoSpaceDE w:val="0"/>
              <w:autoSpaceDN w:val="0"/>
              <w:adjustRightInd w:val="0"/>
              <w:spacing w:before="0" w:after="0"/>
              <w:ind w:left="57" w:right="57"/>
              <w:jc w:val="left"/>
              <w:rPr>
                <w:rFonts w:cs="Arial"/>
                <w:sz w:val="20"/>
                <w:szCs w:val="20"/>
                <w:lang w:val="sr-Latn-RS"/>
              </w:rPr>
            </w:pPr>
            <w:r w:rsidRPr="00545D58">
              <w:rPr>
                <w:rFonts w:cs="Arial"/>
                <w:sz w:val="20"/>
                <w:szCs w:val="20"/>
                <w:lang w:val="sr-Latn-RS"/>
              </w:rPr>
              <w:t>St_N_StDev_OS</w:t>
            </w:r>
          </w:p>
        </w:tc>
        <w:tc>
          <w:tcPr>
            <w:tcW w:w="1246" w:type="pct"/>
            <w:shd w:val="clear" w:color="auto" w:fill="auto"/>
          </w:tcPr>
          <w:p w14:paraId="365C9A57" w14:textId="42EC94C6" w:rsidR="0073511A" w:rsidRPr="00545D58" w:rsidRDefault="00545D58" w:rsidP="00545D58">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73511A" w:rsidRPr="00545D58">
              <w:rPr>
                <w:rFonts w:cs="Arial"/>
                <w:sz w:val="20"/>
                <w:szCs w:val="20"/>
                <w:lang w:val="sr-Latn-RS"/>
              </w:rPr>
              <w:t>206</w:t>
            </w:r>
          </w:p>
        </w:tc>
        <w:tc>
          <w:tcPr>
            <w:tcW w:w="1606" w:type="pct"/>
            <w:shd w:val="clear" w:color="auto" w:fill="auto"/>
          </w:tcPr>
          <w:p w14:paraId="1999BB5F" w14:textId="6CC320B0" w:rsidR="0073511A" w:rsidRPr="00545D58" w:rsidRDefault="0073511A" w:rsidP="00545D58">
            <w:pPr>
              <w:autoSpaceDE w:val="0"/>
              <w:autoSpaceDN w:val="0"/>
              <w:adjustRightInd w:val="0"/>
              <w:spacing w:before="0" w:after="0"/>
              <w:ind w:left="57" w:right="57"/>
              <w:jc w:val="right"/>
              <w:rPr>
                <w:rFonts w:cs="Arial"/>
                <w:sz w:val="20"/>
                <w:szCs w:val="20"/>
                <w:lang w:val="sr-Latn-RS"/>
              </w:rPr>
            </w:pPr>
            <w:r w:rsidRPr="00545D58">
              <w:rPr>
                <w:rFonts w:cs="Arial"/>
                <w:sz w:val="20"/>
                <w:szCs w:val="20"/>
                <w:lang w:val="sr-Latn-RS"/>
              </w:rPr>
              <w:t>54</w:t>
            </w:r>
            <w:r w:rsidR="00545D58">
              <w:rPr>
                <w:rFonts w:cs="Arial"/>
                <w:sz w:val="20"/>
                <w:szCs w:val="20"/>
                <w:lang w:val="sr-Latn-RS"/>
              </w:rPr>
              <w:t>.</w:t>
            </w:r>
            <w:r w:rsidRPr="00545D58">
              <w:rPr>
                <w:rFonts w:cs="Arial"/>
                <w:sz w:val="20"/>
                <w:szCs w:val="20"/>
                <w:lang w:val="sr-Latn-RS"/>
              </w:rPr>
              <w:t>5%</w:t>
            </w:r>
          </w:p>
        </w:tc>
      </w:tr>
      <w:tr w:rsidR="00545D58" w:rsidRPr="00545D58" w14:paraId="23FF541B" w14:textId="77777777" w:rsidTr="00545D58">
        <w:trPr>
          <w:cantSplit/>
        </w:trPr>
        <w:tc>
          <w:tcPr>
            <w:tcW w:w="2148" w:type="pct"/>
            <w:shd w:val="clear" w:color="auto" w:fill="auto"/>
          </w:tcPr>
          <w:p w14:paraId="14885B6F" w14:textId="77777777" w:rsidR="0073511A" w:rsidRPr="00545D58" w:rsidRDefault="0073511A" w:rsidP="00545D58">
            <w:pPr>
              <w:autoSpaceDE w:val="0"/>
              <w:autoSpaceDN w:val="0"/>
              <w:adjustRightInd w:val="0"/>
              <w:spacing w:before="0" w:after="0"/>
              <w:ind w:left="57" w:right="57"/>
              <w:jc w:val="left"/>
              <w:rPr>
                <w:rFonts w:cs="Arial"/>
                <w:sz w:val="20"/>
                <w:szCs w:val="20"/>
                <w:lang w:val="sr-Latn-RS"/>
              </w:rPr>
            </w:pPr>
            <w:r w:rsidRPr="00545D58">
              <w:rPr>
                <w:rFonts w:cs="Arial"/>
                <w:sz w:val="20"/>
                <w:szCs w:val="20"/>
                <w:lang w:val="sr-Latn-RS"/>
              </w:rPr>
              <w:t>St_N_Max_OS</w:t>
            </w:r>
          </w:p>
        </w:tc>
        <w:tc>
          <w:tcPr>
            <w:tcW w:w="1246" w:type="pct"/>
            <w:shd w:val="clear" w:color="auto" w:fill="auto"/>
          </w:tcPr>
          <w:p w14:paraId="4E287043" w14:textId="25124FCA" w:rsidR="0073511A" w:rsidRPr="00545D58" w:rsidRDefault="00545D58" w:rsidP="00545D58">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73511A" w:rsidRPr="00545D58">
              <w:rPr>
                <w:rFonts w:cs="Arial"/>
                <w:sz w:val="20"/>
                <w:szCs w:val="20"/>
                <w:lang w:val="sr-Latn-RS"/>
              </w:rPr>
              <w:t>160</w:t>
            </w:r>
          </w:p>
        </w:tc>
        <w:tc>
          <w:tcPr>
            <w:tcW w:w="1606" w:type="pct"/>
            <w:shd w:val="clear" w:color="auto" w:fill="auto"/>
          </w:tcPr>
          <w:p w14:paraId="0067AA5D" w14:textId="6DD96B3C" w:rsidR="0073511A" w:rsidRPr="00545D58" w:rsidRDefault="0073511A" w:rsidP="00545D58">
            <w:pPr>
              <w:autoSpaceDE w:val="0"/>
              <w:autoSpaceDN w:val="0"/>
              <w:adjustRightInd w:val="0"/>
              <w:spacing w:before="0" w:after="0"/>
              <w:ind w:left="57" w:right="57"/>
              <w:jc w:val="right"/>
              <w:rPr>
                <w:rFonts w:cs="Arial"/>
                <w:sz w:val="20"/>
                <w:szCs w:val="20"/>
                <w:lang w:val="sr-Latn-RS"/>
              </w:rPr>
            </w:pPr>
            <w:r w:rsidRPr="00545D58">
              <w:rPr>
                <w:rFonts w:cs="Arial"/>
                <w:sz w:val="20"/>
                <w:szCs w:val="20"/>
                <w:lang w:val="sr-Latn-RS"/>
              </w:rPr>
              <w:t>42</w:t>
            </w:r>
            <w:r w:rsidR="00545D58">
              <w:rPr>
                <w:rFonts w:cs="Arial"/>
                <w:sz w:val="20"/>
                <w:szCs w:val="20"/>
                <w:lang w:val="sr-Latn-RS"/>
              </w:rPr>
              <w:t>.</w:t>
            </w:r>
            <w:r w:rsidRPr="00545D58">
              <w:rPr>
                <w:rFonts w:cs="Arial"/>
                <w:sz w:val="20"/>
                <w:szCs w:val="20"/>
                <w:lang w:val="sr-Latn-RS"/>
              </w:rPr>
              <w:t>5%</w:t>
            </w:r>
          </w:p>
        </w:tc>
      </w:tr>
      <w:tr w:rsidR="00545D58" w:rsidRPr="00545D58" w14:paraId="1E62B2E8" w14:textId="77777777" w:rsidTr="00545D58">
        <w:trPr>
          <w:cantSplit/>
        </w:trPr>
        <w:tc>
          <w:tcPr>
            <w:tcW w:w="2148" w:type="pct"/>
            <w:shd w:val="clear" w:color="auto" w:fill="auto"/>
          </w:tcPr>
          <w:p w14:paraId="154A4AA2" w14:textId="77777777" w:rsidR="0073511A" w:rsidRPr="00545D58" w:rsidRDefault="0073511A" w:rsidP="00545D58">
            <w:pPr>
              <w:autoSpaceDE w:val="0"/>
              <w:autoSpaceDN w:val="0"/>
              <w:adjustRightInd w:val="0"/>
              <w:spacing w:before="0" w:after="0"/>
              <w:ind w:left="57" w:right="57"/>
              <w:jc w:val="left"/>
              <w:rPr>
                <w:rFonts w:cs="Arial"/>
                <w:sz w:val="20"/>
                <w:szCs w:val="20"/>
                <w:lang w:val="sr-Latn-RS"/>
              </w:rPr>
            </w:pPr>
            <w:r w:rsidRPr="00545D58">
              <w:rPr>
                <w:rFonts w:cs="Arial"/>
                <w:sz w:val="20"/>
                <w:szCs w:val="20"/>
                <w:lang w:val="sr-Latn-RS"/>
              </w:rPr>
              <w:t>St_N_Min_OS</w:t>
            </w:r>
          </w:p>
        </w:tc>
        <w:tc>
          <w:tcPr>
            <w:tcW w:w="1246" w:type="pct"/>
            <w:shd w:val="clear" w:color="auto" w:fill="auto"/>
          </w:tcPr>
          <w:p w14:paraId="5E1DDAE7" w14:textId="4C2A94ED" w:rsidR="0073511A" w:rsidRPr="00545D58" w:rsidRDefault="00545D58" w:rsidP="00545D58">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73511A" w:rsidRPr="00545D58">
              <w:rPr>
                <w:rFonts w:cs="Arial"/>
                <w:sz w:val="20"/>
                <w:szCs w:val="20"/>
                <w:lang w:val="sr-Latn-RS"/>
              </w:rPr>
              <w:t>155</w:t>
            </w:r>
          </w:p>
        </w:tc>
        <w:tc>
          <w:tcPr>
            <w:tcW w:w="1606" w:type="pct"/>
            <w:shd w:val="clear" w:color="auto" w:fill="auto"/>
          </w:tcPr>
          <w:p w14:paraId="3A63B6A5" w14:textId="5114F370" w:rsidR="0073511A" w:rsidRPr="00545D58" w:rsidRDefault="0073511A" w:rsidP="00545D58">
            <w:pPr>
              <w:autoSpaceDE w:val="0"/>
              <w:autoSpaceDN w:val="0"/>
              <w:adjustRightInd w:val="0"/>
              <w:spacing w:before="0" w:after="0"/>
              <w:ind w:left="57" w:right="57"/>
              <w:jc w:val="right"/>
              <w:rPr>
                <w:rFonts w:cs="Arial"/>
                <w:sz w:val="20"/>
                <w:szCs w:val="20"/>
                <w:lang w:val="sr-Latn-RS"/>
              </w:rPr>
            </w:pPr>
            <w:r w:rsidRPr="00545D58">
              <w:rPr>
                <w:rFonts w:cs="Arial"/>
                <w:sz w:val="20"/>
                <w:szCs w:val="20"/>
                <w:lang w:val="sr-Latn-RS"/>
              </w:rPr>
              <w:t>41</w:t>
            </w:r>
            <w:r w:rsidR="00545D58">
              <w:rPr>
                <w:rFonts w:cs="Arial"/>
                <w:sz w:val="20"/>
                <w:szCs w:val="20"/>
                <w:lang w:val="sr-Latn-RS"/>
              </w:rPr>
              <w:t>.</w:t>
            </w:r>
            <w:r w:rsidRPr="00545D58">
              <w:rPr>
                <w:rFonts w:cs="Arial"/>
                <w:sz w:val="20"/>
                <w:szCs w:val="20"/>
                <w:lang w:val="sr-Latn-RS"/>
              </w:rPr>
              <w:t>0%</w:t>
            </w:r>
          </w:p>
        </w:tc>
      </w:tr>
      <w:tr w:rsidR="00545D58" w:rsidRPr="00545D58" w14:paraId="64DB8983" w14:textId="77777777" w:rsidTr="00545D58">
        <w:trPr>
          <w:cantSplit/>
        </w:trPr>
        <w:tc>
          <w:tcPr>
            <w:tcW w:w="2148" w:type="pct"/>
            <w:shd w:val="clear" w:color="auto" w:fill="auto"/>
          </w:tcPr>
          <w:p w14:paraId="4B763563" w14:textId="77777777" w:rsidR="0073511A" w:rsidRPr="00545D58" w:rsidRDefault="0073511A" w:rsidP="00545D58">
            <w:pPr>
              <w:autoSpaceDE w:val="0"/>
              <w:autoSpaceDN w:val="0"/>
              <w:adjustRightInd w:val="0"/>
              <w:spacing w:before="0" w:after="0"/>
              <w:ind w:left="57" w:right="57"/>
              <w:jc w:val="left"/>
              <w:rPr>
                <w:rFonts w:cs="Arial"/>
                <w:sz w:val="20"/>
                <w:szCs w:val="20"/>
                <w:lang w:val="sr-Latn-RS"/>
              </w:rPr>
            </w:pPr>
            <w:r w:rsidRPr="00545D58">
              <w:rPr>
                <w:rFonts w:cs="Arial"/>
                <w:sz w:val="20"/>
                <w:szCs w:val="20"/>
                <w:lang w:val="sr-Latn-RS"/>
              </w:rPr>
              <w:t>St_Load_kg_OS</w:t>
            </w:r>
          </w:p>
        </w:tc>
        <w:tc>
          <w:tcPr>
            <w:tcW w:w="1246" w:type="pct"/>
            <w:shd w:val="clear" w:color="auto" w:fill="auto"/>
          </w:tcPr>
          <w:p w14:paraId="10EAFF45" w14:textId="4A547FFF" w:rsidR="0073511A" w:rsidRPr="00545D58" w:rsidRDefault="00545D58" w:rsidP="00545D58">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73511A" w:rsidRPr="00545D58">
              <w:rPr>
                <w:rFonts w:cs="Arial"/>
                <w:sz w:val="20"/>
                <w:szCs w:val="20"/>
                <w:lang w:val="sr-Latn-RS"/>
              </w:rPr>
              <w:t>099</w:t>
            </w:r>
          </w:p>
        </w:tc>
        <w:tc>
          <w:tcPr>
            <w:tcW w:w="1606" w:type="pct"/>
            <w:shd w:val="clear" w:color="auto" w:fill="auto"/>
          </w:tcPr>
          <w:p w14:paraId="224FA78D" w14:textId="11B62F05" w:rsidR="0073511A" w:rsidRPr="00545D58" w:rsidRDefault="0073511A" w:rsidP="00545D58">
            <w:pPr>
              <w:autoSpaceDE w:val="0"/>
              <w:autoSpaceDN w:val="0"/>
              <w:adjustRightInd w:val="0"/>
              <w:spacing w:before="0" w:after="0"/>
              <w:ind w:left="57" w:right="57"/>
              <w:jc w:val="right"/>
              <w:rPr>
                <w:rFonts w:cs="Arial"/>
                <w:sz w:val="20"/>
                <w:szCs w:val="20"/>
                <w:lang w:val="sr-Latn-RS"/>
              </w:rPr>
            </w:pPr>
            <w:r w:rsidRPr="00545D58">
              <w:rPr>
                <w:rFonts w:cs="Arial"/>
                <w:sz w:val="20"/>
                <w:szCs w:val="20"/>
                <w:lang w:val="sr-Latn-RS"/>
              </w:rPr>
              <w:t>26</w:t>
            </w:r>
            <w:r w:rsidR="00545D58">
              <w:rPr>
                <w:rFonts w:cs="Arial"/>
                <w:sz w:val="20"/>
                <w:szCs w:val="20"/>
                <w:lang w:val="sr-Latn-RS"/>
              </w:rPr>
              <w:t>.</w:t>
            </w:r>
            <w:r w:rsidRPr="00545D58">
              <w:rPr>
                <w:rFonts w:cs="Arial"/>
                <w:sz w:val="20"/>
                <w:szCs w:val="20"/>
                <w:lang w:val="sr-Latn-RS"/>
              </w:rPr>
              <w:t>1%</w:t>
            </w:r>
          </w:p>
        </w:tc>
      </w:tr>
      <w:tr w:rsidR="00545D58" w:rsidRPr="00545D58" w14:paraId="4416CA2C" w14:textId="77777777" w:rsidTr="00545D58">
        <w:trPr>
          <w:cantSplit/>
        </w:trPr>
        <w:tc>
          <w:tcPr>
            <w:tcW w:w="2148" w:type="pct"/>
            <w:shd w:val="clear" w:color="auto" w:fill="auto"/>
          </w:tcPr>
          <w:p w14:paraId="553756C2" w14:textId="77777777" w:rsidR="0073511A" w:rsidRPr="00545D58" w:rsidRDefault="0073511A" w:rsidP="00545D58">
            <w:pPr>
              <w:autoSpaceDE w:val="0"/>
              <w:autoSpaceDN w:val="0"/>
              <w:adjustRightInd w:val="0"/>
              <w:spacing w:before="0" w:after="0"/>
              <w:ind w:left="57" w:right="57"/>
              <w:jc w:val="left"/>
              <w:rPr>
                <w:rFonts w:cs="Arial"/>
                <w:sz w:val="20"/>
                <w:szCs w:val="20"/>
                <w:lang w:val="sr-Latn-RS"/>
              </w:rPr>
            </w:pPr>
            <w:r w:rsidRPr="00545D58">
              <w:rPr>
                <w:rFonts w:cs="Arial"/>
                <w:sz w:val="20"/>
                <w:szCs w:val="20"/>
                <w:lang w:val="sr-Latn-RS"/>
              </w:rPr>
              <w:t>St_T1_OS</w:t>
            </w:r>
          </w:p>
        </w:tc>
        <w:tc>
          <w:tcPr>
            <w:tcW w:w="1246" w:type="pct"/>
            <w:shd w:val="clear" w:color="auto" w:fill="auto"/>
          </w:tcPr>
          <w:p w14:paraId="47082718" w14:textId="681E192A" w:rsidR="0073511A" w:rsidRPr="00545D58" w:rsidRDefault="00545D58" w:rsidP="00545D58">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73511A" w:rsidRPr="00545D58">
              <w:rPr>
                <w:rFonts w:cs="Arial"/>
                <w:sz w:val="20"/>
                <w:szCs w:val="20"/>
                <w:lang w:val="sr-Latn-RS"/>
              </w:rPr>
              <w:t>079</w:t>
            </w:r>
          </w:p>
        </w:tc>
        <w:tc>
          <w:tcPr>
            <w:tcW w:w="1606" w:type="pct"/>
            <w:shd w:val="clear" w:color="auto" w:fill="auto"/>
          </w:tcPr>
          <w:p w14:paraId="1ED09CA9" w14:textId="6C9E88F1" w:rsidR="0073511A" w:rsidRPr="00545D58" w:rsidRDefault="0073511A" w:rsidP="00545D58">
            <w:pPr>
              <w:autoSpaceDE w:val="0"/>
              <w:autoSpaceDN w:val="0"/>
              <w:adjustRightInd w:val="0"/>
              <w:spacing w:before="0" w:after="0"/>
              <w:ind w:left="57" w:right="57"/>
              <w:jc w:val="right"/>
              <w:rPr>
                <w:rFonts w:cs="Arial"/>
                <w:sz w:val="20"/>
                <w:szCs w:val="20"/>
                <w:lang w:val="sr-Latn-RS"/>
              </w:rPr>
            </w:pPr>
            <w:r w:rsidRPr="00545D58">
              <w:rPr>
                <w:rFonts w:cs="Arial"/>
                <w:sz w:val="20"/>
                <w:szCs w:val="20"/>
                <w:lang w:val="sr-Latn-RS"/>
              </w:rPr>
              <w:t>20</w:t>
            </w:r>
            <w:r w:rsidR="00545D58">
              <w:rPr>
                <w:rFonts w:cs="Arial"/>
                <w:sz w:val="20"/>
                <w:szCs w:val="20"/>
                <w:lang w:val="sr-Latn-RS"/>
              </w:rPr>
              <w:t>.</w:t>
            </w:r>
            <w:r w:rsidRPr="00545D58">
              <w:rPr>
                <w:rFonts w:cs="Arial"/>
                <w:sz w:val="20"/>
                <w:szCs w:val="20"/>
                <w:lang w:val="sr-Latn-RS"/>
              </w:rPr>
              <w:t>8%</w:t>
            </w:r>
          </w:p>
        </w:tc>
      </w:tr>
      <w:tr w:rsidR="00545D58" w:rsidRPr="00545D58" w14:paraId="1999B384" w14:textId="77777777" w:rsidTr="00545D58">
        <w:trPr>
          <w:cantSplit/>
        </w:trPr>
        <w:tc>
          <w:tcPr>
            <w:tcW w:w="2148" w:type="pct"/>
            <w:shd w:val="clear" w:color="auto" w:fill="auto"/>
          </w:tcPr>
          <w:p w14:paraId="3956DE77" w14:textId="77777777" w:rsidR="0073511A" w:rsidRPr="00545D58" w:rsidRDefault="0073511A" w:rsidP="00545D58">
            <w:pPr>
              <w:autoSpaceDE w:val="0"/>
              <w:autoSpaceDN w:val="0"/>
              <w:adjustRightInd w:val="0"/>
              <w:spacing w:before="0" w:after="0"/>
              <w:ind w:left="57" w:right="57"/>
              <w:jc w:val="left"/>
              <w:rPr>
                <w:rFonts w:cs="Arial"/>
                <w:sz w:val="20"/>
                <w:szCs w:val="20"/>
                <w:lang w:val="sr-Latn-RS"/>
              </w:rPr>
            </w:pPr>
            <w:r w:rsidRPr="00545D58">
              <w:rPr>
                <w:rFonts w:cs="Arial"/>
                <w:sz w:val="20"/>
                <w:szCs w:val="20"/>
                <w:lang w:val="sr-Latn-RS"/>
              </w:rPr>
              <w:t>Stand_HS_Idle</w:t>
            </w:r>
          </w:p>
        </w:tc>
        <w:tc>
          <w:tcPr>
            <w:tcW w:w="1246" w:type="pct"/>
            <w:shd w:val="clear" w:color="auto" w:fill="auto"/>
          </w:tcPr>
          <w:p w14:paraId="54A144F5" w14:textId="1104F0BA" w:rsidR="0073511A" w:rsidRPr="00545D58" w:rsidRDefault="00545D58" w:rsidP="00545D58">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73511A" w:rsidRPr="00545D58">
              <w:rPr>
                <w:rFonts w:cs="Arial"/>
                <w:sz w:val="20"/>
                <w:szCs w:val="20"/>
                <w:lang w:val="sr-Latn-RS"/>
              </w:rPr>
              <w:t>067</w:t>
            </w:r>
          </w:p>
        </w:tc>
        <w:tc>
          <w:tcPr>
            <w:tcW w:w="1606" w:type="pct"/>
            <w:shd w:val="clear" w:color="auto" w:fill="auto"/>
          </w:tcPr>
          <w:p w14:paraId="49DF6104" w14:textId="1420ED55" w:rsidR="0073511A" w:rsidRPr="00545D58" w:rsidRDefault="0073511A" w:rsidP="00545D58">
            <w:pPr>
              <w:autoSpaceDE w:val="0"/>
              <w:autoSpaceDN w:val="0"/>
              <w:adjustRightInd w:val="0"/>
              <w:spacing w:before="0" w:after="0"/>
              <w:ind w:left="57" w:right="57"/>
              <w:jc w:val="right"/>
              <w:rPr>
                <w:rFonts w:cs="Arial"/>
                <w:sz w:val="20"/>
                <w:szCs w:val="20"/>
                <w:lang w:val="sr-Latn-RS"/>
              </w:rPr>
            </w:pPr>
            <w:r w:rsidRPr="00545D58">
              <w:rPr>
                <w:rFonts w:cs="Arial"/>
                <w:sz w:val="20"/>
                <w:szCs w:val="20"/>
                <w:lang w:val="sr-Latn-RS"/>
              </w:rPr>
              <w:t>17</w:t>
            </w:r>
            <w:r w:rsidR="00545D58">
              <w:rPr>
                <w:rFonts w:cs="Arial"/>
                <w:sz w:val="20"/>
                <w:szCs w:val="20"/>
                <w:lang w:val="sr-Latn-RS"/>
              </w:rPr>
              <w:t>.</w:t>
            </w:r>
            <w:r w:rsidRPr="00545D58">
              <w:rPr>
                <w:rFonts w:cs="Arial"/>
                <w:sz w:val="20"/>
                <w:szCs w:val="20"/>
                <w:lang w:val="sr-Latn-RS"/>
              </w:rPr>
              <w:t>7%</w:t>
            </w:r>
          </w:p>
        </w:tc>
      </w:tr>
      <w:tr w:rsidR="00545D58" w:rsidRPr="00545D58" w14:paraId="309F95DF" w14:textId="77777777" w:rsidTr="00545D58">
        <w:trPr>
          <w:cantSplit/>
        </w:trPr>
        <w:tc>
          <w:tcPr>
            <w:tcW w:w="2148" w:type="pct"/>
            <w:shd w:val="clear" w:color="auto" w:fill="auto"/>
          </w:tcPr>
          <w:p w14:paraId="3888995C" w14:textId="77777777" w:rsidR="0073511A" w:rsidRPr="00545D58" w:rsidRDefault="0073511A" w:rsidP="00545D58">
            <w:pPr>
              <w:autoSpaceDE w:val="0"/>
              <w:autoSpaceDN w:val="0"/>
              <w:adjustRightInd w:val="0"/>
              <w:spacing w:before="0" w:after="0"/>
              <w:ind w:left="57" w:right="57"/>
              <w:jc w:val="left"/>
              <w:rPr>
                <w:rFonts w:cs="Arial"/>
                <w:sz w:val="20"/>
                <w:szCs w:val="20"/>
                <w:lang w:val="sr-Latn-RS"/>
              </w:rPr>
            </w:pPr>
            <w:r w:rsidRPr="00545D58">
              <w:rPr>
                <w:rFonts w:cs="Arial"/>
                <w:sz w:val="20"/>
                <w:szCs w:val="20"/>
                <w:lang w:val="sr-Latn-RS"/>
              </w:rPr>
              <w:t>St_N_Kurt_OS</w:t>
            </w:r>
          </w:p>
        </w:tc>
        <w:tc>
          <w:tcPr>
            <w:tcW w:w="1246" w:type="pct"/>
            <w:shd w:val="clear" w:color="auto" w:fill="auto"/>
          </w:tcPr>
          <w:p w14:paraId="6B70200F" w14:textId="29D99916" w:rsidR="0073511A" w:rsidRPr="00545D58" w:rsidRDefault="00545D58" w:rsidP="00545D58">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73511A" w:rsidRPr="00545D58">
              <w:rPr>
                <w:rFonts w:cs="Arial"/>
                <w:sz w:val="20"/>
                <w:szCs w:val="20"/>
                <w:lang w:val="sr-Latn-RS"/>
              </w:rPr>
              <w:t>059</w:t>
            </w:r>
          </w:p>
        </w:tc>
        <w:tc>
          <w:tcPr>
            <w:tcW w:w="1606" w:type="pct"/>
            <w:shd w:val="clear" w:color="auto" w:fill="auto"/>
          </w:tcPr>
          <w:p w14:paraId="478ABDC9" w14:textId="7B2E9363" w:rsidR="0073511A" w:rsidRPr="00545D58" w:rsidRDefault="0073511A" w:rsidP="00545D58">
            <w:pPr>
              <w:autoSpaceDE w:val="0"/>
              <w:autoSpaceDN w:val="0"/>
              <w:adjustRightInd w:val="0"/>
              <w:spacing w:before="0" w:after="0"/>
              <w:ind w:left="57" w:right="57"/>
              <w:jc w:val="right"/>
              <w:rPr>
                <w:rFonts w:cs="Arial"/>
                <w:sz w:val="20"/>
                <w:szCs w:val="20"/>
                <w:lang w:val="sr-Latn-RS"/>
              </w:rPr>
            </w:pPr>
            <w:r w:rsidRPr="00545D58">
              <w:rPr>
                <w:rFonts w:cs="Arial"/>
                <w:sz w:val="20"/>
                <w:szCs w:val="20"/>
                <w:lang w:val="sr-Latn-RS"/>
              </w:rPr>
              <w:t>15</w:t>
            </w:r>
            <w:r w:rsidR="00545D58">
              <w:rPr>
                <w:rFonts w:cs="Arial"/>
                <w:sz w:val="20"/>
                <w:szCs w:val="20"/>
                <w:lang w:val="sr-Latn-RS"/>
              </w:rPr>
              <w:t>.</w:t>
            </w:r>
            <w:r w:rsidRPr="00545D58">
              <w:rPr>
                <w:rFonts w:cs="Arial"/>
                <w:sz w:val="20"/>
                <w:szCs w:val="20"/>
                <w:lang w:val="sr-Latn-RS"/>
              </w:rPr>
              <w:t>5%</w:t>
            </w:r>
          </w:p>
        </w:tc>
      </w:tr>
      <w:tr w:rsidR="00545D58" w:rsidRPr="00545D58" w14:paraId="31C33C24" w14:textId="77777777" w:rsidTr="00545D58">
        <w:trPr>
          <w:cantSplit/>
        </w:trPr>
        <w:tc>
          <w:tcPr>
            <w:tcW w:w="2148" w:type="pct"/>
            <w:shd w:val="clear" w:color="auto" w:fill="auto"/>
          </w:tcPr>
          <w:p w14:paraId="75455B48" w14:textId="77777777" w:rsidR="0073511A" w:rsidRPr="00545D58" w:rsidRDefault="0073511A" w:rsidP="00545D58">
            <w:pPr>
              <w:autoSpaceDE w:val="0"/>
              <w:autoSpaceDN w:val="0"/>
              <w:adjustRightInd w:val="0"/>
              <w:spacing w:before="0" w:after="0"/>
              <w:ind w:left="57" w:right="57"/>
              <w:jc w:val="left"/>
              <w:rPr>
                <w:rFonts w:cs="Arial"/>
                <w:sz w:val="20"/>
                <w:szCs w:val="20"/>
                <w:lang w:val="sr-Latn-RS"/>
              </w:rPr>
            </w:pPr>
            <w:r w:rsidRPr="00545D58">
              <w:rPr>
                <w:rFonts w:cs="Arial"/>
                <w:sz w:val="20"/>
                <w:szCs w:val="20"/>
                <w:lang w:val="sr-Latn-RS"/>
              </w:rPr>
              <w:t>St_T2_OS</w:t>
            </w:r>
          </w:p>
        </w:tc>
        <w:tc>
          <w:tcPr>
            <w:tcW w:w="1246" w:type="pct"/>
            <w:shd w:val="clear" w:color="auto" w:fill="auto"/>
          </w:tcPr>
          <w:p w14:paraId="00CBE01B" w14:textId="5E0C40C8" w:rsidR="0073511A" w:rsidRPr="00545D58" w:rsidRDefault="00545D58" w:rsidP="00545D58">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73511A" w:rsidRPr="00545D58">
              <w:rPr>
                <w:rFonts w:cs="Arial"/>
                <w:sz w:val="20"/>
                <w:szCs w:val="20"/>
                <w:lang w:val="sr-Latn-RS"/>
              </w:rPr>
              <w:t>048</w:t>
            </w:r>
          </w:p>
        </w:tc>
        <w:tc>
          <w:tcPr>
            <w:tcW w:w="1606" w:type="pct"/>
            <w:shd w:val="clear" w:color="auto" w:fill="auto"/>
          </w:tcPr>
          <w:p w14:paraId="28612488" w14:textId="7A2DE77C" w:rsidR="0073511A" w:rsidRPr="00545D58" w:rsidRDefault="0073511A" w:rsidP="00545D58">
            <w:pPr>
              <w:autoSpaceDE w:val="0"/>
              <w:autoSpaceDN w:val="0"/>
              <w:adjustRightInd w:val="0"/>
              <w:spacing w:before="0" w:after="0"/>
              <w:ind w:left="57" w:right="57"/>
              <w:jc w:val="right"/>
              <w:rPr>
                <w:rFonts w:cs="Arial"/>
                <w:sz w:val="20"/>
                <w:szCs w:val="20"/>
                <w:lang w:val="sr-Latn-RS"/>
              </w:rPr>
            </w:pPr>
            <w:r w:rsidRPr="00545D58">
              <w:rPr>
                <w:rFonts w:cs="Arial"/>
                <w:sz w:val="20"/>
                <w:szCs w:val="20"/>
                <w:lang w:val="sr-Latn-RS"/>
              </w:rPr>
              <w:t>12</w:t>
            </w:r>
            <w:r w:rsidR="00545D58">
              <w:rPr>
                <w:rFonts w:cs="Arial"/>
                <w:sz w:val="20"/>
                <w:szCs w:val="20"/>
                <w:lang w:val="sr-Latn-RS"/>
              </w:rPr>
              <w:t>.</w:t>
            </w:r>
            <w:r w:rsidRPr="00545D58">
              <w:rPr>
                <w:rFonts w:cs="Arial"/>
                <w:sz w:val="20"/>
                <w:szCs w:val="20"/>
                <w:lang w:val="sr-Latn-RS"/>
              </w:rPr>
              <w:t>6%</w:t>
            </w:r>
          </w:p>
        </w:tc>
      </w:tr>
      <w:tr w:rsidR="00545D58" w:rsidRPr="00545D58" w14:paraId="6515EA29" w14:textId="77777777" w:rsidTr="00545D58">
        <w:trPr>
          <w:cantSplit/>
        </w:trPr>
        <w:tc>
          <w:tcPr>
            <w:tcW w:w="2148" w:type="pct"/>
            <w:tcBorders>
              <w:bottom w:val="single" w:sz="4" w:space="0" w:color="auto"/>
            </w:tcBorders>
            <w:shd w:val="clear" w:color="auto" w:fill="auto"/>
          </w:tcPr>
          <w:p w14:paraId="29E7020A" w14:textId="77777777" w:rsidR="0073511A" w:rsidRPr="00545D58" w:rsidRDefault="0073511A" w:rsidP="00545D58">
            <w:pPr>
              <w:autoSpaceDE w:val="0"/>
              <w:autoSpaceDN w:val="0"/>
              <w:adjustRightInd w:val="0"/>
              <w:spacing w:before="0" w:after="0"/>
              <w:ind w:left="57" w:right="57"/>
              <w:jc w:val="left"/>
              <w:rPr>
                <w:rFonts w:cs="Arial"/>
                <w:sz w:val="20"/>
                <w:szCs w:val="20"/>
                <w:lang w:val="sr-Latn-RS"/>
              </w:rPr>
            </w:pPr>
            <w:r w:rsidRPr="00545D58">
              <w:rPr>
                <w:rFonts w:cs="Arial"/>
                <w:sz w:val="20"/>
                <w:szCs w:val="20"/>
                <w:lang w:val="sr-Latn-RS"/>
              </w:rPr>
              <w:t>St_T4_OS</w:t>
            </w:r>
          </w:p>
        </w:tc>
        <w:tc>
          <w:tcPr>
            <w:tcW w:w="1246" w:type="pct"/>
            <w:tcBorders>
              <w:bottom w:val="single" w:sz="4" w:space="0" w:color="auto"/>
            </w:tcBorders>
            <w:shd w:val="clear" w:color="auto" w:fill="auto"/>
          </w:tcPr>
          <w:p w14:paraId="1E460A5F" w14:textId="4D2C6C7C" w:rsidR="0073511A" w:rsidRPr="00545D58" w:rsidRDefault="00545D58" w:rsidP="00545D58">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0073511A" w:rsidRPr="00545D58">
              <w:rPr>
                <w:rFonts w:cs="Arial"/>
                <w:sz w:val="20"/>
                <w:szCs w:val="20"/>
                <w:lang w:val="sr-Latn-RS"/>
              </w:rPr>
              <w:t>046</w:t>
            </w:r>
          </w:p>
        </w:tc>
        <w:tc>
          <w:tcPr>
            <w:tcW w:w="1606" w:type="pct"/>
            <w:tcBorders>
              <w:bottom w:val="single" w:sz="4" w:space="0" w:color="auto"/>
            </w:tcBorders>
            <w:shd w:val="clear" w:color="auto" w:fill="auto"/>
          </w:tcPr>
          <w:p w14:paraId="00089A59" w14:textId="1A959518" w:rsidR="0073511A" w:rsidRPr="00545D58" w:rsidRDefault="0073511A" w:rsidP="00545D58">
            <w:pPr>
              <w:autoSpaceDE w:val="0"/>
              <w:autoSpaceDN w:val="0"/>
              <w:adjustRightInd w:val="0"/>
              <w:spacing w:before="0" w:after="0"/>
              <w:ind w:left="57" w:right="57"/>
              <w:jc w:val="right"/>
              <w:rPr>
                <w:rFonts w:cs="Arial"/>
                <w:sz w:val="20"/>
                <w:szCs w:val="20"/>
                <w:lang w:val="sr-Latn-RS"/>
              </w:rPr>
            </w:pPr>
            <w:r w:rsidRPr="00545D58">
              <w:rPr>
                <w:rFonts w:cs="Arial"/>
                <w:sz w:val="20"/>
                <w:szCs w:val="20"/>
                <w:lang w:val="sr-Latn-RS"/>
              </w:rPr>
              <w:t>12</w:t>
            </w:r>
            <w:r w:rsidR="00545D58">
              <w:rPr>
                <w:rFonts w:cs="Arial"/>
                <w:sz w:val="20"/>
                <w:szCs w:val="20"/>
                <w:lang w:val="sr-Latn-RS"/>
              </w:rPr>
              <w:t>.</w:t>
            </w:r>
            <w:r w:rsidRPr="00545D58">
              <w:rPr>
                <w:rFonts w:cs="Arial"/>
                <w:sz w:val="20"/>
                <w:szCs w:val="20"/>
                <w:lang w:val="sr-Latn-RS"/>
              </w:rPr>
              <w:t>1%</w:t>
            </w:r>
          </w:p>
        </w:tc>
      </w:tr>
    </w:tbl>
    <w:p w14:paraId="0D4FC6D0" w14:textId="269B37C1" w:rsidR="00F30F4A" w:rsidRPr="00C858D0" w:rsidRDefault="00C858D0" w:rsidP="00C858D0">
      <w:pPr>
        <w:rPr>
          <w:rFonts w:ascii="Times New Roman" w:hAnsi="Times New Roman" w:cs="Times New Roman"/>
          <w:szCs w:val="24"/>
          <w:lang w:val="sr-Latn-RS"/>
        </w:rPr>
      </w:pPr>
      <w:r>
        <w:rPr>
          <w:lang w:val="sr-Latn-RS"/>
        </w:rPr>
        <w:t>The overall conclusion of degradation of the system state would be reasonabl</w:t>
      </w:r>
      <w:r w:rsidR="004909B8">
        <w:rPr>
          <w:lang w:val="sr-Latn-RS"/>
        </w:rPr>
        <w:t>y</w:t>
      </w:r>
      <w:r>
        <w:rPr>
          <w:lang w:val="sr-Latn-RS"/>
        </w:rPr>
        <w:t xml:space="preserve"> precise as a long term observation of degradation of the system since </w:t>
      </w:r>
      <w:r w:rsidR="004909B8">
        <w:rPr>
          <w:lang w:val="sr-Latn-RS"/>
        </w:rPr>
        <w:t xml:space="preserve">the </w:t>
      </w:r>
      <w:r>
        <w:rPr>
          <w:lang w:val="sr-Latn-RS"/>
        </w:rPr>
        <w:t xml:space="preserve">median is robust to the presence of outliers. However, </w:t>
      </w:r>
      <w:r w:rsidR="004909B8">
        <w:rPr>
          <w:lang w:val="sr-Latn-RS"/>
        </w:rPr>
        <w:t>monitoring the system in close „proximity“</w:t>
      </w:r>
      <w:r>
        <w:rPr>
          <w:lang w:val="sr-Latn-RS"/>
        </w:rPr>
        <w:t xml:space="preserve">would cause </w:t>
      </w:r>
      <w:r w:rsidR="004909B8">
        <w:rPr>
          <w:lang w:val="sr-Latn-RS"/>
        </w:rPr>
        <w:t xml:space="preserve">an </w:t>
      </w:r>
      <w:r>
        <w:rPr>
          <w:lang w:val="sr-Latn-RS"/>
        </w:rPr>
        <w:t xml:space="preserve">error in </w:t>
      </w:r>
      <w:r w:rsidR="004909B8">
        <w:rPr>
          <w:lang w:val="sr-Latn-RS"/>
        </w:rPr>
        <w:t>a small portion of the time estimate, which is important for a timely reaction to the deviation</w:t>
      </w:r>
      <w:r>
        <w:rPr>
          <w:lang w:val="sr-Latn-RS"/>
        </w:rPr>
        <w:t xml:space="preserve">. This includes being prepared for the deviation, removing </w:t>
      </w:r>
      <w:r w:rsidR="004909B8">
        <w:rPr>
          <w:lang w:val="sr-Latn-RS"/>
        </w:rPr>
        <w:t>the deviation's potential cause, and responding</w:t>
      </w:r>
      <w:r>
        <w:rPr>
          <w:lang w:val="sr-Latn-RS"/>
        </w:rPr>
        <w:t xml:space="preserve"> adequat</w:t>
      </w:r>
      <w:r w:rsidR="004909B8">
        <w:rPr>
          <w:lang w:val="sr-Latn-RS"/>
        </w:rPr>
        <w:t>e</w:t>
      </w:r>
      <w:r>
        <w:rPr>
          <w:lang w:val="sr-Latn-RS"/>
        </w:rPr>
        <w:t>ly. Hence, if we consider sequencing the ope</w:t>
      </w:r>
      <w:r w:rsidR="004909B8">
        <w:rPr>
          <w:lang w:val="sr-Latn-RS"/>
        </w:rPr>
        <w:t>ra</w:t>
      </w:r>
      <w:r>
        <w:rPr>
          <w:lang w:val="sr-Latn-RS"/>
        </w:rPr>
        <w:t>ting condition of a system on, let</w:t>
      </w:r>
      <w:r w:rsidR="007C6F59">
        <w:rPr>
          <w:lang w:val="sr-Latn-RS"/>
        </w:rPr>
        <w:t xml:space="preserve"> u</w:t>
      </w:r>
      <w:r>
        <w:rPr>
          <w:lang w:val="sr-Latn-RS"/>
        </w:rPr>
        <w:t xml:space="preserve">s say, </w:t>
      </w:r>
      <w:r w:rsidR="004909B8">
        <w:rPr>
          <w:lang w:val="sr-Latn-RS"/>
        </w:rPr>
        <w:t xml:space="preserve">a </w:t>
      </w:r>
      <w:r>
        <w:rPr>
          <w:lang w:val="sr-Latn-RS"/>
        </w:rPr>
        <w:t>weekly basis, it would r</w:t>
      </w:r>
      <w:r w:rsidR="004909B8">
        <w:rPr>
          <w:lang w:val="sr-Latn-RS"/>
        </w:rPr>
        <w:t>a</w:t>
      </w:r>
      <w:r>
        <w:rPr>
          <w:lang w:val="sr-Latn-RS"/>
        </w:rPr>
        <w:t xml:space="preserve">ise significant suspicion </w:t>
      </w:r>
      <w:r w:rsidR="004909B8">
        <w:rPr>
          <w:lang w:val="sr-Latn-RS"/>
        </w:rPr>
        <w:t>about</w:t>
      </w:r>
      <w:r>
        <w:rPr>
          <w:lang w:val="sr-Latn-RS"/>
        </w:rPr>
        <w:t xml:space="preserve"> the validation of a model. Therefore, N_StDev_OS would be a much more adequate variable for detecting anomalies</w:t>
      </w:r>
      <w:r w:rsidR="004909B8">
        <w:rPr>
          <w:lang w:val="sr-Latn-RS"/>
        </w:rPr>
        <w:t>;</w:t>
      </w:r>
      <w:r>
        <w:rPr>
          <w:lang w:val="sr-Latn-RS"/>
        </w:rPr>
        <w:t xml:space="preserve"> however</w:t>
      </w:r>
      <w:r w:rsidR="004909B8">
        <w:rPr>
          <w:lang w:val="sr-Latn-RS"/>
        </w:rPr>
        <w:t>,</w:t>
      </w:r>
      <w:r>
        <w:rPr>
          <w:lang w:val="sr-Latn-RS"/>
        </w:rPr>
        <w:t xml:space="preserve"> fu</w:t>
      </w:r>
      <w:r w:rsidR="004909B8">
        <w:rPr>
          <w:lang w:val="sr-Latn-RS"/>
        </w:rPr>
        <w:t>r</w:t>
      </w:r>
      <w:r>
        <w:rPr>
          <w:lang w:val="sr-Latn-RS"/>
        </w:rPr>
        <w:t xml:space="preserve">ther data </w:t>
      </w:r>
      <w:r w:rsidR="004909B8">
        <w:rPr>
          <w:lang w:val="sr-Latn-RS"/>
        </w:rPr>
        <w:t>must</w:t>
      </w:r>
      <w:r>
        <w:rPr>
          <w:lang w:val="sr-Latn-RS"/>
        </w:rPr>
        <w:t xml:space="preserve"> be collected and tested to support such suspicions.</w:t>
      </w:r>
      <w:r w:rsidR="00F30F4A">
        <w:rPr>
          <w:lang w:val="sr-Latn-RS"/>
        </w:rPr>
        <w:br w:type="page"/>
      </w:r>
    </w:p>
    <w:p w14:paraId="118C776D" w14:textId="68A6DCDB" w:rsidR="00F30F4A" w:rsidRDefault="00F30F4A" w:rsidP="00F30F4A">
      <w:pPr>
        <w:pStyle w:val="Heading3"/>
        <w:rPr>
          <w:lang w:val="sr-Latn-RS"/>
        </w:rPr>
      </w:pPr>
      <w:bookmarkStart w:id="638" w:name="_Toc101274407"/>
      <w:r>
        <w:rPr>
          <w:lang w:val="sr-Latn-RS"/>
        </w:rPr>
        <w:lastRenderedPageBreak/>
        <w:t>Decision CART tree for idle saddle regime</w:t>
      </w:r>
      <w:bookmarkEnd w:id="638"/>
    </w:p>
    <w:p w14:paraId="6473ACE6" w14:textId="1A04F58F" w:rsidR="00F30F4A" w:rsidRDefault="00F83318" w:rsidP="00F30F4A">
      <w:pPr>
        <w:rPr>
          <w:lang w:val="sr-Latn-RS"/>
        </w:rPr>
      </w:pPr>
      <w:r>
        <w:rPr>
          <w:lang w:val="sr-Latn-RS"/>
        </w:rPr>
        <w:t xml:space="preserve">Observing the working regime under which </w:t>
      </w:r>
      <w:r w:rsidR="004909B8">
        <w:rPr>
          <w:lang w:val="sr-Latn-RS"/>
        </w:rPr>
        <w:t xml:space="preserve">the system is at the idle state </w:t>
      </w:r>
      <w:r w:rsidR="007C6F59">
        <w:rPr>
          <w:lang w:val="sr-Latn-RS"/>
        </w:rPr>
        <w:t xml:space="preserve">of </w:t>
      </w:r>
      <w:r w:rsidR="004909B8">
        <w:rPr>
          <w:lang w:val="sr-Latn-RS"/>
        </w:rPr>
        <w:t>operation, the system's performance</w:t>
      </w:r>
      <w:r>
        <w:rPr>
          <w:lang w:val="sr-Latn-RS"/>
        </w:rPr>
        <w:t xml:space="preserve"> in determini</w:t>
      </w:r>
      <w:r w:rsidR="004909B8">
        <w:rPr>
          <w:lang w:val="sr-Latn-RS"/>
        </w:rPr>
        <w:t>n</w:t>
      </w:r>
      <w:r>
        <w:rPr>
          <w:lang w:val="sr-Latn-RS"/>
        </w:rPr>
        <w:t>g functionally</w:t>
      </w:r>
      <w:r w:rsidR="004909B8">
        <w:rPr>
          <w:lang w:val="sr-Latn-RS"/>
        </w:rPr>
        <w:t xml:space="preserve"> </w:t>
      </w:r>
      <w:r>
        <w:rPr>
          <w:lang w:val="sr-Latn-RS"/>
        </w:rPr>
        <w:t>productive and non-functionally</w:t>
      </w:r>
      <w:r w:rsidR="007C6F59">
        <w:rPr>
          <w:lang w:val="sr-Latn-RS"/>
        </w:rPr>
        <w:t xml:space="preserve"> </w:t>
      </w:r>
      <w:r>
        <w:rPr>
          <w:lang w:val="sr-Latn-RS"/>
        </w:rPr>
        <w:t>productive is measured by various latent factors extracted from hydraulic power delivery. However, although the system provides sign</w:t>
      </w:r>
      <w:r w:rsidR="004909B8">
        <w:rPr>
          <w:lang w:val="sr-Latn-RS"/>
        </w:rPr>
        <w:t>i</w:t>
      </w:r>
      <w:r>
        <w:rPr>
          <w:lang w:val="sr-Latn-RS"/>
        </w:rPr>
        <w:t xml:space="preserve">ficant information regarding the state of specific components, the most common fault </w:t>
      </w:r>
      <w:r w:rsidR="004909B8">
        <w:rPr>
          <w:lang w:val="sr-Latn-RS"/>
        </w:rPr>
        <w:t xml:space="preserve">that led to the system's failure and </w:t>
      </w:r>
      <w:r w:rsidR="007C6F59">
        <w:rPr>
          <w:lang w:val="sr-Latn-RS"/>
        </w:rPr>
        <w:t xml:space="preserve">the </w:t>
      </w:r>
      <w:r w:rsidR="004909B8">
        <w:rPr>
          <w:lang w:val="sr-Latn-RS"/>
        </w:rPr>
        <w:t>sto</w:t>
      </w:r>
      <w:r w:rsidR="007C6F59">
        <w:rPr>
          <w:lang w:val="sr-Latn-RS"/>
        </w:rPr>
        <w:t>p</w:t>
      </w:r>
      <w:r w:rsidR="004909B8">
        <w:rPr>
          <w:lang w:val="sr-Latn-RS"/>
        </w:rPr>
        <w:t>page</w:t>
      </w:r>
      <w:r>
        <w:rPr>
          <w:lang w:val="sr-Latn-RS"/>
        </w:rPr>
        <w:t xml:space="preserve"> was sensor degradation and</w:t>
      </w:r>
      <w:r w:rsidR="004909B8">
        <w:rPr>
          <w:lang w:val="sr-Latn-RS"/>
        </w:rPr>
        <w:t>,</w:t>
      </w:r>
      <w:r>
        <w:rPr>
          <w:lang w:val="sr-Latn-RS"/>
        </w:rPr>
        <w:t xml:space="preserve"> ultimately</w:t>
      </w:r>
      <w:r w:rsidR="004909B8">
        <w:rPr>
          <w:lang w:val="sr-Latn-RS"/>
        </w:rPr>
        <w:t>,</w:t>
      </w:r>
      <w:r>
        <w:rPr>
          <w:lang w:val="sr-Latn-RS"/>
        </w:rPr>
        <w:t xml:space="preserve"> failure. Therefore, since significant information provided from such </w:t>
      </w:r>
      <w:r w:rsidR="004909B8">
        <w:rPr>
          <w:lang w:val="sr-Latn-RS"/>
        </w:rPr>
        <w:t xml:space="preserve">a </w:t>
      </w:r>
      <w:r>
        <w:rPr>
          <w:lang w:val="sr-Latn-RS"/>
        </w:rPr>
        <w:t>state of degradation and quite</w:t>
      </w:r>
      <w:r w:rsidR="004909B8">
        <w:rPr>
          <w:lang w:val="sr-Latn-RS"/>
        </w:rPr>
        <w:t xml:space="preserve"> an</w:t>
      </w:r>
      <w:r>
        <w:rPr>
          <w:lang w:val="sr-Latn-RS"/>
        </w:rPr>
        <w:t xml:space="preserve"> obvious </w:t>
      </w:r>
      <w:r w:rsidR="004909B8">
        <w:rPr>
          <w:lang w:val="sr-Latn-RS"/>
        </w:rPr>
        <w:t>signal classification</w:t>
      </w:r>
      <w:r>
        <w:rPr>
          <w:lang w:val="sr-Latn-RS"/>
        </w:rPr>
        <w:t xml:space="preserve"> (</w:t>
      </w:r>
      <w:r>
        <w:rPr>
          <w:i/>
          <w:iCs/>
          <w:lang w:val="sr-Latn-RS"/>
        </w:rPr>
        <w:t>I</w:t>
      </w:r>
      <w:r>
        <w:rPr>
          <w:i/>
          <w:iCs/>
          <w:vertAlign w:val="subscript"/>
          <w:lang w:val="sr-Latn-RS"/>
        </w:rPr>
        <w:t>H</w:t>
      </w:r>
      <w:r>
        <w:rPr>
          <w:lang w:val="sr-Latn-RS"/>
        </w:rPr>
        <w:t xml:space="preserve"> = 0), </w:t>
      </w:r>
      <w:r w:rsidR="004909B8">
        <w:rPr>
          <w:lang w:val="sr-Latn-RS"/>
        </w:rPr>
        <w:t>all the values recorded led to the total failure (xi = 0)</w:t>
      </w:r>
      <w:r>
        <w:rPr>
          <w:lang w:val="sr-Latn-RS"/>
        </w:rPr>
        <w:t xml:space="preserve"> are outliers and removed from the system.</w:t>
      </w:r>
      <w:r w:rsidR="0025078F">
        <w:rPr>
          <w:lang w:val="sr-Latn-RS"/>
        </w:rPr>
        <w:t xml:space="preserve"> However, </w:t>
      </w:r>
      <w:r w:rsidR="004909B8">
        <w:rPr>
          <w:lang w:val="sr-Latn-RS"/>
        </w:rPr>
        <w:t xml:space="preserve">the </w:t>
      </w:r>
      <w:r w:rsidR="0025078F">
        <w:rPr>
          <w:lang w:val="sr-Latn-RS"/>
        </w:rPr>
        <w:t xml:space="preserve">rest of the factors included are represented in </w:t>
      </w:r>
      <w:r w:rsidR="0025078F">
        <w:rPr>
          <w:lang w:val="sr-Latn-RS"/>
        </w:rPr>
        <w:fldChar w:fldCharType="begin"/>
      </w:r>
      <w:r w:rsidR="0025078F">
        <w:rPr>
          <w:lang w:val="sr-Latn-RS"/>
        </w:rPr>
        <w:instrText xml:space="preserve"> REF _Ref99280090 \h </w:instrText>
      </w:r>
      <w:r w:rsidR="0025078F">
        <w:rPr>
          <w:lang w:val="sr-Latn-RS"/>
        </w:rPr>
      </w:r>
      <w:r w:rsidR="0025078F">
        <w:rPr>
          <w:lang w:val="sr-Latn-RS"/>
        </w:rPr>
        <w:fldChar w:fldCharType="separate"/>
      </w:r>
      <w:r w:rsidR="00587AF0">
        <w:t xml:space="preserve">Table </w:t>
      </w:r>
      <w:r w:rsidR="00587AF0">
        <w:rPr>
          <w:noProof/>
        </w:rPr>
        <w:t>53</w:t>
      </w:r>
      <w:r w:rsidR="0025078F">
        <w:rPr>
          <w:lang w:val="sr-Latn-RS"/>
        </w:rPr>
        <w:fldChar w:fldCharType="end"/>
      </w:r>
      <w:r w:rsidR="0025078F">
        <w:rPr>
          <w:lang w:val="sr-Latn-RS"/>
        </w:rPr>
        <w:t>.</w:t>
      </w:r>
    </w:p>
    <w:p w14:paraId="14D7F835" w14:textId="2489989A" w:rsidR="00F30F4A" w:rsidRPr="00F30F4A" w:rsidRDefault="00EB5E37" w:rsidP="00EB5E37">
      <w:pPr>
        <w:pStyle w:val="Caption"/>
        <w:jc w:val="both"/>
        <w:rPr>
          <w:lang w:val="sr-Latn-RS"/>
        </w:rPr>
      </w:pPr>
      <w:bookmarkStart w:id="639" w:name="_Ref99280090"/>
      <w:bookmarkStart w:id="640" w:name="_Toc101274493"/>
      <w:r>
        <w:t xml:space="preserve">Table </w:t>
      </w:r>
      <w:fldSimple w:instr=" SEQ Table \* ARABIC ">
        <w:r w:rsidR="00587AF0">
          <w:rPr>
            <w:noProof/>
          </w:rPr>
          <w:t>53</w:t>
        </w:r>
      </w:fldSimple>
      <w:bookmarkEnd w:id="639"/>
      <w:r>
        <w:t xml:space="preserve">. </w:t>
      </w:r>
      <w:r w:rsidR="00123D26">
        <w:t>Parameters and variables for decision tree at idle saddle position</w:t>
      </w:r>
      <w:bookmarkEnd w:id="640"/>
    </w:p>
    <w:tbl>
      <w:tblPr>
        <w:tblW w:w="5000" w:type="pct"/>
        <w:tblCellMar>
          <w:left w:w="0" w:type="dxa"/>
          <w:right w:w="0" w:type="dxa"/>
        </w:tblCellMar>
        <w:tblLook w:val="0000" w:firstRow="0" w:lastRow="0" w:firstColumn="0" w:lastColumn="0" w:noHBand="0" w:noVBand="0"/>
      </w:tblPr>
      <w:tblGrid>
        <w:gridCol w:w="1808"/>
        <w:gridCol w:w="3253"/>
        <w:gridCol w:w="3966"/>
      </w:tblGrid>
      <w:tr w:rsidR="0016590B" w:rsidRPr="0016590B" w14:paraId="6B7D3D1F" w14:textId="77777777" w:rsidTr="00CA7ACD">
        <w:trPr>
          <w:cantSplit/>
        </w:trPr>
        <w:tc>
          <w:tcPr>
            <w:tcW w:w="1001" w:type="pct"/>
            <w:tcBorders>
              <w:top w:val="single" w:sz="4" w:space="0" w:color="auto"/>
              <w:left w:val="nil"/>
              <w:bottom w:val="single" w:sz="4" w:space="0" w:color="auto"/>
              <w:right w:val="nil"/>
            </w:tcBorders>
            <w:shd w:val="clear" w:color="auto" w:fill="auto"/>
            <w:vAlign w:val="center"/>
          </w:tcPr>
          <w:p w14:paraId="1250BEDF" w14:textId="4408E8EB" w:rsidR="0016590B" w:rsidRPr="0016590B" w:rsidRDefault="005373C2" w:rsidP="0016590B">
            <w:pPr>
              <w:autoSpaceDE w:val="0"/>
              <w:autoSpaceDN w:val="0"/>
              <w:adjustRightInd w:val="0"/>
              <w:spacing w:before="0" w:after="0"/>
              <w:ind w:left="57" w:right="57"/>
              <w:jc w:val="left"/>
              <w:rPr>
                <w:rFonts w:cs="Arial"/>
                <w:b/>
                <w:bCs/>
                <w:sz w:val="20"/>
                <w:szCs w:val="20"/>
                <w:lang w:val="sr-Latn-RS"/>
              </w:rPr>
            </w:pPr>
            <w:r>
              <w:rPr>
                <w:rFonts w:cs="Arial"/>
                <w:b/>
                <w:bCs/>
                <w:sz w:val="20"/>
                <w:szCs w:val="20"/>
                <w:lang w:val="sr-Latn-RS"/>
              </w:rPr>
              <w:t>Content</w:t>
            </w:r>
          </w:p>
        </w:tc>
        <w:tc>
          <w:tcPr>
            <w:tcW w:w="1802" w:type="pct"/>
            <w:tcBorders>
              <w:top w:val="single" w:sz="4" w:space="0" w:color="auto"/>
              <w:left w:val="nil"/>
              <w:bottom w:val="single" w:sz="4" w:space="0" w:color="auto"/>
              <w:right w:val="nil"/>
            </w:tcBorders>
            <w:shd w:val="clear" w:color="auto" w:fill="auto"/>
            <w:vAlign w:val="center"/>
          </w:tcPr>
          <w:p w14:paraId="3EB736EC" w14:textId="0FDB3D92" w:rsidR="0016590B" w:rsidRPr="0016590B" w:rsidRDefault="005373C2" w:rsidP="0016590B">
            <w:pPr>
              <w:autoSpaceDE w:val="0"/>
              <w:autoSpaceDN w:val="0"/>
              <w:adjustRightInd w:val="0"/>
              <w:spacing w:before="0" w:after="0"/>
              <w:ind w:left="57" w:right="57"/>
              <w:jc w:val="left"/>
              <w:rPr>
                <w:rFonts w:cs="Arial"/>
                <w:b/>
                <w:bCs/>
                <w:sz w:val="20"/>
                <w:szCs w:val="20"/>
                <w:lang w:val="sr-Latn-RS"/>
              </w:rPr>
            </w:pPr>
            <w:r>
              <w:rPr>
                <w:rFonts w:cs="Arial"/>
                <w:b/>
                <w:bCs/>
                <w:sz w:val="20"/>
                <w:szCs w:val="20"/>
                <w:lang w:val="sr-Latn-RS"/>
              </w:rPr>
              <w:t>Input parameters</w:t>
            </w:r>
          </w:p>
        </w:tc>
        <w:tc>
          <w:tcPr>
            <w:tcW w:w="2197" w:type="pct"/>
            <w:tcBorders>
              <w:top w:val="single" w:sz="4" w:space="0" w:color="auto"/>
              <w:left w:val="nil"/>
              <w:bottom w:val="single" w:sz="4" w:space="0" w:color="auto"/>
              <w:right w:val="nil"/>
            </w:tcBorders>
            <w:shd w:val="clear" w:color="auto" w:fill="auto"/>
          </w:tcPr>
          <w:p w14:paraId="15C2C145" w14:textId="18C5E66D" w:rsidR="0016590B" w:rsidRPr="0016590B" w:rsidRDefault="005373C2" w:rsidP="0016590B">
            <w:pPr>
              <w:autoSpaceDE w:val="0"/>
              <w:autoSpaceDN w:val="0"/>
              <w:adjustRightInd w:val="0"/>
              <w:spacing w:before="0" w:after="0"/>
              <w:ind w:left="57" w:right="57"/>
              <w:jc w:val="right"/>
              <w:rPr>
                <w:rFonts w:cs="Arial"/>
                <w:b/>
                <w:bCs/>
                <w:sz w:val="20"/>
                <w:szCs w:val="20"/>
                <w:lang w:val="sr-Latn-RS"/>
              </w:rPr>
            </w:pPr>
            <w:r>
              <w:rPr>
                <w:rFonts w:cs="Arial"/>
                <w:b/>
                <w:bCs/>
                <w:sz w:val="20"/>
                <w:szCs w:val="20"/>
                <w:lang w:val="sr-Latn-RS"/>
              </w:rPr>
              <w:t>Variables and values</w:t>
            </w:r>
          </w:p>
        </w:tc>
      </w:tr>
      <w:tr w:rsidR="0016590B" w:rsidRPr="0016590B" w14:paraId="02FFA746" w14:textId="77777777" w:rsidTr="00CA7ACD">
        <w:trPr>
          <w:cantSplit/>
        </w:trPr>
        <w:tc>
          <w:tcPr>
            <w:tcW w:w="1001" w:type="pct"/>
            <w:vMerge w:val="restart"/>
            <w:tcBorders>
              <w:top w:val="single" w:sz="4" w:space="0" w:color="auto"/>
              <w:left w:val="nil"/>
              <w:right w:val="nil"/>
            </w:tcBorders>
            <w:shd w:val="clear" w:color="auto" w:fill="auto"/>
            <w:vAlign w:val="center"/>
          </w:tcPr>
          <w:p w14:paraId="474844D1" w14:textId="77777777" w:rsidR="00F30F4A" w:rsidRPr="0016590B" w:rsidRDefault="00F30F4A" w:rsidP="0016590B">
            <w:pPr>
              <w:autoSpaceDE w:val="0"/>
              <w:autoSpaceDN w:val="0"/>
              <w:adjustRightInd w:val="0"/>
              <w:spacing w:before="0" w:after="0"/>
              <w:ind w:left="57" w:right="57"/>
              <w:jc w:val="left"/>
              <w:rPr>
                <w:rFonts w:cs="Arial"/>
                <w:sz w:val="20"/>
                <w:szCs w:val="20"/>
                <w:lang w:val="sr-Latn-RS"/>
              </w:rPr>
            </w:pPr>
            <w:r w:rsidRPr="0016590B">
              <w:rPr>
                <w:rFonts w:cs="Arial"/>
                <w:sz w:val="20"/>
                <w:szCs w:val="20"/>
                <w:lang w:val="sr-Latn-RS"/>
              </w:rPr>
              <w:t>Specifications</w:t>
            </w:r>
          </w:p>
        </w:tc>
        <w:tc>
          <w:tcPr>
            <w:tcW w:w="1802" w:type="pct"/>
            <w:tcBorders>
              <w:top w:val="single" w:sz="4" w:space="0" w:color="auto"/>
              <w:left w:val="nil"/>
              <w:right w:val="nil"/>
            </w:tcBorders>
            <w:shd w:val="clear" w:color="auto" w:fill="auto"/>
            <w:vAlign w:val="center"/>
          </w:tcPr>
          <w:p w14:paraId="3A84E6F5" w14:textId="77777777" w:rsidR="00F30F4A" w:rsidRPr="0016590B" w:rsidRDefault="00F30F4A" w:rsidP="0016590B">
            <w:pPr>
              <w:autoSpaceDE w:val="0"/>
              <w:autoSpaceDN w:val="0"/>
              <w:adjustRightInd w:val="0"/>
              <w:spacing w:before="0" w:after="0"/>
              <w:ind w:left="57" w:right="57"/>
              <w:jc w:val="left"/>
              <w:rPr>
                <w:rFonts w:cs="Arial"/>
                <w:sz w:val="20"/>
                <w:szCs w:val="20"/>
                <w:lang w:val="sr-Latn-RS"/>
              </w:rPr>
            </w:pPr>
            <w:r w:rsidRPr="0016590B">
              <w:rPr>
                <w:rFonts w:cs="Arial"/>
                <w:sz w:val="20"/>
                <w:szCs w:val="20"/>
                <w:lang w:val="sr-Latn-RS"/>
              </w:rPr>
              <w:t>Growing Method</w:t>
            </w:r>
          </w:p>
        </w:tc>
        <w:tc>
          <w:tcPr>
            <w:tcW w:w="2197" w:type="pct"/>
            <w:tcBorders>
              <w:top w:val="single" w:sz="4" w:space="0" w:color="auto"/>
              <w:left w:val="nil"/>
              <w:right w:val="nil"/>
            </w:tcBorders>
            <w:shd w:val="clear" w:color="auto" w:fill="auto"/>
          </w:tcPr>
          <w:p w14:paraId="179D2776" w14:textId="77777777" w:rsidR="00F30F4A" w:rsidRPr="0016590B" w:rsidRDefault="00F30F4A" w:rsidP="0016590B">
            <w:pPr>
              <w:autoSpaceDE w:val="0"/>
              <w:autoSpaceDN w:val="0"/>
              <w:adjustRightInd w:val="0"/>
              <w:spacing w:before="0" w:after="0"/>
              <w:ind w:left="57" w:right="57"/>
              <w:jc w:val="right"/>
              <w:rPr>
                <w:rFonts w:cs="Arial"/>
                <w:sz w:val="20"/>
                <w:szCs w:val="20"/>
                <w:lang w:val="sr-Latn-RS"/>
              </w:rPr>
            </w:pPr>
            <w:r w:rsidRPr="0016590B">
              <w:rPr>
                <w:rFonts w:cs="Arial"/>
                <w:sz w:val="20"/>
                <w:szCs w:val="20"/>
                <w:lang w:val="sr-Latn-RS"/>
              </w:rPr>
              <w:t>CRT</w:t>
            </w:r>
          </w:p>
        </w:tc>
      </w:tr>
      <w:tr w:rsidR="0016590B" w:rsidRPr="0016590B" w14:paraId="74AAA982" w14:textId="77777777" w:rsidTr="00CA7ACD">
        <w:trPr>
          <w:cantSplit/>
        </w:trPr>
        <w:tc>
          <w:tcPr>
            <w:tcW w:w="1001" w:type="pct"/>
            <w:vMerge/>
            <w:tcBorders>
              <w:left w:val="nil"/>
              <w:right w:val="nil"/>
            </w:tcBorders>
            <w:shd w:val="clear" w:color="auto" w:fill="auto"/>
            <w:vAlign w:val="center"/>
          </w:tcPr>
          <w:p w14:paraId="24C0CDE5" w14:textId="77777777" w:rsidR="00F30F4A" w:rsidRPr="0016590B" w:rsidRDefault="00F30F4A" w:rsidP="0016590B">
            <w:pPr>
              <w:autoSpaceDE w:val="0"/>
              <w:autoSpaceDN w:val="0"/>
              <w:adjustRightInd w:val="0"/>
              <w:spacing w:before="0" w:after="0"/>
              <w:ind w:left="57" w:right="57"/>
              <w:jc w:val="left"/>
              <w:rPr>
                <w:rFonts w:cs="Arial"/>
                <w:sz w:val="20"/>
                <w:szCs w:val="20"/>
                <w:lang w:val="sr-Latn-RS"/>
              </w:rPr>
            </w:pPr>
          </w:p>
        </w:tc>
        <w:tc>
          <w:tcPr>
            <w:tcW w:w="1802" w:type="pct"/>
            <w:tcBorders>
              <w:left w:val="nil"/>
              <w:right w:val="nil"/>
            </w:tcBorders>
            <w:shd w:val="clear" w:color="auto" w:fill="auto"/>
            <w:vAlign w:val="center"/>
          </w:tcPr>
          <w:p w14:paraId="13A79D24" w14:textId="77777777" w:rsidR="00F30F4A" w:rsidRPr="0016590B" w:rsidRDefault="00F30F4A" w:rsidP="0016590B">
            <w:pPr>
              <w:autoSpaceDE w:val="0"/>
              <w:autoSpaceDN w:val="0"/>
              <w:adjustRightInd w:val="0"/>
              <w:spacing w:before="0" w:after="0"/>
              <w:ind w:left="57" w:right="57"/>
              <w:jc w:val="left"/>
              <w:rPr>
                <w:rFonts w:cs="Arial"/>
                <w:sz w:val="20"/>
                <w:szCs w:val="20"/>
                <w:lang w:val="sr-Latn-RS"/>
              </w:rPr>
            </w:pPr>
            <w:r w:rsidRPr="0016590B">
              <w:rPr>
                <w:rFonts w:cs="Arial"/>
                <w:sz w:val="20"/>
                <w:szCs w:val="20"/>
                <w:lang w:val="sr-Latn-RS"/>
              </w:rPr>
              <w:t>Dependent Variable</w:t>
            </w:r>
          </w:p>
        </w:tc>
        <w:tc>
          <w:tcPr>
            <w:tcW w:w="2197" w:type="pct"/>
            <w:tcBorders>
              <w:left w:val="nil"/>
              <w:right w:val="nil"/>
            </w:tcBorders>
            <w:shd w:val="clear" w:color="auto" w:fill="auto"/>
          </w:tcPr>
          <w:p w14:paraId="20443B7B" w14:textId="77777777" w:rsidR="00F30F4A" w:rsidRPr="0016590B" w:rsidRDefault="00F30F4A" w:rsidP="0016590B">
            <w:pPr>
              <w:autoSpaceDE w:val="0"/>
              <w:autoSpaceDN w:val="0"/>
              <w:adjustRightInd w:val="0"/>
              <w:spacing w:before="0" w:after="0"/>
              <w:ind w:left="57" w:right="57"/>
              <w:jc w:val="right"/>
              <w:rPr>
                <w:rFonts w:cs="Arial"/>
                <w:sz w:val="20"/>
                <w:szCs w:val="20"/>
                <w:lang w:val="sr-Latn-RS"/>
              </w:rPr>
            </w:pPr>
            <w:r w:rsidRPr="0016590B">
              <w:rPr>
                <w:rFonts w:cs="Arial"/>
                <w:sz w:val="20"/>
                <w:szCs w:val="20"/>
                <w:lang w:val="sr-Latn-RS"/>
              </w:rPr>
              <w:t>Degradation_IS</w:t>
            </w:r>
          </w:p>
        </w:tc>
      </w:tr>
      <w:tr w:rsidR="0016590B" w:rsidRPr="0016590B" w14:paraId="6A142522" w14:textId="77777777" w:rsidTr="00CA7ACD">
        <w:trPr>
          <w:cantSplit/>
        </w:trPr>
        <w:tc>
          <w:tcPr>
            <w:tcW w:w="1001" w:type="pct"/>
            <w:vMerge/>
            <w:tcBorders>
              <w:left w:val="nil"/>
              <w:right w:val="nil"/>
            </w:tcBorders>
            <w:shd w:val="clear" w:color="auto" w:fill="auto"/>
            <w:vAlign w:val="center"/>
          </w:tcPr>
          <w:p w14:paraId="5235D989" w14:textId="77777777" w:rsidR="00F30F4A" w:rsidRPr="0016590B" w:rsidRDefault="00F30F4A" w:rsidP="0016590B">
            <w:pPr>
              <w:autoSpaceDE w:val="0"/>
              <w:autoSpaceDN w:val="0"/>
              <w:adjustRightInd w:val="0"/>
              <w:spacing w:before="0" w:after="0"/>
              <w:ind w:left="57" w:right="57"/>
              <w:jc w:val="left"/>
              <w:rPr>
                <w:rFonts w:cs="Arial"/>
                <w:sz w:val="20"/>
                <w:szCs w:val="20"/>
                <w:lang w:val="sr-Latn-RS"/>
              </w:rPr>
            </w:pPr>
          </w:p>
        </w:tc>
        <w:tc>
          <w:tcPr>
            <w:tcW w:w="1802" w:type="pct"/>
            <w:tcBorders>
              <w:left w:val="nil"/>
              <w:right w:val="nil"/>
            </w:tcBorders>
            <w:shd w:val="clear" w:color="auto" w:fill="auto"/>
            <w:vAlign w:val="center"/>
          </w:tcPr>
          <w:p w14:paraId="76E7399A" w14:textId="77777777" w:rsidR="00F30F4A" w:rsidRPr="0016590B" w:rsidRDefault="00F30F4A" w:rsidP="0016590B">
            <w:pPr>
              <w:autoSpaceDE w:val="0"/>
              <w:autoSpaceDN w:val="0"/>
              <w:adjustRightInd w:val="0"/>
              <w:spacing w:before="0" w:after="0"/>
              <w:ind w:left="57" w:right="57"/>
              <w:jc w:val="left"/>
              <w:rPr>
                <w:rFonts w:cs="Arial"/>
                <w:sz w:val="20"/>
                <w:szCs w:val="20"/>
                <w:lang w:val="sr-Latn-RS"/>
              </w:rPr>
            </w:pPr>
            <w:r w:rsidRPr="0016590B">
              <w:rPr>
                <w:rFonts w:cs="Arial"/>
                <w:sz w:val="20"/>
                <w:szCs w:val="20"/>
                <w:lang w:val="sr-Latn-RS"/>
              </w:rPr>
              <w:t>Independent Variables</w:t>
            </w:r>
          </w:p>
        </w:tc>
        <w:tc>
          <w:tcPr>
            <w:tcW w:w="2197" w:type="pct"/>
            <w:tcBorders>
              <w:left w:val="nil"/>
              <w:right w:val="nil"/>
            </w:tcBorders>
            <w:shd w:val="clear" w:color="auto" w:fill="auto"/>
          </w:tcPr>
          <w:p w14:paraId="1F99CB2C" w14:textId="77777777" w:rsidR="00F30F4A" w:rsidRPr="0016590B" w:rsidRDefault="00F30F4A" w:rsidP="0016590B">
            <w:pPr>
              <w:autoSpaceDE w:val="0"/>
              <w:autoSpaceDN w:val="0"/>
              <w:adjustRightInd w:val="0"/>
              <w:spacing w:before="0" w:after="0"/>
              <w:ind w:left="57" w:right="57"/>
              <w:jc w:val="right"/>
              <w:rPr>
                <w:rFonts w:cs="Arial"/>
                <w:sz w:val="20"/>
                <w:szCs w:val="20"/>
                <w:lang w:val="sr-Latn-RS"/>
              </w:rPr>
            </w:pPr>
            <w:r w:rsidRPr="0016590B">
              <w:rPr>
                <w:rFonts w:cs="Arial"/>
                <w:sz w:val="20"/>
                <w:szCs w:val="20"/>
                <w:lang w:val="sr-Latn-RS"/>
              </w:rPr>
              <w:t>HS_idle_time, T1, T3, T4, Load_kg_n, N_Stdev_IS, N_1Q_IS, N_Median_IS, N_min_IS, N_Kurt_IS</w:t>
            </w:r>
          </w:p>
        </w:tc>
      </w:tr>
      <w:tr w:rsidR="0016590B" w:rsidRPr="0016590B" w14:paraId="1C51D266" w14:textId="77777777" w:rsidTr="00CA7ACD">
        <w:trPr>
          <w:cantSplit/>
        </w:trPr>
        <w:tc>
          <w:tcPr>
            <w:tcW w:w="1001" w:type="pct"/>
            <w:vMerge/>
            <w:tcBorders>
              <w:left w:val="nil"/>
              <w:right w:val="nil"/>
            </w:tcBorders>
            <w:shd w:val="clear" w:color="auto" w:fill="auto"/>
            <w:vAlign w:val="center"/>
          </w:tcPr>
          <w:p w14:paraId="21E17480" w14:textId="77777777" w:rsidR="00F30F4A" w:rsidRPr="0016590B" w:rsidRDefault="00F30F4A" w:rsidP="0016590B">
            <w:pPr>
              <w:autoSpaceDE w:val="0"/>
              <w:autoSpaceDN w:val="0"/>
              <w:adjustRightInd w:val="0"/>
              <w:spacing w:before="0" w:after="0"/>
              <w:ind w:left="57" w:right="57"/>
              <w:jc w:val="left"/>
              <w:rPr>
                <w:rFonts w:cs="Arial"/>
                <w:sz w:val="20"/>
                <w:szCs w:val="20"/>
                <w:lang w:val="sr-Latn-RS"/>
              </w:rPr>
            </w:pPr>
          </w:p>
        </w:tc>
        <w:tc>
          <w:tcPr>
            <w:tcW w:w="1802" w:type="pct"/>
            <w:tcBorders>
              <w:left w:val="nil"/>
              <w:right w:val="nil"/>
            </w:tcBorders>
            <w:shd w:val="clear" w:color="auto" w:fill="auto"/>
            <w:vAlign w:val="center"/>
          </w:tcPr>
          <w:p w14:paraId="613F2299" w14:textId="77777777" w:rsidR="00F30F4A" w:rsidRPr="0016590B" w:rsidRDefault="00F30F4A" w:rsidP="0016590B">
            <w:pPr>
              <w:autoSpaceDE w:val="0"/>
              <w:autoSpaceDN w:val="0"/>
              <w:adjustRightInd w:val="0"/>
              <w:spacing w:before="0" w:after="0"/>
              <w:ind w:left="57" w:right="57"/>
              <w:jc w:val="left"/>
              <w:rPr>
                <w:rFonts w:cs="Arial"/>
                <w:sz w:val="20"/>
                <w:szCs w:val="20"/>
                <w:lang w:val="sr-Latn-RS"/>
              </w:rPr>
            </w:pPr>
            <w:r w:rsidRPr="0016590B">
              <w:rPr>
                <w:rFonts w:cs="Arial"/>
                <w:sz w:val="20"/>
                <w:szCs w:val="20"/>
                <w:lang w:val="sr-Latn-RS"/>
              </w:rPr>
              <w:t>Validation</w:t>
            </w:r>
          </w:p>
        </w:tc>
        <w:tc>
          <w:tcPr>
            <w:tcW w:w="2197" w:type="pct"/>
            <w:tcBorders>
              <w:left w:val="nil"/>
              <w:right w:val="nil"/>
            </w:tcBorders>
            <w:shd w:val="clear" w:color="auto" w:fill="auto"/>
          </w:tcPr>
          <w:p w14:paraId="4E1F2817" w14:textId="77777777" w:rsidR="00F30F4A" w:rsidRPr="0016590B" w:rsidRDefault="00F30F4A" w:rsidP="0016590B">
            <w:pPr>
              <w:autoSpaceDE w:val="0"/>
              <w:autoSpaceDN w:val="0"/>
              <w:adjustRightInd w:val="0"/>
              <w:spacing w:before="0" w:after="0"/>
              <w:ind w:left="57" w:right="57"/>
              <w:jc w:val="right"/>
              <w:rPr>
                <w:rFonts w:cs="Arial"/>
                <w:sz w:val="20"/>
                <w:szCs w:val="20"/>
                <w:lang w:val="sr-Latn-RS"/>
              </w:rPr>
            </w:pPr>
            <w:r w:rsidRPr="0016590B">
              <w:rPr>
                <w:rFonts w:cs="Arial"/>
                <w:sz w:val="20"/>
                <w:szCs w:val="20"/>
                <w:lang w:val="sr-Latn-RS"/>
              </w:rPr>
              <w:t>None</w:t>
            </w:r>
          </w:p>
        </w:tc>
      </w:tr>
      <w:tr w:rsidR="0016590B" w:rsidRPr="0016590B" w14:paraId="5BAE78A9" w14:textId="77777777" w:rsidTr="00CA7ACD">
        <w:trPr>
          <w:cantSplit/>
        </w:trPr>
        <w:tc>
          <w:tcPr>
            <w:tcW w:w="1001" w:type="pct"/>
            <w:vMerge/>
            <w:tcBorders>
              <w:left w:val="nil"/>
              <w:right w:val="nil"/>
            </w:tcBorders>
            <w:shd w:val="clear" w:color="auto" w:fill="auto"/>
            <w:vAlign w:val="center"/>
          </w:tcPr>
          <w:p w14:paraId="0A0156F1" w14:textId="77777777" w:rsidR="00F30F4A" w:rsidRPr="0016590B" w:rsidRDefault="00F30F4A" w:rsidP="0016590B">
            <w:pPr>
              <w:autoSpaceDE w:val="0"/>
              <w:autoSpaceDN w:val="0"/>
              <w:adjustRightInd w:val="0"/>
              <w:spacing w:before="0" w:after="0"/>
              <w:ind w:left="57" w:right="57"/>
              <w:jc w:val="left"/>
              <w:rPr>
                <w:rFonts w:cs="Arial"/>
                <w:sz w:val="20"/>
                <w:szCs w:val="20"/>
                <w:lang w:val="sr-Latn-RS"/>
              </w:rPr>
            </w:pPr>
          </w:p>
        </w:tc>
        <w:tc>
          <w:tcPr>
            <w:tcW w:w="1802" w:type="pct"/>
            <w:tcBorders>
              <w:left w:val="nil"/>
              <w:right w:val="nil"/>
            </w:tcBorders>
            <w:shd w:val="clear" w:color="auto" w:fill="auto"/>
            <w:vAlign w:val="center"/>
          </w:tcPr>
          <w:p w14:paraId="707124C1" w14:textId="77777777" w:rsidR="00F30F4A" w:rsidRPr="0016590B" w:rsidRDefault="00F30F4A" w:rsidP="0016590B">
            <w:pPr>
              <w:autoSpaceDE w:val="0"/>
              <w:autoSpaceDN w:val="0"/>
              <w:adjustRightInd w:val="0"/>
              <w:spacing w:before="0" w:after="0"/>
              <w:ind w:left="57" w:right="57"/>
              <w:jc w:val="left"/>
              <w:rPr>
                <w:rFonts w:cs="Arial"/>
                <w:sz w:val="20"/>
                <w:szCs w:val="20"/>
                <w:lang w:val="sr-Latn-RS"/>
              </w:rPr>
            </w:pPr>
            <w:r w:rsidRPr="0016590B">
              <w:rPr>
                <w:rFonts w:cs="Arial"/>
                <w:sz w:val="20"/>
                <w:szCs w:val="20"/>
                <w:lang w:val="sr-Latn-RS"/>
              </w:rPr>
              <w:t>Maximum Tree Depth</w:t>
            </w:r>
          </w:p>
        </w:tc>
        <w:tc>
          <w:tcPr>
            <w:tcW w:w="2197" w:type="pct"/>
            <w:tcBorders>
              <w:left w:val="nil"/>
              <w:right w:val="nil"/>
            </w:tcBorders>
            <w:shd w:val="clear" w:color="auto" w:fill="auto"/>
          </w:tcPr>
          <w:p w14:paraId="3F9BEBB6" w14:textId="77777777" w:rsidR="00F30F4A" w:rsidRPr="0016590B" w:rsidRDefault="00F30F4A" w:rsidP="0016590B">
            <w:pPr>
              <w:autoSpaceDE w:val="0"/>
              <w:autoSpaceDN w:val="0"/>
              <w:adjustRightInd w:val="0"/>
              <w:spacing w:before="0" w:after="0"/>
              <w:ind w:left="57" w:right="57"/>
              <w:jc w:val="right"/>
              <w:rPr>
                <w:rFonts w:cs="Arial"/>
                <w:sz w:val="20"/>
                <w:szCs w:val="20"/>
                <w:lang w:val="sr-Latn-RS"/>
              </w:rPr>
            </w:pPr>
            <w:r w:rsidRPr="0016590B">
              <w:rPr>
                <w:rFonts w:cs="Arial"/>
                <w:sz w:val="20"/>
                <w:szCs w:val="20"/>
                <w:lang w:val="sr-Latn-RS"/>
              </w:rPr>
              <w:t>5</w:t>
            </w:r>
          </w:p>
        </w:tc>
      </w:tr>
      <w:tr w:rsidR="0016590B" w:rsidRPr="0016590B" w14:paraId="5337DCB9" w14:textId="77777777" w:rsidTr="00CA7ACD">
        <w:trPr>
          <w:cantSplit/>
        </w:trPr>
        <w:tc>
          <w:tcPr>
            <w:tcW w:w="1001" w:type="pct"/>
            <w:vMerge/>
            <w:tcBorders>
              <w:left w:val="nil"/>
              <w:right w:val="nil"/>
            </w:tcBorders>
            <w:shd w:val="clear" w:color="auto" w:fill="auto"/>
            <w:vAlign w:val="center"/>
          </w:tcPr>
          <w:p w14:paraId="4F57D98A" w14:textId="77777777" w:rsidR="00F30F4A" w:rsidRPr="0016590B" w:rsidRDefault="00F30F4A" w:rsidP="0016590B">
            <w:pPr>
              <w:autoSpaceDE w:val="0"/>
              <w:autoSpaceDN w:val="0"/>
              <w:adjustRightInd w:val="0"/>
              <w:spacing w:before="0" w:after="0"/>
              <w:ind w:left="57" w:right="57"/>
              <w:jc w:val="left"/>
              <w:rPr>
                <w:rFonts w:cs="Arial"/>
                <w:sz w:val="20"/>
                <w:szCs w:val="20"/>
                <w:lang w:val="sr-Latn-RS"/>
              </w:rPr>
            </w:pPr>
          </w:p>
        </w:tc>
        <w:tc>
          <w:tcPr>
            <w:tcW w:w="1802" w:type="pct"/>
            <w:tcBorders>
              <w:left w:val="nil"/>
              <w:right w:val="nil"/>
            </w:tcBorders>
            <w:shd w:val="clear" w:color="auto" w:fill="auto"/>
            <w:vAlign w:val="center"/>
          </w:tcPr>
          <w:p w14:paraId="78415D6B" w14:textId="77777777" w:rsidR="00F30F4A" w:rsidRPr="0016590B" w:rsidRDefault="00F30F4A" w:rsidP="0016590B">
            <w:pPr>
              <w:autoSpaceDE w:val="0"/>
              <w:autoSpaceDN w:val="0"/>
              <w:adjustRightInd w:val="0"/>
              <w:spacing w:before="0" w:after="0"/>
              <w:ind w:left="57" w:right="57"/>
              <w:jc w:val="left"/>
              <w:rPr>
                <w:rFonts w:cs="Arial"/>
                <w:sz w:val="20"/>
                <w:szCs w:val="20"/>
                <w:lang w:val="sr-Latn-RS"/>
              </w:rPr>
            </w:pPr>
            <w:r w:rsidRPr="0016590B">
              <w:rPr>
                <w:rFonts w:cs="Arial"/>
                <w:sz w:val="20"/>
                <w:szCs w:val="20"/>
                <w:lang w:val="sr-Latn-RS"/>
              </w:rPr>
              <w:t>Minimum Cases in Parent Node</w:t>
            </w:r>
          </w:p>
        </w:tc>
        <w:tc>
          <w:tcPr>
            <w:tcW w:w="2197" w:type="pct"/>
            <w:tcBorders>
              <w:left w:val="nil"/>
              <w:right w:val="nil"/>
            </w:tcBorders>
            <w:shd w:val="clear" w:color="auto" w:fill="auto"/>
          </w:tcPr>
          <w:p w14:paraId="7EA9CD59" w14:textId="77777777" w:rsidR="00F30F4A" w:rsidRPr="0016590B" w:rsidRDefault="00F30F4A" w:rsidP="0016590B">
            <w:pPr>
              <w:autoSpaceDE w:val="0"/>
              <w:autoSpaceDN w:val="0"/>
              <w:adjustRightInd w:val="0"/>
              <w:spacing w:before="0" w:after="0"/>
              <w:ind w:left="57" w:right="57"/>
              <w:jc w:val="right"/>
              <w:rPr>
                <w:rFonts w:cs="Arial"/>
                <w:sz w:val="20"/>
                <w:szCs w:val="20"/>
                <w:lang w:val="sr-Latn-RS"/>
              </w:rPr>
            </w:pPr>
            <w:r w:rsidRPr="0016590B">
              <w:rPr>
                <w:rFonts w:cs="Arial"/>
                <w:sz w:val="20"/>
                <w:szCs w:val="20"/>
                <w:lang w:val="sr-Latn-RS"/>
              </w:rPr>
              <w:t>100</w:t>
            </w:r>
          </w:p>
        </w:tc>
      </w:tr>
      <w:tr w:rsidR="0016590B" w:rsidRPr="0016590B" w14:paraId="24E53DB2" w14:textId="77777777" w:rsidTr="00982E69">
        <w:trPr>
          <w:cantSplit/>
        </w:trPr>
        <w:tc>
          <w:tcPr>
            <w:tcW w:w="1001" w:type="pct"/>
            <w:vMerge/>
            <w:tcBorders>
              <w:left w:val="nil"/>
              <w:right w:val="nil"/>
            </w:tcBorders>
            <w:shd w:val="clear" w:color="auto" w:fill="auto"/>
            <w:vAlign w:val="center"/>
          </w:tcPr>
          <w:p w14:paraId="211B75C2" w14:textId="77777777" w:rsidR="00F30F4A" w:rsidRPr="0016590B" w:rsidRDefault="00F30F4A" w:rsidP="0016590B">
            <w:pPr>
              <w:autoSpaceDE w:val="0"/>
              <w:autoSpaceDN w:val="0"/>
              <w:adjustRightInd w:val="0"/>
              <w:spacing w:before="0" w:after="0"/>
              <w:ind w:left="57" w:right="57"/>
              <w:jc w:val="left"/>
              <w:rPr>
                <w:rFonts w:cs="Arial"/>
                <w:sz w:val="20"/>
                <w:szCs w:val="20"/>
                <w:lang w:val="sr-Latn-RS"/>
              </w:rPr>
            </w:pPr>
          </w:p>
        </w:tc>
        <w:tc>
          <w:tcPr>
            <w:tcW w:w="1802" w:type="pct"/>
            <w:tcBorders>
              <w:left w:val="nil"/>
              <w:right w:val="nil"/>
            </w:tcBorders>
            <w:shd w:val="clear" w:color="auto" w:fill="auto"/>
            <w:vAlign w:val="center"/>
          </w:tcPr>
          <w:p w14:paraId="35815112" w14:textId="77777777" w:rsidR="00F30F4A" w:rsidRPr="0016590B" w:rsidRDefault="00F30F4A" w:rsidP="0016590B">
            <w:pPr>
              <w:autoSpaceDE w:val="0"/>
              <w:autoSpaceDN w:val="0"/>
              <w:adjustRightInd w:val="0"/>
              <w:spacing w:before="0" w:after="0"/>
              <w:ind w:left="57" w:right="57"/>
              <w:jc w:val="left"/>
              <w:rPr>
                <w:rFonts w:cs="Arial"/>
                <w:sz w:val="20"/>
                <w:szCs w:val="20"/>
                <w:lang w:val="sr-Latn-RS"/>
              </w:rPr>
            </w:pPr>
            <w:r w:rsidRPr="0016590B">
              <w:rPr>
                <w:rFonts w:cs="Arial"/>
                <w:sz w:val="20"/>
                <w:szCs w:val="20"/>
                <w:lang w:val="sr-Latn-RS"/>
              </w:rPr>
              <w:t>Minimum Cases in Child Node</w:t>
            </w:r>
          </w:p>
        </w:tc>
        <w:tc>
          <w:tcPr>
            <w:tcW w:w="2197" w:type="pct"/>
            <w:tcBorders>
              <w:left w:val="nil"/>
              <w:right w:val="nil"/>
            </w:tcBorders>
            <w:shd w:val="clear" w:color="auto" w:fill="auto"/>
          </w:tcPr>
          <w:p w14:paraId="3D0FDEDB" w14:textId="77777777" w:rsidR="00F30F4A" w:rsidRPr="0016590B" w:rsidRDefault="00F30F4A" w:rsidP="0016590B">
            <w:pPr>
              <w:autoSpaceDE w:val="0"/>
              <w:autoSpaceDN w:val="0"/>
              <w:adjustRightInd w:val="0"/>
              <w:spacing w:before="0" w:after="0"/>
              <w:ind w:left="57" w:right="57"/>
              <w:jc w:val="right"/>
              <w:rPr>
                <w:rFonts w:cs="Arial"/>
                <w:sz w:val="20"/>
                <w:szCs w:val="20"/>
                <w:lang w:val="sr-Latn-RS"/>
              </w:rPr>
            </w:pPr>
            <w:r w:rsidRPr="0016590B">
              <w:rPr>
                <w:rFonts w:cs="Arial"/>
                <w:sz w:val="20"/>
                <w:szCs w:val="20"/>
                <w:lang w:val="sr-Latn-RS"/>
              </w:rPr>
              <w:t>50</w:t>
            </w:r>
          </w:p>
        </w:tc>
      </w:tr>
      <w:tr w:rsidR="0016590B" w:rsidRPr="0016590B" w14:paraId="23CE8AED" w14:textId="77777777" w:rsidTr="00CA7ACD">
        <w:trPr>
          <w:cantSplit/>
        </w:trPr>
        <w:tc>
          <w:tcPr>
            <w:tcW w:w="1001" w:type="pct"/>
            <w:vMerge w:val="restart"/>
            <w:tcBorders>
              <w:left w:val="nil"/>
              <w:right w:val="nil"/>
            </w:tcBorders>
            <w:shd w:val="clear" w:color="auto" w:fill="auto"/>
            <w:vAlign w:val="center"/>
          </w:tcPr>
          <w:p w14:paraId="097C89BE" w14:textId="77777777" w:rsidR="00F30F4A" w:rsidRPr="0016590B" w:rsidRDefault="00F30F4A" w:rsidP="0016590B">
            <w:pPr>
              <w:autoSpaceDE w:val="0"/>
              <w:autoSpaceDN w:val="0"/>
              <w:adjustRightInd w:val="0"/>
              <w:spacing w:before="0" w:after="0"/>
              <w:ind w:left="57" w:right="57"/>
              <w:jc w:val="left"/>
              <w:rPr>
                <w:rFonts w:cs="Arial"/>
                <w:sz w:val="20"/>
                <w:szCs w:val="20"/>
                <w:lang w:val="sr-Latn-RS"/>
              </w:rPr>
            </w:pPr>
            <w:r w:rsidRPr="0016590B">
              <w:rPr>
                <w:rFonts w:cs="Arial"/>
                <w:sz w:val="20"/>
                <w:szCs w:val="20"/>
                <w:lang w:val="sr-Latn-RS"/>
              </w:rPr>
              <w:t>Results</w:t>
            </w:r>
          </w:p>
        </w:tc>
        <w:tc>
          <w:tcPr>
            <w:tcW w:w="1802" w:type="pct"/>
            <w:tcBorders>
              <w:left w:val="nil"/>
              <w:right w:val="nil"/>
            </w:tcBorders>
            <w:shd w:val="clear" w:color="auto" w:fill="auto"/>
            <w:vAlign w:val="center"/>
          </w:tcPr>
          <w:p w14:paraId="09BCFAB8" w14:textId="77777777" w:rsidR="00F30F4A" w:rsidRPr="0016590B" w:rsidRDefault="00F30F4A" w:rsidP="0016590B">
            <w:pPr>
              <w:autoSpaceDE w:val="0"/>
              <w:autoSpaceDN w:val="0"/>
              <w:adjustRightInd w:val="0"/>
              <w:spacing w:before="0" w:after="0"/>
              <w:ind w:left="57" w:right="57"/>
              <w:jc w:val="left"/>
              <w:rPr>
                <w:rFonts w:cs="Arial"/>
                <w:sz w:val="20"/>
                <w:szCs w:val="20"/>
                <w:lang w:val="sr-Latn-RS"/>
              </w:rPr>
            </w:pPr>
            <w:r w:rsidRPr="0016590B">
              <w:rPr>
                <w:rFonts w:cs="Arial"/>
                <w:sz w:val="20"/>
                <w:szCs w:val="20"/>
                <w:lang w:val="sr-Latn-RS"/>
              </w:rPr>
              <w:t>Independent Variables Included</w:t>
            </w:r>
          </w:p>
        </w:tc>
        <w:tc>
          <w:tcPr>
            <w:tcW w:w="2197" w:type="pct"/>
            <w:tcBorders>
              <w:left w:val="nil"/>
              <w:right w:val="nil"/>
            </w:tcBorders>
            <w:shd w:val="clear" w:color="auto" w:fill="auto"/>
          </w:tcPr>
          <w:p w14:paraId="31EB1D44" w14:textId="77777777" w:rsidR="00F30F4A" w:rsidRPr="0016590B" w:rsidRDefault="00F30F4A" w:rsidP="0016590B">
            <w:pPr>
              <w:autoSpaceDE w:val="0"/>
              <w:autoSpaceDN w:val="0"/>
              <w:adjustRightInd w:val="0"/>
              <w:spacing w:before="0" w:after="0"/>
              <w:ind w:left="57" w:right="57"/>
              <w:jc w:val="right"/>
              <w:rPr>
                <w:rFonts w:cs="Arial"/>
                <w:sz w:val="20"/>
                <w:szCs w:val="20"/>
                <w:lang w:val="sr-Latn-RS"/>
              </w:rPr>
            </w:pPr>
            <w:r w:rsidRPr="0016590B">
              <w:rPr>
                <w:rFonts w:cs="Arial"/>
                <w:sz w:val="20"/>
                <w:szCs w:val="20"/>
                <w:lang w:val="sr-Latn-RS"/>
              </w:rPr>
              <w:t>N_1Q_IS, N_Median_IS, N_min_IS, N_Kurt_IS, Load_kg_n, HS_idle_time, N_Stdev_IS, T4, T1</w:t>
            </w:r>
          </w:p>
        </w:tc>
      </w:tr>
      <w:tr w:rsidR="0016590B" w:rsidRPr="0016590B" w14:paraId="3DF6F0BF" w14:textId="77777777" w:rsidTr="00CA7ACD">
        <w:trPr>
          <w:cantSplit/>
        </w:trPr>
        <w:tc>
          <w:tcPr>
            <w:tcW w:w="1001" w:type="pct"/>
            <w:vMerge/>
            <w:tcBorders>
              <w:left w:val="nil"/>
              <w:right w:val="nil"/>
            </w:tcBorders>
            <w:shd w:val="clear" w:color="auto" w:fill="auto"/>
            <w:vAlign w:val="center"/>
          </w:tcPr>
          <w:p w14:paraId="45B47C0A" w14:textId="77777777" w:rsidR="00F30F4A" w:rsidRPr="0016590B" w:rsidRDefault="00F30F4A" w:rsidP="0016590B">
            <w:pPr>
              <w:autoSpaceDE w:val="0"/>
              <w:autoSpaceDN w:val="0"/>
              <w:adjustRightInd w:val="0"/>
              <w:spacing w:before="0" w:after="0"/>
              <w:ind w:left="57" w:right="57"/>
              <w:jc w:val="left"/>
              <w:rPr>
                <w:rFonts w:cs="Arial"/>
                <w:sz w:val="20"/>
                <w:szCs w:val="20"/>
                <w:lang w:val="sr-Latn-RS"/>
              </w:rPr>
            </w:pPr>
          </w:p>
        </w:tc>
        <w:tc>
          <w:tcPr>
            <w:tcW w:w="1802" w:type="pct"/>
            <w:tcBorders>
              <w:left w:val="nil"/>
              <w:right w:val="nil"/>
            </w:tcBorders>
            <w:shd w:val="clear" w:color="auto" w:fill="auto"/>
            <w:vAlign w:val="center"/>
          </w:tcPr>
          <w:p w14:paraId="38077296" w14:textId="77777777" w:rsidR="00F30F4A" w:rsidRPr="0016590B" w:rsidRDefault="00F30F4A" w:rsidP="0016590B">
            <w:pPr>
              <w:autoSpaceDE w:val="0"/>
              <w:autoSpaceDN w:val="0"/>
              <w:adjustRightInd w:val="0"/>
              <w:spacing w:before="0" w:after="0"/>
              <w:ind w:left="57" w:right="57"/>
              <w:jc w:val="left"/>
              <w:rPr>
                <w:rFonts w:cs="Arial"/>
                <w:sz w:val="20"/>
                <w:szCs w:val="20"/>
                <w:lang w:val="sr-Latn-RS"/>
              </w:rPr>
            </w:pPr>
            <w:r w:rsidRPr="0016590B">
              <w:rPr>
                <w:rFonts w:cs="Arial"/>
                <w:sz w:val="20"/>
                <w:szCs w:val="20"/>
                <w:lang w:val="sr-Latn-RS"/>
              </w:rPr>
              <w:t>Number of Nodes</w:t>
            </w:r>
          </w:p>
        </w:tc>
        <w:tc>
          <w:tcPr>
            <w:tcW w:w="2197" w:type="pct"/>
            <w:tcBorders>
              <w:left w:val="nil"/>
              <w:right w:val="nil"/>
            </w:tcBorders>
            <w:shd w:val="clear" w:color="auto" w:fill="auto"/>
          </w:tcPr>
          <w:p w14:paraId="10C3AE00" w14:textId="77777777" w:rsidR="00F30F4A" w:rsidRPr="0016590B" w:rsidRDefault="00F30F4A" w:rsidP="0016590B">
            <w:pPr>
              <w:autoSpaceDE w:val="0"/>
              <w:autoSpaceDN w:val="0"/>
              <w:adjustRightInd w:val="0"/>
              <w:spacing w:before="0" w:after="0"/>
              <w:ind w:left="57" w:right="57"/>
              <w:jc w:val="right"/>
              <w:rPr>
                <w:rFonts w:cs="Arial"/>
                <w:sz w:val="20"/>
                <w:szCs w:val="20"/>
                <w:lang w:val="sr-Latn-RS"/>
              </w:rPr>
            </w:pPr>
            <w:r w:rsidRPr="0016590B">
              <w:rPr>
                <w:rFonts w:cs="Arial"/>
                <w:sz w:val="20"/>
                <w:szCs w:val="20"/>
                <w:lang w:val="sr-Latn-RS"/>
              </w:rPr>
              <w:t>3</w:t>
            </w:r>
          </w:p>
        </w:tc>
      </w:tr>
      <w:tr w:rsidR="0016590B" w:rsidRPr="0016590B" w14:paraId="6E0A9C17" w14:textId="77777777" w:rsidTr="00CA7ACD">
        <w:trPr>
          <w:cantSplit/>
        </w:trPr>
        <w:tc>
          <w:tcPr>
            <w:tcW w:w="1001" w:type="pct"/>
            <w:vMerge/>
            <w:tcBorders>
              <w:left w:val="nil"/>
              <w:right w:val="nil"/>
            </w:tcBorders>
            <w:shd w:val="clear" w:color="auto" w:fill="auto"/>
            <w:vAlign w:val="center"/>
          </w:tcPr>
          <w:p w14:paraId="457E9273" w14:textId="77777777" w:rsidR="00F30F4A" w:rsidRPr="0016590B" w:rsidRDefault="00F30F4A" w:rsidP="0016590B">
            <w:pPr>
              <w:autoSpaceDE w:val="0"/>
              <w:autoSpaceDN w:val="0"/>
              <w:adjustRightInd w:val="0"/>
              <w:spacing w:before="0" w:after="0"/>
              <w:ind w:left="57" w:right="57"/>
              <w:jc w:val="left"/>
              <w:rPr>
                <w:rFonts w:cs="Arial"/>
                <w:sz w:val="20"/>
                <w:szCs w:val="20"/>
                <w:lang w:val="sr-Latn-RS"/>
              </w:rPr>
            </w:pPr>
          </w:p>
        </w:tc>
        <w:tc>
          <w:tcPr>
            <w:tcW w:w="1802" w:type="pct"/>
            <w:tcBorders>
              <w:left w:val="nil"/>
              <w:right w:val="nil"/>
            </w:tcBorders>
            <w:shd w:val="clear" w:color="auto" w:fill="auto"/>
            <w:vAlign w:val="center"/>
          </w:tcPr>
          <w:p w14:paraId="23C50F0F" w14:textId="77777777" w:rsidR="00F30F4A" w:rsidRPr="0016590B" w:rsidRDefault="00F30F4A" w:rsidP="0016590B">
            <w:pPr>
              <w:autoSpaceDE w:val="0"/>
              <w:autoSpaceDN w:val="0"/>
              <w:adjustRightInd w:val="0"/>
              <w:spacing w:before="0" w:after="0"/>
              <w:ind w:left="57" w:right="57"/>
              <w:jc w:val="left"/>
              <w:rPr>
                <w:rFonts w:cs="Arial"/>
                <w:sz w:val="20"/>
                <w:szCs w:val="20"/>
                <w:lang w:val="sr-Latn-RS"/>
              </w:rPr>
            </w:pPr>
            <w:r w:rsidRPr="0016590B">
              <w:rPr>
                <w:rFonts w:cs="Arial"/>
                <w:sz w:val="20"/>
                <w:szCs w:val="20"/>
                <w:lang w:val="sr-Latn-RS"/>
              </w:rPr>
              <w:t>Number of Terminal Nodes</w:t>
            </w:r>
          </w:p>
        </w:tc>
        <w:tc>
          <w:tcPr>
            <w:tcW w:w="2197" w:type="pct"/>
            <w:tcBorders>
              <w:left w:val="nil"/>
              <w:right w:val="nil"/>
            </w:tcBorders>
            <w:shd w:val="clear" w:color="auto" w:fill="auto"/>
          </w:tcPr>
          <w:p w14:paraId="59DF7EA6" w14:textId="77777777" w:rsidR="00F30F4A" w:rsidRPr="0016590B" w:rsidRDefault="00F30F4A" w:rsidP="0016590B">
            <w:pPr>
              <w:autoSpaceDE w:val="0"/>
              <w:autoSpaceDN w:val="0"/>
              <w:adjustRightInd w:val="0"/>
              <w:spacing w:before="0" w:after="0"/>
              <w:ind w:left="57" w:right="57"/>
              <w:jc w:val="right"/>
              <w:rPr>
                <w:rFonts w:cs="Arial"/>
                <w:sz w:val="20"/>
                <w:szCs w:val="20"/>
                <w:lang w:val="sr-Latn-RS"/>
              </w:rPr>
            </w:pPr>
            <w:r w:rsidRPr="0016590B">
              <w:rPr>
                <w:rFonts w:cs="Arial"/>
                <w:sz w:val="20"/>
                <w:szCs w:val="20"/>
                <w:lang w:val="sr-Latn-RS"/>
              </w:rPr>
              <w:t>2</w:t>
            </w:r>
          </w:p>
        </w:tc>
      </w:tr>
      <w:tr w:rsidR="0016590B" w:rsidRPr="0016590B" w14:paraId="56360694" w14:textId="77777777" w:rsidTr="00982E69">
        <w:trPr>
          <w:cantSplit/>
        </w:trPr>
        <w:tc>
          <w:tcPr>
            <w:tcW w:w="1001" w:type="pct"/>
            <w:vMerge/>
            <w:tcBorders>
              <w:left w:val="nil"/>
              <w:bottom w:val="single" w:sz="4" w:space="0" w:color="auto"/>
              <w:right w:val="nil"/>
            </w:tcBorders>
            <w:shd w:val="clear" w:color="auto" w:fill="auto"/>
            <w:vAlign w:val="center"/>
          </w:tcPr>
          <w:p w14:paraId="28130CE0" w14:textId="77777777" w:rsidR="00F30F4A" w:rsidRPr="0016590B" w:rsidRDefault="00F30F4A" w:rsidP="0016590B">
            <w:pPr>
              <w:autoSpaceDE w:val="0"/>
              <w:autoSpaceDN w:val="0"/>
              <w:adjustRightInd w:val="0"/>
              <w:spacing w:before="0" w:after="0"/>
              <w:ind w:left="57" w:right="57"/>
              <w:jc w:val="left"/>
              <w:rPr>
                <w:rFonts w:cs="Arial"/>
                <w:sz w:val="20"/>
                <w:szCs w:val="20"/>
                <w:lang w:val="sr-Latn-RS"/>
              </w:rPr>
            </w:pPr>
          </w:p>
        </w:tc>
        <w:tc>
          <w:tcPr>
            <w:tcW w:w="1802" w:type="pct"/>
            <w:tcBorders>
              <w:left w:val="nil"/>
              <w:bottom w:val="single" w:sz="4" w:space="0" w:color="auto"/>
              <w:right w:val="nil"/>
            </w:tcBorders>
            <w:shd w:val="clear" w:color="auto" w:fill="auto"/>
            <w:vAlign w:val="center"/>
          </w:tcPr>
          <w:p w14:paraId="7DE1C437" w14:textId="77777777" w:rsidR="00F30F4A" w:rsidRPr="0016590B" w:rsidRDefault="00F30F4A" w:rsidP="0016590B">
            <w:pPr>
              <w:autoSpaceDE w:val="0"/>
              <w:autoSpaceDN w:val="0"/>
              <w:adjustRightInd w:val="0"/>
              <w:spacing w:before="0" w:after="0"/>
              <w:ind w:left="57" w:right="57"/>
              <w:jc w:val="left"/>
              <w:rPr>
                <w:rFonts w:cs="Arial"/>
                <w:sz w:val="20"/>
                <w:szCs w:val="20"/>
                <w:lang w:val="sr-Latn-RS"/>
              </w:rPr>
            </w:pPr>
            <w:r w:rsidRPr="0016590B">
              <w:rPr>
                <w:rFonts w:cs="Arial"/>
                <w:sz w:val="20"/>
                <w:szCs w:val="20"/>
                <w:lang w:val="sr-Latn-RS"/>
              </w:rPr>
              <w:t>Depth</w:t>
            </w:r>
          </w:p>
        </w:tc>
        <w:tc>
          <w:tcPr>
            <w:tcW w:w="2197" w:type="pct"/>
            <w:tcBorders>
              <w:left w:val="nil"/>
              <w:bottom w:val="single" w:sz="4" w:space="0" w:color="auto"/>
              <w:right w:val="nil"/>
            </w:tcBorders>
            <w:shd w:val="clear" w:color="auto" w:fill="auto"/>
          </w:tcPr>
          <w:p w14:paraId="59315FD3" w14:textId="77777777" w:rsidR="00F30F4A" w:rsidRPr="0016590B" w:rsidRDefault="00F30F4A" w:rsidP="0016590B">
            <w:pPr>
              <w:autoSpaceDE w:val="0"/>
              <w:autoSpaceDN w:val="0"/>
              <w:adjustRightInd w:val="0"/>
              <w:spacing w:before="0" w:after="0"/>
              <w:ind w:left="57" w:right="57"/>
              <w:jc w:val="right"/>
              <w:rPr>
                <w:rFonts w:cs="Arial"/>
                <w:sz w:val="20"/>
                <w:szCs w:val="20"/>
                <w:lang w:val="sr-Latn-RS"/>
              </w:rPr>
            </w:pPr>
            <w:r w:rsidRPr="0016590B">
              <w:rPr>
                <w:rFonts w:cs="Arial"/>
                <w:sz w:val="20"/>
                <w:szCs w:val="20"/>
                <w:lang w:val="sr-Latn-RS"/>
              </w:rPr>
              <w:t>1</w:t>
            </w:r>
          </w:p>
        </w:tc>
      </w:tr>
    </w:tbl>
    <w:p w14:paraId="219D3F97" w14:textId="11585BB4" w:rsidR="00F42FA5" w:rsidRDefault="005F05AA" w:rsidP="00F30F4A">
      <w:pPr>
        <w:rPr>
          <w:lang w:val="sr-Latn-RS"/>
        </w:rPr>
      </w:pPr>
      <w:r>
        <w:rPr>
          <w:lang w:val="sr-Latn-RS"/>
        </w:rPr>
        <w:t xml:space="preserve">Observing the dependent predictors (variables) that are included </w:t>
      </w:r>
      <w:r w:rsidR="004909B8">
        <w:rPr>
          <w:lang w:val="sr-Latn-RS"/>
        </w:rPr>
        <w:t>in</w:t>
      </w:r>
      <w:r>
        <w:rPr>
          <w:lang w:val="sr-Latn-RS"/>
        </w:rPr>
        <w:t xml:space="preserve"> making </w:t>
      </w:r>
      <w:r w:rsidR="004909B8">
        <w:rPr>
          <w:lang w:val="sr-Latn-RS"/>
        </w:rPr>
        <w:t xml:space="preserve">the </w:t>
      </w:r>
      <w:r>
        <w:rPr>
          <w:lang w:val="sr-Latn-RS"/>
        </w:rPr>
        <w:t>classification model (</w:t>
      </w:r>
      <w:r>
        <w:rPr>
          <w:lang w:val="sr-Latn-RS"/>
        </w:rPr>
        <w:fldChar w:fldCharType="begin"/>
      </w:r>
      <w:r>
        <w:rPr>
          <w:lang w:val="sr-Latn-RS"/>
        </w:rPr>
        <w:instrText xml:space="preserve"> REF _Ref99280209 \h </w:instrText>
      </w:r>
      <w:r>
        <w:rPr>
          <w:lang w:val="sr-Latn-RS"/>
        </w:rPr>
      </w:r>
      <w:r>
        <w:rPr>
          <w:lang w:val="sr-Latn-RS"/>
        </w:rPr>
        <w:fldChar w:fldCharType="separate"/>
      </w:r>
      <w:r w:rsidR="00587AF0">
        <w:t xml:space="preserve">Table </w:t>
      </w:r>
      <w:r w:rsidR="00587AF0">
        <w:rPr>
          <w:noProof/>
        </w:rPr>
        <w:t>54</w:t>
      </w:r>
      <w:r>
        <w:rPr>
          <w:lang w:val="sr-Latn-RS"/>
        </w:rPr>
        <w:fldChar w:fldCharType="end"/>
      </w:r>
      <w:r>
        <w:rPr>
          <w:lang w:val="sr-Latn-RS"/>
        </w:rPr>
        <w:t>) shows that the most important predictor of degradation is N_1Q_IS, followed by N_Min_IS</w:t>
      </w:r>
      <w:r w:rsidR="004909B8">
        <w:rPr>
          <w:lang w:val="sr-Latn-RS"/>
        </w:rPr>
        <w:t>,</w:t>
      </w:r>
      <w:r>
        <w:rPr>
          <w:lang w:val="sr-Latn-RS"/>
        </w:rPr>
        <w:t xml:space="preserve"> N_Kurt_IS and N_Median_IS</w:t>
      </w:r>
      <w:r w:rsidR="00C63BB5">
        <w:rPr>
          <w:lang w:val="sr-Latn-RS"/>
        </w:rPr>
        <w:t xml:space="preserve"> (</w:t>
      </w:r>
      <w:r w:rsidR="00C63BB5">
        <w:rPr>
          <w:lang w:val="sr-Latn-RS"/>
        </w:rPr>
        <w:fldChar w:fldCharType="begin"/>
      </w:r>
      <w:r w:rsidR="00C63BB5">
        <w:rPr>
          <w:lang w:val="sr-Latn-RS"/>
        </w:rPr>
        <w:instrText xml:space="preserve"> REF _Ref99280402 \h </w:instrText>
      </w:r>
      <w:r w:rsidR="00C63BB5">
        <w:rPr>
          <w:lang w:val="sr-Latn-RS"/>
        </w:rPr>
      </w:r>
      <w:r w:rsidR="00C63BB5">
        <w:rPr>
          <w:lang w:val="sr-Latn-RS"/>
        </w:rPr>
        <w:fldChar w:fldCharType="separate"/>
      </w:r>
      <w:r w:rsidR="00587AF0">
        <w:t xml:space="preserve">Table </w:t>
      </w:r>
      <w:r w:rsidR="00587AF0">
        <w:rPr>
          <w:noProof/>
        </w:rPr>
        <w:t>55</w:t>
      </w:r>
      <w:r w:rsidR="00C63BB5">
        <w:rPr>
          <w:lang w:val="sr-Latn-RS"/>
        </w:rPr>
        <w:fldChar w:fldCharType="end"/>
      </w:r>
      <w:r w:rsidR="00C63BB5">
        <w:rPr>
          <w:lang w:val="sr-Latn-RS"/>
        </w:rPr>
        <w:t>)</w:t>
      </w:r>
      <w:r>
        <w:rPr>
          <w:lang w:val="sr-Latn-RS"/>
        </w:rPr>
        <w:t>.</w:t>
      </w:r>
      <w:r w:rsidR="00F42FA5">
        <w:rPr>
          <w:lang w:val="sr-Latn-RS"/>
        </w:rPr>
        <w:t xml:space="preserve"> The model uses N_1Q_IS at </w:t>
      </w:r>
      <w:r w:rsidR="004909B8">
        <w:rPr>
          <w:lang w:val="sr-Latn-RS"/>
        </w:rPr>
        <w:t xml:space="preserve">the </w:t>
      </w:r>
      <w:r w:rsidR="00F42FA5">
        <w:rPr>
          <w:lang w:val="sr-Latn-RS"/>
        </w:rPr>
        <w:t>idle position for detecting anomalies as boundary (standardised value)</w:t>
      </w:r>
      <w:r w:rsidR="00CD0E29">
        <w:rPr>
          <w:lang w:val="sr-Latn-RS"/>
        </w:rPr>
        <w:t xml:space="preserve"> between (-0.3805] and </w:t>
      </w:r>
      <w:r w:rsidR="00460857">
        <w:rPr>
          <w:lang w:val="sr-Latn-RS"/>
        </w:rPr>
        <w:t>[</w:t>
      </w:r>
      <w:r w:rsidR="00CD0E29">
        <w:rPr>
          <w:lang w:val="sr-Latn-RS"/>
        </w:rPr>
        <w:t>-0.3805)</w:t>
      </w:r>
      <w:r w:rsidR="004909B8">
        <w:rPr>
          <w:lang w:val="sr-Latn-RS"/>
        </w:rPr>
        <w:t>,</w:t>
      </w:r>
      <w:r w:rsidR="00CD0E29">
        <w:rPr>
          <w:lang w:val="sr-Latn-RS"/>
        </w:rPr>
        <w:t xml:space="preserve"> in which prediction properties show around 94.4% accuracy for both labels (</w:t>
      </w:r>
      <w:r w:rsidR="00CD0E29">
        <w:rPr>
          <w:lang w:val="sr-Latn-RS"/>
        </w:rPr>
        <w:fldChar w:fldCharType="begin"/>
      </w:r>
      <w:r w:rsidR="00CD0E29">
        <w:rPr>
          <w:lang w:val="sr-Latn-RS"/>
        </w:rPr>
        <w:instrText xml:space="preserve"> REF _Ref99273926 \h </w:instrText>
      </w:r>
      <w:r w:rsidR="00CD0E29">
        <w:rPr>
          <w:lang w:val="sr-Latn-RS"/>
        </w:rPr>
      </w:r>
      <w:r w:rsidR="00CD0E29">
        <w:rPr>
          <w:lang w:val="sr-Latn-RS"/>
        </w:rPr>
        <w:fldChar w:fldCharType="separate"/>
      </w:r>
      <w:r w:rsidR="00587AF0">
        <w:t xml:space="preserve">Table </w:t>
      </w:r>
      <w:r w:rsidR="00587AF0">
        <w:rPr>
          <w:noProof/>
        </w:rPr>
        <w:t>56</w:t>
      </w:r>
      <w:r w:rsidR="00CD0E29">
        <w:rPr>
          <w:lang w:val="sr-Latn-RS"/>
        </w:rPr>
        <w:fldChar w:fldCharType="end"/>
      </w:r>
      <w:r w:rsidR="00CD0E29">
        <w:rPr>
          <w:lang w:val="sr-Latn-RS"/>
        </w:rPr>
        <w:t>).</w:t>
      </w:r>
    </w:p>
    <w:p w14:paraId="6E9D56EC" w14:textId="7EF95F19" w:rsidR="0025078F" w:rsidRPr="0046319F" w:rsidRDefault="0025078F" w:rsidP="0025078F">
      <w:pPr>
        <w:pStyle w:val="Caption"/>
        <w:jc w:val="both"/>
        <w:rPr>
          <w:lang w:val="sr-Latn-RS"/>
        </w:rPr>
      </w:pPr>
      <w:bookmarkStart w:id="641" w:name="_Ref99280209"/>
      <w:bookmarkStart w:id="642" w:name="_Toc101274494"/>
      <w:r>
        <w:t xml:space="preserve">Table </w:t>
      </w:r>
      <w:fldSimple w:instr=" SEQ Table \* ARABIC ">
        <w:r w:rsidR="00587AF0">
          <w:rPr>
            <w:noProof/>
          </w:rPr>
          <w:t>54</w:t>
        </w:r>
      </w:fldSimple>
      <w:bookmarkEnd w:id="641"/>
      <w:r>
        <w:t xml:space="preserve">. </w:t>
      </w:r>
      <w:r w:rsidRPr="00840C8A">
        <w:t xml:space="preserve">Independent variable importance at </w:t>
      </w:r>
      <w:r>
        <w:t xml:space="preserve">idle </w:t>
      </w:r>
      <w:r w:rsidRPr="00840C8A">
        <w:t>saddle position for CART tree</w:t>
      </w:r>
      <w:bookmarkEnd w:id="642"/>
    </w:p>
    <w:tbl>
      <w:tblPr>
        <w:tblW w:w="5000" w:type="pct"/>
        <w:tblCellMar>
          <w:left w:w="0" w:type="dxa"/>
          <w:right w:w="0" w:type="dxa"/>
        </w:tblCellMar>
        <w:tblLook w:val="0000" w:firstRow="0" w:lastRow="0" w:firstColumn="0" w:lastColumn="0" w:noHBand="0" w:noVBand="0"/>
      </w:tblPr>
      <w:tblGrid>
        <w:gridCol w:w="3878"/>
        <w:gridCol w:w="2250"/>
        <w:gridCol w:w="2899"/>
      </w:tblGrid>
      <w:tr w:rsidR="0025078F" w:rsidRPr="00840C8A" w14:paraId="2D478531" w14:textId="77777777" w:rsidTr="00DC3687">
        <w:trPr>
          <w:cantSplit/>
        </w:trPr>
        <w:tc>
          <w:tcPr>
            <w:tcW w:w="2148" w:type="pct"/>
            <w:tcBorders>
              <w:top w:val="single" w:sz="4" w:space="0" w:color="auto"/>
              <w:bottom w:val="single" w:sz="4" w:space="0" w:color="auto"/>
            </w:tcBorders>
            <w:shd w:val="clear" w:color="auto" w:fill="auto"/>
            <w:vAlign w:val="center"/>
          </w:tcPr>
          <w:p w14:paraId="251C99C4" w14:textId="77777777" w:rsidR="0025078F" w:rsidRPr="00840C8A" w:rsidRDefault="0025078F" w:rsidP="00DC3687">
            <w:pPr>
              <w:autoSpaceDE w:val="0"/>
              <w:autoSpaceDN w:val="0"/>
              <w:adjustRightInd w:val="0"/>
              <w:spacing w:before="0" w:after="0"/>
              <w:ind w:left="62" w:right="57"/>
              <w:jc w:val="left"/>
              <w:rPr>
                <w:rFonts w:cs="Arial"/>
                <w:b/>
                <w:bCs/>
                <w:sz w:val="20"/>
                <w:szCs w:val="20"/>
                <w:lang w:val="sr-Latn-RS"/>
              </w:rPr>
            </w:pPr>
            <w:r w:rsidRPr="00840C8A">
              <w:rPr>
                <w:rFonts w:cs="Arial"/>
                <w:b/>
                <w:bCs/>
                <w:sz w:val="20"/>
                <w:szCs w:val="20"/>
                <w:lang w:val="sr-Latn-RS"/>
              </w:rPr>
              <w:t>Independent Variable</w:t>
            </w:r>
          </w:p>
        </w:tc>
        <w:tc>
          <w:tcPr>
            <w:tcW w:w="1246" w:type="pct"/>
            <w:tcBorders>
              <w:top w:val="single" w:sz="4" w:space="0" w:color="auto"/>
              <w:bottom w:val="single" w:sz="4" w:space="0" w:color="auto"/>
            </w:tcBorders>
            <w:shd w:val="clear" w:color="auto" w:fill="auto"/>
            <w:vAlign w:val="center"/>
          </w:tcPr>
          <w:p w14:paraId="5543BBC2" w14:textId="77777777" w:rsidR="0025078F" w:rsidRPr="00840C8A" w:rsidRDefault="0025078F" w:rsidP="00DC3687">
            <w:pPr>
              <w:autoSpaceDE w:val="0"/>
              <w:autoSpaceDN w:val="0"/>
              <w:adjustRightInd w:val="0"/>
              <w:spacing w:before="0" w:after="0"/>
              <w:ind w:left="62" w:right="57"/>
              <w:jc w:val="center"/>
              <w:rPr>
                <w:rFonts w:cs="Arial"/>
                <w:b/>
                <w:bCs/>
                <w:sz w:val="20"/>
                <w:szCs w:val="20"/>
                <w:lang w:val="sr-Latn-RS"/>
              </w:rPr>
            </w:pPr>
            <w:r w:rsidRPr="00840C8A">
              <w:rPr>
                <w:rFonts w:cs="Arial"/>
                <w:b/>
                <w:bCs/>
                <w:sz w:val="20"/>
                <w:szCs w:val="20"/>
                <w:lang w:val="sr-Latn-RS"/>
              </w:rPr>
              <w:t>Importance</w:t>
            </w:r>
          </w:p>
        </w:tc>
        <w:tc>
          <w:tcPr>
            <w:tcW w:w="1606" w:type="pct"/>
            <w:tcBorders>
              <w:top w:val="single" w:sz="4" w:space="0" w:color="auto"/>
              <w:bottom w:val="single" w:sz="4" w:space="0" w:color="auto"/>
            </w:tcBorders>
            <w:shd w:val="clear" w:color="auto" w:fill="auto"/>
            <w:vAlign w:val="center"/>
          </w:tcPr>
          <w:p w14:paraId="2286ED3A" w14:textId="77777777" w:rsidR="0025078F" w:rsidRPr="00840C8A" w:rsidRDefault="0025078F" w:rsidP="00DC3687">
            <w:pPr>
              <w:autoSpaceDE w:val="0"/>
              <w:autoSpaceDN w:val="0"/>
              <w:adjustRightInd w:val="0"/>
              <w:spacing w:before="0" w:after="0"/>
              <w:ind w:left="62" w:right="57"/>
              <w:jc w:val="center"/>
              <w:rPr>
                <w:rFonts w:cs="Arial"/>
                <w:b/>
                <w:bCs/>
                <w:sz w:val="20"/>
                <w:szCs w:val="20"/>
                <w:lang w:val="sr-Latn-RS"/>
              </w:rPr>
            </w:pPr>
            <w:r w:rsidRPr="00840C8A">
              <w:rPr>
                <w:rFonts w:cs="Arial"/>
                <w:b/>
                <w:bCs/>
                <w:sz w:val="20"/>
                <w:szCs w:val="20"/>
                <w:lang w:val="sr-Latn-RS"/>
              </w:rPr>
              <w:t>Normalized Importance</w:t>
            </w:r>
          </w:p>
        </w:tc>
      </w:tr>
      <w:tr w:rsidR="0025078F" w:rsidRPr="00840C8A" w14:paraId="16CAF1A3" w14:textId="77777777" w:rsidTr="00DC3687">
        <w:trPr>
          <w:cantSplit/>
        </w:trPr>
        <w:tc>
          <w:tcPr>
            <w:tcW w:w="2148" w:type="pct"/>
            <w:tcBorders>
              <w:top w:val="single" w:sz="4" w:space="0" w:color="auto"/>
            </w:tcBorders>
            <w:shd w:val="clear" w:color="auto" w:fill="auto"/>
            <w:vAlign w:val="center"/>
          </w:tcPr>
          <w:p w14:paraId="2BCD6857" w14:textId="393B3DD8" w:rsidR="0025078F" w:rsidRPr="00840C8A" w:rsidRDefault="0025078F" w:rsidP="00DC3687">
            <w:pPr>
              <w:autoSpaceDE w:val="0"/>
              <w:autoSpaceDN w:val="0"/>
              <w:adjustRightInd w:val="0"/>
              <w:spacing w:before="0" w:after="0"/>
              <w:ind w:left="62" w:right="57"/>
              <w:jc w:val="left"/>
              <w:rPr>
                <w:rFonts w:cs="Arial"/>
                <w:sz w:val="20"/>
                <w:szCs w:val="20"/>
                <w:lang w:val="sr-Latn-RS"/>
              </w:rPr>
            </w:pPr>
            <w:r w:rsidRPr="00840C8A">
              <w:rPr>
                <w:rFonts w:cs="Arial"/>
                <w:sz w:val="20"/>
                <w:szCs w:val="20"/>
                <w:lang w:val="sr-Latn-RS"/>
              </w:rPr>
              <w:t>N_1Q_IS</w:t>
            </w:r>
          </w:p>
        </w:tc>
        <w:tc>
          <w:tcPr>
            <w:tcW w:w="1246" w:type="pct"/>
            <w:tcBorders>
              <w:top w:val="single" w:sz="4" w:space="0" w:color="auto"/>
            </w:tcBorders>
            <w:shd w:val="clear" w:color="auto" w:fill="auto"/>
            <w:vAlign w:val="center"/>
          </w:tcPr>
          <w:p w14:paraId="0228ACA6" w14:textId="77777777" w:rsidR="0025078F" w:rsidRPr="00840C8A" w:rsidRDefault="0025078F" w:rsidP="00DC3687">
            <w:pPr>
              <w:autoSpaceDE w:val="0"/>
              <w:autoSpaceDN w:val="0"/>
              <w:adjustRightInd w:val="0"/>
              <w:spacing w:before="0" w:after="0"/>
              <w:ind w:left="62" w:right="57"/>
              <w:jc w:val="right"/>
              <w:rPr>
                <w:rFonts w:cs="Arial"/>
                <w:sz w:val="20"/>
                <w:szCs w:val="20"/>
                <w:lang w:val="sr-Latn-RS"/>
              </w:rPr>
            </w:pPr>
            <w:r>
              <w:rPr>
                <w:rFonts w:cs="Arial"/>
                <w:sz w:val="20"/>
                <w:szCs w:val="20"/>
                <w:lang w:val="sr-Latn-RS"/>
              </w:rPr>
              <w:t>0.</w:t>
            </w:r>
            <w:r w:rsidRPr="00840C8A">
              <w:rPr>
                <w:rFonts w:cs="Arial"/>
                <w:sz w:val="20"/>
                <w:szCs w:val="20"/>
                <w:lang w:val="sr-Latn-RS"/>
              </w:rPr>
              <w:t>328</w:t>
            </w:r>
          </w:p>
        </w:tc>
        <w:tc>
          <w:tcPr>
            <w:tcW w:w="1606" w:type="pct"/>
            <w:tcBorders>
              <w:top w:val="single" w:sz="4" w:space="0" w:color="auto"/>
            </w:tcBorders>
            <w:shd w:val="clear" w:color="auto" w:fill="auto"/>
            <w:vAlign w:val="center"/>
          </w:tcPr>
          <w:p w14:paraId="6D740404" w14:textId="77777777" w:rsidR="0025078F" w:rsidRPr="00840C8A" w:rsidRDefault="0025078F" w:rsidP="00DC3687">
            <w:pPr>
              <w:autoSpaceDE w:val="0"/>
              <w:autoSpaceDN w:val="0"/>
              <w:adjustRightInd w:val="0"/>
              <w:spacing w:before="0" w:after="0"/>
              <w:ind w:left="62" w:right="57"/>
              <w:jc w:val="right"/>
              <w:rPr>
                <w:rFonts w:cs="Arial"/>
                <w:sz w:val="20"/>
                <w:szCs w:val="20"/>
                <w:lang w:val="sr-Latn-RS"/>
              </w:rPr>
            </w:pPr>
            <w:r w:rsidRPr="00840C8A">
              <w:rPr>
                <w:rFonts w:cs="Arial"/>
                <w:sz w:val="20"/>
                <w:szCs w:val="20"/>
                <w:lang w:val="sr-Latn-RS"/>
              </w:rPr>
              <w:t>100</w:t>
            </w:r>
            <w:r>
              <w:rPr>
                <w:rFonts w:cs="Arial"/>
                <w:sz w:val="20"/>
                <w:szCs w:val="20"/>
                <w:lang w:val="sr-Latn-RS"/>
              </w:rPr>
              <w:t>.</w:t>
            </w:r>
            <w:r w:rsidRPr="00840C8A">
              <w:rPr>
                <w:rFonts w:cs="Arial"/>
                <w:sz w:val="20"/>
                <w:szCs w:val="20"/>
                <w:lang w:val="sr-Latn-RS"/>
              </w:rPr>
              <w:t>0%</w:t>
            </w:r>
          </w:p>
        </w:tc>
      </w:tr>
      <w:tr w:rsidR="0025078F" w:rsidRPr="00840C8A" w14:paraId="7D22AE17" w14:textId="77777777" w:rsidTr="00DC3687">
        <w:trPr>
          <w:cantSplit/>
        </w:trPr>
        <w:tc>
          <w:tcPr>
            <w:tcW w:w="2148" w:type="pct"/>
            <w:shd w:val="clear" w:color="auto" w:fill="auto"/>
            <w:vAlign w:val="center"/>
          </w:tcPr>
          <w:p w14:paraId="02A4BF14" w14:textId="7CB0EAF3" w:rsidR="0025078F" w:rsidRPr="00840C8A" w:rsidRDefault="0025078F" w:rsidP="00DC3687">
            <w:pPr>
              <w:autoSpaceDE w:val="0"/>
              <w:autoSpaceDN w:val="0"/>
              <w:adjustRightInd w:val="0"/>
              <w:spacing w:before="0" w:after="0"/>
              <w:ind w:left="62" w:right="57"/>
              <w:jc w:val="left"/>
              <w:rPr>
                <w:rFonts w:cs="Arial"/>
                <w:sz w:val="20"/>
                <w:szCs w:val="20"/>
                <w:lang w:val="sr-Latn-RS"/>
              </w:rPr>
            </w:pPr>
            <w:r w:rsidRPr="00840C8A">
              <w:rPr>
                <w:rFonts w:cs="Arial"/>
                <w:sz w:val="20"/>
                <w:szCs w:val="20"/>
                <w:lang w:val="sr-Latn-RS"/>
              </w:rPr>
              <w:t>N_min_IS</w:t>
            </w:r>
          </w:p>
        </w:tc>
        <w:tc>
          <w:tcPr>
            <w:tcW w:w="1246" w:type="pct"/>
            <w:shd w:val="clear" w:color="auto" w:fill="auto"/>
            <w:vAlign w:val="center"/>
          </w:tcPr>
          <w:p w14:paraId="054312F9" w14:textId="77777777" w:rsidR="0025078F" w:rsidRPr="00840C8A" w:rsidRDefault="0025078F" w:rsidP="00DC3687">
            <w:pPr>
              <w:autoSpaceDE w:val="0"/>
              <w:autoSpaceDN w:val="0"/>
              <w:adjustRightInd w:val="0"/>
              <w:spacing w:before="0" w:after="0"/>
              <w:ind w:left="62" w:right="57"/>
              <w:jc w:val="right"/>
              <w:rPr>
                <w:rFonts w:cs="Arial"/>
                <w:sz w:val="20"/>
                <w:szCs w:val="20"/>
                <w:lang w:val="sr-Latn-RS"/>
              </w:rPr>
            </w:pPr>
            <w:r>
              <w:rPr>
                <w:rFonts w:cs="Arial"/>
                <w:sz w:val="20"/>
                <w:szCs w:val="20"/>
                <w:lang w:val="sr-Latn-RS"/>
              </w:rPr>
              <w:t>0.</w:t>
            </w:r>
            <w:r w:rsidRPr="00840C8A">
              <w:rPr>
                <w:rFonts w:cs="Arial"/>
                <w:sz w:val="20"/>
                <w:szCs w:val="20"/>
                <w:lang w:val="sr-Latn-RS"/>
              </w:rPr>
              <w:t>163</w:t>
            </w:r>
          </w:p>
        </w:tc>
        <w:tc>
          <w:tcPr>
            <w:tcW w:w="1606" w:type="pct"/>
            <w:shd w:val="clear" w:color="auto" w:fill="auto"/>
            <w:vAlign w:val="center"/>
          </w:tcPr>
          <w:p w14:paraId="793B907B" w14:textId="77777777" w:rsidR="0025078F" w:rsidRPr="00840C8A" w:rsidRDefault="0025078F" w:rsidP="00DC3687">
            <w:pPr>
              <w:autoSpaceDE w:val="0"/>
              <w:autoSpaceDN w:val="0"/>
              <w:adjustRightInd w:val="0"/>
              <w:spacing w:before="0" w:after="0"/>
              <w:ind w:left="62" w:right="57"/>
              <w:jc w:val="right"/>
              <w:rPr>
                <w:rFonts w:cs="Arial"/>
                <w:sz w:val="20"/>
                <w:szCs w:val="20"/>
                <w:lang w:val="sr-Latn-RS"/>
              </w:rPr>
            </w:pPr>
            <w:r w:rsidRPr="00840C8A">
              <w:rPr>
                <w:rFonts w:cs="Arial"/>
                <w:sz w:val="20"/>
                <w:szCs w:val="20"/>
                <w:lang w:val="sr-Latn-RS"/>
              </w:rPr>
              <w:t>49</w:t>
            </w:r>
            <w:r>
              <w:rPr>
                <w:rFonts w:cs="Arial"/>
                <w:sz w:val="20"/>
                <w:szCs w:val="20"/>
                <w:lang w:val="sr-Latn-RS"/>
              </w:rPr>
              <w:t>.</w:t>
            </w:r>
            <w:r w:rsidRPr="00840C8A">
              <w:rPr>
                <w:rFonts w:cs="Arial"/>
                <w:sz w:val="20"/>
                <w:szCs w:val="20"/>
                <w:lang w:val="sr-Latn-RS"/>
              </w:rPr>
              <w:t>6%</w:t>
            </w:r>
          </w:p>
        </w:tc>
      </w:tr>
      <w:tr w:rsidR="0025078F" w:rsidRPr="00840C8A" w14:paraId="2D250977" w14:textId="77777777" w:rsidTr="00DC3687">
        <w:trPr>
          <w:cantSplit/>
        </w:trPr>
        <w:tc>
          <w:tcPr>
            <w:tcW w:w="2148" w:type="pct"/>
            <w:shd w:val="clear" w:color="auto" w:fill="auto"/>
            <w:vAlign w:val="center"/>
          </w:tcPr>
          <w:p w14:paraId="367D9D2B" w14:textId="35FAB780" w:rsidR="0025078F" w:rsidRPr="00840C8A" w:rsidRDefault="0025078F" w:rsidP="00DC3687">
            <w:pPr>
              <w:autoSpaceDE w:val="0"/>
              <w:autoSpaceDN w:val="0"/>
              <w:adjustRightInd w:val="0"/>
              <w:spacing w:before="0" w:after="0"/>
              <w:ind w:left="62" w:right="57"/>
              <w:jc w:val="left"/>
              <w:rPr>
                <w:rFonts w:cs="Arial"/>
                <w:sz w:val="20"/>
                <w:szCs w:val="20"/>
                <w:lang w:val="sr-Latn-RS"/>
              </w:rPr>
            </w:pPr>
            <w:r w:rsidRPr="00840C8A">
              <w:rPr>
                <w:rFonts w:cs="Arial"/>
                <w:sz w:val="20"/>
                <w:szCs w:val="20"/>
                <w:lang w:val="sr-Latn-RS"/>
              </w:rPr>
              <w:t>N_Kurt_IS</w:t>
            </w:r>
          </w:p>
        </w:tc>
        <w:tc>
          <w:tcPr>
            <w:tcW w:w="1246" w:type="pct"/>
            <w:shd w:val="clear" w:color="auto" w:fill="auto"/>
            <w:vAlign w:val="center"/>
          </w:tcPr>
          <w:p w14:paraId="0C035B5B" w14:textId="77777777" w:rsidR="0025078F" w:rsidRPr="00840C8A" w:rsidRDefault="0025078F" w:rsidP="00DC3687">
            <w:pPr>
              <w:autoSpaceDE w:val="0"/>
              <w:autoSpaceDN w:val="0"/>
              <w:adjustRightInd w:val="0"/>
              <w:spacing w:before="0" w:after="0"/>
              <w:ind w:left="62" w:right="57"/>
              <w:jc w:val="right"/>
              <w:rPr>
                <w:rFonts w:cs="Arial"/>
                <w:sz w:val="20"/>
                <w:szCs w:val="20"/>
                <w:lang w:val="sr-Latn-RS"/>
              </w:rPr>
            </w:pPr>
            <w:r>
              <w:rPr>
                <w:rFonts w:cs="Arial"/>
                <w:sz w:val="20"/>
                <w:szCs w:val="20"/>
                <w:lang w:val="sr-Latn-RS"/>
              </w:rPr>
              <w:t>0.</w:t>
            </w:r>
            <w:r w:rsidRPr="00840C8A">
              <w:rPr>
                <w:rFonts w:cs="Arial"/>
                <w:sz w:val="20"/>
                <w:szCs w:val="20"/>
                <w:lang w:val="sr-Latn-RS"/>
              </w:rPr>
              <w:t>148</w:t>
            </w:r>
          </w:p>
        </w:tc>
        <w:tc>
          <w:tcPr>
            <w:tcW w:w="1606" w:type="pct"/>
            <w:shd w:val="clear" w:color="auto" w:fill="auto"/>
            <w:vAlign w:val="center"/>
          </w:tcPr>
          <w:p w14:paraId="77D478A3" w14:textId="77777777" w:rsidR="0025078F" w:rsidRPr="00840C8A" w:rsidRDefault="0025078F" w:rsidP="00DC3687">
            <w:pPr>
              <w:autoSpaceDE w:val="0"/>
              <w:autoSpaceDN w:val="0"/>
              <w:adjustRightInd w:val="0"/>
              <w:spacing w:before="0" w:after="0"/>
              <w:ind w:left="62" w:right="57"/>
              <w:jc w:val="right"/>
              <w:rPr>
                <w:rFonts w:cs="Arial"/>
                <w:sz w:val="20"/>
                <w:szCs w:val="20"/>
                <w:lang w:val="sr-Latn-RS"/>
              </w:rPr>
            </w:pPr>
            <w:r w:rsidRPr="00840C8A">
              <w:rPr>
                <w:rFonts w:cs="Arial"/>
                <w:sz w:val="20"/>
                <w:szCs w:val="20"/>
                <w:lang w:val="sr-Latn-RS"/>
              </w:rPr>
              <w:t>45</w:t>
            </w:r>
            <w:r>
              <w:rPr>
                <w:rFonts w:cs="Arial"/>
                <w:sz w:val="20"/>
                <w:szCs w:val="20"/>
                <w:lang w:val="sr-Latn-RS"/>
              </w:rPr>
              <w:t>.</w:t>
            </w:r>
            <w:r w:rsidRPr="00840C8A">
              <w:rPr>
                <w:rFonts w:cs="Arial"/>
                <w:sz w:val="20"/>
                <w:szCs w:val="20"/>
                <w:lang w:val="sr-Latn-RS"/>
              </w:rPr>
              <w:t>2%</w:t>
            </w:r>
          </w:p>
        </w:tc>
      </w:tr>
      <w:tr w:rsidR="0025078F" w:rsidRPr="00840C8A" w14:paraId="34D591AF" w14:textId="77777777" w:rsidTr="00DC3687">
        <w:trPr>
          <w:cantSplit/>
        </w:trPr>
        <w:tc>
          <w:tcPr>
            <w:tcW w:w="2148" w:type="pct"/>
            <w:shd w:val="clear" w:color="auto" w:fill="auto"/>
            <w:vAlign w:val="center"/>
          </w:tcPr>
          <w:p w14:paraId="00E8E4A3" w14:textId="7E402613" w:rsidR="0025078F" w:rsidRPr="00840C8A" w:rsidRDefault="0025078F" w:rsidP="00DC3687">
            <w:pPr>
              <w:autoSpaceDE w:val="0"/>
              <w:autoSpaceDN w:val="0"/>
              <w:adjustRightInd w:val="0"/>
              <w:spacing w:before="0" w:after="0"/>
              <w:ind w:left="62" w:right="57"/>
              <w:jc w:val="left"/>
              <w:rPr>
                <w:rFonts w:cs="Arial"/>
                <w:sz w:val="20"/>
                <w:szCs w:val="20"/>
                <w:lang w:val="sr-Latn-RS"/>
              </w:rPr>
            </w:pPr>
            <w:r w:rsidRPr="00840C8A">
              <w:rPr>
                <w:rFonts w:cs="Arial"/>
                <w:sz w:val="20"/>
                <w:szCs w:val="20"/>
                <w:lang w:val="sr-Latn-RS"/>
              </w:rPr>
              <w:t>N_Median_IS</w:t>
            </w:r>
          </w:p>
        </w:tc>
        <w:tc>
          <w:tcPr>
            <w:tcW w:w="1246" w:type="pct"/>
            <w:shd w:val="clear" w:color="auto" w:fill="auto"/>
            <w:vAlign w:val="center"/>
          </w:tcPr>
          <w:p w14:paraId="019802DB" w14:textId="77777777" w:rsidR="0025078F" w:rsidRPr="00840C8A" w:rsidRDefault="0025078F" w:rsidP="00DC3687">
            <w:pPr>
              <w:autoSpaceDE w:val="0"/>
              <w:autoSpaceDN w:val="0"/>
              <w:adjustRightInd w:val="0"/>
              <w:spacing w:before="0" w:after="0"/>
              <w:ind w:left="62" w:right="57"/>
              <w:jc w:val="right"/>
              <w:rPr>
                <w:rFonts w:cs="Arial"/>
                <w:sz w:val="20"/>
                <w:szCs w:val="20"/>
                <w:lang w:val="sr-Latn-RS"/>
              </w:rPr>
            </w:pPr>
            <w:r>
              <w:rPr>
                <w:rFonts w:cs="Arial"/>
                <w:sz w:val="20"/>
                <w:szCs w:val="20"/>
                <w:lang w:val="sr-Latn-RS"/>
              </w:rPr>
              <w:t>0.</w:t>
            </w:r>
            <w:r w:rsidRPr="00840C8A">
              <w:rPr>
                <w:rFonts w:cs="Arial"/>
                <w:sz w:val="20"/>
                <w:szCs w:val="20"/>
                <w:lang w:val="sr-Latn-RS"/>
              </w:rPr>
              <w:t>133</w:t>
            </w:r>
          </w:p>
        </w:tc>
        <w:tc>
          <w:tcPr>
            <w:tcW w:w="1606" w:type="pct"/>
            <w:shd w:val="clear" w:color="auto" w:fill="auto"/>
            <w:vAlign w:val="center"/>
          </w:tcPr>
          <w:p w14:paraId="3FB24388" w14:textId="77777777" w:rsidR="0025078F" w:rsidRPr="00840C8A" w:rsidRDefault="0025078F" w:rsidP="00DC3687">
            <w:pPr>
              <w:autoSpaceDE w:val="0"/>
              <w:autoSpaceDN w:val="0"/>
              <w:adjustRightInd w:val="0"/>
              <w:spacing w:before="0" w:after="0"/>
              <w:ind w:left="62" w:right="57"/>
              <w:jc w:val="right"/>
              <w:rPr>
                <w:rFonts w:cs="Arial"/>
                <w:sz w:val="20"/>
                <w:szCs w:val="20"/>
                <w:lang w:val="sr-Latn-RS"/>
              </w:rPr>
            </w:pPr>
            <w:r w:rsidRPr="00840C8A">
              <w:rPr>
                <w:rFonts w:cs="Arial"/>
                <w:sz w:val="20"/>
                <w:szCs w:val="20"/>
                <w:lang w:val="sr-Latn-RS"/>
              </w:rPr>
              <w:t>40</w:t>
            </w:r>
            <w:r>
              <w:rPr>
                <w:rFonts w:cs="Arial"/>
                <w:sz w:val="20"/>
                <w:szCs w:val="20"/>
                <w:lang w:val="sr-Latn-RS"/>
              </w:rPr>
              <w:t>.</w:t>
            </w:r>
            <w:r w:rsidRPr="00840C8A">
              <w:rPr>
                <w:rFonts w:cs="Arial"/>
                <w:sz w:val="20"/>
                <w:szCs w:val="20"/>
                <w:lang w:val="sr-Latn-RS"/>
              </w:rPr>
              <w:t>5%</w:t>
            </w:r>
          </w:p>
        </w:tc>
      </w:tr>
      <w:tr w:rsidR="0025078F" w:rsidRPr="00840C8A" w14:paraId="1B53C616" w14:textId="77777777" w:rsidTr="00DC3687">
        <w:trPr>
          <w:cantSplit/>
        </w:trPr>
        <w:tc>
          <w:tcPr>
            <w:tcW w:w="2148" w:type="pct"/>
            <w:shd w:val="clear" w:color="auto" w:fill="auto"/>
            <w:vAlign w:val="center"/>
          </w:tcPr>
          <w:p w14:paraId="0042A691" w14:textId="05BD1A85" w:rsidR="0025078F" w:rsidRPr="00840C8A" w:rsidRDefault="0025078F" w:rsidP="00DC3687">
            <w:pPr>
              <w:autoSpaceDE w:val="0"/>
              <w:autoSpaceDN w:val="0"/>
              <w:adjustRightInd w:val="0"/>
              <w:spacing w:before="0" w:after="0"/>
              <w:ind w:left="62" w:right="57"/>
              <w:jc w:val="left"/>
              <w:rPr>
                <w:rFonts w:cs="Arial"/>
                <w:sz w:val="20"/>
                <w:szCs w:val="20"/>
                <w:lang w:val="sr-Latn-RS"/>
              </w:rPr>
            </w:pPr>
            <w:r w:rsidRPr="00840C8A">
              <w:rPr>
                <w:rFonts w:cs="Arial"/>
                <w:sz w:val="20"/>
                <w:szCs w:val="20"/>
                <w:lang w:val="sr-Latn-RS"/>
              </w:rPr>
              <w:t>Load_kg</w:t>
            </w:r>
          </w:p>
        </w:tc>
        <w:tc>
          <w:tcPr>
            <w:tcW w:w="1246" w:type="pct"/>
            <w:shd w:val="clear" w:color="auto" w:fill="auto"/>
            <w:vAlign w:val="center"/>
          </w:tcPr>
          <w:p w14:paraId="17FCC0CD" w14:textId="77777777" w:rsidR="0025078F" w:rsidRPr="00840C8A" w:rsidRDefault="0025078F" w:rsidP="00DC3687">
            <w:pPr>
              <w:autoSpaceDE w:val="0"/>
              <w:autoSpaceDN w:val="0"/>
              <w:adjustRightInd w:val="0"/>
              <w:spacing w:before="0" w:after="0"/>
              <w:ind w:left="62" w:right="57"/>
              <w:jc w:val="right"/>
              <w:rPr>
                <w:rFonts w:cs="Arial"/>
                <w:sz w:val="20"/>
                <w:szCs w:val="20"/>
                <w:lang w:val="sr-Latn-RS"/>
              </w:rPr>
            </w:pPr>
            <w:r>
              <w:rPr>
                <w:rFonts w:cs="Arial"/>
                <w:sz w:val="20"/>
                <w:szCs w:val="20"/>
                <w:lang w:val="sr-Latn-RS"/>
              </w:rPr>
              <w:t>0.</w:t>
            </w:r>
            <w:r w:rsidRPr="00840C8A">
              <w:rPr>
                <w:rFonts w:cs="Arial"/>
                <w:sz w:val="20"/>
                <w:szCs w:val="20"/>
                <w:lang w:val="sr-Latn-RS"/>
              </w:rPr>
              <w:t>104</w:t>
            </w:r>
          </w:p>
        </w:tc>
        <w:tc>
          <w:tcPr>
            <w:tcW w:w="1606" w:type="pct"/>
            <w:shd w:val="clear" w:color="auto" w:fill="auto"/>
            <w:vAlign w:val="center"/>
          </w:tcPr>
          <w:p w14:paraId="567D2DD2" w14:textId="77777777" w:rsidR="0025078F" w:rsidRPr="00840C8A" w:rsidRDefault="0025078F" w:rsidP="00DC3687">
            <w:pPr>
              <w:autoSpaceDE w:val="0"/>
              <w:autoSpaceDN w:val="0"/>
              <w:adjustRightInd w:val="0"/>
              <w:spacing w:before="0" w:after="0"/>
              <w:ind w:left="62" w:right="57"/>
              <w:jc w:val="right"/>
              <w:rPr>
                <w:rFonts w:cs="Arial"/>
                <w:sz w:val="20"/>
                <w:szCs w:val="20"/>
                <w:lang w:val="sr-Latn-RS"/>
              </w:rPr>
            </w:pPr>
            <w:r w:rsidRPr="00840C8A">
              <w:rPr>
                <w:rFonts w:cs="Arial"/>
                <w:sz w:val="20"/>
                <w:szCs w:val="20"/>
                <w:lang w:val="sr-Latn-RS"/>
              </w:rPr>
              <w:t>31</w:t>
            </w:r>
            <w:r>
              <w:rPr>
                <w:rFonts w:cs="Arial"/>
                <w:sz w:val="20"/>
                <w:szCs w:val="20"/>
                <w:lang w:val="sr-Latn-RS"/>
              </w:rPr>
              <w:t>.</w:t>
            </w:r>
            <w:r w:rsidRPr="00840C8A">
              <w:rPr>
                <w:rFonts w:cs="Arial"/>
                <w:sz w:val="20"/>
                <w:szCs w:val="20"/>
                <w:lang w:val="sr-Latn-RS"/>
              </w:rPr>
              <w:t>6%</w:t>
            </w:r>
          </w:p>
        </w:tc>
      </w:tr>
      <w:tr w:rsidR="0025078F" w:rsidRPr="00840C8A" w14:paraId="577CC66D" w14:textId="77777777" w:rsidTr="00DC3687">
        <w:trPr>
          <w:cantSplit/>
        </w:trPr>
        <w:tc>
          <w:tcPr>
            <w:tcW w:w="2148" w:type="pct"/>
            <w:shd w:val="clear" w:color="auto" w:fill="auto"/>
            <w:vAlign w:val="center"/>
          </w:tcPr>
          <w:p w14:paraId="77E2FC27" w14:textId="6FD4F2D0" w:rsidR="0025078F" w:rsidRPr="00840C8A" w:rsidRDefault="0025078F" w:rsidP="00DC3687">
            <w:pPr>
              <w:autoSpaceDE w:val="0"/>
              <w:autoSpaceDN w:val="0"/>
              <w:adjustRightInd w:val="0"/>
              <w:spacing w:before="0" w:after="0"/>
              <w:ind w:left="62" w:right="57"/>
              <w:jc w:val="left"/>
              <w:rPr>
                <w:rFonts w:cs="Arial"/>
                <w:sz w:val="20"/>
                <w:szCs w:val="20"/>
                <w:lang w:val="sr-Latn-RS"/>
              </w:rPr>
            </w:pPr>
            <w:r w:rsidRPr="00840C8A">
              <w:rPr>
                <w:rFonts w:cs="Arial"/>
                <w:sz w:val="20"/>
                <w:szCs w:val="20"/>
                <w:lang w:val="sr-Latn-RS"/>
              </w:rPr>
              <w:t>N_Stdev_IS</w:t>
            </w:r>
          </w:p>
        </w:tc>
        <w:tc>
          <w:tcPr>
            <w:tcW w:w="1246" w:type="pct"/>
            <w:shd w:val="clear" w:color="auto" w:fill="auto"/>
            <w:vAlign w:val="center"/>
          </w:tcPr>
          <w:p w14:paraId="59F04CEB" w14:textId="77777777" w:rsidR="0025078F" w:rsidRPr="00840C8A" w:rsidRDefault="0025078F" w:rsidP="00DC3687">
            <w:pPr>
              <w:autoSpaceDE w:val="0"/>
              <w:autoSpaceDN w:val="0"/>
              <w:adjustRightInd w:val="0"/>
              <w:spacing w:before="0" w:after="0"/>
              <w:ind w:left="62" w:right="57"/>
              <w:jc w:val="right"/>
              <w:rPr>
                <w:rFonts w:cs="Arial"/>
                <w:sz w:val="20"/>
                <w:szCs w:val="20"/>
                <w:lang w:val="sr-Latn-RS"/>
              </w:rPr>
            </w:pPr>
            <w:r>
              <w:rPr>
                <w:rFonts w:cs="Arial"/>
                <w:sz w:val="20"/>
                <w:szCs w:val="20"/>
                <w:lang w:val="sr-Latn-RS"/>
              </w:rPr>
              <w:t>0.</w:t>
            </w:r>
            <w:r w:rsidRPr="00840C8A">
              <w:rPr>
                <w:rFonts w:cs="Arial"/>
                <w:sz w:val="20"/>
                <w:szCs w:val="20"/>
                <w:lang w:val="sr-Latn-RS"/>
              </w:rPr>
              <w:t>062</w:t>
            </w:r>
          </w:p>
        </w:tc>
        <w:tc>
          <w:tcPr>
            <w:tcW w:w="1606" w:type="pct"/>
            <w:shd w:val="clear" w:color="auto" w:fill="auto"/>
            <w:vAlign w:val="center"/>
          </w:tcPr>
          <w:p w14:paraId="72C3AACF" w14:textId="77777777" w:rsidR="0025078F" w:rsidRPr="00840C8A" w:rsidRDefault="0025078F" w:rsidP="00DC3687">
            <w:pPr>
              <w:autoSpaceDE w:val="0"/>
              <w:autoSpaceDN w:val="0"/>
              <w:adjustRightInd w:val="0"/>
              <w:spacing w:before="0" w:after="0"/>
              <w:ind w:left="62" w:right="57"/>
              <w:jc w:val="right"/>
              <w:rPr>
                <w:rFonts w:cs="Arial"/>
                <w:sz w:val="20"/>
                <w:szCs w:val="20"/>
                <w:lang w:val="sr-Latn-RS"/>
              </w:rPr>
            </w:pPr>
            <w:r w:rsidRPr="00840C8A">
              <w:rPr>
                <w:rFonts w:cs="Arial"/>
                <w:sz w:val="20"/>
                <w:szCs w:val="20"/>
                <w:lang w:val="sr-Latn-RS"/>
              </w:rPr>
              <w:t>18</w:t>
            </w:r>
            <w:r>
              <w:rPr>
                <w:rFonts w:cs="Arial"/>
                <w:sz w:val="20"/>
                <w:szCs w:val="20"/>
                <w:lang w:val="sr-Latn-RS"/>
              </w:rPr>
              <w:t>.</w:t>
            </w:r>
            <w:r w:rsidRPr="00840C8A">
              <w:rPr>
                <w:rFonts w:cs="Arial"/>
                <w:sz w:val="20"/>
                <w:szCs w:val="20"/>
                <w:lang w:val="sr-Latn-RS"/>
              </w:rPr>
              <w:t>8%</w:t>
            </w:r>
          </w:p>
        </w:tc>
      </w:tr>
      <w:tr w:rsidR="0025078F" w:rsidRPr="00840C8A" w14:paraId="3A3B3B66" w14:textId="77777777" w:rsidTr="00DC3687">
        <w:trPr>
          <w:cantSplit/>
        </w:trPr>
        <w:tc>
          <w:tcPr>
            <w:tcW w:w="2148" w:type="pct"/>
            <w:shd w:val="clear" w:color="auto" w:fill="auto"/>
            <w:vAlign w:val="center"/>
          </w:tcPr>
          <w:p w14:paraId="68D52DEB" w14:textId="6133D5D5" w:rsidR="0025078F" w:rsidRPr="00840C8A" w:rsidRDefault="0025078F" w:rsidP="00DC3687">
            <w:pPr>
              <w:autoSpaceDE w:val="0"/>
              <w:autoSpaceDN w:val="0"/>
              <w:adjustRightInd w:val="0"/>
              <w:spacing w:before="0" w:after="0"/>
              <w:ind w:left="62" w:right="57"/>
              <w:jc w:val="left"/>
              <w:rPr>
                <w:rFonts w:cs="Arial"/>
                <w:sz w:val="20"/>
                <w:szCs w:val="20"/>
                <w:lang w:val="sr-Latn-RS"/>
              </w:rPr>
            </w:pPr>
            <w:r w:rsidRPr="00840C8A">
              <w:rPr>
                <w:rFonts w:cs="Arial"/>
                <w:sz w:val="20"/>
                <w:szCs w:val="20"/>
                <w:lang w:val="sr-Latn-RS"/>
              </w:rPr>
              <w:t>HS_idle_time_IS</w:t>
            </w:r>
          </w:p>
        </w:tc>
        <w:tc>
          <w:tcPr>
            <w:tcW w:w="1246" w:type="pct"/>
            <w:shd w:val="clear" w:color="auto" w:fill="auto"/>
            <w:vAlign w:val="center"/>
          </w:tcPr>
          <w:p w14:paraId="554F86E8" w14:textId="77777777" w:rsidR="0025078F" w:rsidRPr="00840C8A" w:rsidRDefault="0025078F" w:rsidP="00DC3687">
            <w:pPr>
              <w:autoSpaceDE w:val="0"/>
              <w:autoSpaceDN w:val="0"/>
              <w:adjustRightInd w:val="0"/>
              <w:spacing w:before="0" w:after="0"/>
              <w:ind w:left="62" w:right="57"/>
              <w:jc w:val="right"/>
              <w:rPr>
                <w:rFonts w:cs="Arial"/>
                <w:sz w:val="20"/>
                <w:szCs w:val="20"/>
                <w:lang w:val="sr-Latn-RS"/>
              </w:rPr>
            </w:pPr>
            <w:r>
              <w:rPr>
                <w:rFonts w:cs="Arial"/>
                <w:sz w:val="20"/>
                <w:szCs w:val="20"/>
                <w:lang w:val="sr-Latn-RS"/>
              </w:rPr>
              <w:t>0.</w:t>
            </w:r>
            <w:r w:rsidRPr="00840C8A">
              <w:rPr>
                <w:rFonts w:cs="Arial"/>
                <w:sz w:val="20"/>
                <w:szCs w:val="20"/>
                <w:lang w:val="sr-Latn-RS"/>
              </w:rPr>
              <w:t>051</w:t>
            </w:r>
          </w:p>
        </w:tc>
        <w:tc>
          <w:tcPr>
            <w:tcW w:w="1606" w:type="pct"/>
            <w:shd w:val="clear" w:color="auto" w:fill="auto"/>
            <w:vAlign w:val="center"/>
          </w:tcPr>
          <w:p w14:paraId="66F759C1" w14:textId="77777777" w:rsidR="0025078F" w:rsidRPr="00840C8A" w:rsidRDefault="0025078F" w:rsidP="00DC3687">
            <w:pPr>
              <w:autoSpaceDE w:val="0"/>
              <w:autoSpaceDN w:val="0"/>
              <w:adjustRightInd w:val="0"/>
              <w:spacing w:before="0" w:after="0"/>
              <w:ind w:left="62" w:right="57"/>
              <w:jc w:val="right"/>
              <w:rPr>
                <w:rFonts w:cs="Arial"/>
                <w:sz w:val="20"/>
                <w:szCs w:val="20"/>
                <w:lang w:val="sr-Latn-RS"/>
              </w:rPr>
            </w:pPr>
            <w:r w:rsidRPr="00840C8A">
              <w:rPr>
                <w:rFonts w:cs="Arial"/>
                <w:sz w:val="20"/>
                <w:szCs w:val="20"/>
                <w:lang w:val="sr-Latn-RS"/>
              </w:rPr>
              <w:t>15</w:t>
            </w:r>
            <w:r>
              <w:rPr>
                <w:rFonts w:cs="Arial"/>
                <w:sz w:val="20"/>
                <w:szCs w:val="20"/>
                <w:lang w:val="sr-Latn-RS"/>
              </w:rPr>
              <w:t>.</w:t>
            </w:r>
            <w:r w:rsidRPr="00840C8A">
              <w:rPr>
                <w:rFonts w:cs="Arial"/>
                <w:sz w:val="20"/>
                <w:szCs w:val="20"/>
                <w:lang w:val="sr-Latn-RS"/>
              </w:rPr>
              <w:t>4%</w:t>
            </w:r>
          </w:p>
        </w:tc>
      </w:tr>
      <w:tr w:rsidR="0025078F" w:rsidRPr="00840C8A" w14:paraId="60F9C2AD" w14:textId="77777777" w:rsidTr="00DC3687">
        <w:trPr>
          <w:cantSplit/>
        </w:trPr>
        <w:tc>
          <w:tcPr>
            <w:tcW w:w="2148" w:type="pct"/>
            <w:shd w:val="clear" w:color="auto" w:fill="auto"/>
            <w:vAlign w:val="center"/>
          </w:tcPr>
          <w:p w14:paraId="0D627C51" w14:textId="697ED8D0" w:rsidR="0025078F" w:rsidRPr="00840C8A" w:rsidRDefault="0025078F" w:rsidP="00DC3687">
            <w:pPr>
              <w:autoSpaceDE w:val="0"/>
              <w:autoSpaceDN w:val="0"/>
              <w:adjustRightInd w:val="0"/>
              <w:spacing w:before="0" w:after="0"/>
              <w:ind w:left="62" w:right="57"/>
              <w:jc w:val="left"/>
              <w:rPr>
                <w:rFonts w:cs="Arial"/>
                <w:sz w:val="20"/>
                <w:szCs w:val="20"/>
                <w:lang w:val="sr-Latn-RS"/>
              </w:rPr>
            </w:pPr>
            <w:r w:rsidRPr="00840C8A">
              <w:rPr>
                <w:rFonts w:cs="Arial"/>
                <w:sz w:val="20"/>
                <w:szCs w:val="20"/>
                <w:lang w:val="sr-Latn-RS"/>
              </w:rPr>
              <w:t>T4</w:t>
            </w:r>
          </w:p>
        </w:tc>
        <w:tc>
          <w:tcPr>
            <w:tcW w:w="1246" w:type="pct"/>
            <w:shd w:val="clear" w:color="auto" w:fill="auto"/>
            <w:vAlign w:val="center"/>
          </w:tcPr>
          <w:p w14:paraId="1647F51D" w14:textId="77777777" w:rsidR="0025078F" w:rsidRPr="00840C8A" w:rsidRDefault="0025078F" w:rsidP="00DC3687">
            <w:pPr>
              <w:autoSpaceDE w:val="0"/>
              <w:autoSpaceDN w:val="0"/>
              <w:adjustRightInd w:val="0"/>
              <w:spacing w:before="0" w:after="0"/>
              <w:ind w:left="62" w:right="57"/>
              <w:jc w:val="right"/>
              <w:rPr>
                <w:rFonts w:cs="Arial"/>
                <w:sz w:val="20"/>
                <w:szCs w:val="20"/>
                <w:lang w:val="sr-Latn-RS"/>
              </w:rPr>
            </w:pPr>
            <w:r>
              <w:rPr>
                <w:rFonts w:cs="Arial"/>
                <w:sz w:val="20"/>
                <w:szCs w:val="20"/>
                <w:lang w:val="sr-Latn-RS"/>
              </w:rPr>
              <w:t>0.</w:t>
            </w:r>
            <w:r w:rsidRPr="00840C8A">
              <w:rPr>
                <w:rFonts w:cs="Arial"/>
                <w:sz w:val="20"/>
                <w:szCs w:val="20"/>
                <w:lang w:val="sr-Latn-RS"/>
              </w:rPr>
              <w:t>026</w:t>
            </w:r>
          </w:p>
        </w:tc>
        <w:tc>
          <w:tcPr>
            <w:tcW w:w="1606" w:type="pct"/>
            <w:shd w:val="clear" w:color="auto" w:fill="auto"/>
            <w:vAlign w:val="center"/>
          </w:tcPr>
          <w:p w14:paraId="61930A29" w14:textId="77777777" w:rsidR="0025078F" w:rsidRPr="00840C8A" w:rsidRDefault="0025078F" w:rsidP="00DC3687">
            <w:pPr>
              <w:autoSpaceDE w:val="0"/>
              <w:autoSpaceDN w:val="0"/>
              <w:adjustRightInd w:val="0"/>
              <w:spacing w:before="0" w:after="0"/>
              <w:ind w:left="62" w:right="57"/>
              <w:jc w:val="right"/>
              <w:rPr>
                <w:rFonts w:cs="Arial"/>
                <w:sz w:val="20"/>
                <w:szCs w:val="20"/>
                <w:lang w:val="sr-Latn-RS"/>
              </w:rPr>
            </w:pPr>
            <w:r w:rsidRPr="00840C8A">
              <w:rPr>
                <w:rFonts w:cs="Arial"/>
                <w:sz w:val="20"/>
                <w:szCs w:val="20"/>
                <w:lang w:val="sr-Latn-RS"/>
              </w:rPr>
              <w:t>7</w:t>
            </w:r>
            <w:r>
              <w:rPr>
                <w:rFonts w:cs="Arial"/>
                <w:sz w:val="20"/>
                <w:szCs w:val="20"/>
                <w:lang w:val="sr-Latn-RS"/>
              </w:rPr>
              <w:t>.</w:t>
            </w:r>
            <w:r w:rsidRPr="00840C8A">
              <w:rPr>
                <w:rFonts w:cs="Arial"/>
                <w:sz w:val="20"/>
                <w:szCs w:val="20"/>
                <w:lang w:val="sr-Latn-RS"/>
              </w:rPr>
              <w:t>8%</w:t>
            </w:r>
          </w:p>
        </w:tc>
      </w:tr>
      <w:tr w:rsidR="0025078F" w:rsidRPr="00840C8A" w14:paraId="0BE94658" w14:textId="77777777" w:rsidTr="00DC3687">
        <w:trPr>
          <w:cantSplit/>
        </w:trPr>
        <w:tc>
          <w:tcPr>
            <w:tcW w:w="2148" w:type="pct"/>
            <w:tcBorders>
              <w:bottom w:val="single" w:sz="4" w:space="0" w:color="auto"/>
            </w:tcBorders>
            <w:shd w:val="clear" w:color="auto" w:fill="auto"/>
            <w:vAlign w:val="center"/>
          </w:tcPr>
          <w:p w14:paraId="68AE4362" w14:textId="67BD7002" w:rsidR="0025078F" w:rsidRPr="00840C8A" w:rsidRDefault="0025078F" w:rsidP="00DC3687">
            <w:pPr>
              <w:autoSpaceDE w:val="0"/>
              <w:autoSpaceDN w:val="0"/>
              <w:adjustRightInd w:val="0"/>
              <w:spacing w:before="0" w:after="0"/>
              <w:ind w:left="62" w:right="57"/>
              <w:jc w:val="left"/>
              <w:rPr>
                <w:rFonts w:cs="Arial"/>
                <w:sz w:val="20"/>
                <w:szCs w:val="20"/>
                <w:lang w:val="sr-Latn-RS"/>
              </w:rPr>
            </w:pPr>
            <w:r w:rsidRPr="00840C8A">
              <w:rPr>
                <w:rFonts w:cs="Arial"/>
                <w:sz w:val="20"/>
                <w:szCs w:val="20"/>
                <w:lang w:val="sr-Latn-RS"/>
              </w:rPr>
              <w:t>T1</w:t>
            </w:r>
          </w:p>
        </w:tc>
        <w:tc>
          <w:tcPr>
            <w:tcW w:w="1246" w:type="pct"/>
            <w:tcBorders>
              <w:bottom w:val="single" w:sz="4" w:space="0" w:color="auto"/>
            </w:tcBorders>
            <w:shd w:val="clear" w:color="auto" w:fill="auto"/>
            <w:vAlign w:val="center"/>
          </w:tcPr>
          <w:p w14:paraId="005BECF5" w14:textId="77777777" w:rsidR="0025078F" w:rsidRPr="00840C8A" w:rsidRDefault="0025078F" w:rsidP="00DC3687">
            <w:pPr>
              <w:autoSpaceDE w:val="0"/>
              <w:autoSpaceDN w:val="0"/>
              <w:adjustRightInd w:val="0"/>
              <w:spacing w:before="0" w:after="0"/>
              <w:ind w:left="62" w:right="57"/>
              <w:jc w:val="right"/>
              <w:rPr>
                <w:rFonts w:cs="Arial"/>
                <w:sz w:val="20"/>
                <w:szCs w:val="20"/>
                <w:lang w:val="sr-Latn-RS"/>
              </w:rPr>
            </w:pPr>
            <w:r>
              <w:rPr>
                <w:rFonts w:cs="Arial"/>
                <w:sz w:val="20"/>
                <w:szCs w:val="20"/>
                <w:lang w:val="sr-Latn-RS"/>
              </w:rPr>
              <w:t>0.</w:t>
            </w:r>
            <w:r w:rsidRPr="00840C8A">
              <w:rPr>
                <w:rFonts w:cs="Arial"/>
                <w:sz w:val="20"/>
                <w:szCs w:val="20"/>
                <w:lang w:val="sr-Latn-RS"/>
              </w:rPr>
              <w:t>005</w:t>
            </w:r>
          </w:p>
        </w:tc>
        <w:tc>
          <w:tcPr>
            <w:tcW w:w="1606" w:type="pct"/>
            <w:tcBorders>
              <w:bottom w:val="single" w:sz="4" w:space="0" w:color="auto"/>
            </w:tcBorders>
            <w:shd w:val="clear" w:color="auto" w:fill="auto"/>
            <w:vAlign w:val="center"/>
          </w:tcPr>
          <w:p w14:paraId="619E2B20" w14:textId="77777777" w:rsidR="0025078F" w:rsidRPr="00840C8A" w:rsidRDefault="0025078F" w:rsidP="00DC3687">
            <w:pPr>
              <w:autoSpaceDE w:val="0"/>
              <w:autoSpaceDN w:val="0"/>
              <w:adjustRightInd w:val="0"/>
              <w:spacing w:before="0" w:after="0"/>
              <w:ind w:left="62" w:right="57"/>
              <w:jc w:val="right"/>
              <w:rPr>
                <w:rFonts w:cs="Arial"/>
                <w:sz w:val="20"/>
                <w:szCs w:val="20"/>
                <w:lang w:val="sr-Latn-RS"/>
              </w:rPr>
            </w:pPr>
            <w:r w:rsidRPr="00840C8A">
              <w:rPr>
                <w:rFonts w:cs="Arial"/>
                <w:sz w:val="20"/>
                <w:szCs w:val="20"/>
                <w:lang w:val="sr-Latn-RS"/>
              </w:rPr>
              <w:t>1</w:t>
            </w:r>
            <w:r>
              <w:rPr>
                <w:rFonts w:cs="Arial"/>
                <w:sz w:val="20"/>
                <w:szCs w:val="20"/>
                <w:lang w:val="sr-Latn-RS"/>
              </w:rPr>
              <w:t>.</w:t>
            </w:r>
            <w:r w:rsidRPr="00840C8A">
              <w:rPr>
                <w:rFonts w:cs="Arial"/>
                <w:sz w:val="20"/>
                <w:szCs w:val="20"/>
                <w:lang w:val="sr-Latn-RS"/>
              </w:rPr>
              <w:t>6%</w:t>
            </w:r>
          </w:p>
        </w:tc>
      </w:tr>
    </w:tbl>
    <w:p w14:paraId="42A93F92" w14:textId="0CFB6F1B" w:rsidR="0025078F" w:rsidRPr="0046319F" w:rsidRDefault="0025078F" w:rsidP="0025078F">
      <w:pPr>
        <w:pStyle w:val="Caption"/>
        <w:jc w:val="both"/>
        <w:rPr>
          <w:lang w:val="sr-Latn-RS"/>
        </w:rPr>
      </w:pPr>
      <w:bookmarkStart w:id="643" w:name="_Ref99280402"/>
      <w:bookmarkStart w:id="644" w:name="_Toc101274495"/>
      <w:r>
        <w:t xml:space="preserve">Table </w:t>
      </w:r>
      <w:fldSimple w:instr=" SEQ Table \* ARABIC ">
        <w:r w:rsidR="00587AF0">
          <w:rPr>
            <w:noProof/>
          </w:rPr>
          <w:t>55</w:t>
        </w:r>
      </w:fldSimple>
      <w:bookmarkEnd w:id="643"/>
      <w:r>
        <w:t xml:space="preserve">. </w:t>
      </w:r>
      <w:r w:rsidRPr="00B6650D">
        <w:t xml:space="preserve">Table of surrogates of variables at </w:t>
      </w:r>
      <w:r>
        <w:t xml:space="preserve">idle </w:t>
      </w:r>
      <w:r w:rsidRPr="00B6650D">
        <w:t>saddle position</w:t>
      </w:r>
      <w:bookmarkEnd w:id="644"/>
    </w:p>
    <w:tbl>
      <w:tblPr>
        <w:tblW w:w="5000" w:type="pct"/>
        <w:tblCellMar>
          <w:left w:w="0" w:type="dxa"/>
          <w:right w:w="0" w:type="dxa"/>
        </w:tblCellMar>
        <w:tblLook w:val="0000" w:firstRow="0" w:lastRow="0" w:firstColumn="0" w:lastColumn="0" w:noHBand="0" w:noVBand="0"/>
      </w:tblPr>
      <w:tblGrid>
        <w:gridCol w:w="1721"/>
        <w:gridCol w:w="3161"/>
        <w:gridCol w:w="2174"/>
        <w:gridCol w:w="1971"/>
      </w:tblGrid>
      <w:tr w:rsidR="0025078F" w:rsidRPr="00B6650D" w14:paraId="214A6319" w14:textId="77777777" w:rsidTr="00DC3687">
        <w:trPr>
          <w:cantSplit/>
        </w:trPr>
        <w:tc>
          <w:tcPr>
            <w:tcW w:w="2704" w:type="pct"/>
            <w:gridSpan w:val="2"/>
            <w:tcBorders>
              <w:top w:val="single" w:sz="4" w:space="0" w:color="auto"/>
              <w:bottom w:val="single" w:sz="4" w:space="0" w:color="auto"/>
            </w:tcBorders>
            <w:shd w:val="clear" w:color="auto" w:fill="auto"/>
            <w:vAlign w:val="bottom"/>
          </w:tcPr>
          <w:p w14:paraId="71F8A78B" w14:textId="77777777" w:rsidR="0025078F" w:rsidRPr="00B6650D" w:rsidRDefault="0025078F" w:rsidP="00DC3687">
            <w:pPr>
              <w:autoSpaceDE w:val="0"/>
              <w:autoSpaceDN w:val="0"/>
              <w:adjustRightInd w:val="0"/>
              <w:spacing w:before="0" w:after="0"/>
              <w:ind w:left="57" w:right="57"/>
              <w:jc w:val="left"/>
              <w:rPr>
                <w:rFonts w:cs="Arial"/>
                <w:b/>
                <w:bCs/>
                <w:sz w:val="20"/>
                <w:szCs w:val="20"/>
                <w:lang w:val="sr-Latn-RS"/>
              </w:rPr>
            </w:pPr>
            <w:r w:rsidRPr="00B6650D">
              <w:rPr>
                <w:rFonts w:cs="Arial"/>
                <w:b/>
                <w:bCs/>
                <w:sz w:val="20"/>
                <w:szCs w:val="20"/>
                <w:lang w:val="sr-Latn-RS"/>
              </w:rPr>
              <w:t>Independent Variable</w:t>
            </w:r>
          </w:p>
        </w:tc>
        <w:tc>
          <w:tcPr>
            <w:tcW w:w="1204" w:type="pct"/>
            <w:tcBorders>
              <w:top w:val="single" w:sz="4" w:space="0" w:color="auto"/>
              <w:bottom w:val="single" w:sz="4" w:space="0" w:color="auto"/>
            </w:tcBorders>
            <w:shd w:val="clear" w:color="auto" w:fill="auto"/>
            <w:vAlign w:val="bottom"/>
          </w:tcPr>
          <w:p w14:paraId="6B4061BA" w14:textId="77777777" w:rsidR="0025078F" w:rsidRPr="00B6650D" w:rsidRDefault="0025078F" w:rsidP="00DC3687">
            <w:pPr>
              <w:autoSpaceDE w:val="0"/>
              <w:autoSpaceDN w:val="0"/>
              <w:adjustRightInd w:val="0"/>
              <w:spacing w:before="0" w:after="0"/>
              <w:ind w:left="57" w:right="57"/>
              <w:jc w:val="center"/>
              <w:rPr>
                <w:rFonts w:cs="Arial"/>
                <w:b/>
                <w:bCs/>
                <w:sz w:val="20"/>
                <w:szCs w:val="20"/>
                <w:lang w:val="sr-Latn-RS"/>
              </w:rPr>
            </w:pPr>
            <w:r w:rsidRPr="00B6650D">
              <w:rPr>
                <w:rFonts w:cs="Arial"/>
                <w:b/>
                <w:bCs/>
                <w:sz w:val="20"/>
                <w:szCs w:val="20"/>
                <w:lang w:val="sr-Latn-RS"/>
              </w:rPr>
              <w:t>Improvement</w:t>
            </w:r>
          </w:p>
        </w:tc>
        <w:tc>
          <w:tcPr>
            <w:tcW w:w="1092" w:type="pct"/>
            <w:tcBorders>
              <w:top w:val="single" w:sz="4" w:space="0" w:color="auto"/>
              <w:bottom w:val="single" w:sz="4" w:space="0" w:color="auto"/>
            </w:tcBorders>
            <w:shd w:val="clear" w:color="auto" w:fill="auto"/>
            <w:vAlign w:val="bottom"/>
          </w:tcPr>
          <w:p w14:paraId="1FF1FB82" w14:textId="77777777" w:rsidR="0025078F" w:rsidRPr="00B6650D" w:rsidRDefault="0025078F" w:rsidP="00DC3687">
            <w:pPr>
              <w:autoSpaceDE w:val="0"/>
              <w:autoSpaceDN w:val="0"/>
              <w:adjustRightInd w:val="0"/>
              <w:spacing w:before="0" w:after="0"/>
              <w:ind w:left="57" w:right="57"/>
              <w:jc w:val="center"/>
              <w:rPr>
                <w:rFonts w:cs="Arial"/>
                <w:b/>
                <w:bCs/>
                <w:sz w:val="20"/>
                <w:szCs w:val="20"/>
                <w:lang w:val="sr-Latn-RS"/>
              </w:rPr>
            </w:pPr>
            <w:r w:rsidRPr="00B6650D">
              <w:rPr>
                <w:rFonts w:cs="Arial"/>
                <w:b/>
                <w:bCs/>
                <w:sz w:val="20"/>
                <w:szCs w:val="20"/>
                <w:lang w:val="sr-Latn-RS"/>
              </w:rPr>
              <w:t>Association</w:t>
            </w:r>
          </w:p>
        </w:tc>
      </w:tr>
      <w:tr w:rsidR="0025078F" w:rsidRPr="00B6650D" w14:paraId="0D1FB5EA" w14:textId="77777777" w:rsidTr="00DC3687">
        <w:trPr>
          <w:cantSplit/>
        </w:trPr>
        <w:tc>
          <w:tcPr>
            <w:tcW w:w="953" w:type="pct"/>
            <w:tcBorders>
              <w:top w:val="single" w:sz="4" w:space="0" w:color="auto"/>
            </w:tcBorders>
            <w:shd w:val="clear" w:color="auto" w:fill="auto"/>
          </w:tcPr>
          <w:p w14:paraId="3DC88AC0" w14:textId="77777777" w:rsidR="0025078F" w:rsidRPr="00B6650D" w:rsidRDefault="0025078F" w:rsidP="00DC3687">
            <w:pPr>
              <w:autoSpaceDE w:val="0"/>
              <w:autoSpaceDN w:val="0"/>
              <w:adjustRightInd w:val="0"/>
              <w:spacing w:before="0" w:after="0"/>
              <w:ind w:left="57" w:right="57"/>
              <w:jc w:val="left"/>
              <w:rPr>
                <w:rFonts w:cs="Arial"/>
                <w:sz w:val="20"/>
                <w:szCs w:val="20"/>
                <w:lang w:val="sr-Latn-RS"/>
              </w:rPr>
            </w:pPr>
            <w:r w:rsidRPr="00B6650D">
              <w:rPr>
                <w:rFonts w:cs="Arial"/>
                <w:sz w:val="20"/>
                <w:szCs w:val="20"/>
                <w:lang w:val="sr-Latn-RS"/>
              </w:rPr>
              <w:t>Primary</w:t>
            </w:r>
          </w:p>
        </w:tc>
        <w:tc>
          <w:tcPr>
            <w:tcW w:w="1751" w:type="pct"/>
            <w:tcBorders>
              <w:top w:val="single" w:sz="4" w:space="0" w:color="auto"/>
            </w:tcBorders>
            <w:shd w:val="clear" w:color="auto" w:fill="auto"/>
          </w:tcPr>
          <w:p w14:paraId="517FCB54" w14:textId="794F5109" w:rsidR="0025078F" w:rsidRPr="00B6650D" w:rsidRDefault="0025078F" w:rsidP="00DC3687">
            <w:pPr>
              <w:autoSpaceDE w:val="0"/>
              <w:autoSpaceDN w:val="0"/>
              <w:adjustRightInd w:val="0"/>
              <w:spacing w:before="0" w:after="0"/>
              <w:ind w:left="57" w:right="57"/>
              <w:jc w:val="left"/>
              <w:rPr>
                <w:rFonts w:cs="Arial"/>
                <w:sz w:val="20"/>
                <w:szCs w:val="20"/>
                <w:lang w:val="sr-Latn-RS"/>
              </w:rPr>
            </w:pPr>
            <w:r w:rsidRPr="00B6650D">
              <w:rPr>
                <w:rFonts w:cs="Arial"/>
                <w:sz w:val="20"/>
                <w:szCs w:val="20"/>
                <w:lang w:val="sr-Latn-RS"/>
              </w:rPr>
              <w:t>N_1Q_IS</w:t>
            </w:r>
          </w:p>
        </w:tc>
        <w:tc>
          <w:tcPr>
            <w:tcW w:w="1204" w:type="pct"/>
            <w:tcBorders>
              <w:top w:val="single" w:sz="4" w:space="0" w:color="auto"/>
            </w:tcBorders>
            <w:shd w:val="clear" w:color="auto" w:fill="auto"/>
          </w:tcPr>
          <w:p w14:paraId="2EA83EB7" w14:textId="77777777" w:rsidR="0025078F" w:rsidRPr="00B6650D" w:rsidRDefault="0025078F" w:rsidP="00DC368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B6650D">
              <w:rPr>
                <w:rFonts w:cs="Arial"/>
                <w:sz w:val="20"/>
                <w:szCs w:val="20"/>
                <w:lang w:val="sr-Latn-RS"/>
              </w:rPr>
              <w:t>328</w:t>
            </w:r>
          </w:p>
        </w:tc>
        <w:tc>
          <w:tcPr>
            <w:tcW w:w="1092" w:type="pct"/>
            <w:tcBorders>
              <w:top w:val="single" w:sz="4" w:space="0" w:color="auto"/>
            </w:tcBorders>
            <w:shd w:val="clear" w:color="auto" w:fill="auto"/>
            <w:vAlign w:val="center"/>
          </w:tcPr>
          <w:p w14:paraId="077ACD39" w14:textId="77777777" w:rsidR="0025078F" w:rsidRPr="00B6650D" w:rsidRDefault="0025078F" w:rsidP="00DC3687">
            <w:pPr>
              <w:autoSpaceDE w:val="0"/>
              <w:autoSpaceDN w:val="0"/>
              <w:adjustRightInd w:val="0"/>
              <w:spacing w:before="0" w:after="0"/>
              <w:ind w:left="57" w:right="57"/>
              <w:jc w:val="left"/>
              <w:rPr>
                <w:rFonts w:cs="Times New Roman"/>
                <w:sz w:val="20"/>
                <w:szCs w:val="20"/>
                <w:lang w:val="sr-Latn-RS"/>
              </w:rPr>
            </w:pPr>
          </w:p>
        </w:tc>
      </w:tr>
      <w:tr w:rsidR="0025078F" w:rsidRPr="00B6650D" w14:paraId="70669E1B" w14:textId="77777777" w:rsidTr="00DC3687">
        <w:trPr>
          <w:cantSplit/>
        </w:trPr>
        <w:tc>
          <w:tcPr>
            <w:tcW w:w="953" w:type="pct"/>
            <w:vMerge w:val="restart"/>
            <w:shd w:val="clear" w:color="auto" w:fill="auto"/>
          </w:tcPr>
          <w:p w14:paraId="149279F3" w14:textId="77777777" w:rsidR="0025078F" w:rsidRPr="00B6650D" w:rsidRDefault="0025078F" w:rsidP="00DC3687">
            <w:pPr>
              <w:autoSpaceDE w:val="0"/>
              <w:autoSpaceDN w:val="0"/>
              <w:adjustRightInd w:val="0"/>
              <w:spacing w:before="0" w:after="0"/>
              <w:ind w:left="57" w:right="57"/>
              <w:jc w:val="left"/>
              <w:rPr>
                <w:rFonts w:cs="Arial"/>
                <w:sz w:val="20"/>
                <w:szCs w:val="20"/>
                <w:lang w:val="sr-Latn-RS"/>
              </w:rPr>
            </w:pPr>
            <w:r w:rsidRPr="00B6650D">
              <w:rPr>
                <w:rFonts w:cs="Arial"/>
                <w:sz w:val="20"/>
                <w:szCs w:val="20"/>
                <w:lang w:val="sr-Latn-RS"/>
              </w:rPr>
              <w:t>Surrogate</w:t>
            </w:r>
          </w:p>
        </w:tc>
        <w:tc>
          <w:tcPr>
            <w:tcW w:w="1751" w:type="pct"/>
            <w:shd w:val="clear" w:color="auto" w:fill="auto"/>
          </w:tcPr>
          <w:p w14:paraId="525D0BA2" w14:textId="2235E78F" w:rsidR="0025078F" w:rsidRPr="00B6650D" w:rsidRDefault="0025078F" w:rsidP="00DC3687">
            <w:pPr>
              <w:autoSpaceDE w:val="0"/>
              <w:autoSpaceDN w:val="0"/>
              <w:adjustRightInd w:val="0"/>
              <w:spacing w:before="0" w:after="0"/>
              <w:ind w:left="57" w:right="57"/>
              <w:jc w:val="left"/>
              <w:rPr>
                <w:rFonts w:cs="Arial"/>
                <w:sz w:val="20"/>
                <w:szCs w:val="20"/>
                <w:lang w:val="sr-Latn-RS"/>
              </w:rPr>
            </w:pPr>
            <w:r w:rsidRPr="00B6650D">
              <w:rPr>
                <w:rFonts w:cs="Arial"/>
                <w:sz w:val="20"/>
                <w:szCs w:val="20"/>
                <w:lang w:val="sr-Latn-RS"/>
              </w:rPr>
              <w:t>N_Median_IS</w:t>
            </w:r>
          </w:p>
        </w:tc>
        <w:tc>
          <w:tcPr>
            <w:tcW w:w="1204" w:type="pct"/>
            <w:shd w:val="clear" w:color="auto" w:fill="auto"/>
          </w:tcPr>
          <w:p w14:paraId="56943412" w14:textId="77777777" w:rsidR="0025078F" w:rsidRPr="00B6650D" w:rsidRDefault="0025078F" w:rsidP="00DC368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B6650D">
              <w:rPr>
                <w:rFonts w:cs="Arial"/>
                <w:sz w:val="20"/>
                <w:szCs w:val="20"/>
                <w:lang w:val="sr-Latn-RS"/>
              </w:rPr>
              <w:t>133</w:t>
            </w:r>
          </w:p>
        </w:tc>
        <w:tc>
          <w:tcPr>
            <w:tcW w:w="1092" w:type="pct"/>
            <w:shd w:val="clear" w:color="auto" w:fill="auto"/>
          </w:tcPr>
          <w:p w14:paraId="0E9E77CD" w14:textId="77777777" w:rsidR="0025078F" w:rsidRPr="00B6650D" w:rsidRDefault="0025078F" w:rsidP="00DC368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B6650D">
              <w:rPr>
                <w:rFonts w:cs="Arial"/>
                <w:sz w:val="20"/>
                <w:szCs w:val="20"/>
                <w:lang w:val="sr-Latn-RS"/>
              </w:rPr>
              <w:t>471</w:t>
            </w:r>
          </w:p>
        </w:tc>
      </w:tr>
      <w:tr w:rsidR="0025078F" w:rsidRPr="00B6650D" w14:paraId="1C062103" w14:textId="77777777" w:rsidTr="00DC3687">
        <w:trPr>
          <w:cantSplit/>
        </w:trPr>
        <w:tc>
          <w:tcPr>
            <w:tcW w:w="953" w:type="pct"/>
            <w:vMerge/>
            <w:shd w:val="clear" w:color="auto" w:fill="auto"/>
          </w:tcPr>
          <w:p w14:paraId="2BCC5936" w14:textId="77777777" w:rsidR="0025078F" w:rsidRPr="00B6650D" w:rsidRDefault="0025078F" w:rsidP="00DC3687">
            <w:pPr>
              <w:autoSpaceDE w:val="0"/>
              <w:autoSpaceDN w:val="0"/>
              <w:adjustRightInd w:val="0"/>
              <w:spacing w:before="0" w:after="0"/>
              <w:ind w:left="57" w:right="57"/>
              <w:jc w:val="left"/>
              <w:rPr>
                <w:rFonts w:cs="Arial"/>
                <w:sz w:val="20"/>
                <w:szCs w:val="20"/>
                <w:lang w:val="sr-Latn-RS"/>
              </w:rPr>
            </w:pPr>
          </w:p>
        </w:tc>
        <w:tc>
          <w:tcPr>
            <w:tcW w:w="1751" w:type="pct"/>
            <w:shd w:val="clear" w:color="auto" w:fill="auto"/>
          </w:tcPr>
          <w:p w14:paraId="59873991" w14:textId="377AD692" w:rsidR="0025078F" w:rsidRPr="00B6650D" w:rsidRDefault="0025078F" w:rsidP="00DC3687">
            <w:pPr>
              <w:autoSpaceDE w:val="0"/>
              <w:autoSpaceDN w:val="0"/>
              <w:adjustRightInd w:val="0"/>
              <w:spacing w:before="0" w:after="0"/>
              <w:ind w:left="57" w:right="57"/>
              <w:jc w:val="left"/>
              <w:rPr>
                <w:rFonts w:cs="Arial"/>
                <w:sz w:val="20"/>
                <w:szCs w:val="20"/>
                <w:lang w:val="sr-Latn-RS"/>
              </w:rPr>
            </w:pPr>
            <w:r w:rsidRPr="00B6650D">
              <w:rPr>
                <w:rFonts w:cs="Arial"/>
                <w:sz w:val="20"/>
                <w:szCs w:val="20"/>
                <w:lang w:val="sr-Latn-RS"/>
              </w:rPr>
              <w:t>N_min_IS</w:t>
            </w:r>
          </w:p>
        </w:tc>
        <w:tc>
          <w:tcPr>
            <w:tcW w:w="1204" w:type="pct"/>
            <w:shd w:val="clear" w:color="auto" w:fill="auto"/>
          </w:tcPr>
          <w:p w14:paraId="33B85E6C" w14:textId="77777777" w:rsidR="0025078F" w:rsidRPr="00B6650D" w:rsidRDefault="0025078F" w:rsidP="00DC368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B6650D">
              <w:rPr>
                <w:rFonts w:cs="Arial"/>
                <w:sz w:val="20"/>
                <w:szCs w:val="20"/>
                <w:lang w:val="sr-Latn-RS"/>
              </w:rPr>
              <w:t>163</w:t>
            </w:r>
          </w:p>
        </w:tc>
        <w:tc>
          <w:tcPr>
            <w:tcW w:w="1092" w:type="pct"/>
            <w:shd w:val="clear" w:color="auto" w:fill="auto"/>
          </w:tcPr>
          <w:p w14:paraId="430B1A8B" w14:textId="77777777" w:rsidR="0025078F" w:rsidRPr="00B6650D" w:rsidRDefault="0025078F" w:rsidP="00DC368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B6650D">
              <w:rPr>
                <w:rFonts w:cs="Arial"/>
                <w:sz w:val="20"/>
                <w:szCs w:val="20"/>
                <w:lang w:val="sr-Latn-RS"/>
              </w:rPr>
              <w:t>330</w:t>
            </w:r>
          </w:p>
        </w:tc>
      </w:tr>
      <w:tr w:rsidR="0025078F" w:rsidRPr="00B6650D" w14:paraId="2AD366C8" w14:textId="77777777" w:rsidTr="00F42FA5">
        <w:trPr>
          <w:cantSplit/>
        </w:trPr>
        <w:tc>
          <w:tcPr>
            <w:tcW w:w="953" w:type="pct"/>
            <w:vMerge/>
            <w:tcBorders>
              <w:bottom w:val="single" w:sz="4" w:space="0" w:color="auto"/>
            </w:tcBorders>
            <w:shd w:val="clear" w:color="auto" w:fill="auto"/>
          </w:tcPr>
          <w:p w14:paraId="322D33C0" w14:textId="77777777" w:rsidR="0025078F" w:rsidRPr="00B6650D" w:rsidRDefault="0025078F" w:rsidP="00DC3687">
            <w:pPr>
              <w:autoSpaceDE w:val="0"/>
              <w:autoSpaceDN w:val="0"/>
              <w:adjustRightInd w:val="0"/>
              <w:spacing w:before="0" w:after="0"/>
              <w:ind w:left="57" w:right="57"/>
              <w:jc w:val="left"/>
              <w:rPr>
                <w:rFonts w:cs="Arial"/>
                <w:sz w:val="20"/>
                <w:szCs w:val="20"/>
                <w:lang w:val="sr-Latn-RS"/>
              </w:rPr>
            </w:pPr>
          </w:p>
        </w:tc>
        <w:tc>
          <w:tcPr>
            <w:tcW w:w="1751" w:type="pct"/>
            <w:tcBorders>
              <w:bottom w:val="single" w:sz="4" w:space="0" w:color="auto"/>
            </w:tcBorders>
            <w:shd w:val="clear" w:color="auto" w:fill="auto"/>
          </w:tcPr>
          <w:p w14:paraId="0B27276B" w14:textId="68B4F92B" w:rsidR="0025078F" w:rsidRPr="00B6650D" w:rsidRDefault="0025078F" w:rsidP="00DC3687">
            <w:pPr>
              <w:autoSpaceDE w:val="0"/>
              <w:autoSpaceDN w:val="0"/>
              <w:adjustRightInd w:val="0"/>
              <w:spacing w:before="0" w:after="0"/>
              <w:ind w:left="57" w:right="57"/>
              <w:jc w:val="left"/>
              <w:rPr>
                <w:rFonts w:cs="Arial"/>
                <w:sz w:val="20"/>
                <w:szCs w:val="20"/>
                <w:lang w:val="sr-Latn-RS"/>
              </w:rPr>
            </w:pPr>
            <w:r w:rsidRPr="00B6650D">
              <w:rPr>
                <w:rFonts w:cs="Arial"/>
                <w:sz w:val="20"/>
                <w:szCs w:val="20"/>
                <w:lang w:val="sr-Latn-RS"/>
              </w:rPr>
              <w:t>N_Kurt_IS</w:t>
            </w:r>
          </w:p>
        </w:tc>
        <w:tc>
          <w:tcPr>
            <w:tcW w:w="1204" w:type="pct"/>
            <w:tcBorders>
              <w:bottom w:val="single" w:sz="4" w:space="0" w:color="auto"/>
            </w:tcBorders>
            <w:shd w:val="clear" w:color="auto" w:fill="auto"/>
          </w:tcPr>
          <w:p w14:paraId="781FDF1A" w14:textId="77777777" w:rsidR="0025078F" w:rsidRPr="00B6650D" w:rsidRDefault="0025078F" w:rsidP="00DC368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B6650D">
              <w:rPr>
                <w:rFonts w:cs="Arial"/>
                <w:sz w:val="20"/>
                <w:szCs w:val="20"/>
                <w:lang w:val="sr-Latn-RS"/>
              </w:rPr>
              <w:t>148</w:t>
            </w:r>
          </w:p>
        </w:tc>
        <w:tc>
          <w:tcPr>
            <w:tcW w:w="1092" w:type="pct"/>
            <w:tcBorders>
              <w:bottom w:val="single" w:sz="4" w:space="0" w:color="auto"/>
            </w:tcBorders>
            <w:shd w:val="clear" w:color="auto" w:fill="auto"/>
          </w:tcPr>
          <w:p w14:paraId="79BEE13A" w14:textId="77777777" w:rsidR="0025078F" w:rsidRPr="00B6650D" w:rsidRDefault="0025078F" w:rsidP="00DC3687">
            <w:pPr>
              <w:autoSpaceDE w:val="0"/>
              <w:autoSpaceDN w:val="0"/>
              <w:adjustRightInd w:val="0"/>
              <w:spacing w:before="0" w:after="0"/>
              <w:ind w:left="57" w:right="57"/>
              <w:jc w:val="right"/>
              <w:rPr>
                <w:rFonts w:cs="Arial"/>
                <w:sz w:val="20"/>
                <w:szCs w:val="20"/>
                <w:lang w:val="sr-Latn-RS"/>
              </w:rPr>
            </w:pPr>
            <w:r>
              <w:rPr>
                <w:rFonts w:cs="Arial"/>
                <w:sz w:val="20"/>
                <w:szCs w:val="20"/>
                <w:lang w:val="sr-Latn-RS"/>
              </w:rPr>
              <w:t>0.</w:t>
            </w:r>
            <w:r w:rsidRPr="00B6650D">
              <w:rPr>
                <w:rFonts w:cs="Arial"/>
                <w:sz w:val="20"/>
                <w:szCs w:val="20"/>
                <w:lang w:val="sr-Latn-RS"/>
              </w:rPr>
              <w:t>325</w:t>
            </w:r>
          </w:p>
        </w:tc>
      </w:tr>
      <w:tr w:rsidR="00F42FA5" w:rsidRPr="00B6650D" w14:paraId="77C598ED" w14:textId="77777777" w:rsidTr="00F42FA5">
        <w:trPr>
          <w:cantSplit/>
        </w:trPr>
        <w:tc>
          <w:tcPr>
            <w:tcW w:w="5000" w:type="pct"/>
            <w:gridSpan w:val="4"/>
            <w:tcBorders>
              <w:top w:val="single" w:sz="4" w:space="0" w:color="auto"/>
            </w:tcBorders>
            <w:shd w:val="clear" w:color="auto" w:fill="auto"/>
          </w:tcPr>
          <w:p w14:paraId="3F45E742" w14:textId="3F0F3C79" w:rsidR="00F42FA5" w:rsidRPr="00F42FA5" w:rsidRDefault="00F42FA5" w:rsidP="00F42FA5">
            <w:pPr>
              <w:autoSpaceDE w:val="0"/>
              <w:autoSpaceDN w:val="0"/>
              <w:adjustRightInd w:val="0"/>
              <w:spacing w:before="0" w:after="0"/>
              <w:ind w:left="57" w:right="57"/>
              <w:jc w:val="left"/>
              <w:rPr>
                <w:rFonts w:cs="Arial"/>
                <w:sz w:val="18"/>
                <w:szCs w:val="18"/>
                <w:lang w:val="sr-Latn-RS"/>
              </w:rPr>
            </w:pPr>
            <w:r w:rsidRPr="00F42FA5">
              <w:rPr>
                <w:rFonts w:cs="Arial"/>
                <w:sz w:val="18"/>
                <w:szCs w:val="18"/>
                <w:lang w:val="sr-Latn-RS"/>
              </w:rPr>
              <w:t>NOTE: Threshold for improvement 0.1.</w:t>
            </w:r>
          </w:p>
        </w:tc>
      </w:tr>
    </w:tbl>
    <w:p w14:paraId="1B1E4975" w14:textId="63644FCE" w:rsidR="0046319F" w:rsidRDefault="0046319F" w:rsidP="00645683">
      <w:pPr>
        <w:autoSpaceDE w:val="0"/>
        <w:autoSpaceDN w:val="0"/>
        <w:adjustRightInd w:val="0"/>
        <w:spacing w:before="0" w:after="0"/>
        <w:jc w:val="center"/>
        <w:rPr>
          <w:rFonts w:ascii="Times New Roman" w:hAnsi="Times New Roman" w:cs="Times New Roman"/>
          <w:szCs w:val="24"/>
          <w:lang w:val="sr-Latn-RS"/>
        </w:rPr>
      </w:pPr>
      <w:r>
        <w:rPr>
          <w:rFonts w:ascii="Times New Roman" w:hAnsi="Times New Roman" w:cs="Times New Roman"/>
          <w:noProof/>
          <w:szCs w:val="24"/>
          <w:lang w:val="sr-Latn-RS"/>
        </w:rPr>
        <w:lastRenderedPageBreak/>
        <w:drawing>
          <wp:inline distT="0" distB="0" distL="0" distR="0" wp14:anchorId="37BDB159" wp14:editId="0593DDD0">
            <wp:extent cx="4689191" cy="4384675"/>
            <wp:effectExtent l="0" t="0" r="0" b="0"/>
            <wp:docPr id="122" name="Picture 1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Diagram&#10;&#10;Description automatically generated"/>
                    <pic:cNvPicPr>
                      <a:picLocks noChangeAspect="1" noChangeArrowheads="1"/>
                    </pic:cNvPicPr>
                  </pic:nvPicPr>
                  <pic:blipFill rotWithShape="1">
                    <a:blip r:embed="rId145">
                      <a:extLst>
                        <a:ext uri="{28A0092B-C50C-407E-A947-70E740481C1C}">
                          <a14:useLocalDpi xmlns:a14="http://schemas.microsoft.com/office/drawing/2010/main" val="0"/>
                        </a:ext>
                      </a:extLst>
                    </a:blip>
                    <a:srcRect t="7393" b="7524"/>
                    <a:stretch/>
                  </pic:blipFill>
                  <pic:spPr bwMode="auto">
                    <a:xfrm>
                      <a:off x="0" y="0"/>
                      <a:ext cx="4689475" cy="4384941"/>
                    </a:xfrm>
                    <a:prstGeom prst="rect">
                      <a:avLst/>
                    </a:prstGeom>
                    <a:noFill/>
                    <a:ln>
                      <a:noFill/>
                    </a:ln>
                    <a:extLst>
                      <a:ext uri="{53640926-AAD7-44D8-BBD7-CCE9431645EC}">
                        <a14:shadowObscured xmlns:a14="http://schemas.microsoft.com/office/drawing/2010/main"/>
                      </a:ext>
                    </a:extLst>
                  </pic:spPr>
                </pic:pic>
              </a:graphicData>
            </a:graphic>
          </wp:inline>
        </w:drawing>
      </w:r>
    </w:p>
    <w:p w14:paraId="558CF9D1" w14:textId="12586A68" w:rsidR="00F30F4A" w:rsidRDefault="00F30F4A" w:rsidP="00F30F4A">
      <w:pPr>
        <w:pStyle w:val="Caption"/>
      </w:pPr>
      <w:bookmarkStart w:id="645" w:name="_Toc101274631"/>
      <w:r>
        <w:t xml:space="preserve">Figure </w:t>
      </w:r>
      <w:fldSimple w:instr=" SEQ Figure \* ARABIC ">
        <w:r w:rsidR="00587AF0">
          <w:rPr>
            <w:noProof/>
          </w:rPr>
          <w:t>109</w:t>
        </w:r>
      </w:fldSimple>
      <w:r>
        <w:t>. CART tree for idle saddle position</w:t>
      </w:r>
      <w:bookmarkEnd w:id="645"/>
    </w:p>
    <w:p w14:paraId="4ED673E7" w14:textId="622D153B" w:rsidR="00F30F4A" w:rsidRPr="00C23C04" w:rsidRDefault="00DC4ABB" w:rsidP="00FC336A">
      <w:pPr>
        <w:rPr>
          <w:lang w:val="en-GB"/>
        </w:rPr>
      </w:pPr>
      <w:r>
        <w:t>Although prediction accuracy for binary classification show</w:t>
      </w:r>
      <w:r w:rsidR="004909B8">
        <w:t>s</w:t>
      </w:r>
      <w:r>
        <w:t xml:space="preserve"> excellent results, the point that needs to be further analysed is the separation of labels. </w:t>
      </w:r>
      <w:r w:rsidR="004909B8">
        <w:t>As</w:t>
      </w:r>
      <w:r>
        <w:t xml:space="preserve"> mentioned</w:t>
      </w:r>
      <w:r w:rsidR="004909B8">
        <w:t>,</w:t>
      </w:r>
      <w:r>
        <w:t xml:space="preserve"> a lot of quasi-fault samples</w:t>
      </w:r>
      <w:r w:rsidR="004909B8">
        <w:t xml:space="preserve"> </w:t>
      </w:r>
      <w:r>
        <w:t>were removed from the analysis</w:t>
      </w:r>
      <w:r w:rsidR="004909B8">
        <w:t>.</w:t>
      </w:r>
      <w:r>
        <w:t xml:space="preserve"> </w:t>
      </w:r>
      <w:r w:rsidR="004909B8">
        <w:t>I</w:t>
      </w:r>
      <w:r>
        <w:t>t shows the 64%/36% data points of training and testing samples with defined labels, which suggest</w:t>
      </w:r>
      <w:r w:rsidR="004909B8">
        <w:t>s</w:t>
      </w:r>
      <w:r>
        <w:t xml:space="preserve"> that this data showed better performance overall on training and testing of quasi-faults since </w:t>
      </w:r>
      <w:r w:rsidR="004909B8">
        <w:t xml:space="preserve">the </w:t>
      </w:r>
      <w:r>
        <w:t xml:space="preserve">same accuracy is achieved with </w:t>
      </w:r>
      <w:r w:rsidR="004909B8">
        <w:t xml:space="preserve">a </w:t>
      </w:r>
      <w:r>
        <w:t xml:space="preserve">lower amount of data. Therefore, </w:t>
      </w:r>
      <w:r w:rsidR="004909B8">
        <w:t>the classification of data points is questionable since the almost double amount of data was included for training and testing</w:t>
      </w:r>
      <w:r>
        <w:t xml:space="preserve"> samples with </w:t>
      </w:r>
      <w:r w:rsidR="004909B8">
        <w:t xml:space="preserve">a </w:t>
      </w:r>
      <w:r>
        <w:t>normal operating state. Furthermore, it is also important to emphasise the bias and variance of the model since the functional-productiveness of a model has not been tested in real working conditions taking into account that only one variable was ne</w:t>
      </w:r>
      <w:r w:rsidR="004909B8">
        <w:t>ed</w:t>
      </w:r>
      <w:r>
        <w:t xml:space="preserve">ed to </w:t>
      </w:r>
      <w:r w:rsidR="004909B8">
        <w:t>predict</w:t>
      </w:r>
      <w:r>
        <w:t xml:space="preserve"> with 94% accuracy.</w:t>
      </w:r>
    </w:p>
    <w:p w14:paraId="0E22A119" w14:textId="3A298559" w:rsidR="00F30F4A" w:rsidRDefault="000F5A4C" w:rsidP="000F5A4C">
      <w:pPr>
        <w:pStyle w:val="Caption"/>
        <w:jc w:val="left"/>
        <w:rPr>
          <w:lang w:val="sr-Latn-RS"/>
        </w:rPr>
      </w:pPr>
      <w:bookmarkStart w:id="646" w:name="_Ref99273926"/>
      <w:bookmarkStart w:id="647" w:name="_Toc101274496"/>
      <w:r>
        <w:t xml:space="preserve">Table </w:t>
      </w:r>
      <w:fldSimple w:instr=" SEQ Table \* ARABIC ">
        <w:r w:rsidR="00587AF0">
          <w:rPr>
            <w:noProof/>
          </w:rPr>
          <w:t>56</w:t>
        </w:r>
      </w:fldSimple>
      <w:bookmarkEnd w:id="646"/>
      <w:r>
        <w:t xml:space="preserve">. </w:t>
      </w:r>
      <w:r w:rsidR="004909B8">
        <w:t>Decision</w:t>
      </w:r>
      <w:r>
        <w:t xml:space="preserve"> Tree classification score for idle saddle regime</w:t>
      </w:r>
      <w:bookmarkEnd w:id="647"/>
    </w:p>
    <w:tbl>
      <w:tblPr>
        <w:tblW w:w="5000" w:type="pct"/>
        <w:tblLook w:val="04A0" w:firstRow="1" w:lastRow="0" w:firstColumn="1" w:lastColumn="0" w:noHBand="0" w:noVBand="1"/>
      </w:tblPr>
      <w:tblGrid>
        <w:gridCol w:w="2005"/>
        <w:gridCol w:w="2351"/>
        <w:gridCol w:w="1004"/>
        <w:gridCol w:w="1780"/>
        <w:gridCol w:w="1887"/>
      </w:tblGrid>
      <w:tr w:rsidR="000F5A4C" w:rsidRPr="00F30F4A" w14:paraId="6E283C2C" w14:textId="77777777" w:rsidTr="00982E69">
        <w:trPr>
          <w:trHeight w:val="270"/>
        </w:trPr>
        <w:tc>
          <w:tcPr>
            <w:tcW w:w="1111" w:type="pct"/>
            <w:tcBorders>
              <w:top w:val="single" w:sz="4" w:space="0" w:color="auto"/>
              <w:left w:val="nil"/>
              <w:bottom w:val="single" w:sz="4" w:space="0" w:color="auto"/>
              <w:right w:val="nil"/>
            </w:tcBorders>
            <w:vAlign w:val="center"/>
            <w:hideMark/>
          </w:tcPr>
          <w:p w14:paraId="3604F584" w14:textId="5AF07FA4" w:rsidR="000F5A4C" w:rsidRPr="00F30F4A" w:rsidRDefault="000F5A4C" w:rsidP="000F5A4C">
            <w:pPr>
              <w:spacing w:before="0" w:after="0"/>
              <w:jc w:val="left"/>
              <w:rPr>
                <w:rFonts w:eastAsia="Times New Roman" w:cs="Times New Roman"/>
                <w:b/>
                <w:bCs/>
                <w:color w:val="000000"/>
                <w:sz w:val="20"/>
                <w:szCs w:val="20"/>
                <w:lang w:val="sr-Latn-RS" w:eastAsia="sr-Latn-RS"/>
              </w:rPr>
            </w:pPr>
            <w:r w:rsidRPr="00F30F4A">
              <w:rPr>
                <w:rFonts w:eastAsia="Times New Roman" w:cs="Times New Roman"/>
                <w:b/>
                <w:bCs/>
                <w:color w:val="000000"/>
                <w:sz w:val="20"/>
                <w:szCs w:val="20"/>
                <w:lang w:val="sr-Latn-RS" w:eastAsia="sr-Latn-RS"/>
              </w:rPr>
              <w:t>Sample</w:t>
            </w:r>
          </w:p>
        </w:tc>
        <w:tc>
          <w:tcPr>
            <w:tcW w:w="1302" w:type="pct"/>
            <w:tcBorders>
              <w:top w:val="single" w:sz="4" w:space="0" w:color="auto"/>
              <w:left w:val="nil"/>
              <w:bottom w:val="single" w:sz="4" w:space="0" w:color="auto"/>
              <w:right w:val="nil"/>
            </w:tcBorders>
            <w:vAlign w:val="center"/>
            <w:hideMark/>
          </w:tcPr>
          <w:p w14:paraId="774B965A" w14:textId="575DA851" w:rsidR="000F5A4C" w:rsidRPr="00F30F4A" w:rsidRDefault="000F5A4C" w:rsidP="000F5A4C">
            <w:pPr>
              <w:spacing w:before="0" w:after="0"/>
              <w:jc w:val="left"/>
              <w:rPr>
                <w:rFonts w:eastAsia="Times New Roman" w:cs="Times New Roman"/>
                <w:b/>
                <w:bCs/>
                <w:color w:val="000000"/>
                <w:sz w:val="20"/>
                <w:szCs w:val="20"/>
                <w:lang w:val="sr-Latn-RS" w:eastAsia="sr-Latn-RS"/>
              </w:rPr>
            </w:pPr>
            <w:r w:rsidRPr="00F30F4A">
              <w:rPr>
                <w:rFonts w:eastAsia="Times New Roman" w:cs="Times New Roman"/>
                <w:b/>
                <w:bCs/>
                <w:color w:val="000000"/>
                <w:sz w:val="20"/>
                <w:szCs w:val="20"/>
                <w:lang w:val="sr-Latn-RS" w:eastAsia="sr-Latn-RS"/>
              </w:rPr>
              <w:t>Observed</w:t>
            </w:r>
          </w:p>
        </w:tc>
        <w:tc>
          <w:tcPr>
            <w:tcW w:w="556" w:type="pct"/>
            <w:tcBorders>
              <w:top w:val="single" w:sz="4" w:space="0" w:color="auto"/>
              <w:left w:val="nil"/>
              <w:bottom w:val="single" w:sz="4" w:space="0" w:color="auto"/>
              <w:right w:val="nil"/>
            </w:tcBorders>
            <w:shd w:val="clear" w:color="auto" w:fill="auto"/>
            <w:vAlign w:val="center"/>
            <w:hideMark/>
          </w:tcPr>
          <w:p w14:paraId="29D3ECE3" w14:textId="77777777" w:rsidR="000F5A4C" w:rsidRPr="00F30F4A" w:rsidRDefault="000F5A4C" w:rsidP="000F5A4C">
            <w:pPr>
              <w:spacing w:before="0" w:after="0"/>
              <w:jc w:val="center"/>
              <w:rPr>
                <w:rFonts w:eastAsia="Times New Roman" w:cs="Times New Roman"/>
                <w:b/>
                <w:bCs/>
                <w:color w:val="000000"/>
                <w:sz w:val="20"/>
                <w:szCs w:val="20"/>
                <w:lang w:val="sr-Latn-RS" w:eastAsia="sr-Latn-RS"/>
              </w:rPr>
            </w:pPr>
            <w:r w:rsidRPr="00F30F4A">
              <w:rPr>
                <w:rFonts w:eastAsia="Times New Roman" w:cs="Times New Roman"/>
                <w:b/>
                <w:bCs/>
                <w:color w:val="000000"/>
                <w:sz w:val="20"/>
                <w:szCs w:val="20"/>
                <w:lang w:val="sr-Latn-RS" w:eastAsia="sr-Latn-RS"/>
              </w:rPr>
              <w:t>None</w:t>
            </w:r>
          </w:p>
        </w:tc>
        <w:tc>
          <w:tcPr>
            <w:tcW w:w="986" w:type="pct"/>
            <w:tcBorders>
              <w:top w:val="single" w:sz="4" w:space="0" w:color="auto"/>
              <w:left w:val="nil"/>
              <w:bottom w:val="single" w:sz="4" w:space="0" w:color="auto"/>
              <w:right w:val="nil"/>
            </w:tcBorders>
            <w:shd w:val="clear" w:color="auto" w:fill="auto"/>
            <w:vAlign w:val="center"/>
            <w:hideMark/>
          </w:tcPr>
          <w:p w14:paraId="42339369" w14:textId="77777777" w:rsidR="000F5A4C" w:rsidRPr="00F30F4A" w:rsidRDefault="000F5A4C" w:rsidP="000F5A4C">
            <w:pPr>
              <w:spacing w:before="0" w:after="0"/>
              <w:jc w:val="center"/>
              <w:rPr>
                <w:rFonts w:eastAsia="Times New Roman" w:cs="Times New Roman"/>
                <w:b/>
                <w:bCs/>
                <w:color w:val="000000"/>
                <w:sz w:val="20"/>
                <w:szCs w:val="20"/>
                <w:lang w:val="sr-Latn-RS" w:eastAsia="sr-Latn-RS"/>
              </w:rPr>
            </w:pPr>
            <w:r w:rsidRPr="00F30F4A">
              <w:rPr>
                <w:rFonts w:eastAsia="Times New Roman" w:cs="Times New Roman"/>
                <w:b/>
                <w:bCs/>
                <w:color w:val="000000"/>
                <w:sz w:val="20"/>
                <w:szCs w:val="20"/>
                <w:lang w:val="sr-Latn-RS" w:eastAsia="sr-Latn-RS"/>
              </w:rPr>
              <w:t>Quasi-fault</w:t>
            </w:r>
          </w:p>
        </w:tc>
        <w:tc>
          <w:tcPr>
            <w:tcW w:w="1045" w:type="pct"/>
            <w:tcBorders>
              <w:top w:val="single" w:sz="4" w:space="0" w:color="auto"/>
              <w:left w:val="nil"/>
              <w:bottom w:val="single" w:sz="4" w:space="0" w:color="auto"/>
              <w:right w:val="nil"/>
            </w:tcBorders>
            <w:shd w:val="clear" w:color="auto" w:fill="auto"/>
            <w:vAlign w:val="center"/>
            <w:hideMark/>
          </w:tcPr>
          <w:p w14:paraId="4FAAFFE8" w14:textId="77777777" w:rsidR="000F5A4C" w:rsidRPr="00F30F4A" w:rsidRDefault="000F5A4C" w:rsidP="000F5A4C">
            <w:pPr>
              <w:spacing w:before="0" w:after="0"/>
              <w:jc w:val="center"/>
              <w:rPr>
                <w:rFonts w:eastAsia="Times New Roman" w:cs="Times New Roman"/>
                <w:b/>
                <w:bCs/>
                <w:color w:val="000000"/>
                <w:sz w:val="20"/>
                <w:szCs w:val="20"/>
                <w:lang w:val="sr-Latn-RS" w:eastAsia="sr-Latn-RS"/>
              </w:rPr>
            </w:pPr>
            <w:r w:rsidRPr="00F30F4A">
              <w:rPr>
                <w:rFonts w:eastAsia="Times New Roman" w:cs="Times New Roman"/>
                <w:b/>
                <w:bCs/>
                <w:color w:val="000000"/>
                <w:sz w:val="20"/>
                <w:szCs w:val="20"/>
                <w:lang w:val="sr-Latn-RS" w:eastAsia="sr-Latn-RS"/>
              </w:rPr>
              <w:t>Percent Correct</w:t>
            </w:r>
          </w:p>
        </w:tc>
      </w:tr>
      <w:tr w:rsidR="00F30F4A" w:rsidRPr="00F30F4A" w14:paraId="706C0A13" w14:textId="77777777" w:rsidTr="00982E69">
        <w:trPr>
          <w:trHeight w:val="255"/>
        </w:trPr>
        <w:tc>
          <w:tcPr>
            <w:tcW w:w="1111" w:type="pct"/>
            <w:vMerge w:val="restart"/>
            <w:tcBorders>
              <w:top w:val="single" w:sz="4" w:space="0" w:color="auto"/>
              <w:left w:val="nil"/>
              <w:bottom w:val="nil"/>
              <w:right w:val="nil"/>
            </w:tcBorders>
            <w:shd w:val="clear" w:color="auto" w:fill="auto"/>
            <w:vAlign w:val="center"/>
            <w:hideMark/>
          </w:tcPr>
          <w:p w14:paraId="18995C79" w14:textId="77777777" w:rsidR="00F30F4A" w:rsidRPr="00F30F4A" w:rsidRDefault="00F30F4A" w:rsidP="00F30F4A">
            <w:pPr>
              <w:spacing w:before="0" w:after="0"/>
              <w:jc w:val="left"/>
              <w:rPr>
                <w:rFonts w:eastAsia="Times New Roman" w:cs="Times New Roman"/>
                <w:color w:val="000000"/>
                <w:sz w:val="20"/>
                <w:szCs w:val="20"/>
                <w:lang w:val="sr-Latn-RS" w:eastAsia="sr-Latn-RS"/>
              </w:rPr>
            </w:pPr>
            <w:r w:rsidRPr="00F30F4A">
              <w:rPr>
                <w:rFonts w:eastAsia="Times New Roman" w:cs="Times New Roman"/>
                <w:color w:val="000000"/>
                <w:sz w:val="20"/>
                <w:szCs w:val="20"/>
                <w:lang w:val="sr-Latn-RS" w:eastAsia="sr-Latn-RS"/>
              </w:rPr>
              <w:t>Training</w:t>
            </w:r>
          </w:p>
        </w:tc>
        <w:tc>
          <w:tcPr>
            <w:tcW w:w="1302" w:type="pct"/>
            <w:tcBorders>
              <w:top w:val="single" w:sz="4" w:space="0" w:color="auto"/>
              <w:left w:val="nil"/>
              <w:bottom w:val="nil"/>
              <w:right w:val="nil"/>
            </w:tcBorders>
            <w:shd w:val="clear" w:color="auto" w:fill="auto"/>
            <w:vAlign w:val="center"/>
            <w:hideMark/>
          </w:tcPr>
          <w:p w14:paraId="4E7D446E" w14:textId="77777777" w:rsidR="00F30F4A" w:rsidRPr="00F30F4A" w:rsidRDefault="00F30F4A" w:rsidP="00F30F4A">
            <w:pPr>
              <w:spacing w:before="0" w:after="0"/>
              <w:jc w:val="left"/>
              <w:rPr>
                <w:rFonts w:eastAsia="Times New Roman" w:cs="Times New Roman"/>
                <w:color w:val="000000"/>
                <w:sz w:val="20"/>
                <w:szCs w:val="20"/>
                <w:lang w:val="sr-Latn-RS" w:eastAsia="sr-Latn-RS"/>
              </w:rPr>
            </w:pPr>
            <w:r w:rsidRPr="00F30F4A">
              <w:rPr>
                <w:rFonts w:eastAsia="Times New Roman" w:cs="Times New Roman"/>
                <w:color w:val="000000"/>
                <w:sz w:val="20"/>
                <w:szCs w:val="20"/>
                <w:lang w:val="sr-Latn-RS" w:eastAsia="sr-Latn-RS"/>
              </w:rPr>
              <w:t>None</w:t>
            </w:r>
          </w:p>
        </w:tc>
        <w:tc>
          <w:tcPr>
            <w:tcW w:w="556" w:type="pct"/>
            <w:tcBorders>
              <w:top w:val="single" w:sz="4" w:space="0" w:color="auto"/>
              <w:left w:val="nil"/>
              <w:bottom w:val="nil"/>
              <w:right w:val="nil"/>
            </w:tcBorders>
            <w:shd w:val="clear" w:color="auto" w:fill="auto"/>
            <w:vAlign w:val="center"/>
            <w:hideMark/>
          </w:tcPr>
          <w:p w14:paraId="36B70BD3" w14:textId="77777777" w:rsidR="00F30F4A" w:rsidRPr="00F30F4A" w:rsidRDefault="00F30F4A" w:rsidP="00F30F4A">
            <w:pPr>
              <w:spacing w:before="0" w:after="0"/>
              <w:jc w:val="right"/>
              <w:rPr>
                <w:rFonts w:eastAsia="Times New Roman" w:cs="Times New Roman"/>
                <w:color w:val="000000"/>
                <w:sz w:val="20"/>
                <w:szCs w:val="20"/>
                <w:lang w:val="sr-Latn-RS" w:eastAsia="sr-Latn-RS"/>
              </w:rPr>
            </w:pPr>
            <w:r w:rsidRPr="00F30F4A">
              <w:rPr>
                <w:rFonts w:eastAsia="Times New Roman" w:cs="Times New Roman"/>
                <w:color w:val="000000"/>
                <w:sz w:val="20"/>
                <w:szCs w:val="20"/>
                <w:lang w:val="sr-Latn-RS" w:eastAsia="sr-Latn-RS"/>
              </w:rPr>
              <w:t>334</w:t>
            </w:r>
          </w:p>
        </w:tc>
        <w:tc>
          <w:tcPr>
            <w:tcW w:w="986" w:type="pct"/>
            <w:tcBorders>
              <w:top w:val="single" w:sz="4" w:space="0" w:color="auto"/>
              <w:left w:val="nil"/>
              <w:bottom w:val="nil"/>
              <w:right w:val="nil"/>
            </w:tcBorders>
            <w:shd w:val="clear" w:color="auto" w:fill="auto"/>
            <w:vAlign w:val="center"/>
            <w:hideMark/>
          </w:tcPr>
          <w:p w14:paraId="274D6BA8" w14:textId="77777777" w:rsidR="00F30F4A" w:rsidRPr="00F30F4A" w:rsidRDefault="00F30F4A" w:rsidP="00F30F4A">
            <w:pPr>
              <w:spacing w:before="0" w:after="0"/>
              <w:jc w:val="right"/>
              <w:rPr>
                <w:rFonts w:eastAsia="Times New Roman" w:cs="Times New Roman"/>
                <w:color w:val="000000"/>
                <w:sz w:val="20"/>
                <w:szCs w:val="20"/>
                <w:lang w:val="sr-Latn-RS" w:eastAsia="sr-Latn-RS"/>
              </w:rPr>
            </w:pPr>
            <w:r w:rsidRPr="00F30F4A">
              <w:rPr>
                <w:rFonts w:eastAsia="Times New Roman" w:cs="Times New Roman"/>
                <w:color w:val="000000"/>
                <w:sz w:val="20"/>
                <w:szCs w:val="20"/>
                <w:lang w:val="sr-Latn-RS" w:eastAsia="sr-Latn-RS"/>
              </w:rPr>
              <w:t>21</w:t>
            </w:r>
          </w:p>
        </w:tc>
        <w:tc>
          <w:tcPr>
            <w:tcW w:w="1045" w:type="pct"/>
            <w:tcBorders>
              <w:top w:val="single" w:sz="4" w:space="0" w:color="auto"/>
              <w:left w:val="nil"/>
              <w:bottom w:val="nil"/>
              <w:right w:val="nil"/>
            </w:tcBorders>
            <w:shd w:val="clear" w:color="auto" w:fill="auto"/>
            <w:vAlign w:val="center"/>
            <w:hideMark/>
          </w:tcPr>
          <w:p w14:paraId="6027C2E1" w14:textId="15910D28" w:rsidR="00F30F4A" w:rsidRPr="00F30F4A" w:rsidRDefault="00F30F4A" w:rsidP="00F30F4A">
            <w:pPr>
              <w:spacing w:before="0" w:after="0"/>
              <w:jc w:val="right"/>
              <w:rPr>
                <w:rFonts w:eastAsia="Times New Roman" w:cs="Times New Roman"/>
                <w:color w:val="000000"/>
                <w:sz w:val="20"/>
                <w:szCs w:val="20"/>
                <w:lang w:val="sr-Latn-RS" w:eastAsia="sr-Latn-RS"/>
              </w:rPr>
            </w:pPr>
            <w:r w:rsidRPr="00F30F4A">
              <w:rPr>
                <w:rFonts w:eastAsia="Times New Roman" w:cs="Times New Roman"/>
                <w:color w:val="000000"/>
                <w:sz w:val="20"/>
                <w:szCs w:val="20"/>
                <w:lang w:val="sr-Latn-RS" w:eastAsia="sr-Latn-RS"/>
              </w:rPr>
              <w:t>94.</w:t>
            </w:r>
            <w:r w:rsidR="0046319F">
              <w:rPr>
                <w:rFonts w:eastAsia="Times New Roman" w:cs="Times New Roman"/>
                <w:color w:val="000000"/>
                <w:sz w:val="20"/>
                <w:szCs w:val="20"/>
                <w:lang w:val="sr-Latn-RS" w:eastAsia="sr-Latn-RS"/>
              </w:rPr>
              <w:t>1</w:t>
            </w:r>
            <w:r w:rsidRPr="00F30F4A">
              <w:rPr>
                <w:rFonts w:eastAsia="Times New Roman" w:cs="Times New Roman"/>
                <w:color w:val="000000"/>
                <w:sz w:val="20"/>
                <w:szCs w:val="20"/>
                <w:lang w:val="sr-Latn-RS" w:eastAsia="sr-Latn-RS"/>
              </w:rPr>
              <w:t>%</w:t>
            </w:r>
          </w:p>
        </w:tc>
      </w:tr>
      <w:tr w:rsidR="00F30F4A" w:rsidRPr="00F30F4A" w14:paraId="569B658D" w14:textId="77777777" w:rsidTr="000F5A4C">
        <w:trPr>
          <w:trHeight w:val="255"/>
        </w:trPr>
        <w:tc>
          <w:tcPr>
            <w:tcW w:w="1111" w:type="pct"/>
            <w:vMerge/>
            <w:tcBorders>
              <w:top w:val="nil"/>
              <w:left w:val="nil"/>
              <w:bottom w:val="nil"/>
              <w:right w:val="nil"/>
            </w:tcBorders>
            <w:vAlign w:val="center"/>
            <w:hideMark/>
          </w:tcPr>
          <w:p w14:paraId="7BCB8105" w14:textId="77777777" w:rsidR="00F30F4A" w:rsidRPr="00F30F4A" w:rsidRDefault="00F30F4A" w:rsidP="00F30F4A">
            <w:pPr>
              <w:spacing w:before="0" w:after="0"/>
              <w:jc w:val="left"/>
              <w:rPr>
                <w:rFonts w:eastAsia="Times New Roman" w:cs="Times New Roman"/>
                <w:color w:val="000000"/>
                <w:sz w:val="20"/>
                <w:szCs w:val="20"/>
                <w:lang w:val="sr-Latn-RS" w:eastAsia="sr-Latn-RS"/>
              </w:rPr>
            </w:pPr>
          </w:p>
        </w:tc>
        <w:tc>
          <w:tcPr>
            <w:tcW w:w="1302" w:type="pct"/>
            <w:tcBorders>
              <w:top w:val="nil"/>
              <w:left w:val="nil"/>
              <w:bottom w:val="nil"/>
              <w:right w:val="nil"/>
            </w:tcBorders>
            <w:shd w:val="clear" w:color="auto" w:fill="auto"/>
            <w:vAlign w:val="center"/>
            <w:hideMark/>
          </w:tcPr>
          <w:p w14:paraId="4921A26A" w14:textId="77777777" w:rsidR="00F30F4A" w:rsidRPr="00F30F4A" w:rsidRDefault="00F30F4A" w:rsidP="00F30F4A">
            <w:pPr>
              <w:spacing w:before="0" w:after="0"/>
              <w:jc w:val="left"/>
              <w:rPr>
                <w:rFonts w:eastAsia="Times New Roman" w:cs="Times New Roman"/>
                <w:color w:val="000000"/>
                <w:sz w:val="20"/>
                <w:szCs w:val="20"/>
                <w:lang w:val="sr-Latn-RS" w:eastAsia="sr-Latn-RS"/>
              </w:rPr>
            </w:pPr>
            <w:r w:rsidRPr="00F30F4A">
              <w:rPr>
                <w:rFonts w:eastAsia="Times New Roman" w:cs="Times New Roman"/>
                <w:color w:val="000000"/>
                <w:sz w:val="20"/>
                <w:szCs w:val="20"/>
                <w:lang w:val="sr-Latn-RS" w:eastAsia="sr-Latn-RS"/>
              </w:rPr>
              <w:t>Quasi-fault</w:t>
            </w:r>
          </w:p>
        </w:tc>
        <w:tc>
          <w:tcPr>
            <w:tcW w:w="556" w:type="pct"/>
            <w:tcBorders>
              <w:top w:val="nil"/>
              <w:left w:val="nil"/>
              <w:bottom w:val="nil"/>
              <w:right w:val="nil"/>
            </w:tcBorders>
            <w:shd w:val="clear" w:color="auto" w:fill="auto"/>
            <w:vAlign w:val="center"/>
            <w:hideMark/>
          </w:tcPr>
          <w:p w14:paraId="2A609141" w14:textId="77777777" w:rsidR="00F30F4A" w:rsidRPr="00F30F4A" w:rsidRDefault="00F30F4A" w:rsidP="00F30F4A">
            <w:pPr>
              <w:spacing w:before="0" w:after="0"/>
              <w:jc w:val="right"/>
              <w:rPr>
                <w:rFonts w:eastAsia="Times New Roman" w:cs="Times New Roman"/>
                <w:color w:val="000000"/>
                <w:sz w:val="20"/>
                <w:szCs w:val="20"/>
                <w:lang w:val="sr-Latn-RS" w:eastAsia="sr-Latn-RS"/>
              </w:rPr>
            </w:pPr>
            <w:r w:rsidRPr="00F30F4A">
              <w:rPr>
                <w:rFonts w:eastAsia="Times New Roman" w:cs="Times New Roman"/>
                <w:color w:val="000000"/>
                <w:sz w:val="20"/>
                <w:szCs w:val="20"/>
                <w:lang w:val="sr-Latn-RS" w:eastAsia="sr-Latn-RS"/>
              </w:rPr>
              <w:t>15</w:t>
            </w:r>
          </w:p>
        </w:tc>
        <w:tc>
          <w:tcPr>
            <w:tcW w:w="986" w:type="pct"/>
            <w:tcBorders>
              <w:top w:val="nil"/>
              <w:left w:val="nil"/>
              <w:bottom w:val="nil"/>
              <w:right w:val="nil"/>
            </w:tcBorders>
            <w:shd w:val="clear" w:color="auto" w:fill="auto"/>
            <w:vAlign w:val="center"/>
            <w:hideMark/>
          </w:tcPr>
          <w:p w14:paraId="55B12ECC" w14:textId="2E96F9DB" w:rsidR="00F30F4A" w:rsidRPr="00F30F4A" w:rsidRDefault="0046319F" w:rsidP="00F30F4A">
            <w:pPr>
              <w:spacing w:before="0" w:after="0"/>
              <w:jc w:val="right"/>
              <w:rPr>
                <w:rFonts w:eastAsia="Times New Roman" w:cs="Times New Roman"/>
                <w:color w:val="000000"/>
                <w:sz w:val="20"/>
                <w:szCs w:val="20"/>
                <w:lang w:val="sr-Latn-RS" w:eastAsia="sr-Latn-RS"/>
              </w:rPr>
            </w:pPr>
            <w:r>
              <w:rPr>
                <w:rFonts w:eastAsia="Times New Roman" w:cs="Times New Roman"/>
                <w:color w:val="000000"/>
                <w:sz w:val="20"/>
                <w:szCs w:val="20"/>
                <w:lang w:val="sr-Latn-RS" w:eastAsia="sr-Latn-RS"/>
              </w:rPr>
              <w:t>1</w:t>
            </w:r>
            <w:r w:rsidR="00F30F4A" w:rsidRPr="00F30F4A">
              <w:rPr>
                <w:rFonts w:eastAsia="Times New Roman" w:cs="Times New Roman"/>
                <w:color w:val="000000"/>
                <w:sz w:val="20"/>
                <w:szCs w:val="20"/>
                <w:lang w:val="sr-Latn-RS" w:eastAsia="sr-Latn-RS"/>
              </w:rPr>
              <w:t>70</w:t>
            </w:r>
          </w:p>
        </w:tc>
        <w:tc>
          <w:tcPr>
            <w:tcW w:w="1045" w:type="pct"/>
            <w:tcBorders>
              <w:top w:val="nil"/>
              <w:left w:val="nil"/>
              <w:bottom w:val="nil"/>
              <w:right w:val="nil"/>
            </w:tcBorders>
            <w:shd w:val="clear" w:color="auto" w:fill="auto"/>
            <w:vAlign w:val="center"/>
            <w:hideMark/>
          </w:tcPr>
          <w:p w14:paraId="095D2D31" w14:textId="2984FF51" w:rsidR="00F30F4A" w:rsidRPr="00F30F4A" w:rsidRDefault="00F30F4A" w:rsidP="00F30F4A">
            <w:pPr>
              <w:spacing w:before="0" w:after="0"/>
              <w:jc w:val="right"/>
              <w:rPr>
                <w:rFonts w:eastAsia="Times New Roman" w:cs="Times New Roman"/>
                <w:color w:val="000000"/>
                <w:sz w:val="20"/>
                <w:szCs w:val="20"/>
                <w:lang w:val="sr-Latn-RS" w:eastAsia="sr-Latn-RS"/>
              </w:rPr>
            </w:pPr>
            <w:r w:rsidRPr="00F30F4A">
              <w:rPr>
                <w:rFonts w:eastAsia="Times New Roman" w:cs="Times New Roman"/>
                <w:color w:val="000000"/>
                <w:sz w:val="20"/>
                <w:szCs w:val="20"/>
                <w:lang w:val="sr-Latn-RS" w:eastAsia="sr-Latn-RS"/>
              </w:rPr>
              <w:t>9</w:t>
            </w:r>
            <w:r w:rsidR="0046319F">
              <w:rPr>
                <w:rFonts w:eastAsia="Times New Roman" w:cs="Times New Roman"/>
                <w:color w:val="000000"/>
                <w:sz w:val="20"/>
                <w:szCs w:val="20"/>
                <w:lang w:val="sr-Latn-RS" w:eastAsia="sr-Latn-RS"/>
              </w:rPr>
              <w:t>1</w:t>
            </w:r>
            <w:r w:rsidRPr="00F30F4A">
              <w:rPr>
                <w:rFonts w:eastAsia="Times New Roman" w:cs="Times New Roman"/>
                <w:color w:val="000000"/>
                <w:sz w:val="20"/>
                <w:szCs w:val="20"/>
                <w:lang w:val="sr-Latn-RS" w:eastAsia="sr-Latn-RS"/>
              </w:rPr>
              <w:t>.</w:t>
            </w:r>
            <w:r w:rsidR="0046319F">
              <w:rPr>
                <w:rFonts w:eastAsia="Times New Roman" w:cs="Times New Roman"/>
                <w:color w:val="000000"/>
                <w:sz w:val="20"/>
                <w:szCs w:val="20"/>
                <w:lang w:val="sr-Latn-RS" w:eastAsia="sr-Latn-RS"/>
              </w:rPr>
              <w:t>9</w:t>
            </w:r>
            <w:r w:rsidRPr="00F30F4A">
              <w:rPr>
                <w:rFonts w:eastAsia="Times New Roman" w:cs="Times New Roman"/>
                <w:color w:val="000000"/>
                <w:sz w:val="20"/>
                <w:szCs w:val="20"/>
                <w:lang w:val="sr-Latn-RS" w:eastAsia="sr-Latn-RS"/>
              </w:rPr>
              <w:t>%</w:t>
            </w:r>
          </w:p>
        </w:tc>
      </w:tr>
      <w:tr w:rsidR="00F30F4A" w:rsidRPr="00F30F4A" w14:paraId="3BBD45CE" w14:textId="77777777" w:rsidTr="00982E69">
        <w:trPr>
          <w:trHeight w:val="74"/>
        </w:trPr>
        <w:tc>
          <w:tcPr>
            <w:tcW w:w="1111" w:type="pct"/>
            <w:vMerge/>
            <w:tcBorders>
              <w:top w:val="nil"/>
              <w:left w:val="nil"/>
              <w:right w:val="nil"/>
            </w:tcBorders>
            <w:vAlign w:val="center"/>
            <w:hideMark/>
          </w:tcPr>
          <w:p w14:paraId="2293A745" w14:textId="77777777" w:rsidR="00F30F4A" w:rsidRPr="00F30F4A" w:rsidRDefault="00F30F4A" w:rsidP="00F30F4A">
            <w:pPr>
              <w:spacing w:before="0" w:after="0"/>
              <w:jc w:val="left"/>
              <w:rPr>
                <w:rFonts w:eastAsia="Times New Roman" w:cs="Times New Roman"/>
                <w:color w:val="000000"/>
                <w:sz w:val="20"/>
                <w:szCs w:val="20"/>
                <w:lang w:val="sr-Latn-RS" w:eastAsia="sr-Latn-RS"/>
              </w:rPr>
            </w:pPr>
          </w:p>
        </w:tc>
        <w:tc>
          <w:tcPr>
            <w:tcW w:w="1302" w:type="pct"/>
            <w:tcBorders>
              <w:top w:val="nil"/>
              <w:left w:val="nil"/>
              <w:right w:val="nil"/>
            </w:tcBorders>
            <w:shd w:val="clear" w:color="auto" w:fill="auto"/>
            <w:vAlign w:val="center"/>
            <w:hideMark/>
          </w:tcPr>
          <w:p w14:paraId="1584BBC4" w14:textId="77777777" w:rsidR="00F30F4A" w:rsidRPr="00F30F4A" w:rsidRDefault="00F30F4A" w:rsidP="00F30F4A">
            <w:pPr>
              <w:spacing w:before="0" w:after="0"/>
              <w:jc w:val="left"/>
              <w:rPr>
                <w:rFonts w:eastAsia="Times New Roman" w:cs="Times New Roman"/>
                <w:color w:val="000000"/>
                <w:sz w:val="20"/>
                <w:szCs w:val="20"/>
                <w:lang w:val="sr-Latn-RS" w:eastAsia="sr-Latn-RS"/>
              </w:rPr>
            </w:pPr>
            <w:r w:rsidRPr="00F30F4A">
              <w:rPr>
                <w:rFonts w:eastAsia="Times New Roman" w:cs="Times New Roman"/>
                <w:color w:val="000000"/>
                <w:sz w:val="20"/>
                <w:szCs w:val="20"/>
                <w:lang w:val="sr-Latn-RS" w:eastAsia="sr-Latn-RS"/>
              </w:rPr>
              <w:t>Overall Percentage</w:t>
            </w:r>
          </w:p>
        </w:tc>
        <w:tc>
          <w:tcPr>
            <w:tcW w:w="556" w:type="pct"/>
            <w:tcBorders>
              <w:top w:val="nil"/>
              <w:left w:val="nil"/>
              <w:right w:val="nil"/>
            </w:tcBorders>
            <w:shd w:val="clear" w:color="auto" w:fill="auto"/>
            <w:noWrap/>
            <w:vAlign w:val="center"/>
            <w:hideMark/>
          </w:tcPr>
          <w:p w14:paraId="2023FC70" w14:textId="4912C9F4" w:rsidR="00F30F4A" w:rsidRPr="00F30F4A" w:rsidRDefault="0046319F" w:rsidP="00F30F4A">
            <w:pPr>
              <w:spacing w:before="0" w:after="0"/>
              <w:jc w:val="right"/>
              <w:rPr>
                <w:rFonts w:eastAsia="Times New Roman" w:cs="Times New Roman"/>
                <w:color w:val="000000"/>
                <w:sz w:val="20"/>
                <w:szCs w:val="20"/>
                <w:lang w:val="sr-Latn-RS" w:eastAsia="sr-Latn-RS"/>
              </w:rPr>
            </w:pPr>
            <w:r>
              <w:rPr>
                <w:rFonts w:eastAsia="Times New Roman" w:cs="Times New Roman"/>
                <w:color w:val="000000"/>
                <w:sz w:val="20"/>
                <w:szCs w:val="20"/>
                <w:lang w:val="sr-Latn-RS" w:eastAsia="sr-Latn-RS"/>
              </w:rPr>
              <w:t>6</w:t>
            </w:r>
            <w:r w:rsidR="00F30F4A" w:rsidRPr="00F30F4A">
              <w:rPr>
                <w:rFonts w:eastAsia="Times New Roman" w:cs="Times New Roman"/>
                <w:color w:val="000000"/>
                <w:sz w:val="20"/>
                <w:szCs w:val="20"/>
                <w:lang w:val="sr-Latn-RS" w:eastAsia="sr-Latn-RS"/>
              </w:rPr>
              <w:t>4.</w:t>
            </w:r>
            <w:r>
              <w:rPr>
                <w:rFonts w:eastAsia="Times New Roman" w:cs="Times New Roman"/>
                <w:color w:val="000000"/>
                <w:sz w:val="20"/>
                <w:szCs w:val="20"/>
                <w:lang w:val="sr-Latn-RS" w:eastAsia="sr-Latn-RS"/>
              </w:rPr>
              <w:t>6</w:t>
            </w:r>
            <w:r w:rsidR="00F30F4A" w:rsidRPr="00F30F4A">
              <w:rPr>
                <w:rFonts w:eastAsia="Times New Roman" w:cs="Times New Roman"/>
                <w:color w:val="000000"/>
                <w:sz w:val="20"/>
                <w:szCs w:val="20"/>
                <w:lang w:val="sr-Latn-RS" w:eastAsia="sr-Latn-RS"/>
              </w:rPr>
              <w:t>%</w:t>
            </w:r>
          </w:p>
        </w:tc>
        <w:tc>
          <w:tcPr>
            <w:tcW w:w="986" w:type="pct"/>
            <w:tcBorders>
              <w:top w:val="nil"/>
              <w:left w:val="nil"/>
              <w:right w:val="nil"/>
            </w:tcBorders>
            <w:shd w:val="clear" w:color="auto" w:fill="auto"/>
            <w:noWrap/>
            <w:vAlign w:val="center"/>
            <w:hideMark/>
          </w:tcPr>
          <w:p w14:paraId="1F980AF0" w14:textId="083864BF" w:rsidR="00F30F4A" w:rsidRPr="00F30F4A" w:rsidRDefault="0046319F" w:rsidP="00F30F4A">
            <w:pPr>
              <w:spacing w:before="0" w:after="0"/>
              <w:jc w:val="right"/>
              <w:rPr>
                <w:rFonts w:eastAsia="Times New Roman" w:cs="Times New Roman"/>
                <w:color w:val="000000"/>
                <w:sz w:val="20"/>
                <w:szCs w:val="20"/>
                <w:lang w:val="sr-Latn-RS" w:eastAsia="sr-Latn-RS"/>
              </w:rPr>
            </w:pPr>
            <w:r>
              <w:rPr>
                <w:rFonts w:eastAsia="Times New Roman" w:cs="Times New Roman"/>
                <w:color w:val="000000"/>
                <w:sz w:val="20"/>
                <w:szCs w:val="20"/>
                <w:lang w:val="sr-Latn-RS" w:eastAsia="sr-Latn-RS"/>
              </w:rPr>
              <w:t>3</w:t>
            </w:r>
            <w:r w:rsidR="00F30F4A" w:rsidRPr="00F30F4A">
              <w:rPr>
                <w:rFonts w:eastAsia="Times New Roman" w:cs="Times New Roman"/>
                <w:color w:val="000000"/>
                <w:sz w:val="20"/>
                <w:szCs w:val="20"/>
                <w:lang w:val="sr-Latn-RS" w:eastAsia="sr-Latn-RS"/>
              </w:rPr>
              <w:t>5.</w:t>
            </w:r>
            <w:r>
              <w:rPr>
                <w:rFonts w:eastAsia="Times New Roman" w:cs="Times New Roman"/>
                <w:color w:val="000000"/>
                <w:sz w:val="20"/>
                <w:szCs w:val="20"/>
                <w:lang w:val="sr-Latn-RS" w:eastAsia="sr-Latn-RS"/>
              </w:rPr>
              <w:t>4</w:t>
            </w:r>
            <w:r w:rsidR="00F30F4A" w:rsidRPr="00F30F4A">
              <w:rPr>
                <w:rFonts w:eastAsia="Times New Roman" w:cs="Times New Roman"/>
                <w:color w:val="000000"/>
                <w:sz w:val="20"/>
                <w:szCs w:val="20"/>
                <w:lang w:val="sr-Latn-RS" w:eastAsia="sr-Latn-RS"/>
              </w:rPr>
              <w:t>%</w:t>
            </w:r>
          </w:p>
        </w:tc>
        <w:tc>
          <w:tcPr>
            <w:tcW w:w="1045" w:type="pct"/>
            <w:tcBorders>
              <w:top w:val="nil"/>
              <w:left w:val="nil"/>
              <w:right w:val="nil"/>
            </w:tcBorders>
            <w:shd w:val="clear" w:color="auto" w:fill="auto"/>
            <w:vAlign w:val="center"/>
            <w:hideMark/>
          </w:tcPr>
          <w:p w14:paraId="26E86025" w14:textId="77777777" w:rsidR="00F30F4A" w:rsidRPr="00F30F4A" w:rsidRDefault="00F30F4A" w:rsidP="00F30F4A">
            <w:pPr>
              <w:spacing w:before="0" w:after="0"/>
              <w:jc w:val="right"/>
              <w:rPr>
                <w:rFonts w:eastAsia="Times New Roman" w:cs="Times New Roman"/>
                <w:b/>
                <w:bCs/>
                <w:color w:val="000000"/>
                <w:sz w:val="20"/>
                <w:szCs w:val="20"/>
                <w:lang w:val="sr-Latn-RS" w:eastAsia="sr-Latn-RS"/>
              </w:rPr>
            </w:pPr>
            <w:r w:rsidRPr="00F30F4A">
              <w:rPr>
                <w:rFonts w:eastAsia="Times New Roman" w:cs="Times New Roman"/>
                <w:b/>
                <w:bCs/>
                <w:color w:val="000000"/>
                <w:sz w:val="20"/>
                <w:szCs w:val="20"/>
                <w:lang w:val="sr-Latn-RS" w:eastAsia="sr-Latn-RS"/>
              </w:rPr>
              <w:t>94.38%</w:t>
            </w:r>
          </w:p>
        </w:tc>
      </w:tr>
      <w:tr w:rsidR="00F30F4A" w:rsidRPr="00F30F4A" w14:paraId="05984D1A" w14:textId="77777777" w:rsidTr="000F5A4C">
        <w:trPr>
          <w:trHeight w:val="255"/>
        </w:trPr>
        <w:tc>
          <w:tcPr>
            <w:tcW w:w="1111" w:type="pct"/>
            <w:vMerge w:val="restart"/>
            <w:tcBorders>
              <w:top w:val="nil"/>
              <w:left w:val="nil"/>
              <w:bottom w:val="single" w:sz="8" w:space="0" w:color="152935"/>
              <w:right w:val="nil"/>
            </w:tcBorders>
            <w:shd w:val="clear" w:color="auto" w:fill="auto"/>
            <w:vAlign w:val="center"/>
            <w:hideMark/>
          </w:tcPr>
          <w:p w14:paraId="672BCBEC" w14:textId="77777777" w:rsidR="00F30F4A" w:rsidRPr="00F30F4A" w:rsidRDefault="00F30F4A" w:rsidP="00F30F4A">
            <w:pPr>
              <w:spacing w:before="0" w:after="0"/>
              <w:jc w:val="left"/>
              <w:rPr>
                <w:rFonts w:eastAsia="Times New Roman" w:cs="Times New Roman"/>
                <w:color w:val="000000"/>
                <w:sz w:val="20"/>
                <w:szCs w:val="20"/>
                <w:lang w:val="sr-Latn-RS" w:eastAsia="sr-Latn-RS"/>
              </w:rPr>
            </w:pPr>
            <w:r w:rsidRPr="00F30F4A">
              <w:rPr>
                <w:rFonts w:eastAsia="Times New Roman" w:cs="Times New Roman"/>
                <w:color w:val="000000"/>
                <w:sz w:val="20"/>
                <w:szCs w:val="20"/>
                <w:lang w:val="sr-Latn-RS" w:eastAsia="sr-Latn-RS"/>
              </w:rPr>
              <w:t>Test</w:t>
            </w:r>
          </w:p>
        </w:tc>
        <w:tc>
          <w:tcPr>
            <w:tcW w:w="1302" w:type="pct"/>
            <w:tcBorders>
              <w:top w:val="nil"/>
              <w:left w:val="nil"/>
              <w:bottom w:val="nil"/>
              <w:right w:val="nil"/>
            </w:tcBorders>
            <w:shd w:val="clear" w:color="auto" w:fill="auto"/>
            <w:vAlign w:val="center"/>
            <w:hideMark/>
          </w:tcPr>
          <w:p w14:paraId="163AFFA5" w14:textId="77777777" w:rsidR="00F30F4A" w:rsidRPr="00F30F4A" w:rsidRDefault="00F30F4A" w:rsidP="00F30F4A">
            <w:pPr>
              <w:spacing w:before="0" w:after="0"/>
              <w:jc w:val="left"/>
              <w:rPr>
                <w:rFonts w:eastAsia="Times New Roman" w:cs="Times New Roman"/>
                <w:color w:val="000000"/>
                <w:sz w:val="20"/>
                <w:szCs w:val="20"/>
                <w:lang w:val="sr-Latn-RS" w:eastAsia="sr-Latn-RS"/>
              </w:rPr>
            </w:pPr>
            <w:r w:rsidRPr="00F30F4A">
              <w:rPr>
                <w:rFonts w:eastAsia="Times New Roman" w:cs="Times New Roman"/>
                <w:color w:val="000000"/>
                <w:sz w:val="20"/>
                <w:szCs w:val="20"/>
                <w:lang w:val="sr-Latn-RS" w:eastAsia="sr-Latn-RS"/>
              </w:rPr>
              <w:t>None</w:t>
            </w:r>
          </w:p>
        </w:tc>
        <w:tc>
          <w:tcPr>
            <w:tcW w:w="556" w:type="pct"/>
            <w:tcBorders>
              <w:top w:val="nil"/>
              <w:left w:val="nil"/>
              <w:bottom w:val="nil"/>
              <w:right w:val="nil"/>
            </w:tcBorders>
            <w:shd w:val="clear" w:color="auto" w:fill="auto"/>
            <w:vAlign w:val="center"/>
            <w:hideMark/>
          </w:tcPr>
          <w:p w14:paraId="706E076C" w14:textId="4D7FD1BC" w:rsidR="00F30F4A" w:rsidRPr="00F30F4A" w:rsidRDefault="00F30F4A" w:rsidP="00F30F4A">
            <w:pPr>
              <w:spacing w:before="0" w:after="0"/>
              <w:jc w:val="right"/>
              <w:rPr>
                <w:rFonts w:eastAsia="Times New Roman" w:cs="Times New Roman"/>
                <w:color w:val="000000"/>
                <w:sz w:val="20"/>
                <w:szCs w:val="20"/>
                <w:lang w:val="sr-Latn-RS" w:eastAsia="sr-Latn-RS"/>
              </w:rPr>
            </w:pPr>
            <w:r w:rsidRPr="00F30F4A">
              <w:rPr>
                <w:rFonts w:eastAsia="Times New Roman" w:cs="Times New Roman"/>
                <w:color w:val="000000"/>
                <w:sz w:val="20"/>
                <w:szCs w:val="20"/>
                <w:lang w:val="sr-Latn-RS" w:eastAsia="sr-Latn-RS"/>
              </w:rPr>
              <w:t>14</w:t>
            </w:r>
            <w:r w:rsidR="00EB11D3">
              <w:rPr>
                <w:rFonts w:eastAsia="Times New Roman" w:cs="Times New Roman"/>
                <w:color w:val="000000"/>
                <w:sz w:val="20"/>
                <w:szCs w:val="20"/>
                <w:lang w:val="sr-Latn-RS" w:eastAsia="sr-Latn-RS"/>
              </w:rPr>
              <w:t>3</w:t>
            </w:r>
          </w:p>
        </w:tc>
        <w:tc>
          <w:tcPr>
            <w:tcW w:w="986" w:type="pct"/>
            <w:tcBorders>
              <w:top w:val="nil"/>
              <w:left w:val="nil"/>
              <w:bottom w:val="nil"/>
              <w:right w:val="nil"/>
            </w:tcBorders>
            <w:shd w:val="clear" w:color="auto" w:fill="auto"/>
            <w:noWrap/>
            <w:vAlign w:val="bottom"/>
            <w:hideMark/>
          </w:tcPr>
          <w:p w14:paraId="481FBA10" w14:textId="38FAAF8E" w:rsidR="00F30F4A" w:rsidRPr="00F30F4A" w:rsidRDefault="00EB11D3" w:rsidP="00F30F4A">
            <w:pPr>
              <w:spacing w:before="0" w:after="0"/>
              <w:jc w:val="right"/>
              <w:rPr>
                <w:rFonts w:eastAsia="Times New Roman" w:cs="Times New Roman"/>
                <w:color w:val="000000"/>
                <w:sz w:val="20"/>
                <w:szCs w:val="20"/>
                <w:lang w:val="sr-Latn-RS" w:eastAsia="sr-Latn-RS"/>
              </w:rPr>
            </w:pPr>
            <w:r>
              <w:rPr>
                <w:rFonts w:eastAsia="Times New Roman" w:cs="Times New Roman"/>
                <w:color w:val="000000"/>
                <w:sz w:val="20"/>
                <w:szCs w:val="20"/>
                <w:lang w:val="sr-Latn-RS" w:eastAsia="sr-Latn-RS"/>
              </w:rPr>
              <w:t>5</w:t>
            </w:r>
          </w:p>
        </w:tc>
        <w:tc>
          <w:tcPr>
            <w:tcW w:w="1045" w:type="pct"/>
            <w:tcBorders>
              <w:top w:val="nil"/>
              <w:left w:val="nil"/>
              <w:bottom w:val="nil"/>
              <w:right w:val="nil"/>
            </w:tcBorders>
            <w:shd w:val="clear" w:color="auto" w:fill="auto"/>
            <w:vAlign w:val="center"/>
            <w:hideMark/>
          </w:tcPr>
          <w:p w14:paraId="0431CD29" w14:textId="2057A005" w:rsidR="00F30F4A" w:rsidRPr="00F30F4A" w:rsidRDefault="00F30F4A" w:rsidP="00F30F4A">
            <w:pPr>
              <w:spacing w:before="0" w:after="0"/>
              <w:jc w:val="right"/>
              <w:rPr>
                <w:rFonts w:eastAsia="Times New Roman" w:cs="Times New Roman"/>
                <w:color w:val="000000"/>
                <w:sz w:val="20"/>
                <w:szCs w:val="20"/>
                <w:lang w:val="sr-Latn-RS" w:eastAsia="sr-Latn-RS"/>
              </w:rPr>
            </w:pPr>
            <w:r w:rsidRPr="00F30F4A">
              <w:rPr>
                <w:rFonts w:eastAsia="Times New Roman" w:cs="Times New Roman"/>
                <w:color w:val="000000"/>
                <w:sz w:val="20"/>
                <w:szCs w:val="20"/>
                <w:lang w:val="sr-Latn-RS" w:eastAsia="sr-Latn-RS"/>
              </w:rPr>
              <w:t>9</w:t>
            </w:r>
            <w:r w:rsidR="00EB11D3">
              <w:rPr>
                <w:rFonts w:eastAsia="Times New Roman" w:cs="Times New Roman"/>
                <w:color w:val="000000"/>
                <w:sz w:val="20"/>
                <w:szCs w:val="20"/>
                <w:lang w:val="sr-Latn-RS" w:eastAsia="sr-Latn-RS"/>
              </w:rPr>
              <w:t>6</w:t>
            </w:r>
            <w:r w:rsidRPr="00F30F4A">
              <w:rPr>
                <w:rFonts w:eastAsia="Times New Roman" w:cs="Times New Roman"/>
                <w:color w:val="000000"/>
                <w:sz w:val="20"/>
                <w:szCs w:val="20"/>
                <w:lang w:val="sr-Latn-RS" w:eastAsia="sr-Latn-RS"/>
              </w:rPr>
              <w:t>.</w:t>
            </w:r>
            <w:r w:rsidR="00EB11D3">
              <w:rPr>
                <w:rFonts w:eastAsia="Times New Roman" w:cs="Times New Roman"/>
                <w:color w:val="000000"/>
                <w:sz w:val="20"/>
                <w:szCs w:val="20"/>
                <w:lang w:val="sr-Latn-RS" w:eastAsia="sr-Latn-RS"/>
              </w:rPr>
              <w:t>62</w:t>
            </w:r>
            <w:r w:rsidRPr="00F30F4A">
              <w:rPr>
                <w:rFonts w:eastAsia="Times New Roman" w:cs="Times New Roman"/>
                <w:color w:val="000000"/>
                <w:sz w:val="20"/>
                <w:szCs w:val="20"/>
                <w:lang w:val="sr-Latn-RS" w:eastAsia="sr-Latn-RS"/>
              </w:rPr>
              <w:t>%</w:t>
            </w:r>
          </w:p>
        </w:tc>
      </w:tr>
      <w:tr w:rsidR="00F30F4A" w:rsidRPr="00F30F4A" w14:paraId="0C8C61B9" w14:textId="77777777" w:rsidTr="000F5A4C">
        <w:trPr>
          <w:trHeight w:val="251"/>
        </w:trPr>
        <w:tc>
          <w:tcPr>
            <w:tcW w:w="1111" w:type="pct"/>
            <w:vMerge/>
            <w:tcBorders>
              <w:top w:val="nil"/>
              <w:left w:val="nil"/>
              <w:bottom w:val="single" w:sz="8" w:space="0" w:color="152935"/>
              <w:right w:val="nil"/>
            </w:tcBorders>
            <w:vAlign w:val="center"/>
            <w:hideMark/>
          </w:tcPr>
          <w:p w14:paraId="3ED2A28E" w14:textId="77777777" w:rsidR="00F30F4A" w:rsidRPr="00F30F4A" w:rsidRDefault="00F30F4A" w:rsidP="00F30F4A">
            <w:pPr>
              <w:spacing w:before="0" w:after="0"/>
              <w:jc w:val="left"/>
              <w:rPr>
                <w:rFonts w:eastAsia="Times New Roman" w:cs="Times New Roman"/>
                <w:color w:val="000000"/>
                <w:sz w:val="20"/>
                <w:szCs w:val="20"/>
                <w:lang w:val="sr-Latn-RS" w:eastAsia="sr-Latn-RS"/>
              </w:rPr>
            </w:pPr>
          </w:p>
        </w:tc>
        <w:tc>
          <w:tcPr>
            <w:tcW w:w="1302" w:type="pct"/>
            <w:tcBorders>
              <w:top w:val="nil"/>
              <w:left w:val="nil"/>
              <w:bottom w:val="nil"/>
              <w:right w:val="nil"/>
            </w:tcBorders>
            <w:shd w:val="clear" w:color="auto" w:fill="auto"/>
            <w:vAlign w:val="center"/>
            <w:hideMark/>
          </w:tcPr>
          <w:p w14:paraId="31B2FFB2" w14:textId="77777777" w:rsidR="00F30F4A" w:rsidRPr="00F30F4A" w:rsidRDefault="00F30F4A" w:rsidP="00F30F4A">
            <w:pPr>
              <w:spacing w:before="0" w:after="0"/>
              <w:jc w:val="left"/>
              <w:rPr>
                <w:rFonts w:eastAsia="Times New Roman" w:cs="Times New Roman"/>
                <w:color w:val="000000"/>
                <w:sz w:val="20"/>
                <w:szCs w:val="20"/>
                <w:lang w:val="sr-Latn-RS" w:eastAsia="sr-Latn-RS"/>
              </w:rPr>
            </w:pPr>
            <w:r w:rsidRPr="00F30F4A">
              <w:rPr>
                <w:rFonts w:eastAsia="Times New Roman" w:cs="Times New Roman"/>
                <w:color w:val="000000"/>
                <w:sz w:val="20"/>
                <w:szCs w:val="20"/>
                <w:lang w:val="sr-Latn-RS" w:eastAsia="sr-Latn-RS"/>
              </w:rPr>
              <w:t>Quasi-fault</w:t>
            </w:r>
          </w:p>
        </w:tc>
        <w:tc>
          <w:tcPr>
            <w:tcW w:w="556" w:type="pct"/>
            <w:tcBorders>
              <w:top w:val="nil"/>
              <w:left w:val="nil"/>
              <w:bottom w:val="nil"/>
              <w:right w:val="nil"/>
            </w:tcBorders>
            <w:shd w:val="clear" w:color="auto" w:fill="auto"/>
            <w:vAlign w:val="center"/>
            <w:hideMark/>
          </w:tcPr>
          <w:p w14:paraId="3B082EE6" w14:textId="67DFD1BC" w:rsidR="00F30F4A" w:rsidRPr="00F30F4A" w:rsidRDefault="00EB11D3" w:rsidP="00F30F4A">
            <w:pPr>
              <w:spacing w:before="0" w:after="0"/>
              <w:jc w:val="right"/>
              <w:rPr>
                <w:rFonts w:eastAsia="Times New Roman" w:cs="Times New Roman"/>
                <w:color w:val="000000"/>
                <w:sz w:val="20"/>
                <w:szCs w:val="20"/>
                <w:lang w:val="sr-Latn-RS" w:eastAsia="sr-Latn-RS"/>
              </w:rPr>
            </w:pPr>
            <w:r>
              <w:rPr>
                <w:rFonts w:eastAsia="Times New Roman" w:cs="Times New Roman"/>
                <w:color w:val="000000"/>
                <w:sz w:val="20"/>
                <w:szCs w:val="20"/>
                <w:lang w:val="sr-Latn-RS" w:eastAsia="sr-Latn-RS"/>
              </w:rPr>
              <w:t>8</w:t>
            </w:r>
          </w:p>
        </w:tc>
        <w:tc>
          <w:tcPr>
            <w:tcW w:w="986" w:type="pct"/>
            <w:tcBorders>
              <w:top w:val="nil"/>
              <w:left w:val="nil"/>
              <w:bottom w:val="nil"/>
              <w:right w:val="nil"/>
            </w:tcBorders>
            <w:shd w:val="clear" w:color="auto" w:fill="auto"/>
            <w:vAlign w:val="center"/>
            <w:hideMark/>
          </w:tcPr>
          <w:p w14:paraId="43FC0239" w14:textId="1DF2663D" w:rsidR="00F30F4A" w:rsidRPr="00F30F4A" w:rsidRDefault="00EB11D3" w:rsidP="00F30F4A">
            <w:pPr>
              <w:spacing w:before="0" w:after="0"/>
              <w:jc w:val="right"/>
              <w:rPr>
                <w:rFonts w:eastAsia="Times New Roman" w:cs="Times New Roman"/>
                <w:color w:val="000000"/>
                <w:sz w:val="20"/>
                <w:szCs w:val="20"/>
                <w:lang w:val="sr-Latn-RS" w:eastAsia="sr-Latn-RS"/>
              </w:rPr>
            </w:pPr>
            <w:r>
              <w:rPr>
                <w:rFonts w:eastAsia="Times New Roman" w:cs="Times New Roman"/>
                <w:color w:val="000000"/>
                <w:sz w:val="20"/>
                <w:szCs w:val="20"/>
                <w:lang w:val="sr-Latn-RS" w:eastAsia="sr-Latn-RS"/>
              </w:rPr>
              <w:t>76</w:t>
            </w:r>
          </w:p>
        </w:tc>
        <w:tc>
          <w:tcPr>
            <w:tcW w:w="1045" w:type="pct"/>
            <w:tcBorders>
              <w:top w:val="nil"/>
              <w:left w:val="nil"/>
              <w:bottom w:val="nil"/>
              <w:right w:val="nil"/>
            </w:tcBorders>
            <w:shd w:val="clear" w:color="auto" w:fill="auto"/>
            <w:vAlign w:val="center"/>
            <w:hideMark/>
          </w:tcPr>
          <w:p w14:paraId="35EE284A" w14:textId="5398FE77" w:rsidR="00F30F4A" w:rsidRPr="00F30F4A" w:rsidRDefault="00F30F4A" w:rsidP="00F30F4A">
            <w:pPr>
              <w:spacing w:before="0" w:after="0"/>
              <w:jc w:val="right"/>
              <w:rPr>
                <w:rFonts w:eastAsia="Times New Roman" w:cs="Times New Roman"/>
                <w:color w:val="000000"/>
                <w:sz w:val="20"/>
                <w:szCs w:val="20"/>
                <w:lang w:val="sr-Latn-RS" w:eastAsia="sr-Latn-RS"/>
              </w:rPr>
            </w:pPr>
            <w:r w:rsidRPr="00F30F4A">
              <w:rPr>
                <w:rFonts w:eastAsia="Times New Roman" w:cs="Times New Roman"/>
                <w:color w:val="000000"/>
                <w:sz w:val="20"/>
                <w:szCs w:val="20"/>
                <w:lang w:val="sr-Latn-RS" w:eastAsia="sr-Latn-RS"/>
              </w:rPr>
              <w:t>9</w:t>
            </w:r>
            <w:r w:rsidR="00EB11D3">
              <w:rPr>
                <w:rFonts w:eastAsia="Times New Roman" w:cs="Times New Roman"/>
                <w:color w:val="000000"/>
                <w:sz w:val="20"/>
                <w:szCs w:val="20"/>
                <w:lang w:val="sr-Latn-RS" w:eastAsia="sr-Latn-RS"/>
              </w:rPr>
              <w:t>0</w:t>
            </w:r>
            <w:r w:rsidRPr="00F30F4A">
              <w:rPr>
                <w:rFonts w:eastAsia="Times New Roman" w:cs="Times New Roman"/>
                <w:color w:val="000000"/>
                <w:sz w:val="20"/>
                <w:szCs w:val="20"/>
                <w:lang w:val="sr-Latn-RS" w:eastAsia="sr-Latn-RS"/>
              </w:rPr>
              <w:t>.</w:t>
            </w:r>
            <w:r w:rsidR="00EB11D3">
              <w:rPr>
                <w:rFonts w:eastAsia="Times New Roman" w:cs="Times New Roman"/>
                <w:color w:val="000000"/>
                <w:sz w:val="20"/>
                <w:szCs w:val="20"/>
                <w:lang w:val="sr-Latn-RS" w:eastAsia="sr-Latn-RS"/>
              </w:rPr>
              <w:t>48</w:t>
            </w:r>
            <w:r w:rsidRPr="00F30F4A">
              <w:rPr>
                <w:rFonts w:eastAsia="Times New Roman" w:cs="Times New Roman"/>
                <w:color w:val="000000"/>
                <w:sz w:val="20"/>
                <w:szCs w:val="20"/>
                <w:lang w:val="sr-Latn-RS" w:eastAsia="sr-Latn-RS"/>
              </w:rPr>
              <w:t>%</w:t>
            </w:r>
          </w:p>
        </w:tc>
      </w:tr>
      <w:tr w:rsidR="00F30F4A" w:rsidRPr="00F30F4A" w14:paraId="79F0FC29" w14:textId="77777777" w:rsidTr="00982E69">
        <w:trPr>
          <w:trHeight w:val="54"/>
        </w:trPr>
        <w:tc>
          <w:tcPr>
            <w:tcW w:w="1111" w:type="pct"/>
            <w:vMerge/>
            <w:tcBorders>
              <w:top w:val="nil"/>
              <w:left w:val="nil"/>
              <w:bottom w:val="single" w:sz="4" w:space="0" w:color="auto"/>
              <w:right w:val="nil"/>
            </w:tcBorders>
            <w:vAlign w:val="center"/>
            <w:hideMark/>
          </w:tcPr>
          <w:p w14:paraId="008DAA96" w14:textId="77777777" w:rsidR="00F30F4A" w:rsidRPr="00F30F4A" w:rsidRDefault="00F30F4A" w:rsidP="00F30F4A">
            <w:pPr>
              <w:spacing w:before="0" w:after="0"/>
              <w:jc w:val="left"/>
              <w:rPr>
                <w:rFonts w:eastAsia="Times New Roman" w:cs="Times New Roman"/>
                <w:color w:val="000000"/>
                <w:sz w:val="20"/>
                <w:szCs w:val="20"/>
                <w:lang w:val="sr-Latn-RS" w:eastAsia="sr-Latn-RS"/>
              </w:rPr>
            </w:pPr>
          </w:p>
        </w:tc>
        <w:tc>
          <w:tcPr>
            <w:tcW w:w="1302" w:type="pct"/>
            <w:tcBorders>
              <w:top w:val="nil"/>
              <w:left w:val="nil"/>
              <w:bottom w:val="single" w:sz="4" w:space="0" w:color="auto"/>
              <w:right w:val="nil"/>
            </w:tcBorders>
            <w:shd w:val="clear" w:color="auto" w:fill="auto"/>
            <w:vAlign w:val="center"/>
            <w:hideMark/>
          </w:tcPr>
          <w:p w14:paraId="55D5EEB1" w14:textId="77777777" w:rsidR="00F30F4A" w:rsidRPr="00F30F4A" w:rsidRDefault="00F30F4A" w:rsidP="00F30F4A">
            <w:pPr>
              <w:spacing w:before="0" w:after="0"/>
              <w:jc w:val="left"/>
              <w:rPr>
                <w:rFonts w:eastAsia="Times New Roman" w:cs="Times New Roman"/>
                <w:color w:val="000000"/>
                <w:sz w:val="20"/>
                <w:szCs w:val="20"/>
                <w:lang w:val="sr-Latn-RS" w:eastAsia="sr-Latn-RS"/>
              </w:rPr>
            </w:pPr>
            <w:r w:rsidRPr="00F30F4A">
              <w:rPr>
                <w:rFonts w:eastAsia="Times New Roman" w:cs="Times New Roman"/>
                <w:color w:val="000000"/>
                <w:sz w:val="20"/>
                <w:szCs w:val="20"/>
                <w:lang w:val="sr-Latn-RS" w:eastAsia="sr-Latn-RS"/>
              </w:rPr>
              <w:t>Overall Percentage</w:t>
            </w:r>
          </w:p>
        </w:tc>
        <w:tc>
          <w:tcPr>
            <w:tcW w:w="556" w:type="pct"/>
            <w:tcBorders>
              <w:top w:val="nil"/>
              <w:left w:val="nil"/>
              <w:bottom w:val="single" w:sz="4" w:space="0" w:color="auto"/>
              <w:right w:val="nil"/>
            </w:tcBorders>
            <w:shd w:val="clear" w:color="auto" w:fill="auto"/>
            <w:vAlign w:val="center"/>
            <w:hideMark/>
          </w:tcPr>
          <w:p w14:paraId="0B32F0F8" w14:textId="77777777" w:rsidR="00F30F4A" w:rsidRPr="00F30F4A" w:rsidRDefault="00F30F4A" w:rsidP="00F30F4A">
            <w:pPr>
              <w:spacing w:before="0" w:after="0"/>
              <w:jc w:val="right"/>
              <w:rPr>
                <w:rFonts w:eastAsia="Times New Roman" w:cs="Times New Roman"/>
                <w:color w:val="000000"/>
                <w:sz w:val="20"/>
                <w:szCs w:val="20"/>
                <w:lang w:val="sr-Latn-RS" w:eastAsia="sr-Latn-RS"/>
              </w:rPr>
            </w:pPr>
            <w:r w:rsidRPr="00F30F4A">
              <w:rPr>
                <w:rFonts w:eastAsia="Times New Roman" w:cs="Times New Roman"/>
                <w:color w:val="000000"/>
                <w:sz w:val="20"/>
                <w:szCs w:val="20"/>
                <w:lang w:val="sr-Latn-RS" w:eastAsia="sr-Latn-RS"/>
              </w:rPr>
              <w:t>62.93%</w:t>
            </w:r>
          </w:p>
        </w:tc>
        <w:tc>
          <w:tcPr>
            <w:tcW w:w="986" w:type="pct"/>
            <w:tcBorders>
              <w:top w:val="nil"/>
              <w:left w:val="nil"/>
              <w:bottom w:val="single" w:sz="4" w:space="0" w:color="auto"/>
              <w:right w:val="nil"/>
            </w:tcBorders>
            <w:shd w:val="clear" w:color="auto" w:fill="auto"/>
            <w:vAlign w:val="center"/>
            <w:hideMark/>
          </w:tcPr>
          <w:p w14:paraId="3C5311EA" w14:textId="77777777" w:rsidR="00F30F4A" w:rsidRPr="00F30F4A" w:rsidRDefault="00F30F4A" w:rsidP="00F30F4A">
            <w:pPr>
              <w:spacing w:before="0" w:after="0"/>
              <w:jc w:val="right"/>
              <w:rPr>
                <w:rFonts w:eastAsia="Times New Roman" w:cs="Times New Roman"/>
                <w:color w:val="000000"/>
                <w:sz w:val="20"/>
                <w:szCs w:val="20"/>
                <w:lang w:val="sr-Latn-RS" w:eastAsia="sr-Latn-RS"/>
              </w:rPr>
            </w:pPr>
            <w:r w:rsidRPr="00F30F4A">
              <w:rPr>
                <w:rFonts w:eastAsia="Times New Roman" w:cs="Times New Roman"/>
                <w:color w:val="000000"/>
                <w:sz w:val="20"/>
                <w:szCs w:val="20"/>
                <w:lang w:val="sr-Latn-RS" w:eastAsia="sr-Latn-RS"/>
              </w:rPr>
              <w:t>34.05%</w:t>
            </w:r>
          </w:p>
        </w:tc>
        <w:tc>
          <w:tcPr>
            <w:tcW w:w="1045" w:type="pct"/>
            <w:tcBorders>
              <w:top w:val="nil"/>
              <w:left w:val="nil"/>
              <w:bottom w:val="single" w:sz="4" w:space="0" w:color="auto"/>
              <w:right w:val="nil"/>
            </w:tcBorders>
            <w:shd w:val="clear" w:color="auto" w:fill="auto"/>
            <w:vAlign w:val="center"/>
            <w:hideMark/>
          </w:tcPr>
          <w:p w14:paraId="59E32435" w14:textId="560C2AA5" w:rsidR="00F30F4A" w:rsidRPr="00F30F4A" w:rsidRDefault="00F30F4A" w:rsidP="00F30F4A">
            <w:pPr>
              <w:spacing w:before="0" w:after="0"/>
              <w:jc w:val="right"/>
              <w:rPr>
                <w:rFonts w:eastAsia="Times New Roman" w:cs="Times New Roman"/>
                <w:b/>
                <w:bCs/>
                <w:color w:val="000000"/>
                <w:sz w:val="20"/>
                <w:szCs w:val="20"/>
                <w:lang w:val="sr-Latn-RS" w:eastAsia="sr-Latn-RS"/>
              </w:rPr>
            </w:pPr>
            <w:r w:rsidRPr="00F30F4A">
              <w:rPr>
                <w:rFonts w:eastAsia="Times New Roman" w:cs="Times New Roman"/>
                <w:b/>
                <w:bCs/>
                <w:color w:val="000000"/>
                <w:sz w:val="20"/>
                <w:szCs w:val="20"/>
                <w:lang w:val="sr-Latn-RS" w:eastAsia="sr-Latn-RS"/>
              </w:rPr>
              <w:t>94.</w:t>
            </w:r>
            <w:r w:rsidR="00EB11D3">
              <w:rPr>
                <w:rFonts w:eastAsia="Times New Roman" w:cs="Times New Roman"/>
                <w:b/>
                <w:bCs/>
                <w:color w:val="000000"/>
                <w:sz w:val="20"/>
                <w:szCs w:val="20"/>
                <w:lang w:val="sr-Latn-RS" w:eastAsia="sr-Latn-RS"/>
              </w:rPr>
              <w:t>40</w:t>
            </w:r>
            <w:r w:rsidRPr="00F30F4A">
              <w:rPr>
                <w:rFonts w:eastAsia="Times New Roman" w:cs="Times New Roman"/>
                <w:b/>
                <w:bCs/>
                <w:color w:val="000000"/>
                <w:sz w:val="20"/>
                <w:szCs w:val="20"/>
                <w:lang w:val="sr-Latn-RS" w:eastAsia="sr-Latn-RS"/>
              </w:rPr>
              <w:t>%</w:t>
            </w:r>
          </w:p>
        </w:tc>
      </w:tr>
    </w:tbl>
    <w:p w14:paraId="2CC6F396" w14:textId="3D9A98C1" w:rsidR="00F30F4A" w:rsidRDefault="00F30F4A" w:rsidP="00F30F4A">
      <w:pPr>
        <w:autoSpaceDE w:val="0"/>
        <w:autoSpaceDN w:val="0"/>
        <w:adjustRightInd w:val="0"/>
        <w:spacing w:before="0" w:after="0" w:line="400" w:lineRule="atLeast"/>
        <w:jc w:val="left"/>
        <w:rPr>
          <w:rFonts w:ascii="Times New Roman" w:hAnsi="Times New Roman" w:cs="Times New Roman"/>
          <w:szCs w:val="24"/>
          <w:lang w:val="sr-Latn-RS"/>
        </w:rPr>
      </w:pPr>
    </w:p>
    <w:p w14:paraId="7FA15756" w14:textId="77777777" w:rsidR="0046319F" w:rsidRPr="0046319F" w:rsidRDefault="0046319F" w:rsidP="0046319F">
      <w:pPr>
        <w:autoSpaceDE w:val="0"/>
        <w:autoSpaceDN w:val="0"/>
        <w:adjustRightInd w:val="0"/>
        <w:spacing w:before="0" w:after="0" w:line="400" w:lineRule="atLeast"/>
        <w:jc w:val="left"/>
        <w:rPr>
          <w:rFonts w:ascii="Times New Roman" w:hAnsi="Times New Roman" w:cs="Times New Roman"/>
          <w:szCs w:val="24"/>
          <w:lang w:val="sr-Latn-RS"/>
        </w:rPr>
      </w:pPr>
    </w:p>
    <w:p w14:paraId="2F679C58" w14:textId="77777777" w:rsidR="0046319F" w:rsidRPr="0046319F" w:rsidRDefault="0046319F" w:rsidP="0046319F">
      <w:pPr>
        <w:autoSpaceDE w:val="0"/>
        <w:autoSpaceDN w:val="0"/>
        <w:adjustRightInd w:val="0"/>
        <w:spacing w:before="0" w:after="0" w:line="400" w:lineRule="atLeast"/>
        <w:jc w:val="left"/>
        <w:rPr>
          <w:rFonts w:ascii="Times New Roman" w:hAnsi="Times New Roman" w:cs="Times New Roman"/>
          <w:szCs w:val="24"/>
          <w:lang w:val="sr-Latn-RS"/>
        </w:rPr>
      </w:pPr>
    </w:p>
    <w:p w14:paraId="2E982CDB" w14:textId="026ACA7D" w:rsidR="00CB0F18" w:rsidRDefault="0040617C" w:rsidP="00CB0F18">
      <w:pPr>
        <w:pStyle w:val="Heading3"/>
        <w:rPr>
          <w:lang w:val="sr-Latn-RS"/>
        </w:rPr>
      </w:pPr>
      <w:bookmarkStart w:id="648" w:name="_Toc101274408"/>
      <w:r>
        <w:rPr>
          <w:lang w:val="sr-Latn-RS"/>
        </w:rPr>
        <w:lastRenderedPageBreak/>
        <w:t xml:space="preserve">Decision </w:t>
      </w:r>
      <w:r w:rsidR="00CB0F18">
        <w:rPr>
          <w:lang w:val="sr-Latn-RS"/>
        </w:rPr>
        <w:t>CART Tree for closing saddle regime</w:t>
      </w:r>
      <w:bookmarkEnd w:id="648"/>
    </w:p>
    <w:p w14:paraId="609329F3" w14:textId="67F33273" w:rsidR="00CB0F18" w:rsidRDefault="0040617C" w:rsidP="00CB0F18">
      <w:pPr>
        <w:rPr>
          <w:lang w:val="sr-Latn-RS"/>
        </w:rPr>
      </w:pPr>
      <w:r>
        <w:rPr>
          <w:lang w:val="sr-Latn-RS"/>
        </w:rPr>
        <w:t xml:space="preserve">Finally, using all of the variables associated with </w:t>
      </w:r>
      <w:r w:rsidR="004909B8">
        <w:rPr>
          <w:lang w:val="sr-Latn-RS"/>
        </w:rPr>
        <w:t xml:space="preserve">the </w:t>
      </w:r>
      <w:r>
        <w:rPr>
          <w:lang w:val="sr-Latn-RS"/>
        </w:rPr>
        <w:t>closing saddle regime</w:t>
      </w:r>
      <w:r w:rsidR="004909B8">
        <w:rPr>
          <w:lang w:val="sr-Latn-RS"/>
        </w:rPr>
        <w:t>,</w:t>
      </w:r>
      <w:r>
        <w:rPr>
          <w:lang w:val="sr-Latn-RS"/>
        </w:rPr>
        <w:t xml:space="preserve"> the decision</w:t>
      </w:r>
      <w:r w:rsidR="004909B8">
        <w:rPr>
          <w:lang w:val="sr-Latn-RS"/>
        </w:rPr>
        <w:t xml:space="preserve"> </w:t>
      </w:r>
      <w:r>
        <w:rPr>
          <w:lang w:val="sr-Latn-RS"/>
        </w:rPr>
        <w:t xml:space="preserve">tree needed to be extended to 4 terminal nodes, including </w:t>
      </w:r>
      <w:r w:rsidR="004909B8">
        <w:rPr>
          <w:lang w:val="sr-Latn-RS"/>
        </w:rPr>
        <w:t>three</w:t>
      </w:r>
      <w:r>
        <w:rPr>
          <w:lang w:val="sr-Latn-RS"/>
        </w:rPr>
        <w:t xml:space="preserve"> depths of decision</w:t>
      </w:r>
      <w:r w:rsidR="004909B8">
        <w:rPr>
          <w:lang w:val="sr-Latn-RS"/>
        </w:rPr>
        <w:t xml:space="preserve"> </w:t>
      </w:r>
      <w:r>
        <w:rPr>
          <w:lang w:val="sr-Latn-RS"/>
        </w:rPr>
        <w:t xml:space="preserve">layers and </w:t>
      </w:r>
      <w:r w:rsidR="004909B8">
        <w:rPr>
          <w:lang w:val="sr-Latn-RS"/>
        </w:rPr>
        <w:t>seven</w:t>
      </w:r>
      <w:r>
        <w:rPr>
          <w:lang w:val="sr-Latn-RS"/>
        </w:rPr>
        <w:t xml:space="preserve"> nodes (</w:t>
      </w:r>
      <w:r>
        <w:rPr>
          <w:lang w:val="sr-Latn-RS"/>
        </w:rPr>
        <w:fldChar w:fldCharType="begin"/>
      </w:r>
      <w:r>
        <w:rPr>
          <w:lang w:val="sr-Latn-RS"/>
        </w:rPr>
        <w:instrText xml:space="preserve"> REF _Ref99281856 \h </w:instrText>
      </w:r>
      <w:r>
        <w:rPr>
          <w:lang w:val="sr-Latn-RS"/>
        </w:rPr>
      </w:r>
      <w:r>
        <w:rPr>
          <w:lang w:val="sr-Latn-RS"/>
        </w:rPr>
        <w:fldChar w:fldCharType="separate"/>
      </w:r>
      <w:r w:rsidR="00587AF0">
        <w:t xml:space="preserve">Figure </w:t>
      </w:r>
      <w:r w:rsidR="00587AF0">
        <w:rPr>
          <w:noProof/>
        </w:rPr>
        <w:t>110</w:t>
      </w:r>
      <w:r>
        <w:rPr>
          <w:lang w:val="sr-Latn-RS"/>
        </w:rPr>
        <w:fldChar w:fldCharType="end"/>
      </w:r>
      <w:r>
        <w:rPr>
          <w:lang w:val="sr-Latn-RS"/>
        </w:rPr>
        <w:t xml:space="preserve">). </w:t>
      </w:r>
      <w:r w:rsidR="004909B8">
        <w:rPr>
          <w:lang w:val="sr-Latn-RS"/>
        </w:rPr>
        <w:t>A</w:t>
      </w:r>
      <w:r>
        <w:rPr>
          <w:lang w:val="sr-Latn-RS"/>
        </w:rPr>
        <w:t>fter using trial-and-error</w:t>
      </w:r>
      <w:r w:rsidR="004909B8">
        <w:rPr>
          <w:lang w:val="sr-Latn-RS"/>
        </w:rPr>
        <w:t>,</w:t>
      </w:r>
      <w:r>
        <w:rPr>
          <w:lang w:val="sr-Latn-RS"/>
        </w:rPr>
        <w:t xml:space="preserve"> the best performance was achieved as presented with the variables in </w:t>
      </w:r>
      <w:r>
        <w:rPr>
          <w:lang w:val="sr-Latn-RS"/>
        </w:rPr>
        <w:fldChar w:fldCharType="begin"/>
      </w:r>
      <w:r>
        <w:rPr>
          <w:lang w:val="sr-Latn-RS"/>
        </w:rPr>
        <w:instrText xml:space="preserve"> REF _Ref99281835 \h </w:instrText>
      </w:r>
      <w:r>
        <w:rPr>
          <w:lang w:val="sr-Latn-RS"/>
        </w:rPr>
      </w:r>
      <w:r>
        <w:rPr>
          <w:lang w:val="sr-Latn-RS"/>
        </w:rPr>
        <w:fldChar w:fldCharType="separate"/>
      </w:r>
      <w:r w:rsidR="00587AF0">
        <w:t xml:space="preserve">Table </w:t>
      </w:r>
      <w:r w:rsidR="00587AF0">
        <w:rPr>
          <w:noProof/>
        </w:rPr>
        <w:t>57</w:t>
      </w:r>
      <w:r>
        <w:rPr>
          <w:lang w:val="sr-Latn-RS"/>
        </w:rPr>
        <w:fldChar w:fldCharType="end"/>
      </w:r>
      <w:r>
        <w:rPr>
          <w:lang w:val="sr-Latn-RS"/>
        </w:rPr>
        <w:t xml:space="preserve">. </w:t>
      </w:r>
      <w:r w:rsidR="00943362">
        <w:rPr>
          <w:lang w:val="sr-Latn-RS"/>
        </w:rPr>
        <w:t xml:space="preserve">It is shown that N_IQR_CS is the most important variable here used for separation of degradational performance </w:t>
      </w:r>
      <w:r w:rsidR="00D84EFF">
        <w:rPr>
          <w:lang w:val="sr-Latn-RS"/>
        </w:rPr>
        <w:t xml:space="preserve">in detecting FP </w:t>
      </w:r>
      <w:r w:rsidR="00943362">
        <w:rPr>
          <w:lang w:val="sr-Latn-RS"/>
        </w:rPr>
        <w:t>condition</w:t>
      </w:r>
      <w:r w:rsidR="004909B8">
        <w:rPr>
          <w:lang w:val="sr-Latn-RS"/>
        </w:rPr>
        <w:t>s</w:t>
      </w:r>
      <w:r w:rsidR="00943362">
        <w:rPr>
          <w:lang w:val="sr-Latn-RS"/>
        </w:rPr>
        <w:t>, followed by N</w:t>
      </w:r>
      <w:r w:rsidR="008849B4">
        <w:rPr>
          <w:lang w:val="sr-Latn-RS"/>
        </w:rPr>
        <w:t>_RMS</w:t>
      </w:r>
      <w:r w:rsidR="00943362">
        <w:rPr>
          <w:lang w:val="sr-Latn-RS"/>
        </w:rPr>
        <w:t>_CS and N_</w:t>
      </w:r>
      <w:r w:rsidR="008849B4">
        <w:rPr>
          <w:lang w:val="sr-Latn-RS"/>
        </w:rPr>
        <w:t>Load</w:t>
      </w:r>
      <w:r w:rsidR="00943362">
        <w:rPr>
          <w:lang w:val="sr-Latn-RS"/>
        </w:rPr>
        <w:t>_CS</w:t>
      </w:r>
      <w:r w:rsidR="00D84EFF">
        <w:rPr>
          <w:lang w:val="sr-Latn-RS"/>
        </w:rPr>
        <w:t>. However, the results stress th</w:t>
      </w:r>
      <w:r w:rsidR="004909B8">
        <w:rPr>
          <w:lang w:val="sr-Latn-RS"/>
        </w:rPr>
        <w:t>at only 14% of training data was used to build the model, whereas</w:t>
      </w:r>
      <w:r w:rsidR="00CC0861">
        <w:rPr>
          <w:lang w:val="sr-Latn-RS"/>
        </w:rPr>
        <w:t xml:space="preserve"> 86% of training data was used to build a model. It is</w:t>
      </w:r>
      <w:r w:rsidR="004909B8">
        <w:rPr>
          <w:lang w:val="sr-Latn-RS"/>
        </w:rPr>
        <w:t>, therefore,</w:t>
      </w:r>
      <w:r w:rsidR="00CC0861">
        <w:rPr>
          <w:lang w:val="sr-Latn-RS"/>
        </w:rPr>
        <w:t xml:space="preserve"> show</w:t>
      </w:r>
      <w:r w:rsidR="004909B8">
        <w:rPr>
          <w:lang w:val="sr-Latn-RS"/>
        </w:rPr>
        <w:t>n</w:t>
      </w:r>
      <w:r w:rsidR="00CC0861">
        <w:rPr>
          <w:lang w:val="sr-Latn-RS"/>
        </w:rPr>
        <w:t xml:space="preserve"> that </w:t>
      </w:r>
      <w:r w:rsidR="004909B8">
        <w:rPr>
          <w:lang w:val="sr-Latn-RS"/>
        </w:rPr>
        <w:t xml:space="preserve">the </w:t>
      </w:r>
      <w:r w:rsidR="00CC0861">
        <w:rPr>
          <w:lang w:val="sr-Latn-RS"/>
        </w:rPr>
        <w:t xml:space="preserve">prediction accuracy of a model is drastically reduced in terms of </w:t>
      </w:r>
      <w:r w:rsidR="004909B8">
        <w:rPr>
          <w:lang w:val="sr-Latn-RS"/>
        </w:rPr>
        <w:t xml:space="preserve">a </w:t>
      </w:r>
      <w:r w:rsidR="00CC0861">
        <w:rPr>
          <w:lang w:val="sr-Latn-RS"/>
        </w:rPr>
        <w:t>normal operating state of 60% within testing data, while over 99% accuracy was achieved in tr</w:t>
      </w:r>
      <w:r w:rsidR="002A5624">
        <w:rPr>
          <w:lang w:val="sr-Latn-RS"/>
        </w:rPr>
        <w:t>ai</w:t>
      </w:r>
      <w:r w:rsidR="00CC0861">
        <w:rPr>
          <w:lang w:val="sr-Latn-RS"/>
        </w:rPr>
        <w:t xml:space="preserve">ning and testing data of a model closing saddle regime. </w:t>
      </w:r>
      <w:r w:rsidR="004909B8">
        <w:rPr>
          <w:lang w:val="sr-Latn-RS"/>
        </w:rPr>
        <w:t>From</w:t>
      </w:r>
      <w:r w:rsidR="00CC0861">
        <w:rPr>
          <w:lang w:val="sr-Latn-RS"/>
        </w:rPr>
        <w:t xml:space="preserve"> the start of the experiment until the finish</w:t>
      </w:r>
      <w:r w:rsidR="004909B8">
        <w:rPr>
          <w:lang w:val="sr-Latn-RS"/>
        </w:rPr>
        <w:t>,</w:t>
      </w:r>
      <w:r w:rsidR="00CC0861">
        <w:rPr>
          <w:lang w:val="sr-Latn-RS"/>
        </w:rPr>
        <w:t xml:space="preserve"> the most common degradation was followed by sensor deviation, actuator response time in the returning position and significant degradation of cylinders in terms of speed, which can also be noticed by observing the signal itself. Therefore, much more degradation at the higher workloads. </w:t>
      </w:r>
      <w:r w:rsidR="007C6F59">
        <w:rPr>
          <w:lang w:val="sr-Latn-RS"/>
        </w:rPr>
        <w:t>I</w:t>
      </w:r>
      <w:r w:rsidR="00CC0861">
        <w:rPr>
          <w:lang w:val="sr-Latn-RS"/>
        </w:rPr>
        <w:t xml:space="preserve">t can be observed that at </w:t>
      </w:r>
      <w:r w:rsidR="004909B8">
        <w:rPr>
          <w:lang w:val="sr-Latn-RS"/>
        </w:rPr>
        <w:t xml:space="preserve">a </w:t>
      </w:r>
      <w:r w:rsidR="00CC0861">
        <w:rPr>
          <w:lang w:val="sr-Latn-RS"/>
        </w:rPr>
        <w:t xml:space="preserve">higher pressure and required flow, the degradation was extreme </w:t>
      </w:r>
      <w:r w:rsidR="004909B8">
        <w:rPr>
          <w:lang w:val="sr-Latn-RS"/>
        </w:rPr>
        <w:t>in</w:t>
      </w:r>
      <w:r w:rsidR="00CC0861">
        <w:rPr>
          <w:lang w:val="sr-Latn-RS"/>
        </w:rPr>
        <w:t xml:space="preserve"> certain situations, especially at the end of the experiment, which led the author to suspect that </w:t>
      </w:r>
      <w:r w:rsidR="004909B8">
        <w:rPr>
          <w:lang w:val="sr-Latn-RS"/>
        </w:rPr>
        <w:t xml:space="preserve">the </w:t>
      </w:r>
      <w:r w:rsidR="00CC0861">
        <w:rPr>
          <w:lang w:val="sr-Latn-RS"/>
        </w:rPr>
        <w:t>pump was w</w:t>
      </w:r>
      <w:r w:rsidR="004909B8">
        <w:rPr>
          <w:lang w:val="sr-Latn-RS"/>
        </w:rPr>
        <w:t>orn</w:t>
      </w:r>
      <w:r w:rsidR="00CC0861">
        <w:rPr>
          <w:lang w:val="sr-Latn-RS"/>
        </w:rPr>
        <w:t xml:space="preserve"> out</w:t>
      </w:r>
      <w:r w:rsidR="004909B8">
        <w:rPr>
          <w:lang w:val="sr-Latn-RS"/>
        </w:rPr>
        <w:t>—e</w:t>
      </w:r>
      <w:r w:rsidR="00CC0861">
        <w:rPr>
          <w:lang w:val="sr-Latn-RS"/>
        </w:rPr>
        <w:t xml:space="preserve">specially considering the peaks of Fe and Cr, however, without increasing over </w:t>
      </w:r>
      <w:r w:rsidR="004909B8">
        <w:rPr>
          <w:lang w:val="sr-Latn-RS"/>
        </w:rPr>
        <w:t>ten</w:t>
      </w:r>
      <w:r w:rsidR="00CC0861">
        <w:rPr>
          <w:lang w:val="sr-Latn-RS"/>
        </w:rPr>
        <w:t xml:space="preserve"> ppm, since filters were doing </w:t>
      </w:r>
      <w:r w:rsidR="004909B8">
        <w:rPr>
          <w:lang w:val="sr-Latn-RS"/>
        </w:rPr>
        <w:t>a</w:t>
      </w:r>
      <w:r w:rsidR="00CC0861">
        <w:rPr>
          <w:lang w:val="sr-Latn-RS"/>
        </w:rPr>
        <w:t xml:space="preserve"> good job of eliminating wear elements</w:t>
      </w:r>
      <w:r w:rsidR="004909B8">
        <w:rPr>
          <w:lang w:val="sr-Latn-RS"/>
        </w:rPr>
        <w:t>.</w:t>
      </w:r>
    </w:p>
    <w:p w14:paraId="7C082311" w14:textId="133ADDEC" w:rsidR="006028DE" w:rsidRPr="006028DE" w:rsidRDefault="005F0B05" w:rsidP="005F0B05">
      <w:pPr>
        <w:pStyle w:val="Caption"/>
        <w:jc w:val="both"/>
        <w:rPr>
          <w:lang w:val="sr-Latn-RS"/>
        </w:rPr>
      </w:pPr>
      <w:bookmarkStart w:id="649" w:name="_Ref99281835"/>
      <w:bookmarkStart w:id="650" w:name="_Toc101274497"/>
      <w:r>
        <w:t xml:space="preserve">Table </w:t>
      </w:r>
      <w:fldSimple w:instr=" SEQ Table \* ARABIC ">
        <w:r w:rsidR="00587AF0">
          <w:rPr>
            <w:noProof/>
          </w:rPr>
          <w:t>57</w:t>
        </w:r>
      </w:fldSimple>
      <w:bookmarkEnd w:id="649"/>
      <w:r>
        <w:t xml:space="preserve">. </w:t>
      </w:r>
      <w:r w:rsidR="00123D26" w:rsidRPr="00123D26">
        <w:t>Parameters and variables for decision tree at opening saddle position</w:t>
      </w:r>
      <w:bookmarkEnd w:id="650"/>
    </w:p>
    <w:tbl>
      <w:tblPr>
        <w:tblW w:w="5000" w:type="pct"/>
        <w:tblBorders>
          <w:top w:val="single" w:sz="4" w:space="0" w:color="152935"/>
          <w:bottom w:val="single" w:sz="4" w:space="0" w:color="152935"/>
        </w:tblBorders>
        <w:tblCellMar>
          <w:left w:w="0" w:type="dxa"/>
          <w:right w:w="0" w:type="dxa"/>
        </w:tblCellMar>
        <w:tblLook w:val="0000" w:firstRow="0" w:lastRow="0" w:firstColumn="0" w:lastColumn="0" w:noHBand="0" w:noVBand="0"/>
      </w:tblPr>
      <w:tblGrid>
        <w:gridCol w:w="1808"/>
        <w:gridCol w:w="3253"/>
        <w:gridCol w:w="3966"/>
      </w:tblGrid>
      <w:tr w:rsidR="00C61017" w:rsidRPr="00CD2D20" w14:paraId="35AE2716" w14:textId="77777777" w:rsidTr="00C61017">
        <w:trPr>
          <w:cantSplit/>
        </w:trPr>
        <w:tc>
          <w:tcPr>
            <w:tcW w:w="1001" w:type="pct"/>
            <w:tcBorders>
              <w:top w:val="single" w:sz="4" w:space="0" w:color="152935"/>
              <w:bottom w:val="single" w:sz="4" w:space="0" w:color="auto"/>
            </w:tcBorders>
            <w:shd w:val="clear" w:color="auto" w:fill="auto"/>
            <w:vAlign w:val="center"/>
          </w:tcPr>
          <w:p w14:paraId="5D8C34DE" w14:textId="693B01A0" w:rsidR="00C61017" w:rsidRPr="005F0B05" w:rsidRDefault="00C61017" w:rsidP="00FE69E0">
            <w:pPr>
              <w:autoSpaceDE w:val="0"/>
              <w:autoSpaceDN w:val="0"/>
              <w:adjustRightInd w:val="0"/>
              <w:spacing w:before="0" w:after="0"/>
              <w:ind w:left="57" w:right="57"/>
              <w:jc w:val="left"/>
              <w:rPr>
                <w:rFonts w:cs="Arial"/>
                <w:b/>
                <w:bCs/>
                <w:sz w:val="20"/>
                <w:szCs w:val="20"/>
                <w:lang w:val="sr-Latn-RS"/>
              </w:rPr>
            </w:pPr>
            <w:r>
              <w:rPr>
                <w:rFonts w:cs="Arial"/>
                <w:b/>
                <w:bCs/>
                <w:sz w:val="20"/>
                <w:szCs w:val="20"/>
                <w:lang w:val="sr-Latn-RS"/>
              </w:rPr>
              <w:t>Properties</w:t>
            </w:r>
          </w:p>
        </w:tc>
        <w:tc>
          <w:tcPr>
            <w:tcW w:w="1802" w:type="pct"/>
            <w:tcBorders>
              <w:top w:val="single" w:sz="4" w:space="0" w:color="152935"/>
              <w:bottom w:val="single" w:sz="4" w:space="0" w:color="auto"/>
            </w:tcBorders>
            <w:shd w:val="clear" w:color="auto" w:fill="auto"/>
            <w:vAlign w:val="center"/>
          </w:tcPr>
          <w:p w14:paraId="66D509FA" w14:textId="2B17BB8D" w:rsidR="00C61017" w:rsidRPr="00C61017" w:rsidRDefault="00C61017" w:rsidP="00FE69E0">
            <w:pPr>
              <w:autoSpaceDE w:val="0"/>
              <w:autoSpaceDN w:val="0"/>
              <w:adjustRightInd w:val="0"/>
              <w:spacing w:before="0" w:after="0"/>
              <w:ind w:left="57" w:right="57"/>
              <w:jc w:val="left"/>
              <w:rPr>
                <w:rFonts w:cs="Arial"/>
                <w:b/>
                <w:bCs/>
                <w:sz w:val="20"/>
                <w:szCs w:val="20"/>
                <w:lang w:val="sr-Latn-RS"/>
              </w:rPr>
            </w:pPr>
            <w:r w:rsidRPr="00C61017">
              <w:rPr>
                <w:rFonts w:cs="Arial"/>
                <w:b/>
                <w:bCs/>
                <w:sz w:val="20"/>
                <w:szCs w:val="20"/>
                <w:lang w:val="sr-Latn-RS"/>
              </w:rPr>
              <w:t>Specifications</w:t>
            </w:r>
          </w:p>
        </w:tc>
        <w:tc>
          <w:tcPr>
            <w:tcW w:w="2197" w:type="pct"/>
            <w:tcBorders>
              <w:top w:val="single" w:sz="4" w:space="0" w:color="152935"/>
              <w:bottom w:val="single" w:sz="4" w:space="0" w:color="auto"/>
            </w:tcBorders>
            <w:shd w:val="clear" w:color="auto" w:fill="auto"/>
            <w:vAlign w:val="center"/>
          </w:tcPr>
          <w:p w14:paraId="15ECBA27" w14:textId="4AA98281" w:rsidR="00C61017" w:rsidRPr="00C61017" w:rsidRDefault="00C61017" w:rsidP="00FE69E0">
            <w:pPr>
              <w:autoSpaceDE w:val="0"/>
              <w:autoSpaceDN w:val="0"/>
              <w:adjustRightInd w:val="0"/>
              <w:spacing w:before="0" w:after="0"/>
              <w:ind w:left="57" w:right="57"/>
              <w:jc w:val="right"/>
              <w:rPr>
                <w:rFonts w:cs="Arial"/>
                <w:b/>
                <w:bCs/>
                <w:sz w:val="20"/>
                <w:szCs w:val="20"/>
                <w:lang w:val="sr-Latn-RS"/>
              </w:rPr>
            </w:pPr>
            <w:r w:rsidRPr="00C61017">
              <w:rPr>
                <w:rFonts w:cs="Arial"/>
                <w:b/>
                <w:bCs/>
                <w:sz w:val="20"/>
                <w:szCs w:val="20"/>
                <w:lang w:val="sr-Latn-RS"/>
              </w:rPr>
              <w:t>Values and explanation</w:t>
            </w:r>
          </w:p>
        </w:tc>
      </w:tr>
      <w:tr w:rsidR="00CD2D20" w:rsidRPr="00CD2D20" w14:paraId="42210974" w14:textId="77777777" w:rsidTr="00C61017">
        <w:trPr>
          <w:cantSplit/>
        </w:trPr>
        <w:tc>
          <w:tcPr>
            <w:tcW w:w="1001" w:type="pct"/>
            <w:vMerge w:val="restart"/>
            <w:tcBorders>
              <w:top w:val="single" w:sz="4" w:space="0" w:color="auto"/>
            </w:tcBorders>
            <w:shd w:val="clear" w:color="auto" w:fill="auto"/>
            <w:vAlign w:val="center"/>
          </w:tcPr>
          <w:p w14:paraId="7B343DBD" w14:textId="77777777" w:rsidR="006028DE" w:rsidRPr="005F0B05" w:rsidRDefault="006028DE" w:rsidP="00FE69E0">
            <w:pPr>
              <w:autoSpaceDE w:val="0"/>
              <w:autoSpaceDN w:val="0"/>
              <w:adjustRightInd w:val="0"/>
              <w:spacing w:before="0" w:after="0"/>
              <w:ind w:left="57" w:right="57"/>
              <w:jc w:val="left"/>
              <w:rPr>
                <w:rFonts w:cs="Arial"/>
                <w:b/>
                <w:bCs/>
                <w:sz w:val="20"/>
                <w:szCs w:val="20"/>
                <w:lang w:val="sr-Latn-RS"/>
              </w:rPr>
            </w:pPr>
            <w:r w:rsidRPr="005F0B05">
              <w:rPr>
                <w:rFonts w:cs="Arial"/>
                <w:b/>
                <w:bCs/>
                <w:sz w:val="20"/>
                <w:szCs w:val="20"/>
                <w:lang w:val="sr-Latn-RS"/>
              </w:rPr>
              <w:t>Specifications</w:t>
            </w:r>
          </w:p>
        </w:tc>
        <w:tc>
          <w:tcPr>
            <w:tcW w:w="1802" w:type="pct"/>
            <w:tcBorders>
              <w:top w:val="single" w:sz="4" w:space="0" w:color="auto"/>
            </w:tcBorders>
            <w:shd w:val="clear" w:color="auto" w:fill="auto"/>
            <w:vAlign w:val="center"/>
          </w:tcPr>
          <w:p w14:paraId="1E317F29" w14:textId="77777777" w:rsidR="006028DE" w:rsidRPr="00CD2D20" w:rsidRDefault="006028DE" w:rsidP="00FE69E0">
            <w:pPr>
              <w:autoSpaceDE w:val="0"/>
              <w:autoSpaceDN w:val="0"/>
              <w:adjustRightInd w:val="0"/>
              <w:spacing w:before="0" w:after="0"/>
              <w:ind w:left="57" w:right="57"/>
              <w:jc w:val="left"/>
              <w:rPr>
                <w:rFonts w:cs="Arial"/>
                <w:sz w:val="20"/>
                <w:szCs w:val="20"/>
                <w:lang w:val="sr-Latn-RS"/>
              </w:rPr>
            </w:pPr>
            <w:r w:rsidRPr="00CD2D20">
              <w:rPr>
                <w:rFonts w:cs="Arial"/>
                <w:sz w:val="20"/>
                <w:szCs w:val="20"/>
                <w:lang w:val="sr-Latn-RS"/>
              </w:rPr>
              <w:t>Growing Method</w:t>
            </w:r>
          </w:p>
        </w:tc>
        <w:tc>
          <w:tcPr>
            <w:tcW w:w="2197" w:type="pct"/>
            <w:tcBorders>
              <w:top w:val="single" w:sz="4" w:space="0" w:color="auto"/>
            </w:tcBorders>
            <w:shd w:val="clear" w:color="auto" w:fill="auto"/>
            <w:vAlign w:val="center"/>
          </w:tcPr>
          <w:p w14:paraId="6BE81957" w14:textId="77777777" w:rsidR="006028DE" w:rsidRPr="00CD2D20" w:rsidRDefault="006028DE" w:rsidP="00FE69E0">
            <w:pPr>
              <w:autoSpaceDE w:val="0"/>
              <w:autoSpaceDN w:val="0"/>
              <w:adjustRightInd w:val="0"/>
              <w:spacing w:before="0" w:after="0"/>
              <w:ind w:left="57" w:right="57"/>
              <w:jc w:val="right"/>
              <w:rPr>
                <w:rFonts w:cs="Arial"/>
                <w:sz w:val="20"/>
                <w:szCs w:val="20"/>
                <w:lang w:val="sr-Latn-RS"/>
              </w:rPr>
            </w:pPr>
            <w:r w:rsidRPr="00CD2D20">
              <w:rPr>
                <w:rFonts w:cs="Arial"/>
                <w:sz w:val="20"/>
                <w:szCs w:val="20"/>
                <w:lang w:val="sr-Latn-RS"/>
              </w:rPr>
              <w:t>CRT</w:t>
            </w:r>
          </w:p>
        </w:tc>
      </w:tr>
      <w:tr w:rsidR="00CD2D20" w:rsidRPr="00CD2D20" w14:paraId="3FAC9B03" w14:textId="77777777" w:rsidTr="005F0B05">
        <w:trPr>
          <w:cantSplit/>
        </w:trPr>
        <w:tc>
          <w:tcPr>
            <w:tcW w:w="1001" w:type="pct"/>
            <w:vMerge/>
            <w:shd w:val="clear" w:color="auto" w:fill="auto"/>
            <w:vAlign w:val="center"/>
          </w:tcPr>
          <w:p w14:paraId="087481E2" w14:textId="77777777" w:rsidR="006028DE" w:rsidRPr="005F0B05" w:rsidRDefault="006028DE" w:rsidP="00FE69E0">
            <w:pPr>
              <w:autoSpaceDE w:val="0"/>
              <w:autoSpaceDN w:val="0"/>
              <w:adjustRightInd w:val="0"/>
              <w:spacing w:before="0" w:after="0"/>
              <w:ind w:left="57" w:right="57"/>
              <w:jc w:val="left"/>
              <w:rPr>
                <w:rFonts w:cs="Arial"/>
                <w:b/>
                <w:bCs/>
                <w:sz w:val="20"/>
                <w:szCs w:val="20"/>
                <w:lang w:val="sr-Latn-RS"/>
              </w:rPr>
            </w:pPr>
          </w:p>
        </w:tc>
        <w:tc>
          <w:tcPr>
            <w:tcW w:w="1802" w:type="pct"/>
            <w:shd w:val="clear" w:color="auto" w:fill="auto"/>
            <w:vAlign w:val="center"/>
          </w:tcPr>
          <w:p w14:paraId="78A76D4D" w14:textId="77777777" w:rsidR="006028DE" w:rsidRPr="00CD2D20" w:rsidRDefault="006028DE" w:rsidP="00FE69E0">
            <w:pPr>
              <w:autoSpaceDE w:val="0"/>
              <w:autoSpaceDN w:val="0"/>
              <w:adjustRightInd w:val="0"/>
              <w:spacing w:before="0" w:after="0"/>
              <w:ind w:left="57" w:right="57"/>
              <w:jc w:val="left"/>
              <w:rPr>
                <w:rFonts w:cs="Arial"/>
                <w:sz w:val="20"/>
                <w:szCs w:val="20"/>
                <w:lang w:val="sr-Latn-RS"/>
              </w:rPr>
            </w:pPr>
            <w:r w:rsidRPr="00CD2D20">
              <w:rPr>
                <w:rFonts w:cs="Arial"/>
                <w:sz w:val="20"/>
                <w:szCs w:val="20"/>
                <w:lang w:val="sr-Latn-RS"/>
              </w:rPr>
              <w:t>Dependent Variable</w:t>
            </w:r>
          </w:p>
        </w:tc>
        <w:tc>
          <w:tcPr>
            <w:tcW w:w="2197" w:type="pct"/>
            <w:shd w:val="clear" w:color="auto" w:fill="auto"/>
            <w:vAlign w:val="center"/>
          </w:tcPr>
          <w:p w14:paraId="4A1917A3" w14:textId="77777777" w:rsidR="006028DE" w:rsidRPr="00CD2D20" w:rsidRDefault="006028DE" w:rsidP="00FE69E0">
            <w:pPr>
              <w:autoSpaceDE w:val="0"/>
              <w:autoSpaceDN w:val="0"/>
              <w:adjustRightInd w:val="0"/>
              <w:spacing w:before="0" w:after="0"/>
              <w:ind w:left="57" w:right="57"/>
              <w:jc w:val="right"/>
              <w:rPr>
                <w:rFonts w:cs="Arial"/>
                <w:sz w:val="20"/>
                <w:szCs w:val="20"/>
                <w:lang w:val="sr-Latn-RS"/>
              </w:rPr>
            </w:pPr>
            <w:r w:rsidRPr="00CD2D20">
              <w:rPr>
                <w:rFonts w:cs="Arial"/>
                <w:sz w:val="20"/>
                <w:szCs w:val="20"/>
                <w:lang w:val="sr-Latn-RS"/>
              </w:rPr>
              <w:t>Degradation_CS</w:t>
            </w:r>
          </w:p>
        </w:tc>
      </w:tr>
      <w:tr w:rsidR="00CD2D20" w:rsidRPr="00CD2D20" w14:paraId="3B292998" w14:textId="77777777" w:rsidTr="005F0B05">
        <w:trPr>
          <w:cantSplit/>
        </w:trPr>
        <w:tc>
          <w:tcPr>
            <w:tcW w:w="1001" w:type="pct"/>
            <w:vMerge/>
            <w:shd w:val="clear" w:color="auto" w:fill="auto"/>
            <w:vAlign w:val="center"/>
          </w:tcPr>
          <w:p w14:paraId="5BC390EA" w14:textId="77777777" w:rsidR="006028DE" w:rsidRPr="005F0B05" w:rsidRDefault="006028DE" w:rsidP="00FE69E0">
            <w:pPr>
              <w:autoSpaceDE w:val="0"/>
              <w:autoSpaceDN w:val="0"/>
              <w:adjustRightInd w:val="0"/>
              <w:spacing w:before="0" w:after="0"/>
              <w:ind w:left="57" w:right="57"/>
              <w:jc w:val="left"/>
              <w:rPr>
                <w:rFonts w:cs="Arial"/>
                <w:b/>
                <w:bCs/>
                <w:sz w:val="20"/>
                <w:szCs w:val="20"/>
                <w:lang w:val="sr-Latn-RS"/>
              </w:rPr>
            </w:pPr>
          </w:p>
        </w:tc>
        <w:tc>
          <w:tcPr>
            <w:tcW w:w="1802" w:type="pct"/>
            <w:shd w:val="clear" w:color="auto" w:fill="auto"/>
            <w:vAlign w:val="center"/>
          </w:tcPr>
          <w:p w14:paraId="789B3E24" w14:textId="77777777" w:rsidR="006028DE" w:rsidRPr="00CD2D20" w:rsidRDefault="006028DE" w:rsidP="00FE69E0">
            <w:pPr>
              <w:autoSpaceDE w:val="0"/>
              <w:autoSpaceDN w:val="0"/>
              <w:adjustRightInd w:val="0"/>
              <w:spacing w:before="0" w:after="0"/>
              <w:ind w:left="57" w:right="57"/>
              <w:jc w:val="left"/>
              <w:rPr>
                <w:rFonts w:cs="Arial"/>
                <w:sz w:val="20"/>
                <w:szCs w:val="20"/>
                <w:lang w:val="sr-Latn-RS"/>
              </w:rPr>
            </w:pPr>
            <w:r w:rsidRPr="00CD2D20">
              <w:rPr>
                <w:rFonts w:cs="Arial"/>
                <w:sz w:val="20"/>
                <w:szCs w:val="20"/>
                <w:lang w:val="sr-Latn-RS"/>
              </w:rPr>
              <w:t>Independent Variables</w:t>
            </w:r>
          </w:p>
        </w:tc>
        <w:tc>
          <w:tcPr>
            <w:tcW w:w="2197" w:type="pct"/>
            <w:shd w:val="clear" w:color="auto" w:fill="auto"/>
            <w:vAlign w:val="center"/>
          </w:tcPr>
          <w:p w14:paraId="76ABE2CF" w14:textId="77777777" w:rsidR="006028DE" w:rsidRPr="00CD2D20" w:rsidRDefault="006028DE" w:rsidP="00FE69E0">
            <w:pPr>
              <w:autoSpaceDE w:val="0"/>
              <w:autoSpaceDN w:val="0"/>
              <w:adjustRightInd w:val="0"/>
              <w:spacing w:before="0" w:after="0"/>
              <w:ind w:left="57" w:right="57"/>
              <w:jc w:val="right"/>
              <w:rPr>
                <w:rFonts w:cs="Arial"/>
                <w:sz w:val="20"/>
                <w:szCs w:val="20"/>
                <w:lang w:val="sr-Latn-RS"/>
              </w:rPr>
            </w:pPr>
            <w:r w:rsidRPr="00CD2D20">
              <w:rPr>
                <w:rFonts w:cs="Arial"/>
                <w:sz w:val="20"/>
                <w:szCs w:val="20"/>
                <w:lang w:val="sr-Latn-RS"/>
              </w:rPr>
              <w:t>T2, T3, T4, Load_kg_n, N_Stdev_CS, N_Mean_CS, N_RMS_CS, N_1Q_CS, N_IQR_CS, N_Min_CS, N_Skew_CS</w:t>
            </w:r>
          </w:p>
        </w:tc>
      </w:tr>
      <w:tr w:rsidR="00CD2D20" w:rsidRPr="00CD2D20" w14:paraId="49A81D2C" w14:textId="77777777" w:rsidTr="005F0B05">
        <w:trPr>
          <w:cantSplit/>
        </w:trPr>
        <w:tc>
          <w:tcPr>
            <w:tcW w:w="1001" w:type="pct"/>
            <w:vMerge/>
            <w:shd w:val="clear" w:color="auto" w:fill="auto"/>
            <w:vAlign w:val="center"/>
          </w:tcPr>
          <w:p w14:paraId="352D7294" w14:textId="77777777" w:rsidR="006028DE" w:rsidRPr="005F0B05" w:rsidRDefault="006028DE" w:rsidP="00FE69E0">
            <w:pPr>
              <w:autoSpaceDE w:val="0"/>
              <w:autoSpaceDN w:val="0"/>
              <w:adjustRightInd w:val="0"/>
              <w:spacing w:before="0" w:after="0"/>
              <w:ind w:left="57" w:right="57"/>
              <w:jc w:val="left"/>
              <w:rPr>
                <w:rFonts w:cs="Arial"/>
                <w:b/>
                <w:bCs/>
                <w:sz w:val="20"/>
                <w:szCs w:val="20"/>
                <w:lang w:val="sr-Latn-RS"/>
              </w:rPr>
            </w:pPr>
          </w:p>
        </w:tc>
        <w:tc>
          <w:tcPr>
            <w:tcW w:w="1802" w:type="pct"/>
            <w:shd w:val="clear" w:color="auto" w:fill="auto"/>
            <w:vAlign w:val="center"/>
          </w:tcPr>
          <w:p w14:paraId="2B9160BF" w14:textId="77777777" w:rsidR="006028DE" w:rsidRPr="00CD2D20" w:rsidRDefault="006028DE" w:rsidP="00FE69E0">
            <w:pPr>
              <w:autoSpaceDE w:val="0"/>
              <w:autoSpaceDN w:val="0"/>
              <w:adjustRightInd w:val="0"/>
              <w:spacing w:before="0" w:after="0"/>
              <w:ind w:left="57" w:right="57"/>
              <w:jc w:val="left"/>
              <w:rPr>
                <w:rFonts w:cs="Arial"/>
                <w:sz w:val="20"/>
                <w:szCs w:val="20"/>
                <w:lang w:val="sr-Latn-RS"/>
              </w:rPr>
            </w:pPr>
            <w:r w:rsidRPr="00CD2D20">
              <w:rPr>
                <w:rFonts w:cs="Arial"/>
                <w:sz w:val="20"/>
                <w:szCs w:val="20"/>
                <w:lang w:val="sr-Latn-RS"/>
              </w:rPr>
              <w:t>Validation</w:t>
            </w:r>
          </w:p>
        </w:tc>
        <w:tc>
          <w:tcPr>
            <w:tcW w:w="2197" w:type="pct"/>
            <w:shd w:val="clear" w:color="auto" w:fill="auto"/>
            <w:vAlign w:val="center"/>
          </w:tcPr>
          <w:p w14:paraId="03395615" w14:textId="77777777" w:rsidR="006028DE" w:rsidRPr="00CD2D20" w:rsidRDefault="006028DE" w:rsidP="00FE69E0">
            <w:pPr>
              <w:autoSpaceDE w:val="0"/>
              <w:autoSpaceDN w:val="0"/>
              <w:adjustRightInd w:val="0"/>
              <w:spacing w:before="0" w:after="0"/>
              <w:ind w:left="57" w:right="57"/>
              <w:jc w:val="right"/>
              <w:rPr>
                <w:rFonts w:cs="Arial"/>
                <w:sz w:val="20"/>
                <w:szCs w:val="20"/>
                <w:lang w:val="sr-Latn-RS"/>
              </w:rPr>
            </w:pPr>
            <w:r w:rsidRPr="00CD2D20">
              <w:rPr>
                <w:rFonts w:cs="Arial"/>
                <w:sz w:val="20"/>
                <w:szCs w:val="20"/>
                <w:lang w:val="sr-Latn-RS"/>
              </w:rPr>
              <w:t>None</w:t>
            </w:r>
          </w:p>
        </w:tc>
      </w:tr>
      <w:tr w:rsidR="00CD2D20" w:rsidRPr="00CD2D20" w14:paraId="34102A10" w14:textId="77777777" w:rsidTr="005F0B05">
        <w:trPr>
          <w:cantSplit/>
        </w:trPr>
        <w:tc>
          <w:tcPr>
            <w:tcW w:w="1001" w:type="pct"/>
            <w:vMerge/>
            <w:shd w:val="clear" w:color="auto" w:fill="auto"/>
            <w:vAlign w:val="center"/>
          </w:tcPr>
          <w:p w14:paraId="51740E02" w14:textId="77777777" w:rsidR="006028DE" w:rsidRPr="005F0B05" w:rsidRDefault="006028DE" w:rsidP="00FE69E0">
            <w:pPr>
              <w:autoSpaceDE w:val="0"/>
              <w:autoSpaceDN w:val="0"/>
              <w:adjustRightInd w:val="0"/>
              <w:spacing w:before="0" w:after="0"/>
              <w:ind w:left="57" w:right="57"/>
              <w:jc w:val="left"/>
              <w:rPr>
                <w:rFonts w:cs="Arial"/>
                <w:b/>
                <w:bCs/>
                <w:sz w:val="20"/>
                <w:szCs w:val="20"/>
                <w:lang w:val="sr-Latn-RS"/>
              </w:rPr>
            </w:pPr>
          </w:p>
        </w:tc>
        <w:tc>
          <w:tcPr>
            <w:tcW w:w="1802" w:type="pct"/>
            <w:shd w:val="clear" w:color="auto" w:fill="auto"/>
            <w:vAlign w:val="center"/>
          </w:tcPr>
          <w:p w14:paraId="6C4A3838" w14:textId="77777777" w:rsidR="006028DE" w:rsidRPr="00CD2D20" w:rsidRDefault="006028DE" w:rsidP="00FE69E0">
            <w:pPr>
              <w:autoSpaceDE w:val="0"/>
              <w:autoSpaceDN w:val="0"/>
              <w:adjustRightInd w:val="0"/>
              <w:spacing w:before="0" w:after="0"/>
              <w:ind w:left="57" w:right="57"/>
              <w:jc w:val="left"/>
              <w:rPr>
                <w:rFonts w:cs="Arial"/>
                <w:sz w:val="20"/>
                <w:szCs w:val="20"/>
                <w:lang w:val="sr-Latn-RS"/>
              </w:rPr>
            </w:pPr>
            <w:r w:rsidRPr="00CD2D20">
              <w:rPr>
                <w:rFonts w:cs="Arial"/>
                <w:sz w:val="20"/>
                <w:szCs w:val="20"/>
                <w:lang w:val="sr-Latn-RS"/>
              </w:rPr>
              <w:t>Maximum Tree Depth</w:t>
            </w:r>
          </w:p>
        </w:tc>
        <w:tc>
          <w:tcPr>
            <w:tcW w:w="2197" w:type="pct"/>
            <w:shd w:val="clear" w:color="auto" w:fill="auto"/>
            <w:vAlign w:val="center"/>
          </w:tcPr>
          <w:p w14:paraId="765B9FD8" w14:textId="77777777" w:rsidR="006028DE" w:rsidRPr="00CD2D20" w:rsidRDefault="006028DE" w:rsidP="00FE69E0">
            <w:pPr>
              <w:autoSpaceDE w:val="0"/>
              <w:autoSpaceDN w:val="0"/>
              <w:adjustRightInd w:val="0"/>
              <w:spacing w:before="0" w:after="0"/>
              <w:ind w:left="57" w:right="57"/>
              <w:jc w:val="right"/>
              <w:rPr>
                <w:rFonts w:cs="Arial"/>
                <w:sz w:val="20"/>
                <w:szCs w:val="20"/>
                <w:lang w:val="sr-Latn-RS"/>
              </w:rPr>
            </w:pPr>
            <w:r w:rsidRPr="00CD2D20">
              <w:rPr>
                <w:rFonts w:cs="Arial"/>
                <w:sz w:val="20"/>
                <w:szCs w:val="20"/>
                <w:lang w:val="sr-Latn-RS"/>
              </w:rPr>
              <w:t>5</w:t>
            </w:r>
          </w:p>
        </w:tc>
      </w:tr>
      <w:tr w:rsidR="00CD2D20" w:rsidRPr="00CD2D20" w14:paraId="343C4964" w14:textId="77777777" w:rsidTr="005F0B05">
        <w:trPr>
          <w:cantSplit/>
        </w:trPr>
        <w:tc>
          <w:tcPr>
            <w:tcW w:w="1001" w:type="pct"/>
            <w:vMerge/>
            <w:shd w:val="clear" w:color="auto" w:fill="auto"/>
            <w:vAlign w:val="center"/>
          </w:tcPr>
          <w:p w14:paraId="6B2A86BF" w14:textId="77777777" w:rsidR="006028DE" w:rsidRPr="005F0B05" w:rsidRDefault="006028DE" w:rsidP="00FE69E0">
            <w:pPr>
              <w:autoSpaceDE w:val="0"/>
              <w:autoSpaceDN w:val="0"/>
              <w:adjustRightInd w:val="0"/>
              <w:spacing w:before="0" w:after="0"/>
              <w:ind w:left="57" w:right="57"/>
              <w:jc w:val="left"/>
              <w:rPr>
                <w:rFonts w:cs="Arial"/>
                <w:b/>
                <w:bCs/>
                <w:sz w:val="20"/>
                <w:szCs w:val="20"/>
                <w:lang w:val="sr-Latn-RS"/>
              </w:rPr>
            </w:pPr>
          </w:p>
        </w:tc>
        <w:tc>
          <w:tcPr>
            <w:tcW w:w="1802" w:type="pct"/>
            <w:shd w:val="clear" w:color="auto" w:fill="auto"/>
            <w:vAlign w:val="center"/>
          </w:tcPr>
          <w:p w14:paraId="59802C8B" w14:textId="77777777" w:rsidR="006028DE" w:rsidRPr="00CD2D20" w:rsidRDefault="006028DE" w:rsidP="00FE69E0">
            <w:pPr>
              <w:autoSpaceDE w:val="0"/>
              <w:autoSpaceDN w:val="0"/>
              <w:adjustRightInd w:val="0"/>
              <w:spacing w:before="0" w:after="0"/>
              <w:ind w:left="57" w:right="57"/>
              <w:jc w:val="left"/>
              <w:rPr>
                <w:rFonts w:cs="Arial"/>
                <w:sz w:val="20"/>
                <w:szCs w:val="20"/>
                <w:lang w:val="sr-Latn-RS"/>
              </w:rPr>
            </w:pPr>
            <w:r w:rsidRPr="00CD2D20">
              <w:rPr>
                <w:rFonts w:cs="Arial"/>
                <w:sz w:val="20"/>
                <w:szCs w:val="20"/>
                <w:lang w:val="sr-Latn-RS"/>
              </w:rPr>
              <w:t>Minimum Cases in Parent Node</w:t>
            </w:r>
          </w:p>
        </w:tc>
        <w:tc>
          <w:tcPr>
            <w:tcW w:w="2197" w:type="pct"/>
            <w:shd w:val="clear" w:color="auto" w:fill="auto"/>
            <w:vAlign w:val="center"/>
          </w:tcPr>
          <w:p w14:paraId="2539C4B6" w14:textId="77777777" w:rsidR="006028DE" w:rsidRPr="00CD2D20" w:rsidRDefault="006028DE" w:rsidP="00FE69E0">
            <w:pPr>
              <w:autoSpaceDE w:val="0"/>
              <w:autoSpaceDN w:val="0"/>
              <w:adjustRightInd w:val="0"/>
              <w:spacing w:before="0" w:after="0"/>
              <w:ind w:left="57" w:right="57"/>
              <w:jc w:val="right"/>
              <w:rPr>
                <w:rFonts w:cs="Arial"/>
                <w:sz w:val="20"/>
                <w:szCs w:val="20"/>
                <w:lang w:val="sr-Latn-RS"/>
              </w:rPr>
            </w:pPr>
            <w:r w:rsidRPr="00CD2D20">
              <w:rPr>
                <w:rFonts w:cs="Arial"/>
                <w:sz w:val="20"/>
                <w:szCs w:val="20"/>
                <w:lang w:val="sr-Latn-RS"/>
              </w:rPr>
              <w:t>100</w:t>
            </w:r>
          </w:p>
        </w:tc>
      </w:tr>
      <w:tr w:rsidR="00CD2D20" w:rsidRPr="00CD2D20" w14:paraId="55E5CDB0" w14:textId="77777777" w:rsidTr="005F0B05">
        <w:trPr>
          <w:cantSplit/>
        </w:trPr>
        <w:tc>
          <w:tcPr>
            <w:tcW w:w="1001" w:type="pct"/>
            <w:vMerge/>
            <w:shd w:val="clear" w:color="auto" w:fill="auto"/>
            <w:vAlign w:val="center"/>
          </w:tcPr>
          <w:p w14:paraId="07D861EA" w14:textId="77777777" w:rsidR="006028DE" w:rsidRPr="005F0B05" w:rsidRDefault="006028DE" w:rsidP="00FE69E0">
            <w:pPr>
              <w:autoSpaceDE w:val="0"/>
              <w:autoSpaceDN w:val="0"/>
              <w:adjustRightInd w:val="0"/>
              <w:spacing w:before="0" w:after="0"/>
              <w:ind w:left="57" w:right="57"/>
              <w:jc w:val="left"/>
              <w:rPr>
                <w:rFonts w:cs="Arial"/>
                <w:b/>
                <w:bCs/>
                <w:sz w:val="20"/>
                <w:szCs w:val="20"/>
                <w:lang w:val="sr-Latn-RS"/>
              </w:rPr>
            </w:pPr>
          </w:p>
        </w:tc>
        <w:tc>
          <w:tcPr>
            <w:tcW w:w="1802" w:type="pct"/>
            <w:shd w:val="clear" w:color="auto" w:fill="auto"/>
            <w:vAlign w:val="center"/>
          </w:tcPr>
          <w:p w14:paraId="133106A8" w14:textId="77777777" w:rsidR="006028DE" w:rsidRPr="00CD2D20" w:rsidRDefault="006028DE" w:rsidP="00FE69E0">
            <w:pPr>
              <w:autoSpaceDE w:val="0"/>
              <w:autoSpaceDN w:val="0"/>
              <w:adjustRightInd w:val="0"/>
              <w:spacing w:before="0" w:after="0"/>
              <w:ind w:left="57" w:right="57"/>
              <w:jc w:val="left"/>
              <w:rPr>
                <w:rFonts w:cs="Arial"/>
                <w:sz w:val="20"/>
                <w:szCs w:val="20"/>
                <w:lang w:val="sr-Latn-RS"/>
              </w:rPr>
            </w:pPr>
            <w:r w:rsidRPr="00CD2D20">
              <w:rPr>
                <w:rFonts w:cs="Arial"/>
                <w:sz w:val="20"/>
                <w:szCs w:val="20"/>
                <w:lang w:val="sr-Latn-RS"/>
              </w:rPr>
              <w:t>Minimum Cases in Child Node</w:t>
            </w:r>
          </w:p>
        </w:tc>
        <w:tc>
          <w:tcPr>
            <w:tcW w:w="2197" w:type="pct"/>
            <w:shd w:val="clear" w:color="auto" w:fill="auto"/>
            <w:vAlign w:val="center"/>
          </w:tcPr>
          <w:p w14:paraId="5AD91ACB" w14:textId="77777777" w:rsidR="006028DE" w:rsidRPr="00CD2D20" w:rsidRDefault="006028DE" w:rsidP="00FE69E0">
            <w:pPr>
              <w:autoSpaceDE w:val="0"/>
              <w:autoSpaceDN w:val="0"/>
              <w:adjustRightInd w:val="0"/>
              <w:spacing w:before="0" w:after="0"/>
              <w:ind w:left="57" w:right="57"/>
              <w:jc w:val="right"/>
              <w:rPr>
                <w:rFonts w:cs="Arial"/>
                <w:sz w:val="20"/>
                <w:szCs w:val="20"/>
                <w:lang w:val="sr-Latn-RS"/>
              </w:rPr>
            </w:pPr>
            <w:r w:rsidRPr="00CD2D20">
              <w:rPr>
                <w:rFonts w:cs="Arial"/>
                <w:sz w:val="20"/>
                <w:szCs w:val="20"/>
                <w:lang w:val="sr-Latn-RS"/>
              </w:rPr>
              <w:t>50</w:t>
            </w:r>
          </w:p>
        </w:tc>
      </w:tr>
      <w:tr w:rsidR="00CD2D20" w:rsidRPr="00CD2D20" w14:paraId="1ED4B804" w14:textId="77777777" w:rsidTr="005F0B05">
        <w:trPr>
          <w:cantSplit/>
        </w:trPr>
        <w:tc>
          <w:tcPr>
            <w:tcW w:w="1001" w:type="pct"/>
            <w:vMerge w:val="restart"/>
            <w:shd w:val="clear" w:color="auto" w:fill="auto"/>
            <w:vAlign w:val="center"/>
          </w:tcPr>
          <w:p w14:paraId="6C10C103" w14:textId="77777777" w:rsidR="006028DE" w:rsidRPr="005F0B05" w:rsidRDefault="006028DE" w:rsidP="00FE69E0">
            <w:pPr>
              <w:autoSpaceDE w:val="0"/>
              <w:autoSpaceDN w:val="0"/>
              <w:adjustRightInd w:val="0"/>
              <w:spacing w:before="0" w:after="0"/>
              <w:ind w:left="57" w:right="57"/>
              <w:jc w:val="left"/>
              <w:rPr>
                <w:rFonts w:cs="Arial"/>
                <w:b/>
                <w:bCs/>
                <w:sz w:val="20"/>
                <w:szCs w:val="20"/>
                <w:lang w:val="sr-Latn-RS"/>
              </w:rPr>
            </w:pPr>
            <w:r w:rsidRPr="005F0B05">
              <w:rPr>
                <w:rFonts w:cs="Arial"/>
                <w:b/>
                <w:bCs/>
                <w:sz w:val="20"/>
                <w:szCs w:val="20"/>
                <w:lang w:val="sr-Latn-RS"/>
              </w:rPr>
              <w:t>Results</w:t>
            </w:r>
          </w:p>
        </w:tc>
        <w:tc>
          <w:tcPr>
            <w:tcW w:w="1802" w:type="pct"/>
            <w:shd w:val="clear" w:color="auto" w:fill="auto"/>
            <w:vAlign w:val="center"/>
          </w:tcPr>
          <w:p w14:paraId="59C97564" w14:textId="77777777" w:rsidR="006028DE" w:rsidRPr="00CD2D20" w:rsidRDefault="006028DE" w:rsidP="00FE69E0">
            <w:pPr>
              <w:autoSpaceDE w:val="0"/>
              <w:autoSpaceDN w:val="0"/>
              <w:adjustRightInd w:val="0"/>
              <w:spacing w:before="0" w:after="0"/>
              <w:ind w:left="57" w:right="57"/>
              <w:jc w:val="left"/>
              <w:rPr>
                <w:rFonts w:cs="Arial"/>
                <w:sz w:val="20"/>
                <w:szCs w:val="20"/>
                <w:lang w:val="sr-Latn-RS"/>
              </w:rPr>
            </w:pPr>
            <w:r w:rsidRPr="00CD2D20">
              <w:rPr>
                <w:rFonts w:cs="Arial"/>
                <w:sz w:val="20"/>
                <w:szCs w:val="20"/>
                <w:lang w:val="sr-Latn-RS"/>
              </w:rPr>
              <w:t>Independent Variables Included</w:t>
            </w:r>
          </w:p>
        </w:tc>
        <w:tc>
          <w:tcPr>
            <w:tcW w:w="2197" w:type="pct"/>
            <w:shd w:val="clear" w:color="auto" w:fill="auto"/>
            <w:vAlign w:val="center"/>
          </w:tcPr>
          <w:p w14:paraId="20A96D59" w14:textId="77777777" w:rsidR="006028DE" w:rsidRPr="00CD2D20" w:rsidRDefault="006028DE" w:rsidP="00FE69E0">
            <w:pPr>
              <w:autoSpaceDE w:val="0"/>
              <w:autoSpaceDN w:val="0"/>
              <w:adjustRightInd w:val="0"/>
              <w:spacing w:before="0" w:after="0"/>
              <w:ind w:left="57" w:right="57"/>
              <w:jc w:val="right"/>
              <w:rPr>
                <w:rFonts w:cs="Arial"/>
                <w:sz w:val="20"/>
                <w:szCs w:val="20"/>
                <w:lang w:val="sr-Latn-RS"/>
              </w:rPr>
            </w:pPr>
            <w:r w:rsidRPr="00CD2D20">
              <w:rPr>
                <w:rFonts w:cs="Arial"/>
                <w:sz w:val="20"/>
                <w:szCs w:val="20"/>
                <w:lang w:val="sr-Latn-RS"/>
              </w:rPr>
              <w:t>N_IQR_CS, N_1Q_CS, N_Min_CS, N_Stdev_CS, N_Mean_CS, N_Skew_CS, T3, Load_kg_n, T4, T2, N_RMS_CS</w:t>
            </w:r>
          </w:p>
        </w:tc>
      </w:tr>
      <w:tr w:rsidR="00CD2D20" w:rsidRPr="00CD2D20" w14:paraId="569C9832" w14:textId="77777777" w:rsidTr="005F0B05">
        <w:trPr>
          <w:cantSplit/>
        </w:trPr>
        <w:tc>
          <w:tcPr>
            <w:tcW w:w="1001" w:type="pct"/>
            <w:vMerge/>
            <w:shd w:val="clear" w:color="auto" w:fill="auto"/>
            <w:vAlign w:val="center"/>
          </w:tcPr>
          <w:p w14:paraId="61A42C45" w14:textId="77777777" w:rsidR="006028DE" w:rsidRPr="00CD2D20" w:rsidRDefault="006028DE" w:rsidP="00FE69E0">
            <w:pPr>
              <w:autoSpaceDE w:val="0"/>
              <w:autoSpaceDN w:val="0"/>
              <w:adjustRightInd w:val="0"/>
              <w:spacing w:before="0" w:after="0"/>
              <w:ind w:left="57" w:right="57"/>
              <w:jc w:val="left"/>
              <w:rPr>
                <w:rFonts w:cs="Arial"/>
                <w:sz w:val="20"/>
                <w:szCs w:val="20"/>
                <w:lang w:val="sr-Latn-RS"/>
              </w:rPr>
            </w:pPr>
          </w:p>
        </w:tc>
        <w:tc>
          <w:tcPr>
            <w:tcW w:w="1802" w:type="pct"/>
            <w:shd w:val="clear" w:color="auto" w:fill="auto"/>
            <w:vAlign w:val="center"/>
          </w:tcPr>
          <w:p w14:paraId="72434375" w14:textId="77777777" w:rsidR="006028DE" w:rsidRPr="00CD2D20" w:rsidRDefault="006028DE" w:rsidP="00FE69E0">
            <w:pPr>
              <w:autoSpaceDE w:val="0"/>
              <w:autoSpaceDN w:val="0"/>
              <w:adjustRightInd w:val="0"/>
              <w:spacing w:before="0" w:after="0"/>
              <w:ind w:left="57" w:right="57"/>
              <w:jc w:val="left"/>
              <w:rPr>
                <w:rFonts w:cs="Arial"/>
                <w:sz w:val="20"/>
                <w:szCs w:val="20"/>
                <w:lang w:val="sr-Latn-RS"/>
              </w:rPr>
            </w:pPr>
            <w:r w:rsidRPr="00CD2D20">
              <w:rPr>
                <w:rFonts w:cs="Arial"/>
                <w:sz w:val="20"/>
                <w:szCs w:val="20"/>
                <w:lang w:val="sr-Latn-RS"/>
              </w:rPr>
              <w:t>Number of Nodes</w:t>
            </w:r>
          </w:p>
        </w:tc>
        <w:tc>
          <w:tcPr>
            <w:tcW w:w="2197" w:type="pct"/>
            <w:shd w:val="clear" w:color="auto" w:fill="auto"/>
            <w:vAlign w:val="center"/>
          </w:tcPr>
          <w:p w14:paraId="197FCB07" w14:textId="77777777" w:rsidR="006028DE" w:rsidRPr="00CD2D20" w:rsidRDefault="006028DE" w:rsidP="00FE69E0">
            <w:pPr>
              <w:autoSpaceDE w:val="0"/>
              <w:autoSpaceDN w:val="0"/>
              <w:adjustRightInd w:val="0"/>
              <w:spacing w:before="0" w:after="0"/>
              <w:ind w:left="57" w:right="57"/>
              <w:jc w:val="right"/>
              <w:rPr>
                <w:rFonts w:cs="Arial"/>
                <w:sz w:val="20"/>
                <w:szCs w:val="20"/>
                <w:lang w:val="sr-Latn-RS"/>
              </w:rPr>
            </w:pPr>
            <w:r w:rsidRPr="00CD2D20">
              <w:rPr>
                <w:rFonts w:cs="Arial"/>
                <w:sz w:val="20"/>
                <w:szCs w:val="20"/>
                <w:lang w:val="sr-Latn-RS"/>
              </w:rPr>
              <w:t>7</w:t>
            </w:r>
          </w:p>
        </w:tc>
      </w:tr>
      <w:tr w:rsidR="00CD2D20" w:rsidRPr="00CD2D20" w14:paraId="5B6DB0C3" w14:textId="77777777" w:rsidTr="005F0B05">
        <w:trPr>
          <w:cantSplit/>
        </w:trPr>
        <w:tc>
          <w:tcPr>
            <w:tcW w:w="1001" w:type="pct"/>
            <w:vMerge/>
            <w:shd w:val="clear" w:color="auto" w:fill="auto"/>
            <w:vAlign w:val="center"/>
          </w:tcPr>
          <w:p w14:paraId="50878909" w14:textId="77777777" w:rsidR="006028DE" w:rsidRPr="00CD2D20" w:rsidRDefault="006028DE" w:rsidP="00FE69E0">
            <w:pPr>
              <w:autoSpaceDE w:val="0"/>
              <w:autoSpaceDN w:val="0"/>
              <w:adjustRightInd w:val="0"/>
              <w:spacing w:before="0" w:after="0"/>
              <w:ind w:left="57" w:right="57"/>
              <w:jc w:val="left"/>
              <w:rPr>
                <w:rFonts w:cs="Arial"/>
                <w:sz w:val="20"/>
                <w:szCs w:val="20"/>
                <w:lang w:val="sr-Latn-RS"/>
              </w:rPr>
            </w:pPr>
          </w:p>
        </w:tc>
        <w:tc>
          <w:tcPr>
            <w:tcW w:w="1802" w:type="pct"/>
            <w:shd w:val="clear" w:color="auto" w:fill="auto"/>
            <w:vAlign w:val="center"/>
          </w:tcPr>
          <w:p w14:paraId="7AA0F40F" w14:textId="77777777" w:rsidR="006028DE" w:rsidRPr="00CD2D20" w:rsidRDefault="006028DE" w:rsidP="00FE69E0">
            <w:pPr>
              <w:autoSpaceDE w:val="0"/>
              <w:autoSpaceDN w:val="0"/>
              <w:adjustRightInd w:val="0"/>
              <w:spacing w:before="0" w:after="0"/>
              <w:ind w:left="57" w:right="57"/>
              <w:jc w:val="left"/>
              <w:rPr>
                <w:rFonts w:cs="Arial"/>
                <w:sz w:val="20"/>
                <w:szCs w:val="20"/>
                <w:lang w:val="sr-Latn-RS"/>
              </w:rPr>
            </w:pPr>
            <w:r w:rsidRPr="00CD2D20">
              <w:rPr>
                <w:rFonts w:cs="Arial"/>
                <w:sz w:val="20"/>
                <w:szCs w:val="20"/>
                <w:lang w:val="sr-Latn-RS"/>
              </w:rPr>
              <w:t>Number of Terminal Nodes</w:t>
            </w:r>
          </w:p>
        </w:tc>
        <w:tc>
          <w:tcPr>
            <w:tcW w:w="2197" w:type="pct"/>
            <w:shd w:val="clear" w:color="auto" w:fill="auto"/>
            <w:vAlign w:val="center"/>
          </w:tcPr>
          <w:p w14:paraId="0BBFE2D5" w14:textId="77777777" w:rsidR="006028DE" w:rsidRPr="00CD2D20" w:rsidRDefault="006028DE" w:rsidP="00FE69E0">
            <w:pPr>
              <w:autoSpaceDE w:val="0"/>
              <w:autoSpaceDN w:val="0"/>
              <w:adjustRightInd w:val="0"/>
              <w:spacing w:before="0" w:after="0"/>
              <w:ind w:left="57" w:right="57"/>
              <w:jc w:val="right"/>
              <w:rPr>
                <w:rFonts w:cs="Arial"/>
                <w:sz w:val="20"/>
                <w:szCs w:val="20"/>
                <w:lang w:val="sr-Latn-RS"/>
              </w:rPr>
            </w:pPr>
            <w:r w:rsidRPr="00CD2D20">
              <w:rPr>
                <w:rFonts w:cs="Arial"/>
                <w:sz w:val="20"/>
                <w:szCs w:val="20"/>
                <w:lang w:val="sr-Latn-RS"/>
              </w:rPr>
              <w:t>4</w:t>
            </w:r>
          </w:p>
        </w:tc>
      </w:tr>
      <w:tr w:rsidR="00CD2D20" w:rsidRPr="00CD2D20" w14:paraId="2F4D7AA4" w14:textId="77777777" w:rsidTr="005F0B05">
        <w:trPr>
          <w:cantSplit/>
        </w:trPr>
        <w:tc>
          <w:tcPr>
            <w:tcW w:w="1001" w:type="pct"/>
            <w:vMerge/>
            <w:shd w:val="clear" w:color="auto" w:fill="auto"/>
            <w:vAlign w:val="center"/>
          </w:tcPr>
          <w:p w14:paraId="1A230933" w14:textId="77777777" w:rsidR="006028DE" w:rsidRPr="00CD2D20" w:rsidRDefault="006028DE" w:rsidP="00FE69E0">
            <w:pPr>
              <w:autoSpaceDE w:val="0"/>
              <w:autoSpaceDN w:val="0"/>
              <w:adjustRightInd w:val="0"/>
              <w:spacing w:before="0" w:after="0"/>
              <w:ind w:left="57" w:right="57"/>
              <w:jc w:val="left"/>
              <w:rPr>
                <w:rFonts w:cs="Arial"/>
                <w:sz w:val="20"/>
                <w:szCs w:val="20"/>
                <w:lang w:val="sr-Latn-RS"/>
              </w:rPr>
            </w:pPr>
          </w:p>
        </w:tc>
        <w:tc>
          <w:tcPr>
            <w:tcW w:w="1802" w:type="pct"/>
            <w:shd w:val="clear" w:color="auto" w:fill="auto"/>
            <w:vAlign w:val="center"/>
          </w:tcPr>
          <w:p w14:paraId="4D24B3A2" w14:textId="77777777" w:rsidR="006028DE" w:rsidRPr="00CD2D20" w:rsidRDefault="006028DE" w:rsidP="00FE69E0">
            <w:pPr>
              <w:autoSpaceDE w:val="0"/>
              <w:autoSpaceDN w:val="0"/>
              <w:adjustRightInd w:val="0"/>
              <w:spacing w:before="0" w:after="0"/>
              <w:ind w:left="57" w:right="57"/>
              <w:jc w:val="left"/>
              <w:rPr>
                <w:rFonts w:cs="Arial"/>
                <w:sz w:val="20"/>
                <w:szCs w:val="20"/>
                <w:lang w:val="sr-Latn-RS"/>
              </w:rPr>
            </w:pPr>
            <w:r w:rsidRPr="00CD2D20">
              <w:rPr>
                <w:rFonts w:cs="Arial"/>
                <w:sz w:val="20"/>
                <w:szCs w:val="20"/>
                <w:lang w:val="sr-Latn-RS"/>
              </w:rPr>
              <w:t>Depth</w:t>
            </w:r>
          </w:p>
        </w:tc>
        <w:tc>
          <w:tcPr>
            <w:tcW w:w="2197" w:type="pct"/>
            <w:shd w:val="clear" w:color="auto" w:fill="auto"/>
            <w:vAlign w:val="center"/>
          </w:tcPr>
          <w:p w14:paraId="140C19FB" w14:textId="77777777" w:rsidR="006028DE" w:rsidRPr="00CD2D20" w:rsidRDefault="006028DE" w:rsidP="00FE69E0">
            <w:pPr>
              <w:autoSpaceDE w:val="0"/>
              <w:autoSpaceDN w:val="0"/>
              <w:adjustRightInd w:val="0"/>
              <w:spacing w:before="0" w:after="0"/>
              <w:ind w:left="57" w:right="57"/>
              <w:jc w:val="right"/>
              <w:rPr>
                <w:rFonts w:cs="Arial"/>
                <w:sz w:val="20"/>
                <w:szCs w:val="20"/>
                <w:lang w:val="sr-Latn-RS"/>
              </w:rPr>
            </w:pPr>
            <w:r w:rsidRPr="00CD2D20">
              <w:rPr>
                <w:rFonts w:cs="Arial"/>
                <w:sz w:val="20"/>
                <w:szCs w:val="20"/>
                <w:lang w:val="sr-Latn-RS"/>
              </w:rPr>
              <w:t>3</w:t>
            </w:r>
          </w:p>
        </w:tc>
      </w:tr>
    </w:tbl>
    <w:p w14:paraId="25B9B80F" w14:textId="558FB62C" w:rsidR="006028DE" w:rsidRPr="006028DE" w:rsidRDefault="00DD2A50" w:rsidP="00DD2A50">
      <w:pPr>
        <w:rPr>
          <w:lang w:val="sr-Latn-RS"/>
        </w:rPr>
      </w:pPr>
      <w:r>
        <w:rPr>
          <w:lang w:val="sr-Latn-RS"/>
        </w:rPr>
        <w:t xml:space="preserve">Moreover, it should </w:t>
      </w:r>
      <w:r w:rsidR="004909B8">
        <w:rPr>
          <w:lang w:val="sr-Latn-RS"/>
        </w:rPr>
        <w:t>also be</w:t>
      </w:r>
      <w:r>
        <w:rPr>
          <w:lang w:val="sr-Latn-RS"/>
        </w:rPr>
        <w:t xml:space="preserve"> emphasised that without the support of elemental analysis, which was conducted properly, however, WDXRF results showed no significant deviations of Fe and Cr and are unable to be used valid</w:t>
      </w:r>
      <w:r w:rsidR="004909B8">
        <w:rPr>
          <w:lang w:val="sr-Latn-RS"/>
        </w:rPr>
        <w:t>it</w:t>
      </w:r>
      <w:r>
        <w:rPr>
          <w:lang w:val="sr-Latn-RS"/>
        </w:rPr>
        <w:t>y since the resolution of detection need to be higher than 10 ppm in order for the results to be valid, due to the sensitivity of XRF spectrophotometry.</w:t>
      </w:r>
    </w:p>
    <w:p w14:paraId="3C1BC44E" w14:textId="177EF0CE" w:rsidR="00917577" w:rsidRPr="006028DE" w:rsidRDefault="00917577" w:rsidP="00917577">
      <w:pPr>
        <w:pStyle w:val="Caption"/>
        <w:jc w:val="both"/>
      </w:pPr>
      <w:bookmarkStart w:id="651" w:name="_Toc101274498"/>
      <w:r>
        <w:t xml:space="preserve">Table </w:t>
      </w:r>
      <w:fldSimple w:instr=" SEQ Table \* ARABIC ">
        <w:r w:rsidR="00587AF0">
          <w:rPr>
            <w:noProof/>
          </w:rPr>
          <w:t>58</w:t>
        </w:r>
      </w:fldSimple>
      <w:r>
        <w:t xml:space="preserve">. Classification matrix score for </w:t>
      </w:r>
      <w:r w:rsidR="00581149">
        <w:t>decision tree</w:t>
      </w:r>
      <w:r>
        <w:t xml:space="preserve"> at closing saddle position</w:t>
      </w:r>
      <w:bookmarkEnd w:id="651"/>
    </w:p>
    <w:tbl>
      <w:tblPr>
        <w:tblW w:w="5000" w:type="pct"/>
        <w:tblLook w:val="04A0" w:firstRow="1" w:lastRow="0" w:firstColumn="1" w:lastColumn="0" w:noHBand="0" w:noVBand="1"/>
      </w:tblPr>
      <w:tblGrid>
        <w:gridCol w:w="2005"/>
        <w:gridCol w:w="2351"/>
        <w:gridCol w:w="1004"/>
        <w:gridCol w:w="1780"/>
        <w:gridCol w:w="1887"/>
      </w:tblGrid>
      <w:tr w:rsidR="00917577" w:rsidRPr="006028DE" w14:paraId="3C3EF2B9" w14:textId="77777777" w:rsidTr="00982E69">
        <w:trPr>
          <w:trHeight w:val="255"/>
        </w:trPr>
        <w:tc>
          <w:tcPr>
            <w:tcW w:w="1111" w:type="pct"/>
            <w:vMerge w:val="restart"/>
            <w:tcBorders>
              <w:top w:val="single" w:sz="4" w:space="0" w:color="auto"/>
              <w:left w:val="nil"/>
              <w:bottom w:val="single" w:sz="8" w:space="0" w:color="152935"/>
              <w:right w:val="nil"/>
            </w:tcBorders>
            <w:shd w:val="clear" w:color="auto" w:fill="auto"/>
            <w:vAlign w:val="center"/>
            <w:hideMark/>
          </w:tcPr>
          <w:p w14:paraId="1046A993" w14:textId="77777777" w:rsidR="00917577" w:rsidRPr="006028DE" w:rsidRDefault="00917577" w:rsidP="00CC5DAD">
            <w:pPr>
              <w:spacing w:before="0" w:after="0"/>
              <w:jc w:val="center"/>
              <w:rPr>
                <w:rFonts w:eastAsia="Times New Roman" w:cs="Times New Roman"/>
                <w:b/>
                <w:bCs/>
                <w:color w:val="000000"/>
                <w:sz w:val="20"/>
                <w:szCs w:val="20"/>
                <w:lang w:val="sr-Latn-RS" w:eastAsia="sr-Latn-RS"/>
              </w:rPr>
            </w:pPr>
            <w:r w:rsidRPr="006028DE">
              <w:rPr>
                <w:rFonts w:eastAsia="Times New Roman" w:cs="Times New Roman"/>
                <w:b/>
                <w:bCs/>
                <w:color w:val="000000"/>
                <w:sz w:val="20"/>
                <w:szCs w:val="20"/>
                <w:lang w:val="sr-Latn-RS" w:eastAsia="sr-Latn-RS"/>
              </w:rPr>
              <w:t>Sample</w:t>
            </w:r>
          </w:p>
        </w:tc>
        <w:tc>
          <w:tcPr>
            <w:tcW w:w="1302" w:type="pct"/>
            <w:vMerge w:val="restart"/>
            <w:tcBorders>
              <w:top w:val="single" w:sz="4" w:space="0" w:color="auto"/>
              <w:left w:val="nil"/>
              <w:bottom w:val="single" w:sz="8" w:space="0" w:color="152935"/>
              <w:right w:val="nil"/>
            </w:tcBorders>
            <w:shd w:val="clear" w:color="auto" w:fill="auto"/>
            <w:vAlign w:val="center"/>
            <w:hideMark/>
          </w:tcPr>
          <w:p w14:paraId="01E41997" w14:textId="77777777" w:rsidR="00917577" w:rsidRPr="006028DE" w:rsidRDefault="00917577" w:rsidP="00CC5DAD">
            <w:pPr>
              <w:spacing w:before="0" w:after="0"/>
              <w:jc w:val="center"/>
              <w:rPr>
                <w:rFonts w:eastAsia="Times New Roman" w:cs="Times New Roman"/>
                <w:b/>
                <w:bCs/>
                <w:color w:val="000000"/>
                <w:sz w:val="20"/>
                <w:szCs w:val="20"/>
                <w:lang w:val="sr-Latn-RS" w:eastAsia="sr-Latn-RS"/>
              </w:rPr>
            </w:pPr>
            <w:r w:rsidRPr="006028DE">
              <w:rPr>
                <w:rFonts w:eastAsia="Times New Roman" w:cs="Times New Roman"/>
                <w:b/>
                <w:bCs/>
                <w:color w:val="000000"/>
                <w:sz w:val="20"/>
                <w:szCs w:val="20"/>
                <w:lang w:val="sr-Latn-RS" w:eastAsia="sr-Latn-RS"/>
              </w:rPr>
              <w:t>Observed</w:t>
            </w:r>
          </w:p>
        </w:tc>
        <w:tc>
          <w:tcPr>
            <w:tcW w:w="2587" w:type="pct"/>
            <w:gridSpan w:val="3"/>
            <w:tcBorders>
              <w:top w:val="single" w:sz="4" w:space="0" w:color="auto"/>
              <w:left w:val="nil"/>
              <w:bottom w:val="nil"/>
              <w:right w:val="nil"/>
            </w:tcBorders>
            <w:shd w:val="clear" w:color="auto" w:fill="auto"/>
            <w:vAlign w:val="center"/>
            <w:hideMark/>
          </w:tcPr>
          <w:p w14:paraId="26B65746" w14:textId="77777777" w:rsidR="00917577" w:rsidRPr="006028DE" w:rsidRDefault="00917577" w:rsidP="00CC5DAD">
            <w:pPr>
              <w:spacing w:before="0" w:after="0"/>
              <w:jc w:val="center"/>
              <w:rPr>
                <w:rFonts w:eastAsia="Times New Roman" w:cs="Times New Roman"/>
                <w:b/>
                <w:bCs/>
                <w:color w:val="000000"/>
                <w:sz w:val="20"/>
                <w:szCs w:val="20"/>
                <w:lang w:val="sr-Latn-RS" w:eastAsia="sr-Latn-RS"/>
              </w:rPr>
            </w:pPr>
            <w:r w:rsidRPr="006028DE">
              <w:rPr>
                <w:rFonts w:eastAsia="Times New Roman" w:cs="Times New Roman"/>
                <w:b/>
                <w:bCs/>
                <w:color w:val="000000"/>
                <w:sz w:val="20"/>
                <w:szCs w:val="20"/>
                <w:lang w:val="sr-Latn-RS" w:eastAsia="sr-Latn-RS"/>
              </w:rPr>
              <w:t>Predicted</w:t>
            </w:r>
          </w:p>
        </w:tc>
      </w:tr>
      <w:tr w:rsidR="00917577" w:rsidRPr="006028DE" w14:paraId="41C87E30" w14:textId="77777777" w:rsidTr="00982E69">
        <w:trPr>
          <w:trHeight w:val="270"/>
        </w:trPr>
        <w:tc>
          <w:tcPr>
            <w:tcW w:w="1111" w:type="pct"/>
            <w:vMerge/>
            <w:tcBorders>
              <w:top w:val="single" w:sz="8" w:space="0" w:color="auto"/>
              <w:left w:val="nil"/>
              <w:bottom w:val="single" w:sz="4" w:space="0" w:color="auto"/>
              <w:right w:val="nil"/>
            </w:tcBorders>
            <w:vAlign w:val="center"/>
            <w:hideMark/>
          </w:tcPr>
          <w:p w14:paraId="55F268F7" w14:textId="77777777" w:rsidR="00917577" w:rsidRPr="006028DE" w:rsidRDefault="00917577" w:rsidP="00CC5DAD">
            <w:pPr>
              <w:spacing w:before="0" w:after="0"/>
              <w:jc w:val="left"/>
              <w:rPr>
                <w:rFonts w:eastAsia="Times New Roman" w:cs="Times New Roman"/>
                <w:b/>
                <w:bCs/>
                <w:color w:val="000000"/>
                <w:sz w:val="20"/>
                <w:szCs w:val="20"/>
                <w:lang w:val="sr-Latn-RS" w:eastAsia="sr-Latn-RS"/>
              </w:rPr>
            </w:pPr>
          </w:p>
        </w:tc>
        <w:tc>
          <w:tcPr>
            <w:tcW w:w="1302" w:type="pct"/>
            <w:vMerge/>
            <w:tcBorders>
              <w:top w:val="single" w:sz="8" w:space="0" w:color="auto"/>
              <w:left w:val="nil"/>
              <w:bottom w:val="single" w:sz="4" w:space="0" w:color="auto"/>
              <w:right w:val="nil"/>
            </w:tcBorders>
            <w:vAlign w:val="center"/>
            <w:hideMark/>
          </w:tcPr>
          <w:p w14:paraId="4FB1A9B1" w14:textId="77777777" w:rsidR="00917577" w:rsidRPr="006028DE" w:rsidRDefault="00917577" w:rsidP="00CC5DAD">
            <w:pPr>
              <w:spacing w:before="0" w:after="0"/>
              <w:jc w:val="left"/>
              <w:rPr>
                <w:rFonts w:eastAsia="Times New Roman" w:cs="Times New Roman"/>
                <w:b/>
                <w:bCs/>
                <w:color w:val="000000"/>
                <w:sz w:val="20"/>
                <w:szCs w:val="20"/>
                <w:lang w:val="sr-Latn-RS" w:eastAsia="sr-Latn-RS"/>
              </w:rPr>
            </w:pPr>
          </w:p>
        </w:tc>
        <w:tc>
          <w:tcPr>
            <w:tcW w:w="556" w:type="pct"/>
            <w:tcBorders>
              <w:top w:val="nil"/>
              <w:left w:val="nil"/>
              <w:bottom w:val="single" w:sz="4" w:space="0" w:color="auto"/>
              <w:right w:val="nil"/>
            </w:tcBorders>
            <w:shd w:val="clear" w:color="auto" w:fill="auto"/>
            <w:vAlign w:val="center"/>
            <w:hideMark/>
          </w:tcPr>
          <w:p w14:paraId="6DC7BC98" w14:textId="77777777" w:rsidR="00917577" w:rsidRPr="006028DE" w:rsidRDefault="00917577" w:rsidP="00CC5DAD">
            <w:pPr>
              <w:spacing w:before="0" w:after="0"/>
              <w:jc w:val="center"/>
              <w:rPr>
                <w:rFonts w:eastAsia="Times New Roman" w:cs="Times New Roman"/>
                <w:b/>
                <w:bCs/>
                <w:color w:val="000000"/>
                <w:sz w:val="20"/>
                <w:szCs w:val="20"/>
                <w:lang w:val="sr-Latn-RS" w:eastAsia="sr-Latn-RS"/>
              </w:rPr>
            </w:pPr>
            <w:r w:rsidRPr="006028DE">
              <w:rPr>
                <w:rFonts w:eastAsia="Times New Roman" w:cs="Times New Roman"/>
                <w:b/>
                <w:bCs/>
                <w:color w:val="000000"/>
                <w:sz w:val="20"/>
                <w:szCs w:val="20"/>
                <w:lang w:val="sr-Latn-RS" w:eastAsia="sr-Latn-RS"/>
              </w:rPr>
              <w:t>None</w:t>
            </w:r>
          </w:p>
        </w:tc>
        <w:tc>
          <w:tcPr>
            <w:tcW w:w="986" w:type="pct"/>
            <w:tcBorders>
              <w:top w:val="nil"/>
              <w:left w:val="nil"/>
              <w:bottom w:val="single" w:sz="4" w:space="0" w:color="auto"/>
              <w:right w:val="nil"/>
            </w:tcBorders>
            <w:shd w:val="clear" w:color="auto" w:fill="auto"/>
            <w:vAlign w:val="center"/>
            <w:hideMark/>
          </w:tcPr>
          <w:p w14:paraId="229B167F" w14:textId="77777777" w:rsidR="00917577" w:rsidRPr="006028DE" w:rsidRDefault="00917577" w:rsidP="00CC5DAD">
            <w:pPr>
              <w:spacing w:before="0" w:after="0"/>
              <w:jc w:val="center"/>
              <w:rPr>
                <w:rFonts w:eastAsia="Times New Roman" w:cs="Times New Roman"/>
                <w:b/>
                <w:bCs/>
                <w:color w:val="000000"/>
                <w:sz w:val="20"/>
                <w:szCs w:val="20"/>
                <w:lang w:val="sr-Latn-RS" w:eastAsia="sr-Latn-RS"/>
              </w:rPr>
            </w:pPr>
            <w:r w:rsidRPr="006028DE">
              <w:rPr>
                <w:rFonts w:eastAsia="Times New Roman" w:cs="Times New Roman"/>
                <w:b/>
                <w:bCs/>
                <w:color w:val="000000"/>
                <w:sz w:val="20"/>
                <w:szCs w:val="20"/>
                <w:lang w:val="sr-Latn-RS" w:eastAsia="sr-Latn-RS"/>
              </w:rPr>
              <w:t>Quasi-fault</w:t>
            </w:r>
          </w:p>
        </w:tc>
        <w:tc>
          <w:tcPr>
            <w:tcW w:w="1045" w:type="pct"/>
            <w:tcBorders>
              <w:top w:val="nil"/>
              <w:left w:val="nil"/>
              <w:bottom w:val="single" w:sz="4" w:space="0" w:color="auto"/>
              <w:right w:val="nil"/>
            </w:tcBorders>
            <w:shd w:val="clear" w:color="auto" w:fill="auto"/>
            <w:vAlign w:val="center"/>
            <w:hideMark/>
          </w:tcPr>
          <w:p w14:paraId="32BAC29B" w14:textId="77777777" w:rsidR="00917577" w:rsidRPr="006028DE" w:rsidRDefault="00917577" w:rsidP="00CC5DAD">
            <w:pPr>
              <w:spacing w:before="0" w:after="0"/>
              <w:jc w:val="center"/>
              <w:rPr>
                <w:rFonts w:eastAsia="Times New Roman" w:cs="Times New Roman"/>
                <w:b/>
                <w:bCs/>
                <w:color w:val="000000"/>
                <w:sz w:val="20"/>
                <w:szCs w:val="20"/>
                <w:lang w:val="sr-Latn-RS" w:eastAsia="sr-Latn-RS"/>
              </w:rPr>
            </w:pPr>
            <w:r w:rsidRPr="006028DE">
              <w:rPr>
                <w:rFonts w:eastAsia="Times New Roman" w:cs="Times New Roman"/>
                <w:b/>
                <w:bCs/>
                <w:color w:val="000000"/>
                <w:sz w:val="20"/>
                <w:szCs w:val="20"/>
                <w:lang w:val="sr-Latn-RS" w:eastAsia="sr-Latn-RS"/>
              </w:rPr>
              <w:t>Percent Correct</w:t>
            </w:r>
          </w:p>
        </w:tc>
      </w:tr>
      <w:tr w:rsidR="00917577" w:rsidRPr="006028DE" w14:paraId="4561F485" w14:textId="77777777" w:rsidTr="00982E69">
        <w:trPr>
          <w:trHeight w:val="255"/>
        </w:trPr>
        <w:tc>
          <w:tcPr>
            <w:tcW w:w="1111" w:type="pct"/>
            <w:vMerge w:val="restart"/>
            <w:tcBorders>
              <w:top w:val="single" w:sz="4" w:space="0" w:color="auto"/>
              <w:left w:val="nil"/>
              <w:bottom w:val="nil"/>
              <w:right w:val="nil"/>
            </w:tcBorders>
            <w:shd w:val="clear" w:color="auto" w:fill="auto"/>
            <w:vAlign w:val="center"/>
            <w:hideMark/>
          </w:tcPr>
          <w:p w14:paraId="439DD506" w14:textId="77777777" w:rsidR="00917577" w:rsidRPr="006028DE" w:rsidRDefault="00917577" w:rsidP="00CC5DAD">
            <w:pPr>
              <w:spacing w:before="0" w:after="0"/>
              <w:jc w:val="left"/>
              <w:rPr>
                <w:rFonts w:eastAsia="Times New Roman" w:cs="Times New Roman"/>
                <w:color w:val="000000"/>
                <w:sz w:val="20"/>
                <w:szCs w:val="20"/>
                <w:lang w:val="sr-Latn-RS" w:eastAsia="sr-Latn-RS"/>
              </w:rPr>
            </w:pPr>
            <w:r w:rsidRPr="006028DE">
              <w:rPr>
                <w:rFonts w:eastAsia="Times New Roman" w:cs="Times New Roman"/>
                <w:color w:val="000000"/>
                <w:sz w:val="20"/>
                <w:szCs w:val="20"/>
                <w:lang w:val="sr-Latn-RS" w:eastAsia="sr-Latn-RS"/>
              </w:rPr>
              <w:t>Training</w:t>
            </w:r>
          </w:p>
        </w:tc>
        <w:tc>
          <w:tcPr>
            <w:tcW w:w="1302" w:type="pct"/>
            <w:tcBorders>
              <w:top w:val="single" w:sz="4" w:space="0" w:color="auto"/>
              <w:left w:val="nil"/>
              <w:bottom w:val="nil"/>
              <w:right w:val="nil"/>
            </w:tcBorders>
            <w:shd w:val="clear" w:color="auto" w:fill="auto"/>
            <w:vAlign w:val="center"/>
            <w:hideMark/>
          </w:tcPr>
          <w:p w14:paraId="19021C00" w14:textId="77777777" w:rsidR="00917577" w:rsidRPr="006028DE" w:rsidRDefault="00917577" w:rsidP="00CC5DAD">
            <w:pPr>
              <w:spacing w:before="0" w:after="0"/>
              <w:jc w:val="left"/>
              <w:rPr>
                <w:rFonts w:eastAsia="Times New Roman" w:cs="Times New Roman"/>
                <w:color w:val="000000"/>
                <w:sz w:val="20"/>
                <w:szCs w:val="20"/>
                <w:lang w:val="sr-Latn-RS" w:eastAsia="sr-Latn-RS"/>
              </w:rPr>
            </w:pPr>
            <w:r w:rsidRPr="006028DE">
              <w:rPr>
                <w:rFonts w:eastAsia="Times New Roman" w:cs="Times New Roman"/>
                <w:color w:val="000000"/>
                <w:sz w:val="20"/>
                <w:szCs w:val="20"/>
                <w:lang w:val="sr-Latn-RS" w:eastAsia="sr-Latn-RS"/>
              </w:rPr>
              <w:t>None</w:t>
            </w:r>
          </w:p>
        </w:tc>
        <w:tc>
          <w:tcPr>
            <w:tcW w:w="556" w:type="pct"/>
            <w:tcBorders>
              <w:top w:val="single" w:sz="4" w:space="0" w:color="auto"/>
              <w:left w:val="nil"/>
              <w:bottom w:val="nil"/>
              <w:right w:val="nil"/>
            </w:tcBorders>
            <w:shd w:val="clear" w:color="auto" w:fill="auto"/>
            <w:vAlign w:val="center"/>
            <w:hideMark/>
          </w:tcPr>
          <w:p w14:paraId="00F8F728" w14:textId="77777777" w:rsidR="00917577" w:rsidRPr="006028DE" w:rsidRDefault="00917577" w:rsidP="00CC5DAD">
            <w:pPr>
              <w:spacing w:before="0" w:after="0"/>
              <w:jc w:val="right"/>
              <w:rPr>
                <w:rFonts w:eastAsia="Times New Roman" w:cs="Times New Roman"/>
                <w:color w:val="000000"/>
                <w:sz w:val="20"/>
                <w:szCs w:val="20"/>
                <w:lang w:val="sr-Latn-RS" w:eastAsia="sr-Latn-RS"/>
              </w:rPr>
            </w:pPr>
            <w:r w:rsidRPr="006028DE">
              <w:rPr>
                <w:rFonts w:eastAsia="Times New Roman" w:cs="Times New Roman"/>
                <w:color w:val="000000"/>
                <w:sz w:val="20"/>
                <w:szCs w:val="20"/>
                <w:lang w:val="sr-Latn-RS" w:eastAsia="sr-Latn-RS"/>
              </w:rPr>
              <w:t>89</w:t>
            </w:r>
          </w:p>
        </w:tc>
        <w:tc>
          <w:tcPr>
            <w:tcW w:w="986" w:type="pct"/>
            <w:tcBorders>
              <w:top w:val="single" w:sz="4" w:space="0" w:color="auto"/>
              <w:left w:val="nil"/>
              <w:bottom w:val="nil"/>
              <w:right w:val="nil"/>
            </w:tcBorders>
            <w:shd w:val="clear" w:color="auto" w:fill="auto"/>
            <w:vAlign w:val="center"/>
            <w:hideMark/>
          </w:tcPr>
          <w:p w14:paraId="6A2E741F" w14:textId="77777777" w:rsidR="00917577" w:rsidRPr="006028DE" w:rsidRDefault="00917577" w:rsidP="00CC5DAD">
            <w:pPr>
              <w:spacing w:before="0" w:after="0"/>
              <w:jc w:val="right"/>
              <w:rPr>
                <w:rFonts w:eastAsia="Times New Roman" w:cs="Times New Roman"/>
                <w:color w:val="000000"/>
                <w:sz w:val="20"/>
                <w:szCs w:val="20"/>
                <w:lang w:val="sr-Latn-RS" w:eastAsia="sr-Latn-RS"/>
              </w:rPr>
            </w:pPr>
            <w:r w:rsidRPr="006028DE">
              <w:rPr>
                <w:rFonts w:eastAsia="Times New Roman" w:cs="Times New Roman"/>
                <w:color w:val="000000"/>
                <w:sz w:val="20"/>
                <w:szCs w:val="20"/>
                <w:lang w:val="sr-Latn-RS" w:eastAsia="sr-Latn-RS"/>
              </w:rPr>
              <w:t>39</w:t>
            </w:r>
          </w:p>
        </w:tc>
        <w:tc>
          <w:tcPr>
            <w:tcW w:w="1045" w:type="pct"/>
            <w:tcBorders>
              <w:top w:val="single" w:sz="4" w:space="0" w:color="auto"/>
              <w:left w:val="nil"/>
              <w:bottom w:val="nil"/>
              <w:right w:val="nil"/>
            </w:tcBorders>
            <w:shd w:val="clear" w:color="auto" w:fill="auto"/>
            <w:vAlign w:val="center"/>
            <w:hideMark/>
          </w:tcPr>
          <w:p w14:paraId="1329CB1E" w14:textId="77777777" w:rsidR="00917577" w:rsidRPr="006028DE" w:rsidRDefault="00917577" w:rsidP="00CC5DAD">
            <w:pPr>
              <w:spacing w:before="0" w:after="0"/>
              <w:jc w:val="right"/>
              <w:rPr>
                <w:rFonts w:eastAsia="Times New Roman" w:cs="Times New Roman"/>
                <w:color w:val="000000"/>
                <w:sz w:val="20"/>
                <w:szCs w:val="20"/>
                <w:lang w:val="sr-Latn-RS" w:eastAsia="sr-Latn-RS"/>
              </w:rPr>
            </w:pPr>
            <w:r w:rsidRPr="006028DE">
              <w:rPr>
                <w:rFonts w:eastAsia="Times New Roman" w:cs="Times New Roman"/>
                <w:color w:val="000000"/>
                <w:sz w:val="20"/>
                <w:szCs w:val="20"/>
                <w:lang w:val="sr-Latn-RS" w:eastAsia="sr-Latn-RS"/>
              </w:rPr>
              <w:t>69.53%</w:t>
            </w:r>
          </w:p>
        </w:tc>
      </w:tr>
      <w:tr w:rsidR="00917577" w:rsidRPr="006028DE" w14:paraId="1EC9211C" w14:textId="77777777" w:rsidTr="00CC5DAD">
        <w:trPr>
          <w:trHeight w:val="255"/>
        </w:trPr>
        <w:tc>
          <w:tcPr>
            <w:tcW w:w="1111" w:type="pct"/>
            <w:vMerge/>
            <w:tcBorders>
              <w:top w:val="nil"/>
              <w:left w:val="nil"/>
              <w:bottom w:val="nil"/>
              <w:right w:val="nil"/>
            </w:tcBorders>
            <w:vAlign w:val="center"/>
            <w:hideMark/>
          </w:tcPr>
          <w:p w14:paraId="59EE7C1D" w14:textId="77777777" w:rsidR="00917577" w:rsidRPr="006028DE" w:rsidRDefault="00917577" w:rsidP="00CC5DAD">
            <w:pPr>
              <w:spacing w:before="0" w:after="0"/>
              <w:jc w:val="left"/>
              <w:rPr>
                <w:rFonts w:eastAsia="Times New Roman" w:cs="Times New Roman"/>
                <w:color w:val="000000"/>
                <w:sz w:val="20"/>
                <w:szCs w:val="20"/>
                <w:lang w:val="sr-Latn-RS" w:eastAsia="sr-Latn-RS"/>
              </w:rPr>
            </w:pPr>
          </w:p>
        </w:tc>
        <w:tc>
          <w:tcPr>
            <w:tcW w:w="1302" w:type="pct"/>
            <w:tcBorders>
              <w:top w:val="nil"/>
              <w:left w:val="nil"/>
              <w:bottom w:val="nil"/>
              <w:right w:val="nil"/>
            </w:tcBorders>
            <w:shd w:val="clear" w:color="auto" w:fill="auto"/>
            <w:vAlign w:val="center"/>
            <w:hideMark/>
          </w:tcPr>
          <w:p w14:paraId="2D1C50A8" w14:textId="77777777" w:rsidR="00917577" w:rsidRPr="006028DE" w:rsidRDefault="00917577" w:rsidP="00CC5DAD">
            <w:pPr>
              <w:spacing w:before="0" w:after="0"/>
              <w:jc w:val="left"/>
              <w:rPr>
                <w:rFonts w:eastAsia="Times New Roman" w:cs="Times New Roman"/>
                <w:color w:val="000000"/>
                <w:sz w:val="20"/>
                <w:szCs w:val="20"/>
                <w:lang w:val="sr-Latn-RS" w:eastAsia="sr-Latn-RS"/>
              </w:rPr>
            </w:pPr>
            <w:r w:rsidRPr="006028DE">
              <w:rPr>
                <w:rFonts w:eastAsia="Times New Roman" w:cs="Times New Roman"/>
                <w:color w:val="000000"/>
                <w:sz w:val="20"/>
                <w:szCs w:val="20"/>
                <w:lang w:val="sr-Latn-RS" w:eastAsia="sr-Latn-RS"/>
              </w:rPr>
              <w:t>Quasi-fault</w:t>
            </w:r>
          </w:p>
        </w:tc>
        <w:tc>
          <w:tcPr>
            <w:tcW w:w="556" w:type="pct"/>
            <w:tcBorders>
              <w:top w:val="nil"/>
              <w:left w:val="nil"/>
              <w:bottom w:val="nil"/>
              <w:right w:val="nil"/>
            </w:tcBorders>
            <w:shd w:val="clear" w:color="auto" w:fill="auto"/>
            <w:vAlign w:val="center"/>
            <w:hideMark/>
          </w:tcPr>
          <w:p w14:paraId="324F1AFE" w14:textId="77777777" w:rsidR="00917577" w:rsidRPr="006028DE" w:rsidRDefault="00917577" w:rsidP="00CC5DAD">
            <w:pPr>
              <w:spacing w:before="0" w:after="0"/>
              <w:jc w:val="right"/>
              <w:rPr>
                <w:rFonts w:eastAsia="Times New Roman" w:cs="Times New Roman"/>
                <w:color w:val="000000"/>
                <w:sz w:val="20"/>
                <w:szCs w:val="20"/>
                <w:lang w:val="sr-Latn-RS" w:eastAsia="sr-Latn-RS"/>
              </w:rPr>
            </w:pPr>
            <w:r w:rsidRPr="006028DE">
              <w:rPr>
                <w:rFonts w:eastAsia="Times New Roman" w:cs="Times New Roman"/>
                <w:color w:val="000000"/>
                <w:sz w:val="20"/>
                <w:szCs w:val="20"/>
                <w:lang w:val="sr-Latn-RS" w:eastAsia="sr-Latn-RS"/>
              </w:rPr>
              <w:t>2</w:t>
            </w:r>
          </w:p>
        </w:tc>
        <w:tc>
          <w:tcPr>
            <w:tcW w:w="986" w:type="pct"/>
            <w:tcBorders>
              <w:top w:val="nil"/>
              <w:left w:val="nil"/>
              <w:bottom w:val="nil"/>
              <w:right w:val="nil"/>
            </w:tcBorders>
            <w:shd w:val="clear" w:color="auto" w:fill="auto"/>
            <w:vAlign w:val="center"/>
            <w:hideMark/>
          </w:tcPr>
          <w:p w14:paraId="1FCB5393" w14:textId="77777777" w:rsidR="00917577" w:rsidRPr="006028DE" w:rsidRDefault="00917577" w:rsidP="00CC5DAD">
            <w:pPr>
              <w:spacing w:before="0" w:after="0"/>
              <w:jc w:val="right"/>
              <w:rPr>
                <w:rFonts w:eastAsia="Times New Roman" w:cs="Times New Roman"/>
                <w:color w:val="000000"/>
                <w:sz w:val="20"/>
                <w:szCs w:val="20"/>
                <w:lang w:val="sr-Latn-RS" w:eastAsia="sr-Latn-RS"/>
              </w:rPr>
            </w:pPr>
            <w:r w:rsidRPr="006028DE">
              <w:rPr>
                <w:rFonts w:eastAsia="Times New Roman" w:cs="Times New Roman"/>
                <w:color w:val="000000"/>
                <w:sz w:val="20"/>
                <w:szCs w:val="20"/>
                <w:lang w:val="sr-Latn-RS" w:eastAsia="sr-Latn-RS"/>
              </w:rPr>
              <w:t>519</w:t>
            </w:r>
          </w:p>
        </w:tc>
        <w:tc>
          <w:tcPr>
            <w:tcW w:w="1045" w:type="pct"/>
            <w:tcBorders>
              <w:top w:val="nil"/>
              <w:left w:val="nil"/>
              <w:bottom w:val="nil"/>
              <w:right w:val="nil"/>
            </w:tcBorders>
            <w:shd w:val="clear" w:color="auto" w:fill="auto"/>
            <w:vAlign w:val="center"/>
            <w:hideMark/>
          </w:tcPr>
          <w:p w14:paraId="5651E4F3" w14:textId="77777777" w:rsidR="00917577" w:rsidRPr="006028DE" w:rsidRDefault="00917577" w:rsidP="00CC5DAD">
            <w:pPr>
              <w:spacing w:before="0" w:after="0"/>
              <w:jc w:val="right"/>
              <w:rPr>
                <w:rFonts w:eastAsia="Times New Roman" w:cs="Times New Roman"/>
                <w:color w:val="000000"/>
                <w:sz w:val="20"/>
                <w:szCs w:val="20"/>
                <w:lang w:val="sr-Latn-RS" w:eastAsia="sr-Latn-RS"/>
              </w:rPr>
            </w:pPr>
            <w:r w:rsidRPr="006028DE">
              <w:rPr>
                <w:rFonts w:eastAsia="Times New Roman" w:cs="Times New Roman"/>
                <w:color w:val="000000"/>
                <w:sz w:val="20"/>
                <w:szCs w:val="20"/>
                <w:lang w:val="sr-Latn-RS" w:eastAsia="sr-Latn-RS"/>
              </w:rPr>
              <w:t>99.62%</w:t>
            </w:r>
          </w:p>
        </w:tc>
      </w:tr>
      <w:tr w:rsidR="00917577" w:rsidRPr="006028DE" w14:paraId="325ED5B6" w14:textId="77777777" w:rsidTr="00982E69">
        <w:trPr>
          <w:trHeight w:val="255"/>
        </w:trPr>
        <w:tc>
          <w:tcPr>
            <w:tcW w:w="1111" w:type="pct"/>
            <w:vMerge/>
            <w:tcBorders>
              <w:top w:val="nil"/>
              <w:left w:val="nil"/>
              <w:right w:val="nil"/>
            </w:tcBorders>
            <w:vAlign w:val="center"/>
            <w:hideMark/>
          </w:tcPr>
          <w:p w14:paraId="2507F90E" w14:textId="77777777" w:rsidR="00917577" w:rsidRPr="006028DE" w:rsidRDefault="00917577" w:rsidP="00CC5DAD">
            <w:pPr>
              <w:spacing w:before="0" w:after="0"/>
              <w:jc w:val="left"/>
              <w:rPr>
                <w:rFonts w:eastAsia="Times New Roman" w:cs="Times New Roman"/>
                <w:color w:val="000000"/>
                <w:sz w:val="20"/>
                <w:szCs w:val="20"/>
                <w:lang w:val="sr-Latn-RS" w:eastAsia="sr-Latn-RS"/>
              </w:rPr>
            </w:pPr>
          </w:p>
        </w:tc>
        <w:tc>
          <w:tcPr>
            <w:tcW w:w="1302" w:type="pct"/>
            <w:tcBorders>
              <w:top w:val="nil"/>
              <w:left w:val="nil"/>
              <w:right w:val="nil"/>
            </w:tcBorders>
            <w:shd w:val="clear" w:color="auto" w:fill="auto"/>
            <w:vAlign w:val="center"/>
            <w:hideMark/>
          </w:tcPr>
          <w:p w14:paraId="3DEA454F" w14:textId="77777777" w:rsidR="00917577" w:rsidRPr="006028DE" w:rsidRDefault="00917577" w:rsidP="00CC5DAD">
            <w:pPr>
              <w:spacing w:before="0" w:after="0"/>
              <w:jc w:val="left"/>
              <w:rPr>
                <w:rFonts w:eastAsia="Times New Roman" w:cs="Times New Roman"/>
                <w:color w:val="000000"/>
                <w:sz w:val="20"/>
                <w:szCs w:val="20"/>
                <w:lang w:val="sr-Latn-RS" w:eastAsia="sr-Latn-RS"/>
              </w:rPr>
            </w:pPr>
            <w:r w:rsidRPr="006028DE">
              <w:rPr>
                <w:rFonts w:eastAsia="Times New Roman" w:cs="Times New Roman"/>
                <w:color w:val="000000"/>
                <w:sz w:val="20"/>
                <w:szCs w:val="20"/>
                <w:lang w:val="sr-Latn-RS" w:eastAsia="sr-Latn-RS"/>
              </w:rPr>
              <w:t>Overall Percentage</w:t>
            </w:r>
          </w:p>
        </w:tc>
        <w:tc>
          <w:tcPr>
            <w:tcW w:w="556" w:type="pct"/>
            <w:tcBorders>
              <w:top w:val="nil"/>
              <w:left w:val="nil"/>
              <w:right w:val="nil"/>
            </w:tcBorders>
            <w:shd w:val="clear" w:color="auto" w:fill="auto"/>
            <w:noWrap/>
            <w:vAlign w:val="center"/>
            <w:hideMark/>
          </w:tcPr>
          <w:p w14:paraId="5F71BC84" w14:textId="77777777" w:rsidR="00917577" w:rsidRPr="006028DE" w:rsidRDefault="00917577" w:rsidP="00CC5DAD">
            <w:pPr>
              <w:spacing w:before="0" w:after="0"/>
              <w:jc w:val="right"/>
              <w:rPr>
                <w:rFonts w:eastAsia="Times New Roman" w:cs="Times New Roman"/>
                <w:color w:val="000000"/>
                <w:sz w:val="20"/>
                <w:szCs w:val="20"/>
                <w:lang w:val="sr-Latn-RS" w:eastAsia="sr-Latn-RS"/>
              </w:rPr>
            </w:pPr>
            <w:r w:rsidRPr="006028DE">
              <w:rPr>
                <w:rFonts w:eastAsia="Times New Roman" w:cs="Times New Roman"/>
                <w:color w:val="000000"/>
                <w:sz w:val="20"/>
                <w:szCs w:val="20"/>
                <w:lang w:val="sr-Latn-RS" w:eastAsia="sr-Latn-RS"/>
              </w:rPr>
              <w:t>14.02%</w:t>
            </w:r>
          </w:p>
        </w:tc>
        <w:tc>
          <w:tcPr>
            <w:tcW w:w="986" w:type="pct"/>
            <w:tcBorders>
              <w:top w:val="nil"/>
              <w:left w:val="nil"/>
              <w:right w:val="nil"/>
            </w:tcBorders>
            <w:shd w:val="clear" w:color="auto" w:fill="auto"/>
            <w:noWrap/>
            <w:vAlign w:val="center"/>
            <w:hideMark/>
          </w:tcPr>
          <w:p w14:paraId="295A0579" w14:textId="77777777" w:rsidR="00917577" w:rsidRPr="006028DE" w:rsidRDefault="00917577" w:rsidP="00CC5DAD">
            <w:pPr>
              <w:spacing w:before="0" w:after="0"/>
              <w:jc w:val="right"/>
              <w:rPr>
                <w:rFonts w:eastAsia="Times New Roman" w:cs="Times New Roman"/>
                <w:color w:val="000000"/>
                <w:sz w:val="20"/>
                <w:szCs w:val="20"/>
                <w:lang w:val="sr-Latn-RS" w:eastAsia="sr-Latn-RS"/>
              </w:rPr>
            </w:pPr>
            <w:r w:rsidRPr="006028DE">
              <w:rPr>
                <w:rFonts w:eastAsia="Times New Roman" w:cs="Times New Roman"/>
                <w:color w:val="000000"/>
                <w:sz w:val="20"/>
                <w:szCs w:val="20"/>
                <w:lang w:val="sr-Latn-RS" w:eastAsia="sr-Latn-RS"/>
              </w:rPr>
              <w:t>86.0%</w:t>
            </w:r>
          </w:p>
        </w:tc>
        <w:tc>
          <w:tcPr>
            <w:tcW w:w="1045" w:type="pct"/>
            <w:tcBorders>
              <w:top w:val="nil"/>
              <w:left w:val="nil"/>
              <w:right w:val="nil"/>
            </w:tcBorders>
            <w:shd w:val="clear" w:color="auto" w:fill="auto"/>
            <w:vAlign w:val="center"/>
            <w:hideMark/>
          </w:tcPr>
          <w:p w14:paraId="7D90AD8C" w14:textId="77777777" w:rsidR="00917577" w:rsidRPr="006028DE" w:rsidRDefault="00917577" w:rsidP="00CC5DAD">
            <w:pPr>
              <w:spacing w:before="0" w:after="0"/>
              <w:jc w:val="right"/>
              <w:rPr>
                <w:rFonts w:eastAsia="Times New Roman" w:cs="Times New Roman"/>
                <w:b/>
                <w:bCs/>
                <w:color w:val="000000"/>
                <w:sz w:val="20"/>
                <w:szCs w:val="20"/>
                <w:lang w:val="sr-Latn-RS" w:eastAsia="sr-Latn-RS"/>
              </w:rPr>
            </w:pPr>
            <w:r w:rsidRPr="006028DE">
              <w:rPr>
                <w:rFonts w:eastAsia="Times New Roman" w:cs="Times New Roman"/>
                <w:b/>
                <w:bCs/>
                <w:color w:val="000000"/>
                <w:sz w:val="20"/>
                <w:szCs w:val="20"/>
                <w:lang w:val="sr-Latn-RS" w:eastAsia="sr-Latn-RS"/>
              </w:rPr>
              <w:t>93.68%</w:t>
            </w:r>
          </w:p>
        </w:tc>
      </w:tr>
      <w:tr w:rsidR="00917577" w:rsidRPr="006028DE" w14:paraId="6BE1841C" w14:textId="77777777" w:rsidTr="00CC5DAD">
        <w:trPr>
          <w:trHeight w:val="255"/>
        </w:trPr>
        <w:tc>
          <w:tcPr>
            <w:tcW w:w="1111" w:type="pct"/>
            <w:vMerge w:val="restart"/>
            <w:tcBorders>
              <w:top w:val="nil"/>
              <w:left w:val="nil"/>
              <w:bottom w:val="single" w:sz="8" w:space="0" w:color="152935"/>
              <w:right w:val="nil"/>
            </w:tcBorders>
            <w:shd w:val="clear" w:color="auto" w:fill="auto"/>
            <w:vAlign w:val="center"/>
            <w:hideMark/>
          </w:tcPr>
          <w:p w14:paraId="7B3978B6" w14:textId="77777777" w:rsidR="00917577" w:rsidRPr="006028DE" w:rsidRDefault="00917577" w:rsidP="00CC5DAD">
            <w:pPr>
              <w:spacing w:before="0" w:after="0"/>
              <w:jc w:val="left"/>
              <w:rPr>
                <w:rFonts w:eastAsia="Times New Roman" w:cs="Times New Roman"/>
                <w:color w:val="000000"/>
                <w:sz w:val="20"/>
                <w:szCs w:val="20"/>
                <w:lang w:val="sr-Latn-RS" w:eastAsia="sr-Latn-RS"/>
              </w:rPr>
            </w:pPr>
            <w:r w:rsidRPr="006028DE">
              <w:rPr>
                <w:rFonts w:eastAsia="Times New Roman" w:cs="Times New Roman"/>
                <w:color w:val="000000"/>
                <w:sz w:val="20"/>
                <w:szCs w:val="20"/>
                <w:lang w:val="sr-Latn-RS" w:eastAsia="sr-Latn-RS"/>
              </w:rPr>
              <w:t>Test</w:t>
            </w:r>
          </w:p>
        </w:tc>
        <w:tc>
          <w:tcPr>
            <w:tcW w:w="1302" w:type="pct"/>
            <w:tcBorders>
              <w:top w:val="nil"/>
              <w:left w:val="nil"/>
              <w:bottom w:val="nil"/>
              <w:right w:val="nil"/>
            </w:tcBorders>
            <w:shd w:val="clear" w:color="auto" w:fill="auto"/>
            <w:vAlign w:val="center"/>
            <w:hideMark/>
          </w:tcPr>
          <w:p w14:paraId="66D8D6E6" w14:textId="77777777" w:rsidR="00917577" w:rsidRPr="006028DE" w:rsidRDefault="00917577" w:rsidP="00CC5DAD">
            <w:pPr>
              <w:spacing w:before="0" w:after="0"/>
              <w:jc w:val="left"/>
              <w:rPr>
                <w:rFonts w:eastAsia="Times New Roman" w:cs="Times New Roman"/>
                <w:color w:val="000000"/>
                <w:sz w:val="20"/>
                <w:szCs w:val="20"/>
                <w:lang w:val="sr-Latn-RS" w:eastAsia="sr-Latn-RS"/>
              </w:rPr>
            </w:pPr>
            <w:r w:rsidRPr="006028DE">
              <w:rPr>
                <w:rFonts w:eastAsia="Times New Roman" w:cs="Times New Roman"/>
                <w:color w:val="000000"/>
                <w:sz w:val="20"/>
                <w:szCs w:val="20"/>
                <w:lang w:val="sr-Latn-RS" w:eastAsia="sr-Latn-RS"/>
              </w:rPr>
              <w:t>None</w:t>
            </w:r>
          </w:p>
        </w:tc>
        <w:tc>
          <w:tcPr>
            <w:tcW w:w="556" w:type="pct"/>
            <w:tcBorders>
              <w:top w:val="nil"/>
              <w:left w:val="nil"/>
              <w:bottom w:val="nil"/>
              <w:right w:val="nil"/>
            </w:tcBorders>
            <w:shd w:val="clear" w:color="auto" w:fill="auto"/>
            <w:vAlign w:val="center"/>
            <w:hideMark/>
          </w:tcPr>
          <w:p w14:paraId="27B92E44" w14:textId="77777777" w:rsidR="00917577" w:rsidRPr="006028DE" w:rsidRDefault="00917577" w:rsidP="00CC5DAD">
            <w:pPr>
              <w:spacing w:before="0" w:after="0"/>
              <w:jc w:val="right"/>
              <w:rPr>
                <w:rFonts w:eastAsia="Times New Roman" w:cs="Times New Roman"/>
                <w:color w:val="000000"/>
                <w:sz w:val="20"/>
                <w:szCs w:val="20"/>
                <w:lang w:val="sr-Latn-RS" w:eastAsia="sr-Latn-RS"/>
              </w:rPr>
            </w:pPr>
            <w:r w:rsidRPr="006028DE">
              <w:rPr>
                <w:rFonts w:eastAsia="Times New Roman" w:cs="Times New Roman"/>
                <w:color w:val="000000"/>
                <w:sz w:val="20"/>
                <w:szCs w:val="20"/>
                <w:lang w:val="sr-Latn-RS" w:eastAsia="sr-Latn-RS"/>
              </w:rPr>
              <w:t>44</w:t>
            </w:r>
          </w:p>
        </w:tc>
        <w:tc>
          <w:tcPr>
            <w:tcW w:w="986" w:type="pct"/>
            <w:tcBorders>
              <w:top w:val="nil"/>
              <w:left w:val="nil"/>
              <w:bottom w:val="nil"/>
              <w:right w:val="nil"/>
            </w:tcBorders>
            <w:shd w:val="clear" w:color="auto" w:fill="auto"/>
            <w:noWrap/>
            <w:vAlign w:val="bottom"/>
            <w:hideMark/>
          </w:tcPr>
          <w:p w14:paraId="0630B216" w14:textId="77777777" w:rsidR="00917577" w:rsidRPr="006028DE" w:rsidRDefault="00917577" w:rsidP="00CC5DAD">
            <w:pPr>
              <w:spacing w:before="0" w:after="0"/>
              <w:jc w:val="right"/>
              <w:rPr>
                <w:rFonts w:eastAsia="Times New Roman" w:cs="Times New Roman"/>
                <w:color w:val="000000"/>
                <w:sz w:val="20"/>
                <w:szCs w:val="20"/>
                <w:lang w:val="sr-Latn-RS" w:eastAsia="sr-Latn-RS"/>
              </w:rPr>
            </w:pPr>
            <w:r w:rsidRPr="006028DE">
              <w:rPr>
                <w:rFonts w:eastAsia="Times New Roman" w:cs="Times New Roman"/>
                <w:color w:val="000000"/>
                <w:sz w:val="20"/>
                <w:szCs w:val="20"/>
                <w:lang w:val="sr-Latn-RS" w:eastAsia="sr-Latn-RS"/>
              </w:rPr>
              <w:t>29</w:t>
            </w:r>
          </w:p>
        </w:tc>
        <w:tc>
          <w:tcPr>
            <w:tcW w:w="1045" w:type="pct"/>
            <w:tcBorders>
              <w:top w:val="nil"/>
              <w:left w:val="nil"/>
              <w:bottom w:val="nil"/>
              <w:right w:val="nil"/>
            </w:tcBorders>
            <w:shd w:val="clear" w:color="auto" w:fill="auto"/>
            <w:vAlign w:val="center"/>
            <w:hideMark/>
          </w:tcPr>
          <w:p w14:paraId="152C9F21" w14:textId="77777777" w:rsidR="00917577" w:rsidRPr="006028DE" w:rsidRDefault="00917577" w:rsidP="00CC5DAD">
            <w:pPr>
              <w:spacing w:before="0" w:after="0"/>
              <w:jc w:val="right"/>
              <w:rPr>
                <w:rFonts w:eastAsia="Times New Roman" w:cs="Times New Roman"/>
                <w:color w:val="000000"/>
                <w:sz w:val="20"/>
                <w:szCs w:val="20"/>
                <w:lang w:val="sr-Latn-RS" w:eastAsia="sr-Latn-RS"/>
              </w:rPr>
            </w:pPr>
            <w:r w:rsidRPr="006028DE">
              <w:rPr>
                <w:rFonts w:eastAsia="Times New Roman" w:cs="Times New Roman"/>
                <w:color w:val="000000"/>
                <w:sz w:val="20"/>
                <w:szCs w:val="20"/>
                <w:lang w:val="sr-Latn-RS" w:eastAsia="sr-Latn-RS"/>
              </w:rPr>
              <w:t>60.27%</w:t>
            </w:r>
          </w:p>
        </w:tc>
      </w:tr>
      <w:tr w:rsidR="00917577" w:rsidRPr="006028DE" w14:paraId="63169C19" w14:textId="77777777" w:rsidTr="00CC5DAD">
        <w:trPr>
          <w:trHeight w:val="255"/>
        </w:trPr>
        <w:tc>
          <w:tcPr>
            <w:tcW w:w="1111" w:type="pct"/>
            <w:vMerge/>
            <w:tcBorders>
              <w:top w:val="nil"/>
              <w:left w:val="nil"/>
              <w:bottom w:val="single" w:sz="8" w:space="0" w:color="152935"/>
              <w:right w:val="nil"/>
            </w:tcBorders>
            <w:vAlign w:val="center"/>
            <w:hideMark/>
          </w:tcPr>
          <w:p w14:paraId="45961F2E" w14:textId="77777777" w:rsidR="00917577" w:rsidRPr="006028DE" w:rsidRDefault="00917577" w:rsidP="00CC5DAD">
            <w:pPr>
              <w:spacing w:before="0" w:after="0"/>
              <w:jc w:val="left"/>
              <w:rPr>
                <w:rFonts w:eastAsia="Times New Roman" w:cs="Times New Roman"/>
                <w:color w:val="000000"/>
                <w:sz w:val="20"/>
                <w:szCs w:val="20"/>
                <w:lang w:val="sr-Latn-RS" w:eastAsia="sr-Latn-RS"/>
              </w:rPr>
            </w:pPr>
          </w:p>
        </w:tc>
        <w:tc>
          <w:tcPr>
            <w:tcW w:w="1302" w:type="pct"/>
            <w:tcBorders>
              <w:top w:val="nil"/>
              <w:left w:val="nil"/>
              <w:bottom w:val="nil"/>
              <w:right w:val="nil"/>
            </w:tcBorders>
            <w:shd w:val="clear" w:color="auto" w:fill="auto"/>
            <w:vAlign w:val="center"/>
            <w:hideMark/>
          </w:tcPr>
          <w:p w14:paraId="2B370F0A" w14:textId="77777777" w:rsidR="00917577" w:rsidRPr="006028DE" w:rsidRDefault="00917577" w:rsidP="00CC5DAD">
            <w:pPr>
              <w:spacing w:before="0" w:after="0"/>
              <w:jc w:val="left"/>
              <w:rPr>
                <w:rFonts w:eastAsia="Times New Roman" w:cs="Times New Roman"/>
                <w:color w:val="000000"/>
                <w:sz w:val="20"/>
                <w:szCs w:val="20"/>
                <w:lang w:val="sr-Latn-RS" w:eastAsia="sr-Latn-RS"/>
              </w:rPr>
            </w:pPr>
            <w:r w:rsidRPr="006028DE">
              <w:rPr>
                <w:rFonts w:eastAsia="Times New Roman" w:cs="Times New Roman"/>
                <w:color w:val="000000"/>
                <w:sz w:val="20"/>
                <w:szCs w:val="20"/>
                <w:lang w:val="sr-Latn-RS" w:eastAsia="sr-Latn-RS"/>
              </w:rPr>
              <w:t>Quasi-fault</w:t>
            </w:r>
          </w:p>
        </w:tc>
        <w:tc>
          <w:tcPr>
            <w:tcW w:w="556" w:type="pct"/>
            <w:tcBorders>
              <w:top w:val="nil"/>
              <w:left w:val="nil"/>
              <w:bottom w:val="nil"/>
              <w:right w:val="nil"/>
            </w:tcBorders>
            <w:shd w:val="clear" w:color="auto" w:fill="auto"/>
            <w:vAlign w:val="center"/>
            <w:hideMark/>
          </w:tcPr>
          <w:p w14:paraId="7A48B89D" w14:textId="77777777" w:rsidR="00917577" w:rsidRPr="006028DE" w:rsidRDefault="00917577" w:rsidP="00CC5DAD">
            <w:pPr>
              <w:spacing w:before="0" w:after="0"/>
              <w:jc w:val="right"/>
              <w:rPr>
                <w:rFonts w:eastAsia="Times New Roman" w:cs="Times New Roman"/>
                <w:color w:val="000000"/>
                <w:sz w:val="20"/>
                <w:szCs w:val="20"/>
                <w:lang w:val="sr-Latn-RS" w:eastAsia="sr-Latn-RS"/>
              </w:rPr>
            </w:pPr>
            <w:r>
              <w:rPr>
                <w:rFonts w:eastAsia="Times New Roman" w:cs="Times New Roman"/>
                <w:color w:val="000000"/>
                <w:sz w:val="20"/>
                <w:szCs w:val="20"/>
                <w:lang w:val="sr-Latn-RS" w:eastAsia="sr-Latn-RS"/>
              </w:rPr>
              <w:t>1</w:t>
            </w:r>
          </w:p>
        </w:tc>
        <w:tc>
          <w:tcPr>
            <w:tcW w:w="986" w:type="pct"/>
            <w:tcBorders>
              <w:top w:val="nil"/>
              <w:left w:val="nil"/>
              <w:bottom w:val="nil"/>
              <w:right w:val="nil"/>
            </w:tcBorders>
            <w:shd w:val="clear" w:color="auto" w:fill="auto"/>
            <w:vAlign w:val="center"/>
            <w:hideMark/>
          </w:tcPr>
          <w:p w14:paraId="52DF51E6" w14:textId="77777777" w:rsidR="00917577" w:rsidRPr="006028DE" w:rsidRDefault="00917577" w:rsidP="00CC5DAD">
            <w:pPr>
              <w:spacing w:before="0" w:after="0"/>
              <w:jc w:val="right"/>
              <w:rPr>
                <w:rFonts w:eastAsia="Times New Roman" w:cs="Times New Roman"/>
                <w:color w:val="000000"/>
                <w:sz w:val="20"/>
                <w:szCs w:val="20"/>
                <w:lang w:val="sr-Latn-RS" w:eastAsia="sr-Latn-RS"/>
              </w:rPr>
            </w:pPr>
            <w:r w:rsidRPr="006028DE">
              <w:rPr>
                <w:rFonts w:eastAsia="Times New Roman" w:cs="Times New Roman"/>
                <w:color w:val="000000"/>
                <w:sz w:val="20"/>
                <w:szCs w:val="20"/>
                <w:lang w:val="sr-Latn-RS" w:eastAsia="sr-Latn-RS"/>
              </w:rPr>
              <w:t>201</w:t>
            </w:r>
          </w:p>
        </w:tc>
        <w:tc>
          <w:tcPr>
            <w:tcW w:w="1045" w:type="pct"/>
            <w:tcBorders>
              <w:top w:val="nil"/>
              <w:left w:val="nil"/>
              <w:bottom w:val="nil"/>
              <w:right w:val="nil"/>
            </w:tcBorders>
            <w:shd w:val="clear" w:color="auto" w:fill="auto"/>
            <w:vAlign w:val="center"/>
            <w:hideMark/>
          </w:tcPr>
          <w:p w14:paraId="5C55CFED" w14:textId="77777777" w:rsidR="00917577" w:rsidRPr="006028DE" w:rsidRDefault="00917577" w:rsidP="00CC5DAD">
            <w:pPr>
              <w:spacing w:before="0" w:after="0"/>
              <w:jc w:val="right"/>
              <w:rPr>
                <w:rFonts w:eastAsia="Times New Roman" w:cs="Times New Roman"/>
                <w:color w:val="000000"/>
                <w:sz w:val="20"/>
                <w:szCs w:val="20"/>
                <w:lang w:val="sr-Latn-RS" w:eastAsia="sr-Latn-RS"/>
              </w:rPr>
            </w:pPr>
            <w:r w:rsidRPr="006028DE">
              <w:rPr>
                <w:rFonts w:eastAsia="Times New Roman" w:cs="Times New Roman"/>
                <w:color w:val="000000"/>
                <w:sz w:val="20"/>
                <w:szCs w:val="20"/>
                <w:lang w:val="sr-Latn-RS" w:eastAsia="sr-Latn-RS"/>
              </w:rPr>
              <w:t>99.</w:t>
            </w:r>
            <w:r>
              <w:rPr>
                <w:rFonts w:eastAsia="Times New Roman" w:cs="Times New Roman"/>
                <w:color w:val="000000"/>
                <w:sz w:val="20"/>
                <w:szCs w:val="20"/>
                <w:lang w:val="sr-Latn-RS" w:eastAsia="sr-Latn-RS"/>
              </w:rPr>
              <w:t>5</w:t>
            </w:r>
            <w:r w:rsidRPr="006028DE">
              <w:rPr>
                <w:rFonts w:eastAsia="Times New Roman" w:cs="Times New Roman"/>
                <w:color w:val="000000"/>
                <w:sz w:val="20"/>
                <w:szCs w:val="20"/>
                <w:lang w:val="sr-Latn-RS" w:eastAsia="sr-Latn-RS"/>
              </w:rPr>
              <w:t>1%</w:t>
            </w:r>
          </w:p>
        </w:tc>
      </w:tr>
      <w:tr w:rsidR="00917577" w:rsidRPr="006028DE" w14:paraId="6526A71A" w14:textId="77777777" w:rsidTr="00982E69">
        <w:trPr>
          <w:trHeight w:val="270"/>
        </w:trPr>
        <w:tc>
          <w:tcPr>
            <w:tcW w:w="1111" w:type="pct"/>
            <w:vMerge/>
            <w:tcBorders>
              <w:top w:val="nil"/>
              <w:left w:val="nil"/>
              <w:bottom w:val="single" w:sz="4" w:space="0" w:color="auto"/>
              <w:right w:val="nil"/>
            </w:tcBorders>
            <w:vAlign w:val="center"/>
            <w:hideMark/>
          </w:tcPr>
          <w:p w14:paraId="756F6596" w14:textId="77777777" w:rsidR="00917577" w:rsidRPr="006028DE" w:rsidRDefault="00917577" w:rsidP="00CC5DAD">
            <w:pPr>
              <w:spacing w:before="0" w:after="0"/>
              <w:jc w:val="left"/>
              <w:rPr>
                <w:rFonts w:eastAsia="Times New Roman" w:cs="Times New Roman"/>
                <w:color w:val="000000"/>
                <w:sz w:val="20"/>
                <w:szCs w:val="20"/>
                <w:lang w:val="sr-Latn-RS" w:eastAsia="sr-Latn-RS"/>
              </w:rPr>
            </w:pPr>
          </w:p>
        </w:tc>
        <w:tc>
          <w:tcPr>
            <w:tcW w:w="1302" w:type="pct"/>
            <w:tcBorders>
              <w:top w:val="nil"/>
              <w:left w:val="nil"/>
              <w:bottom w:val="single" w:sz="4" w:space="0" w:color="auto"/>
              <w:right w:val="nil"/>
            </w:tcBorders>
            <w:shd w:val="clear" w:color="auto" w:fill="auto"/>
            <w:vAlign w:val="center"/>
            <w:hideMark/>
          </w:tcPr>
          <w:p w14:paraId="4D992B05" w14:textId="77777777" w:rsidR="00917577" w:rsidRPr="006028DE" w:rsidRDefault="00917577" w:rsidP="00CC5DAD">
            <w:pPr>
              <w:spacing w:before="0" w:after="0"/>
              <w:jc w:val="left"/>
              <w:rPr>
                <w:rFonts w:eastAsia="Times New Roman" w:cs="Times New Roman"/>
                <w:color w:val="000000"/>
                <w:sz w:val="20"/>
                <w:szCs w:val="20"/>
                <w:lang w:val="sr-Latn-RS" w:eastAsia="sr-Latn-RS"/>
              </w:rPr>
            </w:pPr>
            <w:r w:rsidRPr="006028DE">
              <w:rPr>
                <w:rFonts w:eastAsia="Times New Roman" w:cs="Times New Roman"/>
                <w:color w:val="000000"/>
                <w:sz w:val="20"/>
                <w:szCs w:val="20"/>
                <w:lang w:val="sr-Latn-RS" w:eastAsia="sr-Latn-RS"/>
              </w:rPr>
              <w:t>Overall Percentage</w:t>
            </w:r>
          </w:p>
        </w:tc>
        <w:tc>
          <w:tcPr>
            <w:tcW w:w="556" w:type="pct"/>
            <w:tcBorders>
              <w:top w:val="nil"/>
              <w:left w:val="nil"/>
              <w:bottom w:val="single" w:sz="4" w:space="0" w:color="auto"/>
              <w:right w:val="nil"/>
            </w:tcBorders>
            <w:shd w:val="clear" w:color="auto" w:fill="auto"/>
            <w:vAlign w:val="center"/>
            <w:hideMark/>
          </w:tcPr>
          <w:p w14:paraId="08143EA7" w14:textId="77777777" w:rsidR="00917577" w:rsidRPr="006028DE" w:rsidRDefault="00917577" w:rsidP="00CC5DAD">
            <w:pPr>
              <w:spacing w:before="0" w:after="0"/>
              <w:jc w:val="right"/>
              <w:rPr>
                <w:rFonts w:eastAsia="Times New Roman" w:cs="Times New Roman"/>
                <w:color w:val="000000"/>
                <w:sz w:val="20"/>
                <w:szCs w:val="20"/>
                <w:lang w:val="sr-Latn-RS" w:eastAsia="sr-Latn-RS"/>
              </w:rPr>
            </w:pPr>
            <w:r w:rsidRPr="006028DE">
              <w:rPr>
                <w:rFonts w:eastAsia="Times New Roman" w:cs="Times New Roman"/>
                <w:color w:val="000000"/>
                <w:sz w:val="20"/>
                <w:szCs w:val="20"/>
                <w:lang w:val="sr-Latn-RS" w:eastAsia="sr-Latn-RS"/>
              </w:rPr>
              <w:t>16.67%</w:t>
            </w:r>
          </w:p>
        </w:tc>
        <w:tc>
          <w:tcPr>
            <w:tcW w:w="986" w:type="pct"/>
            <w:tcBorders>
              <w:top w:val="nil"/>
              <w:left w:val="nil"/>
              <w:bottom w:val="single" w:sz="4" w:space="0" w:color="auto"/>
              <w:right w:val="nil"/>
            </w:tcBorders>
            <w:shd w:val="clear" w:color="auto" w:fill="auto"/>
            <w:vAlign w:val="center"/>
            <w:hideMark/>
          </w:tcPr>
          <w:p w14:paraId="0BB44C5C" w14:textId="77777777" w:rsidR="00917577" w:rsidRPr="006028DE" w:rsidRDefault="00917577" w:rsidP="00CC5DAD">
            <w:pPr>
              <w:spacing w:before="0" w:after="0"/>
              <w:jc w:val="right"/>
              <w:rPr>
                <w:rFonts w:eastAsia="Times New Roman" w:cs="Times New Roman"/>
                <w:color w:val="000000"/>
                <w:sz w:val="20"/>
                <w:szCs w:val="20"/>
                <w:lang w:val="sr-Latn-RS" w:eastAsia="sr-Latn-RS"/>
              </w:rPr>
            </w:pPr>
            <w:r w:rsidRPr="006028DE">
              <w:rPr>
                <w:rFonts w:eastAsia="Times New Roman" w:cs="Times New Roman"/>
                <w:color w:val="000000"/>
                <w:sz w:val="20"/>
                <w:szCs w:val="20"/>
                <w:lang w:val="sr-Latn-RS" w:eastAsia="sr-Latn-RS"/>
              </w:rPr>
              <w:t>72.83%</w:t>
            </w:r>
          </w:p>
        </w:tc>
        <w:tc>
          <w:tcPr>
            <w:tcW w:w="1045" w:type="pct"/>
            <w:tcBorders>
              <w:top w:val="nil"/>
              <w:left w:val="nil"/>
              <w:bottom w:val="single" w:sz="4" w:space="0" w:color="auto"/>
              <w:right w:val="nil"/>
            </w:tcBorders>
            <w:shd w:val="clear" w:color="auto" w:fill="auto"/>
            <w:vAlign w:val="center"/>
            <w:hideMark/>
          </w:tcPr>
          <w:p w14:paraId="1EE22809" w14:textId="77777777" w:rsidR="00917577" w:rsidRPr="006028DE" w:rsidRDefault="00917577" w:rsidP="00CC5DAD">
            <w:pPr>
              <w:spacing w:before="0" w:after="0"/>
              <w:jc w:val="right"/>
              <w:rPr>
                <w:rFonts w:eastAsia="Times New Roman" w:cs="Times New Roman"/>
                <w:b/>
                <w:bCs/>
                <w:color w:val="000000"/>
                <w:sz w:val="20"/>
                <w:szCs w:val="20"/>
                <w:lang w:val="sr-Latn-RS" w:eastAsia="sr-Latn-RS"/>
              </w:rPr>
            </w:pPr>
            <w:r w:rsidRPr="006028DE">
              <w:rPr>
                <w:rFonts w:eastAsia="Times New Roman" w:cs="Times New Roman"/>
                <w:b/>
                <w:bCs/>
                <w:color w:val="000000"/>
                <w:sz w:val="20"/>
                <w:szCs w:val="20"/>
                <w:lang w:val="sr-Latn-RS" w:eastAsia="sr-Latn-RS"/>
              </w:rPr>
              <w:t>8</w:t>
            </w:r>
            <w:r>
              <w:rPr>
                <w:rFonts w:eastAsia="Times New Roman" w:cs="Times New Roman"/>
                <w:b/>
                <w:bCs/>
                <w:color w:val="000000"/>
                <w:sz w:val="20"/>
                <w:szCs w:val="20"/>
                <w:lang w:val="sr-Latn-RS" w:eastAsia="sr-Latn-RS"/>
              </w:rPr>
              <w:t>9</w:t>
            </w:r>
            <w:r w:rsidRPr="006028DE">
              <w:rPr>
                <w:rFonts w:eastAsia="Times New Roman" w:cs="Times New Roman"/>
                <w:b/>
                <w:bCs/>
                <w:color w:val="000000"/>
                <w:sz w:val="20"/>
                <w:szCs w:val="20"/>
                <w:lang w:val="sr-Latn-RS" w:eastAsia="sr-Latn-RS"/>
              </w:rPr>
              <w:t>.</w:t>
            </w:r>
            <w:r>
              <w:rPr>
                <w:rFonts w:eastAsia="Times New Roman" w:cs="Times New Roman"/>
                <w:b/>
                <w:bCs/>
                <w:color w:val="000000"/>
                <w:sz w:val="20"/>
                <w:szCs w:val="20"/>
                <w:lang w:val="sr-Latn-RS" w:eastAsia="sr-Latn-RS"/>
              </w:rPr>
              <w:t>13</w:t>
            </w:r>
            <w:r w:rsidRPr="006028DE">
              <w:rPr>
                <w:rFonts w:eastAsia="Times New Roman" w:cs="Times New Roman"/>
                <w:b/>
                <w:bCs/>
                <w:color w:val="000000"/>
                <w:sz w:val="20"/>
                <w:szCs w:val="20"/>
                <w:lang w:val="sr-Latn-RS" w:eastAsia="sr-Latn-RS"/>
              </w:rPr>
              <w:t>%</w:t>
            </w:r>
          </w:p>
        </w:tc>
      </w:tr>
    </w:tbl>
    <w:p w14:paraId="6B6C5227" w14:textId="668FEF1F" w:rsidR="006028DE" w:rsidRDefault="006028DE" w:rsidP="003C1755">
      <w:pPr>
        <w:autoSpaceDE w:val="0"/>
        <w:autoSpaceDN w:val="0"/>
        <w:adjustRightInd w:val="0"/>
        <w:spacing w:before="0" w:after="0" w:line="400" w:lineRule="atLeast"/>
        <w:jc w:val="left"/>
        <w:rPr>
          <w:rFonts w:ascii="Times New Roman" w:hAnsi="Times New Roman" w:cs="Times New Roman"/>
          <w:szCs w:val="24"/>
          <w:lang w:val="sr-Latn-RS"/>
        </w:rPr>
      </w:pPr>
    </w:p>
    <w:p w14:paraId="0A68279D" w14:textId="247D938A" w:rsidR="004C73C0" w:rsidRDefault="004C73C0" w:rsidP="00185C3A">
      <w:pPr>
        <w:autoSpaceDE w:val="0"/>
        <w:autoSpaceDN w:val="0"/>
        <w:adjustRightInd w:val="0"/>
        <w:spacing w:before="0" w:after="0"/>
        <w:jc w:val="center"/>
        <w:rPr>
          <w:rFonts w:ascii="Times New Roman" w:hAnsi="Times New Roman" w:cs="Times New Roman"/>
          <w:szCs w:val="24"/>
          <w:lang w:val="sr-Latn-RS"/>
        </w:rPr>
      </w:pPr>
      <w:r>
        <w:rPr>
          <w:rFonts w:ascii="Times New Roman" w:hAnsi="Times New Roman" w:cs="Times New Roman"/>
          <w:noProof/>
          <w:szCs w:val="24"/>
          <w:lang w:val="sr-Latn-RS"/>
        </w:rPr>
        <w:lastRenderedPageBreak/>
        <w:drawing>
          <wp:inline distT="0" distB="0" distL="0" distR="0" wp14:anchorId="35EE28B9" wp14:editId="14B12232">
            <wp:extent cx="5188359" cy="7668145"/>
            <wp:effectExtent l="0" t="0" r="0" b="0"/>
            <wp:docPr id="129" name="Picture 1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Diagram&#10;&#10;Description automatically generated"/>
                    <pic:cNvPicPr>
                      <a:picLocks noChangeAspect="1" noChangeArrowheads="1"/>
                    </pic:cNvPicPr>
                  </pic:nvPicPr>
                  <pic:blipFill rotWithShape="1">
                    <a:blip r:embed="rId146">
                      <a:extLst>
                        <a:ext uri="{28A0092B-C50C-407E-A947-70E740481C1C}">
                          <a14:useLocalDpi xmlns:a14="http://schemas.microsoft.com/office/drawing/2010/main" val="0"/>
                        </a:ext>
                      </a:extLst>
                    </a:blip>
                    <a:srcRect t="3523" b="3610"/>
                    <a:stretch/>
                  </pic:blipFill>
                  <pic:spPr bwMode="auto">
                    <a:xfrm>
                      <a:off x="0" y="0"/>
                      <a:ext cx="5188585" cy="7668478"/>
                    </a:xfrm>
                    <a:prstGeom prst="rect">
                      <a:avLst/>
                    </a:prstGeom>
                    <a:noFill/>
                    <a:ln>
                      <a:noFill/>
                    </a:ln>
                    <a:extLst>
                      <a:ext uri="{53640926-AAD7-44D8-BBD7-CCE9431645EC}">
                        <a14:shadowObscured xmlns:a14="http://schemas.microsoft.com/office/drawing/2010/main"/>
                      </a:ext>
                    </a:extLst>
                  </pic:spPr>
                </pic:pic>
              </a:graphicData>
            </a:graphic>
          </wp:inline>
        </w:drawing>
      </w:r>
    </w:p>
    <w:p w14:paraId="29991D03" w14:textId="0DC3F13D" w:rsidR="00917577" w:rsidRPr="00DD2A50" w:rsidRDefault="006028DE" w:rsidP="00DD2A50">
      <w:pPr>
        <w:pStyle w:val="Caption"/>
      </w:pPr>
      <w:bookmarkStart w:id="652" w:name="_Ref99281856"/>
      <w:bookmarkStart w:id="653" w:name="_Toc101274632"/>
      <w:r>
        <w:t xml:space="preserve">Figure </w:t>
      </w:r>
      <w:fldSimple w:instr=" SEQ Figure \* ARABIC ">
        <w:r w:rsidR="00587AF0">
          <w:rPr>
            <w:noProof/>
          </w:rPr>
          <w:t>110</w:t>
        </w:r>
      </w:fldSimple>
      <w:bookmarkEnd w:id="652"/>
      <w:r>
        <w:t>. CART Tree for closing saddle position</w:t>
      </w:r>
      <w:bookmarkEnd w:id="653"/>
      <w:r w:rsidR="00917577">
        <w:rPr>
          <w:lang w:val="sr-Latn-RS"/>
        </w:rPr>
        <w:br w:type="page"/>
      </w:r>
    </w:p>
    <w:p w14:paraId="508C6AD6" w14:textId="7BD4B10C" w:rsidR="0084709D" w:rsidRDefault="00A64546" w:rsidP="00BF27C2">
      <w:pPr>
        <w:pStyle w:val="Heading2"/>
        <w:rPr>
          <w:lang w:val="sr-Latn-RS"/>
        </w:rPr>
      </w:pPr>
      <w:bookmarkStart w:id="654" w:name="_Toc101274409"/>
      <w:r>
        <w:rPr>
          <w:lang w:val="sr-Latn-RS"/>
        </w:rPr>
        <w:lastRenderedPageBreak/>
        <w:t>Logistic regression</w:t>
      </w:r>
      <w:bookmarkEnd w:id="654"/>
    </w:p>
    <w:p w14:paraId="491FFC6F" w14:textId="1117A4F2" w:rsidR="00386A73" w:rsidRDefault="006F2074" w:rsidP="006F2074">
      <w:pPr>
        <w:rPr>
          <w:lang w:val="en-GB"/>
        </w:rPr>
      </w:pPr>
      <w:r>
        <w:rPr>
          <w:lang w:val="sr-Latn-RS"/>
        </w:rPr>
        <w:t xml:space="preserve">A logistic regression model or </w:t>
      </w:r>
      <w:r w:rsidRPr="006F2074">
        <w:rPr>
          <w:i/>
          <w:iCs/>
          <w:lang w:val="sr-Latn-RS"/>
        </w:rPr>
        <w:t>logistic unit</w:t>
      </w:r>
      <w:r>
        <w:rPr>
          <w:lang w:val="sr-Latn-RS"/>
        </w:rPr>
        <w:t xml:space="preserve"> (</w:t>
      </w:r>
      <w:r w:rsidRPr="006F2074">
        <w:rPr>
          <w:b/>
          <w:bCs/>
          <w:lang w:val="sr-Latn-RS"/>
        </w:rPr>
        <w:t>logit</w:t>
      </w:r>
      <w:r>
        <w:rPr>
          <w:lang w:val="sr-Latn-RS"/>
        </w:rPr>
        <w:t>) model is a probability model that models input parameters (</w:t>
      </w:r>
      <w:r>
        <w:rPr>
          <w:i/>
          <w:iCs/>
          <w:lang w:val="sr-Latn-RS"/>
        </w:rPr>
        <w:t>x</w:t>
      </w:r>
      <w:r>
        <w:rPr>
          <w:vertAlign w:val="subscript"/>
          <w:lang w:val="sr-Latn-RS"/>
        </w:rPr>
        <w:t>i</w:t>
      </w:r>
      <w:r>
        <w:rPr>
          <w:lang w:val="sr-Latn-RS"/>
        </w:rPr>
        <w:t>) and provides an output probability value modif</w:t>
      </w:r>
      <w:r w:rsidR="004909B8">
        <w:rPr>
          <w:lang w:val="sr-Latn-RS"/>
        </w:rPr>
        <w:t>i</w:t>
      </w:r>
      <w:r>
        <w:rPr>
          <w:lang w:val="sr-Latn-RS"/>
        </w:rPr>
        <w:t>ed according label value (</w:t>
      </w:r>
      <w:r>
        <w:rPr>
          <w:i/>
          <w:iCs/>
          <w:lang w:val="sr-Latn-RS"/>
        </w:rPr>
        <w:t xml:space="preserve">y </w:t>
      </w:r>
      <w:r>
        <w:rPr>
          <w:lang w:val="en-GB"/>
        </w:rPr>
        <w:t xml:space="preserve">: R = {1, 2,… </w:t>
      </w:r>
      <w:r>
        <w:rPr>
          <w:i/>
          <w:iCs/>
          <w:lang w:val="en-GB"/>
        </w:rPr>
        <w:t>k</w:t>
      </w:r>
      <w:r>
        <w:rPr>
          <w:lang w:val="en-GB"/>
        </w:rPr>
        <w:t xml:space="preserve">}). </w:t>
      </w:r>
      <w:r w:rsidR="004909B8">
        <w:rPr>
          <w:lang w:val="en-GB"/>
        </w:rPr>
        <w:t>M</w:t>
      </w:r>
      <w:r>
        <w:rPr>
          <w:lang w:val="en-GB"/>
        </w:rPr>
        <w:t>odifying it is meant that</w:t>
      </w:r>
      <w:r w:rsidR="004909B8">
        <w:rPr>
          <w:lang w:val="en-GB"/>
        </w:rPr>
        <w:t xml:space="preserve"> with given inputs,</w:t>
      </w:r>
      <w:r>
        <w:rPr>
          <w:lang w:val="en-GB"/>
        </w:rPr>
        <w:t xml:space="preserve"> the model provides a probability value </w:t>
      </w:r>
      <w:r>
        <w:rPr>
          <w:i/>
          <w:iCs/>
          <w:lang w:val="en-GB"/>
        </w:rPr>
        <w:t>f</w:t>
      </w:r>
      <w:r>
        <w:rPr>
          <w:lang w:val="en-GB"/>
        </w:rPr>
        <w:t>(x) = {0, 1}, where class labels are set based on the probability boundaries</w:t>
      </w:r>
      <w:r w:rsidR="004909B8">
        <w:rPr>
          <w:lang w:val="en-GB"/>
        </w:rPr>
        <w:t>.</w:t>
      </w:r>
      <w:r>
        <w:rPr>
          <w:lang w:val="en-GB"/>
        </w:rPr>
        <w:t xml:space="preserve"> </w:t>
      </w:r>
      <w:r w:rsidR="004909B8">
        <w:rPr>
          <w:lang w:val="en-GB"/>
        </w:rPr>
        <w:t>The thesis provides the usage of binary classification using the logit function</w:t>
      </w:r>
      <w:r>
        <w:rPr>
          <w:lang w:val="en-GB"/>
        </w:rPr>
        <w:t xml:space="preserve">. In </w:t>
      </w:r>
      <w:r w:rsidR="004909B8">
        <w:rPr>
          <w:lang w:val="en-GB"/>
        </w:rPr>
        <w:t xml:space="preserve">a </w:t>
      </w:r>
      <w:r>
        <w:rPr>
          <w:lang w:val="en-GB"/>
        </w:rPr>
        <w:t xml:space="preserve">binary logistic regression model, the dependent variable </w:t>
      </w:r>
      <w:r>
        <w:rPr>
          <w:i/>
          <w:iCs/>
          <w:lang w:val="en-GB"/>
        </w:rPr>
        <w:t>y</w:t>
      </w:r>
      <w:r>
        <w:rPr>
          <w:lang w:val="en-GB"/>
        </w:rPr>
        <w:t xml:space="preserve"> is categorical, defined as None and Quasi-fault. Input predictors or independent variables can be used both as binary variables or continuous variables, where the corresponding probability can be any value between 0 and 1, which are set for </w:t>
      </w:r>
      <w:r w:rsidR="004909B8">
        <w:rPr>
          <w:lang w:val="en-GB"/>
        </w:rPr>
        <w:t xml:space="preserve">the </w:t>
      </w:r>
      <w:r>
        <w:rPr>
          <w:lang w:val="en-GB"/>
        </w:rPr>
        <w:t>operating state depending on the threshold as {None = 0; Quasi-fault = 1}.</w:t>
      </w:r>
    </w:p>
    <w:p w14:paraId="5C69F3BE" w14:textId="6B241D5E" w:rsidR="00DD6E43" w:rsidRDefault="006F2074" w:rsidP="006F2074">
      <w:pPr>
        <w:rPr>
          <w:lang w:val="en-GB"/>
        </w:rPr>
      </w:pPr>
      <w:r>
        <w:rPr>
          <w:lang w:val="en-GB"/>
        </w:rPr>
        <w:t>Mathematically speaking, the logit function is given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5"/>
        <w:gridCol w:w="992"/>
      </w:tblGrid>
      <w:tr w:rsidR="00386A73" w14:paraId="2C88D005" w14:textId="77777777" w:rsidTr="00DC3687">
        <w:tc>
          <w:tcPr>
            <w:tcW w:w="8025" w:type="dxa"/>
          </w:tcPr>
          <w:p w14:paraId="426AA4E3" w14:textId="016BBA7C" w:rsidR="00386A73" w:rsidRDefault="00386A73" w:rsidP="00DC3687">
            <w:pPr>
              <w:jc w:val="center"/>
            </w:pPr>
            <m:oMath>
              <m:r>
                <w:rPr>
                  <w:rFonts w:ascii="Cambria Math" w:hAnsi="Cambria Math"/>
                </w:rPr>
                <m:t>logit</m:t>
              </m:r>
              <m:d>
                <m:dPr>
                  <m:ctrlPr>
                    <w:rPr>
                      <w:rFonts w:ascii="Cambria Math" w:hAnsi="Cambria Math"/>
                      <w:i/>
                    </w:rPr>
                  </m:ctrlPr>
                </m:dPr>
                <m:e>
                  <m:r>
                    <w:rPr>
                      <w:rFonts w:ascii="Cambria Math" w:hAnsi="Cambria Math"/>
                    </w:rPr>
                    <m:t>p</m:t>
                  </m:r>
                </m:e>
              </m:d>
              <m:r>
                <w:rPr>
                  <w:rFonts w:ascii="Cambria Math" w:hAnsi="Cambria Math"/>
                </w:rPr>
                <m:t>=</m:t>
              </m:r>
              <m:func>
                <m:funcPr>
                  <m:ctrlPr>
                    <w:rPr>
                      <w:rFonts w:ascii="Cambria Math" w:hAnsi="Cambria Math"/>
                    </w:rPr>
                  </m:ctrlPr>
                </m:funcPr>
                <m:fName>
                  <m:r>
                    <m:rPr>
                      <m:sty m:val="p"/>
                    </m:rPr>
                    <w:rPr>
                      <w:rFonts w:ascii="Cambria Math" w:hAnsi="Cambria Math"/>
                    </w:rPr>
                    <m:t>ln</m:t>
                  </m:r>
                  <m:ctrlPr>
                    <w:rPr>
                      <w:rFonts w:ascii="Cambria Math" w:hAnsi="Cambria Math"/>
                      <w:i/>
                    </w:rPr>
                  </m:ctrlPr>
                </m:fName>
                <m:e>
                  <m:d>
                    <m:dPr>
                      <m:ctrlPr>
                        <w:rPr>
                          <w:rFonts w:ascii="Cambria Math" w:hAnsi="Cambria Math"/>
                        </w:rPr>
                      </m:ctrlPr>
                    </m:dPr>
                    <m:e>
                      <m:f>
                        <m:fPr>
                          <m:ctrlPr>
                            <w:rPr>
                              <w:rFonts w:ascii="Cambria Math" w:hAnsi="Cambria Math"/>
                            </w:rPr>
                          </m:ctrlPr>
                        </m:fPr>
                        <m:num>
                          <m:r>
                            <w:rPr>
                              <w:rFonts w:ascii="Cambria Math" w:hAnsi="Cambria Math"/>
                            </w:rPr>
                            <m:t>p</m:t>
                          </m:r>
                        </m:num>
                        <m:den>
                          <m:r>
                            <w:rPr>
                              <w:rFonts w:ascii="Cambria Math" w:hAnsi="Cambria Math"/>
                            </w:rPr>
                            <m:t>1-p</m:t>
                          </m:r>
                        </m:den>
                      </m:f>
                    </m:e>
                  </m:d>
                </m:e>
              </m:func>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r>
                <w:rPr>
                  <w:rFonts w:ascii="Cambria Math" w:hAnsi="Cambria Math"/>
                </w:rPr>
                <m:t>x</m:t>
              </m:r>
            </m:oMath>
            <w:r w:rsidR="004909B8">
              <w:rPr>
                <w:rFonts w:eastAsiaTheme="minorEastAsia"/>
              </w:rPr>
              <w:t>,</w:t>
            </w:r>
          </w:p>
        </w:tc>
        <w:tc>
          <w:tcPr>
            <w:tcW w:w="992" w:type="dxa"/>
            <w:vAlign w:val="center"/>
          </w:tcPr>
          <w:p w14:paraId="10446FFC" w14:textId="41E1DC3C" w:rsidR="00386A73" w:rsidRDefault="00043DEB" w:rsidP="00DC3687">
            <w:pPr>
              <w:jc w:val="right"/>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41</w:t>
            </w:r>
            <w:r w:rsidR="00427B33">
              <w:rPr>
                <w:noProof/>
              </w:rPr>
              <w:fldChar w:fldCharType="end"/>
            </w:r>
            <w:r>
              <w:t>)</w:t>
            </w:r>
          </w:p>
        </w:tc>
      </w:tr>
    </w:tbl>
    <w:p w14:paraId="6C3FBDAC" w14:textId="751A3B69" w:rsidR="00386A73" w:rsidRDefault="00386A73" w:rsidP="006F2074">
      <w:pPr>
        <w:rPr>
          <w:lang w:val="en-GB"/>
        </w:rPr>
      </w:pPr>
      <w:r>
        <w:rPr>
          <w:lang w:val="en-GB"/>
        </w:rPr>
        <w:t xml:space="preserve">where </w:t>
      </w:r>
      <w:r w:rsidR="004909B8">
        <w:rPr>
          <w:lang w:val="en-GB"/>
        </w:rPr>
        <w:t xml:space="preserve">the </w:t>
      </w:r>
      <w:r>
        <w:rPr>
          <w:lang w:val="en-GB"/>
        </w:rPr>
        <w:t xml:space="preserve">probability of </w:t>
      </w:r>
      <w:r>
        <w:rPr>
          <w:i/>
          <w:iCs/>
          <w:lang w:val="en-GB"/>
        </w:rPr>
        <w:t>x</w:t>
      </w:r>
      <w:r>
        <w:rPr>
          <w:lang w:val="en-GB"/>
        </w:rPr>
        <w:t xml:space="preserve"> is given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5"/>
        <w:gridCol w:w="992"/>
      </w:tblGrid>
      <w:tr w:rsidR="006F2074" w14:paraId="17092C64" w14:textId="77777777" w:rsidTr="00DC3687">
        <w:tc>
          <w:tcPr>
            <w:tcW w:w="8025" w:type="dxa"/>
          </w:tcPr>
          <w:p w14:paraId="1AF2C2B8" w14:textId="794CB885" w:rsidR="006F2074" w:rsidRDefault="004909B8" w:rsidP="00DC3687">
            <w:pPr>
              <w:jc w:val="center"/>
            </w:pPr>
            <m:oMath>
              <m:r>
                <w:rPr>
                  <w:rFonts w:ascii="Cambria Math" w:hAnsi="Cambria Math"/>
                </w:rPr>
                <m:t>p</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r>
                            <w:rPr>
                              <w:rFonts w:ascii="Cambria Math" w:hAnsi="Cambria Math"/>
                            </w:rPr>
                            <m:t>x-ς</m:t>
                          </m:r>
                        </m:num>
                        <m:den>
                          <m:r>
                            <w:rPr>
                              <w:rFonts w:ascii="Cambria Math" w:hAnsi="Cambria Math"/>
                            </w:rPr>
                            <m:t>ξ</m:t>
                          </m:r>
                        </m:den>
                      </m:f>
                    </m:sup>
                  </m:sSup>
                </m:den>
              </m:f>
              <m:r>
                <w:rPr>
                  <w:rFonts w:ascii="Cambria Math" w:hAnsi="Cambria Math"/>
                </w:rPr>
                <m:t>,</m:t>
              </m:r>
            </m:oMath>
            <w:r>
              <w:rPr>
                <w:rFonts w:eastAsiaTheme="minorEastAsia"/>
              </w:rPr>
              <w:t xml:space="preserve"> </w:t>
            </w:r>
          </w:p>
        </w:tc>
        <w:tc>
          <w:tcPr>
            <w:tcW w:w="992" w:type="dxa"/>
            <w:vAlign w:val="center"/>
          </w:tcPr>
          <w:p w14:paraId="6E24DB97" w14:textId="36353BA2" w:rsidR="006F2074" w:rsidRDefault="00043DEB" w:rsidP="00DC3687">
            <w:pPr>
              <w:jc w:val="right"/>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42</w:t>
            </w:r>
            <w:r w:rsidR="00427B33">
              <w:rPr>
                <w:noProof/>
              </w:rPr>
              <w:fldChar w:fldCharType="end"/>
            </w:r>
            <w:r>
              <w:t>)</w:t>
            </w:r>
          </w:p>
        </w:tc>
      </w:tr>
    </w:tbl>
    <w:p w14:paraId="6F1E08ED" w14:textId="71E85B98" w:rsidR="006F2074" w:rsidRPr="006F2074" w:rsidRDefault="004909B8" w:rsidP="006F2074">
      <w:pPr>
        <w:rPr>
          <w:lang w:val="en-GB"/>
        </w:rPr>
      </w:pPr>
      <w:r>
        <w:rPr>
          <w:lang w:val="en-GB"/>
        </w:rPr>
        <w:t>w</w:t>
      </w:r>
      <w:r w:rsidR="006F2074">
        <w:rPr>
          <w:lang w:val="en-GB"/>
        </w:rPr>
        <w:t xml:space="preserve">here </w:t>
      </w:r>
      <w:r w:rsidR="006F2074" w:rsidRPr="006F2074">
        <w:rPr>
          <w:rFonts w:ascii="Times New Roman" w:hAnsi="Times New Roman" w:cs="Times New Roman"/>
          <w:i/>
          <w:iCs/>
          <w:lang w:val="en-GB"/>
        </w:rPr>
        <w:t>ς</w:t>
      </w:r>
      <w:r w:rsidR="006F2074">
        <w:rPr>
          <w:lang w:val="en-GB"/>
        </w:rPr>
        <w:t xml:space="preserve"> is the location parameter (cutoff point of the curve)</w:t>
      </w:r>
      <w:r>
        <w:rPr>
          <w:lang w:val="en-GB"/>
        </w:rPr>
        <w:t>,</w:t>
      </w:r>
      <w:r w:rsidR="006F2074">
        <w:rPr>
          <w:lang w:val="en-GB"/>
        </w:rPr>
        <w:t xml:space="preserve"> and </w:t>
      </w:r>
      <w:r w:rsidR="006F2074" w:rsidRPr="006F2074">
        <w:rPr>
          <w:rFonts w:ascii="Times New Roman" w:hAnsi="Times New Roman" w:cs="Times New Roman"/>
          <w:i/>
          <w:iCs/>
          <w:lang w:val="en-GB"/>
        </w:rPr>
        <w:t>ξ</w:t>
      </w:r>
      <w:r w:rsidR="006F2074">
        <w:rPr>
          <w:rFonts w:cs="Times New Roman"/>
          <w:lang w:val="en-GB"/>
        </w:rPr>
        <w:t xml:space="preserve"> is the scale parameter. Setting the equation with intercept and coefficient according to known regression notation using </w:t>
      </w:r>
      <w:r w:rsidR="006F2074">
        <w:rPr>
          <w:rFonts w:cs="Times New Roman"/>
          <w:i/>
          <w:iCs/>
          <w:lang w:val="en-GB"/>
        </w:rPr>
        <w:t>β</w:t>
      </w:r>
      <w:r w:rsidR="006F2074">
        <w:rPr>
          <w:rFonts w:cs="Times New Roman"/>
          <w:lang w:val="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5"/>
        <w:gridCol w:w="992"/>
      </w:tblGrid>
      <w:tr w:rsidR="006F2074" w14:paraId="0D242232" w14:textId="77777777" w:rsidTr="00DC3687">
        <w:tc>
          <w:tcPr>
            <w:tcW w:w="8025" w:type="dxa"/>
          </w:tcPr>
          <w:p w14:paraId="54C52A4E" w14:textId="0F4FBF54" w:rsidR="006F2074" w:rsidRDefault="006F2074" w:rsidP="00DC3687">
            <w:pPr>
              <w:jc w:val="center"/>
            </w:pPr>
            <m:oMath>
              <m:r>
                <w:rPr>
                  <w:rFonts w:ascii="Cambria Math" w:hAnsi="Cambria Math"/>
                </w:rPr>
                <m:t>p(x)=</m:t>
              </m:r>
              <m:f>
                <m:fPr>
                  <m:ctrlPr>
                    <w:rPr>
                      <w:rFonts w:ascii="Cambria Math" w:hAnsi="Cambria Math"/>
                      <w:i/>
                    </w:rPr>
                  </m:ctrlPr>
                </m:fPr>
                <m:num>
                  <m:r>
                    <w:rPr>
                      <w:rFonts w:ascii="Cambria Math" w:hAnsi="Cambria Math"/>
                    </w:rPr>
                    <m:t>1</m:t>
                  </m:r>
                </m:num>
                <m:den>
                  <m:r>
                    <w:rPr>
                      <w:rFonts w:ascii="Cambria Math" w:hAnsi="Cambria Math"/>
                    </w:rPr>
                    <m:t>1+</m:t>
                  </m:r>
                  <m:sSup>
                    <m:sSupPr>
                      <m:ctrlPr>
                        <w:rPr>
                          <w:rFonts w:ascii="Cambria Math" w:hAnsi="Cambria Math"/>
                          <w:i/>
                        </w:rPr>
                      </m:ctrlPr>
                    </m:sSupPr>
                    <m:e>
                      <m:r>
                        <w:rPr>
                          <w:rFonts w:ascii="Cambria Math" w:hAnsi="Cambria Math"/>
                        </w:rPr>
                        <m:t>e</m:t>
                      </m:r>
                    </m:e>
                    <m:sup>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r>
                        <w:rPr>
                          <w:rFonts w:ascii="Cambria Math" w:hAnsi="Cambria Math"/>
                        </w:rPr>
                        <m:t>∙x)</m:t>
                      </m:r>
                    </m:sup>
                  </m:sSup>
                </m:den>
              </m:f>
            </m:oMath>
            <w:r w:rsidR="004909B8">
              <w:rPr>
                <w:rFonts w:eastAsiaTheme="minorEastAsia"/>
              </w:rPr>
              <w:t>,</w:t>
            </w:r>
          </w:p>
        </w:tc>
        <w:tc>
          <w:tcPr>
            <w:tcW w:w="992" w:type="dxa"/>
            <w:vAlign w:val="center"/>
          </w:tcPr>
          <w:p w14:paraId="2AF4D1DF" w14:textId="01815594" w:rsidR="006F2074" w:rsidRDefault="00043DEB" w:rsidP="00DC3687">
            <w:pPr>
              <w:jc w:val="right"/>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43</w:t>
            </w:r>
            <w:r w:rsidR="00427B33">
              <w:rPr>
                <w:noProof/>
              </w:rPr>
              <w:fldChar w:fldCharType="end"/>
            </w:r>
            <w:r>
              <w:t>)</w:t>
            </w:r>
          </w:p>
        </w:tc>
      </w:tr>
    </w:tbl>
    <w:p w14:paraId="65B7E1AB" w14:textId="7D03F128" w:rsidR="00BF27C2" w:rsidRDefault="006F2074" w:rsidP="002B6872">
      <w:pPr>
        <w:rPr>
          <w:rFonts w:cs="Times New Roman"/>
          <w:lang w:val="en-GB"/>
        </w:rPr>
      </w:pPr>
      <w:r>
        <w:rPr>
          <w:lang w:val="sr-Latn-RS"/>
        </w:rPr>
        <w:t xml:space="preserve">where </w:t>
      </w:r>
      <w:r>
        <w:rPr>
          <w:rFonts w:cs="Times New Roman"/>
          <w:i/>
          <w:iCs/>
          <w:lang w:val="en-GB"/>
        </w:rPr>
        <w:t>β</w:t>
      </w:r>
      <w:r>
        <w:rPr>
          <w:rFonts w:cs="Times New Roman"/>
          <w:i/>
          <w:iCs/>
          <w:vertAlign w:val="subscript"/>
          <w:lang w:val="en-GB"/>
        </w:rPr>
        <w:t>0</w:t>
      </w:r>
      <w:r>
        <w:rPr>
          <w:rFonts w:cs="Times New Roman"/>
          <w:lang w:val="en-GB"/>
        </w:rPr>
        <w:t xml:space="preserve"> = -ς/ξ</w:t>
      </w:r>
      <w:r w:rsidR="004909B8">
        <w:rPr>
          <w:rFonts w:cs="Times New Roman"/>
          <w:lang w:val="en-GB"/>
        </w:rPr>
        <w:t>,</w:t>
      </w:r>
      <w:r>
        <w:rPr>
          <w:rFonts w:cs="Times New Roman"/>
          <w:lang w:val="en-GB"/>
        </w:rPr>
        <w:t xml:space="preserve"> known as intercept and </w:t>
      </w:r>
      <w:r>
        <w:rPr>
          <w:rFonts w:cs="Times New Roman"/>
          <w:i/>
          <w:iCs/>
          <w:lang w:val="en-GB"/>
        </w:rPr>
        <w:t>β</w:t>
      </w:r>
      <w:r>
        <w:rPr>
          <w:rFonts w:cs="Times New Roman"/>
          <w:i/>
          <w:iCs/>
          <w:vertAlign w:val="subscript"/>
          <w:lang w:val="en-GB"/>
        </w:rPr>
        <w:t>1</w:t>
      </w:r>
      <w:r>
        <w:rPr>
          <w:rFonts w:cs="Times New Roman"/>
          <w:lang w:val="en-GB"/>
        </w:rPr>
        <w:t xml:space="preserve"> = 1/ξ is </w:t>
      </w:r>
      <w:r w:rsidR="004909B8">
        <w:rPr>
          <w:rFonts w:cs="Times New Roman"/>
          <w:lang w:val="en-GB"/>
        </w:rPr>
        <w:t xml:space="preserve">the </w:t>
      </w:r>
      <w:r>
        <w:rPr>
          <w:rFonts w:cs="Times New Roman"/>
          <w:lang w:val="en-GB"/>
        </w:rPr>
        <w:t xml:space="preserve">coefficient for given variable </w:t>
      </w:r>
      <w:r>
        <w:rPr>
          <w:rFonts w:cs="Times New Roman"/>
          <w:i/>
          <w:iCs/>
          <w:lang w:val="en-GB"/>
        </w:rPr>
        <w:t>x</w:t>
      </w:r>
      <w:r>
        <w:rPr>
          <w:rFonts w:cs="Times New Roman"/>
          <w:lang w:val="en-GB"/>
        </w:rPr>
        <w:t>.</w:t>
      </w:r>
      <w:r w:rsidR="00386A73">
        <w:rPr>
          <w:rFonts w:cs="Times New Roman"/>
          <w:lang w:val="en-GB"/>
        </w:rPr>
        <w:t xml:space="preserve"> Hence, to solve logistic regression</w:t>
      </w:r>
      <w:r w:rsidR="004909B8">
        <w:rPr>
          <w:rFonts w:cs="Times New Roman"/>
          <w:lang w:val="en-GB"/>
        </w:rPr>
        <w:t>,</w:t>
      </w:r>
      <w:r w:rsidR="00386A73">
        <w:rPr>
          <w:rFonts w:cs="Times New Roman"/>
          <w:lang w:val="en-GB"/>
        </w:rPr>
        <w:t xml:space="preserve"> we need to eliminate </w:t>
      </w:r>
      <w:r w:rsidR="004909B8">
        <w:rPr>
          <w:rFonts w:cs="Times New Roman"/>
          <w:lang w:val="en-GB"/>
        </w:rPr>
        <w:t xml:space="preserve">the </w:t>
      </w:r>
      <w:r w:rsidR="00386A73">
        <w:rPr>
          <w:rFonts w:cs="Times New Roman"/>
          <w:lang w:val="en-GB"/>
        </w:rPr>
        <w:t xml:space="preserve">natural logarithm in eq </w:t>
      </w:r>
      <w:r w:rsidR="000E427F">
        <w:rPr>
          <w:rFonts w:cs="Times New Roman"/>
          <w:lang w:val="en-GB"/>
        </w:rPr>
        <w:t>(9.43)</w:t>
      </w:r>
      <w:r w:rsidR="00386A73">
        <w:rPr>
          <w:rFonts w:cs="Times New Roman"/>
          <w:lang w:val="en-GB"/>
        </w:rPr>
        <w:t xml:space="preserve">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5"/>
        <w:gridCol w:w="992"/>
      </w:tblGrid>
      <w:tr w:rsidR="00386A73" w14:paraId="79895B5F" w14:textId="77777777" w:rsidTr="00DC3687">
        <w:tc>
          <w:tcPr>
            <w:tcW w:w="8025" w:type="dxa"/>
          </w:tcPr>
          <w:p w14:paraId="4128029A" w14:textId="1CDDC6AB" w:rsidR="00386A73" w:rsidRDefault="00427B33" w:rsidP="00DC3687">
            <w:pPr>
              <w:jc w:val="center"/>
            </w:pPr>
            <m:oMath>
              <m:f>
                <m:fPr>
                  <m:ctrlPr>
                    <w:rPr>
                      <w:rFonts w:ascii="Cambria Math" w:hAnsi="Cambria Math"/>
                    </w:rPr>
                  </m:ctrlPr>
                </m:fPr>
                <m:num>
                  <m:r>
                    <w:rPr>
                      <w:rFonts w:ascii="Cambria Math" w:hAnsi="Cambria Math"/>
                    </w:rPr>
                    <m:t>p</m:t>
                  </m:r>
                </m:num>
                <m:den>
                  <m:r>
                    <w:rPr>
                      <w:rFonts w:ascii="Cambria Math" w:hAnsi="Cambria Math"/>
                    </w:rPr>
                    <m:t>1-p</m:t>
                  </m:r>
                </m:den>
              </m:f>
              <m:r>
                <w:rPr>
                  <w:rFonts w:ascii="Cambria Math" w:hAnsi="Cambria Math"/>
                </w:rPr>
                <m:t>=</m:t>
              </m:r>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r>
                    <w:rPr>
                      <w:rFonts w:ascii="Cambria Math" w:hAnsi="Cambria Math"/>
                    </w:rPr>
                    <m:t>x</m:t>
                  </m:r>
                </m:sup>
              </m:sSup>
            </m:oMath>
            <w:r w:rsidR="004909B8">
              <w:rPr>
                <w:rFonts w:eastAsiaTheme="minorEastAsia"/>
              </w:rPr>
              <w:t>,</w:t>
            </w:r>
          </w:p>
        </w:tc>
        <w:tc>
          <w:tcPr>
            <w:tcW w:w="992" w:type="dxa"/>
            <w:vAlign w:val="center"/>
          </w:tcPr>
          <w:p w14:paraId="36F8956E" w14:textId="5EF1E859" w:rsidR="00386A73" w:rsidRDefault="00043DEB" w:rsidP="00DC3687">
            <w:pPr>
              <w:jc w:val="right"/>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44</w:t>
            </w:r>
            <w:r w:rsidR="00427B33">
              <w:rPr>
                <w:noProof/>
              </w:rPr>
              <w:fldChar w:fldCharType="end"/>
            </w:r>
            <w:r>
              <w:t>)</w:t>
            </w:r>
          </w:p>
        </w:tc>
      </w:tr>
    </w:tbl>
    <w:p w14:paraId="51DE601C" w14:textId="4F75A260" w:rsidR="00386A73" w:rsidRDefault="003340C2" w:rsidP="002B6872">
      <w:pPr>
        <w:rPr>
          <w:lang w:val="sr-Latn-RS"/>
        </w:rPr>
      </w:pPr>
      <w:r>
        <w:rPr>
          <w:lang w:val="sr-Latn-RS"/>
        </w:rPr>
        <w:t xml:space="preserve">using </w:t>
      </w:r>
      <w:r w:rsidR="00386A73">
        <w:rPr>
          <w:lang w:val="sr-Latn-RS"/>
        </w:rPr>
        <w:t>simple algebra: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5"/>
        <w:gridCol w:w="992"/>
      </w:tblGrid>
      <w:tr w:rsidR="00386A73" w14:paraId="1E5BCB99" w14:textId="77777777" w:rsidTr="00DC3687">
        <w:tc>
          <w:tcPr>
            <w:tcW w:w="8025" w:type="dxa"/>
          </w:tcPr>
          <w:p w14:paraId="3BC22434" w14:textId="031B5AA1" w:rsidR="00386A73" w:rsidRDefault="00386A73" w:rsidP="00DC3687">
            <w:pPr>
              <w:jc w:val="center"/>
            </w:pPr>
            <m:oMath>
              <m:r>
                <m:rPr>
                  <m:sty m:val="p"/>
                </m:rPr>
                <w:rPr>
                  <w:rFonts w:ascii="Cambria Math" w:hAnsi="Cambria Math"/>
                </w:rPr>
                <m:t>p</m:t>
              </m:r>
              <m:r>
                <w:rPr>
                  <w:rFonts w:ascii="Cambria Math" w:hAnsi="Cambria Math"/>
                </w:rPr>
                <m:t>=</m:t>
              </m:r>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r>
                    <w:rPr>
                      <w:rFonts w:ascii="Cambria Math" w:hAnsi="Cambria Math"/>
                    </w:rPr>
                    <m:t>x</m:t>
                  </m:r>
                </m:sup>
              </m:sSup>
              <m:r>
                <w:rPr>
                  <w:rFonts w:ascii="Cambria Math" w:hAnsi="Cambria Math"/>
                </w:rPr>
                <m:t xml:space="preserve"> (1-p)</m:t>
              </m:r>
            </m:oMath>
            <w:r w:rsidR="004909B8">
              <w:rPr>
                <w:rFonts w:eastAsiaTheme="minorEastAsia"/>
              </w:rPr>
              <w:t>,</w:t>
            </w:r>
          </w:p>
        </w:tc>
        <w:tc>
          <w:tcPr>
            <w:tcW w:w="992" w:type="dxa"/>
            <w:vAlign w:val="center"/>
          </w:tcPr>
          <w:p w14:paraId="21F3BB0E" w14:textId="26AF51C1" w:rsidR="00386A73" w:rsidRDefault="00043DEB" w:rsidP="00DC3687">
            <w:pPr>
              <w:jc w:val="right"/>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45</w:t>
            </w:r>
            <w:r w:rsidR="00427B33">
              <w:rPr>
                <w:noProof/>
              </w:rPr>
              <w:fldChar w:fldCharType="end"/>
            </w:r>
            <w:r>
              <w:t>)</w:t>
            </w:r>
          </w:p>
        </w:tc>
      </w:tr>
    </w:tbl>
    <w:p w14:paraId="020080C2" w14:textId="5F6D6E93" w:rsidR="00386A73" w:rsidRDefault="003340C2" w:rsidP="002B6872">
      <w:pPr>
        <w:rPr>
          <w:lang w:val="sr-Latn-RS"/>
        </w:rPr>
      </w:pPr>
      <w:r>
        <w:rPr>
          <w:lang w:val="sr-Latn-RS"/>
        </w:rPr>
        <w:t>distributing</w:t>
      </w:r>
      <w:r w:rsidR="00386A73">
        <w:rPr>
          <w:lang w:val="sr-Latn-R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5"/>
        <w:gridCol w:w="992"/>
      </w:tblGrid>
      <w:tr w:rsidR="00386A73" w14:paraId="143010E2" w14:textId="77777777" w:rsidTr="00DC3687">
        <w:tc>
          <w:tcPr>
            <w:tcW w:w="8025" w:type="dxa"/>
          </w:tcPr>
          <w:p w14:paraId="15FCAFEF" w14:textId="4B707C8F" w:rsidR="00386A73" w:rsidRDefault="00386A73" w:rsidP="00DC3687">
            <w:pPr>
              <w:jc w:val="center"/>
            </w:pPr>
            <m:oMath>
              <m:r>
                <m:rPr>
                  <m:sty m:val="p"/>
                </m:rPr>
                <w:rPr>
                  <w:rFonts w:ascii="Cambria Math" w:hAnsi="Cambria Math"/>
                </w:rPr>
                <m:t>p</m:t>
              </m:r>
              <m:r>
                <w:rPr>
                  <w:rFonts w:ascii="Cambria Math" w:hAnsi="Cambria Math"/>
                </w:rPr>
                <m:t>=</m:t>
              </m:r>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r>
                    <w:rPr>
                      <w:rFonts w:ascii="Cambria Math" w:hAnsi="Cambria Math"/>
                    </w:rPr>
                    <m:t>x</m:t>
                  </m:r>
                </m:sup>
              </m:sSup>
              <m:r>
                <w:rPr>
                  <w:rFonts w:ascii="Cambria Math" w:hAnsi="Cambria Math"/>
                </w:rPr>
                <m:t xml:space="preserve"> -</m:t>
              </m:r>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r>
                    <w:rPr>
                      <w:rFonts w:ascii="Cambria Math" w:hAnsi="Cambria Math"/>
                    </w:rPr>
                    <m:t>x</m:t>
                  </m:r>
                </m:sup>
              </m:sSup>
              <m:r>
                <w:rPr>
                  <w:rFonts w:ascii="Cambria Math" w:hAnsi="Cambria Math"/>
                </w:rPr>
                <m:t>∙p</m:t>
              </m:r>
            </m:oMath>
            <w:r w:rsidR="004909B8">
              <w:rPr>
                <w:rFonts w:eastAsiaTheme="minorEastAsia"/>
              </w:rPr>
              <w:t>,</w:t>
            </w:r>
          </w:p>
        </w:tc>
        <w:tc>
          <w:tcPr>
            <w:tcW w:w="992" w:type="dxa"/>
            <w:vAlign w:val="center"/>
          </w:tcPr>
          <w:p w14:paraId="19F62D2F" w14:textId="7FFED1F1" w:rsidR="00386A73" w:rsidRDefault="00043DEB" w:rsidP="00DC3687">
            <w:pPr>
              <w:jc w:val="right"/>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46</w:t>
            </w:r>
            <w:r w:rsidR="00427B33">
              <w:rPr>
                <w:noProof/>
              </w:rPr>
              <w:fldChar w:fldCharType="end"/>
            </w:r>
            <w:r>
              <w:t>)</w:t>
            </w:r>
          </w:p>
        </w:tc>
      </w:tr>
    </w:tbl>
    <w:p w14:paraId="5620DE6F" w14:textId="7BC7C9A8" w:rsidR="00386A73" w:rsidRDefault="00386A73" w:rsidP="002B6872">
      <w:pPr>
        <w:rPr>
          <w:lang w:val="sr-Latn-RS"/>
        </w:rPr>
      </w:pPr>
      <w:r>
        <w:rPr>
          <w:lang w:val="sr-Latn-RS"/>
        </w:rPr>
        <w:t>moving to the left</w:t>
      </w:r>
      <w:r w:rsidR="004909B8">
        <w:rPr>
          <w:lang w:val="sr-Latn-RS"/>
        </w:rPr>
        <w:t>-</w:t>
      </w:r>
      <w:r>
        <w:rPr>
          <w:lang w:val="sr-Latn-RS"/>
        </w:rPr>
        <w:t>hand side: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5"/>
        <w:gridCol w:w="992"/>
      </w:tblGrid>
      <w:tr w:rsidR="00386A73" w14:paraId="151E0429" w14:textId="77777777" w:rsidTr="00DC3687">
        <w:tc>
          <w:tcPr>
            <w:tcW w:w="8025" w:type="dxa"/>
          </w:tcPr>
          <w:p w14:paraId="67B7200A" w14:textId="356766A3" w:rsidR="00386A73" w:rsidRDefault="00386A73" w:rsidP="00DC3687">
            <w:pPr>
              <w:jc w:val="center"/>
            </w:pPr>
            <m:oMath>
              <m:r>
                <m:rPr>
                  <m:sty m:val="p"/>
                </m:rPr>
                <w:rPr>
                  <w:rFonts w:ascii="Cambria Math" w:hAnsi="Cambria Math"/>
                </w:rPr>
                <m:t>p</m:t>
              </m:r>
              <m:r>
                <w:rPr>
                  <w:rFonts w:ascii="Cambria Math" w:hAnsi="Cambria Math"/>
                </w:rPr>
                <m:t>+</m:t>
              </m:r>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r>
                    <w:rPr>
                      <w:rFonts w:ascii="Cambria Math" w:hAnsi="Cambria Math"/>
                    </w:rPr>
                    <m:t>x</m:t>
                  </m:r>
                </m:sup>
              </m:sSup>
              <m:r>
                <w:rPr>
                  <w:rFonts w:ascii="Cambria Math" w:hAnsi="Cambria Math"/>
                </w:rPr>
                <m:t>∙p=</m:t>
              </m:r>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r>
                    <w:rPr>
                      <w:rFonts w:ascii="Cambria Math" w:hAnsi="Cambria Math"/>
                    </w:rPr>
                    <m:t>x</m:t>
                  </m:r>
                </m:sup>
              </m:sSup>
              <m:r>
                <w:rPr>
                  <w:rFonts w:ascii="Cambria Math" w:hAnsi="Cambria Math"/>
                </w:rPr>
                <m:t xml:space="preserve"> </m:t>
              </m:r>
            </m:oMath>
            <w:r w:rsidR="004909B8">
              <w:rPr>
                <w:rFonts w:eastAsiaTheme="minorEastAsia"/>
              </w:rPr>
              <w:t>,</w:t>
            </w:r>
          </w:p>
        </w:tc>
        <w:tc>
          <w:tcPr>
            <w:tcW w:w="992" w:type="dxa"/>
            <w:vAlign w:val="center"/>
          </w:tcPr>
          <w:p w14:paraId="77550E99" w14:textId="6F536A8C" w:rsidR="00386A73" w:rsidRDefault="00043DEB" w:rsidP="00DC3687">
            <w:pPr>
              <w:jc w:val="right"/>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w:instrText>
            </w:r>
            <w:r w:rsidR="00427B33">
              <w:instrText xml:space="preserve">\* ARABIC \s 1 </w:instrText>
            </w:r>
            <w:r w:rsidR="00427B33">
              <w:fldChar w:fldCharType="separate"/>
            </w:r>
            <w:r w:rsidR="00587AF0">
              <w:rPr>
                <w:noProof/>
              </w:rPr>
              <w:t>47</w:t>
            </w:r>
            <w:r w:rsidR="00427B33">
              <w:rPr>
                <w:noProof/>
              </w:rPr>
              <w:fldChar w:fldCharType="end"/>
            </w:r>
            <w:r>
              <w:t>)</w:t>
            </w:r>
          </w:p>
        </w:tc>
      </w:tr>
    </w:tbl>
    <w:p w14:paraId="30B00709" w14:textId="354CBFAA" w:rsidR="00386A73" w:rsidRDefault="00386A73" w:rsidP="002B6872">
      <w:pPr>
        <w:rPr>
          <w:lang w:val="sr-Latn-RS"/>
        </w:rPr>
      </w:pPr>
      <w:r>
        <w:rPr>
          <w:lang w:val="sr-Latn-RS"/>
        </w:rPr>
        <w:t>factoring the equation,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5"/>
        <w:gridCol w:w="992"/>
      </w:tblGrid>
      <w:tr w:rsidR="00386A73" w14:paraId="0100E669" w14:textId="77777777" w:rsidTr="00DC3687">
        <w:tc>
          <w:tcPr>
            <w:tcW w:w="8025" w:type="dxa"/>
          </w:tcPr>
          <w:p w14:paraId="6CB351F4" w14:textId="26EC4108" w:rsidR="00386A73" w:rsidRDefault="00386A73" w:rsidP="00DC3687">
            <w:pPr>
              <w:jc w:val="center"/>
            </w:pPr>
            <m:oMath>
              <m:r>
                <m:rPr>
                  <m:sty m:val="p"/>
                </m:rPr>
                <w:rPr>
                  <w:rFonts w:ascii="Cambria Math" w:hAnsi="Cambria Math"/>
                </w:rPr>
                <m:t>p(1+</m:t>
              </m:r>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r>
                    <w:rPr>
                      <w:rFonts w:ascii="Cambria Math" w:hAnsi="Cambria Math"/>
                    </w:rPr>
                    <m:t>x</m:t>
                  </m:r>
                </m:sup>
              </m:sSup>
              <m:r>
                <w:rPr>
                  <w:rFonts w:ascii="Cambria Math" w:hAnsi="Cambria Math"/>
                </w:rPr>
                <m:t xml:space="preserve"> </m:t>
              </m:r>
            </m:oMath>
            <w:r w:rsidR="004909B8">
              <w:rPr>
                <w:rFonts w:eastAsiaTheme="minorEastAsia"/>
              </w:rPr>
              <w:t>,</w:t>
            </w:r>
          </w:p>
        </w:tc>
        <w:tc>
          <w:tcPr>
            <w:tcW w:w="992" w:type="dxa"/>
            <w:vAlign w:val="center"/>
          </w:tcPr>
          <w:p w14:paraId="365BF633" w14:textId="2255AA8E" w:rsidR="00386A73" w:rsidRDefault="00043DEB" w:rsidP="00DC3687">
            <w:pPr>
              <w:jc w:val="right"/>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48</w:t>
            </w:r>
            <w:r w:rsidR="00427B33">
              <w:rPr>
                <w:noProof/>
              </w:rPr>
              <w:fldChar w:fldCharType="end"/>
            </w:r>
            <w:r>
              <w:t>)</w:t>
            </w:r>
          </w:p>
        </w:tc>
      </w:tr>
    </w:tbl>
    <w:p w14:paraId="5C619BEC" w14:textId="3A903023" w:rsidR="00386A73" w:rsidRDefault="00386A73" w:rsidP="002B6872">
      <w:pPr>
        <w:rPr>
          <w:lang w:val="sr-Latn-RS"/>
        </w:rPr>
      </w:pPr>
      <w:r>
        <w:rPr>
          <w:lang w:val="sr-Latn-RS"/>
        </w:rPr>
        <w:t xml:space="preserve">to get </w:t>
      </w:r>
      <w:r w:rsidR="004909B8">
        <w:rPr>
          <w:lang w:val="sr-Latn-RS"/>
        </w:rPr>
        <w:t xml:space="preserve">the </w:t>
      </w:r>
      <w:r>
        <w:rPr>
          <w:lang w:val="sr-Latn-RS"/>
        </w:rPr>
        <w:t>final probability estimation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5"/>
        <w:gridCol w:w="992"/>
      </w:tblGrid>
      <w:tr w:rsidR="00386A73" w14:paraId="633CD0B5" w14:textId="77777777" w:rsidTr="00DC3687">
        <w:tc>
          <w:tcPr>
            <w:tcW w:w="8025" w:type="dxa"/>
          </w:tcPr>
          <w:p w14:paraId="70708CA5" w14:textId="0B3DC859" w:rsidR="00386A73" w:rsidRDefault="00386A73" w:rsidP="00DC3687">
            <w:pPr>
              <w:jc w:val="center"/>
            </w:pPr>
            <m:oMathPara>
              <m:oMath>
                <m:r>
                  <m:rPr>
                    <m:sty m:val="p"/>
                  </m:rP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r>
                          <w:rPr>
                            <w:rFonts w:ascii="Cambria Math" w:hAnsi="Cambria Math"/>
                          </w:rPr>
                          <m:t>x</m:t>
                        </m:r>
                      </m:sup>
                    </m:sSup>
                    <m:r>
                      <w:rPr>
                        <w:rFonts w:ascii="Cambria Math" w:hAnsi="Cambria Math"/>
                      </w:rPr>
                      <m:t xml:space="preserve"> </m:t>
                    </m:r>
                  </m:num>
                  <m:den>
                    <m:r>
                      <m:rPr>
                        <m:sty m:val="p"/>
                      </m:rPr>
                      <w:rPr>
                        <w:rFonts w:ascii="Cambria Math" w:hAnsi="Cambria Math"/>
                      </w:rPr>
                      <m:t>1+</m:t>
                    </m:r>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r>
                          <w:rPr>
                            <w:rFonts w:ascii="Cambria Math" w:hAnsi="Cambria Math"/>
                          </w:rPr>
                          <m:t>x</m:t>
                        </m:r>
                      </m:sup>
                    </m:sSup>
                  </m:den>
                </m:f>
                <m:r>
                  <w:rPr>
                    <w:rFonts w:ascii="Cambria Math" w:hAnsi="Cambria Math"/>
                  </w:rPr>
                  <m:t xml:space="preserve"> .</m:t>
                </m:r>
              </m:oMath>
            </m:oMathPara>
          </w:p>
        </w:tc>
        <w:tc>
          <w:tcPr>
            <w:tcW w:w="992" w:type="dxa"/>
            <w:vAlign w:val="center"/>
          </w:tcPr>
          <w:p w14:paraId="28D089A2" w14:textId="65E670E6" w:rsidR="00386A73" w:rsidRDefault="00043DEB" w:rsidP="00DC3687">
            <w:pPr>
              <w:jc w:val="right"/>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49</w:t>
            </w:r>
            <w:r w:rsidR="00427B33">
              <w:rPr>
                <w:noProof/>
              </w:rPr>
              <w:fldChar w:fldCharType="end"/>
            </w:r>
            <w:r>
              <w:t>)</w:t>
            </w:r>
          </w:p>
        </w:tc>
      </w:tr>
    </w:tbl>
    <w:p w14:paraId="7B7A8F3F" w14:textId="507A05F7" w:rsidR="00815093" w:rsidRDefault="00815093" w:rsidP="00815093">
      <w:pPr>
        <w:pStyle w:val="Heading3"/>
        <w:rPr>
          <w:lang w:val="sr-Latn-RS"/>
        </w:rPr>
      </w:pPr>
      <w:bookmarkStart w:id="655" w:name="_Toc101274410"/>
      <w:r>
        <w:rPr>
          <w:lang w:val="sr-Latn-RS"/>
        </w:rPr>
        <w:lastRenderedPageBreak/>
        <w:t>Logistic regression for opening saddle position</w:t>
      </w:r>
      <w:bookmarkEnd w:id="655"/>
    </w:p>
    <w:p w14:paraId="1B5063F9" w14:textId="26ACB33C" w:rsidR="00856D9B" w:rsidRPr="00CD5E7B" w:rsidRDefault="004909B8" w:rsidP="00856D9B">
      <w:pPr>
        <w:rPr>
          <w:lang w:val="sr-Latn-RS"/>
        </w:rPr>
      </w:pPr>
      <w:r>
        <w:rPr>
          <w:lang w:val="sr-Latn-RS"/>
        </w:rPr>
        <w:t>A l</w:t>
      </w:r>
      <w:r w:rsidR="00856D9B">
        <w:rPr>
          <w:lang w:val="sr-Latn-RS"/>
        </w:rPr>
        <w:t>ogistic regression model was created</w:t>
      </w:r>
      <w:r>
        <w:rPr>
          <w:lang w:val="sr-Latn-RS"/>
        </w:rPr>
        <w:t>,</w:t>
      </w:r>
      <w:r w:rsidR="00856D9B">
        <w:rPr>
          <w:lang w:val="sr-Latn-RS"/>
        </w:rPr>
        <w:t xml:space="preserve"> and coefficients (</w:t>
      </w:r>
      <w:r w:rsidR="00856D9B" w:rsidRPr="00856D9B">
        <w:rPr>
          <w:i/>
          <w:iCs/>
          <w:lang w:val="sr-Latn-RS"/>
        </w:rPr>
        <w:t>β</w:t>
      </w:r>
      <w:r w:rsidR="00856D9B" w:rsidRPr="00856D9B">
        <w:rPr>
          <w:i/>
          <w:iCs/>
          <w:vertAlign w:val="subscript"/>
          <w:lang w:val="sr-Latn-RS"/>
        </w:rPr>
        <w:t>i</w:t>
      </w:r>
      <w:r w:rsidR="00856D9B">
        <w:rPr>
          <w:lang w:val="sr-Latn-RS"/>
        </w:rPr>
        <w:t>) with constant (</w:t>
      </w:r>
      <w:r w:rsidR="00856D9B" w:rsidRPr="00856D9B">
        <w:rPr>
          <w:i/>
          <w:iCs/>
          <w:lang w:val="sr-Latn-RS"/>
        </w:rPr>
        <w:t>β</w:t>
      </w:r>
      <w:r w:rsidR="00856D9B" w:rsidRPr="00856D9B">
        <w:rPr>
          <w:i/>
          <w:iCs/>
          <w:vertAlign w:val="subscript"/>
          <w:lang w:val="sr-Latn-RS"/>
        </w:rPr>
        <w:t>0</w:t>
      </w:r>
      <w:r w:rsidR="00856D9B">
        <w:rPr>
          <w:lang w:val="sr-Latn-RS"/>
        </w:rPr>
        <w:t xml:space="preserve">) </w:t>
      </w:r>
      <w:r>
        <w:rPr>
          <w:lang w:val="sr-Latn-RS"/>
        </w:rPr>
        <w:t>are</w:t>
      </w:r>
      <w:r w:rsidR="00856D9B">
        <w:rPr>
          <w:lang w:val="sr-Latn-RS"/>
        </w:rPr>
        <w:t xml:space="preserve"> given in </w:t>
      </w:r>
      <w:r w:rsidR="00856D9B">
        <w:rPr>
          <w:lang w:val="sr-Latn-RS"/>
        </w:rPr>
        <w:fldChar w:fldCharType="begin"/>
      </w:r>
      <w:r w:rsidR="00856D9B">
        <w:rPr>
          <w:lang w:val="sr-Latn-RS"/>
        </w:rPr>
        <w:instrText xml:space="preserve"> REF _Ref99290541 \h </w:instrText>
      </w:r>
      <w:r w:rsidR="00856D9B">
        <w:rPr>
          <w:lang w:val="sr-Latn-RS"/>
        </w:rPr>
      </w:r>
      <w:r w:rsidR="00856D9B">
        <w:rPr>
          <w:lang w:val="sr-Latn-RS"/>
        </w:rPr>
        <w:fldChar w:fldCharType="separate"/>
      </w:r>
      <w:r w:rsidR="00587AF0">
        <w:t xml:space="preserve">Table </w:t>
      </w:r>
      <w:r w:rsidR="00587AF0">
        <w:rPr>
          <w:noProof/>
        </w:rPr>
        <w:t>59</w:t>
      </w:r>
      <w:r w:rsidR="00856D9B">
        <w:rPr>
          <w:lang w:val="sr-Latn-RS"/>
        </w:rPr>
        <w:fldChar w:fldCharType="end"/>
      </w:r>
      <w:r w:rsidR="00856D9B">
        <w:rPr>
          <w:lang w:val="sr-Latn-RS"/>
        </w:rPr>
        <w:t xml:space="preserve">. </w:t>
      </w:r>
      <w:r w:rsidR="00B6007A">
        <w:rPr>
          <w:lang w:val="sr-Latn-RS"/>
        </w:rPr>
        <w:t>The influence and significance of each variable can be concluded based on the Wald test. The Wald test suggest</w:t>
      </w:r>
      <w:r>
        <w:rPr>
          <w:lang w:val="sr-Latn-RS"/>
        </w:rPr>
        <w:t>s</w:t>
      </w:r>
      <w:r w:rsidR="00B6007A">
        <w:rPr>
          <w:lang w:val="sr-Latn-RS"/>
        </w:rPr>
        <w:t xml:space="preserve"> whether the exploratory variable in a model (predictor) affects or adds value to the model. It can be said that the par</w:t>
      </w:r>
      <w:r>
        <w:rPr>
          <w:lang w:val="sr-Latn-RS"/>
        </w:rPr>
        <w:t>a</w:t>
      </w:r>
      <w:r w:rsidR="00B6007A">
        <w:rPr>
          <w:lang w:val="sr-Latn-RS"/>
        </w:rPr>
        <w:t>meters with low values ~</w:t>
      </w:r>
      <w:r w:rsidR="00B6007A">
        <w:rPr>
          <w:lang w:val="en-GB"/>
        </w:rPr>
        <w:t xml:space="preserve"> zero can be deleted without much effect on the model. </w:t>
      </w:r>
      <w:r>
        <w:rPr>
          <w:lang w:val="en-GB"/>
        </w:rPr>
        <w:t>T</w:t>
      </w:r>
      <w:r w:rsidR="00B6007A">
        <w:rPr>
          <w:lang w:val="en-GB"/>
        </w:rPr>
        <w:t xml:space="preserve">he model is represented as given in </w:t>
      </w:r>
      <w:r w:rsidR="008075E2">
        <w:rPr>
          <w:lang w:val="en-GB"/>
        </w:rPr>
        <w:fldChar w:fldCharType="begin"/>
      </w:r>
      <w:r w:rsidR="008075E2">
        <w:rPr>
          <w:lang w:val="en-GB"/>
        </w:rPr>
        <w:instrText xml:space="preserve"> REF _Ref99290541 \h </w:instrText>
      </w:r>
      <w:r w:rsidR="008075E2">
        <w:rPr>
          <w:lang w:val="en-GB"/>
        </w:rPr>
      </w:r>
      <w:r w:rsidR="008075E2">
        <w:rPr>
          <w:lang w:val="en-GB"/>
        </w:rPr>
        <w:fldChar w:fldCharType="separate"/>
      </w:r>
      <w:r w:rsidR="00587AF0">
        <w:t xml:space="preserve">Table </w:t>
      </w:r>
      <w:r w:rsidR="00587AF0">
        <w:rPr>
          <w:noProof/>
        </w:rPr>
        <w:t>59</w:t>
      </w:r>
      <w:r w:rsidR="008075E2">
        <w:rPr>
          <w:lang w:val="en-GB"/>
        </w:rPr>
        <w:fldChar w:fldCharType="end"/>
      </w:r>
      <w:r w:rsidR="008075E2">
        <w:rPr>
          <w:lang w:val="en-GB"/>
        </w:rPr>
        <w:t>.</w:t>
      </w:r>
    </w:p>
    <w:p w14:paraId="76180006" w14:textId="6EFACFE1" w:rsidR="00856D9B" w:rsidRDefault="00856D9B" w:rsidP="00856D9B">
      <w:pPr>
        <w:pStyle w:val="Caption"/>
        <w:jc w:val="left"/>
      </w:pPr>
      <w:bookmarkStart w:id="656" w:name="_Ref99290541"/>
      <w:bookmarkStart w:id="657" w:name="_Toc101274499"/>
      <w:r>
        <w:t xml:space="preserve">Table </w:t>
      </w:r>
      <w:fldSimple w:instr=" SEQ Table \* ARABIC ">
        <w:r w:rsidR="00587AF0">
          <w:rPr>
            <w:noProof/>
          </w:rPr>
          <w:t>59</w:t>
        </w:r>
      </w:fldSimple>
      <w:bookmarkEnd w:id="656"/>
      <w:r>
        <w:t>. Variables in the equation of LR for opening saddle position</w:t>
      </w:r>
      <w:bookmarkEnd w:id="657"/>
    </w:p>
    <w:tbl>
      <w:tblPr>
        <w:tblW w:w="5000" w:type="pct"/>
        <w:tblCellMar>
          <w:left w:w="0" w:type="dxa"/>
          <w:right w:w="0" w:type="dxa"/>
        </w:tblCellMar>
        <w:tblLook w:val="0000" w:firstRow="0" w:lastRow="0" w:firstColumn="0" w:lastColumn="0" w:noHBand="0" w:noVBand="0"/>
      </w:tblPr>
      <w:tblGrid>
        <w:gridCol w:w="698"/>
        <w:gridCol w:w="1206"/>
        <w:gridCol w:w="728"/>
        <w:gridCol w:w="769"/>
        <w:gridCol w:w="1118"/>
        <w:gridCol w:w="650"/>
        <w:gridCol w:w="881"/>
        <w:gridCol w:w="879"/>
        <w:gridCol w:w="989"/>
        <w:gridCol w:w="1109"/>
      </w:tblGrid>
      <w:tr w:rsidR="00856D9B" w:rsidRPr="00AA1711" w14:paraId="7719042F" w14:textId="77777777" w:rsidTr="00856D9B">
        <w:trPr>
          <w:cantSplit/>
        </w:trPr>
        <w:tc>
          <w:tcPr>
            <w:tcW w:w="1055" w:type="pct"/>
            <w:gridSpan w:val="2"/>
            <w:tcBorders>
              <w:top w:val="single" w:sz="4" w:space="0" w:color="auto"/>
              <w:bottom w:val="single" w:sz="4" w:space="0" w:color="auto"/>
            </w:tcBorders>
            <w:shd w:val="clear" w:color="auto" w:fill="auto"/>
            <w:vAlign w:val="bottom"/>
          </w:tcPr>
          <w:p w14:paraId="11C5EBB4" w14:textId="77777777" w:rsidR="00856D9B" w:rsidRPr="009D7664" w:rsidRDefault="00856D9B" w:rsidP="00DC3687">
            <w:pPr>
              <w:spacing w:before="0" w:after="0"/>
              <w:ind w:left="57" w:right="57"/>
              <w:rPr>
                <w:b/>
                <w:bCs/>
                <w:sz w:val="18"/>
                <w:szCs w:val="18"/>
                <w:lang w:val="sr-Latn-RS"/>
              </w:rPr>
            </w:pPr>
            <w:r w:rsidRPr="009D7664">
              <w:rPr>
                <w:b/>
                <w:bCs/>
                <w:sz w:val="18"/>
                <w:szCs w:val="18"/>
                <w:lang w:val="sr-Latn-RS"/>
              </w:rPr>
              <w:t>Properties</w:t>
            </w:r>
          </w:p>
        </w:tc>
        <w:tc>
          <w:tcPr>
            <w:tcW w:w="403" w:type="pct"/>
            <w:tcBorders>
              <w:top w:val="single" w:sz="4" w:space="0" w:color="auto"/>
              <w:bottom w:val="single" w:sz="4" w:space="0" w:color="auto"/>
            </w:tcBorders>
            <w:shd w:val="clear" w:color="auto" w:fill="auto"/>
            <w:vAlign w:val="center"/>
          </w:tcPr>
          <w:p w14:paraId="70F0263D" w14:textId="77777777" w:rsidR="00856D9B" w:rsidRPr="009D7664" w:rsidRDefault="00856D9B" w:rsidP="00DC3687">
            <w:pPr>
              <w:spacing w:before="0" w:after="0"/>
              <w:ind w:left="57" w:right="57"/>
              <w:jc w:val="center"/>
              <w:rPr>
                <w:b/>
                <w:bCs/>
                <w:sz w:val="18"/>
                <w:szCs w:val="18"/>
                <w:lang w:val="sr-Latn-RS"/>
              </w:rPr>
            </w:pPr>
            <w:r w:rsidRPr="009D7664">
              <w:rPr>
                <w:b/>
                <w:bCs/>
                <w:sz w:val="18"/>
                <w:szCs w:val="18"/>
                <w:lang w:val="sr-Latn-RS"/>
              </w:rPr>
              <w:t>B</w:t>
            </w:r>
          </w:p>
        </w:tc>
        <w:tc>
          <w:tcPr>
            <w:tcW w:w="426" w:type="pct"/>
            <w:tcBorders>
              <w:top w:val="single" w:sz="4" w:space="0" w:color="auto"/>
              <w:bottom w:val="single" w:sz="4" w:space="0" w:color="auto"/>
            </w:tcBorders>
            <w:shd w:val="clear" w:color="auto" w:fill="auto"/>
            <w:vAlign w:val="center"/>
          </w:tcPr>
          <w:p w14:paraId="47F7E7CC" w14:textId="77777777" w:rsidR="00856D9B" w:rsidRPr="009D7664" w:rsidRDefault="00856D9B" w:rsidP="00DC3687">
            <w:pPr>
              <w:spacing w:before="0" w:after="0"/>
              <w:ind w:left="57" w:right="57"/>
              <w:jc w:val="center"/>
              <w:rPr>
                <w:b/>
                <w:bCs/>
                <w:sz w:val="18"/>
                <w:szCs w:val="18"/>
                <w:lang w:val="sr-Latn-RS"/>
              </w:rPr>
            </w:pPr>
            <w:r w:rsidRPr="009D7664">
              <w:rPr>
                <w:b/>
                <w:bCs/>
                <w:sz w:val="18"/>
                <w:szCs w:val="18"/>
                <w:lang w:val="sr-Latn-RS"/>
              </w:rPr>
              <w:t>S.E.</w:t>
            </w:r>
          </w:p>
        </w:tc>
        <w:tc>
          <w:tcPr>
            <w:tcW w:w="619" w:type="pct"/>
            <w:tcBorders>
              <w:top w:val="single" w:sz="4" w:space="0" w:color="auto"/>
              <w:bottom w:val="single" w:sz="4" w:space="0" w:color="auto"/>
            </w:tcBorders>
            <w:shd w:val="clear" w:color="auto" w:fill="auto"/>
            <w:vAlign w:val="center"/>
          </w:tcPr>
          <w:p w14:paraId="0C845DD8" w14:textId="77777777" w:rsidR="00856D9B" w:rsidRPr="009D7664" w:rsidRDefault="00856D9B" w:rsidP="00DC3687">
            <w:pPr>
              <w:spacing w:before="0" w:after="0"/>
              <w:ind w:left="57" w:right="57"/>
              <w:jc w:val="center"/>
              <w:rPr>
                <w:b/>
                <w:bCs/>
                <w:sz w:val="18"/>
                <w:szCs w:val="18"/>
                <w:lang w:val="sr-Latn-RS"/>
              </w:rPr>
            </w:pPr>
            <w:r w:rsidRPr="009D7664">
              <w:rPr>
                <w:b/>
                <w:bCs/>
                <w:sz w:val="18"/>
                <w:szCs w:val="18"/>
                <w:lang w:val="sr-Latn-RS"/>
              </w:rPr>
              <w:t>Wald</w:t>
            </w:r>
          </w:p>
        </w:tc>
        <w:tc>
          <w:tcPr>
            <w:tcW w:w="360" w:type="pct"/>
            <w:tcBorders>
              <w:top w:val="single" w:sz="4" w:space="0" w:color="auto"/>
              <w:bottom w:val="single" w:sz="4" w:space="0" w:color="auto"/>
            </w:tcBorders>
            <w:shd w:val="clear" w:color="auto" w:fill="auto"/>
            <w:vAlign w:val="center"/>
          </w:tcPr>
          <w:p w14:paraId="4D10EE0D" w14:textId="77777777" w:rsidR="00856D9B" w:rsidRPr="009D7664" w:rsidRDefault="00856D9B" w:rsidP="00DC3687">
            <w:pPr>
              <w:spacing w:before="0" w:after="0"/>
              <w:ind w:left="57" w:right="57"/>
              <w:jc w:val="center"/>
              <w:rPr>
                <w:b/>
                <w:bCs/>
                <w:sz w:val="18"/>
                <w:szCs w:val="18"/>
                <w:lang w:val="sr-Latn-RS"/>
              </w:rPr>
            </w:pPr>
            <w:r w:rsidRPr="009D7664">
              <w:rPr>
                <w:b/>
                <w:bCs/>
                <w:sz w:val="18"/>
                <w:szCs w:val="18"/>
                <w:lang w:val="sr-Latn-RS"/>
              </w:rPr>
              <w:t>df</w:t>
            </w:r>
          </w:p>
        </w:tc>
        <w:tc>
          <w:tcPr>
            <w:tcW w:w="488" w:type="pct"/>
            <w:tcBorders>
              <w:top w:val="single" w:sz="4" w:space="0" w:color="auto"/>
              <w:bottom w:val="single" w:sz="4" w:space="0" w:color="auto"/>
            </w:tcBorders>
            <w:shd w:val="clear" w:color="auto" w:fill="auto"/>
            <w:vAlign w:val="center"/>
          </w:tcPr>
          <w:p w14:paraId="1D89469C" w14:textId="77777777" w:rsidR="00856D9B" w:rsidRPr="009D7664" w:rsidRDefault="00856D9B" w:rsidP="00DC3687">
            <w:pPr>
              <w:spacing w:before="0" w:after="0"/>
              <w:ind w:left="57" w:right="57"/>
              <w:jc w:val="center"/>
              <w:rPr>
                <w:b/>
                <w:bCs/>
                <w:sz w:val="18"/>
                <w:szCs w:val="18"/>
                <w:lang w:val="sr-Latn-RS"/>
              </w:rPr>
            </w:pPr>
            <w:r w:rsidRPr="009D7664">
              <w:rPr>
                <w:b/>
                <w:bCs/>
                <w:sz w:val="18"/>
                <w:szCs w:val="18"/>
                <w:lang w:val="sr-Latn-RS"/>
              </w:rPr>
              <w:t>Sig.</w:t>
            </w:r>
          </w:p>
        </w:tc>
        <w:tc>
          <w:tcPr>
            <w:tcW w:w="487" w:type="pct"/>
            <w:tcBorders>
              <w:top w:val="single" w:sz="4" w:space="0" w:color="auto"/>
              <w:bottom w:val="single" w:sz="4" w:space="0" w:color="auto"/>
            </w:tcBorders>
            <w:shd w:val="clear" w:color="auto" w:fill="auto"/>
            <w:vAlign w:val="center"/>
          </w:tcPr>
          <w:p w14:paraId="36669900" w14:textId="77777777" w:rsidR="00856D9B" w:rsidRPr="009D7664" w:rsidRDefault="00856D9B" w:rsidP="00DC3687">
            <w:pPr>
              <w:spacing w:before="0" w:after="0"/>
              <w:ind w:left="57" w:right="57"/>
              <w:jc w:val="center"/>
              <w:rPr>
                <w:b/>
                <w:bCs/>
                <w:sz w:val="18"/>
                <w:szCs w:val="18"/>
                <w:lang w:val="sr-Latn-RS"/>
              </w:rPr>
            </w:pPr>
            <w:r w:rsidRPr="009D7664">
              <w:rPr>
                <w:b/>
                <w:bCs/>
                <w:sz w:val="18"/>
                <w:szCs w:val="18"/>
                <w:lang w:val="sr-Latn-RS"/>
              </w:rPr>
              <w:t>Exp(B)</w:t>
            </w:r>
          </w:p>
        </w:tc>
        <w:tc>
          <w:tcPr>
            <w:tcW w:w="548" w:type="pct"/>
            <w:tcBorders>
              <w:top w:val="single" w:sz="4" w:space="0" w:color="auto"/>
              <w:bottom w:val="single" w:sz="4" w:space="0" w:color="auto"/>
            </w:tcBorders>
            <w:shd w:val="clear" w:color="auto" w:fill="auto"/>
            <w:vAlign w:val="center"/>
          </w:tcPr>
          <w:p w14:paraId="19087609" w14:textId="77777777" w:rsidR="00856D9B" w:rsidRPr="009D7664" w:rsidRDefault="00856D9B" w:rsidP="00DC3687">
            <w:pPr>
              <w:spacing w:before="0" w:after="0"/>
              <w:ind w:left="57" w:right="57"/>
              <w:jc w:val="center"/>
              <w:rPr>
                <w:b/>
                <w:bCs/>
                <w:sz w:val="18"/>
                <w:szCs w:val="18"/>
                <w:lang w:val="sr-Latn-RS"/>
              </w:rPr>
            </w:pPr>
            <w:r w:rsidRPr="009D7664">
              <w:rPr>
                <w:b/>
                <w:bCs/>
                <w:sz w:val="18"/>
                <w:szCs w:val="18"/>
                <w:lang w:val="sr-Latn-RS"/>
              </w:rPr>
              <w:t>95% Lower</w:t>
            </w:r>
          </w:p>
        </w:tc>
        <w:tc>
          <w:tcPr>
            <w:tcW w:w="614" w:type="pct"/>
            <w:tcBorders>
              <w:top w:val="single" w:sz="4" w:space="0" w:color="auto"/>
              <w:bottom w:val="single" w:sz="4" w:space="0" w:color="auto"/>
            </w:tcBorders>
            <w:shd w:val="clear" w:color="auto" w:fill="auto"/>
            <w:vAlign w:val="center"/>
          </w:tcPr>
          <w:p w14:paraId="74A4F35C" w14:textId="77777777" w:rsidR="00856D9B" w:rsidRPr="009D7664" w:rsidRDefault="00856D9B" w:rsidP="00DC3687">
            <w:pPr>
              <w:spacing w:before="0" w:after="0"/>
              <w:ind w:left="57" w:right="57"/>
              <w:jc w:val="center"/>
              <w:rPr>
                <w:b/>
                <w:bCs/>
                <w:sz w:val="18"/>
                <w:szCs w:val="18"/>
                <w:lang w:val="sr-Latn-RS"/>
              </w:rPr>
            </w:pPr>
            <w:r w:rsidRPr="009D7664">
              <w:rPr>
                <w:b/>
                <w:bCs/>
                <w:sz w:val="18"/>
                <w:szCs w:val="18"/>
                <w:lang w:val="sr-Latn-RS"/>
              </w:rPr>
              <w:t>95% Upper</w:t>
            </w:r>
          </w:p>
        </w:tc>
      </w:tr>
      <w:tr w:rsidR="00856D9B" w:rsidRPr="00AA1711" w14:paraId="74BB8B1A" w14:textId="77777777" w:rsidTr="00856D9B">
        <w:trPr>
          <w:cantSplit/>
        </w:trPr>
        <w:tc>
          <w:tcPr>
            <w:tcW w:w="387" w:type="pct"/>
            <w:vMerge w:val="restart"/>
            <w:tcBorders>
              <w:top w:val="single" w:sz="4" w:space="0" w:color="auto"/>
            </w:tcBorders>
            <w:shd w:val="clear" w:color="auto" w:fill="auto"/>
          </w:tcPr>
          <w:p w14:paraId="15C27158" w14:textId="77777777" w:rsidR="00856D9B" w:rsidRPr="00AA1711" w:rsidRDefault="00856D9B" w:rsidP="00DC3687">
            <w:pPr>
              <w:spacing w:before="0" w:after="0"/>
              <w:ind w:left="57" w:right="57"/>
              <w:rPr>
                <w:sz w:val="16"/>
                <w:szCs w:val="16"/>
                <w:lang w:val="sr-Latn-RS"/>
              </w:rPr>
            </w:pPr>
            <w:r w:rsidRPr="00AA1711">
              <w:rPr>
                <w:sz w:val="16"/>
                <w:szCs w:val="16"/>
                <w:lang w:val="sr-Latn-RS"/>
              </w:rPr>
              <w:t>Step 1</w:t>
            </w:r>
            <w:r w:rsidRPr="00AA1711">
              <w:rPr>
                <w:sz w:val="16"/>
                <w:szCs w:val="16"/>
                <w:vertAlign w:val="superscript"/>
                <w:lang w:val="sr-Latn-RS"/>
              </w:rPr>
              <w:t>a</w:t>
            </w:r>
          </w:p>
        </w:tc>
        <w:tc>
          <w:tcPr>
            <w:tcW w:w="668" w:type="pct"/>
            <w:tcBorders>
              <w:top w:val="single" w:sz="4" w:space="0" w:color="auto"/>
            </w:tcBorders>
            <w:shd w:val="clear" w:color="auto" w:fill="auto"/>
          </w:tcPr>
          <w:p w14:paraId="5F82F098" w14:textId="77777777" w:rsidR="00856D9B" w:rsidRPr="00AA1711" w:rsidRDefault="00856D9B" w:rsidP="00DC3687">
            <w:pPr>
              <w:spacing w:before="0" w:after="0"/>
              <w:ind w:left="57" w:right="57"/>
              <w:rPr>
                <w:sz w:val="16"/>
                <w:szCs w:val="16"/>
                <w:lang w:val="sr-Latn-RS"/>
              </w:rPr>
            </w:pPr>
            <w:r w:rsidRPr="00AA1711">
              <w:rPr>
                <w:sz w:val="16"/>
                <w:szCs w:val="16"/>
                <w:lang w:val="sr-Latn-RS"/>
              </w:rPr>
              <w:t>HS_idle_time</w:t>
            </w:r>
          </w:p>
        </w:tc>
        <w:tc>
          <w:tcPr>
            <w:tcW w:w="403" w:type="pct"/>
            <w:tcBorders>
              <w:top w:val="single" w:sz="4" w:space="0" w:color="auto"/>
            </w:tcBorders>
            <w:shd w:val="clear" w:color="auto" w:fill="auto"/>
          </w:tcPr>
          <w:p w14:paraId="3D54D6D4" w14:textId="46D59FEC" w:rsidR="00856D9B" w:rsidRPr="009C6754" w:rsidRDefault="00856D9B" w:rsidP="00DC3687">
            <w:pPr>
              <w:spacing w:before="0" w:after="0"/>
              <w:ind w:left="57" w:right="57"/>
              <w:jc w:val="right"/>
              <w:rPr>
                <w:sz w:val="16"/>
                <w:szCs w:val="16"/>
                <w:lang w:val="sr-Latn-RS"/>
              </w:rPr>
            </w:pPr>
            <w:r w:rsidRPr="009C6754">
              <w:rPr>
                <w:sz w:val="16"/>
                <w:szCs w:val="16"/>
              </w:rPr>
              <w:t>-</w:t>
            </w:r>
            <w:r>
              <w:rPr>
                <w:sz w:val="16"/>
                <w:szCs w:val="16"/>
              </w:rPr>
              <w:t>0.</w:t>
            </w:r>
            <w:r w:rsidRPr="009C6754">
              <w:rPr>
                <w:sz w:val="16"/>
                <w:szCs w:val="16"/>
              </w:rPr>
              <w:t>305</w:t>
            </w:r>
          </w:p>
        </w:tc>
        <w:tc>
          <w:tcPr>
            <w:tcW w:w="426" w:type="pct"/>
            <w:tcBorders>
              <w:top w:val="single" w:sz="4" w:space="0" w:color="auto"/>
            </w:tcBorders>
            <w:shd w:val="clear" w:color="auto" w:fill="auto"/>
          </w:tcPr>
          <w:p w14:paraId="7AC25429" w14:textId="60444BD2"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167</w:t>
            </w:r>
          </w:p>
        </w:tc>
        <w:tc>
          <w:tcPr>
            <w:tcW w:w="619" w:type="pct"/>
            <w:tcBorders>
              <w:top w:val="single" w:sz="4" w:space="0" w:color="auto"/>
            </w:tcBorders>
            <w:shd w:val="clear" w:color="auto" w:fill="auto"/>
          </w:tcPr>
          <w:p w14:paraId="0C239E3C" w14:textId="56BA2FFF" w:rsidR="00856D9B" w:rsidRPr="009C6754" w:rsidRDefault="00856D9B" w:rsidP="00DC3687">
            <w:pPr>
              <w:spacing w:before="0" w:after="0"/>
              <w:ind w:left="57" w:right="57"/>
              <w:jc w:val="right"/>
              <w:rPr>
                <w:sz w:val="16"/>
                <w:szCs w:val="16"/>
                <w:lang w:val="sr-Latn-RS"/>
              </w:rPr>
            </w:pPr>
            <w:r w:rsidRPr="009C6754">
              <w:rPr>
                <w:sz w:val="16"/>
                <w:szCs w:val="16"/>
              </w:rPr>
              <w:t>3</w:t>
            </w:r>
            <w:r>
              <w:rPr>
                <w:sz w:val="16"/>
                <w:szCs w:val="16"/>
              </w:rPr>
              <w:t>.</w:t>
            </w:r>
            <w:r w:rsidRPr="009C6754">
              <w:rPr>
                <w:sz w:val="16"/>
                <w:szCs w:val="16"/>
              </w:rPr>
              <w:t>339</w:t>
            </w:r>
          </w:p>
        </w:tc>
        <w:tc>
          <w:tcPr>
            <w:tcW w:w="360" w:type="pct"/>
            <w:tcBorders>
              <w:top w:val="single" w:sz="4" w:space="0" w:color="auto"/>
            </w:tcBorders>
            <w:shd w:val="clear" w:color="auto" w:fill="auto"/>
          </w:tcPr>
          <w:p w14:paraId="4D7A28A8" w14:textId="77777777" w:rsidR="00856D9B" w:rsidRPr="009C6754" w:rsidRDefault="00856D9B" w:rsidP="00DC3687">
            <w:pPr>
              <w:spacing w:before="0" w:after="0"/>
              <w:ind w:left="57" w:right="57"/>
              <w:jc w:val="right"/>
              <w:rPr>
                <w:sz w:val="16"/>
                <w:szCs w:val="16"/>
                <w:lang w:val="sr-Latn-RS"/>
              </w:rPr>
            </w:pPr>
            <w:r w:rsidRPr="009C6754">
              <w:rPr>
                <w:sz w:val="16"/>
                <w:szCs w:val="16"/>
              </w:rPr>
              <w:t>1</w:t>
            </w:r>
          </w:p>
        </w:tc>
        <w:tc>
          <w:tcPr>
            <w:tcW w:w="488" w:type="pct"/>
            <w:tcBorders>
              <w:top w:val="single" w:sz="4" w:space="0" w:color="auto"/>
            </w:tcBorders>
            <w:shd w:val="clear" w:color="auto" w:fill="auto"/>
          </w:tcPr>
          <w:p w14:paraId="62768C19" w14:textId="385D3558"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068</w:t>
            </w:r>
          </w:p>
        </w:tc>
        <w:tc>
          <w:tcPr>
            <w:tcW w:w="487" w:type="pct"/>
            <w:tcBorders>
              <w:top w:val="single" w:sz="4" w:space="0" w:color="auto"/>
            </w:tcBorders>
            <w:shd w:val="clear" w:color="auto" w:fill="auto"/>
          </w:tcPr>
          <w:p w14:paraId="78E97777" w14:textId="6AD455E5"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737</w:t>
            </w:r>
          </w:p>
        </w:tc>
        <w:tc>
          <w:tcPr>
            <w:tcW w:w="548" w:type="pct"/>
            <w:tcBorders>
              <w:top w:val="single" w:sz="4" w:space="0" w:color="auto"/>
            </w:tcBorders>
            <w:shd w:val="clear" w:color="auto" w:fill="auto"/>
          </w:tcPr>
          <w:p w14:paraId="2F990F03" w14:textId="58C8DA89"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531</w:t>
            </w:r>
          </w:p>
        </w:tc>
        <w:tc>
          <w:tcPr>
            <w:tcW w:w="614" w:type="pct"/>
            <w:tcBorders>
              <w:top w:val="single" w:sz="4" w:space="0" w:color="auto"/>
            </w:tcBorders>
            <w:shd w:val="clear" w:color="auto" w:fill="auto"/>
          </w:tcPr>
          <w:p w14:paraId="1DE1A675" w14:textId="57F44364" w:rsidR="00856D9B" w:rsidRPr="009C6754" w:rsidRDefault="00856D9B" w:rsidP="00DC3687">
            <w:pPr>
              <w:spacing w:before="0" w:after="0"/>
              <w:ind w:left="57" w:right="57"/>
              <w:jc w:val="right"/>
              <w:rPr>
                <w:sz w:val="16"/>
                <w:szCs w:val="16"/>
                <w:lang w:val="sr-Latn-RS"/>
              </w:rPr>
            </w:pPr>
            <w:r w:rsidRPr="009C6754">
              <w:rPr>
                <w:sz w:val="16"/>
                <w:szCs w:val="16"/>
              </w:rPr>
              <w:t>1</w:t>
            </w:r>
            <w:r>
              <w:rPr>
                <w:sz w:val="16"/>
                <w:szCs w:val="16"/>
              </w:rPr>
              <w:t>.</w:t>
            </w:r>
            <w:r w:rsidRPr="009C6754">
              <w:rPr>
                <w:sz w:val="16"/>
                <w:szCs w:val="16"/>
              </w:rPr>
              <w:t>022</w:t>
            </w:r>
          </w:p>
        </w:tc>
      </w:tr>
      <w:tr w:rsidR="00856D9B" w:rsidRPr="00AA1711" w14:paraId="2FFE630C" w14:textId="77777777" w:rsidTr="00856D9B">
        <w:trPr>
          <w:cantSplit/>
        </w:trPr>
        <w:tc>
          <w:tcPr>
            <w:tcW w:w="387" w:type="pct"/>
            <w:vMerge/>
            <w:shd w:val="clear" w:color="auto" w:fill="auto"/>
          </w:tcPr>
          <w:p w14:paraId="59D451EA" w14:textId="77777777" w:rsidR="00856D9B" w:rsidRPr="00AA1711" w:rsidRDefault="00856D9B" w:rsidP="00DC3687">
            <w:pPr>
              <w:spacing w:before="0" w:after="0"/>
              <w:ind w:left="57" w:right="57"/>
              <w:rPr>
                <w:sz w:val="16"/>
                <w:szCs w:val="16"/>
                <w:lang w:val="sr-Latn-RS"/>
              </w:rPr>
            </w:pPr>
          </w:p>
        </w:tc>
        <w:tc>
          <w:tcPr>
            <w:tcW w:w="668" w:type="pct"/>
            <w:shd w:val="clear" w:color="auto" w:fill="auto"/>
          </w:tcPr>
          <w:p w14:paraId="41576662" w14:textId="77777777" w:rsidR="00856D9B" w:rsidRPr="00AA1711" w:rsidRDefault="00856D9B" w:rsidP="00DC3687">
            <w:pPr>
              <w:spacing w:before="0" w:after="0"/>
              <w:ind w:left="57" w:right="57"/>
              <w:rPr>
                <w:sz w:val="16"/>
                <w:szCs w:val="16"/>
                <w:lang w:val="sr-Latn-RS"/>
              </w:rPr>
            </w:pPr>
            <w:r w:rsidRPr="00AA1711">
              <w:rPr>
                <w:sz w:val="16"/>
                <w:szCs w:val="16"/>
                <w:lang w:val="sr-Latn-RS"/>
              </w:rPr>
              <w:t>T1</w:t>
            </w:r>
          </w:p>
        </w:tc>
        <w:tc>
          <w:tcPr>
            <w:tcW w:w="403" w:type="pct"/>
            <w:shd w:val="clear" w:color="auto" w:fill="auto"/>
          </w:tcPr>
          <w:p w14:paraId="50FF986A" w14:textId="0C64F9C1"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290</w:t>
            </w:r>
          </w:p>
        </w:tc>
        <w:tc>
          <w:tcPr>
            <w:tcW w:w="426" w:type="pct"/>
            <w:shd w:val="clear" w:color="auto" w:fill="auto"/>
          </w:tcPr>
          <w:p w14:paraId="7886FA0A" w14:textId="555CB2CD"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285</w:t>
            </w:r>
          </w:p>
        </w:tc>
        <w:tc>
          <w:tcPr>
            <w:tcW w:w="619" w:type="pct"/>
            <w:shd w:val="clear" w:color="auto" w:fill="auto"/>
          </w:tcPr>
          <w:p w14:paraId="6D33422C" w14:textId="086A3156" w:rsidR="00856D9B" w:rsidRPr="009C6754" w:rsidRDefault="00856D9B" w:rsidP="00DC3687">
            <w:pPr>
              <w:spacing w:before="0" w:after="0"/>
              <w:ind w:left="57" w:right="57"/>
              <w:jc w:val="right"/>
              <w:rPr>
                <w:sz w:val="16"/>
                <w:szCs w:val="16"/>
                <w:lang w:val="sr-Latn-RS"/>
              </w:rPr>
            </w:pPr>
            <w:r w:rsidRPr="009C6754">
              <w:rPr>
                <w:sz w:val="16"/>
                <w:szCs w:val="16"/>
              </w:rPr>
              <w:t>1</w:t>
            </w:r>
            <w:r>
              <w:rPr>
                <w:sz w:val="16"/>
                <w:szCs w:val="16"/>
              </w:rPr>
              <w:t>.</w:t>
            </w:r>
            <w:r w:rsidRPr="009C6754">
              <w:rPr>
                <w:sz w:val="16"/>
                <w:szCs w:val="16"/>
              </w:rPr>
              <w:t>034</w:t>
            </w:r>
          </w:p>
        </w:tc>
        <w:tc>
          <w:tcPr>
            <w:tcW w:w="360" w:type="pct"/>
            <w:shd w:val="clear" w:color="auto" w:fill="auto"/>
          </w:tcPr>
          <w:p w14:paraId="627E8B97" w14:textId="77777777" w:rsidR="00856D9B" w:rsidRPr="009C6754" w:rsidRDefault="00856D9B" w:rsidP="00DC3687">
            <w:pPr>
              <w:spacing w:before="0" w:after="0"/>
              <w:ind w:left="57" w:right="57"/>
              <w:jc w:val="right"/>
              <w:rPr>
                <w:sz w:val="16"/>
                <w:szCs w:val="16"/>
                <w:lang w:val="sr-Latn-RS"/>
              </w:rPr>
            </w:pPr>
            <w:r w:rsidRPr="009C6754">
              <w:rPr>
                <w:sz w:val="16"/>
                <w:szCs w:val="16"/>
              </w:rPr>
              <w:t>1</w:t>
            </w:r>
          </w:p>
        </w:tc>
        <w:tc>
          <w:tcPr>
            <w:tcW w:w="488" w:type="pct"/>
            <w:shd w:val="clear" w:color="auto" w:fill="auto"/>
          </w:tcPr>
          <w:p w14:paraId="2BBE1891" w14:textId="7961CF5E"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309</w:t>
            </w:r>
          </w:p>
        </w:tc>
        <w:tc>
          <w:tcPr>
            <w:tcW w:w="487" w:type="pct"/>
            <w:shd w:val="clear" w:color="auto" w:fill="auto"/>
          </w:tcPr>
          <w:p w14:paraId="36C13E0E" w14:textId="01EAE731" w:rsidR="00856D9B" w:rsidRPr="009C6754" w:rsidRDefault="00856D9B" w:rsidP="00DC3687">
            <w:pPr>
              <w:spacing w:before="0" w:after="0"/>
              <w:ind w:left="57" w:right="57"/>
              <w:jc w:val="right"/>
              <w:rPr>
                <w:sz w:val="16"/>
                <w:szCs w:val="16"/>
                <w:lang w:val="sr-Latn-RS"/>
              </w:rPr>
            </w:pPr>
            <w:r w:rsidRPr="009C6754">
              <w:rPr>
                <w:sz w:val="16"/>
                <w:szCs w:val="16"/>
              </w:rPr>
              <w:t>1</w:t>
            </w:r>
            <w:r>
              <w:rPr>
                <w:sz w:val="16"/>
                <w:szCs w:val="16"/>
              </w:rPr>
              <w:t>.</w:t>
            </w:r>
            <w:r w:rsidRPr="009C6754">
              <w:rPr>
                <w:sz w:val="16"/>
                <w:szCs w:val="16"/>
              </w:rPr>
              <w:t>336</w:t>
            </w:r>
          </w:p>
        </w:tc>
        <w:tc>
          <w:tcPr>
            <w:tcW w:w="548" w:type="pct"/>
            <w:shd w:val="clear" w:color="auto" w:fill="auto"/>
          </w:tcPr>
          <w:p w14:paraId="2E766E96" w14:textId="1A3405A2"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764</w:t>
            </w:r>
          </w:p>
        </w:tc>
        <w:tc>
          <w:tcPr>
            <w:tcW w:w="614" w:type="pct"/>
            <w:shd w:val="clear" w:color="auto" w:fill="auto"/>
          </w:tcPr>
          <w:p w14:paraId="107D3F9F" w14:textId="3DDFE4A6" w:rsidR="00856D9B" w:rsidRPr="009C6754" w:rsidRDefault="00856D9B" w:rsidP="00DC3687">
            <w:pPr>
              <w:spacing w:before="0" w:after="0"/>
              <w:ind w:left="57" w:right="57"/>
              <w:jc w:val="right"/>
              <w:rPr>
                <w:sz w:val="16"/>
                <w:szCs w:val="16"/>
                <w:lang w:val="sr-Latn-RS"/>
              </w:rPr>
            </w:pPr>
            <w:r w:rsidRPr="009C6754">
              <w:rPr>
                <w:sz w:val="16"/>
                <w:szCs w:val="16"/>
              </w:rPr>
              <w:t>2</w:t>
            </w:r>
            <w:r>
              <w:rPr>
                <w:sz w:val="16"/>
                <w:szCs w:val="16"/>
              </w:rPr>
              <w:t>.</w:t>
            </w:r>
            <w:r w:rsidRPr="009C6754">
              <w:rPr>
                <w:sz w:val="16"/>
                <w:szCs w:val="16"/>
              </w:rPr>
              <w:t>337</w:t>
            </w:r>
          </w:p>
        </w:tc>
      </w:tr>
      <w:tr w:rsidR="00856D9B" w:rsidRPr="00AA1711" w14:paraId="43D82673" w14:textId="77777777" w:rsidTr="00856D9B">
        <w:trPr>
          <w:cantSplit/>
        </w:trPr>
        <w:tc>
          <w:tcPr>
            <w:tcW w:w="387" w:type="pct"/>
            <w:vMerge/>
            <w:shd w:val="clear" w:color="auto" w:fill="auto"/>
          </w:tcPr>
          <w:p w14:paraId="4D2A843F" w14:textId="77777777" w:rsidR="00856D9B" w:rsidRPr="00AA1711" w:rsidRDefault="00856D9B" w:rsidP="00DC3687">
            <w:pPr>
              <w:spacing w:before="0" w:after="0"/>
              <w:ind w:left="57" w:right="57"/>
              <w:rPr>
                <w:sz w:val="16"/>
                <w:szCs w:val="16"/>
                <w:lang w:val="sr-Latn-RS"/>
              </w:rPr>
            </w:pPr>
          </w:p>
        </w:tc>
        <w:tc>
          <w:tcPr>
            <w:tcW w:w="668" w:type="pct"/>
            <w:shd w:val="clear" w:color="auto" w:fill="auto"/>
          </w:tcPr>
          <w:p w14:paraId="73204A43" w14:textId="77777777" w:rsidR="00856D9B" w:rsidRPr="00AA1711" w:rsidRDefault="00856D9B" w:rsidP="00DC3687">
            <w:pPr>
              <w:spacing w:before="0" w:after="0"/>
              <w:ind w:left="57" w:right="57"/>
              <w:rPr>
                <w:sz w:val="16"/>
                <w:szCs w:val="16"/>
                <w:lang w:val="sr-Latn-RS"/>
              </w:rPr>
            </w:pPr>
            <w:r w:rsidRPr="00AA1711">
              <w:rPr>
                <w:sz w:val="16"/>
                <w:szCs w:val="16"/>
                <w:lang w:val="sr-Latn-RS"/>
              </w:rPr>
              <w:t>T2</w:t>
            </w:r>
          </w:p>
        </w:tc>
        <w:tc>
          <w:tcPr>
            <w:tcW w:w="403" w:type="pct"/>
            <w:shd w:val="clear" w:color="auto" w:fill="auto"/>
          </w:tcPr>
          <w:p w14:paraId="38CDE354" w14:textId="0D1697E7" w:rsidR="00856D9B" w:rsidRPr="009C6754" w:rsidRDefault="00856D9B" w:rsidP="00DC3687">
            <w:pPr>
              <w:spacing w:before="0" w:after="0"/>
              <w:ind w:left="57" w:right="57"/>
              <w:jc w:val="right"/>
              <w:rPr>
                <w:sz w:val="16"/>
                <w:szCs w:val="16"/>
                <w:lang w:val="sr-Latn-RS"/>
              </w:rPr>
            </w:pPr>
            <w:r w:rsidRPr="009C6754">
              <w:rPr>
                <w:sz w:val="16"/>
                <w:szCs w:val="16"/>
              </w:rPr>
              <w:t>1</w:t>
            </w:r>
            <w:r>
              <w:rPr>
                <w:sz w:val="16"/>
                <w:szCs w:val="16"/>
              </w:rPr>
              <w:t>.</w:t>
            </w:r>
            <w:r w:rsidRPr="009C6754">
              <w:rPr>
                <w:sz w:val="16"/>
                <w:szCs w:val="16"/>
              </w:rPr>
              <w:t>334</w:t>
            </w:r>
          </w:p>
        </w:tc>
        <w:tc>
          <w:tcPr>
            <w:tcW w:w="426" w:type="pct"/>
            <w:shd w:val="clear" w:color="auto" w:fill="auto"/>
          </w:tcPr>
          <w:p w14:paraId="4D96D213" w14:textId="16B2686C"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359</w:t>
            </w:r>
          </w:p>
        </w:tc>
        <w:tc>
          <w:tcPr>
            <w:tcW w:w="619" w:type="pct"/>
            <w:shd w:val="clear" w:color="auto" w:fill="auto"/>
          </w:tcPr>
          <w:p w14:paraId="2E060476" w14:textId="0F780DB9" w:rsidR="00856D9B" w:rsidRPr="009C6754" w:rsidRDefault="00856D9B" w:rsidP="00DC3687">
            <w:pPr>
              <w:spacing w:before="0" w:after="0"/>
              <w:ind w:left="57" w:right="57"/>
              <w:jc w:val="right"/>
              <w:rPr>
                <w:sz w:val="16"/>
                <w:szCs w:val="16"/>
                <w:lang w:val="sr-Latn-RS"/>
              </w:rPr>
            </w:pPr>
            <w:r w:rsidRPr="009C6754">
              <w:rPr>
                <w:sz w:val="16"/>
                <w:szCs w:val="16"/>
              </w:rPr>
              <w:t>13</w:t>
            </w:r>
            <w:r>
              <w:rPr>
                <w:sz w:val="16"/>
                <w:szCs w:val="16"/>
              </w:rPr>
              <w:t>.</w:t>
            </w:r>
            <w:r w:rsidRPr="009C6754">
              <w:rPr>
                <w:sz w:val="16"/>
                <w:szCs w:val="16"/>
              </w:rPr>
              <w:t>791</w:t>
            </w:r>
          </w:p>
        </w:tc>
        <w:tc>
          <w:tcPr>
            <w:tcW w:w="360" w:type="pct"/>
            <w:shd w:val="clear" w:color="auto" w:fill="auto"/>
          </w:tcPr>
          <w:p w14:paraId="37E5E960" w14:textId="77777777" w:rsidR="00856D9B" w:rsidRPr="009C6754" w:rsidRDefault="00856D9B" w:rsidP="00DC3687">
            <w:pPr>
              <w:spacing w:before="0" w:after="0"/>
              <w:ind w:left="57" w:right="57"/>
              <w:jc w:val="right"/>
              <w:rPr>
                <w:sz w:val="16"/>
                <w:szCs w:val="16"/>
                <w:lang w:val="sr-Latn-RS"/>
              </w:rPr>
            </w:pPr>
            <w:r w:rsidRPr="009C6754">
              <w:rPr>
                <w:sz w:val="16"/>
                <w:szCs w:val="16"/>
              </w:rPr>
              <w:t>1</w:t>
            </w:r>
          </w:p>
        </w:tc>
        <w:tc>
          <w:tcPr>
            <w:tcW w:w="488" w:type="pct"/>
            <w:shd w:val="clear" w:color="auto" w:fill="auto"/>
          </w:tcPr>
          <w:p w14:paraId="0A36DECC" w14:textId="4FEAAFA9" w:rsidR="00856D9B" w:rsidRPr="009C6754" w:rsidRDefault="00856D9B" w:rsidP="00DC3687">
            <w:pPr>
              <w:spacing w:before="0" w:after="0"/>
              <w:ind w:left="57" w:right="57"/>
              <w:jc w:val="right"/>
              <w:rPr>
                <w:sz w:val="16"/>
                <w:szCs w:val="16"/>
                <w:lang w:val="sr-Latn-RS"/>
              </w:rPr>
            </w:pPr>
            <w:r w:rsidRPr="009C6754">
              <w:rPr>
                <w:sz w:val="16"/>
                <w:szCs w:val="16"/>
              </w:rPr>
              <w:t>&lt;</w:t>
            </w:r>
            <w:r>
              <w:rPr>
                <w:sz w:val="16"/>
                <w:szCs w:val="16"/>
              </w:rPr>
              <w:t>0.</w:t>
            </w:r>
            <w:r w:rsidRPr="009C6754">
              <w:rPr>
                <w:sz w:val="16"/>
                <w:szCs w:val="16"/>
              </w:rPr>
              <w:t>001</w:t>
            </w:r>
          </w:p>
        </w:tc>
        <w:tc>
          <w:tcPr>
            <w:tcW w:w="487" w:type="pct"/>
            <w:shd w:val="clear" w:color="auto" w:fill="auto"/>
          </w:tcPr>
          <w:p w14:paraId="760DE031" w14:textId="492F776E" w:rsidR="00856D9B" w:rsidRPr="009C6754" w:rsidRDefault="00856D9B" w:rsidP="00DC3687">
            <w:pPr>
              <w:spacing w:before="0" w:after="0"/>
              <w:ind w:left="57" w:right="57"/>
              <w:jc w:val="right"/>
              <w:rPr>
                <w:sz w:val="16"/>
                <w:szCs w:val="16"/>
                <w:lang w:val="sr-Latn-RS"/>
              </w:rPr>
            </w:pPr>
            <w:r w:rsidRPr="009C6754">
              <w:rPr>
                <w:sz w:val="16"/>
                <w:szCs w:val="16"/>
              </w:rPr>
              <w:t>3</w:t>
            </w:r>
            <w:r>
              <w:rPr>
                <w:sz w:val="16"/>
                <w:szCs w:val="16"/>
              </w:rPr>
              <w:t>.</w:t>
            </w:r>
            <w:r w:rsidRPr="009C6754">
              <w:rPr>
                <w:sz w:val="16"/>
                <w:szCs w:val="16"/>
              </w:rPr>
              <w:t>796</w:t>
            </w:r>
          </w:p>
        </w:tc>
        <w:tc>
          <w:tcPr>
            <w:tcW w:w="548" w:type="pct"/>
            <w:shd w:val="clear" w:color="auto" w:fill="auto"/>
          </w:tcPr>
          <w:p w14:paraId="0D5EBED3" w14:textId="56F1ED93" w:rsidR="00856D9B" w:rsidRPr="009C6754" w:rsidRDefault="00856D9B" w:rsidP="00DC3687">
            <w:pPr>
              <w:spacing w:before="0" w:after="0"/>
              <w:ind w:left="57" w:right="57"/>
              <w:jc w:val="right"/>
              <w:rPr>
                <w:sz w:val="16"/>
                <w:szCs w:val="16"/>
                <w:lang w:val="sr-Latn-RS"/>
              </w:rPr>
            </w:pPr>
            <w:r w:rsidRPr="009C6754">
              <w:rPr>
                <w:sz w:val="16"/>
                <w:szCs w:val="16"/>
              </w:rPr>
              <w:t>1</w:t>
            </w:r>
            <w:r>
              <w:rPr>
                <w:sz w:val="16"/>
                <w:szCs w:val="16"/>
              </w:rPr>
              <w:t>.</w:t>
            </w:r>
            <w:r w:rsidRPr="009C6754">
              <w:rPr>
                <w:sz w:val="16"/>
                <w:szCs w:val="16"/>
              </w:rPr>
              <w:t>878</w:t>
            </w:r>
          </w:p>
        </w:tc>
        <w:tc>
          <w:tcPr>
            <w:tcW w:w="614" w:type="pct"/>
            <w:shd w:val="clear" w:color="auto" w:fill="auto"/>
          </w:tcPr>
          <w:p w14:paraId="06CB646C" w14:textId="5F452836" w:rsidR="00856D9B" w:rsidRPr="009C6754" w:rsidRDefault="00856D9B" w:rsidP="00DC3687">
            <w:pPr>
              <w:spacing w:before="0" w:after="0"/>
              <w:ind w:left="57" w:right="57"/>
              <w:jc w:val="right"/>
              <w:rPr>
                <w:sz w:val="16"/>
                <w:szCs w:val="16"/>
                <w:lang w:val="sr-Latn-RS"/>
              </w:rPr>
            </w:pPr>
            <w:r w:rsidRPr="009C6754">
              <w:rPr>
                <w:sz w:val="16"/>
                <w:szCs w:val="16"/>
              </w:rPr>
              <w:t>7</w:t>
            </w:r>
            <w:r>
              <w:rPr>
                <w:sz w:val="16"/>
                <w:szCs w:val="16"/>
              </w:rPr>
              <w:t>.</w:t>
            </w:r>
            <w:r w:rsidRPr="009C6754">
              <w:rPr>
                <w:sz w:val="16"/>
                <w:szCs w:val="16"/>
              </w:rPr>
              <w:t>675</w:t>
            </w:r>
          </w:p>
        </w:tc>
      </w:tr>
      <w:tr w:rsidR="00856D9B" w:rsidRPr="00AA1711" w14:paraId="2D1D8FAE" w14:textId="77777777" w:rsidTr="00856D9B">
        <w:trPr>
          <w:cantSplit/>
        </w:trPr>
        <w:tc>
          <w:tcPr>
            <w:tcW w:w="387" w:type="pct"/>
            <w:vMerge/>
            <w:shd w:val="clear" w:color="auto" w:fill="auto"/>
          </w:tcPr>
          <w:p w14:paraId="5647F1DA" w14:textId="77777777" w:rsidR="00856D9B" w:rsidRPr="00AA1711" w:rsidRDefault="00856D9B" w:rsidP="00DC3687">
            <w:pPr>
              <w:spacing w:before="0" w:after="0"/>
              <w:ind w:left="57" w:right="57"/>
              <w:rPr>
                <w:sz w:val="16"/>
                <w:szCs w:val="16"/>
                <w:lang w:val="sr-Latn-RS"/>
              </w:rPr>
            </w:pPr>
          </w:p>
        </w:tc>
        <w:tc>
          <w:tcPr>
            <w:tcW w:w="668" w:type="pct"/>
            <w:shd w:val="clear" w:color="auto" w:fill="auto"/>
          </w:tcPr>
          <w:p w14:paraId="21161D80" w14:textId="77777777" w:rsidR="00856D9B" w:rsidRPr="00AA1711" w:rsidRDefault="00856D9B" w:rsidP="00DC3687">
            <w:pPr>
              <w:spacing w:before="0" w:after="0"/>
              <w:ind w:left="57" w:right="57"/>
              <w:rPr>
                <w:sz w:val="16"/>
                <w:szCs w:val="16"/>
                <w:lang w:val="sr-Latn-RS"/>
              </w:rPr>
            </w:pPr>
            <w:r w:rsidRPr="00AA1711">
              <w:rPr>
                <w:sz w:val="16"/>
                <w:szCs w:val="16"/>
                <w:lang w:val="sr-Latn-RS"/>
              </w:rPr>
              <w:t>T4</w:t>
            </w:r>
          </w:p>
        </w:tc>
        <w:tc>
          <w:tcPr>
            <w:tcW w:w="403" w:type="pct"/>
            <w:shd w:val="clear" w:color="auto" w:fill="auto"/>
          </w:tcPr>
          <w:p w14:paraId="68768127" w14:textId="43625782" w:rsidR="00856D9B" w:rsidRPr="009C6754" w:rsidRDefault="00856D9B" w:rsidP="00DC3687">
            <w:pPr>
              <w:spacing w:before="0" w:after="0"/>
              <w:ind w:left="57" w:right="57"/>
              <w:jc w:val="right"/>
              <w:rPr>
                <w:sz w:val="16"/>
                <w:szCs w:val="16"/>
                <w:lang w:val="sr-Latn-RS"/>
              </w:rPr>
            </w:pPr>
            <w:r w:rsidRPr="009C6754">
              <w:rPr>
                <w:sz w:val="16"/>
                <w:szCs w:val="16"/>
              </w:rPr>
              <w:t>-1</w:t>
            </w:r>
            <w:r>
              <w:rPr>
                <w:sz w:val="16"/>
                <w:szCs w:val="16"/>
              </w:rPr>
              <w:t>.</w:t>
            </w:r>
            <w:r w:rsidRPr="009C6754">
              <w:rPr>
                <w:sz w:val="16"/>
                <w:szCs w:val="16"/>
              </w:rPr>
              <w:t>085</w:t>
            </w:r>
          </w:p>
        </w:tc>
        <w:tc>
          <w:tcPr>
            <w:tcW w:w="426" w:type="pct"/>
            <w:shd w:val="clear" w:color="auto" w:fill="auto"/>
          </w:tcPr>
          <w:p w14:paraId="2545A437" w14:textId="5C287236"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339</w:t>
            </w:r>
          </w:p>
        </w:tc>
        <w:tc>
          <w:tcPr>
            <w:tcW w:w="619" w:type="pct"/>
            <w:shd w:val="clear" w:color="auto" w:fill="auto"/>
          </w:tcPr>
          <w:p w14:paraId="7BB98CCC" w14:textId="2E3E7667" w:rsidR="00856D9B" w:rsidRPr="009C6754" w:rsidRDefault="00856D9B" w:rsidP="00DC3687">
            <w:pPr>
              <w:spacing w:before="0" w:after="0"/>
              <w:ind w:left="57" w:right="57"/>
              <w:jc w:val="right"/>
              <w:rPr>
                <w:sz w:val="16"/>
                <w:szCs w:val="16"/>
                <w:lang w:val="sr-Latn-RS"/>
              </w:rPr>
            </w:pPr>
            <w:r w:rsidRPr="009C6754">
              <w:rPr>
                <w:sz w:val="16"/>
                <w:szCs w:val="16"/>
              </w:rPr>
              <w:t>10</w:t>
            </w:r>
            <w:r>
              <w:rPr>
                <w:sz w:val="16"/>
                <w:szCs w:val="16"/>
              </w:rPr>
              <w:t>.</w:t>
            </w:r>
            <w:r w:rsidRPr="009C6754">
              <w:rPr>
                <w:sz w:val="16"/>
                <w:szCs w:val="16"/>
              </w:rPr>
              <w:t>225</w:t>
            </w:r>
          </w:p>
        </w:tc>
        <w:tc>
          <w:tcPr>
            <w:tcW w:w="360" w:type="pct"/>
            <w:shd w:val="clear" w:color="auto" w:fill="auto"/>
          </w:tcPr>
          <w:p w14:paraId="185B5E81" w14:textId="77777777" w:rsidR="00856D9B" w:rsidRPr="009C6754" w:rsidRDefault="00856D9B" w:rsidP="00DC3687">
            <w:pPr>
              <w:spacing w:before="0" w:after="0"/>
              <w:ind w:left="57" w:right="57"/>
              <w:jc w:val="right"/>
              <w:rPr>
                <w:sz w:val="16"/>
                <w:szCs w:val="16"/>
                <w:lang w:val="sr-Latn-RS"/>
              </w:rPr>
            </w:pPr>
            <w:r w:rsidRPr="009C6754">
              <w:rPr>
                <w:sz w:val="16"/>
                <w:szCs w:val="16"/>
              </w:rPr>
              <w:t>1</w:t>
            </w:r>
          </w:p>
        </w:tc>
        <w:tc>
          <w:tcPr>
            <w:tcW w:w="488" w:type="pct"/>
            <w:shd w:val="clear" w:color="auto" w:fill="auto"/>
          </w:tcPr>
          <w:p w14:paraId="04454007" w14:textId="55699E4C"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001</w:t>
            </w:r>
          </w:p>
        </w:tc>
        <w:tc>
          <w:tcPr>
            <w:tcW w:w="487" w:type="pct"/>
            <w:shd w:val="clear" w:color="auto" w:fill="auto"/>
          </w:tcPr>
          <w:p w14:paraId="6FB5F2C1" w14:textId="6EF025BA"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338</w:t>
            </w:r>
          </w:p>
        </w:tc>
        <w:tc>
          <w:tcPr>
            <w:tcW w:w="548" w:type="pct"/>
            <w:shd w:val="clear" w:color="auto" w:fill="auto"/>
          </w:tcPr>
          <w:p w14:paraId="322EC861" w14:textId="52985D65"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174</w:t>
            </w:r>
          </w:p>
        </w:tc>
        <w:tc>
          <w:tcPr>
            <w:tcW w:w="614" w:type="pct"/>
            <w:shd w:val="clear" w:color="auto" w:fill="auto"/>
          </w:tcPr>
          <w:p w14:paraId="47CA0B3A" w14:textId="131B2DA2"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657</w:t>
            </w:r>
          </w:p>
        </w:tc>
      </w:tr>
      <w:tr w:rsidR="00856D9B" w:rsidRPr="00AA1711" w14:paraId="16923166" w14:textId="77777777" w:rsidTr="00856D9B">
        <w:trPr>
          <w:cantSplit/>
        </w:trPr>
        <w:tc>
          <w:tcPr>
            <w:tcW w:w="387" w:type="pct"/>
            <w:vMerge/>
            <w:shd w:val="clear" w:color="auto" w:fill="auto"/>
          </w:tcPr>
          <w:p w14:paraId="621DD75B" w14:textId="77777777" w:rsidR="00856D9B" w:rsidRPr="00AA1711" w:rsidRDefault="00856D9B" w:rsidP="00DC3687">
            <w:pPr>
              <w:spacing w:before="0" w:after="0"/>
              <w:ind w:left="57" w:right="57"/>
              <w:rPr>
                <w:sz w:val="16"/>
                <w:szCs w:val="16"/>
                <w:lang w:val="sr-Latn-RS"/>
              </w:rPr>
            </w:pPr>
          </w:p>
        </w:tc>
        <w:tc>
          <w:tcPr>
            <w:tcW w:w="668" w:type="pct"/>
            <w:shd w:val="clear" w:color="auto" w:fill="auto"/>
          </w:tcPr>
          <w:p w14:paraId="2DDBB366" w14:textId="77777777" w:rsidR="00856D9B" w:rsidRPr="00AA1711" w:rsidRDefault="00856D9B" w:rsidP="00DC3687">
            <w:pPr>
              <w:spacing w:before="0" w:after="0"/>
              <w:ind w:left="57" w:right="57"/>
              <w:rPr>
                <w:sz w:val="16"/>
                <w:szCs w:val="16"/>
                <w:lang w:val="sr-Latn-RS"/>
              </w:rPr>
            </w:pPr>
            <w:r w:rsidRPr="00AA1711">
              <w:rPr>
                <w:sz w:val="16"/>
                <w:szCs w:val="16"/>
                <w:lang w:val="sr-Latn-RS"/>
              </w:rPr>
              <w:t>Load_kg_n</w:t>
            </w:r>
          </w:p>
        </w:tc>
        <w:tc>
          <w:tcPr>
            <w:tcW w:w="403" w:type="pct"/>
            <w:shd w:val="clear" w:color="auto" w:fill="auto"/>
          </w:tcPr>
          <w:p w14:paraId="607E14C3" w14:textId="58356472" w:rsidR="00856D9B" w:rsidRPr="009C6754" w:rsidRDefault="00856D9B" w:rsidP="00DC3687">
            <w:pPr>
              <w:spacing w:before="0" w:after="0"/>
              <w:ind w:left="57" w:right="57"/>
              <w:jc w:val="right"/>
              <w:rPr>
                <w:sz w:val="16"/>
                <w:szCs w:val="16"/>
                <w:lang w:val="sr-Latn-RS"/>
              </w:rPr>
            </w:pPr>
            <w:r w:rsidRPr="009C6754">
              <w:rPr>
                <w:sz w:val="16"/>
                <w:szCs w:val="16"/>
              </w:rPr>
              <w:t>-1</w:t>
            </w:r>
            <w:r>
              <w:rPr>
                <w:sz w:val="16"/>
                <w:szCs w:val="16"/>
              </w:rPr>
              <w:t>.</w:t>
            </w:r>
            <w:r w:rsidRPr="009C6754">
              <w:rPr>
                <w:sz w:val="16"/>
                <w:szCs w:val="16"/>
              </w:rPr>
              <w:t>640</w:t>
            </w:r>
          </w:p>
        </w:tc>
        <w:tc>
          <w:tcPr>
            <w:tcW w:w="426" w:type="pct"/>
            <w:shd w:val="clear" w:color="auto" w:fill="auto"/>
          </w:tcPr>
          <w:p w14:paraId="5FEF6C55" w14:textId="16A53D2C"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306</w:t>
            </w:r>
          </w:p>
        </w:tc>
        <w:tc>
          <w:tcPr>
            <w:tcW w:w="619" w:type="pct"/>
            <w:shd w:val="clear" w:color="auto" w:fill="auto"/>
          </w:tcPr>
          <w:p w14:paraId="7F1BDD81" w14:textId="05EC6418" w:rsidR="00856D9B" w:rsidRPr="009C6754" w:rsidRDefault="00856D9B" w:rsidP="00DC3687">
            <w:pPr>
              <w:spacing w:before="0" w:after="0"/>
              <w:ind w:left="57" w:right="57"/>
              <w:jc w:val="right"/>
              <w:rPr>
                <w:sz w:val="16"/>
                <w:szCs w:val="16"/>
                <w:lang w:val="sr-Latn-RS"/>
              </w:rPr>
            </w:pPr>
            <w:r w:rsidRPr="009C6754">
              <w:rPr>
                <w:sz w:val="16"/>
                <w:szCs w:val="16"/>
              </w:rPr>
              <w:t>28</w:t>
            </w:r>
            <w:r>
              <w:rPr>
                <w:sz w:val="16"/>
                <w:szCs w:val="16"/>
              </w:rPr>
              <w:t>.</w:t>
            </w:r>
            <w:r w:rsidRPr="009C6754">
              <w:rPr>
                <w:sz w:val="16"/>
                <w:szCs w:val="16"/>
              </w:rPr>
              <w:t>813</w:t>
            </w:r>
          </w:p>
        </w:tc>
        <w:tc>
          <w:tcPr>
            <w:tcW w:w="360" w:type="pct"/>
            <w:shd w:val="clear" w:color="auto" w:fill="auto"/>
          </w:tcPr>
          <w:p w14:paraId="6B0D9BE4" w14:textId="77777777" w:rsidR="00856D9B" w:rsidRPr="009C6754" w:rsidRDefault="00856D9B" w:rsidP="00DC3687">
            <w:pPr>
              <w:spacing w:before="0" w:after="0"/>
              <w:ind w:left="57" w:right="57"/>
              <w:jc w:val="right"/>
              <w:rPr>
                <w:sz w:val="16"/>
                <w:szCs w:val="16"/>
                <w:lang w:val="sr-Latn-RS"/>
              </w:rPr>
            </w:pPr>
            <w:r w:rsidRPr="009C6754">
              <w:rPr>
                <w:sz w:val="16"/>
                <w:szCs w:val="16"/>
              </w:rPr>
              <w:t>1</w:t>
            </w:r>
          </w:p>
        </w:tc>
        <w:tc>
          <w:tcPr>
            <w:tcW w:w="488" w:type="pct"/>
            <w:shd w:val="clear" w:color="auto" w:fill="auto"/>
          </w:tcPr>
          <w:p w14:paraId="042267C0" w14:textId="66C602E3" w:rsidR="00856D9B" w:rsidRPr="009C6754" w:rsidRDefault="00856D9B" w:rsidP="00DC3687">
            <w:pPr>
              <w:spacing w:before="0" w:after="0"/>
              <w:ind w:left="57" w:right="57"/>
              <w:jc w:val="right"/>
              <w:rPr>
                <w:sz w:val="16"/>
                <w:szCs w:val="16"/>
                <w:lang w:val="sr-Latn-RS"/>
              </w:rPr>
            </w:pPr>
            <w:r w:rsidRPr="009C6754">
              <w:rPr>
                <w:sz w:val="16"/>
                <w:szCs w:val="16"/>
              </w:rPr>
              <w:t>&lt;</w:t>
            </w:r>
            <w:r>
              <w:rPr>
                <w:sz w:val="16"/>
                <w:szCs w:val="16"/>
              </w:rPr>
              <w:t>0.</w:t>
            </w:r>
            <w:r w:rsidRPr="009C6754">
              <w:rPr>
                <w:sz w:val="16"/>
                <w:szCs w:val="16"/>
              </w:rPr>
              <w:t>001</w:t>
            </w:r>
          </w:p>
        </w:tc>
        <w:tc>
          <w:tcPr>
            <w:tcW w:w="487" w:type="pct"/>
            <w:shd w:val="clear" w:color="auto" w:fill="auto"/>
          </w:tcPr>
          <w:p w14:paraId="36F2F636" w14:textId="0DE4545F"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194</w:t>
            </w:r>
          </w:p>
        </w:tc>
        <w:tc>
          <w:tcPr>
            <w:tcW w:w="548" w:type="pct"/>
            <w:shd w:val="clear" w:color="auto" w:fill="auto"/>
          </w:tcPr>
          <w:p w14:paraId="21DC37B5" w14:textId="7F17E425"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107</w:t>
            </w:r>
          </w:p>
        </w:tc>
        <w:tc>
          <w:tcPr>
            <w:tcW w:w="614" w:type="pct"/>
            <w:shd w:val="clear" w:color="auto" w:fill="auto"/>
          </w:tcPr>
          <w:p w14:paraId="1851D62D" w14:textId="2C74ACF0"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353</w:t>
            </w:r>
          </w:p>
        </w:tc>
      </w:tr>
      <w:tr w:rsidR="00856D9B" w:rsidRPr="00AA1711" w14:paraId="466C7ABF" w14:textId="77777777" w:rsidTr="00856D9B">
        <w:trPr>
          <w:cantSplit/>
        </w:trPr>
        <w:tc>
          <w:tcPr>
            <w:tcW w:w="387" w:type="pct"/>
            <w:vMerge/>
            <w:shd w:val="clear" w:color="auto" w:fill="auto"/>
          </w:tcPr>
          <w:p w14:paraId="017DE09D" w14:textId="77777777" w:rsidR="00856D9B" w:rsidRPr="00AA1711" w:rsidRDefault="00856D9B" w:rsidP="00DC3687">
            <w:pPr>
              <w:spacing w:before="0" w:after="0"/>
              <w:ind w:left="57" w:right="57"/>
              <w:rPr>
                <w:sz w:val="16"/>
                <w:szCs w:val="16"/>
                <w:lang w:val="sr-Latn-RS"/>
              </w:rPr>
            </w:pPr>
          </w:p>
        </w:tc>
        <w:tc>
          <w:tcPr>
            <w:tcW w:w="668" w:type="pct"/>
            <w:shd w:val="clear" w:color="auto" w:fill="auto"/>
          </w:tcPr>
          <w:p w14:paraId="551E903F" w14:textId="77777777" w:rsidR="00856D9B" w:rsidRPr="00AA1711" w:rsidRDefault="00856D9B" w:rsidP="00DC3687">
            <w:pPr>
              <w:spacing w:before="0" w:after="0"/>
              <w:ind w:left="57" w:right="57"/>
              <w:rPr>
                <w:sz w:val="16"/>
                <w:szCs w:val="16"/>
                <w:lang w:val="sr-Latn-RS"/>
              </w:rPr>
            </w:pPr>
            <w:r w:rsidRPr="00AA1711">
              <w:rPr>
                <w:sz w:val="16"/>
                <w:szCs w:val="16"/>
                <w:lang w:val="sr-Latn-RS"/>
              </w:rPr>
              <w:t>N_Stdev_OS</w:t>
            </w:r>
          </w:p>
        </w:tc>
        <w:tc>
          <w:tcPr>
            <w:tcW w:w="403" w:type="pct"/>
            <w:shd w:val="clear" w:color="auto" w:fill="auto"/>
          </w:tcPr>
          <w:p w14:paraId="109096FC" w14:textId="128313DC" w:rsidR="00856D9B" w:rsidRPr="009C6754" w:rsidRDefault="00856D9B" w:rsidP="00DC3687">
            <w:pPr>
              <w:spacing w:before="0" w:after="0"/>
              <w:ind w:left="57" w:right="57"/>
              <w:jc w:val="right"/>
              <w:rPr>
                <w:sz w:val="16"/>
                <w:szCs w:val="16"/>
                <w:lang w:val="sr-Latn-RS"/>
              </w:rPr>
            </w:pPr>
            <w:r w:rsidRPr="009C6754">
              <w:rPr>
                <w:sz w:val="16"/>
                <w:szCs w:val="16"/>
              </w:rPr>
              <w:t>-14</w:t>
            </w:r>
            <w:r>
              <w:rPr>
                <w:sz w:val="16"/>
                <w:szCs w:val="16"/>
              </w:rPr>
              <w:t>.</w:t>
            </w:r>
            <w:r w:rsidRPr="009C6754">
              <w:rPr>
                <w:sz w:val="16"/>
                <w:szCs w:val="16"/>
              </w:rPr>
              <w:t>079</w:t>
            </w:r>
          </w:p>
        </w:tc>
        <w:tc>
          <w:tcPr>
            <w:tcW w:w="426" w:type="pct"/>
            <w:shd w:val="clear" w:color="auto" w:fill="auto"/>
          </w:tcPr>
          <w:p w14:paraId="15FCF52D" w14:textId="3E031959" w:rsidR="00856D9B" w:rsidRPr="009C6754" w:rsidRDefault="00856D9B" w:rsidP="00DC3687">
            <w:pPr>
              <w:spacing w:before="0" w:after="0"/>
              <w:ind w:left="57" w:right="57"/>
              <w:jc w:val="right"/>
              <w:rPr>
                <w:sz w:val="16"/>
                <w:szCs w:val="16"/>
                <w:lang w:val="sr-Latn-RS"/>
              </w:rPr>
            </w:pPr>
            <w:r w:rsidRPr="009C6754">
              <w:rPr>
                <w:sz w:val="16"/>
                <w:szCs w:val="16"/>
              </w:rPr>
              <w:t>1</w:t>
            </w:r>
            <w:r>
              <w:rPr>
                <w:sz w:val="16"/>
                <w:szCs w:val="16"/>
              </w:rPr>
              <w:t>.</w:t>
            </w:r>
            <w:r w:rsidRPr="009C6754">
              <w:rPr>
                <w:sz w:val="16"/>
                <w:szCs w:val="16"/>
              </w:rPr>
              <w:t>700</w:t>
            </w:r>
          </w:p>
        </w:tc>
        <w:tc>
          <w:tcPr>
            <w:tcW w:w="619" w:type="pct"/>
            <w:shd w:val="clear" w:color="auto" w:fill="auto"/>
          </w:tcPr>
          <w:p w14:paraId="24567898" w14:textId="74EE596F" w:rsidR="00856D9B" w:rsidRPr="009C6754" w:rsidRDefault="00856D9B" w:rsidP="00DC3687">
            <w:pPr>
              <w:spacing w:before="0" w:after="0"/>
              <w:ind w:left="57" w:right="57"/>
              <w:jc w:val="right"/>
              <w:rPr>
                <w:sz w:val="16"/>
                <w:szCs w:val="16"/>
                <w:lang w:val="sr-Latn-RS"/>
              </w:rPr>
            </w:pPr>
            <w:r w:rsidRPr="009C6754">
              <w:rPr>
                <w:sz w:val="16"/>
                <w:szCs w:val="16"/>
              </w:rPr>
              <w:t>68</w:t>
            </w:r>
            <w:r>
              <w:rPr>
                <w:sz w:val="16"/>
                <w:szCs w:val="16"/>
              </w:rPr>
              <w:t>.</w:t>
            </w:r>
            <w:r w:rsidRPr="009C6754">
              <w:rPr>
                <w:sz w:val="16"/>
                <w:szCs w:val="16"/>
              </w:rPr>
              <w:t>552</w:t>
            </w:r>
          </w:p>
        </w:tc>
        <w:tc>
          <w:tcPr>
            <w:tcW w:w="360" w:type="pct"/>
            <w:shd w:val="clear" w:color="auto" w:fill="auto"/>
          </w:tcPr>
          <w:p w14:paraId="245D305E" w14:textId="77777777" w:rsidR="00856D9B" w:rsidRPr="009C6754" w:rsidRDefault="00856D9B" w:rsidP="00DC3687">
            <w:pPr>
              <w:spacing w:before="0" w:after="0"/>
              <w:ind w:left="57" w:right="57"/>
              <w:jc w:val="right"/>
              <w:rPr>
                <w:sz w:val="16"/>
                <w:szCs w:val="16"/>
                <w:lang w:val="sr-Latn-RS"/>
              </w:rPr>
            </w:pPr>
            <w:r w:rsidRPr="009C6754">
              <w:rPr>
                <w:sz w:val="16"/>
                <w:szCs w:val="16"/>
              </w:rPr>
              <w:t>1</w:t>
            </w:r>
          </w:p>
        </w:tc>
        <w:tc>
          <w:tcPr>
            <w:tcW w:w="488" w:type="pct"/>
            <w:shd w:val="clear" w:color="auto" w:fill="auto"/>
          </w:tcPr>
          <w:p w14:paraId="26155520" w14:textId="77D2A30C" w:rsidR="00856D9B" w:rsidRPr="009C6754" w:rsidRDefault="00856D9B" w:rsidP="00DC3687">
            <w:pPr>
              <w:spacing w:before="0" w:after="0"/>
              <w:ind w:left="57" w:right="57"/>
              <w:jc w:val="right"/>
              <w:rPr>
                <w:sz w:val="16"/>
                <w:szCs w:val="16"/>
                <w:lang w:val="sr-Latn-RS"/>
              </w:rPr>
            </w:pPr>
            <w:r w:rsidRPr="009C6754">
              <w:rPr>
                <w:sz w:val="16"/>
                <w:szCs w:val="16"/>
              </w:rPr>
              <w:t>&lt;</w:t>
            </w:r>
            <w:r>
              <w:rPr>
                <w:sz w:val="16"/>
                <w:szCs w:val="16"/>
              </w:rPr>
              <w:t>0.</w:t>
            </w:r>
            <w:r w:rsidRPr="009C6754">
              <w:rPr>
                <w:sz w:val="16"/>
                <w:szCs w:val="16"/>
              </w:rPr>
              <w:t>001</w:t>
            </w:r>
          </w:p>
        </w:tc>
        <w:tc>
          <w:tcPr>
            <w:tcW w:w="487" w:type="pct"/>
            <w:shd w:val="clear" w:color="auto" w:fill="auto"/>
          </w:tcPr>
          <w:p w14:paraId="1B6F7156" w14:textId="0B858779"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000</w:t>
            </w:r>
          </w:p>
        </w:tc>
        <w:tc>
          <w:tcPr>
            <w:tcW w:w="548" w:type="pct"/>
            <w:shd w:val="clear" w:color="auto" w:fill="auto"/>
          </w:tcPr>
          <w:p w14:paraId="1D5BB960" w14:textId="4CD76A5A"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000</w:t>
            </w:r>
          </w:p>
        </w:tc>
        <w:tc>
          <w:tcPr>
            <w:tcW w:w="614" w:type="pct"/>
            <w:shd w:val="clear" w:color="auto" w:fill="auto"/>
          </w:tcPr>
          <w:p w14:paraId="62E35623" w14:textId="1C1BE22F"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000</w:t>
            </w:r>
          </w:p>
        </w:tc>
      </w:tr>
      <w:tr w:rsidR="00856D9B" w:rsidRPr="00AA1711" w14:paraId="6AEC2C1D" w14:textId="77777777" w:rsidTr="00856D9B">
        <w:trPr>
          <w:cantSplit/>
        </w:trPr>
        <w:tc>
          <w:tcPr>
            <w:tcW w:w="387" w:type="pct"/>
            <w:vMerge/>
            <w:shd w:val="clear" w:color="auto" w:fill="auto"/>
          </w:tcPr>
          <w:p w14:paraId="4AADB8CB" w14:textId="77777777" w:rsidR="00856D9B" w:rsidRPr="00AA1711" w:rsidRDefault="00856D9B" w:rsidP="00DC3687">
            <w:pPr>
              <w:spacing w:before="0" w:after="0"/>
              <w:ind w:left="57" w:right="57"/>
              <w:rPr>
                <w:sz w:val="16"/>
                <w:szCs w:val="16"/>
                <w:lang w:val="sr-Latn-RS"/>
              </w:rPr>
            </w:pPr>
          </w:p>
        </w:tc>
        <w:tc>
          <w:tcPr>
            <w:tcW w:w="668" w:type="pct"/>
            <w:shd w:val="clear" w:color="auto" w:fill="auto"/>
          </w:tcPr>
          <w:p w14:paraId="0597218F" w14:textId="77777777" w:rsidR="00856D9B" w:rsidRPr="00AA1711" w:rsidRDefault="00856D9B" w:rsidP="00DC3687">
            <w:pPr>
              <w:spacing w:before="0" w:after="0"/>
              <w:ind w:left="57" w:right="57"/>
              <w:rPr>
                <w:sz w:val="16"/>
                <w:szCs w:val="16"/>
                <w:lang w:val="sr-Latn-RS"/>
              </w:rPr>
            </w:pPr>
            <w:r w:rsidRPr="00AA1711">
              <w:rPr>
                <w:sz w:val="16"/>
                <w:szCs w:val="16"/>
                <w:lang w:val="sr-Latn-RS"/>
              </w:rPr>
              <w:t>N_Median_OS</w:t>
            </w:r>
          </w:p>
        </w:tc>
        <w:tc>
          <w:tcPr>
            <w:tcW w:w="403" w:type="pct"/>
            <w:shd w:val="clear" w:color="auto" w:fill="auto"/>
          </w:tcPr>
          <w:p w14:paraId="11EF2E50" w14:textId="740BCFEB" w:rsidR="00856D9B" w:rsidRPr="009C6754" w:rsidRDefault="00856D9B" w:rsidP="00DC3687">
            <w:pPr>
              <w:spacing w:before="0" w:after="0"/>
              <w:ind w:left="57" w:right="57"/>
              <w:jc w:val="right"/>
              <w:rPr>
                <w:sz w:val="16"/>
                <w:szCs w:val="16"/>
                <w:lang w:val="sr-Latn-RS"/>
              </w:rPr>
            </w:pPr>
            <w:r w:rsidRPr="009C6754">
              <w:rPr>
                <w:sz w:val="16"/>
                <w:szCs w:val="16"/>
              </w:rPr>
              <w:t>-2</w:t>
            </w:r>
            <w:r>
              <w:rPr>
                <w:sz w:val="16"/>
                <w:szCs w:val="16"/>
              </w:rPr>
              <w:t>.</w:t>
            </w:r>
            <w:r w:rsidRPr="009C6754">
              <w:rPr>
                <w:sz w:val="16"/>
                <w:szCs w:val="16"/>
              </w:rPr>
              <w:t>177</w:t>
            </w:r>
          </w:p>
        </w:tc>
        <w:tc>
          <w:tcPr>
            <w:tcW w:w="426" w:type="pct"/>
            <w:shd w:val="clear" w:color="auto" w:fill="auto"/>
          </w:tcPr>
          <w:p w14:paraId="1FD071DB" w14:textId="395BED23"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388</w:t>
            </w:r>
          </w:p>
        </w:tc>
        <w:tc>
          <w:tcPr>
            <w:tcW w:w="619" w:type="pct"/>
            <w:shd w:val="clear" w:color="auto" w:fill="auto"/>
          </w:tcPr>
          <w:p w14:paraId="1AAC9A47" w14:textId="3E163E16" w:rsidR="00856D9B" w:rsidRPr="009C6754" w:rsidRDefault="00856D9B" w:rsidP="00DC3687">
            <w:pPr>
              <w:spacing w:before="0" w:after="0"/>
              <w:ind w:left="57" w:right="57"/>
              <w:jc w:val="right"/>
              <w:rPr>
                <w:sz w:val="16"/>
                <w:szCs w:val="16"/>
                <w:lang w:val="sr-Latn-RS"/>
              </w:rPr>
            </w:pPr>
            <w:r w:rsidRPr="009C6754">
              <w:rPr>
                <w:sz w:val="16"/>
                <w:szCs w:val="16"/>
              </w:rPr>
              <w:t>31</w:t>
            </w:r>
            <w:r>
              <w:rPr>
                <w:sz w:val="16"/>
                <w:szCs w:val="16"/>
              </w:rPr>
              <w:t>.</w:t>
            </w:r>
            <w:r w:rsidRPr="009C6754">
              <w:rPr>
                <w:sz w:val="16"/>
                <w:szCs w:val="16"/>
              </w:rPr>
              <w:t>495</w:t>
            </w:r>
          </w:p>
        </w:tc>
        <w:tc>
          <w:tcPr>
            <w:tcW w:w="360" w:type="pct"/>
            <w:shd w:val="clear" w:color="auto" w:fill="auto"/>
          </w:tcPr>
          <w:p w14:paraId="6AA766B7" w14:textId="77777777" w:rsidR="00856D9B" w:rsidRPr="009C6754" w:rsidRDefault="00856D9B" w:rsidP="00DC3687">
            <w:pPr>
              <w:spacing w:before="0" w:after="0"/>
              <w:ind w:left="57" w:right="57"/>
              <w:jc w:val="right"/>
              <w:rPr>
                <w:sz w:val="16"/>
                <w:szCs w:val="16"/>
                <w:lang w:val="sr-Latn-RS"/>
              </w:rPr>
            </w:pPr>
            <w:r w:rsidRPr="009C6754">
              <w:rPr>
                <w:sz w:val="16"/>
                <w:szCs w:val="16"/>
              </w:rPr>
              <w:t>1</w:t>
            </w:r>
          </w:p>
        </w:tc>
        <w:tc>
          <w:tcPr>
            <w:tcW w:w="488" w:type="pct"/>
            <w:shd w:val="clear" w:color="auto" w:fill="auto"/>
          </w:tcPr>
          <w:p w14:paraId="331C5AEA" w14:textId="1ED54C08" w:rsidR="00856D9B" w:rsidRPr="009C6754" w:rsidRDefault="00856D9B" w:rsidP="00DC3687">
            <w:pPr>
              <w:spacing w:before="0" w:after="0"/>
              <w:ind w:left="57" w:right="57"/>
              <w:jc w:val="right"/>
              <w:rPr>
                <w:sz w:val="16"/>
                <w:szCs w:val="16"/>
                <w:lang w:val="sr-Latn-RS"/>
              </w:rPr>
            </w:pPr>
            <w:r w:rsidRPr="009C6754">
              <w:rPr>
                <w:sz w:val="16"/>
                <w:szCs w:val="16"/>
              </w:rPr>
              <w:t>&lt;</w:t>
            </w:r>
            <w:r>
              <w:rPr>
                <w:sz w:val="16"/>
                <w:szCs w:val="16"/>
              </w:rPr>
              <w:t>0.</w:t>
            </w:r>
            <w:r w:rsidRPr="009C6754">
              <w:rPr>
                <w:sz w:val="16"/>
                <w:szCs w:val="16"/>
              </w:rPr>
              <w:t>001</w:t>
            </w:r>
          </w:p>
        </w:tc>
        <w:tc>
          <w:tcPr>
            <w:tcW w:w="487" w:type="pct"/>
            <w:shd w:val="clear" w:color="auto" w:fill="auto"/>
          </w:tcPr>
          <w:p w14:paraId="61D89414" w14:textId="1CAAE0F6"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113</w:t>
            </w:r>
          </w:p>
        </w:tc>
        <w:tc>
          <w:tcPr>
            <w:tcW w:w="548" w:type="pct"/>
            <w:shd w:val="clear" w:color="auto" w:fill="auto"/>
          </w:tcPr>
          <w:p w14:paraId="4CB5B1A2" w14:textId="4500DAD1"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053</w:t>
            </w:r>
          </w:p>
        </w:tc>
        <w:tc>
          <w:tcPr>
            <w:tcW w:w="614" w:type="pct"/>
            <w:shd w:val="clear" w:color="auto" w:fill="auto"/>
          </w:tcPr>
          <w:p w14:paraId="716C830B" w14:textId="14B26D68"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243</w:t>
            </w:r>
          </w:p>
        </w:tc>
      </w:tr>
      <w:tr w:rsidR="00856D9B" w:rsidRPr="00AA1711" w14:paraId="33986503" w14:textId="77777777" w:rsidTr="00856D9B">
        <w:trPr>
          <w:cantSplit/>
        </w:trPr>
        <w:tc>
          <w:tcPr>
            <w:tcW w:w="387" w:type="pct"/>
            <w:vMerge/>
            <w:shd w:val="clear" w:color="auto" w:fill="auto"/>
          </w:tcPr>
          <w:p w14:paraId="01653CC4" w14:textId="77777777" w:rsidR="00856D9B" w:rsidRPr="00AA1711" w:rsidRDefault="00856D9B" w:rsidP="00DC3687">
            <w:pPr>
              <w:spacing w:before="0" w:after="0"/>
              <w:ind w:left="57" w:right="57"/>
              <w:rPr>
                <w:sz w:val="16"/>
                <w:szCs w:val="16"/>
                <w:lang w:val="sr-Latn-RS"/>
              </w:rPr>
            </w:pPr>
          </w:p>
        </w:tc>
        <w:tc>
          <w:tcPr>
            <w:tcW w:w="668" w:type="pct"/>
            <w:shd w:val="clear" w:color="auto" w:fill="auto"/>
          </w:tcPr>
          <w:p w14:paraId="23D8D1CB" w14:textId="77777777" w:rsidR="00856D9B" w:rsidRPr="00AA1711" w:rsidRDefault="00856D9B" w:rsidP="00DC3687">
            <w:pPr>
              <w:spacing w:before="0" w:after="0"/>
              <w:ind w:left="57" w:right="57"/>
              <w:rPr>
                <w:sz w:val="16"/>
                <w:szCs w:val="16"/>
                <w:lang w:val="sr-Latn-RS"/>
              </w:rPr>
            </w:pPr>
            <w:r w:rsidRPr="00AA1711">
              <w:rPr>
                <w:sz w:val="16"/>
                <w:szCs w:val="16"/>
                <w:lang w:val="sr-Latn-RS"/>
              </w:rPr>
              <w:t>N_Min_OS</w:t>
            </w:r>
          </w:p>
        </w:tc>
        <w:tc>
          <w:tcPr>
            <w:tcW w:w="403" w:type="pct"/>
            <w:shd w:val="clear" w:color="auto" w:fill="auto"/>
          </w:tcPr>
          <w:p w14:paraId="4FF52121" w14:textId="5845B157" w:rsidR="00856D9B" w:rsidRPr="009C6754" w:rsidRDefault="00856D9B" w:rsidP="00DC3687">
            <w:pPr>
              <w:spacing w:before="0" w:after="0"/>
              <w:ind w:left="57" w:right="57"/>
              <w:jc w:val="right"/>
              <w:rPr>
                <w:sz w:val="16"/>
                <w:szCs w:val="16"/>
                <w:lang w:val="sr-Latn-RS"/>
              </w:rPr>
            </w:pPr>
            <w:r w:rsidRPr="009C6754">
              <w:rPr>
                <w:sz w:val="16"/>
                <w:szCs w:val="16"/>
              </w:rPr>
              <w:t>-9</w:t>
            </w:r>
            <w:r>
              <w:rPr>
                <w:sz w:val="16"/>
                <w:szCs w:val="16"/>
              </w:rPr>
              <w:t>.</w:t>
            </w:r>
            <w:r w:rsidRPr="009C6754">
              <w:rPr>
                <w:sz w:val="16"/>
                <w:szCs w:val="16"/>
              </w:rPr>
              <w:t>703</w:t>
            </w:r>
          </w:p>
        </w:tc>
        <w:tc>
          <w:tcPr>
            <w:tcW w:w="426" w:type="pct"/>
            <w:shd w:val="clear" w:color="auto" w:fill="auto"/>
          </w:tcPr>
          <w:p w14:paraId="0A04BFCD" w14:textId="1D824CBE" w:rsidR="00856D9B" w:rsidRPr="009C6754" w:rsidRDefault="00856D9B" w:rsidP="00DC3687">
            <w:pPr>
              <w:spacing w:before="0" w:after="0"/>
              <w:ind w:left="57" w:right="57"/>
              <w:jc w:val="right"/>
              <w:rPr>
                <w:sz w:val="16"/>
                <w:szCs w:val="16"/>
                <w:lang w:val="sr-Latn-RS"/>
              </w:rPr>
            </w:pPr>
            <w:r w:rsidRPr="009C6754">
              <w:rPr>
                <w:sz w:val="16"/>
                <w:szCs w:val="16"/>
              </w:rPr>
              <w:t>1</w:t>
            </w:r>
            <w:r>
              <w:rPr>
                <w:sz w:val="16"/>
                <w:szCs w:val="16"/>
              </w:rPr>
              <w:t>.</w:t>
            </w:r>
            <w:r w:rsidRPr="009C6754">
              <w:rPr>
                <w:sz w:val="16"/>
                <w:szCs w:val="16"/>
              </w:rPr>
              <w:t>184</w:t>
            </w:r>
          </w:p>
        </w:tc>
        <w:tc>
          <w:tcPr>
            <w:tcW w:w="619" w:type="pct"/>
            <w:shd w:val="clear" w:color="auto" w:fill="auto"/>
          </w:tcPr>
          <w:p w14:paraId="733EDE4E" w14:textId="294B4E0D" w:rsidR="00856D9B" w:rsidRPr="009C6754" w:rsidRDefault="00856D9B" w:rsidP="00DC3687">
            <w:pPr>
              <w:spacing w:before="0" w:after="0"/>
              <w:ind w:left="57" w:right="57"/>
              <w:jc w:val="right"/>
              <w:rPr>
                <w:sz w:val="16"/>
                <w:szCs w:val="16"/>
                <w:lang w:val="sr-Latn-RS"/>
              </w:rPr>
            </w:pPr>
            <w:r w:rsidRPr="009C6754">
              <w:rPr>
                <w:sz w:val="16"/>
                <w:szCs w:val="16"/>
              </w:rPr>
              <w:t>67</w:t>
            </w:r>
            <w:r>
              <w:rPr>
                <w:sz w:val="16"/>
                <w:szCs w:val="16"/>
              </w:rPr>
              <w:t>.</w:t>
            </w:r>
            <w:r w:rsidRPr="009C6754">
              <w:rPr>
                <w:sz w:val="16"/>
                <w:szCs w:val="16"/>
              </w:rPr>
              <w:t>152</w:t>
            </w:r>
          </w:p>
        </w:tc>
        <w:tc>
          <w:tcPr>
            <w:tcW w:w="360" w:type="pct"/>
            <w:shd w:val="clear" w:color="auto" w:fill="auto"/>
          </w:tcPr>
          <w:p w14:paraId="4DE35770" w14:textId="77777777" w:rsidR="00856D9B" w:rsidRPr="009C6754" w:rsidRDefault="00856D9B" w:rsidP="00DC3687">
            <w:pPr>
              <w:spacing w:before="0" w:after="0"/>
              <w:ind w:left="57" w:right="57"/>
              <w:jc w:val="right"/>
              <w:rPr>
                <w:sz w:val="16"/>
                <w:szCs w:val="16"/>
                <w:lang w:val="sr-Latn-RS"/>
              </w:rPr>
            </w:pPr>
            <w:r w:rsidRPr="009C6754">
              <w:rPr>
                <w:sz w:val="16"/>
                <w:szCs w:val="16"/>
              </w:rPr>
              <w:t>1</w:t>
            </w:r>
          </w:p>
        </w:tc>
        <w:tc>
          <w:tcPr>
            <w:tcW w:w="488" w:type="pct"/>
            <w:shd w:val="clear" w:color="auto" w:fill="auto"/>
          </w:tcPr>
          <w:p w14:paraId="259E3C54" w14:textId="71E2A4B3" w:rsidR="00856D9B" w:rsidRPr="009C6754" w:rsidRDefault="00856D9B" w:rsidP="00DC3687">
            <w:pPr>
              <w:spacing w:before="0" w:after="0"/>
              <w:ind w:left="57" w:right="57"/>
              <w:jc w:val="right"/>
              <w:rPr>
                <w:sz w:val="16"/>
                <w:szCs w:val="16"/>
                <w:lang w:val="sr-Latn-RS"/>
              </w:rPr>
            </w:pPr>
            <w:r w:rsidRPr="009C6754">
              <w:rPr>
                <w:sz w:val="16"/>
                <w:szCs w:val="16"/>
              </w:rPr>
              <w:t>&lt;</w:t>
            </w:r>
            <w:r>
              <w:rPr>
                <w:sz w:val="16"/>
                <w:szCs w:val="16"/>
              </w:rPr>
              <w:t>0.</w:t>
            </w:r>
            <w:r w:rsidRPr="009C6754">
              <w:rPr>
                <w:sz w:val="16"/>
                <w:szCs w:val="16"/>
              </w:rPr>
              <w:t>001</w:t>
            </w:r>
          </w:p>
        </w:tc>
        <w:tc>
          <w:tcPr>
            <w:tcW w:w="487" w:type="pct"/>
            <w:shd w:val="clear" w:color="auto" w:fill="auto"/>
          </w:tcPr>
          <w:p w14:paraId="427D37C9" w14:textId="6284F317"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000</w:t>
            </w:r>
          </w:p>
        </w:tc>
        <w:tc>
          <w:tcPr>
            <w:tcW w:w="548" w:type="pct"/>
            <w:shd w:val="clear" w:color="auto" w:fill="auto"/>
          </w:tcPr>
          <w:p w14:paraId="58D1E89E" w14:textId="7B2491F8"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000</w:t>
            </w:r>
          </w:p>
        </w:tc>
        <w:tc>
          <w:tcPr>
            <w:tcW w:w="614" w:type="pct"/>
            <w:shd w:val="clear" w:color="auto" w:fill="auto"/>
          </w:tcPr>
          <w:p w14:paraId="07D5E3FF" w14:textId="74C0EFC6"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001</w:t>
            </w:r>
          </w:p>
        </w:tc>
      </w:tr>
      <w:tr w:rsidR="00856D9B" w:rsidRPr="00AA1711" w14:paraId="472F7DB5" w14:textId="77777777" w:rsidTr="00856D9B">
        <w:trPr>
          <w:cantSplit/>
        </w:trPr>
        <w:tc>
          <w:tcPr>
            <w:tcW w:w="387" w:type="pct"/>
            <w:vMerge/>
            <w:shd w:val="clear" w:color="auto" w:fill="auto"/>
          </w:tcPr>
          <w:p w14:paraId="7867E07B" w14:textId="77777777" w:rsidR="00856D9B" w:rsidRPr="00AA1711" w:rsidRDefault="00856D9B" w:rsidP="00DC3687">
            <w:pPr>
              <w:spacing w:before="0" w:after="0"/>
              <w:ind w:left="57" w:right="57"/>
              <w:rPr>
                <w:sz w:val="16"/>
                <w:szCs w:val="16"/>
                <w:lang w:val="sr-Latn-RS"/>
              </w:rPr>
            </w:pPr>
          </w:p>
        </w:tc>
        <w:tc>
          <w:tcPr>
            <w:tcW w:w="668" w:type="pct"/>
            <w:shd w:val="clear" w:color="auto" w:fill="auto"/>
          </w:tcPr>
          <w:p w14:paraId="441BB7F5" w14:textId="77777777" w:rsidR="00856D9B" w:rsidRPr="00AA1711" w:rsidRDefault="00856D9B" w:rsidP="00DC3687">
            <w:pPr>
              <w:spacing w:before="0" w:after="0"/>
              <w:ind w:left="57" w:right="57"/>
              <w:rPr>
                <w:sz w:val="16"/>
                <w:szCs w:val="16"/>
                <w:lang w:val="sr-Latn-RS"/>
              </w:rPr>
            </w:pPr>
            <w:r w:rsidRPr="00AA1711">
              <w:rPr>
                <w:sz w:val="16"/>
                <w:szCs w:val="16"/>
                <w:lang w:val="sr-Latn-RS"/>
              </w:rPr>
              <w:t>N_Max_OS</w:t>
            </w:r>
          </w:p>
        </w:tc>
        <w:tc>
          <w:tcPr>
            <w:tcW w:w="403" w:type="pct"/>
            <w:shd w:val="clear" w:color="auto" w:fill="auto"/>
          </w:tcPr>
          <w:p w14:paraId="766D13C8" w14:textId="18CE0C80" w:rsidR="00856D9B" w:rsidRPr="009C6754" w:rsidRDefault="00856D9B" w:rsidP="00DC3687">
            <w:pPr>
              <w:spacing w:before="0" w:after="0"/>
              <w:ind w:left="57" w:right="57"/>
              <w:jc w:val="right"/>
              <w:rPr>
                <w:sz w:val="16"/>
                <w:szCs w:val="16"/>
                <w:lang w:val="sr-Latn-RS"/>
              </w:rPr>
            </w:pPr>
            <w:r w:rsidRPr="009C6754">
              <w:rPr>
                <w:sz w:val="16"/>
                <w:szCs w:val="16"/>
              </w:rPr>
              <w:t>-</w:t>
            </w:r>
            <w:r>
              <w:rPr>
                <w:sz w:val="16"/>
                <w:szCs w:val="16"/>
              </w:rPr>
              <w:t>0.</w:t>
            </w:r>
            <w:r w:rsidRPr="009C6754">
              <w:rPr>
                <w:sz w:val="16"/>
                <w:szCs w:val="16"/>
              </w:rPr>
              <w:t>276</w:t>
            </w:r>
          </w:p>
        </w:tc>
        <w:tc>
          <w:tcPr>
            <w:tcW w:w="426" w:type="pct"/>
            <w:shd w:val="clear" w:color="auto" w:fill="auto"/>
          </w:tcPr>
          <w:p w14:paraId="519CE16E" w14:textId="22628A2F"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268</w:t>
            </w:r>
          </w:p>
        </w:tc>
        <w:tc>
          <w:tcPr>
            <w:tcW w:w="619" w:type="pct"/>
            <w:shd w:val="clear" w:color="auto" w:fill="auto"/>
          </w:tcPr>
          <w:p w14:paraId="0A8129E2" w14:textId="327274A4" w:rsidR="00856D9B" w:rsidRPr="009C6754" w:rsidRDefault="00856D9B" w:rsidP="00DC3687">
            <w:pPr>
              <w:spacing w:before="0" w:after="0"/>
              <w:ind w:left="57" w:right="57"/>
              <w:jc w:val="right"/>
              <w:rPr>
                <w:sz w:val="16"/>
                <w:szCs w:val="16"/>
                <w:lang w:val="sr-Latn-RS"/>
              </w:rPr>
            </w:pPr>
            <w:r w:rsidRPr="009C6754">
              <w:rPr>
                <w:sz w:val="16"/>
                <w:szCs w:val="16"/>
              </w:rPr>
              <w:t>1</w:t>
            </w:r>
            <w:r>
              <w:rPr>
                <w:sz w:val="16"/>
                <w:szCs w:val="16"/>
              </w:rPr>
              <w:t>.</w:t>
            </w:r>
            <w:r w:rsidRPr="009C6754">
              <w:rPr>
                <w:sz w:val="16"/>
                <w:szCs w:val="16"/>
              </w:rPr>
              <w:t>062</w:t>
            </w:r>
          </w:p>
        </w:tc>
        <w:tc>
          <w:tcPr>
            <w:tcW w:w="360" w:type="pct"/>
            <w:shd w:val="clear" w:color="auto" w:fill="auto"/>
          </w:tcPr>
          <w:p w14:paraId="18306C51" w14:textId="77777777" w:rsidR="00856D9B" w:rsidRPr="009C6754" w:rsidRDefault="00856D9B" w:rsidP="00DC3687">
            <w:pPr>
              <w:spacing w:before="0" w:after="0"/>
              <w:ind w:left="57" w:right="57"/>
              <w:jc w:val="right"/>
              <w:rPr>
                <w:sz w:val="16"/>
                <w:szCs w:val="16"/>
                <w:lang w:val="sr-Latn-RS"/>
              </w:rPr>
            </w:pPr>
            <w:r w:rsidRPr="009C6754">
              <w:rPr>
                <w:sz w:val="16"/>
                <w:szCs w:val="16"/>
              </w:rPr>
              <w:t>1</w:t>
            </w:r>
          </w:p>
        </w:tc>
        <w:tc>
          <w:tcPr>
            <w:tcW w:w="488" w:type="pct"/>
            <w:shd w:val="clear" w:color="auto" w:fill="auto"/>
          </w:tcPr>
          <w:p w14:paraId="14B80F28" w14:textId="3A5BE165"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303</w:t>
            </w:r>
          </w:p>
        </w:tc>
        <w:tc>
          <w:tcPr>
            <w:tcW w:w="487" w:type="pct"/>
            <w:shd w:val="clear" w:color="auto" w:fill="auto"/>
          </w:tcPr>
          <w:p w14:paraId="742A400E" w14:textId="216E9C43"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759</w:t>
            </w:r>
          </w:p>
        </w:tc>
        <w:tc>
          <w:tcPr>
            <w:tcW w:w="548" w:type="pct"/>
            <w:shd w:val="clear" w:color="auto" w:fill="auto"/>
          </w:tcPr>
          <w:p w14:paraId="13E840B7" w14:textId="3A19642B"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449</w:t>
            </w:r>
          </w:p>
        </w:tc>
        <w:tc>
          <w:tcPr>
            <w:tcW w:w="614" w:type="pct"/>
            <w:shd w:val="clear" w:color="auto" w:fill="auto"/>
          </w:tcPr>
          <w:p w14:paraId="5007680C" w14:textId="74CD752D" w:rsidR="00856D9B" w:rsidRPr="009C6754" w:rsidRDefault="00856D9B" w:rsidP="00DC3687">
            <w:pPr>
              <w:spacing w:before="0" w:after="0"/>
              <w:ind w:left="57" w:right="57"/>
              <w:jc w:val="right"/>
              <w:rPr>
                <w:sz w:val="16"/>
                <w:szCs w:val="16"/>
                <w:lang w:val="sr-Latn-RS"/>
              </w:rPr>
            </w:pPr>
            <w:r w:rsidRPr="009C6754">
              <w:rPr>
                <w:sz w:val="16"/>
                <w:szCs w:val="16"/>
              </w:rPr>
              <w:t>1</w:t>
            </w:r>
            <w:r>
              <w:rPr>
                <w:sz w:val="16"/>
                <w:szCs w:val="16"/>
              </w:rPr>
              <w:t>.</w:t>
            </w:r>
            <w:r w:rsidRPr="009C6754">
              <w:rPr>
                <w:sz w:val="16"/>
                <w:szCs w:val="16"/>
              </w:rPr>
              <w:t>283</w:t>
            </w:r>
          </w:p>
        </w:tc>
      </w:tr>
      <w:tr w:rsidR="00856D9B" w:rsidRPr="00AA1711" w14:paraId="603EDA65" w14:textId="77777777" w:rsidTr="00856D9B">
        <w:trPr>
          <w:cantSplit/>
        </w:trPr>
        <w:tc>
          <w:tcPr>
            <w:tcW w:w="387" w:type="pct"/>
            <w:vMerge/>
            <w:shd w:val="clear" w:color="auto" w:fill="auto"/>
          </w:tcPr>
          <w:p w14:paraId="03F6716F" w14:textId="77777777" w:rsidR="00856D9B" w:rsidRPr="00AA1711" w:rsidRDefault="00856D9B" w:rsidP="00DC3687">
            <w:pPr>
              <w:spacing w:before="0" w:after="0"/>
              <w:ind w:left="57" w:right="57"/>
              <w:rPr>
                <w:sz w:val="16"/>
                <w:szCs w:val="16"/>
                <w:lang w:val="sr-Latn-RS"/>
              </w:rPr>
            </w:pPr>
          </w:p>
        </w:tc>
        <w:tc>
          <w:tcPr>
            <w:tcW w:w="668" w:type="pct"/>
            <w:shd w:val="clear" w:color="auto" w:fill="auto"/>
          </w:tcPr>
          <w:p w14:paraId="206A5949" w14:textId="77777777" w:rsidR="00856D9B" w:rsidRPr="00AA1711" w:rsidRDefault="00856D9B" w:rsidP="00DC3687">
            <w:pPr>
              <w:spacing w:before="0" w:after="0"/>
              <w:ind w:left="57" w:right="57"/>
              <w:rPr>
                <w:sz w:val="16"/>
                <w:szCs w:val="16"/>
                <w:lang w:val="sr-Latn-RS"/>
              </w:rPr>
            </w:pPr>
            <w:r w:rsidRPr="00AA1711">
              <w:rPr>
                <w:sz w:val="16"/>
                <w:szCs w:val="16"/>
                <w:lang w:val="sr-Latn-RS"/>
              </w:rPr>
              <w:t>N_Kurt_OS</w:t>
            </w:r>
          </w:p>
        </w:tc>
        <w:tc>
          <w:tcPr>
            <w:tcW w:w="403" w:type="pct"/>
            <w:shd w:val="clear" w:color="auto" w:fill="auto"/>
          </w:tcPr>
          <w:p w14:paraId="2AF01492" w14:textId="0FE8EDE6" w:rsidR="00856D9B" w:rsidRPr="009C6754" w:rsidRDefault="00856D9B" w:rsidP="00DC3687">
            <w:pPr>
              <w:spacing w:before="0" w:after="0"/>
              <w:ind w:left="57" w:right="57"/>
              <w:jc w:val="right"/>
              <w:rPr>
                <w:sz w:val="16"/>
                <w:szCs w:val="16"/>
                <w:lang w:val="sr-Latn-RS"/>
              </w:rPr>
            </w:pPr>
            <w:r w:rsidRPr="009C6754">
              <w:rPr>
                <w:sz w:val="16"/>
                <w:szCs w:val="16"/>
              </w:rPr>
              <w:t>-6</w:t>
            </w:r>
            <w:r>
              <w:rPr>
                <w:sz w:val="16"/>
                <w:szCs w:val="16"/>
              </w:rPr>
              <w:t>.</w:t>
            </w:r>
            <w:r w:rsidRPr="009C6754">
              <w:rPr>
                <w:sz w:val="16"/>
                <w:szCs w:val="16"/>
              </w:rPr>
              <w:t>312</w:t>
            </w:r>
          </w:p>
        </w:tc>
        <w:tc>
          <w:tcPr>
            <w:tcW w:w="426" w:type="pct"/>
            <w:shd w:val="clear" w:color="auto" w:fill="auto"/>
          </w:tcPr>
          <w:p w14:paraId="5751F0B7" w14:textId="75C1AEF9"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757</w:t>
            </w:r>
          </w:p>
        </w:tc>
        <w:tc>
          <w:tcPr>
            <w:tcW w:w="619" w:type="pct"/>
            <w:shd w:val="clear" w:color="auto" w:fill="auto"/>
          </w:tcPr>
          <w:p w14:paraId="7D8C87D9" w14:textId="3DF85C41" w:rsidR="00856D9B" w:rsidRPr="009C6754" w:rsidRDefault="00856D9B" w:rsidP="00DC3687">
            <w:pPr>
              <w:spacing w:before="0" w:after="0"/>
              <w:ind w:left="57" w:right="57"/>
              <w:jc w:val="right"/>
              <w:rPr>
                <w:sz w:val="16"/>
                <w:szCs w:val="16"/>
                <w:lang w:val="sr-Latn-RS"/>
              </w:rPr>
            </w:pPr>
            <w:r w:rsidRPr="009C6754">
              <w:rPr>
                <w:sz w:val="16"/>
                <w:szCs w:val="16"/>
              </w:rPr>
              <w:t>69</w:t>
            </w:r>
            <w:r>
              <w:rPr>
                <w:sz w:val="16"/>
                <w:szCs w:val="16"/>
              </w:rPr>
              <w:t>.</w:t>
            </w:r>
            <w:r w:rsidRPr="009C6754">
              <w:rPr>
                <w:sz w:val="16"/>
                <w:szCs w:val="16"/>
              </w:rPr>
              <w:t>460</w:t>
            </w:r>
          </w:p>
        </w:tc>
        <w:tc>
          <w:tcPr>
            <w:tcW w:w="360" w:type="pct"/>
            <w:shd w:val="clear" w:color="auto" w:fill="auto"/>
          </w:tcPr>
          <w:p w14:paraId="13449B34" w14:textId="77777777" w:rsidR="00856D9B" w:rsidRPr="009C6754" w:rsidRDefault="00856D9B" w:rsidP="00DC3687">
            <w:pPr>
              <w:spacing w:before="0" w:after="0"/>
              <w:ind w:left="57" w:right="57"/>
              <w:jc w:val="right"/>
              <w:rPr>
                <w:sz w:val="16"/>
                <w:szCs w:val="16"/>
                <w:lang w:val="sr-Latn-RS"/>
              </w:rPr>
            </w:pPr>
            <w:r w:rsidRPr="009C6754">
              <w:rPr>
                <w:sz w:val="16"/>
                <w:szCs w:val="16"/>
              </w:rPr>
              <w:t>1</w:t>
            </w:r>
          </w:p>
        </w:tc>
        <w:tc>
          <w:tcPr>
            <w:tcW w:w="488" w:type="pct"/>
            <w:shd w:val="clear" w:color="auto" w:fill="auto"/>
          </w:tcPr>
          <w:p w14:paraId="4A02C7AC" w14:textId="2745C323" w:rsidR="00856D9B" w:rsidRPr="009C6754" w:rsidRDefault="00856D9B" w:rsidP="00DC3687">
            <w:pPr>
              <w:spacing w:before="0" w:after="0"/>
              <w:ind w:left="57" w:right="57"/>
              <w:jc w:val="right"/>
              <w:rPr>
                <w:sz w:val="16"/>
                <w:szCs w:val="16"/>
                <w:lang w:val="sr-Latn-RS"/>
              </w:rPr>
            </w:pPr>
            <w:r w:rsidRPr="009C6754">
              <w:rPr>
                <w:sz w:val="16"/>
                <w:szCs w:val="16"/>
              </w:rPr>
              <w:t>&lt;</w:t>
            </w:r>
            <w:r>
              <w:rPr>
                <w:sz w:val="16"/>
                <w:szCs w:val="16"/>
              </w:rPr>
              <w:t>0.</w:t>
            </w:r>
            <w:r w:rsidRPr="009C6754">
              <w:rPr>
                <w:sz w:val="16"/>
                <w:szCs w:val="16"/>
              </w:rPr>
              <w:t>001</w:t>
            </w:r>
          </w:p>
        </w:tc>
        <w:tc>
          <w:tcPr>
            <w:tcW w:w="487" w:type="pct"/>
            <w:shd w:val="clear" w:color="auto" w:fill="auto"/>
          </w:tcPr>
          <w:p w14:paraId="67B2EAA6" w14:textId="2B6D8730"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002</w:t>
            </w:r>
          </w:p>
        </w:tc>
        <w:tc>
          <w:tcPr>
            <w:tcW w:w="548" w:type="pct"/>
            <w:shd w:val="clear" w:color="auto" w:fill="auto"/>
          </w:tcPr>
          <w:p w14:paraId="55E0C1FD" w14:textId="199D141D"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000</w:t>
            </w:r>
          </w:p>
        </w:tc>
        <w:tc>
          <w:tcPr>
            <w:tcW w:w="614" w:type="pct"/>
            <w:shd w:val="clear" w:color="auto" w:fill="auto"/>
          </w:tcPr>
          <w:p w14:paraId="2A7EDF07" w14:textId="28BB82CE"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008</w:t>
            </w:r>
          </w:p>
        </w:tc>
      </w:tr>
      <w:tr w:rsidR="00856D9B" w:rsidRPr="00AA1711" w14:paraId="6A594410" w14:textId="77777777" w:rsidTr="00856D9B">
        <w:trPr>
          <w:cantSplit/>
        </w:trPr>
        <w:tc>
          <w:tcPr>
            <w:tcW w:w="387" w:type="pct"/>
            <w:vMerge/>
            <w:tcBorders>
              <w:bottom w:val="single" w:sz="4" w:space="0" w:color="auto"/>
            </w:tcBorders>
            <w:shd w:val="clear" w:color="auto" w:fill="auto"/>
          </w:tcPr>
          <w:p w14:paraId="664D4023" w14:textId="77777777" w:rsidR="00856D9B" w:rsidRPr="00AA1711" w:rsidRDefault="00856D9B" w:rsidP="00DC3687">
            <w:pPr>
              <w:spacing w:before="0" w:after="0"/>
              <w:ind w:left="57" w:right="57"/>
              <w:rPr>
                <w:sz w:val="16"/>
                <w:szCs w:val="16"/>
                <w:lang w:val="sr-Latn-RS"/>
              </w:rPr>
            </w:pPr>
          </w:p>
        </w:tc>
        <w:tc>
          <w:tcPr>
            <w:tcW w:w="668" w:type="pct"/>
            <w:tcBorders>
              <w:bottom w:val="single" w:sz="4" w:space="0" w:color="auto"/>
            </w:tcBorders>
            <w:shd w:val="clear" w:color="auto" w:fill="auto"/>
          </w:tcPr>
          <w:p w14:paraId="3CA26AB0" w14:textId="77777777" w:rsidR="00856D9B" w:rsidRPr="00AA1711" w:rsidRDefault="00856D9B" w:rsidP="00DC3687">
            <w:pPr>
              <w:spacing w:before="0" w:after="0"/>
              <w:ind w:left="57" w:right="57"/>
              <w:rPr>
                <w:sz w:val="16"/>
                <w:szCs w:val="16"/>
                <w:lang w:val="sr-Latn-RS"/>
              </w:rPr>
            </w:pPr>
            <w:r w:rsidRPr="00AA1711">
              <w:rPr>
                <w:sz w:val="16"/>
                <w:szCs w:val="16"/>
                <w:lang w:val="sr-Latn-RS"/>
              </w:rPr>
              <w:t>Constant</w:t>
            </w:r>
          </w:p>
        </w:tc>
        <w:tc>
          <w:tcPr>
            <w:tcW w:w="403" w:type="pct"/>
            <w:tcBorders>
              <w:bottom w:val="single" w:sz="4" w:space="0" w:color="auto"/>
            </w:tcBorders>
            <w:shd w:val="clear" w:color="auto" w:fill="auto"/>
          </w:tcPr>
          <w:p w14:paraId="3DE3B1F6" w14:textId="33C2447F" w:rsidR="00856D9B" w:rsidRPr="009C6754" w:rsidRDefault="00856D9B" w:rsidP="00DC3687">
            <w:pPr>
              <w:spacing w:before="0" w:after="0"/>
              <w:ind w:left="57" w:right="57"/>
              <w:jc w:val="right"/>
              <w:rPr>
                <w:sz w:val="16"/>
                <w:szCs w:val="16"/>
                <w:lang w:val="sr-Latn-RS"/>
              </w:rPr>
            </w:pPr>
            <w:r w:rsidRPr="009C6754">
              <w:rPr>
                <w:sz w:val="16"/>
                <w:szCs w:val="16"/>
              </w:rPr>
              <w:t>-</w:t>
            </w:r>
            <w:r>
              <w:rPr>
                <w:sz w:val="16"/>
                <w:szCs w:val="16"/>
              </w:rPr>
              <w:t>0.</w:t>
            </w:r>
            <w:r w:rsidRPr="009C6754">
              <w:rPr>
                <w:sz w:val="16"/>
                <w:szCs w:val="16"/>
              </w:rPr>
              <w:t>148</w:t>
            </w:r>
          </w:p>
        </w:tc>
        <w:tc>
          <w:tcPr>
            <w:tcW w:w="426" w:type="pct"/>
            <w:tcBorders>
              <w:bottom w:val="single" w:sz="4" w:space="0" w:color="auto"/>
            </w:tcBorders>
            <w:shd w:val="clear" w:color="auto" w:fill="auto"/>
          </w:tcPr>
          <w:p w14:paraId="632F03E8" w14:textId="05610321"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260</w:t>
            </w:r>
          </w:p>
        </w:tc>
        <w:tc>
          <w:tcPr>
            <w:tcW w:w="619" w:type="pct"/>
            <w:tcBorders>
              <w:bottom w:val="single" w:sz="4" w:space="0" w:color="auto"/>
            </w:tcBorders>
            <w:shd w:val="clear" w:color="auto" w:fill="auto"/>
          </w:tcPr>
          <w:p w14:paraId="1DB5B772" w14:textId="371D9FF7"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323</w:t>
            </w:r>
          </w:p>
        </w:tc>
        <w:tc>
          <w:tcPr>
            <w:tcW w:w="360" w:type="pct"/>
            <w:tcBorders>
              <w:bottom w:val="single" w:sz="4" w:space="0" w:color="auto"/>
            </w:tcBorders>
            <w:shd w:val="clear" w:color="auto" w:fill="auto"/>
          </w:tcPr>
          <w:p w14:paraId="5F4B53EC" w14:textId="77777777" w:rsidR="00856D9B" w:rsidRPr="009C6754" w:rsidRDefault="00856D9B" w:rsidP="00DC3687">
            <w:pPr>
              <w:spacing w:before="0" w:after="0"/>
              <w:ind w:left="57" w:right="57"/>
              <w:jc w:val="right"/>
              <w:rPr>
                <w:sz w:val="16"/>
                <w:szCs w:val="16"/>
                <w:lang w:val="sr-Latn-RS"/>
              </w:rPr>
            </w:pPr>
            <w:r w:rsidRPr="009C6754">
              <w:rPr>
                <w:sz w:val="16"/>
                <w:szCs w:val="16"/>
              </w:rPr>
              <w:t>1</w:t>
            </w:r>
          </w:p>
        </w:tc>
        <w:tc>
          <w:tcPr>
            <w:tcW w:w="488" w:type="pct"/>
            <w:tcBorders>
              <w:bottom w:val="single" w:sz="4" w:space="0" w:color="auto"/>
            </w:tcBorders>
            <w:shd w:val="clear" w:color="auto" w:fill="auto"/>
          </w:tcPr>
          <w:p w14:paraId="67DF77D2" w14:textId="068E970F"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570</w:t>
            </w:r>
          </w:p>
        </w:tc>
        <w:tc>
          <w:tcPr>
            <w:tcW w:w="487" w:type="pct"/>
            <w:tcBorders>
              <w:bottom w:val="single" w:sz="4" w:space="0" w:color="auto"/>
            </w:tcBorders>
            <w:shd w:val="clear" w:color="auto" w:fill="auto"/>
          </w:tcPr>
          <w:p w14:paraId="0304B37F" w14:textId="23E815E7" w:rsidR="00856D9B" w:rsidRPr="009C6754" w:rsidRDefault="00856D9B" w:rsidP="00DC3687">
            <w:pPr>
              <w:spacing w:before="0" w:after="0"/>
              <w:ind w:left="57" w:right="57"/>
              <w:jc w:val="right"/>
              <w:rPr>
                <w:sz w:val="16"/>
                <w:szCs w:val="16"/>
                <w:lang w:val="sr-Latn-RS"/>
              </w:rPr>
            </w:pPr>
            <w:r>
              <w:rPr>
                <w:sz w:val="16"/>
                <w:szCs w:val="16"/>
              </w:rPr>
              <w:t>0.</w:t>
            </w:r>
            <w:r w:rsidRPr="009C6754">
              <w:rPr>
                <w:sz w:val="16"/>
                <w:szCs w:val="16"/>
              </w:rPr>
              <w:t>863</w:t>
            </w:r>
          </w:p>
        </w:tc>
        <w:tc>
          <w:tcPr>
            <w:tcW w:w="548" w:type="pct"/>
            <w:tcBorders>
              <w:bottom w:val="single" w:sz="4" w:space="0" w:color="auto"/>
            </w:tcBorders>
            <w:shd w:val="clear" w:color="auto" w:fill="auto"/>
          </w:tcPr>
          <w:p w14:paraId="6666BA71" w14:textId="77777777" w:rsidR="00856D9B" w:rsidRPr="009C6754" w:rsidRDefault="00856D9B" w:rsidP="00DC3687">
            <w:pPr>
              <w:spacing w:before="0" w:after="0"/>
              <w:ind w:left="57" w:right="57"/>
              <w:jc w:val="right"/>
              <w:rPr>
                <w:rFonts w:cs="Times New Roman"/>
                <w:sz w:val="16"/>
                <w:szCs w:val="16"/>
                <w:lang w:val="sr-Latn-RS"/>
              </w:rPr>
            </w:pPr>
          </w:p>
        </w:tc>
        <w:tc>
          <w:tcPr>
            <w:tcW w:w="614" w:type="pct"/>
            <w:tcBorders>
              <w:bottom w:val="single" w:sz="4" w:space="0" w:color="auto"/>
            </w:tcBorders>
            <w:shd w:val="clear" w:color="auto" w:fill="auto"/>
          </w:tcPr>
          <w:p w14:paraId="0E0B80CF" w14:textId="77777777" w:rsidR="00856D9B" w:rsidRPr="009C6754" w:rsidRDefault="00856D9B" w:rsidP="00DC3687">
            <w:pPr>
              <w:spacing w:before="0" w:after="0"/>
              <w:ind w:left="57" w:right="57"/>
              <w:jc w:val="right"/>
              <w:rPr>
                <w:rFonts w:cs="Times New Roman"/>
                <w:sz w:val="16"/>
                <w:szCs w:val="16"/>
                <w:lang w:val="sr-Latn-RS"/>
              </w:rPr>
            </w:pPr>
          </w:p>
        </w:tc>
      </w:tr>
      <w:tr w:rsidR="00856D9B" w:rsidRPr="00AA1711" w14:paraId="589BA516" w14:textId="77777777" w:rsidTr="00856D9B">
        <w:trPr>
          <w:cantSplit/>
        </w:trPr>
        <w:tc>
          <w:tcPr>
            <w:tcW w:w="5000" w:type="pct"/>
            <w:gridSpan w:val="10"/>
            <w:tcBorders>
              <w:top w:val="single" w:sz="4" w:space="0" w:color="auto"/>
            </w:tcBorders>
            <w:shd w:val="clear" w:color="auto" w:fill="auto"/>
          </w:tcPr>
          <w:p w14:paraId="7D9502DC" w14:textId="77777777" w:rsidR="00856D9B" w:rsidRPr="00AA1711" w:rsidRDefault="00856D9B" w:rsidP="00DC3687">
            <w:pPr>
              <w:spacing w:before="0" w:after="0"/>
              <w:ind w:left="57" w:right="57"/>
              <w:rPr>
                <w:sz w:val="16"/>
                <w:szCs w:val="16"/>
                <w:lang w:val="sr-Latn-RS"/>
              </w:rPr>
            </w:pPr>
            <w:r w:rsidRPr="008367B7">
              <w:rPr>
                <w:sz w:val="18"/>
                <w:szCs w:val="18"/>
                <w:lang w:val="sr-Latn-RS"/>
              </w:rPr>
              <w:t>a. Variable(s) entered on step 1: HS_idle_time, T1, T2, T4, Load_kg_n, N_Stdev_OS, N_Median_OS, N_Min_OS, N_Max_OS, N_Kurt_OS</w:t>
            </w:r>
            <w:r w:rsidRPr="00AA1711">
              <w:rPr>
                <w:sz w:val="16"/>
                <w:szCs w:val="16"/>
                <w:lang w:val="sr-Latn-RS"/>
              </w:rPr>
              <w:t>.</w:t>
            </w:r>
          </w:p>
        </w:tc>
      </w:tr>
    </w:tbl>
    <w:p w14:paraId="4F9A157D" w14:textId="56098737" w:rsidR="00044878" w:rsidRDefault="00044878" w:rsidP="008075E2">
      <w:bookmarkStart w:id="658" w:name="_Ref99293991"/>
      <w:r>
        <w:t xml:space="preserve">Although the model shows the highest accuracy </w:t>
      </w:r>
      <w:r w:rsidR="004909B8">
        <w:t>considering</w:t>
      </w:r>
      <w:r>
        <w:t xml:space="preserve"> the threshold of 0.52</w:t>
      </w:r>
      <w:r w:rsidR="00F2231E">
        <w:t xml:space="preserve"> (</w:t>
      </w:r>
      <w:r w:rsidR="00656091">
        <w:rPr>
          <w:lang w:val="en-GB"/>
        </w:rPr>
        <w:fldChar w:fldCharType="begin"/>
      </w:r>
      <w:r w:rsidR="00656091">
        <w:instrText xml:space="preserve"> REF _Ref100223478 \h </w:instrText>
      </w:r>
      <w:r w:rsidR="00656091">
        <w:rPr>
          <w:lang w:val="en-GB"/>
        </w:rPr>
      </w:r>
      <w:r w:rsidR="00656091">
        <w:rPr>
          <w:lang w:val="en-GB"/>
        </w:rPr>
        <w:fldChar w:fldCharType="separate"/>
      </w:r>
      <w:r w:rsidR="00587AF0">
        <w:t xml:space="preserve">Table </w:t>
      </w:r>
      <w:r w:rsidR="00587AF0">
        <w:rPr>
          <w:noProof/>
        </w:rPr>
        <w:t>60</w:t>
      </w:r>
      <w:r w:rsidR="00656091">
        <w:rPr>
          <w:lang w:val="en-GB"/>
        </w:rPr>
        <w:fldChar w:fldCharType="end"/>
      </w:r>
      <w:r w:rsidR="00F2231E">
        <w:t>)</w:t>
      </w:r>
      <w:r>
        <w:t xml:space="preserve"> for classification, the overall resulted function with testing data shows a discrepancy with </w:t>
      </w:r>
      <w:r w:rsidR="004909B8">
        <w:t xml:space="preserve">the </w:t>
      </w:r>
      <w:r>
        <w:t>prediction accuracy of normal operating condition</w:t>
      </w:r>
      <w:r w:rsidR="004909B8">
        <w:t>s</w:t>
      </w:r>
      <w:r>
        <w:t>.</w:t>
      </w:r>
    </w:p>
    <w:p w14:paraId="03A2DADF" w14:textId="1E4A1BB7" w:rsidR="00F2231E" w:rsidRPr="00CD5E7B" w:rsidRDefault="00F2231E" w:rsidP="00F2231E">
      <w:pPr>
        <w:pStyle w:val="Caption"/>
        <w:jc w:val="both"/>
        <w:rPr>
          <w:lang w:val="sr-Latn-RS"/>
        </w:rPr>
      </w:pPr>
      <w:bookmarkStart w:id="659" w:name="_Ref100223478"/>
      <w:bookmarkStart w:id="660" w:name="_Toc101274500"/>
      <w:r>
        <w:t xml:space="preserve">Table </w:t>
      </w:r>
      <w:fldSimple w:instr=" SEQ Table \* ARABIC ">
        <w:r w:rsidR="00587AF0">
          <w:rPr>
            <w:noProof/>
          </w:rPr>
          <w:t>60</w:t>
        </w:r>
      </w:fldSimple>
      <w:bookmarkEnd w:id="659"/>
      <w:r>
        <w:t>. Logistic regression formulation and parameters at opening saddle position</w:t>
      </w:r>
      <w:bookmarkEnd w:id="66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4"/>
        <w:gridCol w:w="4913"/>
      </w:tblGrid>
      <w:tr w:rsidR="00F2231E" w:rsidRPr="009C7391" w14:paraId="0BEC53B0" w14:textId="77777777" w:rsidTr="00DC3687">
        <w:tc>
          <w:tcPr>
            <w:tcW w:w="4114" w:type="dxa"/>
            <w:tcBorders>
              <w:top w:val="single" w:sz="4" w:space="0" w:color="auto"/>
              <w:bottom w:val="single" w:sz="4" w:space="0" w:color="auto"/>
            </w:tcBorders>
          </w:tcPr>
          <w:p w14:paraId="19B34720" w14:textId="77777777" w:rsidR="00F2231E" w:rsidRPr="009C7391" w:rsidRDefault="00F2231E" w:rsidP="00DC3687">
            <w:pPr>
              <w:spacing w:before="0" w:after="0"/>
              <w:rPr>
                <w:rFonts w:eastAsia="Times New Roman" w:cs="Segoe UI"/>
                <w:b/>
                <w:bCs/>
                <w:sz w:val="20"/>
                <w:szCs w:val="20"/>
                <w:lang w:val="sr-Latn-RS" w:eastAsia="sr-Latn-RS"/>
              </w:rPr>
            </w:pPr>
            <w:r w:rsidRPr="009C7391">
              <w:rPr>
                <w:rFonts w:eastAsia="Times New Roman" w:cs="Segoe UI"/>
                <w:b/>
                <w:bCs/>
                <w:sz w:val="20"/>
                <w:szCs w:val="20"/>
                <w:lang w:val="sr-Latn-RS" w:eastAsia="sr-Latn-RS"/>
              </w:rPr>
              <w:t>Properties</w:t>
            </w:r>
          </w:p>
        </w:tc>
        <w:tc>
          <w:tcPr>
            <w:tcW w:w="4913" w:type="dxa"/>
            <w:tcBorders>
              <w:top w:val="single" w:sz="4" w:space="0" w:color="auto"/>
              <w:bottom w:val="single" w:sz="4" w:space="0" w:color="auto"/>
            </w:tcBorders>
          </w:tcPr>
          <w:p w14:paraId="0DBC4D40" w14:textId="77777777" w:rsidR="00F2231E" w:rsidRPr="009C7391" w:rsidRDefault="00F2231E" w:rsidP="00DC3687">
            <w:pPr>
              <w:spacing w:before="0" w:after="0"/>
              <w:jc w:val="right"/>
              <w:rPr>
                <w:rFonts w:eastAsia="Times New Roman" w:cs="Segoe UI"/>
                <w:b/>
                <w:bCs/>
                <w:sz w:val="20"/>
                <w:szCs w:val="20"/>
                <w:lang w:val="sr-Latn-RS" w:eastAsia="sr-Latn-RS"/>
              </w:rPr>
            </w:pPr>
            <w:r w:rsidRPr="009C7391">
              <w:rPr>
                <w:rFonts w:eastAsia="Times New Roman" w:cs="Segoe UI"/>
                <w:b/>
                <w:bCs/>
                <w:sz w:val="20"/>
                <w:szCs w:val="20"/>
                <w:lang w:val="sr-Latn-RS" w:eastAsia="sr-Latn-RS"/>
              </w:rPr>
              <w:t>Model parameters and values</w:t>
            </w:r>
          </w:p>
        </w:tc>
      </w:tr>
      <w:tr w:rsidR="00F2231E" w:rsidRPr="009C7391" w14:paraId="6F80996B" w14:textId="77777777" w:rsidTr="00DC3687">
        <w:tc>
          <w:tcPr>
            <w:tcW w:w="4114" w:type="dxa"/>
            <w:tcBorders>
              <w:top w:val="single" w:sz="4" w:space="0" w:color="auto"/>
            </w:tcBorders>
            <w:vAlign w:val="center"/>
          </w:tcPr>
          <w:p w14:paraId="04534CB3" w14:textId="77777777" w:rsidR="00F2231E" w:rsidRPr="009C7391" w:rsidRDefault="00F2231E" w:rsidP="00DC3687">
            <w:pPr>
              <w:spacing w:before="0" w:after="0"/>
              <w:jc w:val="left"/>
              <w:rPr>
                <w:rFonts w:eastAsia="Times New Roman" w:cs="Segoe UI"/>
                <w:sz w:val="20"/>
                <w:szCs w:val="20"/>
                <w:lang w:val="sr-Latn-RS" w:eastAsia="sr-Latn-RS"/>
              </w:rPr>
            </w:pPr>
            <w:r w:rsidRPr="009C7391">
              <w:rPr>
                <w:rFonts w:eastAsia="Times New Roman" w:cs="Segoe UI"/>
                <w:sz w:val="20"/>
                <w:szCs w:val="20"/>
                <w:lang w:val="sr-Latn-RS" w:eastAsia="sr-Latn-RS"/>
              </w:rPr>
              <w:t>Model equation</w:t>
            </w:r>
          </w:p>
        </w:tc>
        <w:tc>
          <w:tcPr>
            <w:tcW w:w="4913" w:type="dxa"/>
            <w:tcBorders>
              <w:top w:val="single" w:sz="4" w:space="0" w:color="auto"/>
            </w:tcBorders>
          </w:tcPr>
          <w:p w14:paraId="0AB226A1" w14:textId="77777777" w:rsidR="00F2231E" w:rsidRPr="009C7391" w:rsidRDefault="00F2231E" w:rsidP="00DC3687">
            <w:pPr>
              <w:spacing w:before="0" w:after="0"/>
              <w:rPr>
                <w:rFonts w:eastAsia="Times New Roman" w:cs="Segoe UI"/>
                <w:color w:val="495057"/>
                <w:sz w:val="20"/>
                <w:szCs w:val="20"/>
                <w:lang w:val="sr-Latn-RS" w:eastAsia="sr-Latn-RS"/>
              </w:rPr>
            </w:pPr>
            <w:r w:rsidRPr="009C7391">
              <w:rPr>
                <w:rFonts w:eastAsia="Times New Roman" w:cs="Segoe UI"/>
                <w:sz w:val="20"/>
                <w:szCs w:val="20"/>
                <w:lang w:val="sr-Latn-RS" w:eastAsia="sr-Latn-RS"/>
              </w:rPr>
              <w:t>logit(P) = log(P / (1 - P)) = -0.148 - 2.177 N_Median_OS - 14.079 N_StDev_OS - 9.703 N_Min_OS - 0.276 N_Max_OS + 0.29 T1 - 0.305 HS_Idle + 1.334 T2- 1.085 T4 - 1.64 Load_kg - 6.312 N_Kurt_OS</w:t>
            </w:r>
          </w:p>
        </w:tc>
      </w:tr>
      <w:tr w:rsidR="00F2231E" w:rsidRPr="009C7391" w14:paraId="1CD2A650" w14:textId="77777777" w:rsidTr="00DC3687">
        <w:tc>
          <w:tcPr>
            <w:tcW w:w="4114" w:type="dxa"/>
          </w:tcPr>
          <w:p w14:paraId="338AA126" w14:textId="77777777" w:rsidR="00F2231E" w:rsidRPr="009C7391" w:rsidRDefault="00F2231E" w:rsidP="00DC3687">
            <w:pPr>
              <w:spacing w:before="0" w:after="0"/>
              <w:rPr>
                <w:sz w:val="20"/>
                <w:szCs w:val="20"/>
                <w:lang w:val="sr-Latn-RS"/>
              </w:rPr>
            </w:pPr>
            <w:r w:rsidRPr="009C7391">
              <w:rPr>
                <w:sz w:val="20"/>
                <w:szCs w:val="20"/>
                <w:lang w:val="sr-Latn-RS"/>
              </w:rPr>
              <w:t>Best threshold (cutoff)</w:t>
            </w:r>
          </w:p>
        </w:tc>
        <w:tc>
          <w:tcPr>
            <w:tcW w:w="4913" w:type="dxa"/>
          </w:tcPr>
          <w:p w14:paraId="6854EB45" w14:textId="77777777" w:rsidR="00F2231E" w:rsidRPr="009C7391" w:rsidRDefault="00F2231E" w:rsidP="00DC3687">
            <w:pPr>
              <w:spacing w:before="0" w:after="0"/>
              <w:rPr>
                <w:sz w:val="20"/>
                <w:szCs w:val="20"/>
                <w:lang w:val="sr-Latn-RS"/>
              </w:rPr>
            </w:pPr>
            <w:r>
              <w:rPr>
                <w:sz w:val="20"/>
                <w:szCs w:val="20"/>
                <w:lang w:val="sr-Latn-RS"/>
              </w:rPr>
              <w:t>0.52</w:t>
            </w:r>
          </w:p>
        </w:tc>
      </w:tr>
      <w:tr w:rsidR="00F2231E" w:rsidRPr="009C7391" w14:paraId="3D10F7C2" w14:textId="77777777" w:rsidTr="00DC3687">
        <w:tc>
          <w:tcPr>
            <w:tcW w:w="4114" w:type="dxa"/>
            <w:tcBorders>
              <w:bottom w:val="single" w:sz="4" w:space="0" w:color="auto"/>
            </w:tcBorders>
          </w:tcPr>
          <w:p w14:paraId="58430249" w14:textId="77777777" w:rsidR="00F2231E" w:rsidRPr="009C7391" w:rsidRDefault="00F2231E" w:rsidP="00DC3687">
            <w:pPr>
              <w:spacing w:before="0" w:after="0"/>
              <w:rPr>
                <w:sz w:val="20"/>
                <w:szCs w:val="20"/>
                <w:lang w:val="sr-Latn-RS"/>
              </w:rPr>
            </w:pPr>
            <w:r>
              <w:rPr>
                <w:sz w:val="20"/>
                <w:szCs w:val="20"/>
                <w:lang w:val="sr-Latn-RS"/>
              </w:rPr>
              <w:t>Original label None/Quasi-fault</w:t>
            </w:r>
          </w:p>
        </w:tc>
        <w:tc>
          <w:tcPr>
            <w:tcW w:w="4913" w:type="dxa"/>
            <w:tcBorders>
              <w:bottom w:val="single" w:sz="4" w:space="0" w:color="auto"/>
            </w:tcBorders>
          </w:tcPr>
          <w:p w14:paraId="1DBB7F57" w14:textId="77777777" w:rsidR="00F2231E" w:rsidRPr="009C7391" w:rsidRDefault="00F2231E" w:rsidP="00DC3687">
            <w:pPr>
              <w:spacing w:before="0" w:after="0"/>
              <w:rPr>
                <w:sz w:val="20"/>
                <w:szCs w:val="20"/>
                <w:lang w:val="sr-Latn-RS"/>
              </w:rPr>
            </w:pPr>
            <w:r>
              <w:rPr>
                <w:sz w:val="20"/>
                <w:szCs w:val="20"/>
                <w:lang w:val="sr-Latn-RS"/>
              </w:rPr>
              <w:t>Logistic regression label: 0/1</w:t>
            </w:r>
          </w:p>
        </w:tc>
      </w:tr>
    </w:tbl>
    <w:p w14:paraId="3391BD4D" w14:textId="49A498F2" w:rsidR="002D5853" w:rsidRPr="00F2231E" w:rsidRDefault="002D5853" w:rsidP="00F2231E">
      <w:r>
        <w:t>The ROC character</w:t>
      </w:r>
      <w:r w:rsidR="004909B8">
        <w:t>is</w:t>
      </w:r>
      <w:r>
        <w:t>tics show good prediction properties of a model, where AUC shows a threshold of 99.2% with training data, with 98.7% with 10-fold-cross-validation</w:t>
      </w:r>
      <w:r w:rsidR="00521B99">
        <w:t xml:space="preserve"> (</w:t>
      </w:r>
      <w:r w:rsidR="00656091">
        <w:fldChar w:fldCharType="begin"/>
      </w:r>
      <w:r w:rsidR="00656091">
        <w:instrText xml:space="preserve"> REF _Ref100223514 \h </w:instrText>
      </w:r>
      <w:r w:rsidR="00656091">
        <w:fldChar w:fldCharType="separate"/>
      </w:r>
      <w:r w:rsidR="00587AF0">
        <w:t xml:space="preserve">Table </w:t>
      </w:r>
      <w:r w:rsidR="00587AF0">
        <w:rPr>
          <w:noProof/>
        </w:rPr>
        <w:t>61</w:t>
      </w:r>
      <w:r w:rsidR="00656091">
        <w:fldChar w:fldCharType="end"/>
      </w:r>
      <w:r w:rsidR="00521B99">
        <w:t>)</w:t>
      </w:r>
      <w:r>
        <w:t xml:space="preserve">. However, observing a model under test conditions shows that </w:t>
      </w:r>
      <w:r w:rsidR="004909B8">
        <w:t xml:space="preserve">the </w:t>
      </w:r>
      <w:r>
        <w:t>overall accuracy of a model is only 86.8%</w:t>
      </w:r>
      <w:r w:rsidR="00656091">
        <w:t xml:space="preserve"> (</w:t>
      </w:r>
      <w:r w:rsidR="00656091">
        <w:fldChar w:fldCharType="begin"/>
      </w:r>
      <w:r w:rsidR="00656091">
        <w:instrText xml:space="preserve"> REF _Ref100223549 \h </w:instrText>
      </w:r>
      <w:r w:rsidR="00656091">
        <w:fldChar w:fldCharType="separate"/>
      </w:r>
      <w:r w:rsidR="00587AF0">
        <w:t xml:space="preserve">Table </w:t>
      </w:r>
      <w:r w:rsidR="00587AF0">
        <w:rPr>
          <w:noProof/>
        </w:rPr>
        <w:t>62</w:t>
      </w:r>
      <w:r w:rsidR="00656091">
        <w:fldChar w:fldCharType="end"/>
      </w:r>
      <w:r w:rsidR="00656091">
        <w:t>)</w:t>
      </w:r>
      <w:r w:rsidR="004909B8">
        <w:t>;</w:t>
      </w:r>
      <w:r>
        <w:t xml:space="preserve"> even though the model shows good prediction properties</w:t>
      </w:r>
      <w:r w:rsidR="00656091">
        <w:t xml:space="preserve"> in training (</w:t>
      </w:r>
      <w:r w:rsidR="00656091">
        <w:fldChar w:fldCharType="begin"/>
      </w:r>
      <w:r w:rsidR="00656091">
        <w:instrText xml:space="preserve"> REF _Ref99295388 \h </w:instrText>
      </w:r>
      <w:r w:rsidR="00656091">
        <w:fldChar w:fldCharType="separate"/>
      </w:r>
      <w:r w:rsidR="00587AF0">
        <w:t xml:space="preserve">Figure </w:t>
      </w:r>
      <w:r w:rsidR="00587AF0">
        <w:rPr>
          <w:noProof/>
        </w:rPr>
        <w:t>111</w:t>
      </w:r>
      <w:r w:rsidR="00656091">
        <w:fldChar w:fldCharType="end"/>
      </w:r>
      <w:r w:rsidR="00656091">
        <w:t>)</w:t>
      </w:r>
      <w:r>
        <w:t>, however, the results are questionable in terms of practical</w:t>
      </w:r>
      <w:r w:rsidR="00656091">
        <w:t xml:space="preserve"> (test)</w:t>
      </w:r>
      <w:r>
        <w:t xml:space="preserve"> validity</w:t>
      </w:r>
      <w:r w:rsidR="00521B99">
        <w:t xml:space="preserve"> (</w:t>
      </w:r>
      <w:r w:rsidR="00521B99">
        <w:fldChar w:fldCharType="begin"/>
      </w:r>
      <w:r w:rsidR="00521B99">
        <w:instrText xml:space="preserve"> REF _Ref99295402 \h </w:instrText>
      </w:r>
      <w:r w:rsidR="00521B99">
        <w:fldChar w:fldCharType="separate"/>
      </w:r>
      <w:r w:rsidR="00587AF0">
        <w:t xml:space="preserve">Figure </w:t>
      </w:r>
      <w:r w:rsidR="00587AF0">
        <w:rPr>
          <w:noProof/>
        </w:rPr>
        <w:t>112</w:t>
      </w:r>
      <w:r w:rsidR="00521B99">
        <w:fldChar w:fldCharType="end"/>
      </w:r>
      <w:r w:rsidR="004909B8">
        <w:t>).</w:t>
      </w:r>
    </w:p>
    <w:p w14:paraId="0F8D0FF0" w14:textId="3E9D20A2" w:rsidR="00F2231E" w:rsidRDefault="00F2231E" w:rsidP="00F2231E">
      <w:pPr>
        <w:pStyle w:val="Caption"/>
        <w:jc w:val="both"/>
      </w:pPr>
      <w:bookmarkStart w:id="661" w:name="_Ref100223514"/>
      <w:bookmarkStart w:id="662" w:name="_Toc101274501"/>
      <w:r>
        <w:t xml:space="preserve">Table </w:t>
      </w:r>
      <w:fldSimple w:instr=" SEQ Table \* ARABIC ">
        <w:r w:rsidR="00587AF0">
          <w:rPr>
            <w:noProof/>
          </w:rPr>
          <w:t>61</w:t>
        </w:r>
      </w:fldSimple>
      <w:bookmarkEnd w:id="661"/>
      <w:r>
        <w:t>. Performance of a model at opening saddle position</w:t>
      </w:r>
      <w:bookmarkEnd w:id="66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4"/>
        <w:gridCol w:w="2254"/>
        <w:gridCol w:w="2254"/>
        <w:gridCol w:w="2255"/>
      </w:tblGrid>
      <w:tr w:rsidR="00F2231E" w:rsidRPr="00567D76" w14:paraId="492C3AFE" w14:textId="77777777" w:rsidTr="00DC3687">
        <w:tc>
          <w:tcPr>
            <w:tcW w:w="2254" w:type="dxa"/>
            <w:tcBorders>
              <w:top w:val="single" w:sz="4" w:space="0" w:color="auto"/>
              <w:bottom w:val="single" w:sz="4" w:space="0" w:color="auto"/>
            </w:tcBorders>
          </w:tcPr>
          <w:p w14:paraId="31A9368A" w14:textId="77777777" w:rsidR="00F2231E" w:rsidRPr="00567D76" w:rsidRDefault="00F2231E" w:rsidP="00DC3687">
            <w:pPr>
              <w:spacing w:before="0" w:after="0"/>
              <w:ind w:left="57" w:right="57"/>
              <w:rPr>
                <w:b/>
                <w:bCs/>
                <w:sz w:val="20"/>
                <w:szCs w:val="20"/>
              </w:rPr>
            </w:pPr>
            <w:r w:rsidRPr="00567D76">
              <w:rPr>
                <w:b/>
                <w:bCs/>
                <w:sz w:val="20"/>
                <w:szCs w:val="20"/>
              </w:rPr>
              <w:t>Property</w:t>
            </w:r>
          </w:p>
        </w:tc>
        <w:tc>
          <w:tcPr>
            <w:tcW w:w="2254" w:type="dxa"/>
            <w:tcBorders>
              <w:top w:val="single" w:sz="4" w:space="0" w:color="auto"/>
              <w:bottom w:val="single" w:sz="4" w:space="0" w:color="auto"/>
            </w:tcBorders>
          </w:tcPr>
          <w:p w14:paraId="439E297E" w14:textId="77777777" w:rsidR="00F2231E" w:rsidRPr="00567D76" w:rsidRDefault="00F2231E" w:rsidP="00DC3687">
            <w:pPr>
              <w:spacing w:before="0" w:after="0"/>
              <w:ind w:left="57" w:right="57"/>
              <w:jc w:val="center"/>
              <w:rPr>
                <w:b/>
                <w:bCs/>
                <w:sz w:val="20"/>
                <w:szCs w:val="20"/>
              </w:rPr>
            </w:pPr>
            <w:r w:rsidRPr="00567D76">
              <w:rPr>
                <w:b/>
                <w:bCs/>
                <w:sz w:val="20"/>
                <w:szCs w:val="20"/>
              </w:rPr>
              <w:t>AUC</w:t>
            </w:r>
          </w:p>
        </w:tc>
        <w:tc>
          <w:tcPr>
            <w:tcW w:w="2254" w:type="dxa"/>
            <w:tcBorders>
              <w:top w:val="single" w:sz="4" w:space="0" w:color="auto"/>
              <w:bottom w:val="single" w:sz="4" w:space="0" w:color="auto"/>
            </w:tcBorders>
          </w:tcPr>
          <w:p w14:paraId="25AAAD0D" w14:textId="77777777" w:rsidR="00F2231E" w:rsidRPr="00567D76" w:rsidRDefault="00F2231E" w:rsidP="00DC3687">
            <w:pPr>
              <w:spacing w:before="0" w:after="0"/>
              <w:ind w:left="57" w:right="57"/>
              <w:jc w:val="center"/>
              <w:rPr>
                <w:b/>
                <w:bCs/>
                <w:sz w:val="20"/>
                <w:szCs w:val="20"/>
              </w:rPr>
            </w:pPr>
            <w:r w:rsidRPr="00567D76">
              <w:rPr>
                <w:b/>
                <w:bCs/>
                <w:sz w:val="20"/>
                <w:szCs w:val="20"/>
              </w:rPr>
              <w:t>Sensitivity</w:t>
            </w:r>
          </w:p>
        </w:tc>
        <w:tc>
          <w:tcPr>
            <w:tcW w:w="2255" w:type="dxa"/>
            <w:tcBorders>
              <w:top w:val="single" w:sz="4" w:space="0" w:color="auto"/>
              <w:bottom w:val="single" w:sz="4" w:space="0" w:color="auto"/>
            </w:tcBorders>
          </w:tcPr>
          <w:p w14:paraId="1FBDA33E" w14:textId="77777777" w:rsidR="00F2231E" w:rsidRPr="00567D76" w:rsidRDefault="00F2231E" w:rsidP="00DC3687">
            <w:pPr>
              <w:spacing w:before="0" w:after="0"/>
              <w:ind w:left="57" w:right="57"/>
              <w:jc w:val="center"/>
              <w:rPr>
                <w:b/>
                <w:bCs/>
                <w:sz w:val="20"/>
                <w:szCs w:val="20"/>
              </w:rPr>
            </w:pPr>
            <w:r w:rsidRPr="00567D76">
              <w:rPr>
                <w:b/>
                <w:bCs/>
                <w:sz w:val="20"/>
                <w:szCs w:val="20"/>
              </w:rPr>
              <w:t>Specificity</w:t>
            </w:r>
          </w:p>
        </w:tc>
      </w:tr>
      <w:tr w:rsidR="00F2231E" w:rsidRPr="00567D76" w14:paraId="3829EE85" w14:textId="77777777" w:rsidTr="00DC3687">
        <w:tc>
          <w:tcPr>
            <w:tcW w:w="2254" w:type="dxa"/>
            <w:tcBorders>
              <w:top w:val="single" w:sz="4" w:space="0" w:color="auto"/>
            </w:tcBorders>
          </w:tcPr>
          <w:p w14:paraId="40E00853" w14:textId="77777777" w:rsidR="00F2231E" w:rsidRPr="00567D76" w:rsidRDefault="00F2231E" w:rsidP="00DC3687">
            <w:pPr>
              <w:spacing w:before="0" w:after="0"/>
              <w:ind w:left="57" w:right="57"/>
              <w:rPr>
                <w:sz w:val="20"/>
                <w:szCs w:val="20"/>
              </w:rPr>
            </w:pPr>
            <w:r w:rsidRPr="00567D76">
              <w:rPr>
                <w:sz w:val="20"/>
                <w:szCs w:val="20"/>
              </w:rPr>
              <w:t>Training/Discovery</w:t>
            </w:r>
          </w:p>
        </w:tc>
        <w:tc>
          <w:tcPr>
            <w:tcW w:w="2254" w:type="dxa"/>
            <w:tcBorders>
              <w:top w:val="single" w:sz="4" w:space="0" w:color="auto"/>
            </w:tcBorders>
          </w:tcPr>
          <w:p w14:paraId="6DAC4120" w14:textId="77777777" w:rsidR="00F2231E" w:rsidRPr="00567D76" w:rsidRDefault="00F2231E" w:rsidP="00DC3687">
            <w:pPr>
              <w:spacing w:before="0" w:after="0"/>
              <w:ind w:left="57" w:right="57"/>
              <w:jc w:val="right"/>
              <w:rPr>
                <w:sz w:val="20"/>
                <w:szCs w:val="20"/>
              </w:rPr>
            </w:pPr>
            <w:r w:rsidRPr="00567D76">
              <w:rPr>
                <w:sz w:val="20"/>
                <w:szCs w:val="20"/>
              </w:rPr>
              <w:t>0.993 (0.992 ~ 0.994)</w:t>
            </w:r>
          </w:p>
        </w:tc>
        <w:tc>
          <w:tcPr>
            <w:tcW w:w="2254" w:type="dxa"/>
            <w:tcBorders>
              <w:top w:val="single" w:sz="4" w:space="0" w:color="auto"/>
            </w:tcBorders>
          </w:tcPr>
          <w:p w14:paraId="044B54D3" w14:textId="77777777" w:rsidR="00F2231E" w:rsidRPr="00567D76" w:rsidRDefault="00F2231E" w:rsidP="00DC3687">
            <w:pPr>
              <w:spacing w:before="0" w:after="0"/>
              <w:ind w:left="57" w:right="57"/>
              <w:jc w:val="right"/>
              <w:rPr>
                <w:sz w:val="20"/>
                <w:szCs w:val="20"/>
              </w:rPr>
            </w:pPr>
            <w:r w:rsidRPr="00567D76">
              <w:rPr>
                <w:sz w:val="20"/>
                <w:szCs w:val="20"/>
              </w:rPr>
              <w:t>0.957 (0.950 ~ 0.965)</w:t>
            </w:r>
          </w:p>
        </w:tc>
        <w:tc>
          <w:tcPr>
            <w:tcW w:w="2255" w:type="dxa"/>
            <w:tcBorders>
              <w:top w:val="single" w:sz="4" w:space="0" w:color="auto"/>
            </w:tcBorders>
          </w:tcPr>
          <w:p w14:paraId="5901E137" w14:textId="77777777" w:rsidR="00F2231E" w:rsidRPr="00567D76" w:rsidRDefault="00F2231E" w:rsidP="00DC3687">
            <w:pPr>
              <w:spacing w:before="0" w:after="0"/>
              <w:ind w:left="57" w:right="57"/>
              <w:jc w:val="right"/>
              <w:rPr>
                <w:sz w:val="20"/>
                <w:szCs w:val="20"/>
              </w:rPr>
            </w:pPr>
            <w:r w:rsidRPr="00567D76">
              <w:rPr>
                <w:sz w:val="20"/>
                <w:szCs w:val="20"/>
              </w:rPr>
              <w:t>0.965 (0.959 ~ 0.971)</w:t>
            </w:r>
          </w:p>
        </w:tc>
      </w:tr>
      <w:tr w:rsidR="00F2231E" w:rsidRPr="00567D76" w14:paraId="0E22B834" w14:textId="77777777" w:rsidTr="00DC3687">
        <w:tc>
          <w:tcPr>
            <w:tcW w:w="2254" w:type="dxa"/>
            <w:tcBorders>
              <w:bottom w:val="single" w:sz="4" w:space="0" w:color="auto"/>
            </w:tcBorders>
          </w:tcPr>
          <w:p w14:paraId="3BB0419A" w14:textId="77777777" w:rsidR="00F2231E" w:rsidRPr="00567D76" w:rsidRDefault="00F2231E" w:rsidP="00DC3687">
            <w:pPr>
              <w:spacing w:before="0" w:after="0"/>
              <w:ind w:left="57" w:right="57"/>
              <w:rPr>
                <w:sz w:val="20"/>
                <w:szCs w:val="20"/>
              </w:rPr>
            </w:pPr>
            <w:r w:rsidRPr="00567D76">
              <w:rPr>
                <w:sz w:val="20"/>
                <w:szCs w:val="20"/>
              </w:rPr>
              <w:t>10-fold Cross-Validation</w:t>
            </w:r>
          </w:p>
        </w:tc>
        <w:tc>
          <w:tcPr>
            <w:tcW w:w="2254" w:type="dxa"/>
            <w:tcBorders>
              <w:bottom w:val="single" w:sz="4" w:space="0" w:color="auto"/>
            </w:tcBorders>
          </w:tcPr>
          <w:p w14:paraId="73D19040" w14:textId="77777777" w:rsidR="00F2231E" w:rsidRPr="00567D76" w:rsidRDefault="00F2231E" w:rsidP="00DC3687">
            <w:pPr>
              <w:spacing w:before="0" w:after="0"/>
              <w:ind w:left="57" w:right="57"/>
              <w:jc w:val="right"/>
              <w:rPr>
                <w:sz w:val="20"/>
                <w:szCs w:val="20"/>
              </w:rPr>
            </w:pPr>
            <w:r w:rsidRPr="00567D76">
              <w:rPr>
                <w:sz w:val="20"/>
                <w:szCs w:val="20"/>
              </w:rPr>
              <w:t>0.987 (0.979 ~ 0.995)</w:t>
            </w:r>
          </w:p>
        </w:tc>
        <w:tc>
          <w:tcPr>
            <w:tcW w:w="2254" w:type="dxa"/>
            <w:tcBorders>
              <w:bottom w:val="single" w:sz="4" w:space="0" w:color="auto"/>
            </w:tcBorders>
          </w:tcPr>
          <w:p w14:paraId="4997E940" w14:textId="77777777" w:rsidR="00F2231E" w:rsidRPr="00567D76" w:rsidRDefault="00F2231E" w:rsidP="00DC3687">
            <w:pPr>
              <w:spacing w:before="0" w:after="0"/>
              <w:ind w:left="57" w:right="57"/>
              <w:jc w:val="right"/>
              <w:rPr>
                <w:sz w:val="20"/>
                <w:szCs w:val="20"/>
              </w:rPr>
            </w:pPr>
            <w:r w:rsidRPr="00567D76">
              <w:rPr>
                <w:sz w:val="20"/>
                <w:szCs w:val="20"/>
              </w:rPr>
              <w:t>0.954 (0.954 ~ 0.977)</w:t>
            </w:r>
          </w:p>
        </w:tc>
        <w:tc>
          <w:tcPr>
            <w:tcW w:w="2255" w:type="dxa"/>
            <w:tcBorders>
              <w:bottom w:val="single" w:sz="4" w:space="0" w:color="auto"/>
            </w:tcBorders>
          </w:tcPr>
          <w:p w14:paraId="63DC1BC8" w14:textId="77777777" w:rsidR="00F2231E" w:rsidRPr="00567D76" w:rsidRDefault="00F2231E" w:rsidP="00DC3687">
            <w:pPr>
              <w:spacing w:before="0" w:after="0"/>
              <w:ind w:left="57" w:right="57"/>
              <w:jc w:val="right"/>
              <w:rPr>
                <w:sz w:val="20"/>
                <w:szCs w:val="20"/>
              </w:rPr>
            </w:pPr>
            <w:r w:rsidRPr="00567D76">
              <w:rPr>
                <w:sz w:val="20"/>
                <w:szCs w:val="20"/>
              </w:rPr>
              <w:t>0.955 (0.934 ~ 0.977)</w:t>
            </w:r>
          </w:p>
        </w:tc>
      </w:tr>
    </w:tbl>
    <w:p w14:paraId="425AFB6C" w14:textId="1D735E46" w:rsidR="00F2231E" w:rsidRDefault="00F2231E" w:rsidP="00F2231E">
      <w:pPr>
        <w:pStyle w:val="Caption"/>
        <w:jc w:val="left"/>
      </w:pPr>
      <w:bookmarkStart w:id="663" w:name="_Ref100223549"/>
      <w:bookmarkStart w:id="664" w:name="_Toc101274502"/>
      <w:r>
        <w:t xml:space="preserve">Table </w:t>
      </w:r>
      <w:fldSimple w:instr=" SEQ Table \* ARABIC ">
        <w:r w:rsidR="00587AF0">
          <w:rPr>
            <w:noProof/>
          </w:rPr>
          <w:t>62</w:t>
        </w:r>
      </w:fldSimple>
      <w:bookmarkEnd w:id="663"/>
      <w:r>
        <w:t>. Classification matrix for logistic regression at opening saddle position</w:t>
      </w:r>
      <w:bookmarkEnd w:id="664"/>
    </w:p>
    <w:tbl>
      <w:tblPr>
        <w:tblW w:w="5000" w:type="pct"/>
        <w:tblLook w:val="04A0" w:firstRow="1" w:lastRow="0" w:firstColumn="1" w:lastColumn="0" w:noHBand="0" w:noVBand="1"/>
      </w:tblPr>
      <w:tblGrid>
        <w:gridCol w:w="1331"/>
        <w:gridCol w:w="2085"/>
        <w:gridCol w:w="1495"/>
        <w:gridCol w:w="1677"/>
        <w:gridCol w:w="2439"/>
      </w:tblGrid>
      <w:tr w:rsidR="00F2231E" w:rsidRPr="005D1862" w14:paraId="66FAA7A3" w14:textId="77777777" w:rsidTr="00DC3687">
        <w:trPr>
          <w:trHeight w:val="270"/>
        </w:trPr>
        <w:tc>
          <w:tcPr>
            <w:tcW w:w="737" w:type="pct"/>
            <w:tcBorders>
              <w:top w:val="single" w:sz="4" w:space="0" w:color="auto"/>
              <w:left w:val="nil"/>
              <w:bottom w:val="single" w:sz="4" w:space="0" w:color="auto"/>
              <w:right w:val="nil"/>
            </w:tcBorders>
            <w:vAlign w:val="center"/>
            <w:hideMark/>
          </w:tcPr>
          <w:p w14:paraId="376C24D1" w14:textId="77777777" w:rsidR="00F2231E" w:rsidRPr="005D1862" w:rsidRDefault="00F2231E" w:rsidP="00DC3687">
            <w:pPr>
              <w:spacing w:before="0" w:after="0"/>
              <w:jc w:val="left"/>
              <w:rPr>
                <w:rFonts w:eastAsia="Times New Roman" w:cs="Times New Roman"/>
                <w:b/>
                <w:bCs/>
                <w:color w:val="000000"/>
                <w:sz w:val="20"/>
                <w:szCs w:val="20"/>
                <w:lang w:val="sr-Latn-RS" w:eastAsia="sr-Latn-RS"/>
              </w:rPr>
            </w:pPr>
            <w:r w:rsidRPr="005D1862">
              <w:rPr>
                <w:rFonts w:eastAsia="Times New Roman" w:cs="Arial"/>
                <w:b/>
                <w:bCs/>
                <w:color w:val="000000"/>
                <w:sz w:val="20"/>
                <w:szCs w:val="20"/>
                <w:lang w:val="sr-Latn-RS" w:eastAsia="sr-Latn-RS"/>
              </w:rPr>
              <w:t>Sample</w:t>
            </w:r>
          </w:p>
        </w:tc>
        <w:tc>
          <w:tcPr>
            <w:tcW w:w="1155" w:type="pct"/>
            <w:tcBorders>
              <w:top w:val="single" w:sz="4" w:space="0" w:color="auto"/>
              <w:left w:val="nil"/>
              <w:bottom w:val="single" w:sz="4" w:space="0" w:color="auto"/>
              <w:right w:val="nil"/>
            </w:tcBorders>
            <w:vAlign w:val="center"/>
            <w:hideMark/>
          </w:tcPr>
          <w:p w14:paraId="4ACD43D0" w14:textId="77777777" w:rsidR="00F2231E" w:rsidRPr="005D1862" w:rsidRDefault="00F2231E" w:rsidP="00DC3687">
            <w:pPr>
              <w:spacing w:before="0" w:after="0"/>
              <w:jc w:val="left"/>
              <w:rPr>
                <w:rFonts w:eastAsia="Times New Roman" w:cs="Times New Roman"/>
                <w:b/>
                <w:bCs/>
                <w:color w:val="000000"/>
                <w:sz w:val="20"/>
                <w:szCs w:val="20"/>
                <w:lang w:val="sr-Latn-RS" w:eastAsia="sr-Latn-RS"/>
              </w:rPr>
            </w:pPr>
            <w:r w:rsidRPr="005D1862">
              <w:rPr>
                <w:rFonts w:eastAsia="Times New Roman" w:cs="Arial"/>
                <w:b/>
                <w:bCs/>
                <w:color w:val="000000"/>
                <w:sz w:val="20"/>
                <w:szCs w:val="20"/>
                <w:lang w:val="sr-Latn-RS" w:eastAsia="sr-Latn-RS"/>
              </w:rPr>
              <w:t>Observed</w:t>
            </w:r>
          </w:p>
        </w:tc>
        <w:tc>
          <w:tcPr>
            <w:tcW w:w="828" w:type="pct"/>
            <w:tcBorders>
              <w:top w:val="single" w:sz="4" w:space="0" w:color="auto"/>
              <w:left w:val="nil"/>
              <w:bottom w:val="single" w:sz="4" w:space="0" w:color="auto"/>
              <w:right w:val="nil"/>
            </w:tcBorders>
            <w:shd w:val="clear" w:color="auto" w:fill="auto"/>
            <w:vAlign w:val="center"/>
            <w:hideMark/>
          </w:tcPr>
          <w:p w14:paraId="3FAF4CE4" w14:textId="77777777" w:rsidR="00F2231E" w:rsidRPr="005D1862" w:rsidRDefault="00F2231E" w:rsidP="00DC3687">
            <w:pPr>
              <w:spacing w:before="0" w:after="0"/>
              <w:jc w:val="center"/>
              <w:rPr>
                <w:rFonts w:eastAsia="Times New Roman" w:cs="Times New Roman"/>
                <w:b/>
                <w:bCs/>
                <w:color w:val="000000"/>
                <w:sz w:val="20"/>
                <w:szCs w:val="20"/>
                <w:lang w:val="sr-Latn-RS" w:eastAsia="sr-Latn-RS"/>
              </w:rPr>
            </w:pPr>
            <w:r w:rsidRPr="005D1862">
              <w:rPr>
                <w:rFonts w:eastAsia="Times New Roman" w:cs="Arial"/>
                <w:b/>
                <w:bCs/>
                <w:color w:val="000000"/>
                <w:sz w:val="20"/>
                <w:szCs w:val="20"/>
                <w:lang w:val="sr-Latn-RS" w:eastAsia="sr-Latn-RS"/>
              </w:rPr>
              <w:t>None</w:t>
            </w:r>
          </w:p>
        </w:tc>
        <w:tc>
          <w:tcPr>
            <w:tcW w:w="929" w:type="pct"/>
            <w:tcBorders>
              <w:top w:val="single" w:sz="4" w:space="0" w:color="auto"/>
              <w:left w:val="nil"/>
              <w:bottom w:val="single" w:sz="4" w:space="0" w:color="auto"/>
              <w:right w:val="nil"/>
            </w:tcBorders>
            <w:shd w:val="clear" w:color="auto" w:fill="auto"/>
            <w:vAlign w:val="center"/>
            <w:hideMark/>
          </w:tcPr>
          <w:p w14:paraId="4325A7DC" w14:textId="77777777" w:rsidR="00F2231E" w:rsidRPr="005D1862" w:rsidRDefault="00F2231E" w:rsidP="00DC3687">
            <w:pPr>
              <w:spacing w:before="0" w:after="0"/>
              <w:jc w:val="center"/>
              <w:rPr>
                <w:rFonts w:eastAsia="Times New Roman" w:cs="Times New Roman"/>
                <w:b/>
                <w:bCs/>
                <w:color w:val="000000"/>
                <w:sz w:val="20"/>
                <w:szCs w:val="20"/>
                <w:lang w:val="sr-Latn-RS" w:eastAsia="sr-Latn-RS"/>
              </w:rPr>
            </w:pPr>
            <w:r w:rsidRPr="005D1862">
              <w:rPr>
                <w:rFonts w:eastAsia="Times New Roman" w:cs="Arial"/>
                <w:b/>
                <w:bCs/>
                <w:color w:val="000000"/>
                <w:sz w:val="20"/>
                <w:szCs w:val="20"/>
                <w:lang w:val="sr-Latn-RS" w:eastAsia="sr-Latn-RS"/>
              </w:rPr>
              <w:t>Quasi-fault</w:t>
            </w:r>
          </w:p>
        </w:tc>
        <w:tc>
          <w:tcPr>
            <w:tcW w:w="1351" w:type="pct"/>
            <w:tcBorders>
              <w:top w:val="single" w:sz="4" w:space="0" w:color="auto"/>
              <w:left w:val="nil"/>
              <w:bottom w:val="single" w:sz="4" w:space="0" w:color="auto"/>
              <w:right w:val="nil"/>
            </w:tcBorders>
            <w:shd w:val="clear" w:color="auto" w:fill="auto"/>
            <w:vAlign w:val="center"/>
            <w:hideMark/>
          </w:tcPr>
          <w:p w14:paraId="16A58561" w14:textId="77777777" w:rsidR="00F2231E" w:rsidRPr="005D1862" w:rsidRDefault="00F2231E" w:rsidP="00DC3687">
            <w:pPr>
              <w:spacing w:before="0" w:after="0"/>
              <w:jc w:val="center"/>
              <w:rPr>
                <w:rFonts w:eastAsia="Times New Roman" w:cs="Times New Roman"/>
                <w:b/>
                <w:bCs/>
                <w:color w:val="000000"/>
                <w:sz w:val="20"/>
                <w:szCs w:val="20"/>
                <w:lang w:val="sr-Latn-RS" w:eastAsia="sr-Latn-RS"/>
              </w:rPr>
            </w:pPr>
            <w:r w:rsidRPr="005D1862">
              <w:rPr>
                <w:rFonts w:eastAsia="Times New Roman" w:cs="Arial"/>
                <w:b/>
                <w:bCs/>
                <w:color w:val="000000"/>
                <w:sz w:val="20"/>
                <w:szCs w:val="20"/>
                <w:lang w:val="sr-Latn-RS" w:eastAsia="sr-Latn-RS"/>
              </w:rPr>
              <w:t>Percent Correct</w:t>
            </w:r>
          </w:p>
        </w:tc>
      </w:tr>
      <w:tr w:rsidR="00F2231E" w:rsidRPr="005D1862" w14:paraId="1B91246F" w14:textId="77777777" w:rsidTr="00DC3687">
        <w:trPr>
          <w:cantSplit/>
          <w:trHeight w:val="255"/>
        </w:trPr>
        <w:tc>
          <w:tcPr>
            <w:tcW w:w="737" w:type="pct"/>
            <w:vMerge w:val="restart"/>
            <w:tcBorders>
              <w:top w:val="single" w:sz="4" w:space="0" w:color="auto"/>
              <w:left w:val="nil"/>
              <w:bottom w:val="nil"/>
              <w:right w:val="nil"/>
            </w:tcBorders>
            <w:shd w:val="clear" w:color="auto" w:fill="auto"/>
            <w:vAlign w:val="center"/>
            <w:hideMark/>
          </w:tcPr>
          <w:p w14:paraId="38FE0A68" w14:textId="77777777" w:rsidR="00F2231E" w:rsidRPr="005D1862" w:rsidRDefault="00F2231E" w:rsidP="00F2231E">
            <w:pPr>
              <w:spacing w:before="0" w:after="0"/>
              <w:jc w:val="left"/>
              <w:rPr>
                <w:rFonts w:eastAsia="Times New Roman" w:cs="Times New Roman"/>
                <w:color w:val="000000"/>
                <w:sz w:val="20"/>
                <w:szCs w:val="20"/>
                <w:lang w:val="sr-Latn-RS" w:eastAsia="sr-Latn-RS"/>
              </w:rPr>
            </w:pPr>
            <w:r w:rsidRPr="005D1862">
              <w:rPr>
                <w:rFonts w:eastAsia="Times New Roman" w:cs="Arial"/>
                <w:color w:val="000000"/>
                <w:sz w:val="20"/>
                <w:szCs w:val="20"/>
                <w:lang w:val="sr-Latn-RS" w:eastAsia="sr-Latn-RS"/>
              </w:rPr>
              <w:t>Training</w:t>
            </w:r>
          </w:p>
        </w:tc>
        <w:tc>
          <w:tcPr>
            <w:tcW w:w="1155" w:type="pct"/>
            <w:tcBorders>
              <w:top w:val="single" w:sz="4" w:space="0" w:color="auto"/>
              <w:left w:val="nil"/>
              <w:bottom w:val="nil"/>
              <w:right w:val="nil"/>
            </w:tcBorders>
            <w:shd w:val="clear" w:color="auto" w:fill="auto"/>
            <w:vAlign w:val="center"/>
            <w:hideMark/>
          </w:tcPr>
          <w:p w14:paraId="04E20ABB" w14:textId="77777777" w:rsidR="00F2231E" w:rsidRPr="005D1862" w:rsidRDefault="00F2231E" w:rsidP="00F2231E">
            <w:pPr>
              <w:spacing w:before="0" w:after="0"/>
              <w:jc w:val="left"/>
              <w:rPr>
                <w:rFonts w:eastAsia="Times New Roman" w:cs="Times New Roman"/>
                <w:color w:val="000000"/>
                <w:sz w:val="20"/>
                <w:szCs w:val="20"/>
                <w:lang w:val="sr-Latn-RS" w:eastAsia="sr-Latn-RS"/>
              </w:rPr>
            </w:pPr>
            <w:r w:rsidRPr="005D1862">
              <w:rPr>
                <w:rFonts w:eastAsia="Times New Roman" w:cs="Arial"/>
                <w:color w:val="000000"/>
                <w:sz w:val="20"/>
                <w:szCs w:val="20"/>
                <w:lang w:val="sr-Latn-RS" w:eastAsia="sr-Latn-RS"/>
              </w:rPr>
              <w:t>None</w:t>
            </w:r>
          </w:p>
        </w:tc>
        <w:tc>
          <w:tcPr>
            <w:tcW w:w="828" w:type="pct"/>
            <w:tcBorders>
              <w:top w:val="single" w:sz="4" w:space="0" w:color="auto"/>
              <w:left w:val="nil"/>
              <w:bottom w:val="nil"/>
              <w:right w:val="nil"/>
            </w:tcBorders>
            <w:shd w:val="clear" w:color="auto" w:fill="auto"/>
            <w:hideMark/>
          </w:tcPr>
          <w:p w14:paraId="6EC25E54" w14:textId="2712462F" w:rsidR="00F2231E" w:rsidRPr="00F2231E" w:rsidRDefault="00F2231E" w:rsidP="00F2231E">
            <w:pPr>
              <w:spacing w:before="0" w:after="0"/>
              <w:jc w:val="right"/>
              <w:rPr>
                <w:rFonts w:eastAsia="Times New Roman" w:cs="Times New Roman"/>
                <w:color w:val="000000"/>
                <w:sz w:val="20"/>
                <w:szCs w:val="18"/>
                <w:lang w:val="sr-Latn-RS" w:eastAsia="sr-Latn-RS"/>
              </w:rPr>
            </w:pPr>
            <w:r w:rsidRPr="00F2231E">
              <w:rPr>
                <w:sz w:val="20"/>
                <w:szCs w:val="18"/>
              </w:rPr>
              <w:t>338</w:t>
            </w:r>
          </w:p>
        </w:tc>
        <w:tc>
          <w:tcPr>
            <w:tcW w:w="929" w:type="pct"/>
            <w:tcBorders>
              <w:top w:val="single" w:sz="4" w:space="0" w:color="auto"/>
              <w:left w:val="nil"/>
              <w:bottom w:val="nil"/>
              <w:right w:val="nil"/>
            </w:tcBorders>
            <w:shd w:val="clear" w:color="auto" w:fill="auto"/>
            <w:hideMark/>
          </w:tcPr>
          <w:p w14:paraId="31A9B7C6" w14:textId="46353BA0" w:rsidR="00F2231E" w:rsidRPr="00F2231E" w:rsidRDefault="00F2231E" w:rsidP="00F2231E">
            <w:pPr>
              <w:spacing w:before="0" w:after="0"/>
              <w:jc w:val="right"/>
              <w:rPr>
                <w:rFonts w:eastAsia="Times New Roman" w:cs="Times New Roman"/>
                <w:color w:val="000000"/>
                <w:sz w:val="20"/>
                <w:szCs w:val="18"/>
                <w:lang w:val="sr-Latn-RS" w:eastAsia="sr-Latn-RS"/>
              </w:rPr>
            </w:pPr>
            <w:r w:rsidRPr="00F2231E">
              <w:rPr>
                <w:sz w:val="20"/>
                <w:szCs w:val="18"/>
              </w:rPr>
              <w:t>12</w:t>
            </w:r>
          </w:p>
        </w:tc>
        <w:tc>
          <w:tcPr>
            <w:tcW w:w="1351" w:type="pct"/>
            <w:tcBorders>
              <w:top w:val="single" w:sz="4" w:space="0" w:color="auto"/>
              <w:left w:val="nil"/>
              <w:bottom w:val="nil"/>
              <w:right w:val="nil"/>
            </w:tcBorders>
            <w:shd w:val="clear" w:color="auto" w:fill="auto"/>
            <w:hideMark/>
          </w:tcPr>
          <w:p w14:paraId="56FBF920" w14:textId="74ECB59A" w:rsidR="00F2231E" w:rsidRPr="00F2231E" w:rsidRDefault="00F2231E" w:rsidP="00F2231E">
            <w:pPr>
              <w:spacing w:before="0" w:after="0"/>
              <w:jc w:val="right"/>
              <w:rPr>
                <w:rFonts w:eastAsia="Times New Roman" w:cs="Times New Roman"/>
                <w:color w:val="000000"/>
                <w:sz w:val="20"/>
                <w:szCs w:val="18"/>
                <w:lang w:val="sr-Latn-RS" w:eastAsia="sr-Latn-RS"/>
              </w:rPr>
            </w:pPr>
            <w:r w:rsidRPr="00F2231E">
              <w:rPr>
                <w:sz w:val="20"/>
                <w:szCs w:val="18"/>
              </w:rPr>
              <w:t>96.</w:t>
            </w:r>
            <w:r>
              <w:rPr>
                <w:sz w:val="20"/>
                <w:szCs w:val="18"/>
              </w:rPr>
              <w:t>6</w:t>
            </w:r>
            <w:r w:rsidRPr="00F2231E">
              <w:rPr>
                <w:sz w:val="20"/>
                <w:szCs w:val="18"/>
              </w:rPr>
              <w:t>%</w:t>
            </w:r>
          </w:p>
        </w:tc>
      </w:tr>
      <w:tr w:rsidR="00F2231E" w:rsidRPr="005D1862" w14:paraId="36608C4D" w14:textId="77777777" w:rsidTr="00DC3687">
        <w:trPr>
          <w:trHeight w:val="255"/>
        </w:trPr>
        <w:tc>
          <w:tcPr>
            <w:tcW w:w="737" w:type="pct"/>
            <w:vMerge/>
            <w:tcBorders>
              <w:top w:val="nil"/>
              <w:left w:val="nil"/>
              <w:bottom w:val="nil"/>
              <w:right w:val="nil"/>
            </w:tcBorders>
            <w:vAlign w:val="center"/>
            <w:hideMark/>
          </w:tcPr>
          <w:p w14:paraId="2A2F67B4" w14:textId="77777777" w:rsidR="00F2231E" w:rsidRPr="005D1862" w:rsidRDefault="00F2231E" w:rsidP="00F2231E">
            <w:pPr>
              <w:spacing w:before="0" w:after="0"/>
              <w:jc w:val="left"/>
              <w:rPr>
                <w:rFonts w:eastAsia="Times New Roman" w:cs="Times New Roman"/>
                <w:color w:val="000000"/>
                <w:sz w:val="20"/>
                <w:szCs w:val="20"/>
                <w:lang w:val="sr-Latn-RS" w:eastAsia="sr-Latn-RS"/>
              </w:rPr>
            </w:pPr>
          </w:p>
        </w:tc>
        <w:tc>
          <w:tcPr>
            <w:tcW w:w="1155" w:type="pct"/>
            <w:tcBorders>
              <w:top w:val="nil"/>
              <w:left w:val="nil"/>
              <w:bottom w:val="nil"/>
              <w:right w:val="nil"/>
            </w:tcBorders>
            <w:shd w:val="clear" w:color="auto" w:fill="auto"/>
            <w:vAlign w:val="center"/>
            <w:hideMark/>
          </w:tcPr>
          <w:p w14:paraId="77AA32C3" w14:textId="77777777" w:rsidR="00F2231E" w:rsidRPr="005D1862" w:rsidRDefault="00F2231E" w:rsidP="00F2231E">
            <w:pPr>
              <w:spacing w:before="0" w:after="0"/>
              <w:jc w:val="left"/>
              <w:rPr>
                <w:rFonts w:eastAsia="Times New Roman" w:cs="Times New Roman"/>
                <w:color w:val="000000"/>
                <w:sz w:val="20"/>
                <w:szCs w:val="20"/>
                <w:lang w:val="sr-Latn-RS" w:eastAsia="sr-Latn-RS"/>
              </w:rPr>
            </w:pPr>
            <w:r w:rsidRPr="005D1862">
              <w:rPr>
                <w:rFonts w:eastAsia="Times New Roman" w:cs="Arial"/>
                <w:color w:val="000000"/>
                <w:sz w:val="20"/>
                <w:szCs w:val="20"/>
                <w:lang w:val="sr-Latn-RS" w:eastAsia="sr-Latn-RS"/>
              </w:rPr>
              <w:t>Quasi-fault</w:t>
            </w:r>
          </w:p>
        </w:tc>
        <w:tc>
          <w:tcPr>
            <w:tcW w:w="828" w:type="pct"/>
            <w:tcBorders>
              <w:top w:val="nil"/>
              <w:left w:val="nil"/>
              <w:bottom w:val="nil"/>
              <w:right w:val="nil"/>
            </w:tcBorders>
            <w:shd w:val="clear" w:color="auto" w:fill="auto"/>
            <w:hideMark/>
          </w:tcPr>
          <w:p w14:paraId="576A62E4" w14:textId="2907C40A" w:rsidR="00F2231E" w:rsidRPr="00F2231E" w:rsidRDefault="00F2231E" w:rsidP="00F2231E">
            <w:pPr>
              <w:spacing w:before="0" w:after="0"/>
              <w:jc w:val="right"/>
              <w:rPr>
                <w:rFonts w:eastAsia="Times New Roman" w:cs="Times New Roman"/>
                <w:color w:val="000000"/>
                <w:sz w:val="20"/>
                <w:szCs w:val="18"/>
                <w:lang w:val="sr-Latn-RS" w:eastAsia="sr-Latn-RS"/>
              </w:rPr>
            </w:pPr>
            <w:r w:rsidRPr="00F2231E">
              <w:rPr>
                <w:sz w:val="20"/>
                <w:szCs w:val="18"/>
              </w:rPr>
              <w:t>19</w:t>
            </w:r>
          </w:p>
        </w:tc>
        <w:tc>
          <w:tcPr>
            <w:tcW w:w="929" w:type="pct"/>
            <w:tcBorders>
              <w:top w:val="nil"/>
              <w:left w:val="nil"/>
              <w:bottom w:val="nil"/>
              <w:right w:val="nil"/>
            </w:tcBorders>
            <w:shd w:val="clear" w:color="auto" w:fill="auto"/>
            <w:hideMark/>
          </w:tcPr>
          <w:p w14:paraId="2760AF01" w14:textId="3ADD403B" w:rsidR="00F2231E" w:rsidRPr="00F2231E" w:rsidRDefault="00F2231E" w:rsidP="00F2231E">
            <w:pPr>
              <w:spacing w:before="0" w:after="0"/>
              <w:jc w:val="right"/>
              <w:rPr>
                <w:rFonts w:eastAsia="Times New Roman" w:cs="Times New Roman"/>
                <w:color w:val="000000"/>
                <w:sz w:val="20"/>
                <w:szCs w:val="18"/>
                <w:lang w:val="sr-Latn-RS" w:eastAsia="sr-Latn-RS"/>
              </w:rPr>
            </w:pPr>
            <w:r w:rsidRPr="00F2231E">
              <w:rPr>
                <w:sz w:val="20"/>
                <w:szCs w:val="18"/>
              </w:rPr>
              <w:t>317</w:t>
            </w:r>
          </w:p>
        </w:tc>
        <w:tc>
          <w:tcPr>
            <w:tcW w:w="1351" w:type="pct"/>
            <w:tcBorders>
              <w:top w:val="nil"/>
              <w:left w:val="nil"/>
              <w:bottom w:val="nil"/>
              <w:right w:val="nil"/>
            </w:tcBorders>
            <w:shd w:val="clear" w:color="auto" w:fill="auto"/>
            <w:hideMark/>
          </w:tcPr>
          <w:p w14:paraId="43267B9A" w14:textId="19C583A7" w:rsidR="00F2231E" w:rsidRPr="00F2231E" w:rsidRDefault="00F2231E" w:rsidP="00F2231E">
            <w:pPr>
              <w:spacing w:before="0" w:after="0"/>
              <w:jc w:val="right"/>
              <w:rPr>
                <w:rFonts w:eastAsia="Times New Roman" w:cs="Times New Roman"/>
                <w:color w:val="000000"/>
                <w:sz w:val="20"/>
                <w:szCs w:val="18"/>
                <w:lang w:val="sr-Latn-RS" w:eastAsia="sr-Latn-RS"/>
              </w:rPr>
            </w:pPr>
            <w:r w:rsidRPr="00F2231E">
              <w:rPr>
                <w:sz w:val="20"/>
                <w:szCs w:val="18"/>
              </w:rPr>
              <w:t>94.3%</w:t>
            </w:r>
          </w:p>
        </w:tc>
      </w:tr>
      <w:tr w:rsidR="00F2231E" w:rsidRPr="005D1862" w14:paraId="553D85E5" w14:textId="77777777" w:rsidTr="00DC3687">
        <w:trPr>
          <w:trHeight w:val="255"/>
        </w:trPr>
        <w:tc>
          <w:tcPr>
            <w:tcW w:w="737" w:type="pct"/>
            <w:vMerge/>
            <w:tcBorders>
              <w:top w:val="nil"/>
              <w:left w:val="nil"/>
              <w:right w:val="nil"/>
            </w:tcBorders>
            <w:vAlign w:val="center"/>
            <w:hideMark/>
          </w:tcPr>
          <w:p w14:paraId="30F33925" w14:textId="77777777" w:rsidR="00F2231E" w:rsidRPr="005D1862" w:rsidRDefault="00F2231E" w:rsidP="00F2231E">
            <w:pPr>
              <w:spacing w:before="0" w:after="0"/>
              <w:jc w:val="left"/>
              <w:rPr>
                <w:rFonts w:eastAsia="Times New Roman" w:cs="Times New Roman"/>
                <w:color w:val="000000"/>
                <w:sz w:val="20"/>
                <w:szCs w:val="20"/>
                <w:lang w:val="sr-Latn-RS" w:eastAsia="sr-Latn-RS"/>
              </w:rPr>
            </w:pPr>
          </w:p>
        </w:tc>
        <w:tc>
          <w:tcPr>
            <w:tcW w:w="1155" w:type="pct"/>
            <w:tcBorders>
              <w:top w:val="nil"/>
              <w:left w:val="nil"/>
              <w:right w:val="nil"/>
            </w:tcBorders>
            <w:shd w:val="clear" w:color="auto" w:fill="auto"/>
            <w:vAlign w:val="center"/>
            <w:hideMark/>
          </w:tcPr>
          <w:p w14:paraId="7DE40BBE" w14:textId="77777777" w:rsidR="00F2231E" w:rsidRPr="005D1862" w:rsidRDefault="00F2231E" w:rsidP="00F2231E">
            <w:pPr>
              <w:spacing w:before="0" w:after="0"/>
              <w:jc w:val="left"/>
              <w:rPr>
                <w:rFonts w:eastAsia="Times New Roman" w:cs="Times New Roman"/>
                <w:color w:val="000000"/>
                <w:sz w:val="20"/>
                <w:szCs w:val="20"/>
                <w:lang w:val="sr-Latn-RS" w:eastAsia="sr-Latn-RS"/>
              </w:rPr>
            </w:pPr>
            <w:r w:rsidRPr="005D1862">
              <w:rPr>
                <w:rFonts w:eastAsia="Times New Roman" w:cs="Arial"/>
                <w:color w:val="000000"/>
                <w:sz w:val="20"/>
                <w:szCs w:val="20"/>
                <w:lang w:val="sr-Latn-RS" w:eastAsia="sr-Latn-RS"/>
              </w:rPr>
              <w:t>Overall Percentage</w:t>
            </w:r>
          </w:p>
        </w:tc>
        <w:tc>
          <w:tcPr>
            <w:tcW w:w="828" w:type="pct"/>
            <w:tcBorders>
              <w:top w:val="nil"/>
              <w:left w:val="nil"/>
              <w:right w:val="nil"/>
            </w:tcBorders>
            <w:shd w:val="clear" w:color="auto" w:fill="auto"/>
            <w:noWrap/>
            <w:hideMark/>
          </w:tcPr>
          <w:p w14:paraId="30A366EB" w14:textId="39B5869F" w:rsidR="00F2231E" w:rsidRPr="00F2231E" w:rsidRDefault="00F2231E" w:rsidP="00F2231E">
            <w:pPr>
              <w:spacing w:before="0" w:after="0"/>
              <w:jc w:val="right"/>
              <w:rPr>
                <w:rFonts w:eastAsia="Times New Roman" w:cs="Times New Roman"/>
                <w:color w:val="000000"/>
                <w:sz w:val="20"/>
                <w:szCs w:val="18"/>
                <w:lang w:val="sr-Latn-RS" w:eastAsia="sr-Latn-RS"/>
              </w:rPr>
            </w:pPr>
            <w:r w:rsidRPr="00F2231E">
              <w:rPr>
                <w:sz w:val="20"/>
                <w:szCs w:val="18"/>
              </w:rPr>
              <w:t>52.0%</w:t>
            </w:r>
          </w:p>
        </w:tc>
        <w:tc>
          <w:tcPr>
            <w:tcW w:w="929" w:type="pct"/>
            <w:tcBorders>
              <w:top w:val="nil"/>
              <w:left w:val="nil"/>
              <w:right w:val="nil"/>
            </w:tcBorders>
            <w:shd w:val="clear" w:color="auto" w:fill="auto"/>
            <w:noWrap/>
            <w:hideMark/>
          </w:tcPr>
          <w:p w14:paraId="07B0189F" w14:textId="1F0D9B04" w:rsidR="00F2231E" w:rsidRPr="00F2231E" w:rsidRDefault="00F2231E" w:rsidP="00F2231E">
            <w:pPr>
              <w:spacing w:before="0" w:after="0"/>
              <w:jc w:val="right"/>
              <w:rPr>
                <w:rFonts w:eastAsia="Times New Roman" w:cs="Times New Roman"/>
                <w:color w:val="000000"/>
                <w:sz w:val="20"/>
                <w:szCs w:val="18"/>
                <w:lang w:val="sr-Latn-RS" w:eastAsia="sr-Latn-RS"/>
              </w:rPr>
            </w:pPr>
            <w:r w:rsidRPr="00F2231E">
              <w:rPr>
                <w:sz w:val="20"/>
                <w:szCs w:val="18"/>
              </w:rPr>
              <w:t>48.0%</w:t>
            </w:r>
          </w:p>
        </w:tc>
        <w:tc>
          <w:tcPr>
            <w:tcW w:w="1351" w:type="pct"/>
            <w:tcBorders>
              <w:top w:val="nil"/>
              <w:left w:val="nil"/>
              <w:right w:val="nil"/>
            </w:tcBorders>
            <w:shd w:val="clear" w:color="auto" w:fill="auto"/>
            <w:hideMark/>
          </w:tcPr>
          <w:p w14:paraId="09AD37AC" w14:textId="198B8DA4" w:rsidR="00F2231E" w:rsidRPr="00F2231E" w:rsidRDefault="00F2231E" w:rsidP="00F2231E">
            <w:pPr>
              <w:spacing w:before="0" w:after="0"/>
              <w:jc w:val="right"/>
              <w:rPr>
                <w:rFonts w:eastAsia="Times New Roman" w:cs="Times New Roman"/>
                <w:b/>
                <w:bCs/>
                <w:color w:val="000000"/>
                <w:sz w:val="20"/>
                <w:szCs w:val="18"/>
                <w:lang w:val="sr-Latn-RS" w:eastAsia="sr-Latn-RS"/>
              </w:rPr>
            </w:pPr>
            <w:r w:rsidRPr="00F2231E">
              <w:rPr>
                <w:b/>
                <w:bCs/>
                <w:sz w:val="20"/>
                <w:szCs w:val="18"/>
              </w:rPr>
              <w:t>95.</w:t>
            </w:r>
            <w:r>
              <w:rPr>
                <w:b/>
                <w:bCs/>
                <w:sz w:val="20"/>
                <w:szCs w:val="18"/>
              </w:rPr>
              <w:t>5</w:t>
            </w:r>
            <w:r w:rsidRPr="00F2231E">
              <w:rPr>
                <w:b/>
                <w:bCs/>
                <w:sz w:val="20"/>
                <w:szCs w:val="18"/>
              </w:rPr>
              <w:t>%</w:t>
            </w:r>
          </w:p>
        </w:tc>
      </w:tr>
      <w:tr w:rsidR="00F2231E" w:rsidRPr="005D1862" w14:paraId="61FAF72D" w14:textId="77777777" w:rsidTr="00DC3687">
        <w:trPr>
          <w:cantSplit/>
          <w:trHeight w:val="255"/>
        </w:trPr>
        <w:tc>
          <w:tcPr>
            <w:tcW w:w="737" w:type="pct"/>
            <w:vMerge w:val="restart"/>
            <w:tcBorders>
              <w:top w:val="nil"/>
              <w:left w:val="nil"/>
              <w:bottom w:val="single" w:sz="8" w:space="0" w:color="152935"/>
              <w:right w:val="nil"/>
            </w:tcBorders>
            <w:shd w:val="clear" w:color="auto" w:fill="auto"/>
            <w:vAlign w:val="center"/>
            <w:hideMark/>
          </w:tcPr>
          <w:p w14:paraId="344675D0" w14:textId="77777777" w:rsidR="00F2231E" w:rsidRPr="005D1862" w:rsidRDefault="00F2231E" w:rsidP="00F2231E">
            <w:pPr>
              <w:spacing w:before="0" w:after="0"/>
              <w:jc w:val="left"/>
              <w:rPr>
                <w:rFonts w:eastAsia="Times New Roman" w:cs="Times New Roman"/>
                <w:color w:val="000000"/>
                <w:sz w:val="20"/>
                <w:szCs w:val="20"/>
                <w:lang w:val="sr-Latn-RS" w:eastAsia="sr-Latn-RS"/>
              </w:rPr>
            </w:pPr>
            <w:r w:rsidRPr="005D1862">
              <w:rPr>
                <w:rFonts w:eastAsia="Times New Roman" w:cs="Arial"/>
                <w:color w:val="000000"/>
                <w:sz w:val="20"/>
                <w:szCs w:val="20"/>
                <w:lang w:val="sr-Latn-RS" w:eastAsia="sr-Latn-RS"/>
              </w:rPr>
              <w:t>Test</w:t>
            </w:r>
          </w:p>
        </w:tc>
        <w:tc>
          <w:tcPr>
            <w:tcW w:w="1155" w:type="pct"/>
            <w:tcBorders>
              <w:top w:val="nil"/>
              <w:left w:val="nil"/>
              <w:bottom w:val="nil"/>
              <w:right w:val="nil"/>
            </w:tcBorders>
            <w:shd w:val="clear" w:color="auto" w:fill="auto"/>
            <w:vAlign w:val="center"/>
            <w:hideMark/>
          </w:tcPr>
          <w:p w14:paraId="0E227B51" w14:textId="77777777" w:rsidR="00F2231E" w:rsidRPr="005D1862" w:rsidRDefault="00F2231E" w:rsidP="00F2231E">
            <w:pPr>
              <w:spacing w:before="0" w:after="0"/>
              <w:jc w:val="left"/>
              <w:rPr>
                <w:rFonts w:eastAsia="Times New Roman" w:cs="Times New Roman"/>
                <w:color w:val="000000"/>
                <w:sz w:val="20"/>
                <w:szCs w:val="20"/>
                <w:lang w:val="sr-Latn-RS" w:eastAsia="sr-Latn-RS"/>
              </w:rPr>
            </w:pPr>
            <w:r w:rsidRPr="005D1862">
              <w:rPr>
                <w:rFonts w:eastAsia="Times New Roman" w:cs="Arial"/>
                <w:color w:val="000000"/>
                <w:sz w:val="20"/>
                <w:szCs w:val="20"/>
                <w:lang w:val="sr-Latn-RS" w:eastAsia="sr-Latn-RS"/>
              </w:rPr>
              <w:t>None</w:t>
            </w:r>
          </w:p>
        </w:tc>
        <w:tc>
          <w:tcPr>
            <w:tcW w:w="828" w:type="pct"/>
            <w:tcBorders>
              <w:top w:val="nil"/>
              <w:left w:val="nil"/>
              <w:bottom w:val="nil"/>
              <w:right w:val="nil"/>
            </w:tcBorders>
            <w:shd w:val="clear" w:color="auto" w:fill="auto"/>
            <w:hideMark/>
          </w:tcPr>
          <w:p w14:paraId="5BE1823B" w14:textId="50DC3366" w:rsidR="00F2231E" w:rsidRPr="00F2231E" w:rsidRDefault="00F2231E" w:rsidP="00F2231E">
            <w:pPr>
              <w:spacing w:before="0" w:after="0"/>
              <w:jc w:val="right"/>
              <w:rPr>
                <w:rFonts w:eastAsia="Times New Roman" w:cs="Times New Roman"/>
                <w:color w:val="000000"/>
                <w:sz w:val="20"/>
                <w:szCs w:val="18"/>
                <w:lang w:val="sr-Latn-RS" w:eastAsia="sr-Latn-RS"/>
              </w:rPr>
            </w:pPr>
            <w:r w:rsidRPr="00F2231E">
              <w:rPr>
                <w:sz w:val="20"/>
                <w:szCs w:val="18"/>
              </w:rPr>
              <w:t>133</w:t>
            </w:r>
          </w:p>
        </w:tc>
        <w:tc>
          <w:tcPr>
            <w:tcW w:w="929" w:type="pct"/>
            <w:tcBorders>
              <w:top w:val="nil"/>
              <w:left w:val="nil"/>
              <w:bottom w:val="nil"/>
              <w:right w:val="nil"/>
            </w:tcBorders>
            <w:shd w:val="clear" w:color="auto" w:fill="auto"/>
            <w:hideMark/>
          </w:tcPr>
          <w:p w14:paraId="754DE6ED" w14:textId="3D6EA2D2" w:rsidR="00F2231E" w:rsidRPr="00F2231E" w:rsidRDefault="00F2231E" w:rsidP="00F2231E">
            <w:pPr>
              <w:spacing w:before="0" w:after="0"/>
              <w:jc w:val="right"/>
              <w:rPr>
                <w:rFonts w:eastAsia="Times New Roman" w:cs="Times New Roman"/>
                <w:color w:val="000000"/>
                <w:sz w:val="20"/>
                <w:szCs w:val="18"/>
                <w:lang w:val="sr-Latn-RS" w:eastAsia="sr-Latn-RS"/>
              </w:rPr>
            </w:pPr>
            <w:r w:rsidRPr="00F2231E">
              <w:rPr>
                <w:sz w:val="20"/>
                <w:szCs w:val="18"/>
              </w:rPr>
              <w:t>12</w:t>
            </w:r>
          </w:p>
        </w:tc>
        <w:tc>
          <w:tcPr>
            <w:tcW w:w="1351" w:type="pct"/>
            <w:tcBorders>
              <w:top w:val="nil"/>
              <w:left w:val="nil"/>
              <w:bottom w:val="nil"/>
              <w:right w:val="nil"/>
            </w:tcBorders>
            <w:shd w:val="clear" w:color="auto" w:fill="auto"/>
            <w:hideMark/>
          </w:tcPr>
          <w:p w14:paraId="48A0F59A" w14:textId="5125E5EB" w:rsidR="00F2231E" w:rsidRPr="00F2231E" w:rsidRDefault="00F2231E" w:rsidP="00F2231E">
            <w:pPr>
              <w:spacing w:before="0" w:after="0"/>
              <w:jc w:val="right"/>
              <w:rPr>
                <w:rFonts w:eastAsia="Times New Roman" w:cs="Times New Roman"/>
                <w:color w:val="000000"/>
                <w:sz w:val="20"/>
                <w:szCs w:val="18"/>
                <w:lang w:val="sr-Latn-RS" w:eastAsia="sr-Latn-RS"/>
              </w:rPr>
            </w:pPr>
            <w:r w:rsidRPr="00F2231E">
              <w:rPr>
                <w:sz w:val="20"/>
                <w:szCs w:val="18"/>
              </w:rPr>
              <w:t>91.7%</w:t>
            </w:r>
          </w:p>
        </w:tc>
      </w:tr>
      <w:tr w:rsidR="00F2231E" w:rsidRPr="005D1862" w14:paraId="36250B61" w14:textId="77777777" w:rsidTr="00DC3687">
        <w:trPr>
          <w:trHeight w:val="255"/>
        </w:trPr>
        <w:tc>
          <w:tcPr>
            <w:tcW w:w="737" w:type="pct"/>
            <w:vMerge/>
            <w:tcBorders>
              <w:top w:val="nil"/>
              <w:left w:val="nil"/>
              <w:bottom w:val="single" w:sz="8" w:space="0" w:color="152935"/>
              <w:right w:val="nil"/>
            </w:tcBorders>
            <w:vAlign w:val="center"/>
            <w:hideMark/>
          </w:tcPr>
          <w:p w14:paraId="73E95834" w14:textId="77777777" w:rsidR="00F2231E" w:rsidRPr="005D1862" w:rsidRDefault="00F2231E" w:rsidP="00F2231E">
            <w:pPr>
              <w:spacing w:before="0" w:after="0"/>
              <w:jc w:val="left"/>
              <w:rPr>
                <w:rFonts w:eastAsia="Times New Roman" w:cs="Times New Roman"/>
                <w:color w:val="000000"/>
                <w:sz w:val="20"/>
                <w:szCs w:val="20"/>
                <w:lang w:val="sr-Latn-RS" w:eastAsia="sr-Latn-RS"/>
              </w:rPr>
            </w:pPr>
          </w:p>
        </w:tc>
        <w:tc>
          <w:tcPr>
            <w:tcW w:w="1155" w:type="pct"/>
            <w:tcBorders>
              <w:top w:val="nil"/>
              <w:left w:val="nil"/>
              <w:bottom w:val="nil"/>
              <w:right w:val="nil"/>
            </w:tcBorders>
            <w:shd w:val="clear" w:color="auto" w:fill="auto"/>
            <w:vAlign w:val="center"/>
            <w:hideMark/>
          </w:tcPr>
          <w:p w14:paraId="59E9C171" w14:textId="77777777" w:rsidR="00F2231E" w:rsidRPr="005D1862" w:rsidRDefault="00F2231E" w:rsidP="00F2231E">
            <w:pPr>
              <w:spacing w:before="0" w:after="0"/>
              <w:jc w:val="left"/>
              <w:rPr>
                <w:rFonts w:eastAsia="Times New Roman" w:cs="Times New Roman"/>
                <w:color w:val="000000"/>
                <w:sz w:val="20"/>
                <w:szCs w:val="20"/>
                <w:lang w:val="sr-Latn-RS" w:eastAsia="sr-Latn-RS"/>
              </w:rPr>
            </w:pPr>
            <w:r w:rsidRPr="005D1862">
              <w:rPr>
                <w:rFonts w:eastAsia="Times New Roman" w:cs="Arial"/>
                <w:color w:val="000000"/>
                <w:sz w:val="20"/>
                <w:szCs w:val="20"/>
                <w:lang w:val="sr-Latn-RS" w:eastAsia="sr-Latn-RS"/>
              </w:rPr>
              <w:t>Quasi-fault</w:t>
            </w:r>
          </w:p>
        </w:tc>
        <w:tc>
          <w:tcPr>
            <w:tcW w:w="828" w:type="pct"/>
            <w:tcBorders>
              <w:top w:val="nil"/>
              <w:left w:val="nil"/>
              <w:bottom w:val="nil"/>
              <w:right w:val="nil"/>
            </w:tcBorders>
            <w:shd w:val="clear" w:color="auto" w:fill="auto"/>
            <w:hideMark/>
          </w:tcPr>
          <w:p w14:paraId="77AF044F" w14:textId="52339B5C" w:rsidR="00F2231E" w:rsidRPr="00F2231E" w:rsidRDefault="00F2231E" w:rsidP="00F2231E">
            <w:pPr>
              <w:spacing w:before="0" w:after="0"/>
              <w:jc w:val="right"/>
              <w:rPr>
                <w:rFonts w:eastAsia="Times New Roman" w:cs="Times New Roman"/>
                <w:color w:val="000000"/>
                <w:sz w:val="20"/>
                <w:szCs w:val="18"/>
                <w:lang w:val="sr-Latn-RS" w:eastAsia="sr-Latn-RS"/>
              </w:rPr>
            </w:pPr>
            <w:r w:rsidRPr="00F2231E">
              <w:rPr>
                <w:sz w:val="20"/>
                <w:szCs w:val="18"/>
              </w:rPr>
              <w:t>27</w:t>
            </w:r>
          </w:p>
        </w:tc>
        <w:tc>
          <w:tcPr>
            <w:tcW w:w="929" w:type="pct"/>
            <w:tcBorders>
              <w:top w:val="nil"/>
              <w:left w:val="nil"/>
              <w:bottom w:val="nil"/>
              <w:right w:val="nil"/>
            </w:tcBorders>
            <w:shd w:val="clear" w:color="auto" w:fill="auto"/>
            <w:hideMark/>
          </w:tcPr>
          <w:p w14:paraId="104538FF" w14:textId="316B2031" w:rsidR="00F2231E" w:rsidRPr="00F2231E" w:rsidRDefault="00F2231E" w:rsidP="00F2231E">
            <w:pPr>
              <w:spacing w:before="0" w:after="0"/>
              <w:jc w:val="right"/>
              <w:rPr>
                <w:rFonts w:eastAsia="Times New Roman" w:cs="Times New Roman"/>
                <w:color w:val="000000"/>
                <w:sz w:val="20"/>
                <w:szCs w:val="18"/>
                <w:lang w:val="sr-Latn-RS" w:eastAsia="sr-Latn-RS"/>
              </w:rPr>
            </w:pPr>
            <w:r w:rsidRPr="00F2231E">
              <w:rPr>
                <w:sz w:val="20"/>
                <w:szCs w:val="18"/>
              </w:rPr>
              <w:t>124</w:t>
            </w:r>
          </w:p>
        </w:tc>
        <w:tc>
          <w:tcPr>
            <w:tcW w:w="1351" w:type="pct"/>
            <w:tcBorders>
              <w:top w:val="nil"/>
              <w:left w:val="nil"/>
              <w:bottom w:val="nil"/>
              <w:right w:val="nil"/>
            </w:tcBorders>
            <w:shd w:val="clear" w:color="auto" w:fill="auto"/>
            <w:hideMark/>
          </w:tcPr>
          <w:p w14:paraId="4AA85080" w14:textId="1C42FE63" w:rsidR="00F2231E" w:rsidRPr="00F2231E" w:rsidRDefault="00F2231E" w:rsidP="00F2231E">
            <w:pPr>
              <w:spacing w:before="0" w:after="0"/>
              <w:jc w:val="right"/>
              <w:rPr>
                <w:rFonts w:eastAsia="Times New Roman" w:cs="Times New Roman"/>
                <w:color w:val="000000"/>
                <w:sz w:val="20"/>
                <w:szCs w:val="18"/>
                <w:lang w:val="sr-Latn-RS" w:eastAsia="sr-Latn-RS"/>
              </w:rPr>
            </w:pPr>
            <w:r w:rsidRPr="00F2231E">
              <w:rPr>
                <w:sz w:val="20"/>
                <w:szCs w:val="18"/>
              </w:rPr>
              <w:t>82.1%</w:t>
            </w:r>
          </w:p>
        </w:tc>
      </w:tr>
      <w:tr w:rsidR="00F2231E" w:rsidRPr="005D1862" w14:paraId="65663E05" w14:textId="77777777" w:rsidTr="00DC3687">
        <w:trPr>
          <w:trHeight w:val="270"/>
        </w:trPr>
        <w:tc>
          <w:tcPr>
            <w:tcW w:w="737" w:type="pct"/>
            <w:vMerge/>
            <w:tcBorders>
              <w:top w:val="nil"/>
              <w:left w:val="nil"/>
              <w:bottom w:val="single" w:sz="4" w:space="0" w:color="auto"/>
              <w:right w:val="nil"/>
            </w:tcBorders>
            <w:vAlign w:val="center"/>
            <w:hideMark/>
          </w:tcPr>
          <w:p w14:paraId="463249A7" w14:textId="77777777" w:rsidR="00F2231E" w:rsidRPr="005D1862" w:rsidRDefault="00F2231E" w:rsidP="00F2231E">
            <w:pPr>
              <w:spacing w:before="0" w:after="0"/>
              <w:jc w:val="left"/>
              <w:rPr>
                <w:rFonts w:eastAsia="Times New Roman" w:cs="Times New Roman"/>
                <w:color w:val="000000"/>
                <w:sz w:val="20"/>
                <w:szCs w:val="20"/>
                <w:lang w:val="sr-Latn-RS" w:eastAsia="sr-Latn-RS"/>
              </w:rPr>
            </w:pPr>
          </w:p>
        </w:tc>
        <w:tc>
          <w:tcPr>
            <w:tcW w:w="1155" w:type="pct"/>
            <w:tcBorders>
              <w:top w:val="nil"/>
              <w:left w:val="nil"/>
              <w:bottom w:val="single" w:sz="4" w:space="0" w:color="auto"/>
              <w:right w:val="nil"/>
            </w:tcBorders>
            <w:shd w:val="clear" w:color="auto" w:fill="auto"/>
            <w:vAlign w:val="center"/>
            <w:hideMark/>
          </w:tcPr>
          <w:p w14:paraId="1240551A" w14:textId="77777777" w:rsidR="00F2231E" w:rsidRPr="005D1862" w:rsidRDefault="00F2231E" w:rsidP="00F2231E">
            <w:pPr>
              <w:spacing w:before="0" w:after="0"/>
              <w:jc w:val="left"/>
              <w:rPr>
                <w:rFonts w:eastAsia="Times New Roman" w:cs="Times New Roman"/>
                <w:color w:val="000000"/>
                <w:sz w:val="20"/>
                <w:szCs w:val="20"/>
                <w:lang w:val="sr-Latn-RS" w:eastAsia="sr-Latn-RS"/>
              </w:rPr>
            </w:pPr>
            <w:r w:rsidRPr="005D1862">
              <w:rPr>
                <w:rFonts w:eastAsia="Times New Roman" w:cs="Arial"/>
                <w:color w:val="000000"/>
                <w:sz w:val="20"/>
                <w:szCs w:val="20"/>
                <w:lang w:val="sr-Latn-RS" w:eastAsia="sr-Latn-RS"/>
              </w:rPr>
              <w:t>Overall Percentage</w:t>
            </w:r>
          </w:p>
        </w:tc>
        <w:tc>
          <w:tcPr>
            <w:tcW w:w="828" w:type="pct"/>
            <w:tcBorders>
              <w:top w:val="nil"/>
              <w:left w:val="nil"/>
              <w:bottom w:val="single" w:sz="4" w:space="0" w:color="auto"/>
              <w:right w:val="nil"/>
            </w:tcBorders>
            <w:shd w:val="clear" w:color="auto" w:fill="auto"/>
            <w:hideMark/>
          </w:tcPr>
          <w:p w14:paraId="490D7A38" w14:textId="5834D0AB" w:rsidR="00F2231E" w:rsidRPr="00F2231E" w:rsidRDefault="00F2231E" w:rsidP="00F2231E">
            <w:pPr>
              <w:spacing w:before="0" w:after="0"/>
              <w:jc w:val="right"/>
              <w:rPr>
                <w:rFonts w:eastAsia="Times New Roman" w:cs="Times New Roman"/>
                <w:color w:val="000000"/>
                <w:sz w:val="20"/>
                <w:szCs w:val="18"/>
                <w:lang w:val="sr-Latn-RS" w:eastAsia="sr-Latn-RS"/>
              </w:rPr>
            </w:pPr>
            <w:r w:rsidRPr="00F2231E">
              <w:rPr>
                <w:sz w:val="20"/>
                <w:szCs w:val="18"/>
              </w:rPr>
              <w:t>54.</w:t>
            </w:r>
            <w:r>
              <w:rPr>
                <w:sz w:val="20"/>
                <w:szCs w:val="18"/>
              </w:rPr>
              <w:t>1</w:t>
            </w:r>
            <w:r w:rsidRPr="00F2231E">
              <w:rPr>
                <w:sz w:val="20"/>
                <w:szCs w:val="18"/>
              </w:rPr>
              <w:t>%</w:t>
            </w:r>
          </w:p>
        </w:tc>
        <w:tc>
          <w:tcPr>
            <w:tcW w:w="929" w:type="pct"/>
            <w:tcBorders>
              <w:top w:val="nil"/>
              <w:left w:val="nil"/>
              <w:bottom w:val="single" w:sz="4" w:space="0" w:color="auto"/>
              <w:right w:val="nil"/>
            </w:tcBorders>
            <w:shd w:val="clear" w:color="auto" w:fill="auto"/>
            <w:hideMark/>
          </w:tcPr>
          <w:p w14:paraId="2516A3E4" w14:textId="03FA4221" w:rsidR="00F2231E" w:rsidRPr="00F2231E" w:rsidRDefault="00F2231E" w:rsidP="00F2231E">
            <w:pPr>
              <w:spacing w:before="0" w:after="0"/>
              <w:jc w:val="right"/>
              <w:rPr>
                <w:rFonts w:eastAsia="Times New Roman" w:cs="Times New Roman"/>
                <w:color w:val="000000"/>
                <w:sz w:val="20"/>
                <w:szCs w:val="18"/>
                <w:lang w:val="sr-Latn-RS" w:eastAsia="sr-Latn-RS"/>
              </w:rPr>
            </w:pPr>
            <w:r w:rsidRPr="00F2231E">
              <w:rPr>
                <w:sz w:val="20"/>
                <w:szCs w:val="18"/>
              </w:rPr>
              <w:t>45.9%</w:t>
            </w:r>
          </w:p>
        </w:tc>
        <w:tc>
          <w:tcPr>
            <w:tcW w:w="1351" w:type="pct"/>
            <w:tcBorders>
              <w:top w:val="nil"/>
              <w:left w:val="nil"/>
              <w:bottom w:val="single" w:sz="4" w:space="0" w:color="auto"/>
              <w:right w:val="nil"/>
            </w:tcBorders>
            <w:shd w:val="clear" w:color="auto" w:fill="auto"/>
            <w:hideMark/>
          </w:tcPr>
          <w:p w14:paraId="709A2ABB" w14:textId="7D3603F6" w:rsidR="00F2231E" w:rsidRPr="00F2231E" w:rsidRDefault="00F2231E" w:rsidP="00F2231E">
            <w:pPr>
              <w:spacing w:before="0" w:after="0"/>
              <w:jc w:val="right"/>
              <w:rPr>
                <w:rFonts w:eastAsia="Times New Roman" w:cs="Times New Roman"/>
                <w:b/>
                <w:bCs/>
                <w:color w:val="000000"/>
                <w:sz w:val="20"/>
                <w:szCs w:val="18"/>
                <w:lang w:val="sr-Latn-RS" w:eastAsia="sr-Latn-RS"/>
              </w:rPr>
            </w:pPr>
            <w:r w:rsidRPr="00F2231E">
              <w:rPr>
                <w:b/>
                <w:bCs/>
                <w:sz w:val="20"/>
                <w:szCs w:val="18"/>
              </w:rPr>
              <w:t>86.8%</w:t>
            </w:r>
          </w:p>
        </w:tc>
      </w:tr>
      <w:tr w:rsidR="00F2231E" w:rsidRPr="005D1862" w14:paraId="16E3290A" w14:textId="77777777" w:rsidTr="00DC3687">
        <w:trPr>
          <w:trHeight w:val="255"/>
        </w:trPr>
        <w:tc>
          <w:tcPr>
            <w:tcW w:w="1892" w:type="pct"/>
            <w:gridSpan w:val="2"/>
            <w:tcBorders>
              <w:top w:val="single" w:sz="4" w:space="0" w:color="auto"/>
              <w:left w:val="nil"/>
              <w:bottom w:val="nil"/>
              <w:right w:val="nil"/>
            </w:tcBorders>
            <w:shd w:val="clear" w:color="auto" w:fill="auto"/>
            <w:noWrap/>
            <w:hideMark/>
          </w:tcPr>
          <w:p w14:paraId="1E6629D9" w14:textId="77777777" w:rsidR="00F2231E" w:rsidRPr="00927FCC" w:rsidRDefault="00F2231E" w:rsidP="00DC3687">
            <w:pPr>
              <w:spacing w:before="0" w:after="0"/>
              <w:jc w:val="left"/>
              <w:rPr>
                <w:rFonts w:eastAsia="Times New Roman" w:cs="Times New Roman"/>
                <w:color w:val="000000"/>
                <w:sz w:val="18"/>
                <w:szCs w:val="18"/>
                <w:lang w:val="sr-Latn-RS" w:eastAsia="sr-Latn-RS"/>
              </w:rPr>
            </w:pPr>
            <w:r w:rsidRPr="00927FCC">
              <w:rPr>
                <w:rFonts w:eastAsia="Times New Roman" w:cs="Times New Roman"/>
                <w:color w:val="000000"/>
                <w:sz w:val="18"/>
                <w:szCs w:val="18"/>
                <w:lang w:val="sr-Latn-RS" w:eastAsia="sr-Latn-RS"/>
              </w:rPr>
              <w:t>a. cutoff value at 0.4</w:t>
            </w:r>
          </w:p>
        </w:tc>
        <w:tc>
          <w:tcPr>
            <w:tcW w:w="828" w:type="pct"/>
            <w:tcBorders>
              <w:top w:val="single" w:sz="4" w:space="0" w:color="auto"/>
              <w:left w:val="nil"/>
              <w:bottom w:val="nil"/>
              <w:right w:val="nil"/>
            </w:tcBorders>
            <w:shd w:val="clear" w:color="auto" w:fill="auto"/>
            <w:noWrap/>
            <w:vAlign w:val="bottom"/>
            <w:hideMark/>
          </w:tcPr>
          <w:p w14:paraId="5060301D" w14:textId="77777777" w:rsidR="00F2231E" w:rsidRPr="005D1862" w:rsidRDefault="00F2231E" w:rsidP="00DC3687">
            <w:pPr>
              <w:spacing w:before="0" w:after="0"/>
              <w:jc w:val="left"/>
              <w:rPr>
                <w:rFonts w:eastAsia="Times New Roman" w:cs="Times New Roman"/>
                <w:color w:val="000000"/>
                <w:sz w:val="20"/>
                <w:szCs w:val="20"/>
                <w:lang w:val="sr-Latn-RS" w:eastAsia="sr-Latn-RS"/>
              </w:rPr>
            </w:pPr>
          </w:p>
        </w:tc>
        <w:tc>
          <w:tcPr>
            <w:tcW w:w="929" w:type="pct"/>
            <w:tcBorders>
              <w:top w:val="single" w:sz="4" w:space="0" w:color="auto"/>
              <w:left w:val="nil"/>
              <w:bottom w:val="nil"/>
              <w:right w:val="nil"/>
            </w:tcBorders>
            <w:shd w:val="clear" w:color="auto" w:fill="auto"/>
            <w:noWrap/>
            <w:vAlign w:val="bottom"/>
            <w:hideMark/>
          </w:tcPr>
          <w:p w14:paraId="1522B0EA" w14:textId="77777777" w:rsidR="00F2231E" w:rsidRPr="005D1862" w:rsidRDefault="00F2231E" w:rsidP="00DC3687">
            <w:pPr>
              <w:spacing w:before="0" w:after="0"/>
              <w:jc w:val="left"/>
              <w:rPr>
                <w:rFonts w:ascii="Times New Roman" w:eastAsia="Times New Roman" w:hAnsi="Times New Roman" w:cs="Times New Roman"/>
                <w:sz w:val="20"/>
                <w:szCs w:val="20"/>
                <w:lang w:val="sr-Latn-RS" w:eastAsia="sr-Latn-RS"/>
              </w:rPr>
            </w:pPr>
          </w:p>
        </w:tc>
        <w:tc>
          <w:tcPr>
            <w:tcW w:w="1351" w:type="pct"/>
            <w:tcBorders>
              <w:top w:val="single" w:sz="4" w:space="0" w:color="auto"/>
              <w:left w:val="nil"/>
              <w:bottom w:val="nil"/>
              <w:right w:val="nil"/>
            </w:tcBorders>
            <w:shd w:val="clear" w:color="auto" w:fill="auto"/>
            <w:noWrap/>
            <w:vAlign w:val="bottom"/>
            <w:hideMark/>
          </w:tcPr>
          <w:p w14:paraId="6EE9B575" w14:textId="77777777" w:rsidR="00F2231E" w:rsidRPr="005D1862" w:rsidRDefault="00F2231E" w:rsidP="00DC3687">
            <w:pPr>
              <w:spacing w:before="0" w:after="0"/>
              <w:jc w:val="left"/>
              <w:rPr>
                <w:rFonts w:ascii="Times New Roman" w:eastAsia="Times New Roman" w:hAnsi="Times New Roman" w:cs="Times New Roman"/>
                <w:sz w:val="20"/>
                <w:szCs w:val="20"/>
                <w:lang w:val="sr-Latn-RS" w:eastAsia="sr-Latn-RS"/>
              </w:rPr>
            </w:pPr>
          </w:p>
        </w:tc>
      </w:tr>
    </w:tbl>
    <w:bookmarkEnd w:id="658"/>
    <w:p w14:paraId="717D0F7B" w14:textId="55949DD9" w:rsidR="00044878" w:rsidRDefault="00044878" w:rsidP="00F2231E">
      <w:pPr>
        <w:keepNext/>
        <w:jc w:val="center"/>
      </w:pPr>
      <w:r>
        <w:rPr>
          <w:noProof/>
          <w:lang w:val="sr-Latn-RS"/>
        </w:rPr>
        <w:lastRenderedPageBreak/>
        <w:drawing>
          <wp:inline distT="0" distB="0" distL="0" distR="0" wp14:anchorId="5AE938B2" wp14:editId="6A79A364">
            <wp:extent cx="4455000" cy="3960000"/>
            <wp:effectExtent l="0" t="0" r="3175" b="2540"/>
            <wp:docPr id="123" name="Picture 12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Chart, scatter chart&#10;&#10;Description automatically generated"/>
                    <pic:cNvPicPr/>
                  </pic:nvPicPr>
                  <pic:blipFill>
                    <a:blip r:embed="rId147">
                      <a:extLst>
                        <a:ext uri="{28A0092B-C50C-407E-A947-70E740481C1C}">
                          <a14:useLocalDpi xmlns:a14="http://schemas.microsoft.com/office/drawing/2010/main" val="0"/>
                        </a:ext>
                      </a:extLst>
                    </a:blip>
                    <a:stretch>
                      <a:fillRect/>
                    </a:stretch>
                  </pic:blipFill>
                  <pic:spPr>
                    <a:xfrm>
                      <a:off x="0" y="0"/>
                      <a:ext cx="4455000" cy="3960000"/>
                    </a:xfrm>
                    <a:prstGeom prst="rect">
                      <a:avLst/>
                    </a:prstGeom>
                  </pic:spPr>
                </pic:pic>
              </a:graphicData>
            </a:graphic>
          </wp:inline>
        </w:drawing>
      </w:r>
    </w:p>
    <w:p w14:paraId="181B7883" w14:textId="0EC13CE5" w:rsidR="00AA1711" w:rsidRDefault="00044878" w:rsidP="00044878">
      <w:pPr>
        <w:pStyle w:val="Caption"/>
      </w:pPr>
      <w:bookmarkStart w:id="665" w:name="_Ref99295388"/>
      <w:bookmarkStart w:id="666" w:name="_Toc101274633"/>
      <w:r>
        <w:t xml:space="preserve">Figure </w:t>
      </w:r>
      <w:fldSimple w:instr=" SEQ Figure \* ARABIC ">
        <w:r w:rsidR="00587AF0">
          <w:rPr>
            <w:noProof/>
          </w:rPr>
          <w:t>111</w:t>
        </w:r>
      </w:fldSimple>
      <w:bookmarkEnd w:id="665"/>
      <w:r>
        <w:t xml:space="preserve">. </w:t>
      </w:r>
      <w:r w:rsidRPr="00044878">
        <w:t>Logistic regression training</w:t>
      </w:r>
      <w:r>
        <w:t xml:space="preserve"> data</w:t>
      </w:r>
      <w:r w:rsidRPr="00044878">
        <w:t xml:space="preserve"> classification at </w:t>
      </w:r>
      <w:r>
        <w:t>opening</w:t>
      </w:r>
      <w:r w:rsidRPr="00044878">
        <w:t xml:space="preserve"> saddle position</w:t>
      </w:r>
      <w:bookmarkEnd w:id="666"/>
    </w:p>
    <w:p w14:paraId="2DE7DA3C" w14:textId="77777777" w:rsidR="00044878" w:rsidRDefault="00044878" w:rsidP="00044878">
      <w:pPr>
        <w:keepNext/>
        <w:jc w:val="center"/>
      </w:pPr>
      <w:r>
        <w:rPr>
          <w:noProof/>
        </w:rPr>
        <w:drawing>
          <wp:inline distT="0" distB="0" distL="0" distR="0" wp14:anchorId="404A3975" wp14:editId="577E1B41">
            <wp:extent cx="4455000" cy="3960000"/>
            <wp:effectExtent l="0" t="0" r="3175" b="2540"/>
            <wp:docPr id="146" name="Picture 14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Chart, scatter chart&#10;&#10;Description automatically generated"/>
                    <pic:cNvPicPr/>
                  </pic:nvPicPr>
                  <pic:blipFill>
                    <a:blip r:embed="rId148">
                      <a:extLst>
                        <a:ext uri="{28A0092B-C50C-407E-A947-70E740481C1C}">
                          <a14:useLocalDpi xmlns:a14="http://schemas.microsoft.com/office/drawing/2010/main" val="0"/>
                        </a:ext>
                      </a:extLst>
                    </a:blip>
                    <a:stretch>
                      <a:fillRect/>
                    </a:stretch>
                  </pic:blipFill>
                  <pic:spPr>
                    <a:xfrm>
                      <a:off x="0" y="0"/>
                      <a:ext cx="4455000" cy="3960000"/>
                    </a:xfrm>
                    <a:prstGeom prst="rect">
                      <a:avLst/>
                    </a:prstGeom>
                  </pic:spPr>
                </pic:pic>
              </a:graphicData>
            </a:graphic>
          </wp:inline>
        </w:drawing>
      </w:r>
    </w:p>
    <w:p w14:paraId="7C06A9D9" w14:textId="317E5075" w:rsidR="00EC34AC" w:rsidRDefault="00044878" w:rsidP="00F2231E">
      <w:pPr>
        <w:pStyle w:val="Caption"/>
        <w:rPr>
          <w:rFonts w:eastAsiaTheme="majorEastAsia" w:cstheme="majorBidi"/>
          <w:szCs w:val="24"/>
        </w:rPr>
      </w:pPr>
      <w:bookmarkStart w:id="667" w:name="_Ref99295402"/>
      <w:bookmarkStart w:id="668" w:name="_Toc101274634"/>
      <w:r>
        <w:t xml:space="preserve">Figure </w:t>
      </w:r>
      <w:fldSimple w:instr=" SEQ Figure \* ARABIC ">
        <w:r w:rsidR="00587AF0">
          <w:rPr>
            <w:noProof/>
          </w:rPr>
          <w:t>112</w:t>
        </w:r>
      </w:fldSimple>
      <w:bookmarkEnd w:id="667"/>
      <w:r>
        <w:t xml:space="preserve">. </w:t>
      </w:r>
      <w:r w:rsidRPr="00044878">
        <w:t xml:space="preserve">Logistic regression </w:t>
      </w:r>
      <w:r>
        <w:t xml:space="preserve">testing data </w:t>
      </w:r>
      <w:r w:rsidRPr="00044878">
        <w:t>classification at idle saddle position</w:t>
      </w:r>
      <w:bookmarkEnd w:id="668"/>
      <w:r w:rsidR="00EC34AC">
        <w:br w:type="page"/>
      </w:r>
    </w:p>
    <w:p w14:paraId="0C115287" w14:textId="387DE623" w:rsidR="001471BB" w:rsidRDefault="005D7AA4" w:rsidP="005D7AA4">
      <w:pPr>
        <w:pStyle w:val="Heading3"/>
      </w:pPr>
      <w:bookmarkStart w:id="669" w:name="_Toc101274411"/>
      <w:r>
        <w:lastRenderedPageBreak/>
        <w:t xml:space="preserve">Logistic </w:t>
      </w:r>
      <w:r w:rsidR="00531F4C">
        <w:t>r</w:t>
      </w:r>
      <w:r>
        <w:t xml:space="preserve">egression for idle saddle </w:t>
      </w:r>
      <w:r w:rsidR="006713AF">
        <w:t>position</w:t>
      </w:r>
      <w:bookmarkEnd w:id="669"/>
    </w:p>
    <w:p w14:paraId="4631A371" w14:textId="20874FA6" w:rsidR="007D6527" w:rsidRDefault="00DB4015" w:rsidP="007D6527">
      <w:r>
        <w:t>T</w:t>
      </w:r>
      <w:r w:rsidR="007D6527">
        <w:t>he following variables are established for LR classification (</w:t>
      </w:r>
      <w:r w:rsidR="00D4226B">
        <w:fldChar w:fldCharType="begin"/>
      </w:r>
      <w:r w:rsidR="00D4226B">
        <w:instrText xml:space="preserve"> REF _Ref101176522 \h </w:instrText>
      </w:r>
      <w:r w:rsidR="00D4226B">
        <w:fldChar w:fldCharType="separate"/>
      </w:r>
      <w:r w:rsidR="00587AF0">
        <w:t xml:space="preserve">Table </w:t>
      </w:r>
      <w:r w:rsidR="00587AF0">
        <w:rPr>
          <w:noProof/>
        </w:rPr>
        <w:t>63</w:t>
      </w:r>
      <w:r w:rsidR="00D4226B">
        <w:fldChar w:fldCharType="end"/>
      </w:r>
      <w:r w:rsidR="007D6527">
        <w:t>). Although variables like HS_Idle_time; T1; Load_kg_n; N_Median_IS; N_min_IS; can be ex</w:t>
      </w:r>
      <w:r>
        <w:t>c</w:t>
      </w:r>
      <w:r w:rsidR="007D6527">
        <w:t>luded from the equation</w:t>
      </w:r>
      <w:r w:rsidR="00053DEF">
        <w:t xml:space="preserve"> (</w:t>
      </w:r>
      <w:r w:rsidR="00053DEF">
        <w:fldChar w:fldCharType="begin"/>
      </w:r>
      <w:r w:rsidR="00053DEF">
        <w:instrText xml:space="preserve"> REF _Ref99363281 \h </w:instrText>
      </w:r>
      <w:r w:rsidR="00053DEF">
        <w:fldChar w:fldCharType="separate"/>
      </w:r>
      <w:r w:rsidR="00587AF0">
        <w:t xml:space="preserve">Table </w:t>
      </w:r>
      <w:r w:rsidR="00587AF0">
        <w:rPr>
          <w:noProof/>
        </w:rPr>
        <w:t>64</w:t>
      </w:r>
      <w:r w:rsidR="00053DEF">
        <w:fldChar w:fldCharType="end"/>
      </w:r>
      <w:r w:rsidR="00053DEF">
        <w:t>)</w:t>
      </w:r>
      <w:r w:rsidR="007D6527">
        <w:t xml:space="preserve">, they do not </w:t>
      </w:r>
      <w:r>
        <w:t>affect</w:t>
      </w:r>
      <w:r w:rsidR="007D6527">
        <w:t xml:space="preserve"> the final results given the state of </w:t>
      </w:r>
      <w:r>
        <w:t xml:space="preserve">the </w:t>
      </w:r>
      <w:r w:rsidR="007D6527">
        <w:t>idle position</w:t>
      </w:r>
      <w:r>
        <w:t>;</w:t>
      </w:r>
      <w:r w:rsidR="007D6527">
        <w:t xml:space="preserve"> they are preserved for the sake of comparison between the models.</w:t>
      </w:r>
      <w:bookmarkStart w:id="670" w:name="_Ref99362929"/>
      <w:bookmarkStart w:id="671" w:name="_Ref99362919"/>
      <w:r w:rsidR="007D6527">
        <w:t xml:space="preserve"> Furthermore, observing the variable importance for LR idle saddle, the results suggest the most important variables are N_1Q_IS</w:t>
      </w:r>
      <w:r>
        <w:t>,</w:t>
      </w:r>
      <w:r w:rsidR="007D6527">
        <w:t xml:space="preserve"> N_StDev_IS and T3. It is reasonable that time for returning to </w:t>
      </w:r>
      <w:r>
        <w:t xml:space="preserve">the </w:t>
      </w:r>
      <w:r w:rsidR="007D6527">
        <w:t>initial state T3 has an impact</w:t>
      </w:r>
      <w:r>
        <w:t>;</w:t>
      </w:r>
      <w:r w:rsidR="007D6527">
        <w:t xml:space="preserve"> the discrepancy of hydraulic power (effect of flow deviation) </w:t>
      </w:r>
      <w:r w:rsidR="00053DEF">
        <w:t>can be associated with 1Q and StDev degradation, thus measuring the flow change deviation.</w:t>
      </w:r>
    </w:p>
    <w:p w14:paraId="70CE6C80" w14:textId="1AA036E6" w:rsidR="004F1E32" w:rsidRDefault="00C6400F" w:rsidP="007D6527">
      <w:bookmarkStart w:id="672" w:name="_Ref101176522"/>
      <w:bookmarkStart w:id="673" w:name="_Toc101274503"/>
      <w:r>
        <w:t xml:space="preserve">Table </w:t>
      </w:r>
      <w:fldSimple w:instr=" SEQ Table \* ARABIC ">
        <w:r w:rsidR="00587AF0">
          <w:rPr>
            <w:noProof/>
          </w:rPr>
          <w:t>63</w:t>
        </w:r>
      </w:fldSimple>
      <w:bookmarkEnd w:id="670"/>
      <w:bookmarkEnd w:id="672"/>
      <w:r>
        <w:t xml:space="preserve">. </w:t>
      </w:r>
      <w:r w:rsidR="004F1E32">
        <w:t>Variables in the equation</w:t>
      </w:r>
      <w:r>
        <w:t xml:space="preserve"> for idle saddle position</w:t>
      </w:r>
      <w:bookmarkEnd w:id="671"/>
      <w:bookmarkEnd w:id="673"/>
    </w:p>
    <w:tbl>
      <w:tblPr>
        <w:tblW w:w="5000" w:type="pct"/>
        <w:tblBorders>
          <w:top w:val="single" w:sz="4" w:space="0" w:color="auto"/>
          <w:bottom w:val="single" w:sz="4" w:space="0" w:color="auto"/>
        </w:tblBorders>
        <w:tblCellMar>
          <w:left w:w="0" w:type="dxa"/>
          <w:right w:w="0" w:type="dxa"/>
        </w:tblCellMar>
        <w:tblLook w:val="0000" w:firstRow="0" w:lastRow="0" w:firstColumn="0" w:lastColumn="0" w:noHBand="0" w:noVBand="0"/>
      </w:tblPr>
      <w:tblGrid>
        <w:gridCol w:w="857"/>
        <w:gridCol w:w="1388"/>
        <w:gridCol w:w="1063"/>
        <w:gridCol w:w="1062"/>
        <w:gridCol w:w="1062"/>
        <w:gridCol w:w="1062"/>
        <w:gridCol w:w="1062"/>
        <w:gridCol w:w="1471"/>
      </w:tblGrid>
      <w:tr w:rsidR="00CA12C6" w:rsidRPr="00992ACC" w14:paraId="1609B188" w14:textId="77777777" w:rsidTr="00EF5A4B">
        <w:trPr>
          <w:cantSplit/>
        </w:trPr>
        <w:tc>
          <w:tcPr>
            <w:tcW w:w="1244" w:type="pct"/>
            <w:gridSpan w:val="2"/>
            <w:tcBorders>
              <w:top w:val="single" w:sz="4" w:space="0" w:color="auto"/>
              <w:bottom w:val="single" w:sz="4" w:space="0" w:color="auto"/>
            </w:tcBorders>
            <w:shd w:val="clear" w:color="auto" w:fill="auto"/>
            <w:vAlign w:val="bottom"/>
          </w:tcPr>
          <w:p w14:paraId="0E8CC3B9" w14:textId="0D1E620B" w:rsidR="004F1E32" w:rsidRPr="009F2614" w:rsidRDefault="009F2614" w:rsidP="00CA12C6">
            <w:pPr>
              <w:autoSpaceDE w:val="0"/>
              <w:autoSpaceDN w:val="0"/>
              <w:adjustRightInd w:val="0"/>
              <w:spacing w:before="0" w:after="0"/>
              <w:ind w:left="57" w:right="57"/>
              <w:jc w:val="left"/>
              <w:rPr>
                <w:rFonts w:cs="Times New Roman"/>
                <w:b/>
                <w:bCs/>
                <w:sz w:val="20"/>
                <w:szCs w:val="20"/>
                <w:lang w:val="sr-Latn-RS"/>
              </w:rPr>
            </w:pPr>
            <w:r w:rsidRPr="009F2614">
              <w:rPr>
                <w:rFonts w:cs="Times New Roman"/>
                <w:b/>
                <w:bCs/>
                <w:sz w:val="20"/>
                <w:szCs w:val="20"/>
                <w:lang w:val="sr-Latn-RS"/>
              </w:rPr>
              <w:t>Properties</w:t>
            </w:r>
          </w:p>
        </w:tc>
        <w:tc>
          <w:tcPr>
            <w:tcW w:w="589" w:type="pct"/>
            <w:tcBorders>
              <w:top w:val="single" w:sz="4" w:space="0" w:color="auto"/>
              <w:bottom w:val="single" w:sz="4" w:space="0" w:color="auto"/>
            </w:tcBorders>
            <w:shd w:val="clear" w:color="auto" w:fill="auto"/>
            <w:vAlign w:val="bottom"/>
          </w:tcPr>
          <w:p w14:paraId="493D51D8" w14:textId="77777777" w:rsidR="004F1E32" w:rsidRPr="009F2614" w:rsidRDefault="004F1E32" w:rsidP="00CA12C6">
            <w:pPr>
              <w:autoSpaceDE w:val="0"/>
              <w:autoSpaceDN w:val="0"/>
              <w:adjustRightInd w:val="0"/>
              <w:spacing w:before="0" w:after="0"/>
              <w:ind w:left="57" w:right="57"/>
              <w:jc w:val="center"/>
              <w:rPr>
                <w:rFonts w:cs="Arial"/>
                <w:b/>
                <w:bCs/>
                <w:sz w:val="20"/>
                <w:szCs w:val="20"/>
                <w:lang w:val="sr-Latn-RS"/>
              </w:rPr>
            </w:pPr>
            <w:r w:rsidRPr="009F2614">
              <w:rPr>
                <w:rFonts w:cs="Arial"/>
                <w:b/>
                <w:bCs/>
                <w:sz w:val="20"/>
                <w:szCs w:val="20"/>
                <w:lang w:val="sr-Latn-RS"/>
              </w:rPr>
              <w:t>B</w:t>
            </w:r>
          </w:p>
        </w:tc>
        <w:tc>
          <w:tcPr>
            <w:tcW w:w="588" w:type="pct"/>
            <w:tcBorders>
              <w:top w:val="single" w:sz="4" w:space="0" w:color="auto"/>
              <w:bottom w:val="single" w:sz="4" w:space="0" w:color="auto"/>
            </w:tcBorders>
            <w:shd w:val="clear" w:color="auto" w:fill="auto"/>
            <w:vAlign w:val="bottom"/>
          </w:tcPr>
          <w:p w14:paraId="5079A9CE" w14:textId="77777777" w:rsidR="004F1E32" w:rsidRPr="009F2614" w:rsidRDefault="004F1E32" w:rsidP="00CA12C6">
            <w:pPr>
              <w:autoSpaceDE w:val="0"/>
              <w:autoSpaceDN w:val="0"/>
              <w:adjustRightInd w:val="0"/>
              <w:spacing w:before="0" w:after="0"/>
              <w:ind w:left="57" w:right="57"/>
              <w:jc w:val="center"/>
              <w:rPr>
                <w:rFonts w:cs="Arial"/>
                <w:b/>
                <w:bCs/>
                <w:sz w:val="20"/>
                <w:szCs w:val="20"/>
                <w:lang w:val="sr-Latn-RS"/>
              </w:rPr>
            </w:pPr>
            <w:r w:rsidRPr="009F2614">
              <w:rPr>
                <w:rFonts w:cs="Arial"/>
                <w:b/>
                <w:bCs/>
                <w:sz w:val="20"/>
                <w:szCs w:val="20"/>
                <w:lang w:val="sr-Latn-RS"/>
              </w:rPr>
              <w:t>S.E.</w:t>
            </w:r>
          </w:p>
        </w:tc>
        <w:tc>
          <w:tcPr>
            <w:tcW w:w="588" w:type="pct"/>
            <w:tcBorders>
              <w:top w:val="single" w:sz="4" w:space="0" w:color="auto"/>
              <w:bottom w:val="single" w:sz="4" w:space="0" w:color="auto"/>
            </w:tcBorders>
            <w:shd w:val="clear" w:color="auto" w:fill="auto"/>
            <w:vAlign w:val="bottom"/>
          </w:tcPr>
          <w:p w14:paraId="6674119C" w14:textId="77777777" w:rsidR="004F1E32" w:rsidRPr="009F2614" w:rsidRDefault="004F1E32" w:rsidP="00CA12C6">
            <w:pPr>
              <w:autoSpaceDE w:val="0"/>
              <w:autoSpaceDN w:val="0"/>
              <w:adjustRightInd w:val="0"/>
              <w:spacing w:before="0" w:after="0"/>
              <w:ind w:left="57" w:right="57"/>
              <w:jc w:val="center"/>
              <w:rPr>
                <w:rFonts w:cs="Arial"/>
                <w:b/>
                <w:bCs/>
                <w:sz w:val="20"/>
                <w:szCs w:val="20"/>
                <w:lang w:val="sr-Latn-RS"/>
              </w:rPr>
            </w:pPr>
            <w:r w:rsidRPr="009F2614">
              <w:rPr>
                <w:rFonts w:cs="Arial"/>
                <w:b/>
                <w:bCs/>
                <w:sz w:val="20"/>
                <w:szCs w:val="20"/>
                <w:lang w:val="sr-Latn-RS"/>
              </w:rPr>
              <w:t>Wald</w:t>
            </w:r>
          </w:p>
        </w:tc>
        <w:tc>
          <w:tcPr>
            <w:tcW w:w="588" w:type="pct"/>
            <w:tcBorders>
              <w:top w:val="single" w:sz="4" w:space="0" w:color="auto"/>
              <w:bottom w:val="single" w:sz="4" w:space="0" w:color="auto"/>
            </w:tcBorders>
            <w:shd w:val="clear" w:color="auto" w:fill="auto"/>
            <w:vAlign w:val="bottom"/>
          </w:tcPr>
          <w:p w14:paraId="0DD47C58" w14:textId="77777777" w:rsidR="004F1E32" w:rsidRPr="009F2614" w:rsidRDefault="004F1E32" w:rsidP="00CA12C6">
            <w:pPr>
              <w:autoSpaceDE w:val="0"/>
              <w:autoSpaceDN w:val="0"/>
              <w:adjustRightInd w:val="0"/>
              <w:spacing w:before="0" w:after="0"/>
              <w:ind w:left="57" w:right="57"/>
              <w:jc w:val="center"/>
              <w:rPr>
                <w:rFonts w:cs="Arial"/>
                <w:b/>
                <w:bCs/>
                <w:sz w:val="20"/>
                <w:szCs w:val="20"/>
                <w:lang w:val="sr-Latn-RS"/>
              </w:rPr>
            </w:pPr>
            <w:r w:rsidRPr="009F2614">
              <w:rPr>
                <w:rFonts w:cs="Arial"/>
                <w:b/>
                <w:bCs/>
                <w:sz w:val="20"/>
                <w:szCs w:val="20"/>
                <w:lang w:val="sr-Latn-RS"/>
              </w:rPr>
              <w:t>df</w:t>
            </w:r>
          </w:p>
        </w:tc>
        <w:tc>
          <w:tcPr>
            <w:tcW w:w="588" w:type="pct"/>
            <w:tcBorders>
              <w:top w:val="single" w:sz="4" w:space="0" w:color="auto"/>
              <w:bottom w:val="single" w:sz="4" w:space="0" w:color="auto"/>
            </w:tcBorders>
            <w:shd w:val="clear" w:color="auto" w:fill="auto"/>
            <w:vAlign w:val="bottom"/>
          </w:tcPr>
          <w:p w14:paraId="2BB2FA50" w14:textId="77777777" w:rsidR="004F1E32" w:rsidRPr="009F2614" w:rsidRDefault="004F1E32" w:rsidP="00CA12C6">
            <w:pPr>
              <w:autoSpaceDE w:val="0"/>
              <w:autoSpaceDN w:val="0"/>
              <w:adjustRightInd w:val="0"/>
              <w:spacing w:before="0" w:after="0"/>
              <w:ind w:left="57" w:right="57"/>
              <w:jc w:val="center"/>
              <w:rPr>
                <w:rFonts w:cs="Arial"/>
                <w:b/>
                <w:bCs/>
                <w:sz w:val="20"/>
                <w:szCs w:val="20"/>
                <w:lang w:val="sr-Latn-RS"/>
              </w:rPr>
            </w:pPr>
            <w:r w:rsidRPr="009F2614">
              <w:rPr>
                <w:rFonts w:cs="Arial"/>
                <w:b/>
                <w:bCs/>
                <w:sz w:val="20"/>
                <w:szCs w:val="20"/>
                <w:lang w:val="sr-Latn-RS"/>
              </w:rPr>
              <w:t>Sig.</w:t>
            </w:r>
          </w:p>
        </w:tc>
        <w:tc>
          <w:tcPr>
            <w:tcW w:w="814" w:type="pct"/>
            <w:tcBorders>
              <w:top w:val="single" w:sz="4" w:space="0" w:color="auto"/>
              <w:bottom w:val="single" w:sz="4" w:space="0" w:color="auto"/>
            </w:tcBorders>
            <w:shd w:val="clear" w:color="auto" w:fill="auto"/>
            <w:vAlign w:val="bottom"/>
          </w:tcPr>
          <w:p w14:paraId="0C398756" w14:textId="77777777" w:rsidR="004F1E32" w:rsidRPr="009F2614" w:rsidRDefault="004F1E32" w:rsidP="00CA12C6">
            <w:pPr>
              <w:autoSpaceDE w:val="0"/>
              <w:autoSpaceDN w:val="0"/>
              <w:adjustRightInd w:val="0"/>
              <w:spacing w:before="0" w:after="0"/>
              <w:ind w:left="57" w:right="57"/>
              <w:jc w:val="center"/>
              <w:rPr>
                <w:rFonts w:cs="Arial"/>
                <w:b/>
                <w:bCs/>
                <w:sz w:val="20"/>
                <w:szCs w:val="20"/>
                <w:lang w:val="sr-Latn-RS"/>
              </w:rPr>
            </w:pPr>
            <w:r w:rsidRPr="009F2614">
              <w:rPr>
                <w:rFonts w:cs="Arial"/>
                <w:b/>
                <w:bCs/>
                <w:sz w:val="20"/>
                <w:szCs w:val="20"/>
                <w:lang w:val="sr-Latn-RS"/>
              </w:rPr>
              <w:t>Exp(B)</w:t>
            </w:r>
          </w:p>
        </w:tc>
      </w:tr>
      <w:tr w:rsidR="00EF5A4B" w:rsidRPr="00992ACC" w14:paraId="792AC291" w14:textId="77777777" w:rsidTr="00EF5A4B">
        <w:trPr>
          <w:cantSplit/>
        </w:trPr>
        <w:tc>
          <w:tcPr>
            <w:tcW w:w="475" w:type="pct"/>
            <w:vMerge w:val="restart"/>
            <w:tcBorders>
              <w:top w:val="single" w:sz="4" w:space="0" w:color="auto"/>
              <w:bottom w:val="nil"/>
            </w:tcBorders>
            <w:shd w:val="clear" w:color="auto" w:fill="auto"/>
          </w:tcPr>
          <w:p w14:paraId="0CEC663B" w14:textId="77777777" w:rsidR="00EF5A4B" w:rsidRPr="00992ACC" w:rsidRDefault="00EF5A4B" w:rsidP="00EF5A4B">
            <w:pPr>
              <w:autoSpaceDE w:val="0"/>
              <w:autoSpaceDN w:val="0"/>
              <w:adjustRightInd w:val="0"/>
              <w:spacing w:before="0" w:after="0"/>
              <w:ind w:left="57" w:right="57"/>
              <w:jc w:val="left"/>
              <w:rPr>
                <w:rFonts w:cs="Arial"/>
                <w:sz w:val="20"/>
                <w:szCs w:val="20"/>
                <w:lang w:val="sr-Latn-RS"/>
              </w:rPr>
            </w:pPr>
            <w:r w:rsidRPr="00992ACC">
              <w:rPr>
                <w:rFonts w:cs="Arial"/>
                <w:sz w:val="20"/>
                <w:szCs w:val="20"/>
                <w:lang w:val="sr-Latn-RS"/>
              </w:rPr>
              <w:t>Step 1</w:t>
            </w:r>
            <w:r w:rsidRPr="00992ACC">
              <w:rPr>
                <w:rFonts w:cs="Arial"/>
                <w:sz w:val="20"/>
                <w:szCs w:val="20"/>
                <w:vertAlign w:val="superscript"/>
                <w:lang w:val="sr-Latn-RS"/>
              </w:rPr>
              <w:t>a</w:t>
            </w:r>
          </w:p>
        </w:tc>
        <w:tc>
          <w:tcPr>
            <w:tcW w:w="769" w:type="pct"/>
            <w:tcBorders>
              <w:top w:val="single" w:sz="4" w:space="0" w:color="auto"/>
            </w:tcBorders>
            <w:shd w:val="clear" w:color="auto" w:fill="auto"/>
          </w:tcPr>
          <w:p w14:paraId="641AA545" w14:textId="77777777" w:rsidR="00EF5A4B" w:rsidRPr="00992ACC" w:rsidRDefault="00EF5A4B" w:rsidP="00EF5A4B">
            <w:pPr>
              <w:autoSpaceDE w:val="0"/>
              <w:autoSpaceDN w:val="0"/>
              <w:adjustRightInd w:val="0"/>
              <w:spacing w:before="0" w:after="0"/>
              <w:ind w:left="57" w:right="57"/>
              <w:jc w:val="left"/>
              <w:rPr>
                <w:rFonts w:cs="Arial"/>
                <w:sz w:val="20"/>
                <w:szCs w:val="20"/>
                <w:lang w:val="sr-Latn-RS"/>
              </w:rPr>
            </w:pPr>
            <w:r w:rsidRPr="00992ACC">
              <w:rPr>
                <w:rFonts w:cs="Arial"/>
                <w:sz w:val="20"/>
                <w:szCs w:val="20"/>
                <w:lang w:val="sr-Latn-RS"/>
              </w:rPr>
              <w:t>HS_idle_time</w:t>
            </w:r>
          </w:p>
        </w:tc>
        <w:tc>
          <w:tcPr>
            <w:tcW w:w="589" w:type="pct"/>
            <w:tcBorders>
              <w:top w:val="single" w:sz="4" w:space="0" w:color="auto"/>
            </w:tcBorders>
            <w:shd w:val="clear" w:color="auto" w:fill="auto"/>
          </w:tcPr>
          <w:p w14:paraId="6D433EFA" w14:textId="15E9BDA2"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-1</w:t>
            </w:r>
            <w:r w:rsidR="00117B47">
              <w:rPr>
                <w:sz w:val="20"/>
                <w:szCs w:val="18"/>
              </w:rPr>
              <w:t>.</w:t>
            </w:r>
            <w:r w:rsidRPr="00EF5A4B">
              <w:rPr>
                <w:sz w:val="20"/>
                <w:szCs w:val="18"/>
              </w:rPr>
              <w:t>172</w:t>
            </w:r>
          </w:p>
        </w:tc>
        <w:tc>
          <w:tcPr>
            <w:tcW w:w="588" w:type="pct"/>
            <w:tcBorders>
              <w:top w:val="single" w:sz="4" w:space="0" w:color="auto"/>
            </w:tcBorders>
            <w:shd w:val="clear" w:color="auto" w:fill="auto"/>
          </w:tcPr>
          <w:p w14:paraId="47D3E0C6" w14:textId="3D4AF855"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1</w:t>
            </w:r>
            <w:r w:rsidR="00117B47">
              <w:rPr>
                <w:sz w:val="20"/>
                <w:szCs w:val="18"/>
              </w:rPr>
              <w:t>.</w:t>
            </w:r>
            <w:r w:rsidRPr="00EF5A4B">
              <w:rPr>
                <w:sz w:val="20"/>
                <w:szCs w:val="18"/>
              </w:rPr>
              <w:t>117</w:t>
            </w:r>
          </w:p>
        </w:tc>
        <w:tc>
          <w:tcPr>
            <w:tcW w:w="588" w:type="pct"/>
            <w:tcBorders>
              <w:top w:val="single" w:sz="4" w:space="0" w:color="auto"/>
            </w:tcBorders>
            <w:shd w:val="clear" w:color="auto" w:fill="auto"/>
          </w:tcPr>
          <w:p w14:paraId="2662F1C2" w14:textId="425EA6FD"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1</w:t>
            </w:r>
            <w:r w:rsidR="00117B47">
              <w:rPr>
                <w:sz w:val="20"/>
                <w:szCs w:val="18"/>
              </w:rPr>
              <w:t>.</w:t>
            </w:r>
            <w:r w:rsidRPr="00EF5A4B">
              <w:rPr>
                <w:sz w:val="20"/>
                <w:szCs w:val="18"/>
              </w:rPr>
              <w:t>102</w:t>
            </w:r>
          </w:p>
        </w:tc>
        <w:tc>
          <w:tcPr>
            <w:tcW w:w="588" w:type="pct"/>
            <w:tcBorders>
              <w:top w:val="single" w:sz="4" w:space="0" w:color="auto"/>
            </w:tcBorders>
            <w:shd w:val="clear" w:color="auto" w:fill="auto"/>
          </w:tcPr>
          <w:p w14:paraId="3CE1738C" w14:textId="1B7E37DD"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1</w:t>
            </w:r>
          </w:p>
        </w:tc>
        <w:tc>
          <w:tcPr>
            <w:tcW w:w="588" w:type="pct"/>
            <w:tcBorders>
              <w:top w:val="single" w:sz="4" w:space="0" w:color="auto"/>
            </w:tcBorders>
            <w:shd w:val="clear" w:color="auto" w:fill="auto"/>
          </w:tcPr>
          <w:p w14:paraId="301A940F" w14:textId="2C3F5400"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294</w:t>
            </w:r>
          </w:p>
        </w:tc>
        <w:tc>
          <w:tcPr>
            <w:tcW w:w="814" w:type="pct"/>
            <w:tcBorders>
              <w:top w:val="single" w:sz="4" w:space="0" w:color="auto"/>
            </w:tcBorders>
            <w:shd w:val="clear" w:color="auto" w:fill="auto"/>
          </w:tcPr>
          <w:p w14:paraId="06AEC0E5" w14:textId="1A8334C2"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310</w:t>
            </w:r>
          </w:p>
        </w:tc>
      </w:tr>
      <w:tr w:rsidR="00EF5A4B" w:rsidRPr="00992ACC" w14:paraId="6888A0DC" w14:textId="77777777" w:rsidTr="00EF5A4B">
        <w:trPr>
          <w:cantSplit/>
        </w:trPr>
        <w:tc>
          <w:tcPr>
            <w:tcW w:w="475" w:type="pct"/>
            <w:vMerge/>
            <w:tcBorders>
              <w:top w:val="nil"/>
              <w:bottom w:val="nil"/>
            </w:tcBorders>
            <w:shd w:val="clear" w:color="auto" w:fill="auto"/>
          </w:tcPr>
          <w:p w14:paraId="78772969" w14:textId="77777777" w:rsidR="00EF5A4B" w:rsidRPr="00992ACC" w:rsidRDefault="00EF5A4B" w:rsidP="00EF5A4B">
            <w:pPr>
              <w:autoSpaceDE w:val="0"/>
              <w:autoSpaceDN w:val="0"/>
              <w:adjustRightInd w:val="0"/>
              <w:spacing w:before="0" w:after="0"/>
              <w:ind w:left="57" w:right="57"/>
              <w:jc w:val="left"/>
              <w:rPr>
                <w:rFonts w:cs="Arial"/>
                <w:sz w:val="20"/>
                <w:szCs w:val="20"/>
                <w:lang w:val="sr-Latn-RS"/>
              </w:rPr>
            </w:pPr>
          </w:p>
        </w:tc>
        <w:tc>
          <w:tcPr>
            <w:tcW w:w="769" w:type="pct"/>
            <w:shd w:val="clear" w:color="auto" w:fill="auto"/>
          </w:tcPr>
          <w:p w14:paraId="0E7CA15A" w14:textId="77777777" w:rsidR="00EF5A4B" w:rsidRPr="00992ACC" w:rsidRDefault="00EF5A4B" w:rsidP="00EF5A4B">
            <w:pPr>
              <w:autoSpaceDE w:val="0"/>
              <w:autoSpaceDN w:val="0"/>
              <w:adjustRightInd w:val="0"/>
              <w:spacing w:before="0" w:after="0"/>
              <w:ind w:left="57" w:right="57"/>
              <w:jc w:val="left"/>
              <w:rPr>
                <w:rFonts w:cs="Arial"/>
                <w:sz w:val="20"/>
                <w:szCs w:val="20"/>
                <w:lang w:val="sr-Latn-RS"/>
              </w:rPr>
            </w:pPr>
            <w:r w:rsidRPr="00992ACC">
              <w:rPr>
                <w:rFonts w:cs="Arial"/>
                <w:sz w:val="20"/>
                <w:szCs w:val="20"/>
                <w:lang w:val="sr-Latn-RS"/>
              </w:rPr>
              <w:t>T1</w:t>
            </w:r>
          </w:p>
        </w:tc>
        <w:tc>
          <w:tcPr>
            <w:tcW w:w="589" w:type="pct"/>
            <w:shd w:val="clear" w:color="auto" w:fill="auto"/>
          </w:tcPr>
          <w:p w14:paraId="5E46A514" w14:textId="2FB76E17"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w:t>
            </w:r>
            <w:r w:rsidR="00117B47">
              <w:rPr>
                <w:sz w:val="20"/>
                <w:szCs w:val="18"/>
              </w:rPr>
              <w:t>0.</w:t>
            </w:r>
            <w:r w:rsidRPr="00EF5A4B">
              <w:rPr>
                <w:sz w:val="20"/>
                <w:szCs w:val="18"/>
              </w:rPr>
              <w:t>184</w:t>
            </w:r>
          </w:p>
        </w:tc>
        <w:tc>
          <w:tcPr>
            <w:tcW w:w="588" w:type="pct"/>
            <w:shd w:val="clear" w:color="auto" w:fill="auto"/>
          </w:tcPr>
          <w:p w14:paraId="5737D09F" w14:textId="42261473"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331</w:t>
            </w:r>
          </w:p>
        </w:tc>
        <w:tc>
          <w:tcPr>
            <w:tcW w:w="588" w:type="pct"/>
            <w:shd w:val="clear" w:color="auto" w:fill="auto"/>
          </w:tcPr>
          <w:p w14:paraId="134B543B" w14:textId="49EB5C8A"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310</w:t>
            </w:r>
          </w:p>
        </w:tc>
        <w:tc>
          <w:tcPr>
            <w:tcW w:w="588" w:type="pct"/>
            <w:shd w:val="clear" w:color="auto" w:fill="auto"/>
          </w:tcPr>
          <w:p w14:paraId="4BEB278F" w14:textId="1D2BFB49"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1</w:t>
            </w:r>
          </w:p>
        </w:tc>
        <w:tc>
          <w:tcPr>
            <w:tcW w:w="588" w:type="pct"/>
            <w:shd w:val="clear" w:color="auto" w:fill="auto"/>
          </w:tcPr>
          <w:p w14:paraId="175987C5" w14:textId="0701D18A"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577</w:t>
            </w:r>
          </w:p>
        </w:tc>
        <w:tc>
          <w:tcPr>
            <w:tcW w:w="814" w:type="pct"/>
            <w:shd w:val="clear" w:color="auto" w:fill="auto"/>
          </w:tcPr>
          <w:p w14:paraId="60BA5CD7" w14:textId="0E6A2E69"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832</w:t>
            </w:r>
          </w:p>
        </w:tc>
      </w:tr>
      <w:tr w:rsidR="00EF5A4B" w:rsidRPr="00992ACC" w14:paraId="4A8BB961" w14:textId="77777777" w:rsidTr="00EF5A4B">
        <w:trPr>
          <w:cantSplit/>
        </w:trPr>
        <w:tc>
          <w:tcPr>
            <w:tcW w:w="475" w:type="pct"/>
            <w:vMerge/>
            <w:tcBorders>
              <w:top w:val="nil"/>
              <w:bottom w:val="nil"/>
            </w:tcBorders>
            <w:shd w:val="clear" w:color="auto" w:fill="auto"/>
          </w:tcPr>
          <w:p w14:paraId="5C900252" w14:textId="77777777" w:rsidR="00EF5A4B" w:rsidRPr="00992ACC" w:rsidRDefault="00EF5A4B" w:rsidP="00EF5A4B">
            <w:pPr>
              <w:autoSpaceDE w:val="0"/>
              <w:autoSpaceDN w:val="0"/>
              <w:adjustRightInd w:val="0"/>
              <w:spacing w:before="0" w:after="0"/>
              <w:ind w:left="57" w:right="57"/>
              <w:jc w:val="left"/>
              <w:rPr>
                <w:rFonts w:cs="Arial"/>
                <w:sz w:val="20"/>
                <w:szCs w:val="20"/>
                <w:lang w:val="sr-Latn-RS"/>
              </w:rPr>
            </w:pPr>
          </w:p>
        </w:tc>
        <w:tc>
          <w:tcPr>
            <w:tcW w:w="769" w:type="pct"/>
            <w:shd w:val="clear" w:color="auto" w:fill="auto"/>
          </w:tcPr>
          <w:p w14:paraId="1BB5DAEF" w14:textId="77777777" w:rsidR="00EF5A4B" w:rsidRPr="00992ACC" w:rsidRDefault="00EF5A4B" w:rsidP="00EF5A4B">
            <w:pPr>
              <w:autoSpaceDE w:val="0"/>
              <w:autoSpaceDN w:val="0"/>
              <w:adjustRightInd w:val="0"/>
              <w:spacing w:before="0" w:after="0"/>
              <w:ind w:left="57" w:right="57"/>
              <w:jc w:val="left"/>
              <w:rPr>
                <w:rFonts w:cs="Arial"/>
                <w:sz w:val="20"/>
                <w:szCs w:val="20"/>
                <w:lang w:val="sr-Latn-RS"/>
              </w:rPr>
            </w:pPr>
            <w:r w:rsidRPr="00992ACC">
              <w:rPr>
                <w:rFonts w:cs="Arial"/>
                <w:sz w:val="20"/>
                <w:szCs w:val="20"/>
                <w:lang w:val="sr-Latn-RS"/>
              </w:rPr>
              <w:t>T3</w:t>
            </w:r>
          </w:p>
        </w:tc>
        <w:tc>
          <w:tcPr>
            <w:tcW w:w="589" w:type="pct"/>
            <w:shd w:val="clear" w:color="auto" w:fill="auto"/>
          </w:tcPr>
          <w:p w14:paraId="2A9CBFD1" w14:textId="5B604B8F"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-2</w:t>
            </w:r>
            <w:r w:rsidR="00117B47">
              <w:rPr>
                <w:sz w:val="20"/>
                <w:szCs w:val="18"/>
              </w:rPr>
              <w:t>.</w:t>
            </w:r>
            <w:r w:rsidRPr="00EF5A4B">
              <w:rPr>
                <w:sz w:val="20"/>
                <w:szCs w:val="18"/>
              </w:rPr>
              <w:t>621</w:t>
            </w:r>
          </w:p>
        </w:tc>
        <w:tc>
          <w:tcPr>
            <w:tcW w:w="588" w:type="pct"/>
            <w:shd w:val="clear" w:color="auto" w:fill="auto"/>
          </w:tcPr>
          <w:p w14:paraId="5A778938" w14:textId="1E190D75"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788</w:t>
            </w:r>
          </w:p>
        </w:tc>
        <w:tc>
          <w:tcPr>
            <w:tcW w:w="588" w:type="pct"/>
            <w:shd w:val="clear" w:color="auto" w:fill="auto"/>
          </w:tcPr>
          <w:p w14:paraId="36D81072" w14:textId="3AFD700E"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11</w:t>
            </w:r>
            <w:r w:rsidR="00117B47">
              <w:rPr>
                <w:sz w:val="20"/>
                <w:szCs w:val="18"/>
              </w:rPr>
              <w:t>.</w:t>
            </w:r>
            <w:r w:rsidRPr="00EF5A4B">
              <w:rPr>
                <w:sz w:val="20"/>
                <w:szCs w:val="18"/>
              </w:rPr>
              <w:t>055</w:t>
            </w:r>
          </w:p>
        </w:tc>
        <w:tc>
          <w:tcPr>
            <w:tcW w:w="588" w:type="pct"/>
            <w:shd w:val="clear" w:color="auto" w:fill="auto"/>
          </w:tcPr>
          <w:p w14:paraId="19FBBCDC" w14:textId="6E9EE3BC"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1</w:t>
            </w:r>
          </w:p>
        </w:tc>
        <w:tc>
          <w:tcPr>
            <w:tcW w:w="588" w:type="pct"/>
            <w:shd w:val="clear" w:color="auto" w:fill="auto"/>
          </w:tcPr>
          <w:p w14:paraId="6988F66C" w14:textId="6BD05E7E"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&lt;</w:t>
            </w:r>
            <w:r w:rsidR="00117B47">
              <w:rPr>
                <w:sz w:val="20"/>
                <w:szCs w:val="18"/>
              </w:rPr>
              <w:t>0.</w:t>
            </w:r>
            <w:r w:rsidRPr="00EF5A4B">
              <w:rPr>
                <w:sz w:val="20"/>
                <w:szCs w:val="18"/>
              </w:rPr>
              <w:t>001</w:t>
            </w:r>
          </w:p>
        </w:tc>
        <w:tc>
          <w:tcPr>
            <w:tcW w:w="814" w:type="pct"/>
            <w:shd w:val="clear" w:color="auto" w:fill="auto"/>
          </w:tcPr>
          <w:p w14:paraId="46627768" w14:textId="08B7CE18"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073</w:t>
            </w:r>
          </w:p>
        </w:tc>
      </w:tr>
      <w:tr w:rsidR="00EF5A4B" w:rsidRPr="00992ACC" w14:paraId="4301E647" w14:textId="77777777" w:rsidTr="00EF5A4B">
        <w:trPr>
          <w:cantSplit/>
        </w:trPr>
        <w:tc>
          <w:tcPr>
            <w:tcW w:w="475" w:type="pct"/>
            <w:vMerge/>
            <w:tcBorders>
              <w:top w:val="nil"/>
              <w:bottom w:val="nil"/>
            </w:tcBorders>
            <w:shd w:val="clear" w:color="auto" w:fill="auto"/>
          </w:tcPr>
          <w:p w14:paraId="6D53ADF4" w14:textId="77777777" w:rsidR="00EF5A4B" w:rsidRPr="00992ACC" w:rsidRDefault="00EF5A4B" w:rsidP="00EF5A4B">
            <w:pPr>
              <w:autoSpaceDE w:val="0"/>
              <w:autoSpaceDN w:val="0"/>
              <w:adjustRightInd w:val="0"/>
              <w:spacing w:before="0" w:after="0"/>
              <w:ind w:left="57" w:right="57"/>
              <w:jc w:val="left"/>
              <w:rPr>
                <w:rFonts w:cs="Arial"/>
                <w:sz w:val="20"/>
                <w:szCs w:val="20"/>
                <w:lang w:val="sr-Latn-RS"/>
              </w:rPr>
            </w:pPr>
          </w:p>
        </w:tc>
        <w:tc>
          <w:tcPr>
            <w:tcW w:w="769" w:type="pct"/>
            <w:shd w:val="clear" w:color="auto" w:fill="auto"/>
          </w:tcPr>
          <w:p w14:paraId="3E45632D" w14:textId="77777777" w:rsidR="00EF5A4B" w:rsidRPr="00992ACC" w:rsidRDefault="00EF5A4B" w:rsidP="00EF5A4B">
            <w:pPr>
              <w:autoSpaceDE w:val="0"/>
              <w:autoSpaceDN w:val="0"/>
              <w:adjustRightInd w:val="0"/>
              <w:spacing w:before="0" w:after="0"/>
              <w:ind w:left="57" w:right="57"/>
              <w:jc w:val="left"/>
              <w:rPr>
                <w:rFonts w:cs="Arial"/>
                <w:sz w:val="20"/>
                <w:szCs w:val="20"/>
                <w:lang w:val="sr-Latn-RS"/>
              </w:rPr>
            </w:pPr>
            <w:r w:rsidRPr="00992ACC">
              <w:rPr>
                <w:rFonts w:cs="Arial"/>
                <w:sz w:val="20"/>
                <w:szCs w:val="20"/>
                <w:lang w:val="sr-Latn-RS"/>
              </w:rPr>
              <w:t>T4</w:t>
            </w:r>
          </w:p>
        </w:tc>
        <w:tc>
          <w:tcPr>
            <w:tcW w:w="589" w:type="pct"/>
            <w:shd w:val="clear" w:color="auto" w:fill="auto"/>
          </w:tcPr>
          <w:p w14:paraId="06FA80CE" w14:textId="2B073E4D"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w:t>
            </w:r>
            <w:r w:rsidR="00117B47">
              <w:rPr>
                <w:sz w:val="20"/>
                <w:szCs w:val="18"/>
              </w:rPr>
              <w:t>0.</w:t>
            </w:r>
            <w:r w:rsidRPr="00EF5A4B">
              <w:rPr>
                <w:sz w:val="20"/>
                <w:szCs w:val="18"/>
              </w:rPr>
              <w:t>606</w:t>
            </w:r>
          </w:p>
        </w:tc>
        <w:tc>
          <w:tcPr>
            <w:tcW w:w="588" w:type="pct"/>
            <w:shd w:val="clear" w:color="auto" w:fill="auto"/>
          </w:tcPr>
          <w:p w14:paraId="532C0EF0" w14:textId="60E3CC14"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489</w:t>
            </w:r>
          </w:p>
        </w:tc>
        <w:tc>
          <w:tcPr>
            <w:tcW w:w="588" w:type="pct"/>
            <w:shd w:val="clear" w:color="auto" w:fill="auto"/>
          </w:tcPr>
          <w:p w14:paraId="5C45FE8D" w14:textId="415AB679"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1</w:t>
            </w:r>
            <w:r w:rsidR="00117B47">
              <w:rPr>
                <w:sz w:val="20"/>
                <w:szCs w:val="18"/>
              </w:rPr>
              <w:t>.</w:t>
            </w:r>
            <w:r w:rsidRPr="00EF5A4B">
              <w:rPr>
                <w:sz w:val="20"/>
                <w:szCs w:val="18"/>
              </w:rPr>
              <w:t>533</w:t>
            </w:r>
          </w:p>
        </w:tc>
        <w:tc>
          <w:tcPr>
            <w:tcW w:w="588" w:type="pct"/>
            <w:shd w:val="clear" w:color="auto" w:fill="auto"/>
          </w:tcPr>
          <w:p w14:paraId="0443609C" w14:textId="39DD3A63"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1</w:t>
            </w:r>
          </w:p>
        </w:tc>
        <w:tc>
          <w:tcPr>
            <w:tcW w:w="588" w:type="pct"/>
            <w:shd w:val="clear" w:color="auto" w:fill="auto"/>
          </w:tcPr>
          <w:p w14:paraId="27DDFE0A" w14:textId="33C5ECED"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216</w:t>
            </w:r>
          </w:p>
        </w:tc>
        <w:tc>
          <w:tcPr>
            <w:tcW w:w="814" w:type="pct"/>
            <w:shd w:val="clear" w:color="auto" w:fill="auto"/>
          </w:tcPr>
          <w:p w14:paraId="0A679669" w14:textId="5246FF2A"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546</w:t>
            </w:r>
          </w:p>
        </w:tc>
      </w:tr>
      <w:tr w:rsidR="00EF5A4B" w:rsidRPr="00992ACC" w14:paraId="135CE6C4" w14:textId="77777777" w:rsidTr="00EF5A4B">
        <w:trPr>
          <w:cantSplit/>
        </w:trPr>
        <w:tc>
          <w:tcPr>
            <w:tcW w:w="475" w:type="pct"/>
            <w:vMerge/>
            <w:tcBorders>
              <w:top w:val="nil"/>
              <w:bottom w:val="nil"/>
            </w:tcBorders>
            <w:shd w:val="clear" w:color="auto" w:fill="auto"/>
          </w:tcPr>
          <w:p w14:paraId="3AEC0B1C" w14:textId="77777777" w:rsidR="00EF5A4B" w:rsidRPr="00992ACC" w:rsidRDefault="00EF5A4B" w:rsidP="00EF5A4B">
            <w:pPr>
              <w:autoSpaceDE w:val="0"/>
              <w:autoSpaceDN w:val="0"/>
              <w:adjustRightInd w:val="0"/>
              <w:spacing w:before="0" w:after="0"/>
              <w:ind w:left="57" w:right="57"/>
              <w:jc w:val="left"/>
              <w:rPr>
                <w:rFonts w:cs="Arial"/>
                <w:sz w:val="20"/>
                <w:szCs w:val="20"/>
                <w:lang w:val="sr-Latn-RS"/>
              </w:rPr>
            </w:pPr>
          </w:p>
        </w:tc>
        <w:tc>
          <w:tcPr>
            <w:tcW w:w="769" w:type="pct"/>
            <w:shd w:val="clear" w:color="auto" w:fill="auto"/>
          </w:tcPr>
          <w:p w14:paraId="0C72F86F" w14:textId="77777777" w:rsidR="00EF5A4B" w:rsidRPr="00992ACC" w:rsidRDefault="00EF5A4B" w:rsidP="00EF5A4B">
            <w:pPr>
              <w:autoSpaceDE w:val="0"/>
              <w:autoSpaceDN w:val="0"/>
              <w:adjustRightInd w:val="0"/>
              <w:spacing w:before="0" w:after="0"/>
              <w:ind w:left="57" w:right="57"/>
              <w:jc w:val="left"/>
              <w:rPr>
                <w:rFonts w:cs="Arial"/>
                <w:sz w:val="20"/>
                <w:szCs w:val="20"/>
                <w:lang w:val="sr-Latn-RS"/>
              </w:rPr>
            </w:pPr>
            <w:r w:rsidRPr="00992ACC">
              <w:rPr>
                <w:rFonts w:cs="Arial"/>
                <w:sz w:val="20"/>
                <w:szCs w:val="20"/>
                <w:lang w:val="sr-Latn-RS"/>
              </w:rPr>
              <w:t>Load_kg_n</w:t>
            </w:r>
          </w:p>
        </w:tc>
        <w:tc>
          <w:tcPr>
            <w:tcW w:w="589" w:type="pct"/>
            <w:shd w:val="clear" w:color="auto" w:fill="auto"/>
          </w:tcPr>
          <w:p w14:paraId="31B163D6" w14:textId="4FEDD08F"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w:t>
            </w:r>
            <w:r w:rsidR="00117B47">
              <w:rPr>
                <w:sz w:val="20"/>
                <w:szCs w:val="18"/>
              </w:rPr>
              <w:t>0.</w:t>
            </w:r>
            <w:r w:rsidRPr="00EF5A4B">
              <w:rPr>
                <w:sz w:val="20"/>
                <w:szCs w:val="18"/>
              </w:rPr>
              <w:t>009</w:t>
            </w:r>
          </w:p>
        </w:tc>
        <w:tc>
          <w:tcPr>
            <w:tcW w:w="588" w:type="pct"/>
            <w:shd w:val="clear" w:color="auto" w:fill="auto"/>
          </w:tcPr>
          <w:p w14:paraId="7D4FD457" w14:textId="318BF286"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326</w:t>
            </w:r>
          </w:p>
        </w:tc>
        <w:tc>
          <w:tcPr>
            <w:tcW w:w="588" w:type="pct"/>
            <w:shd w:val="clear" w:color="auto" w:fill="auto"/>
          </w:tcPr>
          <w:p w14:paraId="7A92185F" w14:textId="6549EF06"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001</w:t>
            </w:r>
          </w:p>
        </w:tc>
        <w:tc>
          <w:tcPr>
            <w:tcW w:w="588" w:type="pct"/>
            <w:shd w:val="clear" w:color="auto" w:fill="auto"/>
          </w:tcPr>
          <w:p w14:paraId="51BDDDA3" w14:textId="6397450C"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1</w:t>
            </w:r>
          </w:p>
        </w:tc>
        <w:tc>
          <w:tcPr>
            <w:tcW w:w="588" w:type="pct"/>
            <w:shd w:val="clear" w:color="auto" w:fill="auto"/>
          </w:tcPr>
          <w:p w14:paraId="7BEC8A0E" w14:textId="4B1F2254"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979</w:t>
            </w:r>
          </w:p>
        </w:tc>
        <w:tc>
          <w:tcPr>
            <w:tcW w:w="814" w:type="pct"/>
            <w:shd w:val="clear" w:color="auto" w:fill="auto"/>
          </w:tcPr>
          <w:p w14:paraId="3C79451B" w14:textId="73745DFF"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991</w:t>
            </w:r>
          </w:p>
        </w:tc>
      </w:tr>
      <w:tr w:rsidR="00EF5A4B" w:rsidRPr="00992ACC" w14:paraId="29A6BF1A" w14:textId="77777777" w:rsidTr="00EF5A4B">
        <w:trPr>
          <w:cantSplit/>
        </w:trPr>
        <w:tc>
          <w:tcPr>
            <w:tcW w:w="475" w:type="pct"/>
            <w:vMerge/>
            <w:tcBorders>
              <w:top w:val="nil"/>
              <w:bottom w:val="nil"/>
            </w:tcBorders>
            <w:shd w:val="clear" w:color="auto" w:fill="auto"/>
          </w:tcPr>
          <w:p w14:paraId="6E0DAB64" w14:textId="77777777" w:rsidR="00EF5A4B" w:rsidRPr="00992ACC" w:rsidRDefault="00EF5A4B" w:rsidP="00EF5A4B">
            <w:pPr>
              <w:autoSpaceDE w:val="0"/>
              <w:autoSpaceDN w:val="0"/>
              <w:adjustRightInd w:val="0"/>
              <w:spacing w:before="0" w:after="0"/>
              <w:ind w:left="57" w:right="57"/>
              <w:jc w:val="left"/>
              <w:rPr>
                <w:rFonts w:cs="Arial"/>
                <w:sz w:val="20"/>
                <w:szCs w:val="20"/>
                <w:lang w:val="sr-Latn-RS"/>
              </w:rPr>
            </w:pPr>
          </w:p>
        </w:tc>
        <w:tc>
          <w:tcPr>
            <w:tcW w:w="769" w:type="pct"/>
            <w:shd w:val="clear" w:color="auto" w:fill="auto"/>
          </w:tcPr>
          <w:p w14:paraId="1D751264" w14:textId="77777777" w:rsidR="00EF5A4B" w:rsidRPr="00992ACC" w:rsidRDefault="00EF5A4B" w:rsidP="00EF5A4B">
            <w:pPr>
              <w:autoSpaceDE w:val="0"/>
              <w:autoSpaceDN w:val="0"/>
              <w:adjustRightInd w:val="0"/>
              <w:spacing w:before="0" w:after="0"/>
              <w:ind w:left="57" w:right="57"/>
              <w:jc w:val="left"/>
              <w:rPr>
                <w:rFonts w:cs="Arial"/>
                <w:sz w:val="20"/>
                <w:szCs w:val="20"/>
                <w:lang w:val="sr-Latn-RS"/>
              </w:rPr>
            </w:pPr>
            <w:r w:rsidRPr="00992ACC">
              <w:rPr>
                <w:rFonts w:cs="Arial"/>
                <w:sz w:val="20"/>
                <w:szCs w:val="20"/>
                <w:lang w:val="sr-Latn-RS"/>
              </w:rPr>
              <w:t>N_Stdev_IS</w:t>
            </w:r>
          </w:p>
        </w:tc>
        <w:tc>
          <w:tcPr>
            <w:tcW w:w="589" w:type="pct"/>
            <w:shd w:val="clear" w:color="auto" w:fill="auto"/>
          </w:tcPr>
          <w:p w14:paraId="2F4F51EF" w14:textId="5FC56151"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1</w:t>
            </w:r>
            <w:r w:rsidR="00117B47">
              <w:rPr>
                <w:sz w:val="20"/>
                <w:szCs w:val="18"/>
              </w:rPr>
              <w:t>.</w:t>
            </w:r>
            <w:r w:rsidRPr="00EF5A4B">
              <w:rPr>
                <w:sz w:val="20"/>
                <w:szCs w:val="18"/>
              </w:rPr>
              <w:t>666</w:t>
            </w:r>
          </w:p>
        </w:tc>
        <w:tc>
          <w:tcPr>
            <w:tcW w:w="588" w:type="pct"/>
            <w:shd w:val="clear" w:color="auto" w:fill="auto"/>
          </w:tcPr>
          <w:p w14:paraId="1106FBDE" w14:textId="5A6A0D45"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382</w:t>
            </w:r>
          </w:p>
        </w:tc>
        <w:tc>
          <w:tcPr>
            <w:tcW w:w="588" w:type="pct"/>
            <w:shd w:val="clear" w:color="auto" w:fill="auto"/>
          </w:tcPr>
          <w:p w14:paraId="53F93669" w14:textId="4E5E51BB"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18</w:t>
            </w:r>
            <w:r w:rsidR="00117B47">
              <w:rPr>
                <w:sz w:val="20"/>
                <w:szCs w:val="18"/>
              </w:rPr>
              <w:t>.</w:t>
            </w:r>
            <w:r w:rsidRPr="00EF5A4B">
              <w:rPr>
                <w:sz w:val="20"/>
                <w:szCs w:val="18"/>
              </w:rPr>
              <w:t>994</w:t>
            </w:r>
          </w:p>
        </w:tc>
        <w:tc>
          <w:tcPr>
            <w:tcW w:w="588" w:type="pct"/>
            <w:shd w:val="clear" w:color="auto" w:fill="auto"/>
          </w:tcPr>
          <w:p w14:paraId="1AA92DEB" w14:textId="37FD3D29"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1</w:t>
            </w:r>
          </w:p>
        </w:tc>
        <w:tc>
          <w:tcPr>
            <w:tcW w:w="588" w:type="pct"/>
            <w:shd w:val="clear" w:color="auto" w:fill="auto"/>
          </w:tcPr>
          <w:p w14:paraId="675346B1" w14:textId="0474CF61"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&lt;</w:t>
            </w:r>
            <w:r w:rsidR="00117B47">
              <w:rPr>
                <w:sz w:val="20"/>
                <w:szCs w:val="18"/>
              </w:rPr>
              <w:t>0.</w:t>
            </w:r>
            <w:r w:rsidRPr="00EF5A4B">
              <w:rPr>
                <w:sz w:val="20"/>
                <w:szCs w:val="18"/>
              </w:rPr>
              <w:t>001</w:t>
            </w:r>
          </w:p>
        </w:tc>
        <w:tc>
          <w:tcPr>
            <w:tcW w:w="814" w:type="pct"/>
            <w:shd w:val="clear" w:color="auto" w:fill="auto"/>
          </w:tcPr>
          <w:p w14:paraId="00CBE898" w14:textId="74BB60FA"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5</w:t>
            </w:r>
            <w:r w:rsidR="00117B47">
              <w:rPr>
                <w:sz w:val="20"/>
                <w:szCs w:val="18"/>
              </w:rPr>
              <w:t>.</w:t>
            </w:r>
            <w:r w:rsidRPr="00EF5A4B">
              <w:rPr>
                <w:sz w:val="20"/>
                <w:szCs w:val="18"/>
              </w:rPr>
              <w:t>289</w:t>
            </w:r>
          </w:p>
        </w:tc>
      </w:tr>
      <w:tr w:rsidR="00EF5A4B" w:rsidRPr="00992ACC" w14:paraId="51E65EFA" w14:textId="77777777" w:rsidTr="00EF5A4B">
        <w:trPr>
          <w:cantSplit/>
        </w:trPr>
        <w:tc>
          <w:tcPr>
            <w:tcW w:w="475" w:type="pct"/>
            <w:vMerge/>
            <w:tcBorders>
              <w:top w:val="nil"/>
              <w:bottom w:val="nil"/>
            </w:tcBorders>
            <w:shd w:val="clear" w:color="auto" w:fill="auto"/>
          </w:tcPr>
          <w:p w14:paraId="7CFDFE8B" w14:textId="77777777" w:rsidR="00EF5A4B" w:rsidRPr="00992ACC" w:rsidRDefault="00EF5A4B" w:rsidP="00EF5A4B">
            <w:pPr>
              <w:autoSpaceDE w:val="0"/>
              <w:autoSpaceDN w:val="0"/>
              <w:adjustRightInd w:val="0"/>
              <w:spacing w:before="0" w:after="0"/>
              <w:ind w:left="57" w:right="57"/>
              <w:jc w:val="left"/>
              <w:rPr>
                <w:rFonts w:cs="Arial"/>
                <w:sz w:val="20"/>
                <w:szCs w:val="20"/>
                <w:lang w:val="sr-Latn-RS"/>
              </w:rPr>
            </w:pPr>
          </w:p>
        </w:tc>
        <w:tc>
          <w:tcPr>
            <w:tcW w:w="769" w:type="pct"/>
            <w:shd w:val="clear" w:color="auto" w:fill="auto"/>
          </w:tcPr>
          <w:p w14:paraId="371B0562" w14:textId="77777777" w:rsidR="00EF5A4B" w:rsidRPr="00992ACC" w:rsidRDefault="00EF5A4B" w:rsidP="00EF5A4B">
            <w:pPr>
              <w:autoSpaceDE w:val="0"/>
              <w:autoSpaceDN w:val="0"/>
              <w:adjustRightInd w:val="0"/>
              <w:spacing w:before="0" w:after="0"/>
              <w:ind w:left="57" w:right="57"/>
              <w:jc w:val="left"/>
              <w:rPr>
                <w:rFonts w:cs="Arial"/>
                <w:sz w:val="20"/>
                <w:szCs w:val="20"/>
                <w:lang w:val="sr-Latn-RS"/>
              </w:rPr>
            </w:pPr>
            <w:r w:rsidRPr="00992ACC">
              <w:rPr>
                <w:rFonts w:cs="Arial"/>
                <w:sz w:val="20"/>
                <w:szCs w:val="20"/>
                <w:lang w:val="sr-Latn-RS"/>
              </w:rPr>
              <w:t>N_1Q_IS</w:t>
            </w:r>
          </w:p>
        </w:tc>
        <w:tc>
          <w:tcPr>
            <w:tcW w:w="589" w:type="pct"/>
            <w:shd w:val="clear" w:color="auto" w:fill="auto"/>
          </w:tcPr>
          <w:p w14:paraId="22AA4B9B" w14:textId="1508CA01"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-5</w:t>
            </w:r>
            <w:r w:rsidR="00117B47">
              <w:rPr>
                <w:sz w:val="20"/>
                <w:szCs w:val="18"/>
              </w:rPr>
              <w:t>.</w:t>
            </w:r>
            <w:r w:rsidRPr="00EF5A4B">
              <w:rPr>
                <w:sz w:val="20"/>
                <w:szCs w:val="18"/>
              </w:rPr>
              <w:t>936</w:t>
            </w:r>
          </w:p>
        </w:tc>
        <w:tc>
          <w:tcPr>
            <w:tcW w:w="588" w:type="pct"/>
            <w:shd w:val="clear" w:color="auto" w:fill="auto"/>
          </w:tcPr>
          <w:p w14:paraId="7A234C53" w14:textId="3BF8FF61"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980</w:t>
            </w:r>
          </w:p>
        </w:tc>
        <w:tc>
          <w:tcPr>
            <w:tcW w:w="588" w:type="pct"/>
            <w:shd w:val="clear" w:color="auto" w:fill="auto"/>
          </w:tcPr>
          <w:p w14:paraId="3734163F" w14:textId="6B5C254E"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36</w:t>
            </w:r>
            <w:r w:rsidR="00117B47">
              <w:rPr>
                <w:sz w:val="20"/>
                <w:szCs w:val="18"/>
              </w:rPr>
              <w:t>.</w:t>
            </w:r>
            <w:r w:rsidRPr="00EF5A4B">
              <w:rPr>
                <w:sz w:val="20"/>
                <w:szCs w:val="18"/>
              </w:rPr>
              <w:t>689</w:t>
            </w:r>
          </w:p>
        </w:tc>
        <w:tc>
          <w:tcPr>
            <w:tcW w:w="588" w:type="pct"/>
            <w:shd w:val="clear" w:color="auto" w:fill="auto"/>
          </w:tcPr>
          <w:p w14:paraId="64463FBC" w14:textId="25A2065C"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1</w:t>
            </w:r>
          </w:p>
        </w:tc>
        <w:tc>
          <w:tcPr>
            <w:tcW w:w="588" w:type="pct"/>
            <w:shd w:val="clear" w:color="auto" w:fill="auto"/>
          </w:tcPr>
          <w:p w14:paraId="7607E8C2" w14:textId="73D95504"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&lt;</w:t>
            </w:r>
            <w:r w:rsidR="00117B47">
              <w:rPr>
                <w:sz w:val="20"/>
                <w:szCs w:val="18"/>
              </w:rPr>
              <w:t>0.</w:t>
            </w:r>
            <w:r w:rsidRPr="00EF5A4B">
              <w:rPr>
                <w:sz w:val="20"/>
                <w:szCs w:val="18"/>
              </w:rPr>
              <w:t>001</w:t>
            </w:r>
          </w:p>
        </w:tc>
        <w:tc>
          <w:tcPr>
            <w:tcW w:w="814" w:type="pct"/>
            <w:shd w:val="clear" w:color="auto" w:fill="auto"/>
          </w:tcPr>
          <w:p w14:paraId="28795609" w14:textId="2793FD97"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003</w:t>
            </w:r>
          </w:p>
        </w:tc>
      </w:tr>
      <w:tr w:rsidR="00EF5A4B" w:rsidRPr="00992ACC" w14:paraId="054EB3E0" w14:textId="77777777" w:rsidTr="00EF5A4B">
        <w:trPr>
          <w:cantSplit/>
        </w:trPr>
        <w:tc>
          <w:tcPr>
            <w:tcW w:w="475" w:type="pct"/>
            <w:vMerge/>
            <w:tcBorders>
              <w:top w:val="nil"/>
              <w:bottom w:val="nil"/>
            </w:tcBorders>
            <w:shd w:val="clear" w:color="auto" w:fill="auto"/>
          </w:tcPr>
          <w:p w14:paraId="0DD67025" w14:textId="77777777" w:rsidR="00EF5A4B" w:rsidRPr="00992ACC" w:rsidRDefault="00EF5A4B" w:rsidP="00EF5A4B">
            <w:pPr>
              <w:autoSpaceDE w:val="0"/>
              <w:autoSpaceDN w:val="0"/>
              <w:adjustRightInd w:val="0"/>
              <w:spacing w:before="0" w:after="0"/>
              <w:ind w:left="57" w:right="57"/>
              <w:jc w:val="left"/>
              <w:rPr>
                <w:rFonts w:cs="Arial"/>
                <w:sz w:val="20"/>
                <w:szCs w:val="20"/>
                <w:lang w:val="sr-Latn-RS"/>
              </w:rPr>
            </w:pPr>
          </w:p>
        </w:tc>
        <w:tc>
          <w:tcPr>
            <w:tcW w:w="769" w:type="pct"/>
            <w:shd w:val="clear" w:color="auto" w:fill="auto"/>
          </w:tcPr>
          <w:p w14:paraId="7698EE51" w14:textId="77777777" w:rsidR="00EF5A4B" w:rsidRPr="00992ACC" w:rsidRDefault="00EF5A4B" w:rsidP="00EF5A4B">
            <w:pPr>
              <w:autoSpaceDE w:val="0"/>
              <w:autoSpaceDN w:val="0"/>
              <w:adjustRightInd w:val="0"/>
              <w:spacing w:before="0" w:after="0"/>
              <w:ind w:left="57" w:right="57"/>
              <w:jc w:val="left"/>
              <w:rPr>
                <w:rFonts w:cs="Arial"/>
                <w:sz w:val="20"/>
                <w:szCs w:val="20"/>
                <w:lang w:val="sr-Latn-RS"/>
              </w:rPr>
            </w:pPr>
            <w:r w:rsidRPr="00992ACC">
              <w:rPr>
                <w:rFonts w:cs="Arial"/>
                <w:sz w:val="20"/>
                <w:szCs w:val="20"/>
                <w:lang w:val="sr-Latn-RS"/>
              </w:rPr>
              <w:t>N_Median_IS</w:t>
            </w:r>
          </w:p>
        </w:tc>
        <w:tc>
          <w:tcPr>
            <w:tcW w:w="589" w:type="pct"/>
            <w:shd w:val="clear" w:color="auto" w:fill="auto"/>
          </w:tcPr>
          <w:p w14:paraId="63FB8013" w14:textId="7166EDD1"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028</w:t>
            </w:r>
          </w:p>
        </w:tc>
        <w:tc>
          <w:tcPr>
            <w:tcW w:w="588" w:type="pct"/>
            <w:shd w:val="clear" w:color="auto" w:fill="auto"/>
          </w:tcPr>
          <w:p w14:paraId="426D5369" w14:textId="7AC6E981"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464</w:t>
            </w:r>
          </w:p>
        </w:tc>
        <w:tc>
          <w:tcPr>
            <w:tcW w:w="588" w:type="pct"/>
            <w:shd w:val="clear" w:color="auto" w:fill="auto"/>
          </w:tcPr>
          <w:p w14:paraId="7725BC4E" w14:textId="6063B1AA"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004</w:t>
            </w:r>
          </w:p>
        </w:tc>
        <w:tc>
          <w:tcPr>
            <w:tcW w:w="588" w:type="pct"/>
            <w:shd w:val="clear" w:color="auto" w:fill="auto"/>
          </w:tcPr>
          <w:p w14:paraId="7DB60261" w14:textId="428C15D4"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1</w:t>
            </w:r>
          </w:p>
        </w:tc>
        <w:tc>
          <w:tcPr>
            <w:tcW w:w="588" w:type="pct"/>
            <w:shd w:val="clear" w:color="auto" w:fill="auto"/>
          </w:tcPr>
          <w:p w14:paraId="4A8641CB" w14:textId="53E42E84"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952</w:t>
            </w:r>
          </w:p>
        </w:tc>
        <w:tc>
          <w:tcPr>
            <w:tcW w:w="814" w:type="pct"/>
            <w:shd w:val="clear" w:color="auto" w:fill="auto"/>
          </w:tcPr>
          <w:p w14:paraId="1B96DAA5" w14:textId="21BDDAD9"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1</w:t>
            </w:r>
            <w:r w:rsidR="00117B47">
              <w:rPr>
                <w:sz w:val="20"/>
                <w:szCs w:val="18"/>
              </w:rPr>
              <w:t>.</w:t>
            </w:r>
            <w:r w:rsidRPr="00EF5A4B">
              <w:rPr>
                <w:sz w:val="20"/>
                <w:szCs w:val="18"/>
              </w:rPr>
              <w:t>028</w:t>
            </w:r>
          </w:p>
        </w:tc>
      </w:tr>
      <w:tr w:rsidR="00EF5A4B" w:rsidRPr="00992ACC" w14:paraId="6E67C1B5" w14:textId="77777777" w:rsidTr="00EF5A4B">
        <w:trPr>
          <w:cantSplit/>
        </w:trPr>
        <w:tc>
          <w:tcPr>
            <w:tcW w:w="475" w:type="pct"/>
            <w:vMerge/>
            <w:tcBorders>
              <w:top w:val="nil"/>
              <w:bottom w:val="nil"/>
            </w:tcBorders>
            <w:shd w:val="clear" w:color="auto" w:fill="auto"/>
          </w:tcPr>
          <w:p w14:paraId="37575A3D" w14:textId="77777777" w:rsidR="00EF5A4B" w:rsidRPr="00992ACC" w:rsidRDefault="00EF5A4B" w:rsidP="00EF5A4B">
            <w:pPr>
              <w:autoSpaceDE w:val="0"/>
              <w:autoSpaceDN w:val="0"/>
              <w:adjustRightInd w:val="0"/>
              <w:spacing w:before="0" w:after="0"/>
              <w:ind w:left="57" w:right="57"/>
              <w:jc w:val="left"/>
              <w:rPr>
                <w:rFonts w:cs="Arial"/>
                <w:sz w:val="20"/>
                <w:szCs w:val="20"/>
                <w:lang w:val="sr-Latn-RS"/>
              </w:rPr>
            </w:pPr>
          </w:p>
        </w:tc>
        <w:tc>
          <w:tcPr>
            <w:tcW w:w="769" w:type="pct"/>
            <w:shd w:val="clear" w:color="auto" w:fill="auto"/>
          </w:tcPr>
          <w:p w14:paraId="2D2DA30A" w14:textId="77777777" w:rsidR="00EF5A4B" w:rsidRPr="00992ACC" w:rsidRDefault="00EF5A4B" w:rsidP="00EF5A4B">
            <w:pPr>
              <w:autoSpaceDE w:val="0"/>
              <w:autoSpaceDN w:val="0"/>
              <w:adjustRightInd w:val="0"/>
              <w:spacing w:before="0" w:after="0"/>
              <w:ind w:left="57" w:right="57"/>
              <w:jc w:val="left"/>
              <w:rPr>
                <w:rFonts w:cs="Arial"/>
                <w:sz w:val="20"/>
                <w:szCs w:val="20"/>
                <w:lang w:val="sr-Latn-RS"/>
              </w:rPr>
            </w:pPr>
            <w:r w:rsidRPr="00992ACC">
              <w:rPr>
                <w:rFonts w:cs="Arial"/>
                <w:sz w:val="20"/>
                <w:szCs w:val="20"/>
                <w:lang w:val="sr-Latn-RS"/>
              </w:rPr>
              <w:t>N_min_IS</w:t>
            </w:r>
          </w:p>
        </w:tc>
        <w:tc>
          <w:tcPr>
            <w:tcW w:w="589" w:type="pct"/>
            <w:shd w:val="clear" w:color="auto" w:fill="auto"/>
          </w:tcPr>
          <w:p w14:paraId="4AD4780B" w14:textId="14BE4C09"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w:t>
            </w:r>
            <w:r w:rsidR="00117B47">
              <w:rPr>
                <w:sz w:val="20"/>
                <w:szCs w:val="18"/>
              </w:rPr>
              <w:t>0.</w:t>
            </w:r>
            <w:r w:rsidRPr="00EF5A4B">
              <w:rPr>
                <w:sz w:val="20"/>
                <w:szCs w:val="18"/>
              </w:rPr>
              <w:t>145</w:t>
            </w:r>
          </w:p>
        </w:tc>
        <w:tc>
          <w:tcPr>
            <w:tcW w:w="588" w:type="pct"/>
            <w:shd w:val="clear" w:color="auto" w:fill="auto"/>
          </w:tcPr>
          <w:p w14:paraId="540E2DCA" w14:textId="0114171A"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244</w:t>
            </w:r>
          </w:p>
        </w:tc>
        <w:tc>
          <w:tcPr>
            <w:tcW w:w="588" w:type="pct"/>
            <w:shd w:val="clear" w:color="auto" w:fill="auto"/>
          </w:tcPr>
          <w:p w14:paraId="3EFF7886" w14:textId="6BA3A397"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351</w:t>
            </w:r>
          </w:p>
        </w:tc>
        <w:tc>
          <w:tcPr>
            <w:tcW w:w="588" w:type="pct"/>
            <w:shd w:val="clear" w:color="auto" w:fill="auto"/>
          </w:tcPr>
          <w:p w14:paraId="69BF73DC" w14:textId="36B981B8"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1</w:t>
            </w:r>
          </w:p>
        </w:tc>
        <w:tc>
          <w:tcPr>
            <w:tcW w:w="588" w:type="pct"/>
            <w:shd w:val="clear" w:color="auto" w:fill="auto"/>
          </w:tcPr>
          <w:p w14:paraId="70CCAE30" w14:textId="310625C8"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553</w:t>
            </w:r>
          </w:p>
        </w:tc>
        <w:tc>
          <w:tcPr>
            <w:tcW w:w="814" w:type="pct"/>
            <w:shd w:val="clear" w:color="auto" w:fill="auto"/>
          </w:tcPr>
          <w:p w14:paraId="77435D85" w14:textId="5B5A058E"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865</w:t>
            </w:r>
          </w:p>
        </w:tc>
      </w:tr>
      <w:tr w:rsidR="00EF5A4B" w:rsidRPr="00992ACC" w14:paraId="3F621BFF" w14:textId="77777777" w:rsidTr="00EF5A4B">
        <w:trPr>
          <w:cantSplit/>
        </w:trPr>
        <w:tc>
          <w:tcPr>
            <w:tcW w:w="475" w:type="pct"/>
            <w:vMerge/>
            <w:tcBorders>
              <w:top w:val="nil"/>
              <w:bottom w:val="nil"/>
            </w:tcBorders>
            <w:shd w:val="clear" w:color="auto" w:fill="auto"/>
          </w:tcPr>
          <w:p w14:paraId="1D7F297A" w14:textId="77777777" w:rsidR="00EF5A4B" w:rsidRPr="00992ACC" w:rsidRDefault="00EF5A4B" w:rsidP="00EF5A4B">
            <w:pPr>
              <w:autoSpaceDE w:val="0"/>
              <w:autoSpaceDN w:val="0"/>
              <w:adjustRightInd w:val="0"/>
              <w:spacing w:before="0" w:after="0"/>
              <w:ind w:left="57" w:right="57"/>
              <w:jc w:val="left"/>
              <w:rPr>
                <w:rFonts w:cs="Arial"/>
                <w:sz w:val="20"/>
                <w:szCs w:val="20"/>
                <w:lang w:val="sr-Latn-RS"/>
              </w:rPr>
            </w:pPr>
          </w:p>
        </w:tc>
        <w:tc>
          <w:tcPr>
            <w:tcW w:w="769" w:type="pct"/>
            <w:shd w:val="clear" w:color="auto" w:fill="auto"/>
          </w:tcPr>
          <w:p w14:paraId="3266F660" w14:textId="77777777" w:rsidR="00EF5A4B" w:rsidRPr="00992ACC" w:rsidRDefault="00EF5A4B" w:rsidP="00EF5A4B">
            <w:pPr>
              <w:autoSpaceDE w:val="0"/>
              <w:autoSpaceDN w:val="0"/>
              <w:adjustRightInd w:val="0"/>
              <w:spacing w:before="0" w:after="0"/>
              <w:ind w:left="57" w:right="57"/>
              <w:jc w:val="left"/>
              <w:rPr>
                <w:rFonts w:cs="Arial"/>
                <w:sz w:val="20"/>
                <w:szCs w:val="20"/>
                <w:lang w:val="sr-Latn-RS"/>
              </w:rPr>
            </w:pPr>
            <w:r w:rsidRPr="00992ACC">
              <w:rPr>
                <w:rFonts w:cs="Arial"/>
                <w:sz w:val="20"/>
                <w:szCs w:val="20"/>
                <w:lang w:val="sr-Latn-RS"/>
              </w:rPr>
              <w:t>N_Kurt_IS</w:t>
            </w:r>
          </w:p>
        </w:tc>
        <w:tc>
          <w:tcPr>
            <w:tcW w:w="589" w:type="pct"/>
            <w:shd w:val="clear" w:color="auto" w:fill="auto"/>
          </w:tcPr>
          <w:p w14:paraId="33069E89" w14:textId="37236B8C"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-1</w:t>
            </w:r>
            <w:r w:rsidR="00117B47">
              <w:rPr>
                <w:sz w:val="20"/>
                <w:szCs w:val="18"/>
              </w:rPr>
              <w:t>.</w:t>
            </w:r>
            <w:r w:rsidRPr="00EF5A4B">
              <w:rPr>
                <w:sz w:val="20"/>
                <w:szCs w:val="18"/>
              </w:rPr>
              <w:t>121</w:t>
            </w:r>
          </w:p>
        </w:tc>
        <w:tc>
          <w:tcPr>
            <w:tcW w:w="588" w:type="pct"/>
            <w:shd w:val="clear" w:color="auto" w:fill="auto"/>
          </w:tcPr>
          <w:p w14:paraId="1FFCC98F" w14:textId="02E75E2A"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409</w:t>
            </w:r>
          </w:p>
        </w:tc>
        <w:tc>
          <w:tcPr>
            <w:tcW w:w="588" w:type="pct"/>
            <w:shd w:val="clear" w:color="auto" w:fill="auto"/>
          </w:tcPr>
          <w:p w14:paraId="3FCD39FB" w14:textId="13D075A8"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7</w:t>
            </w:r>
            <w:r w:rsidR="00117B47">
              <w:rPr>
                <w:sz w:val="20"/>
                <w:szCs w:val="18"/>
              </w:rPr>
              <w:t>.</w:t>
            </w:r>
            <w:r w:rsidRPr="00EF5A4B">
              <w:rPr>
                <w:sz w:val="20"/>
                <w:szCs w:val="18"/>
              </w:rPr>
              <w:t>520</w:t>
            </w:r>
          </w:p>
        </w:tc>
        <w:tc>
          <w:tcPr>
            <w:tcW w:w="588" w:type="pct"/>
            <w:shd w:val="clear" w:color="auto" w:fill="auto"/>
          </w:tcPr>
          <w:p w14:paraId="3F363384" w14:textId="0D9EFCFA"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1</w:t>
            </w:r>
          </w:p>
        </w:tc>
        <w:tc>
          <w:tcPr>
            <w:tcW w:w="588" w:type="pct"/>
            <w:shd w:val="clear" w:color="auto" w:fill="auto"/>
          </w:tcPr>
          <w:p w14:paraId="1D6326EC" w14:textId="7FC7DA14"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006</w:t>
            </w:r>
          </w:p>
        </w:tc>
        <w:tc>
          <w:tcPr>
            <w:tcW w:w="814" w:type="pct"/>
            <w:shd w:val="clear" w:color="auto" w:fill="auto"/>
          </w:tcPr>
          <w:p w14:paraId="7FD8E8A6" w14:textId="59B3A1FB"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326</w:t>
            </w:r>
          </w:p>
        </w:tc>
      </w:tr>
      <w:tr w:rsidR="00EF5A4B" w:rsidRPr="00992ACC" w14:paraId="725C9C7C" w14:textId="77777777" w:rsidTr="00EF5A4B">
        <w:trPr>
          <w:cantSplit/>
        </w:trPr>
        <w:tc>
          <w:tcPr>
            <w:tcW w:w="475" w:type="pct"/>
            <w:vMerge/>
            <w:tcBorders>
              <w:top w:val="nil"/>
              <w:bottom w:val="single" w:sz="4" w:space="0" w:color="auto"/>
            </w:tcBorders>
            <w:shd w:val="clear" w:color="auto" w:fill="auto"/>
          </w:tcPr>
          <w:p w14:paraId="31D8CA7F" w14:textId="77777777" w:rsidR="00EF5A4B" w:rsidRPr="00992ACC" w:rsidRDefault="00EF5A4B" w:rsidP="00EF5A4B">
            <w:pPr>
              <w:autoSpaceDE w:val="0"/>
              <w:autoSpaceDN w:val="0"/>
              <w:adjustRightInd w:val="0"/>
              <w:spacing w:before="0" w:after="0"/>
              <w:ind w:left="57" w:right="57"/>
              <w:jc w:val="left"/>
              <w:rPr>
                <w:rFonts w:cs="Arial"/>
                <w:sz w:val="20"/>
                <w:szCs w:val="20"/>
                <w:lang w:val="sr-Latn-RS"/>
              </w:rPr>
            </w:pPr>
          </w:p>
        </w:tc>
        <w:tc>
          <w:tcPr>
            <w:tcW w:w="769" w:type="pct"/>
            <w:tcBorders>
              <w:bottom w:val="single" w:sz="4" w:space="0" w:color="auto"/>
            </w:tcBorders>
            <w:shd w:val="clear" w:color="auto" w:fill="auto"/>
          </w:tcPr>
          <w:p w14:paraId="64DD4134" w14:textId="77777777" w:rsidR="00EF5A4B" w:rsidRPr="00992ACC" w:rsidRDefault="00EF5A4B" w:rsidP="00EF5A4B">
            <w:pPr>
              <w:autoSpaceDE w:val="0"/>
              <w:autoSpaceDN w:val="0"/>
              <w:adjustRightInd w:val="0"/>
              <w:spacing w:before="0" w:after="0"/>
              <w:ind w:left="57" w:right="57"/>
              <w:jc w:val="left"/>
              <w:rPr>
                <w:rFonts w:cs="Arial"/>
                <w:sz w:val="20"/>
                <w:szCs w:val="20"/>
                <w:lang w:val="sr-Latn-RS"/>
              </w:rPr>
            </w:pPr>
            <w:r w:rsidRPr="00992ACC">
              <w:rPr>
                <w:rFonts w:cs="Arial"/>
                <w:sz w:val="20"/>
                <w:szCs w:val="20"/>
                <w:lang w:val="sr-Latn-RS"/>
              </w:rPr>
              <w:t>Constant</w:t>
            </w:r>
          </w:p>
        </w:tc>
        <w:tc>
          <w:tcPr>
            <w:tcW w:w="589" w:type="pct"/>
            <w:tcBorders>
              <w:bottom w:val="single" w:sz="4" w:space="0" w:color="auto"/>
            </w:tcBorders>
            <w:shd w:val="clear" w:color="auto" w:fill="auto"/>
          </w:tcPr>
          <w:p w14:paraId="171B4448" w14:textId="63968F03"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-3</w:t>
            </w:r>
            <w:r w:rsidR="00117B47">
              <w:rPr>
                <w:sz w:val="20"/>
                <w:szCs w:val="18"/>
              </w:rPr>
              <w:t>.</w:t>
            </w:r>
            <w:r w:rsidRPr="00EF5A4B">
              <w:rPr>
                <w:sz w:val="20"/>
                <w:szCs w:val="18"/>
              </w:rPr>
              <w:t>883</w:t>
            </w:r>
          </w:p>
        </w:tc>
        <w:tc>
          <w:tcPr>
            <w:tcW w:w="588" w:type="pct"/>
            <w:tcBorders>
              <w:bottom w:val="single" w:sz="4" w:space="0" w:color="auto"/>
            </w:tcBorders>
            <w:shd w:val="clear" w:color="auto" w:fill="auto"/>
          </w:tcPr>
          <w:p w14:paraId="0C173036" w14:textId="6377B854"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728</w:t>
            </w:r>
          </w:p>
        </w:tc>
        <w:tc>
          <w:tcPr>
            <w:tcW w:w="588" w:type="pct"/>
            <w:tcBorders>
              <w:bottom w:val="single" w:sz="4" w:space="0" w:color="auto"/>
            </w:tcBorders>
            <w:shd w:val="clear" w:color="auto" w:fill="auto"/>
          </w:tcPr>
          <w:p w14:paraId="70A147FA" w14:textId="565E1F32"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28</w:t>
            </w:r>
            <w:r w:rsidR="00117B47">
              <w:rPr>
                <w:sz w:val="20"/>
                <w:szCs w:val="18"/>
              </w:rPr>
              <w:t>.</w:t>
            </w:r>
            <w:r w:rsidRPr="00EF5A4B">
              <w:rPr>
                <w:sz w:val="20"/>
                <w:szCs w:val="18"/>
              </w:rPr>
              <w:t>477</w:t>
            </w:r>
          </w:p>
        </w:tc>
        <w:tc>
          <w:tcPr>
            <w:tcW w:w="588" w:type="pct"/>
            <w:tcBorders>
              <w:bottom w:val="single" w:sz="4" w:space="0" w:color="auto"/>
            </w:tcBorders>
            <w:shd w:val="clear" w:color="auto" w:fill="auto"/>
          </w:tcPr>
          <w:p w14:paraId="76534325" w14:textId="3E6EFCFB"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1</w:t>
            </w:r>
          </w:p>
        </w:tc>
        <w:tc>
          <w:tcPr>
            <w:tcW w:w="588" w:type="pct"/>
            <w:tcBorders>
              <w:bottom w:val="single" w:sz="4" w:space="0" w:color="auto"/>
            </w:tcBorders>
            <w:shd w:val="clear" w:color="auto" w:fill="auto"/>
          </w:tcPr>
          <w:p w14:paraId="7343D00F" w14:textId="148644F7" w:rsidR="00EF5A4B" w:rsidRPr="00EF5A4B" w:rsidRDefault="00EF5A4B" w:rsidP="00EF5A4B">
            <w:pPr>
              <w:autoSpaceDE w:val="0"/>
              <w:autoSpaceDN w:val="0"/>
              <w:adjustRightInd w:val="0"/>
              <w:spacing w:before="0" w:after="0"/>
              <w:ind w:left="57" w:right="57"/>
              <w:jc w:val="right"/>
              <w:rPr>
                <w:rFonts w:cs="Arial"/>
                <w:sz w:val="20"/>
                <w:szCs w:val="18"/>
                <w:lang w:val="sr-Latn-RS"/>
              </w:rPr>
            </w:pPr>
            <w:r w:rsidRPr="00EF5A4B">
              <w:rPr>
                <w:sz w:val="20"/>
                <w:szCs w:val="18"/>
              </w:rPr>
              <w:t>&lt;</w:t>
            </w:r>
            <w:r w:rsidR="00117B47">
              <w:rPr>
                <w:sz w:val="20"/>
                <w:szCs w:val="18"/>
              </w:rPr>
              <w:t>0.</w:t>
            </w:r>
            <w:r w:rsidRPr="00EF5A4B">
              <w:rPr>
                <w:sz w:val="20"/>
                <w:szCs w:val="18"/>
              </w:rPr>
              <w:t>001</w:t>
            </w:r>
          </w:p>
        </w:tc>
        <w:tc>
          <w:tcPr>
            <w:tcW w:w="814" w:type="pct"/>
            <w:tcBorders>
              <w:bottom w:val="single" w:sz="4" w:space="0" w:color="auto"/>
            </w:tcBorders>
            <w:shd w:val="clear" w:color="auto" w:fill="auto"/>
          </w:tcPr>
          <w:p w14:paraId="0B91C5C4" w14:textId="7E107DB6" w:rsidR="00EF5A4B" w:rsidRPr="00EF5A4B" w:rsidRDefault="00117B47" w:rsidP="00EF5A4B">
            <w:pPr>
              <w:autoSpaceDE w:val="0"/>
              <w:autoSpaceDN w:val="0"/>
              <w:adjustRightInd w:val="0"/>
              <w:spacing w:before="0" w:after="0"/>
              <w:ind w:left="57" w:right="57"/>
              <w:jc w:val="right"/>
              <w:rPr>
                <w:rFonts w:cs="Arial"/>
                <w:sz w:val="20"/>
                <w:szCs w:val="18"/>
                <w:lang w:val="sr-Latn-RS"/>
              </w:rPr>
            </w:pPr>
            <w:r>
              <w:rPr>
                <w:sz w:val="20"/>
                <w:szCs w:val="18"/>
              </w:rPr>
              <w:t>0.</w:t>
            </w:r>
            <w:r w:rsidR="00EF5A4B" w:rsidRPr="00EF5A4B">
              <w:rPr>
                <w:sz w:val="20"/>
                <w:szCs w:val="18"/>
              </w:rPr>
              <w:t>021</w:t>
            </w:r>
          </w:p>
        </w:tc>
      </w:tr>
      <w:tr w:rsidR="00CA12C6" w:rsidRPr="00992ACC" w14:paraId="2FD2D123" w14:textId="77777777" w:rsidTr="00CA12C6">
        <w:trPr>
          <w:cantSplit/>
        </w:trPr>
        <w:tc>
          <w:tcPr>
            <w:tcW w:w="5000" w:type="pct"/>
            <w:gridSpan w:val="8"/>
            <w:tcBorders>
              <w:top w:val="single" w:sz="4" w:space="0" w:color="auto"/>
              <w:bottom w:val="nil"/>
            </w:tcBorders>
            <w:shd w:val="clear" w:color="auto" w:fill="auto"/>
          </w:tcPr>
          <w:p w14:paraId="65EC284C" w14:textId="48930C61" w:rsidR="004F1E32" w:rsidRPr="009725E7" w:rsidRDefault="004F1E32" w:rsidP="00CA12C6">
            <w:pPr>
              <w:autoSpaceDE w:val="0"/>
              <w:autoSpaceDN w:val="0"/>
              <w:adjustRightInd w:val="0"/>
              <w:spacing w:before="0" w:after="0"/>
              <w:ind w:left="57" w:right="57"/>
              <w:jc w:val="left"/>
              <w:rPr>
                <w:rFonts w:cs="Arial"/>
                <w:sz w:val="18"/>
                <w:szCs w:val="18"/>
                <w:lang w:val="sr-Latn-RS"/>
              </w:rPr>
            </w:pPr>
            <w:r w:rsidRPr="009725E7">
              <w:rPr>
                <w:rFonts w:cs="Arial"/>
                <w:sz w:val="18"/>
                <w:szCs w:val="18"/>
                <w:lang w:val="sr-Latn-RS"/>
              </w:rPr>
              <w:t>a. Variable(s) entered on step 1: HS_idle_time, T1, T3, T4, Load_kg_n, N_Stdev_IS, N_1Q_IS, N_Median_IS, N_min_IS, N_Kurt_IS.</w:t>
            </w:r>
          </w:p>
        </w:tc>
      </w:tr>
    </w:tbl>
    <w:p w14:paraId="6B74E836" w14:textId="12CEFE6C" w:rsidR="00743D78" w:rsidRPr="004F1E32" w:rsidRDefault="00743D78" w:rsidP="00743D78">
      <w:pPr>
        <w:pStyle w:val="Caption"/>
        <w:jc w:val="both"/>
        <w:rPr>
          <w:rFonts w:ascii="Times New Roman" w:hAnsi="Times New Roman" w:cs="Times New Roman"/>
          <w:szCs w:val="24"/>
          <w:lang w:val="sr-Latn-RS"/>
        </w:rPr>
      </w:pPr>
      <w:bookmarkStart w:id="674" w:name="_Ref99363281"/>
      <w:bookmarkStart w:id="675" w:name="_Toc101274504"/>
      <w:r>
        <w:t xml:space="preserve">Table </w:t>
      </w:r>
      <w:fldSimple w:instr=" SEQ Table \* ARABIC ">
        <w:r w:rsidR="00587AF0">
          <w:rPr>
            <w:noProof/>
          </w:rPr>
          <w:t>64</w:t>
        </w:r>
      </w:fldSimple>
      <w:bookmarkEnd w:id="674"/>
      <w:r>
        <w:t xml:space="preserve">. </w:t>
      </w:r>
      <w:r w:rsidRPr="00743D78">
        <w:t xml:space="preserve">Logistic regression formulation and parameters at </w:t>
      </w:r>
      <w:r>
        <w:t xml:space="preserve">idle </w:t>
      </w:r>
      <w:r w:rsidRPr="00743D78">
        <w:t>saddle position</w:t>
      </w:r>
      <w:bookmarkEnd w:id="67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4"/>
        <w:gridCol w:w="4913"/>
      </w:tblGrid>
      <w:tr w:rsidR="00743D78" w:rsidRPr="009C7391" w14:paraId="0ECDBA75" w14:textId="77777777" w:rsidTr="00DC3687">
        <w:tc>
          <w:tcPr>
            <w:tcW w:w="4114" w:type="dxa"/>
            <w:tcBorders>
              <w:top w:val="single" w:sz="4" w:space="0" w:color="auto"/>
              <w:bottom w:val="single" w:sz="4" w:space="0" w:color="auto"/>
            </w:tcBorders>
          </w:tcPr>
          <w:p w14:paraId="749A9C1B" w14:textId="77777777" w:rsidR="00743D78" w:rsidRPr="009C7391" w:rsidRDefault="00743D78" w:rsidP="00DC3687">
            <w:pPr>
              <w:spacing w:before="0" w:after="0"/>
              <w:rPr>
                <w:rFonts w:eastAsia="Times New Roman" w:cs="Segoe UI"/>
                <w:b/>
                <w:bCs/>
                <w:sz w:val="20"/>
                <w:szCs w:val="20"/>
                <w:lang w:val="sr-Latn-RS" w:eastAsia="sr-Latn-RS"/>
              </w:rPr>
            </w:pPr>
            <w:r w:rsidRPr="009C7391">
              <w:rPr>
                <w:rFonts w:eastAsia="Times New Roman" w:cs="Segoe UI"/>
                <w:b/>
                <w:bCs/>
                <w:sz w:val="20"/>
                <w:szCs w:val="20"/>
                <w:lang w:val="sr-Latn-RS" w:eastAsia="sr-Latn-RS"/>
              </w:rPr>
              <w:t>Properties</w:t>
            </w:r>
          </w:p>
        </w:tc>
        <w:tc>
          <w:tcPr>
            <w:tcW w:w="4913" w:type="dxa"/>
            <w:tcBorders>
              <w:top w:val="single" w:sz="4" w:space="0" w:color="auto"/>
              <w:bottom w:val="single" w:sz="4" w:space="0" w:color="auto"/>
            </w:tcBorders>
          </w:tcPr>
          <w:p w14:paraId="6A63B96F" w14:textId="77777777" w:rsidR="00743D78" w:rsidRPr="009C7391" w:rsidRDefault="00743D78" w:rsidP="00DC3687">
            <w:pPr>
              <w:spacing w:before="0" w:after="0"/>
              <w:jc w:val="right"/>
              <w:rPr>
                <w:rFonts w:eastAsia="Times New Roman" w:cs="Segoe UI"/>
                <w:b/>
                <w:bCs/>
                <w:sz w:val="20"/>
                <w:szCs w:val="20"/>
                <w:lang w:val="sr-Latn-RS" w:eastAsia="sr-Latn-RS"/>
              </w:rPr>
            </w:pPr>
            <w:r w:rsidRPr="009C7391">
              <w:rPr>
                <w:rFonts w:eastAsia="Times New Roman" w:cs="Segoe UI"/>
                <w:b/>
                <w:bCs/>
                <w:sz w:val="20"/>
                <w:szCs w:val="20"/>
                <w:lang w:val="sr-Latn-RS" w:eastAsia="sr-Latn-RS"/>
              </w:rPr>
              <w:t>Model parameters and values</w:t>
            </w:r>
          </w:p>
        </w:tc>
      </w:tr>
      <w:tr w:rsidR="00743D78" w:rsidRPr="009C7391" w14:paraId="692F5A90" w14:textId="77777777" w:rsidTr="00DC3687">
        <w:tc>
          <w:tcPr>
            <w:tcW w:w="4114" w:type="dxa"/>
            <w:tcBorders>
              <w:top w:val="single" w:sz="4" w:space="0" w:color="auto"/>
            </w:tcBorders>
            <w:vAlign w:val="center"/>
          </w:tcPr>
          <w:p w14:paraId="0576D9E6" w14:textId="77777777" w:rsidR="00743D78" w:rsidRPr="009C7391" w:rsidRDefault="00743D78" w:rsidP="00DC3687">
            <w:pPr>
              <w:spacing w:before="0" w:after="0"/>
              <w:jc w:val="left"/>
              <w:rPr>
                <w:rFonts w:eastAsia="Times New Roman" w:cs="Segoe UI"/>
                <w:sz w:val="20"/>
                <w:szCs w:val="20"/>
                <w:lang w:val="sr-Latn-RS" w:eastAsia="sr-Latn-RS"/>
              </w:rPr>
            </w:pPr>
            <w:r w:rsidRPr="009C7391">
              <w:rPr>
                <w:rFonts w:eastAsia="Times New Roman" w:cs="Segoe UI"/>
                <w:sz w:val="20"/>
                <w:szCs w:val="20"/>
                <w:lang w:val="sr-Latn-RS" w:eastAsia="sr-Latn-RS"/>
              </w:rPr>
              <w:t>Model equation</w:t>
            </w:r>
          </w:p>
        </w:tc>
        <w:tc>
          <w:tcPr>
            <w:tcW w:w="4913" w:type="dxa"/>
            <w:tcBorders>
              <w:top w:val="single" w:sz="4" w:space="0" w:color="auto"/>
            </w:tcBorders>
          </w:tcPr>
          <w:p w14:paraId="3B91F34B" w14:textId="5939F777" w:rsidR="00743D78" w:rsidRPr="009C7391" w:rsidRDefault="00743D78" w:rsidP="00DC3687">
            <w:pPr>
              <w:spacing w:before="0" w:after="0"/>
              <w:rPr>
                <w:rFonts w:eastAsia="Times New Roman" w:cs="Segoe UI"/>
                <w:color w:val="495057"/>
                <w:sz w:val="20"/>
                <w:szCs w:val="20"/>
                <w:lang w:val="sr-Latn-RS" w:eastAsia="sr-Latn-RS"/>
              </w:rPr>
            </w:pPr>
            <w:r w:rsidRPr="00743D78">
              <w:rPr>
                <w:rFonts w:eastAsia="Times New Roman" w:cs="Segoe UI"/>
                <w:sz w:val="20"/>
                <w:szCs w:val="20"/>
                <w:lang w:val="sr-Latn-RS" w:eastAsia="sr-Latn-RS"/>
              </w:rPr>
              <w:t>logit(P) = log(P / (1 - P)) = -3.883 - 5.936 N_1Q_IS + 0.028 N_Median_IS - 1.121 N_Kurt_IS - 0.145 N_min_IS + 1.666 N_Stdev_IS - 1.172 HS_idle_time_IS - 0.009 Load_kg - 0.606 T4 - 0.184 T1 - 2.621 T3</w:t>
            </w:r>
          </w:p>
        </w:tc>
      </w:tr>
      <w:tr w:rsidR="00743D78" w:rsidRPr="009C7391" w14:paraId="5EBA8880" w14:textId="77777777" w:rsidTr="00DC3687">
        <w:tc>
          <w:tcPr>
            <w:tcW w:w="4114" w:type="dxa"/>
          </w:tcPr>
          <w:p w14:paraId="58B229BE" w14:textId="77777777" w:rsidR="00743D78" w:rsidRPr="009C7391" w:rsidRDefault="00743D78" w:rsidP="00DC3687">
            <w:pPr>
              <w:spacing w:before="0" w:after="0"/>
              <w:rPr>
                <w:sz w:val="20"/>
                <w:szCs w:val="20"/>
                <w:lang w:val="sr-Latn-RS"/>
              </w:rPr>
            </w:pPr>
            <w:r w:rsidRPr="009C7391">
              <w:rPr>
                <w:sz w:val="20"/>
                <w:szCs w:val="20"/>
                <w:lang w:val="sr-Latn-RS"/>
              </w:rPr>
              <w:t>Best threshold (cutoff)</w:t>
            </w:r>
          </w:p>
        </w:tc>
        <w:tc>
          <w:tcPr>
            <w:tcW w:w="4913" w:type="dxa"/>
          </w:tcPr>
          <w:p w14:paraId="45F83949" w14:textId="030A7D92" w:rsidR="00743D78" w:rsidRPr="009C7391" w:rsidRDefault="00743D78" w:rsidP="00DC3687">
            <w:pPr>
              <w:spacing w:before="0" w:after="0"/>
              <w:rPr>
                <w:sz w:val="20"/>
                <w:szCs w:val="20"/>
                <w:lang w:val="sr-Latn-RS"/>
              </w:rPr>
            </w:pPr>
            <w:r>
              <w:rPr>
                <w:sz w:val="20"/>
                <w:szCs w:val="20"/>
                <w:lang w:val="sr-Latn-RS"/>
              </w:rPr>
              <w:t>0.41</w:t>
            </w:r>
          </w:p>
        </w:tc>
      </w:tr>
      <w:tr w:rsidR="00743D78" w:rsidRPr="009C7391" w14:paraId="3E83D123" w14:textId="77777777" w:rsidTr="00DC3687">
        <w:tc>
          <w:tcPr>
            <w:tcW w:w="4114" w:type="dxa"/>
            <w:tcBorders>
              <w:bottom w:val="single" w:sz="4" w:space="0" w:color="auto"/>
            </w:tcBorders>
          </w:tcPr>
          <w:p w14:paraId="35136E51" w14:textId="77777777" w:rsidR="00743D78" w:rsidRPr="009C7391" w:rsidRDefault="00743D78" w:rsidP="00DC3687">
            <w:pPr>
              <w:spacing w:before="0" w:after="0"/>
              <w:rPr>
                <w:sz w:val="20"/>
                <w:szCs w:val="20"/>
                <w:lang w:val="sr-Latn-RS"/>
              </w:rPr>
            </w:pPr>
            <w:r>
              <w:rPr>
                <w:sz w:val="20"/>
                <w:szCs w:val="20"/>
                <w:lang w:val="sr-Latn-RS"/>
              </w:rPr>
              <w:t>Original label None/Quasi-fault</w:t>
            </w:r>
          </w:p>
        </w:tc>
        <w:tc>
          <w:tcPr>
            <w:tcW w:w="4913" w:type="dxa"/>
            <w:tcBorders>
              <w:bottom w:val="single" w:sz="4" w:space="0" w:color="auto"/>
            </w:tcBorders>
          </w:tcPr>
          <w:p w14:paraId="457BEEC5" w14:textId="77777777" w:rsidR="00743D78" w:rsidRPr="009C7391" w:rsidRDefault="00743D78" w:rsidP="00DC3687">
            <w:pPr>
              <w:spacing w:before="0" w:after="0"/>
              <w:rPr>
                <w:sz w:val="20"/>
                <w:szCs w:val="20"/>
                <w:lang w:val="sr-Latn-RS"/>
              </w:rPr>
            </w:pPr>
            <w:r>
              <w:rPr>
                <w:sz w:val="20"/>
                <w:szCs w:val="20"/>
                <w:lang w:val="sr-Latn-RS"/>
              </w:rPr>
              <w:t>Logistic regression label: 0/1</w:t>
            </w:r>
          </w:p>
        </w:tc>
      </w:tr>
    </w:tbl>
    <w:p w14:paraId="51D6BD97" w14:textId="33C4B9B5" w:rsidR="00743D78" w:rsidRDefault="007932BE" w:rsidP="005D7AA4">
      <w:r>
        <w:t xml:space="preserve">The final classification results show that, unlike GNB and Decision CART tree, </w:t>
      </w:r>
      <w:r w:rsidR="00DB4015">
        <w:t xml:space="preserve">they </w:t>
      </w:r>
      <w:r>
        <w:t>show high accuracy on training</w:t>
      </w:r>
      <w:r w:rsidR="00BB0C8D">
        <w:t xml:space="preserve"> (</w:t>
      </w:r>
      <w:r w:rsidR="00BB0C8D">
        <w:fldChar w:fldCharType="begin"/>
      </w:r>
      <w:r w:rsidR="00BB0C8D">
        <w:instrText xml:space="preserve"> REF _Ref99363883 \h </w:instrText>
      </w:r>
      <w:r w:rsidR="00BB0C8D">
        <w:fldChar w:fldCharType="separate"/>
      </w:r>
      <w:r w:rsidR="00587AF0">
        <w:t xml:space="preserve">Figure </w:t>
      </w:r>
      <w:r w:rsidR="00587AF0">
        <w:rPr>
          <w:noProof/>
        </w:rPr>
        <w:t>113</w:t>
      </w:r>
      <w:r w:rsidR="00BB0C8D">
        <w:fldChar w:fldCharType="end"/>
      </w:r>
      <w:r w:rsidR="00BB0C8D">
        <w:t>)</w:t>
      </w:r>
      <w:r>
        <w:t xml:space="preserve"> and testing data</w:t>
      </w:r>
      <w:r w:rsidR="00BB0C8D">
        <w:t xml:space="preserve"> (</w:t>
      </w:r>
      <w:r w:rsidR="00BB0C8D">
        <w:fldChar w:fldCharType="begin"/>
      </w:r>
      <w:r w:rsidR="00BB0C8D">
        <w:instrText xml:space="preserve"> REF _Ref99363886 \h </w:instrText>
      </w:r>
      <w:r w:rsidR="00BB0C8D">
        <w:fldChar w:fldCharType="separate"/>
      </w:r>
      <w:r w:rsidR="00587AF0">
        <w:t xml:space="preserve">Figure </w:t>
      </w:r>
      <w:r w:rsidR="00587AF0">
        <w:rPr>
          <w:noProof/>
        </w:rPr>
        <w:t>114</w:t>
      </w:r>
      <w:r w:rsidR="00BB0C8D">
        <w:fldChar w:fldCharType="end"/>
      </w:r>
      <w:r w:rsidR="00BB0C8D">
        <w:t>)</w:t>
      </w:r>
      <w:r>
        <w:t>, although little underscored in comparison to ANN</w:t>
      </w:r>
      <w:r w:rsidR="00D65AB5">
        <w:t xml:space="preserve"> (</w:t>
      </w:r>
      <w:r w:rsidR="00D65AB5">
        <w:fldChar w:fldCharType="begin"/>
      </w:r>
      <w:r w:rsidR="00D65AB5">
        <w:instrText xml:space="preserve"> REF _Ref99363800 \h </w:instrText>
      </w:r>
      <w:r w:rsidR="00D65AB5">
        <w:fldChar w:fldCharType="separate"/>
      </w:r>
      <w:r w:rsidR="00587AF0">
        <w:t xml:space="preserve">Table </w:t>
      </w:r>
      <w:r w:rsidR="00587AF0">
        <w:rPr>
          <w:noProof/>
        </w:rPr>
        <w:t>65</w:t>
      </w:r>
      <w:r w:rsidR="00D65AB5">
        <w:fldChar w:fldCharType="end"/>
      </w:r>
      <w:r w:rsidR="00D65AB5">
        <w:t>)</w:t>
      </w:r>
      <w:r>
        <w:t>. It can be concluded that degradation resemble</w:t>
      </w:r>
      <w:r w:rsidR="00DB4015">
        <w:t>s</w:t>
      </w:r>
      <w:r>
        <w:t xml:space="preserve"> </w:t>
      </w:r>
      <w:r w:rsidR="00DB4015">
        <w:t xml:space="preserve">a </w:t>
      </w:r>
      <w:r>
        <w:t>somewhat exponential (or Weibull) degradational pattern since data behaves as non-parametric and non-linear classification</w:t>
      </w:r>
      <w:r w:rsidR="00DB4015">
        <w:t>;</w:t>
      </w:r>
      <w:r>
        <w:t xml:space="preserve"> therefore, </w:t>
      </w:r>
      <w:r w:rsidR="00DB4015">
        <w:t xml:space="preserve">it </w:t>
      </w:r>
      <w:r>
        <w:t>needs to be used.</w:t>
      </w:r>
      <w:r w:rsidR="00D65AB5">
        <w:t xml:space="preserve"> The final performance of a model shows around 96% accuracy w</w:t>
      </w:r>
      <w:r w:rsidR="00DB4015">
        <w:t>i</w:t>
      </w:r>
      <w:r w:rsidR="00D65AB5">
        <w:t>th 10-fold-cross validation (</w:t>
      </w:r>
      <w:r w:rsidR="00D65AB5">
        <w:fldChar w:fldCharType="begin"/>
      </w:r>
      <w:r w:rsidR="00D65AB5">
        <w:instrText xml:space="preserve"> REF _Ref99363838 \h </w:instrText>
      </w:r>
      <w:r w:rsidR="00D65AB5">
        <w:fldChar w:fldCharType="separate"/>
      </w:r>
      <w:r w:rsidR="00587AF0">
        <w:t xml:space="preserve">Table </w:t>
      </w:r>
      <w:r w:rsidR="00587AF0">
        <w:rPr>
          <w:noProof/>
        </w:rPr>
        <w:t>66</w:t>
      </w:r>
      <w:r w:rsidR="00D65AB5">
        <w:fldChar w:fldCharType="end"/>
      </w:r>
      <w:r w:rsidR="00D65AB5">
        <w:t>).</w:t>
      </w:r>
    </w:p>
    <w:p w14:paraId="2B7B2088" w14:textId="333426C6" w:rsidR="00186776" w:rsidRDefault="00186776" w:rsidP="00186776">
      <w:pPr>
        <w:pStyle w:val="Caption"/>
        <w:jc w:val="left"/>
      </w:pPr>
      <w:bookmarkStart w:id="676" w:name="_Ref99363800"/>
      <w:bookmarkStart w:id="677" w:name="_Toc101274505"/>
      <w:r>
        <w:t xml:space="preserve">Table </w:t>
      </w:r>
      <w:fldSimple w:instr=" SEQ Table \* ARABIC ">
        <w:r w:rsidR="00587AF0">
          <w:rPr>
            <w:noProof/>
          </w:rPr>
          <w:t>65</w:t>
        </w:r>
      </w:fldSimple>
      <w:bookmarkEnd w:id="676"/>
      <w:r>
        <w:t>. LR Classification matrix for idle saddle position</w:t>
      </w:r>
      <w:bookmarkEnd w:id="677"/>
    </w:p>
    <w:tbl>
      <w:tblPr>
        <w:tblW w:w="5068" w:type="pct"/>
        <w:tblLook w:val="04A0" w:firstRow="1" w:lastRow="0" w:firstColumn="1" w:lastColumn="0" w:noHBand="0" w:noVBand="1"/>
      </w:tblPr>
      <w:tblGrid>
        <w:gridCol w:w="1318"/>
        <w:gridCol w:w="2538"/>
        <w:gridCol w:w="1208"/>
        <w:gridCol w:w="1762"/>
        <w:gridCol w:w="2324"/>
      </w:tblGrid>
      <w:tr w:rsidR="009B6B58" w:rsidRPr="00DC2956" w14:paraId="46101592" w14:textId="77777777" w:rsidTr="006F301B">
        <w:trPr>
          <w:trHeight w:val="167"/>
        </w:trPr>
        <w:tc>
          <w:tcPr>
            <w:tcW w:w="720" w:type="pct"/>
            <w:tcBorders>
              <w:top w:val="single" w:sz="4" w:space="0" w:color="auto"/>
              <w:left w:val="nil"/>
              <w:bottom w:val="single" w:sz="4" w:space="0" w:color="auto"/>
              <w:right w:val="nil"/>
            </w:tcBorders>
            <w:vAlign w:val="center"/>
            <w:hideMark/>
          </w:tcPr>
          <w:p w14:paraId="0135D536" w14:textId="77777777" w:rsidR="009B6B58" w:rsidRPr="009B6B58" w:rsidRDefault="009B6B58" w:rsidP="009B6B58">
            <w:pPr>
              <w:spacing w:before="0" w:after="0"/>
              <w:ind w:left="57" w:right="57"/>
              <w:jc w:val="left"/>
              <w:rPr>
                <w:rFonts w:eastAsia="Times New Roman" w:cs="Times New Roman"/>
                <w:b/>
                <w:bCs/>
                <w:color w:val="000000"/>
                <w:sz w:val="20"/>
                <w:szCs w:val="20"/>
                <w:lang w:val="sr-Latn-RS" w:eastAsia="sr-Latn-RS"/>
              </w:rPr>
            </w:pPr>
            <w:r w:rsidRPr="009B6B58">
              <w:rPr>
                <w:b/>
                <w:bCs/>
                <w:sz w:val="20"/>
                <w:szCs w:val="20"/>
              </w:rPr>
              <w:t>Sample</w:t>
            </w:r>
          </w:p>
          <w:p w14:paraId="6FC5E2EB" w14:textId="77777777" w:rsidR="009B6B58" w:rsidRPr="009B6B58" w:rsidRDefault="009B6B58" w:rsidP="009B6B58">
            <w:pPr>
              <w:spacing w:before="0" w:after="0"/>
              <w:ind w:left="57" w:right="57"/>
              <w:jc w:val="left"/>
              <w:rPr>
                <w:rFonts w:eastAsia="Times New Roman" w:cs="Times New Roman"/>
                <w:b/>
                <w:bCs/>
                <w:color w:val="000000"/>
                <w:sz w:val="20"/>
                <w:szCs w:val="20"/>
                <w:lang w:val="sr-Latn-RS" w:eastAsia="sr-Latn-RS"/>
              </w:rPr>
            </w:pPr>
          </w:p>
        </w:tc>
        <w:tc>
          <w:tcPr>
            <w:tcW w:w="1387" w:type="pct"/>
            <w:tcBorders>
              <w:top w:val="single" w:sz="4" w:space="0" w:color="auto"/>
              <w:left w:val="nil"/>
              <w:bottom w:val="single" w:sz="4" w:space="0" w:color="auto"/>
              <w:right w:val="nil"/>
            </w:tcBorders>
            <w:vAlign w:val="center"/>
            <w:hideMark/>
          </w:tcPr>
          <w:p w14:paraId="0941232E" w14:textId="77777777" w:rsidR="009B6B58" w:rsidRPr="009B6B58" w:rsidRDefault="009B6B58" w:rsidP="009B6B58">
            <w:pPr>
              <w:spacing w:before="0" w:after="0"/>
              <w:ind w:left="57" w:right="57"/>
              <w:jc w:val="left"/>
              <w:rPr>
                <w:rFonts w:eastAsia="Times New Roman" w:cs="Times New Roman"/>
                <w:b/>
                <w:bCs/>
                <w:color w:val="000000"/>
                <w:sz w:val="20"/>
                <w:szCs w:val="20"/>
                <w:lang w:val="sr-Latn-RS" w:eastAsia="sr-Latn-RS"/>
              </w:rPr>
            </w:pPr>
            <w:r w:rsidRPr="009B6B58">
              <w:rPr>
                <w:b/>
                <w:bCs/>
                <w:sz w:val="20"/>
                <w:szCs w:val="20"/>
              </w:rPr>
              <w:t>Observed</w:t>
            </w:r>
          </w:p>
          <w:p w14:paraId="159F3AB9" w14:textId="77777777" w:rsidR="009B6B58" w:rsidRPr="009B6B58" w:rsidRDefault="009B6B58" w:rsidP="009B6B58">
            <w:pPr>
              <w:spacing w:before="0" w:after="0"/>
              <w:ind w:left="57" w:right="57"/>
              <w:jc w:val="left"/>
              <w:rPr>
                <w:rFonts w:eastAsia="Times New Roman" w:cs="Times New Roman"/>
                <w:b/>
                <w:bCs/>
                <w:color w:val="000000"/>
                <w:sz w:val="20"/>
                <w:szCs w:val="20"/>
                <w:lang w:val="sr-Latn-RS" w:eastAsia="sr-Latn-RS"/>
              </w:rPr>
            </w:pPr>
          </w:p>
        </w:tc>
        <w:tc>
          <w:tcPr>
            <w:tcW w:w="660" w:type="pct"/>
            <w:tcBorders>
              <w:top w:val="single" w:sz="4" w:space="0" w:color="auto"/>
              <w:left w:val="nil"/>
              <w:bottom w:val="single" w:sz="4" w:space="0" w:color="auto"/>
              <w:right w:val="nil"/>
            </w:tcBorders>
            <w:shd w:val="clear" w:color="auto" w:fill="auto"/>
            <w:hideMark/>
          </w:tcPr>
          <w:p w14:paraId="189C8DAC" w14:textId="37405EA2" w:rsidR="009B6B58" w:rsidRPr="009B6B58" w:rsidRDefault="009B6B58" w:rsidP="009B6B58">
            <w:pPr>
              <w:spacing w:before="0" w:after="0"/>
              <w:ind w:left="57" w:right="57"/>
              <w:jc w:val="center"/>
              <w:rPr>
                <w:rFonts w:eastAsia="Times New Roman" w:cs="Times New Roman"/>
                <w:b/>
                <w:bCs/>
                <w:color w:val="000000"/>
                <w:sz w:val="20"/>
                <w:szCs w:val="20"/>
                <w:lang w:val="sr-Latn-RS" w:eastAsia="sr-Latn-RS"/>
              </w:rPr>
            </w:pPr>
            <w:r w:rsidRPr="009B6B58">
              <w:rPr>
                <w:b/>
                <w:bCs/>
                <w:sz w:val="20"/>
                <w:szCs w:val="20"/>
              </w:rPr>
              <w:t>None</w:t>
            </w:r>
          </w:p>
        </w:tc>
        <w:tc>
          <w:tcPr>
            <w:tcW w:w="963" w:type="pct"/>
            <w:tcBorders>
              <w:top w:val="single" w:sz="4" w:space="0" w:color="auto"/>
              <w:left w:val="nil"/>
              <w:bottom w:val="single" w:sz="4" w:space="0" w:color="auto"/>
              <w:right w:val="nil"/>
            </w:tcBorders>
            <w:shd w:val="clear" w:color="auto" w:fill="auto"/>
            <w:hideMark/>
          </w:tcPr>
          <w:p w14:paraId="48F3B761" w14:textId="01E3D688" w:rsidR="009B6B58" w:rsidRPr="009B6B58" w:rsidRDefault="009B6B58" w:rsidP="009B6B58">
            <w:pPr>
              <w:spacing w:before="0" w:after="0"/>
              <w:ind w:left="57" w:right="57"/>
              <w:jc w:val="center"/>
              <w:rPr>
                <w:rFonts w:eastAsia="Times New Roman" w:cs="Times New Roman"/>
                <w:b/>
                <w:bCs/>
                <w:color w:val="000000"/>
                <w:sz w:val="20"/>
                <w:szCs w:val="20"/>
                <w:lang w:val="sr-Latn-RS" w:eastAsia="sr-Latn-RS"/>
              </w:rPr>
            </w:pPr>
            <w:r w:rsidRPr="009B6B58">
              <w:rPr>
                <w:b/>
                <w:bCs/>
                <w:sz w:val="20"/>
                <w:szCs w:val="20"/>
              </w:rPr>
              <w:t>Quasi-fault</w:t>
            </w:r>
          </w:p>
        </w:tc>
        <w:tc>
          <w:tcPr>
            <w:tcW w:w="1270" w:type="pct"/>
            <w:tcBorders>
              <w:top w:val="single" w:sz="4" w:space="0" w:color="auto"/>
              <w:left w:val="nil"/>
              <w:bottom w:val="single" w:sz="4" w:space="0" w:color="auto"/>
              <w:right w:val="nil"/>
            </w:tcBorders>
            <w:shd w:val="clear" w:color="auto" w:fill="auto"/>
            <w:hideMark/>
          </w:tcPr>
          <w:p w14:paraId="48CEF169" w14:textId="388ACB1B" w:rsidR="009B6B58" w:rsidRPr="009B6B58" w:rsidRDefault="009B6B58" w:rsidP="009B6B58">
            <w:pPr>
              <w:spacing w:before="0" w:after="0"/>
              <w:ind w:left="57" w:right="57"/>
              <w:jc w:val="center"/>
              <w:rPr>
                <w:rFonts w:eastAsia="Times New Roman" w:cs="Times New Roman"/>
                <w:b/>
                <w:bCs/>
                <w:color w:val="000000"/>
                <w:sz w:val="20"/>
                <w:szCs w:val="20"/>
                <w:lang w:val="sr-Latn-RS" w:eastAsia="sr-Latn-RS"/>
              </w:rPr>
            </w:pPr>
            <w:r w:rsidRPr="009B6B58">
              <w:rPr>
                <w:b/>
                <w:bCs/>
                <w:sz w:val="20"/>
                <w:szCs w:val="20"/>
              </w:rPr>
              <w:t>Percent Correct</w:t>
            </w:r>
          </w:p>
        </w:tc>
      </w:tr>
      <w:tr w:rsidR="00DC2956" w:rsidRPr="00DC2956" w14:paraId="13D5779E" w14:textId="77777777" w:rsidTr="006F301B">
        <w:trPr>
          <w:trHeight w:val="151"/>
        </w:trPr>
        <w:tc>
          <w:tcPr>
            <w:tcW w:w="720" w:type="pct"/>
            <w:vMerge w:val="restart"/>
            <w:tcBorders>
              <w:top w:val="single" w:sz="4" w:space="0" w:color="auto"/>
              <w:left w:val="nil"/>
              <w:bottom w:val="nil"/>
              <w:right w:val="nil"/>
            </w:tcBorders>
            <w:shd w:val="clear" w:color="auto" w:fill="auto"/>
            <w:vAlign w:val="center"/>
            <w:hideMark/>
          </w:tcPr>
          <w:p w14:paraId="68F8757C" w14:textId="77777777" w:rsidR="00DC2956" w:rsidRPr="00DC2956" w:rsidRDefault="00DC2956" w:rsidP="009B6B58">
            <w:pPr>
              <w:spacing w:before="0" w:after="0"/>
              <w:ind w:left="57" w:right="57"/>
              <w:jc w:val="left"/>
              <w:rPr>
                <w:rFonts w:eastAsia="Times New Roman" w:cs="Times New Roman"/>
                <w:color w:val="000000"/>
                <w:sz w:val="20"/>
                <w:szCs w:val="20"/>
                <w:lang w:val="sr-Latn-RS" w:eastAsia="sr-Latn-RS"/>
              </w:rPr>
            </w:pPr>
            <w:r w:rsidRPr="00DC2956">
              <w:rPr>
                <w:sz w:val="20"/>
                <w:szCs w:val="20"/>
              </w:rPr>
              <w:t>Training</w:t>
            </w:r>
          </w:p>
          <w:p w14:paraId="7218665E" w14:textId="16C043DF" w:rsidR="00DC2956" w:rsidRPr="00DC2956" w:rsidRDefault="00DC2956" w:rsidP="009B6B58">
            <w:pPr>
              <w:spacing w:before="0" w:after="0"/>
              <w:ind w:left="57" w:right="57"/>
              <w:jc w:val="left"/>
              <w:rPr>
                <w:rFonts w:eastAsia="Times New Roman" w:cs="Times New Roman"/>
                <w:color w:val="000000"/>
                <w:sz w:val="20"/>
                <w:szCs w:val="20"/>
                <w:lang w:val="sr-Latn-RS" w:eastAsia="sr-Latn-RS"/>
              </w:rPr>
            </w:pPr>
          </w:p>
        </w:tc>
        <w:tc>
          <w:tcPr>
            <w:tcW w:w="1387" w:type="pct"/>
            <w:tcBorders>
              <w:top w:val="single" w:sz="4" w:space="0" w:color="auto"/>
              <w:left w:val="nil"/>
              <w:bottom w:val="nil"/>
              <w:right w:val="nil"/>
            </w:tcBorders>
            <w:shd w:val="clear" w:color="auto" w:fill="auto"/>
            <w:vAlign w:val="center"/>
            <w:hideMark/>
          </w:tcPr>
          <w:p w14:paraId="2D1C064E" w14:textId="640B5104" w:rsidR="00DC2956" w:rsidRPr="00DC2956" w:rsidRDefault="00DC2956" w:rsidP="009B6B58">
            <w:pPr>
              <w:spacing w:before="0" w:after="0"/>
              <w:ind w:left="57" w:right="57"/>
              <w:jc w:val="left"/>
              <w:rPr>
                <w:rFonts w:eastAsia="Times New Roman" w:cs="Times New Roman"/>
                <w:color w:val="000000"/>
                <w:sz w:val="20"/>
                <w:szCs w:val="20"/>
                <w:lang w:val="sr-Latn-RS" w:eastAsia="sr-Latn-RS"/>
              </w:rPr>
            </w:pPr>
            <w:r w:rsidRPr="00DC2956">
              <w:rPr>
                <w:sz w:val="20"/>
                <w:szCs w:val="20"/>
              </w:rPr>
              <w:t>None</w:t>
            </w:r>
          </w:p>
        </w:tc>
        <w:tc>
          <w:tcPr>
            <w:tcW w:w="660" w:type="pct"/>
            <w:tcBorders>
              <w:top w:val="single" w:sz="4" w:space="0" w:color="auto"/>
              <w:left w:val="nil"/>
              <w:bottom w:val="nil"/>
              <w:right w:val="nil"/>
            </w:tcBorders>
            <w:shd w:val="clear" w:color="auto" w:fill="auto"/>
            <w:vAlign w:val="center"/>
            <w:hideMark/>
          </w:tcPr>
          <w:p w14:paraId="272AB661" w14:textId="475FF087" w:rsidR="00DC2956" w:rsidRPr="00DC2956" w:rsidRDefault="00DC2956" w:rsidP="009B6B58">
            <w:pPr>
              <w:spacing w:before="0" w:after="0"/>
              <w:ind w:left="57" w:right="57"/>
              <w:jc w:val="right"/>
              <w:rPr>
                <w:rFonts w:eastAsia="Times New Roman" w:cs="Times New Roman"/>
                <w:color w:val="000000"/>
                <w:sz w:val="20"/>
                <w:szCs w:val="20"/>
                <w:lang w:val="sr-Latn-RS" w:eastAsia="sr-Latn-RS"/>
              </w:rPr>
            </w:pPr>
            <w:r w:rsidRPr="00DC2956">
              <w:rPr>
                <w:sz w:val="20"/>
                <w:szCs w:val="20"/>
              </w:rPr>
              <w:t>345</w:t>
            </w:r>
          </w:p>
        </w:tc>
        <w:tc>
          <w:tcPr>
            <w:tcW w:w="963" w:type="pct"/>
            <w:tcBorders>
              <w:top w:val="single" w:sz="4" w:space="0" w:color="auto"/>
              <w:left w:val="nil"/>
              <w:bottom w:val="nil"/>
              <w:right w:val="nil"/>
            </w:tcBorders>
            <w:shd w:val="clear" w:color="auto" w:fill="auto"/>
            <w:vAlign w:val="center"/>
            <w:hideMark/>
          </w:tcPr>
          <w:p w14:paraId="2CA36B20" w14:textId="4C35D4B7" w:rsidR="00DC2956" w:rsidRPr="00DC2956" w:rsidRDefault="00DC2956" w:rsidP="009B6B58">
            <w:pPr>
              <w:spacing w:before="0" w:after="0"/>
              <w:ind w:left="57" w:right="57"/>
              <w:jc w:val="right"/>
              <w:rPr>
                <w:rFonts w:eastAsia="Times New Roman" w:cs="Times New Roman"/>
                <w:color w:val="000000"/>
                <w:sz w:val="20"/>
                <w:szCs w:val="20"/>
                <w:lang w:val="sr-Latn-RS" w:eastAsia="sr-Latn-RS"/>
              </w:rPr>
            </w:pPr>
            <w:r w:rsidRPr="00DC2956">
              <w:rPr>
                <w:sz w:val="20"/>
                <w:szCs w:val="20"/>
              </w:rPr>
              <w:t>10</w:t>
            </w:r>
          </w:p>
        </w:tc>
        <w:tc>
          <w:tcPr>
            <w:tcW w:w="1270" w:type="pct"/>
            <w:tcBorders>
              <w:top w:val="single" w:sz="4" w:space="0" w:color="auto"/>
              <w:left w:val="nil"/>
              <w:bottom w:val="nil"/>
              <w:right w:val="nil"/>
            </w:tcBorders>
            <w:shd w:val="clear" w:color="auto" w:fill="auto"/>
            <w:vAlign w:val="center"/>
            <w:hideMark/>
          </w:tcPr>
          <w:p w14:paraId="145173D5" w14:textId="669E89E1" w:rsidR="00DC2956" w:rsidRPr="00DC2956" w:rsidRDefault="00DC2956" w:rsidP="009B6B58">
            <w:pPr>
              <w:spacing w:before="0" w:after="0"/>
              <w:ind w:left="57" w:right="57"/>
              <w:jc w:val="right"/>
              <w:rPr>
                <w:rFonts w:eastAsia="Times New Roman" w:cs="Times New Roman"/>
                <w:color w:val="000000"/>
                <w:sz w:val="20"/>
                <w:szCs w:val="20"/>
                <w:lang w:val="sr-Latn-RS" w:eastAsia="sr-Latn-RS"/>
              </w:rPr>
            </w:pPr>
            <w:r w:rsidRPr="00DC2956">
              <w:rPr>
                <w:sz w:val="20"/>
                <w:szCs w:val="20"/>
              </w:rPr>
              <w:t>97.</w:t>
            </w:r>
            <w:r w:rsidR="004C7D20">
              <w:rPr>
                <w:sz w:val="20"/>
                <w:szCs w:val="20"/>
              </w:rPr>
              <w:t>2</w:t>
            </w:r>
            <w:r w:rsidRPr="00DC2956">
              <w:rPr>
                <w:sz w:val="20"/>
                <w:szCs w:val="20"/>
              </w:rPr>
              <w:t>%</w:t>
            </w:r>
          </w:p>
        </w:tc>
      </w:tr>
      <w:tr w:rsidR="00DC2956" w:rsidRPr="00DC2956" w14:paraId="66016FA5" w14:textId="77777777" w:rsidTr="009B6B58">
        <w:trPr>
          <w:trHeight w:val="100"/>
        </w:trPr>
        <w:tc>
          <w:tcPr>
            <w:tcW w:w="720" w:type="pct"/>
            <w:vMerge/>
            <w:tcBorders>
              <w:top w:val="nil"/>
              <w:left w:val="nil"/>
              <w:bottom w:val="nil"/>
              <w:right w:val="nil"/>
            </w:tcBorders>
            <w:vAlign w:val="center"/>
            <w:hideMark/>
          </w:tcPr>
          <w:p w14:paraId="7F5A9594" w14:textId="77777777" w:rsidR="00DC2956" w:rsidRPr="00DC2956" w:rsidRDefault="00DC2956" w:rsidP="009B6B58">
            <w:pPr>
              <w:spacing w:before="0" w:after="0"/>
              <w:ind w:left="57" w:right="57"/>
              <w:jc w:val="left"/>
              <w:rPr>
                <w:rFonts w:eastAsia="Times New Roman" w:cs="Times New Roman"/>
                <w:color w:val="000000"/>
                <w:sz w:val="20"/>
                <w:szCs w:val="20"/>
                <w:lang w:val="sr-Latn-RS" w:eastAsia="sr-Latn-RS"/>
              </w:rPr>
            </w:pPr>
          </w:p>
        </w:tc>
        <w:tc>
          <w:tcPr>
            <w:tcW w:w="1387" w:type="pct"/>
            <w:tcBorders>
              <w:top w:val="nil"/>
              <w:left w:val="nil"/>
              <w:bottom w:val="nil"/>
              <w:right w:val="nil"/>
            </w:tcBorders>
            <w:shd w:val="clear" w:color="auto" w:fill="auto"/>
            <w:vAlign w:val="center"/>
            <w:hideMark/>
          </w:tcPr>
          <w:p w14:paraId="51293CE9" w14:textId="48E91505" w:rsidR="00DC2956" w:rsidRPr="00DC2956" w:rsidRDefault="00DC2956" w:rsidP="009B6B58">
            <w:pPr>
              <w:spacing w:before="0" w:after="0"/>
              <w:ind w:left="57" w:right="57"/>
              <w:jc w:val="left"/>
              <w:rPr>
                <w:rFonts w:eastAsia="Times New Roman" w:cs="Times New Roman"/>
                <w:color w:val="000000"/>
                <w:sz w:val="20"/>
                <w:szCs w:val="20"/>
                <w:lang w:val="sr-Latn-RS" w:eastAsia="sr-Latn-RS"/>
              </w:rPr>
            </w:pPr>
            <w:r w:rsidRPr="00DC2956">
              <w:rPr>
                <w:sz w:val="20"/>
                <w:szCs w:val="20"/>
              </w:rPr>
              <w:t>Quasi-fault</w:t>
            </w:r>
          </w:p>
        </w:tc>
        <w:tc>
          <w:tcPr>
            <w:tcW w:w="660" w:type="pct"/>
            <w:tcBorders>
              <w:top w:val="nil"/>
              <w:left w:val="nil"/>
              <w:bottom w:val="nil"/>
              <w:right w:val="nil"/>
            </w:tcBorders>
            <w:shd w:val="clear" w:color="auto" w:fill="auto"/>
            <w:vAlign w:val="center"/>
            <w:hideMark/>
          </w:tcPr>
          <w:p w14:paraId="36129115" w14:textId="709184BF" w:rsidR="00DC2956" w:rsidRPr="00DC2956" w:rsidRDefault="00DC2956" w:rsidP="009B6B58">
            <w:pPr>
              <w:spacing w:before="0" w:after="0"/>
              <w:ind w:left="57" w:right="57"/>
              <w:jc w:val="right"/>
              <w:rPr>
                <w:rFonts w:eastAsia="Times New Roman" w:cs="Times New Roman"/>
                <w:color w:val="000000"/>
                <w:sz w:val="20"/>
                <w:szCs w:val="20"/>
                <w:lang w:val="sr-Latn-RS" w:eastAsia="sr-Latn-RS"/>
              </w:rPr>
            </w:pPr>
            <w:r w:rsidRPr="00DC2956">
              <w:rPr>
                <w:sz w:val="20"/>
                <w:szCs w:val="20"/>
              </w:rPr>
              <w:t>7</w:t>
            </w:r>
          </w:p>
        </w:tc>
        <w:tc>
          <w:tcPr>
            <w:tcW w:w="963" w:type="pct"/>
            <w:tcBorders>
              <w:top w:val="nil"/>
              <w:left w:val="nil"/>
              <w:bottom w:val="nil"/>
              <w:right w:val="nil"/>
            </w:tcBorders>
            <w:shd w:val="clear" w:color="auto" w:fill="auto"/>
            <w:vAlign w:val="center"/>
            <w:hideMark/>
          </w:tcPr>
          <w:p w14:paraId="0154B5B0" w14:textId="717D119A" w:rsidR="00DC2956" w:rsidRPr="00DC2956" w:rsidRDefault="00DC2956" w:rsidP="009B6B58">
            <w:pPr>
              <w:spacing w:before="0" w:after="0"/>
              <w:ind w:left="57" w:right="57"/>
              <w:jc w:val="right"/>
              <w:rPr>
                <w:rFonts w:eastAsia="Times New Roman" w:cs="Times New Roman"/>
                <w:color w:val="000000"/>
                <w:sz w:val="20"/>
                <w:szCs w:val="20"/>
                <w:lang w:val="sr-Latn-RS" w:eastAsia="sr-Latn-RS"/>
              </w:rPr>
            </w:pPr>
            <w:r w:rsidRPr="00DC2956">
              <w:rPr>
                <w:sz w:val="20"/>
                <w:szCs w:val="20"/>
              </w:rPr>
              <w:t>178</w:t>
            </w:r>
          </w:p>
        </w:tc>
        <w:tc>
          <w:tcPr>
            <w:tcW w:w="1270" w:type="pct"/>
            <w:tcBorders>
              <w:top w:val="nil"/>
              <w:left w:val="nil"/>
              <w:bottom w:val="nil"/>
              <w:right w:val="nil"/>
            </w:tcBorders>
            <w:shd w:val="clear" w:color="auto" w:fill="auto"/>
            <w:vAlign w:val="center"/>
            <w:hideMark/>
          </w:tcPr>
          <w:p w14:paraId="29CAD95C" w14:textId="6B1C7299" w:rsidR="00DC2956" w:rsidRPr="00DC2956" w:rsidRDefault="00DC2956" w:rsidP="009B6B58">
            <w:pPr>
              <w:spacing w:before="0" w:after="0"/>
              <w:ind w:left="57" w:right="57"/>
              <w:jc w:val="right"/>
              <w:rPr>
                <w:rFonts w:eastAsia="Times New Roman" w:cs="Times New Roman"/>
                <w:color w:val="000000"/>
                <w:sz w:val="20"/>
                <w:szCs w:val="20"/>
                <w:lang w:val="sr-Latn-RS" w:eastAsia="sr-Latn-RS"/>
              </w:rPr>
            </w:pPr>
            <w:r w:rsidRPr="00DC2956">
              <w:rPr>
                <w:sz w:val="20"/>
                <w:szCs w:val="20"/>
              </w:rPr>
              <w:t>96.2%</w:t>
            </w:r>
          </w:p>
        </w:tc>
      </w:tr>
      <w:tr w:rsidR="00DC2956" w:rsidRPr="00DC2956" w14:paraId="54CC6ED9" w14:textId="77777777" w:rsidTr="006F301B">
        <w:trPr>
          <w:trHeight w:val="74"/>
        </w:trPr>
        <w:tc>
          <w:tcPr>
            <w:tcW w:w="720" w:type="pct"/>
            <w:vMerge/>
            <w:tcBorders>
              <w:top w:val="nil"/>
              <w:left w:val="nil"/>
              <w:right w:val="nil"/>
            </w:tcBorders>
            <w:vAlign w:val="center"/>
            <w:hideMark/>
          </w:tcPr>
          <w:p w14:paraId="6024EE62" w14:textId="77777777" w:rsidR="00DC2956" w:rsidRPr="00DC2956" w:rsidRDefault="00DC2956" w:rsidP="009B6B58">
            <w:pPr>
              <w:spacing w:before="0" w:after="0"/>
              <w:ind w:left="57" w:right="57"/>
              <w:jc w:val="left"/>
              <w:rPr>
                <w:rFonts w:eastAsia="Times New Roman" w:cs="Times New Roman"/>
                <w:color w:val="000000"/>
                <w:sz w:val="20"/>
                <w:szCs w:val="20"/>
                <w:lang w:val="sr-Latn-RS" w:eastAsia="sr-Latn-RS"/>
              </w:rPr>
            </w:pPr>
          </w:p>
        </w:tc>
        <w:tc>
          <w:tcPr>
            <w:tcW w:w="1387" w:type="pct"/>
            <w:tcBorders>
              <w:top w:val="nil"/>
              <w:left w:val="nil"/>
              <w:right w:val="nil"/>
            </w:tcBorders>
            <w:shd w:val="clear" w:color="auto" w:fill="auto"/>
            <w:vAlign w:val="center"/>
            <w:hideMark/>
          </w:tcPr>
          <w:p w14:paraId="03DA1B3E" w14:textId="4917A4C6" w:rsidR="00DC2956" w:rsidRPr="00DC2956" w:rsidRDefault="00DC2956" w:rsidP="009B6B58">
            <w:pPr>
              <w:spacing w:before="0" w:after="0"/>
              <w:ind w:left="57" w:right="57"/>
              <w:jc w:val="left"/>
              <w:rPr>
                <w:rFonts w:eastAsia="Times New Roman" w:cs="Times New Roman"/>
                <w:color w:val="000000"/>
                <w:sz w:val="20"/>
                <w:szCs w:val="20"/>
                <w:lang w:val="sr-Latn-RS" w:eastAsia="sr-Latn-RS"/>
              </w:rPr>
            </w:pPr>
            <w:r w:rsidRPr="00DC2956">
              <w:rPr>
                <w:sz w:val="20"/>
                <w:szCs w:val="20"/>
              </w:rPr>
              <w:t>Overall Percentage</w:t>
            </w:r>
          </w:p>
        </w:tc>
        <w:tc>
          <w:tcPr>
            <w:tcW w:w="660" w:type="pct"/>
            <w:tcBorders>
              <w:top w:val="nil"/>
              <w:left w:val="nil"/>
              <w:right w:val="nil"/>
            </w:tcBorders>
            <w:shd w:val="clear" w:color="auto" w:fill="auto"/>
            <w:noWrap/>
            <w:vAlign w:val="center"/>
            <w:hideMark/>
          </w:tcPr>
          <w:p w14:paraId="6153D3BE" w14:textId="781761F8" w:rsidR="00DC2956" w:rsidRPr="00DC2956" w:rsidRDefault="00DC2956" w:rsidP="009B6B58">
            <w:pPr>
              <w:spacing w:before="0" w:after="0"/>
              <w:ind w:left="57" w:right="57"/>
              <w:jc w:val="right"/>
              <w:rPr>
                <w:rFonts w:eastAsia="Times New Roman" w:cs="Times New Roman"/>
                <w:color w:val="000000"/>
                <w:sz w:val="20"/>
                <w:szCs w:val="20"/>
                <w:lang w:val="sr-Latn-RS" w:eastAsia="sr-Latn-RS"/>
              </w:rPr>
            </w:pPr>
            <w:r w:rsidRPr="00DC2956">
              <w:rPr>
                <w:sz w:val="20"/>
                <w:szCs w:val="20"/>
              </w:rPr>
              <w:t>65.</w:t>
            </w:r>
            <w:r w:rsidR="004C7D20">
              <w:rPr>
                <w:sz w:val="20"/>
                <w:szCs w:val="20"/>
              </w:rPr>
              <w:t>2</w:t>
            </w:r>
            <w:r w:rsidRPr="00DC2956">
              <w:rPr>
                <w:sz w:val="20"/>
                <w:szCs w:val="20"/>
              </w:rPr>
              <w:t>%</w:t>
            </w:r>
          </w:p>
        </w:tc>
        <w:tc>
          <w:tcPr>
            <w:tcW w:w="963" w:type="pct"/>
            <w:tcBorders>
              <w:top w:val="nil"/>
              <w:left w:val="nil"/>
              <w:right w:val="nil"/>
            </w:tcBorders>
            <w:shd w:val="clear" w:color="auto" w:fill="auto"/>
            <w:noWrap/>
            <w:vAlign w:val="center"/>
            <w:hideMark/>
          </w:tcPr>
          <w:p w14:paraId="67EEFF08" w14:textId="4D859460" w:rsidR="00DC2956" w:rsidRPr="00DC2956" w:rsidRDefault="00DC2956" w:rsidP="009B6B58">
            <w:pPr>
              <w:spacing w:before="0" w:after="0"/>
              <w:ind w:left="57" w:right="57"/>
              <w:jc w:val="right"/>
              <w:rPr>
                <w:rFonts w:eastAsia="Times New Roman" w:cs="Times New Roman"/>
                <w:color w:val="000000"/>
                <w:sz w:val="20"/>
                <w:szCs w:val="20"/>
                <w:lang w:val="sr-Latn-RS" w:eastAsia="sr-Latn-RS"/>
              </w:rPr>
            </w:pPr>
            <w:r w:rsidRPr="00DC2956">
              <w:rPr>
                <w:sz w:val="20"/>
                <w:szCs w:val="20"/>
              </w:rPr>
              <w:t>34.8%</w:t>
            </w:r>
          </w:p>
        </w:tc>
        <w:tc>
          <w:tcPr>
            <w:tcW w:w="1270" w:type="pct"/>
            <w:tcBorders>
              <w:top w:val="nil"/>
              <w:left w:val="nil"/>
              <w:right w:val="nil"/>
            </w:tcBorders>
            <w:shd w:val="clear" w:color="auto" w:fill="auto"/>
            <w:vAlign w:val="center"/>
            <w:hideMark/>
          </w:tcPr>
          <w:p w14:paraId="56BABC08" w14:textId="3600C3EA" w:rsidR="00DC2956" w:rsidRPr="009B6B58" w:rsidRDefault="00DC2956" w:rsidP="009B6B58">
            <w:pPr>
              <w:spacing w:before="0" w:after="0"/>
              <w:ind w:left="57" w:right="57"/>
              <w:jc w:val="right"/>
              <w:rPr>
                <w:rFonts w:eastAsia="Times New Roman" w:cs="Times New Roman"/>
                <w:b/>
                <w:bCs/>
                <w:color w:val="000000"/>
                <w:sz w:val="20"/>
                <w:szCs w:val="20"/>
                <w:lang w:val="sr-Latn-RS" w:eastAsia="sr-Latn-RS"/>
              </w:rPr>
            </w:pPr>
            <w:r w:rsidRPr="009B6B58">
              <w:rPr>
                <w:b/>
                <w:bCs/>
                <w:sz w:val="20"/>
                <w:szCs w:val="20"/>
              </w:rPr>
              <w:t>96.</w:t>
            </w:r>
            <w:r w:rsidR="004C7D20">
              <w:rPr>
                <w:b/>
                <w:bCs/>
                <w:sz w:val="20"/>
                <w:szCs w:val="20"/>
              </w:rPr>
              <w:t>9</w:t>
            </w:r>
            <w:r w:rsidRPr="009B6B58">
              <w:rPr>
                <w:b/>
                <w:bCs/>
                <w:sz w:val="20"/>
                <w:szCs w:val="20"/>
              </w:rPr>
              <w:t>%</w:t>
            </w:r>
          </w:p>
        </w:tc>
      </w:tr>
      <w:tr w:rsidR="00DC2956" w:rsidRPr="00DC2956" w14:paraId="20075077" w14:textId="77777777" w:rsidTr="009B6B58">
        <w:trPr>
          <w:trHeight w:val="157"/>
        </w:trPr>
        <w:tc>
          <w:tcPr>
            <w:tcW w:w="720" w:type="pct"/>
            <w:vMerge w:val="restart"/>
            <w:tcBorders>
              <w:top w:val="nil"/>
              <w:left w:val="nil"/>
              <w:bottom w:val="single" w:sz="8" w:space="0" w:color="152935"/>
              <w:right w:val="nil"/>
            </w:tcBorders>
            <w:shd w:val="clear" w:color="auto" w:fill="auto"/>
            <w:vAlign w:val="center"/>
            <w:hideMark/>
          </w:tcPr>
          <w:p w14:paraId="622B21FE" w14:textId="77777777" w:rsidR="00DC2956" w:rsidRPr="00DC2956" w:rsidRDefault="00DC2956" w:rsidP="009B6B58">
            <w:pPr>
              <w:spacing w:before="0" w:after="0"/>
              <w:ind w:left="57" w:right="57"/>
              <w:jc w:val="left"/>
              <w:rPr>
                <w:rFonts w:eastAsia="Times New Roman" w:cs="Times New Roman"/>
                <w:color w:val="000000"/>
                <w:sz w:val="20"/>
                <w:szCs w:val="20"/>
                <w:lang w:val="sr-Latn-RS" w:eastAsia="sr-Latn-RS"/>
              </w:rPr>
            </w:pPr>
            <w:r w:rsidRPr="00DC2956">
              <w:rPr>
                <w:sz w:val="20"/>
                <w:szCs w:val="20"/>
              </w:rPr>
              <w:t>Test</w:t>
            </w:r>
          </w:p>
          <w:p w14:paraId="41C562E8" w14:textId="03E77975" w:rsidR="00DC2956" w:rsidRPr="00DC2956" w:rsidRDefault="00DC2956" w:rsidP="009B6B58">
            <w:pPr>
              <w:spacing w:before="0" w:after="0"/>
              <w:ind w:left="57" w:right="57"/>
              <w:jc w:val="left"/>
              <w:rPr>
                <w:rFonts w:eastAsia="Times New Roman" w:cs="Times New Roman"/>
                <w:color w:val="000000"/>
                <w:sz w:val="20"/>
                <w:szCs w:val="20"/>
                <w:lang w:val="sr-Latn-RS" w:eastAsia="sr-Latn-RS"/>
              </w:rPr>
            </w:pPr>
          </w:p>
        </w:tc>
        <w:tc>
          <w:tcPr>
            <w:tcW w:w="1387" w:type="pct"/>
            <w:tcBorders>
              <w:top w:val="nil"/>
              <w:left w:val="nil"/>
              <w:bottom w:val="nil"/>
              <w:right w:val="nil"/>
            </w:tcBorders>
            <w:shd w:val="clear" w:color="auto" w:fill="auto"/>
            <w:vAlign w:val="center"/>
            <w:hideMark/>
          </w:tcPr>
          <w:p w14:paraId="4C704395" w14:textId="3EFF6520" w:rsidR="00DC2956" w:rsidRPr="00DC2956" w:rsidRDefault="00DC2956" w:rsidP="009B6B58">
            <w:pPr>
              <w:spacing w:before="0" w:after="0"/>
              <w:ind w:left="57" w:right="57"/>
              <w:jc w:val="left"/>
              <w:rPr>
                <w:rFonts w:eastAsia="Times New Roman" w:cs="Times New Roman"/>
                <w:color w:val="000000"/>
                <w:sz w:val="20"/>
                <w:szCs w:val="20"/>
                <w:lang w:val="sr-Latn-RS" w:eastAsia="sr-Latn-RS"/>
              </w:rPr>
            </w:pPr>
            <w:r w:rsidRPr="00DC2956">
              <w:rPr>
                <w:sz w:val="20"/>
                <w:szCs w:val="20"/>
              </w:rPr>
              <w:t>None</w:t>
            </w:r>
          </w:p>
        </w:tc>
        <w:tc>
          <w:tcPr>
            <w:tcW w:w="660" w:type="pct"/>
            <w:tcBorders>
              <w:top w:val="nil"/>
              <w:left w:val="nil"/>
              <w:bottom w:val="nil"/>
              <w:right w:val="nil"/>
            </w:tcBorders>
            <w:shd w:val="clear" w:color="auto" w:fill="auto"/>
            <w:vAlign w:val="center"/>
            <w:hideMark/>
          </w:tcPr>
          <w:p w14:paraId="09DD9B26" w14:textId="44C35134" w:rsidR="00DC2956" w:rsidRPr="00DC2956" w:rsidRDefault="00DC2956" w:rsidP="009B6B58">
            <w:pPr>
              <w:spacing w:before="0" w:after="0"/>
              <w:ind w:left="57" w:right="57"/>
              <w:jc w:val="right"/>
              <w:rPr>
                <w:rFonts w:eastAsia="Times New Roman" w:cs="Times New Roman"/>
                <w:color w:val="000000"/>
                <w:sz w:val="20"/>
                <w:szCs w:val="20"/>
                <w:lang w:val="sr-Latn-RS" w:eastAsia="sr-Latn-RS"/>
              </w:rPr>
            </w:pPr>
            <w:r w:rsidRPr="00DC2956">
              <w:rPr>
                <w:sz w:val="20"/>
                <w:szCs w:val="20"/>
              </w:rPr>
              <w:t>14</w:t>
            </w:r>
            <w:r w:rsidR="00EF5A4B">
              <w:rPr>
                <w:sz w:val="20"/>
                <w:szCs w:val="20"/>
              </w:rPr>
              <w:t>6</w:t>
            </w:r>
          </w:p>
        </w:tc>
        <w:tc>
          <w:tcPr>
            <w:tcW w:w="963" w:type="pct"/>
            <w:tcBorders>
              <w:top w:val="nil"/>
              <w:left w:val="nil"/>
              <w:bottom w:val="nil"/>
              <w:right w:val="nil"/>
            </w:tcBorders>
            <w:shd w:val="clear" w:color="auto" w:fill="auto"/>
            <w:noWrap/>
            <w:vAlign w:val="center"/>
            <w:hideMark/>
          </w:tcPr>
          <w:p w14:paraId="1595C97D" w14:textId="307C7E57" w:rsidR="00DC2956" w:rsidRPr="00DC2956" w:rsidRDefault="00EF5A4B" w:rsidP="009B6B58">
            <w:pPr>
              <w:spacing w:before="0" w:after="0"/>
              <w:ind w:left="57" w:right="57"/>
              <w:jc w:val="right"/>
              <w:rPr>
                <w:rFonts w:eastAsia="Times New Roman" w:cs="Times New Roman"/>
                <w:color w:val="000000"/>
                <w:sz w:val="20"/>
                <w:szCs w:val="20"/>
                <w:lang w:val="sr-Latn-RS" w:eastAsia="sr-Latn-RS"/>
              </w:rPr>
            </w:pPr>
            <w:r>
              <w:rPr>
                <w:sz w:val="20"/>
                <w:szCs w:val="20"/>
              </w:rPr>
              <w:t>2</w:t>
            </w:r>
          </w:p>
        </w:tc>
        <w:tc>
          <w:tcPr>
            <w:tcW w:w="1270" w:type="pct"/>
            <w:tcBorders>
              <w:top w:val="nil"/>
              <w:left w:val="nil"/>
              <w:bottom w:val="nil"/>
              <w:right w:val="nil"/>
            </w:tcBorders>
            <w:shd w:val="clear" w:color="auto" w:fill="auto"/>
            <w:vAlign w:val="center"/>
            <w:hideMark/>
          </w:tcPr>
          <w:p w14:paraId="2E5F7B3B" w14:textId="5668C4D8" w:rsidR="00DC2956" w:rsidRPr="00DC2956" w:rsidRDefault="00DC2956" w:rsidP="009B6B58">
            <w:pPr>
              <w:spacing w:before="0" w:after="0"/>
              <w:ind w:left="57" w:right="57"/>
              <w:jc w:val="right"/>
              <w:rPr>
                <w:rFonts w:eastAsia="Times New Roman" w:cs="Times New Roman"/>
                <w:color w:val="000000"/>
                <w:sz w:val="20"/>
                <w:szCs w:val="20"/>
                <w:lang w:val="sr-Latn-RS" w:eastAsia="sr-Latn-RS"/>
              </w:rPr>
            </w:pPr>
            <w:r w:rsidRPr="00DC2956">
              <w:rPr>
                <w:sz w:val="20"/>
                <w:szCs w:val="20"/>
              </w:rPr>
              <w:t>9</w:t>
            </w:r>
            <w:r w:rsidR="00EF5A4B">
              <w:rPr>
                <w:sz w:val="20"/>
                <w:szCs w:val="20"/>
              </w:rPr>
              <w:t>8</w:t>
            </w:r>
            <w:r w:rsidRPr="00DC2956">
              <w:rPr>
                <w:sz w:val="20"/>
                <w:szCs w:val="20"/>
              </w:rPr>
              <w:t>.</w:t>
            </w:r>
            <w:r w:rsidR="00EF5A4B">
              <w:rPr>
                <w:sz w:val="20"/>
                <w:szCs w:val="20"/>
              </w:rPr>
              <w:t>6</w:t>
            </w:r>
            <w:r w:rsidRPr="00DC2956">
              <w:rPr>
                <w:sz w:val="20"/>
                <w:szCs w:val="20"/>
              </w:rPr>
              <w:t>%</w:t>
            </w:r>
          </w:p>
        </w:tc>
      </w:tr>
      <w:tr w:rsidR="00DC2956" w:rsidRPr="00DC2956" w14:paraId="2507EE7F" w14:textId="77777777" w:rsidTr="009B6B58">
        <w:trPr>
          <w:trHeight w:val="125"/>
        </w:trPr>
        <w:tc>
          <w:tcPr>
            <w:tcW w:w="720" w:type="pct"/>
            <w:vMerge/>
            <w:tcBorders>
              <w:top w:val="nil"/>
              <w:left w:val="nil"/>
              <w:bottom w:val="single" w:sz="8" w:space="0" w:color="152935"/>
              <w:right w:val="nil"/>
            </w:tcBorders>
            <w:hideMark/>
          </w:tcPr>
          <w:p w14:paraId="53A6AA63" w14:textId="77777777" w:rsidR="00DC2956" w:rsidRPr="00DC2956" w:rsidRDefault="00DC2956" w:rsidP="009B6B58">
            <w:pPr>
              <w:spacing w:before="0" w:after="0"/>
              <w:ind w:left="57" w:right="57"/>
              <w:jc w:val="left"/>
              <w:rPr>
                <w:rFonts w:eastAsia="Times New Roman" w:cs="Times New Roman"/>
                <w:color w:val="000000"/>
                <w:sz w:val="20"/>
                <w:szCs w:val="20"/>
                <w:lang w:val="sr-Latn-RS" w:eastAsia="sr-Latn-RS"/>
              </w:rPr>
            </w:pPr>
          </w:p>
        </w:tc>
        <w:tc>
          <w:tcPr>
            <w:tcW w:w="1387" w:type="pct"/>
            <w:tcBorders>
              <w:top w:val="nil"/>
              <w:left w:val="nil"/>
              <w:bottom w:val="nil"/>
              <w:right w:val="nil"/>
            </w:tcBorders>
            <w:shd w:val="clear" w:color="auto" w:fill="auto"/>
            <w:vAlign w:val="center"/>
            <w:hideMark/>
          </w:tcPr>
          <w:p w14:paraId="3BE38AE8" w14:textId="182996D1" w:rsidR="00DC2956" w:rsidRPr="00DC2956" w:rsidRDefault="00DC2956" w:rsidP="009B6B58">
            <w:pPr>
              <w:spacing w:before="0" w:after="0"/>
              <w:ind w:left="57" w:right="57"/>
              <w:jc w:val="left"/>
              <w:rPr>
                <w:rFonts w:eastAsia="Times New Roman" w:cs="Times New Roman"/>
                <w:color w:val="000000"/>
                <w:sz w:val="20"/>
                <w:szCs w:val="20"/>
                <w:lang w:val="sr-Latn-RS" w:eastAsia="sr-Latn-RS"/>
              </w:rPr>
            </w:pPr>
            <w:r w:rsidRPr="00DC2956">
              <w:rPr>
                <w:sz w:val="20"/>
                <w:szCs w:val="20"/>
              </w:rPr>
              <w:t>Quasi-fault</w:t>
            </w:r>
          </w:p>
        </w:tc>
        <w:tc>
          <w:tcPr>
            <w:tcW w:w="660" w:type="pct"/>
            <w:tcBorders>
              <w:top w:val="nil"/>
              <w:left w:val="nil"/>
              <w:bottom w:val="nil"/>
              <w:right w:val="nil"/>
            </w:tcBorders>
            <w:shd w:val="clear" w:color="auto" w:fill="auto"/>
            <w:vAlign w:val="center"/>
            <w:hideMark/>
          </w:tcPr>
          <w:p w14:paraId="2354B230" w14:textId="7533353C" w:rsidR="00DC2956" w:rsidRPr="00DC2956" w:rsidRDefault="00EF5A4B" w:rsidP="009B6B58">
            <w:pPr>
              <w:spacing w:before="0" w:after="0"/>
              <w:ind w:left="57" w:right="57"/>
              <w:jc w:val="right"/>
              <w:rPr>
                <w:rFonts w:eastAsia="Times New Roman" w:cs="Times New Roman"/>
                <w:color w:val="000000"/>
                <w:sz w:val="20"/>
                <w:szCs w:val="20"/>
                <w:lang w:val="sr-Latn-RS" w:eastAsia="sr-Latn-RS"/>
              </w:rPr>
            </w:pPr>
            <w:r>
              <w:rPr>
                <w:sz w:val="20"/>
                <w:szCs w:val="20"/>
              </w:rPr>
              <w:t>6</w:t>
            </w:r>
          </w:p>
        </w:tc>
        <w:tc>
          <w:tcPr>
            <w:tcW w:w="963" w:type="pct"/>
            <w:tcBorders>
              <w:top w:val="nil"/>
              <w:left w:val="nil"/>
              <w:bottom w:val="nil"/>
              <w:right w:val="nil"/>
            </w:tcBorders>
            <w:shd w:val="clear" w:color="auto" w:fill="auto"/>
            <w:vAlign w:val="center"/>
            <w:hideMark/>
          </w:tcPr>
          <w:p w14:paraId="03448EFE" w14:textId="7C91F358" w:rsidR="00DC2956" w:rsidRPr="00DC2956" w:rsidRDefault="00EF5A4B" w:rsidP="009B6B58">
            <w:pPr>
              <w:spacing w:before="0" w:after="0"/>
              <w:ind w:left="57" w:right="57"/>
              <w:jc w:val="right"/>
              <w:rPr>
                <w:rFonts w:eastAsia="Times New Roman" w:cs="Times New Roman"/>
                <w:color w:val="000000"/>
                <w:sz w:val="20"/>
                <w:szCs w:val="20"/>
                <w:lang w:val="sr-Latn-RS" w:eastAsia="sr-Latn-RS"/>
              </w:rPr>
            </w:pPr>
            <w:r>
              <w:rPr>
                <w:sz w:val="20"/>
                <w:szCs w:val="20"/>
              </w:rPr>
              <w:t>78</w:t>
            </w:r>
          </w:p>
        </w:tc>
        <w:tc>
          <w:tcPr>
            <w:tcW w:w="1270" w:type="pct"/>
            <w:tcBorders>
              <w:top w:val="nil"/>
              <w:left w:val="nil"/>
              <w:bottom w:val="nil"/>
              <w:right w:val="nil"/>
            </w:tcBorders>
            <w:shd w:val="clear" w:color="auto" w:fill="auto"/>
            <w:vAlign w:val="center"/>
            <w:hideMark/>
          </w:tcPr>
          <w:p w14:paraId="782E588C" w14:textId="537214F3" w:rsidR="00DC2956" w:rsidRPr="00DC2956" w:rsidRDefault="00DC2956" w:rsidP="009B6B58">
            <w:pPr>
              <w:spacing w:before="0" w:after="0"/>
              <w:ind w:left="57" w:right="57"/>
              <w:jc w:val="right"/>
              <w:rPr>
                <w:rFonts w:eastAsia="Times New Roman" w:cs="Times New Roman"/>
                <w:color w:val="000000"/>
                <w:sz w:val="20"/>
                <w:szCs w:val="20"/>
                <w:lang w:val="sr-Latn-RS" w:eastAsia="sr-Latn-RS"/>
              </w:rPr>
            </w:pPr>
            <w:r w:rsidRPr="00DC2956">
              <w:rPr>
                <w:sz w:val="20"/>
                <w:szCs w:val="20"/>
              </w:rPr>
              <w:t>9</w:t>
            </w:r>
            <w:r w:rsidR="00EF5A4B">
              <w:rPr>
                <w:sz w:val="20"/>
                <w:szCs w:val="20"/>
              </w:rPr>
              <w:t>2</w:t>
            </w:r>
            <w:r w:rsidRPr="00DC2956">
              <w:rPr>
                <w:sz w:val="20"/>
                <w:szCs w:val="20"/>
              </w:rPr>
              <w:t>.</w:t>
            </w:r>
            <w:r w:rsidR="004C7D20">
              <w:rPr>
                <w:sz w:val="20"/>
                <w:szCs w:val="20"/>
              </w:rPr>
              <w:t>9</w:t>
            </w:r>
            <w:r w:rsidRPr="00DC2956">
              <w:rPr>
                <w:sz w:val="20"/>
                <w:szCs w:val="20"/>
              </w:rPr>
              <w:t>%</w:t>
            </w:r>
          </w:p>
        </w:tc>
      </w:tr>
      <w:tr w:rsidR="00DC2956" w:rsidRPr="00DC2956" w14:paraId="0D7D7A93" w14:textId="77777777" w:rsidTr="006F301B">
        <w:trPr>
          <w:trHeight w:val="233"/>
        </w:trPr>
        <w:tc>
          <w:tcPr>
            <w:tcW w:w="720" w:type="pct"/>
            <w:vMerge/>
            <w:tcBorders>
              <w:top w:val="nil"/>
              <w:left w:val="nil"/>
              <w:bottom w:val="single" w:sz="4" w:space="0" w:color="auto"/>
              <w:right w:val="nil"/>
            </w:tcBorders>
            <w:hideMark/>
          </w:tcPr>
          <w:p w14:paraId="3C553D74" w14:textId="77777777" w:rsidR="00DC2956" w:rsidRPr="00DC2956" w:rsidRDefault="00DC2956" w:rsidP="009B6B58">
            <w:pPr>
              <w:spacing w:before="0" w:after="0"/>
              <w:ind w:left="57" w:right="57"/>
              <w:jc w:val="left"/>
              <w:rPr>
                <w:rFonts w:eastAsia="Times New Roman" w:cs="Times New Roman"/>
                <w:color w:val="000000"/>
                <w:sz w:val="20"/>
                <w:szCs w:val="20"/>
                <w:lang w:val="sr-Latn-RS" w:eastAsia="sr-Latn-RS"/>
              </w:rPr>
            </w:pPr>
          </w:p>
        </w:tc>
        <w:tc>
          <w:tcPr>
            <w:tcW w:w="1387" w:type="pct"/>
            <w:tcBorders>
              <w:top w:val="nil"/>
              <w:left w:val="nil"/>
              <w:bottom w:val="single" w:sz="4" w:space="0" w:color="auto"/>
              <w:right w:val="nil"/>
            </w:tcBorders>
            <w:shd w:val="clear" w:color="auto" w:fill="auto"/>
            <w:vAlign w:val="center"/>
            <w:hideMark/>
          </w:tcPr>
          <w:p w14:paraId="2D235146" w14:textId="050F69C4" w:rsidR="00DC2956" w:rsidRPr="00DC2956" w:rsidRDefault="00DC2956" w:rsidP="009B6B58">
            <w:pPr>
              <w:spacing w:before="0" w:after="0"/>
              <w:ind w:left="57" w:right="57"/>
              <w:jc w:val="left"/>
              <w:rPr>
                <w:rFonts w:eastAsia="Times New Roman" w:cs="Times New Roman"/>
                <w:color w:val="000000"/>
                <w:sz w:val="20"/>
                <w:szCs w:val="20"/>
                <w:lang w:val="sr-Latn-RS" w:eastAsia="sr-Latn-RS"/>
              </w:rPr>
            </w:pPr>
            <w:r w:rsidRPr="00DC2956">
              <w:rPr>
                <w:sz w:val="20"/>
                <w:szCs w:val="20"/>
              </w:rPr>
              <w:t>Overall Percentage</w:t>
            </w:r>
          </w:p>
        </w:tc>
        <w:tc>
          <w:tcPr>
            <w:tcW w:w="660" w:type="pct"/>
            <w:tcBorders>
              <w:top w:val="nil"/>
              <w:left w:val="nil"/>
              <w:bottom w:val="single" w:sz="4" w:space="0" w:color="auto"/>
              <w:right w:val="nil"/>
            </w:tcBorders>
            <w:shd w:val="clear" w:color="auto" w:fill="auto"/>
            <w:vAlign w:val="center"/>
            <w:hideMark/>
          </w:tcPr>
          <w:p w14:paraId="3EF1C4DE" w14:textId="18C6004B" w:rsidR="00DC2956" w:rsidRPr="00DC2956" w:rsidRDefault="00DC2956" w:rsidP="009B6B58">
            <w:pPr>
              <w:spacing w:before="0" w:after="0"/>
              <w:ind w:left="57" w:right="57"/>
              <w:jc w:val="right"/>
              <w:rPr>
                <w:rFonts w:eastAsia="Times New Roman" w:cs="Times New Roman"/>
                <w:color w:val="000000"/>
                <w:sz w:val="20"/>
                <w:szCs w:val="20"/>
                <w:lang w:val="sr-Latn-RS" w:eastAsia="sr-Latn-RS"/>
              </w:rPr>
            </w:pPr>
            <w:r w:rsidRPr="00DC2956">
              <w:rPr>
                <w:sz w:val="20"/>
                <w:szCs w:val="20"/>
              </w:rPr>
              <w:t>64.2%</w:t>
            </w:r>
          </w:p>
        </w:tc>
        <w:tc>
          <w:tcPr>
            <w:tcW w:w="963" w:type="pct"/>
            <w:tcBorders>
              <w:top w:val="nil"/>
              <w:left w:val="nil"/>
              <w:bottom w:val="single" w:sz="4" w:space="0" w:color="auto"/>
              <w:right w:val="nil"/>
            </w:tcBorders>
            <w:shd w:val="clear" w:color="auto" w:fill="auto"/>
            <w:vAlign w:val="center"/>
            <w:hideMark/>
          </w:tcPr>
          <w:p w14:paraId="5C1A5BB4" w14:textId="230F308B" w:rsidR="00DC2956" w:rsidRPr="00DC2956" w:rsidRDefault="00DC2956" w:rsidP="009B6B58">
            <w:pPr>
              <w:spacing w:before="0" w:after="0"/>
              <w:ind w:left="57" w:right="57"/>
              <w:jc w:val="right"/>
              <w:rPr>
                <w:rFonts w:eastAsia="Times New Roman" w:cs="Times New Roman"/>
                <w:color w:val="000000"/>
                <w:sz w:val="20"/>
                <w:szCs w:val="20"/>
                <w:lang w:val="sr-Latn-RS" w:eastAsia="sr-Latn-RS"/>
              </w:rPr>
            </w:pPr>
            <w:r w:rsidRPr="00DC2956">
              <w:rPr>
                <w:sz w:val="20"/>
                <w:szCs w:val="20"/>
              </w:rPr>
              <w:t>34.</w:t>
            </w:r>
            <w:r w:rsidR="004C7D20">
              <w:rPr>
                <w:sz w:val="20"/>
                <w:szCs w:val="20"/>
              </w:rPr>
              <w:t>5</w:t>
            </w:r>
            <w:r w:rsidRPr="00DC2956">
              <w:rPr>
                <w:sz w:val="20"/>
                <w:szCs w:val="20"/>
              </w:rPr>
              <w:t>%</w:t>
            </w:r>
          </w:p>
        </w:tc>
        <w:tc>
          <w:tcPr>
            <w:tcW w:w="1270" w:type="pct"/>
            <w:tcBorders>
              <w:top w:val="nil"/>
              <w:left w:val="nil"/>
              <w:bottom w:val="single" w:sz="4" w:space="0" w:color="auto"/>
              <w:right w:val="nil"/>
            </w:tcBorders>
            <w:shd w:val="clear" w:color="auto" w:fill="auto"/>
            <w:vAlign w:val="center"/>
            <w:hideMark/>
          </w:tcPr>
          <w:p w14:paraId="7A3CE72C" w14:textId="16894C9E" w:rsidR="00DC2956" w:rsidRPr="009B6B58" w:rsidRDefault="00DC2956" w:rsidP="009B6B58">
            <w:pPr>
              <w:spacing w:before="0" w:after="0"/>
              <w:ind w:left="57" w:right="57"/>
              <w:jc w:val="right"/>
              <w:rPr>
                <w:rFonts w:eastAsia="Times New Roman" w:cs="Times New Roman"/>
                <w:b/>
                <w:bCs/>
                <w:color w:val="000000"/>
                <w:sz w:val="20"/>
                <w:szCs w:val="20"/>
                <w:lang w:val="sr-Latn-RS" w:eastAsia="sr-Latn-RS"/>
              </w:rPr>
            </w:pPr>
            <w:r w:rsidRPr="009B6B58">
              <w:rPr>
                <w:b/>
                <w:bCs/>
                <w:sz w:val="20"/>
                <w:szCs w:val="20"/>
              </w:rPr>
              <w:t>96.</w:t>
            </w:r>
            <w:r w:rsidR="004C7D20">
              <w:rPr>
                <w:b/>
                <w:bCs/>
                <w:sz w:val="20"/>
                <w:szCs w:val="20"/>
              </w:rPr>
              <w:t>6</w:t>
            </w:r>
            <w:r w:rsidRPr="009B6B58">
              <w:rPr>
                <w:b/>
                <w:bCs/>
                <w:sz w:val="20"/>
                <w:szCs w:val="20"/>
              </w:rPr>
              <w:t>%</w:t>
            </w:r>
          </w:p>
        </w:tc>
      </w:tr>
      <w:tr w:rsidR="00DC2956" w:rsidRPr="00DC2956" w14:paraId="1549862C" w14:textId="77777777" w:rsidTr="006F301B">
        <w:trPr>
          <w:trHeight w:val="54"/>
        </w:trPr>
        <w:tc>
          <w:tcPr>
            <w:tcW w:w="5000" w:type="pct"/>
            <w:gridSpan w:val="5"/>
            <w:tcBorders>
              <w:top w:val="single" w:sz="4" w:space="0" w:color="auto"/>
              <w:left w:val="nil"/>
              <w:bottom w:val="nil"/>
              <w:right w:val="nil"/>
            </w:tcBorders>
            <w:shd w:val="clear" w:color="auto" w:fill="auto"/>
            <w:noWrap/>
            <w:hideMark/>
          </w:tcPr>
          <w:p w14:paraId="5B959A33" w14:textId="0D6C4FDB" w:rsidR="00DC2956" w:rsidRPr="00DC2956" w:rsidRDefault="00DC2956" w:rsidP="00DC2956">
            <w:pPr>
              <w:spacing w:before="0" w:after="0"/>
              <w:jc w:val="left"/>
              <w:rPr>
                <w:rFonts w:eastAsia="Times New Roman" w:cs="Times New Roman"/>
                <w:sz w:val="20"/>
                <w:szCs w:val="20"/>
                <w:lang w:val="sr-Latn-RS" w:eastAsia="sr-Latn-RS"/>
              </w:rPr>
            </w:pPr>
            <w:r w:rsidRPr="009B6B58">
              <w:rPr>
                <w:sz w:val="18"/>
                <w:szCs w:val="18"/>
              </w:rPr>
              <w:t>a. cutoff value at 0.5</w:t>
            </w:r>
          </w:p>
        </w:tc>
      </w:tr>
    </w:tbl>
    <w:p w14:paraId="42D47464" w14:textId="3FC51F88" w:rsidR="003D42CA" w:rsidRDefault="003D42CA" w:rsidP="003D42CA">
      <w:pPr>
        <w:pStyle w:val="Caption"/>
        <w:jc w:val="both"/>
      </w:pPr>
      <w:bookmarkStart w:id="678" w:name="_Ref99363838"/>
      <w:bookmarkStart w:id="679" w:name="_Toc101274506"/>
      <w:r>
        <w:t xml:space="preserve">Table </w:t>
      </w:r>
      <w:fldSimple w:instr=" SEQ Table \* ARABIC ">
        <w:r w:rsidR="00587AF0">
          <w:rPr>
            <w:noProof/>
          </w:rPr>
          <w:t>66</w:t>
        </w:r>
      </w:fldSimple>
      <w:bookmarkEnd w:id="678"/>
      <w:r>
        <w:t>. Performance of a model at idle saddle position</w:t>
      </w:r>
      <w:bookmarkEnd w:id="67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4"/>
        <w:gridCol w:w="2254"/>
        <w:gridCol w:w="2254"/>
        <w:gridCol w:w="2255"/>
      </w:tblGrid>
      <w:tr w:rsidR="003D42CA" w:rsidRPr="00900D2A" w14:paraId="727FA46F" w14:textId="77777777" w:rsidTr="00DC3687">
        <w:tc>
          <w:tcPr>
            <w:tcW w:w="2254" w:type="dxa"/>
            <w:tcBorders>
              <w:top w:val="single" w:sz="4" w:space="0" w:color="auto"/>
              <w:bottom w:val="single" w:sz="4" w:space="0" w:color="auto"/>
            </w:tcBorders>
          </w:tcPr>
          <w:p w14:paraId="6B81F718" w14:textId="77777777" w:rsidR="003D42CA" w:rsidRPr="00900D2A" w:rsidRDefault="003D42CA" w:rsidP="00DC3687">
            <w:pPr>
              <w:spacing w:before="0" w:after="0"/>
              <w:ind w:left="57" w:right="57"/>
              <w:rPr>
                <w:b/>
                <w:bCs/>
                <w:sz w:val="20"/>
                <w:szCs w:val="20"/>
              </w:rPr>
            </w:pPr>
            <w:r>
              <w:rPr>
                <w:b/>
                <w:bCs/>
                <w:sz w:val="20"/>
                <w:szCs w:val="20"/>
              </w:rPr>
              <w:t>Property</w:t>
            </w:r>
          </w:p>
        </w:tc>
        <w:tc>
          <w:tcPr>
            <w:tcW w:w="2254" w:type="dxa"/>
            <w:tcBorders>
              <w:top w:val="single" w:sz="4" w:space="0" w:color="auto"/>
              <w:bottom w:val="single" w:sz="4" w:space="0" w:color="auto"/>
            </w:tcBorders>
          </w:tcPr>
          <w:p w14:paraId="73F13A98" w14:textId="77777777" w:rsidR="003D42CA" w:rsidRPr="00900D2A" w:rsidRDefault="003D42CA" w:rsidP="00DC3687">
            <w:pPr>
              <w:spacing w:before="0" w:after="0"/>
              <w:ind w:left="57" w:right="57"/>
              <w:jc w:val="center"/>
              <w:rPr>
                <w:b/>
                <w:bCs/>
                <w:sz w:val="20"/>
                <w:szCs w:val="20"/>
              </w:rPr>
            </w:pPr>
            <w:r w:rsidRPr="00900D2A">
              <w:rPr>
                <w:b/>
                <w:bCs/>
                <w:sz w:val="20"/>
                <w:szCs w:val="20"/>
              </w:rPr>
              <w:t>AUC</w:t>
            </w:r>
          </w:p>
        </w:tc>
        <w:tc>
          <w:tcPr>
            <w:tcW w:w="2254" w:type="dxa"/>
            <w:tcBorders>
              <w:top w:val="single" w:sz="4" w:space="0" w:color="auto"/>
              <w:bottom w:val="single" w:sz="4" w:space="0" w:color="auto"/>
            </w:tcBorders>
          </w:tcPr>
          <w:p w14:paraId="0861C232" w14:textId="77777777" w:rsidR="003D42CA" w:rsidRPr="00900D2A" w:rsidRDefault="003D42CA" w:rsidP="00DC3687">
            <w:pPr>
              <w:spacing w:before="0" w:after="0"/>
              <w:ind w:left="57" w:right="57"/>
              <w:jc w:val="center"/>
              <w:rPr>
                <w:b/>
                <w:bCs/>
                <w:sz w:val="20"/>
                <w:szCs w:val="20"/>
              </w:rPr>
            </w:pPr>
            <w:r w:rsidRPr="00900D2A">
              <w:rPr>
                <w:b/>
                <w:bCs/>
                <w:sz w:val="20"/>
                <w:szCs w:val="20"/>
              </w:rPr>
              <w:t>Sensitivity</w:t>
            </w:r>
          </w:p>
        </w:tc>
        <w:tc>
          <w:tcPr>
            <w:tcW w:w="2255" w:type="dxa"/>
            <w:tcBorders>
              <w:top w:val="single" w:sz="4" w:space="0" w:color="auto"/>
              <w:bottom w:val="single" w:sz="4" w:space="0" w:color="auto"/>
            </w:tcBorders>
          </w:tcPr>
          <w:p w14:paraId="2963BE13" w14:textId="77777777" w:rsidR="003D42CA" w:rsidRPr="00900D2A" w:rsidRDefault="003D42CA" w:rsidP="00DC3687">
            <w:pPr>
              <w:spacing w:before="0" w:after="0"/>
              <w:ind w:left="57" w:right="57"/>
              <w:jc w:val="center"/>
              <w:rPr>
                <w:b/>
                <w:bCs/>
                <w:sz w:val="20"/>
                <w:szCs w:val="20"/>
              </w:rPr>
            </w:pPr>
            <w:r w:rsidRPr="00900D2A">
              <w:rPr>
                <w:b/>
                <w:bCs/>
                <w:sz w:val="20"/>
                <w:szCs w:val="20"/>
              </w:rPr>
              <w:t>Specificity</w:t>
            </w:r>
          </w:p>
        </w:tc>
      </w:tr>
      <w:tr w:rsidR="003D42CA" w:rsidRPr="00900D2A" w14:paraId="57750176" w14:textId="77777777" w:rsidTr="00DC3687">
        <w:tc>
          <w:tcPr>
            <w:tcW w:w="2254" w:type="dxa"/>
            <w:tcBorders>
              <w:top w:val="single" w:sz="4" w:space="0" w:color="auto"/>
            </w:tcBorders>
          </w:tcPr>
          <w:p w14:paraId="25D425BF" w14:textId="77777777" w:rsidR="003D42CA" w:rsidRPr="00900D2A" w:rsidRDefault="003D42CA" w:rsidP="00DC3687">
            <w:pPr>
              <w:spacing w:before="0" w:after="0"/>
              <w:ind w:left="57" w:right="57"/>
              <w:rPr>
                <w:sz w:val="20"/>
                <w:szCs w:val="20"/>
              </w:rPr>
            </w:pPr>
            <w:r w:rsidRPr="00900D2A">
              <w:rPr>
                <w:sz w:val="20"/>
                <w:szCs w:val="20"/>
              </w:rPr>
              <w:t>Training/Discovery</w:t>
            </w:r>
          </w:p>
        </w:tc>
        <w:tc>
          <w:tcPr>
            <w:tcW w:w="2254" w:type="dxa"/>
            <w:tcBorders>
              <w:top w:val="single" w:sz="4" w:space="0" w:color="auto"/>
            </w:tcBorders>
          </w:tcPr>
          <w:p w14:paraId="56B8C7C2" w14:textId="77777777" w:rsidR="003D42CA" w:rsidRPr="00900D2A" w:rsidRDefault="003D42CA" w:rsidP="00DC3687">
            <w:pPr>
              <w:spacing w:before="0" w:after="0"/>
              <w:ind w:left="57" w:right="57"/>
              <w:jc w:val="right"/>
              <w:rPr>
                <w:sz w:val="20"/>
                <w:szCs w:val="20"/>
              </w:rPr>
            </w:pPr>
            <w:r w:rsidRPr="00900D2A">
              <w:rPr>
                <w:sz w:val="20"/>
                <w:szCs w:val="20"/>
              </w:rPr>
              <w:t>0.995 (0.994 ~ 0.996)</w:t>
            </w:r>
          </w:p>
        </w:tc>
        <w:tc>
          <w:tcPr>
            <w:tcW w:w="2254" w:type="dxa"/>
            <w:tcBorders>
              <w:top w:val="single" w:sz="4" w:space="0" w:color="auto"/>
            </w:tcBorders>
          </w:tcPr>
          <w:p w14:paraId="09D4403C" w14:textId="77777777" w:rsidR="003D42CA" w:rsidRPr="00900D2A" w:rsidRDefault="003D42CA" w:rsidP="00DC3687">
            <w:pPr>
              <w:spacing w:before="0" w:after="0"/>
              <w:ind w:left="57" w:right="57"/>
              <w:jc w:val="right"/>
              <w:rPr>
                <w:sz w:val="20"/>
                <w:szCs w:val="20"/>
              </w:rPr>
            </w:pPr>
            <w:r w:rsidRPr="00900D2A">
              <w:rPr>
                <w:sz w:val="20"/>
                <w:szCs w:val="20"/>
              </w:rPr>
              <w:t>0.980 (0.973 ~ 0.987)</w:t>
            </w:r>
          </w:p>
        </w:tc>
        <w:tc>
          <w:tcPr>
            <w:tcW w:w="2255" w:type="dxa"/>
            <w:tcBorders>
              <w:top w:val="single" w:sz="4" w:space="0" w:color="auto"/>
            </w:tcBorders>
          </w:tcPr>
          <w:p w14:paraId="2EB100B6" w14:textId="77777777" w:rsidR="003D42CA" w:rsidRPr="00900D2A" w:rsidRDefault="003D42CA" w:rsidP="00DC3687">
            <w:pPr>
              <w:spacing w:before="0" w:after="0"/>
              <w:ind w:left="57" w:right="57"/>
              <w:jc w:val="right"/>
              <w:rPr>
                <w:sz w:val="20"/>
                <w:szCs w:val="20"/>
              </w:rPr>
            </w:pPr>
            <w:r w:rsidRPr="00900D2A">
              <w:rPr>
                <w:sz w:val="20"/>
                <w:szCs w:val="20"/>
              </w:rPr>
              <w:t>0.966 (0.960 ~ 0.972)</w:t>
            </w:r>
          </w:p>
        </w:tc>
      </w:tr>
      <w:tr w:rsidR="003D42CA" w:rsidRPr="00900D2A" w14:paraId="2B3417E7" w14:textId="77777777" w:rsidTr="00DC3687">
        <w:tc>
          <w:tcPr>
            <w:tcW w:w="2254" w:type="dxa"/>
            <w:tcBorders>
              <w:bottom w:val="single" w:sz="4" w:space="0" w:color="auto"/>
            </w:tcBorders>
          </w:tcPr>
          <w:p w14:paraId="3EC5E050" w14:textId="77777777" w:rsidR="003D42CA" w:rsidRPr="00900D2A" w:rsidRDefault="003D42CA" w:rsidP="00DC3687">
            <w:pPr>
              <w:spacing w:before="0" w:after="0"/>
              <w:ind w:left="57" w:right="57"/>
              <w:rPr>
                <w:sz w:val="20"/>
                <w:szCs w:val="20"/>
              </w:rPr>
            </w:pPr>
            <w:r w:rsidRPr="00900D2A">
              <w:rPr>
                <w:sz w:val="20"/>
                <w:szCs w:val="20"/>
              </w:rPr>
              <w:t>10-fold Cross-Validation</w:t>
            </w:r>
          </w:p>
        </w:tc>
        <w:tc>
          <w:tcPr>
            <w:tcW w:w="2254" w:type="dxa"/>
            <w:tcBorders>
              <w:bottom w:val="single" w:sz="4" w:space="0" w:color="auto"/>
            </w:tcBorders>
          </w:tcPr>
          <w:p w14:paraId="483B2BBD" w14:textId="77777777" w:rsidR="003D42CA" w:rsidRPr="00900D2A" w:rsidRDefault="003D42CA" w:rsidP="00DC3687">
            <w:pPr>
              <w:spacing w:before="0" w:after="0"/>
              <w:ind w:left="57" w:right="57"/>
              <w:jc w:val="right"/>
              <w:rPr>
                <w:sz w:val="20"/>
                <w:szCs w:val="20"/>
              </w:rPr>
            </w:pPr>
            <w:r w:rsidRPr="00900D2A">
              <w:rPr>
                <w:sz w:val="20"/>
                <w:szCs w:val="20"/>
              </w:rPr>
              <w:t>0.990 (0.983 ~ 0.997)</w:t>
            </w:r>
          </w:p>
        </w:tc>
        <w:tc>
          <w:tcPr>
            <w:tcW w:w="2254" w:type="dxa"/>
            <w:tcBorders>
              <w:bottom w:val="single" w:sz="4" w:space="0" w:color="auto"/>
            </w:tcBorders>
          </w:tcPr>
          <w:p w14:paraId="2109C0DD" w14:textId="77777777" w:rsidR="003D42CA" w:rsidRPr="00900D2A" w:rsidRDefault="003D42CA" w:rsidP="00DC3687">
            <w:pPr>
              <w:spacing w:before="0" w:after="0"/>
              <w:ind w:left="57" w:right="57"/>
              <w:jc w:val="right"/>
              <w:rPr>
                <w:sz w:val="20"/>
                <w:szCs w:val="20"/>
              </w:rPr>
            </w:pPr>
            <w:r w:rsidRPr="00900D2A">
              <w:rPr>
                <w:sz w:val="20"/>
                <w:szCs w:val="20"/>
              </w:rPr>
              <w:t>0.968 (0.968 ~ 0.993)</w:t>
            </w:r>
          </w:p>
        </w:tc>
        <w:tc>
          <w:tcPr>
            <w:tcW w:w="2255" w:type="dxa"/>
            <w:tcBorders>
              <w:bottom w:val="single" w:sz="4" w:space="0" w:color="auto"/>
            </w:tcBorders>
          </w:tcPr>
          <w:p w14:paraId="0E38918A" w14:textId="77777777" w:rsidR="003D42CA" w:rsidRPr="00900D2A" w:rsidRDefault="003D42CA" w:rsidP="00DC3687">
            <w:pPr>
              <w:spacing w:before="0" w:after="0"/>
              <w:ind w:left="57" w:right="57"/>
              <w:jc w:val="right"/>
              <w:rPr>
                <w:sz w:val="20"/>
                <w:szCs w:val="20"/>
              </w:rPr>
            </w:pPr>
            <w:r w:rsidRPr="00900D2A">
              <w:rPr>
                <w:sz w:val="20"/>
                <w:szCs w:val="20"/>
              </w:rPr>
              <w:t>0.949 (0.926 ~ 0.972)</w:t>
            </w:r>
          </w:p>
        </w:tc>
      </w:tr>
    </w:tbl>
    <w:p w14:paraId="3A17D946" w14:textId="77777777" w:rsidR="005813DE" w:rsidRDefault="003637DF" w:rsidP="005813DE">
      <w:pPr>
        <w:keepNext/>
        <w:jc w:val="center"/>
      </w:pPr>
      <w:r>
        <w:rPr>
          <w:noProof/>
        </w:rPr>
        <w:lastRenderedPageBreak/>
        <w:drawing>
          <wp:inline distT="0" distB="0" distL="0" distR="0" wp14:anchorId="40C4F6C3" wp14:editId="1BE863FB">
            <wp:extent cx="4800867" cy="4068000"/>
            <wp:effectExtent l="0" t="0" r="0" b="8890"/>
            <wp:docPr id="131" name="Picture 131" descr="ProbTest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obTestImage"/>
                    <pic:cNvPicPr>
                      <a:picLocks noChangeAspect="1" noChangeArrowheads="1"/>
                    </pic:cNvPicPr>
                  </pic:nvPicPr>
                  <pic:blipFill rotWithShape="1">
                    <a:blip r:embed="rId149">
                      <a:extLst>
                        <a:ext uri="{28A0092B-C50C-407E-A947-70E740481C1C}">
                          <a14:useLocalDpi xmlns:a14="http://schemas.microsoft.com/office/drawing/2010/main" val="0"/>
                        </a:ext>
                      </a:extLst>
                    </a:blip>
                    <a:srcRect t="4673"/>
                    <a:stretch/>
                  </pic:blipFill>
                  <pic:spPr bwMode="auto">
                    <a:xfrm>
                      <a:off x="0" y="0"/>
                      <a:ext cx="4800867" cy="4068000"/>
                    </a:xfrm>
                    <a:prstGeom prst="rect">
                      <a:avLst/>
                    </a:prstGeom>
                    <a:noFill/>
                    <a:ln>
                      <a:noFill/>
                    </a:ln>
                    <a:extLst>
                      <a:ext uri="{53640926-AAD7-44D8-BBD7-CCE9431645EC}">
                        <a14:shadowObscured xmlns:a14="http://schemas.microsoft.com/office/drawing/2010/main"/>
                      </a:ext>
                    </a:extLst>
                  </pic:spPr>
                </pic:pic>
              </a:graphicData>
            </a:graphic>
          </wp:inline>
        </w:drawing>
      </w:r>
    </w:p>
    <w:p w14:paraId="15801E09" w14:textId="13919911" w:rsidR="003637DF" w:rsidRDefault="005813DE" w:rsidP="005813DE">
      <w:pPr>
        <w:pStyle w:val="Caption"/>
      </w:pPr>
      <w:bookmarkStart w:id="680" w:name="_Ref99363883"/>
      <w:bookmarkStart w:id="681" w:name="_Toc101274635"/>
      <w:r>
        <w:t xml:space="preserve">Figure </w:t>
      </w:r>
      <w:fldSimple w:instr=" SEQ Figure \* ARABIC ">
        <w:r w:rsidR="00587AF0">
          <w:rPr>
            <w:noProof/>
          </w:rPr>
          <w:t>113</w:t>
        </w:r>
      </w:fldSimple>
      <w:bookmarkEnd w:id="680"/>
      <w:r>
        <w:t xml:space="preserve">. Logistic regression training classification at </w:t>
      </w:r>
      <w:r w:rsidR="00EC34AC">
        <w:t>idle</w:t>
      </w:r>
      <w:r>
        <w:t xml:space="preserve"> saddle position</w:t>
      </w:r>
      <w:bookmarkEnd w:id="681"/>
    </w:p>
    <w:p w14:paraId="3231CDCF" w14:textId="77777777" w:rsidR="005813DE" w:rsidRDefault="003637DF" w:rsidP="005813DE">
      <w:pPr>
        <w:keepNext/>
        <w:jc w:val="center"/>
      </w:pPr>
      <w:r>
        <w:rPr>
          <w:noProof/>
        </w:rPr>
        <w:drawing>
          <wp:inline distT="0" distB="0" distL="0" distR="0" wp14:anchorId="710A4B9B" wp14:editId="3D506615">
            <wp:extent cx="4657500" cy="4140000"/>
            <wp:effectExtent l="0" t="0" r="0" b="0"/>
            <wp:docPr id="130" name="Picture 130" descr="ProbTest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obTestImage"/>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657500" cy="4140000"/>
                    </a:xfrm>
                    <a:prstGeom prst="rect">
                      <a:avLst/>
                    </a:prstGeom>
                    <a:noFill/>
                    <a:ln>
                      <a:noFill/>
                    </a:ln>
                  </pic:spPr>
                </pic:pic>
              </a:graphicData>
            </a:graphic>
          </wp:inline>
        </w:drawing>
      </w:r>
    </w:p>
    <w:p w14:paraId="483441C4" w14:textId="73EDFBC3" w:rsidR="00E62F86" w:rsidRDefault="005813DE" w:rsidP="00743D78">
      <w:pPr>
        <w:pStyle w:val="Caption"/>
        <w:rPr>
          <w:rFonts w:eastAsiaTheme="majorEastAsia" w:cstheme="majorBidi"/>
          <w:smallCaps/>
          <w:szCs w:val="24"/>
        </w:rPr>
      </w:pPr>
      <w:bookmarkStart w:id="682" w:name="_Ref99363886"/>
      <w:bookmarkStart w:id="683" w:name="_Toc101274636"/>
      <w:r>
        <w:t xml:space="preserve">Figure </w:t>
      </w:r>
      <w:fldSimple w:instr=" SEQ Figure \* ARABIC ">
        <w:r w:rsidR="00587AF0">
          <w:rPr>
            <w:noProof/>
          </w:rPr>
          <w:t>114</w:t>
        </w:r>
      </w:fldSimple>
      <w:bookmarkEnd w:id="682"/>
      <w:r>
        <w:t xml:space="preserve">. </w:t>
      </w:r>
      <w:r w:rsidR="00352F9F" w:rsidRPr="00352F9F">
        <w:t>Logistic regression classification score of testing data at closing saddle position</w:t>
      </w:r>
      <w:bookmarkEnd w:id="683"/>
      <w:r w:rsidR="00E62F86">
        <w:br w:type="page"/>
      </w:r>
    </w:p>
    <w:p w14:paraId="1A6AA9DB" w14:textId="38C03422" w:rsidR="005D7AA4" w:rsidRDefault="00D84187" w:rsidP="00D84187">
      <w:pPr>
        <w:pStyle w:val="Heading3"/>
      </w:pPr>
      <w:bookmarkStart w:id="684" w:name="_Toc101274412"/>
      <w:r>
        <w:lastRenderedPageBreak/>
        <w:t>Logistic regression for closing saddl</w:t>
      </w:r>
      <w:r w:rsidR="006713AF">
        <w:t>e position</w:t>
      </w:r>
      <w:bookmarkEnd w:id="684"/>
    </w:p>
    <w:p w14:paraId="2FD55F69" w14:textId="63D9FE6E" w:rsidR="00D84187" w:rsidRDefault="00456594" w:rsidP="00D84187">
      <w:r>
        <w:t xml:space="preserve">Reviewing the results from </w:t>
      </w:r>
      <w:r w:rsidR="00DB4015">
        <w:t xml:space="preserve">the </w:t>
      </w:r>
      <w:r>
        <w:t xml:space="preserve">LR model at </w:t>
      </w:r>
      <w:r w:rsidR="00DB4015">
        <w:t xml:space="preserve">the </w:t>
      </w:r>
      <w:r>
        <w:t>closing saddle position, the following equation shows that only N_IQR_CS; Constant (intercept) and Load_kg_n could be used to set the classification model (</w:t>
      </w:r>
      <w:r>
        <w:fldChar w:fldCharType="begin"/>
      </w:r>
      <w:r>
        <w:instrText xml:space="preserve"> REF _Ref99365354 \h </w:instrText>
      </w:r>
      <w:r>
        <w:fldChar w:fldCharType="separate"/>
      </w:r>
      <w:r w:rsidR="00587AF0">
        <w:t xml:space="preserve">Table </w:t>
      </w:r>
      <w:r w:rsidR="00587AF0">
        <w:rPr>
          <w:noProof/>
        </w:rPr>
        <w:t>67</w:t>
      </w:r>
      <w:r>
        <w:fldChar w:fldCharType="end"/>
      </w:r>
      <w:r>
        <w:t xml:space="preserve">), while </w:t>
      </w:r>
      <w:r w:rsidR="00DB4015">
        <w:t xml:space="preserve">the </w:t>
      </w:r>
      <w:r>
        <w:t xml:space="preserve">rest of the variables </w:t>
      </w:r>
      <w:r w:rsidR="0039329C">
        <w:t xml:space="preserve">(predictors) </w:t>
      </w:r>
      <w:r>
        <w:t xml:space="preserve">could not be considering that they are contributing to the model </w:t>
      </w:r>
      <w:r w:rsidR="00FD20D1">
        <w:t xml:space="preserve">improvement </w:t>
      </w:r>
      <w:r>
        <w:t>(</w:t>
      </w:r>
      <w:r>
        <w:fldChar w:fldCharType="begin"/>
      </w:r>
      <w:r>
        <w:instrText xml:space="preserve"> REF _Ref99365372 \h </w:instrText>
      </w:r>
      <w:r>
        <w:fldChar w:fldCharType="separate"/>
      </w:r>
      <w:r w:rsidR="00587AF0">
        <w:t xml:space="preserve">Table </w:t>
      </w:r>
      <w:r w:rsidR="00587AF0">
        <w:rPr>
          <w:noProof/>
        </w:rPr>
        <w:t>68</w:t>
      </w:r>
      <w:r>
        <w:fldChar w:fldCharType="end"/>
      </w:r>
      <w:r>
        <w:t>).</w:t>
      </w:r>
    </w:p>
    <w:p w14:paraId="1FFAE413" w14:textId="4EFA2974" w:rsidR="00DC2956" w:rsidRPr="00DC2956" w:rsidRDefault="00E35611" w:rsidP="00E35611">
      <w:pPr>
        <w:pStyle w:val="Caption"/>
        <w:jc w:val="both"/>
        <w:rPr>
          <w:lang w:val="sr-Latn-RS"/>
        </w:rPr>
      </w:pPr>
      <w:bookmarkStart w:id="685" w:name="_Ref99365354"/>
      <w:bookmarkStart w:id="686" w:name="_Ref99365345"/>
      <w:bookmarkStart w:id="687" w:name="_Toc101274507"/>
      <w:r>
        <w:t xml:space="preserve">Table </w:t>
      </w:r>
      <w:fldSimple w:instr=" SEQ Table \* ARABIC ">
        <w:r w:rsidR="00587AF0">
          <w:rPr>
            <w:noProof/>
          </w:rPr>
          <w:t>67</w:t>
        </w:r>
      </w:fldSimple>
      <w:bookmarkEnd w:id="685"/>
      <w:r>
        <w:t>. LR Summary of features and associted weights at closing saddle position</w:t>
      </w:r>
      <w:bookmarkEnd w:id="686"/>
      <w:bookmarkEnd w:id="687"/>
    </w:p>
    <w:tbl>
      <w:tblPr>
        <w:tblW w:w="5000" w:type="pct"/>
        <w:tblCellMar>
          <w:left w:w="0" w:type="dxa"/>
          <w:right w:w="0" w:type="dxa"/>
        </w:tblCellMar>
        <w:tblLook w:val="0000" w:firstRow="0" w:lastRow="0" w:firstColumn="0" w:lastColumn="0" w:noHBand="0" w:noVBand="0"/>
      </w:tblPr>
      <w:tblGrid>
        <w:gridCol w:w="642"/>
        <w:gridCol w:w="996"/>
        <w:gridCol w:w="801"/>
        <w:gridCol w:w="802"/>
        <w:gridCol w:w="802"/>
        <w:gridCol w:w="802"/>
        <w:gridCol w:w="802"/>
        <w:gridCol w:w="1071"/>
        <w:gridCol w:w="982"/>
        <w:gridCol w:w="1327"/>
      </w:tblGrid>
      <w:tr w:rsidR="00322CA7" w:rsidRPr="00DC2956" w14:paraId="19C549DB" w14:textId="77777777" w:rsidTr="00AF5396">
        <w:trPr>
          <w:cantSplit/>
        </w:trPr>
        <w:tc>
          <w:tcPr>
            <w:tcW w:w="907" w:type="pct"/>
            <w:gridSpan w:val="2"/>
            <w:tcBorders>
              <w:top w:val="single" w:sz="4" w:space="0" w:color="auto"/>
              <w:bottom w:val="single" w:sz="4" w:space="0" w:color="auto"/>
            </w:tcBorders>
            <w:shd w:val="clear" w:color="auto" w:fill="auto"/>
            <w:vAlign w:val="bottom"/>
          </w:tcPr>
          <w:p w14:paraId="1F61C19C" w14:textId="7D456D6C" w:rsidR="00322CA7" w:rsidRPr="00DC2956" w:rsidRDefault="00322CA7" w:rsidP="00322CA7">
            <w:pPr>
              <w:spacing w:before="0" w:after="0"/>
              <w:ind w:left="57" w:right="57"/>
              <w:rPr>
                <w:sz w:val="16"/>
                <w:szCs w:val="16"/>
                <w:lang w:val="sr-Latn-RS"/>
              </w:rPr>
            </w:pPr>
            <w:r>
              <w:rPr>
                <w:sz w:val="16"/>
                <w:szCs w:val="16"/>
                <w:lang w:val="sr-Latn-RS"/>
              </w:rPr>
              <w:t>Properties</w:t>
            </w:r>
          </w:p>
        </w:tc>
        <w:tc>
          <w:tcPr>
            <w:tcW w:w="444" w:type="pct"/>
            <w:tcBorders>
              <w:top w:val="single" w:sz="4" w:space="0" w:color="auto"/>
              <w:bottom w:val="single" w:sz="4" w:space="0" w:color="auto"/>
            </w:tcBorders>
            <w:shd w:val="clear" w:color="auto" w:fill="auto"/>
            <w:vAlign w:val="bottom"/>
          </w:tcPr>
          <w:p w14:paraId="044D3F63" w14:textId="1C5F6257" w:rsidR="00322CA7" w:rsidRPr="00322CA7" w:rsidRDefault="00322CA7" w:rsidP="00322CA7">
            <w:pPr>
              <w:spacing w:before="0" w:after="0"/>
              <w:ind w:left="57" w:right="57"/>
              <w:jc w:val="center"/>
              <w:rPr>
                <w:b/>
                <w:bCs/>
                <w:sz w:val="16"/>
                <w:szCs w:val="16"/>
                <w:lang w:val="sr-Latn-RS"/>
              </w:rPr>
            </w:pPr>
            <w:r w:rsidRPr="00322CA7">
              <w:rPr>
                <w:b/>
                <w:bCs/>
                <w:sz w:val="16"/>
                <w:szCs w:val="16"/>
                <w:lang w:val="sr-Latn-RS"/>
              </w:rPr>
              <w:t>B</w:t>
            </w:r>
          </w:p>
        </w:tc>
        <w:tc>
          <w:tcPr>
            <w:tcW w:w="444" w:type="pct"/>
            <w:tcBorders>
              <w:top w:val="single" w:sz="4" w:space="0" w:color="auto"/>
              <w:bottom w:val="single" w:sz="4" w:space="0" w:color="auto"/>
            </w:tcBorders>
            <w:shd w:val="clear" w:color="auto" w:fill="auto"/>
            <w:vAlign w:val="bottom"/>
          </w:tcPr>
          <w:p w14:paraId="228577E8" w14:textId="124C67CB" w:rsidR="00322CA7" w:rsidRPr="00322CA7" w:rsidRDefault="00322CA7" w:rsidP="00322CA7">
            <w:pPr>
              <w:spacing w:before="0" w:after="0"/>
              <w:ind w:left="57" w:right="57"/>
              <w:jc w:val="center"/>
              <w:rPr>
                <w:b/>
                <w:bCs/>
                <w:sz w:val="16"/>
                <w:szCs w:val="16"/>
                <w:lang w:val="sr-Latn-RS"/>
              </w:rPr>
            </w:pPr>
            <w:r w:rsidRPr="00322CA7">
              <w:rPr>
                <w:b/>
                <w:bCs/>
                <w:sz w:val="16"/>
                <w:szCs w:val="16"/>
                <w:lang w:val="sr-Latn-RS"/>
              </w:rPr>
              <w:t>S.E.</w:t>
            </w:r>
          </w:p>
        </w:tc>
        <w:tc>
          <w:tcPr>
            <w:tcW w:w="444" w:type="pct"/>
            <w:tcBorders>
              <w:top w:val="single" w:sz="4" w:space="0" w:color="auto"/>
              <w:bottom w:val="single" w:sz="4" w:space="0" w:color="auto"/>
            </w:tcBorders>
            <w:shd w:val="clear" w:color="auto" w:fill="auto"/>
            <w:vAlign w:val="bottom"/>
          </w:tcPr>
          <w:p w14:paraId="7555C8EF" w14:textId="18369577" w:rsidR="00322CA7" w:rsidRPr="00322CA7" w:rsidRDefault="00322CA7" w:rsidP="00322CA7">
            <w:pPr>
              <w:spacing w:before="0" w:after="0"/>
              <w:ind w:left="57" w:right="57"/>
              <w:jc w:val="center"/>
              <w:rPr>
                <w:b/>
                <w:bCs/>
                <w:sz w:val="16"/>
                <w:szCs w:val="16"/>
                <w:lang w:val="sr-Latn-RS"/>
              </w:rPr>
            </w:pPr>
            <w:r w:rsidRPr="00322CA7">
              <w:rPr>
                <w:b/>
                <w:bCs/>
                <w:sz w:val="16"/>
                <w:szCs w:val="16"/>
                <w:lang w:val="sr-Latn-RS"/>
              </w:rPr>
              <w:t>Wald</w:t>
            </w:r>
          </w:p>
        </w:tc>
        <w:tc>
          <w:tcPr>
            <w:tcW w:w="444" w:type="pct"/>
            <w:tcBorders>
              <w:top w:val="single" w:sz="4" w:space="0" w:color="auto"/>
              <w:bottom w:val="single" w:sz="4" w:space="0" w:color="auto"/>
            </w:tcBorders>
            <w:shd w:val="clear" w:color="auto" w:fill="auto"/>
            <w:vAlign w:val="bottom"/>
          </w:tcPr>
          <w:p w14:paraId="770A67DD" w14:textId="0110AAFC" w:rsidR="00322CA7" w:rsidRPr="00322CA7" w:rsidRDefault="00322CA7" w:rsidP="00322CA7">
            <w:pPr>
              <w:spacing w:before="0" w:after="0"/>
              <w:ind w:left="57" w:right="57"/>
              <w:jc w:val="center"/>
              <w:rPr>
                <w:b/>
                <w:bCs/>
                <w:sz w:val="16"/>
                <w:szCs w:val="16"/>
                <w:lang w:val="sr-Latn-RS"/>
              </w:rPr>
            </w:pPr>
            <w:r w:rsidRPr="00322CA7">
              <w:rPr>
                <w:b/>
                <w:bCs/>
                <w:sz w:val="16"/>
                <w:szCs w:val="16"/>
                <w:lang w:val="sr-Latn-RS"/>
              </w:rPr>
              <w:t>df</w:t>
            </w:r>
          </w:p>
        </w:tc>
        <w:tc>
          <w:tcPr>
            <w:tcW w:w="444" w:type="pct"/>
            <w:tcBorders>
              <w:top w:val="single" w:sz="4" w:space="0" w:color="auto"/>
              <w:bottom w:val="single" w:sz="4" w:space="0" w:color="auto"/>
            </w:tcBorders>
            <w:shd w:val="clear" w:color="auto" w:fill="auto"/>
            <w:vAlign w:val="bottom"/>
          </w:tcPr>
          <w:p w14:paraId="653F90FA" w14:textId="777C3439" w:rsidR="00322CA7" w:rsidRPr="00322CA7" w:rsidRDefault="00322CA7" w:rsidP="00322CA7">
            <w:pPr>
              <w:spacing w:before="0" w:after="0"/>
              <w:ind w:left="57" w:right="57"/>
              <w:jc w:val="center"/>
              <w:rPr>
                <w:b/>
                <w:bCs/>
                <w:sz w:val="16"/>
                <w:szCs w:val="16"/>
                <w:lang w:val="sr-Latn-RS"/>
              </w:rPr>
            </w:pPr>
            <w:r w:rsidRPr="00322CA7">
              <w:rPr>
                <w:b/>
                <w:bCs/>
                <w:sz w:val="16"/>
                <w:szCs w:val="16"/>
                <w:lang w:val="sr-Latn-RS"/>
              </w:rPr>
              <w:t>Sig.</w:t>
            </w:r>
          </w:p>
        </w:tc>
        <w:tc>
          <w:tcPr>
            <w:tcW w:w="593" w:type="pct"/>
            <w:tcBorders>
              <w:top w:val="single" w:sz="4" w:space="0" w:color="auto"/>
              <w:bottom w:val="single" w:sz="4" w:space="0" w:color="auto"/>
            </w:tcBorders>
            <w:shd w:val="clear" w:color="auto" w:fill="auto"/>
            <w:vAlign w:val="bottom"/>
          </w:tcPr>
          <w:p w14:paraId="52A9C539" w14:textId="72EC7520" w:rsidR="00322CA7" w:rsidRPr="00322CA7" w:rsidRDefault="00322CA7" w:rsidP="00322CA7">
            <w:pPr>
              <w:spacing w:before="0" w:after="0"/>
              <w:ind w:left="57" w:right="57"/>
              <w:jc w:val="center"/>
              <w:rPr>
                <w:b/>
                <w:bCs/>
                <w:sz w:val="16"/>
                <w:szCs w:val="16"/>
                <w:lang w:val="sr-Latn-RS"/>
              </w:rPr>
            </w:pPr>
            <w:r w:rsidRPr="00322CA7">
              <w:rPr>
                <w:b/>
                <w:bCs/>
                <w:sz w:val="16"/>
                <w:szCs w:val="16"/>
                <w:lang w:val="sr-Latn-RS"/>
              </w:rPr>
              <w:t>Exp(B)</w:t>
            </w:r>
          </w:p>
        </w:tc>
        <w:tc>
          <w:tcPr>
            <w:tcW w:w="544" w:type="pct"/>
            <w:tcBorders>
              <w:top w:val="single" w:sz="4" w:space="0" w:color="auto"/>
              <w:bottom w:val="single" w:sz="4" w:space="0" w:color="auto"/>
            </w:tcBorders>
            <w:shd w:val="clear" w:color="auto" w:fill="auto"/>
            <w:vAlign w:val="bottom"/>
          </w:tcPr>
          <w:p w14:paraId="560005F4" w14:textId="480FBF18" w:rsidR="00322CA7" w:rsidRPr="00322CA7" w:rsidRDefault="00322CA7" w:rsidP="00322CA7">
            <w:pPr>
              <w:spacing w:before="0" w:after="0"/>
              <w:ind w:left="57" w:right="57"/>
              <w:jc w:val="center"/>
              <w:rPr>
                <w:b/>
                <w:bCs/>
                <w:sz w:val="16"/>
                <w:szCs w:val="16"/>
                <w:lang w:val="sr-Latn-RS"/>
              </w:rPr>
            </w:pPr>
            <w:r w:rsidRPr="00322CA7">
              <w:rPr>
                <w:b/>
                <w:bCs/>
                <w:sz w:val="16"/>
                <w:szCs w:val="16"/>
                <w:lang w:val="sr-Latn-RS"/>
              </w:rPr>
              <w:t>95% Lower</w:t>
            </w:r>
          </w:p>
        </w:tc>
        <w:tc>
          <w:tcPr>
            <w:tcW w:w="735" w:type="pct"/>
            <w:tcBorders>
              <w:top w:val="single" w:sz="4" w:space="0" w:color="auto"/>
              <w:bottom w:val="single" w:sz="4" w:space="0" w:color="auto"/>
            </w:tcBorders>
            <w:shd w:val="clear" w:color="auto" w:fill="auto"/>
            <w:vAlign w:val="bottom"/>
          </w:tcPr>
          <w:p w14:paraId="59F15135" w14:textId="34AE53EF" w:rsidR="00322CA7" w:rsidRPr="00322CA7" w:rsidRDefault="00322CA7" w:rsidP="00322CA7">
            <w:pPr>
              <w:spacing w:before="0" w:after="0"/>
              <w:ind w:left="57" w:right="57"/>
              <w:jc w:val="center"/>
              <w:rPr>
                <w:b/>
                <w:bCs/>
                <w:sz w:val="16"/>
                <w:szCs w:val="16"/>
                <w:lang w:val="sr-Latn-RS"/>
              </w:rPr>
            </w:pPr>
            <w:r w:rsidRPr="00322CA7">
              <w:rPr>
                <w:b/>
                <w:bCs/>
                <w:sz w:val="16"/>
                <w:szCs w:val="16"/>
                <w:lang w:val="sr-Latn-RS"/>
              </w:rPr>
              <w:t>95% Upper</w:t>
            </w:r>
          </w:p>
        </w:tc>
      </w:tr>
      <w:tr w:rsidR="002B2042" w:rsidRPr="00DC2956" w14:paraId="5ADA01EB" w14:textId="77777777" w:rsidTr="00AF5396">
        <w:trPr>
          <w:cantSplit/>
        </w:trPr>
        <w:tc>
          <w:tcPr>
            <w:tcW w:w="356" w:type="pct"/>
            <w:vMerge w:val="restart"/>
            <w:tcBorders>
              <w:top w:val="single" w:sz="4" w:space="0" w:color="auto"/>
            </w:tcBorders>
            <w:shd w:val="clear" w:color="auto" w:fill="auto"/>
          </w:tcPr>
          <w:p w14:paraId="40AF03BE" w14:textId="77777777" w:rsidR="002B2042" w:rsidRPr="00DC2956" w:rsidRDefault="002B2042" w:rsidP="002B2042">
            <w:pPr>
              <w:spacing w:before="0" w:after="0"/>
              <w:ind w:left="57" w:right="57"/>
              <w:rPr>
                <w:sz w:val="16"/>
                <w:szCs w:val="16"/>
                <w:lang w:val="sr-Latn-RS"/>
              </w:rPr>
            </w:pPr>
            <w:r w:rsidRPr="00DC2956">
              <w:rPr>
                <w:sz w:val="16"/>
                <w:szCs w:val="16"/>
                <w:lang w:val="sr-Latn-RS"/>
              </w:rPr>
              <w:t>Step 1</w:t>
            </w:r>
            <w:r w:rsidRPr="00DC2956">
              <w:rPr>
                <w:sz w:val="16"/>
                <w:szCs w:val="16"/>
                <w:vertAlign w:val="superscript"/>
                <w:lang w:val="sr-Latn-RS"/>
              </w:rPr>
              <w:t>a</w:t>
            </w:r>
          </w:p>
        </w:tc>
        <w:tc>
          <w:tcPr>
            <w:tcW w:w="552" w:type="pct"/>
            <w:tcBorders>
              <w:top w:val="single" w:sz="4" w:space="0" w:color="auto"/>
            </w:tcBorders>
            <w:shd w:val="clear" w:color="auto" w:fill="auto"/>
          </w:tcPr>
          <w:p w14:paraId="152F57CF" w14:textId="77777777" w:rsidR="002B2042" w:rsidRPr="00DC2956" w:rsidRDefault="002B2042" w:rsidP="002B2042">
            <w:pPr>
              <w:spacing w:before="0" w:after="0"/>
              <w:ind w:left="57" w:right="57"/>
              <w:rPr>
                <w:sz w:val="16"/>
                <w:szCs w:val="16"/>
                <w:lang w:val="sr-Latn-RS"/>
              </w:rPr>
            </w:pPr>
            <w:r w:rsidRPr="00DC2956">
              <w:rPr>
                <w:sz w:val="16"/>
                <w:szCs w:val="16"/>
                <w:lang w:val="sr-Latn-RS"/>
              </w:rPr>
              <w:t>T2</w:t>
            </w:r>
          </w:p>
        </w:tc>
        <w:tc>
          <w:tcPr>
            <w:tcW w:w="444" w:type="pct"/>
            <w:tcBorders>
              <w:top w:val="single" w:sz="4" w:space="0" w:color="auto"/>
            </w:tcBorders>
            <w:shd w:val="clear" w:color="auto" w:fill="auto"/>
          </w:tcPr>
          <w:p w14:paraId="54485420" w14:textId="2DE6765A"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453</w:t>
            </w:r>
          </w:p>
        </w:tc>
        <w:tc>
          <w:tcPr>
            <w:tcW w:w="444" w:type="pct"/>
            <w:tcBorders>
              <w:top w:val="single" w:sz="4" w:space="0" w:color="auto"/>
            </w:tcBorders>
            <w:shd w:val="clear" w:color="auto" w:fill="auto"/>
          </w:tcPr>
          <w:p w14:paraId="75D024BE" w14:textId="48485B65"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203</w:t>
            </w:r>
          </w:p>
        </w:tc>
        <w:tc>
          <w:tcPr>
            <w:tcW w:w="444" w:type="pct"/>
            <w:tcBorders>
              <w:top w:val="single" w:sz="4" w:space="0" w:color="auto"/>
            </w:tcBorders>
            <w:shd w:val="clear" w:color="auto" w:fill="auto"/>
          </w:tcPr>
          <w:p w14:paraId="4D1E740D" w14:textId="512BB7D4" w:rsidR="002B2042" w:rsidRPr="002B2042" w:rsidRDefault="002B2042" w:rsidP="002B2042">
            <w:pPr>
              <w:spacing w:before="0" w:after="0"/>
              <w:ind w:left="57" w:right="57"/>
              <w:jc w:val="right"/>
              <w:rPr>
                <w:sz w:val="16"/>
                <w:szCs w:val="16"/>
                <w:lang w:val="sr-Latn-RS"/>
              </w:rPr>
            </w:pPr>
            <w:r w:rsidRPr="002B2042">
              <w:rPr>
                <w:sz w:val="16"/>
                <w:szCs w:val="16"/>
              </w:rPr>
              <w:t>4</w:t>
            </w:r>
            <w:r w:rsidR="00C937BD">
              <w:rPr>
                <w:sz w:val="16"/>
                <w:szCs w:val="16"/>
              </w:rPr>
              <w:t>.</w:t>
            </w:r>
            <w:r w:rsidRPr="002B2042">
              <w:rPr>
                <w:sz w:val="16"/>
                <w:szCs w:val="16"/>
              </w:rPr>
              <w:t>961</w:t>
            </w:r>
          </w:p>
        </w:tc>
        <w:tc>
          <w:tcPr>
            <w:tcW w:w="444" w:type="pct"/>
            <w:tcBorders>
              <w:top w:val="single" w:sz="4" w:space="0" w:color="auto"/>
            </w:tcBorders>
            <w:shd w:val="clear" w:color="auto" w:fill="auto"/>
          </w:tcPr>
          <w:p w14:paraId="2456E746" w14:textId="67570895" w:rsidR="002B2042" w:rsidRPr="002B2042" w:rsidRDefault="002B2042" w:rsidP="002B2042">
            <w:pPr>
              <w:spacing w:before="0" w:after="0"/>
              <w:ind w:left="57" w:right="57"/>
              <w:jc w:val="right"/>
              <w:rPr>
                <w:sz w:val="16"/>
                <w:szCs w:val="16"/>
                <w:lang w:val="sr-Latn-RS"/>
              </w:rPr>
            </w:pPr>
            <w:r w:rsidRPr="002B2042">
              <w:rPr>
                <w:sz w:val="16"/>
                <w:szCs w:val="16"/>
              </w:rPr>
              <w:t>1</w:t>
            </w:r>
          </w:p>
        </w:tc>
        <w:tc>
          <w:tcPr>
            <w:tcW w:w="444" w:type="pct"/>
            <w:tcBorders>
              <w:top w:val="single" w:sz="4" w:space="0" w:color="auto"/>
            </w:tcBorders>
            <w:shd w:val="clear" w:color="auto" w:fill="auto"/>
          </w:tcPr>
          <w:p w14:paraId="34F32606" w14:textId="7A109DFD"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026</w:t>
            </w:r>
          </w:p>
        </w:tc>
        <w:tc>
          <w:tcPr>
            <w:tcW w:w="593" w:type="pct"/>
            <w:tcBorders>
              <w:top w:val="single" w:sz="4" w:space="0" w:color="auto"/>
            </w:tcBorders>
            <w:shd w:val="clear" w:color="auto" w:fill="auto"/>
          </w:tcPr>
          <w:p w14:paraId="6F06737E" w14:textId="181C7BC6" w:rsidR="002B2042" w:rsidRPr="002B2042" w:rsidRDefault="002B2042" w:rsidP="002B2042">
            <w:pPr>
              <w:spacing w:before="0" w:after="0"/>
              <w:ind w:left="57" w:right="57"/>
              <w:jc w:val="right"/>
              <w:rPr>
                <w:sz w:val="16"/>
                <w:szCs w:val="16"/>
                <w:lang w:val="sr-Latn-RS"/>
              </w:rPr>
            </w:pPr>
            <w:r w:rsidRPr="002B2042">
              <w:rPr>
                <w:sz w:val="16"/>
                <w:szCs w:val="16"/>
              </w:rPr>
              <w:t>1</w:t>
            </w:r>
            <w:r w:rsidR="00C937BD">
              <w:rPr>
                <w:sz w:val="16"/>
                <w:szCs w:val="16"/>
              </w:rPr>
              <w:t>.</w:t>
            </w:r>
            <w:r w:rsidRPr="002B2042">
              <w:rPr>
                <w:sz w:val="16"/>
                <w:szCs w:val="16"/>
              </w:rPr>
              <w:t>573</w:t>
            </w:r>
          </w:p>
        </w:tc>
        <w:tc>
          <w:tcPr>
            <w:tcW w:w="544" w:type="pct"/>
            <w:tcBorders>
              <w:top w:val="single" w:sz="4" w:space="0" w:color="auto"/>
            </w:tcBorders>
            <w:shd w:val="clear" w:color="auto" w:fill="auto"/>
          </w:tcPr>
          <w:p w14:paraId="65899545" w14:textId="00B79B93" w:rsidR="002B2042" w:rsidRPr="002B2042" w:rsidRDefault="002B2042" w:rsidP="002B2042">
            <w:pPr>
              <w:spacing w:before="0" w:after="0"/>
              <w:ind w:left="57" w:right="57"/>
              <w:jc w:val="right"/>
              <w:rPr>
                <w:sz w:val="16"/>
                <w:szCs w:val="16"/>
                <w:lang w:val="sr-Latn-RS"/>
              </w:rPr>
            </w:pPr>
            <w:r w:rsidRPr="002B2042">
              <w:rPr>
                <w:sz w:val="16"/>
                <w:szCs w:val="16"/>
              </w:rPr>
              <w:t>1</w:t>
            </w:r>
            <w:r w:rsidR="00C937BD">
              <w:rPr>
                <w:sz w:val="16"/>
                <w:szCs w:val="16"/>
              </w:rPr>
              <w:t>.</w:t>
            </w:r>
            <w:r w:rsidRPr="002B2042">
              <w:rPr>
                <w:sz w:val="16"/>
                <w:szCs w:val="16"/>
              </w:rPr>
              <w:t>056</w:t>
            </w:r>
          </w:p>
        </w:tc>
        <w:tc>
          <w:tcPr>
            <w:tcW w:w="735" w:type="pct"/>
            <w:tcBorders>
              <w:top w:val="single" w:sz="4" w:space="0" w:color="auto"/>
            </w:tcBorders>
            <w:shd w:val="clear" w:color="auto" w:fill="auto"/>
          </w:tcPr>
          <w:p w14:paraId="6A305281" w14:textId="6019D8C1" w:rsidR="002B2042" w:rsidRPr="002B2042" w:rsidRDefault="002B2042" w:rsidP="002B2042">
            <w:pPr>
              <w:spacing w:before="0" w:after="0"/>
              <w:ind w:left="57" w:right="57"/>
              <w:jc w:val="right"/>
              <w:rPr>
                <w:sz w:val="16"/>
                <w:szCs w:val="16"/>
                <w:lang w:val="sr-Latn-RS"/>
              </w:rPr>
            </w:pPr>
            <w:r w:rsidRPr="002B2042">
              <w:rPr>
                <w:sz w:val="16"/>
                <w:szCs w:val="16"/>
              </w:rPr>
              <w:t>2</w:t>
            </w:r>
            <w:r w:rsidR="00C937BD">
              <w:rPr>
                <w:sz w:val="16"/>
                <w:szCs w:val="16"/>
              </w:rPr>
              <w:t>.</w:t>
            </w:r>
            <w:r w:rsidRPr="002B2042">
              <w:rPr>
                <w:sz w:val="16"/>
                <w:szCs w:val="16"/>
              </w:rPr>
              <w:t>343</w:t>
            </w:r>
          </w:p>
        </w:tc>
      </w:tr>
      <w:tr w:rsidR="002B2042" w:rsidRPr="00DC2956" w14:paraId="3AE8F65F" w14:textId="77777777" w:rsidTr="00AF5396">
        <w:trPr>
          <w:cantSplit/>
        </w:trPr>
        <w:tc>
          <w:tcPr>
            <w:tcW w:w="356" w:type="pct"/>
            <w:vMerge/>
            <w:shd w:val="clear" w:color="auto" w:fill="auto"/>
          </w:tcPr>
          <w:p w14:paraId="78887327" w14:textId="77777777" w:rsidR="002B2042" w:rsidRPr="00DC2956" w:rsidRDefault="002B2042" w:rsidP="002B2042">
            <w:pPr>
              <w:spacing w:before="0" w:after="0"/>
              <w:ind w:left="57" w:right="57"/>
              <w:rPr>
                <w:sz w:val="16"/>
                <w:szCs w:val="16"/>
                <w:lang w:val="sr-Latn-RS"/>
              </w:rPr>
            </w:pPr>
          </w:p>
        </w:tc>
        <w:tc>
          <w:tcPr>
            <w:tcW w:w="552" w:type="pct"/>
            <w:shd w:val="clear" w:color="auto" w:fill="auto"/>
          </w:tcPr>
          <w:p w14:paraId="25B696C1" w14:textId="77777777" w:rsidR="002B2042" w:rsidRPr="00DC2956" w:rsidRDefault="002B2042" w:rsidP="002B2042">
            <w:pPr>
              <w:spacing w:before="0" w:after="0"/>
              <w:ind w:left="57" w:right="57"/>
              <w:rPr>
                <w:sz w:val="16"/>
                <w:szCs w:val="16"/>
                <w:lang w:val="sr-Latn-RS"/>
              </w:rPr>
            </w:pPr>
            <w:r w:rsidRPr="00DC2956">
              <w:rPr>
                <w:sz w:val="16"/>
                <w:szCs w:val="16"/>
                <w:lang w:val="sr-Latn-RS"/>
              </w:rPr>
              <w:t>T3</w:t>
            </w:r>
          </w:p>
        </w:tc>
        <w:tc>
          <w:tcPr>
            <w:tcW w:w="444" w:type="pct"/>
            <w:shd w:val="clear" w:color="auto" w:fill="auto"/>
          </w:tcPr>
          <w:p w14:paraId="68C2400E" w14:textId="7D5735F4"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404</w:t>
            </w:r>
          </w:p>
        </w:tc>
        <w:tc>
          <w:tcPr>
            <w:tcW w:w="444" w:type="pct"/>
            <w:shd w:val="clear" w:color="auto" w:fill="auto"/>
          </w:tcPr>
          <w:p w14:paraId="7F204009" w14:textId="2DCA6318"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350</w:t>
            </w:r>
          </w:p>
        </w:tc>
        <w:tc>
          <w:tcPr>
            <w:tcW w:w="444" w:type="pct"/>
            <w:shd w:val="clear" w:color="auto" w:fill="auto"/>
          </w:tcPr>
          <w:p w14:paraId="13458924" w14:textId="7DF0EBD6" w:rsidR="002B2042" w:rsidRPr="002B2042" w:rsidRDefault="002B2042" w:rsidP="002B2042">
            <w:pPr>
              <w:spacing w:before="0" w:after="0"/>
              <w:ind w:left="57" w:right="57"/>
              <w:jc w:val="right"/>
              <w:rPr>
                <w:sz w:val="16"/>
                <w:szCs w:val="16"/>
                <w:lang w:val="sr-Latn-RS"/>
              </w:rPr>
            </w:pPr>
            <w:r w:rsidRPr="002B2042">
              <w:rPr>
                <w:sz w:val="16"/>
                <w:szCs w:val="16"/>
              </w:rPr>
              <w:t>1</w:t>
            </w:r>
            <w:r w:rsidR="00C937BD">
              <w:rPr>
                <w:sz w:val="16"/>
                <w:szCs w:val="16"/>
              </w:rPr>
              <w:t>.</w:t>
            </w:r>
            <w:r w:rsidRPr="002B2042">
              <w:rPr>
                <w:sz w:val="16"/>
                <w:szCs w:val="16"/>
              </w:rPr>
              <w:t>333</w:t>
            </w:r>
          </w:p>
        </w:tc>
        <w:tc>
          <w:tcPr>
            <w:tcW w:w="444" w:type="pct"/>
            <w:shd w:val="clear" w:color="auto" w:fill="auto"/>
          </w:tcPr>
          <w:p w14:paraId="6DAAE4E5" w14:textId="56D2F2C7" w:rsidR="002B2042" w:rsidRPr="002B2042" w:rsidRDefault="002B2042" w:rsidP="002B2042">
            <w:pPr>
              <w:spacing w:before="0" w:after="0"/>
              <w:ind w:left="57" w:right="57"/>
              <w:jc w:val="right"/>
              <w:rPr>
                <w:sz w:val="16"/>
                <w:szCs w:val="16"/>
                <w:lang w:val="sr-Latn-RS"/>
              </w:rPr>
            </w:pPr>
            <w:r w:rsidRPr="002B2042">
              <w:rPr>
                <w:sz w:val="16"/>
                <w:szCs w:val="16"/>
              </w:rPr>
              <w:t>1</w:t>
            </w:r>
          </w:p>
        </w:tc>
        <w:tc>
          <w:tcPr>
            <w:tcW w:w="444" w:type="pct"/>
            <w:shd w:val="clear" w:color="auto" w:fill="auto"/>
          </w:tcPr>
          <w:p w14:paraId="501C1595" w14:textId="2AF0FC6D"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248</w:t>
            </w:r>
          </w:p>
        </w:tc>
        <w:tc>
          <w:tcPr>
            <w:tcW w:w="593" w:type="pct"/>
            <w:shd w:val="clear" w:color="auto" w:fill="auto"/>
          </w:tcPr>
          <w:p w14:paraId="6074E0A6" w14:textId="36C67241" w:rsidR="002B2042" w:rsidRPr="002B2042" w:rsidRDefault="002B2042" w:rsidP="002B2042">
            <w:pPr>
              <w:spacing w:before="0" w:after="0"/>
              <w:ind w:left="57" w:right="57"/>
              <w:jc w:val="right"/>
              <w:rPr>
                <w:sz w:val="16"/>
                <w:szCs w:val="16"/>
                <w:lang w:val="sr-Latn-RS"/>
              </w:rPr>
            </w:pPr>
            <w:r w:rsidRPr="002B2042">
              <w:rPr>
                <w:sz w:val="16"/>
                <w:szCs w:val="16"/>
              </w:rPr>
              <w:t>1</w:t>
            </w:r>
            <w:r w:rsidR="00C937BD">
              <w:rPr>
                <w:sz w:val="16"/>
                <w:szCs w:val="16"/>
              </w:rPr>
              <w:t>.</w:t>
            </w:r>
            <w:r w:rsidRPr="002B2042">
              <w:rPr>
                <w:sz w:val="16"/>
                <w:szCs w:val="16"/>
              </w:rPr>
              <w:t>498</w:t>
            </w:r>
          </w:p>
        </w:tc>
        <w:tc>
          <w:tcPr>
            <w:tcW w:w="544" w:type="pct"/>
            <w:shd w:val="clear" w:color="auto" w:fill="auto"/>
          </w:tcPr>
          <w:p w14:paraId="7EDB333E" w14:textId="6DFA4799"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754</w:t>
            </w:r>
          </w:p>
        </w:tc>
        <w:tc>
          <w:tcPr>
            <w:tcW w:w="735" w:type="pct"/>
            <w:shd w:val="clear" w:color="auto" w:fill="auto"/>
          </w:tcPr>
          <w:p w14:paraId="3A49C3CA" w14:textId="74295081" w:rsidR="002B2042" w:rsidRPr="002B2042" w:rsidRDefault="002B2042" w:rsidP="002B2042">
            <w:pPr>
              <w:spacing w:before="0" w:after="0"/>
              <w:ind w:left="57" w:right="57"/>
              <w:jc w:val="right"/>
              <w:rPr>
                <w:sz w:val="16"/>
                <w:szCs w:val="16"/>
                <w:lang w:val="sr-Latn-RS"/>
              </w:rPr>
            </w:pPr>
            <w:r w:rsidRPr="002B2042">
              <w:rPr>
                <w:sz w:val="16"/>
                <w:szCs w:val="16"/>
              </w:rPr>
              <w:t>2</w:t>
            </w:r>
            <w:r w:rsidR="00C937BD">
              <w:rPr>
                <w:sz w:val="16"/>
                <w:szCs w:val="16"/>
              </w:rPr>
              <w:t>.</w:t>
            </w:r>
            <w:r w:rsidRPr="002B2042">
              <w:rPr>
                <w:sz w:val="16"/>
                <w:szCs w:val="16"/>
              </w:rPr>
              <w:t>974</w:t>
            </w:r>
          </w:p>
        </w:tc>
      </w:tr>
      <w:tr w:rsidR="002B2042" w:rsidRPr="00DC2956" w14:paraId="1FD733CF" w14:textId="77777777" w:rsidTr="00AF5396">
        <w:trPr>
          <w:cantSplit/>
        </w:trPr>
        <w:tc>
          <w:tcPr>
            <w:tcW w:w="356" w:type="pct"/>
            <w:vMerge/>
            <w:shd w:val="clear" w:color="auto" w:fill="auto"/>
          </w:tcPr>
          <w:p w14:paraId="16407A20" w14:textId="77777777" w:rsidR="002B2042" w:rsidRPr="00DC2956" w:rsidRDefault="002B2042" w:rsidP="002B2042">
            <w:pPr>
              <w:spacing w:before="0" w:after="0"/>
              <w:ind w:left="57" w:right="57"/>
              <w:rPr>
                <w:sz w:val="16"/>
                <w:szCs w:val="16"/>
                <w:lang w:val="sr-Latn-RS"/>
              </w:rPr>
            </w:pPr>
          </w:p>
        </w:tc>
        <w:tc>
          <w:tcPr>
            <w:tcW w:w="552" w:type="pct"/>
            <w:shd w:val="clear" w:color="auto" w:fill="auto"/>
          </w:tcPr>
          <w:p w14:paraId="4299C869" w14:textId="77777777" w:rsidR="002B2042" w:rsidRPr="00DC2956" w:rsidRDefault="002B2042" w:rsidP="002B2042">
            <w:pPr>
              <w:spacing w:before="0" w:after="0"/>
              <w:ind w:left="57" w:right="57"/>
              <w:rPr>
                <w:sz w:val="16"/>
                <w:szCs w:val="16"/>
                <w:lang w:val="sr-Latn-RS"/>
              </w:rPr>
            </w:pPr>
            <w:r w:rsidRPr="00DC2956">
              <w:rPr>
                <w:sz w:val="16"/>
                <w:szCs w:val="16"/>
                <w:lang w:val="sr-Latn-RS"/>
              </w:rPr>
              <w:t>T4</w:t>
            </w:r>
          </w:p>
        </w:tc>
        <w:tc>
          <w:tcPr>
            <w:tcW w:w="444" w:type="pct"/>
            <w:shd w:val="clear" w:color="auto" w:fill="auto"/>
          </w:tcPr>
          <w:p w14:paraId="20AA331F" w14:textId="15BDDAFD"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011</w:t>
            </w:r>
          </w:p>
        </w:tc>
        <w:tc>
          <w:tcPr>
            <w:tcW w:w="444" w:type="pct"/>
            <w:shd w:val="clear" w:color="auto" w:fill="auto"/>
          </w:tcPr>
          <w:p w14:paraId="3C77F0F9" w14:textId="46E72D87"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195</w:t>
            </w:r>
          </w:p>
        </w:tc>
        <w:tc>
          <w:tcPr>
            <w:tcW w:w="444" w:type="pct"/>
            <w:shd w:val="clear" w:color="auto" w:fill="auto"/>
          </w:tcPr>
          <w:p w14:paraId="60644996" w14:textId="1AE71D11"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003</w:t>
            </w:r>
          </w:p>
        </w:tc>
        <w:tc>
          <w:tcPr>
            <w:tcW w:w="444" w:type="pct"/>
            <w:shd w:val="clear" w:color="auto" w:fill="auto"/>
          </w:tcPr>
          <w:p w14:paraId="0267E420" w14:textId="24C6A1FB" w:rsidR="002B2042" w:rsidRPr="002B2042" w:rsidRDefault="002B2042" w:rsidP="002B2042">
            <w:pPr>
              <w:spacing w:before="0" w:after="0"/>
              <w:ind w:left="57" w:right="57"/>
              <w:jc w:val="right"/>
              <w:rPr>
                <w:sz w:val="16"/>
                <w:szCs w:val="16"/>
                <w:lang w:val="sr-Latn-RS"/>
              </w:rPr>
            </w:pPr>
            <w:r w:rsidRPr="002B2042">
              <w:rPr>
                <w:sz w:val="16"/>
                <w:szCs w:val="16"/>
              </w:rPr>
              <w:t>1</w:t>
            </w:r>
          </w:p>
        </w:tc>
        <w:tc>
          <w:tcPr>
            <w:tcW w:w="444" w:type="pct"/>
            <w:shd w:val="clear" w:color="auto" w:fill="auto"/>
          </w:tcPr>
          <w:p w14:paraId="66A750ED" w14:textId="2C7F4E70"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955</w:t>
            </w:r>
          </w:p>
        </w:tc>
        <w:tc>
          <w:tcPr>
            <w:tcW w:w="593" w:type="pct"/>
            <w:shd w:val="clear" w:color="auto" w:fill="auto"/>
          </w:tcPr>
          <w:p w14:paraId="3BD881DF" w14:textId="45DB3F8D" w:rsidR="002B2042" w:rsidRPr="002B2042" w:rsidRDefault="002B2042" w:rsidP="002B2042">
            <w:pPr>
              <w:spacing w:before="0" w:after="0"/>
              <w:ind w:left="57" w:right="57"/>
              <w:jc w:val="right"/>
              <w:rPr>
                <w:sz w:val="16"/>
                <w:szCs w:val="16"/>
                <w:lang w:val="sr-Latn-RS"/>
              </w:rPr>
            </w:pPr>
            <w:r w:rsidRPr="002B2042">
              <w:rPr>
                <w:sz w:val="16"/>
                <w:szCs w:val="16"/>
              </w:rPr>
              <w:t>1</w:t>
            </w:r>
            <w:r w:rsidR="00C937BD">
              <w:rPr>
                <w:sz w:val="16"/>
                <w:szCs w:val="16"/>
              </w:rPr>
              <w:t>.</w:t>
            </w:r>
            <w:r w:rsidRPr="002B2042">
              <w:rPr>
                <w:sz w:val="16"/>
                <w:szCs w:val="16"/>
              </w:rPr>
              <w:t>011</w:t>
            </w:r>
          </w:p>
        </w:tc>
        <w:tc>
          <w:tcPr>
            <w:tcW w:w="544" w:type="pct"/>
            <w:shd w:val="clear" w:color="auto" w:fill="auto"/>
          </w:tcPr>
          <w:p w14:paraId="7BFB1675" w14:textId="76E9449E"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690</w:t>
            </w:r>
          </w:p>
        </w:tc>
        <w:tc>
          <w:tcPr>
            <w:tcW w:w="735" w:type="pct"/>
            <w:shd w:val="clear" w:color="auto" w:fill="auto"/>
          </w:tcPr>
          <w:p w14:paraId="6A998D86" w14:textId="16F3985E" w:rsidR="002B2042" w:rsidRPr="002B2042" w:rsidRDefault="002B2042" w:rsidP="002B2042">
            <w:pPr>
              <w:spacing w:before="0" w:after="0"/>
              <w:ind w:left="57" w:right="57"/>
              <w:jc w:val="right"/>
              <w:rPr>
                <w:sz w:val="16"/>
                <w:szCs w:val="16"/>
                <w:lang w:val="sr-Latn-RS"/>
              </w:rPr>
            </w:pPr>
            <w:r w:rsidRPr="002B2042">
              <w:rPr>
                <w:sz w:val="16"/>
                <w:szCs w:val="16"/>
              </w:rPr>
              <w:t>1</w:t>
            </w:r>
            <w:r w:rsidR="00C937BD">
              <w:rPr>
                <w:sz w:val="16"/>
                <w:szCs w:val="16"/>
              </w:rPr>
              <w:t>.</w:t>
            </w:r>
            <w:r w:rsidRPr="002B2042">
              <w:rPr>
                <w:sz w:val="16"/>
                <w:szCs w:val="16"/>
              </w:rPr>
              <w:t>480</w:t>
            </w:r>
          </w:p>
        </w:tc>
      </w:tr>
      <w:tr w:rsidR="002B2042" w:rsidRPr="00DC2956" w14:paraId="021F8ACE" w14:textId="77777777" w:rsidTr="00AF5396">
        <w:trPr>
          <w:cantSplit/>
        </w:trPr>
        <w:tc>
          <w:tcPr>
            <w:tcW w:w="356" w:type="pct"/>
            <w:vMerge/>
            <w:shd w:val="clear" w:color="auto" w:fill="auto"/>
          </w:tcPr>
          <w:p w14:paraId="1DEB55C8" w14:textId="77777777" w:rsidR="002B2042" w:rsidRPr="00DC2956" w:rsidRDefault="002B2042" w:rsidP="002B2042">
            <w:pPr>
              <w:spacing w:before="0" w:after="0"/>
              <w:ind w:left="57" w:right="57"/>
              <w:rPr>
                <w:sz w:val="16"/>
                <w:szCs w:val="16"/>
                <w:lang w:val="sr-Latn-RS"/>
              </w:rPr>
            </w:pPr>
          </w:p>
        </w:tc>
        <w:tc>
          <w:tcPr>
            <w:tcW w:w="552" w:type="pct"/>
            <w:shd w:val="clear" w:color="auto" w:fill="auto"/>
          </w:tcPr>
          <w:p w14:paraId="68469B5E" w14:textId="77777777" w:rsidR="002B2042" w:rsidRPr="00DC2956" w:rsidRDefault="002B2042" w:rsidP="002B2042">
            <w:pPr>
              <w:spacing w:before="0" w:after="0"/>
              <w:ind w:left="57" w:right="57"/>
              <w:rPr>
                <w:sz w:val="16"/>
                <w:szCs w:val="16"/>
                <w:lang w:val="sr-Latn-RS"/>
              </w:rPr>
            </w:pPr>
            <w:r w:rsidRPr="00DC2956">
              <w:rPr>
                <w:sz w:val="16"/>
                <w:szCs w:val="16"/>
                <w:lang w:val="sr-Latn-RS"/>
              </w:rPr>
              <w:t>Load_kg_n</w:t>
            </w:r>
          </w:p>
        </w:tc>
        <w:tc>
          <w:tcPr>
            <w:tcW w:w="444" w:type="pct"/>
            <w:shd w:val="clear" w:color="auto" w:fill="auto"/>
          </w:tcPr>
          <w:p w14:paraId="77C34A73" w14:textId="2F86CD70" w:rsidR="002B2042" w:rsidRPr="002B2042" w:rsidRDefault="002B2042" w:rsidP="002B2042">
            <w:pPr>
              <w:spacing w:before="0" w:after="0"/>
              <w:ind w:left="57" w:right="57"/>
              <w:jc w:val="right"/>
              <w:rPr>
                <w:sz w:val="16"/>
                <w:szCs w:val="16"/>
                <w:lang w:val="sr-Latn-RS"/>
              </w:rPr>
            </w:pPr>
            <w:r w:rsidRPr="002B2042">
              <w:rPr>
                <w:sz w:val="16"/>
                <w:szCs w:val="16"/>
              </w:rPr>
              <w:t>-</w:t>
            </w:r>
            <w:r w:rsidR="00C937BD">
              <w:rPr>
                <w:sz w:val="16"/>
                <w:szCs w:val="16"/>
              </w:rPr>
              <w:t>0.</w:t>
            </w:r>
            <w:r w:rsidRPr="002B2042">
              <w:rPr>
                <w:sz w:val="16"/>
                <w:szCs w:val="16"/>
              </w:rPr>
              <w:t>656</w:t>
            </w:r>
          </w:p>
        </w:tc>
        <w:tc>
          <w:tcPr>
            <w:tcW w:w="444" w:type="pct"/>
            <w:shd w:val="clear" w:color="auto" w:fill="auto"/>
          </w:tcPr>
          <w:p w14:paraId="1A0C0DCC" w14:textId="7AD134E5"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217</w:t>
            </w:r>
          </w:p>
        </w:tc>
        <w:tc>
          <w:tcPr>
            <w:tcW w:w="444" w:type="pct"/>
            <w:shd w:val="clear" w:color="auto" w:fill="auto"/>
          </w:tcPr>
          <w:p w14:paraId="5B7A13DD" w14:textId="46085E54" w:rsidR="002B2042" w:rsidRPr="002B2042" w:rsidRDefault="002B2042" w:rsidP="002B2042">
            <w:pPr>
              <w:spacing w:before="0" w:after="0"/>
              <w:ind w:left="57" w:right="57"/>
              <w:jc w:val="right"/>
              <w:rPr>
                <w:sz w:val="16"/>
                <w:szCs w:val="16"/>
                <w:lang w:val="sr-Latn-RS"/>
              </w:rPr>
            </w:pPr>
            <w:r w:rsidRPr="002B2042">
              <w:rPr>
                <w:sz w:val="16"/>
                <w:szCs w:val="16"/>
              </w:rPr>
              <w:t>9</w:t>
            </w:r>
            <w:r w:rsidR="00C937BD">
              <w:rPr>
                <w:sz w:val="16"/>
                <w:szCs w:val="16"/>
              </w:rPr>
              <w:t>.</w:t>
            </w:r>
            <w:r w:rsidRPr="002B2042">
              <w:rPr>
                <w:sz w:val="16"/>
                <w:szCs w:val="16"/>
              </w:rPr>
              <w:t>128</w:t>
            </w:r>
          </w:p>
        </w:tc>
        <w:tc>
          <w:tcPr>
            <w:tcW w:w="444" w:type="pct"/>
            <w:shd w:val="clear" w:color="auto" w:fill="auto"/>
          </w:tcPr>
          <w:p w14:paraId="7558ED6F" w14:textId="62D1B316" w:rsidR="002B2042" w:rsidRPr="002B2042" w:rsidRDefault="002B2042" w:rsidP="002B2042">
            <w:pPr>
              <w:spacing w:before="0" w:after="0"/>
              <w:ind w:left="57" w:right="57"/>
              <w:jc w:val="right"/>
              <w:rPr>
                <w:sz w:val="16"/>
                <w:szCs w:val="16"/>
                <w:lang w:val="sr-Latn-RS"/>
              </w:rPr>
            </w:pPr>
            <w:r w:rsidRPr="002B2042">
              <w:rPr>
                <w:sz w:val="16"/>
                <w:szCs w:val="16"/>
              </w:rPr>
              <w:t>1</w:t>
            </w:r>
          </w:p>
        </w:tc>
        <w:tc>
          <w:tcPr>
            <w:tcW w:w="444" w:type="pct"/>
            <w:shd w:val="clear" w:color="auto" w:fill="auto"/>
          </w:tcPr>
          <w:p w14:paraId="6F99A798" w14:textId="340B31B9"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003</w:t>
            </w:r>
          </w:p>
        </w:tc>
        <w:tc>
          <w:tcPr>
            <w:tcW w:w="593" w:type="pct"/>
            <w:shd w:val="clear" w:color="auto" w:fill="auto"/>
          </w:tcPr>
          <w:p w14:paraId="74BF5E30" w14:textId="6A89DC2F"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519</w:t>
            </w:r>
          </w:p>
        </w:tc>
        <w:tc>
          <w:tcPr>
            <w:tcW w:w="544" w:type="pct"/>
            <w:shd w:val="clear" w:color="auto" w:fill="auto"/>
          </w:tcPr>
          <w:p w14:paraId="6C8D4DE6" w14:textId="32EADB3B"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339</w:t>
            </w:r>
          </w:p>
        </w:tc>
        <w:tc>
          <w:tcPr>
            <w:tcW w:w="735" w:type="pct"/>
            <w:shd w:val="clear" w:color="auto" w:fill="auto"/>
          </w:tcPr>
          <w:p w14:paraId="03F25124" w14:textId="3599AF7F"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794</w:t>
            </w:r>
          </w:p>
        </w:tc>
      </w:tr>
      <w:tr w:rsidR="002B2042" w:rsidRPr="00DC2956" w14:paraId="3955FAE3" w14:textId="77777777" w:rsidTr="00AF5396">
        <w:trPr>
          <w:cantSplit/>
        </w:trPr>
        <w:tc>
          <w:tcPr>
            <w:tcW w:w="356" w:type="pct"/>
            <w:vMerge/>
            <w:shd w:val="clear" w:color="auto" w:fill="auto"/>
          </w:tcPr>
          <w:p w14:paraId="0F1CA135" w14:textId="77777777" w:rsidR="002B2042" w:rsidRPr="00DC2956" w:rsidRDefault="002B2042" w:rsidP="002B2042">
            <w:pPr>
              <w:spacing w:before="0" w:after="0"/>
              <w:ind w:left="57" w:right="57"/>
              <w:rPr>
                <w:sz w:val="16"/>
                <w:szCs w:val="16"/>
                <w:lang w:val="sr-Latn-RS"/>
              </w:rPr>
            </w:pPr>
          </w:p>
        </w:tc>
        <w:tc>
          <w:tcPr>
            <w:tcW w:w="552" w:type="pct"/>
            <w:shd w:val="clear" w:color="auto" w:fill="auto"/>
          </w:tcPr>
          <w:p w14:paraId="586133B7" w14:textId="77777777" w:rsidR="002B2042" w:rsidRPr="00DC2956" w:rsidRDefault="002B2042" w:rsidP="002B2042">
            <w:pPr>
              <w:spacing w:before="0" w:after="0"/>
              <w:ind w:left="57" w:right="57"/>
              <w:rPr>
                <w:sz w:val="16"/>
                <w:szCs w:val="16"/>
                <w:lang w:val="sr-Latn-RS"/>
              </w:rPr>
            </w:pPr>
            <w:r w:rsidRPr="00DC2956">
              <w:rPr>
                <w:sz w:val="16"/>
                <w:szCs w:val="16"/>
                <w:lang w:val="sr-Latn-RS"/>
              </w:rPr>
              <w:t>N_Stdev_CS</w:t>
            </w:r>
          </w:p>
        </w:tc>
        <w:tc>
          <w:tcPr>
            <w:tcW w:w="444" w:type="pct"/>
            <w:shd w:val="clear" w:color="auto" w:fill="auto"/>
          </w:tcPr>
          <w:p w14:paraId="2409CC92" w14:textId="35BF02C0" w:rsidR="002B2042" w:rsidRPr="002B2042" w:rsidRDefault="002B2042" w:rsidP="002B2042">
            <w:pPr>
              <w:spacing w:before="0" w:after="0"/>
              <w:ind w:left="57" w:right="57"/>
              <w:jc w:val="right"/>
              <w:rPr>
                <w:sz w:val="16"/>
                <w:szCs w:val="16"/>
                <w:lang w:val="sr-Latn-RS"/>
              </w:rPr>
            </w:pPr>
            <w:r w:rsidRPr="002B2042">
              <w:rPr>
                <w:sz w:val="16"/>
                <w:szCs w:val="16"/>
              </w:rPr>
              <w:t>5</w:t>
            </w:r>
            <w:r w:rsidR="00C937BD">
              <w:rPr>
                <w:sz w:val="16"/>
                <w:szCs w:val="16"/>
              </w:rPr>
              <w:t>.</w:t>
            </w:r>
            <w:r w:rsidRPr="002B2042">
              <w:rPr>
                <w:sz w:val="16"/>
                <w:szCs w:val="16"/>
              </w:rPr>
              <w:t>490</w:t>
            </w:r>
          </w:p>
        </w:tc>
        <w:tc>
          <w:tcPr>
            <w:tcW w:w="444" w:type="pct"/>
            <w:shd w:val="clear" w:color="auto" w:fill="auto"/>
          </w:tcPr>
          <w:p w14:paraId="26F9D5C2" w14:textId="5A6BDD41" w:rsidR="002B2042" w:rsidRPr="002B2042" w:rsidRDefault="002B2042" w:rsidP="002B2042">
            <w:pPr>
              <w:spacing w:before="0" w:after="0"/>
              <w:ind w:left="57" w:right="57"/>
              <w:jc w:val="right"/>
              <w:rPr>
                <w:sz w:val="16"/>
                <w:szCs w:val="16"/>
                <w:lang w:val="sr-Latn-RS"/>
              </w:rPr>
            </w:pPr>
            <w:r w:rsidRPr="002B2042">
              <w:rPr>
                <w:sz w:val="16"/>
                <w:szCs w:val="16"/>
              </w:rPr>
              <w:t>2</w:t>
            </w:r>
            <w:r w:rsidR="00C937BD">
              <w:rPr>
                <w:sz w:val="16"/>
                <w:szCs w:val="16"/>
              </w:rPr>
              <w:t>.</w:t>
            </w:r>
            <w:r w:rsidRPr="002B2042">
              <w:rPr>
                <w:sz w:val="16"/>
                <w:szCs w:val="16"/>
              </w:rPr>
              <w:t>905</w:t>
            </w:r>
          </w:p>
        </w:tc>
        <w:tc>
          <w:tcPr>
            <w:tcW w:w="444" w:type="pct"/>
            <w:shd w:val="clear" w:color="auto" w:fill="auto"/>
          </w:tcPr>
          <w:p w14:paraId="598A2959" w14:textId="50D0113A" w:rsidR="002B2042" w:rsidRPr="002B2042" w:rsidRDefault="002B2042" w:rsidP="002B2042">
            <w:pPr>
              <w:spacing w:before="0" w:after="0"/>
              <w:ind w:left="57" w:right="57"/>
              <w:jc w:val="right"/>
              <w:rPr>
                <w:sz w:val="16"/>
                <w:szCs w:val="16"/>
                <w:lang w:val="sr-Latn-RS"/>
              </w:rPr>
            </w:pPr>
            <w:r w:rsidRPr="002B2042">
              <w:rPr>
                <w:sz w:val="16"/>
                <w:szCs w:val="16"/>
              </w:rPr>
              <w:t>3</w:t>
            </w:r>
            <w:r w:rsidR="00C937BD">
              <w:rPr>
                <w:sz w:val="16"/>
                <w:szCs w:val="16"/>
              </w:rPr>
              <w:t>.</w:t>
            </w:r>
            <w:r w:rsidRPr="002B2042">
              <w:rPr>
                <w:sz w:val="16"/>
                <w:szCs w:val="16"/>
              </w:rPr>
              <w:t>572</w:t>
            </w:r>
          </w:p>
        </w:tc>
        <w:tc>
          <w:tcPr>
            <w:tcW w:w="444" w:type="pct"/>
            <w:shd w:val="clear" w:color="auto" w:fill="auto"/>
          </w:tcPr>
          <w:p w14:paraId="24612C2D" w14:textId="443DD99B" w:rsidR="002B2042" w:rsidRPr="002B2042" w:rsidRDefault="002B2042" w:rsidP="002B2042">
            <w:pPr>
              <w:spacing w:before="0" w:after="0"/>
              <w:ind w:left="57" w:right="57"/>
              <w:jc w:val="right"/>
              <w:rPr>
                <w:sz w:val="16"/>
                <w:szCs w:val="16"/>
                <w:lang w:val="sr-Latn-RS"/>
              </w:rPr>
            </w:pPr>
            <w:r w:rsidRPr="002B2042">
              <w:rPr>
                <w:sz w:val="16"/>
                <w:szCs w:val="16"/>
              </w:rPr>
              <w:t>1</w:t>
            </w:r>
          </w:p>
        </w:tc>
        <w:tc>
          <w:tcPr>
            <w:tcW w:w="444" w:type="pct"/>
            <w:shd w:val="clear" w:color="auto" w:fill="auto"/>
          </w:tcPr>
          <w:p w14:paraId="3EE882F4" w14:textId="32459FAB"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059</w:t>
            </w:r>
          </w:p>
        </w:tc>
        <w:tc>
          <w:tcPr>
            <w:tcW w:w="593" w:type="pct"/>
            <w:shd w:val="clear" w:color="auto" w:fill="auto"/>
          </w:tcPr>
          <w:p w14:paraId="78F4A4DA" w14:textId="6505CAED" w:rsidR="002B2042" w:rsidRPr="002B2042" w:rsidRDefault="002B2042" w:rsidP="002B2042">
            <w:pPr>
              <w:spacing w:before="0" w:after="0"/>
              <w:ind w:left="57" w:right="57"/>
              <w:jc w:val="right"/>
              <w:rPr>
                <w:sz w:val="16"/>
                <w:szCs w:val="16"/>
                <w:lang w:val="sr-Latn-RS"/>
              </w:rPr>
            </w:pPr>
            <w:r w:rsidRPr="002B2042">
              <w:rPr>
                <w:sz w:val="16"/>
                <w:szCs w:val="16"/>
              </w:rPr>
              <w:t>242</w:t>
            </w:r>
            <w:r w:rsidR="00C937BD">
              <w:rPr>
                <w:sz w:val="16"/>
                <w:szCs w:val="16"/>
              </w:rPr>
              <w:t>.</w:t>
            </w:r>
            <w:r w:rsidRPr="002B2042">
              <w:rPr>
                <w:sz w:val="16"/>
                <w:szCs w:val="16"/>
              </w:rPr>
              <w:t>168</w:t>
            </w:r>
          </w:p>
        </w:tc>
        <w:tc>
          <w:tcPr>
            <w:tcW w:w="544" w:type="pct"/>
            <w:shd w:val="clear" w:color="auto" w:fill="auto"/>
          </w:tcPr>
          <w:p w14:paraId="5C6533B5" w14:textId="13EAD49A"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816</w:t>
            </w:r>
          </w:p>
        </w:tc>
        <w:tc>
          <w:tcPr>
            <w:tcW w:w="735" w:type="pct"/>
            <w:shd w:val="clear" w:color="auto" w:fill="auto"/>
          </w:tcPr>
          <w:p w14:paraId="317D91FA" w14:textId="535F20BF" w:rsidR="002B2042" w:rsidRPr="002B2042" w:rsidRDefault="002B2042" w:rsidP="002B2042">
            <w:pPr>
              <w:spacing w:before="0" w:after="0"/>
              <w:ind w:left="57" w:right="57"/>
              <w:jc w:val="right"/>
              <w:rPr>
                <w:sz w:val="16"/>
                <w:szCs w:val="16"/>
                <w:lang w:val="sr-Latn-RS"/>
              </w:rPr>
            </w:pPr>
            <w:r w:rsidRPr="002B2042">
              <w:rPr>
                <w:sz w:val="16"/>
                <w:szCs w:val="16"/>
              </w:rPr>
              <w:t>71865</w:t>
            </w:r>
            <w:r w:rsidR="00C937BD">
              <w:rPr>
                <w:sz w:val="16"/>
                <w:szCs w:val="16"/>
              </w:rPr>
              <w:t>.</w:t>
            </w:r>
            <w:r w:rsidRPr="002B2042">
              <w:rPr>
                <w:sz w:val="16"/>
                <w:szCs w:val="16"/>
              </w:rPr>
              <w:t>246</w:t>
            </w:r>
          </w:p>
        </w:tc>
      </w:tr>
      <w:tr w:rsidR="002B2042" w:rsidRPr="00DC2956" w14:paraId="76DA8124" w14:textId="77777777" w:rsidTr="00AF5396">
        <w:trPr>
          <w:cantSplit/>
        </w:trPr>
        <w:tc>
          <w:tcPr>
            <w:tcW w:w="356" w:type="pct"/>
            <w:vMerge/>
            <w:shd w:val="clear" w:color="auto" w:fill="auto"/>
          </w:tcPr>
          <w:p w14:paraId="3286B2DA" w14:textId="77777777" w:rsidR="002B2042" w:rsidRPr="00DC2956" w:rsidRDefault="002B2042" w:rsidP="002B2042">
            <w:pPr>
              <w:spacing w:before="0" w:after="0"/>
              <w:ind w:left="57" w:right="57"/>
              <w:rPr>
                <w:sz w:val="16"/>
                <w:szCs w:val="16"/>
                <w:lang w:val="sr-Latn-RS"/>
              </w:rPr>
            </w:pPr>
          </w:p>
        </w:tc>
        <w:tc>
          <w:tcPr>
            <w:tcW w:w="552" w:type="pct"/>
            <w:shd w:val="clear" w:color="auto" w:fill="auto"/>
          </w:tcPr>
          <w:p w14:paraId="74882D9C" w14:textId="77777777" w:rsidR="002B2042" w:rsidRPr="00DC2956" w:rsidRDefault="002B2042" w:rsidP="002B2042">
            <w:pPr>
              <w:spacing w:before="0" w:after="0"/>
              <w:ind w:left="57" w:right="57"/>
              <w:rPr>
                <w:sz w:val="16"/>
                <w:szCs w:val="16"/>
                <w:lang w:val="sr-Latn-RS"/>
              </w:rPr>
            </w:pPr>
            <w:r w:rsidRPr="00DC2956">
              <w:rPr>
                <w:sz w:val="16"/>
                <w:szCs w:val="16"/>
                <w:lang w:val="sr-Latn-RS"/>
              </w:rPr>
              <w:t>N_Mean_CS</w:t>
            </w:r>
          </w:p>
        </w:tc>
        <w:tc>
          <w:tcPr>
            <w:tcW w:w="444" w:type="pct"/>
            <w:shd w:val="clear" w:color="auto" w:fill="auto"/>
          </w:tcPr>
          <w:p w14:paraId="274AA067" w14:textId="61841DFF"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698</w:t>
            </w:r>
          </w:p>
        </w:tc>
        <w:tc>
          <w:tcPr>
            <w:tcW w:w="444" w:type="pct"/>
            <w:shd w:val="clear" w:color="auto" w:fill="auto"/>
          </w:tcPr>
          <w:p w14:paraId="74F84417" w14:textId="30379104" w:rsidR="002B2042" w:rsidRPr="002B2042" w:rsidRDefault="002B2042" w:rsidP="002B2042">
            <w:pPr>
              <w:spacing w:before="0" w:after="0"/>
              <w:ind w:left="57" w:right="57"/>
              <w:jc w:val="right"/>
              <w:rPr>
                <w:sz w:val="16"/>
                <w:szCs w:val="16"/>
                <w:lang w:val="sr-Latn-RS"/>
              </w:rPr>
            </w:pPr>
            <w:r w:rsidRPr="002B2042">
              <w:rPr>
                <w:sz w:val="16"/>
                <w:szCs w:val="16"/>
              </w:rPr>
              <w:t>4</w:t>
            </w:r>
            <w:r w:rsidR="00C937BD">
              <w:rPr>
                <w:sz w:val="16"/>
                <w:szCs w:val="16"/>
              </w:rPr>
              <w:t>.</w:t>
            </w:r>
            <w:r w:rsidRPr="002B2042">
              <w:rPr>
                <w:sz w:val="16"/>
                <w:szCs w:val="16"/>
              </w:rPr>
              <w:t>221</w:t>
            </w:r>
          </w:p>
        </w:tc>
        <w:tc>
          <w:tcPr>
            <w:tcW w:w="444" w:type="pct"/>
            <w:shd w:val="clear" w:color="auto" w:fill="auto"/>
          </w:tcPr>
          <w:p w14:paraId="73591ACB" w14:textId="2F52D3D1"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027</w:t>
            </w:r>
          </w:p>
        </w:tc>
        <w:tc>
          <w:tcPr>
            <w:tcW w:w="444" w:type="pct"/>
            <w:shd w:val="clear" w:color="auto" w:fill="auto"/>
          </w:tcPr>
          <w:p w14:paraId="3C65C213" w14:textId="1DA16245" w:rsidR="002B2042" w:rsidRPr="002B2042" w:rsidRDefault="002B2042" w:rsidP="002B2042">
            <w:pPr>
              <w:spacing w:before="0" w:after="0"/>
              <w:ind w:left="57" w:right="57"/>
              <w:jc w:val="right"/>
              <w:rPr>
                <w:sz w:val="16"/>
                <w:szCs w:val="16"/>
                <w:lang w:val="sr-Latn-RS"/>
              </w:rPr>
            </w:pPr>
            <w:r w:rsidRPr="002B2042">
              <w:rPr>
                <w:sz w:val="16"/>
                <w:szCs w:val="16"/>
              </w:rPr>
              <w:t>1</w:t>
            </w:r>
          </w:p>
        </w:tc>
        <w:tc>
          <w:tcPr>
            <w:tcW w:w="444" w:type="pct"/>
            <w:shd w:val="clear" w:color="auto" w:fill="auto"/>
          </w:tcPr>
          <w:p w14:paraId="26D33523" w14:textId="35B9C19E"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869</w:t>
            </w:r>
          </w:p>
        </w:tc>
        <w:tc>
          <w:tcPr>
            <w:tcW w:w="593" w:type="pct"/>
            <w:shd w:val="clear" w:color="auto" w:fill="auto"/>
          </w:tcPr>
          <w:p w14:paraId="0FAA3837" w14:textId="705C917B" w:rsidR="002B2042" w:rsidRPr="002B2042" w:rsidRDefault="002B2042" w:rsidP="002B2042">
            <w:pPr>
              <w:spacing w:before="0" w:after="0"/>
              <w:ind w:left="57" w:right="57"/>
              <w:jc w:val="right"/>
              <w:rPr>
                <w:sz w:val="16"/>
                <w:szCs w:val="16"/>
                <w:lang w:val="sr-Latn-RS"/>
              </w:rPr>
            </w:pPr>
            <w:r w:rsidRPr="002B2042">
              <w:rPr>
                <w:sz w:val="16"/>
                <w:szCs w:val="16"/>
              </w:rPr>
              <w:t>2</w:t>
            </w:r>
            <w:r w:rsidR="00C937BD">
              <w:rPr>
                <w:sz w:val="16"/>
                <w:szCs w:val="16"/>
              </w:rPr>
              <w:t>.</w:t>
            </w:r>
            <w:r w:rsidRPr="002B2042">
              <w:rPr>
                <w:sz w:val="16"/>
                <w:szCs w:val="16"/>
              </w:rPr>
              <w:t>009</w:t>
            </w:r>
          </w:p>
        </w:tc>
        <w:tc>
          <w:tcPr>
            <w:tcW w:w="544" w:type="pct"/>
            <w:shd w:val="clear" w:color="auto" w:fill="auto"/>
          </w:tcPr>
          <w:p w14:paraId="103B47D0" w14:textId="0CD9A064"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001</w:t>
            </w:r>
          </w:p>
        </w:tc>
        <w:tc>
          <w:tcPr>
            <w:tcW w:w="735" w:type="pct"/>
            <w:shd w:val="clear" w:color="auto" w:fill="auto"/>
          </w:tcPr>
          <w:p w14:paraId="4D3EA205" w14:textId="5F69E9E9" w:rsidR="002B2042" w:rsidRPr="002B2042" w:rsidRDefault="002B2042" w:rsidP="002B2042">
            <w:pPr>
              <w:spacing w:before="0" w:after="0"/>
              <w:ind w:left="57" w:right="57"/>
              <w:jc w:val="right"/>
              <w:rPr>
                <w:sz w:val="16"/>
                <w:szCs w:val="16"/>
                <w:lang w:val="sr-Latn-RS"/>
              </w:rPr>
            </w:pPr>
            <w:r w:rsidRPr="002B2042">
              <w:rPr>
                <w:sz w:val="16"/>
                <w:szCs w:val="16"/>
              </w:rPr>
              <w:t>7865</w:t>
            </w:r>
            <w:r w:rsidR="00C937BD">
              <w:rPr>
                <w:sz w:val="16"/>
                <w:szCs w:val="16"/>
              </w:rPr>
              <w:t>.</w:t>
            </w:r>
            <w:r w:rsidRPr="002B2042">
              <w:rPr>
                <w:sz w:val="16"/>
                <w:szCs w:val="16"/>
              </w:rPr>
              <w:t>099</w:t>
            </w:r>
          </w:p>
        </w:tc>
      </w:tr>
      <w:tr w:rsidR="002B2042" w:rsidRPr="00DC2956" w14:paraId="2ABA48B1" w14:textId="77777777" w:rsidTr="00AF5396">
        <w:trPr>
          <w:cantSplit/>
        </w:trPr>
        <w:tc>
          <w:tcPr>
            <w:tcW w:w="356" w:type="pct"/>
            <w:vMerge/>
            <w:shd w:val="clear" w:color="auto" w:fill="auto"/>
          </w:tcPr>
          <w:p w14:paraId="37992E6D" w14:textId="77777777" w:rsidR="002B2042" w:rsidRPr="00DC2956" w:rsidRDefault="002B2042" w:rsidP="002B2042">
            <w:pPr>
              <w:spacing w:before="0" w:after="0"/>
              <w:ind w:left="57" w:right="57"/>
              <w:rPr>
                <w:sz w:val="16"/>
                <w:szCs w:val="16"/>
                <w:lang w:val="sr-Latn-RS"/>
              </w:rPr>
            </w:pPr>
          </w:p>
        </w:tc>
        <w:tc>
          <w:tcPr>
            <w:tcW w:w="552" w:type="pct"/>
            <w:shd w:val="clear" w:color="auto" w:fill="auto"/>
          </w:tcPr>
          <w:p w14:paraId="0A96D841" w14:textId="77777777" w:rsidR="002B2042" w:rsidRPr="00DC2956" w:rsidRDefault="002B2042" w:rsidP="002B2042">
            <w:pPr>
              <w:spacing w:before="0" w:after="0"/>
              <w:ind w:left="57" w:right="57"/>
              <w:rPr>
                <w:sz w:val="16"/>
                <w:szCs w:val="16"/>
                <w:lang w:val="sr-Latn-RS"/>
              </w:rPr>
            </w:pPr>
            <w:r w:rsidRPr="00DC2956">
              <w:rPr>
                <w:sz w:val="16"/>
                <w:szCs w:val="16"/>
                <w:lang w:val="sr-Latn-RS"/>
              </w:rPr>
              <w:t>N_RMS_CS</w:t>
            </w:r>
          </w:p>
        </w:tc>
        <w:tc>
          <w:tcPr>
            <w:tcW w:w="444" w:type="pct"/>
            <w:shd w:val="clear" w:color="auto" w:fill="auto"/>
          </w:tcPr>
          <w:p w14:paraId="57F2E21F" w14:textId="07454EA0" w:rsidR="002B2042" w:rsidRPr="002B2042" w:rsidRDefault="002B2042" w:rsidP="002B2042">
            <w:pPr>
              <w:spacing w:before="0" w:after="0"/>
              <w:ind w:left="57" w:right="57"/>
              <w:jc w:val="right"/>
              <w:rPr>
                <w:sz w:val="16"/>
                <w:szCs w:val="16"/>
                <w:lang w:val="sr-Latn-RS"/>
              </w:rPr>
            </w:pPr>
            <w:r w:rsidRPr="002B2042">
              <w:rPr>
                <w:sz w:val="16"/>
                <w:szCs w:val="16"/>
              </w:rPr>
              <w:t>-5</w:t>
            </w:r>
            <w:r w:rsidR="00C937BD">
              <w:rPr>
                <w:sz w:val="16"/>
                <w:szCs w:val="16"/>
              </w:rPr>
              <w:t>.</w:t>
            </w:r>
            <w:r w:rsidRPr="002B2042">
              <w:rPr>
                <w:sz w:val="16"/>
                <w:szCs w:val="16"/>
              </w:rPr>
              <w:t>511</w:t>
            </w:r>
          </w:p>
        </w:tc>
        <w:tc>
          <w:tcPr>
            <w:tcW w:w="444" w:type="pct"/>
            <w:shd w:val="clear" w:color="auto" w:fill="auto"/>
          </w:tcPr>
          <w:p w14:paraId="1BD9950F" w14:textId="7A1C8883" w:rsidR="002B2042" w:rsidRPr="002B2042" w:rsidRDefault="002B2042" w:rsidP="002B2042">
            <w:pPr>
              <w:spacing w:before="0" w:after="0"/>
              <w:ind w:left="57" w:right="57"/>
              <w:jc w:val="right"/>
              <w:rPr>
                <w:sz w:val="16"/>
                <w:szCs w:val="16"/>
                <w:lang w:val="sr-Latn-RS"/>
              </w:rPr>
            </w:pPr>
            <w:r w:rsidRPr="002B2042">
              <w:rPr>
                <w:sz w:val="16"/>
                <w:szCs w:val="16"/>
              </w:rPr>
              <w:t>5</w:t>
            </w:r>
            <w:r w:rsidR="00C937BD">
              <w:rPr>
                <w:sz w:val="16"/>
                <w:szCs w:val="16"/>
              </w:rPr>
              <w:t>.</w:t>
            </w:r>
            <w:r w:rsidRPr="002B2042">
              <w:rPr>
                <w:sz w:val="16"/>
                <w:szCs w:val="16"/>
              </w:rPr>
              <w:t>523</w:t>
            </w:r>
          </w:p>
        </w:tc>
        <w:tc>
          <w:tcPr>
            <w:tcW w:w="444" w:type="pct"/>
            <w:shd w:val="clear" w:color="auto" w:fill="auto"/>
          </w:tcPr>
          <w:p w14:paraId="0538131B" w14:textId="1794CD13"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996</w:t>
            </w:r>
          </w:p>
        </w:tc>
        <w:tc>
          <w:tcPr>
            <w:tcW w:w="444" w:type="pct"/>
            <w:shd w:val="clear" w:color="auto" w:fill="auto"/>
          </w:tcPr>
          <w:p w14:paraId="53419E31" w14:textId="3AFC1FFB" w:rsidR="002B2042" w:rsidRPr="002B2042" w:rsidRDefault="002B2042" w:rsidP="002B2042">
            <w:pPr>
              <w:spacing w:before="0" w:after="0"/>
              <w:ind w:left="57" w:right="57"/>
              <w:jc w:val="right"/>
              <w:rPr>
                <w:sz w:val="16"/>
                <w:szCs w:val="16"/>
                <w:lang w:val="sr-Latn-RS"/>
              </w:rPr>
            </w:pPr>
            <w:r w:rsidRPr="002B2042">
              <w:rPr>
                <w:sz w:val="16"/>
                <w:szCs w:val="16"/>
              </w:rPr>
              <w:t>1</w:t>
            </w:r>
          </w:p>
        </w:tc>
        <w:tc>
          <w:tcPr>
            <w:tcW w:w="444" w:type="pct"/>
            <w:shd w:val="clear" w:color="auto" w:fill="auto"/>
          </w:tcPr>
          <w:p w14:paraId="175E9E29" w14:textId="1E54C943"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318</w:t>
            </w:r>
          </w:p>
        </w:tc>
        <w:tc>
          <w:tcPr>
            <w:tcW w:w="593" w:type="pct"/>
            <w:shd w:val="clear" w:color="auto" w:fill="auto"/>
          </w:tcPr>
          <w:p w14:paraId="23E65500" w14:textId="45D0D8DB"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004</w:t>
            </w:r>
          </w:p>
        </w:tc>
        <w:tc>
          <w:tcPr>
            <w:tcW w:w="544" w:type="pct"/>
            <w:shd w:val="clear" w:color="auto" w:fill="auto"/>
          </w:tcPr>
          <w:p w14:paraId="5657AD20" w14:textId="58C4B17B"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000</w:t>
            </w:r>
          </w:p>
        </w:tc>
        <w:tc>
          <w:tcPr>
            <w:tcW w:w="735" w:type="pct"/>
            <w:shd w:val="clear" w:color="auto" w:fill="auto"/>
          </w:tcPr>
          <w:p w14:paraId="7C999371" w14:textId="1DD681F5" w:rsidR="002B2042" w:rsidRPr="002B2042" w:rsidRDefault="002B2042" w:rsidP="002B2042">
            <w:pPr>
              <w:spacing w:before="0" w:after="0"/>
              <w:ind w:left="57" w:right="57"/>
              <w:jc w:val="right"/>
              <w:rPr>
                <w:sz w:val="16"/>
                <w:szCs w:val="16"/>
                <w:lang w:val="sr-Latn-RS"/>
              </w:rPr>
            </w:pPr>
            <w:r w:rsidRPr="002B2042">
              <w:rPr>
                <w:sz w:val="16"/>
                <w:szCs w:val="16"/>
              </w:rPr>
              <w:t>203</w:t>
            </w:r>
            <w:r w:rsidR="00C937BD">
              <w:rPr>
                <w:sz w:val="16"/>
                <w:szCs w:val="16"/>
              </w:rPr>
              <w:t>.</w:t>
            </w:r>
            <w:r w:rsidRPr="002B2042">
              <w:rPr>
                <w:sz w:val="16"/>
                <w:szCs w:val="16"/>
              </w:rPr>
              <w:t>207</w:t>
            </w:r>
          </w:p>
        </w:tc>
      </w:tr>
      <w:tr w:rsidR="002B2042" w:rsidRPr="00DC2956" w14:paraId="605D0155" w14:textId="77777777" w:rsidTr="00AF5396">
        <w:trPr>
          <w:cantSplit/>
        </w:trPr>
        <w:tc>
          <w:tcPr>
            <w:tcW w:w="356" w:type="pct"/>
            <w:vMerge/>
            <w:shd w:val="clear" w:color="auto" w:fill="auto"/>
          </w:tcPr>
          <w:p w14:paraId="478384D8" w14:textId="77777777" w:rsidR="002B2042" w:rsidRPr="00DC2956" w:rsidRDefault="002B2042" w:rsidP="002B2042">
            <w:pPr>
              <w:spacing w:before="0" w:after="0"/>
              <w:ind w:left="57" w:right="57"/>
              <w:rPr>
                <w:sz w:val="16"/>
                <w:szCs w:val="16"/>
                <w:lang w:val="sr-Latn-RS"/>
              </w:rPr>
            </w:pPr>
          </w:p>
        </w:tc>
        <w:tc>
          <w:tcPr>
            <w:tcW w:w="552" w:type="pct"/>
            <w:shd w:val="clear" w:color="auto" w:fill="auto"/>
          </w:tcPr>
          <w:p w14:paraId="1B8C2471" w14:textId="77777777" w:rsidR="002B2042" w:rsidRPr="00DC2956" w:rsidRDefault="002B2042" w:rsidP="002B2042">
            <w:pPr>
              <w:spacing w:before="0" w:after="0"/>
              <w:ind w:left="57" w:right="57"/>
              <w:rPr>
                <w:sz w:val="16"/>
                <w:szCs w:val="16"/>
                <w:lang w:val="sr-Latn-RS"/>
              </w:rPr>
            </w:pPr>
            <w:r w:rsidRPr="00DC2956">
              <w:rPr>
                <w:sz w:val="16"/>
                <w:szCs w:val="16"/>
                <w:lang w:val="sr-Latn-RS"/>
              </w:rPr>
              <w:t>N_1Q_CS</w:t>
            </w:r>
          </w:p>
        </w:tc>
        <w:tc>
          <w:tcPr>
            <w:tcW w:w="444" w:type="pct"/>
            <w:shd w:val="clear" w:color="auto" w:fill="auto"/>
          </w:tcPr>
          <w:p w14:paraId="6A5ED1F3" w14:textId="5F230110" w:rsidR="002B2042" w:rsidRPr="002B2042" w:rsidRDefault="002B2042" w:rsidP="002B2042">
            <w:pPr>
              <w:spacing w:before="0" w:after="0"/>
              <w:ind w:left="57" w:right="57"/>
              <w:jc w:val="right"/>
              <w:rPr>
                <w:sz w:val="16"/>
                <w:szCs w:val="16"/>
                <w:lang w:val="sr-Latn-RS"/>
              </w:rPr>
            </w:pPr>
            <w:r w:rsidRPr="002B2042">
              <w:rPr>
                <w:sz w:val="16"/>
                <w:szCs w:val="16"/>
              </w:rPr>
              <w:t>-1</w:t>
            </w:r>
            <w:r w:rsidR="00C937BD">
              <w:rPr>
                <w:sz w:val="16"/>
                <w:szCs w:val="16"/>
              </w:rPr>
              <w:t>.</w:t>
            </w:r>
            <w:r w:rsidRPr="002B2042">
              <w:rPr>
                <w:sz w:val="16"/>
                <w:szCs w:val="16"/>
              </w:rPr>
              <w:t>908</w:t>
            </w:r>
          </w:p>
        </w:tc>
        <w:tc>
          <w:tcPr>
            <w:tcW w:w="444" w:type="pct"/>
            <w:shd w:val="clear" w:color="auto" w:fill="auto"/>
          </w:tcPr>
          <w:p w14:paraId="52A93B61" w14:textId="01362B50" w:rsidR="002B2042" w:rsidRPr="002B2042" w:rsidRDefault="002B2042" w:rsidP="002B2042">
            <w:pPr>
              <w:spacing w:before="0" w:after="0"/>
              <w:ind w:left="57" w:right="57"/>
              <w:jc w:val="right"/>
              <w:rPr>
                <w:sz w:val="16"/>
                <w:szCs w:val="16"/>
                <w:lang w:val="sr-Latn-RS"/>
              </w:rPr>
            </w:pPr>
            <w:r w:rsidRPr="002B2042">
              <w:rPr>
                <w:sz w:val="16"/>
                <w:szCs w:val="16"/>
              </w:rPr>
              <w:t>1</w:t>
            </w:r>
            <w:r w:rsidR="00C937BD">
              <w:rPr>
                <w:sz w:val="16"/>
                <w:szCs w:val="16"/>
              </w:rPr>
              <w:t>.</w:t>
            </w:r>
            <w:r w:rsidRPr="002B2042">
              <w:rPr>
                <w:sz w:val="16"/>
                <w:szCs w:val="16"/>
              </w:rPr>
              <w:t>330</w:t>
            </w:r>
          </w:p>
        </w:tc>
        <w:tc>
          <w:tcPr>
            <w:tcW w:w="444" w:type="pct"/>
            <w:shd w:val="clear" w:color="auto" w:fill="auto"/>
          </w:tcPr>
          <w:p w14:paraId="4157EBDA" w14:textId="2149EC49" w:rsidR="002B2042" w:rsidRPr="002B2042" w:rsidRDefault="002B2042" w:rsidP="002B2042">
            <w:pPr>
              <w:spacing w:before="0" w:after="0"/>
              <w:ind w:left="57" w:right="57"/>
              <w:jc w:val="right"/>
              <w:rPr>
                <w:sz w:val="16"/>
                <w:szCs w:val="16"/>
                <w:lang w:val="sr-Latn-RS"/>
              </w:rPr>
            </w:pPr>
            <w:r w:rsidRPr="002B2042">
              <w:rPr>
                <w:sz w:val="16"/>
                <w:szCs w:val="16"/>
              </w:rPr>
              <w:t>2</w:t>
            </w:r>
            <w:r w:rsidR="00C937BD">
              <w:rPr>
                <w:sz w:val="16"/>
                <w:szCs w:val="16"/>
              </w:rPr>
              <w:t>.</w:t>
            </w:r>
            <w:r w:rsidRPr="002B2042">
              <w:rPr>
                <w:sz w:val="16"/>
                <w:szCs w:val="16"/>
              </w:rPr>
              <w:t>058</w:t>
            </w:r>
          </w:p>
        </w:tc>
        <w:tc>
          <w:tcPr>
            <w:tcW w:w="444" w:type="pct"/>
            <w:shd w:val="clear" w:color="auto" w:fill="auto"/>
          </w:tcPr>
          <w:p w14:paraId="64FFEE73" w14:textId="7F1C492F" w:rsidR="002B2042" w:rsidRPr="002B2042" w:rsidRDefault="002B2042" w:rsidP="002B2042">
            <w:pPr>
              <w:spacing w:before="0" w:after="0"/>
              <w:ind w:left="57" w:right="57"/>
              <w:jc w:val="right"/>
              <w:rPr>
                <w:sz w:val="16"/>
                <w:szCs w:val="16"/>
                <w:lang w:val="sr-Latn-RS"/>
              </w:rPr>
            </w:pPr>
            <w:r w:rsidRPr="002B2042">
              <w:rPr>
                <w:sz w:val="16"/>
                <w:szCs w:val="16"/>
              </w:rPr>
              <w:t>1</w:t>
            </w:r>
          </w:p>
        </w:tc>
        <w:tc>
          <w:tcPr>
            <w:tcW w:w="444" w:type="pct"/>
            <w:shd w:val="clear" w:color="auto" w:fill="auto"/>
          </w:tcPr>
          <w:p w14:paraId="496B8CF7" w14:textId="21CF0739"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151</w:t>
            </w:r>
          </w:p>
        </w:tc>
        <w:tc>
          <w:tcPr>
            <w:tcW w:w="593" w:type="pct"/>
            <w:shd w:val="clear" w:color="auto" w:fill="auto"/>
          </w:tcPr>
          <w:p w14:paraId="3E0BBBBE" w14:textId="781C24F8"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148</w:t>
            </w:r>
          </w:p>
        </w:tc>
        <w:tc>
          <w:tcPr>
            <w:tcW w:w="544" w:type="pct"/>
            <w:shd w:val="clear" w:color="auto" w:fill="auto"/>
          </w:tcPr>
          <w:p w14:paraId="632E43F5" w14:textId="5CDB0110"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011</w:t>
            </w:r>
          </w:p>
        </w:tc>
        <w:tc>
          <w:tcPr>
            <w:tcW w:w="735" w:type="pct"/>
            <w:shd w:val="clear" w:color="auto" w:fill="auto"/>
          </w:tcPr>
          <w:p w14:paraId="00F20957" w14:textId="61E6856A" w:rsidR="002B2042" w:rsidRPr="002B2042" w:rsidRDefault="002B2042" w:rsidP="002B2042">
            <w:pPr>
              <w:spacing w:before="0" w:after="0"/>
              <w:ind w:left="57" w:right="57"/>
              <w:jc w:val="right"/>
              <w:rPr>
                <w:sz w:val="16"/>
                <w:szCs w:val="16"/>
                <w:lang w:val="sr-Latn-RS"/>
              </w:rPr>
            </w:pPr>
            <w:r w:rsidRPr="002B2042">
              <w:rPr>
                <w:sz w:val="16"/>
                <w:szCs w:val="16"/>
              </w:rPr>
              <w:t>2</w:t>
            </w:r>
            <w:r w:rsidR="00C937BD">
              <w:rPr>
                <w:sz w:val="16"/>
                <w:szCs w:val="16"/>
              </w:rPr>
              <w:t>.</w:t>
            </w:r>
            <w:r w:rsidRPr="002B2042">
              <w:rPr>
                <w:sz w:val="16"/>
                <w:szCs w:val="16"/>
              </w:rPr>
              <w:t>011</w:t>
            </w:r>
          </w:p>
        </w:tc>
      </w:tr>
      <w:tr w:rsidR="002B2042" w:rsidRPr="00DC2956" w14:paraId="186B6743" w14:textId="77777777" w:rsidTr="00AF5396">
        <w:trPr>
          <w:cantSplit/>
        </w:trPr>
        <w:tc>
          <w:tcPr>
            <w:tcW w:w="356" w:type="pct"/>
            <w:vMerge/>
            <w:shd w:val="clear" w:color="auto" w:fill="auto"/>
          </w:tcPr>
          <w:p w14:paraId="6B08F298" w14:textId="77777777" w:rsidR="002B2042" w:rsidRPr="00DC2956" w:rsidRDefault="002B2042" w:rsidP="002B2042">
            <w:pPr>
              <w:spacing w:before="0" w:after="0"/>
              <w:ind w:left="57" w:right="57"/>
              <w:rPr>
                <w:sz w:val="16"/>
                <w:szCs w:val="16"/>
                <w:lang w:val="sr-Latn-RS"/>
              </w:rPr>
            </w:pPr>
          </w:p>
        </w:tc>
        <w:tc>
          <w:tcPr>
            <w:tcW w:w="552" w:type="pct"/>
            <w:shd w:val="clear" w:color="auto" w:fill="auto"/>
          </w:tcPr>
          <w:p w14:paraId="514F98EB" w14:textId="77777777" w:rsidR="002B2042" w:rsidRPr="00DC2956" w:rsidRDefault="002B2042" w:rsidP="002B2042">
            <w:pPr>
              <w:spacing w:before="0" w:after="0"/>
              <w:ind w:left="57" w:right="57"/>
              <w:rPr>
                <w:sz w:val="16"/>
                <w:szCs w:val="16"/>
                <w:lang w:val="sr-Latn-RS"/>
              </w:rPr>
            </w:pPr>
            <w:r w:rsidRPr="00DC2956">
              <w:rPr>
                <w:sz w:val="16"/>
                <w:szCs w:val="16"/>
                <w:lang w:val="sr-Latn-RS"/>
              </w:rPr>
              <w:t>N_IQR_CS</w:t>
            </w:r>
          </w:p>
        </w:tc>
        <w:tc>
          <w:tcPr>
            <w:tcW w:w="444" w:type="pct"/>
            <w:shd w:val="clear" w:color="auto" w:fill="auto"/>
          </w:tcPr>
          <w:p w14:paraId="75AA5831" w14:textId="0270D7B2" w:rsidR="002B2042" w:rsidRPr="002B2042" w:rsidRDefault="002B2042" w:rsidP="002B2042">
            <w:pPr>
              <w:spacing w:before="0" w:after="0"/>
              <w:ind w:left="57" w:right="57"/>
              <w:jc w:val="right"/>
              <w:rPr>
                <w:sz w:val="16"/>
                <w:szCs w:val="16"/>
                <w:lang w:val="sr-Latn-RS"/>
              </w:rPr>
            </w:pPr>
            <w:r w:rsidRPr="002B2042">
              <w:rPr>
                <w:sz w:val="16"/>
                <w:szCs w:val="16"/>
              </w:rPr>
              <w:t>-2</w:t>
            </w:r>
            <w:r w:rsidR="00C937BD">
              <w:rPr>
                <w:sz w:val="16"/>
                <w:szCs w:val="16"/>
              </w:rPr>
              <w:t>.</w:t>
            </w:r>
            <w:r w:rsidRPr="002B2042">
              <w:rPr>
                <w:sz w:val="16"/>
                <w:szCs w:val="16"/>
              </w:rPr>
              <w:t>629</w:t>
            </w:r>
          </w:p>
        </w:tc>
        <w:tc>
          <w:tcPr>
            <w:tcW w:w="444" w:type="pct"/>
            <w:shd w:val="clear" w:color="auto" w:fill="auto"/>
          </w:tcPr>
          <w:p w14:paraId="2306546D" w14:textId="746994F0" w:rsidR="002B2042" w:rsidRPr="002B2042" w:rsidRDefault="002B2042" w:rsidP="002B2042">
            <w:pPr>
              <w:spacing w:before="0" w:after="0"/>
              <w:ind w:left="57" w:right="57"/>
              <w:jc w:val="right"/>
              <w:rPr>
                <w:sz w:val="16"/>
                <w:szCs w:val="16"/>
                <w:lang w:val="sr-Latn-RS"/>
              </w:rPr>
            </w:pPr>
            <w:r w:rsidRPr="002B2042">
              <w:rPr>
                <w:sz w:val="16"/>
                <w:szCs w:val="16"/>
              </w:rPr>
              <w:t>1</w:t>
            </w:r>
            <w:r w:rsidR="00C937BD">
              <w:rPr>
                <w:sz w:val="16"/>
                <w:szCs w:val="16"/>
              </w:rPr>
              <w:t>.</w:t>
            </w:r>
            <w:r w:rsidRPr="002B2042">
              <w:rPr>
                <w:sz w:val="16"/>
                <w:szCs w:val="16"/>
              </w:rPr>
              <w:t>024</w:t>
            </w:r>
          </w:p>
        </w:tc>
        <w:tc>
          <w:tcPr>
            <w:tcW w:w="444" w:type="pct"/>
            <w:shd w:val="clear" w:color="auto" w:fill="auto"/>
          </w:tcPr>
          <w:p w14:paraId="44E1A08E" w14:textId="038DF61D" w:rsidR="002B2042" w:rsidRPr="002B2042" w:rsidRDefault="002B2042" w:rsidP="002B2042">
            <w:pPr>
              <w:spacing w:before="0" w:after="0"/>
              <w:ind w:left="57" w:right="57"/>
              <w:jc w:val="right"/>
              <w:rPr>
                <w:sz w:val="16"/>
                <w:szCs w:val="16"/>
                <w:lang w:val="sr-Latn-RS"/>
              </w:rPr>
            </w:pPr>
            <w:r w:rsidRPr="002B2042">
              <w:rPr>
                <w:sz w:val="16"/>
                <w:szCs w:val="16"/>
              </w:rPr>
              <w:t>6</w:t>
            </w:r>
            <w:r w:rsidR="00C937BD">
              <w:rPr>
                <w:sz w:val="16"/>
                <w:szCs w:val="16"/>
              </w:rPr>
              <w:t>.</w:t>
            </w:r>
            <w:r w:rsidRPr="002B2042">
              <w:rPr>
                <w:sz w:val="16"/>
                <w:szCs w:val="16"/>
              </w:rPr>
              <w:t>598</w:t>
            </w:r>
          </w:p>
        </w:tc>
        <w:tc>
          <w:tcPr>
            <w:tcW w:w="444" w:type="pct"/>
            <w:shd w:val="clear" w:color="auto" w:fill="auto"/>
          </w:tcPr>
          <w:p w14:paraId="1ED941F4" w14:textId="6D4A8BF9" w:rsidR="002B2042" w:rsidRPr="002B2042" w:rsidRDefault="002B2042" w:rsidP="002B2042">
            <w:pPr>
              <w:spacing w:before="0" w:after="0"/>
              <w:ind w:left="57" w:right="57"/>
              <w:jc w:val="right"/>
              <w:rPr>
                <w:sz w:val="16"/>
                <w:szCs w:val="16"/>
                <w:lang w:val="sr-Latn-RS"/>
              </w:rPr>
            </w:pPr>
            <w:r w:rsidRPr="002B2042">
              <w:rPr>
                <w:sz w:val="16"/>
                <w:szCs w:val="16"/>
              </w:rPr>
              <w:t>1</w:t>
            </w:r>
          </w:p>
        </w:tc>
        <w:tc>
          <w:tcPr>
            <w:tcW w:w="444" w:type="pct"/>
            <w:shd w:val="clear" w:color="auto" w:fill="auto"/>
          </w:tcPr>
          <w:p w14:paraId="0FC3E35E" w14:textId="0A48B186"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010</w:t>
            </w:r>
          </w:p>
        </w:tc>
        <w:tc>
          <w:tcPr>
            <w:tcW w:w="593" w:type="pct"/>
            <w:shd w:val="clear" w:color="auto" w:fill="auto"/>
          </w:tcPr>
          <w:p w14:paraId="68F649B0" w14:textId="6AC32F02"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072</w:t>
            </w:r>
          </w:p>
        </w:tc>
        <w:tc>
          <w:tcPr>
            <w:tcW w:w="544" w:type="pct"/>
            <w:shd w:val="clear" w:color="auto" w:fill="auto"/>
          </w:tcPr>
          <w:p w14:paraId="4B75DC26" w14:textId="0EA7F7D3"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010</w:t>
            </w:r>
          </w:p>
        </w:tc>
        <w:tc>
          <w:tcPr>
            <w:tcW w:w="735" w:type="pct"/>
            <w:shd w:val="clear" w:color="auto" w:fill="auto"/>
          </w:tcPr>
          <w:p w14:paraId="038B7746" w14:textId="63EE58CD"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536</w:t>
            </w:r>
          </w:p>
        </w:tc>
      </w:tr>
      <w:tr w:rsidR="002B2042" w:rsidRPr="00DC2956" w14:paraId="48C3D154" w14:textId="77777777" w:rsidTr="00AF5396">
        <w:trPr>
          <w:cantSplit/>
        </w:trPr>
        <w:tc>
          <w:tcPr>
            <w:tcW w:w="356" w:type="pct"/>
            <w:vMerge/>
            <w:shd w:val="clear" w:color="auto" w:fill="auto"/>
          </w:tcPr>
          <w:p w14:paraId="6B653CF8" w14:textId="77777777" w:rsidR="002B2042" w:rsidRPr="00DC2956" w:rsidRDefault="002B2042" w:rsidP="002B2042">
            <w:pPr>
              <w:spacing w:before="0" w:after="0"/>
              <w:ind w:left="57" w:right="57"/>
              <w:rPr>
                <w:sz w:val="16"/>
                <w:szCs w:val="16"/>
                <w:lang w:val="sr-Latn-RS"/>
              </w:rPr>
            </w:pPr>
          </w:p>
        </w:tc>
        <w:tc>
          <w:tcPr>
            <w:tcW w:w="552" w:type="pct"/>
            <w:shd w:val="clear" w:color="auto" w:fill="auto"/>
          </w:tcPr>
          <w:p w14:paraId="25E0E8D0" w14:textId="77777777" w:rsidR="002B2042" w:rsidRPr="00DC2956" w:rsidRDefault="002B2042" w:rsidP="002B2042">
            <w:pPr>
              <w:spacing w:before="0" w:after="0"/>
              <w:ind w:left="57" w:right="57"/>
              <w:rPr>
                <w:sz w:val="16"/>
                <w:szCs w:val="16"/>
                <w:lang w:val="sr-Latn-RS"/>
              </w:rPr>
            </w:pPr>
            <w:r w:rsidRPr="00DC2956">
              <w:rPr>
                <w:sz w:val="16"/>
                <w:szCs w:val="16"/>
                <w:lang w:val="sr-Latn-RS"/>
              </w:rPr>
              <w:t>N_Min_CS</w:t>
            </w:r>
          </w:p>
        </w:tc>
        <w:tc>
          <w:tcPr>
            <w:tcW w:w="444" w:type="pct"/>
            <w:shd w:val="clear" w:color="auto" w:fill="auto"/>
          </w:tcPr>
          <w:p w14:paraId="40502AA3" w14:textId="247FB773" w:rsidR="002B2042" w:rsidRPr="002B2042" w:rsidRDefault="002B2042" w:rsidP="002B2042">
            <w:pPr>
              <w:spacing w:before="0" w:after="0"/>
              <w:ind w:left="57" w:right="57"/>
              <w:jc w:val="right"/>
              <w:rPr>
                <w:sz w:val="16"/>
                <w:szCs w:val="16"/>
                <w:lang w:val="sr-Latn-RS"/>
              </w:rPr>
            </w:pPr>
            <w:r w:rsidRPr="002B2042">
              <w:rPr>
                <w:sz w:val="16"/>
                <w:szCs w:val="16"/>
              </w:rPr>
              <w:t>-</w:t>
            </w:r>
            <w:r w:rsidR="00C937BD">
              <w:rPr>
                <w:sz w:val="16"/>
                <w:szCs w:val="16"/>
              </w:rPr>
              <w:t>0.</w:t>
            </w:r>
            <w:r w:rsidRPr="002B2042">
              <w:rPr>
                <w:sz w:val="16"/>
                <w:szCs w:val="16"/>
              </w:rPr>
              <w:t>833</w:t>
            </w:r>
          </w:p>
        </w:tc>
        <w:tc>
          <w:tcPr>
            <w:tcW w:w="444" w:type="pct"/>
            <w:shd w:val="clear" w:color="auto" w:fill="auto"/>
          </w:tcPr>
          <w:p w14:paraId="5E807618" w14:textId="789463E6" w:rsidR="002B2042" w:rsidRPr="002B2042" w:rsidRDefault="002B2042" w:rsidP="002B2042">
            <w:pPr>
              <w:spacing w:before="0" w:after="0"/>
              <w:ind w:left="57" w:right="57"/>
              <w:jc w:val="right"/>
              <w:rPr>
                <w:sz w:val="16"/>
                <w:szCs w:val="16"/>
                <w:lang w:val="sr-Latn-RS"/>
              </w:rPr>
            </w:pPr>
            <w:r w:rsidRPr="002B2042">
              <w:rPr>
                <w:sz w:val="16"/>
                <w:szCs w:val="16"/>
              </w:rPr>
              <w:t>1</w:t>
            </w:r>
            <w:r w:rsidR="00C937BD">
              <w:rPr>
                <w:sz w:val="16"/>
                <w:szCs w:val="16"/>
              </w:rPr>
              <w:t>.</w:t>
            </w:r>
            <w:r w:rsidRPr="002B2042">
              <w:rPr>
                <w:sz w:val="16"/>
                <w:szCs w:val="16"/>
              </w:rPr>
              <w:t>700</w:t>
            </w:r>
          </w:p>
        </w:tc>
        <w:tc>
          <w:tcPr>
            <w:tcW w:w="444" w:type="pct"/>
            <w:shd w:val="clear" w:color="auto" w:fill="auto"/>
          </w:tcPr>
          <w:p w14:paraId="013F707B" w14:textId="428C04B4"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240</w:t>
            </w:r>
          </w:p>
        </w:tc>
        <w:tc>
          <w:tcPr>
            <w:tcW w:w="444" w:type="pct"/>
            <w:shd w:val="clear" w:color="auto" w:fill="auto"/>
          </w:tcPr>
          <w:p w14:paraId="79CAD886" w14:textId="07FCE6B5" w:rsidR="002B2042" w:rsidRPr="002B2042" w:rsidRDefault="002B2042" w:rsidP="002B2042">
            <w:pPr>
              <w:spacing w:before="0" w:after="0"/>
              <w:ind w:left="57" w:right="57"/>
              <w:jc w:val="right"/>
              <w:rPr>
                <w:sz w:val="16"/>
                <w:szCs w:val="16"/>
                <w:lang w:val="sr-Latn-RS"/>
              </w:rPr>
            </w:pPr>
            <w:r w:rsidRPr="002B2042">
              <w:rPr>
                <w:sz w:val="16"/>
                <w:szCs w:val="16"/>
              </w:rPr>
              <w:t>1</w:t>
            </w:r>
          </w:p>
        </w:tc>
        <w:tc>
          <w:tcPr>
            <w:tcW w:w="444" w:type="pct"/>
            <w:shd w:val="clear" w:color="auto" w:fill="auto"/>
          </w:tcPr>
          <w:p w14:paraId="75E19592" w14:textId="03C727A6"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624</w:t>
            </w:r>
          </w:p>
        </w:tc>
        <w:tc>
          <w:tcPr>
            <w:tcW w:w="593" w:type="pct"/>
            <w:shd w:val="clear" w:color="auto" w:fill="auto"/>
          </w:tcPr>
          <w:p w14:paraId="6A340862" w14:textId="5CEF55BD"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435</w:t>
            </w:r>
          </w:p>
        </w:tc>
        <w:tc>
          <w:tcPr>
            <w:tcW w:w="544" w:type="pct"/>
            <w:shd w:val="clear" w:color="auto" w:fill="auto"/>
          </w:tcPr>
          <w:p w14:paraId="69328BAA" w14:textId="226B6FAD"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016</w:t>
            </w:r>
          </w:p>
        </w:tc>
        <w:tc>
          <w:tcPr>
            <w:tcW w:w="735" w:type="pct"/>
            <w:shd w:val="clear" w:color="auto" w:fill="auto"/>
          </w:tcPr>
          <w:p w14:paraId="5324E075" w14:textId="0F634764" w:rsidR="002B2042" w:rsidRPr="002B2042" w:rsidRDefault="002B2042" w:rsidP="002B2042">
            <w:pPr>
              <w:spacing w:before="0" w:after="0"/>
              <w:ind w:left="57" w:right="57"/>
              <w:jc w:val="right"/>
              <w:rPr>
                <w:sz w:val="16"/>
                <w:szCs w:val="16"/>
                <w:lang w:val="sr-Latn-RS"/>
              </w:rPr>
            </w:pPr>
            <w:r w:rsidRPr="002B2042">
              <w:rPr>
                <w:sz w:val="16"/>
                <w:szCs w:val="16"/>
              </w:rPr>
              <w:t>12</w:t>
            </w:r>
            <w:r w:rsidR="00C937BD">
              <w:rPr>
                <w:sz w:val="16"/>
                <w:szCs w:val="16"/>
              </w:rPr>
              <w:t>.</w:t>
            </w:r>
            <w:r w:rsidRPr="002B2042">
              <w:rPr>
                <w:sz w:val="16"/>
                <w:szCs w:val="16"/>
              </w:rPr>
              <w:t>183</w:t>
            </w:r>
          </w:p>
        </w:tc>
      </w:tr>
      <w:tr w:rsidR="002B2042" w:rsidRPr="00DC2956" w14:paraId="13F750E5" w14:textId="77777777" w:rsidTr="00AF5396">
        <w:trPr>
          <w:cantSplit/>
        </w:trPr>
        <w:tc>
          <w:tcPr>
            <w:tcW w:w="356" w:type="pct"/>
            <w:vMerge/>
            <w:shd w:val="clear" w:color="auto" w:fill="auto"/>
          </w:tcPr>
          <w:p w14:paraId="1B4261C7" w14:textId="77777777" w:rsidR="002B2042" w:rsidRPr="00DC2956" w:rsidRDefault="002B2042" w:rsidP="002B2042">
            <w:pPr>
              <w:spacing w:before="0" w:after="0"/>
              <w:ind w:left="57" w:right="57"/>
              <w:rPr>
                <w:sz w:val="16"/>
                <w:szCs w:val="16"/>
                <w:lang w:val="sr-Latn-RS"/>
              </w:rPr>
            </w:pPr>
          </w:p>
        </w:tc>
        <w:tc>
          <w:tcPr>
            <w:tcW w:w="552" w:type="pct"/>
            <w:shd w:val="clear" w:color="auto" w:fill="auto"/>
          </w:tcPr>
          <w:p w14:paraId="5CADD619" w14:textId="77777777" w:rsidR="002B2042" w:rsidRPr="00DC2956" w:rsidRDefault="002B2042" w:rsidP="002B2042">
            <w:pPr>
              <w:spacing w:before="0" w:after="0"/>
              <w:ind w:left="57" w:right="57"/>
              <w:rPr>
                <w:sz w:val="16"/>
                <w:szCs w:val="16"/>
                <w:lang w:val="sr-Latn-RS"/>
              </w:rPr>
            </w:pPr>
            <w:r w:rsidRPr="00DC2956">
              <w:rPr>
                <w:sz w:val="16"/>
                <w:szCs w:val="16"/>
                <w:lang w:val="sr-Latn-RS"/>
              </w:rPr>
              <w:t>N_Skew_CS</w:t>
            </w:r>
          </w:p>
        </w:tc>
        <w:tc>
          <w:tcPr>
            <w:tcW w:w="444" w:type="pct"/>
            <w:shd w:val="clear" w:color="auto" w:fill="auto"/>
          </w:tcPr>
          <w:p w14:paraId="13FB6FE0" w14:textId="52AD7B43" w:rsidR="002B2042" w:rsidRPr="002B2042" w:rsidRDefault="002B2042" w:rsidP="002B2042">
            <w:pPr>
              <w:spacing w:before="0" w:after="0"/>
              <w:ind w:left="57" w:right="57"/>
              <w:jc w:val="right"/>
              <w:rPr>
                <w:sz w:val="16"/>
                <w:szCs w:val="16"/>
                <w:lang w:val="sr-Latn-RS"/>
              </w:rPr>
            </w:pPr>
            <w:r w:rsidRPr="002B2042">
              <w:rPr>
                <w:sz w:val="16"/>
                <w:szCs w:val="16"/>
              </w:rPr>
              <w:t>-</w:t>
            </w:r>
            <w:r w:rsidR="00C937BD">
              <w:rPr>
                <w:sz w:val="16"/>
                <w:szCs w:val="16"/>
              </w:rPr>
              <w:t>0.</w:t>
            </w:r>
            <w:r w:rsidRPr="002B2042">
              <w:rPr>
                <w:sz w:val="16"/>
                <w:szCs w:val="16"/>
              </w:rPr>
              <w:t>152</w:t>
            </w:r>
          </w:p>
        </w:tc>
        <w:tc>
          <w:tcPr>
            <w:tcW w:w="444" w:type="pct"/>
            <w:shd w:val="clear" w:color="auto" w:fill="auto"/>
          </w:tcPr>
          <w:p w14:paraId="2FFFA258" w14:textId="645E93ED"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293</w:t>
            </w:r>
          </w:p>
        </w:tc>
        <w:tc>
          <w:tcPr>
            <w:tcW w:w="444" w:type="pct"/>
            <w:shd w:val="clear" w:color="auto" w:fill="auto"/>
          </w:tcPr>
          <w:p w14:paraId="7D03C5C2" w14:textId="109D4D14"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270</w:t>
            </w:r>
          </w:p>
        </w:tc>
        <w:tc>
          <w:tcPr>
            <w:tcW w:w="444" w:type="pct"/>
            <w:shd w:val="clear" w:color="auto" w:fill="auto"/>
          </w:tcPr>
          <w:p w14:paraId="14C6A1BC" w14:textId="7AF6B7C3" w:rsidR="002B2042" w:rsidRPr="002B2042" w:rsidRDefault="002B2042" w:rsidP="002B2042">
            <w:pPr>
              <w:spacing w:before="0" w:after="0"/>
              <w:ind w:left="57" w:right="57"/>
              <w:jc w:val="right"/>
              <w:rPr>
                <w:sz w:val="16"/>
                <w:szCs w:val="16"/>
                <w:lang w:val="sr-Latn-RS"/>
              </w:rPr>
            </w:pPr>
            <w:r w:rsidRPr="002B2042">
              <w:rPr>
                <w:sz w:val="16"/>
                <w:szCs w:val="16"/>
              </w:rPr>
              <w:t>1</w:t>
            </w:r>
          </w:p>
        </w:tc>
        <w:tc>
          <w:tcPr>
            <w:tcW w:w="444" w:type="pct"/>
            <w:shd w:val="clear" w:color="auto" w:fill="auto"/>
          </w:tcPr>
          <w:p w14:paraId="23375F52" w14:textId="64614CAB"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603</w:t>
            </w:r>
          </w:p>
        </w:tc>
        <w:tc>
          <w:tcPr>
            <w:tcW w:w="593" w:type="pct"/>
            <w:shd w:val="clear" w:color="auto" w:fill="auto"/>
          </w:tcPr>
          <w:p w14:paraId="1E50A535" w14:textId="64B910B8"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859</w:t>
            </w:r>
          </w:p>
        </w:tc>
        <w:tc>
          <w:tcPr>
            <w:tcW w:w="544" w:type="pct"/>
            <w:shd w:val="clear" w:color="auto" w:fill="auto"/>
          </w:tcPr>
          <w:p w14:paraId="16DEA29F" w14:textId="2AC3539D"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483</w:t>
            </w:r>
          </w:p>
        </w:tc>
        <w:tc>
          <w:tcPr>
            <w:tcW w:w="735" w:type="pct"/>
            <w:shd w:val="clear" w:color="auto" w:fill="auto"/>
          </w:tcPr>
          <w:p w14:paraId="7611625C" w14:textId="650CA639" w:rsidR="002B2042" w:rsidRPr="002B2042" w:rsidRDefault="002B2042" w:rsidP="002B2042">
            <w:pPr>
              <w:spacing w:before="0" w:after="0"/>
              <w:ind w:left="57" w:right="57"/>
              <w:jc w:val="right"/>
              <w:rPr>
                <w:sz w:val="16"/>
                <w:szCs w:val="16"/>
                <w:lang w:val="sr-Latn-RS"/>
              </w:rPr>
            </w:pPr>
            <w:r w:rsidRPr="002B2042">
              <w:rPr>
                <w:sz w:val="16"/>
                <w:szCs w:val="16"/>
              </w:rPr>
              <w:t>1</w:t>
            </w:r>
            <w:r w:rsidR="00C937BD">
              <w:rPr>
                <w:sz w:val="16"/>
                <w:szCs w:val="16"/>
              </w:rPr>
              <w:t>.</w:t>
            </w:r>
            <w:r w:rsidRPr="002B2042">
              <w:rPr>
                <w:sz w:val="16"/>
                <w:szCs w:val="16"/>
              </w:rPr>
              <w:t>526</w:t>
            </w:r>
          </w:p>
        </w:tc>
      </w:tr>
      <w:tr w:rsidR="002B2042" w:rsidRPr="00DC2956" w14:paraId="7DD09FFA" w14:textId="77777777" w:rsidTr="00AF5396">
        <w:trPr>
          <w:cantSplit/>
        </w:trPr>
        <w:tc>
          <w:tcPr>
            <w:tcW w:w="356" w:type="pct"/>
            <w:vMerge/>
            <w:tcBorders>
              <w:bottom w:val="single" w:sz="4" w:space="0" w:color="auto"/>
            </w:tcBorders>
            <w:shd w:val="clear" w:color="auto" w:fill="auto"/>
          </w:tcPr>
          <w:p w14:paraId="11E72335" w14:textId="77777777" w:rsidR="002B2042" w:rsidRPr="00DC2956" w:rsidRDefault="002B2042" w:rsidP="002B2042">
            <w:pPr>
              <w:spacing w:before="0" w:after="0"/>
              <w:ind w:left="57" w:right="57"/>
              <w:rPr>
                <w:sz w:val="16"/>
                <w:szCs w:val="16"/>
                <w:lang w:val="sr-Latn-RS"/>
              </w:rPr>
            </w:pPr>
          </w:p>
        </w:tc>
        <w:tc>
          <w:tcPr>
            <w:tcW w:w="552" w:type="pct"/>
            <w:tcBorders>
              <w:bottom w:val="single" w:sz="4" w:space="0" w:color="auto"/>
            </w:tcBorders>
            <w:shd w:val="clear" w:color="auto" w:fill="auto"/>
          </w:tcPr>
          <w:p w14:paraId="6B3E5CB4" w14:textId="77777777" w:rsidR="002B2042" w:rsidRPr="00DC2956" w:rsidRDefault="002B2042" w:rsidP="002B2042">
            <w:pPr>
              <w:spacing w:before="0" w:after="0"/>
              <w:ind w:left="57" w:right="57"/>
              <w:rPr>
                <w:sz w:val="16"/>
                <w:szCs w:val="16"/>
                <w:lang w:val="sr-Latn-RS"/>
              </w:rPr>
            </w:pPr>
            <w:r w:rsidRPr="00DC2956">
              <w:rPr>
                <w:sz w:val="16"/>
                <w:szCs w:val="16"/>
                <w:lang w:val="sr-Latn-RS"/>
              </w:rPr>
              <w:t>Constant</w:t>
            </w:r>
          </w:p>
        </w:tc>
        <w:tc>
          <w:tcPr>
            <w:tcW w:w="444" w:type="pct"/>
            <w:tcBorders>
              <w:bottom w:val="single" w:sz="4" w:space="0" w:color="auto"/>
            </w:tcBorders>
            <w:shd w:val="clear" w:color="auto" w:fill="auto"/>
          </w:tcPr>
          <w:p w14:paraId="527744EC" w14:textId="269BC23D" w:rsidR="002B2042" w:rsidRPr="002B2042" w:rsidRDefault="002B2042" w:rsidP="002B2042">
            <w:pPr>
              <w:spacing w:before="0" w:after="0"/>
              <w:ind w:left="57" w:right="57"/>
              <w:jc w:val="right"/>
              <w:rPr>
                <w:sz w:val="16"/>
                <w:szCs w:val="16"/>
                <w:lang w:val="sr-Latn-RS"/>
              </w:rPr>
            </w:pPr>
            <w:r w:rsidRPr="002B2042">
              <w:rPr>
                <w:sz w:val="16"/>
                <w:szCs w:val="16"/>
              </w:rPr>
              <w:t>2</w:t>
            </w:r>
            <w:r w:rsidR="00C937BD">
              <w:rPr>
                <w:sz w:val="16"/>
                <w:szCs w:val="16"/>
              </w:rPr>
              <w:t>.</w:t>
            </w:r>
            <w:r w:rsidRPr="002B2042">
              <w:rPr>
                <w:sz w:val="16"/>
                <w:szCs w:val="16"/>
              </w:rPr>
              <w:t>714</w:t>
            </w:r>
          </w:p>
        </w:tc>
        <w:tc>
          <w:tcPr>
            <w:tcW w:w="444" w:type="pct"/>
            <w:tcBorders>
              <w:bottom w:val="single" w:sz="4" w:space="0" w:color="auto"/>
            </w:tcBorders>
            <w:shd w:val="clear" w:color="auto" w:fill="auto"/>
          </w:tcPr>
          <w:p w14:paraId="449C025A" w14:textId="1B5DDC18" w:rsidR="002B2042" w:rsidRPr="002B2042" w:rsidRDefault="00C937BD" w:rsidP="002B2042">
            <w:pPr>
              <w:spacing w:before="0" w:after="0"/>
              <w:ind w:left="57" w:right="57"/>
              <w:jc w:val="right"/>
              <w:rPr>
                <w:sz w:val="16"/>
                <w:szCs w:val="16"/>
                <w:lang w:val="sr-Latn-RS"/>
              </w:rPr>
            </w:pPr>
            <w:r>
              <w:rPr>
                <w:sz w:val="16"/>
                <w:szCs w:val="16"/>
              </w:rPr>
              <w:t>0.</w:t>
            </w:r>
            <w:r w:rsidR="002B2042" w:rsidRPr="002B2042">
              <w:rPr>
                <w:sz w:val="16"/>
                <w:szCs w:val="16"/>
              </w:rPr>
              <w:t>570</w:t>
            </w:r>
          </w:p>
        </w:tc>
        <w:tc>
          <w:tcPr>
            <w:tcW w:w="444" w:type="pct"/>
            <w:tcBorders>
              <w:bottom w:val="single" w:sz="4" w:space="0" w:color="auto"/>
            </w:tcBorders>
            <w:shd w:val="clear" w:color="auto" w:fill="auto"/>
          </w:tcPr>
          <w:p w14:paraId="301310C3" w14:textId="68F73DA9" w:rsidR="002B2042" w:rsidRPr="002B2042" w:rsidRDefault="002B2042" w:rsidP="002B2042">
            <w:pPr>
              <w:spacing w:before="0" w:after="0"/>
              <w:ind w:left="57" w:right="57"/>
              <w:jc w:val="right"/>
              <w:rPr>
                <w:sz w:val="16"/>
                <w:szCs w:val="16"/>
                <w:lang w:val="sr-Latn-RS"/>
              </w:rPr>
            </w:pPr>
            <w:r w:rsidRPr="002B2042">
              <w:rPr>
                <w:sz w:val="16"/>
                <w:szCs w:val="16"/>
              </w:rPr>
              <w:t>22</w:t>
            </w:r>
            <w:r w:rsidR="00C937BD">
              <w:rPr>
                <w:sz w:val="16"/>
                <w:szCs w:val="16"/>
              </w:rPr>
              <w:t>.</w:t>
            </w:r>
            <w:r w:rsidRPr="002B2042">
              <w:rPr>
                <w:sz w:val="16"/>
                <w:szCs w:val="16"/>
              </w:rPr>
              <w:t>662</w:t>
            </w:r>
          </w:p>
        </w:tc>
        <w:tc>
          <w:tcPr>
            <w:tcW w:w="444" w:type="pct"/>
            <w:tcBorders>
              <w:bottom w:val="single" w:sz="4" w:space="0" w:color="auto"/>
            </w:tcBorders>
            <w:shd w:val="clear" w:color="auto" w:fill="auto"/>
          </w:tcPr>
          <w:p w14:paraId="6676C90D" w14:textId="254E42C4" w:rsidR="002B2042" w:rsidRPr="002B2042" w:rsidRDefault="002B2042" w:rsidP="002B2042">
            <w:pPr>
              <w:spacing w:before="0" w:after="0"/>
              <w:ind w:left="57" w:right="57"/>
              <w:jc w:val="right"/>
              <w:rPr>
                <w:sz w:val="16"/>
                <w:szCs w:val="16"/>
                <w:lang w:val="sr-Latn-RS"/>
              </w:rPr>
            </w:pPr>
            <w:r w:rsidRPr="002B2042">
              <w:rPr>
                <w:sz w:val="16"/>
                <w:szCs w:val="16"/>
              </w:rPr>
              <w:t>1</w:t>
            </w:r>
          </w:p>
        </w:tc>
        <w:tc>
          <w:tcPr>
            <w:tcW w:w="444" w:type="pct"/>
            <w:tcBorders>
              <w:bottom w:val="single" w:sz="4" w:space="0" w:color="auto"/>
            </w:tcBorders>
            <w:shd w:val="clear" w:color="auto" w:fill="auto"/>
          </w:tcPr>
          <w:p w14:paraId="760BEB1C" w14:textId="7DA2AA04" w:rsidR="002B2042" w:rsidRPr="002B2042" w:rsidRDefault="002B2042" w:rsidP="002B2042">
            <w:pPr>
              <w:spacing w:before="0" w:after="0"/>
              <w:ind w:left="57" w:right="57"/>
              <w:jc w:val="right"/>
              <w:rPr>
                <w:sz w:val="16"/>
                <w:szCs w:val="16"/>
                <w:lang w:val="sr-Latn-RS"/>
              </w:rPr>
            </w:pPr>
            <w:r w:rsidRPr="002B2042">
              <w:rPr>
                <w:sz w:val="16"/>
                <w:szCs w:val="16"/>
              </w:rPr>
              <w:t>&lt;</w:t>
            </w:r>
            <w:r w:rsidR="00C937BD">
              <w:rPr>
                <w:sz w:val="16"/>
                <w:szCs w:val="16"/>
              </w:rPr>
              <w:t>0.</w:t>
            </w:r>
            <w:r w:rsidRPr="002B2042">
              <w:rPr>
                <w:sz w:val="16"/>
                <w:szCs w:val="16"/>
              </w:rPr>
              <w:t>001</w:t>
            </w:r>
          </w:p>
        </w:tc>
        <w:tc>
          <w:tcPr>
            <w:tcW w:w="593" w:type="pct"/>
            <w:tcBorders>
              <w:bottom w:val="single" w:sz="4" w:space="0" w:color="auto"/>
            </w:tcBorders>
            <w:shd w:val="clear" w:color="auto" w:fill="auto"/>
          </w:tcPr>
          <w:p w14:paraId="424786E2" w14:textId="037B57DD" w:rsidR="002B2042" w:rsidRPr="002B2042" w:rsidRDefault="002B2042" w:rsidP="002B2042">
            <w:pPr>
              <w:spacing w:before="0" w:after="0"/>
              <w:ind w:left="57" w:right="57"/>
              <w:jc w:val="right"/>
              <w:rPr>
                <w:sz w:val="16"/>
                <w:szCs w:val="16"/>
                <w:lang w:val="sr-Latn-RS"/>
              </w:rPr>
            </w:pPr>
            <w:r w:rsidRPr="002B2042">
              <w:rPr>
                <w:sz w:val="16"/>
                <w:szCs w:val="16"/>
              </w:rPr>
              <w:t>15</w:t>
            </w:r>
            <w:r w:rsidR="00C937BD">
              <w:rPr>
                <w:sz w:val="16"/>
                <w:szCs w:val="16"/>
              </w:rPr>
              <w:t>.</w:t>
            </w:r>
            <w:r w:rsidRPr="002B2042">
              <w:rPr>
                <w:sz w:val="16"/>
                <w:szCs w:val="16"/>
              </w:rPr>
              <w:t>090</w:t>
            </w:r>
          </w:p>
        </w:tc>
        <w:tc>
          <w:tcPr>
            <w:tcW w:w="544" w:type="pct"/>
            <w:tcBorders>
              <w:bottom w:val="single" w:sz="4" w:space="0" w:color="auto"/>
            </w:tcBorders>
            <w:shd w:val="clear" w:color="auto" w:fill="auto"/>
          </w:tcPr>
          <w:p w14:paraId="4D0E73BA" w14:textId="77777777" w:rsidR="002B2042" w:rsidRPr="002B2042" w:rsidRDefault="002B2042" w:rsidP="002B2042">
            <w:pPr>
              <w:spacing w:before="0" w:after="0"/>
              <w:ind w:left="57" w:right="57"/>
              <w:jc w:val="right"/>
              <w:rPr>
                <w:rFonts w:ascii="Times New Roman" w:hAnsi="Times New Roman" w:cs="Times New Roman"/>
                <w:sz w:val="16"/>
                <w:szCs w:val="16"/>
                <w:lang w:val="sr-Latn-RS"/>
              </w:rPr>
            </w:pPr>
          </w:p>
        </w:tc>
        <w:tc>
          <w:tcPr>
            <w:tcW w:w="735" w:type="pct"/>
            <w:tcBorders>
              <w:bottom w:val="single" w:sz="4" w:space="0" w:color="auto"/>
            </w:tcBorders>
            <w:shd w:val="clear" w:color="auto" w:fill="auto"/>
          </w:tcPr>
          <w:p w14:paraId="3E7A886D" w14:textId="77777777" w:rsidR="002B2042" w:rsidRPr="002B2042" w:rsidRDefault="002B2042" w:rsidP="002B2042">
            <w:pPr>
              <w:spacing w:before="0" w:after="0"/>
              <w:ind w:left="57" w:right="57"/>
              <w:jc w:val="right"/>
              <w:rPr>
                <w:rFonts w:ascii="Times New Roman" w:hAnsi="Times New Roman" w:cs="Times New Roman"/>
                <w:sz w:val="16"/>
                <w:szCs w:val="16"/>
                <w:lang w:val="sr-Latn-RS"/>
              </w:rPr>
            </w:pPr>
          </w:p>
        </w:tc>
      </w:tr>
      <w:tr w:rsidR="00DC2956" w:rsidRPr="00DC2956" w14:paraId="66544B58" w14:textId="77777777" w:rsidTr="00AF5396">
        <w:trPr>
          <w:cantSplit/>
        </w:trPr>
        <w:tc>
          <w:tcPr>
            <w:tcW w:w="5000" w:type="pct"/>
            <w:gridSpan w:val="10"/>
            <w:tcBorders>
              <w:top w:val="single" w:sz="4" w:space="0" w:color="auto"/>
            </w:tcBorders>
            <w:shd w:val="clear" w:color="auto" w:fill="auto"/>
          </w:tcPr>
          <w:p w14:paraId="4796269E" w14:textId="77777777" w:rsidR="00DC2956" w:rsidRPr="00DC2956" w:rsidRDefault="00DC2956" w:rsidP="00DC2956">
            <w:pPr>
              <w:spacing w:before="0" w:after="0"/>
              <w:ind w:left="57" w:right="57"/>
              <w:rPr>
                <w:sz w:val="16"/>
                <w:szCs w:val="16"/>
                <w:lang w:val="sr-Latn-RS"/>
              </w:rPr>
            </w:pPr>
            <w:r w:rsidRPr="00DC2956">
              <w:rPr>
                <w:sz w:val="16"/>
                <w:szCs w:val="16"/>
                <w:lang w:val="sr-Latn-RS"/>
              </w:rPr>
              <w:t>a. Variable(s) entered on step 1: T2, T3, T4, Load_kg_n, N_Stdev_CS, N_Mean_CS, N_RMS_CS, N_1Q_CS, N_IQR_CS, N_Min_CS, N_Skew_CS.</w:t>
            </w:r>
          </w:p>
        </w:tc>
      </w:tr>
    </w:tbl>
    <w:p w14:paraId="394B99AD" w14:textId="14D773D4" w:rsidR="00836EBD" w:rsidRPr="004F1E32" w:rsidRDefault="00836EBD" w:rsidP="00836EBD">
      <w:pPr>
        <w:pStyle w:val="Caption"/>
        <w:jc w:val="both"/>
        <w:rPr>
          <w:rFonts w:ascii="Times New Roman" w:hAnsi="Times New Roman" w:cs="Times New Roman"/>
          <w:szCs w:val="24"/>
          <w:lang w:val="sr-Latn-RS"/>
        </w:rPr>
      </w:pPr>
      <w:bookmarkStart w:id="688" w:name="_Ref99365372"/>
      <w:bookmarkStart w:id="689" w:name="_Toc101274508"/>
      <w:r>
        <w:t xml:space="preserve">Table </w:t>
      </w:r>
      <w:fldSimple w:instr=" SEQ Table \* ARABIC ">
        <w:r w:rsidR="00587AF0">
          <w:rPr>
            <w:noProof/>
          </w:rPr>
          <w:t>68</w:t>
        </w:r>
      </w:fldSimple>
      <w:bookmarkEnd w:id="688"/>
      <w:r>
        <w:t xml:space="preserve">. </w:t>
      </w:r>
      <w:r w:rsidRPr="00743D78">
        <w:t xml:space="preserve">Logistic regression formulation and parameters at </w:t>
      </w:r>
      <w:r>
        <w:t xml:space="preserve">idle </w:t>
      </w:r>
      <w:r w:rsidRPr="00743D78">
        <w:t>saddle position</w:t>
      </w:r>
      <w:bookmarkEnd w:id="68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4"/>
        <w:gridCol w:w="4913"/>
      </w:tblGrid>
      <w:tr w:rsidR="00836EBD" w:rsidRPr="009C7391" w14:paraId="22CE356C" w14:textId="77777777" w:rsidTr="00E23311">
        <w:tc>
          <w:tcPr>
            <w:tcW w:w="4114" w:type="dxa"/>
            <w:tcBorders>
              <w:top w:val="single" w:sz="4" w:space="0" w:color="auto"/>
              <w:bottom w:val="single" w:sz="4" w:space="0" w:color="auto"/>
            </w:tcBorders>
          </w:tcPr>
          <w:p w14:paraId="24535804" w14:textId="77777777" w:rsidR="00836EBD" w:rsidRPr="009C7391" w:rsidRDefault="00836EBD" w:rsidP="00E23311">
            <w:pPr>
              <w:spacing w:before="0" w:after="0"/>
              <w:rPr>
                <w:rFonts w:eastAsia="Times New Roman" w:cs="Segoe UI"/>
                <w:b/>
                <w:bCs/>
                <w:sz w:val="20"/>
                <w:szCs w:val="20"/>
                <w:lang w:val="sr-Latn-RS" w:eastAsia="sr-Latn-RS"/>
              </w:rPr>
            </w:pPr>
            <w:r w:rsidRPr="009C7391">
              <w:rPr>
                <w:rFonts w:eastAsia="Times New Roman" w:cs="Segoe UI"/>
                <w:b/>
                <w:bCs/>
                <w:sz w:val="20"/>
                <w:szCs w:val="20"/>
                <w:lang w:val="sr-Latn-RS" w:eastAsia="sr-Latn-RS"/>
              </w:rPr>
              <w:t>Properties</w:t>
            </w:r>
          </w:p>
        </w:tc>
        <w:tc>
          <w:tcPr>
            <w:tcW w:w="4913" w:type="dxa"/>
            <w:tcBorders>
              <w:top w:val="single" w:sz="4" w:space="0" w:color="auto"/>
              <w:bottom w:val="single" w:sz="4" w:space="0" w:color="auto"/>
            </w:tcBorders>
          </w:tcPr>
          <w:p w14:paraId="2C6466F3" w14:textId="77777777" w:rsidR="00836EBD" w:rsidRPr="009C7391" w:rsidRDefault="00836EBD" w:rsidP="00E23311">
            <w:pPr>
              <w:spacing w:before="0" w:after="0"/>
              <w:jc w:val="right"/>
              <w:rPr>
                <w:rFonts w:eastAsia="Times New Roman" w:cs="Segoe UI"/>
                <w:b/>
                <w:bCs/>
                <w:sz w:val="20"/>
                <w:szCs w:val="20"/>
                <w:lang w:val="sr-Latn-RS" w:eastAsia="sr-Latn-RS"/>
              </w:rPr>
            </w:pPr>
            <w:r w:rsidRPr="009C7391">
              <w:rPr>
                <w:rFonts w:eastAsia="Times New Roman" w:cs="Segoe UI"/>
                <w:b/>
                <w:bCs/>
                <w:sz w:val="20"/>
                <w:szCs w:val="20"/>
                <w:lang w:val="sr-Latn-RS" w:eastAsia="sr-Latn-RS"/>
              </w:rPr>
              <w:t>Model parameters and values</w:t>
            </w:r>
          </w:p>
        </w:tc>
      </w:tr>
      <w:tr w:rsidR="00836EBD" w:rsidRPr="009C7391" w14:paraId="5BEA4886" w14:textId="77777777" w:rsidTr="00E23311">
        <w:tc>
          <w:tcPr>
            <w:tcW w:w="4114" w:type="dxa"/>
            <w:tcBorders>
              <w:top w:val="single" w:sz="4" w:space="0" w:color="auto"/>
            </w:tcBorders>
            <w:vAlign w:val="center"/>
          </w:tcPr>
          <w:p w14:paraId="5BE42C1A" w14:textId="77777777" w:rsidR="00836EBD" w:rsidRPr="009C7391" w:rsidRDefault="00836EBD" w:rsidP="00E23311">
            <w:pPr>
              <w:spacing w:before="0" w:after="0"/>
              <w:jc w:val="left"/>
              <w:rPr>
                <w:rFonts w:eastAsia="Times New Roman" w:cs="Segoe UI"/>
                <w:sz w:val="20"/>
                <w:szCs w:val="20"/>
                <w:lang w:val="sr-Latn-RS" w:eastAsia="sr-Latn-RS"/>
              </w:rPr>
            </w:pPr>
            <w:r w:rsidRPr="009C7391">
              <w:rPr>
                <w:rFonts w:eastAsia="Times New Roman" w:cs="Segoe UI"/>
                <w:sz w:val="20"/>
                <w:szCs w:val="20"/>
                <w:lang w:val="sr-Latn-RS" w:eastAsia="sr-Latn-RS"/>
              </w:rPr>
              <w:t>Model equation</w:t>
            </w:r>
          </w:p>
        </w:tc>
        <w:tc>
          <w:tcPr>
            <w:tcW w:w="4913" w:type="dxa"/>
            <w:tcBorders>
              <w:top w:val="single" w:sz="4" w:space="0" w:color="auto"/>
            </w:tcBorders>
          </w:tcPr>
          <w:p w14:paraId="5B7CC04E" w14:textId="2D850559" w:rsidR="00836EBD" w:rsidRPr="009C7391" w:rsidRDefault="00836EBD" w:rsidP="00E23311">
            <w:pPr>
              <w:spacing w:before="0" w:after="0"/>
              <w:rPr>
                <w:rFonts w:eastAsia="Times New Roman" w:cs="Segoe UI"/>
                <w:color w:val="495057"/>
                <w:sz w:val="20"/>
                <w:szCs w:val="20"/>
                <w:lang w:val="sr-Latn-RS" w:eastAsia="sr-Latn-RS"/>
              </w:rPr>
            </w:pPr>
            <w:r w:rsidRPr="00836EBD">
              <w:rPr>
                <w:rFonts w:eastAsia="Times New Roman" w:cs="Segoe UI"/>
                <w:sz w:val="20"/>
                <w:szCs w:val="20"/>
                <w:lang w:val="sr-Latn-RS" w:eastAsia="sr-Latn-RS"/>
              </w:rPr>
              <w:t xml:space="preserve">logit(P) = log(P / (1 - P)) = 2.714 + 0.698 N_Mean_CS - 1.908 N_1Q_CS - 0.833 N_Min_CS - 5.511 N_RMS_CS - 2.629 N_IQR_CS + 5.49 N_Stdev_CS + 0.453 T2 - 0.656 </w:t>
            </w:r>
            <w:r>
              <w:rPr>
                <w:rFonts w:eastAsia="Times New Roman" w:cs="Segoe UI"/>
                <w:sz w:val="20"/>
                <w:szCs w:val="20"/>
                <w:lang w:val="sr-Latn-RS" w:eastAsia="sr-Latn-RS"/>
              </w:rPr>
              <w:t>L</w:t>
            </w:r>
            <w:r w:rsidRPr="00836EBD">
              <w:rPr>
                <w:rFonts w:eastAsia="Times New Roman" w:cs="Segoe UI"/>
                <w:sz w:val="20"/>
                <w:szCs w:val="20"/>
                <w:lang w:val="sr-Latn-RS" w:eastAsia="sr-Latn-RS"/>
              </w:rPr>
              <w:t>oad_kg + 0.011 T4 + 0.404 T3 - 0.152 N_Skew_CS</w:t>
            </w:r>
          </w:p>
        </w:tc>
      </w:tr>
      <w:tr w:rsidR="00836EBD" w:rsidRPr="009C7391" w14:paraId="223BF205" w14:textId="77777777" w:rsidTr="00E23311">
        <w:tc>
          <w:tcPr>
            <w:tcW w:w="4114" w:type="dxa"/>
          </w:tcPr>
          <w:p w14:paraId="45ED34DD" w14:textId="77777777" w:rsidR="00836EBD" w:rsidRPr="009C7391" w:rsidRDefault="00836EBD" w:rsidP="00E23311">
            <w:pPr>
              <w:spacing w:before="0" w:after="0"/>
              <w:rPr>
                <w:sz w:val="20"/>
                <w:szCs w:val="20"/>
                <w:lang w:val="sr-Latn-RS"/>
              </w:rPr>
            </w:pPr>
            <w:r w:rsidRPr="009C7391">
              <w:rPr>
                <w:sz w:val="20"/>
                <w:szCs w:val="20"/>
                <w:lang w:val="sr-Latn-RS"/>
              </w:rPr>
              <w:t>Best threshold (cutoff)</w:t>
            </w:r>
          </w:p>
        </w:tc>
        <w:tc>
          <w:tcPr>
            <w:tcW w:w="4913" w:type="dxa"/>
          </w:tcPr>
          <w:p w14:paraId="3811E99D" w14:textId="08F3C1BB" w:rsidR="00836EBD" w:rsidRPr="009C7391" w:rsidRDefault="00836EBD" w:rsidP="00E23311">
            <w:pPr>
              <w:spacing w:before="0" w:after="0"/>
              <w:rPr>
                <w:sz w:val="20"/>
                <w:szCs w:val="20"/>
                <w:lang w:val="sr-Latn-RS"/>
              </w:rPr>
            </w:pPr>
            <w:r>
              <w:rPr>
                <w:sz w:val="20"/>
                <w:szCs w:val="20"/>
                <w:lang w:val="sr-Latn-RS"/>
              </w:rPr>
              <w:t>0.84</w:t>
            </w:r>
          </w:p>
        </w:tc>
      </w:tr>
      <w:tr w:rsidR="00836EBD" w:rsidRPr="009C7391" w14:paraId="5391533E" w14:textId="77777777" w:rsidTr="00E23311">
        <w:tc>
          <w:tcPr>
            <w:tcW w:w="4114" w:type="dxa"/>
            <w:tcBorders>
              <w:bottom w:val="single" w:sz="4" w:space="0" w:color="auto"/>
            </w:tcBorders>
          </w:tcPr>
          <w:p w14:paraId="70C07651" w14:textId="77777777" w:rsidR="00836EBD" w:rsidRPr="009C7391" w:rsidRDefault="00836EBD" w:rsidP="00E23311">
            <w:pPr>
              <w:spacing w:before="0" w:after="0"/>
              <w:rPr>
                <w:sz w:val="20"/>
                <w:szCs w:val="20"/>
                <w:lang w:val="sr-Latn-RS"/>
              </w:rPr>
            </w:pPr>
            <w:r>
              <w:rPr>
                <w:sz w:val="20"/>
                <w:szCs w:val="20"/>
                <w:lang w:val="sr-Latn-RS"/>
              </w:rPr>
              <w:t>Original label None/Quasi-fault</w:t>
            </w:r>
          </w:p>
        </w:tc>
        <w:tc>
          <w:tcPr>
            <w:tcW w:w="4913" w:type="dxa"/>
            <w:tcBorders>
              <w:bottom w:val="single" w:sz="4" w:space="0" w:color="auto"/>
            </w:tcBorders>
          </w:tcPr>
          <w:p w14:paraId="2287ECBA" w14:textId="77777777" w:rsidR="00836EBD" w:rsidRPr="009C7391" w:rsidRDefault="00836EBD" w:rsidP="00E23311">
            <w:pPr>
              <w:spacing w:before="0" w:after="0"/>
              <w:rPr>
                <w:sz w:val="20"/>
                <w:szCs w:val="20"/>
                <w:lang w:val="sr-Latn-RS"/>
              </w:rPr>
            </w:pPr>
            <w:r>
              <w:rPr>
                <w:sz w:val="20"/>
                <w:szCs w:val="20"/>
                <w:lang w:val="sr-Latn-RS"/>
              </w:rPr>
              <w:t>Logistic regression label: 0/1</w:t>
            </w:r>
          </w:p>
        </w:tc>
      </w:tr>
    </w:tbl>
    <w:p w14:paraId="7CACF4CF" w14:textId="4410E68A" w:rsidR="00FD20D1" w:rsidRDefault="00FD20D1" w:rsidP="00FD20D1">
      <w:pPr>
        <w:rPr>
          <w:rFonts w:ascii="Times New Roman" w:hAnsi="Times New Roman" w:cs="Times New Roman"/>
          <w:szCs w:val="24"/>
          <w:lang w:val="sr-Latn-RS"/>
        </w:rPr>
      </w:pPr>
      <w:r>
        <w:rPr>
          <w:lang w:val="sr-Latn-RS"/>
        </w:rPr>
        <w:t xml:space="preserve">Although </w:t>
      </w:r>
      <w:r w:rsidR="00DB4015">
        <w:rPr>
          <w:lang w:val="sr-Latn-RS"/>
        </w:rPr>
        <w:t>the model shows excellent prediction properties concerning the classification of quasi-fault label points</w:t>
      </w:r>
      <w:r>
        <w:rPr>
          <w:lang w:val="sr-Latn-RS"/>
        </w:rPr>
        <w:t>, the model shows poor prediction properties concerning normal operating conditions (</w:t>
      </w:r>
      <w:r>
        <w:rPr>
          <w:lang w:val="sr-Latn-RS"/>
        </w:rPr>
        <w:fldChar w:fldCharType="begin"/>
      </w:r>
      <w:r>
        <w:rPr>
          <w:lang w:val="sr-Latn-RS"/>
        </w:rPr>
        <w:instrText xml:space="preserve"> REF _Ref99366180 \h </w:instrText>
      </w:r>
      <w:r>
        <w:rPr>
          <w:lang w:val="sr-Latn-RS"/>
        </w:rPr>
      </w:r>
      <w:r>
        <w:rPr>
          <w:lang w:val="sr-Latn-RS"/>
        </w:rPr>
        <w:fldChar w:fldCharType="separate"/>
      </w:r>
      <w:r w:rsidR="00587AF0">
        <w:t xml:space="preserve">Table </w:t>
      </w:r>
      <w:r w:rsidR="00587AF0">
        <w:rPr>
          <w:noProof/>
        </w:rPr>
        <w:t>69</w:t>
      </w:r>
      <w:r>
        <w:rPr>
          <w:lang w:val="sr-Latn-RS"/>
        </w:rPr>
        <w:fldChar w:fldCharType="end"/>
      </w:r>
      <w:r>
        <w:rPr>
          <w:lang w:val="sr-Latn-RS"/>
        </w:rPr>
        <w:t>). Besides, as emphasised before</w:t>
      </w:r>
      <w:r w:rsidR="00DB4015">
        <w:rPr>
          <w:lang w:val="sr-Latn-RS"/>
        </w:rPr>
        <w:t>,</w:t>
      </w:r>
      <w:r>
        <w:rPr>
          <w:lang w:val="sr-Latn-RS"/>
        </w:rPr>
        <w:t xml:space="preserve"> </w:t>
      </w:r>
      <w:r w:rsidR="00DB4015">
        <w:rPr>
          <w:lang w:val="sr-Latn-RS"/>
        </w:rPr>
        <w:t xml:space="preserve">a </w:t>
      </w:r>
      <w:r>
        <w:rPr>
          <w:lang w:val="sr-Latn-RS"/>
        </w:rPr>
        <w:t xml:space="preserve">small sample of training and testing data shows </w:t>
      </w:r>
      <w:r w:rsidR="00DB4015">
        <w:rPr>
          <w:lang w:val="sr-Latn-RS"/>
        </w:rPr>
        <w:t xml:space="preserve">a </w:t>
      </w:r>
      <w:r>
        <w:rPr>
          <w:lang w:val="sr-Latn-RS"/>
        </w:rPr>
        <w:t>high discrepancy between training</w:t>
      </w:r>
      <w:r w:rsidR="000C5A43">
        <w:rPr>
          <w:lang w:val="sr-Latn-RS"/>
        </w:rPr>
        <w:t xml:space="preserve"> (</w:t>
      </w:r>
      <w:r w:rsidR="000C5A43">
        <w:rPr>
          <w:lang w:val="sr-Latn-RS"/>
        </w:rPr>
        <w:fldChar w:fldCharType="begin"/>
      </w:r>
      <w:r w:rsidR="000C5A43">
        <w:rPr>
          <w:lang w:val="sr-Latn-RS"/>
        </w:rPr>
        <w:instrText xml:space="preserve"> REF _Ref99366351 \h </w:instrText>
      </w:r>
      <w:r w:rsidR="000C5A43">
        <w:rPr>
          <w:lang w:val="sr-Latn-RS"/>
        </w:rPr>
      </w:r>
      <w:r w:rsidR="000C5A43">
        <w:rPr>
          <w:lang w:val="sr-Latn-RS"/>
        </w:rPr>
        <w:fldChar w:fldCharType="separate"/>
      </w:r>
      <w:r w:rsidR="00587AF0">
        <w:t xml:space="preserve">Figure </w:t>
      </w:r>
      <w:r w:rsidR="00587AF0">
        <w:rPr>
          <w:noProof/>
        </w:rPr>
        <w:t>115</w:t>
      </w:r>
      <w:r w:rsidR="000C5A43">
        <w:rPr>
          <w:lang w:val="sr-Latn-RS"/>
        </w:rPr>
        <w:fldChar w:fldCharType="end"/>
      </w:r>
      <w:r w:rsidR="000C5A43">
        <w:rPr>
          <w:lang w:val="sr-Latn-RS"/>
        </w:rPr>
        <w:t>)</w:t>
      </w:r>
      <w:r>
        <w:rPr>
          <w:lang w:val="sr-Latn-RS"/>
        </w:rPr>
        <w:t xml:space="preserve"> and testing samples of „None“ labels (</w:t>
      </w:r>
      <w:r w:rsidR="000C5A43">
        <w:rPr>
          <w:lang w:val="sr-Latn-RS"/>
        </w:rPr>
        <w:fldChar w:fldCharType="begin"/>
      </w:r>
      <w:r w:rsidR="000C5A43">
        <w:rPr>
          <w:lang w:val="sr-Latn-RS"/>
        </w:rPr>
        <w:instrText xml:space="preserve"> REF _Ref99366352 \h </w:instrText>
      </w:r>
      <w:r w:rsidR="000C5A43">
        <w:rPr>
          <w:lang w:val="sr-Latn-RS"/>
        </w:rPr>
      </w:r>
      <w:r w:rsidR="000C5A43">
        <w:rPr>
          <w:lang w:val="sr-Latn-RS"/>
        </w:rPr>
        <w:fldChar w:fldCharType="separate"/>
      </w:r>
      <w:r w:rsidR="00587AF0">
        <w:t xml:space="preserve">Figure </w:t>
      </w:r>
      <w:r w:rsidR="00587AF0">
        <w:rPr>
          <w:noProof/>
        </w:rPr>
        <w:t>116</w:t>
      </w:r>
      <w:r w:rsidR="000C5A43">
        <w:rPr>
          <w:lang w:val="sr-Latn-RS"/>
        </w:rPr>
        <w:fldChar w:fldCharType="end"/>
      </w:r>
      <w:r>
        <w:rPr>
          <w:lang w:val="sr-Latn-RS"/>
        </w:rPr>
        <w:t xml:space="preserve">) since </w:t>
      </w:r>
      <w:r w:rsidR="00DB4015">
        <w:rPr>
          <w:lang w:val="sr-Latn-RS"/>
        </w:rPr>
        <w:t>many</w:t>
      </w:r>
      <w:r>
        <w:rPr>
          <w:lang w:val="sr-Latn-RS"/>
        </w:rPr>
        <w:t xml:space="preserve"> anomalies have been detected during the recording of the experiment. It should be emphasised that even though </w:t>
      </w:r>
      <w:r w:rsidR="00DB4015">
        <w:rPr>
          <w:lang w:val="sr-Latn-RS"/>
        </w:rPr>
        <w:t xml:space="preserve">the </w:t>
      </w:r>
      <w:r>
        <w:rPr>
          <w:lang w:val="sr-Latn-RS"/>
        </w:rPr>
        <w:t>model posse</w:t>
      </w:r>
      <w:r w:rsidR="00DB4015">
        <w:rPr>
          <w:lang w:val="sr-Latn-RS"/>
        </w:rPr>
        <w:t>sse</w:t>
      </w:r>
      <w:r>
        <w:rPr>
          <w:lang w:val="sr-Latn-RS"/>
        </w:rPr>
        <w:t>s high sensitivity and specificity score of 87% (</w:t>
      </w:r>
      <w:r>
        <w:rPr>
          <w:lang w:val="sr-Latn-RS"/>
        </w:rPr>
        <w:fldChar w:fldCharType="begin"/>
      </w:r>
      <w:r>
        <w:rPr>
          <w:rFonts w:ascii="Times New Roman" w:hAnsi="Times New Roman" w:cs="Times New Roman"/>
          <w:szCs w:val="24"/>
          <w:lang w:val="sr-Latn-RS"/>
        </w:rPr>
        <w:instrText xml:space="preserve"> REF _Ref99366186 \h </w:instrText>
      </w:r>
      <w:r>
        <w:rPr>
          <w:lang w:val="sr-Latn-RS"/>
        </w:rPr>
      </w:r>
      <w:r>
        <w:rPr>
          <w:lang w:val="sr-Latn-RS"/>
        </w:rPr>
        <w:fldChar w:fldCharType="separate"/>
      </w:r>
      <w:r w:rsidR="00587AF0">
        <w:t xml:space="preserve">Table </w:t>
      </w:r>
      <w:r w:rsidR="00587AF0">
        <w:rPr>
          <w:noProof/>
        </w:rPr>
        <w:t>70</w:t>
      </w:r>
      <w:r>
        <w:rPr>
          <w:lang w:val="sr-Latn-RS"/>
        </w:rPr>
        <w:fldChar w:fldCharType="end"/>
      </w:r>
      <w:r>
        <w:rPr>
          <w:lang w:val="sr-Latn-RS"/>
        </w:rPr>
        <w:t>), the model does not posse</w:t>
      </w:r>
      <w:r w:rsidR="00DB4015">
        <w:rPr>
          <w:lang w:val="sr-Latn-RS"/>
        </w:rPr>
        <w:t>s</w:t>
      </w:r>
      <w:r>
        <w:rPr>
          <w:lang w:val="sr-Latn-RS"/>
        </w:rPr>
        <w:t>s high accuracy of None data points, especially during the testing period of the LR model.</w:t>
      </w:r>
    </w:p>
    <w:p w14:paraId="70B68FFF" w14:textId="1BEB2DDF" w:rsidR="009B6B58" w:rsidRDefault="00E53077" w:rsidP="00E53077">
      <w:pPr>
        <w:pStyle w:val="Caption"/>
        <w:jc w:val="both"/>
        <w:rPr>
          <w:lang w:val="sr-Latn-RS"/>
        </w:rPr>
      </w:pPr>
      <w:bookmarkStart w:id="690" w:name="_Ref99366180"/>
      <w:bookmarkStart w:id="691" w:name="_Toc101274509"/>
      <w:r>
        <w:t xml:space="preserve">Table </w:t>
      </w:r>
      <w:fldSimple w:instr=" SEQ Table \* ARABIC ">
        <w:r w:rsidR="00587AF0">
          <w:rPr>
            <w:noProof/>
          </w:rPr>
          <w:t>69</w:t>
        </w:r>
      </w:fldSimple>
      <w:bookmarkEnd w:id="690"/>
      <w:r>
        <w:t>. LR Classification matrix score at closing saddle position</w:t>
      </w:r>
      <w:bookmarkEnd w:id="691"/>
    </w:p>
    <w:tbl>
      <w:tblPr>
        <w:tblW w:w="5000" w:type="pct"/>
        <w:tblLook w:val="04A0" w:firstRow="1" w:lastRow="0" w:firstColumn="1" w:lastColumn="0" w:noHBand="0" w:noVBand="1"/>
      </w:tblPr>
      <w:tblGrid>
        <w:gridCol w:w="1247"/>
        <w:gridCol w:w="2493"/>
        <w:gridCol w:w="1033"/>
        <w:gridCol w:w="1885"/>
        <w:gridCol w:w="2369"/>
      </w:tblGrid>
      <w:tr w:rsidR="009B6B58" w:rsidRPr="00E7272C" w14:paraId="45ED1166" w14:textId="77777777" w:rsidTr="00611858">
        <w:trPr>
          <w:trHeight w:val="257"/>
        </w:trPr>
        <w:tc>
          <w:tcPr>
            <w:tcW w:w="691" w:type="pct"/>
            <w:tcBorders>
              <w:top w:val="single" w:sz="4" w:space="0" w:color="auto"/>
              <w:left w:val="nil"/>
              <w:bottom w:val="single" w:sz="4" w:space="0" w:color="auto"/>
              <w:right w:val="nil"/>
            </w:tcBorders>
            <w:vAlign w:val="center"/>
            <w:hideMark/>
          </w:tcPr>
          <w:p w14:paraId="1A65E45B" w14:textId="646029BE" w:rsidR="009B6B58" w:rsidRPr="00E7272C" w:rsidRDefault="009B6B58" w:rsidP="009B6B58">
            <w:pPr>
              <w:spacing w:before="0" w:after="0"/>
              <w:jc w:val="left"/>
              <w:rPr>
                <w:rFonts w:eastAsia="Times New Roman" w:cs="Times New Roman"/>
                <w:b/>
                <w:bCs/>
                <w:color w:val="000000"/>
                <w:sz w:val="20"/>
                <w:szCs w:val="20"/>
                <w:lang w:val="sr-Latn-RS" w:eastAsia="sr-Latn-RS"/>
              </w:rPr>
            </w:pPr>
            <w:r w:rsidRPr="00E7272C">
              <w:rPr>
                <w:rFonts w:eastAsia="Times New Roman" w:cs="Times New Roman"/>
                <w:b/>
                <w:bCs/>
                <w:color w:val="000000"/>
                <w:sz w:val="20"/>
                <w:szCs w:val="20"/>
                <w:lang w:val="sr-Latn-RS" w:eastAsia="sr-Latn-RS"/>
              </w:rPr>
              <w:t>Sample</w:t>
            </w:r>
          </w:p>
        </w:tc>
        <w:tc>
          <w:tcPr>
            <w:tcW w:w="1381" w:type="pct"/>
            <w:tcBorders>
              <w:top w:val="single" w:sz="4" w:space="0" w:color="auto"/>
              <w:left w:val="nil"/>
              <w:bottom w:val="single" w:sz="4" w:space="0" w:color="auto"/>
              <w:right w:val="nil"/>
            </w:tcBorders>
            <w:vAlign w:val="center"/>
            <w:hideMark/>
          </w:tcPr>
          <w:p w14:paraId="51F646C8" w14:textId="582E4CB1" w:rsidR="009B6B58" w:rsidRPr="00E7272C" w:rsidRDefault="009B6B58" w:rsidP="009B6B58">
            <w:pPr>
              <w:spacing w:before="0" w:after="0"/>
              <w:jc w:val="left"/>
              <w:rPr>
                <w:rFonts w:eastAsia="Times New Roman" w:cs="Times New Roman"/>
                <w:b/>
                <w:bCs/>
                <w:color w:val="000000"/>
                <w:sz w:val="20"/>
                <w:szCs w:val="20"/>
                <w:lang w:val="sr-Latn-RS" w:eastAsia="sr-Latn-RS"/>
              </w:rPr>
            </w:pPr>
            <w:r w:rsidRPr="00E7272C">
              <w:rPr>
                <w:rFonts w:eastAsia="Times New Roman" w:cs="Times New Roman"/>
                <w:b/>
                <w:bCs/>
                <w:color w:val="000000"/>
                <w:sz w:val="20"/>
                <w:szCs w:val="20"/>
                <w:lang w:val="sr-Latn-RS" w:eastAsia="sr-Latn-RS"/>
              </w:rPr>
              <w:t>Observed</w:t>
            </w:r>
          </w:p>
        </w:tc>
        <w:tc>
          <w:tcPr>
            <w:tcW w:w="572" w:type="pct"/>
            <w:tcBorders>
              <w:top w:val="single" w:sz="4" w:space="0" w:color="auto"/>
              <w:left w:val="nil"/>
              <w:bottom w:val="single" w:sz="4" w:space="0" w:color="auto"/>
              <w:right w:val="nil"/>
            </w:tcBorders>
            <w:shd w:val="clear" w:color="auto" w:fill="auto"/>
            <w:vAlign w:val="center"/>
            <w:hideMark/>
          </w:tcPr>
          <w:p w14:paraId="70064AAF" w14:textId="77777777" w:rsidR="009B6B58" w:rsidRPr="00E7272C" w:rsidRDefault="009B6B58" w:rsidP="009B6B58">
            <w:pPr>
              <w:spacing w:before="0" w:after="0"/>
              <w:jc w:val="center"/>
              <w:rPr>
                <w:rFonts w:eastAsia="Times New Roman" w:cs="Times New Roman"/>
                <w:b/>
                <w:bCs/>
                <w:color w:val="000000"/>
                <w:sz w:val="20"/>
                <w:szCs w:val="20"/>
                <w:lang w:val="sr-Latn-RS" w:eastAsia="sr-Latn-RS"/>
              </w:rPr>
            </w:pPr>
            <w:r w:rsidRPr="00E7272C">
              <w:rPr>
                <w:rFonts w:eastAsia="Times New Roman" w:cs="Times New Roman"/>
                <w:b/>
                <w:bCs/>
                <w:color w:val="000000"/>
                <w:sz w:val="20"/>
                <w:szCs w:val="20"/>
                <w:lang w:val="sr-Latn-RS" w:eastAsia="sr-Latn-RS"/>
              </w:rPr>
              <w:t>None</w:t>
            </w:r>
          </w:p>
        </w:tc>
        <w:tc>
          <w:tcPr>
            <w:tcW w:w="1044" w:type="pct"/>
            <w:tcBorders>
              <w:top w:val="single" w:sz="4" w:space="0" w:color="auto"/>
              <w:left w:val="nil"/>
              <w:bottom w:val="single" w:sz="4" w:space="0" w:color="auto"/>
              <w:right w:val="nil"/>
            </w:tcBorders>
            <w:shd w:val="clear" w:color="auto" w:fill="auto"/>
            <w:vAlign w:val="center"/>
            <w:hideMark/>
          </w:tcPr>
          <w:p w14:paraId="3C6C0839" w14:textId="77777777" w:rsidR="009B6B58" w:rsidRPr="00E7272C" w:rsidRDefault="009B6B58" w:rsidP="009B6B58">
            <w:pPr>
              <w:spacing w:before="0" w:after="0"/>
              <w:jc w:val="center"/>
              <w:rPr>
                <w:rFonts w:eastAsia="Times New Roman" w:cs="Times New Roman"/>
                <w:b/>
                <w:bCs/>
                <w:color w:val="000000"/>
                <w:sz w:val="20"/>
                <w:szCs w:val="20"/>
                <w:lang w:val="sr-Latn-RS" w:eastAsia="sr-Latn-RS"/>
              </w:rPr>
            </w:pPr>
            <w:r w:rsidRPr="00E7272C">
              <w:rPr>
                <w:rFonts w:eastAsia="Times New Roman" w:cs="Times New Roman"/>
                <w:b/>
                <w:bCs/>
                <w:color w:val="000000"/>
                <w:sz w:val="20"/>
                <w:szCs w:val="20"/>
                <w:lang w:val="sr-Latn-RS" w:eastAsia="sr-Latn-RS"/>
              </w:rPr>
              <w:t>Quasi-fault</w:t>
            </w:r>
          </w:p>
        </w:tc>
        <w:tc>
          <w:tcPr>
            <w:tcW w:w="1312" w:type="pct"/>
            <w:tcBorders>
              <w:top w:val="single" w:sz="4" w:space="0" w:color="auto"/>
              <w:left w:val="nil"/>
              <w:bottom w:val="single" w:sz="4" w:space="0" w:color="auto"/>
              <w:right w:val="nil"/>
            </w:tcBorders>
            <w:shd w:val="clear" w:color="auto" w:fill="auto"/>
            <w:vAlign w:val="center"/>
            <w:hideMark/>
          </w:tcPr>
          <w:p w14:paraId="178434DF" w14:textId="77777777" w:rsidR="009B6B58" w:rsidRPr="00E7272C" w:rsidRDefault="009B6B58" w:rsidP="009B6B58">
            <w:pPr>
              <w:spacing w:before="0" w:after="0"/>
              <w:jc w:val="center"/>
              <w:rPr>
                <w:rFonts w:eastAsia="Times New Roman" w:cs="Times New Roman"/>
                <w:b/>
                <w:bCs/>
                <w:color w:val="000000"/>
                <w:sz w:val="20"/>
                <w:szCs w:val="20"/>
                <w:lang w:val="sr-Latn-RS" w:eastAsia="sr-Latn-RS"/>
              </w:rPr>
            </w:pPr>
            <w:r w:rsidRPr="00E7272C">
              <w:rPr>
                <w:rFonts w:eastAsia="Times New Roman" w:cs="Times New Roman"/>
                <w:b/>
                <w:bCs/>
                <w:color w:val="000000"/>
                <w:sz w:val="20"/>
                <w:szCs w:val="20"/>
                <w:lang w:val="sr-Latn-RS" w:eastAsia="sr-Latn-RS"/>
              </w:rPr>
              <w:t>Percent Correct</w:t>
            </w:r>
          </w:p>
        </w:tc>
      </w:tr>
      <w:tr w:rsidR="00E7272C" w:rsidRPr="00E7272C" w14:paraId="26103544" w14:textId="77777777" w:rsidTr="0092086F">
        <w:trPr>
          <w:trHeight w:val="54"/>
        </w:trPr>
        <w:tc>
          <w:tcPr>
            <w:tcW w:w="691" w:type="pct"/>
            <w:vMerge w:val="restart"/>
            <w:tcBorders>
              <w:top w:val="single" w:sz="4" w:space="0" w:color="auto"/>
              <w:left w:val="nil"/>
              <w:bottom w:val="nil"/>
              <w:right w:val="nil"/>
            </w:tcBorders>
            <w:shd w:val="clear" w:color="auto" w:fill="auto"/>
            <w:vAlign w:val="center"/>
            <w:hideMark/>
          </w:tcPr>
          <w:p w14:paraId="32C14D59" w14:textId="77777777" w:rsidR="00E7272C" w:rsidRPr="00E7272C" w:rsidRDefault="00E7272C" w:rsidP="00E7272C">
            <w:pPr>
              <w:spacing w:before="0" w:after="0"/>
              <w:jc w:val="left"/>
              <w:rPr>
                <w:rFonts w:eastAsia="Times New Roman" w:cs="Times New Roman"/>
                <w:color w:val="000000"/>
                <w:sz w:val="20"/>
                <w:szCs w:val="20"/>
                <w:lang w:val="sr-Latn-RS" w:eastAsia="sr-Latn-RS"/>
              </w:rPr>
            </w:pPr>
            <w:r w:rsidRPr="00E7272C">
              <w:rPr>
                <w:rFonts w:eastAsia="Times New Roman" w:cs="Times New Roman"/>
                <w:color w:val="000000"/>
                <w:sz w:val="20"/>
                <w:szCs w:val="20"/>
                <w:lang w:val="sr-Latn-RS" w:eastAsia="sr-Latn-RS"/>
              </w:rPr>
              <w:t>Training</w:t>
            </w:r>
          </w:p>
        </w:tc>
        <w:tc>
          <w:tcPr>
            <w:tcW w:w="1381" w:type="pct"/>
            <w:tcBorders>
              <w:top w:val="single" w:sz="4" w:space="0" w:color="auto"/>
              <w:left w:val="nil"/>
              <w:bottom w:val="nil"/>
              <w:right w:val="nil"/>
            </w:tcBorders>
            <w:shd w:val="clear" w:color="auto" w:fill="auto"/>
            <w:vAlign w:val="center"/>
            <w:hideMark/>
          </w:tcPr>
          <w:p w14:paraId="3CC11A43" w14:textId="77777777" w:rsidR="00E7272C" w:rsidRPr="00E7272C" w:rsidRDefault="00E7272C" w:rsidP="00E7272C">
            <w:pPr>
              <w:spacing w:before="0" w:after="0"/>
              <w:jc w:val="left"/>
              <w:rPr>
                <w:rFonts w:eastAsia="Times New Roman" w:cs="Times New Roman"/>
                <w:color w:val="000000"/>
                <w:sz w:val="20"/>
                <w:szCs w:val="20"/>
                <w:lang w:val="sr-Latn-RS" w:eastAsia="sr-Latn-RS"/>
              </w:rPr>
            </w:pPr>
            <w:r w:rsidRPr="00E7272C">
              <w:rPr>
                <w:rFonts w:eastAsia="Times New Roman" w:cs="Times New Roman"/>
                <w:color w:val="000000"/>
                <w:sz w:val="20"/>
                <w:szCs w:val="20"/>
                <w:lang w:val="sr-Latn-RS" w:eastAsia="sr-Latn-RS"/>
              </w:rPr>
              <w:t>None</w:t>
            </w:r>
          </w:p>
        </w:tc>
        <w:tc>
          <w:tcPr>
            <w:tcW w:w="572" w:type="pct"/>
            <w:tcBorders>
              <w:top w:val="single" w:sz="4" w:space="0" w:color="auto"/>
              <w:left w:val="nil"/>
              <w:bottom w:val="nil"/>
              <w:right w:val="nil"/>
            </w:tcBorders>
            <w:shd w:val="clear" w:color="auto" w:fill="auto"/>
            <w:vAlign w:val="center"/>
            <w:hideMark/>
          </w:tcPr>
          <w:p w14:paraId="57194864" w14:textId="77777777" w:rsidR="00E7272C" w:rsidRPr="00E7272C" w:rsidRDefault="00E7272C" w:rsidP="00E7272C">
            <w:pPr>
              <w:spacing w:before="0" w:after="0"/>
              <w:jc w:val="right"/>
              <w:rPr>
                <w:rFonts w:eastAsia="Times New Roman" w:cs="Times New Roman"/>
                <w:color w:val="000000"/>
                <w:sz w:val="20"/>
                <w:szCs w:val="20"/>
                <w:lang w:val="sr-Latn-RS" w:eastAsia="sr-Latn-RS"/>
              </w:rPr>
            </w:pPr>
            <w:r w:rsidRPr="00E7272C">
              <w:rPr>
                <w:rFonts w:eastAsia="Times New Roman" w:cs="Times New Roman"/>
                <w:color w:val="000000"/>
                <w:sz w:val="20"/>
                <w:szCs w:val="20"/>
                <w:lang w:val="sr-Latn-RS" w:eastAsia="sr-Latn-RS"/>
              </w:rPr>
              <w:t>92</w:t>
            </w:r>
          </w:p>
        </w:tc>
        <w:tc>
          <w:tcPr>
            <w:tcW w:w="1044" w:type="pct"/>
            <w:tcBorders>
              <w:top w:val="single" w:sz="4" w:space="0" w:color="auto"/>
              <w:left w:val="nil"/>
              <w:bottom w:val="nil"/>
              <w:right w:val="nil"/>
            </w:tcBorders>
            <w:shd w:val="clear" w:color="auto" w:fill="auto"/>
            <w:vAlign w:val="center"/>
            <w:hideMark/>
          </w:tcPr>
          <w:p w14:paraId="7FFB0C2D" w14:textId="77777777" w:rsidR="00E7272C" w:rsidRPr="00E7272C" w:rsidRDefault="00E7272C" w:rsidP="00E7272C">
            <w:pPr>
              <w:spacing w:before="0" w:after="0"/>
              <w:jc w:val="right"/>
              <w:rPr>
                <w:rFonts w:eastAsia="Times New Roman" w:cs="Times New Roman"/>
                <w:color w:val="000000"/>
                <w:sz w:val="20"/>
                <w:szCs w:val="20"/>
                <w:lang w:val="sr-Latn-RS" w:eastAsia="sr-Latn-RS"/>
              </w:rPr>
            </w:pPr>
            <w:r w:rsidRPr="00E7272C">
              <w:rPr>
                <w:rFonts w:eastAsia="Times New Roman" w:cs="Times New Roman"/>
                <w:color w:val="000000"/>
                <w:sz w:val="20"/>
                <w:szCs w:val="20"/>
                <w:lang w:val="sr-Latn-RS" w:eastAsia="sr-Latn-RS"/>
              </w:rPr>
              <w:t>36</w:t>
            </w:r>
          </w:p>
        </w:tc>
        <w:tc>
          <w:tcPr>
            <w:tcW w:w="1312" w:type="pct"/>
            <w:tcBorders>
              <w:top w:val="single" w:sz="4" w:space="0" w:color="auto"/>
              <w:left w:val="nil"/>
              <w:bottom w:val="nil"/>
              <w:right w:val="nil"/>
            </w:tcBorders>
            <w:shd w:val="clear" w:color="auto" w:fill="auto"/>
            <w:vAlign w:val="center"/>
            <w:hideMark/>
          </w:tcPr>
          <w:p w14:paraId="5D0F111C" w14:textId="29AD6E07" w:rsidR="00E7272C" w:rsidRPr="00E7272C" w:rsidRDefault="00E7272C" w:rsidP="00E7272C">
            <w:pPr>
              <w:spacing w:before="0" w:after="0"/>
              <w:jc w:val="right"/>
              <w:rPr>
                <w:rFonts w:eastAsia="Times New Roman" w:cs="Times New Roman"/>
                <w:color w:val="000000"/>
                <w:sz w:val="20"/>
                <w:szCs w:val="20"/>
                <w:lang w:val="sr-Latn-RS" w:eastAsia="sr-Latn-RS"/>
              </w:rPr>
            </w:pPr>
            <w:r w:rsidRPr="00E7272C">
              <w:rPr>
                <w:rFonts w:eastAsia="Times New Roman" w:cs="Times New Roman"/>
                <w:color w:val="000000"/>
                <w:sz w:val="20"/>
                <w:szCs w:val="20"/>
                <w:lang w:val="sr-Latn-RS" w:eastAsia="sr-Latn-RS"/>
              </w:rPr>
              <w:t>71.</w:t>
            </w:r>
            <w:r w:rsidR="00A5750B">
              <w:rPr>
                <w:rFonts w:eastAsia="Times New Roman" w:cs="Times New Roman"/>
                <w:color w:val="000000"/>
                <w:sz w:val="20"/>
                <w:szCs w:val="20"/>
                <w:lang w:val="sr-Latn-RS" w:eastAsia="sr-Latn-RS"/>
              </w:rPr>
              <w:t>9</w:t>
            </w:r>
            <w:r w:rsidRPr="00E7272C">
              <w:rPr>
                <w:rFonts w:eastAsia="Times New Roman" w:cs="Times New Roman"/>
                <w:color w:val="000000"/>
                <w:sz w:val="20"/>
                <w:szCs w:val="20"/>
                <w:lang w:val="sr-Latn-RS" w:eastAsia="sr-Latn-RS"/>
              </w:rPr>
              <w:t>%</w:t>
            </w:r>
          </w:p>
        </w:tc>
      </w:tr>
      <w:tr w:rsidR="00E7272C" w:rsidRPr="00E7272C" w14:paraId="0A3C81D2" w14:textId="77777777" w:rsidTr="00836EBD">
        <w:trPr>
          <w:trHeight w:val="113"/>
        </w:trPr>
        <w:tc>
          <w:tcPr>
            <w:tcW w:w="691" w:type="pct"/>
            <w:vMerge/>
            <w:tcBorders>
              <w:top w:val="nil"/>
              <w:left w:val="nil"/>
              <w:bottom w:val="nil"/>
              <w:right w:val="nil"/>
            </w:tcBorders>
            <w:vAlign w:val="center"/>
            <w:hideMark/>
          </w:tcPr>
          <w:p w14:paraId="56D8403A" w14:textId="77777777" w:rsidR="00E7272C" w:rsidRPr="00E7272C" w:rsidRDefault="00E7272C" w:rsidP="00E7272C">
            <w:pPr>
              <w:spacing w:before="0" w:after="0"/>
              <w:jc w:val="left"/>
              <w:rPr>
                <w:rFonts w:eastAsia="Times New Roman" w:cs="Times New Roman"/>
                <w:color w:val="000000"/>
                <w:sz w:val="20"/>
                <w:szCs w:val="20"/>
                <w:lang w:val="sr-Latn-RS" w:eastAsia="sr-Latn-RS"/>
              </w:rPr>
            </w:pPr>
          </w:p>
        </w:tc>
        <w:tc>
          <w:tcPr>
            <w:tcW w:w="1381" w:type="pct"/>
            <w:tcBorders>
              <w:top w:val="nil"/>
              <w:left w:val="nil"/>
              <w:bottom w:val="nil"/>
              <w:right w:val="nil"/>
            </w:tcBorders>
            <w:shd w:val="clear" w:color="auto" w:fill="auto"/>
            <w:vAlign w:val="center"/>
            <w:hideMark/>
          </w:tcPr>
          <w:p w14:paraId="4124D8B2" w14:textId="77777777" w:rsidR="00E7272C" w:rsidRPr="00E7272C" w:rsidRDefault="00E7272C" w:rsidP="00E7272C">
            <w:pPr>
              <w:spacing w:before="0" w:after="0"/>
              <w:jc w:val="left"/>
              <w:rPr>
                <w:rFonts w:eastAsia="Times New Roman" w:cs="Times New Roman"/>
                <w:color w:val="000000"/>
                <w:sz w:val="20"/>
                <w:szCs w:val="20"/>
                <w:lang w:val="sr-Latn-RS" w:eastAsia="sr-Latn-RS"/>
              </w:rPr>
            </w:pPr>
            <w:r w:rsidRPr="00E7272C">
              <w:rPr>
                <w:rFonts w:eastAsia="Times New Roman" w:cs="Times New Roman"/>
                <w:color w:val="000000"/>
                <w:sz w:val="20"/>
                <w:szCs w:val="20"/>
                <w:lang w:val="sr-Latn-RS" w:eastAsia="sr-Latn-RS"/>
              </w:rPr>
              <w:t>Quasi-fault</w:t>
            </w:r>
          </w:p>
        </w:tc>
        <w:tc>
          <w:tcPr>
            <w:tcW w:w="572" w:type="pct"/>
            <w:tcBorders>
              <w:top w:val="nil"/>
              <w:left w:val="nil"/>
              <w:bottom w:val="nil"/>
              <w:right w:val="nil"/>
            </w:tcBorders>
            <w:shd w:val="clear" w:color="auto" w:fill="auto"/>
            <w:vAlign w:val="center"/>
            <w:hideMark/>
          </w:tcPr>
          <w:p w14:paraId="3D9A0685" w14:textId="77777777" w:rsidR="00E7272C" w:rsidRPr="00E7272C" w:rsidRDefault="00E7272C" w:rsidP="00E7272C">
            <w:pPr>
              <w:spacing w:before="0" w:after="0"/>
              <w:jc w:val="right"/>
              <w:rPr>
                <w:rFonts w:eastAsia="Times New Roman" w:cs="Times New Roman"/>
                <w:color w:val="000000"/>
                <w:sz w:val="20"/>
                <w:szCs w:val="20"/>
                <w:lang w:val="sr-Latn-RS" w:eastAsia="sr-Latn-RS"/>
              </w:rPr>
            </w:pPr>
            <w:r w:rsidRPr="00E7272C">
              <w:rPr>
                <w:rFonts w:eastAsia="Times New Roman" w:cs="Times New Roman"/>
                <w:color w:val="000000"/>
                <w:sz w:val="20"/>
                <w:szCs w:val="20"/>
                <w:lang w:val="sr-Latn-RS" w:eastAsia="sr-Latn-RS"/>
              </w:rPr>
              <w:t>7</w:t>
            </w:r>
          </w:p>
        </w:tc>
        <w:tc>
          <w:tcPr>
            <w:tcW w:w="1044" w:type="pct"/>
            <w:tcBorders>
              <w:top w:val="nil"/>
              <w:left w:val="nil"/>
              <w:bottom w:val="nil"/>
              <w:right w:val="nil"/>
            </w:tcBorders>
            <w:shd w:val="clear" w:color="auto" w:fill="auto"/>
            <w:vAlign w:val="center"/>
            <w:hideMark/>
          </w:tcPr>
          <w:p w14:paraId="58F8FEB2" w14:textId="77777777" w:rsidR="00E7272C" w:rsidRPr="00E7272C" w:rsidRDefault="00E7272C" w:rsidP="00E7272C">
            <w:pPr>
              <w:spacing w:before="0" w:after="0"/>
              <w:jc w:val="right"/>
              <w:rPr>
                <w:rFonts w:eastAsia="Times New Roman" w:cs="Times New Roman"/>
                <w:color w:val="000000"/>
                <w:sz w:val="20"/>
                <w:szCs w:val="20"/>
                <w:lang w:val="sr-Latn-RS" w:eastAsia="sr-Latn-RS"/>
              </w:rPr>
            </w:pPr>
            <w:r w:rsidRPr="00E7272C">
              <w:rPr>
                <w:rFonts w:eastAsia="Times New Roman" w:cs="Times New Roman"/>
                <w:color w:val="000000"/>
                <w:sz w:val="20"/>
                <w:szCs w:val="20"/>
                <w:lang w:val="sr-Latn-RS" w:eastAsia="sr-Latn-RS"/>
              </w:rPr>
              <w:t>505</w:t>
            </w:r>
          </w:p>
        </w:tc>
        <w:tc>
          <w:tcPr>
            <w:tcW w:w="1312" w:type="pct"/>
            <w:tcBorders>
              <w:top w:val="nil"/>
              <w:left w:val="nil"/>
              <w:bottom w:val="nil"/>
              <w:right w:val="nil"/>
            </w:tcBorders>
            <w:shd w:val="clear" w:color="auto" w:fill="auto"/>
            <w:vAlign w:val="center"/>
            <w:hideMark/>
          </w:tcPr>
          <w:p w14:paraId="634FDF75" w14:textId="64049C49" w:rsidR="00E7272C" w:rsidRPr="00E7272C" w:rsidRDefault="00E7272C" w:rsidP="00E7272C">
            <w:pPr>
              <w:spacing w:before="0" w:after="0"/>
              <w:jc w:val="right"/>
              <w:rPr>
                <w:rFonts w:eastAsia="Times New Roman" w:cs="Times New Roman"/>
                <w:color w:val="000000"/>
                <w:sz w:val="20"/>
                <w:szCs w:val="20"/>
                <w:lang w:val="sr-Latn-RS" w:eastAsia="sr-Latn-RS"/>
              </w:rPr>
            </w:pPr>
            <w:r w:rsidRPr="00E7272C">
              <w:rPr>
                <w:rFonts w:eastAsia="Times New Roman" w:cs="Times New Roman"/>
                <w:color w:val="000000"/>
                <w:sz w:val="20"/>
                <w:szCs w:val="20"/>
                <w:lang w:val="sr-Latn-RS" w:eastAsia="sr-Latn-RS"/>
              </w:rPr>
              <w:t>98.6%</w:t>
            </w:r>
          </w:p>
        </w:tc>
      </w:tr>
      <w:tr w:rsidR="00E7272C" w:rsidRPr="00E7272C" w14:paraId="3795A889" w14:textId="77777777" w:rsidTr="0092086F">
        <w:trPr>
          <w:trHeight w:val="207"/>
        </w:trPr>
        <w:tc>
          <w:tcPr>
            <w:tcW w:w="691" w:type="pct"/>
            <w:vMerge/>
            <w:tcBorders>
              <w:top w:val="nil"/>
              <w:left w:val="nil"/>
              <w:right w:val="nil"/>
            </w:tcBorders>
            <w:vAlign w:val="center"/>
            <w:hideMark/>
          </w:tcPr>
          <w:p w14:paraId="4E4D017F" w14:textId="77777777" w:rsidR="00E7272C" w:rsidRPr="00E7272C" w:rsidRDefault="00E7272C" w:rsidP="00E7272C">
            <w:pPr>
              <w:spacing w:before="0" w:after="0"/>
              <w:jc w:val="left"/>
              <w:rPr>
                <w:rFonts w:eastAsia="Times New Roman" w:cs="Times New Roman"/>
                <w:color w:val="000000"/>
                <w:sz w:val="20"/>
                <w:szCs w:val="20"/>
                <w:lang w:val="sr-Latn-RS" w:eastAsia="sr-Latn-RS"/>
              </w:rPr>
            </w:pPr>
          </w:p>
        </w:tc>
        <w:tc>
          <w:tcPr>
            <w:tcW w:w="1381" w:type="pct"/>
            <w:tcBorders>
              <w:top w:val="nil"/>
              <w:left w:val="nil"/>
              <w:right w:val="nil"/>
            </w:tcBorders>
            <w:shd w:val="clear" w:color="auto" w:fill="auto"/>
            <w:vAlign w:val="center"/>
            <w:hideMark/>
          </w:tcPr>
          <w:p w14:paraId="7B3F456B" w14:textId="361CC6BF" w:rsidR="00E7272C" w:rsidRPr="00E7272C" w:rsidRDefault="00E7272C" w:rsidP="00E7272C">
            <w:pPr>
              <w:spacing w:before="0" w:after="0"/>
              <w:jc w:val="left"/>
              <w:rPr>
                <w:rFonts w:eastAsia="Times New Roman" w:cs="Times New Roman"/>
                <w:color w:val="000000"/>
                <w:sz w:val="20"/>
                <w:szCs w:val="20"/>
                <w:lang w:val="sr-Latn-RS" w:eastAsia="sr-Latn-RS"/>
              </w:rPr>
            </w:pPr>
            <w:r w:rsidRPr="00E7272C">
              <w:rPr>
                <w:rFonts w:eastAsia="Times New Roman" w:cs="Times New Roman"/>
                <w:color w:val="000000"/>
                <w:sz w:val="20"/>
                <w:szCs w:val="20"/>
                <w:lang w:val="sr-Latn-RS" w:eastAsia="sr-Latn-RS"/>
              </w:rPr>
              <w:t xml:space="preserve">Overall </w:t>
            </w:r>
            <w:r w:rsidR="00E35611">
              <w:rPr>
                <w:rFonts w:eastAsia="Times New Roman" w:cs="Times New Roman"/>
                <w:color w:val="000000"/>
                <w:sz w:val="20"/>
                <w:szCs w:val="20"/>
                <w:lang w:val="sr-Latn-RS" w:eastAsia="sr-Latn-RS"/>
              </w:rPr>
              <w:t xml:space="preserve">Training </w:t>
            </w:r>
            <w:r w:rsidRPr="00E7272C">
              <w:rPr>
                <w:rFonts w:eastAsia="Times New Roman" w:cs="Times New Roman"/>
                <w:color w:val="000000"/>
                <w:sz w:val="20"/>
                <w:szCs w:val="20"/>
                <w:lang w:val="sr-Latn-RS" w:eastAsia="sr-Latn-RS"/>
              </w:rPr>
              <w:t>Percentage</w:t>
            </w:r>
          </w:p>
        </w:tc>
        <w:tc>
          <w:tcPr>
            <w:tcW w:w="572" w:type="pct"/>
            <w:tcBorders>
              <w:top w:val="nil"/>
              <w:left w:val="nil"/>
              <w:right w:val="nil"/>
            </w:tcBorders>
            <w:shd w:val="clear" w:color="auto" w:fill="auto"/>
            <w:noWrap/>
            <w:vAlign w:val="center"/>
            <w:hideMark/>
          </w:tcPr>
          <w:p w14:paraId="4557035F" w14:textId="3F10EA7E" w:rsidR="00E7272C" w:rsidRPr="00E7272C" w:rsidRDefault="00E7272C" w:rsidP="00E7272C">
            <w:pPr>
              <w:spacing w:before="0" w:after="0"/>
              <w:jc w:val="right"/>
              <w:rPr>
                <w:rFonts w:eastAsia="Times New Roman" w:cs="Times New Roman"/>
                <w:color w:val="000000"/>
                <w:sz w:val="20"/>
                <w:szCs w:val="20"/>
                <w:lang w:val="sr-Latn-RS" w:eastAsia="sr-Latn-RS"/>
              </w:rPr>
            </w:pPr>
            <w:r w:rsidRPr="00E7272C">
              <w:rPr>
                <w:rFonts w:eastAsia="Times New Roman" w:cs="Times New Roman"/>
                <w:color w:val="000000"/>
                <w:sz w:val="20"/>
                <w:szCs w:val="20"/>
                <w:lang w:val="sr-Latn-RS" w:eastAsia="sr-Latn-RS"/>
              </w:rPr>
              <w:t>15.</w:t>
            </w:r>
            <w:r w:rsidR="00A5750B">
              <w:rPr>
                <w:rFonts w:eastAsia="Times New Roman" w:cs="Times New Roman"/>
                <w:color w:val="000000"/>
                <w:sz w:val="20"/>
                <w:szCs w:val="20"/>
                <w:lang w:val="sr-Latn-RS" w:eastAsia="sr-Latn-RS"/>
              </w:rPr>
              <w:t>5</w:t>
            </w:r>
            <w:r w:rsidRPr="00E7272C">
              <w:rPr>
                <w:rFonts w:eastAsia="Times New Roman" w:cs="Times New Roman"/>
                <w:color w:val="000000"/>
                <w:sz w:val="20"/>
                <w:szCs w:val="20"/>
                <w:lang w:val="sr-Latn-RS" w:eastAsia="sr-Latn-RS"/>
              </w:rPr>
              <w:t>%</w:t>
            </w:r>
          </w:p>
        </w:tc>
        <w:tc>
          <w:tcPr>
            <w:tcW w:w="1044" w:type="pct"/>
            <w:tcBorders>
              <w:top w:val="nil"/>
              <w:left w:val="nil"/>
              <w:right w:val="nil"/>
            </w:tcBorders>
            <w:shd w:val="clear" w:color="auto" w:fill="auto"/>
            <w:noWrap/>
            <w:vAlign w:val="center"/>
            <w:hideMark/>
          </w:tcPr>
          <w:p w14:paraId="362923C3" w14:textId="77777777" w:rsidR="00E7272C" w:rsidRPr="00E7272C" w:rsidRDefault="00E7272C" w:rsidP="00E7272C">
            <w:pPr>
              <w:spacing w:before="0" w:after="0"/>
              <w:jc w:val="right"/>
              <w:rPr>
                <w:rFonts w:eastAsia="Times New Roman" w:cs="Times New Roman"/>
                <w:color w:val="000000"/>
                <w:sz w:val="20"/>
                <w:szCs w:val="20"/>
                <w:lang w:val="sr-Latn-RS" w:eastAsia="sr-Latn-RS"/>
              </w:rPr>
            </w:pPr>
            <w:r w:rsidRPr="00E7272C">
              <w:rPr>
                <w:rFonts w:eastAsia="Times New Roman" w:cs="Times New Roman"/>
                <w:color w:val="000000"/>
                <w:sz w:val="20"/>
                <w:szCs w:val="20"/>
                <w:lang w:val="sr-Latn-RS" w:eastAsia="sr-Latn-RS"/>
              </w:rPr>
              <w:t>84.5%</w:t>
            </w:r>
          </w:p>
        </w:tc>
        <w:tc>
          <w:tcPr>
            <w:tcW w:w="1312" w:type="pct"/>
            <w:tcBorders>
              <w:top w:val="nil"/>
              <w:left w:val="nil"/>
              <w:right w:val="nil"/>
            </w:tcBorders>
            <w:shd w:val="clear" w:color="auto" w:fill="auto"/>
            <w:vAlign w:val="center"/>
            <w:hideMark/>
          </w:tcPr>
          <w:p w14:paraId="634DB7EB" w14:textId="169B6F2C" w:rsidR="00E7272C" w:rsidRPr="00E7272C" w:rsidRDefault="00E7272C" w:rsidP="00E7272C">
            <w:pPr>
              <w:spacing w:before="0" w:after="0"/>
              <w:jc w:val="right"/>
              <w:rPr>
                <w:rFonts w:eastAsia="Times New Roman" w:cs="Times New Roman"/>
                <w:b/>
                <w:bCs/>
                <w:color w:val="000000"/>
                <w:sz w:val="20"/>
                <w:szCs w:val="20"/>
                <w:lang w:val="sr-Latn-RS" w:eastAsia="sr-Latn-RS"/>
              </w:rPr>
            </w:pPr>
            <w:r w:rsidRPr="00E7272C">
              <w:rPr>
                <w:rFonts w:eastAsia="Times New Roman" w:cs="Times New Roman"/>
                <w:b/>
                <w:bCs/>
                <w:color w:val="000000"/>
                <w:sz w:val="20"/>
                <w:szCs w:val="20"/>
                <w:lang w:val="sr-Latn-RS" w:eastAsia="sr-Latn-RS"/>
              </w:rPr>
              <w:t>93.</w:t>
            </w:r>
            <w:r w:rsidR="00A5750B">
              <w:rPr>
                <w:rFonts w:eastAsia="Times New Roman" w:cs="Times New Roman"/>
                <w:b/>
                <w:bCs/>
                <w:color w:val="000000"/>
                <w:sz w:val="20"/>
                <w:szCs w:val="20"/>
                <w:lang w:val="sr-Latn-RS" w:eastAsia="sr-Latn-RS"/>
              </w:rPr>
              <w:t>3</w:t>
            </w:r>
            <w:r w:rsidRPr="00E7272C">
              <w:rPr>
                <w:rFonts w:eastAsia="Times New Roman" w:cs="Times New Roman"/>
                <w:b/>
                <w:bCs/>
                <w:color w:val="000000"/>
                <w:sz w:val="20"/>
                <w:szCs w:val="20"/>
                <w:lang w:val="sr-Latn-RS" w:eastAsia="sr-Latn-RS"/>
              </w:rPr>
              <w:t>%</w:t>
            </w:r>
          </w:p>
        </w:tc>
      </w:tr>
      <w:tr w:rsidR="00E7272C" w:rsidRPr="00E7272C" w14:paraId="380B53E8" w14:textId="77777777" w:rsidTr="00FD20D1">
        <w:trPr>
          <w:trHeight w:val="78"/>
        </w:trPr>
        <w:tc>
          <w:tcPr>
            <w:tcW w:w="691" w:type="pct"/>
            <w:vMerge w:val="restart"/>
            <w:tcBorders>
              <w:top w:val="nil"/>
              <w:left w:val="nil"/>
              <w:bottom w:val="single" w:sz="8" w:space="0" w:color="152935"/>
              <w:right w:val="nil"/>
            </w:tcBorders>
            <w:shd w:val="clear" w:color="auto" w:fill="auto"/>
            <w:vAlign w:val="center"/>
            <w:hideMark/>
          </w:tcPr>
          <w:p w14:paraId="036F5468" w14:textId="77777777" w:rsidR="00E7272C" w:rsidRPr="00E7272C" w:rsidRDefault="00E7272C" w:rsidP="00E7272C">
            <w:pPr>
              <w:spacing w:before="0" w:after="0"/>
              <w:jc w:val="left"/>
              <w:rPr>
                <w:rFonts w:eastAsia="Times New Roman" w:cs="Times New Roman"/>
                <w:color w:val="000000"/>
                <w:sz w:val="20"/>
                <w:szCs w:val="20"/>
                <w:lang w:val="sr-Latn-RS" w:eastAsia="sr-Latn-RS"/>
              </w:rPr>
            </w:pPr>
            <w:r w:rsidRPr="00E7272C">
              <w:rPr>
                <w:rFonts w:eastAsia="Times New Roman" w:cs="Times New Roman"/>
                <w:color w:val="000000"/>
                <w:sz w:val="20"/>
                <w:szCs w:val="20"/>
                <w:lang w:val="sr-Latn-RS" w:eastAsia="sr-Latn-RS"/>
              </w:rPr>
              <w:t>Test</w:t>
            </w:r>
          </w:p>
        </w:tc>
        <w:tc>
          <w:tcPr>
            <w:tcW w:w="1381" w:type="pct"/>
            <w:tcBorders>
              <w:top w:val="nil"/>
              <w:left w:val="nil"/>
              <w:bottom w:val="nil"/>
              <w:right w:val="nil"/>
            </w:tcBorders>
            <w:shd w:val="clear" w:color="auto" w:fill="auto"/>
            <w:vAlign w:val="center"/>
            <w:hideMark/>
          </w:tcPr>
          <w:p w14:paraId="6105DBF1" w14:textId="77777777" w:rsidR="00E7272C" w:rsidRPr="00E7272C" w:rsidRDefault="00E7272C" w:rsidP="00E7272C">
            <w:pPr>
              <w:spacing w:before="0" w:after="0"/>
              <w:jc w:val="left"/>
              <w:rPr>
                <w:rFonts w:eastAsia="Times New Roman" w:cs="Times New Roman"/>
                <w:color w:val="000000"/>
                <w:sz w:val="20"/>
                <w:szCs w:val="20"/>
                <w:lang w:val="sr-Latn-RS" w:eastAsia="sr-Latn-RS"/>
              </w:rPr>
            </w:pPr>
            <w:r w:rsidRPr="00E7272C">
              <w:rPr>
                <w:rFonts w:eastAsia="Times New Roman" w:cs="Times New Roman"/>
                <w:color w:val="000000"/>
                <w:sz w:val="20"/>
                <w:szCs w:val="20"/>
                <w:lang w:val="sr-Latn-RS" w:eastAsia="sr-Latn-RS"/>
              </w:rPr>
              <w:t>None</w:t>
            </w:r>
          </w:p>
        </w:tc>
        <w:tc>
          <w:tcPr>
            <w:tcW w:w="572" w:type="pct"/>
            <w:tcBorders>
              <w:top w:val="nil"/>
              <w:left w:val="nil"/>
              <w:bottom w:val="nil"/>
              <w:right w:val="nil"/>
            </w:tcBorders>
            <w:shd w:val="clear" w:color="auto" w:fill="auto"/>
            <w:vAlign w:val="center"/>
            <w:hideMark/>
          </w:tcPr>
          <w:p w14:paraId="38D3954D" w14:textId="1AFCEB66" w:rsidR="00E7272C" w:rsidRPr="00E7272C" w:rsidRDefault="00E7272C" w:rsidP="00E7272C">
            <w:pPr>
              <w:spacing w:before="0" w:after="0"/>
              <w:jc w:val="right"/>
              <w:rPr>
                <w:rFonts w:eastAsia="Times New Roman" w:cs="Times New Roman"/>
                <w:color w:val="000000"/>
                <w:sz w:val="20"/>
                <w:szCs w:val="20"/>
                <w:lang w:val="sr-Latn-RS" w:eastAsia="sr-Latn-RS"/>
              </w:rPr>
            </w:pPr>
            <w:r w:rsidRPr="00E7272C">
              <w:rPr>
                <w:rFonts w:eastAsia="Times New Roman" w:cs="Times New Roman"/>
                <w:color w:val="000000"/>
                <w:sz w:val="20"/>
                <w:szCs w:val="20"/>
                <w:lang w:val="sr-Latn-RS" w:eastAsia="sr-Latn-RS"/>
              </w:rPr>
              <w:t>4</w:t>
            </w:r>
            <w:r w:rsidR="002B2042">
              <w:rPr>
                <w:rFonts w:eastAsia="Times New Roman" w:cs="Times New Roman"/>
                <w:color w:val="000000"/>
                <w:sz w:val="20"/>
                <w:szCs w:val="20"/>
                <w:lang w:val="sr-Latn-RS" w:eastAsia="sr-Latn-RS"/>
              </w:rPr>
              <w:t>3</w:t>
            </w:r>
          </w:p>
        </w:tc>
        <w:tc>
          <w:tcPr>
            <w:tcW w:w="1044" w:type="pct"/>
            <w:tcBorders>
              <w:top w:val="nil"/>
              <w:left w:val="nil"/>
              <w:bottom w:val="nil"/>
              <w:right w:val="nil"/>
            </w:tcBorders>
            <w:shd w:val="clear" w:color="auto" w:fill="auto"/>
            <w:noWrap/>
            <w:vAlign w:val="bottom"/>
            <w:hideMark/>
          </w:tcPr>
          <w:p w14:paraId="28138244" w14:textId="6FA8B6D0" w:rsidR="00E7272C" w:rsidRPr="00E7272C" w:rsidRDefault="002B2042" w:rsidP="00E7272C">
            <w:pPr>
              <w:spacing w:before="0" w:after="0"/>
              <w:jc w:val="right"/>
              <w:rPr>
                <w:rFonts w:eastAsia="Times New Roman" w:cs="Times New Roman"/>
                <w:color w:val="000000"/>
                <w:sz w:val="20"/>
                <w:szCs w:val="20"/>
                <w:lang w:val="sr-Latn-RS" w:eastAsia="sr-Latn-RS"/>
              </w:rPr>
            </w:pPr>
            <w:r>
              <w:rPr>
                <w:rFonts w:eastAsia="Times New Roman" w:cs="Times New Roman"/>
                <w:color w:val="000000"/>
                <w:sz w:val="20"/>
                <w:szCs w:val="20"/>
                <w:lang w:val="sr-Latn-RS" w:eastAsia="sr-Latn-RS"/>
              </w:rPr>
              <w:t>30</w:t>
            </w:r>
          </w:p>
        </w:tc>
        <w:tc>
          <w:tcPr>
            <w:tcW w:w="1312" w:type="pct"/>
            <w:tcBorders>
              <w:top w:val="nil"/>
              <w:left w:val="nil"/>
              <w:bottom w:val="nil"/>
              <w:right w:val="nil"/>
            </w:tcBorders>
            <w:shd w:val="clear" w:color="auto" w:fill="auto"/>
            <w:vAlign w:val="center"/>
            <w:hideMark/>
          </w:tcPr>
          <w:p w14:paraId="0F7935A2" w14:textId="31AAA0CE" w:rsidR="00E7272C" w:rsidRPr="00E7272C" w:rsidRDefault="002B2042" w:rsidP="00E7272C">
            <w:pPr>
              <w:spacing w:before="0" w:after="0"/>
              <w:jc w:val="right"/>
              <w:rPr>
                <w:rFonts w:eastAsia="Times New Roman" w:cs="Times New Roman"/>
                <w:color w:val="000000"/>
                <w:sz w:val="20"/>
                <w:szCs w:val="20"/>
                <w:lang w:val="sr-Latn-RS" w:eastAsia="sr-Latn-RS"/>
              </w:rPr>
            </w:pPr>
            <w:r>
              <w:rPr>
                <w:rFonts w:eastAsia="Times New Roman" w:cs="Times New Roman"/>
                <w:color w:val="000000"/>
                <w:sz w:val="20"/>
                <w:szCs w:val="20"/>
                <w:lang w:val="sr-Latn-RS" w:eastAsia="sr-Latn-RS"/>
              </w:rPr>
              <w:t>58</w:t>
            </w:r>
            <w:r w:rsidR="00E7272C" w:rsidRPr="00E7272C">
              <w:rPr>
                <w:rFonts w:eastAsia="Times New Roman" w:cs="Times New Roman"/>
                <w:color w:val="000000"/>
                <w:sz w:val="20"/>
                <w:szCs w:val="20"/>
                <w:lang w:val="sr-Latn-RS" w:eastAsia="sr-Latn-RS"/>
              </w:rPr>
              <w:t>.</w:t>
            </w:r>
            <w:r>
              <w:rPr>
                <w:rFonts w:eastAsia="Times New Roman" w:cs="Times New Roman"/>
                <w:color w:val="000000"/>
                <w:sz w:val="20"/>
                <w:szCs w:val="20"/>
                <w:lang w:val="sr-Latn-RS" w:eastAsia="sr-Latn-RS"/>
              </w:rPr>
              <w:t>9</w:t>
            </w:r>
            <w:r w:rsidR="00E7272C" w:rsidRPr="00E7272C">
              <w:rPr>
                <w:rFonts w:eastAsia="Times New Roman" w:cs="Times New Roman"/>
                <w:color w:val="000000"/>
                <w:sz w:val="20"/>
                <w:szCs w:val="20"/>
                <w:lang w:val="sr-Latn-RS" w:eastAsia="sr-Latn-RS"/>
              </w:rPr>
              <w:t>%</w:t>
            </w:r>
          </w:p>
        </w:tc>
      </w:tr>
      <w:tr w:rsidR="00E7272C" w:rsidRPr="00E7272C" w14:paraId="3A5A461C" w14:textId="77777777" w:rsidTr="00836EBD">
        <w:trPr>
          <w:trHeight w:val="54"/>
        </w:trPr>
        <w:tc>
          <w:tcPr>
            <w:tcW w:w="691" w:type="pct"/>
            <w:vMerge/>
            <w:tcBorders>
              <w:top w:val="nil"/>
              <w:left w:val="nil"/>
              <w:bottom w:val="single" w:sz="8" w:space="0" w:color="152935"/>
              <w:right w:val="nil"/>
            </w:tcBorders>
            <w:vAlign w:val="center"/>
            <w:hideMark/>
          </w:tcPr>
          <w:p w14:paraId="259EACC5" w14:textId="77777777" w:rsidR="00E7272C" w:rsidRPr="00E7272C" w:rsidRDefault="00E7272C" w:rsidP="00E7272C">
            <w:pPr>
              <w:spacing w:before="0" w:after="0"/>
              <w:jc w:val="left"/>
              <w:rPr>
                <w:rFonts w:eastAsia="Times New Roman" w:cs="Times New Roman"/>
                <w:color w:val="000000"/>
                <w:sz w:val="20"/>
                <w:szCs w:val="20"/>
                <w:lang w:val="sr-Latn-RS" w:eastAsia="sr-Latn-RS"/>
              </w:rPr>
            </w:pPr>
          </w:p>
        </w:tc>
        <w:tc>
          <w:tcPr>
            <w:tcW w:w="1381" w:type="pct"/>
            <w:tcBorders>
              <w:top w:val="nil"/>
              <w:left w:val="nil"/>
              <w:bottom w:val="nil"/>
              <w:right w:val="nil"/>
            </w:tcBorders>
            <w:shd w:val="clear" w:color="auto" w:fill="auto"/>
            <w:vAlign w:val="center"/>
            <w:hideMark/>
          </w:tcPr>
          <w:p w14:paraId="5356D1F7" w14:textId="77777777" w:rsidR="00E7272C" w:rsidRPr="00E7272C" w:rsidRDefault="00E7272C" w:rsidP="00E7272C">
            <w:pPr>
              <w:spacing w:before="0" w:after="0"/>
              <w:jc w:val="left"/>
              <w:rPr>
                <w:rFonts w:eastAsia="Times New Roman" w:cs="Times New Roman"/>
                <w:color w:val="000000"/>
                <w:sz w:val="20"/>
                <w:szCs w:val="20"/>
                <w:lang w:val="sr-Latn-RS" w:eastAsia="sr-Latn-RS"/>
              </w:rPr>
            </w:pPr>
            <w:r w:rsidRPr="00E7272C">
              <w:rPr>
                <w:rFonts w:eastAsia="Times New Roman" w:cs="Times New Roman"/>
                <w:color w:val="000000"/>
                <w:sz w:val="20"/>
                <w:szCs w:val="20"/>
                <w:lang w:val="sr-Latn-RS" w:eastAsia="sr-Latn-RS"/>
              </w:rPr>
              <w:t>Quasi-fault</w:t>
            </w:r>
          </w:p>
        </w:tc>
        <w:tc>
          <w:tcPr>
            <w:tcW w:w="572" w:type="pct"/>
            <w:tcBorders>
              <w:top w:val="nil"/>
              <w:left w:val="nil"/>
              <w:bottom w:val="nil"/>
              <w:right w:val="nil"/>
            </w:tcBorders>
            <w:shd w:val="clear" w:color="auto" w:fill="auto"/>
            <w:vAlign w:val="center"/>
            <w:hideMark/>
          </w:tcPr>
          <w:p w14:paraId="44C1C6C0" w14:textId="74DA15D9" w:rsidR="00E7272C" w:rsidRPr="00E7272C" w:rsidRDefault="00AC5739" w:rsidP="00E7272C">
            <w:pPr>
              <w:spacing w:before="0" w:after="0"/>
              <w:jc w:val="right"/>
              <w:rPr>
                <w:rFonts w:eastAsia="Times New Roman" w:cs="Times New Roman"/>
                <w:color w:val="000000"/>
                <w:sz w:val="20"/>
                <w:szCs w:val="20"/>
                <w:lang w:val="sr-Latn-RS" w:eastAsia="sr-Latn-RS"/>
              </w:rPr>
            </w:pPr>
            <w:r>
              <w:rPr>
                <w:rFonts w:eastAsia="Times New Roman" w:cs="Times New Roman"/>
                <w:color w:val="000000"/>
                <w:sz w:val="20"/>
                <w:szCs w:val="20"/>
                <w:lang w:val="sr-Latn-RS" w:eastAsia="sr-Latn-RS"/>
              </w:rPr>
              <w:t>0</w:t>
            </w:r>
          </w:p>
        </w:tc>
        <w:tc>
          <w:tcPr>
            <w:tcW w:w="1044" w:type="pct"/>
            <w:tcBorders>
              <w:top w:val="nil"/>
              <w:left w:val="nil"/>
              <w:bottom w:val="nil"/>
              <w:right w:val="nil"/>
            </w:tcBorders>
            <w:shd w:val="clear" w:color="auto" w:fill="auto"/>
            <w:vAlign w:val="center"/>
            <w:hideMark/>
          </w:tcPr>
          <w:p w14:paraId="58F27B4E" w14:textId="796B8907" w:rsidR="00E7272C" w:rsidRPr="00E7272C" w:rsidRDefault="00AC5739" w:rsidP="00E7272C">
            <w:pPr>
              <w:spacing w:before="0" w:after="0"/>
              <w:jc w:val="right"/>
              <w:rPr>
                <w:rFonts w:eastAsia="Times New Roman" w:cs="Times New Roman"/>
                <w:color w:val="000000"/>
                <w:sz w:val="20"/>
                <w:szCs w:val="20"/>
                <w:lang w:val="sr-Latn-RS" w:eastAsia="sr-Latn-RS"/>
              </w:rPr>
            </w:pPr>
            <w:r>
              <w:rPr>
                <w:rFonts w:eastAsia="Times New Roman" w:cs="Times New Roman"/>
                <w:color w:val="000000"/>
                <w:sz w:val="20"/>
                <w:szCs w:val="20"/>
                <w:lang w:val="sr-Latn-RS" w:eastAsia="sr-Latn-RS"/>
              </w:rPr>
              <w:t>203</w:t>
            </w:r>
          </w:p>
        </w:tc>
        <w:tc>
          <w:tcPr>
            <w:tcW w:w="1312" w:type="pct"/>
            <w:tcBorders>
              <w:top w:val="nil"/>
              <w:left w:val="nil"/>
              <w:bottom w:val="nil"/>
              <w:right w:val="nil"/>
            </w:tcBorders>
            <w:shd w:val="clear" w:color="auto" w:fill="auto"/>
            <w:vAlign w:val="center"/>
            <w:hideMark/>
          </w:tcPr>
          <w:p w14:paraId="69714B15" w14:textId="7D93FF00" w:rsidR="00E7272C" w:rsidRPr="00E7272C" w:rsidRDefault="00E7272C" w:rsidP="00E7272C">
            <w:pPr>
              <w:spacing w:before="0" w:after="0"/>
              <w:jc w:val="right"/>
              <w:rPr>
                <w:rFonts w:eastAsia="Times New Roman" w:cs="Times New Roman"/>
                <w:color w:val="000000"/>
                <w:sz w:val="20"/>
                <w:szCs w:val="20"/>
                <w:lang w:val="sr-Latn-RS" w:eastAsia="sr-Latn-RS"/>
              </w:rPr>
            </w:pPr>
            <w:r w:rsidRPr="00E7272C">
              <w:rPr>
                <w:rFonts w:eastAsia="Times New Roman" w:cs="Times New Roman"/>
                <w:color w:val="000000"/>
                <w:sz w:val="20"/>
                <w:szCs w:val="20"/>
                <w:lang w:val="sr-Latn-RS" w:eastAsia="sr-Latn-RS"/>
              </w:rPr>
              <w:t>98.5%</w:t>
            </w:r>
          </w:p>
        </w:tc>
      </w:tr>
      <w:tr w:rsidR="00E7272C" w:rsidRPr="00E7272C" w14:paraId="500131B8" w14:textId="77777777" w:rsidTr="0092086F">
        <w:trPr>
          <w:trHeight w:val="96"/>
        </w:trPr>
        <w:tc>
          <w:tcPr>
            <w:tcW w:w="691" w:type="pct"/>
            <w:vMerge/>
            <w:tcBorders>
              <w:top w:val="nil"/>
              <w:left w:val="nil"/>
              <w:bottom w:val="single" w:sz="4" w:space="0" w:color="auto"/>
              <w:right w:val="nil"/>
            </w:tcBorders>
            <w:vAlign w:val="center"/>
            <w:hideMark/>
          </w:tcPr>
          <w:p w14:paraId="34408613" w14:textId="77777777" w:rsidR="00E7272C" w:rsidRPr="00E7272C" w:rsidRDefault="00E7272C" w:rsidP="00E7272C">
            <w:pPr>
              <w:spacing w:before="0" w:after="0"/>
              <w:jc w:val="left"/>
              <w:rPr>
                <w:rFonts w:eastAsia="Times New Roman" w:cs="Times New Roman"/>
                <w:color w:val="000000"/>
                <w:sz w:val="20"/>
                <w:szCs w:val="20"/>
                <w:lang w:val="sr-Latn-RS" w:eastAsia="sr-Latn-RS"/>
              </w:rPr>
            </w:pPr>
          </w:p>
        </w:tc>
        <w:tc>
          <w:tcPr>
            <w:tcW w:w="1381" w:type="pct"/>
            <w:tcBorders>
              <w:top w:val="nil"/>
              <w:left w:val="nil"/>
              <w:bottom w:val="single" w:sz="4" w:space="0" w:color="auto"/>
              <w:right w:val="nil"/>
            </w:tcBorders>
            <w:shd w:val="clear" w:color="auto" w:fill="auto"/>
            <w:vAlign w:val="center"/>
            <w:hideMark/>
          </w:tcPr>
          <w:p w14:paraId="2A6461F1" w14:textId="0B02FE2D" w:rsidR="00E7272C" w:rsidRPr="00E7272C" w:rsidRDefault="00E7272C" w:rsidP="00E7272C">
            <w:pPr>
              <w:spacing w:before="0" w:after="0"/>
              <w:jc w:val="left"/>
              <w:rPr>
                <w:rFonts w:eastAsia="Times New Roman" w:cs="Times New Roman"/>
                <w:color w:val="000000"/>
                <w:sz w:val="20"/>
                <w:szCs w:val="20"/>
                <w:lang w:val="sr-Latn-RS" w:eastAsia="sr-Latn-RS"/>
              </w:rPr>
            </w:pPr>
            <w:r w:rsidRPr="00E7272C">
              <w:rPr>
                <w:rFonts w:eastAsia="Times New Roman" w:cs="Times New Roman"/>
                <w:color w:val="000000"/>
                <w:sz w:val="20"/>
                <w:szCs w:val="20"/>
                <w:lang w:val="sr-Latn-RS" w:eastAsia="sr-Latn-RS"/>
              </w:rPr>
              <w:t xml:space="preserve">Overall </w:t>
            </w:r>
            <w:r w:rsidR="00E35611">
              <w:rPr>
                <w:rFonts w:eastAsia="Times New Roman" w:cs="Times New Roman"/>
                <w:color w:val="000000"/>
                <w:sz w:val="20"/>
                <w:szCs w:val="20"/>
                <w:lang w:val="sr-Latn-RS" w:eastAsia="sr-Latn-RS"/>
              </w:rPr>
              <w:t xml:space="preserve">Testing </w:t>
            </w:r>
            <w:r w:rsidRPr="00E7272C">
              <w:rPr>
                <w:rFonts w:eastAsia="Times New Roman" w:cs="Times New Roman"/>
                <w:color w:val="000000"/>
                <w:sz w:val="20"/>
                <w:szCs w:val="20"/>
                <w:lang w:val="sr-Latn-RS" w:eastAsia="sr-Latn-RS"/>
              </w:rPr>
              <w:t>Percentage</w:t>
            </w:r>
          </w:p>
        </w:tc>
        <w:tc>
          <w:tcPr>
            <w:tcW w:w="572" w:type="pct"/>
            <w:tcBorders>
              <w:top w:val="nil"/>
              <w:left w:val="nil"/>
              <w:bottom w:val="single" w:sz="4" w:space="0" w:color="auto"/>
              <w:right w:val="nil"/>
            </w:tcBorders>
            <w:shd w:val="clear" w:color="auto" w:fill="auto"/>
            <w:vAlign w:val="center"/>
            <w:hideMark/>
          </w:tcPr>
          <w:p w14:paraId="680E28A0" w14:textId="1231E5E6" w:rsidR="00E7272C" w:rsidRPr="00E7272C" w:rsidRDefault="00E7272C" w:rsidP="00E7272C">
            <w:pPr>
              <w:spacing w:before="0" w:after="0"/>
              <w:jc w:val="right"/>
              <w:rPr>
                <w:rFonts w:eastAsia="Times New Roman" w:cs="Times New Roman"/>
                <w:color w:val="000000"/>
                <w:sz w:val="20"/>
                <w:szCs w:val="20"/>
                <w:lang w:val="sr-Latn-RS" w:eastAsia="sr-Latn-RS"/>
              </w:rPr>
            </w:pPr>
            <w:r w:rsidRPr="00E7272C">
              <w:rPr>
                <w:rFonts w:eastAsia="Times New Roman" w:cs="Times New Roman"/>
                <w:color w:val="000000"/>
                <w:sz w:val="20"/>
                <w:szCs w:val="20"/>
                <w:lang w:val="sr-Latn-RS" w:eastAsia="sr-Latn-RS"/>
              </w:rPr>
              <w:t>17.</w:t>
            </w:r>
            <w:r w:rsidR="00A5750B">
              <w:rPr>
                <w:rFonts w:eastAsia="Times New Roman" w:cs="Times New Roman"/>
                <w:color w:val="000000"/>
                <w:sz w:val="20"/>
                <w:szCs w:val="20"/>
                <w:lang w:val="sr-Latn-RS" w:eastAsia="sr-Latn-RS"/>
              </w:rPr>
              <w:t>8</w:t>
            </w:r>
            <w:r w:rsidRPr="00E7272C">
              <w:rPr>
                <w:rFonts w:eastAsia="Times New Roman" w:cs="Times New Roman"/>
                <w:color w:val="000000"/>
                <w:sz w:val="20"/>
                <w:szCs w:val="20"/>
                <w:lang w:val="sr-Latn-RS" w:eastAsia="sr-Latn-RS"/>
              </w:rPr>
              <w:t>%</w:t>
            </w:r>
          </w:p>
        </w:tc>
        <w:tc>
          <w:tcPr>
            <w:tcW w:w="1044" w:type="pct"/>
            <w:tcBorders>
              <w:top w:val="nil"/>
              <w:left w:val="nil"/>
              <w:bottom w:val="single" w:sz="4" w:space="0" w:color="auto"/>
              <w:right w:val="nil"/>
            </w:tcBorders>
            <w:shd w:val="clear" w:color="auto" w:fill="auto"/>
            <w:vAlign w:val="center"/>
            <w:hideMark/>
          </w:tcPr>
          <w:p w14:paraId="0239664F" w14:textId="3CE25568" w:rsidR="00E7272C" w:rsidRPr="00E7272C" w:rsidRDefault="00E7272C" w:rsidP="00E7272C">
            <w:pPr>
              <w:spacing w:before="0" w:after="0"/>
              <w:jc w:val="right"/>
              <w:rPr>
                <w:rFonts w:eastAsia="Times New Roman" w:cs="Times New Roman"/>
                <w:color w:val="000000"/>
                <w:sz w:val="20"/>
                <w:szCs w:val="20"/>
                <w:lang w:val="sr-Latn-RS" w:eastAsia="sr-Latn-RS"/>
              </w:rPr>
            </w:pPr>
            <w:r w:rsidRPr="00E7272C">
              <w:rPr>
                <w:rFonts w:eastAsia="Times New Roman" w:cs="Times New Roman"/>
                <w:color w:val="000000"/>
                <w:sz w:val="20"/>
                <w:szCs w:val="20"/>
                <w:lang w:val="sr-Latn-RS" w:eastAsia="sr-Latn-RS"/>
              </w:rPr>
              <w:t>72.</w:t>
            </w:r>
            <w:r w:rsidR="00A5750B">
              <w:rPr>
                <w:rFonts w:eastAsia="Times New Roman" w:cs="Times New Roman"/>
                <w:color w:val="000000"/>
                <w:sz w:val="20"/>
                <w:szCs w:val="20"/>
                <w:lang w:val="sr-Latn-RS" w:eastAsia="sr-Latn-RS"/>
              </w:rPr>
              <w:t>2</w:t>
            </w:r>
            <w:r w:rsidRPr="00E7272C">
              <w:rPr>
                <w:rFonts w:eastAsia="Times New Roman" w:cs="Times New Roman"/>
                <w:color w:val="000000"/>
                <w:sz w:val="20"/>
                <w:szCs w:val="20"/>
                <w:lang w:val="sr-Latn-RS" w:eastAsia="sr-Latn-RS"/>
              </w:rPr>
              <w:t>%</w:t>
            </w:r>
          </w:p>
        </w:tc>
        <w:tc>
          <w:tcPr>
            <w:tcW w:w="1312" w:type="pct"/>
            <w:tcBorders>
              <w:top w:val="nil"/>
              <w:left w:val="nil"/>
              <w:bottom w:val="single" w:sz="4" w:space="0" w:color="auto"/>
              <w:right w:val="nil"/>
            </w:tcBorders>
            <w:shd w:val="clear" w:color="auto" w:fill="auto"/>
            <w:vAlign w:val="center"/>
            <w:hideMark/>
          </w:tcPr>
          <w:p w14:paraId="6F16928E" w14:textId="51F34B13" w:rsidR="00E7272C" w:rsidRPr="00E7272C" w:rsidRDefault="00E7272C" w:rsidP="00E7272C">
            <w:pPr>
              <w:spacing w:before="0" w:after="0"/>
              <w:jc w:val="right"/>
              <w:rPr>
                <w:rFonts w:eastAsia="Times New Roman" w:cs="Times New Roman"/>
                <w:b/>
                <w:bCs/>
                <w:color w:val="000000"/>
                <w:sz w:val="20"/>
                <w:szCs w:val="20"/>
                <w:lang w:val="sr-Latn-RS" w:eastAsia="sr-Latn-RS"/>
              </w:rPr>
            </w:pPr>
            <w:r w:rsidRPr="00E7272C">
              <w:rPr>
                <w:rFonts w:eastAsia="Times New Roman" w:cs="Times New Roman"/>
                <w:b/>
                <w:bCs/>
                <w:color w:val="000000"/>
                <w:sz w:val="20"/>
                <w:szCs w:val="20"/>
                <w:lang w:val="sr-Latn-RS" w:eastAsia="sr-Latn-RS"/>
              </w:rPr>
              <w:t>89.1%</w:t>
            </w:r>
          </w:p>
        </w:tc>
      </w:tr>
      <w:tr w:rsidR="00E7272C" w:rsidRPr="00E7272C" w14:paraId="2FDB6F57" w14:textId="77777777" w:rsidTr="0092086F">
        <w:trPr>
          <w:trHeight w:val="255"/>
        </w:trPr>
        <w:tc>
          <w:tcPr>
            <w:tcW w:w="2072" w:type="pct"/>
            <w:gridSpan w:val="2"/>
            <w:tcBorders>
              <w:top w:val="single" w:sz="4" w:space="0" w:color="auto"/>
              <w:left w:val="nil"/>
              <w:bottom w:val="nil"/>
              <w:right w:val="nil"/>
            </w:tcBorders>
            <w:shd w:val="clear" w:color="auto" w:fill="auto"/>
            <w:noWrap/>
            <w:hideMark/>
          </w:tcPr>
          <w:p w14:paraId="58DD5268" w14:textId="00C185DF" w:rsidR="00E7272C" w:rsidRPr="00BE3FED" w:rsidRDefault="00E7272C" w:rsidP="00BE3FED">
            <w:pPr>
              <w:spacing w:before="0" w:after="0"/>
              <w:jc w:val="left"/>
              <w:rPr>
                <w:rFonts w:eastAsia="Times New Roman" w:cs="Times New Roman"/>
                <w:color w:val="000000"/>
                <w:sz w:val="18"/>
                <w:szCs w:val="18"/>
                <w:lang w:val="sr-Latn-RS" w:eastAsia="sr-Latn-RS"/>
              </w:rPr>
            </w:pPr>
            <w:r w:rsidRPr="00BE3FED">
              <w:rPr>
                <w:rFonts w:eastAsia="Times New Roman" w:cs="Times New Roman"/>
                <w:color w:val="000000"/>
                <w:sz w:val="18"/>
                <w:szCs w:val="18"/>
                <w:lang w:val="sr-Latn-RS" w:eastAsia="sr-Latn-RS"/>
              </w:rPr>
              <w:t>a. cutoff value at 0.</w:t>
            </w:r>
            <w:r w:rsidR="00836EBD">
              <w:rPr>
                <w:rFonts w:eastAsia="Times New Roman" w:cs="Times New Roman"/>
                <w:color w:val="000000"/>
                <w:sz w:val="18"/>
                <w:szCs w:val="18"/>
                <w:lang w:val="sr-Latn-RS" w:eastAsia="sr-Latn-RS"/>
              </w:rPr>
              <w:t>8</w:t>
            </w:r>
          </w:p>
        </w:tc>
        <w:tc>
          <w:tcPr>
            <w:tcW w:w="572" w:type="pct"/>
            <w:tcBorders>
              <w:top w:val="single" w:sz="4" w:space="0" w:color="auto"/>
              <w:left w:val="nil"/>
              <w:bottom w:val="nil"/>
              <w:right w:val="nil"/>
            </w:tcBorders>
            <w:shd w:val="clear" w:color="auto" w:fill="auto"/>
            <w:noWrap/>
            <w:vAlign w:val="bottom"/>
            <w:hideMark/>
          </w:tcPr>
          <w:p w14:paraId="3DAF5592" w14:textId="77777777" w:rsidR="00E7272C" w:rsidRPr="00E7272C" w:rsidRDefault="00E7272C" w:rsidP="00E7272C">
            <w:pPr>
              <w:spacing w:before="0" w:after="0"/>
              <w:jc w:val="left"/>
              <w:rPr>
                <w:rFonts w:eastAsia="Times New Roman" w:cs="Times New Roman"/>
                <w:color w:val="000000"/>
                <w:sz w:val="20"/>
                <w:szCs w:val="20"/>
                <w:lang w:val="sr-Latn-RS" w:eastAsia="sr-Latn-RS"/>
              </w:rPr>
            </w:pPr>
          </w:p>
        </w:tc>
        <w:tc>
          <w:tcPr>
            <w:tcW w:w="1044" w:type="pct"/>
            <w:tcBorders>
              <w:top w:val="single" w:sz="4" w:space="0" w:color="auto"/>
              <w:left w:val="nil"/>
              <w:bottom w:val="nil"/>
              <w:right w:val="nil"/>
            </w:tcBorders>
            <w:shd w:val="clear" w:color="auto" w:fill="auto"/>
            <w:noWrap/>
            <w:vAlign w:val="bottom"/>
            <w:hideMark/>
          </w:tcPr>
          <w:p w14:paraId="0A728A33" w14:textId="77777777" w:rsidR="00E7272C" w:rsidRPr="00E7272C" w:rsidRDefault="00E7272C" w:rsidP="00E7272C">
            <w:pPr>
              <w:spacing w:before="0" w:after="0"/>
              <w:jc w:val="center"/>
              <w:rPr>
                <w:rFonts w:ascii="Times New Roman" w:eastAsia="Times New Roman" w:hAnsi="Times New Roman" w:cs="Times New Roman"/>
                <w:sz w:val="20"/>
                <w:szCs w:val="20"/>
                <w:lang w:val="sr-Latn-RS" w:eastAsia="sr-Latn-RS"/>
              </w:rPr>
            </w:pPr>
          </w:p>
        </w:tc>
        <w:tc>
          <w:tcPr>
            <w:tcW w:w="1312" w:type="pct"/>
            <w:tcBorders>
              <w:top w:val="single" w:sz="4" w:space="0" w:color="auto"/>
              <w:left w:val="nil"/>
              <w:bottom w:val="nil"/>
              <w:right w:val="nil"/>
            </w:tcBorders>
            <w:shd w:val="clear" w:color="auto" w:fill="auto"/>
            <w:noWrap/>
            <w:vAlign w:val="bottom"/>
            <w:hideMark/>
          </w:tcPr>
          <w:p w14:paraId="672C76EE" w14:textId="77777777" w:rsidR="00E7272C" w:rsidRPr="00E7272C" w:rsidRDefault="00E7272C" w:rsidP="00E7272C">
            <w:pPr>
              <w:spacing w:before="0" w:after="0"/>
              <w:jc w:val="center"/>
              <w:rPr>
                <w:rFonts w:ascii="Times New Roman" w:eastAsia="Times New Roman" w:hAnsi="Times New Roman" w:cs="Times New Roman"/>
                <w:sz w:val="20"/>
                <w:szCs w:val="20"/>
                <w:lang w:val="sr-Latn-RS" w:eastAsia="sr-Latn-RS"/>
              </w:rPr>
            </w:pPr>
          </w:p>
        </w:tc>
      </w:tr>
    </w:tbl>
    <w:p w14:paraId="650D7A40" w14:textId="6E009368" w:rsidR="00836EBD" w:rsidRDefault="00836EBD" w:rsidP="00836EBD">
      <w:pPr>
        <w:pStyle w:val="Caption"/>
        <w:jc w:val="both"/>
        <w:rPr>
          <w:lang w:val="sr-Latn-RS"/>
        </w:rPr>
      </w:pPr>
      <w:bookmarkStart w:id="692" w:name="_Ref99366186"/>
      <w:bookmarkStart w:id="693" w:name="_Toc101274510"/>
      <w:r>
        <w:t xml:space="preserve">Table </w:t>
      </w:r>
      <w:fldSimple w:instr=" SEQ Table \* ARABIC ">
        <w:r w:rsidR="00587AF0">
          <w:rPr>
            <w:noProof/>
          </w:rPr>
          <w:t>70</w:t>
        </w:r>
      </w:fldSimple>
      <w:bookmarkEnd w:id="692"/>
      <w:r>
        <w:t xml:space="preserve">. </w:t>
      </w:r>
      <w:r w:rsidRPr="00B82321">
        <w:t xml:space="preserve">Performance of a model </w:t>
      </w:r>
      <w:r>
        <w:t>at closing</w:t>
      </w:r>
      <w:r w:rsidRPr="00B82321">
        <w:t xml:space="preserve"> saddle position</w:t>
      </w:r>
      <w:bookmarkEnd w:id="69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4"/>
        <w:gridCol w:w="2254"/>
        <w:gridCol w:w="2254"/>
        <w:gridCol w:w="2255"/>
      </w:tblGrid>
      <w:tr w:rsidR="00836EBD" w:rsidRPr="00900D2A" w14:paraId="45454424" w14:textId="77777777" w:rsidTr="00E23311">
        <w:tc>
          <w:tcPr>
            <w:tcW w:w="2254" w:type="dxa"/>
            <w:tcBorders>
              <w:top w:val="single" w:sz="4" w:space="0" w:color="auto"/>
              <w:bottom w:val="single" w:sz="4" w:space="0" w:color="auto"/>
            </w:tcBorders>
          </w:tcPr>
          <w:p w14:paraId="5117D54C" w14:textId="77777777" w:rsidR="00836EBD" w:rsidRPr="00900D2A" w:rsidRDefault="00836EBD" w:rsidP="00E23311">
            <w:pPr>
              <w:spacing w:before="0" w:after="0"/>
              <w:ind w:left="57" w:right="57"/>
              <w:rPr>
                <w:b/>
                <w:bCs/>
                <w:sz w:val="20"/>
                <w:szCs w:val="20"/>
              </w:rPr>
            </w:pPr>
            <w:r>
              <w:rPr>
                <w:b/>
                <w:bCs/>
                <w:sz w:val="20"/>
                <w:szCs w:val="20"/>
              </w:rPr>
              <w:t>Property</w:t>
            </w:r>
          </w:p>
        </w:tc>
        <w:tc>
          <w:tcPr>
            <w:tcW w:w="2254" w:type="dxa"/>
            <w:tcBorders>
              <w:top w:val="single" w:sz="4" w:space="0" w:color="auto"/>
              <w:bottom w:val="single" w:sz="4" w:space="0" w:color="auto"/>
            </w:tcBorders>
          </w:tcPr>
          <w:p w14:paraId="1A5E9B9B" w14:textId="77777777" w:rsidR="00836EBD" w:rsidRPr="00900D2A" w:rsidRDefault="00836EBD" w:rsidP="00E23311">
            <w:pPr>
              <w:spacing w:before="0" w:after="0"/>
              <w:ind w:left="57" w:right="57"/>
              <w:jc w:val="center"/>
              <w:rPr>
                <w:b/>
                <w:bCs/>
                <w:sz w:val="20"/>
                <w:szCs w:val="20"/>
              </w:rPr>
            </w:pPr>
            <w:r w:rsidRPr="00900D2A">
              <w:rPr>
                <w:b/>
                <w:bCs/>
                <w:sz w:val="20"/>
                <w:szCs w:val="20"/>
              </w:rPr>
              <w:t>AUC</w:t>
            </w:r>
          </w:p>
        </w:tc>
        <w:tc>
          <w:tcPr>
            <w:tcW w:w="2254" w:type="dxa"/>
            <w:tcBorders>
              <w:top w:val="single" w:sz="4" w:space="0" w:color="auto"/>
              <w:bottom w:val="single" w:sz="4" w:space="0" w:color="auto"/>
            </w:tcBorders>
          </w:tcPr>
          <w:p w14:paraId="3A84385D" w14:textId="77777777" w:rsidR="00836EBD" w:rsidRPr="00900D2A" w:rsidRDefault="00836EBD" w:rsidP="00E23311">
            <w:pPr>
              <w:spacing w:before="0" w:after="0"/>
              <w:ind w:left="57" w:right="57"/>
              <w:jc w:val="center"/>
              <w:rPr>
                <w:b/>
                <w:bCs/>
                <w:sz w:val="20"/>
                <w:szCs w:val="20"/>
              </w:rPr>
            </w:pPr>
            <w:r w:rsidRPr="00900D2A">
              <w:rPr>
                <w:b/>
                <w:bCs/>
                <w:sz w:val="20"/>
                <w:szCs w:val="20"/>
              </w:rPr>
              <w:t>Sensitivity</w:t>
            </w:r>
          </w:p>
        </w:tc>
        <w:tc>
          <w:tcPr>
            <w:tcW w:w="2255" w:type="dxa"/>
            <w:tcBorders>
              <w:top w:val="single" w:sz="4" w:space="0" w:color="auto"/>
              <w:bottom w:val="single" w:sz="4" w:space="0" w:color="auto"/>
            </w:tcBorders>
          </w:tcPr>
          <w:p w14:paraId="7D732451" w14:textId="77777777" w:rsidR="00836EBD" w:rsidRPr="00900D2A" w:rsidRDefault="00836EBD" w:rsidP="00E23311">
            <w:pPr>
              <w:spacing w:before="0" w:after="0"/>
              <w:ind w:left="57" w:right="57"/>
              <w:jc w:val="center"/>
              <w:rPr>
                <w:b/>
                <w:bCs/>
                <w:sz w:val="20"/>
                <w:szCs w:val="20"/>
              </w:rPr>
            </w:pPr>
            <w:r w:rsidRPr="00900D2A">
              <w:rPr>
                <w:b/>
                <w:bCs/>
                <w:sz w:val="20"/>
                <w:szCs w:val="20"/>
              </w:rPr>
              <w:t>Specificity</w:t>
            </w:r>
          </w:p>
        </w:tc>
      </w:tr>
      <w:tr w:rsidR="00836EBD" w:rsidRPr="00900D2A" w14:paraId="4BB0052B" w14:textId="77777777" w:rsidTr="00E23311">
        <w:tc>
          <w:tcPr>
            <w:tcW w:w="2254" w:type="dxa"/>
            <w:tcBorders>
              <w:top w:val="single" w:sz="4" w:space="0" w:color="auto"/>
            </w:tcBorders>
          </w:tcPr>
          <w:p w14:paraId="0D53F7B7" w14:textId="77777777" w:rsidR="00836EBD" w:rsidRPr="00B82321" w:rsidRDefault="00836EBD" w:rsidP="00E23311">
            <w:pPr>
              <w:spacing w:before="0" w:after="0"/>
              <w:ind w:left="57" w:right="57"/>
              <w:rPr>
                <w:sz w:val="20"/>
                <w:szCs w:val="20"/>
              </w:rPr>
            </w:pPr>
            <w:r w:rsidRPr="00B82321">
              <w:rPr>
                <w:sz w:val="20"/>
                <w:szCs w:val="20"/>
              </w:rPr>
              <w:t>Training/Discovery</w:t>
            </w:r>
          </w:p>
        </w:tc>
        <w:tc>
          <w:tcPr>
            <w:tcW w:w="2254" w:type="dxa"/>
            <w:tcBorders>
              <w:top w:val="single" w:sz="4" w:space="0" w:color="auto"/>
            </w:tcBorders>
          </w:tcPr>
          <w:p w14:paraId="6952EAC4" w14:textId="77777777" w:rsidR="00836EBD" w:rsidRPr="00B82321" w:rsidRDefault="00836EBD" w:rsidP="00E23311">
            <w:pPr>
              <w:spacing w:before="0" w:after="0"/>
              <w:ind w:left="57" w:right="57"/>
              <w:jc w:val="right"/>
              <w:rPr>
                <w:sz w:val="20"/>
                <w:szCs w:val="20"/>
              </w:rPr>
            </w:pPr>
            <w:r w:rsidRPr="00B82321">
              <w:rPr>
                <w:sz w:val="20"/>
                <w:szCs w:val="20"/>
              </w:rPr>
              <w:t>0.963 (0.958 ~ 0.968)</w:t>
            </w:r>
          </w:p>
        </w:tc>
        <w:tc>
          <w:tcPr>
            <w:tcW w:w="2254" w:type="dxa"/>
            <w:tcBorders>
              <w:top w:val="single" w:sz="4" w:space="0" w:color="auto"/>
            </w:tcBorders>
          </w:tcPr>
          <w:p w14:paraId="2D053F64" w14:textId="77777777" w:rsidR="00836EBD" w:rsidRPr="00B82321" w:rsidRDefault="00836EBD" w:rsidP="00E23311">
            <w:pPr>
              <w:spacing w:before="0" w:after="0"/>
              <w:ind w:left="57" w:right="57"/>
              <w:jc w:val="right"/>
              <w:rPr>
                <w:sz w:val="20"/>
                <w:szCs w:val="20"/>
              </w:rPr>
            </w:pPr>
            <w:r w:rsidRPr="00B82321">
              <w:rPr>
                <w:sz w:val="20"/>
                <w:szCs w:val="20"/>
              </w:rPr>
              <w:t>0.873 (0.863 ~ 0.882)</w:t>
            </w:r>
          </w:p>
        </w:tc>
        <w:tc>
          <w:tcPr>
            <w:tcW w:w="2255" w:type="dxa"/>
            <w:tcBorders>
              <w:top w:val="single" w:sz="4" w:space="0" w:color="auto"/>
            </w:tcBorders>
          </w:tcPr>
          <w:p w14:paraId="3D5D9F2B" w14:textId="77777777" w:rsidR="00836EBD" w:rsidRPr="00B82321" w:rsidRDefault="00836EBD" w:rsidP="00E23311">
            <w:pPr>
              <w:spacing w:before="0" w:after="0"/>
              <w:ind w:left="57" w:right="57"/>
              <w:jc w:val="right"/>
              <w:rPr>
                <w:sz w:val="20"/>
                <w:szCs w:val="20"/>
              </w:rPr>
            </w:pPr>
            <w:r w:rsidRPr="00B82321">
              <w:rPr>
                <w:sz w:val="20"/>
                <w:szCs w:val="20"/>
              </w:rPr>
              <w:t>0.899 (0.882 ~ 0.917)</w:t>
            </w:r>
          </w:p>
        </w:tc>
      </w:tr>
      <w:tr w:rsidR="00836EBD" w:rsidRPr="00900D2A" w14:paraId="72A397D8" w14:textId="77777777" w:rsidTr="00E23311">
        <w:tc>
          <w:tcPr>
            <w:tcW w:w="2254" w:type="dxa"/>
            <w:tcBorders>
              <w:bottom w:val="single" w:sz="4" w:space="0" w:color="auto"/>
            </w:tcBorders>
          </w:tcPr>
          <w:p w14:paraId="3AC32693" w14:textId="77777777" w:rsidR="00836EBD" w:rsidRPr="00B82321" w:rsidRDefault="00836EBD" w:rsidP="00E23311">
            <w:pPr>
              <w:spacing w:before="0" w:after="0"/>
              <w:ind w:left="57" w:right="57"/>
              <w:rPr>
                <w:sz w:val="20"/>
                <w:szCs w:val="20"/>
              </w:rPr>
            </w:pPr>
            <w:r w:rsidRPr="00B82321">
              <w:rPr>
                <w:sz w:val="20"/>
                <w:szCs w:val="20"/>
              </w:rPr>
              <w:t>10-fold Cross-Validation</w:t>
            </w:r>
          </w:p>
        </w:tc>
        <w:tc>
          <w:tcPr>
            <w:tcW w:w="2254" w:type="dxa"/>
            <w:tcBorders>
              <w:bottom w:val="single" w:sz="4" w:space="0" w:color="auto"/>
            </w:tcBorders>
          </w:tcPr>
          <w:p w14:paraId="6BABBB14" w14:textId="77777777" w:rsidR="00836EBD" w:rsidRPr="00B82321" w:rsidRDefault="00836EBD" w:rsidP="00E23311">
            <w:pPr>
              <w:spacing w:before="0" w:after="0"/>
              <w:ind w:left="57" w:right="57"/>
              <w:jc w:val="right"/>
              <w:rPr>
                <w:sz w:val="20"/>
                <w:szCs w:val="20"/>
              </w:rPr>
            </w:pPr>
            <w:r w:rsidRPr="00B82321">
              <w:rPr>
                <w:sz w:val="20"/>
                <w:szCs w:val="20"/>
              </w:rPr>
              <w:t>0.950 (0.928 ~ 0.972)</w:t>
            </w:r>
          </w:p>
        </w:tc>
        <w:tc>
          <w:tcPr>
            <w:tcW w:w="2254" w:type="dxa"/>
            <w:tcBorders>
              <w:bottom w:val="single" w:sz="4" w:space="0" w:color="auto"/>
            </w:tcBorders>
          </w:tcPr>
          <w:p w14:paraId="3634DAC3" w14:textId="77777777" w:rsidR="00836EBD" w:rsidRPr="00B82321" w:rsidRDefault="00836EBD" w:rsidP="00E23311">
            <w:pPr>
              <w:spacing w:before="0" w:after="0"/>
              <w:ind w:left="57" w:right="57"/>
              <w:jc w:val="right"/>
              <w:rPr>
                <w:sz w:val="20"/>
                <w:szCs w:val="20"/>
              </w:rPr>
            </w:pPr>
            <w:r w:rsidRPr="00B82321">
              <w:rPr>
                <w:sz w:val="20"/>
                <w:szCs w:val="20"/>
              </w:rPr>
              <w:t>0.873 (0.873 ~ 0.902)</w:t>
            </w:r>
          </w:p>
        </w:tc>
        <w:tc>
          <w:tcPr>
            <w:tcW w:w="2255" w:type="dxa"/>
            <w:tcBorders>
              <w:bottom w:val="single" w:sz="4" w:space="0" w:color="auto"/>
            </w:tcBorders>
          </w:tcPr>
          <w:p w14:paraId="24B94548" w14:textId="77777777" w:rsidR="00836EBD" w:rsidRPr="00B82321" w:rsidRDefault="00836EBD" w:rsidP="00E23311">
            <w:pPr>
              <w:spacing w:before="0" w:after="0"/>
              <w:ind w:left="57" w:right="57"/>
              <w:jc w:val="right"/>
              <w:rPr>
                <w:sz w:val="20"/>
                <w:szCs w:val="20"/>
              </w:rPr>
            </w:pPr>
            <w:r w:rsidRPr="00B82321">
              <w:rPr>
                <w:sz w:val="20"/>
                <w:szCs w:val="20"/>
              </w:rPr>
              <w:t>0.883 (0.827 ~ 0.939)</w:t>
            </w:r>
          </w:p>
        </w:tc>
      </w:tr>
    </w:tbl>
    <w:p w14:paraId="09053E9F" w14:textId="77777777" w:rsidR="00836EBD" w:rsidRDefault="00836EBD" w:rsidP="003E3EEC">
      <w:pPr>
        <w:rPr>
          <w:lang w:val="sr-Latn-RS"/>
        </w:rPr>
      </w:pPr>
    </w:p>
    <w:p w14:paraId="66F1BCC8" w14:textId="52B5B0F8" w:rsidR="00DC2956" w:rsidRDefault="00DC2956" w:rsidP="003E3EEC">
      <w:pPr>
        <w:rPr>
          <w:lang w:val="sr-Latn-RS"/>
        </w:rPr>
      </w:pPr>
    </w:p>
    <w:p w14:paraId="62172F5E" w14:textId="77777777" w:rsidR="00E62F86" w:rsidRDefault="00C937F8" w:rsidP="00E62F86">
      <w:pPr>
        <w:keepNext/>
        <w:autoSpaceDE w:val="0"/>
        <w:autoSpaceDN w:val="0"/>
        <w:adjustRightInd w:val="0"/>
        <w:spacing w:before="0" w:after="0" w:line="400" w:lineRule="atLeast"/>
        <w:jc w:val="center"/>
      </w:pPr>
      <w:r>
        <w:rPr>
          <w:noProof/>
        </w:rPr>
        <w:lastRenderedPageBreak/>
        <w:drawing>
          <wp:inline distT="0" distB="0" distL="0" distR="0" wp14:anchorId="584741FA" wp14:editId="5068FB8F">
            <wp:extent cx="4576500" cy="4068000"/>
            <wp:effectExtent l="0" t="0" r="0" b="8890"/>
            <wp:docPr id="139" name="Picture 139" descr="ProbTest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robTestImage"/>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576500" cy="4068000"/>
                    </a:xfrm>
                    <a:prstGeom prst="rect">
                      <a:avLst/>
                    </a:prstGeom>
                    <a:noFill/>
                    <a:ln>
                      <a:noFill/>
                    </a:ln>
                  </pic:spPr>
                </pic:pic>
              </a:graphicData>
            </a:graphic>
          </wp:inline>
        </w:drawing>
      </w:r>
    </w:p>
    <w:p w14:paraId="0F1652FD" w14:textId="2AAE72F7" w:rsidR="00C937F8" w:rsidRPr="00DC2956" w:rsidRDefault="00E62F86" w:rsidP="00E62F86">
      <w:pPr>
        <w:pStyle w:val="Caption"/>
        <w:rPr>
          <w:rFonts w:ascii="Times New Roman" w:hAnsi="Times New Roman" w:cs="Times New Roman"/>
          <w:szCs w:val="24"/>
          <w:lang w:val="sr-Latn-RS"/>
        </w:rPr>
      </w:pPr>
      <w:bookmarkStart w:id="694" w:name="_Ref99366351"/>
      <w:bookmarkStart w:id="695" w:name="_Toc101274637"/>
      <w:r>
        <w:t xml:space="preserve">Figure </w:t>
      </w:r>
      <w:fldSimple w:instr=" SEQ Figure \* ARABIC ">
        <w:r w:rsidR="00587AF0">
          <w:rPr>
            <w:noProof/>
          </w:rPr>
          <w:t>115</w:t>
        </w:r>
      </w:fldSimple>
      <w:bookmarkEnd w:id="694"/>
      <w:r>
        <w:t>. Logistic regression classification score of training data at closing saddle position</w:t>
      </w:r>
      <w:bookmarkEnd w:id="695"/>
    </w:p>
    <w:p w14:paraId="3C6B3B41" w14:textId="77777777" w:rsidR="00E62F86" w:rsidRDefault="00C937F8" w:rsidP="00E62F86">
      <w:pPr>
        <w:keepNext/>
        <w:spacing w:before="0" w:after="160" w:line="259" w:lineRule="auto"/>
        <w:jc w:val="center"/>
      </w:pPr>
      <w:r>
        <w:rPr>
          <w:noProof/>
        </w:rPr>
        <w:drawing>
          <wp:inline distT="0" distB="0" distL="0" distR="0" wp14:anchorId="76D8D153" wp14:editId="6687852C">
            <wp:extent cx="4576500" cy="4068000"/>
            <wp:effectExtent l="0" t="0" r="0" b="8890"/>
            <wp:docPr id="140" name="Picture 140" descr="ProbTest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robTestImag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6500" cy="4068000"/>
                    </a:xfrm>
                    <a:prstGeom prst="rect">
                      <a:avLst/>
                    </a:prstGeom>
                    <a:noFill/>
                    <a:ln>
                      <a:noFill/>
                    </a:ln>
                  </pic:spPr>
                </pic:pic>
              </a:graphicData>
            </a:graphic>
          </wp:inline>
        </w:drawing>
      </w:r>
    </w:p>
    <w:p w14:paraId="466050AD" w14:textId="4FC875D8" w:rsidR="00C937F8" w:rsidRDefault="00E62F86" w:rsidP="00836EBD">
      <w:pPr>
        <w:pStyle w:val="Caption"/>
        <w:rPr>
          <w:lang w:val="sr-Latn-RS"/>
        </w:rPr>
      </w:pPr>
      <w:bookmarkStart w:id="696" w:name="_Ref99366352"/>
      <w:bookmarkStart w:id="697" w:name="_Toc101274638"/>
      <w:r>
        <w:t xml:space="preserve">Figure </w:t>
      </w:r>
      <w:fldSimple w:instr=" SEQ Figure \* ARABIC ">
        <w:r w:rsidR="00587AF0">
          <w:rPr>
            <w:noProof/>
          </w:rPr>
          <w:t>116</w:t>
        </w:r>
      </w:fldSimple>
      <w:bookmarkEnd w:id="696"/>
      <w:r>
        <w:t>. Logistic regression classification score of testing data at closing saddle position</w:t>
      </w:r>
      <w:bookmarkEnd w:id="697"/>
    </w:p>
    <w:p w14:paraId="7ADCE653" w14:textId="682B1F68" w:rsidR="00247B9A" w:rsidRDefault="0008593D" w:rsidP="0008593D">
      <w:pPr>
        <w:pStyle w:val="Heading2"/>
        <w:rPr>
          <w:lang w:val="sr-Latn-RS"/>
        </w:rPr>
      </w:pPr>
      <w:bookmarkStart w:id="698" w:name="_Toc101274413"/>
      <w:r>
        <w:rPr>
          <w:lang w:val="sr-Latn-RS"/>
        </w:rPr>
        <w:lastRenderedPageBreak/>
        <w:t>kNN</w:t>
      </w:r>
      <w:r w:rsidR="00915882">
        <w:rPr>
          <w:lang w:val="sr-Latn-RS"/>
        </w:rPr>
        <w:t xml:space="preserve"> classification algorithm</w:t>
      </w:r>
      <w:bookmarkEnd w:id="698"/>
    </w:p>
    <w:p w14:paraId="76AF436C" w14:textId="62AA1001" w:rsidR="0086717C" w:rsidRDefault="00F8088F" w:rsidP="00F8088F">
      <w:pPr>
        <w:rPr>
          <w:lang w:val="sr-Latn-RS"/>
        </w:rPr>
      </w:pPr>
      <w:r>
        <w:rPr>
          <w:lang w:val="sr-Latn-RS"/>
        </w:rPr>
        <w:t xml:space="preserve">The </w:t>
      </w:r>
      <w:r>
        <w:rPr>
          <w:i/>
          <w:iCs/>
          <w:lang w:val="sr-Latn-RS"/>
        </w:rPr>
        <w:t>k</w:t>
      </w:r>
      <w:r>
        <w:rPr>
          <w:lang w:val="sr-Latn-RS"/>
        </w:rPr>
        <w:t xml:space="preserve">NN stands for </w:t>
      </w:r>
      <w:r>
        <w:rPr>
          <w:i/>
          <w:iCs/>
          <w:lang w:val="sr-Latn-RS"/>
        </w:rPr>
        <w:t>k</w:t>
      </w:r>
      <w:r>
        <w:rPr>
          <w:lang w:val="sr-Latn-RS"/>
        </w:rPr>
        <w:t xml:space="preserve"> Nearest Neighboor machine learning algorithm. It is </w:t>
      </w:r>
      <w:r w:rsidR="000F40EF">
        <w:rPr>
          <w:lang w:val="sr-Latn-RS"/>
        </w:rPr>
        <w:t xml:space="preserve">one of the simplest </w:t>
      </w:r>
      <w:r w:rsidR="0086717C">
        <w:rPr>
          <w:lang w:val="sr-Latn-RS"/>
        </w:rPr>
        <w:t>non-parametric</w:t>
      </w:r>
      <w:r>
        <w:rPr>
          <w:lang w:val="sr-Latn-RS"/>
        </w:rPr>
        <w:t xml:space="preserve"> supervised machine learning algorithms</w:t>
      </w:r>
      <w:r w:rsidR="000F40EF">
        <w:rPr>
          <w:lang w:val="sr-Latn-RS"/>
        </w:rPr>
        <w:t xml:space="preserve"> (</w:t>
      </w:r>
      <w:r w:rsidR="000F40EF">
        <w:rPr>
          <w:lang w:val="sr-Latn-RS"/>
        </w:rPr>
        <w:fldChar w:fldCharType="begin" w:fldLock="1"/>
      </w:r>
      <w:r w:rsidR="00204994">
        <w:rPr>
          <w:lang w:val="sr-Latn-RS"/>
        </w:rPr>
        <w:instrText>ADDIN CSL_CITATION {"citationItems":[{"id":"ITEM-1","itemData":{"DOI":"10.1155/2017/7560807","ISSN":"23146141","PMID":"29376076","abstract":"K nearest neighbors (KNN) are known as one of the simplest nonparametric classifiers but in high dimensional setting accuracy of KNN are affected by nuisance features. In this study, we proposed the K important neighbors (KIN) as a novel approach for binary classification in high dimensional problems. To avoid the curse of dimensionality, we implemented smoothly clipped absolute deviation (SCAD) logistic regression at the initial stage and considered the importance of each feature in construction of dissimilarity measure with imposing features contribution as a function of SCAD coefficients on Euclidean distance. The nature of this hybrid dissimilarity measure, which combines information of both features and distances, enjoys all good properties of SCAD penalized regression and KNN simultaneously. In comparison to KNN, simulation studies showed that KIN has a good performance in terms of both accuracy and dimension reduction. The proposed approach was found to be capable of eliminating nearly all of the noninformative features because of utilizing oracle property of SCAD penalized regression in the construction of dissimilarity measure. In very sparse settings, KIN also outperforms support vector machine (SVM) and random forest (RF) as the best classifiers.","author":[{"dropping-particle":"","family":"Raeisi Shahraki","given":"Hadi","non-dropping-particle":"","parse-names":false,"suffix":""},{"dropping-particle":"","family":"Pourahmad","given":"Saeedeh","non-dropping-particle":"","parse-names":false,"suffix":""},{"dropping-particle":"","family":"Zare","given":"Najaf","non-dropping-particle":"","parse-names":false,"suffix":""}],"container-title":"BioMed Research International","id":"ITEM-1","issued":{"date-parts":[["2017"]]},"publisher":"Hindawi","title":"K Important Neighbors: A Novel Approach to Binary Classification in High Dimensional Data","type":"article-journal","volume":"2017"},"uris":["http://www.mendeley.com/documents/?uuid=43fce722-4bcb-4d3e-8313-fc0c3297edeb"]}],"mendeley":{"formattedCitation":"[133]","plainTextFormattedCitation":"[133]","previouslyFormattedCitation":"[133]"},"properties":{"noteIndex":0},"schema":"https://github.com/citation-style-language/schema/raw/master/csl-citation.json"}</w:instrText>
      </w:r>
      <w:r w:rsidR="000F40EF">
        <w:rPr>
          <w:lang w:val="sr-Latn-RS"/>
        </w:rPr>
        <w:fldChar w:fldCharType="separate"/>
      </w:r>
      <w:r w:rsidR="00645D0B" w:rsidRPr="00645D0B">
        <w:rPr>
          <w:noProof/>
          <w:lang w:val="sr-Latn-RS"/>
        </w:rPr>
        <w:t>[133]</w:t>
      </w:r>
      <w:r w:rsidR="000F40EF">
        <w:rPr>
          <w:lang w:val="sr-Latn-RS"/>
        </w:rPr>
        <w:fldChar w:fldCharType="end"/>
      </w:r>
      <w:r w:rsidR="000F40EF">
        <w:rPr>
          <w:lang w:val="sr-Latn-RS"/>
        </w:rPr>
        <w:t>)</w:t>
      </w:r>
      <w:r>
        <w:rPr>
          <w:lang w:val="sr-Latn-RS"/>
        </w:rPr>
        <w:t xml:space="preserve"> that </w:t>
      </w:r>
      <w:r w:rsidR="0086717C">
        <w:rPr>
          <w:lang w:val="sr-Latn-RS"/>
        </w:rPr>
        <w:t>is</w:t>
      </w:r>
      <w:r>
        <w:rPr>
          <w:lang w:val="sr-Latn-RS"/>
        </w:rPr>
        <w:t xml:space="preserve"> usually </w:t>
      </w:r>
      <w:r w:rsidR="0086717C">
        <w:rPr>
          <w:lang w:val="sr-Latn-RS"/>
        </w:rPr>
        <w:t>applied</w:t>
      </w:r>
      <w:r>
        <w:rPr>
          <w:lang w:val="sr-Latn-RS"/>
        </w:rPr>
        <w:t xml:space="preserve"> for clustering (classification), however, it can be used both for classfication and regression</w:t>
      </w:r>
      <w:r w:rsidR="0086717C">
        <w:rPr>
          <w:lang w:val="sr-Latn-RS"/>
        </w:rPr>
        <w:t xml:space="preserve"> (and imputation</w:t>
      </w:r>
      <w:r w:rsidR="006476A4">
        <w:rPr>
          <w:lang w:val="sr-Latn-RS"/>
        </w:rPr>
        <w:t>)</w:t>
      </w:r>
      <w:r>
        <w:rPr>
          <w:lang w:val="sr-Latn-RS"/>
        </w:rPr>
        <w:t xml:space="preserve">. The algorithm works on a principle of storing cases based on the </w:t>
      </w:r>
      <w:r>
        <w:rPr>
          <w:i/>
          <w:iCs/>
          <w:lang w:val="sr-Latn-RS"/>
        </w:rPr>
        <w:t>k</w:t>
      </w:r>
      <w:r>
        <w:rPr>
          <w:lang w:val="sr-Latn-RS"/>
        </w:rPr>
        <w:t xml:space="preserve"> or number of nearest points to classify new points based on the similarity between given meaure</w:t>
      </w:r>
      <w:r w:rsidR="008A5229">
        <w:rPr>
          <w:lang w:val="sr-Latn-RS"/>
        </w:rPr>
        <w:t xml:space="preserve"> (</w:t>
      </w:r>
      <w:r w:rsidR="008A5229">
        <w:rPr>
          <w:lang w:val="sr-Latn-RS"/>
        </w:rPr>
        <w:fldChar w:fldCharType="begin"/>
      </w:r>
      <w:r w:rsidR="008A5229">
        <w:rPr>
          <w:lang w:val="sr-Latn-RS"/>
        </w:rPr>
        <w:instrText xml:space="preserve"> REF _Ref99372446 \h </w:instrText>
      </w:r>
      <w:r w:rsidR="008A5229">
        <w:rPr>
          <w:lang w:val="sr-Latn-RS"/>
        </w:rPr>
      </w:r>
      <w:r w:rsidR="008A5229">
        <w:rPr>
          <w:lang w:val="sr-Latn-RS"/>
        </w:rPr>
        <w:fldChar w:fldCharType="separate"/>
      </w:r>
      <w:r w:rsidR="00587AF0">
        <w:t xml:space="preserve">Figure </w:t>
      </w:r>
      <w:r w:rsidR="00587AF0">
        <w:rPr>
          <w:noProof/>
        </w:rPr>
        <w:t>117</w:t>
      </w:r>
      <w:r w:rsidR="008A5229">
        <w:rPr>
          <w:lang w:val="sr-Latn-RS"/>
        </w:rPr>
        <w:fldChar w:fldCharType="end"/>
      </w:r>
      <w:r w:rsidR="008A5229">
        <w:rPr>
          <w:lang w:val="sr-Latn-RS"/>
        </w:rPr>
        <w:t>)</w:t>
      </w:r>
      <w:r>
        <w:rPr>
          <w:lang w:val="sr-Latn-R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9"/>
      </w:tblGrid>
      <w:tr w:rsidR="001C363D" w14:paraId="4F57CDEA" w14:textId="77777777" w:rsidTr="00E23311">
        <w:tc>
          <w:tcPr>
            <w:tcW w:w="4508" w:type="dxa"/>
          </w:tcPr>
          <w:p w14:paraId="391ED88E" w14:textId="77777777" w:rsidR="001C363D" w:rsidRDefault="001C363D" w:rsidP="00E23311">
            <w:pPr>
              <w:rPr>
                <w:lang w:val="sr-Latn-RS"/>
              </w:rPr>
            </w:pPr>
            <w:r>
              <w:rPr>
                <w:noProof/>
                <w:lang w:val="sr-Latn-RS"/>
              </w:rPr>
              <w:drawing>
                <wp:inline distT="0" distB="0" distL="0" distR="0" wp14:anchorId="29FC091C" wp14:editId="780CDC39">
                  <wp:extent cx="2585720" cy="1862191"/>
                  <wp:effectExtent l="0" t="0" r="5080" b="5080"/>
                  <wp:docPr id="156" name="Picture 156" descr="Diagram,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Diagram, scatter chart&#10;&#10;Description automatically generated"/>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589593" cy="1864981"/>
                          </a:xfrm>
                          <a:prstGeom prst="rect">
                            <a:avLst/>
                          </a:prstGeom>
                          <a:noFill/>
                        </pic:spPr>
                      </pic:pic>
                    </a:graphicData>
                  </a:graphic>
                </wp:inline>
              </w:drawing>
            </w:r>
          </w:p>
        </w:tc>
        <w:tc>
          <w:tcPr>
            <w:tcW w:w="4509" w:type="dxa"/>
          </w:tcPr>
          <w:p w14:paraId="6F66A1BD" w14:textId="77777777" w:rsidR="001C363D" w:rsidRDefault="001C363D" w:rsidP="00E23311">
            <w:pPr>
              <w:rPr>
                <w:lang w:val="sr-Latn-RS"/>
              </w:rPr>
            </w:pPr>
            <w:r>
              <w:rPr>
                <w:noProof/>
                <w:lang w:val="sr-Latn-RS"/>
              </w:rPr>
              <w:drawing>
                <wp:inline distT="0" distB="0" distL="0" distR="0" wp14:anchorId="34BD5DBC" wp14:editId="20695E7C">
                  <wp:extent cx="2675255" cy="1926672"/>
                  <wp:effectExtent l="0" t="0" r="0" b="0"/>
                  <wp:docPr id="160" name="Picture 1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Diagram&#10;&#10;Description automatically generated"/>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682902" cy="1932179"/>
                          </a:xfrm>
                          <a:prstGeom prst="rect">
                            <a:avLst/>
                          </a:prstGeom>
                          <a:noFill/>
                        </pic:spPr>
                      </pic:pic>
                    </a:graphicData>
                  </a:graphic>
                </wp:inline>
              </w:drawing>
            </w:r>
          </w:p>
        </w:tc>
      </w:tr>
    </w:tbl>
    <w:p w14:paraId="76836664" w14:textId="18207C16" w:rsidR="001C363D" w:rsidRPr="00E23C49" w:rsidRDefault="001C363D" w:rsidP="001C363D">
      <w:pPr>
        <w:pStyle w:val="Caption"/>
        <w:rPr>
          <w:lang w:val="sr-Latn-RS"/>
        </w:rPr>
      </w:pPr>
      <w:bookmarkStart w:id="699" w:name="_Ref99372446"/>
      <w:bookmarkStart w:id="700" w:name="_Toc101274639"/>
      <w:r>
        <w:t xml:space="preserve">Figure </w:t>
      </w:r>
      <w:fldSimple w:instr=" SEQ Figure \* ARABIC ">
        <w:r w:rsidR="00587AF0">
          <w:rPr>
            <w:noProof/>
          </w:rPr>
          <w:t>117</w:t>
        </w:r>
      </w:fldSimple>
      <w:bookmarkEnd w:id="699"/>
      <w:r>
        <w:t xml:space="preserve">. Graphical intepretation of </w:t>
      </w:r>
      <w:r>
        <w:rPr>
          <w:i/>
          <w:iCs w:val="0"/>
        </w:rPr>
        <w:t>k</w:t>
      </w:r>
      <w:r>
        <w:t xml:space="preserve">NN initialisation (left) and </w:t>
      </w:r>
      <w:r>
        <w:rPr>
          <w:i/>
          <w:iCs w:val="0"/>
        </w:rPr>
        <w:t>k</w:t>
      </w:r>
      <w:r>
        <w:t xml:space="preserve"> = 3 (right) classification</w:t>
      </w:r>
      <w:bookmarkEnd w:id="700"/>
    </w:p>
    <w:p w14:paraId="24469DB1" w14:textId="03969493" w:rsidR="001C363D" w:rsidRDefault="001C363D" w:rsidP="001C363D">
      <w:pPr>
        <w:rPr>
          <w:lang w:val="sr-Latn-RS"/>
        </w:rPr>
      </w:pPr>
      <w:r>
        <w:rPr>
          <w:lang w:val="sr-Latn-RS"/>
        </w:rPr>
        <w:t>The</w:t>
      </w:r>
      <w:r w:rsidR="00FB1190">
        <w:rPr>
          <w:lang w:val="sr-Latn-RS"/>
        </w:rPr>
        <w:t>refore, the parameter k explains how many data points near the specific number should be included</w:t>
      </w:r>
      <w:r>
        <w:rPr>
          <w:lang w:val="sr-Latn-RS"/>
        </w:rPr>
        <w:t xml:space="preserve"> in the majority voting process. There is no ultimate formula for choosing </w:t>
      </w:r>
      <w:r w:rsidR="00FB1190">
        <w:rPr>
          <w:lang w:val="sr-Latn-RS"/>
        </w:rPr>
        <w:t xml:space="preserve">the </w:t>
      </w:r>
      <w:r>
        <w:rPr>
          <w:i/>
          <w:iCs/>
          <w:lang w:val="sr-Latn-RS"/>
        </w:rPr>
        <w:t>k</w:t>
      </w:r>
      <w:r>
        <w:rPr>
          <w:lang w:val="sr-Latn-RS"/>
        </w:rPr>
        <w:t xml:space="preserve"> parameter</w:t>
      </w:r>
      <w:r w:rsidR="00FB1190">
        <w:rPr>
          <w:lang w:val="sr-Latn-RS"/>
        </w:rPr>
        <w:t>;</w:t>
      </w:r>
      <w:r>
        <w:rPr>
          <w:lang w:val="sr-Latn-RS"/>
        </w:rPr>
        <w:t xml:space="preserve"> however, a general rule is to select </w:t>
      </w:r>
      <w:r>
        <w:rPr>
          <w:i/>
          <w:iCs/>
          <w:lang w:val="sr-Latn-RS"/>
        </w:rPr>
        <w:t>k</w:t>
      </w:r>
      <w:r>
        <w:rPr>
          <w:lang w:val="sr-Latn-RS"/>
        </w:rPr>
        <w:t xml:space="preserve"> based on the square root. Sometimes using an error plot of accuracy plot can determine the appropriate parameter of </w:t>
      </w:r>
      <w:r>
        <w:rPr>
          <w:i/>
          <w:iCs/>
          <w:lang w:val="sr-Latn-RS"/>
        </w:rPr>
        <w:t xml:space="preserve">k. </w:t>
      </w:r>
      <w:r>
        <w:rPr>
          <w:lang w:val="sr-Latn-RS"/>
        </w:rPr>
        <w:t xml:space="preserve">Therefore, the first step is choosing the right </w:t>
      </w:r>
      <w:r>
        <w:rPr>
          <w:i/>
          <w:iCs/>
          <w:lang w:val="sr-Latn-RS"/>
        </w:rPr>
        <w:t>k</w:t>
      </w:r>
      <w:r>
        <w:rPr>
          <w:lang w:val="sr-Latn-RS"/>
        </w:rPr>
        <w:t xml:space="preserve"> value corresponding to several factors: application settings, dataset size, dimensionality and classification problem. Usually, concerning binary classification</w:t>
      </w:r>
      <w:r w:rsidR="00FB1190">
        <w:rPr>
          <w:lang w:val="sr-Latn-RS"/>
        </w:rPr>
        <w:t>,</w:t>
      </w:r>
      <w:r>
        <w:rPr>
          <w:lang w:val="sr-Latn-RS"/>
        </w:rPr>
        <w:t xml:space="preserve"> the</w:t>
      </w:r>
      <w:r w:rsidRPr="00184BA7">
        <w:rPr>
          <w:i/>
          <w:iCs/>
          <w:lang w:val="sr-Latn-RS"/>
        </w:rPr>
        <w:t xml:space="preserve"> k</w:t>
      </w:r>
      <w:r w:rsidRPr="00184BA7">
        <w:rPr>
          <w:lang w:val="sr-Latn-RS"/>
        </w:rPr>
        <w:t>NN</w:t>
      </w:r>
      <w:r>
        <w:rPr>
          <w:lang w:val="sr-Latn-RS"/>
        </w:rPr>
        <w:t xml:space="preserve"> uses odd numbers. Secondly, </w:t>
      </w:r>
      <w:r w:rsidR="00FB1190">
        <w:rPr>
          <w:lang w:val="sr-Latn-RS"/>
        </w:rPr>
        <w:t xml:space="preserve">the </w:t>
      </w:r>
      <w:r>
        <w:rPr>
          <w:lang w:val="sr-Latn-RS"/>
        </w:rPr>
        <w:t>distance function (distance between data points) is calculated based on Euclidian (</w:t>
      </w:r>
      <w:r>
        <w:rPr>
          <w:i/>
          <w:iCs/>
          <w:lang w:val="sr-Latn-RS"/>
        </w:rPr>
        <w:t>d</w:t>
      </w:r>
      <w:r>
        <w:rPr>
          <w:i/>
          <w:iCs/>
          <w:vertAlign w:val="subscript"/>
          <w:lang w:val="sr-Latn-RS"/>
        </w:rPr>
        <w:t>E</w:t>
      </w:r>
      <w:r>
        <w:rPr>
          <w:lang w:val="sr-Latn-RS"/>
        </w:rPr>
        <w:t>), Minkowski (</w:t>
      </w:r>
      <w:r>
        <w:rPr>
          <w:i/>
          <w:iCs/>
          <w:lang w:val="sr-Latn-RS"/>
        </w:rPr>
        <w:t>d</w:t>
      </w:r>
      <w:r>
        <w:rPr>
          <w:i/>
          <w:iCs/>
          <w:vertAlign w:val="subscript"/>
          <w:lang w:val="sr-Latn-RS"/>
        </w:rPr>
        <w:t>M</w:t>
      </w:r>
      <w:r>
        <w:rPr>
          <w:lang w:val="sr-Latn-RS"/>
        </w:rPr>
        <w:t>) or Manhattan distance (</w:t>
      </w:r>
      <w:r>
        <w:rPr>
          <w:i/>
          <w:iCs/>
          <w:lang w:val="sr-Latn-RS"/>
        </w:rPr>
        <w:t>d</w:t>
      </w:r>
      <w:r>
        <w:rPr>
          <w:i/>
          <w:iCs/>
          <w:vertAlign w:val="subscript"/>
          <w:lang w:val="sr-Latn-RS"/>
        </w:rPr>
        <w:t>MH</w:t>
      </w:r>
      <w:r>
        <w:rPr>
          <w:lang w:val="sr-Latn-RS"/>
        </w:rPr>
        <w:t>). Usually</w:t>
      </w:r>
      <w:r w:rsidR="00FB1190">
        <w:rPr>
          <w:lang w:val="sr-Latn-RS"/>
        </w:rPr>
        <w:t>,</w:t>
      </w:r>
      <w:r>
        <w:rPr>
          <w:lang w:val="sr-Latn-RS"/>
        </w:rPr>
        <w:t xml:space="preserve"> this </w:t>
      </w:r>
      <w:r>
        <w:rPr>
          <w:i/>
          <w:iCs/>
          <w:lang w:val="sr-Latn-RS"/>
        </w:rPr>
        <w:t>k</w:t>
      </w:r>
      <w:r>
        <w:rPr>
          <w:lang w:val="sr-Latn-RS"/>
        </w:rPr>
        <w:t xml:space="preserve">NN metric for finding distance metrics </w:t>
      </w:r>
      <w:r w:rsidR="00FB1190">
        <w:rPr>
          <w:lang w:val="sr-Latn-RS"/>
        </w:rPr>
        <w:t>is</w:t>
      </w:r>
      <w:r>
        <w:rPr>
          <w:lang w:val="sr-Latn-RS"/>
        </w:rPr>
        <w:t xml:space="preserve"> called hyperparameters. The general form of distance between given </w:t>
      </w:r>
      <w:r>
        <w:rPr>
          <w:i/>
          <w:iCs/>
          <w:lang w:val="sr-Latn-RS"/>
        </w:rPr>
        <w:t>a</w:t>
      </w:r>
      <w:r>
        <w:rPr>
          <w:lang w:val="sr-Latn-RS"/>
        </w:rPr>
        <w:t xml:space="preserve"> and </w:t>
      </w:r>
      <w:r>
        <w:rPr>
          <w:i/>
          <w:iCs/>
          <w:lang w:val="sr-Latn-RS"/>
        </w:rPr>
        <w:t>b</w:t>
      </w:r>
      <w:r>
        <w:rPr>
          <w:lang w:val="sr-Latn-RS"/>
        </w:rPr>
        <w:t xml:space="preserve"> points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5"/>
        <w:gridCol w:w="992"/>
      </w:tblGrid>
      <w:tr w:rsidR="00A40C14" w14:paraId="331C35C8" w14:textId="77777777" w:rsidTr="00E23311">
        <w:tc>
          <w:tcPr>
            <w:tcW w:w="8025" w:type="dxa"/>
          </w:tcPr>
          <w:p w14:paraId="5CFA0D45" w14:textId="10DC840C" w:rsidR="00A40C14" w:rsidRDefault="00A40C14" w:rsidP="00E23311">
            <w:pPr>
              <w:jc w:val="center"/>
            </w:pPr>
            <m:oMath>
              <m:r>
                <w:rPr>
                  <w:rFonts w:ascii="Cambria Math" w:hAnsi="Cambria Math"/>
                </w:rPr>
                <m:t>d</m:t>
              </m:r>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a</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b</m:t>
                      </m:r>
                    </m:sub>
                  </m:sSub>
                </m:e>
              </m:d>
              <m:r>
                <m:rPr>
                  <m:sty m:val="p"/>
                </m:rPr>
                <w:rPr>
                  <w:rFonts w:ascii="Cambria Math" w:hAnsi="Cambria Math"/>
                </w:rPr>
                <m:t>=</m:t>
              </m:r>
              <m:sSup>
                <m:sSupPr>
                  <m:ctrlPr>
                    <w:rPr>
                      <w:rFonts w:ascii="Cambria Math" w:hAnsi="Cambria Math"/>
                    </w:rPr>
                  </m:ctrlPr>
                </m:sSupPr>
                <m:e>
                  <m:d>
                    <m:dPr>
                      <m:ctrlPr>
                        <w:rPr>
                          <w:rFonts w:ascii="Cambria Math" w:hAnsi="Cambria Math"/>
                        </w:rPr>
                      </m:ctrlPr>
                    </m:dPr>
                    <m:e>
                      <m:nary>
                        <m:naryPr>
                          <m:chr m:val="∑"/>
                          <m:limLoc m:val="undOvr"/>
                          <m:ctrlPr>
                            <w:rPr>
                              <w:rFonts w:ascii="Cambria Math" w:hAnsi="Cambria Math"/>
                            </w:rPr>
                          </m:ctrlPr>
                        </m:naryPr>
                        <m:sub>
                          <m:r>
                            <w:rPr>
                              <w:rFonts w:ascii="Cambria Math" w:hAnsi="Cambria Math"/>
                            </w:rPr>
                            <m:t>j=1</m:t>
                          </m:r>
                        </m:sub>
                        <m:sup>
                          <m:r>
                            <w:rPr>
                              <w:rFonts w:ascii="Cambria Math" w:hAnsi="Cambria Math"/>
                            </w:rPr>
                            <m:t>p</m:t>
                          </m:r>
                        </m:sup>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aj</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bj</m:t>
                                      </m:r>
                                    </m:sub>
                                  </m:sSub>
                                </m:e>
                              </m:d>
                            </m:e>
                            <m:sup>
                              <m:r>
                                <w:rPr>
                                  <w:rFonts w:ascii="Cambria Math" w:hAnsi="Cambria Math"/>
                                </w:rPr>
                                <m:t>q</m:t>
                              </m:r>
                            </m:sup>
                          </m:sSup>
                        </m:e>
                      </m:nary>
                    </m:e>
                  </m:d>
                </m:e>
                <m:sup>
                  <m:f>
                    <m:fPr>
                      <m:ctrlPr>
                        <w:rPr>
                          <w:rFonts w:ascii="Cambria Math" w:hAnsi="Cambria Math"/>
                          <w:i/>
                        </w:rPr>
                      </m:ctrlPr>
                    </m:fPr>
                    <m:num>
                      <m:r>
                        <w:rPr>
                          <w:rFonts w:ascii="Cambria Math" w:hAnsi="Cambria Math"/>
                        </w:rPr>
                        <m:t>1</m:t>
                      </m:r>
                    </m:num>
                    <m:den>
                      <m:r>
                        <w:rPr>
                          <w:rFonts w:ascii="Cambria Math" w:hAnsi="Cambria Math"/>
                        </w:rPr>
                        <m:t>q</m:t>
                      </m:r>
                    </m:den>
                  </m:f>
                </m:sup>
              </m:sSup>
              <m:r>
                <w:rPr>
                  <w:rFonts w:ascii="Cambria Math" w:hAnsi="Cambria Math"/>
                </w:rPr>
                <m:t xml:space="preserve"> ,</m:t>
              </m:r>
            </m:oMath>
            <w:r w:rsidR="004619EC">
              <w:rPr>
                <w:rFonts w:eastAsiaTheme="minorEastAsia"/>
              </w:rPr>
              <w:t xml:space="preserve"> </w:t>
            </w:r>
          </w:p>
        </w:tc>
        <w:tc>
          <w:tcPr>
            <w:tcW w:w="992" w:type="dxa"/>
            <w:vAlign w:val="center"/>
          </w:tcPr>
          <w:p w14:paraId="7FDBECE6" w14:textId="20447C48" w:rsidR="00A40C14" w:rsidRDefault="00043DEB" w:rsidP="00E23311">
            <w:pPr>
              <w:jc w:val="right"/>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50</w:t>
            </w:r>
            <w:r w:rsidR="00427B33">
              <w:rPr>
                <w:noProof/>
              </w:rPr>
              <w:fldChar w:fldCharType="end"/>
            </w:r>
            <w:r>
              <w:t>)</w:t>
            </w:r>
          </w:p>
        </w:tc>
      </w:tr>
    </w:tbl>
    <w:p w14:paraId="5EAC9DCE" w14:textId="06CF5073" w:rsidR="00A40C14" w:rsidRDefault="00A40C14" w:rsidP="00F8088F">
      <w:pPr>
        <w:rPr>
          <w:lang w:val="sr-Latn-RS"/>
        </w:rPr>
      </w:pPr>
      <w:r>
        <w:rPr>
          <w:lang w:val="sr-Latn-RS"/>
        </w:rPr>
        <w:t xml:space="preserve">where the value of </w:t>
      </w:r>
      <w:r>
        <w:rPr>
          <w:i/>
          <w:iCs/>
          <w:lang w:val="sr-Latn-RS"/>
        </w:rPr>
        <w:t>p</w:t>
      </w:r>
      <w:r>
        <w:rPr>
          <w:lang w:val="sr-Latn-RS"/>
        </w:rPr>
        <w:t xml:space="preserve"> equals </w:t>
      </w:r>
      <w:r w:rsidR="00FB1190">
        <w:rPr>
          <w:lang w:val="sr-Latn-RS"/>
        </w:rPr>
        <w:t xml:space="preserve">the </w:t>
      </w:r>
      <w:r>
        <w:rPr>
          <w:lang w:val="sr-Latn-RS"/>
        </w:rPr>
        <w:t>number of feature</w:t>
      </w:r>
      <w:r w:rsidR="00FB1190">
        <w:rPr>
          <w:lang w:val="sr-Latn-RS"/>
        </w:rPr>
        <w:t>s</w:t>
      </w:r>
      <w:r>
        <w:rPr>
          <w:lang w:val="sr-Latn-RS"/>
        </w:rPr>
        <w:t xml:space="preserve"> and </w:t>
      </w:r>
      <w:r>
        <w:rPr>
          <w:i/>
          <w:iCs/>
          <w:lang w:val="sr-Latn-RS"/>
        </w:rPr>
        <w:t>q</w:t>
      </w:r>
      <w:r>
        <w:rPr>
          <w:lang w:val="sr-Latn-RS"/>
        </w:rPr>
        <w:t xml:space="preserve"> is a constant (1 or 2).</w:t>
      </w:r>
      <w:r w:rsidR="00C87A8A">
        <w:rPr>
          <w:lang w:val="sr-Latn-RS"/>
        </w:rPr>
        <w:t xml:space="preserve"> This general form can be </w:t>
      </w:r>
      <w:r w:rsidR="00D11647">
        <w:rPr>
          <w:lang w:val="sr-Latn-RS"/>
        </w:rPr>
        <w:t>usually described as Minkowski distance and can be seen in the literature in the form of:</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5"/>
        <w:gridCol w:w="992"/>
      </w:tblGrid>
      <w:tr w:rsidR="00D11647" w14:paraId="61E1732B" w14:textId="77777777" w:rsidTr="00E23311">
        <w:tc>
          <w:tcPr>
            <w:tcW w:w="8025" w:type="dxa"/>
          </w:tcPr>
          <w:p w14:paraId="5AAE23D0" w14:textId="4712A787" w:rsidR="00D11647" w:rsidRDefault="00427B33" w:rsidP="00E23311">
            <w:pPr>
              <w:jc w:val="center"/>
            </w:pPr>
            <m:oMathPara>
              <m:oMath>
                <m:sSub>
                  <m:sSubPr>
                    <m:ctrlPr>
                      <w:rPr>
                        <w:rFonts w:ascii="Cambria Math" w:hAnsi="Cambria Math"/>
                        <w:i/>
                        <w:iCs/>
                      </w:rPr>
                    </m:ctrlPr>
                  </m:sSubPr>
                  <m:e>
                    <m:r>
                      <w:rPr>
                        <w:rFonts w:ascii="Cambria Math" w:hAnsi="Cambria Math"/>
                      </w:rPr>
                      <m:t>d</m:t>
                    </m:r>
                  </m:e>
                  <m:sub>
                    <m:r>
                      <w:rPr>
                        <w:rFonts w:ascii="Cambria Math" w:hAnsi="Cambria Math"/>
                      </w:rPr>
                      <m:t>M</m:t>
                    </m:r>
                  </m:sub>
                </m:sSub>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a</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b</m:t>
                        </m:r>
                      </m:sub>
                    </m:sSub>
                  </m:e>
                </m:d>
                <m:r>
                  <m:rPr>
                    <m:sty m:val="p"/>
                  </m:rPr>
                  <w:rPr>
                    <w:rFonts w:ascii="Cambria Math" w:hAnsi="Cambria Math"/>
                  </w:rPr>
                  <m:t>=</m:t>
                </m:r>
                <m:rad>
                  <m:radPr>
                    <m:ctrlPr>
                      <w:rPr>
                        <w:rFonts w:ascii="Cambria Math" w:hAnsi="Cambria Math"/>
                      </w:rPr>
                    </m:ctrlPr>
                  </m:radPr>
                  <m:deg>
                    <m:r>
                      <w:rPr>
                        <w:rFonts w:ascii="Cambria Math" w:hAnsi="Cambria Math"/>
                      </w:rPr>
                      <m:t>q</m:t>
                    </m:r>
                  </m:deg>
                  <m:e>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a1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b1</m:t>
                                </m:r>
                              </m:sub>
                            </m:sSub>
                          </m:e>
                        </m:d>
                      </m:e>
                      <m:sup>
                        <m:r>
                          <w:rPr>
                            <w:rFonts w:ascii="Cambria Math" w:hAnsi="Cambria Math"/>
                          </w:rPr>
                          <m:t>q</m:t>
                        </m:r>
                      </m:sup>
                    </m:sSup>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a2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b2</m:t>
                                </m:r>
                              </m:sub>
                            </m:sSub>
                          </m:e>
                        </m:d>
                      </m:e>
                      <m:sup>
                        <m:r>
                          <w:rPr>
                            <w:rFonts w:ascii="Cambria Math" w:hAnsi="Cambria Math"/>
                          </w:rPr>
                          <m:t>q</m:t>
                        </m:r>
                      </m:sup>
                    </m:sSup>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ap</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bp</m:t>
                                </m:r>
                              </m:sub>
                            </m:sSub>
                          </m:e>
                        </m:d>
                      </m:e>
                      <m:sup>
                        <m:r>
                          <w:rPr>
                            <w:rFonts w:ascii="Cambria Math" w:hAnsi="Cambria Math"/>
                          </w:rPr>
                          <m:t>q</m:t>
                        </m:r>
                      </m:sup>
                    </m:sSup>
                  </m:e>
                </m:rad>
                <m:r>
                  <w:rPr>
                    <w:rFonts w:ascii="Cambria Math" w:hAnsi="Cambria Math"/>
                  </w:rPr>
                  <m:t xml:space="preserve"> ,</m:t>
                </m:r>
              </m:oMath>
            </m:oMathPara>
          </w:p>
        </w:tc>
        <w:tc>
          <w:tcPr>
            <w:tcW w:w="992" w:type="dxa"/>
            <w:vAlign w:val="center"/>
          </w:tcPr>
          <w:p w14:paraId="65A0B8E1" w14:textId="13B70B5E" w:rsidR="00D11647" w:rsidRDefault="00043DEB" w:rsidP="00E23311">
            <w:pPr>
              <w:jc w:val="right"/>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51</w:t>
            </w:r>
            <w:r w:rsidR="00427B33">
              <w:rPr>
                <w:noProof/>
              </w:rPr>
              <w:fldChar w:fldCharType="end"/>
            </w:r>
            <w:r>
              <w:t>)</w:t>
            </w:r>
          </w:p>
        </w:tc>
      </w:tr>
    </w:tbl>
    <w:p w14:paraId="77485911" w14:textId="051CA260" w:rsidR="00C87A8A" w:rsidRDefault="001202C1" w:rsidP="00F8088F">
      <w:pPr>
        <w:rPr>
          <w:lang w:val="sr-Latn-RS"/>
        </w:rPr>
      </w:pPr>
      <w:r>
        <w:rPr>
          <w:lang w:val="sr-Latn-RS"/>
        </w:rPr>
        <w:t xml:space="preserve">where in the case of </w:t>
      </w:r>
      <w:r>
        <w:rPr>
          <w:i/>
          <w:iCs/>
          <w:lang w:val="sr-Latn-RS"/>
        </w:rPr>
        <w:t>q = 2</w:t>
      </w:r>
      <w:r>
        <w:rPr>
          <w:lang w:val="sr-Latn-RS"/>
        </w:rPr>
        <w:t xml:space="preserve"> the calculation is then represented as </w:t>
      </w:r>
      <w:r>
        <w:rPr>
          <w:i/>
          <w:iCs/>
          <w:lang w:val="sr-Latn-RS"/>
        </w:rPr>
        <w:t>Euclidian</w:t>
      </w:r>
      <w:r>
        <w:rPr>
          <w:lang w:val="sr-Latn-RS"/>
        </w:rPr>
        <w:t xml:space="preserve"> distance: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5"/>
        <w:gridCol w:w="992"/>
      </w:tblGrid>
      <w:tr w:rsidR="001202C1" w14:paraId="42858103" w14:textId="77777777" w:rsidTr="00E23311">
        <w:tc>
          <w:tcPr>
            <w:tcW w:w="8025" w:type="dxa"/>
          </w:tcPr>
          <w:p w14:paraId="2CCF8C46" w14:textId="09F0BBF1" w:rsidR="001202C1" w:rsidRDefault="00427B33" w:rsidP="00E23311">
            <w:pPr>
              <w:jc w:val="center"/>
            </w:pPr>
            <m:oMathPara>
              <m:oMath>
                <m:sSub>
                  <m:sSubPr>
                    <m:ctrlPr>
                      <w:rPr>
                        <w:rFonts w:ascii="Cambria Math" w:hAnsi="Cambria Math"/>
                        <w:i/>
                        <w:iCs/>
                      </w:rPr>
                    </m:ctrlPr>
                  </m:sSubPr>
                  <m:e>
                    <m:r>
                      <w:rPr>
                        <w:rFonts w:ascii="Cambria Math" w:hAnsi="Cambria Math"/>
                      </w:rPr>
                      <m:t>d</m:t>
                    </m:r>
                  </m:e>
                  <m:sub>
                    <m:r>
                      <w:rPr>
                        <w:rFonts w:ascii="Cambria Math" w:hAnsi="Cambria Math"/>
                      </w:rPr>
                      <m:t>E</m:t>
                    </m:r>
                  </m:sub>
                </m:sSub>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a</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b</m:t>
                        </m:r>
                      </m:sub>
                    </m:sSub>
                  </m:e>
                </m:d>
                <m:r>
                  <m:rPr>
                    <m:sty m:val="p"/>
                  </m:rPr>
                  <w:rPr>
                    <w:rFonts w:ascii="Cambria Math" w:hAnsi="Cambria Math"/>
                  </w:rPr>
                  <m:t>=</m:t>
                </m:r>
                <m:rad>
                  <m:radPr>
                    <m:ctrlPr>
                      <w:rPr>
                        <w:rFonts w:ascii="Cambria Math" w:hAnsi="Cambria Math"/>
                      </w:rPr>
                    </m:ctrlPr>
                  </m:radPr>
                  <m:deg>
                    <m:r>
                      <w:rPr>
                        <w:rFonts w:ascii="Cambria Math" w:hAnsi="Cambria Math"/>
                      </w:rPr>
                      <m:t>2</m:t>
                    </m:r>
                  </m:deg>
                  <m:e>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a1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b1</m:t>
                                </m:r>
                              </m:sub>
                            </m:sSub>
                          </m:e>
                        </m:d>
                      </m:e>
                      <m:sup>
                        <m:r>
                          <w:rPr>
                            <w:rFonts w:ascii="Cambria Math" w:hAnsi="Cambria Math"/>
                          </w:rPr>
                          <m:t>2</m:t>
                        </m:r>
                      </m:sup>
                    </m:sSup>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a2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b2</m:t>
                                </m:r>
                              </m:sub>
                            </m:sSub>
                          </m:e>
                        </m:d>
                      </m:e>
                      <m:sup>
                        <m:r>
                          <w:rPr>
                            <w:rFonts w:ascii="Cambria Math" w:hAnsi="Cambria Math"/>
                          </w:rPr>
                          <m:t>2</m:t>
                        </m:r>
                      </m:sup>
                    </m:sSup>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ap</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bp</m:t>
                                </m:r>
                              </m:sub>
                            </m:sSub>
                          </m:e>
                        </m:d>
                      </m:e>
                      <m:sup>
                        <m:r>
                          <w:rPr>
                            <w:rFonts w:ascii="Cambria Math" w:hAnsi="Cambria Math"/>
                          </w:rPr>
                          <m:t>2</m:t>
                        </m:r>
                      </m:sup>
                    </m:sSup>
                  </m:e>
                </m:rad>
                <m:r>
                  <w:rPr>
                    <w:rFonts w:ascii="Cambria Math" w:hAnsi="Cambria Math"/>
                  </w:rPr>
                  <m:t xml:space="preserve"> ,</m:t>
                </m:r>
              </m:oMath>
            </m:oMathPara>
          </w:p>
        </w:tc>
        <w:tc>
          <w:tcPr>
            <w:tcW w:w="992" w:type="dxa"/>
            <w:vAlign w:val="center"/>
          </w:tcPr>
          <w:p w14:paraId="314516B9" w14:textId="6284458F" w:rsidR="001202C1" w:rsidRDefault="00043DEB" w:rsidP="00E23311">
            <w:pPr>
              <w:jc w:val="right"/>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52</w:t>
            </w:r>
            <w:r w:rsidR="00427B33">
              <w:rPr>
                <w:noProof/>
              </w:rPr>
              <w:fldChar w:fldCharType="end"/>
            </w:r>
            <w:r>
              <w:t>)</w:t>
            </w:r>
          </w:p>
        </w:tc>
      </w:tr>
    </w:tbl>
    <w:p w14:paraId="368DE39D" w14:textId="5A4DF968" w:rsidR="001202C1" w:rsidRDefault="00250732" w:rsidP="00F8088F">
      <w:pPr>
        <w:rPr>
          <w:lang w:val="sr-Latn-RS"/>
        </w:rPr>
      </w:pPr>
      <w:r>
        <w:rPr>
          <w:lang w:val="sr-Latn-RS"/>
        </w:rPr>
        <w:t xml:space="preserve">and in the case of </w:t>
      </w:r>
      <w:r>
        <w:rPr>
          <w:i/>
          <w:iCs/>
          <w:lang w:val="sr-Latn-RS"/>
        </w:rPr>
        <w:t>q</w:t>
      </w:r>
      <w:r>
        <w:rPr>
          <w:lang w:val="sr-Latn-RS"/>
        </w:rPr>
        <w:t xml:space="preserve"> = 1, the calculation is then represented as </w:t>
      </w:r>
      <w:r w:rsidR="00FB1190">
        <w:rPr>
          <w:lang w:val="sr-Latn-RS"/>
        </w:rPr>
        <w:t xml:space="preserve">a </w:t>
      </w:r>
      <w:r>
        <w:rPr>
          <w:lang w:val="sr-Latn-RS"/>
        </w:rPr>
        <w:t xml:space="preserve">simple </w:t>
      </w:r>
      <w:r w:rsidRPr="00250732">
        <w:rPr>
          <w:i/>
          <w:iCs/>
          <w:lang w:val="sr-Latn-RS"/>
        </w:rPr>
        <w:t>Manhattan</w:t>
      </w:r>
      <w:r>
        <w:rPr>
          <w:lang w:val="sr-Latn-RS"/>
        </w:rPr>
        <w:t xml:space="preserve"> distance: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5"/>
        <w:gridCol w:w="992"/>
      </w:tblGrid>
      <w:tr w:rsidR="00B17669" w14:paraId="027952D7" w14:textId="77777777" w:rsidTr="00E23311">
        <w:tc>
          <w:tcPr>
            <w:tcW w:w="8025" w:type="dxa"/>
          </w:tcPr>
          <w:p w14:paraId="2BF850A2" w14:textId="77777777" w:rsidR="00B17669" w:rsidRDefault="00427B33" w:rsidP="00E23311">
            <w:pPr>
              <w:jc w:val="center"/>
            </w:pPr>
            <m:oMathPara>
              <m:oMath>
                <m:sSub>
                  <m:sSubPr>
                    <m:ctrlPr>
                      <w:rPr>
                        <w:rFonts w:ascii="Cambria Math" w:hAnsi="Cambria Math"/>
                        <w:i/>
                        <w:iCs/>
                      </w:rPr>
                    </m:ctrlPr>
                  </m:sSubPr>
                  <m:e>
                    <m:r>
                      <w:rPr>
                        <w:rFonts w:ascii="Cambria Math" w:hAnsi="Cambria Math"/>
                      </w:rPr>
                      <m:t>d</m:t>
                    </m:r>
                  </m:e>
                  <m:sub>
                    <m:r>
                      <w:rPr>
                        <w:rFonts w:ascii="Cambria Math" w:hAnsi="Cambria Math"/>
                      </w:rPr>
                      <m:t>MH</m:t>
                    </m:r>
                  </m:sub>
                </m:sSub>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a</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b</m:t>
                        </m:r>
                      </m:sub>
                    </m:sSub>
                  </m:e>
                </m:d>
                <m:r>
                  <m:rPr>
                    <m:sty m:val="p"/>
                  </m:rPr>
                  <w:rPr>
                    <w:rFonts w:ascii="Cambria Math" w:hAnsi="Cambria Math"/>
                  </w:rPr>
                  <m:t>=</m:t>
                </m:r>
                <m:rad>
                  <m:radPr>
                    <m:degHide m:val="1"/>
                    <m:ctrlPr>
                      <w:rPr>
                        <w:rFonts w:ascii="Cambria Math" w:hAnsi="Cambria Math"/>
                      </w:rPr>
                    </m:ctrlPr>
                  </m:radPr>
                  <m:deg/>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a1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b1</m:t>
                            </m:r>
                          </m:sub>
                        </m:sSub>
                      </m:e>
                    </m:d>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a2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b2</m:t>
                            </m:r>
                          </m:sub>
                        </m:sSub>
                      </m:e>
                    </m:d>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bn</m:t>
                            </m:r>
                          </m:sub>
                        </m:sSub>
                      </m:e>
                    </m:d>
                  </m:e>
                </m:rad>
                <m:r>
                  <w:rPr>
                    <w:rFonts w:ascii="Cambria Math" w:hAnsi="Cambria Math"/>
                  </w:rPr>
                  <m:t xml:space="preserve"> .</m:t>
                </m:r>
              </m:oMath>
            </m:oMathPara>
          </w:p>
        </w:tc>
        <w:tc>
          <w:tcPr>
            <w:tcW w:w="992" w:type="dxa"/>
            <w:vAlign w:val="center"/>
          </w:tcPr>
          <w:p w14:paraId="703A2A65" w14:textId="6138F409" w:rsidR="00B17669" w:rsidRDefault="00043DEB" w:rsidP="00E23311">
            <w:pPr>
              <w:jc w:val="right"/>
            </w:pPr>
            <w:r>
              <w:rPr>
                <w:szCs w:val="24"/>
              </w:rPr>
              <w:t>(</w:t>
            </w:r>
            <w:r w:rsidR="00427B33">
              <w:fldChar w:fldCharType="begin"/>
            </w:r>
            <w:r w:rsidR="00427B33">
              <w:instrText xml:space="preserve"> STYLEREF 1 \s </w:instrText>
            </w:r>
            <w:r w:rsidR="00427B33">
              <w:fldChar w:fldCharType="separate"/>
            </w:r>
            <w:r w:rsidR="00587AF0">
              <w:rPr>
                <w:noProof/>
              </w:rPr>
              <w:t>9</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53</w:t>
            </w:r>
            <w:r w:rsidR="00427B33">
              <w:rPr>
                <w:noProof/>
              </w:rPr>
              <w:fldChar w:fldCharType="end"/>
            </w:r>
            <w:r>
              <w:t>)</w:t>
            </w:r>
          </w:p>
        </w:tc>
      </w:tr>
    </w:tbl>
    <w:p w14:paraId="6C556272" w14:textId="11CBBE5E" w:rsidR="00B17669" w:rsidRDefault="00B17669" w:rsidP="00F8088F">
      <w:pPr>
        <w:rPr>
          <w:lang w:val="sr-Latn-RS"/>
        </w:rPr>
      </w:pPr>
      <w:r>
        <w:rPr>
          <w:lang w:val="sr-Latn-RS"/>
        </w:rPr>
        <w:t>The classification using kNN is done in the following subsections using IBM SPSS software.</w:t>
      </w:r>
    </w:p>
    <w:p w14:paraId="6432BA90" w14:textId="6A3734E8" w:rsidR="00915882" w:rsidRDefault="00915882" w:rsidP="00915882">
      <w:pPr>
        <w:pStyle w:val="Heading3"/>
        <w:rPr>
          <w:lang w:val="sr-Latn-RS"/>
        </w:rPr>
      </w:pPr>
      <w:bookmarkStart w:id="701" w:name="_Toc101274414"/>
      <w:r>
        <w:rPr>
          <w:lang w:val="sr-Latn-RS"/>
        </w:rPr>
        <w:lastRenderedPageBreak/>
        <w:t>k</w:t>
      </w:r>
      <w:r w:rsidR="00F37CA7">
        <w:rPr>
          <w:lang w:val="sr-Latn-RS"/>
        </w:rPr>
        <w:t>-</w:t>
      </w:r>
      <w:r>
        <w:rPr>
          <w:lang w:val="sr-Latn-RS"/>
        </w:rPr>
        <w:t xml:space="preserve">NN classification algorithm for opening saddle </w:t>
      </w:r>
      <w:r w:rsidR="006713AF">
        <w:rPr>
          <w:lang w:val="sr-Latn-RS"/>
        </w:rPr>
        <w:t>position</w:t>
      </w:r>
      <w:bookmarkEnd w:id="701"/>
    </w:p>
    <w:p w14:paraId="26F75445" w14:textId="4600A448" w:rsidR="002E3400" w:rsidRDefault="0031119C" w:rsidP="00915882">
      <w:pPr>
        <w:rPr>
          <w:lang w:val="sr-Latn-RS"/>
        </w:rPr>
      </w:pPr>
      <w:r>
        <w:rPr>
          <w:lang w:val="sr-Latn-RS"/>
        </w:rPr>
        <w:t xml:space="preserve">The </w:t>
      </w:r>
      <w:r w:rsidR="00CD2439">
        <w:rPr>
          <w:lang w:val="sr-Latn-RS"/>
        </w:rPr>
        <w:t>graphs and classification matrix results</w:t>
      </w:r>
      <w:r>
        <w:rPr>
          <w:lang w:val="sr-Latn-RS"/>
        </w:rPr>
        <w:t xml:space="preserve"> do not provide too much exp</w:t>
      </w:r>
      <w:r w:rsidR="00CE6101">
        <w:rPr>
          <w:lang w:val="sr-Latn-RS"/>
        </w:rPr>
        <w:t>l</w:t>
      </w:r>
      <w:r>
        <w:rPr>
          <w:lang w:val="sr-Latn-RS"/>
        </w:rPr>
        <w:t xml:space="preserve">anatory </w:t>
      </w:r>
      <w:r w:rsidR="00CE6101">
        <w:rPr>
          <w:lang w:val="sr-Latn-RS"/>
        </w:rPr>
        <w:t>information</w:t>
      </w:r>
      <w:r>
        <w:rPr>
          <w:lang w:val="sr-Latn-RS"/>
        </w:rPr>
        <w:t xml:space="preserve"> regarding the classification methodology. The results show the classification results represented by reduced projection of higher dimensions and the results of assigning classes to specific binary clas</w:t>
      </w:r>
      <w:r w:rsidR="00CD2439">
        <w:rPr>
          <w:lang w:val="sr-Latn-RS"/>
        </w:rPr>
        <w:t>se</w:t>
      </w:r>
      <w:r>
        <w:rPr>
          <w:lang w:val="sr-Latn-RS"/>
        </w:rPr>
        <w:t xml:space="preserve">s. As was the case with previous ML algorithms, the best separation of </w:t>
      </w:r>
      <w:r w:rsidR="00CD2439">
        <w:rPr>
          <w:lang w:val="sr-Latn-RS"/>
        </w:rPr>
        <w:t xml:space="preserve">the </w:t>
      </w:r>
      <w:r>
        <w:rPr>
          <w:lang w:val="sr-Latn-RS"/>
        </w:rPr>
        <w:t>opening saddle includes N_StDev_OS, N_Median_OS, N_Min_OS, and N_Max_OS</w:t>
      </w:r>
      <w:r w:rsidR="00CD2439">
        <w:rPr>
          <w:lang w:val="sr-Latn-RS"/>
        </w:rPr>
        <w:t>;</w:t>
      </w:r>
      <w:r>
        <w:rPr>
          <w:lang w:val="sr-Latn-RS"/>
        </w:rPr>
        <w:t xml:space="preserve"> the same are used to visualise the separation of </w:t>
      </w:r>
      <w:r w:rsidR="00CD2439">
        <w:rPr>
          <w:lang w:val="sr-Latn-RS"/>
        </w:rPr>
        <w:t xml:space="preserve">the </w:t>
      </w:r>
      <w:r>
        <w:rPr>
          <w:lang w:val="sr-Latn-RS"/>
        </w:rPr>
        <w:t xml:space="preserve">kNN algorithm and are given in </w:t>
      </w:r>
      <w:r>
        <w:rPr>
          <w:lang w:val="sr-Latn-RS"/>
        </w:rPr>
        <w:fldChar w:fldCharType="begin"/>
      </w:r>
      <w:r>
        <w:rPr>
          <w:lang w:val="sr-Latn-RS"/>
        </w:rPr>
        <w:instrText xml:space="preserve"> REF _Ref99377753 \h </w:instrText>
      </w:r>
      <w:r>
        <w:rPr>
          <w:lang w:val="sr-Latn-RS"/>
        </w:rPr>
      </w:r>
      <w:r>
        <w:rPr>
          <w:lang w:val="sr-Latn-RS"/>
        </w:rPr>
        <w:fldChar w:fldCharType="separate"/>
      </w:r>
      <w:r w:rsidR="00587AF0">
        <w:t xml:space="preserve">Figure </w:t>
      </w:r>
      <w:r w:rsidR="00587AF0">
        <w:rPr>
          <w:noProof/>
        </w:rPr>
        <w:t>118</w:t>
      </w:r>
      <w:r>
        <w:rPr>
          <w:lang w:val="sr-Latn-RS"/>
        </w:rPr>
        <w:fldChar w:fldCharType="end"/>
      </w:r>
      <w:r>
        <w:rPr>
          <w:lang w:val="sr-Latn-RS"/>
        </w:rPr>
        <w:t xml:space="preserve">. The </w:t>
      </w:r>
      <w:r w:rsidR="00CD2439">
        <w:rPr>
          <w:lang w:val="sr-Latn-RS"/>
        </w:rPr>
        <w:t>classification results (Table 71) show up to 91% overall accuracy</w:t>
      </w:r>
      <w:r>
        <w:rPr>
          <w:lang w:val="sr-Latn-RS"/>
        </w:rPr>
        <w:t>, with lower accuracy in determining normal operating condition</w:t>
      </w:r>
      <w:r w:rsidR="00CD2439">
        <w:rPr>
          <w:lang w:val="sr-Latn-RS"/>
        </w:rPr>
        <w:t>s</w:t>
      </w:r>
      <w:r>
        <w:rPr>
          <w:lang w:val="sr-Latn-RS"/>
        </w:rPr>
        <w:t>. Unlike previous algorithms, the classification results show slight</w:t>
      </w:r>
      <w:r w:rsidR="00CD2439">
        <w:rPr>
          <w:lang w:val="sr-Latn-RS"/>
        </w:rPr>
        <w:t>l</w:t>
      </w:r>
      <w:r>
        <w:rPr>
          <w:lang w:val="sr-Latn-RS"/>
        </w:rPr>
        <w:t>y reduced accuracy.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6"/>
        <w:gridCol w:w="4441"/>
      </w:tblGrid>
      <w:tr w:rsidR="002E3400" w14:paraId="34F5739B" w14:textId="77777777" w:rsidTr="00C255E2">
        <w:tc>
          <w:tcPr>
            <w:tcW w:w="4586" w:type="dxa"/>
          </w:tcPr>
          <w:p w14:paraId="4D1529CE" w14:textId="66A4049A" w:rsidR="002E3400" w:rsidRDefault="002E3400" w:rsidP="005C6FC8">
            <w:pPr>
              <w:autoSpaceDE w:val="0"/>
              <w:autoSpaceDN w:val="0"/>
              <w:adjustRightInd w:val="0"/>
              <w:spacing w:before="0" w:after="0"/>
              <w:jc w:val="left"/>
              <w:rPr>
                <w:rFonts w:ascii="Times New Roman" w:hAnsi="Times New Roman" w:cs="Times New Roman"/>
                <w:szCs w:val="24"/>
                <w:lang w:val="sr-Latn-RS"/>
              </w:rPr>
            </w:pPr>
            <w:r>
              <w:rPr>
                <w:rFonts w:ascii="Times New Roman" w:hAnsi="Times New Roman" w:cs="Times New Roman"/>
                <w:noProof/>
                <w:szCs w:val="24"/>
                <w:lang w:val="sr-Latn-RS"/>
              </w:rPr>
              <w:drawing>
                <wp:inline distT="0" distB="0" distL="0" distR="0" wp14:anchorId="3D517DF5" wp14:editId="055A848E">
                  <wp:extent cx="2802995" cy="2520000"/>
                  <wp:effectExtent l="0" t="0" r="0" b="0"/>
                  <wp:docPr id="184" name="Picture 18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Chart, scatter chart&#10;&#10;Description automatically generated"/>
                          <pic:cNvPicPr>
                            <a:picLocks noChangeAspect="1" noChangeArrowheads="1"/>
                          </pic:cNvPicPr>
                        </pic:nvPicPr>
                        <pic:blipFill rotWithShape="1">
                          <a:blip r:embed="rId155">
                            <a:extLst>
                              <a:ext uri="{28A0092B-C50C-407E-A947-70E740481C1C}">
                                <a14:useLocalDpi xmlns:a14="http://schemas.microsoft.com/office/drawing/2010/main" val="0"/>
                              </a:ext>
                            </a:extLst>
                          </a:blip>
                          <a:srcRect l="11287" t="20242" r="26103" b="18701"/>
                          <a:stretch/>
                        </pic:blipFill>
                        <pic:spPr bwMode="auto">
                          <a:xfrm>
                            <a:off x="0" y="0"/>
                            <a:ext cx="2802995"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41" w:type="dxa"/>
          </w:tcPr>
          <w:p w14:paraId="3FF1A937" w14:textId="67219298" w:rsidR="002E3400" w:rsidRDefault="002E3400" w:rsidP="005C6FC8">
            <w:pPr>
              <w:autoSpaceDE w:val="0"/>
              <w:autoSpaceDN w:val="0"/>
              <w:adjustRightInd w:val="0"/>
              <w:spacing w:before="0" w:after="0"/>
              <w:jc w:val="left"/>
              <w:rPr>
                <w:rFonts w:ascii="Times New Roman" w:hAnsi="Times New Roman" w:cs="Times New Roman"/>
                <w:szCs w:val="24"/>
                <w:lang w:val="sr-Latn-RS"/>
              </w:rPr>
            </w:pPr>
            <w:r>
              <w:rPr>
                <w:rFonts w:ascii="Times New Roman" w:hAnsi="Times New Roman" w:cs="Times New Roman"/>
                <w:noProof/>
                <w:szCs w:val="24"/>
                <w:lang w:val="sr-Latn-RS"/>
              </w:rPr>
              <w:drawing>
                <wp:inline distT="0" distB="0" distL="0" distR="0" wp14:anchorId="0E01AC69" wp14:editId="7C9BF654">
                  <wp:extent cx="2710334" cy="2520000"/>
                  <wp:effectExtent l="0" t="0" r="0" b="0"/>
                  <wp:docPr id="185" name="Picture 18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Chart, scatter chart&#10;&#10;Description automatically generated"/>
                          <pic:cNvPicPr>
                            <a:picLocks noChangeAspect="1" noChangeArrowheads="1"/>
                          </pic:cNvPicPr>
                        </pic:nvPicPr>
                        <pic:blipFill rotWithShape="1">
                          <a:blip r:embed="rId156">
                            <a:extLst>
                              <a:ext uri="{28A0092B-C50C-407E-A947-70E740481C1C}">
                                <a14:useLocalDpi xmlns:a14="http://schemas.microsoft.com/office/drawing/2010/main" val="0"/>
                              </a:ext>
                            </a:extLst>
                          </a:blip>
                          <a:srcRect l="10234" t="19427" r="27614" b="17890"/>
                          <a:stretch/>
                        </pic:blipFill>
                        <pic:spPr bwMode="auto">
                          <a:xfrm>
                            <a:off x="0" y="0"/>
                            <a:ext cx="2710334"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E3400" w14:paraId="4BE832C3" w14:textId="77777777" w:rsidTr="00C255E2">
        <w:tc>
          <w:tcPr>
            <w:tcW w:w="4586" w:type="dxa"/>
          </w:tcPr>
          <w:p w14:paraId="4760C5DE" w14:textId="3E6F47DD" w:rsidR="002E3400" w:rsidRDefault="002E3400" w:rsidP="005C6FC8">
            <w:pPr>
              <w:autoSpaceDE w:val="0"/>
              <w:autoSpaceDN w:val="0"/>
              <w:adjustRightInd w:val="0"/>
              <w:spacing w:before="0" w:after="0"/>
              <w:jc w:val="left"/>
              <w:rPr>
                <w:rFonts w:ascii="Times New Roman" w:hAnsi="Times New Roman" w:cs="Times New Roman"/>
                <w:szCs w:val="24"/>
                <w:lang w:val="sr-Latn-RS"/>
              </w:rPr>
            </w:pPr>
            <w:r>
              <w:rPr>
                <w:rFonts w:ascii="Times New Roman" w:hAnsi="Times New Roman" w:cs="Times New Roman"/>
                <w:noProof/>
                <w:szCs w:val="24"/>
                <w:lang w:val="sr-Latn-RS"/>
              </w:rPr>
              <w:drawing>
                <wp:inline distT="0" distB="0" distL="0" distR="0" wp14:anchorId="4E24CD8A" wp14:editId="0645DDF2">
                  <wp:extent cx="2661790" cy="2520000"/>
                  <wp:effectExtent l="0" t="0" r="5715" b="0"/>
                  <wp:docPr id="192" name="Picture 19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Chart, scatter chart&#10;&#10;Description automatically generated"/>
                          <pic:cNvPicPr>
                            <a:picLocks noChangeAspect="1" noChangeArrowheads="1"/>
                          </pic:cNvPicPr>
                        </pic:nvPicPr>
                        <pic:blipFill rotWithShape="1">
                          <a:blip r:embed="rId157">
                            <a:extLst>
                              <a:ext uri="{28A0092B-C50C-407E-A947-70E740481C1C}">
                                <a14:useLocalDpi xmlns:a14="http://schemas.microsoft.com/office/drawing/2010/main" val="0"/>
                              </a:ext>
                            </a:extLst>
                          </a:blip>
                          <a:srcRect l="10835" t="19099" r="27005" b="17067"/>
                          <a:stretch/>
                        </pic:blipFill>
                        <pic:spPr bwMode="auto">
                          <a:xfrm>
                            <a:off x="0" y="0"/>
                            <a:ext cx="2661790"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41" w:type="dxa"/>
          </w:tcPr>
          <w:p w14:paraId="6693B734" w14:textId="0B864BE2" w:rsidR="002E3400" w:rsidRDefault="002E3400" w:rsidP="005C6FC8">
            <w:pPr>
              <w:autoSpaceDE w:val="0"/>
              <w:autoSpaceDN w:val="0"/>
              <w:adjustRightInd w:val="0"/>
              <w:spacing w:before="0" w:after="0"/>
              <w:jc w:val="center"/>
              <w:rPr>
                <w:rFonts w:ascii="Times New Roman" w:hAnsi="Times New Roman" w:cs="Times New Roman"/>
                <w:szCs w:val="24"/>
                <w:lang w:val="sr-Latn-RS"/>
              </w:rPr>
            </w:pPr>
            <w:r>
              <w:rPr>
                <w:rFonts w:ascii="Times New Roman" w:hAnsi="Times New Roman" w:cs="Times New Roman"/>
                <w:noProof/>
                <w:szCs w:val="24"/>
                <w:lang w:val="sr-Latn-RS"/>
              </w:rPr>
              <w:drawing>
                <wp:inline distT="0" distB="0" distL="0" distR="0" wp14:anchorId="3A19C663" wp14:editId="41602FE8">
                  <wp:extent cx="2708160" cy="2520000"/>
                  <wp:effectExtent l="0" t="0" r="0" b="0"/>
                  <wp:docPr id="193" name="Picture 19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Chart, scatter chart&#10;&#10;Description automatically generated"/>
                          <pic:cNvPicPr>
                            <a:picLocks noChangeAspect="1" noChangeArrowheads="1"/>
                          </pic:cNvPicPr>
                        </pic:nvPicPr>
                        <pic:blipFill rotWithShape="1">
                          <a:blip r:embed="rId158">
                            <a:extLst>
                              <a:ext uri="{28A0092B-C50C-407E-A947-70E740481C1C}">
                                <a14:useLocalDpi xmlns:a14="http://schemas.microsoft.com/office/drawing/2010/main" val="0"/>
                              </a:ext>
                            </a:extLst>
                          </a:blip>
                          <a:srcRect l="13093" t="20406" r="26251" b="18371"/>
                          <a:stretch/>
                        </pic:blipFill>
                        <pic:spPr bwMode="auto">
                          <a:xfrm>
                            <a:off x="0" y="0"/>
                            <a:ext cx="2708160"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6D5542B" w14:textId="11E77CA5" w:rsidR="002E3400" w:rsidRDefault="002E3400" w:rsidP="002E3400">
      <w:pPr>
        <w:pStyle w:val="Caption"/>
        <w:rPr>
          <w:lang w:val="sr-Latn-RS"/>
        </w:rPr>
      </w:pPr>
      <w:bookmarkStart w:id="702" w:name="_Ref99377753"/>
      <w:bookmarkStart w:id="703" w:name="_Toc101274640"/>
      <w:r>
        <w:t xml:space="preserve">Figure </w:t>
      </w:r>
      <w:fldSimple w:instr=" SEQ Figure \* ARABIC ">
        <w:r w:rsidR="00587AF0">
          <w:rPr>
            <w:noProof/>
          </w:rPr>
          <w:t>118</w:t>
        </w:r>
      </w:fldSimple>
      <w:bookmarkEnd w:id="702"/>
      <w:r>
        <w:t xml:space="preserve">. </w:t>
      </w:r>
      <w:r w:rsidR="00B438F8" w:rsidRPr="00B438F8">
        <w:t xml:space="preserve">kNN Lower-dimensional projections of predictors at </w:t>
      </w:r>
      <w:r w:rsidR="00B438F8">
        <w:t>opening</w:t>
      </w:r>
      <w:r w:rsidR="00B438F8" w:rsidRPr="00B438F8">
        <w:t xml:space="preserve"> saddle position</w:t>
      </w:r>
      <w:bookmarkEnd w:id="703"/>
    </w:p>
    <w:p w14:paraId="39EE86A9" w14:textId="5C311BC3" w:rsidR="00C255E2" w:rsidRPr="00915882" w:rsidRDefault="00C255E2" w:rsidP="00C255E2">
      <w:pPr>
        <w:pStyle w:val="Caption"/>
        <w:jc w:val="both"/>
        <w:rPr>
          <w:lang w:val="sr-Latn-RS"/>
        </w:rPr>
      </w:pPr>
      <w:bookmarkStart w:id="704" w:name="_Ref99377857"/>
      <w:bookmarkStart w:id="705" w:name="_Toc101274511"/>
      <w:r>
        <w:t xml:space="preserve">Table </w:t>
      </w:r>
      <w:fldSimple w:instr=" SEQ Table \* ARABIC ">
        <w:r w:rsidR="00587AF0">
          <w:rPr>
            <w:noProof/>
          </w:rPr>
          <w:t>71</w:t>
        </w:r>
      </w:fldSimple>
      <w:bookmarkEnd w:id="704"/>
      <w:r>
        <w:t>. kNN classification matrix score for opening saddle position</w:t>
      </w:r>
      <w:bookmarkEnd w:id="705"/>
    </w:p>
    <w:tbl>
      <w:tblPr>
        <w:tblW w:w="5000" w:type="pct"/>
        <w:tblLook w:val="04A0" w:firstRow="1" w:lastRow="0" w:firstColumn="1" w:lastColumn="0" w:noHBand="0" w:noVBand="1"/>
      </w:tblPr>
      <w:tblGrid>
        <w:gridCol w:w="3000"/>
        <w:gridCol w:w="1425"/>
        <w:gridCol w:w="2221"/>
        <w:gridCol w:w="2381"/>
      </w:tblGrid>
      <w:tr w:rsidR="00C255E2" w:rsidRPr="002E3400" w14:paraId="40F8260B" w14:textId="77777777" w:rsidTr="00E23311">
        <w:trPr>
          <w:trHeight w:val="255"/>
        </w:trPr>
        <w:tc>
          <w:tcPr>
            <w:tcW w:w="1661" w:type="pct"/>
            <w:tcBorders>
              <w:top w:val="single" w:sz="4" w:space="0" w:color="152935"/>
              <w:bottom w:val="single" w:sz="4" w:space="0" w:color="152935"/>
            </w:tcBorders>
            <w:shd w:val="clear" w:color="auto" w:fill="auto"/>
            <w:noWrap/>
            <w:vAlign w:val="bottom"/>
            <w:hideMark/>
          </w:tcPr>
          <w:p w14:paraId="0EB0E1FB" w14:textId="77777777" w:rsidR="00C255E2" w:rsidRPr="009B6B58" w:rsidRDefault="00C255E2" w:rsidP="00E23311">
            <w:pPr>
              <w:spacing w:before="0" w:after="0"/>
              <w:jc w:val="left"/>
              <w:rPr>
                <w:rFonts w:eastAsia="Times New Roman" w:cs="Times New Roman"/>
                <w:b/>
                <w:bCs/>
                <w:color w:val="000000"/>
                <w:sz w:val="20"/>
                <w:szCs w:val="20"/>
                <w:lang w:val="sr-Latn-RS" w:eastAsia="sr-Latn-RS"/>
              </w:rPr>
            </w:pPr>
            <w:r w:rsidRPr="009B6B58">
              <w:rPr>
                <w:rFonts w:eastAsia="Times New Roman" w:cs="Times New Roman"/>
                <w:b/>
                <w:bCs/>
                <w:color w:val="000000"/>
                <w:sz w:val="20"/>
                <w:szCs w:val="20"/>
                <w:lang w:val="sr-Latn-RS" w:eastAsia="sr-Latn-RS"/>
              </w:rPr>
              <w:t>Properties</w:t>
            </w:r>
          </w:p>
        </w:tc>
        <w:tc>
          <w:tcPr>
            <w:tcW w:w="789" w:type="pct"/>
            <w:tcBorders>
              <w:top w:val="single" w:sz="4" w:space="0" w:color="152935"/>
              <w:bottom w:val="single" w:sz="4" w:space="0" w:color="152935"/>
            </w:tcBorders>
            <w:shd w:val="clear" w:color="auto" w:fill="auto"/>
            <w:noWrap/>
            <w:vAlign w:val="bottom"/>
            <w:hideMark/>
          </w:tcPr>
          <w:p w14:paraId="32DA12D5" w14:textId="77777777" w:rsidR="00C255E2" w:rsidRPr="009B6B58" w:rsidRDefault="00C255E2" w:rsidP="00E23311">
            <w:pPr>
              <w:spacing w:before="0" w:after="0"/>
              <w:jc w:val="center"/>
              <w:rPr>
                <w:rFonts w:eastAsia="Times New Roman" w:cs="Times New Roman"/>
                <w:b/>
                <w:bCs/>
                <w:color w:val="000000"/>
                <w:sz w:val="20"/>
                <w:szCs w:val="20"/>
                <w:lang w:val="sr-Latn-RS" w:eastAsia="sr-Latn-RS"/>
              </w:rPr>
            </w:pPr>
            <w:r w:rsidRPr="009B6B58">
              <w:rPr>
                <w:rFonts w:eastAsia="Times New Roman" w:cs="Times New Roman"/>
                <w:b/>
                <w:bCs/>
                <w:color w:val="000000"/>
                <w:sz w:val="20"/>
                <w:szCs w:val="20"/>
                <w:lang w:val="sr-Latn-RS" w:eastAsia="sr-Latn-RS"/>
              </w:rPr>
              <w:t>None</w:t>
            </w:r>
          </w:p>
        </w:tc>
        <w:tc>
          <w:tcPr>
            <w:tcW w:w="1230" w:type="pct"/>
            <w:tcBorders>
              <w:top w:val="single" w:sz="4" w:space="0" w:color="152935"/>
              <w:bottom w:val="single" w:sz="4" w:space="0" w:color="152935"/>
            </w:tcBorders>
            <w:shd w:val="clear" w:color="auto" w:fill="auto"/>
            <w:noWrap/>
            <w:vAlign w:val="bottom"/>
            <w:hideMark/>
          </w:tcPr>
          <w:p w14:paraId="73113524" w14:textId="77777777" w:rsidR="00C255E2" w:rsidRPr="009B6B58" w:rsidRDefault="00C255E2" w:rsidP="00E23311">
            <w:pPr>
              <w:spacing w:before="0" w:after="0"/>
              <w:jc w:val="center"/>
              <w:rPr>
                <w:rFonts w:eastAsia="Times New Roman" w:cs="Times New Roman"/>
                <w:b/>
                <w:bCs/>
                <w:color w:val="000000"/>
                <w:sz w:val="20"/>
                <w:szCs w:val="20"/>
                <w:lang w:val="sr-Latn-RS" w:eastAsia="sr-Latn-RS"/>
              </w:rPr>
            </w:pPr>
            <w:r w:rsidRPr="009B6B58">
              <w:rPr>
                <w:rFonts w:eastAsia="Times New Roman" w:cs="Times New Roman"/>
                <w:b/>
                <w:bCs/>
                <w:color w:val="000000"/>
                <w:sz w:val="20"/>
                <w:szCs w:val="20"/>
                <w:lang w:val="sr-Latn-RS" w:eastAsia="sr-Latn-RS"/>
              </w:rPr>
              <w:t>Quasi-fault</w:t>
            </w:r>
          </w:p>
        </w:tc>
        <w:tc>
          <w:tcPr>
            <w:tcW w:w="1319" w:type="pct"/>
            <w:tcBorders>
              <w:top w:val="single" w:sz="4" w:space="0" w:color="152935"/>
              <w:bottom w:val="single" w:sz="4" w:space="0" w:color="152935"/>
            </w:tcBorders>
            <w:shd w:val="clear" w:color="auto" w:fill="auto"/>
            <w:noWrap/>
            <w:vAlign w:val="bottom"/>
            <w:hideMark/>
          </w:tcPr>
          <w:p w14:paraId="76309605" w14:textId="77777777" w:rsidR="00C255E2" w:rsidRPr="009B6B58" w:rsidRDefault="00C255E2" w:rsidP="00E23311">
            <w:pPr>
              <w:spacing w:before="0" w:after="0"/>
              <w:jc w:val="center"/>
              <w:rPr>
                <w:rFonts w:eastAsia="Times New Roman" w:cs="Times New Roman"/>
                <w:b/>
                <w:bCs/>
                <w:color w:val="000000"/>
                <w:sz w:val="20"/>
                <w:szCs w:val="20"/>
                <w:lang w:val="sr-Latn-RS" w:eastAsia="sr-Latn-RS"/>
              </w:rPr>
            </w:pPr>
            <w:r w:rsidRPr="009B6B58">
              <w:rPr>
                <w:rFonts w:eastAsia="Times New Roman" w:cs="Times New Roman"/>
                <w:b/>
                <w:bCs/>
                <w:color w:val="000000"/>
                <w:sz w:val="20"/>
                <w:szCs w:val="20"/>
                <w:lang w:val="sr-Latn-RS" w:eastAsia="sr-Latn-RS"/>
              </w:rPr>
              <w:t>Percent correct</w:t>
            </w:r>
          </w:p>
        </w:tc>
      </w:tr>
      <w:tr w:rsidR="00C255E2" w:rsidRPr="002E3400" w14:paraId="43EC40F1" w14:textId="77777777" w:rsidTr="00E23311">
        <w:trPr>
          <w:trHeight w:val="255"/>
        </w:trPr>
        <w:tc>
          <w:tcPr>
            <w:tcW w:w="1661" w:type="pct"/>
            <w:tcBorders>
              <w:top w:val="single" w:sz="4" w:space="0" w:color="152935"/>
            </w:tcBorders>
            <w:shd w:val="clear" w:color="auto" w:fill="auto"/>
            <w:noWrap/>
            <w:vAlign w:val="bottom"/>
            <w:hideMark/>
          </w:tcPr>
          <w:p w14:paraId="0AD840F3" w14:textId="77777777" w:rsidR="00C255E2" w:rsidRPr="002E3400" w:rsidRDefault="00C255E2" w:rsidP="00E23311">
            <w:pPr>
              <w:spacing w:before="0" w:after="0"/>
              <w:jc w:val="left"/>
              <w:rPr>
                <w:rFonts w:eastAsia="Times New Roman" w:cs="Times New Roman"/>
                <w:color w:val="000000"/>
                <w:sz w:val="20"/>
                <w:szCs w:val="20"/>
                <w:lang w:val="sr-Latn-RS" w:eastAsia="sr-Latn-RS"/>
              </w:rPr>
            </w:pPr>
            <w:r w:rsidRPr="002E3400">
              <w:rPr>
                <w:rFonts w:eastAsia="Times New Roman" w:cs="Times New Roman"/>
                <w:color w:val="000000"/>
                <w:sz w:val="20"/>
                <w:szCs w:val="20"/>
                <w:lang w:val="sr-Latn-RS" w:eastAsia="sr-Latn-RS"/>
              </w:rPr>
              <w:t>None</w:t>
            </w:r>
          </w:p>
        </w:tc>
        <w:tc>
          <w:tcPr>
            <w:tcW w:w="789" w:type="pct"/>
            <w:tcBorders>
              <w:top w:val="single" w:sz="4" w:space="0" w:color="152935"/>
            </w:tcBorders>
            <w:shd w:val="clear" w:color="auto" w:fill="auto"/>
            <w:noWrap/>
            <w:vAlign w:val="bottom"/>
            <w:hideMark/>
          </w:tcPr>
          <w:p w14:paraId="254072A9" w14:textId="77777777" w:rsidR="00C255E2" w:rsidRPr="002E3400" w:rsidRDefault="00C255E2" w:rsidP="00E23311">
            <w:pPr>
              <w:spacing w:before="0" w:after="0"/>
              <w:jc w:val="right"/>
              <w:rPr>
                <w:rFonts w:eastAsia="Times New Roman" w:cs="Times New Roman"/>
                <w:color w:val="000000"/>
                <w:sz w:val="20"/>
                <w:szCs w:val="20"/>
                <w:lang w:val="sr-Latn-RS" w:eastAsia="sr-Latn-RS"/>
              </w:rPr>
            </w:pPr>
            <w:r w:rsidRPr="002E3400">
              <w:rPr>
                <w:rFonts w:eastAsia="Times New Roman" w:cs="Times New Roman"/>
                <w:color w:val="000000"/>
                <w:sz w:val="20"/>
                <w:szCs w:val="20"/>
                <w:lang w:val="sr-Latn-RS" w:eastAsia="sr-Latn-RS"/>
              </w:rPr>
              <w:t>338</w:t>
            </w:r>
          </w:p>
        </w:tc>
        <w:tc>
          <w:tcPr>
            <w:tcW w:w="1230" w:type="pct"/>
            <w:tcBorders>
              <w:top w:val="single" w:sz="4" w:space="0" w:color="152935"/>
            </w:tcBorders>
            <w:shd w:val="clear" w:color="auto" w:fill="auto"/>
            <w:noWrap/>
            <w:vAlign w:val="bottom"/>
            <w:hideMark/>
          </w:tcPr>
          <w:p w14:paraId="347B82B4" w14:textId="77777777" w:rsidR="00C255E2" w:rsidRPr="002E3400" w:rsidRDefault="00C255E2" w:rsidP="00E23311">
            <w:pPr>
              <w:spacing w:before="0" w:after="0"/>
              <w:jc w:val="right"/>
              <w:rPr>
                <w:rFonts w:eastAsia="Times New Roman" w:cs="Times New Roman"/>
                <w:color w:val="000000"/>
                <w:sz w:val="20"/>
                <w:szCs w:val="20"/>
                <w:lang w:val="sr-Latn-RS" w:eastAsia="sr-Latn-RS"/>
              </w:rPr>
            </w:pPr>
            <w:r w:rsidRPr="002E3400">
              <w:rPr>
                <w:rFonts w:eastAsia="Times New Roman" w:cs="Times New Roman"/>
                <w:color w:val="000000"/>
                <w:sz w:val="20"/>
                <w:szCs w:val="20"/>
                <w:lang w:val="sr-Latn-RS" w:eastAsia="sr-Latn-RS"/>
              </w:rPr>
              <w:t>19</w:t>
            </w:r>
          </w:p>
        </w:tc>
        <w:tc>
          <w:tcPr>
            <w:tcW w:w="1319" w:type="pct"/>
            <w:tcBorders>
              <w:top w:val="single" w:sz="4" w:space="0" w:color="152935"/>
            </w:tcBorders>
            <w:shd w:val="clear" w:color="auto" w:fill="auto"/>
            <w:noWrap/>
            <w:vAlign w:val="bottom"/>
            <w:hideMark/>
          </w:tcPr>
          <w:p w14:paraId="01520DE8" w14:textId="77777777" w:rsidR="00C255E2" w:rsidRPr="002E3400" w:rsidRDefault="00C255E2" w:rsidP="00E23311">
            <w:pPr>
              <w:spacing w:before="0" w:after="0"/>
              <w:jc w:val="right"/>
              <w:rPr>
                <w:rFonts w:eastAsia="Times New Roman" w:cs="Times New Roman"/>
                <w:color w:val="000000"/>
                <w:sz w:val="20"/>
                <w:szCs w:val="20"/>
                <w:lang w:val="sr-Latn-RS" w:eastAsia="sr-Latn-RS"/>
              </w:rPr>
            </w:pPr>
            <w:r w:rsidRPr="002E3400">
              <w:rPr>
                <w:rFonts w:eastAsia="Times New Roman" w:cs="Times New Roman"/>
                <w:color w:val="000000"/>
                <w:sz w:val="20"/>
                <w:szCs w:val="20"/>
                <w:lang w:val="sr-Latn-RS" w:eastAsia="sr-Latn-RS"/>
              </w:rPr>
              <w:t>94.7%</w:t>
            </w:r>
          </w:p>
        </w:tc>
      </w:tr>
      <w:tr w:rsidR="00C255E2" w:rsidRPr="002E3400" w14:paraId="2793F36C" w14:textId="77777777" w:rsidTr="00E23311">
        <w:trPr>
          <w:trHeight w:val="255"/>
        </w:trPr>
        <w:tc>
          <w:tcPr>
            <w:tcW w:w="1661" w:type="pct"/>
            <w:shd w:val="clear" w:color="auto" w:fill="auto"/>
            <w:noWrap/>
            <w:vAlign w:val="bottom"/>
            <w:hideMark/>
          </w:tcPr>
          <w:p w14:paraId="59843837" w14:textId="77777777" w:rsidR="00C255E2" w:rsidRPr="002E3400" w:rsidRDefault="00C255E2" w:rsidP="00E23311">
            <w:pPr>
              <w:spacing w:before="0" w:after="0"/>
              <w:jc w:val="left"/>
              <w:rPr>
                <w:rFonts w:eastAsia="Times New Roman" w:cs="Times New Roman"/>
                <w:color w:val="000000"/>
                <w:sz w:val="20"/>
                <w:szCs w:val="20"/>
                <w:lang w:val="sr-Latn-RS" w:eastAsia="sr-Latn-RS"/>
              </w:rPr>
            </w:pPr>
            <w:r w:rsidRPr="002E3400">
              <w:rPr>
                <w:rFonts w:eastAsia="Times New Roman" w:cs="Times New Roman"/>
                <w:color w:val="000000"/>
                <w:sz w:val="20"/>
                <w:szCs w:val="20"/>
                <w:lang w:val="sr-Latn-RS" w:eastAsia="sr-Latn-RS"/>
              </w:rPr>
              <w:t>Quasi-fault</w:t>
            </w:r>
          </w:p>
        </w:tc>
        <w:tc>
          <w:tcPr>
            <w:tcW w:w="789" w:type="pct"/>
            <w:shd w:val="clear" w:color="auto" w:fill="auto"/>
            <w:noWrap/>
            <w:vAlign w:val="bottom"/>
            <w:hideMark/>
          </w:tcPr>
          <w:p w14:paraId="406D730B" w14:textId="77777777" w:rsidR="00C255E2" w:rsidRPr="002E3400" w:rsidRDefault="00C255E2" w:rsidP="00E23311">
            <w:pPr>
              <w:spacing w:before="0" w:after="0"/>
              <w:jc w:val="right"/>
              <w:rPr>
                <w:rFonts w:eastAsia="Times New Roman" w:cs="Times New Roman"/>
                <w:color w:val="000000"/>
                <w:sz w:val="20"/>
                <w:szCs w:val="20"/>
                <w:lang w:val="sr-Latn-RS" w:eastAsia="sr-Latn-RS"/>
              </w:rPr>
            </w:pPr>
            <w:r w:rsidRPr="002E3400">
              <w:rPr>
                <w:rFonts w:eastAsia="Times New Roman" w:cs="Times New Roman"/>
                <w:color w:val="000000"/>
                <w:sz w:val="20"/>
                <w:szCs w:val="20"/>
                <w:lang w:val="sr-Latn-RS" w:eastAsia="sr-Latn-RS"/>
              </w:rPr>
              <w:t>11</w:t>
            </w:r>
          </w:p>
        </w:tc>
        <w:tc>
          <w:tcPr>
            <w:tcW w:w="1230" w:type="pct"/>
            <w:shd w:val="clear" w:color="auto" w:fill="auto"/>
            <w:noWrap/>
            <w:vAlign w:val="bottom"/>
            <w:hideMark/>
          </w:tcPr>
          <w:p w14:paraId="41E33766" w14:textId="77777777" w:rsidR="00C255E2" w:rsidRPr="002E3400" w:rsidRDefault="00C255E2" w:rsidP="00E23311">
            <w:pPr>
              <w:spacing w:before="0" w:after="0"/>
              <w:jc w:val="right"/>
              <w:rPr>
                <w:rFonts w:eastAsia="Times New Roman" w:cs="Times New Roman"/>
                <w:color w:val="000000"/>
                <w:sz w:val="20"/>
                <w:szCs w:val="20"/>
                <w:lang w:val="sr-Latn-RS" w:eastAsia="sr-Latn-RS"/>
              </w:rPr>
            </w:pPr>
            <w:r w:rsidRPr="002E3400">
              <w:rPr>
                <w:rFonts w:eastAsia="Times New Roman" w:cs="Times New Roman"/>
                <w:color w:val="000000"/>
                <w:sz w:val="20"/>
                <w:szCs w:val="20"/>
                <w:lang w:val="sr-Latn-RS" w:eastAsia="sr-Latn-RS"/>
              </w:rPr>
              <w:t>319</w:t>
            </w:r>
          </w:p>
        </w:tc>
        <w:tc>
          <w:tcPr>
            <w:tcW w:w="1319" w:type="pct"/>
            <w:shd w:val="clear" w:color="auto" w:fill="auto"/>
            <w:noWrap/>
            <w:vAlign w:val="bottom"/>
            <w:hideMark/>
          </w:tcPr>
          <w:p w14:paraId="44D12C0E" w14:textId="77777777" w:rsidR="00C255E2" w:rsidRPr="002E3400" w:rsidRDefault="00C255E2" w:rsidP="00E23311">
            <w:pPr>
              <w:spacing w:before="0" w:after="0"/>
              <w:jc w:val="right"/>
              <w:rPr>
                <w:rFonts w:eastAsia="Times New Roman" w:cs="Times New Roman"/>
                <w:color w:val="000000"/>
                <w:sz w:val="20"/>
                <w:szCs w:val="20"/>
                <w:lang w:val="sr-Latn-RS" w:eastAsia="sr-Latn-RS"/>
              </w:rPr>
            </w:pPr>
            <w:r w:rsidRPr="002E3400">
              <w:rPr>
                <w:rFonts w:eastAsia="Times New Roman" w:cs="Times New Roman"/>
                <w:color w:val="000000"/>
                <w:sz w:val="20"/>
                <w:szCs w:val="20"/>
                <w:lang w:val="sr-Latn-RS" w:eastAsia="sr-Latn-RS"/>
              </w:rPr>
              <w:t>96.7%</w:t>
            </w:r>
          </w:p>
        </w:tc>
      </w:tr>
      <w:tr w:rsidR="00C255E2" w:rsidRPr="002E3400" w14:paraId="1D1A4AB2" w14:textId="77777777" w:rsidTr="00E23311">
        <w:trPr>
          <w:trHeight w:val="255"/>
        </w:trPr>
        <w:tc>
          <w:tcPr>
            <w:tcW w:w="1661" w:type="pct"/>
            <w:shd w:val="clear" w:color="auto" w:fill="auto"/>
            <w:noWrap/>
            <w:vAlign w:val="bottom"/>
            <w:hideMark/>
          </w:tcPr>
          <w:p w14:paraId="71EE4402" w14:textId="77777777" w:rsidR="00C255E2" w:rsidRPr="002E3400" w:rsidRDefault="00C255E2" w:rsidP="00E23311">
            <w:pPr>
              <w:spacing w:before="0" w:after="0"/>
              <w:jc w:val="left"/>
              <w:rPr>
                <w:rFonts w:eastAsia="Times New Roman" w:cs="Times New Roman"/>
                <w:color w:val="000000"/>
                <w:sz w:val="20"/>
                <w:szCs w:val="20"/>
                <w:lang w:val="sr-Latn-RS" w:eastAsia="sr-Latn-RS"/>
              </w:rPr>
            </w:pPr>
            <w:r w:rsidRPr="002E3400">
              <w:rPr>
                <w:rFonts w:eastAsia="Times New Roman" w:cs="Times New Roman"/>
                <w:color w:val="000000"/>
                <w:sz w:val="20"/>
                <w:szCs w:val="20"/>
                <w:lang w:val="sr-Latn-RS" w:eastAsia="sr-Latn-RS"/>
              </w:rPr>
              <w:t xml:space="preserve">Overall </w:t>
            </w:r>
            <w:r>
              <w:rPr>
                <w:rFonts w:eastAsia="Times New Roman" w:cs="Times New Roman"/>
                <w:color w:val="000000"/>
                <w:sz w:val="20"/>
                <w:szCs w:val="20"/>
                <w:lang w:val="sr-Latn-RS" w:eastAsia="sr-Latn-RS"/>
              </w:rPr>
              <w:t xml:space="preserve">training </w:t>
            </w:r>
            <w:r w:rsidRPr="002E3400">
              <w:rPr>
                <w:rFonts w:eastAsia="Times New Roman" w:cs="Times New Roman"/>
                <w:color w:val="000000"/>
                <w:sz w:val="20"/>
                <w:szCs w:val="20"/>
                <w:lang w:val="sr-Latn-RS" w:eastAsia="sr-Latn-RS"/>
              </w:rPr>
              <w:t>percentage</w:t>
            </w:r>
          </w:p>
        </w:tc>
        <w:tc>
          <w:tcPr>
            <w:tcW w:w="789" w:type="pct"/>
            <w:shd w:val="clear" w:color="auto" w:fill="auto"/>
            <w:noWrap/>
            <w:vAlign w:val="bottom"/>
            <w:hideMark/>
          </w:tcPr>
          <w:p w14:paraId="5CB3EF65" w14:textId="77777777" w:rsidR="00C255E2" w:rsidRPr="002E3400" w:rsidRDefault="00C255E2" w:rsidP="00E23311">
            <w:pPr>
              <w:spacing w:before="0" w:after="0"/>
              <w:jc w:val="right"/>
              <w:rPr>
                <w:rFonts w:eastAsia="Times New Roman" w:cs="Times New Roman"/>
                <w:color w:val="000000"/>
                <w:sz w:val="20"/>
                <w:szCs w:val="20"/>
                <w:lang w:val="sr-Latn-RS" w:eastAsia="sr-Latn-RS"/>
              </w:rPr>
            </w:pPr>
            <w:r w:rsidRPr="002E3400">
              <w:rPr>
                <w:rFonts w:eastAsia="Times New Roman" w:cs="Times New Roman"/>
                <w:color w:val="000000"/>
                <w:sz w:val="20"/>
                <w:szCs w:val="20"/>
                <w:lang w:val="sr-Latn-RS" w:eastAsia="sr-Latn-RS"/>
              </w:rPr>
              <w:t>50.8%</w:t>
            </w:r>
          </w:p>
        </w:tc>
        <w:tc>
          <w:tcPr>
            <w:tcW w:w="1230" w:type="pct"/>
            <w:shd w:val="clear" w:color="auto" w:fill="auto"/>
            <w:noWrap/>
            <w:vAlign w:val="bottom"/>
            <w:hideMark/>
          </w:tcPr>
          <w:p w14:paraId="7DF3DA77" w14:textId="77777777" w:rsidR="00C255E2" w:rsidRPr="002E3400" w:rsidRDefault="00C255E2" w:rsidP="00E23311">
            <w:pPr>
              <w:spacing w:before="0" w:after="0"/>
              <w:jc w:val="right"/>
              <w:rPr>
                <w:rFonts w:eastAsia="Times New Roman" w:cs="Times New Roman"/>
                <w:color w:val="000000"/>
                <w:sz w:val="20"/>
                <w:szCs w:val="20"/>
                <w:lang w:val="sr-Latn-RS" w:eastAsia="sr-Latn-RS"/>
              </w:rPr>
            </w:pPr>
            <w:r w:rsidRPr="002E3400">
              <w:rPr>
                <w:rFonts w:eastAsia="Times New Roman" w:cs="Times New Roman"/>
                <w:color w:val="000000"/>
                <w:sz w:val="20"/>
                <w:szCs w:val="20"/>
                <w:lang w:val="sr-Latn-RS" w:eastAsia="sr-Latn-RS"/>
              </w:rPr>
              <w:t>49.2%</w:t>
            </w:r>
          </w:p>
        </w:tc>
        <w:tc>
          <w:tcPr>
            <w:tcW w:w="1319" w:type="pct"/>
            <w:shd w:val="clear" w:color="auto" w:fill="auto"/>
            <w:noWrap/>
            <w:vAlign w:val="bottom"/>
            <w:hideMark/>
          </w:tcPr>
          <w:p w14:paraId="0F111333" w14:textId="77777777" w:rsidR="00C255E2" w:rsidRPr="002E3400" w:rsidRDefault="00C255E2" w:rsidP="00E23311">
            <w:pPr>
              <w:spacing w:before="0" w:after="0"/>
              <w:jc w:val="right"/>
              <w:rPr>
                <w:rFonts w:eastAsia="Times New Roman" w:cs="Times New Roman"/>
                <w:b/>
                <w:bCs/>
                <w:color w:val="000000"/>
                <w:sz w:val="20"/>
                <w:szCs w:val="20"/>
                <w:lang w:val="sr-Latn-RS" w:eastAsia="sr-Latn-RS"/>
              </w:rPr>
            </w:pPr>
            <w:r w:rsidRPr="002E3400">
              <w:rPr>
                <w:rFonts w:eastAsia="Times New Roman" w:cs="Times New Roman"/>
                <w:b/>
                <w:bCs/>
                <w:color w:val="000000"/>
                <w:sz w:val="20"/>
                <w:szCs w:val="20"/>
                <w:lang w:val="sr-Latn-RS" w:eastAsia="sr-Latn-RS"/>
              </w:rPr>
              <w:t>95.6%</w:t>
            </w:r>
          </w:p>
        </w:tc>
      </w:tr>
      <w:tr w:rsidR="00C255E2" w:rsidRPr="002E3400" w14:paraId="46EBCA56" w14:textId="77777777" w:rsidTr="00E23311">
        <w:trPr>
          <w:trHeight w:val="255"/>
        </w:trPr>
        <w:tc>
          <w:tcPr>
            <w:tcW w:w="1661" w:type="pct"/>
            <w:shd w:val="clear" w:color="auto" w:fill="auto"/>
            <w:noWrap/>
            <w:vAlign w:val="bottom"/>
            <w:hideMark/>
          </w:tcPr>
          <w:p w14:paraId="14B046DD" w14:textId="77777777" w:rsidR="00C255E2" w:rsidRPr="002E3400" w:rsidRDefault="00C255E2" w:rsidP="00E23311">
            <w:pPr>
              <w:spacing w:before="0" w:after="0"/>
              <w:jc w:val="left"/>
              <w:rPr>
                <w:rFonts w:eastAsia="Times New Roman" w:cs="Times New Roman"/>
                <w:color w:val="000000"/>
                <w:sz w:val="20"/>
                <w:szCs w:val="20"/>
                <w:lang w:val="sr-Latn-RS" w:eastAsia="sr-Latn-RS"/>
              </w:rPr>
            </w:pPr>
            <w:r w:rsidRPr="002E3400">
              <w:rPr>
                <w:rFonts w:eastAsia="Times New Roman" w:cs="Times New Roman"/>
                <w:color w:val="000000"/>
                <w:sz w:val="20"/>
                <w:szCs w:val="20"/>
                <w:lang w:val="sr-Latn-RS" w:eastAsia="sr-Latn-RS"/>
              </w:rPr>
              <w:t>None</w:t>
            </w:r>
          </w:p>
        </w:tc>
        <w:tc>
          <w:tcPr>
            <w:tcW w:w="789" w:type="pct"/>
            <w:shd w:val="clear" w:color="auto" w:fill="auto"/>
            <w:noWrap/>
            <w:vAlign w:val="bottom"/>
            <w:hideMark/>
          </w:tcPr>
          <w:p w14:paraId="499B489A" w14:textId="77777777" w:rsidR="00C255E2" w:rsidRPr="002E3400" w:rsidRDefault="00C255E2" w:rsidP="00E23311">
            <w:pPr>
              <w:spacing w:before="0" w:after="0"/>
              <w:jc w:val="right"/>
              <w:rPr>
                <w:rFonts w:eastAsia="Times New Roman" w:cs="Times New Roman"/>
                <w:color w:val="000000"/>
                <w:sz w:val="20"/>
                <w:szCs w:val="20"/>
                <w:lang w:val="sr-Latn-RS" w:eastAsia="sr-Latn-RS"/>
              </w:rPr>
            </w:pPr>
            <w:r>
              <w:rPr>
                <w:rFonts w:eastAsia="Times New Roman" w:cs="Times New Roman"/>
                <w:color w:val="000000"/>
                <w:sz w:val="20"/>
                <w:szCs w:val="20"/>
                <w:lang w:val="sr-Latn-RS" w:eastAsia="sr-Latn-RS"/>
              </w:rPr>
              <w:t>138</w:t>
            </w:r>
          </w:p>
        </w:tc>
        <w:tc>
          <w:tcPr>
            <w:tcW w:w="1230" w:type="pct"/>
            <w:shd w:val="clear" w:color="auto" w:fill="auto"/>
            <w:noWrap/>
            <w:vAlign w:val="bottom"/>
            <w:hideMark/>
          </w:tcPr>
          <w:p w14:paraId="653D1E40" w14:textId="77777777" w:rsidR="00C255E2" w:rsidRPr="002E3400" w:rsidRDefault="00C255E2" w:rsidP="00E23311">
            <w:pPr>
              <w:spacing w:before="0" w:after="0"/>
              <w:jc w:val="right"/>
              <w:rPr>
                <w:rFonts w:eastAsia="Times New Roman" w:cs="Times New Roman"/>
                <w:color w:val="000000"/>
                <w:sz w:val="20"/>
                <w:szCs w:val="20"/>
                <w:lang w:val="sr-Latn-RS" w:eastAsia="sr-Latn-RS"/>
              </w:rPr>
            </w:pPr>
            <w:r>
              <w:rPr>
                <w:rFonts w:eastAsia="Times New Roman" w:cs="Times New Roman"/>
                <w:color w:val="000000"/>
                <w:sz w:val="20"/>
                <w:szCs w:val="20"/>
                <w:lang w:val="sr-Latn-RS" w:eastAsia="sr-Latn-RS"/>
              </w:rPr>
              <w:t>21</w:t>
            </w:r>
          </w:p>
        </w:tc>
        <w:tc>
          <w:tcPr>
            <w:tcW w:w="1319" w:type="pct"/>
            <w:shd w:val="clear" w:color="auto" w:fill="auto"/>
            <w:noWrap/>
            <w:vAlign w:val="bottom"/>
            <w:hideMark/>
          </w:tcPr>
          <w:p w14:paraId="74BE6313" w14:textId="77777777" w:rsidR="00C255E2" w:rsidRPr="002E3400" w:rsidRDefault="00C255E2" w:rsidP="00E23311">
            <w:pPr>
              <w:spacing w:before="0" w:after="0"/>
              <w:jc w:val="right"/>
              <w:rPr>
                <w:rFonts w:eastAsia="Times New Roman" w:cs="Times New Roman"/>
                <w:color w:val="000000"/>
                <w:sz w:val="20"/>
                <w:szCs w:val="20"/>
                <w:lang w:val="sr-Latn-RS" w:eastAsia="sr-Latn-RS"/>
              </w:rPr>
            </w:pPr>
            <w:r>
              <w:rPr>
                <w:rFonts w:eastAsia="Times New Roman" w:cs="Times New Roman"/>
                <w:color w:val="000000"/>
                <w:sz w:val="20"/>
                <w:szCs w:val="20"/>
                <w:lang w:val="sr-Latn-RS" w:eastAsia="sr-Latn-RS"/>
              </w:rPr>
              <w:t>86.8%</w:t>
            </w:r>
          </w:p>
        </w:tc>
      </w:tr>
      <w:tr w:rsidR="00C255E2" w:rsidRPr="002E3400" w14:paraId="465900F1" w14:textId="77777777" w:rsidTr="00E23311">
        <w:trPr>
          <w:trHeight w:val="255"/>
        </w:trPr>
        <w:tc>
          <w:tcPr>
            <w:tcW w:w="1661" w:type="pct"/>
            <w:shd w:val="clear" w:color="auto" w:fill="auto"/>
            <w:noWrap/>
            <w:vAlign w:val="bottom"/>
            <w:hideMark/>
          </w:tcPr>
          <w:p w14:paraId="5EBE1796" w14:textId="77777777" w:rsidR="00C255E2" w:rsidRPr="002E3400" w:rsidRDefault="00C255E2" w:rsidP="00E23311">
            <w:pPr>
              <w:spacing w:before="0" w:after="0"/>
              <w:jc w:val="left"/>
              <w:rPr>
                <w:rFonts w:eastAsia="Times New Roman" w:cs="Times New Roman"/>
                <w:color w:val="000000"/>
                <w:sz w:val="20"/>
                <w:szCs w:val="20"/>
                <w:lang w:val="sr-Latn-RS" w:eastAsia="sr-Latn-RS"/>
              </w:rPr>
            </w:pPr>
            <w:r w:rsidRPr="002E3400">
              <w:rPr>
                <w:rFonts w:eastAsia="Times New Roman" w:cs="Times New Roman"/>
                <w:color w:val="000000"/>
                <w:sz w:val="20"/>
                <w:szCs w:val="20"/>
                <w:lang w:val="sr-Latn-RS" w:eastAsia="sr-Latn-RS"/>
              </w:rPr>
              <w:t>Quasi-fault</w:t>
            </w:r>
          </w:p>
        </w:tc>
        <w:tc>
          <w:tcPr>
            <w:tcW w:w="789" w:type="pct"/>
            <w:shd w:val="clear" w:color="auto" w:fill="auto"/>
            <w:noWrap/>
            <w:vAlign w:val="bottom"/>
            <w:hideMark/>
          </w:tcPr>
          <w:p w14:paraId="3D9BC73C" w14:textId="77777777" w:rsidR="00C255E2" w:rsidRPr="002E3400" w:rsidRDefault="00C255E2" w:rsidP="00E23311">
            <w:pPr>
              <w:spacing w:before="0" w:after="0"/>
              <w:jc w:val="right"/>
              <w:rPr>
                <w:rFonts w:eastAsia="Times New Roman" w:cs="Times New Roman"/>
                <w:color w:val="000000"/>
                <w:sz w:val="20"/>
                <w:szCs w:val="20"/>
                <w:lang w:val="sr-Latn-RS" w:eastAsia="sr-Latn-RS"/>
              </w:rPr>
            </w:pPr>
            <w:r w:rsidRPr="002E3400">
              <w:rPr>
                <w:rFonts w:eastAsia="Times New Roman" w:cs="Times New Roman"/>
                <w:color w:val="000000"/>
                <w:sz w:val="20"/>
                <w:szCs w:val="20"/>
                <w:lang w:val="sr-Latn-RS" w:eastAsia="sr-Latn-RS"/>
              </w:rPr>
              <w:t>6</w:t>
            </w:r>
          </w:p>
        </w:tc>
        <w:tc>
          <w:tcPr>
            <w:tcW w:w="1230" w:type="pct"/>
            <w:shd w:val="clear" w:color="auto" w:fill="auto"/>
            <w:noWrap/>
            <w:vAlign w:val="bottom"/>
            <w:hideMark/>
          </w:tcPr>
          <w:p w14:paraId="1C37184C" w14:textId="77777777" w:rsidR="00C255E2" w:rsidRPr="002E3400" w:rsidRDefault="00C255E2" w:rsidP="00E23311">
            <w:pPr>
              <w:spacing w:before="0" w:after="0"/>
              <w:jc w:val="right"/>
              <w:rPr>
                <w:rFonts w:eastAsia="Times New Roman" w:cs="Times New Roman"/>
                <w:color w:val="000000"/>
                <w:sz w:val="20"/>
                <w:szCs w:val="20"/>
                <w:lang w:val="sr-Latn-RS" w:eastAsia="sr-Latn-RS"/>
              </w:rPr>
            </w:pPr>
            <w:r w:rsidRPr="002E3400">
              <w:rPr>
                <w:rFonts w:eastAsia="Times New Roman" w:cs="Times New Roman"/>
                <w:color w:val="000000"/>
                <w:sz w:val="20"/>
                <w:szCs w:val="20"/>
                <w:lang w:val="sr-Latn-RS" w:eastAsia="sr-Latn-RS"/>
              </w:rPr>
              <w:t>129</w:t>
            </w:r>
          </w:p>
        </w:tc>
        <w:tc>
          <w:tcPr>
            <w:tcW w:w="1319" w:type="pct"/>
            <w:shd w:val="clear" w:color="auto" w:fill="auto"/>
            <w:noWrap/>
            <w:vAlign w:val="bottom"/>
            <w:hideMark/>
          </w:tcPr>
          <w:p w14:paraId="08ABEABD" w14:textId="77777777" w:rsidR="00C255E2" w:rsidRPr="002E3400" w:rsidRDefault="00C255E2" w:rsidP="00E23311">
            <w:pPr>
              <w:spacing w:before="0" w:after="0"/>
              <w:jc w:val="right"/>
              <w:rPr>
                <w:rFonts w:eastAsia="Times New Roman" w:cs="Times New Roman"/>
                <w:color w:val="000000"/>
                <w:sz w:val="20"/>
                <w:szCs w:val="20"/>
                <w:lang w:val="sr-Latn-RS" w:eastAsia="sr-Latn-RS"/>
              </w:rPr>
            </w:pPr>
            <w:r w:rsidRPr="002E3400">
              <w:rPr>
                <w:rFonts w:eastAsia="Times New Roman" w:cs="Times New Roman"/>
                <w:color w:val="000000"/>
                <w:sz w:val="20"/>
                <w:szCs w:val="20"/>
                <w:lang w:val="sr-Latn-RS" w:eastAsia="sr-Latn-RS"/>
              </w:rPr>
              <w:t>95.6%</w:t>
            </w:r>
          </w:p>
        </w:tc>
      </w:tr>
      <w:tr w:rsidR="00C255E2" w:rsidRPr="002E3400" w14:paraId="24331A64" w14:textId="77777777" w:rsidTr="00E23311">
        <w:trPr>
          <w:trHeight w:val="255"/>
        </w:trPr>
        <w:tc>
          <w:tcPr>
            <w:tcW w:w="1661" w:type="pct"/>
            <w:tcBorders>
              <w:bottom w:val="single" w:sz="4" w:space="0" w:color="152935"/>
            </w:tcBorders>
            <w:shd w:val="clear" w:color="auto" w:fill="auto"/>
            <w:noWrap/>
            <w:vAlign w:val="bottom"/>
            <w:hideMark/>
          </w:tcPr>
          <w:p w14:paraId="5F8604CD" w14:textId="77777777" w:rsidR="00C255E2" w:rsidRPr="002E3400" w:rsidRDefault="00C255E2" w:rsidP="00E23311">
            <w:pPr>
              <w:spacing w:before="0" w:after="0"/>
              <w:jc w:val="left"/>
              <w:rPr>
                <w:rFonts w:eastAsia="Times New Roman" w:cs="Times New Roman"/>
                <w:color w:val="000000"/>
                <w:sz w:val="20"/>
                <w:szCs w:val="20"/>
                <w:lang w:val="sr-Latn-RS" w:eastAsia="sr-Latn-RS"/>
              </w:rPr>
            </w:pPr>
            <w:r w:rsidRPr="002E3400">
              <w:rPr>
                <w:rFonts w:eastAsia="Times New Roman" w:cs="Times New Roman"/>
                <w:color w:val="000000"/>
                <w:sz w:val="20"/>
                <w:szCs w:val="20"/>
                <w:lang w:val="sr-Latn-RS" w:eastAsia="sr-Latn-RS"/>
              </w:rPr>
              <w:t xml:space="preserve">Overall </w:t>
            </w:r>
            <w:r>
              <w:rPr>
                <w:rFonts w:eastAsia="Times New Roman" w:cs="Times New Roman"/>
                <w:color w:val="000000"/>
                <w:sz w:val="20"/>
                <w:szCs w:val="20"/>
                <w:lang w:val="sr-Latn-RS" w:eastAsia="sr-Latn-RS"/>
              </w:rPr>
              <w:t xml:space="preserve">testing </w:t>
            </w:r>
            <w:r w:rsidRPr="002E3400">
              <w:rPr>
                <w:rFonts w:eastAsia="Times New Roman" w:cs="Times New Roman"/>
                <w:color w:val="000000"/>
                <w:sz w:val="20"/>
                <w:szCs w:val="20"/>
                <w:lang w:val="sr-Latn-RS" w:eastAsia="sr-Latn-RS"/>
              </w:rPr>
              <w:t>percentage</w:t>
            </w:r>
          </w:p>
        </w:tc>
        <w:tc>
          <w:tcPr>
            <w:tcW w:w="789" w:type="pct"/>
            <w:tcBorders>
              <w:bottom w:val="single" w:sz="4" w:space="0" w:color="152935"/>
            </w:tcBorders>
            <w:shd w:val="clear" w:color="auto" w:fill="auto"/>
            <w:noWrap/>
            <w:vAlign w:val="bottom"/>
            <w:hideMark/>
          </w:tcPr>
          <w:p w14:paraId="337311DA" w14:textId="77777777" w:rsidR="00C255E2" w:rsidRPr="002E3400" w:rsidRDefault="00C255E2" w:rsidP="00E23311">
            <w:pPr>
              <w:spacing w:before="0" w:after="0"/>
              <w:jc w:val="right"/>
              <w:rPr>
                <w:rFonts w:eastAsia="Times New Roman" w:cs="Times New Roman"/>
                <w:color w:val="000000"/>
                <w:sz w:val="20"/>
                <w:szCs w:val="20"/>
                <w:lang w:val="sr-Latn-RS" w:eastAsia="sr-Latn-RS"/>
              </w:rPr>
            </w:pPr>
            <w:r>
              <w:rPr>
                <w:rFonts w:eastAsia="Times New Roman" w:cs="Times New Roman"/>
                <w:color w:val="000000"/>
                <w:sz w:val="20"/>
                <w:szCs w:val="20"/>
                <w:lang w:val="sr-Latn-RS" w:eastAsia="sr-Latn-RS"/>
              </w:rPr>
              <w:t>49</w:t>
            </w:r>
            <w:r w:rsidRPr="002E3400">
              <w:rPr>
                <w:rFonts w:eastAsia="Times New Roman" w:cs="Times New Roman"/>
                <w:color w:val="000000"/>
                <w:sz w:val="20"/>
                <w:szCs w:val="20"/>
                <w:lang w:val="sr-Latn-RS" w:eastAsia="sr-Latn-RS"/>
              </w:rPr>
              <w:t>.0%</w:t>
            </w:r>
          </w:p>
        </w:tc>
        <w:tc>
          <w:tcPr>
            <w:tcW w:w="1230" w:type="pct"/>
            <w:tcBorders>
              <w:bottom w:val="single" w:sz="4" w:space="0" w:color="152935"/>
            </w:tcBorders>
            <w:shd w:val="clear" w:color="auto" w:fill="auto"/>
            <w:noWrap/>
            <w:vAlign w:val="bottom"/>
            <w:hideMark/>
          </w:tcPr>
          <w:p w14:paraId="6080A8D1" w14:textId="77777777" w:rsidR="00C255E2" w:rsidRPr="002E3400" w:rsidRDefault="00C255E2" w:rsidP="00E23311">
            <w:pPr>
              <w:spacing w:before="0" w:after="0"/>
              <w:jc w:val="right"/>
              <w:rPr>
                <w:rFonts w:eastAsia="Times New Roman" w:cs="Times New Roman"/>
                <w:color w:val="000000"/>
                <w:sz w:val="20"/>
                <w:szCs w:val="20"/>
                <w:lang w:val="sr-Latn-RS" w:eastAsia="sr-Latn-RS"/>
              </w:rPr>
            </w:pPr>
            <w:r>
              <w:rPr>
                <w:rFonts w:eastAsia="Times New Roman" w:cs="Times New Roman"/>
                <w:color w:val="000000"/>
                <w:sz w:val="20"/>
                <w:szCs w:val="20"/>
                <w:lang w:val="sr-Latn-RS" w:eastAsia="sr-Latn-RS"/>
              </w:rPr>
              <w:t>51</w:t>
            </w:r>
            <w:r w:rsidRPr="002E3400">
              <w:rPr>
                <w:rFonts w:eastAsia="Times New Roman" w:cs="Times New Roman"/>
                <w:color w:val="000000"/>
                <w:sz w:val="20"/>
                <w:szCs w:val="20"/>
                <w:lang w:val="sr-Latn-RS" w:eastAsia="sr-Latn-RS"/>
              </w:rPr>
              <w:t>.0%</w:t>
            </w:r>
          </w:p>
        </w:tc>
        <w:tc>
          <w:tcPr>
            <w:tcW w:w="1319" w:type="pct"/>
            <w:tcBorders>
              <w:bottom w:val="single" w:sz="4" w:space="0" w:color="152935"/>
            </w:tcBorders>
            <w:shd w:val="clear" w:color="auto" w:fill="auto"/>
            <w:noWrap/>
            <w:vAlign w:val="bottom"/>
            <w:hideMark/>
          </w:tcPr>
          <w:p w14:paraId="42D944D9" w14:textId="77777777" w:rsidR="00C255E2" w:rsidRPr="002E3400" w:rsidRDefault="00C255E2" w:rsidP="00E23311">
            <w:pPr>
              <w:spacing w:before="0" w:after="0"/>
              <w:jc w:val="right"/>
              <w:rPr>
                <w:rFonts w:eastAsia="Times New Roman" w:cs="Times New Roman"/>
                <w:b/>
                <w:bCs/>
                <w:color w:val="000000"/>
                <w:sz w:val="20"/>
                <w:szCs w:val="20"/>
                <w:lang w:val="sr-Latn-RS" w:eastAsia="sr-Latn-RS"/>
              </w:rPr>
            </w:pPr>
            <w:r w:rsidRPr="002E3400">
              <w:rPr>
                <w:rFonts w:eastAsia="Times New Roman" w:cs="Times New Roman"/>
                <w:b/>
                <w:bCs/>
                <w:color w:val="000000"/>
                <w:sz w:val="20"/>
                <w:szCs w:val="20"/>
                <w:lang w:val="sr-Latn-RS" w:eastAsia="sr-Latn-RS"/>
              </w:rPr>
              <w:t>9</w:t>
            </w:r>
            <w:r>
              <w:rPr>
                <w:rFonts w:eastAsia="Times New Roman" w:cs="Times New Roman"/>
                <w:b/>
                <w:bCs/>
                <w:color w:val="000000"/>
                <w:sz w:val="20"/>
                <w:szCs w:val="20"/>
                <w:lang w:val="sr-Latn-RS" w:eastAsia="sr-Latn-RS"/>
              </w:rPr>
              <w:t>0</w:t>
            </w:r>
            <w:r w:rsidRPr="002E3400">
              <w:rPr>
                <w:rFonts w:eastAsia="Times New Roman" w:cs="Times New Roman"/>
                <w:b/>
                <w:bCs/>
                <w:color w:val="000000"/>
                <w:sz w:val="20"/>
                <w:szCs w:val="20"/>
                <w:lang w:val="sr-Latn-RS" w:eastAsia="sr-Latn-RS"/>
              </w:rPr>
              <w:t>.</w:t>
            </w:r>
            <w:r>
              <w:rPr>
                <w:rFonts w:eastAsia="Times New Roman" w:cs="Times New Roman"/>
                <w:b/>
                <w:bCs/>
                <w:color w:val="000000"/>
                <w:sz w:val="20"/>
                <w:szCs w:val="20"/>
                <w:lang w:val="sr-Latn-RS" w:eastAsia="sr-Latn-RS"/>
              </w:rPr>
              <w:t>8</w:t>
            </w:r>
            <w:r w:rsidRPr="002E3400">
              <w:rPr>
                <w:rFonts w:eastAsia="Times New Roman" w:cs="Times New Roman"/>
                <w:b/>
                <w:bCs/>
                <w:color w:val="000000"/>
                <w:sz w:val="20"/>
                <w:szCs w:val="20"/>
                <w:lang w:val="sr-Latn-RS" w:eastAsia="sr-Latn-RS"/>
              </w:rPr>
              <w:t>%</w:t>
            </w:r>
          </w:p>
        </w:tc>
      </w:tr>
    </w:tbl>
    <w:p w14:paraId="7CCC9112" w14:textId="1C792490" w:rsidR="00C37F47" w:rsidRDefault="00CF2E79" w:rsidP="00C37F47">
      <w:pPr>
        <w:pStyle w:val="Heading3"/>
        <w:rPr>
          <w:lang w:val="sr-Latn-RS"/>
        </w:rPr>
      </w:pPr>
      <w:bookmarkStart w:id="706" w:name="_Toc101274415"/>
      <w:r>
        <w:rPr>
          <w:lang w:val="sr-Latn-RS"/>
        </w:rPr>
        <w:lastRenderedPageBreak/>
        <w:t>k</w:t>
      </w:r>
      <w:r w:rsidR="0016181A">
        <w:rPr>
          <w:lang w:val="sr-Latn-RS"/>
        </w:rPr>
        <w:t>-</w:t>
      </w:r>
      <w:r>
        <w:rPr>
          <w:lang w:val="sr-Latn-RS"/>
        </w:rPr>
        <w:t xml:space="preserve">NN classification </w:t>
      </w:r>
      <w:r w:rsidR="006713AF">
        <w:rPr>
          <w:lang w:val="sr-Latn-RS"/>
        </w:rPr>
        <w:t>algorithm</w:t>
      </w:r>
      <w:r>
        <w:rPr>
          <w:lang w:val="sr-Latn-RS"/>
        </w:rPr>
        <w:t xml:space="preserve"> for idle saddle position</w:t>
      </w:r>
      <w:bookmarkEnd w:id="706"/>
    </w:p>
    <w:p w14:paraId="4618DDCF" w14:textId="58034739" w:rsidR="00DD3191" w:rsidRDefault="002914F2" w:rsidP="00655974">
      <w:pPr>
        <w:rPr>
          <w:lang w:val="sr-Latn-RS"/>
        </w:rPr>
      </w:pPr>
      <w:r>
        <w:rPr>
          <w:lang w:val="sr-Latn-RS"/>
        </w:rPr>
        <w:t>Obtaining information regarding the classification of predictors</w:t>
      </w:r>
      <w:r w:rsidR="00CD2439">
        <w:rPr>
          <w:lang w:val="sr-Latn-RS"/>
        </w:rPr>
        <w:t>,</w:t>
      </w:r>
      <w:r>
        <w:rPr>
          <w:lang w:val="sr-Latn-RS"/>
        </w:rPr>
        <w:t xml:space="preserve"> it can be seen that kNN works excellent in classifying data of idle saddle position (</w:t>
      </w:r>
      <w:r>
        <w:rPr>
          <w:lang w:val="sr-Latn-RS"/>
        </w:rPr>
        <w:fldChar w:fldCharType="begin"/>
      </w:r>
      <w:r>
        <w:rPr>
          <w:lang w:val="sr-Latn-RS"/>
        </w:rPr>
        <w:instrText xml:space="preserve"> REF _Ref99444921 \h </w:instrText>
      </w:r>
      <w:r>
        <w:rPr>
          <w:lang w:val="sr-Latn-RS"/>
        </w:rPr>
      </w:r>
      <w:r>
        <w:rPr>
          <w:lang w:val="sr-Latn-RS"/>
        </w:rPr>
        <w:fldChar w:fldCharType="separate"/>
      </w:r>
      <w:r w:rsidR="00587AF0">
        <w:t xml:space="preserve">Figure </w:t>
      </w:r>
      <w:r w:rsidR="00587AF0">
        <w:rPr>
          <w:noProof/>
        </w:rPr>
        <w:t>119</w:t>
      </w:r>
      <w:r>
        <w:rPr>
          <w:lang w:val="sr-Latn-RS"/>
        </w:rPr>
        <w:fldChar w:fldCharType="end"/>
      </w:r>
      <w:r>
        <w:rPr>
          <w:lang w:val="sr-Latn-RS"/>
        </w:rPr>
        <w:t xml:space="preserve">). Since the data is not considered </w:t>
      </w:r>
      <w:r w:rsidR="00CD2439">
        <w:rPr>
          <w:lang w:val="sr-Latn-RS"/>
        </w:rPr>
        <w:t>simple geometric (2D-3D) space but rather Cartesian coordinate (standardised) n-dimensional Euclidian space,</w:t>
      </w:r>
      <w:r>
        <w:rPr>
          <w:lang w:val="sr-Latn-RS"/>
        </w:rPr>
        <w:t xml:space="preserve"> the distance between</w:t>
      </w:r>
      <w:r w:rsidR="00C17748">
        <w:rPr>
          <w:lang w:val="sr-Latn-RS"/>
        </w:rPr>
        <w:t xml:space="preserve"> points is calculated by absolut</w:t>
      </w:r>
      <w:r w:rsidR="007645D6">
        <w:rPr>
          <w:lang w:val="sr-Latn-RS"/>
        </w:rPr>
        <w:t>e</w:t>
      </w:r>
      <w:r w:rsidR="00C17748">
        <w:rPr>
          <w:lang w:val="sr-Latn-RS"/>
        </w:rPr>
        <w:t xml:space="preserve"> values of each subtraction and later squaring and rooting of the points to get a distance.</w:t>
      </w:r>
    </w:p>
    <w:p w14:paraId="194009B9" w14:textId="09F0CEC4" w:rsidR="00C17748" w:rsidRDefault="00C17748" w:rsidP="00655974">
      <w:pPr>
        <w:rPr>
          <w:lang w:val="sr-Latn-RS"/>
        </w:rPr>
      </w:pPr>
      <w:r>
        <w:rPr>
          <w:lang w:val="sr-Latn-RS"/>
        </w:rPr>
        <w:t xml:space="preserve">It can be observed with a lower-dimension 3D space that </w:t>
      </w:r>
      <w:r w:rsidR="00CD2439">
        <w:rPr>
          <w:lang w:val="sr-Latn-RS"/>
        </w:rPr>
        <w:t xml:space="preserve">the </w:t>
      </w:r>
      <w:r>
        <w:rPr>
          <w:lang w:val="sr-Latn-RS"/>
        </w:rPr>
        <w:t xml:space="preserve">best separation is achieved in combination with N_1Q_IS and N_StDev_IS variables, </w:t>
      </w:r>
      <w:r w:rsidR="00CD2439">
        <w:rPr>
          <w:lang w:val="sr-Latn-RS"/>
        </w:rPr>
        <w:t>which</w:t>
      </w:r>
      <w:r>
        <w:rPr>
          <w:lang w:val="sr-Latn-RS"/>
        </w:rPr>
        <w:t xml:space="preserve"> are also</w:t>
      </w:r>
      <w:r w:rsidR="00CD2439">
        <w:rPr>
          <w:lang w:val="sr-Latn-RS"/>
        </w:rPr>
        <w:t>,</w:t>
      </w:r>
      <w:r>
        <w:rPr>
          <w:lang w:val="sr-Latn-RS"/>
        </w:rPr>
        <w:t xml:space="preserve"> in previous ML models</w:t>
      </w:r>
      <w:r w:rsidR="00CD2439">
        <w:rPr>
          <w:lang w:val="sr-Latn-RS"/>
        </w:rPr>
        <w:t>,</w:t>
      </w:r>
      <w:r>
        <w:rPr>
          <w:lang w:val="sr-Latn-RS"/>
        </w:rPr>
        <w:t xml:space="preserve"> the most important variables for label classification. The kNN</w:t>
      </w:r>
      <w:r w:rsidR="001160AC">
        <w:rPr>
          <w:lang w:val="sr-Latn-RS"/>
        </w:rPr>
        <w:t xml:space="preserve">, alongside ANN, shows the best classification performance of </w:t>
      </w:r>
      <w:r w:rsidR="00CD2439">
        <w:rPr>
          <w:lang w:val="sr-Latn-RS"/>
        </w:rPr>
        <w:t xml:space="preserve">the </w:t>
      </w:r>
      <w:r w:rsidR="001160AC">
        <w:rPr>
          <w:lang w:val="sr-Latn-RS"/>
        </w:rPr>
        <w:t>given dataset (</w:t>
      </w:r>
      <w:r w:rsidR="001160AC">
        <w:rPr>
          <w:lang w:val="sr-Latn-RS"/>
        </w:rPr>
        <w:fldChar w:fldCharType="begin"/>
      </w:r>
      <w:r w:rsidR="001160AC">
        <w:rPr>
          <w:lang w:val="sr-Latn-RS"/>
        </w:rPr>
        <w:instrText xml:space="preserve"> REF _Ref99445552 \h </w:instrText>
      </w:r>
      <w:r w:rsidR="001160AC">
        <w:rPr>
          <w:lang w:val="sr-Latn-RS"/>
        </w:rPr>
      </w:r>
      <w:r w:rsidR="001160AC">
        <w:rPr>
          <w:lang w:val="sr-Latn-RS"/>
        </w:rPr>
        <w:fldChar w:fldCharType="separate"/>
      </w:r>
      <w:r w:rsidR="00587AF0">
        <w:t xml:space="preserve">Table </w:t>
      </w:r>
      <w:r w:rsidR="00587AF0">
        <w:rPr>
          <w:noProof/>
        </w:rPr>
        <w:t>72</w:t>
      </w:r>
      <w:r w:rsidR="001160AC">
        <w:rPr>
          <w:lang w:val="sr-Latn-RS"/>
        </w:rPr>
        <w:fldChar w:fldCharType="end"/>
      </w:r>
      <w:r w:rsidR="001160AC">
        <w:rPr>
          <w:lang w:val="sr-Latn-R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9"/>
        <w:gridCol w:w="4488"/>
      </w:tblGrid>
      <w:tr w:rsidR="003C2740" w14:paraId="3631281F" w14:textId="77777777" w:rsidTr="00BA4642">
        <w:tc>
          <w:tcPr>
            <w:tcW w:w="4539" w:type="dxa"/>
          </w:tcPr>
          <w:p w14:paraId="6681DEAC" w14:textId="15604759" w:rsidR="003C2740" w:rsidRDefault="00BA4642" w:rsidP="00FB2740">
            <w:pPr>
              <w:autoSpaceDE w:val="0"/>
              <w:autoSpaceDN w:val="0"/>
              <w:adjustRightInd w:val="0"/>
              <w:spacing w:before="0" w:after="0"/>
              <w:jc w:val="left"/>
              <w:rPr>
                <w:rFonts w:ascii="Times New Roman" w:hAnsi="Times New Roman" w:cs="Times New Roman"/>
                <w:szCs w:val="24"/>
                <w:lang w:val="sr-Latn-RS"/>
              </w:rPr>
            </w:pPr>
            <w:r>
              <w:rPr>
                <w:rFonts w:ascii="Times New Roman" w:hAnsi="Times New Roman" w:cs="Times New Roman"/>
                <w:noProof/>
                <w:szCs w:val="24"/>
                <w:lang w:val="sr-Latn-RS"/>
              </w:rPr>
              <w:drawing>
                <wp:inline distT="0" distB="0" distL="0" distR="0" wp14:anchorId="299DD662" wp14:editId="221AAA74">
                  <wp:extent cx="2762720" cy="2520000"/>
                  <wp:effectExtent l="0" t="0" r="0" b="0"/>
                  <wp:docPr id="137" name="Picture 13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Chart, scatter chart&#10;&#10;Description automatically generated"/>
                          <pic:cNvPicPr>
                            <a:picLocks noChangeAspect="1" noChangeArrowheads="1"/>
                          </pic:cNvPicPr>
                        </pic:nvPicPr>
                        <pic:blipFill rotWithShape="1">
                          <a:blip r:embed="rId159">
                            <a:extLst>
                              <a:ext uri="{28A0092B-C50C-407E-A947-70E740481C1C}">
                                <a14:useLocalDpi xmlns:a14="http://schemas.microsoft.com/office/drawing/2010/main" val="0"/>
                              </a:ext>
                            </a:extLst>
                          </a:blip>
                          <a:srcRect l="9804" t="19607" r="25889" b="21735"/>
                          <a:stretch/>
                        </pic:blipFill>
                        <pic:spPr bwMode="auto">
                          <a:xfrm>
                            <a:off x="0" y="0"/>
                            <a:ext cx="2762720"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88" w:type="dxa"/>
          </w:tcPr>
          <w:p w14:paraId="1F485D54" w14:textId="150245D8" w:rsidR="003C2740" w:rsidRDefault="003C2740" w:rsidP="00FB2740">
            <w:pPr>
              <w:autoSpaceDE w:val="0"/>
              <w:autoSpaceDN w:val="0"/>
              <w:adjustRightInd w:val="0"/>
              <w:spacing w:before="0" w:after="0"/>
              <w:jc w:val="left"/>
              <w:rPr>
                <w:rFonts w:ascii="Times New Roman" w:hAnsi="Times New Roman" w:cs="Times New Roman"/>
                <w:szCs w:val="24"/>
                <w:lang w:val="sr-Latn-RS"/>
              </w:rPr>
            </w:pPr>
            <w:r>
              <w:rPr>
                <w:rFonts w:ascii="Times New Roman" w:hAnsi="Times New Roman" w:cs="Times New Roman"/>
                <w:noProof/>
                <w:szCs w:val="24"/>
                <w:lang w:val="sr-Latn-RS"/>
              </w:rPr>
              <w:drawing>
                <wp:inline distT="0" distB="0" distL="0" distR="0" wp14:anchorId="133E23FF" wp14:editId="7409EF71">
                  <wp:extent cx="2729242" cy="2520000"/>
                  <wp:effectExtent l="0" t="0" r="0" b="0"/>
                  <wp:docPr id="132" name="Picture 13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Chart, scatter chart&#10;&#10;Description automatically generated"/>
                          <pic:cNvPicPr>
                            <a:picLocks noChangeAspect="1" noChangeArrowheads="1"/>
                          </pic:cNvPicPr>
                        </pic:nvPicPr>
                        <pic:blipFill rotWithShape="1">
                          <a:blip r:embed="rId160">
                            <a:extLst>
                              <a:ext uri="{28A0092B-C50C-407E-A947-70E740481C1C}">
                                <a14:useLocalDpi xmlns:a14="http://schemas.microsoft.com/office/drawing/2010/main" val="0"/>
                              </a:ext>
                            </a:extLst>
                          </a:blip>
                          <a:srcRect l="20605" t="17559" r="29545" b="17590"/>
                          <a:stretch/>
                        </pic:blipFill>
                        <pic:spPr bwMode="auto">
                          <a:xfrm>
                            <a:off x="0" y="0"/>
                            <a:ext cx="2729242"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C2740" w14:paraId="6D6363BD" w14:textId="77777777" w:rsidTr="00BA4642">
        <w:tc>
          <w:tcPr>
            <w:tcW w:w="4539" w:type="dxa"/>
          </w:tcPr>
          <w:p w14:paraId="16DD077A" w14:textId="04709F99" w:rsidR="003C2740" w:rsidRDefault="00FA232D" w:rsidP="00FB2740">
            <w:pPr>
              <w:autoSpaceDE w:val="0"/>
              <w:autoSpaceDN w:val="0"/>
              <w:adjustRightInd w:val="0"/>
              <w:spacing w:before="0" w:after="0"/>
              <w:jc w:val="left"/>
              <w:rPr>
                <w:rFonts w:ascii="Times New Roman" w:hAnsi="Times New Roman" w:cs="Times New Roman"/>
                <w:szCs w:val="24"/>
                <w:lang w:val="sr-Latn-RS"/>
              </w:rPr>
            </w:pPr>
            <w:r>
              <w:rPr>
                <w:rFonts w:ascii="Times New Roman" w:hAnsi="Times New Roman" w:cs="Times New Roman"/>
                <w:noProof/>
                <w:szCs w:val="24"/>
                <w:lang w:val="sr-Latn-RS"/>
              </w:rPr>
              <w:drawing>
                <wp:inline distT="0" distB="0" distL="0" distR="0" wp14:anchorId="6FA75AFD" wp14:editId="3C33B0F2">
                  <wp:extent cx="2716729" cy="2520000"/>
                  <wp:effectExtent l="0" t="0" r="7620" b="0"/>
                  <wp:docPr id="133" name="Picture 13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Chart, scatter chart&#10;&#10;Description automatically generated"/>
                          <pic:cNvPicPr>
                            <a:picLocks noChangeAspect="1" noChangeArrowheads="1"/>
                          </pic:cNvPicPr>
                        </pic:nvPicPr>
                        <pic:blipFill rotWithShape="1">
                          <a:blip r:embed="rId161">
                            <a:extLst>
                              <a:ext uri="{28A0092B-C50C-407E-A947-70E740481C1C}">
                                <a14:useLocalDpi xmlns:a14="http://schemas.microsoft.com/office/drawing/2010/main" val="0"/>
                              </a:ext>
                            </a:extLst>
                          </a:blip>
                          <a:srcRect l="21103" t="18554" r="30708" b="17459"/>
                          <a:stretch/>
                        </pic:blipFill>
                        <pic:spPr bwMode="auto">
                          <a:xfrm>
                            <a:off x="0" y="0"/>
                            <a:ext cx="2716729"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88" w:type="dxa"/>
          </w:tcPr>
          <w:p w14:paraId="3874A179" w14:textId="089639A3" w:rsidR="003C2740" w:rsidRDefault="00FA232D" w:rsidP="00FA232D">
            <w:pPr>
              <w:autoSpaceDE w:val="0"/>
              <w:autoSpaceDN w:val="0"/>
              <w:adjustRightInd w:val="0"/>
              <w:spacing w:before="0" w:after="0"/>
              <w:jc w:val="center"/>
              <w:rPr>
                <w:rFonts w:ascii="Times New Roman" w:hAnsi="Times New Roman" w:cs="Times New Roman"/>
                <w:szCs w:val="24"/>
                <w:lang w:val="sr-Latn-RS"/>
              </w:rPr>
            </w:pPr>
            <w:r>
              <w:rPr>
                <w:rFonts w:ascii="Times New Roman" w:hAnsi="Times New Roman" w:cs="Times New Roman"/>
                <w:noProof/>
                <w:szCs w:val="24"/>
                <w:lang w:val="sr-Latn-RS"/>
              </w:rPr>
              <w:drawing>
                <wp:inline distT="0" distB="0" distL="0" distR="0" wp14:anchorId="062DDCE3" wp14:editId="26180729">
                  <wp:extent cx="2715582" cy="2520000"/>
                  <wp:effectExtent l="0" t="0" r="8890" b="0"/>
                  <wp:docPr id="134" name="Picture 13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Chart, scatter chart&#10;&#10;Description automatically generated"/>
                          <pic:cNvPicPr>
                            <a:picLocks noChangeAspect="1" noChangeArrowheads="1"/>
                          </pic:cNvPicPr>
                        </pic:nvPicPr>
                        <pic:blipFill rotWithShape="1">
                          <a:blip r:embed="rId162">
                            <a:extLst>
                              <a:ext uri="{28A0092B-C50C-407E-A947-70E740481C1C}">
                                <a14:useLocalDpi xmlns:a14="http://schemas.microsoft.com/office/drawing/2010/main" val="0"/>
                              </a:ext>
                            </a:extLst>
                          </a:blip>
                          <a:srcRect l="13792" t="19695" r="26221" b="18640"/>
                          <a:stretch/>
                        </pic:blipFill>
                        <pic:spPr bwMode="auto">
                          <a:xfrm>
                            <a:off x="0" y="0"/>
                            <a:ext cx="2715582"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927D576" w14:textId="6AFCC652" w:rsidR="00FA232D" w:rsidRDefault="008531D3" w:rsidP="008531D3">
      <w:pPr>
        <w:pStyle w:val="Caption"/>
        <w:rPr>
          <w:rFonts w:ascii="Times New Roman" w:hAnsi="Times New Roman" w:cs="Times New Roman"/>
          <w:szCs w:val="24"/>
          <w:lang w:val="sr-Latn-RS"/>
        </w:rPr>
      </w:pPr>
      <w:bookmarkStart w:id="707" w:name="_Ref99444921"/>
      <w:bookmarkStart w:id="708" w:name="_Toc101274641"/>
      <w:r>
        <w:t xml:space="preserve">Figure </w:t>
      </w:r>
      <w:fldSimple w:instr=" SEQ Figure \* ARABIC ">
        <w:r w:rsidR="00587AF0">
          <w:rPr>
            <w:noProof/>
          </w:rPr>
          <w:t>119</w:t>
        </w:r>
      </w:fldSimple>
      <w:bookmarkEnd w:id="707"/>
      <w:r>
        <w:t>.</w:t>
      </w:r>
      <w:r w:rsidR="00B438F8">
        <w:t xml:space="preserve"> kNN</w:t>
      </w:r>
      <w:r>
        <w:t xml:space="preserve"> Lower-dimensional projections of predictors</w:t>
      </w:r>
      <w:r w:rsidR="006B2EDB">
        <w:t xml:space="preserve"> at idle saddle position</w:t>
      </w:r>
      <w:bookmarkEnd w:id="708"/>
    </w:p>
    <w:p w14:paraId="77DBF77E" w14:textId="42F5AB70" w:rsidR="00847DBD" w:rsidRDefault="00847DBD" w:rsidP="00847DBD">
      <w:pPr>
        <w:pStyle w:val="Caption"/>
        <w:jc w:val="both"/>
        <w:rPr>
          <w:lang w:val="sr-Latn-RS"/>
        </w:rPr>
      </w:pPr>
      <w:bookmarkStart w:id="709" w:name="_Ref99445552"/>
      <w:bookmarkStart w:id="710" w:name="_Toc101274512"/>
      <w:r>
        <w:t xml:space="preserve">Table </w:t>
      </w:r>
      <w:fldSimple w:instr=" SEQ Table \* ARABIC ">
        <w:r w:rsidR="00587AF0">
          <w:rPr>
            <w:noProof/>
          </w:rPr>
          <w:t>72</w:t>
        </w:r>
      </w:fldSimple>
      <w:bookmarkEnd w:id="709"/>
      <w:r>
        <w:t>. kNN classification matrix score for idle saddle position</w:t>
      </w:r>
      <w:bookmarkEnd w:id="710"/>
    </w:p>
    <w:tbl>
      <w:tblPr>
        <w:tblW w:w="5000" w:type="pct"/>
        <w:tblBorders>
          <w:top w:val="single" w:sz="4" w:space="0" w:color="auto"/>
          <w:bottom w:val="single" w:sz="4" w:space="0" w:color="auto"/>
        </w:tblBorders>
        <w:tblLook w:val="04A0" w:firstRow="1" w:lastRow="0" w:firstColumn="1" w:lastColumn="0" w:noHBand="0" w:noVBand="1"/>
      </w:tblPr>
      <w:tblGrid>
        <w:gridCol w:w="3285"/>
        <w:gridCol w:w="1858"/>
        <w:gridCol w:w="2026"/>
        <w:gridCol w:w="1858"/>
      </w:tblGrid>
      <w:tr w:rsidR="00847DBD" w:rsidRPr="00DD3191" w14:paraId="13861A74" w14:textId="77777777" w:rsidTr="00E81DBB">
        <w:trPr>
          <w:trHeight w:val="255"/>
        </w:trPr>
        <w:tc>
          <w:tcPr>
            <w:tcW w:w="1820" w:type="pct"/>
            <w:tcBorders>
              <w:top w:val="single" w:sz="4" w:space="0" w:color="auto"/>
              <w:bottom w:val="single" w:sz="4" w:space="0" w:color="auto"/>
            </w:tcBorders>
            <w:shd w:val="clear" w:color="auto" w:fill="auto"/>
            <w:noWrap/>
            <w:vAlign w:val="center"/>
            <w:hideMark/>
          </w:tcPr>
          <w:p w14:paraId="4CB28586" w14:textId="77777777" w:rsidR="00847DBD" w:rsidRPr="00DD3191" w:rsidRDefault="00847DBD" w:rsidP="00E81DBB">
            <w:pPr>
              <w:spacing w:before="0" w:after="0"/>
              <w:jc w:val="left"/>
              <w:rPr>
                <w:rFonts w:eastAsia="Times New Roman" w:cs="Times New Roman"/>
                <w:b/>
                <w:bCs/>
                <w:color w:val="000000"/>
                <w:sz w:val="20"/>
                <w:szCs w:val="20"/>
                <w:lang w:val="sr-Latn-RS" w:eastAsia="sr-Latn-RS"/>
              </w:rPr>
            </w:pPr>
            <w:r w:rsidRPr="00DD3191">
              <w:rPr>
                <w:rFonts w:eastAsia="Times New Roman" w:cs="Times New Roman"/>
                <w:b/>
                <w:bCs/>
                <w:color w:val="000000"/>
                <w:sz w:val="20"/>
                <w:szCs w:val="20"/>
                <w:lang w:val="sr-Latn-RS" w:eastAsia="sr-Latn-RS"/>
              </w:rPr>
              <w:t> Properties</w:t>
            </w:r>
          </w:p>
        </w:tc>
        <w:tc>
          <w:tcPr>
            <w:tcW w:w="1029" w:type="pct"/>
            <w:tcBorders>
              <w:top w:val="single" w:sz="4" w:space="0" w:color="auto"/>
              <w:bottom w:val="single" w:sz="4" w:space="0" w:color="auto"/>
            </w:tcBorders>
            <w:shd w:val="clear" w:color="auto" w:fill="auto"/>
            <w:noWrap/>
            <w:vAlign w:val="center"/>
            <w:hideMark/>
          </w:tcPr>
          <w:p w14:paraId="77B93D1E" w14:textId="77777777" w:rsidR="00847DBD" w:rsidRPr="00DD3191" w:rsidRDefault="00847DBD" w:rsidP="00E81DBB">
            <w:pPr>
              <w:spacing w:before="0" w:after="0"/>
              <w:jc w:val="center"/>
              <w:rPr>
                <w:rFonts w:eastAsia="Times New Roman" w:cs="Times New Roman"/>
                <w:b/>
                <w:bCs/>
                <w:color w:val="000000"/>
                <w:sz w:val="20"/>
                <w:szCs w:val="20"/>
                <w:lang w:val="sr-Latn-RS" w:eastAsia="sr-Latn-RS"/>
              </w:rPr>
            </w:pPr>
            <w:r w:rsidRPr="00DD3191">
              <w:rPr>
                <w:rFonts w:eastAsia="Times New Roman" w:cs="Times New Roman"/>
                <w:b/>
                <w:bCs/>
                <w:color w:val="000000"/>
                <w:sz w:val="20"/>
                <w:szCs w:val="20"/>
                <w:lang w:val="sr-Latn-RS" w:eastAsia="sr-Latn-RS"/>
              </w:rPr>
              <w:t>None</w:t>
            </w:r>
          </w:p>
        </w:tc>
        <w:tc>
          <w:tcPr>
            <w:tcW w:w="1122" w:type="pct"/>
            <w:tcBorders>
              <w:top w:val="single" w:sz="4" w:space="0" w:color="auto"/>
              <w:bottom w:val="single" w:sz="4" w:space="0" w:color="auto"/>
            </w:tcBorders>
            <w:shd w:val="clear" w:color="auto" w:fill="auto"/>
            <w:noWrap/>
            <w:vAlign w:val="center"/>
            <w:hideMark/>
          </w:tcPr>
          <w:p w14:paraId="186AA721" w14:textId="77777777" w:rsidR="00847DBD" w:rsidRPr="00DD3191" w:rsidRDefault="00847DBD" w:rsidP="00E81DBB">
            <w:pPr>
              <w:spacing w:before="0" w:after="0"/>
              <w:jc w:val="center"/>
              <w:rPr>
                <w:rFonts w:eastAsia="Times New Roman" w:cs="Times New Roman"/>
                <w:b/>
                <w:bCs/>
                <w:color w:val="000000"/>
                <w:sz w:val="20"/>
                <w:szCs w:val="20"/>
                <w:lang w:val="sr-Latn-RS" w:eastAsia="sr-Latn-RS"/>
              </w:rPr>
            </w:pPr>
            <w:r w:rsidRPr="00DD3191">
              <w:rPr>
                <w:rFonts w:eastAsia="Times New Roman" w:cs="Times New Roman"/>
                <w:b/>
                <w:bCs/>
                <w:color w:val="000000"/>
                <w:sz w:val="20"/>
                <w:szCs w:val="20"/>
                <w:lang w:val="sr-Latn-RS" w:eastAsia="sr-Latn-RS"/>
              </w:rPr>
              <w:t>Quasi-fault</w:t>
            </w:r>
          </w:p>
        </w:tc>
        <w:tc>
          <w:tcPr>
            <w:tcW w:w="1029" w:type="pct"/>
            <w:tcBorders>
              <w:top w:val="single" w:sz="4" w:space="0" w:color="auto"/>
              <w:bottom w:val="single" w:sz="4" w:space="0" w:color="auto"/>
            </w:tcBorders>
            <w:shd w:val="clear" w:color="auto" w:fill="auto"/>
            <w:noWrap/>
            <w:vAlign w:val="center"/>
            <w:hideMark/>
          </w:tcPr>
          <w:p w14:paraId="4E9A60F3" w14:textId="77777777" w:rsidR="00847DBD" w:rsidRPr="00DD3191" w:rsidRDefault="00847DBD" w:rsidP="00E81DBB">
            <w:pPr>
              <w:spacing w:before="0" w:after="0"/>
              <w:jc w:val="center"/>
              <w:rPr>
                <w:rFonts w:eastAsia="Times New Roman" w:cs="Times New Roman"/>
                <w:b/>
                <w:bCs/>
                <w:color w:val="000000"/>
                <w:sz w:val="20"/>
                <w:szCs w:val="20"/>
                <w:lang w:val="sr-Latn-RS" w:eastAsia="sr-Latn-RS"/>
              </w:rPr>
            </w:pPr>
            <w:r w:rsidRPr="00DD3191">
              <w:rPr>
                <w:rFonts w:eastAsia="Times New Roman" w:cs="Times New Roman"/>
                <w:b/>
                <w:bCs/>
                <w:color w:val="000000"/>
                <w:sz w:val="20"/>
                <w:szCs w:val="20"/>
                <w:lang w:val="sr-Latn-RS" w:eastAsia="sr-Latn-RS"/>
              </w:rPr>
              <w:t>Percent correct</w:t>
            </w:r>
          </w:p>
        </w:tc>
      </w:tr>
      <w:tr w:rsidR="00847DBD" w:rsidRPr="00DD3191" w14:paraId="21EDB5D9" w14:textId="77777777" w:rsidTr="00E81DBB">
        <w:trPr>
          <w:trHeight w:val="255"/>
        </w:trPr>
        <w:tc>
          <w:tcPr>
            <w:tcW w:w="1820" w:type="pct"/>
            <w:tcBorders>
              <w:top w:val="single" w:sz="4" w:space="0" w:color="auto"/>
            </w:tcBorders>
            <w:shd w:val="clear" w:color="auto" w:fill="auto"/>
            <w:noWrap/>
            <w:vAlign w:val="center"/>
            <w:hideMark/>
          </w:tcPr>
          <w:p w14:paraId="1AB19542" w14:textId="77777777" w:rsidR="00847DBD" w:rsidRPr="00DD3191" w:rsidRDefault="00847DBD" w:rsidP="00E81DBB">
            <w:pPr>
              <w:spacing w:before="0" w:after="0"/>
              <w:jc w:val="left"/>
              <w:rPr>
                <w:rFonts w:eastAsia="Times New Roman" w:cs="Times New Roman"/>
                <w:color w:val="000000"/>
                <w:sz w:val="20"/>
                <w:szCs w:val="20"/>
                <w:lang w:val="sr-Latn-RS" w:eastAsia="sr-Latn-RS"/>
              </w:rPr>
            </w:pPr>
            <w:r w:rsidRPr="00DD3191">
              <w:rPr>
                <w:rFonts w:eastAsia="Times New Roman" w:cs="Times New Roman"/>
                <w:color w:val="000000"/>
                <w:sz w:val="20"/>
                <w:szCs w:val="20"/>
                <w:lang w:val="sr-Latn-RS" w:eastAsia="sr-Latn-RS"/>
              </w:rPr>
              <w:t>None</w:t>
            </w:r>
          </w:p>
        </w:tc>
        <w:tc>
          <w:tcPr>
            <w:tcW w:w="1029" w:type="pct"/>
            <w:tcBorders>
              <w:top w:val="single" w:sz="4" w:space="0" w:color="auto"/>
            </w:tcBorders>
            <w:shd w:val="clear" w:color="auto" w:fill="auto"/>
            <w:noWrap/>
            <w:vAlign w:val="center"/>
            <w:hideMark/>
          </w:tcPr>
          <w:p w14:paraId="29B7B289" w14:textId="77777777" w:rsidR="00847DBD" w:rsidRPr="00DD3191" w:rsidRDefault="00847DBD" w:rsidP="00E81DBB">
            <w:pPr>
              <w:spacing w:before="0" w:after="0"/>
              <w:jc w:val="right"/>
              <w:rPr>
                <w:rFonts w:eastAsia="Times New Roman" w:cs="Times New Roman"/>
                <w:color w:val="000000"/>
                <w:sz w:val="20"/>
                <w:szCs w:val="20"/>
                <w:lang w:val="sr-Latn-RS" w:eastAsia="sr-Latn-RS"/>
              </w:rPr>
            </w:pPr>
            <w:r w:rsidRPr="00DD3191">
              <w:rPr>
                <w:sz w:val="20"/>
                <w:szCs w:val="20"/>
              </w:rPr>
              <w:t>341</w:t>
            </w:r>
          </w:p>
        </w:tc>
        <w:tc>
          <w:tcPr>
            <w:tcW w:w="1122" w:type="pct"/>
            <w:tcBorders>
              <w:top w:val="single" w:sz="4" w:space="0" w:color="auto"/>
            </w:tcBorders>
            <w:shd w:val="clear" w:color="auto" w:fill="auto"/>
            <w:noWrap/>
            <w:vAlign w:val="center"/>
            <w:hideMark/>
          </w:tcPr>
          <w:p w14:paraId="0748F608" w14:textId="77777777" w:rsidR="00847DBD" w:rsidRPr="00DD3191" w:rsidRDefault="00847DBD" w:rsidP="00E81DBB">
            <w:pPr>
              <w:spacing w:before="0" w:after="0"/>
              <w:jc w:val="right"/>
              <w:rPr>
                <w:rFonts w:eastAsia="Times New Roman" w:cs="Times New Roman"/>
                <w:color w:val="000000"/>
                <w:sz w:val="20"/>
                <w:szCs w:val="20"/>
                <w:lang w:val="sr-Latn-RS" w:eastAsia="sr-Latn-RS"/>
              </w:rPr>
            </w:pPr>
            <w:r w:rsidRPr="00DD3191">
              <w:rPr>
                <w:sz w:val="20"/>
                <w:szCs w:val="20"/>
              </w:rPr>
              <w:t>14</w:t>
            </w:r>
          </w:p>
        </w:tc>
        <w:tc>
          <w:tcPr>
            <w:tcW w:w="1029" w:type="pct"/>
            <w:tcBorders>
              <w:top w:val="single" w:sz="4" w:space="0" w:color="auto"/>
            </w:tcBorders>
            <w:shd w:val="clear" w:color="auto" w:fill="auto"/>
            <w:noWrap/>
            <w:vAlign w:val="center"/>
            <w:hideMark/>
          </w:tcPr>
          <w:p w14:paraId="15135698" w14:textId="77777777" w:rsidR="00847DBD" w:rsidRPr="00DD3191" w:rsidRDefault="00847DBD" w:rsidP="00E81DBB">
            <w:pPr>
              <w:spacing w:before="0" w:after="0"/>
              <w:jc w:val="right"/>
              <w:rPr>
                <w:rFonts w:eastAsia="Times New Roman" w:cs="Times New Roman"/>
                <w:color w:val="000000"/>
                <w:sz w:val="20"/>
                <w:szCs w:val="20"/>
                <w:lang w:val="sr-Latn-RS" w:eastAsia="sr-Latn-RS"/>
              </w:rPr>
            </w:pPr>
            <w:r w:rsidRPr="00DD3191">
              <w:rPr>
                <w:sz w:val="20"/>
                <w:szCs w:val="20"/>
              </w:rPr>
              <w:t>96.1%</w:t>
            </w:r>
          </w:p>
        </w:tc>
      </w:tr>
      <w:tr w:rsidR="00847DBD" w:rsidRPr="00DD3191" w14:paraId="55E0BB59" w14:textId="77777777" w:rsidTr="00E81DBB">
        <w:trPr>
          <w:trHeight w:val="255"/>
        </w:trPr>
        <w:tc>
          <w:tcPr>
            <w:tcW w:w="1820" w:type="pct"/>
            <w:shd w:val="clear" w:color="auto" w:fill="auto"/>
            <w:noWrap/>
            <w:vAlign w:val="center"/>
            <w:hideMark/>
          </w:tcPr>
          <w:p w14:paraId="37661B40" w14:textId="77777777" w:rsidR="00847DBD" w:rsidRPr="00DD3191" w:rsidRDefault="00847DBD" w:rsidP="00E81DBB">
            <w:pPr>
              <w:spacing w:before="0" w:after="0"/>
              <w:jc w:val="left"/>
              <w:rPr>
                <w:rFonts w:eastAsia="Times New Roman" w:cs="Times New Roman"/>
                <w:color w:val="000000"/>
                <w:sz w:val="20"/>
                <w:szCs w:val="20"/>
                <w:lang w:val="sr-Latn-RS" w:eastAsia="sr-Latn-RS"/>
              </w:rPr>
            </w:pPr>
            <w:r w:rsidRPr="00DD3191">
              <w:rPr>
                <w:rFonts w:eastAsia="Times New Roman" w:cs="Times New Roman"/>
                <w:color w:val="000000"/>
                <w:sz w:val="20"/>
                <w:szCs w:val="20"/>
                <w:lang w:val="sr-Latn-RS" w:eastAsia="sr-Latn-RS"/>
              </w:rPr>
              <w:t>Quasi-fault</w:t>
            </w:r>
          </w:p>
        </w:tc>
        <w:tc>
          <w:tcPr>
            <w:tcW w:w="1029" w:type="pct"/>
            <w:shd w:val="clear" w:color="auto" w:fill="auto"/>
            <w:noWrap/>
            <w:vAlign w:val="center"/>
            <w:hideMark/>
          </w:tcPr>
          <w:p w14:paraId="633042C9" w14:textId="77777777" w:rsidR="00847DBD" w:rsidRPr="00DD3191" w:rsidRDefault="00847DBD" w:rsidP="00E81DBB">
            <w:pPr>
              <w:spacing w:before="0" w:after="0"/>
              <w:jc w:val="right"/>
              <w:rPr>
                <w:rFonts w:eastAsia="Times New Roman" w:cs="Times New Roman"/>
                <w:color w:val="000000"/>
                <w:sz w:val="20"/>
                <w:szCs w:val="20"/>
                <w:lang w:val="sr-Latn-RS" w:eastAsia="sr-Latn-RS"/>
              </w:rPr>
            </w:pPr>
            <w:r w:rsidRPr="00DD3191">
              <w:rPr>
                <w:sz w:val="20"/>
                <w:szCs w:val="20"/>
              </w:rPr>
              <w:t>5</w:t>
            </w:r>
          </w:p>
        </w:tc>
        <w:tc>
          <w:tcPr>
            <w:tcW w:w="1122" w:type="pct"/>
            <w:shd w:val="clear" w:color="auto" w:fill="auto"/>
            <w:noWrap/>
            <w:vAlign w:val="center"/>
            <w:hideMark/>
          </w:tcPr>
          <w:p w14:paraId="4D7EFF5F" w14:textId="77777777" w:rsidR="00847DBD" w:rsidRPr="00DD3191" w:rsidRDefault="00847DBD" w:rsidP="00E81DBB">
            <w:pPr>
              <w:spacing w:before="0" w:after="0"/>
              <w:jc w:val="right"/>
              <w:rPr>
                <w:rFonts w:eastAsia="Times New Roman" w:cs="Times New Roman"/>
                <w:color w:val="000000"/>
                <w:sz w:val="20"/>
                <w:szCs w:val="20"/>
                <w:lang w:val="sr-Latn-RS" w:eastAsia="sr-Latn-RS"/>
              </w:rPr>
            </w:pPr>
            <w:r w:rsidRPr="00DD3191">
              <w:rPr>
                <w:sz w:val="20"/>
                <w:szCs w:val="20"/>
              </w:rPr>
              <w:t>180</w:t>
            </w:r>
          </w:p>
        </w:tc>
        <w:tc>
          <w:tcPr>
            <w:tcW w:w="1029" w:type="pct"/>
            <w:shd w:val="clear" w:color="auto" w:fill="auto"/>
            <w:noWrap/>
            <w:vAlign w:val="center"/>
            <w:hideMark/>
          </w:tcPr>
          <w:p w14:paraId="1C17BE00" w14:textId="77777777" w:rsidR="00847DBD" w:rsidRPr="00DD3191" w:rsidRDefault="00847DBD" w:rsidP="00E81DBB">
            <w:pPr>
              <w:spacing w:before="0" w:after="0"/>
              <w:jc w:val="right"/>
              <w:rPr>
                <w:rFonts w:eastAsia="Times New Roman" w:cs="Times New Roman"/>
                <w:color w:val="000000"/>
                <w:sz w:val="20"/>
                <w:szCs w:val="20"/>
                <w:lang w:val="sr-Latn-RS" w:eastAsia="sr-Latn-RS"/>
              </w:rPr>
            </w:pPr>
            <w:r w:rsidRPr="00DD3191">
              <w:rPr>
                <w:sz w:val="20"/>
                <w:szCs w:val="20"/>
              </w:rPr>
              <w:t>97.3%</w:t>
            </w:r>
          </w:p>
        </w:tc>
      </w:tr>
      <w:tr w:rsidR="00847DBD" w:rsidRPr="00DD3191" w14:paraId="0385CB9D" w14:textId="77777777" w:rsidTr="00E81DBB">
        <w:trPr>
          <w:trHeight w:val="255"/>
        </w:trPr>
        <w:tc>
          <w:tcPr>
            <w:tcW w:w="1820" w:type="pct"/>
            <w:shd w:val="clear" w:color="auto" w:fill="auto"/>
            <w:noWrap/>
            <w:vAlign w:val="center"/>
            <w:hideMark/>
          </w:tcPr>
          <w:p w14:paraId="29802BC3" w14:textId="77777777" w:rsidR="00847DBD" w:rsidRPr="00DD3191" w:rsidRDefault="00847DBD" w:rsidP="00E81DBB">
            <w:pPr>
              <w:spacing w:before="0" w:after="0"/>
              <w:jc w:val="left"/>
              <w:rPr>
                <w:rFonts w:eastAsia="Times New Roman" w:cs="Times New Roman"/>
                <w:color w:val="000000"/>
                <w:sz w:val="20"/>
                <w:szCs w:val="20"/>
                <w:lang w:val="sr-Latn-RS" w:eastAsia="sr-Latn-RS"/>
              </w:rPr>
            </w:pPr>
            <w:r w:rsidRPr="00DD3191">
              <w:rPr>
                <w:rFonts w:eastAsia="Times New Roman" w:cs="Times New Roman"/>
                <w:color w:val="000000"/>
                <w:sz w:val="20"/>
                <w:szCs w:val="20"/>
                <w:lang w:val="sr-Latn-RS" w:eastAsia="sr-Latn-RS"/>
              </w:rPr>
              <w:t>Overall training percentage</w:t>
            </w:r>
          </w:p>
        </w:tc>
        <w:tc>
          <w:tcPr>
            <w:tcW w:w="1029" w:type="pct"/>
            <w:shd w:val="clear" w:color="auto" w:fill="auto"/>
            <w:noWrap/>
            <w:vAlign w:val="center"/>
            <w:hideMark/>
          </w:tcPr>
          <w:p w14:paraId="351B96EE" w14:textId="77777777" w:rsidR="00847DBD" w:rsidRPr="00DD3191" w:rsidRDefault="00847DBD" w:rsidP="00E81DBB">
            <w:pPr>
              <w:spacing w:before="0" w:after="0"/>
              <w:jc w:val="right"/>
              <w:rPr>
                <w:rFonts w:eastAsia="Times New Roman" w:cs="Times New Roman"/>
                <w:color w:val="000000"/>
                <w:sz w:val="20"/>
                <w:szCs w:val="20"/>
                <w:lang w:val="sr-Latn-RS" w:eastAsia="sr-Latn-RS"/>
              </w:rPr>
            </w:pPr>
            <w:r w:rsidRPr="00DD3191">
              <w:rPr>
                <w:sz w:val="20"/>
                <w:szCs w:val="20"/>
              </w:rPr>
              <w:t>64.1%</w:t>
            </w:r>
          </w:p>
        </w:tc>
        <w:tc>
          <w:tcPr>
            <w:tcW w:w="1122" w:type="pct"/>
            <w:shd w:val="clear" w:color="auto" w:fill="auto"/>
            <w:noWrap/>
            <w:vAlign w:val="center"/>
            <w:hideMark/>
          </w:tcPr>
          <w:p w14:paraId="7E7A000C" w14:textId="77777777" w:rsidR="00847DBD" w:rsidRPr="00DD3191" w:rsidRDefault="00847DBD" w:rsidP="00E81DBB">
            <w:pPr>
              <w:spacing w:before="0" w:after="0"/>
              <w:jc w:val="right"/>
              <w:rPr>
                <w:rFonts w:eastAsia="Times New Roman" w:cs="Times New Roman"/>
                <w:color w:val="000000"/>
                <w:sz w:val="20"/>
                <w:szCs w:val="20"/>
                <w:lang w:val="sr-Latn-RS" w:eastAsia="sr-Latn-RS"/>
              </w:rPr>
            </w:pPr>
            <w:r w:rsidRPr="00DD3191">
              <w:rPr>
                <w:sz w:val="20"/>
                <w:szCs w:val="20"/>
              </w:rPr>
              <w:t>35.9%</w:t>
            </w:r>
          </w:p>
        </w:tc>
        <w:tc>
          <w:tcPr>
            <w:tcW w:w="1029" w:type="pct"/>
            <w:shd w:val="clear" w:color="auto" w:fill="auto"/>
            <w:noWrap/>
            <w:vAlign w:val="center"/>
            <w:hideMark/>
          </w:tcPr>
          <w:p w14:paraId="2960D987" w14:textId="77777777" w:rsidR="00847DBD" w:rsidRPr="00DD3191" w:rsidRDefault="00847DBD" w:rsidP="00E81DBB">
            <w:pPr>
              <w:spacing w:before="0" w:after="0"/>
              <w:jc w:val="right"/>
              <w:rPr>
                <w:rFonts w:eastAsia="Times New Roman" w:cs="Times New Roman"/>
                <w:b/>
                <w:bCs/>
                <w:color w:val="000000"/>
                <w:sz w:val="20"/>
                <w:szCs w:val="20"/>
                <w:lang w:val="sr-Latn-RS" w:eastAsia="sr-Latn-RS"/>
              </w:rPr>
            </w:pPr>
            <w:r w:rsidRPr="00DD3191">
              <w:rPr>
                <w:b/>
                <w:bCs/>
                <w:sz w:val="20"/>
                <w:szCs w:val="20"/>
              </w:rPr>
              <w:t>96.5%</w:t>
            </w:r>
          </w:p>
        </w:tc>
      </w:tr>
      <w:tr w:rsidR="00847DBD" w:rsidRPr="00DD3191" w14:paraId="1051DD08" w14:textId="77777777" w:rsidTr="00E81DBB">
        <w:trPr>
          <w:trHeight w:val="255"/>
        </w:trPr>
        <w:tc>
          <w:tcPr>
            <w:tcW w:w="1820" w:type="pct"/>
            <w:shd w:val="clear" w:color="auto" w:fill="auto"/>
            <w:noWrap/>
            <w:vAlign w:val="center"/>
            <w:hideMark/>
          </w:tcPr>
          <w:p w14:paraId="3EE10905" w14:textId="77777777" w:rsidR="00847DBD" w:rsidRPr="00DD3191" w:rsidRDefault="00847DBD" w:rsidP="00E81DBB">
            <w:pPr>
              <w:spacing w:before="0" w:after="0"/>
              <w:jc w:val="left"/>
              <w:rPr>
                <w:rFonts w:eastAsia="Times New Roman" w:cs="Times New Roman"/>
                <w:color w:val="000000"/>
                <w:sz w:val="20"/>
                <w:szCs w:val="20"/>
                <w:lang w:val="sr-Latn-RS" w:eastAsia="sr-Latn-RS"/>
              </w:rPr>
            </w:pPr>
            <w:r w:rsidRPr="00DD3191">
              <w:rPr>
                <w:rFonts w:eastAsia="Times New Roman" w:cs="Times New Roman"/>
                <w:color w:val="000000"/>
                <w:sz w:val="20"/>
                <w:szCs w:val="20"/>
                <w:lang w:val="sr-Latn-RS" w:eastAsia="sr-Latn-RS"/>
              </w:rPr>
              <w:t>None</w:t>
            </w:r>
          </w:p>
        </w:tc>
        <w:tc>
          <w:tcPr>
            <w:tcW w:w="1029" w:type="pct"/>
            <w:shd w:val="clear" w:color="auto" w:fill="auto"/>
            <w:noWrap/>
            <w:vAlign w:val="center"/>
            <w:hideMark/>
          </w:tcPr>
          <w:p w14:paraId="5A23ED7D" w14:textId="77777777" w:rsidR="00847DBD" w:rsidRPr="00DD3191" w:rsidRDefault="00847DBD" w:rsidP="00E81DBB">
            <w:pPr>
              <w:spacing w:before="0" w:after="0"/>
              <w:jc w:val="right"/>
              <w:rPr>
                <w:rFonts w:eastAsia="Times New Roman" w:cs="Times New Roman"/>
                <w:color w:val="000000"/>
                <w:sz w:val="20"/>
                <w:szCs w:val="20"/>
                <w:lang w:val="sr-Latn-RS" w:eastAsia="sr-Latn-RS"/>
              </w:rPr>
            </w:pPr>
            <w:r w:rsidRPr="00DD3191">
              <w:rPr>
                <w:sz w:val="20"/>
                <w:szCs w:val="20"/>
              </w:rPr>
              <w:t>144</w:t>
            </w:r>
          </w:p>
        </w:tc>
        <w:tc>
          <w:tcPr>
            <w:tcW w:w="1122" w:type="pct"/>
            <w:shd w:val="clear" w:color="auto" w:fill="auto"/>
            <w:noWrap/>
            <w:vAlign w:val="center"/>
            <w:hideMark/>
          </w:tcPr>
          <w:p w14:paraId="2F5ACB19" w14:textId="77777777" w:rsidR="00847DBD" w:rsidRPr="00DD3191" w:rsidRDefault="00847DBD" w:rsidP="00E81DBB">
            <w:pPr>
              <w:spacing w:before="0" w:after="0"/>
              <w:jc w:val="right"/>
              <w:rPr>
                <w:rFonts w:eastAsia="Times New Roman" w:cs="Times New Roman"/>
                <w:color w:val="000000"/>
                <w:sz w:val="20"/>
                <w:szCs w:val="20"/>
                <w:lang w:val="sr-Latn-RS" w:eastAsia="sr-Latn-RS"/>
              </w:rPr>
            </w:pPr>
            <w:r w:rsidRPr="00DD3191">
              <w:rPr>
                <w:sz w:val="20"/>
                <w:szCs w:val="20"/>
              </w:rPr>
              <w:t>4</w:t>
            </w:r>
          </w:p>
        </w:tc>
        <w:tc>
          <w:tcPr>
            <w:tcW w:w="1029" w:type="pct"/>
            <w:shd w:val="clear" w:color="auto" w:fill="auto"/>
            <w:noWrap/>
            <w:vAlign w:val="center"/>
            <w:hideMark/>
          </w:tcPr>
          <w:p w14:paraId="492E4D22" w14:textId="77777777" w:rsidR="00847DBD" w:rsidRPr="00DD3191" w:rsidRDefault="00847DBD" w:rsidP="00E81DBB">
            <w:pPr>
              <w:spacing w:before="0" w:after="0"/>
              <w:jc w:val="right"/>
              <w:rPr>
                <w:rFonts w:eastAsia="Times New Roman" w:cs="Times New Roman"/>
                <w:color w:val="000000"/>
                <w:sz w:val="20"/>
                <w:szCs w:val="20"/>
                <w:lang w:val="sr-Latn-RS" w:eastAsia="sr-Latn-RS"/>
              </w:rPr>
            </w:pPr>
            <w:r w:rsidRPr="00DD3191">
              <w:rPr>
                <w:sz w:val="20"/>
                <w:szCs w:val="20"/>
              </w:rPr>
              <w:t>97.3%</w:t>
            </w:r>
          </w:p>
        </w:tc>
      </w:tr>
      <w:tr w:rsidR="00847DBD" w:rsidRPr="00DD3191" w14:paraId="7AB9480C" w14:textId="77777777" w:rsidTr="00E81DBB">
        <w:trPr>
          <w:trHeight w:val="255"/>
        </w:trPr>
        <w:tc>
          <w:tcPr>
            <w:tcW w:w="1820" w:type="pct"/>
            <w:shd w:val="clear" w:color="auto" w:fill="auto"/>
            <w:noWrap/>
            <w:vAlign w:val="center"/>
            <w:hideMark/>
          </w:tcPr>
          <w:p w14:paraId="2F9940EB" w14:textId="77777777" w:rsidR="00847DBD" w:rsidRPr="00DD3191" w:rsidRDefault="00847DBD" w:rsidP="00E81DBB">
            <w:pPr>
              <w:spacing w:before="0" w:after="0"/>
              <w:jc w:val="left"/>
              <w:rPr>
                <w:rFonts w:eastAsia="Times New Roman" w:cs="Times New Roman"/>
                <w:color w:val="000000"/>
                <w:sz w:val="20"/>
                <w:szCs w:val="20"/>
                <w:lang w:val="sr-Latn-RS" w:eastAsia="sr-Latn-RS"/>
              </w:rPr>
            </w:pPr>
            <w:r w:rsidRPr="00DD3191">
              <w:rPr>
                <w:rFonts w:eastAsia="Times New Roman" w:cs="Times New Roman"/>
                <w:color w:val="000000"/>
                <w:sz w:val="20"/>
                <w:szCs w:val="20"/>
                <w:lang w:val="sr-Latn-RS" w:eastAsia="sr-Latn-RS"/>
              </w:rPr>
              <w:t>Quasi-fault</w:t>
            </w:r>
          </w:p>
        </w:tc>
        <w:tc>
          <w:tcPr>
            <w:tcW w:w="1029" w:type="pct"/>
            <w:shd w:val="clear" w:color="auto" w:fill="auto"/>
            <w:noWrap/>
            <w:vAlign w:val="center"/>
            <w:hideMark/>
          </w:tcPr>
          <w:p w14:paraId="255C3603" w14:textId="77777777" w:rsidR="00847DBD" w:rsidRPr="00DD3191" w:rsidRDefault="00847DBD" w:rsidP="00E81DBB">
            <w:pPr>
              <w:spacing w:before="0" w:after="0"/>
              <w:jc w:val="right"/>
              <w:rPr>
                <w:rFonts w:eastAsia="Times New Roman" w:cs="Times New Roman"/>
                <w:color w:val="000000"/>
                <w:sz w:val="20"/>
                <w:szCs w:val="20"/>
                <w:lang w:val="sr-Latn-RS" w:eastAsia="sr-Latn-RS"/>
              </w:rPr>
            </w:pPr>
            <w:r w:rsidRPr="00DD3191">
              <w:rPr>
                <w:sz w:val="20"/>
                <w:szCs w:val="20"/>
              </w:rPr>
              <w:t>3</w:t>
            </w:r>
          </w:p>
        </w:tc>
        <w:tc>
          <w:tcPr>
            <w:tcW w:w="1122" w:type="pct"/>
            <w:shd w:val="clear" w:color="auto" w:fill="auto"/>
            <w:noWrap/>
            <w:vAlign w:val="center"/>
            <w:hideMark/>
          </w:tcPr>
          <w:p w14:paraId="5D90E53C" w14:textId="77777777" w:rsidR="00847DBD" w:rsidRPr="00DD3191" w:rsidRDefault="00847DBD" w:rsidP="00E81DBB">
            <w:pPr>
              <w:spacing w:before="0" w:after="0"/>
              <w:jc w:val="right"/>
              <w:rPr>
                <w:rFonts w:eastAsia="Times New Roman" w:cs="Times New Roman"/>
                <w:color w:val="000000"/>
                <w:sz w:val="20"/>
                <w:szCs w:val="20"/>
                <w:lang w:val="sr-Latn-RS" w:eastAsia="sr-Latn-RS"/>
              </w:rPr>
            </w:pPr>
            <w:r w:rsidRPr="00DD3191">
              <w:rPr>
                <w:sz w:val="20"/>
                <w:szCs w:val="20"/>
              </w:rPr>
              <w:t>81</w:t>
            </w:r>
          </w:p>
        </w:tc>
        <w:tc>
          <w:tcPr>
            <w:tcW w:w="1029" w:type="pct"/>
            <w:shd w:val="clear" w:color="auto" w:fill="auto"/>
            <w:noWrap/>
            <w:vAlign w:val="center"/>
            <w:hideMark/>
          </w:tcPr>
          <w:p w14:paraId="1AB707F7" w14:textId="77777777" w:rsidR="00847DBD" w:rsidRPr="00DD3191" w:rsidRDefault="00847DBD" w:rsidP="00E81DBB">
            <w:pPr>
              <w:spacing w:before="0" w:after="0"/>
              <w:jc w:val="right"/>
              <w:rPr>
                <w:rFonts w:eastAsia="Times New Roman" w:cs="Times New Roman"/>
                <w:color w:val="000000"/>
                <w:sz w:val="20"/>
                <w:szCs w:val="20"/>
                <w:lang w:val="sr-Latn-RS" w:eastAsia="sr-Latn-RS"/>
              </w:rPr>
            </w:pPr>
            <w:r w:rsidRPr="00DD3191">
              <w:rPr>
                <w:sz w:val="20"/>
                <w:szCs w:val="20"/>
              </w:rPr>
              <w:t>96.4%</w:t>
            </w:r>
          </w:p>
        </w:tc>
      </w:tr>
      <w:tr w:rsidR="00847DBD" w:rsidRPr="00DD3191" w14:paraId="0BB14E85" w14:textId="77777777" w:rsidTr="00E81DBB">
        <w:trPr>
          <w:trHeight w:val="80"/>
        </w:trPr>
        <w:tc>
          <w:tcPr>
            <w:tcW w:w="1820" w:type="pct"/>
            <w:shd w:val="clear" w:color="auto" w:fill="auto"/>
            <w:noWrap/>
            <w:vAlign w:val="center"/>
            <w:hideMark/>
          </w:tcPr>
          <w:p w14:paraId="310DF2D7" w14:textId="77777777" w:rsidR="00847DBD" w:rsidRPr="00DD3191" w:rsidRDefault="00847DBD" w:rsidP="00E81DBB">
            <w:pPr>
              <w:spacing w:before="0" w:after="0"/>
              <w:jc w:val="left"/>
              <w:rPr>
                <w:rFonts w:eastAsia="Times New Roman" w:cs="Times New Roman"/>
                <w:color w:val="000000"/>
                <w:sz w:val="20"/>
                <w:szCs w:val="20"/>
                <w:lang w:val="sr-Latn-RS" w:eastAsia="sr-Latn-RS"/>
              </w:rPr>
            </w:pPr>
            <w:r w:rsidRPr="00DD3191">
              <w:rPr>
                <w:rFonts w:eastAsia="Times New Roman" w:cs="Times New Roman"/>
                <w:color w:val="000000"/>
                <w:sz w:val="20"/>
                <w:szCs w:val="20"/>
                <w:lang w:val="sr-Latn-RS" w:eastAsia="sr-Latn-RS"/>
              </w:rPr>
              <w:t>Overall testing percentage</w:t>
            </w:r>
          </w:p>
        </w:tc>
        <w:tc>
          <w:tcPr>
            <w:tcW w:w="1029" w:type="pct"/>
            <w:shd w:val="clear" w:color="auto" w:fill="auto"/>
            <w:noWrap/>
            <w:vAlign w:val="center"/>
            <w:hideMark/>
          </w:tcPr>
          <w:p w14:paraId="7F29ECF5" w14:textId="77777777" w:rsidR="00847DBD" w:rsidRPr="00DD3191" w:rsidRDefault="00847DBD" w:rsidP="00E81DBB">
            <w:pPr>
              <w:spacing w:before="0" w:after="0"/>
              <w:jc w:val="right"/>
              <w:rPr>
                <w:rFonts w:eastAsia="Times New Roman" w:cs="Times New Roman"/>
                <w:color w:val="000000"/>
                <w:sz w:val="20"/>
                <w:szCs w:val="20"/>
                <w:lang w:val="sr-Latn-RS" w:eastAsia="sr-Latn-RS"/>
              </w:rPr>
            </w:pPr>
            <w:r w:rsidRPr="00DD3191">
              <w:rPr>
                <w:sz w:val="20"/>
                <w:szCs w:val="20"/>
              </w:rPr>
              <w:t>63.4%</w:t>
            </w:r>
          </w:p>
        </w:tc>
        <w:tc>
          <w:tcPr>
            <w:tcW w:w="1122" w:type="pct"/>
            <w:shd w:val="clear" w:color="auto" w:fill="auto"/>
            <w:noWrap/>
            <w:vAlign w:val="center"/>
            <w:hideMark/>
          </w:tcPr>
          <w:p w14:paraId="06745E74" w14:textId="77777777" w:rsidR="00847DBD" w:rsidRPr="00DD3191" w:rsidRDefault="00847DBD" w:rsidP="00E81DBB">
            <w:pPr>
              <w:spacing w:before="0" w:after="0"/>
              <w:jc w:val="right"/>
              <w:rPr>
                <w:rFonts w:eastAsia="Times New Roman" w:cs="Times New Roman"/>
                <w:color w:val="000000"/>
                <w:sz w:val="20"/>
                <w:szCs w:val="20"/>
                <w:lang w:val="sr-Latn-RS" w:eastAsia="sr-Latn-RS"/>
              </w:rPr>
            </w:pPr>
            <w:r w:rsidRPr="00DD3191">
              <w:rPr>
                <w:sz w:val="20"/>
                <w:szCs w:val="20"/>
              </w:rPr>
              <w:t>36.6%</w:t>
            </w:r>
          </w:p>
        </w:tc>
        <w:tc>
          <w:tcPr>
            <w:tcW w:w="1029" w:type="pct"/>
            <w:shd w:val="clear" w:color="auto" w:fill="auto"/>
            <w:noWrap/>
            <w:vAlign w:val="center"/>
            <w:hideMark/>
          </w:tcPr>
          <w:p w14:paraId="39584DE6" w14:textId="77777777" w:rsidR="00847DBD" w:rsidRPr="00DD3191" w:rsidRDefault="00847DBD" w:rsidP="00E81DBB">
            <w:pPr>
              <w:spacing w:before="0" w:after="0"/>
              <w:jc w:val="right"/>
              <w:rPr>
                <w:rFonts w:eastAsia="Times New Roman" w:cs="Times New Roman"/>
                <w:b/>
                <w:bCs/>
                <w:color w:val="000000"/>
                <w:sz w:val="20"/>
                <w:szCs w:val="20"/>
                <w:lang w:val="sr-Latn-RS" w:eastAsia="sr-Latn-RS"/>
              </w:rPr>
            </w:pPr>
            <w:r w:rsidRPr="00DD3191">
              <w:rPr>
                <w:b/>
                <w:bCs/>
                <w:sz w:val="20"/>
                <w:szCs w:val="20"/>
              </w:rPr>
              <w:t>97.0%</w:t>
            </w:r>
          </w:p>
        </w:tc>
      </w:tr>
    </w:tbl>
    <w:p w14:paraId="5F2094AC" w14:textId="62F5A449" w:rsidR="00EC317E" w:rsidRDefault="00EC317E" w:rsidP="00EC317E">
      <w:pPr>
        <w:pStyle w:val="Heading3"/>
        <w:rPr>
          <w:lang w:val="sr-Latn-RS"/>
        </w:rPr>
      </w:pPr>
      <w:bookmarkStart w:id="711" w:name="_Toc101274416"/>
      <w:r>
        <w:rPr>
          <w:lang w:val="sr-Latn-RS"/>
        </w:rPr>
        <w:lastRenderedPageBreak/>
        <w:t>k</w:t>
      </w:r>
      <w:r w:rsidR="00F37CA7">
        <w:rPr>
          <w:lang w:val="sr-Latn-RS"/>
        </w:rPr>
        <w:t>-</w:t>
      </w:r>
      <w:r>
        <w:rPr>
          <w:lang w:val="sr-Latn-RS"/>
        </w:rPr>
        <w:t>NN classification algorithm for closing saddle position</w:t>
      </w:r>
      <w:bookmarkEnd w:id="711"/>
    </w:p>
    <w:p w14:paraId="01357E06" w14:textId="47E275CF" w:rsidR="00EC317E" w:rsidRPr="00345CBC" w:rsidRDefault="00F37CA7" w:rsidP="00EC317E">
      <w:r>
        <w:rPr>
          <w:lang w:val="sr-Latn-RS"/>
        </w:rPr>
        <w:t>I</w:t>
      </w:r>
      <w:r w:rsidR="000F4AB6">
        <w:rPr>
          <w:lang w:val="sr-Latn-RS"/>
        </w:rPr>
        <w:t>t can be seen that N_IQR_CS, Load_kg_n, N_RMS_CS and N_Mean_CS values are the most important ones</w:t>
      </w:r>
      <w:r w:rsidR="00DD3191">
        <w:rPr>
          <w:lang w:val="sr-Latn-RS"/>
        </w:rPr>
        <w:t xml:space="preserve"> and</w:t>
      </w:r>
      <w:r w:rsidR="00CD2439">
        <w:rPr>
          <w:lang w:val="sr-Latn-RS"/>
        </w:rPr>
        <w:t>,</w:t>
      </w:r>
      <w:r w:rsidR="00DD3191">
        <w:rPr>
          <w:lang w:val="sr-Latn-RS"/>
        </w:rPr>
        <w:t xml:space="preserve"> as such</w:t>
      </w:r>
      <w:r w:rsidR="00CD2439">
        <w:rPr>
          <w:lang w:val="sr-Latn-RS"/>
        </w:rPr>
        <w:t>,</w:t>
      </w:r>
      <w:r w:rsidR="00DD3191">
        <w:rPr>
          <w:lang w:val="sr-Latn-RS"/>
        </w:rPr>
        <w:t xml:space="preserve"> provides </w:t>
      </w:r>
      <w:r w:rsidR="00CD2439">
        <w:rPr>
          <w:lang w:val="sr-Latn-RS"/>
        </w:rPr>
        <w:t xml:space="preserve">the </w:t>
      </w:r>
      <w:r w:rsidR="00DD3191">
        <w:rPr>
          <w:lang w:val="sr-Latn-RS"/>
        </w:rPr>
        <w:t>most of the information for classifying in co</w:t>
      </w:r>
      <w:r w:rsidR="00CD2439">
        <w:rPr>
          <w:lang w:val="sr-Latn-RS"/>
        </w:rPr>
        <w:t>r</w:t>
      </w:r>
      <w:r w:rsidR="00DD3191">
        <w:rPr>
          <w:lang w:val="sr-Latn-RS"/>
        </w:rPr>
        <w:t>responding labels</w:t>
      </w:r>
      <w:r w:rsidR="00C7717C">
        <w:rPr>
          <w:lang w:val="sr-Latn-RS"/>
        </w:rPr>
        <w:t xml:space="preserve"> (</w:t>
      </w:r>
      <w:r w:rsidR="00C7717C">
        <w:rPr>
          <w:lang w:val="sr-Latn-RS"/>
        </w:rPr>
        <w:fldChar w:fldCharType="begin"/>
      </w:r>
      <w:r w:rsidR="00C7717C">
        <w:rPr>
          <w:lang w:val="sr-Latn-RS"/>
        </w:rPr>
        <w:instrText xml:space="preserve"> REF _Ref100223679 \h </w:instrText>
      </w:r>
      <w:r w:rsidR="00C7717C">
        <w:rPr>
          <w:lang w:val="sr-Latn-RS"/>
        </w:rPr>
      </w:r>
      <w:r w:rsidR="00C7717C">
        <w:rPr>
          <w:lang w:val="sr-Latn-RS"/>
        </w:rPr>
        <w:fldChar w:fldCharType="separate"/>
      </w:r>
      <w:r w:rsidR="00587AF0">
        <w:t xml:space="preserve">Figure </w:t>
      </w:r>
      <w:r w:rsidR="00587AF0">
        <w:rPr>
          <w:noProof/>
        </w:rPr>
        <w:t>120</w:t>
      </w:r>
      <w:r w:rsidR="00C7717C">
        <w:rPr>
          <w:lang w:val="sr-Latn-RS"/>
        </w:rPr>
        <w:fldChar w:fldCharType="end"/>
      </w:r>
      <w:r w:rsidR="00C7717C">
        <w:rPr>
          <w:lang w:val="sr-Latn-RS"/>
        </w:rPr>
        <w:t>)</w:t>
      </w:r>
      <w:r w:rsidR="00DD3191">
        <w:rPr>
          <w:lang w:val="sr-Latn-RS"/>
        </w:rPr>
        <w:t>.</w:t>
      </w:r>
      <w:r w:rsidR="00BD4ADB">
        <w:rPr>
          <w:lang w:val="sr-Latn-RS"/>
        </w:rPr>
        <w:t xml:space="preserve"> </w:t>
      </w:r>
      <w:r w:rsidR="00345CBC">
        <w:rPr>
          <w:lang w:val="sr-Latn-RS"/>
        </w:rPr>
        <w:t>Finally,</w:t>
      </w:r>
      <w:r w:rsidR="00345CBC">
        <w:t xml:space="preserve"> performing classification of </w:t>
      </w:r>
      <w:r w:rsidR="00CD2439">
        <w:t xml:space="preserve">a </w:t>
      </w:r>
      <w:r w:rsidR="00345CBC">
        <w:t xml:space="preserve">dataset at </w:t>
      </w:r>
      <w:r w:rsidR="00CD2439">
        <w:t xml:space="preserve">the </w:t>
      </w:r>
      <w:r w:rsidR="00345CBC">
        <w:t>closing saddle position</w:t>
      </w:r>
      <w:r w:rsidR="00CD2439">
        <w:t xml:space="preserve"> shows</w:t>
      </w:r>
      <w:r w:rsidR="00345CBC">
        <w:t xml:space="preserve"> good prediction properties on the training data</w:t>
      </w:r>
      <w:r w:rsidR="00CD2439">
        <w:t>;</w:t>
      </w:r>
      <w:r w:rsidR="00345CBC">
        <w:t xml:space="preserve"> however, when </w:t>
      </w:r>
      <w:r w:rsidR="000F4AB6">
        <w:t>kNN was performed</w:t>
      </w:r>
      <w:r w:rsidR="00345CBC">
        <w:t xml:space="preserve"> on testing data</w:t>
      </w:r>
      <w:r w:rsidR="00CD2439">
        <w:t>,</w:t>
      </w:r>
      <w:r w:rsidR="00345CBC">
        <w:t xml:space="preserve"> </w:t>
      </w:r>
      <w:r w:rsidR="00CD2439">
        <w:t xml:space="preserve">a </w:t>
      </w:r>
      <w:r w:rsidR="00345CBC">
        <w:t xml:space="preserve">significant reduction </w:t>
      </w:r>
      <w:r w:rsidR="000F4AB6">
        <w:t>in accuracy was noticed (</w:t>
      </w:r>
      <w:r w:rsidR="000F4AB6">
        <w:fldChar w:fldCharType="begin"/>
      </w:r>
      <w:r w:rsidR="000F4AB6">
        <w:instrText xml:space="preserve"> REF _Ref99449233 \h </w:instrText>
      </w:r>
      <w:r w:rsidR="000F4AB6">
        <w:fldChar w:fldCharType="separate"/>
      </w:r>
      <w:r w:rsidR="00587AF0">
        <w:t xml:space="preserve">Table </w:t>
      </w:r>
      <w:r w:rsidR="00587AF0">
        <w:rPr>
          <w:noProof/>
        </w:rPr>
        <w:t>73</w:t>
      </w:r>
      <w:r w:rsidR="000F4AB6">
        <w:fldChar w:fldCharType="end"/>
      </w:r>
      <w:r w:rsidR="000F4AB6">
        <w:t>).</w:t>
      </w:r>
      <w:r w:rsidR="00345CBC">
        <w:t xml:space="preserve"> </w:t>
      </w:r>
      <w:r w:rsidR="000F4AB6">
        <w:t xml:space="preserve">Although data show </w:t>
      </w:r>
      <w:r w:rsidR="00CD2439">
        <w:t xml:space="preserve">a </w:t>
      </w:r>
      <w:r w:rsidR="000F4AB6">
        <w:t xml:space="preserve">somewhat moderate prediction of </w:t>
      </w:r>
      <w:r w:rsidR="00CD2439">
        <w:t xml:space="preserve">the </w:t>
      </w:r>
      <w:r w:rsidR="000F4AB6">
        <w:t xml:space="preserve">“None” label, the data is prone to underfitting since </w:t>
      </w:r>
      <w:r w:rsidR="00CD2439">
        <w:t xml:space="preserve">the </w:t>
      </w:r>
      <w:r w:rsidR="000F4AB6">
        <w:t xml:space="preserve">proportion of samples </w:t>
      </w:r>
      <w:r w:rsidR="00CD2439">
        <w:t>is</w:t>
      </w:r>
      <w:r w:rsidR="000F4AB6">
        <w:t xml:space="preserve"> relatively small for training and testing at </w:t>
      </w:r>
      <w:r w:rsidR="00CD2439">
        <w:t xml:space="preserve">the </w:t>
      </w:r>
      <w:r w:rsidR="000F4AB6">
        <w:t>closing saddle position, which could be further improved and compared in the analysis.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8"/>
        <w:gridCol w:w="4479"/>
      </w:tblGrid>
      <w:tr w:rsidR="003A68D6" w14:paraId="0CAB0CB3" w14:textId="77777777" w:rsidTr="006D3796">
        <w:tc>
          <w:tcPr>
            <w:tcW w:w="4548" w:type="dxa"/>
          </w:tcPr>
          <w:p w14:paraId="2553388E" w14:textId="7CFE25DE" w:rsidR="00EF037C" w:rsidRDefault="00866C41" w:rsidP="005C6FC8">
            <w:pPr>
              <w:autoSpaceDE w:val="0"/>
              <w:autoSpaceDN w:val="0"/>
              <w:adjustRightInd w:val="0"/>
              <w:spacing w:before="0" w:after="0"/>
              <w:jc w:val="left"/>
              <w:rPr>
                <w:rFonts w:ascii="Times New Roman" w:hAnsi="Times New Roman" w:cs="Times New Roman"/>
                <w:szCs w:val="24"/>
                <w:lang w:val="sr-Latn-RS"/>
              </w:rPr>
            </w:pPr>
            <w:r>
              <w:rPr>
                <w:rFonts w:ascii="Times New Roman" w:hAnsi="Times New Roman" w:cs="Times New Roman"/>
                <w:szCs w:val="24"/>
                <w:lang w:val="sr-Latn-RS"/>
              </w:rPr>
              <w:br w:type="page"/>
            </w:r>
            <w:r w:rsidR="00B56405">
              <w:rPr>
                <w:rFonts w:ascii="Times New Roman" w:hAnsi="Times New Roman" w:cs="Times New Roman"/>
                <w:noProof/>
                <w:szCs w:val="24"/>
                <w:lang w:val="sr-Latn-RS"/>
              </w:rPr>
              <w:drawing>
                <wp:inline distT="0" distB="0" distL="0" distR="0" wp14:anchorId="7C01F5FE" wp14:editId="02D7822B">
                  <wp:extent cx="2826588" cy="2520000"/>
                  <wp:effectExtent l="0" t="0" r="0" b="0"/>
                  <wp:docPr id="152" name="Picture 15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Chart, scatter chart&#10;&#10;Description automatically generated"/>
                          <pic:cNvPicPr>
                            <a:picLocks noChangeAspect="1" noChangeArrowheads="1"/>
                          </pic:cNvPicPr>
                        </pic:nvPicPr>
                        <pic:blipFill rotWithShape="1">
                          <a:blip r:embed="rId163">
                            <a:extLst>
                              <a:ext uri="{28A0092B-C50C-407E-A947-70E740481C1C}">
                                <a14:useLocalDpi xmlns:a14="http://schemas.microsoft.com/office/drawing/2010/main" val="0"/>
                              </a:ext>
                            </a:extLst>
                          </a:blip>
                          <a:srcRect l="11465" t="20224" r="25723" b="18924"/>
                          <a:stretch/>
                        </pic:blipFill>
                        <pic:spPr bwMode="auto">
                          <a:xfrm>
                            <a:off x="0" y="0"/>
                            <a:ext cx="2826588"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79" w:type="dxa"/>
          </w:tcPr>
          <w:p w14:paraId="04AD6FEA" w14:textId="5302CBCF" w:rsidR="00EF037C" w:rsidRDefault="006D3796" w:rsidP="005C6FC8">
            <w:pPr>
              <w:autoSpaceDE w:val="0"/>
              <w:autoSpaceDN w:val="0"/>
              <w:adjustRightInd w:val="0"/>
              <w:spacing w:before="0" w:after="0"/>
              <w:jc w:val="center"/>
              <w:rPr>
                <w:rFonts w:ascii="Times New Roman" w:hAnsi="Times New Roman" w:cs="Times New Roman"/>
                <w:szCs w:val="24"/>
                <w:lang w:val="sr-Latn-RS"/>
              </w:rPr>
            </w:pPr>
            <w:r>
              <w:rPr>
                <w:rFonts w:ascii="Times New Roman" w:hAnsi="Times New Roman" w:cs="Times New Roman"/>
                <w:noProof/>
                <w:szCs w:val="24"/>
                <w:lang w:val="sr-Latn-RS"/>
              </w:rPr>
              <w:drawing>
                <wp:inline distT="0" distB="0" distL="0" distR="0" wp14:anchorId="2D51A575" wp14:editId="20A97008">
                  <wp:extent cx="2772722" cy="2520000"/>
                  <wp:effectExtent l="0" t="0" r="889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64">
                            <a:extLst>
                              <a:ext uri="{28A0092B-C50C-407E-A947-70E740481C1C}">
                                <a14:useLocalDpi xmlns:a14="http://schemas.microsoft.com/office/drawing/2010/main" val="0"/>
                              </a:ext>
                            </a:extLst>
                          </a:blip>
                          <a:srcRect l="10467" t="19340" r="25724" b="19851"/>
                          <a:stretch/>
                        </pic:blipFill>
                        <pic:spPr bwMode="auto">
                          <a:xfrm>
                            <a:off x="0" y="0"/>
                            <a:ext cx="2772722"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A68D6" w14:paraId="102473D4" w14:textId="77777777" w:rsidTr="006D3796">
        <w:tc>
          <w:tcPr>
            <w:tcW w:w="4548" w:type="dxa"/>
          </w:tcPr>
          <w:p w14:paraId="1912D458" w14:textId="4C2FB48C" w:rsidR="00EF037C" w:rsidRDefault="00C43DDA" w:rsidP="005C6FC8">
            <w:pPr>
              <w:autoSpaceDE w:val="0"/>
              <w:autoSpaceDN w:val="0"/>
              <w:adjustRightInd w:val="0"/>
              <w:spacing w:before="0" w:after="0"/>
              <w:jc w:val="left"/>
              <w:rPr>
                <w:rFonts w:ascii="Times New Roman" w:hAnsi="Times New Roman" w:cs="Times New Roman"/>
                <w:szCs w:val="24"/>
                <w:lang w:val="sr-Latn-RS"/>
              </w:rPr>
            </w:pPr>
            <w:r>
              <w:rPr>
                <w:rFonts w:ascii="Times New Roman" w:hAnsi="Times New Roman" w:cs="Times New Roman"/>
                <w:noProof/>
                <w:szCs w:val="24"/>
                <w:lang w:val="sr-Latn-RS"/>
              </w:rPr>
              <w:drawing>
                <wp:inline distT="0" distB="0" distL="0" distR="0" wp14:anchorId="5D2E304E" wp14:editId="1F3BB688">
                  <wp:extent cx="2761437" cy="2520000"/>
                  <wp:effectExtent l="0" t="0" r="1270" b="0"/>
                  <wp:docPr id="154" name="Picture 15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Chart, scatter chart&#10;&#10;Description automatically generated"/>
                          <pic:cNvPicPr>
                            <a:picLocks noChangeAspect="1" noChangeArrowheads="1"/>
                          </pic:cNvPicPr>
                        </pic:nvPicPr>
                        <pic:blipFill rotWithShape="1">
                          <a:blip r:embed="rId165">
                            <a:extLst>
                              <a:ext uri="{28A0092B-C50C-407E-A947-70E740481C1C}">
                                <a14:useLocalDpi xmlns:a14="http://schemas.microsoft.com/office/drawing/2010/main" val="0"/>
                              </a:ext>
                            </a:extLst>
                          </a:blip>
                          <a:srcRect l="12297" t="19863" r="26886" b="19827"/>
                          <a:stretch/>
                        </pic:blipFill>
                        <pic:spPr bwMode="auto">
                          <a:xfrm>
                            <a:off x="0" y="0"/>
                            <a:ext cx="2761437"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79" w:type="dxa"/>
          </w:tcPr>
          <w:p w14:paraId="0268F8FB" w14:textId="6196D7A2" w:rsidR="00EF037C" w:rsidRDefault="006B2EDB" w:rsidP="005C6FC8">
            <w:pPr>
              <w:autoSpaceDE w:val="0"/>
              <w:autoSpaceDN w:val="0"/>
              <w:adjustRightInd w:val="0"/>
              <w:spacing w:before="0" w:after="0"/>
              <w:jc w:val="left"/>
              <w:rPr>
                <w:rFonts w:ascii="Times New Roman" w:hAnsi="Times New Roman" w:cs="Times New Roman"/>
                <w:szCs w:val="24"/>
                <w:lang w:val="sr-Latn-RS"/>
              </w:rPr>
            </w:pPr>
            <w:r>
              <w:rPr>
                <w:rFonts w:ascii="Times New Roman" w:hAnsi="Times New Roman" w:cs="Times New Roman"/>
                <w:noProof/>
                <w:szCs w:val="24"/>
                <w:lang w:val="sr-Latn-RS"/>
              </w:rPr>
              <w:drawing>
                <wp:inline distT="0" distB="0" distL="0" distR="0" wp14:anchorId="72DB4102" wp14:editId="50D63ECB">
                  <wp:extent cx="2753194" cy="2520000"/>
                  <wp:effectExtent l="0" t="0" r="9525" b="0"/>
                  <wp:docPr id="155" name="Picture 15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Chart, scatter chart&#10;&#10;Description automatically generated"/>
                          <pic:cNvPicPr>
                            <a:picLocks noChangeAspect="1" noChangeArrowheads="1"/>
                          </pic:cNvPicPr>
                        </pic:nvPicPr>
                        <pic:blipFill rotWithShape="1">
                          <a:blip r:embed="rId166">
                            <a:extLst>
                              <a:ext uri="{28A0092B-C50C-407E-A947-70E740481C1C}">
                                <a14:useLocalDpi xmlns:a14="http://schemas.microsoft.com/office/drawing/2010/main" val="0"/>
                              </a:ext>
                            </a:extLst>
                          </a:blip>
                          <a:srcRect l="11799" t="19321" r="27384" b="20187"/>
                          <a:stretch/>
                        </pic:blipFill>
                        <pic:spPr bwMode="auto">
                          <a:xfrm>
                            <a:off x="0" y="0"/>
                            <a:ext cx="2753194"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3AF7522" w14:textId="323AB22C" w:rsidR="00EF037C" w:rsidRDefault="006B2EDB" w:rsidP="006B2EDB">
      <w:pPr>
        <w:pStyle w:val="Caption"/>
      </w:pPr>
      <w:bookmarkStart w:id="712" w:name="_Ref100223679"/>
      <w:bookmarkStart w:id="713" w:name="_Toc101274642"/>
      <w:r>
        <w:t xml:space="preserve">Figure </w:t>
      </w:r>
      <w:fldSimple w:instr=" SEQ Figure \* ARABIC ">
        <w:r w:rsidR="00587AF0">
          <w:rPr>
            <w:noProof/>
          </w:rPr>
          <w:t>120</w:t>
        </w:r>
      </w:fldSimple>
      <w:bookmarkEnd w:id="712"/>
      <w:r>
        <w:t>.</w:t>
      </w:r>
      <w:r w:rsidRPr="006B2EDB">
        <w:t xml:space="preserve"> </w:t>
      </w:r>
      <w:r w:rsidR="00B438F8" w:rsidRPr="00B438F8">
        <w:t xml:space="preserve">kNN Lower-dimensional projections of predictors </w:t>
      </w:r>
      <w:r w:rsidR="00B438F8">
        <w:t>at closing</w:t>
      </w:r>
      <w:r w:rsidR="00B438F8" w:rsidRPr="00B438F8">
        <w:t xml:space="preserve"> saddle position</w:t>
      </w:r>
      <w:bookmarkEnd w:id="713"/>
    </w:p>
    <w:p w14:paraId="0C6D5D0B" w14:textId="77777777" w:rsidR="00F37CA7" w:rsidRPr="00F37CA7" w:rsidRDefault="00F37CA7" w:rsidP="00F37CA7"/>
    <w:p w14:paraId="1754EFE3" w14:textId="387FE4D6" w:rsidR="00847DBD" w:rsidRDefault="00847DBD" w:rsidP="00847DBD">
      <w:pPr>
        <w:pStyle w:val="Caption"/>
        <w:jc w:val="both"/>
        <w:rPr>
          <w:lang w:val="sr-Latn-RS"/>
        </w:rPr>
      </w:pPr>
      <w:bookmarkStart w:id="714" w:name="_Ref99449233"/>
      <w:bookmarkStart w:id="715" w:name="_Toc101274513"/>
      <w:r>
        <w:t xml:space="preserve">Table </w:t>
      </w:r>
      <w:fldSimple w:instr=" SEQ Table \* ARABIC ">
        <w:r w:rsidR="00587AF0">
          <w:rPr>
            <w:noProof/>
          </w:rPr>
          <w:t>73</w:t>
        </w:r>
      </w:fldSimple>
      <w:bookmarkEnd w:id="714"/>
      <w:r>
        <w:t>. kNN classification matrix score for closing saddle position</w:t>
      </w:r>
      <w:bookmarkEnd w:id="715"/>
    </w:p>
    <w:tbl>
      <w:tblPr>
        <w:tblW w:w="5000" w:type="pct"/>
        <w:tblBorders>
          <w:top w:val="single" w:sz="4" w:space="0" w:color="auto"/>
          <w:bottom w:val="single" w:sz="4" w:space="0" w:color="auto"/>
        </w:tblBorders>
        <w:tblLook w:val="04A0" w:firstRow="1" w:lastRow="0" w:firstColumn="1" w:lastColumn="0" w:noHBand="0" w:noVBand="1"/>
      </w:tblPr>
      <w:tblGrid>
        <w:gridCol w:w="2935"/>
        <w:gridCol w:w="1394"/>
        <w:gridCol w:w="2367"/>
        <w:gridCol w:w="2331"/>
      </w:tblGrid>
      <w:tr w:rsidR="00847DBD" w:rsidRPr="007B7C4A" w14:paraId="4907FE3B" w14:textId="77777777" w:rsidTr="00E81DBB">
        <w:trPr>
          <w:trHeight w:val="255"/>
        </w:trPr>
        <w:tc>
          <w:tcPr>
            <w:tcW w:w="1626" w:type="pct"/>
            <w:tcBorders>
              <w:top w:val="single" w:sz="4" w:space="0" w:color="auto"/>
              <w:bottom w:val="single" w:sz="4" w:space="0" w:color="auto"/>
            </w:tcBorders>
            <w:shd w:val="clear" w:color="auto" w:fill="auto"/>
            <w:noWrap/>
            <w:vAlign w:val="center"/>
            <w:hideMark/>
          </w:tcPr>
          <w:p w14:paraId="30839715" w14:textId="77777777" w:rsidR="00847DBD" w:rsidRPr="009118DC" w:rsidRDefault="00847DBD" w:rsidP="00E81DBB">
            <w:pPr>
              <w:spacing w:before="0" w:after="0"/>
              <w:jc w:val="left"/>
              <w:rPr>
                <w:rFonts w:eastAsia="Times New Roman" w:cs="Times New Roman"/>
                <w:b/>
                <w:bCs/>
                <w:color w:val="000000"/>
                <w:sz w:val="20"/>
                <w:szCs w:val="20"/>
                <w:lang w:val="sr-Latn-RS" w:eastAsia="sr-Latn-RS"/>
              </w:rPr>
            </w:pPr>
            <w:r w:rsidRPr="009118DC">
              <w:rPr>
                <w:rFonts w:eastAsia="Times New Roman" w:cs="Times New Roman"/>
                <w:b/>
                <w:bCs/>
                <w:color w:val="000000"/>
                <w:sz w:val="20"/>
                <w:szCs w:val="20"/>
                <w:lang w:val="sr-Latn-RS" w:eastAsia="sr-Latn-RS"/>
              </w:rPr>
              <w:t>Properties</w:t>
            </w:r>
          </w:p>
        </w:tc>
        <w:tc>
          <w:tcPr>
            <w:tcW w:w="772" w:type="pct"/>
            <w:tcBorders>
              <w:top w:val="single" w:sz="4" w:space="0" w:color="auto"/>
              <w:bottom w:val="single" w:sz="4" w:space="0" w:color="auto"/>
            </w:tcBorders>
            <w:shd w:val="clear" w:color="auto" w:fill="auto"/>
            <w:noWrap/>
            <w:vAlign w:val="center"/>
            <w:hideMark/>
          </w:tcPr>
          <w:p w14:paraId="4347BC46" w14:textId="77777777" w:rsidR="00847DBD" w:rsidRPr="009118DC" w:rsidRDefault="00847DBD" w:rsidP="00E81DBB">
            <w:pPr>
              <w:spacing w:before="0" w:after="0"/>
              <w:jc w:val="center"/>
              <w:rPr>
                <w:rFonts w:eastAsia="Times New Roman" w:cs="Times New Roman"/>
                <w:b/>
                <w:bCs/>
                <w:color w:val="000000"/>
                <w:sz w:val="20"/>
                <w:szCs w:val="20"/>
                <w:lang w:val="sr-Latn-RS" w:eastAsia="sr-Latn-RS"/>
              </w:rPr>
            </w:pPr>
            <w:r w:rsidRPr="009118DC">
              <w:rPr>
                <w:rFonts w:eastAsia="Times New Roman" w:cs="Times New Roman"/>
                <w:b/>
                <w:bCs/>
                <w:color w:val="000000"/>
                <w:sz w:val="20"/>
                <w:szCs w:val="20"/>
                <w:lang w:val="sr-Latn-RS" w:eastAsia="sr-Latn-RS"/>
              </w:rPr>
              <w:t>None</w:t>
            </w:r>
          </w:p>
        </w:tc>
        <w:tc>
          <w:tcPr>
            <w:tcW w:w="1311" w:type="pct"/>
            <w:tcBorders>
              <w:top w:val="single" w:sz="4" w:space="0" w:color="auto"/>
              <w:bottom w:val="single" w:sz="4" w:space="0" w:color="auto"/>
            </w:tcBorders>
            <w:shd w:val="clear" w:color="auto" w:fill="auto"/>
            <w:noWrap/>
            <w:vAlign w:val="center"/>
            <w:hideMark/>
          </w:tcPr>
          <w:p w14:paraId="320E9363" w14:textId="77777777" w:rsidR="00847DBD" w:rsidRPr="009118DC" w:rsidRDefault="00847DBD" w:rsidP="00E81DBB">
            <w:pPr>
              <w:spacing w:before="0" w:after="0"/>
              <w:jc w:val="center"/>
              <w:rPr>
                <w:rFonts w:eastAsia="Times New Roman" w:cs="Times New Roman"/>
                <w:b/>
                <w:bCs/>
                <w:color w:val="000000"/>
                <w:sz w:val="20"/>
                <w:szCs w:val="20"/>
                <w:lang w:val="sr-Latn-RS" w:eastAsia="sr-Latn-RS"/>
              </w:rPr>
            </w:pPr>
            <w:r w:rsidRPr="009118DC">
              <w:rPr>
                <w:rFonts w:eastAsia="Times New Roman" w:cs="Times New Roman"/>
                <w:b/>
                <w:bCs/>
                <w:color w:val="000000"/>
                <w:sz w:val="20"/>
                <w:szCs w:val="20"/>
                <w:lang w:val="sr-Latn-RS" w:eastAsia="sr-Latn-RS"/>
              </w:rPr>
              <w:t>Quasi-fault</w:t>
            </w:r>
          </w:p>
        </w:tc>
        <w:tc>
          <w:tcPr>
            <w:tcW w:w="1291" w:type="pct"/>
            <w:tcBorders>
              <w:top w:val="single" w:sz="4" w:space="0" w:color="auto"/>
              <w:bottom w:val="single" w:sz="4" w:space="0" w:color="auto"/>
            </w:tcBorders>
            <w:shd w:val="clear" w:color="auto" w:fill="auto"/>
            <w:noWrap/>
            <w:vAlign w:val="center"/>
            <w:hideMark/>
          </w:tcPr>
          <w:p w14:paraId="7438FB27" w14:textId="77777777" w:rsidR="00847DBD" w:rsidRPr="009118DC" w:rsidRDefault="00847DBD" w:rsidP="00E81DBB">
            <w:pPr>
              <w:spacing w:before="0" w:after="0"/>
              <w:jc w:val="center"/>
              <w:rPr>
                <w:rFonts w:eastAsia="Times New Roman" w:cs="Times New Roman"/>
                <w:b/>
                <w:bCs/>
                <w:color w:val="000000"/>
                <w:sz w:val="20"/>
                <w:szCs w:val="20"/>
                <w:lang w:val="sr-Latn-RS" w:eastAsia="sr-Latn-RS"/>
              </w:rPr>
            </w:pPr>
            <w:r w:rsidRPr="009118DC">
              <w:rPr>
                <w:rFonts w:eastAsia="Times New Roman" w:cs="Times New Roman"/>
                <w:b/>
                <w:bCs/>
                <w:color w:val="000000"/>
                <w:sz w:val="20"/>
                <w:szCs w:val="20"/>
                <w:lang w:val="sr-Latn-RS" w:eastAsia="sr-Latn-RS"/>
              </w:rPr>
              <w:t>Percent correct</w:t>
            </w:r>
          </w:p>
        </w:tc>
      </w:tr>
      <w:tr w:rsidR="00847DBD" w:rsidRPr="007B7C4A" w14:paraId="06AB80E4" w14:textId="77777777" w:rsidTr="00E81DBB">
        <w:trPr>
          <w:trHeight w:val="255"/>
        </w:trPr>
        <w:tc>
          <w:tcPr>
            <w:tcW w:w="1626" w:type="pct"/>
            <w:tcBorders>
              <w:top w:val="single" w:sz="4" w:space="0" w:color="auto"/>
            </w:tcBorders>
            <w:shd w:val="clear" w:color="auto" w:fill="auto"/>
            <w:noWrap/>
            <w:vAlign w:val="center"/>
            <w:hideMark/>
          </w:tcPr>
          <w:p w14:paraId="52B0E909" w14:textId="77777777" w:rsidR="00847DBD" w:rsidRPr="007B7C4A" w:rsidRDefault="00847DBD" w:rsidP="00E81DBB">
            <w:pPr>
              <w:spacing w:before="0" w:after="0"/>
              <w:jc w:val="left"/>
              <w:rPr>
                <w:rFonts w:eastAsia="Times New Roman" w:cs="Times New Roman"/>
                <w:color w:val="000000"/>
                <w:sz w:val="20"/>
                <w:szCs w:val="20"/>
                <w:lang w:val="sr-Latn-RS" w:eastAsia="sr-Latn-RS"/>
              </w:rPr>
            </w:pPr>
            <w:r w:rsidRPr="007B7C4A">
              <w:rPr>
                <w:rFonts w:eastAsia="Times New Roman" w:cs="Times New Roman"/>
                <w:color w:val="000000"/>
                <w:sz w:val="20"/>
                <w:szCs w:val="20"/>
                <w:lang w:val="sr-Latn-RS" w:eastAsia="sr-Latn-RS"/>
              </w:rPr>
              <w:t>None</w:t>
            </w:r>
          </w:p>
        </w:tc>
        <w:tc>
          <w:tcPr>
            <w:tcW w:w="772" w:type="pct"/>
            <w:tcBorders>
              <w:top w:val="single" w:sz="4" w:space="0" w:color="auto"/>
            </w:tcBorders>
            <w:shd w:val="clear" w:color="auto" w:fill="auto"/>
            <w:noWrap/>
            <w:vAlign w:val="center"/>
            <w:hideMark/>
          </w:tcPr>
          <w:p w14:paraId="67E8E2AC" w14:textId="77777777" w:rsidR="00847DBD" w:rsidRPr="007B7C4A" w:rsidRDefault="00847DBD" w:rsidP="00E81DBB">
            <w:pPr>
              <w:spacing w:before="0" w:after="0"/>
              <w:jc w:val="right"/>
              <w:rPr>
                <w:rFonts w:eastAsia="Times New Roman" w:cs="Times New Roman"/>
                <w:color w:val="000000"/>
                <w:sz w:val="20"/>
                <w:szCs w:val="20"/>
                <w:lang w:val="sr-Latn-RS" w:eastAsia="sr-Latn-RS"/>
              </w:rPr>
            </w:pPr>
            <w:r w:rsidRPr="009B2482">
              <w:rPr>
                <w:sz w:val="20"/>
                <w:szCs w:val="20"/>
              </w:rPr>
              <w:t>10</w:t>
            </w:r>
            <w:r>
              <w:rPr>
                <w:sz w:val="20"/>
                <w:szCs w:val="20"/>
              </w:rPr>
              <w:t>9</w:t>
            </w:r>
          </w:p>
        </w:tc>
        <w:tc>
          <w:tcPr>
            <w:tcW w:w="1311" w:type="pct"/>
            <w:tcBorders>
              <w:top w:val="single" w:sz="4" w:space="0" w:color="auto"/>
            </w:tcBorders>
            <w:shd w:val="clear" w:color="auto" w:fill="auto"/>
            <w:noWrap/>
            <w:vAlign w:val="center"/>
            <w:hideMark/>
          </w:tcPr>
          <w:p w14:paraId="6C4CC99B" w14:textId="77777777" w:rsidR="00847DBD" w:rsidRPr="007B7C4A" w:rsidRDefault="00847DBD" w:rsidP="00E81DBB">
            <w:pPr>
              <w:spacing w:before="0" w:after="0"/>
              <w:jc w:val="right"/>
              <w:rPr>
                <w:rFonts w:eastAsia="Times New Roman" w:cs="Times New Roman"/>
                <w:color w:val="000000"/>
                <w:sz w:val="20"/>
                <w:szCs w:val="20"/>
                <w:lang w:val="sr-Latn-RS" w:eastAsia="sr-Latn-RS"/>
              </w:rPr>
            </w:pPr>
            <w:r>
              <w:rPr>
                <w:sz w:val="20"/>
                <w:szCs w:val="20"/>
              </w:rPr>
              <w:t>19</w:t>
            </w:r>
          </w:p>
        </w:tc>
        <w:tc>
          <w:tcPr>
            <w:tcW w:w="1291" w:type="pct"/>
            <w:tcBorders>
              <w:top w:val="single" w:sz="4" w:space="0" w:color="auto"/>
            </w:tcBorders>
            <w:shd w:val="clear" w:color="auto" w:fill="auto"/>
            <w:noWrap/>
            <w:vAlign w:val="center"/>
            <w:hideMark/>
          </w:tcPr>
          <w:p w14:paraId="58DF3971" w14:textId="77777777" w:rsidR="00847DBD" w:rsidRPr="007B7C4A" w:rsidRDefault="00847DBD" w:rsidP="00E81DBB">
            <w:pPr>
              <w:spacing w:before="0" w:after="0"/>
              <w:jc w:val="right"/>
              <w:rPr>
                <w:rFonts w:eastAsia="Times New Roman" w:cs="Times New Roman"/>
                <w:color w:val="000000"/>
                <w:sz w:val="20"/>
                <w:szCs w:val="20"/>
                <w:lang w:val="sr-Latn-RS" w:eastAsia="sr-Latn-RS"/>
              </w:rPr>
            </w:pPr>
            <w:r w:rsidRPr="009B2482">
              <w:rPr>
                <w:sz w:val="20"/>
                <w:szCs w:val="20"/>
              </w:rPr>
              <w:t>8</w:t>
            </w:r>
            <w:r>
              <w:rPr>
                <w:sz w:val="20"/>
                <w:szCs w:val="20"/>
              </w:rPr>
              <w:t>5</w:t>
            </w:r>
            <w:r w:rsidRPr="009B2482">
              <w:rPr>
                <w:sz w:val="20"/>
                <w:szCs w:val="20"/>
              </w:rPr>
              <w:t>.</w:t>
            </w:r>
            <w:r>
              <w:rPr>
                <w:sz w:val="20"/>
                <w:szCs w:val="20"/>
              </w:rPr>
              <w:t>2</w:t>
            </w:r>
            <w:r w:rsidRPr="009B2482">
              <w:rPr>
                <w:sz w:val="20"/>
                <w:szCs w:val="20"/>
              </w:rPr>
              <w:t>%</w:t>
            </w:r>
          </w:p>
        </w:tc>
      </w:tr>
      <w:tr w:rsidR="00847DBD" w:rsidRPr="007B7C4A" w14:paraId="2DCBCF3C" w14:textId="77777777" w:rsidTr="00E81DBB">
        <w:trPr>
          <w:trHeight w:val="255"/>
        </w:trPr>
        <w:tc>
          <w:tcPr>
            <w:tcW w:w="1626" w:type="pct"/>
            <w:shd w:val="clear" w:color="auto" w:fill="auto"/>
            <w:noWrap/>
            <w:vAlign w:val="center"/>
            <w:hideMark/>
          </w:tcPr>
          <w:p w14:paraId="7C7C6053" w14:textId="77777777" w:rsidR="00847DBD" w:rsidRPr="007B7C4A" w:rsidRDefault="00847DBD" w:rsidP="00E81DBB">
            <w:pPr>
              <w:spacing w:before="0" w:after="0"/>
              <w:jc w:val="left"/>
              <w:rPr>
                <w:rFonts w:eastAsia="Times New Roman" w:cs="Times New Roman"/>
                <w:color w:val="000000"/>
                <w:sz w:val="20"/>
                <w:szCs w:val="20"/>
                <w:lang w:val="sr-Latn-RS" w:eastAsia="sr-Latn-RS"/>
              </w:rPr>
            </w:pPr>
            <w:r w:rsidRPr="007B7C4A">
              <w:rPr>
                <w:rFonts w:eastAsia="Times New Roman" w:cs="Times New Roman"/>
                <w:color w:val="000000"/>
                <w:sz w:val="20"/>
                <w:szCs w:val="20"/>
                <w:lang w:val="sr-Latn-RS" w:eastAsia="sr-Latn-RS"/>
              </w:rPr>
              <w:t>Quasi-fault</w:t>
            </w:r>
          </w:p>
        </w:tc>
        <w:tc>
          <w:tcPr>
            <w:tcW w:w="772" w:type="pct"/>
            <w:shd w:val="clear" w:color="auto" w:fill="auto"/>
            <w:noWrap/>
            <w:vAlign w:val="center"/>
            <w:hideMark/>
          </w:tcPr>
          <w:p w14:paraId="4A884484" w14:textId="77777777" w:rsidR="00847DBD" w:rsidRPr="007B7C4A" w:rsidRDefault="00847DBD" w:rsidP="00E81DBB">
            <w:pPr>
              <w:spacing w:before="0" w:after="0"/>
              <w:jc w:val="right"/>
              <w:rPr>
                <w:rFonts w:eastAsia="Times New Roman" w:cs="Times New Roman"/>
                <w:color w:val="000000"/>
                <w:sz w:val="20"/>
                <w:szCs w:val="20"/>
                <w:lang w:val="sr-Latn-RS" w:eastAsia="sr-Latn-RS"/>
              </w:rPr>
            </w:pPr>
            <w:r w:rsidRPr="009B2482">
              <w:rPr>
                <w:sz w:val="20"/>
                <w:szCs w:val="20"/>
              </w:rPr>
              <w:t>1</w:t>
            </w:r>
            <w:r>
              <w:rPr>
                <w:sz w:val="20"/>
                <w:szCs w:val="20"/>
              </w:rPr>
              <w:t>6</w:t>
            </w:r>
          </w:p>
        </w:tc>
        <w:tc>
          <w:tcPr>
            <w:tcW w:w="1311" w:type="pct"/>
            <w:shd w:val="clear" w:color="auto" w:fill="auto"/>
            <w:noWrap/>
            <w:vAlign w:val="center"/>
            <w:hideMark/>
          </w:tcPr>
          <w:p w14:paraId="68B9593D" w14:textId="77777777" w:rsidR="00847DBD" w:rsidRPr="007B7C4A" w:rsidRDefault="00847DBD" w:rsidP="00E81DBB">
            <w:pPr>
              <w:spacing w:before="0" w:after="0"/>
              <w:jc w:val="right"/>
              <w:rPr>
                <w:rFonts w:eastAsia="Times New Roman" w:cs="Times New Roman"/>
                <w:color w:val="000000"/>
                <w:sz w:val="20"/>
                <w:szCs w:val="20"/>
                <w:lang w:val="sr-Latn-RS" w:eastAsia="sr-Latn-RS"/>
              </w:rPr>
            </w:pPr>
            <w:r w:rsidRPr="009B2482">
              <w:rPr>
                <w:sz w:val="20"/>
                <w:szCs w:val="20"/>
              </w:rPr>
              <w:t>52</w:t>
            </w:r>
            <w:r>
              <w:rPr>
                <w:sz w:val="20"/>
                <w:szCs w:val="20"/>
              </w:rPr>
              <w:t>0</w:t>
            </w:r>
          </w:p>
        </w:tc>
        <w:tc>
          <w:tcPr>
            <w:tcW w:w="1291" w:type="pct"/>
            <w:shd w:val="clear" w:color="auto" w:fill="auto"/>
            <w:noWrap/>
            <w:vAlign w:val="center"/>
            <w:hideMark/>
          </w:tcPr>
          <w:p w14:paraId="29A15878" w14:textId="77777777" w:rsidR="00847DBD" w:rsidRPr="007B7C4A" w:rsidRDefault="00847DBD" w:rsidP="00E81DBB">
            <w:pPr>
              <w:spacing w:before="0" w:after="0"/>
              <w:jc w:val="right"/>
              <w:rPr>
                <w:rFonts w:eastAsia="Times New Roman" w:cs="Times New Roman"/>
                <w:color w:val="000000"/>
                <w:sz w:val="20"/>
                <w:szCs w:val="20"/>
                <w:lang w:val="sr-Latn-RS" w:eastAsia="sr-Latn-RS"/>
              </w:rPr>
            </w:pPr>
            <w:r w:rsidRPr="009B2482">
              <w:rPr>
                <w:sz w:val="20"/>
                <w:szCs w:val="20"/>
              </w:rPr>
              <w:t>97.</w:t>
            </w:r>
            <w:r>
              <w:rPr>
                <w:sz w:val="20"/>
                <w:szCs w:val="20"/>
              </w:rPr>
              <w:t>0</w:t>
            </w:r>
            <w:r w:rsidRPr="009B2482">
              <w:rPr>
                <w:sz w:val="20"/>
                <w:szCs w:val="20"/>
              </w:rPr>
              <w:t>%</w:t>
            </w:r>
          </w:p>
        </w:tc>
      </w:tr>
      <w:tr w:rsidR="00847DBD" w:rsidRPr="007B7C4A" w14:paraId="76355869" w14:textId="77777777" w:rsidTr="006931D3">
        <w:trPr>
          <w:trHeight w:val="207"/>
        </w:trPr>
        <w:tc>
          <w:tcPr>
            <w:tcW w:w="1626" w:type="pct"/>
            <w:shd w:val="clear" w:color="auto" w:fill="auto"/>
            <w:noWrap/>
            <w:vAlign w:val="center"/>
            <w:hideMark/>
          </w:tcPr>
          <w:p w14:paraId="7ED9E9E4" w14:textId="77777777" w:rsidR="00847DBD" w:rsidRPr="007B7C4A" w:rsidRDefault="00847DBD" w:rsidP="00E81DBB">
            <w:pPr>
              <w:spacing w:before="0" w:after="0"/>
              <w:jc w:val="left"/>
              <w:rPr>
                <w:rFonts w:eastAsia="Times New Roman" w:cs="Times New Roman"/>
                <w:color w:val="000000"/>
                <w:sz w:val="20"/>
                <w:szCs w:val="20"/>
                <w:lang w:val="sr-Latn-RS" w:eastAsia="sr-Latn-RS"/>
              </w:rPr>
            </w:pPr>
            <w:r w:rsidRPr="007B7C4A">
              <w:rPr>
                <w:rFonts w:eastAsia="Times New Roman" w:cs="Times New Roman"/>
                <w:color w:val="000000"/>
                <w:sz w:val="20"/>
                <w:szCs w:val="20"/>
                <w:lang w:val="sr-Latn-RS" w:eastAsia="sr-Latn-RS"/>
              </w:rPr>
              <w:t>Overall percentage</w:t>
            </w:r>
          </w:p>
        </w:tc>
        <w:tc>
          <w:tcPr>
            <w:tcW w:w="772" w:type="pct"/>
            <w:shd w:val="clear" w:color="auto" w:fill="auto"/>
            <w:noWrap/>
            <w:vAlign w:val="center"/>
            <w:hideMark/>
          </w:tcPr>
          <w:p w14:paraId="08EEB968" w14:textId="77777777" w:rsidR="00847DBD" w:rsidRPr="007B7C4A" w:rsidRDefault="00847DBD" w:rsidP="00E81DBB">
            <w:pPr>
              <w:spacing w:before="0" w:after="0"/>
              <w:jc w:val="right"/>
              <w:rPr>
                <w:rFonts w:eastAsia="Times New Roman" w:cs="Times New Roman"/>
                <w:color w:val="000000"/>
                <w:sz w:val="20"/>
                <w:szCs w:val="20"/>
                <w:lang w:val="sr-Latn-RS" w:eastAsia="sr-Latn-RS"/>
              </w:rPr>
            </w:pPr>
            <w:r w:rsidRPr="009B2482">
              <w:rPr>
                <w:sz w:val="20"/>
                <w:szCs w:val="20"/>
              </w:rPr>
              <w:t>17.9%</w:t>
            </w:r>
          </w:p>
        </w:tc>
        <w:tc>
          <w:tcPr>
            <w:tcW w:w="1311" w:type="pct"/>
            <w:shd w:val="clear" w:color="auto" w:fill="auto"/>
            <w:noWrap/>
            <w:vAlign w:val="center"/>
            <w:hideMark/>
          </w:tcPr>
          <w:p w14:paraId="494B7BB6" w14:textId="77777777" w:rsidR="00847DBD" w:rsidRPr="007B7C4A" w:rsidRDefault="00847DBD" w:rsidP="00E81DBB">
            <w:pPr>
              <w:spacing w:before="0" w:after="0"/>
              <w:jc w:val="right"/>
              <w:rPr>
                <w:rFonts w:eastAsia="Times New Roman" w:cs="Times New Roman"/>
                <w:color w:val="000000"/>
                <w:sz w:val="20"/>
                <w:szCs w:val="20"/>
                <w:lang w:val="sr-Latn-RS" w:eastAsia="sr-Latn-RS"/>
              </w:rPr>
            </w:pPr>
            <w:r w:rsidRPr="009B2482">
              <w:rPr>
                <w:sz w:val="20"/>
                <w:szCs w:val="20"/>
              </w:rPr>
              <w:t>82.1%</w:t>
            </w:r>
          </w:p>
        </w:tc>
        <w:tc>
          <w:tcPr>
            <w:tcW w:w="1291" w:type="pct"/>
            <w:shd w:val="clear" w:color="auto" w:fill="auto"/>
            <w:noWrap/>
            <w:vAlign w:val="center"/>
            <w:hideMark/>
          </w:tcPr>
          <w:p w14:paraId="6FD5C00B" w14:textId="77777777" w:rsidR="00847DBD" w:rsidRPr="000E5503" w:rsidRDefault="00847DBD" w:rsidP="00E81DBB">
            <w:pPr>
              <w:spacing w:before="0" w:after="0"/>
              <w:jc w:val="right"/>
              <w:rPr>
                <w:rFonts w:eastAsia="Times New Roman" w:cs="Times New Roman"/>
                <w:b/>
                <w:bCs/>
                <w:color w:val="000000"/>
                <w:sz w:val="20"/>
                <w:szCs w:val="20"/>
                <w:lang w:val="sr-Latn-RS" w:eastAsia="sr-Latn-RS"/>
              </w:rPr>
            </w:pPr>
            <w:r w:rsidRPr="000E5503">
              <w:rPr>
                <w:b/>
                <w:bCs/>
                <w:sz w:val="20"/>
                <w:szCs w:val="20"/>
              </w:rPr>
              <w:t>94.7%</w:t>
            </w:r>
          </w:p>
        </w:tc>
      </w:tr>
      <w:tr w:rsidR="00847DBD" w:rsidRPr="007B7C4A" w14:paraId="5C3680E5" w14:textId="77777777" w:rsidTr="00E81DBB">
        <w:trPr>
          <w:trHeight w:val="255"/>
        </w:trPr>
        <w:tc>
          <w:tcPr>
            <w:tcW w:w="1626" w:type="pct"/>
            <w:shd w:val="clear" w:color="auto" w:fill="auto"/>
            <w:noWrap/>
            <w:vAlign w:val="center"/>
            <w:hideMark/>
          </w:tcPr>
          <w:p w14:paraId="778D9C11" w14:textId="77777777" w:rsidR="00847DBD" w:rsidRPr="007B7C4A" w:rsidRDefault="00847DBD" w:rsidP="00E81DBB">
            <w:pPr>
              <w:spacing w:before="0" w:after="0"/>
              <w:jc w:val="left"/>
              <w:rPr>
                <w:rFonts w:eastAsia="Times New Roman" w:cs="Times New Roman"/>
                <w:color w:val="000000"/>
                <w:sz w:val="20"/>
                <w:szCs w:val="20"/>
                <w:lang w:val="sr-Latn-RS" w:eastAsia="sr-Latn-RS"/>
              </w:rPr>
            </w:pPr>
            <w:r w:rsidRPr="007B7C4A">
              <w:rPr>
                <w:rFonts w:eastAsia="Times New Roman" w:cs="Times New Roman"/>
                <w:color w:val="000000"/>
                <w:sz w:val="20"/>
                <w:szCs w:val="20"/>
                <w:lang w:val="sr-Latn-RS" w:eastAsia="sr-Latn-RS"/>
              </w:rPr>
              <w:t>None</w:t>
            </w:r>
          </w:p>
        </w:tc>
        <w:tc>
          <w:tcPr>
            <w:tcW w:w="772" w:type="pct"/>
            <w:shd w:val="clear" w:color="auto" w:fill="auto"/>
            <w:noWrap/>
            <w:vAlign w:val="center"/>
            <w:hideMark/>
          </w:tcPr>
          <w:p w14:paraId="0EA935FC" w14:textId="77777777" w:rsidR="00847DBD" w:rsidRPr="007B7C4A" w:rsidRDefault="00847DBD" w:rsidP="00E81DBB">
            <w:pPr>
              <w:spacing w:before="0" w:after="0"/>
              <w:jc w:val="right"/>
              <w:rPr>
                <w:rFonts w:eastAsia="Times New Roman" w:cs="Times New Roman"/>
                <w:color w:val="000000"/>
                <w:sz w:val="20"/>
                <w:szCs w:val="20"/>
                <w:lang w:val="sr-Latn-RS" w:eastAsia="sr-Latn-RS"/>
              </w:rPr>
            </w:pPr>
            <w:r w:rsidRPr="009B2482">
              <w:rPr>
                <w:sz w:val="20"/>
                <w:szCs w:val="20"/>
              </w:rPr>
              <w:t>5</w:t>
            </w:r>
            <w:r>
              <w:rPr>
                <w:sz w:val="20"/>
                <w:szCs w:val="20"/>
              </w:rPr>
              <w:t>4</w:t>
            </w:r>
          </w:p>
        </w:tc>
        <w:tc>
          <w:tcPr>
            <w:tcW w:w="1311" w:type="pct"/>
            <w:shd w:val="clear" w:color="auto" w:fill="auto"/>
            <w:noWrap/>
            <w:vAlign w:val="center"/>
            <w:hideMark/>
          </w:tcPr>
          <w:p w14:paraId="0C88B720" w14:textId="77777777" w:rsidR="00847DBD" w:rsidRPr="007B7C4A" w:rsidRDefault="00847DBD" w:rsidP="00E81DBB">
            <w:pPr>
              <w:spacing w:before="0" w:after="0"/>
              <w:jc w:val="right"/>
              <w:rPr>
                <w:rFonts w:eastAsia="Times New Roman" w:cs="Times New Roman"/>
                <w:color w:val="000000"/>
                <w:sz w:val="20"/>
                <w:szCs w:val="20"/>
                <w:lang w:val="sr-Latn-RS" w:eastAsia="sr-Latn-RS"/>
              </w:rPr>
            </w:pPr>
            <w:r>
              <w:rPr>
                <w:sz w:val="20"/>
                <w:szCs w:val="20"/>
              </w:rPr>
              <w:t>19</w:t>
            </w:r>
          </w:p>
        </w:tc>
        <w:tc>
          <w:tcPr>
            <w:tcW w:w="1291" w:type="pct"/>
            <w:shd w:val="clear" w:color="auto" w:fill="auto"/>
            <w:noWrap/>
            <w:vAlign w:val="center"/>
            <w:hideMark/>
          </w:tcPr>
          <w:p w14:paraId="73E61167" w14:textId="77777777" w:rsidR="00847DBD" w:rsidRPr="007B7C4A" w:rsidRDefault="00847DBD" w:rsidP="00E81DBB">
            <w:pPr>
              <w:spacing w:before="0" w:after="0"/>
              <w:jc w:val="right"/>
              <w:rPr>
                <w:rFonts w:eastAsia="Times New Roman" w:cs="Times New Roman"/>
                <w:color w:val="000000"/>
                <w:sz w:val="20"/>
                <w:szCs w:val="20"/>
                <w:lang w:val="sr-Latn-RS" w:eastAsia="sr-Latn-RS"/>
              </w:rPr>
            </w:pPr>
            <w:r w:rsidRPr="009B2482">
              <w:rPr>
                <w:sz w:val="20"/>
                <w:szCs w:val="20"/>
              </w:rPr>
              <w:t>7</w:t>
            </w:r>
            <w:r>
              <w:rPr>
                <w:sz w:val="20"/>
                <w:szCs w:val="20"/>
              </w:rPr>
              <w:t>4</w:t>
            </w:r>
            <w:r w:rsidRPr="009B2482">
              <w:rPr>
                <w:sz w:val="20"/>
                <w:szCs w:val="20"/>
              </w:rPr>
              <w:t>.</w:t>
            </w:r>
            <w:r>
              <w:rPr>
                <w:sz w:val="20"/>
                <w:szCs w:val="20"/>
              </w:rPr>
              <w:t>0</w:t>
            </w:r>
            <w:r w:rsidRPr="009B2482">
              <w:rPr>
                <w:sz w:val="20"/>
                <w:szCs w:val="20"/>
              </w:rPr>
              <w:t>%</w:t>
            </w:r>
          </w:p>
        </w:tc>
      </w:tr>
      <w:tr w:rsidR="00847DBD" w:rsidRPr="007B7C4A" w14:paraId="0CD5DC32" w14:textId="77777777" w:rsidTr="00E81DBB">
        <w:trPr>
          <w:trHeight w:val="255"/>
        </w:trPr>
        <w:tc>
          <w:tcPr>
            <w:tcW w:w="1626" w:type="pct"/>
            <w:shd w:val="clear" w:color="auto" w:fill="auto"/>
            <w:noWrap/>
            <w:vAlign w:val="center"/>
            <w:hideMark/>
          </w:tcPr>
          <w:p w14:paraId="31FBC15C" w14:textId="77777777" w:rsidR="00847DBD" w:rsidRPr="007B7C4A" w:rsidRDefault="00847DBD" w:rsidP="00E81DBB">
            <w:pPr>
              <w:spacing w:before="0" w:after="0"/>
              <w:jc w:val="left"/>
              <w:rPr>
                <w:rFonts w:eastAsia="Times New Roman" w:cs="Times New Roman"/>
                <w:color w:val="000000"/>
                <w:sz w:val="20"/>
                <w:szCs w:val="20"/>
                <w:lang w:val="sr-Latn-RS" w:eastAsia="sr-Latn-RS"/>
              </w:rPr>
            </w:pPr>
            <w:r w:rsidRPr="007B7C4A">
              <w:rPr>
                <w:rFonts w:eastAsia="Times New Roman" w:cs="Times New Roman"/>
                <w:color w:val="000000"/>
                <w:sz w:val="20"/>
                <w:szCs w:val="20"/>
                <w:lang w:val="sr-Latn-RS" w:eastAsia="sr-Latn-RS"/>
              </w:rPr>
              <w:t>Quasi-fault</w:t>
            </w:r>
          </w:p>
        </w:tc>
        <w:tc>
          <w:tcPr>
            <w:tcW w:w="772" w:type="pct"/>
            <w:shd w:val="clear" w:color="auto" w:fill="auto"/>
            <w:noWrap/>
            <w:vAlign w:val="center"/>
            <w:hideMark/>
          </w:tcPr>
          <w:p w14:paraId="2235BD0B" w14:textId="77777777" w:rsidR="00847DBD" w:rsidRPr="007B7C4A" w:rsidRDefault="00847DBD" w:rsidP="00E81DBB">
            <w:pPr>
              <w:spacing w:before="0" w:after="0"/>
              <w:jc w:val="right"/>
              <w:rPr>
                <w:rFonts w:eastAsia="Times New Roman" w:cs="Times New Roman"/>
                <w:color w:val="000000"/>
                <w:sz w:val="20"/>
                <w:szCs w:val="20"/>
                <w:lang w:val="sr-Latn-RS" w:eastAsia="sr-Latn-RS"/>
              </w:rPr>
            </w:pPr>
            <w:r>
              <w:rPr>
                <w:sz w:val="20"/>
                <w:szCs w:val="20"/>
              </w:rPr>
              <w:t>9</w:t>
            </w:r>
          </w:p>
        </w:tc>
        <w:tc>
          <w:tcPr>
            <w:tcW w:w="1311" w:type="pct"/>
            <w:shd w:val="clear" w:color="auto" w:fill="auto"/>
            <w:noWrap/>
            <w:vAlign w:val="center"/>
            <w:hideMark/>
          </w:tcPr>
          <w:p w14:paraId="02A20194" w14:textId="77777777" w:rsidR="00847DBD" w:rsidRPr="007B7C4A" w:rsidRDefault="00847DBD" w:rsidP="00E81DBB">
            <w:pPr>
              <w:spacing w:before="0" w:after="0"/>
              <w:jc w:val="right"/>
              <w:rPr>
                <w:rFonts w:eastAsia="Times New Roman" w:cs="Times New Roman"/>
                <w:color w:val="000000"/>
                <w:sz w:val="20"/>
                <w:szCs w:val="20"/>
                <w:lang w:val="sr-Latn-RS" w:eastAsia="sr-Latn-RS"/>
              </w:rPr>
            </w:pPr>
            <w:r>
              <w:rPr>
                <w:sz w:val="20"/>
                <w:szCs w:val="20"/>
              </w:rPr>
              <w:t>194</w:t>
            </w:r>
          </w:p>
        </w:tc>
        <w:tc>
          <w:tcPr>
            <w:tcW w:w="1291" w:type="pct"/>
            <w:shd w:val="clear" w:color="auto" w:fill="auto"/>
            <w:noWrap/>
            <w:vAlign w:val="center"/>
            <w:hideMark/>
          </w:tcPr>
          <w:p w14:paraId="1C232F2F" w14:textId="77777777" w:rsidR="00847DBD" w:rsidRPr="007B7C4A" w:rsidRDefault="00847DBD" w:rsidP="00E81DBB">
            <w:pPr>
              <w:spacing w:before="0" w:after="0"/>
              <w:jc w:val="right"/>
              <w:rPr>
                <w:rFonts w:eastAsia="Times New Roman" w:cs="Times New Roman"/>
                <w:color w:val="000000"/>
                <w:sz w:val="20"/>
                <w:szCs w:val="20"/>
                <w:lang w:val="sr-Latn-RS" w:eastAsia="sr-Latn-RS"/>
              </w:rPr>
            </w:pPr>
            <w:r>
              <w:rPr>
                <w:sz w:val="20"/>
                <w:szCs w:val="20"/>
              </w:rPr>
              <w:t>95.6%</w:t>
            </w:r>
          </w:p>
        </w:tc>
      </w:tr>
      <w:tr w:rsidR="00847DBD" w:rsidRPr="007B7C4A" w14:paraId="1BA3E38A" w14:textId="77777777" w:rsidTr="00E81DBB">
        <w:trPr>
          <w:trHeight w:val="80"/>
        </w:trPr>
        <w:tc>
          <w:tcPr>
            <w:tcW w:w="1626" w:type="pct"/>
            <w:shd w:val="clear" w:color="auto" w:fill="auto"/>
            <w:noWrap/>
            <w:vAlign w:val="center"/>
            <w:hideMark/>
          </w:tcPr>
          <w:p w14:paraId="036D248A" w14:textId="77777777" w:rsidR="00847DBD" w:rsidRPr="007B7C4A" w:rsidRDefault="00847DBD" w:rsidP="00E81DBB">
            <w:pPr>
              <w:spacing w:before="0" w:after="0"/>
              <w:jc w:val="left"/>
              <w:rPr>
                <w:rFonts w:eastAsia="Times New Roman" w:cs="Times New Roman"/>
                <w:color w:val="000000"/>
                <w:sz w:val="20"/>
                <w:szCs w:val="20"/>
                <w:lang w:val="sr-Latn-RS" w:eastAsia="sr-Latn-RS"/>
              </w:rPr>
            </w:pPr>
            <w:r w:rsidRPr="007B7C4A">
              <w:rPr>
                <w:rFonts w:eastAsia="Times New Roman" w:cs="Times New Roman"/>
                <w:color w:val="000000"/>
                <w:sz w:val="20"/>
                <w:szCs w:val="20"/>
                <w:lang w:val="sr-Latn-RS" w:eastAsia="sr-Latn-RS"/>
              </w:rPr>
              <w:t>Overall percentage</w:t>
            </w:r>
          </w:p>
        </w:tc>
        <w:tc>
          <w:tcPr>
            <w:tcW w:w="772" w:type="pct"/>
            <w:shd w:val="clear" w:color="auto" w:fill="auto"/>
            <w:noWrap/>
            <w:vAlign w:val="center"/>
            <w:hideMark/>
          </w:tcPr>
          <w:p w14:paraId="0D1F625B" w14:textId="77777777" w:rsidR="00847DBD" w:rsidRPr="007B7C4A" w:rsidRDefault="00847DBD" w:rsidP="00E81DBB">
            <w:pPr>
              <w:spacing w:before="0" w:after="0"/>
              <w:jc w:val="right"/>
              <w:rPr>
                <w:rFonts w:eastAsia="Times New Roman" w:cs="Times New Roman"/>
                <w:color w:val="000000"/>
                <w:sz w:val="20"/>
                <w:szCs w:val="20"/>
                <w:lang w:val="sr-Latn-RS" w:eastAsia="sr-Latn-RS"/>
              </w:rPr>
            </w:pPr>
            <w:r w:rsidRPr="009B2482">
              <w:rPr>
                <w:sz w:val="20"/>
                <w:szCs w:val="20"/>
              </w:rPr>
              <w:t>22.</w:t>
            </w:r>
            <w:r>
              <w:rPr>
                <w:sz w:val="20"/>
                <w:szCs w:val="20"/>
              </w:rPr>
              <w:t>8</w:t>
            </w:r>
            <w:r w:rsidRPr="009B2482">
              <w:rPr>
                <w:sz w:val="20"/>
                <w:szCs w:val="20"/>
              </w:rPr>
              <w:t>%</w:t>
            </w:r>
          </w:p>
        </w:tc>
        <w:tc>
          <w:tcPr>
            <w:tcW w:w="1311" w:type="pct"/>
            <w:shd w:val="clear" w:color="auto" w:fill="auto"/>
            <w:noWrap/>
            <w:vAlign w:val="center"/>
            <w:hideMark/>
          </w:tcPr>
          <w:p w14:paraId="080CF496" w14:textId="77777777" w:rsidR="00847DBD" w:rsidRPr="007B7C4A" w:rsidRDefault="00847DBD" w:rsidP="00E81DBB">
            <w:pPr>
              <w:spacing w:before="0" w:after="0"/>
              <w:jc w:val="right"/>
              <w:rPr>
                <w:rFonts w:eastAsia="Times New Roman" w:cs="Times New Roman"/>
                <w:color w:val="000000"/>
                <w:sz w:val="20"/>
                <w:szCs w:val="20"/>
                <w:lang w:val="sr-Latn-RS" w:eastAsia="sr-Latn-RS"/>
              </w:rPr>
            </w:pPr>
            <w:r w:rsidRPr="009B2482">
              <w:rPr>
                <w:sz w:val="20"/>
                <w:szCs w:val="20"/>
              </w:rPr>
              <w:t>77.</w:t>
            </w:r>
            <w:r>
              <w:rPr>
                <w:sz w:val="20"/>
                <w:szCs w:val="20"/>
              </w:rPr>
              <w:t>2</w:t>
            </w:r>
            <w:r w:rsidRPr="009B2482">
              <w:rPr>
                <w:sz w:val="20"/>
                <w:szCs w:val="20"/>
              </w:rPr>
              <w:t>%</w:t>
            </w:r>
          </w:p>
        </w:tc>
        <w:tc>
          <w:tcPr>
            <w:tcW w:w="1291" w:type="pct"/>
            <w:shd w:val="clear" w:color="auto" w:fill="auto"/>
            <w:noWrap/>
            <w:vAlign w:val="center"/>
            <w:hideMark/>
          </w:tcPr>
          <w:p w14:paraId="740FC274" w14:textId="77777777" w:rsidR="00847DBD" w:rsidRPr="000E5503" w:rsidRDefault="00847DBD" w:rsidP="00E81DBB">
            <w:pPr>
              <w:spacing w:before="0" w:after="0"/>
              <w:jc w:val="right"/>
              <w:rPr>
                <w:rFonts w:eastAsia="Times New Roman" w:cs="Times New Roman"/>
                <w:b/>
                <w:bCs/>
                <w:color w:val="000000"/>
                <w:sz w:val="20"/>
                <w:szCs w:val="20"/>
                <w:lang w:val="sr-Latn-RS" w:eastAsia="sr-Latn-RS"/>
              </w:rPr>
            </w:pPr>
            <w:r w:rsidRPr="000E5503">
              <w:rPr>
                <w:b/>
                <w:bCs/>
                <w:sz w:val="20"/>
                <w:szCs w:val="20"/>
              </w:rPr>
              <w:t>89.9%</w:t>
            </w:r>
          </w:p>
        </w:tc>
      </w:tr>
    </w:tbl>
    <w:p w14:paraId="11123F42" w14:textId="44918699" w:rsidR="00EF037C" w:rsidRDefault="00307102" w:rsidP="00307102">
      <w:pPr>
        <w:pStyle w:val="Heading2"/>
        <w:rPr>
          <w:lang w:val="sr-Latn-RS"/>
        </w:rPr>
      </w:pPr>
      <w:bookmarkStart w:id="716" w:name="_Toc101274417"/>
      <w:r>
        <w:rPr>
          <w:lang w:val="sr-Latn-RS"/>
        </w:rPr>
        <w:lastRenderedPageBreak/>
        <w:t xml:space="preserve">Machine </w:t>
      </w:r>
      <w:r w:rsidR="00531F4C">
        <w:rPr>
          <w:lang w:val="sr-Latn-RS"/>
        </w:rPr>
        <w:t>l</w:t>
      </w:r>
      <w:r>
        <w:rPr>
          <w:lang w:val="sr-Latn-RS"/>
        </w:rPr>
        <w:t xml:space="preserve">earning </w:t>
      </w:r>
      <w:r w:rsidR="00531F4C">
        <w:rPr>
          <w:lang w:val="sr-Latn-RS"/>
        </w:rPr>
        <w:t>c</w:t>
      </w:r>
      <w:r>
        <w:rPr>
          <w:lang w:val="sr-Latn-RS"/>
        </w:rPr>
        <w:t xml:space="preserve">lassification </w:t>
      </w:r>
      <w:r w:rsidR="00531F4C">
        <w:rPr>
          <w:lang w:val="sr-Latn-RS"/>
        </w:rPr>
        <w:t>r</w:t>
      </w:r>
      <w:r>
        <w:rPr>
          <w:lang w:val="sr-Latn-RS"/>
        </w:rPr>
        <w:t xml:space="preserve">esults and </w:t>
      </w:r>
      <w:r w:rsidR="00531F4C">
        <w:rPr>
          <w:lang w:val="sr-Latn-RS"/>
        </w:rPr>
        <w:t>d</w:t>
      </w:r>
      <w:r>
        <w:rPr>
          <w:lang w:val="sr-Latn-RS"/>
        </w:rPr>
        <w:t>iscussion</w:t>
      </w:r>
      <w:bookmarkEnd w:id="716"/>
    </w:p>
    <w:p w14:paraId="2248DA3B" w14:textId="6DE30853" w:rsidR="00167293" w:rsidRDefault="00167293" w:rsidP="00167293">
      <w:pPr>
        <w:rPr>
          <w:lang w:val="en-GB"/>
        </w:rPr>
      </w:pPr>
      <w:r>
        <w:rPr>
          <w:lang w:val="en-GB"/>
        </w:rPr>
        <w:t>After evaluating hypothesis space</w:t>
      </w:r>
      <w:r w:rsidR="006418BD">
        <w:rPr>
          <w:lang w:val="en-GB"/>
        </w:rPr>
        <w:t xml:space="preserve"> for </w:t>
      </w:r>
      <w:r w:rsidR="00CD2439">
        <w:rPr>
          <w:lang w:val="en-GB"/>
        </w:rPr>
        <w:t xml:space="preserve">the </w:t>
      </w:r>
      <w:r w:rsidR="006418BD">
        <w:rPr>
          <w:lang w:val="en-GB"/>
        </w:rPr>
        <w:t>selection best</w:t>
      </w:r>
      <w:r w:rsidR="00EB55D2">
        <w:rPr>
          <w:lang w:val="en-GB"/>
        </w:rPr>
        <w:t xml:space="preserve"> </w:t>
      </w:r>
      <w:r>
        <w:rPr>
          <w:lang w:val="en-GB"/>
        </w:rPr>
        <w:t>ML model</w:t>
      </w:r>
      <w:r w:rsidR="00EB55D2">
        <w:rPr>
          <w:lang w:val="en-GB"/>
        </w:rPr>
        <w:t xml:space="preserve"> </w:t>
      </w:r>
      <w:r w:rsidR="006418BD">
        <w:rPr>
          <w:lang w:val="en-GB"/>
        </w:rPr>
        <w:t>suitable for</w:t>
      </w:r>
      <w:r w:rsidR="00EB55D2">
        <w:rPr>
          <w:lang w:val="en-GB"/>
        </w:rPr>
        <w:t xml:space="preserve"> classification</w:t>
      </w:r>
      <w:r>
        <w:rPr>
          <w:lang w:val="en-GB"/>
        </w:rPr>
        <w:t xml:space="preserve">, the </w:t>
      </w:r>
      <w:r w:rsidR="006418BD">
        <w:rPr>
          <w:lang w:val="en-GB"/>
        </w:rPr>
        <w:t xml:space="preserve">most effective </w:t>
      </w:r>
      <w:r>
        <w:rPr>
          <w:lang w:val="en-GB"/>
        </w:rPr>
        <w:t>separation was achieved by ANNs</w:t>
      </w:r>
      <w:r w:rsidR="001F4FFF">
        <w:rPr>
          <w:lang w:val="en-GB"/>
        </w:rPr>
        <w:t xml:space="preserve"> (</w:t>
      </w:r>
      <w:r w:rsidR="001F4FFF">
        <w:rPr>
          <w:lang w:val="en-GB"/>
        </w:rPr>
        <w:fldChar w:fldCharType="begin"/>
      </w:r>
      <w:r w:rsidR="001F4FFF">
        <w:rPr>
          <w:lang w:val="en-GB"/>
        </w:rPr>
        <w:instrText xml:space="preserve"> REF _Ref99630651 \h </w:instrText>
      </w:r>
      <w:r w:rsidR="001F4FFF">
        <w:rPr>
          <w:lang w:val="en-GB"/>
        </w:rPr>
      </w:r>
      <w:r w:rsidR="001F4FFF">
        <w:rPr>
          <w:lang w:val="en-GB"/>
        </w:rPr>
        <w:fldChar w:fldCharType="separate"/>
      </w:r>
      <w:r w:rsidR="00587AF0">
        <w:t xml:space="preserve">Figure </w:t>
      </w:r>
      <w:r w:rsidR="00587AF0">
        <w:rPr>
          <w:noProof/>
        </w:rPr>
        <w:t>121</w:t>
      </w:r>
      <w:r w:rsidR="001F4FFF">
        <w:rPr>
          <w:lang w:val="en-GB"/>
        </w:rPr>
        <w:fldChar w:fldCharType="end"/>
      </w:r>
      <w:r w:rsidR="001F4FFF">
        <w:rPr>
          <w:lang w:val="en-GB"/>
        </w:rPr>
        <w:t>)</w:t>
      </w:r>
      <w:r>
        <w:rPr>
          <w:lang w:val="en-GB"/>
        </w:rPr>
        <w:t>. Namely, after observing all the possible positions in detecting normal operating state</w:t>
      </w:r>
      <w:r w:rsidR="00CD2439">
        <w:rPr>
          <w:lang w:val="en-GB"/>
        </w:rPr>
        <w:t>s</w:t>
      </w:r>
      <w:r>
        <w:rPr>
          <w:lang w:val="en-GB"/>
        </w:rPr>
        <w:t xml:space="preserve"> from non-normal or suggested “Quasi-failure” with supervised learning methods</w:t>
      </w:r>
      <w:r w:rsidR="00CD2439">
        <w:rPr>
          <w:lang w:val="en-GB"/>
        </w:rPr>
        <w:t>,</w:t>
      </w:r>
      <w:r>
        <w:rPr>
          <w:lang w:val="en-GB"/>
        </w:rPr>
        <w:t xml:space="preserve"> the results suggest that neural networks </w:t>
      </w:r>
      <w:r w:rsidR="00CD2439">
        <w:rPr>
          <w:lang w:val="en-GB"/>
        </w:rPr>
        <w:t>can</w:t>
      </w:r>
      <w:r>
        <w:rPr>
          <w:lang w:val="en-GB"/>
        </w:rPr>
        <w:t xml:space="preserve"> discriminate observatio</w:t>
      </w:r>
      <w:r w:rsidR="00CD2439">
        <w:rPr>
          <w:lang w:val="en-GB"/>
        </w:rPr>
        <w:t>n</w:t>
      </w:r>
      <w:r>
        <w:rPr>
          <w:lang w:val="en-GB"/>
        </w:rPr>
        <w:t>al (training) data in which the results and model outperform other approaches.</w:t>
      </w:r>
    </w:p>
    <w:p w14:paraId="3CF4F8A4" w14:textId="0EF6F224" w:rsidR="006E2340" w:rsidRPr="00EA6711" w:rsidRDefault="006E2340" w:rsidP="006E2340">
      <w:pPr>
        <w:pStyle w:val="Caption"/>
        <w:jc w:val="both"/>
        <w:rPr>
          <w:lang w:val="en-GB"/>
        </w:rPr>
      </w:pPr>
      <w:bookmarkStart w:id="717" w:name="_Ref99630715"/>
      <w:bookmarkStart w:id="718" w:name="_Ref99630704"/>
      <w:bookmarkStart w:id="719" w:name="_Toc101274514"/>
      <w:r>
        <w:t xml:space="preserve">Table </w:t>
      </w:r>
      <w:fldSimple w:instr=" SEQ Table \* ARABIC ">
        <w:r w:rsidR="00587AF0">
          <w:rPr>
            <w:noProof/>
          </w:rPr>
          <w:t>74</w:t>
        </w:r>
      </w:fldSimple>
      <w:bookmarkEnd w:id="717"/>
      <w:r>
        <w:t>. Cla</w:t>
      </w:r>
      <w:r w:rsidR="00CD2439">
        <w:t>s</w:t>
      </w:r>
      <w:r>
        <w:t xml:space="preserve">sification matrix </w:t>
      </w:r>
      <w:r w:rsidR="00346E03">
        <w:t xml:space="preserve">for </w:t>
      </w:r>
      <w:r>
        <w:t>opening saddle position</w:t>
      </w:r>
      <w:r w:rsidR="00E67ABE">
        <w:t>’</w:t>
      </w:r>
      <w:r w:rsidR="00346E03">
        <w:t xml:space="preserve"> data</w:t>
      </w:r>
      <w:bookmarkEnd w:id="718"/>
      <w:bookmarkEnd w:id="719"/>
    </w:p>
    <w:tbl>
      <w:tblPr>
        <w:tblW w:w="5000" w:type="pct"/>
        <w:tblLook w:val="04A0" w:firstRow="1" w:lastRow="0" w:firstColumn="1" w:lastColumn="0" w:noHBand="0" w:noVBand="1"/>
      </w:tblPr>
      <w:tblGrid>
        <w:gridCol w:w="815"/>
        <w:gridCol w:w="878"/>
        <w:gridCol w:w="740"/>
        <w:gridCol w:w="950"/>
        <w:gridCol w:w="800"/>
        <w:gridCol w:w="877"/>
        <w:gridCol w:w="738"/>
        <w:gridCol w:w="877"/>
        <w:gridCol w:w="738"/>
        <w:gridCol w:w="877"/>
        <w:gridCol w:w="737"/>
      </w:tblGrid>
      <w:tr w:rsidR="006E2340" w:rsidRPr="006E2340" w14:paraId="2C7E513E" w14:textId="77777777" w:rsidTr="00993E7F">
        <w:trPr>
          <w:trHeight w:val="255"/>
        </w:trPr>
        <w:tc>
          <w:tcPr>
            <w:tcW w:w="451" w:type="pct"/>
            <w:tcBorders>
              <w:top w:val="single" w:sz="4" w:space="0" w:color="auto"/>
              <w:left w:val="nil"/>
              <w:bottom w:val="single" w:sz="4" w:space="0" w:color="auto"/>
              <w:right w:val="nil"/>
            </w:tcBorders>
            <w:shd w:val="clear" w:color="auto" w:fill="auto"/>
            <w:noWrap/>
            <w:vAlign w:val="bottom"/>
            <w:hideMark/>
          </w:tcPr>
          <w:p w14:paraId="630FD496" w14:textId="77777777" w:rsidR="006E2340" w:rsidRPr="006E2340" w:rsidRDefault="006E2340" w:rsidP="006E2340">
            <w:pPr>
              <w:spacing w:before="0" w:after="0"/>
              <w:jc w:val="left"/>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 </w:t>
            </w:r>
          </w:p>
        </w:tc>
        <w:tc>
          <w:tcPr>
            <w:tcW w:w="896" w:type="pct"/>
            <w:gridSpan w:val="2"/>
            <w:tcBorders>
              <w:top w:val="single" w:sz="4" w:space="0" w:color="auto"/>
              <w:left w:val="nil"/>
              <w:bottom w:val="single" w:sz="4" w:space="0" w:color="auto"/>
              <w:right w:val="nil"/>
            </w:tcBorders>
            <w:shd w:val="clear" w:color="auto" w:fill="auto"/>
            <w:noWrap/>
            <w:vAlign w:val="bottom"/>
            <w:hideMark/>
          </w:tcPr>
          <w:p w14:paraId="715B7015" w14:textId="77777777" w:rsidR="006E2340" w:rsidRPr="006E2340" w:rsidRDefault="006E2340" w:rsidP="006E2340">
            <w:pPr>
              <w:spacing w:before="0" w:after="0"/>
              <w:jc w:val="center"/>
              <w:rPr>
                <w:rFonts w:eastAsia="Times New Roman" w:cs="Calibri"/>
                <w:b/>
                <w:bCs/>
                <w:color w:val="000000"/>
                <w:sz w:val="20"/>
                <w:szCs w:val="20"/>
                <w:lang w:val="sr-Latn-RS" w:eastAsia="sr-Latn-RS"/>
              </w:rPr>
            </w:pPr>
            <w:r w:rsidRPr="006E2340">
              <w:rPr>
                <w:rFonts w:eastAsia="Times New Roman" w:cs="Calibri"/>
                <w:b/>
                <w:bCs/>
                <w:color w:val="000000"/>
                <w:sz w:val="20"/>
                <w:szCs w:val="20"/>
                <w:lang w:val="sr-Latn-RS" w:eastAsia="sr-Latn-RS"/>
              </w:rPr>
              <w:t>GNB</w:t>
            </w:r>
          </w:p>
        </w:tc>
        <w:tc>
          <w:tcPr>
            <w:tcW w:w="969" w:type="pct"/>
            <w:gridSpan w:val="2"/>
            <w:tcBorders>
              <w:top w:val="single" w:sz="4" w:space="0" w:color="auto"/>
              <w:left w:val="nil"/>
              <w:bottom w:val="single" w:sz="4" w:space="0" w:color="auto"/>
              <w:right w:val="nil"/>
            </w:tcBorders>
            <w:shd w:val="clear" w:color="auto" w:fill="auto"/>
            <w:noWrap/>
            <w:vAlign w:val="bottom"/>
            <w:hideMark/>
          </w:tcPr>
          <w:p w14:paraId="5BE7BD8E" w14:textId="77777777" w:rsidR="006E2340" w:rsidRPr="006E2340" w:rsidRDefault="006E2340" w:rsidP="006E2340">
            <w:pPr>
              <w:spacing w:before="0" w:after="0"/>
              <w:jc w:val="center"/>
              <w:rPr>
                <w:rFonts w:eastAsia="Times New Roman" w:cs="Calibri"/>
                <w:b/>
                <w:bCs/>
                <w:color w:val="000000"/>
                <w:sz w:val="20"/>
                <w:szCs w:val="20"/>
                <w:lang w:val="sr-Latn-RS" w:eastAsia="sr-Latn-RS"/>
              </w:rPr>
            </w:pPr>
            <w:r w:rsidRPr="006E2340">
              <w:rPr>
                <w:rFonts w:eastAsia="Times New Roman" w:cs="Calibri"/>
                <w:b/>
                <w:bCs/>
                <w:color w:val="000000"/>
                <w:sz w:val="20"/>
                <w:szCs w:val="20"/>
                <w:lang w:val="sr-Latn-RS" w:eastAsia="sr-Latn-RS"/>
              </w:rPr>
              <w:t>ANN</w:t>
            </w:r>
          </w:p>
        </w:tc>
        <w:tc>
          <w:tcPr>
            <w:tcW w:w="895" w:type="pct"/>
            <w:gridSpan w:val="2"/>
            <w:tcBorders>
              <w:top w:val="single" w:sz="4" w:space="0" w:color="auto"/>
              <w:left w:val="nil"/>
              <w:bottom w:val="single" w:sz="4" w:space="0" w:color="auto"/>
              <w:right w:val="nil"/>
            </w:tcBorders>
            <w:shd w:val="clear" w:color="auto" w:fill="auto"/>
            <w:noWrap/>
            <w:vAlign w:val="bottom"/>
            <w:hideMark/>
          </w:tcPr>
          <w:p w14:paraId="645FC806" w14:textId="77777777" w:rsidR="006E2340" w:rsidRPr="006E2340" w:rsidRDefault="006E2340" w:rsidP="006E2340">
            <w:pPr>
              <w:spacing w:before="0" w:after="0"/>
              <w:jc w:val="center"/>
              <w:rPr>
                <w:rFonts w:eastAsia="Times New Roman" w:cs="Calibri"/>
                <w:b/>
                <w:bCs/>
                <w:color w:val="000000"/>
                <w:sz w:val="20"/>
                <w:szCs w:val="20"/>
                <w:lang w:val="sr-Latn-RS" w:eastAsia="sr-Latn-RS"/>
              </w:rPr>
            </w:pPr>
            <w:r w:rsidRPr="006E2340">
              <w:rPr>
                <w:rFonts w:eastAsia="Times New Roman" w:cs="Calibri"/>
                <w:b/>
                <w:bCs/>
                <w:color w:val="000000"/>
                <w:sz w:val="20"/>
                <w:szCs w:val="20"/>
                <w:lang w:val="sr-Latn-RS" w:eastAsia="sr-Latn-RS"/>
              </w:rPr>
              <w:t>CART</w:t>
            </w:r>
          </w:p>
        </w:tc>
        <w:tc>
          <w:tcPr>
            <w:tcW w:w="895" w:type="pct"/>
            <w:gridSpan w:val="2"/>
            <w:tcBorders>
              <w:top w:val="single" w:sz="4" w:space="0" w:color="auto"/>
              <w:left w:val="nil"/>
              <w:bottom w:val="single" w:sz="4" w:space="0" w:color="auto"/>
              <w:right w:val="nil"/>
            </w:tcBorders>
            <w:shd w:val="clear" w:color="auto" w:fill="auto"/>
            <w:noWrap/>
            <w:vAlign w:val="bottom"/>
            <w:hideMark/>
          </w:tcPr>
          <w:p w14:paraId="49898D68" w14:textId="77777777" w:rsidR="006E2340" w:rsidRPr="006E2340" w:rsidRDefault="006E2340" w:rsidP="006E2340">
            <w:pPr>
              <w:spacing w:before="0" w:after="0"/>
              <w:jc w:val="center"/>
              <w:rPr>
                <w:rFonts w:eastAsia="Times New Roman" w:cs="Calibri"/>
                <w:b/>
                <w:bCs/>
                <w:color w:val="000000"/>
                <w:sz w:val="20"/>
                <w:szCs w:val="20"/>
                <w:lang w:val="sr-Latn-RS" w:eastAsia="sr-Latn-RS"/>
              </w:rPr>
            </w:pPr>
            <w:r w:rsidRPr="006E2340">
              <w:rPr>
                <w:rFonts w:eastAsia="Times New Roman" w:cs="Calibri"/>
                <w:b/>
                <w:bCs/>
                <w:color w:val="000000"/>
                <w:sz w:val="20"/>
                <w:szCs w:val="20"/>
                <w:lang w:val="sr-Latn-RS" w:eastAsia="sr-Latn-RS"/>
              </w:rPr>
              <w:t>LR</w:t>
            </w:r>
          </w:p>
        </w:tc>
        <w:tc>
          <w:tcPr>
            <w:tcW w:w="894" w:type="pct"/>
            <w:gridSpan w:val="2"/>
            <w:tcBorders>
              <w:top w:val="single" w:sz="4" w:space="0" w:color="auto"/>
              <w:left w:val="nil"/>
              <w:bottom w:val="single" w:sz="4" w:space="0" w:color="auto"/>
              <w:right w:val="nil"/>
            </w:tcBorders>
            <w:shd w:val="clear" w:color="auto" w:fill="auto"/>
            <w:noWrap/>
            <w:vAlign w:val="bottom"/>
            <w:hideMark/>
          </w:tcPr>
          <w:p w14:paraId="3D02B8F5" w14:textId="77777777" w:rsidR="006E2340" w:rsidRPr="006E2340" w:rsidRDefault="006E2340" w:rsidP="006E2340">
            <w:pPr>
              <w:spacing w:before="0" w:after="0"/>
              <w:jc w:val="center"/>
              <w:rPr>
                <w:rFonts w:eastAsia="Times New Roman" w:cs="Calibri"/>
                <w:b/>
                <w:bCs/>
                <w:color w:val="000000"/>
                <w:sz w:val="20"/>
                <w:szCs w:val="20"/>
                <w:lang w:val="sr-Latn-RS" w:eastAsia="sr-Latn-RS"/>
              </w:rPr>
            </w:pPr>
            <w:r w:rsidRPr="006E2340">
              <w:rPr>
                <w:rFonts w:eastAsia="Times New Roman" w:cs="Calibri"/>
                <w:b/>
                <w:bCs/>
                <w:color w:val="000000"/>
                <w:sz w:val="20"/>
                <w:szCs w:val="20"/>
                <w:lang w:val="sr-Latn-RS" w:eastAsia="sr-Latn-RS"/>
              </w:rPr>
              <w:t>kNN</w:t>
            </w:r>
          </w:p>
        </w:tc>
      </w:tr>
      <w:tr w:rsidR="006E2340" w:rsidRPr="006E2340" w14:paraId="0474CB27" w14:textId="77777777" w:rsidTr="00993E7F">
        <w:trPr>
          <w:trHeight w:val="255"/>
        </w:trPr>
        <w:tc>
          <w:tcPr>
            <w:tcW w:w="451" w:type="pct"/>
            <w:tcBorders>
              <w:top w:val="nil"/>
              <w:left w:val="nil"/>
              <w:bottom w:val="nil"/>
              <w:right w:val="nil"/>
            </w:tcBorders>
            <w:shd w:val="clear" w:color="auto" w:fill="auto"/>
            <w:noWrap/>
            <w:vAlign w:val="bottom"/>
            <w:hideMark/>
          </w:tcPr>
          <w:p w14:paraId="04FF80E2" w14:textId="77777777" w:rsidR="006E2340" w:rsidRPr="006E2340" w:rsidRDefault="006E2340" w:rsidP="006E2340">
            <w:pPr>
              <w:spacing w:before="0" w:after="0"/>
              <w:jc w:val="center"/>
              <w:rPr>
                <w:rFonts w:eastAsia="Times New Roman" w:cs="Calibri"/>
                <w:color w:val="000000"/>
                <w:sz w:val="20"/>
                <w:szCs w:val="20"/>
                <w:lang w:val="sr-Latn-RS" w:eastAsia="sr-Latn-RS"/>
              </w:rPr>
            </w:pPr>
          </w:p>
        </w:tc>
        <w:tc>
          <w:tcPr>
            <w:tcW w:w="486" w:type="pct"/>
            <w:tcBorders>
              <w:top w:val="nil"/>
              <w:left w:val="nil"/>
              <w:bottom w:val="nil"/>
              <w:right w:val="nil"/>
            </w:tcBorders>
            <w:shd w:val="clear" w:color="auto" w:fill="auto"/>
            <w:noWrap/>
            <w:vAlign w:val="center"/>
            <w:hideMark/>
          </w:tcPr>
          <w:p w14:paraId="59000AE8"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Train</w:t>
            </w:r>
          </w:p>
        </w:tc>
        <w:tc>
          <w:tcPr>
            <w:tcW w:w="410" w:type="pct"/>
            <w:tcBorders>
              <w:top w:val="nil"/>
              <w:left w:val="nil"/>
              <w:bottom w:val="nil"/>
              <w:right w:val="nil"/>
            </w:tcBorders>
            <w:shd w:val="clear" w:color="auto" w:fill="auto"/>
            <w:noWrap/>
            <w:vAlign w:val="center"/>
            <w:hideMark/>
          </w:tcPr>
          <w:p w14:paraId="71AF57F2"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Test</w:t>
            </w:r>
          </w:p>
        </w:tc>
        <w:tc>
          <w:tcPr>
            <w:tcW w:w="526" w:type="pct"/>
            <w:tcBorders>
              <w:top w:val="nil"/>
              <w:left w:val="nil"/>
              <w:bottom w:val="nil"/>
              <w:right w:val="nil"/>
            </w:tcBorders>
            <w:shd w:val="clear" w:color="auto" w:fill="auto"/>
            <w:noWrap/>
            <w:vAlign w:val="center"/>
            <w:hideMark/>
          </w:tcPr>
          <w:p w14:paraId="6ECDCDCE"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Train</w:t>
            </w:r>
          </w:p>
        </w:tc>
        <w:tc>
          <w:tcPr>
            <w:tcW w:w="443" w:type="pct"/>
            <w:tcBorders>
              <w:top w:val="nil"/>
              <w:left w:val="nil"/>
              <w:bottom w:val="nil"/>
              <w:right w:val="nil"/>
            </w:tcBorders>
            <w:shd w:val="clear" w:color="auto" w:fill="auto"/>
            <w:noWrap/>
            <w:vAlign w:val="center"/>
            <w:hideMark/>
          </w:tcPr>
          <w:p w14:paraId="685D5171"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Test</w:t>
            </w:r>
          </w:p>
        </w:tc>
        <w:tc>
          <w:tcPr>
            <w:tcW w:w="486" w:type="pct"/>
            <w:tcBorders>
              <w:top w:val="nil"/>
              <w:left w:val="nil"/>
              <w:bottom w:val="nil"/>
              <w:right w:val="nil"/>
            </w:tcBorders>
            <w:shd w:val="clear" w:color="auto" w:fill="auto"/>
            <w:noWrap/>
            <w:vAlign w:val="center"/>
            <w:hideMark/>
          </w:tcPr>
          <w:p w14:paraId="5F0A54C2"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Train</w:t>
            </w:r>
          </w:p>
        </w:tc>
        <w:tc>
          <w:tcPr>
            <w:tcW w:w="409" w:type="pct"/>
            <w:tcBorders>
              <w:top w:val="nil"/>
              <w:left w:val="nil"/>
              <w:bottom w:val="nil"/>
              <w:right w:val="nil"/>
            </w:tcBorders>
            <w:shd w:val="clear" w:color="auto" w:fill="auto"/>
            <w:noWrap/>
            <w:vAlign w:val="center"/>
            <w:hideMark/>
          </w:tcPr>
          <w:p w14:paraId="2A628838"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Test</w:t>
            </w:r>
          </w:p>
        </w:tc>
        <w:tc>
          <w:tcPr>
            <w:tcW w:w="486" w:type="pct"/>
            <w:tcBorders>
              <w:top w:val="nil"/>
              <w:left w:val="nil"/>
              <w:bottom w:val="nil"/>
              <w:right w:val="nil"/>
            </w:tcBorders>
            <w:shd w:val="clear" w:color="auto" w:fill="auto"/>
            <w:noWrap/>
            <w:vAlign w:val="center"/>
            <w:hideMark/>
          </w:tcPr>
          <w:p w14:paraId="21109BD8"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Train</w:t>
            </w:r>
          </w:p>
        </w:tc>
        <w:tc>
          <w:tcPr>
            <w:tcW w:w="409" w:type="pct"/>
            <w:tcBorders>
              <w:top w:val="nil"/>
              <w:left w:val="nil"/>
              <w:bottom w:val="nil"/>
              <w:right w:val="nil"/>
            </w:tcBorders>
            <w:shd w:val="clear" w:color="auto" w:fill="auto"/>
            <w:noWrap/>
            <w:vAlign w:val="center"/>
            <w:hideMark/>
          </w:tcPr>
          <w:p w14:paraId="15377C99"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Test</w:t>
            </w:r>
          </w:p>
        </w:tc>
        <w:tc>
          <w:tcPr>
            <w:tcW w:w="486" w:type="pct"/>
            <w:tcBorders>
              <w:top w:val="nil"/>
              <w:left w:val="nil"/>
              <w:bottom w:val="nil"/>
              <w:right w:val="nil"/>
            </w:tcBorders>
            <w:shd w:val="clear" w:color="auto" w:fill="auto"/>
            <w:noWrap/>
            <w:vAlign w:val="center"/>
            <w:hideMark/>
          </w:tcPr>
          <w:p w14:paraId="0CB3A5DE"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Train</w:t>
            </w:r>
          </w:p>
        </w:tc>
        <w:tc>
          <w:tcPr>
            <w:tcW w:w="408" w:type="pct"/>
            <w:tcBorders>
              <w:top w:val="nil"/>
              <w:left w:val="nil"/>
              <w:bottom w:val="nil"/>
              <w:right w:val="nil"/>
            </w:tcBorders>
            <w:shd w:val="clear" w:color="auto" w:fill="auto"/>
            <w:noWrap/>
            <w:vAlign w:val="center"/>
            <w:hideMark/>
          </w:tcPr>
          <w:p w14:paraId="62EEF689"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Test</w:t>
            </w:r>
          </w:p>
        </w:tc>
      </w:tr>
      <w:tr w:rsidR="006E2340" w:rsidRPr="006E2340" w14:paraId="2F179A0C" w14:textId="77777777" w:rsidTr="00993E7F">
        <w:trPr>
          <w:trHeight w:val="255"/>
        </w:trPr>
        <w:tc>
          <w:tcPr>
            <w:tcW w:w="451" w:type="pct"/>
            <w:tcBorders>
              <w:top w:val="nil"/>
              <w:left w:val="nil"/>
              <w:bottom w:val="nil"/>
              <w:right w:val="nil"/>
            </w:tcBorders>
            <w:shd w:val="clear" w:color="auto" w:fill="auto"/>
            <w:noWrap/>
            <w:vAlign w:val="center"/>
            <w:hideMark/>
          </w:tcPr>
          <w:p w14:paraId="0FA2416E"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0</w:t>
            </w:r>
          </w:p>
        </w:tc>
        <w:tc>
          <w:tcPr>
            <w:tcW w:w="486" w:type="pct"/>
            <w:tcBorders>
              <w:top w:val="nil"/>
              <w:left w:val="nil"/>
              <w:bottom w:val="nil"/>
              <w:right w:val="nil"/>
            </w:tcBorders>
            <w:shd w:val="clear" w:color="auto" w:fill="auto"/>
            <w:noWrap/>
            <w:vAlign w:val="center"/>
            <w:hideMark/>
          </w:tcPr>
          <w:p w14:paraId="5EB4DD85"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64%</w:t>
            </w:r>
          </w:p>
        </w:tc>
        <w:tc>
          <w:tcPr>
            <w:tcW w:w="410" w:type="pct"/>
            <w:tcBorders>
              <w:top w:val="nil"/>
              <w:left w:val="nil"/>
              <w:bottom w:val="nil"/>
              <w:right w:val="nil"/>
            </w:tcBorders>
            <w:shd w:val="clear" w:color="auto" w:fill="auto"/>
            <w:noWrap/>
            <w:vAlign w:val="center"/>
            <w:hideMark/>
          </w:tcPr>
          <w:p w14:paraId="5BA318DF"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65%</w:t>
            </w:r>
          </w:p>
        </w:tc>
        <w:tc>
          <w:tcPr>
            <w:tcW w:w="526" w:type="pct"/>
            <w:tcBorders>
              <w:top w:val="nil"/>
              <w:left w:val="nil"/>
              <w:bottom w:val="nil"/>
              <w:right w:val="nil"/>
            </w:tcBorders>
            <w:shd w:val="clear" w:color="auto" w:fill="auto"/>
            <w:noWrap/>
            <w:vAlign w:val="center"/>
            <w:hideMark/>
          </w:tcPr>
          <w:p w14:paraId="1AFE0FE3"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99%</w:t>
            </w:r>
          </w:p>
        </w:tc>
        <w:tc>
          <w:tcPr>
            <w:tcW w:w="443" w:type="pct"/>
            <w:tcBorders>
              <w:top w:val="nil"/>
              <w:left w:val="nil"/>
              <w:bottom w:val="nil"/>
              <w:right w:val="nil"/>
            </w:tcBorders>
            <w:shd w:val="clear" w:color="auto" w:fill="auto"/>
            <w:noWrap/>
            <w:vAlign w:val="center"/>
            <w:hideMark/>
          </w:tcPr>
          <w:p w14:paraId="1FB42805"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95%</w:t>
            </w:r>
          </w:p>
        </w:tc>
        <w:tc>
          <w:tcPr>
            <w:tcW w:w="486" w:type="pct"/>
            <w:tcBorders>
              <w:top w:val="nil"/>
              <w:left w:val="nil"/>
              <w:bottom w:val="nil"/>
              <w:right w:val="nil"/>
            </w:tcBorders>
            <w:shd w:val="clear" w:color="auto" w:fill="auto"/>
            <w:noWrap/>
            <w:vAlign w:val="center"/>
            <w:hideMark/>
          </w:tcPr>
          <w:p w14:paraId="5D701644"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99%</w:t>
            </w:r>
          </w:p>
        </w:tc>
        <w:tc>
          <w:tcPr>
            <w:tcW w:w="409" w:type="pct"/>
            <w:tcBorders>
              <w:top w:val="nil"/>
              <w:left w:val="nil"/>
              <w:bottom w:val="nil"/>
              <w:right w:val="nil"/>
            </w:tcBorders>
            <w:shd w:val="clear" w:color="auto" w:fill="auto"/>
            <w:noWrap/>
            <w:vAlign w:val="center"/>
            <w:hideMark/>
          </w:tcPr>
          <w:p w14:paraId="30130F5D"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94%</w:t>
            </w:r>
          </w:p>
        </w:tc>
        <w:tc>
          <w:tcPr>
            <w:tcW w:w="486" w:type="pct"/>
            <w:tcBorders>
              <w:top w:val="nil"/>
              <w:left w:val="nil"/>
              <w:bottom w:val="nil"/>
              <w:right w:val="nil"/>
            </w:tcBorders>
            <w:shd w:val="clear" w:color="auto" w:fill="auto"/>
            <w:noWrap/>
            <w:vAlign w:val="center"/>
            <w:hideMark/>
          </w:tcPr>
          <w:p w14:paraId="66412266"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97%</w:t>
            </w:r>
          </w:p>
        </w:tc>
        <w:tc>
          <w:tcPr>
            <w:tcW w:w="409" w:type="pct"/>
            <w:tcBorders>
              <w:top w:val="nil"/>
              <w:left w:val="nil"/>
              <w:bottom w:val="nil"/>
              <w:right w:val="nil"/>
            </w:tcBorders>
            <w:shd w:val="clear" w:color="auto" w:fill="auto"/>
            <w:noWrap/>
            <w:vAlign w:val="center"/>
            <w:hideMark/>
          </w:tcPr>
          <w:p w14:paraId="6BD1850F"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92%</w:t>
            </w:r>
          </w:p>
        </w:tc>
        <w:tc>
          <w:tcPr>
            <w:tcW w:w="486" w:type="pct"/>
            <w:tcBorders>
              <w:top w:val="nil"/>
              <w:left w:val="nil"/>
              <w:bottom w:val="nil"/>
              <w:right w:val="nil"/>
            </w:tcBorders>
            <w:shd w:val="clear" w:color="auto" w:fill="auto"/>
            <w:noWrap/>
            <w:vAlign w:val="center"/>
            <w:hideMark/>
          </w:tcPr>
          <w:p w14:paraId="5FEA80C4"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95%</w:t>
            </w:r>
          </w:p>
        </w:tc>
        <w:tc>
          <w:tcPr>
            <w:tcW w:w="408" w:type="pct"/>
            <w:tcBorders>
              <w:top w:val="nil"/>
              <w:left w:val="nil"/>
              <w:bottom w:val="nil"/>
              <w:right w:val="nil"/>
            </w:tcBorders>
            <w:shd w:val="clear" w:color="auto" w:fill="auto"/>
            <w:noWrap/>
            <w:vAlign w:val="center"/>
            <w:hideMark/>
          </w:tcPr>
          <w:p w14:paraId="425AC3D5"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87%</w:t>
            </w:r>
          </w:p>
        </w:tc>
      </w:tr>
      <w:tr w:rsidR="006E2340" w:rsidRPr="006E2340" w14:paraId="65F6C7BF" w14:textId="77777777" w:rsidTr="00993E7F">
        <w:trPr>
          <w:trHeight w:val="255"/>
        </w:trPr>
        <w:tc>
          <w:tcPr>
            <w:tcW w:w="451" w:type="pct"/>
            <w:tcBorders>
              <w:top w:val="nil"/>
              <w:left w:val="nil"/>
              <w:bottom w:val="nil"/>
              <w:right w:val="nil"/>
            </w:tcBorders>
            <w:shd w:val="clear" w:color="auto" w:fill="auto"/>
            <w:noWrap/>
            <w:vAlign w:val="center"/>
            <w:hideMark/>
          </w:tcPr>
          <w:p w14:paraId="377D85C4"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1</w:t>
            </w:r>
          </w:p>
        </w:tc>
        <w:tc>
          <w:tcPr>
            <w:tcW w:w="486" w:type="pct"/>
            <w:tcBorders>
              <w:top w:val="nil"/>
              <w:left w:val="nil"/>
              <w:bottom w:val="nil"/>
              <w:right w:val="nil"/>
            </w:tcBorders>
            <w:shd w:val="clear" w:color="auto" w:fill="auto"/>
            <w:noWrap/>
            <w:vAlign w:val="center"/>
            <w:hideMark/>
          </w:tcPr>
          <w:p w14:paraId="65818E03"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92%</w:t>
            </w:r>
          </w:p>
        </w:tc>
        <w:tc>
          <w:tcPr>
            <w:tcW w:w="410" w:type="pct"/>
            <w:tcBorders>
              <w:top w:val="nil"/>
              <w:left w:val="nil"/>
              <w:bottom w:val="nil"/>
              <w:right w:val="nil"/>
            </w:tcBorders>
            <w:shd w:val="clear" w:color="auto" w:fill="auto"/>
            <w:noWrap/>
            <w:vAlign w:val="center"/>
            <w:hideMark/>
          </w:tcPr>
          <w:p w14:paraId="3631F2D1"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87%</w:t>
            </w:r>
          </w:p>
        </w:tc>
        <w:tc>
          <w:tcPr>
            <w:tcW w:w="526" w:type="pct"/>
            <w:tcBorders>
              <w:top w:val="nil"/>
              <w:left w:val="nil"/>
              <w:bottom w:val="nil"/>
              <w:right w:val="nil"/>
            </w:tcBorders>
            <w:shd w:val="clear" w:color="auto" w:fill="auto"/>
            <w:noWrap/>
            <w:vAlign w:val="center"/>
            <w:hideMark/>
          </w:tcPr>
          <w:p w14:paraId="353CFAB7"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98%</w:t>
            </w:r>
          </w:p>
        </w:tc>
        <w:tc>
          <w:tcPr>
            <w:tcW w:w="443" w:type="pct"/>
            <w:tcBorders>
              <w:top w:val="nil"/>
              <w:left w:val="nil"/>
              <w:bottom w:val="nil"/>
              <w:right w:val="nil"/>
            </w:tcBorders>
            <w:shd w:val="clear" w:color="auto" w:fill="auto"/>
            <w:noWrap/>
            <w:vAlign w:val="center"/>
            <w:hideMark/>
          </w:tcPr>
          <w:p w14:paraId="7F6B208F"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94%</w:t>
            </w:r>
          </w:p>
        </w:tc>
        <w:tc>
          <w:tcPr>
            <w:tcW w:w="486" w:type="pct"/>
            <w:tcBorders>
              <w:top w:val="nil"/>
              <w:left w:val="nil"/>
              <w:bottom w:val="nil"/>
              <w:right w:val="nil"/>
            </w:tcBorders>
            <w:shd w:val="clear" w:color="auto" w:fill="auto"/>
            <w:noWrap/>
            <w:vAlign w:val="center"/>
            <w:hideMark/>
          </w:tcPr>
          <w:p w14:paraId="4BCD053C"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88%</w:t>
            </w:r>
          </w:p>
        </w:tc>
        <w:tc>
          <w:tcPr>
            <w:tcW w:w="409" w:type="pct"/>
            <w:tcBorders>
              <w:top w:val="nil"/>
              <w:left w:val="nil"/>
              <w:bottom w:val="nil"/>
              <w:right w:val="nil"/>
            </w:tcBorders>
            <w:shd w:val="clear" w:color="auto" w:fill="auto"/>
            <w:noWrap/>
            <w:vAlign w:val="center"/>
            <w:hideMark/>
          </w:tcPr>
          <w:p w14:paraId="134EAF3C"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86%</w:t>
            </w:r>
          </w:p>
        </w:tc>
        <w:tc>
          <w:tcPr>
            <w:tcW w:w="486" w:type="pct"/>
            <w:tcBorders>
              <w:top w:val="nil"/>
              <w:left w:val="nil"/>
              <w:bottom w:val="nil"/>
              <w:right w:val="nil"/>
            </w:tcBorders>
            <w:shd w:val="clear" w:color="auto" w:fill="auto"/>
            <w:noWrap/>
            <w:vAlign w:val="center"/>
            <w:hideMark/>
          </w:tcPr>
          <w:p w14:paraId="4CA53B81"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94%</w:t>
            </w:r>
          </w:p>
        </w:tc>
        <w:tc>
          <w:tcPr>
            <w:tcW w:w="409" w:type="pct"/>
            <w:tcBorders>
              <w:top w:val="nil"/>
              <w:left w:val="nil"/>
              <w:bottom w:val="nil"/>
              <w:right w:val="nil"/>
            </w:tcBorders>
            <w:shd w:val="clear" w:color="auto" w:fill="auto"/>
            <w:noWrap/>
            <w:vAlign w:val="center"/>
            <w:hideMark/>
          </w:tcPr>
          <w:p w14:paraId="79E8B23B"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82%</w:t>
            </w:r>
          </w:p>
        </w:tc>
        <w:tc>
          <w:tcPr>
            <w:tcW w:w="486" w:type="pct"/>
            <w:tcBorders>
              <w:top w:val="nil"/>
              <w:left w:val="nil"/>
              <w:bottom w:val="nil"/>
              <w:right w:val="nil"/>
            </w:tcBorders>
            <w:shd w:val="clear" w:color="auto" w:fill="auto"/>
            <w:noWrap/>
            <w:vAlign w:val="center"/>
            <w:hideMark/>
          </w:tcPr>
          <w:p w14:paraId="6F0A70A0"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97%</w:t>
            </w:r>
          </w:p>
        </w:tc>
        <w:tc>
          <w:tcPr>
            <w:tcW w:w="408" w:type="pct"/>
            <w:tcBorders>
              <w:top w:val="nil"/>
              <w:left w:val="nil"/>
              <w:bottom w:val="nil"/>
              <w:right w:val="nil"/>
            </w:tcBorders>
            <w:shd w:val="clear" w:color="auto" w:fill="auto"/>
            <w:noWrap/>
            <w:vAlign w:val="center"/>
            <w:hideMark/>
          </w:tcPr>
          <w:p w14:paraId="7E8F993D" w14:textId="77777777" w:rsidR="006E2340" w:rsidRPr="006E2340" w:rsidRDefault="006E2340" w:rsidP="006E2340">
            <w:pPr>
              <w:spacing w:before="0" w:after="0"/>
              <w:jc w:val="center"/>
              <w:rPr>
                <w:rFonts w:eastAsia="Times New Roman" w:cs="Calibri"/>
                <w:color w:val="000000"/>
                <w:sz w:val="20"/>
                <w:szCs w:val="20"/>
                <w:lang w:val="sr-Latn-RS" w:eastAsia="sr-Latn-RS"/>
              </w:rPr>
            </w:pPr>
            <w:r w:rsidRPr="006E2340">
              <w:rPr>
                <w:rFonts w:eastAsia="Times New Roman" w:cs="Calibri"/>
                <w:color w:val="000000"/>
                <w:sz w:val="20"/>
                <w:szCs w:val="20"/>
                <w:lang w:val="sr-Latn-RS" w:eastAsia="sr-Latn-RS"/>
              </w:rPr>
              <w:t>96%</w:t>
            </w:r>
          </w:p>
        </w:tc>
      </w:tr>
      <w:tr w:rsidR="006E2340" w:rsidRPr="006E2340" w14:paraId="2DA047A6" w14:textId="77777777" w:rsidTr="00993E7F">
        <w:trPr>
          <w:trHeight w:val="255"/>
        </w:trPr>
        <w:tc>
          <w:tcPr>
            <w:tcW w:w="451" w:type="pct"/>
            <w:tcBorders>
              <w:top w:val="nil"/>
              <w:left w:val="nil"/>
              <w:bottom w:val="single" w:sz="4" w:space="0" w:color="auto"/>
              <w:right w:val="nil"/>
            </w:tcBorders>
            <w:shd w:val="clear" w:color="auto" w:fill="auto"/>
            <w:noWrap/>
            <w:vAlign w:val="bottom"/>
            <w:hideMark/>
          </w:tcPr>
          <w:p w14:paraId="4759DDB4" w14:textId="3F8183FC" w:rsidR="006E2340" w:rsidRPr="006E2340" w:rsidRDefault="006A5C55" w:rsidP="006E2340">
            <w:pPr>
              <w:spacing w:before="0" w:after="0"/>
              <w:jc w:val="center"/>
              <w:rPr>
                <w:rFonts w:eastAsia="Times New Roman" w:cs="Calibri"/>
                <w:color w:val="000000"/>
                <w:sz w:val="20"/>
                <w:szCs w:val="20"/>
                <w:lang w:val="sr-Latn-RS" w:eastAsia="sr-Latn-RS"/>
              </w:rPr>
            </w:pPr>
            <w:r w:rsidRPr="00E67ABE">
              <w:rPr>
                <w:rFonts w:cs="Calibri"/>
                <w:color w:val="000000"/>
                <w:sz w:val="20"/>
                <w:szCs w:val="20"/>
              </w:rPr>
              <w:t>Σ</w:t>
            </w:r>
            <w:r>
              <w:rPr>
                <w:rFonts w:cs="Calibri"/>
                <w:color w:val="000000"/>
                <w:sz w:val="20"/>
                <w:szCs w:val="20"/>
                <w:vertAlign w:val="subscript"/>
              </w:rPr>
              <w:t>op</w:t>
            </w:r>
          </w:p>
        </w:tc>
        <w:tc>
          <w:tcPr>
            <w:tcW w:w="486" w:type="pct"/>
            <w:tcBorders>
              <w:top w:val="nil"/>
              <w:left w:val="nil"/>
              <w:bottom w:val="single" w:sz="4" w:space="0" w:color="auto"/>
              <w:right w:val="nil"/>
            </w:tcBorders>
            <w:shd w:val="clear" w:color="auto" w:fill="auto"/>
            <w:noWrap/>
            <w:vAlign w:val="center"/>
            <w:hideMark/>
          </w:tcPr>
          <w:p w14:paraId="5D9B0AC5" w14:textId="77777777" w:rsidR="006E2340" w:rsidRPr="006E2340" w:rsidRDefault="006E2340" w:rsidP="006E2340">
            <w:pPr>
              <w:spacing w:before="0" w:after="0"/>
              <w:jc w:val="center"/>
              <w:rPr>
                <w:rFonts w:eastAsia="Times New Roman" w:cs="Calibri"/>
                <w:b/>
                <w:bCs/>
                <w:color w:val="000000"/>
                <w:sz w:val="20"/>
                <w:szCs w:val="20"/>
                <w:lang w:val="sr-Latn-RS" w:eastAsia="sr-Latn-RS"/>
              </w:rPr>
            </w:pPr>
            <w:r w:rsidRPr="006E2340">
              <w:rPr>
                <w:rFonts w:eastAsia="Times New Roman" w:cs="Calibri"/>
                <w:b/>
                <w:bCs/>
                <w:color w:val="000000"/>
                <w:sz w:val="20"/>
                <w:szCs w:val="20"/>
                <w:lang w:val="sr-Latn-RS" w:eastAsia="sr-Latn-RS"/>
              </w:rPr>
              <w:t>78%</w:t>
            </w:r>
          </w:p>
        </w:tc>
        <w:tc>
          <w:tcPr>
            <w:tcW w:w="410" w:type="pct"/>
            <w:tcBorders>
              <w:top w:val="nil"/>
              <w:left w:val="nil"/>
              <w:bottom w:val="single" w:sz="4" w:space="0" w:color="auto"/>
              <w:right w:val="nil"/>
            </w:tcBorders>
            <w:shd w:val="clear" w:color="auto" w:fill="auto"/>
            <w:noWrap/>
            <w:vAlign w:val="center"/>
            <w:hideMark/>
          </w:tcPr>
          <w:p w14:paraId="1FF9133E" w14:textId="77777777" w:rsidR="006E2340" w:rsidRPr="006E2340" w:rsidRDefault="006E2340" w:rsidP="006E2340">
            <w:pPr>
              <w:spacing w:before="0" w:after="0"/>
              <w:jc w:val="center"/>
              <w:rPr>
                <w:rFonts w:eastAsia="Times New Roman" w:cs="Calibri"/>
                <w:b/>
                <w:bCs/>
                <w:color w:val="000000"/>
                <w:sz w:val="20"/>
                <w:szCs w:val="20"/>
                <w:lang w:val="sr-Latn-RS" w:eastAsia="sr-Latn-RS"/>
              </w:rPr>
            </w:pPr>
            <w:r w:rsidRPr="006E2340">
              <w:rPr>
                <w:rFonts w:eastAsia="Times New Roman" w:cs="Calibri"/>
                <w:b/>
                <w:bCs/>
                <w:color w:val="000000"/>
                <w:sz w:val="20"/>
                <w:szCs w:val="20"/>
                <w:lang w:val="sr-Latn-RS" w:eastAsia="sr-Latn-RS"/>
              </w:rPr>
              <w:t>75%</w:t>
            </w:r>
          </w:p>
        </w:tc>
        <w:tc>
          <w:tcPr>
            <w:tcW w:w="526" w:type="pct"/>
            <w:tcBorders>
              <w:top w:val="nil"/>
              <w:left w:val="nil"/>
              <w:bottom w:val="single" w:sz="4" w:space="0" w:color="auto"/>
              <w:right w:val="nil"/>
            </w:tcBorders>
            <w:shd w:val="clear" w:color="auto" w:fill="auto"/>
            <w:noWrap/>
            <w:vAlign w:val="center"/>
            <w:hideMark/>
          </w:tcPr>
          <w:p w14:paraId="3163E5AD" w14:textId="77777777" w:rsidR="006E2340" w:rsidRPr="006E2340" w:rsidRDefault="006E2340" w:rsidP="006E2340">
            <w:pPr>
              <w:spacing w:before="0" w:after="0"/>
              <w:jc w:val="center"/>
              <w:rPr>
                <w:rFonts w:eastAsia="Times New Roman" w:cs="Calibri"/>
                <w:b/>
                <w:bCs/>
                <w:color w:val="000000"/>
                <w:sz w:val="20"/>
                <w:szCs w:val="20"/>
                <w:lang w:val="sr-Latn-RS" w:eastAsia="sr-Latn-RS"/>
              </w:rPr>
            </w:pPr>
            <w:r w:rsidRPr="006E2340">
              <w:rPr>
                <w:rFonts w:eastAsia="Times New Roman" w:cs="Calibri"/>
                <w:b/>
                <w:bCs/>
                <w:color w:val="000000"/>
                <w:sz w:val="20"/>
                <w:szCs w:val="20"/>
                <w:lang w:val="sr-Latn-RS" w:eastAsia="sr-Latn-RS"/>
              </w:rPr>
              <w:t>99%</w:t>
            </w:r>
          </w:p>
        </w:tc>
        <w:tc>
          <w:tcPr>
            <w:tcW w:w="443" w:type="pct"/>
            <w:tcBorders>
              <w:top w:val="nil"/>
              <w:left w:val="nil"/>
              <w:bottom w:val="single" w:sz="4" w:space="0" w:color="auto"/>
              <w:right w:val="nil"/>
            </w:tcBorders>
            <w:shd w:val="clear" w:color="auto" w:fill="auto"/>
            <w:noWrap/>
            <w:vAlign w:val="center"/>
            <w:hideMark/>
          </w:tcPr>
          <w:p w14:paraId="606EE182" w14:textId="77777777" w:rsidR="006E2340" w:rsidRPr="006E2340" w:rsidRDefault="006E2340" w:rsidP="006E2340">
            <w:pPr>
              <w:spacing w:before="0" w:after="0"/>
              <w:jc w:val="center"/>
              <w:rPr>
                <w:rFonts w:eastAsia="Times New Roman" w:cs="Calibri"/>
                <w:b/>
                <w:bCs/>
                <w:color w:val="000000"/>
                <w:sz w:val="20"/>
                <w:szCs w:val="20"/>
                <w:lang w:val="sr-Latn-RS" w:eastAsia="sr-Latn-RS"/>
              </w:rPr>
            </w:pPr>
            <w:r w:rsidRPr="006E2340">
              <w:rPr>
                <w:rFonts w:eastAsia="Times New Roman" w:cs="Calibri"/>
                <w:b/>
                <w:bCs/>
                <w:color w:val="000000"/>
                <w:sz w:val="20"/>
                <w:szCs w:val="20"/>
                <w:lang w:val="sr-Latn-RS" w:eastAsia="sr-Latn-RS"/>
              </w:rPr>
              <w:t>95%</w:t>
            </w:r>
          </w:p>
        </w:tc>
        <w:tc>
          <w:tcPr>
            <w:tcW w:w="486" w:type="pct"/>
            <w:tcBorders>
              <w:top w:val="nil"/>
              <w:left w:val="nil"/>
              <w:bottom w:val="single" w:sz="4" w:space="0" w:color="auto"/>
              <w:right w:val="nil"/>
            </w:tcBorders>
            <w:shd w:val="clear" w:color="auto" w:fill="auto"/>
            <w:noWrap/>
            <w:vAlign w:val="center"/>
            <w:hideMark/>
          </w:tcPr>
          <w:p w14:paraId="18CE12E4" w14:textId="77777777" w:rsidR="006E2340" w:rsidRPr="006E2340" w:rsidRDefault="006E2340" w:rsidP="006E2340">
            <w:pPr>
              <w:spacing w:before="0" w:after="0"/>
              <w:jc w:val="center"/>
              <w:rPr>
                <w:rFonts w:eastAsia="Times New Roman" w:cs="Calibri"/>
                <w:b/>
                <w:bCs/>
                <w:color w:val="000000"/>
                <w:sz w:val="20"/>
                <w:szCs w:val="20"/>
                <w:lang w:val="sr-Latn-RS" w:eastAsia="sr-Latn-RS"/>
              </w:rPr>
            </w:pPr>
            <w:r w:rsidRPr="006E2340">
              <w:rPr>
                <w:rFonts w:eastAsia="Times New Roman" w:cs="Calibri"/>
                <w:b/>
                <w:bCs/>
                <w:color w:val="000000"/>
                <w:sz w:val="20"/>
                <w:szCs w:val="20"/>
                <w:lang w:val="sr-Latn-RS" w:eastAsia="sr-Latn-RS"/>
              </w:rPr>
              <w:t>94%</w:t>
            </w:r>
          </w:p>
        </w:tc>
        <w:tc>
          <w:tcPr>
            <w:tcW w:w="409" w:type="pct"/>
            <w:tcBorders>
              <w:top w:val="nil"/>
              <w:left w:val="nil"/>
              <w:bottom w:val="single" w:sz="4" w:space="0" w:color="auto"/>
              <w:right w:val="nil"/>
            </w:tcBorders>
            <w:shd w:val="clear" w:color="auto" w:fill="auto"/>
            <w:noWrap/>
            <w:vAlign w:val="center"/>
            <w:hideMark/>
          </w:tcPr>
          <w:p w14:paraId="34B7866D" w14:textId="77777777" w:rsidR="006E2340" w:rsidRPr="006E2340" w:rsidRDefault="006E2340" w:rsidP="006E2340">
            <w:pPr>
              <w:spacing w:before="0" w:after="0"/>
              <w:jc w:val="center"/>
              <w:rPr>
                <w:rFonts w:eastAsia="Times New Roman" w:cs="Calibri"/>
                <w:b/>
                <w:bCs/>
                <w:color w:val="000000"/>
                <w:sz w:val="20"/>
                <w:szCs w:val="20"/>
                <w:lang w:val="sr-Latn-RS" w:eastAsia="sr-Latn-RS"/>
              </w:rPr>
            </w:pPr>
            <w:r w:rsidRPr="006E2340">
              <w:rPr>
                <w:rFonts w:eastAsia="Times New Roman" w:cs="Calibri"/>
                <w:b/>
                <w:bCs/>
                <w:color w:val="000000"/>
                <w:sz w:val="20"/>
                <w:szCs w:val="20"/>
                <w:lang w:val="sr-Latn-RS" w:eastAsia="sr-Latn-RS"/>
              </w:rPr>
              <w:t>90%</w:t>
            </w:r>
          </w:p>
        </w:tc>
        <w:tc>
          <w:tcPr>
            <w:tcW w:w="486" w:type="pct"/>
            <w:tcBorders>
              <w:top w:val="nil"/>
              <w:left w:val="nil"/>
              <w:bottom w:val="single" w:sz="4" w:space="0" w:color="auto"/>
              <w:right w:val="nil"/>
            </w:tcBorders>
            <w:shd w:val="clear" w:color="auto" w:fill="auto"/>
            <w:noWrap/>
            <w:vAlign w:val="center"/>
            <w:hideMark/>
          </w:tcPr>
          <w:p w14:paraId="7FACD604" w14:textId="77777777" w:rsidR="006E2340" w:rsidRPr="006E2340" w:rsidRDefault="006E2340" w:rsidP="006E2340">
            <w:pPr>
              <w:spacing w:before="0" w:after="0"/>
              <w:jc w:val="center"/>
              <w:rPr>
                <w:rFonts w:eastAsia="Times New Roman" w:cs="Calibri"/>
                <w:b/>
                <w:bCs/>
                <w:color w:val="000000"/>
                <w:sz w:val="20"/>
                <w:szCs w:val="20"/>
                <w:lang w:val="sr-Latn-RS" w:eastAsia="sr-Latn-RS"/>
              </w:rPr>
            </w:pPr>
            <w:r w:rsidRPr="006E2340">
              <w:rPr>
                <w:rFonts w:eastAsia="Times New Roman" w:cs="Calibri"/>
                <w:b/>
                <w:bCs/>
                <w:color w:val="000000"/>
                <w:sz w:val="20"/>
                <w:szCs w:val="20"/>
                <w:lang w:val="sr-Latn-RS" w:eastAsia="sr-Latn-RS"/>
              </w:rPr>
              <w:t>95%</w:t>
            </w:r>
          </w:p>
        </w:tc>
        <w:tc>
          <w:tcPr>
            <w:tcW w:w="409" w:type="pct"/>
            <w:tcBorders>
              <w:top w:val="nil"/>
              <w:left w:val="nil"/>
              <w:bottom w:val="single" w:sz="4" w:space="0" w:color="auto"/>
              <w:right w:val="nil"/>
            </w:tcBorders>
            <w:shd w:val="clear" w:color="auto" w:fill="auto"/>
            <w:noWrap/>
            <w:vAlign w:val="center"/>
            <w:hideMark/>
          </w:tcPr>
          <w:p w14:paraId="249B502A" w14:textId="77777777" w:rsidR="006E2340" w:rsidRPr="006E2340" w:rsidRDefault="006E2340" w:rsidP="006E2340">
            <w:pPr>
              <w:spacing w:before="0" w:after="0"/>
              <w:jc w:val="center"/>
              <w:rPr>
                <w:rFonts w:eastAsia="Times New Roman" w:cs="Calibri"/>
                <w:b/>
                <w:bCs/>
                <w:color w:val="000000"/>
                <w:sz w:val="20"/>
                <w:szCs w:val="20"/>
                <w:lang w:val="sr-Latn-RS" w:eastAsia="sr-Latn-RS"/>
              </w:rPr>
            </w:pPr>
            <w:r w:rsidRPr="006E2340">
              <w:rPr>
                <w:rFonts w:eastAsia="Times New Roman" w:cs="Calibri"/>
                <w:b/>
                <w:bCs/>
                <w:color w:val="000000"/>
                <w:sz w:val="20"/>
                <w:szCs w:val="20"/>
                <w:lang w:val="sr-Latn-RS" w:eastAsia="sr-Latn-RS"/>
              </w:rPr>
              <w:t>87%</w:t>
            </w:r>
          </w:p>
        </w:tc>
        <w:tc>
          <w:tcPr>
            <w:tcW w:w="486" w:type="pct"/>
            <w:tcBorders>
              <w:top w:val="nil"/>
              <w:left w:val="nil"/>
              <w:bottom w:val="single" w:sz="4" w:space="0" w:color="auto"/>
              <w:right w:val="nil"/>
            </w:tcBorders>
            <w:shd w:val="clear" w:color="auto" w:fill="auto"/>
            <w:noWrap/>
            <w:vAlign w:val="center"/>
            <w:hideMark/>
          </w:tcPr>
          <w:p w14:paraId="755F26B5" w14:textId="77777777" w:rsidR="006E2340" w:rsidRPr="006E2340" w:rsidRDefault="006E2340" w:rsidP="006E2340">
            <w:pPr>
              <w:spacing w:before="0" w:after="0"/>
              <w:jc w:val="center"/>
              <w:rPr>
                <w:rFonts w:eastAsia="Times New Roman" w:cs="Calibri"/>
                <w:b/>
                <w:bCs/>
                <w:color w:val="000000"/>
                <w:sz w:val="20"/>
                <w:szCs w:val="20"/>
                <w:lang w:val="sr-Latn-RS" w:eastAsia="sr-Latn-RS"/>
              </w:rPr>
            </w:pPr>
            <w:r w:rsidRPr="006E2340">
              <w:rPr>
                <w:rFonts w:eastAsia="Times New Roman" w:cs="Calibri"/>
                <w:b/>
                <w:bCs/>
                <w:color w:val="000000"/>
                <w:sz w:val="20"/>
                <w:szCs w:val="20"/>
                <w:lang w:val="sr-Latn-RS" w:eastAsia="sr-Latn-RS"/>
              </w:rPr>
              <w:t>96%</w:t>
            </w:r>
          </w:p>
        </w:tc>
        <w:tc>
          <w:tcPr>
            <w:tcW w:w="408" w:type="pct"/>
            <w:tcBorders>
              <w:top w:val="nil"/>
              <w:left w:val="nil"/>
              <w:bottom w:val="single" w:sz="4" w:space="0" w:color="auto"/>
              <w:right w:val="nil"/>
            </w:tcBorders>
            <w:shd w:val="clear" w:color="auto" w:fill="auto"/>
            <w:noWrap/>
            <w:vAlign w:val="center"/>
            <w:hideMark/>
          </w:tcPr>
          <w:p w14:paraId="5E5CEA95" w14:textId="77777777" w:rsidR="006E2340" w:rsidRPr="006E2340" w:rsidRDefault="006E2340" w:rsidP="006E2340">
            <w:pPr>
              <w:spacing w:before="0" w:after="0"/>
              <w:jc w:val="center"/>
              <w:rPr>
                <w:rFonts w:eastAsia="Times New Roman" w:cs="Calibri"/>
                <w:b/>
                <w:bCs/>
                <w:color w:val="000000"/>
                <w:sz w:val="20"/>
                <w:szCs w:val="20"/>
                <w:lang w:val="sr-Latn-RS" w:eastAsia="sr-Latn-RS"/>
              </w:rPr>
            </w:pPr>
            <w:r w:rsidRPr="006E2340">
              <w:rPr>
                <w:rFonts w:eastAsia="Times New Roman" w:cs="Calibri"/>
                <w:b/>
                <w:bCs/>
                <w:color w:val="000000"/>
                <w:sz w:val="20"/>
                <w:szCs w:val="20"/>
                <w:lang w:val="sr-Latn-RS" w:eastAsia="sr-Latn-RS"/>
              </w:rPr>
              <w:t>91%</w:t>
            </w:r>
          </w:p>
        </w:tc>
      </w:tr>
      <w:tr w:rsidR="006E2340" w:rsidRPr="006E2340" w14:paraId="42AEE987" w14:textId="77777777" w:rsidTr="006E2340">
        <w:trPr>
          <w:trHeight w:val="255"/>
        </w:trPr>
        <w:tc>
          <w:tcPr>
            <w:tcW w:w="5000" w:type="pct"/>
            <w:gridSpan w:val="11"/>
            <w:tcBorders>
              <w:top w:val="single" w:sz="4" w:space="0" w:color="auto"/>
              <w:left w:val="nil"/>
              <w:right w:val="nil"/>
            </w:tcBorders>
            <w:shd w:val="clear" w:color="auto" w:fill="auto"/>
            <w:noWrap/>
          </w:tcPr>
          <w:p w14:paraId="26BD2E88" w14:textId="77EED67E" w:rsidR="006E2340" w:rsidRPr="006E2340" w:rsidRDefault="006E2340" w:rsidP="006E2340">
            <w:pPr>
              <w:spacing w:before="0" w:after="0"/>
              <w:jc w:val="left"/>
              <w:rPr>
                <w:rFonts w:eastAsia="Times New Roman" w:cs="Calibri"/>
                <w:color w:val="000000"/>
                <w:sz w:val="18"/>
                <w:szCs w:val="18"/>
                <w:lang w:eastAsia="sr-Latn-RS"/>
              </w:rPr>
            </w:pPr>
            <w:r>
              <w:rPr>
                <w:rFonts w:eastAsia="Times New Roman" w:cs="Calibri"/>
                <w:color w:val="000000"/>
                <w:sz w:val="18"/>
                <w:szCs w:val="18"/>
                <w:lang w:val="sr-Latn-RS" w:eastAsia="sr-Latn-RS"/>
              </w:rPr>
              <w:t>NOTE</w:t>
            </w:r>
            <w:r>
              <w:rPr>
                <w:rFonts w:eastAsia="Times New Roman" w:cs="Calibri"/>
                <w:color w:val="000000"/>
                <w:sz w:val="18"/>
                <w:szCs w:val="18"/>
                <w:lang w:eastAsia="sr-Latn-RS"/>
              </w:rPr>
              <w:t xml:space="preserve">: 0 = None; 1 = Quasi-fault; </w:t>
            </w:r>
            <w:r w:rsidR="00354C24" w:rsidRPr="006E2340">
              <w:rPr>
                <w:rFonts w:eastAsia="Times New Roman" w:cs="Calibri"/>
                <w:color w:val="000000"/>
                <w:sz w:val="20"/>
                <w:szCs w:val="20"/>
                <w:lang w:val="sr-Latn-RS" w:eastAsia="sr-Latn-RS"/>
              </w:rPr>
              <w:t>Σ</w:t>
            </w:r>
            <w:r w:rsidR="00354C24">
              <w:rPr>
                <w:rFonts w:eastAsia="Times New Roman" w:cs="Calibri"/>
                <w:color w:val="000000"/>
                <w:sz w:val="20"/>
                <w:szCs w:val="20"/>
                <w:lang w:val="sr-Latn-RS" w:eastAsia="sr-Latn-RS"/>
              </w:rPr>
              <w:t xml:space="preserve"> = Overall percentage classification.</w:t>
            </w:r>
          </w:p>
        </w:tc>
      </w:tr>
    </w:tbl>
    <w:p w14:paraId="2DD9B8C3" w14:textId="6ECF9046" w:rsidR="00993E7F" w:rsidRDefault="00993E7F" w:rsidP="00993E7F">
      <w:pPr>
        <w:rPr>
          <w:lang w:val="en-GB"/>
        </w:rPr>
      </w:pPr>
      <w:r>
        <w:rPr>
          <w:lang w:val="en-GB"/>
        </w:rPr>
        <w:t xml:space="preserve">Firstly, let us observe the results given in </w:t>
      </w:r>
      <w:r>
        <w:rPr>
          <w:lang w:val="en-GB"/>
        </w:rPr>
        <w:fldChar w:fldCharType="begin"/>
      </w:r>
      <w:r>
        <w:rPr>
          <w:lang w:val="en-GB"/>
        </w:rPr>
        <w:instrText xml:space="preserve"> REF _Ref99630715 \h </w:instrText>
      </w:r>
      <w:r>
        <w:rPr>
          <w:lang w:val="en-GB"/>
        </w:rPr>
      </w:r>
      <w:r>
        <w:rPr>
          <w:lang w:val="en-GB"/>
        </w:rPr>
        <w:fldChar w:fldCharType="separate"/>
      </w:r>
      <w:r w:rsidR="00587AF0">
        <w:t xml:space="preserve">Table </w:t>
      </w:r>
      <w:r w:rsidR="00587AF0">
        <w:rPr>
          <w:noProof/>
        </w:rPr>
        <w:t>74</w:t>
      </w:r>
      <w:r>
        <w:rPr>
          <w:lang w:val="en-GB"/>
        </w:rPr>
        <w:fldChar w:fldCharType="end"/>
      </w:r>
      <w:r>
        <w:rPr>
          <w:lang w:val="en-GB"/>
        </w:rPr>
        <w:t xml:space="preserve">. Simple observation of results given by training data by each </w:t>
      </w:r>
      <w:r w:rsidR="00CD2439">
        <w:rPr>
          <w:lang w:val="en-GB"/>
        </w:rPr>
        <w:t>model infers a simple conclusion that data processing requires a</w:t>
      </w:r>
      <w:r>
        <w:rPr>
          <w:lang w:val="en-GB"/>
        </w:rPr>
        <w:t xml:space="preserve"> non-parametric approach. Such inference can be obtained by the performance of </w:t>
      </w:r>
      <w:r w:rsidR="00CD2439">
        <w:rPr>
          <w:lang w:val="en-GB"/>
        </w:rPr>
        <w:t xml:space="preserve">the </w:t>
      </w:r>
      <w:r>
        <w:rPr>
          <w:lang w:val="en-GB"/>
        </w:rPr>
        <w:t>GNB model</w:t>
      </w:r>
      <w:r w:rsidR="00CD2439">
        <w:rPr>
          <w:lang w:val="en-GB"/>
        </w:rPr>
        <w:t>,</w:t>
      </w:r>
      <w:r>
        <w:rPr>
          <w:lang w:val="en-GB"/>
        </w:rPr>
        <w:t xml:space="preserve"> which induces the primary assumption of data normality.  </w:t>
      </w:r>
      <w:r w:rsidR="00CD2439">
        <w:rPr>
          <w:lang w:val="en-GB"/>
        </w:rPr>
        <w:t>However, if it requires data normality to be respected, it does not</w:t>
      </w:r>
      <w:r>
        <w:rPr>
          <w:lang w:val="en-GB"/>
        </w:rPr>
        <w:t xml:space="preserve"> exclude a linear discriminant separation of non-parametric data. Therefore, using vector-discriminant analysis (e.g., SVM in </w:t>
      </w:r>
      <w:r>
        <w:rPr>
          <w:lang w:val="en-GB"/>
        </w:rPr>
        <w:fldChar w:fldCharType="begin"/>
      </w:r>
      <w:r>
        <w:rPr>
          <w:lang w:val="en-GB"/>
        </w:rPr>
        <w:instrText xml:space="preserve"> REF _Ref99634063 \h </w:instrText>
      </w:r>
      <w:r>
        <w:rPr>
          <w:lang w:val="en-GB"/>
        </w:rPr>
      </w:r>
      <w:r>
        <w:rPr>
          <w:lang w:val="en-GB"/>
        </w:rPr>
        <w:fldChar w:fldCharType="separate"/>
      </w:r>
      <w:r w:rsidR="00587AF0">
        <w:t xml:space="preserve">Appendix </w:t>
      </w:r>
      <w:r w:rsidR="00587AF0">
        <w:rPr>
          <w:noProof/>
        </w:rPr>
        <w:t>14</w:t>
      </w:r>
      <w:r>
        <w:rPr>
          <w:lang w:val="en-GB"/>
        </w:rPr>
        <w:fldChar w:fldCharType="end"/>
      </w:r>
      <w:r>
        <w:rPr>
          <w:lang w:val="en-GB"/>
        </w:rPr>
        <w:t>) or “Support Vectors” in separating data labels</w:t>
      </w:r>
      <w:r w:rsidR="00CD2439">
        <w:rPr>
          <w:lang w:val="en-GB"/>
        </w:rPr>
        <w:t xml:space="preserve"> shows</w:t>
      </w:r>
      <w:r>
        <w:rPr>
          <w:lang w:val="en-GB"/>
        </w:rPr>
        <w:t xml:space="preserve"> poor prediction results. Even changing the hyperparameters (which was not conducted for model performance bias) shows that maximum accuracy of 94% at best was achieved by SVM. Therefore, using both parametric (simple ANN and LR) and non-parametric (CART and kNN), the results show that </w:t>
      </w:r>
      <w:r w:rsidR="00CD2439">
        <w:rPr>
          <w:lang w:val="en-GB"/>
        </w:rPr>
        <w:t>parametric, specifically ANN, shows the overall best performance in this cas</w:t>
      </w:r>
      <w:r>
        <w:rPr>
          <w:lang w:val="en-GB"/>
        </w:rPr>
        <w:t>e. Finally, it can be observed that kNN (</w:t>
      </w:r>
      <w:r>
        <w:rPr>
          <w:lang w:val="en-GB"/>
        </w:rPr>
        <w:fldChar w:fldCharType="begin"/>
      </w:r>
      <w:r>
        <w:rPr>
          <w:lang w:val="en-GB"/>
        </w:rPr>
        <w:instrText xml:space="preserve"> REF _Ref99630651 \h </w:instrText>
      </w:r>
      <w:r>
        <w:rPr>
          <w:lang w:val="en-GB"/>
        </w:rPr>
      </w:r>
      <w:r>
        <w:rPr>
          <w:lang w:val="en-GB"/>
        </w:rPr>
        <w:fldChar w:fldCharType="separate"/>
      </w:r>
      <w:r w:rsidR="00587AF0">
        <w:t xml:space="preserve">Figure </w:t>
      </w:r>
      <w:r w:rsidR="00587AF0">
        <w:rPr>
          <w:noProof/>
        </w:rPr>
        <w:t>121</w:t>
      </w:r>
      <w:r>
        <w:rPr>
          <w:lang w:val="en-GB"/>
        </w:rPr>
        <w:fldChar w:fldCharType="end"/>
      </w:r>
      <w:r>
        <w:rPr>
          <w:lang w:val="en-GB"/>
        </w:rPr>
        <w:t xml:space="preserve">) shows the absolute best performance concerning the classification results of </w:t>
      </w:r>
      <w:r w:rsidR="00CD2439">
        <w:rPr>
          <w:lang w:val="en-GB"/>
        </w:rPr>
        <w:t xml:space="preserve">the </w:t>
      </w:r>
      <w:r>
        <w:rPr>
          <w:lang w:val="en-GB"/>
        </w:rPr>
        <w:t xml:space="preserve">“Quasi-fault” label, meaning that the kNN algorithm outperforms ANN and should be investigated </w:t>
      </w:r>
      <w:r w:rsidR="001E0821">
        <w:rPr>
          <w:lang w:val="en-GB"/>
        </w:rPr>
        <w:t>further to see whether the classification is reasonable in the second case due to high accuracy of “Quasi-fault” labels.</w:t>
      </w:r>
    </w:p>
    <w:p w14:paraId="15A3E185" w14:textId="77777777" w:rsidR="00A44610" w:rsidRDefault="00A44610" w:rsidP="00A44610">
      <w:pPr>
        <w:keepNext/>
        <w:spacing w:before="0" w:after="160" w:line="259" w:lineRule="auto"/>
        <w:jc w:val="left"/>
      </w:pPr>
      <w:r>
        <w:rPr>
          <w:noProof/>
        </w:rPr>
        <w:drawing>
          <wp:inline distT="0" distB="0" distL="0" distR="0" wp14:anchorId="4F67D267" wp14:editId="6079CE67">
            <wp:extent cx="5638800" cy="2880000"/>
            <wp:effectExtent l="0" t="0" r="0" b="0"/>
            <wp:docPr id="136" name="Chart 136">
              <a:extLst xmlns:a="http://schemas.openxmlformats.org/drawingml/2006/main">
                <a:ext uri="{FF2B5EF4-FFF2-40B4-BE49-F238E27FC236}">
                  <a16:creationId xmlns:a16="http://schemas.microsoft.com/office/drawing/2014/main" id="{7FF569A2-AEC6-411B-AFFC-9686A42A93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4B0F63BD" w14:textId="507E3A6A" w:rsidR="00A44610" w:rsidRDefault="00A44610" w:rsidP="00A44610">
      <w:pPr>
        <w:pStyle w:val="Caption"/>
      </w:pPr>
      <w:bookmarkStart w:id="720" w:name="_Ref99630651"/>
      <w:bookmarkStart w:id="721" w:name="_Toc101274643"/>
      <w:r>
        <w:t xml:space="preserve">Figure </w:t>
      </w:r>
      <w:fldSimple w:instr=" SEQ Figure \* ARABIC ">
        <w:r w:rsidR="00587AF0">
          <w:rPr>
            <w:noProof/>
          </w:rPr>
          <w:t>121</w:t>
        </w:r>
      </w:fldSimple>
      <w:bookmarkEnd w:id="720"/>
      <w:r>
        <w:t>. Classification results of ML algorithms’ testing dataset at opening saddle position</w:t>
      </w:r>
      <w:bookmarkEnd w:id="721"/>
    </w:p>
    <w:p w14:paraId="0B435C72" w14:textId="77777777" w:rsidR="002E5AF2" w:rsidRDefault="002E5AF2">
      <w:pPr>
        <w:spacing w:before="0" w:after="160" w:line="259" w:lineRule="auto"/>
        <w:jc w:val="left"/>
      </w:pPr>
    </w:p>
    <w:p w14:paraId="325F69AE" w14:textId="0E45629C" w:rsidR="006E1B45" w:rsidRPr="00A42B77" w:rsidRDefault="00A42B77" w:rsidP="00E67ABE">
      <w:pPr>
        <w:pStyle w:val="Caption"/>
        <w:jc w:val="both"/>
      </w:pPr>
      <w:bookmarkStart w:id="722" w:name="_Ref99629717"/>
      <w:r>
        <w:lastRenderedPageBreak/>
        <w:t xml:space="preserve">Although the main idea of monitoring idle saddle position signal behaviour is to investigate the </w:t>
      </w:r>
      <w:r w:rsidR="003C7F6B">
        <w:t xml:space="preserve">reaction </w:t>
      </w:r>
      <w:r>
        <w:t xml:space="preserve">time </w:t>
      </w:r>
      <w:r w:rsidR="003C7F6B">
        <w:t xml:space="preserve">of </w:t>
      </w:r>
      <w:r>
        <w:t>hydraulic power</w:t>
      </w:r>
      <w:r w:rsidR="003C7F6B">
        <w:t xml:space="preserve"> signal (e.g., length and amplitude) for discovering anomalies in the signal</w:t>
      </w:r>
      <w:r w:rsidR="00CD2439">
        <w:t>, a</w:t>
      </w:r>
      <w:r w:rsidR="003C7F6B">
        <w:t>s such, cases with slow response and potential anomalies recorded during the experiment are labelled as suggested: “None” and “Quasi-failure”. The results of classification show again that ANN show the best accuracy of classification (</w:t>
      </w:r>
      <w:r w:rsidR="003C7F6B">
        <w:fldChar w:fldCharType="begin"/>
      </w:r>
      <w:r w:rsidR="003C7F6B">
        <w:instrText xml:space="preserve"> REF _Ref99702721 \h </w:instrText>
      </w:r>
      <w:r w:rsidR="003C7F6B">
        <w:fldChar w:fldCharType="separate"/>
      </w:r>
      <w:r w:rsidR="00587AF0">
        <w:t xml:space="preserve">Table </w:t>
      </w:r>
      <w:r w:rsidR="00587AF0">
        <w:rPr>
          <w:noProof/>
        </w:rPr>
        <w:t>75</w:t>
      </w:r>
      <w:r w:rsidR="003C7F6B">
        <w:fldChar w:fldCharType="end"/>
      </w:r>
      <w:r w:rsidR="003C7F6B">
        <w:t>), while LR and kNN also show significant classification score.</w:t>
      </w:r>
    </w:p>
    <w:p w14:paraId="67CDB433" w14:textId="15B89FAB" w:rsidR="000E4BFE" w:rsidRDefault="00E67ABE" w:rsidP="00E67ABE">
      <w:pPr>
        <w:pStyle w:val="Caption"/>
        <w:jc w:val="both"/>
      </w:pPr>
      <w:bookmarkStart w:id="723" w:name="_Ref99702721"/>
      <w:bookmarkStart w:id="724" w:name="_Toc101274515"/>
      <w:r>
        <w:t xml:space="preserve">Table </w:t>
      </w:r>
      <w:fldSimple w:instr=" SEQ Table \* ARABIC ">
        <w:r w:rsidR="00587AF0">
          <w:rPr>
            <w:noProof/>
          </w:rPr>
          <w:t>75</w:t>
        </w:r>
      </w:fldSimple>
      <w:bookmarkEnd w:id="722"/>
      <w:bookmarkEnd w:id="723"/>
      <w:r>
        <w:t>. Classification matrix for idle saddle position’ data</w:t>
      </w:r>
      <w:bookmarkEnd w:id="724"/>
    </w:p>
    <w:tbl>
      <w:tblPr>
        <w:tblW w:w="5000" w:type="pct"/>
        <w:tblLook w:val="04A0" w:firstRow="1" w:lastRow="0" w:firstColumn="1" w:lastColumn="0" w:noHBand="0" w:noVBand="1"/>
      </w:tblPr>
      <w:tblGrid>
        <w:gridCol w:w="821"/>
        <w:gridCol w:w="885"/>
        <w:gridCol w:w="758"/>
        <w:gridCol w:w="906"/>
        <w:gridCol w:w="735"/>
        <w:gridCol w:w="885"/>
        <w:gridCol w:w="758"/>
        <w:gridCol w:w="885"/>
        <w:gridCol w:w="758"/>
        <w:gridCol w:w="885"/>
        <w:gridCol w:w="751"/>
      </w:tblGrid>
      <w:tr w:rsidR="00E67ABE" w:rsidRPr="00E67ABE" w14:paraId="365E8285" w14:textId="77777777" w:rsidTr="00E67ABE">
        <w:trPr>
          <w:trHeight w:val="255"/>
        </w:trPr>
        <w:tc>
          <w:tcPr>
            <w:tcW w:w="455" w:type="pct"/>
            <w:tcBorders>
              <w:top w:val="single" w:sz="4" w:space="0" w:color="auto"/>
              <w:left w:val="nil"/>
              <w:bottom w:val="single" w:sz="4" w:space="0" w:color="auto"/>
              <w:right w:val="nil"/>
            </w:tcBorders>
            <w:shd w:val="clear" w:color="auto" w:fill="auto"/>
            <w:noWrap/>
            <w:vAlign w:val="bottom"/>
            <w:hideMark/>
          </w:tcPr>
          <w:p w14:paraId="0E9A11FF" w14:textId="77777777" w:rsidR="00E67ABE" w:rsidRPr="00E67ABE" w:rsidRDefault="00E67ABE" w:rsidP="00E67ABE">
            <w:pPr>
              <w:spacing w:before="0" w:after="0"/>
              <w:jc w:val="left"/>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 </w:t>
            </w:r>
          </w:p>
        </w:tc>
        <w:tc>
          <w:tcPr>
            <w:tcW w:w="909" w:type="pct"/>
            <w:gridSpan w:val="2"/>
            <w:tcBorders>
              <w:top w:val="single" w:sz="4" w:space="0" w:color="auto"/>
              <w:left w:val="nil"/>
              <w:bottom w:val="single" w:sz="4" w:space="0" w:color="auto"/>
              <w:right w:val="nil"/>
            </w:tcBorders>
            <w:shd w:val="clear" w:color="auto" w:fill="auto"/>
            <w:noWrap/>
            <w:vAlign w:val="bottom"/>
            <w:hideMark/>
          </w:tcPr>
          <w:p w14:paraId="47B10A60" w14:textId="77777777" w:rsidR="00E67ABE" w:rsidRPr="00E67ABE" w:rsidRDefault="00E67ABE" w:rsidP="00E67ABE">
            <w:pPr>
              <w:spacing w:before="0" w:after="0"/>
              <w:jc w:val="center"/>
              <w:rPr>
                <w:rFonts w:eastAsia="Times New Roman" w:cs="Calibri"/>
                <w:b/>
                <w:bCs/>
                <w:color w:val="000000"/>
                <w:sz w:val="20"/>
                <w:szCs w:val="20"/>
                <w:lang w:val="sr-Latn-RS" w:eastAsia="sr-Latn-RS"/>
              </w:rPr>
            </w:pPr>
            <w:r w:rsidRPr="00E67ABE">
              <w:rPr>
                <w:rFonts w:eastAsia="Times New Roman" w:cs="Calibri"/>
                <w:b/>
                <w:bCs/>
                <w:color w:val="000000"/>
                <w:sz w:val="20"/>
                <w:szCs w:val="20"/>
                <w:lang w:val="sr-Latn-RS" w:eastAsia="sr-Latn-RS"/>
              </w:rPr>
              <w:t>GNB</w:t>
            </w:r>
          </w:p>
        </w:tc>
        <w:tc>
          <w:tcPr>
            <w:tcW w:w="909" w:type="pct"/>
            <w:gridSpan w:val="2"/>
            <w:tcBorders>
              <w:top w:val="single" w:sz="4" w:space="0" w:color="auto"/>
              <w:left w:val="nil"/>
              <w:bottom w:val="single" w:sz="4" w:space="0" w:color="auto"/>
              <w:right w:val="nil"/>
            </w:tcBorders>
            <w:shd w:val="clear" w:color="auto" w:fill="auto"/>
            <w:noWrap/>
            <w:vAlign w:val="bottom"/>
            <w:hideMark/>
          </w:tcPr>
          <w:p w14:paraId="6DE7DB31" w14:textId="77777777" w:rsidR="00E67ABE" w:rsidRPr="00E67ABE" w:rsidRDefault="00E67ABE" w:rsidP="00E67ABE">
            <w:pPr>
              <w:spacing w:before="0" w:after="0"/>
              <w:jc w:val="center"/>
              <w:rPr>
                <w:rFonts w:eastAsia="Times New Roman" w:cs="Calibri"/>
                <w:b/>
                <w:bCs/>
                <w:color w:val="000000"/>
                <w:sz w:val="20"/>
                <w:szCs w:val="20"/>
                <w:lang w:val="sr-Latn-RS" w:eastAsia="sr-Latn-RS"/>
              </w:rPr>
            </w:pPr>
            <w:r w:rsidRPr="00E67ABE">
              <w:rPr>
                <w:rFonts w:eastAsia="Times New Roman" w:cs="Calibri"/>
                <w:b/>
                <w:bCs/>
                <w:color w:val="000000"/>
                <w:sz w:val="20"/>
                <w:szCs w:val="20"/>
                <w:lang w:val="sr-Latn-RS" w:eastAsia="sr-Latn-RS"/>
              </w:rPr>
              <w:t>ANN</w:t>
            </w:r>
          </w:p>
        </w:tc>
        <w:tc>
          <w:tcPr>
            <w:tcW w:w="909" w:type="pct"/>
            <w:gridSpan w:val="2"/>
            <w:tcBorders>
              <w:top w:val="single" w:sz="4" w:space="0" w:color="auto"/>
              <w:left w:val="nil"/>
              <w:bottom w:val="single" w:sz="4" w:space="0" w:color="auto"/>
              <w:right w:val="nil"/>
            </w:tcBorders>
            <w:shd w:val="clear" w:color="auto" w:fill="auto"/>
            <w:noWrap/>
            <w:vAlign w:val="bottom"/>
            <w:hideMark/>
          </w:tcPr>
          <w:p w14:paraId="72D0CA3A" w14:textId="77777777" w:rsidR="00E67ABE" w:rsidRPr="00E67ABE" w:rsidRDefault="00E67ABE" w:rsidP="00E67ABE">
            <w:pPr>
              <w:spacing w:before="0" w:after="0"/>
              <w:jc w:val="center"/>
              <w:rPr>
                <w:rFonts w:eastAsia="Times New Roman" w:cs="Calibri"/>
                <w:b/>
                <w:bCs/>
                <w:color w:val="000000"/>
                <w:sz w:val="20"/>
                <w:szCs w:val="20"/>
                <w:lang w:val="sr-Latn-RS" w:eastAsia="sr-Latn-RS"/>
              </w:rPr>
            </w:pPr>
            <w:r w:rsidRPr="00E67ABE">
              <w:rPr>
                <w:rFonts w:eastAsia="Times New Roman" w:cs="Calibri"/>
                <w:b/>
                <w:bCs/>
                <w:color w:val="000000"/>
                <w:sz w:val="20"/>
                <w:szCs w:val="20"/>
                <w:lang w:val="sr-Latn-RS" w:eastAsia="sr-Latn-RS"/>
              </w:rPr>
              <w:t>CART</w:t>
            </w:r>
          </w:p>
        </w:tc>
        <w:tc>
          <w:tcPr>
            <w:tcW w:w="909" w:type="pct"/>
            <w:gridSpan w:val="2"/>
            <w:tcBorders>
              <w:top w:val="single" w:sz="4" w:space="0" w:color="auto"/>
              <w:left w:val="nil"/>
              <w:bottom w:val="single" w:sz="4" w:space="0" w:color="auto"/>
              <w:right w:val="nil"/>
            </w:tcBorders>
            <w:shd w:val="clear" w:color="auto" w:fill="auto"/>
            <w:noWrap/>
            <w:vAlign w:val="bottom"/>
            <w:hideMark/>
          </w:tcPr>
          <w:p w14:paraId="4EEB14C5" w14:textId="77777777" w:rsidR="00E67ABE" w:rsidRPr="00E67ABE" w:rsidRDefault="00E67ABE" w:rsidP="00E67ABE">
            <w:pPr>
              <w:spacing w:before="0" w:after="0"/>
              <w:jc w:val="center"/>
              <w:rPr>
                <w:rFonts w:eastAsia="Times New Roman" w:cs="Calibri"/>
                <w:b/>
                <w:bCs/>
                <w:color w:val="000000"/>
                <w:sz w:val="20"/>
                <w:szCs w:val="20"/>
                <w:lang w:val="sr-Latn-RS" w:eastAsia="sr-Latn-RS"/>
              </w:rPr>
            </w:pPr>
            <w:r w:rsidRPr="00E67ABE">
              <w:rPr>
                <w:rFonts w:eastAsia="Times New Roman" w:cs="Calibri"/>
                <w:b/>
                <w:bCs/>
                <w:color w:val="000000"/>
                <w:sz w:val="20"/>
                <w:szCs w:val="20"/>
                <w:lang w:val="sr-Latn-RS" w:eastAsia="sr-Latn-RS"/>
              </w:rPr>
              <w:t>LR</w:t>
            </w:r>
          </w:p>
        </w:tc>
        <w:tc>
          <w:tcPr>
            <w:tcW w:w="909" w:type="pct"/>
            <w:gridSpan w:val="2"/>
            <w:tcBorders>
              <w:top w:val="single" w:sz="4" w:space="0" w:color="auto"/>
              <w:left w:val="nil"/>
              <w:bottom w:val="single" w:sz="4" w:space="0" w:color="auto"/>
              <w:right w:val="nil"/>
            </w:tcBorders>
            <w:shd w:val="clear" w:color="auto" w:fill="auto"/>
            <w:noWrap/>
            <w:vAlign w:val="bottom"/>
            <w:hideMark/>
          </w:tcPr>
          <w:p w14:paraId="2B88B397" w14:textId="77777777" w:rsidR="00E67ABE" w:rsidRPr="00E67ABE" w:rsidRDefault="00E67ABE" w:rsidP="00E67ABE">
            <w:pPr>
              <w:spacing w:before="0" w:after="0"/>
              <w:jc w:val="center"/>
              <w:rPr>
                <w:rFonts w:eastAsia="Times New Roman" w:cs="Calibri"/>
                <w:b/>
                <w:bCs/>
                <w:color w:val="000000"/>
                <w:sz w:val="20"/>
                <w:szCs w:val="20"/>
                <w:lang w:val="sr-Latn-RS" w:eastAsia="sr-Latn-RS"/>
              </w:rPr>
            </w:pPr>
            <w:r w:rsidRPr="00E67ABE">
              <w:rPr>
                <w:rFonts w:eastAsia="Times New Roman" w:cs="Calibri"/>
                <w:b/>
                <w:bCs/>
                <w:color w:val="000000"/>
                <w:sz w:val="20"/>
                <w:szCs w:val="20"/>
                <w:lang w:val="sr-Latn-RS" w:eastAsia="sr-Latn-RS"/>
              </w:rPr>
              <w:t>kNN</w:t>
            </w:r>
          </w:p>
        </w:tc>
      </w:tr>
      <w:tr w:rsidR="00E67ABE" w:rsidRPr="00E67ABE" w14:paraId="14272A3C" w14:textId="77777777" w:rsidTr="00E67ABE">
        <w:trPr>
          <w:trHeight w:val="255"/>
        </w:trPr>
        <w:tc>
          <w:tcPr>
            <w:tcW w:w="455" w:type="pct"/>
            <w:tcBorders>
              <w:top w:val="nil"/>
              <w:left w:val="nil"/>
              <w:bottom w:val="nil"/>
              <w:right w:val="nil"/>
            </w:tcBorders>
            <w:shd w:val="clear" w:color="auto" w:fill="auto"/>
            <w:noWrap/>
            <w:vAlign w:val="bottom"/>
            <w:hideMark/>
          </w:tcPr>
          <w:p w14:paraId="62C1F9E9" w14:textId="77777777" w:rsidR="00E67ABE" w:rsidRPr="00E67ABE" w:rsidRDefault="00E67ABE" w:rsidP="00E67ABE">
            <w:pPr>
              <w:spacing w:before="0" w:after="0"/>
              <w:jc w:val="center"/>
              <w:rPr>
                <w:rFonts w:eastAsia="Times New Roman" w:cs="Calibri"/>
                <w:b/>
                <w:bCs/>
                <w:color w:val="000000"/>
                <w:sz w:val="20"/>
                <w:szCs w:val="20"/>
                <w:lang w:val="sr-Latn-RS" w:eastAsia="sr-Latn-RS"/>
              </w:rPr>
            </w:pPr>
          </w:p>
        </w:tc>
        <w:tc>
          <w:tcPr>
            <w:tcW w:w="490" w:type="pct"/>
            <w:tcBorders>
              <w:top w:val="nil"/>
              <w:left w:val="nil"/>
              <w:bottom w:val="nil"/>
              <w:right w:val="nil"/>
            </w:tcBorders>
            <w:shd w:val="clear" w:color="auto" w:fill="auto"/>
            <w:noWrap/>
            <w:vAlign w:val="center"/>
            <w:hideMark/>
          </w:tcPr>
          <w:p w14:paraId="469D586E"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Train</w:t>
            </w:r>
          </w:p>
        </w:tc>
        <w:tc>
          <w:tcPr>
            <w:tcW w:w="420" w:type="pct"/>
            <w:tcBorders>
              <w:top w:val="nil"/>
              <w:left w:val="nil"/>
              <w:bottom w:val="nil"/>
              <w:right w:val="nil"/>
            </w:tcBorders>
            <w:shd w:val="clear" w:color="auto" w:fill="auto"/>
            <w:noWrap/>
            <w:vAlign w:val="center"/>
            <w:hideMark/>
          </w:tcPr>
          <w:p w14:paraId="1D56464F"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Test</w:t>
            </w:r>
          </w:p>
        </w:tc>
        <w:tc>
          <w:tcPr>
            <w:tcW w:w="502" w:type="pct"/>
            <w:tcBorders>
              <w:top w:val="nil"/>
              <w:left w:val="nil"/>
              <w:bottom w:val="nil"/>
              <w:right w:val="nil"/>
            </w:tcBorders>
            <w:shd w:val="clear" w:color="auto" w:fill="auto"/>
            <w:noWrap/>
            <w:vAlign w:val="center"/>
            <w:hideMark/>
          </w:tcPr>
          <w:p w14:paraId="11D41015"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Train</w:t>
            </w:r>
          </w:p>
        </w:tc>
        <w:tc>
          <w:tcPr>
            <w:tcW w:w="407" w:type="pct"/>
            <w:tcBorders>
              <w:top w:val="nil"/>
              <w:left w:val="nil"/>
              <w:bottom w:val="nil"/>
              <w:right w:val="nil"/>
            </w:tcBorders>
            <w:shd w:val="clear" w:color="auto" w:fill="auto"/>
            <w:noWrap/>
            <w:vAlign w:val="center"/>
            <w:hideMark/>
          </w:tcPr>
          <w:p w14:paraId="0F799EC5"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Test</w:t>
            </w:r>
          </w:p>
        </w:tc>
        <w:tc>
          <w:tcPr>
            <w:tcW w:w="490" w:type="pct"/>
            <w:tcBorders>
              <w:top w:val="nil"/>
              <w:left w:val="nil"/>
              <w:bottom w:val="nil"/>
              <w:right w:val="nil"/>
            </w:tcBorders>
            <w:shd w:val="clear" w:color="auto" w:fill="auto"/>
            <w:noWrap/>
            <w:vAlign w:val="center"/>
            <w:hideMark/>
          </w:tcPr>
          <w:p w14:paraId="47CC9454"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Train</w:t>
            </w:r>
          </w:p>
        </w:tc>
        <w:tc>
          <w:tcPr>
            <w:tcW w:w="420" w:type="pct"/>
            <w:tcBorders>
              <w:top w:val="nil"/>
              <w:left w:val="nil"/>
              <w:bottom w:val="nil"/>
              <w:right w:val="nil"/>
            </w:tcBorders>
            <w:shd w:val="clear" w:color="auto" w:fill="auto"/>
            <w:noWrap/>
            <w:vAlign w:val="center"/>
            <w:hideMark/>
          </w:tcPr>
          <w:p w14:paraId="0E632D2A"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Test</w:t>
            </w:r>
          </w:p>
        </w:tc>
        <w:tc>
          <w:tcPr>
            <w:tcW w:w="490" w:type="pct"/>
            <w:tcBorders>
              <w:top w:val="nil"/>
              <w:left w:val="nil"/>
              <w:bottom w:val="nil"/>
              <w:right w:val="nil"/>
            </w:tcBorders>
            <w:shd w:val="clear" w:color="auto" w:fill="auto"/>
            <w:noWrap/>
            <w:vAlign w:val="center"/>
            <w:hideMark/>
          </w:tcPr>
          <w:p w14:paraId="0DC86526"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Train</w:t>
            </w:r>
          </w:p>
        </w:tc>
        <w:tc>
          <w:tcPr>
            <w:tcW w:w="420" w:type="pct"/>
            <w:tcBorders>
              <w:top w:val="nil"/>
              <w:left w:val="nil"/>
              <w:bottom w:val="nil"/>
              <w:right w:val="nil"/>
            </w:tcBorders>
            <w:shd w:val="clear" w:color="auto" w:fill="auto"/>
            <w:noWrap/>
            <w:vAlign w:val="center"/>
            <w:hideMark/>
          </w:tcPr>
          <w:p w14:paraId="5BDD21D1"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Test</w:t>
            </w:r>
          </w:p>
        </w:tc>
        <w:tc>
          <w:tcPr>
            <w:tcW w:w="490" w:type="pct"/>
            <w:tcBorders>
              <w:top w:val="nil"/>
              <w:left w:val="nil"/>
              <w:bottom w:val="nil"/>
              <w:right w:val="nil"/>
            </w:tcBorders>
            <w:shd w:val="clear" w:color="auto" w:fill="auto"/>
            <w:noWrap/>
            <w:vAlign w:val="center"/>
            <w:hideMark/>
          </w:tcPr>
          <w:p w14:paraId="4D6745E9"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Train</w:t>
            </w:r>
          </w:p>
        </w:tc>
        <w:tc>
          <w:tcPr>
            <w:tcW w:w="420" w:type="pct"/>
            <w:tcBorders>
              <w:top w:val="nil"/>
              <w:left w:val="nil"/>
              <w:bottom w:val="nil"/>
              <w:right w:val="nil"/>
            </w:tcBorders>
            <w:shd w:val="clear" w:color="auto" w:fill="auto"/>
            <w:noWrap/>
            <w:vAlign w:val="center"/>
            <w:hideMark/>
          </w:tcPr>
          <w:p w14:paraId="0DF1E692"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Test</w:t>
            </w:r>
          </w:p>
        </w:tc>
      </w:tr>
      <w:tr w:rsidR="00E67ABE" w:rsidRPr="00E67ABE" w14:paraId="32289D28" w14:textId="77777777" w:rsidTr="00E67ABE">
        <w:trPr>
          <w:trHeight w:val="255"/>
        </w:trPr>
        <w:tc>
          <w:tcPr>
            <w:tcW w:w="455" w:type="pct"/>
            <w:tcBorders>
              <w:top w:val="nil"/>
              <w:left w:val="nil"/>
              <w:bottom w:val="nil"/>
              <w:right w:val="nil"/>
            </w:tcBorders>
            <w:shd w:val="clear" w:color="auto" w:fill="auto"/>
            <w:noWrap/>
            <w:vAlign w:val="center"/>
            <w:hideMark/>
          </w:tcPr>
          <w:p w14:paraId="3D8C064E"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0</w:t>
            </w:r>
          </w:p>
        </w:tc>
        <w:tc>
          <w:tcPr>
            <w:tcW w:w="490" w:type="pct"/>
            <w:tcBorders>
              <w:top w:val="nil"/>
              <w:left w:val="nil"/>
              <w:bottom w:val="nil"/>
              <w:right w:val="nil"/>
            </w:tcBorders>
            <w:shd w:val="clear" w:color="auto" w:fill="auto"/>
            <w:noWrap/>
            <w:vAlign w:val="center"/>
            <w:hideMark/>
          </w:tcPr>
          <w:p w14:paraId="3FDAB541"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64%</w:t>
            </w:r>
          </w:p>
        </w:tc>
        <w:tc>
          <w:tcPr>
            <w:tcW w:w="420" w:type="pct"/>
            <w:tcBorders>
              <w:top w:val="nil"/>
              <w:left w:val="nil"/>
              <w:bottom w:val="nil"/>
              <w:right w:val="nil"/>
            </w:tcBorders>
            <w:shd w:val="clear" w:color="auto" w:fill="auto"/>
            <w:noWrap/>
            <w:vAlign w:val="center"/>
            <w:hideMark/>
          </w:tcPr>
          <w:p w14:paraId="44684D10"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65%</w:t>
            </w:r>
          </w:p>
        </w:tc>
        <w:tc>
          <w:tcPr>
            <w:tcW w:w="502" w:type="pct"/>
            <w:tcBorders>
              <w:top w:val="nil"/>
              <w:left w:val="nil"/>
              <w:bottom w:val="nil"/>
              <w:right w:val="nil"/>
            </w:tcBorders>
            <w:shd w:val="clear" w:color="auto" w:fill="auto"/>
            <w:noWrap/>
            <w:vAlign w:val="center"/>
            <w:hideMark/>
          </w:tcPr>
          <w:p w14:paraId="70613F78"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100%</w:t>
            </w:r>
          </w:p>
        </w:tc>
        <w:tc>
          <w:tcPr>
            <w:tcW w:w="407" w:type="pct"/>
            <w:tcBorders>
              <w:top w:val="nil"/>
              <w:left w:val="nil"/>
              <w:bottom w:val="nil"/>
              <w:right w:val="nil"/>
            </w:tcBorders>
            <w:shd w:val="clear" w:color="auto" w:fill="auto"/>
            <w:noWrap/>
            <w:vAlign w:val="center"/>
            <w:hideMark/>
          </w:tcPr>
          <w:p w14:paraId="5DCCC492"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99%</w:t>
            </w:r>
          </w:p>
        </w:tc>
        <w:tc>
          <w:tcPr>
            <w:tcW w:w="490" w:type="pct"/>
            <w:tcBorders>
              <w:top w:val="nil"/>
              <w:left w:val="nil"/>
              <w:bottom w:val="nil"/>
              <w:right w:val="nil"/>
            </w:tcBorders>
            <w:shd w:val="clear" w:color="auto" w:fill="auto"/>
            <w:noWrap/>
            <w:vAlign w:val="center"/>
            <w:hideMark/>
          </w:tcPr>
          <w:p w14:paraId="139DF720"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94%</w:t>
            </w:r>
          </w:p>
        </w:tc>
        <w:tc>
          <w:tcPr>
            <w:tcW w:w="420" w:type="pct"/>
            <w:tcBorders>
              <w:top w:val="nil"/>
              <w:left w:val="nil"/>
              <w:bottom w:val="nil"/>
              <w:right w:val="nil"/>
            </w:tcBorders>
            <w:shd w:val="clear" w:color="auto" w:fill="auto"/>
            <w:noWrap/>
            <w:vAlign w:val="center"/>
            <w:hideMark/>
          </w:tcPr>
          <w:p w14:paraId="2E1E3130"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97%</w:t>
            </w:r>
          </w:p>
        </w:tc>
        <w:tc>
          <w:tcPr>
            <w:tcW w:w="490" w:type="pct"/>
            <w:tcBorders>
              <w:top w:val="nil"/>
              <w:left w:val="nil"/>
              <w:bottom w:val="nil"/>
              <w:right w:val="nil"/>
            </w:tcBorders>
            <w:shd w:val="clear" w:color="auto" w:fill="auto"/>
            <w:noWrap/>
            <w:vAlign w:val="center"/>
            <w:hideMark/>
          </w:tcPr>
          <w:p w14:paraId="5751B881"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97%</w:t>
            </w:r>
          </w:p>
        </w:tc>
        <w:tc>
          <w:tcPr>
            <w:tcW w:w="420" w:type="pct"/>
            <w:tcBorders>
              <w:top w:val="nil"/>
              <w:left w:val="nil"/>
              <w:bottom w:val="nil"/>
              <w:right w:val="nil"/>
            </w:tcBorders>
            <w:shd w:val="clear" w:color="auto" w:fill="auto"/>
            <w:noWrap/>
            <w:vAlign w:val="center"/>
            <w:hideMark/>
          </w:tcPr>
          <w:p w14:paraId="7520244C"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99%</w:t>
            </w:r>
          </w:p>
        </w:tc>
        <w:tc>
          <w:tcPr>
            <w:tcW w:w="490" w:type="pct"/>
            <w:tcBorders>
              <w:top w:val="nil"/>
              <w:left w:val="nil"/>
              <w:bottom w:val="nil"/>
              <w:right w:val="nil"/>
            </w:tcBorders>
            <w:shd w:val="clear" w:color="auto" w:fill="auto"/>
            <w:noWrap/>
            <w:vAlign w:val="center"/>
            <w:hideMark/>
          </w:tcPr>
          <w:p w14:paraId="6D1D65FA"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96%</w:t>
            </w:r>
          </w:p>
        </w:tc>
        <w:tc>
          <w:tcPr>
            <w:tcW w:w="420" w:type="pct"/>
            <w:tcBorders>
              <w:top w:val="nil"/>
              <w:left w:val="nil"/>
              <w:bottom w:val="nil"/>
              <w:right w:val="nil"/>
            </w:tcBorders>
            <w:shd w:val="clear" w:color="auto" w:fill="auto"/>
            <w:noWrap/>
            <w:vAlign w:val="center"/>
            <w:hideMark/>
          </w:tcPr>
          <w:p w14:paraId="1BDE1717"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97%</w:t>
            </w:r>
          </w:p>
        </w:tc>
      </w:tr>
      <w:tr w:rsidR="00E67ABE" w:rsidRPr="00E67ABE" w14:paraId="41328B38" w14:textId="77777777" w:rsidTr="00E67ABE">
        <w:trPr>
          <w:trHeight w:val="255"/>
        </w:trPr>
        <w:tc>
          <w:tcPr>
            <w:tcW w:w="455" w:type="pct"/>
            <w:tcBorders>
              <w:top w:val="nil"/>
              <w:left w:val="nil"/>
              <w:bottom w:val="nil"/>
              <w:right w:val="nil"/>
            </w:tcBorders>
            <w:shd w:val="clear" w:color="auto" w:fill="auto"/>
            <w:noWrap/>
            <w:vAlign w:val="center"/>
            <w:hideMark/>
          </w:tcPr>
          <w:p w14:paraId="5B21CC2A"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1</w:t>
            </w:r>
          </w:p>
        </w:tc>
        <w:tc>
          <w:tcPr>
            <w:tcW w:w="490" w:type="pct"/>
            <w:tcBorders>
              <w:top w:val="nil"/>
              <w:left w:val="nil"/>
              <w:bottom w:val="nil"/>
              <w:right w:val="nil"/>
            </w:tcBorders>
            <w:shd w:val="clear" w:color="auto" w:fill="auto"/>
            <w:noWrap/>
            <w:vAlign w:val="center"/>
            <w:hideMark/>
          </w:tcPr>
          <w:p w14:paraId="3AA24FC9"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92%</w:t>
            </w:r>
          </w:p>
        </w:tc>
        <w:tc>
          <w:tcPr>
            <w:tcW w:w="420" w:type="pct"/>
            <w:tcBorders>
              <w:top w:val="nil"/>
              <w:left w:val="nil"/>
              <w:bottom w:val="nil"/>
              <w:right w:val="nil"/>
            </w:tcBorders>
            <w:shd w:val="clear" w:color="auto" w:fill="auto"/>
            <w:noWrap/>
            <w:vAlign w:val="center"/>
            <w:hideMark/>
          </w:tcPr>
          <w:p w14:paraId="7FDB9467"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87%</w:t>
            </w:r>
          </w:p>
        </w:tc>
        <w:tc>
          <w:tcPr>
            <w:tcW w:w="502" w:type="pct"/>
            <w:tcBorders>
              <w:top w:val="nil"/>
              <w:left w:val="nil"/>
              <w:bottom w:val="nil"/>
              <w:right w:val="nil"/>
            </w:tcBorders>
            <w:shd w:val="clear" w:color="auto" w:fill="auto"/>
            <w:noWrap/>
            <w:vAlign w:val="center"/>
            <w:hideMark/>
          </w:tcPr>
          <w:p w14:paraId="25D93113"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99%</w:t>
            </w:r>
          </w:p>
        </w:tc>
        <w:tc>
          <w:tcPr>
            <w:tcW w:w="407" w:type="pct"/>
            <w:tcBorders>
              <w:top w:val="nil"/>
              <w:left w:val="nil"/>
              <w:bottom w:val="nil"/>
              <w:right w:val="nil"/>
            </w:tcBorders>
            <w:shd w:val="clear" w:color="auto" w:fill="auto"/>
            <w:noWrap/>
            <w:vAlign w:val="center"/>
            <w:hideMark/>
          </w:tcPr>
          <w:p w14:paraId="183C70E9"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98%</w:t>
            </w:r>
          </w:p>
        </w:tc>
        <w:tc>
          <w:tcPr>
            <w:tcW w:w="490" w:type="pct"/>
            <w:tcBorders>
              <w:top w:val="nil"/>
              <w:left w:val="nil"/>
              <w:bottom w:val="nil"/>
              <w:right w:val="nil"/>
            </w:tcBorders>
            <w:shd w:val="clear" w:color="auto" w:fill="auto"/>
            <w:noWrap/>
            <w:vAlign w:val="center"/>
            <w:hideMark/>
          </w:tcPr>
          <w:p w14:paraId="61C4474D"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92%</w:t>
            </w:r>
          </w:p>
        </w:tc>
        <w:tc>
          <w:tcPr>
            <w:tcW w:w="420" w:type="pct"/>
            <w:tcBorders>
              <w:top w:val="nil"/>
              <w:left w:val="nil"/>
              <w:bottom w:val="nil"/>
              <w:right w:val="nil"/>
            </w:tcBorders>
            <w:shd w:val="clear" w:color="auto" w:fill="auto"/>
            <w:noWrap/>
            <w:vAlign w:val="center"/>
            <w:hideMark/>
          </w:tcPr>
          <w:p w14:paraId="41F038B4"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90%</w:t>
            </w:r>
          </w:p>
        </w:tc>
        <w:tc>
          <w:tcPr>
            <w:tcW w:w="490" w:type="pct"/>
            <w:tcBorders>
              <w:top w:val="nil"/>
              <w:left w:val="nil"/>
              <w:bottom w:val="nil"/>
              <w:right w:val="nil"/>
            </w:tcBorders>
            <w:shd w:val="clear" w:color="auto" w:fill="auto"/>
            <w:noWrap/>
            <w:vAlign w:val="center"/>
            <w:hideMark/>
          </w:tcPr>
          <w:p w14:paraId="37BC222A"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96%</w:t>
            </w:r>
          </w:p>
        </w:tc>
        <w:tc>
          <w:tcPr>
            <w:tcW w:w="420" w:type="pct"/>
            <w:tcBorders>
              <w:top w:val="nil"/>
              <w:left w:val="nil"/>
              <w:bottom w:val="nil"/>
              <w:right w:val="nil"/>
            </w:tcBorders>
            <w:shd w:val="clear" w:color="auto" w:fill="auto"/>
            <w:noWrap/>
            <w:vAlign w:val="center"/>
            <w:hideMark/>
          </w:tcPr>
          <w:p w14:paraId="477777C1"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93%</w:t>
            </w:r>
          </w:p>
        </w:tc>
        <w:tc>
          <w:tcPr>
            <w:tcW w:w="490" w:type="pct"/>
            <w:tcBorders>
              <w:top w:val="nil"/>
              <w:left w:val="nil"/>
              <w:bottom w:val="nil"/>
              <w:right w:val="nil"/>
            </w:tcBorders>
            <w:shd w:val="clear" w:color="auto" w:fill="auto"/>
            <w:noWrap/>
            <w:vAlign w:val="center"/>
            <w:hideMark/>
          </w:tcPr>
          <w:p w14:paraId="4D3A006D"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97%</w:t>
            </w:r>
          </w:p>
        </w:tc>
        <w:tc>
          <w:tcPr>
            <w:tcW w:w="420" w:type="pct"/>
            <w:tcBorders>
              <w:top w:val="nil"/>
              <w:left w:val="nil"/>
              <w:bottom w:val="nil"/>
              <w:right w:val="nil"/>
            </w:tcBorders>
            <w:shd w:val="clear" w:color="auto" w:fill="auto"/>
            <w:noWrap/>
            <w:vAlign w:val="center"/>
            <w:hideMark/>
          </w:tcPr>
          <w:p w14:paraId="452F4338" w14:textId="77777777" w:rsidR="00E67ABE" w:rsidRPr="00E67ABE" w:rsidRDefault="00E67ABE" w:rsidP="00E67ABE">
            <w:pPr>
              <w:spacing w:before="0" w:after="0"/>
              <w:jc w:val="center"/>
              <w:rPr>
                <w:rFonts w:eastAsia="Times New Roman" w:cs="Calibri"/>
                <w:color w:val="000000"/>
                <w:sz w:val="20"/>
                <w:szCs w:val="20"/>
                <w:lang w:val="sr-Latn-RS" w:eastAsia="sr-Latn-RS"/>
              </w:rPr>
            </w:pPr>
            <w:r w:rsidRPr="00E67ABE">
              <w:rPr>
                <w:rFonts w:eastAsia="Times New Roman" w:cs="Calibri"/>
                <w:color w:val="000000"/>
                <w:sz w:val="20"/>
                <w:szCs w:val="20"/>
                <w:lang w:val="sr-Latn-RS" w:eastAsia="sr-Latn-RS"/>
              </w:rPr>
              <w:t>96%</w:t>
            </w:r>
          </w:p>
        </w:tc>
      </w:tr>
      <w:tr w:rsidR="00E67ABE" w:rsidRPr="00E67ABE" w14:paraId="76D3F690" w14:textId="77777777" w:rsidTr="00E67ABE">
        <w:trPr>
          <w:trHeight w:val="255"/>
        </w:trPr>
        <w:tc>
          <w:tcPr>
            <w:tcW w:w="455" w:type="pct"/>
            <w:tcBorders>
              <w:top w:val="nil"/>
              <w:left w:val="nil"/>
              <w:bottom w:val="single" w:sz="4" w:space="0" w:color="auto"/>
              <w:right w:val="nil"/>
            </w:tcBorders>
            <w:shd w:val="clear" w:color="auto" w:fill="auto"/>
            <w:noWrap/>
            <w:vAlign w:val="bottom"/>
            <w:hideMark/>
          </w:tcPr>
          <w:p w14:paraId="4B13AEF2" w14:textId="6ABAE8F5" w:rsidR="00E67ABE" w:rsidRPr="00E67ABE" w:rsidRDefault="006A5C55" w:rsidP="00E67ABE">
            <w:pPr>
              <w:spacing w:before="0" w:after="0"/>
              <w:jc w:val="center"/>
              <w:rPr>
                <w:rFonts w:eastAsia="Times New Roman" w:cs="Calibri"/>
                <w:color w:val="000000"/>
                <w:sz w:val="20"/>
                <w:szCs w:val="20"/>
                <w:lang w:val="sr-Latn-RS" w:eastAsia="sr-Latn-RS"/>
              </w:rPr>
            </w:pPr>
            <w:r w:rsidRPr="00E67ABE">
              <w:rPr>
                <w:rFonts w:cs="Calibri"/>
                <w:color w:val="000000"/>
                <w:sz w:val="20"/>
                <w:szCs w:val="20"/>
              </w:rPr>
              <w:t>Σ</w:t>
            </w:r>
            <w:r>
              <w:rPr>
                <w:rFonts w:cs="Calibri"/>
                <w:color w:val="000000"/>
                <w:sz w:val="20"/>
                <w:szCs w:val="20"/>
                <w:vertAlign w:val="subscript"/>
              </w:rPr>
              <w:t>op</w:t>
            </w:r>
          </w:p>
        </w:tc>
        <w:tc>
          <w:tcPr>
            <w:tcW w:w="490" w:type="pct"/>
            <w:tcBorders>
              <w:top w:val="nil"/>
              <w:left w:val="nil"/>
              <w:bottom w:val="single" w:sz="4" w:space="0" w:color="auto"/>
              <w:right w:val="nil"/>
            </w:tcBorders>
            <w:shd w:val="clear" w:color="auto" w:fill="auto"/>
            <w:noWrap/>
            <w:vAlign w:val="center"/>
            <w:hideMark/>
          </w:tcPr>
          <w:p w14:paraId="4D2B5E51" w14:textId="77777777" w:rsidR="00E67ABE" w:rsidRPr="00E67ABE" w:rsidRDefault="00E67ABE" w:rsidP="00E67ABE">
            <w:pPr>
              <w:spacing w:before="0" w:after="0"/>
              <w:jc w:val="center"/>
              <w:rPr>
                <w:rFonts w:eastAsia="Times New Roman" w:cs="Calibri"/>
                <w:b/>
                <w:bCs/>
                <w:color w:val="000000"/>
                <w:sz w:val="20"/>
                <w:szCs w:val="20"/>
                <w:lang w:val="sr-Latn-RS" w:eastAsia="sr-Latn-RS"/>
              </w:rPr>
            </w:pPr>
            <w:r w:rsidRPr="00E67ABE">
              <w:rPr>
                <w:rFonts w:eastAsia="Times New Roman" w:cs="Calibri"/>
                <w:b/>
                <w:bCs/>
                <w:color w:val="000000"/>
                <w:sz w:val="20"/>
                <w:szCs w:val="20"/>
                <w:lang w:val="sr-Latn-RS" w:eastAsia="sr-Latn-RS"/>
              </w:rPr>
              <w:t>78%</w:t>
            </w:r>
          </w:p>
        </w:tc>
        <w:tc>
          <w:tcPr>
            <w:tcW w:w="420" w:type="pct"/>
            <w:tcBorders>
              <w:top w:val="nil"/>
              <w:left w:val="nil"/>
              <w:bottom w:val="single" w:sz="4" w:space="0" w:color="auto"/>
              <w:right w:val="nil"/>
            </w:tcBorders>
            <w:shd w:val="clear" w:color="auto" w:fill="auto"/>
            <w:noWrap/>
            <w:vAlign w:val="center"/>
            <w:hideMark/>
          </w:tcPr>
          <w:p w14:paraId="13CE328E" w14:textId="77777777" w:rsidR="00E67ABE" w:rsidRPr="00E67ABE" w:rsidRDefault="00E67ABE" w:rsidP="00E67ABE">
            <w:pPr>
              <w:spacing w:before="0" w:after="0"/>
              <w:jc w:val="center"/>
              <w:rPr>
                <w:rFonts w:eastAsia="Times New Roman" w:cs="Calibri"/>
                <w:b/>
                <w:bCs/>
                <w:color w:val="000000"/>
                <w:sz w:val="20"/>
                <w:szCs w:val="20"/>
                <w:lang w:val="sr-Latn-RS" w:eastAsia="sr-Latn-RS"/>
              </w:rPr>
            </w:pPr>
            <w:r w:rsidRPr="00E67ABE">
              <w:rPr>
                <w:rFonts w:eastAsia="Times New Roman" w:cs="Calibri"/>
                <w:b/>
                <w:bCs/>
                <w:color w:val="000000"/>
                <w:sz w:val="20"/>
                <w:szCs w:val="20"/>
                <w:lang w:val="sr-Latn-RS" w:eastAsia="sr-Latn-RS"/>
              </w:rPr>
              <w:t>75%</w:t>
            </w:r>
          </w:p>
        </w:tc>
        <w:tc>
          <w:tcPr>
            <w:tcW w:w="502" w:type="pct"/>
            <w:tcBorders>
              <w:top w:val="nil"/>
              <w:left w:val="nil"/>
              <w:bottom w:val="single" w:sz="4" w:space="0" w:color="auto"/>
              <w:right w:val="nil"/>
            </w:tcBorders>
            <w:shd w:val="clear" w:color="auto" w:fill="auto"/>
            <w:noWrap/>
            <w:vAlign w:val="center"/>
            <w:hideMark/>
          </w:tcPr>
          <w:p w14:paraId="68761EFE" w14:textId="77777777" w:rsidR="00E67ABE" w:rsidRPr="00E67ABE" w:rsidRDefault="00E67ABE" w:rsidP="00E67ABE">
            <w:pPr>
              <w:spacing w:before="0" w:after="0"/>
              <w:jc w:val="center"/>
              <w:rPr>
                <w:rFonts w:eastAsia="Times New Roman" w:cs="Calibri"/>
                <w:b/>
                <w:bCs/>
                <w:color w:val="000000"/>
                <w:sz w:val="20"/>
                <w:szCs w:val="20"/>
                <w:lang w:val="sr-Latn-RS" w:eastAsia="sr-Latn-RS"/>
              </w:rPr>
            </w:pPr>
            <w:r w:rsidRPr="00E67ABE">
              <w:rPr>
                <w:rFonts w:eastAsia="Times New Roman" w:cs="Calibri"/>
                <w:b/>
                <w:bCs/>
                <w:color w:val="000000"/>
                <w:sz w:val="20"/>
                <w:szCs w:val="20"/>
                <w:lang w:val="sr-Latn-RS" w:eastAsia="sr-Latn-RS"/>
              </w:rPr>
              <w:t>100%</w:t>
            </w:r>
          </w:p>
        </w:tc>
        <w:tc>
          <w:tcPr>
            <w:tcW w:w="407" w:type="pct"/>
            <w:tcBorders>
              <w:top w:val="nil"/>
              <w:left w:val="nil"/>
              <w:bottom w:val="single" w:sz="4" w:space="0" w:color="auto"/>
              <w:right w:val="nil"/>
            </w:tcBorders>
            <w:shd w:val="clear" w:color="auto" w:fill="auto"/>
            <w:noWrap/>
            <w:vAlign w:val="center"/>
            <w:hideMark/>
          </w:tcPr>
          <w:p w14:paraId="168FD2F6" w14:textId="77777777" w:rsidR="00E67ABE" w:rsidRPr="00E67ABE" w:rsidRDefault="00E67ABE" w:rsidP="00E67ABE">
            <w:pPr>
              <w:spacing w:before="0" w:after="0"/>
              <w:jc w:val="center"/>
              <w:rPr>
                <w:rFonts w:eastAsia="Times New Roman" w:cs="Calibri"/>
                <w:b/>
                <w:bCs/>
                <w:color w:val="000000"/>
                <w:sz w:val="20"/>
                <w:szCs w:val="20"/>
                <w:lang w:val="sr-Latn-RS" w:eastAsia="sr-Latn-RS"/>
              </w:rPr>
            </w:pPr>
            <w:r w:rsidRPr="00E67ABE">
              <w:rPr>
                <w:rFonts w:eastAsia="Times New Roman" w:cs="Calibri"/>
                <w:b/>
                <w:bCs/>
                <w:color w:val="000000"/>
                <w:sz w:val="20"/>
                <w:szCs w:val="20"/>
                <w:lang w:val="sr-Latn-RS" w:eastAsia="sr-Latn-RS"/>
              </w:rPr>
              <w:t>98%</w:t>
            </w:r>
          </w:p>
        </w:tc>
        <w:tc>
          <w:tcPr>
            <w:tcW w:w="490" w:type="pct"/>
            <w:tcBorders>
              <w:top w:val="nil"/>
              <w:left w:val="nil"/>
              <w:bottom w:val="single" w:sz="4" w:space="0" w:color="auto"/>
              <w:right w:val="nil"/>
            </w:tcBorders>
            <w:shd w:val="clear" w:color="auto" w:fill="auto"/>
            <w:noWrap/>
            <w:vAlign w:val="center"/>
            <w:hideMark/>
          </w:tcPr>
          <w:p w14:paraId="269CF54B" w14:textId="77777777" w:rsidR="00E67ABE" w:rsidRPr="00E67ABE" w:rsidRDefault="00E67ABE" w:rsidP="00E67ABE">
            <w:pPr>
              <w:spacing w:before="0" w:after="0"/>
              <w:jc w:val="center"/>
              <w:rPr>
                <w:rFonts w:eastAsia="Times New Roman" w:cs="Calibri"/>
                <w:b/>
                <w:bCs/>
                <w:color w:val="000000"/>
                <w:sz w:val="20"/>
                <w:szCs w:val="20"/>
                <w:lang w:val="sr-Latn-RS" w:eastAsia="sr-Latn-RS"/>
              </w:rPr>
            </w:pPr>
            <w:r w:rsidRPr="00E67ABE">
              <w:rPr>
                <w:rFonts w:eastAsia="Times New Roman" w:cs="Calibri"/>
                <w:b/>
                <w:bCs/>
                <w:color w:val="000000"/>
                <w:sz w:val="20"/>
                <w:szCs w:val="20"/>
                <w:lang w:val="sr-Latn-RS" w:eastAsia="sr-Latn-RS"/>
              </w:rPr>
              <w:t>93%</w:t>
            </w:r>
          </w:p>
        </w:tc>
        <w:tc>
          <w:tcPr>
            <w:tcW w:w="420" w:type="pct"/>
            <w:tcBorders>
              <w:top w:val="nil"/>
              <w:left w:val="nil"/>
              <w:bottom w:val="single" w:sz="4" w:space="0" w:color="auto"/>
              <w:right w:val="nil"/>
            </w:tcBorders>
            <w:shd w:val="clear" w:color="auto" w:fill="auto"/>
            <w:noWrap/>
            <w:vAlign w:val="center"/>
            <w:hideMark/>
          </w:tcPr>
          <w:p w14:paraId="6E7B147C" w14:textId="77777777" w:rsidR="00E67ABE" w:rsidRPr="00E67ABE" w:rsidRDefault="00E67ABE" w:rsidP="00E67ABE">
            <w:pPr>
              <w:spacing w:before="0" w:after="0"/>
              <w:jc w:val="center"/>
              <w:rPr>
                <w:rFonts w:eastAsia="Times New Roman" w:cs="Calibri"/>
                <w:b/>
                <w:bCs/>
                <w:color w:val="000000"/>
                <w:sz w:val="20"/>
                <w:szCs w:val="20"/>
                <w:lang w:val="sr-Latn-RS" w:eastAsia="sr-Latn-RS"/>
              </w:rPr>
            </w:pPr>
            <w:r w:rsidRPr="00E67ABE">
              <w:rPr>
                <w:rFonts w:eastAsia="Times New Roman" w:cs="Calibri"/>
                <w:b/>
                <w:bCs/>
                <w:color w:val="000000"/>
                <w:sz w:val="20"/>
                <w:szCs w:val="20"/>
                <w:lang w:val="sr-Latn-RS" w:eastAsia="sr-Latn-RS"/>
              </w:rPr>
              <w:t>94%</w:t>
            </w:r>
          </w:p>
        </w:tc>
        <w:tc>
          <w:tcPr>
            <w:tcW w:w="490" w:type="pct"/>
            <w:tcBorders>
              <w:top w:val="nil"/>
              <w:left w:val="nil"/>
              <w:bottom w:val="single" w:sz="4" w:space="0" w:color="auto"/>
              <w:right w:val="nil"/>
            </w:tcBorders>
            <w:shd w:val="clear" w:color="auto" w:fill="auto"/>
            <w:noWrap/>
            <w:vAlign w:val="center"/>
            <w:hideMark/>
          </w:tcPr>
          <w:p w14:paraId="02CDDBE0" w14:textId="77777777" w:rsidR="00E67ABE" w:rsidRPr="00E67ABE" w:rsidRDefault="00E67ABE" w:rsidP="00E67ABE">
            <w:pPr>
              <w:spacing w:before="0" w:after="0"/>
              <w:jc w:val="center"/>
              <w:rPr>
                <w:rFonts w:eastAsia="Times New Roman" w:cs="Calibri"/>
                <w:b/>
                <w:bCs/>
                <w:color w:val="000000"/>
                <w:sz w:val="20"/>
                <w:szCs w:val="20"/>
                <w:lang w:val="sr-Latn-RS" w:eastAsia="sr-Latn-RS"/>
              </w:rPr>
            </w:pPr>
            <w:r w:rsidRPr="00E67ABE">
              <w:rPr>
                <w:rFonts w:eastAsia="Times New Roman" w:cs="Calibri"/>
                <w:b/>
                <w:bCs/>
                <w:color w:val="000000"/>
                <w:sz w:val="20"/>
                <w:szCs w:val="20"/>
                <w:lang w:val="sr-Latn-RS" w:eastAsia="sr-Latn-RS"/>
              </w:rPr>
              <w:t>97%</w:t>
            </w:r>
          </w:p>
        </w:tc>
        <w:tc>
          <w:tcPr>
            <w:tcW w:w="420" w:type="pct"/>
            <w:tcBorders>
              <w:top w:val="nil"/>
              <w:left w:val="nil"/>
              <w:bottom w:val="single" w:sz="4" w:space="0" w:color="auto"/>
              <w:right w:val="nil"/>
            </w:tcBorders>
            <w:shd w:val="clear" w:color="auto" w:fill="auto"/>
            <w:noWrap/>
            <w:vAlign w:val="center"/>
            <w:hideMark/>
          </w:tcPr>
          <w:p w14:paraId="2E78D98C" w14:textId="77777777" w:rsidR="00E67ABE" w:rsidRPr="00E67ABE" w:rsidRDefault="00E67ABE" w:rsidP="00E67ABE">
            <w:pPr>
              <w:spacing w:before="0" w:after="0"/>
              <w:jc w:val="center"/>
              <w:rPr>
                <w:rFonts w:eastAsia="Times New Roman" w:cs="Calibri"/>
                <w:b/>
                <w:bCs/>
                <w:color w:val="000000"/>
                <w:sz w:val="20"/>
                <w:szCs w:val="20"/>
                <w:lang w:val="sr-Latn-RS" w:eastAsia="sr-Latn-RS"/>
              </w:rPr>
            </w:pPr>
            <w:r w:rsidRPr="00E67ABE">
              <w:rPr>
                <w:rFonts w:eastAsia="Times New Roman" w:cs="Calibri"/>
                <w:b/>
                <w:bCs/>
                <w:color w:val="000000"/>
                <w:sz w:val="20"/>
                <w:szCs w:val="20"/>
                <w:lang w:val="sr-Latn-RS" w:eastAsia="sr-Latn-RS"/>
              </w:rPr>
              <w:t>97%</w:t>
            </w:r>
          </w:p>
        </w:tc>
        <w:tc>
          <w:tcPr>
            <w:tcW w:w="490" w:type="pct"/>
            <w:tcBorders>
              <w:top w:val="nil"/>
              <w:left w:val="nil"/>
              <w:bottom w:val="single" w:sz="4" w:space="0" w:color="auto"/>
              <w:right w:val="nil"/>
            </w:tcBorders>
            <w:shd w:val="clear" w:color="auto" w:fill="auto"/>
            <w:noWrap/>
            <w:vAlign w:val="center"/>
            <w:hideMark/>
          </w:tcPr>
          <w:p w14:paraId="6D3E9A0A" w14:textId="77777777" w:rsidR="00E67ABE" w:rsidRPr="00E67ABE" w:rsidRDefault="00E67ABE" w:rsidP="00E67ABE">
            <w:pPr>
              <w:spacing w:before="0" w:after="0"/>
              <w:jc w:val="center"/>
              <w:rPr>
                <w:rFonts w:eastAsia="Times New Roman" w:cs="Calibri"/>
                <w:b/>
                <w:bCs/>
                <w:color w:val="000000"/>
                <w:sz w:val="20"/>
                <w:szCs w:val="20"/>
                <w:lang w:val="sr-Latn-RS" w:eastAsia="sr-Latn-RS"/>
              </w:rPr>
            </w:pPr>
            <w:r w:rsidRPr="00E67ABE">
              <w:rPr>
                <w:rFonts w:eastAsia="Times New Roman" w:cs="Calibri"/>
                <w:b/>
                <w:bCs/>
                <w:color w:val="000000"/>
                <w:sz w:val="20"/>
                <w:szCs w:val="20"/>
                <w:lang w:val="sr-Latn-RS" w:eastAsia="sr-Latn-RS"/>
              </w:rPr>
              <w:t>96%</w:t>
            </w:r>
          </w:p>
        </w:tc>
        <w:tc>
          <w:tcPr>
            <w:tcW w:w="420" w:type="pct"/>
            <w:tcBorders>
              <w:top w:val="nil"/>
              <w:left w:val="nil"/>
              <w:bottom w:val="single" w:sz="4" w:space="0" w:color="auto"/>
              <w:right w:val="nil"/>
            </w:tcBorders>
            <w:shd w:val="clear" w:color="auto" w:fill="auto"/>
            <w:noWrap/>
            <w:vAlign w:val="center"/>
            <w:hideMark/>
          </w:tcPr>
          <w:p w14:paraId="15A85BBC" w14:textId="77777777" w:rsidR="00E67ABE" w:rsidRPr="00E67ABE" w:rsidRDefault="00E67ABE" w:rsidP="00E67ABE">
            <w:pPr>
              <w:spacing w:before="0" w:after="0"/>
              <w:jc w:val="center"/>
              <w:rPr>
                <w:rFonts w:eastAsia="Times New Roman" w:cs="Calibri"/>
                <w:b/>
                <w:bCs/>
                <w:color w:val="000000"/>
                <w:sz w:val="20"/>
                <w:szCs w:val="20"/>
                <w:lang w:val="sr-Latn-RS" w:eastAsia="sr-Latn-RS"/>
              </w:rPr>
            </w:pPr>
            <w:r w:rsidRPr="00E67ABE">
              <w:rPr>
                <w:rFonts w:eastAsia="Times New Roman" w:cs="Calibri"/>
                <w:b/>
                <w:bCs/>
                <w:color w:val="000000"/>
                <w:sz w:val="20"/>
                <w:szCs w:val="20"/>
                <w:lang w:val="sr-Latn-RS" w:eastAsia="sr-Latn-RS"/>
              </w:rPr>
              <w:t>97%</w:t>
            </w:r>
          </w:p>
        </w:tc>
      </w:tr>
    </w:tbl>
    <w:p w14:paraId="2EC23E38" w14:textId="30494CCF" w:rsidR="00113C67" w:rsidRDefault="00CD2439" w:rsidP="001E11EC">
      <w:r>
        <w:t>Interestingly,</w:t>
      </w:r>
      <w:r w:rsidR="00902BCB">
        <w:t xml:space="preserve"> every training ML model </w:t>
      </w:r>
      <w:r>
        <w:t>showed worse accuracy than achieved during training except ANN (Table 75), concerning the normal operating condition – suggesting that the</w:t>
      </w:r>
      <w:r w:rsidR="002E208B">
        <w:t xml:space="preserve"> sample for training was significant enough to model the system behavio</w:t>
      </w:r>
      <w:r>
        <w:t>u</w:t>
      </w:r>
      <w:r w:rsidR="002E208B">
        <w:t xml:space="preserve">r. However, split training and testing data (around 70-30%) impact the results since more proportion was given to </w:t>
      </w:r>
      <w:r w:rsidR="00133C7A">
        <w:t xml:space="preserve">the </w:t>
      </w:r>
      <w:r w:rsidR="002E208B">
        <w:t>traini</w:t>
      </w:r>
      <w:r>
        <w:t>ng</w:t>
      </w:r>
      <w:r w:rsidR="002E208B">
        <w:t xml:space="preserve"> of normal operating </w:t>
      </w:r>
      <w:r w:rsidR="00133C7A">
        <w:t>than faulty operating conditions</w:t>
      </w:r>
      <w:r w:rsidR="002E208B">
        <w:t>.</w:t>
      </w:r>
    </w:p>
    <w:p w14:paraId="02132F59" w14:textId="77777777" w:rsidR="000E4BFE" w:rsidRDefault="000E4BFE" w:rsidP="000E4BFE">
      <w:pPr>
        <w:keepNext/>
        <w:spacing w:before="0" w:after="160" w:line="259" w:lineRule="auto"/>
        <w:jc w:val="left"/>
      </w:pPr>
      <w:r>
        <w:rPr>
          <w:noProof/>
        </w:rPr>
        <w:drawing>
          <wp:inline distT="0" distB="0" distL="0" distR="0" wp14:anchorId="41A051A4" wp14:editId="012CE7BA">
            <wp:extent cx="5638800" cy="2880000"/>
            <wp:effectExtent l="0" t="0" r="0" b="0"/>
            <wp:docPr id="147" name="Chart 147">
              <a:extLst xmlns:a="http://schemas.openxmlformats.org/drawingml/2006/main">
                <a:ext uri="{FF2B5EF4-FFF2-40B4-BE49-F238E27FC236}">
                  <a16:creationId xmlns:a16="http://schemas.microsoft.com/office/drawing/2014/main" id="{F848BD53-BF6D-499B-8B57-0181256410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350C2C78" w14:textId="2FEFE030" w:rsidR="00F62322" w:rsidRDefault="000E4BFE" w:rsidP="000E4BFE">
      <w:pPr>
        <w:pStyle w:val="Caption"/>
      </w:pPr>
      <w:bookmarkStart w:id="725" w:name="_Toc101274644"/>
      <w:r>
        <w:t xml:space="preserve">Figure </w:t>
      </w:r>
      <w:fldSimple w:instr=" SEQ Figure \* ARABIC ">
        <w:r w:rsidR="00587AF0">
          <w:rPr>
            <w:noProof/>
          </w:rPr>
          <w:t>122</w:t>
        </w:r>
      </w:fldSimple>
      <w:r>
        <w:t>. Classification results of ML algorithms’ testing dataset at idle saddle position</w:t>
      </w:r>
      <w:bookmarkEnd w:id="725"/>
    </w:p>
    <w:p w14:paraId="5B4C7C91" w14:textId="1ADB66C7" w:rsidR="00E67ABE" w:rsidRDefault="00E730D0" w:rsidP="00E730D0">
      <w:r>
        <w:t xml:space="preserve">Results for the opening saddle position show similarity in </w:t>
      </w:r>
      <w:r w:rsidR="00CD2439">
        <w:t xml:space="preserve">the </w:t>
      </w:r>
      <w:r>
        <w:t>consistency of kNN classification to follow up on the classification accuracy of ANN. Hence, it should be emph</w:t>
      </w:r>
      <w:r w:rsidR="00CD2439">
        <w:t>asiz</w:t>
      </w:r>
      <w:r w:rsidR="00A76808">
        <w:t>ed</w:t>
      </w:r>
      <w:r>
        <w:t xml:space="preserve"> that </w:t>
      </w:r>
      <w:r w:rsidR="00A76808">
        <w:t xml:space="preserve">both cost functions </w:t>
      </w:r>
      <w:r w:rsidR="00A97C3F">
        <w:t>indicate</w:t>
      </w:r>
      <w:r w:rsidR="00A76808">
        <w:t xml:space="preserve"> close similarity scores </w:t>
      </w:r>
      <w:r w:rsidR="00A97C3F">
        <w:t>of accuracy in</w:t>
      </w:r>
      <w:r w:rsidR="00A76808">
        <w:t xml:space="preserve"> </w:t>
      </w:r>
      <w:r w:rsidR="00CD2439">
        <w:t xml:space="preserve">the </w:t>
      </w:r>
      <w:r w:rsidR="00A76808">
        <w:t>classification matrix</w:t>
      </w:r>
      <w:r w:rsidR="00CD2439">
        <w:t>;</w:t>
      </w:r>
      <w:r w:rsidR="00A76808">
        <w:t xml:space="preserve"> however,</w:t>
      </w:r>
      <w:r w:rsidR="00A97C3F">
        <w:t xml:space="preserve"> ANN outperforms in all cases.</w:t>
      </w:r>
    </w:p>
    <w:p w14:paraId="4787F745" w14:textId="3AA7D1A5" w:rsidR="0010290C" w:rsidRDefault="0010290C" w:rsidP="00E730D0">
      <w:r>
        <w:t xml:space="preserve">Finally, observing classification scores at closing saddle position hydraulic power signal, the results of </w:t>
      </w:r>
      <w:r w:rsidR="00CD2439">
        <w:t xml:space="preserve">the </w:t>
      </w:r>
      <w:r>
        <w:t xml:space="preserve">classification cost function is given in </w:t>
      </w:r>
      <w:r>
        <w:fldChar w:fldCharType="begin"/>
      </w:r>
      <w:r>
        <w:instrText xml:space="preserve"> REF _Ref99705533 \h </w:instrText>
      </w:r>
      <w:r>
        <w:fldChar w:fldCharType="separate"/>
      </w:r>
      <w:r w:rsidR="00587AF0">
        <w:t xml:space="preserve">Table </w:t>
      </w:r>
      <w:r w:rsidR="00587AF0">
        <w:rPr>
          <w:noProof/>
        </w:rPr>
        <w:t>76</w:t>
      </w:r>
      <w:r>
        <w:fldChar w:fldCharType="end"/>
      </w:r>
      <w:r>
        <w:t>, where ANN also outperforms other models.</w:t>
      </w:r>
    </w:p>
    <w:p w14:paraId="4378572B" w14:textId="631D3611" w:rsidR="00E67ABE" w:rsidRDefault="00E67ABE" w:rsidP="00E67ABE">
      <w:pPr>
        <w:pStyle w:val="Caption"/>
        <w:jc w:val="both"/>
      </w:pPr>
      <w:bookmarkStart w:id="726" w:name="_Ref99705533"/>
      <w:bookmarkStart w:id="727" w:name="_Toc101274516"/>
      <w:r>
        <w:t xml:space="preserve">Table </w:t>
      </w:r>
      <w:fldSimple w:instr=" SEQ Table \* ARABIC ">
        <w:r w:rsidR="00587AF0">
          <w:rPr>
            <w:noProof/>
          </w:rPr>
          <w:t>76</w:t>
        </w:r>
      </w:fldSimple>
      <w:bookmarkEnd w:id="726"/>
      <w:r>
        <w:t>. Classification matrix for closing saddle position’ data</w:t>
      </w:r>
      <w:bookmarkEnd w:id="727"/>
    </w:p>
    <w:tbl>
      <w:tblPr>
        <w:tblW w:w="5000" w:type="pct"/>
        <w:tblCellMar>
          <w:left w:w="0" w:type="dxa"/>
          <w:right w:w="0" w:type="dxa"/>
        </w:tblCellMar>
        <w:tblLook w:val="04A0" w:firstRow="1" w:lastRow="0" w:firstColumn="1" w:lastColumn="0" w:noHBand="0" w:noVBand="1"/>
      </w:tblPr>
      <w:tblGrid>
        <w:gridCol w:w="822"/>
        <w:gridCol w:w="885"/>
        <w:gridCol w:w="758"/>
        <w:gridCol w:w="906"/>
        <w:gridCol w:w="735"/>
        <w:gridCol w:w="821"/>
        <w:gridCol w:w="821"/>
        <w:gridCol w:w="796"/>
        <w:gridCol w:w="845"/>
        <w:gridCol w:w="885"/>
        <w:gridCol w:w="753"/>
      </w:tblGrid>
      <w:tr w:rsidR="00E67ABE" w:rsidRPr="00E67ABE" w14:paraId="47EADA77" w14:textId="77777777" w:rsidTr="00E67ABE">
        <w:trPr>
          <w:trHeight w:val="255"/>
        </w:trPr>
        <w:tc>
          <w:tcPr>
            <w:tcW w:w="455" w:type="pct"/>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center"/>
            <w:hideMark/>
          </w:tcPr>
          <w:p w14:paraId="641FD80F" w14:textId="53A462DA" w:rsidR="00E67ABE" w:rsidRPr="00E67ABE" w:rsidRDefault="00E67ABE" w:rsidP="00E67ABE">
            <w:pPr>
              <w:spacing w:before="0" w:after="0"/>
              <w:jc w:val="center"/>
              <w:rPr>
                <w:rFonts w:cs="Calibri"/>
                <w:color w:val="000000"/>
                <w:sz w:val="20"/>
                <w:szCs w:val="20"/>
              </w:rPr>
            </w:pPr>
          </w:p>
        </w:tc>
        <w:tc>
          <w:tcPr>
            <w:tcW w:w="909" w:type="pct"/>
            <w:gridSpan w:val="2"/>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center"/>
            <w:hideMark/>
          </w:tcPr>
          <w:p w14:paraId="34B0A944" w14:textId="77777777" w:rsidR="00E67ABE" w:rsidRPr="00E67ABE" w:rsidRDefault="00E67ABE" w:rsidP="00E67ABE">
            <w:pPr>
              <w:spacing w:before="0" w:after="0"/>
              <w:jc w:val="center"/>
              <w:rPr>
                <w:rFonts w:cs="Calibri"/>
                <w:b/>
                <w:bCs/>
                <w:color w:val="000000"/>
                <w:sz w:val="20"/>
                <w:szCs w:val="20"/>
              </w:rPr>
            </w:pPr>
            <w:r w:rsidRPr="00E67ABE">
              <w:rPr>
                <w:rFonts w:cs="Calibri"/>
                <w:b/>
                <w:bCs/>
                <w:color w:val="000000"/>
                <w:sz w:val="20"/>
                <w:szCs w:val="20"/>
              </w:rPr>
              <w:t>GNB</w:t>
            </w:r>
          </w:p>
        </w:tc>
        <w:tc>
          <w:tcPr>
            <w:tcW w:w="909" w:type="pct"/>
            <w:gridSpan w:val="2"/>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center"/>
            <w:hideMark/>
          </w:tcPr>
          <w:p w14:paraId="785A6C2B" w14:textId="77777777" w:rsidR="00E67ABE" w:rsidRPr="00E67ABE" w:rsidRDefault="00E67ABE" w:rsidP="00E67ABE">
            <w:pPr>
              <w:spacing w:before="0" w:after="0"/>
              <w:jc w:val="center"/>
              <w:rPr>
                <w:rFonts w:cs="Calibri"/>
                <w:b/>
                <w:bCs/>
                <w:color w:val="000000"/>
                <w:sz w:val="20"/>
                <w:szCs w:val="20"/>
              </w:rPr>
            </w:pPr>
            <w:r w:rsidRPr="00E67ABE">
              <w:rPr>
                <w:rFonts w:cs="Calibri"/>
                <w:b/>
                <w:bCs/>
                <w:color w:val="000000"/>
                <w:sz w:val="20"/>
                <w:szCs w:val="20"/>
              </w:rPr>
              <w:t>ANN</w:t>
            </w:r>
          </w:p>
        </w:tc>
        <w:tc>
          <w:tcPr>
            <w:tcW w:w="909" w:type="pct"/>
            <w:gridSpan w:val="2"/>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center"/>
            <w:hideMark/>
          </w:tcPr>
          <w:p w14:paraId="3FF49EFD" w14:textId="77777777" w:rsidR="00E67ABE" w:rsidRPr="00E67ABE" w:rsidRDefault="00E67ABE" w:rsidP="00E67ABE">
            <w:pPr>
              <w:spacing w:before="0" w:after="0"/>
              <w:jc w:val="center"/>
              <w:rPr>
                <w:rFonts w:cs="Calibri"/>
                <w:b/>
                <w:bCs/>
                <w:color w:val="000000"/>
                <w:sz w:val="20"/>
                <w:szCs w:val="20"/>
              </w:rPr>
            </w:pPr>
            <w:r w:rsidRPr="00E67ABE">
              <w:rPr>
                <w:rFonts w:cs="Calibri"/>
                <w:b/>
                <w:bCs/>
                <w:color w:val="000000"/>
                <w:sz w:val="20"/>
                <w:szCs w:val="20"/>
              </w:rPr>
              <w:t>CART</w:t>
            </w:r>
          </w:p>
        </w:tc>
        <w:tc>
          <w:tcPr>
            <w:tcW w:w="909" w:type="pct"/>
            <w:gridSpan w:val="2"/>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center"/>
            <w:hideMark/>
          </w:tcPr>
          <w:p w14:paraId="26842302" w14:textId="77777777" w:rsidR="00E67ABE" w:rsidRPr="00E67ABE" w:rsidRDefault="00E67ABE" w:rsidP="00E67ABE">
            <w:pPr>
              <w:spacing w:before="0" w:after="0"/>
              <w:jc w:val="center"/>
              <w:rPr>
                <w:rFonts w:cs="Calibri"/>
                <w:b/>
                <w:bCs/>
                <w:color w:val="000000"/>
                <w:sz w:val="20"/>
                <w:szCs w:val="20"/>
              </w:rPr>
            </w:pPr>
            <w:r w:rsidRPr="00E67ABE">
              <w:rPr>
                <w:rFonts w:cs="Calibri"/>
                <w:b/>
                <w:bCs/>
                <w:color w:val="000000"/>
                <w:sz w:val="20"/>
                <w:szCs w:val="20"/>
              </w:rPr>
              <w:t>LR</w:t>
            </w:r>
          </w:p>
        </w:tc>
        <w:tc>
          <w:tcPr>
            <w:tcW w:w="909" w:type="pct"/>
            <w:gridSpan w:val="2"/>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center"/>
            <w:hideMark/>
          </w:tcPr>
          <w:p w14:paraId="363FC810" w14:textId="77777777" w:rsidR="00E67ABE" w:rsidRPr="00E67ABE" w:rsidRDefault="00E67ABE" w:rsidP="00E67ABE">
            <w:pPr>
              <w:spacing w:before="0" w:after="0"/>
              <w:jc w:val="center"/>
              <w:rPr>
                <w:rFonts w:cs="Calibri"/>
                <w:b/>
                <w:bCs/>
                <w:color w:val="000000"/>
                <w:sz w:val="20"/>
                <w:szCs w:val="20"/>
              </w:rPr>
            </w:pPr>
            <w:r w:rsidRPr="00E67ABE">
              <w:rPr>
                <w:rFonts w:cs="Calibri"/>
                <w:b/>
                <w:bCs/>
                <w:color w:val="000000"/>
                <w:sz w:val="20"/>
                <w:szCs w:val="20"/>
              </w:rPr>
              <w:t>kNN</w:t>
            </w:r>
          </w:p>
        </w:tc>
      </w:tr>
      <w:tr w:rsidR="00E67ABE" w:rsidRPr="00E67ABE" w14:paraId="4C0685FC" w14:textId="77777777" w:rsidTr="00E67ABE">
        <w:trPr>
          <w:trHeight w:val="255"/>
        </w:trPr>
        <w:tc>
          <w:tcPr>
            <w:tcW w:w="455" w:type="pct"/>
            <w:tcBorders>
              <w:top w:val="nil"/>
              <w:left w:val="nil"/>
              <w:bottom w:val="nil"/>
              <w:right w:val="nil"/>
            </w:tcBorders>
            <w:shd w:val="clear" w:color="auto" w:fill="auto"/>
            <w:noWrap/>
            <w:tcMar>
              <w:top w:w="15" w:type="dxa"/>
              <w:left w:w="15" w:type="dxa"/>
              <w:bottom w:w="0" w:type="dxa"/>
              <w:right w:w="15" w:type="dxa"/>
            </w:tcMar>
            <w:vAlign w:val="center"/>
            <w:hideMark/>
          </w:tcPr>
          <w:p w14:paraId="17CBDA1B" w14:textId="77777777" w:rsidR="00E67ABE" w:rsidRPr="00E67ABE" w:rsidRDefault="00E67ABE" w:rsidP="00E67ABE">
            <w:pPr>
              <w:spacing w:before="0" w:after="0"/>
              <w:jc w:val="center"/>
              <w:rPr>
                <w:rFonts w:cs="Calibri"/>
                <w:b/>
                <w:bCs/>
                <w:color w:val="000000"/>
                <w:sz w:val="20"/>
                <w:szCs w:val="20"/>
              </w:rPr>
            </w:pPr>
          </w:p>
        </w:tc>
        <w:tc>
          <w:tcPr>
            <w:tcW w:w="490" w:type="pct"/>
            <w:tcBorders>
              <w:top w:val="nil"/>
              <w:left w:val="nil"/>
              <w:bottom w:val="nil"/>
              <w:right w:val="nil"/>
            </w:tcBorders>
            <w:shd w:val="clear" w:color="auto" w:fill="auto"/>
            <w:noWrap/>
            <w:tcMar>
              <w:top w:w="15" w:type="dxa"/>
              <w:left w:w="15" w:type="dxa"/>
              <w:bottom w:w="0" w:type="dxa"/>
              <w:right w:w="15" w:type="dxa"/>
            </w:tcMar>
            <w:vAlign w:val="center"/>
            <w:hideMark/>
          </w:tcPr>
          <w:p w14:paraId="027AED3E"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Train</w:t>
            </w:r>
          </w:p>
        </w:tc>
        <w:tc>
          <w:tcPr>
            <w:tcW w:w="420" w:type="pct"/>
            <w:tcBorders>
              <w:top w:val="nil"/>
              <w:left w:val="nil"/>
              <w:bottom w:val="nil"/>
              <w:right w:val="nil"/>
            </w:tcBorders>
            <w:shd w:val="clear" w:color="auto" w:fill="auto"/>
            <w:noWrap/>
            <w:tcMar>
              <w:top w:w="15" w:type="dxa"/>
              <w:left w:w="15" w:type="dxa"/>
              <w:bottom w:w="0" w:type="dxa"/>
              <w:right w:w="15" w:type="dxa"/>
            </w:tcMar>
            <w:vAlign w:val="center"/>
            <w:hideMark/>
          </w:tcPr>
          <w:p w14:paraId="40EC162D"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Test</w:t>
            </w:r>
          </w:p>
        </w:tc>
        <w:tc>
          <w:tcPr>
            <w:tcW w:w="502" w:type="pct"/>
            <w:tcBorders>
              <w:top w:val="nil"/>
              <w:left w:val="nil"/>
              <w:bottom w:val="nil"/>
              <w:right w:val="nil"/>
            </w:tcBorders>
            <w:shd w:val="clear" w:color="auto" w:fill="auto"/>
            <w:noWrap/>
            <w:tcMar>
              <w:top w:w="15" w:type="dxa"/>
              <w:left w:w="15" w:type="dxa"/>
              <w:bottom w:w="0" w:type="dxa"/>
              <w:right w:w="15" w:type="dxa"/>
            </w:tcMar>
            <w:vAlign w:val="center"/>
            <w:hideMark/>
          </w:tcPr>
          <w:p w14:paraId="3C1B8E19"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Train</w:t>
            </w:r>
          </w:p>
        </w:tc>
        <w:tc>
          <w:tcPr>
            <w:tcW w:w="407" w:type="pct"/>
            <w:tcBorders>
              <w:top w:val="nil"/>
              <w:left w:val="nil"/>
              <w:bottom w:val="nil"/>
              <w:right w:val="nil"/>
            </w:tcBorders>
            <w:shd w:val="clear" w:color="auto" w:fill="auto"/>
            <w:noWrap/>
            <w:tcMar>
              <w:top w:w="15" w:type="dxa"/>
              <w:left w:w="15" w:type="dxa"/>
              <w:bottom w:w="0" w:type="dxa"/>
              <w:right w:w="15" w:type="dxa"/>
            </w:tcMar>
            <w:vAlign w:val="center"/>
            <w:hideMark/>
          </w:tcPr>
          <w:p w14:paraId="08272615"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Test</w:t>
            </w:r>
          </w:p>
        </w:tc>
        <w:tc>
          <w:tcPr>
            <w:tcW w:w="455" w:type="pct"/>
            <w:tcBorders>
              <w:top w:val="nil"/>
              <w:left w:val="nil"/>
              <w:bottom w:val="nil"/>
              <w:right w:val="nil"/>
            </w:tcBorders>
            <w:shd w:val="clear" w:color="auto" w:fill="auto"/>
            <w:noWrap/>
            <w:tcMar>
              <w:top w:w="15" w:type="dxa"/>
              <w:left w:w="15" w:type="dxa"/>
              <w:bottom w:w="0" w:type="dxa"/>
              <w:right w:w="15" w:type="dxa"/>
            </w:tcMar>
            <w:vAlign w:val="center"/>
            <w:hideMark/>
          </w:tcPr>
          <w:p w14:paraId="60ECB4AA"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Train</w:t>
            </w:r>
          </w:p>
        </w:tc>
        <w:tc>
          <w:tcPr>
            <w:tcW w:w="455" w:type="pct"/>
            <w:tcBorders>
              <w:top w:val="nil"/>
              <w:left w:val="nil"/>
              <w:bottom w:val="nil"/>
              <w:right w:val="nil"/>
            </w:tcBorders>
            <w:shd w:val="clear" w:color="auto" w:fill="auto"/>
            <w:noWrap/>
            <w:tcMar>
              <w:top w:w="15" w:type="dxa"/>
              <w:left w:w="15" w:type="dxa"/>
              <w:bottom w:w="0" w:type="dxa"/>
              <w:right w:w="15" w:type="dxa"/>
            </w:tcMar>
            <w:vAlign w:val="center"/>
            <w:hideMark/>
          </w:tcPr>
          <w:p w14:paraId="73DBD112"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Test</w:t>
            </w:r>
          </w:p>
        </w:tc>
        <w:tc>
          <w:tcPr>
            <w:tcW w:w="441" w:type="pct"/>
            <w:tcBorders>
              <w:top w:val="nil"/>
              <w:left w:val="nil"/>
              <w:bottom w:val="nil"/>
              <w:right w:val="nil"/>
            </w:tcBorders>
            <w:shd w:val="clear" w:color="auto" w:fill="auto"/>
            <w:noWrap/>
            <w:tcMar>
              <w:top w:w="15" w:type="dxa"/>
              <w:left w:w="15" w:type="dxa"/>
              <w:bottom w:w="0" w:type="dxa"/>
              <w:right w:w="15" w:type="dxa"/>
            </w:tcMar>
            <w:vAlign w:val="center"/>
            <w:hideMark/>
          </w:tcPr>
          <w:p w14:paraId="52F08E48"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Train</w:t>
            </w:r>
          </w:p>
        </w:tc>
        <w:tc>
          <w:tcPr>
            <w:tcW w:w="468" w:type="pct"/>
            <w:tcBorders>
              <w:top w:val="nil"/>
              <w:left w:val="nil"/>
              <w:bottom w:val="nil"/>
              <w:right w:val="nil"/>
            </w:tcBorders>
            <w:shd w:val="clear" w:color="auto" w:fill="auto"/>
            <w:noWrap/>
            <w:tcMar>
              <w:top w:w="15" w:type="dxa"/>
              <w:left w:w="15" w:type="dxa"/>
              <w:bottom w:w="0" w:type="dxa"/>
              <w:right w:w="15" w:type="dxa"/>
            </w:tcMar>
            <w:vAlign w:val="center"/>
            <w:hideMark/>
          </w:tcPr>
          <w:p w14:paraId="718F4BFA"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Test</w:t>
            </w:r>
          </w:p>
        </w:tc>
        <w:tc>
          <w:tcPr>
            <w:tcW w:w="490" w:type="pct"/>
            <w:tcBorders>
              <w:top w:val="nil"/>
              <w:left w:val="nil"/>
              <w:bottom w:val="nil"/>
              <w:right w:val="nil"/>
            </w:tcBorders>
            <w:shd w:val="clear" w:color="auto" w:fill="auto"/>
            <w:noWrap/>
            <w:tcMar>
              <w:top w:w="15" w:type="dxa"/>
              <w:left w:w="15" w:type="dxa"/>
              <w:bottom w:w="0" w:type="dxa"/>
              <w:right w:w="15" w:type="dxa"/>
            </w:tcMar>
            <w:vAlign w:val="center"/>
            <w:hideMark/>
          </w:tcPr>
          <w:p w14:paraId="21629E46"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Train</w:t>
            </w:r>
          </w:p>
        </w:tc>
        <w:tc>
          <w:tcPr>
            <w:tcW w:w="420" w:type="pct"/>
            <w:tcBorders>
              <w:top w:val="nil"/>
              <w:left w:val="nil"/>
              <w:bottom w:val="nil"/>
              <w:right w:val="nil"/>
            </w:tcBorders>
            <w:shd w:val="clear" w:color="auto" w:fill="auto"/>
            <w:noWrap/>
            <w:tcMar>
              <w:top w:w="15" w:type="dxa"/>
              <w:left w:w="15" w:type="dxa"/>
              <w:bottom w:w="0" w:type="dxa"/>
              <w:right w:w="15" w:type="dxa"/>
            </w:tcMar>
            <w:vAlign w:val="center"/>
            <w:hideMark/>
          </w:tcPr>
          <w:p w14:paraId="5F5E9EFF"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Test</w:t>
            </w:r>
          </w:p>
        </w:tc>
      </w:tr>
      <w:tr w:rsidR="00E67ABE" w:rsidRPr="00E67ABE" w14:paraId="12E2D58E" w14:textId="77777777" w:rsidTr="00E67ABE">
        <w:trPr>
          <w:trHeight w:val="255"/>
        </w:trPr>
        <w:tc>
          <w:tcPr>
            <w:tcW w:w="455" w:type="pct"/>
            <w:tcBorders>
              <w:top w:val="nil"/>
              <w:left w:val="nil"/>
              <w:bottom w:val="nil"/>
              <w:right w:val="nil"/>
            </w:tcBorders>
            <w:shd w:val="clear" w:color="auto" w:fill="auto"/>
            <w:noWrap/>
            <w:tcMar>
              <w:top w:w="15" w:type="dxa"/>
              <w:left w:w="15" w:type="dxa"/>
              <w:bottom w:w="0" w:type="dxa"/>
              <w:right w:w="15" w:type="dxa"/>
            </w:tcMar>
            <w:vAlign w:val="center"/>
            <w:hideMark/>
          </w:tcPr>
          <w:p w14:paraId="314EFD39"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0</w:t>
            </w:r>
          </w:p>
        </w:tc>
        <w:tc>
          <w:tcPr>
            <w:tcW w:w="490" w:type="pct"/>
            <w:tcBorders>
              <w:top w:val="nil"/>
              <w:left w:val="nil"/>
              <w:bottom w:val="nil"/>
              <w:right w:val="nil"/>
            </w:tcBorders>
            <w:shd w:val="clear" w:color="auto" w:fill="auto"/>
            <w:noWrap/>
            <w:tcMar>
              <w:top w:w="15" w:type="dxa"/>
              <w:left w:w="15" w:type="dxa"/>
              <w:bottom w:w="0" w:type="dxa"/>
              <w:right w:w="15" w:type="dxa"/>
            </w:tcMar>
            <w:vAlign w:val="center"/>
            <w:hideMark/>
          </w:tcPr>
          <w:p w14:paraId="3E554408"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64%</w:t>
            </w:r>
          </w:p>
        </w:tc>
        <w:tc>
          <w:tcPr>
            <w:tcW w:w="420" w:type="pct"/>
            <w:tcBorders>
              <w:top w:val="nil"/>
              <w:left w:val="nil"/>
              <w:bottom w:val="nil"/>
              <w:right w:val="nil"/>
            </w:tcBorders>
            <w:shd w:val="clear" w:color="auto" w:fill="auto"/>
            <w:noWrap/>
            <w:tcMar>
              <w:top w:w="15" w:type="dxa"/>
              <w:left w:w="15" w:type="dxa"/>
              <w:bottom w:w="0" w:type="dxa"/>
              <w:right w:w="15" w:type="dxa"/>
            </w:tcMar>
            <w:vAlign w:val="center"/>
            <w:hideMark/>
          </w:tcPr>
          <w:p w14:paraId="681FB5F4"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65%</w:t>
            </w:r>
          </w:p>
        </w:tc>
        <w:tc>
          <w:tcPr>
            <w:tcW w:w="502" w:type="pct"/>
            <w:tcBorders>
              <w:top w:val="nil"/>
              <w:left w:val="nil"/>
              <w:bottom w:val="nil"/>
              <w:right w:val="nil"/>
            </w:tcBorders>
            <w:shd w:val="clear" w:color="auto" w:fill="auto"/>
            <w:noWrap/>
            <w:tcMar>
              <w:top w:w="15" w:type="dxa"/>
              <w:left w:w="15" w:type="dxa"/>
              <w:bottom w:w="0" w:type="dxa"/>
              <w:right w:w="15" w:type="dxa"/>
            </w:tcMar>
            <w:vAlign w:val="center"/>
            <w:hideMark/>
          </w:tcPr>
          <w:p w14:paraId="239443AF"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92%</w:t>
            </w:r>
          </w:p>
        </w:tc>
        <w:tc>
          <w:tcPr>
            <w:tcW w:w="407" w:type="pct"/>
            <w:tcBorders>
              <w:top w:val="nil"/>
              <w:left w:val="nil"/>
              <w:bottom w:val="nil"/>
              <w:right w:val="nil"/>
            </w:tcBorders>
            <w:shd w:val="clear" w:color="auto" w:fill="auto"/>
            <w:noWrap/>
            <w:tcMar>
              <w:top w:w="15" w:type="dxa"/>
              <w:left w:w="15" w:type="dxa"/>
              <w:bottom w:w="0" w:type="dxa"/>
              <w:right w:w="15" w:type="dxa"/>
            </w:tcMar>
            <w:vAlign w:val="center"/>
            <w:hideMark/>
          </w:tcPr>
          <w:p w14:paraId="09F55596"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75%</w:t>
            </w:r>
          </w:p>
        </w:tc>
        <w:tc>
          <w:tcPr>
            <w:tcW w:w="455" w:type="pct"/>
            <w:tcBorders>
              <w:top w:val="nil"/>
              <w:left w:val="nil"/>
              <w:bottom w:val="nil"/>
              <w:right w:val="nil"/>
            </w:tcBorders>
            <w:shd w:val="clear" w:color="auto" w:fill="auto"/>
            <w:noWrap/>
            <w:tcMar>
              <w:top w:w="15" w:type="dxa"/>
              <w:left w:w="15" w:type="dxa"/>
              <w:bottom w:w="0" w:type="dxa"/>
              <w:right w:w="15" w:type="dxa"/>
            </w:tcMar>
            <w:vAlign w:val="center"/>
            <w:hideMark/>
          </w:tcPr>
          <w:p w14:paraId="23E11A22"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70%</w:t>
            </w:r>
          </w:p>
        </w:tc>
        <w:tc>
          <w:tcPr>
            <w:tcW w:w="455" w:type="pct"/>
            <w:tcBorders>
              <w:top w:val="nil"/>
              <w:left w:val="nil"/>
              <w:bottom w:val="nil"/>
              <w:right w:val="nil"/>
            </w:tcBorders>
            <w:shd w:val="clear" w:color="auto" w:fill="auto"/>
            <w:noWrap/>
            <w:tcMar>
              <w:top w:w="15" w:type="dxa"/>
              <w:left w:w="15" w:type="dxa"/>
              <w:bottom w:w="0" w:type="dxa"/>
              <w:right w:w="15" w:type="dxa"/>
            </w:tcMar>
            <w:vAlign w:val="center"/>
            <w:hideMark/>
          </w:tcPr>
          <w:p w14:paraId="0DB45E80"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60%</w:t>
            </w:r>
          </w:p>
        </w:tc>
        <w:tc>
          <w:tcPr>
            <w:tcW w:w="441" w:type="pct"/>
            <w:tcBorders>
              <w:top w:val="nil"/>
              <w:left w:val="nil"/>
              <w:bottom w:val="nil"/>
              <w:right w:val="nil"/>
            </w:tcBorders>
            <w:shd w:val="clear" w:color="auto" w:fill="auto"/>
            <w:noWrap/>
            <w:tcMar>
              <w:top w:w="15" w:type="dxa"/>
              <w:left w:w="15" w:type="dxa"/>
              <w:bottom w:w="0" w:type="dxa"/>
              <w:right w:w="15" w:type="dxa"/>
            </w:tcMar>
            <w:vAlign w:val="center"/>
            <w:hideMark/>
          </w:tcPr>
          <w:p w14:paraId="5B9A074D"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72%</w:t>
            </w:r>
          </w:p>
        </w:tc>
        <w:tc>
          <w:tcPr>
            <w:tcW w:w="468" w:type="pct"/>
            <w:tcBorders>
              <w:top w:val="nil"/>
              <w:left w:val="nil"/>
              <w:bottom w:val="nil"/>
              <w:right w:val="nil"/>
            </w:tcBorders>
            <w:shd w:val="clear" w:color="auto" w:fill="auto"/>
            <w:noWrap/>
            <w:tcMar>
              <w:top w:w="15" w:type="dxa"/>
              <w:left w:w="15" w:type="dxa"/>
              <w:bottom w:w="0" w:type="dxa"/>
              <w:right w:w="15" w:type="dxa"/>
            </w:tcMar>
            <w:vAlign w:val="center"/>
            <w:hideMark/>
          </w:tcPr>
          <w:p w14:paraId="3F16F4A8"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59%</w:t>
            </w:r>
          </w:p>
        </w:tc>
        <w:tc>
          <w:tcPr>
            <w:tcW w:w="490" w:type="pct"/>
            <w:tcBorders>
              <w:top w:val="nil"/>
              <w:left w:val="nil"/>
              <w:bottom w:val="nil"/>
              <w:right w:val="nil"/>
            </w:tcBorders>
            <w:shd w:val="clear" w:color="auto" w:fill="auto"/>
            <w:noWrap/>
            <w:tcMar>
              <w:top w:w="15" w:type="dxa"/>
              <w:left w:w="15" w:type="dxa"/>
              <w:bottom w:w="0" w:type="dxa"/>
              <w:right w:w="15" w:type="dxa"/>
            </w:tcMar>
            <w:vAlign w:val="center"/>
            <w:hideMark/>
          </w:tcPr>
          <w:p w14:paraId="6EB4A925"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85%</w:t>
            </w:r>
          </w:p>
        </w:tc>
        <w:tc>
          <w:tcPr>
            <w:tcW w:w="420" w:type="pct"/>
            <w:tcBorders>
              <w:top w:val="nil"/>
              <w:left w:val="nil"/>
              <w:bottom w:val="nil"/>
              <w:right w:val="nil"/>
            </w:tcBorders>
            <w:shd w:val="clear" w:color="auto" w:fill="auto"/>
            <w:noWrap/>
            <w:tcMar>
              <w:top w:w="15" w:type="dxa"/>
              <w:left w:w="15" w:type="dxa"/>
              <w:bottom w:w="0" w:type="dxa"/>
              <w:right w:w="15" w:type="dxa"/>
            </w:tcMar>
            <w:vAlign w:val="center"/>
            <w:hideMark/>
          </w:tcPr>
          <w:p w14:paraId="23C9E1A9"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74%</w:t>
            </w:r>
          </w:p>
        </w:tc>
      </w:tr>
      <w:tr w:rsidR="00E67ABE" w:rsidRPr="00E67ABE" w14:paraId="73507AF2" w14:textId="77777777" w:rsidTr="00E67ABE">
        <w:trPr>
          <w:trHeight w:val="255"/>
        </w:trPr>
        <w:tc>
          <w:tcPr>
            <w:tcW w:w="455" w:type="pct"/>
            <w:tcBorders>
              <w:top w:val="nil"/>
              <w:left w:val="nil"/>
              <w:bottom w:val="nil"/>
              <w:right w:val="nil"/>
            </w:tcBorders>
            <w:shd w:val="clear" w:color="auto" w:fill="auto"/>
            <w:noWrap/>
            <w:tcMar>
              <w:top w:w="15" w:type="dxa"/>
              <w:left w:w="15" w:type="dxa"/>
              <w:bottom w:w="0" w:type="dxa"/>
              <w:right w:w="15" w:type="dxa"/>
            </w:tcMar>
            <w:vAlign w:val="center"/>
            <w:hideMark/>
          </w:tcPr>
          <w:p w14:paraId="2327752A"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1</w:t>
            </w:r>
          </w:p>
        </w:tc>
        <w:tc>
          <w:tcPr>
            <w:tcW w:w="490" w:type="pct"/>
            <w:tcBorders>
              <w:top w:val="nil"/>
              <w:left w:val="nil"/>
              <w:bottom w:val="nil"/>
              <w:right w:val="nil"/>
            </w:tcBorders>
            <w:shd w:val="clear" w:color="auto" w:fill="auto"/>
            <w:noWrap/>
            <w:tcMar>
              <w:top w:w="15" w:type="dxa"/>
              <w:left w:w="15" w:type="dxa"/>
              <w:bottom w:w="0" w:type="dxa"/>
              <w:right w:w="15" w:type="dxa"/>
            </w:tcMar>
            <w:vAlign w:val="center"/>
            <w:hideMark/>
          </w:tcPr>
          <w:p w14:paraId="3BC69829"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92%</w:t>
            </w:r>
          </w:p>
        </w:tc>
        <w:tc>
          <w:tcPr>
            <w:tcW w:w="420" w:type="pct"/>
            <w:tcBorders>
              <w:top w:val="nil"/>
              <w:left w:val="nil"/>
              <w:bottom w:val="nil"/>
              <w:right w:val="nil"/>
            </w:tcBorders>
            <w:shd w:val="clear" w:color="auto" w:fill="auto"/>
            <w:noWrap/>
            <w:tcMar>
              <w:top w:w="15" w:type="dxa"/>
              <w:left w:w="15" w:type="dxa"/>
              <w:bottom w:w="0" w:type="dxa"/>
              <w:right w:w="15" w:type="dxa"/>
            </w:tcMar>
            <w:vAlign w:val="center"/>
            <w:hideMark/>
          </w:tcPr>
          <w:p w14:paraId="4CC836CF"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87%</w:t>
            </w:r>
          </w:p>
        </w:tc>
        <w:tc>
          <w:tcPr>
            <w:tcW w:w="502" w:type="pct"/>
            <w:tcBorders>
              <w:top w:val="nil"/>
              <w:left w:val="nil"/>
              <w:bottom w:val="nil"/>
              <w:right w:val="nil"/>
            </w:tcBorders>
            <w:shd w:val="clear" w:color="auto" w:fill="auto"/>
            <w:noWrap/>
            <w:tcMar>
              <w:top w:w="15" w:type="dxa"/>
              <w:left w:w="15" w:type="dxa"/>
              <w:bottom w:w="0" w:type="dxa"/>
              <w:right w:w="15" w:type="dxa"/>
            </w:tcMar>
            <w:vAlign w:val="center"/>
            <w:hideMark/>
          </w:tcPr>
          <w:p w14:paraId="37EB7BD7"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100%</w:t>
            </w:r>
          </w:p>
        </w:tc>
        <w:tc>
          <w:tcPr>
            <w:tcW w:w="407" w:type="pct"/>
            <w:tcBorders>
              <w:top w:val="nil"/>
              <w:left w:val="nil"/>
              <w:bottom w:val="nil"/>
              <w:right w:val="nil"/>
            </w:tcBorders>
            <w:shd w:val="clear" w:color="auto" w:fill="auto"/>
            <w:noWrap/>
            <w:tcMar>
              <w:top w:w="15" w:type="dxa"/>
              <w:left w:w="15" w:type="dxa"/>
              <w:bottom w:w="0" w:type="dxa"/>
              <w:right w:w="15" w:type="dxa"/>
            </w:tcMar>
            <w:vAlign w:val="center"/>
            <w:hideMark/>
          </w:tcPr>
          <w:p w14:paraId="5FFABC5F"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98%</w:t>
            </w:r>
          </w:p>
        </w:tc>
        <w:tc>
          <w:tcPr>
            <w:tcW w:w="455" w:type="pct"/>
            <w:tcBorders>
              <w:top w:val="nil"/>
              <w:left w:val="nil"/>
              <w:bottom w:val="nil"/>
              <w:right w:val="nil"/>
            </w:tcBorders>
            <w:shd w:val="clear" w:color="auto" w:fill="auto"/>
            <w:noWrap/>
            <w:tcMar>
              <w:top w:w="15" w:type="dxa"/>
              <w:left w:w="15" w:type="dxa"/>
              <w:bottom w:w="0" w:type="dxa"/>
              <w:right w:w="15" w:type="dxa"/>
            </w:tcMar>
            <w:vAlign w:val="center"/>
            <w:hideMark/>
          </w:tcPr>
          <w:p w14:paraId="31197D7A"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100%</w:t>
            </w:r>
          </w:p>
        </w:tc>
        <w:tc>
          <w:tcPr>
            <w:tcW w:w="455" w:type="pct"/>
            <w:tcBorders>
              <w:top w:val="nil"/>
              <w:left w:val="nil"/>
              <w:bottom w:val="nil"/>
              <w:right w:val="nil"/>
            </w:tcBorders>
            <w:shd w:val="clear" w:color="auto" w:fill="auto"/>
            <w:noWrap/>
            <w:tcMar>
              <w:top w:w="15" w:type="dxa"/>
              <w:left w:w="15" w:type="dxa"/>
              <w:bottom w:w="0" w:type="dxa"/>
              <w:right w:w="15" w:type="dxa"/>
            </w:tcMar>
            <w:vAlign w:val="center"/>
            <w:hideMark/>
          </w:tcPr>
          <w:p w14:paraId="39EF798D"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100%</w:t>
            </w:r>
          </w:p>
        </w:tc>
        <w:tc>
          <w:tcPr>
            <w:tcW w:w="441" w:type="pct"/>
            <w:tcBorders>
              <w:top w:val="nil"/>
              <w:left w:val="nil"/>
              <w:bottom w:val="nil"/>
              <w:right w:val="nil"/>
            </w:tcBorders>
            <w:shd w:val="clear" w:color="auto" w:fill="auto"/>
            <w:noWrap/>
            <w:tcMar>
              <w:top w:w="15" w:type="dxa"/>
              <w:left w:w="15" w:type="dxa"/>
              <w:bottom w:w="0" w:type="dxa"/>
              <w:right w:w="15" w:type="dxa"/>
            </w:tcMar>
            <w:vAlign w:val="center"/>
            <w:hideMark/>
          </w:tcPr>
          <w:p w14:paraId="3316F3F6"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99%</w:t>
            </w:r>
          </w:p>
        </w:tc>
        <w:tc>
          <w:tcPr>
            <w:tcW w:w="468" w:type="pct"/>
            <w:tcBorders>
              <w:top w:val="nil"/>
              <w:left w:val="nil"/>
              <w:bottom w:val="nil"/>
              <w:right w:val="nil"/>
            </w:tcBorders>
            <w:shd w:val="clear" w:color="auto" w:fill="auto"/>
            <w:noWrap/>
            <w:tcMar>
              <w:top w:w="15" w:type="dxa"/>
              <w:left w:w="15" w:type="dxa"/>
              <w:bottom w:w="0" w:type="dxa"/>
              <w:right w:w="15" w:type="dxa"/>
            </w:tcMar>
            <w:vAlign w:val="center"/>
            <w:hideMark/>
          </w:tcPr>
          <w:p w14:paraId="1299E0C3"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100%</w:t>
            </w:r>
          </w:p>
        </w:tc>
        <w:tc>
          <w:tcPr>
            <w:tcW w:w="490" w:type="pct"/>
            <w:tcBorders>
              <w:top w:val="nil"/>
              <w:left w:val="nil"/>
              <w:bottom w:val="nil"/>
              <w:right w:val="nil"/>
            </w:tcBorders>
            <w:shd w:val="clear" w:color="auto" w:fill="auto"/>
            <w:noWrap/>
            <w:tcMar>
              <w:top w:w="15" w:type="dxa"/>
              <w:left w:w="15" w:type="dxa"/>
              <w:bottom w:w="0" w:type="dxa"/>
              <w:right w:w="15" w:type="dxa"/>
            </w:tcMar>
            <w:vAlign w:val="center"/>
            <w:hideMark/>
          </w:tcPr>
          <w:p w14:paraId="34505BC0"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97%</w:t>
            </w:r>
          </w:p>
        </w:tc>
        <w:tc>
          <w:tcPr>
            <w:tcW w:w="420" w:type="pct"/>
            <w:tcBorders>
              <w:top w:val="nil"/>
              <w:left w:val="nil"/>
              <w:bottom w:val="nil"/>
              <w:right w:val="nil"/>
            </w:tcBorders>
            <w:shd w:val="clear" w:color="auto" w:fill="auto"/>
            <w:noWrap/>
            <w:tcMar>
              <w:top w:w="15" w:type="dxa"/>
              <w:left w:w="15" w:type="dxa"/>
              <w:bottom w:w="0" w:type="dxa"/>
              <w:right w:w="15" w:type="dxa"/>
            </w:tcMar>
            <w:vAlign w:val="center"/>
            <w:hideMark/>
          </w:tcPr>
          <w:p w14:paraId="09DCB676" w14:textId="77777777" w:rsidR="00E67ABE" w:rsidRPr="00E67ABE" w:rsidRDefault="00E67ABE" w:rsidP="00E67ABE">
            <w:pPr>
              <w:spacing w:before="0" w:after="0"/>
              <w:jc w:val="center"/>
              <w:rPr>
                <w:rFonts w:cs="Calibri"/>
                <w:color w:val="000000"/>
                <w:sz w:val="20"/>
                <w:szCs w:val="20"/>
              </w:rPr>
            </w:pPr>
            <w:r w:rsidRPr="00E67ABE">
              <w:rPr>
                <w:rFonts w:cs="Calibri"/>
                <w:color w:val="000000"/>
                <w:sz w:val="20"/>
                <w:szCs w:val="20"/>
              </w:rPr>
              <w:t>96%</w:t>
            </w:r>
          </w:p>
        </w:tc>
      </w:tr>
      <w:tr w:rsidR="00E67ABE" w:rsidRPr="00E67ABE" w14:paraId="556823BF" w14:textId="77777777" w:rsidTr="00E67ABE">
        <w:trPr>
          <w:trHeight w:val="255"/>
        </w:trPr>
        <w:tc>
          <w:tcPr>
            <w:tcW w:w="455" w:type="pct"/>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71898AF3" w14:textId="07A61C86" w:rsidR="00E67ABE" w:rsidRPr="006A5C55" w:rsidRDefault="00E67ABE" w:rsidP="00E67ABE">
            <w:pPr>
              <w:spacing w:before="0" w:after="0"/>
              <w:jc w:val="center"/>
              <w:rPr>
                <w:rFonts w:cs="Calibri"/>
                <w:color w:val="000000"/>
                <w:sz w:val="20"/>
                <w:szCs w:val="20"/>
                <w:vertAlign w:val="subscript"/>
              </w:rPr>
            </w:pPr>
            <w:r w:rsidRPr="00E67ABE">
              <w:rPr>
                <w:rFonts w:cs="Calibri"/>
                <w:color w:val="000000"/>
                <w:sz w:val="20"/>
                <w:szCs w:val="20"/>
              </w:rPr>
              <w:t>Σ</w:t>
            </w:r>
            <w:r w:rsidR="006A5C55">
              <w:rPr>
                <w:rFonts w:cs="Calibri"/>
                <w:color w:val="000000"/>
                <w:sz w:val="20"/>
                <w:szCs w:val="20"/>
                <w:vertAlign w:val="subscript"/>
              </w:rPr>
              <w:t>op</w:t>
            </w:r>
          </w:p>
        </w:tc>
        <w:tc>
          <w:tcPr>
            <w:tcW w:w="490" w:type="pct"/>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44A481FD" w14:textId="77777777" w:rsidR="00E67ABE" w:rsidRPr="00E67ABE" w:rsidRDefault="00E67ABE" w:rsidP="00E67ABE">
            <w:pPr>
              <w:spacing w:before="0" w:after="0"/>
              <w:jc w:val="center"/>
              <w:rPr>
                <w:rFonts w:cs="Calibri"/>
                <w:b/>
                <w:bCs/>
                <w:color w:val="000000"/>
                <w:sz w:val="20"/>
                <w:szCs w:val="20"/>
              </w:rPr>
            </w:pPr>
            <w:r w:rsidRPr="00E67ABE">
              <w:rPr>
                <w:rFonts w:cs="Calibri"/>
                <w:b/>
                <w:bCs/>
                <w:color w:val="000000"/>
                <w:sz w:val="20"/>
                <w:szCs w:val="20"/>
              </w:rPr>
              <w:t>78%</w:t>
            </w:r>
          </w:p>
        </w:tc>
        <w:tc>
          <w:tcPr>
            <w:tcW w:w="420" w:type="pct"/>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761BAE88" w14:textId="77777777" w:rsidR="00E67ABE" w:rsidRPr="00E67ABE" w:rsidRDefault="00E67ABE" w:rsidP="00E67ABE">
            <w:pPr>
              <w:spacing w:before="0" w:after="0"/>
              <w:jc w:val="center"/>
              <w:rPr>
                <w:rFonts w:cs="Calibri"/>
                <w:b/>
                <w:bCs/>
                <w:color w:val="000000"/>
                <w:sz w:val="20"/>
                <w:szCs w:val="20"/>
              </w:rPr>
            </w:pPr>
            <w:r w:rsidRPr="00E67ABE">
              <w:rPr>
                <w:rFonts w:cs="Calibri"/>
                <w:b/>
                <w:bCs/>
                <w:color w:val="000000"/>
                <w:sz w:val="20"/>
                <w:szCs w:val="20"/>
              </w:rPr>
              <w:t>75%</w:t>
            </w:r>
          </w:p>
        </w:tc>
        <w:tc>
          <w:tcPr>
            <w:tcW w:w="502" w:type="pct"/>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1F039FA1" w14:textId="77777777" w:rsidR="00E67ABE" w:rsidRPr="00E67ABE" w:rsidRDefault="00E67ABE" w:rsidP="00E67ABE">
            <w:pPr>
              <w:spacing w:before="0" w:after="0"/>
              <w:jc w:val="center"/>
              <w:rPr>
                <w:rFonts w:cs="Calibri"/>
                <w:b/>
                <w:bCs/>
                <w:color w:val="000000"/>
                <w:sz w:val="20"/>
                <w:szCs w:val="20"/>
              </w:rPr>
            </w:pPr>
            <w:r w:rsidRPr="00E67ABE">
              <w:rPr>
                <w:rFonts w:cs="Calibri"/>
                <w:b/>
                <w:bCs/>
                <w:color w:val="000000"/>
                <w:sz w:val="20"/>
                <w:szCs w:val="20"/>
              </w:rPr>
              <w:t>98%</w:t>
            </w:r>
          </w:p>
        </w:tc>
        <w:tc>
          <w:tcPr>
            <w:tcW w:w="407" w:type="pct"/>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690F9FA7" w14:textId="77777777" w:rsidR="00E67ABE" w:rsidRPr="00E67ABE" w:rsidRDefault="00E67ABE" w:rsidP="00E67ABE">
            <w:pPr>
              <w:spacing w:before="0" w:after="0"/>
              <w:jc w:val="center"/>
              <w:rPr>
                <w:rFonts w:cs="Calibri"/>
                <w:b/>
                <w:bCs/>
                <w:color w:val="000000"/>
                <w:sz w:val="20"/>
                <w:szCs w:val="20"/>
              </w:rPr>
            </w:pPr>
            <w:r w:rsidRPr="00E67ABE">
              <w:rPr>
                <w:rFonts w:cs="Calibri"/>
                <w:b/>
                <w:bCs/>
                <w:color w:val="000000"/>
                <w:sz w:val="20"/>
                <w:szCs w:val="20"/>
              </w:rPr>
              <w:t>92%</w:t>
            </w:r>
          </w:p>
        </w:tc>
        <w:tc>
          <w:tcPr>
            <w:tcW w:w="455" w:type="pct"/>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176CC467" w14:textId="77777777" w:rsidR="00E67ABE" w:rsidRPr="00E67ABE" w:rsidRDefault="00E67ABE" w:rsidP="00E67ABE">
            <w:pPr>
              <w:spacing w:before="0" w:after="0"/>
              <w:jc w:val="center"/>
              <w:rPr>
                <w:rFonts w:cs="Calibri"/>
                <w:b/>
                <w:bCs/>
                <w:color w:val="000000"/>
                <w:sz w:val="20"/>
                <w:szCs w:val="20"/>
              </w:rPr>
            </w:pPr>
            <w:r w:rsidRPr="00E67ABE">
              <w:rPr>
                <w:rFonts w:cs="Calibri"/>
                <w:b/>
                <w:bCs/>
                <w:color w:val="000000"/>
                <w:sz w:val="20"/>
                <w:szCs w:val="20"/>
              </w:rPr>
              <w:t>94%</w:t>
            </w:r>
          </w:p>
        </w:tc>
        <w:tc>
          <w:tcPr>
            <w:tcW w:w="455" w:type="pct"/>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42B76B20" w14:textId="77777777" w:rsidR="00E67ABE" w:rsidRPr="00E67ABE" w:rsidRDefault="00E67ABE" w:rsidP="00E67ABE">
            <w:pPr>
              <w:spacing w:before="0" w:after="0"/>
              <w:jc w:val="center"/>
              <w:rPr>
                <w:rFonts w:cs="Calibri"/>
                <w:b/>
                <w:bCs/>
                <w:color w:val="000000"/>
                <w:sz w:val="20"/>
                <w:szCs w:val="20"/>
              </w:rPr>
            </w:pPr>
            <w:r w:rsidRPr="00E67ABE">
              <w:rPr>
                <w:rFonts w:cs="Calibri"/>
                <w:b/>
                <w:bCs/>
                <w:color w:val="000000"/>
                <w:sz w:val="20"/>
                <w:szCs w:val="20"/>
              </w:rPr>
              <w:t>89%</w:t>
            </w:r>
          </w:p>
        </w:tc>
        <w:tc>
          <w:tcPr>
            <w:tcW w:w="441" w:type="pct"/>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11957DF3" w14:textId="77777777" w:rsidR="00E67ABE" w:rsidRPr="00E67ABE" w:rsidRDefault="00E67ABE" w:rsidP="00E67ABE">
            <w:pPr>
              <w:spacing w:before="0" w:after="0"/>
              <w:jc w:val="center"/>
              <w:rPr>
                <w:rFonts w:cs="Calibri"/>
                <w:b/>
                <w:bCs/>
                <w:color w:val="000000"/>
                <w:sz w:val="20"/>
                <w:szCs w:val="20"/>
              </w:rPr>
            </w:pPr>
            <w:r w:rsidRPr="00E67ABE">
              <w:rPr>
                <w:rFonts w:cs="Calibri"/>
                <w:b/>
                <w:bCs/>
                <w:color w:val="000000"/>
                <w:sz w:val="20"/>
                <w:szCs w:val="20"/>
              </w:rPr>
              <w:t>93%</w:t>
            </w:r>
          </w:p>
        </w:tc>
        <w:tc>
          <w:tcPr>
            <w:tcW w:w="468" w:type="pct"/>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2F0D8628" w14:textId="77777777" w:rsidR="00E67ABE" w:rsidRPr="00E67ABE" w:rsidRDefault="00E67ABE" w:rsidP="00E67ABE">
            <w:pPr>
              <w:spacing w:before="0" w:after="0"/>
              <w:jc w:val="center"/>
              <w:rPr>
                <w:rFonts w:cs="Calibri"/>
                <w:b/>
                <w:bCs/>
                <w:color w:val="000000"/>
                <w:sz w:val="20"/>
                <w:szCs w:val="20"/>
              </w:rPr>
            </w:pPr>
            <w:r w:rsidRPr="00E67ABE">
              <w:rPr>
                <w:rFonts w:cs="Calibri"/>
                <w:b/>
                <w:bCs/>
                <w:color w:val="000000"/>
                <w:sz w:val="20"/>
                <w:szCs w:val="20"/>
              </w:rPr>
              <w:t>89%</w:t>
            </w:r>
          </w:p>
        </w:tc>
        <w:tc>
          <w:tcPr>
            <w:tcW w:w="490" w:type="pct"/>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34E06CD2" w14:textId="77777777" w:rsidR="00E67ABE" w:rsidRPr="00E67ABE" w:rsidRDefault="00E67ABE" w:rsidP="00E67ABE">
            <w:pPr>
              <w:spacing w:before="0" w:after="0"/>
              <w:jc w:val="center"/>
              <w:rPr>
                <w:rFonts w:cs="Calibri"/>
                <w:b/>
                <w:bCs/>
                <w:color w:val="000000"/>
                <w:sz w:val="20"/>
                <w:szCs w:val="20"/>
              </w:rPr>
            </w:pPr>
            <w:r w:rsidRPr="00E67ABE">
              <w:rPr>
                <w:rFonts w:cs="Calibri"/>
                <w:b/>
                <w:bCs/>
                <w:color w:val="000000"/>
                <w:sz w:val="20"/>
                <w:szCs w:val="20"/>
              </w:rPr>
              <w:t>95%</w:t>
            </w:r>
          </w:p>
        </w:tc>
        <w:tc>
          <w:tcPr>
            <w:tcW w:w="420" w:type="pct"/>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20BB8849" w14:textId="77777777" w:rsidR="00E67ABE" w:rsidRPr="00E67ABE" w:rsidRDefault="00E67ABE" w:rsidP="00E67ABE">
            <w:pPr>
              <w:spacing w:before="0" w:after="0"/>
              <w:jc w:val="center"/>
              <w:rPr>
                <w:rFonts w:cs="Calibri"/>
                <w:b/>
                <w:bCs/>
                <w:color w:val="000000"/>
                <w:sz w:val="20"/>
                <w:szCs w:val="20"/>
              </w:rPr>
            </w:pPr>
            <w:r w:rsidRPr="00E67ABE">
              <w:rPr>
                <w:rFonts w:cs="Calibri"/>
                <w:b/>
                <w:bCs/>
                <w:color w:val="000000"/>
                <w:sz w:val="20"/>
                <w:szCs w:val="20"/>
              </w:rPr>
              <w:t>90%</w:t>
            </w:r>
          </w:p>
        </w:tc>
      </w:tr>
    </w:tbl>
    <w:p w14:paraId="18F5ABBF" w14:textId="6C7AD4AA" w:rsidR="00F62322" w:rsidRDefault="002C53EE" w:rsidP="005F751A">
      <w:r>
        <w:lastRenderedPageBreak/>
        <w:t xml:space="preserve">The results of </w:t>
      </w:r>
      <w:r w:rsidR="00CD2439">
        <w:t xml:space="preserve">a </w:t>
      </w:r>
      <w:r>
        <w:t xml:space="preserve">classification </w:t>
      </w:r>
      <w:r w:rsidR="00975125">
        <w:t xml:space="preserve">in </w:t>
      </w:r>
      <w:r w:rsidR="00CD2439">
        <w:t xml:space="preserve">the </w:t>
      </w:r>
      <w:r w:rsidR="00975125">
        <w:t>last case show significant anomal</w:t>
      </w:r>
      <w:r w:rsidR="002B4B84">
        <w:t>ies</w:t>
      </w:r>
      <w:r w:rsidR="00975125">
        <w:t xml:space="preserve">. Namely, only 17.9% (training) and 22.8% (testing) of normal operating condition data points were used for classification, </w:t>
      </w:r>
      <w:r w:rsidR="00CD2439">
        <w:t>concerning</w:t>
      </w:r>
      <w:r w:rsidR="00975125">
        <w:t xml:space="preserve"> 82.1% (training) and 77.2% (testing) of quasi-fault data points were used for ML mode</w:t>
      </w:r>
      <w:r w:rsidR="00CD2439">
        <w:t>l</w:t>
      </w:r>
      <w:r w:rsidR="00975125">
        <w:t>ling</w:t>
      </w:r>
      <w:r w:rsidR="005F751A">
        <w:t>. Therefore,</w:t>
      </w:r>
      <w:r w:rsidR="00975125">
        <w:t xml:space="preserve"> the results show si</w:t>
      </w:r>
      <w:r w:rsidR="00CD2439">
        <w:t>gn</w:t>
      </w:r>
      <w:r w:rsidR="00975125">
        <w:t xml:space="preserve">ificantly higher accuracy </w:t>
      </w:r>
      <w:r w:rsidR="005F751A">
        <w:t xml:space="preserve">of faulty label classification </w:t>
      </w:r>
      <w:r w:rsidR="00CD2439">
        <w:t>than normal operating conditions, suggesting that signal degradation (opening and closing saddle signal) unnoticeably influenced</w:t>
      </w:r>
      <w:r w:rsidR="005F751A">
        <w:t xml:space="preserve"> signal behavio</w:t>
      </w:r>
      <w:r w:rsidR="00CD2439">
        <w:t>u</w:t>
      </w:r>
      <w:r w:rsidR="005F751A">
        <w:t>r.</w:t>
      </w:r>
      <w:r w:rsidR="00975125">
        <w:t xml:space="preserve"> The underlying reason </w:t>
      </w:r>
      <w:r w:rsidR="00CD2439">
        <w:t>for</w:t>
      </w:r>
      <w:r w:rsidR="00975125">
        <w:t xml:space="preserve"> such classification could indicate that </w:t>
      </w:r>
      <w:r w:rsidR="00CD2439">
        <w:t xml:space="preserve">the </w:t>
      </w:r>
      <w:r w:rsidR="00975125">
        <w:t>separation of signal parts ha</w:t>
      </w:r>
      <w:r w:rsidR="00CD2439">
        <w:t>s</w:t>
      </w:r>
      <w:r w:rsidR="00975125">
        <w:t xml:space="preserve"> changed over time under sensor replacement bias, </w:t>
      </w:r>
      <w:r w:rsidR="00CD2439">
        <w:t>suggesting</w:t>
      </w:r>
      <w:r w:rsidR="005F751A">
        <w:t xml:space="preserve"> </w:t>
      </w:r>
      <w:r w:rsidR="00CD2439">
        <w:t xml:space="preserve">a </w:t>
      </w:r>
      <w:r w:rsidR="005F751A">
        <w:t>poor classification score of normal operating data points</w:t>
      </w:r>
      <w:r w:rsidR="00D56FED">
        <w:t xml:space="preserve">. However, although </w:t>
      </w:r>
      <w:r w:rsidR="00CD2439">
        <w:t xml:space="preserve">it </w:t>
      </w:r>
      <w:r w:rsidR="00D56FED">
        <w:t xml:space="preserve">concluded that bias </w:t>
      </w:r>
      <w:r w:rsidR="005F751A">
        <w:t>exist</w:t>
      </w:r>
      <w:r w:rsidR="00CD2439">
        <w:t>s</w:t>
      </w:r>
      <w:r w:rsidR="005F751A">
        <w:t xml:space="preserve"> </w:t>
      </w:r>
      <w:r w:rsidR="00D56FED">
        <w:t>after sensor replacement</w:t>
      </w:r>
      <w:r w:rsidR="005F751A">
        <w:t>,</w:t>
      </w:r>
      <w:r w:rsidR="00D56FED">
        <w:t xml:space="preserve"> such information could be </w:t>
      </w:r>
      <w:r w:rsidR="005F751A">
        <w:t>beneficial</w:t>
      </w:r>
      <w:r w:rsidR="00D56FED">
        <w:t xml:space="preserve"> in creating a new multiclass classification </w:t>
      </w:r>
      <w:r w:rsidR="005F751A">
        <w:t>with</w:t>
      </w:r>
      <w:r w:rsidR="00D56FED">
        <w:t xml:space="preserve"> unsupervised learning </w:t>
      </w:r>
      <w:r w:rsidR="005F751A">
        <w:t>algorithms</w:t>
      </w:r>
      <w:r w:rsidR="00D56FED">
        <w:t xml:space="preserve"> </w:t>
      </w:r>
      <w:r w:rsidR="00CD2439">
        <w:t>for</w:t>
      </w:r>
      <w:r w:rsidR="00D56FED">
        <w:t xml:space="preserve"> detecting wear, leakage, degradation, and other </w:t>
      </w:r>
      <w:r w:rsidR="005F751A">
        <w:t>faulty states</w:t>
      </w:r>
      <w:r w:rsidR="00CD2439">
        <w:t>. It</w:t>
      </w:r>
      <w:r w:rsidR="00D56FED">
        <w:t xml:space="preserve"> will be used in the future thesis’ author research.</w:t>
      </w:r>
    </w:p>
    <w:p w14:paraId="33416673" w14:textId="77777777" w:rsidR="00F62322" w:rsidRDefault="00F62322" w:rsidP="00F62322">
      <w:pPr>
        <w:keepNext/>
      </w:pPr>
      <w:r>
        <w:rPr>
          <w:noProof/>
        </w:rPr>
        <w:drawing>
          <wp:inline distT="0" distB="0" distL="0" distR="0" wp14:anchorId="11759E6B" wp14:editId="3DE564D4">
            <wp:extent cx="5638800" cy="2880000"/>
            <wp:effectExtent l="0" t="0" r="0" b="0"/>
            <wp:docPr id="149" name="Chart 149">
              <a:extLst xmlns:a="http://schemas.openxmlformats.org/drawingml/2006/main">
                <a:ext uri="{FF2B5EF4-FFF2-40B4-BE49-F238E27FC236}">
                  <a16:creationId xmlns:a16="http://schemas.microsoft.com/office/drawing/2014/main" id="{CB54D92A-FFB4-439F-A2E3-AECE3E5916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2A33E94D" w14:textId="58D80612" w:rsidR="00F62322" w:rsidRPr="00F62322" w:rsidRDefault="00F62322" w:rsidP="00F62322">
      <w:pPr>
        <w:pStyle w:val="Caption"/>
      </w:pPr>
      <w:bookmarkStart w:id="728" w:name="_Toc101274645"/>
      <w:r>
        <w:t xml:space="preserve">Figure </w:t>
      </w:r>
      <w:fldSimple w:instr=" SEQ Figure \* ARABIC ">
        <w:r w:rsidR="00587AF0">
          <w:rPr>
            <w:noProof/>
          </w:rPr>
          <w:t>123</w:t>
        </w:r>
      </w:fldSimple>
      <w:r>
        <w:t>. Classification results of ML algorithms’ testing dataset at closing saddle position</w:t>
      </w:r>
      <w:bookmarkEnd w:id="728"/>
    </w:p>
    <w:p w14:paraId="44D1CC01" w14:textId="33A99C4D" w:rsidR="003D2337" w:rsidRPr="003D2337" w:rsidRDefault="0000429C" w:rsidP="00486482">
      <w:pPr>
        <w:pStyle w:val="Caption"/>
        <w:jc w:val="both"/>
        <w:rPr>
          <w:lang w:val="en-GB"/>
        </w:rPr>
      </w:pPr>
      <w:r>
        <w:rPr>
          <w:lang w:val="en-GB"/>
        </w:rPr>
        <w:t>Although models are only used as a first step in diagnostic procedures of EBM, the fact that up to 98%</w:t>
      </w:r>
      <w:r w:rsidR="005F751A">
        <w:rPr>
          <w:lang w:val="en-GB"/>
        </w:rPr>
        <w:t xml:space="preserve"> of classification was achieved</w:t>
      </w:r>
      <w:r>
        <w:rPr>
          <w:lang w:val="en-GB"/>
        </w:rPr>
        <w:t xml:space="preserve"> </w:t>
      </w:r>
      <w:r w:rsidR="005F751A">
        <w:rPr>
          <w:lang w:val="en-GB"/>
        </w:rPr>
        <w:t>creates a fundamental framework for creating an unsupervised model with</w:t>
      </w:r>
      <w:r>
        <w:rPr>
          <w:lang w:val="en-GB"/>
        </w:rPr>
        <w:t xml:space="preserve"> association rules. The unsupervised learning methods will be used to associate the unknown degradation mechanisms by </w:t>
      </w:r>
      <w:r w:rsidR="00CD2439">
        <w:rPr>
          <w:lang w:val="en-GB"/>
        </w:rPr>
        <w:t xml:space="preserve">a </w:t>
      </w:r>
      <w:r>
        <w:rPr>
          <w:lang w:val="en-GB"/>
        </w:rPr>
        <w:t>specific method of association (e.g., simple correlation) with other variables (predictor) that show the highest association with the suggested one (e.g., elemental analysis of Fe and Cr increase) that could imply wear of a pump. I</w:t>
      </w:r>
      <w:r w:rsidR="00CD2439">
        <w:rPr>
          <w:lang w:val="en-GB"/>
        </w:rPr>
        <w:t>t could be possible to discriminate further “Quasi-fault” labels into separate labels in such an instance. D</w:t>
      </w:r>
      <w:r>
        <w:rPr>
          <w:lang w:val="en-GB"/>
        </w:rPr>
        <w:t>iscrimination is done based on the association of variables with potential degradation mechanism</w:t>
      </w:r>
      <w:r w:rsidR="00CD2439">
        <w:rPr>
          <w:lang w:val="en-GB"/>
        </w:rPr>
        <w:t>s</w:t>
      </w:r>
      <w:r w:rsidR="005F751A">
        <w:rPr>
          <w:lang w:val="en-GB"/>
        </w:rPr>
        <w:t xml:space="preserve"> expressed in n-fold-change (e.g., mean, median, standard deviation, IQR etc</w:t>
      </w:r>
      <w:r w:rsidR="00CD2439">
        <w:rPr>
          <w:lang w:val="en-GB"/>
        </w:rPr>
        <w:t>.</w:t>
      </w:r>
      <w:r w:rsidR="005F751A">
        <w:rPr>
          <w:lang w:val="en-GB"/>
        </w:rPr>
        <w:t>).</w:t>
      </w:r>
    </w:p>
    <w:p w14:paraId="349EBCF9" w14:textId="385A7A50" w:rsidR="003A51D5" w:rsidRDefault="003A51D5">
      <w:pPr>
        <w:spacing w:before="0" w:after="160" w:line="259" w:lineRule="auto"/>
        <w:jc w:val="left"/>
        <w:rPr>
          <w:rFonts w:eastAsiaTheme="majorEastAsia" w:cstheme="majorBidi"/>
          <w:b/>
          <w:smallCaps/>
          <w:sz w:val="28"/>
          <w:szCs w:val="26"/>
        </w:rPr>
      </w:pPr>
      <w:r>
        <w:br w:type="page"/>
      </w:r>
    </w:p>
    <w:p w14:paraId="60841B24" w14:textId="7859D92C" w:rsidR="00EA7593" w:rsidRDefault="00EA7593" w:rsidP="00EA7593">
      <w:pPr>
        <w:pStyle w:val="Heading1"/>
      </w:pPr>
      <w:bookmarkStart w:id="729" w:name="_Toc93759932"/>
      <w:bookmarkStart w:id="730" w:name="_Toc93760036"/>
      <w:bookmarkStart w:id="731" w:name="_Toc101274418"/>
      <w:bookmarkStart w:id="732" w:name="_Toc62467415"/>
      <w:bookmarkStart w:id="733" w:name="_Toc91575437"/>
      <w:bookmarkStart w:id="734" w:name="_Toc93759936"/>
      <w:bookmarkStart w:id="735" w:name="_Toc93760040"/>
      <w:r>
        <w:lastRenderedPageBreak/>
        <w:t xml:space="preserve">Reliability </w:t>
      </w:r>
      <w:bookmarkEnd w:id="729"/>
      <w:bookmarkEnd w:id="730"/>
      <w:r w:rsidR="00242391">
        <w:t>Analysis</w:t>
      </w:r>
      <w:bookmarkEnd w:id="731"/>
    </w:p>
    <w:p w14:paraId="1F66EB99" w14:textId="2A4C044E" w:rsidR="00EA7593" w:rsidRPr="00037BD5" w:rsidRDefault="00EA7593" w:rsidP="00EA7593">
      <w:pPr>
        <w:rPr>
          <w:szCs w:val="24"/>
        </w:rPr>
      </w:pPr>
      <w:r w:rsidRPr="00037BD5">
        <w:rPr>
          <w:szCs w:val="24"/>
        </w:rPr>
        <w:t xml:space="preserve">Dr Larry H. Crow denoted the Duane model as a stochastic representation of a Weibull process, enabling statistical modelling to </w:t>
      </w:r>
      <w:r>
        <w:rPr>
          <w:szCs w:val="24"/>
        </w:rPr>
        <w:t>model</w:t>
      </w:r>
      <w:r w:rsidRPr="00037BD5">
        <w:rPr>
          <w:szCs w:val="24"/>
        </w:rPr>
        <w:t xml:space="preserve"> reliability growth analysis. It became quite known in the literature as </w:t>
      </w:r>
      <w:r>
        <w:rPr>
          <w:szCs w:val="24"/>
        </w:rPr>
        <w:t xml:space="preserve">the </w:t>
      </w:r>
      <w:r w:rsidRPr="00037BD5">
        <w:rPr>
          <w:szCs w:val="24"/>
        </w:rPr>
        <w:t xml:space="preserve">Crow-AMSAA model, where the method in </w:t>
      </w:r>
      <w:r>
        <w:rPr>
          <w:szCs w:val="24"/>
        </w:rPr>
        <w:t xml:space="preserve">the </w:t>
      </w:r>
      <w:r w:rsidRPr="00037BD5">
        <w:rPr>
          <w:szCs w:val="24"/>
        </w:rPr>
        <w:t xml:space="preserve">US army was first employed. The model was applied to repairable systems with continuous usage. Besides, the model applies a wide spectre of reliability modelling with large trials (tests). Test programs are continuously applied on an interval </w:t>
      </w:r>
      <w:r>
        <w:rPr>
          <w:szCs w:val="24"/>
        </w:rPr>
        <w:t>or phase-by-</w:t>
      </w:r>
      <w:r w:rsidRPr="00037BD5">
        <w:rPr>
          <w:szCs w:val="24"/>
        </w:rPr>
        <w:t>phase basis. The model is designed to track the reliability within a particular test phase and not across test phases. Since the model's intensity or failure rate is not a constant (λ ≠ const.), the model corresponds to the</w:t>
      </w:r>
      <w:r w:rsidRPr="00037BD5">
        <w:rPr>
          <w:rFonts w:cs="Segoe UI"/>
          <w:color w:val="282829"/>
          <w:szCs w:val="24"/>
          <w:shd w:val="clear" w:color="auto" w:fill="FFFFFF"/>
        </w:rPr>
        <w:t xml:space="preserve"> NHPP (Non-Homogenous Poisson Process) model with the Weibull intensity function. The test, however, can be </w:t>
      </w:r>
      <w:r w:rsidR="00C80E12">
        <w:rPr>
          <w:rFonts w:cs="Segoe UI"/>
          <w:color w:val="282829"/>
          <w:szCs w:val="24"/>
          <w:shd w:val="clear" w:color="auto" w:fill="FFFFFF"/>
        </w:rPr>
        <w:t xml:space="preserve">of </w:t>
      </w:r>
      <w:r w:rsidRPr="00037BD5">
        <w:rPr>
          <w:rFonts w:cs="Segoe UI"/>
          <w:color w:val="282829"/>
          <w:szCs w:val="24"/>
          <w:shd w:val="clear" w:color="auto" w:fill="FFFFFF"/>
        </w:rPr>
        <w:t xml:space="preserve">equal or unequal length wherein each test or test interval Crow-AMSAA </w:t>
      </w:r>
      <w:r w:rsidR="003A1CE6">
        <w:rPr>
          <w:rFonts w:cs="Segoe UI"/>
          <w:color w:val="282829"/>
          <w:szCs w:val="24"/>
          <w:shd w:val="clear" w:color="auto" w:fill="FFFFFF"/>
        </w:rPr>
        <w:t>dedicates</w:t>
      </w:r>
      <w:r w:rsidRPr="00037BD5">
        <w:rPr>
          <w:rFonts w:cs="Segoe UI"/>
          <w:color w:val="282829"/>
          <w:szCs w:val="24"/>
          <w:shd w:val="clear" w:color="auto" w:fill="FFFFFF"/>
        </w:rPr>
        <w:t xml:space="preserve"> </w:t>
      </w:r>
      <w:r w:rsidR="003A1CE6">
        <w:rPr>
          <w:rFonts w:cs="Segoe UI"/>
          <w:color w:val="282829"/>
          <w:szCs w:val="24"/>
          <w:shd w:val="clear" w:color="auto" w:fill="FFFFFF"/>
        </w:rPr>
        <w:t xml:space="preserve">to </w:t>
      </w:r>
      <w:r w:rsidRPr="00037BD5">
        <w:rPr>
          <w:rFonts w:cs="Segoe UI"/>
          <w:color w:val="282829"/>
          <w:szCs w:val="24"/>
          <w:shd w:val="clear" w:color="auto" w:fill="FFFFFF"/>
        </w:rPr>
        <w:t xml:space="preserve">reliability growth </w:t>
      </w:r>
      <w:r w:rsidR="003A1CE6">
        <w:rPr>
          <w:rFonts w:cs="Segoe UI"/>
          <w:color w:val="282829"/>
          <w:szCs w:val="24"/>
          <w:shd w:val="clear" w:color="auto" w:fill="FFFFFF"/>
        </w:rPr>
        <w:t xml:space="preserve">of a </w:t>
      </w:r>
      <w:r w:rsidRPr="00037BD5">
        <w:rPr>
          <w:rFonts w:cs="Segoe UI"/>
          <w:color w:val="282829"/>
          <w:szCs w:val="24"/>
          <w:shd w:val="clear" w:color="auto" w:fill="FFFFFF"/>
        </w:rPr>
        <w:t xml:space="preserve">particular phase, assuming </w:t>
      </w:r>
      <w:r w:rsidRPr="00037BD5">
        <w:rPr>
          <w:rFonts w:cs="Segoe UI"/>
          <w:i/>
          <w:iCs/>
          <w:color w:val="282829"/>
          <w:szCs w:val="24"/>
          <w:shd w:val="clear" w:color="auto" w:fill="FFFFFF"/>
        </w:rPr>
        <w:t>t = 0</w:t>
      </w:r>
      <w:r w:rsidRPr="00037BD5">
        <w:rPr>
          <w:rFonts w:cs="Segoe UI"/>
          <w:color w:val="282829"/>
          <w:szCs w:val="24"/>
          <w:shd w:val="clear" w:color="auto" w:fill="FFFFFF"/>
        </w:rPr>
        <w:t xml:space="preserve"> for </w:t>
      </w:r>
      <w:r>
        <w:rPr>
          <w:rFonts w:cs="Segoe UI"/>
          <w:color w:val="282829"/>
          <w:szCs w:val="24"/>
          <w:shd w:val="clear" w:color="auto" w:fill="FFFFFF"/>
        </w:rPr>
        <w:t xml:space="preserve">the </w:t>
      </w:r>
      <w:r w:rsidRPr="00037BD5">
        <w:rPr>
          <w:rFonts w:cs="Segoe UI"/>
          <w:color w:val="282829"/>
          <w:szCs w:val="24"/>
          <w:shd w:val="clear" w:color="auto" w:fill="FFFFFF"/>
        </w:rPr>
        <w:t xml:space="preserve">beginning of the phase and </w:t>
      </w:r>
      <w:r w:rsidRPr="00037BD5">
        <w:rPr>
          <w:rFonts w:cs="Segoe UI"/>
          <w:i/>
          <w:iCs/>
          <w:color w:val="282829"/>
          <w:szCs w:val="24"/>
          <w:shd w:val="clear" w:color="auto" w:fill="FFFFFF"/>
        </w:rPr>
        <w:t>0 &lt; S</w:t>
      </w:r>
      <w:r w:rsidRPr="00037BD5">
        <w:rPr>
          <w:rFonts w:cs="Segoe UI"/>
          <w:i/>
          <w:iCs/>
          <w:color w:val="282829"/>
          <w:szCs w:val="24"/>
          <w:shd w:val="clear" w:color="auto" w:fill="FFFFFF"/>
          <w:vertAlign w:val="subscript"/>
        </w:rPr>
        <w:t>1</w:t>
      </w:r>
      <w:r w:rsidRPr="00037BD5">
        <w:rPr>
          <w:rFonts w:cs="Segoe UI"/>
          <w:i/>
          <w:iCs/>
          <w:color w:val="282829"/>
          <w:szCs w:val="24"/>
          <w:shd w:val="clear" w:color="auto" w:fill="FFFFFF"/>
        </w:rPr>
        <w:t xml:space="preserve"> &lt; S</w:t>
      </w:r>
      <w:r w:rsidRPr="00037BD5">
        <w:rPr>
          <w:rFonts w:cs="Segoe UI"/>
          <w:i/>
          <w:iCs/>
          <w:color w:val="282829"/>
          <w:szCs w:val="24"/>
          <w:shd w:val="clear" w:color="auto" w:fill="FFFFFF"/>
          <w:vertAlign w:val="subscript"/>
        </w:rPr>
        <w:t>2</w:t>
      </w:r>
      <w:r w:rsidRPr="00037BD5">
        <w:rPr>
          <w:rFonts w:cs="Segoe UI"/>
          <w:i/>
          <w:iCs/>
          <w:color w:val="282829"/>
          <w:szCs w:val="24"/>
          <w:shd w:val="clear" w:color="auto" w:fill="FFFFFF"/>
        </w:rPr>
        <w:t xml:space="preserve"> … &lt; S</w:t>
      </w:r>
      <w:r w:rsidRPr="00037BD5">
        <w:rPr>
          <w:rFonts w:cs="Segoe UI"/>
          <w:i/>
          <w:iCs/>
          <w:color w:val="282829"/>
          <w:szCs w:val="24"/>
          <w:shd w:val="clear" w:color="auto" w:fill="FFFFFF"/>
          <w:vertAlign w:val="subscript"/>
        </w:rPr>
        <w:t>n</w:t>
      </w:r>
      <w:r w:rsidRPr="00037BD5">
        <w:rPr>
          <w:rFonts w:cs="Segoe UI"/>
          <w:i/>
          <w:iCs/>
          <w:color w:val="282829"/>
          <w:szCs w:val="24"/>
          <w:shd w:val="clear" w:color="auto" w:fill="FFFFFF"/>
        </w:rPr>
        <w:t xml:space="preserve"> </w:t>
      </w:r>
      <w:r w:rsidRPr="00037BD5">
        <w:rPr>
          <w:rFonts w:cs="Segoe UI"/>
          <w:color w:val="282829"/>
          <w:szCs w:val="24"/>
          <w:shd w:val="clear" w:color="auto" w:fill="FFFFFF"/>
        </w:rPr>
        <w:t xml:space="preserve">let be the time of modifications on components within test phase. Failure intensity </w:t>
      </w:r>
      <w:r w:rsidRPr="00037BD5">
        <w:rPr>
          <w:i/>
          <w:iCs/>
          <w:szCs w:val="24"/>
        </w:rPr>
        <w:t>λ</w:t>
      </w:r>
      <w:r w:rsidRPr="00037BD5">
        <w:rPr>
          <w:i/>
          <w:iCs/>
          <w:szCs w:val="24"/>
          <w:vertAlign w:val="subscript"/>
        </w:rPr>
        <w:t>i</w:t>
      </w:r>
      <w:r w:rsidRPr="00037BD5">
        <w:rPr>
          <w:szCs w:val="24"/>
        </w:rPr>
        <w:t xml:space="preserve"> can be assumed as constants between test periods (</w:t>
      </w:r>
      <w:r w:rsidRPr="00037BD5">
        <w:rPr>
          <w:i/>
          <w:iCs/>
          <w:szCs w:val="24"/>
        </w:rPr>
        <w:t>S</w:t>
      </w:r>
      <w:r w:rsidRPr="00037BD5">
        <w:rPr>
          <w:i/>
          <w:iCs/>
          <w:szCs w:val="24"/>
          <w:vertAlign w:val="subscript"/>
        </w:rPr>
        <w:t xml:space="preserve">i-1, </w:t>
      </w:r>
      <w:r w:rsidRPr="00037BD5">
        <w:rPr>
          <w:i/>
          <w:iCs/>
          <w:szCs w:val="24"/>
        </w:rPr>
        <w:t>S</w:t>
      </w:r>
      <w:r w:rsidRPr="00037BD5">
        <w:rPr>
          <w:rFonts w:cs="Times New Roman"/>
          <w:i/>
          <w:iCs/>
          <w:szCs w:val="24"/>
          <w:vertAlign w:val="subscript"/>
          <w:lang w:val="en-GB"/>
        </w:rPr>
        <w:t>i</w:t>
      </w:r>
      <w:r w:rsidRPr="00037BD5">
        <w:rPr>
          <w:szCs w:val="24"/>
        </w:rPr>
        <w:t xml:space="preserve">) when changes are made </w:t>
      </w:r>
      <w:r w:rsidR="00C80E12">
        <w:rPr>
          <w:szCs w:val="24"/>
        </w:rPr>
        <w:t>to</w:t>
      </w:r>
      <w:r w:rsidRPr="00037BD5">
        <w:rPr>
          <w:szCs w:val="24"/>
        </w:rPr>
        <w:t xml:space="preserve"> the system</w:t>
      </w:r>
      <w:r>
        <w:rPr>
          <w:szCs w:val="24"/>
        </w:rPr>
        <w:t>;</w:t>
      </w:r>
      <w:r w:rsidRPr="00037BD5">
        <w:rPr>
          <w:szCs w:val="24"/>
        </w:rPr>
        <w:t xml:space="preserve"> hence, the number of failures </w:t>
      </w:r>
      <w:r w:rsidRPr="00037BD5">
        <w:rPr>
          <w:i/>
          <w:iCs/>
          <w:szCs w:val="24"/>
        </w:rPr>
        <w:t>N</w:t>
      </w:r>
      <w:r w:rsidR="005B08D4">
        <w:rPr>
          <w:i/>
          <w:iCs/>
          <w:szCs w:val="24"/>
          <w:vertAlign w:val="subscript"/>
        </w:rPr>
        <w:t>fi</w:t>
      </w:r>
      <w:r w:rsidRPr="00037BD5">
        <w:rPr>
          <w:szCs w:val="24"/>
        </w:rPr>
        <w:t xml:space="preserve"> during the </w:t>
      </w:r>
      <w:r w:rsidRPr="00037BD5">
        <w:rPr>
          <w:i/>
          <w:iCs/>
          <w:szCs w:val="24"/>
        </w:rPr>
        <w:t>i</w:t>
      </w:r>
      <w:r w:rsidRPr="00037BD5">
        <w:rPr>
          <w:szCs w:val="24"/>
        </w:rPr>
        <w:t xml:space="preserve">th period has a Poisson distribution with mean </w:t>
      </w:r>
      <w:r w:rsidRPr="00037BD5">
        <w:rPr>
          <w:i/>
          <w:iCs/>
          <w:szCs w:val="24"/>
        </w:rPr>
        <w:t>λ</w:t>
      </w:r>
      <w:r w:rsidRPr="00037BD5">
        <w:rPr>
          <w:i/>
          <w:iCs/>
          <w:szCs w:val="24"/>
          <w:vertAlign w:val="subscript"/>
        </w:rPr>
        <w:t>i</w:t>
      </w:r>
      <w:r w:rsidRPr="00037BD5">
        <w:rPr>
          <w:szCs w:val="24"/>
        </w:rPr>
        <w:t>(</w:t>
      </w:r>
      <w:r w:rsidRPr="00037BD5">
        <w:rPr>
          <w:i/>
          <w:iCs/>
          <w:szCs w:val="24"/>
        </w:rPr>
        <w:t>S</w:t>
      </w:r>
      <w:r w:rsidRPr="00037BD5">
        <w:rPr>
          <w:rFonts w:cs="Times New Roman"/>
          <w:i/>
          <w:iCs/>
          <w:szCs w:val="24"/>
          <w:vertAlign w:val="subscript"/>
          <w:lang w:val="en-GB"/>
        </w:rPr>
        <w:t>i</w:t>
      </w:r>
      <w:r w:rsidRPr="00037BD5">
        <w:rPr>
          <w:rFonts w:cs="Times New Roman"/>
          <w:i/>
          <w:iCs/>
          <w:szCs w:val="24"/>
          <w:lang w:val="en-GB"/>
        </w:rPr>
        <w:t xml:space="preserve"> </w:t>
      </w:r>
      <w:r w:rsidRPr="00037BD5">
        <w:rPr>
          <w:rFonts w:cs="Times New Roman"/>
          <w:szCs w:val="24"/>
          <w:lang w:val="en-GB"/>
        </w:rPr>
        <w:t>-</w:t>
      </w:r>
      <w:r w:rsidRPr="00037BD5">
        <w:rPr>
          <w:i/>
          <w:iCs/>
          <w:szCs w:val="24"/>
        </w:rPr>
        <w:t xml:space="preserve"> S</w:t>
      </w:r>
      <w:r w:rsidRPr="00037BD5">
        <w:rPr>
          <w:i/>
          <w:iCs/>
          <w:szCs w:val="24"/>
          <w:vertAlign w:val="subscript"/>
        </w:rPr>
        <w:t>i-1</w:t>
      </w:r>
      <w:r w:rsidRPr="00037BD5">
        <w:rPr>
          <w:szCs w:val="24"/>
        </w:rPr>
        <w:t>) as:</w:t>
      </w:r>
    </w:p>
    <w:tbl>
      <w:tblPr>
        <w:tblW w:w="0" w:type="auto"/>
        <w:jc w:val="center"/>
        <w:tblLook w:val="04A0" w:firstRow="1" w:lastRow="0" w:firstColumn="1" w:lastColumn="0" w:noHBand="0" w:noVBand="1"/>
      </w:tblPr>
      <w:tblGrid>
        <w:gridCol w:w="8005"/>
        <w:gridCol w:w="1012"/>
      </w:tblGrid>
      <w:tr w:rsidR="00EA7593" w14:paraId="0B0D66E7" w14:textId="77777777" w:rsidTr="00C161B4">
        <w:trPr>
          <w:jc w:val="center"/>
        </w:trPr>
        <w:tc>
          <w:tcPr>
            <w:tcW w:w="8005" w:type="dxa"/>
            <w:vAlign w:val="center"/>
          </w:tcPr>
          <w:p w14:paraId="4A691D5B" w14:textId="003EBED2" w:rsidR="00EA7593" w:rsidRDefault="00EA7593" w:rsidP="00C161B4">
            <w:pPr>
              <w:jc w:val="center"/>
              <w:rPr>
                <w:rFonts w:cs="Times New Roman"/>
                <w:lang w:val="en-GB"/>
              </w:rPr>
            </w:pPr>
            <m:oMathPara>
              <m:oMath>
                <m:r>
                  <w:rPr>
                    <w:rFonts w:ascii="Cambria Math" w:hAnsi="Cambria Math" w:cs="Times New Roman"/>
                    <w:lang w:val="en-GB"/>
                  </w:rPr>
                  <m:t>P</m:t>
                </m:r>
                <m:d>
                  <m:dPr>
                    <m:ctrlPr>
                      <w:rPr>
                        <w:rFonts w:ascii="Cambria Math" w:hAnsi="Cambria Math" w:cs="Times New Roman"/>
                        <w:i/>
                        <w:lang w:val="en-GB"/>
                      </w:rPr>
                    </m:ctrlPr>
                  </m:dPr>
                  <m:e>
                    <m:sSub>
                      <m:sSubPr>
                        <m:ctrlPr>
                          <w:rPr>
                            <w:rFonts w:ascii="Cambria Math" w:hAnsi="Cambria Math" w:cs="Times New Roman"/>
                            <w:i/>
                            <w:lang w:val="en-GB"/>
                          </w:rPr>
                        </m:ctrlPr>
                      </m:sSubPr>
                      <m:e>
                        <m:r>
                          <w:rPr>
                            <w:rFonts w:ascii="Cambria Math" w:hAnsi="Cambria Math" w:cs="Times New Roman"/>
                            <w:lang w:val="en-GB"/>
                          </w:rPr>
                          <m:t>N</m:t>
                        </m:r>
                      </m:e>
                      <m:sub>
                        <m:r>
                          <w:rPr>
                            <w:rFonts w:ascii="Cambria Math" w:hAnsi="Cambria Math" w:cs="Times New Roman"/>
                            <w:lang w:val="en-GB"/>
                          </w:rPr>
                          <m:t>fi</m:t>
                        </m:r>
                      </m:sub>
                    </m:sSub>
                    <m:r>
                      <w:rPr>
                        <w:rFonts w:ascii="Cambria Math" w:hAnsi="Cambria Math" w:cs="Times New Roman"/>
                        <w:lang w:val="en-GB"/>
                      </w:rPr>
                      <m:t>=n</m:t>
                    </m:r>
                  </m:e>
                </m:d>
                <m:r>
                  <w:rPr>
                    <w:rFonts w:ascii="Cambria Math" w:hAnsi="Cambria Math" w:cs="Times New Roman"/>
                    <w:lang w:val="en-GB"/>
                  </w:rPr>
                  <m:t>=</m:t>
                </m:r>
                <m:f>
                  <m:fPr>
                    <m:ctrlPr>
                      <w:rPr>
                        <w:rFonts w:ascii="Cambria Math" w:hAnsi="Cambria Math" w:cs="Times New Roman"/>
                        <w:i/>
                        <w:lang w:val="en-GB"/>
                      </w:rPr>
                    </m:ctrlPr>
                  </m:fPr>
                  <m:num>
                    <m:sSup>
                      <m:sSupPr>
                        <m:ctrlPr>
                          <w:rPr>
                            <w:rFonts w:ascii="Cambria Math" w:hAnsi="Cambria Math" w:cs="Times New Roman"/>
                            <w:i/>
                            <w:lang w:val="en-GB"/>
                          </w:rPr>
                        </m:ctrlPr>
                      </m:sSupPr>
                      <m:e>
                        <m:d>
                          <m:dPr>
                            <m:begChr m:val="["/>
                            <m:endChr m:val="]"/>
                            <m:ctrlPr>
                              <w:rPr>
                                <w:rFonts w:ascii="Cambria Math" w:hAnsi="Cambria Math" w:cs="Times New Roman"/>
                                <w:i/>
                                <w:lang w:val="en-GB"/>
                              </w:rPr>
                            </m:ctrlPr>
                          </m:dPr>
                          <m:e>
                            <m:sSub>
                              <m:sSubPr>
                                <m:ctrlPr>
                                  <w:rPr>
                                    <w:rFonts w:ascii="Cambria Math" w:hAnsi="Cambria Math" w:cs="Times New Roman"/>
                                    <w:i/>
                                    <w:lang w:val="en-GB"/>
                                  </w:rPr>
                                </m:ctrlPr>
                              </m:sSubPr>
                              <m:e>
                                <m:r>
                                  <w:rPr>
                                    <w:rFonts w:ascii="Cambria Math" w:hAnsi="Cambria Math" w:cs="Times New Roman"/>
                                    <w:lang w:val="en-GB"/>
                                  </w:rPr>
                                  <m:t>λ</m:t>
                                </m:r>
                              </m:e>
                              <m:sub>
                                <m:r>
                                  <w:rPr>
                                    <w:rFonts w:ascii="Cambria Math" w:hAnsi="Cambria Math" w:cs="Times New Roman"/>
                                    <w:lang w:val="en-GB"/>
                                  </w:rPr>
                                  <m:t>i</m:t>
                                </m:r>
                              </m:sub>
                            </m:sSub>
                            <m:r>
                              <w:rPr>
                                <w:rFonts w:ascii="Cambria Math" w:hAnsi="Cambria Math" w:cs="Times New Roman"/>
                                <w:lang w:val="en-GB"/>
                              </w:rPr>
                              <m:t>∙(</m:t>
                            </m:r>
                            <m:sSub>
                              <m:sSubPr>
                                <m:ctrlPr>
                                  <w:rPr>
                                    <w:rFonts w:ascii="Cambria Math" w:hAnsi="Cambria Math" w:cs="Times New Roman"/>
                                    <w:i/>
                                    <w:lang w:val="en-GB"/>
                                  </w:rPr>
                                </m:ctrlPr>
                              </m:sSubPr>
                              <m:e>
                                <m:r>
                                  <w:rPr>
                                    <w:rFonts w:ascii="Cambria Math" w:hAnsi="Cambria Math" w:cs="Times New Roman"/>
                                    <w:lang w:val="en-GB"/>
                                  </w:rPr>
                                  <m:t>S</m:t>
                                </m:r>
                              </m:e>
                              <m:sub>
                                <m:r>
                                  <w:rPr>
                                    <w:rFonts w:ascii="Cambria Math" w:hAnsi="Cambria Math" w:cs="Times New Roman"/>
                                    <w:lang w:val="en-GB"/>
                                  </w:rPr>
                                  <m:t>i</m:t>
                                </m:r>
                              </m:sub>
                            </m:sSub>
                            <m:r>
                              <w:rPr>
                                <w:rFonts w:ascii="Cambria Math" w:hAnsi="Cambria Math" w:cs="Times New Roman"/>
                                <w:lang w:val="en-GB"/>
                              </w:rPr>
                              <m:t>-</m:t>
                            </m:r>
                            <m:sSub>
                              <m:sSubPr>
                                <m:ctrlPr>
                                  <w:rPr>
                                    <w:rFonts w:ascii="Cambria Math" w:hAnsi="Cambria Math" w:cs="Times New Roman"/>
                                    <w:i/>
                                    <w:lang w:val="en-GB"/>
                                  </w:rPr>
                                </m:ctrlPr>
                              </m:sSubPr>
                              <m:e>
                                <m:r>
                                  <w:rPr>
                                    <w:rFonts w:ascii="Cambria Math" w:hAnsi="Cambria Math" w:cs="Times New Roman"/>
                                    <w:lang w:val="en-GB"/>
                                  </w:rPr>
                                  <m:t>S</m:t>
                                </m:r>
                              </m:e>
                              <m:sub>
                                <m:r>
                                  <w:rPr>
                                    <w:rFonts w:ascii="Cambria Math" w:hAnsi="Cambria Math" w:cs="Times New Roman"/>
                                    <w:lang w:val="en-GB"/>
                                  </w:rPr>
                                  <m:t>i-1</m:t>
                                </m:r>
                              </m:sub>
                            </m:sSub>
                            <m:r>
                              <w:rPr>
                                <w:rFonts w:ascii="Cambria Math" w:hAnsi="Cambria Math" w:cs="Times New Roman"/>
                                <w:lang w:val="en-GB"/>
                              </w:rPr>
                              <m:t>)</m:t>
                            </m:r>
                          </m:e>
                        </m:d>
                      </m:e>
                      <m:sup>
                        <m:r>
                          <w:rPr>
                            <w:rFonts w:ascii="Cambria Math" w:hAnsi="Cambria Math" w:cs="Times New Roman"/>
                            <w:lang w:val="en-GB"/>
                          </w:rPr>
                          <m:t>n</m:t>
                        </m:r>
                      </m:sup>
                    </m:sSup>
                    <m:r>
                      <w:rPr>
                        <w:rFonts w:ascii="Cambria Math" w:hAnsi="Cambria Math" w:cs="Times New Roman"/>
                        <w:lang w:val="en-GB"/>
                      </w:rPr>
                      <m:t>∙</m:t>
                    </m:r>
                    <m:sSup>
                      <m:sSupPr>
                        <m:ctrlPr>
                          <w:rPr>
                            <w:rFonts w:ascii="Cambria Math" w:hAnsi="Cambria Math" w:cs="Times New Roman"/>
                            <w:i/>
                            <w:lang w:val="en-GB"/>
                          </w:rPr>
                        </m:ctrlPr>
                      </m:sSupPr>
                      <m:e>
                        <m:r>
                          <w:rPr>
                            <w:rFonts w:ascii="Cambria Math" w:hAnsi="Cambria Math" w:cs="Times New Roman"/>
                            <w:lang w:val="en-GB"/>
                          </w:rPr>
                          <m:t>e</m:t>
                        </m:r>
                      </m:e>
                      <m:sup>
                        <m:r>
                          <w:rPr>
                            <w:rFonts w:ascii="Cambria Math" w:hAnsi="Cambria Math" w:cs="Times New Roman"/>
                            <w:lang w:val="en-GB"/>
                          </w:rPr>
                          <m:t>-</m:t>
                        </m:r>
                        <m:sSub>
                          <m:sSubPr>
                            <m:ctrlPr>
                              <w:rPr>
                                <w:rFonts w:ascii="Cambria Math" w:hAnsi="Cambria Math" w:cs="Times New Roman"/>
                                <w:i/>
                                <w:lang w:val="en-GB"/>
                              </w:rPr>
                            </m:ctrlPr>
                          </m:sSubPr>
                          <m:e>
                            <m:r>
                              <w:rPr>
                                <w:rFonts w:ascii="Cambria Math" w:hAnsi="Cambria Math" w:cs="Times New Roman"/>
                                <w:lang w:val="en-GB"/>
                              </w:rPr>
                              <m:t>λ</m:t>
                            </m:r>
                          </m:e>
                          <m:sub>
                            <m:r>
                              <w:rPr>
                                <w:rFonts w:ascii="Cambria Math" w:hAnsi="Cambria Math" w:cs="Times New Roman"/>
                                <w:lang w:val="en-GB"/>
                              </w:rPr>
                              <m:t>i</m:t>
                            </m:r>
                          </m:sub>
                        </m:sSub>
                        <m:r>
                          <w:rPr>
                            <w:rFonts w:ascii="Cambria Math" w:hAnsi="Cambria Math" w:cs="Times New Roman"/>
                            <w:lang w:val="en-GB"/>
                          </w:rPr>
                          <m:t>∙(</m:t>
                        </m:r>
                        <m:sSub>
                          <m:sSubPr>
                            <m:ctrlPr>
                              <w:rPr>
                                <w:rFonts w:ascii="Cambria Math" w:hAnsi="Cambria Math" w:cs="Times New Roman"/>
                                <w:i/>
                                <w:lang w:val="en-GB"/>
                              </w:rPr>
                            </m:ctrlPr>
                          </m:sSubPr>
                          <m:e>
                            <m:r>
                              <w:rPr>
                                <w:rFonts w:ascii="Cambria Math" w:hAnsi="Cambria Math" w:cs="Times New Roman"/>
                                <w:lang w:val="en-GB"/>
                              </w:rPr>
                              <m:t>S</m:t>
                            </m:r>
                          </m:e>
                          <m:sub>
                            <m:r>
                              <w:rPr>
                                <w:rFonts w:ascii="Cambria Math" w:hAnsi="Cambria Math" w:cs="Times New Roman"/>
                                <w:lang w:val="en-GB"/>
                              </w:rPr>
                              <m:t>i</m:t>
                            </m:r>
                          </m:sub>
                        </m:sSub>
                        <m:r>
                          <w:rPr>
                            <w:rFonts w:ascii="Cambria Math" w:hAnsi="Cambria Math" w:cs="Times New Roman"/>
                            <w:lang w:val="en-GB"/>
                          </w:rPr>
                          <m:t>-</m:t>
                        </m:r>
                        <m:sSub>
                          <m:sSubPr>
                            <m:ctrlPr>
                              <w:rPr>
                                <w:rFonts w:ascii="Cambria Math" w:hAnsi="Cambria Math" w:cs="Times New Roman"/>
                                <w:i/>
                                <w:lang w:val="en-GB"/>
                              </w:rPr>
                            </m:ctrlPr>
                          </m:sSubPr>
                          <m:e>
                            <m:r>
                              <w:rPr>
                                <w:rFonts w:ascii="Cambria Math" w:hAnsi="Cambria Math" w:cs="Times New Roman"/>
                                <w:lang w:val="en-GB"/>
                              </w:rPr>
                              <m:t>S</m:t>
                            </m:r>
                          </m:e>
                          <m:sub>
                            <m:r>
                              <w:rPr>
                                <w:rFonts w:ascii="Cambria Math" w:hAnsi="Cambria Math" w:cs="Times New Roman"/>
                                <w:lang w:val="en-GB"/>
                              </w:rPr>
                              <m:t>i-1</m:t>
                            </m:r>
                          </m:sub>
                        </m:sSub>
                        <m:r>
                          <w:rPr>
                            <w:rFonts w:ascii="Cambria Math" w:hAnsi="Cambria Math" w:cs="Times New Roman"/>
                            <w:lang w:val="en-GB"/>
                          </w:rPr>
                          <m:t>)</m:t>
                        </m:r>
                      </m:sup>
                    </m:sSup>
                  </m:num>
                  <m:den>
                    <m:r>
                      <w:rPr>
                        <w:rFonts w:ascii="Cambria Math" w:hAnsi="Cambria Math" w:cs="Times New Roman"/>
                        <w:lang w:val="en-GB"/>
                      </w:rPr>
                      <m:t>n!</m:t>
                    </m:r>
                  </m:den>
                </m:f>
                <m:r>
                  <w:rPr>
                    <w:rFonts w:ascii="Cambria Math" w:hAnsi="Cambria Math" w:cs="Times New Roman"/>
                    <w:lang w:val="en-GB"/>
                  </w:rPr>
                  <m:t>,  n=integer value.</m:t>
                </m:r>
              </m:oMath>
            </m:oMathPara>
          </w:p>
        </w:tc>
        <w:tc>
          <w:tcPr>
            <w:tcW w:w="1012" w:type="dxa"/>
            <w:vAlign w:val="center"/>
          </w:tcPr>
          <w:p w14:paraId="3D97FE8E" w14:textId="51270B4B" w:rsidR="00EA7593" w:rsidRDefault="00043DEB" w:rsidP="00C161B4">
            <w:pPr>
              <w:jc w:val="right"/>
              <w:rPr>
                <w:rFonts w:cs="Times New Roman"/>
                <w:lang w:val="en-GB"/>
              </w:rPr>
            </w:pPr>
            <w:r>
              <w:rPr>
                <w:szCs w:val="24"/>
              </w:rPr>
              <w:t>(</w:t>
            </w:r>
            <w:r w:rsidR="00427B33">
              <w:fldChar w:fldCharType="begin"/>
            </w:r>
            <w:r w:rsidR="00427B33">
              <w:instrText xml:space="preserve"> STYLEREF 1 \s </w:instrText>
            </w:r>
            <w:r w:rsidR="00427B33">
              <w:fldChar w:fldCharType="separate"/>
            </w:r>
            <w:r w:rsidR="00587AF0">
              <w:rPr>
                <w:noProof/>
              </w:rPr>
              <w:t>10</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1</w:t>
            </w:r>
            <w:r w:rsidR="00427B33">
              <w:rPr>
                <w:noProof/>
              </w:rPr>
              <w:fldChar w:fldCharType="end"/>
            </w:r>
            <w:r>
              <w:t>)</w:t>
            </w:r>
          </w:p>
        </w:tc>
      </w:tr>
    </w:tbl>
    <w:p w14:paraId="1C31732D" w14:textId="022B24BB" w:rsidR="00EA7593" w:rsidRDefault="00EA7593" w:rsidP="00EA7593">
      <w:r>
        <w:t xml:space="preserve">In this case, constant failure rate </w:t>
      </w:r>
      <w:r w:rsidRPr="00130021">
        <w:rPr>
          <w:i/>
          <w:iCs/>
        </w:rPr>
        <w:t>λ</w:t>
      </w:r>
      <w:r w:rsidRPr="00130021">
        <w:rPr>
          <w:i/>
          <w:iCs/>
          <w:vertAlign w:val="subscript"/>
        </w:rPr>
        <w:t>i</w:t>
      </w:r>
      <w:r w:rsidRPr="00245882">
        <w:t xml:space="preserve"> </w:t>
      </w:r>
      <w:r>
        <w:t>assumes TBF to be a constant following exponential distribution:</w:t>
      </w:r>
    </w:p>
    <w:tbl>
      <w:tblPr>
        <w:tblW w:w="0" w:type="auto"/>
        <w:jc w:val="center"/>
        <w:tblLook w:val="04A0" w:firstRow="1" w:lastRow="0" w:firstColumn="1" w:lastColumn="0" w:noHBand="0" w:noVBand="1"/>
      </w:tblPr>
      <w:tblGrid>
        <w:gridCol w:w="8005"/>
        <w:gridCol w:w="1012"/>
      </w:tblGrid>
      <w:tr w:rsidR="00EA7593" w14:paraId="389CB61B" w14:textId="77777777" w:rsidTr="00C161B4">
        <w:trPr>
          <w:jc w:val="center"/>
        </w:trPr>
        <w:tc>
          <w:tcPr>
            <w:tcW w:w="8005" w:type="dxa"/>
            <w:vAlign w:val="center"/>
          </w:tcPr>
          <w:p w14:paraId="301C5539" w14:textId="1877969B" w:rsidR="00EA7593" w:rsidRDefault="00EA7593" w:rsidP="00C161B4">
            <w:pPr>
              <w:jc w:val="center"/>
              <w:rPr>
                <w:rFonts w:cs="Times New Roman"/>
                <w:lang w:val="en-GB"/>
              </w:rPr>
            </w:pPr>
            <w:r>
              <w:t xml:space="preserve"> </w:t>
            </w:r>
            <m:oMath>
              <m:r>
                <w:rPr>
                  <w:rFonts w:ascii="Cambria Math" w:hAnsi="Cambria Math" w:cs="Times New Roman"/>
                  <w:lang w:val="en-GB"/>
                </w:rPr>
                <m:t>F</m:t>
              </m:r>
              <m:d>
                <m:dPr>
                  <m:ctrlPr>
                    <w:rPr>
                      <w:rFonts w:ascii="Cambria Math" w:hAnsi="Cambria Math" w:cs="Times New Roman"/>
                      <w:i/>
                      <w:lang w:val="en-GB"/>
                    </w:rPr>
                  </m:ctrlPr>
                </m:dPr>
                <m:e>
                  <m:r>
                    <w:rPr>
                      <w:rFonts w:ascii="Cambria Math" w:hAnsi="Cambria Math" w:cs="Times New Roman"/>
                      <w:lang w:val="en-GB"/>
                    </w:rPr>
                    <m:t>t</m:t>
                  </m:r>
                </m:e>
              </m:d>
              <m:r>
                <w:rPr>
                  <w:rFonts w:ascii="Cambria Math" w:hAnsi="Cambria Math" w:cs="Times New Roman"/>
                  <w:lang w:val="en-GB"/>
                </w:rPr>
                <m:t>=1-</m:t>
              </m:r>
              <m:sSup>
                <m:sSupPr>
                  <m:ctrlPr>
                    <w:rPr>
                      <w:rFonts w:ascii="Cambria Math" w:hAnsi="Cambria Math" w:cs="Times New Roman"/>
                      <w:i/>
                      <w:lang w:val="en-GB"/>
                    </w:rPr>
                  </m:ctrlPr>
                </m:sSupPr>
                <m:e>
                  <m:r>
                    <w:rPr>
                      <w:rFonts w:ascii="Cambria Math" w:hAnsi="Cambria Math" w:cs="Times New Roman"/>
                      <w:lang w:val="en-GB"/>
                    </w:rPr>
                    <m:t>e</m:t>
                  </m:r>
                </m:e>
                <m:sup>
                  <m:r>
                    <w:rPr>
                      <w:rFonts w:ascii="Cambria Math" w:hAnsi="Cambria Math" w:cs="Times New Roman"/>
                      <w:lang w:val="en-GB"/>
                    </w:rPr>
                    <m:t>-</m:t>
                  </m:r>
                  <m:sSub>
                    <m:sSubPr>
                      <m:ctrlPr>
                        <w:rPr>
                          <w:rFonts w:ascii="Cambria Math" w:hAnsi="Cambria Math" w:cs="Times New Roman"/>
                          <w:i/>
                          <w:lang w:val="en-GB"/>
                        </w:rPr>
                      </m:ctrlPr>
                    </m:sSubPr>
                    <m:e>
                      <m:r>
                        <w:rPr>
                          <w:rFonts w:ascii="Cambria Math" w:hAnsi="Cambria Math" w:cs="Times New Roman"/>
                          <w:lang w:val="en-GB"/>
                        </w:rPr>
                        <m:t>λ</m:t>
                      </m:r>
                    </m:e>
                    <m:sub>
                      <m:r>
                        <w:rPr>
                          <w:rFonts w:ascii="Cambria Math" w:hAnsi="Cambria Math" w:cs="Times New Roman"/>
                          <w:lang w:val="en-GB"/>
                        </w:rPr>
                        <m:t>i</m:t>
                      </m:r>
                    </m:sub>
                  </m:sSub>
                  <m:r>
                    <w:rPr>
                      <w:rFonts w:ascii="Cambria Math" w:hAnsi="Cambria Math" w:cs="Times New Roman"/>
                      <w:lang w:val="en-GB"/>
                    </w:rPr>
                    <m:t>t</m:t>
                  </m:r>
                </m:sup>
              </m:sSup>
              <m:r>
                <w:rPr>
                  <w:rFonts w:ascii="Cambria Math" w:hAnsi="Cambria Math" w:cs="Times New Roman"/>
                  <w:lang w:val="en-GB"/>
                </w:rPr>
                <m:t xml:space="preserve"> t&gt;0.</m:t>
              </m:r>
            </m:oMath>
          </w:p>
        </w:tc>
        <w:tc>
          <w:tcPr>
            <w:tcW w:w="1012" w:type="dxa"/>
            <w:vAlign w:val="center"/>
          </w:tcPr>
          <w:p w14:paraId="49FE374F" w14:textId="3B4AA1AE" w:rsidR="00EA7593" w:rsidRDefault="00043DEB" w:rsidP="00C161B4">
            <w:pPr>
              <w:jc w:val="right"/>
              <w:rPr>
                <w:rFonts w:cs="Times New Roman"/>
                <w:lang w:val="en-GB"/>
              </w:rPr>
            </w:pPr>
            <w:r>
              <w:rPr>
                <w:szCs w:val="24"/>
              </w:rPr>
              <w:t>(</w:t>
            </w:r>
            <w:r w:rsidR="00427B33">
              <w:fldChar w:fldCharType="begin"/>
            </w:r>
            <w:r w:rsidR="00427B33">
              <w:instrText xml:space="preserve"> STYLEREF 1 \s </w:instrText>
            </w:r>
            <w:r w:rsidR="00427B33">
              <w:fldChar w:fldCharType="separate"/>
            </w:r>
            <w:r w:rsidR="00587AF0">
              <w:rPr>
                <w:noProof/>
              </w:rPr>
              <w:t>10</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2</w:t>
            </w:r>
            <w:r w:rsidR="00427B33">
              <w:rPr>
                <w:noProof/>
              </w:rPr>
              <w:fldChar w:fldCharType="end"/>
            </w:r>
            <w:r>
              <w:t>)</w:t>
            </w:r>
          </w:p>
        </w:tc>
      </w:tr>
    </w:tbl>
    <w:p w14:paraId="526091D0" w14:textId="0851C742" w:rsidR="00A3557D" w:rsidRDefault="00A3557D" w:rsidP="00A3557D">
      <w:bookmarkStart w:id="736" w:name="_Toc62467407"/>
      <w:bookmarkStart w:id="737" w:name="_Toc91575418"/>
      <w:bookmarkStart w:id="738" w:name="_Toc93759934"/>
      <w:bookmarkStart w:id="739" w:name="_Toc93760038"/>
      <w:r>
        <w:t xml:space="preserve">Such </w:t>
      </w:r>
      <w:r w:rsidR="00C80E12">
        <w:t>a reliability growth model or Crow-AMSAA model will be used with</w:t>
      </w:r>
      <w:r>
        <w:t xml:space="preserve"> </w:t>
      </w:r>
      <w:r w:rsidR="00C80E12">
        <w:t xml:space="preserve">the </w:t>
      </w:r>
      <w:r w:rsidR="00172277">
        <w:t xml:space="preserve">experimental industrial system (rubber mixing machine) to determine </w:t>
      </w:r>
      <w:r w:rsidR="00C80E12">
        <w:t xml:space="preserve">an </w:t>
      </w:r>
      <w:r w:rsidR="00172277">
        <w:t>appropriate time for maintenance actions. However, although failures w</w:t>
      </w:r>
      <w:r w:rsidR="00C80E12">
        <w:t>ere</w:t>
      </w:r>
      <w:r w:rsidR="00172277">
        <w:t xml:space="preserve"> </w:t>
      </w:r>
      <w:r w:rsidR="006F15FD">
        <w:t>collected, the main idea is to use quasi-fault deteriorating boundaries as even time [1, 0]</w:t>
      </w:r>
      <w:r w:rsidR="00C80E12">
        <w:t xml:space="preserve">. </w:t>
      </w:r>
      <w:r w:rsidR="00CD2439">
        <w:t>It will be used as time-to-quasi-fault (TBQF) deviation events to prevent further system degradation</w:t>
      </w:r>
      <w:r w:rsidR="00C80E12">
        <w:t xml:space="preserve"> </w:t>
      </w:r>
      <w:r w:rsidR="00CD2439">
        <w:t>from establishing</w:t>
      </w:r>
      <w:r w:rsidR="00C80E12">
        <w:t xml:space="preserve"> the time between condition monitoring activities (TBCM)</w:t>
      </w:r>
      <w:r w:rsidR="0030636C">
        <w:t>.</w:t>
      </w:r>
    </w:p>
    <w:bookmarkEnd w:id="736"/>
    <w:bookmarkEnd w:id="737"/>
    <w:bookmarkEnd w:id="738"/>
    <w:bookmarkEnd w:id="739"/>
    <w:p w14:paraId="5E3A70CF" w14:textId="698FD84B" w:rsidR="00EA7593" w:rsidRDefault="00EA7593" w:rsidP="00EA7593">
      <w:r>
        <w:t xml:space="preserve">A flexible Power-law model for estimating the number of failures in the </w:t>
      </w:r>
      <w:r>
        <w:rPr>
          <w:i/>
          <w:iCs/>
        </w:rPr>
        <w:t>t</w:t>
      </w:r>
      <w:r>
        <w:t xml:space="preserve"> hours denoted as </w:t>
      </w:r>
      <w:r>
        <w:rPr>
          <w:i/>
          <w:iCs/>
        </w:rPr>
        <w:t>M(t)</w:t>
      </w:r>
      <w:r>
        <w:t xml:space="preserve"> is given in </w:t>
      </w:r>
      <w:r w:rsidR="00C80E12">
        <w:t xml:space="preserve">the </w:t>
      </w:r>
      <w:r>
        <w:t>polynomial equation as:</w:t>
      </w:r>
    </w:p>
    <w:tbl>
      <w:tblPr>
        <w:tblW w:w="0" w:type="auto"/>
        <w:jc w:val="center"/>
        <w:tblLook w:val="04A0" w:firstRow="1" w:lastRow="0" w:firstColumn="1" w:lastColumn="0" w:noHBand="0" w:noVBand="1"/>
      </w:tblPr>
      <w:tblGrid>
        <w:gridCol w:w="8005"/>
        <w:gridCol w:w="1012"/>
      </w:tblGrid>
      <w:tr w:rsidR="00EA7593" w14:paraId="330BC95B" w14:textId="77777777" w:rsidTr="00C161B4">
        <w:trPr>
          <w:jc w:val="center"/>
        </w:trPr>
        <w:tc>
          <w:tcPr>
            <w:tcW w:w="8005" w:type="dxa"/>
            <w:vAlign w:val="center"/>
          </w:tcPr>
          <w:p w14:paraId="0306920A" w14:textId="77777777" w:rsidR="00EA7593" w:rsidRDefault="00EA7593" w:rsidP="00C161B4">
            <w:pPr>
              <w:jc w:val="center"/>
              <w:rPr>
                <w:rFonts w:cs="Times New Roman"/>
                <w:lang w:val="en-GB"/>
              </w:rPr>
            </w:pPr>
            <m:oMathPara>
              <m:oMath>
                <m:r>
                  <w:rPr>
                    <w:rFonts w:ascii="Cambria Math" w:hAnsi="Cambria Math" w:cs="Times New Roman"/>
                    <w:lang w:val="en-GB"/>
                  </w:rPr>
                  <m:t>M</m:t>
                </m:r>
                <m:d>
                  <m:dPr>
                    <m:ctrlPr>
                      <w:rPr>
                        <w:rFonts w:ascii="Cambria Math" w:hAnsi="Cambria Math" w:cs="Times New Roman"/>
                        <w:i/>
                        <w:lang w:val="en-GB"/>
                      </w:rPr>
                    </m:ctrlPr>
                  </m:dPr>
                  <m:e>
                    <m:r>
                      <w:rPr>
                        <w:rFonts w:ascii="Cambria Math" w:hAnsi="Cambria Math" w:cs="Times New Roman"/>
                        <w:lang w:val="en-GB"/>
                      </w:rPr>
                      <m:t>t</m:t>
                    </m:r>
                  </m:e>
                </m:d>
                <m:r>
                  <w:rPr>
                    <w:rFonts w:ascii="Cambria Math" w:hAnsi="Cambria Math" w:cs="Times New Roman"/>
                    <w:lang w:val="en-GB"/>
                  </w:rPr>
                  <m:t>=a</m:t>
                </m:r>
                <m:sSup>
                  <m:sSupPr>
                    <m:ctrlPr>
                      <w:rPr>
                        <w:rFonts w:ascii="Cambria Math" w:hAnsi="Cambria Math" w:cs="Times New Roman"/>
                        <w:i/>
                        <w:lang w:val="en-GB"/>
                      </w:rPr>
                    </m:ctrlPr>
                  </m:sSupPr>
                  <m:e>
                    <m:r>
                      <w:rPr>
                        <w:rFonts w:ascii="Cambria Math" w:hAnsi="Cambria Math" w:cs="Times New Roman"/>
                        <w:lang w:val="en-GB"/>
                      </w:rPr>
                      <m:t>t</m:t>
                    </m:r>
                  </m:e>
                  <m:sup>
                    <m:r>
                      <w:rPr>
                        <w:rFonts w:ascii="Cambria Math" w:hAnsi="Cambria Math" w:cs="Times New Roman"/>
                        <w:lang w:val="en-GB"/>
                      </w:rPr>
                      <m:t>b</m:t>
                    </m:r>
                  </m:sup>
                </m:sSup>
                <m:r>
                  <w:rPr>
                    <w:rFonts w:ascii="Cambria Math" w:hAnsi="Cambria Math" w:cs="Times New Roman"/>
                    <w:lang w:val="en-GB"/>
                  </w:rPr>
                  <m:t>,  for a,b&gt;0,</m:t>
                </m:r>
              </m:oMath>
            </m:oMathPara>
          </w:p>
        </w:tc>
        <w:tc>
          <w:tcPr>
            <w:tcW w:w="1012" w:type="dxa"/>
            <w:vAlign w:val="center"/>
          </w:tcPr>
          <w:p w14:paraId="2E1D3F22" w14:textId="4F9474AD" w:rsidR="00EA7593" w:rsidRDefault="00043DEB" w:rsidP="00C161B4">
            <w:pPr>
              <w:jc w:val="right"/>
              <w:rPr>
                <w:rFonts w:cs="Times New Roman"/>
                <w:lang w:val="en-GB"/>
              </w:rPr>
            </w:pPr>
            <w:r>
              <w:rPr>
                <w:szCs w:val="24"/>
              </w:rPr>
              <w:t>(</w:t>
            </w:r>
            <w:r w:rsidR="00427B33">
              <w:fldChar w:fldCharType="begin"/>
            </w:r>
            <w:r w:rsidR="00427B33">
              <w:instrText xml:space="preserve"> STYLEREF 1 \s </w:instrText>
            </w:r>
            <w:r w:rsidR="00427B33">
              <w:fldChar w:fldCharType="separate"/>
            </w:r>
            <w:r w:rsidR="00587AF0">
              <w:rPr>
                <w:noProof/>
              </w:rPr>
              <w:t>10</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3</w:t>
            </w:r>
            <w:r w:rsidR="00427B33">
              <w:rPr>
                <w:noProof/>
              </w:rPr>
              <w:fldChar w:fldCharType="end"/>
            </w:r>
            <w:r>
              <w:t>)</w:t>
            </w:r>
          </w:p>
        </w:tc>
      </w:tr>
    </w:tbl>
    <w:p w14:paraId="663875E8" w14:textId="51ED1D27" w:rsidR="00EA7593" w:rsidRDefault="00EA7593" w:rsidP="00EA7593">
      <w:r>
        <w:t>where the repair rate</w:t>
      </w:r>
      <w:r w:rsidR="00BB21A5">
        <w:t xml:space="preserve"> or rate of change of frequency</w:t>
      </w:r>
      <w:r>
        <w:t xml:space="preserve"> (ROCOF) for</w:t>
      </w:r>
      <w:r w:rsidR="00BB21A5">
        <w:t xml:space="preserve"> such</w:t>
      </w:r>
      <w:r>
        <w:t xml:space="preserve"> model is given by:</w:t>
      </w:r>
    </w:p>
    <w:tbl>
      <w:tblPr>
        <w:tblW w:w="0" w:type="auto"/>
        <w:jc w:val="center"/>
        <w:tblLook w:val="04A0" w:firstRow="1" w:lastRow="0" w:firstColumn="1" w:lastColumn="0" w:noHBand="0" w:noVBand="1"/>
      </w:tblPr>
      <w:tblGrid>
        <w:gridCol w:w="8005"/>
        <w:gridCol w:w="1012"/>
      </w:tblGrid>
      <w:tr w:rsidR="00EA7593" w14:paraId="43A354A6" w14:textId="77777777" w:rsidTr="00C161B4">
        <w:trPr>
          <w:jc w:val="center"/>
        </w:trPr>
        <w:tc>
          <w:tcPr>
            <w:tcW w:w="8005" w:type="dxa"/>
            <w:vAlign w:val="center"/>
          </w:tcPr>
          <w:p w14:paraId="1F103AEC" w14:textId="6A10B8B1" w:rsidR="00EA7593" w:rsidRDefault="00EA7593" w:rsidP="00C161B4">
            <w:pPr>
              <w:jc w:val="center"/>
              <w:rPr>
                <w:rFonts w:cs="Times New Roman"/>
                <w:lang w:val="en-GB"/>
              </w:rPr>
            </w:pPr>
            <m:oMathPara>
              <m:oMath>
                <m:r>
                  <w:rPr>
                    <w:rFonts w:ascii="Cambria Math" w:hAnsi="Cambria Math" w:cs="Times New Roman"/>
                    <w:lang w:val="en-GB"/>
                  </w:rPr>
                  <m:t>m</m:t>
                </m:r>
                <m:d>
                  <m:dPr>
                    <m:ctrlPr>
                      <w:rPr>
                        <w:rFonts w:ascii="Cambria Math" w:hAnsi="Cambria Math" w:cs="Times New Roman"/>
                        <w:i/>
                        <w:lang w:val="en-GB"/>
                      </w:rPr>
                    </m:ctrlPr>
                  </m:dPr>
                  <m:e>
                    <m:r>
                      <w:rPr>
                        <w:rFonts w:ascii="Cambria Math" w:hAnsi="Cambria Math" w:cs="Times New Roman"/>
                        <w:lang w:val="en-GB"/>
                      </w:rPr>
                      <m:t>t</m:t>
                    </m:r>
                  </m:e>
                </m:d>
                <m:r>
                  <w:rPr>
                    <w:rFonts w:ascii="Cambria Math" w:hAnsi="Cambria Math" w:cs="Times New Roman"/>
                    <w:lang w:val="en-GB"/>
                  </w:rPr>
                  <m:t>=a</m:t>
                </m:r>
                <m:sSup>
                  <m:sSupPr>
                    <m:ctrlPr>
                      <w:rPr>
                        <w:rFonts w:ascii="Cambria Math" w:hAnsi="Cambria Math" w:cs="Times New Roman"/>
                        <w:i/>
                        <w:lang w:val="en-GB"/>
                      </w:rPr>
                    </m:ctrlPr>
                  </m:sSupPr>
                  <m:e>
                    <m:r>
                      <w:rPr>
                        <w:rFonts w:ascii="Cambria Math" w:hAnsi="Cambria Math" w:cs="Times New Roman"/>
                        <w:lang w:val="en-GB"/>
                      </w:rPr>
                      <m:t>bt</m:t>
                    </m:r>
                  </m:e>
                  <m:sup>
                    <m:r>
                      <w:rPr>
                        <w:rFonts w:ascii="Cambria Math" w:hAnsi="Cambria Math" w:cs="Times New Roman"/>
                        <w:lang w:val="en-GB"/>
                      </w:rPr>
                      <m:t>b-1</m:t>
                    </m:r>
                  </m:sup>
                </m:sSup>
                <m:r>
                  <w:rPr>
                    <w:rFonts w:ascii="Cambria Math" w:hAnsi="Cambria Math" w:cs="Times New Roman"/>
                    <w:lang w:val="en-GB"/>
                  </w:rPr>
                  <m:t>=α</m:t>
                </m:r>
                <m:sSup>
                  <m:sSupPr>
                    <m:ctrlPr>
                      <w:rPr>
                        <w:rFonts w:ascii="Cambria Math" w:hAnsi="Cambria Math" w:cs="Times New Roman"/>
                        <w:i/>
                        <w:lang w:val="en-GB"/>
                      </w:rPr>
                    </m:ctrlPr>
                  </m:sSupPr>
                  <m:e>
                    <m:r>
                      <w:rPr>
                        <w:rFonts w:ascii="Cambria Math" w:hAnsi="Cambria Math" w:cs="Times New Roman"/>
                        <w:lang w:val="en-GB"/>
                      </w:rPr>
                      <m:t>t</m:t>
                    </m:r>
                  </m:e>
                  <m:sup>
                    <m:r>
                      <w:rPr>
                        <w:rFonts w:ascii="Cambria Math" w:hAnsi="Cambria Math" w:cs="Times New Roman"/>
                        <w:lang w:val="en-GB"/>
                      </w:rPr>
                      <m:t>-β</m:t>
                    </m:r>
                  </m:sup>
                </m:sSup>
                <m:r>
                  <w:rPr>
                    <w:rFonts w:ascii="Cambria Math" w:hAnsi="Cambria Math" w:cs="Times New Roman"/>
                    <w:lang w:val="en-GB"/>
                  </w:rPr>
                  <m:t xml:space="preserve">  for α&gt;0,β&lt;1.</m:t>
                </m:r>
              </m:oMath>
            </m:oMathPara>
          </w:p>
        </w:tc>
        <w:tc>
          <w:tcPr>
            <w:tcW w:w="1012" w:type="dxa"/>
            <w:vAlign w:val="center"/>
          </w:tcPr>
          <w:p w14:paraId="4CB129F4" w14:textId="5499E7CE" w:rsidR="00EA7593" w:rsidRDefault="00043DEB" w:rsidP="00C161B4">
            <w:pPr>
              <w:jc w:val="right"/>
              <w:rPr>
                <w:rFonts w:cs="Times New Roman"/>
                <w:lang w:val="en-GB"/>
              </w:rPr>
            </w:pPr>
            <w:r>
              <w:rPr>
                <w:szCs w:val="24"/>
              </w:rPr>
              <w:t>(</w:t>
            </w:r>
            <w:r w:rsidR="00427B33">
              <w:fldChar w:fldCharType="begin"/>
            </w:r>
            <w:r w:rsidR="00427B33">
              <w:instrText xml:space="preserve"> STYLEREF 1 \s </w:instrText>
            </w:r>
            <w:r w:rsidR="00427B33">
              <w:fldChar w:fldCharType="separate"/>
            </w:r>
            <w:r w:rsidR="00587AF0">
              <w:rPr>
                <w:noProof/>
              </w:rPr>
              <w:t>10</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4</w:t>
            </w:r>
            <w:r w:rsidR="00427B33">
              <w:rPr>
                <w:noProof/>
              </w:rPr>
              <w:fldChar w:fldCharType="end"/>
            </w:r>
            <w:r>
              <w:t>)</w:t>
            </w:r>
          </w:p>
        </w:tc>
      </w:tr>
    </w:tbl>
    <w:p w14:paraId="6BF34A6E" w14:textId="0D129AB4" w:rsidR="00EA7593" w:rsidRDefault="00EA7593" w:rsidP="00EA7593">
      <w:r>
        <w:t xml:space="preserve">An HPP model has a constant repair rate of </w:t>
      </w:r>
      <w:r w:rsidRPr="00855DED">
        <w:rPr>
          <w:i/>
          <w:iCs/>
        </w:rPr>
        <w:t>m(t)= λ</w:t>
      </w:r>
      <w:r>
        <w:t xml:space="preserve">. If we substitute </w:t>
      </w:r>
      <w:r w:rsidRPr="00130021">
        <w:rPr>
          <w:i/>
          <w:iCs/>
        </w:rPr>
        <w:t>λ</w:t>
      </w:r>
      <w:r w:rsidRPr="00130021">
        <w:rPr>
          <w:i/>
          <w:iCs/>
          <w:vertAlign w:val="subscript"/>
        </w:rPr>
        <w:t>i</w:t>
      </w:r>
      <w:r>
        <w:t>(</w:t>
      </w:r>
      <w:r w:rsidRPr="00855DED">
        <w:rPr>
          <w:i/>
          <w:iCs/>
        </w:rPr>
        <w:t>t</w:t>
      </w:r>
      <w:r>
        <w:t xml:space="preserve">) for </w:t>
      </w:r>
      <w:r w:rsidRPr="00130021">
        <w:rPr>
          <w:i/>
          <w:iCs/>
        </w:rPr>
        <w:t>λ</w:t>
      </w:r>
      <w:r>
        <w:rPr>
          <w:i/>
          <w:iCs/>
        </w:rPr>
        <w:t>,</w:t>
      </w:r>
      <w:r>
        <w:t xml:space="preserve"> we have an NHPP model with intensity function </w:t>
      </w:r>
      <w:r>
        <w:rPr>
          <w:i/>
          <w:iCs/>
        </w:rPr>
        <w:t>m</w:t>
      </w:r>
      <w:r>
        <w:t>(</w:t>
      </w:r>
      <w:r w:rsidRPr="00855DED">
        <w:rPr>
          <w:i/>
          <w:iCs/>
        </w:rPr>
        <w:t>t</w:t>
      </w:r>
      <w:r>
        <w:t>):</w:t>
      </w:r>
    </w:p>
    <w:tbl>
      <w:tblPr>
        <w:tblW w:w="0" w:type="auto"/>
        <w:jc w:val="center"/>
        <w:tblLook w:val="04A0" w:firstRow="1" w:lastRow="0" w:firstColumn="1" w:lastColumn="0" w:noHBand="0" w:noVBand="1"/>
      </w:tblPr>
      <w:tblGrid>
        <w:gridCol w:w="8005"/>
        <w:gridCol w:w="1012"/>
      </w:tblGrid>
      <w:tr w:rsidR="00EA7593" w14:paraId="0BE27B65" w14:textId="77777777" w:rsidTr="00C161B4">
        <w:trPr>
          <w:jc w:val="center"/>
        </w:trPr>
        <w:tc>
          <w:tcPr>
            <w:tcW w:w="8005" w:type="dxa"/>
            <w:vAlign w:val="center"/>
          </w:tcPr>
          <w:p w14:paraId="6F7B4DE7" w14:textId="77777777" w:rsidR="00EA7593" w:rsidRDefault="00EA7593" w:rsidP="00C161B4">
            <w:pPr>
              <w:jc w:val="center"/>
              <w:rPr>
                <w:rFonts w:cs="Times New Roman"/>
                <w:lang w:val="en-GB"/>
              </w:rPr>
            </w:pPr>
            <m:oMathPara>
              <m:oMath>
                <m:r>
                  <w:rPr>
                    <w:rFonts w:ascii="Cambria Math" w:hAnsi="Cambria Math" w:cs="Times New Roman"/>
                    <w:lang w:val="en-GB"/>
                  </w:rPr>
                  <m:t>λ</m:t>
                </m:r>
                <m:d>
                  <m:dPr>
                    <m:ctrlPr>
                      <w:rPr>
                        <w:rFonts w:ascii="Cambria Math" w:hAnsi="Cambria Math" w:cs="Times New Roman"/>
                        <w:i/>
                        <w:lang w:val="en-GB"/>
                      </w:rPr>
                    </m:ctrlPr>
                  </m:dPr>
                  <m:e>
                    <m:r>
                      <w:rPr>
                        <w:rFonts w:ascii="Cambria Math" w:hAnsi="Cambria Math" w:cs="Times New Roman"/>
                        <w:lang w:val="en-GB"/>
                      </w:rPr>
                      <m:t>t</m:t>
                    </m:r>
                  </m:e>
                </m:d>
                <m:r>
                  <w:rPr>
                    <w:rFonts w:ascii="Cambria Math" w:hAnsi="Cambria Math" w:cs="Times New Roman"/>
                    <w:lang w:val="en-GB"/>
                  </w:rPr>
                  <m:t>=m</m:t>
                </m:r>
                <m:d>
                  <m:dPr>
                    <m:ctrlPr>
                      <w:rPr>
                        <w:rFonts w:ascii="Cambria Math" w:hAnsi="Cambria Math" w:cs="Times New Roman"/>
                        <w:i/>
                        <w:lang w:val="en-GB"/>
                      </w:rPr>
                    </m:ctrlPr>
                  </m:dPr>
                  <m:e>
                    <m:r>
                      <w:rPr>
                        <w:rFonts w:ascii="Cambria Math" w:hAnsi="Cambria Math" w:cs="Times New Roman"/>
                        <w:lang w:val="en-GB"/>
                      </w:rPr>
                      <m:t>t</m:t>
                    </m:r>
                  </m:e>
                </m:d>
                <m:r>
                  <w:rPr>
                    <w:rFonts w:ascii="Cambria Math" w:hAnsi="Cambria Math" w:cs="Times New Roman"/>
                    <w:lang w:val="en-GB"/>
                  </w:rPr>
                  <m:t>=α</m:t>
                </m:r>
                <m:sSup>
                  <m:sSupPr>
                    <m:ctrlPr>
                      <w:rPr>
                        <w:rFonts w:ascii="Cambria Math" w:hAnsi="Cambria Math" w:cs="Times New Roman"/>
                        <w:i/>
                        <w:lang w:val="en-GB"/>
                      </w:rPr>
                    </m:ctrlPr>
                  </m:sSupPr>
                  <m:e>
                    <m:r>
                      <w:rPr>
                        <w:rFonts w:ascii="Cambria Math" w:hAnsi="Cambria Math" w:cs="Times New Roman"/>
                        <w:lang w:val="en-GB"/>
                      </w:rPr>
                      <m:t>t</m:t>
                    </m:r>
                  </m:e>
                  <m:sup>
                    <m:r>
                      <w:rPr>
                        <w:rFonts w:ascii="Cambria Math" w:hAnsi="Cambria Math" w:cs="Times New Roman"/>
                        <w:lang w:val="en-GB"/>
                      </w:rPr>
                      <m:t>-β</m:t>
                    </m:r>
                  </m:sup>
                </m:sSup>
                <m:r>
                  <w:rPr>
                    <w:rFonts w:ascii="Cambria Math" w:hAnsi="Cambria Math" w:cs="Times New Roman"/>
                    <w:lang w:val="en-GB"/>
                  </w:rPr>
                  <m:t>,</m:t>
                </m:r>
              </m:oMath>
            </m:oMathPara>
          </w:p>
        </w:tc>
        <w:tc>
          <w:tcPr>
            <w:tcW w:w="1012" w:type="dxa"/>
            <w:vAlign w:val="center"/>
          </w:tcPr>
          <w:p w14:paraId="68687F24" w14:textId="380542A5" w:rsidR="00EA7593" w:rsidRDefault="00043DEB" w:rsidP="00C161B4">
            <w:pPr>
              <w:jc w:val="right"/>
              <w:rPr>
                <w:rFonts w:cs="Times New Roman"/>
                <w:lang w:val="en-GB"/>
              </w:rPr>
            </w:pPr>
            <w:r>
              <w:rPr>
                <w:szCs w:val="24"/>
              </w:rPr>
              <w:t>(</w:t>
            </w:r>
            <w:r w:rsidR="00427B33">
              <w:fldChar w:fldCharType="begin"/>
            </w:r>
            <w:r w:rsidR="00427B33">
              <w:instrText xml:space="preserve"> STYLEREF 1 \s </w:instrText>
            </w:r>
            <w:r w:rsidR="00427B33">
              <w:fldChar w:fldCharType="separate"/>
            </w:r>
            <w:r w:rsidR="00587AF0">
              <w:rPr>
                <w:noProof/>
              </w:rPr>
              <w:t>10</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5</w:t>
            </w:r>
            <w:r w:rsidR="00427B33">
              <w:rPr>
                <w:noProof/>
              </w:rPr>
              <w:fldChar w:fldCharType="end"/>
            </w:r>
            <w:r>
              <w:t>)</w:t>
            </w:r>
          </w:p>
        </w:tc>
      </w:tr>
    </w:tbl>
    <w:p w14:paraId="0AA49A13" w14:textId="3FDCEE4C" w:rsidR="00EA7593" w:rsidRDefault="00C80E12" w:rsidP="00EA7593">
      <w:pPr>
        <w:rPr>
          <w:rFonts w:cs="Calibri"/>
        </w:rPr>
      </w:pPr>
      <w:r>
        <w:t>T</w:t>
      </w:r>
      <w:r w:rsidR="00EA7593">
        <w:t xml:space="preserve">hen we have an NHPP model with the Power Law intensity function, which is considered for failure </w:t>
      </w:r>
      <w:r w:rsidR="00EA7593" w:rsidRPr="00855DED">
        <w:t xml:space="preserve">rate </w:t>
      </w:r>
      <w:r w:rsidR="00EA7593" w:rsidRPr="00855DED">
        <w:rPr>
          <w:i/>
          <w:iCs/>
        </w:rPr>
        <w:t>λ</w:t>
      </w:r>
      <w:r w:rsidR="00EA7593" w:rsidRPr="00855DED">
        <w:t>(</w:t>
      </w:r>
      <w:r w:rsidR="00EA7593" w:rsidRPr="00855DED">
        <w:rPr>
          <w:i/>
          <w:iCs/>
        </w:rPr>
        <w:t>t</w:t>
      </w:r>
      <w:r w:rsidR="00EA7593" w:rsidRPr="00855DED">
        <w:t xml:space="preserve">) or </w:t>
      </w:r>
      <w:r w:rsidR="00EA7593" w:rsidRPr="00855DED">
        <w:rPr>
          <w:i/>
          <w:iCs/>
        </w:rPr>
        <w:t>m</w:t>
      </w:r>
      <w:r w:rsidR="00EA7593" w:rsidRPr="00855DED">
        <w:t>(</w:t>
      </w:r>
      <w:r w:rsidR="00EA7593" w:rsidRPr="00855DED">
        <w:rPr>
          <w:i/>
          <w:iCs/>
        </w:rPr>
        <w:t>t</w:t>
      </w:r>
      <w:r w:rsidR="00EA7593" w:rsidRPr="00855DED">
        <w:t>).</w:t>
      </w:r>
      <w:r w:rsidR="00EA7593">
        <w:t xml:space="preserve"> Because of the polynomial nature the model is flexible for increasing (</w:t>
      </w:r>
      <w:r w:rsidR="00EA7593" w:rsidRPr="005C05B2">
        <w:rPr>
          <w:i/>
          <w:iCs/>
        </w:rPr>
        <w:t>b</w:t>
      </w:r>
      <w:r w:rsidR="00EA7593">
        <w:t xml:space="preserve"> &gt; 1 or </w:t>
      </w:r>
      <w:r w:rsidR="00EA7593" w:rsidRPr="005C05B2">
        <w:rPr>
          <w:rFonts w:cs="Calibri"/>
        </w:rPr>
        <w:t>β</w:t>
      </w:r>
      <w:r w:rsidR="00EA7593">
        <w:t xml:space="preserve"> &lt; 0) and decreasing (0 &lt; </w:t>
      </w:r>
      <w:r w:rsidR="00EA7593" w:rsidRPr="005C05B2">
        <w:rPr>
          <w:i/>
          <w:iCs/>
        </w:rPr>
        <w:t>b</w:t>
      </w:r>
      <w:r w:rsidR="00EA7593">
        <w:t xml:space="preserve"> &lt; 1 or 0 &lt; </w:t>
      </w:r>
      <w:r w:rsidR="00EA7593" w:rsidRPr="005C05B2">
        <w:rPr>
          <w:rFonts w:cs="Calibri"/>
          <w:i/>
          <w:iCs/>
        </w:rPr>
        <w:t>β</w:t>
      </w:r>
      <w:r w:rsidR="00EA7593">
        <w:t xml:space="preserve"> &lt; 1) failure rates, hence, when </w:t>
      </w:r>
      <w:r w:rsidR="00EA7593">
        <w:rPr>
          <w:i/>
          <w:iCs/>
        </w:rPr>
        <w:t>b</w:t>
      </w:r>
      <w:r w:rsidR="00EA7593">
        <w:t xml:space="preserve"> = 1, or </w:t>
      </w:r>
      <w:r w:rsidR="00EA7593" w:rsidRPr="005C05B2">
        <w:rPr>
          <w:rFonts w:cs="Calibri"/>
          <w:i/>
          <w:iCs/>
        </w:rPr>
        <w:t>β</w:t>
      </w:r>
      <w:r w:rsidR="00EA7593">
        <w:rPr>
          <w:rFonts w:cs="Calibri"/>
          <w:i/>
          <w:iCs/>
        </w:rPr>
        <w:t xml:space="preserve"> </w:t>
      </w:r>
      <w:r w:rsidR="00EA7593">
        <w:rPr>
          <w:rFonts w:cs="Calibri"/>
        </w:rPr>
        <w:t>= 0, the model reduces to HPP. The generalisation of HPP calculates the probabilities of failures for the NHPP model. Thus, for NHPP:</w:t>
      </w:r>
    </w:p>
    <w:tbl>
      <w:tblPr>
        <w:tblW w:w="0" w:type="auto"/>
        <w:jc w:val="center"/>
        <w:tblLook w:val="04A0" w:firstRow="1" w:lastRow="0" w:firstColumn="1" w:lastColumn="0" w:noHBand="0" w:noVBand="1"/>
      </w:tblPr>
      <w:tblGrid>
        <w:gridCol w:w="8005"/>
        <w:gridCol w:w="1012"/>
      </w:tblGrid>
      <w:tr w:rsidR="00EA7593" w14:paraId="7209D602" w14:textId="77777777" w:rsidTr="00C161B4">
        <w:trPr>
          <w:jc w:val="center"/>
        </w:trPr>
        <w:tc>
          <w:tcPr>
            <w:tcW w:w="8005" w:type="dxa"/>
            <w:vAlign w:val="center"/>
          </w:tcPr>
          <w:p w14:paraId="67B79035" w14:textId="77777777" w:rsidR="00EA7593" w:rsidRPr="002A1015" w:rsidRDefault="00EA7593" w:rsidP="00C161B4">
            <w:pPr>
              <w:jc w:val="center"/>
              <w:rPr>
                <w:rFonts w:cs="Times New Roman"/>
                <w:lang w:val="en-GB"/>
              </w:rPr>
            </w:pPr>
            <m:oMathPara>
              <m:oMath>
                <m:r>
                  <w:rPr>
                    <w:rFonts w:ascii="Cambria Math" w:hAnsi="Cambria Math" w:cs="Times New Roman"/>
                    <w:lang w:val="en-GB"/>
                  </w:rPr>
                  <w:lastRenderedPageBreak/>
                  <m:t>P</m:t>
                </m:r>
                <m:d>
                  <m:dPr>
                    <m:ctrlPr>
                      <w:rPr>
                        <w:rFonts w:ascii="Cambria Math" w:hAnsi="Cambria Math" w:cs="Times New Roman"/>
                        <w:i/>
                        <w:lang w:val="en-GB"/>
                      </w:rPr>
                    </m:ctrlPr>
                  </m:dPr>
                  <m:e>
                    <m:r>
                      <w:rPr>
                        <w:rFonts w:ascii="Cambria Math" w:hAnsi="Cambria Math" w:cs="Times New Roman"/>
                        <w:lang w:val="en-GB"/>
                      </w:rPr>
                      <m:t>N</m:t>
                    </m:r>
                    <m:d>
                      <m:dPr>
                        <m:ctrlPr>
                          <w:rPr>
                            <w:rFonts w:ascii="Cambria Math" w:hAnsi="Cambria Math" w:cs="Times New Roman"/>
                            <w:i/>
                            <w:lang w:val="en-GB"/>
                          </w:rPr>
                        </m:ctrlPr>
                      </m:dPr>
                      <m:e>
                        <m:r>
                          <w:rPr>
                            <w:rFonts w:ascii="Cambria Math" w:hAnsi="Cambria Math" w:cs="Times New Roman"/>
                            <w:lang w:val="en-GB"/>
                          </w:rPr>
                          <m:t>t</m:t>
                        </m:r>
                      </m:e>
                    </m:d>
                    <m:r>
                      <w:rPr>
                        <w:rFonts w:ascii="Cambria Math" w:hAnsi="Cambria Math" w:cs="Times New Roman"/>
                        <w:lang w:val="en-GB"/>
                      </w:rPr>
                      <m:t>=k</m:t>
                    </m:r>
                  </m:e>
                </m:d>
                <m:r>
                  <w:rPr>
                    <w:rFonts w:ascii="Cambria Math" w:hAnsi="Cambria Math" w:cs="Times New Roman"/>
                    <w:lang w:val="en-GB"/>
                  </w:rPr>
                  <m:t>=</m:t>
                </m:r>
                <m:f>
                  <m:fPr>
                    <m:ctrlPr>
                      <w:rPr>
                        <w:rFonts w:ascii="Cambria Math" w:hAnsi="Cambria Math" w:cs="Times New Roman"/>
                        <w:i/>
                        <w:lang w:val="en-GB"/>
                      </w:rPr>
                    </m:ctrlPr>
                  </m:fPr>
                  <m:num>
                    <m:sSup>
                      <m:sSupPr>
                        <m:ctrlPr>
                          <w:rPr>
                            <w:rFonts w:ascii="Cambria Math" w:hAnsi="Cambria Math" w:cs="Times New Roman"/>
                            <w:i/>
                            <w:lang w:val="en-GB"/>
                          </w:rPr>
                        </m:ctrlPr>
                      </m:sSupPr>
                      <m:e>
                        <m:d>
                          <m:dPr>
                            <m:begChr m:val="⌊"/>
                            <m:endChr m:val="⌋"/>
                            <m:ctrlPr>
                              <w:rPr>
                                <w:rFonts w:ascii="Cambria Math" w:hAnsi="Cambria Math" w:cs="Times New Roman"/>
                                <w:i/>
                                <w:lang w:val="en-GB"/>
                              </w:rPr>
                            </m:ctrlPr>
                          </m:dPr>
                          <m:e>
                            <m:r>
                              <w:rPr>
                                <w:rFonts w:ascii="Cambria Math" w:hAnsi="Cambria Math" w:cs="Times New Roman"/>
                                <w:lang w:val="en-GB"/>
                              </w:rPr>
                              <m:t>a</m:t>
                            </m:r>
                            <m:sSup>
                              <m:sSupPr>
                                <m:ctrlPr>
                                  <w:rPr>
                                    <w:rFonts w:ascii="Cambria Math" w:hAnsi="Cambria Math" w:cs="Times New Roman"/>
                                    <w:i/>
                                    <w:lang w:val="en-GB"/>
                                  </w:rPr>
                                </m:ctrlPr>
                              </m:sSupPr>
                              <m:e>
                                <m:r>
                                  <w:rPr>
                                    <w:rFonts w:ascii="Cambria Math" w:hAnsi="Cambria Math" w:cs="Times New Roman"/>
                                    <w:lang w:val="en-GB"/>
                                  </w:rPr>
                                  <m:t>T</m:t>
                                </m:r>
                              </m:e>
                              <m:sup>
                                <m:r>
                                  <w:rPr>
                                    <w:rFonts w:ascii="Cambria Math" w:hAnsi="Cambria Math" w:cs="Times New Roman"/>
                                    <w:lang w:val="en-GB"/>
                                  </w:rPr>
                                  <m:t>b</m:t>
                                </m:r>
                              </m:sup>
                            </m:sSup>
                          </m:e>
                        </m:d>
                      </m:e>
                      <m:sup>
                        <m:r>
                          <w:rPr>
                            <w:rFonts w:ascii="Cambria Math" w:hAnsi="Cambria Math" w:cs="Times New Roman"/>
                            <w:lang w:val="en-GB"/>
                          </w:rPr>
                          <m:t>k</m:t>
                        </m:r>
                      </m:sup>
                    </m:sSup>
                    <m:r>
                      <w:rPr>
                        <w:rFonts w:ascii="Cambria Math" w:hAnsi="Cambria Math" w:cs="Times New Roman"/>
                        <w:lang w:val="en-GB"/>
                      </w:rPr>
                      <m:t>∙</m:t>
                    </m:r>
                    <m:sSup>
                      <m:sSupPr>
                        <m:ctrlPr>
                          <w:rPr>
                            <w:rFonts w:ascii="Cambria Math" w:hAnsi="Cambria Math" w:cs="Times New Roman"/>
                            <w:i/>
                            <w:lang w:val="en-GB"/>
                          </w:rPr>
                        </m:ctrlPr>
                      </m:sSupPr>
                      <m:e>
                        <m:r>
                          <w:rPr>
                            <w:rFonts w:ascii="Cambria Math" w:hAnsi="Cambria Math" w:cs="Times New Roman"/>
                            <w:lang w:val="en-GB"/>
                          </w:rPr>
                          <m:t>e</m:t>
                        </m:r>
                      </m:e>
                      <m:sup>
                        <m:r>
                          <m:rPr>
                            <m:sty m:val="p"/>
                          </m:rPr>
                          <w:rPr>
                            <w:rFonts w:ascii="Cambria Math" w:hAnsi="Cambria Math" w:cs="Times New Roman"/>
                            <w:lang w:val="en-GB"/>
                          </w:rPr>
                          <m:t>-</m:t>
                        </m:r>
                        <m:sSup>
                          <m:sSupPr>
                            <m:ctrlPr>
                              <w:rPr>
                                <w:rFonts w:ascii="Cambria Math" w:hAnsi="Cambria Math" w:cs="Times New Roman"/>
                                <w:lang w:val="en-GB"/>
                              </w:rPr>
                            </m:ctrlPr>
                          </m:sSupPr>
                          <m:e>
                            <m:r>
                              <m:rPr>
                                <m:sty m:val="p"/>
                              </m:rPr>
                              <w:rPr>
                                <w:rFonts w:ascii="Cambria Math" w:hAnsi="Cambria Math" w:cs="Times New Roman"/>
                                <w:lang w:val="en-GB"/>
                              </w:rPr>
                              <m:t>aT</m:t>
                            </m:r>
                          </m:e>
                          <m:sup>
                            <m:r>
                              <w:rPr>
                                <w:rFonts w:ascii="Cambria Math" w:hAnsi="Cambria Math" w:cs="Times New Roman"/>
                                <w:lang w:val="en-GB"/>
                              </w:rPr>
                              <m:t>b</m:t>
                            </m:r>
                          </m:sup>
                        </m:sSup>
                      </m:sup>
                    </m:sSup>
                    <m:r>
                      <w:rPr>
                        <w:rFonts w:ascii="Cambria Math" w:hAnsi="Cambria Math" w:cs="Times New Roman"/>
                        <w:lang w:val="en-GB"/>
                      </w:rPr>
                      <m:t>⁡</m:t>
                    </m:r>
                  </m:num>
                  <m:den>
                    <m:r>
                      <w:rPr>
                        <w:rFonts w:ascii="Cambria Math" w:hAnsi="Cambria Math" w:cs="Times New Roman"/>
                        <w:lang w:val="en-GB"/>
                      </w:rPr>
                      <m:t>k!</m:t>
                    </m:r>
                  </m:den>
                </m:f>
                <m:r>
                  <w:rPr>
                    <w:rFonts w:ascii="Cambria Math" w:hAnsi="Cambria Math" w:cs="Times New Roman"/>
                    <w:lang w:val="en-GB"/>
                  </w:rPr>
                  <m:t>=</m:t>
                </m:r>
                <m:f>
                  <m:fPr>
                    <m:ctrlPr>
                      <w:rPr>
                        <w:rFonts w:ascii="Cambria Math" w:hAnsi="Cambria Math" w:cs="Times New Roman"/>
                        <w:i/>
                        <w:lang w:val="en-GB"/>
                      </w:rPr>
                    </m:ctrlPr>
                  </m:fPr>
                  <m:num>
                    <m:sSup>
                      <m:sSupPr>
                        <m:ctrlPr>
                          <w:rPr>
                            <w:rFonts w:ascii="Cambria Math" w:hAnsi="Cambria Math" w:cs="Times New Roman"/>
                            <w:i/>
                            <w:lang w:val="en-GB"/>
                          </w:rPr>
                        </m:ctrlPr>
                      </m:sSupPr>
                      <m:e>
                        <m:r>
                          <w:rPr>
                            <w:rFonts w:ascii="Cambria Math" w:hAnsi="Cambria Math" w:cs="Times New Roman"/>
                            <w:lang w:val="en-GB"/>
                          </w:rPr>
                          <m:t>a</m:t>
                        </m:r>
                      </m:e>
                      <m:sup>
                        <m:r>
                          <w:rPr>
                            <w:rFonts w:ascii="Cambria Math" w:hAnsi="Cambria Math" w:cs="Times New Roman"/>
                            <w:lang w:val="en-GB"/>
                          </w:rPr>
                          <m:t>k</m:t>
                        </m:r>
                      </m:sup>
                    </m:sSup>
                    <m:sSup>
                      <m:sSupPr>
                        <m:ctrlPr>
                          <w:rPr>
                            <w:rFonts w:ascii="Cambria Math" w:hAnsi="Cambria Math" w:cs="Times New Roman"/>
                            <w:i/>
                            <w:lang w:val="en-GB"/>
                          </w:rPr>
                        </m:ctrlPr>
                      </m:sSupPr>
                      <m:e>
                        <m:r>
                          <w:rPr>
                            <w:rFonts w:ascii="Cambria Math" w:hAnsi="Cambria Math" w:cs="Times New Roman"/>
                            <w:lang w:val="en-GB"/>
                          </w:rPr>
                          <m:t>T</m:t>
                        </m:r>
                      </m:e>
                      <m:sup>
                        <m:r>
                          <w:rPr>
                            <w:rFonts w:ascii="Cambria Math" w:hAnsi="Cambria Math" w:cs="Times New Roman"/>
                            <w:lang w:val="en-GB"/>
                          </w:rPr>
                          <m:t>bk</m:t>
                        </m:r>
                      </m:sup>
                    </m:sSup>
                    <m:r>
                      <w:rPr>
                        <w:rFonts w:ascii="Cambria Math" w:hAnsi="Cambria Math" w:cs="Times New Roman"/>
                        <w:lang w:val="en-GB"/>
                      </w:rPr>
                      <m:t>∙</m:t>
                    </m:r>
                    <m:sSup>
                      <m:sSupPr>
                        <m:ctrlPr>
                          <w:rPr>
                            <w:rFonts w:ascii="Cambria Math" w:hAnsi="Cambria Math" w:cs="Times New Roman"/>
                            <w:i/>
                            <w:lang w:val="en-GB"/>
                          </w:rPr>
                        </m:ctrlPr>
                      </m:sSupPr>
                      <m:e>
                        <m:r>
                          <w:rPr>
                            <w:rFonts w:ascii="Cambria Math" w:hAnsi="Cambria Math" w:cs="Times New Roman"/>
                            <w:lang w:val="en-GB"/>
                          </w:rPr>
                          <m:t>e</m:t>
                        </m:r>
                      </m:e>
                      <m:sup>
                        <m:r>
                          <m:rPr>
                            <m:sty m:val="p"/>
                          </m:rPr>
                          <w:rPr>
                            <w:rFonts w:ascii="Cambria Math" w:hAnsi="Cambria Math" w:cs="Times New Roman"/>
                            <w:lang w:val="en-GB"/>
                          </w:rPr>
                          <m:t>-</m:t>
                        </m:r>
                        <m:sSup>
                          <m:sSupPr>
                            <m:ctrlPr>
                              <w:rPr>
                                <w:rFonts w:ascii="Cambria Math" w:hAnsi="Cambria Math" w:cs="Times New Roman"/>
                                <w:lang w:val="en-GB"/>
                              </w:rPr>
                            </m:ctrlPr>
                          </m:sSupPr>
                          <m:e>
                            <m:r>
                              <m:rPr>
                                <m:sty m:val="p"/>
                              </m:rPr>
                              <w:rPr>
                                <w:rFonts w:ascii="Cambria Math" w:hAnsi="Cambria Math" w:cs="Times New Roman"/>
                                <w:lang w:val="en-GB"/>
                              </w:rPr>
                              <m:t>aT</m:t>
                            </m:r>
                          </m:e>
                          <m:sup>
                            <m:r>
                              <w:rPr>
                                <w:rFonts w:ascii="Cambria Math" w:hAnsi="Cambria Math" w:cs="Times New Roman"/>
                                <w:lang w:val="en-GB"/>
                              </w:rPr>
                              <m:t>b</m:t>
                            </m:r>
                          </m:sup>
                        </m:sSup>
                      </m:sup>
                    </m:sSup>
                    <m:r>
                      <w:rPr>
                        <w:rFonts w:ascii="Cambria Math" w:hAnsi="Cambria Math" w:cs="Times New Roman"/>
                        <w:lang w:val="en-GB"/>
                      </w:rPr>
                      <m:t>⁡</m:t>
                    </m:r>
                  </m:num>
                  <m:den>
                    <m:r>
                      <w:rPr>
                        <w:rFonts w:ascii="Cambria Math" w:hAnsi="Cambria Math" w:cs="Times New Roman"/>
                        <w:lang w:val="en-GB"/>
                      </w:rPr>
                      <m:t>k!</m:t>
                    </m:r>
                  </m:den>
                </m:f>
                <m:r>
                  <w:rPr>
                    <w:rFonts w:ascii="Cambria Math" w:hAnsi="Cambria Math" w:cs="Times New Roman"/>
                    <w:lang w:val="en-GB"/>
                  </w:rPr>
                  <m:t>.</m:t>
                </m:r>
              </m:oMath>
            </m:oMathPara>
          </w:p>
        </w:tc>
        <w:tc>
          <w:tcPr>
            <w:tcW w:w="1012" w:type="dxa"/>
            <w:vAlign w:val="center"/>
          </w:tcPr>
          <w:p w14:paraId="08244222" w14:textId="203A74A3" w:rsidR="00EA7593" w:rsidRDefault="00043DEB" w:rsidP="00C161B4">
            <w:pPr>
              <w:jc w:val="right"/>
              <w:rPr>
                <w:rFonts w:cs="Times New Roman"/>
                <w:lang w:val="en-GB"/>
              </w:rPr>
            </w:pPr>
            <w:r>
              <w:rPr>
                <w:szCs w:val="24"/>
              </w:rPr>
              <w:t>(</w:t>
            </w:r>
            <w:r w:rsidR="00427B33">
              <w:fldChar w:fldCharType="begin"/>
            </w:r>
            <w:r w:rsidR="00427B33">
              <w:instrText xml:space="preserve"> STYLEREF 1 \s </w:instrText>
            </w:r>
            <w:r w:rsidR="00427B33">
              <w:fldChar w:fldCharType="separate"/>
            </w:r>
            <w:r w:rsidR="00587AF0">
              <w:rPr>
                <w:noProof/>
              </w:rPr>
              <w:t>10</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6</w:t>
            </w:r>
            <w:r w:rsidR="00427B33">
              <w:rPr>
                <w:noProof/>
              </w:rPr>
              <w:fldChar w:fldCharType="end"/>
            </w:r>
            <w:r>
              <w:t>)</w:t>
            </w:r>
          </w:p>
        </w:tc>
      </w:tr>
    </w:tbl>
    <w:p w14:paraId="7E640BC0" w14:textId="7BDF61D3" w:rsidR="00EA7593" w:rsidRDefault="00EA7593" w:rsidP="00EA7593">
      <w:r>
        <w:t xml:space="preserve">It can be compared and stated that the Power Law model is also known as the Duane model and AMSAA model, with </w:t>
      </w:r>
      <w:r w:rsidR="003A1CE6">
        <w:t xml:space="preserve">parameters </w:t>
      </w:r>
      <w:r>
        <w:rPr>
          <w:i/>
          <w:iCs/>
        </w:rPr>
        <w:t>b</w:t>
      </w:r>
      <w:r w:rsidR="003A1CE6">
        <w:t xml:space="preserve"> (shape)</w:t>
      </w:r>
      <w:r>
        <w:t xml:space="preserve"> and </w:t>
      </w:r>
      <w:r>
        <w:rPr>
          <w:i/>
          <w:iCs/>
        </w:rPr>
        <w:t>a</w:t>
      </w:r>
      <w:r w:rsidR="003A1CE6">
        <w:rPr>
          <w:i/>
          <w:iCs/>
        </w:rPr>
        <w:t xml:space="preserve"> </w:t>
      </w:r>
      <w:r w:rsidR="003A1CE6">
        <w:t>(life)</w:t>
      </w:r>
      <w:r>
        <w:t xml:space="preserve">. For this reason, the Power Law model is sometimes called the </w:t>
      </w:r>
      <w:r>
        <w:rPr>
          <w:i/>
          <w:iCs/>
        </w:rPr>
        <w:t>Weibull Process model</w:t>
      </w:r>
      <w:r>
        <w:t xml:space="preserve">. However, it can be confusing and should be avoided since it mixes with the Weibull model for lifetimes of non-repairable systems for inter-arrival times of failures of a repairable population. Calculating </w:t>
      </w:r>
      <w:r w:rsidR="00C80E12">
        <w:t xml:space="preserve">the </w:t>
      </w:r>
      <w:r>
        <w:t>failure function or CDF function for inter-arrival times (</w:t>
      </w:r>
      <w:r w:rsidRPr="002A1015">
        <w:rPr>
          <w:rFonts w:cs="Calibri"/>
          <w:i/>
          <w:iCs/>
        </w:rPr>
        <w:t>τ</w:t>
      </w:r>
      <w:r>
        <w:t xml:space="preserve">) to the next failure, given a failure just occurred at time </w:t>
      </w:r>
      <w:r>
        <w:rPr>
          <w:i/>
          <w:iCs/>
        </w:rPr>
        <w:t>T</w:t>
      </w:r>
      <w:r>
        <w:t>, is denoted as:</w:t>
      </w:r>
    </w:p>
    <w:tbl>
      <w:tblPr>
        <w:tblW w:w="0" w:type="auto"/>
        <w:jc w:val="center"/>
        <w:tblLook w:val="04A0" w:firstRow="1" w:lastRow="0" w:firstColumn="1" w:lastColumn="0" w:noHBand="0" w:noVBand="1"/>
      </w:tblPr>
      <w:tblGrid>
        <w:gridCol w:w="8005"/>
        <w:gridCol w:w="1012"/>
      </w:tblGrid>
      <w:tr w:rsidR="00EA7593" w14:paraId="21AC8822" w14:textId="77777777" w:rsidTr="00C161B4">
        <w:trPr>
          <w:jc w:val="center"/>
        </w:trPr>
        <w:tc>
          <w:tcPr>
            <w:tcW w:w="8005" w:type="dxa"/>
            <w:vAlign w:val="center"/>
          </w:tcPr>
          <w:p w14:paraId="5F23BCDC" w14:textId="77777777" w:rsidR="00EA7593" w:rsidRPr="002A1015" w:rsidRDefault="00427B33" w:rsidP="00C161B4">
            <w:pPr>
              <w:jc w:val="center"/>
              <w:rPr>
                <w:rFonts w:cs="Times New Roman"/>
                <w:lang w:val="en-GB"/>
              </w:rPr>
            </w:pPr>
            <m:oMathPara>
              <m:oMath>
                <m:sSub>
                  <m:sSubPr>
                    <m:ctrlPr>
                      <w:rPr>
                        <w:rFonts w:ascii="Cambria Math" w:hAnsi="Cambria Math" w:cs="Times New Roman"/>
                        <w:i/>
                        <w:lang w:val="en-GB"/>
                      </w:rPr>
                    </m:ctrlPr>
                  </m:sSubPr>
                  <m:e>
                    <m:r>
                      <w:rPr>
                        <w:rFonts w:ascii="Cambria Math" w:hAnsi="Cambria Math" w:cs="Times New Roman"/>
                        <w:lang w:val="en-GB"/>
                      </w:rPr>
                      <m:t>F</m:t>
                    </m:r>
                  </m:e>
                  <m:sub>
                    <m:r>
                      <w:rPr>
                        <w:rFonts w:ascii="Cambria Math" w:hAnsi="Cambria Math" w:cs="Times New Roman"/>
                        <w:lang w:val="en-GB"/>
                      </w:rPr>
                      <m:t>T</m:t>
                    </m:r>
                  </m:sub>
                </m:sSub>
                <m:d>
                  <m:dPr>
                    <m:ctrlPr>
                      <w:rPr>
                        <w:rFonts w:ascii="Cambria Math" w:hAnsi="Cambria Math" w:cs="Times New Roman"/>
                        <w:i/>
                        <w:lang w:val="en-GB"/>
                      </w:rPr>
                    </m:ctrlPr>
                  </m:dPr>
                  <m:e>
                    <m:r>
                      <w:rPr>
                        <w:rFonts w:ascii="Cambria Math" w:hAnsi="Cambria Math" w:cs="Times New Roman"/>
                        <w:lang w:val="en-GB"/>
                      </w:rPr>
                      <m:t>t</m:t>
                    </m:r>
                  </m:e>
                </m:d>
                <m:r>
                  <w:rPr>
                    <w:rFonts w:ascii="Cambria Math" w:hAnsi="Cambria Math" w:cs="Times New Roman"/>
                    <w:lang w:val="en-GB"/>
                  </w:rPr>
                  <m:t>=1-</m:t>
                </m:r>
                <m:sSup>
                  <m:sSupPr>
                    <m:ctrlPr>
                      <w:rPr>
                        <w:rFonts w:ascii="Cambria Math" w:hAnsi="Cambria Math" w:cs="Times New Roman"/>
                        <w:i/>
                        <w:lang w:val="en-GB"/>
                      </w:rPr>
                    </m:ctrlPr>
                  </m:sSupPr>
                  <m:e>
                    <m:r>
                      <w:rPr>
                        <w:rFonts w:ascii="Cambria Math" w:hAnsi="Cambria Math" w:cs="Times New Roman"/>
                        <w:lang w:val="en-GB"/>
                      </w:rPr>
                      <m:t>e</m:t>
                    </m:r>
                  </m:e>
                  <m:sup>
                    <m:r>
                      <w:rPr>
                        <w:rFonts w:ascii="Cambria Math" w:hAnsi="Cambria Math" w:cs="Times New Roman"/>
                        <w:lang w:val="en-GB"/>
                      </w:rPr>
                      <m:t>-</m:t>
                    </m:r>
                    <m:nary>
                      <m:naryPr>
                        <m:limLoc m:val="undOvr"/>
                        <m:ctrlPr>
                          <w:rPr>
                            <w:rFonts w:ascii="Cambria Math" w:hAnsi="Cambria Math" w:cs="Times New Roman"/>
                            <w:i/>
                            <w:lang w:val="en-GB"/>
                          </w:rPr>
                        </m:ctrlPr>
                      </m:naryPr>
                      <m:sub>
                        <m:r>
                          <w:rPr>
                            <w:rFonts w:ascii="Cambria Math" w:hAnsi="Cambria Math" w:cs="Times New Roman"/>
                            <w:lang w:val="en-GB"/>
                          </w:rPr>
                          <m:t>0</m:t>
                        </m:r>
                      </m:sub>
                      <m:sup>
                        <m:r>
                          <w:rPr>
                            <w:rFonts w:ascii="Cambria Math" w:hAnsi="Cambria Math" w:cs="Times New Roman"/>
                            <w:lang w:val="en-GB"/>
                          </w:rPr>
                          <m:t>t</m:t>
                        </m:r>
                      </m:sup>
                      <m:e>
                        <m:r>
                          <w:rPr>
                            <w:rFonts w:ascii="Cambria Math" w:hAnsi="Cambria Math" w:cs="Times New Roman"/>
                            <w:lang w:val="en-GB"/>
                          </w:rPr>
                          <m:t>m</m:t>
                        </m:r>
                        <m:d>
                          <m:dPr>
                            <m:ctrlPr>
                              <w:rPr>
                                <w:rFonts w:ascii="Cambria Math" w:hAnsi="Cambria Math" w:cs="Times New Roman"/>
                                <w:i/>
                                <w:lang w:val="en-GB"/>
                              </w:rPr>
                            </m:ctrlPr>
                          </m:dPr>
                          <m:e>
                            <m:r>
                              <w:rPr>
                                <w:rFonts w:ascii="Cambria Math" w:hAnsi="Cambria Math" w:cs="Times New Roman"/>
                                <w:lang w:val="en-GB"/>
                              </w:rPr>
                              <m:t>T+τ</m:t>
                            </m:r>
                          </m:e>
                        </m:d>
                        <m:r>
                          <w:rPr>
                            <w:rFonts w:ascii="Cambria Math" w:hAnsi="Cambria Math" w:cs="Times New Roman"/>
                            <w:lang w:val="en-GB"/>
                          </w:rPr>
                          <m:t>dτ</m:t>
                        </m:r>
                      </m:e>
                    </m:nary>
                    <m:r>
                      <w:rPr>
                        <w:rFonts w:ascii="Cambria Math" w:hAnsi="Cambria Math" w:cs="Times New Roman"/>
                        <w:lang w:val="en-GB"/>
                      </w:rPr>
                      <m:t xml:space="preserve"> </m:t>
                    </m:r>
                  </m:sup>
                </m:sSup>
                <m:r>
                  <w:rPr>
                    <w:rFonts w:ascii="Cambria Math" w:hAnsi="Cambria Math" w:cs="Times New Roman"/>
                    <w:lang w:val="en-GB"/>
                  </w:rPr>
                  <m:t>,</m:t>
                </m:r>
              </m:oMath>
            </m:oMathPara>
          </w:p>
        </w:tc>
        <w:tc>
          <w:tcPr>
            <w:tcW w:w="1012" w:type="dxa"/>
            <w:vAlign w:val="center"/>
          </w:tcPr>
          <w:p w14:paraId="7911245A" w14:textId="516F559C" w:rsidR="00EA7593" w:rsidRDefault="00043DEB" w:rsidP="00C161B4">
            <w:pPr>
              <w:jc w:val="right"/>
              <w:rPr>
                <w:rFonts w:cs="Times New Roman"/>
                <w:lang w:val="en-GB"/>
              </w:rPr>
            </w:pPr>
            <w:r>
              <w:rPr>
                <w:szCs w:val="24"/>
              </w:rPr>
              <w:t>(</w:t>
            </w:r>
            <w:r w:rsidR="00427B33">
              <w:fldChar w:fldCharType="begin"/>
            </w:r>
            <w:r w:rsidR="00427B33">
              <w:instrText xml:space="preserve"> STYLEREF 1 \s </w:instrText>
            </w:r>
            <w:r w:rsidR="00427B33">
              <w:fldChar w:fldCharType="separate"/>
            </w:r>
            <w:r w:rsidR="00587AF0">
              <w:rPr>
                <w:noProof/>
              </w:rPr>
              <w:t>10</w:t>
            </w:r>
            <w:r w:rsidR="00427B33">
              <w:rPr>
                <w:noProof/>
              </w:rPr>
              <w:fldChar w:fldCharType="end"/>
            </w:r>
            <w:r>
              <w:t>.</w:t>
            </w:r>
            <w:r w:rsidR="00427B33">
              <w:fldChar w:fldCharType="begin"/>
            </w:r>
            <w:r w:rsidR="00427B33">
              <w:instrText xml:space="preserve"> SEQ Equation \* ARABIC \s</w:instrText>
            </w:r>
            <w:r w:rsidR="00427B33">
              <w:instrText xml:space="preserve"> 1 </w:instrText>
            </w:r>
            <w:r w:rsidR="00427B33">
              <w:fldChar w:fldCharType="separate"/>
            </w:r>
            <w:r w:rsidR="00587AF0">
              <w:rPr>
                <w:noProof/>
              </w:rPr>
              <w:t>7</w:t>
            </w:r>
            <w:r w:rsidR="00427B33">
              <w:rPr>
                <w:noProof/>
              </w:rPr>
              <w:fldChar w:fldCharType="end"/>
            </w:r>
            <w:r>
              <w:t>)</w:t>
            </w:r>
          </w:p>
        </w:tc>
      </w:tr>
    </w:tbl>
    <w:p w14:paraId="72EF4881" w14:textId="77777777" w:rsidR="00EA7593" w:rsidRPr="002A1015" w:rsidRDefault="00EA7593" w:rsidP="00EA7593">
      <w:r>
        <w:t xml:space="preserve">hence, for the Power Law model waiting time to the next failure given failure time at </w:t>
      </w:r>
      <w:r w:rsidRPr="00B46EF3">
        <w:rPr>
          <w:i/>
          <w:iCs/>
        </w:rPr>
        <w:t>T</w:t>
      </w:r>
      <w:r>
        <w:t xml:space="preserve"> </w:t>
      </w:r>
      <w:r w:rsidRPr="00B46EF3">
        <w:t>can</w:t>
      </w:r>
      <w:r>
        <w:t xml:space="preserve"> be modelled as:</w:t>
      </w:r>
    </w:p>
    <w:tbl>
      <w:tblPr>
        <w:tblW w:w="0" w:type="auto"/>
        <w:jc w:val="center"/>
        <w:tblLook w:val="04A0" w:firstRow="1" w:lastRow="0" w:firstColumn="1" w:lastColumn="0" w:noHBand="0" w:noVBand="1"/>
      </w:tblPr>
      <w:tblGrid>
        <w:gridCol w:w="8005"/>
        <w:gridCol w:w="1012"/>
      </w:tblGrid>
      <w:tr w:rsidR="00EA7593" w14:paraId="2B5F1672" w14:textId="77777777" w:rsidTr="00C161B4">
        <w:trPr>
          <w:jc w:val="center"/>
        </w:trPr>
        <w:tc>
          <w:tcPr>
            <w:tcW w:w="8005" w:type="dxa"/>
            <w:vAlign w:val="center"/>
          </w:tcPr>
          <w:p w14:paraId="60BD79FE" w14:textId="77777777" w:rsidR="00EA7593" w:rsidRPr="002A1015" w:rsidRDefault="00427B33" w:rsidP="00C161B4">
            <w:pPr>
              <w:jc w:val="center"/>
              <w:rPr>
                <w:rFonts w:cs="Times New Roman"/>
                <w:lang w:val="en-GB"/>
              </w:rPr>
            </w:pPr>
            <m:oMathPara>
              <m:oMath>
                <m:sSub>
                  <m:sSubPr>
                    <m:ctrlPr>
                      <w:rPr>
                        <w:rFonts w:ascii="Cambria Math" w:hAnsi="Cambria Math" w:cs="Times New Roman"/>
                        <w:i/>
                        <w:lang w:val="en-GB"/>
                      </w:rPr>
                    </m:ctrlPr>
                  </m:sSubPr>
                  <m:e>
                    <m:r>
                      <w:rPr>
                        <w:rFonts w:ascii="Cambria Math" w:hAnsi="Cambria Math" w:cs="Times New Roman"/>
                        <w:lang w:val="en-GB"/>
                      </w:rPr>
                      <m:t>F</m:t>
                    </m:r>
                  </m:e>
                  <m:sub>
                    <m:r>
                      <w:rPr>
                        <w:rFonts w:ascii="Cambria Math" w:hAnsi="Cambria Math" w:cs="Times New Roman"/>
                        <w:lang w:val="en-GB"/>
                      </w:rPr>
                      <m:t>T</m:t>
                    </m:r>
                  </m:sub>
                </m:sSub>
                <m:d>
                  <m:dPr>
                    <m:ctrlPr>
                      <w:rPr>
                        <w:rFonts w:ascii="Cambria Math" w:hAnsi="Cambria Math" w:cs="Times New Roman"/>
                        <w:i/>
                        <w:lang w:val="en-GB"/>
                      </w:rPr>
                    </m:ctrlPr>
                  </m:dPr>
                  <m:e>
                    <m:r>
                      <w:rPr>
                        <w:rFonts w:ascii="Cambria Math" w:hAnsi="Cambria Math" w:cs="Times New Roman"/>
                        <w:lang w:val="en-GB"/>
                      </w:rPr>
                      <m:t>t</m:t>
                    </m:r>
                  </m:e>
                </m:d>
                <m:r>
                  <w:rPr>
                    <w:rFonts w:ascii="Cambria Math" w:hAnsi="Cambria Math" w:cs="Times New Roman"/>
                    <w:lang w:val="en-GB"/>
                  </w:rPr>
                  <m:t>=1-</m:t>
                </m:r>
                <m:sSup>
                  <m:sSupPr>
                    <m:ctrlPr>
                      <w:rPr>
                        <w:rFonts w:ascii="Cambria Math" w:hAnsi="Cambria Math" w:cs="Times New Roman"/>
                        <w:i/>
                        <w:lang w:val="en-GB"/>
                      </w:rPr>
                    </m:ctrlPr>
                  </m:sSupPr>
                  <m:e>
                    <m:r>
                      <w:rPr>
                        <w:rFonts w:ascii="Cambria Math" w:hAnsi="Cambria Math" w:cs="Times New Roman"/>
                        <w:lang w:val="en-GB"/>
                      </w:rPr>
                      <m:t>e</m:t>
                    </m:r>
                  </m:e>
                  <m:sup>
                    <m:r>
                      <w:rPr>
                        <w:rFonts w:ascii="Cambria Math" w:hAnsi="Cambria Math" w:cs="Times New Roman"/>
                        <w:lang w:val="en-GB"/>
                      </w:rPr>
                      <m:t>-a</m:t>
                    </m:r>
                    <m:d>
                      <m:dPr>
                        <m:begChr m:val="["/>
                        <m:endChr m:val="]"/>
                        <m:ctrlPr>
                          <w:rPr>
                            <w:rFonts w:ascii="Cambria Math" w:hAnsi="Cambria Math" w:cs="Times New Roman"/>
                            <w:i/>
                            <w:lang w:val="en-GB"/>
                          </w:rPr>
                        </m:ctrlPr>
                      </m:dPr>
                      <m:e>
                        <m:sSup>
                          <m:sSupPr>
                            <m:ctrlPr>
                              <w:rPr>
                                <w:rFonts w:ascii="Cambria Math" w:hAnsi="Cambria Math" w:cs="Times New Roman"/>
                                <w:i/>
                                <w:lang w:val="en-GB"/>
                              </w:rPr>
                            </m:ctrlPr>
                          </m:sSupPr>
                          <m:e>
                            <m:d>
                              <m:dPr>
                                <m:ctrlPr>
                                  <w:rPr>
                                    <w:rFonts w:ascii="Cambria Math" w:hAnsi="Cambria Math" w:cs="Times New Roman"/>
                                    <w:i/>
                                    <w:lang w:val="en-GB"/>
                                  </w:rPr>
                                </m:ctrlPr>
                              </m:dPr>
                              <m:e>
                                <m:r>
                                  <w:rPr>
                                    <w:rFonts w:ascii="Cambria Math" w:hAnsi="Cambria Math" w:cs="Times New Roman"/>
                                    <w:lang w:val="en-GB"/>
                                  </w:rPr>
                                  <m:t>T+t</m:t>
                                </m:r>
                              </m:e>
                            </m:d>
                          </m:e>
                          <m:sup>
                            <m:r>
                              <w:rPr>
                                <w:rFonts w:ascii="Cambria Math" w:hAnsi="Cambria Math" w:cs="Times New Roman"/>
                                <w:lang w:val="en-GB"/>
                              </w:rPr>
                              <m:t>b</m:t>
                            </m:r>
                          </m:sup>
                        </m:sSup>
                        <m:r>
                          <w:rPr>
                            <w:rFonts w:ascii="Cambria Math" w:hAnsi="Cambria Math" w:cs="Times New Roman"/>
                            <w:lang w:val="en-GB"/>
                          </w:rPr>
                          <m:t>-</m:t>
                        </m:r>
                        <m:sSup>
                          <m:sSupPr>
                            <m:ctrlPr>
                              <w:rPr>
                                <w:rFonts w:ascii="Cambria Math" w:hAnsi="Cambria Math" w:cs="Times New Roman"/>
                                <w:i/>
                                <w:lang w:val="en-GB"/>
                              </w:rPr>
                            </m:ctrlPr>
                          </m:sSupPr>
                          <m:e>
                            <m:r>
                              <w:rPr>
                                <w:rFonts w:ascii="Cambria Math" w:hAnsi="Cambria Math" w:cs="Times New Roman"/>
                                <w:lang w:val="en-GB"/>
                              </w:rPr>
                              <m:t>T</m:t>
                            </m:r>
                          </m:e>
                          <m:sup>
                            <m:r>
                              <w:rPr>
                                <w:rFonts w:ascii="Cambria Math" w:hAnsi="Cambria Math" w:cs="Times New Roman"/>
                                <w:lang w:val="en-GB"/>
                              </w:rPr>
                              <m:t>b</m:t>
                            </m:r>
                          </m:sup>
                        </m:sSup>
                      </m:e>
                    </m:d>
                    <m:r>
                      <w:rPr>
                        <w:rFonts w:ascii="Cambria Math" w:hAnsi="Cambria Math" w:cs="Times New Roman"/>
                        <w:lang w:val="en-GB"/>
                      </w:rPr>
                      <m:t xml:space="preserve"> </m:t>
                    </m:r>
                  </m:sup>
                </m:sSup>
                <m:r>
                  <w:rPr>
                    <w:rFonts w:ascii="Cambria Math" w:hAnsi="Cambria Math" w:cs="Times New Roman"/>
                    <w:lang w:val="en-GB"/>
                  </w:rPr>
                  <m:t>,</m:t>
                </m:r>
              </m:oMath>
            </m:oMathPara>
          </w:p>
        </w:tc>
        <w:tc>
          <w:tcPr>
            <w:tcW w:w="1012" w:type="dxa"/>
            <w:vAlign w:val="center"/>
          </w:tcPr>
          <w:p w14:paraId="5FFDEC4C" w14:textId="158A80CA" w:rsidR="00EA7593" w:rsidRDefault="00043DEB" w:rsidP="00C161B4">
            <w:pPr>
              <w:jc w:val="right"/>
              <w:rPr>
                <w:rFonts w:cs="Times New Roman"/>
                <w:lang w:val="en-GB"/>
              </w:rPr>
            </w:pPr>
            <w:r>
              <w:rPr>
                <w:szCs w:val="24"/>
              </w:rPr>
              <w:t>(</w:t>
            </w:r>
            <w:r w:rsidR="00427B33">
              <w:fldChar w:fldCharType="begin"/>
            </w:r>
            <w:r w:rsidR="00427B33">
              <w:instrText xml:space="preserve"> STYLEREF 1 \s </w:instrText>
            </w:r>
            <w:r w:rsidR="00427B33">
              <w:fldChar w:fldCharType="separate"/>
            </w:r>
            <w:r w:rsidR="00587AF0">
              <w:rPr>
                <w:noProof/>
              </w:rPr>
              <w:t>10</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8</w:t>
            </w:r>
            <w:r w:rsidR="00427B33">
              <w:rPr>
                <w:noProof/>
              </w:rPr>
              <w:fldChar w:fldCharType="end"/>
            </w:r>
            <w:r>
              <w:t>)</w:t>
            </w:r>
          </w:p>
        </w:tc>
      </w:tr>
    </w:tbl>
    <w:p w14:paraId="79ECF066" w14:textId="72C572C9" w:rsidR="00EA7593" w:rsidRDefault="00EA7593" w:rsidP="00EA7593">
      <w:r>
        <w:t>and will be used to derive the algorithm for simulating the NHPP Power Law Process.</w:t>
      </w:r>
    </w:p>
    <w:p w14:paraId="1BD173DF" w14:textId="6DF057D3" w:rsidR="00DB5970" w:rsidRDefault="007513A4" w:rsidP="00911A60">
      <w:pPr>
        <w:pStyle w:val="Heading2"/>
      </w:pPr>
      <w:bookmarkStart w:id="740" w:name="_Ref101268138"/>
      <w:bookmarkStart w:id="741" w:name="_Toc101274419"/>
      <w:r>
        <w:t>Reliability growth of rubber mixing machine</w:t>
      </w:r>
      <w:bookmarkEnd w:id="740"/>
      <w:bookmarkEnd w:id="741"/>
    </w:p>
    <w:p w14:paraId="3A79021E" w14:textId="6D3594F4" w:rsidR="00273633" w:rsidRDefault="003533F5" w:rsidP="008C2FEE">
      <w:pPr>
        <w:rPr>
          <w:lang w:val="sr-Latn-RS"/>
        </w:rPr>
      </w:pPr>
      <w:r>
        <w:rPr>
          <w:lang w:val="sr-Latn-RS"/>
        </w:rPr>
        <w:t xml:space="preserve">Usually, reliability growth models are utilised within harsh working environments, such as mining machines and around-the-clock working regimes </w:t>
      </w:r>
      <w:r w:rsidR="008C2FEE">
        <w:rPr>
          <w:lang w:val="sr-Latn-RS"/>
        </w:rPr>
        <w:t xml:space="preserve">of </w:t>
      </w:r>
      <w:r w:rsidR="00C80E12">
        <w:rPr>
          <w:lang w:val="sr-Latn-RS"/>
        </w:rPr>
        <w:t xml:space="preserve">the </w:t>
      </w:r>
      <w:r w:rsidR="008C2FEE">
        <w:rPr>
          <w:lang w:val="sr-Latn-RS"/>
        </w:rPr>
        <w:t xml:space="preserve">operating system. </w:t>
      </w:r>
      <w:r w:rsidR="00C80E12">
        <w:rPr>
          <w:lang w:val="sr-Latn-RS"/>
        </w:rPr>
        <w:t>T</w:t>
      </w:r>
      <w:r w:rsidR="008C2FEE">
        <w:rPr>
          <w:lang w:val="sr-Latn-RS"/>
        </w:rPr>
        <w:t xml:space="preserve">he experimental study includes the second </w:t>
      </w:r>
      <w:r w:rsidR="00C80E12">
        <w:rPr>
          <w:lang w:val="sr-Latn-RS"/>
        </w:rPr>
        <w:t>regime abov</w:t>
      </w:r>
      <w:r w:rsidR="008C2FEE">
        <w:rPr>
          <w:lang w:val="sr-Latn-RS"/>
        </w:rPr>
        <w:t>e, and RGM</w:t>
      </w:r>
      <w:r w:rsidR="00452FCC">
        <w:rPr>
          <w:lang w:val="sr-Latn-RS"/>
        </w:rPr>
        <w:t xml:space="preserve"> will be used to assess </w:t>
      </w:r>
      <w:r w:rsidR="00C80E12">
        <w:rPr>
          <w:lang w:val="sr-Latn-RS"/>
        </w:rPr>
        <w:t xml:space="preserve">the </w:t>
      </w:r>
      <w:r w:rsidR="00452FCC">
        <w:rPr>
          <w:lang w:val="sr-Latn-RS"/>
        </w:rPr>
        <w:t>improvement of maintenance operability utilising functional-productiveness indicators (FPIs).</w:t>
      </w:r>
      <w:r w:rsidR="00326753">
        <w:rPr>
          <w:lang w:val="sr-Latn-RS"/>
        </w:rPr>
        <w:t xml:space="preserve"> </w:t>
      </w:r>
      <w:r w:rsidR="00543885">
        <w:rPr>
          <w:lang w:val="sr-Latn-RS"/>
        </w:rPr>
        <w:t xml:space="preserve">Utilising trend </w:t>
      </w:r>
      <w:r w:rsidR="00C80E12">
        <w:rPr>
          <w:lang w:val="sr-Latn-RS"/>
        </w:rPr>
        <w:t>and serial correlation tests</w:t>
      </w:r>
      <w:r w:rsidR="00603CF6">
        <w:rPr>
          <w:lang w:val="sr-Latn-RS"/>
        </w:rPr>
        <w:t xml:space="preserve"> are used to evaluate the IID (independent and identical distribution) of MTBF.</w:t>
      </w:r>
    </w:p>
    <w:p w14:paraId="3866227A" w14:textId="43527B03" w:rsidR="007513A4" w:rsidRDefault="007B6A55" w:rsidP="008C2FEE">
      <w:pPr>
        <w:rPr>
          <w:lang w:val="sr-Latn-RS"/>
        </w:rPr>
      </w:pPr>
      <w:r>
        <w:rPr>
          <w:lang w:val="sr-Latn-RS"/>
        </w:rPr>
        <w:t xml:space="preserve">The main idea behind these tests it to check </w:t>
      </w:r>
      <w:r w:rsidR="00D94929">
        <w:rPr>
          <w:lang w:val="sr-Latn-RS"/>
        </w:rPr>
        <w:t xml:space="preserve">whether TBF </w:t>
      </w:r>
      <w:r w:rsidR="0048121A">
        <w:rPr>
          <w:lang w:val="sr-Latn-RS"/>
        </w:rPr>
        <w:t>is</w:t>
      </w:r>
      <w:r w:rsidR="00D94929">
        <w:rPr>
          <w:lang w:val="sr-Latn-RS"/>
        </w:rPr>
        <w:t xml:space="preserve"> IID, which is important later for selecting appropriate functions for reliability modelling.</w:t>
      </w:r>
      <w:r w:rsidR="00603CF6">
        <w:rPr>
          <w:lang w:val="sr-Latn-RS"/>
        </w:rPr>
        <w:t xml:space="preserve"> Secondly,</w:t>
      </w:r>
      <w:r w:rsidR="00205D41">
        <w:rPr>
          <w:lang w:val="sr-Latn-RS"/>
        </w:rPr>
        <w:t xml:space="preserve"> evaluation and selection of best-fit distribution</w:t>
      </w:r>
      <w:r w:rsidR="00040C8B">
        <w:rPr>
          <w:lang w:val="sr-Latn-RS"/>
        </w:rPr>
        <w:t xml:space="preserve"> (AD and K-S test)</w:t>
      </w:r>
      <w:r w:rsidR="00205D41">
        <w:rPr>
          <w:lang w:val="sr-Latn-RS"/>
        </w:rPr>
        <w:t xml:space="preserve"> </w:t>
      </w:r>
      <w:r w:rsidR="00C80E12">
        <w:rPr>
          <w:lang w:val="sr-Latn-RS"/>
        </w:rPr>
        <w:t>are</w:t>
      </w:r>
      <w:r w:rsidR="00205D41">
        <w:rPr>
          <w:lang w:val="sr-Latn-RS"/>
        </w:rPr>
        <w:t xml:space="preserve"> necessary for selecting the distribution parameters to conduct </w:t>
      </w:r>
      <w:r w:rsidR="002E2529">
        <w:rPr>
          <w:lang w:val="sr-Latn-RS"/>
        </w:rPr>
        <w:t>Monte Carlo simulations of a proposed system</w:t>
      </w:r>
      <w:r w:rsidR="00040C8B">
        <w:rPr>
          <w:lang w:val="sr-Latn-RS"/>
        </w:rPr>
        <w:t xml:space="preserve">. </w:t>
      </w:r>
      <w:r w:rsidR="00676C70">
        <w:rPr>
          <w:lang w:val="sr-Latn-RS"/>
        </w:rPr>
        <w:t xml:space="preserve">Finally, different maintenance condition monitoring and preventing activities are suggested </w:t>
      </w:r>
      <w:r w:rsidR="00C80E12">
        <w:rPr>
          <w:lang w:val="sr-Latn-RS"/>
        </w:rPr>
        <w:t>to improve the hydraulic control system's reliability</w:t>
      </w:r>
      <w:r w:rsidR="00676C70">
        <w:rPr>
          <w:lang w:val="sr-Latn-RS"/>
        </w:rPr>
        <w:t xml:space="preserve"> on the rubber mixing machine.</w:t>
      </w:r>
      <w:r w:rsidR="0051300F">
        <w:rPr>
          <w:lang w:val="sr-Latn-RS"/>
        </w:rPr>
        <w:t xml:space="preserve"> The following equations are used for determining MTB</w:t>
      </w:r>
      <w:r w:rsidR="002B7B24">
        <w:rPr>
          <w:lang w:val="sr-Latn-RS"/>
        </w:rPr>
        <w:t>Q</w:t>
      </w:r>
      <w:r w:rsidR="0051300F">
        <w:rPr>
          <w:lang w:val="sr-Latn-RS"/>
        </w:rPr>
        <w:t>F</w:t>
      </w:r>
      <w:r w:rsidR="0048121A">
        <w:rPr>
          <w:lang w:val="sr-Latn-RS"/>
        </w:rPr>
        <w:t>:</w:t>
      </w:r>
    </w:p>
    <w:tbl>
      <w:tblPr>
        <w:tblW w:w="0" w:type="auto"/>
        <w:jc w:val="center"/>
        <w:tblLook w:val="04A0" w:firstRow="1" w:lastRow="0" w:firstColumn="1" w:lastColumn="0" w:noHBand="0" w:noVBand="1"/>
      </w:tblPr>
      <w:tblGrid>
        <w:gridCol w:w="8005"/>
        <w:gridCol w:w="1012"/>
      </w:tblGrid>
      <w:tr w:rsidR="0051300F" w14:paraId="770A56C5" w14:textId="77777777" w:rsidTr="001620AC">
        <w:trPr>
          <w:jc w:val="center"/>
        </w:trPr>
        <w:tc>
          <w:tcPr>
            <w:tcW w:w="8005" w:type="dxa"/>
            <w:vAlign w:val="center"/>
          </w:tcPr>
          <w:p w14:paraId="332F455C" w14:textId="10265D14" w:rsidR="0051300F" w:rsidRPr="002A1015" w:rsidRDefault="0051300F" w:rsidP="001620AC">
            <w:pPr>
              <w:jc w:val="center"/>
              <w:rPr>
                <w:rFonts w:cs="Times New Roman"/>
                <w:lang w:val="en-GB"/>
              </w:rPr>
            </w:pPr>
            <m:oMath>
              <m:r>
                <w:rPr>
                  <w:rFonts w:ascii="Cambria Math" w:hAnsi="Cambria Math" w:cs="Times New Roman"/>
                  <w:lang w:val="en-GB"/>
                </w:rPr>
                <m:t>MTBQF=</m:t>
              </m:r>
              <m:f>
                <m:fPr>
                  <m:ctrlPr>
                    <w:rPr>
                      <w:rFonts w:ascii="Cambria Math" w:hAnsi="Cambria Math" w:cs="Times New Roman"/>
                      <w:i/>
                      <w:lang w:val="en-GB"/>
                    </w:rPr>
                  </m:ctrlPr>
                </m:fPr>
                <m:num>
                  <m:nary>
                    <m:naryPr>
                      <m:chr m:val="∑"/>
                      <m:limLoc m:val="undOvr"/>
                      <m:ctrlPr>
                        <w:rPr>
                          <w:rFonts w:ascii="Cambria Math" w:hAnsi="Cambria Math" w:cs="Times New Roman"/>
                          <w:i/>
                          <w:lang w:val="en-GB"/>
                        </w:rPr>
                      </m:ctrlPr>
                    </m:naryPr>
                    <m:sub>
                      <m:r>
                        <w:rPr>
                          <w:rFonts w:ascii="Cambria Math" w:hAnsi="Cambria Math" w:cs="Times New Roman"/>
                          <w:lang w:val="en-GB"/>
                        </w:rPr>
                        <m:t>i=1</m:t>
                      </m:r>
                    </m:sub>
                    <m:sup>
                      <m:r>
                        <w:rPr>
                          <w:rFonts w:ascii="Cambria Math" w:hAnsi="Cambria Math" w:cs="Times New Roman"/>
                          <w:lang w:val="en-GB"/>
                        </w:rPr>
                        <m:t>n</m:t>
                      </m:r>
                    </m:sup>
                    <m:e>
                      <m:sSub>
                        <m:sSubPr>
                          <m:ctrlPr>
                            <w:rPr>
                              <w:rFonts w:ascii="Cambria Math" w:hAnsi="Cambria Math" w:cs="Times New Roman"/>
                              <w:i/>
                              <w:lang w:val="en-GB"/>
                            </w:rPr>
                          </m:ctrlPr>
                        </m:sSubPr>
                        <m:e>
                          <m:r>
                            <w:rPr>
                              <w:rFonts w:ascii="Cambria Math" w:hAnsi="Cambria Math" w:cs="Times New Roman"/>
                              <w:lang w:val="en-GB"/>
                            </w:rPr>
                            <m:t>t</m:t>
                          </m:r>
                        </m:e>
                        <m:sub>
                          <m:r>
                            <w:rPr>
                              <w:rFonts w:ascii="Cambria Math" w:hAnsi="Cambria Math" w:cs="Times New Roman"/>
                              <w:lang w:val="en-GB"/>
                            </w:rPr>
                            <m:t>i</m:t>
                          </m:r>
                        </m:sub>
                      </m:sSub>
                    </m:e>
                  </m:nary>
                </m:num>
                <m:den>
                  <m:r>
                    <w:rPr>
                      <w:rFonts w:ascii="Cambria Math" w:hAnsi="Cambria Math" w:cs="Times New Roman"/>
                      <w:lang w:val="en-GB"/>
                    </w:rPr>
                    <m:t>n</m:t>
                  </m:r>
                </m:den>
              </m:f>
              <m:r>
                <w:rPr>
                  <w:rFonts w:ascii="Cambria Math" w:eastAsiaTheme="minorEastAsia" w:hAnsi="Cambria Math" w:cs="Times New Roman"/>
                  <w:lang w:val="en-GB"/>
                </w:rPr>
                <m:t>=</m:t>
              </m:r>
              <m:f>
                <m:fPr>
                  <m:ctrlPr>
                    <w:rPr>
                      <w:rFonts w:ascii="Cambria Math" w:eastAsiaTheme="minorEastAsia" w:hAnsi="Cambria Math" w:cs="Times New Roman"/>
                      <w:i/>
                      <w:lang w:val="en-GB"/>
                    </w:rPr>
                  </m:ctrlPr>
                </m:fPr>
                <m:num>
                  <m:r>
                    <w:rPr>
                      <w:rFonts w:ascii="Cambria Math" w:eastAsiaTheme="minorEastAsia" w:hAnsi="Cambria Math" w:cs="Times New Roman"/>
                      <w:lang w:val="en-GB"/>
                    </w:rPr>
                    <m:t>Sum of times to an event (QF)</m:t>
                  </m:r>
                </m:num>
                <m:den>
                  <m:r>
                    <w:rPr>
                      <w:rFonts w:ascii="Cambria Math" w:eastAsiaTheme="minorEastAsia" w:hAnsi="Cambria Math" w:cs="Times New Roman"/>
                      <w:lang w:val="en-GB"/>
                    </w:rPr>
                    <m:t>Number of times to an event (</m:t>
                  </m:r>
                  <m:sSub>
                    <m:sSubPr>
                      <m:ctrlPr>
                        <w:rPr>
                          <w:rFonts w:ascii="Cambria Math" w:eastAsiaTheme="minorEastAsia" w:hAnsi="Cambria Math" w:cs="Times New Roman"/>
                          <w:i/>
                          <w:lang w:val="en-GB"/>
                        </w:rPr>
                      </m:ctrlPr>
                    </m:sSubPr>
                    <m:e>
                      <m:r>
                        <w:rPr>
                          <w:rFonts w:ascii="Cambria Math" w:eastAsiaTheme="minorEastAsia" w:hAnsi="Cambria Math" w:cs="Times New Roman"/>
                          <w:lang w:val="en-GB"/>
                        </w:rPr>
                        <m:t>N</m:t>
                      </m:r>
                    </m:e>
                    <m:sub>
                      <m:r>
                        <w:rPr>
                          <w:rFonts w:ascii="Cambria Math" w:eastAsiaTheme="minorEastAsia" w:hAnsi="Cambria Math" w:cs="Times New Roman"/>
                          <w:lang w:val="en-GB"/>
                        </w:rPr>
                        <m:t>QF</m:t>
                      </m:r>
                    </m:sub>
                  </m:sSub>
                  <m:r>
                    <w:rPr>
                      <w:rFonts w:ascii="Cambria Math" w:eastAsiaTheme="minorEastAsia" w:hAnsi="Cambria Math" w:cs="Times New Roman"/>
                      <w:lang w:val="en-GB"/>
                    </w:rPr>
                    <m:t>)</m:t>
                  </m:r>
                </m:den>
              </m:f>
            </m:oMath>
            <w:r w:rsidR="001C3387">
              <w:rPr>
                <w:rFonts w:eastAsiaTheme="minorEastAsia" w:cs="Times New Roman"/>
                <w:lang w:val="en-GB"/>
              </w:rPr>
              <w:t xml:space="preserve"> </w:t>
            </w:r>
          </w:p>
        </w:tc>
        <w:tc>
          <w:tcPr>
            <w:tcW w:w="1012" w:type="dxa"/>
            <w:vAlign w:val="center"/>
          </w:tcPr>
          <w:p w14:paraId="3784A713" w14:textId="07AABF86" w:rsidR="0051300F" w:rsidRDefault="00043DEB" w:rsidP="001620AC">
            <w:pPr>
              <w:jc w:val="right"/>
              <w:rPr>
                <w:rFonts w:cs="Times New Roman"/>
                <w:lang w:val="en-GB"/>
              </w:rPr>
            </w:pPr>
            <w:r>
              <w:rPr>
                <w:szCs w:val="24"/>
              </w:rPr>
              <w:t>(</w:t>
            </w:r>
            <w:r w:rsidR="00427B33">
              <w:fldChar w:fldCharType="begin"/>
            </w:r>
            <w:r w:rsidR="00427B33">
              <w:instrText xml:space="preserve"> STYLEREF 1 \s </w:instrText>
            </w:r>
            <w:r w:rsidR="00427B33">
              <w:fldChar w:fldCharType="separate"/>
            </w:r>
            <w:r w:rsidR="00587AF0">
              <w:rPr>
                <w:noProof/>
              </w:rPr>
              <w:t>10</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9</w:t>
            </w:r>
            <w:r w:rsidR="00427B33">
              <w:rPr>
                <w:noProof/>
              </w:rPr>
              <w:fldChar w:fldCharType="end"/>
            </w:r>
            <w:r>
              <w:t>)</w:t>
            </w:r>
          </w:p>
        </w:tc>
      </w:tr>
    </w:tbl>
    <w:p w14:paraId="0211997D" w14:textId="58786E4C" w:rsidR="0051300F" w:rsidRDefault="002B7B24" w:rsidP="008C2FEE">
      <w:pPr>
        <w:rPr>
          <w:lang w:val="sr-Latn-RS"/>
        </w:rPr>
      </w:pPr>
      <w:r>
        <w:rPr>
          <w:lang w:val="sr-Latn-RS"/>
        </w:rPr>
        <w:t>and</w:t>
      </w:r>
      <w:r w:rsidR="00A07CB4">
        <w:rPr>
          <w:lang w:val="sr-Latn-RS"/>
        </w:rPr>
        <w:t xml:space="preserve"> failure rate:</w:t>
      </w:r>
    </w:p>
    <w:tbl>
      <w:tblPr>
        <w:tblW w:w="0" w:type="auto"/>
        <w:jc w:val="center"/>
        <w:tblLook w:val="04A0" w:firstRow="1" w:lastRow="0" w:firstColumn="1" w:lastColumn="0" w:noHBand="0" w:noVBand="1"/>
      </w:tblPr>
      <w:tblGrid>
        <w:gridCol w:w="8005"/>
        <w:gridCol w:w="1012"/>
      </w:tblGrid>
      <w:tr w:rsidR="00A07CB4" w14:paraId="2BF5BD16" w14:textId="77777777" w:rsidTr="001620AC">
        <w:trPr>
          <w:jc w:val="center"/>
        </w:trPr>
        <w:tc>
          <w:tcPr>
            <w:tcW w:w="8005" w:type="dxa"/>
            <w:vAlign w:val="center"/>
          </w:tcPr>
          <w:p w14:paraId="10560244" w14:textId="2ACD7A05" w:rsidR="00A07CB4" w:rsidRPr="0048121A" w:rsidRDefault="00427B33" w:rsidP="001620AC">
            <w:pPr>
              <w:jc w:val="center"/>
              <w:rPr>
                <w:rFonts w:ascii="Cambria Math" w:hAnsi="Cambria Math" w:cs="Times New Roman"/>
                <w:i/>
                <w:lang w:val="en-GB"/>
              </w:rPr>
            </w:pPr>
            <m:oMath>
              <m:sSub>
                <m:sSubPr>
                  <m:ctrlPr>
                    <w:rPr>
                      <w:rFonts w:ascii="Cambria Math" w:hAnsi="Cambria Math" w:cs="Times New Roman"/>
                      <w:i/>
                      <w:lang w:val="en-GB"/>
                    </w:rPr>
                  </m:ctrlPr>
                </m:sSubPr>
                <m:e>
                  <m:r>
                    <w:rPr>
                      <w:rFonts w:ascii="Cambria Math" w:hAnsi="Cambria Math" w:cs="Times New Roman"/>
                      <w:lang w:val="en-GB"/>
                    </w:rPr>
                    <m:t>λ</m:t>
                  </m:r>
                </m:e>
                <m:sub>
                  <m:r>
                    <w:rPr>
                      <w:rFonts w:ascii="Cambria Math" w:hAnsi="Cambria Math" w:cs="Times New Roman"/>
                      <w:lang w:val="en-GB"/>
                    </w:rPr>
                    <m:t>QF</m:t>
                  </m:r>
                </m:sub>
              </m:sSub>
              <m:r>
                <w:rPr>
                  <w:rFonts w:ascii="Cambria Math" w:hAnsi="Cambria Math" w:cs="Times New Roman"/>
                  <w:lang w:val="en-GB"/>
                </w:rPr>
                <m:t>=</m:t>
              </m:r>
              <m:f>
                <m:fPr>
                  <m:ctrlPr>
                    <w:rPr>
                      <w:rFonts w:ascii="Cambria Math" w:hAnsi="Cambria Math" w:cs="Times New Roman"/>
                      <w:i/>
                      <w:lang w:val="en-GB"/>
                    </w:rPr>
                  </m:ctrlPr>
                </m:fPr>
                <m:num>
                  <m:r>
                    <w:rPr>
                      <w:rFonts w:ascii="Cambria Math" w:hAnsi="Cambria Math" w:cs="Times New Roman"/>
                      <w:lang w:val="en-GB"/>
                    </w:rPr>
                    <m:t>1</m:t>
                  </m:r>
                </m:num>
                <m:den>
                  <m:r>
                    <w:rPr>
                      <w:rFonts w:ascii="Cambria Math" w:hAnsi="Cambria Math" w:cs="Times New Roman"/>
                      <w:lang w:val="en-GB"/>
                    </w:rPr>
                    <m:t>MTBQF</m:t>
                  </m:r>
                </m:den>
              </m:f>
              <m:r>
                <w:rPr>
                  <w:rFonts w:ascii="Cambria Math" w:hAnsi="Cambria Math" w:cs="Times New Roman"/>
                  <w:lang w:val="en-GB"/>
                </w:rPr>
                <m:t xml:space="preserve">  .</m:t>
              </m:r>
            </m:oMath>
            <w:r w:rsidR="001C3387">
              <w:rPr>
                <w:rFonts w:ascii="Cambria Math" w:eastAsiaTheme="minorEastAsia" w:hAnsi="Cambria Math" w:cs="Times New Roman"/>
                <w:i/>
                <w:lang w:val="en-GB"/>
              </w:rPr>
              <w:t xml:space="preserve"> </w:t>
            </w:r>
          </w:p>
        </w:tc>
        <w:tc>
          <w:tcPr>
            <w:tcW w:w="1012" w:type="dxa"/>
            <w:vAlign w:val="center"/>
          </w:tcPr>
          <w:p w14:paraId="4EA1B050" w14:textId="09EBD48C" w:rsidR="00A07CB4" w:rsidRDefault="00043DEB" w:rsidP="001620AC">
            <w:pPr>
              <w:jc w:val="right"/>
              <w:rPr>
                <w:rFonts w:cs="Times New Roman"/>
                <w:lang w:val="en-GB"/>
              </w:rPr>
            </w:pPr>
            <w:r>
              <w:rPr>
                <w:szCs w:val="24"/>
              </w:rPr>
              <w:t>(</w:t>
            </w:r>
            <w:r w:rsidR="00427B33">
              <w:fldChar w:fldCharType="begin"/>
            </w:r>
            <w:r w:rsidR="00427B33">
              <w:instrText xml:space="preserve"> STYLEREF 1 \s </w:instrText>
            </w:r>
            <w:r w:rsidR="00427B33">
              <w:fldChar w:fldCharType="separate"/>
            </w:r>
            <w:r w:rsidR="00587AF0">
              <w:rPr>
                <w:noProof/>
              </w:rPr>
              <w:t>10</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10</w:t>
            </w:r>
            <w:r w:rsidR="00427B33">
              <w:rPr>
                <w:noProof/>
              </w:rPr>
              <w:fldChar w:fldCharType="end"/>
            </w:r>
            <w:r>
              <w:t>)</w:t>
            </w:r>
          </w:p>
        </w:tc>
      </w:tr>
    </w:tbl>
    <w:p w14:paraId="446C7FCF" w14:textId="5BE0C159" w:rsidR="00763A2F" w:rsidRDefault="00C80E12" w:rsidP="007645D6">
      <w:pPr>
        <w:pStyle w:val="Caption"/>
        <w:jc w:val="both"/>
        <w:rPr>
          <w:lang w:val="sr-Latn-RS"/>
        </w:rPr>
      </w:pPr>
      <w:r>
        <w:rPr>
          <w:lang w:val="sr-Latn-RS"/>
        </w:rPr>
        <w:t xml:space="preserve">Using the predictors from ANN diagnostics will select variables for estimating reliability as </w:t>
      </w:r>
      <w:r w:rsidR="00133C7A">
        <w:rPr>
          <w:lang w:val="sr-Latn-RS"/>
        </w:rPr>
        <w:t xml:space="preserve">a </w:t>
      </w:r>
      <w:r>
        <w:rPr>
          <w:lang w:val="sr-Latn-RS"/>
        </w:rPr>
        <w:t xml:space="preserve">time-to-an-event probability estimate, i.e., </w:t>
      </w:r>
      <w:r w:rsidR="00E27320">
        <w:rPr>
          <w:lang w:val="sr-Latn-RS"/>
        </w:rPr>
        <w:t xml:space="preserve">an </w:t>
      </w:r>
      <w:r>
        <w:rPr>
          <w:lang w:val="sr-Latn-RS"/>
        </w:rPr>
        <w:t>estimate of MTBQF</w:t>
      </w:r>
      <w:r w:rsidR="001A5399">
        <w:rPr>
          <w:lang w:val="sr-Latn-RS"/>
        </w:rPr>
        <w:t xml:space="preserve">, since it conducted the most appropriate classification prediction. Hence, each of the variables at </w:t>
      </w:r>
      <w:r>
        <w:rPr>
          <w:lang w:val="sr-Latn-RS"/>
        </w:rPr>
        <w:t xml:space="preserve">the </w:t>
      </w:r>
      <w:r w:rsidR="001A5399">
        <w:rPr>
          <w:lang w:val="sr-Latn-RS"/>
        </w:rPr>
        <w:t xml:space="preserve">opening saddle </w:t>
      </w:r>
      <w:r w:rsidR="007645D6">
        <w:rPr>
          <w:lang w:val="sr-Latn-RS"/>
        </w:rPr>
        <w:t>(</w:t>
      </w:r>
      <w:r w:rsidR="007645D6">
        <w:rPr>
          <w:lang w:val="sr-Latn-RS"/>
        </w:rPr>
        <w:fldChar w:fldCharType="begin"/>
      </w:r>
      <w:r w:rsidR="007645D6">
        <w:rPr>
          <w:lang w:val="sr-Latn-RS"/>
        </w:rPr>
        <w:instrText xml:space="preserve"> REF _Ref101273247 \h </w:instrText>
      </w:r>
      <w:r w:rsidR="007645D6">
        <w:rPr>
          <w:lang w:val="sr-Latn-RS"/>
        </w:rPr>
      </w:r>
      <w:r w:rsidR="007645D6">
        <w:rPr>
          <w:lang w:val="sr-Latn-RS"/>
        </w:rPr>
        <w:fldChar w:fldCharType="separate"/>
      </w:r>
      <w:r w:rsidR="00587AF0">
        <w:t xml:space="preserve">Table </w:t>
      </w:r>
      <w:r w:rsidR="00587AF0">
        <w:rPr>
          <w:noProof/>
        </w:rPr>
        <w:t>77</w:t>
      </w:r>
      <w:r w:rsidR="007645D6">
        <w:rPr>
          <w:lang w:val="sr-Latn-RS"/>
        </w:rPr>
        <w:fldChar w:fldCharType="end"/>
      </w:r>
      <w:r w:rsidR="001A5399">
        <w:rPr>
          <w:lang w:val="sr-Latn-RS"/>
        </w:rPr>
        <w:t>), idle saddle (</w:t>
      </w:r>
      <w:r w:rsidR="001A5399">
        <w:rPr>
          <w:lang w:val="sr-Latn-RS"/>
        </w:rPr>
        <w:fldChar w:fldCharType="begin"/>
      </w:r>
      <w:r w:rsidR="001A5399">
        <w:rPr>
          <w:lang w:val="sr-Latn-RS"/>
        </w:rPr>
        <w:instrText xml:space="preserve"> REF _Ref100131909 \h </w:instrText>
      </w:r>
      <w:r w:rsidR="001A5399">
        <w:rPr>
          <w:lang w:val="sr-Latn-RS"/>
        </w:rPr>
      </w:r>
      <w:r w:rsidR="001A5399">
        <w:rPr>
          <w:lang w:val="sr-Latn-RS"/>
        </w:rPr>
        <w:fldChar w:fldCharType="separate"/>
      </w:r>
      <w:r w:rsidR="00587AF0">
        <w:t xml:space="preserve">Table </w:t>
      </w:r>
      <w:r w:rsidR="00587AF0">
        <w:rPr>
          <w:noProof/>
        </w:rPr>
        <w:t>78</w:t>
      </w:r>
      <w:r w:rsidR="001A5399">
        <w:rPr>
          <w:lang w:val="sr-Latn-RS"/>
        </w:rPr>
        <w:fldChar w:fldCharType="end"/>
      </w:r>
      <w:r w:rsidR="001A5399">
        <w:rPr>
          <w:lang w:val="sr-Latn-RS"/>
        </w:rPr>
        <w:t>) and closing saddle (</w:t>
      </w:r>
      <w:r w:rsidR="001A5399">
        <w:rPr>
          <w:lang w:val="sr-Latn-RS"/>
        </w:rPr>
        <w:fldChar w:fldCharType="begin"/>
      </w:r>
      <w:r w:rsidR="001A5399">
        <w:rPr>
          <w:lang w:val="sr-Latn-RS"/>
        </w:rPr>
        <w:instrText xml:space="preserve"> REF _Ref100131918 \h </w:instrText>
      </w:r>
      <w:r w:rsidR="001A5399">
        <w:rPr>
          <w:lang w:val="sr-Latn-RS"/>
        </w:rPr>
      </w:r>
      <w:r w:rsidR="001A5399">
        <w:rPr>
          <w:lang w:val="sr-Latn-RS"/>
        </w:rPr>
        <w:fldChar w:fldCharType="separate"/>
      </w:r>
      <w:r w:rsidR="00587AF0">
        <w:t xml:space="preserve">Table </w:t>
      </w:r>
      <w:r w:rsidR="00587AF0">
        <w:rPr>
          <w:noProof/>
        </w:rPr>
        <w:t>79</w:t>
      </w:r>
      <w:r w:rsidR="001A5399">
        <w:rPr>
          <w:lang w:val="sr-Latn-RS"/>
        </w:rPr>
        <w:fldChar w:fldCharType="end"/>
      </w:r>
      <w:r w:rsidR="001A5399">
        <w:rPr>
          <w:lang w:val="sr-Latn-RS"/>
        </w:rPr>
        <w:t>) is used to determine quasi-fault time-to-an-event (i.e., TBQF)</w:t>
      </w:r>
      <w:r w:rsidR="000E742E">
        <w:rPr>
          <w:lang w:val="sr-Latn-RS"/>
        </w:rPr>
        <w:t xml:space="preserve"> and to determine reliability function.</w:t>
      </w:r>
    </w:p>
    <w:p w14:paraId="692C8142" w14:textId="77777777" w:rsidR="00A63EF9" w:rsidRDefault="00A63EF9" w:rsidP="00793737">
      <w:pPr>
        <w:pStyle w:val="Caption"/>
        <w:jc w:val="both"/>
      </w:pPr>
      <w:bookmarkStart w:id="742" w:name="_Ref100131902"/>
    </w:p>
    <w:p w14:paraId="063CD575" w14:textId="77777777" w:rsidR="00A63EF9" w:rsidRDefault="00A63EF9" w:rsidP="00793737">
      <w:pPr>
        <w:pStyle w:val="Caption"/>
        <w:jc w:val="both"/>
      </w:pPr>
    </w:p>
    <w:p w14:paraId="2B4A025E" w14:textId="5D3B7E06" w:rsidR="00793737" w:rsidRPr="00793737" w:rsidRDefault="00793737" w:rsidP="00793737">
      <w:pPr>
        <w:pStyle w:val="Caption"/>
        <w:jc w:val="both"/>
        <w:rPr>
          <w:lang w:val="sr-Latn-RS"/>
        </w:rPr>
      </w:pPr>
      <w:bookmarkStart w:id="743" w:name="_Ref101273247"/>
      <w:bookmarkStart w:id="744" w:name="_Toc101274517"/>
      <w:r>
        <w:lastRenderedPageBreak/>
        <w:t xml:space="preserve">Table </w:t>
      </w:r>
      <w:fldSimple w:instr=" SEQ Table \* ARABIC ">
        <w:r w:rsidR="00587AF0">
          <w:rPr>
            <w:noProof/>
          </w:rPr>
          <w:t>77</w:t>
        </w:r>
      </w:fldSimple>
      <w:bookmarkEnd w:id="742"/>
      <w:bookmarkEnd w:id="743"/>
      <w:r>
        <w:t xml:space="preserve">. </w:t>
      </w:r>
      <w:r w:rsidR="00246255" w:rsidRPr="00246255">
        <w:t xml:space="preserve">ANN </w:t>
      </w:r>
      <w:r w:rsidR="00246255">
        <w:t>v</w:t>
      </w:r>
      <w:r>
        <w:t>ariance importance at opening saddle position</w:t>
      </w:r>
      <w:bookmarkEnd w:id="744"/>
    </w:p>
    <w:tbl>
      <w:tblPr>
        <w:tblW w:w="5000" w:type="pct"/>
        <w:tblCellMar>
          <w:left w:w="0" w:type="dxa"/>
          <w:right w:w="0" w:type="dxa"/>
        </w:tblCellMar>
        <w:tblLook w:val="0000" w:firstRow="0" w:lastRow="0" w:firstColumn="0" w:lastColumn="0" w:noHBand="0" w:noVBand="0"/>
      </w:tblPr>
      <w:tblGrid>
        <w:gridCol w:w="3131"/>
        <w:gridCol w:w="2531"/>
        <w:gridCol w:w="3365"/>
      </w:tblGrid>
      <w:tr w:rsidR="00793737" w:rsidRPr="00D93A70" w14:paraId="36103241" w14:textId="77777777" w:rsidTr="00793737">
        <w:trPr>
          <w:cantSplit/>
        </w:trPr>
        <w:tc>
          <w:tcPr>
            <w:tcW w:w="1734" w:type="pct"/>
            <w:tcBorders>
              <w:top w:val="single" w:sz="4" w:space="0" w:color="auto"/>
              <w:bottom w:val="single" w:sz="4" w:space="0" w:color="auto"/>
            </w:tcBorders>
            <w:shd w:val="clear" w:color="auto" w:fill="auto"/>
            <w:vAlign w:val="bottom"/>
          </w:tcPr>
          <w:p w14:paraId="7E997F09" w14:textId="77777777" w:rsidR="00793737" w:rsidRPr="00D93A70" w:rsidRDefault="00793737" w:rsidP="006325D1">
            <w:pPr>
              <w:spacing w:before="0" w:after="0"/>
              <w:ind w:left="57" w:right="57"/>
              <w:rPr>
                <w:rFonts w:cs="Times New Roman"/>
                <w:b/>
                <w:bCs/>
                <w:sz w:val="20"/>
                <w:szCs w:val="20"/>
                <w:lang w:val="sr-Latn-RS"/>
              </w:rPr>
            </w:pPr>
            <w:r w:rsidRPr="00D93A70">
              <w:rPr>
                <w:rFonts w:cs="Times New Roman"/>
                <w:b/>
                <w:bCs/>
                <w:sz w:val="20"/>
                <w:szCs w:val="20"/>
                <w:lang w:val="sr-Latn-RS"/>
              </w:rPr>
              <w:t>Variable</w:t>
            </w:r>
          </w:p>
        </w:tc>
        <w:tc>
          <w:tcPr>
            <w:tcW w:w="1402" w:type="pct"/>
            <w:tcBorders>
              <w:top w:val="single" w:sz="4" w:space="0" w:color="auto"/>
              <w:bottom w:val="single" w:sz="4" w:space="0" w:color="auto"/>
            </w:tcBorders>
            <w:shd w:val="clear" w:color="auto" w:fill="auto"/>
            <w:vAlign w:val="bottom"/>
          </w:tcPr>
          <w:p w14:paraId="61AB83AA" w14:textId="77777777" w:rsidR="00793737" w:rsidRPr="00D93A70" w:rsidRDefault="00793737" w:rsidP="006325D1">
            <w:pPr>
              <w:spacing w:before="0" w:after="0"/>
              <w:ind w:left="57" w:right="57"/>
              <w:jc w:val="center"/>
              <w:rPr>
                <w:b/>
                <w:bCs/>
                <w:sz w:val="20"/>
                <w:szCs w:val="20"/>
                <w:lang w:val="sr-Latn-RS"/>
              </w:rPr>
            </w:pPr>
            <w:r w:rsidRPr="00D93A70">
              <w:rPr>
                <w:b/>
                <w:bCs/>
                <w:sz w:val="20"/>
                <w:szCs w:val="20"/>
                <w:lang w:val="sr-Latn-RS"/>
              </w:rPr>
              <w:t>Importance</w:t>
            </w:r>
          </w:p>
        </w:tc>
        <w:tc>
          <w:tcPr>
            <w:tcW w:w="1864" w:type="pct"/>
            <w:tcBorders>
              <w:top w:val="single" w:sz="4" w:space="0" w:color="auto"/>
              <w:bottom w:val="single" w:sz="4" w:space="0" w:color="auto"/>
            </w:tcBorders>
            <w:shd w:val="clear" w:color="auto" w:fill="auto"/>
            <w:vAlign w:val="bottom"/>
          </w:tcPr>
          <w:p w14:paraId="0BE6F34B" w14:textId="4A316297" w:rsidR="00793737" w:rsidRPr="00D93A70" w:rsidRDefault="00793737" w:rsidP="006325D1">
            <w:pPr>
              <w:spacing w:before="0" w:after="0"/>
              <w:ind w:left="57" w:right="57"/>
              <w:jc w:val="center"/>
              <w:rPr>
                <w:b/>
                <w:bCs/>
                <w:sz w:val="20"/>
                <w:szCs w:val="20"/>
                <w:lang w:val="sr-Latn-RS"/>
              </w:rPr>
            </w:pPr>
            <w:r w:rsidRPr="00D93A70">
              <w:rPr>
                <w:b/>
                <w:bCs/>
                <w:sz w:val="20"/>
                <w:szCs w:val="20"/>
                <w:lang w:val="sr-Latn-RS"/>
              </w:rPr>
              <w:t>Normali</w:t>
            </w:r>
            <w:r w:rsidR="007A4D42">
              <w:rPr>
                <w:b/>
                <w:bCs/>
                <w:sz w:val="20"/>
                <w:szCs w:val="20"/>
                <w:lang w:val="sr-Latn-RS"/>
              </w:rPr>
              <w:t>z</w:t>
            </w:r>
            <w:r w:rsidRPr="00D93A70">
              <w:rPr>
                <w:b/>
                <w:bCs/>
                <w:sz w:val="20"/>
                <w:szCs w:val="20"/>
                <w:lang w:val="sr-Latn-RS"/>
              </w:rPr>
              <w:t xml:space="preserve">ed </w:t>
            </w:r>
            <w:r w:rsidR="00854F07">
              <w:rPr>
                <w:b/>
                <w:bCs/>
                <w:sz w:val="20"/>
                <w:szCs w:val="20"/>
                <w:lang w:val="sr-Latn-RS"/>
              </w:rPr>
              <w:t>i</w:t>
            </w:r>
            <w:r w:rsidRPr="00D93A70">
              <w:rPr>
                <w:b/>
                <w:bCs/>
                <w:sz w:val="20"/>
                <w:szCs w:val="20"/>
                <w:lang w:val="sr-Latn-RS"/>
              </w:rPr>
              <w:t>mportance</w:t>
            </w:r>
          </w:p>
        </w:tc>
      </w:tr>
      <w:tr w:rsidR="00793737" w:rsidRPr="00D93A70" w14:paraId="2BDCE5C3" w14:textId="77777777" w:rsidTr="00793737">
        <w:trPr>
          <w:cantSplit/>
        </w:trPr>
        <w:tc>
          <w:tcPr>
            <w:tcW w:w="1734" w:type="pct"/>
            <w:shd w:val="clear" w:color="auto" w:fill="auto"/>
          </w:tcPr>
          <w:p w14:paraId="7C20B712" w14:textId="77777777" w:rsidR="00793737" w:rsidRPr="00D93A70" w:rsidRDefault="00793737" w:rsidP="006325D1">
            <w:pPr>
              <w:spacing w:before="0" w:after="0"/>
              <w:ind w:left="57" w:right="57"/>
              <w:rPr>
                <w:sz w:val="20"/>
                <w:szCs w:val="20"/>
                <w:lang w:val="sr-Latn-RS"/>
              </w:rPr>
            </w:pPr>
            <w:r w:rsidRPr="00D93A70">
              <w:rPr>
                <w:sz w:val="20"/>
                <w:szCs w:val="20"/>
                <w:lang w:val="sr-Latn-RS"/>
              </w:rPr>
              <w:t>N_Stdev_OS</w:t>
            </w:r>
          </w:p>
        </w:tc>
        <w:tc>
          <w:tcPr>
            <w:tcW w:w="1402" w:type="pct"/>
            <w:shd w:val="clear" w:color="auto" w:fill="auto"/>
          </w:tcPr>
          <w:p w14:paraId="0E1C341D" w14:textId="77777777" w:rsidR="00793737" w:rsidRPr="00D93A70" w:rsidRDefault="00793737" w:rsidP="006325D1">
            <w:pPr>
              <w:spacing w:before="0" w:after="0"/>
              <w:ind w:left="57" w:right="57"/>
              <w:jc w:val="right"/>
              <w:rPr>
                <w:sz w:val="20"/>
                <w:szCs w:val="20"/>
                <w:lang w:val="sr-Latn-RS"/>
              </w:rPr>
            </w:pPr>
            <w:r w:rsidRPr="00D93A70">
              <w:rPr>
                <w:sz w:val="20"/>
                <w:szCs w:val="20"/>
                <w:lang w:val="sr-Latn-RS"/>
              </w:rPr>
              <w:t>0.199</w:t>
            </w:r>
          </w:p>
        </w:tc>
        <w:tc>
          <w:tcPr>
            <w:tcW w:w="1864" w:type="pct"/>
            <w:shd w:val="clear" w:color="auto" w:fill="auto"/>
          </w:tcPr>
          <w:p w14:paraId="6B07F8B3" w14:textId="77777777" w:rsidR="00793737" w:rsidRPr="00D93A70" w:rsidRDefault="00793737" w:rsidP="006325D1">
            <w:pPr>
              <w:spacing w:before="0" w:after="0"/>
              <w:ind w:left="57" w:right="57"/>
              <w:jc w:val="right"/>
              <w:rPr>
                <w:sz w:val="20"/>
                <w:szCs w:val="20"/>
                <w:lang w:val="sr-Latn-RS"/>
              </w:rPr>
            </w:pPr>
            <w:r w:rsidRPr="00D93A70">
              <w:rPr>
                <w:sz w:val="20"/>
                <w:szCs w:val="20"/>
                <w:lang w:val="sr-Latn-RS"/>
              </w:rPr>
              <w:t>100.0%</w:t>
            </w:r>
          </w:p>
        </w:tc>
      </w:tr>
      <w:tr w:rsidR="00793737" w:rsidRPr="00D93A70" w14:paraId="01F04D57" w14:textId="77777777" w:rsidTr="00793737">
        <w:trPr>
          <w:cantSplit/>
        </w:trPr>
        <w:tc>
          <w:tcPr>
            <w:tcW w:w="1734" w:type="pct"/>
            <w:shd w:val="clear" w:color="auto" w:fill="auto"/>
          </w:tcPr>
          <w:p w14:paraId="546731B2" w14:textId="77777777" w:rsidR="00793737" w:rsidRPr="00D93A70" w:rsidRDefault="00793737" w:rsidP="006325D1">
            <w:pPr>
              <w:spacing w:before="0" w:after="0"/>
              <w:ind w:left="57" w:right="57"/>
              <w:rPr>
                <w:sz w:val="20"/>
                <w:szCs w:val="20"/>
                <w:lang w:val="sr-Latn-RS"/>
              </w:rPr>
            </w:pPr>
            <w:r w:rsidRPr="00D93A70">
              <w:rPr>
                <w:sz w:val="20"/>
                <w:szCs w:val="20"/>
                <w:lang w:val="sr-Latn-RS"/>
              </w:rPr>
              <w:t>N_Median_OS</w:t>
            </w:r>
          </w:p>
        </w:tc>
        <w:tc>
          <w:tcPr>
            <w:tcW w:w="1402" w:type="pct"/>
            <w:shd w:val="clear" w:color="auto" w:fill="auto"/>
          </w:tcPr>
          <w:p w14:paraId="15EA5AED" w14:textId="77777777" w:rsidR="00793737" w:rsidRPr="00D93A70" w:rsidRDefault="00793737" w:rsidP="006325D1">
            <w:pPr>
              <w:spacing w:before="0" w:after="0"/>
              <w:ind w:left="57" w:right="57"/>
              <w:jc w:val="right"/>
              <w:rPr>
                <w:sz w:val="20"/>
                <w:szCs w:val="20"/>
                <w:lang w:val="sr-Latn-RS"/>
              </w:rPr>
            </w:pPr>
            <w:r w:rsidRPr="00D93A70">
              <w:rPr>
                <w:sz w:val="20"/>
                <w:szCs w:val="20"/>
                <w:lang w:val="sr-Latn-RS"/>
              </w:rPr>
              <w:t>0.127</w:t>
            </w:r>
          </w:p>
        </w:tc>
        <w:tc>
          <w:tcPr>
            <w:tcW w:w="1864" w:type="pct"/>
            <w:shd w:val="clear" w:color="auto" w:fill="auto"/>
          </w:tcPr>
          <w:p w14:paraId="5AAEE0BB" w14:textId="77777777" w:rsidR="00793737" w:rsidRPr="00D93A70" w:rsidRDefault="00793737" w:rsidP="006325D1">
            <w:pPr>
              <w:spacing w:before="0" w:after="0"/>
              <w:ind w:left="57" w:right="57"/>
              <w:jc w:val="right"/>
              <w:rPr>
                <w:sz w:val="20"/>
                <w:szCs w:val="20"/>
                <w:lang w:val="sr-Latn-RS"/>
              </w:rPr>
            </w:pPr>
            <w:r w:rsidRPr="00D93A70">
              <w:rPr>
                <w:sz w:val="20"/>
                <w:szCs w:val="20"/>
                <w:lang w:val="sr-Latn-RS"/>
              </w:rPr>
              <w:t>63.7%</w:t>
            </w:r>
          </w:p>
        </w:tc>
      </w:tr>
      <w:tr w:rsidR="00793737" w:rsidRPr="00D93A70" w14:paraId="7E0EA74C" w14:textId="77777777" w:rsidTr="002D524C">
        <w:trPr>
          <w:cantSplit/>
        </w:trPr>
        <w:tc>
          <w:tcPr>
            <w:tcW w:w="1734" w:type="pct"/>
            <w:shd w:val="clear" w:color="auto" w:fill="auto"/>
          </w:tcPr>
          <w:p w14:paraId="7AD3A931" w14:textId="77777777" w:rsidR="00793737" w:rsidRPr="00D93A70" w:rsidRDefault="00793737" w:rsidP="006325D1">
            <w:pPr>
              <w:spacing w:before="0" w:after="0"/>
              <w:ind w:left="57" w:right="57"/>
              <w:rPr>
                <w:sz w:val="20"/>
                <w:szCs w:val="20"/>
                <w:lang w:val="sr-Latn-RS"/>
              </w:rPr>
            </w:pPr>
            <w:r w:rsidRPr="00D93A70">
              <w:rPr>
                <w:sz w:val="20"/>
                <w:szCs w:val="20"/>
                <w:lang w:val="sr-Latn-RS"/>
              </w:rPr>
              <w:t>N_Min_OS</w:t>
            </w:r>
          </w:p>
        </w:tc>
        <w:tc>
          <w:tcPr>
            <w:tcW w:w="1402" w:type="pct"/>
            <w:shd w:val="clear" w:color="auto" w:fill="auto"/>
          </w:tcPr>
          <w:p w14:paraId="250EAB8D" w14:textId="77777777" w:rsidR="00793737" w:rsidRPr="00D93A70" w:rsidRDefault="00793737" w:rsidP="006325D1">
            <w:pPr>
              <w:spacing w:before="0" w:after="0"/>
              <w:ind w:left="57" w:right="57"/>
              <w:jc w:val="right"/>
              <w:rPr>
                <w:sz w:val="20"/>
                <w:szCs w:val="20"/>
                <w:lang w:val="sr-Latn-RS"/>
              </w:rPr>
            </w:pPr>
            <w:r w:rsidRPr="00D93A70">
              <w:rPr>
                <w:sz w:val="20"/>
                <w:szCs w:val="20"/>
                <w:lang w:val="sr-Latn-RS"/>
              </w:rPr>
              <w:t>0.154</w:t>
            </w:r>
          </w:p>
        </w:tc>
        <w:tc>
          <w:tcPr>
            <w:tcW w:w="1864" w:type="pct"/>
            <w:shd w:val="clear" w:color="auto" w:fill="auto"/>
          </w:tcPr>
          <w:p w14:paraId="3ED7F63F" w14:textId="77777777" w:rsidR="00793737" w:rsidRPr="00D93A70" w:rsidRDefault="00793737" w:rsidP="006325D1">
            <w:pPr>
              <w:spacing w:before="0" w:after="0"/>
              <w:ind w:left="57" w:right="57"/>
              <w:jc w:val="right"/>
              <w:rPr>
                <w:sz w:val="20"/>
                <w:szCs w:val="20"/>
                <w:lang w:val="sr-Latn-RS"/>
              </w:rPr>
            </w:pPr>
            <w:r w:rsidRPr="00D93A70">
              <w:rPr>
                <w:sz w:val="20"/>
                <w:szCs w:val="20"/>
                <w:lang w:val="sr-Latn-RS"/>
              </w:rPr>
              <w:t>77.5%</w:t>
            </w:r>
          </w:p>
        </w:tc>
      </w:tr>
      <w:tr w:rsidR="002D524C" w:rsidRPr="00D93A70" w14:paraId="414B7811" w14:textId="77777777" w:rsidTr="00793737">
        <w:trPr>
          <w:cantSplit/>
        </w:trPr>
        <w:tc>
          <w:tcPr>
            <w:tcW w:w="1734" w:type="pct"/>
            <w:tcBorders>
              <w:bottom w:val="single" w:sz="4" w:space="0" w:color="auto"/>
            </w:tcBorders>
            <w:shd w:val="clear" w:color="auto" w:fill="auto"/>
          </w:tcPr>
          <w:p w14:paraId="1AA35260" w14:textId="4B75B348" w:rsidR="002D524C" w:rsidRPr="002D524C" w:rsidRDefault="002D524C" w:rsidP="002D524C">
            <w:pPr>
              <w:spacing w:before="0" w:after="0"/>
              <w:ind w:left="57" w:right="57"/>
              <w:rPr>
                <w:sz w:val="20"/>
                <w:szCs w:val="18"/>
                <w:lang w:val="sr-Latn-RS"/>
              </w:rPr>
            </w:pPr>
            <w:r w:rsidRPr="002D524C">
              <w:rPr>
                <w:sz w:val="20"/>
                <w:szCs w:val="18"/>
              </w:rPr>
              <w:t>N_Kurt_OS</w:t>
            </w:r>
          </w:p>
        </w:tc>
        <w:tc>
          <w:tcPr>
            <w:tcW w:w="1402" w:type="pct"/>
            <w:tcBorders>
              <w:bottom w:val="single" w:sz="4" w:space="0" w:color="auto"/>
            </w:tcBorders>
            <w:shd w:val="clear" w:color="auto" w:fill="auto"/>
          </w:tcPr>
          <w:p w14:paraId="069BFB67" w14:textId="7D6BAD3D" w:rsidR="002D524C" w:rsidRPr="002D524C" w:rsidRDefault="002D524C" w:rsidP="002D524C">
            <w:pPr>
              <w:spacing w:before="0" w:after="0"/>
              <w:ind w:left="57" w:right="57"/>
              <w:jc w:val="right"/>
              <w:rPr>
                <w:sz w:val="20"/>
                <w:szCs w:val="18"/>
                <w:lang w:val="sr-Latn-RS"/>
              </w:rPr>
            </w:pPr>
            <w:r w:rsidRPr="002D524C">
              <w:rPr>
                <w:sz w:val="20"/>
                <w:szCs w:val="18"/>
              </w:rPr>
              <w:t>0.122</w:t>
            </w:r>
          </w:p>
        </w:tc>
        <w:tc>
          <w:tcPr>
            <w:tcW w:w="1864" w:type="pct"/>
            <w:tcBorders>
              <w:bottom w:val="single" w:sz="4" w:space="0" w:color="auto"/>
            </w:tcBorders>
            <w:shd w:val="clear" w:color="auto" w:fill="auto"/>
          </w:tcPr>
          <w:p w14:paraId="29085FAF" w14:textId="26E2066E" w:rsidR="002D524C" w:rsidRPr="002D524C" w:rsidRDefault="002D524C" w:rsidP="002D524C">
            <w:pPr>
              <w:spacing w:before="0" w:after="0"/>
              <w:ind w:left="57" w:right="57"/>
              <w:jc w:val="right"/>
              <w:rPr>
                <w:sz w:val="20"/>
                <w:szCs w:val="18"/>
                <w:lang w:val="sr-Latn-RS"/>
              </w:rPr>
            </w:pPr>
            <w:r w:rsidRPr="002D524C">
              <w:rPr>
                <w:sz w:val="20"/>
                <w:szCs w:val="18"/>
              </w:rPr>
              <w:t>61.1%</w:t>
            </w:r>
          </w:p>
        </w:tc>
      </w:tr>
    </w:tbl>
    <w:p w14:paraId="388B852C" w14:textId="26F2F445" w:rsidR="00E950AD" w:rsidRPr="00793737" w:rsidRDefault="00E950AD" w:rsidP="00E950AD">
      <w:pPr>
        <w:pStyle w:val="Caption"/>
        <w:jc w:val="both"/>
        <w:rPr>
          <w:lang w:val="sr-Latn-RS"/>
        </w:rPr>
      </w:pPr>
      <w:bookmarkStart w:id="745" w:name="_Ref100131909"/>
      <w:bookmarkStart w:id="746" w:name="_Toc101274518"/>
      <w:r>
        <w:t xml:space="preserve">Table </w:t>
      </w:r>
      <w:fldSimple w:instr=" SEQ Table \* ARABIC ">
        <w:r w:rsidR="00587AF0">
          <w:rPr>
            <w:noProof/>
          </w:rPr>
          <w:t>78</w:t>
        </w:r>
      </w:fldSimple>
      <w:bookmarkEnd w:id="745"/>
      <w:r>
        <w:t xml:space="preserve">. </w:t>
      </w:r>
      <w:r w:rsidR="00246255" w:rsidRPr="00246255">
        <w:t xml:space="preserve">ANN </w:t>
      </w:r>
      <w:r w:rsidR="00246255">
        <w:t>v</w:t>
      </w:r>
      <w:r>
        <w:t xml:space="preserve">ariance importance at </w:t>
      </w:r>
      <w:r w:rsidR="00011EB1">
        <w:t xml:space="preserve">idle </w:t>
      </w:r>
      <w:r>
        <w:t>saddle position</w:t>
      </w:r>
      <w:bookmarkEnd w:id="746"/>
    </w:p>
    <w:tbl>
      <w:tblPr>
        <w:tblW w:w="5000" w:type="pct"/>
        <w:tblCellMar>
          <w:left w:w="0" w:type="dxa"/>
          <w:right w:w="0" w:type="dxa"/>
        </w:tblCellMar>
        <w:tblLook w:val="0000" w:firstRow="0" w:lastRow="0" w:firstColumn="0" w:lastColumn="0" w:noHBand="0" w:noVBand="0"/>
      </w:tblPr>
      <w:tblGrid>
        <w:gridCol w:w="3131"/>
        <w:gridCol w:w="2531"/>
        <w:gridCol w:w="3365"/>
      </w:tblGrid>
      <w:tr w:rsidR="00E950AD" w:rsidRPr="00D93A70" w14:paraId="2405193D" w14:textId="77777777" w:rsidTr="00416BF6">
        <w:trPr>
          <w:cantSplit/>
        </w:trPr>
        <w:tc>
          <w:tcPr>
            <w:tcW w:w="1734" w:type="pct"/>
            <w:tcBorders>
              <w:top w:val="single" w:sz="4" w:space="0" w:color="auto"/>
              <w:bottom w:val="single" w:sz="4" w:space="0" w:color="auto"/>
            </w:tcBorders>
            <w:shd w:val="clear" w:color="auto" w:fill="auto"/>
            <w:vAlign w:val="bottom"/>
          </w:tcPr>
          <w:p w14:paraId="3D4C04F7" w14:textId="77777777" w:rsidR="00E950AD" w:rsidRPr="00D93A70" w:rsidRDefault="00E950AD" w:rsidP="006325D1">
            <w:pPr>
              <w:spacing w:before="0" w:after="0"/>
              <w:ind w:left="57" w:right="57"/>
              <w:rPr>
                <w:rFonts w:cs="Times New Roman"/>
                <w:b/>
                <w:bCs/>
                <w:sz w:val="20"/>
                <w:szCs w:val="20"/>
                <w:lang w:val="sr-Latn-RS"/>
              </w:rPr>
            </w:pPr>
            <w:r w:rsidRPr="00D93A70">
              <w:rPr>
                <w:rFonts w:cs="Times New Roman"/>
                <w:b/>
                <w:bCs/>
                <w:sz w:val="20"/>
                <w:szCs w:val="20"/>
                <w:lang w:val="sr-Latn-RS"/>
              </w:rPr>
              <w:t>Variable</w:t>
            </w:r>
          </w:p>
        </w:tc>
        <w:tc>
          <w:tcPr>
            <w:tcW w:w="1402" w:type="pct"/>
            <w:tcBorders>
              <w:top w:val="single" w:sz="4" w:space="0" w:color="auto"/>
              <w:bottom w:val="single" w:sz="4" w:space="0" w:color="auto"/>
            </w:tcBorders>
            <w:shd w:val="clear" w:color="auto" w:fill="auto"/>
            <w:vAlign w:val="bottom"/>
          </w:tcPr>
          <w:p w14:paraId="2867461B" w14:textId="77777777" w:rsidR="00E950AD" w:rsidRPr="00D93A70" w:rsidRDefault="00E950AD" w:rsidP="006325D1">
            <w:pPr>
              <w:spacing w:before="0" w:after="0"/>
              <w:ind w:left="57" w:right="57"/>
              <w:jc w:val="center"/>
              <w:rPr>
                <w:b/>
                <w:bCs/>
                <w:sz w:val="20"/>
                <w:szCs w:val="20"/>
                <w:lang w:val="sr-Latn-RS"/>
              </w:rPr>
            </w:pPr>
            <w:r w:rsidRPr="00D93A70">
              <w:rPr>
                <w:b/>
                <w:bCs/>
                <w:sz w:val="20"/>
                <w:szCs w:val="20"/>
                <w:lang w:val="sr-Latn-RS"/>
              </w:rPr>
              <w:t>Importance</w:t>
            </w:r>
          </w:p>
        </w:tc>
        <w:tc>
          <w:tcPr>
            <w:tcW w:w="1864" w:type="pct"/>
            <w:tcBorders>
              <w:top w:val="single" w:sz="4" w:space="0" w:color="auto"/>
              <w:bottom w:val="single" w:sz="4" w:space="0" w:color="auto"/>
            </w:tcBorders>
            <w:shd w:val="clear" w:color="auto" w:fill="auto"/>
            <w:vAlign w:val="bottom"/>
          </w:tcPr>
          <w:p w14:paraId="1CF95380" w14:textId="77777777" w:rsidR="00E950AD" w:rsidRPr="00D93A70" w:rsidRDefault="00E950AD" w:rsidP="006325D1">
            <w:pPr>
              <w:spacing w:before="0" w:after="0"/>
              <w:ind w:left="57" w:right="57"/>
              <w:jc w:val="center"/>
              <w:rPr>
                <w:b/>
                <w:bCs/>
                <w:sz w:val="20"/>
                <w:szCs w:val="20"/>
                <w:lang w:val="sr-Latn-RS"/>
              </w:rPr>
            </w:pPr>
            <w:r w:rsidRPr="00D93A70">
              <w:rPr>
                <w:b/>
                <w:bCs/>
                <w:sz w:val="20"/>
                <w:szCs w:val="20"/>
                <w:lang w:val="sr-Latn-RS"/>
              </w:rPr>
              <w:t>Normalized Importance</w:t>
            </w:r>
          </w:p>
        </w:tc>
      </w:tr>
      <w:tr w:rsidR="00416BF6" w:rsidRPr="00416BF6" w14:paraId="39A9879D" w14:textId="77777777" w:rsidTr="00416BF6">
        <w:trPr>
          <w:cantSplit/>
        </w:trPr>
        <w:tc>
          <w:tcPr>
            <w:tcW w:w="1734" w:type="pct"/>
            <w:tcBorders>
              <w:top w:val="single" w:sz="4" w:space="0" w:color="auto"/>
            </w:tcBorders>
            <w:shd w:val="clear" w:color="auto" w:fill="auto"/>
          </w:tcPr>
          <w:p w14:paraId="72A5F46D" w14:textId="1799114A" w:rsidR="00416BF6" w:rsidRPr="00416BF6" w:rsidRDefault="00416BF6" w:rsidP="00416BF6">
            <w:pPr>
              <w:spacing w:before="0" w:after="0"/>
              <w:ind w:left="57" w:right="57"/>
              <w:rPr>
                <w:sz w:val="20"/>
                <w:szCs w:val="20"/>
                <w:lang w:val="sr-Latn-RS"/>
              </w:rPr>
            </w:pPr>
            <w:r w:rsidRPr="00416BF6">
              <w:rPr>
                <w:rFonts w:cs="Arial"/>
                <w:sz w:val="20"/>
                <w:szCs w:val="20"/>
                <w:lang w:val="sr-Latn-RS"/>
              </w:rPr>
              <w:t>T3</w:t>
            </w:r>
          </w:p>
        </w:tc>
        <w:tc>
          <w:tcPr>
            <w:tcW w:w="1402" w:type="pct"/>
            <w:tcBorders>
              <w:top w:val="single" w:sz="4" w:space="0" w:color="auto"/>
            </w:tcBorders>
            <w:shd w:val="clear" w:color="auto" w:fill="auto"/>
          </w:tcPr>
          <w:p w14:paraId="639EED6F" w14:textId="34480125" w:rsidR="00416BF6" w:rsidRPr="00416BF6" w:rsidRDefault="00416BF6" w:rsidP="00416BF6">
            <w:pPr>
              <w:spacing w:before="0" w:after="0"/>
              <w:ind w:left="57" w:right="57"/>
              <w:jc w:val="right"/>
              <w:rPr>
                <w:sz w:val="20"/>
                <w:szCs w:val="20"/>
                <w:lang w:val="sr-Latn-RS"/>
              </w:rPr>
            </w:pPr>
            <w:r w:rsidRPr="00416BF6">
              <w:rPr>
                <w:rFonts w:cs="Arial"/>
                <w:sz w:val="20"/>
                <w:szCs w:val="20"/>
                <w:lang w:val="sr-Latn-RS"/>
              </w:rPr>
              <w:t>0.116</w:t>
            </w:r>
          </w:p>
        </w:tc>
        <w:tc>
          <w:tcPr>
            <w:tcW w:w="1864" w:type="pct"/>
            <w:tcBorders>
              <w:top w:val="single" w:sz="4" w:space="0" w:color="auto"/>
            </w:tcBorders>
            <w:shd w:val="clear" w:color="auto" w:fill="auto"/>
          </w:tcPr>
          <w:p w14:paraId="6307B4A2" w14:textId="1DA8B13F" w:rsidR="00416BF6" w:rsidRPr="00416BF6" w:rsidRDefault="00416BF6" w:rsidP="00416BF6">
            <w:pPr>
              <w:spacing w:before="0" w:after="0"/>
              <w:ind w:left="57" w:right="57"/>
              <w:jc w:val="right"/>
              <w:rPr>
                <w:sz w:val="20"/>
                <w:szCs w:val="20"/>
                <w:lang w:val="sr-Latn-RS"/>
              </w:rPr>
            </w:pPr>
            <w:r w:rsidRPr="00416BF6">
              <w:rPr>
                <w:rFonts w:cs="Arial"/>
                <w:sz w:val="20"/>
                <w:szCs w:val="20"/>
                <w:lang w:val="sr-Latn-RS"/>
              </w:rPr>
              <w:t>65.3%</w:t>
            </w:r>
          </w:p>
        </w:tc>
      </w:tr>
      <w:tr w:rsidR="00416BF6" w:rsidRPr="00416BF6" w14:paraId="2E45A7E7" w14:textId="77777777" w:rsidTr="00416BF6">
        <w:trPr>
          <w:cantSplit/>
        </w:trPr>
        <w:tc>
          <w:tcPr>
            <w:tcW w:w="1734" w:type="pct"/>
            <w:shd w:val="clear" w:color="auto" w:fill="auto"/>
          </w:tcPr>
          <w:p w14:paraId="66DF0AEF" w14:textId="78842CD7" w:rsidR="00416BF6" w:rsidRPr="00416BF6" w:rsidRDefault="00416BF6" w:rsidP="00416BF6">
            <w:pPr>
              <w:spacing w:before="0" w:after="0"/>
              <w:ind w:left="57" w:right="57"/>
              <w:rPr>
                <w:rFonts w:cs="Arial"/>
                <w:sz w:val="20"/>
                <w:szCs w:val="20"/>
                <w:lang w:val="sr-Latn-RS"/>
              </w:rPr>
            </w:pPr>
            <w:r w:rsidRPr="00416BF6">
              <w:rPr>
                <w:sz w:val="20"/>
                <w:szCs w:val="20"/>
              </w:rPr>
              <w:t>N_Stdev_IS</w:t>
            </w:r>
          </w:p>
        </w:tc>
        <w:tc>
          <w:tcPr>
            <w:tcW w:w="1402" w:type="pct"/>
            <w:shd w:val="clear" w:color="auto" w:fill="auto"/>
          </w:tcPr>
          <w:p w14:paraId="15B35116" w14:textId="01B93CC7" w:rsidR="00416BF6" w:rsidRPr="00416BF6" w:rsidRDefault="00416BF6" w:rsidP="00416BF6">
            <w:pPr>
              <w:spacing w:before="0" w:after="0"/>
              <w:ind w:left="57" w:right="57"/>
              <w:jc w:val="right"/>
              <w:rPr>
                <w:rFonts w:cs="Arial"/>
                <w:sz w:val="20"/>
                <w:szCs w:val="20"/>
                <w:lang w:val="sr-Latn-RS"/>
              </w:rPr>
            </w:pPr>
            <w:r w:rsidRPr="00416BF6">
              <w:rPr>
                <w:sz w:val="20"/>
                <w:szCs w:val="20"/>
              </w:rPr>
              <w:t>0.115</w:t>
            </w:r>
          </w:p>
        </w:tc>
        <w:tc>
          <w:tcPr>
            <w:tcW w:w="1864" w:type="pct"/>
            <w:shd w:val="clear" w:color="auto" w:fill="auto"/>
          </w:tcPr>
          <w:p w14:paraId="1B3A7FCD" w14:textId="3A5D5DC2" w:rsidR="00416BF6" w:rsidRPr="00416BF6" w:rsidRDefault="00416BF6" w:rsidP="00416BF6">
            <w:pPr>
              <w:spacing w:before="0" w:after="0"/>
              <w:ind w:left="57" w:right="57"/>
              <w:jc w:val="right"/>
              <w:rPr>
                <w:rFonts w:cs="Arial"/>
                <w:sz w:val="20"/>
                <w:szCs w:val="20"/>
                <w:lang w:val="sr-Latn-RS"/>
              </w:rPr>
            </w:pPr>
            <w:r w:rsidRPr="00416BF6">
              <w:rPr>
                <w:sz w:val="20"/>
                <w:szCs w:val="20"/>
              </w:rPr>
              <w:t>64.8%</w:t>
            </w:r>
          </w:p>
        </w:tc>
      </w:tr>
      <w:tr w:rsidR="00416BF6" w:rsidRPr="00416BF6" w14:paraId="24A5D3BC" w14:textId="77777777" w:rsidTr="005A6B91">
        <w:trPr>
          <w:cantSplit/>
        </w:trPr>
        <w:tc>
          <w:tcPr>
            <w:tcW w:w="1734" w:type="pct"/>
            <w:shd w:val="clear" w:color="auto" w:fill="auto"/>
          </w:tcPr>
          <w:p w14:paraId="22B9EDF6" w14:textId="2AE2AF8D" w:rsidR="00416BF6" w:rsidRPr="00416BF6" w:rsidRDefault="00416BF6" w:rsidP="00416BF6">
            <w:pPr>
              <w:spacing w:before="0" w:after="0"/>
              <w:ind w:left="57" w:right="57"/>
              <w:rPr>
                <w:rFonts w:cs="Arial"/>
                <w:sz w:val="20"/>
                <w:szCs w:val="20"/>
                <w:lang w:val="sr-Latn-RS"/>
              </w:rPr>
            </w:pPr>
            <w:r w:rsidRPr="00416BF6">
              <w:rPr>
                <w:sz w:val="20"/>
                <w:szCs w:val="20"/>
              </w:rPr>
              <w:t>N_1Q_IS</w:t>
            </w:r>
          </w:p>
        </w:tc>
        <w:tc>
          <w:tcPr>
            <w:tcW w:w="1402" w:type="pct"/>
            <w:shd w:val="clear" w:color="auto" w:fill="auto"/>
          </w:tcPr>
          <w:p w14:paraId="51EAC7D0" w14:textId="5575770F" w:rsidR="00416BF6" w:rsidRPr="00416BF6" w:rsidRDefault="00416BF6" w:rsidP="00416BF6">
            <w:pPr>
              <w:spacing w:before="0" w:after="0"/>
              <w:ind w:left="57" w:right="57"/>
              <w:jc w:val="right"/>
              <w:rPr>
                <w:rFonts w:cs="Arial"/>
                <w:sz w:val="20"/>
                <w:szCs w:val="20"/>
                <w:lang w:val="sr-Latn-RS"/>
              </w:rPr>
            </w:pPr>
            <w:r w:rsidRPr="00416BF6">
              <w:rPr>
                <w:sz w:val="20"/>
                <w:szCs w:val="20"/>
              </w:rPr>
              <w:t>0.177</w:t>
            </w:r>
          </w:p>
        </w:tc>
        <w:tc>
          <w:tcPr>
            <w:tcW w:w="1864" w:type="pct"/>
            <w:shd w:val="clear" w:color="auto" w:fill="auto"/>
          </w:tcPr>
          <w:p w14:paraId="37006169" w14:textId="16655531" w:rsidR="00416BF6" w:rsidRPr="00416BF6" w:rsidRDefault="00416BF6" w:rsidP="00416BF6">
            <w:pPr>
              <w:spacing w:before="0" w:after="0"/>
              <w:ind w:left="57" w:right="57"/>
              <w:jc w:val="right"/>
              <w:rPr>
                <w:rFonts w:cs="Arial"/>
                <w:sz w:val="20"/>
                <w:szCs w:val="20"/>
                <w:lang w:val="sr-Latn-RS"/>
              </w:rPr>
            </w:pPr>
            <w:r w:rsidRPr="00416BF6">
              <w:rPr>
                <w:sz w:val="20"/>
                <w:szCs w:val="20"/>
              </w:rPr>
              <w:t>100.0%</w:t>
            </w:r>
          </w:p>
        </w:tc>
      </w:tr>
      <w:tr w:rsidR="00416BF6" w:rsidRPr="00416BF6" w14:paraId="4BCA9971" w14:textId="77777777" w:rsidTr="005A6B91">
        <w:trPr>
          <w:cantSplit/>
        </w:trPr>
        <w:tc>
          <w:tcPr>
            <w:tcW w:w="1734" w:type="pct"/>
            <w:tcBorders>
              <w:bottom w:val="single" w:sz="4" w:space="0" w:color="auto"/>
            </w:tcBorders>
            <w:shd w:val="clear" w:color="auto" w:fill="auto"/>
          </w:tcPr>
          <w:p w14:paraId="48555558" w14:textId="78FF08A0" w:rsidR="00416BF6" w:rsidRPr="00416BF6" w:rsidRDefault="00416BF6" w:rsidP="00416BF6">
            <w:pPr>
              <w:spacing w:before="0" w:after="0"/>
              <w:ind w:left="57" w:right="57"/>
              <w:rPr>
                <w:rFonts w:cs="Arial"/>
                <w:sz w:val="20"/>
                <w:szCs w:val="20"/>
                <w:lang w:val="sr-Latn-RS"/>
              </w:rPr>
            </w:pPr>
            <w:r w:rsidRPr="00416BF6">
              <w:rPr>
                <w:sz w:val="20"/>
                <w:szCs w:val="20"/>
              </w:rPr>
              <w:t>N_Kurt_IS</w:t>
            </w:r>
          </w:p>
        </w:tc>
        <w:tc>
          <w:tcPr>
            <w:tcW w:w="1402" w:type="pct"/>
            <w:tcBorders>
              <w:bottom w:val="single" w:sz="4" w:space="0" w:color="auto"/>
            </w:tcBorders>
            <w:shd w:val="clear" w:color="auto" w:fill="auto"/>
          </w:tcPr>
          <w:p w14:paraId="0CB7FA8C" w14:textId="6AFADC68" w:rsidR="00416BF6" w:rsidRPr="00416BF6" w:rsidRDefault="00416BF6" w:rsidP="00416BF6">
            <w:pPr>
              <w:spacing w:before="0" w:after="0"/>
              <w:ind w:left="57" w:right="57"/>
              <w:jc w:val="right"/>
              <w:rPr>
                <w:rFonts w:cs="Arial"/>
                <w:sz w:val="20"/>
                <w:szCs w:val="20"/>
                <w:lang w:val="sr-Latn-RS"/>
              </w:rPr>
            </w:pPr>
            <w:r w:rsidRPr="00416BF6">
              <w:rPr>
                <w:sz w:val="20"/>
                <w:szCs w:val="20"/>
              </w:rPr>
              <w:t>0.126</w:t>
            </w:r>
          </w:p>
        </w:tc>
        <w:tc>
          <w:tcPr>
            <w:tcW w:w="1864" w:type="pct"/>
            <w:tcBorders>
              <w:bottom w:val="single" w:sz="4" w:space="0" w:color="auto"/>
            </w:tcBorders>
            <w:shd w:val="clear" w:color="auto" w:fill="auto"/>
          </w:tcPr>
          <w:p w14:paraId="09137DB7" w14:textId="34E66C68" w:rsidR="00416BF6" w:rsidRPr="00416BF6" w:rsidRDefault="00416BF6" w:rsidP="00416BF6">
            <w:pPr>
              <w:spacing w:before="0" w:after="0"/>
              <w:ind w:left="57" w:right="57"/>
              <w:jc w:val="right"/>
              <w:rPr>
                <w:rFonts w:cs="Arial"/>
                <w:sz w:val="20"/>
                <w:szCs w:val="20"/>
                <w:lang w:val="sr-Latn-RS"/>
              </w:rPr>
            </w:pPr>
            <w:r w:rsidRPr="00416BF6">
              <w:rPr>
                <w:sz w:val="20"/>
                <w:szCs w:val="20"/>
              </w:rPr>
              <w:t>71.2%</w:t>
            </w:r>
          </w:p>
        </w:tc>
      </w:tr>
    </w:tbl>
    <w:p w14:paraId="264D8724" w14:textId="4D15E516" w:rsidR="00E950AD" w:rsidRPr="00793737" w:rsidRDefault="00E950AD" w:rsidP="00E950AD">
      <w:pPr>
        <w:pStyle w:val="Caption"/>
        <w:jc w:val="both"/>
        <w:rPr>
          <w:lang w:val="sr-Latn-RS"/>
        </w:rPr>
      </w:pPr>
      <w:bookmarkStart w:id="747" w:name="_Ref100131918"/>
      <w:bookmarkStart w:id="748" w:name="_Toc101274519"/>
      <w:r>
        <w:t xml:space="preserve">Table </w:t>
      </w:r>
      <w:fldSimple w:instr=" SEQ Table \* ARABIC ">
        <w:r w:rsidR="00587AF0">
          <w:rPr>
            <w:noProof/>
          </w:rPr>
          <w:t>79</w:t>
        </w:r>
      </w:fldSimple>
      <w:bookmarkEnd w:id="747"/>
      <w:r>
        <w:t xml:space="preserve">. </w:t>
      </w:r>
      <w:r w:rsidR="00246255" w:rsidRPr="00246255">
        <w:t xml:space="preserve">ANN </w:t>
      </w:r>
      <w:r w:rsidR="00246255">
        <w:t>v</w:t>
      </w:r>
      <w:r>
        <w:t xml:space="preserve">ariance importance at </w:t>
      </w:r>
      <w:r w:rsidR="00246255">
        <w:t xml:space="preserve">closing </w:t>
      </w:r>
      <w:r>
        <w:t>saddle position</w:t>
      </w:r>
      <w:bookmarkEnd w:id="748"/>
    </w:p>
    <w:tbl>
      <w:tblPr>
        <w:tblW w:w="5000" w:type="pct"/>
        <w:tblCellMar>
          <w:left w:w="0" w:type="dxa"/>
          <w:right w:w="0" w:type="dxa"/>
        </w:tblCellMar>
        <w:tblLook w:val="0000" w:firstRow="0" w:lastRow="0" w:firstColumn="0" w:lastColumn="0" w:noHBand="0" w:noVBand="0"/>
      </w:tblPr>
      <w:tblGrid>
        <w:gridCol w:w="3131"/>
        <w:gridCol w:w="2531"/>
        <w:gridCol w:w="3365"/>
      </w:tblGrid>
      <w:tr w:rsidR="00E950AD" w:rsidRPr="00B364A4" w14:paraId="436A7D06" w14:textId="77777777" w:rsidTr="006325D1">
        <w:trPr>
          <w:cantSplit/>
        </w:trPr>
        <w:tc>
          <w:tcPr>
            <w:tcW w:w="1734" w:type="pct"/>
            <w:tcBorders>
              <w:top w:val="single" w:sz="4" w:space="0" w:color="auto"/>
              <w:bottom w:val="single" w:sz="4" w:space="0" w:color="auto"/>
            </w:tcBorders>
            <w:shd w:val="clear" w:color="auto" w:fill="auto"/>
            <w:vAlign w:val="bottom"/>
          </w:tcPr>
          <w:p w14:paraId="0746352A" w14:textId="77777777" w:rsidR="00E950AD" w:rsidRPr="00B364A4" w:rsidRDefault="00E950AD" w:rsidP="006325D1">
            <w:pPr>
              <w:spacing w:before="0" w:after="0"/>
              <w:ind w:left="57" w:right="57"/>
              <w:rPr>
                <w:rFonts w:cs="Times New Roman"/>
                <w:b/>
                <w:bCs/>
                <w:sz w:val="20"/>
                <w:szCs w:val="20"/>
                <w:lang w:val="sr-Latn-RS"/>
              </w:rPr>
            </w:pPr>
            <w:r w:rsidRPr="00B364A4">
              <w:rPr>
                <w:rFonts w:cs="Times New Roman"/>
                <w:b/>
                <w:bCs/>
                <w:sz w:val="20"/>
                <w:szCs w:val="20"/>
                <w:lang w:val="sr-Latn-RS"/>
              </w:rPr>
              <w:t>Variable</w:t>
            </w:r>
          </w:p>
        </w:tc>
        <w:tc>
          <w:tcPr>
            <w:tcW w:w="1402" w:type="pct"/>
            <w:tcBorders>
              <w:top w:val="single" w:sz="4" w:space="0" w:color="auto"/>
              <w:bottom w:val="single" w:sz="4" w:space="0" w:color="auto"/>
            </w:tcBorders>
            <w:shd w:val="clear" w:color="auto" w:fill="auto"/>
            <w:vAlign w:val="bottom"/>
          </w:tcPr>
          <w:p w14:paraId="2B7251DE" w14:textId="77777777" w:rsidR="00E950AD" w:rsidRPr="00B364A4" w:rsidRDefault="00E950AD" w:rsidP="006325D1">
            <w:pPr>
              <w:spacing w:before="0" w:after="0"/>
              <w:ind w:left="57" w:right="57"/>
              <w:jc w:val="center"/>
              <w:rPr>
                <w:b/>
                <w:bCs/>
                <w:sz w:val="20"/>
                <w:szCs w:val="20"/>
                <w:lang w:val="sr-Latn-RS"/>
              </w:rPr>
            </w:pPr>
            <w:r w:rsidRPr="00B364A4">
              <w:rPr>
                <w:b/>
                <w:bCs/>
                <w:sz w:val="20"/>
                <w:szCs w:val="20"/>
                <w:lang w:val="sr-Latn-RS"/>
              </w:rPr>
              <w:t>Importance</w:t>
            </w:r>
          </w:p>
        </w:tc>
        <w:tc>
          <w:tcPr>
            <w:tcW w:w="1864" w:type="pct"/>
            <w:tcBorders>
              <w:top w:val="single" w:sz="4" w:space="0" w:color="auto"/>
              <w:bottom w:val="single" w:sz="4" w:space="0" w:color="auto"/>
            </w:tcBorders>
            <w:shd w:val="clear" w:color="auto" w:fill="auto"/>
            <w:vAlign w:val="bottom"/>
          </w:tcPr>
          <w:p w14:paraId="5BBB81AC" w14:textId="77777777" w:rsidR="00E950AD" w:rsidRPr="00B364A4" w:rsidRDefault="00E950AD" w:rsidP="006325D1">
            <w:pPr>
              <w:spacing w:before="0" w:after="0"/>
              <w:ind w:left="57" w:right="57"/>
              <w:jc w:val="center"/>
              <w:rPr>
                <w:b/>
                <w:bCs/>
                <w:sz w:val="20"/>
                <w:szCs w:val="20"/>
                <w:lang w:val="sr-Latn-RS"/>
              </w:rPr>
            </w:pPr>
            <w:r w:rsidRPr="00B364A4">
              <w:rPr>
                <w:b/>
                <w:bCs/>
                <w:sz w:val="20"/>
                <w:szCs w:val="20"/>
                <w:lang w:val="sr-Latn-RS"/>
              </w:rPr>
              <w:t>Normalized Importance</w:t>
            </w:r>
          </w:p>
        </w:tc>
      </w:tr>
      <w:tr w:rsidR="0037497A" w:rsidRPr="00B364A4" w14:paraId="040DA6FD" w14:textId="77777777" w:rsidTr="006325D1">
        <w:trPr>
          <w:cantSplit/>
        </w:trPr>
        <w:tc>
          <w:tcPr>
            <w:tcW w:w="1734" w:type="pct"/>
            <w:shd w:val="clear" w:color="auto" w:fill="auto"/>
          </w:tcPr>
          <w:p w14:paraId="674B2B57" w14:textId="761C49A7" w:rsidR="0037497A" w:rsidRPr="00B364A4" w:rsidRDefault="0037497A" w:rsidP="0037497A">
            <w:pPr>
              <w:spacing w:before="0" w:after="0"/>
              <w:ind w:left="57" w:right="57"/>
              <w:rPr>
                <w:sz w:val="20"/>
                <w:szCs w:val="20"/>
                <w:lang w:val="sr-Latn-RS"/>
              </w:rPr>
            </w:pPr>
            <w:r w:rsidRPr="00B364A4">
              <w:rPr>
                <w:sz w:val="20"/>
                <w:szCs w:val="20"/>
              </w:rPr>
              <w:t>N_Stdev_CS</w:t>
            </w:r>
          </w:p>
        </w:tc>
        <w:tc>
          <w:tcPr>
            <w:tcW w:w="1402" w:type="pct"/>
            <w:shd w:val="clear" w:color="auto" w:fill="auto"/>
          </w:tcPr>
          <w:p w14:paraId="49CA927B" w14:textId="2F4DBA98" w:rsidR="0037497A" w:rsidRPr="00B364A4" w:rsidRDefault="0037497A" w:rsidP="0037497A">
            <w:pPr>
              <w:spacing w:before="0" w:after="0"/>
              <w:ind w:left="57" w:right="57"/>
              <w:jc w:val="right"/>
              <w:rPr>
                <w:sz w:val="20"/>
                <w:szCs w:val="20"/>
                <w:lang w:val="sr-Latn-RS"/>
              </w:rPr>
            </w:pPr>
            <w:r w:rsidRPr="00B364A4">
              <w:rPr>
                <w:sz w:val="20"/>
                <w:szCs w:val="20"/>
              </w:rPr>
              <w:t>0.162</w:t>
            </w:r>
          </w:p>
        </w:tc>
        <w:tc>
          <w:tcPr>
            <w:tcW w:w="1864" w:type="pct"/>
            <w:shd w:val="clear" w:color="auto" w:fill="auto"/>
          </w:tcPr>
          <w:p w14:paraId="7B624568" w14:textId="0B4E4E7F" w:rsidR="0037497A" w:rsidRPr="00B364A4" w:rsidRDefault="0037497A" w:rsidP="0037497A">
            <w:pPr>
              <w:spacing w:before="0" w:after="0"/>
              <w:ind w:left="57" w:right="57"/>
              <w:jc w:val="right"/>
              <w:rPr>
                <w:sz w:val="20"/>
                <w:szCs w:val="20"/>
                <w:lang w:val="sr-Latn-RS"/>
              </w:rPr>
            </w:pPr>
            <w:r w:rsidRPr="00B364A4">
              <w:rPr>
                <w:sz w:val="20"/>
                <w:szCs w:val="20"/>
              </w:rPr>
              <w:t>81.0%</w:t>
            </w:r>
          </w:p>
        </w:tc>
      </w:tr>
      <w:tr w:rsidR="0037497A" w:rsidRPr="00B364A4" w14:paraId="6E7556A2" w14:textId="77777777" w:rsidTr="006325D1">
        <w:trPr>
          <w:cantSplit/>
        </w:trPr>
        <w:tc>
          <w:tcPr>
            <w:tcW w:w="1734" w:type="pct"/>
            <w:shd w:val="clear" w:color="auto" w:fill="auto"/>
          </w:tcPr>
          <w:p w14:paraId="1ACBE34C" w14:textId="10C8BFD1" w:rsidR="0037497A" w:rsidRPr="00B364A4" w:rsidRDefault="0037497A" w:rsidP="0037497A">
            <w:pPr>
              <w:spacing w:before="0" w:after="0"/>
              <w:ind w:left="57" w:right="57"/>
              <w:rPr>
                <w:sz w:val="20"/>
                <w:szCs w:val="20"/>
                <w:lang w:val="sr-Latn-RS"/>
              </w:rPr>
            </w:pPr>
            <w:r w:rsidRPr="00B364A4">
              <w:rPr>
                <w:sz w:val="20"/>
                <w:szCs w:val="20"/>
              </w:rPr>
              <w:t>N_Mean_CS</w:t>
            </w:r>
          </w:p>
        </w:tc>
        <w:tc>
          <w:tcPr>
            <w:tcW w:w="1402" w:type="pct"/>
            <w:shd w:val="clear" w:color="auto" w:fill="auto"/>
          </w:tcPr>
          <w:p w14:paraId="1ADB949B" w14:textId="696D0713" w:rsidR="0037497A" w:rsidRPr="00B364A4" w:rsidRDefault="0037497A" w:rsidP="0037497A">
            <w:pPr>
              <w:spacing w:before="0" w:after="0"/>
              <w:ind w:left="57" w:right="57"/>
              <w:jc w:val="right"/>
              <w:rPr>
                <w:sz w:val="20"/>
                <w:szCs w:val="20"/>
                <w:lang w:val="sr-Latn-RS"/>
              </w:rPr>
            </w:pPr>
            <w:r w:rsidRPr="00B364A4">
              <w:rPr>
                <w:sz w:val="20"/>
                <w:szCs w:val="20"/>
              </w:rPr>
              <w:t>0.200</w:t>
            </w:r>
          </w:p>
        </w:tc>
        <w:tc>
          <w:tcPr>
            <w:tcW w:w="1864" w:type="pct"/>
            <w:shd w:val="clear" w:color="auto" w:fill="auto"/>
          </w:tcPr>
          <w:p w14:paraId="74E0C869" w14:textId="464A2E67" w:rsidR="0037497A" w:rsidRPr="00B364A4" w:rsidRDefault="0037497A" w:rsidP="0037497A">
            <w:pPr>
              <w:spacing w:before="0" w:after="0"/>
              <w:ind w:left="57" w:right="57"/>
              <w:jc w:val="right"/>
              <w:rPr>
                <w:sz w:val="20"/>
                <w:szCs w:val="20"/>
                <w:lang w:val="sr-Latn-RS"/>
              </w:rPr>
            </w:pPr>
            <w:r w:rsidRPr="00B364A4">
              <w:rPr>
                <w:sz w:val="20"/>
                <w:szCs w:val="20"/>
              </w:rPr>
              <w:t>100.0%</w:t>
            </w:r>
          </w:p>
        </w:tc>
      </w:tr>
      <w:tr w:rsidR="0037497A" w:rsidRPr="00B364A4" w14:paraId="4A777FB9" w14:textId="77777777" w:rsidTr="0037497A">
        <w:trPr>
          <w:cantSplit/>
        </w:trPr>
        <w:tc>
          <w:tcPr>
            <w:tcW w:w="1734" w:type="pct"/>
            <w:shd w:val="clear" w:color="auto" w:fill="auto"/>
          </w:tcPr>
          <w:p w14:paraId="268973AC" w14:textId="6F054606" w:rsidR="0037497A" w:rsidRPr="00B364A4" w:rsidRDefault="0037497A" w:rsidP="0037497A">
            <w:pPr>
              <w:spacing w:before="0" w:after="0"/>
              <w:ind w:left="57" w:right="57"/>
              <w:rPr>
                <w:sz w:val="20"/>
                <w:szCs w:val="20"/>
                <w:lang w:val="sr-Latn-RS"/>
              </w:rPr>
            </w:pPr>
            <w:r w:rsidRPr="00B364A4">
              <w:rPr>
                <w:sz w:val="20"/>
                <w:szCs w:val="20"/>
              </w:rPr>
              <w:t>N_RMS_CS</w:t>
            </w:r>
          </w:p>
        </w:tc>
        <w:tc>
          <w:tcPr>
            <w:tcW w:w="1402" w:type="pct"/>
            <w:shd w:val="clear" w:color="auto" w:fill="auto"/>
          </w:tcPr>
          <w:p w14:paraId="022759D7" w14:textId="465AE52A" w:rsidR="0037497A" w:rsidRPr="00B364A4" w:rsidRDefault="0037497A" w:rsidP="0037497A">
            <w:pPr>
              <w:spacing w:before="0" w:after="0"/>
              <w:ind w:left="57" w:right="57"/>
              <w:jc w:val="right"/>
              <w:rPr>
                <w:sz w:val="20"/>
                <w:szCs w:val="20"/>
                <w:lang w:val="sr-Latn-RS"/>
              </w:rPr>
            </w:pPr>
            <w:r w:rsidRPr="00B364A4">
              <w:rPr>
                <w:sz w:val="20"/>
                <w:szCs w:val="20"/>
              </w:rPr>
              <w:t>0.127</w:t>
            </w:r>
          </w:p>
        </w:tc>
        <w:tc>
          <w:tcPr>
            <w:tcW w:w="1864" w:type="pct"/>
            <w:shd w:val="clear" w:color="auto" w:fill="auto"/>
          </w:tcPr>
          <w:p w14:paraId="3AAE441A" w14:textId="799EC985" w:rsidR="0037497A" w:rsidRPr="00B364A4" w:rsidRDefault="0037497A" w:rsidP="0037497A">
            <w:pPr>
              <w:spacing w:before="0" w:after="0"/>
              <w:ind w:left="57" w:right="57"/>
              <w:jc w:val="right"/>
              <w:rPr>
                <w:sz w:val="20"/>
                <w:szCs w:val="20"/>
                <w:lang w:val="sr-Latn-RS"/>
              </w:rPr>
            </w:pPr>
            <w:r w:rsidRPr="00B364A4">
              <w:rPr>
                <w:sz w:val="20"/>
                <w:szCs w:val="20"/>
              </w:rPr>
              <w:t>63.6%</w:t>
            </w:r>
          </w:p>
        </w:tc>
      </w:tr>
      <w:tr w:rsidR="0037497A" w:rsidRPr="00B364A4" w14:paraId="4542590C" w14:textId="77777777" w:rsidTr="0037497A">
        <w:trPr>
          <w:cantSplit/>
        </w:trPr>
        <w:tc>
          <w:tcPr>
            <w:tcW w:w="1734" w:type="pct"/>
            <w:tcBorders>
              <w:bottom w:val="single" w:sz="4" w:space="0" w:color="auto"/>
            </w:tcBorders>
            <w:shd w:val="clear" w:color="auto" w:fill="auto"/>
          </w:tcPr>
          <w:p w14:paraId="2E21CA59" w14:textId="501BB7CF" w:rsidR="0037497A" w:rsidRPr="00B364A4" w:rsidRDefault="0037497A" w:rsidP="0037497A">
            <w:pPr>
              <w:spacing w:before="0" w:after="0"/>
              <w:ind w:left="57" w:right="57"/>
              <w:rPr>
                <w:sz w:val="20"/>
                <w:szCs w:val="20"/>
                <w:lang w:val="sr-Latn-RS"/>
              </w:rPr>
            </w:pPr>
            <w:r w:rsidRPr="00B364A4">
              <w:rPr>
                <w:sz w:val="20"/>
                <w:szCs w:val="20"/>
              </w:rPr>
              <w:t>N_Min_CS</w:t>
            </w:r>
          </w:p>
        </w:tc>
        <w:tc>
          <w:tcPr>
            <w:tcW w:w="1402" w:type="pct"/>
            <w:tcBorders>
              <w:bottom w:val="single" w:sz="4" w:space="0" w:color="auto"/>
            </w:tcBorders>
            <w:shd w:val="clear" w:color="auto" w:fill="auto"/>
          </w:tcPr>
          <w:p w14:paraId="615C952B" w14:textId="526760EE" w:rsidR="0037497A" w:rsidRPr="00B364A4" w:rsidRDefault="0037497A" w:rsidP="0037497A">
            <w:pPr>
              <w:spacing w:before="0" w:after="0"/>
              <w:ind w:left="57" w:right="57"/>
              <w:jc w:val="right"/>
              <w:rPr>
                <w:sz w:val="20"/>
                <w:szCs w:val="20"/>
                <w:lang w:val="sr-Latn-RS"/>
              </w:rPr>
            </w:pPr>
            <w:r w:rsidRPr="00B364A4">
              <w:rPr>
                <w:sz w:val="20"/>
                <w:szCs w:val="20"/>
              </w:rPr>
              <w:t>0.186</w:t>
            </w:r>
          </w:p>
        </w:tc>
        <w:tc>
          <w:tcPr>
            <w:tcW w:w="1864" w:type="pct"/>
            <w:tcBorders>
              <w:bottom w:val="single" w:sz="4" w:space="0" w:color="auto"/>
            </w:tcBorders>
            <w:shd w:val="clear" w:color="auto" w:fill="auto"/>
          </w:tcPr>
          <w:p w14:paraId="37D36E7C" w14:textId="62FE7768" w:rsidR="0037497A" w:rsidRPr="00B364A4" w:rsidRDefault="0037497A" w:rsidP="0037497A">
            <w:pPr>
              <w:spacing w:before="0" w:after="0"/>
              <w:ind w:left="57" w:right="57"/>
              <w:jc w:val="right"/>
              <w:rPr>
                <w:sz w:val="20"/>
                <w:szCs w:val="20"/>
                <w:lang w:val="sr-Latn-RS"/>
              </w:rPr>
            </w:pPr>
            <w:r w:rsidRPr="00B364A4">
              <w:rPr>
                <w:sz w:val="20"/>
                <w:szCs w:val="20"/>
              </w:rPr>
              <w:t>93.1%</w:t>
            </w:r>
          </w:p>
        </w:tc>
      </w:tr>
    </w:tbl>
    <w:p w14:paraId="10D7A675" w14:textId="12F3D29E" w:rsidR="00405030" w:rsidRDefault="00B35134" w:rsidP="006F15CC">
      <w:r>
        <w:t>Since the main idea is not to use failures as time-to-an-event or time-between-failures as binary variables [0 = normal, 1 = fault] but rather a quasi-fault degradation estimat</w:t>
      </w:r>
      <w:r w:rsidR="00D23749">
        <w:t xml:space="preserve">ion, the same principle will be used under the assumption of quasi-fault states on a same manner [0 = None; 1 = Quasi-fault]. Therefore, on the same principle as estimating </w:t>
      </w:r>
      <w:r w:rsidR="00E81DF8">
        <w:t>event failures</w:t>
      </w:r>
      <w:r w:rsidR="00C80E12">
        <w:t>,</w:t>
      </w:r>
      <w:r w:rsidR="00E81DF8">
        <w:t xml:space="preserve"> the quasi-faults can be considered “left and right</w:t>
      </w:r>
      <w:r w:rsidR="00C80E12">
        <w:t>-</w:t>
      </w:r>
      <w:r w:rsidR="00E81DF8">
        <w:t xml:space="preserve">censored” </w:t>
      </w:r>
      <w:r w:rsidR="00F1362E">
        <w:t>events (</w:t>
      </w:r>
      <w:r w:rsidR="00E81DF8">
        <w:t>failures</w:t>
      </w:r>
      <w:r w:rsidR="00F1362E">
        <w:t>)</w:t>
      </w:r>
      <w:r w:rsidR="00E81DF8">
        <w:t>.</w:t>
      </w:r>
      <w:r w:rsidR="00D77189">
        <w:t xml:space="preserve"> Depic</w:t>
      </w:r>
      <w:r w:rsidR="00E27320">
        <w:t xml:space="preserve">ted </w:t>
      </w:r>
      <w:r w:rsidR="007645D6">
        <w:t>in</w:t>
      </w:r>
      <w:r w:rsidR="00D77189">
        <w:t xml:space="preserve"> </w:t>
      </w:r>
      <w:r w:rsidR="000B5038">
        <w:fldChar w:fldCharType="begin"/>
      </w:r>
      <w:r w:rsidR="000B5038">
        <w:instrText xml:space="preserve"> REF _Ref100136389 \h </w:instrText>
      </w:r>
      <w:r w:rsidR="000B5038">
        <w:fldChar w:fldCharType="separate"/>
      </w:r>
      <w:r w:rsidR="00587AF0">
        <w:t xml:space="preserve">Figure </w:t>
      </w:r>
      <w:r w:rsidR="00587AF0">
        <w:rPr>
          <w:noProof/>
        </w:rPr>
        <w:t>124</w:t>
      </w:r>
      <w:r w:rsidR="000B5038">
        <w:fldChar w:fldCharType="end"/>
      </w:r>
      <w:r w:rsidR="00907E59">
        <w:t xml:space="preserve"> (left)</w:t>
      </w:r>
      <w:r w:rsidR="00C80E12">
        <w:t xml:space="preserve">, </w:t>
      </w:r>
      <w:r w:rsidR="007645D6">
        <w:t>the results show that the first cycle showed a quasi-fault “event” at the start of the experiment</w:t>
      </w:r>
      <w:r w:rsidR="0049557C">
        <w:t xml:space="preserve">, although with </w:t>
      </w:r>
      <w:r w:rsidR="00C80E12">
        <w:t xml:space="preserve">a </w:t>
      </w:r>
      <w:r w:rsidR="0049557C">
        <w:t xml:space="preserve">stable process later on. Following the principle of </w:t>
      </w:r>
      <w:r w:rsidR="00351E6F">
        <w:t xml:space="preserve">functional-productiveness, the boundaries </w:t>
      </w:r>
      <w:r w:rsidR="007779FF">
        <w:t>set different</w:t>
      </w:r>
      <w:r w:rsidR="00351E6F">
        <w:t xml:space="preserve"> threshold</w:t>
      </w:r>
      <w:r w:rsidR="00C80E12">
        <w:t>s</w:t>
      </w:r>
      <w:r w:rsidR="00351E6F">
        <w:t xml:space="preserve"> </w:t>
      </w:r>
      <w:r w:rsidR="007779FF">
        <w:t>later in the experiment</w:t>
      </w:r>
      <w:r w:rsidR="00351E6F">
        <w:t xml:space="preserve"> (</w:t>
      </w:r>
      <w:r w:rsidR="00C80E12">
        <w:fldChar w:fldCharType="begin"/>
      </w:r>
      <w:r w:rsidR="00C80E12">
        <w:instrText xml:space="preserve"> REF _Ref100137792 \h </w:instrText>
      </w:r>
      <w:r w:rsidR="00C80E12">
        <w:fldChar w:fldCharType="separate"/>
      </w:r>
      <w:r w:rsidR="00587AF0">
        <w:t xml:space="preserve">Figure </w:t>
      </w:r>
      <w:r w:rsidR="00587AF0">
        <w:rPr>
          <w:noProof/>
        </w:rPr>
        <w:t>127</w:t>
      </w:r>
      <w:r w:rsidR="00C80E12">
        <w:fldChar w:fldCharType="end"/>
      </w:r>
      <w:r w:rsidR="00907E59">
        <w:t>right</w:t>
      </w:r>
      <w:r w:rsidR="00351E6F">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0"/>
        <w:gridCol w:w="4397"/>
      </w:tblGrid>
      <w:tr w:rsidR="00907E59" w14:paraId="0D47CF26" w14:textId="77777777" w:rsidTr="00907E59">
        <w:tc>
          <w:tcPr>
            <w:tcW w:w="4508" w:type="dxa"/>
          </w:tcPr>
          <w:p w14:paraId="6EF7FCC7" w14:textId="02A3183B" w:rsidR="00907E59" w:rsidRDefault="00907E59" w:rsidP="006F15CC">
            <w:r>
              <w:rPr>
                <w:noProof/>
              </w:rPr>
              <w:drawing>
                <wp:inline distT="0" distB="0" distL="0" distR="0" wp14:anchorId="45E55305" wp14:editId="5728BC7D">
                  <wp:extent cx="2860040" cy="2649931"/>
                  <wp:effectExtent l="0" t="0" r="0" b="0"/>
                  <wp:docPr id="125" name="Chart 125">
                    <a:extLst xmlns:a="http://schemas.openxmlformats.org/drawingml/2006/main">
                      <a:ext uri="{FF2B5EF4-FFF2-40B4-BE49-F238E27FC236}">
                        <a16:creationId xmlns:a16="http://schemas.microsoft.com/office/drawing/2014/main" id="{59C10887-E704-408F-B4F4-ABEE151C28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tc>
        <w:tc>
          <w:tcPr>
            <w:tcW w:w="4509" w:type="dxa"/>
          </w:tcPr>
          <w:p w14:paraId="3AA955A8" w14:textId="33B304FE" w:rsidR="00907E59" w:rsidRDefault="00907E59" w:rsidP="006F15CC">
            <w:r>
              <w:rPr>
                <w:noProof/>
              </w:rPr>
              <w:drawing>
                <wp:inline distT="0" distB="0" distL="0" distR="0" wp14:anchorId="75D353C5" wp14:editId="4B55386F">
                  <wp:extent cx="2709113" cy="2567940"/>
                  <wp:effectExtent l="0" t="0" r="0" b="3810"/>
                  <wp:docPr id="127" name="Chart 127">
                    <a:extLst xmlns:a="http://schemas.openxmlformats.org/drawingml/2006/main">
                      <a:ext uri="{FF2B5EF4-FFF2-40B4-BE49-F238E27FC236}">
                        <a16:creationId xmlns:a16="http://schemas.microsoft.com/office/drawing/2014/main" id="{49AD64C8-121F-4A61-9217-C7D83DDAFE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tc>
      </w:tr>
    </w:tbl>
    <w:p w14:paraId="7D23BC76" w14:textId="0DF8D3C0" w:rsidR="00255672" w:rsidRDefault="00255672" w:rsidP="00255672">
      <w:pPr>
        <w:pStyle w:val="Caption"/>
      </w:pPr>
      <w:bookmarkStart w:id="749" w:name="_Ref100136389"/>
      <w:bookmarkStart w:id="750" w:name="_Toc101274646"/>
      <w:r>
        <w:t xml:space="preserve">Figure </w:t>
      </w:r>
      <w:fldSimple w:instr=" SEQ Figure \* ARABIC ">
        <w:r w:rsidR="00587AF0">
          <w:rPr>
            <w:noProof/>
          </w:rPr>
          <w:t>124</w:t>
        </w:r>
      </w:fldSimple>
      <w:bookmarkEnd w:id="749"/>
      <w:r>
        <w:t>. N_</w:t>
      </w:r>
      <w:r w:rsidR="00BA015A">
        <w:t>StDev</w:t>
      </w:r>
      <w:r>
        <w:t>_OS at the first 20 cycles (start of the experiment)</w:t>
      </w:r>
      <w:bookmarkEnd w:id="750"/>
    </w:p>
    <w:p w14:paraId="2A4AADFF" w14:textId="77777777" w:rsidR="00A63EF9" w:rsidRDefault="00A63EF9">
      <w:pPr>
        <w:spacing w:before="0" w:after="160" w:line="259" w:lineRule="auto"/>
        <w:jc w:val="left"/>
        <w:rPr>
          <w:rFonts w:eastAsiaTheme="majorEastAsia" w:cstheme="majorBidi"/>
          <w:smallCaps/>
          <w:szCs w:val="24"/>
          <w:lang w:val="sr-Latn-RS"/>
        </w:rPr>
      </w:pPr>
      <w:r>
        <w:rPr>
          <w:lang w:val="sr-Latn-RS"/>
        </w:rPr>
        <w:br w:type="page"/>
      </w:r>
    </w:p>
    <w:p w14:paraId="3290E3E4" w14:textId="66D591E3" w:rsidR="00CC4985" w:rsidRDefault="00CC4985" w:rsidP="00911A60">
      <w:pPr>
        <w:pStyle w:val="Heading2"/>
        <w:rPr>
          <w:lang w:val="sr-Latn-RS"/>
        </w:rPr>
      </w:pPr>
      <w:bookmarkStart w:id="751" w:name="_Toc101274420"/>
      <w:r>
        <w:rPr>
          <w:lang w:val="sr-Latn-RS"/>
        </w:rPr>
        <w:lastRenderedPageBreak/>
        <w:t>Trend and correlation test analysis</w:t>
      </w:r>
      <w:bookmarkEnd w:id="751"/>
    </w:p>
    <w:p w14:paraId="54DCB822" w14:textId="30D9BC65" w:rsidR="00CC4985" w:rsidRDefault="00073E94" w:rsidP="006F15CC">
      <w:r>
        <w:t>Before starting the reliability analysis, the assumption of IID needs to be valid. Hence,</w:t>
      </w:r>
      <w:r w:rsidR="002C7D21">
        <w:t xml:space="preserve"> this will be accomplished by utilising </w:t>
      </w:r>
      <w:r w:rsidR="00C80E12">
        <w:t xml:space="preserve">the </w:t>
      </w:r>
      <w:r w:rsidR="002C7D21">
        <w:t>Mann-Whitn</w:t>
      </w:r>
      <w:r w:rsidR="00C80E12">
        <w:t>n</w:t>
      </w:r>
      <w:r w:rsidR="002C7D21">
        <w:t>ey-U test statistic using the equation:</w:t>
      </w:r>
    </w:p>
    <w:tbl>
      <w:tblPr>
        <w:tblW w:w="0" w:type="auto"/>
        <w:jc w:val="center"/>
        <w:tblLook w:val="04A0" w:firstRow="1" w:lastRow="0" w:firstColumn="1" w:lastColumn="0" w:noHBand="0" w:noVBand="1"/>
      </w:tblPr>
      <w:tblGrid>
        <w:gridCol w:w="8005"/>
        <w:gridCol w:w="1012"/>
      </w:tblGrid>
      <w:tr w:rsidR="002C7D21" w14:paraId="6946705F" w14:textId="77777777" w:rsidTr="006325D1">
        <w:trPr>
          <w:jc w:val="center"/>
        </w:trPr>
        <w:tc>
          <w:tcPr>
            <w:tcW w:w="8005" w:type="dxa"/>
            <w:vAlign w:val="center"/>
          </w:tcPr>
          <w:p w14:paraId="67D5B6F3" w14:textId="041AD416" w:rsidR="002C7D21" w:rsidRPr="0048121A" w:rsidRDefault="002C7D21" w:rsidP="006325D1">
            <w:pPr>
              <w:jc w:val="center"/>
              <w:rPr>
                <w:rFonts w:ascii="Cambria Math" w:hAnsi="Cambria Math" w:cs="Times New Roman"/>
                <w:i/>
                <w:lang w:val="en-GB"/>
              </w:rPr>
            </w:pPr>
            <m:oMathPara>
              <m:oMath>
                <m:r>
                  <w:rPr>
                    <w:rFonts w:ascii="Cambria Math" w:hAnsi="Cambria Math" w:cs="Times New Roman"/>
                    <w:lang w:val="en-GB"/>
                  </w:rPr>
                  <m:t>U=2</m:t>
                </m:r>
                <m:nary>
                  <m:naryPr>
                    <m:chr m:val="∑"/>
                    <m:limLoc m:val="undOvr"/>
                    <m:ctrlPr>
                      <w:rPr>
                        <w:rFonts w:ascii="Cambria Math" w:hAnsi="Cambria Math" w:cs="Times New Roman"/>
                        <w:i/>
                        <w:lang w:val="en-GB"/>
                      </w:rPr>
                    </m:ctrlPr>
                  </m:naryPr>
                  <m:sub>
                    <m:r>
                      <w:rPr>
                        <w:rFonts w:ascii="Cambria Math" w:hAnsi="Cambria Math" w:cs="Times New Roman"/>
                        <w:lang w:val="en-GB"/>
                      </w:rPr>
                      <m:t>i=1</m:t>
                    </m:r>
                  </m:sub>
                  <m:sup>
                    <m:r>
                      <w:rPr>
                        <w:rFonts w:ascii="Cambria Math" w:hAnsi="Cambria Math" w:cs="Times New Roman"/>
                        <w:lang w:val="en-GB"/>
                      </w:rPr>
                      <m:t>(n-1)</m:t>
                    </m:r>
                  </m:sup>
                  <m:e>
                    <m:r>
                      <w:rPr>
                        <w:rFonts w:ascii="Cambria Math" w:hAnsi="Cambria Math" w:cs="Times New Roman"/>
                        <w:lang w:val="en-GB"/>
                      </w:rPr>
                      <m:t>ln</m:t>
                    </m:r>
                  </m:e>
                </m:nary>
                <m:f>
                  <m:fPr>
                    <m:ctrlPr>
                      <w:rPr>
                        <w:rFonts w:ascii="Cambria Math" w:hAnsi="Cambria Math" w:cs="Times New Roman"/>
                        <w:i/>
                        <w:lang w:val="en-GB"/>
                      </w:rPr>
                    </m:ctrlPr>
                  </m:fPr>
                  <m:num>
                    <m:sSub>
                      <m:sSubPr>
                        <m:ctrlPr>
                          <w:rPr>
                            <w:rFonts w:ascii="Cambria Math" w:hAnsi="Cambria Math" w:cs="Times New Roman"/>
                            <w:i/>
                            <w:lang w:val="en-GB"/>
                          </w:rPr>
                        </m:ctrlPr>
                      </m:sSubPr>
                      <m:e>
                        <m:r>
                          <w:rPr>
                            <w:rFonts w:ascii="Cambria Math" w:hAnsi="Cambria Math" w:cs="Times New Roman"/>
                            <w:lang w:val="en-GB"/>
                          </w:rPr>
                          <m:t>T</m:t>
                        </m:r>
                      </m:e>
                      <m:sub>
                        <m:r>
                          <w:rPr>
                            <w:rFonts w:ascii="Cambria Math" w:hAnsi="Cambria Math" w:cs="Times New Roman"/>
                            <w:lang w:val="en-GB"/>
                          </w:rPr>
                          <m:t>i</m:t>
                        </m:r>
                      </m:sub>
                    </m:sSub>
                  </m:num>
                  <m:den>
                    <m:sSub>
                      <m:sSubPr>
                        <m:ctrlPr>
                          <w:rPr>
                            <w:rFonts w:ascii="Cambria Math" w:hAnsi="Cambria Math" w:cs="Times New Roman"/>
                            <w:i/>
                            <w:lang w:val="en-GB"/>
                          </w:rPr>
                        </m:ctrlPr>
                      </m:sSubPr>
                      <m:e>
                        <m:r>
                          <w:rPr>
                            <w:rFonts w:ascii="Cambria Math" w:hAnsi="Cambria Math" w:cs="Times New Roman"/>
                            <w:lang w:val="en-GB"/>
                          </w:rPr>
                          <m:t>T</m:t>
                        </m:r>
                      </m:e>
                      <m:sub>
                        <m:r>
                          <w:rPr>
                            <w:rFonts w:ascii="Cambria Math" w:hAnsi="Cambria Math" w:cs="Times New Roman"/>
                            <w:lang w:val="en-GB"/>
                          </w:rPr>
                          <m:t>i-h</m:t>
                        </m:r>
                      </m:sub>
                    </m:sSub>
                  </m:den>
                </m:f>
                <m:r>
                  <w:rPr>
                    <w:rFonts w:ascii="Cambria Math" w:hAnsi="Cambria Math" w:cs="Times New Roman"/>
                    <w:lang w:val="en-GB"/>
                  </w:rPr>
                  <m:t xml:space="preserve">  .</m:t>
                </m:r>
              </m:oMath>
            </m:oMathPara>
          </w:p>
        </w:tc>
        <w:tc>
          <w:tcPr>
            <w:tcW w:w="1012" w:type="dxa"/>
            <w:vAlign w:val="center"/>
          </w:tcPr>
          <w:p w14:paraId="0CD883D6" w14:textId="462AFEF3" w:rsidR="002C7D21" w:rsidRDefault="00043DEB" w:rsidP="006325D1">
            <w:pPr>
              <w:jc w:val="right"/>
              <w:rPr>
                <w:rFonts w:cs="Times New Roman"/>
                <w:lang w:val="en-GB"/>
              </w:rPr>
            </w:pPr>
            <w:r>
              <w:rPr>
                <w:szCs w:val="24"/>
              </w:rPr>
              <w:t>(</w:t>
            </w:r>
            <w:r w:rsidR="00427B33">
              <w:fldChar w:fldCharType="begin"/>
            </w:r>
            <w:r w:rsidR="00427B33">
              <w:instrText xml:space="preserve"> STYLEREF 1 \s </w:instrText>
            </w:r>
            <w:r w:rsidR="00427B33">
              <w:fldChar w:fldCharType="separate"/>
            </w:r>
            <w:r w:rsidR="00587AF0">
              <w:rPr>
                <w:noProof/>
              </w:rPr>
              <w:t>10</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11</w:t>
            </w:r>
            <w:r w:rsidR="00427B33">
              <w:rPr>
                <w:noProof/>
              </w:rPr>
              <w:fldChar w:fldCharType="end"/>
            </w:r>
            <w:r>
              <w:t>)</w:t>
            </w:r>
          </w:p>
        </w:tc>
      </w:tr>
    </w:tbl>
    <w:p w14:paraId="3D42D172" w14:textId="6B29777C" w:rsidR="002C7D21" w:rsidRDefault="002C7D21" w:rsidP="006F15CC">
      <w:r>
        <w:t>where</w:t>
      </w:r>
      <w:r w:rsidR="00E129B2">
        <w:t xml:space="preserve"> </w:t>
      </w:r>
      <w:r w:rsidR="00E129B2">
        <w:rPr>
          <w:i/>
          <w:iCs/>
        </w:rPr>
        <w:t>T</w:t>
      </w:r>
      <w:r w:rsidR="00E129B2">
        <w:rPr>
          <w:i/>
          <w:iCs/>
          <w:vertAlign w:val="subscript"/>
        </w:rPr>
        <w:t>i</w:t>
      </w:r>
      <w:r w:rsidR="00E129B2">
        <w:t xml:space="preserve"> is the failure time at </w:t>
      </w:r>
      <w:r w:rsidR="00E129B2">
        <w:rPr>
          <w:i/>
          <w:iCs/>
        </w:rPr>
        <w:t>i</w:t>
      </w:r>
      <w:r w:rsidR="00E129B2">
        <w:t xml:space="preserve"> = 1, 2</w:t>
      </w:r>
      <w:r w:rsidR="00E07823">
        <w:t xml:space="preserve"> </w:t>
      </w:r>
      <w:r w:rsidR="00E129B2">
        <w:t xml:space="preserve">…n, and index </w:t>
      </w:r>
      <w:r w:rsidR="00E129B2">
        <w:rPr>
          <w:i/>
          <w:iCs/>
        </w:rPr>
        <w:t>h</w:t>
      </w:r>
      <w:r w:rsidR="00E129B2">
        <w:t xml:space="preserve"> </w:t>
      </w:r>
      <w:r w:rsidR="00E07823">
        <w:t xml:space="preserve">is also given at </w:t>
      </w:r>
      <w:r w:rsidR="00E07823">
        <w:rPr>
          <w:i/>
          <w:iCs/>
        </w:rPr>
        <w:t xml:space="preserve">h </w:t>
      </w:r>
      <w:r w:rsidR="00E07823">
        <w:t xml:space="preserve">= 1, 2 … </w:t>
      </w:r>
      <w:r w:rsidR="00E07823">
        <w:rPr>
          <w:i/>
          <w:iCs/>
        </w:rPr>
        <w:t>n-1.</w:t>
      </w:r>
      <w:r w:rsidR="00E07823">
        <w:t xml:space="preserve"> </w:t>
      </w:r>
      <w:r w:rsidR="00A24062">
        <w:t xml:space="preserve">Using </w:t>
      </w:r>
      <w:r w:rsidR="00A24062">
        <w:rPr>
          <w:i/>
          <w:iCs/>
        </w:rPr>
        <w:t>U</w:t>
      </w:r>
      <w:r w:rsidR="00A24062" w:rsidRPr="00F379AD">
        <w:rPr>
          <w:i/>
          <w:iCs/>
        </w:rPr>
        <w:t xml:space="preserve"> </w:t>
      </w:r>
      <w:r w:rsidR="00A24062">
        <w:t>statistic</w:t>
      </w:r>
      <w:r w:rsidR="00C80E12">
        <w:t>,</w:t>
      </w:r>
      <w:r w:rsidR="00A24062">
        <w:t xml:space="preserve"> the goal is to determine the presence, in this case, of </w:t>
      </w:r>
      <w:r w:rsidR="00C80E12">
        <w:t xml:space="preserve">a </w:t>
      </w:r>
      <w:r w:rsidR="00A24062">
        <w:t>trend between compared variables, failure with lag 1, 2</w:t>
      </w:r>
      <w:r w:rsidR="00C80E12">
        <w:t>.</w:t>
      </w:r>
      <w:r w:rsidR="00A24062">
        <w:t>..n.</w:t>
      </w:r>
      <w:r w:rsidR="00811C41">
        <w:t xml:space="preserve"> The calculated value at </w:t>
      </w:r>
      <w:r w:rsidR="00C80E12">
        <w:t xml:space="preserve">the </w:t>
      </w:r>
      <w:r w:rsidR="00811C41">
        <w:t xml:space="preserve">first </w:t>
      </w:r>
      <w:r w:rsidR="00C80E12">
        <w:t>four</w:t>
      </w:r>
      <w:r w:rsidR="00811C41">
        <w:t xml:space="preserve"> lags is done with 5% (0.05) confidence intervals</w:t>
      </w:r>
      <w:r w:rsidR="00A07D86">
        <w:t xml:space="preserve">, and the results are given in </w:t>
      </w:r>
      <w:r w:rsidR="00C80E12">
        <w:t xml:space="preserve">the </w:t>
      </w:r>
      <w:r w:rsidR="00A07D86">
        <w:t>table:</w:t>
      </w:r>
    </w:p>
    <w:p w14:paraId="4EAFA9A4" w14:textId="58FB509C" w:rsidR="00D038DF" w:rsidRDefault="00D038DF" w:rsidP="00D038DF">
      <w:pPr>
        <w:pStyle w:val="Caption"/>
        <w:jc w:val="both"/>
      </w:pPr>
      <w:bookmarkStart w:id="752" w:name="_Toc101274520"/>
      <w:r>
        <w:t xml:space="preserve">Table </w:t>
      </w:r>
      <w:fldSimple w:instr=" SEQ Table \* ARABIC ">
        <w:r w:rsidR="00587AF0">
          <w:rPr>
            <w:noProof/>
          </w:rPr>
          <w:t>80</w:t>
        </w:r>
      </w:fldSimple>
      <w:r>
        <w:t xml:space="preserve">. Mann-Whittney </w:t>
      </w:r>
      <w:r w:rsidRPr="00B726DE">
        <w:rPr>
          <w:i/>
          <w:iCs w:val="0"/>
        </w:rPr>
        <w:t>U</w:t>
      </w:r>
      <w:r w:rsidR="00B726DE">
        <w:t>-</w:t>
      </w:r>
      <w:r>
        <w:t>test statistic results</w:t>
      </w:r>
      <w:bookmarkEnd w:id="75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9"/>
        <w:gridCol w:w="1511"/>
        <w:gridCol w:w="1000"/>
        <w:gridCol w:w="1650"/>
        <w:gridCol w:w="1540"/>
        <w:gridCol w:w="1767"/>
      </w:tblGrid>
      <w:tr w:rsidR="0058539C" w:rsidRPr="00A07D86" w14:paraId="605117D0" w14:textId="4CD602E7" w:rsidTr="00D456B9">
        <w:tc>
          <w:tcPr>
            <w:tcW w:w="1559" w:type="dxa"/>
            <w:tcBorders>
              <w:top w:val="single" w:sz="4" w:space="0" w:color="auto"/>
              <w:bottom w:val="single" w:sz="4" w:space="0" w:color="auto"/>
            </w:tcBorders>
            <w:vAlign w:val="center"/>
          </w:tcPr>
          <w:p w14:paraId="5717C9DA" w14:textId="1F181368" w:rsidR="0058539C" w:rsidRPr="00A07D86" w:rsidRDefault="0058539C" w:rsidP="00D038DF">
            <w:pPr>
              <w:spacing w:before="0" w:after="0"/>
              <w:jc w:val="center"/>
              <w:rPr>
                <w:b/>
                <w:bCs/>
                <w:sz w:val="20"/>
                <w:szCs w:val="18"/>
              </w:rPr>
            </w:pPr>
            <w:r>
              <w:rPr>
                <w:b/>
                <w:bCs/>
                <w:sz w:val="20"/>
                <w:szCs w:val="18"/>
              </w:rPr>
              <w:t xml:space="preserve">Variable </w:t>
            </w:r>
          </w:p>
        </w:tc>
        <w:tc>
          <w:tcPr>
            <w:tcW w:w="1511" w:type="dxa"/>
            <w:tcBorders>
              <w:top w:val="single" w:sz="4" w:space="0" w:color="auto"/>
              <w:bottom w:val="single" w:sz="4" w:space="0" w:color="auto"/>
            </w:tcBorders>
            <w:vAlign w:val="center"/>
          </w:tcPr>
          <w:p w14:paraId="46A7A456" w14:textId="2FDF7808" w:rsidR="0058539C" w:rsidRPr="00A07D86" w:rsidRDefault="0058539C" w:rsidP="00D038DF">
            <w:pPr>
              <w:spacing w:before="0" w:after="0"/>
              <w:jc w:val="center"/>
              <w:rPr>
                <w:b/>
                <w:bCs/>
                <w:sz w:val="20"/>
                <w:szCs w:val="18"/>
              </w:rPr>
            </w:pPr>
            <w:r>
              <w:rPr>
                <w:b/>
                <w:bCs/>
                <w:sz w:val="20"/>
                <w:szCs w:val="18"/>
              </w:rPr>
              <w:t>No. events</w:t>
            </w:r>
          </w:p>
        </w:tc>
        <w:tc>
          <w:tcPr>
            <w:tcW w:w="1000" w:type="dxa"/>
            <w:tcBorders>
              <w:top w:val="single" w:sz="4" w:space="0" w:color="auto"/>
              <w:bottom w:val="single" w:sz="4" w:space="0" w:color="auto"/>
            </w:tcBorders>
            <w:vAlign w:val="center"/>
          </w:tcPr>
          <w:p w14:paraId="2858568E" w14:textId="42BE7194" w:rsidR="0058539C" w:rsidRPr="00A07D86" w:rsidRDefault="0058539C" w:rsidP="00D038DF">
            <w:pPr>
              <w:spacing w:before="0" w:after="0"/>
              <w:jc w:val="center"/>
              <w:rPr>
                <w:b/>
                <w:bCs/>
                <w:sz w:val="20"/>
                <w:szCs w:val="18"/>
              </w:rPr>
            </w:pPr>
            <w:r>
              <w:rPr>
                <w:b/>
                <w:bCs/>
                <w:sz w:val="20"/>
                <w:szCs w:val="18"/>
              </w:rPr>
              <w:t>DOF</w:t>
            </w:r>
          </w:p>
        </w:tc>
        <w:tc>
          <w:tcPr>
            <w:tcW w:w="1650" w:type="dxa"/>
            <w:tcBorders>
              <w:top w:val="single" w:sz="4" w:space="0" w:color="auto"/>
              <w:bottom w:val="single" w:sz="4" w:space="0" w:color="auto"/>
            </w:tcBorders>
            <w:vAlign w:val="center"/>
          </w:tcPr>
          <w:p w14:paraId="5FFD3ADC" w14:textId="787A71D6" w:rsidR="0058539C" w:rsidRPr="00C33141" w:rsidRDefault="0058539C" w:rsidP="00D038DF">
            <w:pPr>
              <w:spacing w:before="0" w:after="0"/>
              <w:jc w:val="center"/>
              <w:rPr>
                <w:b/>
                <w:bCs/>
                <w:sz w:val="20"/>
                <w:szCs w:val="18"/>
              </w:rPr>
            </w:pPr>
            <w:r>
              <w:rPr>
                <w:b/>
                <w:bCs/>
                <w:i/>
                <w:iCs/>
                <w:sz w:val="20"/>
                <w:szCs w:val="18"/>
              </w:rPr>
              <w:t>p</w:t>
            </w:r>
            <w:r w:rsidR="00C80E12">
              <w:rPr>
                <w:b/>
                <w:bCs/>
                <w:sz w:val="20"/>
                <w:szCs w:val="18"/>
              </w:rPr>
              <w:t>-</w:t>
            </w:r>
            <w:r>
              <w:rPr>
                <w:b/>
                <w:bCs/>
                <w:sz w:val="20"/>
                <w:szCs w:val="18"/>
              </w:rPr>
              <w:t>value (U test)</w:t>
            </w:r>
          </w:p>
        </w:tc>
        <w:tc>
          <w:tcPr>
            <w:tcW w:w="1540" w:type="dxa"/>
            <w:tcBorders>
              <w:top w:val="single" w:sz="4" w:space="0" w:color="auto"/>
              <w:bottom w:val="single" w:sz="4" w:space="0" w:color="auto"/>
            </w:tcBorders>
            <w:vAlign w:val="center"/>
          </w:tcPr>
          <w:p w14:paraId="10C7E962" w14:textId="3A96F249" w:rsidR="0058539C" w:rsidRPr="00A07D86" w:rsidRDefault="0058539C" w:rsidP="00D038DF">
            <w:pPr>
              <w:spacing w:before="0" w:after="0"/>
              <w:jc w:val="center"/>
              <w:rPr>
                <w:b/>
                <w:bCs/>
                <w:sz w:val="20"/>
                <w:szCs w:val="18"/>
              </w:rPr>
            </w:pPr>
            <w:r>
              <w:rPr>
                <w:b/>
                <w:bCs/>
                <w:sz w:val="20"/>
                <w:szCs w:val="18"/>
              </w:rPr>
              <w:t>Status</w:t>
            </w:r>
          </w:p>
        </w:tc>
        <w:tc>
          <w:tcPr>
            <w:tcW w:w="1767" w:type="dxa"/>
            <w:tcBorders>
              <w:top w:val="single" w:sz="4" w:space="0" w:color="auto"/>
              <w:bottom w:val="single" w:sz="4" w:space="0" w:color="auto"/>
            </w:tcBorders>
          </w:tcPr>
          <w:p w14:paraId="493A416B" w14:textId="36E1C942" w:rsidR="0058539C" w:rsidRDefault="00D456B9" w:rsidP="00D038DF">
            <w:pPr>
              <w:spacing w:before="0" w:after="0"/>
              <w:jc w:val="center"/>
              <w:rPr>
                <w:b/>
                <w:bCs/>
                <w:sz w:val="20"/>
                <w:szCs w:val="18"/>
              </w:rPr>
            </w:pPr>
            <w:r>
              <w:rPr>
                <w:b/>
                <w:bCs/>
                <w:sz w:val="20"/>
                <w:szCs w:val="18"/>
              </w:rPr>
              <w:t>Method</w:t>
            </w:r>
          </w:p>
        </w:tc>
      </w:tr>
      <w:tr w:rsidR="0058539C" w:rsidRPr="00A07D86" w14:paraId="03B6B2A4" w14:textId="07633EC5" w:rsidTr="00D456B9">
        <w:tc>
          <w:tcPr>
            <w:tcW w:w="1559" w:type="dxa"/>
            <w:tcBorders>
              <w:top w:val="single" w:sz="4" w:space="0" w:color="auto"/>
              <w:bottom w:val="single" w:sz="4" w:space="0" w:color="auto"/>
            </w:tcBorders>
            <w:vAlign w:val="center"/>
          </w:tcPr>
          <w:p w14:paraId="220B5DC8" w14:textId="615B0690" w:rsidR="0058539C" w:rsidRPr="00A07D86" w:rsidRDefault="0058539C" w:rsidP="00D038DF">
            <w:pPr>
              <w:spacing w:before="0" w:after="0"/>
              <w:jc w:val="center"/>
              <w:rPr>
                <w:sz w:val="20"/>
                <w:szCs w:val="18"/>
              </w:rPr>
            </w:pPr>
            <w:r>
              <w:rPr>
                <w:sz w:val="20"/>
                <w:szCs w:val="18"/>
              </w:rPr>
              <w:t>TBQF</w:t>
            </w:r>
            <w:r w:rsidRPr="00030338">
              <w:rPr>
                <w:sz w:val="20"/>
                <w:szCs w:val="18"/>
                <w:vertAlign w:val="subscript"/>
              </w:rPr>
              <w:t>i-1</w:t>
            </w:r>
          </w:p>
        </w:tc>
        <w:tc>
          <w:tcPr>
            <w:tcW w:w="1511" w:type="dxa"/>
            <w:tcBorders>
              <w:top w:val="single" w:sz="4" w:space="0" w:color="auto"/>
              <w:bottom w:val="single" w:sz="4" w:space="0" w:color="auto"/>
            </w:tcBorders>
            <w:vAlign w:val="center"/>
          </w:tcPr>
          <w:p w14:paraId="2919859E" w14:textId="5E36ECE9" w:rsidR="0058539C" w:rsidRPr="00A07D86" w:rsidRDefault="0058539C" w:rsidP="00D038DF">
            <w:pPr>
              <w:spacing w:before="0" w:after="0"/>
              <w:jc w:val="center"/>
              <w:rPr>
                <w:sz w:val="20"/>
                <w:szCs w:val="18"/>
              </w:rPr>
            </w:pPr>
            <w:r>
              <w:rPr>
                <w:sz w:val="20"/>
                <w:szCs w:val="18"/>
              </w:rPr>
              <w:t>202</w:t>
            </w:r>
          </w:p>
        </w:tc>
        <w:tc>
          <w:tcPr>
            <w:tcW w:w="1000" w:type="dxa"/>
            <w:tcBorders>
              <w:top w:val="single" w:sz="4" w:space="0" w:color="auto"/>
              <w:bottom w:val="single" w:sz="4" w:space="0" w:color="auto"/>
            </w:tcBorders>
            <w:vAlign w:val="center"/>
          </w:tcPr>
          <w:p w14:paraId="5327CE92" w14:textId="4771BE9F" w:rsidR="0058539C" w:rsidRPr="00A07D86" w:rsidRDefault="0058539C" w:rsidP="00D038DF">
            <w:pPr>
              <w:spacing w:before="0" w:after="0"/>
              <w:jc w:val="center"/>
              <w:rPr>
                <w:sz w:val="20"/>
                <w:szCs w:val="18"/>
              </w:rPr>
            </w:pPr>
            <w:r>
              <w:rPr>
                <w:sz w:val="20"/>
                <w:szCs w:val="18"/>
              </w:rPr>
              <w:t>402</w:t>
            </w:r>
          </w:p>
        </w:tc>
        <w:tc>
          <w:tcPr>
            <w:tcW w:w="1650" w:type="dxa"/>
            <w:tcBorders>
              <w:top w:val="single" w:sz="4" w:space="0" w:color="auto"/>
              <w:bottom w:val="single" w:sz="4" w:space="0" w:color="auto"/>
            </w:tcBorders>
            <w:vAlign w:val="center"/>
          </w:tcPr>
          <w:p w14:paraId="392C9E84" w14:textId="04BBB29B" w:rsidR="0058539C" w:rsidRPr="00A07D86" w:rsidRDefault="0058539C" w:rsidP="00D038DF">
            <w:pPr>
              <w:spacing w:before="0" w:after="0"/>
              <w:jc w:val="center"/>
              <w:rPr>
                <w:sz w:val="20"/>
                <w:szCs w:val="18"/>
              </w:rPr>
            </w:pPr>
            <w:r>
              <w:rPr>
                <w:sz w:val="20"/>
                <w:szCs w:val="18"/>
              </w:rPr>
              <w:t>0.8732</w:t>
            </w:r>
          </w:p>
        </w:tc>
        <w:tc>
          <w:tcPr>
            <w:tcW w:w="1540" w:type="dxa"/>
            <w:tcBorders>
              <w:top w:val="single" w:sz="4" w:space="0" w:color="auto"/>
              <w:bottom w:val="single" w:sz="4" w:space="0" w:color="auto"/>
            </w:tcBorders>
            <w:vAlign w:val="center"/>
          </w:tcPr>
          <w:p w14:paraId="7FCA01DF" w14:textId="2FDC1251" w:rsidR="0058539C" w:rsidRPr="00A07D86" w:rsidRDefault="0058539C" w:rsidP="00D038DF">
            <w:pPr>
              <w:spacing w:before="0" w:after="0"/>
              <w:jc w:val="center"/>
              <w:rPr>
                <w:sz w:val="20"/>
                <w:szCs w:val="18"/>
              </w:rPr>
            </w:pPr>
            <w:r>
              <w:rPr>
                <w:sz w:val="20"/>
                <w:szCs w:val="18"/>
              </w:rPr>
              <w:t>Not rejected</w:t>
            </w:r>
          </w:p>
        </w:tc>
        <w:tc>
          <w:tcPr>
            <w:tcW w:w="1767" w:type="dxa"/>
            <w:tcBorders>
              <w:top w:val="single" w:sz="4" w:space="0" w:color="auto"/>
              <w:bottom w:val="single" w:sz="4" w:space="0" w:color="auto"/>
            </w:tcBorders>
          </w:tcPr>
          <w:p w14:paraId="056BD034" w14:textId="404B3FC2" w:rsidR="0058539C" w:rsidRDefault="00D456B9" w:rsidP="00D038DF">
            <w:pPr>
              <w:spacing w:before="0" w:after="0"/>
              <w:jc w:val="center"/>
              <w:rPr>
                <w:sz w:val="20"/>
                <w:szCs w:val="18"/>
              </w:rPr>
            </w:pPr>
            <w:r>
              <w:rPr>
                <w:sz w:val="20"/>
                <w:szCs w:val="18"/>
              </w:rPr>
              <w:t>Renewal process</w:t>
            </w:r>
          </w:p>
        </w:tc>
      </w:tr>
    </w:tbl>
    <w:p w14:paraId="2C0F4144" w14:textId="4E0FB663" w:rsidR="00FB05EC" w:rsidRPr="0058537A" w:rsidRDefault="00F63B2E" w:rsidP="006F15CC">
      <w:r>
        <w:t xml:space="preserve">The resulting Mann-Whittney test statistics show </w:t>
      </w:r>
      <w:r w:rsidR="008B013C">
        <w:t>no trend in the data</w:t>
      </w:r>
      <w:r w:rsidR="00C80E12">
        <w:t>;</w:t>
      </w:r>
      <w:r w:rsidR="008B013C">
        <w:t xml:space="preserve"> hence, the observations do not reject the null hypothesis. After trend analysis, the author of the thesis used both graphical representation</w:t>
      </w:r>
      <w:r w:rsidR="00C80E12">
        <w:t>s</w:t>
      </w:r>
      <w:r w:rsidR="008B013C">
        <w:t xml:space="preserve"> to search for the presence of correlation between </w:t>
      </w:r>
      <w:r w:rsidR="008B013C">
        <w:rPr>
          <w:i/>
          <w:iCs/>
        </w:rPr>
        <w:t>i</w:t>
      </w:r>
      <w:r w:rsidR="008B013C">
        <w:t xml:space="preserve"> and the </w:t>
      </w:r>
      <w:r w:rsidR="008B013C">
        <w:rPr>
          <w:i/>
          <w:iCs/>
        </w:rPr>
        <w:t>i-</w:t>
      </w:r>
      <w:r w:rsidR="00347EB8">
        <w:t xml:space="preserve">1 to </w:t>
      </w:r>
      <w:r w:rsidR="00347EB8">
        <w:rPr>
          <w:i/>
          <w:iCs/>
        </w:rPr>
        <w:t>i-4</w:t>
      </w:r>
      <w:r w:rsidR="00347EB8">
        <w:t xml:space="preserve"> lag quasi-fault data (</w:t>
      </w:r>
      <w:r w:rsidR="00347EB8">
        <w:fldChar w:fldCharType="begin"/>
      </w:r>
      <w:r w:rsidR="00347EB8">
        <w:instrText xml:space="preserve"> REF _Ref100137702 \h </w:instrText>
      </w:r>
      <w:r w:rsidR="00347EB8">
        <w:fldChar w:fldCharType="separate"/>
      </w:r>
      <w:r w:rsidR="00587AF0">
        <w:t xml:space="preserve">Figure </w:t>
      </w:r>
      <w:r w:rsidR="00587AF0">
        <w:rPr>
          <w:noProof/>
        </w:rPr>
        <w:t>125</w:t>
      </w:r>
      <w:r w:rsidR="00347EB8">
        <w:fldChar w:fldCharType="end"/>
      </w:r>
      <w:r w:rsidR="00347EB8">
        <w:t>). In add</w:t>
      </w:r>
      <w:r w:rsidR="00C80E12">
        <w:t>i</w:t>
      </w:r>
      <w:r w:rsidR="00347EB8">
        <w:t xml:space="preserve">tion, both </w:t>
      </w:r>
      <w:r w:rsidR="0058537A">
        <w:t>autocorrelation test</w:t>
      </w:r>
      <w:r w:rsidR="00C80E12">
        <w:t>s</w:t>
      </w:r>
      <w:r w:rsidR="0058537A">
        <w:t xml:space="preserve"> (</w:t>
      </w:r>
      <w:r w:rsidR="006D20D2">
        <w:fldChar w:fldCharType="begin"/>
      </w:r>
      <w:r w:rsidR="006D20D2">
        <w:instrText xml:space="preserve"> REF _Ref100137801 \h </w:instrText>
      </w:r>
      <w:r w:rsidR="006D20D2">
        <w:fldChar w:fldCharType="separate"/>
      </w:r>
      <w:r w:rsidR="00587AF0">
        <w:t xml:space="preserve">Figure </w:t>
      </w:r>
      <w:r w:rsidR="00587AF0">
        <w:rPr>
          <w:noProof/>
        </w:rPr>
        <w:t>126</w:t>
      </w:r>
      <w:r w:rsidR="006D20D2">
        <w:fldChar w:fldCharType="end"/>
      </w:r>
      <w:r w:rsidR="0058537A">
        <w:t>) and partial autocorrelation</w:t>
      </w:r>
      <w:r w:rsidR="006D20D2">
        <w:t xml:space="preserve"> (</w:t>
      </w:r>
      <w:r w:rsidR="006D20D2">
        <w:fldChar w:fldCharType="begin"/>
      </w:r>
      <w:r w:rsidR="006D20D2">
        <w:instrText xml:space="preserve"> REF _Ref100137792 \h </w:instrText>
      </w:r>
      <w:r w:rsidR="006D20D2">
        <w:fldChar w:fldCharType="separate"/>
      </w:r>
      <w:r w:rsidR="00587AF0">
        <w:t xml:space="preserve">Figure </w:t>
      </w:r>
      <w:r w:rsidR="00587AF0">
        <w:rPr>
          <w:noProof/>
        </w:rPr>
        <w:t>127</w:t>
      </w:r>
      <w:r w:rsidR="006D20D2">
        <w:fldChar w:fldCharType="end"/>
      </w:r>
      <w:r w:rsidR="006D20D2">
        <w:t>)</w:t>
      </w:r>
      <w:r w:rsidR="0058537A">
        <w:t xml:space="preserve"> were used to check for correlation between the</w:t>
      </w:r>
      <w:r w:rsidR="00EE286C">
        <w:t xml:space="preserve"> events of</w:t>
      </w:r>
      <w:r w:rsidR="0058537A">
        <w:t xml:space="preserve"> </w:t>
      </w:r>
      <w:r w:rsidR="0058537A">
        <w:rPr>
          <w:i/>
          <w:iCs/>
        </w:rPr>
        <w:t xml:space="preserve">i-th </w:t>
      </w:r>
      <w:r w:rsidR="0058537A">
        <w:t>lag</w:t>
      </w:r>
      <w:r w:rsidR="00EE286C">
        <w:t xml:space="preserve">. </w:t>
      </w:r>
      <w:r w:rsidR="00FE5FC7">
        <w:t xml:space="preserve">There was no </w:t>
      </w:r>
      <w:r w:rsidR="00E540DE">
        <w:t xml:space="preserve">correlation between TBQF and </w:t>
      </w:r>
      <w:r w:rsidR="00C80E12">
        <w:t xml:space="preserve">the </w:t>
      </w:r>
      <w:r w:rsidR="00E540DE">
        <w:t>associated lag variable detected.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4"/>
      </w:tblGrid>
      <w:tr w:rsidR="002113E6" w14:paraId="40D27DA6" w14:textId="77777777" w:rsidTr="0065601A">
        <w:tc>
          <w:tcPr>
            <w:tcW w:w="4513" w:type="dxa"/>
            <w:vAlign w:val="center"/>
          </w:tcPr>
          <w:p w14:paraId="47278497" w14:textId="240A734A" w:rsidR="00FB05EC" w:rsidRDefault="000D5EC2" w:rsidP="002113E6">
            <w:pPr>
              <w:spacing w:before="0" w:after="0"/>
              <w:ind w:left="-57" w:right="-57"/>
              <w:jc w:val="center"/>
            </w:pPr>
            <w:r>
              <w:rPr>
                <w:noProof/>
              </w:rPr>
              <w:drawing>
                <wp:inline distT="0" distB="0" distL="0" distR="0" wp14:anchorId="3FF5B301" wp14:editId="2612A05E">
                  <wp:extent cx="2772000" cy="1980000"/>
                  <wp:effectExtent l="0" t="0" r="0" b="1270"/>
                  <wp:docPr id="153" name="Chart 153">
                    <a:extLst xmlns:a="http://schemas.openxmlformats.org/drawingml/2006/main">
                      <a:ext uri="{FF2B5EF4-FFF2-40B4-BE49-F238E27FC236}">
                        <a16:creationId xmlns:a16="http://schemas.microsoft.com/office/drawing/2014/main" id="{1833A6E3-9AB5-4C73-BD18-6E6F2CBCB3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tc>
        <w:tc>
          <w:tcPr>
            <w:tcW w:w="4514" w:type="dxa"/>
            <w:vAlign w:val="center"/>
          </w:tcPr>
          <w:p w14:paraId="5216694D" w14:textId="52F4B3F9" w:rsidR="00FB05EC" w:rsidRDefault="0065601A" w:rsidP="002113E6">
            <w:pPr>
              <w:spacing w:before="0" w:after="0"/>
              <w:ind w:left="-57" w:right="-57"/>
            </w:pPr>
            <w:r>
              <w:rPr>
                <w:noProof/>
              </w:rPr>
              <w:drawing>
                <wp:inline distT="0" distB="0" distL="0" distR="0" wp14:anchorId="10A92BE8" wp14:editId="5D05350A">
                  <wp:extent cx="2772000" cy="1980000"/>
                  <wp:effectExtent l="0" t="0" r="0" b="1270"/>
                  <wp:docPr id="162" name="Chart 162">
                    <a:extLst xmlns:a="http://schemas.openxmlformats.org/drawingml/2006/main">
                      <a:ext uri="{FF2B5EF4-FFF2-40B4-BE49-F238E27FC236}">
                        <a16:creationId xmlns:a16="http://schemas.microsoft.com/office/drawing/2014/main" id="{234595A8-5011-4B5A-9159-899BE8BA87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tc>
      </w:tr>
      <w:tr w:rsidR="00666EE2" w14:paraId="2D31B974" w14:textId="77777777" w:rsidTr="0065601A">
        <w:tc>
          <w:tcPr>
            <w:tcW w:w="4513" w:type="dxa"/>
            <w:vAlign w:val="center"/>
          </w:tcPr>
          <w:p w14:paraId="662B1880" w14:textId="65817B65" w:rsidR="00FB05EC" w:rsidRDefault="000D5EC2" w:rsidP="002113E6">
            <w:pPr>
              <w:spacing w:before="0" w:after="0"/>
              <w:ind w:left="-57" w:right="-57"/>
              <w:jc w:val="center"/>
            </w:pPr>
            <w:r>
              <w:rPr>
                <w:noProof/>
              </w:rPr>
              <w:drawing>
                <wp:inline distT="0" distB="0" distL="0" distR="0" wp14:anchorId="3367B353" wp14:editId="24BD6762">
                  <wp:extent cx="2772000" cy="1980000"/>
                  <wp:effectExtent l="0" t="0" r="0" b="1270"/>
                  <wp:docPr id="157" name="Chart 157">
                    <a:extLst xmlns:a="http://schemas.openxmlformats.org/drawingml/2006/main">
                      <a:ext uri="{FF2B5EF4-FFF2-40B4-BE49-F238E27FC236}">
                        <a16:creationId xmlns:a16="http://schemas.microsoft.com/office/drawing/2014/main" id="{C2EF387E-6A1D-4687-8DCB-6CCCFA9169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tc>
        <w:tc>
          <w:tcPr>
            <w:tcW w:w="4514" w:type="dxa"/>
            <w:vAlign w:val="center"/>
          </w:tcPr>
          <w:p w14:paraId="1E57E67B" w14:textId="788B7325" w:rsidR="00FB05EC" w:rsidRDefault="0065601A" w:rsidP="002113E6">
            <w:pPr>
              <w:spacing w:before="0" w:after="0"/>
              <w:ind w:left="-57" w:right="-57"/>
              <w:jc w:val="center"/>
            </w:pPr>
            <w:r>
              <w:rPr>
                <w:noProof/>
              </w:rPr>
              <w:drawing>
                <wp:inline distT="0" distB="0" distL="0" distR="0" wp14:anchorId="18CD46A8" wp14:editId="513899EC">
                  <wp:extent cx="2772000" cy="1980000"/>
                  <wp:effectExtent l="0" t="0" r="0" b="1270"/>
                  <wp:docPr id="164" name="Chart 164">
                    <a:extLst xmlns:a="http://schemas.openxmlformats.org/drawingml/2006/main">
                      <a:ext uri="{FF2B5EF4-FFF2-40B4-BE49-F238E27FC236}">
                        <a16:creationId xmlns:a16="http://schemas.microsoft.com/office/drawing/2014/main" id="{6419EAD4-B93C-439F-B053-CB32A91EBD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tc>
      </w:tr>
    </w:tbl>
    <w:p w14:paraId="35472FF3" w14:textId="4941EFF0" w:rsidR="00FB05EC" w:rsidRDefault="00B975BC" w:rsidP="00B975BC">
      <w:pPr>
        <w:pStyle w:val="Caption"/>
      </w:pPr>
      <w:bookmarkStart w:id="753" w:name="_Ref100137702"/>
      <w:bookmarkStart w:id="754" w:name="_Toc101274647"/>
      <w:r>
        <w:t xml:space="preserve">Figure </w:t>
      </w:r>
      <w:fldSimple w:instr=" SEQ Figure \* ARABIC ">
        <w:r w:rsidR="00587AF0">
          <w:rPr>
            <w:noProof/>
          </w:rPr>
          <w:t>125</w:t>
        </w:r>
      </w:fldSimple>
      <w:bookmarkEnd w:id="753"/>
      <w:r>
        <w:t>. Correlation test of rubber mixing machine hydraulic control system</w:t>
      </w:r>
      <w:bookmarkEnd w:id="754"/>
    </w:p>
    <w:p w14:paraId="088D61B4" w14:textId="64ACA41F" w:rsidR="000E6066" w:rsidRDefault="001F688A" w:rsidP="00D75DF5">
      <w:pPr>
        <w:keepNext/>
        <w:jc w:val="center"/>
      </w:pPr>
      <w:r w:rsidRPr="001F688A">
        <w:rPr>
          <w:noProof/>
        </w:rPr>
        <w:lastRenderedPageBreak/>
        <w:drawing>
          <wp:inline distT="0" distB="0" distL="0" distR="0" wp14:anchorId="08AFEFC0" wp14:editId="73DEF781">
            <wp:extent cx="5486400" cy="36576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0B8FB549" w14:textId="622A9B98" w:rsidR="000E6066" w:rsidRDefault="000E6066" w:rsidP="008564A4">
      <w:pPr>
        <w:pStyle w:val="Caption"/>
      </w:pPr>
      <w:bookmarkStart w:id="755" w:name="_Ref100137801"/>
      <w:bookmarkStart w:id="756" w:name="_Toc101274648"/>
      <w:r>
        <w:t xml:space="preserve">Figure </w:t>
      </w:r>
      <w:fldSimple w:instr=" SEQ Figure \* ARABIC ">
        <w:r w:rsidR="00587AF0">
          <w:rPr>
            <w:noProof/>
          </w:rPr>
          <w:t>126</w:t>
        </w:r>
      </w:fldSimple>
      <w:bookmarkEnd w:id="755"/>
      <w:r>
        <w:t>. Investigating the presence of autocorrelation</w:t>
      </w:r>
      <w:bookmarkEnd w:id="756"/>
    </w:p>
    <w:p w14:paraId="6E564266" w14:textId="3F24C6E7" w:rsidR="008564A4" w:rsidRDefault="00C073F2" w:rsidP="008564A4">
      <w:pPr>
        <w:pStyle w:val="Caption"/>
      </w:pPr>
      <w:bookmarkStart w:id="757" w:name="_Toc91575414"/>
      <w:bookmarkStart w:id="758" w:name="_Toc93759935"/>
      <w:bookmarkStart w:id="759" w:name="_Toc93760039"/>
      <w:r w:rsidRPr="00C073F2">
        <w:rPr>
          <w:noProof/>
        </w:rPr>
        <w:drawing>
          <wp:inline distT="0" distB="0" distL="0" distR="0" wp14:anchorId="65BA86FA" wp14:editId="4BCA1576">
            <wp:extent cx="5486400" cy="365760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7E3E3ADD" w14:textId="485DBE87" w:rsidR="008564A4" w:rsidRDefault="008564A4" w:rsidP="008564A4">
      <w:pPr>
        <w:pStyle w:val="Caption"/>
      </w:pPr>
      <w:bookmarkStart w:id="760" w:name="_Ref100137792"/>
      <w:bookmarkStart w:id="761" w:name="_Toc101274649"/>
      <w:r>
        <w:t xml:space="preserve">Figure </w:t>
      </w:r>
      <w:fldSimple w:instr=" SEQ Figure \* ARABIC ">
        <w:r w:rsidR="00587AF0">
          <w:rPr>
            <w:noProof/>
          </w:rPr>
          <w:t>127</w:t>
        </w:r>
      </w:fldSimple>
      <w:bookmarkEnd w:id="760"/>
      <w:r>
        <w:t>. Investigating the presence of partial autocorrelation</w:t>
      </w:r>
      <w:bookmarkEnd w:id="761"/>
    </w:p>
    <w:p w14:paraId="26917D90" w14:textId="77777777" w:rsidR="00E90403" w:rsidRDefault="00E90403">
      <w:pPr>
        <w:spacing w:before="0" w:after="160" w:line="259" w:lineRule="auto"/>
        <w:jc w:val="left"/>
      </w:pPr>
      <w:r>
        <w:br w:type="page"/>
      </w:r>
    </w:p>
    <w:p w14:paraId="0408ABE6" w14:textId="5C4A19BF" w:rsidR="00E90403" w:rsidRDefault="003D3C71" w:rsidP="00911A60">
      <w:pPr>
        <w:pStyle w:val="Heading2"/>
      </w:pPr>
      <w:bookmarkStart w:id="762" w:name="_Toc101274421"/>
      <w:r>
        <w:lastRenderedPageBreak/>
        <w:t>Distribution</w:t>
      </w:r>
      <w:r w:rsidR="00B225B9">
        <w:t xml:space="preserve"> estimate and reliability function</w:t>
      </w:r>
      <w:bookmarkEnd w:id="762"/>
    </w:p>
    <w:p w14:paraId="25E3D6AA" w14:textId="731ACEAD" w:rsidR="00490E0C" w:rsidRPr="00CE2B82" w:rsidRDefault="009B7ED1" w:rsidP="00490E0C">
      <w:r>
        <w:t xml:space="preserve">The goodness of fit test using EasyFit software for TBQF show </w:t>
      </w:r>
      <w:r w:rsidR="000318FF">
        <w:t>five</w:t>
      </w:r>
      <w:r>
        <w:t xml:space="preserve"> best</w:t>
      </w:r>
      <w:r w:rsidR="00C80E12">
        <w:t>-</w:t>
      </w:r>
      <w:r>
        <w:t>fi</w:t>
      </w:r>
      <w:r w:rsidR="000318FF">
        <w:t>t</w:t>
      </w:r>
      <w:r>
        <w:t>t</w:t>
      </w:r>
      <w:r w:rsidR="000318FF">
        <w:t>ed</w:t>
      </w:r>
      <w:r>
        <w:t xml:space="preserve"> distributions</w:t>
      </w:r>
      <w:r w:rsidR="000318FF">
        <w:t xml:space="preserve"> using </w:t>
      </w:r>
      <w:r w:rsidR="00C80E12">
        <w:t xml:space="preserve">the </w:t>
      </w:r>
      <w:r w:rsidR="000318FF">
        <w:t xml:space="preserve">Kolmogorov-Smirnov </w:t>
      </w:r>
      <w:r w:rsidR="00EC52DF">
        <w:t xml:space="preserve">(K-S) </w:t>
      </w:r>
      <w:r w:rsidR="000318FF">
        <w:t xml:space="preserve">test </w:t>
      </w:r>
      <w:r>
        <w:t>(</w:t>
      </w:r>
      <w:r>
        <w:fldChar w:fldCharType="begin"/>
      </w:r>
      <w:r>
        <w:instrText xml:space="preserve"> REF _Ref100135227 \h </w:instrText>
      </w:r>
      <w:r>
        <w:fldChar w:fldCharType="separate"/>
      </w:r>
      <w:r w:rsidR="00587AF0">
        <w:t xml:space="preserve">Table </w:t>
      </w:r>
      <w:r w:rsidR="00587AF0">
        <w:rPr>
          <w:noProof/>
        </w:rPr>
        <w:t>81</w:t>
      </w:r>
      <w:r>
        <w:fldChar w:fldCharType="end"/>
      </w:r>
      <w:r>
        <w:t>).</w:t>
      </w:r>
      <w:r w:rsidR="00E603D2">
        <w:t xml:space="preserve"> All of the distribution parameters are given in </w:t>
      </w:r>
      <w:r w:rsidR="00E603D2">
        <w:fldChar w:fldCharType="begin"/>
      </w:r>
      <w:r w:rsidR="00E603D2">
        <w:instrText xml:space="preserve"> REF _Ref100146388 \h </w:instrText>
      </w:r>
      <w:r w:rsidR="00E603D2">
        <w:fldChar w:fldCharType="separate"/>
      </w:r>
      <w:r w:rsidR="00587AF0">
        <w:t xml:space="preserve">Table </w:t>
      </w:r>
      <w:r w:rsidR="00587AF0">
        <w:rPr>
          <w:noProof/>
        </w:rPr>
        <w:t>82</w:t>
      </w:r>
      <w:r w:rsidR="00E603D2">
        <w:fldChar w:fldCharType="end"/>
      </w:r>
      <w:r w:rsidR="006B7E90">
        <w:t xml:space="preserve">, of which </w:t>
      </w:r>
      <w:r w:rsidR="00B717F3">
        <w:t>Weibull (3P)</w:t>
      </w:r>
      <w:r w:rsidR="006B7E90">
        <w:t xml:space="preserve"> function parameters </w:t>
      </w:r>
      <w:r w:rsidR="00C80E12">
        <w:t>are</w:t>
      </w:r>
      <w:r w:rsidR="006B7E90">
        <w:t xml:space="preserve"> </w:t>
      </w:r>
      <w:r w:rsidR="00E603D2">
        <w:t>used in the reliability modelling</w:t>
      </w:r>
      <w:r w:rsidR="00C80E12">
        <w:t>, and t</w:t>
      </w:r>
      <w:r w:rsidR="00490E0C">
        <w:t xml:space="preserve">he cumulative probability function is given in </w:t>
      </w:r>
      <w:r w:rsidR="00911A60">
        <w:fldChar w:fldCharType="begin"/>
      </w:r>
      <w:r w:rsidR="00911A60">
        <w:instrText xml:space="preserve"> REF _Ref100135227 \h </w:instrText>
      </w:r>
      <w:r w:rsidR="00911A60">
        <w:fldChar w:fldCharType="separate"/>
      </w:r>
      <w:r w:rsidR="00587AF0">
        <w:t xml:space="preserve">Table </w:t>
      </w:r>
      <w:r w:rsidR="00587AF0">
        <w:rPr>
          <w:noProof/>
        </w:rPr>
        <w:t>81</w:t>
      </w:r>
      <w:r w:rsidR="00911A60">
        <w:fldChar w:fldCharType="end"/>
      </w:r>
      <w:r w:rsidR="00911A60">
        <w:t>.</w:t>
      </w:r>
    </w:p>
    <w:p w14:paraId="7FBFCB93" w14:textId="2A84B4BC" w:rsidR="009B7ED1" w:rsidRDefault="009B7ED1" w:rsidP="009B7ED1">
      <w:pPr>
        <w:pStyle w:val="Caption"/>
        <w:jc w:val="both"/>
      </w:pPr>
      <w:bookmarkStart w:id="763" w:name="_Ref100135227"/>
      <w:bookmarkStart w:id="764" w:name="_Toc101274521"/>
      <w:r>
        <w:t xml:space="preserve">Table </w:t>
      </w:r>
      <w:fldSimple w:instr=" SEQ Table \* ARABIC ">
        <w:r w:rsidR="00587AF0">
          <w:rPr>
            <w:noProof/>
          </w:rPr>
          <w:t>81</w:t>
        </w:r>
      </w:fldSimple>
      <w:bookmarkEnd w:id="763"/>
      <w:r>
        <w:t xml:space="preserve">. Goodness-of-fit for </w:t>
      </w:r>
      <w:r w:rsidR="00C80E12">
        <w:t xml:space="preserve">the </w:t>
      </w:r>
      <w:r>
        <w:t>five most ranked distributions of TBQF</w:t>
      </w:r>
      <w:bookmarkEnd w:id="764"/>
    </w:p>
    <w:tbl>
      <w:tblPr>
        <w:tblStyle w:val="TableGrid"/>
        <w:tblW w:w="5000" w:type="pct"/>
        <w:tblLook w:val="04A0" w:firstRow="1" w:lastRow="0" w:firstColumn="1" w:lastColumn="0" w:noHBand="0" w:noVBand="1"/>
      </w:tblPr>
      <w:tblGrid>
        <w:gridCol w:w="3011"/>
        <w:gridCol w:w="3008"/>
        <w:gridCol w:w="3008"/>
      </w:tblGrid>
      <w:tr w:rsidR="000318FF" w:rsidRPr="00897208" w14:paraId="34C50199" w14:textId="77777777" w:rsidTr="000318FF">
        <w:tc>
          <w:tcPr>
            <w:tcW w:w="1668" w:type="pct"/>
            <w:vMerge w:val="restart"/>
            <w:tcBorders>
              <w:top w:val="single" w:sz="4" w:space="0" w:color="auto"/>
              <w:left w:val="nil"/>
              <w:bottom w:val="nil"/>
              <w:right w:val="nil"/>
            </w:tcBorders>
            <w:vAlign w:val="center"/>
          </w:tcPr>
          <w:p w14:paraId="7BF1BBF6" w14:textId="77777777" w:rsidR="000318FF" w:rsidRPr="00897208" w:rsidRDefault="000318FF" w:rsidP="000318FF">
            <w:pPr>
              <w:spacing w:before="0" w:after="0"/>
              <w:jc w:val="center"/>
              <w:rPr>
                <w:b/>
                <w:bCs/>
                <w:sz w:val="20"/>
                <w:szCs w:val="18"/>
              </w:rPr>
            </w:pPr>
            <w:r w:rsidRPr="00897208">
              <w:rPr>
                <w:b/>
                <w:bCs/>
                <w:sz w:val="20"/>
                <w:szCs w:val="18"/>
              </w:rPr>
              <w:t>Distribution</w:t>
            </w:r>
          </w:p>
        </w:tc>
        <w:tc>
          <w:tcPr>
            <w:tcW w:w="3332" w:type="pct"/>
            <w:gridSpan w:val="2"/>
            <w:tcBorders>
              <w:top w:val="single" w:sz="4" w:space="0" w:color="auto"/>
              <w:left w:val="nil"/>
              <w:bottom w:val="nil"/>
              <w:right w:val="nil"/>
            </w:tcBorders>
            <w:vAlign w:val="center"/>
          </w:tcPr>
          <w:p w14:paraId="03C4CC6C" w14:textId="056E386F" w:rsidR="000318FF" w:rsidRPr="00897208" w:rsidRDefault="000318FF" w:rsidP="000318FF">
            <w:pPr>
              <w:spacing w:before="0" w:after="0"/>
              <w:jc w:val="center"/>
              <w:rPr>
                <w:b/>
                <w:bCs/>
                <w:sz w:val="20"/>
                <w:szCs w:val="18"/>
              </w:rPr>
            </w:pPr>
            <w:r>
              <w:rPr>
                <w:b/>
                <w:bCs/>
                <w:sz w:val="20"/>
                <w:szCs w:val="18"/>
              </w:rPr>
              <w:t>Kolmogorov-Smir</w:t>
            </w:r>
            <w:r w:rsidR="00C80E12">
              <w:rPr>
                <w:b/>
                <w:bCs/>
                <w:sz w:val="20"/>
                <w:szCs w:val="18"/>
              </w:rPr>
              <w:t>n</w:t>
            </w:r>
            <w:r>
              <w:rPr>
                <w:b/>
                <w:bCs/>
                <w:sz w:val="20"/>
                <w:szCs w:val="18"/>
              </w:rPr>
              <w:t>ov</w:t>
            </w:r>
          </w:p>
        </w:tc>
      </w:tr>
      <w:tr w:rsidR="000318FF" w:rsidRPr="00897208" w14:paraId="40827D93" w14:textId="77777777" w:rsidTr="00EC52DF">
        <w:tc>
          <w:tcPr>
            <w:tcW w:w="1668" w:type="pct"/>
            <w:vMerge/>
            <w:tcBorders>
              <w:top w:val="nil"/>
              <w:left w:val="nil"/>
              <w:bottom w:val="single" w:sz="4" w:space="0" w:color="auto"/>
              <w:right w:val="nil"/>
            </w:tcBorders>
            <w:vAlign w:val="center"/>
          </w:tcPr>
          <w:p w14:paraId="04DB13F1" w14:textId="77777777" w:rsidR="000318FF" w:rsidRPr="00897208" w:rsidRDefault="000318FF" w:rsidP="000318FF">
            <w:pPr>
              <w:spacing w:before="0" w:after="0"/>
              <w:jc w:val="center"/>
              <w:rPr>
                <w:sz w:val="20"/>
                <w:szCs w:val="18"/>
              </w:rPr>
            </w:pPr>
          </w:p>
        </w:tc>
        <w:tc>
          <w:tcPr>
            <w:tcW w:w="1666" w:type="pct"/>
            <w:tcBorders>
              <w:top w:val="nil"/>
              <w:left w:val="nil"/>
              <w:bottom w:val="single" w:sz="4" w:space="0" w:color="auto"/>
              <w:right w:val="nil"/>
            </w:tcBorders>
            <w:vAlign w:val="center"/>
          </w:tcPr>
          <w:p w14:paraId="6398B15B" w14:textId="77777777" w:rsidR="000318FF" w:rsidRPr="00897208" w:rsidRDefault="000318FF" w:rsidP="000318FF">
            <w:pPr>
              <w:spacing w:before="0" w:after="0"/>
              <w:jc w:val="center"/>
              <w:rPr>
                <w:b/>
                <w:bCs/>
                <w:sz w:val="20"/>
                <w:szCs w:val="18"/>
              </w:rPr>
            </w:pPr>
            <w:r w:rsidRPr="00897208">
              <w:rPr>
                <w:b/>
                <w:bCs/>
                <w:sz w:val="20"/>
                <w:szCs w:val="18"/>
              </w:rPr>
              <w:t>Test statistic</w:t>
            </w:r>
          </w:p>
        </w:tc>
        <w:tc>
          <w:tcPr>
            <w:tcW w:w="1666" w:type="pct"/>
            <w:tcBorders>
              <w:top w:val="nil"/>
              <w:left w:val="nil"/>
              <w:bottom w:val="single" w:sz="4" w:space="0" w:color="auto"/>
              <w:right w:val="nil"/>
            </w:tcBorders>
            <w:vAlign w:val="center"/>
          </w:tcPr>
          <w:p w14:paraId="73D8E1B9" w14:textId="77777777" w:rsidR="000318FF" w:rsidRPr="00897208" w:rsidRDefault="000318FF" w:rsidP="000318FF">
            <w:pPr>
              <w:spacing w:before="0" w:after="0"/>
              <w:jc w:val="center"/>
              <w:rPr>
                <w:b/>
                <w:bCs/>
                <w:sz w:val="20"/>
                <w:szCs w:val="18"/>
              </w:rPr>
            </w:pPr>
            <w:r w:rsidRPr="00897208">
              <w:rPr>
                <w:b/>
                <w:bCs/>
                <w:sz w:val="20"/>
                <w:szCs w:val="18"/>
              </w:rPr>
              <w:t>Rank</w:t>
            </w:r>
          </w:p>
        </w:tc>
      </w:tr>
      <w:tr w:rsidR="000318FF" w:rsidRPr="00897208" w14:paraId="462B1235" w14:textId="77777777" w:rsidTr="00EC52DF">
        <w:tc>
          <w:tcPr>
            <w:tcW w:w="1668" w:type="pct"/>
            <w:tcBorders>
              <w:top w:val="nil"/>
              <w:left w:val="nil"/>
              <w:bottom w:val="nil"/>
              <w:right w:val="nil"/>
            </w:tcBorders>
            <w:vAlign w:val="center"/>
          </w:tcPr>
          <w:p w14:paraId="1AB57C70" w14:textId="1A0E333A" w:rsidR="000318FF" w:rsidRPr="00897208" w:rsidRDefault="00CA3D39" w:rsidP="000318FF">
            <w:pPr>
              <w:spacing w:before="0" w:after="0"/>
              <w:jc w:val="center"/>
              <w:rPr>
                <w:sz w:val="20"/>
                <w:szCs w:val="18"/>
              </w:rPr>
            </w:pPr>
            <w:r>
              <w:rPr>
                <w:sz w:val="20"/>
                <w:szCs w:val="18"/>
              </w:rPr>
              <w:t>Weibull (3P)</w:t>
            </w:r>
          </w:p>
        </w:tc>
        <w:tc>
          <w:tcPr>
            <w:tcW w:w="1666" w:type="pct"/>
            <w:tcBorders>
              <w:top w:val="nil"/>
              <w:left w:val="nil"/>
              <w:bottom w:val="nil"/>
              <w:right w:val="nil"/>
            </w:tcBorders>
            <w:vAlign w:val="center"/>
          </w:tcPr>
          <w:p w14:paraId="3F739055" w14:textId="71C075B5" w:rsidR="000318FF" w:rsidRPr="00897208" w:rsidRDefault="00CA3D39" w:rsidP="000318FF">
            <w:pPr>
              <w:spacing w:before="0" w:after="0"/>
              <w:jc w:val="center"/>
              <w:rPr>
                <w:sz w:val="20"/>
                <w:szCs w:val="18"/>
              </w:rPr>
            </w:pPr>
            <w:r>
              <w:rPr>
                <w:sz w:val="20"/>
                <w:szCs w:val="18"/>
              </w:rPr>
              <w:t>0.16551</w:t>
            </w:r>
          </w:p>
        </w:tc>
        <w:tc>
          <w:tcPr>
            <w:tcW w:w="1666" w:type="pct"/>
            <w:tcBorders>
              <w:top w:val="nil"/>
              <w:left w:val="nil"/>
              <w:bottom w:val="nil"/>
              <w:right w:val="nil"/>
            </w:tcBorders>
            <w:vAlign w:val="center"/>
          </w:tcPr>
          <w:p w14:paraId="4F74D6D5" w14:textId="7F709796" w:rsidR="000318FF" w:rsidRPr="00897208" w:rsidRDefault="00CA3D39" w:rsidP="000318FF">
            <w:pPr>
              <w:spacing w:before="0" w:after="0"/>
              <w:jc w:val="center"/>
              <w:rPr>
                <w:sz w:val="20"/>
                <w:szCs w:val="18"/>
              </w:rPr>
            </w:pPr>
            <w:r>
              <w:rPr>
                <w:sz w:val="20"/>
                <w:szCs w:val="18"/>
              </w:rPr>
              <w:t>1</w:t>
            </w:r>
          </w:p>
        </w:tc>
      </w:tr>
      <w:tr w:rsidR="000318FF" w:rsidRPr="00897208" w14:paraId="23B147E2" w14:textId="77777777" w:rsidTr="00EC52DF">
        <w:tc>
          <w:tcPr>
            <w:tcW w:w="1668" w:type="pct"/>
            <w:tcBorders>
              <w:top w:val="nil"/>
              <w:left w:val="nil"/>
              <w:bottom w:val="nil"/>
              <w:right w:val="nil"/>
            </w:tcBorders>
            <w:vAlign w:val="center"/>
          </w:tcPr>
          <w:p w14:paraId="7D6658B0" w14:textId="3000F058" w:rsidR="000318FF" w:rsidRPr="00897208" w:rsidRDefault="00CA3D39" w:rsidP="000318FF">
            <w:pPr>
              <w:spacing w:before="0" w:after="0"/>
              <w:jc w:val="center"/>
              <w:rPr>
                <w:sz w:val="20"/>
                <w:szCs w:val="18"/>
              </w:rPr>
            </w:pPr>
            <w:r>
              <w:rPr>
                <w:sz w:val="20"/>
                <w:szCs w:val="18"/>
              </w:rPr>
              <w:t>Lognormal (3P)</w:t>
            </w:r>
          </w:p>
        </w:tc>
        <w:tc>
          <w:tcPr>
            <w:tcW w:w="1666" w:type="pct"/>
            <w:tcBorders>
              <w:top w:val="nil"/>
              <w:left w:val="nil"/>
              <w:bottom w:val="nil"/>
              <w:right w:val="nil"/>
            </w:tcBorders>
            <w:vAlign w:val="center"/>
          </w:tcPr>
          <w:p w14:paraId="5A65452F" w14:textId="229FC247" w:rsidR="000318FF" w:rsidRPr="00897208" w:rsidRDefault="00CA3D39" w:rsidP="000318FF">
            <w:pPr>
              <w:spacing w:before="0" w:after="0"/>
              <w:jc w:val="center"/>
              <w:rPr>
                <w:sz w:val="20"/>
                <w:szCs w:val="18"/>
              </w:rPr>
            </w:pPr>
            <w:r>
              <w:rPr>
                <w:sz w:val="20"/>
                <w:szCs w:val="18"/>
              </w:rPr>
              <w:t>0.17204</w:t>
            </w:r>
          </w:p>
        </w:tc>
        <w:tc>
          <w:tcPr>
            <w:tcW w:w="1666" w:type="pct"/>
            <w:tcBorders>
              <w:top w:val="nil"/>
              <w:left w:val="nil"/>
              <w:bottom w:val="nil"/>
              <w:right w:val="nil"/>
            </w:tcBorders>
            <w:vAlign w:val="center"/>
          </w:tcPr>
          <w:p w14:paraId="7A1BEF9E" w14:textId="65ECD3F7" w:rsidR="000318FF" w:rsidRPr="00897208" w:rsidRDefault="00CA3D39" w:rsidP="000318FF">
            <w:pPr>
              <w:spacing w:before="0" w:after="0"/>
              <w:jc w:val="center"/>
              <w:rPr>
                <w:sz w:val="20"/>
                <w:szCs w:val="18"/>
              </w:rPr>
            </w:pPr>
            <w:r>
              <w:rPr>
                <w:sz w:val="20"/>
                <w:szCs w:val="18"/>
              </w:rPr>
              <w:t>2</w:t>
            </w:r>
          </w:p>
        </w:tc>
      </w:tr>
      <w:tr w:rsidR="000318FF" w:rsidRPr="00897208" w14:paraId="545699D8" w14:textId="77777777" w:rsidTr="00EC52DF">
        <w:tc>
          <w:tcPr>
            <w:tcW w:w="1668" w:type="pct"/>
            <w:tcBorders>
              <w:top w:val="nil"/>
              <w:left w:val="nil"/>
              <w:bottom w:val="nil"/>
              <w:right w:val="nil"/>
            </w:tcBorders>
            <w:vAlign w:val="center"/>
          </w:tcPr>
          <w:p w14:paraId="631F6185" w14:textId="6199E98A" w:rsidR="000318FF" w:rsidRPr="00897208" w:rsidRDefault="00CA3D39" w:rsidP="000318FF">
            <w:pPr>
              <w:spacing w:before="0" w:after="0"/>
              <w:jc w:val="center"/>
              <w:rPr>
                <w:sz w:val="20"/>
                <w:szCs w:val="18"/>
              </w:rPr>
            </w:pPr>
            <w:r>
              <w:rPr>
                <w:sz w:val="20"/>
                <w:szCs w:val="18"/>
              </w:rPr>
              <w:t>Pareto</w:t>
            </w:r>
          </w:p>
        </w:tc>
        <w:tc>
          <w:tcPr>
            <w:tcW w:w="1666" w:type="pct"/>
            <w:tcBorders>
              <w:top w:val="nil"/>
              <w:left w:val="nil"/>
              <w:bottom w:val="nil"/>
              <w:right w:val="nil"/>
            </w:tcBorders>
            <w:vAlign w:val="center"/>
          </w:tcPr>
          <w:p w14:paraId="45ED22E7" w14:textId="29CC103D" w:rsidR="000318FF" w:rsidRPr="00897208" w:rsidRDefault="00CA3D39" w:rsidP="000318FF">
            <w:pPr>
              <w:spacing w:before="0" w:after="0"/>
              <w:jc w:val="center"/>
              <w:rPr>
                <w:sz w:val="20"/>
                <w:szCs w:val="18"/>
              </w:rPr>
            </w:pPr>
            <w:r>
              <w:rPr>
                <w:sz w:val="20"/>
                <w:szCs w:val="18"/>
              </w:rPr>
              <w:t>0.18938</w:t>
            </w:r>
          </w:p>
        </w:tc>
        <w:tc>
          <w:tcPr>
            <w:tcW w:w="1666" w:type="pct"/>
            <w:tcBorders>
              <w:top w:val="nil"/>
              <w:left w:val="nil"/>
              <w:bottom w:val="nil"/>
              <w:right w:val="nil"/>
            </w:tcBorders>
            <w:vAlign w:val="center"/>
          </w:tcPr>
          <w:p w14:paraId="3560CDDD" w14:textId="1497BF04" w:rsidR="000318FF" w:rsidRPr="00897208" w:rsidRDefault="00CA3D39" w:rsidP="000318FF">
            <w:pPr>
              <w:spacing w:before="0" w:after="0"/>
              <w:jc w:val="center"/>
              <w:rPr>
                <w:sz w:val="20"/>
                <w:szCs w:val="18"/>
              </w:rPr>
            </w:pPr>
            <w:r>
              <w:rPr>
                <w:sz w:val="20"/>
                <w:szCs w:val="18"/>
              </w:rPr>
              <w:t>3</w:t>
            </w:r>
          </w:p>
        </w:tc>
      </w:tr>
      <w:tr w:rsidR="000318FF" w:rsidRPr="00897208" w14:paraId="7AD9A3DD" w14:textId="77777777" w:rsidTr="00EC52DF">
        <w:tc>
          <w:tcPr>
            <w:tcW w:w="1668" w:type="pct"/>
            <w:tcBorders>
              <w:top w:val="nil"/>
              <w:left w:val="nil"/>
              <w:bottom w:val="nil"/>
              <w:right w:val="nil"/>
            </w:tcBorders>
            <w:vAlign w:val="center"/>
          </w:tcPr>
          <w:p w14:paraId="1958DCE5" w14:textId="167D3AE7" w:rsidR="000318FF" w:rsidRPr="00897208" w:rsidRDefault="00CA3D39" w:rsidP="000318FF">
            <w:pPr>
              <w:spacing w:before="0" w:after="0"/>
              <w:jc w:val="center"/>
              <w:rPr>
                <w:sz w:val="20"/>
                <w:szCs w:val="18"/>
              </w:rPr>
            </w:pPr>
            <w:r>
              <w:rPr>
                <w:sz w:val="20"/>
                <w:szCs w:val="18"/>
              </w:rPr>
              <w:t>Beta</w:t>
            </w:r>
          </w:p>
        </w:tc>
        <w:tc>
          <w:tcPr>
            <w:tcW w:w="1666" w:type="pct"/>
            <w:tcBorders>
              <w:top w:val="nil"/>
              <w:left w:val="nil"/>
              <w:bottom w:val="nil"/>
              <w:right w:val="nil"/>
            </w:tcBorders>
            <w:vAlign w:val="center"/>
          </w:tcPr>
          <w:p w14:paraId="011F067A" w14:textId="6FBC11E5" w:rsidR="000318FF" w:rsidRPr="00897208" w:rsidRDefault="00CA3D39" w:rsidP="000318FF">
            <w:pPr>
              <w:spacing w:before="0" w:after="0"/>
              <w:jc w:val="center"/>
              <w:rPr>
                <w:sz w:val="20"/>
                <w:szCs w:val="18"/>
              </w:rPr>
            </w:pPr>
            <w:r>
              <w:rPr>
                <w:sz w:val="20"/>
                <w:szCs w:val="18"/>
              </w:rPr>
              <w:t>0.18940</w:t>
            </w:r>
          </w:p>
        </w:tc>
        <w:tc>
          <w:tcPr>
            <w:tcW w:w="1666" w:type="pct"/>
            <w:tcBorders>
              <w:top w:val="nil"/>
              <w:left w:val="nil"/>
              <w:bottom w:val="nil"/>
              <w:right w:val="nil"/>
            </w:tcBorders>
            <w:vAlign w:val="center"/>
          </w:tcPr>
          <w:p w14:paraId="1E481C29" w14:textId="1D07704F" w:rsidR="000318FF" w:rsidRPr="00897208" w:rsidRDefault="00CA3D39" w:rsidP="000318FF">
            <w:pPr>
              <w:spacing w:before="0" w:after="0"/>
              <w:jc w:val="center"/>
              <w:rPr>
                <w:sz w:val="20"/>
                <w:szCs w:val="18"/>
              </w:rPr>
            </w:pPr>
            <w:r>
              <w:rPr>
                <w:sz w:val="20"/>
                <w:szCs w:val="18"/>
              </w:rPr>
              <w:t>4</w:t>
            </w:r>
          </w:p>
        </w:tc>
      </w:tr>
      <w:tr w:rsidR="000318FF" w:rsidRPr="00897208" w14:paraId="68BDE5E7" w14:textId="77777777" w:rsidTr="00EC52DF">
        <w:tc>
          <w:tcPr>
            <w:tcW w:w="1668" w:type="pct"/>
            <w:tcBorders>
              <w:top w:val="nil"/>
              <w:left w:val="nil"/>
              <w:right w:val="nil"/>
            </w:tcBorders>
            <w:vAlign w:val="center"/>
          </w:tcPr>
          <w:p w14:paraId="0A70533E" w14:textId="2E56D8DE" w:rsidR="000318FF" w:rsidRPr="00897208" w:rsidRDefault="00CA3D39" w:rsidP="000318FF">
            <w:pPr>
              <w:spacing w:before="0" w:after="0"/>
              <w:jc w:val="center"/>
              <w:rPr>
                <w:sz w:val="20"/>
                <w:szCs w:val="18"/>
              </w:rPr>
            </w:pPr>
            <w:r>
              <w:rPr>
                <w:sz w:val="20"/>
                <w:szCs w:val="18"/>
              </w:rPr>
              <w:t>Gamma (3P)</w:t>
            </w:r>
          </w:p>
        </w:tc>
        <w:tc>
          <w:tcPr>
            <w:tcW w:w="1666" w:type="pct"/>
            <w:tcBorders>
              <w:top w:val="nil"/>
              <w:left w:val="nil"/>
              <w:right w:val="nil"/>
            </w:tcBorders>
            <w:vAlign w:val="center"/>
          </w:tcPr>
          <w:p w14:paraId="1236320A" w14:textId="18567862" w:rsidR="000318FF" w:rsidRPr="00897208" w:rsidRDefault="00CA3D39" w:rsidP="000318FF">
            <w:pPr>
              <w:spacing w:before="0" w:after="0"/>
              <w:jc w:val="center"/>
              <w:rPr>
                <w:sz w:val="20"/>
                <w:szCs w:val="18"/>
              </w:rPr>
            </w:pPr>
            <w:r>
              <w:rPr>
                <w:sz w:val="20"/>
                <w:szCs w:val="18"/>
              </w:rPr>
              <w:t>0.19054</w:t>
            </w:r>
          </w:p>
        </w:tc>
        <w:tc>
          <w:tcPr>
            <w:tcW w:w="1666" w:type="pct"/>
            <w:tcBorders>
              <w:top w:val="nil"/>
              <w:left w:val="nil"/>
              <w:right w:val="nil"/>
            </w:tcBorders>
            <w:vAlign w:val="center"/>
          </w:tcPr>
          <w:p w14:paraId="442A6C2B" w14:textId="485510A8" w:rsidR="000318FF" w:rsidRPr="00897208" w:rsidRDefault="00CA3D39" w:rsidP="000318FF">
            <w:pPr>
              <w:spacing w:before="0" w:after="0"/>
              <w:jc w:val="center"/>
              <w:rPr>
                <w:sz w:val="20"/>
                <w:szCs w:val="18"/>
              </w:rPr>
            </w:pPr>
            <w:r>
              <w:rPr>
                <w:sz w:val="20"/>
                <w:szCs w:val="18"/>
              </w:rPr>
              <w:t>5</w:t>
            </w:r>
          </w:p>
        </w:tc>
      </w:tr>
    </w:tbl>
    <w:p w14:paraId="5247401F" w14:textId="2DDDB5C0" w:rsidR="009B7ED1" w:rsidRDefault="009B7ED1" w:rsidP="009B7ED1">
      <w:pPr>
        <w:pStyle w:val="Caption"/>
        <w:jc w:val="both"/>
      </w:pPr>
      <w:bookmarkStart w:id="765" w:name="_Ref100146388"/>
      <w:bookmarkStart w:id="766" w:name="_Ref100146381"/>
      <w:bookmarkStart w:id="767" w:name="_Toc101274522"/>
      <w:r>
        <w:t xml:space="preserve">Table </w:t>
      </w:r>
      <w:fldSimple w:instr=" SEQ Table \* ARABIC ">
        <w:r w:rsidR="00587AF0">
          <w:rPr>
            <w:noProof/>
          </w:rPr>
          <w:t>82</w:t>
        </w:r>
      </w:fldSimple>
      <w:bookmarkEnd w:id="765"/>
      <w:r>
        <w:t>. Parameters of the best-fit</w:t>
      </w:r>
      <w:r w:rsidR="00A46EE6">
        <w:t>ted</w:t>
      </w:r>
      <w:r>
        <w:t xml:space="preserve"> distribution</w:t>
      </w:r>
      <w:r w:rsidR="00A46EE6">
        <w:t>s</w:t>
      </w:r>
      <w:bookmarkEnd w:id="766"/>
      <w:bookmarkEnd w:id="767"/>
    </w:p>
    <w:tbl>
      <w:tblPr>
        <w:tblStyle w:val="TableGrid"/>
        <w:tblW w:w="5000" w:type="pct"/>
        <w:tblLook w:val="04A0" w:firstRow="1" w:lastRow="0" w:firstColumn="1" w:lastColumn="0" w:noHBand="0" w:noVBand="1"/>
      </w:tblPr>
      <w:tblGrid>
        <w:gridCol w:w="1304"/>
        <w:gridCol w:w="660"/>
        <w:gridCol w:w="661"/>
        <w:gridCol w:w="561"/>
        <w:gridCol w:w="563"/>
        <w:gridCol w:w="659"/>
        <w:gridCol w:w="758"/>
        <w:gridCol w:w="561"/>
        <w:gridCol w:w="659"/>
        <w:gridCol w:w="661"/>
        <w:gridCol w:w="758"/>
        <w:gridCol w:w="758"/>
        <w:gridCol w:w="464"/>
      </w:tblGrid>
      <w:tr w:rsidR="00E63ED0" w:rsidRPr="00897208" w14:paraId="1C55F1A2" w14:textId="1FC279FC" w:rsidTr="00B717F3">
        <w:tc>
          <w:tcPr>
            <w:tcW w:w="722" w:type="pct"/>
            <w:vMerge w:val="restart"/>
            <w:tcBorders>
              <w:top w:val="single" w:sz="4" w:space="0" w:color="auto"/>
              <w:left w:val="nil"/>
              <w:bottom w:val="nil"/>
              <w:right w:val="nil"/>
            </w:tcBorders>
            <w:vAlign w:val="center"/>
          </w:tcPr>
          <w:p w14:paraId="1273BF07" w14:textId="77777777" w:rsidR="00DD24C4" w:rsidRPr="00897208" w:rsidRDefault="00DD24C4" w:rsidP="00830371">
            <w:pPr>
              <w:spacing w:before="0" w:after="0"/>
              <w:jc w:val="center"/>
              <w:rPr>
                <w:b/>
                <w:bCs/>
                <w:sz w:val="20"/>
                <w:szCs w:val="18"/>
              </w:rPr>
            </w:pPr>
            <w:r w:rsidRPr="00897208">
              <w:rPr>
                <w:b/>
                <w:bCs/>
                <w:sz w:val="20"/>
                <w:szCs w:val="18"/>
              </w:rPr>
              <w:t>Distribution</w:t>
            </w:r>
          </w:p>
        </w:tc>
        <w:tc>
          <w:tcPr>
            <w:tcW w:w="731" w:type="pct"/>
            <w:gridSpan w:val="2"/>
            <w:tcBorders>
              <w:top w:val="single" w:sz="4" w:space="0" w:color="auto"/>
              <w:left w:val="nil"/>
              <w:bottom w:val="nil"/>
              <w:right w:val="nil"/>
            </w:tcBorders>
            <w:vAlign w:val="center"/>
          </w:tcPr>
          <w:p w14:paraId="6EEB6065" w14:textId="47940B2A" w:rsidR="00DD24C4" w:rsidRPr="00897208" w:rsidRDefault="00DD24C4" w:rsidP="00830371">
            <w:pPr>
              <w:spacing w:before="0" w:after="0"/>
              <w:jc w:val="center"/>
              <w:rPr>
                <w:b/>
                <w:bCs/>
                <w:sz w:val="20"/>
                <w:szCs w:val="18"/>
              </w:rPr>
            </w:pPr>
            <w:r>
              <w:rPr>
                <w:b/>
                <w:bCs/>
                <w:sz w:val="20"/>
                <w:szCs w:val="18"/>
              </w:rPr>
              <w:t>Lognormal</w:t>
            </w:r>
          </w:p>
        </w:tc>
        <w:tc>
          <w:tcPr>
            <w:tcW w:w="623" w:type="pct"/>
            <w:gridSpan w:val="2"/>
            <w:tcBorders>
              <w:top w:val="single" w:sz="4" w:space="0" w:color="auto"/>
              <w:left w:val="nil"/>
              <w:bottom w:val="nil"/>
              <w:right w:val="nil"/>
            </w:tcBorders>
            <w:vAlign w:val="center"/>
          </w:tcPr>
          <w:p w14:paraId="56DDF6E7" w14:textId="60E60155" w:rsidR="00DD24C4" w:rsidRDefault="00DD24C4" w:rsidP="00830371">
            <w:pPr>
              <w:spacing w:before="0" w:after="0"/>
              <w:jc w:val="center"/>
              <w:rPr>
                <w:b/>
                <w:bCs/>
                <w:sz w:val="20"/>
                <w:szCs w:val="18"/>
              </w:rPr>
            </w:pPr>
            <w:r>
              <w:rPr>
                <w:b/>
                <w:bCs/>
                <w:sz w:val="20"/>
                <w:szCs w:val="18"/>
              </w:rPr>
              <w:t>Pareto</w:t>
            </w:r>
          </w:p>
        </w:tc>
        <w:tc>
          <w:tcPr>
            <w:tcW w:w="1096" w:type="pct"/>
            <w:gridSpan w:val="3"/>
            <w:tcBorders>
              <w:top w:val="single" w:sz="4" w:space="0" w:color="auto"/>
              <w:left w:val="nil"/>
              <w:bottom w:val="nil"/>
              <w:right w:val="nil"/>
            </w:tcBorders>
            <w:vAlign w:val="center"/>
          </w:tcPr>
          <w:p w14:paraId="03CAF506" w14:textId="01F485CD" w:rsidR="00DD24C4" w:rsidRDefault="00DD24C4" w:rsidP="00830371">
            <w:pPr>
              <w:spacing w:before="0" w:after="0"/>
              <w:jc w:val="center"/>
              <w:rPr>
                <w:b/>
                <w:bCs/>
                <w:sz w:val="20"/>
                <w:szCs w:val="18"/>
              </w:rPr>
            </w:pPr>
            <w:r>
              <w:rPr>
                <w:b/>
                <w:bCs/>
                <w:sz w:val="20"/>
                <w:szCs w:val="18"/>
              </w:rPr>
              <w:t>Weibull (3P)</w:t>
            </w:r>
          </w:p>
        </w:tc>
        <w:tc>
          <w:tcPr>
            <w:tcW w:w="731" w:type="pct"/>
            <w:gridSpan w:val="2"/>
            <w:tcBorders>
              <w:top w:val="single" w:sz="4" w:space="0" w:color="auto"/>
              <w:left w:val="nil"/>
              <w:bottom w:val="nil"/>
              <w:right w:val="nil"/>
            </w:tcBorders>
          </w:tcPr>
          <w:p w14:paraId="2B1F76D5" w14:textId="0F45F4C1" w:rsidR="00DD24C4" w:rsidRDefault="00B717F3" w:rsidP="00830371">
            <w:pPr>
              <w:spacing w:before="0" w:after="0"/>
              <w:jc w:val="center"/>
              <w:rPr>
                <w:b/>
                <w:bCs/>
                <w:sz w:val="20"/>
                <w:szCs w:val="18"/>
              </w:rPr>
            </w:pPr>
            <w:r>
              <w:rPr>
                <w:b/>
                <w:bCs/>
                <w:sz w:val="20"/>
                <w:szCs w:val="18"/>
              </w:rPr>
              <w:t>Beta</w:t>
            </w:r>
          </w:p>
        </w:tc>
        <w:tc>
          <w:tcPr>
            <w:tcW w:w="1097" w:type="pct"/>
            <w:gridSpan w:val="3"/>
            <w:tcBorders>
              <w:top w:val="single" w:sz="4" w:space="0" w:color="auto"/>
              <w:left w:val="nil"/>
              <w:bottom w:val="nil"/>
              <w:right w:val="nil"/>
            </w:tcBorders>
            <w:vAlign w:val="center"/>
          </w:tcPr>
          <w:p w14:paraId="02CE70AC" w14:textId="41E5E217" w:rsidR="00DD24C4" w:rsidRDefault="00DD24C4" w:rsidP="00830371">
            <w:pPr>
              <w:spacing w:before="0" w:after="0"/>
              <w:jc w:val="center"/>
              <w:rPr>
                <w:b/>
                <w:bCs/>
                <w:sz w:val="20"/>
                <w:szCs w:val="18"/>
              </w:rPr>
            </w:pPr>
            <w:r>
              <w:rPr>
                <w:b/>
                <w:bCs/>
                <w:sz w:val="20"/>
                <w:szCs w:val="18"/>
              </w:rPr>
              <w:t>Gamma (3P)</w:t>
            </w:r>
          </w:p>
        </w:tc>
      </w:tr>
      <w:tr w:rsidR="00B717F3" w:rsidRPr="00897208" w14:paraId="058C73B2" w14:textId="46078B4B" w:rsidTr="00B717F3">
        <w:tc>
          <w:tcPr>
            <w:tcW w:w="722" w:type="pct"/>
            <w:vMerge/>
            <w:tcBorders>
              <w:top w:val="nil"/>
              <w:left w:val="nil"/>
              <w:bottom w:val="single" w:sz="4" w:space="0" w:color="auto"/>
              <w:right w:val="nil"/>
            </w:tcBorders>
            <w:vAlign w:val="center"/>
          </w:tcPr>
          <w:p w14:paraId="2823950A" w14:textId="77777777" w:rsidR="00B717F3" w:rsidRPr="00897208" w:rsidRDefault="00B717F3" w:rsidP="00B717F3">
            <w:pPr>
              <w:spacing w:before="0" w:after="0"/>
              <w:jc w:val="center"/>
              <w:rPr>
                <w:sz w:val="20"/>
                <w:szCs w:val="18"/>
              </w:rPr>
            </w:pPr>
          </w:p>
        </w:tc>
        <w:tc>
          <w:tcPr>
            <w:tcW w:w="365" w:type="pct"/>
            <w:tcBorders>
              <w:top w:val="nil"/>
              <w:left w:val="nil"/>
              <w:bottom w:val="single" w:sz="4" w:space="0" w:color="auto"/>
              <w:right w:val="nil"/>
            </w:tcBorders>
            <w:vAlign w:val="center"/>
          </w:tcPr>
          <w:p w14:paraId="2DD3C1A6" w14:textId="77777777" w:rsidR="00B717F3" w:rsidRPr="00A167BA" w:rsidRDefault="00B717F3" w:rsidP="00B717F3">
            <w:pPr>
              <w:spacing w:before="0" w:after="0"/>
              <w:jc w:val="center"/>
              <w:rPr>
                <w:b/>
                <w:bCs/>
                <w:i/>
                <w:iCs/>
                <w:sz w:val="20"/>
                <w:szCs w:val="18"/>
              </w:rPr>
            </w:pPr>
            <w:r w:rsidRPr="00A167BA">
              <w:rPr>
                <w:b/>
                <w:bCs/>
                <w:i/>
                <w:iCs/>
                <w:sz w:val="20"/>
                <w:szCs w:val="18"/>
              </w:rPr>
              <w:t>μ</w:t>
            </w:r>
          </w:p>
        </w:tc>
        <w:tc>
          <w:tcPr>
            <w:tcW w:w="365" w:type="pct"/>
            <w:tcBorders>
              <w:top w:val="nil"/>
              <w:left w:val="nil"/>
              <w:bottom w:val="single" w:sz="4" w:space="0" w:color="auto"/>
              <w:right w:val="nil"/>
            </w:tcBorders>
            <w:vAlign w:val="center"/>
          </w:tcPr>
          <w:p w14:paraId="2FB8DBB7" w14:textId="77777777" w:rsidR="00B717F3" w:rsidRPr="00A167BA" w:rsidRDefault="00B717F3" w:rsidP="00B717F3">
            <w:pPr>
              <w:spacing w:before="0" w:after="0"/>
              <w:jc w:val="center"/>
              <w:rPr>
                <w:b/>
                <w:bCs/>
                <w:i/>
                <w:iCs/>
                <w:sz w:val="20"/>
                <w:szCs w:val="18"/>
              </w:rPr>
            </w:pPr>
            <w:r w:rsidRPr="00A167BA">
              <w:rPr>
                <w:b/>
                <w:bCs/>
                <w:i/>
                <w:iCs/>
                <w:sz w:val="20"/>
                <w:szCs w:val="18"/>
              </w:rPr>
              <w:t>σ</w:t>
            </w:r>
          </w:p>
        </w:tc>
        <w:tc>
          <w:tcPr>
            <w:tcW w:w="311" w:type="pct"/>
            <w:tcBorders>
              <w:top w:val="nil"/>
              <w:left w:val="nil"/>
              <w:bottom w:val="single" w:sz="4" w:space="0" w:color="auto"/>
              <w:right w:val="nil"/>
            </w:tcBorders>
            <w:vAlign w:val="center"/>
          </w:tcPr>
          <w:p w14:paraId="61D1D039" w14:textId="523EBD6A" w:rsidR="00B717F3" w:rsidRPr="00A167BA" w:rsidRDefault="00B717F3" w:rsidP="00B717F3">
            <w:pPr>
              <w:spacing w:before="0" w:after="0"/>
              <w:jc w:val="center"/>
              <w:rPr>
                <w:b/>
                <w:bCs/>
                <w:i/>
                <w:iCs/>
                <w:sz w:val="20"/>
                <w:szCs w:val="18"/>
              </w:rPr>
            </w:pPr>
            <w:r w:rsidRPr="00A167BA">
              <w:rPr>
                <w:b/>
                <w:bCs/>
                <w:i/>
                <w:iCs/>
                <w:sz w:val="20"/>
                <w:szCs w:val="18"/>
              </w:rPr>
              <w:t>α</w:t>
            </w:r>
          </w:p>
        </w:tc>
        <w:tc>
          <w:tcPr>
            <w:tcW w:w="311" w:type="pct"/>
            <w:tcBorders>
              <w:top w:val="nil"/>
              <w:left w:val="nil"/>
              <w:bottom w:val="single" w:sz="4" w:space="0" w:color="auto"/>
              <w:right w:val="nil"/>
            </w:tcBorders>
            <w:vAlign w:val="center"/>
          </w:tcPr>
          <w:p w14:paraId="492E0541" w14:textId="4BF57D66" w:rsidR="00B717F3" w:rsidRPr="00A167BA" w:rsidRDefault="00B717F3" w:rsidP="00B717F3">
            <w:pPr>
              <w:spacing w:before="0" w:after="0"/>
              <w:jc w:val="center"/>
              <w:rPr>
                <w:b/>
                <w:bCs/>
                <w:i/>
                <w:iCs/>
                <w:sz w:val="20"/>
                <w:szCs w:val="18"/>
              </w:rPr>
            </w:pPr>
            <w:r w:rsidRPr="00A167BA">
              <w:rPr>
                <w:b/>
                <w:bCs/>
                <w:i/>
                <w:iCs/>
                <w:sz w:val="20"/>
                <w:szCs w:val="18"/>
              </w:rPr>
              <w:t>β</w:t>
            </w:r>
          </w:p>
        </w:tc>
        <w:tc>
          <w:tcPr>
            <w:tcW w:w="365" w:type="pct"/>
            <w:tcBorders>
              <w:top w:val="nil"/>
              <w:left w:val="nil"/>
              <w:bottom w:val="single" w:sz="4" w:space="0" w:color="auto"/>
              <w:right w:val="nil"/>
            </w:tcBorders>
            <w:vAlign w:val="center"/>
          </w:tcPr>
          <w:p w14:paraId="5A9033BE" w14:textId="69394B15" w:rsidR="00B717F3" w:rsidRPr="00BD47CD" w:rsidRDefault="00B717F3" w:rsidP="00B717F3">
            <w:pPr>
              <w:spacing w:before="0" w:after="0"/>
              <w:jc w:val="center"/>
              <w:rPr>
                <w:b/>
                <w:bCs/>
                <w:sz w:val="20"/>
                <w:szCs w:val="18"/>
              </w:rPr>
            </w:pPr>
            <w:r w:rsidRPr="00A167BA">
              <w:rPr>
                <w:b/>
                <w:bCs/>
                <w:i/>
                <w:iCs/>
                <w:sz w:val="20"/>
                <w:szCs w:val="18"/>
              </w:rPr>
              <w:t>α</w:t>
            </w:r>
          </w:p>
        </w:tc>
        <w:tc>
          <w:tcPr>
            <w:tcW w:w="420" w:type="pct"/>
            <w:tcBorders>
              <w:top w:val="nil"/>
              <w:left w:val="nil"/>
              <w:bottom w:val="single" w:sz="4" w:space="0" w:color="auto"/>
              <w:right w:val="nil"/>
            </w:tcBorders>
            <w:vAlign w:val="center"/>
          </w:tcPr>
          <w:p w14:paraId="24A8BB60" w14:textId="5602656E" w:rsidR="00B717F3" w:rsidRPr="00BD47CD" w:rsidRDefault="00B717F3" w:rsidP="00B717F3">
            <w:pPr>
              <w:spacing w:before="0" w:after="0"/>
              <w:jc w:val="center"/>
              <w:rPr>
                <w:b/>
                <w:bCs/>
                <w:sz w:val="20"/>
                <w:szCs w:val="18"/>
              </w:rPr>
            </w:pPr>
            <w:r w:rsidRPr="00A167BA">
              <w:rPr>
                <w:b/>
                <w:bCs/>
                <w:i/>
                <w:iCs/>
                <w:sz w:val="20"/>
                <w:szCs w:val="18"/>
              </w:rPr>
              <w:t>β</w:t>
            </w:r>
          </w:p>
        </w:tc>
        <w:tc>
          <w:tcPr>
            <w:tcW w:w="311" w:type="pct"/>
            <w:tcBorders>
              <w:top w:val="nil"/>
              <w:left w:val="nil"/>
              <w:bottom w:val="single" w:sz="4" w:space="0" w:color="auto"/>
              <w:right w:val="nil"/>
            </w:tcBorders>
            <w:vAlign w:val="center"/>
          </w:tcPr>
          <w:p w14:paraId="3DE62E44" w14:textId="3DE05695" w:rsidR="00B717F3" w:rsidRPr="00A167BA" w:rsidRDefault="00B717F3" w:rsidP="00B717F3">
            <w:pPr>
              <w:spacing w:before="0" w:after="0"/>
              <w:jc w:val="center"/>
              <w:rPr>
                <w:b/>
                <w:bCs/>
                <w:i/>
                <w:iCs/>
                <w:sz w:val="20"/>
                <w:szCs w:val="18"/>
              </w:rPr>
            </w:pPr>
            <w:r>
              <w:rPr>
                <w:b/>
                <w:bCs/>
                <w:i/>
                <w:iCs/>
                <w:sz w:val="20"/>
                <w:szCs w:val="18"/>
              </w:rPr>
              <w:t>γ</w:t>
            </w:r>
          </w:p>
        </w:tc>
        <w:tc>
          <w:tcPr>
            <w:tcW w:w="365" w:type="pct"/>
            <w:tcBorders>
              <w:top w:val="nil"/>
              <w:left w:val="nil"/>
              <w:bottom w:val="single" w:sz="4" w:space="0" w:color="auto"/>
              <w:right w:val="nil"/>
            </w:tcBorders>
            <w:vAlign w:val="center"/>
          </w:tcPr>
          <w:p w14:paraId="371CFE6D" w14:textId="0273C3E5" w:rsidR="00B717F3" w:rsidRPr="00A167BA" w:rsidRDefault="00B717F3" w:rsidP="00B717F3">
            <w:pPr>
              <w:spacing w:before="0" w:after="0"/>
              <w:jc w:val="center"/>
              <w:rPr>
                <w:b/>
                <w:bCs/>
                <w:i/>
                <w:iCs/>
                <w:sz w:val="20"/>
                <w:szCs w:val="18"/>
              </w:rPr>
            </w:pPr>
            <w:r w:rsidRPr="00A167BA">
              <w:rPr>
                <w:b/>
                <w:bCs/>
                <w:i/>
                <w:iCs/>
                <w:sz w:val="20"/>
                <w:szCs w:val="18"/>
              </w:rPr>
              <w:t>α</w:t>
            </w:r>
          </w:p>
        </w:tc>
        <w:tc>
          <w:tcPr>
            <w:tcW w:w="365" w:type="pct"/>
            <w:tcBorders>
              <w:top w:val="nil"/>
              <w:left w:val="nil"/>
              <w:bottom w:val="single" w:sz="4" w:space="0" w:color="auto"/>
              <w:right w:val="nil"/>
            </w:tcBorders>
            <w:vAlign w:val="center"/>
          </w:tcPr>
          <w:p w14:paraId="3E6B8E75" w14:textId="2E2EDA52" w:rsidR="00B717F3" w:rsidRPr="00A167BA" w:rsidRDefault="00B717F3" w:rsidP="00B717F3">
            <w:pPr>
              <w:spacing w:before="0" w:after="0"/>
              <w:jc w:val="center"/>
              <w:rPr>
                <w:b/>
                <w:bCs/>
                <w:i/>
                <w:iCs/>
                <w:sz w:val="20"/>
                <w:szCs w:val="18"/>
              </w:rPr>
            </w:pPr>
            <w:r w:rsidRPr="00A167BA">
              <w:rPr>
                <w:b/>
                <w:bCs/>
                <w:i/>
                <w:iCs/>
                <w:sz w:val="20"/>
                <w:szCs w:val="18"/>
              </w:rPr>
              <w:t>β</w:t>
            </w:r>
          </w:p>
        </w:tc>
        <w:tc>
          <w:tcPr>
            <w:tcW w:w="420" w:type="pct"/>
            <w:tcBorders>
              <w:top w:val="nil"/>
              <w:left w:val="nil"/>
              <w:bottom w:val="single" w:sz="4" w:space="0" w:color="auto"/>
              <w:right w:val="nil"/>
            </w:tcBorders>
            <w:vAlign w:val="center"/>
          </w:tcPr>
          <w:p w14:paraId="02FDEDAD" w14:textId="0D1A20DE" w:rsidR="00B717F3" w:rsidRPr="00A167BA" w:rsidRDefault="00B717F3" w:rsidP="00B717F3">
            <w:pPr>
              <w:spacing w:before="0" w:after="0"/>
              <w:jc w:val="center"/>
              <w:rPr>
                <w:b/>
                <w:bCs/>
                <w:i/>
                <w:iCs/>
                <w:sz w:val="20"/>
                <w:szCs w:val="18"/>
              </w:rPr>
            </w:pPr>
            <w:r w:rsidRPr="00A167BA">
              <w:rPr>
                <w:b/>
                <w:bCs/>
                <w:i/>
                <w:iCs/>
                <w:sz w:val="20"/>
                <w:szCs w:val="18"/>
              </w:rPr>
              <w:t>α</w:t>
            </w:r>
          </w:p>
        </w:tc>
        <w:tc>
          <w:tcPr>
            <w:tcW w:w="420" w:type="pct"/>
            <w:tcBorders>
              <w:top w:val="nil"/>
              <w:left w:val="nil"/>
              <w:bottom w:val="single" w:sz="4" w:space="0" w:color="auto"/>
              <w:right w:val="nil"/>
            </w:tcBorders>
            <w:vAlign w:val="center"/>
          </w:tcPr>
          <w:p w14:paraId="6E838422" w14:textId="0EA18230" w:rsidR="00B717F3" w:rsidRPr="00A167BA" w:rsidRDefault="00B717F3" w:rsidP="00B717F3">
            <w:pPr>
              <w:spacing w:before="0" w:after="0"/>
              <w:jc w:val="center"/>
              <w:rPr>
                <w:b/>
                <w:bCs/>
                <w:i/>
                <w:iCs/>
                <w:sz w:val="20"/>
                <w:szCs w:val="18"/>
              </w:rPr>
            </w:pPr>
            <w:r w:rsidRPr="00A167BA">
              <w:rPr>
                <w:b/>
                <w:bCs/>
                <w:i/>
                <w:iCs/>
                <w:sz w:val="20"/>
                <w:szCs w:val="18"/>
              </w:rPr>
              <w:t>β</w:t>
            </w:r>
          </w:p>
        </w:tc>
        <w:tc>
          <w:tcPr>
            <w:tcW w:w="258" w:type="pct"/>
            <w:tcBorders>
              <w:top w:val="nil"/>
              <w:left w:val="nil"/>
              <w:bottom w:val="single" w:sz="4" w:space="0" w:color="auto"/>
              <w:right w:val="nil"/>
            </w:tcBorders>
            <w:vAlign w:val="center"/>
          </w:tcPr>
          <w:p w14:paraId="2A778AC6" w14:textId="650C3491" w:rsidR="00B717F3" w:rsidRPr="00A167BA" w:rsidRDefault="00B717F3" w:rsidP="00B717F3">
            <w:pPr>
              <w:spacing w:before="0" w:after="0"/>
              <w:jc w:val="center"/>
              <w:rPr>
                <w:b/>
                <w:bCs/>
                <w:i/>
                <w:iCs/>
                <w:sz w:val="20"/>
                <w:szCs w:val="18"/>
              </w:rPr>
            </w:pPr>
            <w:r>
              <w:rPr>
                <w:b/>
                <w:bCs/>
                <w:i/>
                <w:iCs/>
                <w:sz w:val="20"/>
                <w:szCs w:val="18"/>
              </w:rPr>
              <w:t>γ</w:t>
            </w:r>
          </w:p>
        </w:tc>
      </w:tr>
      <w:tr w:rsidR="00E63ED0" w:rsidRPr="00897208" w14:paraId="1E6BD201" w14:textId="61E30B69" w:rsidTr="00B717F3">
        <w:tc>
          <w:tcPr>
            <w:tcW w:w="722" w:type="pct"/>
            <w:tcBorders>
              <w:top w:val="single" w:sz="4" w:space="0" w:color="auto"/>
              <w:left w:val="nil"/>
              <w:bottom w:val="single" w:sz="4" w:space="0" w:color="auto"/>
              <w:right w:val="nil"/>
            </w:tcBorders>
            <w:vAlign w:val="center"/>
          </w:tcPr>
          <w:p w14:paraId="783F2869" w14:textId="4AE4C65C" w:rsidR="00DD24C4" w:rsidRPr="00897208" w:rsidRDefault="00DD24C4" w:rsidP="00DD24C4">
            <w:pPr>
              <w:spacing w:before="0" w:after="0"/>
              <w:jc w:val="center"/>
              <w:rPr>
                <w:sz w:val="20"/>
                <w:szCs w:val="18"/>
              </w:rPr>
            </w:pPr>
            <w:r>
              <w:rPr>
                <w:sz w:val="20"/>
                <w:szCs w:val="18"/>
              </w:rPr>
              <w:t>HyPower</w:t>
            </w:r>
          </w:p>
        </w:tc>
        <w:tc>
          <w:tcPr>
            <w:tcW w:w="365" w:type="pct"/>
            <w:tcBorders>
              <w:top w:val="single" w:sz="4" w:space="0" w:color="auto"/>
              <w:left w:val="nil"/>
              <w:bottom w:val="single" w:sz="4" w:space="0" w:color="auto"/>
              <w:right w:val="nil"/>
            </w:tcBorders>
            <w:vAlign w:val="center"/>
          </w:tcPr>
          <w:p w14:paraId="212062F2" w14:textId="62798F78" w:rsidR="00DD24C4" w:rsidRPr="00897208" w:rsidRDefault="00DD24C4" w:rsidP="00DD24C4">
            <w:pPr>
              <w:spacing w:before="0" w:after="0"/>
              <w:jc w:val="center"/>
              <w:rPr>
                <w:sz w:val="20"/>
                <w:szCs w:val="18"/>
              </w:rPr>
            </w:pPr>
            <w:r>
              <w:rPr>
                <w:sz w:val="20"/>
                <w:szCs w:val="18"/>
              </w:rPr>
              <w:t>2.9</w:t>
            </w:r>
            <w:r w:rsidR="00E63ED0">
              <w:rPr>
                <w:sz w:val="20"/>
                <w:szCs w:val="18"/>
              </w:rPr>
              <w:t>06</w:t>
            </w:r>
          </w:p>
        </w:tc>
        <w:tc>
          <w:tcPr>
            <w:tcW w:w="365" w:type="pct"/>
            <w:tcBorders>
              <w:top w:val="single" w:sz="4" w:space="0" w:color="auto"/>
              <w:left w:val="nil"/>
              <w:bottom w:val="single" w:sz="4" w:space="0" w:color="auto"/>
              <w:right w:val="nil"/>
            </w:tcBorders>
            <w:vAlign w:val="center"/>
          </w:tcPr>
          <w:p w14:paraId="7280B4C1" w14:textId="4467F1F4" w:rsidR="00DD24C4" w:rsidRPr="00897208" w:rsidRDefault="00E63ED0" w:rsidP="00DD24C4">
            <w:pPr>
              <w:spacing w:before="0" w:after="0"/>
              <w:jc w:val="center"/>
              <w:rPr>
                <w:sz w:val="20"/>
                <w:szCs w:val="18"/>
              </w:rPr>
            </w:pPr>
            <w:r>
              <w:rPr>
                <w:sz w:val="20"/>
                <w:szCs w:val="18"/>
              </w:rPr>
              <w:t>3.841</w:t>
            </w:r>
          </w:p>
        </w:tc>
        <w:tc>
          <w:tcPr>
            <w:tcW w:w="311" w:type="pct"/>
            <w:tcBorders>
              <w:top w:val="single" w:sz="4" w:space="0" w:color="auto"/>
              <w:left w:val="nil"/>
              <w:bottom w:val="single" w:sz="4" w:space="0" w:color="auto"/>
              <w:right w:val="nil"/>
            </w:tcBorders>
            <w:vAlign w:val="center"/>
          </w:tcPr>
          <w:p w14:paraId="4EA33DF5" w14:textId="5ACD5402" w:rsidR="00DD24C4" w:rsidRDefault="00DD24C4" w:rsidP="00DD24C4">
            <w:pPr>
              <w:spacing w:before="0" w:after="0"/>
              <w:jc w:val="center"/>
              <w:rPr>
                <w:sz w:val="20"/>
                <w:szCs w:val="18"/>
              </w:rPr>
            </w:pPr>
            <w:r>
              <w:rPr>
                <w:sz w:val="20"/>
                <w:szCs w:val="18"/>
              </w:rPr>
              <w:t>0.</w:t>
            </w:r>
            <w:r w:rsidR="00E63ED0">
              <w:rPr>
                <w:sz w:val="20"/>
                <w:szCs w:val="18"/>
              </w:rPr>
              <w:t>32</w:t>
            </w:r>
          </w:p>
        </w:tc>
        <w:tc>
          <w:tcPr>
            <w:tcW w:w="311" w:type="pct"/>
            <w:tcBorders>
              <w:top w:val="single" w:sz="4" w:space="0" w:color="auto"/>
              <w:left w:val="nil"/>
              <w:bottom w:val="single" w:sz="4" w:space="0" w:color="auto"/>
              <w:right w:val="nil"/>
            </w:tcBorders>
            <w:vAlign w:val="center"/>
          </w:tcPr>
          <w:p w14:paraId="678CC4EE" w14:textId="1D2F8165" w:rsidR="00DD24C4" w:rsidRDefault="00E63ED0" w:rsidP="00DD24C4">
            <w:pPr>
              <w:spacing w:before="0" w:after="0"/>
              <w:jc w:val="center"/>
              <w:rPr>
                <w:sz w:val="20"/>
                <w:szCs w:val="18"/>
              </w:rPr>
            </w:pPr>
            <w:r>
              <w:rPr>
                <w:sz w:val="20"/>
                <w:szCs w:val="18"/>
              </w:rPr>
              <w:t>1.98</w:t>
            </w:r>
          </w:p>
        </w:tc>
        <w:tc>
          <w:tcPr>
            <w:tcW w:w="365" w:type="pct"/>
            <w:tcBorders>
              <w:top w:val="single" w:sz="4" w:space="0" w:color="auto"/>
              <w:left w:val="nil"/>
              <w:bottom w:val="single" w:sz="4" w:space="0" w:color="auto"/>
              <w:right w:val="nil"/>
            </w:tcBorders>
            <w:vAlign w:val="center"/>
          </w:tcPr>
          <w:p w14:paraId="4E2DEC75" w14:textId="4E86B250" w:rsidR="00DD24C4" w:rsidRDefault="00DD24C4" w:rsidP="00DD24C4">
            <w:pPr>
              <w:spacing w:before="0" w:after="0"/>
              <w:jc w:val="center"/>
              <w:rPr>
                <w:sz w:val="20"/>
                <w:szCs w:val="18"/>
              </w:rPr>
            </w:pPr>
            <w:r>
              <w:rPr>
                <w:sz w:val="20"/>
                <w:szCs w:val="18"/>
              </w:rPr>
              <w:t>0.</w:t>
            </w:r>
            <w:r w:rsidR="00256C04">
              <w:rPr>
                <w:sz w:val="20"/>
                <w:szCs w:val="18"/>
              </w:rPr>
              <w:t>295</w:t>
            </w:r>
          </w:p>
        </w:tc>
        <w:tc>
          <w:tcPr>
            <w:tcW w:w="420" w:type="pct"/>
            <w:tcBorders>
              <w:top w:val="single" w:sz="4" w:space="0" w:color="auto"/>
              <w:left w:val="nil"/>
              <w:bottom w:val="single" w:sz="4" w:space="0" w:color="auto"/>
              <w:right w:val="nil"/>
            </w:tcBorders>
            <w:vAlign w:val="center"/>
          </w:tcPr>
          <w:p w14:paraId="1D59210D" w14:textId="054F8072" w:rsidR="00DD24C4" w:rsidRDefault="00256C04" w:rsidP="00DD24C4">
            <w:pPr>
              <w:spacing w:before="0" w:after="0"/>
              <w:jc w:val="center"/>
              <w:rPr>
                <w:sz w:val="20"/>
                <w:szCs w:val="18"/>
              </w:rPr>
            </w:pPr>
            <w:r>
              <w:rPr>
                <w:sz w:val="20"/>
                <w:szCs w:val="18"/>
              </w:rPr>
              <w:t>139.68</w:t>
            </w:r>
          </w:p>
        </w:tc>
        <w:tc>
          <w:tcPr>
            <w:tcW w:w="311" w:type="pct"/>
            <w:tcBorders>
              <w:top w:val="single" w:sz="4" w:space="0" w:color="auto"/>
              <w:left w:val="nil"/>
              <w:bottom w:val="single" w:sz="4" w:space="0" w:color="auto"/>
              <w:right w:val="nil"/>
            </w:tcBorders>
            <w:vAlign w:val="center"/>
          </w:tcPr>
          <w:p w14:paraId="28DF4A1D" w14:textId="78CF5F3A" w:rsidR="00DD24C4" w:rsidRDefault="00256C04" w:rsidP="00DD24C4">
            <w:pPr>
              <w:spacing w:before="0" w:after="0"/>
              <w:jc w:val="center"/>
              <w:rPr>
                <w:sz w:val="20"/>
                <w:szCs w:val="18"/>
              </w:rPr>
            </w:pPr>
            <w:r>
              <w:rPr>
                <w:sz w:val="20"/>
                <w:szCs w:val="18"/>
              </w:rPr>
              <w:t>1.98</w:t>
            </w:r>
          </w:p>
        </w:tc>
        <w:tc>
          <w:tcPr>
            <w:tcW w:w="365" w:type="pct"/>
            <w:tcBorders>
              <w:top w:val="single" w:sz="4" w:space="0" w:color="auto"/>
              <w:left w:val="nil"/>
              <w:bottom w:val="single" w:sz="4" w:space="0" w:color="auto"/>
              <w:right w:val="nil"/>
            </w:tcBorders>
            <w:vAlign w:val="center"/>
          </w:tcPr>
          <w:p w14:paraId="516B6F66" w14:textId="6029AD5A" w:rsidR="00DD24C4" w:rsidRDefault="00B717F3" w:rsidP="00DD24C4">
            <w:pPr>
              <w:spacing w:before="0" w:after="0"/>
              <w:jc w:val="center"/>
              <w:rPr>
                <w:sz w:val="20"/>
                <w:szCs w:val="18"/>
              </w:rPr>
            </w:pPr>
            <w:r>
              <w:rPr>
                <w:sz w:val="20"/>
                <w:szCs w:val="18"/>
              </w:rPr>
              <w:t>0.164</w:t>
            </w:r>
          </w:p>
        </w:tc>
        <w:tc>
          <w:tcPr>
            <w:tcW w:w="365" w:type="pct"/>
            <w:tcBorders>
              <w:top w:val="single" w:sz="4" w:space="0" w:color="auto"/>
              <w:left w:val="nil"/>
              <w:bottom w:val="single" w:sz="4" w:space="0" w:color="auto"/>
              <w:right w:val="nil"/>
            </w:tcBorders>
            <w:vAlign w:val="center"/>
          </w:tcPr>
          <w:p w14:paraId="1D53DA3A" w14:textId="6CE78916" w:rsidR="00DD24C4" w:rsidRDefault="00B717F3" w:rsidP="00DD24C4">
            <w:pPr>
              <w:spacing w:before="0" w:after="0"/>
              <w:jc w:val="center"/>
              <w:rPr>
                <w:sz w:val="20"/>
                <w:szCs w:val="18"/>
              </w:rPr>
            </w:pPr>
            <w:r>
              <w:rPr>
                <w:sz w:val="20"/>
                <w:szCs w:val="18"/>
              </w:rPr>
              <w:t>0.179</w:t>
            </w:r>
          </w:p>
        </w:tc>
        <w:tc>
          <w:tcPr>
            <w:tcW w:w="420" w:type="pct"/>
            <w:tcBorders>
              <w:top w:val="single" w:sz="4" w:space="0" w:color="auto"/>
              <w:left w:val="nil"/>
              <w:bottom w:val="single" w:sz="4" w:space="0" w:color="auto"/>
              <w:right w:val="nil"/>
            </w:tcBorders>
            <w:vAlign w:val="center"/>
          </w:tcPr>
          <w:p w14:paraId="47F31B1A" w14:textId="560BCA11" w:rsidR="00DD24C4" w:rsidRDefault="00DD24C4" w:rsidP="00DD24C4">
            <w:pPr>
              <w:spacing w:before="0" w:after="0"/>
              <w:jc w:val="center"/>
              <w:rPr>
                <w:sz w:val="20"/>
                <w:szCs w:val="18"/>
              </w:rPr>
            </w:pPr>
            <w:r>
              <w:rPr>
                <w:sz w:val="20"/>
                <w:szCs w:val="18"/>
              </w:rPr>
              <w:t>0.2004</w:t>
            </w:r>
          </w:p>
        </w:tc>
        <w:tc>
          <w:tcPr>
            <w:tcW w:w="420" w:type="pct"/>
            <w:tcBorders>
              <w:top w:val="single" w:sz="4" w:space="0" w:color="auto"/>
              <w:left w:val="nil"/>
              <w:bottom w:val="single" w:sz="4" w:space="0" w:color="auto"/>
              <w:right w:val="nil"/>
            </w:tcBorders>
            <w:vAlign w:val="center"/>
          </w:tcPr>
          <w:p w14:paraId="61624C3A" w14:textId="0C8EB489" w:rsidR="00DD24C4" w:rsidRDefault="00DD24C4" w:rsidP="00DD24C4">
            <w:pPr>
              <w:spacing w:before="0" w:after="0"/>
              <w:jc w:val="center"/>
              <w:rPr>
                <w:sz w:val="20"/>
                <w:szCs w:val="18"/>
              </w:rPr>
            </w:pPr>
            <w:r>
              <w:rPr>
                <w:sz w:val="20"/>
                <w:szCs w:val="18"/>
              </w:rPr>
              <w:t>2144.6</w:t>
            </w:r>
          </w:p>
        </w:tc>
        <w:tc>
          <w:tcPr>
            <w:tcW w:w="258" w:type="pct"/>
            <w:tcBorders>
              <w:top w:val="single" w:sz="4" w:space="0" w:color="auto"/>
              <w:left w:val="nil"/>
              <w:bottom w:val="single" w:sz="4" w:space="0" w:color="auto"/>
              <w:right w:val="nil"/>
            </w:tcBorders>
            <w:vAlign w:val="center"/>
          </w:tcPr>
          <w:p w14:paraId="5E39A7F0" w14:textId="4590AE0B" w:rsidR="00DD24C4" w:rsidRDefault="00DD24C4" w:rsidP="00DD24C4">
            <w:pPr>
              <w:spacing w:before="0" w:after="0"/>
              <w:jc w:val="center"/>
              <w:rPr>
                <w:sz w:val="20"/>
                <w:szCs w:val="18"/>
              </w:rPr>
            </w:pPr>
            <w:r>
              <w:rPr>
                <w:sz w:val="20"/>
                <w:szCs w:val="18"/>
              </w:rPr>
              <w:t>2.0</w:t>
            </w:r>
          </w:p>
        </w:tc>
      </w:tr>
    </w:tbl>
    <w:p w14:paraId="00E84EF6" w14:textId="2539A5EC" w:rsidR="0031101C" w:rsidRDefault="00455396" w:rsidP="0031101C">
      <w:r>
        <w:t xml:space="preserve">The reliability function calculation for the </w:t>
      </w:r>
      <w:r w:rsidR="00724F65">
        <w:t>lognormal distribution is given as:</w:t>
      </w:r>
    </w:p>
    <w:tbl>
      <w:tblPr>
        <w:tblW w:w="0" w:type="auto"/>
        <w:jc w:val="center"/>
        <w:tblLook w:val="04A0" w:firstRow="1" w:lastRow="0" w:firstColumn="1" w:lastColumn="0" w:noHBand="0" w:noVBand="1"/>
      </w:tblPr>
      <w:tblGrid>
        <w:gridCol w:w="8005"/>
        <w:gridCol w:w="1012"/>
      </w:tblGrid>
      <w:tr w:rsidR="00724F65" w14:paraId="57F57D67" w14:textId="77777777" w:rsidTr="006325D1">
        <w:trPr>
          <w:jc w:val="center"/>
        </w:trPr>
        <w:tc>
          <w:tcPr>
            <w:tcW w:w="8005" w:type="dxa"/>
            <w:vAlign w:val="center"/>
          </w:tcPr>
          <w:p w14:paraId="0F3C4947" w14:textId="476781DF" w:rsidR="00724F65" w:rsidRPr="0048121A" w:rsidRDefault="00427B33" w:rsidP="006325D1">
            <w:pPr>
              <w:jc w:val="center"/>
              <w:rPr>
                <w:rFonts w:ascii="Cambria Math" w:hAnsi="Cambria Math" w:cs="Times New Roman"/>
                <w:i/>
                <w:lang w:val="en-GB"/>
              </w:rPr>
            </w:pPr>
            <m:oMath>
              <m:sSub>
                <m:sSubPr>
                  <m:ctrlPr>
                    <w:rPr>
                      <w:rFonts w:ascii="Cambria Math" w:hAnsi="Cambria Math" w:cs="Times New Roman"/>
                      <w:i/>
                      <w:lang w:val="en-GB"/>
                    </w:rPr>
                  </m:ctrlPr>
                </m:sSubPr>
                <m:e>
                  <m:r>
                    <w:rPr>
                      <w:rFonts w:ascii="Cambria Math" w:hAnsi="Cambria Math" w:cs="Times New Roman"/>
                      <w:lang w:val="en-GB"/>
                    </w:rPr>
                    <m:t>R</m:t>
                  </m:r>
                </m:e>
                <m:sub>
                  <m:r>
                    <w:rPr>
                      <w:rFonts w:ascii="Cambria Math" w:hAnsi="Cambria Math" w:cs="Times New Roman"/>
                      <w:lang w:val="en-GB"/>
                    </w:rPr>
                    <m:t>hypower</m:t>
                  </m:r>
                </m:sub>
              </m:sSub>
              <m:d>
                <m:dPr>
                  <m:ctrlPr>
                    <w:rPr>
                      <w:rFonts w:ascii="Cambria Math" w:hAnsi="Cambria Math" w:cs="Times New Roman"/>
                      <w:i/>
                      <w:lang w:val="en-GB"/>
                    </w:rPr>
                  </m:ctrlPr>
                </m:dPr>
                <m:e>
                  <m:r>
                    <w:rPr>
                      <w:rFonts w:ascii="Cambria Math" w:hAnsi="Cambria Math" w:cs="Times New Roman"/>
                      <w:lang w:val="en-GB"/>
                    </w:rPr>
                    <m:t>t</m:t>
                  </m:r>
                </m:e>
              </m:d>
              <m:r>
                <w:rPr>
                  <w:rFonts w:ascii="Cambria Math" w:hAnsi="Cambria Math" w:cs="Times New Roman"/>
                  <w:lang w:val="en-GB"/>
                </w:rPr>
                <m:t>=</m:t>
              </m:r>
              <m:sSup>
                <m:sSupPr>
                  <m:ctrlPr>
                    <w:rPr>
                      <w:rFonts w:ascii="Cambria Math" w:hAnsi="Cambria Math" w:cs="Times New Roman"/>
                      <w:i/>
                      <w:lang w:val="en-GB"/>
                    </w:rPr>
                  </m:ctrlPr>
                </m:sSupPr>
                <m:e>
                  <m:r>
                    <w:rPr>
                      <w:rFonts w:ascii="Cambria Math" w:hAnsi="Cambria Math" w:cs="Times New Roman"/>
                      <w:lang w:val="en-GB"/>
                    </w:rPr>
                    <m:t>e</m:t>
                  </m:r>
                </m:e>
                <m:sup>
                  <m:d>
                    <m:dPr>
                      <m:ctrlPr>
                        <w:rPr>
                          <w:rFonts w:ascii="Cambria Math" w:hAnsi="Cambria Math" w:cs="Times New Roman"/>
                          <w:i/>
                          <w:lang w:val="en-GB"/>
                        </w:rPr>
                      </m:ctrlPr>
                    </m:dPr>
                    <m:e>
                      <m:r>
                        <w:rPr>
                          <w:rFonts w:ascii="Cambria Math" w:hAnsi="Cambria Math" w:cs="Times New Roman"/>
                          <w:lang w:val="en-GB"/>
                        </w:rPr>
                        <m:t>-</m:t>
                      </m:r>
                      <m:sSup>
                        <m:sSupPr>
                          <m:ctrlPr>
                            <w:rPr>
                              <w:rFonts w:ascii="Cambria Math" w:hAnsi="Cambria Math" w:cs="Times New Roman"/>
                              <w:i/>
                              <w:lang w:val="en-GB"/>
                            </w:rPr>
                          </m:ctrlPr>
                        </m:sSupPr>
                        <m:e>
                          <m:d>
                            <m:dPr>
                              <m:ctrlPr>
                                <w:rPr>
                                  <w:rFonts w:ascii="Cambria Math" w:hAnsi="Cambria Math" w:cs="Times New Roman"/>
                                  <w:i/>
                                  <w:lang w:val="en-GB"/>
                                </w:rPr>
                              </m:ctrlPr>
                            </m:dPr>
                            <m:e>
                              <m:f>
                                <m:fPr>
                                  <m:ctrlPr>
                                    <w:rPr>
                                      <w:rFonts w:ascii="Cambria Math" w:hAnsi="Cambria Math" w:cs="Times New Roman"/>
                                      <w:i/>
                                      <w:lang w:val="en-GB"/>
                                    </w:rPr>
                                  </m:ctrlPr>
                                </m:fPr>
                                <m:num>
                                  <m:r>
                                    <w:rPr>
                                      <w:rFonts w:ascii="Cambria Math" w:hAnsi="Cambria Math" w:cs="Times New Roman"/>
                                      <w:lang w:val="en-GB"/>
                                    </w:rPr>
                                    <m:t>t-γ</m:t>
                                  </m:r>
                                </m:num>
                                <m:den>
                                  <m:r>
                                    <w:rPr>
                                      <w:rFonts w:ascii="Cambria Math" w:hAnsi="Cambria Math" w:cs="Times New Roman"/>
                                      <w:lang w:val="en-GB"/>
                                    </w:rPr>
                                    <m:t>β</m:t>
                                  </m:r>
                                </m:den>
                              </m:f>
                            </m:e>
                          </m:d>
                        </m:e>
                        <m:sup>
                          <m:r>
                            <w:rPr>
                              <w:rFonts w:ascii="Cambria Math" w:hAnsi="Cambria Math" w:cs="Times New Roman"/>
                              <w:lang w:val="en-GB"/>
                            </w:rPr>
                            <m:t>α</m:t>
                          </m:r>
                        </m:sup>
                      </m:sSup>
                    </m:e>
                  </m:d>
                </m:sup>
              </m:sSup>
            </m:oMath>
            <w:r w:rsidR="00B910D4">
              <w:rPr>
                <w:rFonts w:ascii="Cambria Math" w:eastAsiaTheme="minorEastAsia" w:hAnsi="Cambria Math" w:cs="Times New Roman"/>
                <w:i/>
                <w:lang w:val="en-GB"/>
              </w:rPr>
              <w:t xml:space="preserve"> </w:t>
            </w:r>
          </w:p>
        </w:tc>
        <w:tc>
          <w:tcPr>
            <w:tcW w:w="1012" w:type="dxa"/>
            <w:vAlign w:val="center"/>
          </w:tcPr>
          <w:p w14:paraId="16D3D740" w14:textId="25DC2925" w:rsidR="00724F65" w:rsidRDefault="00043DEB" w:rsidP="006325D1">
            <w:pPr>
              <w:jc w:val="right"/>
              <w:rPr>
                <w:rFonts w:cs="Times New Roman"/>
                <w:lang w:val="en-GB"/>
              </w:rPr>
            </w:pPr>
            <w:bookmarkStart w:id="768" w:name="_Ref101273177"/>
            <w:r>
              <w:rPr>
                <w:szCs w:val="24"/>
              </w:rPr>
              <w:t>(</w:t>
            </w:r>
            <w:r w:rsidR="00427B33">
              <w:fldChar w:fldCharType="begin"/>
            </w:r>
            <w:r w:rsidR="00427B33">
              <w:instrText xml:space="preserve"> STYLEREF 1 \s </w:instrText>
            </w:r>
            <w:r w:rsidR="00427B33">
              <w:fldChar w:fldCharType="separate"/>
            </w:r>
            <w:r w:rsidR="00587AF0">
              <w:rPr>
                <w:noProof/>
              </w:rPr>
              <w:t>10</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12</w:t>
            </w:r>
            <w:r w:rsidR="00427B33">
              <w:rPr>
                <w:noProof/>
              </w:rPr>
              <w:fldChar w:fldCharType="end"/>
            </w:r>
            <w:bookmarkEnd w:id="768"/>
            <w:r>
              <w:t>)</w:t>
            </w:r>
          </w:p>
        </w:tc>
      </w:tr>
    </w:tbl>
    <w:p w14:paraId="26A43CDA" w14:textId="3020F8A9" w:rsidR="00724F65" w:rsidRDefault="000E22C9" w:rsidP="0031101C">
      <w:r>
        <w:t xml:space="preserve">where </w:t>
      </w:r>
      <w:r w:rsidR="00CC3668">
        <w:rPr>
          <w:i/>
          <w:iCs/>
        </w:rPr>
        <w:t>t</w:t>
      </w:r>
      <w:r w:rsidR="00CC3668">
        <w:t xml:space="preserve"> represents the time, </w:t>
      </w:r>
      <w:r w:rsidR="00CC3668">
        <w:rPr>
          <w:i/>
          <w:iCs/>
        </w:rPr>
        <w:t>γ</w:t>
      </w:r>
      <w:r w:rsidR="00CC3668">
        <w:t xml:space="preserve"> represents the location parameter; </w:t>
      </w:r>
      <w:r w:rsidR="0073009F">
        <w:rPr>
          <w:i/>
          <w:iCs/>
        </w:rPr>
        <w:t xml:space="preserve">β </w:t>
      </w:r>
      <w:r w:rsidR="0073009F">
        <w:t xml:space="preserve">models the shape of a curve as noted </w:t>
      </w:r>
      <w:r w:rsidR="00C80E12">
        <w:t xml:space="preserve">as </w:t>
      </w:r>
      <w:r w:rsidR="0073009F">
        <w:t xml:space="preserve">the shape parameter; and α is the scale parameter of the 3P-Weibull distribution. Hence, </w:t>
      </w:r>
      <w:r w:rsidR="00D4182B">
        <w:t>substituting values</w:t>
      </w:r>
      <w:r w:rsidR="0073009F">
        <w:t xml:space="preserve"> into</w:t>
      </w:r>
      <w:r w:rsidR="007645D6">
        <w:t xml:space="preserve"> eq.</w:t>
      </w:r>
      <w:r w:rsidR="007645D6">
        <w:rPr>
          <w:color w:val="FF0000"/>
        </w:rPr>
        <w:fldChar w:fldCharType="begin"/>
      </w:r>
      <w:r w:rsidR="007645D6">
        <w:instrText xml:space="preserve"> REF _Ref101273177 \h </w:instrText>
      </w:r>
      <w:r w:rsidR="007645D6">
        <w:rPr>
          <w:color w:val="FF0000"/>
        </w:rPr>
      </w:r>
      <w:r w:rsidR="007645D6">
        <w:rPr>
          <w:color w:val="FF0000"/>
        </w:rPr>
        <w:fldChar w:fldCharType="separate"/>
      </w:r>
      <w:r w:rsidR="00587AF0">
        <w:rPr>
          <w:szCs w:val="24"/>
        </w:rPr>
        <w:t>(</w:t>
      </w:r>
      <w:r w:rsidR="00587AF0">
        <w:rPr>
          <w:noProof/>
        </w:rPr>
        <w:t>10</w:t>
      </w:r>
      <w:r w:rsidR="00587AF0">
        <w:t>.</w:t>
      </w:r>
      <w:r w:rsidR="00587AF0">
        <w:rPr>
          <w:noProof/>
        </w:rPr>
        <w:t>12</w:t>
      </w:r>
      <w:r w:rsidR="007645D6">
        <w:rPr>
          <w:color w:val="FF0000"/>
        </w:rPr>
        <w:fldChar w:fldCharType="end"/>
      </w:r>
      <w:r w:rsidR="007645D6">
        <w:rPr>
          <w:color w:val="FF0000"/>
        </w:rPr>
        <w:t xml:space="preserve"> </w:t>
      </w:r>
      <w:r w:rsidR="00D4182B">
        <w:t xml:space="preserve">from </w:t>
      </w:r>
      <w:r w:rsidR="00D4182B">
        <w:fldChar w:fldCharType="begin"/>
      </w:r>
      <w:r w:rsidR="00D4182B">
        <w:instrText xml:space="preserve"> REF _Ref100146388 \h </w:instrText>
      </w:r>
      <w:r w:rsidR="00D4182B">
        <w:fldChar w:fldCharType="separate"/>
      </w:r>
      <w:r w:rsidR="00587AF0">
        <w:t xml:space="preserve">Table </w:t>
      </w:r>
      <w:r w:rsidR="00587AF0">
        <w:rPr>
          <w:noProof/>
        </w:rPr>
        <w:t>82</w:t>
      </w:r>
      <w:r w:rsidR="00D4182B">
        <w:fldChar w:fldCharType="end"/>
      </w:r>
      <w:r w:rsidR="00C80E12">
        <w:t>,</w:t>
      </w:r>
      <w:r w:rsidR="00455B62">
        <w:t xml:space="preserve"> we get</w:t>
      </w:r>
      <w:r w:rsidR="00D4182B">
        <w:t>:</w:t>
      </w:r>
    </w:p>
    <w:tbl>
      <w:tblPr>
        <w:tblW w:w="0" w:type="auto"/>
        <w:jc w:val="center"/>
        <w:tblLook w:val="04A0" w:firstRow="1" w:lastRow="0" w:firstColumn="1" w:lastColumn="0" w:noHBand="0" w:noVBand="1"/>
      </w:tblPr>
      <w:tblGrid>
        <w:gridCol w:w="8005"/>
        <w:gridCol w:w="1012"/>
      </w:tblGrid>
      <w:tr w:rsidR="00D4182B" w14:paraId="77EFCD3C" w14:textId="77777777" w:rsidTr="006325D1">
        <w:trPr>
          <w:jc w:val="center"/>
        </w:trPr>
        <w:tc>
          <w:tcPr>
            <w:tcW w:w="8005" w:type="dxa"/>
            <w:vAlign w:val="center"/>
          </w:tcPr>
          <w:p w14:paraId="437042E1" w14:textId="5E06D6B3" w:rsidR="00D4182B" w:rsidRPr="0048121A" w:rsidRDefault="00427B33" w:rsidP="006325D1">
            <w:pPr>
              <w:jc w:val="center"/>
              <w:rPr>
                <w:rFonts w:ascii="Cambria Math" w:hAnsi="Cambria Math" w:cs="Times New Roman"/>
                <w:i/>
                <w:lang w:val="en-GB"/>
              </w:rPr>
            </w:pPr>
            <m:oMath>
              <m:sSub>
                <m:sSubPr>
                  <m:ctrlPr>
                    <w:rPr>
                      <w:rFonts w:ascii="Cambria Math" w:hAnsi="Cambria Math" w:cs="Times New Roman"/>
                      <w:i/>
                      <w:lang w:val="en-GB"/>
                    </w:rPr>
                  </m:ctrlPr>
                </m:sSubPr>
                <m:e>
                  <m:r>
                    <w:rPr>
                      <w:rFonts w:ascii="Cambria Math" w:hAnsi="Cambria Math" w:cs="Times New Roman"/>
                      <w:lang w:val="en-GB"/>
                    </w:rPr>
                    <m:t>R</m:t>
                  </m:r>
                </m:e>
                <m:sub>
                  <m:r>
                    <w:rPr>
                      <w:rFonts w:ascii="Cambria Math" w:hAnsi="Cambria Math" w:cs="Times New Roman"/>
                      <w:lang w:val="en-GB"/>
                    </w:rPr>
                    <m:t>hypower</m:t>
                  </m:r>
                </m:sub>
              </m:sSub>
              <m:d>
                <m:dPr>
                  <m:ctrlPr>
                    <w:rPr>
                      <w:rFonts w:ascii="Cambria Math" w:hAnsi="Cambria Math" w:cs="Times New Roman"/>
                      <w:i/>
                      <w:lang w:val="en-GB"/>
                    </w:rPr>
                  </m:ctrlPr>
                </m:dPr>
                <m:e>
                  <m:r>
                    <w:rPr>
                      <w:rFonts w:ascii="Cambria Math" w:hAnsi="Cambria Math" w:cs="Times New Roman"/>
                      <w:lang w:val="en-GB"/>
                    </w:rPr>
                    <m:t>t</m:t>
                  </m:r>
                </m:e>
              </m:d>
              <m:r>
                <w:rPr>
                  <w:rFonts w:ascii="Cambria Math" w:hAnsi="Cambria Math" w:cs="Times New Roman"/>
                  <w:lang w:val="en-GB"/>
                </w:rPr>
                <m:t>=</m:t>
              </m:r>
              <m:sSup>
                <m:sSupPr>
                  <m:ctrlPr>
                    <w:rPr>
                      <w:rFonts w:ascii="Cambria Math" w:hAnsi="Cambria Math" w:cs="Times New Roman"/>
                      <w:i/>
                      <w:lang w:val="en-GB"/>
                    </w:rPr>
                  </m:ctrlPr>
                </m:sSupPr>
                <m:e>
                  <m:r>
                    <w:rPr>
                      <w:rFonts w:ascii="Cambria Math" w:hAnsi="Cambria Math" w:cs="Times New Roman"/>
                      <w:lang w:val="en-GB"/>
                    </w:rPr>
                    <m:t>e</m:t>
                  </m:r>
                </m:e>
                <m:sup>
                  <m:d>
                    <m:dPr>
                      <m:ctrlPr>
                        <w:rPr>
                          <w:rFonts w:ascii="Cambria Math" w:hAnsi="Cambria Math" w:cs="Times New Roman"/>
                          <w:i/>
                          <w:lang w:val="en-GB"/>
                        </w:rPr>
                      </m:ctrlPr>
                    </m:dPr>
                    <m:e>
                      <m:r>
                        <w:rPr>
                          <w:rFonts w:ascii="Cambria Math" w:hAnsi="Cambria Math" w:cs="Times New Roman"/>
                          <w:lang w:val="en-GB"/>
                        </w:rPr>
                        <m:t>-</m:t>
                      </m:r>
                      <m:sSup>
                        <m:sSupPr>
                          <m:ctrlPr>
                            <w:rPr>
                              <w:rFonts w:ascii="Cambria Math" w:hAnsi="Cambria Math" w:cs="Times New Roman"/>
                              <w:i/>
                              <w:lang w:val="en-GB"/>
                            </w:rPr>
                          </m:ctrlPr>
                        </m:sSupPr>
                        <m:e>
                          <m:d>
                            <m:dPr>
                              <m:ctrlPr>
                                <w:rPr>
                                  <w:rFonts w:ascii="Cambria Math" w:hAnsi="Cambria Math" w:cs="Times New Roman"/>
                                  <w:i/>
                                  <w:lang w:val="en-GB"/>
                                </w:rPr>
                              </m:ctrlPr>
                            </m:dPr>
                            <m:e>
                              <m:f>
                                <m:fPr>
                                  <m:ctrlPr>
                                    <w:rPr>
                                      <w:rFonts w:ascii="Cambria Math" w:hAnsi="Cambria Math" w:cs="Times New Roman"/>
                                      <w:i/>
                                      <w:lang w:val="en-GB"/>
                                    </w:rPr>
                                  </m:ctrlPr>
                                </m:fPr>
                                <m:num>
                                  <m:r>
                                    <w:rPr>
                                      <w:rFonts w:ascii="Cambria Math" w:hAnsi="Cambria Math" w:cs="Times New Roman"/>
                                      <w:lang w:val="en-GB"/>
                                    </w:rPr>
                                    <m:t>t-1.9833</m:t>
                                  </m:r>
                                </m:num>
                                <m:den>
                                  <m:r>
                                    <w:rPr>
                                      <w:rFonts w:ascii="Cambria Math" w:hAnsi="Cambria Math" w:cs="Times New Roman"/>
                                      <w:lang w:val="en-GB"/>
                                    </w:rPr>
                                    <m:t>139.68</m:t>
                                  </m:r>
                                </m:den>
                              </m:f>
                            </m:e>
                          </m:d>
                        </m:e>
                        <m:sup>
                          <m:r>
                            <w:rPr>
                              <w:rFonts w:ascii="Cambria Math" w:hAnsi="Cambria Math" w:cs="Times New Roman"/>
                              <w:lang w:val="en-GB"/>
                            </w:rPr>
                            <m:t>0.29487</m:t>
                          </m:r>
                        </m:sup>
                      </m:sSup>
                    </m:e>
                  </m:d>
                </m:sup>
              </m:sSup>
              <m:r>
                <w:rPr>
                  <w:rFonts w:ascii="Cambria Math" w:eastAsiaTheme="minorEastAsia" w:hAnsi="Cambria Math" w:cs="Times New Roman"/>
                  <w:lang w:val="en-GB"/>
                </w:rPr>
                <m:t>.</m:t>
              </m:r>
            </m:oMath>
            <w:r w:rsidR="00B910D4">
              <w:rPr>
                <w:rFonts w:ascii="Cambria Math" w:eastAsiaTheme="minorEastAsia" w:hAnsi="Cambria Math" w:cs="Times New Roman"/>
                <w:i/>
                <w:lang w:val="en-GB"/>
              </w:rPr>
              <w:t xml:space="preserve"> </w:t>
            </w:r>
          </w:p>
        </w:tc>
        <w:tc>
          <w:tcPr>
            <w:tcW w:w="1012" w:type="dxa"/>
            <w:vAlign w:val="center"/>
          </w:tcPr>
          <w:p w14:paraId="44C2958B" w14:textId="413B693C" w:rsidR="00D4182B" w:rsidRDefault="00043DEB" w:rsidP="006325D1">
            <w:pPr>
              <w:jc w:val="right"/>
              <w:rPr>
                <w:rFonts w:cs="Times New Roman"/>
                <w:lang w:val="en-GB"/>
              </w:rPr>
            </w:pPr>
            <w:r>
              <w:rPr>
                <w:szCs w:val="24"/>
              </w:rPr>
              <w:t>(</w:t>
            </w:r>
            <w:r w:rsidR="00427B33">
              <w:fldChar w:fldCharType="begin"/>
            </w:r>
            <w:r w:rsidR="00427B33">
              <w:instrText xml:space="preserve"> STYLEREF 1 \s </w:instrText>
            </w:r>
            <w:r w:rsidR="00427B33">
              <w:fldChar w:fldCharType="separate"/>
            </w:r>
            <w:r w:rsidR="00587AF0">
              <w:rPr>
                <w:noProof/>
              </w:rPr>
              <w:t>10</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13</w:t>
            </w:r>
            <w:r w:rsidR="00427B33">
              <w:rPr>
                <w:noProof/>
              </w:rPr>
              <w:fldChar w:fldCharType="end"/>
            </w:r>
            <w:r>
              <w:t>)</w:t>
            </w:r>
          </w:p>
        </w:tc>
      </w:tr>
    </w:tbl>
    <w:p w14:paraId="5530004A" w14:textId="0E7F5BFB" w:rsidR="000E22C9" w:rsidRDefault="001C3387" w:rsidP="00B225B9">
      <w:r>
        <w:t>The resulting reliability shows that the system is highly sensitive</w:t>
      </w:r>
      <w:r w:rsidR="00744D49">
        <w:t xml:space="preserve"> to disturbances</w:t>
      </w:r>
      <w:r>
        <w:t xml:space="preserve">, since already at </w:t>
      </w:r>
      <w:r w:rsidR="00AE2A49">
        <w:t>around 2</w:t>
      </w:r>
      <w:r w:rsidR="00AB77E1">
        <w:t>500 minutes (</w:t>
      </w:r>
      <w:r w:rsidR="001100B8">
        <w:rPr>
          <w:lang w:val="sr-Latn-RS"/>
        </w:rPr>
        <w:t>~</w:t>
      </w:r>
      <w:r w:rsidR="00AB77E1">
        <w:t>4</w:t>
      </w:r>
      <w:r w:rsidR="00744D49">
        <w:t>0</w:t>
      </w:r>
      <w:r w:rsidR="00AB77E1">
        <w:t xml:space="preserve"> hour</w:t>
      </w:r>
      <w:r w:rsidR="00744D49">
        <w:t>s</w:t>
      </w:r>
      <w:r w:rsidR="00AB77E1">
        <w:t>)</w:t>
      </w:r>
      <w:r w:rsidR="00C80E12">
        <w:t>,</w:t>
      </w:r>
      <w:r w:rsidR="00AB77E1">
        <w:t xml:space="preserve"> the system needs to be check</w:t>
      </w:r>
      <w:r w:rsidR="00C80E12">
        <w:t>ed</w:t>
      </w:r>
      <w:r w:rsidR="00AB77E1">
        <w:t xml:space="preserve"> </w:t>
      </w:r>
      <w:r w:rsidR="00744D49">
        <w:t>for</w:t>
      </w:r>
      <w:r w:rsidR="00AB77E1">
        <w:t xml:space="preserve"> anomalies and deviations based on the quasi-fault determined thresholds, as it </w:t>
      </w:r>
      <w:r w:rsidR="001100B8">
        <w:t>showed to be the case during the experiment.</w:t>
      </w:r>
    </w:p>
    <w:p w14:paraId="1A20180D" w14:textId="77777777" w:rsidR="0044750A" w:rsidRDefault="0044750A" w:rsidP="0044750A">
      <w:pPr>
        <w:keepNext/>
        <w:jc w:val="center"/>
      </w:pPr>
      <w:r>
        <w:rPr>
          <w:noProof/>
        </w:rPr>
        <w:drawing>
          <wp:inline distT="0" distB="0" distL="0" distR="0" wp14:anchorId="296A4F50" wp14:editId="2DA5FEF6">
            <wp:extent cx="5620031" cy="2628900"/>
            <wp:effectExtent l="0" t="0" r="0" b="0"/>
            <wp:docPr id="196" name="Chart 196">
              <a:extLst xmlns:a="http://schemas.openxmlformats.org/drawingml/2006/main">
                <a:ext uri="{FF2B5EF4-FFF2-40B4-BE49-F238E27FC236}">
                  <a16:creationId xmlns:a16="http://schemas.microsoft.com/office/drawing/2014/main" id="{570ECFFF-1B3A-4E35-8D43-4B4B40583B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14:paraId="7F5B0180" w14:textId="18AB626B" w:rsidR="0044750A" w:rsidRDefault="0044750A" w:rsidP="0044750A">
      <w:pPr>
        <w:pStyle w:val="Caption"/>
      </w:pPr>
      <w:bookmarkStart w:id="769" w:name="_Ref100160832"/>
      <w:bookmarkStart w:id="770" w:name="_Toc101274650"/>
      <w:r>
        <w:t xml:space="preserve">Figure </w:t>
      </w:r>
      <w:fldSimple w:instr=" SEQ Figure \* ARABIC ">
        <w:r w:rsidR="00587AF0">
          <w:rPr>
            <w:noProof/>
          </w:rPr>
          <w:t>128</w:t>
        </w:r>
      </w:fldSimple>
      <w:bookmarkEnd w:id="769"/>
      <w:r>
        <w:t>. Reliability function using Weibull-3P distribution parameters</w:t>
      </w:r>
      <w:bookmarkEnd w:id="770"/>
    </w:p>
    <w:p w14:paraId="18799796" w14:textId="3CBAA576" w:rsidR="00744D49" w:rsidRDefault="00B910D4" w:rsidP="00B225B9">
      <w:r>
        <w:lastRenderedPageBreak/>
        <w:t xml:space="preserve">Since the </w:t>
      </w:r>
      <w:r w:rsidR="00C67762">
        <w:t>research only considers hydraulic power data of a rubber mixing machine, it suggest</w:t>
      </w:r>
      <w:r w:rsidR="00C80E12">
        <w:t>s</w:t>
      </w:r>
      <w:r w:rsidR="00C67762">
        <w:t xml:space="preserve"> </w:t>
      </w:r>
      <w:r w:rsidR="00C80E12">
        <w:t xml:space="preserve">an </w:t>
      </w:r>
      <w:r w:rsidR="00C67762">
        <w:t xml:space="preserve">even shorter inspection time is required. </w:t>
      </w:r>
      <w:r w:rsidR="00744D49">
        <w:t>Using all the probability distribution functions presented (top 4 ranked)</w:t>
      </w:r>
      <w:r w:rsidR="00C80E12">
        <w:t>,</w:t>
      </w:r>
      <w:r w:rsidR="00744D49">
        <w:t xml:space="preserve"> the reliability function of each of the models shows similar B10 values ranging from </w:t>
      </w:r>
      <w:r w:rsidR="00514A96">
        <w:t>24</w:t>
      </w:r>
      <w:r w:rsidR="00682F81">
        <w:t>90 hours</w:t>
      </w:r>
      <w:r w:rsidR="00F34353">
        <w:t xml:space="preserve"> – suggested by </w:t>
      </w:r>
      <w:r w:rsidR="00682F81">
        <w:t>Weibull-3P</w:t>
      </w:r>
      <w:r w:rsidR="00F34353">
        <w:t xml:space="preserve"> distribution</w:t>
      </w:r>
      <w:r w:rsidR="0044750A">
        <w:t xml:space="preserve"> (</w:t>
      </w:r>
      <w:r w:rsidR="0044750A">
        <w:fldChar w:fldCharType="begin"/>
      </w:r>
      <w:r w:rsidR="0044750A">
        <w:instrText xml:space="preserve"> REF _Ref100160832 \h </w:instrText>
      </w:r>
      <w:r w:rsidR="0044750A">
        <w:fldChar w:fldCharType="separate"/>
      </w:r>
      <w:r w:rsidR="00587AF0">
        <w:t xml:space="preserve">Figure </w:t>
      </w:r>
      <w:r w:rsidR="00587AF0">
        <w:rPr>
          <w:noProof/>
        </w:rPr>
        <w:t>128</w:t>
      </w:r>
      <w:r w:rsidR="0044750A">
        <w:fldChar w:fldCharType="end"/>
      </w:r>
      <w:r w:rsidR="0044750A">
        <w:t>)</w:t>
      </w:r>
      <w:r w:rsidR="00F34353">
        <w:t xml:space="preserve"> –</w:t>
      </w:r>
      <w:r w:rsidR="00682F81">
        <w:t xml:space="preserve"> to</w:t>
      </w:r>
      <w:r w:rsidR="00396225">
        <w:t xml:space="preserve"> 3655 hours </w:t>
      </w:r>
      <w:r w:rsidR="00F34353">
        <w:t>– suggested by BETA distribution (</w:t>
      </w:r>
      <w:r w:rsidR="00F34353">
        <w:fldChar w:fldCharType="begin"/>
      </w:r>
      <w:r w:rsidR="00F34353">
        <w:instrText xml:space="preserve"> REF _Ref100160397 \h </w:instrText>
      </w:r>
      <w:r w:rsidR="00F34353">
        <w:fldChar w:fldCharType="separate"/>
      </w:r>
      <w:r w:rsidR="00587AF0">
        <w:t xml:space="preserve">Figure </w:t>
      </w:r>
      <w:r w:rsidR="00587AF0">
        <w:rPr>
          <w:noProof/>
        </w:rPr>
        <w:t>129</w:t>
      </w:r>
      <w:r w:rsidR="00F34353">
        <w:fldChar w:fldCharType="end"/>
      </w:r>
      <w:r w:rsidR="00F34353">
        <w:t>).</w:t>
      </w:r>
      <w:r w:rsidR="00F7004F">
        <w:t xml:space="preserve"> Considering that Weibull-3P is the most </w:t>
      </w:r>
      <w:r w:rsidR="000E22C9">
        <w:t>accurate one in terms of fit, the inspection time should be set at around 2000 hours.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4"/>
      </w:tblGrid>
      <w:tr w:rsidR="00E042F7" w14:paraId="4C9A60D1" w14:textId="77777777" w:rsidTr="00293691">
        <w:tc>
          <w:tcPr>
            <w:tcW w:w="4513" w:type="dxa"/>
            <w:vAlign w:val="center"/>
          </w:tcPr>
          <w:p w14:paraId="4965FB7B" w14:textId="1145F3D7" w:rsidR="00E042F7" w:rsidRDefault="00293691" w:rsidP="00C82523">
            <w:pPr>
              <w:keepNext/>
              <w:jc w:val="center"/>
            </w:pPr>
            <w:r>
              <w:rPr>
                <w:noProof/>
              </w:rPr>
              <w:drawing>
                <wp:inline distT="0" distB="0" distL="0" distR="0" wp14:anchorId="43A84431" wp14:editId="18A1A1CB">
                  <wp:extent cx="2772000" cy="1980000"/>
                  <wp:effectExtent l="0" t="0" r="0" b="1270"/>
                  <wp:docPr id="206" name="Chart 206">
                    <a:extLst xmlns:a="http://schemas.openxmlformats.org/drawingml/2006/main">
                      <a:ext uri="{FF2B5EF4-FFF2-40B4-BE49-F238E27FC236}">
                        <a16:creationId xmlns:a16="http://schemas.microsoft.com/office/drawing/2014/main" id="{1CCFECFD-7040-4D12-882B-F083308B2E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r w:rsidR="006204F5">
              <w:br/>
              <w:t>(a)</w:t>
            </w:r>
          </w:p>
        </w:tc>
        <w:tc>
          <w:tcPr>
            <w:tcW w:w="4514" w:type="dxa"/>
            <w:vAlign w:val="center"/>
          </w:tcPr>
          <w:p w14:paraId="686D8529" w14:textId="73AE68B1" w:rsidR="00E042F7" w:rsidRDefault="00C82523" w:rsidP="00C82523">
            <w:pPr>
              <w:keepNext/>
              <w:jc w:val="center"/>
            </w:pPr>
            <w:r>
              <w:rPr>
                <w:noProof/>
              </w:rPr>
              <w:drawing>
                <wp:inline distT="0" distB="0" distL="0" distR="0" wp14:anchorId="38405621" wp14:editId="067B4026">
                  <wp:extent cx="2772000" cy="1980000"/>
                  <wp:effectExtent l="0" t="0" r="0" b="1270"/>
                  <wp:docPr id="203" name="Chart 203">
                    <a:extLst xmlns:a="http://schemas.openxmlformats.org/drawingml/2006/main">
                      <a:ext uri="{FF2B5EF4-FFF2-40B4-BE49-F238E27FC236}">
                        <a16:creationId xmlns:a16="http://schemas.microsoft.com/office/drawing/2014/main" id="{2CDD5C14-5CCC-4351-AD78-4063A998C4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r w:rsidR="006204F5">
              <w:br/>
              <w:t>(b)</w:t>
            </w:r>
          </w:p>
        </w:tc>
      </w:tr>
      <w:tr w:rsidR="00E042F7" w14:paraId="5B671880" w14:textId="77777777" w:rsidTr="00C82523">
        <w:tc>
          <w:tcPr>
            <w:tcW w:w="4513" w:type="dxa"/>
            <w:vAlign w:val="center"/>
          </w:tcPr>
          <w:p w14:paraId="5981137B" w14:textId="53D418A9" w:rsidR="0092284E" w:rsidRDefault="00C82523" w:rsidP="0092284E">
            <w:pPr>
              <w:keepNext/>
              <w:jc w:val="center"/>
            </w:pPr>
            <w:r>
              <w:rPr>
                <w:noProof/>
              </w:rPr>
              <w:drawing>
                <wp:inline distT="0" distB="0" distL="0" distR="0" wp14:anchorId="33A1D6B5" wp14:editId="58ED28F0">
                  <wp:extent cx="2772000" cy="1980000"/>
                  <wp:effectExtent l="0" t="0" r="0" b="1270"/>
                  <wp:docPr id="204" name="Chart 204">
                    <a:extLst xmlns:a="http://schemas.openxmlformats.org/drawingml/2006/main">
                      <a:ext uri="{FF2B5EF4-FFF2-40B4-BE49-F238E27FC236}">
                        <a16:creationId xmlns:a16="http://schemas.microsoft.com/office/drawing/2014/main" id="{AA8A045B-F2EF-4385-8FE8-F51D008E65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r w:rsidR="006204F5">
              <w:br/>
            </w:r>
            <w:r w:rsidR="0092284E">
              <w:t>(c)</w:t>
            </w:r>
          </w:p>
        </w:tc>
        <w:tc>
          <w:tcPr>
            <w:tcW w:w="4514" w:type="dxa"/>
            <w:vAlign w:val="center"/>
          </w:tcPr>
          <w:p w14:paraId="47D5428E" w14:textId="7CCED0D6" w:rsidR="00E042F7" w:rsidRDefault="00C82523" w:rsidP="00C82523">
            <w:pPr>
              <w:keepNext/>
              <w:jc w:val="center"/>
            </w:pPr>
            <w:r>
              <w:rPr>
                <w:noProof/>
              </w:rPr>
              <w:drawing>
                <wp:inline distT="0" distB="0" distL="0" distR="0" wp14:anchorId="348CAB1F" wp14:editId="3A6EB632">
                  <wp:extent cx="2772000" cy="1980000"/>
                  <wp:effectExtent l="0" t="0" r="0" b="1270"/>
                  <wp:docPr id="205" name="Chart 205">
                    <a:extLst xmlns:a="http://schemas.openxmlformats.org/drawingml/2006/main">
                      <a:ext uri="{FF2B5EF4-FFF2-40B4-BE49-F238E27FC236}">
                        <a16:creationId xmlns:a16="http://schemas.microsoft.com/office/drawing/2014/main" id="{0612160F-65AB-4715-8200-AE31F37DA9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r w:rsidR="006204F5">
              <w:br/>
              <w:t>(d)</w:t>
            </w:r>
          </w:p>
        </w:tc>
      </w:tr>
    </w:tbl>
    <w:p w14:paraId="18D8FF4F" w14:textId="262191C5" w:rsidR="009B7ED1" w:rsidRDefault="00A87DB8" w:rsidP="00A87DB8">
      <w:pPr>
        <w:pStyle w:val="Caption"/>
      </w:pPr>
      <w:bookmarkStart w:id="771" w:name="_Ref100160397"/>
      <w:bookmarkStart w:id="772" w:name="_Toc101274651"/>
      <w:r>
        <w:t xml:space="preserve">Figure </w:t>
      </w:r>
      <w:fldSimple w:instr=" SEQ Figure \* ARABIC ">
        <w:r w:rsidR="00587AF0">
          <w:rPr>
            <w:noProof/>
          </w:rPr>
          <w:t>129</w:t>
        </w:r>
      </w:fldSimple>
      <w:bookmarkEnd w:id="771"/>
      <w:r>
        <w:t xml:space="preserve">. </w:t>
      </w:r>
      <w:r w:rsidR="00C13BFC">
        <w:t>Reliability function</w:t>
      </w:r>
      <w:r w:rsidR="00C82523">
        <w:t>s</w:t>
      </w:r>
      <w:r w:rsidR="004067C9">
        <w:t>:</w:t>
      </w:r>
      <w:r w:rsidR="00D21668">
        <w:t xml:space="preserve"> 3P-</w:t>
      </w:r>
      <w:r w:rsidR="0044750A">
        <w:t>Gamma</w:t>
      </w:r>
      <w:r w:rsidR="00D21668">
        <w:t xml:space="preserve"> </w:t>
      </w:r>
      <w:r w:rsidR="006204F5">
        <w:t>(a); 3P-Lognormal (b); Pareto (c); and Beta (d)</w:t>
      </w:r>
      <w:bookmarkEnd w:id="772"/>
    </w:p>
    <w:p w14:paraId="119F21B8" w14:textId="6064F8C9" w:rsidR="00E14397" w:rsidRPr="00E14397" w:rsidRDefault="00857DA1" w:rsidP="00E14397">
      <w:r>
        <w:t xml:space="preserve">Considering that the process shows significant variation </w:t>
      </w:r>
      <w:r w:rsidR="00C80E12">
        <w:t>throughout</w:t>
      </w:r>
      <w:r>
        <w:t xml:space="preserve"> the experiment, </w:t>
      </w:r>
      <w:r w:rsidR="00C80E12">
        <w:t>considering</w:t>
      </w:r>
      <w:r>
        <w:t xml:space="preserve"> the anomalies within the variables extracted from the observation during the experiment, it would be interesting to see the process behaviour</w:t>
      </w:r>
      <w:r w:rsidR="00A82FF8">
        <w:t xml:space="preserve"> using SPC stability analysis. However, the author is set this objective to investigate in future studies and will be beyond the scope of the present research.</w:t>
      </w:r>
    </w:p>
    <w:p w14:paraId="1B3EA677" w14:textId="7264E10B" w:rsidR="00D1784C" w:rsidRDefault="00D1784C" w:rsidP="00D1784C"/>
    <w:p w14:paraId="231A545D" w14:textId="77777777" w:rsidR="00B225B9" w:rsidRDefault="00B225B9" w:rsidP="00D1784C"/>
    <w:p w14:paraId="09F8C241" w14:textId="77777777" w:rsidR="00A71805" w:rsidRPr="00A71805" w:rsidRDefault="00A71805" w:rsidP="00A71805"/>
    <w:bookmarkEnd w:id="757"/>
    <w:bookmarkEnd w:id="758"/>
    <w:bookmarkEnd w:id="759"/>
    <w:p w14:paraId="63E4C19E" w14:textId="77777777" w:rsidR="00C67762" w:rsidRDefault="00C67762">
      <w:pPr>
        <w:spacing w:before="0" w:after="160" w:line="259" w:lineRule="auto"/>
        <w:jc w:val="left"/>
        <w:rPr>
          <w:rFonts w:eastAsiaTheme="majorEastAsia" w:cstheme="majorBidi"/>
          <w:b/>
          <w:smallCaps/>
          <w:sz w:val="32"/>
          <w:szCs w:val="32"/>
        </w:rPr>
      </w:pPr>
      <w:r>
        <w:br w:type="page"/>
      </w:r>
    </w:p>
    <w:p w14:paraId="2722FB92" w14:textId="77777777" w:rsidR="00E14397" w:rsidRDefault="00E14397" w:rsidP="00E14397">
      <w:pPr>
        <w:pStyle w:val="Title"/>
      </w:pPr>
      <w:bookmarkStart w:id="773" w:name="_Toc101274422"/>
      <w:r>
        <w:lastRenderedPageBreak/>
        <w:t>Chapter IV</w:t>
      </w:r>
      <w:bookmarkEnd w:id="773"/>
    </w:p>
    <w:p w14:paraId="0419D9C6" w14:textId="42F623C3" w:rsidR="00E14397" w:rsidRDefault="00E14397" w:rsidP="00E14397">
      <w:pPr>
        <w:jc w:val="right"/>
      </w:pPr>
      <w:r>
        <w:rPr>
          <w:i/>
          <w:iCs/>
        </w:rPr>
        <w:t>“</w:t>
      </w:r>
      <w:r w:rsidR="00972C96" w:rsidRPr="00972C96">
        <w:rPr>
          <w:i/>
          <w:iCs/>
        </w:rPr>
        <w:t>Knowing yourself is the beginning of all wisdom.</w:t>
      </w:r>
      <w:r>
        <w:t>”</w:t>
      </w:r>
    </w:p>
    <w:p w14:paraId="6EC42A36" w14:textId="62406883" w:rsidR="00E14397" w:rsidRDefault="00972C96" w:rsidP="00E14397">
      <w:pPr>
        <w:jc w:val="right"/>
      </w:pPr>
      <w:r>
        <w:t>Aristotle</w:t>
      </w:r>
    </w:p>
    <w:p w14:paraId="6509E70F" w14:textId="1A26A5E0" w:rsidR="001942C2" w:rsidRDefault="00F55DCD" w:rsidP="00AF34E8">
      <w:pPr>
        <w:pStyle w:val="Heading1"/>
      </w:pPr>
      <w:bookmarkStart w:id="774" w:name="_Toc101274423"/>
      <w:r>
        <w:t>Discussion</w:t>
      </w:r>
      <w:bookmarkEnd w:id="732"/>
      <w:bookmarkEnd w:id="733"/>
      <w:bookmarkEnd w:id="734"/>
      <w:bookmarkEnd w:id="735"/>
      <w:bookmarkEnd w:id="774"/>
    </w:p>
    <w:p w14:paraId="65C0E6F4" w14:textId="495DE493" w:rsidR="00DA3E7D" w:rsidRPr="00832E96" w:rsidRDefault="00832E96" w:rsidP="00DA3E7D">
      <w:r w:rsidRPr="00832E96">
        <w:t>T</w:t>
      </w:r>
      <w:r w:rsidR="00DA3E7D" w:rsidRPr="00832E96">
        <w:t xml:space="preserve">he </w:t>
      </w:r>
      <w:r>
        <w:t>lack of EBM manifesto acknowledgement spurs the philosophy behind the research</w:t>
      </w:r>
      <w:r w:rsidRPr="00832E96">
        <w:t>.</w:t>
      </w:r>
      <w:r w:rsidR="00DA3E7D" w:rsidRPr="00832E96">
        <w:t xml:space="preserve"> </w:t>
      </w:r>
      <w:r>
        <w:t>The author argues th</w:t>
      </w:r>
      <w:r w:rsidR="00CD2439">
        <w:t>e</w:t>
      </w:r>
      <w:r>
        <w:t xml:space="preserve"> </w:t>
      </w:r>
      <w:r w:rsidR="00CD2439">
        <w:t xml:space="preserve">benefits of implementing </w:t>
      </w:r>
      <w:r>
        <w:t>EBM practice in the era of sustainabl</w:t>
      </w:r>
      <w:r w:rsidR="00CD2439">
        <w:t>y-</w:t>
      </w:r>
      <w:r>
        <w:t>technological ecosystems. B</w:t>
      </w:r>
      <w:r w:rsidR="00DA3E7D" w:rsidRPr="00832E96">
        <w:t>y accepting the EBM paradigm, theoretical gains could be of immense importance</w:t>
      </w:r>
      <w:r>
        <w:t xml:space="preserve"> since</w:t>
      </w:r>
      <w:r w:rsidR="00DA3E7D" w:rsidRPr="00832E96">
        <w:t xml:space="preserve"> </w:t>
      </w:r>
      <w:r>
        <w:t>already imposed Green Deal initiatives justify the rationale. The author also believes that</w:t>
      </w:r>
      <w:r w:rsidR="00DA3E7D" w:rsidRPr="00832E96">
        <w:t xml:space="preserve"> </w:t>
      </w:r>
      <w:r>
        <w:t>the maintenance practitioners will immensely gain</w:t>
      </w:r>
      <w:r w:rsidR="00DA3E7D" w:rsidRPr="00832E96">
        <w:t xml:space="preserve"> from </w:t>
      </w:r>
      <w:r>
        <w:t>EBM in all spheres of maintenance – diagnosis, prognosis and optimisation.</w:t>
      </w:r>
      <w:r w:rsidR="00DA3E7D" w:rsidRPr="00832E96">
        <w:t xml:space="preserve"> However, indeed it presents a thin line between operational and maintenance performance. Based on the current body of existing evidence, the probability of gaining genuine results is relatively high. </w:t>
      </w:r>
      <w:r w:rsidR="00C80E12">
        <w:t>A</w:t>
      </w:r>
      <w:r>
        <w:t xml:space="preserve"> discussion on the outcome of the thesis research will be given in the following.</w:t>
      </w:r>
    </w:p>
    <w:p w14:paraId="5E9EE667" w14:textId="0D007591" w:rsidR="00D0576E" w:rsidRDefault="00E14397" w:rsidP="00D0576E">
      <w:pPr>
        <w:pStyle w:val="Heading2"/>
      </w:pPr>
      <w:bookmarkStart w:id="775" w:name="_Toc101274424"/>
      <w:r>
        <w:t>Maintenance research through EU projects</w:t>
      </w:r>
      <w:bookmarkEnd w:id="775"/>
    </w:p>
    <w:p w14:paraId="77CBF85D" w14:textId="459719B7" w:rsidR="00832E96" w:rsidRDefault="00CD2439" w:rsidP="00832E96">
      <w:r>
        <w:t>From c</w:t>
      </w:r>
      <w:r w:rsidR="00832E96">
        <w:t>ritical</w:t>
      </w:r>
      <w:r w:rsidR="00DA3E7D">
        <w:t xml:space="preserve"> appraisal of projects’ evidence, </w:t>
      </w:r>
      <w:r>
        <w:t xml:space="preserve">the </w:t>
      </w:r>
      <w:r w:rsidR="00DA3E7D">
        <w:t xml:space="preserve">results seemingly </w:t>
      </w:r>
      <w:r>
        <w:t>lack</w:t>
      </w:r>
      <w:r w:rsidR="00DA3E7D">
        <w:t xml:space="preserve"> impact and achievement, even in highly developed countries.</w:t>
      </w:r>
      <w:r w:rsidR="00832E96">
        <w:t xml:space="preserve"> Reflecting on the current maintenance research within the EU project framework, </w:t>
      </w:r>
      <w:r>
        <w:t>one</w:t>
      </w:r>
      <w:r w:rsidR="00832E96">
        <w:t xml:space="preserve"> conclude</w:t>
      </w:r>
      <w:r>
        <w:t>s</w:t>
      </w:r>
      <w:r w:rsidR="00832E96">
        <w:t xml:space="preserve"> that</w:t>
      </w:r>
      <w:r w:rsidR="00DA3E7D">
        <w:t xml:space="preserve"> non-associated</w:t>
      </w:r>
      <w:r>
        <w:t xml:space="preserve"> EU</w:t>
      </w:r>
      <w:r w:rsidR="00DA3E7D">
        <w:t xml:space="preserve"> countries </w:t>
      </w:r>
      <w:r>
        <w:t xml:space="preserve">reflect </w:t>
      </w:r>
      <w:r w:rsidR="00DA3E7D">
        <w:t>the cause of slow maintenance advancement</w:t>
      </w:r>
      <w:r>
        <w:t xml:space="preserve"> through narrative instead of practical propositions</w:t>
      </w:r>
      <w:r w:rsidR="00DA3E7D">
        <w:t xml:space="preserve">. </w:t>
      </w:r>
      <w:r w:rsidR="00832E96">
        <w:t>C</w:t>
      </w:r>
      <w:r w:rsidR="00DA3E7D">
        <w:t xml:space="preserve">onsidering the primary mission of </w:t>
      </w:r>
      <w:r w:rsidR="00832E96">
        <w:t xml:space="preserve">the </w:t>
      </w:r>
      <w:r w:rsidR="00DA3E7D">
        <w:t>Green Deal</w:t>
      </w:r>
      <w:r w:rsidR="00832E96">
        <w:t xml:space="preserve"> (achieving net-zero greenhouse emissions by 2050), sustainable maintenance initiatives are already being researched by various authors. By examining each industrial sector, the inference is that energy is the standard monetary value for every process. Therefore, energy-dedicated research firmly supports such initiatives and justifies the need for such a research agenda.</w:t>
      </w:r>
    </w:p>
    <w:p w14:paraId="045999D6" w14:textId="77777777" w:rsidR="00DA3E7D" w:rsidRDefault="00DA3E7D" w:rsidP="00DA3E7D">
      <w:pPr>
        <w:pStyle w:val="Heading3"/>
      </w:pPr>
      <w:bookmarkStart w:id="776" w:name="_Toc62467396"/>
      <w:bookmarkStart w:id="777" w:name="_Toc91575400"/>
      <w:bookmarkStart w:id="778" w:name="_Toc93759880"/>
      <w:bookmarkStart w:id="779" w:name="_Toc93759984"/>
      <w:bookmarkStart w:id="780" w:name="_Toc101274425"/>
      <w:r>
        <w:t>Maintenance Programs Across Industrial Sectors in R&amp;I Projects</w:t>
      </w:r>
      <w:bookmarkEnd w:id="776"/>
      <w:bookmarkEnd w:id="777"/>
      <w:bookmarkEnd w:id="778"/>
      <w:bookmarkEnd w:id="779"/>
      <w:bookmarkEnd w:id="780"/>
    </w:p>
    <w:p w14:paraId="7C6F68AD" w14:textId="6B808872" w:rsidR="00DA3E7D" w:rsidRDefault="00832E96" w:rsidP="00DA3E7D">
      <w:r>
        <w:t xml:space="preserve">The </w:t>
      </w:r>
      <w:r w:rsidR="00DA3E7D">
        <w:t xml:space="preserve">CBM and PdM </w:t>
      </w:r>
      <w:r>
        <w:t>practices</w:t>
      </w:r>
      <w:r w:rsidR="00DA3E7D">
        <w:t xml:space="preserve"> are different based on data utilised for decision-making – failure and control data – respectively. </w:t>
      </w:r>
      <w:r>
        <w:t xml:space="preserve">In recent years, projects dealing with control data </w:t>
      </w:r>
      <w:r w:rsidR="00DA3E7D">
        <w:t>are mostly situated in the manufacturing, energy, railway, and petroleum industry. Addressing the infrastructure and aerospace domain, SHM stands out the most. The underlying reason is that these applications' functionality strongly relies upon the health of the structures.</w:t>
      </w:r>
      <w:r w:rsidR="00CD2439">
        <w:t xml:space="preserve"> The research of wind and nuclear power plants seems</w:t>
      </w:r>
      <w:r w:rsidR="00DA3E7D">
        <w:t xml:space="preserve"> to be maintenance-research infants due to divided research interest </w:t>
      </w:r>
      <w:r>
        <w:t>in</w:t>
      </w:r>
      <w:r w:rsidR="00DA3E7D">
        <w:t xml:space="preserve"> PdM, SHM, and PHM application</w:t>
      </w:r>
      <w:r>
        <w:t>s</w:t>
      </w:r>
      <w:r w:rsidR="00DA3E7D">
        <w:t>. The e-maintenance</w:t>
      </w:r>
      <w:r w:rsidR="00CD2439">
        <w:t xml:space="preserve"> research</w:t>
      </w:r>
      <w:r w:rsidR="00DA3E7D">
        <w:t xml:space="preserve"> is mostly </w:t>
      </w:r>
      <w:r w:rsidR="00CD2439">
        <w:t>described</w:t>
      </w:r>
      <w:r w:rsidR="00DA3E7D">
        <w:t xml:space="preserve"> in the railways and aerospace industry, although no significant maintenance constructs were </w:t>
      </w:r>
      <w:r w:rsidR="00CD2439">
        <w:t>recognized</w:t>
      </w:r>
      <w:r w:rsidR="00DA3E7D">
        <w:t xml:space="preserve"> </w:t>
      </w:r>
      <w:r w:rsidR="00CD2439">
        <w:t>apart from adding a communication dimension</w:t>
      </w:r>
      <w:r w:rsidR="00DA3E7D">
        <w:t xml:space="preserve"> (remote monitoring) to </w:t>
      </w:r>
      <w:r w:rsidR="00CD2439">
        <w:t>assist</w:t>
      </w:r>
      <w:r w:rsidR="00DA3E7D">
        <w:t xml:space="preserve"> maintenance actions.</w:t>
      </w:r>
    </w:p>
    <w:p w14:paraId="590FAF0E" w14:textId="2C04E2E0" w:rsidR="00DA3E7D" w:rsidRDefault="00CD2439" w:rsidP="00DA3E7D">
      <w:r>
        <w:t>A distinction</w:t>
      </w:r>
      <w:r w:rsidR="00DA3E7D">
        <w:t xml:space="preserve"> of </w:t>
      </w:r>
      <w:r>
        <w:t>maintenance-</w:t>
      </w:r>
      <w:r w:rsidR="00832E96">
        <w:t>related research across industrial sector</w:t>
      </w:r>
      <w:r w:rsidR="00DA3E7D">
        <w:t xml:space="preserve">s provides several important insights. Firstly, </w:t>
      </w:r>
      <w:r w:rsidR="00E3313D">
        <w:t xml:space="preserve">most of the research published relates to the </w:t>
      </w:r>
      <w:r w:rsidR="00DA3E7D">
        <w:t xml:space="preserve">PdM </w:t>
      </w:r>
      <w:r w:rsidR="00E3313D">
        <w:t>domain. Even so</w:t>
      </w:r>
      <w:r w:rsidR="00DA3E7D">
        <w:t>, papers cited in th</w:t>
      </w:r>
      <w:r w:rsidR="00E3313D">
        <w:t>e</w:t>
      </w:r>
      <w:r w:rsidR="00DA3E7D">
        <w:t xml:space="preserve"> </w:t>
      </w:r>
      <w:r w:rsidR="00E3313D">
        <w:t>domain of PdM that</w:t>
      </w:r>
      <w:r w:rsidR="00DA3E7D">
        <w:t xml:space="preserve"> conducted a systematic review did not </w:t>
      </w:r>
      <w:r w:rsidR="00E3313D">
        <w:t xml:space="preserve">fully </w:t>
      </w:r>
      <w:r w:rsidR="00DA3E7D">
        <w:t xml:space="preserve">explain the </w:t>
      </w:r>
      <w:r w:rsidR="00E3313D">
        <w:t xml:space="preserve">protocol or </w:t>
      </w:r>
      <w:r w:rsidR="00DA3E7D">
        <w:t xml:space="preserve">underlying reasons for choosing particular </w:t>
      </w:r>
      <w:r w:rsidR="00E3313D">
        <w:t xml:space="preserve">eligibility criteria (e.g., </w:t>
      </w:r>
      <w:r w:rsidR="00DA3E7D">
        <w:t>time frame</w:t>
      </w:r>
      <w:r w:rsidR="00E3313D">
        <w:t>)</w:t>
      </w:r>
      <w:r w:rsidR="00DA3E7D">
        <w:t xml:space="preserve">. Secondly, research on the PdM </w:t>
      </w:r>
      <w:r w:rsidR="00E3313D">
        <w:t>practice</w:t>
      </w:r>
      <w:r w:rsidR="00DA3E7D">
        <w:t xml:space="preserve"> </w:t>
      </w:r>
      <w:r w:rsidR="00E3313D">
        <w:t xml:space="preserve">is mostly dedicated to </w:t>
      </w:r>
      <w:r w:rsidR="00DA3E7D">
        <w:t>the prognostic aspect (e.g.</w:t>
      </w:r>
      <w:r w:rsidR="00E3313D">
        <w:t xml:space="preserve"> wind turbines</w:t>
      </w:r>
      <w:r w:rsidR="00DA3E7D">
        <w:t>), which</w:t>
      </w:r>
      <w:r w:rsidR="00E3313D">
        <w:t xml:space="preserve"> </w:t>
      </w:r>
      <w:r w:rsidR="00DA3E7D">
        <w:t xml:space="preserve">can be a solution space for EBM research </w:t>
      </w:r>
      <w:r w:rsidR="00E3313D">
        <w:t>practice</w:t>
      </w:r>
      <w:r w:rsidR="00DA3E7D">
        <w:t xml:space="preserve">. </w:t>
      </w:r>
      <w:r w:rsidR="00E3313D">
        <w:t>A</w:t>
      </w:r>
      <w:r w:rsidR="00DA3E7D">
        <w:t xml:space="preserve">n overview of existing </w:t>
      </w:r>
      <w:r w:rsidR="00E3313D">
        <w:t>maintenance practices</w:t>
      </w:r>
      <w:r w:rsidR="00DA3E7D">
        <w:t xml:space="preserve"> and </w:t>
      </w:r>
      <w:r w:rsidR="00E3313D">
        <w:t>research focus</w:t>
      </w:r>
      <w:r w:rsidR="00DA3E7D">
        <w:t xml:space="preserve"> o</w:t>
      </w:r>
      <w:r w:rsidR="00832E96">
        <w:t>n</w:t>
      </w:r>
      <w:r w:rsidR="00DA3E7D">
        <w:t xml:space="preserve"> maintenance projects brought little to the table </w:t>
      </w:r>
      <w:r w:rsidR="00E3313D">
        <w:t xml:space="preserve">regarding </w:t>
      </w:r>
      <w:r w:rsidR="00DA3E7D">
        <w:t xml:space="preserve">the influence between energy and </w:t>
      </w:r>
      <w:r w:rsidR="00E3313D">
        <w:t>decision-making skills</w:t>
      </w:r>
      <w:r w:rsidR="00DA3E7D">
        <w:t xml:space="preserve">. The inconsistency of such </w:t>
      </w:r>
      <w:r w:rsidR="00E3313D">
        <w:t>verification</w:t>
      </w:r>
      <w:r w:rsidR="00DA3E7D">
        <w:t xml:space="preserve"> must be firmly acknowledged and</w:t>
      </w:r>
      <w:r w:rsidR="00E3313D">
        <w:t xml:space="preserve"> potentially subject to </w:t>
      </w:r>
      <w:r w:rsidR="00DA3E7D">
        <w:t>the future research agenda.</w:t>
      </w:r>
    </w:p>
    <w:p w14:paraId="49BB8FD1" w14:textId="77777777" w:rsidR="00DA3E7D" w:rsidRDefault="00DA3E7D" w:rsidP="00DA3E7D">
      <w:pPr>
        <w:pStyle w:val="Heading3"/>
      </w:pPr>
      <w:bookmarkStart w:id="781" w:name="_Toc62467397"/>
      <w:bookmarkStart w:id="782" w:name="_Toc91575401"/>
      <w:bookmarkStart w:id="783" w:name="_Toc93759881"/>
      <w:bookmarkStart w:id="784" w:name="_Toc93759985"/>
      <w:bookmarkStart w:id="785" w:name="_Toc101274426"/>
      <w:r>
        <w:lastRenderedPageBreak/>
        <w:t>Maintenance R&amp;I Projects Scientific Deliverables</w:t>
      </w:r>
      <w:bookmarkEnd w:id="781"/>
      <w:bookmarkEnd w:id="782"/>
      <w:bookmarkEnd w:id="783"/>
      <w:bookmarkEnd w:id="784"/>
      <w:bookmarkEnd w:id="785"/>
    </w:p>
    <w:p w14:paraId="3B8915B3" w14:textId="72CA39DF" w:rsidR="00DA3E7D" w:rsidRDefault="00E3313D" w:rsidP="00DA3E7D">
      <w:r>
        <w:t>An</w:t>
      </w:r>
      <w:r w:rsidR="00DA3E7D">
        <w:t xml:space="preserve"> outline </w:t>
      </w:r>
      <w:r>
        <w:t xml:space="preserve">of </w:t>
      </w:r>
      <w:r w:rsidR="00DA3E7D">
        <w:t>the projects’ dissemination activities, scientific deliverables and distribution of projects funded in the EU-FP</w:t>
      </w:r>
      <w:r>
        <w:t xml:space="preserve"> is given for accomplishing the second research objective</w:t>
      </w:r>
      <w:r w:rsidR="00DA3E7D">
        <w:t xml:space="preserve">. The evidence </w:t>
      </w:r>
      <w:r>
        <w:t>suggests</w:t>
      </w:r>
      <w:r w:rsidR="00DA3E7D">
        <w:t xml:space="preserve"> the lack of achievement in terms of patents (4.</w:t>
      </w:r>
      <w:r>
        <w:t>5</w:t>
      </w:r>
      <w:r w:rsidR="00DA3E7D">
        <w:t xml:space="preserve">%) and doctoral </w:t>
      </w:r>
      <w:r>
        <w:t>theses</w:t>
      </w:r>
      <w:r w:rsidR="00DA3E7D">
        <w:t xml:space="preserve"> (3.9%), and </w:t>
      </w:r>
      <w:r>
        <w:t>on</w:t>
      </w:r>
      <w:r w:rsidR="00DA3E7D">
        <w:t xml:space="preserve"> </w:t>
      </w:r>
      <w:r>
        <w:t xml:space="preserve">the </w:t>
      </w:r>
      <w:r w:rsidR="00DA3E7D">
        <w:t>contrary, show</w:t>
      </w:r>
      <w:r w:rsidR="00832E96">
        <w:t>s</w:t>
      </w:r>
      <w:r w:rsidR="00DA3E7D">
        <w:t xml:space="preserve"> the </w:t>
      </w:r>
      <w:r>
        <w:t>improvement</w:t>
      </w:r>
      <w:r w:rsidR="00DA3E7D">
        <w:t xml:space="preserve"> of non-peer-review publications (5.9</w:t>
      </w:r>
      <w:r>
        <w:t>)</w:t>
      </w:r>
      <w:r w:rsidR="00DA3E7D">
        <w:t xml:space="preserve">. </w:t>
      </w:r>
      <w:r w:rsidR="00832E96">
        <w:t>O</w:t>
      </w:r>
      <w:r w:rsidR="00DA3E7D">
        <w:t xml:space="preserve">ne can </w:t>
      </w:r>
      <w:r>
        <w:t>question the validity of</w:t>
      </w:r>
      <w:r w:rsidR="00DA3E7D">
        <w:t xml:space="preserve"> published reports in terms of peer-review assessment</w:t>
      </w:r>
      <w:r>
        <w:t xml:space="preserve"> quality</w:t>
      </w:r>
      <w:r w:rsidR="00DA3E7D">
        <w:t xml:space="preserve">. </w:t>
      </w:r>
      <w:r>
        <w:t>Besides</w:t>
      </w:r>
      <w:r w:rsidR="00DA3E7D">
        <w:t xml:space="preserve">, after </w:t>
      </w:r>
      <w:r>
        <w:t>evaluating</w:t>
      </w:r>
      <w:r w:rsidR="00DA3E7D">
        <w:t xml:space="preserve"> the CORDIS project factsheets, </w:t>
      </w:r>
      <w:r>
        <w:t>few</w:t>
      </w:r>
      <w:r w:rsidR="00DA3E7D">
        <w:t xml:space="preserve"> or no workshops were </w:t>
      </w:r>
      <w:r>
        <w:t>organized</w:t>
      </w:r>
      <w:r w:rsidR="00DA3E7D">
        <w:t xml:space="preserve"> in the non-associated </w:t>
      </w:r>
      <w:r>
        <w:t xml:space="preserve">EU </w:t>
      </w:r>
      <w:r w:rsidR="00DA3E7D">
        <w:t>countries</w:t>
      </w:r>
      <w:r>
        <w:t>. The thesis author states</w:t>
      </w:r>
      <w:r w:rsidR="00DA3E7D">
        <w:t xml:space="preserve"> that technology transfer activities must be acknowledged as an activity in future research agendas.</w:t>
      </w:r>
    </w:p>
    <w:p w14:paraId="15124687" w14:textId="487ACFF9" w:rsidR="00DA3E7D" w:rsidRDefault="00DA3E7D" w:rsidP="00DA3E7D">
      <w:r>
        <w:t xml:space="preserve">Moreover, after reviewing projects’ scientific deliverables, evidence shows that </w:t>
      </w:r>
      <w:r w:rsidR="00E3313D">
        <w:t>25% of</w:t>
      </w:r>
      <w:r>
        <w:t xml:space="preserve"> projects have produced a patent as a research deliverable</w:t>
      </w:r>
      <w:r w:rsidR="00832E96">
        <w:t>,</w:t>
      </w:r>
      <w:r>
        <w:t xml:space="preserve"> </w:t>
      </w:r>
      <w:r w:rsidR="00E3313D">
        <w:t>while less than</w:t>
      </w:r>
      <w:r>
        <w:t xml:space="preserve"> </w:t>
      </w:r>
      <w:r w:rsidR="00E3313D">
        <w:t xml:space="preserve">13% of </w:t>
      </w:r>
      <w:r>
        <w:t>projects have a doctoral thesis as a research deliverable</w:t>
      </w:r>
      <w:r w:rsidR="00E3313D">
        <w:t>,</w:t>
      </w:r>
      <w:r>
        <w:t xml:space="preserve"> with one project having both results. The fact that </w:t>
      </w:r>
      <w:r w:rsidR="00E3313D">
        <w:t>only 42% of</w:t>
      </w:r>
      <w:r>
        <w:t xml:space="preserve"> projects do not have a patent, thesis or a peer-review article, and </w:t>
      </w:r>
      <w:r w:rsidR="00E3313D">
        <w:t>36% of</w:t>
      </w:r>
      <w:r>
        <w:t xml:space="preserve"> projects d</w:t>
      </w:r>
      <w:r w:rsidR="00E3313D">
        <w:t>o</w:t>
      </w:r>
      <w:r>
        <w:t xml:space="preserve"> not have any scientific deliverable (PWF = 0) raises significant doubts </w:t>
      </w:r>
      <w:r w:rsidR="00832E96">
        <w:t>about</w:t>
      </w:r>
      <w:r>
        <w:t xml:space="preserve"> the actual impact on the advancement of industrial maintenance as a science considering funds invested into the research</w:t>
      </w:r>
      <w:r w:rsidR="00E3313D">
        <w:t xml:space="preserve"> under the Framework Programme(s)</w:t>
      </w:r>
      <w:r>
        <w:t xml:space="preserve">. </w:t>
      </w:r>
      <w:r w:rsidR="00E3313D">
        <w:t>Using</w:t>
      </w:r>
      <w:r>
        <w:t xml:space="preserve"> Pearsons’ correlation matrix, </w:t>
      </w:r>
      <w:r w:rsidR="00E3313D">
        <w:t>the author shows</w:t>
      </w:r>
      <w:r>
        <w:t xml:space="preserve"> that the number of investments into the projects is strongly correlated to the project duration and the number of participants</w:t>
      </w:r>
      <w:r w:rsidR="00E3313D">
        <w:t>, regardless of the project type</w:t>
      </w:r>
      <w:r>
        <w:t xml:space="preserve">. </w:t>
      </w:r>
      <w:r w:rsidR="00CE4260">
        <w:t>We can see that projects with patents tend to produce more original scientific contributions as a primary research interest by addressing projects individually</w:t>
      </w:r>
      <w:r>
        <w:t xml:space="preserve">. However, projects with a thesis as a research deliverable </w:t>
      </w:r>
      <w:r w:rsidR="00CE4260">
        <w:t>tend</w:t>
      </w:r>
      <w:r>
        <w:t xml:space="preserve"> to produce more book chapters and conference papers than peer-review journals, which would be expected considering </w:t>
      </w:r>
      <w:r w:rsidR="00CE4260">
        <w:t xml:space="preserve">the </w:t>
      </w:r>
      <w:r>
        <w:t xml:space="preserve">number of participants </w:t>
      </w:r>
      <w:r w:rsidR="00CE4260">
        <w:t xml:space="preserve">and funds invested </w:t>
      </w:r>
      <w:r>
        <w:t>in</w:t>
      </w:r>
      <w:r w:rsidR="00CE4260">
        <w:t xml:space="preserve"> maintenance</w:t>
      </w:r>
      <w:r>
        <w:t xml:space="preserve"> research.</w:t>
      </w:r>
    </w:p>
    <w:p w14:paraId="79285BFE" w14:textId="7E0960C5" w:rsidR="00DA3E7D" w:rsidRDefault="00CE4260" w:rsidP="00DA3E7D">
      <w:r>
        <w:t>Moreover</w:t>
      </w:r>
      <w:r w:rsidR="00DA3E7D">
        <w:t xml:space="preserve">, projects without patents and a thesis show </w:t>
      </w:r>
      <w:r>
        <w:t>excessive</w:t>
      </w:r>
      <w:r w:rsidR="00DA3E7D">
        <w:t xml:space="preserve"> workshops and conference proceeding</w:t>
      </w:r>
      <w:r>
        <w:t>s</w:t>
      </w:r>
      <w:r w:rsidR="00DA3E7D">
        <w:t xml:space="preserve">, suggesting low scientific impact for advancing maintenance in I4.0. Still, even though correlation can indicate tendencies within variables; however, it does not necessarily explain the causality between </w:t>
      </w:r>
      <w:r>
        <w:t>funds invested and scientific contribution</w:t>
      </w:r>
      <w:r w:rsidR="00DA3E7D">
        <w:t xml:space="preserve">. Therefore, </w:t>
      </w:r>
      <w:r>
        <w:t>the thesis’ author</w:t>
      </w:r>
      <w:r w:rsidR="00DA3E7D">
        <w:t xml:space="preserve"> conceptualised </w:t>
      </w:r>
      <w:r>
        <w:t>the Publication Weight Factor (</w:t>
      </w:r>
      <w:r w:rsidR="00DA3E7D">
        <w:t>PWF</w:t>
      </w:r>
      <w:r>
        <w:t>)</w:t>
      </w:r>
      <w:r w:rsidR="00DA3E7D">
        <w:t xml:space="preserve"> to </w:t>
      </w:r>
      <w:r w:rsidR="00832E96">
        <w:t xml:space="preserve">closely investigate </w:t>
      </w:r>
      <w:r>
        <w:t>all types of projects' scientific impact and contribution</w:t>
      </w:r>
      <w:r w:rsidR="00832E96">
        <w:t>s</w:t>
      </w:r>
      <w:r w:rsidR="00DA3E7D">
        <w:t>.</w:t>
      </w:r>
    </w:p>
    <w:p w14:paraId="23EFDCA1" w14:textId="77777777" w:rsidR="00210CB7" w:rsidRDefault="00DA3E7D" w:rsidP="00DA3E7D">
      <w:r>
        <w:t xml:space="preserve">After </w:t>
      </w:r>
      <w:r w:rsidR="00CE4260">
        <w:t xml:space="preserve">setting a </w:t>
      </w:r>
      <w:r>
        <w:t>scientific quality assessment of research deliverables</w:t>
      </w:r>
      <w:r w:rsidR="00CE4260">
        <w:t xml:space="preserve"> by</w:t>
      </w:r>
      <w:r>
        <w:t xml:space="preserve"> PWF</w:t>
      </w:r>
      <w:r w:rsidR="00CE4260">
        <w:t>, the results show that</w:t>
      </w:r>
      <w:r>
        <w:t xml:space="preserve"> for all projects</w:t>
      </w:r>
      <w:r w:rsidR="00CE4260">
        <w:t>,</w:t>
      </w:r>
      <w:r>
        <w:t xml:space="preserve"> </w:t>
      </w:r>
      <w:r w:rsidR="00CE4260">
        <w:t>the average PWF equals</w:t>
      </w:r>
      <w:r>
        <w:t xml:space="preserve"> </w:t>
      </w:r>
      <w:r w:rsidR="00CE4260">
        <w:t>(</w:t>
      </w:r>
      <w:r>
        <w:t>μ</w:t>
      </w:r>
      <w:r w:rsidRPr="003C65CC">
        <w:rPr>
          <w:vertAlign w:val="subscript"/>
        </w:rPr>
        <w:t>PWF</w:t>
      </w:r>
      <w:r w:rsidR="00CE4260" w:rsidRPr="00CE4260">
        <w:t>)</w:t>
      </w:r>
      <w:r>
        <w:t xml:space="preserve"> 1.024</w:t>
      </w:r>
      <w:r w:rsidR="00CE4260">
        <w:t>. The</w:t>
      </w:r>
      <w:r>
        <w:t xml:space="preserve"> individual</w:t>
      </w:r>
      <w:r w:rsidR="00CE4260">
        <w:t xml:space="preserve"> PWF metric</w:t>
      </w:r>
      <w:r>
        <w:t xml:space="preserve"> for projects show</w:t>
      </w:r>
      <w:r w:rsidR="00CE4260">
        <w:t>s</w:t>
      </w:r>
      <w:r>
        <w:t xml:space="preserve"> the following</w:t>
      </w:r>
      <w:r w:rsidR="00CE4260">
        <w:t xml:space="preserve">. Projects with patents → </w:t>
      </w:r>
      <w:r>
        <w:t xml:space="preserve"> μ</w:t>
      </w:r>
      <w:r w:rsidRPr="003C65CC">
        <w:rPr>
          <w:vertAlign w:val="subscript"/>
        </w:rPr>
        <w:t>PWF-PAT</w:t>
      </w:r>
      <w:r>
        <w:t xml:space="preserve"> =</w:t>
      </w:r>
      <w:r w:rsidR="00CE4260">
        <w:t>0</w:t>
      </w:r>
      <w:r>
        <w:t>.063;</w:t>
      </w:r>
      <w:r w:rsidR="00CE4260">
        <w:t xml:space="preserve"> projects with thesis</w:t>
      </w:r>
      <w:r>
        <w:t xml:space="preserve"> </w:t>
      </w:r>
      <w:r w:rsidR="00CE4260">
        <w:t xml:space="preserve">→ </w:t>
      </w:r>
      <w:r>
        <w:t>μ</w:t>
      </w:r>
      <w:r w:rsidRPr="003C65CC">
        <w:rPr>
          <w:vertAlign w:val="subscript"/>
        </w:rPr>
        <w:t xml:space="preserve">PWF-DT </w:t>
      </w:r>
      <w:r>
        <w:t xml:space="preserve">= 2.756; </w:t>
      </w:r>
      <w:r w:rsidR="00CE4260">
        <w:t xml:space="preserve">and projects without both → </w:t>
      </w:r>
      <w:r>
        <w:t>μ</w:t>
      </w:r>
      <w:r w:rsidRPr="003C65CC">
        <w:rPr>
          <w:vertAlign w:val="subscript"/>
        </w:rPr>
        <w:t>PWF-N-PAT/DT</w:t>
      </w:r>
      <w:r>
        <w:t xml:space="preserve"> = 0.578.</w:t>
      </w:r>
      <w:r w:rsidR="00CE4260">
        <w:t xml:space="preserve"> T</w:t>
      </w:r>
      <w:r w:rsidR="00832E96">
        <w:t>he evidence s</w:t>
      </w:r>
      <w:r w:rsidR="00CE4260">
        <w:t>uggest</w:t>
      </w:r>
      <w:r w:rsidR="00832E96">
        <w:t>s the following</w:t>
      </w:r>
      <w:r w:rsidR="00CE4260">
        <w:t>.</w:t>
      </w:r>
      <w:r>
        <w:t xml:space="preserve"> The projects </w:t>
      </w:r>
      <w:r w:rsidR="00CE4260">
        <w:t>without</w:t>
      </w:r>
      <w:r>
        <w:t xml:space="preserve"> a patent or thesis </w:t>
      </w:r>
      <w:r w:rsidR="00CE4260">
        <w:t xml:space="preserve">as an </w:t>
      </w:r>
      <w:r>
        <w:t>outcome show that average expenses account for about 5</w:t>
      </w:r>
      <w:r w:rsidR="00CE4260">
        <w:t>.6M</w:t>
      </w:r>
      <w:r>
        <w:t xml:space="preserve">€ per PWF. </w:t>
      </w:r>
      <w:r w:rsidR="00832E96">
        <w:t>Compared</w:t>
      </w:r>
      <w:r>
        <w:t xml:space="preserve"> to projects including doctoral theses (2</w:t>
      </w:r>
      <w:r w:rsidR="00CE4260">
        <w:t>.</w:t>
      </w:r>
      <w:r>
        <w:t>7</w:t>
      </w:r>
      <w:r w:rsidR="00CE4260">
        <w:t>M</w:t>
      </w:r>
      <w:r>
        <w:t>€/PWF), and projects with patents (1</w:t>
      </w:r>
      <w:r w:rsidR="00CE4260">
        <w:t>.2M</w:t>
      </w:r>
      <w:r>
        <w:t xml:space="preserve">€/PWF), </w:t>
      </w:r>
      <w:r w:rsidR="00CE4260">
        <w:t>it is</w:t>
      </w:r>
      <w:r>
        <w:t xml:space="preserve"> two</w:t>
      </w:r>
      <w:r w:rsidR="00CE4260">
        <w:t>-</w:t>
      </w:r>
      <w:r>
        <w:t xml:space="preserve"> and almost five</w:t>
      </w:r>
      <w:r w:rsidR="00CE4260">
        <w:t>-fold</w:t>
      </w:r>
      <w:r>
        <w:t xml:space="preserve"> higher considering investments, respectively. Another interesting fact is that the more institutions are involved in the project activities</w:t>
      </w:r>
      <w:r w:rsidR="00832E96">
        <w:t xml:space="preserve">, the more funds </w:t>
      </w:r>
      <w:r w:rsidR="00CE4260">
        <w:t>are spent</w:t>
      </w:r>
      <w:r w:rsidR="00832E96">
        <w:t>, and</w:t>
      </w:r>
      <w:r w:rsidR="00CE4260">
        <w:t xml:space="preserve"> on the contrary, the</w:t>
      </w:r>
      <w:r>
        <w:t xml:space="preserve"> PWF is lower.</w:t>
      </w:r>
    </w:p>
    <w:p w14:paraId="1C5E0CE5" w14:textId="5B92A5CF" w:rsidR="00DA3E7D" w:rsidRDefault="00DA3E7D" w:rsidP="00DA3E7D">
      <w:r>
        <w:t xml:space="preserve">The fact that most productive projects include a single participant question the role of participants in improving PWF, i.e., producing scientific deliverables. Besides, out of </w:t>
      </w:r>
      <w:r w:rsidR="00CE4260">
        <w:t>all</w:t>
      </w:r>
      <w:r>
        <w:t xml:space="preserve"> projects included for evaluation</w:t>
      </w:r>
      <w:r w:rsidR="00CE4260">
        <w:t xml:space="preserve">, </w:t>
      </w:r>
      <w:r>
        <w:t xml:space="preserve">75% had a PWF less than 1.00. </w:t>
      </w:r>
      <w:r w:rsidR="00CE4260">
        <w:t>This</w:t>
      </w:r>
      <w:r w:rsidR="00832E96">
        <w:t xml:space="preserve"> evidence </w:t>
      </w:r>
      <w:r w:rsidR="00CE4260">
        <w:t xml:space="preserve">is compared </w:t>
      </w:r>
      <w:r w:rsidR="00832E96">
        <w:t xml:space="preserve">using the same systematic methodology on a </w:t>
      </w:r>
      <w:r w:rsidR="00CE4260">
        <w:t>randomly selected project sample</w:t>
      </w:r>
      <w:r w:rsidR="00832E96">
        <w:t xml:space="preserve"> </w:t>
      </w:r>
      <w:r w:rsidR="00CE4260">
        <w:t>under</w:t>
      </w:r>
      <w:r w:rsidR="00832E96">
        <w:t xml:space="preserve"> “sustainable manufacturing” search strings on CORDIS to give a more objective assessment</w:t>
      </w:r>
      <w:r>
        <w:t xml:space="preserve">. The results show that projects in sustainability manufacturing have an average PWF </w:t>
      </w:r>
      <w:r w:rsidR="00CE4260">
        <w:t xml:space="preserve">of </w:t>
      </w:r>
      <w:r>
        <w:t>6</w:t>
      </w:r>
      <w:r w:rsidR="00CE4260">
        <w:t>.0</w:t>
      </w:r>
      <w:r>
        <w:t xml:space="preserve">, which is almost six times higher </w:t>
      </w:r>
      <w:r w:rsidR="00CE4260">
        <w:t>than</w:t>
      </w:r>
      <w:r w:rsidR="00832E96">
        <w:t xml:space="preserve"> industrial maintenance projects</w:t>
      </w:r>
      <w:r>
        <w:t xml:space="preserve"> with even lower investments (</w:t>
      </w:r>
      <w:r w:rsidR="00CE4260">
        <w:t xml:space="preserve">approx. </w:t>
      </w:r>
      <w:r>
        <w:t>1</w:t>
      </w:r>
      <w:r w:rsidR="00CE4260">
        <w:t>.</w:t>
      </w:r>
      <w:r>
        <w:t>2</w:t>
      </w:r>
      <w:r w:rsidR="00CE4260">
        <w:t>M</w:t>
      </w:r>
      <w:r>
        <w:t>€</w:t>
      </w:r>
      <w:r w:rsidR="00CE4260">
        <w:t>/</w:t>
      </w:r>
      <w:r>
        <w:t xml:space="preserve">PWF). Indeed, the underachievements can be related to the poor technological development of industrial maintenance and </w:t>
      </w:r>
      <w:r w:rsidR="00832E96">
        <w:t>the lack of involvement of eastern EU countries in industrial maintenance technology</w:t>
      </w:r>
      <w:r>
        <w:t xml:space="preserve">, thus </w:t>
      </w:r>
      <w:r w:rsidR="00CE4260">
        <w:t xml:space="preserve">potentially depicting </w:t>
      </w:r>
      <w:r>
        <w:t xml:space="preserve">the “Iron Curtain” dichotomy. Therefore, to increase the impact and scientific contribution </w:t>
      </w:r>
      <w:r w:rsidR="00832E96">
        <w:t>to</w:t>
      </w:r>
      <w:r>
        <w:t xml:space="preserve"> advancing industrial maintenance, more scientific support must be provided on the other side of the “Iron Curtain”</w:t>
      </w:r>
      <w:r w:rsidR="00CE4260">
        <w:t>. This could be potentially spurred by</w:t>
      </w:r>
      <w:r>
        <w:t xml:space="preserve"> </w:t>
      </w:r>
      <w:r>
        <w:lastRenderedPageBreak/>
        <w:t>includ</w:t>
      </w:r>
      <w:r w:rsidR="00CE4260">
        <w:t>ing</w:t>
      </w:r>
      <w:r>
        <w:t xml:space="preserve"> the sustainability </w:t>
      </w:r>
      <w:r w:rsidR="00CE4260">
        <w:t>aspect in industrial maintenance research</w:t>
      </w:r>
      <w:r>
        <w:t xml:space="preserve">, especially considering the </w:t>
      </w:r>
      <w:r w:rsidR="00CE4260">
        <w:t>EU Green Deal initiative.</w:t>
      </w:r>
    </w:p>
    <w:p w14:paraId="65AB04BB" w14:textId="3DE8154F" w:rsidR="00DA3E7D" w:rsidRPr="00DA3E7D" w:rsidRDefault="00DA3E7D" w:rsidP="00CE4260">
      <w:r>
        <w:t>Finally, w</w:t>
      </w:r>
      <w:r w:rsidR="00832E96">
        <w:t xml:space="preserve">ith the evidence provided, </w:t>
      </w:r>
      <w:r w:rsidR="00CE4260">
        <w:t>excessive</w:t>
      </w:r>
      <w:r>
        <w:t xml:space="preserve"> non-scientific contributions and lack of achievement of industrial maintenance research for I4.0 </w:t>
      </w:r>
      <w:r w:rsidR="00CE4260">
        <w:t>suggest literature saturation and</w:t>
      </w:r>
      <w:r>
        <w:t xml:space="preserve"> the need for a new maintenance paradigm. T</w:t>
      </w:r>
      <w:r w:rsidR="00CE4260">
        <w:t>he trade-off between investments and PWF of the projects’ research outcomes to encourage sustainable ecosystem implementation</w:t>
      </w:r>
      <w:r>
        <w:t xml:space="preserve"> depends primarily on the industrial maintenance impact and technological solutions. </w:t>
      </w:r>
      <w:r w:rsidR="00CE4260">
        <w:t>More meaningful solutions that can disrupt industrial and scientific schools of thought can be achieved by allocating more research resources for EBM research.</w:t>
      </w:r>
      <w:r>
        <w:t xml:space="preserve"> As a result, higher PWF </w:t>
      </w:r>
      <w:r w:rsidR="00CE4260">
        <w:t>can be</w:t>
      </w:r>
      <w:r>
        <w:t xml:space="preserve"> expected </w:t>
      </w:r>
      <w:r w:rsidR="00832E96">
        <w:t>in industrial maintenance</w:t>
      </w:r>
      <w:r w:rsidR="00CE4260">
        <w:t>, especially considering the energy-dedicated and sustainable realm of maintenance philosophy.</w:t>
      </w:r>
    </w:p>
    <w:p w14:paraId="027AF174" w14:textId="2147ECB1" w:rsidR="00E14397" w:rsidRDefault="007762A0" w:rsidP="00E14397">
      <w:pPr>
        <w:pStyle w:val="Heading2"/>
      </w:pPr>
      <w:bookmarkStart w:id="786" w:name="_Toc101274427"/>
      <w:r>
        <w:t xml:space="preserve">Energy-Based Maintenance literature </w:t>
      </w:r>
      <w:r w:rsidR="00460697">
        <w:t>evidence</w:t>
      </w:r>
      <w:bookmarkEnd w:id="786"/>
    </w:p>
    <w:p w14:paraId="1E42E926" w14:textId="43EFCB94" w:rsidR="00DA3E7D" w:rsidRDefault="00914281" w:rsidP="00DA3E7D">
      <w:r>
        <w:t>The current energy-dedicated maintenance research</w:t>
      </w:r>
      <w:r w:rsidR="00DA3E7D">
        <w:t xml:space="preserve"> suggests that ongoing research efforts mostly include data-driven statistical and mathematical modelling for decision-making purposes </w:t>
      </w:r>
      <w:r w:rsidR="00DA3E7D">
        <w:fldChar w:fldCharType="begin" w:fldLock="1"/>
      </w:r>
      <w:r w:rsidR="00645D0B">
        <w:instrText>ADDIN CSL_CITATION {"citationItems":[{"id":"ITEM-1","itemData":{"DOI":"10.1016/j.eiar.2019.02.007","ISSN":"01959255","abstract":"For decades, maintenance of facilities and equipment, as well as related activities (from fault detection to prognostics and health management), has a proven impact on efficiency of production systems and is thus still the subject of numerous developments (from corrective to proactive maintenance). These developments are supported by the increase in digital pervasiveness accompanying the Industry 4.0. concept, based in particular on the use of Cyber-Physical Systems. In addition, we are witnessing the growing interest of the political and academic world and public opinion with regard to the sustainable impact of human activity. For company decision-makers, triple bottom line accounting frameworks have been introduced at higher decision levels (strategic) based on economic, social, and environmental performance indicators. This triple preoccupation has not yet been integrated into studies on middle (tactical) and lower (operational) decision levels, and paradoxically, not into production facility health management either. In this paper, we propose the deployment of a framework helping decisions makers to be environmentally aware in the maintenance of cyber physical systems. This framework consists of three key elements: a new maintenance policy called Sustainable Condition-Based Maintenance (SCBM), which requires the assessment of the Remaining Sustainable Life (RSL) as a key indicator; an adaptation and extension of a generic prognostic business process initially proposed for traditional Conditions Based Maintenance (CBM); and an organization adapted to the prognosis of the environmental performance of systems, based on holonic structures. We present the implementation of such a framework on a real Cyber Physical Systems under development.","author":[{"dropping-particle":"","family":"Sénéchal","given":"Olivier","non-dropping-particle":"","parse-names":false,"suffix":""},{"dropping-particle":"","family":"Trentesaux","given":"Damien","non-dropping-particle":"","parse-names":false,"suffix":""}],"container-title":"Environmental Impact Assessment Review","id":"ITEM-1","issue":"March","issued":{"date-parts":[["2019"]]},"note":"- Also argues that pro-active is CBM.\n- The primary aim is to bridge the gap of including sustainable elements in MDM. Hence, the aim is to propose a framework helping decision-makers to be aware of environmental impacts in maintenance activities.\n- Prognostic of sustainable perofrmance ...\n- RSL + CL + Future environmental perofmrance (FEP)\n- FEP are emissions and resources consumption considered in LCI but only induced by the exploitation phase starting from the environemntal diagnosis time.\n-","page":"11-22","publisher":"Elsevier","title":"A framework to help decision makers to be environmentally aware during the maintenance of cyber physical systems","type":"article-journal","volume":"77"},"uris":["http://www.mendeley.com/documents/?uuid=8438580c-b281-42c8-8c98-51c4b56d70fc"]}],"mendeley":{"formattedCitation":"[110]","plainTextFormattedCitation":"[110]","previouslyFormattedCitation":"[110]"},"properties":{"noteIndex":0},"schema":"https://github.com/citation-style-language/schema/raw/master/csl-citation.json"}</w:instrText>
      </w:r>
      <w:r w:rsidR="00DA3E7D">
        <w:fldChar w:fldCharType="separate"/>
      </w:r>
      <w:r w:rsidR="00416869" w:rsidRPr="00416869">
        <w:rPr>
          <w:noProof/>
        </w:rPr>
        <w:t>[110]</w:t>
      </w:r>
      <w:r w:rsidR="00DA3E7D">
        <w:fldChar w:fldCharType="end"/>
      </w:r>
      <w:r w:rsidR="00DA3E7D">
        <w:t xml:space="preserve">. </w:t>
      </w:r>
      <w:bookmarkStart w:id="787" w:name="_Hlk52812287"/>
      <w:r>
        <w:t>The</w:t>
      </w:r>
      <w:r w:rsidR="00DA3E7D">
        <w:t xml:space="preserve"> evidence points out that the relationship between energy consumption and maintenance availability is reciprocal </w:t>
      </w:r>
      <w:bookmarkEnd w:id="787"/>
      <w:r w:rsidR="00DA3E7D">
        <w:rPr>
          <w:i/>
          <w:iCs/>
        </w:rPr>
        <w:fldChar w:fldCharType="begin" w:fldLock="1"/>
      </w:r>
      <w:r w:rsidR="00204994">
        <w:rPr>
          <w:i/>
          <w:iCs/>
        </w:rPr>
        <w:instrText>ADDIN CSL_CITATION {"citationItems":[{"id":"ITEM-1","itemData":{"DOI":"10.1016/j.jsm.2016.08.002","ISSN":"23003960","abstract":"Mineral commodity prices have decreased swiftly since 2012. For example, gold price, which was above $1800 per ounce, is currently about $1250 per ounce. Price slumps were even more severe in the base metals. Furthermore, the resource degradation and complex geologic conditions give rise to operation costs. As a result, many mining operations and development projects were eventually suspended, cancelled or ceased. Environmental compliance is also another challenge to the mining industry. The fuel consumed by diesel trucks emits greenhouse gases, which are one of contributors to the global warming. In Canada, the provinces of Quebec, British Columbia and Alberta introduced carbon taxes with the objective of reducing gas emissions in attempt to mitigate climate change. In this scope, only way to stay in business for a mining company is to invest more efficient and environmental friendly production practices such that operation costs are reduced. Given that maintenance costs and energy consumption are the largest contributors to operation costs, the minimization of carbon emissions and the maximization of equipment availability would be beneficial. This paper addresses to quantify the relationship between equipment reliability and energy consumption through a case study. It shows that a maintenance policy based on equipment reliability can significantly reduce energy consumption and its associated gas emissions.","author":[{"dropping-particle":"","family":"Peralta","given":"Salvatore","non-dropping-particle":"","parse-names":false,"suffix":""},{"dropping-particle":"","family":"Sasmito","given":"Agus Pulung","non-dropping-particle":"","parse-names":false,"suffix":""},{"dropping-particle":"","family":"Kumral","given":"Mustafa","non-dropping-particle":"","parse-names":false,"suffix":""}],"container-title":"Journal of Sustainable Mining","id":"ITEM-1","issue":"3","issued":{"date-parts":[["2016"]]},"note":"- The engineering problem is to find minimum fuel consumption with the most effective policy.\n- Reliability based maintenance plan.\n- Reliability, working hours, distance and gross mass weight are considered as variables of the fuel consumption in multiple regression analysis that estimates the contribution of each variable to the specific fuel consumption change.\n- 30% maintenance cost; &amp;gt;60% fuel consumption costs;\n- In light of this result, the best maintenance policy was the reliability-based at a 75 percent reliability threshold. \n- The performance of the 617-h approach respect the 75 percent reli- ability threshold was not competitive since the latter showed 11, 19 and 19 percent savings for the maintenance cost, fuel consumption and emission tax respectively.","page":"85-94","publisher":"Elsevier Ltd","title":"Reliability effect on energy consumption and greenhouse gas emissions of mining hauling fleet towards sustainable mining","type":"article-journal","volume":"15"},"uris":["http://www.mendeley.com/documents/?uuid=f7e79941-4aee-47e2-9d73-aea8eb81e0de"]},{"id":"ITEM-2","itemData":{"DOI":"10.1108/13552511211265848","ISSN":"13552511","abstract":"Purpose - The purpose of this paper is to investigate the link between maintenance and energy saving in a commercial refrigeration setting. Design/methodology/approach - Since there is little data available from within the industrial sector, the authors have surveyed the literature for evidence of a link. Findings - Maintenance procedures play a major role in ensuring refrigeration equipment operates at maximum efficiency. Research limitations/implications - Little real world data is available and this is a major problem at present. Improved maintenance policies can only be developed. Practical implications - Substantial energy savings can be achieved if maintenance procedures are improved based on detailed measurement of energy usage. Monitoring the condition and performance of individual parts of a system are found to be crucial aspects in obtaining optimal performance. Originality/value - This paper highlights a neglected area in both energy saving and in maintenance planning. © Emerald Group Publishing Limited.","author":[{"dropping-particle":"","family":"Knowles","given":"Michael","non-dropping-particle":"","parse-names":false,"suffix":""},{"dropping-particle":"","family":"Baglee","given":"David","non-dropping-particle":"","parse-names":false,"suffix":""}],"container-title":"Journal of Quality in Maintenance Engineering","id":"ITEM-2","issue":"3","issued":{"date-parts":[["2012"]]},"page":"282-294","title":"The role of maintenance in energy saving in commercial refrigeration","type":"article-journal","volume":"18"},"uris":["http://www.mendeley.com/documents/?uuid=145ef56b-0267-4d80-88f4-c3ea92a5a7fd"]}],"mendeley":{"formattedCitation":"[55], [134]","plainTextFormattedCitation":"[55], [134]","previouslyFormattedCitation":"[55], [134]"},"properties":{"noteIndex":0},"schema":"https://github.com/citation-style-language/schema/raw/master/csl-citation.json"}</w:instrText>
      </w:r>
      <w:r w:rsidR="00DA3E7D">
        <w:rPr>
          <w:i/>
          <w:iCs/>
        </w:rPr>
        <w:fldChar w:fldCharType="separate"/>
      </w:r>
      <w:r w:rsidR="00645D0B" w:rsidRPr="00645D0B">
        <w:rPr>
          <w:iCs/>
          <w:noProof/>
        </w:rPr>
        <w:t>[55], [134]</w:t>
      </w:r>
      <w:r w:rsidR="00DA3E7D">
        <w:rPr>
          <w:i/>
          <w:iCs/>
        </w:rPr>
        <w:fldChar w:fldCharType="end"/>
      </w:r>
      <w:bookmarkStart w:id="788" w:name="_Hlk52812304"/>
      <w:r w:rsidR="00DA3E7D">
        <w:t xml:space="preserve">; thus, monitoring energy parameters may provide insights into machine health and trigger preventive </w:t>
      </w:r>
      <w:bookmarkEnd w:id="788"/>
      <w:r w:rsidR="00DA3E7D">
        <w:fldChar w:fldCharType="begin" w:fldLock="1"/>
      </w:r>
      <w:r w:rsidR="00645D0B">
        <w:instrText>ADDIN CSL_CITATION {"citationItems":[{"id":"ITEM-1","itemData":{"DOI":"10.1007/s00170-014-5834-3","ISSN":"0268-3768","abstract":"In this study, we analyze an integrated production-preventive maintenance planning problem where product processing times are affected by machine degradation. Preventive maintenance and repair can return the degraded machines/equipment to normal conditions, which can improve the job processing times and the amount of energy consumed. We propose a mathematical model for an integrated production and preventive maintenance planning problem in a multi-product, multi-period, single-machine manufacturing environment with minimal repair and energy consumption considerations in order to minimize the overall cost of production, inventory, energy, maintenance, and repair. The model investigates the impact of imperfect and “as-good-as-new” (AGAN) maintenance strategies on production plan and total cost. Experimental analyses provide insights about the proposed model: when the sensitivity of processing times to machine health status increases, the required number of maintenance actions increases. In addition, enforcing more number of maintenance actions into a production plan decreases energy cost of the system.","author":[{"dropping-particle":"","family":"Yildirim","given":"Mehmet Bayram","non-dropping-particle":"","parse-names":false,"suffix":""},{"dropping-particle":"","family":"Nezami","given":"Farnaz Ghazi","non-dropping-particle":"","parse-names":false,"suffix":""}],"container-title":"The International Journal of Advanced Manufacturing Technology","id":"ITEM-1","issue":"9-12","issued":{"date-parts":[["2014","10","3"]]},"note":"- Impact of imperfect and AGAN on production plan and total cost.\n- More maintenance actions decreases energy cost of the system. \n- Integrated preventive maintenance and production planning can optimize machine performance and total energy consumption.\n- Production-Preventive Maintenance Plan.\n- Minimize overall system production, maintenance and energy costs.\n- Investigating the maintenance decisions on production plan and total energy consumption at a tactical level.\n-","page":"1419-1430","title":"Integrated maintenance and production planning with energy consumption and minimal repair","type":"article-journal","volume":"74"},"uris":["http://www.mendeley.com/documents/?uuid=861520f3-26ec-4b34-a6c1-f42da599a70d"]},{"id":"ITEM-2","itemData":{"DOI":"10.3926/jiem.2649","ISSN":"2013-0953","abstract":"Purpose: In order to improve the energy utilization and achieve sustainable development, this paper integrates energy efficiency into condition-based maintenance(CBM) decision-making for two-component parallel systems. The objective is to obtain the optimal maintenance policy by minimizing total cost.Design/methodology/approach: Based on energy efficiency, the paper considers the economic dependence between the two components to take opportunistic maintenance. Specifically, the objective function consists of traditional maintenance cost and energy cost incurred by energy consumption of components. In order to assess the performance of the proposed new maintenance policy, the paper uses Monte-Carlo method to evaluate the total cost and find the optimal maintenance policy.Findings: Simulation results indicate that the new maintenance policy is superior to the classical condition-based opportunistic maintenance policy in terms of total economic costs.Originality/value: For two-component parallel systems, previous researches usually simply establish a condition-based opportunistic maintenance model based on real deterioration data, but ignore energy consumption, energy efficiency (EE) and their contributions of sustainable development. This paper creatively takes energy efficiency into condition-based maintenance(CBM) decision-making process, and proposes a new condition-based opportunistic maintenance policy by using energy efficiency indicator(EEI).","author":[{"dropping-particle":"","family":"Jiang","given":"Aiping","non-dropping-particle":"","parse-names":false,"suffix":""},{"dropping-particle":"","family":"Wang","given":"Yuanyuan","non-dropping-particle":"","parse-names":false,"suffix":""},{"dropping-particle":"","family":"Cheng","given":"Yide","non-dropping-particle":"","parse-names":false,"suffix":""}],"container-title":"Journal of Industrial Engineering and Management","id":"ITEM-2","issue":"4","issued":{"date-parts":[["2018","10","24"]]},"note":"Thus, the aim of the article is to propose a new maintenance model with ecological consciousness for two-component parallel systems, which can improve the energy utilization and achieve sustainable development.\n- In addition, they can integrate energy efficiency into maintenance decision-making if possible.\nIn addition, indicators that energy efficiency and any other ecological impacts will be taken into maintenance decision-making. This would be a rather interesting research field in the future.","page":"749","title":"A condition-based opportunistic maintenance policy integrated with energy efficiency for two-component parallel systems","type":"article-journal","volume":"11"},"uris":["http://www.mendeley.com/documents/?uuid=4b7e4c2b-d645-467e-8303-913756a09374"]}],"mendeley":{"formattedCitation":"[108], [113]","plainTextFormattedCitation":"[108], [113]","previouslyFormattedCitation":"[108], [113]"},"properties":{"noteIndex":0},"schema":"https://github.com/citation-style-language/schema/raw/master/csl-citation.json"}</w:instrText>
      </w:r>
      <w:r w:rsidR="00DA3E7D">
        <w:fldChar w:fldCharType="separate"/>
      </w:r>
      <w:r w:rsidR="00416869" w:rsidRPr="00416869">
        <w:rPr>
          <w:noProof/>
        </w:rPr>
        <w:t>[108], [113]</w:t>
      </w:r>
      <w:r w:rsidR="00DA3E7D">
        <w:fldChar w:fldCharType="end"/>
      </w:r>
      <w:r w:rsidR="00DA3E7D">
        <w:t xml:space="preserve"> </w:t>
      </w:r>
      <w:r>
        <w:t>and</w:t>
      </w:r>
      <w:r w:rsidR="00DA3E7D">
        <w:t xml:space="preserve"> corrective actions </w:t>
      </w:r>
      <w:r w:rsidR="00DA3E7D">
        <w:fldChar w:fldCharType="begin" w:fldLock="1"/>
      </w:r>
      <w:r w:rsidR="00645D0B">
        <w:instrText>ADDIN CSL_CITATION {"citationItems":[{"id":"ITEM-1","itemData":{"DOI":"10.1115/1.4038996","ISSN":"15288935","abstract":"In recent years, the industry's responsibility to join in sustainable manufacturing becomes huge, while innovating sustainability has been a new trend. Industrial enterprises are pursuing energy reduction to meet future needs for sustainable globalization and government legislations for green manufacturing. To run a manufacturing line in an energy-efficient manner, an energy-oriented maintenance methodology is developed. At the machine layer, the multi-Attribute model (MAM) method is extended by modeling the energy attribute. Preventive maintenance (PM) intervals of each machine are dynamically scheduled according to the machine deterioration, maintenance effects, and environmental conditions. At the system layer, a novel energy saving window (ESW) policy is proposed to reduce energy for the whole line. Energy consumption interactivities, batch production characteristics, and system-layer maintenance opportunities are comprehensively considered. Real-Time choice of PM adjustments is scheduled by comparing the energy savings of advanced PM and delayed PM. The results prove the energy reduction achieved by this MAM-ESW methodology. It effectively utilizes standby power, reduces energy consumption, avoids manufacturing breakdown, and decreases scheduling complexity. Furthermore, this energy-oriented maintenance framework can be applied not only in the automotive industry but also for a broader range of manufacturing domains such as the aerospace, semiconductor, and chemical industries.","author":[{"dropping-particle":"","family":"Xia","given":"Tangbin","non-dropping-particle":"","parse-names":false,"suffix":""},{"dropping-particle":"","family":"Xi","given":"Lifeng","non-dropping-particle":"","parse-names":false,"suffix":""},{"dropping-particle":"","family":"Du","given":"Shichang","non-dropping-particle":"","parse-names":false,"suffix":""},{"dropping-particle":"","family":"Xiao","given":"Lei","non-dropping-particle":"","parse-names":false,"suffix":""},{"dropping-particle":"","family":"Pan","given":"Ershun","non-dropping-particle":"","parse-names":false,"suffix":""}],"container-title":"Journal of Manufacturing Science and Engineering, Transactions of the ASME","id":"ITEM-1","issue":"5","issued":{"date-parts":[["2018"]]},"page":"1-12","title":"Energy-oriented maintenance decision-making for sustainable manufacturing based on energy saving window","type":"article-journal","volume":"140"},"uris":["http://www.mendeley.com/documents/?uuid=1d41858c-b5b0-46d8-8d40-ea72dd8746dd"]},{"id":"ITEM-2","itemData":{"DOI":"10.1016/j.jclepro.2019.119791","ISSN":"09596526","abstract":"Nowadays the manufacturing enterprises are driven towards significant energy improvements by increasing energy costs and sustainability awareness, and energy consumption and energy efficiency are taking a more and more dominating position in the decision-making process of manufacturing enterprises. However, in the process of production, existing researches rarely integrate energy management with conducting preventive maintenance at the strategic level, ignoring energy-saving opportunities that may arise during machines’ downtime. This paper considers a serial production system with intermediate finite buffers. Based on the concept of “energy-saving opportunity window” and the modelling of the continuous deterioration process of each machine, the window of energy-saving opportunity of the production system is regarded as a window of opportunity for the preventive maintenance, thus a proactive preventive maintenance strategy is proposed. The serial production system is modeled and the impact of different maintenance thresholds on the energy efficiency is explored by means of Monte Carlo simulation. For purpose of maximizing the energy efficiency of the entire production system, an iterative algorithm for solving the optimal preventive maintenance thresholds is presented as well. The numerical analysis with other maintenance strategies shows that the proposed strategy is more competitive in improving the effective throughput while reducing the overall energy consumption.","author":[{"dropping-particle":"","family":"Zhou","given":"Binghai","non-dropping-particle":"","parse-names":false,"suffix":""},{"dropping-particle":"","family":"Qi","given":"Yi","non-dropping-particle":"","parse-names":false,"suffix":""},{"dropping-particle":"","family":"Liu","given":"Yuwang","non-dropping-particle":"","parse-names":false,"suffix":""}],"container-title":"Journal of Cleaner Production","id":"ITEM-2","issued":{"date-parts":[["2020"]]},"note":"Monte Carlo to help algorithm.\nAccording to the researches on the energy consumption unit time under different operating conditions of equipment, the equipment operating state is divided into the following stages: start-up, warm- up, normal operation, standby (idle) and shutdown.","title":"Proactive preventive maintenance policy for buffered serial production systems based on energy saving opportunistic windows","type":"article-journal","volume":"253"},"uris":["http://www.mendeley.com/documents/?uuid=bf853058-fc4a-490b-972f-6e25a6156239"]}],"mendeley":{"formattedCitation":"[112], [114]","plainTextFormattedCitation":"[112], [114]","previouslyFormattedCitation":"[112], [114]"},"properties":{"noteIndex":0},"schema":"https://github.com/citation-style-language/schema/raw/master/csl-citation.json"}</w:instrText>
      </w:r>
      <w:r w:rsidR="00DA3E7D">
        <w:fldChar w:fldCharType="separate"/>
      </w:r>
      <w:r w:rsidR="00416869" w:rsidRPr="00416869">
        <w:rPr>
          <w:noProof/>
        </w:rPr>
        <w:t>[112], [114]</w:t>
      </w:r>
      <w:r w:rsidR="00DA3E7D">
        <w:fldChar w:fldCharType="end"/>
      </w:r>
      <w:r>
        <w:t>. In addition, it can also</w:t>
      </w:r>
      <w:r w:rsidR="00DA3E7D">
        <w:t xml:space="preserve"> reduce carbon </w:t>
      </w:r>
      <w:r>
        <w:t>emission</w:t>
      </w:r>
      <w:r w:rsidR="00DA3E7D">
        <w:t xml:space="preserve"> </w:t>
      </w:r>
      <w:r w:rsidR="00DA3E7D">
        <w:fldChar w:fldCharType="begin" w:fldLock="1"/>
      </w:r>
      <w:r w:rsidR="00645D0B">
        <w:instrText>ADDIN CSL_CITATION {"citationItems":[{"id":"ITEM-1","itemData":{"DOI":"10.1016/j.jclepro.2020.121540","ISSN":"09596526","abstract":"With the increase in awareness of energy conservation and emission reduction in the manufacturing sector, the energy efficiency optimization of the production process is considered an effective way to promote cleaner production and environmentally sustainable development. Moreover, the transportation process and its energy consumption are non-negligible during the entire workshop production process. In practice, cutting tool degradation during operation is inevitable, which causes the actual processing time of work to be extended, so it is necessary to consider the degradation effects and imperfect maintenance. To reduce the total energy consumption in the manufacturing workshop with degradation effects and imperfect maintenance, this paper constructs a novel integrated optimization model including the flexible job-shop scheduling problem (FJSP), forklift transportation and imperfect cutting tool maintenance. First, an imperfect cutting tool maintenance with degradation effect strategy is presented, which makes the actual processing time of each operation more closely approximate the real-world processing situation. Second, an integrated multi-objective optimization model is formulated to simultaneously minimize the makespan, total tardiness, total production cost and total energy consumption. Third, a hybrid multi-objective evolutionary algorithm with Pareto elite storage strategy (HMOEA/P) is proposed to address the model. More precisely, three improved operations are presented: hybrid dominance principle, local search algorithms and Pareto elite preservation strategy. The effectiveness and feasibility of the parameter setting, improved operations and the proposed algorithm are separately demonstrated by the comparative experiments. Last, the superiority of the integrated multi-objective optimization model is proven by comparing different maintenance strategies and energy consumption models.","author":[{"dropping-particle":"","family":"An","given":"Youjun","non-dropping-particle":"","parse-names":false,"suffix":""},{"dropping-particle":"","family":"Chen","given":"Xiaohui","non-dropping-particle":"","parse-names":false,"suffix":""},{"dropping-particle":"","family":"Zhang","given":"Ji","non-dropping-particle":"","parse-names":false,"suffix":""},{"dropping-particle":"","family":"Li","given":"Yinghe","non-dropping-particle":"","parse-names":false,"suffix":""}],"container-title":"Journal of Cleaner Production","id":"ITEM-1","issued":{"date-parts":[["2020","9"]]},"note":"- Superiority is validate by comparing different maintenance strategies and energy consumption models.\n- In summary, this study focuses on integrated multi-objective optimization problem of production scheduling and imperfect cutting tool PM considering total energy consumption.\n- Taguchi method\n-","page":"121540","publisher":"Elsevier Ltd","title":"A hybrid multi-objective evolutionary algorithm to integrate optimization of the production scheduling and imperfect cutting tool maintenance considering total energy consumption","type":"article-journal","volume":"268"},"uris":["http://www.mendeley.com/documents/?uuid=b56db35f-c996-4084-81a7-bd1fd4887628"]}],"mendeley":{"formattedCitation":"[57]","plainTextFormattedCitation":"[57]","previouslyFormattedCitation":"[57]"},"properties":{"noteIndex":0},"schema":"https://github.com/citation-style-language/schema/raw/master/csl-citation.json"}</w:instrText>
      </w:r>
      <w:r w:rsidR="00DA3E7D">
        <w:fldChar w:fldCharType="separate"/>
      </w:r>
      <w:r w:rsidR="00416869" w:rsidRPr="00416869">
        <w:rPr>
          <w:noProof/>
        </w:rPr>
        <w:t>[57]</w:t>
      </w:r>
      <w:r w:rsidR="00DA3E7D">
        <w:fldChar w:fldCharType="end"/>
      </w:r>
      <w:r w:rsidR="00DA3E7D">
        <w:t>, improve diagnostic</w:t>
      </w:r>
      <w:r>
        <w:t xml:space="preserve"> activities</w:t>
      </w:r>
      <w:r w:rsidR="00DA3E7D">
        <w:t xml:space="preserve"> </w:t>
      </w:r>
      <w:r w:rsidR="00DA3E7D">
        <w:fldChar w:fldCharType="begin" w:fldLock="1"/>
      </w:r>
      <w:r w:rsidR="00204994">
        <w:instrText>ADDIN CSL_CITATION {"citationItems":[{"id":"ITEM-1","itemData":{"DOI":"10.1016/j.applthermaleng.2015.01.075","ISSN":"13594311","abstract":"Condition-Based Maintenance for diesel engines has contributed to reliability, energy-efficiency, and cost reduction. Both, the modelling of engine performance and fault detection require large amounts of data; usually, these are obtained on a test bench. In contrast, in operative engines, provoking faults onboard is not a viable proposition. Condition-Based Maintenance, fault detection and diagnosis need to be solved on engines installed in commercial vessels: the present contribution answers this need. A medium-speed diesel engine was monitored using thermocouples, pressure sensors, a propeller shaft torque meter and fuel oil flow-meters, during more than 10,000 running hours. Monitored data were used to train a three-layer feed-forward neural network, to generate the engine performance model; thus, determine the engine's fuel consumption and faulty conditions. The faulty conditions considered were: (1) a polluted turbine; (2) a dirty air filter/compressor; (3) a dirty air cooler; (4) and bad fuel injection, i.e. bad combustion. The sensor's precision and the experience gained by monitoring the engine served as a baseline to define the fault threshold values. The results proved the feasibility of installing a Condition-Based Maintenance, for vessels in operation, by monitoring engine performance and analysing the data with the aid of artificial neural networks.","author":[{"dropping-particle":"","family":"Basurko","given":"Oihane C.","non-dropping-particle":"","parse-names":false,"suffix":""},{"dropping-particle":"","family":"Uriondo","given":"Zigor","non-dropping-particle":"","parse-names":false,"suffix":""}],"container-title":"Applied Thermal Engineering","id":"ITEM-1","issue":"x","issued":{"date-parts":[["2015","4"]]},"note":"Faulty conditions were considered to occur when faults took place together with a 3% threshold increase of fuel consumption.\nFaults are defined based on sensor precision and experience.\nFailure modes (or fault modes) should be refined for the future CBM of engines.","page":"404-412","publisher":"Elsevier Ltd","title":"Condition-Based Maintenance for medium speed diesel engines used in vessels in operation","type":"article-journal","volume":"80"},"uris":["http://www.mendeley.com/documents/?uuid=d623301e-e28c-4b06-aa28-875108c80682"]},{"id":"ITEM-2","itemData":{"DOI":"10.1109/ACCESS.2017.2726017","ISSN":"21693536","abstract":"This paper presents a supervisory control strategy for resilient chiller plants in the presence of condenser fouling. Fouling results in off-nominal performance of chiller parameters, such as increased refrigerant mass flow rate, compressor motor speed, discharge pressure, and discharge temperature. These effects further lead to faster deterioration of condenser pipes and tubes, and increase the risk of early motor failures. Thus, the main objective of this paper is to provide resilience, i.e., to bring the system parameters back to normalcy, and thereby protect the system from the adverse effects of fouling and improve its life expectancy while ensuring energy efficiency and meeting the desired cooling load. The supervisory control strategy presented here incorporates fault detection and diagnosis (FDD) and resilient control for mitigating the effects of condenser fouling. A computationally efficient and robust FDD scheme enables the estimation of the condenser fouling level using optimal sensor selection and statistical classifiers, thus facilitating condition-based maintenance. On the other hand, the resilient control scheme enables redistribution of load between chillers in order to reduce the load on faulty equipment in an energy-efficient manner, while still providing the required overall cooling load. The performance of this method is tested and validated using a high-fidelity chiller plant model and the proposed strategy is shown to diagnose condenser fouling with a high accuracy and effectively mitigate the effects of fouling at low computational cost. It is shown that the supervisory controller is able to meet the desired building load requirements at lower energy consumption, as compared with no supervisory control.","author":[{"dropping-particle":"","family":"Mittal","given":"Khushboo","non-dropping-particle":"","parse-names":false,"suffix":""},{"dropping-particle":"","family":"Wilson","given":"James P.","non-dropping-particle":"","parse-names":false,"suffix":""},{"dropping-particle":"","family":"Baillie","given":"Brian P.","non-dropping-particle":"","parse-names":false,"suffix":""},{"dropping-particle":"","family":"Gupta","given":"Shalabh","non-dropping-particle":"","parse-names":false,"suffix":""},{"dropping-particle":"","family":"Bollas","given":"George M.","non-dropping-particle":"","parse-names":false,"suffix":""},{"dropping-particle":"","family":"Luh","given":"Peter B.","non-dropping-particle":"","parse-names":false,"suffix":""}],"container-title":"IEEE Access","id":"ITEM-2","issued":{"date-parts":[["2017"]]},"note":"Consider faulty operating conditions (faulty modes).\nDeveloped supervisory control strategy based on physics-based high-fidelity chiller plant model.\n- SCS works with Nominal Controller (NC) and Resilient Controller (RC).","page":"14028-14046","publisher":"IEEE","title":"Supervisory control for resilient chiller plants under condenser fouling","type":"article-journal","volume":"5"},"uris":["http://www.mendeley.com/documents/?uuid=43fcdf0d-854a-4202-bce3-6dd985dbf553"]}],"mendeley":{"formattedCitation":"[115], [135]","plainTextFormattedCitation":"[115], [135]","previouslyFormattedCitation":"[115], [135]"},"properties":{"noteIndex":0},"schema":"https://github.com/citation-style-language/schema/raw/master/csl-citation.json"}</w:instrText>
      </w:r>
      <w:r w:rsidR="00DA3E7D">
        <w:fldChar w:fldCharType="separate"/>
      </w:r>
      <w:r w:rsidR="00645D0B" w:rsidRPr="00645D0B">
        <w:rPr>
          <w:noProof/>
        </w:rPr>
        <w:t>[115], [135]</w:t>
      </w:r>
      <w:r w:rsidR="00DA3E7D">
        <w:fldChar w:fldCharType="end"/>
      </w:r>
      <w:r w:rsidR="00DA3E7D">
        <w:t>, or</w:t>
      </w:r>
      <w:r>
        <w:t xml:space="preserve"> even</w:t>
      </w:r>
      <w:r w:rsidR="00DA3E7D">
        <w:t xml:space="preserve"> predict the future </w:t>
      </w:r>
      <w:r>
        <w:t>machine health</w:t>
      </w:r>
      <w:r w:rsidR="00DA3E7D">
        <w:t xml:space="preserve"> (prognostics) </w:t>
      </w:r>
      <w:r w:rsidR="00DA3E7D">
        <w:fldChar w:fldCharType="begin" w:fldLock="1"/>
      </w:r>
      <w:r w:rsidR="00645D0B">
        <w:instrText>ADDIN CSL_CITATION {"citationItems":[{"id":"ITEM-1","itemData":{"DOI":"10.1109/PHM.2015.7380096","ISBN":"978-1-4673-8554-1","abstract":"Industrial plants are facing today with new challenges to well optimize performance of their operation and maintenance. For example, the sustainability paradigm is introducing new requirements to be taken into account in the decision-making process. In that way, energy consumption (EC) and energy efficiency (EE) are two critical performances impacting severely the plant effectiveness mainly with regards to its life cycle cost. Although there are models for following these two performances at the component level, there is a real need for modelling them at the function or system levels not only to support strategic decisions (and not only operational one) but also to forecast them to make decisions in advance for better optimization. Thus, the principles of a generic approach, which is focused on EE performance (EEP) and built on the modelling of this EEP at functional level, and its prognostics to calculate a Remaining Energy-Efficient Lifetime (REEL), are proposed in this paper. The REEL should integrate future mission profiles and operation conditions. The prognostics model is developed from a data-driven approach by using a nonlinear regression method. This generic approach is instantiated and validated on the TELMA platform (a motor-driven system) which is simulating a real industrial plant addressing unwinding metal bobbins. So, models are built from field data of two independent motors (the component level and electrical energy) in addition to data on the function supported by means of these two motors. It leads to prognostics models usable to predict the EE evolution - REEL (the input of the decision-making module) both at the component level from the relationships between speed performance (motor output), bearing deterioration (Gamma process) and EE, and at the functional level from the relationships between productivity performance (functional output on the product delivered), components deterioration level and EE.","author":[{"dropping-particle":"","family":"Hoang","given":"Anh","non-dropping-particle":"","parse-names":false,"suffix":""},{"dropping-particle":"","family":"Do","given":"Phuc","non-dropping-particle":"","parse-names":false,"suffix":""},{"dropping-particle":"","family":"Iung","given":"Benoit","non-dropping-particle":"","parse-names":false,"suffix":""}],"container-title":"2015 Prognostics and System Health Management Conference (PHM)","id":"ITEM-1","issued":{"date-parts":[["2015","10"]]},"note":"- Remaining Energy-Efficient Lifetime (REEL).\n- In this paper, a generic EE-based prognostic approach is proposed for predicting the energy efficiency performance (EEl - energy efficiency indicator; REEL - remaining energy efficient lifetime) introduced recently in [15] at both the component and the function/system levels. The proposed prognostic approach is applied on the platform TELMA.","page":"1-7","publisher":"IEEE","title":"Prognostics on energy efficiency performance for maintenance decision-making: Application to industrial platform TELMA","type":"paper-conference"},"uris":["http://www.mendeley.com/documents/?uuid=e8bca837-6e9b-4528-83a8-d45a2beffc02"]},{"id":"ITEM-2","itemData":{"DOI":"10.1016/j.jclepro.2016.10.185","ISSN":"09596526","abstract":"Nowadays, industrial enterprises are facing up to new challenges to well optimize their performances, with regards not only to conventional performances (e.g. reliability or productivity) but also to emerging ones as those related to sustainability issues. Indeed, sustainability indicators have to be considered now in the decision-making process of the plant to better control and maintain it to be consistent with Green Production requirements. In that way, indicators such as Energy Efficiency or Energy Consumption are promoted for the impact they have on these requirements in a Life Cycle Cost vision. Thus the core idea defended in this paper is addressing the necessary evolution of conventional maintenance decision-making process in industry for considering the energy efficiency indicator. To support the idea, the first objective is to define the concept of energy efficiency indicator which materializes the energy efficiency performance at a specific time. The definition is done for different abstraction levels such as component, function, system which are subjected to time-dependent degradation behaviors. So, the energy efficiency indicator concept is expressed as the amount of energy consumed per unit of useful output, which has to be seen as a sustainable performance measure of industrial system. Then a mathematical formulation is proposed to calculate energy efficiency indicator at any time of the performance by considering dependent factors (static and dynamic ones) impacting inputs and outputs of the system. The second objective is to propose a new concept named REEL (Remaining energy-efficient lifetime) for tracking the energy efficiency performance evolution. The REEL is defined by the time left before the system loses its energy efficiency property considered as a specific EEI value (EEI threshold) not to be exceeded. This specific value is technically and/or economically fixed in advance, given the current condition, past and future operation profiles. The REEL could be used as an appropriate indicator for maintenance decision-making process in a proactive vision. The third objective is to formalize a generic approach in the way assess the REEL value. The assessment requires to forecast the evolution of energy efficiency indicator (whatever the abstraction level is) by taking into account the static and dynamic factors. Finally, the feasibility and added value of our proposals are illustrated on a manufacturing platform named TELMA (TELeMAint…","author":[{"dropping-particle":"","family":"Hoang","given":"Anh","non-dropping-particle":"","parse-names":false,"suffix":""},{"dropping-particle":"","family":"Do","given":"Phuc","non-dropping-particle":"","parse-names":false,"suffix":""},{"dropping-particle":"","family":"Iung","given":"Benoît","non-dropping-particle":"","parse-names":false,"suffix":""}],"container-title":"Journal of Cleaner Production","id":"ITEM-2","issued":{"date-parts":[["2017"]]},"note":"- Overall they are speaking about the development of EEI as a future projection subjected to degradation with time in manufacturing systems and its environment. Having a result of physical-thermodynamic indicator properties, the model can be used to evaluate the amount of energy input per units produced. The model is then used to predict REEL.\n- Energy consumption is set by speed and bearing deterioration","page":"2838-2857","publisher":"Elsevier Ltd","title":"Energy efficiency performance-based prognostics for aided maintenance decision-making: Application to a manufacturing platform","type":"article-journal","volume":"142"},"uris":["http://www.mendeley.com/documents/?uuid=5d8ee8db-df63-4f33-ad89-b1ad0d0b66c0"]}],"mendeley":{"formattedCitation":"[23], [24]","plainTextFormattedCitation":"[23], [24]","previouslyFormattedCitation":"[23], [24]"},"properties":{"noteIndex":0},"schema":"https://github.com/citation-style-language/schema/raw/master/csl-citation.json"}</w:instrText>
      </w:r>
      <w:r w:rsidR="00DA3E7D">
        <w:fldChar w:fldCharType="separate"/>
      </w:r>
      <w:r w:rsidR="00416869" w:rsidRPr="00416869">
        <w:rPr>
          <w:noProof/>
        </w:rPr>
        <w:t>[23], [24]</w:t>
      </w:r>
      <w:r w:rsidR="00DA3E7D">
        <w:fldChar w:fldCharType="end"/>
      </w:r>
      <w:r>
        <w:t>.</w:t>
      </w:r>
      <w:r w:rsidR="00E978F9">
        <w:t xml:space="preserve"> </w:t>
      </w:r>
      <w:r w:rsidR="00DA3E7D">
        <w:t xml:space="preserve">Although indicators such as EEI </w:t>
      </w:r>
      <w:r w:rsidR="00DA3E7D">
        <w:fldChar w:fldCharType="begin" w:fldLock="1"/>
      </w:r>
      <w:r w:rsidR="00645D0B">
        <w:instrText>ADDIN CSL_CITATION {"citationItems":[{"id":"ITEM-1","itemData":{"DOI":"10.3926/jiem.2649","ISSN":"2013-0953","abstract":"Purpose: In order to improve the energy utilization and achieve sustainable development, this paper integrates energy efficiency into condition-based maintenance(CBM) decision-making for two-component parallel systems. The objective is to obtain the optimal maintenance policy by minimizing total cost.Design/methodology/approach: Based on energy efficiency, the paper considers the economic dependence between the two components to take opportunistic maintenance. Specifically, the objective function consists of traditional maintenance cost and energy cost incurred by energy consumption of components. In order to assess the performance of the proposed new maintenance policy, the paper uses Monte-Carlo method to evaluate the total cost and find the optimal maintenance policy.Findings: Simulation results indicate that the new maintenance policy is superior to the classical condition-based opportunistic maintenance policy in terms of total economic costs.Originality/value: For two-component parallel systems, previous researches usually simply establish a condition-based opportunistic maintenance model based on real deterioration data, but ignore energy consumption, energy efficiency (EE) and their contributions of sustainable development. This paper creatively takes energy efficiency into condition-based maintenance(CBM) decision-making process, and proposes a new condition-based opportunistic maintenance policy by using energy efficiency indicator(EEI).","author":[{"dropping-particle":"","family":"Jiang","given":"Aiping","non-dropping-particle":"","parse-names":false,"suffix":""},{"dropping-particle":"","family":"Wang","given":"Yuanyuan","non-dropping-particle":"","parse-names":false,"suffix":""},{"dropping-particle":"","family":"Cheng","given":"Yide","non-dropping-particle":"","parse-names":false,"suffix":""}],"container-title":"Journal of Industrial Engineering and Management","id":"ITEM-1","issue":"4","issued":{"date-parts":[["2018","10","24"]]},"note":"Thus, the aim of the article is to propose a new maintenance model with ecological consciousness for two-component parallel systems, which can improve the energy utilization and achieve sustainable development.\n- In addition, they can integrate energy efficiency into maintenance decision-making if possible.\nIn addition, indicators that energy efficiency and any other ecological impacts will be taken into maintenance decision-making. This would be a rather interesting research field in the future.","page":"749","title":"A condition-based opportunistic maintenance policy integrated with energy efficiency for two-component parallel systems","type":"article-journal","volume":"11"},"uris":["http://www.mendeley.com/documents/?uuid=4b7e4c2b-d645-467e-8303-913756a09374"]},{"id":"ITEM-2","itemData":{"DOI":"10.1016/j.ifacol.2016.11.013","ISSN":"24058963","abstract":"Condition-based maintenance (CBM) has been introduced in industrial systems to maintain preventively the correct equipment at the right time with regards to its current health “condition” represented mainly the conventional indicators such as oil temperature, harmonics data, vibration, etc. The monitoring of these indicators is done through sensors or inspection tasks leading to incorporate in the maintenance optimization models, additional costs related to CBM. Nevertheless, while this practice is quite mastered in terms of benefits and costs, it is not well adapted to face now the new challenge encountered by the “industry of the future” such as the sustainable one. Indeed CBM indicators and maintenance cost model are not really taken into account today emergent indicators (and their impacts) related to energy consumption, energy efficiency or footprint tracking. In that way, this paper is investigating the interest to use energy efficiency (EE) for CBM decision-making. Investigation is consisting first to propose a new EE-based CBM model by using energy efficiency indicator (EEI) which is defined as the amount of energy consumption to produce one useful output unit. The proposed model leads to consider energy directly in the maintenance optimization. An extension of an existing CBM by integrating energy consumption in optimization model is also investigated in the way to compare the new CBM approach with conventional (extended) one. The comparison step is developed on the case study of the TELMA platform allowing to assess the impact of EE on existing CBM strategies and to conclude on the interest of a new EE-based CBM practice both in terms of cost and efficiency.","author":[{"dropping-particle":"","family":"Hoang","given":"Anh","non-dropping-particle":"","parse-names":false,"suffix":""},{"dropping-particle":"","family":"Do","given":"Phuc","non-dropping-particle":"","parse-names":false,"suffix":""},{"dropping-particle":"","family":"Iung","given":"Benoît","non-dropping-particle":"","parse-names":false,"suffix":""}],"container-title":"IFAC-PapersOnLine","id":"ITEM-2","issue":"28","issued":{"date-parts":[["2016"]]},"note":"-","page":"73-78","title":"Investigation on the use of energy efficiency for condition-based maintenance decision-making","type":"article-journal","volume":"49"},"uris":["http://www.mendeley.com/documents/?uuid=78998f16-68fd-45d0-b652-8de89f284ae2"]}],"mendeley":{"formattedCitation":"[107], [113]","plainTextFormattedCitation":"[107], [113]","previouslyFormattedCitation":"[107], [113]"},"properties":{"noteIndex":0},"schema":"https://github.com/citation-style-language/schema/raw/master/csl-citation.json"}</w:instrText>
      </w:r>
      <w:r w:rsidR="00DA3E7D">
        <w:fldChar w:fldCharType="separate"/>
      </w:r>
      <w:r w:rsidR="00416869" w:rsidRPr="00416869">
        <w:rPr>
          <w:noProof/>
        </w:rPr>
        <w:t>[107], [113]</w:t>
      </w:r>
      <w:r w:rsidR="00DA3E7D">
        <w:fldChar w:fldCharType="end"/>
      </w:r>
      <w:r w:rsidR="00DA3E7D">
        <w:t xml:space="preserve">, REEL </w:t>
      </w:r>
      <w:r w:rsidR="00DA3E7D">
        <w:fldChar w:fldCharType="begin" w:fldLock="1"/>
      </w:r>
      <w:r w:rsidR="00645D0B">
        <w:instrText>ADDIN CSL_CITATION {"citationItems":[{"id":"ITEM-1","itemData":{"DOI":"10.1109/PHM.2015.7380096","ISBN":"978-1-4673-8554-1","abstract":"Industrial plants are facing today with new challenges to well optimize performance of their operation and maintenance. For example, the sustainability paradigm is introducing new requirements to be taken into account in the decision-making process. In that way, energy consumption (EC) and energy efficiency (EE) are two critical performances impacting severely the plant effectiveness mainly with regards to its life cycle cost. Although there are models for following these two performances at the component level, there is a real need for modelling them at the function or system levels not only to support strategic decisions (and not only operational one) but also to forecast them to make decisions in advance for better optimization. Thus, the principles of a generic approach, which is focused on EE performance (EEP) and built on the modelling of this EEP at functional level, and its prognostics to calculate a Remaining Energy-Efficient Lifetime (REEL), are proposed in this paper. The REEL should integrate future mission profiles and operation conditions. The prognostics model is developed from a data-driven approach by using a nonlinear regression method. This generic approach is instantiated and validated on the TELMA platform (a motor-driven system) which is simulating a real industrial plant addressing unwinding metal bobbins. So, models are built from field data of two independent motors (the component level and electrical energy) in addition to data on the function supported by means of these two motors. It leads to prognostics models usable to predict the EE evolution - REEL (the input of the decision-making module) both at the component level from the relationships between speed performance (motor output), bearing deterioration (Gamma process) and EE, and at the functional level from the relationships between productivity performance (functional output on the product delivered), components deterioration level and EE.","author":[{"dropping-particle":"","family":"Hoang","given":"Anh","non-dropping-particle":"","parse-names":false,"suffix":""},{"dropping-particle":"","family":"Do","given":"Phuc","non-dropping-particle":"","parse-names":false,"suffix":""},{"dropping-particle":"","family":"Iung","given":"Benoit","non-dropping-particle":"","parse-names":false,"suffix":""}],"container-title":"2015 Prognostics and System Health Management Conference (PHM)","id":"ITEM-1","issued":{"date-parts":[["2015","10"]]},"note":"- Remaining Energy-Efficient Lifetime (REEL).\n- In this paper, a generic EE-based prognostic approach is proposed for predicting the energy efficiency performance (EEl - energy efficiency indicator; REEL - remaining energy efficient lifetime) introduced recently in [15] at both the component and the function/system levels. The proposed prognostic approach is applied on the platform TELMA.","page":"1-7","publisher":"IEEE","title":"Prognostics on energy efficiency performance for maintenance decision-making: Application to industrial platform TELMA","type":"paper-conference"},"uris":["http://www.mendeley.com/documents/?uuid=e8bca837-6e9b-4528-83a8-d45a2beffc02"]},{"id":"ITEM-2","itemData":{"DOI":"10.1016/j.jclepro.2016.10.185","ISSN":"09596526","abstract":"Nowadays, industrial enterprises are facing up to new challenges to well optimize their performances, with regards not only to conventional performances (e.g. reliability or productivity) but also to emerging ones as those related to sustainability issues. Indeed, sustainability indicators have to be considered now in the decision-making process of the plant to better control and maintain it to be consistent with Green Production requirements. In that way, indicators such as Energy Efficiency or Energy Consumption are promoted for the impact they have on these requirements in a Life Cycle Cost vision. Thus the core idea defended in this paper is addressing the necessary evolution of conventional maintenance decision-making process in industry for considering the energy efficiency indicator. To support the idea, the first objective is to define the concept of energy efficiency indicator which materializes the energy efficiency performance at a specific time. The definition is done for different abstraction levels such as component, function, system which are subjected to time-dependent degradation behaviors. So, the energy efficiency indicator concept is expressed as the amount of energy consumed per unit of useful output, which has to be seen as a sustainable performance measure of industrial system. Then a mathematical formulation is proposed to calculate energy efficiency indicator at any time of the performance by considering dependent factors (static and dynamic ones) impacting inputs and outputs of the system. The second objective is to propose a new concept named REEL (Remaining energy-efficient lifetime) for tracking the energy efficiency performance evolution. The REEL is defined by the time left before the system loses its energy efficiency property considered as a specific EEI value (EEI threshold) not to be exceeded. This specific value is technically and/or economically fixed in advance, given the current condition, past and future operation profiles. The REEL could be used as an appropriate indicator for maintenance decision-making process in a proactive vision. The third objective is to formalize a generic approach in the way assess the REEL value. The assessment requires to forecast the evolution of energy efficiency indicator (whatever the abstraction level is) by taking into account the static and dynamic factors. Finally, the feasibility and added value of our proposals are illustrated on a manufacturing platform named TELMA (TELeMAint…","author":[{"dropping-particle":"","family":"Hoang","given":"Anh","non-dropping-particle":"","parse-names":false,"suffix":""},{"dropping-particle":"","family":"Do","given":"Phuc","non-dropping-particle":"","parse-names":false,"suffix":""},{"dropping-particle":"","family":"Iung","given":"Benoît","non-dropping-particle":"","parse-names":false,"suffix":""}],"container-title":"Journal of Cleaner Production","id":"ITEM-2","issued":{"date-parts":[["2017"]]},"note":"- Overall they are speaking about the development of EEI as a future projection subjected to degradation with time in manufacturing systems and its environment. Having a result of physical-thermodynamic indicator properties, the model can be used to evaluate the amount of energy input per units produced. The model is then used to predict REEL.\n- Energy consumption is set by speed and bearing deterioration","page":"2838-2857","publisher":"Elsevier Ltd","title":"Energy efficiency performance-based prognostics for aided maintenance decision-making: Application to a manufacturing platform","type":"article-journal","volume":"142"},"uris":["http://www.mendeley.com/documents/?uuid=5d8ee8db-df63-4f33-ad89-b1ad0d0b66c0"]}],"mendeley":{"formattedCitation":"[23], [24]","plainTextFormattedCitation":"[23], [24]","previouslyFormattedCitation":"[23], [24]"},"properties":{"noteIndex":0},"schema":"https://github.com/citation-style-language/schema/raw/master/csl-citation.json"}</w:instrText>
      </w:r>
      <w:r w:rsidR="00DA3E7D">
        <w:fldChar w:fldCharType="separate"/>
      </w:r>
      <w:r w:rsidR="00416869" w:rsidRPr="00416869">
        <w:rPr>
          <w:noProof/>
        </w:rPr>
        <w:t>[23], [24]</w:t>
      </w:r>
      <w:r w:rsidR="00DA3E7D">
        <w:fldChar w:fldCharType="end"/>
      </w:r>
      <w:r w:rsidR="00DA3E7D">
        <w:t xml:space="preserve">, RSL (Remaining Sustainable Lifetime) </w:t>
      </w:r>
      <w:r w:rsidR="00DA3E7D">
        <w:fldChar w:fldCharType="begin" w:fldLock="1"/>
      </w:r>
      <w:r w:rsidR="00645D0B">
        <w:instrText>ADDIN CSL_CITATION {"citationItems":[{"id":"ITEM-1","itemData":{"DOI":"10.1016/j.eiar.2019.02.007","ISSN":"01959255","abstract":"For decades, maintenance of facilities and equipment, as well as related activities (from fault detection to prognostics and health management), has a proven impact on efficiency of production systems and is thus still the subject of numerous developments (from corrective to proactive maintenance). These developments are supported by the increase in digital pervasiveness accompanying the Industry 4.0. concept, based in particular on the use of Cyber-Physical Systems. In addition, we are witnessing the growing interest of the political and academic world and public opinion with regard to the sustainable impact of human activity. For company decision-makers, triple bottom line accounting frameworks have been introduced at higher decision levels (strategic) based on economic, social, and environmental performance indicators. This triple preoccupation has not yet been integrated into studies on middle (tactical) and lower (operational) decision levels, and paradoxically, not into production facility health management either. In this paper, we propose the deployment of a framework helping decisions makers to be environmentally aware in the maintenance of cyber physical systems. This framework consists of three key elements: a new maintenance policy called Sustainable Condition-Based Maintenance (SCBM), which requires the assessment of the Remaining Sustainable Life (RSL) as a key indicator; an adaptation and extension of a generic prognostic business process initially proposed for traditional Conditions Based Maintenance (CBM); and an organization adapted to the prognosis of the environmental performance of systems, based on holonic structures. We present the implementation of such a framework on a real Cyber Physical Systems under development.","author":[{"dropping-particle":"","family":"Sénéchal","given":"Olivier","non-dropping-particle":"","parse-names":false,"suffix":""},{"dropping-particle":"","family":"Trentesaux","given":"Damien","non-dropping-particle":"","parse-names":false,"suffix":""}],"container-title":"Environmental Impact Assessment Review","id":"ITEM-1","issue":"March","issued":{"date-parts":[["2019"]]},"note":"- Also argues that pro-active is CBM.\n- The primary aim is to bridge the gap of including sustainable elements in MDM. Hence, the aim is to propose a framework helping decision-makers to be aware of environmental impacts in maintenance activities.\n- Prognostic of sustainable perofrmance ...\n- RSL + CL + Future environmental perofmrance (FEP)\n- FEP are emissions and resources consumption considered in LCI but only induced by the exploitation phase starting from the environemntal diagnosis time.\n-","page":"11-22","publisher":"Elsevier","title":"A framework to help decision makers to be environmentally aware during the maintenance of cyber physical systems","type":"article-journal","volume":"77"},"uris":["http://www.mendeley.com/documents/?uuid=8438580c-b281-42c8-8c98-51c4b56d70fc"]}],"mendeley":{"formattedCitation":"[110]","plainTextFormattedCitation":"[110]","previouslyFormattedCitation":"[110]"},"properties":{"noteIndex":0},"schema":"https://github.com/citation-style-language/schema/raw/master/csl-citation.json"}</w:instrText>
      </w:r>
      <w:r w:rsidR="00DA3E7D">
        <w:fldChar w:fldCharType="separate"/>
      </w:r>
      <w:r w:rsidR="00416869" w:rsidRPr="00416869">
        <w:rPr>
          <w:noProof/>
        </w:rPr>
        <w:t>[110]</w:t>
      </w:r>
      <w:r w:rsidR="00DA3E7D">
        <w:fldChar w:fldCharType="end"/>
      </w:r>
      <w:r w:rsidR="00DA3E7D">
        <w:t xml:space="preserve">, ECP (Energy Consumption Profiles) </w:t>
      </w:r>
      <w:r w:rsidR="00DA3E7D">
        <w:fldChar w:fldCharType="begin" w:fldLock="1"/>
      </w:r>
      <w:r w:rsidR="00204994">
        <w:instrText>ADDIN CSL_CITATION {"citationItems":[{"id":"ITEM-1","itemData":{"DOI":"10.1080/0951192X.2017.1339914","ISSN":"0951-192X","abstract":"This paper presents an original methodology and related algorithms that are dedicated to monitoring energy efficiency in discrete production stations. The learning phase of the algorithm is executed during the regular production process and is based on observations of the behaviour of the production station and energy consumption measurements. The collected information is then processed using data-mining procedures in order to find the clusters that reflect the energy consumption profiles that are specific for different variants of production. The profiles are used to monitor energy efficiency and detect anomalies. The main benefit of the proposed approach is its flexibility. No additional calibrating operations or technological knowledge are required. Although the presented proof by research results are focussed on pneumatic air installations, the proposed methodology can also be used for other media. The output of the proposed solution is a very precise estimation of energy consumption in reference to a given variant of production. It allows for the accurate detection of compressed air consumption anomalies. Such anomalies can be caused by technical (machine faults) and technological (human errors) problems. The proposed methodology can be applied for the optimisation of energy consumption and for the detection of machine maintenance problems that are visible through abnormal compressed air consumption.","author":[{"dropping-particle":"","family":"Cupek","given":"Rafal","non-dropping-particle":"","parse-names":false,"suffix":""},{"dropping-particle":"","family":"Ziebinski","given":"Adam","non-dropping-particle":"","parse-names":false,"suffix":""},{"dropping-particle":"","family":"Zonenberg","given":"Dariusz","non-dropping-particle":"","parse-names":false,"suffix":""},{"dropping-particle":"","family":"Drewniak","given":"Marek","non-dropping-particle":"","parse-names":false,"suffix":""}],"container-title":"International Journal of Computer Integrated Manufacturing","id":"ITEM-1","issue":"6","issued":{"date-parts":[["2017","6","3"]]},"note":"- The energy consumption profiles are used to assess energy efficiency and detect anomalies.\n- Operational level of monitoring energy consumption profile.\n- Observation of the machine cycle and automatic clustering using k-mean method.\n- Predictive maintenance.\n- System architecture consists of SCADA, Man. execution system and ERP, and HMI for detecting anomalies.\n- The proposed solution is online assessment tool for monitoring machine and production station levels.\n- Energy-efficiency monitoring block\n- Energy efficiency control block and machine learing block.\n- The research simulates leakage in CAS system and uses k means to cluster data and determine needs for maintenance actions.","page":"537-561","publisher":"Taylor &amp; Francis","title":"Determination of the machine energy consumption profiles in the mass-customised manufacturing","type":"article-journal","volume":"31"},"uris":["http://www.mendeley.com/documents/?uuid=32a98996-3e40-46f1-81b5-88e5e5150b3d"]},{"id":"ITEM-2","itemData":{"ISSN":"13637681","abstract":"The authors present a short summary of various CBM tools and techniques followed by a discussion of energy monitoring and its uses. They investigate energy consumption in CNC milling machines and compare that with predicted results showing a strong degree of correlation. The data is then examined for stability and repeatability once again demonstrating that energy data is both predictable and repeatable. It is then proposed that by linking this via existing and increasingly popular 14.0 technologies it is possible to develop a system to collect compare and interpret energy data as a Condition Based monitoring tool.","author":[{"dropping-particle":"","family":"Morris","given":"Adrian","non-dropping-particle":"","parse-names":false,"suffix":""},{"dropping-particle":"","family":"Baglee","given":"David","non-dropping-particle":"","parse-names":false,"suffix":""},{"dropping-particle":"","family":"Knowles","given":"Michael","non-dropping-particle":"","parse-names":false,"suffix":""}],"container-title":"International Journal of COMADEM","id":"ITEM-2","issue":"2","issued":{"date-parts":[["2020"]]},"note":"- Condition based maintenance for energy consumption monitoring.\n- Time for cycle is taken as constant.\n-","page":"15-21","title":"Using energy consumption profiles as an indicator of equipment condition","type":"article-journal","volume":"23"},"uris":["http://www.mendeley.com/documents/?uuid=5994238a-1dd5-4038-a2c3-6e8dd292e550"]}],"mendeley":{"formattedCitation":"[109], [136]","plainTextFormattedCitation":"[109], [136]","previouslyFormattedCitation":"[109], [136]"},"properties":{"noteIndex":0},"schema":"https://github.com/citation-style-language/schema/raw/master/csl-citation.json"}</w:instrText>
      </w:r>
      <w:r w:rsidR="00DA3E7D">
        <w:fldChar w:fldCharType="separate"/>
      </w:r>
      <w:r w:rsidR="00645D0B" w:rsidRPr="00645D0B">
        <w:rPr>
          <w:noProof/>
        </w:rPr>
        <w:t>[109], [136]</w:t>
      </w:r>
      <w:r w:rsidR="00DA3E7D">
        <w:fldChar w:fldCharType="end"/>
      </w:r>
      <w:r w:rsidR="00DA3E7D">
        <w:t xml:space="preserve">, or </w:t>
      </w:r>
      <w:r w:rsidR="00DA3E7D">
        <w:rPr>
          <w:rFonts w:cs="Arial"/>
          <w:lang w:val="en-GB"/>
        </w:rPr>
        <w:t xml:space="preserve">PWQ (Power Quality Monitoring) </w:t>
      </w:r>
      <w:r w:rsidR="00DA3E7D">
        <w:rPr>
          <w:rFonts w:cs="Arial"/>
          <w:lang w:val="en-GB"/>
        </w:rPr>
        <w:fldChar w:fldCharType="begin" w:fldLock="1"/>
      </w:r>
      <w:r w:rsidR="00204994">
        <w:rPr>
          <w:rFonts w:cs="Arial"/>
          <w:lang w:val="en-GB"/>
        </w:rPr>
        <w:instrText>ADDIN CSL_CITATION {"citationItems":[{"id":"ITEM-1","itemData":{"DOI":"10.1109/IECON.2019.8927309","ISBN":"978-1-7281-4878-6","abstract":"Optimizing complex industrial processes can help improve overall productivity, minimize down-times, and reduce operational costs. Traditionally plant managers have accomplished this by installing sub-metering devices for specific processes. However, sub-metering devices are expensive, require complex installation procedures, and need customization on the factory floor to get the data to the enterprise cloud. Furthermore, interpreting the acquired data and implementing suitable actions require significant subject matter expertise and a comprehensive understanding of the loads' energy consumption profiles and their exposure to power quality disturbances. As a result, this is often prohibitively expensive for small or medium scale facilities. This paper proposes a novel architecture for gaining actionable insights from the various processes being monitored. At the heart of the system is an 'intelligent terminal block' (ITB) that gathers process specific data such as voltage, current, and power consumption and performs edge computing in a decentralized fashion. From the acquired data, the ITB can help minimize downtime through fault diagnostics and predictive maintenance, provide situational awareness by recording power quality disturbances and their effect on equipment, and enable cost savings through energy efficiency insights like CVR factor estimation. The ITB itself requires minimal customization on the factory floor and uses existing communication back-hauls to report these insights to the cloud, capable of working with intermittent connectivity. This architecture allows plant managers to economically obtain significant insights into the plant's operation.","author":[{"dropping-particle":"","family":"Marellapudi","given":"Aniruddh","non-dropping-particle":"","parse-names":false,"suffix":""},{"dropping-particle":"","family":"Kulkarni","given":"Shreyas","non-dropping-particle":"","parse-names":false,"suffix":""},{"dropping-particle":"","family":"Liptak","given":"Szilard","non-dropping-particle":"","parse-names":false,"suffix":""},{"dropping-particle":"","family":"Jayaraman","given":"Sathish","non-dropping-particle":"","parse-names":false,"suffix":""},{"dropping-particle":"","family":"Divan","given":"Deepak","non-dropping-particle":"","parse-names":false,"suffix":""}],"container-title":"IECON 2019 - 45th Annual Conference of the IEEE Industrial Electronics Society","id":"ITEM-1","issued":{"date-parts":[["2019","10"]]},"note":"- Using ultra low cost sensors with edge computing, advanced cloud analytics and interface. Centra system is intelligent terminal block ITB.\n- GAMMA (Global Asset Monitoring, Management and Analytics) kernels are used that enable sensor to be GAMMA compliant without any additional operational costs.\n-","page":"5532-5537","publisher":"IEEE","title":"Low-Cost Industrial Monitoring Platform for Energy Efficiency and Optimized Plant Productivity","type":"paper-conference","volume":"2019-Octob"},"uris":["http://www.mendeley.com/documents/?uuid=96990dbd-de1f-4959-9725-3b650ee6d2a1"]}],"mendeley":{"formattedCitation":"[137]","plainTextFormattedCitation":"[137]","previouslyFormattedCitation":"[137]"},"properties":{"noteIndex":0},"schema":"https://github.com/citation-style-language/schema/raw/master/csl-citation.json"}</w:instrText>
      </w:r>
      <w:r w:rsidR="00DA3E7D">
        <w:rPr>
          <w:rFonts w:cs="Arial"/>
          <w:lang w:val="en-GB"/>
        </w:rPr>
        <w:fldChar w:fldCharType="separate"/>
      </w:r>
      <w:r w:rsidR="00645D0B" w:rsidRPr="00645D0B">
        <w:rPr>
          <w:rFonts w:cs="Arial"/>
          <w:noProof/>
          <w:lang w:val="en-GB"/>
        </w:rPr>
        <w:t>[137]</w:t>
      </w:r>
      <w:r w:rsidR="00DA3E7D">
        <w:rPr>
          <w:rFonts w:cs="Arial"/>
          <w:lang w:val="en-GB"/>
        </w:rPr>
        <w:fldChar w:fldCharType="end"/>
      </w:r>
      <w:r w:rsidR="00DA3E7D">
        <w:rPr>
          <w:rFonts w:cs="Arial"/>
          <w:lang w:val="en-GB"/>
        </w:rPr>
        <w:t xml:space="preserve"> </w:t>
      </w:r>
      <w:r w:rsidR="00DA3E7D">
        <w:t xml:space="preserve">are useful to </w:t>
      </w:r>
      <w:r w:rsidR="00E978F9">
        <w:t>evaluate</w:t>
      </w:r>
      <w:r w:rsidR="00DA3E7D">
        <w:t xml:space="preserve"> machine health </w:t>
      </w:r>
      <w:r w:rsidR="00E978F9">
        <w:t>and</w:t>
      </w:r>
      <w:r w:rsidR="00DA3E7D">
        <w:t xml:space="preserve"> system deterioration, they lack practical studies and verification on multi-component systems. Most of </w:t>
      </w:r>
      <w:r w:rsidR="00E978F9">
        <w:t>the studies verify proposed concepts</w:t>
      </w:r>
      <w:r w:rsidR="00DA3E7D">
        <w:t xml:space="preserve"> on a single-unit system </w:t>
      </w:r>
      <w:r w:rsidR="00DA3E7D">
        <w:fldChar w:fldCharType="begin" w:fldLock="1"/>
      </w:r>
      <w:r w:rsidR="00645D0B">
        <w:instrText>ADDIN CSL_CITATION {"citationItems":[{"id":"ITEM-1","itemData":{"DOI":"10.1177/1748006X18762282","ISSN":"17480078","abstract":"Condition-based maintenance has been developed and successfully applied in various industrial systems to preventively maintain the correct equipment at the right time with regard to its current health “condition” such as oil temperature, harmonics data, and vibration. The monitoring of these conventional indicators may however be costly. Moreover, energy efficiency addressed by sustainability requirements has been recently considered as an emerging key performance indicator to be controlled. Nevertheless, this emerging key performance indicator is not yet integrated in condition-based maintenance decision-making. To face these issues, the main objective of this article is to investigate the interests to use energy efficiency for condition-based maintenance decision-making. The first original contribution of this article is to propose a new energy efficiency–based condition-based maintenance model using energy efficiency indicator which is defined as the amount of energy consumption to produce one useful output unit. The proposed model leads to consider not only the maintenance cost but also energy and useful output performance in the condition-based maintenance optimization process. The second contribution concerns an investigation of the proposed energy efficiency–based condition-based maintenance model for the case study of the TELMA platform. The performance of the proposed model is verified by comparing to an extended traditional one. The obtained results allow to highlight the impacts of energy efficiency on existing condition-based maintenance strategies and to conclude on the interest of a new energy efficiency indicator–based condition-based maintenance practice in terms of both cost and efficiency.","author":[{"dropping-particle":"","family":"Do","given":"Phuc","non-dropping-particle":"","parse-names":false,"suffix":""},{"dropping-particle":"","family":"Hoang","given":"Anh","non-dropping-particle":"","parse-names":false,"suffix":""},{"dropping-particle":"","family":"Iung","given":"Benoit","non-dropping-particle":"","parse-names":false,"suffix":""},{"dropping-particle":"","family":"Vu","given":"Hai Canh","non-dropping-particle":"","parse-names":false,"suffix":""}],"container-title":"Proceedings of the Institution of Mechanical Engineers, Part O: Journal of Risk and Reliability","id":"ITEM-1","issue":"4","issued":{"date-parts":[["2018"]]},"note":"- Although it has recently been recognized as an emerging key performance indicator to be controlled, it is not yet fully integrated in MDM.\n- A preventive maintenance is triggered if the EEI’s value at Tk is higher than a critical threshold EEIp.\n- To ensure that the convergence of maintenance cost rate is reached, a large number of simulation realizations (each realization simulates one life cycle of the system) must be done.\n- The maintenance decision-making based on the dysfunctional degrada- tion information is enough.","page":"379-388","title":"Energy efficiency for condition-based maintenance decision-making: Application to a manufacturing platform","type":"article-journal","volume":"232"},"uris":["http://www.mendeley.com/documents/?uuid=56172653-f4dd-4c61-8230-f38fe207a076"]},{"id":"ITEM-2","itemData":{"DOI":"10.1109/PHM.2015.7380096","ISBN":"978-1-4673-8554-1","abstract":"Industrial plants are facing today with new challenges to well optimize performance of their operation and maintenance. For example, the sustainability paradigm is introducing new requirements to be taken into account in the decision-making process. In that way, energy consumption (EC) and energy efficiency (EE) are two critical performances impacting severely the plant effectiveness mainly with regards to its life cycle cost. Although there are models for following these two performances at the component level, there is a real need for modelling them at the function or system levels not only to support strategic decisions (and not only operational one) but also to forecast them to make decisions in advance for better optimization. Thus, the principles of a generic approach, which is focused on EE performance (EEP) and built on the modelling of this EEP at functional level, and its prognostics to calculate a Remaining Energy-Efficient Lifetime (REEL), are proposed in this paper. The REEL should integrate future mission profiles and operation conditions. The prognostics model is developed from a data-driven approach by using a nonlinear regression method. This generic approach is instantiated and validated on the TELMA platform (a motor-driven system) which is simulating a real industrial plant addressing unwinding metal bobbins. So, models are built from field data of two independent motors (the component level and electrical energy) in addition to data on the function supported by means of these two motors. It leads to prognostics models usable to predict the EE evolution - REEL (the input of the decision-making module) both at the component level from the relationships between speed performance (motor output), bearing deterioration (Gamma process) and EE, and at the functional level from the relationships between productivity performance (functional output on the product delivered), components deterioration level and EE.","author":[{"dropping-particle":"","family":"Hoang","given":"Anh","non-dropping-particle":"","parse-names":false,"suffix":""},{"dropping-particle":"","family":"Do","given":"Phuc","non-dropping-particle":"","parse-names":false,"suffix":""},{"dropping-particle":"","family":"Iung","given":"Benoit","non-dropping-particle":"","parse-names":false,"suffix":""}],"container-title":"2015 Prognostics and System Health Management Conference (PHM)","id":"ITEM-2","issued":{"date-parts":[["2015","10"]]},"note":"- Remaining Energy-Efficient Lifetime (REEL).\n- In this paper, a generic EE-based prognostic approach is proposed for predicting the energy efficiency performance (EEl - energy efficiency indicator; REEL - remaining energy efficient lifetime) introduced recently in [15] at both the component and the function/system levels. The proposed prognostic approach is applied on the platform TELMA.","page":"1-7","publisher":"IEEE","title":"Prognostics on energy efficiency performance for maintenance decision-making: Application to industrial platform TELMA","type":"paper-conference"},"uris":["http://www.mendeley.com/documents/?uuid=e8bca837-6e9b-4528-83a8-d45a2beffc02"]},{"id":"ITEM-3","itemData":{"DOI":"10.1016/j.jclepro.2016.10.185","ISSN":"09596526","abstract":"Nowadays, industrial enterprises are facing up to new challenges to well optimize their performances, with regards not only to conventional performances (e.g. reliability or productivity) but also to emerging ones as those related to sustainability issues. Indeed, sustainability indicators have to be considered now in the decision-making process of the plant to better control and maintain it to be consistent with Green Production requirements. In that way, indicators such as Energy Efficiency or Energy Consumption are promoted for the impact they have on these requirements in a Life Cycle Cost vision. Thus the core idea defended in this paper is addressing the necessary evolution of conventional maintenance decision-making process in industry for considering the energy efficiency indicator. To support the idea, the first objective is to define the concept of energy efficiency indicator which materializes the energy efficiency performance at a specific time. The definition is done for different abstraction levels such as component, function, system which are subjected to time-dependent degradation behaviors. So, the energy efficiency indicator concept is expressed as the amount of energy consumed per unit of useful output, which has to be seen as a sustainable performance measure of industrial system. Then a mathematical formulation is proposed to calculate energy efficiency indicator at any time of the performance by considering dependent factors (static and dynamic ones) impacting inputs and outputs of the system. The second objective is to propose a new concept named REEL (Remaining energy-efficient lifetime) for tracking the energy efficiency performance evolution. The REEL is defined by the time left before the system loses its energy efficiency property considered as a specific EEI value (EEI threshold) not to be exceeded. This specific value is technically and/or economically fixed in advance, given the current condition, past and future operation profiles. The REEL could be used as an appropriate indicator for maintenance decision-making process in a proactive vision. The third objective is to formalize a generic approach in the way assess the REEL value. The assessment requires to forecast the evolution of energy efficiency indicator (whatever the abstraction level is) by taking into account the static and dynamic factors. Finally, the feasibility and added value of our proposals are illustrated on a manufacturing platform named TELMA (TELeMAint…","author":[{"dropping-particle":"","family":"Hoang","given":"Anh","non-dropping-particle":"","parse-names":false,"suffix":""},{"dropping-particle":"","family":"Do","given":"Phuc","non-dropping-particle":"","parse-names":false,"suffix":""},{"dropping-particle":"","family":"Iung","given":"Benoît","non-dropping-particle":"","parse-names":false,"suffix":""}],"container-title":"Journal of Cleaner Production","id":"ITEM-3","issued":{"date-parts":[["2017"]]},"note":"- Overall they are speaking about the development of EEI as a future projection subjected to degradation with time in manufacturing systems and its environment. Having a result of physical-thermodynamic indicator properties, the model can be used to evaluate the amount of energy input per units produced. The model is then used to predict REEL.\n- Energy consumption is set by speed and bearing deterioration","page":"2838-2857","publisher":"Elsevier Ltd","title":"Energy efficiency performance-based prognostics for aided maintenance decision-making: Application to a manufacturing platform","type":"article-journal","volume":"142"},"uris":["http://www.mendeley.com/documents/?uuid=5d8ee8db-df63-4f33-ad89-b1ad0d0b66c0"]},{"id":"ITEM-4","itemData":{"DOI":"10.3390/pr6030025","ISSN":"2227-9717","abstract":"Energy saving is an important issue for any industrial sector; in particular, for the process industry, it can help to minimize both energy costs and environmental impact. Maintenance optimization and operational procedures can offer margins to increase energy efficiency in process plants, even if they are seldom explicitly taken into account in the predictive models guiding the energy saving policies. To ensure that the plant achieves the desired performance, maintenance operations and maintenance results should be monitored, and the connection between the inputs and the outcomes of the maintenance process, in terms of total contribution to manufacturing performance, should be explicit. In this study, a model for the energy efficiency analysis was developed, based on cost and benefits balance. It is aimed at supporting the decision making in terms of technical and operational solutions for energy efficiency, through the optimization of maintenance interventions and operational procedures. A case study is here described: the effects on energy efficiency of technical and operational optimization measures for bituminous materials production process equipment. The idea of the Conservation Supply Curve (CSC) was used to capture both the cost effectiveness of the measures and the energy efficiency effectiveness. The optimization was thus based on the energy consumption data registered on-site: data collection and modelling of the relevant data were used as a base to implement a prognostic and health management (PHM) policy in the company. Based on the results from the analysis, efficiency measures for the industrial case study were proposed, also in relation to maintenance optimization and operating procedures. In the end, the impacts of the implementation of energy saving measures on the performance of the system, in terms of technical and economic feasibility, were demonstrated. The results showed that maintenance optimization could help in reaching an energy costs recovery equal to the 10% of the total costs for an electric motor system.","author":[{"dropping-particle":"","family":"Demichela","given":"Micaela","non-dropping-particle":"","parse-names":false,"suffix":""},{"dropping-particle":"","family":"Baldissone","given":"Gabriele","non-dropping-particle":"","parse-names":false,"suffix":""},{"dropping-particle":"","family":"Darabnia","given":"Behnoush","non-dropping-particle":"","parse-names":false,"suffix":""}],"container-title":"Processes","id":"ITEM-4","issue":"3","issued":{"date-parts":[["2018","3","11"]]},"note":"- CCE model as the cost of conserved energy as an indicator of EE measure in euros per kWh.\n- tenfold energy cost recovery.\n- 10% increase with predictive maintenance program.","page":"25","title":"Using Field Data for Energy Efficiency Based on Maintenance and Operational Optimisation. A Step towards PHM in Process Plants","type":"article-journal","volume":"6"},"uris":["http://www.mendeley.com/documents/?uuid=58c76eea-fd71-4279-9bcf-785cfd95d2a9"]}],"mendeley":{"formattedCitation":"[23]–[25], [116]","plainTextFormattedCitation":"[23]–[25], [116]","previouslyFormattedCitation":"[23]–[25], [116]"},"properties":{"noteIndex":0},"schema":"https://github.com/citation-style-language/schema/raw/master/csl-citation.json"}</w:instrText>
      </w:r>
      <w:r w:rsidR="00DA3E7D">
        <w:fldChar w:fldCharType="separate"/>
      </w:r>
      <w:r w:rsidR="00416869" w:rsidRPr="00416869">
        <w:rPr>
          <w:noProof/>
        </w:rPr>
        <w:t>[23]–[25], [116]</w:t>
      </w:r>
      <w:r w:rsidR="00DA3E7D">
        <w:fldChar w:fldCharType="end"/>
      </w:r>
      <w:r w:rsidR="00DA3E7D">
        <w:t xml:space="preserve"> or by numerical </w:t>
      </w:r>
      <w:r w:rsidR="00E978F9">
        <w:t>simulations</w:t>
      </w:r>
      <w:r w:rsidR="00DA3E7D">
        <w:t xml:space="preserve"> </w:t>
      </w:r>
      <w:r w:rsidR="00DA3E7D">
        <w:fldChar w:fldCharType="begin" w:fldLock="1"/>
      </w:r>
      <w:r w:rsidR="00204994">
        <w:instrText>ADDIN CSL_CITATION {"citationItems":[{"id":"ITEM-1","itemData":{"DOI":"10.1016/j.compchemeng.2017.05.004","ISSN":"00981354","abstract":"In recent years there has been increased concern on energy efficiency of industries. Since the scheduling problems in the shop floors are directly related to the energy consumption, an appropriate way to improve energy efficiency in industrial plants is to develop effective scheduling strategies. Hence, the aim of this paper is to design an energy-efficient scheduling in a shop floor industrial environment, i.e., flexible job-shop scheduling problem (FJSP). To this end, a multi-objective optimization model is developed with three objective functions: (i) minimizing total completion time, (ii) maximizing the total availability of the system, and (iii) minimizing total energy cost of both production and maintenance operations in the FJSP. To cope with this multi-objective optimization problem, an enhanced evolutionary algorithm incorporated with the global criterion, as a multi-objective handling technique, is proposed and then performance evaluation is performed based on an extensive numerical analysis.","author":[{"dropping-particle":"","family":"Mokhtari","given":"Hadi","non-dropping-particle":"","parse-names":false,"suffix":""},{"dropping-particle":"","family":"Hasani","given":"Aliakbar","non-dropping-particle":"","parse-names":false,"suffix":""}],"container-title":"Computers &amp; Chemical Engineering","id":"ITEM-1","issued":{"date-parts":[["2017","9"]]},"note":"- Maintenance operations scheduling problem.\n- Using energy cost as objective function.\n- Using reliability concept.\n- Evolutionary algorithms\n- No sensitivity analysis\n- Performance evaluation on numerical experiment.\n-","page":"339-352","publisher":"Elsevier Ltd","title":"An energy-efficient multi-objective optimization for flexible job-shop scheduling problem","type":"article-journal","volume":"104"},"uris":["http://www.mendeley.com/documents/?uuid=51c0264e-148b-4b26-a600-d3875a5f9012"]},{"id":"ITEM-2","itemData":{"DOI":"10.1016/j.jclepro.2019.119791","ISSN":"09596526","abstract":"Nowadays the manufacturing enterprises are driven towards significant energy improvements by increasing energy costs and sustainability awareness, and energy consumption and energy efficiency are taking a more and more dominating position in the decision-making process of manufacturing enterprises. However, in the process of production, existing researches rarely integrate energy management with conducting preventive maintenance at the strategic level, ignoring energy-saving opportunities that may arise during machines’ downtime. This paper considers a serial production system with intermediate finite buffers. Based on the concept of “energy-saving opportunity window” and the modelling of the continuous deterioration process of each machine, the window of energy-saving opportunity of the production system is regarded as a window of opportunity for the preventive maintenance, thus a proactive preventive maintenance strategy is proposed. The serial production system is modeled and the impact of different maintenance thresholds on the energy efficiency is explored by means of Monte Carlo simulation. For purpose of maximizing the energy efficiency of the entire production system, an iterative algorithm for solving the optimal preventive maintenance thresholds is presented as well. The numerical analysis with other maintenance strategies shows that the proposed strategy is more competitive in improving the effective throughput while reducing the overall energy consumption.","author":[{"dropping-particle":"","family":"Zhou","given":"Binghai","non-dropping-particle":"","parse-names":false,"suffix":""},{"dropping-particle":"","family":"Qi","given":"Yi","non-dropping-particle":"","parse-names":false,"suffix":""},{"dropping-particle":"","family":"Liu","given":"Yuwang","non-dropping-particle":"","parse-names":false,"suffix":""}],"container-title":"Journal of Cleaner Production","id":"ITEM-2","issued":{"date-parts":[["2020"]]},"note":"Monte Carlo to help algorithm.\nAccording to the researches on the energy consumption unit time under different operating conditions of equipment, the equipment operating state is divided into the following stages: start-up, warm- up, normal operation, standby (idle) and shutdown.","title":"Proactive preventive maintenance policy for buffered serial production systems based on energy saving opportunistic windows","type":"article-journal","volume":"253"},"uris":["http://www.mendeley.com/documents/?uuid=bf853058-fc4a-490b-972f-6e25a6156239"]}],"mendeley":{"formattedCitation":"[112], [138]","plainTextFormattedCitation":"[112], [138]","previouslyFormattedCitation":"[112], [138]"},"properties":{"noteIndex":0},"schema":"https://github.com/citation-style-language/schema/raw/master/csl-citation.json"}</w:instrText>
      </w:r>
      <w:r w:rsidR="00DA3E7D">
        <w:fldChar w:fldCharType="separate"/>
      </w:r>
      <w:r w:rsidR="00645D0B" w:rsidRPr="00645D0B">
        <w:rPr>
          <w:noProof/>
        </w:rPr>
        <w:t>[112], [138]</w:t>
      </w:r>
      <w:r w:rsidR="00DA3E7D">
        <w:fldChar w:fldCharType="end"/>
      </w:r>
      <w:r w:rsidR="00DA3E7D">
        <w:t xml:space="preserve">. </w:t>
      </w:r>
      <w:r w:rsidR="00E978F9">
        <w:t xml:space="preserve">Besides, it can be noticed </w:t>
      </w:r>
      <w:r w:rsidR="00DA3E7D" w:rsidRPr="00C17D14">
        <w:t xml:space="preserve">that only a </w:t>
      </w:r>
      <w:r w:rsidR="00E978F9">
        <w:t>handful of</w:t>
      </w:r>
      <w:r w:rsidR="00DA3E7D" w:rsidRPr="00C17D14">
        <w:t xml:space="preserve"> studies </w:t>
      </w:r>
      <w:r w:rsidR="00DA3E7D" w:rsidRPr="00C17D14">
        <w:fldChar w:fldCharType="begin" w:fldLock="1"/>
      </w:r>
      <w:r w:rsidR="00204994">
        <w:instrText>ADDIN CSL_CITATION {"citationItems":[{"id":"ITEM-1","itemData":{"DOI":"10.1016/j.applthermaleng.2015.01.075","ISSN":"13594311","abstract":"Condition-Based Maintenance for diesel engines has contributed to reliability, energy-efficiency, and cost reduction. Both, the modelling of engine performance and fault detection require large amounts of data; usually, these are obtained on a test bench. In contrast, in operative engines, provoking faults onboard is not a viable proposition. Condition-Based Maintenance, fault detection and diagnosis need to be solved on engines installed in commercial vessels: the present contribution answers this need. A medium-speed diesel engine was monitored using thermocouples, pressure sensors, a propeller shaft torque meter and fuel oil flow-meters, during more than 10,000 running hours. Monitored data were used to train a three-layer feed-forward neural network, to generate the engine performance model; thus, determine the engine's fuel consumption and faulty conditions. The faulty conditions considered were: (1) a polluted turbine; (2) a dirty air filter/compressor; (3) a dirty air cooler; (4) and bad fuel injection, i.e. bad combustion. The sensor's precision and the experience gained by monitoring the engine served as a baseline to define the fault threshold values. The results proved the feasibility of installing a Condition-Based Maintenance, for vessels in operation, by monitoring engine performance and analysing the data with the aid of artificial neural networks.","author":[{"dropping-particle":"","family":"Basurko","given":"Oihane C.","non-dropping-particle":"","parse-names":false,"suffix":""},{"dropping-particle":"","family":"Uriondo","given":"Zigor","non-dropping-particle":"","parse-names":false,"suffix":""}],"container-title":"Applied Thermal Engineering","id":"ITEM-1","issue":"x","issued":{"date-parts":[["2015","4"]]},"note":"Faulty conditions were considered to occur when faults took place together with a 3% threshold increase of fuel consumption.\nFaults are defined based on sensor precision and experience.\nFailure modes (or fault modes) should be refined for the future CBM of engines.","page":"404-412","publisher":"Elsevier Ltd","title":"Condition-Based Maintenance for medium speed diesel engines used in vessels in operation","type":"article-journal","volume":"80"},"uris":["http://www.mendeley.com/documents/?uuid=d623301e-e28c-4b06-aa28-875108c80682"]},{"id":"ITEM-2","itemData":{"DOI":"10.1109/ACCESS.2017.2726017","ISSN":"21693536","abstract":"This paper presents a supervisory control strategy for resilient chiller plants in the presence of condenser fouling. Fouling results in off-nominal performance of chiller parameters, such as increased refrigerant mass flow rate, compressor motor speed, discharge pressure, and discharge temperature. These effects further lead to faster deterioration of condenser pipes and tubes, and increase the risk of early motor failures. Thus, the main objective of this paper is to provide resilience, i.e., to bring the system parameters back to normalcy, and thereby protect the system from the adverse effects of fouling and improve its life expectancy while ensuring energy efficiency and meeting the desired cooling load. The supervisory control strategy presented here incorporates fault detection and diagnosis (FDD) and resilient control for mitigating the effects of condenser fouling. A computationally efficient and robust FDD scheme enables the estimation of the condenser fouling level using optimal sensor selection and statistical classifiers, thus facilitating condition-based maintenance. On the other hand, the resilient control scheme enables redistribution of load between chillers in order to reduce the load on faulty equipment in an energy-efficient manner, while still providing the required overall cooling load. The performance of this method is tested and validated using a high-fidelity chiller plant model and the proposed strategy is shown to diagnose condenser fouling with a high accuracy and effectively mitigate the effects of fouling at low computational cost. It is shown that the supervisory controller is able to meet the desired building load requirements at lower energy consumption, as compared with no supervisory control.","author":[{"dropping-particle":"","family":"Mittal","given":"Khushboo","non-dropping-particle":"","parse-names":false,"suffix":""},{"dropping-particle":"","family":"Wilson","given":"James P.","non-dropping-particle":"","parse-names":false,"suffix":""},{"dropping-particle":"","family":"Baillie","given":"Brian P.","non-dropping-particle":"","parse-names":false,"suffix":""},{"dropping-particle":"","family":"Gupta","given":"Shalabh","non-dropping-particle":"","parse-names":false,"suffix":""},{"dropping-particle":"","family":"Bollas","given":"George M.","non-dropping-particle":"","parse-names":false,"suffix":""},{"dropping-particle":"","family":"Luh","given":"Peter B.","non-dropping-particle":"","parse-names":false,"suffix":""}],"container-title":"IEEE Access","id":"ITEM-2","issued":{"date-parts":[["2017"]]},"note":"Consider faulty operating conditions (faulty modes).\nDeveloped supervisory control strategy based on physics-based high-fidelity chiller plant model.\n- SCS works with Nominal Controller (NC) and Resilient Controller (RC).","page":"14028-14046","publisher":"IEEE","title":"Supervisory control for resilient chiller plants under condenser fouling","type":"article-journal","volume":"5"},"uris":["http://www.mendeley.com/documents/?uuid=43fcdf0d-854a-4202-bce3-6dd985dbf553"]},{"id":"ITEM-3","itemData":{"DOI":"10.1016/j.ifacol.2018.08.439","ISSN":"24058963","abstract":"The topic of early detection of faults has great relevance for the implementation of more rational and efficient management in industrial plants. Since most energy systems and machines show a degradation in energy performance when a failure is starting to develop, monitoring this parameter can result in early behavioral anomalies identification and consequently in the implementation of more timely countermeasures. As the presence of energy consumption monitoring systems is becoming increasingly more widespread, the use of energy consumption monitoring as a way to detect failures is quite interesting because it can enable the introduction of early detection methods for a broad spectrum of failures without the need of specific instrumentation. Furthermore, the promotion of energy performance is also useful as a quality indicator of the process itself. Thus, this paper describes a methodology to monitor the energy consumption performance of a compressed air generation system in an industrial plant to detect anomalies using artificial neural networks. The use of ANNs allows an accurate characterization of the system in a healthy state. Then, by comparing the model prediction and the actual energy consumption, residuals are calculated and plotted in a control chart. The setting of limits and frequency of control enables the management to decide the sensitivity of the control system itself.","author":[{"dropping-particle":"","family":"Santolamazza","given":"A.","non-dropping-particle":"","parse-names":false,"suffix":""},{"dropping-particle":"","family":"Cesarotti","given":"V.","non-dropping-particle":"","parse-names":false,"suffix":""},{"dropping-particle":"","family":"Introna","given":"V.","non-dropping-particle":"","parse-names":false,"suffix":""}],"container-title":"IFAC-PapersOnLine","id":"ITEM-3","issue":"11","issued":{"date-parts":[["2018"]]},"note":"- Anomaly detection based on energy consumption monitoring.\n- Advocates energy consumption monitoring systems over expensive instrumentation.\n- Data driven models can be further divided into “white-box” models, meaning that it is explicitly individuated a mathematical relation, or “black-box” ones, if this relation is not explicit. Machine learning techniques like Artificial Neural Networks, Support Vector Machines, or Decision Trees might be used to this goal (Benedetti et al., 2016).\n- Finally, after a first analysis of the results of the control chart with maintenance operators, a series of different patterns has been associated with different occurrences.","page":"1131-1136","publisher":"Elsevier B.V.","title":"Anomaly detection in energy consumption for Condition-Based maintenance of Compressed Air Generation systems: an approach based on artificial neural networks","type":"article-journal","volume":"51"},"uris":["http://www.mendeley.com/documents/?uuid=71145d91-759a-4113-b213-0f25184d3ffd"]},{"id":"ITEM-4","itemData":{"DOI":"10.1016/j.procir.2016.01.111","ISSN":"22128271","abstract":"Improving the overall equipment effectiveness of machine tools will improve resource-efficiency and productivity in manufacturing. First step to achieve more effectiveness would require sensors for monitoring of machine availability and quality of machining processes. Abnormal machine conditions are characterized by fault-pattern, which can indicate failure and quality losses. Further, machine failure can shorten the remaining useful life of the components and affect the products. Therefore, it is essential to determine a valuable data source which will enable the extraction of fault-pattern and the allocation of these pattern to machining processes. However, this can be challenging due to lack of open source control architecture, different machine types and automation degree, changing operating loads, and dynamic failure rates in a real environment. Retrofit for online analysis of electrical power intake of machine tools seems to satisfy this challenge. A fault-monitoring framework for manufacturing equipment has been proposed in this paper, based on data stream mining techniques for online pattern matching in electrical power data streams. Complex event processing is applied to ensure scalable data processing for large data volumes and automate the reporting in order to assign the fault-patterns to machining processes and products. This concept is introduced as energy-based maintenance and validated for a powertrain machining line in milling and drilling machines.","author":[{"dropping-particle":"","family":"Emec","given":"Soner","non-dropping-particle":"","parse-names":false,"suffix":""},{"dropping-particle":"","family":"Krüger","given":"Jörg","non-dropping-particle":"","parse-names":false,"suffix":""},{"dropping-particle":"","family":"Seliger","given":"Günther","non-dropping-particle":"","parse-names":false,"suffix":""}],"container-title":"Procedia CIRP","id":"ITEM-4","issued":{"date-parts":[["2016"]]},"page":"236-243","publisher":"Elsevier B.V.","title":"Online Fault-monitoring in Machine Tools Based on Energy Consumption Analysis and Non-invasive Data Acquisition for Improved Resource-efficiency","type":"article-journal","volume":"40"},"uris":["http://www.mendeley.com/documents/?uuid=37b1bdc1-aae6-4693-b0a0-5544860f4986"]}],"mendeley":{"formattedCitation":"[111], [115], [135], [139]","plainTextFormattedCitation":"[111], [115], [135], [139]","previouslyFormattedCitation":"[111], [115], [135], [139]"},"properties":{"noteIndex":0},"schema":"https://github.com/citation-style-language/schema/raw/master/csl-citation.json"}</w:instrText>
      </w:r>
      <w:r w:rsidR="00DA3E7D" w:rsidRPr="00C17D14">
        <w:fldChar w:fldCharType="separate"/>
      </w:r>
      <w:r w:rsidR="00645D0B" w:rsidRPr="00645D0B">
        <w:rPr>
          <w:noProof/>
        </w:rPr>
        <w:t>[111], [115], [135], [139]</w:t>
      </w:r>
      <w:r w:rsidR="00DA3E7D" w:rsidRPr="00C17D14">
        <w:fldChar w:fldCharType="end"/>
      </w:r>
      <w:r w:rsidR="00DA3E7D" w:rsidRPr="00C17D14">
        <w:t xml:space="preserve"> </w:t>
      </w:r>
      <w:r w:rsidR="00E978F9">
        <w:t>specifically deal</w:t>
      </w:r>
      <w:r w:rsidR="00DA3E7D" w:rsidRPr="00C17D14">
        <w:t xml:space="preserve"> with fault diagnosis</w:t>
      </w:r>
      <w:r w:rsidR="00E978F9">
        <w:t>, while also some are</w:t>
      </w:r>
      <w:r w:rsidR="00DA3E7D" w:rsidRPr="00C17D14">
        <w:t xml:space="preserve"> concerned with prognosis </w:t>
      </w:r>
      <w:r w:rsidR="00E978F9">
        <w:t>using</w:t>
      </w:r>
      <w:r w:rsidR="00DA3E7D" w:rsidRPr="00C17D14">
        <w:t xml:space="preserve"> energy indicators </w:t>
      </w:r>
      <w:r w:rsidR="00E978F9">
        <w:t>as</w:t>
      </w:r>
      <w:r w:rsidR="00DA3E7D">
        <w:t xml:space="preserve"> </w:t>
      </w:r>
      <w:r w:rsidR="00DA3E7D" w:rsidRPr="00C17D14">
        <w:t xml:space="preserve">cost </w:t>
      </w:r>
      <w:r w:rsidR="00DA3E7D">
        <w:t>functions</w:t>
      </w:r>
      <w:r w:rsidR="00DA3E7D" w:rsidRPr="00C17D14">
        <w:t xml:space="preserve"> for optimisation purposes.</w:t>
      </w:r>
      <w:r w:rsidR="00BB36E9">
        <w:t xml:space="preserve"> In the following, the achievements of energy-dedicated research will be discussed, considering different levels of decision-making.</w:t>
      </w:r>
    </w:p>
    <w:p w14:paraId="07F70CE8" w14:textId="3F08641C" w:rsidR="00DA3E7D" w:rsidRDefault="00DA3E7D" w:rsidP="00DA3E7D">
      <w:pPr>
        <w:pStyle w:val="Heading3"/>
      </w:pPr>
      <w:bookmarkStart w:id="789" w:name="_Toc93759890"/>
      <w:bookmarkStart w:id="790" w:name="_Toc93759994"/>
      <w:bookmarkStart w:id="791" w:name="_Toc101274428"/>
      <w:r>
        <w:t xml:space="preserve">Operational level </w:t>
      </w:r>
      <w:r w:rsidR="00784E56">
        <w:t>of MDM</w:t>
      </w:r>
      <w:bookmarkEnd w:id="789"/>
      <w:bookmarkEnd w:id="790"/>
      <w:r w:rsidR="00784E56">
        <w:t xml:space="preserve"> considering EBM achievements</w:t>
      </w:r>
      <w:bookmarkEnd w:id="791"/>
    </w:p>
    <w:p w14:paraId="4A1EB9CF" w14:textId="734DD4D7" w:rsidR="00784E56" w:rsidRDefault="00DA3E7D" w:rsidP="00784E56">
      <w:r>
        <w:t xml:space="preserve">Research studies addressing MDM for determining fault and failure boundaries use degradation patterns in establishing thresholds or points of reference for triggering corrective or preventive actions at the operational level. </w:t>
      </w:r>
      <w:r>
        <w:rPr>
          <w:rFonts w:cs="Arial"/>
          <w:lang w:val="en-GB"/>
        </w:rPr>
        <w:t>However, d</w:t>
      </w:r>
      <w:r>
        <w:t>etermining fault and failure thresholds is far from an easy task, which is noticed in studies since most authors propose these boundaries randomly, subjectively or even by experience</w:t>
      </w:r>
      <w:r w:rsidRPr="009E00AC">
        <w:t xml:space="preserve"> </w:t>
      </w:r>
      <w:r>
        <w:fldChar w:fldCharType="begin" w:fldLock="1"/>
      </w:r>
      <w:r w:rsidR="00204994">
        <w:instrText>ADDIN CSL_CITATION {"citationItems":[{"id":"ITEM-1","itemData":{"DOI":"10.1016/j.applthermaleng.2015.01.075","ISSN":"13594311","abstract":"Condition-Based Maintenance for diesel engines has contributed to reliability, energy-efficiency, and cost reduction. Both, the modelling of engine performance and fault detection require large amounts of data; usually, these are obtained on a test bench. In contrast, in operative engines, provoking faults onboard is not a viable proposition. Condition-Based Maintenance, fault detection and diagnosis need to be solved on engines installed in commercial vessels: the present contribution answers this need. A medium-speed diesel engine was monitored using thermocouples, pressure sensors, a propeller shaft torque meter and fuel oil flow-meters, during more than 10,000 running hours. Monitored data were used to train a three-layer feed-forward neural network, to generate the engine performance model; thus, determine the engine's fuel consumption and faulty conditions. The faulty conditions considered were: (1) a polluted turbine; (2) a dirty air filter/compressor; (3) a dirty air cooler; (4) and bad fuel injection, i.e. bad combustion. The sensor's precision and the experience gained by monitoring the engine served as a baseline to define the fault threshold values. The results proved the feasibility of installing a Condition-Based Maintenance, for vessels in operation, by monitoring engine performance and analysing the data with the aid of artificial neural networks.","author":[{"dropping-particle":"","family":"Basurko","given":"Oihane C.","non-dropping-particle":"","parse-names":false,"suffix":""},{"dropping-particle":"","family":"Uriondo","given":"Zigor","non-dropping-particle":"","parse-names":false,"suffix":""}],"container-title":"Applied Thermal Engineering","id":"ITEM-1","issue":"x","issued":{"date-parts":[["2015","4"]]},"note":"Faulty conditions were considered to occur when faults took place together with a 3% threshold increase of fuel consumption.\nFaults are defined based on sensor precision and experience.\nFailure modes (or fault modes) should be refined for the future CBM of engines.","page":"404-412","publisher":"Elsevier Ltd","title":"Condition-Based Maintenance for medium speed diesel engines used in vessels in operation","type":"article-journal","volume":"80"},"uris":["http://www.mendeley.com/documents/?uuid=d623301e-e28c-4b06-aa28-875108c80682"]}],"mendeley":{"formattedCitation":"[135]","plainTextFormattedCitation":"[135]","previouslyFormattedCitation":"[135]"},"properties":{"noteIndex":0},"schema":"https://github.com/citation-style-language/schema/raw/master/csl-citation.json"}</w:instrText>
      </w:r>
      <w:r>
        <w:fldChar w:fldCharType="separate"/>
      </w:r>
      <w:r w:rsidR="00645D0B" w:rsidRPr="00645D0B">
        <w:rPr>
          <w:noProof/>
        </w:rPr>
        <w:t>[135]</w:t>
      </w:r>
      <w:r>
        <w:fldChar w:fldCharType="end"/>
      </w:r>
      <w:r>
        <w:t xml:space="preserve"> due to the lack of empirical evidence of deteriorating mechanisms concerning energy consumption. </w:t>
      </w:r>
      <w:r w:rsidR="00C80E12">
        <w:t>Determining fault and failure thresholds is difficult</w:t>
      </w:r>
      <w:r>
        <w:t xml:space="preserve"> because </w:t>
      </w:r>
      <w:r w:rsidR="00C80E12">
        <w:t>many</w:t>
      </w:r>
      <w:r>
        <w:t xml:space="preserve"> variables affect energy consumption (flow, temperature, pressure, fluid density)</w:t>
      </w:r>
      <w:r w:rsidRPr="00EC3B3B">
        <w:rPr>
          <w:rFonts w:cs="Arial"/>
          <w:lang w:val="en-GB"/>
        </w:rPr>
        <w:t xml:space="preserve"> </w:t>
      </w:r>
      <w:r>
        <w:rPr>
          <w:rFonts w:cs="Arial"/>
          <w:lang w:val="en-GB"/>
        </w:rPr>
        <w:fldChar w:fldCharType="begin" w:fldLock="1"/>
      </w:r>
      <w:r w:rsidR="00645D0B">
        <w:rPr>
          <w:rFonts w:cs="Arial"/>
          <w:lang w:val="en-GB"/>
        </w:rPr>
        <w:instrText>ADDIN CSL_CITATION {"citationItems":[{"id":"ITEM-1","itemData":{"DOI":"10.3390/en12183454","ISSN":"19961073","abstract":"In this paper, we address the problem of asset performance monitoring, with the intention of both detecting any potential reliability problem and predicting any loss of energy consumption efficiency. This is an important concern for many industries and utilities with very intensive capitalization in very long-lasting assets. To overcome this problem, in this paper we propose an approach to combine an Artificial Neural Network (ANN) with Data Mining (DM) tools, specifically with Association Rule (AR) Mining. The combination of these two techniques can now be done using software which can handle large volumes of data (big data), but the process still needs to ensure that the required amount of data will be available during the assets’ life cycle and that its quality is acceptable. The combination of these two techniques in the proposed sequence differs from previous works found in the literature, giving researchers new options to face the problem. Practical implementation of the proposed approach may lead to novel predictive maintenance models (emerging predictive analytics) that may detect with unprecedented precision any asset’s lack of performance and help manage assets’ O&amp;M accordingly. The approach is illustrated using specific examples where asset performance monitoring is rather complex under normal operational conditions.","author":[{"dropping-particle":"","family":"Márquez","given":"Adolfo Crespo","non-dropping-particle":"","parse-names":false,"suffix":""},{"dropping-particle":"","family":"la Fuente Carmona","given":"Antonio","non-dropping-particle":"de","parse-names":false,"suffix":""},{"dropping-particle":"","family":"Antomarioni","given":"Sara","non-dropping-particle":"","parse-names":false,"suffix":""}],"container-title":"Energies","id":"ITEM-1","issue":"18","issued":{"date-parts":[["2019"]]},"note":"- ANN + ARs Data mining technique to aid CBM.\n- Among other things for data normalization power is also included.\n- Stock and Flow Diagram of the ANN dynamic simulation is used with backpropagation for power consumption prediction.\n- In this paper, we address the problem of assets’ performance monitoring, with the intention of both\ndetecting any potential reliability problems and predicting any loss of energy consumption efficiency.\n- Modelling the functionality i.e. any operational and data related constraints and controls of system by IDEF0.\n- Secondary objective is to identify operating regimes of the equipment so that anomalies can be recorded.\n- To obtain loss of performance of the equpment when producing the anomalies detected.","title":"A process to implement an artificial neural network and association rules techniques to improve asset performance and energy efficiency","type":"article-journal","volume":"12"},"uris":["http://www.mendeley.com/documents/?uuid=98d428d4-63a7-4156-b761-9b5f145aac67"]}],"mendeley":{"formattedCitation":"[53]","plainTextFormattedCitation":"[53]","previouslyFormattedCitation":"[53]"},"properties":{"noteIndex":0},"schema":"https://github.com/citation-style-language/schema/raw/master/csl-citation.json"}</w:instrText>
      </w:r>
      <w:r>
        <w:rPr>
          <w:rFonts w:cs="Arial"/>
          <w:lang w:val="en-GB"/>
        </w:rPr>
        <w:fldChar w:fldCharType="separate"/>
      </w:r>
      <w:r w:rsidR="00416869" w:rsidRPr="00416869">
        <w:rPr>
          <w:rFonts w:cs="Arial"/>
          <w:noProof/>
          <w:lang w:val="en-GB"/>
        </w:rPr>
        <w:t>[53]</w:t>
      </w:r>
      <w:r>
        <w:rPr>
          <w:rFonts w:cs="Arial"/>
          <w:lang w:val="en-GB"/>
        </w:rPr>
        <w:fldChar w:fldCharType="end"/>
      </w:r>
      <w:r>
        <w:t xml:space="preserve">, which is hard and time-consuming to model, especially in practice. However, ignoring energy-consumed fouling states without taking maintenance actions promptly </w:t>
      </w:r>
      <w:r>
        <w:fldChar w:fldCharType="begin" w:fldLock="1"/>
      </w:r>
      <w:r w:rsidR="00204994">
        <w:instrText>ADDIN CSL_CITATION {"citationItems":[{"id":"ITEM-1","itemData":{"DOI":"10.1016/j.apenergy.2016.09.072","ISSN":"03062619","abstract":"The energy industry is striving for cost-efficient production with low emissions. The efficiency of energy conversion processes is one of the most important factors affecting the path to such a goal. This paper provides a framework for the monitoring of steam boiler operation in power stations. The framework is based on the use of historical process data as a reference for real-time operation. The actual boiler efficiency is monitored together with its expected efficiency, which is an estimate of the highest historical efficiency in the corresponding process state, based on a data-driven model. In the presented approach, the process state is defined on the basis of variables that have the strongest correlation with boiler efficiency according to information-theoretic variable ranking. Boiler performance is monitored using a statistical process control chart for the difference between the expected and actual efficiencies. The framework was tested using data from a circulating fluidised bed boiler and from a corner-fired boiler. The results revealed that the strongest correlations between process variables and boiler efficiency are substantially consistent in both cases. Moreover, the framework provides a novel measure for boiler performance enhancement.","author":[{"dropping-particle":"","family":"Nikula","given":"Riku-Pekka","non-dropping-particle":"","parse-names":false,"suffix":""},{"dropping-particle":"","family":"Ruusunen","given":"Mika","non-dropping-particle":"","parse-names":false,"suffix":""},{"dropping-particle":"","family":"Leiviskä","given":"Kauko","non-dropping-particle":"","parse-names":false,"suffix":""}],"container-title":"Applied Energy","id":"ITEM-1","issued":{"date-parts":[["2016","12"]]},"note":"- Diagnosis case\n- Usuing statistical process control charts\n- Empirical and experimental set up of target values\n- Using EWMA during monitoring period using lambda 0.5.","page":"1374-1388","publisher":"Elsevier Ltd","title":"Data-driven framework for boiler performance monitoring","type":"article-journal","volume":"183"},"uris":["http://www.mendeley.com/documents/?uuid=ec897aa9-9ce2-449a-a443-f336249df4b6"]}],"mendeley":{"formattedCitation":"[140]","plainTextFormattedCitation":"[140]","previouslyFormattedCitation":"[140]"},"properties":{"noteIndex":0},"schema":"https://github.com/citation-style-language/schema/raw/master/csl-citation.json"}</w:instrText>
      </w:r>
      <w:r>
        <w:fldChar w:fldCharType="separate"/>
      </w:r>
      <w:r w:rsidR="00645D0B" w:rsidRPr="00645D0B">
        <w:rPr>
          <w:noProof/>
        </w:rPr>
        <w:t>[140]</w:t>
      </w:r>
      <w:r>
        <w:fldChar w:fldCharType="end"/>
      </w:r>
      <w:r>
        <w:t xml:space="preserve"> can lead to faulty operating conditions</w:t>
      </w:r>
      <w:r>
        <w:rPr>
          <w:rFonts w:cs="Arial"/>
          <w:lang w:val="en-GB"/>
        </w:rPr>
        <w:t xml:space="preserve">, which can rise to seven times higher cost and energy losses than operating in normal conditions </w:t>
      </w:r>
      <w:r>
        <w:rPr>
          <w:rFonts w:cs="Arial"/>
          <w:lang w:val="en-GB"/>
        </w:rPr>
        <w:fldChar w:fldCharType="begin" w:fldLock="1"/>
      </w:r>
      <w:r w:rsidR="00204994">
        <w:rPr>
          <w:rFonts w:cs="Arial"/>
          <w:lang w:val="en-GB"/>
        </w:rPr>
        <w:instrText>ADDIN CSL_CITATION {"citationItems":[{"id":"ITEM-1","itemData":{"DOI":"10.1016/j.ress.2018.02.015","ISSN":"09518320","abstract":"Induction motors are the major source of energy consumption in industries. Research work available on motor efficiency and energy consumption advocates the use of energy efficient motors to reduce the power consumption. However, these motors are also prone to faults which affects their operational efficiency. Over a period of time, the propagation of fault in the motor leads to the further drop in the efficiency which increases motor running loss. This loss is generally ignored by most of the researchers and managers and is a hidden cost borne by the industries. In this paper running of faulty induction motors and its associated financial losses have been addressed. It has been assumed that for a motor running at constant load, fault propagation leads to further drop in its efficiency. Three simulated scenarios: linear, exponential and quadratic drop in efficiency have been considered for estimation of running loss. An algorithm has also been proposed for planning maintenance actions based on operational losses due to faulty motor. This paper also highlights how efficiency and condition monitoring helps in reducing CO2 emission.","author":[{"dropping-particle":"","family":"Singh","given":"Gurmeet","non-dropping-particle":"","parse-names":false,"suffix":""},{"dropping-particle":"","family":"Anil Kumar","given":"T. Ch","non-dropping-particle":"","parse-names":false,"suffix":""},{"dropping-particle":"","family":"Naikan","given":"V. N.A.","non-dropping-particle":"","parse-names":false,"suffix":""}],"container-title":"Reliability Engineering and System Safety","id":"ITEM-1","issue":"February 2018","issued":{"date-parts":[["2019"]]},"note":"- Efficiency and input power of a healthy motor operating under constant load condition is considered constant with time - which is in my opinion misconception neglecting natural degradation process.\n- Simulation scenarios (linear, exponential, quadratic).\n-","page":"193-201","publisher":"Elsevier Ltd","title":"Efficiency monitoring as a strategy for cost effective maintenance of induction motors for minimizing carbon emission and energy consumption","type":"article-journal","volume":"184"},"uris":["http://www.mendeley.com/documents/?uuid=98768fd4-b181-4800-84c8-b9d3a5850d1b"]}],"mendeley":{"formattedCitation":"[141]","plainTextFormattedCitation":"[141]","previouslyFormattedCitation":"[141]"},"properties":{"noteIndex":0},"schema":"https://github.com/citation-style-language/schema/raw/master/csl-citation.json"}</w:instrText>
      </w:r>
      <w:r>
        <w:rPr>
          <w:rFonts w:cs="Arial"/>
          <w:lang w:val="en-GB"/>
        </w:rPr>
        <w:fldChar w:fldCharType="separate"/>
      </w:r>
      <w:r w:rsidR="00645D0B" w:rsidRPr="00645D0B">
        <w:rPr>
          <w:rFonts w:cs="Arial"/>
          <w:noProof/>
          <w:lang w:val="en-GB"/>
        </w:rPr>
        <w:t>[141]</w:t>
      </w:r>
      <w:r>
        <w:rPr>
          <w:rFonts w:cs="Arial"/>
          <w:lang w:val="en-GB"/>
        </w:rPr>
        <w:fldChar w:fldCharType="end"/>
      </w:r>
      <w:r>
        <w:rPr>
          <w:rFonts w:cs="Arial"/>
          <w:lang w:val="en-GB"/>
        </w:rPr>
        <w:t xml:space="preserve">. </w:t>
      </w:r>
      <w:r>
        <w:t>Most studies set thresholds as static control limits, incoherent with components’ degradation pattern</w:t>
      </w:r>
      <w:r w:rsidR="00C80E12">
        <w:t>s</w:t>
      </w:r>
      <w:r>
        <w:t xml:space="preserve"> in practice (e.g., seasonality in time-series decomposition). Hence, defining prognostic control limits </w:t>
      </w:r>
      <w:r>
        <w:fldChar w:fldCharType="begin" w:fldLock="1"/>
      </w:r>
      <w:r w:rsidR="00204994">
        <w:instrText>ADDIN CSL_CITATION {"citationItems":[{"id":"ITEM-1","itemData":{"DOI":"10.3390/en12203935","ISSN":"1996-1073","abstract":"Most manufacturing and process industries require compressed air to such an extent that in Europe, for instance, about 10% of the total electrical energy consumption of industries is due to compressed air systems (CAS). However, energy efficiency in compressed air production and handling is often ignored or underestimated, mainly because of the lack of awareness about its energy consumption, caused by the absence of proper measurements on CAS in most industrial plants. Therefore, any effective energy saving intervention on generation, distribution and transformation of compressed air requires proper energy information management. In this paper we demonstrate the importance of monitoring and controlling energy performance in compressed air generation and use, to enable energy saving practices, to enhance the outcomes of energy management projects, and to obtain additional benefits for non-energy-related activities, such as operations, maintenance management and energy accounting. In particular, we propose a novel methodology based on measured data, and baseline definition through statistical modelling and control charts. The proposed methodology is tested on a real compressed air system of a pharmaceutical manufacturing plant in order to verify its effectiveness and applicability.","author":[{"dropping-particle":"","family":"Benedetti","given":"Miriam","non-dropping-particle":"","parse-names":false,"suffix":""},{"dropping-particle":"","family":"Bonfà","given":"Francesca","non-dropping-particle":"","parse-names":false,"suffix":""},{"dropping-particle":"","family":"Introna","given":"Vito","non-dropping-particle":"","parse-names":false,"suffix":""},{"dropping-particle":"","family":"Santolamazza","given":"Annalisa","non-dropping-particle":"","parse-names":false,"suffix":""},{"dropping-particle":"","family":"Ubertini","given":"Stefano","non-dropping-particle":"","parse-names":false,"suffix":""}],"container-title":"Energies","id":"ITEM-1","issue":"20","issued":{"date-parts":[["2019","10","17"]]},"note":"- Operations, maintenance and energy (jointly).\n- Controllable and non-controllable factors (&amp;quot;energy drivers&amp;quot;).\n- UCL/LCL = ±k × σ, where k is default 3.\n-","page":"3935","title":"Real Time Energy Performance Control for Industrial Compressed Air Systems: Methodology and Applications","type":"article-journal","volume":"12"},"uris":["http://www.mendeley.com/documents/?uuid=8b2a53fe-c23a-44ad-bffb-fbe6304a6e1f"]}],"mendeley":{"formattedCitation":"[142]","plainTextFormattedCitation":"[142]","previouslyFormattedCitation":"[142]"},"properties":{"noteIndex":0},"schema":"https://github.com/citation-style-language/schema/raw/master/csl-citation.json"}</w:instrText>
      </w:r>
      <w:r>
        <w:fldChar w:fldCharType="separate"/>
      </w:r>
      <w:r w:rsidR="00645D0B" w:rsidRPr="00645D0B">
        <w:rPr>
          <w:noProof/>
        </w:rPr>
        <w:t>[142]</w:t>
      </w:r>
      <w:r>
        <w:fldChar w:fldCharType="end"/>
      </w:r>
      <w:r>
        <w:t xml:space="preserve">, for instance, using an exponential weighted moving average (EWMA), could be more beneficial in detecting fouling effects of particular </w:t>
      </w:r>
      <w:r w:rsidR="00C80E12">
        <w:t>system units</w:t>
      </w:r>
      <w:r>
        <w:t xml:space="preserve">. By defining moving control limits in delineating functionality and failure thresholds, one can improve the quality of maintenance actions and react faster to signal deviations. Setting the control limit as the moving average, we consider it useful for quantifying the fouling effect, for instance, in reliability modelling </w:t>
      </w:r>
      <w:r>
        <w:fldChar w:fldCharType="begin" w:fldLock="1"/>
      </w:r>
      <w:r w:rsidR="00204994">
        <w:instrText>ADDIN CSL_CITATION {"citationItems":[{"id":"ITEM-1","itemData":{"DOI":"10.1016/j.jsm.2016.08.002","ISSN":"23003960","abstract":"Mineral commodity prices have decreased swiftly since 2012. For example, gold price, which was above $1800 per ounce, is currently about $1250 per ounce. Price slumps were even more severe in the base metals. Furthermore, the resource degradation and complex geologic conditions give rise to operation costs. As a result, many mining operations and development projects were eventually suspended, cancelled or ceased. Environmental compliance is also another challenge to the mining industry. The fuel consumed by diesel trucks emits greenhouse gases, which are one of contributors to the global warming. In Canada, the provinces of Quebec, British Columbia and Alberta introduced carbon taxes with the objective of reducing gas emissions in attempt to mitigate climate change. In this scope, only way to stay in business for a mining company is to invest more efficient and environmental friendly production practices such that operation costs are reduced. Given that maintenance costs and energy consumption are the largest contributors to operation costs, the minimization of carbon emissions and the maximization of equipment availability would be beneficial. This paper addresses to quantify the relationship between equipment reliability and energy consumption through a case study. It shows that a maintenance policy based on equipment reliability can significantly reduce energy consumption and its associated gas emissions.","author":[{"dropping-particle":"","family":"Peralta","given":"Salvatore","non-dropping-particle":"","parse-names":false,"suffix":""},{"dropping-particle":"","family":"Sasmito","given":"Agus Pulung","non-dropping-particle":"","parse-names":false,"suffix":""},{"dropping-particle":"","family":"Kumral","given":"Mustafa","non-dropping-particle":"","parse-names":false,"suffix":""}],"container-title":"Journal of Sustainable Mining","id":"ITEM-1","issue":"3","issued":{"date-parts":[["2016"]]},"note":"- The engineering problem is to find minimum fuel consumption with the most effective policy.\n- Reliability based maintenance plan.\n- Reliability, working hours, distance and gross mass weight are considered as variables of the fuel consumption in multiple regression analysis that estimates the contribution of each variable to the specific fuel consumption change.\n- 30% maintenance cost; &amp;gt;60% fuel consumption costs;\n- In light of this result, the best maintenance policy was the reliability-based at a 75 percent reliability threshold. \n- The performance of the 617-h approach respect the 75 percent reli- ability threshold was not competitive since the latter showed 11, 19 and 19 percent savings for the maintenance cost, fuel consumption and emission tax respectively.","page":"85-94","publisher":"Elsevier Ltd","title":"Reliability effect on energy consumption and greenhouse gas emissions of mining hauling fleet towards sustainable mining","type":"article-journal","volume":"15"},"uris":["http://www.mendeley.com/documents/?uuid=f7e79941-4aee-47e2-9d73-aea8eb81e0de"]}],"mendeley":{"formattedCitation":"[134]","plainTextFormattedCitation":"[134]","previouslyFormattedCitation":"[134]"},"properties":{"noteIndex":0},"schema":"https://github.com/citation-style-language/schema/raw/master/csl-citation.json"}</w:instrText>
      </w:r>
      <w:r>
        <w:fldChar w:fldCharType="separate"/>
      </w:r>
      <w:r w:rsidR="00645D0B" w:rsidRPr="00645D0B">
        <w:rPr>
          <w:noProof/>
        </w:rPr>
        <w:t>[134]</w:t>
      </w:r>
      <w:r>
        <w:fldChar w:fldCharType="end"/>
      </w:r>
      <w:r>
        <w:t>. By doing so, reliability based on energy fouling can be a more decisive factor in switching attention towards EBM research, which we are currently investigating.</w:t>
      </w:r>
    </w:p>
    <w:p w14:paraId="52B77800" w14:textId="6F8F68AB" w:rsidR="00784E56" w:rsidRPr="00784E56" w:rsidRDefault="00645D0B" w:rsidP="00784E56">
      <w:pPr>
        <w:pStyle w:val="Heading3"/>
        <w:rPr>
          <w:lang w:val="en-GB"/>
        </w:rPr>
      </w:pPr>
      <w:bookmarkStart w:id="792" w:name="_Toc101274429"/>
      <w:r>
        <w:rPr>
          <w:lang w:val="en-GB"/>
        </w:rPr>
        <w:lastRenderedPageBreak/>
        <w:t>T</w:t>
      </w:r>
      <w:r w:rsidR="00784E56">
        <w:rPr>
          <w:lang w:val="en-GB"/>
        </w:rPr>
        <w:t>actical level of MDM considering EBM achievements</w:t>
      </w:r>
      <w:bookmarkEnd w:id="792"/>
    </w:p>
    <w:p w14:paraId="437BCBD3" w14:textId="50F6F837" w:rsidR="00645D0B" w:rsidRDefault="00A04EFB" w:rsidP="00DA3E7D">
      <w:pPr>
        <w:rPr>
          <w:rFonts w:cs="Arial"/>
          <w:lang w:val="en-GB"/>
        </w:rPr>
      </w:pPr>
      <w:r>
        <w:rPr>
          <w:rFonts w:cs="Arial"/>
          <w:lang w:val="en-GB"/>
        </w:rPr>
        <w:t>Considering EBM achievements from the tactical standpoint of MDM</w:t>
      </w:r>
      <w:r w:rsidR="00DA3E7D">
        <w:rPr>
          <w:rFonts w:cs="Arial"/>
          <w:lang w:val="en-GB"/>
        </w:rPr>
        <w:t xml:space="preserve">, researchers are mostly </w:t>
      </w:r>
      <w:r>
        <w:rPr>
          <w:rFonts w:cs="Arial"/>
          <w:lang w:val="en-GB"/>
        </w:rPr>
        <w:t>dedicated</w:t>
      </w:r>
      <w:r w:rsidR="00DA3E7D">
        <w:rPr>
          <w:rFonts w:cs="Arial"/>
          <w:lang w:val="en-GB"/>
        </w:rPr>
        <w:t xml:space="preserve"> </w:t>
      </w:r>
      <w:r>
        <w:rPr>
          <w:rFonts w:cs="Arial"/>
          <w:lang w:val="en-GB"/>
        </w:rPr>
        <w:t>to</w:t>
      </w:r>
      <w:r w:rsidR="00DA3E7D">
        <w:rPr>
          <w:rFonts w:cs="Arial"/>
          <w:lang w:val="en-GB"/>
        </w:rPr>
        <w:t xml:space="preserve"> production losses caused by disturbances due to maintenance and operational activities. Although there are examples of studies </w:t>
      </w:r>
      <w:r>
        <w:rPr>
          <w:rFonts w:cs="Arial"/>
          <w:lang w:val="en-GB"/>
        </w:rPr>
        <w:t>examining</w:t>
      </w:r>
      <w:r w:rsidR="00DA3E7D">
        <w:rPr>
          <w:rFonts w:cs="Arial"/>
          <w:lang w:val="en-GB"/>
        </w:rPr>
        <w:t xml:space="preserve"> the </w:t>
      </w:r>
      <w:r>
        <w:rPr>
          <w:rFonts w:cs="Arial"/>
          <w:lang w:val="en-GB"/>
        </w:rPr>
        <w:t>inherent</w:t>
      </w:r>
      <w:r w:rsidR="00DA3E7D">
        <w:rPr>
          <w:rFonts w:cs="Arial"/>
          <w:lang w:val="en-GB"/>
        </w:rPr>
        <w:t xml:space="preserve"> relationship between maintenance and control engineering from an energy </w:t>
      </w:r>
      <w:r>
        <w:rPr>
          <w:rFonts w:cs="Arial"/>
          <w:lang w:val="en-GB"/>
        </w:rPr>
        <w:t>point of view</w:t>
      </w:r>
      <w:r w:rsidR="00DA3E7D">
        <w:rPr>
          <w:rFonts w:cs="Arial"/>
          <w:lang w:val="en-GB"/>
        </w:rPr>
        <w:t xml:space="preserve"> </w:t>
      </w:r>
      <w:r w:rsidR="00DA3E7D">
        <w:rPr>
          <w:rFonts w:cs="Arial"/>
          <w:lang w:val="en-GB"/>
        </w:rPr>
        <w:fldChar w:fldCharType="begin" w:fldLock="1"/>
      </w:r>
      <w:r w:rsidR="00204994">
        <w:rPr>
          <w:rFonts w:cs="Arial"/>
          <w:lang w:val="en-GB"/>
        </w:rPr>
        <w:instrText>ADDIN CSL_CITATION {"citationItems":[{"id":"ITEM-1","itemData":{"DOI":"10.3390/en12203935","ISSN":"1996-1073","abstract":"Most manufacturing and process industries require compressed air to such an extent that in Europe, for instance, about 10% of the total electrical energy consumption of industries is due to compressed air systems (CAS). However, energy efficiency in compressed air production and handling is often ignored or underestimated, mainly because of the lack of awareness about its energy consumption, caused by the absence of proper measurements on CAS in most industrial plants. Therefore, any effective energy saving intervention on generation, distribution and transformation of compressed air requires proper energy information management. In this paper we demonstrate the importance of monitoring and controlling energy performance in compressed air generation and use, to enable energy saving practices, to enhance the outcomes of energy management projects, and to obtain additional benefits for non-energy-related activities, such as operations, maintenance management and energy accounting. In particular, we propose a novel methodology based on measured data, and baseline definition through statistical modelling and control charts. The proposed methodology is tested on a real compressed air system of a pharmaceutical manufacturing plant in order to verify its effectiveness and applicability.","author":[{"dropping-particle":"","family":"Benedetti","given":"Miriam","non-dropping-particle":"","parse-names":false,"suffix":""},{"dropping-particle":"","family":"Bonfà","given":"Francesca","non-dropping-particle":"","parse-names":false,"suffix":""},{"dropping-particle":"","family":"Introna","given":"Vito","non-dropping-particle":"","parse-names":false,"suffix":""},{"dropping-particle":"","family":"Santolamazza","given":"Annalisa","non-dropping-particle":"","parse-names":false,"suffix":""},{"dropping-particle":"","family":"Ubertini","given":"Stefano","non-dropping-particle":"","parse-names":false,"suffix":""}],"container-title":"Energies","id":"ITEM-1","issue":"20","issued":{"date-parts":[["2019","10","17"]]},"note":"- Operations, maintenance and energy (jointly).\n- Controllable and non-controllable factors (&amp;quot;energy drivers&amp;quot;).\n- UCL/LCL = ±k × σ, where k is default 3.\n-","page":"3935","title":"Real Time Energy Performance Control for Industrial Compressed Air Systems: Methodology and Applications","type":"article-journal","volume":"12"},"uris":["http://www.mendeley.com/documents/?uuid=8b2a53fe-c23a-44ad-bffb-fbe6304a6e1f"]},{"id":"ITEM-2","itemData":{"DOI":"10.1080/00207543.2014.893067","ISSN":"1366588X","abstract":"Machine tools consume a large amount of energy in the production process. Effective reduction of energy consumption of the machine tool will lead to significant savings. Although substantial efforts have been devoted to reducing energy consumption of the machine tool through upgrading the equipment or improving the manufacturing process, the study of energy efficiency improvement through effective maintenance operations scheduling has received significantly less attention. Power consumption usually increases as the machine tool deteriorates in most mechanical manufacturing environments. In this paper, we develop a discrete-time, discrete-state homogeneous Markov chain of the deteriorating machine tool based on energy efficiency. To evaluate the energy performance and productivity performance of the machine tool with periodic maintenance, analytical models of average energy efficiency and average productivity are developed based on renewal reward theorem. The effects of some parameters on the average energy efficiency are analysed through a numerical example, and the trade-off between energy efficiency and productivity is discussed. © 2014 Taylor &amp; Francis.","author":[{"dropping-particle":"","family":"Xu","given":"Weigang","non-dropping-particle":"","parse-names":false,"suffix":""},{"dropping-particle":"","family":"Cao","given":"Le","non-dropping-particle":"","parse-names":false,"suffix":""}],"container-title":"International Journal of Production Research","id":"ITEM-2","issue":"18","issued":{"date-parts":[["2014"]]},"note":"Homogenous Markov Chains.","page":"5273-5285","title":"Energy efficiency analysis of machine tools with periodic maintenance","type":"article-journal","volume":"52"},"uris":["http://www.mendeley.com/documents/?uuid=5fd943f3-82d5-446f-9ed0-851a43da5641"]}],"mendeley":{"formattedCitation":"[142], [143]","plainTextFormattedCitation":"[142], [143]","previouslyFormattedCitation":"[142], [143]"},"properties":{"noteIndex":0},"schema":"https://github.com/citation-style-language/schema/raw/master/csl-citation.json"}</w:instrText>
      </w:r>
      <w:r w:rsidR="00DA3E7D">
        <w:rPr>
          <w:rFonts w:cs="Arial"/>
          <w:lang w:val="en-GB"/>
        </w:rPr>
        <w:fldChar w:fldCharType="separate"/>
      </w:r>
      <w:r w:rsidR="00645D0B" w:rsidRPr="00645D0B">
        <w:rPr>
          <w:rFonts w:cs="Arial"/>
          <w:noProof/>
          <w:lang w:val="en-GB"/>
        </w:rPr>
        <w:t>[142], [143]</w:t>
      </w:r>
      <w:r w:rsidR="00DA3E7D">
        <w:rPr>
          <w:rFonts w:cs="Arial"/>
          <w:lang w:val="en-GB"/>
        </w:rPr>
        <w:fldChar w:fldCharType="end"/>
      </w:r>
      <w:r w:rsidR="00DA3E7D">
        <w:rPr>
          <w:rFonts w:cs="Arial"/>
          <w:lang w:val="en-GB"/>
        </w:rPr>
        <w:t xml:space="preserve">, there are no existing publications explicitly distinguishing operational and maintenance </w:t>
      </w:r>
      <w:r>
        <w:rPr>
          <w:rFonts w:cs="Arial"/>
          <w:lang w:val="en-GB"/>
        </w:rPr>
        <w:t>energy-</w:t>
      </w:r>
      <w:r w:rsidR="00DA3E7D">
        <w:rPr>
          <w:rFonts w:cs="Arial"/>
          <w:lang w:val="en-GB"/>
        </w:rPr>
        <w:t xml:space="preserve">monitoring </w:t>
      </w:r>
      <w:r>
        <w:rPr>
          <w:rFonts w:cs="Arial"/>
          <w:lang w:val="en-GB"/>
        </w:rPr>
        <w:t>signals</w:t>
      </w:r>
      <w:r w:rsidR="00DA3E7D">
        <w:rPr>
          <w:rFonts w:cs="Arial"/>
          <w:lang w:val="en-GB"/>
        </w:rPr>
        <w:t xml:space="preserve">, which </w:t>
      </w:r>
      <w:r>
        <w:rPr>
          <w:rFonts w:cs="Arial"/>
          <w:lang w:val="en-GB"/>
        </w:rPr>
        <w:t>are</w:t>
      </w:r>
      <w:r w:rsidR="00DA3E7D">
        <w:rPr>
          <w:rFonts w:cs="Arial"/>
          <w:lang w:val="en-GB"/>
        </w:rPr>
        <w:t>, in fact, hard to isolate.</w:t>
      </w:r>
    </w:p>
    <w:p w14:paraId="6BD4FB2C" w14:textId="2D9D48EC" w:rsidR="00645D0B" w:rsidRDefault="00A04EFB" w:rsidP="00DA3E7D">
      <w:pPr>
        <w:rPr>
          <w:rFonts w:cs="Arial"/>
          <w:lang w:val="en-GB"/>
        </w:rPr>
      </w:pPr>
      <w:r>
        <w:rPr>
          <w:rFonts w:cs="Arial"/>
          <w:lang w:val="en-GB"/>
        </w:rPr>
        <w:t>Such studies are</w:t>
      </w:r>
      <w:r w:rsidR="00DA3E7D">
        <w:rPr>
          <w:rFonts w:cs="Arial"/>
          <w:lang w:val="en-GB"/>
        </w:rPr>
        <w:t xml:space="preserve"> </w:t>
      </w:r>
      <w:r>
        <w:rPr>
          <w:rFonts w:cs="Arial"/>
          <w:lang w:val="en-GB"/>
        </w:rPr>
        <w:t>vital</w:t>
      </w:r>
      <w:r w:rsidR="00DA3E7D">
        <w:rPr>
          <w:rFonts w:cs="Arial"/>
          <w:lang w:val="en-GB"/>
        </w:rPr>
        <w:t xml:space="preserve"> because operational </w:t>
      </w:r>
      <w:r>
        <w:rPr>
          <w:rFonts w:cs="Arial"/>
          <w:lang w:val="en-GB"/>
        </w:rPr>
        <w:t>elements</w:t>
      </w:r>
      <w:r w:rsidR="00DA3E7D">
        <w:rPr>
          <w:rFonts w:cs="Arial"/>
          <w:lang w:val="en-GB"/>
        </w:rPr>
        <w:t xml:space="preserve"> (e.g., load) and maintenance actions (e.g., </w:t>
      </w:r>
      <w:r>
        <w:rPr>
          <w:rFonts w:cs="Arial"/>
          <w:lang w:val="en-GB"/>
        </w:rPr>
        <w:t>corrective</w:t>
      </w:r>
      <w:r w:rsidR="00DA3E7D">
        <w:rPr>
          <w:rFonts w:cs="Arial"/>
          <w:lang w:val="en-GB"/>
        </w:rPr>
        <w:t>) affect energy consumption simultaneously, thus causing a</w:t>
      </w:r>
      <w:r>
        <w:rPr>
          <w:rFonts w:cs="Arial"/>
          <w:lang w:val="en-GB"/>
        </w:rPr>
        <w:t>n</w:t>
      </w:r>
      <w:r w:rsidR="00DA3E7D">
        <w:rPr>
          <w:rFonts w:cs="Arial"/>
          <w:lang w:val="en-GB"/>
        </w:rPr>
        <w:t xml:space="preserve"> </w:t>
      </w:r>
      <w:r>
        <w:rPr>
          <w:rFonts w:cs="Arial"/>
          <w:lang w:val="en-GB"/>
        </w:rPr>
        <w:t>error</w:t>
      </w:r>
      <w:r w:rsidR="00DA3E7D">
        <w:rPr>
          <w:rFonts w:cs="Arial"/>
          <w:lang w:val="en-GB"/>
        </w:rPr>
        <w:t xml:space="preserve"> in pattern recognition leading to flawed estimations in signal processing </w:t>
      </w:r>
      <w:r>
        <w:rPr>
          <w:rFonts w:cs="Arial"/>
          <w:lang w:val="en-GB"/>
        </w:rPr>
        <w:t>and</w:t>
      </w:r>
      <w:r w:rsidR="00DA3E7D">
        <w:rPr>
          <w:rFonts w:cs="Arial"/>
          <w:lang w:val="en-GB"/>
        </w:rPr>
        <w:t xml:space="preserve"> difficulties in the decision-making process. To couple with this </w:t>
      </w:r>
      <w:r>
        <w:rPr>
          <w:rFonts w:cs="Arial"/>
          <w:lang w:val="en-GB"/>
        </w:rPr>
        <w:t>difficulty</w:t>
      </w:r>
      <w:r w:rsidR="00DA3E7D">
        <w:rPr>
          <w:rFonts w:cs="Arial"/>
          <w:lang w:val="en-GB"/>
        </w:rPr>
        <w:t xml:space="preserve">, the assumption is that the problem lies within the basic formulation of system functionality. </w:t>
      </w:r>
      <w:r>
        <w:rPr>
          <w:rFonts w:cs="Arial"/>
          <w:lang w:val="en-GB"/>
        </w:rPr>
        <w:t>T</w:t>
      </w:r>
      <w:r w:rsidR="00DA3E7D">
        <w:rPr>
          <w:rFonts w:cs="Arial"/>
          <w:lang w:val="en-GB"/>
        </w:rPr>
        <w:t>he inability to quantify the fault or fouling effect of system degradation under various conditions as “true” or “false” cause</w:t>
      </w:r>
      <w:r w:rsidR="00C80E12">
        <w:rPr>
          <w:rFonts w:cs="Arial"/>
          <w:lang w:val="en-GB"/>
        </w:rPr>
        <w:t>s</w:t>
      </w:r>
      <w:r w:rsidR="00DA3E7D">
        <w:rPr>
          <w:rFonts w:cs="Arial"/>
          <w:lang w:val="en-GB"/>
        </w:rPr>
        <w:t xml:space="preserve"> problems </w:t>
      </w:r>
      <w:r w:rsidR="00C80E12">
        <w:rPr>
          <w:rFonts w:cs="Arial"/>
          <w:lang w:val="en-GB"/>
        </w:rPr>
        <w:t>in</w:t>
      </w:r>
      <w:r w:rsidR="00DA3E7D">
        <w:rPr>
          <w:rFonts w:cs="Arial"/>
          <w:lang w:val="en-GB"/>
        </w:rPr>
        <w:t xml:space="preserve"> determining the functionality thresholds used for reliability </w:t>
      </w:r>
      <w:r>
        <w:rPr>
          <w:rFonts w:cs="Arial"/>
          <w:lang w:val="en-GB"/>
        </w:rPr>
        <w:t>estimation</w:t>
      </w:r>
      <w:r w:rsidR="00DA3E7D">
        <w:rPr>
          <w:rFonts w:cs="Arial"/>
          <w:lang w:val="en-GB"/>
        </w:rPr>
        <w:t xml:space="preserve">. Therefore, </w:t>
      </w:r>
      <w:r>
        <w:rPr>
          <w:rFonts w:cs="Arial"/>
          <w:lang w:val="en-GB"/>
        </w:rPr>
        <w:t>suggesting</w:t>
      </w:r>
      <w:r w:rsidR="00DA3E7D">
        <w:rPr>
          <w:rFonts w:cs="Arial"/>
          <w:lang w:val="en-GB"/>
        </w:rPr>
        <w:t xml:space="preserve"> the notion of “functional-productiveness” </w:t>
      </w:r>
      <w:r>
        <w:rPr>
          <w:rFonts w:cs="Arial"/>
          <w:lang w:val="en-GB"/>
        </w:rPr>
        <w:t>for triggering</w:t>
      </w:r>
      <w:r w:rsidR="00DA3E7D">
        <w:rPr>
          <w:rFonts w:cs="Arial"/>
          <w:lang w:val="en-GB"/>
        </w:rPr>
        <w:t xml:space="preserve"> maintenance actions (e.g. </w:t>
      </w:r>
      <w:r w:rsidR="00DA3E7D" w:rsidRPr="006E60D4">
        <w:rPr>
          <w:rFonts w:cs="Arial"/>
          <w:lang w:val="en-GB"/>
        </w:rPr>
        <w:t xml:space="preserve">a limit of </w:t>
      </w:r>
      <w:r w:rsidR="00DA3E7D">
        <w:rPr>
          <w:rFonts w:cs="Arial"/>
          <w:lang w:val="en-GB"/>
        </w:rPr>
        <w:t xml:space="preserve">a </w:t>
      </w:r>
      <w:r w:rsidR="00DA3E7D" w:rsidRPr="006E60D4">
        <w:rPr>
          <w:rFonts w:cs="Arial"/>
          <w:lang w:val="en-GB"/>
        </w:rPr>
        <w:t>minimal amount of products produced per time sequence</w:t>
      </w:r>
      <w:r w:rsidR="00DA3E7D">
        <w:rPr>
          <w:rFonts w:cs="Arial"/>
          <w:lang w:val="en-GB"/>
        </w:rPr>
        <w:t>) can be used over the traditional qualitative definition of functionality by providing quantitative time- and energy-saving windows</w:t>
      </w:r>
      <w:r>
        <w:rPr>
          <w:rFonts w:cs="Arial"/>
          <w:lang w:val="en-GB"/>
        </w:rPr>
        <w:t>.</w:t>
      </w:r>
    </w:p>
    <w:p w14:paraId="00D066A2" w14:textId="1BD306AA" w:rsidR="00DA3E7D" w:rsidRDefault="00A04EFB" w:rsidP="00DA3E7D">
      <w:pPr>
        <w:rPr>
          <w:lang w:val="en-GB"/>
        </w:rPr>
      </w:pPr>
      <w:r>
        <w:rPr>
          <w:rFonts w:cs="Arial"/>
          <w:lang w:val="en-GB"/>
        </w:rPr>
        <w:t>By u</w:t>
      </w:r>
      <w:r w:rsidR="00DA3E7D">
        <w:rPr>
          <w:rFonts w:cs="Arial"/>
          <w:lang w:val="en-GB"/>
        </w:rPr>
        <w:t xml:space="preserve">tilising </w:t>
      </w:r>
      <w:r>
        <w:rPr>
          <w:rFonts w:cs="Arial"/>
          <w:lang w:val="en-GB"/>
        </w:rPr>
        <w:t>the FP concept,</w:t>
      </w:r>
      <w:r w:rsidR="00DA3E7D">
        <w:rPr>
          <w:rFonts w:cs="Arial"/>
          <w:lang w:val="en-GB"/>
        </w:rPr>
        <w:t xml:space="preserve"> </w:t>
      </w:r>
      <w:r>
        <w:rPr>
          <w:rFonts w:cs="Arial"/>
          <w:lang w:val="en-GB"/>
        </w:rPr>
        <w:t xml:space="preserve">one can </w:t>
      </w:r>
      <w:r w:rsidR="00DA3E7D">
        <w:rPr>
          <w:rFonts w:cs="Arial"/>
          <w:lang w:val="en-GB"/>
        </w:rPr>
        <w:t>isolate machine- and operator-induced energy consumption. Still, there is a considerable gap in monitoring energy data (e.g</w:t>
      </w:r>
      <w:r w:rsidR="00C80E12">
        <w:rPr>
          <w:rFonts w:cs="Arial"/>
          <w:lang w:val="en-GB"/>
        </w:rPr>
        <w:t>.</w:t>
      </w:r>
      <w:r w:rsidR="00DA3E7D">
        <w:rPr>
          <w:rFonts w:cs="Arial"/>
          <w:lang w:val="en-GB"/>
        </w:rPr>
        <w:t xml:space="preserve">, energy efficiency, energy consumption, and consumption profile) </w:t>
      </w:r>
      <w:r w:rsidR="00DA3E7D">
        <w:rPr>
          <w:rFonts w:cs="Arial"/>
          <w:lang w:val="en-GB"/>
        </w:rPr>
        <w:fldChar w:fldCharType="begin" w:fldLock="1"/>
      </w:r>
      <w:r w:rsidR="00645D0B">
        <w:rPr>
          <w:rFonts w:cs="Arial"/>
          <w:lang w:val="en-GB"/>
        </w:rPr>
        <w:instrText>ADDIN CSL_CITATION {"citationItems":[{"id":"ITEM-1","itemData":{"DOI":"10.1080/0951192X.2017.1339914","ISSN":"0951-192X","abstract":"This paper presents an original methodology and related algorithms that are dedicated to monitoring energy efficiency in discrete production stations. The learning phase of the algorithm is executed during the regular production process and is based on observations of the behaviour of the production station and energy consumption measurements. The collected information is then processed using data-mining procedures in order to find the clusters that reflect the energy consumption profiles that are specific for different variants of production. The profiles are used to monitor energy efficiency and detect anomalies. The main benefit of the proposed approach is its flexibility. No additional calibrating operations or technological knowledge are required. Although the presented proof by research results are focussed on pneumatic air installations, the proposed methodology can also be used for other media. The output of the proposed solution is a very precise estimation of energy consumption in reference to a given variant of production. It allows for the accurate detection of compressed air consumption anomalies. Such anomalies can be caused by technical (machine faults) and technological (human errors) problems. The proposed methodology can be applied for the optimisation of energy consumption and for the detection of machine maintenance problems that are visible through abnormal compressed air consumption.","author":[{"dropping-particle":"","family":"Cupek","given":"Rafal","non-dropping-particle":"","parse-names":false,"suffix":""},{"dropping-particle":"","family":"Ziebinski","given":"Adam","non-dropping-particle":"","parse-names":false,"suffix":""},{"dropping-particle":"","family":"Zonenberg","given":"Dariusz","non-dropping-particle":"","parse-names":false,"suffix":""},{"dropping-particle":"","family":"Drewniak","given":"Marek","non-dropping-particle":"","parse-names":false,"suffix":""}],"container-title":"International Journal of Computer Integrated Manufacturing","id":"ITEM-1","issue":"6","issued":{"date-parts":[["2017","6","3"]]},"note":"- The energy consumption profiles are used to assess energy efficiency and detect anomalies.\n- Operational level of monitoring energy consumption profile.\n- Observation of the machine cycle and automatic clustering using k-mean method.\n- Predictive maintenance.\n- System architecture consists of SCADA, Man. execution system and ERP, and HMI for detecting anomalies.\n- The proposed solution is online assessment tool for monitoring machine and production station levels.\n- Energy-efficiency monitoring block\n- Energy efficiency control block and machine learing block.\n- The research simulates leakage in CAS system and uses k means to cluster data and determine needs for maintenance actions.","page":"537-561","publisher":"Taylor &amp; Francis","title":"Determination of the machine energy consumption profiles in the mass-customised manufacturing","type":"article-journal","volume":"31"},"uris":["http://www.mendeley.com/documents/?uuid=32a98996-3e40-46f1-81b5-88e5e5150b3d"]}],"mendeley":{"formattedCitation":"[109]","plainTextFormattedCitation":"[109]","previouslyFormattedCitation":"[109]"},"properties":{"noteIndex":0},"schema":"https://github.com/citation-style-language/schema/raw/master/csl-citation.json"}</w:instrText>
      </w:r>
      <w:r w:rsidR="00DA3E7D">
        <w:rPr>
          <w:rFonts w:cs="Arial"/>
          <w:lang w:val="en-GB"/>
        </w:rPr>
        <w:fldChar w:fldCharType="separate"/>
      </w:r>
      <w:r w:rsidR="00416869" w:rsidRPr="00416869">
        <w:rPr>
          <w:rFonts w:cs="Arial"/>
          <w:noProof/>
          <w:lang w:val="en-GB"/>
        </w:rPr>
        <w:t>[109]</w:t>
      </w:r>
      <w:r w:rsidR="00DA3E7D">
        <w:rPr>
          <w:rFonts w:cs="Arial"/>
          <w:lang w:val="en-GB"/>
        </w:rPr>
        <w:fldChar w:fldCharType="end"/>
      </w:r>
      <w:r w:rsidR="00DA3E7D">
        <w:rPr>
          <w:rFonts w:cs="Arial"/>
          <w:lang w:val="en-GB"/>
        </w:rPr>
        <w:t xml:space="preserve">. </w:t>
      </w:r>
      <w:r w:rsidR="00645D0B">
        <w:rPr>
          <w:rFonts w:cs="Arial"/>
          <w:lang w:val="en-GB"/>
        </w:rPr>
        <w:t>D</w:t>
      </w:r>
      <w:r w:rsidR="00DA3E7D">
        <w:rPr>
          <w:rFonts w:cs="Arial"/>
          <w:lang w:val="en-GB"/>
        </w:rPr>
        <w:t>ata</w:t>
      </w:r>
      <w:r w:rsidR="00645D0B">
        <w:rPr>
          <w:rFonts w:cs="Arial"/>
          <w:lang w:val="en-GB"/>
        </w:rPr>
        <w:t xml:space="preserve"> </w:t>
      </w:r>
      <w:r w:rsidR="00DA3E7D">
        <w:rPr>
          <w:rFonts w:cs="Arial"/>
          <w:lang w:val="en-GB"/>
        </w:rPr>
        <w:t xml:space="preserve">mining procedures are </w:t>
      </w:r>
      <w:r w:rsidR="00645D0B">
        <w:rPr>
          <w:rFonts w:cs="Arial"/>
          <w:lang w:val="en-GB"/>
        </w:rPr>
        <w:t xml:space="preserve">usually </w:t>
      </w:r>
      <w:r w:rsidR="00DA3E7D">
        <w:rPr>
          <w:rFonts w:cs="Arial"/>
          <w:lang w:val="en-GB"/>
        </w:rPr>
        <w:t>used to monitor energy efficiency and detect anomalies for diagnosis.</w:t>
      </w:r>
      <w:r w:rsidR="00645D0B">
        <w:rPr>
          <w:rFonts w:cs="Arial"/>
          <w:lang w:val="en-GB"/>
        </w:rPr>
        <w:t xml:space="preserve"> However,</w:t>
      </w:r>
      <w:r w:rsidR="00DA3E7D">
        <w:rPr>
          <w:rFonts w:cs="Arial"/>
          <w:lang w:val="en-GB"/>
        </w:rPr>
        <w:t xml:space="preserve"> </w:t>
      </w:r>
      <w:r w:rsidR="00645D0B">
        <w:rPr>
          <w:rFonts w:cs="Arial"/>
          <w:lang w:val="en-GB"/>
        </w:rPr>
        <w:t>it is difficult to estimate</w:t>
      </w:r>
      <w:r w:rsidR="00DA3E7D">
        <w:rPr>
          <w:rFonts w:cs="Arial"/>
          <w:lang w:val="en-GB"/>
        </w:rPr>
        <w:t xml:space="preserve"> </w:t>
      </w:r>
      <w:r w:rsidR="00645D0B">
        <w:rPr>
          <w:rFonts w:cs="Arial"/>
          <w:lang w:val="en-GB"/>
        </w:rPr>
        <w:t xml:space="preserve">the </w:t>
      </w:r>
      <w:r w:rsidR="00DA3E7D">
        <w:rPr>
          <w:rFonts w:cs="Arial"/>
          <w:lang w:val="en-GB"/>
        </w:rPr>
        <w:t xml:space="preserve">causes of anomalies, including technical (machine) and technological (human) errors, </w:t>
      </w:r>
      <w:r w:rsidR="00645D0B">
        <w:rPr>
          <w:rFonts w:cs="Arial"/>
          <w:lang w:val="en-GB"/>
        </w:rPr>
        <w:t>leading to</w:t>
      </w:r>
      <w:r w:rsidR="00DA3E7D">
        <w:rPr>
          <w:rFonts w:cs="Arial"/>
          <w:lang w:val="en-GB"/>
        </w:rPr>
        <w:t xml:space="preserve"> more problems in assessing the root cause analysis in diagnosis. Statistical and mathematical modelling has been done by </w:t>
      </w:r>
      <w:r w:rsidR="00DA3E7D">
        <w:rPr>
          <w:rFonts w:cs="Arial"/>
          <w:lang w:val="en-GB"/>
        </w:rPr>
        <w:fldChar w:fldCharType="begin" w:fldLock="1"/>
      </w:r>
      <w:r w:rsidR="00645D0B">
        <w:rPr>
          <w:rFonts w:cs="Arial"/>
          <w:lang w:val="en-GB"/>
        </w:rPr>
        <w:instrText>ADDIN CSL_CITATION {"citationItems":[{"id":"ITEM-1","itemData":{"DOI":"10.1109/PHM.2015.7380096","ISBN":"978-1-4673-8554-1","abstract":"Industrial plants are facing today with new challenges to well optimize performance of their operation and maintenance. For example, the sustainability paradigm is introducing new requirements to be taken into account in the decision-making process. In that way, energy consumption (EC) and energy efficiency (EE) are two critical performances impacting severely the plant effectiveness mainly with regards to its life cycle cost. Although there are models for following these two performances at the component level, there is a real need for modelling them at the function or system levels not only to support strategic decisions (and not only operational one) but also to forecast them to make decisions in advance for better optimization. Thus, the principles of a generic approach, which is focused on EE performance (EEP) and built on the modelling of this EEP at functional level, and its prognostics to calculate a Remaining Energy-Efficient Lifetime (REEL), are proposed in this paper. The REEL should integrate future mission profiles and operation conditions. The prognostics model is developed from a data-driven approach by using a nonlinear regression method. This generic approach is instantiated and validated on the TELMA platform (a motor-driven system) which is simulating a real industrial plant addressing unwinding metal bobbins. So, models are built from field data of two independent motors (the component level and electrical energy) in addition to data on the function supported by means of these two motors. It leads to prognostics models usable to predict the EE evolution - REEL (the input of the decision-making module) both at the component level from the relationships between speed performance (motor output), bearing deterioration (Gamma process) and EE, and at the functional level from the relationships between productivity performance (functional output on the product delivered), components deterioration level and EE.","author":[{"dropping-particle":"","family":"Hoang","given":"Anh","non-dropping-particle":"","parse-names":false,"suffix":""},{"dropping-particle":"","family":"Do","given":"Phuc","non-dropping-particle":"","parse-names":false,"suffix":""},{"dropping-particle":"","family":"Iung","given":"Benoit","non-dropping-particle":"","parse-names":false,"suffix":""}],"container-title":"2015 Prognostics and System Health Management Conference (PHM)","id":"ITEM-1","issued":{"date-parts":[["2015","10"]]},"note":"- Remaining Energy-Efficient Lifetime (REEL).\n- In this paper, a generic EE-based prognostic approach is proposed for predicting the energy efficiency performance (EEl - energy efficiency indicator; REEL - remaining energy efficient lifetime) introduced recently in [15] at both the component and the function/system levels. The proposed prognostic approach is applied on the platform TELMA.","page":"1-7","publisher":"IEEE","title":"Prognostics on energy efficiency performance for maintenance decision-making: Application to industrial platform TELMA","type":"paper-conference"},"uris":["http://www.mendeley.com/documents/?uuid=e8bca837-6e9b-4528-83a8-d45a2beffc02"]}],"mendeley":{"formattedCitation":"[23]","plainTextFormattedCitation":"[23]","previouslyFormattedCitation":"[23]"},"properties":{"noteIndex":0},"schema":"https://github.com/citation-style-language/schema/raw/master/csl-citation.json"}</w:instrText>
      </w:r>
      <w:r w:rsidR="00DA3E7D">
        <w:rPr>
          <w:rFonts w:cs="Arial"/>
          <w:lang w:val="en-GB"/>
        </w:rPr>
        <w:fldChar w:fldCharType="separate"/>
      </w:r>
      <w:r w:rsidR="00416869" w:rsidRPr="00416869">
        <w:rPr>
          <w:rFonts w:cs="Arial"/>
          <w:noProof/>
          <w:lang w:val="en-GB"/>
        </w:rPr>
        <w:t>[23]</w:t>
      </w:r>
      <w:r w:rsidR="00DA3E7D">
        <w:rPr>
          <w:rFonts w:cs="Arial"/>
          <w:lang w:val="en-GB"/>
        </w:rPr>
        <w:fldChar w:fldCharType="end"/>
      </w:r>
      <w:r w:rsidR="00DA3E7D">
        <w:rPr>
          <w:rFonts w:cs="Arial"/>
          <w:lang w:val="en-GB"/>
        </w:rPr>
        <w:t xml:space="preserve"> and </w:t>
      </w:r>
      <w:r w:rsidR="00DA3E7D">
        <w:rPr>
          <w:rFonts w:cs="Arial"/>
          <w:lang w:val="en-GB"/>
        </w:rPr>
        <w:fldChar w:fldCharType="begin" w:fldLock="1"/>
      </w:r>
      <w:r w:rsidR="00204994">
        <w:rPr>
          <w:rFonts w:cs="Arial"/>
          <w:lang w:val="en-GB"/>
        </w:rPr>
        <w:instrText>ADDIN CSL_CITATION {"citationItems":[{"id":"ITEM-1","itemData":{"DOI":"10.1016/j.compchemeng.2017.05.004","ISSN":"00981354","abstract":"In recent years there has been increased concern on energy efficiency of industries. Since the scheduling problems in the shop floors are directly related to the energy consumption, an appropriate way to improve energy efficiency in industrial plants is to develop effective scheduling strategies. Hence, the aim of this paper is to design an energy-efficient scheduling in a shop floor industrial environment, i.e., flexible job-shop scheduling problem (FJSP). To this end, a multi-objective optimization model is developed with three objective functions: (i) minimizing total completion time, (ii) maximizing the total availability of the system, and (iii) minimizing total energy cost of both production and maintenance operations in the FJSP. To cope with this multi-objective optimization problem, an enhanced evolutionary algorithm incorporated with the global criterion, as a multi-objective handling technique, is proposed and then performance evaluation is performed based on an extensive numerical analysis.","author":[{"dropping-particle":"","family":"Mokhtari","given":"Hadi","non-dropping-particle":"","parse-names":false,"suffix":""},{"dropping-particle":"","family":"Hasani","given":"Aliakbar","non-dropping-particle":"","parse-names":false,"suffix":""}],"container-title":"Computers &amp; Chemical Engineering","id":"ITEM-1","issued":{"date-parts":[["2017","9"]]},"note":"- Maintenance operations scheduling problem.\n- Using energy cost as objective function.\n- Using reliability concept.\n- Evolutionary algorithms\n- No sensitivity analysis\n- Performance evaluation on numerical experiment.\n-","page":"339-352","publisher":"Elsevier Ltd","title":"An energy-efficient multi-objective optimization for flexible job-shop scheduling problem","type":"article-journal","volume":"104"},"uris":["http://www.mendeley.com/documents/?uuid=51c0264e-148b-4b26-a600-d3875a5f9012"]}],"mendeley":{"formattedCitation":"[138]","plainTextFormattedCitation":"[138]","previouslyFormattedCitation":"[138]"},"properties":{"noteIndex":0},"schema":"https://github.com/citation-style-language/schema/raw/master/csl-citation.json"}</w:instrText>
      </w:r>
      <w:r w:rsidR="00DA3E7D">
        <w:rPr>
          <w:rFonts w:cs="Arial"/>
          <w:lang w:val="en-GB"/>
        </w:rPr>
        <w:fldChar w:fldCharType="separate"/>
      </w:r>
      <w:r w:rsidR="00645D0B" w:rsidRPr="00645D0B">
        <w:rPr>
          <w:rFonts w:cs="Arial"/>
          <w:noProof/>
          <w:lang w:val="en-GB"/>
        </w:rPr>
        <w:t>[138]</w:t>
      </w:r>
      <w:r w:rsidR="00DA3E7D">
        <w:rPr>
          <w:rFonts w:cs="Arial"/>
          <w:lang w:val="en-GB"/>
        </w:rPr>
        <w:fldChar w:fldCharType="end"/>
      </w:r>
      <w:r w:rsidR="00DA3E7D">
        <w:rPr>
          <w:rFonts w:cs="Arial"/>
          <w:lang w:val="en-GB"/>
        </w:rPr>
        <w:t xml:space="preserve">. </w:t>
      </w:r>
      <w:r w:rsidR="00645D0B">
        <w:rPr>
          <w:rFonts w:cs="Arial"/>
          <w:lang w:val="en-GB"/>
        </w:rPr>
        <w:t xml:space="preserve">There are different propositions of </w:t>
      </w:r>
      <w:r w:rsidR="00DA3E7D">
        <w:rPr>
          <w:lang w:val="en-GB"/>
        </w:rPr>
        <w:t xml:space="preserve">formulation at the tactical (functional) level </w:t>
      </w:r>
      <w:r w:rsidR="00DA3E7D">
        <w:rPr>
          <w:lang w:val="en-GB"/>
        </w:rPr>
        <w:fldChar w:fldCharType="begin" w:fldLock="1"/>
      </w:r>
      <w:r w:rsidR="00645D0B">
        <w:rPr>
          <w:lang w:val="en-GB"/>
        </w:rPr>
        <w:instrText>ADDIN CSL_CITATION {"citationItems":[{"id":"ITEM-1","itemData":{"DOI":"10.1016/j.jclepro.2016.10.185","ISSN":"09596526","abstract":"Nowadays, industrial enterprises are facing up to new challenges to well optimize their performances, with regards not only to conventional performances (e.g. reliability or productivity) but also to emerging ones as those related to sustainability issues. Indeed, sustainability indicators have to be considered now in the decision-making process of the plant to better control and maintain it to be consistent with Green Production requirements. In that way, indicators such as Energy Efficiency or Energy Consumption are promoted for the impact they have on these requirements in a Life Cycle Cost vision. Thus the core idea defended in this paper is addressing the necessary evolution of conventional maintenance decision-making process in industry for considering the energy efficiency indicator. To support the idea, the first objective is to define the concept of energy efficiency indicator which materializes the energy efficiency performance at a specific time. The definition is done for different abstraction levels such as component, function, system which are subjected to time-dependent degradation behaviors. So, the energy efficiency indicator concept is expressed as the amount of energy consumed per unit of useful output, which has to be seen as a sustainable performance measure of industrial system. Then a mathematical formulation is proposed to calculate energy efficiency indicator at any time of the performance by considering dependent factors (static and dynamic ones) impacting inputs and outputs of the system. The second objective is to propose a new concept named REEL (Remaining energy-efficient lifetime) for tracking the energy efficiency performance evolution. The REEL is defined by the time left before the system loses its energy efficiency property considered as a specific EEI value (EEI threshold) not to be exceeded. This specific value is technically and/or economically fixed in advance, given the current condition, past and future operation profiles. The REEL could be used as an appropriate indicator for maintenance decision-making process in a proactive vision. The third objective is to formalize a generic approach in the way assess the REEL value. The assessment requires to forecast the evolution of energy efficiency indicator (whatever the abstraction level is) by taking into account the static and dynamic factors. Finally, the feasibility and added value of our proposals are illustrated on a manufacturing platform named TELMA (TELeMAint…","author":[{"dropping-particle":"","family":"Hoang","given":"Anh","non-dropping-particle":"","parse-names":false,"suffix":""},{"dropping-particle":"","family":"Do","given":"Phuc","non-dropping-particle":"","parse-names":false,"suffix":""},{"dropping-particle":"","family":"Iung","given":"Benoît","non-dropping-particle":"","parse-names":false,"suffix":""}],"container-title":"Journal of Cleaner Production","id":"ITEM-1","issued":{"date-parts":[["2017"]]},"note":"- Overall they are speaking about the development of EEI as a future projection subjected to degradation with time in manufacturing systems and its environment. Having a result of physical-thermodynamic indicator properties, the model can be used to evaluate the amount of energy input per units produced. The model is then used to predict REEL.\n- Energy consumption is set by speed and bearing deterioration","page":"2838-2857","publisher":"Elsevier Ltd","title":"Energy efficiency performance-based prognostics for aided maintenance decision-making: Application to a manufacturing platform","type":"article-journal","volume":"142"},"uris":["http://www.mendeley.com/documents/?uuid=5d8ee8db-df63-4f33-ad89-b1ad0d0b66c0"]}],"mendeley":{"formattedCitation":"[24]","plainTextFormattedCitation":"[24]","previouslyFormattedCitation":"[24]"},"properties":{"noteIndex":0},"schema":"https://github.com/citation-style-language/schema/raw/master/csl-citation.json"}</w:instrText>
      </w:r>
      <w:r w:rsidR="00DA3E7D">
        <w:rPr>
          <w:lang w:val="en-GB"/>
        </w:rPr>
        <w:fldChar w:fldCharType="separate"/>
      </w:r>
      <w:r w:rsidR="00416869" w:rsidRPr="00416869">
        <w:rPr>
          <w:noProof/>
          <w:lang w:val="en-GB"/>
        </w:rPr>
        <w:t>[24]</w:t>
      </w:r>
      <w:r w:rsidR="00DA3E7D">
        <w:rPr>
          <w:lang w:val="en-GB"/>
        </w:rPr>
        <w:fldChar w:fldCharType="end"/>
      </w:r>
      <w:r w:rsidR="00DA3E7D">
        <w:rPr>
          <w:lang w:val="en-GB"/>
        </w:rPr>
        <w:t xml:space="preserve"> </w:t>
      </w:r>
      <w:r w:rsidR="00645D0B">
        <w:rPr>
          <w:lang w:val="en-GB"/>
        </w:rPr>
        <w:t>for establishing functional limits. For instance, the EEI indicator is become useful in determining the amount of energy spent per product, and it is formulated as:</w:t>
      </w:r>
    </w:p>
    <w:tbl>
      <w:tblPr>
        <w:tblW w:w="0" w:type="auto"/>
        <w:tblLook w:val="04A0" w:firstRow="1" w:lastRow="0" w:firstColumn="1" w:lastColumn="0" w:noHBand="0" w:noVBand="1"/>
      </w:tblPr>
      <w:tblGrid>
        <w:gridCol w:w="8280"/>
        <w:gridCol w:w="746"/>
      </w:tblGrid>
      <w:tr w:rsidR="00DA3E7D" w14:paraId="13A91154" w14:textId="77777777" w:rsidTr="00A4492A">
        <w:tc>
          <w:tcPr>
            <w:tcW w:w="8280" w:type="dxa"/>
            <w:vAlign w:val="center"/>
          </w:tcPr>
          <w:p w14:paraId="55FE0E78" w14:textId="77777777" w:rsidR="00DA3E7D" w:rsidRPr="006252AE" w:rsidRDefault="00427B33" w:rsidP="00A4492A">
            <w:pPr>
              <w:jc w:val="center"/>
              <w:rPr>
                <w:rFonts w:eastAsiaTheme="minorEastAsia"/>
                <w:lang w:val="en-GB"/>
              </w:rPr>
            </w:pPr>
            <m:oMath>
              <m:sSup>
                <m:sSupPr>
                  <m:ctrlPr>
                    <w:rPr>
                      <w:rFonts w:ascii="Cambria Math" w:eastAsiaTheme="minorEastAsia" w:hAnsi="Cambria Math"/>
                      <w:i/>
                      <w:lang w:val="en-GB"/>
                    </w:rPr>
                  </m:ctrlPr>
                </m:sSupPr>
                <m:e>
                  <m:r>
                    <w:rPr>
                      <w:rFonts w:ascii="Cambria Math" w:eastAsiaTheme="minorEastAsia" w:hAnsi="Cambria Math"/>
                      <w:lang w:val="en-GB"/>
                    </w:rPr>
                    <m:t>EEI</m:t>
                  </m:r>
                </m:e>
                <m:sup>
                  <m:r>
                    <m:rPr>
                      <m:sty m:val="p"/>
                    </m:rPr>
                    <w:rPr>
                      <w:rFonts w:ascii="Cambria Math" w:eastAsiaTheme="minorEastAsia" w:hAnsi="Cambria Math"/>
                      <w:lang w:val="en-GB"/>
                    </w:rPr>
                    <m:t>Σ</m:t>
                  </m:r>
                </m:sup>
              </m:sSup>
              <m:d>
                <m:dPr>
                  <m:ctrlPr>
                    <w:rPr>
                      <w:rFonts w:ascii="Cambria Math" w:eastAsiaTheme="minorEastAsia" w:hAnsi="Cambria Math"/>
                      <w:i/>
                      <w:lang w:val="en-GB"/>
                    </w:rPr>
                  </m:ctrlPr>
                </m:dPr>
                <m:e>
                  <m:r>
                    <w:rPr>
                      <w:rFonts w:ascii="Cambria Math" w:eastAsiaTheme="minorEastAsia" w:hAnsi="Cambria Math"/>
                      <w:lang w:val="en-GB"/>
                    </w:rPr>
                    <m:t>t</m:t>
                  </m:r>
                </m:e>
              </m:d>
              <m:r>
                <w:rPr>
                  <w:rFonts w:ascii="Cambria Math" w:eastAsiaTheme="minorEastAsia" w:hAnsi="Cambria Math"/>
                  <w:lang w:val="en-GB"/>
                </w:rPr>
                <m:t>=</m:t>
              </m:r>
              <m:nary>
                <m:naryPr>
                  <m:chr m:val="∑"/>
                  <m:limLoc m:val="undOvr"/>
                  <m:ctrlPr>
                    <w:rPr>
                      <w:rFonts w:ascii="Cambria Math" w:eastAsiaTheme="minorEastAsia" w:hAnsi="Cambria Math"/>
                      <w:i/>
                      <w:lang w:val="en-GB"/>
                    </w:rPr>
                  </m:ctrlPr>
                </m:naryPr>
                <m:sub>
                  <m:r>
                    <w:rPr>
                      <w:rFonts w:ascii="Cambria Math" w:eastAsiaTheme="minorEastAsia" w:hAnsi="Cambria Math"/>
                      <w:lang w:val="en-GB"/>
                    </w:rPr>
                    <m:t>i=1</m:t>
                  </m:r>
                </m:sub>
                <m:sup>
                  <m:r>
                    <w:rPr>
                      <w:rFonts w:ascii="Cambria Math" w:eastAsiaTheme="minorEastAsia" w:hAnsi="Cambria Math"/>
                      <w:lang w:val="en-GB"/>
                    </w:rPr>
                    <m:t>n</m:t>
                  </m:r>
                </m:sup>
                <m:e>
                  <m:sSubSup>
                    <m:sSubSupPr>
                      <m:ctrlPr>
                        <w:rPr>
                          <w:rFonts w:ascii="Cambria Math" w:eastAsiaTheme="minorEastAsia" w:hAnsi="Cambria Math"/>
                          <w:i/>
                          <w:lang w:val="en-GB"/>
                        </w:rPr>
                      </m:ctrlPr>
                    </m:sSubSupPr>
                    <m:e>
                      <m:r>
                        <w:rPr>
                          <w:rFonts w:ascii="Cambria Math" w:eastAsiaTheme="minorEastAsia" w:hAnsi="Cambria Math"/>
                          <w:lang w:val="en-GB"/>
                        </w:rPr>
                        <m:t>λ</m:t>
                      </m:r>
                    </m:e>
                    <m:sub>
                      <m:r>
                        <w:rPr>
                          <w:rFonts w:ascii="Cambria Math" w:eastAsiaTheme="minorEastAsia" w:hAnsi="Cambria Math"/>
                          <w:lang w:val="en-GB"/>
                        </w:rPr>
                        <m:t>t</m:t>
                      </m:r>
                    </m:sub>
                    <m:sup>
                      <m:r>
                        <w:rPr>
                          <w:rFonts w:ascii="Cambria Math" w:eastAsiaTheme="minorEastAsia" w:hAnsi="Cambria Math"/>
                          <w:lang w:val="en-GB"/>
                        </w:rPr>
                        <m:t>MDi</m:t>
                      </m:r>
                    </m:sup>
                  </m:sSubSup>
                  <m:sSubSup>
                    <m:sSubSupPr>
                      <m:ctrlPr>
                        <w:rPr>
                          <w:rFonts w:ascii="Cambria Math" w:eastAsiaTheme="minorEastAsia" w:hAnsi="Cambria Math"/>
                          <w:i/>
                          <w:lang w:val="en-GB"/>
                        </w:rPr>
                      </m:ctrlPr>
                    </m:sSubSupPr>
                    <m:e>
                      <m:r>
                        <w:rPr>
                          <w:rFonts w:ascii="Cambria Math" w:eastAsiaTheme="minorEastAsia" w:hAnsi="Cambria Math"/>
                          <w:lang w:val="en-GB"/>
                        </w:rPr>
                        <m:t>ω</m:t>
                      </m:r>
                    </m:e>
                    <m:sub>
                      <m:r>
                        <w:rPr>
                          <w:rFonts w:ascii="Cambria Math" w:eastAsiaTheme="minorEastAsia" w:hAnsi="Cambria Math"/>
                          <w:lang w:val="en-GB"/>
                        </w:rPr>
                        <m:t>t</m:t>
                      </m:r>
                    </m:sub>
                    <m:sup>
                      <m:r>
                        <w:rPr>
                          <w:rFonts w:ascii="Cambria Math" w:eastAsiaTheme="minorEastAsia" w:hAnsi="Cambria Math"/>
                          <w:lang w:val="en-GB"/>
                        </w:rPr>
                        <m:t>MDi</m:t>
                      </m:r>
                    </m:sup>
                  </m:sSubSup>
                  <m:sSup>
                    <m:sSupPr>
                      <m:ctrlPr>
                        <w:rPr>
                          <w:rFonts w:ascii="Cambria Math" w:eastAsiaTheme="minorEastAsia" w:hAnsi="Cambria Math"/>
                          <w:i/>
                          <w:lang w:val="en-GB"/>
                        </w:rPr>
                      </m:ctrlPr>
                    </m:sSupPr>
                    <m:e>
                      <m:r>
                        <w:rPr>
                          <w:rFonts w:ascii="Cambria Math" w:eastAsiaTheme="minorEastAsia" w:hAnsi="Cambria Math"/>
                          <w:lang w:val="en-GB"/>
                        </w:rPr>
                        <m:t>E</m:t>
                      </m:r>
                    </m:e>
                    <m:sup>
                      <m:r>
                        <w:rPr>
                          <w:rFonts w:ascii="Cambria Math" w:eastAsiaTheme="minorEastAsia" w:hAnsi="Cambria Math"/>
                          <w:lang w:val="en-GB"/>
                        </w:rPr>
                        <m:t>MDi</m:t>
                      </m:r>
                    </m:sup>
                  </m:sSup>
                  <m:d>
                    <m:dPr>
                      <m:ctrlPr>
                        <w:rPr>
                          <w:rFonts w:ascii="Cambria Math" w:eastAsiaTheme="minorEastAsia" w:hAnsi="Cambria Math"/>
                          <w:i/>
                          <w:lang w:val="en-GB"/>
                        </w:rPr>
                      </m:ctrlPr>
                    </m:dPr>
                    <m:e>
                      <m:r>
                        <w:rPr>
                          <w:rFonts w:ascii="Cambria Math" w:eastAsiaTheme="minorEastAsia" w:hAnsi="Cambria Math"/>
                          <w:lang w:val="en-GB"/>
                        </w:rPr>
                        <m:t>t</m:t>
                      </m:r>
                    </m:e>
                  </m:d>
                </m:e>
              </m:nary>
              <m:r>
                <w:rPr>
                  <w:rFonts w:ascii="Cambria Math" w:eastAsiaTheme="minorEastAsia" w:hAnsi="Cambria Math"/>
                  <w:lang w:val="en-GB"/>
                </w:rPr>
                <m:t xml:space="preserve"> </m:t>
              </m:r>
              <m:d>
                <m:dPr>
                  <m:begChr m:val="["/>
                  <m:endChr m:val="]"/>
                  <m:ctrlPr>
                    <w:rPr>
                      <w:rFonts w:ascii="Cambria Math" w:eastAsiaTheme="minorEastAsia" w:hAnsi="Cambria Math"/>
                      <w:i/>
                      <w:lang w:val="en-GB"/>
                    </w:rPr>
                  </m:ctrlPr>
                </m:dPr>
                <m:e>
                  <m:f>
                    <m:fPr>
                      <m:ctrlPr>
                        <w:rPr>
                          <w:rFonts w:ascii="Cambria Math" w:eastAsiaTheme="minorEastAsia" w:hAnsi="Cambria Math"/>
                          <w:i/>
                          <w:lang w:val="en-GB"/>
                        </w:rPr>
                      </m:ctrlPr>
                    </m:fPr>
                    <m:num>
                      <m:r>
                        <w:rPr>
                          <w:rFonts w:ascii="Cambria Math" w:eastAsiaTheme="minorEastAsia" w:hAnsi="Cambria Math"/>
                          <w:lang w:val="en-GB"/>
                        </w:rPr>
                        <m:t>Wh</m:t>
                      </m:r>
                    </m:num>
                    <m:den>
                      <m:r>
                        <w:rPr>
                          <w:rFonts w:ascii="Cambria Math" w:eastAsiaTheme="minorEastAsia" w:hAnsi="Cambria Math"/>
                          <w:lang w:val="en-GB"/>
                        </w:rPr>
                        <m:t>product</m:t>
                      </m:r>
                    </m:den>
                  </m:f>
                </m:e>
              </m:d>
            </m:oMath>
            <w:r w:rsidR="00DA3E7D">
              <w:rPr>
                <w:rFonts w:eastAsiaTheme="minorEastAsia"/>
                <w:lang w:val="en-GB"/>
              </w:rPr>
              <w:t>.</w:t>
            </w:r>
          </w:p>
        </w:tc>
        <w:tc>
          <w:tcPr>
            <w:tcW w:w="737" w:type="dxa"/>
            <w:vAlign w:val="center"/>
          </w:tcPr>
          <w:p w14:paraId="0E7E0596" w14:textId="4999EDF4" w:rsidR="00DA3E7D" w:rsidRDefault="00043DEB" w:rsidP="00A4492A">
            <w:pPr>
              <w:jc w:val="right"/>
            </w:pPr>
            <w:r>
              <w:rPr>
                <w:szCs w:val="24"/>
              </w:rPr>
              <w:t>(</w:t>
            </w:r>
            <w:r w:rsidR="00427B33">
              <w:fldChar w:fldCharType="begin"/>
            </w:r>
            <w:r w:rsidR="00427B33">
              <w:instrText xml:space="preserve"> STYLEREF 1 \s </w:instrText>
            </w:r>
            <w:r w:rsidR="00427B33">
              <w:fldChar w:fldCharType="separate"/>
            </w:r>
            <w:r w:rsidR="00587AF0">
              <w:rPr>
                <w:noProof/>
              </w:rPr>
              <w:t>11</w:t>
            </w:r>
            <w:r w:rsidR="00427B33">
              <w:rPr>
                <w:noProof/>
              </w:rPr>
              <w:fldChar w:fldCharType="end"/>
            </w:r>
            <w:r>
              <w:t>.</w:t>
            </w:r>
            <w:r w:rsidR="00427B33">
              <w:fldChar w:fldCharType="begin"/>
            </w:r>
            <w:r w:rsidR="00427B33">
              <w:instrText xml:space="preserve"> </w:instrText>
            </w:r>
            <w:r w:rsidR="00427B33">
              <w:instrText xml:space="preserve">SEQ Equation \* ARABIC \s 1 </w:instrText>
            </w:r>
            <w:r w:rsidR="00427B33">
              <w:fldChar w:fldCharType="separate"/>
            </w:r>
            <w:r w:rsidR="00587AF0">
              <w:rPr>
                <w:noProof/>
              </w:rPr>
              <w:t>1</w:t>
            </w:r>
            <w:r w:rsidR="00427B33">
              <w:rPr>
                <w:noProof/>
              </w:rPr>
              <w:fldChar w:fldCharType="end"/>
            </w:r>
            <w:r>
              <w:t>)</w:t>
            </w:r>
          </w:p>
        </w:tc>
      </w:tr>
    </w:tbl>
    <w:p w14:paraId="4831544E" w14:textId="0F476BAF" w:rsidR="00DA3E7D" w:rsidRDefault="00645D0B" w:rsidP="00DA3E7D">
      <w:pPr>
        <w:rPr>
          <w:lang w:val="en-GB"/>
        </w:rPr>
      </w:pPr>
      <w:r>
        <w:rPr>
          <w:lang w:val="en-GB"/>
        </w:rPr>
        <w:t xml:space="preserve">The </w:t>
      </w:r>
      <w:r w:rsidR="00DA3E7D">
        <w:rPr>
          <w:lang w:val="en-GB"/>
        </w:rPr>
        <w:t>pre-defined thresholds (EEI</w:t>
      </w:r>
      <w:r w:rsidR="00DA3E7D">
        <w:rPr>
          <w:vertAlign w:val="subscript"/>
          <w:lang w:val="en-GB"/>
        </w:rPr>
        <w:t>threshold</w:t>
      </w:r>
      <w:r w:rsidR="00DA3E7D">
        <w:rPr>
          <w:lang w:val="en-GB"/>
        </w:rPr>
        <w:t xml:space="preserve">) </w:t>
      </w:r>
      <w:r>
        <w:rPr>
          <w:lang w:val="en-GB"/>
        </w:rPr>
        <w:t xml:space="preserve">are set </w:t>
      </w:r>
      <w:r w:rsidR="00DA3E7D">
        <w:rPr>
          <w:lang w:val="en-GB"/>
        </w:rPr>
        <w:t xml:space="preserve">for determining </w:t>
      </w:r>
      <w:r>
        <w:rPr>
          <w:lang w:val="en-GB"/>
        </w:rPr>
        <w:t xml:space="preserve">the </w:t>
      </w:r>
      <w:r w:rsidR="00DA3E7D">
        <w:rPr>
          <w:lang w:val="en-GB"/>
        </w:rPr>
        <w:t xml:space="preserve">Remaining Energy Efficient Lifetime (REEL), </w:t>
      </w:r>
      <w:r>
        <w:rPr>
          <w:lang w:val="en-GB"/>
        </w:rPr>
        <w:t xml:space="preserve">earlier explained as </w:t>
      </w:r>
      <w:r w:rsidR="00DA3E7D">
        <w:rPr>
          <w:lang w:val="en-GB"/>
        </w:rPr>
        <w:t>MREEL, QREEL</w:t>
      </w:r>
      <w:r>
        <w:rPr>
          <w:lang w:val="en-GB"/>
        </w:rPr>
        <w:t>.</w:t>
      </w:r>
    </w:p>
    <w:p w14:paraId="41FAC143" w14:textId="7EB6BDDB" w:rsidR="00645D0B" w:rsidRDefault="00210CB7" w:rsidP="00DA3E7D">
      <w:pPr>
        <w:rPr>
          <w:rFonts w:cs="Arial"/>
          <w:lang w:val="en-GB"/>
        </w:rPr>
      </w:pPr>
      <w:r>
        <w:rPr>
          <w:rFonts w:cs="Arial"/>
          <w:lang w:val="en-GB"/>
        </w:rPr>
        <w:t>Other propositional concepts are</w:t>
      </w:r>
      <w:r w:rsidR="00645D0B">
        <w:rPr>
          <w:rFonts w:cs="Arial"/>
          <w:lang w:val="en-GB"/>
        </w:rPr>
        <w:t xml:space="preserve"> related to maintenance optimisation activities to preserve energy consumption, such as MEC. The MEC (Maintenance Energy Cost) is proposed by Mokhtari &amp; Hasani </w:t>
      </w:r>
      <w:r w:rsidR="00645D0B">
        <w:rPr>
          <w:rFonts w:cs="Arial"/>
          <w:lang w:val="en-GB"/>
        </w:rPr>
        <w:fldChar w:fldCharType="begin" w:fldLock="1"/>
      </w:r>
      <w:r w:rsidR="00204994">
        <w:rPr>
          <w:rFonts w:cs="Arial"/>
          <w:lang w:val="en-GB"/>
        </w:rPr>
        <w:instrText>ADDIN CSL_CITATION {"citationItems":[{"id":"ITEM-1","itemData":{"DOI":"10.1016/j.compchemeng.2017.05.004","ISSN":"00981354","abstract":"In recent years there has been increased concern on energy efficiency of industries. Since the scheduling problems in the shop floors are directly related to the energy consumption, an appropriate way to improve energy efficiency in industrial plants is to develop effective scheduling strategies. Hence, the aim of this paper is to design an energy-efficient scheduling in a shop floor industrial environment, i.e., flexible job-shop scheduling problem (FJSP). To this end, a multi-objective optimization model is developed with three objective functions: (i) minimizing total completion time, (ii) maximizing the total availability of the system, and (iii) minimizing total energy cost of both production and maintenance operations in the FJSP. To cope with this multi-objective optimization problem, an enhanced evolutionary algorithm incorporated with the global criterion, as a multi-objective handling technique, is proposed and then performance evaluation is performed based on an extensive numerical analysis.","author":[{"dropping-particle":"","family":"Mokhtari","given":"Hadi","non-dropping-particle":"","parse-names":false,"suffix":""},{"dropping-particle":"","family":"Hasani","given":"Aliakbar","non-dropping-particle":"","parse-names":false,"suffix":""}],"container-title":"Computers &amp; Chemical Engineering","id":"ITEM-1","issued":{"date-parts":[["2017","9"]]},"note":"- Maintenance operations scheduling problem.\n- Using energy cost as objective function.\n- Using reliability concept.\n- Evolutionary algorithms\n- No sensitivity analysis\n- Performance evaluation on numerical experiment.\n-","page":"339-352","publisher":"Elsevier Ltd","title":"An energy-efficient multi-objective optimization for flexible job-shop scheduling problem","type":"article-journal","volume":"104"},"uris":["http://www.mendeley.com/documents/?uuid=51c0264e-148b-4b26-a600-d3875a5f9012"]}],"mendeley":{"formattedCitation":"[138]","plainTextFormattedCitation":"[138]","previouslyFormattedCitation":"[138]"},"properties":{"noteIndex":0},"schema":"https://github.com/citation-style-language/schema/raw/master/csl-citation.json"}</w:instrText>
      </w:r>
      <w:r w:rsidR="00645D0B">
        <w:rPr>
          <w:rFonts w:cs="Arial"/>
          <w:lang w:val="en-GB"/>
        </w:rPr>
        <w:fldChar w:fldCharType="separate"/>
      </w:r>
      <w:r w:rsidR="00645D0B" w:rsidRPr="00645D0B">
        <w:rPr>
          <w:rFonts w:cs="Arial"/>
          <w:noProof/>
          <w:lang w:val="en-GB"/>
        </w:rPr>
        <w:t>[138]</w:t>
      </w:r>
      <w:r w:rsidR="00645D0B">
        <w:rPr>
          <w:rFonts w:cs="Arial"/>
          <w:lang w:val="en-GB"/>
        </w:rPr>
        <w:fldChar w:fldCharType="end"/>
      </w:r>
      <w:r w:rsidR="00645D0B">
        <w:rPr>
          <w:rFonts w:cs="Arial"/>
          <w:lang w:val="en-GB"/>
        </w:rPr>
        <w:t xml:space="preserve"> as a part of the Total Energy Cost (TEC) for operation and maintenance operations in flexible job-shop scheduling (FJSP) problem.</w:t>
      </w:r>
    </w:p>
    <w:tbl>
      <w:tblPr>
        <w:tblW w:w="0" w:type="auto"/>
        <w:tblLook w:val="04A0" w:firstRow="1" w:lastRow="0" w:firstColumn="1" w:lastColumn="0" w:noHBand="0" w:noVBand="1"/>
      </w:tblPr>
      <w:tblGrid>
        <w:gridCol w:w="8280"/>
        <w:gridCol w:w="746"/>
      </w:tblGrid>
      <w:tr w:rsidR="00DA3E7D" w14:paraId="5708C43E" w14:textId="77777777" w:rsidTr="00A4492A">
        <w:tc>
          <w:tcPr>
            <w:tcW w:w="8280" w:type="dxa"/>
            <w:vAlign w:val="center"/>
          </w:tcPr>
          <w:p w14:paraId="277C1DE9" w14:textId="77777777" w:rsidR="00DA3E7D" w:rsidRPr="001756CC" w:rsidRDefault="00DA3E7D" w:rsidP="00A4492A">
            <w:pPr>
              <w:jc w:val="center"/>
              <w:rPr>
                <w:i/>
                <w:lang w:val="en-GB"/>
              </w:rPr>
            </w:pPr>
            <m:oMathPara>
              <m:oMath>
                <m:r>
                  <w:rPr>
                    <w:rFonts w:ascii="Cambria Math" w:hAnsi="Cambria Math"/>
                    <w:lang w:val="en-GB"/>
                  </w:rPr>
                  <m:t>MEC=</m:t>
                </m:r>
                <m:nary>
                  <m:naryPr>
                    <m:chr m:val="∑"/>
                    <m:limLoc m:val="undOvr"/>
                    <m:supHide m:val="1"/>
                    <m:ctrlPr>
                      <w:rPr>
                        <w:rFonts w:ascii="Cambria Math" w:hAnsi="Cambria Math"/>
                        <w:i/>
                        <w:lang w:val="en-GB"/>
                      </w:rPr>
                    </m:ctrlPr>
                  </m:naryPr>
                  <m:sub>
                    <m:r>
                      <w:rPr>
                        <w:rFonts w:ascii="Cambria Math" w:hAnsi="Cambria Math"/>
                        <w:lang w:val="en-GB"/>
                      </w:rPr>
                      <m:t>i</m:t>
                    </m:r>
                  </m:sub>
                  <m:sup/>
                  <m:e>
                    <m:nary>
                      <m:naryPr>
                        <m:chr m:val="∑"/>
                        <m:limLoc m:val="undOvr"/>
                        <m:supHide m:val="1"/>
                        <m:ctrlPr>
                          <w:rPr>
                            <w:rFonts w:ascii="Cambria Math" w:hAnsi="Cambria Math"/>
                            <w:i/>
                            <w:lang w:val="en-GB"/>
                          </w:rPr>
                        </m:ctrlPr>
                      </m:naryPr>
                      <m:sub>
                        <m:r>
                          <w:rPr>
                            <w:rFonts w:ascii="Cambria Math" w:hAnsi="Cambria Math"/>
                            <w:lang w:val="en-GB"/>
                          </w:rPr>
                          <m:t>l</m:t>
                        </m:r>
                      </m:sub>
                      <m:sup/>
                      <m:e>
                        <m:nary>
                          <m:naryPr>
                            <m:chr m:val="∑"/>
                            <m:limLoc m:val="undOvr"/>
                            <m:supHide m:val="1"/>
                            <m:ctrlPr>
                              <w:rPr>
                                <w:rFonts w:ascii="Cambria Math" w:hAnsi="Cambria Math"/>
                                <w:i/>
                                <w:lang w:val="en-GB"/>
                              </w:rPr>
                            </m:ctrlPr>
                          </m:naryPr>
                          <m:sub>
                            <m:r>
                              <w:rPr>
                                <w:rFonts w:ascii="Cambria Math" w:hAnsi="Cambria Math"/>
                                <w:lang w:val="en-GB"/>
                              </w:rPr>
                              <m:t>p</m:t>
                            </m:r>
                          </m:sub>
                          <m:sup/>
                          <m:e>
                            <m:sSubSup>
                              <m:sSubSupPr>
                                <m:ctrlPr>
                                  <w:rPr>
                                    <w:rFonts w:ascii="Cambria Math" w:hAnsi="Cambria Math"/>
                                    <w:i/>
                                    <w:lang w:val="en-GB"/>
                                  </w:rPr>
                                </m:ctrlPr>
                              </m:sSubSupPr>
                              <m:e>
                                <m:r>
                                  <w:rPr>
                                    <w:rFonts w:ascii="Cambria Math" w:hAnsi="Cambria Math"/>
                                    <w:lang w:val="en-GB"/>
                                  </w:rPr>
                                  <m:t>Z</m:t>
                                </m:r>
                              </m:e>
                              <m:sub>
                                <m:r>
                                  <w:rPr>
                                    <w:rFonts w:ascii="Cambria Math" w:hAnsi="Cambria Math"/>
                                    <w:lang w:val="en-GB"/>
                                  </w:rPr>
                                  <m:t>il</m:t>
                                </m:r>
                              </m:sub>
                              <m:sup>
                                <m:r>
                                  <w:rPr>
                                    <w:rFonts w:ascii="Cambria Math" w:hAnsi="Cambria Math"/>
                                    <w:lang w:val="en-GB"/>
                                  </w:rPr>
                                  <m:t>p</m:t>
                                </m:r>
                              </m:sup>
                            </m:sSubSup>
                            <m:sSub>
                              <m:sSubPr>
                                <m:ctrlPr>
                                  <w:rPr>
                                    <w:rFonts w:ascii="Cambria Math" w:hAnsi="Cambria Math"/>
                                    <w:i/>
                                    <w:lang w:val="en-GB"/>
                                  </w:rPr>
                                </m:ctrlPr>
                              </m:sSubPr>
                              <m:e>
                                <m:r>
                                  <w:rPr>
                                    <w:rFonts w:ascii="Cambria Math" w:hAnsi="Cambria Math"/>
                                    <w:lang w:val="en-GB"/>
                                  </w:rPr>
                                  <m:t>e</m:t>
                                </m:r>
                              </m:e>
                              <m:sub>
                                <m:r>
                                  <w:rPr>
                                    <w:rFonts w:ascii="Cambria Math" w:hAnsi="Cambria Math"/>
                                    <w:lang w:val="en-GB"/>
                                  </w:rPr>
                                  <m:t>m</m:t>
                                </m:r>
                              </m:sub>
                            </m:sSub>
                            <m:sSubSup>
                              <m:sSubSupPr>
                                <m:ctrlPr>
                                  <w:rPr>
                                    <w:rFonts w:ascii="Cambria Math" w:hAnsi="Cambria Math"/>
                                    <w:i/>
                                    <w:lang w:val="en-GB"/>
                                  </w:rPr>
                                </m:ctrlPr>
                              </m:sSubSupPr>
                              <m:e>
                                <m:r>
                                  <w:rPr>
                                    <w:rFonts w:ascii="Cambria Math" w:hAnsi="Cambria Math"/>
                                    <w:lang w:val="en-GB"/>
                                  </w:rPr>
                                  <m:t>E</m:t>
                                </m:r>
                              </m:e>
                              <m:sub>
                                <m:r>
                                  <w:rPr>
                                    <w:rFonts w:ascii="Cambria Math" w:hAnsi="Cambria Math"/>
                                    <w:lang w:val="en-GB"/>
                                  </w:rPr>
                                  <m:t>i</m:t>
                                </m:r>
                              </m:sub>
                              <m:sup>
                                <m:r>
                                  <w:rPr>
                                    <w:rFonts w:ascii="Cambria Math" w:hAnsi="Cambria Math"/>
                                    <w:lang w:val="en-GB"/>
                                  </w:rPr>
                                  <m:t>p</m:t>
                                </m:r>
                              </m:sup>
                            </m:sSubSup>
                          </m:e>
                        </m:nary>
                      </m:e>
                    </m:nary>
                  </m:e>
                </m:nary>
              </m:oMath>
            </m:oMathPara>
          </w:p>
        </w:tc>
        <w:tc>
          <w:tcPr>
            <w:tcW w:w="737" w:type="dxa"/>
            <w:vAlign w:val="center"/>
          </w:tcPr>
          <w:p w14:paraId="5F944ADC" w14:textId="088DDF3C" w:rsidR="00DA3E7D" w:rsidRDefault="00043DEB" w:rsidP="00A4492A">
            <w:pPr>
              <w:jc w:val="right"/>
            </w:pPr>
            <w:r>
              <w:rPr>
                <w:szCs w:val="24"/>
              </w:rPr>
              <w:t>(</w:t>
            </w:r>
            <w:r w:rsidR="00427B33">
              <w:fldChar w:fldCharType="begin"/>
            </w:r>
            <w:r w:rsidR="00427B33">
              <w:instrText xml:space="preserve"> STYLEREF 1 \s </w:instrText>
            </w:r>
            <w:r w:rsidR="00427B33">
              <w:fldChar w:fldCharType="separate"/>
            </w:r>
            <w:r w:rsidR="00587AF0">
              <w:rPr>
                <w:noProof/>
              </w:rPr>
              <w:t>11</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2</w:t>
            </w:r>
            <w:r w:rsidR="00427B33">
              <w:rPr>
                <w:noProof/>
              </w:rPr>
              <w:fldChar w:fldCharType="end"/>
            </w:r>
            <w:r>
              <w:t>)</w:t>
            </w:r>
          </w:p>
        </w:tc>
      </w:tr>
    </w:tbl>
    <w:p w14:paraId="7B566508" w14:textId="0AD96E6C" w:rsidR="00645D0B" w:rsidRDefault="00DA3E7D" w:rsidP="00DA3E7D">
      <w:pPr>
        <w:rPr>
          <w:lang w:val="en-GB"/>
        </w:rPr>
      </w:pPr>
      <w:r>
        <w:rPr>
          <w:lang w:val="en-GB"/>
        </w:rPr>
        <w:t xml:space="preserve">Where </w:t>
      </w:r>
      <w:r w:rsidRPr="00EE4607">
        <w:rPr>
          <w:i/>
          <w:iCs/>
          <w:lang w:val="en-GB"/>
        </w:rPr>
        <w:t>e</w:t>
      </w:r>
      <w:r w:rsidRPr="00EE4607">
        <w:rPr>
          <w:i/>
          <w:iCs/>
          <w:vertAlign w:val="subscript"/>
          <w:lang w:val="en-GB"/>
        </w:rPr>
        <w:t>m</w:t>
      </w:r>
      <w:r>
        <w:rPr>
          <w:lang w:val="en-GB"/>
        </w:rPr>
        <w:t xml:space="preserve"> represents the unit energy cost for maintenance operations, </w:t>
      </w:r>
      <w:r>
        <w:rPr>
          <w:i/>
          <w:iCs/>
          <w:lang w:val="en-GB"/>
        </w:rPr>
        <w:t>E</w:t>
      </w:r>
      <w:r>
        <w:rPr>
          <w:i/>
          <w:iCs/>
          <w:vertAlign w:val="subscript"/>
          <w:lang w:val="en-GB"/>
        </w:rPr>
        <w:t>i</w:t>
      </w:r>
      <w:r>
        <w:rPr>
          <w:i/>
          <w:iCs/>
          <w:vertAlign w:val="superscript"/>
          <w:lang w:val="en-GB"/>
        </w:rPr>
        <w:t>p</w:t>
      </w:r>
      <w:r>
        <w:rPr>
          <w:i/>
          <w:iCs/>
          <w:lang w:val="en-GB"/>
        </w:rPr>
        <w:t xml:space="preserve"> </w:t>
      </w:r>
      <w:r w:rsidRPr="00392BF2">
        <w:rPr>
          <w:lang w:val="en-GB"/>
        </w:rPr>
        <w:t>energy consumption for maintenance operations,</w:t>
      </w:r>
      <w:r>
        <w:rPr>
          <w:lang w:val="en-GB"/>
        </w:rPr>
        <w:t xml:space="preserve"> </w:t>
      </w:r>
      <w:r>
        <w:rPr>
          <w:i/>
          <w:iCs/>
          <w:lang w:val="en-GB"/>
        </w:rPr>
        <w:t>Z</w:t>
      </w:r>
      <w:r>
        <w:rPr>
          <w:i/>
          <w:iCs/>
          <w:vertAlign w:val="subscript"/>
          <w:lang w:val="en-GB"/>
        </w:rPr>
        <w:t>il</w:t>
      </w:r>
      <w:r>
        <w:rPr>
          <w:i/>
          <w:iCs/>
          <w:vertAlign w:val="superscript"/>
          <w:lang w:val="en-GB"/>
        </w:rPr>
        <w:t>p</w:t>
      </w:r>
      <w:r>
        <w:rPr>
          <w:lang w:val="en-GB"/>
        </w:rPr>
        <w:t xml:space="preserve"> indicates whether </w:t>
      </w:r>
      <w:r>
        <w:rPr>
          <w:i/>
          <w:iCs/>
          <w:lang w:val="en-GB"/>
        </w:rPr>
        <w:t>p</w:t>
      </w:r>
      <w:r>
        <w:rPr>
          <w:lang w:val="en-GB"/>
        </w:rPr>
        <w:t xml:space="preserve">th maintenance operation is performed on </w:t>
      </w:r>
      <w:r>
        <w:rPr>
          <w:i/>
          <w:iCs/>
          <w:lang w:val="en-GB"/>
        </w:rPr>
        <w:t>l</w:t>
      </w:r>
      <w:r>
        <w:rPr>
          <w:lang w:val="en-GB"/>
        </w:rPr>
        <w:t xml:space="preserve">th maintenance interval of </w:t>
      </w:r>
      <w:r>
        <w:rPr>
          <w:i/>
          <w:iCs/>
          <w:lang w:val="en-GB"/>
        </w:rPr>
        <w:t>M</w:t>
      </w:r>
      <w:r>
        <w:rPr>
          <w:i/>
          <w:iCs/>
          <w:vertAlign w:val="subscript"/>
          <w:lang w:val="en-GB"/>
        </w:rPr>
        <w:t>i</w:t>
      </w:r>
      <w:r>
        <w:rPr>
          <w:lang w:val="en-GB"/>
        </w:rPr>
        <w:t xml:space="preserve"> (</w:t>
      </w:r>
      <w:r>
        <w:rPr>
          <w:i/>
          <w:iCs/>
          <w:lang w:val="en-GB"/>
        </w:rPr>
        <w:t>Z</w:t>
      </w:r>
      <w:r>
        <w:rPr>
          <w:i/>
          <w:iCs/>
          <w:vertAlign w:val="subscript"/>
          <w:lang w:val="en-GB"/>
        </w:rPr>
        <w:t>il</w:t>
      </w:r>
      <w:r>
        <w:rPr>
          <w:i/>
          <w:iCs/>
          <w:vertAlign w:val="superscript"/>
          <w:lang w:val="en-GB"/>
        </w:rPr>
        <w:t>p</w:t>
      </w:r>
      <w:r>
        <w:rPr>
          <w:lang w:val="en-GB"/>
        </w:rPr>
        <w:t>=1) or not (</w:t>
      </w:r>
      <w:r>
        <w:rPr>
          <w:i/>
          <w:iCs/>
          <w:lang w:val="en-GB"/>
        </w:rPr>
        <w:t>Z</w:t>
      </w:r>
      <w:r>
        <w:rPr>
          <w:i/>
          <w:iCs/>
          <w:vertAlign w:val="subscript"/>
          <w:lang w:val="en-GB"/>
        </w:rPr>
        <w:t>il</w:t>
      </w:r>
      <w:r>
        <w:rPr>
          <w:i/>
          <w:iCs/>
          <w:vertAlign w:val="superscript"/>
          <w:lang w:val="en-GB"/>
        </w:rPr>
        <w:t>p</w:t>
      </w:r>
      <w:r>
        <w:rPr>
          <w:lang w:val="en-GB"/>
        </w:rPr>
        <w:t>=0). Hence, mathematical modelling done at the operational level includes modelling the direct relationship between degradation and energy consumption patterns</w:t>
      </w:r>
      <w:r w:rsidR="00645D0B">
        <w:rPr>
          <w:lang w:val="en-GB"/>
        </w:rPr>
        <w:t>. In contrast,</w:t>
      </w:r>
      <w:r>
        <w:rPr>
          <w:lang w:val="en-GB"/>
        </w:rPr>
        <w:t xml:space="preserve"> at the tactical level, models are done more on a statistical basis from a perspective </w:t>
      </w:r>
      <w:r w:rsidR="00645D0B">
        <w:rPr>
          <w:lang w:val="en-GB"/>
        </w:rPr>
        <w:t>of operational and maintenance activities with the aim of energy preservations in terms of optimising activities and not relying on monitoring energy consumption directly.</w:t>
      </w:r>
    </w:p>
    <w:p w14:paraId="4A60A7ED" w14:textId="4265363E" w:rsidR="00DA3E7D" w:rsidRPr="00AC228B" w:rsidRDefault="00DA3E7D" w:rsidP="00645D0B">
      <w:pPr>
        <w:pStyle w:val="Heading3"/>
        <w:rPr>
          <w:lang w:val="sr-Latn-RS"/>
        </w:rPr>
      </w:pPr>
      <w:bookmarkStart w:id="793" w:name="_Toc93759892"/>
      <w:bookmarkStart w:id="794" w:name="_Toc93759996"/>
      <w:bookmarkStart w:id="795" w:name="_Toc101274430"/>
      <w:r>
        <w:rPr>
          <w:lang w:val="sr-Latn-RS"/>
        </w:rPr>
        <w:lastRenderedPageBreak/>
        <w:t xml:space="preserve">Strategical level </w:t>
      </w:r>
      <w:bookmarkEnd w:id="793"/>
      <w:bookmarkEnd w:id="794"/>
      <w:r w:rsidR="00CA53EE">
        <w:rPr>
          <w:lang w:val="sr-Latn-RS"/>
        </w:rPr>
        <w:t>of MDM considering EBM achievements</w:t>
      </w:r>
      <w:bookmarkEnd w:id="795"/>
    </w:p>
    <w:p w14:paraId="79170304" w14:textId="41F0DB03" w:rsidR="00DA3E7D" w:rsidRDefault="00DA3E7D" w:rsidP="00DA3E7D">
      <w:pPr>
        <w:rPr>
          <w:rFonts w:cs="Arial"/>
          <w:lang w:val="en-GB"/>
        </w:rPr>
      </w:pPr>
      <w:r w:rsidRPr="00E1026A">
        <w:rPr>
          <w:rFonts w:cs="Arial"/>
          <w:lang w:val="en-GB"/>
        </w:rPr>
        <w:t xml:space="preserve">On-going </w:t>
      </w:r>
      <w:r w:rsidR="00204994">
        <w:rPr>
          <w:rFonts w:cs="Arial"/>
          <w:lang w:val="en-GB"/>
        </w:rPr>
        <w:t>energy-dedicated or sustainable maintenance</w:t>
      </w:r>
      <w:r w:rsidRPr="00E1026A">
        <w:rPr>
          <w:rFonts w:cs="Arial"/>
          <w:lang w:val="en-GB"/>
        </w:rPr>
        <w:t xml:space="preserve"> research studies </w:t>
      </w:r>
      <w:r>
        <w:rPr>
          <w:rFonts w:cs="Arial"/>
          <w:lang w:val="en-GB"/>
        </w:rPr>
        <w:t xml:space="preserve">concerned with the research on a strategic level mostly </w:t>
      </w:r>
      <w:r w:rsidR="00204994">
        <w:rPr>
          <w:rFonts w:cs="Arial"/>
          <w:lang w:val="en-GB"/>
        </w:rPr>
        <w:t>deal with the</w:t>
      </w:r>
      <w:r>
        <w:rPr>
          <w:rFonts w:cs="Arial"/>
          <w:lang w:val="en-GB"/>
        </w:rPr>
        <w:t xml:space="preserve"> energy aspect as an optimisation variable or an objective </w:t>
      </w:r>
      <w:r w:rsidR="00204994">
        <w:rPr>
          <w:rFonts w:cs="Arial"/>
          <w:lang w:val="en-GB"/>
        </w:rPr>
        <w:t>indicator</w:t>
      </w:r>
      <w:r>
        <w:rPr>
          <w:rFonts w:cs="Arial"/>
          <w:lang w:val="en-GB"/>
        </w:rPr>
        <w:t xml:space="preserve"> </w:t>
      </w:r>
      <w:r>
        <w:rPr>
          <w:rFonts w:cs="Arial"/>
          <w:lang w:val="en-GB"/>
        </w:rPr>
        <w:fldChar w:fldCharType="begin" w:fldLock="1"/>
      </w:r>
      <w:r w:rsidR="00645D0B">
        <w:rPr>
          <w:rFonts w:cs="Arial"/>
          <w:lang w:val="en-GB"/>
        </w:rPr>
        <w:instrText>ADDIN CSL_CITATION {"citationItems":[{"id":"ITEM-1","itemData":{"DOI":"10.3926/jiem.2649","ISSN":"2013-0953","abstract":"Purpose: In order to improve the energy utilization and achieve sustainable development, this paper integrates energy efficiency into condition-based maintenance(CBM) decision-making for two-component parallel systems. The objective is to obtain the optimal maintenance policy by minimizing total cost.Design/methodology/approach: Based on energy efficiency, the paper considers the economic dependence between the two components to take opportunistic maintenance. Specifically, the objective function consists of traditional maintenance cost and energy cost incurred by energy consumption of components. In order to assess the performance of the proposed new maintenance policy, the paper uses Monte-Carlo method to evaluate the total cost and find the optimal maintenance policy.Findings: Simulation results indicate that the new maintenance policy is superior to the classical condition-based opportunistic maintenance policy in terms of total economic costs.Originality/value: For two-component parallel systems, previous researches usually simply establish a condition-based opportunistic maintenance model based on real deterioration data, but ignore energy consumption, energy efficiency (EE) and their contributions of sustainable development. This paper creatively takes energy efficiency into condition-based maintenance(CBM) decision-making process, and proposes a new condition-based opportunistic maintenance policy by using energy efficiency indicator(EEI).","author":[{"dropping-particle":"","family":"Jiang","given":"Aiping","non-dropping-particle":"","parse-names":false,"suffix":""},{"dropping-particle":"","family":"Wang","given":"Yuanyuan","non-dropping-particle":"","parse-names":false,"suffix":""},{"dropping-particle":"","family":"Cheng","given":"Yide","non-dropping-particle":"","parse-names":false,"suffix":""}],"container-title":"Journal of Industrial Engineering and Management","id":"ITEM-1","issue":"4","issued":{"date-parts":[["2018","10","24"]]},"note":"Thus, the aim of the article is to propose a new maintenance model with ecological consciousness for two-component parallel systems, which can improve the energy utilization and achieve sustainable development.\n- In addition, they can integrate energy efficiency into maintenance decision-making if possible.\nIn addition, indicators that energy efficiency and any other ecological impacts will be taken into maintenance decision-making. This would be a rather interesting research field in the future.","page":"749","title":"A condition-based opportunistic maintenance policy integrated with energy efficiency for two-component parallel systems","type":"article-journal","volume":"11"},"uris":["http://www.mendeley.com/documents/?uuid=4b7e4c2b-d645-467e-8303-913756a09374"]},{"id":"ITEM-2","itemData":{"DOI":"10.1016/j.jclepro.2019.119791","ISSN":"09596526","abstract":"Nowadays the manufacturing enterprises are driven towards significant energy improvements by increasing energy costs and sustainability awareness, and energy consumption and energy efficiency are taking a more and more dominating position in the decision-making process of manufacturing enterprises. However, in the process of production, existing researches rarely integrate energy management with conducting preventive maintenance at the strategic level, ignoring energy-saving opportunities that may arise during machines’ downtime. This paper considers a serial production system with intermediate finite buffers. Based on the concept of “energy-saving opportunity window” and the modelling of the continuous deterioration process of each machine, the window of energy-saving opportunity of the production system is regarded as a window of opportunity for the preventive maintenance, thus a proactive preventive maintenance strategy is proposed. The serial production system is modeled and the impact of different maintenance thresholds on the energy efficiency is explored by means of Monte Carlo simulation. For purpose of maximizing the energy efficiency of the entire production system, an iterative algorithm for solving the optimal preventive maintenance thresholds is presented as well. The numerical analysis with other maintenance strategies shows that the proposed strategy is more competitive in improving the effective throughput while reducing the overall energy consumption.","author":[{"dropping-particle":"","family":"Zhou","given":"Binghai","non-dropping-particle":"","parse-names":false,"suffix":""},{"dropping-particle":"","family":"Qi","given":"Yi","non-dropping-particle":"","parse-names":false,"suffix":""},{"dropping-particle":"","family":"Liu","given":"Yuwang","non-dropping-particle":"","parse-names":false,"suffix":""}],"container-title":"Journal of Cleaner Production","id":"ITEM-2","issued":{"date-parts":[["2020"]]},"note":"Monte Carlo to help algorithm.\nAccording to the researches on the energy consumption unit time under different operating conditions of equipment, the equipment operating state is divided into the following stages: start-up, warm- up, normal operation, standby (idle) and shutdown.","title":"Proactive preventive maintenance policy for buffered serial production systems based on energy saving opportunistic windows","type":"article-journal","volume":"253"},"uris":["http://www.mendeley.com/documents/?uuid=bf853058-fc4a-490b-972f-6e25a6156239"]}],"mendeley":{"formattedCitation":"[112], [113]","plainTextFormattedCitation":"[112], [113]","previouslyFormattedCitation":"[112], [113]"},"properties":{"noteIndex":0},"schema":"https://github.com/citation-style-language/schema/raw/master/csl-citation.json"}</w:instrText>
      </w:r>
      <w:r>
        <w:rPr>
          <w:rFonts w:cs="Arial"/>
          <w:lang w:val="en-GB"/>
        </w:rPr>
        <w:fldChar w:fldCharType="separate"/>
      </w:r>
      <w:r w:rsidR="00416869" w:rsidRPr="00416869">
        <w:rPr>
          <w:rFonts w:cs="Arial"/>
          <w:noProof/>
          <w:lang w:val="en-GB"/>
        </w:rPr>
        <w:t>[112], [113]</w:t>
      </w:r>
      <w:r>
        <w:rPr>
          <w:rFonts w:cs="Arial"/>
          <w:lang w:val="en-GB"/>
        </w:rPr>
        <w:fldChar w:fldCharType="end"/>
      </w:r>
      <w:r>
        <w:rPr>
          <w:rFonts w:cs="Arial"/>
          <w:lang w:val="en-GB"/>
        </w:rPr>
        <w:t xml:space="preserve">. Both include the influence of maintenance activities and maintenance induced </w:t>
      </w:r>
      <w:r w:rsidR="00204994">
        <w:rPr>
          <w:rFonts w:cs="Arial"/>
          <w:lang w:val="en-GB"/>
        </w:rPr>
        <w:t>(</w:t>
      </w:r>
      <w:r>
        <w:rPr>
          <w:rFonts w:cs="Arial"/>
          <w:lang w:val="en-GB"/>
        </w:rPr>
        <w:t>energy</w:t>
      </w:r>
      <w:r w:rsidR="00204994">
        <w:rPr>
          <w:rFonts w:cs="Arial"/>
          <w:lang w:val="en-GB"/>
        </w:rPr>
        <w:t>)</w:t>
      </w:r>
      <w:r>
        <w:rPr>
          <w:rFonts w:cs="Arial"/>
          <w:lang w:val="en-GB"/>
        </w:rPr>
        <w:t xml:space="preserve"> costs for determining optimal maintenance </w:t>
      </w:r>
      <w:r w:rsidR="00204994">
        <w:rPr>
          <w:rFonts w:cs="Arial"/>
          <w:lang w:val="en-GB"/>
        </w:rPr>
        <w:t>plans</w:t>
      </w:r>
      <w:r>
        <w:rPr>
          <w:rFonts w:cs="Arial"/>
          <w:lang w:val="en-GB"/>
        </w:rPr>
        <w:t xml:space="preserve"> and optimisation </w:t>
      </w:r>
      <w:r w:rsidR="00204994">
        <w:rPr>
          <w:rFonts w:cs="Arial"/>
          <w:lang w:val="en-GB"/>
        </w:rPr>
        <w:t>activities</w:t>
      </w:r>
      <w:r>
        <w:rPr>
          <w:rFonts w:cs="Arial"/>
          <w:lang w:val="en-GB"/>
        </w:rPr>
        <w:t xml:space="preserve"> </w:t>
      </w:r>
      <w:r>
        <w:rPr>
          <w:rFonts w:cs="Arial"/>
          <w:lang w:val="en-GB"/>
        </w:rPr>
        <w:fldChar w:fldCharType="begin" w:fldLock="1"/>
      </w:r>
      <w:r w:rsidR="00204994">
        <w:rPr>
          <w:rFonts w:cs="Arial"/>
          <w:lang w:val="en-GB"/>
        </w:rPr>
        <w:instrText>ADDIN CSL_CITATION {"citationItems":[{"id":"ITEM-1","itemData":{"DOI":"10.1016/j.procir.2014.06.048","ISSN":"22128271","abstract":"The increasing awareness of environmental impacts along with the possible ecological impact reductions due to good maintenance leads to a demand for research about integration of ecological aspects in maintenance management. This paper investigates this by developing a framework that integrates ecological aspects in maintenance management. As such, an economic and ecological analysis tool, covering several maintenance policies, is developed. Based on the presented models it is possible to determine the optimal maintenance interval considering an economic, ecological and integrated optimum. Finally, the developed model is verified and validated by application to a case study of a cutting tool of a turning machine. © 2014 Elsevier B.V.","author":[{"dropping-particle":"","family":"Horenbeek","given":"Adriaan","non-dropping-particle":"Van","parse-names":false,"suffix":""},{"dropping-particle":"","family":"Kellens","given":"Karel","non-dropping-particle":"","parse-names":false,"suffix":""},{"dropping-particle":"","family":"Pintelon","given":"Liliane","non-dropping-particle":"","parse-names":false,"suffix":""},{"dropping-particle":"","family":"Duflou","given":"Joost R.","non-dropping-particle":"","parse-names":false,"suffix":""}],"container-title":"Procedia CIRP","id":"ITEM-1","issued":{"date-parts":[["2014"]]},"note":"The major objective of the research presented in this paper is to make an initial contribution towards the development of a model that integrates ecological aspects in maintenance decision making and optimisation.\nThe most frequent shortcomings can be summarized as follows:\n- The effect of lubricants or cooling fluids on the component aging speed or deterioration is not taken into account.\n- The influence of maintenance on the energy consumption during production is not investigated.","page":"343-348","publisher":"Elsevier B.V.","title":"Economic and environmental aware maintenance optimization","type":"article-journal","volume":"15"},"uris":["http://www.mendeley.com/documents/?uuid=fb2f1abe-9263-4f7d-951f-373aca9f190e"]}],"mendeley":{"formattedCitation":"[144]","plainTextFormattedCitation":"[144]","previouslyFormattedCitation":"[144]"},"properties":{"noteIndex":0},"schema":"https://github.com/citation-style-language/schema/raw/master/csl-citation.json"}</w:instrText>
      </w:r>
      <w:r>
        <w:rPr>
          <w:rFonts w:cs="Arial"/>
          <w:lang w:val="en-GB"/>
        </w:rPr>
        <w:fldChar w:fldCharType="separate"/>
      </w:r>
      <w:r w:rsidR="00645D0B" w:rsidRPr="00645D0B">
        <w:rPr>
          <w:rFonts w:cs="Arial"/>
          <w:noProof/>
          <w:lang w:val="en-GB"/>
        </w:rPr>
        <w:t>[144]</w:t>
      </w:r>
      <w:r>
        <w:rPr>
          <w:rFonts w:cs="Arial"/>
          <w:lang w:val="en-GB"/>
        </w:rPr>
        <w:fldChar w:fldCharType="end"/>
      </w:r>
      <w:r>
        <w:rPr>
          <w:rFonts w:cs="Arial"/>
          <w:lang w:val="en-GB"/>
        </w:rPr>
        <w:t>.</w:t>
      </w:r>
      <w:r w:rsidR="00204994">
        <w:rPr>
          <w:rFonts w:cs="Arial"/>
          <w:lang w:val="en-GB"/>
        </w:rPr>
        <w:t xml:space="preserve"> </w:t>
      </w:r>
      <w:r>
        <w:rPr>
          <w:rFonts w:cs="Arial"/>
          <w:lang w:val="en-GB"/>
        </w:rPr>
        <w:t xml:space="preserve">Proposed models include actions ranging from corrective to predictive while </w:t>
      </w:r>
      <w:r w:rsidR="00645D0B">
        <w:rPr>
          <w:rFonts w:cs="Arial"/>
          <w:lang w:val="en-GB"/>
        </w:rPr>
        <w:t>reducing</w:t>
      </w:r>
      <w:r>
        <w:rPr>
          <w:rFonts w:cs="Arial"/>
          <w:lang w:val="en-GB"/>
        </w:rPr>
        <w:t xml:space="preserve"> energy consumption and environmental impact </w:t>
      </w:r>
      <w:r>
        <w:rPr>
          <w:rFonts w:cs="Arial"/>
          <w:lang w:val="en-GB"/>
        </w:rPr>
        <w:fldChar w:fldCharType="begin" w:fldLock="1"/>
      </w:r>
      <w:r w:rsidR="00645D0B">
        <w:rPr>
          <w:rFonts w:cs="Arial"/>
          <w:lang w:val="en-GB"/>
        </w:rPr>
        <w:instrText>ADDIN CSL_CITATION {"citationItems":[{"id":"ITEM-1","itemData":{"DOI":"10.3390/pr6030025","ISSN":"2227-9717","abstract":"Energy saving is an important issue for any industrial sector; in particular, for the process industry, it can help to minimize both energy costs and environmental impact. Maintenance optimization and operational procedures can offer margins to increase energy efficiency in process plants, even if they are seldom explicitly taken into account in the predictive models guiding the energy saving policies. To ensure that the plant achieves the desired performance, maintenance operations and maintenance results should be monitored, and the connection between the inputs and the outcomes of the maintenance process, in terms of total contribution to manufacturing performance, should be explicit. In this study, a model for the energy efficiency analysis was developed, based on cost and benefits balance. It is aimed at supporting the decision making in terms of technical and operational solutions for energy efficiency, through the optimization of maintenance interventions and operational procedures. A case study is here described: the effects on energy efficiency of technical and operational optimization measures for bituminous materials production process equipment. The idea of the Conservation Supply Curve (CSC) was used to capture both the cost effectiveness of the measures and the energy efficiency effectiveness. The optimization was thus based on the energy consumption data registered on-site: data collection and modelling of the relevant data were used as a base to implement a prognostic and health management (PHM) policy in the company. Based on the results from the analysis, efficiency measures for the industrial case study were proposed, also in relation to maintenance optimization and operating procedures. In the end, the impacts of the implementation of energy saving measures on the performance of the system, in terms of technical and economic feasibility, were demonstrated. The results showed that maintenance optimization could help in reaching an energy costs recovery equal to the 10% of the total costs for an electric motor system.","author":[{"dropping-particle":"","family":"Demichela","given":"Micaela","non-dropping-particle":"","parse-names":false,"suffix":""},{"dropping-particle":"","family":"Baldissone","given":"Gabriele","non-dropping-particle":"","parse-names":false,"suffix":""},{"dropping-particle":"","family":"Darabnia","given":"Behnoush","non-dropping-particle":"","parse-names":false,"suffix":""}],"container-title":"Processes","id":"ITEM-1","issue":"3","issued":{"date-parts":[["2018","3","11"]]},"note":"- CCE model as the cost of conserved energy as an indicator of EE measure in euros per kWh.\n- tenfold energy cost recovery.\n- 10% increase with predictive maintenance program.","page":"25","title":"Using Field Data for Energy Efficiency Based on Maintenance and Operational Optimisation. A Step towards PHM in Process Plants","type":"article-journal","volume":"6"},"uris":["http://www.mendeley.com/documents/?uuid=58c76eea-fd71-4279-9bcf-785cfd95d2a9"]}],"mendeley":{"formattedCitation":"[116]","plainTextFormattedCitation":"[116]","previouslyFormattedCitation":"[116]"},"properties":{"noteIndex":0},"schema":"https://github.com/citation-style-language/schema/raw/master/csl-citation.json"}</w:instrText>
      </w:r>
      <w:r>
        <w:rPr>
          <w:rFonts w:cs="Arial"/>
          <w:lang w:val="en-GB"/>
        </w:rPr>
        <w:fldChar w:fldCharType="separate"/>
      </w:r>
      <w:r w:rsidR="00416869" w:rsidRPr="00416869">
        <w:rPr>
          <w:rFonts w:cs="Arial"/>
          <w:noProof/>
          <w:lang w:val="en-GB"/>
        </w:rPr>
        <w:t>[116]</w:t>
      </w:r>
      <w:r>
        <w:rPr>
          <w:rFonts w:cs="Arial"/>
          <w:lang w:val="en-GB"/>
        </w:rPr>
        <w:fldChar w:fldCharType="end"/>
      </w:r>
      <w:r>
        <w:rPr>
          <w:rFonts w:cs="Arial"/>
          <w:lang w:val="en-GB"/>
        </w:rPr>
        <w:t>. The model is based on the Conservation Supply Curve (CSC), which in return</w:t>
      </w:r>
      <w:r w:rsidR="0096458A">
        <w:rPr>
          <w:rFonts w:cs="Arial"/>
          <w:lang w:val="en-GB"/>
        </w:rPr>
        <w:t>,</w:t>
      </w:r>
      <w:r>
        <w:rPr>
          <w:rFonts w:cs="Arial"/>
          <w:lang w:val="en-GB"/>
        </w:rPr>
        <w:t xml:space="preserve"> demonstrates the impact of maintenance and productivity for energy saving, and is </w:t>
      </w:r>
      <w:r w:rsidR="00204994">
        <w:rPr>
          <w:rFonts w:cs="Arial"/>
          <w:lang w:val="en-GB"/>
        </w:rPr>
        <w:t>mathematically formulated</w:t>
      </w:r>
      <w:r>
        <w:rPr>
          <w:rFonts w:cs="Arial"/>
          <w:lang w:val="en-GB"/>
        </w:rPr>
        <w:t xml:space="preserve"> as:</w:t>
      </w:r>
    </w:p>
    <w:tbl>
      <w:tblPr>
        <w:tblW w:w="0" w:type="auto"/>
        <w:tblLook w:val="04A0" w:firstRow="1" w:lastRow="0" w:firstColumn="1" w:lastColumn="0" w:noHBand="0" w:noVBand="1"/>
      </w:tblPr>
      <w:tblGrid>
        <w:gridCol w:w="8280"/>
        <w:gridCol w:w="746"/>
      </w:tblGrid>
      <w:tr w:rsidR="00DA3E7D" w14:paraId="4BE20824" w14:textId="77777777" w:rsidTr="00A4492A">
        <w:tc>
          <w:tcPr>
            <w:tcW w:w="8280" w:type="dxa"/>
            <w:vAlign w:val="center"/>
          </w:tcPr>
          <w:p w14:paraId="02DB9B15" w14:textId="77777777" w:rsidR="00DA3E7D" w:rsidRPr="00BD47CD" w:rsidRDefault="00DA3E7D" w:rsidP="00A4492A">
            <w:pPr>
              <w:jc w:val="center"/>
              <w:rPr>
                <w:rFonts w:eastAsiaTheme="minorEastAsia" w:cs="Arial"/>
              </w:rPr>
            </w:pPr>
            <m:oMathPara>
              <m:oMath>
                <m:r>
                  <w:rPr>
                    <w:rFonts w:ascii="Cambria Math" w:hAnsi="Cambria Math"/>
                  </w:rPr>
                  <m:t>CCE=</m:t>
                </m:r>
                <m:f>
                  <m:fPr>
                    <m:ctrlPr>
                      <w:rPr>
                        <w:rFonts w:ascii="Cambria Math" w:hAnsi="Cambria Math"/>
                        <w:i/>
                      </w:rPr>
                    </m:ctrlPr>
                  </m:fPr>
                  <m:num>
                    <m:r>
                      <w:rPr>
                        <w:rFonts w:ascii="Cambria Math" w:hAnsi="Cambria Math"/>
                      </w:rPr>
                      <m:t>I</m:t>
                    </m:r>
                    <m:r>
                      <m:rPr>
                        <m:sty m:val="p"/>
                      </m:rPr>
                      <w:rPr>
                        <w:rFonts w:ascii="Cambria Math" w:hAnsi="Cambria Math"/>
                      </w:rPr>
                      <m:t>∙</m:t>
                    </m:r>
                    <m:r>
                      <w:rPr>
                        <w:rFonts w:ascii="Cambria Math" w:hAnsi="Cambria Math"/>
                      </w:rPr>
                      <m:t>q</m:t>
                    </m:r>
                    <m:r>
                      <m:rPr>
                        <m:sty m:val="p"/>
                      </m:rPr>
                      <w:rPr>
                        <w:rFonts w:ascii="Cambria Math" w:hAnsi="Cambria Math"/>
                      </w:rPr>
                      <m:t>+</m:t>
                    </m:r>
                    <m:r>
                      <w:rPr>
                        <w:rFonts w:ascii="Cambria Math" w:hAnsi="Cambria Math"/>
                      </w:rPr>
                      <m:t>M&amp;O</m:t>
                    </m:r>
                  </m:num>
                  <m:den>
                    <m:r>
                      <w:rPr>
                        <w:rFonts w:ascii="Cambria Math" w:hAnsi="Cambria Math"/>
                      </w:rPr>
                      <m:t>S</m:t>
                    </m:r>
                  </m:den>
                </m:f>
              </m:oMath>
            </m:oMathPara>
          </w:p>
        </w:tc>
        <w:tc>
          <w:tcPr>
            <w:tcW w:w="737" w:type="dxa"/>
            <w:vAlign w:val="center"/>
          </w:tcPr>
          <w:p w14:paraId="3DD91406" w14:textId="3A027F83" w:rsidR="00DA3E7D" w:rsidRDefault="00043DEB" w:rsidP="00A4492A">
            <w:pPr>
              <w:jc w:val="right"/>
            </w:pPr>
            <w:r>
              <w:rPr>
                <w:szCs w:val="24"/>
              </w:rPr>
              <w:t>(</w:t>
            </w:r>
            <w:r w:rsidR="00427B33">
              <w:fldChar w:fldCharType="begin"/>
            </w:r>
            <w:r w:rsidR="00427B33">
              <w:instrText xml:space="preserve"> STYLEREF 1 \s </w:instrText>
            </w:r>
            <w:r w:rsidR="00427B33">
              <w:fldChar w:fldCharType="separate"/>
            </w:r>
            <w:r w:rsidR="00587AF0">
              <w:rPr>
                <w:noProof/>
              </w:rPr>
              <w:t>11</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3</w:t>
            </w:r>
            <w:r w:rsidR="00427B33">
              <w:rPr>
                <w:noProof/>
              </w:rPr>
              <w:fldChar w:fldCharType="end"/>
            </w:r>
            <w:r>
              <w:t>)</w:t>
            </w:r>
          </w:p>
        </w:tc>
      </w:tr>
    </w:tbl>
    <w:p w14:paraId="1D565838" w14:textId="10683F8D" w:rsidR="00204994" w:rsidRDefault="00204994">
      <w:r w:rsidRPr="00204994">
        <w:t xml:space="preserve">given that </w:t>
      </w:r>
      <w:r w:rsidRPr="00204994">
        <w:rPr>
          <w:i/>
          <w:iCs/>
        </w:rPr>
        <w:t>CCE</w:t>
      </w:r>
      <w:r w:rsidRPr="00204994">
        <w:t xml:space="preserve"> is the cost of conserved energy [</w:t>
      </w:r>
      <w:r w:rsidRPr="00204994">
        <w:rPr>
          <w:i/>
          <w:iCs/>
        </w:rPr>
        <w:t>€/kWh</w:t>
      </w:r>
      <w:r w:rsidRPr="00204994">
        <w:t xml:space="preserve">]; </w:t>
      </w:r>
      <w:r w:rsidRPr="00204994">
        <w:rPr>
          <w:i/>
          <w:iCs/>
        </w:rPr>
        <w:t>I</w:t>
      </w:r>
      <w:r w:rsidRPr="00204994">
        <w:t xml:space="preserve"> is the capital cost in [</w:t>
      </w:r>
      <w:r w:rsidRPr="00204994">
        <w:rPr>
          <w:i/>
          <w:iCs/>
        </w:rPr>
        <w:t>€</w:t>
      </w:r>
      <w:r w:rsidRPr="00204994">
        <w:t xml:space="preserve">]; </w:t>
      </w:r>
      <w:r w:rsidRPr="00204994">
        <w:rPr>
          <w:i/>
          <w:iCs/>
        </w:rPr>
        <w:t>M&amp;O</w:t>
      </w:r>
      <w:r w:rsidRPr="00204994">
        <w:t xml:space="preserve"> is the annual change in </w:t>
      </w:r>
      <w:r w:rsidRPr="00204994">
        <w:rPr>
          <w:i/>
          <w:iCs/>
        </w:rPr>
        <w:t>M&amp;O</w:t>
      </w:r>
      <w:r w:rsidRPr="00204994">
        <w:t xml:space="preserve"> costs [</w:t>
      </w:r>
      <w:r w:rsidRPr="00204994">
        <w:rPr>
          <w:i/>
          <w:iCs/>
        </w:rPr>
        <w:t>€/y</w:t>
      </w:r>
      <w:r w:rsidRPr="00204994">
        <w:t xml:space="preserve">]; </w:t>
      </w:r>
      <w:r w:rsidRPr="00204994">
        <w:rPr>
          <w:i/>
          <w:iCs/>
        </w:rPr>
        <w:t>S</w:t>
      </w:r>
      <w:r w:rsidRPr="00204994">
        <w:t xml:space="preserve"> is the annual energy savings [</w:t>
      </w:r>
      <w:r w:rsidRPr="00204994">
        <w:rPr>
          <w:i/>
          <w:iCs/>
        </w:rPr>
        <w:t>kWh/y</w:t>
      </w:r>
      <w:r w:rsidRPr="00204994">
        <w:t xml:space="preserve">]; </w:t>
      </w:r>
      <w:r w:rsidRPr="00204994">
        <w:rPr>
          <w:i/>
          <w:iCs/>
        </w:rPr>
        <w:t xml:space="preserve">d </w:t>
      </w:r>
      <w:r w:rsidRPr="00204994">
        <w:t xml:space="preserve">is the discount rate [-], and </w:t>
      </w:r>
      <w:r w:rsidRPr="00204994">
        <w:rPr>
          <w:i/>
          <w:iCs/>
        </w:rPr>
        <w:t>n</w:t>
      </w:r>
      <w:r w:rsidRPr="00204994">
        <w:t xml:space="preserve"> is the lifetime of the conservation measure in [</w:t>
      </w:r>
      <w:r w:rsidRPr="00204994">
        <w:rPr>
          <w:i/>
          <w:iCs/>
        </w:rPr>
        <w:t>years</w:t>
      </w:r>
      <w:r w:rsidRPr="00204994">
        <w:t xml:space="preserve">], and </w:t>
      </w:r>
      <w:r w:rsidRPr="00204994">
        <w:rPr>
          <w:i/>
          <w:iCs/>
        </w:rPr>
        <w:t>q</w:t>
      </w:r>
      <w:r w:rsidRPr="00204994">
        <w:t xml:space="preserve"> is the capital recovery factor [</w:t>
      </w:r>
      <w:r w:rsidRPr="00204994">
        <w:rPr>
          <w:i/>
          <w:iCs/>
        </w:rPr>
        <w:t>years</w:t>
      </w:r>
      <w:r w:rsidRPr="00204994">
        <w:rPr>
          <w:i/>
          <w:iCs/>
          <w:vertAlign w:val="superscript"/>
        </w:rPr>
        <w:t>-1</w:t>
      </w:r>
      <w:r w:rsidRPr="00204994">
        <w:t>] and is modelled as:</w:t>
      </w:r>
    </w:p>
    <w:tbl>
      <w:tblPr>
        <w:tblW w:w="0" w:type="auto"/>
        <w:tblLook w:val="04A0" w:firstRow="1" w:lastRow="0" w:firstColumn="1" w:lastColumn="0" w:noHBand="0" w:noVBand="1"/>
      </w:tblPr>
      <w:tblGrid>
        <w:gridCol w:w="8280"/>
        <w:gridCol w:w="746"/>
      </w:tblGrid>
      <w:tr w:rsidR="00DA3E7D" w14:paraId="64B06F48" w14:textId="77777777" w:rsidTr="00A4492A">
        <w:tc>
          <w:tcPr>
            <w:tcW w:w="8280" w:type="dxa"/>
            <w:vAlign w:val="center"/>
          </w:tcPr>
          <w:p w14:paraId="395F3561" w14:textId="77777777" w:rsidR="00DA3E7D" w:rsidRPr="00BD47CD" w:rsidRDefault="00DA3E7D" w:rsidP="00A4492A">
            <w:pPr>
              <w:jc w:val="center"/>
              <w:rPr>
                <w:rFonts w:eastAsiaTheme="minorEastAsia" w:cs="Arial"/>
              </w:rPr>
            </w:pPr>
            <m:oMathPara>
              <m:oMath>
                <m:r>
                  <w:rPr>
                    <w:rFonts w:ascii="Cambria Math" w:hAnsi="Cambria Math"/>
                  </w:rPr>
                  <m:t>q=</m:t>
                </m:r>
                <m:f>
                  <m:fPr>
                    <m:ctrlPr>
                      <w:rPr>
                        <w:rFonts w:ascii="Cambria Math" w:hAnsi="Cambria Math"/>
                        <w:i/>
                      </w:rPr>
                    </m:ctrlPr>
                  </m:fPr>
                  <m:num>
                    <m:r>
                      <w:rPr>
                        <w:rFonts w:ascii="Cambria Math" w:hAnsi="Cambria Math"/>
                      </w:rPr>
                      <m:t>d</m:t>
                    </m:r>
                  </m:num>
                  <m:den>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1+d</m:t>
                            </m:r>
                          </m:e>
                        </m:d>
                      </m:e>
                      <m:sup>
                        <m:r>
                          <w:rPr>
                            <w:rFonts w:ascii="Cambria Math" w:hAnsi="Cambria Math"/>
                          </w:rPr>
                          <m:t>-n</m:t>
                        </m:r>
                      </m:sup>
                    </m:sSup>
                    <m:r>
                      <w:rPr>
                        <w:rFonts w:ascii="Cambria Math" w:hAnsi="Cambria Math"/>
                      </w:rPr>
                      <m:t>)</m:t>
                    </m:r>
                  </m:den>
                </m:f>
                <m:r>
                  <w:rPr>
                    <w:rFonts w:ascii="Cambria Math" w:eastAsiaTheme="minorEastAsia" w:hAnsi="Cambria Math" w:cs="Arial"/>
                  </w:rPr>
                  <m:t xml:space="preserve">  ,</m:t>
                </m:r>
              </m:oMath>
            </m:oMathPara>
          </w:p>
        </w:tc>
        <w:tc>
          <w:tcPr>
            <w:tcW w:w="737" w:type="dxa"/>
            <w:vAlign w:val="center"/>
          </w:tcPr>
          <w:p w14:paraId="148F9E16" w14:textId="74787422" w:rsidR="00DA3E7D" w:rsidRDefault="00043DEB" w:rsidP="00A4492A">
            <w:pPr>
              <w:jc w:val="right"/>
            </w:pPr>
            <w:r>
              <w:rPr>
                <w:szCs w:val="24"/>
              </w:rPr>
              <w:t>(</w:t>
            </w:r>
            <w:r w:rsidR="00427B33">
              <w:fldChar w:fldCharType="begin"/>
            </w:r>
            <w:r w:rsidR="00427B33">
              <w:instrText xml:space="preserve"> STYLEREF 1 \s </w:instrText>
            </w:r>
            <w:r w:rsidR="00427B33">
              <w:fldChar w:fldCharType="separate"/>
            </w:r>
            <w:r w:rsidR="00587AF0">
              <w:rPr>
                <w:noProof/>
              </w:rPr>
              <w:t>11</w:t>
            </w:r>
            <w:r w:rsidR="00427B33">
              <w:rPr>
                <w:noProof/>
              </w:rPr>
              <w:fldChar w:fldCharType="end"/>
            </w:r>
            <w:r>
              <w:t>.</w:t>
            </w:r>
            <w:r w:rsidR="00427B33">
              <w:fldChar w:fldCharType="begin"/>
            </w:r>
            <w:r w:rsidR="00427B33">
              <w:instrText xml:space="preserve"> SEQ Equation \* ARABIC \s 1 </w:instrText>
            </w:r>
            <w:r w:rsidR="00427B33">
              <w:fldChar w:fldCharType="separate"/>
            </w:r>
            <w:r w:rsidR="00587AF0">
              <w:rPr>
                <w:noProof/>
              </w:rPr>
              <w:t>4</w:t>
            </w:r>
            <w:r w:rsidR="00427B33">
              <w:rPr>
                <w:noProof/>
              </w:rPr>
              <w:fldChar w:fldCharType="end"/>
            </w:r>
            <w:r>
              <w:t>)</w:t>
            </w:r>
          </w:p>
        </w:tc>
      </w:tr>
    </w:tbl>
    <w:p w14:paraId="0BF45603" w14:textId="6F1A455D" w:rsidR="00204994" w:rsidRDefault="00DA3E7D" w:rsidP="00DA3E7D">
      <w:pPr>
        <w:rPr>
          <w:rFonts w:cs="Arial"/>
          <w:lang w:val="en-GB"/>
        </w:rPr>
      </w:pPr>
      <w:r>
        <w:rPr>
          <w:rFonts w:cs="Arial"/>
          <w:lang w:val="en-GB"/>
        </w:rPr>
        <w:t xml:space="preserve">Three types of costs are included in </w:t>
      </w:r>
      <w:r>
        <w:rPr>
          <w:rFonts w:cs="Arial"/>
          <w:i/>
          <w:iCs/>
          <w:lang w:val="en-GB"/>
        </w:rPr>
        <w:t>M&amp;O</w:t>
      </w:r>
      <w:r>
        <w:rPr>
          <w:rFonts w:cs="Arial"/>
          <w:lang w:val="en-GB"/>
        </w:rPr>
        <w:t xml:space="preserve"> (total, variable, and unavailability costs). Thus, the model addresses energy efficiency and energy recovery potential by assuming three different maintenance policy scenarios (low, medium, </w:t>
      </w:r>
      <w:r w:rsidR="00B971EE">
        <w:rPr>
          <w:rFonts w:cs="Arial"/>
          <w:lang w:val="en-GB"/>
        </w:rPr>
        <w:t xml:space="preserve">and </w:t>
      </w:r>
      <w:r>
        <w:rPr>
          <w:rFonts w:cs="Arial"/>
          <w:lang w:val="en-GB"/>
        </w:rPr>
        <w:t>high).</w:t>
      </w:r>
      <w:r w:rsidR="00204994">
        <w:rPr>
          <w:rFonts w:cs="Arial"/>
          <w:lang w:val="en-GB"/>
        </w:rPr>
        <w:t xml:space="preserve"> T</w:t>
      </w:r>
      <w:r>
        <w:rPr>
          <w:rFonts w:cs="Arial"/>
          <w:lang w:val="en-GB"/>
        </w:rPr>
        <w:t xml:space="preserve">he </w:t>
      </w:r>
      <w:r w:rsidRPr="00DC0DDA">
        <w:rPr>
          <w:rFonts w:cs="Arial"/>
          <w:i/>
          <w:iCs/>
          <w:lang w:val="en-GB"/>
        </w:rPr>
        <w:t>CCE</w:t>
      </w:r>
      <w:r>
        <w:rPr>
          <w:rFonts w:cs="Arial"/>
          <w:lang w:val="en-GB"/>
        </w:rPr>
        <w:t xml:space="preserve"> model show</w:t>
      </w:r>
      <w:r w:rsidR="00204994">
        <w:rPr>
          <w:rFonts w:cs="Arial"/>
          <w:lang w:val="en-GB"/>
        </w:rPr>
        <w:t>s</w:t>
      </w:r>
      <w:r>
        <w:rPr>
          <w:rFonts w:cs="Arial"/>
          <w:lang w:val="en-GB"/>
        </w:rPr>
        <w:t xml:space="preserve"> that changing from CM to PdM approach can lead to almost tenfold </w:t>
      </w:r>
      <w:r w:rsidRPr="00204994">
        <w:rPr>
          <w:rFonts w:cs="Times New Roman"/>
          <w:i/>
          <w:iCs/>
          <w:lang w:val="en-GB"/>
        </w:rPr>
        <w:t>€</w:t>
      </w:r>
      <w:r w:rsidRPr="00204994">
        <w:rPr>
          <w:rFonts w:cs="Arial"/>
          <w:i/>
          <w:iCs/>
          <w:lang w:val="en-GB"/>
        </w:rPr>
        <w:t>/kWh</w:t>
      </w:r>
      <w:r>
        <w:rPr>
          <w:rFonts w:cs="Arial"/>
          <w:lang w:val="en-GB"/>
        </w:rPr>
        <w:t>-saved and increase the performance by 10%.</w:t>
      </w:r>
    </w:p>
    <w:p w14:paraId="0C8CFE88" w14:textId="77777777" w:rsidR="00204994" w:rsidRDefault="00204994" w:rsidP="00DA3E7D">
      <w:pPr>
        <w:rPr>
          <w:rFonts w:cs="Arial"/>
          <w:lang w:val="en-GB"/>
        </w:rPr>
      </w:pPr>
      <w:r>
        <w:rPr>
          <w:rFonts w:cs="Arial"/>
          <w:lang w:val="en-GB"/>
        </w:rPr>
        <w:t>Another strategic framework abstracted as Sustainable Condition-Based Maintenance (</w:t>
      </w:r>
      <w:r w:rsidR="00DA3E7D">
        <w:rPr>
          <w:rFonts w:cs="Arial"/>
          <w:lang w:val="en-GB"/>
        </w:rPr>
        <w:t>SCBM</w:t>
      </w:r>
      <w:r>
        <w:rPr>
          <w:rFonts w:cs="Arial"/>
          <w:lang w:val="en-GB"/>
        </w:rPr>
        <w:t xml:space="preserve">) is proposed by Senechal et al. </w:t>
      </w:r>
      <w:r>
        <w:rPr>
          <w:rFonts w:cs="Arial"/>
          <w:lang w:val="en-GB"/>
        </w:rPr>
        <w:fldChar w:fldCharType="begin" w:fldLock="1"/>
      </w:r>
      <w:r>
        <w:rPr>
          <w:rFonts w:cs="Arial"/>
          <w:lang w:val="en-GB"/>
        </w:rPr>
        <w:instrText>ADDIN CSL_CITATION {"citationItems":[{"id":"ITEM-1","itemData":{"DOI":"10.1016/j.eiar.2019.02.007","ISSN":"01959255","abstract":"For decades, maintenance of facilities and equipment, as well as related activities (from fault detection to prognostics and health management), has a proven impact on efficiency of production systems and is thus still the subject of numerous developments (from corrective to proactive maintenance). These developments are supported by the increase in digital pervasiveness accompanying the Industry 4.0. concept, based in particular on the use of Cyber-Physical Systems. In addition, we are witnessing the growing interest of the political and academic world and public opinion with regard to the sustainable impact of human activity. For company decision-makers, triple bottom line accounting frameworks have been introduced at higher decision levels (strategic) based on economic, social, and environmental performance indicators. This triple preoccupation has not yet been integrated into studies on middle (tactical) and lower (operational) decision levels, and paradoxically, not into production facility health management either. In this paper, we propose the deployment of a framework helping decisions makers to be environmentally aware in the maintenance of cyber physical systems. This framework consists of three key elements: a new maintenance policy called Sustainable Condition-Based Maintenance (SCBM), which requires the assessment of the Remaining Sustainable Life (RSL) as a key indicator; an adaptation and extension of a generic prognostic business process initially proposed for traditional Conditions Based Maintenance (CBM); and an organization adapted to the prognosis of the environmental performance of systems, based on holonic structures. We present the implementation of such a framework on a real Cyber Physical Systems under development.","author":[{"dropping-particle":"","family":"Sénéchal","given":"Olivier","non-dropping-particle":"","parse-names":false,"suffix":""},{"dropping-particle":"","family":"Trentesaux","given":"Damien","non-dropping-particle":"","parse-names":false,"suffix":""}],"container-title":"Environmental Impact Assessment Review","id":"ITEM-1","issue":"March","issued":{"date-parts":[["2019"]]},"note":"- Also argues that pro-active is CBM.\n- The primary aim is to bridge the gap of including sustainable elements in MDM. Hence, the aim is to propose a framework helping decision-makers to be aware of environmental impacts in maintenance activities.\n- Prognostic of sustainable perofrmance ...\n- RSL + CL + Future environmental perofmrance (FEP)\n- FEP are emissions and resources consumption considered in LCI but only induced by the exploitation phase starting from the environemntal diagnosis time.\n-","page":"11-22","publisher":"Elsevier","title":"A framework to help decision makers to be environmentally aware during the maintenance of cyber physical systems","type":"article-journal","volume":"77"},"uris":["http://www.mendeley.com/documents/?uuid=8438580c-b281-42c8-8c98-51c4b56d70fc"]}],"mendeley":{"formattedCitation":"[110]","plainTextFormattedCitation":"[110]"},"properties":{"noteIndex":0},"schema":"https://github.com/citation-style-language/schema/raw/master/csl-citation.json"}</w:instrText>
      </w:r>
      <w:r>
        <w:rPr>
          <w:rFonts w:cs="Arial"/>
          <w:lang w:val="en-GB"/>
        </w:rPr>
        <w:fldChar w:fldCharType="separate"/>
      </w:r>
      <w:r w:rsidRPr="00204994">
        <w:rPr>
          <w:rFonts w:cs="Arial"/>
          <w:noProof/>
          <w:lang w:val="en-GB"/>
        </w:rPr>
        <w:t>[110]</w:t>
      </w:r>
      <w:r>
        <w:rPr>
          <w:rFonts w:cs="Arial"/>
          <w:lang w:val="en-GB"/>
        </w:rPr>
        <w:fldChar w:fldCharType="end"/>
      </w:r>
      <w:r>
        <w:rPr>
          <w:rFonts w:cs="Arial"/>
          <w:lang w:val="en-GB"/>
        </w:rPr>
        <w:t>.</w:t>
      </w:r>
      <w:r w:rsidR="00DA3E7D">
        <w:rPr>
          <w:rFonts w:cs="Arial"/>
          <w:lang w:val="en-GB"/>
        </w:rPr>
        <w:t xml:space="preserve"> </w:t>
      </w:r>
      <w:r>
        <w:rPr>
          <w:rFonts w:cs="Arial"/>
          <w:lang w:val="en-GB"/>
        </w:rPr>
        <w:t xml:space="preserve">The </w:t>
      </w:r>
      <w:r w:rsidR="00DA3E7D">
        <w:rPr>
          <w:rFonts w:cs="Arial"/>
          <w:lang w:val="en-GB"/>
        </w:rPr>
        <w:t xml:space="preserve">policy </w:t>
      </w:r>
      <w:r>
        <w:rPr>
          <w:rFonts w:cs="Arial"/>
          <w:lang w:val="en-GB"/>
        </w:rPr>
        <w:t>relies</w:t>
      </w:r>
      <w:r w:rsidR="00DA3E7D">
        <w:rPr>
          <w:rFonts w:cs="Arial"/>
          <w:lang w:val="en-GB"/>
        </w:rPr>
        <w:t xml:space="preserve"> on the CBM approach to help maintenance decision-makers be more environmentally aware. The framework aims to avoid events that can cause environmental consequences, including the event of a product's failure. The authors also realised that defining triggering thresholds for maintenance actions has a more significant impact in SCBM than in traditional CBM, thus introducing the concept of RSL. Although the SCBM framework includes an element of energy for MDM, they go a step further by considering pollution as an environmental indicator, suggesting that it can have a significant effect in the eyes of the policy-makers to accept such radical change accepting sustainable maintenance policies.</w:t>
      </w:r>
    </w:p>
    <w:p w14:paraId="19CDFFC6" w14:textId="3ED3A4F9" w:rsidR="00DA3E7D" w:rsidRPr="00DA03DC" w:rsidRDefault="00DA3E7D" w:rsidP="00DA03DC">
      <w:pPr>
        <w:rPr>
          <w:rFonts w:cs="Arial"/>
          <w:lang w:val="en-GB"/>
        </w:rPr>
      </w:pPr>
      <w:r>
        <w:rPr>
          <w:rFonts w:cs="Arial"/>
          <w:lang w:val="en-GB"/>
        </w:rPr>
        <w:t>Compar</w:t>
      </w:r>
      <w:r w:rsidR="00DA03DC">
        <w:rPr>
          <w:rFonts w:cs="Arial"/>
          <w:lang w:val="en-GB"/>
        </w:rPr>
        <w:t>ing sustainable- and energy-based maintenance</w:t>
      </w:r>
      <w:r>
        <w:rPr>
          <w:rFonts w:cs="Arial"/>
          <w:lang w:val="en-GB"/>
        </w:rPr>
        <w:t xml:space="preserve"> with earlier </w:t>
      </w:r>
      <w:r w:rsidR="00DA03DC">
        <w:rPr>
          <w:rFonts w:cs="Arial"/>
          <w:lang w:val="en-GB"/>
        </w:rPr>
        <w:t xml:space="preserve">maintenance </w:t>
      </w:r>
      <w:r>
        <w:rPr>
          <w:rFonts w:cs="Arial"/>
          <w:lang w:val="en-GB"/>
        </w:rPr>
        <w:t xml:space="preserve">policies </w:t>
      </w:r>
      <w:r w:rsidR="00DA03DC">
        <w:rPr>
          <w:rFonts w:cs="Arial"/>
          <w:lang w:val="en-GB"/>
        </w:rPr>
        <w:t>at the strategic level, it can be concluded that choosing appropriate goals adds a dimension to sustainability and energy preservation. Hence, formulation and planning of maintenance activities are no longer focused on improving reliability, availability and maintainability but also on including the environmental factors. However, since the evidence from the three pillars used in this research, it can be seen that so far (until 2020), there have been no EU-funded projects or companies that have implemented this newly proposed paradigm. Since the EBM is in an infancy stage, it is expected that more scientific contributions in this domain, where the real benefits and</w:t>
      </w:r>
      <w:bookmarkStart w:id="796" w:name="_Toc91575408"/>
      <w:bookmarkStart w:id="797" w:name="_Toc93759893"/>
      <w:bookmarkStart w:id="798" w:name="_Toc93759997"/>
      <w:r w:rsidR="00DA03DC">
        <w:rPr>
          <w:rFonts w:cs="Arial"/>
          <w:lang w:val="en-GB"/>
        </w:rPr>
        <w:t xml:space="preserve"> setbacks can be acknowledged.</w:t>
      </w:r>
      <w:r>
        <w:br w:type="page"/>
      </w:r>
    </w:p>
    <w:p w14:paraId="53DB6CE5" w14:textId="56EA3997" w:rsidR="00E14397" w:rsidRPr="00E14397" w:rsidRDefault="00460697" w:rsidP="00E14397">
      <w:pPr>
        <w:pStyle w:val="Heading2"/>
      </w:pPr>
      <w:bookmarkStart w:id="799" w:name="_Toc101274431"/>
      <w:bookmarkEnd w:id="796"/>
      <w:bookmarkEnd w:id="797"/>
      <w:bookmarkEnd w:id="798"/>
      <w:r>
        <w:lastRenderedPageBreak/>
        <w:t>Maintenance practice in the West Balkan countries</w:t>
      </w:r>
      <w:bookmarkEnd w:id="799"/>
    </w:p>
    <w:p w14:paraId="06F472ED" w14:textId="73228465" w:rsidR="0044576C" w:rsidRDefault="00DF50FF" w:rsidP="00DF50FF">
      <w:r>
        <w:t>From the authors’ knowledge</w:t>
      </w:r>
      <w:r w:rsidR="0044576C">
        <w:t>,</w:t>
      </w:r>
      <w:r>
        <w:t xml:space="preserve"> this is the first time that </w:t>
      </w:r>
      <w:r w:rsidR="0044576C">
        <w:t xml:space="preserve">a </w:t>
      </w:r>
      <w:r>
        <w:t xml:space="preserve">questionnaire-based survey </w:t>
      </w:r>
      <w:r w:rsidR="0044576C">
        <w:t>has been</w:t>
      </w:r>
      <w:r>
        <w:t xml:space="preserve"> conducted on the territory of </w:t>
      </w:r>
      <w:r w:rsidR="0044576C">
        <w:t xml:space="preserve">the </w:t>
      </w:r>
      <w:r>
        <w:t>West Balkan Penninsula</w:t>
      </w:r>
      <w:r w:rsidR="009246B9">
        <w:t xml:space="preserve"> regarding the maintenance of hydraulic machinery</w:t>
      </w:r>
      <w:r>
        <w:t xml:space="preserve">. The survey results show that </w:t>
      </w:r>
      <w:r w:rsidR="0044576C">
        <w:t>many</w:t>
      </w:r>
      <w:r>
        <w:t xml:space="preserve"> companies </w:t>
      </w:r>
      <w:r w:rsidR="0044576C">
        <w:t>still rely</w:t>
      </w:r>
      <w:r>
        <w:t xml:space="preserve"> on preventive and corrective maintenance practice</w:t>
      </w:r>
      <w:r w:rsidR="0044576C">
        <w:t>s</w:t>
      </w:r>
      <w:r>
        <w:t xml:space="preserve"> while still performing corrective actions regularly, even with predictive technology. This is especially the case for mobile machines where failures happen </w:t>
      </w:r>
      <w:r w:rsidR="0044576C">
        <w:t xml:space="preserve">at </w:t>
      </w:r>
      <w:r>
        <w:t xml:space="preserve">higher intensity. The data included both mobile and industrial machines, and for the appropriate realisation of </w:t>
      </w:r>
      <w:r w:rsidR="0044576C">
        <w:t xml:space="preserve">the </w:t>
      </w:r>
      <w:r>
        <w:t>experiment</w:t>
      </w:r>
      <w:r w:rsidR="0044576C">
        <w:t>,</w:t>
      </w:r>
      <w:r>
        <w:t xml:space="preserve"> one such industrial machine </w:t>
      </w:r>
      <w:r w:rsidR="0044576C">
        <w:t>wa</w:t>
      </w:r>
      <w:r>
        <w:t xml:space="preserve">s chosen for </w:t>
      </w:r>
      <w:r w:rsidR="0044576C">
        <w:t xml:space="preserve">a </w:t>
      </w:r>
      <w:r>
        <w:t xml:space="preserve">practical case study. </w:t>
      </w:r>
      <w:r w:rsidR="0044576C">
        <w:t>The overall results from descriptive statistics given from the survey analysis include meta-data that should be suggested to scientists or researchers performing controlled case studies on experimental hydraulic test-beds.</w:t>
      </w:r>
      <w:r w:rsidR="00251F54">
        <w:t xml:space="preserve"> </w:t>
      </w:r>
      <w:r w:rsidR="009246B9">
        <w:t xml:space="preserve">The importance of such meta-data </w:t>
      </w:r>
      <w:r w:rsidR="00C07867">
        <w:t>is elaborated in the following.</w:t>
      </w:r>
    </w:p>
    <w:p w14:paraId="38D23405" w14:textId="77777777" w:rsidR="00C07867" w:rsidRDefault="00C07867" w:rsidP="00C07867">
      <w:pPr>
        <w:pStyle w:val="Heading3"/>
      </w:pPr>
      <w:bookmarkStart w:id="800" w:name="_Toc101274432"/>
      <w:r>
        <w:t>The descriptive results of maintenance practice</w:t>
      </w:r>
      <w:bookmarkEnd w:id="800"/>
    </w:p>
    <w:p w14:paraId="7EE4A56A" w14:textId="67E8DA50" w:rsidR="00C07867" w:rsidRDefault="00C07867" w:rsidP="00DF50FF">
      <w:r>
        <w:t xml:space="preserve">The benefits of using survey-meta are establishing the practicality of </w:t>
      </w:r>
      <w:r w:rsidR="00F76B75">
        <w:t xml:space="preserve">the </w:t>
      </w:r>
      <w:r>
        <w:t>proposed experimental design on one side while, on the other, gaining insight into the actual maintenance practice. Also</w:t>
      </w:r>
      <w:r w:rsidR="0044576C">
        <w:t>, it is important for the practicality that parameters like NWP, NWF, oil type, viscosity type, the machine age, oil filling, and similar controlled variables be included in the design stage of the experiment. This way, researchers will have justifiable outcomes for disseminating their results.</w:t>
      </w:r>
    </w:p>
    <w:p w14:paraId="31313786" w14:textId="50CD4B9C" w:rsidR="00F85067" w:rsidRDefault="00C07867" w:rsidP="00DF50FF">
      <w:r>
        <w:t>Moreover</w:t>
      </w:r>
      <w:r w:rsidR="0044576C">
        <w:t xml:space="preserve">, </w:t>
      </w:r>
      <w:r w:rsidR="00C46A9B">
        <w:t>given the</w:t>
      </w:r>
      <w:r w:rsidR="00F76B75">
        <w:t xml:space="preserve"> results</w:t>
      </w:r>
      <w:r w:rsidR="0044576C">
        <w:t xml:space="preserve">, it was possible to determine the root causes of stoppages in hydraulic machines, which were formerly thought to be contamination. The outcome, however, proved that stoppages were actually due to overload and leakage. </w:t>
      </w:r>
      <w:r>
        <w:t>T</w:t>
      </w:r>
      <w:r w:rsidR="0044576C">
        <w:t>he root causes of failures in hydraulic machines are seemingly questioning the operators' control, maintenance activities and design of hydraulic machines. Such information is also beneficial since the proposition of energy-dedicated practice helps predict this kind of stoppages by energy monitoring activities. Besides, as the contamination is still one of the main causes of failures after overload and leakage, it is also used to determine the existence of multicollinearity between LCM practice and EBM monitoring practice, thus questioning the correlation between LCM practice, i.e., oil analysis variables (e.g., particles, elements) and hydraulic power variables (pressure and flow).</w:t>
      </w:r>
      <w:r w:rsidR="002E59A5">
        <w:t xml:space="preserve"> </w:t>
      </w:r>
      <w:r w:rsidR="00F76B75">
        <w:t>The results show</w:t>
      </w:r>
      <w:r w:rsidR="009246B9">
        <w:t xml:space="preserve"> </w:t>
      </w:r>
      <w:r w:rsidR="00F76B75">
        <w:t>a low correlation coefficient between associated variables</w:t>
      </w:r>
      <w:r w:rsidR="009246B9">
        <w:t xml:space="preserve"> and the benefits of monitoring energy instead </w:t>
      </w:r>
      <w:r w:rsidR="00F76B75">
        <w:t>of</w:t>
      </w:r>
      <w:r w:rsidR="009246B9">
        <w:t xml:space="preserve"> oil contaminants for establishing binary classification.</w:t>
      </w:r>
    </w:p>
    <w:p w14:paraId="47AFEE19" w14:textId="0DD5551F" w:rsidR="00C46A9B" w:rsidRDefault="00C46A9B" w:rsidP="00DF50FF">
      <w:r>
        <w:t xml:space="preserve">Finally, the descriptive results of various maintenance practices show the following. The PdM practice shows the highest achievement of MTBF in terms of TBF averaging above 1500 hours. However, the results may be biased regarding machinery applied since most companies applying hydraulic control and predictive analytics are done on industrial machinery. The CBM and DM practice suggest good overall results with MTBF ranging between 1200-1400 hours alongside PdM. The important notice is that corrective maintenance, even though low nominal work factors (NWP and NWF), is </w:t>
      </w:r>
      <w:r w:rsidR="0096458A">
        <w:t>important</w:t>
      </w:r>
      <w:r>
        <w:t xml:space="preserve"> in MLR analysis. Therefore, another reason why investments in predictive analytics or condition monitoring practice should be realised. Besides, it is also shown that with higher power requirements, the MTBF is lower, and vice versa – suggesting that heavier machinery has a lower MTBF score even with higher MPPM. Therefore, the question raised is whether the amount of technicians per machine is important for improving MTBF or the predictive approach and intelligence.</w:t>
      </w:r>
    </w:p>
    <w:p w14:paraId="4CCEE409" w14:textId="4928EBF4" w:rsidR="00131FBA" w:rsidRDefault="009A160A" w:rsidP="00DF50FF">
      <w:r>
        <w:t>The results show that maintenance practitioners and decision-makers rely on planned (preventive) maintenance activities or outsourcing maintenance activities. Even though companies utilise sensors for flow and pressure monitoring and temperature, they still rely on preventive maintenance actions, neglecting the health of a machine based on monitoring the parameters of hydraulic operation. Implementing EBM practice that relies on flow and pressure monitoring (hydraulic power) could be beneficial in diagnosis, prognosis and maintenance optimisation activities, thus supporting the thesis statements.</w:t>
      </w:r>
    </w:p>
    <w:p w14:paraId="5415B65D" w14:textId="11739CA6" w:rsidR="00E03B5E" w:rsidRDefault="00E03B5E" w:rsidP="00E03B5E">
      <w:pPr>
        <w:pStyle w:val="Heading3"/>
      </w:pPr>
      <w:bookmarkStart w:id="801" w:name="_Toc101274433"/>
      <w:r>
        <w:lastRenderedPageBreak/>
        <w:t>Contamination as the leading cause of failures</w:t>
      </w:r>
      <w:bookmarkEnd w:id="801"/>
    </w:p>
    <w:p w14:paraId="453BC592" w14:textId="7B59239C" w:rsidR="00805EB5" w:rsidRDefault="00E03B5E" w:rsidP="00E03B5E">
      <w:r>
        <w:t xml:space="preserve">One of the most important </w:t>
      </w:r>
      <w:r w:rsidR="003A1CE6">
        <w:t>conclusions</w:t>
      </w:r>
      <w:r>
        <w:t xml:space="preserve"> drawn from the practice is rejecting the </w:t>
      </w:r>
      <w:r w:rsidR="00805EB5">
        <w:t xml:space="preserve">null </w:t>
      </w:r>
      <w:r>
        <w:t xml:space="preserve">hypothesis that contamination </w:t>
      </w:r>
      <w:r w:rsidR="00805EB5">
        <w:t xml:space="preserve">is </w:t>
      </w:r>
      <w:r>
        <w:t>at least 70% responsible for stoppages in hydraulic systems. What contributed more to validating the thesis problem is the notion that overload, leakage, and temperature are all leading causes of failures that can be logically correlated with pressure and flow monitoring, thus energy</w:t>
      </w:r>
      <w:r w:rsidR="00805EB5">
        <w:t xml:space="preserve"> waste</w:t>
      </w:r>
      <w:r>
        <w:t xml:space="preserve">. In addition, observing the correlation between energy input and MTBF further adds validity to achieving research benefits. This could be a missing link in drawing attention to maintenance research in MDM focused on observing </w:t>
      </w:r>
      <w:r w:rsidR="00805EB5">
        <w:t>hydraulic power (</w:t>
      </w:r>
      <w:r>
        <w:t>flow and pressure</w:t>
      </w:r>
      <w:r w:rsidR="00805EB5">
        <w:t>)</w:t>
      </w:r>
      <w:r>
        <w:t xml:space="preserve">. </w:t>
      </w:r>
      <w:r w:rsidR="00805EB5">
        <w:t>Even so, it has been researched the correlation between particle contamination and hydraulic power and the results show a poor correlation factor (p&lt;0.05). Therefore, by monitoring energy or contamination, there would be no collinearity between the results, therefore benefiting the use of monitoring hydraulic power consumption in determining the health status of hydraulic machines. In addition, by using hydraulic power as a variable, the goal in the following studies is to use association rules to determine, i.e., correlate with other potential fault or failure modes by setting multiple classification problems and exactly establishing diagnosis aiming at determining, for instance, wear, leakage, oil degradation, or similar root causes of stoppage.</w:t>
      </w:r>
    </w:p>
    <w:p w14:paraId="04447C1F" w14:textId="521388BE" w:rsidR="00805EB5" w:rsidRDefault="00805EB5" w:rsidP="00E03B5E">
      <w:r>
        <w:t>The thesis aims to switch from using waste energy monitoring indicators given by the P-F curve of condition monitoring and switch from secondary energy, w</w:t>
      </w:r>
      <w:r w:rsidR="00001029">
        <w:t>aste energy of temperature, vibration, etc., to the proposed primary energy monitoring procedure P-F curve</w:t>
      </w:r>
      <w:r>
        <w:t>. In such an instance, it could be beneficial because the use of easy to access and cheap flow control and pressure control sensors are widely available. However, the problem resides in machine learning and data analytics since the survey analysis is very low, considering analytical tools utilised in industrial maintenance. In addition, it also drags the question from the start of the thesis and brings us to the starting point: Can data analytics and feature engineering replace maintenance engineering? This question imposes several issues regarding the existence of maintenance as a scientific field. However, the important notice is that maintenance should dedicate more to utilising ML and Deep learning tools (e.g., unsupervised and reinforcement learning) for pattern recognition and improving decision-making.</w:t>
      </w:r>
    </w:p>
    <w:p w14:paraId="0F2DB9F3" w14:textId="4604F418" w:rsidR="00E03B5E" w:rsidRPr="00E03B5E" w:rsidRDefault="00E03B5E" w:rsidP="00E03B5E">
      <w:pPr>
        <w:pStyle w:val="Heading3"/>
      </w:pPr>
      <w:bookmarkStart w:id="802" w:name="_Toc101274434"/>
      <w:r>
        <w:t>Important indicators for improving operational performance</w:t>
      </w:r>
      <w:bookmarkEnd w:id="802"/>
    </w:p>
    <w:p w14:paraId="13F2ADDB" w14:textId="12589348" w:rsidR="003D2FAC" w:rsidRDefault="0049196A" w:rsidP="00001029">
      <w:r>
        <w:t xml:space="preserve">One of the key takeaways is the </w:t>
      </w:r>
      <w:r w:rsidR="003A1CE6">
        <w:t>significance</w:t>
      </w:r>
      <w:r>
        <w:t xml:space="preserve"> of maintenance intelligence versus maintenance personnel – questioning quality and quantity. This </w:t>
      </w:r>
      <w:r w:rsidR="00DA03DC">
        <w:t>shows that with the use of sophisticated technology, such as in cases of predictive maintenance, which has no maintenance personnel,</w:t>
      </w:r>
      <w:r>
        <w:t xml:space="preserve"> the results also show that such maintenance practice outperforms, for example, maintenance practices with specialists and engineers. It has been noted that the regression model shows that maintenance practice (as PdM) which has no personnel on the floor, no maintenance technicians or engineers, outperforms other maintenance practices in terms of MTBF. This further questions the imposed notion of “necessary evil.” Furthermore, it also poses threats to low- and mid-level maintenance departments (operational and tactical) since the I4.0 technology and cloud-based platforms for helping with maintenance decision-making can elbow out maintenance personnel – leading to more automation and digitalisation. One premise is that by going further into physics-of-failure, a valuable research field for forging Digital Failure Twins (DFT) on which modelling and optimisation can be done even without the presence of failure of a particular system. Opening such a chapter will require an enormous amount of data collected and a new field for maintenance as a science.</w:t>
      </w:r>
      <w:r w:rsidR="00805EB5">
        <w:t xml:space="preserve"> </w:t>
      </w:r>
      <w:r>
        <w:t xml:space="preserve">Some of the key variables not seen so far in the experimental investigation are now included in the experimental study of the thesis while performing analysis and testing the model framework. For instance, oil refilling of the system can cause bias in estimating the results and performing oil analysis. Oil filling of the system (e.g., reservoir size) can cause potential deviation in results or even inaccurate estimation while reading </w:t>
      </w:r>
      <w:r w:rsidR="00EF1B50">
        <w:t>performed spectrophotometric oil analysis</w:t>
      </w:r>
      <w:r>
        <w:t xml:space="preserve"> in ppm.</w:t>
      </w:r>
      <w:r w:rsidR="003D2FAC">
        <w:br w:type="page"/>
      </w:r>
    </w:p>
    <w:p w14:paraId="6ADF1C56" w14:textId="5A2296D1" w:rsidR="003D2FAC" w:rsidRDefault="00242391" w:rsidP="003D2FAC">
      <w:pPr>
        <w:pStyle w:val="Heading1"/>
        <w:rPr>
          <w:lang w:val="sr-Latn-RS"/>
        </w:rPr>
      </w:pPr>
      <w:bookmarkStart w:id="803" w:name="_Toc101274435"/>
      <w:r>
        <w:rPr>
          <w:lang w:val="sr-Latn-RS"/>
        </w:rPr>
        <w:lastRenderedPageBreak/>
        <w:t>Concluding remarks and future research</w:t>
      </w:r>
      <w:bookmarkEnd w:id="803"/>
    </w:p>
    <w:p w14:paraId="12F1862D" w14:textId="68252432" w:rsidR="00641D02" w:rsidRDefault="00641D02" w:rsidP="00641D02">
      <w:pPr>
        <w:pStyle w:val="Heading2"/>
      </w:pPr>
      <w:bookmarkStart w:id="804" w:name="_Toc101274436"/>
      <w:r>
        <w:t>General thesis overview</w:t>
      </w:r>
      <w:bookmarkEnd w:id="804"/>
    </w:p>
    <w:p w14:paraId="2982FD6C" w14:textId="37B798A8" w:rsidR="00BD7E14" w:rsidRDefault="00BD7E14" w:rsidP="00FE42BB">
      <w:r>
        <w:t>The thesis explains the need for an energy-dedicated maintenance platform as a response to the needs of enforced sustainability issues. The European Commission imposition reflects such issues through the Green Deal initiative. The primary goal of the Green Deal is to ensure decarbonisation and no net emissions of greenhouse gases by 2050. With such legislation, the author believes that the future of industrial maintenance research must reorient its focus toward sustainability goals. Such propositions have already been confirmed by an exponential rise of publications while latching on to the “Energy-oriented maintenance” and “Sustainable Maintenance” research titles. However, during the writing of the thesis, it was noticed that there was a rise in publications under such propositions; however, authors usually provide reports on optimisation and prognostic outcomes. The omission of the usage of energy variables for diagnostic purposes for determining the actual health state of machinery is still open for research contributions, where this thesis finds its contributions. To support such claims, the author of the thesis was dedicated to collecting evidence from three evidence pillars: state-of-the-projects, state-of-the-practice and state-of-the-literature followed by experimental verification.</w:t>
      </w:r>
    </w:p>
    <w:p w14:paraId="19682CAA" w14:textId="59FA14C5" w:rsidR="004F66DF" w:rsidRDefault="004F66DF" w:rsidP="00FE42BB">
      <w:r>
        <w:t>The data collection process included an in-detail protocol for each pillar of evidence. Protocols are built upon Evidence-Based Practice, ensuring transparency and replicability of evidence collected. The reason for such a systematic approach was provoked by the inability to replicate the process of data collection from other studies, especially secondary source literature. In addition, each protocol includes a quantitative assessment of data collected and the validity of reports by eligibility criteria. Since no study was dedicated to investigating research contributions in terms of EU projects, the author proposed a systematic and transparent protocol for extracting such evidence. Such research provided insights on industrial maintenance's current maintenance manifesto within the EU research domain. Besides, it also confirmed the lack of maintenance advancements and sustainability aspects in maintenance research, which can be considered a strong argument supported by the rise of literature publications without funding of such kind. The research regarding the maintenance practice highlighted the importance of predictive analytics and the lack of sophisticated maintenance technology in improving MPIs. In addition, the empirical evidence from the practice highlighted the benefits of switching from corrective and preventive to the condition and predictive maintenance.</w:t>
      </w:r>
    </w:p>
    <w:p w14:paraId="69FBBE3A" w14:textId="534B3E61" w:rsidR="004F66DF" w:rsidRDefault="004F66DF" w:rsidP="00FE42BB">
      <w:r>
        <w:t>The data collected from aforementioned three pillars of evidence also served as an apparatus to acknowledge the upside of EBM practise contributions. Namely, it was established that most of the decision-makers, regardless of decision-making level (operational, tactical and strategic), rely on static thresholds. By proposing such a claim, it can be perceived that managers and engineers comprehend indicators as static decision-making boundaries in determining the health of the system state, consequently conducting appropriate maintenance activities in returning the system to a healthy state. As a response to such philosophy, the author of the thesis proposes dynamic boundaries conceptualised as functional-productiveness markers (FPMs). Such markers are extrapolated from continuous system behaviour, in this case, hydraulic power deviations, in which case the markers are determined via machine learning algorithms. The markers from hypothesis space are used for reliability analysis to better insight into triggering maintenance activities needed for reducing the uncertainty of the system, thus avoiding unnecessary stoppages. The implication of such an approach should paint a clear picture for managers, engineers and scientists in using energy (power) markers for diagnostic, prognostic and optimisation purposes since energy can be considered the main monetary value in production processes.</w:t>
      </w:r>
    </w:p>
    <w:p w14:paraId="0F3A020C" w14:textId="6D2A93E0" w:rsidR="007A5F96" w:rsidRDefault="00641D02" w:rsidP="00641D02">
      <w:pPr>
        <w:pStyle w:val="Heading2"/>
      </w:pPr>
      <w:bookmarkStart w:id="805" w:name="_Toc101274437"/>
      <w:r>
        <w:lastRenderedPageBreak/>
        <w:t>Contribution to the literature</w:t>
      </w:r>
      <w:bookmarkEnd w:id="805"/>
    </w:p>
    <w:p w14:paraId="49208C6A" w14:textId="77777777" w:rsidR="00FE42BB" w:rsidRDefault="00FE42BB" w:rsidP="00FE42BB">
      <w:pPr>
        <w:rPr>
          <w:rFonts w:cs="Arial"/>
          <w:lang w:val="en-GB"/>
        </w:rPr>
      </w:pPr>
      <w:bookmarkStart w:id="806" w:name="_Hlk49437835"/>
      <w:r w:rsidRPr="008A5097">
        <w:rPr>
          <w:rFonts w:cs="Arial"/>
          <w:lang w:val="en-GB"/>
        </w:rPr>
        <w:t xml:space="preserve">The </w:t>
      </w:r>
      <w:r>
        <w:rPr>
          <w:rFonts w:cs="Arial"/>
          <w:lang w:val="en-GB"/>
        </w:rPr>
        <w:t>diachronic natur</w:t>
      </w:r>
      <w:r w:rsidRPr="008A5097">
        <w:rPr>
          <w:rFonts w:cs="Arial"/>
          <w:lang w:val="en-GB"/>
        </w:rPr>
        <w:t xml:space="preserve">e </w:t>
      </w:r>
      <w:r>
        <w:rPr>
          <w:rFonts w:cs="Arial"/>
          <w:lang w:val="en-GB"/>
        </w:rPr>
        <w:t xml:space="preserve">of maintenance development has </w:t>
      </w:r>
      <w:r w:rsidRPr="008A5097">
        <w:rPr>
          <w:rFonts w:cs="Arial"/>
          <w:lang w:val="en-GB"/>
        </w:rPr>
        <w:t>caused unnecessary confusion</w:t>
      </w:r>
      <w:r>
        <w:rPr>
          <w:rFonts w:cs="Arial"/>
          <w:lang w:val="en-GB"/>
        </w:rPr>
        <w:t xml:space="preserve"> and complication</w:t>
      </w:r>
      <w:r w:rsidRPr="008A5097">
        <w:rPr>
          <w:rFonts w:cs="Arial"/>
          <w:lang w:val="en-GB"/>
        </w:rPr>
        <w:t xml:space="preserve"> with emerging concepts, which </w:t>
      </w:r>
      <w:r>
        <w:rPr>
          <w:rFonts w:cs="Arial"/>
          <w:lang w:val="en-GB"/>
        </w:rPr>
        <w:t>do not significantly alter maintenance philosophy. The maintenance development within I4.0 still relies on preventive and condition-based decision-making frameworks. By exposing these malleable concepts where actions need to be conducted only for the sake of productivity, neglecting sustainability indicators cause difficulties for maintenance to evolve. Such incoherence is seen in the claims that Cyber-Physical architectures (e.g. IoT maintenance) are the only drivers of maintenance evolution, and worse – the claim that such maintenance concept encapsulated the concept of “Maintenance 4.0” seems absurd. While shifting toward power consumption as a sustainable indicator where maintenance actions and activities are conducted based on energy deviation could be a potential argument for maintenance innovation. The future context of maintenance R&amp;I and its impact on sustainability targets will significantly affect the manufacturing and production processes by advocating for such a holistic paradigm as EBM. With the proposed research pillars for extracting evidence, the conclusion is that industrial maintenance is shifting focus toward sustainable practice, thus adding a dimension to energy utilisation. This way, industrial maintenance will no longer be seen as a “necessary evil” but rather as a value creation function.</w:t>
      </w:r>
    </w:p>
    <w:p w14:paraId="228BE768" w14:textId="77777777" w:rsidR="00931EFA" w:rsidRDefault="00FE42BB" w:rsidP="004F66DF">
      <w:r>
        <w:rPr>
          <w:rFonts w:cs="Arial"/>
          <w:lang w:val="en-GB"/>
        </w:rPr>
        <w:t xml:space="preserve">However, the </w:t>
      </w:r>
      <w:r>
        <w:rPr>
          <w:lang w:val="en-GB"/>
        </w:rPr>
        <w:t>EBM proposition can become onerous for a couple of reasons. Firstly, vague</w:t>
      </w:r>
      <w:r w:rsidRPr="008D1BA1">
        <w:t xml:space="preserve"> </w:t>
      </w:r>
      <w:r w:rsidRPr="008D1BA1">
        <w:rPr>
          <w:lang w:val="en-GB"/>
        </w:rPr>
        <w:t xml:space="preserve">apprehension </w:t>
      </w:r>
      <w:r>
        <w:rPr>
          <w:lang w:val="en-GB"/>
        </w:rPr>
        <w:t>of failure mechanisms or omission of units’ eigenfrequency and their power ports can consume time and error in the data processing. Secondly, the concept can be challenging to apply in rigid-service entities, such as a civil structure (e.g. bridges), on one side and the other on the inherent relationship between operational and maintenance processes. Finally, data scientists incorporating the EBM concept can be time-consuming and hard for training the models without the support of maintenance and process scientists.</w:t>
      </w:r>
      <w:bookmarkEnd w:id="806"/>
      <w:r w:rsidR="001335B2">
        <w:rPr>
          <w:lang w:val="en-GB"/>
        </w:rPr>
        <w:t xml:space="preserve"> For instance, t</w:t>
      </w:r>
      <w:r w:rsidR="004F66DF">
        <w:t>he function-productiveness concept with associated markers in determining potential degradation patterns</w:t>
      </w:r>
      <w:r w:rsidR="001335B2">
        <w:t xml:space="preserve"> took double the time of the experiment to gain insight into system behaviour considering low environmental disturbances. Therefore, using user-friendly softwares that do not require or has already been automatised would be beneficial in determining the same markers for classification purposes. </w:t>
      </w:r>
      <w:r w:rsidR="00931EFA">
        <w:t>In addition, fold-change (FC) could be a valuable online-monitoring tool for determining the effect of change given the environmental stressor.</w:t>
      </w:r>
    </w:p>
    <w:p w14:paraId="4C4A9A10" w14:textId="2F1BF0CA" w:rsidR="00641D02" w:rsidRDefault="00931EFA" w:rsidP="00641D02">
      <w:r>
        <w:t>Furthermore, the author of the thesis argues that more research studies should include transparent, evidence-based methodologies in extracting evidence to ensure validity and replicability in studies. It can also be beneficial in domains other than industrial maintenance to conduct a systematic analysis of research contributions by investigating EU research projects to gain a clearer insight into the state-of-the-art field of interest. It highlighted significant benefits and setbacks for the author of the thesis.</w:t>
      </w:r>
    </w:p>
    <w:p w14:paraId="12EFC99C" w14:textId="4336AF35" w:rsidR="00641D02" w:rsidRDefault="00641D02" w:rsidP="00641D02">
      <w:pPr>
        <w:pStyle w:val="Heading2"/>
      </w:pPr>
      <w:bookmarkStart w:id="807" w:name="_Toc101274438"/>
      <w:r>
        <w:t>Future research</w:t>
      </w:r>
      <w:bookmarkEnd w:id="807"/>
    </w:p>
    <w:p w14:paraId="0AD2ADE7" w14:textId="391E6550" w:rsidR="00931EFA" w:rsidRDefault="00931EFA" w:rsidP="00931EFA">
      <w:pPr>
        <w:spacing w:before="0" w:after="160" w:line="259" w:lineRule="auto"/>
        <w:rPr>
          <w:rFonts w:eastAsiaTheme="majorEastAsia" w:cstheme="majorBidi"/>
          <w:b/>
          <w:smallCaps/>
          <w:sz w:val="32"/>
          <w:szCs w:val="32"/>
          <w:lang w:val="sr-Latn-RS"/>
        </w:rPr>
      </w:pPr>
      <w:bookmarkStart w:id="808" w:name="_Toc53558777"/>
      <w:bookmarkStart w:id="809" w:name="_Toc53559771"/>
      <w:bookmarkStart w:id="810" w:name="_Toc62467420"/>
      <w:bookmarkStart w:id="811" w:name="_Toc91575442"/>
      <w:bookmarkStart w:id="812" w:name="_Toc93759940"/>
      <w:bookmarkStart w:id="813" w:name="_Toc93760044"/>
      <w:r>
        <w:rPr>
          <w:lang w:val="sr-Latn-RS"/>
        </w:rPr>
        <w:t xml:space="preserve">The future research includes going deeper into classification issues of system states by using unsupervised learning algorithms in determining potential root causes of degradation and faulty states. Namely, it has already been elaborated in the thesis that using Association Rules (AR) can increase the accuracy of establishing the exact root cause of failures by latching functional-productiveness markers to degradation mechanisms. That being said, it could be possible to establish diagnostics without prior knowledge of the system’s failure mechanisms with AR by monitoring these markers, consequently triggering maintenance actions timely. With such a proposition, it could be possible to map sensitive points on machines (e.g., components, units, parts) and timely replace them without producing disturbances or affecting process quality. </w:t>
      </w:r>
      <w:r>
        <w:rPr>
          <w:lang w:val="sr-Latn-RS"/>
        </w:rPr>
        <w:br w:type="page"/>
      </w:r>
    </w:p>
    <w:p w14:paraId="7862A226" w14:textId="5DF13D8A" w:rsidR="00B27C3F" w:rsidRDefault="00432597" w:rsidP="002F587A">
      <w:pPr>
        <w:pStyle w:val="Heading1"/>
        <w:numPr>
          <w:ilvl w:val="0"/>
          <w:numId w:val="0"/>
        </w:numPr>
        <w:ind w:left="431" w:hanging="431"/>
        <w:jc w:val="left"/>
        <w:rPr>
          <w:lang w:val="sr-Latn-RS"/>
        </w:rPr>
      </w:pPr>
      <w:bookmarkStart w:id="814" w:name="_Toc101274439"/>
      <w:r>
        <w:rPr>
          <w:lang w:val="sr-Latn-RS"/>
        </w:rPr>
        <w:lastRenderedPageBreak/>
        <w:t>References</w:t>
      </w:r>
      <w:bookmarkEnd w:id="808"/>
      <w:bookmarkEnd w:id="809"/>
      <w:bookmarkEnd w:id="810"/>
      <w:bookmarkEnd w:id="811"/>
      <w:bookmarkEnd w:id="812"/>
      <w:bookmarkEnd w:id="813"/>
      <w:bookmarkEnd w:id="814"/>
    </w:p>
    <w:p w14:paraId="07B16A73" w14:textId="7EDA8C7B" w:rsidR="00204994" w:rsidRPr="00204994" w:rsidRDefault="00432597" w:rsidP="00204994">
      <w:pPr>
        <w:widowControl w:val="0"/>
        <w:autoSpaceDE w:val="0"/>
        <w:autoSpaceDN w:val="0"/>
        <w:adjustRightInd w:val="0"/>
        <w:spacing w:before="140" w:after="60"/>
        <w:ind w:left="640" w:hanging="640"/>
        <w:rPr>
          <w:rFonts w:cs="Times New Roman"/>
          <w:noProof/>
          <w:szCs w:val="24"/>
        </w:rPr>
      </w:pPr>
      <w:r>
        <w:rPr>
          <w:lang w:val="sr-Latn-RS"/>
        </w:rPr>
        <w:fldChar w:fldCharType="begin" w:fldLock="1"/>
      </w:r>
      <w:r>
        <w:rPr>
          <w:lang w:val="sr-Latn-RS"/>
        </w:rPr>
        <w:instrText xml:space="preserve">ADDIN Mendeley Bibliography CSL_BIBLIOGRAPHY </w:instrText>
      </w:r>
      <w:r>
        <w:rPr>
          <w:lang w:val="sr-Latn-RS"/>
        </w:rPr>
        <w:fldChar w:fldCharType="separate"/>
      </w:r>
      <w:r w:rsidR="00204994" w:rsidRPr="00204994">
        <w:rPr>
          <w:rFonts w:cs="Times New Roman"/>
          <w:noProof/>
          <w:szCs w:val="24"/>
        </w:rPr>
        <w:t>[1]</w:t>
      </w:r>
      <w:r w:rsidR="00204994" w:rsidRPr="00204994">
        <w:rPr>
          <w:rFonts w:cs="Times New Roman"/>
          <w:noProof/>
          <w:szCs w:val="24"/>
        </w:rPr>
        <w:tab/>
        <w:t xml:space="preserve">A. Russell and L. Vinsel, “Hail to the maintainers,” </w:t>
      </w:r>
      <w:r w:rsidR="00204994" w:rsidRPr="00204994">
        <w:rPr>
          <w:rFonts w:cs="Times New Roman"/>
          <w:i/>
          <w:iCs/>
          <w:noProof/>
          <w:szCs w:val="24"/>
        </w:rPr>
        <w:t>Aeon</w:t>
      </w:r>
      <w:r w:rsidR="00204994" w:rsidRPr="00204994">
        <w:rPr>
          <w:rFonts w:cs="Times New Roman"/>
          <w:noProof/>
          <w:szCs w:val="24"/>
        </w:rPr>
        <w:t>, pp. 1–8, 06-Sep-2016.</w:t>
      </w:r>
    </w:p>
    <w:p w14:paraId="3C4D821D"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[2]</w:t>
      </w:r>
      <w:r w:rsidRPr="00204994">
        <w:rPr>
          <w:rFonts w:cs="Times New Roman"/>
          <w:noProof/>
          <w:szCs w:val="24"/>
        </w:rPr>
        <w:tab/>
        <w:t xml:space="preserve">A. Haines and P. Scheelbeek, “European Green Deal: a major opportunity for health improvement,” </w:t>
      </w:r>
      <w:r w:rsidRPr="00204994">
        <w:rPr>
          <w:rFonts w:cs="Times New Roman"/>
          <w:i/>
          <w:iCs/>
          <w:noProof/>
          <w:szCs w:val="24"/>
        </w:rPr>
        <w:t>Lancet</w:t>
      </w:r>
      <w:r w:rsidRPr="00204994">
        <w:rPr>
          <w:rFonts w:cs="Times New Roman"/>
          <w:noProof/>
          <w:szCs w:val="24"/>
        </w:rPr>
        <w:t>, vol. 395, no. 10233, pp. 1327–1329, 2020 doi:10.1016/S0140-6736(20)30109-4.</w:t>
      </w:r>
    </w:p>
    <w:p w14:paraId="04855F31"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[3]</w:t>
      </w:r>
      <w:r w:rsidRPr="00204994">
        <w:rPr>
          <w:rFonts w:cs="Times New Roman"/>
          <w:noProof/>
          <w:szCs w:val="24"/>
        </w:rPr>
        <w:tab/>
        <w:t>M. Milojevic and F. Nassah, “Digital Industrial Revolution with Predictive Maintenance: Are European businesses ready to streamline their operations and reach higher levels of efficiency?,” CXP Group, 2018.</w:t>
      </w:r>
    </w:p>
    <w:p w14:paraId="0BA18750"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[4]</w:t>
      </w:r>
      <w:r w:rsidRPr="00204994">
        <w:rPr>
          <w:rFonts w:cs="Times New Roman"/>
          <w:noProof/>
          <w:szCs w:val="24"/>
        </w:rPr>
        <w:tab/>
        <w:t xml:space="preserve">I. Alsyouf, “The role of maintenance in improving companies’ productivity and profitability,” </w:t>
      </w:r>
      <w:r w:rsidRPr="00204994">
        <w:rPr>
          <w:rFonts w:cs="Times New Roman"/>
          <w:i/>
          <w:iCs/>
          <w:noProof/>
          <w:szCs w:val="24"/>
        </w:rPr>
        <w:t>Int. J. Prod. Econ.</w:t>
      </w:r>
      <w:r w:rsidRPr="00204994">
        <w:rPr>
          <w:rFonts w:cs="Times New Roman"/>
          <w:noProof/>
          <w:szCs w:val="24"/>
        </w:rPr>
        <w:t>, vol. 105, no. 1, pp. 70–78, 2007 doi:10.1016/j.ijpe.2004.06.057.</w:t>
      </w:r>
    </w:p>
    <w:p w14:paraId="4ED0B77E"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[5]</w:t>
      </w:r>
      <w:r w:rsidRPr="00204994">
        <w:rPr>
          <w:rFonts w:cs="Times New Roman"/>
          <w:noProof/>
          <w:szCs w:val="24"/>
        </w:rPr>
        <w:tab/>
        <w:t>M. Ali-marttila, “Towards Successful Maintenance Service Networks – Capturing Different Value Creation Strategies,” Lappeenranta University of Technology, 2017.</w:t>
      </w:r>
    </w:p>
    <w:p w14:paraId="381C35CA"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[6]</w:t>
      </w:r>
      <w:r w:rsidRPr="00204994">
        <w:rPr>
          <w:rFonts w:cs="Times New Roman"/>
          <w:noProof/>
          <w:szCs w:val="24"/>
        </w:rPr>
        <w:tab/>
        <w:t xml:space="preserve">A. Van Horenbeek, L. Pintelon, and P. Muchiri, “Maintenance optimization models and criteria,” </w:t>
      </w:r>
      <w:r w:rsidRPr="00204994">
        <w:rPr>
          <w:rFonts w:cs="Times New Roman"/>
          <w:i/>
          <w:iCs/>
          <w:noProof/>
          <w:szCs w:val="24"/>
        </w:rPr>
        <w:t>Int. J. Syst. Assur. Eng. Manag.</w:t>
      </w:r>
      <w:r w:rsidRPr="00204994">
        <w:rPr>
          <w:rFonts w:cs="Times New Roman"/>
          <w:noProof/>
          <w:szCs w:val="24"/>
        </w:rPr>
        <w:t>, vol. 1, no. 3, pp. 189–200, 2010 doi:10.1007/s13198-011-0045-x.</w:t>
      </w:r>
    </w:p>
    <w:p w14:paraId="2D485822"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[7]</w:t>
      </w:r>
      <w:r w:rsidRPr="00204994">
        <w:rPr>
          <w:rFonts w:cs="Times New Roman"/>
          <w:noProof/>
          <w:szCs w:val="24"/>
        </w:rPr>
        <w:tab/>
        <w:t xml:space="preserve">C. J. Turner, C. Emmanouilidis, T. Tomiyama, A. Tiwari, and R. Roy, “Intelligent decision support for maintenance: an overview and future trends,” </w:t>
      </w:r>
      <w:r w:rsidRPr="00204994">
        <w:rPr>
          <w:rFonts w:cs="Times New Roman"/>
          <w:i/>
          <w:iCs/>
          <w:noProof/>
          <w:szCs w:val="24"/>
        </w:rPr>
        <w:t>Int. J. Comput. Integr. Manuf.</w:t>
      </w:r>
      <w:r w:rsidRPr="00204994">
        <w:rPr>
          <w:rFonts w:cs="Times New Roman"/>
          <w:noProof/>
          <w:szCs w:val="24"/>
        </w:rPr>
        <w:t>, vol. 32, no. 10, pp. 936–959, Oct. 2019 doi:10.1080/0951192X.2019.1667033.</w:t>
      </w:r>
    </w:p>
    <w:p w14:paraId="4B69CA58"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[8]</w:t>
      </w:r>
      <w:r w:rsidRPr="00204994">
        <w:rPr>
          <w:rFonts w:cs="Times New Roman"/>
          <w:noProof/>
          <w:szCs w:val="24"/>
        </w:rPr>
        <w:tab/>
        <w:t xml:space="preserve">A. Ball, “Engineers and data scientists need to work together,” </w:t>
      </w:r>
      <w:r w:rsidRPr="00204994">
        <w:rPr>
          <w:rFonts w:cs="Times New Roman"/>
          <w:i/>
          <w:iCs/>
          <w:noProof/>
          <w:szCs w:val="24"/>
        </w:rPr>
        <w:t>University of Huddersfield</w:t>
      </w:r>
      <w:r w:rsidRPr="00204994">
        <w:rPr>
          <w:rFonts w:cs="Times New Roman"/>
          <w:noProof/>
          <w:szCs w:val="24"/>
        </w:rPr>
        <w:t>, 2019. [Online]. Available: https://www.hud.ac.uk/news/2019/october/comadem-2019-huddersfield/. [Accessed: 27-Nov-2019].</w:t>
      </w:r>
    </w:p>
    <w:p w14:paraId="34848270"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[9]</w:t>
      </w:r>
      <w:r w:rsidRPr="00204994">
        <w:rPr>
          <w:rFonts w:cs="Times New Roman"/>
          <w:noProof/>
          <w:szCs w:val="24"/>
        </w:rPr>
        <w:tab/>
        <w:t xml:space="preserve">M. Chui, N. Henke, and M. Miremadi, “Most of AI’s Business Uses Will Be in Two Areas,” </w:t>
      </w:r>
      <w:r w:rsidRPr="00204994">
        <w:rPr>
          <w:rFonts w:cs="Times New Roman"/>
          <w:i/>
          <w:iCs/>
          <w:noProof/>
          <w:szCs w:val="24"/>
        </w:rPr>
        <w:t>Harvard Business Review</w:t>
      </w:r>
      <w:r w:rsidRPr="00204994">
        <w:rPr>
          <w:rFonts w:cs="Times New Roman"/>
          <w:noProof/>
          <w:szCs w:val="24"/>
        </w:rPr>
        <w:t>, 2018.</w:t>
      </w:r>
    </w:p>
    <w:p w14:paraId="5A8CCED0"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[10]</w:t>
      </w:r>
      <w:r w:rsidRPr="00204994">
        <w:rPr>
          <w:rFonts w:cs="Times New Roman"/>
          <w:noProof/>
          <w:szCs w:val="24"/>
        </w:rPr>
        <w:tab/>
        <w:t xml:space="preserve">L. Liu, K. P. Logan, D. A. Cartes, and S. K. Srivastava, “Fault detection, diagnostics, and prognostics: Software agent solutions,” </w:t>
      </w:r>
      <w:r w:rsidRPr="00204994">
        <w:rPr>
          <w:rFonts w:cs="Times New Roman"/>
          <w:i/>
          <w:iCs/>
          <w:noProof/>
          <w:szCs w:val="24"/>
        </w:rPr>
        <w:t>IEEE Trans. Veh. Technol.</w:t>
      </w:r>
      <w:r w:rsidRPr="00204994">
        <w:rPr>
          <w:rFonts w:cs="Times New Roman"/>
          <w:noProof/>
          <w:szCs w:val="24"/>
        </w:rPr>
        <w:t>, vol. 56, no. 4 I, pp. 1613–1622, 2007 doi:10.1109/TVT.2007.897219.</w:t>
      </w:r>
    </w:p>
    <w:p w14:paraId="66E6F061"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[11]</w:t>
      </w:r>
      <w:r w:rsidRPr="00204994">
        <w:rPr>
          <w:rFonts w:cs="Times New Roman"/>
          <w:noProof/>
          <w:szCs w:val="24"/>
        </w:rPr>
        <w:tab/>
        <w:t xml:space="preserve">N. Amruthnath and T. Gupta, “A research study on unsupervised machine learning algorithms for early fault detection in predictive maintenance,” </w:t>
      </w:r>
      <w:r w:rsidRPr="00204994">
        <w:rPr>
          <w:rFonts w:cs="Times New Roman"/>
          <w:i/>
          <w:iCs/>
          <w:noProof/>
          <w:szCs w:val="24"/>
        </w:rPr>
        <w:t>2018 5th Int. Conf. Ind. Eng. Appl. ICIEA 2018</w:t>
      </w:r>
      <w:r w:rsidRPr="00204994">
        <w:rPr>
          <w:rFonts w:cs="Times New Roman"/>
          <w:noProof/>
          <w:szCs w:val="24"/>
        </w:rPr>
        <w:t>, no. August 1993, pp. 355–361, 2018 doi:10.1109/IEA.2018.8387124.</w:t>
      </w:r>
    </w:p>
    <w:p w14:paraId="44A0ABE1"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[12]</w:t>
      </w:r>
      <w:r w:rsidRPr="00204994">
        <w:rPr>
          <w:rFonts w:cs="Times New Roman"/>
          <w:noProof/>
          <w:szCs w:val="24"/>
        </w:rPr>
        <w:tab/>
        <w:t xml:space="preserve">S. Byttner, T. Rögnvaldsson, and M. Svensson, “Consensus self-organized models for fault detection (COSMO),” </w:t>
      </w:r>
      <w:r w:rsidRPr="00204994">
        <w:rPr>
          <w:rFonts w:cs="Times New Roman"/>
          <w:i/>
          <w:iCs/>
          <w:noProof/>
          <w:szCs w:val="24"/>
        </w:rPr>
        <w:t>Eng. Appl. Artif. Intell.</w:t>
      </w:r>
      <w:r w:rsidRPr="00204994">
        <w:rPr>
          <w:rFonts w:cs="Times New Roman"/>
          <w:noProof/>
          <w:szCs w:val="24"/>
        </w:rPr>
        <w:t>, vol. 24, no. 5, pp. 833–839, 2011 doi:10.1016/j.engappai.2011.03.002.</w:t>
      </w:r>
    </w:p>
    <w:p w14:paraId="62EEAD21"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[13]</w:t>
      </w:r>
      <w:r w:rsidRPr="00204994">
        <w:rPr>
          <w:rFonts w:cs="Times New Roman"/>
          <w:noProof/>
          <w:szCs w:val="24"/>
        </w:rPr>
        <w:tab/>
        <w:t xml:space="preserve">T. P. Carvalho, F. A. A. M. N. Soares, R. Vita, R. da P. Francisco, J. P. Basto, and S. G. S. Alcalá, “A systematic literature review of machine learning methods applied to predictive maintenance,” </w:t>
      </w:r>
      <w:r w:rsidRPr="00204994">
        <w:rPr>
          <w:rFonts w:cs="Times New Roman"/>
          <w:i/>
          <w:iCs/>
          <w:noProof/>
          <w:szCs w:val="24"/>
        </w:rPr>
        <w:t>Comput. Ind. Eng.</w:t>
      </w:r>
      <w:r w:rsidRPr="00204994">
        <w:rPr>
          <w:rFonts w:cs="Times New Roman"/>
          <w:noProof/>
          <w:szCs w:val="24"/>
        </w:rPr>
        <w:t>, vol. 137, no. August, p. 106024, Nov. 2019 doi:10.1016/j.cie.2019.106024.</w:t>
      </w:r>
    </w:p>
    <w:p w14:paraId="7974B562"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[14]</w:t>
      </w:r>
      <w:r w:rsidRPr="00204994">
        <w:rPr>
          <w:rFonts w:cs="Times New Roman"/>
          <w:noProof/>
          <w:szCs w:val="24"/>
        </w:rPr>
        <w:tab/>
        <w:t xml:space="preserve">S. Tripathi and A. Budhraja, “Cloud Based Sewerage Monitoring and Predictive Maintenance Using Machine Learning,” </w:t>
      </w:r>
      <w:r w:rsidRPr="00204994">
        <w:rPr>
          <w:rFonts w:cs="Times New Roman"/>
          <w:i/>
          <w:iCs/>
          <w:noProof/>
          <w:szCs w:val="24"/>
        </w:rPr>
        <w:t>Int. Res. J. Eng. Technol.</w:t>
      </w:r>
      <w:r w:rsidRPr="00204994">
        <w:rPr>
          <w:rFonts w:cs="Times New Roman"/>
          <w:noProof/>
          <w:szCs w:val="24"/>
        </w:rPr>
        <w:t>, vol. 6, no. 4, pp. 2282–2287, 2019.</w:t>
      </w:r>
    </w:p>
    <w:p w14:paraId="0D5F6E1C"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[15]</w:t>
      </w:r>
      <w:r w:rsidRPr="00204994">
        <w:rPr>
          <w:rFonts w:cs="Times New Roman"/>
          <w:noProof/>
          <w:szCs w:val="24"/>
        </w:rPr>
        <w:tab/>
        <w:t xml:space="preserve">J. LaRiviere, P. McAfee, J. Rao, V. K. Narayanan, and W. Sun, “Where Predictive Analytics Is Having the Biggest Impact,” </w:t>
      </w:r>
      <w:r w:rsidRPr="00204994">
        <w:rPr>
          <w:rFonts w:cs="Times New Roman"/>
          <w:i/>
          <w:iCs/>
          <w:noProof/>
          <w:szCs w:val="24"/>
        </w:rPr>
        <w:t>Harvard Business Review</w:t>
      </w:r>
      <w:r w:rsidRPr="00204994">
        <w:rPr>
          <w:rFonts w:cs="Times New Roman"/>
          <w:noProof/>
          <w:szCs w:val="24"/>
        </w:rPr>
        <w:t>, 2016.</w:t>
      </w:r>
    </w:p>
    <w:p w14:paraId="210FE53E"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lastRenderedPageBreak/>
        <w:t>[16]</w:t>
      </w:r>
      <w:r w:rsidRPr="00204994">
        <w:rPr>
          <w:rFonts w:cs="Times New Roman"/>
          <w:noProof/>
          <w:szCs w:val="24"/>
        </w:rPr>
        <w:tab/>
        <w:t xml:space="preserve">A. Lordsleem and E. Rabbani, “Maintenance Management of Building Projects Work Through Performance Indicators,” in </w:t>
      </w:r>
      <w:r w:rsidRPr="00204994">
        <w:rPr>
          <w:rFonts w:cs="Times New Roman"/>
          <w:i/>
          <w:iCs/>
          <w:noProof/>
          <w:szCs w:val="24"/>
        </w:rPr>
        <w:t>18th CIB World Building Congress</w:t>
      </w:r>
      <w:r w:rsidRPr="00204994">
        <w:rPr>
          <w:rFonts w:cs="Times New Roman"/>
          <w:noProof/>
          <w:szCs w:val="24"/>
        </w:rPr>
        <w:t>, 2010, pp. 203–212.</w:t>
      </w:r>
    </w:p>
    <w:p w14:paraId="79DA306B"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[17]</w:t>
      </w:r>
      <w:r w:rsidRPr="00204994">
        <w:rPr>
          <w:rFonts w:cs="Times New Roman"/>
          <w:noProof/>
          <w:szCs w:val="24"/>
        </w:rPr>
        <w:tab/>
        <w:t xml:space="preserve">K. Wegener, F. Bleicher, P. Krajnik, H. W. Hoffmeister, and C. Brecher, “Recent developments in grinding machines,” </w:t>
      </w:r>
      <w:r w:rsidRPr="00204994">
        <w:rPr>
          <w:rFonts w:cs="Times New Roman"/>
          <w:i/>
          <w:iCs/>
          <w:noProof/>
          <w:szCs w:val="24"/>
        </w:rPr>
        <w:t>CIRP Ann. - Manuf. Technol.</w:t>
      </w:r>
      <w:r w:rsidRPr="00204994">
        <w:rPr>
          <w:rFonts w:cs="Times New Roman"/>
          <w:noProof/>
          <w:szCs w:val="24"/>
        </w:rPr>
        <w:t>, vol. 66, no. 2, pp. 779–802, 2017 doi:10.1016/j.cirp.2017.05.006.</w:t>
      </w:r>
    </w:p>
    <w:p w14:paraId="42808237"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[18]</w:t>
      </w:r>
      <w:r w:rsidRPr="00204994">
        <w:rPr>
          <w:rFonts w:cs="Times New Roman"/>
          <w:noProof/>
          <w:szCs w:val="24"/>
        </w:rPr>
        <w:tab/>
        <w:t xml:space="preserve">R. K. Mobley, </w:t>
      </w:r>
      <w:r w:rsidRPr="00204994">
        <w:rPr>
          <w:rFonts w:cs="Times New Roman"/>
          <w:i/>
          <w:iCs/>
          <w:noProof/>
          <w:szCs w:val="24"/>
        </w:rPr>
        <w:t>An Introduction to Predictive Maintenance</w:t>
      </w:r>
      <w:r w:rsidRPr="00204994">
        <w:rPr>
          <w:rFonts w:cs="Times New Roman"/>
          <w:noProof/>
          <w:szCs w:val="24"/>
        </w:rPr>
        <w:t>, Second ed. Butterworth Heinemann, 2002.</w:t>
      </w:r>
    </w:p>
    <w:p w14:paraId="57104FDF"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[19]</w:t>
      </w:r>
      <w:r w:rsidRPr="00204994">
        <w:rPr>
          <w:rFonts w:cs="Times New Roman"/>
          <w:noProof/>
          <w:szCs w:val="24"/>
        </w:rPr>
        <w:tab/>
        <w:t xml:space="preserve">W. G. Steenken, “Engine operability,” in </w:t>
      </w:r>
      <w:r w:rsidRPr="00204994">
        <w:rPr>
          <w:rFonts w:cs="Times New Roman"/>
          <w:i/>
          <w:iCs/>
          <w:noProof/>
          <w:szCs w:val="24"/>
        </w:rPr>
        <w:t>Aircraft Propulsion Systems Technology and Design</w:t>
      </w:r>
      <w:r w:rsidRPr="00204994">
        <w:rPr>
          <w:rFonts w:cs="Times New Roman"/>
          <w:noProof/>
          <w:szCs w:val="24"/>
        </w:rPr>
        <w:t>, G. C. Oates, Ed. Evandale, Ohio: Routledge, 2005, pp. 28–28.</w:t>
      </w:r>
    </w:p>
    <w:p w14:paraId="27D4FA53"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[20]</w:t>
      </w:r>
      <w:r w:rsidRPr="00204994">
        <w:rPr>
          <w:rFonts w:cs="Times New Roman"/>
          <w:noProof/>
          <w:szCs w:val="24"/>
        </w:rPr>
        <w:tab/>
        <w:t xml:space="preserve">T. H. E. Author, “Designing reliability and maintainability into the RACER system,” </w:t>
      </w:r>
      <w:r w:rsidRPr="00204994">
        <w:rPr>
          <w:rFonts w:cs="Times New Roman"/>
          <w:i/>
          <w:iCs/>
          <w:noProof/>
          <w:szCs w:val="24"/>
        </w:rPr>
        <w:t>Nav. Eng. J.</w:t>
      </w:r>
      <w:r w:rsidRPr="00204994">
        <w:rPr>
          <w:rFonts w:cs="Times New Roman"/>
          <w:noProof/>
          <w:szCs w:val="24"/>
        </w:rPr>
        <w:t>, no. May, 1983.</w:t>
      </w:r>
    </w:p>
    <w:p w14:paraId="3094139A"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[21]</w:t>
      </w:r>
      <w:r w:rsidRPr="00204994">
        <w:rPr>
          <w:rFonts w:cs="Times New Roman"/>
          <w:noProof/>
          <w:szCs w:val="24"/>
        </w:rPr>
        <w:tab/>
        <w:t xml:space="preserve">A. M. Cramer, S. D. Sudhoff, and E. L. Zivi, “Performance metrics for electric warship integrated engineering plant battle damage response,” </w:t>
      </w:r>
      <w:r w:rsidRPr="00204994">
        <w:rPr>
          <w:rFonts w:cs="Times New Roman"/>
          <w:i/>
          <w:iCs/>
          <w:noProof/>
          <w:szCs w:val="24"/>
        </w:rPr>
        <w:t>IEEE Trans. Aerosp. Electron. Syst.</w:t>
      </w:r>
      <w:r w:rsidRPr="00204994">
        <w:rPr>
          <w:rFonts w:cs="Times New Roman"/>
          <w:noProof/>
          <w:szCs w:val="24"/>
        </w:rPr>
        <w:t>, vol. 47, no. 1, pp. 634–646, 2011 doi:10.1109/TAES.2011.5705696.</w:t>
      </w:r>
    </w:p>
    <w:p w14:paraId="3BC0BF6E"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[22]</w:t>
      </w:r>
      <w:r w:rsidRPr="00204994">
        <w:rPr>
          <w:rFonts w:cs="Times New Roman"/>
          <w:noProof/>
          <w:szCs w:val="24"/>
        </w:rPr>
        <w:tab/>
        <w:t xml:space="preserve">A. M. Cramer, S. D. Sudhoff, and E. L. Zivi, “Metric optimization-based design of systems subject to hostile disruptions,” </w:t>
      </w:r>
      <w:r w:rsidRPr="00204994">
        <w:rPr>
          <w:rFonts w:cs="Times New Roman"/>
          <w:i/>
          <w:iCs/>
          <w:noProof/>
          <w:szCs w:val="24"/>
        </w:rPr>
        <w:t>IEEE Trans. Syst. Man, Cybern. Part ASystems Humans</w:t>
      </w:r>
      <w:r w:rsidRPr="00204994">
        <w:rPr>
          <w:rFonts w:cs="Times New Roman"/>
          <w:noProof/>
          <w:szCs w:val="24"/>
        </w:rPr>
        <w:t>, vol. 41, no. 5, pp. 989–1000, 2011 doi:10.1109/TSMCA.2010.2093887.</w:t>
      </w:r>
    </w:p>
    <w:p w14:paraId="6C7CB98C"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[23]</w:t>
      </w:r>
      <w:r w:rsidRPr="00204994">
        <w:rPr>
          <w:rFonts w:cs="Times New Roman"/>
          <w:noProof/>
          <w:szCs w:val="24"/>
        </w:rPr>
        <w:tab/>
        <w:t xml:space="preserve">A. Hoang, P. Do, and B. Iung, “Prognostics on energy efficiency performance for maintenance decision-making: Application to industrial platform TELMA,” in </w:t>
      </w:r>
      <w:r w:rsidRPr="00204994">
        <w:rPr>
          <w:rFonts w:cs="Times New Roman"/>
          <w:i/>
          <w:iCs/>
          <w:noProof/>
          <w:szCs w:val="24"/>
        </w:rPr>
        <w:t>2015 Prognostics and System Health Management Conference (PHM)</w:t>
      </w:r>
      <w:r w:rsidRPr="00204994">
        <w:rPr>
          <w:rFonts w:cs="Times New Roman"/>
          <w:noProof/>
          <w:szCs w:val="24"/>
        </w:rPr>
        <w:t>, 2015, pp. 1–7 doi:10.1109/PHM.2015.7380096.</w:t>
      </w:r>
    </w:p>
    <w:p w14:paraId="07E720DB"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[24]</w:t>
      </w:r>
      <w:r w:rsidRPr="00204994">
        <w:rPr>
          <w:rFonts w:cs="Times New Roman"/>
          <w:noProof/>
          <w:szCs w:val="24"/>
        </w:rPr>
        <w:tab/>
        <w:t xml:space="preserve">A. Hoang, P. Do, and B. Iung, “Energy efficiency performance-based prognostics for aided maintenance decision-making: Application to a manufacturing platform,” </w:t>
      </w:r>
      <w:r w:rsidRPr="00204994">
        <w:rPr>
          <w:rFonts w:cs="Times New Roman"/>
          <w:i/>
          <w:iCs/>
          <w:noProof/>
          <w:szCs w:val="24"/>
        </w:rPr>
        <w:t>J. Clean. Prod.</w:t>
      </w:r>
      <w:r w:rsidRPr="00204994">
        <w:rPr>
          <w:rFonts w:cs="Times New Roman"/>
          <w:noProof/>
          <w:szCs w:val="24"/>
        </w:rPr>
        <w:t>, vol. 142, pp. 2838–2857, 2017 doi:10.1016/j.jclepro.2016.10.185.</w:t>
      </w:r>
    </w:p>
    <w:p w14:paraId="48E421BD"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[25]</w:t>
      </w:r>
      <w:r w:rsidRPr="00204994">
        <w:rPr>
          <w:rFonts w:cs="Times New Roman"/>
          <w:noProof/>
          <w:szCs w:val="24"/>
        </w:rPr>
        <w:tab/>
        <w:t xml:space="preserve">P. Do, A. Hoang, B. Iung, and H. C. Vu, “Energy efficiency for condition-based maintenance decision-making: Application to a manufacturing platform,” </w:t>
      </w:r>
      <w:r w:rsidRPr="00204994">
        <w:rPr>
          <w:rFonts w:cs="Times New Roman"/>
          <w:i/>
          <w:iCs/>
          <w:noProof/>
          <w:szCs w:val="24"/>
        </w:rPr>
        <w:t>Proc. Inst. Mech. Eng. Part O J. Risk Reliab.</w:t>
      </w:r>
      <w:r w:rsidRPr="00204994">
        <w:rPr>
          <w:rFonts w:cs="Times New Roman"/>
          <w:noProof/>
          <w:szCs w:val="24"/>
        </w:rPr>
        <w:t>, vol. 232, no. 4, pp. 379–388, 2018 doi:10.1177/1748006X18762282.</w:t>
      </w:r>
    </w:p>
    <w:p w14:paraId="72EF21A1"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[26]</w:t>
      </w:r>
      <w:r w:rsidRPr="00204994">
        <w:rPr>
          <w:rFonts w:cs="Times New Roman"/>
          <w:noProof/>
          <w:szCs w:val="24"/>
        </w:rPr>
        <w:tab/>
        <w:t xml:space="preserve">M. Orosnjak, “Maintenance Practice Performance Assessment of Hydraulic Machinery: West Balkan Meta-Statistics and Energy-Based Maintenance Paradigm,” in </w:t>
      </w:r>
      <w:r w:rsidRPr="00204994">
        <w:rPr>
          <w:rFonts w:cs="Times New Roman"/>
          <w:i/>
          <w:iCs/>
          <w:noProof/>
          <w:szCs w:val="24"/>
        </w:rPr>
        <w:t>2021 5th International Conference on System Reliability and Safety (ICSRS)</w:t>
      </w:r>
      <w:r w:rsidRPr="00204994">
        <w:rPr>
          <w:rFonts w:cs="Times New Roman"/>
          <w:noProof/>
          <w:szCs w:val="24"/>
        </w:rPr>
        <w:t>, 2021, pp. 108–114 doi:10.1109/ICSRS53853.2021.9660739.</w:t>
      </w:r>
    </w:p>
    <w:p w14:paraId="5AEA12C0"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[27]</w:t>
      </w:r>
      <w:r w:rsidRPr="00204994">
        <w:rPr>
          <w:rFonts w:cs="Times New Roman"/>
          <w:noProof/>
          <w:szCs w:val="24"/>
        </w:rPr>
        <w:tab/>
        <w:t>BSI 13306:2010, “Maintenance — Maintenance terminology,” BSI Standards Publication, United Kingdom, 2010.</w:t>
      </w:r>
    </w:p>
    <w:p w14:paraId="60DE33ED"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[28]</w:t>
      </w:r>
      <w:r w:rsidRPr="00204994">
        <w:rPr>
          <w:rFonts w:cs="Times New Roman"/>
          <w:noProof/>
          <w:szCs w:val="24"/>
        </w:rPr>
        <w:tab/>
        <w:t xml:space="preserve">L. Decker, D. Leite, L. Giommi, and D. Bonacorsi, “Real-time anomaly detection in data centers for log-based predictive maintenance using an evolving fuzzy-rule-based approach,” </w:t>
      </w:r>
      <w:r w:rsidRPr="00204994">
        <w:rPr>
          <w:rFonts w:cs="Times New Roman"/>
          <w:i/>
          <w:iCs/>
          <w:noProof/>
          <w:szCs w:val="24"/>
        </w:rPr>
        <w:t>IEEE Int. Conf. Fuzzy Syst.</w:t>
      </w:r>
      <w:r w:rsidRPr="00204994">
        <w:rPr>
          <w:rFonts w:cs="Times New Roman"/>
          <w:noProof/>
          <w:szCs w:val="24"/>
        </w:rPr>
        <w:t>, vol. 2020-July, 2020 doi:10.1109/FUZZ48607.2020.9177762.</w:t>
      </w:r>
    </w:p>
    <w:p w14:paraId="477B05AE"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[29]</w:t>
      </w:r>
      <w:r w:rsidRPr="00204994">
        <w:rPr>
          <w:rFonts w:cs="Times New Roman"/>
          <w:noProof/>
          <w:szCs w:val="24"/>
        </w:rPr>
        <w:tab/>
        <w:t>J. Fernandez-Anakabe, E. Z. Uriguen, and U. Z. Ortega, “An Attribute Oriented Induction based Methodology for Data Driven Predictive Maintenance,” 2019.</w:t>
      </w:r>
    </w:p>
    <w:p w14:paraId="5595C458"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[30]</w:t>
      </w:r>
      <w:r w:rsidRPr="00204994">
        <w:rPr>
          <w:rFonts w:cs="Times New Roman"/>
          <w:noProof/>
          <w:szCs w:val="24"/>
        </w:rPr>
        <w:tab/>
        <w:t xml:space="preserve">V. Karanović, M. Jocanović, S. Baloš, D. Knežević, and I. Mačužić, “Impact of contaminated fluid on the working performances of hydraulic directional control valves,” </w:t>
      </w:r>
      <w:r w:rsidRPr="00204994">
        <w:rPr>
          <w:rFonts w:cs="Times New Roman"/>
          <w:i/>
          <w:iCs/>
          <w:noProof/>
          <w:szCs w:val="24"/>
        </w:rPr>
        <w:t>Stroj. Vestnik/Journal Mech. Eng.</w:t>
      </w:r>
      <w:r w:rsidRPr="00204994">
        <w:rPr>
          <w:rFonts w:cs="Times New Roman"/>
          <w:noProof/>
          <w:szCs w:val="24"/>
        </w:rPr>
        <w:t>, vol. 65, no. 3, pp. 139–147, 2019 doi:10.5545/sv-jme.2018.5856.</w:t>
      </w:r>
    </w:p>
    <w:p w14:paraId="6D9A3F87"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lastRenderedPageBreak/>
        <w:t>[31]</w:t>
      </w:r>
      <w:r w:rsidRPr="00204994">
        <w:rPr>
          <w:rFonts w:cs="Times New Roman"/>
          <w:noProof/>
          <w:szCs w:val="24"/>
        </w:rPr>
        <w:tab/>
        <w:t xml:space="preserve">M. Baker, “Most common causes of hydraulic systems failure,” </w:t>
      </w:r>
      <w:r w:rsidRPr="00204994">
        <w:rPr>
          <w:rFonts w:cs="Times New Roman"/>
          <w:i/>
          <w:iCs/>
          <w:noProof/>
          <w:szCs w:val="24"/>
        </w:rPr>
        <w:t>York Precision</w:t>
      </w:r>
      <w:r w:rsidRPr="00204994">
        <w:rPr>
          <w:rFonts w:cs="Times New Roman"/>
          <w:noProof/>
          <w:szCs w:val="24"/>
        </w:rPr>
        <w:t>, 2020. [Online]. Available: https://yorkpmh.com/resources/common-hydraulic-system-problems/.</w:t>
      </w:r>
    </w:p>
    <w:p w14:paraId="51841CE5"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[32]</w:t>
      </w:r>
      <w:r w:rsidRPr="00204994">
        <w:rPr>
          <w:rFonts w:cs="Times New Roman"/>
          <w:noProof/>
          <w:szCs w:val="24"/>
        </w:rPr>
        <w:tab/>
        <w:t>MAChydraulics, “Effects of temperature on hydraulic systems.” [Online]. Available: https://mac-hyd.com/blog/hydraulic-system-temperatures/.</w:t>
      </w:r>
    </w:p>
    <w:p w14:paraId="54556AF6"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[33]</w:t>
      </w:r>
      <w:r w:rsidRPr="00204994">
        <w:rPr>
          <w:rFonts w:cs="Times New Roman"/>
          <w:noProof/>
          <w:szCs w:val="24"/>
        </w:rPr>
        <w:tab/>
        <w:t xml:space="preserve">M. J. Leach, “Evidence-based practice: A framework for clinical practice and research design,” </w:t>
      </w:r>
      <w:r w:rsidRPr="00204994">
        <w:rPr>
          <w:rFonts w:cs="Times New Roman"/>
          <w:i/>
          <w:iCs/>
          <w:noProof/>
          <w:szCs w:val="24"/>
        </w:rPr>
        <w:t>Int. J. Nurs. Pract.</w:t>
      </w:r>
      <w:r w:rsidRPr="00204994">
        <w:rPr>
          <w:rFonts w:cs="Times New Roman"/>
          <w:noProof/>
          <w:szCs w:val="24"/>
        </w:rPr>
        <w:t>, vol. 12, no. 5, pp. 248–251, Oct. 2006 doi:10.1111/j.1440-172X.2006.00587.x.</w:t>
      </w:r>
    </w:p>
    <w:p w14:paraId="6BF53D2D"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[34]</w:t>
      </w:r>
      <w:r w:rsidRPr="00204994">
        <w:rPr>
          <w:rFonts w:cs="Times New Roman"/>
          <w:noProof/>
          <w:szCs w:val="24"/>
        </w:rPr>
        <w:tab/>
        <w:t xml:space="preserve">K. Morrell, “The narrative of ‘evidence based’ management: A polemic,” </w:t>
      </w:r>
      <w:r w:rsidRPr="00204994">
        <w:rPr>
          <w:rFonts w:cs="Times New Roman"/>
          <w:i/>
          <w:iCs/>
          <w:noProof/>
          <w:szCs w:val="24"/>
        </w:rPr>
        <w:t>J. Manag. Stud.</w:t>
      </w:r>
      <w:r w:rsidRPr="00204994">
        <w:rPr>
          <w:rFonts w:cs="Times New Roman"/>
          <w:noProof/>
          <w:szCs w:val="24"/>
        </w:rPr>
        <w:t>, vol. 45, no. 3, pp. 613–635, 2008 doi:10.1111/j.1467-6486.2007.00755.x.</w:t>
      </w:r>
    </w:p>
    <w:p w14:paraId="3A38D112"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[35]</w:t>
      </w:r>
      <w:r w:rsidRPr="00204994">
        <w:rPr>
          <w:rFonts w:cs="Times New Roman"/>
          <w:noProof/>
          <w:szCs w:val="24"/>
        </w:rPr>
        <w:tab/>
        <w:t xml:space="preserve">Z. Munn, M. D. J. Peters, C. Stern, C. Tufanaru, A. McArthur, and E. Aromataris, “Systematic review or scoping review? Guidance for authors when choosing between a systematic or scoping review approach,” </w:t>
      </w:r>
      <w:r w:rsidRPr="00204994">
        <w:rPr>
          <w:rFonts w:cs="Times New Roman"/>
          <w:i/>
          <w:iCs/>
          <w:noProof/>
          <w:szCs w:val="24"/>
        </w:rPr>
        <w:t>BMC Med. Res. Methodol.</w:t>
      </w:r>
      <w:r w:rsidRPr="00204994">
        <w:rPr>
          <w:rFonts w:cs="Times New Roman"/>
          <w:noProof/>
          <w:szCs w:val="24"/>
        </w:rPr>
        <w:t>, vol. 18, no. 1, pp. 1–7, 2018 doi:10.1186/s12874-018-0611-x.</w:t>
      </w:r>
    </w:p>
    <w:p w14:paraId="30B984C5"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[36]</w:t>
      </w:r>
      <w:r w:rsidRPr="00204994">
        <w:rPr>
          <w:rFonts w:cs="Times New Roman"/>
          <w:noProof/>
          <w:szCs w:val="24"/>
        </w:rPr>
        <w:tab/>
        <w:t xml:space="preserve">S. P. Pires, O. Sénéchal, F. Deschamps, E. F. R. Loures, and M. G. Perroni, “Industrial maintenance for sustainable performance: A systematic literature review,” in </w:t>
      </w:r>
      <w:r w:rsidRPr="00204994">
        <w:rPr>
          <w:rFonts w:cs="Times New Roman"/>
          <w:i/>
          <w:iCs/>
          <w:noProof/>
          <w:szCs w:val="24"/>
        </w:rPr>
        <w:t>23rd International Conference for Production Research, ICPR 2015</w:t>
      </w:r>
      <w:r w:rsidRPr="00204994">
        <w:rPr>
          <w:rFonts w:cs="Times New Roman"/>
          <w:noProof/>
          <w:szCs w:val="24"/>
        </w:rPr>
        <w:t>, 2015, no. 23, pp. 1–15.</w:t>
      </w:r>
    </w:p>
    <w:p w14:paraId="58273C40"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[37]</w:t>
      </w:r>
      <w:r w:rsidRPr="00204994">
        <w:rPr>
          <w:rFonts w:cs="Times New Roman"/>
          <w:noProof/>
          <w:szCs w:val="24"/>
        </w:rPr>
        <w:tab/>
        <w:t xml:space="preserve">K. Gandhi and A. H. C. Ng, “Machine Maintenance Decision Support System: A Systematic Literature Review,” in </w:t>
      </w:r>
      <w:r w:rsidRPr="00204994">
        <w:rPr>
          <w:rFonts w:cs="Times New Roman"/>
          <w:i/>
          <w:iCs/>
          <w:noProof/>
          <w:szCs w:val="24"/>
        </w:rPr>
        <w:t>Advances in Manufacturing Technology</w:t>
      </w:r>
      <w:r w:rsidRPr="00204994">
        <w:rPr>
          <w:rFonts w:cs="Times New Roman"/>
          <w:noProof/>
          <w:szCs w:val="24"/>
        </w:rPr>
        <w:t>, 2018, pp. 349–354 doi:10.3233/978-1-61499-902-7-349.</w:t>
      </w:r>
    </w:p>
    <w:p w14:paraId="743F5669"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[38]</w:t>
      </w:r>
      <w:r w:rsidRPr="00204994">
        <w:rPr>
          <w:rFonts w:cs="Times New Roman"/>
          <w:noProof/>
          <w:szCs w:val="24"/>
        </w:rPr>
        <w:tab/>
        <w:t xml:space="preserve">D. Budgen and P. Brereton, “Performing Systematic Literature Reviews in Software Engineering,” in </w:t>
      </w:r>
      <w:r w:rsidRPr="00204994">
        <w:rPr>
          <w:rFonts w:cs="Times New Roman"/>
          <w:i/>
          <w:iCs/>
          <w:noProof/>
          <w:szCs w:val="24"/>
        </w:rPr>
        <w:t>ICSE’06: Proceedings of the 28th international conference on Software engineering</w:t>
      </w:r>
      <w:r w:rsidRPr="00204994">
        <w:rPr>
          <w:rFonts w:cs="Times New Roman"/>
          <w:noProof/>
          <w:szCs w:val="24"/>
        </w:rPr>
        <w:t>, 2006, vol. 6, pp. 1051–1052 doi:10.1080/00378941.1935.10832973.</w:t>
      </w:r>
    </w:p>
    <w:p w14:paraId="3CE30151"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[39]</w:t>
      </w:r>
      <w:r w:rsidRPr="00204994">
        <w:rPr>
          <w:rFonts w:cs="Times New Roman"/>
          <w:noProof/>
          <w:szCs w:val="24"/>
        </w:rPr>
        <w:tab/>
        <w:t xml:space="preserve">A. C. Tricco </w:t>
      </w:r>
      <w:r w:rsidRPr="00204994">
        <w:rPr>
          <w:rFonts w:cs="Times New Roman"/>
          <w:i/>
          <w:iCs/>
          <w:noProof/>
          <w:szCs w:val="24"/>
        </w:rPr>
        <w:t>et al.</w:t>
      </w:r>
      <w:r w:rsidRPr="00204994">
        <w:rPr>
          <w:rFonts w:cs="Times New Roman"/>
          <w:noProof/>
          <w:szCs w:val="24"/>
        </w:rPr>
        <w:t xml:space="preserve">, “PRISMA extension for scoping reviews (PRISMA-ScR): Checklist and explanation,” </w:t>
      </w:r>
      <w:r w:rsidRPr="00204994">
        <w:rPr>
          <w:rFonts w:cs="Times New Roman"/>
          <w:i/>
          <w:iCs/>
          <w:noProof/>
          <w:szCs w:val="24"/>
        </w:rPr>
        <w:t>Ann. Intern. Med.</w:t>
      </w:r>
      <w:r w:rsidRPr="00204994">
        <w:rPr>
          <w:rFonts w:cs="Times New Roman"/>
          <w:noProof/>
          <w:szCs w:val="24"/>
        </w:rPr>
        <w:t>, vol. 169, no. 7, pp. 467–473, 2018 doi:10.7326/M18-0850.</w:t>
      </w:r>
    </w:p>
    <w:p w14:paraId="6BB64DF9"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[40]</w:t>
      </w:r>
      <w:r w:rsidRPr="00204994">
        <w:rPr>
          <w:rFonts w:cs="Times New Roman"/>
          <w:noProof/>
          <w:szCs w:val="24"/>
        </w:rPr>
        <w:tab/>
        <w:t xml:space="preserve">D. Moher, “Preferred Reporting Items for Systematic Reviews and Meta-Analyses: The PRISMA Statement,” </w:t>
      </w:r>
      <w:r w:rsidRPr="00204994">
        <w:rPr>
          <w:rFonts w:cs="Times New Roman"/>
          <w:i/>
          <w:iCs/>
          <w:noProof/>
          <w:szCs w:val="24"/>
        </w:rPr>
        <w:t>Ann. Intern. Med.</w:t>
      </w:r>
      <w:r w:rsidRPr="00204994">
        <w:rPr>
          <w:rFonts w:cs="Times New Roman"/>
          <w:noProof/>
          <w:szCs w:val="24"/>
        </w:rPr>
        <w:t>, vol. 151, no. 4, p. 264, Aug. 2009 doi:10.7326/0003-4819-151-4-200908180-00135.</w:t>
      </w:r>
    </w:p>
    <w:p w14:paraId="4BDA4996"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[41]</w:t>
      </w:r>
      <w:r w:rsidRPr="00204994">
        <w:rPr>
          <w:rFonts w:cs="Times New Roman"/>
          <w:noProof/>
          <w:szCs w:val="24"/>
        </w:rPr>
        <w:tab/>
        <w:t xml:space="preserve">C. Smith, R. Baveja, T. Grieb, and G. A. Mashour, “Toward a science of translational science,” </w:t>
      </w:r>
      <w:r w:rsidRPr="00204994">
        <w:rPr>
          <w:rFonts w:cs="Times New Roman"/>
          <w:i/>
          <w:iCs/>
          <w:noProof/>
          <w:szCs w:val="24"/>
        </w:rPr>
        <w:t>J. Clin. Transl. Sci.</w:t>
      </w:r>
      <w:r w:rsidRPr="00204994">
        <w:rPr>
          <w:rFonts w:cs="Times New Roman"/>
          <w:noProof/>
          <w:szCs w:val="24"/>
        </w:rPr>
        <w:t>, vol. 1, no. 4, pp. 253–255, 2017 doi:10.1017/cts.2017.14.</w:t>
      </w:r>
    </w:p>
    <w:p w14:paraId="1045CA59"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[42]</w:t>
      </w:r>
      <w:r w:rsidRPr="00204994">
        <w:rPr>
          <w:rFonts w:cs="Times New Roman"/>
          <w:noProof/>
          <w:szCs w:val="24"/>
        </w:rPr>
        <w:tab/>
        <w:t xml:space="preserve">J. M. Wakiru, L. Pintelon, P. N. Muchiri, and P. K. Chemweno, “A review on lubricant condition monitoring information analysis for maintenance decision support,” </w:t>
      </w:r>
      <w:r w:rsidRPr="00204994">
        <w:rPr>
          <w:rFonts w:cs="Times New Roman"/>
          <w:i/>
          <w:iCs/>
          <w:noProof/>
          <w:szCs w:val="24"/>
        </w:rPr>
        <w:t>Mech. Syst. Signal Process.</w:t>
      </w:r>
      <w:r w:rsidRPr="00204994">
        <w:rPr>
          <w:rFonts w:cs="Times New Roman"/>
          <w:noProof/>
          <w:szCs w:val="24"/>
        </w:rPr>
        <w:t>, vol. 118, pp. 108–132, Mar. 2019 doi:10.1016/j.ymssp.2018.08.039.</w:t>
      </w:r>
    </w:p>
    <w:p w14:paraId="60707D6A"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[43]</w:t>
      </w:r>
      <w:r w:rsidRPr="00204994">
        <w:rPr>
          <w:rFonts w:cs="Times New Roman"/>
          <w:noProof/>
          <w:szCs w:val="24"/>
        </w:rPr>
        <w:tab/>
        <w:t xml:space="preserve">E. Ruschel, E. A. P. Santos, and E. de F. R. Loures, “Industrial maintenance decision-making: A systematic literature review,” </w:t>
      </w:r>
      <w:r w:rsidRPr="00204994">
        <w:rPr>
          <w:rFonts w:cs="Times New Roman"/>
          <w:i/>
          <w:iCs/>
          <w:noProof/>
          <w:szCs w:val="24"/>
        </w:rPr>
        <w:t>J. Manuf. Syst.</w:t>
      </w:r>
      <w:r w:rsidRPr="00204994">
        <w:rPr>
          <w:rFonts w:cs="Times New Roman"/>
          <w:noProof/>
          <w:szCs w:val="24"/>
        </w:rPr>
        <w:t>, vol. 45, pp. 180–194, Oct. 2017 doi:10.1016/j.jmsy.2017.09.003.</w:t>
      </w:r>
    </w:p>
    <w:p w14:paraId="5688377A"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[44]</w:t>
      </w:r>
      <w:r w:rsidRPr="00204994">
        <w:rPr>
          <w:rFonts w:cs="Times New Roman"/>
          <w:noProof/>
          <w:szCs w:val="24"/>
        </w:rPr>
        <w:tab/>
        <w:t xml:space="preserve">C. M. Nino, M. Albano, E. Jantunen, P. Sharma, J. Campos, and D. Baglee, “An iterative process to extract value from maintenance projects,” in </w:t>
      </w:r>
      <w:r w:rsidRPr="00204994">
        <w:rPr>
          <w:rFonts w:cs="Times New Roman"/>
          <w:i/>
          <w:iCs/>
          <w:noProof/>
          <w:szCs w:val="24"/>
        </w:rPr>
        <w:t>incoME-III Conference</w:t>
      </w:r>
      <w:r w:rsidRPr="00204994">
        <w:rPr>
          <w:rFonts w:cs="Times New Roman"/>
          <w:noProof/>
          <w:szCs w:val="24"/>
        </w:rPr>
        <w:t>, 2018, pp. 1–16.</w:t>
      </w:r>
    </w:p>
    <w:p w14:paraId="42C539B5"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[45]</w:t>
      </w:r>
      <w:r w:rsidRPr="00204994">
        <w:rPr>
          <w:rFonts w:cs="Times New Roman"/>
          <w:noProof/>
          <w:szCs w:val="24"/>
        </w:rPr>
        <w:tab/>
        <w:t>Deloitte, “Evaluation of the results and anticipated socio-economic impact of completed projects of the Growth Programme,” 2006.</w:t>
      </w:r>
    </w:p>
    <w:p w14:paraId="2343AE4C"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[46]</w:t>
      </w:r>
      <w:r w:rsidRPr="00204994">
        <w:rPr>
          <w:rFonts w:cs="Times New Roman"/>
          <w:noProof/>
          <w:szCs w:val="24"/>
        </w:rPr>
        <w:tab/>
        <w:t xml:space="preserve">P. S. Muttaqin and D. D. Damayanti, “Joint Optimization of Inventory and Preventive Maintenance: Systematic Literature Review and Research Agenda,” </w:t>
      </w:r>
      <w:r w:rsidRPr="00204994">
        <w:rPr>
          <w:rFonts w:cs="Times New Roman"/>
          <w:i/>
          <w:iCs/>
          <w:noProof/>
          <w:szCs w:val="24"/>
        </w:rPr>
        <w:t>J. Ind. Intell. Inf.</w:t>
      </w:r>
      <w:r w:rsidRPr="00204994">
        <w:rPr>
          <w:rFonts w:cs="Times New Roman"/>
          <w:noProof/>
          <w:szCs w:val="24"/>
        </w:rPr>
        <w:t xml:space="preserve">, vol. 6, </w:t>
      </w:r>
      <w:r w:rsidRPr="00204994">
        <w:rPr>
          <w:rFonts w:cs="Times New Roman"/>
          <w:noProof/>
          <w:szCs w:val="24"/>
        </w:rPr>
        <w:lastRenderedPageBreak/>
        <w:t>no. 2, pp. 45–49, 2018 doi:10.18178/jiii.6.2.45-49.</w:t>
      </w:r>
    </w:p>
    <w:p w14:paraId="76824F68"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[47]</w:t>
      </w:r>
      <w:r w:rsidRPr="00204994">
        <w:rPr>
          <w:rFonts w:cs="Times New Roman"/>
          <w:noProof/>
          <w:szCs w:val="24"/>
        </w:rPr>
        <w:tab/>
        <w:t xml:space="preserve">A. Purarjomandlangrudi, G. Nourbakhsh, M. Esmalifalak, and A. Tan, “Fault Detection in Wind Turbine: A Systematic Literature Review,” </w:t>
      </w:r>
      <w:r w:rsidRPr="00204994">
        <w:rPr>
          <w:rFonts w:cs="Times New Roman"/>
          <w:i/>
          <w:iCs/>
          <w:noProof/>
          <w:szCs w:val="24"/>
        </w:rPr>
        <w:t>Wind Eng.</w:t>
      </w:r>
      <w:r w:rsidRPr="00204994">
        <w:rPr>
          <w:rFonts w:cs="Times New Roman"/>
          <w:noProof/>
          <w:szCs w:val="24"/>
        </w:rPr>
        <w:t>, vol. 37, no. 5, pp. 535–547, Oct. 2013 doi:10.1260/0309-524X.37.5.535.</w:t>
      </w:r>
    </w:p>
    <w:p w14:paraId="002D32A9"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[48]</w:t>
      </w:r>
      <w:r w:rsidRPr="00204994">
        <w:rPr>
          <w:rFonts w:cs="Times New Roman"/>
          <w:noProof/>
          <w:szCs w:val="24"/>
        </w:rPr>
        <w:tab/>
        <w:t xml:space="preserve">O. Sénéchal, “Performance indicators nomenclatures for decision making in sustainable conditions based maintenance,” </w:t>
      </w:r>
      <w:r w:rsidRPr="00204994">
        <w:rPr>
          <w:rFonts w:cs="Times New Roman"/>
          <w:i/>
          <w:iCs/>
          <w:noProof/>
          <w:szCs w:val="24"/>
        </w:rPr>
        <w:t>IFAC-PapersOnLine</w:t>
      </w:r>
      <w:r w:rsidRPr="00204994">
        <w:rPr>
          <w:rFonts w:cs="Times New Roman"/>
          <w:noProof/>
          <w:szCs w:val="24"/>
        </w:rPr>
        <w:t>, vol. 51, no. 11, pp. 1137–1142, 2018 doi:10.1016/j.ifacol.2018.08.438.</w:t>
      </w:r>
    </w:p>
    <w:p w14:paraId="60FD23D5"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[49]</w:t>
      </w:r>
      <w:r w:rsidRPr="00204994">
        <w:rPr>
          <w:rFonts w:cs="Times New Roman"/>
          <w:noProof/>
          <w:szCs w:val="24"/>
        </w:rPr>
        <w:tab/>
        <w:t xml:space="preserve">C. Franciosi, B. Iung, S. Miranda, and S. Riemma, “Maintenance for Sustainability in the Industry 4.0 context: a Scoping Literature Review,” </w:t>
      </w:r>
      <w:r w:rsidRPr="00204994">
        <w:rPr>
          <w:rFonts w:cs="Times New Roman"/>
          <w:i/>
          <w:iCs/>
          <w:noProof/>
          <w:szCs w:val="24"/>
        </w:rPr>
        <w:t>IFAC-PapersOnLine</w:t>
      </w:r>
      <w:r w:rsidRPr="00204994">
        <w:rPr>
          <w:rFonts w:cs="Times New Roman"/>
          <w:noProof/>
          <w:szCs w:val="24"/>
        </w:rPr>
        <w:t>, vol. 51, no. 11, pp. 903–908, 2018 doi:10.1016/j.ifacol.2018.08.459.</w:t>
      </w:r>
    </w:p>
    <w:p w14:paraId="6A54832F"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[50]</w:t>
      </w:r>
      <w:r w:rsidRPr="00204994">
        <w:rPr>
          <w:rFonts w:cs="Times New Roman"/>
          <w:noProof/>
          <w:szCs w:val="24"/>
        </w:rPr>
        <w:tab/>
        <w:t>E. Commission, “Quick Guide to Horizon Dashboard: EU Research and Innovation data at your fingertips,” European Union, Luxembourg, 2018 doi:10.2777/015164.</w:t>
      </w:r>
    </w:p>
    <w:p w14:paraId="4739A460"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[51]</w:t>
      </w:r>
      <w:r w:rsidRPr="00204994">
        <w:rPr>
          <w:rFonts w:cs="Times New Roman"/>
          <w:noProof/>
          <w:szCs w:val="24"/>
        </w:rPr>
        <w:tab/>
        <w:t>European Commission, “Orientations Towards the First Strategic Plan for Horizon Europe,” 2019. [Online]. Available: https://ec.europa.eu/info/sites/info/files/research_and_innovation/strategy_on_research_and_innovation/documents/ec_rtd_he-orientations-towards-strategic-plan_102019.pdf. [Accessed: 03-Dec-2019].</w:t>
      </w:r>
    </w:p>
    <w:p w14:paraId="0963CBD9"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[52]</w:t>
      </w:r>
      <w:r w:rsidRPr="00204994">
        <w:rPr>
          <w:rFonts w:cs="Times New Roman"/>
          <w:noProof/>
          <w:szCs w:val="24"/>
        </w:rPr>
        <w:tab/>
        <w:t xml:space="preserve">K. Vikhorev, R. Greenough, and N. Brown, “An advanced energy management framework to promote energy awareness,” </w:t>
      </w:r>
      <w:r w:rsidRPr="00204994">
        <w:rPr>
          <w:rFonts w:cs="Times New Roman"/>
          <w:i/>
          <w:iCs/>
          <w:noProof/>
          <w:szCs w:val="24"/>
        </w:rPr>
        <w:t>J. Clean. Prod.</w:t>
      </w:r>
      <w:r w:rsidRPr="00204994">
        <w:rPr>
          <w:rFonts w:cs="Times New Roman"/>
          <w:noProof/>
          <w:szCs w:val="24"/>
        </w:rPr>
        <w:t>, vol. 43, pp. 103–112, 2013 doi:10.1016/j.jclepro.2012.12.012.</w:t>
      </w:r>
    </w:p>
    <w:p w14:paraId="548FF68F"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[53]</w:t>
      </w:r>
      <w:r w:rsidRPr="00204994">
        <w:rPr>
          <w:rFonts w:cs="Times New Roman"/>
          <w:noProof/>
          <w:szCs w:val="24"/>
        </w:rPr>
        <w:tab/>
        <w:t xml:space="preserve">A. C. Márquez, A. de la Fuente Carmona, and S. Antomarioni, “A process to implement an artificial neural network and association rules techniques to improve asset performance and energy efficiency,” </w:t>
      </w:r>
      <w:r w:rsidRPr="00204994">
        <w:rPr>
          <w:rFonts w:cs="Times New Roman"/>
          <w:i/>
          <w:iCs/>
          <w:noProof/>
          <w:szCs w:val="24"/>
        </w:rPr>
        <w:t>Energies</w:t>
      </w:r>
      <w:r w:rsidRPr="00204994">
        <w:rPr>
          <w:rFonts w:cs="Times New Roman"/>
          <w:noProof/>
          <w:szCs w:val="24"/>
        </w:rPr>
        <w:t>, vol. 12, no. 18, 2019 doi:10.3390/en12183454.</w:t>
      </w:r>
    </w:p>
    <w:p w14:paraId="31F2A4AA"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[54]</w:t>
      </w:r>
      <w:r w:rsidRPr="00204994">
        <w:rPr>
          <w:rFonts w:cs="Times New Roman"/>
          <w:noProof/>
          <w:szCs w:val="24"/>
        </w:rPr>
        <w:tab/>
        <w:t xml:space="preserve">M. Orošnjak, M. Jocanović, and V. Karanović, “Applying Contamination Control for Improved Prognostics and Health Management of Hydraulic Systems,” in </w:t>
      </w:r>
      <w:r w:rsidRPr="00204994">
        <w:rPr>
          <w:rFonts w:cs="Times New Roman"/>
          <w:i/>
          <w:iCs/>
          <w:noProof/>
          <w:szCs w:val="24"/>
        </w:rPr>
        <w:t>Advances in Asset Management and Condition Monitoring</w:t>
      </w:r>
      <w:r w:rsidRPr="00204994">
        <w:rPr>
          <w:rFonts w:cs="Times New Roman"/>
          <w:noProof/>
          <w:szCs w:val="24"/>
        </w:rPr>
        <w:t>, Springer Nature Switzerland AG 2020, 2020, pp. 583–596 doi:10.1007/978-3-030-57745-2_49.</w:t>
      </w:r>
    </w:p>
    <w:p w14:paraId="44A3E9FF"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[55]</w:t>
      </w:r>
      <w:r w:rsidRPr="00204994">
        <w:rPr>
          <w:rFonts w:cs="Times New Roman"/>
          <w:noProof/>
          <w:szCs w:val="24"/>
        </w:rPr>
        <w:tab/>
        <w:t xml:space="preserve">M. Knowles and D. Baglee, “The role of maintenance in energy saving in commercial refrigeration,” </w:t>
      </w:r>
      <w:r w:rsidRPr="00204994">
        <w:rPr>
          <w:rFonts w:cs="Times New Roman"/>
          <w:i/>
          <w:iCs/>
          <w:noProof/>
          <w:szCs w:val="24"/>
        </w:rPr>
        <w:t>J. Qual. Maint. Eng.</w:t>
      </w:r>
      <w:r w:rsidRPr="00204994">
        <w:rPr>
          <w:rFonts w:cs="Times New Roman"/>
          <w:noProof/>
          <w:szCs w:val="24"/>
        </w:rPr>
        <w:t>, vol. 18, no. 3, pp. 282–294, 2012 doi:10.1108/13552511211265848.</w:t>
      </w:r>
    </w:p>
    <w:p w14:paraId="5F54A61D"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[56]</w:t>
      </w:r>
      <w:r w:rsidRPr="00204994">
        <w:rPr>
          <w:rFonts w:cs="Times New Roman"/>
          <w:noProof/>
          <w:szCs w:val="24"/>
        </w:rPr>
        <w:tab/>
        <w:t xml:space="preserve">B. Iung and E. Levrat, “Advanced maintenance services for promoting sustainability,” </w:t>
      </w:r>
      <w:r w:rsidRPr="00204994">
        <w:rPr>
          <w:rFonts w:cs="Times New Roman"/>
          <w:i/>
          <w:iCs/>
          <w:noProof/>
          <w:szCs w:val="24"/>
        </w:rPr>
        <w:t>Procedia CIRP</w:t>
      </w:r>
      <w:r w:rsidRPr="00204994">
        <w:rPr>
          <w:rFonts w:cs="Times New Roman"/>
          <w:noProof/>
          <w:szCs w:val="24"/>
        </w:rPr>
        <w:t>, vol. 22, no. 1, pp. 15–22, 2014 doi:10.1016/j.procir.2014.07.018.</w:t>
      </w:r>
    </w:p>
    <w:p w14:paraId="4D759581"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[57]</w:t>
      </w:r>
      <w:r w:rsidRPr="00204994">
        <w:rPr>
          <w:rFonts w:cs="Times New Roman"/>
          <w:noProof/>
          <w:szCs w:val="24"/>
        </w:rPr>
        <w:tab/>
        <w:t xml:space="preserve">Y. An, X. Chen, J. Zhang, and Y. Li, “A hybrid multi-objective evolutionary algorithm to integrate optimization of the production scheduling and imperfect cutting tool maintenance considering total energy consumption,” </w:t>
      </w:r>
      <w:r w:rsidRPr="00204994">
        <w:rPr>
          <w:rFonts w:cs="Times New Roman"/>
          <w:i/>
          <w:iCs/>
          <w:noProof/>
          <w:szCs w:val="24"/>
        </w:rPr>
        <w:t>J. Clean. Prod.</w:t>
      </w:r>
      <w:r w:rsidRPr="00204994">
        <w:rPr>
          <w:rFonts w:cs="Times New Roman"/>
          <w:noProof/>
          <w:szCs w:val="24"/>
        </w:rPr>
        <w:t>, vol. 268, p. 121540, Sep. 2020 doi:10.1016/j.jclepro.2020.121540.</w:t>
      </w:r>
    </w:p>
    <w:p w14:paraId="32F55014"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[58]</w:t>
      </w:r>
      <w:r w:rsidRPr="00204994">
        <w:rPr>
          <w:rFonts w:cs="Times New Roman"/>
          <w:noProof/>
          <w:szCs w:val="24"/>
        </w:rPr>
        <w:tab/>
        <w:t xml:space="preserve">D. Moher, A. Liberati, J. Tetzlaff, and D. G. Altman, “Preferred Reporting Items for Systematic Reviews and Meta-Analyses: The PRISMA Statement,” </w:t>
      </w:r>
      <w:r w:rsidRPr="00204994">
        <w:rPr>
          <w:rFonts w:cs="Times New Roman"/>
          <w:i/>
          <w:iCs/>
          <w:noProof/>
          <w:szCs w:val="24"/>
        </w:rPr>
        <w:t>PLoS Med.</w:t>
      </w:r>
      <w:r w:rsidRPr="00204994">
        <w:rPr>
          <w:rFonts w:cs="Times New Roman"/>
          <w:noProof/>
          <w:szCs w:val="24"/>
        </w:rPr>
        <w:t>, vol. 6, no. 7, p. e1000097, Jul. 2009 doi:10.1371/journal.pmed.1000097.</w:t>
      </w:r>
    </w:p>
    <w:p w14:paraId="080DDD6B"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[59]</w:t>
      </w:r>
      <w:r w:rsidRPr="00204994">
        <w:rPr>
          <w:rFonts w:cs="Times New Roman"/>
          <w:noProof/>
          <w:szCs w:val="24"/>
        </w:rPr>
        <w:tab/>
        <w:t xml:space="preserve">K. Ashton, “That ‘Internet of Things’ Thing,” </w:t>
      </w:r>
      <w:r w:rsidRPr="00204994">
        <w:rPr>
          <w:rFonts w:cs="Times New Roman"/>
          <w:i/>
          <w:iCs/>
          <w:noProof/>
          <w:szCs w:val="24"/>
        </w:rPr>
        <w:t>RFID Journal</w:t>
      </w:r>
      <w:r w:rsidRPr="00204994">
        <w:rPr>
          <w:rFonts w:cs="Times New Roman"/>
          <w:noProof/>
          <w:szCs w:val="24"/>
        </w:rPr>
        <w:t>, 2009. [Online]. Available: https://www.rfidjournal.com/articles/view?4986. [Accessed: 30-Nov-2019].</w:t>
      </w:r>
    </w:p>
    <w:p w14:paraId="16F416A8"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[60]</w:t>
      </w:r>
      <w:r w:rsidRPr="00204994">
        <w:rPr>
          <w:rFonts w:cs="Times New Roman"/>
          <w:noProof/>
          <w:szCs w:val="24"/>
        </w:rPr>
        <w:tab/>
        <w:t xml:space="preserve">T. Goetz, “Harnessing the Power of Feedback Loops,” </w:t>
      </w:r>
      <w:r w:rsidRPr="00204994">
        <w:rPr>
          <w:rFonts w:cs="Times New Roman"/>
          <w:i/>
          <w:iCs/>
          <w:noProof/>
          <w:szCs w:val="24"/>
        </w:rPr>
        <w:t>Wired Magazine</w:t>
      </w:r>
      <w:r w:rsidRPr="00204994">
        <w:rPr>
          <w:rFonts w:cs="Times New Roman"/>
          <w:noProof/>
          <w:szCs w:val="24"/>
        </w:rPr>
        <w:t>, 2011.</w:t>
      </w:r>
    </w:p>
    <w:p w14:paraId="2D15FB22"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[61]</w:t>
      </w:r>
      <w:r w:rsidRPr="00204994">
        <w:rPr>
          <w:rFonts w:cs="Times New Roman"/>
          <w:noProof/>
          <w:szCs w:val="24"/>
        </w:rPr>
        <w:tab/>
        <w:t xml:space="preserve">E. Levrat, B. Iung, and A. Crespo Marquez, “E-maintenance: review and conceptual </w:t>
      </w:r>
      <w:r w:rsidRPr="00204994">
        <w:rPr>
          <w:rFonts w:cs="Times New Roman"/>
          <w:noProof/>
          <w:szCs w:val="24"/>
        </w:rPr>
        <w:lastRenderedPageBreak/>
        <w:t xml:space="preserve">framework,” </w:t>
      </w:r>
      <w:r w:rsidRPr="00204994">
        <w:rPr>
          <w:rFonts w:cs="Times New Roman"/>
          <w:i/>
          <w:iCs/>
          <w:noProof/>
          <w:szCs w:val="24"/>
        </w:rPr>
        <w:t>Prod. Plan. Control</w:t>
      </w:r>
      <w:r w:rsidRPr="00204994">
        <w:rPr>
          <w:rFonts w:cs="Times New Roman"/>
          <w:noProof/>
          <w:szCs w:val="24"/>
        </w:rPr>
        <w:t>, vol. 19, no. 4, pp. 408–429, Jun. 2008 doi:10.1080/09537280802062571.</w:t>
      </w:r>
    </w:p>
    <w:p w14:paraId="3F50017F"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[62]</w:t>
      </w:r>
      <w:r w:rsidRPr="00204994">
        <w:rPr>
          <w:rFonts w:cs="Times New Roman"/>
          <w:noProof/>
          <w:szCs w:val="24"/>
        </w:rPr>
        <w:tab/>
        <w:t xml:space="preserve">J. Veldman, H. Wortmann, and W. Klingenberg, “Typology of condition based maintenance,” </w:t>
      </w:r>
      <w:r w:rsidRPr="00204994">
        <w:rPr>
          <w:rFonts w:cs="Times New Roman"/>
          <w:i/>
          <w:iCs/>
          <w:noProof/>
          <w:szCs w:val="24"/>
        </w:rPr>
        <w:t>J. Qual. Maint. Eng.</w:t>
      </w:r>
      <w:r w:rsidRPr="00204994">
        <w:rPr>
          <w:rFonts w:cs="Times New Roman"/>
          <w:noProof/>
          <w:szCs w:val="24"/>
        </w:rPr>
        <w:t>, vol. 17, no. 2, pp. 183–202, May 2011 doi:10.1108/13552511111134600.</w:t>
      </w:r>
    </w:p>
    <w:p w14:paraId="7B563D2D"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[63]</w:t>
      </w:r>
      <w:r w:rsidRPr="00204994">
        <w:rPr>
          <w:rFonts w:cs="Times New Roman"/>
          <w:noProof/>
          <w:szCs w:val="24"/>
        </w:rPr>
        <w:tab/>
        <w:t>European Commission, “30 years of EU investment in Research and Innovation!,” 2015. [Online]. Available: https://ec.europa.eu/research/fp7/index_en.cfm?pg=budget. [Accessed: 04-Dec-2019].</w:t>
      </w:r>
    </w:p>
    <w:p w14:paraId="3675D199"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[64]</w:t>
      </w:r>
      <w:r w:rsidRPr="00204994">
        <w:rPr>
          <w:rFonts w:cs="Times New Roman"/>
          <w:noProof/>
          <w:szCs w:val="24"/>
        </w:rPr>
        <w:tab/>
        <w:t>European Commission, “Research and Innovation Funding: making a real difference,” 2016. [Online]. Available: http://ec.europa.eu/programmes/horizon2020/en/news/research-and-innovation-funding-making-real-difference. [Accessed: 04-Dec-2019].</w:t>
      </w:r>
    </w:p>
    <w:p w14:paraId="60F6A3EF"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[65]</w:t>
      </w:r>
      <w:r w:rsidRPr="00204994">
        <w:rPr>
          <w:rFonts w:cs="Times New Roman"/>
          <w:noProof/>
          <w:szCs w:val="24"/>
        </w:rPr>
        <w:tab/>
        <w:t xml:space="preserve">G. A. Stevens and J. Burley, “3,000 Raw Ideas = 1 Commercial Success!,” </w:t>
      </w:r>
      <w:r w:rsidRPr="00204994">
        <w:rPr>
          <w:rFonts w:cs="Times New Roman"/>
          <w:i/>
          <w:iCs/>
          <w:noProof/>
          <w:szCs w:val="24"/>
        </w:rPr>
        <w:t>Res. Manag.</w:t>
      </w:r>
      <w:r w:rsidRPr="00204994">
        <w:rPr>
          <w:rFonts w:cs="Times New Roman"/>
          <w:noProof/>
          <w:szCs w:val="24"/>
        </w:rPr>
        <w:t>, vol. 40, no. 3, pp. 16–27, May 1997 doi:10.1080/08956308.1997.11671126.</w:t>
      </w:r>
    </w:p>
    <w:p w14:paraId="70FC015B"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[66]</w:t>
      </w:r>
      <w:r w:rsidRPr="00204994">
        <w:rPr>
          <w:rFonts w:cs="Times New Roman"/>
          <w:noProof/>
          <w:szCs w:val="24"/>
        </w:rPr>
        <w:tab/>
        <w:t xml:space="preserve">P. R. Hinton, I. McMurray, and C. Brownlow, </w:t>
      </w:r>
      <w:r w:rsidRPr="00204994">
        <w:rPr>
          <w:rFonts w:cs="Times New Roman"/>
          <w:i/>
          <w:iCs/>
          <w:noProof/>
          <w:szCs w:val="24"/>
        </w:rPr>
        <w:t>SPSS Explained</w:t>
      </w:r>
      <w:r w:rsidRPr="00204994">
        <w:rPr>
          <w:rFonts w:cs="Times New Roman"/>
          <w:noProof/>
          <w:szCs w:val="24"/>
        </w:rPr>
        <w:t>, 1st ed. Routledge, 2004.</w:t>
      </w:r>
    </w:p>
    <w:p w14:paraId="0ECCF1BA"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[67]</w:t>
      </w:r>
      <w:r w:rsidRPr="00204994">
        <w:rPr>
          <w:rFonts w:cs="Times New Roman"/>
          <w:noProof/>
          <w:szCs w:val="24"/>
        </w:rPr>
        <w:tab/>
        <w:t>MESTD, “The Rulebook on the procedure, method of evaluation and quantitative statement of scientific research results of researchers,” Ministry of Education, Science and Technological Development, Belgrade, Serbia, 2017.</w:t>
      </w:r>
    </w:p>
    <w:p w14:paraId="6762352C"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[68]</w:t>
      </w:r>
      <w:r w:rsidRPr="00204994">
        <w:rPr>
          <w:rFonts w:cs="Times New Roman"/>
          <w:noProof/>
          <w:szCs w:val="24"/>
        </w:rPr>
        <w:tab/>
        <w:t>MESTD, “The Rulebook on the procedure, method of evaluation and quantitative statement of scientific research results of researchers,” 2020. [Online]. Available: http://www.pravno-informacioni-sistem.rs/SlGlasnikPortal/eli/rep/sgrs/ministarstva/pravilnik/2020/159/18/reg/. [Accessed: 01-Sep-2020].</w:t>
      </w:r>
    </w:p>
    <w:p w14:paraId="3D9ED990"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[69]</w:t>
      </w:r>
      <w:r w:rsidRPr="00204994">
        <w:rPr>
          <w:rFonts w:cs="Times New Roman"/>
          <w:noProof/>
          <w:szCs w:val="24"/>
        </w:rPr>
        <w:tab/>
        <w:t xml:space="preserve">C. Sheut and L. J. Krajewski, “A decision model for corrective maintenance management,” </w:t>
      </w:r>
      <w:r w:rsidRPr="00204994">
        <w:rPr>
          <w:rFonts w:cs="Times New Roman"/>
          <w:i/>
          <w:iCs/>
          <w:noProof/>
          <w:szCs w:val="24"/>
        </w:rPr>
        <w:t>Int. J. Prod. Res.</w:t>
      </w:r>
      <w:r w:rsidRPr="00204994">
        <w:rPr>
          <w:rFonts w:cs="Times New Roman"/>
          <w:noProof/>
          <w:szCs w:val="24"/>
        </w:rPr>
        <w:t>, vol. 32, no. 6, pp. 1365–1382, Jun. 1994 doi:10.1080/00207549408957005.</w:t>
      </w:r>
    </w:p>
    <w:p w14:paraId="120D3777"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[70]</w:t>
      </w:r>
      <w:r w:rsidRPr="00204994">
        <w:rPr>
          <w:rFonts w:cs="Times New Roman"/>
          <w:noProof/>
          <w:szCs w:val="24"/>
        </w:rPr>
        <w:tab/>
        <w:t>P. Jost, “Lubrication (Tribology) - A report on the present position and industry’s needs,” London, United Kingdom, 1966.</w:t>
      </w:r>
    </w:p>
    <w:p w14:paraId="20159504"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[71]</w:t>
      </w:r>
      <w:r w:rsidRPr="00204994">
        <w:rPr>
          <w:rFonts w:cs="Times New Roman"/>
          <w:noProof/>
          <w:szCs w:val="24"/>
        </w:rPr>
        <w:tab/>
        <w:t xml:space="preserve">K. Holmberg and A. Erdemir, “Influence of tribology on global energy consumption, costs and emissions,” </w:t>
      </w:r>
      <w:r w:rsidRPr="00204994">
        <w:rPr>
          <w:rFonts w:cs="Times New Roman"/>
          <w:i/>
          <w:iCs/>
          <w:noProof/>
          <w:szCs w:val="24"/>
        </w:rPr>
        <w:t>Friction</w:t>
      </w:r>
      <w:r w:rsidRPr="00204994">
        <w:rPr>
          <w:rFonts w:cs="Times New Roman"/>
          <w:noProof/>
          <w:szCs w:val="24"/>
        </w:rPr>
        <w:t>, vol. 5, no. 3, pp. 263–284, 2017 doi:10.1007/s40544-017-0183-5.</w:t>
      </w:r>
    </w:p>
    <w:p w14:paraId="77028A8C"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[72]</w:t>
      </w:r>
      <w:r w:rsidRPr="00204994">
        <w:rPr>
          <w:rFonts w:cs="Times New Roman"/>
          <w:noProof/>
          <w:szCs w:val="24"/>
        </w:rPr>
        <w:tab/>
        <w:t>T. Goetz, “Harnessing the Power of Feedback Loops,” 2011. [Online]. Available: https://www.wired.com/2011/06/ff-feedbackloop/. [Accessed: 30-Nov-2019].</w:t>
      </w:r>
    </w:p>
    <w:p w14:paraId="378A23BB"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[73]</w:t>
      </w:r>
      <w:r w:rsidRPr="00204994">
        <w:rPr>
          <w:rFonts w:cs="Times New Roman"/>
          <w:noProof/>
          <w:szCs w:val="24"/>
        </w:rPr>
        <w:tab/>
        <w:t>A. H. C. Tsang, “Condition</w:t>
      </w:r>
      <w:r w:rsidRPr="00204994">
        <w:rPr>
          <w:rFonts w:ascii="Times New Roman" w:hAnsi="Times New Roman" w:cs="Times New Roman"/>
          <w:noProof/>
          <w:szCs w:val="24"/>
        </w:rPr>
        <w:t>‐</w:t>
      </w:r>
      <w:r w:rsidRPr="00204994">
        <w:rPr>
          <w:rFonts w:cs="Times New Roman"/>
          <w:noProof/>
          <w:szCs w:val="24"/>
        </w:rPr>
        <w:t xml:space="preserve">based maintenance: tools and decision making,” </w:t>
      </w:r>
      <w:r w:rsidRPr="00204994">
        <w:rPr>
          <w:rFonts w:cs="Times New Roman"/>
          <w:i/>
          <w:iCs/>
          <w:noProof/>
          <w:szCs w:val="24"/>
        </w:rPr>
        <w:t>J. Qual. Maint. Eng.</w:t>
      </w:r>
      <w:r w:rsidRPr="00204994">
        <w:rPr>
          <w:rFonts w:cs="Times New Roman"/>
          <w:noProof/>
          <w:szCs w:val="24"/>
        </w:rPr>
        <w:t>, vol. 1, no. 3, pp. 3–17, Sep. 1995.</w:t>
      </w:r>
    </w:p>
    <w:p w14:paraId="498994F9"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[74]</w:t>
      </w:r>
      <w:r w:rsidRPr="00204994">
        <w:rPr>
          <w:rFonts w:cs="Times New Roman"/>
          <w:noProof/>
          <w:szCs w:val="24"/>
        </w:rPr>
        <w:tab/>
        <w:t xml:space="preserve">R. C. M. Yam, P. W. Tse, L. Li, and P. Tu, “Intelligent predictive decision support system for condition-based maintenance,” </w:t>
      </w:r>
      <w:r w:rsidRPr="00204994">
        <w:rPr>
          <w:rFonts w:cs="Times New Roman"/>
          <w:i/>
          <w:iCs/>
          <w:noProof/>
          <w:szCs w:val="24"/>
        </w:rPr>
        <w:t>Int. J. Adv. Manuf. Technol.</w:t>
      </w:r>
      <w:r w:rsidRPr="00204994">
        <w:rPr>
          <w:rFonts w:cs="Times New Roman"/>
          <w:noProof/>
          <w:szCs w:val="24"/>
        </w:rPr>
        <w:t>, vol. 17, no. 5, pp. 383–391, 2001 doi:10.1007/s001700170173.</w:t>
      </w:r>
    </w:p>
    <w:p w14:paraId="3E24FEB5"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[75]</w:t>
      </w:r>
      <w:r w:rsidRPr="00204994">
        <w:rPr>
          <w:rFonts w:cs="Times New Roman"/>
          <w:noProof/>
          <w:szCs w:val="24"/>
        </w:rPr>
        <w:tab/>
        <w:t xml:space="preserve">F. Francis and M. Mohan, “ARIMA Model based Real Time Trend Analysis for Predictive Maintenance,” in </w:t>
      </w:r>
      <w:r w:rsidRPr="00204994">
        <w:rPr>
          <w:rFonts w:cs="Times New Roman"/>
          <w:i/>
          <w:iCs/>
          <w:noProof/>
          <w:szCs w:val="24"/>
        </w:rPr>
        <w:t>2019 3rd International conference on Electronics, Communication and Aerospace Technology (ICECA)</w:t>
      </w:r>
      <w:r w:rsidRPr="00204994">
        <w:rPr>
          <w:rFonts w:cs="Times New Roman"/>
          <w:noProof/>
          <w:szCs w:val="24"/>
        </w:rPr>
        <w:t>, 2019, pp. 735–739 doi:10.1109/ICECA.2019.8822191.</w:t>
      </w:r>
    </w:p>
    <w:p w14:paraId="2C4C2EF6"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[76]</w:t>
      </w:r>
      <w:r w:rsidRPr="00204994">
        <w:rPr>
          <w:rFonts w:cs="Times New Roman"/>
          <w:noProof/>
          <w:szCs w:val="24"/>
        </w:rPr>
        <w:tab/>
        <w:t xml:space="preserve">M. A. Noman, E. S. A. Nasr, A. Al-Shayea, and H. Kaid, “Overview of predictive condition based maintenance research using bibliometric indicators,” </w:t>
      </w:r>
      <w:r w:rsidRPr="00204994">
        <w:rPr>
          <w:rFonts w:cs="Times New Roman"/>
          <w:i/>
          <w:iCs/>
          <w:noProof/>
          <w:szCs w:val="24"/>
        </w:rPr>
        <w:t>J. King Saud Univ. - Eng. Sci.</w:t>
      </w:r>
      <w:r w:rsidRPr="00204994">
        <w:rPr>
          <w:rFonts w:cs="Times New Roman"/>
          <w:noProof/>
          <w:szCs w:val="24"/>
        </w:rPr>
        <w:t>, vol. 31, no. 4, pp. 355–367, 2018 doi:10.1016/j.jksues.2018.02.003.</w:t>
      </w:r>
    </w:p>
    <w:p w14:paraId="01B2589B"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[77]</w:t>
      </w:r>
      <w:r w:rsidRPr="00204994">
        <w:rPr>
          <w:rFonts w:cs="Times New Roman"/>
          <w:noProof/>
          <w:szCs w:val="24"/>
        </w:rPr>
        <w:tab/>
        <w:t>R. Ahmad and S. Kamaruddin, “A review of condition-based maintenance decision-</w:t>
      </w:r>
      <w:r w:rsidRPr="00204994">
        <w:rPr>
          <w:rFonts w:cs="Times New Roman"/>
          <w:noProof/>
          <w:szCs w:val="24"/>
        </w:rPr>
        <w:lastRenderedPageBreak/>
        <w:t xml:space="preserve">making,” </w:t>
      </w:r>
      <w:r w:rsidRPr="00204994">
        <w:rPr>
          <w:rFonts w:cs="Times New Roman"/>
          <w:i/>
          <w:iCs/>
          <w:noProof/>
          <w:szCs w:val="24"/>
        </w:rPr>
        <w:t>Eur. J. Ind. Eng.</w:t>
      </w:r>
      <w:r w:rsidRPr="00204994">
        <w:rPr>
          <w:rFonts w:cs="Times New Roman"/>
          <w:noProof/>
          <w:szCs w:val="24"/>
        </w:rPr>
        <w:t>, vol. 6, no. 5, pp. 519–541, 2012 doi:10.1504/EJIE.2012.048854.</w:t>
      </w:r>
    </w:p>
    <w:p w14:paraId="31FDDF7E"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[78]</w:t>
      </w:r>
      <w:r w:rsidRPr="00204994">
        <w:rPr>
          <w:rFonts w:cs="Times New Roman"/>
          <w:noProof/>
          <w:szCs w:val="24"/>
        </w:rPr>
        <w:tab/>
        <w:t xml:space="preserve">A. Prajapati, J. Bechtel, and S. Ganesan, “Condition based maintenance: a survey,” </w:t>
      </w:r>
      <w:r w:rsidRPr="00204994">
        <w:rPr>
          <w:rFonts w:cs="Times New Roman"/>
          <w:i/>
          <w:iCs/>
          <w:noProof/>
          <w:szCs w:val="24"/>
        </w:rPr>
        <w:t>J. Qual. Maint. Eng.</w:t>
      </w:r>
      <w:r w:rsidRPr="00204994">
        <w:rPr>
          <w:rFonts w:cs="Times New Roman"/>
          <w:noProof/>
          <w:szCs w:val="24"/>
        </w:rPr>
        <w:t>, vol. 18, no. 4, pp. 384–400, Oct. 2012 doi:10.1108/13552511211281552.</w:t>
      </w:r>
    </w:p>
    <w:p w14:paraId="7373AC8E"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[79]</w:t>
      </w:r>
      <w:r w:rsidRPr="00204994">
        <w:rPr>
          <w:rFonts w:cs="Times New Roman"/>
          <w:noProof/>
          <w:szCs w:val="24"/>
        </w:rPr>
        <w:tab/>
        <w:t xml:space="preserve">A. K. S. Jardine, D. Lin, and D. Banjevic, “A review on machinery diagnostics and prognostics implementing condition-based maintenance,” </w:t>
      </w:r>
      <w:r w:rsidRPr="00204994">
        <w:rPr>
          <w:rFonts w:cs="Times New Roman"/>
          <w:i/>
          <w:iCs/>
          <w:noProof/>
          <w:szCs w:val="24"/>
        </w:rPr>
        <w:t>Mech. Syst. Signal Process.</w:t>
      </w:r>
      <w:r w:rsidRPr="00204994">
        <w:rPr>
          <w:rFonts w:cs="Times New Roman"/>
          <w:noProof/>
          <w:szCs w:val="24"/>
        </w:rPr>
        <w:t>, vol. 20, no. 7, pp. 1483–1510, 2006 doi:10.1016/j.ymssp.2005.09.012.</w:t>
      </w:r>
    </w:p>
    <w:p w14:paraId="37AFB4E1"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[80]</w:t>
      </w:r>
      <w:r w:rsidRPr="00204994">
        <w:rPr>
          <w:rFonts w:cs="Times New Roman"/>
          <w:noProof/>
          <w:szCs w:val="24"/>
        </w:rPr>
        <w:tab/>
        <w:t xml:space="preserve">Y. Lei, Z. He, Y. Zi, and Q. Hu, “Fault diagnosis of rotating machinery based on multiple ANFIS combination with GAs,” </w:t>
      </w:r>
      <w:r w:rsidRPr="00204994">
        <w:rPr>
          <w:rFonts w:cs="Times New Roman"/>
          <w:i/>
          <w:iCs/>
          <w:noProof/>
          <w:szCs w:val="24"/>
        </w:rPr>
        <w:t>Mech. Syst. Signal Process.</w:t>
      </w:r>
      <w:r w:rsidRPr="00204994">
        <w:rPr>
          <w:rFonts w:cs="Times New Roman"/>
          <w:noProof/>
          <w:szCs w:val="24"/>
        </w:rPr>
        <w:t>, vol. 21, no. 5, pp. 2280–2294, 2007 doi:10.1016/j.ymssp.2006.11.003.</w:t>
      </w:r>
    </w:p>
    <w:p w14:paraId="6ABAE7CA"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[81]</w:t>
      </w:r>
      <w:r w:rsidRPr="00204994">
        <w:rPr>
          <w:rFonts w:cs="Times New Roman"/>
          <w:noProof/>
          <w:szCs w:val="24"/>
        </w:rPr>
        <w:tab/>
        <w:t xml:space="preserve">F. P. García Márquez, A. M. Tobias, J. M. Pinar Pérez, and M. Papaelias, “Condition monitoring of wind turbines: Techniques and methods,” </w:t>
      </w:r>
      <w:r w:rsidRPr="00204994">
        <w:rPr>
          <w:rFonts w:cs="Times New Roman"/>
          <w:i/>
          <w:iCs/>
          <w:noProof/>
          <w:szCs w:val="24"/>
        </w:rPr>
        <w:t>Renew. Energy</w:t>
      </w:r>
      <w:r w:rsidRPr="00204994">
        <w:rPr>
          <w:rFonts w:cs="Times New Roman"/>
          <w:noProof/>
          <w:szCs w:val="24"/>
        </w:rPr>
        <w:t>, vol. 46, pp. 169–178, 2012 doi:10.1016/j.renene.2012.03.003.</w:t>
      </w:r>
    </w:p>
    <w:p w14:paraId="1F5B183C"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[82]</w:t>
      </w:r>
      <w:r w:rsidRPr="00204994">
        <w:rPr>
          <w:rFonts w:cs="Times New Roman"/>
          <w:noProof/>
          <w:szCs w:val="24"/>
        </w:rPr>
        <w:tab/>
        <w:t xml:space="preserve">Y. Lei, Z. He, and Y. Zi, “A new approach to intelligent fault diagnosis of rotating machinery,” </w:t>
      </w:r>
      <w:r w:rsidRPr="00204994">
        <w:rPr>
          <w:rFonts w:cs="Times New Roman"/>
          <w:i/>
          <w:iCs/>
          <w:noProof/>
          <w:szCs w:val="24"/>
        </w:rPr>
        <w:t>Expert Syst. Appl.</w:t>
      </w:r>
      <w:r w:rsidRPr="00204994">
        <w:rPr>
          <w:rFonts w:cs="Times New Roman"/>
          <w:noProof/>
          <w:szCs w:val="24"/>
        </w:rPr>
        <w:t>, vol. 35, no. 4, pp. 1593–1600, 2008 doi:10.1016/j.eswa.2007.08.072.</w:t>
      </w:r>
    </w:p>
    <w:p w14:paraId="04BD8633"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[83]</w:t>
      </w:r>
      <w:r w:rsidRPr="00204994">
        <w:rPr>
          <w:rFonts w:cs="Times New Roman"/>
          <w:noProof/>
          <w:szCs w:val="24"/>
        </w:rPr>
        <w:tab/>
        <w:t xml:space="preserve">Li Liu, K. P. Logan, D. A. Cartes, and S. K. Srivastava, “Fault Detection, Diagnostics, and Prognostics: Software Agent Solutions,” </w:t>
      </w:r>
      <w:r w:rsidRPr="00204994">
        <w:rPr>
          <w:rFonts w:cs="Times New Roman"/>
          <w:i/>
          <w:iCs/>
          <w:noProof/>
          <w:szCs w:val="24"/>
        </w:rPr>
        <w:t>IEEE Trans. Veh. Technol.</w:t>
      </w:r>
      <w:r w:rsidRPr="00204994">
        <w:rPr>
          <w:rFonts w:cs="Times New Roman"/>
          <w:noProof/>
          <w:szCs w:val="24"/>
        </w:rPr>
        <w:t>, vol. 56, no. 4, pp. 1613–1622, Jul. 2007 doi:10.1109/TVT.2007.897219.</w:t>
      </w:r>
    </w:p>
    <w:p w14:paraId="75D2022E"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[84]</w:t>
      </w:r>
      <w:r w:rsidRPr="00204994">
        <w:rPr>
          <w:rFonts w:cs="Times New Roman"/>
          <w:noProof/>
          <w:szCs w:val="24"/>
        </w:rPr>
        <w:tab/>
        <w:t xml:space="preserve">L. C. Jaw and W. Merrill, “CBM+ Research Environment - Facilitating Technology Development, Experimentation, and Maturation,” in </w:t>
      </w:r>
      <w:r w:rsidRPr="00204994">
        <w:rPr>
          <w:rFonts w:cs="Times New Roman"/>
          <w:i/>
          <w:iCs/>
          <w:noProof/>
          <w:szCs w:val="24"/>
        </w:rPr>
        <w:t>2008 IEEE Aerospace Conference</w:t>
      </w:r>
      <w:r w:rsidRPr="00204994">
        <w:rPr>
          <w:rFonts w:cs="Times New Roman"/>
          <w:noProof/>
          <w:szCs w:val="24"/>
        </w:rPr>
        <w:t>, 2008, pp. 1–6 doi:10.1109/AERO.2008.4526641.</w:t>
      </w:r>
    </w:p>
    <w:p w14:paraId="14AA8CA2"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[85]</w:t>
      </w:r>
      <w:r w:rsidRPr="00204994">
        <w:rPr>
          <w:rFonts w:cs="Times New Roman"/>
          <w:noProof/>
          <w:szCs w:val="24"/>
        </w:rPr>
        <w:tab/>
        <w:t xml:space="preserve">J. M. Wakiru, L. Pintelon, P. N. Muchiri, and P. K. Chemweno, “A review on lubricant condition monitoring information analysis for maintenance decision support,” </w:t>
      </w:r>
      <w:r w:rsidRPr="00204994">
        <w:rPr>
          <w:rFonts w:cs="Times New Roman"/>
          <w:i/>
          <w:iCs/>
          <w:noProof/>
          <w:szCs w:val="24"/>
        </w:rPr>
        <w:t>Mech. Syst. Signal Process.</w:t>
      </w:r>
      <w:r w:rsidRPr="00204994">
        <w:rPr>
          <w:rFonts w:cs="Times New Roman"/>
          <w:noProof/>
          <w:szCs w:val="24"/>
        </w:rPr>
        <w:t>, vol. 118, pp. 108–132, Mar. 2019 doi:10.1016/j.ymssp.2018.08.039.</w:t>
      </w:r>
    </w:p>
    <w:p w14:paraId="6DE1E84F"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[86]</w:t>
      </w:r>
      <w:r w:rsidRPr="00204994">
        <w:rPr>
          <w:rFonts w:cs="Times New Roman"/>
          <w:noProof/>
          <w:szCs w:val="24"/>
        </w:rPr>
        <w:tab/>
        <w:t xml:space="preserve">R. Ahmad and S. Kamaruddin, “An overview of time-based and condition-based maintenance in industrial application,” </w:t>
      </w:r>
      <w:r w:rsidRPr="00204994">
        <w:rPr>
          <w:rFonts w:cs="Times New Roman"/>
          <w:i/>
          <w:iCs/>
          <w:noProof/>
          <w:szCs w:val="24"/>
        </w:rPr>
        <w:t>Comput. Ind. Eng.</w:t>
      </w:r>
      <w:r w:rsidRPr="00204994">
        <w:rPr>
          <w:rFonts w:cs="Times New Roman"/>
          <w:noProof/>
          <w:szCs w:val="24"/>
        </w:rPr>
        <w:t>, vol. 63, no. 1, pp. 135–149, 2012 doi:10.1016/j.cie.2012.02.002.</w:t>
      </w:r>
    </w:p>
    <w:p w14:paraId="0E9A0727"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[87]</w:t>
      </w:r>
      <w:r w:rsidRPr="00204994">
        <w:rPr>
          <w:rFonts w:cs="Times New Roman"/>
          <w:noProof/>
          <w:szCs w:val="24"/>
        </w:rPr>
        <w:tab/>
        <w:t xml:space="preserve">X. S. Si, W. Wang, C. H. Hu, and D. H. Zhou, “Remaining useful life estimation - A review on the statistical data driven approaches,” </w:t>
      </w:r>
      <w:r w:rsidRPr="00204994">
        <w:rPr>
          <w:rFonts w:cs="Times New Roman"/>
          <w:i/>
          <w:iCs/>
          <w:noProof/>
          <w:szCs w:val="24"/>
        </w:rPr>
        <w:t>Eur. J. Oper. Res.</w:t>
      </w:r>
      <w:r w:rsidRPr="00204994">
        <w:rPr>
          <w:rFonts w:cs="Times New Roman"/>
          <w:noProof/>
          <w:szCs w:val="24"/>
        </w:rPr>
        <w:t>, vol. 213, no. 1, pp. 1–14, 2011 doi:10.1016/j.ejor.2010.11.018.</w:t>
      </w:r>
    </w:p>
    <w:p w14:paraId="46111EBC"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[88]</w:t>
      </w:r>
      <w:r w:rsidRPr="00204994">
        <w:rPr>
          <w:rFonts w:cs="Times New Roman"/>
          <w:noProof/>
          <w:szCs w:val="24"/>
        </w:rPr>
        <w:tab/>
        <w:t xml:space="preserve">X. S. Si, W. Wang, C. H. Hu, M. Y. Chen, and D. H. Zhou, “A Wiener-process-based degradation model with a recursive filter algorithm for remaining useful life estimation,” </w:t>
      </w:r>
      <w:r w:rsidRPr="00204994">
        <w:rPr>
          <w:rFonts w:cs="Times New Roman"/>
          <w:i/>
          <w:iCs/>
          <w:noProof/>
          <w:szCs w:val="24"/>
        </w:rPr>
        <w:t>Mech. Syst. Signal Process.</w:t>
      </w:r>
      <w:r w:rsidRPr="00204994">
        <w:rPr>
          <w:rFonts w:cs="Times New Roman"/>
          <w:noProof/>
          <w:szCs w:val="24"/>
        </w:rPr>
        <w:t>, vol. 35, no. 1–2, pp. 219–237, 2013 doi:10.1016/j.ymssp.2012.08.016.</w:t>
      </w:r>
    </w:p>
    <w:p w14:paraId="19D4FBA6"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[89]</w:t>
      </w:r>
      <w:r w:rsidRPr="00204994">
        <w:rPr>
          <w:rFonts w:cs="Times New Roman"/>
          <w:noProof/>
          <w:szCs w:val="24"/>
        </w:rPr>
        <w:tab/>
        <w:t xml:space="preserve">J. Z. Sikorska, M. Hodkiewicz, and L. Ma, “Prognostic modelling options for remaining useful life estimation by industry,” </w:t>
      </w:r>
      <w:r w:rsidRPr="00204994">
        <w:rPr>
          <w:rFonts w:cs="Times New Roman"/>
          <w:i/>
          <w:iCs/>
          <w:noProof/>
          <w:szCs w:val="24"/>
        </w:rPr>
        <w:t>Mech. Syst. Signal Process.</w:t>
      </w:r>
      <w:r w:rsidRPr="00204994">
        <w:rPr>
          <w:rFonts w:cs="Times New Roman"/>
          <w:noProof/>
          <w:szCs w:val="24"/>
        </w:rPr>
        <w:t>, vol. 25, no. 5, pp. 1803–1836, 2011 doi:10.1016/j.ymssp.2010.11.018.</w:t>
      </w:r>
    </w:p>
    <w:p w14:paraId="1AC6D19E"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[90]</w:t>
      </w:r>
      <w:r w:rsidRPr="00204994">
        <w:rPr>
          <w:rFonts w:cs="Times New Roman"/>
          <w:noProof/>
          <w:szCs w:val="24"/>
        </w:rPr>
        <w:tab/>
        <w:t xml:space="preserve">A. Heng, S. Zhang, A. C. C. Tan, and J. Mathew, “Rotating machinery prognostics: State of the art, challenges and opportunities,” </w:t>
      </w:r>
      <w:r w:rsidRPr="00204994">
        <w:rPr>
          <w:rFonts w:cs="Times New Roman"/>
          <w:i/>
          <w:iCs/>
          <w:noProof/>
          <w:szCs w:val="24"/>
        </w:rPr>
        <w:t>Mech. Syst. Signal Process.</w:t>
      </w:r>
      <w:r w:rsidRPr="00204994">
        <w:rPr>
          <w:rFonts w:cs="Times New Roman"/>
          <w:noProof/>
          <w:szCs w:val="24"/>
        </w:rPr>
        <w:t>, vol. 23, no. 3, pp. 724–739, 2009 doi:10.1016/j.ymssp.2008.06.009.</w:t>
      </w:r>
    </w:p>
    <w:p w14:paraId="58646AB8"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[91]</w:t>
      </w:r>
      <w:r w:rsidRPr="00204994">
        <w:rPr>
          <w:rFonts w:cs="Times New Roman"/>
          <w:noProof/>
          <w:szCs w:val="24"/>
        </w:rPr>
        <w:tab/>
        <w:t xml:space="preserve">E. Zio and F. Di Maio, “A data-driven fuzzy approach for predicting the remaining useful life in dynamic failure scenarios of a nuclear system,” </w:t>
      </w:r>
      <w:r w:rsidRPr="00204994">
        <w:rPr>
          <w:rFonts w:cs="Times New Roman"/>
          <w:i/>
          <w:iCs/>
          <w:noProof/>
          <w:szCs w:val="24"/>
        </w:rPr>
        <w:t>Reliab. Eng. Syst. Saf.</w:t>
      </w:r>
      <w:r w:rsidRPr="00204994">
        <w:rPr>
          <w:rFonts w:cs="Times New Roman"/>
          <w:noProof/>
          <w:szCs w:val="24"/>
        </w:rPr>
        <w:t>, vol. 95, no. 1, pp. 49–57, 2010 doi:10.1016/j.ress.2009.08.001.</w:t>
      </w:r>
    </w:p>
    <w:p w14:paraId="1F5F0A42"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lastRenderedPageBreak/>
        <w:t>[92]</w:t>
      </w:r>
      <w:r w:rsidRPr="00204994">
        <w:rPr>
          <w:rFonts w:cs="Times New Roman"/>
          <w:noProof/>
          <w:szCs w:val="24"/>
        </w:rPr>
        <w:tab/>
        <w:t xml:space="preserve">J. Zhang and J. Lee, “A review on prognostics and health monitoring of Li-ion battery,” </w:t>
      </w:r>
      <w:r w:rsidRPr="00204994">
        <w:rPr>
          <w:rFonts w:cs="Times New Roman"/>
          <w:i/>
          <w:iCs/>
          <w:noProof/>
          <w:szCs w:val="24"/>
        </w:rPr>
        <w:t>J. Power Sources</w:t>
      </w:r>
      <w:r w:rsidRPr="00204994">
        <w:rPr>
          <w:rFonts w:cs="Times New Roman"/>
          <w:noProof/>
          <w:szCs w:val="24"/>
        </w:rPr>
        <w:t>, vol. 196, no. 15, pp. 6007–6014, 2011 doi:10.1016/j.jpowsour.2011.03.101.</w:t>
      </w:r>
    </w:p>
    <w:p w14:paraId="1C1951A8"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[93]</w:t>
      </w:r>
      <w:r w:rsidRPr="00204994">
        <w:rPr>
          <w:rFonts w:cs="Times New Roman"/>
          <w:noProof/>
          <w:szCs w:val="24"/>
        </w:rPr>
        <w:tab/>
        <w:t xml:space="preserve">A. K. S. Jardine, D. Banjevic, M. Wiseman, S. Buck, and T. Joseph, “Optimizing a mine haul truck wheel motors’ condition monitoring program Use of proportional hazards modeling,” </w:t>
      </w:r>
      <w:r w:rsidRPr="00204994">
        <w:rPr>
          <w:rFonts w:cs="Times New Roman"/>
          <w:i/>
          <w:iCs/>
          <w:noProof/>
          <w:szCs w:val="24"/>
        </w:rPr>
        <w:t>J. Qual. Maint. Eng.</w:t>
      </w:r>
      <w:r w:rsidRPr="00204994">
        <w:rPr>
          <w:rFonts w:cs="Times New Roman"/>
          <w:noProof/>
          <w:szCs w:val="24"/>
        </w:rPr>
        <w:t>, vol. 7, no. 4, pp. 286–302, Dec. 2001 doi:10.1108/EUM0000000006007.</w:t>
      </w:r>
    </w:p>
    <w:p w14:paraId="125E5F0B"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[94]</w:t>
      </w:r>
      <w:r w:rsidRPr="00204994">
        <w:rPr>
          <w:rFonts w:cs="Times New Roman"/>
          <w:noProof/>
          <w:szCs w:val="24"/>
        </w:rPr>
        <w:tab/>
        <w:t xml:space="preserve">D. Antory, “Application of a data-driven monitoring technique to diagnose air leaks in an automotive diesel engine: A case study,” </w:t>
      </w:r>
      <w:r w:rsidRPr="00204994">
        <w:rPr>
          <w:rFonts w:cs="Times New Roman"/>
          <w:i/>
          <w:iCs/>
          <w:noProof/>
          <w:szCs w:val="24"/>
        </w:rPr>
        <w:t>Mech. Syst. Signal Process.</w:t>
      </w:r>
      <w:r w:rsidRPr="00204994">
        <w:rPr>
          <w:rFonts w:cs="Times New Roman"/>
          <w:noProof/>
          <w:szCs w:val="24"/>
        </w:rPr>
        <w:t>, vol. 21, no. 2, pp. 795–808, 2007 doi:10.1016/j.ymssp.2005.11.005.</w:t>
      </w:r>
    </w:p>
    <w:p w14:paraId="4970E7A3"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[95]</w:t>
      </w:r>
      <w:r w:rsidRPr="00204994">
        <w:rPr>
          <w:rFonts w:cs="Times New Roman"/>
          <w:noProof/>
          <w:szCs w:val="24"/>
        </w:rPr>
        <w:tab/>
        <w:t xml:space="preserve">D. Lin, D. Banjevic, and A. K. S. Jardine, “Using principal components in a proportional hazards model with applications in condition-based maintenance,” </w:t>
      </w:r>
      <w:r w:rsidRPr="00204994">
        <w:rPr>
          <w:rFonts w:cs="Times New Roman"/>
          <w:i/>
          <w:iCs/>
          <w:noProof/>
          <w:szCs w:val="24"/>
        </w:rPr>
        <w:t>J. Oper. Res. Soc.</w:t>
      </w:r>
      <w:r w:rsidRPr="00204994">
        <w:rPr>
          <w:rFonts w:cs="Times New Roman"/>
          <w:noProof/>
          <w:szCs w:val="24"/>
        </w:rPr>
        <w:t>, vol. 57, no. 8, pp. 910–919, 2006 doi:10.1057/palgrave.jors.2602058.</w:t>
      </w:r>
    </w:p>
    <w:p w14:paraId="0B732C5D"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[96]</w:t>
      </w:r>
      <w:r w:rsidRPr="00204994">
        <w:rPr>
          <w:rFonts w:cs="Times New Roman"/>
          <w:noProof/>
          <w:szCs w:val="24"/>
        </w:rPr>
        <w:tab/>
        <w:t>D. A. Whitaker, D. Egan, E. OBrien, and D. Kinnear, “Application of Multivariate Data Analysis to machine power measurements as a means of tool life Predictive Maintenance for reducing product waste,” no. February, Feb. 2018.</w:t>
      </w:r>
    </w:p>
    <w:p w14:paraId="5C799E96"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[97]</w:t>
      </w:r>
      <w:r w:rsidRPr="00204994">
        <w:rPr>
          <w:rFonts w:cs="Times New Roman"/>
          <w:noProof/>
          <w:szCs w:val="24"/>
        </w:rPr>
        <w:tab/>
        <w:t xml:space="preserve">Y. C. Wang, “Prediction of engine failure time using principal component analysis, categorical regression tree, and back propagation network,” </w:t>
      </w:r>
      <w:r w:rsidRPr="00204994">
        <w:rPr>
          <w:rFonts w:cs="Times New Roman"/>
          <w:i/>
          <w:iCs/>
          <w:noProof/>
          <w:szCs w:val="24"/>
        </w:rPr>
        <w:t>J. Ambient Intell. Humaniz. Comput.</w:t>
      </w:r>
      <w:r w:rsidRPr="00204994">
        <w:rPr>
          <w:rFonts w:cs="Times New Roman"/>
          <w:noProof/>
          <w:szCs w:val="24"/>
        </w:rPr>
        <w:t>, vol. 0, no. 0, p. 0, 2018 doi:10.1007/s12652-018-0997-7.</w:t>
      </w:r>
    </w:p>
    <w:p w14:paraId="40C5C02D"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[98]</w:t>
      </w:r>
      <w:r w:rsidRPr="00204994">
        <w:rPr>
          <w:rFonts w:cs="Times New Roman"/>
          <w:noProof/>
          <w:szCs w:val="24"/>
        </w:rPr>
        <w:tab/>
        <w:t xml:space="preserve">S. Sheng, “Prognostics and Health Management of Wind Turbines—Current Status and Future Opportunities,” in </w:t>
      </w:r>
      <w:r w:rsidRPr="00204994">
        <w:rPr>
          <w:rFonts w:cs="Times New Roman"/>
          <w:i/>
          <w:iCs/>
          <w:noProof/>
          <w:szCs w:val="24"/>
        </w:rPr>
        <w:t>Probabilistic Prognostics and Health Management of Energy Systems</w:t>
      </w:r>
      <w:r w:rsidRPr="00204994">
        <w:rPr>
          <w:rFonts w:cs="Times New Roman"/>
          <w:noProof/>
          <w:szCs w:val="24"/>
        </w:rPr>
        <w:t>, S. Ekwaro-Osire, A. C. Gonçalves, and F. M. Alemayehu, Eds. Cham: Springer International Publishing, 2017, pp. 33–47 doi:10.1007/978-3-319-55852-3_3.</w:t>
      </w:r>
    </w:p>
    <w:p w14:paraId="7D6A5676"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[99]</w:t>
      </w:r>
      <w:r w:rsidRPr="00204994">
        <w:rPr>
          <w:rFonts w:cs="Times New Roman"/>
          <w:noProof/>
          <w:szCs w:val="24"/>
        </w:rPr>
        <w:tab/>
        <w:t xml:space="preserve">C. Forrest, C. Forrest, and D. Wiser, “Landing Gear Structural Health Monitoring (SHM),” </w:t>
      </w:r>
      <w:r w:rsidRPr="00204994">
        <w:rPr>
          <w:rFonts w:cs="Times New Roman"/>
          <w:i/>
          <w:iCs/>
          <w:noProof/>
          <w:szCs w:val="24"/>
        </w:rPr>
        <w:t>Procedia Struct. Integr.</w:t>
      </w:r>
      <w:r w:rsidRPr="00204994">
        <w:rPr>
          <w:rFonts w:cs="Times New Roman"/>
          <w:noProof/>
          <w:szCs w:val="24"/>
        </w:rPr>
        <w:t>, vol. 5, pp. 1153–1159, 2017 doi:10.1016/j.prostr.2017.07.025.</w:t>
      </w:r>
    </w:p>
    <w:p w14:paraId="7383DE15"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[100]</w:t>
      </w:r>
      <w:r w:rsidRPr="00204994">
        <w:rPr>
          <w:rFonts w:cs="Times New Roman"/>
          <w:noProof/>
          <w:szCs w:val="24"/>
        </w:rPr>
        <w:tab/>
        <w:t xml:space="preserve">J. M. W. Brownjohn, “Structural health monitoring of civil infrastructure,” </w:t>
      </w:r>
      <w:r w:rsidRPr="00204994">
        <w:rPr>
          <w:rFonts w:cs="Times New Roman"/>
          <w:i/>
          <w:iCs/>
          <w:noProof/>
          <w:szCs w:val="24"/>
        </w:rPr>
        <w:t>Philos. Trans. R. Soc. A Math. Phys. Eng. Sci.</w:t>
      </w:r>
      <w:r w:rsidRPr="00204994">
        <w:rPr>
          <w:rFonts w:cs="Times New Roman"/>
          <w:noProof/>
          <w:szCs w:val="24"/>
        </w:rPr>
        <w:t>, vol. 365, no. 1851, pp. 589–622, 2007 doi:10.1098/rsta.2006.1925.</w:t>
      </w:r>
    </w:p>
    <w:p w14:paraId="24EBB727"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[101]</w:t>
      </w:r>
      <w:r w:rsidRPr="00204994">
        <w:rPr>
          <w:rFonts w:cs="Times New Roman"/>
          <w:noProof/>
          <w:szCs w:val="24"/>
        </w:rPr>
        <w:tab/>
        <w:t xml:space="preserve">J. M. Ko and Y. Q. Ni, “Technology developments in structural health monitoring of large-scale bridges,” </w:t>
      </w:r>
      <w:r w:rsidRPr="00204994">
        <w:rPr>
          <w:rFonts w:cs="Times New Roman"/>
          <w:i/>
          <w:iCs/>
          <w:noProof/>
          <w:szCs w:val="24"/>
        </w:rPr>
        <w:t>Eng. Struct.</w:t>
      </w:r>
      <w:r w:rsidRPr="00204994">
        <w:rPr>
          <w:rFonts w:cs="Times New Roman"/>
          <w:noProof/>
          <w:szCs w:val="24"/>
        </w:rPr>
        <w:t>, vol. 27, no. 12 SPEC. ISS., pp. 1715–1725, 2005 doi:10.1016/j.engstruct.2005.02.021.</w:t>
      </w:r>
    </w:p>
    <w:p w14:paraId="01DE1FD3"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[102]</w:t>
      </w:r>
      <w:r w:rsidRPr="00204994">
        <w:rPr>
          <w:rFonts w:cs="Times New Roman"/>
          <w:noProof/>
          <w:szCs w:val="24"/>
        </w:rPr>
        <w:tab/>
        <w:t xml:space="preserve">Y. Q. Ni and K. Y. Wong, “Integrating Bridge Structural Health Monitoring and Condition-Based Maintenance Management,” </w:t>
      </w:r>
      <w:r w:rsidRPr="00204994">
        <w:rPr>
          <w:rFonts w:cs="Times New Roman"/>
          <w:i/>
          <w:iCs/>
          <w:noProof/>
          <w:szCs w:val="24"/>
        </w:rPr>
        <w:t>4th Int. Work. Civ. Struct. Heal. Monit.</w:t>
      </w:r>
      <w:r w:rsidRPr="00204994">
        <w:rPr>
          <w:rFonts w:cs="Times New Roman"/>
          <w:noProof/>
          <w:szCs w:val="24"/>
        </w:rPr>
        <w:t>, pp. 6–8, 2012.</w:t>
      </w:r>
    </w:p>
    <w:p w14:paraId="41778E29"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[103]</w:t>
      </w:r>
      <w:r w:rsidRPr="00204994">
        <w:rPr>
          <w:rFonts w:cs="Times New Roman"/>
          <w:noProof/>
          <w:szCs w:val="24"/>
        </w:rPr>
        <w:tab/>
        <w:t xml:space="preserve">H. Sohn, C. R. Farrar, F. Hemez, and J. Czarnecki, “A Review of Structural Health Monitoring Literature 1996-2001,” </w:t>
      </w:r>
      <w:r w:rsidRPr="00204994">
        <w:rPr>
          <w:rFonts w:cs="Times New Roman"/>
          <w:i/>
          <w:iCs/>
          <w:noProof/>
          <w:szCs w:val="24"/>
        </w:rPr>
        <w:t>Library.Lanl.Gov</w:t>
      </w:r>
      <w:r w:rsidRPr="00204994">
        <w:rPr>
          <w:rFonts w:cs="Times New Roman"/>
          <w:noProof/>
          <w:szCs w:val="24"/>
        </w:rPr>
        <w:t>, pp. 1–7, 2001.</w:t>
      </w:r>
    </w:p>
    <w:p w14:paraId="229590B1"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[104]</w:t>
      </w:r>
      <w:r w:rsidRPr="00204994">
        <w:rPr>
          <w:rFonts w:cs="Times New Roman"/>
          <w:noProof/>
          <w:szCs w:val="24"/>
        </w:rPr>
        <w:tab/>
        <w:t xml:space="preserve">K. Worden, C. R. Farrar, G. Manson, and G. Park, “The fundamental axioms of structural health monitoring,” </w:t>
      </w:r>
      <w:r w:rsidRPr="00204994">
        <w:rPr>
          <w:rFonts w:cs="Times New Roman"/>
          <w:i/>
          <w:iCs/>
          <w:noProof/>
          <w:szCs w:val="24"/>
        </w:rPr>
        <w:t>Proc. R. Soc. A Math. Phys. Eng. Sci.</w:t>
      </w:r>
      <w:r w:rsidRPr="00204994">
        <w:rPr>
          <w:rFonts w:cs="Times New Roman"/>
          <w:noProof/>
          <w:szCs w:val="24"/>
        </w:rPr>
        <w:t>, vol. 463, no. 2082, pp. 1639–1664, 2007 doi:10.1098/rspa.2007.1834.</w:t>
      </w:r>
    </w:p>
    <w:p w14:paraId="5EDC9FF4"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[105]</w:t>
      </w:r>
      <w:r w:rsidRPr="00204994">
        <w:rPr>
          <w:rFonts w:cs="Times New Roman"/>
          <w:noProof/>
          <w:szCs w:val="24"/>
        </w:rPr>
        <w:tab/>
        <w:t xml:space="preserve">H. Sohn, C. R. Farrar, N. F. Hunter, and K. Worden, “Structural health monitoring using statistical pattern recognition techniques,” </w:t>
      </w:r>
      <w:r w:rsidRPr="00204994">
        <w:rPr>
          <w:rFonts w:cs="Times New Roman"/>
          <w:i/>
          <w:iCs/>
          <w:noProof/>
          <w:szCs w:val="24"/>
        </w:rPr>
        <w:t>J. Dyn. Syst. Meas. Control. Trans. ASME</w:t>
      </w:r>
      <w:r w:rsidRPr="00204994">
        <w:rPr>
          <w:rFonts w:cs="Times New Roman"/>
          <w:noProof/>
          <w:szCs w:val="24"/>
        </w:rPr>
        <w:t>, vol. 123, no. 4, pp. 706–711, 2001 doi:10.1115/1.1410933.</w:t>
      </w:r>
    </w:p>
    <w:p w14:paraId="50F142AF"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[106]</w:t>
      </w:r>
      <w:r w:rsidRPr="00204994">
        <w:rPr>
          <w:rFonts w:cs="Times New Roman"/>
          <w:noProof/>
          <w:szCs w:val="24"/>
        </w:rPr>
        <w:tab/>
        <w:t xml:space="preserve">T. Tinga and R. Loendersloot, “Aligning PHM, SHM and CBM by understanding the system failure behaviour,” </w:t>
      </w:r>
      <w:r w:rsidRPr="00204994">
        <w:rPr>
          <w:rFonts w:cs="Times New Roman"/>
          <w:i/>
          <w:iCs/>
          <w:noProof/>
          <w:szCs w:val="24"/>
        </w:rPr>
        <w:t>Eur. Conf. Progn. Heal. Manag. Soc.</w:t>
      </w:r>
      <w:r w:rsidRPr="00204994">
        <w:rPr>
          <w:rFonts w:cs="Times New Roman"/>
          <w:noProof/>
          <w:szCs w:val="24"/>
        </w:rPr>
        <w:t>, vol. 2, pp. 162–171, 2014.</w:t>
      </w:r>
    </w:p>
    <w:p w14:paraId="529814C1"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[107]</w:t>
      </w:r>
      <w:r w:rsidRPr="00204994">
        <w:rPr>
          <w:rFonts w:cs="Times New Roman"/>
          <w:noProof/>
          <w:szCs w:val="24"/>
        </w:rPr>
        <w:tab/>
        <w:t>A. Hoang, P. Do, and B. Iung, “Investigation on the use of energy efficiency for condition-</w:t>
      </w:r>
      <w:r w:rsidRPr="00204994">
        <w:rPr>
          <w:rFonts w:cs="Times New Roman"/>
          <w:noProof/>
          <w:szCs w:val="24"/>
        </w:rPr>
        <w:lastRenderedPageBreak/>
        <w:t xml:space="preserve">based maintenance decision-making,” </w:t>
      </w:r>
      <w:r w:rsidRPr="00204994">
        <w:rPr>
          <w:rFonts w:cs="Times New Roman"/>
          <w:i/>
          <w:iCs/>
          <w:noProof/>
          <w:szCs w:val="24"/>
        </w:rPr>
        <w:t>IFAC-PapersOnLine</w:t>
      </w:r>
      <w:r w:rsidRPr="00204994">
        <w:rPr>
          <w:rFonts w:cs="Times New Roman"/>
          <w:noProof/>
          <w:szCs w:val="24"/>
        </w:rPr>
        <w:t>, vol. 49, no. 28, pp. 73–78, 2016 doi:10.1016/j.ifacol.2016.11.013.</w:t>
      </w:r>
    </w:p>
    <w:p w14:paraId="2F612082"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[108]</w:t>
      </w:r>
      <w:r w:rsidRPr="00204994">
        <w:rPr>
          <w:rFonts w:cs="Times New Roman"/>
          <w:noProof/>
          <w:szCs w:val="24"/>
        </w:rPr>
        <w:tab/>
        <w:t xml:space="preserve">M. B. Yildirim and F. G. Nezami, “Integrated maintenance and production planning with energy consumption and minimal repair,” </w:t>
      </w:r>
      <w:r w:rsidRPr="00204994">
        <w:rPr>
          <w:rFonts w:cs="Times New Roman"/>
          <w:i/>
          <w:iCs/>
          <w:noProof/>
          <w:szCs w:val="24"/>
        </w:rPr>
        <w:t>Int. J. Adv. Manuf. Technol.</w:t>
      </w:r>
      <w:r w:rsidRPr="00204994">
        <w:rPr>
          <w:rFonts w:cs="Times New Roman"/>
          <w:noProof/>
          <w:szCs w:val="24"/>
        </w:rPr>
        <w:t>, vol. 74, no. 9–12, pp. 1419–1430, Oct. 2014 doi:10.1007/s00170-014-5834-3.</w:t>
      </w:r>
    </w:p>
    <w:p w14:paraId="3C28E063"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[109]</w:t>
      </w:r>
      <w:r w:rsidRPr="00204994">
        <w:rPr>
          <w:rFonts w:cs="Times New Roman"/>
          <w:noProof/>
          <w:szCs w:val="24"/>
        </w:rPr>
        <w:tab/>
        <w:t xml:space="preserve">R. Cupek, A. Ziebinski, D. Zonenberg, and M. Drewniak, “Determination of the machine energy consumption profiles in the mass-customised manufacturing,” </w:t>
      </w:r>
      <w:r w:rsidRPr="00204994">
        <w:rPr>
          <w:rFonts w:cs="Times New Roman"/>
          <w:i/>
          <w:iCs/>
          <w:noProof/>
          <w:szCs w:val="24"/>
        </w:rPr>
        <w:t>Int. J. Comput. Integr. Manuf.</w:t>
      </w:r>
      <w:r w:rsidRPr="00204994">
        <w:rPr>
          <w:rFonts w:cs="Times New Roman"/>
          <w:noProof/>
          <w:szCs w:val="24"/>
        </w:rPr>
        <w:t>, vol. 31, no. 6, pp. 537–561, Jun. 2017 doi:10.1080/0951192X.2017.1339914.</w:t>
      </w:r>
    </w:p>
    <w:p w14:paraId="0735028C"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[110]</w:t>
      </w:r>
      <w:r w:rsidRPr="00204994">
        <w:rPr>
          <w:rFonts w:cs="Times New Roman"/>
          <w:noProof/>
          <w:szCs w:val="24"/>
        </w:rPr>
        <w:tab/>
        <w:t xml:space="preserve">O. Sénéchal and D. Trentesaux, “A framework to help decision makers to be environmentally aware during the maintenance of cyber physical systems,” </w:t>
      </w:r>
      <w:r w:rsidRPr="00204994">
        <w:rPr>
          <w:rFonts w:cs="Times New Roman"/>
          <w:i/>
          <w:iCs/>
          <w:noProof/>
          <w:szCs w:val="24"/>
        </w:rPr>
        <w:t>Environ. Impact Assess. Rev.</w:t>
      </w:r>
      <w:r w:rsidRPr="00204994">
        <w:rPr>
          <w:rFonts w:cs="Times New Roman"/>
          <w:noProof/>
          <w:szCs w:val="24"/>
        </w:rPr>
        <w:t>, vol. 77, no. March, pp. 11–22, 2019 doi:10.1016/j.eiar.2019.02.007.</w:t>
      </w:r>
    </w:p>
    <w:p w14:paraId="17AF5A67"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[111]</w:t>
      </w:r>
      <w:r w:rsidRPr="00204994">
        <w:rPr>
          <w:rFonts w:cs="Times New Roman"/>
          <w:noProof/>
          <w:szCs w:val="24"/>
        </w:rPr>
        <w:tab/>
        <w:t xml:space="preserve">S. Emec, J. Krüger, and G. Seliger, “Online Fault-monitoring in Machine Tools Based on Energy Consumption Analysis and Non-invasive Data Acquisition for Improved Resource-efficiency,” </w:t>
      </w:r>
      <w:r w:rsidRPr="00204994">
        <w:rPr>
          <w:rFonts w:cs="Times New Roman"/>
          <w:i/>
          <w:iCs/>
          <w:noProof/>
          <w:szCs w:val="24"/>
        </w:rPr>
        <w:t>Procedia CIRP</w:t>
      </w:r>
      <w:r w:rsidRPr="00204994">
        <w:rPr>
          <w:rFonts w:cs="Times New Roman"/>
          <w:noProof/>
          <w:szCs w:val="24"/>
        </w:rPr>
        <w:t>, vol. 40, pp. 236–243, 2016 doi:10.1016/j.procir.2016.01.111.</w:t>
      </w:r>
    </w:p>
    <w:p w14:paraId="3D2BD4F8"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[112]</w:t>
      </w:r>
      <w:r w:rsidRPr="00204994">
        <w:rPr>
          <w:rFonts w:cs="Times New Roman"/>
          <w:noProof/>
          <w:szCs w:val="24"/>
        </w:rPr>
        <w:tab/>
        <w:t xml:space="preserve">B. Zhou, Y. Qi, and Y. Liu, “Proactive preventive maintenance policy for buffered serial production systems based on energy saving opportunistic windows,” </w:t>
      </w:r>
      <w:r w:rsidRPr="00204994">
        <w:rPr>
          <w:rFonts w:cs="Times New Roman"/>
          <w:i/>
          <w:iCs/>
          <w:noProof/>
          <w:szCs w:val="24"/>
        </w:rPr>
        <w:t>J. Clean. Prod.</w:t>
      </w:r>
      <w:r w:rsidRPr="00204994">
        <w:rPr>
          <w:rFonts w:cs="Times New Roman"/>
          <w:noProof/>
          <w:szCs w:val="24"/>
        </w:rPr>
        <w:t>, vol. 253, 2020 doi:10.1016/j.jclepro.2019.119791.</w:t>
      </w:r>
    </w:p>
    <w:p w14:paraId="559606BC"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[113]</w:t>
      </w:r>
      <w:r w:rsidRPr="00204994">
        <w:rPr>
          <w:rFonts w:cs="Times New Roman"/>
          <w:noProof/>
          <w:szCs w:val="24"/>
        </w:rPr>
        <w:tab/>
        <w:t xml:space="preserve">A. Jiang, Y. Wang, and Y. Cheng, “A condition-based opportunistic maintenance policy integrated with energy efficiency for two-component parallel systems,” </w:t>
      </w:r>
      <w:r w:rsidRPr="00204994">
        <w:rPr>
          <w:rFonts w:cs="Times New Roman"/>
          <w:i/>
          <w:iCs/>
          <w:noProof/>
          <w:szCs w:val="24"/>
        </w:rPr>
        <w:t>J. Ind. Eng. Manag.</w:t>
      </w:r>
      <w:r w:rsidRPr="00204994">
        <w:rPr>
          <w:rFonts w:cs="Times New Roman"/>
          <w:noProof/>
          <w:szCs w:val="24"/>
        </w:rPr>
        <w:t>, vol. 11, no. 4, p. 749, Oct. 2018 doi:10.3926/jiem.2649.</w:t>
      </w:r>
    </w:p>
    <w:p w14:paraId="778D2F90"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[114]</w:t>
      </w:r>
      <w:r w:rsidRPr="00204994">
        <w:rPr>
          <w:rFonts w:cs="Times New Roman"/>
          <w:noProof/>
          <w:szCs w:val="24"/>
        </w:rPr>
        <w:tab/>
        <w:t xml:space="preserve">T. Xia, L. Xi, S. Du, L. Xiao, and E. Pan, “Energy-oriented maintenance decision-making for sustainable manufacturing based on energy saving window,” </w:t>
      </w:r>
      <w:r w:rsidRPr="00204994">
        <w:rPr>
          <w:rFonts w:cs="Times New Roman"/>
          <w:i/>
          <w:iCs/>
          <w:noProof/>
          <w:szCs w:val="24"/>
        </w:rPr>
        <w:t>J. Manuf. Sci. Eng. Trans. ASME</w:t>
      </w:r>
      <w:r w:rsidRPr="00204994">
        <w:rPr>
          <w:rFonts w:cs="Times New Roman"/>
          <w:noProof/>
          <w:szCs w:val="24"/>
        </w:rPr>
        <w:t>, vol. 140, no. 5, pp. 1–12, 2018 doi:10.1115/1.4038996.</w:t>
      </w:r>
    </w:p>
    <w:p w14:paraId="7E669C46"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[115]</w:t>
      </w:r>
      <w:r w:rsidRPr="00204994">
        <w:rPr>
          <w:rFonts w:cs="Times New Roman"/>
          <w:noProof/>
          <w:szCs w:val="24"/>
        </w:rPr>
        <w:tab/>
        <w:t xml:space="preserve">K. Mittal, J. P. Wilson, B. P. Baillie, S. Gupta, G. M. Bollas, and P. B. Luh, “Supervisory control for resilient chiller plants under condenser fouling,” </w:t>
      </w:r>
      <w:r w:rsidRPr="00204994">
        <w:rPr>
          <w:rFonts w:cs="Times New Roman"/>
          <w:i/>
          <w:iCs/>
          <w:noProof/>
          <w:szCs w:val="24"/>
        </w:rPr>
        <w:t>IEEE Access</w:t>
      </w:r>
      <w:r w:rsidRPr="00204994">
        <w:rPr>
          <w:rFonts w:cs="Times New Roman"/>
          <w:noProof/>
          <w:szCs w:val="24"/>
        </w:rPr>
        <w:t>, vol. 5, pp. 14028–14046, 2017 doi:10.1109/ACCESS.2017.2726017.</w:t>
      </w:r>
    </w:p>
    <w:p w14:paraId="41861819"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[116]</w:t>
      </w:r>
      <w:r w:rsidRPr="00204994">
        <w:rPr>
          <w:rFonts w:cs="Times New Roman"/>
          <w:noProof/>
          <w:szCs w:val="24"/>
        </w:rPr>
        <w:tab/>
        <w:t xml:space="preserve">M. Demichela, G. Baldissone, and B. Darabnia, “Using Field Data for Energy Efficiency Based on Maintenance and Operational Optimisation. A Step towards PHM in Process Plants,” </w:t>
      </w:r>
      <w:r w:rsidRPr="00204994">
        <w:rPr>
          <w:rFonts w:cs="Times New Roman"/>
          <w:i/>
          <w:iCs/>
          <w:noProof/>
          <w:szCs w:val="24"/>
        </w:rPr>
        <w:t>Processes</w:t>
      </w:r>
      <w:r w:rsidRPr="00204994">
        <w:rPr>
          <w:rFonts w:cs="Times New Roman"/>
          <w:noProof/>
          <w:szCs w:val="24"/>
        </w:rPr>
        <w:t>, vol. 6, no. 3, p. 25, Mar. 2018 doi:10.3390/pr6030025.</w:t>
      </w:r>
    </w:p>
    <w:p w14:paraId="50575BDC"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[117]</w:t>
      </w:r>
      <w:r w:rsidRPr="00204994">
        <w:rPr>
          <w:rFonts w:cs="Times New Roman"/>
          <w:noProof/>
          <w:szCs w:val="24"/>
        </w:rPr>
        <w:tab/>
        <w:t xml:space="preserve">P. Drexler </w:t>
      </w:r>
      <w:r w:rsidRPr="00204994">
        <w:rPr>
          <w:rFonts w:cs="Times New Roman"/>
          <w:i/>
          <w:iCs/>
          <w:noProof/>
          <w:szCs w:val="24"/>
        </w:rPr>
        <w:t>et al.</w:t>
      </w:r>
      <w:r w:rsidRPr="00204994">
        <w:rPr>
          <w:rFonts w:cs="Times New Roman"/>
          <w:noProof/>
          <w:szCs w:val="24"/>
        </w:rPr>
        <w:t xml:space="preserve">, </w:t>
      </w:r>
      <w:r w:rsidRPr="00204994">
        <w:rPr>
          <w:rFonts w:cs="Times New Roman"/>
          <w:i/>
          <w:iCs/>
          <w:noProof/>
          <w:szCs w:val="24"/>
        </w:rPr>
        <w:t>Planning and Design of Hydraulic Power Systems: The Hydraulic Trainer</w:t>
      </w:r>
      <w:r w:rsidRPr="00204994">
        <w:rPr>
          <w:rFonts w:cs="Times New Roman"/>
          <w:noProof/>
          <w:szCs w:val="24"/>
        </w:rPr>
        <w:t>, 3rd ed., vol. 3. Lohr a. Main: Mannesmann Rexroth AG, 1988.</w:t>
      </w:r>
    </w:p>
    <w:p w14:paraId="426BEC86"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[118]</w:t>
      </w:r>
      <w:r w:rsidRPr="00204994">
        <w:rPr>
          <w:rFonts w:cs="Times New Roman"/>
          <w:noProof/>
          <w:szCs w:val="24"/>
        </w:rPr>
        <w:tab/>
        <w:t xml:space="preserve">F. Ng, J. A. Harding, and J. Glass, “Improving hydraulic excavator performance through in line hydraulic oil contamination monitoring,” </w:t>
      </w:r>
      <w:r w:rsidRPr="00204994">
        <w:rPr>
          <w:rFonts w:cs="Times New Roman"/>
          <w:i/>
          <w:iCs/>
          <w:noProof/>
          <w:szCs w:val="24"/>
        </w:rPr>
        <w:t>Mech. Syst. Signal Process.</w:t>
      </w:r>
      <w:r w:rsidRPr="00204994">
        <w:rPr>
          <w:rFonts w:cs="Times New Roman"/>
          <w:noProof/>
          <w:szCs w:val="24"/>
        </w:rPr>
        <w:t>, vol. 83, no. 2, pp. 176–193, 2017 doi:10.1016/j.ymssp.2016.06.006.</w:t>
      </w:r>
    </w:p>
    <w:p w14:paraId="415DB635"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[119]</w:t>
      </w:r>
      <w:r w:rsidRPr="00204994">
        <w:rPr>
          <w:rFonts w:cs="Times New Roman"/>
          <w:noProof/>
          <w:szCs w:val="24"/>
        </w:rPr>
        <w:tab/>
        <w:t xml:space="preserve">M. T. Jocanović, V. V. Karanović, A. V. Ivanišević, and D. M. Knežević, “Hydraulic hammer excavator failure due to solid particle contamination,” </w:t>
      </w:r>
      <w:r w:rsidRPr="00204994">
        <w:rPr>
          <w:rFonts w:cs="Times New Roman"/>
          <w:i/>
          <w:iCs/>
          <w:noProof/>
          <w:szCs w:val="24"/>
        </w:rPr>
        <w:t>Vojnoteh. Glas.</w:t>
      </w:r>
      <w:r w:rsidRPr="00204994">
        <w:rPr>
          <w:rFonts w:cs="Times New Roman"/>
          <w:noProof/>
          <w:szCs w:val="24"/>
        </w:rPr>
        <w:t>, vol. 62, no. 1, pp. 112–129, 2014 doi:10.5937/vojtehg62-4676.</w:t>
      </w:r>
    </w:p>
    <w:p w14:paraId="4323EDD0"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[120]</w:t>
      </w:r>
      <w:r w:rsidRPr="00204994">
        <w:rPr>
          <w:rFonts w:cs="Times New Roman"/>
          <w:noProof/>
          <w:szCs w:val="24"/>
        </w:rPr>
        <w:tab/>
        <w:t xml:space="preserve">M. Orošnjak, M. Delić, and S. Ramos, “Influence of Maintenance Practice on MTBF of Industrial and Mobile Hydraulic Machines: A West Balkan Study,” in </w:t>
      </w:r>
      <w:r w:rsidRPr="00204994">
        <w:rPr>
          <w:rFonts w:cs="Times New Roman"/>
          <w:i/>
          <w:iCs/>
          <w:noProof/>
          <w:szCs w:val="24"/>
        </w:rPr>
        <w:t>The 11th International Conference on Machine and Industrial Design in Mechanical Engineering (KOD 2021)</w:t>
      </w:r>
      <w:r w:rsidRPr="00204994">
        <w:rPr>
          <w:rFonts w:cs="Times New Roman"/>
          <w:noProof/>
          <w:szCs w:val="24"/>
        </w:rPr>
        <w:t>, 2021, no. 11, pp. 1–8 doi:10.13140/RG.2.2.23561.98408.</w:t>
      </w:r>
    </w:p>
    <w:p w14:paraId="5467273E"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[121]</w:t>
      </w:r>
      <w:r w:rsidRPr="00204994">
        <w:rPr>
          <w:rFonts w:cs="Times New Roman"/>
          <w:noProof/>
          <w:szCs w:val="24"/>
        </w:rPr>
        <w:tab/>
        <w:t xml:space="preserve">J. Fitch and D. Troyer, “Best practices: The basics of used oil sampling,” </w:t>
      </w:r>
      <w:r w:rsidRPr="00204994">
        <w:rPr>
          <w:rFonts w:cs="Times New Roman"/>
          <w:i/>
          <w:iCs/>
          <w:noProof/>
          <w:szCs w:val="24"/>
        </w:rPr>
        <w:t>Pract. Oil Anal.</w:t>
      </w:r>
      <w:r w:rsidRPr="00204994">
        <w:rPr>
          <w:rFonts w:cs="Times New Roman"/>
          <w:noProof/>
          <w:szCs w:val="24"/>
        </w:rPr>
        <w:t>, no. SEP./OCT., pp. 1–7, 2004.</w:t>
      </w:r>
    </w:p>
    <w:p w14:paraId="145957D5"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lastRenderedPageBreak/>
        <w:t>[122]</w:t>
      </w:r>
      <w:r w:rsidRPr="00204994">
        <w:rPr>
          <w:rFonts w:cs="Times New Roman"/>
          <w:noProof/>
          <w:szCs w:val="24"/>
        </w:rPr>
        <w:tab/>
        <w:t xml:space="preserve">TestOil, “Oil Analysis Test Frequency Guideliness,” </w:t>
      </w:r>
      <w:r w:rsidRPr="00204994">
        <w:rPr>
          <w:rFonts w:cs="Times New Roman"/>
          <w:i/>
          <w:iCs/>
          <w:noProof/>
          <w:szCs w:val="24"/>
        </w:rPr>
        <w:t>Program management</w:t>
      </w:r>
      <w:r w:rsidRPr="00204994">
        <w:rPr>
          <w:rFonts w:cs="Times New Roman"/>
          <w:noProof/>
          <w:szCs w:val="24"/>
        </w:rPr>
        <w:t>, 2017. [Online]. Available: https://testoil.com/program-management/oil-analysis-test-frequency-guidelines/.</w:t>
      </w:r>
    </w:p>
    <w:p w14:paraId="428B45D8"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[123]</w:t>
      </w:r>
      <w:r w:rsidRPr="00204994">
        <w:rPr>
          <w:rFonts w:cs="Times New Roman"/>
          <w:noProof/>
          <w:szCs w:val="24"/>
        </w:rPr>
        <w:tab/>
        <w:t xml:space="preserve">PALL, “Fluid Sampling Protocol,” </w:t>
      </w:r>
      <w:r w:rsidRPr="00204994">
        <w:rPr>
          <w:rFonts w:cs="Times New Roman"/>
          <w:i/>
          <w:iCs/>
          <w:noProof/>
          <w:szCs w:val="24"/>
        </w:rPr>
        <w:t>Pall Corporation</w:t>
      </w:r>
      <w:r w:rsidRPr="00204994">
        <w:rPr>
          <w:rFonts w:cs="Times New Roman"/>
          <w:noProof/>
          <w:szCs w:val="24"/>
        </w:rPr>
        <w:t>, pp. 1–4, 2006.</w:t>
      </w:r>
    </w:p>
    <w:p w14:paraId="74034389"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[124]</w:t>
      </w:r>
      <w:r w:rsidRPr="00204994">
        <w:rPr>
          <w:rFonts w:cs="Times New Roman"/>
          <w:noProof/>
          <w:szCs w:val="24"/>
        </w:rPr>
        <w:tab/>
        <w:t>P. V. Ciekurs and S. A. Ropar, “Application of wear debris analysis to aircraft hydraulic systems,” Lakehurst, New Jersey, 1988.</w:t>
      </w:r>
    </w:p>
    <w:p w14:paraId="3C42D754"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[125]</w:t>
      </w:r>
      <w:r w:rsidRPr="00204994">
        <w:rPr>
          <w:rFonts w:cs="Times New Roman"/>
          <w:noProof/>
          <w:szCs w:val="24"/>
        </w:rPr>
        <w:tab/>
        <w:t xml:space="preserve">R. E. Booser, </w:t>
      </w:r>
      <w:r w:rsidRPr="00204994">
        <w:rPr>
          <w:rFonts w:cs="Times New Roman"/>
          <w:i/>
          <w:iCs/>
          <w:noProof/>
          <w:szCs w:val="24"/>
        </w:rPr>
        <w:t>Tribology Data Handbook: An Excellent Friction, Lubrication and Wear Resource</w:t>
      </w:r>
      <w:r w:rsidRPr="00204994">
        <w:rPr>
          <w:rFonts w:cs="Times New Roman"/>
          <w:noProof/>
          <w:szCs w:val="24"/>
        </w:rPr>
        <w:t>. CRC Press LLC, 2018 doi:10.1201/9781351071376-2.</w:t>
      </w:r>
    </w:p>
    <w:p w14:paraId="6B4B9565"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[126]</w:t>
      </w:r>
      <w:r w:rsidRPr="00204994">
        <w:rPr>
          <w:rFonts w:cs="Times New Roman"/>
          <w:noProof/>
          <w:szCs w:val="24"/>
        </w:rPr>
        <w:tab/>
        <w:t xml:space="preserve">TestOil, “Sources of Nickel,” </w:t>
      </w:r>
      <w:r w:rsidRPr="00204994">
        <w:rPr>
          <w:rFonts w:cs="Times New Roman"/>
          <w:i/>
          <w:iCs/>
          <w:noProof/>
          <w:szCs w:val="24"/>
        </w:rPr>
        <w:t>Data intepretation</w:t>
      </w:r>
      <w:r w:rsidRPr="00204994">
        <w:rPr>
          <w:rFonts w:cs="Times New Roman"/>
          <w:noProof/>
          <w:szCs w:val="24"/>
        </w:rPr>
        <w:t>, 2016. [Online]. Available: https://testoil.com/data-interpretation/sources-of-nickel/.</w:t>
      </w:r>
    </w:p>
    <w:p w14:paraId="4DAF2266"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[127]</w:t>
      </w:r>
      <w:r w:rsidRPr="00204994">
        <w:rPr>
          <w:rFonts w:cs="Times New Roman"/>
          <w:noProof/>
          <w:szCs w:val="24"/>
        </w:rPr>
        <w:tab/>
        <w:t xml:space="preserve">N. H. Riley, “Lubricant analysis as a condition monitoring technique,” </w:t>
      </w:r>
      <w:r w:rsidRPr="00204994">
        <w:rPr>
          <w:rFonts w:cs="Times New Roman"/>
          <w:i/>
          <w:iCs/>
          <w:noProof/>
          <w:szCs w:val="24"/>
        </w:rPr>
        <w:t>Handb. Cond. Monit.</w:t>
      </w:r>
      <w:r w:rsidRPr="00204994">
        <w:rPr>
          <w:rFonts w:cs="Times New Roman"/>
          <w:noProof/>
          <w:szCs w:val="24"/>
        </w:rPr>
        <w:t>, pp. 435–449, 1998 doi:10.1007/978-94-011-4924-2_17.</w:t>
      </w:r>
    </w:p>
    <w:p w14:paraId="52C793AC"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[128]</w:t>
      </w:r>
      <w:r w:rsidRPr="00204994">
        <w:rPr>
          <w:rFonts w:cs="Times New Roman"/>
          <w:noProof/>
          <w:szCs w:val="24"/>
        </w:rPr>
        <w:tab/>
        <w:t>D. J. Guilford, “The Army Oil Analysis Program (AOAP): Cost Benefit Analysis of Maitaining the Program for Ground Systems at Ford Hood, Texas,” Naval Postgraduate School, 2000.</w:t>
      </w:r>
    </w:p>
    <w:p w14:paraId="4D79078C"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[129]</w:t>
      </w:r>
      <w:r w:rsidRPr="00204994">
        <w:rPr>
          <w:rFonts w:cs="Times New Roman"/>
          <w:noProof/>
          <w:szCs w:val="24"/>
        </w:rPr>
        <w:tab/>
        <w:t>J. Marlowe, “Size is not important … Threat is</w:t>
      </w:r>
      <w:r w:rsidRPr="00204994">
        <w:rPr>
          <w:rFonts w:ascii="Times New Roman" w:hAnsi="Times New Roman" w:cs="Times New Roman"/>
          <w:noProof/>
          <w:szCs w:val="24"/>
        </w:rPr>
        <w:t> </w:t>
      </w:r>
      <w:r w:rsidRPr="00204994">
        <w:rPr>
          <w:rFonts w:cs="Times New Roman"/>
          <w:noProof/>
          <w:szCs w:val="24"/>
        </w:rPr>
        <w:t xml:space="preserve">! Improving Fluid Power System Reliability,” </w:t>
      </w:r>
      <w:r w:rsidRPr="00204994">
        <w:rPr>
          <w:rFonts w:cs="Times New Roman"/>
          <w:i/>
          <w:iCs/>
          <w:noProof/>
          <w:szCs w:val="24"/>
        </w:rPr>
        <w:t>Ncfp 08</w:t>
      </w:r>
      <w:r w:rsidRPr="00204994">
        <w:rPr>
          <w:rFonts w:cs="Times New Roman"/>
          <w:noProof/>
          <w:szCs w:val="24"/>
        </w:rPr>
        <w:t>, pp. 449–478, 2008.</w:t>
      </w:r>
    </w:p>
    <w:p w14:paraId="37236C70"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[130]</w:t>
      </w:r>
      <w:r w:rsidRPr="00204994">
        <w:rPr>
          <w:rFonts w:cs="Times New Roman"/>
          <w:noProof/>
          <w:szCs w:val="24"/>
        </w:rPr>
        <w:tab/>
        <w:t xml:space="preserve">R. D. S. Raizada and Y. S. Lee, “Smoothness without Smoothing: Why Gaussian Naive Bayes Is Not Naive for Multi-Subject Searchlight Studies,” </w:t>
      </w:r>
      <w:r w:rsidRPr="00204994">
        <w:rPr>
          <w:rFonts w:cs="Times New Roman"/>
          <w:i/>
          <w:iCs/>
          <w:noProof/>
          <w:szCs w:val="24"/>
        </w:rPr>
        <w:t>PLoS One</w:t>
      </w:r>
      <w:r w:rsidRPr="00204994">
        <w:rPr>
          <w:rFonts w:cs="Times New Roman"/>
          <w:noProof/>
          <w:szCs w:val="24"/>
        </w:rPr>
        <w:t>, vol. 8, no. 7, 2013 doi:10.1371/journal.pone.0069566.</w:t>
      </w:r>
    </w:p>
    <w:p w14:paraId="6503D1B6"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[131]</w:t>
      </w:r>
      <w:r w:rsidRPr="00204994">
        <w:rPr>
          <w:rFonts w:cs="Times New Roman"/>
          <w:noProof/>
          <w:szCs w:val="24"/>
        </w:rPr>
        <w:tab/>
        <w:t xml:space="preserve">D. Jurafsky and J. H. Martin, “Neural Networks and Neural Language Models,” </w:t>
      </w:r>
      <w:r w:rsidRPr="00204994">
        <w:rPr>
          <w:rFonts w:cs="Times New Roman"/>
          <w:i/>
          <w:iCs/>
          <w:noProof/>
          <w:szCs w:val="24"/>
        </w:rPr>
        <w:t>Synth. Lect. Hum. Lang. Technol.</w:t>
      </w:r>
      <w:r w:rsidRPr="00204994">
        <w:rPr>
          <w:rFonts w:cs="Times New Roman"/>
          <w:noProof/>
          <w:szCs w:val="24"/>
        </w:rPr>
        <w:t>, no. Chapter 10, 2019.</w:t>
      </w:r>
    </w:p>
    <w:p w14:paraId="5E9128D4"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[132]</w:t>
      </w:r>
      <w:r w:rsidRPr="00204994">
        <w:rPr>
          <w:rFonts w:cs="Times New Roman"/>
          <w:noProof/>
          <w:szCs w:val="24"/>
        </w:rPr>
        <w:tab/>
        <w:t>Stanford, “Standard notations for Deep Learning,” 2021. [Online]. Available: https://cs230.stanford.edu/files/Notation.pdf.</w:t>
      </w:r>
    </w:p>
    <w:p w14:paraId="01D83492"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[133]</w:t>
      </w:r>
      <w:r w:rsidRPr="00204994">
        <w:rPr>
          <w:rFonts w:cs="Times New Roman"/>
          <w:noProof/>
          <w:szCs w:val="24"/>
        </w:rPr>
        <w:tab/>
        <w:t xml:space="preserve">H. Raeisi Shahraki, S. Pourahmad, and N. Zare, “K Important Neighbors: A Novel Approach to Binary Classification in High Dimensional Data,” </w:t>
      </w:r>
      <w:r w:rsidRPr="00204994">
        <w:rPr>
          <w:rFonts w:cs="Times New Roman"/>
          <w:i/>
          <w:iCs/>
          <w:noProof/>
          <w:szCs w:val="24"/>
        </w:rPr>
        <w:t>Biomed Res. Int.</w:t>
      </w:r>
      <w:r w:rsidRPr="00204994">
        <w:rPr>
          <w:rFonts w:cs="Times New Roman"/>
          <w:noProof/>
          <w:szCs w:val="24"/>
        </w:rPr>
        <w:t>, vol. 2017, 2017 doi:10.1155/2017/7560807.</w:t>
      </w:r>
    </w:p>
    <w:p w14:paraId="5E657990"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[134]</w:t>
      </w:r>
      <w:r w:rsidRPr="00204994">
        <w:rPr>
          <w:rFonts w:cs="Times New Roman"/>
          <w:noProof/>
          <w:szCs w:val="24"/>
        </w:rPr>
        <w:tab/>
        <w:t xml:space="preserve">S. Peralta, A. P. Sasmito, and M. Kumral, “Reliability effect on energy consumption and greenhouse gas emissions of mining hauling fleet towards sustainable mining,” </w:t>
      </w:r>
      <w:r w:rsidRPr="00204994">
        <w:rPr>
          <w:rFonts w:cs="Times New Roman"/>
          <w:i/>
          <w:iCs/>
          <w:noProof/>
          <w:szCs w:val="24"/>
        </w:rPr>
        <w:t>J. Sustain. Min.</w:t>
      </w:r>
      <w:r w:rsidRPr="00204994">
        <w:rPr>
          <w:rFonts w:cs="Times New Roman"/>
          <w:noProof/>
          <w:szCs w:val="24"/>
        </w:rPr>
        <w:t>, vol. 15, no. 3, pp. 85–94, 2016 doi:10.1016/j.jsm.2016.08.002.</w:t>
      </w:r>
    </w:p>
    <w:p w14:paraId="75F56FD0"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[135]</w:t>
      </w:r>
      <w:r w:rsidRPr="00204994">
        <w:rPr>
          <w:rFonts w:cs="Times New Roman"/>
          <w:noProof/>
          <w:szCs w:val="24"/>
        </w:rPr>
        <w:tab/>
        <w:t xml:space="preserve">O. C. Basurko and Z. Uriondo, “Condition-Based Maintenance for medium speed diesel engines used in vessels in operation,” </w:t>
      </w:r>
      <w:r w:rsidRPr="00204994">
        <w:rPr>
          <w:rFonts w:cs="Times New Roman"/>
          <w:i/>
          <w:iCs/>
          <w:noProof/>
          <w:szCs w:val="24"/>
        </w:rPr>
        <w:t>Appl. Therm. Eng.</w:t>
      </w:r>
      <w:r w:rsidRPr="00204994">
        <w:rPr>
          <w:rFonts w:cs="Times New Roman"/>
          <w:noProof/>
          <w:szCs w:val="24"/>
        </w:rPr>
        <w:t>, vol. 80, no. x, pp. 404–412, Apr. 2015 doi:10.1016/j.applthermaleng.2015.01.075.</w:t>
      </w:r>
    </w:p>
    <w:p w14:paraId="63CF81FC"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[136]</w:t>
      </w:r>
      <w:r w:rsidRPr="00204994">
        <w:rPr>
          <w:rFonts w:cs="Times New Roman"/>
          <w:noProof/>
          <w:szCs w:val="24"/>
        </w:rPr>
        <w:tab/>
        <w:t xml:space="preserve">A. Morris, D. Baglee, and M. Knowles, “Using energy consumption profiles as an indicator of equipment condition,” </w:t>
      </w:r>
      <w:r w:rsidRPr="00204994">
        <w:rPr>
          <w:rFonts w:cs="Times New Roman"/>
          <w:i/>
          <w:iCs/>
          <w:noProof/>
          <w:szCs w:val="24"/>
        </w:rPr>
        <w:t>Int. J. COMADEM</w:t>
      </w:r>
      <w:r w:rsidRPr="00204994">
        <w:rPr>
          <w:rFonts w:cs="Times New Roman"/>
          <w:noProof/>
          <w:szCs w:val="24"/>
        </w:rPr>
        <w:t>, vol. 23, no. 2, pp. 15–21, 2020.</w:t>
      </w:r>
    </w:p>
    <w:p w14:paraId="2ABA9177"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[137]</w:t>
      </w:r>
      <w:r w:rsidRPr="00204994">
        <w:rPr>
          <w:rFonts w:cs="Times New Roman"/>
          <w:noProof/>
          <w:szCs w:val="24"/>
        </w:rPr>
        <w:tab/>
        <w:t xml:space="preserve">A. Marellapudi, S. Kulkarni, S. Liptak, S. Jayaraman, and D. Divan, “Low-Cost Industrial Monitoring Platform for Energy Efficiency and Optimized Plant Productivity,” in </w:t>
      </w:r>
      <w:r w:rsidRPr="00204994">
        <w:rPr>
          <w:rFonts w:cs="Times New Roman"/>
          <w:i/>
          <w:iCs/>
          <w:noProof/>
          <w:szCs w:val="24"/>
        </w:rPr>
        <w:t>IECON 2019 - 45th Annual Conference of the IEEE Industrial Electronics Society</w:t>
      </w:r>
      <w:r w:rsidRPr="00204994">
        <w:rPr>
          <w:rFonts w:cs="Times New Roman"/>
          <w:noProof/>
          <w:szCs w:val="24"/>
        </w:rPr>
        <w:t>, 2019, vol. 2019-Octob, pp. 5532–5537 doi:10.1109/IECON.2019.8927309.</w:t>
      </w:r>
    </w:p>
    <w:p w14:paraId="526B51CE"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[138]</w:t>
      </w:r>
      <w:r w:rsidRPr="00204994">
        <w:rPr>
          <w:rFonts w:cs="Times New Roman"/>
          <w:noProof/>
          <w:szCs w:val="24"/>
        </w:rPr>
        <w:tab/>
        <w:t xml:space="preserve">H. Mokhtari and A. Hasani, “An energy-efficient multi-objective optimization for flexible job-shop scheduling problem,” </w:t>
      </w:r>
      <w:r w:rsidRPr="00204994">
        <w:rPr>
          <w:rFonts w:cs="Times New Roman"/>
          <w:i/>
          <w:iCs/>
          <w:noProof/>
          <w:szCs w:val="24"/>
        </w:rPr>
        <w:t>Comput. Chem. Eng.</w:t>
      </w:r>
      <w:r w:rsidRPr="00204994">
        <w:rPr>
          <w:rFonts w:cs="Times New Roman"/>
          <w:noProof/>
          <w:szCs w:val="24"/>
        </w:rPr>
        <w:t>, vol. 104, pp. 339–352, Sep. 2017 doi:10.1016/j.compchemeng.2017.05.004.</w:t>
      </w:r>
    </w:p>
    <w:p w14:paraId="7A2E21ED"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lastRenderedPageBreak/>
        <w:t>[139]</w:t>
      </w:r>
      <w:r w:rsidRPr="00204994">
        <w:rPr>
          <w:rFonts w:cs="Times New Roman"/>
          <w:noProof/>
          <w:szCs w:val="24"/>
        </w:rPr>
        <w:tab/>
        <w:t xml:space="preserve">A. Santolamazza, V. Cesarotti, and V. Introna, “Anomaly detection in energy consumption for Condition-Based maintenance of Compressed Air Generation systems: an approach based on artificial neural networks,” </w:t>
      </w:r>
      <w:r w:rsidRPr="00204994">
        <w:rPr>
          <w:rFonts w:cs="Times New Roman"/>
          <w:i/>
          <w:iCs/>
          <w:noProof/>
          <w:szCs w:val="24"/>
        </w:rPr>
        <w:t>IFAC-PapersOnLine</w:t>
      </w:r>
      <w:r w:rsidRPr="00204994">
        <w:rPr>
          <w:rFonts w:cs="Times New Roman"/>
          <w:noProof/>
          <w:szCs w:val="24"/>
        </w:rPr>
        <w:t>, vol. 51, no. 11, pp. 1131–1136, 2018 doi:10.1016/j.ifacol.2018.08.439.</w:t>
      </w:r>
    </w:p>
    <w:p w14:paraId="56D875FC"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[140]</w:t>
      </w:r>
      <w:r w:rsidRPr="00204994">
        <w:rPr>
          <w:rFonts w:cs="Times New Roman"/>
          <w:noProof/>
          <w:szCs w:val="24"/>
        </w:rPr>
        <w:tab/>
        <w:t xml:space="preserve">R.-P. Nikula, M. Ruusunen, and K. Leiviskä, “Data-driven framework for boiler performance monitoring,” </w:t>
      </w:r>
      <w:r w:rsidRPr="00204994">
        <w:rPr>
          <w:rFonts w:cs="Times New Roman"/>
          <w:i/>
          <w:iCs/>
          <w:noProof/>
          <w:szCs w:val="24"/>
        </w:rPr>
        <w:t>Appl. Energy</w:t>
      </w:r>
      <w:r w:rsidRPr="00204994">
        <w:rPr>
          <w:rFonts w:cs="Times New Roman"/>
          <w:noProof/>
          <w:szCs w:val="24"/>
        </w:rPr>
        <w:t>, vol. 183, pp. 1374–1388, Dec. 2016 doi:10.1016/j.apenergy.2016.09.072.</w:t>
      </w:r>
    </w:p>
    <w:p w14:paraId="49332C2C"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[141]</w:t>
      </w:r>
      <w:r w:rsidRPr="00204994">
        <w:rPr>
          <w:rFonts w:cs="Times New Roman"/>
          <w:noProof/>
          <w:szCs w:val="24"/>
        </w:rPr>
        <w:tab/>
        <w:t xml:space="preserve">G. Singh, T. C. Anil Kumar, and V. N. A. Naikan, “Efficiency monitoring as a strategy for cost effective maintenance of induction motors for minimizing carbon emission and energy consumption,” </w:t>
      </w:r>
      <w:r w:rsidRPr="00204994">
        <w:rPr>
          <w:rFonts w:cs="Times New Roman"/>
          <w:i/>
          <w:iCs/>
          <w:noProof/>
          <w:szCs w:val="24"/>
        </w:rPr>
        <w:t>Reliab. Eng. Syst. Saf.</w:t>
      </w:r>
      <w:r w:rsidRPr="00204994">
        <w:rPr>
          <w:rFonts w:cs="Times New Roman"/>
          <w:noProof/>
          <w:szCs w:val="24"/>
        </w:rPr>
        <w:t>, vol. 184, no. February 2018, pp. 193–201, 2019 doi:10.1016/j.ress.2018.02.015.</w:t>
      </w:r>
    </w:p>
    <w:p w14:paraId="4B3275D7"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[142]</w:t>
      </w:r>
      <w:r w:rsidRPr="00204994">
        <w:rPr>
          <w:rFonts w:cs="Times New Roman"/>
          <w:noProof/>
          <w:szCs w:val="24"/>
        </w:rPr>
        <w:tab/>
        <w:t xml:space="preserve">M. Benedetti, F. Bonfà, V. Introna, A. Santolamazza, and S. Ubertini, “Real Time Energy Performance Control for Industrial Compressed Air Systems: Methodology and Applications,” </w:t>
      </w:r>
      <w:r w:rsidRPr="00204994">
        <w:rPr>
          <w:rFonts w:cs="Times New Roman"/>
          <w:i/>
          <w:iCs/>
          <w:noProof/>
          <w:szCs w:val="24"/>
        </w:rPr>
        <w:t>Energies</w:t>
      </w:r>
      <w:r w:rsidRPr="00204994">
        <w:rPr>
          <w:rFonts w:cs="Times New Roman"/>
          <w:noProof/>
          <w:szCs w:val="24"/>
        </w:rPr>
        <w:t>, vol. 12, no. 20, p. 3935, Oct. 2019 doi:10.3390/en12203935.</w:t>
      </w:r>
    </w:p>
    <w:p w14:paraId="69DF9B7C" w14:textId="77777777" w:rsidR="00204994" w:rsidRPr="00204994" w:rsidRDefault="00204994" w:rsidP="00204994">
      <w:pPr>
        <w:widowControl w:val="0"/>
        <w:autoSpaceDE w:val="0"/>
        <w:autoSpaceDN w:val="0"/>
        <w:adjustRightInd w:val="0"/>
        <w:spacing w:before="140" w:after="60"/>
        <w:ind w:left="640" w:hanging="640"/>
        <w:rPr>
          <w:rFonts w:cs="Times New Roman"/>
          <w:noProof/>
          <w:szCs w:val="24"/>
        </w:rPr>
      </w:pPr>
      <w:r w:rsidRPr="00204994">
        <w:rPr>
          <w:rFonts w:cs="Times New Roman"/>
          <w:noProof/>
          <w:szCs w:val="24"/>
        </w:rPr>
        <w:t>[143]</w:t>
      </w:r>
      <w:r w:rsidRPr="00204994">
        <w:rPr>
          <w:rFonts w:cs="Times New Roman"/>
          <w:noProof/>
          <w:szCs w:val="24"/>
        </w:rPr>
        <w:tab/>
        <w:t xml:space="preserve">W. Xu and L. Cao, “Energy efficiency analysis of machine tools with periodic maintenance,” </w:t>
      </w:r>
      <w:r w:rsidRPr="00204994">
        <w:rPr>
          <w:rFonts w:cs="Times New Roman"/>
          <w:i/>
          <w:iCs/>
          <w:noProof/>
          <w:szCs w:val="24"/>
        </w:rPr>
        <w:t>Int. J. Prod. Res.</w:t>
      </w:r>
      <w:r w:rsidRPr="00204994">
        <w:rPr>
          <w:rFonts w:cs="Times New Roman"/>
          <w:noProof/>
          <w:szCs w:val="24"/>
        </w:rPr>
        <w:t>, vol. 52, no. 18, pp. 5273–5285, 2014 doi:10.1080/00207543.2014.893067.</w:t>
      </w:r>
    </w:p>
    <w:p w14:paraId="425CD0D8" w14:textId="77777777" w:rsidR="00204994" w:rsidRPr="00204994" w:rsidRDefault="00204994" w:rsidP="00204994">
      <w:pPr>
        <w:widowControl w:val="0"/>
        <w:autoSpaceDE w:val="0"/>
        <w:autoSpaceDN w:val="0"/>
        <w:adjustRightInd w:val="0"/>
        <w:spacing w:before="140" w:after="60"/>
        <w:ind w:left="640" w:hanging="640"/>
        <w:rPr>
          <w:noProof/>
        </w:rPr>
      </w:pPr>
      <w:r w:rsidRPr="00204994">
        <w:rPr>
          <w:rFonts w:cs="Times New Roman"/>
          <w:noProof/>
          <w:szCs w:val="24"/>
        </w:rPr>
        <w:t>[144]</w:t>
      </w:r>
      <w:r w:rsidRPr="00204994">
        <w:rPr>
          <w:rFonts w:cs="Times New Roman"/>
          <w:noProof/>
          <w:szCs w:val="24"/>
        </w:rPr>
        <w:tab/>
        <w:t xml:space="preserve">A. Van Horenbeek, K. Kellens, L. Pintelon, and J. R. Duflou, “Economic and environmental aware maintenance optimization,” </w:t>
      </w:r>
      <w:r w:rsidRPr="00204994">
        <w:rPr>
          <w:rFonts w:cs="Times New Roman"/>
          <w:i/>
          <w:iCs/>
          <w:noProof/>
          <w:szCs w:val="24"/>
        </w:rPr>
        <w:t>Procedia CIRP</w:t>
      </w:r>
      <w:r w:rsidRPr="00204994">
        <w:rPr>
          <w:rFonts w:cs="Times New Roman"/>
          <w:noProof/>
          <w:szCs w:val="24"/>
        </w:rPr>
        <w:t>, vol. 15, pp. 343–348, 2014 doi:10.1016/j.procir.2014.06.048.</w:t>
      </w:r>
    </w:p>
    <w:p w14:paraId="231C4F61" w14:textId="4B67C520" w:rsidR="00BA0176" w:rsidRPr="003D48ED" w:rsidRDefault="00432597" w:rsidP="00645D0B">
      <w:pPr>
        <w:widowControl w:val="0"/>
        <w:autoSpaceDE w:val="0"/>
        <w:autoSpaceDN w:val="0"/>
        <w:adjustRightInd w:val="0"/>
        <w:spacing w:before="140" w:after="60"/>
        <w:ind w:left="640" w:hanging="640"/>
        <w:rPr>
          <w:noProof/>
        </w:rPr>
      </w:pPr>
      <w:r>
        <w:rPr>
          <w:lang w:val="sr-Latn-RS"/>
        </w:rPr>
        <w:fldChar w:fldCharType="end"/>
      </w:r>
    </w:p>
    <w:p w14:paraId="3EE23CB8" w14:textId="77777777" w:rsidR="00BA0176" w:rsidRDefault="00BA0176">
      <w:pPr>
        <w:spacing w:before="0" w:after="160" w:line="259" w:lineRule="auto"/>
        <w:jc w:val="left"/>
        <w:rPr>
          <w:rFonts w:eastAsiaTheme="majorEastAsia" w:cstheme="majorBidi"/>
          <w:b/>
          <w:smallCaps/>
          <w:sz w:val="32"/>
          <w:szCs w:val="32"/>
          <w:lang w:val="sr-Latn-RS"/>
        </w:rPr>
      </w:pPr>
      <w:r>
        <w:rPr>
          <w:lang w:val="sr-Latn-RS"/>
        </w:rPr>
        <w:br w:type="page"/>
      </w:r>
    </w:p>
    <w:p w14:paraId="3BC68201" w14:textId="77777777" w:rsidR="00BA0176" w:rsidRDefault="00BA0176" w:rsidP="002F587A">
      <w:pPr>
        <w:pStyle w:val="Heading1"/>
        <w:numPr>
          <w:ilvl w:val="0"/>
          <w:numId w:val="0"/>
        </w:numPr>
        <w:ind w:left="431" w:hanging="431"/>
      </w:pPr>
      <w:bookmarkStart w:id="815" w:name="_Toc93759939"/>
      <w:bookmarkStart w:id="816" w:name="_Toc93760043"/>
      <w:bookmarkStart w:id="817" w:name="_Toc101274440"/>
      <w:r>
        <w:lastRenderedPageBreak/>
        <w:t>Appendices</w:t>
      </w:r>
      <w:bookmarkEnd w:id="815"/>
      <w:bookmarkEnd w:id="816"/>
      <w:bookmarkEnd w:id="817"/>
    </w:p>
    <w:p w14:paraId="23C824C1" w14:textId="37FA485D" w:rsidR="0085374E" w:rsidRDefault="00BA0176" w:rsidP="00BA0176">
      <w:pPr>
        <w:pStyle w:val="Caption"/>
        <w:jc w:val="left"/>
      </w:pPr>
      <w:bookmarkStart w:id="818" w:name="_Ref93481980"/>
      <w:bookmarkStart w:id="819" w:name="_Toc101274671"/>
      <w:r>
        <w:t xml:space="preserve">Appendix </w:t>
      </w:r>
      <w:fldSimple w:instr=" SEQ Appendix \* ARABIC ">
        <w:r w:rsidR="00587AF0">
          <w:rPr>
            <w:noProof/>
          </w:rPr>
          <w:t>1</w:t>
        </w:r>
      </w:fldSimple>
      <w:bookmarkEnd w:id="818"/>
      <w:r>
        <w:t xml:space="preserve">. </w:t>
      </w:r>
      <w:r w:rsidR="0085374E" w:rsidRPr="0085374E">
        <w:t>Hydraulic systems maintenance practice questionnaire-based survey</w:t>
      </w:r>
      <w:bookmarkEnd w:id="81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7"/>
        <w:gridCol w:w="2809"/>
        <w:gridCol w:w="31"/>
        <w:gridCol w:w="2779"/>
      </w:tblGrid>
      <w:tr w:rsidR="0085374E" w:rsidRPr="0085374E" w14:paraId="50E39A0F" w14:textId="77777777" w:rsidTr="00926378">
        <w:tc>
          <w:tcPr>
            <w:tcW w:w="3397" w:type="dxa"/>
            <w:tcBorders>
              <w:top w:val="single" w:sz="4" w:space="0" w:color="auto"/>
              <w:bottom w:val="single" w:sz="4" w:space="0" w:color="auto"/>
            </w:tcBorders>
          </w:tcPr>
          <w:p w14:paraId="21351C3B" w14:textId="77777777" w:rsidR="0085374E" w:rsidRPr="0085374E" w:rsidRDefault="0085374E" w:rsidP="0085374E">
            <w:pPr>
              <w:spacing w:beforeLines="20" w:before="48" w:afterLines="20" w:after="48"/>
              <w:rPr>
                <w:b/>
                <w:i/>
                <w:sz w:val="16"/>
                <w:szCs w:val="16"/>
                <w:u w:val="single"/>
              </w:rPr>
            </w:pPr>
            <w:r w:rsidRPr="0085374E">
              <w:rPr>
                <w:b/>
                <w:i/>
                <w:sz w:val="16"/>
                <w:szCs w:val="16"/>
                <w:u w:val="single"/>
              </w:rPr>
              <w:t>Question:</w:t>
            </w:r>
          </w:p>
        </w:tc>
        <w:tc>
          <w:tcPr>
            <w:tcW w:w="5619" w:type="dxa"/>
            <w:gridSpan w:val="3"/>
            <w:tcBorders>
              <w:top w:val="single" w:sz="4" w:space="0" w:color="auto"/>
              <w:bottom w:val="single" w:sz="4" w:space="0" w:color="auto"/>
            </w:tcBorders>
          </w:tcPr>
          <w:p w14:paraId="0D88B710" w14:textId="77777777" w:rsidR="0085374E" w:rsidRPr="0085374E" w:rsidRDefault="0085374E" w:rsidP="0085374E">
            <w:pPr>
              <w:spacing w:beforeLines="20" w:before="48" w:afterLines="20" w:after="48"/>
              <w:jc w:val="center"/>
              <w:rPr>
                <w:b/>
                <w:i/>
                <w:sz w:val="16"/>
                <w:szCs w:val="16"/>
                <w:u w:val="single"/>
              </w:rPr>
            </w:pPr>
            <w:r w:rsidRPr="0085374E">
              <w:rPr>
                <w:b/>
                <w:i/>
                <w:sz w:val="16"/>
                <w:szCs w:val="16"/>
                <w:u w:val="single"/>
              </w:rPr>
              <w:t>Checkbox:</w:t>
            </w:r>
          </w:p>
        </w:tc>
      </w:tr>
      <w:tr w:rsidR="0085374E" w:rsidRPr="0085374E" w14:paraId="6B656594" w14:textId="77777777" w:rsidTr="00926378">
        <w:tc>
          <w:tcPr>
            <w:tcW w:w="3397" w:type="dxa"/>
            <w:tcBorders>
              <w:top w:val="single" w:sz="4" w:space="0" w:color="auto"/>
              <w:bottom w:val="single" w:sz="4" w:space="0" w:color="auto"/>
            </w:tcBorders>
          </w:tcPr>
          <w:p w14:paraId="469A0299" w14:textId="77777777" w:rsidR="0085374E" w:rsidRPr="0085374E" w:rsidRDefault="0085374E" w:rsidP="0085374E">
            <w:pPr>
              <w:pStyle w:val="ListParagraph"/>
              <w:numPr>
                <w:ilvl w:val="0"/>
                <w:numId w:val="34"/>
              </w:numPr>
              <w:spacing w:beforeLines="20" w:before="48" w:afterLines="20" w:after="48"/>
              <w:ind w:left="0" w:firstLine="0"/>
              <w:jc w:val="left"/>
              <w:rPr>
                <w:b/>
                <w:sz w:val="16"/>
                <w:szCs w:val="16"/>
              </w:rPr>
            </w:pPr>
            <w:r w:rsidRPr="0085374E">
              <w:rPr>
                <w:b/>
                <w:sz w:val="16"/>
                <w:szCs w:val="16"/>
              </w:rPr>
              <w:t>What is the number of employees in your company &amp; what is the number of machines utilising oil-hydraulic control systems in your company?</w:t>
            </w:r>
          </w:p>
        </w:tc>
        <w:tc>
          <w:tcPr>
            <w:tcW w:w="2840" w:type="dxa"/>
            <w:gridSpan w:val="2"/>
            <w:tcBorders>
              <w:top w:val="single" w:sz="4" w:space="0" w:color="auto"/>
              <w:bottom w:val="single" w:sz="4" w:space="0" w:color="auto"/>
            </w:tcBorders>
          </w:tcPr>
          <w:p w14:paraId="1D62768F" w14:textId="77777777" w:rsidR="0085374E" w:rsidRPr="0085374E" w:rsidRDefault="0085374E" w:rsidP="0085374E">
            <w:pPr>
              <w:spacing w:beforeLines="20" w:before="48" w:afterLines="20" w:after="48"/>
              <w:rPr>
                <w:b/>
                <w:sz w:val="16"/>
                <w:szCs w:val="16"/>
              </w:rPr>
            </w:pPr>
            <w:r w:rsidRPr="0085374E">
              <w:rPr>
                <w:b/>
                <w:sz w:val="16"/>
                <w:szCs w:val="16"/>
              </w:rPr>
              <w:t>The number of employees in your company?</w:t>
            </w:r>
          </w:p>
          <w:p w14:paraId="656B10A8" w14:textId="77777777" w:rsidR="0085374E" w:rsidRPr="0085374E" w:rsidRDefault="00427B33" w:rsidP="0085374E">
            <w:pPr>
              <w:spacing w:beforeLines="20" w:before="48" w:afterLines="20" w:after="48"/>
              <w:rPr>
                <w:sz w:val="16"/>
                <w:szCs w:val="16"/>
              </w:rPr>
            </w:pPr>
            <w:sdt>
              <w:sdtPr>
                <w:rPr>
                  <w:sz w:val="16"/>
                  <w:szCs w:val="16"/>
                </w:rPr>
                <w:id w:val="-1061472999"/>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w:t>
            </w:r>
            <w:r w:rsidR="0085374E" w:rsidRPr="0085374E">
              <w:rPr>
                <w:b/>
                <w:sz w:val="16"/>
                <w:szCs w:val="16"/>
              </w:rPr>
              <w:t>&lt;</w:t>
            </w:r>
            <w:r w:rsidR="0085374E" w:rsidRPr="0085374E">
              <w:rPr>
                <w:sz w:val="16"/>
                <w:szCs w:val="16"/>
              </w:rPr>
              <w:t>50</w:t>
            </w:r>
          </w:p>
          <w:p w14:paraId="576AEC86" w14:textId="77777777" w:rsidR="0085374E" w:rsidRPr="0085374E" w:rsidRDefault="00427B33" w:rsidP="0085374E">
            <w:pPr>
              <w:spacing w:beforeLines="20" w:before="48" w:afterLines="20" w:after="48"/>
              <w:rPr>
                <w:sz w:val="16"/>
                <w:szCs w:val="16"/>
              </w:rPr>
            </w:pPr>
            <w:sdt>
              <w:sdtPr>
                <w:rPr>
                  <w:sz w:val="16"/>
                  <w:szCs w:val="16"/>
                </w:rPr>
                <w:id w:val="-2121676115"/>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50-149</w:t>
            </w:r>
          </w:p>
          <w:p w14:paraId="3C00B54F" w14:textId="77777777" w:rsidR="0085374E" w:rsidRPr="0085374E" w:rsidRDefault="00427B33" w:rsidP="0085374E">
            <w:pPr>
              <w:spacing w:beforeLines="20" w:before="48" w:afterLines="20" w:after="48"/>
              <w:rPr>
                <w:sz w:val="16"/>
                <w:szCs w:val="16"/>
              </w:rPr>
            </w:pPr>
            <w:sdt>
              <w:sdtPr>
                <w:rPr>
                  <w:sz w:val="16"/>
                  <w:szCs w:val="16"/>
                </w:rPr>
                <w:id w:val="-803458576"/>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150-249</w:t>
            </w:r>
          </w:p>
          <w:p w14:paraId="02386F5F" w14:textId="77777777" w:rsidR="0085374E" w:rsidRPr="0085374E" w:rsidRDefault="00427B33" w:rsidP="0085374E">
            <w:pPr>
              <w:spacing w:beforeLines="20" w:before="48" w:afterLines="20" w:after="48"/>
              <w:rPr>
                <w:sz w:val="16"/>
                <w:szCs w:val="16"/>
              </w:rPr>
            </w:pPr>
            <w:sdt>
              <w:sdtPr>
                <w:rPr>
                  <w:sz w:val="16"/>
                  <w:szCs w:val="16"/>
                </w:rPr>
                <w:id w:val="-2067793642"/>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249-750</w:t>
            </w:r>
          </w:p>
          <w:p w14:paraId="4A15308E" w14:textId="77777777" w:rsidR="0085374E" w:rsidRPr="0085374E" w:rsidRDefault="00427B33" w:rsidP="0085374E">
            <w:pPr>
              <w:spacing w:beforeLines="20" w:before="48" w:afterLines="20" w:after="48"/>
              <w:rPr>
                <w:sz w:val="16"/>
                <w:szCs w:val="16"/>
              </w:rPr>
            </w:pPr>
            <w:sdt>
              <w:sdtPr>
                <w:rPr>
                  <w:sz w:val="16"/>
                  <w:szCs w:val="16"/>
                </w:rPr>
                <w:id w:val="84173785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750-1499</w:t>
            </w:r>
          </w:p>
          <w:p w14:paraId="29F49566" w14:textId="77777777" w:rsidR="0085374E" w:rsidRPr="0085374E" w:rsidRDefault="00427B33" w:rsidP="0085374E">
            <w:pPr>
              <w:spacing w:beforeLines="20" w:before="48" w:afterLines="20" w:after="48"/>
              <w:rPr>
                <w:sz w:val="16"/>
                <w:szCs w:val="16"/>
              </w:rPr>
            </w:pPr>
            <w:sdt>
              <w:sdtPr>
                <w:rPr>
                  <w:sz w:val="16"/>
                  <w:szCs w:val="16"/>
                </w:rPr>
                <w:id w:val="-49595330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1500-2499</w:t>
            </w:r>
          </w:p>
          <w:p w14:paraId="2714446C" w14:textId="77777777" w:rsidR="0085374E" w:rsidRPr="0085374E" w:rsidRDefault="00427B33" w:rsidP="0085374E">
            <w:pPr>
              <w:spacing w:beforeLines="20" w:before="48" w:afterLines="20" w:after="48"/>
              <w:rPr>
                <w:sz w:val="16"/>
                <w:szCs w:val="16"/>
              </w:rPr>
            </w:pPr>
            <w:sdt>
              <w:sdtPr>
                <w:rPr>
                  <w:sz w:val="16"/>
                  <w:szCs w:val="16"/>
                </w:rPr>
                <w:id w:val="1421602696"/>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2500-5000</w:t>
            </w:r>
          </w:p>
          <w:p w14:paraId="4F9198F5" w14:textId="77777777" w:rsidR="0085374E" w:rsidRPr="0085374E" w:rsidRDefault="00427B33" w:rsidP="0085374E">
            <w:pPr>
              <w:spacing w:beforeLines="20" w:before="48" w:afterLines="20" w:after="48"/>
              <w:rPr>
                <w:sz w:val="16"/>
                <w:szCs w:val="16"/>
              </w:rPr>
            </w:pPr>
            <w:sdt>
              <w:sdtPr>
                <w:rPr>
                  <w:sz w:val="16"/>
                  <w:szCs w:val="16"/>
                </w:rPr>
                <w:id w:val="1614942392"/>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5000-10000</w:t>
            </w:r>
          </w:p>
          <w:p w14:paraId="1FA5D1E9" w14:textId="77777777" w:rsidR="0085374E" w:rsidRPr="0085374E" w:rsidRDefault="00427B33" w:rsidP="0085374E">
            <w:pPr>
              <w:spacing w:beforeLines="20" w:before="48" w:afterLines="20" w:after="48"/>
              <w:rPr>
                <w:sz w:val="16"/>
                <w:szCs w:val="16"/>
              </w:rPr>
            </w:pPr>
            <w:sdt>
              <w:sdtPr>
                <w:rPr>
                  <w:sz w:val="16"/>
                  <w:szCs w:val="16"/>
                </w:rPr>
                <w:id w:val="641462218"/>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&gt;10000</w:t>
            </w:r>
          </w:p>
        </w:tc>
        <w:tc>
          <w:tcPr>
            <w:tcW w:w="2779" w:type="dxa"/>
            <w:tcBorders>
              <w:top w:val="single" w:sz="4" w:space="0" w:color="auto"/>
              <w:bottom w:val="single" w:sz="4" w:space="0" w:color="auto"/>
            </w:tcBorders>
          </w:tcPr>
          <w:p w14:paraId="3772A87E" w14:textId="77777777" w:rsidR="0085374E" w:rsidRPr="0085374E" w:rsidRDefault="0085374E" w:rsidP="0085374E">
            <w:pPr>
              <w:spacing w:beforeLines="20" w:before="48" w:afterLines="20" w:after="48"/>
              <w:rPr>
                <w:b/>
                <w:sz w:val="16"/>
                <w:szCs w:val="16"/>
              </w:rPr>
            </w:pPr>
            <w:r w:rsidRPr="0085374E">
              <w:rPr>
                <w:b/>
                <w:sz w:val="16"/>
                <w:szCs w:val="16"/>
              </w:rPr>
              <w:t>Number of aeroplanes employing oil-hydraulic systems?</w:t>
            </w:r>
          </w:p>
          <w:p w14:paraId="44B6C33D" w14:textId="77777777" w:rsidR="0085374E" w:rsidRPr="0085374E" w:rsidRDefault="00427B33" w:rsidP="0085374E">
            <w:pPr>
              <w:spacing w:beforeLines="20" w:before="48" w:afterLines="20" w:after="48"/>
              <w:rPr>
                <w:sz w:val="16"/>
                <w:szCs w:val="16"/>
              </w:rPr>
            </w:pPr>
            <w:sdt>
              <w:sdtPr>
                <w:rPr>
                  <w:sz w:val="16"/>
                  <w:szCs w:val="16"/>
                </w:rPr>
                <w:id w:val="131226117"/>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1-9</w:t>
            </w:r>
          </w:p>
          <w:p w14:paraId="326CD05B" w14:textId="77777777" w:rsidR="0085374E" w:rsidRPr="0085374E" w:rsidRDefault="00427B33" w:rsidP="0085374E">
            <w:pPr>
              <w:spacing w:beforeLines="20" w:before="48" w:afterLines="20" w:after="48"/>
              <w:rPr>
                <w:b/>
                <w:sz w:val="16"/>
                <w:szCs w:val="16"/>
              </w:rPr>
            </w:pPr>
            <w:sdt>
              <w:sdtPr>
                <w:rPr>
                  <w:sz w:val="16"/>
                  <w:szCs w:val="16"/>
                </w:rPr>
                <w:id w:val="-105231230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10-19</w:t>
            </w:r>
          </w:p>
          <w:p w14:paraId="1381FAB1" w14:textId="77777777" w:rsidR="0085374E" w:rsidRPr="0085374E" w:rsidRDefault="00427B33" w:rsidP="0085374E">
            <w:pPr>
              <w:spacing w:beforeLines="20" w:before="48" w:afterLines="20" w:after="48"/>
              <w:rPr>
                <w:sz w:val="16"/>
                <w:szCs w:val="16"/>
              </w:rPr>
            </w:pPr>
            <w:sdt>
              <w:sdtPr>
                <w:rPr>
                  <w:sz w:val="16"/>
                  <w:szCs w:val="16"/>
                </w:rPr>
                <w:id w:val="-741105012"/>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20-49</w:t>
            </w:r>
          </w:p>
          <w:p w14:paraId="7C7B24A6" w14:textId="77777777" w:rsidR="0085374E" w:rsidRPr="0085374E" w:rsidRDefault="00427B33" w:rsidP="0085374E">
            <w:pPr>
              <w:spacing w:beforeLines="20" w:before="48" w:afterLines="20" w:after="48"/>
              <w:rPr>
                <w:sz w:val="16"/>
                <w:szCs w:val="16"/>
              </w:rPr>
            </w:pPr>
            <w:sdt>
              <w:sdtPr>
                <w:rPr>
                  <w:sz w:val="16"/>
                  <w:szCs w:val="16"/>
                </w:rPr>
                <w:id w:val="117685394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50-99</w:t>
            </w:r>
          </w:p>
          <w:p w14:paraId="1B39F808" w14:textId="77777777" w:rsidR="0085374E" w:rsidRPr="0085374E" w:rsidRDefault="00427B33" w:rsidP="0085374E">
            <w:pPr>
              <w:spacing w:beforeLines="20" w:before="48" w:afterLines="20" w:after="48"/>
              <w:rPr>
                <w:sz w:val="16"/>
                <w:szCs w:val="16"/>
              </w:rPr>
            </w:pPr>
            <w:sdt>
              <w:sdtPr>
                <w:rPr>
                  <w:sz w:val="16"/>
                  <w:szCs w:val="16"/>
                </w:rPr>
                <w:id w:val="738906415"/>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100-149</w:t>
            </w:r>
          </w:p>
          <w:p w14:paraId="19ED0AF9" w14:textId="77777777" w:rsidR="0085374E" w:rsidRPr="0085374E" w:rsidRDefault="00427B33" w:rsidP="0085374E">
            <w:pPr>
              <w:spacing w:beforeLines="20" w:before="48" w:afterLines="20" w:after="48"/>
              <w:rPr>
                <w:sz w:val="16"/>
                <w:szCs w:val="16"/>
              </w:rPr>
            </w:pPr>
            <w:sdt>
              <w:sdtPr>
                <w:rPr>
                  <w:sz w:val="16"/>
                  <w:szCs w:val="16"/>
                </w:rPr>
                <w:id w:val="130666320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150-299</w:t>
            </w:r>
          </w:p>
          <w:p w14:paraId="35CAB18C" w14:textId="77777777" w:rsidR="0085374E" w:rsidRPr="0085374E" w:rsidRDefault="00427B33" w:rsidP="0085374E">
            <w:pPr>
              <w:spacing w:beforeLines="20" w:before="48" w:afterLines="20" w:after="48"/>
              <w:rPr>
                <w:sz w:val="16"/>
                <w:szCs w:val="16"/>
              </w:rPr>
            </w:pPr>
            <w:sdt>
              <w:sdtPr>
                <w:rPr>
                  <w:sz w:val="16"/>
                  <w:szCs w:val="16"/>
                </w:rPr>
                <w:id w:val="1369338025"/>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300-500</w:t>
            </w:r>
          </w:p>
          <w:p w14:paraId="3C0A1F73" w14:textId="77777777" w:rsidR="0085374E" w:rsidRPr="0085374E" w:rsidRDefault="00427B33" w:rsidP="0085374E">
            <w:pPr>
              <w:spacing w:beforeLines="20" w:before="48" w:afterLines="20" w:after="48"/>
              <w:rPr>
                <w:sz w:val="16"/>
                <w:szCs w:val="16"/>
              </w:rPr>
            </w:pPr>
            <w:sdt>
              <w:sdtPr>
                <w:rPr>
                  <w:sz w:val="16"/>
                  <w:szCs w:val="16"/>
                </w:rPr>
                <w:id w:val="-453171542"/>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&gt;500</w:t>
            </w:r>
          </w:p>
        </w:tc>
      </w:tr>
      <w:tr w:rsidR="0085374E" w:rsidRPr="0085374E" w14:paraId="7742FCFC" w14:textId="77777777" w:rsidTr="00926378">
        <w:tc>
          <w:tcPr>
            <w:tcW w:w="3397" w:type="dxa"/>
            <w:tcBorders>
              <w:top w:val="single" w:sz="4" w:space="0" w:color="auto"/>
              <w:bottom w:val="single" w:sz="4" w:space="0" w:color="auto"/>
            </w:tcBorders>
          </w:tcPr>
          <w:p w14:paraId="2BF6C0B3" w14:textId="77777777" w:rsidR="0085374E" w:rsidRPr="0085374E" w:rsidRDefault="0085374E" w:rsidP="0085374E">
            <w:pPr>
              <w:pStyle w:val="ListParagraph"/>
              <w:numPr>
                <w:ilvl w:val="0"/>
                <w:numId w:val="34"/>
              </w:numPr>
              <w:spacing w:beforeLines="20" w:before="48" w:afterLines="20" w:after="48"/>
              <w:ind w:left="0" w:firstLine="0"/>
              <w:jc w:val="left"/>
              <w:rPr>
                <w:b/>
                <w:sz w:val="16"/>
                <w:szCs w:val="16"/>
              </w:rPr>
            </w:pPr>
            <w:r w:rsidRPr="0085374E">
              <w:rPr>
                <w:b/>
                <w:sz w:val="16"/>
                <w:szCs w:val="16"/>
              </w:rPr>
              <w:t>Maintenance department size (including all levels of hierarchy within the company)?</w:t>
            </w:r>
          </w:p>
        </w:tc>
        <w:tc>
          <w:tcPr>
            <w:tcW w:w="2840" w:type="dxa"/>
            <w:gridSpan w:val="2"/>
            <w:tcBorders>
              <w:top w:val="single" w:sz="4" w:space="0" w:color="auto"/>
              <w:bottom w:val="single" w:sz="4" w:space="0" w:color="auto"/>
            </w:tcBorders>
          </w:tcPr>
          <w:p w14:paraId="344B5617" w14:textId="77777777" w:rsidR="0085374E" w:rsidRPr="0085374E" w:rsidRDefault="0085374E" w:rsidP="0085374E">
            <w:pPr>
              <w:spacing w:beforeLines="20" w:before="48" w:afterLines="20" w:after="48"/>
              <w:rPr>
                <w:b/>
                <w:sz w:val="16"/>
                <w:szCs w:val="16"/>
              </w:rPr>
            </w:pPr>
            <w:r w:rsidRPr="0085374E">
              <w:rPr>
                <w:b/>
                <w:sz w:val="16"/>
                <w:szCs w:val="16"/>
              </w:rPr>
              <w:t>The number of maintenance personnel?</w:t>
            </w:r>
          </w:p>
          <w:p w14:paraId="493279A3" w14:textId="77777777" w:rsidR="0085374E" w:rsidRPr="0085374E" w:rsidRDefault="00427B33" w:rsidP="0085374E">
            <w:pPr>
              <w:spacing w:beforeLines="20" w:before="48" w:afterLines="20" w:after="48"/>
              <w:rPr>
                <w:sz w:val="16"/>
                <w:szCs w:val="16"/>
              </w:rPr>
            </w:pPr>
            <w:sdt>
              <w:sdtPr>
                <w:rPr>
                  <w:sz w:val="16"/>
                  <w:szCs w:val="16"/>
                </w:rPr>
                <w:id w:val="-1951691932"/>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5</w:t>
            </w:r>
          </w:p>
          <w:p w14:paraId="30712E6B" w14:textId="77777777" w:rsidR="0085374E" w:rsidRPr="0085374E" w:rsidRDefault="00427B33" w:rsidP="0085374E">
            <w:pPr>
              <w:spacing w:beforeLines="20" w:before="48" w:afterLines="20" w:after="48"/>
              <w:rPr>
                <w:sz w:val="16"/>
                <w:szCs w:val="16"/>
              </w:rPr>
            </w:pPr>
            <w:sdt>
              <w:sdtPr>
                <w:rPr>
                  <w:sz w:val="16"/>
                  <w:szCs w:val="16"/>
                </w:rPr>
                <w:id w:val="-365752759"/>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6-10</w:t>
            </w:r>
          </w:p>
          <w:p w14:paraId="010E8E4D" w14:textId="77777777" w:rsidR="0085374E" w:rsidRPr="0085374E" w:rsidRDefault="00427B33" w:rsidP="0085374E">
            <w:pPr>
              <w:spacing w:beforeLines="20" w:before="48" w:afterLines="20" w:after="48"/>
              <w:rPr>
                <w:sz w:val="16"/>
                <w:szCs w:val="16"/>
              </w:rPr>
            </w:pPr>
            <w:sdt>
              <w:sdtPr>
                <w:rPr>
                  <w:sz w:val="16"/>
                  <w:szCs w:val="16"/>
                </w:rPr>
                <w:id w:val="1243380447"/>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11-15</w:t>
            </w:r>
          </w:p>
          <w:p w14:paraId="2675C1C4" w14:textId="77777777" w:rsidR="0085374E" w:rsidRPr="0085374E" w:rsidRDefault="00427B33" w:rsidP="0085374E">
            <w:pPr>
              <w:spacing w:beforeLines="20" w:before="48" w:afterLines="20" w:after="48"/>
              <w:rPr>
                <w:sz w:val="16"/>
                <w:szCs w:val="16"/>
              </w:rPr>
            </w:pPr>
            <w:sdt>
              <w:sdtPr>
                <w:rPr>
                  <w:sz w:val="16"/>
                  <w:szCs w:val="16"/>
                </w:rPr>
                <w:id w:val="21979366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16-25</w:t>
            </w:r>
          </w:p>
          <w:p w14:paraId="0E9752F9" w14:textId="77777777" w:rsidR="0085374E" w:rsidRPr="0085374E" w:rsidRDefault="00427B33" w:rsidP="0085374E">
            <w:pPr>
              <w:spacing w:beforeLines="20" w:before="48" w:afterLines="20" w:after="48"/>
              <w:rPr>
                <w:sz w:val="16"/>
                <w:szCs w:val="16"/>
              </w:rPr>
            </w:pPr>
            <w:sdt>
              <w:sdtPr>
                <w:rPr>
                  <w:sz w:val="16"/>
                  <w:szCs w:val="16"/>
                </w:rPr>
                <w:id w:val="153966274"/>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26-50</w:t>
            </w:r>
          </w:p>
          <w:p w14:paraId="5E56E678" w14:textId="77777777" w:rsidR="0085374E" w:rsidRPr="0085374E" w:rsidRDefault="00427B33" w:rsidP="0085374E">
            <w:pPr>
              <w:spacing w:beforeLines="20" w:before="48" w:afterLines="20" w:after="48"/>
              <w:rPr>
                <w:sz w:val="16"/>
                <w:szCs w:val="16"/>
              </w:rPr>
            </w:pPr>
            <w:sdt>
              <w:sdtPr>
                <w:rPr>
                  <w:sz w:val="16"/>
                  <w:szCs w:val="16"/>
                </w:rPr>
                <w:id w:val="-1809779546"/>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51-100</w:t>
            </w:r>
          </w:p>
          <w:p w14:paraId="46D48124" w14:textId="77777777" w:rsidR="0085374E" w:rsidRPr="0085374E" w:rsidRDefault="00427B33" w:rsidP="0085374E">
            <w:pPr>
              <w:spacing w:beforeLines="20" w:before="48" w:afterLines="20" w:after="48"/>
              <w:rPr>
                <w:sz w:val="16"/>
                <w:szCs w:val="16"/>
              </w:rPr>
            </w:pPr>
            <w:sdt>
              <w:sdtPr>
                <w:rPr>
                  <w:sz w:val="16"/>
                  <w:szCs w:val="16"/>
                </w:rPr>
                <w:id w:val="2099524857"/>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101-250</w:t>
            </w:r>
          </w:p>
          <w:p w14:paraId="616B27AE" w14:textId="77777777" w:rsidR="0085374E" w:rsidRPr="0085374E" w:rsidRDefault="00427B33" w:rsidP="0085374E">
            <w:pPr>
              <w:spacing w:beforeLines="20" w:before="48" w:afterLines="20" w:after="48"/>
              <w:rPr>
                <w:sz w:val="16"/>
                <w:szCs w:val="16"/>
              </w:rPr>
            </w:pPr>
            <w:sdt>
              <w:sdtPr>
                <w:rPr>
                  <w:sz w:val="16"/>
                  <w:szCs w:val="16"/>
                </w:rPr>
                <w:id w:val="-149100677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251-500</w:t>
            </w:r>
          </w:p>
          <w:p w14:paraId="66DE23BD" w14:textId="77777777" w:rsidR="0085374E" w:rsidRPr="0085374E" w:rsidRDefault="00427B33" w:rsidP="0085374E">
            <w:pPr>
              <w:spacing w:beforeLines="20" w:before="48" w:afterLines="20" w:after="48"/>
              <w:rPr>
                <w:sz w:val="16"/>
                <w:szCs w:val="16"/>
              </w:rPr>
            </w:pPr>
            <w:sdt>
              <w:sdtPr>
                <w:rPr>
                  <w:sz w:val="16"/>
                  <w:szCs w:val="16"/>
                </w:rPr>
                <w:id w:val="-2102242256"/>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&gt;500</w:t>
            </w:r>
          </w:p>
        </w:tc>
        <w:tc>
          <w:tcPr>
            <w:tcW w:w="2779" w:type="dxa"/>
            <w:tcBorders>
              <w:top w:val="single" w:sz="4" w:space="0" w:color="auto"/>
              <w:bottom w:val="single" w:sz="4" w:space="0" w:color="auto"/>
            </w:tcBorders>
          </w:tcPr>
          <w:p w14:paraId="730DE838" w14:textId="77777777" w:rsidR="0085374E" w:rsidRPr="0085374E" w:rsidRDefault="0085374E" w:rsidP="0085374E">
            <w:pPr>
              <w:spacing w:beforeLines="20" w:before="48" w:afterLines="20" w:after="48"/>
              <w:rPr>
                <w:b/>
                <w:sz w:val="16"/>
                <w:szCs w:val="16"/>
              </w:rPr>
            </w:pPr>
            <w:r w:rsidRPr="0085374E">
              <w:rPr>
                <w:b/>
                <w:sz w:val="16"/>
                <w:szCs w:val="16"/>
              </w:rPr>
              <w:t>Staff of the maintenance department?</w:t>
            </w:r>
          </w:p>
          <w:p w14:paraId="77928F05" w14:textId="77777777" w:rsidR="0085374E" w:rsidRPr="0085374E" w:rsidRDefault="00427B33" w:rsidP="0085374E">
            <w:pPr>
              <w:spacing w:beforeLines="20" w:before="48" w:afterLines="20" w:after="48"/>
              <w:rPr>
                <w:sz w:val="16"/>
                <w:szCs w:val="16"/>
              </w:rPr>
            </w:pPr>
            <w:sdt>
              <w:sdtPr>
                <w:rPr>
                  <w:sz w:val="16"/>
                  <w:szCs w:val="16"/>
                </w:rPr>
                <w:id w:val="191881934"/>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Technicians</w:t>
            </w:r>
          </w:p>
          <w:p w14:paraId="4C85BB8F" w14:textId="77777777" w:rsidR="0085374E" w:rsidRPr="0085374E" w:rsidRDefault="00427B33" w:rsidP="0085374E">
            <w:pPr>
              <w:spacing w:beforeLines="20" w:before="48" w:afterLines="20" w:after="48"/>
              <w:rPr>
                <w:sz w:val="16"/>
                <w:szCs w:val="16"/>
              </w:rPr>
            </w:pPr>
            <w:sdt>
              <w:sdtPr>
                <w:rPr>
                  <w:sz w:val="16"/>
                  <w:szCs w:val="16"/>
                </w:rPr>
                <w:id w:val="894635627"/>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Laboratorians</w:t>
            </w:r>
          </w:p>
          <w:p w14:paraId="417949D2" w14:textId="77777777" w:rsidR="0085374E" w:rsidRPr="0085374E" w:rsidRDefault="00427B33" w:rsidP="0085374E">
            <w:pPr>
              <w:spacing w:beforeLines="20" w:before="48" w:afterLines="20" w:after="48"/>
              <w:rPr>
                <w:sz w:val="16"/>
                <w:szCs w:val="16"/>
              </w:rPr>
            </w:pPr>
            <w:sdt>
              <w:sdtPr>
                <w:rPr>
                  <w:sz w:val="16"/>
                  <w:szCs w:val="16"/>
                </w:rPr>
                <w:id w:val="109967576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Engineers (BSc or MSc)</w:t>
            </w:r>
          </w:p>
          <w:p w14:paraId="6511D434" w14:textId="77777777" w:rsidR="0085374E" w:rsidRPr="0085374E" w:rsidRDefault="00427B33" w:rsidP="0085374E">
            <w:pPr>
              <w:spacing w:beforeLines="20" w:before="48" w:afterLines="20" w:after="48"/>
              <w:rPr>
                <w:sz w:val="16"/>
                <w:szCs w:val="16"/>
              </w:rPr>
            </w:pPr>
            <w:sdt>
              <w:sdtPr>
                <w:rPr>
                  <w:sz w:val="16"/>
                  <w:szCs w:val="16"/>
                </w:rPr>
                <w:id w:val="164453964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Third-party personnel (external firm)</w:t>
            </w:r>
          </w:p>
          <w:p w14:paraId="7806C3B3" w14:textId="77777777" w:rsidR="0085374E" w:rsidRPr="0085374E" w:rsidRDefault="00427B33" w:rsidP="0085374E">
            <w:pPr>
              <w:spacing w:beforeLines="20" w:before="48" w:afterLines="20" w:after="48"/>
              <w:rPr>
                <w:sz w:val="16"/>
                <w:szCs w:val="16"/>
              </w:rPr>
            </w:pPr>
            <w:sdt>
              <w:sdtPr>
                <w:rPr>
                  <w:sz w:val="16"/>
                  <w:szCs w:val="16"/>
                </w:rPr>
                <w:id w:val="-1751344059"/>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Oil analysis experts (MSc or Spec.)</w:t>
            </w:r>
          </w:p>
          <w:p w14:paraId="368EB10D" w14:textId="77777777" w:rsidR="0085374E" w:rsidRPr="0085374E" w:rsidRDefault="00427B33" w:rsidP="0085374E">
            <w:pPr>
              <w:spacing w:beforeLines="20" w:before="48" w:afterLines="20" w:after="48"/>
              <w:rPr>
                <w:sz w:val="16"/>
                <w:szCs w:val="16"/>
              </w:rPr>
            </w:pPr>
            <w:sdt>
              <w:sdtPr>
                <w:rPr>
                  <w:sz w:val="16"/>
                  <w:szCs w:val="16"/>
                </w:rPr>
                <w:id w:val="1394628337"/>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Hydraulic system specialist</w:t>
            </w:r>
          </w:p>
          <w:p w14:paraId="1B2AFF7D" w14:textId="77777777" w:rsidR="0085374E" w:rsidRPr="0085374E" w:rsidRDefault="00427B33" w:rsidP="0085374E">
            <w:pPr>
              <w:spacing w:beforeLines="20" w:before="48" w:afterLines="20" w:after="48"/>
              <w:rPr>
                <w:sz w:val="16"/>
                <w:szCs w:val="16"/>
              </w:rPr>
            </w:pPr>
            <w:sdt>
              <w:sdtPr>
                <w:rPr>
                  <w:sz w:val="16"/>
                  <w:szCs w:val="16"/>
                </w:rPr>
                <w:id w:val="-359120034"/>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Dr Eng.</w:t>
            </w:r>
          </w:p>
          <w:p w14:paraId="5B9827FD" w14:textId="77777777" w:rsidR="0085374E" w:rsidRPr="0085374E" w:rsidRDefault="00427B33" w:rsidP="0085374E">
            <w:pPr>
              <w:spacing w:beforeLines="20" w:before="48" w:afterLines="20" w:after="48"/>
              <w:rPr>
                <w:sz w:val="16"/>
                <w:szCs w:val="16"/>
              </w:rPr>
            </w:pPr>
            <w:sdt>
              <w:sdtPr>
                <w:rPr>
                  <w:sz w:val="16"/>
                  <w:szCs w:val="16"/>
                </w:rPr>
                <w:id w:val="-1588999472"/>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Other:__________________</w:t>
            </w:r>
          </w:p>
        </w:tc>
      </w:tr>
      <w:tr w:rsidR="0085374E" w:rsidRPr="0085374E" w14:paraId="72E56F61" w14:textId="77777777" w:rsidTr="00926378">
        <w:tc>
          <w:tcPr>
            <w:tcW w:w="3397" w:type="dxa"/>
            <w:tcBorders>
              <w:top w:val="single" w:sz="4" w:space="0" w:color="auto"/>
              <w:bottom w:val="single" w:sz="4" w:space="0" w:color="auto"/>
            </w:tcBorders>
          </w:tcPr>
          <w:p w14:paraId="5FF034D9" w14:textId="77777777" w:rsidR="0085374E" w:rsidRPr="0085374E" w:rsidRDefault="0085374E" w:rsidP="0085374E">
            <w:pPr>
              <w:pStyle w:val="ListParagraph"/>
              <w:numPr>
                <w:ilvl w:val="0"/>
                <w:numId w:val="34"/>
              </w:numPr>
              <w:spacing w:beforeLines="20" w:before="48" w:afterLines="20" w:after="48"/>
              <w:ind w:left="0" w:firstLine="0"/>
              <w:jc w:val="left"/>
              <w:rPr>
                <w:b/>
                <w:sz w:val="16"/>
                <w:szCs w:val="16"/>
              </w:rPr>
            </w:pPr>
            <w:r w:rsidRPr="0085374E">
              <w:rPr>
                <w:b/>
                <w:sz w:val="16"/>
                <w:szCs w:val="16"/>
              </w:rPr>
              <w:t>Who does perform diagnostics and prognostics on your hydraulic machinery?</w:t>
            </w:r>
          </w:p>
        </w:tc>
        <w:tc>
          <w:tcPr>
            <w:tcW w:w="2840" w:type="dxa"/>
            <w:gridSpan w:val="2"/>
            <w:tcBorders>
              <w:top w:val="single" w:sz="4" w:space="0" w:color="auto"/>
              <w:bottom w:val="single" w:sz="4" w:space="0" w:color="auto"/>
            </w:tcBorders>
          </w:tcPr>
          <w:p w14:paraId="1D2858DA" w14:textId="77777777" w:rsidR="0085374E" w:rsidRPr="0085374E" w:rsidRDefault="00427B33" w:rsidP="0085374E">
            <w:pPr>
              <w:spacing w:beforeLines="20" w:before="48" w:afterLines="20" w:after="48"/>
              <w:rPr>
                <w:sz w:val="16"/>
                <w:szCs w:val="16"/>
              </w:rPr>
            </w:pPr>
            <w:sdt>
              <w:sdtPr>
                <w:rPr>
                  <w:sz w:val="16"/>
                  <w:szCs w:val="16"/>
                </w:rPr>
                <w:id w:val="1600454782"/>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Maintenance technician</w:t>
            </w:r>
          </w:p>
          <w:p w14:paraId="2FE56BE1" w14:textId="77777777" w:rsidR="0085374E" w:rsidRPr="0085374E" w:rsidRDefault="00427B33" w:rsidP="0085374E">
            <w:pPr>
              <w:spacing w:beforeLines="20" w:before="48" w:afterLines="20" w:after="48"/>
              <w:rPr>
                <w:sz w:val="16"/>
                <w:szCs w:val="16"/>
              </w:rPr>
            </w:pPr>
            <w:sdt>
              <w:sdtPr>
                <w:rPr>
                  <w:sz w:val="16"/>
                  <w:szCs w:val="16"/>
                </w:rPr>
                <w:id w:val="2063592069"/>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Maintenance BSc engineer</w:t>
            </w:r>
          </w:p>
          <w:p w14:paraId="0F68518F" w14:textId="77777777" w:rsidR="0085374E" w:rsidRPr="0085374E" w:rsidRDefault="00427B33" w:rsidP="0085374E">
            <w:pPr>
              <w:spacing w:beforeLines="20" w:before="48" w:afterLines="20" w:after="48"/>
              <w:rPr>
                <w:sz w:val="16"/>
                <w:szCs w:val="16"/>
              </w:rPr>
            </w:pPr>
            <w:sdt>
              <w:sdtPr>
                <w:rPr>
                  <w:sz w:val="16"/>
                  <w:szCs w:val="16"/>
                </w:rPr>
                <w:id w:val="855854608"/>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Specialists (MSc degree)</w:t>
            </w:r>
          </w:p>
          <w:p w14:paraId="300DA4FB" w14:textId="77777777" w:rsidR="0085374E" w:rsidRPr="0085374E" w:rsidRDefault="00427B33" w:rsidP="0085374E">
            <w:pPr>
              <w:spacing w:beforeLines="20" w:before="48" w:afterLines="20" w:after="48"/>
              <w:rPr>
                <w:sz w:val="16"/>
                <w:szCs w:val="16"/>
              </w:rPr>
            </w:pPr>
            <w:sdt>
              <w:sdtPr>
                <w:rPr>
                  <w:sz w:val="16"/>
                  <w:szCs w:val="16"/>
                </w:rPr>
                <w:id w:val="498851618"/>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Specialists (Dr degree)</w:t>
            </w:r>
          </w:p>
          <w:p w14:paraId="167EF658" w14:textId="77777777" w:rsidR="0085374E" w:rsidRPr="0085374E" w:rsidRDefault="00427B33" w:rsidP="0085374E">
            <w:pPr>
              <w:spacing w:beforeLines="20" w:before="48" w:afterLines="20" w:after="48"/>
              <w:rPr>
                <w:sz w:val="16"/>
                <w:szCs w:val="16"/>
              </w:rPr>
            </w:pPr>
            <w:sdt>
              <w:sdtPr>
                <w:rPr>
                  <w:sz w:val="16"/>
                  <w:szCs w:val="16"/>
                </w:rPr>
                <w:id w:val="-1322730422"/>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External specialists</w:t>
            </w:r>
          </w:p>
          <w:p w14:paraId="1FBD5A8C" w14:textId="77777777" w:rsidR="0085374E" w:rsidRPr="0085374E" w:rsidRDefault="00427B33" w:rsidP="0085374E">
            <w:pPr>
              <w:spacing w:beforeLines="20" w:before="48" w:afterLines="20" w:after="48"/>
              <w:rPr>
                <w:sz w:val="16"/>
                <w:szCs w:val="16"/>
              </w:rPr>
            </w:pPr>
            <w:sdt>
              <w:sdtPr>
                <w:rPr>
                  <w:sz w:val="16"/>
                  <w:szCs w:val="16"/>
                </w:rPr>
                <w:id w:val="134620642"/>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Outsource company</w:t>
            </w:r>
          </w:p>
          <w:p w14:paraId="3E4778C3" w14:textId="77777777" w:rsidR="0085374E" w:rsidRPr="0085374E" w:rsidRDefault="00427B33" w:rsidP="0085374E">
            <w:pPr>
              <w:spacing w:beforeLines="20" w:before="48" w:afterLines="20" w:after="48"/>
              <w:rPr>
                <w:sz w:val="16"/>
                <w:szCs w:val="16"/>
              </w:rPr>
            </w:pPr>
            <w:sdt>
              <w:sdtPr>
                <w:rPr>
                  <w:sz w:val="16"/>
                  <w:szCs w:val="16"/>
                </w:rPr>
                <w:id w:val="-2043737312"/>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None</w:t>
            </w:r>
          </w:p>
          <w:p w14:paraId="56F0AAC1" w14:textId="77777777" w:rsidR="0085374E" w:rsidRPr="0085374E" w:rsidRDefault="00427B33" w:rsidP="0085374E">
            <w:pPr>
              <w:spacing w:beforeLines="20" w:before="48" w:afterLines="20" w:after="48"/>
              <w:rPr>
                <w:sz w:val="16"/>
                <w:szCs w:val="16"/>
              </w:rPr>
            </w:pPr>
            <w:sdt>
              <w:sdtPr>
                <w:rPr>
                  <w:sz w:val="16"/>
                  <w:szCs w:val="16"/>
                </w:rPr>
                <w:id w:val="178319435"/>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Other (please specify): ___________________________</w:t>
            </w:r>
          </w:p>
        </w:tc>
        <w:tc>
          <w:tcPr>
            <w:tcW w:w="2779" w:type="dxa"/>
            <w:tcBorders>
              <w:top w:val="single" w:sz="4" w:space="0" w:color="auto"/>
              <w:bottom w:val="single" w:sz="4" w:space="0" w:color="auto"/>
            </w:tcBorders>
          </w:tcPr>
          <w:p w14:paraId="69D386C0" w14:textId="77777777" w:rsidR="0085374E" w:rsidRPr="0085374E" w:rsidRDefault="0085374E" w:rsidP="0085374E">
            <w:pPr>
              <w:spacing w:beforeLines="20" w:before="48" w:afterLines="20" w:after="48"/>
              <w:rPr>
                <w:b/>
                <w:sz w:val="16"/>
                <w:szCs w:val="16"/>
              </w:rPr>
            </w:pPr>
          </w:p>
        </w:tc>
      </w:tr>
      <w:tr w:rsidR="0085374E" w:rsidRPr="0085374E" w14:paraId="24925081" w14:textId="77777777" w:rsidTr="00926378">
        <w:tc>
          <w:tcPr>
            <w:tcW w:w="3397" w:type="dxa"/>
            <w:tcBorders>
              <w:top w:val="single" w:sz="4" w:space="0" w:color="auto"/>
              <w:bottom w:val="single" w:sz="4" w:space="0" w:color="auto"/>
            </w:tcBorders>
          </w:tcPr>
          <w:p w14:paraId="66EED133" w14:textId="77777777" w:rsidR="0085374E" w:rsidRPr="0085374E" w:rsidRDefault="0085374E" w:rsidP="0085374E">
            <w:pPr>
              <w:pStyle w:val="ListParagraph"/>
              <w:numPr>
                <w:ilvl w:val="0"/>
                <w:numId w:val="34"/>
              </w:numPr>
              <w:spacing w:beforeLines="20" w:before="48" w:afterLines="20" w:after="48"/>
              <w:ind w:left="0" w:firstLine="0"/>
              <w:jc w:val="left"/>
              <w:rPr>
                <w:b/>
                <w:sz w:val="16"/>
                <w:szCs w:val="16"/>
              </w:rPr>
            </w:pPr>
            <w:r w:rsidRPr="0085374E">
              <w:rPr>
                <w:b/>
                <w:sz w:val="16"/>
                <w:szCs w:val="16"/>
              </w:rPr>
              <w:t>What type of hydraulic control machines are utilised within your organisation (and how machines are you employing</w:t>
            </w:r>
            <w:r w:rsidRPr="0085374E">
              <w:rPr>
                <w:b/>
                <w:sz w:val="16"/>
                <w:szCs w:val="16"/>
                <w:lang w:val="sr-Latn-RS"/>
              </w:rPr>
              <w:t>?</w:t>
            </w:r>
          </w:p>
        </w:tc>
        <w:tc>
          <w:tcPr>
            <w:tcW w:w="2809" w:type="dxa"/>
            <w:tcBorders>
              <w:top w:val="single" w:sz="4" w:space="0" w:color="auto"/>
              <w:bottom w:val="single" w:sz="4" w:space="0" w:color="auto"/>
            </w:tcBorders>
          </w:tcPr>
          <w:p w14:paraId="72DC8032" w14:textId="77777777" w:rsidR="0085374E" w:rsidRPr="0085374E" w:rsidRDefault="0085374E" w:rsidP="0085374E">
            <w:pPr>
              <w:spacing w:beforeLines="20" w:before="48" w:afterLines="20" w:after="48"/>
              <w:rPr>
                <w:b/>
                <w:sz w:val="16"/>
                <w:szCs w:val="16"/>
              </w:rPr>
            </w:pPr>
            <w:r w:rsidRPr="0085374E">
              <w:rPr>
                <w:b/>
                <w:sz w:val="16"/>
                <w:szCs w:val="16"/>
              </w:rPr>
              <w:t>4a. Industrial machines</w:t>
            </w:r>
          </w:p>
          <w:p w14:paraId="102EE2DF" w14:textId="77777777" w:rsidR="0085374E" w:rsidRPr="0085374E" w:rsidRDefault="00427B33" w:rsidP="0085374E">
            <w:pPr>
              <w:spacing w:beforeLines="20" w:before="48" w:afterLines="20" w:after="48"/>
              <w:rPr>
                <w:sz w:val="16"/>
                <w:szCs w:val="16"/>
                <w:lang w:val="sr-Cyrl-RS"/>
              </w:rPr>
            </w:pPr>
            <w:sdt>
              <w:sdtPr>
                <w:rPr>
                  <w:sz w:val="16"/>
                  <w:szCs w:val="16"/>
                </w:rPr>
                <w:id w:val="-1887092828"/>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Extruders</w:t>
            </w:r>
            <w:r w:rsidR="0085374E" w:rsidRPr="0085374E">
              <w:rPr>
                <w:sz w:val="16"/>
                <w:szCs w:val="16"/>
                <w:lang w:val="sr-Cyrl-RS"/>
              </w:rPr>
              <w:t>:</w:t>
            </w:r>
          </w:p>
          <w:p w14:paraId="71C23D48" w14:textId="77777777" w:rsidR="0085374E" w:rsidRPr="0085374E" w:rsidRDefault="00427B33" w:rsidP="0085374E">
            <w:pPr>
              <w:spacing w:beforeLines="20" w:before="48" w:afterLines="20" w:after="48"/>
              <w:rPr>
                <w:sz w:val="16"/>
                <w:szCs w:val="16"/>
                <w:lang w:val="sr-Cyrl-RS"/>
              </w:rPr>
            </w:pPr>
            <w:sdt>
              <w:sdtPr>
                <w:rPr>
                  <w:sz w:val="16"/>
                  <w:szCs w:val="16"/>
                </w:rPr>
                <w:id w:val="507652242"/>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Casting machines</w:t>
            </w:r>
            <w:r w:rsidR="0085374E" w:rsidRPr="0085374E">
              <w:rPr>
                <w:sz w:val="16"/>
                <w:szCs w:val="16"/>
                <w:lang w:val="sr-Cyrl-RS"/>
              </w:rPr>
              <w:t>:</w:t>
            </w:r>
          </w:p>
          <w:p w14:paraId="43B5DCCE" w14:textId="77777777" w:rsidR="0085374E" w:rsidRPr="0085374E" w:rsidRDefault="00427B33" w:rsidP="0085374E">
            <w:pPr>
              <w:spacing w:beforeLines="20" w:before="48" w:afterLines="20" w:after="48"/>
              <w:rPr>
                <w:sz w:val="16"/>
                <w:szCs w:val="16"/>
                <w:lang w:val="sr-Cyrl-RS"/>
              </w:rPr>
            </w:pPr>
            <w:sdt>
              <w:sdtPr>
                <w:rPr>
                  <w:sz w:val="16"/>
                  <w:szCs w:val="16"/>
                </w:rPr>
                <w:id w:val="-1819714982"/>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Paper production machines</w:t>
            </w:r>
            <w:r w:rsidR="0085374E" w:rsidRPr="0085374E">
              <w:rPr>
                <w:sz w:val="16"/>
                <w:szCs w:val="16"/>
                <w:lang w:val="sr-Cyrl-RS"/>
              </w:rPr>
              <w:t>:</w:t>
            </w:r>
          </w:p>
          <w:p w14:paraId="32E4A92C" w14:textId="77777777" w:rsidR="0085374E" w:rsidRPr="0085374E" w:rsidRDefault="00427B33" w:rsidP="0085374E">
            <w:pPr>
              <w:spacing w:beforeLines="20" w:before="48" w:afterLines="20" w:after="48"/>
              <w:rPr>
                <w:sz w:val="16"/>
                <w:szCs w:val="16"/>
                <w:lang w:val="sr-Cyrl-RS"/>
              </w:rPr>
            </w:pPr>
            <w:sdt>
              <w:sdtPr>
                <w:rPr>
                  <w:sz w:val="16"/>
                  <w:szCs w:val="16"/>
                </w:rPr>
                <w:id w:val="1765035879"/>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Automated production lines.</w:t>
            </w:r>
            <w:r w:rsidR="0085374E" w:rsidRPr="0085374E">
              <w:rPr>
                <w:sz w:val="16"/>
                <w:szCs w:val="16"/>
                <w:lang w:val="sr-Cyrl-RS"/>
              </w:rPr>
              <w:t>:</w:t>
            </w:r>
          </w:p>
          <w:p w14:paraId="093ACAC3" w14:textId="77777777" w:rsidR="0085374E" w:rsidRPr="0085374E" w:rsidRDefault="00427B33" w:rsidP="0085374E">
            <w:pPr>
              <w:spacing w:beforeLines="20" w:before="48" w:afterLines="20" w:after="48"/>
              <w:rPr>
                <w:sz w:val="16"/>
                <w:szCs w:val="16"/>
                <w:lang w:val="sr-Cyrl-RS"/>
              </w:rPr>
            </w:pPr>
            <w:sdt>
              <w:sdtPr>
                <w:rPr>
                  <w:sz w:val="16"/>
                  <w:szCs w:val="16"/>
                </w:rPr>
                <w:id w:val="2050718477"/>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Crushing machines</w:t>
            </w:r>
            <w:r w:rsidR="0085374E" w:rsidRPr="0085374E">
              <w:rPr>
                <w:sz w:val="16"/>
                <w:szCs w:val="16"/>
                <w:lang w:val="sr-Cyrl-RS"/>
              </w:rPr>
              <w:t>:</w:t>
            </w:r>
          </w:p>
          <w:p w14:paraId="2F816326" w14:textId="77777777" w:rsidR="0085374E" w:rsidRPr="0085374E" w:rsidRDefault="00427B33" w:rsidP="0085374E">
            <w:pPr>
              <w:spacing w:beforeLines="20" w:before="48" w:afterLines="20" w:after="48"/>
              <w:rPr>
                <w:sz w:val="16"/>
                <w:szCs w:val="16"/>
                <w:lang w:val="sr-Cyrl-RS"/>
              </w:rPr>
            </w:pPr>
            <w:sdt>
              <w:sdtPr>
                <w:rPr>
                  <w:sz w:val="16"/>
                  <w:szCs w:val="16"/>
                </w:rPr>
                <w:id w:val="2144537799"/>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Textile production machines</w:t>
            </w:r>
            <w:r w:rsidR="0085374E" w:rsidRPr="0085374E">
              <w:rPr>
                <w:sz w:val="16"/>
                <w:szCs w:val="16"/>
                <w:lang w:val="sr-Cyrl-RS"/>
              </w:rPr>
              <w:t>:</w:t>
            </w:r>
          </w:p>
          <w:p w14:paraId="11C56726" w14:textId="77777777" w:rsidR="0085374E" w:rsidRPr="0085374E" w:rsidRDefault="00427B33" w:rsidP="0085374E">
            <w:pPr>
              <w:spacing w:beforeLines="20" w:before="48" w:afterLines="20" w:after="48"/>
              <w:rPr>
                <w:sz w:val="16"/>
                <w:szCs w:val="16"/>
                <w:lang w:val="sr-Cyrl-RS"/>
              </w:rPr>
            </w:pPr>
            <w:sdt>
              <w:sdtPr>
                <w:rPr>
                  <w:sz w:val="16"/>
                  <w:szCs w:val="16"/>
                </w:rPr>
                <w:id w:val="137712768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Food and drink production</w:t>
            </w:r>
            <w:r w:rsidR="0085374E" w:rsidRPr="0085374E">
              <w:rPr>
                <w:sz w:val="16"/>
                <w:szCs w:val="16"/>
                <w:lang w:val="sr-Cyrl-RS"/>
              </w:rPr>
              <w:t>:</w:t>
            </w:r>
          </w:p>
          <w:p w14:paraId="5D12D513" w14:textId="77777777" w:rsidR="0085374E" w:rsidRPr="0085374E" w:rsidRDefault="00427B33" w:rsidP="0085374E">
            <w:pPr>
              <w:spacing w:beforeLines="20" w:before="48" w:afterLines="20" w:after="48"/>
              <w:rPr>
                <w:sz w:val="16"/>
                <w:szCs w:val="16"/>
                <w:lang w:val="sr-Cyrl-RS"/>
              </w:rPr>
            </w:pPr>
            <w:sdt>
              <w:sdtPr>
                <w:rPr>
                  <w:sz w:val="16"/>
                  <w:szCs w:val="16"/>
                </w:rPr>
                <w:id w:val="-31842256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Elevators</w:t>
            </w:r>
            <w:r w:rsidR="0085374E" w:rsidRPr="0085374E">
              <w:rPr>
                <w:sz w:val="16"/>
                <w:szCs w:val="16"/>
                <w:lang w:val="sr-Cyrl-RS"/>
              </w:rPr>
              <w:t>:</w:t>
            </w:r>
          </w:p>
          <w:p w14:paraId="3685238D" w14:textId="77777777" w:rsidR="0085374E" w:rsidRPr="0085374E" w:rsidRDefault="00427B33" w:rsidP="0085374E">
            <w:pPr>
              <w:spacing w:beforeLines="20" w:before="48" w:afterLines="20" w:after="48"/>
              <w:rPr>
                <w:sz w:val="16"/>
                <w:szCs w:val="16"/>
                <w:lang w:val="sr-Cyrl-RS"/>
              </w:rPr>
            </w:pPr>
            <w:sdt>
              <w:sdtPr>
                <w:rPr>
                  <w:sz w:val="16"/>
                  <w:szCs w:val="16"/>
                </w:rPr>
                <w:id w:val="-30878265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Amusement park machines</w:t>
            </w:r>
            <w:r w:rsidR="0085374E" w:rsidRPr="0085374E">
              <w:rPr>
                <w:sz w:val="16"/>
                <w:szCs w:val="16"/>
                <w:lang w:val="sr-Cyrl-RS"/>
              </w:rPr>
              <w:t>:</w:t>
            </w:r>
          </w:p>
          <w:p w14:paraId="2CB1B669" w14:textId="77777777" w:rsidR="0085374E" w:rsidRPr="0085374E" w:rsidRDefault="00427B33" w:rsidP="0085374E">
            <w:pPr>
              <w:spacing w:beforeLines="20" w:before="48" w:afterLines="20" w:after="48"/>
              <w:rPr>
                <w:sz w:val="16"/>
                <w:szCs w:val="16"/>
                <w:lang w:val="sr-Cyrl-RS"/>
              </w:rPr>
            </w:pPr>
            <w:sdt>
              <w:sdtPr>
                <w:rPr>
                  <w:sz w:val="16"/>
                  <w:szCs w:val="16"/>
                </w:rPr>
                <w:id w:val="1552889947"/>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Car production robots</w:t>
            </w:r>
            <w:r w:rsidR="0085374E" w:rsidRPr="0085374E">
              <w:rPr>
                <w:sz w:val="16"/>
                <w:szCs w:val="16"/>
                <w:lang w:val="sr-Cyrl-RS"/>
              </w:rPr>
              <w:t>:</w:t>
            </w:r>
          </w:p>
          <w:p w14:paraId="38AF99FC" w14:textId="77777777" w:rsidR="0085374E" w:rsidRPr="0085374E" w:rsidRDefault="00427B33" w:rsidP="0085374E">
            <w:pPr>
              <w:spacing w:beforeLines="20" w:before="48" w:afterLines="20" w:after="48"/>
              <w:rPr>
                <w:sz w:val="16"/>
                <w:szCs w:val="16"/>
                <w:lang w:val="sr-Cyrl-RS"/>
              </w:rPr>
            </w:pPr>
            <w:sdt>
              <w:sdtPr>
                <w:rPr>
                  <w:sz w:val="16"/>
                  <w:szCs w:val="16"/>
                </w:rPr>
                <w:id w:val="-714534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Rubber mixing machines</w:t>
            </w:r>
            <w:r w:rsidR="0085374E" w:rsidRPr="0085374E">
              <w:rPr>
                <w:sz w:val="16"/>
                <w:szCs w:val="16"/>
                <w:lang w:val="sr-Cyrl-RS"/>
              </w:rPr>
              <w:t>:</w:t>
            </w:r>
          </w:p>
          <w:p w14:paraId="43B32918" w14:textId="77777777" w:rsidR="0085374E" w:rsidRPr="0085374E" w:rsidRDefault="00427B33" w:rsidP="0085374E">
            <w:pPr>
              <w:spacing w:beforeLines="20" w:before="48" w:afterLines="20" w:after="48"/>
              <w:rPr>
                <w:sz w:val="16"/>
                <w:szCs w:val="16"/>
                <w:lang w:val="sr-Cyrl-RS"/>
              </w:rPr>
            </w:pPr>
            <w:sdt>
              <w:sdtPr>
                <w:rPr>
                  <w:sz w:val="16"/>
                  <w:szCs w:val="16"/>
                </w:rPr>
                <w:id w:val="1298269067"/>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Robot systems</w:t>
            </w:r>
            <w:r w:rsidR="0085374E" w:rsidRPr="0085374E">
              <w:rPr>
                <w:sz w:val="16"/>
                <w:szCs w:val="16"/>
                <w:lang w:val="sr-Cyrl-RS"/>
              </w:rPr>
              <w:t>:</w:t>
            </w:r>
          </w:p>
          <w:p w14:paraId="667BE929" w14:textId="0D42E119" w:rsidR="0085374E" w:rsidRDefault="00427B33" w:rsidP="0085374E">
            <w:pPr>
              <w:spacing w:beforeLines="20" w:before="48" w:afterLines="20" w:after="48"/>
              <w:rPr>
                <w:sz w:val="16"/>
                <w:szCs w:val="16"/>
              </w:rPr>
            </w:pPr>
            <w:sdt>
              <w:sdtPr>
                <w:rPr>
                  <w:sz w:val="16"/>
                  <w:szCs w:val="16"/>
                </w:rPr>
                <w:id w:val="618034698"/>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Other: ___________________</w:t>
            </w:r>
          </w:p>
          <w:p w14:paraId="59C240F1" w14:textId="77777777" w:rsidR="0085374E" w:rsidRPr="0085374E" w:rsidRDefault="0085374E" w:rsidP="0085374E">
            <w:pPr>
              <w:spacing w:beforeLines="20" w:before="48" w:afterLines="20" w:after="48"/>
              <w:rPr>
                <w:sz w:val="16"/>
                <w:szCs w:val="16"/>
              </w:rPr>
            </w:pPr>
          </w:p>
          <w:p w14:paraId="3AACB664" w14:textId="77777777" w:rsidR="0085374E" w:rsidRPr="0085374E" w:rsidRDefault="0085374E" w:rsidP="0085374E">
            <w:pPr>
              <w:spacing w:beforeLines="20" w:before="48" w:afterLines="20" w:after="48"/>
              <w:rPr>
                <w:b/>
                <w:sz w:val="16"/>
                <w:szCs w:val="16"/>
                <w:lang w:val="sr-Latn-RS"/>
              </w:rPr>
            </w:pPr>
            <w:r w:rsidRPr="0085374E">
              <w:rPr>
                <w:b/>
                <w:sz w:val="16"/>
                <w:szCs w:val="16"/>
              </w:rPr>
              <w:t>4c. Marine machines</w:t>
            </w:r>
          </w:p>
          <w:p w14:paraId="31D915F5" w14:textId="7FD4C82D" w:rsidR="0085374E" w:rsidRPr="0085374E" w:rsidRDefault="00427B33" w:rsidP="0085374E">
            <w:pPr>
              <w:spacing w:beforeLines="20" w:before="48" w:afterLines="20" w:after="48"/>
              <w:rPr>
                <w:sz w:val="16"/>
                <w:szCs w:val="16"/>
              </w:rPr>
            </w:pPr>
            <w:sdt>
              <w:sdtPr>
                <w:rPr>
                  <w:sz w:val="16"/>
                  <w:szCs w:val="16"/>
                </w:rPr>
                <w:id w:val="-1049452868"/>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w:t>
            </w:r>
            <w:r w:rsidR="0085374E">
              <w:rPr>
                <w:sz w:val="16"/>
                <w:szCs w:val="16"/>
              </w:rPr>
              <w:t>Please specify:</w:t>
            </w:r>
          </w:p>
        </w:tc>
        <w:tc>
          <w:tcPr>
            <w:tcW w:w="2810" w:type="dxa"/>
            <w:gridSpan w:val="2"/>
            <w:tcBorders>
              <w:top w:val="single" w:sz="4" w:space="0" w:color="auto"/>
              <w:bottom w:val="single" w:sz="4" w:space="0" w:color="auto"/>
            </w:tcBorders>
          </w:tcPr>
          <w:p w14:paraId="702C21E1" w14:textId="77777777" w:rsidR="0085374E" w:rsidRPr="0085374E" w:rsidRDefault="0085374E" w:rsidP="0085374E">
            <w:pPr>
              <w:spacing w:beforeLines="20" w:before="48" w:afterLines="20" w:after="48"/>
              <w:rPr>
                <w:b/>
                <w:sz w:val="16"/>
                <w:szCs w:val="16"/>
              </w:rPr>
            </w:pPr>
            <w:r w:rsidRPr="0085374E">
              <w:rPr>
                <w:b/>
                <w:sz w:val="16"/>
                <w:szCs w:val="16"/>
              </w:rPr>
              <w:t>4b. Mobile machines</w:t>
            </w:r>
          </w:p>
          <w:p w14:paraId="681CB8AF" w14:textId="77777777" w:rsidR="0085374E" w:rsidRPr="0085374E" w:rsidRDefault="00427B33" w:rsidP="0085374E">
            <w:pPr>
              <w:spacing w:beforeLines="20" w:before="48" w:afterLines="20" w:after="48"/>
              <w:rPr>
                <w:sz w:val="16"/>
                <w:szCs w:val="16"/>
                <w:lang w:val="sr-Cyrl-RS"/>
              </w:rPr>
            </w:pPr>
            <w:sdt>
              <w:sdtPr>
                <w:rPr>
                  <w:sz w:val="16"/>
                  <w:szCs w:val="16"/>
                </w:rPr>
                <w:id w:val="592134925"/>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Tractors</w:t>
            </w:r>
            <w:r w:rsidR="0085374E" w:rsidRPr="0085374E">
              <w:rPr>
                <w:sz w:val="16"/>
                <w:szCs w:val="16"/>
                <w:lang w:val="sr-Cyrl-RS"/>
              </w:rPr>
              <w:t>:</w:t>
            </w:r>
          </w:p>
          <w:p w14:paraId="30E60CD5" w14:textId="77777777" w:rsidR="0085374E" w:rsidRPr="0085374E" w:rsidRDefault="00427B33" w:rsidP="0085374E">
            <w:pPr>
              <w:spacing w:beforeLines="20" w:before="48" w:afterLines="20" w:after="48"/>
              <w:rPr>
                <w:sz w:val="16"/>
                <w:szCs w:val="16"/>
                <w:lang w:val="sr-Cyrl-RS"/>
              </w:rPr>
            </w:pPr>
            <w:sdt>
              <w:sdtPr>
                <w:rPr>
                  <w:sz w:val="16"/>
                  <w:szCs w:val="16"/>
                </w:rPr>
                <w:id w:val="-762382738"/>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Mine-drilling machines</w:t>
            </w:r>
            <w:r w:rsidR="0085374E" w:rsidRPr="0085374E">
              <w:rPr>
                <w:sz w:val="16"/>
                <w:szCs w:val="16"/>
                <w:lang w:val="sr-Cyrl-RS"/>
              </w:rPr>
              <w:t>:</w:t>
            </w:r>
          </w:p>
          <w:p w14:paraId="04871981" w14:textId="77777777" w:rsidR="0085374E" w:rsidRPr="0085374E" w:rsidRDefault="00427B33" w:rsidP="0085374E">
            <w:pPr>
              <w:spacing w:beforeLines="20" w:before="48" w:afterLines="20" w:after="48"/>
              <w:rPr>
                <w:sz w:val="16"/>
                <w:szCs w:val="16"/>
                <w:lang w:val="sr-Cyrl-RS"/>
              </w:rPr>
            </w:pPr>
            <w:sdt>
              <w:sdtPr>
                <w:rPr>
                  <w:sz w:val="16"/>
                  <w:szCs w:val="16"/>
                </w:rPr>
                <w:id w:val="236906464"/>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Excavators</w:t>
            </w:r>
            <w:r w:rsidR="0085374E" w:rsidRPr="0085374E">
              <w:rPr>
                <w:sz w:val="16"/>
                <w:szCs w:val="16"/>
                <w:lang w:val="sr-Cyrl-RS"/>
              </w:rPr>
              <w:t>:</w:t>
            </w:r>
          </w:p>
          <w:p w14:paraId="4DEA2056" w14:textId="77777777" w:rsidR="0085374E" w:rsidRPr="0085374E" w:rsidRDefault="00427B33" w:rsidP="0085374E">
            <w:pPr>
              <w:spacing w:beforeLines="20" w:before="48" w:afterLines="20" w:after="48"/>
              <w:rPr>
                <w:sz w:val="16"/>
                <w:szCs w:val="16"/>
                <w:lang w:val="sr-Cyrl-RS"/>
              </w:rPr>
            </w:pPr>
            <w:sdt>
              <w:sdtPr>
                <w:rPr>
                  <w:sz w:val="16"/>
                  <w:szCs w:val="16"/>
                </w:rPr>
                <w:id w:val="-1906528874"/>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Manipulation equipment</w:t>
            </w:r>
            <w:r w:rsidR="0085374E" w:rsidRPr="0085374E">
              <w:rPr>
                <w:sz w:val="16"/>
                <w:szCs w:val="16"/>
                <w:lang w:val="sr-Cyrl-RS"/>
              </w:rPr>
              <w:t>:</w:t>
            </w:r>
          </w:p>
          <w:p w14:paraId="29E75F1B" w14:textId="77777777" w:rsidR="0085374E" w:rsidRPr="0085374E" w:rsidRDefault="00427B33" w:rsidP="0085374E">
            <w:pPr>
              <w:spacing w:beforeLines="20" w:before="48" w:afterLines="20" w:after="48"/>
              <w:rPr>
                <w:sz w:val="16"/>
                <w:szCs w:val="16"/>
                <w:lang w:val="sr-Cyrl-RS"/>
              </w:rPr>
            </w:pPr>
            <w:sdt>
              <w:sdtPr>
                <w:rPr>
                  <w:sz w:val="16"/>
                  <w:szCs w:val="16"/>
                </w:rPr>
                <w:id w:val="-124456787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Dampers:</w:t>
            </w:r>
          </w:p>
          <w:p w14:paraId="2C385CCF" w14:textId="77777777" w:rsidR="0085374E" w:rsidRPr="0085374E" w:rsidRDefault="00427B33" w:rsidP="0085374E">
            <w:pPr>
              <w:spacing w:beforeLines="20" w:before="48" w:afterLines="20" w:after="48"/>
              <w:rPr>
                <w:sz w:val="16"/>
                <w:szCs w:val="16"/>
                <w:lang w:val="sr-Cyrl-RS"/>
              </w:rPr>
            </w:pPr>
            <w:sdt>
              <w:sdtPr>
                <w:rPr>
                  <w:sz w:val="16"/>
                  <w:szCs w:val="16"/>
                </w:rPr>
                <w:id w:val="178706624"/>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Tunnel boring machines:</w:t>
            </w:r>
          </w:p>
          <w:p w14:paraId="094D4E6A" w14:textId="77777777" w:rsidR="0085374E" w:rsidRPr="0085374E" w:rsidRDefault="00427B33" w:rsidP="0085374E">
            <w:pPr>
              <w:spacing w:beforeLines="20" w:before="48" w:afterLines="20" w:after="48"/>
              <w:rPr>
                <w:sz w:val="16"/>
                <w:szCs w:val="16"/>
                <w:lang w:val="sr-Cyrl-RS"/>
              </w:rPr>
            </w:pPr>
            <w:sdt>
              <w:sdtPr>
                <w:rPr>
                  <w:sz w:val="16"/>
                  <w:szCs w:val="16"/>
                </w:rPr>
                <w:id w:val="1219786665"/>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Rail equipment</w:t>
            </w:r>
            <w:r w:rsidR="0085374E" w:rsidRPr="0085374E">
              <w:rPr>
                <w:sz w:val="16"/>
                <w:szCs w:val="16"/>
                <w:lang w:val="sr-Cyrl-RS"/>
              </w:rPr>
              <w:t>:</w:t>
            </w:r>
          </w:p>
          <w:p w14:paraId="75C5EA7B" w14:textId="77777777" w:rsidR="0085374E" w:rsidRPr="0085374E" w:rsidRDefault="00427B33" w:rsidP="0085374E">
            <w:pPr>
              <w:spacing w:beforeLines="20" w:before="48" w:afterLines="20" w:after="48"/>
              <w:rPr>
                <w:sz w:val="16"/>
                <w:szCs w:val="16"/>
                <w:lang w:val="sr-Cyrl-RS"/>
              </w:rPr>
            </w:pPr>
            <w:sdt>
              <w:sdtPr>
                <w:rPr>
                  <w:sz w:val="16"/>
                  <w:szCs w:val="16"/>
                </w:rPr>
                <w:id w:val="-137630406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Trucks</w:t>
            </w:r>
            <w:r w:rsidR="0085374E" w:rsidRPr="0085374E">
              <w:rPr>
                <w:sz w:val="16"/>
                <w:szCs w:val="16"/>
                <w:lang w:val="sr-Cyrl-RS"/>
              </w:rPr>
              <w:t>:</w:t>
            </w:r>
          </w:p>
          <w:p w14:paraId="44C176CE" w14:textId="77777777" w:rsidR="0085374E" w:rsidRPr="0085374E" w:rsidRDefault="00427B33" w:rsidP="0085374E">
            <w:pPr>
              <w:spacing w:beforeLines="20" w:before="48" w:afterLines="20" w:after="48"/>
              <w:rPr>
                <w:sz w:val="16"/>
                <w:szCs w:val="16"/>
              </w:rPr>
            </w:pPr>
            <w:sdt>
              <w:sdtPr>
                <w:rPr>
                  <w:sz w:val="16"/>
                  <w:szCs w:val="16"/>
                </w:rPr>
                <w:id w:val="1523591075"/>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Road paving machines</w:t>
            </w:r>
          </w:p>
          <w:p w14:paraId="4CF79C12" w14:textId="77777777" w:rsidR="0085374E" w:rsidRPr="0085374E" w:rsidRDefault="00427B33" w:rsidP="0085374E">
            <w:pPr>
              <w:spacing w:beforeLines="20" w:before="48" w:afterLines="20" w:after="48"/>
              <w:rPr>
                <w:sz w:val="16"/>
                <w:szCs w:val="16"/>
                <w:lang w:val="sr-Cyrl-RS"/>
              </w:rPr>
            </w:pPr>
            <w:sdt>
              <w:sdtPr>
                <w:rPr>
                  <w:sz w:val="16"/>
                  <w:szCs w:val="16"/>
                </w:rPr>
                <w:id w:val="-112600481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Oil-drillers</w:t>
            </w:r>
            <w:r w:rsidR="0085374E" w:rsidRPr="0085374E">
              <w:rPr>
                <w:sz w:val="16"/>
                <w:szCs w:val="16"/>
                <w:lang w:val="sr-Cyrl-RS"/>
              </w:rPr>
              <w:t>:</w:t>
            </w:r>
          </w:p>
          <w:p w14:paraId="5E585BD5" w14:textId="44730BD5" w:rsidR="0085374E" w:rsidRDefault="00427B33" w:rsidP="0085374E">
            <w:pPr>
              <w:spacing w:beforeLines="20" w:before="48" w:afterLines="20" w:after="48"/>
              <w:rPr>
                <w:b/>
                <w:sz w:val="16"/>
                <w:szCs w:val="16"/>
              </w:rPr>
            </w:pPr>
            <w:sdt>
              <w:sdtPr>
                <w:rPr>
                  <w:sz w:val="16"/>
                  <w:szCs w:val="16"/>
                </w:rPr>
                <w:id w:val="359947328"/>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Other:</w:t>
            </w:r>
            <w:r w:rsidR="0085374E" w:rsidRPr="0085374E">
              <w:rPr>
                <w:b/>
                <w:sz w:val="16"/>
                <w:szCs w:val="16"/>
              </w:rPr>
              <w:t>_____________________</w:t>
            </w:r>
          </w:p>
          <w:p w14:paraId="0C99C738" w14:textId="77777777" w:rsidR="0085374E" w:rsidRPr="0085374E" w:rsidRDefault="0085374E" w:rsidP="0085374E">
            <w:pPr>
              <w:spacing w:beforeLines="20" w:before="48" w:afterLines="20" w:after="48"/>
              <w:rPr>
                <w:b/>
                <w:sz w:val="16"/>
                <w:szCs w:val="16"/>
              </w:rPr>
            </w:pPr>
          </w:p>
          <w:p w14:paraId="7EC7E393" w14:textId="77777777" w:rsidR="0085374E" w:rsidRPr="0085374E" w:rsidRDefault="0085374E" w:rsidP="0085374E">
            <w:pPr>
              <w:spacing w:beforeLines="20" w:before="48" w:afterLines="20" w:after="48"/>
              <w:rPr>
                <w:b/>
                <w:sz w:val="16"/>
                <w:szCs w:val="16"/>
              </w:rPr>
            </w:pPr>
            <w:r w:rsidRPr="0085374E">
              <w:rPr>
                <w:b/>
                <w:sz w:val="16"/>
                <w:szCs w:val="16"/>
              </w:rPr>
              <w:t>4d. Aerospace industry:</w:t>
            </w:r>
          </w:p>
          <w:p w14:paraId="55727F81" w14:textId="77777777" w:rsidR="0085374E" w:rsidRPr="0085374E" w:rsidRDefault="00427B33" w:rsidP="0085374E">
            <w:pPr>
              <w:spacing w:beforeLines="20" w:before="48" w:afterLines="20" w:after="48"/>
              <w:rPr>
                <w:sz w:val="16"/>
                <w:szCs w:val="16"/>
              </w:rPr>
            </w:pPr>
            <w:sdt>
              <w:sdtPr>
                <w:rPr>
                  <w:sz w:val="16"/>
                  <w:szCs w:val="16"/>
                </w:rPr>
                <w:id w:val="1300882785"/>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Please specify:</w:t>
            </w:r>
          </w:p>
        </w:tc>
      </w:tr>
      <w:tr w:rsidR="0085374E" w:rsidRPr="0085374E" w14:paraId="10B32955" w14:textId="77777777" w:rsidTr="00926378">
        <w:tc>
          <w:tcPr>
            <w:tcW w:w="3397" w:type="dxa"/>
            <w:tcBorders>
              <w:top w:val="single" w:sz="4" w:space="0" w:color="auto"/>
              <w:bottom w:val="single" w:sz="4" w:space="0" w:color="auto"/>
            </w:tcBorders>
          </w:tcPr>
          <w:p w14:paraId="1C273A22" w14:textId="77777777" w:rsidR="0085374E" w:rsidRPr="0085374E" w:rsidRDefault="0085374E" w:rsidP="0085374E">
            <w:pPr>
              <w:pStyle w:val="ListParagraph"/>
              <w:numPr>
                <w:ilvl w:val="0"/>
                <w:numId w:val="34"/>
              </w:numPr>
              <w:spacing w:beforeLines="20" w:before="48" w:afterLines="20" w:after="48"/>
              <w:ind w:left="0" w:firstLine="0"/>
              <w:jc w:val="left"/>
              <w:rPr>
                <w:b/>
                <w:sz w:val="16"/>
                <w:szCs w:val="16"/>
              </w:rPr>
            </w:pPr>
            <w:r w:rsidRPr="0085374E">
              <w:rPr>
                <w:b/>
                <w:sz w:val="16"/>
                <w:szCs w:val="16"/>
              </w:rPr>
              <w:lastRenderedPageBreak/>
              <w:t>What is the average nominal pressure within the hydraulic system?</w:t>
            </w:r>
          </w:p>
        </w:tc>
        <w:tc>
          <w:tcPr>
            <w:tcW w:w="5619" w:type="dxa"/>
            <w:gridSpan w:val="3"/>
            <w:tcBorders>
              <w:top w:val="single" w:sz="4" w:space="0" w:color="auto"/>
              <w:bottom w:val="single" w:sz="4" w:space="0" w:color="auto"/>
            </w:tcBorders>
          </w:tcPr>
          <w:p w14:paraId="27EDF8F4" w14:textId="77777777" w:rsidR="0085374E" w:rsidRPr="0085374E" w:rsidRDefault="0085374E" w:rsidP="0085374E">
            <w:pPr>
              <w:spacing w:beforeLines="20" w:before="48" w:afterLines="20" w:after="48"/>
              <w:rPr>
                <w:b/>
                <w:sz w:val="16"/>
                <w:szCs w:val="16"/>
              </w:rPr>
            </w:pPr>
            <w:r w:rsidRPr="0085374E">
              <w:rPr>
                <w:b/>
                <w:sz w:val="16"/>
                <w:szCs w:val="16"/>
              </w:rPr>
              <w:t>Pressure size systems</w:t>
            </w:r>
          </w:p>
          <w:p w14:paraId="6F7470DE" w14:textId="77777777" w:rsidR="0085374E" w:rsidRPr="0085374E" w:rsidRDefault="00427B33" w:rsidP="0085374E">
            <w:pPr>
              <w:spacing w:beforeLines="20" w:before="48" w:afterLines="20" w:after="48"/>
              <w:rPr>
                <w:sz w:val="16"/>
                <w:szCs w:val="16"/>
              </w:rPr>
            </w:pPr>
            <w:sdt>
              <w:sdtPr>
                <w:rPr>
                  <w:sz w:val="16"/>
                  <w:szCs w:val="16"/>
                </w:rPr>
                <w:id w:val="-1501502684"/>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Low-pressure systems (&lt;65bar)</w:t>
            </w:r>
          </w:p>
          <w:p w14:paraId="611AF8BF" w14:textId="77777777" w:rsidR="0085374E" w:rsidRPr="0085374E" w:rsidRDefault="00427B33" w:rsidP="0085374E">
            <w:pPr>
              <w:spacing w:beforeLines="20" w:before="48" w:afterLines="20" w:after="48"/>
              <w:rPr>
                <w:sz w:val="16"/>
                <w:szCs w:val="16"/>
              </w:rPr>
            </w:pPr>
            <w:sdt>
              <w:sdtPr>
                <w:rPr>
                  <w:sz w:val="16"/>
                  <w:szCs w:val="16"/>
                </w:rPr>
                <w:id w:val="195690232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Low-to-medium pressure (65-140bar)</w:t>
            </w:r>
          </w:p>
          <w:p w14:paraId="62C59A37" w14:textId="77777777" w:rsidR="0085374E" w:rsidRPr="0085374E" w:rsidRDefault="00427B33" w:rsidP="0085374E">
            <w:pPr>
              <w:spacing w:beforeLines="20" w:before="48" w:afterLines="20" w:after="48"/>
              <w:rPr>
                <w:sz w:val="16"/>
                <w:szCs w:val="16"/>
              </w:rPr>
            </w:pPr>
            <w:sdt>
              <w:sdtPr>
                <w:rPr>
                  <w:sz w:val="16"/>
                  <w:szCs w:val="16"/>
                </w:rPr>
                <w:id w:val="-1086151432"/>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Medium pressure systems (141-210bar)</w:t>
            </w:r>
          </w:p>
          <w:p w14:paraId="51BA2039" w14:textId="77777777" w:rsidR="0085374E" w:rsidRPr="0085374E" w:rsidRDefault="00427B33" w:rsidP="0085374E">
            <w:pPr>
              <w:spacing w:beforeLines="20" w:before="48" w:afterLines="20" w:after="48"/>
              <w:rPr>
                <w:sz w:val="16"/>
                <w:szCs w:val="16"/>
              </w:rPr>
            </w:pPr>
            <w:sdt>
              <w:sdtPr>
                <w:rPr>
                  <w:sz w:val="16"/>
                  <w:szCs w:val="16"/>
                </w:rPr>
                <w:id w:val="-441304112"/>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Medium-to-high pressure systems (211-350 bar)</w:t>
            </w:r>
          </w:p>
          <w:p w14:paraId="6C73084A" w14:textId="77777777" w:rsidR="0085374E" w:rsidRPr="0085374E" w:rsidRDefault="00427B33" w:rsidP="0085374E">
            <w:pPr>
              <w:spacing w:beforeLines="20" w:before="48" w:afterLines="20" w:after="48"/>
              <w:rPr>
                <w:sz w:val="16"/>
                <w:szCs w:val="16"/>
              </w:rPr>
            </w:pPr>
            <w:sdt>
              <w:sdtPr>
                <w:rPr>
                  <w:sz w:val="16"/>
                  <w:szCs w:val="16"/>
                </w:rPr>
                <w:id w:val="292641918"/>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High-pressure systems (351-750 bar)</w:t>
            </w:r>
          </w:p>
          <w:p w14:paraId="1411FA11" w14:textId="77777777" w:rsidR="0085374E" w:rsidRPr="0085374E" w:rsidRDefault="00427B33" w:rsidP="0085374E">
            <w:pPr>
              <w:spacing w:beforeLines="20" w:before="48" w:afterLines="20" w:after="48"/>
              <w:rPr>
                <w:sz w:val="16"/>
                <w:szCs w:val="16"/>
              </w:rPr>
            </w:pPr>
            <w:sdt>
              <w:sdtPr>
                <w:rPr>
                  <w:sz w:val="16"/>
                  <w:szCs w:val="16"/>
                </w:rPr>
                <w:id w:val="208964906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Extreme-pressure systems (&gt;750 bar)</w:t>
            </w:r>
          </w:p>
        </w:tc>
      </w:tr>
      <w:tr w:rsidR="0085374E" w:rsidRPr="0085374E" w14:paraId="0E4D8F92" w14:textId="77777777" w:rsidTr="00926378">
        <w:tc>
          <w:tcPr>
            <w:tcW w:w="3397" w:type="dxa"/>
            <w:tcBorders>
              <w:top w:val="single" w:sz="4" w:space="0" w:color="auto"/>
              <w:bottom w:val="single" w:sz="4" w:space="0" w:color="auto"/>
            </w:tcBorders>
          </w:tcPr>
          <w:p w14:paraId="44455C79" w14:textId="77777777" w:rsidR="0085374E" w:rsidRPr="0085374E" w:rsidRDefault="0085374E" w:rsidP="0085374E">
            <w:pPr>
              <w:pStyle w:val="ListParagraph"/>
              <w:numPr>
                <w:ilvl w:val="0"/>
                <w:numId w:val="34"/>
              </w:numPr>
              <w:spacing w:beforeLines="20" w:before="48" w:afterLines="20" w:after="48"/>
              <w:ind w:left="0" w:firstLine="0"/>
              <w:jc w:val="left"/>
              <w:rPr>
                <w:b/>
                <w:sz w:val="16"/>
                <w:szCs w:val="16"/>
              </w:rPr>
            </w:pPr>
            <w:r w:rsidRPr="0085374E">
              <w:rPr>
                <w:b/>
                <w:sz w:val="16"/>
                <w:szCs w:val="16"/>
              </w:rPr>
              <w:t>What is the average flow within the hydraulic system?</w:t>
            </w:r>
          </w:p>
        </w:tc>
        <w:tc>
          <w:tcPr>
            <w:tcW w:w="5619" w:type="dxa"/>
            <w:gridSpan w:val="3"/>
            <w:tcBorders>
              <w:top w:val="single" w:sz="4" w:space="0" w:color="auto"/>
              <w:bottom w:val="single" w:sz="4" w:space="0" w:color="auto"/>
            </w:tcBorders>
          </w:tcPr>
          <w:p w14:paraId="33F96972" w14:textId="77777777" w:rsidR="0085374E" w:rsidRPr="0085374E" w:rsidRDefault="0085374E" w:rsidP="0085374E">
            <w:pPr>
              <w:spacing w:beforeLines="20" w:before="48" w:afterLines="20" w:after="48"/>
              <w:rPr>
                <w:b/>
                <w:sz w:val="16"/>
                <w:szCs w:val="16"/>
              </w:rPr>
            </w:pPr>
            <w:r w:rsidRPr="0085374E">
              <w:rPr>
                <w:b/>
                <w:sz w:val="16"/>
                <w:szCs w:val="16"/>
              </w:rPr>
              <w:t>Flow type system</w:t>
            </w:r>
          </w:p>
          <w:p w14:paraId="024F0BF1" w14:textId="77777777" w:rsidR="0085374E" w:rsidRPr="0085374E" w:rsidRDefault="00427B33" w:rsidP="0085374E">
            <w:pPr>
              <w:spacing w:beforeLines="20" w:before="48" w:afterLines="20" w:after="48"/>
              <w:rPr>
                <w:sz w:val="16"/>
                <w:szCs w:val="16"/>
              </w:rPr>
            </w:pPr>
            <w:sdt>
              <w:sdtPr>
                <w:rPr>
                  <w:sz w:val="16"/>
                  <w:szCs w:val="16"/>
                </w:rPr>
                <w:id w:val="-1012685038"/>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Low flow (1-20 l/min)</w:t>
            </w:r>
          </w:p>
          <w:p w14:paraId="2D89C1A4" w14:textId="77777777" w:rsidR="0085374E" w:rsidRPr="0085374E" w:rsidRDefault="00427B33" w:rsidP="0085374E">
            <w:pPr>
              <w:spacing w:beforeLines="20" w:before="48" w:afterLines="20" w:after="48"/>
              <w:rPr>
                <w:sz w:val="16"/>
                <w:szCs w:val="16"/>
              </w:rPr>
            </w:pPr>
            <w:sdt>
              <w:sdtPr>
                <w:rPr>
                  <w:sz w:val="16"/>
                  <w:szCs w:val="16"/>
                </w:rPr>
                <w:id w:val="1051496756"/>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Medium flow (21-55 l/min)</w:t>
            </w:r>
          </w:p>
          <w:p w14:paraId="18D6870D" w14:textId="77777777" w:rsidR="0085374E" w:rsidRPr="0085374E" w:rsidRDefault="00427B33" w:rsidP="0085374E">
            <w:pPr>
              <w:spacing w:beforeLines="20" w:before="48" w:afterLines="20" w:after="48"/>
              <w:rPr>
                <w:sz w:val="16"/>
                <w:szCs w:val="16"/>
              </w:rPr>
            </w:pPr>
            <w:sdt>
              <w:sdtPr>
                <w:rPr>
                  <w:sz w:val="16"/>
                  <w:szCs w:val="16"/>
                </w:rPr>
                <w:id w:val="77151636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Medium-high- flow (55-140 l/min)</w:t>
            </w:r>
          </w:p>
          <w:p w14:paraId="7907B95D" w14:textId="77777777" w:rsidR="0085374E" w:rsidRPr="0085374E" w:rsidRDefault="00427B33" w:rsidP="0085374E">
            <w:pPr>
              <w:spacing w:beforeLines="20" w:before="48" w:afterLines="20" w:after="48"/>
              <w:rPr>
                <w:sz w:val="16"/>
                <w:szCs w:val="16"/>
              </w:rPr>
            </w:pPr>
            <w:sdt>
              <w:sdtPr>
                <w:rPr>
                  <w:sz w:val="16"/>
                  <w:szCs w:val="16"/>
                </w:rPr>
                <w:id w:val="164061001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Light-High flow (141-320 l/min)</w:t>
            </w:r>
          </w:p>
          <w:p w14:paraId="385F151A" w14:textId="77777777" w:rsidR="0085374E" w:rsidRPr="0085374E" w:rsidRDefault="00427B33" w:rsidP="0085374E">
            <w:pPr>
              <w:spacing w:beforeLines="20" w:before="48" w:afterLines="20" w:after="48"/>
              <w:rPr>
                <w:sz w:val="16"/>
                <w:szCs w:val="16"/>
              </w:rPr>
            </w:pPr>
            <w:sdt>
              <w:sdtPr>
                <w:rPr>
                  <w:sz w:val="16"/>
                  <w:szCs w:val="16"/>
                </w:rPr>
                <w:id w:val="-451402258"/>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High flow (321-1000 l/min)</w:t>
            </w:r>
          </w:p>
          <w:p w14:paraId="32B96B13" w14:textId="77777777" w:rsidR="0085374E" w:rsidRPr="0085374E" w:rsidRDefault="00427B33" w:rsidP="0085374E">
            <w:pPr>
              <w:spacing w:beforeLines="20" w:before="48" w:afterLines="20" w:after="48"/>
              <w:rPr>
                <w:sz w:val="16"/>
                <w:szCs w:val="16"/>
              </w:rPr>
            </w:pPr>
            <w:sdt>
              <w:sdtPr>
                <w:rPr>
                  <w:sz w:val="16"/>
                  <w:szCs w:val="16"/>
                </w:rPr>
                <w:id w:val="11896357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Extreme (&gt;1000 l/min)</w:t>
            </w:r>
          </w:p>
        </w:tc>
      </w:tr>
      <w:tr w:rsidR="0085374E" w:rsidRPr="0085374E" w14:paraId="21F565C3" w14:textId="77777777" w:rsidTr="00926378">
        <w:tc>
          <w:tcPr>
            <w:tcW w:w="3397" w:type="dxa"/>
            <w:tcBorders>
              <w:top w:val="single" w:sz="4" w:space="0" w:color="auto"/>
              <w:bottom w:val="single" w:sz="4" w:space="0" w:color="auto"/>
            </w:tcBorders>
          </w:tcPr>
          <w:p w14:paraId="50899B72" w14:textId="77777777" w:rsidR="0085374E" w:rsidRPr="0085374E" w:rsidRDefault="0085374E" w:rsidP="0085374E">
            <w:pPr>
              <w:pStyle w:val="ListParagraph"/>
              <w:numPr>
                <w:ilvl w:val="0"/>
                <w:numId w:val="34"/>
              </w:numPr>
              <w:spacing w:beforeLines="20" w:before="48" w:afterLines="20" w:after="48"/>
              <w:ind w:left="0" w:firstLine="0"/>
              <w:jc w:val="left"/>
              <w:rPr>
                <w:b/>
                <w:sz w:val="16"/>
                <w:szCs w:val="16"/>
              </w:rPr>
            </w:pPr>
            <w:r w:rsidRPr="0085374E">
              <w:rPr>
                <w:b/>
                <w:sz w:val="16"/>
                <w:szCs w:val="16"/>
              </w:rPr>
              <w:t>What types of fluid are you utilising?</w:t>
            </w:r>
          </w:p>
        </w:tc>
        <w:tc>
          <w:tcPr>
            <w:tcW w:w="5619" w:type="dxa"/>
            <w:gridSpan w:val="3"/>
            <w:tcBorders>
              <w:top w:val="single" w:sz="4" w:space="0" w:color="auto"/>
              <w:bottom w:val="single" w:sz="4" w:space="0" w:color="auto"/>
            </w:tcBorders>
          </w:tcPr>
          <w:p w14:paraId="4A1D4239" w14:textId="77777777" w:rsidR="0085374E" w:rsidRPr="0085374E" w:rsidRDefault="0085374E" w:rsidP="0085374E">
            <w:pPr>
              <w:spacing w:beforeLines="20" w:before="48" w:afterLines="20" w:after="48"/>
              <w:rPr>
                <w:b/>
                <w:sz w:val="16"/>
                <w:szCs w:val="16"/>
              </w:rPr>
            </w:pPr>
            <w:r w:rsidRPr="0085374E">
              <w:rPr>
                <w:b/>
                <w:sz w:val="16"/>
                <w:szCs w:val="16"/>
              </w:rPr>
              <w:t>Mineral-based</w:t>
            </w:r>
          </w:p>
          <w:p w14:paraId="5F826E6E" w14:textId="77777777" w:rsidR="0085374E" w:rsidRPr="0085374E" w:rsidRDefault="00427B33" w:rsidP="0085374E">
            <w:pPr>
              <w:spacing w:beforeLines="20" w:before="48" w:afterLines="20" w:after="48"/>
              <w:rPr>
                <w:sz w:val="16"/>
                <w:szCs w:val="16"/>
              </w:rPr>
            </w:pPr>
            <w:sdt>
              <w:sdtPr>
                <w:rPr>
                  <w:sz w:val="16"/>
                  <w:szCs w:val="16"/>
                </w:rPr>
                <w:id w:val="18186000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HH – no additives</w:t>
            </w:r>
          </w:p>
          <w:p w14:paraId="29D3571E" w14:textId="77777777" w:rsidR="0085374E" w:rsidRPr="0085374E" w:rsidRDefault="00427B33" w:rsidP="0085374E">
            <w:pPr>
              <w:spacing w:beforeLines="20" w:before="48" w:afterLines="20" w:after="48"/>
              <w:rPr>
                <w:sz w:val="16"/>
                <w:szCs w:val="16"/>
              </w:rPr>
            </w:pPr>
            <w:sdt>
              <w:sdtPr>
                <w:rPr>
                  <w:sz w:val="16"/>
                  <w:szCs w:val="16"/>
                </w:rPr>
                <w:id w:val="-88810685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HL </w:t>
            </w:r>
            <w:r w:rsidR="0085374E" w:rsidRPr="0085374E">
              <w:rPr>
                <w:sz w:val="16"/>
                <w:szCs w:val="16"/>
              </w:rPr>
              <w:softHyphen/>
              <w:t>– anti-corrosion, antioxidant additives</w:t>
            </w:r>
          </w:p>
          <w:p w14:paraId="2BC1D59E" w14:textId="77777777" w:rsidR="0085374E" w:rsidRPr="0085374E" w:rsidRDefault="00427B33" w:rsidP="0085374E">
            <w:pPr>
              <w:spacing w:beforeLines="20" w:before="48" w:afterLines="20" w:after="48"/>
              <w:rPr>
                <w:sz w:val="16"/>
                <w:szCs w:val="16"/>
              </w:rPr>
            </w:pPr>
            <w:sdt>
              <w:sdtPr>
                <w:rPr>
                  <w:sz w:val="16"/>
                  <w:szCs w:val="16"/>
                </w:rPr>
                <w:id w:val="-376542769"/>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HM – antiwear additives</w:t>
            </w:r>
          </w:p>
          <w:p w14:paraId="462CDF52" w14:textId="77777777" w:rsidR="0085374E" w:rsidRPr="0085374E" w:rsidRDefault="00427B33" w:rsidP="0085374E">
            <w:pPr>
              <w:spacing w:beforeLines="20" w:before="48" w:afterLines="20" w:after="48"/>
              <w:rPr>
                <w:sz w:val="16"/>
                <w:szCs w:val="16"/>
              </w:rPr>
            </w:pPr>
            <w:sdt>
              <w:sdtPr>
                <w:rPr>
                  <w:sz w:val="16"/>
                  <w:szCs w:val="16"/>
                </w:rPr>
                <w:id w:val="108535253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HV – viscosity improver additives</w:t>
            </w:r>
          </w:p>
          <w:p w14:paraId="42802D39" w14:textId="77777777" w:rsidR="0085374E" w:rsidRPr="0085374E" w:rsidRDefault="0085374E" w:rsidP="0085374E">
            <w:pPr>
              <w:spacing w:beforeLines="20" w:before="48" w:afterLines="20" w:after="48"/>
              <w:rPr>
                <w:b/>
                <w:sz w:val="16"/>
                <w:szCs w:val="16"/>
              </w:rPr>
            </w:pPr>
            <w:r w:rsidRPr="0085374E">
              <w:rPr>
                <w:b/>
                <w:sz w:val="16"/>
                <w:szCs w:val="16"/>
              </w:rPr>
              <w:t>Fire extinguishing fluid</w:t>
            </w:r>
          </w:p>
          <w:p w14:paraId="4A53B4C7" w14:textId="77777777" w:rsidR="0085374E" w:rsidRPr="0085374E" w:rsidRDefault="00427B33" w:rsidP="0085374E">
            <w:pPr>
              <w:spacing w:beforeLines="20" w:before="48" w:afterLines="20" w:after="48"/>
              <w:rPr>
                <w:sz w:val="16"/>
                <w:szCs w:val="16"/>
              </w:rPr>
            </w:pPr>
            <w:sdt>
              <w:sdtPr>
                <w:rPr>
                  <w:sz w:val="16"/>
                  <w:szCs w:val="16"/>
                </w:rPr>
                <w:id w:val="166404649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HFA – oil in water emulsion (water &gt;90%)</w:t>
            </w:r>
          </w:p>
          <w:p w14:paraId="084B24AB" w14:textId="77777777" w:rsidR="0085374E" w:rsidRPr="0085374E" w:rsidRDefault="00427B33" w:rsidP="0085374E">
            <w:pPr>
              <w:spacing w:beforeLines="20" w:before="48" w:afterLines="20" w:after="48"/>
              <w:rPr>
                <w:sz w:val="16"/>
                <w:szCs w:val="16"/>
              </w:rPr>
            </w:pPr>
            <w:sdt>
              <w:sdtPr>
                <w:rPr>
                  <w:sz w:val="16"/>
                  <w:szCs w:val="16"/>
                </w:rPr>
                <w:id w:val="-1608419557"/>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HFB – water in oil emulsion (water &gt;40%)</w:t>
            </w:r>
          </w:p>
          <w:p w14:paraId="45CA5697" w14:textId="77777777" w:rsidR="0085374E" w:rsidRPr="0085374E" w:rsidRDefault="00427B33" w:rsidP="0085374E">
            <w:pPr>
              <w:spacing w:beforeLines="20" w:before="48" w:afterLines="20" w:after="48"/>
              <w:rPr>
                <w:sz w:val="16"/>
                <w:szCs w:val="16"/>
              </w:rPr>
            </w:pPr>
            <w:sdt>
              <w:sdtPr>
                <w:rPr>
                  <w:sz w:val="16"/>
                  <w:szCs w:val="16"/>
                </w:rPr>
                <w:id w:val="-12608659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HFC – water glycol</w:t>
            </w:r>
          </w:p>
          <w:p w14:paraId="7E68A79B" w14:textId="77777777" w:rsidR="0085374E" w:rsidRPr="0085374E" w:rsidRDefault="00427B33" w:rsidP="0085374E">
            <w:pPr>
              <w:spacing w:beforeLines="20" w:before="48" w:afterLines="20" w:after="48"/>
              <w:rPr>
                <w:sz w:val="16"/>
                <w:szCs w:val="16"/>
              </w:rPr>
            </w:pPr>
            <w:sdt>
              <w:sdtPr>
                <w:rPr>
                  <w:sz w:val="16"/>
                  <w:szCs w:val="16"/>
                </w:rPr>
                <w:id w:val="2041234288"/>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HFD - Synthetic fluid (phosphoric ester)</w:t>
            </w:r>
          </w:p>
          <w:p w14:paraId="0FF2F3D3" w14:textId="77777777" w:rsidR="0085374E" w:rsidRPr="0085374E" w:rsidRDefault="0085374E" w:rsidP="0085374E">
            <w:pPr>
              <w:spacing w:beforeLines="20" w:before="48" w:afterLines="20" w:after="48"/>
              <w:rPr>
                <w:b/>
                <w:sz w:val="16"/>
                <w:szCs w:val="16"/>
              </w:rPr>
            </w:pPr>
            <w:r w:rsidRPr="0085374E">
              <w:rPr>
                <w:b/>
                <w:sz w:val="16"/>
                <w:szCs w:val="16"/>
              </w:rPr>
              <w:t>Environmentally accepted fluids</w:t>
            </w:r>
          </w:p>
          <w:p w14:paraId="7680ABB5" w14:textId="77777777" w:rsidR="0085374E" w:rsidRPr="0085374E" w:rsidRDefault="00427B33" w:rsidP="0085374E">
            <w:pPr>
              <w:spacing w:beforeLines="20" w:before="48" w:afterLines="20" w:after="48"/>
              <w:rPr>
                <w:sz w:val="16"/>
                <w:szCs w:val="16"/>
              </w:rPr>
            </w:pPr>
            <w:sdt>
              <w:sdtPr>
                <w:rPr>
                  <w:sz w:val="16"/>
                  <w:szCs w:val="16"/>
                </w:rPr>
                <w:id w:val="-1079285584"/>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HTG – Vegetal base fluid</w:t>
            </w:r>
          </w:p>
          <w:p w14:paraId="41483896" w14:textId="77777777" w:rsidR="0085374E" w:rsidRPr="0085374E" w:rsidRDefault="00427B33" w:rsidP="0085374E">
            <w:pPr>
              <w:spacing w:beforeLines="20" w:before="48" w:afterLines="20" w:after="48"/>
              <w:rPr>
                <w:sz w:val="16"/>
                <w:szCs w:val="16"/>
              </w:rPr>
            </w:pPr>
            <w:sdt>
              <w:sdtPr>
                <w:rPr>
                  <w:sz w:val="16"/>
                  <w:szCs w:val="16"/>
                </w:rPr>
                <w:id w:val="-704173502"/>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HPG – Glycol base synthetic fluid</w:t>
            </w:r>
          </w:p>
          <w:p w14:paraId="0AAFB9D2" w14:textId="77777777" w:rsidR="0085374E" w:rsidRPr="0085374E" w:rsidRDefault="00427B33" w:rsidP="0085374E">
            <w:pPr>
              <w:spacing w:beforeLines="20" w:before="48" w:afterLines="20" w:after="48"/>
              <w:rPr>
                <w:sz w:val="16"/>
                <w:szCs w:val="16"/>
              </w:rPr>
            </w:pPr>
            <w:sdt>
              <w:sdtPr>
                <w:rPr>
                  <w:sz w:val="16"/>
                  <w:szCs w:val="16"/>
                </w:rPr>
                <w:id w:val="-991019619"/>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HE – Esther base synthetic fluid</w:t>
            </w:r>
          </w:p>
          <w:p w14:paraId="31EB10EF" w14:textId="3268A9BE" w:rsidR="0085374E" w:rsidRPr="0085374E" w:rsidRDefault="00427B33" w:rsidP="0085374E">
            <w:pPr>
              <w:spacing w:beforeLines="20" w:before="48" w:afterLines="20" w:after="48"/>
              <w:rPr>
                <w:sz w:val="16"/>
                <w:szCs w:val="16"/>
              </w:rPr>
            </w:pPr>
            <w:sdt>
              <w:sdtPr>
                <w:rPr>
                  <w:sz w:val="16"/>
                  <w:szCs w:val="16"/>
                </w:rPr>
                <w:id w:val="330949497"/>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Other: ________________________________________________</w:t>
            </w:r>
          </w:p>
        </w:tc>
      </w:tr>
      <w:tr w:rsidR="0085374E" w:rsidRPr="0085374E" w14:paraId="52E9A300" w14:textId="77777777" w:rsidTr="00926378">
        <w:tc>
          <w:tcPr>
            <w:tcW w:w="3397" w:type="dxa"/>
            <w:tcBorders>
              <w:top w:val="single" w:sz="4" w:space="0" w:color="auto"/>
              <w:bottom w:val="single" w:sz="4" w:space="0" w:color="auto"/>
            </w:tcBorders>
          </w:tcPr>
          <w:p w14:paraId="5E4DA183" w14:textId="77777777" w:rsidR="0085374E" w:rsidRPr="0085374E" w:rsidRDefault="0085374E" w:rsidP="0085374E">
            <w:pPr>
              <w:pStyle w:val="ListParagraph"/>
              <w:numPr>
                <w:ilvl w:val="0"/>
                <w:numId w:val="34"/>
              </w:numPr>
              <w:spacing w:beforeLines="20" w:before="48" w:afterLines="20" w:after="48"/>
              <w:ind w:left="0" w:firstLine="0"/>
              <w:jc w:val="left"/>
              <w:rPr>
                <w:b/>
                <w:sz w:val="16"/>
                <w:szCs w:val="16"/>
              </w:rPr>
            </w:pPr>
            <w:r w:rsidRPr="0085374E">
              <w:rPr>
                <w:b/>
                <w:sz w:val="16"/>
                <w:szCs w:val="16"/>
              </w:rPr>
              <w:t>What type of maintenance policy are you conducting in your company?</w:t>
            </w:r>
          </w:p>
        </w:tc>
        <w:tc>
          <w:tcPr>
            <w:tcW w:w="5619" w:type="dxa"/>
            <w:gridSpan w:val="3"/>
            <w:tcBorders>
              <w:top w:val="single" w:sz="4" w:space="0" w:color="auto"/>
              <w:bottom w:val="single" w:sz="4" w:space="0" w:color="auto"/>
            </w:tcBorders>
          </w:tcPr>
          <w:p w14:paraId="6339F6DB" w14:textId="77777777" w:rsidR="0085374E" w:rsidRPr="0085374E" w:rsidRDefault="0085374E" w:rsidP="0085374E">
            <w:pPr>
              <w:spacing w:beforeLines="20" w:before="48" w:afterLines="20" w:after="48"/>
              <w:rPr>
                <w:b/>
                <w:sz w:val="16"/>
                <w:szCs w:val="16"/>
              </w:rPr>
            </w:pPr>
            <w:r w:rsidRPr="0085374E">
              <w:rPr>
                <w:b/>
                <w:sz w:val="16"/>
                <w:szCs w:val="16"/>
              </w:rPr>
              <w:t>Maintenance policy:</w:t>
            </w:r>
          </w:p>
          <w:p w14:paraId="41C00859" w14:textId="77777777" w:rsidR="0085374E" w:rsidRPr="0085374E" w:rsidRDefault="00427B33" w:rsidP="0085374E">
            <w:pPr>
              <w:spacing w:beforeLines="20" w:before="48" w:afterLines="20" w:after="48"/>
              <w:rPr>
                <w:sz w:val="16"/>
                <w:szCs w:val="16"/>
              </w:rPr>
            </w:pPr>
            <w:sdt>
              <w:sdtPr>
                <w:rPr>
                  <w:sz w:val="16"/>
                  <w:szCs w:val="16"/>
                </w:rPr>
                <w:id w:val="-393738138"/>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Failure-based maintenance (corrective maintenance)</w:t>
            </w:r>
          </w:p>
          <w:p w14:paraId="7F0D2189" w14:textId="77777777" w:rsidR="0085374E" w:rsidRPr="0085374E" w:rsidRDefault="00427B33" w:rsidP="0085374E">
            <w:pPr>
              <w:spacing w:beforeLines="20" w:before="48" w:afterLines="20" w:after="48"/>
              <w:rPr>
                <w:sz w:val="16"/>
                <w:szCs w:val="16"/>
              </w:rPr>
            </w:pPr>
            <w:sdt>
              <w:sdtPr>
                <w:rPr>
                  <w:sz w:val="16"/>
                  <w:szCs w:val="16"/>
                </w:rPr>
                <w:id w:val="2121107895"/>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Time/use-based maintenance (preventive maintenance)</w:t>
            </w:r>
          </w:p>
          <w:p w14:paraId="35CC717E" w14:textId="77777777" w:rsidR="0085374E" w:rsidRPr="0085374E" w:rsidRDefault="00427B33" w:rsidP="0085374E">
            <w:pPr>
              <w:spacing w:beforeLines="20" w:before="48" w:afterLines="20" w:after="48"/>
              <w:rPr>
                <w:sz w:val="16"/>
                <w:szCs w:val="16"/>
              </w:rPr>
            </w:pPr>
            <w:sdt>
              <w:sdtPr>
                <w:rPr>
                  <w:sz w:val="16"/>
                  <w:szCs w:val="16"/>
                </w:rPr>
                <w:id w:val="-1944906828"/>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Condition-based maintenance</w:t>
            </w:r>
            <w:r w:rsidR="0085374E" w:rsidRPr="0085374E">
              <w:rPr>
                <w:rStyle w:val="FootnoteReference"/>
                <w:sz w:val="16"/>
                <w:szCs w:val="16"/>
              </w:rPr>
              <w:footnoteReference w:id="2"/>
            </w:r>
          </w:p>
          <w:p w14:paraId="7F2AB7D3" w14:textId="77777777" w:rsidR="0085374E" w:rsidRPr="0085374E" w:rsidRDefault="00427B33" w:rsidP="0085374E">
            <w:pPr>
              <w:spacing w:beforeLines="20" w:before="48" w:afterLines="20" w:after="48"/>
              <w:rPr>
                <w:sz w:val="16"/>
                <w:szCs w:val="16"/>
              </w:rPr>
            </w:pPr>
            <w:sdt>
              <w:sdtPr>
                <w:rPr>
                  <w:sz w:val="16"/>
                  <w:szCs w:val="16"/>
                </w:rPr>
                <w:id w:val="793335052"/>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Predictive maintenance</w:t>
            </w:r>
            <w:r w:rsidR="0085374E" w:rsidRPr="0085374E">
              <w:rPr>
                <w:rStyle w:val="FootnoteReference"/>
                <w:sz w:val="16"/>
                <w:szCs w:val="16"/>
              </w:rPr>
              <w:footnoteReference w:id="3"/>
            </w:r>
          </w:p>
          <w:p w14:paraId="24DB1DAE" w14:textId="77777777" w:rsidR="0085374E" w:rsidRPr="0085374E" w:rsidRDefault="00427B33" w:rsidP="0085374E">
            <w:pPr>
              <w:spacing w:beforeLines="20" w:before="48" w:afterLines="20" w:after="48"/>
              <w:rPr>
                <w:sz w:val="16"/>
                <w:szCs w:val="16"/>
              </w:rPr>
            </w:pPr>
            <w:sdt>
              <w:sdtPr>
                <w:rPr>
                  <w:sz w:val="16"/>
                  <w:szCs w:val="16"/>
                </w:rPr>
                <w:id w:val="369115799"/>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Opportunity-based maintenance</w:t>
            </w:r>
            <w:r w:rsidR="0085374E" w:rsidRPr="0085374E">
              <w:rPr>
                <w:rStyle w:val="FootnoteReference"/>
                <w:sz w:val="16"/>
                <w:szCs w:val="16"/>
              </w:rPr>
              <w:footnoteReference w:id="4"/>
            </w:r>
          </w:p>
          <w:p w14:paraId="050E51CA" w14:textId="77777777" w:rsidR="0085374E" w:rsidRPr="0085374E" w:rsidRDefault="00427B33" w:rsidP="0085374E">
            <w:pPr>
              <w:spacing w:beforeLines="20" w:before="48" w:afterLines="20" w:after="48"/>
              <w:rPr>
                <w:sz w:val="16"/>
                <w:szCs w:val="16"/>
              </w:rPr>
            </w:pPr>
            <w:sdt>
              <w:sdtPr>
                <w:rPr>
                  <w:sz w:val="16"/>
                  <w:szCs w:val="16"/>
                </w:rPr>
                <w:id w:val="-189303489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Design-out maintenance</w:t>
            </w:r>
            <w:r w:rsidR="0085374E" w:rsidRPr="0085374E">
              <w:rPr>
                <w:rStyle w:val="FootnoteReference"/>
                <w:sz w:val="16"/>
                <w:szCs w:val="16"/>
              </w:rPr>
              <w:footnoteReference w:id="5"/>
            </w:r>
          </w:p>
          <w:p w14:paraId="116460FE" w14:textId="77777777" w:rsidR="0085374E" w:rsidRPr="0085374E" w:rsidRDefault="00427B33" w:rsidP="0085374E">
            <w:pPr>
              <w:spacing w:beforeLines="20" w:before="48" w:afterLines="20" w:after="48"/>
              <w:rPr>
                <w:sz w:val="16"/>
                <w:szCs w:val="16"/>
              </w:rPr>
            </w:pPr>
            <w:sdt>
              <w:sdtPr>
                <w:rPr>
                  <w:sz w:val="16"/>
                  <w:szCs w:val="16"/>
                </w:rPr>
                <w:id w:val="-125135354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Other: (</w:t>
            </w:r>
            <w:r w:rsidR="0085374E" w:rsidRPr="0085374E">
              <w:rPr>
                <w:i/>
                <w:sz w:val="16"/>
                <w:szCs w:val="16"/>
              </w:rPr>
              <w:t>name please</w:t>
            </w:r>
            <w:r w:rsidR="0085374E" w:rsidRPr="0085374E">
              <w:rPr>
                <w:sz w:val="16"/>
                <w:szCs w:val="16"/>
              </w:rPr>
              <w:t xml:space="preserve">) </w:t>
            </w:r>
            <w:r w:rsidR="0085374E" w:rsidRPr="0085374E">
              <w:rPr>
                <w:sz w:val="16"/>
                <w:szCs w:val="16"/>
              </w:rPr>
              <w:softHyphen/>
              <w:t>____________________________________</w:t>
            </w:r>
          </w:p>
        </w:tc>
      </w:tr>
      <w:tr w:rsidR="0085374E" w:rsidRPr="0085374E" w14:paraId="14F290DF" w14:textId="77777777" w:rsidTr="00926378">
        <w:tc>
          <w:tcPr>
            <w:tcW w:w="3397" w:type="dxa"/>
            <w:tcBorders>
              <w:top w:val="single" w:sz="4" w:space="0" w:color="auto"/>
              <w:bottom w:val="single" w:sz="4" w:space="0" w:color="auto"/>
            </w:tcBorders>
          </w:tcPr>
          <w:p w14:paraId="681F0FB7" w14:textId="77777777" w:rsidR="0085374E" w:rsidRPr="0085374E" w:rsidRDefault="0085374E" w:rsidP="0085374E">
            <w:pPr>
              <w:pStyle w:val="ListParagraph"/>
              <w:numPr>
                <w:ilvl w:val="0"/>
                <w:numId w:val="34"/>
              </w:numPr>
              <w:spacing w:beforeLines="20" w:before="48" w:afterLines="20" w:after="48"/>
              <w:ind w:left="0" w:firstLine="0"/>
              <w:jc w:val="left"/>
              <w:rPr>
                <w:b/>
                <w:sz w:val="16"/>
                <w:szCs w:val="16"/>
              </w:rPr>
            </w:pPr>
            <w:r w:rsidRPr="0085374E">
              <w:rPr>
                <w:b/>
                <w:sz w:val="16"/>
                <w:szCs w:val="16"/>
              </w:rPr>
              <w:t>For a hydraulic control system machine, what specific analysis program do you conduct within maintenance policy?</w:t>
            </w:r>
          </w:p>
        </w:tc>
        <w:tc>
          <w:tcPr>
            <w:tcW w:w="5619" w:type="dxa"/>
            <w:gridSpan w:val="3"/>
            <w:tcBorders>
              <w:top w:val="single" w:sz="4" w:space="0" w:color="auto"/>
              <w:bottom w:val="single" w:sz="4" w:space="0" w:color="auto"/>
            </w:tcBorders>
          </w:tcPr>
          <w:p w14:paraId="0AAABBB9" w14:textId="77777777" w:rsidR="0085374E" w:rsidRPr="0085374E" w:rsidRDefault="0085374E" w:rsidP="0085374E">
            <w:pPr>
              <w:spacing w:beforeLines="20" w:before="48" w:afterLines="20" w:after="48"/>
              <w:rPr>
                <w:b/>
                <w:sz w:val="16"/>
                <w:szCs w:val="16"/>
              </w:rPr>
            </w:pPr>
            <w:r w:rsidRPr="0085374E">
              <w:rPr>
                <w:b/>
                <w:sz w:val="16"/>
                <w:szCs w:val="16"/>
              </w:rPr>
              <w:t>Oil monitoring program:</w:t>
            </w:r>
          </w:p>
          <w:p w14:paraId="52F04C52" w14:textId="77777777" w:rsidR="0085374E" w:rsidRPr="0085374E" w:rsidRDefault="00427B33" w:rsidP="0085374E">
            <w:pPr>
              <w:spacing w:beforeLines="20" w:before="48" w:afterLines="20" w:after="48"/>
              <w:rPr>
                <w:sz w:val="16"/>
                <w:szCs w:val="16"/>
              </w:rPr>
            </w:pPr>
            <w:sdt>
              <w:sdtPr>
                <w:rPr>
                  <w:sz w:val="16"/>
                  <w:szCs w:val="16"/>
                </w:rPr>
                <w:id w:val="-585225269"/>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Visual monitoring of oil (colour, odour, other).</w:t>
            </w:r>
          </w:p>
          <w:p w14:paraId="67ACD4C1" w14:textId="77777777" w:rsidR="0085374E" w:rsidRPr="0085374E" w:rsidRDefault="00427B33" w:rsidP="0085374E">
            <w:pPr>
              <w:spacing w:beforeLines="20" w:before="48" w:afterLines="20" w:after="48"/>
              <w:rPr>
                <w:sz w:val="16"/>
                <w:szCs w:val="16"/>
              </w:rPr>
            </w:pPr>
            <w:sdt>
              <w:sdtPr>
                <w:rPr>
                  <w:sz w:val="16"/>
                  <w:szCs w:val="16"/>
                </w:rPr>
                <w:id w:val="128523806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Contamination Control Program (handling, filtering, monitoring, etc.).</w:t>
            </w:r>
          </w:p>
          <w:p w14:paraId="5DA08473" w14:textId="77777777" w:rsidR="0085374E" w:rsidRPr="0085374E" w:rsidRDefault="00427B33" w:rsidP="0085374E">
            <w:pPr>
              <w:spacing w:beforeLines="20" w:before="48" w:afterLines="20" w:after="48"/>
              <w:rPr>
                <w:sz w:val="16"/>
                <w:szCs w:val="16"/>
              </w:rPr>
            </w:pPr>
            <w:sdt>
              <w:sdtPr>
                <w:rPr>
                  <w:sz w:val="16"/>
                  <w:szCs w:val="16"/>
                </w:rPr>
                <w:id w:val="1624807725"/>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Oil Condition Monitoring (using APC, Aqua-Sensor, or another instrument for online monitoring).</w:t>
            </w:r>
          </w:p>
          <w:p w14:paraId="72061AFF" w14:textId="77777777" w:rsidR="0085374E" w:rsidRPr="0085374E" w:rsidRDefault="00427B33" w:rsidP="0085374E">
            <w:pPr>
              <w:spacing w:beforeLines="20" w:before="48" w:afterLines="20" w:after="48"/>
              <w:rPr>
                <w:sz w:val="16"/>
                <w:szCs w:val="16"/>
              </w:rPr>
            </w:pPr>
            <w:sdt>
              <w:sdtPr>
                <w:rPr>
                  <w:sz w:val="16"/>
                  <w:szCs w:val="16"/>
                </w:rPr>
                <w:id w:val="-1015919785"/>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Used Oil Analysis Program (taking samples for off-line analysis into the lab – spectrometry, wear debris analysis, FTIR, TBN, TAN, etc.).</w:t>
            </w:r>
          </w:p>
          <w:p w14:paraId="6F46A610" w14:textId="77777777" w:rsidR="0085374E" w:rsidRPr="0085374E" w:rsidRDefault="00427B33" w:rsidP="0085374E">
            <w:pPr>
              <w:spacing w:beforeLines="20" w:before="48" w:afterLines="20" w:after="48"/>
              <w:rPr>
                <w:sz w:val="16"/>
                <w:szCs w:val="16"/>
              </w:rPr>
            </w:pPr>
            <w:sdt>
              <w:sdtPr>
                <w:rPr>
                  <w:sz w:val="16"/>
                  <w:szCs w:val="16"/>
                </w:rPr>
                <w:id w:val="-1823884645"/>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Prognostics and health monitoring (vibration, ultrasound, thermovision camera, other).</w:t>
            </w:r>
          </w:p>
          <w:p w14:paraId="56339BF3" w14:textId="5D4F8946" w:rsidR="0085374E" w:rsidRPr="0085374E" w:rsidRDefault="00427B33" w:rsidP="0085374E">
            <w:pPr>
              <w:spacing w:beforeLines="20" w:before="48" w:afterLines="20" w:after="48"/>
              <w:rPr>
                <w:sz w:val="16"/>
                <w:szCs w:val="16"/>
              </w:rPr>
            </w:pPr>
            <w:sdt>
              <w:sdtPr>
                <w:rPr>
                  <w:sz w:val="16"/>
                  <w:szCs w:val="16"/>
                </w:rPr>
                <w:id w:val="1033618667"/>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Other: (</w:t>
            </w:r>
            <w:r w:rsidR="0085374E" w:rsidRPr="0085374E">
              <w:rPr>
                <w:i/>
                <w:sz w:val="16"/>
                <w:szCs w:val="16"/>
              </w:rPr>
              <w:t>name please</w:t>
            </w:r>
            <w:r w:rsidR="0085374E" w:rsidRPr="0085374E">
              <w:rPr>
                <w:sz w:val="16"/>
                <w:szCs w:val="16"/>
              </w:rPr>
              <w:t xml:space="preserve">) </w:t>
            </w:r>
            <w:r w:rsidR="0085374E" w:rsidRPr="0085374E">
              <w:rPr>
                <w:sz w:val="16"/>
                <w:szCs w:val="16"/>
              </w:rPr>
              <w:softHyphen/>
              <w:t>____________________________________</w:t>
            </w:r>
          </w:p>
        </w:tc>
      </w:tr>
      <w:tr w:rsidR="0085374E" w:rsidRPr="0085374E" w14:paraId="75033DD1" w14:textId="77777777" w:rsidTr="00926378">
        <w:tc>
          <w:tcPr>
            <w:tcW w:w="3397" w:type="dxa"/>
            <w:tcBorders>
              <w:top w:val="single" w:sz="4" w:space="0" w:color="auto"/>
              <w:bottom w:val="single" w:sz="4" w:space="0" w:color="auto"/>
            </w:tcBorders>
          </w:tcPr>
          <w:p w14:paraId="38AC7B73" w14:textId="77777777" w:rsidR="0085374E" w:rsidRPr="0085374E" w:rsidRDefault="0085374E" w:rsidP="0085374E">
            <w:pPr>
              <w:pStyle w:val="ListParagraph"/>
              <w:numPr>
                <w:ilvl w:val="0"/>
                <w:numId w:val="34"/>
              </w:numPr>
              <w:spacing w:beforeLines="20" w:before="48" w:afterLines="20" w:after="48"/>
              <w:ind w:left="0" w:firstLine="0"/>
              <w:jc w:val="left"/>
              <w:rPr>
                <w:b/>
                <w:sz w:val="16"/>
                <w:szCs w:val="16"/>
              </w:rPr>
            </w:pPr>
            <w:r w:rsidRPr="0085374E">
              <w:rPr>
                <w:b/>
                <w:sz w:val="16"/>
                <w:szCs w:val="16"/>
              </w:rPr>
              <w:lastRenderedPageBreak/>
              <w:t>What system monitoring sensors are you using (check more boxes if necessary)?</w:t>
            </w:r>
          </w:p>
        </w:tc>
        <w:tc>
          <w:tcPr>
            <w:tcW w:w="5619" w:type="dxa"/>
            <w:gridSpan w:val="3"/>
            <w:tcBorders>
              <w:top w:val="single" w:sz="4" w:space="0" w:color="auto"/>
              <w:bottom w:val="single" w:sz="4" w:space="0" w:color="auto"/>
            </w:tcBorders>
          </w:tcPr>
          <w:p w14:paraId="4C08CCB5" w14:textId="77777777" w:rsidR="0085374E" w:rsidRPr="0085374E" w:rsidRDefault="0085374E" w:rsidP="0085374E">
            <w:pPr>
              <w:spacing w:beforeLines="20" w:before="48" w:afterLines="20" w:after="48"/>
              <w:rPr>
                <w:b/>
                <w:sz w:val="16"/>
                <w:szCs w:val="16"/>
              </w:rPr>
            </w:pPr>
            <w:r w:rsidRPr="0085374E">
              <w:rPr>
                <w:b/>
                <w:sz w:val="16"/>
                <w:szCs w:val="16"/>
              </w:rPr>
              <w:t>Sensors used for monitoring the hydraulic system:</w:t>
            </w:r>
          </w:p>
          <w:p w14:paraId="08A2251B" w14:textId="77777777" w:rsidR="0085374E" w:rsidRPr="0085374E" w:rsidRDefault="00427B33" w:rsidP="0085374E">
            <w:pPr>
              <w:spacing w:beforeLines="20" w:before="48" w:afterLines="20" w:after="48"/>
              <w:rPr>
                <w:sz w:val="16"/>
                <w:szCs w:val="16"/>
              </w:rPr>
            </w:pPr>
            <w:sdt>
              <w:sdtPr>
                <w:rPr>
                  <w:sz w:val="16"/>
                  <w:szCs w:val="16"/>
                </w:rPr>
                <w:id w:val="61417562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Pressure sensors (transmitters, differential, electronic)</w:t>
            </w:r>
          </w:p>
          <w:p w14:paraId="4F763F1F" w14:textId="77777777" w:rsidR="0085374E" w:rsidRPr="0085374E" w:rsidRDefault="00427B33" w:rsidP="0085374E">
            <w:pPr>
              <w:spacing w:beforeLines="20" w:before="48" w:afterLines="20" w:after="48"/>
              <w:rPr>
                <w:sz w:val="16"/>
                <w:szCs w:val="16"/>
              </w:rPr>
            </w:pPr>
            <w:sdt>
              <w:sdtPr>
                <w:rPr>
                  <w:sz w:val="16"/>
                  <w:szCs w:val="16"/>
                </w:rPr>
                <w:id w:val="-1103878827"/>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Flow rate sensors (transmitters, switches, e-mechanical)</w:t>
            </w:r>
          </w:p>
          <w:p w14:paraId="06605897" w14:textId="77777777" w:rsidR="0085374E" w:rsidRPr="0085374E" w:rsidRDefault="00427B33" w:rsidP="0085374E">
            <w:pPr>
              <w:spacing w:beforeLines="20" w:before="48" w:afterLines="20" w:after="48"/>
              <w:rPr>
                <w:sz w:val="16"/>
                <w:szCs w:val="16"/>
              </w:rPr>
            </w:pPr>
            <w:sdt>
              <w:sdtPr>
                <w:rPr>
                  <w:sz w:val="16"/>
                  <w:szCs w:val="16"/>
                </w:rPr>
                <w:id w:val="1964152268"/>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Linear position sensors (for cylinder position)</w:t>
            </w:r>
          </w:p>
          <w:p w14:paraId="3933418B" w14:textId="77777777" w:rsidR="0085374E" w:rsidRPr="0085374E" w:rsidRDefault="00427B33" w:rsidP="0085374E">
            <w:pPr>
              <w:spacing w:beforeLines="20" w:before="48" w:afterLines="20" w:after="48"/>
              <w:rPr>
                <w:sz w:val="16"/>
                <w:szCs w:val="16"/>
              </w:rPr>
            </w:pPr>
            <w:sdt>
              <w:sdtPr>
                <w:rPr>
                  <w:sz w:val="16"/>
                  <w:szCs w:val="16"/>
                </w:rPr>
                <w:id w:val="106546317"/>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Contamination sensors (particle counters, water sensors)</w:t>
            </w:r>
          </w:p>
          <w:p w14:paraId="7E663D2C" w14:textId="77777777" w:rsidR="0085374E" w:rsidRPr="0085374E" w:rsidRDefault="00427B33" w:rsidP="0085374E">
            <w:pPr>
              <w:spacing w:beforeLines="20" w:before="48" w:afterLines="20" w:after="48"/>
              <w:rPr>
                <w:sz w:val="16"/>
                <w:szCs w:val="16"/>
              </w:rPr>
            </w:pPr>
            <w:sdt>
              <w:sdtPr>
                <w:rPr>
                  <w:sz w:val="16"/>
                  <w:szCs w:val="16"/>
                </w:rPr>
                <w:id w:val="-142887908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Oil condition sensors (e.g. ageing or mixing based on dielectric const.)</w:t>
            </w:r>
          </w:p>
          <w:p w14:paraId="3345AC5C" w14:textId="77777777" w:rsidR="0085374E" w:rsidRPr="0085374E" w:rsidRDefault="00427B33" w:rsidP="0085374E">
            <w:pPr>
              <w:spacing w:beforeLines="20" w:before="48" w:afterLines="20" w:after="48"/>
              <w:rPr>
                <w:sz w:val="16"/>
                <w:szCs w:val="16"/>
              </w:rPr>
            </w:pPr>
            <w:sdt>
              <w:sdtPr>
                <w:rPr>
                  <w:sz w:val="16"/>
                  <w:szCs w:val="16"/>
                </w:rPr>
                <w:id w:val="-1221588424"/>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Temperature sensors (transmitter, probes, e-switches)</w:t>
            </w:r>
          </w:p>
          <w:p w14:paraId="12F20424" w14:textId="77777777" w:rsidR="0085374E" w:rsidRPr="0085374E" w:rsidRDefault="00427B33" w:rsidP="0085374E">
            <w:pPr>
              <w:spacing w:beforeLines="20" w:before="48" w:afterLines="20" w:after="48"/>
              <w:rPr>
                <w:sz w:val="16"/>
                <w:szCs w:val="16"/>
              </w:rPr>
            </w:pPr>
            <w:sdt>
              <w:sdtPr>
                <w:rPr>
                  <w:sz w:val="16"/>
                  <w:szCs w:val="16"/>
                </w:rPr>
                <w:id w:val="10200110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Angle sensors (rotation measurement on mobile machines)</w:t>
            </w:r>
          </w:p>
          <w:p w14:paraId="69958DD3" w14:textId="77777777" w:rsidR="0085374E" w:rsidRPr="0085374E" w:rsidRDefault="00427B33" w:rsidP="0085374E">
            <w:pPr>
              <w:spacing w:beforeLines="20" w:before="48" w:afterLines="20" w:after="48"/>
              <w:rPr>
                <w:sz w:val="16"/>
                <w:szCs w:val="16"/>
              </w:rPr>
            </w:pPr>
            <w:sdt>
              <w:sdtPr>
                <w:rPr>
                  <w:sz w:val="16"/>
                  <w:szCs w:val="16"/>
                </w:rPr>
                <w:id w:val="9606399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Ultrasound sensors</w:t>
            </w:r>
          </w:p>
          <w:p w14:paraId="296ED310" w14:textId="77777777" w:rsidR="0085374E" w:rsidRPr="0085374E" w:rsidRDefault="00427B33" w:rsidP="0085374E">
            <w:pPr>
              <w:spacing w:beforeLines="20" w:before="48" w:afterLines="20" w:after="48"/>
              <w:rPr>
                <w:sz w:val="16"/>
                <w:szCs w:val="16"/>
              </w:rPr>
            </w:pPr>
            <w:sdt>
              <w:sdtPr>
                <w:rPr>
                  <w:sz w:val="16"/>
                  <w:szCs w:val="16"/>
                </w:rPr>
                <w:id w:val="-157812386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None</w:t>
            </w:r>
          </w:p>
          <w:p w14:paraId="1BA3C683" w14:textId="77777777" w:rsidR="0085374E" w:rsidRPr="0085374E" w:rsidRDefault="00427B33" w:rsidP="0085374E">
            <w:pPr>
              <w:spacing w:beforeLines="20" w:before="48" w:afterLines="20" w:after="48"/>
              <w:rPr>
                <w:b/>
                <w:sz w:val="16"/>
                <w:szCs w:val="16"/>
              </w:rPr>
            </w:pPr>
            <w:sdt>
              <w:sdtPr>
                <w:rPr>
                  <w:sz w:val="16"/>
                  <w:szCs w:val="16"/>
                </w:rPr>
                <w:id w:val="113861044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Other: (name please) </w:t>
            </w:r>
            <w:r w:rsidR="0085374E" w:rsidRPr="0085374E">
              <w:rPr>
                <w:sz w:val="16"/>
                <w:szCs w:val="16"/>
              </w:rPr>
              <w:softHyphen/>
              <w:t>____________________________________</w:t>
            </w:r>
          </w:p>
        </w:tc>
      </w:tr>
      <w:tr w:rsidR="0085374E" w:rsidRPr="0085374E" w14:paraId="5179553D" w14:textId="77777777" w:rsidTr="00926378">
        <w:tc>
          <w:tcPr>
            <w:tcW w:w="3397" w:type="dxa"/>
            <w:tcBorders>
              <w:top w:val="single" w:sz="4" w:space="0" w:color="auto"/>
              <w:bottom w:val="single" w:sz="4" w:space="0" w:color="auto"/>
            </w:tcBorders>
          </w:tcPr>
          <w:p w14:paraId="18677DE7" w14:textId="77777777" w:rsidR="0085374E" w:rsidRPr="0085374E" w:rsidRDefault="0085374E" w:rsidP="0085374E">
            <w:pPr>
              <w:pStyle w:val="ListParagraph"/>
              <w:numPr>
                <w:ilvl w:val="0"/>
                <w:numId w:val="34"/>
              </w:numPr>
              <w:spacing w:beforeLines="20" w:before="48" w:afterLines="20" w:after="48"/>
              <w:ind w:left="0" w:firstLine="0"/>
              <w:jc w:val="left"/>
              <w:rPr>
                <w:b/>
                <w:sz w:val="16"/>
                <w:szCs w:val="16"/>
              </w:rPr>
            </w:pPr>
            <w:r w:rsidRPr="0085374E">
              <w:rPr>
                <w:b/>
                <w:sz w:val="16"/>
                <w:szCs w:val="16"/>
              </w:rPr>
              <w:t>What type of instruments are you using for the oil contamination analysis program (check more boxes if necessary)?</w:t>
            </w:r>
          </w:p>
        </w:tc>
        <w:tc>
          <w:tcPr>
            <w:tcW w:w="5619" w:type="dxa"/>
            <w:gridSpan w:val="3"/>
            <w:tcBorders>
              <w:top w:val="single" w:sz="4" w:space="0" w:color="auto"/>
              <w:bottom w:val="single" w:sz="4" w:space="0" w:color="auto"/>
            </w:tcBorders>
          </w:tcPr>
          <w:p w14:paraId="5555CDE0" w14:textId="77777777" w:rsidR="0085374E" w:rsidRPr="0085374E" w:rsidRDefault="0085374E" w:rsidP="0085374E">
            <w:pPr>
              <w:spacing w:beforeLines="20" w:before="48" w:afterLines="20" w:after="48"/>
              <w:rPr>
                <w:b/>
                <w:sz w:val="16"/>
                <w:szCs w:val="16"/>
              </w:rPr>
            </w:pPr>
            <w:r w:rsidRPr="0085374E">
              <w:rPr>
                <w:b/>
                <w:sz w:val="16"/>
                <w:szCs w:val="16"/>
              </w:rPr>
              <w:t>Oil monitoring instruments:</w:t>
            </w:r>
          </w:p>
          <w:p w14:paraId="57C7E4BD" w14:textId="77777777" w:rsidR="0085374E" w:rsidRPr="0085374E" w:rsidRDefault="00427B33" w:rsidP="0085374E">
            <w:pPr>
              <w:spacing w:beforeLines="20" w:before="48" w:afterLines="20" w:after="48"/>
              <w:rPr>
                <w:sz w:val="16"/>
                <w:szCs w:val="16"/>
              </w:rPr>
            </w:pPr>
            <w:sdt>
              <w:sdtPr>
                <w:rPr>
                  <w:sz w:val="16"/>
                  <w:szCs w:val="16"/>
                </w:rPr>
                <w:id w:val="-126099138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Automatic Particle Counters (APC)</w:t>
            </w:r>
          </w:p>
          <w:p w14:paraId="2A9F02C0" w14:textId="77777777" w:rsidR="0085374E" w:rsidRPr="0085374E" w:rsidRDefault="00427B33" w:rsidP="0085374E">
            <w:pPr>
              <w:spacing w:beforeLines="20" w:before="48" w:afterLines="20" w:after="48"/>
              <w:rPr>
                <w:sz w:val="16"/>
                <w:szCs w:val="16"/>
              </w:rPr>
            </w:pPr>
            <w:sdt>
              <w:sdtPr>
                <w:rPr>
                  <w:sz w:val="16"/>
                  <w:szCs w:val="16"/>
                </w:rPr>
                <w:id w:val="-214395702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Metallic Contamination Sensor (MCS)</w:t>
            </w:r>
          </w:p>
          <w:p w14:paraId="31393C4B" w14:textId="77777777" w:rsidR="0085374E" w:rsidRPr="0085374E" w:rsidRDefault="00427B33" w:rsidP="0085374E">
            <w:pPr>
              <w:spacing w:beforeLines="20" w:before="48" w:afterLines="20" w:after="48"/>
              <w:rPr>
                <w:sz w:val="16"/>
                <w:szCs w:val="16"/>
              </w:rPr>
            </w:pPr>
            <w:sdt>
              <w:sdtPr>
                <w:rPr>
                  <w:sz w:val="16"/>
                  <w:szCs w:val="16"/>
                </w:rPr>
                <w:id w:val="-180252818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Water (Aqua) Sensors</w:t>
            </w:r>
          </w:p>
          <w:p w14:paraId="7BCADA17" w14:textId="77777777" w:rsidR="0085374E" w:rsidRPr="0085374E" w:rsidRDefault="00427B33" w:rsidP="0085374E">
            <w:pPr>
              <w:spacing w:beforeLines="20" w:before="48" w:afterLines="20" w:after="48"/>
              <w:rPr>
                <w:sz w:val="16"/>
                <w:szCs w:val="16"/>
              </w:rPr>
            </w:pPr>
            <w:sdt>
              <w:sdtPr>
                <w:rPr>
                  <w:sz w:val="16"/>
                  <w:szCs w:val="16"/>
                </w:rPr>
                <w:id w:val="-1730834567"/>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Viscometers</w:t>
            </w:r>
          </w:p>
          <w:p w14:paraId="301DA42F" w14:textId="77777777" w:rsidR="0085374E" w:rsidRPr="0085374E" w:rsidRDefault="00427B33" w:rsidP="0085374E">
            <w:pPr>
              <w:spacing w:beforeLines="20" w:before="48" w:afterLines="20" w:after="48"/>
              <w:rPr>
                <w:sz w:val="16"/>
                <w:szCs w:val="16"/>
              </w:rPr>
            </w:pPr>
            <w:sdt>
              <w:sdtPr>
                <w:rPr>
                  <w:sz w:val="16"/>
                  <w:szCs w:val="16"/>
                </w:rPr>
                <w:id w:val="-26145109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None</w:t>
            </w:r>
          </w:p>
          <w:p w14:paraId="7C30746A" w14:textId="77777777" w:rsidR="0085374E" w:rsidRPr="0085374E" w:rsidRDefault="00427B33" w:rsidP="0085374E">
            <w:pPr>
              <w:spacing w:beforeLines="20" w:before="48" w:afterLines="20" w:after="48"/>
              <w:rPr>
                <w:sz w:val="16"/>
                <w:szCs w:val="16"/>
              </w:rPr>
            </w:pPr>
            <w:sdt>
              <w:sdtPr>
                <w:rPr>
                  <w:sz w:val="16"/>
                  <w:szCs w:val="16"/>
                </w:rPr>
                <w:id w:val="-76330115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Other: (</w:t>
            </w:r>
            <w:r w:rsidR="0085374E" w:rsidRPr="0085374E">
              <w:rPr>
                <w:i/>
                <w:sz w:val="16"/>
                <w:szCs w:val="16"/>
              </w:rPr>
              <w:t>name please</w:t>
            </w:r>
            <w:r w:rsidR="0085374E" w:rsidRPr="0085374E">
              <w:rPr>
                <w:sz w:val="16"/>
                <w:szCs w:val="16"/>
              </w:rPr>
              <w:t xml:space="preserve">) </w:t>
            </w:r>
            <w:r w:rsidR="0085374E" w:rsidRPr="0085374E">
              <w:rPr>
                <w:sz w:val="16"/>
                <w:szCs w:val="16"/>
              </w:rPr>
              <w:softHyphen/>
              <w:t>____________________________________</w:t>
            </w:r>
          </w:p>
          <w:p w14:paraId="69EF0270" w14:textId="77777777" w:rsidR="0085374E" w:rsidRPr="0085374E" w:rsidRDefault="0085374E" w:rsidP="0085374E">
            <w:pPr>
              <w:spacing w:beforeLines="20" w:before="48" w:afterLines="20" w:after="48"/>
              <w:rPr>
                <w:sz w:val="16"/>
                <w:szCs w:val="16"/>
              </w:rPr>
            </w:pPr>
          </w:p>
          <w:p w14:paraId="113D6D50" w14:textId="77777777" w:rsidR="0085374E" w:rsidRPr="0085374E" w:rsidRDefault="0085374E" w:rsidP="0085374E">
            <w:pPr>
              <w:spacing w:beforeLines="20" w:before="48" w:afterLines="20" w:after="48"/>
              <w:rPr>
                <w:b/>
                <w:sz w:val="16"/>
                <w:szCs w:val="16"/>
              </w:rPr>
            </w:pPr>
            <w:r w:rsidRPr="0085374E">
              <w:rPr>
                <w:b/>
                <w:sz w:val="16"/>
                <w:szCs w:val="16"/>
              </w:rPr>
              <w:t>If you are using external oil analysis by laboratory (or you have your  own) what instruments are utilized for elemental analysis in hydraulic oil:</w:t>
            </w:r>
          </w:p>
          <w:p w14:paraId="7C975BBE" w14:textId="77777777" w:rsidR="0085374E" w:rsidRPr="0085374E" w:rsidRDefault="00427B33" w:rsidP="0085374E">
            <w:pPr>
              <w:spacing w:beforeLines="20" w:before="48" w:afterLines="20" w:after="48"/>
              <w:rPr>
                <w:sz w:val="16"/>
                <w:szCs w:val="16"/>
              </w:rPr>
            </w:pPr>
            <w:sdt>
              <w:sdtPr>
                <w:rPr>
                  <w:sz w:val="16"/>
                  <w:szCs w:val="16"/>
                </w:rPr>
                <w:id w:val="1695803934"/>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FTIR (Fourier-transform infrared spectroscopy)</w:t>
            </w:r>
          </w:p>
          <w:p w14:paraId="55A78561" w14:textId="77777777" w:rsidR="0085374E" w:rsidRPr="0085374E" w:rsidRDefault="00427B33" w:rsidP="0085374E">
            <w:pPr>
              <w:spacing w:beforeLines="20" w:before="48" w:afterLines="20" w:after="48"/>
              <w:rPr>
                <w:sz w:val="16"/>
                <w:szCs w:val="16"/>
              </w:rPr>
            </w:pPr>
            <w:sdt>
              <w:sdtPr>
                <w:rPr>
                  <w:sz w:val="16"/>
                  <w:szCs w:val="16"/>
                </w:rPr>
                <w:id w:val="-45109639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ICP-OES/AES (Inductively Coupled Plasma/Atomic Emission)</w:t>
            </w:r>
          </w:p>
          <w:p w14:paraId="16B4AFBC" w14:textId="77777777" w:rsidR="0085374E" w:rsidRPr="0085374E" w:rsidRDefault="00427B33" w:rsidP="0085374E">
            <w:pPr>
              <w:spacing w:beforeLines="20" w:before="48" w:afterLines="20" w:after="48"/>
              <w:rPr>
                <w:sz w:val="16"/>
                <w:szCs w:val="16"/>
              </w:rPr>
            </w:pPr>
            <w:sdt>
              <w:sdtPr>
                <w:rPr>
                  <w:sz w:val="16"/>
                  <w:szCs w:val="16"/>
                </w:rPr>
                <w:id w:val="-978146002"/>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AAS (Atomic Absorption Spectrometry)</w:t>
            </w:r>
          </w:p>
          <w:p w14:paraId="2CC67C71" w14:textId="77777777" w:rsidR="0085374E" w:rsidRPr="0085374E" w:rsidRDefault="00427B33" w:rsidP="0085374E">
            <w:pPr>
              <w:spacing w:beforeLines="20" w:before="48" w:afterLines="20" w:after="48"/>
              <w:rPr>
                <w:sz w:val="16"/>
                <w:szCs w:val="16"/>
              </w:rPr>
            </w:pPr>
            <w:sdt>
              <w:sdtPr>
                <w:rPr>
                  <w:sz w:val="16"/>
                  <w:szCs w:val="16"/>
                </w:rPr>
                <w:id w:val="-302160285"/>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AES (Atomic Emission Spectrometry)</w:t>
            </w:r>
          </w:p>
          <w:p w14:paraId="55A0B6EB" w14:textId="77777777" w:rsidR="0085374E" w:rsidRPr="0085374E" w:rsidRDefault="00427B33" w:rsidP="0085374E">
            <w:pPr>
              <w:spacing w:beforeLines="20" w:before="48" w:afterLines="20" w:after="48"/>
              <w:rPr>
                <w:sz w:val="16"/>
                <w:szCs w:val="16"/>
              </w:rPr>
            </w:pPr>
            <w:sdt>
              <w:sdtPr>
                <w:rPr>
                  <w:sz w:val="16"/>
                  <w:szCs w:val="16"/>
                </w:rPr>
                <w:id w:val="1978417692"/>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RDE-OES/AES (Rotating Disc Electrode)</w:t>
            </w:r>
          </w:p>
          <w:p w14:paraId="1196343C" w14:textId="77777777" w:rsidR="0085374E" w:rsidRPr="0085374E" w:rsidRDefault="00427B33" w:rsidP="0085374E">
            <w:pPr>
              <w:spacing w:beforeLines="20" w:before="48" w:afterLines="20" w:after="48"/>
              <w:rPr>
                <w:sz w:val="16"/>
                <w:szCs w:val="16"/>
              </w:rPr>
            </w:pPr>
            <w:sdt>
              <w:sdtPr>
                <w:rPr>
                  <w:sz w:val="16"/>
                  <w:szCs w:val="16"/>
                </w:rPr>
                <w:id w:val="137010711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X-ray spectrometry</w:t>
            </w:r>
          </w:p>
          <w:p w14:paraId="4A5E93A0" w14:textId="77777777" w:rsidR="0085374E" w:rsidRPr="0085374E" w:rsidRDefault="00427B33" w:rsidP="0085374E">
            <w:pPr>
              <w:spacing w:beforeLines="20" w:before="48" w:afterLines="20" w:after="48"/>
              <w:rPr>
                <w:sz w:val="16"/>
                <w:szCs w:val="16"/>
              </w:rPr>
            </w:pPr>
            <w:sdt>
              <w:sdtPr>
                <w:rPr>
                  <w:sz w:val="16"/>
                  <w:szCs w:val="16"/>
                </w:rPr>
                <w:id w:val="-784652987"/>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None</w:t>
            </w:r>
          </w:p>
          <w:p w14:paraId="295232F3" w14:textId="77777777" w:rsidR="0085374E" w:rsidRPr="0085374E" w:rsidRDefault="00427B33" w:rsidP="0085374E">
            <w:pPr>
              <w:spacing w:beforeLines="20" w:before="48" w:afterLines="20" w:after="48"/>
              <w:rPr>
                <w:sz w:val="16"/>
                <w:szCs w:val="16"/>
              </w:rPr>
            </w:pPr>
            <w:sdt>
              <w:sdtPr>
                <w:rPr>
                  <w:sz w:val="16"/>
                  <w:szCs w:val="16"/>
                </w:rPr>
                <w:id w:val="-1140491489"/>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Other: (</w:t>
            </w:r>
            <w:r w:rsidR="0085374E" w:rsidRPr="0085374E">
              <w:rPr>
                <w:i/>
                <w:sz w:val="16"/>
                <w:szCs w:val="16"/>
              </w:rPr>
              <w:t>name please</w:t>
            </w:r>
            <w:r w:rsidR="0085374E" w:rsidRPr="0085374E">
              <w:rPr>
                <w:sz w:val="16"/>
                <w:szCs w:val="16"/>
              </w:rPr>
              <w:t xml:space="preserve">) </w:t>
            </w:r>
            <w:r w:rsidR="0085374E" w:rsidRPr="0085374E">
              <w:rPr>
                <w:sz w:val="16"/>
                <w:szCs w:val="16"/>
              </w:rPr>
              <w:softHyphen/>
              <w:t>____________________________________</w:t>
            </w:r>
          </w:p>
        </w:tc>
      </w:tr>
      <w:tr w:rsidR="0085374E" w:rsidRPr="0085374E" w14:paraId="464F177F" w14:textId="77777777" w:rsidTr="00926378">
        <w:tc>
          <w:tcPr>
            <w:tcW w:w="3397" w:type="dxa"/>
            <w:tcBorders>
              <w:top w:val="single" w:sz="4" w:space="0" w:color="auto"/>
              <w:bottom w:val="single" w:sz="4" w:space="0" w:color="auto"/>
            </w:tcBorders>
          </w:tcPr>
          <w:p w14:paraId="36C7F182" w14:textId="77777777" w:rsidR="0085374E" w:rsidRPr="0085374E" w:rsidRDefault="0085374E" w:rsidP="0085374E">
            <w:pPr>
              <w:pStyle w:val="ListParagraph"/>
              <w:numPr>
                <w:ilvl w:val="0"/>
                <w:numId w:val="34"/>
              </w:numPr>
              <w:spacing w:beforeLines="20" w:before="48" w:afterLines="20" w:after="48"/>
              <w:ind w:left="0" w:firstLine="0"/>
              <w:jc w:val="left"/>
              <w:rPr>
                <w:b/>
                <w:sz w:val="16"/>
                <w:szCs w:val="16"/>
              </w:rPr>
            </w:pPr>
            <w:r w:rsidRPr="0085374E">
              <w:rPr>
                <w:b/>
                <w:sz w:val="16"/>
                <w:szCs w:val="16"/>
              </w:rPr>
              <w:t>What mathematical or statistical tools are you employing for analysis and maintenance-decision making (check more boxes if necessary)?</w:t>
            </w:r>
          </w:p>
        </w:tc>
        <w:tc>
          <w:tcPr>
            <w:tcW w:w="5619" w:type="dxa"/>
            <w:gridSpan w:val="3"/>
            <w:tcBorders>
              <w:top w:val="single" w:sz="4" w:space="0" w:color="auto"/>
              <w:bottom w:val="single" w:sz="4" w:space="0" w:color="auto"/>
            </w:tcBorders>
          </w:tcPr>
          <w:p w14:paraId="2F88D4BB" w14:textId="77777777" w:rsidR="0085374E" w:rsidRPr="0085374E" w:rsidRDefault="0085374E" w:rsidP="0085374E">
            <w:pPr>
              <w:spacing w:beforeLines="20" w:before="48" w:afterLines="20" w:after="48"/>
              <w:rPr>
                <w:b/>
                <w:sz w:val="16"/>
                <w:szCs w:val="16"/>
              </w:rPr>
            </w:pPr>
            <w:r w:rsidRPr="0085374E">
              <w:rPr>
                <w:b/>
                <w:sz w:val="16"/>
                <w:szCs w:val="16"/>
              </w:rPr>
              <w:t>Mathematical/Statistical tools for maintenance decision making:</w:t>
            </w:r>
          </w:p>
          <w:p w14:paraId="2F55CEDE" w14:textId="77777777" w:rsidR="0085374E" w:rsidRPr="0085374E" w:rsidRDefault="00427B33" w:rsidP="0085374E">
            <w:pPr>
              <w:spacing w:beforeLines="20" w:before="48" w:afterLines="20" w:after="48"/>
              <w:rPr>
                <w:sz w:val="16"/>
                <w:szCs w:val="16"/>
              </w:rPr>
            </w:pPr>
            <w:sdt>
              <w:sdtPr>
                <w:rPr>
                  <w:sz w:val="16"/>
                  <w:szCs w:val="16"/>
                </w:rPr>
                <w:id w:val="1029993945"/>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Regression analysis (least squares, linear, polynomial, etc.)</w:t>
            </w:r>
          </w:p>
          <w:p w14:paraId="09EDF8B0" w14:textId="77777777" w:rsidR="0085374E" w:rsidRPr="0085374E" w:rsidRDefault="00427B33" w:rsidP="0085374E">
            <w:pPr>
              <w:spacing w:beforeLines="20" w:before="48" w:afterLines="20" w:after="48"/>
              <w:rPr>
                <w:sz w:val="16"/>
                <w:szCs w:val="16"/>
              </w:rPr>
            </w:pPr>
            <w:sdt>
              <w:sdtPr>
                <w:rPr>
                  <w:sz w:val="16"/>
                  <w:szCs w:val="16"/>
                </w:rPr>
                <w:id w:val="-1486625914"/>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Survival analysis (reliability theory, proportional hazard modelling, etc.)</w:t>
            </w:r>
          </w:p>
          <w:p w14:paraId="096A29D8" w14:textId="77777777" w:rsidR="0085374E" w:rsidRPr="0085374E" w:rsidRDefault="00427B33" w:rsidP="0085374E">
            <w:pPr>
              <w:spacing w:beforeLines="20" w:before="48" w:afterLines="20" w:after="48"/>
              <w:rPr>
                <w:sz w:val="16"/>
                <w:szCs w:val="16"/>
              </w:rPr>
            </w:pPr>
            <w:sdt>
              <w:sdtPr>
                <w:rPr>
                  <w:sz w:val="16"/>
                  <w:szCs w:val="16"/>
                </w:rPr>
                <w:id w:val="-1680885945"/>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Decision tree analysis (FTA)</w:t>
            </w:r>
          </w:p>
          <w:p w14:paraId="48D3F5E5" w14:textId="77777777" w:rsidR="0085374E" w:rsidRPr="0085374E" w:rsidRDefault="00427B33" w:rsidP="0085374E">
            <w:pPr>
              <w:spacing w:beforeLines="20" w:before="48" w:afterLines="20" w:after="48"/>
              <w:rPr>
                <w:sz w:val="16"/>
                <w:szCs w:val="16"/>
              </w:rPr>
            </w:pPr>
            <w:sdt>
              <w:sdtPr>
                <w:rPr>
                  <w:sz w:val="16"/>
                  <w:szCs w:val="16"/>
                </w:rPr>
                <w:id w:val="1288703057"/>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FMEA (or FMECA) analysis</w:t>
            </w:r>
          </w:p>
          <w:p w14:paraId="068D3566" w14:textId="77777777" w:rsidR="0085374E" w:rsidRPr="0085374E" w:rsidRDefault="00427B33" w:rsidP="0085374E">
            <w:pPr>
              <w:spacing w:beforeLines="20" w:before="48" w:afterLines="20" w:after="48"/>
              <w:rPr>
                <w:sz w:val="16"/>
                <w:szCs w:val="16"/>
              </w:rPr>
            </w:pPr>
            <w:sdt>
              <w:sdtPr>
                <w:rPr>
                  <w:sz w:val="16"/>
                  <w:szCs w:val="16"/>
                </w:rPr>
                <w:id w:val="58449926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Multi-criteria decision-making analysis (MCDM)</w:t>
            </w:r>
          </w:p>
          <w:p w14:paraId="72465069" w14:textId="77777777" w:rsidR="0085374E" w:rsidRPr="0085374E" w:rsidRDefault="00427B33" w:rsidP="0085374E">
            <w:pPr>
              <w:spacing w:beforeLines="20" w:before="48" w:afterLines="20" w:after="48"/>
              <w:rPr>
                <w:sz w:val="16"/>
                <w:szCs w:val="16"/>
              </w:rPr>
            </w:pPr>
            <w:sdt>
              <w:sdtPr>
                <w:rPr>
                  <w:sz w:val="16"/>
                  <w:szCs w:val="16"/>
                </w:rPr>
                <w:id w:val="328877098"/>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Quality control charts (XR charts, XS charts, </w:t>
            </w:r>
            <w:r w:rsidR="0085374E" w:rsidRPr="0085374E">
              <w:rPr>
                <w:i/>
                <w:sz w:val="16"/>
                <w:szCs w:val="16"/>
              </w:rPr>
              <w:t xml:space="preserve">p </w:t>
            </w:r>
            <w:r w:rsidR="0085374E" w:rsidRPr="0085374E">
              <w:rPr>
                <w:sz w:val="16"/>
                <w:szCs w:val="16"/>
              </w:rPr>
              <w:t xml:space="preserve">chart, </w:t>
            </w:r>
            <w:r w:rsidR="0085374E" w:rsidRPr="0085374E">
              <w:rPr>
                <w:i/>
                <w:sz w:val="16"/>
                <w:szCs w:val="16"/>
              </w:rPr>
              <w:t>u</w:t>
            </w:r>
            <w:r w:rsidR="0085374E" w:rsidRPr="0085374E">
              <w:rPr>
                <w:sz w:val="16"/>
                <w:szCs w:val="16"/>
              </w:rPr>
              <w:t xml:space="preserve"> chart, etc.)</w:t>
            </w:r>
          </w:p>
          <w:p w14:paraId="0E87BB7E" w14:textId="77777777" w:rsidR="0085374E" w:rsidRPr="0085374E" w:rsidRDefault="00427B33" w:rsidP="0085374E">
            <w:pPr>
              <w:spacing w:beforeLines="20" w:before="48" w:afterLines="20" w:after="48"/>
              <w:rPr>
                <w:sz w:val="16"/>
                <w:szCs w:val="16"/>
              </w:rPr>
            </w:pPr>
            <w:sdt>
              <w:sdtPr>
                <w:rPr>
                  <w:sz w:val="16"/>
                  <w:szCs w:val="16"/>
                </w:rPr>
                <w:id w:val="-1036889795"/>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Mathematical modelling</w:t>
            </w:r>
          </w:p>
          <w:p w14:paraId="08308141" w14:textId="77777777" w:rsidR="0085374E" w:rsidRPr="0085374E" w:rsidRDefault="00427B33" w:rsidP="0085374E">
            <w:pPr>
              <w:spacing w:beforeLines="20" w:before="48" w:afterLines="20" w:after="48"/>
              <w:rPr>
                <w:sz w:val="16"/>
                <w:szCs w:val="16"/>
              </w:rPr>
            </w:pPr>
            <w:sdt>
              <w:sdtPr>
                <w:rPr>
                  <w:sz w:val="16"/>
                  <w:szCs w:val="16"/>
                </w:rPr>
                <w:id w:val="1200736845"/>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None</w:t>
            </w:r>
          </w:p>
          <w:p w14:paraId="47DB6218" w14:textId="77777777" w:rsidR="0085374E" w:rsidRPr="0085374E" w:rsidRDefault="00427B33" w:rsidP="0085374E">
            <w:pPr>
              <w:spacing w:beforeLines="20" w:before="48" w:afterLines="20" w:after="48"/>
              <w:rPr>
                <w:sz w:val="16"/>
                <w:szCs w:val="16"/>
              </w:rPr>
            </w:pPr>
            <w:sdt>
              <w:sdtPr>
                <w:rPr>
                  <w:sz w:val="16"/>
                  <w:szCs w:val="16"/>
                </w:rPr>
                <w:id w:val="-43651694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Other: (</w:t>
            </w:r>
            <w:r w:rsidR="0085374E" w:rsidRPr="0085374E">
              <w:rPr>
                <w:i/>
                <w:sz w:val="16"/>
                <w:szCs w:val="16"/>
              </w:rPr>
              <w:t>name please</w:t>
            </w:r>
            <w:r w:rsidR="0085374E" w:rsidRPr="0085374E">
              <w:rPr>
                <w:sz w:val="16"/>
                <w:szCs w:val="16"/>
              </w:rPr>
              <w:t xml:space="preserve">) </w:t>
            </w:r>
            <w:r w:rsidR="0085374E" w:rsidRPr="0085374E">
              <w:rPr>
                <w:sz w:val="16"/>
                <w:szCs w:val="16"/>
              </w:rPr>
              <w:softHyphen/>
              <w:t>____________________________________</w:t>
            </w:r>
          </w:p>
        </w:tc>
      </w:tr>
      <w:tr w:rsidR="0085374E" w:rsidRPr="0085374E" w14:paraId="32659CFF" w14:textId="77777777" w:rsidTr="00926378">
        <w:tc>
          <w:tcPr>
            <w:tcW w:w="3397" w:type="dxa"/>
            <w:tcBorders>
              <w:top w:val="single" w:sz="4" w:space="0" w:color="auto"/>
              <w:bottom w:val="single" w:sz="4" w:space="0" w:color="auto"/>
            </w:tcBorders>
          </w:tcPr>
          <w:p w14:paraId="634548BD" w14:textId="77777777" w:rsidR="0085374E" w:rsidRPr="0085374E" w:rsidRDefault="0085374E" w:rsidP="0085374E">
            <w:pPr>
              <w:pStyle w:val="ListParagraph"/>
              <w:numPr>
                <w:ilvl w:val="0"/>
                <w:numId w:val="34"/>
              </w:numPr>
              <w:spacing w:beforeLines="20" w:before="48" w:afterLines="20" w:after="48"/>
              <w:ind w:left="0" w:firstLine="0"/>
              <w:jc w:val="left"/>
              <w:rPr>
                <w:b/>
                <w:sz w:val="16"/>
                <w:szCs w:val="16"/>
              </w:rPr>
            </w:pPr>
            <w:r w:rsidRPr="0085374E">
              <w:rPr>
                <w:b/>
                <w:sz w:val="16"/>
                <w:szCs w:val="16"/>
              </w:rPr>
              <w:t>How old is your hydraulic equipment (aeroplanes)?</w:t>
            </w:r>
          </w:p>
        </w:tc>
        <w:tc>
          <w:tcPr>
            <w:tcW w:w="2809" w:type="dxa"/>
            <w:tcBorders>
              <w:top w:val="single" w:sz="4" w:space="0" w:color="auto"/>
              <w:bottom w:val="single" w:sz="4" w:space="0" w:color="auto"/>
            </w:tcBorders>
          </w:tcPr>
          <w:p w14:paraId="7404602F" w14:textId="77777777" w:rsidR="0085374E" w:rsidRPr="0085374E" w:rsidRDefault="00427B33" w:rsidP="0085374E">
            <w:pPr>
              <w:spacing w:beforeLines="20" w:before="48" w:afterLines="20" w:after="48"/>
              <w:rPr>
                <w:sz w:val="16"/>
                <w:szCs w:val="16"/>
              </w:rPr>
            </w:pPr>
            <w:sdt>
              <w:sdtPr>
                <w:rPr>
                  <w:sz w:val="16"/>
                  <w:szCs w:val="16"/>
                </w:rPr>
                <w:id w:val="-1821568207"/>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From 1 – 5 years no. machines:_</w:t>
            </w:r>
          </w:p>
          <w:p w14:paraId="66EAEFFF" w14:textId="77777777" w:rsidR="0085374E" w:rsidRPr="0085374E" w:rsidRDefault="00427B33" w:rsidP="0085374E">
            <w:pPr>
              <w:spacing w:beforeLines="20" w:before="48" w:afterLines="20" w:after="48"/>
              <w:rPr>
                <w:sz w:val="16"/>
                <w:szCs w:val="16"/>
              </w:rPr>
            </w:pPr>
            <w:sdt>
              <w:sdtPr>
                <w:rPr>
                  <w:sz w:val="16"/>
                  <w:szCs w:val="16"/>
                </w:rPr>
                <w:id w:val="-204096670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From 05 – 10 y. no. machines:__</w:t>
            </w:r>
          </w:p>
          <w:p w14:paraId="5E05EC77" w14:textId="77777777" w:rsidR="0085374E" w:rsidRPr="0085374E" w:rsidRDefault="00427B33" w:rsidP="0085374E">
            <w:pPr>
              <w:spacing w:beforeLines="20" w:before="48" w:afterLines="20" w:after="48"/>
              <w:rPr>
                <w:sz w:val="16"/>
                <w:szCs w:val="16"/>
              </w:rPr>
            </w:pPr>
            <w:sdt>
              <w:sdtPr>
                <w:rPr>
                  <w:sz w:val="16"/>
                  <w:szCs w:val="16"/>
                </w:rPr>
                <w:id w:val="923079304"/>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From 10 – 15 y. no. machines:__</w:t>
            </w:r>
          </w:p>
          <w:p w14:paraId="244D817A" w14:textId="77777777" w:rsidR="0085374E" w:rsidRPr="0085374E" w:rsidRDefault="00427B33" w:rsidP="0085374E">
            <w:pPr>
              <w:spacing w:beforeLines="20" w:before="48" w:afterLines="20" w:after="48"/>
              <w:rPr>
                <w:sz w:val="16"/>
                <w:szCs w:val="16"/>
              </w:rPr>
            </w:pPr>
            <w:sdt>
              <w:sdtPr>
                <w:rPr>
                  <w:sz w:val="16"/>
                  <w:szCs w:val="16"/>
                </w:rPr>
                <w:id w:val="1558906557"/>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From 15 –20 y. no. machines:__</w:t>
            </w:r>
          </w:p>
          <w:p w14:paraId="4C6CDC8B" w14:textId="77777777" w:rsidR="0085374E" w:rsidRPr="0085374E" w:rsidRDefault="00427B33" w:rsidP="0085374E">
            <w:pPr>
              <w:spacing w:beforeLines="20" w:before="48" w:afterLines="20" w:after="48"/>
              <w:rPr>
                <w:sz w:val="16"/>
                <w:szCs w:val="16"/>
              </w:rPr>
            </w:pPr>
            <w:sdt>
              <w:sdtPr>
                <w:rPr>
                  <w:sz w:val="16"/>
                  <w:szCs w:val="16"/>
                </w:rPr>
                <w:id w:val="920758918"/>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From 20 – 25 y. no. machines:__</w:t>
            </w:r>
          </w:p>
          <w:p w14:paraId="07559552" w14:textId="77777777" w:rsidR="0085374E" w:rsidRPr="0085374E" w:rsidRDefault="00427B33" w:rsidP="0085374E">
            <w:pPr>
              <w:spacing w:beforeLines="20" w:before="48" w:afterLines="20" w:after="48"/>
              <w:rPr>
                <w:sz w:val="16"/>
                <w:szCs w:val="16"/>
              </w:rPr>
            </w:pPr>
            <w:sdt>
              <w:sdtPr>
                <w:rPr>
                  <w:sz w:val="16"/>
                  <w:szCs w:val="16"/>
                </w:rPr>
                <w:id w:val="53547094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From 25 – 30 y. no. machines:__</w:t>
            </w:r>
          </w:p>
          <w:p w14:paraId="794E0F93" w14:textId="77777777" w:rsidR="0085374E" w:rsidRPr="0085374E" w:rsidRDefault="00427B33" w:rsidP="0085374E">
            <w:pPr>
              <w:spacing w:beforeLines="20" w:before="48" w:afterLines="20" w:after="48"/>
              <w:rPr>
                <w:sz w:val="16"/>
                <w:szCs w:val="16"/>
              </w:rPr>
            </w:pPr>
            <w:sdt>
              <w:sdtPr>
                <w:rPr>
                  <w:sz w:val="16"/>
                  <w:szCs w:val="16"/>
                </w:rPr>
                <w:id w:val="1340969802"/>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From 30 – 35 y. no. machines:__</w:t>
            </w:r>
          </w:p>
        </w:tc>
        <w:tc>
          <w:tcPr>
            <w:tcW w:w="2810" w:type="dxa"/>
            <w:gridSpan w:val="2"/>
            <w:tcBorders>
              <w:top w:val="single" w:sz="4" w:space="0" w:color="auto"/>
              <w:bottom w:val="single" w:sz="4" w:space="0" w:color="auto"/>
            </w:tcBorders>
          </w:tcPr>
          <w:p w14:paraId="42B881B9" w14:textId="77777777" w:rsidR="0085374E" w:rsidRPr="0085374E" w:rsidRDefault="00427B33" w:rsidP="0085374E">
            <w:pPr>
              <w:spacing w:beforeLines="20" w:before="48" w:afterLines="20" w:after="48"/>
              <w:rPr>
                <w:sz w:val="16"/>
                <w:szCs w:val="16"/>
              </w:rPr>
            </w:pPr>
            <w:sdt>
              <w:sdtPr>
                <w:rPr>
                  <w:sz w:val="16"/>
                  <w:szCs w:val="16"/>
                </w:rPr>
                <w:id w:val="121801677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From 35 – 40 y. no. machines:__</w:t>
            </w:r>
          </w:p>
          <w:p w14:paraId="3B5571D8" w14:textId="77777777" w:rsidR="0085374E" w:rsidRPr="0085374E" w:rsidRDefault="00427B33" w:rsidP="0085374E">
            <w:pPr>
              <w:spacing w:beforeLines="20" w:before="48" w:afterLines="20" w:after="48"/>
              <w:rPr>
                <w:sz w:val="16"/>
                <w:szCs w:val="16"/>
              </w:rPr>
            </w:pPr>
            <w:sdt>
              <w:sdtPr>
                <w:rPr>
                  <w:sz w:val="16"/>
                  <w:szCs w:val="16"/>
                </w:rPr>
                <w:id w:val="-776248186"/>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From 40 – 45 y. no. machines:__</w:t>
            </w:r>
          </w:p>
          <w:p w14:paraId="57FD4AED" w14:textId="77777777" w:rsidR="0085374E" w:rsidRPr="0085374E" w:rsidRDefault="00427B33" w:rsidP="0085374E">
            <w:pPr>
              <w:spacing w:beforeLines="20" w:before="48" w:afterLines="20" w:after="48"/>
              <w:rPr>
                <w:sz w:val="16"/>
                <w:szCs w:val="16"/>
              </w:rPr>
            </w:pPr>
            <w:sdt>
              <w:sdtPr>
                <w:rPr>
                  <w:sz w:val="16"/>
                  <w:szCs w:val="16"/>
                </w:rPr>
                <w:id w:val="-205207403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From 45 – 50 y. no. machines:__</w:t>
            </w:r>
          </w:p>
          <w:p w14:paraId="2B304FAC" w14:textId="77777777" w:rsidR="0085374E" w:rsidRPr="0085374E" w:rsidRDefault="00427B33" w:rsidP="0085374E">
            <w:pPr>
              <w:spacing w:beforeLines="20" w:before="48" w:afterLines="20" w:after="48"/>
              <w:rPr>
                <w:sz w:val="16"/>
                <w:szCs w:val="16"/>
              </w:rPr>
            </w:pPr>
            <w:sdt>
              <w:sdtPr>
                <w:rPr>
                  <w:sz w:val="16"/>
                  <w:szCs w:val="16"/>
                </w:rPr>
                <w:id w:val="-1071108169"/>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From 50 – 55 y. no. machines:__</w:t>
            </w:r>
          </w:p>
          <w:p w14:paraId="776D50B3" w14:textId="77777777" w:rsidR="0085374E" w:rsidRPr="0085374E" w:rsidRDefault="00427B33" w:rsidP="0085374E">
            <w:pPr>
              <w:spacing w:beforeLines="20" w:before="48" w:afterLines="20" w:after="48"/>
              <w:rPr>
                <w:sz w:val="16"/>
                <w:szCs w:val="16"/>
              </w:rPr>
            </w:pPr>
            <w:sdt>
              <w:sdtPr>
                <w:rPr>
                  <w:sz w:val="16"/>
                  <w:szCs w:val="16"/>
                </w:rPr>
                <w:id w:val="-165143219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From 55 – 60 y. no. machines:__</w:t>
            </w:r>
          </w:p>
          <w:p w14:paraId="37BDCD5A" w14:textId="77777777" w:rsidR="0085374E" w:rsidRPr="0085374E" w:rsidRDefault="00427B33" w:rsidP="0085374E">
            <w:pPr>
              <w:spacing w:beforeLines="20" w:before="48" w:afterLines="20" w:after="48"/>
              <w:rPr>
                <w:sz w:val="16"/>
                <w:szCs w:val="16"/>
              </w:rPr>
            </w:pPr>
            <w:sdt>
              <w:sdtPr>
                <w:rPr>
                  <w:sz w:val="16"/>
                  <w:szCs w:val="16"/>
                </w:rPr>
                <w:id w:val="-261684225"/>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From 60 – 70 y. no. machines:__</w:t>
            </w:r>
          </w:p>
          <w:p w14:paraId="077BC5F3" w14:textId="77777777" w:rsidR="0085374E" w:rsidRPr="0085374E" w:rsidRDefault="00427B33" w:rsidP="0085374E">
            <w:pPr>
              <w:spacing w:beforeLines="20" w:before="48" w:afterLines="20" w:after="48"/>
              <w:rPr>
                <w:sz w:val="16"/>
                <w:szCs w:val="16"/>
              </w:rPr>
            </w:pPr>
            <w:sdt>
              <w:sdtPr>
                <w:rPr>
                  <w:sz w:val="16"/>
                  <w:szCs w:val="16"/>
                </w:rPr>
                <w:id w:val="-1774385897"/>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Other or specific:___________ </w:t>
            </w:r>
          </w:p>
        </w:tc>
      </w:tr>
      <w:tr w:rsidR="0085374E" w:rsidRPr="0085374E" w14:paraId="3691201E" w14:textId="77777777" w:rsidTr="00926378">
        <w:tc>
          <w:tcPr>
            <w:tcW w:w="3397" w:type="dxa"/>
            <w:tcBorders>
              <w:top w:val="single" w:sz="4" w:space="0" w:color="auto"/>
              <w:bottom w:val="single" w:sz="4" w:space="0" w:color="auto"/>
            </w:tcBorders>
          </w:tcPr>
          <w:p w14:paraId="7F44B26F" w14:textId="77777777" w:rsidR="0085374E" w:rsidRPr="0085374E" w:rsidRDefault="0085374E" w:rsidP="0085374E">
            <w:pPr>
              <w:pStyle w:val="ListParagraph"/>
              <w:numPr>
                <w:ilvl w:val="0"/>
                <w:numId w:val="34"/>
              </w:numPr>
              <w:spacing w:beforeLines="20" w:before="48" w:afterLines="20" w:after="48"/>
              <w:ind w:left="0" w:firstLine="0"/>
              <w:jc w:val="left"/>
              <w:rPr>
                <w:b/>
                <w:sz w:val="16"/>
                <w:szCs w:val="16"/>
              </w:rPr>
            </w:pPr>
            <w:r w:rsidRPr="0085374E">
              <w:rPr>
                <w:b/>
                <w:sz w:val="16"/>
                <w:szCs w:val="16"/>
              </w:rPr>
              <w:t>What is the average time between failures (TBF) of your hydraulic machinery?</w:t>
            </w:r>
          </w:p>
        </w:tc>
        <w:tc>
          <w:tcPr>
            <w:tcW w:w="2809" w:type="dxa"/>
            <w:tcBorders>
              <w:top w:val="single" w:sz="4" w:space="0" w:color="auto"/>
              <w:bottom w:val="single" w:sz="4" w:space="0" w:color="auto"/>
            </w:tcBorders>
          </w:tcPr>
          <w:p w14:paraId="097E3753" w14:textId="77777777" w:rsidR="0085374E" w:rsidRPr="0085374E" w:rsidRDefault="0085374E" w:rsidP="0085374E">
            <w:pPr>
              <w:spacing w:beforeLines="20" w:before="48" w:afterLines="20" w:after="48"/>
              <w:rPr>
                <w:b/>
                <w:sz w:val="16"/>
                <w:szCs w:val="16"/>
              </w:rPr>
            </w:pPr>
            <w:r w:rsidRPr="0085374E">
              <w:rPr>
                <w:b/>
                <w:sz w:val="16"/>
                <w:szCs w:val="16"/>
              </w:rPr>
              <w:t>Time-between-failures in hours:</w:t>
            </w:r>
          </w:p>
          <w:p w14:paraId="4A1D2D50" w14:textId="77777777" w:rsidR="0085374E" w:rsidRPr="0085374E" w:rsidRDefault="00427B33" w:rsidP="0085374E">
            <w:pPr>
              <w:spacing w:beforeLines="20" w:before="48" w:afterLines="20" w:after="48"/>
              <w:rPr>
                <w:sz w:val="16"/>
                <w:szCs w:val="16"/>
              </w:rPr>
            </w:pPr>
            <w:sdt>
              <w:sdtPr>
                <w:rPr>
                  <w:sz w:val="16"/>
                  <w:szCs w:val="16"/>
                </w:rPr>
                <w:id w:val="70884321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0 - 100 hours</w:t>
            </w:r>
          </w:p>
          <w:p w14:paraId="5C603ED0" w14:textId="77777777" w:rsidR="0085374E" w:rsidRPr="0085374E" w:rsidRDefault="00427B33" w:rsidP="0085374E">
            <w:pPr>
              <w:spacing w:beforeLines="20" w:before="48" w:afterLines="20" w:after="48"/>
              <w:rPr>
                <w:sz w:val="16"/>
                <w:szCs w:val="16"/>
              </w:rPr>
            </w:pPr>
            <w:sdt>
              <w:sdtPr>
                <w:rPr>
                  <w:sz w:val="16"/>
                  <w:szCs w:val="16"/>
                </w:rPr>
                <w:id w:val="31238283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100 – 200 hours</w:t>
            </w:r>
          </w:p>
          <w:p w14:paraId="735688DA" w14:textId="77777777" w:rsidR="0085374E" w:rsidRPr="0085374E" w:rsidRDefault="00427B33" w:rsidP="0085374E">
            <w:pPr>
              <w:spacing w:beforeLines="20" w:before="48" w:afterLines="20" w:after="48"/>
              <w:rPr>
                <w:sz w:val="16"/>
                <w:szCs w:val="16"/>
              </w:rPr>
            </w:pPr>
            <w:sdt>
              <w:sdtPr>
                <w:rPr>
                  <w:sz w:val="16"/>
                  <w:szCs w:val="16"/>
                </w:rPr>
                <w:id w:val="2530559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200 – 300 hours</w:t>
            </w:r>
          </w:p>
          <w:p w14:paraId="59CD047C" w14:textId="77777777" w:rsidR="0085374E" w:rsidRPr="0085374E" w:rsidRDefault="00427B33" w:rsidP="0085374E">
            <w:pPr>
              <w:spacing w:beforeLines="20" w:before="48" w:afterLines="20" w:after="48"/>
              <w:rPr>
                <w:sz w:val="16"/>
                <w:szCs w:val="16"/>
              </w:rPr>
            </w:pPr>
            <w:sdt>
              <w:sdtPr>
                <w:rPr>
                  <w:sz w:val="16"/>
                  <w:szCs w:val="16"/>
                </w:rPr>
                <w:id w:val="156853957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300 – 400 hours</w:t>
            </w:r>
          </w:p>
          <w:p w14:paraId="2931FB77" w14:textId="77777777" w:rsidR="0085374E" w:rsidRPr="0085374E" w:rsidRDefault="00427B33" w:rsidP="0085374E">
            <w:pPr>
              <w:spacing w:beforeLines="20" w:before="48" w:afterLines="20" w:after="48"/>
              <w:rPr>
                <w:sz w:val="16"/>
                <w:szCs w:val="16"/>
              </w:rPr>
            </w:pPr>
            <w:sdt>
              <w:sdtPr>
                <w:rPr>
                  <w:sz w:val="16"/>
                  <w:szCs w:val="16"/>
                </w:rPr>
                <w:id w:val="1068772518"/>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400 – 500 hours</w:t>
            </w:r>
          </w:p>
          <w:p w14:paraId="7D88C5B7" w14:textId="77777777" w:rsidR="0085374E" w:rsidRPr="0085374E" w:rsidRDefault="00427B33" w:rsidP="0085374E">
            <w:pPr>
              <w:spacing w:beforeLines="20" w:before="48" w:afterLines="20" w:after="48"/>
              <w:rPr>
                <w:sz w:val="16"/>
                <w:szCs w:val="16"/>
              </w:rPr>
            </w:pPr>
            <w:sdt>
              <w:sdtPr>
                <w:rPr>
                  <w:sz w:val="16"/>
                  <w:szCs w:val="16"/>
                </w:rPr>
                <w:id w:val="-1351406124"/>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500 – 600 hours</w:t>
            </w:r>
          </w:p>
          <w:p w14:paraId="0315F43F" w14:textId="77777777" w:rsidR="0085374E" w:rsidRPr="0085374E" w:rsidRDefault="00427B33" w:rsidP="0085374E">
            <w:pPr>
              <w:spacing w:beforeLines="20" w:before="48" w:afterLines="20" w:after="48"/>
              <w:rPr>
                <w:sz w:val="16"/>
                <w:szCs w:val="16"/>
              </w:rPr>
            </w:pPr>
            <w:sdt>
              <w:sdtPr>
                <w:rPr>
                  <w:sz w:val="16"/>
                  <w:szCs w:val="16"/>
                </w:rPr>
                <w:id w:val="607936337"/>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600 – 700 hours</w:t>
            </w:r>
          </w:p>
          <w:p w14:paraId="7C47C49D" w14:textId="77777777" w:rsidR="0085374E" w:rsidRPr="0085374E" w:rsidRDefault="00427B33" w:rsidP="0085374E">
            <w:pPr>
              <w:spacing w:beforeLines="20" w:before="48" w:afterLines="20" w:after="48"/>
              <w:rPr>
                <w:sz w:val="16"/>
                <w:szCs w:val="16"/>
              </w:rPr>
            </w:pPr>
            <w:sdt>
              <w:sdtPr>
                <w:rPr>
                  <w:sz w:val="16"/>
                  <w:szCs w:val="16"/>
                </w:rPr>
                <w:id w:val="-1402052304"/>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700 – 800 hours</w:t>
            </w:r>
          </w:p>
          <w:p w14:paraId="684EAFEC" w14:textId="77777777" w:rsidR="0085374E" w:rsidRPr="0085374E" w:rsidRDefault="00427B33" w:rsidP="0085374E">
            <w:pPr>
              <w:spacing w:beforeLines="20" w:before="48" w:afterLines="20" w:after="48"/>
              <w:rPr>
                <w:sz w:val="16"/>
                <w:szCs w:val="16"/>
              </w:rPr>
            </w:pPr>
            <w:sdt>
              <w:sdtPr>
                <w:rPr>
                  <w:sz w:val="16"/>
                  <w:szCs w:val="16"/>
                </w:rPr>
                <w:id w:val="-67581592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800 – 900 hours</w:t>
            </w:r>
          </w:p>
          <w:p w14:paraId="2DBFEF71" w14:textId="77777777" w:rsidR="0085374E" w:rsidRPr="0085374E" w:rsidRDefault="00427B33" w:rsidP="0085374E">
            <w:pPr>
              <w:spacing w:beforeLines="20" w:before="48" w:afterLines="20" w:after="48"/>
              <w:rPr>
                <w:sz w:val="16"/>
                <w:szCs w:val="16"/>
              </w:rPr>
            </w:pPr>
            <w:sdt>
              <w:sdtPr>
                <w:rPr>
                  <w:sz w:val="16"/>
                  <w:szCs w:val="16"/>
                </w:rPr>
                <w:id w:val="140470917"/>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900 – 1000 hours</w:t>
            </w:r>
          </w:p>
          <w:p w14:paraId="37517B72" w14:textId="77777777" w:rsidR="0085374E" w:rsidRPr="0085374E" w:rsidRDefault="00427B33" w:rsidP="0085374E">
            <w:pPr>
              <w:spacing w:beforeLines="20" w:before="48" w:afterLines="20" w:after="48"/>
              <w:rPr>
                <w:sz w:val="16"/>
                <w:szCs w:val="16"/>
              </w:rPr>
            </w:pPr>
            <w:sdt>
              <w:sdtPr>
                <w:rPr>
                  <w:sz w:val="16"/>
                  <w:szCs w:val="16"/>
                </w:rPr>
                <w:id w:val="-472368648"/>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1000 – 1100 hours</w:t>
            </w:r>
          </w:p>
          <w:p w14:paraId="4BF9A37F" w14:textId="77777777" w:rsidR="0085374E" w:rsidRPr="0085374E" w:rsidRDefault="00427B33" w:rsidP="0085374E">
            <w:pPr>
              <w:spacing w:beforeLines="20" w:before="48" w:afterLines="20" w:after="48"/>
              <w:rPr>
                <w:sz w:val="16"/>
                <w:szCs w:val="16"/>
              </w:rPr>
            </w:pPr>
            <w:sdt>
              <w:sdtPr>
                <w:rPr>
                  <w:sz w:val="16"/>
                  <w:szCs w:val="16"/>
                </w:rPr>
                <w:id w:val="-764383526"/>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1100 – 1200 hours</w:t>
            </w:r>
          </w:p>
        </w:tc>
        <w:tc>
          <w:tcPr>
            <w:tcW w:w="2810" w:type="dxa"/>
            <w:gridSpan w:val="2"/>
            <w:tcBorders>
              <w:top w:val="single" w:sz="4" w:space="0" w:color="auto"/>
              <w:bottom w:val="single" w:sz="4" w:space="0" w:color="auto"/>
            </w:tcBorders>
          </w:tcPr>
          <w:p w14:paraId="43022C3C" w14:textId="77777777" w:rsidR="0085374E" w:rsidRPr="0085374E" w:rsidRDefault="00427B33" w:rsidP="0085374E">
            <w:pPr>
              <w:spacing w:beforeLines="20" w:before="48" w:afterLines="20" w:after="48"/>
              <w:rPr>
                <w:sz w:val="16"/>
                <w:szCs w:val="16"/>
              </w:rPr>
            </w:pPr>
            <w:sdt>
              <w:sdtPr>
                <w:rPr>
                  <w:sz w:val="16"/>
                  <w:szCs w:val="16"/>
                </w:rPr>
                <w:id w:val="122841960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1200– 1300 hours</w:t>
            </w:r>
          </w:p>
          <w:p w14:paraId="4567BF41" w14:textId="77777777" w:rsidR="0085374E" w:rsidRPr="0085374E" w:rsidRDefault="00427B33" w:rsidP="0085374E">
            <w:pPr>
              <w:spacing w:beforeLines="20" w:before="48" w:afterLines="20" w:after="48"/>
              <w:rPr>
                <w:sz w:val="16"/>
                <w:szCs w:val="16"/>
              </w:rPr>
            </w:pPr>
            <w:sdt>
              <w:sdtPr>
                <w:rPr>
                  <w:sz w:val="16"/>
                  <w:szCs w:val="16"/>
                </w:rPr>
                <w:id w:val="75278250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1300 – 1400 hours</w:t>
            </w:r>
          </w:p>
          <w:p w14:paraId="38210910" w14:textId="77777777" w:rsidR="0085374E" w:rsidRPr="0085374E" w:rsidRDefault="00427B33" w:rsidP="0085374E">
            <w:pPr>
              <w:spacing w:beforeLines="20" w:before="48" w:afterLines="20" w:after="48"/>
              <w:rPr>
                <w:sz w:val="16"/>
                <w:szCs w:val="16"/>
              </w:rPr>
            </w:pPr>
            <w:sdt>
              <w:sdtPr>
                <w:rPr>
                  <w:sz w:val="16"/>
                  <w:szCs w:val="16"/>
                </w:rPr>
                <w:id w:val="-326981614"/>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1400 – 1500 hours</w:t>
            </w:r>
          </w:p>
          <w:p w14:paraId="66658C98" w14:textId="77777777" w:rsidR="0085374E" w:rsidRPr="0085374E" w:rsidRDefault="00427B33" w:rsidP="0085374E">
            <w:pPr>
              <w:spacing w:beforeLines="20" w:before="48" w:afterLines="20" w:after="48"/>
              <w:rPr>
                <w:sz w:val="16"/>
                <w:szCs w:val="16"/>
              </w:rPr>
            </w:pPr>
            <w:sdt>
              <w:sdtPr>
                <w:rPr>
                  <w:sz w:val="16"/>
                  <w:szCs w:val="16"/>
                </w:rPr>
                <w:id w:val="113575994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1500 – 1600 hours</w:t>
            </w:r>
          </w:p>
          <w:p w14:paraId="60CF7EA1" w14:textId="77777777" w:rsidR="0085374E" w:rsidRPr="0085374E" w:rsidRDefault="00427B33" w:rsidP="0085374E">
            <w:pPr>
              <w:spacing w:beforeLines="20" w:before="48" w:afterLines="20" w:after="48"/>
              <w:rPr>
                <w:sz w:val="16"/>
                <w:szCs w:val="16"/>
              </w:rPr>
            </w:pPr>
            <w:sdt>
              <w:sdtPr>
                <w:rPr>
                  <w:sz w:val="16"/>
                  <w:szCs w:val="16"/>
                </w:rPr>
                <w:id w:val="1571683699"/>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1600 – 1700 hours</w:t>
            </w:r>
          </w:p>
          <w:p w14:paraId="1339D769" w14:textId="77777777" w:rsidR="0085374E" w:rsidRPr="0085374E" w:rsidRDefault="00427B33" w:rsidP="0085374E">
            <w:pPr>
              <w:spacing w:beforeLines="20" w:before="48" w:afterLines="20" w:after="48"/>
              <w:rPr>
                <w:sz w:val="16"/>
                <w:szCs w:val="16"/>
              </w:rPr>
            </w:pPr>
            <w:sdt>
              <w:sdtPr>
                <w:rPr>
                  <w:sz w:val="16"/>
                  <w:szCs w:val="16"/>
                </w:rPr>
                <w:id w:val="179548118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1700 – 1800 hours</w:t>
            </w:r>
          </w:p>
          <w:p w14:paraId="2D09805B" w14:textId="77777777" w:rsidR="0085374E" w:rsidRPr="0085374E" w:rsidRDefault="00427B33" w:rsidP="0085374E">
            <w:pPr>
              <w:spacing w:beforeLines="20" w:before="48" w:afterLines="20" w:after="48"/>
              <w:rPr>
                <w:sz w:val="16"/>
                <w:szCs w:val="16"/>
              </w:rPr>
            </w:pPr>
            <w:sdt>
              <w:sdtPr>
                <w:rPr>
                  <w:sz w:val="16"/>
                  <w:szCs w:val="16"/>
                </w:rPr>
                <w:id w:val="1783765058"/>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1800 – 1900 hours</w:t>
            </w:r>
          </w:p>
          <w:p w14:paraId="608DF926" w14:textId="77777777" w:rsidR="0085374E" w:rsidRPr="0085374E" w:rsidRDefault="00427B33" w:rsidP="0085374E">
            <w:pPr>
              <w:spacing w:beforeLines="20" w:before="48" w:afterLines="20" w:after="48"/>
              <w:rPr>
                <w:sz w:val="16"/>
                <w:szCs w:val="16"/>
              </w:rPr>
            </w:pPr>
            <w:sdt>
              <w:sdtPr>
                <w:rPr>
                  <w:sz w:val="16"/>
                  <w:szCs w:val="16"/>
                </w:rPr>
                <w:id w:val="-181494159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1900 – 2000 hours</w:t>
            </w:r>
          </w:p>
          <w:p w14:paraId="419C1BB1" w14:textId="77777777" w:rsidR="0085374E" w:rsidRPr="0085374E" w:rsidRDefault="00427B33" w:rsidP="0085374E">
            <w:pPr>
              <w:spacing w:beforeLines="20" w:before="48" w:afterLines="20" w:after="48"/>
              <w:rPr>
                <w:sz w:val="16"/>
                <w:szCs w:val="16"/>
              </w:rPr>
            </w:pPr>
            <w:sdt>
              <w:sdtPr>
                <w:rPr>
                  <w:sz w:val="16"/>
                  <w:szCs w:val="16"/>
                </w:rPr>
                <w:id w:val="2030752289"/>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2000 – 2100 hours</w:t>
            </w:r>
          </w:p>
          <w:p w14:paraId="1CDF3CEE" w14:textId="77777777" w:rsidR="0085374E" w:rsidRPr="0085374E" w:rsidRDefault="00427B33" w:rsidP="0085374E">
            <w:pPr>
              <w:spacing w:beforeLines="20" w:before="48" w:afterLines="20" w:after="48"/>
              <w:rPr>
                <w:sz w:val="16"/>
                <w:szCs w:val="16"/>
              </w:rPr>
            </w:pPr>
            <w:sdt>
              <w:sdtPr>
                <w:rPr>
                  <w:sz w:val="16"/>
                  <w:szCs w:val="16"/>
                </w:rPr>
                <w:id w:val="-160487362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2100 – 2200 hours</w:t>
            </w:r>
          </w:p>
          <w:p w14:paraId="3B3131F4" w14:textId="77777777" w:rsidR="0085374E" w:rsidRPr="0085374E" w:rsidRDefault="00427B33" w:rsidP="0085374E">
            <w:pPr>
              <w:spacing w:beforeLines="20" w:before="48" w:afterLines="20" w:after="48"/>
              <w:rPr>
                <w:sz w:val="16"/>
                <w:szCs w:val="16"/>
              </w:rPr>
            </w:pPr>
            <w:sdt>
              <w:sdtPr>
                <w:rPr>
                  <w:sz w:val="16"/>
                  <w:szCs w:val="16"/>
                </w:rPr>
                <w:id w:val="1595200055"/>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2200 – 2300 hours</w:t>
            </w:r>
          </w:p>
          <w:p w14:paraId="69564005" w14:textId="77777777" w:rsidR="0085374E" w:rsidRPr="0085374E" w:rsidRDefault="00427B33" w:rsidP="0085374E">
            <w:pPr>
              <w:spacing w:beforeLines="20" w:before="48" w:afterLines="20" w:after="48"/>
              <w:rPr>
                <w:sz w:val="16"/>
                <w:szCs w:val="16"/>
              </w:rPr>
            </w:pPr>
            <w:sdt>
              <w:sdtPr>
                <w:rPr>
                  <w:sz w:val="16"/>
                  <w:szCs w:val="16"/>
                </w:rPr>
                <w:id w:val="-287126147"/>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2300 – 2500 hours</w:t>
            </w:r>
          </w:p>
          <w:p w14:paraId="189C12FD" w14:textId="77777777" w:rsidR="0085374E" w:rsidRPr="0085374E" w:rsidRDefault="00427B33" w:rsidP="0085374E">
            <w:pPr>
              <w:spacing w:beforeLines="20" w:before="48" w:afterLines="20" w:after="48"/>
              <w:rPr>
                <w:sz w:val="16"/>
                <w:szCs w:val="16"/>
              </w:rPr>
            </w:pPr>
            <w:sdt>
              <w:sdtPr>
                <w:rPr>
                  <w:sz w:val="16"/>
                  <w:szCs w:val="16"/>
                </w:rPr>
                <w:id w:val="-182126742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Other: _________________</w:t>
            </w:r>
          </w:p>
        </w:tc>
      </w:tr>
      <w:tr w:rsidR="0085374E" w:rsidRPr="0085374E" w14:paraId="466D907F" w14:textId="77777777" w:rsidTr="00926378">
        <w:tc>
          <w:tcPr>
            <w:tcW w:w="3397" w:type="dxa"/>
            <w:tcBorders>
              <w:top w:val="single" w:sz="4" w:space="0" w:color="auto"/>
              <w:bottom w:val="single" w:sz="4" w:space="0" w:color="auto"/>
            </w:tcBorders>
          </w:tcPr>
          <w:p w14:paraId="7889FF2E" w14:textId="77777777" w:rsidR="0085374E" w:rsidRPr="0085374E" w:rsidRDefault="0085374E" w:rsidP="0085374E">
            <w:pPr>
              <w:pStyle w:val="ListParagraph"/>
              <w:numPr>
                <w:ilvl w:val="0"/>
                <w:numId w:val="34"/>
              </w:numPr>
              <w:spacing w:beforeLines="20" w:before="48" w:afterLines="20" w:after="48"/>
              <w:ind w:left="0" w:firstLine="0"/>
              <w:jc w:val="left"/>
              <w:rPr>
                <w:b/>
                <w:sz w:val="16"/>
                <w:szCs w:val="16"/>
              </w:rPr>
            </w:pPr>
            <w:r w:rsidRPr="0085374E">
              <w:rPr>
                <w:b/>
                <w:sz w:val="16"/>
                <w:szCs w:val="16"/>
              </w:rPr>
              <w:lastRenderedPageBreak/>
              <w:t>What are your hydraulic machinery's most common component failures (check more boxes if necessary)?</w:t>
            </w:r>
          </w:p>
        </w:tc>
        <w:tc>
          <w:tcPr>
            <w:tcW w:w="5619" w:type="dxa"/>
            <w:gridSpan w:val="3"/>
            <w:tcBorders>
              <w:top w:val="single" w:sz="4" w:space="0" w:color="auto"/>
              <w:bottom w:val="single" w:sz="4" w:space="0" w:color="auto"/>
            </w:tcBorders>
          </w:tcPr>
          <w:p w14:paraId="610F7135" w14:textId="77777777" w:rsidR="0085374E" w:rsidRPr="0085374E" w:rsidRDefault="0085374E" w:rsidP="0085374E">
            <w:pPr>
              <w:spacing w:beforeLines="20" w:before="48" w:afterLines="20" w:after="48"/>
              <w:rPr>
                <w:b/>
                <w:sz w:val="16"/>
                <w:szCs w:val="16"/>
              </w:rPr>
            </w:pPr>
            <w:r w:rsidRPr="0085374E">
              <w:rPr>
                <w:b/>
                <w:sz w:val="16"/>
                <w:szCs w:val="16"/>
              </w:rPr>
              <w:t>Most common failure of components within the hydraulic system:</w:t>
            </w:r>
          </w:p>
          <w:p w14:paraId="2876F4DE" w14:textId="77777777" w:rsidR="0085374E" w:rsidRPr="0085374E" w:rsidRDefault="00427B33" w:rsidP="0085374E">
            <w:pPr>
              <w:spacing w:beforeLines="20" w:before="48" w:afterLines="20" w:after="48"/>
              <w:rPr>
                <w:sz w:val="16"/>
                <w:szCs w:val="16"/>
              </w:rPr>
            </w:pPr>
            <w:sdt>
              <w:sdtPr>
                <w:rPr>
                  <w:sz w:val="16"/>
                  <w:szCs w:val="16"/>
                </w:rPr>
                <w:id w:val="-144330266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Hoses or pipes</w:t>
            </w:r>
          </w:p>
          <w:p w14:paraId="769CB0BA" w14:textId="77777777" w:rsidR="0085374E" w:rsidRPr="0085374E" w:rsidRDefault="00427B33" w:rsidP="0085374E">
            <w:pPr>
              <w:spacing w:beforeLines="20" w:before="48" w:afterLines="20" w:after="48"/>
              <w:rPr>
                <w:sz w:val="16"/>
                <w:szCs w:val="16"/>
              </w:rPr>
            </w:pPr>
            <w:sdt>
              <w:sdtPr>
                <w:rPr>
                  <w:sz w:val="16"/>
                  <w:szCs w:val="16"/>
                </w:rPr>
                <w:id w:val="244379859"/>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Actuator failure – hydraulic cylinder</w:t>
            </w:r>
          </w:p>
          <w:p w14:paraId="7434C5BB" w14:textId="77777777" w:rsidR="0085374E" w:rsidRPr="0085374E" w:rsidRDefault="00427B33" w:rsidP="0085374E">
            <w:pPr>
              <w:spacing w:beforeLines="20" w:before="48" w:afterLines="20" w:after="48"/>
              <w:rPr>
                <w:sz w:val="16"/>
                <w:szCs w:val="16"/>
              </w:rPr>
            </w:pPr>
            <w:sdt>
              <w:sdtPr>
                <w:rPr>
                  <w:sz w:val="16"/>
                  <w:szCs w:val="16"/>
                </w:rPr>
                <w:id w:val="854232472"/>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Actuator failure – hydraulic motor</w:t>
            </w:r>
          </w:p>
          <w:p w14:paraId="27928202" w14:textId="77777777" w:rsidR="0085374E" w:rsidRPr="0085374E" w:rsidRDefault="00427B33" w:rsidP="0085374E">
            <w:pPr>
              <w:spacing w:beforeLines="20" w:before="48" w:afterLines="20" w:after="48"/>
              <w:rPr>
                <w:sz w:val="16"/>
                <w:szCs w:val="16"/>
              </w:rPr>
            </w:pPr>
            <w:sdt>
              <w:sdtPr>
                <w:rPr>
                  <w:sz w:val="16"/>
                  <w:szCs w:val="16"/>
                </w:rPr>
                <w:id w:val="-1406148019"/>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Pump failure</w:t>
            </w:r>
          </w:p>
          <w:p w14:paraId="3A924FEF" w14:textId="77777777" w:rsidR="0085374E" w:rsidRPr="0085374E" w:rsidRDefault="00427B33" w:rsidP="0085374E">
            <w:pPr>
              <w:spacing w:beforeLines="20" w:before="48" w:afterLines="20" w:after="48"/>
              <w:rPr>
                <w:sz w:val="16"/>
                <w:szCs w:val="16"/>
              </w:rPr>
            </w:pPr>
            <w:sdt>
              <w:sdtPr>
                <w:rPr>
                  <w:sz w:val="16"/>
                  <w:szCs w:val="16"/>
                </w:rPr>
                <w:id w:val="1302278564"/>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Solenoid valve failures</w:t>
            </w:r>
          </w:p>
          <w:p w14:paraId="1A114910" w14:textId="77777777" w:rsidR="0085374E" w:rsidRPr="0085374E" w:rsidRDefault="00427B33" w:rsidP="0085374E">
            <w:pPr>
              <w:spacing w:beforeLines="20" w:before="48" w:afterLines="20" w:after="48"/>
              <w:rPr>
                <w:sz w:val="16"/>
                <w:szCs w:val="16"/>
              </w:rPr>
            </w:pPr>
            <w:sdt>
              <w:sdtPr>
                <w:rPr>
                  <w:sz w:val="16"/>
                  <w:szCs w:val="16"/>
                </w:rPr>
                <w:id w:val="-1246332897"/>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Proportional valve failures – directional valve</w:t>
            </w:r>
          </w:p>
          <w:p w14:paraId="242C97FF" w14:textId="77777777" w:rsidR="0085374E" w:rsidRPr="0085374E" w:rsidRDefault="00427B33" w:rsidP="0085374E">
            <w:pPr>
              <w:spacing w:beforeLines="20" w:before="48" w:afterLines="20" w:after="48"/>
              <w:rPr>
                <w:sz w:val="16"/>
                <w:szCs w:val="16"/>
              </w:rPr>
            </w:pPr>
            <w:sdt>
              <w:sdtPr>
                <w:rPr>
                  <w:sz w:val="16"/>
                  <w:szCs w:val="16"/>
                </w:rPr>
                <w:id w:val="110708294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Servo-valve failures – directional valve</w:t>
            </w:r>
          </w:p>
          <w:p w14:paraId="5DCFD96B" w14:textId="77777777" w:rsidR="0085374E" w:rsidRPr="0085374E" w:rsidRDefault="00427B33" w:rsidP="0085374E">
            <w:pPr>
              <w:spacing w:beforeLines="20" w:before="48" w:afterLines="20" w:after="48"/>
              <w:rPr>
                <w:sz w:val="16"/>
                <w:szCs w:val="16"/>
              </w:rPr>
            </w:pPr>
            <w:sdt>
              <w:sdtPr>
                <w:rPr>
                  <w:sz w:val="16"/>
                  <w:szCs w:val="16"/>
                </w:rPr>
                <w:id w:val="-144614557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Electro-motor failure or ICE failure (for pump drive)</w:t>
            </w:r>
          </w:p>
          <w:p w14:paraId="09D4B82A" w14:textId="77777777" w:rsidR="0085374E" w:rsidRPr="0085374E" w:rsidRDefault="00427B33" w:rsidP="0085374E">
            <w:pPr>
              <w:spacing w:beforeLines="20" w:before="48" w:afterLines="20" w:after="48"/>
              <w:rPr>
                <w:sz w:val="16"/>
                <w:szCs w:val="16"/>
              </w:rPr>
            </w:pPr>
            <w:sdt>
              <w:sdtPr>
                <w:rPr>
                  <w:sz w:val="16"/>
                  <w:szCs w:val="16"/>
                </w:rPr>
                <w:id w:val="186032132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Accumulator failure</w:t>
            </w:r>
          </w:p>
          <w:p w14:paraId="40A9D203" w14:textId="77777777" w:rsidR="0085374E" w:rsidRPr="0085374E" w:rsidRDefault="00427B33" w:rsidP="0085374E">
            <w:pPr>
              <w:spacing w:beforeLines="20" w:before="48" w:afterLines="20" w:after="48"/>
              <w:rPr>
                <w:sz w:val="16"/>
                <w:szCs w:val="16"/>
              </w:rPr>
            </w:pPr>
            <w:sdt>
              <w:sdtPr>
                <w:rPr>
                  <w:sz w:val="16"/>
                  <w:szCs w:val="16"/>
                </w:rPr>
                <w:id w:val="-57034438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Sensors failure</w:t>
            </w:r>
          </w:p>
          <w:p w14:paraId="4DEAA41E" w14:textId="77777777" w:rsidR="0085374E" w:rsidRPr="0085374E" w:rsidRDefault="00427B33" w:rsidP="0085374E">
            <w:pPr>
              <w:spacing w:beforeLines="20" w:before="48" w:afterLines="20" w:after="48"/>
              <w:rPr>
                <w:sz w:val="16"/>
                <w:szCs w:val="16"/>
              </w:rPr>
            </w:pPr>
            <w:sdt>
              <w:sdtPr>
                <w:rPr>
                  <w:sz w:val="16"/>
                  <w:szCs w:val="16"/>
                </w:rPr>
                <w:id w:val="19835717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Filter failure</w:t>
            </w:r>
          </w:p>
          <w:p w14:paraId="3DA6E35F" w14:textId="77777777" w:rsidR="0085374E" w:rsidRPr="0085374E" w:rsidRDefault="00427B33" w:rsidP="0085374E">
            <w:pPr>
              <w:spacing w:beforeLines="20" w:before="48" w:afterLines="20" w:after="48"/>
              <w:rPr>
                <w:sz w:val="16"/>
                <w:szCs w:val="16"/>
              </w:rPr>
            </w:pPr>
            <w:sdt>
              <w:sdtPr>
                <w:rPr>
                  <w:sz w:val="16"/>
                  <w:szCs w:val="16"/>
                </w:rPr>
                <w:id w:val="-160929732"/>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Other: (</w:t>
            </w:r>
            <w:r w:rsidR="0085374E" w:rsidRPr="0085374E">
              <w:rPr>
                <w:i/>
                <w:sz w:val="16"/>
                <w:szCs w:val="16"/>
              </w:rPr>
              <w:t>name please</w:t>
            </w:r>
            <w:r w:rsidR="0085374E" w:rsidRPr="0085374E">
              <w:rPr>
                <w:sz w:val="16"/>
                <w:szCs w:val="16"/>
              </w:rPr>
              <w:t xml:space="preserve">) </w:t>
            </w:r>
            <w:r w:rsidR="0085374E" w:rsidRPr="0085374E">
              <w:rPr>
                <w:sz w:val="16"/>
                <w:szCs w:val="16"/>
              </w:rPr>
              <w:softHyphen/>
              <w:t>____________________________________</w:t>
            </w:r>
          </w:p>
        </w:tc>
      </w:tr>
      <w:tr w:rsidR="0085374E" w:rsidRPr="0085374E" w14:paraId="3A53EABA" w14:textId="77777777" w:rsidTr="00926378">
        <w:tc>
          <w:tcPr>
            <w:tcW w:w="3397" w:type="dxa"/>
            <w:tcBorders>
              <w:top w:val="single" w:sz="4" w:space="0" w:color="auto"/>
              <w:bottom w:val="single" w:sz="4" w:space="0" w:color="auto"/>
            </w:tcBorders>
          </w:tcPr>
          <w:p w14:paraId="744D41EF" w14:textId="77777777" w:rsidR="0085374E" w:rsidRPr="0085374E" w:rsidRDefault="0085374E" w:rsidP="0085374E">
            <w:pPr>
              <w:pStyle w:val="ListParagraph"/>
              <w:numPr>
                <w:ilvl w:val="0"/>
                <w:numId w:val="34"/>
              </w:numPr>
              <w:spacing w:beforeLines="20" w:before="48" w:afterLines="20" w:after="48"/>
              <w:ind w:left="0" w:firstLine="0"/>
              <w:jc w:val="left"/>
              <w:rPr>
                <w:b/>
                <w:sz w:val="16"/>
                <w:szCs w:val="16"/>
              </w:rPr>
            </w:pPr>
            <w:r w:rsidRPr="0085374E">
              <w:rPr>
                <w:b/>
                <w:sz w:val="16"/>
                <w:szCs w:val="16"/>
              </w:rPr>
              <w:t>What are the most common root causes of failure of your hydraulic machinery (check more boxes if necessary)?</w:t>
            </w:r>
          </w:p>
        </w:tc>
        <w:tc>
          <w:tcPr>
            <w:tcW w:w="5619" w:type="dxa"/>
            <w:gridSpan w:val="3"/>
            <w:tcBorders>
              <w:top w:val="single" w:sz="4" w:space="0" w:color="auto"/>
              <w:bottom w:val="single" w:sz="4" w:space="0" w:color="auto"/>
            </w:tcBorders>
          </w:tcPr>
          <w:p w14:paraId="52E759F2" w14:textId="77777777" w:rsidR="0085374E" w:rsidRPr="0085374E" w:rsidRDefault="0085374E" w:rsidP="0085374E">
            <w:pPr>
              <w:spacing w:beforeLines="20" w:before="48" w:afterLines="20" w:after="48"/>
              <w:rPr>
                <w:b/>
                <w:sz w:val="16"/>
                <w:szCs w:val="16"/>
              </w:rPr>
            </w:pPr>
            <w:r w:rsidRPr="0085374E">
              <w:rPr>
                <w:b/>
                <w:sz w:val="16"/>
                <w:szCs w:val="16"/>
              </w:rPr>
              <w:t>Most common root causes of failure:</w:t>
            </w:r>
          </w:p>
          <w:p w14:paraId="107276F4" w14:textId="77777777" w:rsidR="0085374E" w:rsidRPr="0085374E" w:rsidRDefault="00427B33" w:rsidP="0085374E">
            <w:pPr>
              <w:spacing w:beforeLines="20" w:before="48" w:afterLines="20" w:after="48"/>
              <w:rPr>
                <w:sz w:val="16"/>
                <w:szCs w:val="16"/>
              </w:rPr>
            </w:pPr>
            <w:sdt>
              <w:sdtPr>
                <w:rPr>
                  <w:sz w:val="16"/>
                  <w:szCs w:val="16"/>
                </w:rPr>
                <w:id w:val="1875567392"/>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Overloading the system</w:t>
            </w:r>
          </w:p>
          <w:p w14:paraId="124A208C" w14:textId="77777777" w:rsidR="0085374E" w:rsidRPr="0085374E" w:rsidRDefault="00427B33" w:rsidP="0085374E">
            <w:pPr>
              <w:spacing w:beforeLines="20" w:before="48" w:afterLines="20" w:after="48"/>
              <w:rPr>
                <w:sz w:val="16"/>
                <w:szCs w:val="16"/>
              </w:rPr>
            </w:pPr>
            <w:sdt>
              <w:sdtPr>
                <w:rPr>
                  <w:sz w:val="16"/>
                  <w:szCs w:val="16"/>
                </w:rPr>
                <w:id w:val="-1283726754"/>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Temperature (overheating the system)</w:t>
            </w:r>
          </w:p>
          <w:p w14:paraId="40CF4D49" w14:textId="77777777" w:rsidR="0085374E" w:rsidRPr="0085374E" w:rsidRDefault="00427B33" w:rsidP="0085374E">
            <w:pPr>
              <w:spacing w:beforeLines="20" w:before="48" w:afterLines="20" w:after="48"/>
              <w:rPr>
                <w:sz w:val="16"/>
                <w:szCs w:val="16"/>
              </w:rPr>
            </w:pPr>
            <w:sdt>
              <w:sdtPr>
                <w:rPr>
                  <w:sz w:val="16"/>
                  <w:szCs w:val="16"/>
                </w:rPr>
                <w:id w:val="-1726373528"/>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Inadequate oil in the system</w:t>
            </w:r>
          </w:p>
          <w:p w14:paraId="6BD4CCB9" w14:textId="77777777" w:rsidR="0085374E" w:rsidRPr="0085374E" w:rsidRDefault="00427B33" w:rsidP="0085374E">
            <w:pPr>
              <w:spacing w:beforeLines="20" w:before="48" w:afterLines="20" w:after="48"/>
              <w:rPr>
                <w:sz w:val="16"/>
                <w:szCs w:val="16"/>
              </w:rPr>
            </w:pPr>
            <w:sdt>
              <w:sdtPr>
                <w:rPr>
                  <w:sz w:val="16"/>
                  <w:szCs w:val="16"/>
                </w:rPr>
                <w:id w:val="-631785789"/>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 mixture of the oil</w:t>
            </w:r>
          </w:p>
          <w:p w14:paraId="5DBEC1ED" w14:textId="77777777" w:rsidR="0085374E" w:rsidRPr="0085374E" w:rsidRDefault="00427B33" w:rsidP="0085374E">
            <w:pPr>
              <w:spacing w:beforeLines="20" w:before="48" w:afterLines="20" w:after="48"/>
              <w:rPr>
                <w:sz w:val="16"/>
                <w:szCs w:val="16"/>
              </w:rPr>
            </w:pPr>
            <w:sdt>
              <w:sdtPr>
                <w:rPr>
                  <w:sz w:val="16"/>
                  <w:szCs w:val="16"/>
                </w:rPr>
                <w:id w:val="1963464687"/>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Oxidation of the oil (depletion of additives and viscosity drop)</w:t>
            </w:r>
          </w:p>
          <w:p w14:paraId="7A229083" w14:textId="77777777" w:rsidR="0085374E" w:rsidRPr="0085374E" w:rsidRDefault="00427B33" w:rsidP="0085374E">
            <w:pPr>
              <w:spacing w:beforeLines="20" w:before="48" w:afterLines="20" w:after="48"/>
              <w:rPr>
                <w:sz w:val="16"/>
                <w:szCs w:val="16"/>
              </w:rPr>
            </w:pPr>
            <w:sdt>
              <w:sdtPr>
                <w:rPr>
                  <w:sz w:val="16"/>
                  <w:szCs w:val="16"/>
                </w:rPr>
                <w:id w:val="1778364874"/>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Contamination (particle contamination)</w:t>
            </w:r>
          </w:p>
          <w:p w14:paraId="1B0EF59E" w14:textId="77777777" w:rsidR="0085374E" w:rsidRPr="0085374E" w:rsidRDefault="00427B33" w:rsidP="0085374E">
            <w:pPr>
              <w:spacing w:beforeLines="20" w:before="48" w:afterLines="20" w:after="48"/>
              <w:rPr>
                <w:sz w:val="16"/>
                <w:szCs w:val="16"/>
              </w:rPr>
            </w:pPr>
            <w:sdt>
              <w:sdtPr>
                <w:rPr>
                  <w:sz w:val="16"/>
                  <w:szCs w:val="16"/>
                </w:rPr>
                <w:id w:val="-2063087349"/>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Contamination (water and moisture)</w:t>
            </w:r>
          </w:p>
          <w:p w14:paraId="27F163F9" w14:textId="77777777" w:rsidR="0085374E" w:rsidRPr="0085374E" w:rsidRDefault="00427B33" w:rsidP="0085374E">
            <w:pPr>
              <w:spacing w:beforeLines="20" w:before="48" w:afterLines="20" w:after="48"/>
              <w:rPr>
                <w:sz w:val="16"/>
                <w:szCs w:val="16"/>
              </w:rPr>
            </w:pPr>
            <w:sdt>
              <w:sdtPr>
                <w:rPr>
                  <w:sz w:val="16"/>
                  <w:szCs w:val="16"/>
                </w:rPr>
                <w:id w:val="11588413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Maintenance personnel mistakes</w:t>
            </w:r>
          </w:p>
          <w:p w14:paraId="72951C6C" w14:textId="77777777" w:rsidR="0085374E" w:rsidRPr="0085374E" w:rsidRDefault="00427B33" w:rsidP="0085374E">
            <w:pPr>
              <w:spacing w:beforeLines="20" w:before="48" w:afterLines="20" w:after="48"/>
              <w:rPr>
                <w:sz w:val="16"/>
                <w:szCs w:val="16"/>
              </w:rPr>
            </w:pPr>
            <w:sdt>
              <w:sdtPr>
                <w:rPr>
                  <w:sz w:val="16"/>
                  <w:szCs w:val="16"/>
                </w:rPr>
                <w:id w:val="1270196239"/>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Seals</w:t>
            </w:r>
          </w:p>
          <w:p w14:paraId="5D705AB0" w14:textId="77777777" w:rsidR="0085374E" w:rsidRPr="0085374E" w:rsidRDefault="00427B33" w:rsidP="0085374E">
            <w:pPr>
              <w:spacing w:beforeLines="20" w:before="48" w:afterLines="20" w:after="48"/>
              <w:rPr>
                <w:sz w:val="16"/>
                <w:szCs w:val="16"/>
              </w:rPr>
            </w:pPr>
            <w:sdt>
              <w:sdtPr>
                <w:rPr>
                  <w:sz w:val="16"/>
                  <w:szCs w:val="16"/>
                </w:rPr>
                <w:id w:val="-1019999878"/>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Other: (</w:t>
            </w:r>
            <w:r w:rsidR="0085374E" w:rsidRPr="0085374E">
              <w:rPr>
                <w:i/>
                <w:sz w:val="16"/>
                <w:szCs w:val="16"/>
              </w:rPr>
              <w:t>name please</w:t>
            </w:r>
            <w:r w:rsidR="0085374E" w:rsidRPr="0085374E">
              <w:rPr>
                <w:sz w:val="16"/>
                <w:szCs w:val="16"/>
              </w:rPr>
              <w:t xml:space="preserve">) </w:t>
            </w:r>
            <w:r w:rsidR="0085374E" w:rsidRPr="0085374E">
              <w:rPr>
                <w:sz w:val="16"/>
                <w:szCs w:val="16"/>
              </w:rPr>
              <w:softHyphen/>
              <w:t>____________________________________</w:t>
            </w:r>
          </w:p>
        </w:tc>
      </w:tr>
      <w:tr w:rsidR="0085374E" w:rsidRPr="0085374E" w14:paraId="2D88E2AF" w14:textId="77777777" w:rsidTr="00926378">
        <w:tc>
          <w:tcPr>
            <w:tcW w:w="3397" w:type="dxa"/>
            <w:tcBorders>
              <w:top w:val="single" w:sz="4" w:space="0" w:color="auto"/>
              <w:bottom w:val="single" w:sz="4" w:space="0" w:color="auto"/>
            </w:tcBorders>
          </w:tcPr>
          <w:p w14:paraId="4060C4C7" w14:textId="77777777" w:rsidR="0085374E" w:rsidRPr="0085374E" w:rsidRDefault="0085374E" w:rsidP="0085374E">
            <w:pPr>
              <w:pStyle w:val="ListParagraph"/>
              <w:numPr>
                <w:ilvl w:val="0"/>
                <w:numId w:val="34"/>
              </w:numPr>
              <w:spacing w:beforeLines="20" w:before="48" w:afterLines="20" w:after="48"/>
              <w:ind w:left="0" w:firstLine="0"/>
              <w:jc w:val="left"/>
              <w:rPr>
                <w:b/>
                <w:sz w:val="16"/>
                <w:szCs w:val="16"/>
              </w:rPr>
            </w:pPr>
            <w:r w:rsidRPr="0085374E">
              <w:rPr>
                <w:b/>
                <w:sz w:val="16"/>
                <w:szCs w:val="16"/>
              </w:rPr>
              <w:t>What is the period for your filter replacement?</w:t>
            </w:r>
          </w:p>
        </w:tc>
        <w:tc>
          <w:tcPr>
            <w:tcW w:w="2840" w:type="dxa"/>
            <w:gridSpan w:val="2"/>
            <w:tcBorders>
              <w:top w:val="single" w:sz="4" w:space="0" w:color="auto"/>
              <w:bottom w:val="single" w:sz="4" w:space="0" w:color="auto"/>
            </w:tcBorders>
          </w:tcPr>
          <w:p w14:paraId="5B69CCA6" w14:textId="77777777" w:rsidR="0085374E" w:rsidRPr="0085374E" w:rsidRDefault="00427B33" w:rsidP="0085374E">
            <w:pPr>
              <w:spacing w:beforeLines="20" w:before="48" w:afterLines="20" w:after="48"/>
              <w:rPr>
                <w:sz w:val="16"/>
                <w:szCs w:val="16"/>
              </w:rPr>
            </w:pPr>
            <w:sdt>
              <w:sdtPr>
                <w:rPr>
                  <w:sz w:val="16"/>
                  <w:szCs w:val="16"/>
                </w:rPr>
                <w:id w:val="-2003346344"/>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0-50 working hours</w:t>
            </w:r>
          </w:p>
          <w:p w14:paraId="04DCEBA7" w14:textId="77777777" w:rsidR="0085374E" w:rsidRPr="0085374E" w:rsidRDefault="00427B33" w:rsidP="0085374E">
            <w:pPr>
              <w:spacing w:beforeLines="20" w:before="48" w:afterLines="20" w:after="48"/>
              <w:rPr>
                <w:sz w:val="16"/>
                <w:szCs w:val="16"/>
              </w:rPr>
            </w:pPr>
            <w:sdt>
              <w:sdtPr>
                <w:rPr>
                  <w:sz w:val="16"/>
                  <w:szCs w:val="16"/>
                </w:rPr>
                <w:id w:val="2041164974"/>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50-150 working hours</w:t>
            </w:r>
          </w:p>
          <w:p w14:paraId="2A491600" w14:textId="77777777" w:rsidR="0085374E" w:rsidRPr="0085374E" w:rsidRDefault="00427B33" w:rsidP="0085374E">
            <w:pPr>
              <w:spacing w:beforeLines="20" w:before="48" w:afterLines="20" w:after="48"/>
              <w:rPr>
                <w:sz w:val="16"/>
                <w:szCs w:val="16"/>
              </w:rPr>
            </w:pPr>
            <w:sdt>
              <w:sdtPr>
                <w:rPr>
                  <w:sz w:val="16"/>
                  <w:szCs w:val="16"/>
                </w:rPr>
                <w:id w:val="-1604339888"/>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150-250 working hours</w:t>
            </w:r>
          </w:p>
          <w:p w14:paraId="50DDB78B" w14:textId="77777777" w:rsidR="0085374E" w:rsidRPr="0085374E" w:rsidRDefault="00427B33" w:rsidP="0085374E">
            <w:pPr>
              <w:spacing w:beforeLines="20" w:before="48" w:afterLines="20" w:after="48"/>
              <w:rPr>
                <w:sz w:val="16"/>
                <w:szCs w:val="16"/>
              </w:rPr>
            </w:pPr>
            <w:sdt>
              <w:sdtPr>
                <w:rPr>
                  <w:sz w:val="16"/>
                  <w:szCs w:val="16"/>
                </w:rPr>
                <w:id w:val="-1175958594"/>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250-500 working hours</w:t>
            </w:r>
          </w:p>
          <w:p w14:paraId="64D73C84" w14:textId="77777777" w:rsidR="0085374E" w:rsidRPr="0085374E" w:rsidRDefault="00427B33" w:rsidP="0085374E">
            <w:pPr>
              <w:spacing w:beforeLines="20" w:before="48" w:afterLines="20" w:after="48"/>
              <w:rPr>
                <w:sz w:val="16"/>
                <w:szCs w:val="16"/>
              </w:rPr>
            </w:pPr>
            <w:sdt>
              <w:sdtPr>
                <w:rPr>
                  <w:sz w:val="16"/>
                  <w:szCs w:val="16"/>
                </w:rPr>
                <w:id w:val="-740940085"/>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500-750 working hours</w:t>
            </w:r>
          </w:p>
          <w:p w14:paraId="303978CF" w14:textId="77777777" w:rsidR="0085374E" w:rsidRPr="0085374E" w:rsidRDefault="00427B33" w:rsidP="0085374E">
            <w:pPr>
              <w:spacing w:beforeLines="20" w:before="48" w:afterLines="20" w:after="48"/>
              <w:rPr>
                <w:sz w:val="16"/>
                <w:szCs w:val="16"/>
              </w:rPr>
            </w:pPr>
            <w:sdt>
              <w:sdtPr>
                <w:rPr>
                  <w:sz w:val="16"/>
                  <w:szCs w:val="16"/>
                </w:rPr>
                <w:id w:val="-76522877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750-1000 working hours</w:t>
            </w:r>
          </w:p>
          <w:p w14:paraId="4CDE6E30" w14:textId="6E354371" w:rsidR="0085374E" w:rsidRPr="0085374E" w:rsidRDefault="00427B33" w:rsidP="0085374E">
            <w:pPr>
              <w:spacing w:beforeLines="20" w:before="48" w:afterLines="20" w:after="48"/>
              <w:rPr>
                <w:sz w:val="16"/>
                <w:szCs w:val="16"/>
              </w:rPr>
            </w:pPr>
            <w:sdt>
              <w:sdtPr>
                <w:rPr>
                  <w:sz w:val="16"/>
                  <w:szCs w:val="16"/>
                </w:rPr>
                <w:id w:val="60862312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1000-1250 working hours</w:t>
            </w:r>
          </w:p>
        </w:tc>
        <w:tc>
          <w:tcPr>
            <w:tcW w:w="2779" w:type="dxa"/>
            <w:tcBorders>
              <w:top w:val="single" w:sz="4" w:space="0" w:color="auto"/>
              <w:bottom w:val="single" w:sz="4" w:space="0" w:color="auto"/>
            </w:tcBorders>
          </w:tcPr>
          <w:p w14:paraId="0C360660" w14:textId="77777777" w:rsidR="0085374E" w:rsidRPr="0085374E" w:rsidRDefault="00427B33" w:rsidP="0085374E">
            <w:pPr>
              <w:spacing w:beforeLines="20" w:before="48" w:afterLines="20" w:after="48"/>
              <w:rPr>
                <w:sz w:val="16"/>
                <w:szCs w:val="16"/>
              </w:rPr>
            </w:pPr>
            <w:sdt>
              <w:sdtPr>
                <w:rPr>
                  <w:sz w:val="16"/>
                  <w:szCs w:val="16"/>
                </w:rPr>
                <w:id w:val="-1337065079"/>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1250-1500 working hours</w:t>
            </w:r>
          </w:p>
          <w:p w14:paraId="0F9F49AD" w14:textId="77777777" w:rsidR="0085374E" w:rsidRPr="0085374E" w:rsidRDefault="00427B33" w:rsidP="0085374E">
            <w:pPr>
              <w:spacing w:beforeLines="20" w:before="48" w:afterLines="20" w:after="48"/>
              <w:rPr>
                <w:sz w:val="16"/>
                <w:szCs w:val="16"/>
              </w:rPr>
            </w:pPr>
            <w:sdt>
              <w:sdtPr>
                <w:rPr>
                  <w:sz w:val="16"/>
                  <w:szCs w:val="16"/>
                </w:rPr>
                <w:id w:val="161262409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1500-1750 working hours</w:t>
            </w:r>
          </w:p>
          <w:p w14:paraId="6CDA192F" w14:textId="77777777" w:rsidR="0085374E" w:rsidRPr="0085374E" w:rsidRDefault="00427B33" w:rsidP="0085374E">
            <w:pPr>
              <w:spacing w:beforeLines="20" w:before="48" w:afterLines="20" w:after="48"/>
              <w:rPr>
                <w:sz w:val="16"/>
                <w:szCs w:val="16"/>
              </w:rPr>
            </w:pPr>
            <w:sdt>
              <w:sdtPr>
                <w:rPr>
                  <w:sz w:val="16"/>
                  <w:szCs w:val="16"/>
                </w:rPr>
                <w:id w:val="66659985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1750-2000 working hours</w:t>
            </w:r>
          </w:p>
          <w:p w14:paraId="060507C7" w14:textId="77777777" w:rsidR="0085374E" w:rsidRPr="0085374E" w:rsidRDefault="00427B33" w:rsidP="0085374E">
            <w:pPr>
              <w:spacing w:beforeLines="20" w:before="48" w:afterLines="20" w:after="48"/>
              <w:rPr>
                <w:sz w:val="16"/>
                <w:szCs w:val="16"/>
              </w:rPr>
            </w:pPr>
            <w:sdt>
              <w:sdtPr>
                <w:rPr>
                  <w:sz w:val="16"/>
                  <w:szCs w:val="16"/>
                </w:rPr>
                <w:id w:val="-447390082"/>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2000-2500 working hours</w:t>
            </w:r>
          </w:p>
          <w:p w14:paraId="0A081FC2" w14:textId="77777777" w:rsidR="0085374E" w:rsidRPr="0085374E" w:rsidRDefault="00427B33" w:rsidP="0085374E">
            <w:pPr>
              <w:spacing w:beforeLines="20" w:before="48" w:afterLines="20" w:after="48"/>
              <w:rPr>
                <w:sz w:val="16"/>
                <w:szCs w:val="16"/>
              </w:rPr>
            </w:pPr>
            <w:sdt>
              <w:sdtPr>
                <w:rPr>
                  <w:sz w:val="16"/>
                  <w:szCs w:val="16"/>
                </w:rPr>
                <w:id w:val="-73091932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2500-3000 working hours</w:t>
            </w:r>
          </w:p>
          <w:p w14:paraId="74B70D5F" w14:textId="0701E184" w:rsidR="0085374E" w:rsidRPr="0085374E" w:rsidRDefault="00427B33" w:rsidP="0085374E">
            <w:pPr>
              <w:spacing w:beforeLines="20" w:before="48" w:afterLines="20" w:after="48"/>
              <w:rPr>
                <w:sz w:val="16"/>
                <w:szCs w:val="16"/>
              </w:rPr>
            </w:pPr>
            <w:sdt>
              <w:sdtPr>
                <w:rPr>
                  <w:sz w:val="16"/>
                  <w:szCs w:val="16"/>
                </w:rPr>
                <w:id w:val="1692413657"/>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If you have precisely specified hours (days, with oil change, etc.), please specify the interval number or criteria:</w:t>
            </w:r>
          </w:p>
        </w:tc>
      </w:tr>
      <w:tr w:rsidR="0085374E" w:rsidRPr="0085374E" w14:paraId="106ACAA0" w14:textId="77777777" w:rsidTr="00926378">
        <w:tc>
          <w:tcPr>
            <w:tcW w:w="3397" w:type="dxa"/>
            <w:tcBorders>
              <w:top w:val="single" w:sz="4" w:space="0" w:color="auto"/>
              <w:bottom w:val="single" w:sz="4" w:space="0" w:color="auto"/>
            </w:tcBorders>
          </w:tcPr>
          <w:p w14:paraId="776D2013" w14:textId="77777777" w:rsidR="0085374E" w:rsidRPr="0085374E" w:rsidRDefault="0085374E" w:rsidP="0085374E">
            <w:pPr>
              <w:pStyle w:val="ListParagraph"/>
              <w:numPr>
                <w:ilvl w:val="0"/>
                <w:numId w:val="34"/>
              </w:numPr>
              <w:spacing w:beforeLines="20" w:before="48" w:afterLines="20" w:after="48"/>
              <w:ind w:left="0" w:firstLine="0"/>
              <w:jc w:val="left"/>
              <w:rPr>
                <w:b/>
                <w:sz w:val="16"/>
                <w:szCs w:val="16"/>
              </w:rPr>
            </w:pPr>
            <w:r w:rsidRPr="0085374E">
              <w:rPr>
                <w:b/>
                <w:sz w:val="16"/>
                <w:szCs w:val="16"/>
              </w:rPr>
              <w:t>What oil viscosity grade do you use in your machines (if you have a specific table for each of your systems, can you attach it?)?</w:t>
            </w:r>
          </w:p>
        </w:tc>
        <w:tc>
          <w:tcPr>
            <w:tcW w:w="2840" w:type="dxa"/>
            <w:gridSpan w:val="2"/>
            <w:tcBorders>
              <w:top w:val="single" w:sz="4" w:space="0" w:color="auto"/>
              <w:bottom w:val="single" w:sz="4" w:space="0" w:color="auto"/>
            </w:tcBorders>
          </w:tcPr>
          <w:p w14:paraId="30746433" w14:textId="77777777" w:rsidR="0085374E" w:rsidRPr="0085374E" w:rsidRDefault="00427B33" w:rsidP="0085374E">
            <w:pPr>
              <w:spacing w:beforeLines="20" w:before="48" w:afterLines="20" w:after="48"/>
              <w:rPr>
                <w:sz w:val="16"/>
                <w:szCs w:val="16"/>
              </w:rPr>
            </w:pPr>
            <w:sdt>
              <w:sdtPr>
                <w:rPr>
                  <w:sz w:val="16"/>
                  <w:szCs w:val="16"/>
                </w:rPr>
                <w:id w:val="683791069"/>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ISO VG 22</w:t>
            </w:r>
          </w:p>
          <w:p w14:paraId="7C34D68F" w14:textId="77777777" w:rsidR="0085374E" w:rsidRPr="0085374E" w:rsidRDefault="00427B33" w:rsidP="0085374E">
            <w:pPr>
              <w:spacing w:beforeLines="20" w:before="48" w:afterLines="20" w:after="48"/>
              <w:rPr>
                <w:sz w:val="16"/>
                <w:szCs w:val="16"/>
              </w:rPr>
            </w:pPr>
            <w:sdt>
              <w:sdtPr>
                <w:rPr>
                  <w:sz w:val="16"/>
                  <w:szCs w:val="16"/>
                </w:rPr>
                <w:id w:val="-953944662"/>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ISO VG 32</w:t>
            </w:r>
          </w:p>
          <w:p w14:paraId="12182A95" w14:textId="77777777" w:rsidR="0085374E" w:rsidRPr="0085374E" w:rsidRDefault="00427B33" w:rsidP="0085374E">
            <w:pPr>
              <w:spacing w:beforeLines="20" w:before="48" w:afterLines="20" w:after="48"/>
              <w:rPr>
                <w:sz w:val="16"/>
                <w:szCs w:val="16"/>
              </w:rPr>
            </w:pPr>
            <w:sdt>
              <w:sdtPr>
                <w:rPr>
                  <w:sz w:val="16"/>
                  <w:szCs w:val="16"/>
                </w:rPr>
                <w:id w:val="-132296460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ISO VG 37</w:t>
            </w:r>
          </w:p>
          <w:p w14:paraId="5B9B0131" w14:textId="3C8E1BF0" w:rsidR="0085374E" w:rsidRPr="0085374E" w:rsidRDefault="0085374E" w:rsidP="0085374E">
            <w:pPr>
              <w:spacing w:beforeLines="20" w:before="48" w:afterLines="20" w:after="48"/>
              <w:rPr>
                <w:sz w:val="16"/>
                <w:szCs w:val="16"/>
              </w:rPr>
            </w:pPr>
          </w:p>
        </w:tc>
        <w:tc>
          <w:tcPr>
            <w:tcW w:w="2779" w:type="dxa"/>
            <w:tcBorders>
              <w:top w:val="single" w:sz="4" w:space="0" w:color="auto"/>
              <w:bottom w:val="single" w:sz="4" w:space="0" w:color="auto"/>
            </w:tcBorders>
          </w:tcPr>
          <w:p w14:paraId="1FFF2374" w14:textId="77777777" w:rsidR="0085374E" w:rsidRPr="0085374E" w:rsidRDefault="0085374E" w:rsidP="0085374E">
            <w:pPr>
              <w:spacing w:beforeLines="20" w:before="48" w:afterLines="20" w:after="48"/>
              <w:rPr>
                <w:sz w:val="16"/>
                <w:szCs w:val="16"/>
              </w:rPr>
            </w:pPr>
            <w:r w:rsidRPr="0085374E">
              <w:rPr>
                <w:rFonts w:ascii="Segoe UI Symbol" w:hAnsi="Segoe UI Symbol" w:cs="Segoe UI Symbol"/>
                <w:sz w:val="16"/>
                <w:szCs w:val="16"/>
              </w:rPr>
              <w:t>☐</w:t>
            </w:r>
            <w:r w:rsidRPr="0085374E">
              <w:rPr>
                <w:sz w:val="16"/>
                <w:szCs w:val="16"/>
              </w:rPr>
              <w:t xml:space="preserve"> ISO VG 46</w:t>
            </w:r>
          </w:p>
          <w:p w14:paraId="19FFCB92" w14:textId="77777777" w:rsidR="0085374E" w:rsidRPr="0085374E" w:rsidRDefault="0085374E" w:rsidP="0085374E">
            <w:pPr>
              <w:spacing w:beforeLines="20" w:before="48" w:afterLines="20" w:after="48"/>
              <w:rPr>
                <w:sz w:val="16"/>
                <w:szCs w:val="16"/>
              </w:rPr>
            </w:pPr>
            <w:r w:rsidRPr="0085374E">
              <w:rPr>
                <w:rFonts w:ascii="Segoe UI Symbol" w:hAnsi="Segoe UI Symbol" w:cs="Segoe UI Symbol"/>
                <w:sz w:val="16"/>
                <w:szCs w:val="16"/>
              </w:rPr>
              <w:t>☐</w:t>
            </w:r>
            <w:r w:rsidRPr="0085374E">
              <w:rPr>
                <w:sz w:val="16"/>
                <w:szCs w:val="16"/>
              </w:rPr>
              <w:t xml:space="preserve"> ISO VG 68</w:t>
            </w:r>
          </w:p>
          <w:p w14:paraId="05315CE2" w14:textId="77777777" w:rsidR="0085374E" w:rsidRPr="0085374E" w:rsidRDefault="0085374E" w:rsidP="0085374E">
            <w:pPr>
              <w:spacing w:beforeLines="20" w:before="48" w:afterLines="20" w:after="48"/>
              <w:rPr>
                <w:sz w:val="16"/>
                <w:szCs w:val="16"/>
              </w:rPr>
            </w:pPr>
            <w:r w:rsidRPr="0085374E">
              <w:rPr>
                <w:rFonts w:ascii="Segoe UI Symbol" w:hAnsi="Segoe UI Symbol" w:cs="Segoe UI Symbol"/>
                <w:sz w:val="16"/>
                <w:szCs w:val="16"/>
              </w:rPr>
              <w:t>☐</w:t>
            </w:r>
            <w:r w:rsidRPr="0085374E">
              <w:rPr>
                <w:sz w:val="16"/>
                <w:szCs w:val="16"/>
              </w:rPr>
              <w:t xml:space="preserve"> ISO VG 100</w:t>
            </w:r>
          </w:p>
          <w:p w14:paraId="677CD638" w14:textId="77777777" w:rsidR="0085374E" w:rsidRDefault="0085374E" w:rsidP="0085374E">
            <w:pPr>
              <w:spacing w:beforeLines="20" w:before="48" w:afterLines="20" w:after="48"/>
              <w:rPr>
                <w:sz w:val="16"/>
                <w:szCs w:val="16"/>
              </w:rPr>
            </w:pPr>
            <w:r w:rsidRPr="0085374E">
              <w:rPr>
                <w:rFonts w:ascii="Segoe UI Symbol" w:hAnsi="Segoe UI Symbol" w:cs="Segoe UI Symbol"/>
                <w:sz w:val="16"/>
                <w:szCs w:val="16"/>
              </w:rPr>
              <w:t>☐</w:t>
            </w:r>
            <w:r w:rsidRPr="0085374E">
              <w:rPr>
                <w:sz w:val="16"/>
                <w:szCs w:val="16"/>
              </w:rPr>
              <w:t xml:space="preserve"> ISO VG 150</w:t>
            </w:r>
          </w:p>
          <w:p w14:paraId="6489AAD0" w14:textId="5FCD7135" w:rsidR="0085374E" w:rsidRPr="0085374E" w:rsidRDefault="0085374E" w:rsidP="0085374E">
            <w:pPr>
              <w:spacing w:beforeLines="20" w:before="48" w:afterLines="20" w:after="48"/>
              <w:rPr>
                <w:sz w:val="16"/>
                <w:szCs w:val="16"/>
              </w:rPr>
            </w:pPr>
          </w:p>
        </w:tc>
      </w:tr>
      <w:tr w:rsidR="0085374E" w:rsidRPr="0085374E" w14:paraId="5382BB30" w14:textId="77777777" w:rsidTr="00926378">
        <w:tc>
          <w:tcPr>
            <w:tcW w:w="3397" w:type="dxa"/>
            <w:tcBorders>
              <w:top w:val="single" w:sz="4" w:space="0" w:color="auto"/>
              <w:bottom w:val="single" w:sz="4" w:space="0" w:color="auto"/>
            </w:tcBorders>
          </w:tcPr>
          <w:p w14:paraId="6BEC2687" w14:textId="77777777" w:rsidR="0085374E" w:rsidRPr="0085374E" w:rsidRDefault="0085374E" w:rsidP="0085374E">
            <w:pPr>
              <w:pStyle w:val="ListParagraph"/>
              <w:numPr>
                <w:ilvl w:val="0"/>
                <w:numId w:val="34"/>
              </w:numPr>
              <w:spacing w:beforeLines="20" w:before="48" w:afterLines="20" w:after="48"/>
              <w:ind w:left="0" w:firstLine="0"/>
              <w:jc w:val="left"/>
              <w:rPr>
                <w:b/>
                <w:sz w:val="16"/>
                <w:szCs w:val="16"/>
              </w:rPr>
            </w:pPr>
            <w:r w:rsidRPr="0085374E">
              <w:rPr>
                <w:b/>
                <w:sz w:val="16"/>
                <w:szCs w:val="16"/>
              </w:rPr>
              <w:t>How often do you refill the system with oil?</w:t>
            </w:r>
          </w:p>
        </w:tc>
        <w:tc>
          <w:tcPr>
            <w:tcW w:w="2840" w:type="dxa"/>
            <w:gridSpan w:val="2"/>
            <w:tcBorders>
              <w:top w:val="single" w:sz="4" w:space="0" w:color="auto"/>
              <w:bottom w:val="single" w:sz="4" w:space="0" w:color="auto"/>
            </w:tcBorders>
          </w:tcPr>
          <w:p w14:paraId="5D8EF10B" w14:textId="77777777" w:rsidR="0085374E" w:rsidRPr="0085374E" w:rsidRDefault="00427B33" w:rsidP="0085374E">
            <w:pPr>
              <w:spacing w:beforeLines="20" w:before="48" w:afterLines="20" w:after="48"/>
              <w:rPr>
                <w:sz w:val="16"/>
                <w:szCs w:val="16"/>
              </w:rPr>
            </w:pPr>
            <w:sdt>
              <w:sdtPr>
                <w:rPr>
                  <w:sz w:val="16"/>
                  <w:szCs w:val="16"/>
                </w:rPr>
                <w:id w:val="497854296"/>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After 25 hours</w:t>
            </w:r>
          </w:p>
          <w:p w14:paraId="4FC21155" w14:textId="77777777" w:rsidR="0085374E" w:rsidRPr="0085374E" w:rsidRDefault="00427B33" w:rsidP="0085374E">
            <w:pPr>
              <w:spacing w:beforeLines="20" w:before="48" w:afterLines="20" w:after="48"/>
              <w:rPr>
                <w:sz w:val="16"/>
                <w:szCs w:val="16"/>
              </w:rPr>
            </w:pPr>
            <w:sdt>
              <w:sdtPr>
                <w:rPr>
                  <w:sz w:val="16"/>
                  <w:szCs w:val="16"/>
                </w:rPr>
                <w:id w:val="-126599740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After 50 hours</w:t>
            </w:r>
          </w:p>
          <w:p w14:paraId="631FB7A7" w14:textId="77777777" w:rsidR="0085374E" w:rsidRPr="0085374E" w:rsidRDefault="00427B33" w:rsidP="0085374E">
            <w:pPr>
              <w:spacing w:beforeLines="20" w:before="48" w:afterLines="20" w:after="48"/>
              <w:rPr>
                <w:sz w:val="16"/>
                <w:szCs w:val="16"/>
              </w:rPr>
            </w:pPr>
            <w:sdt>
              <w:sdtPr>
                <w:rPr>
                  <w:sz w:val="16"/>
                  <w:szCs w:val="16"/>
                </w:rPr>
                <w:id w:val="-146719704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After 60 hours</w:t>
            </w:r>
          </w:p>
          <w:p w14:paraId="52D57056" w14:textId="77777777" w:rsidR="0085374E" w:rsidRPr="0085374E" w:rsidRDefault="00427B33" w:rsidP="0085374E">
            <w:pPr>
              <w:spacing w:beforeLines="20" w:before="48" w:afterLines="20" w:after="48"/>
              <w:rPr>
                <w:sz w:val="16"/>
                <w:szCs w:val="16"/>
              </w:rPr>
            </w:pPr>
            <w:sdt>
              <w:sdtPr>
                <w:rPr>
                  <w:sz w:val="16"/>
                  <w:szCs w:val="16"/>
                </w:rPr>
                <w:id w:val="-163007667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After 75 hours</w:t>
            </w:r>
          </w:p>
          <w:p w14:paraId="614377F2" w14:textId="77777777" w:rsidR="0085374E" w:rsidRPr="0085374E" w:rsidRDefault="00427B33" w:rsidP="0085374E">
            <w:pPr>
              <w:spacing w:beforeLines="20" w:before="48" w:afterLines="20" w:after="48"/>
              <w:rPr>
                <w:sz w:val="16"/>
                <w:szCs w:val="16"/>
              </w:rPr>
            </w:pPr>
            <w:sdt>
              <w:sdtPr>
                <w:rPr>
                  <w:sz w:val="16"/>
                  <w:szCs w:val="16"/>
                </w:rPr>
                <w:id w:val="-1289818008"/>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After 90 hours</w:t>
            </w:r>
          </w:p>
          <w:p w14:paraId="745D5D8C" w14:textId="77777777" w:rsidR="0085374E" w:rsidRPr="0085374E" w:rsidRDefault="00427B33" w:rsidP="0085374E">
            <w:pPr>
              <w:spacing w:beforeLines="20" w:before="48" w:afterLines="20" w:after="48"/>
              <w:rPr>
                <w:sz w:val="16"/>
                <w:szCs w:val="16"/>
              </w:rPr>
            </w:pPr>
            <w:sdt>
              <w:sdtPr>
                <w:rPr>
                  <w:sz w:val="16"/>
                  <w:szCs w:val="16"/>
                </w:rPr>
                <w:id w:val="489680536"/>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After 100 hours</w:t>
            </w:r>
          </w:p>
          <w:p w14:paraId="3CDAAD82" w14:textId="77777777" w:rsidR="0085374E" w:rsidRPr="0085374E" w:rsidRDefault="00427B33" w:rsidP="0085374E">
            <w:pPr>
              <w:spacing w:beforeLines="20" w:before="48" w:afterLines="20" w:after="48"/>
              <w:rPr>
                <w:sz w:val="16"/>
                <w:szCs w:val="16"/>
              </w:rPr>
            </w:pPr>
            <w:sdt>
              <w:sdtPr>
                <w:rPr>
                  <w:sz w:val="16"/>
                  <w:szCs w:val="16"/>
                </w:rPr>
                <w:id w:val="-178656534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After 125 hours </w:t>
            </w:r>
          </w:p>
        </w:tc>
        <w:tc>
          <w:tcPr>
            <w:tcW w:w="2779" w:type="dxa"/>
            <w:tcBorders>
              <w:top w:val="single" w:sz="4" w:space="0" w:color="auto"/>
              <w:bottom w:val="single" w:sz="4" w:space="0" w:color="auto"/>
            </w:tcBorders>
          </w:tcPr>
          <w:p w14:paraId="2C3F3290" w14:textId="77777777" w:rsidR="0085374E" w:rsidRPr="0085374E" w:rsidRDefault="00427B33" w:rsidP="0085374E">
            <w:pPr>
              <w:spacing w:beforeLines="20" w:before="48" w:afterLines="20" w:after="48"/>
              <w:rPr>
                <w:sz w:val="16"/>
                <w:szCs w:val="16"/>
              </w:rPr>
            </w:pPr>
            <w:sdt>
              <w:sdtPr>
                <w:rPr>
                  <w:sz w:val="16"/>
                  <w:szCs w:val="16"/>
                </w:rPr>
                <w:id w:val="-429510342"/>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After 150 hours</w:t>
            </w:r>
          </w:p>
          <w:p w14:paraId="0F838C17" w14:textId="77777777" w:rsidR="0085374E" w:rsidRPr="0085374E" w:rsidRDefault="00427B33" w:rsidP="0085374E">
            <w:pPr>
              <w:spacing w:beforeLines="20" w:before="48" w:afterLines="20" w:after="48"/>
              <w:rPr>
                <w:sz w:val="16"/>
                <w:szCs w:val="16"/>
              </w:rPr>
            </w:pPr>
            <w:sdt>
              <w:sdtPr>
                <w:rPr>
                  <w:sz w:val="16"/>
                  <w:szCs w:val="16"/>
                </w:rPr>
                <w:id w:val="-106101075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After 200 hours</w:t>
            </w:r>
          </w:p>
          <w:p w14:paraId="44A216A9" w14:textId="77777777" w:rsidR="0085374E" w:rsidRPr="0085374E" w:rsidRDefault="00427B33" w:rsidP="0085374E">
            <w:pPr>
              <w:spacing w:beforeLines="20" w:before="48" w:afterLines="20" w:after="48"/>
              <w:rPr>
                <w:sz w:val="16"/>
                <w:szCs w:val="16"/>
              </w:rPr>
            </w:pPr>
            <w:sdt>
              <w:sdtPr>
                <w:rPr>
                  <w:sz w:val="16"/>
                  <w:szCs w:val="16"/>
                </w:rPr>
                <w:id w:val="-1884636678"/>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After 250 hours</w:t>
            </w:r>
          </w:p>
          <w:p w14:paraId="194C361A" w14:textId="77777777" w:rsidR="0085374E" w:rsidRPr="0085374E" w:rsidRDefault="00427B33" w:rsidP="0085374E">
            <w:pPr>
              <w:spacing w:beforeLines="20" w:before="48" w:afterLines="20" w:after="48"/>
              <w:rPr>
                <w:sz w:val="16"/>
                <w:szCs w:val="16"/>
              </w:rPr>
            </w:pPr>
            <w:sdt>
              <w:sdtPr>
                <w:rPr>
                  <w:sz w:val="16"/>
                  <w:szCs w:val="16"/>
                </w:rPr>
                <w:id w:val="-1499732556"/>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After 300 hours</w:t>
            </w:r>
          </w:p>
          <w:p w14:paraId="1BC43BB8" w14:textId="77777777" w:rsidR="0085374E" w:rsidRPr="0085374E" w:rsidRDefault="00427B33" w:rsidP="0085374E">
            <w:pPr>
              <w:spacing w:beforeLines="20" w:before="48" w:afterLines="20" w:after="48"/>
              <w:rPr>
                <w:sz w:val="16"/>
                <w:szCs w:val="16"/>
              </w:rPr>
            </w:pPr>
            <w:sdt>
              <w:sdtPr>
                <w:rPr>
                  <w:sz w:val="16"/>
                  <w:szCs w:val="16"/>
                </w:rPr>
                <w:id w:val="237909077"/>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After 500 hours</w:t>
            </w:r>
          </w:p>
          <w:p w14:paraId="5233C521" w14:textId="77777777" w:rsidR="0085374E" w:rsidRPr="0085374E" w:rsidRDefault="00427B33" w:rsidP="0085374E">
            <w:pPr>
              <w:spacing w:beforeLines="20" w:before="48" w:afterLines="20" w:after="48"/>
              <w:rPr>
                <w:sz w:val="16"/>
                <w:szCs w:val="16"/>
              </w:rPr>
            </w:pPr>
            <w:sdt>
              <w:sdtPr>
                <w:rPr>
                  <w:sz w:val="16"/>
                  <w:szCs w:val="16"/>
                </w:rPr>
                <w:id w:val="198674044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After 750 hours</w:t>
            </w:r>
          </w:p>
          <w:p w14:paraId="1C5E1161" w14:textId="77777777" w:rsidR="0085374E" w:rsidRDefault="00427B33" w:rsidP="0085374E">
            <w:pPr>
              <w:spacing w:beforeLines="20" w:before="48" w:afterLines="20" w:after="48"/>
              <w:rPr>
                <w:sz w:val="16"/>
                <w:szCs w:val="16"/>
              </w:rPr>
            </w:pPr>
            <w:sdt>
              <w:sdtPr>
                <w:rPr>
                  <w:sz w:val="16"/>
                  <w:szCs w:val="16"/>
                </w:rPr>
                <w:id w:val="-136568525"/>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Other (</w:t>
            </w:r>
            <w:r w:rsidR="0085374E" w:rsidRPr="0085374E">
              <w:rPr>
                <w:i/>
                <w:sz w:val="16"/>
                <w:szCs w:val="16"/>
              </w:rPr>
              <w:t>please specify</w:t>
            </w:r>
            <w:r w:rsidR="0085374E" w:rsidRPr="0085374E">
              <w:rPr>
                <w:sz w:val="16"/>
                <w:szCs w:val="16"/>
              </w:rPr>
              <w:t>):</w:t>
            </w:r>
          </w:p>
          <w:p w14:paraId="271E612D" w14:textId="4F521E37" w:rsidR="0085374E" w:rsidRPr="0085374E" w:rsidRDefault="0085374E" w:rsidP="0085374E">
            <w:pPr>
              <w:spacing w:beforeLines="20" w:before="48" w:afterLines="20" w:after="48"/>
              <w:rPr>
                <w:sz w:val="16"/>
                <w:szCs w:val="16"/>
              </w:rPr>
            </w:pPr>
          </w:p>
        </w:tc>
      </w:tr>
      <w:tr w:rsidR="0085374E" w:rsidRPr="0085374E" w14:paraId="3AE955EC" w14:textId="77777777" w:rsidTr="00926378">
        <w:tc>
          <w:tcPr>
            <w:tcW w:w="3397" w:type="dxa"/>
            <w:tcBorders>
              <w:top w:val="single" w:sz="4" w:space="0" w:color="auto"/>
              <w:bottom w:val="single" w:sz="4" w:space="0" w:color="auto"/>
            </w:tcBorders>
          </w:tcPr>
          <w:p w14:paraId="5953F0FC" w14:textId="77777777" w:rsidR="0085374E" w:rsidRPr="0085374E" w:rsidRDefault="0085374E" w:rsidP="0085374E">
            <w:pPr>
              <w:pStyle w:val="ListParagraph"/>
              <w:numPr>
                <w:ilvl w:val="0"/>
                <w:numId w:val="34"/>
              </w:numPr>
              <w:spacing w:beforeLines="20" w:before="48" w:afterLines="20" w:after="48"/>
              <w:ind w:left="0" w:firstLine="0"/>
              <w:jc w:val="left"/>
              <w:rPr>
                <w:b/>
                <w:sz w:val="16"/>
                <w:szCs w:val="16"/>
              </w:rPr>
            </w:pPr>
            <w:r w:rsidRPr="0085374E">
              <w:rPr>
                <w:b/>
                <w:sz w:val="16"/>
                <w:szCs w:val="16"/>
              </w:rPr>
              <w:lastRenderedPageBreak/>
              <w:t>What is the average time of complete oil change in your hydraulic machine, and based on which criteria do you conduct it?</w:t>
            </w:r>
          </w:p>
        </w:tc>
        <w:tc>
          <w:tcPr>
            <w:tcW w:w="2840" w:type="dxa"/>
            <w:gridSpan w:val="2"/>
            <w:tcBorders>
              <w:top w:val="single" w:sz="4" w:space="0" w:color="auto"/>
              <w:bottom w:val="single" w:sz="4" w:space="0" w:color="auto"/>
            </w:tcBorders>
          </w:tcPr>
          <w:p w14:paraId="0450D781" w14:textId="77777777" w:rsidR="0085374E" w:rsidRPr="0085374E" w:rsidRDefault="0085374E" w:rsidP="0085374E">
            <w:pPr>
              <w:spacing w:beforeLines="20" w:before="48" w:afterLines="20" w:after="48"/>
              <w:rPr>
                <w:b/>
                <w:sz w:val="16"/>
                <w:szCs w:val="16"/>
              </w:rPr>
            </w:pPr>
            <w:r w:rsidRPr="0085374E">
              <w:rPr>
                <w:b/>
                <w:sz w:val="16"/>
                <w:szCs w:val="16"/>
              </w:rPr>
              <w:t>Average time of complete oil change:</w:t>
            </w:r>
          </w:p>
          <w:p w14:paraId="2C682F2E" w14:textId="77777777" w:rsidR="0085374E" w:rsidRPr="0085374E" w:rsidRDefault="00427B33" w:rsidP="0085374E">
            <w:pPr>
              <w:spacing w:beforeLines="20" w:before="48" w:afterLines="20" w:after="48"/>
              <w:rPr>
                <w:sz w:val="16"/>
                <w:szCs w:val="16"/>
              </w:rPr>
            </w:pPr>
            <w:sdt>
              <w:sdtPr>
                <w:rPr>
                  <w:sz w:val="16"/>
                  <w:szCs w:val="16"/>
                </w:rPr>
                <w:id w:val="-747034047"/>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After 100 hours</w:t>
            </w:r>
          </w:p>
          <w:p w14:paraId="33E6BDD8" w14:textId="77777777" w:rsidR="0085374E" w:rsidRPr="0085374E" w:rsidRDefault="00427B33" w:rsidP="0085374E">
            <w:pPr>
              <w:spacing w:beforeLines="20" w:before="48" w:afterLines="20" w:after="48"/>
              <w:rPr>
                <w:sz w:val="16"/>
                <w:szCs w:val="16"/>
              </w:rPr>
            </w:pPr>
            <w:sdt>
              <w:sdtPr>
                <w:rPr>
                  <w:sz w:val="16"/>
                  <w:szCs w:val="16"/>
                </w:rPr>
                <w:id w:val="45591243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After 150 hours</w:t>
            </w:r>
          </w:p>
          <w:p w14:paraId="360DE1E8" w14:textId="77777777" w:rsidR="0085374E" w:rsidRPr="0085374E" w:rsidRDefault="00427B33" w:rsidP="0085374E">
            <w:pPr>
              <w:spacing w:beforeLines="20" w:before="48" w:afterLines="20" w:after="48"/>
              <w:rPr>
                <w:sz w:val="16"/>
                <w:szCs w:val="16"/>
              </w:rPr>
            </w:pPr>
            <w:sdt>
              <w:sdtPr>
                <w:rPr>
                  <w:sz w:val="16"/>
                  <w:szCs w:val="16"/>
                </w:rPr>
                <w:id w:val="-1064328559"/>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After 250 hours</w:t>
            </w:r>
          </w:p>
          <w:p w14:paraId="4DA06456" w14:textId="77777777" w:rsidR="0085374E" w:rsidRPr="0085374E" w:rsidRDefault="00427B33" w:rsidP="0085374E">
            <w:pPr>
              <w:spacing w:beforeLines="20" w:before="48" w:afterLines="20" w:after="48"/>
              <w:rPr>
                <w:sz w:val="16"/>
                <w:szCs w:val="16"/>
              </w:rPr>
            </w:pPr>
            <w:sdt>
              <w:sdtPr>
                <w:rPr>
                  <w:sz w:val="16"/>
                  <w:szCs w:val="16"/>
                </w:rPr>
                <w:id w:val="1188558682"/>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After 500 hours (15 days)</w:t>
            </w:r>
          </w:p>
          <w:p w14:paraId="1D361607" w14:textId="77777777" w:rsidR="0085374E" w:rsidRPr="0085374E" w:rsidRDefault="00427B33" w:rsidP="0085374E">
            <w:pPr>
              <w:spacing w:beforeLines="20" w:before="48" w:afterLines="20" w:after="48"/>
              <w:rPr>
                <w:sz w:val="16"/>
                <w:szCs w:val="16"/>
              </w:rPr>
            </w:pPr>
            <w:sdt>
              <w:sdtPr>
                <w:rPr>
                  <w:sz w:val="16"/>
                  <w:szCs w:val="16"/>
                </w:rPr>
                <w:id w:val="58619771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After 720 hours (monthly)</w:t>
            </w:r>
          </w:p>
          <w:p w14:paraId="3EF7DBC4" w14:textId="77777777" w:rsidR="0085374E" w:rsidRPr="0085374E" w:rsidRDefault="00427B33" w:rsidP="0085374E">
            <w:pPr>
              <w:spacing w:beforeLines="20" w:before="48" w:afterLines="20" w:after="48"/>
              <w:rPr>
                <w:sz w:val="16"/>
                <w:szCs w:val="16"/>
              </w:rPr>
            </w:pPr>
            <w:sdt>
              <w:sdtPr>
                <w:rPr>
                  <w:sz w:val="16"/>
                  <w:szCs w:val="16"/>
                </w:rPr>
                <w:id w:val="-140252005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After 1440 hours (after two months)</w:t>
            </w:r>
          </w:p>
          <w:p w14:paraId="45B6C425" w14:textId="77777777" w:rsidR="0085374E" w:rsidRPr="0085374E" w:rsidRDefault="00427B33" w:rsidP="0085374E">
            <w:pPr>
              <w:spacing w:beforeLines="20" w:before="48" w:afterLines="20" w:after="48"/>
              <w:rPr>
                <w:sz w:val="16"/>
                <w:szCs w:val="16"/>
              </w:rPr>
            </w:pPr>
            <w:sdt>
              <w:sdtPr>
                <w:rPr>
                  <w:sz w:val="16"/>
                  <w:szCs w:val="16"/>
                </w:rPr>
                <w:id w:val="-670258602"/>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After 2160 hours (quarterly)</w:t>
            </w:r>
          </w:p>
          <w:p w14:paraId="0F8FA665" w14:textId="77777777" w:rsidR="0085374E" w:rsidRPr="0085374E" w:rsidRDefault="00427B33" w:rsidP="0085374E">
            <w:pPr>
              <w:spacing w:beforeLines="20" w:before="48" w:afterLines="20" w:after="48"/>
              <w:rPr>
                <w:sz w:val="16"/>
                <w:szCs w:val="16"/>
              </w:rPr>
            </w:pPr>
            <w:sdt>
              <w:sdtPr>
                <w:rPr>
                  <w:sz w:val="16"/>
                  <w:szCs w:val="16"/>
                </w:rPr>
                <w:id w:val="1531758804"/>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After 4320 hours (every six months.)</w:t>
            </w:r>
          </w:p>
          <w:p w14:paraId="14EF3A33" w14:textId="77777777" w:rsidR="0085374E" w:rsidRPr="0085374E" w:rsidRDefault="00427B33" w:rsidP="0085374E">
            <w:pPr>
              <w:spacing w:beforeLines="20" w:before="48" w:afterLines="20" w:after="48"/>
              <w:rPr>
                <w:sz w:val="16"/>
                <w:szCs w:val="16"/>
              </w:rPr>
            </w:pPr>
            <w:sdt>
              <w:sdtPr>
                <w:rPr>
                  <w:sz w:val="16"/>
                  <w:szCs w:val="16"/>
                </w:rPr>
                <w:id w:val="-269854707"/>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After 8640 hours (yearly)</w:t>
            </w:r>
          </w:p>
          <w:p w14:paraId="38987146" w14:textId="77777777" w:rsidR="0085374E" w:rsidRPr="0085374E" w:rsidRDefault="00427B33" w:rsidP="0085374E">
            <w:pPr>
              <w:spacing w:beforeLines="20" w:before="48" w:afterLines="20" w:after="48"/>
              <w:rPr>
                <w:sz w:val="16"/>
                <w:szCs w:val="16"/>
              </w:rPr>
            </w:pPr>
            <w:sdt>
              <w:sdtPr>
                <w:rPr>
                  <w:sz w:val="16"/>
                  <w:szCs w:val="16"/>
                </w:rPr>
                <w:id w:val="-1507355198"/>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Other (</w:t>
            </w:r>
            <w:r w:rsidR="0085374E" w:rsidRPr="0085374E">
              <w:rPr>
                <w:i/>
                <w:sz w:val="16"/>
                <w:szCs w:val="16"/>
              </w:rPr>
              <w:t>please specify</w:t>
            </w:r>
            <w:r w:rsidR="0085374E" w:rsidRPr="0085374E">
              <w:rPr>
                <w:sz w:val="16"/>
                <w:szCs w:val="16"/>
              </w:rPr>
              <w:t>):___________</w:t>
            </w:r>
          </w:p>
        </w:tc>
        <w:tc>
          <w:tcPr>
            <w:tcW w:w="2779" w:type="dxa"/>
            <w:tcBorders>
              <w:top w:val="single" w:sz="4" w:space="0" w:color="auto"/>
              <w:bottom w:val="single" w:sz="4" w:space="0" w:color="auto"/>
            </w:tcBorders>
          </w:tcPr>
          <w:p w14:paraId="302FA40E" w14:textId="264C4F1B" w:rsidR="0085374E" w:rsidRPr="0085374E" w:rsidRDefault="0085374E" w:rsidP="0085374E">
            <w:pPr>
              <w:spacing w:beforeLines="20" w:before="48" w:afterLines="20" w:after="48"/>
              <w:rPr>
                <w:sz w:val="16"/>
                <w:szCs w:val="16"/>
              </w:rPr>
            </w:pPr>
            <w:r w:rsidRPr="0085374E">
              <w:rPr>
                <w:b/>
                <w:sz w:val="16"/>
                <w:szCs w:val="16"/>
              </w:rPr>
              <w:t>Criteria:</w:t>
            </w:r>
            <w:r w:rsidRPr="0085374E">
              <w:rPr>
                <w:b/>
                <w:sz w:val="16"/>
                <w:szCs w:val="16"/>
              </w:rPr>
              <w:br/>
            </w:r>
            <w:sdt>
              <w:sdtPr>
                <w:rPr>
                  <w:sz w:val="16"/>
                  <w:szCs w:val="16"/>
                </w:rPr>
                <w:id w:val="-376322948"/>
                <w14:checkbox>
                  <w14:checked w14:val="0"/>
                  <w14:checkedState w14:val="2612" w14:font="MS Gothic"/>
                  <w14:uncheckedState w14:val="2610" w14:font="MS Gothic"/>
                </w14:checkbox>
              </w:sdtPr>
              <w:sdtEndPr/>
              <w:sdtContent>
                <w:r w:rsidRPr="0085374E">
                  <w:rPr>
                    <w:rFonts w:ascii="Segoe UI Symbol" w:eastAsia="MS Gothic" w:hAnsi="Segoe UI Symbol" w:cs="Segoe UI Symbol"/>
                    <w:sz w:val="16"/>
                    <w:szCs w:val="16"/>
                  </w:rPr>
                  <w:t>☐</w:t>
                </w:r>
              </w:sdtContent>
            </w:sdt>
            <w:r w:rsidRPr="0085374E">
              <w:rPr>
                <w:sz w:val="16"/>
                <w:szCs w:val="16"/>
              </w:rPr>
              <w:t xml:space="preserve"> Routine</w:t>
            </w:r>
          </w:p>
          <w:p w14:paraId="2EB5794A" w14:textId="77777777" w:rsidR="0085374E" w:rsidRPr="0085374E" w:rsidRDefault="00427B33" w:rsidP="0085374E">
            <w:pPr>
              <w:spacing w:beforeLines="20" w:before="48" w:afterLines="20" w:after="48"/>
              <w:rPr>
                <w:sz w:val="16"/>
                <w:szCs w:val="16"/>
              </w:rPr>
            </w:pPr>
            <w:sdt>
              <w:sdtPr>
                <w:rPr>
                  <w:sz w:val="16"/>
                  <w:szCs w:val="16"/>
                </w:rPr>
                <w:id w:val="168839817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Oil check</w:t>
            </w:r>
          </w:p>
          <w:p w14:paraId="02FADB50" w14:textId="77777777" w:rsidR="0085374E" w:rsidRPr="0085374E" w:rsidRDefault="00427B33" w:rsidP="0085374E">
            <w:pPr>
              <w:spacing w:beforeLines="20" w:before="48" w:afterLines="20" w:after="48"/>
              <w:rPr>
                <w:sz w:val="16"/>
                <w:szCs w:val="16"/>
              </w:rPr>
            </w:pPr>
            <w:sdt>
              <w:sdtPr>
                <w:rPr>
                  <w:sz w:val="16"/>
                  <w:szCs w:val="16"/>
                </w:rPr>
                <w:id w:val="-128858430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Historical data analysis</w:t>
            </w:r>
          </w:p>
          <w:p w14:paraId="6CBC2DDA" w14:textId="77777777" w:rsidR="0085374E" w:rsidRPr="0085374E" w:rsidRDefault="00427B33" w:rsidP="0085374E">
            <w:pPr>
              <w:spacing w:beforeLines="20" w:before="48" w:afterLines="20" w:after="48"/>
              <w:rPr>
                <w:sz w:val="16"/>
                <w:szCs w:val="16"/>
              </w:rPr>
            </w:pPr>
            <w:sdt>
              <w:sdtPr>
                <w:rPr>
                  <w:sz w:val="16"/>
                  <w:szCs w:val="16"/>
                </w:rPr>
                <w:id w:val="1596593264"/>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Contaminated oil</w:t>
            </w:r>
          </w:p>
          <w:p w14:paraId="0A380155" w14:textId="77777777" w:rsidR="0085374E" w:rsidRPr="0085374E" w:rsidRDefault="00427B33" w:rsidP="0085374E">
            <w:pPr>
              <w:spacing w:beforeLines="20" w:before="48" w:afterLines="20" w:after="48"/>
              <w:rPr>
                <w:sz w:val="16"/>
                <w:szCs w:val="16"/>
              </w:rPr>
            </w:pPr>
            <w:sdt>
              <w:sdtPr>
                <w:rPr>
                  <w:sz w:val="16"/>
                  <w:szCs w:val="16"/>
                </w:rPr>
                <w:id w:val="2013559719"/>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Based on a suggestion from the equipment manufacturer</w:t>
            </w:r>
          </w:p>
          <w:p w14:paraId="2197CB1C" w14:textId="77777777" w:rsidR="0085374E" w:rsidRPr="0085374E" w:rsidRDefault="00427B33" w:rsidP="0085374E">
            <w:pPr>
              <w:spacing w:beforeLines="20" w:before="48" w:afterLines="20" w:after="48"/>
              <w:rPr>
                <w:sz w:val="16"/>
                <w:szCs w:val="16"/>
              </w:rPr>
            </w:pPr>
            <w:sdt>
              <w:sdtPr>
                <w:rPr>
                  <w:sz w:val="16"/>
                  <w:szCs w:val="16"/>
                </w:rPr>
                <w:id w:val="-1077286949"/>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The response of the system</w:t>
            </w:r>
          </w:p>
          <w:p w14:paraId="5757B19C" w14:textId="77777777" w:rsidR="0085374E" w:rsidRPr="0085374E" w:rsidRDefault="00427B33" w:rsidP="0085374E">
            <w:pPr>
              <w:spacing w:beforeLines="20" w:before="48" w:afterLines="20" w:after="48"/>
              <w:rPr>
                <w:sz w:val="16"/>
                <w:szCs w:val="16"/>
              </w:rPr>
            </w:pPr>
            <w:sdt>
              <w:sdtPr>
                <w:rPr>
                  <w:sz w:val="16"/>
                  <w:szCs w:val="16"/>
                </w:rPr>
                <w:id w:val="-179444273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Other (</w:t>
            </w:r>
            <w:r w:rsidR="0085374E" w:rsidRPr="0085374E">
              <w:rPr>
                <w:i/>
                <w:sz w:val="16"/>
                <w:szCs w:val="16"/>
              </w:rPr>
              <w:t>please specify</w:t>
            </w:r>
            <w:r w:rsidR="0085374E" w:rsidRPr="0085374E">
              <w:rPr>
                <w:sz w:val="16"/>
                <w:szCs w:val="16"/>
              </w:rPr>
              <w:t>):</w:t>
            </w:r>
          </w:p>
          <w:p w14:paraId="5A458F9A" w14:textId="77777777" w:rsidR="0085374E" w:rsidRPr="0085374E" w:rsidRDefault="0085374E" w:rsidP="0085374E">
            <w:pPr>
              <w:spacing w:beforeLines="20" w:before="48" w:afterLines="20" w:after="48"/>
              <w:rPr>
                <w:sz w:val="16"/>
                <w:szCs w:val="16"/>
              </w:rPr>
            </w:pPr>
            <w:r w:rsidRPr="0085374E">
              <w:rPr>
                <w:sz w:val="16"/>
                <w:szCs w:val="16"/>
              </w:rPr>
              <w:t>___________________________</w:t>
            </w:r>
          </w:p>
          <w:p w14:paraId="39A2F04C" w14:textId="77777777" w:rsidR="0085374E" w:rsidRPr="0085374E" w:rsidRDefault="0085374E" w:rsidP="0085374E">
            <w:pPr>
              <w:spacing w:beforeLines="20" w:before="48" w:afterLines="20" w:after="48"/>
              <w:rPr>
                <w:sz w:val="16"/>
                <w:szCs w:val="16"/>
              </w:rPr>
            </w:pPr>
          </w:p>
        </w:tc>
      </w:tr>
      <w:tr w:rsidR="0085374E" w:rsidRPr="0085374E" w14:paraId="0C983279" w14:textId="77777777" w:rsidTr="00926378">
        <w:tc>
          <w:tcPr>
            <w:tcW w:w="3397" w:type="dxa"/>
            <w:tcBorders>
              <w:top w:val="single" w:sz="4" w:space="0" w:color="auto"/>
              <w:bottom w:val="single" w:sz="4" w:space="0" w:color="auto"/>
            </w:tcBorders>
          </w:tcPr>
          <w:p w14:paraId="24920F0F" w14:textId="77777777" w:rsidR="0085374E" w:rsidRPr="0085374E" w:rsidRDefault="0085374E" w:rsidP="0085374E">
            <w:pPr>
              <w:pStyle w:val="ListParagraph"/>
              <w:numPr>
                <w:ilvl w:val="0"/>
                <w:numId w:val="34"/>
              </w:numPr>
              <w:spacing w:beforeLines="20" w:before="48" w:afterLines="20" w:after="48"/>
              <w:ind w:left="0" w:firstLine="0"/>
              <w:jc w:val="left"/>
              <w:rPr>
                <w:b/>
                <w:sz w:val="16"/>
                <w:szCs w:val="16"/>
              </w:rPr>
            </w:pPr>
            <w:r w:rsidRPr="0085374E">
              <w:rPr>
                <w:b/>
                <w:sz w:val="16"/>
                <w:szCs w:val="16"/>
              </w:rPr>
              <w:t xml:space="preserve">What is the average oil filling of machines in your everyday usage, and how many litres/gallons/barrels do you spend monthly? </w:t>
            </w:r>
          </w:p>
        </w:tc>
        <w:tc>
          <w:tcPr>
            <w:tcW w:w="2840" w:type="dxa"/>
            <w:gridSpan w:val="2"/>
            <w:tcBorders>
              <w:top w:val="single" w:sz="4" w:space="0" w:color="auto"/>
              <w:bottom w:val="single" w:sz="4" w:space="0" w:color="auto"/>
            </w:tcBorders>
          </w:tcPr>
          <w:p w14:paraId="12588180" w14:textId="77777777" w:rsidR="0085374E" w:rsidRPr="0085374E" w:rsidRDefault="0085374E" w:rsidP="0085374E">
            <w:pPr>
              <w:spacing w:beforeLines="20" w:before="48" w:afterLines="20" w:after="48"/>
              <w:rPr>
                <w:rFonts w:eastAsia="MS Gothic" w:cs="Times New Roman"/>
                <w:b/>
                <w:sz w:val="16"/>
                <w:szCs w:val="16"/>
              </w:rPr>
            </w:pPr>
            <w:r w:rsidRPr="0085374E">
              <w:rPr>
                <w:rFonts w:eastAsia="MS Gothic" w:cs="Times New Roman"/>
                <w:b/>
                <w:sz w:val="16"/>
                <w:szCs w:val="16"/>
              </w:rPr>
              <w:t>Average machine oil filling:</w:t>
            </w:r>
          </w:p>
          <w:p w14:paraId="686CD72D" w14:textId="77777777" w:rsidR="0085374E" w:rsidRPr="0085374E" w:rsidRDefault="00427B33" w:rsidP="0085374E">
            <w:pPr>
              <w:spacing w:beforeLines="20" w:before="48" w:afterLines="20" w:after="48"/>
              <w:rPr>
                <w:sz w:val="16"/>
                <w:szCs w:val="16"/>
              </w:rPr>
            </w:pPr>
            <w:sdt>
              <w:sdtPr>
                <w:rPr>
                  <w:sz w:val="16"/>
                  <w:szCs w:val="16"/>
                </w:rPr>
                <w:id w:val="-345943874"/>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&lt;50 litres</w:t>
            </w:r>
          </w:p>
          <w:p w14:paraId="3287C4B9" w14:textId="77777777" w:rsidR="0085374E" w:rsidRPr="0085374E" w:rsidRDefault="00427B33" w:rsidP="0085374E">
            <w:pPr>
              <w:spacing w:beforeLines="20" w:before="48" w:afterLines="20" w:after="48"/>
              <w:rPr>
                <w:sz w:val="16"/>
                <w:szCs w:val="16"/>
              </w:rPr>
            </w:pPr>
            <w:sdt>
              <w:sdtPr>
                <w:rPr>
                  <w:sz w:val="16"/>
                  <w:szCs w:val="16"/>
                </w:rPr>
                <w:id w:val="151002644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50-100 litres</w:t>
            </w:r>
          </w:p>
          <w:p w14:paraId="1D92ABD9" w14:textId="77777777" w:rsidR="0085374E" w:rsidRPr="0085374E" w:rsidRDefault="00427B33" w:rsidP="0085374E">
            <w:pPr>
              <w:spacing w:beforeLines="20" w:before="48" w:afterLines="20" w:after="48"/>
              <w:rPr>
                <w:sz w:val="16"/>
                <w:szCs w:val="16"/>
              </w:rPr>
            </w:pPr>
            <w:sdt>
              <w:sdtPr>
                <w:rPr>
                  <w:sz w:val="16"/>
                  <w:szCs w:val="16"/>
                </w:rPr>
                <w:id w:val="131375677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100-150 litres</w:t>
            </w:r>
          </w:p>
          <w:p w14:paraId="1ED777FB" w14:textId="77777777" w:rsidR="0085374E" w:rsidRPr="0085374E" w:rsidRDefault="00427B33" w:rsidP="0085374E">
            <w:pPr>
              <w:spacing w:beforeLines="20" w:before="48" w:afterLines="20" w:after="48"/>
              <w:rPr>
                <w:sz w:val="16"/>
                <w:szCs w:val="16"/>
              </w:rPr>
            </w:pPr>
            <w:sdt>
              <w:sdtPr>
                <w:rPr>
                  <w:sz w:val="16"/>
                  <w:szCs w:val="16"/>
                </w:rPr>
                <w:id w:val="-96034243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150-200 litres</w:t>
            </w:r>
          </w:p>
          <w:p w14:paraId="4B228AFC" w14:textId="77777777" w:rsidR="0085374E" w:rsidRPr="0085374E" w:rsidRDefault="00427B33" w:rsidP="0085374E">
            <w:pPr>
              <w:spacing w:beforeLines="20" w:before="48" w:afterLines="20" w:after="48"/>
              <w:rPr>
                <w:sz w:val="16"/>
                <w:szCs w:val="16"/>
              </w:rPr>
            </w:pPr>
            <w:sdt>
              <w:sdtPr>
                <w:rPr>
                  <w:sz w:val="16"/>
                  <w:szCs w:val="16"/>
                </w:rPr>
                <w:id w:val="1362707569"/>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200-250 litres</w:t>
            </w:r>
          </w:p>
          <w:p w14:paraId="073AC53C" w14:textId="77777777" w:rsidR="0085374E" w:rsidRPr="0085374E" w:rsidRDefault="00427B33" w:rsidP="0085374E">
            <w:pPr>
              <w:spacing w:beforeLines="20" w:before="48" w:afterLines="20" w:after="48"/>
              <w:rPr>
                <w:sz w:val="16"/>
                <w:szCs w:val="16"/>
              </w:rPr>
            </w:pPr>
            <w:sdt>
              <w:sdtPr>
                <w:rPr>
                  <w:sz w:val="16"/>
                  <w:szCs w:val="16"/>
                </w:rPr>
                <w:id w:val="-350881617"/>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250-300 litres</w:t>
            </w:r>
          </w:p>
          <w:p w14:paraId="74AD408C" w14:textId="77777777" w:rsidR="0085374E" w:rsidRPr="0085374E" w:rsidRDefault="00427B33" w:rsidP="0085374E">
            <w:pPr>
              <w:spacing w:beforeLines="20" w:before="48" w:afterLines="20" w:after="48"/>
              <w:rPr>
                <w:sz w:val="16"/>
                <w:szCs w:val="16"/>
              </w:rPr>
            </w:pPr>
            <w:sdt>
              <w:sdtPr>
                <w:rPr>
                  <w:sz w:val="16"/>
                  <w:szCs w:val="16"/>
                </w:rPr>
                <w:id w:val="-183205904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300-500 litres</w:t>
            </w:r>
          </w:p>
          <w:p w14:paraId="35922C14" w14:textId="77777777" w:rsidR="0085374E" w:rsidRPr="0085374E" w:rsidRDefault="00427B33" w:rsidP="0085374E">
            <w:pPr>
              <w:spacing w:beforeLines="20" w:before="48" w:afterLines="20" w:after="48"/>
              <w:rPr>
                <w:sz w:val="16"/>
                <w:szCs w:val="16"/>
              </w:rPr>
            </w:pPr>
            <w:sdt>
              <w:sdtPr>
                <w:rPr>
                  <w:sz w:val="16"/>
                  <w:szCs w:val="16"/>
                </w:rPr>
                <w:id w:val="-51724030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500-1000 litres</w:t>
            </w:r>
          </w:p>
          <w:p w14:paraId="43B1C06D" w14:textId="77777777" w:rsidR="0085374E" w:rsidRPr="0085374E" w:rsidRDefault="00427B33" w:rsidP="0085374E">
            <w:pPr>
              <w:spacing w:beforeLines="20" w:before="48" w:afterLines="20" w:after="48"/>
              <w:rPr>
                <w:sz w:val="16"/>
                <w:szCs w:val="16"/>
              </w:rPr>
            </w:pPr>
            <w:sdt>
              <w:sdtPr>
                <w:rPr>
                  <w:sz w:val="16"/>
                  <w:szCs w:val="16"/>
                </w:rPr>
                <w:id w:val="1340584317"/>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1000-2000 litres</w:t>
            </w:r>
          </w:p>
          <w:p w14:paraId="152FE22D" w14:textId="77777777" w:rsidR="0085374E" w:rsidRPr="0085374E" w:rsidRDefault="00427B33" w:rsidP="0085374E">
            <w:pPr>
              <w:spacing w:beforeLines="20" w:before="48" w:afterLines="20" w:after="48"/>
              <w:rPr>
                <w:sz w:val="16"/>
                <w:szCs w:val="16"/>
              </w:rPr>
            </w:pPr>
            <w:sdt>
              <w:sdtPr>
                <w:rPr>
                  <w:sz w:val="16"/>
                  <w:szCs w:val="16"/>
                </w:rPr>
                <w:id w:val="138222175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2000-3000 litres</w:t>
            </w:r>
          </w:p>
          <w:p w14:paraId="6904A43F" w14:textId="77777777" w:rsidR="0085374E" w:rsidRPr="0085374E" w:rsidRDefault="00427B33" w:rsidP="0085374E">
            <w:pPr>
              <w:spacing w:beforeLines="20" w:before="48" w:afterLines="20" w:after="48"/>
              <w:rPr>
                <w:sz w:val="16"/>
                <w:szCs w:val="16"/>
              </w:rPr>
            </w:pPr>
            <w:sdt>
              <w:sdtPr>
                <w:rPr>
                  <w:sz w:val="16"/>
                  <w:szCs w:val="16"/>
                </w:rPr>
                <w:id w:val="-14196907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3000-4000 litres</w:t>
            </w:r>
          </w:p>
          <w:p w14:paraId="721E0529" w14:textId="77777777" w:rsidR="0085374E" w:rsidRPr="0085374E" w:rsidRDefault="00427B33" w:rsidP="0085374E">
            <w:pPr>
              <w:spacing w:beforeLines="20" w:before="48" w:afterLines="20" w:after="48"/>
              <w:rPr>
                <w:sz w:val="16"/>
                <w:szCs w:val="16"/>
              </w:rPr>
            </w:pPr>
            <w:sdt>
              <w:sdtPr>
                <w:rPr>
                  <w:sz w:val="16"/>
                  <w:szCs w:val="16"/>
                </w:rPr>
                <w:id w:val="-978689156"/>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Other (</w:t>
            </w:r>
            <w:r w:rsidR="0085374E" w:rsidRPr="0085374E">
              <w:rPr>
                <w:i/>
                <w:sz w:val="16"/>
                <w:szCs w:val="16"/>
              </w:rPr>
              <w:t>please specify</w:t>
            </w:r>
            <w:r w:rsidR="0085374E" w:rsidRPr="0085374E">
              <w:rPr>
                <w:sz w:val="16"/>
                <w:szCs w:val="16"/>
              </w:rPr>
              <w:t>):_________</w:t>
            </w:r>
          </w:p>
        </w:tc>
        <w:tc>
          <w:tcPr>
            <w:tcW w:w="2779" w:type="dxa"/>
            <w:tcBorders>
              <w:top w:val="single" w:sz="4" w:space="0" w:color="auto"/>
              <w:bottom w:val="single" w:sz="4" w:space="0" w:color="auto"/>
            </w:tcBorders>
          </w:tcPr>
          <w:p w14:paraId="04B8F4E7" w14:textId="77777777" w:rsidR="0085374E" w:rsidRPr="0085374E" w:rsidRDefault="0085374E" w:rsidP="0085374E">
            <w:pPr>
              <w:spacing w:beforeLines="20" w:before="48" w:afterLines="20" w:after="48"/>
              <w:rPr>
                <w:b/>
                <w:sz w:val="16"/>
                <w:szCs w:val="16"/>
              </w:rPr>
            </w:pPr>
            <w:r w:rsidRPr="0085374E">
              <w:rPr>
                <w:b/>
                <w:sz w:val="16"/>
                <w:szCs w:val="16"/>
              </w:rPr>
              <w:t>Hydraulic oil spent (litres/monthly)?</w:t>
            </w:r>
          </w:p>
          <w:p w14:paraId="4697F0E6" w14:textId="77777777" w:rsidR="0085374E" w:rsidRPr="0085374E" w:rsidRDefault="00427B33" w:rsidP="0085374E">
            <w:pPr>
              <w:spacing w:beforeLines="20" w:before="48" w:afterLines="20" w:after="48"/>
              <w:rPr>
                <w:sz w:val="16"/>
                <w:szCs w:val="16"/>
              </w:rPr>
            </w:pPr>
            <w:sdt>
              <w:sdtPr>
                <w:rPr>
                  <w:sz w:val="16"/>
                  <w:szCs w:val="16"/>
                </w:rPr>
                <w:id w:val="-2048440602"/>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0-500 litres</w:t>
            </w:r>
          </w:p>
          <w:p w14:paraId="4E017D1F" w14:textId="77777777" w:rsidR="0085374E" w:rsidRPr="0085374E" w:rsidRDefault="00427B33" w:rsidP="0085374E">
            <w:pPr>
              <w:spacing w:beforeLines="20" w:before="48" w:afterLines="20" w:after="48"/>
              <w:rPr>
                <w:sz w:val="16"/>
                <w:szCs w:val="16"/>
              </w:rPr>
            </w:pPr>
            <w:sdt>
              <w:sdtPr>
                <w:rPr>
                  <w:sz w:val="16"/>
                  <w:szCs w:val="16"/>
                </w:rPr>
                <w:id w:val="-70270556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500-1000 litres</w:t>
            </w:r>
          </w:p>
          <w:p w14:paraId="2A29F8BD" w14:textId="77777777" w:rsidR="0085374E" w:rsidRPr="0085374E" w:rsidRDefault="00427B33" w:rsidP="0085374E">
            <w:pPr>
              <w:spacing w:beforeLines="20" w:before="48" w:afterLines="20" w:after="48"/>
              <w:rPr>
                <w:sz w:val="16"/>
                <w:szCs w:val="16"/>
              </w:rPr>
            </w:pPr>
            <w:sdt>
              <w:sdtPr>
                <w:rPr>
                  <w:sz w:val="16"/>
                  <w:szCs w:val="16"/>
                </w:rPr>
                <w:id w:val="-118097343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1000-2000 litres</w:t>
            </w:r>
          </w:p>
          <w:p w14:paraId="27382269" w14:textId="77777777" w:rsidR="0085374E" w:rsidRPr="0085374E" w:rsidRDefault="00427B33" w:rsidP="0085374E">
            <w:pPr>
              <w:spacing w:beforeLines="20" w:before="48" w:afterLines="20" w:after="48"/>
              <w:rPr>
                <w:sz w:val="16"/>
                <w:szCs w:val="16"/>
              </w:rPr>
            </w:pPr>
            <w:sdt>
              <w:sdtPr>
                <w:rPr>
                  <w:sz w:val="16"/>
                  <w:szCs w:val="16"/>
                </w:rPr>
                <w:id w:val="-295606021"/>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2000-3000 litres</w:t>
            </w:r>
          </w:p>
          <w:p w14:paraId="2F8CCF04" w14:textId="77777777" w:rsidR="0085374E" w:rsidRPr="0085374E" w:rsidRDefault="00427B33" w:rsidP="0085374E">
            <w:pPr>
              <w:spacing w:beforeLines="20" w:before="48" w:afterLines="20" w:after="48"/>
              <w:rPr>
                <w:sz w:val="16"/>
                <w:szCs w:val="16"/>
              </w:rPr>
            </w:pPr>
            <w:sdt>
              <w:sdtPr>
                <w:rPr>
                  <w:sz w:val="16"/>
                  <w:szCs w:val="16"/>
                </w:rPr>
                <w:id w:val="-721592702"/>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3000-4000 litres</w:t>
            </w:r>
          </w:p>
          <w:p w14:paraId="47EEA11F" w14:textId="77777777" w:rsidR="0085374E" w:rsidRPr="0085374E" w:rsidRDefault="00427B33" w:rsidP="0085374E">
            <w:pPr>
              <w:spacing w:beforeLines="20" w:before="48" w:afterLines="20" w:after="48"/>
              <w:rPr>
                <w:sz w:val="16"/>
                <w:szCs w:val="16"/>
              </w:rPr>
            </w:pPr>
            <w:sdt>
              <w:sdtPr>
                <w:rPr>
                  <w:sz w:val="16"/>
                  <w:szCs w:val="16"/>
                </w:rPr>
                <w:id w:val="-1933732743"/>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4000-5000 litres</w:t>
            </w:r>
          </w:p>
          <w:p w14:paraId="28A805D8" w14:textId="77777777" w:rsidR="0085374E" w:rsidRPr="0085374E" w:rsidRDefault="00427B33" w:rsidP="0085374E">
            <w:pPr>
              <w:spacing w:beforeLines="20" w:before="48" w:afterLines="20" w:after="48"/>
              <w:rPr>
                <w:sz w:val="16"/>
                <w:szCs w:val="16"/>
              </w:rPr>
            </w:pPr>
            <w:sdt>
              <w:sdtPr>
                <w:rPr>
                  <w:sz w:val="16"/>
                  <w:szCs w:val="16"/>
                </w:rPr>
                <w:id w:val="896477060"/>
                <w14:checkbox>
                  <w14:checked w14:val="0"/>
                  <w14:checkedState w14:val="2612" w14:font="MS Gothic"/>
                  <w14:uncheckedState w14:val="2610" w14:font="MS Gothic"/>
                </w14:checkbox>
              </w:sdtPr>
              <w:sdtEndPr/>
              <w:sdtContent>
                <w:r w:rsidR="0085374E" w:rsidRPr="0085374E">
                  <w:rPr>
                    <w:rFonts w:ascii="Segoe UI Symbol" w:eastAsia="MS Gothic" w:hAnsi="Segoe UI Symbol" w:cs="Segoe UI Symbol"/>
                    <w:sz w:val="16"/>
                    <w:szCs w:val="16"/>
                  </w:rPr>
                  <w:t>☐</w:t>
                </w:r>
              </w:sdtContent>
            </w:sdt>
            <w:r w:rsidR="0085374E" w:rsidRPr="0085374E">
              <w:rPr>
                <w:sz w:val="16"/>
                <w:szCs w:val="16"/>
              </w:rPr>
              <w:t xml:space="preserve"> Other (</w:t>
            </w:r>
            <w:r w:rsidR="0085374E" w:rsidRPr="0085374E">
              <w:rPr>
                <w:i/>
                <w:sz w:val="16"/>
                <w:szCs w:val="16"/>
              </w:rPr>
              <w:t>specific number please add</w:t>
            </w:r>
            <w:r w:rsidR="0085374E" w:rsidRPr="0085374E">
              <w:rPr>
                <w:sz w:val="16"/>
                <w:szCs w:val="16"/>
              </w:rPr>
              <w:t>):</w:t>
            </w:r>
          </w:p>
          <w:p w14:paraId="50F4F24E" w14:textId="77777777" w:rsidR="0085374E" w:rsidRPr="0085374E" w:rsidRDefault="0085374E" w:rsidP="0085374E">
            <w:pPr>
              <w:spacing w:beforeLines="20" w:before="48" w:afterLines="20" w:after="48"/>
              <w:rPr>
                <w:sz w:val="16"/>
                <w:szCs w:val="16"/>
              </w:rPr>
            </w:pPr>
            <w:r w:rsidRPr="0085374E">
              <w:rPr>
                <w:sz w:val="16"/>
                <w:szCs w:val="16"/>
              </w:rPr>
              <w:t>__________________________</w:t>
            </w:r>
          </w:p>
          <w:p w14:paraId="60007513" w14:textId="77777777" w:rsidR="0085374E" w:rsidRPr="0085374E" w:rsidRDefault="0085374E" w:rsidP="0085374E">
            <w:pPr>
              <w:spacing w:beforeLines="20" w:before="48" w:afterLines="20" w:after="48"/>
              <w:rPr>
                <w:b/>
                <w:sz w:val="16"/>
                <w:szCs w:val="16"/>
              </w:rPr>
            </w:pPr>
          </w:p>
        </w:tc>
      </w:tr>
    </w:tbl>
    <w:p w14:paraId="625FE24E" w14:textId="77777777" w:rsidR="0085374E" w:rsidRPr="0085374E" w:rsidRDefault="0085374E">
      <w:pPr>
        <w:spacing w:before="0" w:after="160" w:line="259" w:lineRule="auto"/>
        <w:jc w:val="left"/>
        <w:rPr>
          <w:iCs/>
          <w:sz w:val="16"/>
          <w:szCs w:val="16"/>
        </w:rPr>
      </w:pPr>
      <w:r w:rsidRPr="0085374E">
        <w:rPr>
          <w:sz w:val="16"/>
          <w:szCs w:val="16"/>
        </w:rPr>
        <w:br w:type="page"/>
      </w:r>
    </w:p>
    <w:p w14:paraId="49763AA7" w14:textId="32338CDA" w:rsidR="00BA0176" w:rsidRDefault="0085374E" w:rsidP="0085374E">
      <w:pPr>
        <w:pStyle w:val="Caption"/>
        <w:jc w:val="left"/>
      </w:pPr>
      <w:bookmarkStart w:id="820" w:name="_Ref100839664"/>
      <w:bookmarkStart w:id="821" w:name="_Toc101274672"/>
      <w:r>
        <w:lastRenderedPageBreak/>
        <w:t xml:space="preserve">Appendix </w:t>
      </w:r>
      <w:r w:rsidR="00427B33">
        <w:fldChar w:fldCharType="begin"/>
      </w:r>
      <w:r w:rsidR="00427B33">
        <w:instrText xml:space="preserve"> SEQ Appendix \* ARABIC </w:instrText>
      </w:r>
      <w:r w:rsidR="00427B33">
        <w:fldChar w:fldCharType="separate"/>
      </w:r>
      <w:r w:rsidR="00587AF0">
        <w:rPr>
          <w:noProof/>
        </w:rPr>
        <w:t>2</w:t>
      </w:r>
      <w:r w:rsidR="00427B33">
        <w:rPr>
          <w:noProof/>
        </w:rPr>
        <w:fldChar w:fldCharType="end"/>
      </w:r>
      <w:bookmarkEnd w:id="820"/>
      <w:r>
        <w:t xml:space="preserve">. </w:t>
      </w:r>
      <w:r w:rsidR="00BA0176">
        <w:t>Results of oil analysis properties from laboratory</w:t>
      </w:r>
      <w:bookmarkEnd w:id="821"/>
    </w:p>
    <w:tbl>
      <w:tblPr>
        <w:tblW w:w="5000" w:type="pct"/>
        <w:tblLook w:val="04A0" w:firstRow="1" w:lastRow="0" w:firstColumn="1" w:lastColumn="0" w:noHBand="0" w:noVBand="1"/>
      </w:tblPr>
      <w:tblGrid>
        <w:gridCol w:w="1715"/>
        <w:gridCol w:w="1490"/>
        <w:gridCol w:w="1106"/>
        <w:gridCol w:w="821"/>
        <w:gridCol w:w="821"/>
        <w:gridCol w:w="821"/>
        <w:gridCol w:w="821"/>
        <w:gridCol w:w="714"/>
        <w:gridCol w:w="718"/>
      </w:tblGrid>
      <w:tr w:rsidR="00BA0176" w:rsidRPr="000F582D" w14:paraId="3A017022" w14:textId="77777777" w:rsidTr="00C161B4">
        <w:trPr>
          <w:trHeight w:val="448"/>
        </w:trPr>
        <w:tc>
          <w:tcPr>
            <w:tcW w:w="955" w:type="pct"/>
            <w:tcBorders>
              <w:top w:val="single" w:sz="4" w:space="0" w:color="auto"/>
              <w:bottom w:val="single" w:sz="4" w:space="0" w:color="auto"/>
            </w:tcBorders>
            <w:vAlign w:val="center"/>
          </w:tcPr>
          <w:p w14:paraId="57B4EDC9" w14:textId="77777777" w:rsidR="00BA0176" w:rsidRPr="000F582D" w:rsidRDefault="00BA0176" w:rsidP="00C161B4">
            <w:pPr>
              <w:spacing w:before="0" w:after="0"/>
              <w:jc w:val="left"/>
              <w:rPr>
                <w:b/>
                <w:bCs/>
                <w:sz w:val="20"/>
                <w:szCs w:val="20"/>
                <w:vertAlign w:val="superscript"/>
              </w:rPr>
            </w:pPr>
            <w:r w:rsidRPr="000F582D">
              <w:rPr>
                <w:b/>
                <w:bCs/>
                <w:sz w:val="20"/>
                <w:szCs w:val="20"/>
              </w:rPr>
              <w:t>Property</w:t>
            </w:r>
            <w:r w:rsidRPr="000F582D">
              <w:rPr>
                <w:b/>
                <w:bCs/>
                <w:sz w:val="20"/>
                <w:szCs w:val="20"/>
                <w:vertAlign w:val="superscript"/>
              </w:rPr>
              <w:t>1,2</w:t>
            </w:r>
          </w:p>
        </w:tc>
        <w:tc>
          <w:tcPr>
            <w:tcW w:w="830" w:type="pct"/>
            <w:tcBorders>
              <w:top w:val="single" w:sz="4" w:space="0" w:color="auto"/>
              <w:bottom w:val="single" w:sz="4" w:space="0" w:color="auto"/>
            </w:tcBorders>
            <w:vAlign w:val="center"/>
          </w:tcPr>
          <w:p w14:paraId="53131F0C" w14:textId="77777777" w:rsidR="00BA0176" w:rsidRPr="000F582D" w:rsidRDefault="00BA0176" w:rsidP="00C161B4">
            <w:pPr>
              <w:spacing w:before="0" w:after="0"/>
              <w:jc w:val="center"/>
              <w:rPr>
                <w:b/>
                <w:bCs/>
                <w:sz w:val="20"/>
                <w:szCs w:val="20"/>
              </w:rPr>
            </w:pPr>
            <w:r w:rsidRPr="000F582D">
              <w:rPr>
                <w:b/>
                <w:bCs/>
                <w:sz w:val="20"/>
                <w:szCs w:val="20"/>
              </w:rPr>
              <w:t>Method</w:t>
            </w:r>
          </w:p>
        </w:tc>
        <w:tc>
          <w:tcPr>
            <w:tcW w:w="577" w:type="pct"/>
            <w:tcBorders>
              <w:top w:val="single" w:sz="4" w:space="0" w:color="auto"/>
              <w:bottom w:val="single" w:sz="4" w:space="0" w:color="auto"/>
            </w:tcBorders>
            <w:vAlign w:val="center"/>
          </w:tcPr>
          <w:p w14:paraId="1F9ADFD6" w14:textId="77777777" w:rsidR="00BA0176" w:rsidRPr="000F582D" w:rsidRDefault="00BA0176" w:rsidP="00C161B4">
            <w:pPr>
              <w:spacing w:before="0" w:after="0"/>
              <w:jc w:val="center"/>
              <w:rPr>
                <w:b/>
                <w:bCs/>
                <w:sz w:val="20"/>
                <w:szCs w:val="20"/>
              </w:rPr>
            </w:pPr>
            <w:r w:rsidRPr="000F582D">
              <w:rPr>
                <w:b/>
                <w:bCs/>
                <w:sz w:val="20"/>
                <w:szCs w:val="20"/>
              </w:rPr>
              <w:t>Unit</w:t>
            </w:r>
          </w:p>
        </w:tc>
        <w:tc>
          <w:tcPr>
            <w:tcW w:w="459" w:type="pct"/>
            <w:tcBorders>
              <w:top w:val="single" w:sz="4" w:space="0" w:color="auto"/>
              <w:bottom w:val="single" w:sz="4" w:space="0" w:color="auto"/>
            </w:tcBorders>
            <w:vAlign w:val="center"/>
          </w:tcPr>
          <w:p w14:paraId="1389CB5E" w14:textId="77777777" w:rsidR="00BA0176" w:rsidRPr="000F582D" w:rsidRDefault="00BA0176" w:rsidP="00C161B4">
            <w:pPr>
              <w:spacing w:before="0" w:after="0"/>
              <w:jc w:val="center"/>
              <w:rPr>
                <w:b/>
                <w:bCs/>
                <w:sz w:val="20"/>
                <w:szCs w:val="20"/>
              </w:rPr>
            </w:pPr>
            <w:r w:rsidRPr="000F582D">
              <w:rPr>
                <w:b/>
                <w:bCs/>
                <w:sz w:val="20"/>
                <w:szCs w:val="20"/>
              </w:rPr>
              <w:t>No.0</w:t>
            </w:r>
          </w:p>
        </w:tc>
        <w:tc>
          <w:tcPr>
            <w:tcW w:w="459" w:type="pct"/>
            <w:tcBorders>
              <w:top w:val="single" w:sz="4" w:space="0" w:color="auto"/>
              <w:bottom w:val="single" w:sz="4" w:space="0" w:color="auto"/>
            </w:tcBorders>
            <w:vAlign w:val="center"/>
          </w:tcPr>
          <w:p w14:paraId="284B9896" w14:textId="77777777" w:rsidR="00BA0176" w:rsidRPr="000F582D" w:rsidRDefault="00BA0176" w:rsidP="00C161B4">
            <w:pPr>
              <w:spacing w:before="0" w:after="0"/>
              <w:jc w:val="center"/>
              <w:rPr>
                <w:b/>
                <w:bCs/>
                <w:sz w:val="20"/>
                <w:szCs w:val="20"/>
              </w:rPr>
            </w:pPr>
            <w:r w:rsidRPr="000F582D">
              <w:rPr>
                <w:b/>
                <w:bCs/>
                <w:sz w:val="20"/>
                <w:szCs w:val="20"/>
              </w:rPr>
              <w:t>No.1</w:t>
            </w:r>
          </w:p>
        </w:tc>
        <w:tc>
          <w:tcPr>
            <w:tcW w:w="459" w:type="pct"/>
            <w:tcBorders>
              <w:top w:val="single" w:sz="4" w:space="0" w:color="auto"/>
              <w:bottom w:val="single" w:sz="4" w:space="0" w:color="auto"/>
            </w:tcBorders>
            <w:vAlign w:val="center"/>
          </w:tcPr>
          <w:p w14:paraId="7729783F" w14:textId="77777777" w:rsidR="00BA0176" w:rsidRPr="000F582D" w:rsidRDefault="00BA0176" w:rsidP="00C161B4">
            <w:pPr>
              <w:spacing w:before="0" w:after="0"/>
              <w:jc w:val="center"/>
              <w:rPr>
                <w:b/>
                <w:bCs/>
                <w:sz w:val="20"/>
                <w:szCs w:val="20"/>
              </w:rPr>
            </w:pPr>
            <w:r w:rsidRPr="000F582D">
              <w:rPr>
                <w:b/>
                <w:bCs/>
                <w:sz w:val="20"/>
                <w:szCs w:val="20"/>
              </w:rPr>
              <w:t>No.2</w:t>
            </w:r>
          </w:p>
        </w:tc>
        <w:tc>
          <w:tcPr>
            <w:tcW w:w="459" w:type="pct"/>
            <w:tcBorders>
              <w:top w:val="single" w:sz="4" w:space="0" w:color="auto"/>
              <w:bottom w:val="single" w:sz="4" w:space="0" w:color="auto"/>
            </w:tcBorders>
            <w:vAlign w:val="center"/>
          </w:tcPr>
          <w:p w14:paraId="0CF70D37" w14:textId="77777777" w:rsidR="00BA0176" w:rsidRPr="000F582D" w:rsidRDefault="00BA0176" w:rsidP="00C161B4">
            <w:pPr>
              <w:spacing w:before="0" w:after="0"/>
              <w:jc w:val="center"/>
              <w:rPr>
                <w:b/>
                <w:bCs/>
                <w:sz w:val="20"/>
                <w:szCs w:val="20"/>
              </w:rPr>
            </w:pPr>
            <w:r w:rsidRPr="000F582D">
              <w:rPr>
                <w:b/>
                <w:bCs/>
                <w:sz w:val="20"/>
                <w:szCs w:val="20"/>
              </w:rPr>
              <w:t>No.3</w:t>
            </w:r>
          </w:p>
        </w:tc>
        <w:tc>
          <w:tcPr>
            <w:tcW w:w="400" w:type="pct"/>
            <w:tcBorders>
              <w:top w:val="single" w:sz="4" w:space="0" w:color="auto"/>
              <w:bottom w:val="single" w:sz="4" w:space="0" w:color="auto"/>
            </w:tcBorders>
            <w:vAlign w:val="center"/>
          </w:tcPr>
          <w:p w14:paraId="7CC2A210" w14:textId="77777777" w:rsidR="00BA0176" w:rsidRPr="000F582D" w:rsidRDefault="00BA0176" w:rsidP="00C161B4">
            <w:pPr>
              <w:spacing w:before="0" w:after="0"/>
              <w:jc w:val="center"/>
              <w:rPr>
                <w:b/>
                <w:bCs/>
                <w:sz w:val="20"/>
                <w:szCs w:val="20"/>
              </w:rPr>
            </w:pPr>
            <w:r w:rsidRPr="000F582D">
              <w:rPr>
                <w:b/>
                <w:bCs/>
                <w:sz w:val="20"/>
                <w:szCs w:val="20"/>
              </w:rPr>
              <w:t>No.4</w:t>
            </w:r>
          </w:p>
        </w:tc>
        <w:tc>
          <w:tcPr>
            <w:tcW w:w="400" w:type="pct"/>
            <w:tcBorders>
              <w:top w:val="single" w:sz="4" w:space="0" w:color="auto"/>
              <w:bottom w:val="single" w:sz="4" w:space="0" w:color="auto"/>
            </w:tcBorders>
            <w:vAlign w:val="center"/>
          </w:tcPr>
          <w:p w14:paraId="51D02AA9" w14:textId="77777777" w:rsidR="00BA0176" w:rsidRPr="000F582D" w:rsidRDefault="00BA0176" w:rsidP="00C161B4">
            <w:pPr>
              <w:spacing w:before="0" w:after="0"/>
              <w:jc w:val="center"/>
              <w:rPr>
                <w:b/>
                <w:bCs/>
                <w:sz w:val="20"/>
                <w:szCs w:val="20"/>
              </w:rPr>
            </w:pPr>
            <w:r w:rsidRPr="000F582D">
              <w:rPr>
                <w:b/>
                <w:bCs/>
                <w:sz w:val="20"/>
                <w:szCs w:val="20"/>
              </w:rPr>
              <w:t>No.5</w:t>
            </w:r>
          </w:p>
        </w:tc>
      </w:tr>
      <w:tr w:rsidR="00BA0176" w:rsidRPr="000F582D" w14:paraId="49D80A85" w14:textId="77777777" w:rsidTr="00C161B4">
        <w:trPr>
          <w:trHeight w:val="454"/>
        </w:trPr>
        <w:tc>
          <w:tcPr>
            <w:tcW w:w="955" w:type="pct"/>
            <w:tcBorders>
              <w:top w:val="single" w:sz="4" w:space="0" w:color="auto"/>
            </w:tcBorders>
            <w:vAlign w:val="center"/>
          </w:tcPr>
          <w:p w14:paraId="6437A0EA" w14:textId="77777777" w:rsidR="00BA0176" w:rsidRPr="000F582D" w:rsidRDefault="00BA0176" w:rsidP="00C161B4">
            <w:pPr>
              <w:spacing w:before="0" w:after="0"/>
              <w:jc w:val="left"/>
              <w:rPr>
                <w:sz w:val="20"/>
                <w:szCs w:val="20"/>
                <w:vertAlign w:val="superscript"/>
              </w:rPr>
            </w:pPr>
            <w:r w:rsidRPr="000F582D">
              <w:rPr>
                <w:sz w:val="20"/>
                <w:szCs w:val="20"/>
              </w:rPr>
              <w:t>Density</w:t>
            </w:r>
            <w:r w:rsidRPr="000F582D">
              <w:rPr>
                <w:sz w:val="20"/>
                <w:szCs w:val="20"/>
                <w:vertAlign w:val="superscript"/>
              </w:rPr>
              <w:t>1</w:t>
            </w:r>
          </w:p>
        </w:tc>
        <w:tc>
          <w:tcPr>
            <w:tcW w:w="830" w:type="pct"/>
            <w:tcBorders>
              <w:top w:val="single" w:sz="4" w:space="0" w:color="auto"/>
            </w:tcBorders>
            <w:vAlign w:val="center"/>
          </w:tcPr>
          <w:p w14:paraId="452525AC" w14:textId="77777777" w:rsidR="00BA0176" w:rsidRPr="000F582D" w:rsidRDefault="00BA0176" w:rsidP="00C161B4">
            <w:pPr>
              <w:spacing w:before="0" w:after="0"/>
              <w:jc w:val="center"/>
              <w:rPr>
                <w:sz w:val="20"/>
                <w:szCs w:val="20"/>
              </w:rPr>
            </w:pPr>
            <w:r w:rsidRPr="000F582D">
              <w:rPr>
                <w:sz w:val="20"/>
                <w:szCs w:val="20"/>
              </w:rPr>
              <w:t>ASTM 1928</w:t>
            </w:r>
          </w:p>
        </w:tc>
        <w:tc>
          <w:tcPr>
            <w:tcW w:w="577" w:type="pct"/>
            <w:tcBorders>
              <w:top w:val="single" w:sz="4" w:space="0" w:color="auto"/>
            </w:tcBorders>
            <w:vAlign w:val="center"/>
          </w:tcPr>
          <w:p w14:paraId="3D230A35" w14:textId="77777777" w:rsidR="00BA0176" w:rsidRPr="000F582D" w:rsidRDefault="00BA0176" w:rsidP="00C161B4">
            <w:pPr>
              <w:spacing w:before="0" w:after="0"/>
              <w:rPr>
                <w:sz w:val="20"/>
                <w:szCs w:val="20"/>
              </w:rPr>
            </w:pPr>
            <w:r w:rsidRPr="000F582D">
              <w:rPr>
                <w:sz w:val="20"/>
                <w:szCs w:val="20"/>
              </w:rPr>
              <w:t>[g/cm</w:t>
            </w:r>
            <w:r w:rsidRPr="000F582D">
              <w:rPr>
                <w:sz w:val="20"/>
                <w:szCs w:val="20"/>
                <w:vertAlign w:val="superscript"/>
              </w:rPr>
              <w:t>3</w:t>
            </w:r>
            <w:r w:rsidRPr="000F582D">
              <w:rPr>
                <w:sz w:val="20"/>
                <w:szCs w:val="20"/>
              </w:rPr>
              <w:t>]</w:t>
            </w:r>
          </w:p>
        </w:tc>
        <w:tc>
          <w:tcPr>
            <w:tcW w:w="459" w:type="pct"/>
            <w:tcBorders>
              <w:top w:val="single" w:sz="4" w:space="0" w:color="auto"/>
            </w:tcBorders>
            <w:vAlign w:val="center"/>
          </w:tcPr>
          <w:p w14:paraId="044B5B1D" w14:textId="77777777" w:rsidR="00BA0176" w:rsidRPr="000F582D" w:rsidRDefault="00BA0176" w:rsidP="00C161B4">
            <w:pPr>
              <w:spacing w:before="0" w:after="0"/>
              <w:jc w:val="center"/>
              <w:rPr>
                <w:sz w:val="20"/>
                <w:szCs w:val="20"/>
              </w:rPr>
            </w:pPr>
            <w:r w:rsidRPr="000F582D">
              <w:rPr>
                <w:sz w:val="20"/>
                <w:szCs w:val="20"/>
              </w:rPr>
              <w:t>0.8635</w:t>
            </w:r>
          </w:p>
        </w:tc>
        <w:tc>
          <w:tcPr>
            <w:tcW w:w="459" w:type="pct"/>
            <w:tcBorders>
              <w:top w:val="single" w:sz="4" w:space="0" w:color="auto"/>
            </w:tcBorders>
            <w:vAlign w:val="center"/>
          </w:tcPr>
          <w:p w14:paraId="59F3226D" w14:textId="77777777" w:rsidR="00BA0176" w:rsidRPr="000F582D" w:rsidRDefault="00BA0176" w:rsidP="00C161B4">
            <w:pPr>
              <w:spacing w:before="0" w:after="0"/>
              <w:jc w:val="center"/>
              <w:rPr>
                <w:sz w:val="20"/>
                <w:szCs w:val="20"/>
              </w:rPr>
            </w:pPr>
            <w:r w:rsidRPr="000F582D">
              <w:rPr>
                <w:sz w:val="20"/>
                <w:szCs w:val="20"/>
              </w:rPr>
              <w:t>0.8807</w:t>
            </w:r>
          </w:p>
        </w:tc>
        <w:tc>
          <w:tcPr>
            <w:tcW w:w="459" w:type="pct"/>
            <w:tcBorders>
              <w:top w:val="single" w:sz="4" w:space="0" w:color="auto"/>
            </w:tcBorders>
            <w:vAlign w:val="center"/>
          </w:tcPr>
          <w:p w14:paraId="5F7CA6F5" w14:textId="77777777" w:rsidR="00BA0176" w:rsidRPr="000F582D" w:rsidRDefault="00BA0176" w:rsidP="00C161B4">
            <w:pPr>
              <w:spacing w:before="0" w:after="0"/>
              <w:jc w:val="center"/>
              <w:rPr>
                <w:sz w:val="20"/>
                <w:szCs w:val="20"/>
              </w:rPr>
            </w:pPr>
            <w:r w:rsidRPr="000F582D">
              <w:rPr>
                <w:sz w:val="20"/>
                <w:szCs w:val="20"/>
              </w:rPr>
              <w:t>0.8804</w:t>
            </w:r>
          </w:p>
        </w:tc>
        <w:tc>
          <w:tcPr>
            <w:tcW w:w="459" w:type="pct"/>
            <w:tcBorders>
              <w:top w:val="single" w:sz="4" w:space="0" w:color="auto"/>
            </w:tcBorders>
            <w:vAlign w:val="center"/>
          </w:tcPr>
          <w:p w14:paraId="4C1DEC68" w14:textId="77777777" w:rsidR="00BA0176" w:rsidRPr="000F582D" w:rsidRDefault="00BA0176" w:rsidP="00C161B4">
            <w:pPr>
              <w:spacing w:before="0" w:after="0"/>
              <w:jc w:val="center"/>
              <w:rPr>
                <w:sz w:val="20"/>
                <w:szCs w:val="20"/>
              </w:rPr>
            </w:pPr>
            <w:r w:rsidRPr="000F582D">
              <w:rPr>
                <w:sz w:val="20"/>
                <w:szCs w:val="20"/>
              </w:rPr>
              <w:t>0.8800</w:t>
            </w:r>
          </w:p>
        </w:tc>
        <w:tc>
          <w:tcPr>
            <w:tcW w:w="400" w:type="pct"/>
            <w:tcBorders>
              <w:top w:val="single" w:sz="4" w:space="0" w:color="auto"/>
            </w:tcBorders>
            <w:vAlign w:val="center"/>
          </w:tcPr>
          <w:p w14:paraId="33031EBC" w14:textId="77777777" w:rsidR="00BA0176" w:rsidRPr="000F582D" w:rsidRDefault="00BA0176" w:rsidP="00C161B4">
            <w:pPr>
              <w:spacing w:before="0" w:after="0"/>
              <w:jc w:val="center"/>
              <w:rPr>
                <w:sz w:val="20"/>
                <w:szCs w:val="20"/>
              </w:rPr>
            </w:pPr>
            <w:r w:rsidRPr="000F582D">
              <w:rPr>
                <w:sz w:val="20"/>
                <w:szCs w:val="20"/>
              </w:rPr>
              <w:t>-</w:t>
            </w:r>
          </w:p>
        </w:tc>
        <w:tc>
          <w:tcPr>
            <w:tcW w:w="400" w:type="pct"/>
            <w:tcBorders>
              <w:top w:val="single" w:sz="4" w:space="0" w:color="auto"/>
            </w:tcBorders>
            <w:vAlign w:val="center"/>
          </w:tcPr>
          <w:p w14:paraId="19BEDAAE" w14:textId="77777777" w:rsidR="00BA0176" w:rsidRPr="000F582D" w:rsidRDefault="00BA0176" w:rsidP="00C161B4">
            <w:pPr>
              <w:spacing w:before="0" w:after="0"/>
              <w:jc w:val="center"/>
              <w:rPr>
                <w:sz w:val="20"/>
                <w:szCs w:val="20"/>
              </w:rPr>
            </w:pPr>
            <w:r w:rsidRPr="000F582D">
              <w:rPr>
                <w:sz w:val="20"/>
                <w:szCs w:val="20"/>
              </w:rPr>
              <w:t>-</w:t>
            </w:r>
          </w:p>
        </w:tc>
      </w:tr>
      <w:tr w:rsidR="00BA0176" w:rsidRPr="000F582D" w14:paraId="1244B69A" w14:textId="77777777" w:rsidTr="00C161B4">
        <w:trPr>
          <w:trHeight w:val="454"/>
        </w:trPr>
        <w:tc>
          <w:tcPr>
            <w:tcW w:w="955" w:type="pct"/>
            <w:vAlign w:val="center"/>
          </w:tcPr>
          <w:p w14:paraId="00186AD6" w14:textId="77777777" w:rsidR="00BA0176" w:rsidRPr="000F582D" w:rsidRDefault="00BA0176" w:rsidP="00C161B4">
            <w:pPr>
              <w:spacing w:before="0" w:after="0"/>
              <w:jc w:val="left"/>
              <w:rPr>
                <w:sz w:val="20"/>
                <w:szCs w:val="20"/>
                <w:vertAlign w:val="superscript"/>
              </w:rPr>
            </w:pPr>
            <w:r w:rsidRPr="000F582D">
              <w:rPr>
                <w:sz w:val="20"/>
                <w:szCs w:val="20"/>
              </w:rPr>
              <w:t>Flow point</w:t>
            </w:r>
            <w:r w:rsidRPr="000F582D">
              <w:rPr>
                <w:sz w:val="20"/>
                <w:szCs w:val="20"/>
                <w:vertAlign w:val="superscript"/>
              </w:rPr>
              <w:t>1</w:t>
            </w:r>
          </w:p>
        </w:tc>
        <w:tc>
          <w:tcPr>
            <w:tcW w:w="830" w:type="pct"/>
            <w:vAlign w:val="center"/>
          </w:tcPr>
          <w:p w14:paraId="43C7310A" w14:textId="77777777" w:rsidR="00BA0176" w:rsidRPr="000F582D" w:rsidRDefault="00BA0176" w:rsidP="00C161B4">
            <w:pPr>
              <w:spacing w:before="0" w:after="0"/>
              <w:jc w:val="center"/>
              <w:rPr>
                <w:sz w:val="20"/>
                <w:szCs w:val="20"/>
              </w:rPr>
            </w:pPr>
            <w:r w:rsidRPr="000F582D">
              <w:rPr>
                <w:sz w:val="20"/>
                <w:szCs w:val="20"/>
              </w:rPr>
              <w:t>ASTM 92</w:t>
            </w:r>
          </w:p>
        </w:tc>
        <w:tc>
          <w:tcPr>
            <w:tcW w:w="577" w:type="pct"/>
            <w:vAlign w:val="center"/>
          </w:tcPr>
          <w:p w14:paraId="4BB1274C" w14:textId="77777777" w:rsidR="00BA0176" w:rsidRPr="000F582D" w:rsidRDefault="00BA0176" w:rsidP="00C161B4">
            <w:pPr>
              <w:spacing w:before="0" w:after="0"/>
              <w:jc w:val="center"/>
              <w:rPr>
                <w:sz w:val="20"/>
                <w:szCs w:val="20"/>
              </w:rPr>
            </w:pPr>
            <w:r w:rsidRPr="000F582D">
              <w:rPr>
                <w:sz w:val="20"/>
                <w:szCs w:val="20"/>
              </w:rPr>
              <w:t>[°C]</w:t>
            </w:r>
          </w:p>
        </w:tc>
        <w:tc>
          <w:tcPr>
            <w:tcW w:w="459" w:type="pct"/>
            <w:vAlign w:val="center"/>
          </w:tcPr>
          <w:p w14:paraId="663D6DD7" w14:textId="77777777" w:rsidR="00BA0176" w:rsidRPr="000F582D" w:rsidRDefault="00BA0176" w:rsidP="00C161B4">
            <w:pPr>
              <w:spacing w:before="0" w:after="0"/>
              <w:jc w:val="center"/>
              <w:rPr>
                <w:sz w:val="20"/>
                <w:szCs w:val="20"/>
              </w:rPr>
            </w:pPr>
            <w:r w:rsidRPr="000F582D">
              <w:rPr>
                <w:sz w:val="20"/>
                <w:szCs w:val="20"/>
              </w:rPr>
              <w:t>230</w:t>
            </w:r>
          </w:p>
        </w:tc>
        <w:tc>
          <w:tcPr>
            <w:tcW w:w="459" w:type="pct"/>
            <w:vAlign w:val="center"/>
          </w:tcPr>
          <w:p w14:paraId="5DABCC23" w14:textId="77777777" w:rsidR="00BA0176" w:rsidRPr="000F582D" w:rsidRDefault="00BA0176" w:rsidP="00C161B4">
            <w:pPr>
              <w:spacing w:before="0" w:after="0"/>
              <w:jc w:val="center"/>
              <w:rPr>
                <w:sz w:val="20"/>
                <w:szCs w:val="20"/>
              </w:rPr>
            </w:pPr>
            <w:r w:rsidRPr="000F582D">
              <w:rPr>
                <w:sz w:val="20"/>
                <w:szCs w:val="20"/>
              </w:rPr>
              <w:t>218</w:t>
            </w:r>
          </w:p>
        </w:tc>
        <w:tc>
          <w:tcPr>
            <w:tcW w:w="459" w:type="pct"/>
            <w:vAlign w:val="center"/>
          </w:tcPr>
          <w:p w14:paraId="22C33E4C" w14:textId="77777777" w:rsidR="00BA0176" w:rsidRPr="000F582D" w:rsidRDefault="00BA0176" w:rsidP="00C161B4">
            <w:pPr>
              <w:spacing w:before="0" w:after="0"/>
              <w:jc w:val="center"/>
              <w:rPr>
                <w:sz w:val="20"/>
                <w:szCs w:val="20"/>
              </w:rPr>
            </w:pPr>
            <w:r w:rsidRPr="000F582D">
              <w:rPr>
                <w:sz w:val="20"/>
                <w:szCs w:val="20"/>
              </w:rPr>
              <w:t>216</w:t>
            </w:r>
          </w:p>
        </w:tc>
        <w:tc>
          <w:tcPr>
            <w:tcW w:w="459" w:type="pct"/>
            <w:vAlign w:val="center"/>
          </w:tcPr>
          <w:p w14:paraId="3739AC72" w14:textId="77777777" w:rsidR="00BA0176" w:rsidRPr="000F582D" w:rsidRDefault="00BA0176" w:rsidP="00C161B4">
            <w:pPr>
              <w:spacing w:before="0" w:after="0"/>
              <w:jc w:val="center"/>
              <w:rPr>
                <w:sz w:val="20"/>
                <w:szCs w:val="20"/>
              </w:rPr>
            </w:pPr>
            <w:r w:rsidRPr="000F582D">
              <w:rPr>
                <w:sz w:val="20"/>
                <w:szCs w:val="20"/>
              </w:rPr>
              <w:t>216</w:t>
            </w:r>
          </w:p>
        </w:tc>
        <w:tc>
          <w:tcPr>
            <w:tcW w:w="400" w:type="pct"/>
            <w:vAlign w:val="center"/>
          </w:tcPr>
          <w:p w14:paraId="3A996C27" w14:textId="77777777" w:rsidR="00BA0176" w:rsidRPr="000F582D" w:rsidRDefault="00BA0176" w:rsidP="00C161B4">
            <w:pPr>
              <w:spacing w:before="0" w:after="0"/>
              <w:jc w:val="center"/>
              <w:rPr>
                <w:sz w:val="20"/>
                <w:szCs w:val="20"/>
              </w:rPr>
            </w:pPr>
            <w:r w:rsidRPr="000F582D">
              <w:rPr>
                <w:sz w:val="20"/>
                <w:szCs w:val="20"/>
              </w:rPr>
              <w:t>-</w:t>
            </w:r>
          </w:p>
        </w:tc>
        <w:tc>
          <w:tcPr>
            <w:tcW w:w="400" w:type="pct"/>
            <w:vAlign w:val="center"/>
          </w:tcPr>
          <w:p w14:paraId="2AD6ECBC" w14:textId="77777777" w:rsidR="00BA0176" w:rsidRPr="000F582D" w:rsidRDefault="00BA0176" w:rsidP="00C161B4">
            <w:pPr>
              <w:spacing w:before="0" w:after="0"/>
              <w:jc w:val="center"/>
              <w:rPr>
                <w:sz w:val="20"/>
                <w:szCs w:val="20"/>
              </w:rPr>
            </w:pPr>
            <w:r w:rsidRPr="000F582D">
              <w:rPr>
                <w:sz w:val="20"/>
                <w:szCs w:val="20"/>
              </w:rPr>
              <w:t>-</w:t>
            </w:r>
          </w:p>
        </w:tc>
      </w:tr>
      <w:tr w:rsidR="00BA0176" w:rsidRPr="000F582D" w14:paraId="1F12462C" w14:textId="77777777" w:rsidTr="00C161B4">
        <w:trPr>
          <w:trHeight w:val="454"/>
        </w:trPr>
        <w:tc>
          <w:tcPr>
            <w:tcW w:w="955" w:type="pct"/>
            <w:vAlign w:val="center"/>
          </w:tcPr>
          <w:p w14:paraId="711DDE4D" w14:textId="77777777" w:rsidR="00BA0176" w:rsidRPr="000F582D" w:rsidRDefault="00BA0176" w:rsidP="00C161B4">
            <w:pPr>
              <w:spacing w:before="0" w:after="0"/>
              <w:jc w:val="left"/>
              <w:rPr>
                <w:sz w:val="20"/>
                <w:szCs w:val="20"/>
                <w:vertAlign w:val="superscript"/>
              </w:rPr>
            </w:pPr>
            <w:r w:rsidRPr="000F582D">
              <w:rPr>
                <w:sz w:val="20"/>
                <w:szCs w:val="20"/>
              </w:rPr>
              <w:t>Flame point</w:t>
            </w:r>
            <w:r w:rsidRPr="000F582D">
              <w:rPr>
                <w:sz w:val="20"/>
                <w:szCs w:val="20"/>
                <w:vertAlign w:val="superscript"/>
              </w:rPr>
              <w:t>1</w:t>
            </w:r>
          </w:p>
        </w:tc>
        <w:tc>
          <w:tcPr>
            <w:tcW w:w="830" w:type="pct"/>
            <w:vAlign w:val="center"/>
          </w:tcPr>
          <w:p w14:paraId="21E61E32" w14:textId="77777777" w:rsidR="00BA0176" w:rsidRPr="000F582D" w:rsidRDefault="00BA0176" w:rsidP="00C161B4">
            <w:pPr>
              <w:spacing w:before="0" w:after="0"/>
              <w:jc w:val="center"/>
              <w:rPr>
                <w:sz w:val="20"/>
                <w:szCs w:val="20"/>
              </w:rPr>
            </w:pPr>
            <w:r w:rsidRPr="000F582D">
              <w:rPr>
                <w:sz w:val="20"/>
                <w:szCs w:val="20"/>
              </w:rPr>
              <w:t>ASTM D97</w:t>
            </w:r>
          </w:p>
        </w:tc>
        <w:tc>
          <w:tcPr>
            <w:tcW w:w="577" w:type="pct"/>
            <w:vAlign w:val="center"/>
          </w:tcPr>
          <w:p w14:paraId="14211F23" w14:textId="77777777" w:rsidR="00BA0176" w:rsidRPr="000F582D" w:rsidRDefault="00BA0176" w:rsidP="00C161B4">
            <w:pPr>
              <w:spacing w:before="0" w:after="0"/>
              <w:jc w:val="center"/>
              <w:rPr>
                <w:sz w:val="20"/>
                <w:szCs w:val="20"/>
              </w:rPr>
            </w:pPr>
            <w:r w:rsidRPr="000F582D">
              <w:rPr>
                <w:sz w:val="20"/>
                <w:szCs w:val="20"/>
              </w:rPr>
              <w:t>[°C]</w:t>
            </w:r>
          </w:p>
        </w:tc>
        <w:tc>
          <w:tcPr>
            <w:tcW w:w="459" w:type="pct"/>
            <w:vAlign w:val="center"/>
          </w:tcPr>
          <w:p w14:paraId="55B43351" w14:textId="77777777" w:rsidR="00BA0176" w:rsidRPr="000F582D" w:rsidRDefault="00BA0176" w:rsidP="00C161B4">
            <w:pPr>
              <w:spacing w:before="0" w:after="0"/>
              <w:jc w:val="center"/>
              <w:rPr>
                <w:sz w:val="20"/>
                <w:szCs w:val="20"/>
              </w:rPr>
            </w:pPr>
            <w:r w:rsidRPr="000F582D">
              <w:rPr>
                <w:sz w:val="20"/>
                <w:szCs w:val="20"/>
              </w:rPr>
              <w:t>-32</w:t>
            </w:r>
          </w:p>
        </w:tc>
        <w:tc>
          <w:tcPr>
            <w:tcW w:w="459" w:type="pct"/>
            <w:vAlign w:val="center"/>
          </w:tcPr>
          <w:p w14:paraId="7D218DB4" w14:textId="77777777" w:rsidR="00BA0176" w:rsidRPr="000F582D" w:rsidRDefault="00BA0176" w:rsidP="00C161B4">
            <w:pPr>
              <w:spacing w:before="0" w:after="0"/>
              <w:jc w:val="center"/>
              <w:rPr>
                <w:sz w:val="20"/>
                <w:szCs w:val="20"/>
              </w:rPr>
            </w:pPr>
            <w:r w:rsidRPr="000F582D">
              <w:rPr>
                <w:sz w:val="20"/>
                <w:szCs w:val="20"/>
              </w:rPr>
              <w:t>-39</w:t>
            </w:r>
          </w:p>
        </w:tc>
        <w:tc>
          <w:tcPr>
            <w:tcW w:w="459" w:type="pct"/>
            <w:vAlign w:val="center"/>
          </w:tcPr>
          <w:p w14:paraId="0B462615" w14:textId="77777777" w:rsidR="00BA0176" w:rsidRPr="000F582D" w:rsidRDefault="00BA0176" w:rsidP="00C161B4">
            <w:pPr>
              <w:spacing w:before="0" w:after="0"/>
              <w:jc w:val="center"/>
              <w:rPr>
                <w:sz w:val="20"/>
                <w:szCs w:val="20"/>
              </w:rPr>
            </w:pPr>
            <w:r w:rsidRPr="000F582D">
              <w:rPr>
                <w:sz w:val="20"/>
                <w:szCs w:val="20"/>
              </w:rPr>
              <w:t>-38</w:t>
            </w:r>
          </w:p>
        </w:tc>
        <w:tc>
          <w:tcPr>
            <w:tcW w:w="459" w:type="pct"/>
            <w:vAlign w:val="center"/>
          </w:tcPr>
          <w:p w14:paraId="1D2FB87E" w14:textId="77777777" w:rsidR="00BA0176" w:rsidRPr="000F582D" w:rsidRDefault="00BA0176" w:rsidP="00C161B4">
            <w:pPr>
              <w:spacing w:before="0" w:after="0"/>
              <w:jc w:val="center"/>
              <w:rPr>
                <w:sz w:val="20"/>
                <w:szCs w:val="20"/>
              </w:rPr>
            </w:pPr>
            <w:r w:rsidRPr="000F582D">
              <w:rPr>
                <w:sz w:val="20"/>
                <w:szCs w:val="20"/>
              </w:rPr>
              <w:t>-39</w:t>
            </w:r>
          </w:p>
        </w:tc>
        <w:tc>
          <w:tcPr>
            <w:tcW w:w="400" w:type="pct"/>
            <w:vAlign w:val="center"/>
          </w:tcPr>
          <w:p w14:paraId="4AC56A7A" w14:textId="77777777" w:rsidR="00BA0176" w:rsidRPr="000F582D" w:rsidRDefault="00BA0176" w:rsidP="00C161B4">
            <w:pPr>
              <w:spacing w:before="0" w:after="0"/>
              <w:jc w:val="center"/>
              <w:rPr>
                <w:sz w:val="20"/>
                <w:szCs w:val="20"/>
              </w:rPr>
            </w:pPr>
            <w:r w:rsidRPr="000F582D">
              <w:rPr>
                <w:sz w:val="20"/>
                <w:szCs w:val="20"/>
              </w:rPr>
              <w:t>-</w:t>
            </w:r>
          </w:p>
        </w:tc>
        <w:tc>
          <w:tcPr>
            <w:tcW w:w="400" w:type="pct"/>
            <w:vAlign w:val="center"/>
          </w:tcPr>
          <w:p w14:paraId="1292A6B6" w14:textId="77777777" w:rsidR="00BA0176" w:rsidRPr="000F582D" w:rsidRDefault="00BA0176" w:rsidP="00C161B4">
            <w:pPr>
              <w:spacing w:before="0" w:after="0"/>
              <w:jc w:val="center"/>
              <w:rPr>
                <w:sz w:val="20"/>
                <w:szCs w:val="20"/>
              </w:rPr>
            </w:pPr>
            <w:r w:rsidRPr="000F582D">
              <w:rPr>
                <w:sz w:val="20"/>
                <w:szCs w:val="20"/>
              </w:rPr>
              <w:t>-</w:t>
            </w:r>
          </w:p>
        </w:tc>
      </w:tr>
      <w:tr w:rsidR="00BA0176" w:rsidRPr="000F582D" w14:paraId="34E9656C" w14:textId="77777777" w:rsidTr="00B955FB">
        <w:trPr>
          <w:trHeight w:val="454"/>
        </w:trPr>
        <w:tc>
          <w:tcPr>
            <w:tcW w:w="955" w:type="pct"/>
            <w:vAlign w:val="center"/>
          </w:tcPr>
          <w:p w14:paraId="1B1AC65A" w14:textId="77777777" w:rsidR="00BA0176" w:rsidRPr="000F582D" w:rsidRDefault="00BA0176" w:rsidP="00C161B4">
            <w:pPr>
              <w:spacing w:before="0" w:after="0"/>
              <w:jc w:val="left"/>
              <w:rPr>
                <w:sz w:val="20"/>
                <w:szCs w:val="20"/>
                <w:vertAlign w:val="superscript"/>
              </w:rPr>
            </w:pPr>
            <w:r w:rsidRPr="000F582D">
              <w:rPr>
                <w:sz w:val="20"/>
                <w:szCs w:val="20"/>
              </w:rPr>
              <w:t>Viscosity 40°C</w:t>
            </w:r>
            <w:r w:rsidRPr="000F582D">
              <w:rPr>
                <w:sz w:val="20"/>
                <w:szCs w:val="20"/>
                <w:vertAlign w:val="superscript"/>
              </w:rPr>
              <w:t>1</w:t>
            </w:r>
          </w:p>
        </w:tc>
        <w:tc>
          <w:tcPr>
            <w:tcW w:w="830" w:type="pct"/>
            <w:vAlign w:val="center"/>
          </w:tcPr>
          <w:p w14:paraId="6D381F4B" w14:textId="77777777" w:rsidR="00BA0176" w:rsidRPr="000F582D" w:rsidRDefault="00BA0176" w:rsidP="00C161B4">
            <w:pPr>
              <w:spacing w:before="0" w:after="0"/>
              <w:jc w:val="center"/>
              <w:rPr>
                <w:sz w:val="20"/>
                <w:szCs w:val="20"/>
              </w:rPr>
            </w:pPr>
            <w:r w:rsidRPr="000F582D">
              <w:rPr>
                <w:sz w:val="20"/>
                <w:szCs w:val="20"/>
              </w:rPr>
              <w:t>ASTM D445</w:t>
            </w:r>
          </w:p>
        </w:tc>
        <w:tc>
          <w:tcPr>
            <w:tcW w:w="577" w:type="pct"/>
            <w:vAlign w:val="center"/>
          </w:tcPr>
          <w:p w14:paraId="1D156DB8" w14:textId="77777777" w:rsidR="00BA0176" w:rsidRPr="000F582D" w:rsidRDefault="00BA0176" w:rsidP="00C161B4">
            <w:pPr>
              <w:spacing w:before="0" w:after="0"/>
              <w:jc w:val="center"/>
              <w:rPr>
                <w:sz w:val="20"/>
                <w:szCs w:val="20"/>
              </w:rPr>
            </w:pPr>
            <w:r w:rsidRPr="000F582D">
              <w:rPr>
                <w:sz w:val="20"/>
                <w:szCs w:val="20"/>
              </w:rPr>
              <w:t>[cSt]</w:t>
            </w:r>
          </w:p>
        </w:tc>
        <w:tc>
          <w:tcPr>
            <w:tcW w:w="459" w:type="pct"/>
            <w:vAlign w:val="center"/>
          </w:tcPr>
          <w:p w14:paraId="5A1EEDDB" w14:textId="77777777" w:rsidR="00BA0176" w:rsidRPr="000F582D" w:rsidRDefault="00BA0176" w:rsidP="00B955FB">
            <w:pPr>
              <w:spacing w:before="0" w:after="0"/>
              <w:jc w:val="center"/>
              <w:rPr>
                <w:sz w:val="20"/>
                <w:szCs w:val="20"/>
              </w:rPr>
            </w:pPr>
            <w:r w:rsidRPr="000F582D">
              <w:rPr>
                <w:sz w:val="20"/>
                <w:szCs w:val="20"/>
              </w:rPr>
              <w:t>44.86</w:t>
            </w:r>
          </w:p>
        </w:tc>
        <w:tc>
          <w:tcPr>
            <w:tcW w:w="459" w:type="pct"/>
            <w:vAlign w:val="center"/>
          </w:tcPr>
          <w:p w14:paraId="6F97C55E" w14:textId="77777777" w:rsidR="00BA0176" w:rsidRPr="000F582D" w:rsidRDefault="00BA0176" w:rsidP="00B955FB">
            <w:pPr>
              <w:spacing w:before="0" w:after="0"/>
              <w:jc w:val="center"/>
              <w:rPr>
                <w:sz w:val="20"/>
                <w:szCs w:val="20"/>
              </w:rPr>
            </w:pPr>
            <w:r w:rsidRPr="000F582D">
              <w:rPr>
                <w:sz w:val="20"/>
                <w:szCs w:val="20"/>
              </w:rPr>
              <w:t>53.28</w:t>
            </w:r>
          </w:p>
        </w:tc>
        <w:tc>
          <w:tcPr>
            <w:tcW w:w="459" w:type="pct"/>
            <w:vAlign w:val="center"/>
          </w:tcPr>
          <w:p w14:paraId="2C7BAD0C" w14:textId="77777777" w:rsidR="00BA0176" w:rsidRPr="000F582D" w:rsidRDefault="00BA0176" w:rsidP="00B955FB">
            <w:pPr>
              <w:spacing w:before="0" w:after="0"/>
              <w:jc w:val="center"/>
              <w:rPr>
                <w:sz w:val="20"/>
                <w:szCs w:val="20"/>
              </w:rPr>
            </w:pPr>
            <w:r w:rsidRPr="000F582D">
              <w:rPr>
                <w:sz w:val="20"/>
                <w:szCs w:val="20"/>
              </w:rPr>
              <w:t>51.82</w:t>
            </w:r>
          </w:p>
        </w:tc>
        <w:tc>
          <w:tcPr>
            <w:tcW w:w="459" w:type="pct"/>
            <w:vAlign w:val="center"/>
          </w:tcPr>
          <w:p w14:paraId="1FAA6F9E" w14:textId="77777777" w:rsidR="00BA0176" w:rsidRPr="000F582D" w:rsidRDefault="00BA0176" w:rsidP="00B955FB">
            <w:pPr>
              <w:spacing w:before="0" w:after="0"/>
              <w:jc w:val="center"/>
              <w:rPr>
                <w:sz w:val="20"/>
                <w:szCs w:val="20"/>
              </w:rPr>
            </w:pPr>
            <w:r w:rsidRPr="000F582D">
              <w:rPr>
                <w:sz w:val="20"/>
                <w:szCs w:val="20"/>
              </w:rPr>
              <w:t>53.01</w:t>
            </w:r>
          </w:p>
        </w:tc>
        <w:tc>
          <w:tcPr>
            <w:tcW w:w="400" w:type="pct"/>
            <w:vAlign w:val="center"/>
          </w:tcPr>
          <w:p w14:paraId="6888B419" w14:textId="77777777" w:rsidR="00BA0176" w:rsidRPr="000F582D" w:rsidRDefault="00BA0176" w:rsidP="00B955FB">
            <w:pPr>
              <w:spacing w:before="0" w:after="0"/>
              <w:jc w:val="center"/>
              <w:rPr>
                <w:sz w:val="20"/>
                <w:szCs w:val="20"/>
              </w:rPr>
            </w:pPr>
            <w:r w:rsidRPr="000F582D">
              <w:rPr>
                <w:sz w:val="20"/>
                <w:szCs w:val="20"/>
              </w:rPr>
              <w:t>-</w:t>
            </w:r>
          </w:p>
        </w:tc>
        <w:tc>
          <w:tcPr>
            <w:tcW w:w="400" w:type="pct"/>
            <w:vAlign w:val="center"/>
          </w:tcPr>
          <w:p w14:paraId="5F7209A8" w14:textId="77777777" w:rsidR="00BA0176" w:rsidRPr="000F582D" w:rsidRDefault="00BA0176" w:rsidP="00B955FB">
            <w:pPr>
              <w:spacing w:before="0" w:after="0"/>
              <w:jc w:val="center"/>
              <w:rPr>
                <w:sz w:val="20"/>
                <w:szCs w:val="20"/>
              </w:rPr>
            </w:pPr>
            <w:r w:rsidRPr="000F582D">
              <w:rPr>
                <w:sz w:val="20"/>
                <w:szCs w:val="20"/>
              </w:rPr>
              <w:t>-</w:t>
            </w:r>
          </w:p>
        </w:tc>
      </w:tr>
      <w:tr w:rsidR="00BA0176" w:rsidRPr="000F582D" w14:paraId="4159BF8C" w14:textId="77777777" w:rsidTr="00B955FB">
        <w:trPr>
          <w:trHeight w:val="454"/>
        </w:trPr>
        <w:tc>
          <w:tcPr>
            <w:tcW w:w="955" w:type="pct"/>
            <w:vAlign w:val="center"/>
          </w:tcPr>
          <w:p w14:paraId="78E4AF95" w14:textId="77777777" w:rsidR="00BA0176" w:rsidRPr="000F582D" w:rsidRDefault="00BA0176" w:rsidP="00C161B4">
            <w:pPr>
              <w:spacing w:before="0" w:after="0"/>
              <w:jc w:val="left"/>
              <w:rPr>
                <w:sz w:val="20"/>
                <w:szCs w:val="20"/>
                <w:vertAlign w:val="superscript"/>
              </w:rPr>
            </w:pPr>
            <w:r w:rsidRPr="000F582D">
              <w:rPr>
                <w:sz w:val="20"/>
                <w:szCs w:val="20"/>
              </w:rPr>
              <w:t>Viscosity 40°C</w:t>
            </w:r>
            <w:r w:rsidRPr="000F582D">
              <w:rPr>
                <w:sz w:val="20"/>
                <w:szCs w:val="20"/>
                <w:vertAlign w:val="superscript"/>
              </w:rPr>
              <w:t>2</w:t>
            </w:r>
          </w:p>
        </w:tc>
        <w:tc>
          <w:tcPr>
            <w:tcW w:w="830" w:type="pct"/>
            <w:vAlign w:val="center"/>
          </w:tcPr>
          <w:p w14:paraId="7830CEAD" w14:textId="77777777" w:rsidR="00BA0176" w:rsidRPr="000F582D" w:rsidRDefault="00BA0176" w:rsidP="00C161B4">
            <w:pPr>
              <w:spacing w:before="0" w:after="0"/>
              <w:jc w:val="center"/>
              <w:rPr>
                <w:sz w:val="20"/>
                <w:szCs w:val="20"/>
              </w:rPr>
            </w:pPr>
            <w:r w:rsidRPr="000F582D">
              <w:rPr>
                <w:sz w:val="20"/>
                <w:szCs w:val="20"/>
              </w:rPr>
              <w:t>ASTM D445</w:t>
            </w:r>
          </w:p>
        </w:tc>
        <w:tc>
          <w:tcPr>
            <w:tcW w:w="577" w:type="pct"/>
            <w:vAlign w:val="center"/>
          </w:tcPr>
          <w:p w14:paraId="0375C441" w14:textId="77777777" w:rsidR="00BA0176" w:rsidRPr="000F582D" w:rsidRDefault="00BA0176" w:rsidP="00C161B4">
            <w:pPr>
              <w:spacing w:before="0" w:after="0"/>
              <w:jc w:val="center"/>
              <w:rPr>
                <w:sz w:val="20"/>
                <w:szCs w:val="20"/>
              </w:rPr>
            </w:pPr>
            <w:r w:rsidRPr="000F582D">
              <w:rPr>
                <w:sz w:val="20"/>
                <w:szCs w:val="20"/>
              </w:rPr>
              <w:t>[cSt]</w:t>
            </w:r>
          </w:p>
        </w:tc>
        <w:tc>
          <w:tcPr>
            <w:tcW w:w="459" w:type="pct"/>
            <w:vAlign w:val="center"/>
          </w:tcPr>
          <w:p w14:paraId="57F69966" w14:textId="77777777" w:rsidR="00BA0176" w:rsidRPr="000F582D" w:rsidRDefault="00BA0176" w:rsidP="00B955FB">
            <w:pPr>
              <w:spacing w:before="0" w:after="0"/>
              <w:jc w:val="center"/>
              <w:rPr>
                <w:sz w:val="20"/>
                <w:szCs w:val="20"/>
              </w:rPr>
            </w:pPr>
            <w:r w:rsidRPr="000F582D">
              <w:rPr>
                <w:sz w:val="20"/>
                <w:szCs w:val="20"/>
              </w:rPr>
              <w:t>45.78</w:t>
            </w:r>
          </w:p>
        </w:tc>
        <w:tc>
          <w:tcPr>
            <w:tcW w:w="459" w:type="pct"/>
            <w:vAlign w:val="center"/>
          </w:tcPr>
          <w:p w14:paraId="2A67C934" w14:textId="77777777" w:rsidR="00BA0176" w:rsidRPr="000F582D" w:rsidRDefault="00BA0176" w:rsidP="00B955FB">
            <w:pPr>
              <w:spacing w:before="0" w:after="0"/>
              <w:jc w:val="center"/>
              <w:rPr>
                <w:sz w:val="20"/>
                <w:szCs w:val="20"/>
              </w:rPr>
            </w:pPr>
            <w:r w:rsidRPr="000F582D">
              <w:rPr>
                <w:sz w:val="20"/>
                <w:szCs w:val="20"/>
              </w:rPr>
              <w:t>53.30</w:t>
            </w:r>
          </w:p>
        </w:tc>
        <w:tc>
          <w:tcPr>
            <w:tcW w:w="459" w:type="pct"/>
            <w:vAlign w:val="center"/>
          </w:tcPr>
          <w:p w14:paraId="6A9E9FFD" w14:textId="77777777" w:rsidR="00BA0176" w:rsidRPr="000F582D" w:rsidRDefault="00BA0176" w:rsidP="00B955FB">
            <w:pPr>
              <w:spacing w:before="0" w:after="0"/>
              <w:jc w:val="center"/>
              <w:rPr>
                <w:sz w:val="20"/>
                <w:szCs w:val="20"/>
              </w:rPr>
            </w:pPr>
            <w:r w:rsidRPr="000F582D">
              <w:rPr>
                <w:sz w:val="20"/>
                <w:szCs w:val="20"/>
              </w:rPr>
              <w:t>53.35</w:t>
            </w:r>
          </w:p>
        </w:tc>
        <w:tc>
          <w:tcPr>
            <w:tcW w:w="459" w:type="pct"/>
            <w:vAlign w:val="center"/>
          </w:tcPr>
          <w:p w14:paraId="626C8D6B" w14:textId="77777777" w:rsidR="00BA0176" w:rsidRPr="000F582D" w:rsidRDefault="00BA0176" w:rsidP="00B955FB">
            <w:pPr>
              <w:spacing w:before="0" w:after="0"/>
              <w:jc w:val="center"/>
              <w:rPr>
                <w:sz w:val="20"/>
                <w:szCs w:val="20"/>
              </w:rPr>
            </w:pPr>
            <w:r w:rsidRPr="000F582D">
              <w:rPr>
                <w:sz w:val="20"/>
                <w:szCs w:val="20"/>
              </w:rPr>
              <w:t>53.63</w:t>
            </w:r>
          </w:p>
        </w:tc>
        <w:tc>
          <w:tcPr>
            <w:tcW w:w="400" w:type="pct"/>
            <w:vAlign w:val="center"/>
          </w:tcPr>
          <w:p w14:paraId="797A19E9" w14:textId="77777777" w:rsidR="00BA0176" w:rsidRPr="000F582D" w:rsidRDefault="00BA0176" w:rsidP="00B955FB">
            <w:pPr>
              <w:spacing w:before="0" w:after="0"/>
              <w:jc w:val="center"/>
              <w:rPr>
                <w:sz w:val="20"/>
                <w:szCs w:val="20"/>
              </w:rPr>
            </w:pPr>
            <w:r w:rsidRPr="000F582D">
              <w:rPr>
                <w:sz w:val="20"/>
                <w:szCs w:val="20"/>
              </w:rPr>
              <w:t>53.33</w:t>
            </w:r>
          </w:p>
        </w:tc>
        <w:tc>
          <w:tcPr>
            <w:tcW w:w="400" w:type="pct"/>
            <w:vAlign w:val="center"/>
          </w:tcPr>
          <w:p w14:paraId="5C40E9E4" w14:textId="77777777" w:rsidR="00BA0176" w:rsidRPr="000F582D" w:rsidRDefault="00BA0176" w:rsidP="00B955FB">
            <w:pPr>
              <w:spacing w:before="0" w:after="0"/>
              <w:jc w:val="center"/>
              <w:rPr>
                <w:sz w:val="20"/>
                <w:szCs w:val="20"/>
              </w:rPr>
            </w:pPr>
            <w:r w:rsidRPr="000F582D">
              <w:rPr>
                <w:sz w:val="20"/>
                <w:szCs w:val="20"/>
              </w:rPr>
              <w:t>53.32</w:t>
            </w:r>
          </w:p>
        </w:tc>
      </w:tr>
      <w:tr w:rsidR="00BA0176" w:rsidRPr="000F582D" w14:paraId="7790B8C3" w14:textId="77777777" w:rsidTr="00B955FB">
        <w:trPr>
          <w:trHeight w:val="454"/>
        </w:trPr>
        <w:tc>
          <w:tcPr>
            <w:tcW w:w="955" w:type="pct"/>
            <w:vAlign w:val="center"/>
          </w:tcPr>
          <w:p w14:paraId="2B163108" w14:textId="77777777" w:rsidR="00BA0176" w:rsidRPr="000F582D" w:rsidRDefault="00BA0176" w:rsidP="00C161B4">
            <w:pPr>
              <w:spacing w:before="0" w:after="0"/>
              <w:jc w:val="left"/>
              <w:rPr>
                <w:sz w:val="20"/>
                <w:szCs w:val="20"/>
                <w:vertAlign w:val="superscript"/>
              </w:rPr>
            </w:pPr>
            <w:r w:rsidRPr="000F582D">
              <w:rPr>
                <w:sz w:val="20"/>
                <w:szCs w:val="20"/>
              </w:rPr>
              <w:t>Viscosity 100°C</w:t>
            </w:r>
            <w:r w:rsidRPr="000F582D">
              <w:rPr>
                <w:sz w:val="20"/>
                <w:szCs w:val="20"/>
                <w:vertAlign w:val="superscript"/>
              </w:rPr>
              <w:t>1</w:t>
            </w:r>
          </w:p>
        </w:tc>
        <w:tc>
          <w:tcPr>
            <w:tcW w:w="830" w:type="pct"/>
            <w:vAlign w:val="center"/>
          </w:tcPr>
          <w:p w14:paraId="0D63CB36" w14:textId="77777777" w:rsidR="00BA0176" w:rsidRPr="000F582D" w:rsidRDefault="00BA0176" w:rsidP="00C161B4">
            <w:pPr>
              <w:spacing w:before="0" w:after="0"/>
              <w:jc w:val="center"/>
              <w:rPr>
                <w:sz w:val="20"/>
                <w:szCs w:val="20"/>
              </w:rPr>
            </w:pPr>
            <w:r w:rsidRPr="000F582D">
              <w:rPr>
                <w:sz w:val="20"/>
                <w:szCs w:val="20"/>
              </w:rPr>
              <w:t>ASTM D445</w:t>
            </w:r>
          </w:p>
        </w:tc>
        <w:tc>
          <w:tcPr>
            <w:tcW w:w="577" w:type="pct"/>
            <w:vAlign w:val="center"/>
          </w:tcPr>
          <w:p w14:paraId="48779F26" w14:textId="77777777" w:rsidR="00BA0176" w:rsidRPr="000F582D" w:rsidRDefault="00BA0176" w:rsidP="00C161B4">
            <w:pPr>
              <w:spacing w:before="0" w:after="0"/>
              <w:jc w:val="center"/>
              <w:rPr>
                <w:sz w:val="20"/>
                <w:szCs w:val="20"/>
              </w:rPr>
            </w:pPr>
            <w:r w:rsidRPr="000F582D">
              <w:rPr>
                <w:sz w:val="20"/>
                <w:szCs w:val="20"/>
              </w:rPr>
              <w:t>[cSt]</w:t>
            </w:r>
          </w:p>
        </w:tc>
        <w:tc>
          <w:tcPr>
            <w:tcW w:w="459" w:type="pct"/>
            <w:vAlign w:val="center"/>
          </w:tcPr>
          <w:p w14:paraId="3021480D" w14:textId="77777777" w:rsidR="00BA0176" w:rsidRPr="000F582D" w:rsidRDefault="00BA0176" w:rsidP="00B955FB">
            <w:pPr>
              <w:spacing w:before="0" w:after="0"/>
              <w:jc w:val="center"/>
              <w:rPr>
                <w:sz w:val="20"/>
                <w:szCs w:val="20"/>
              </w:rPr>
            </w:pPr>
            <w:r w:rsidRPr="000F582D">
              <w:rPr>
                <w:sz w:val="20"/>
                <w:szCs w:val="20"/>
              </w:rPr>
              <w:t>6.92</w:t>
            </w:r>
          </w:p>
        </w:tc>
        <w:tc>
          <w:tcPr>
            <w:tcW w:w="459" w:type="pct"/>
            <w:vAlign w:val="center"/>
          </w:tcPr>
          <w:p w14:paraId="07D5ECFF" w14:textId="77777777" w:rsidR="00BA0176" w:rsidRPr="000F582D" w:rsidRDefault="00BA0176" w:rsidP="00B955FB">
            <w:pPr>
              <w:spacing w:before="0" w:after="0"/>
              <w:jc w:val="center"/>
              <w:rPr>
                <w:sz w:val="20"/>
                <w:szCs w:val="20"/>
              </w:rPr>
            </w:pPr>
            <w:r w:rsidRPr="000F582D">
              <w:rPr>
                <w:sz w:val="20"/>
                <w:szCs w:val="20"/>
              </w:rPr>
              <w:t>7.51</w:t>
            </w:r>
          </w:p>
        </w:tc>
        <w:tc>
          <w:tcPr>
            <w:tcW w:w="459" w:type="pct"/>
            <w:vAlign w:val="center"/>
          </w:tcPr>
          <w:p w14:paraId="34F1B70C" w14:textId="77777777" w:rsidR="00BA0176" w:rsidRPr="000F582D" w:rsidRDefault="00BA0176" w:rsidP="00B955FB">
            <w:pPr>
              <w:spacing w:before="0" w:after="0"/>
              <w:jc w:val="center"/>
              <w:rPr>
                <w:sz w:val="20"/>
                <w:szCs w:val="20"/>
              </w:rPr>
            </w:pPr>
            <w:r w:rsidRPr="000F582D">
              <w:rPr>
                <w:sz w:val="20"/>
                <w:szCs w:val="20"/>
              </w:rPr>
              <w:t>7.35</w:t>
            </w:r>
          </w:p>
        </w:tc>
        <w:tc>
          <w:tcPr>
            <w:tcW w:w="459" w:type="pct"/>
            <w:vAlign w:val="center"/>
          </w:tcPr>
          <w:p w14:paraId="38081AFB" w14:textId="77777777" w:rsidR="00BA0176" w:rsidRPr="000F582D" w:rsidRDefault="00BA0176" w:rsidP="00B955FB">
            <w:pPr>
              <w:spacing w:before="0" w:after="0"/>
              <w:jc w:val="center"/>
              <w:rPr>
                <w:sz w:val="20"/>
                <w:szCs w:val="20"/>
              </w:rPr>
            </w:pPr>
            <w:r w:rsidRPr="000F582D">
              <w:rPr>
                <w:sz w:val="20"/>
                <w:szCs w:val="20"/>
              </w:rPr>
              <w:t>7.57</w:t>
            </w:r>
          </w:p>
        </w:tc>
        <w:tc>
          <w:tcPr>
            <w:tcW w:w="400" w:type="pct"/>
            <w:vAlign w:val="center"/>
          </w:tcPr>
          <w:p w14:paraId="29FFDDEF" w14:textId="77777777" w:rsidR="00BA0176" w:rsidRPr="000F582D" w:rsidRDefault="00BA0176" w:rsidP="00B955FB">
            <w:pPr>
              <w:spacing w:before="0" w:after="0"/>
              <w:jc w:val="center"/>
              <w:rPr>
                <w:sz w:val="20"/>
                <w:szCs w:val="20"/>
              </w:rPr>
            </w:pPr>
            <w:r w:rsidRPr="000F582D">
              <w:rPr>
                <w:sz w:val="20"/>
                <w:szCs w:val="20"/>
              </w:rPr>
              <w:t>-</w:t>
            </w:r>
          </w:p>
        </w:tc>
        <w:tc>
          <w:tcPr>
            <w:tcW w:w="400" w:type="pct"/>
            <w:vAlign w:val="center"/>
          </w:tcPr>
          <w:p w14:paraId="57F1EFFE" w14:textId="77777777" w:rsidR="00BA0176" w:rsidRPr="000F582D" w:rsidRDefault="00BA0176" w:rsidP="00B955FB">
            <w:pPr>
              <w:spacing w:before="0" w:after="0"/>
              <w:jc w:val="center"/>
              <w:rPr>
                <w:sz w:val="20"/>
                <w:szCs w:val="20"/>
              </w:rPr>
            </w:pPr>
            <w:r w:rsidRPr="000F582D">
              <w:rPr>
                <w:sz w:val="20"/>
                <w:szCs w:val="20"/>
              </w:rPr>
              <w:t>-</w:t>
            </w:r>
          </w:p>
        </w:tc>
      </w:tr>
      <w:tr w:rsidR="00BA0176" w:rsidRPr="000F582D" w14:paraId="49A60C4E" w14:textId="77777777" w:rsidTr="00B955FB">
        <w:trPr>
          <w:trHeight w:val="454"/>
        </w:trPr>
        <w:tc>
          <w:tcPr>
            <w:tcW w:w="955" w:type="pct"/>
            <w:vAlign w:val="center"/>
          </w:tcPr>
          <w:p w14:paraId="060D1AB6" w14:textId="77777777" w:rsidR="00BA0176" w:rsidRPr="000F582D" w:rsidRDefault="00BA0176" w:rsidP="00C161B4">
            <w:pPr>
              <w:spacing w:before="0" w:after="0"/>
              <w:jc w:val="left"/>
              <w:rPr>
                <w:sz w:val="20"/>
                <w:szCs w:val="20"/>
                <w:vertAlign w:val="superscript"/>
              </w:rPr>
            </w:pPr>
            <w:r w:rsidRPr="000F582D">
              <w:rPr>
                <w:sz w:val="20"/>
                <w:szCs w:val="20"/>
              </w:rPr>
              <w:t>Viscosity 100°C</w:t>
            </w:r>
            <w:r w:rsidRPr="000F582D">
              <w:rPr>
                <w:sz w:val="20"/>
                <w:szCs w:val="20"/>
                <w:vertAlign w:val="superscript"/>
              </w:rPr>
              <w:t>2</w:t>
            </w:r>
          </w:p>
        </w:tc>
        <w:tc>
          <w:tcPr>
            <w:tcW w:w="830" w:type="pct"/>
            <w:vAlign w:val="center"/>
          </w:tcPr>
          <w:p w14:paraId="3FC673FC" w14:textId="77777777" w:rsidR="00BA0176" w:rsidRPr="000F582D" w:rsidRDefault="00BA0176" w:rsidP="00C161B4">
            <w:pPr>
              <w:spacing w:before="0" w:after="0"/>
              <w:jc w:val="center"/>
              <w:rPr>
                <w:sz w:val="20"/>
                <w:szCs w:val="20"/>
              </w:rPr>
            </w:pPr>
            <w:r w:rsidRPr="000F582D">
              <w:rPr>
                <w:sz w:val="20"/>
                <w:szCs w:val="20"/>
              </w:rPr>
              <w:t>ASTM D445</w:t>
            </w:r>
          </w:p>
        </w:tc>
        <w:tc>
          <w:tcPr>
            <w:tcW w:w="577" w:type="pct"/>
            <w:vAlign w:val="center"/>
          </w:tcPr>
          <w:p w14:paraId="3B5C6968" w14:textId="77777777" w:rsidR="00BA0176" w:rsidRPr="000F582D" w:rsidRDefault="00BA0176" w:rsidP="00C161B4">
            <w:pPr>
              <w:spacing w:before="0" w:after="0"/>
              <w:jc w:val="center"/>
              <w:rPr>
                <w:sz w:val="20"/>
                <w:szCs w:val="20"/>
              </w:rPr>
            </w:pPr>
            <w:r w:rsidRPr="000F582D">
              <w:rPr>
                <w:sz w:val="20"/>
                <w:szCs w:val="20"/>
              </w:rPr>
              <w:t>[cSt]</w:t>
            </w:r>
          </w:p>
        </w:tc>
        <w:tc>
          <w:tcPr>
            <w:tcW w:w="459" w:type="pct"/>
            <w:vAlign w:val="center"/>
          </w:tcPr>
          <w:p w14:paraId="634492F8" w14:textId="77777777" w:rsidR="00BA0176" w:rsidRPr="000F582D" w:rsidRDefault="00BA0176" w:rsidP="00B955FB">
            <w:pPr>
              <w:spacing w:before="0" w:after="0"/>
              <w:jc w:val="center"/>
              <w:rPr>
                <w:sz w:val="20"/>
                <w:szCs w:val="20"/>
              </w:rPr>
            </w:pPr>
            <w:r w:rsidRPr="000F582D">
              <w:rPr>
                <w:sz w:val="20"/>
                <w:szCs w:val="20"/>
              </w:rPr>
              <w:t>6.977</w:t>
            </w:r>
          </w:p>
        </w:tc>
        <w:tc>
          <w:tcPr>
            <w:tcW w:w="459" w:type="pct"/>
            <w:vAlign w:val="center"/>
          </w:tcPr>
          <w:p w14:paraId="58C72C47" w14:textId="77777777" w:rsidR="00BA0176" w:rsidRPr="000F582D" w:rsidRDefault="00BA0176" w:rsidP="00B955FB">
            <w:pPr>
              <w:spacing w:before="0" w:after="0"/>
              <w:jc w:val="center"/>
              <w:rPr>
                <w:sz w:val="20"/>
                <w:szCs w:val="20"/>
              </w:rPr>
            </w:pPr>
            <w:r w:rsidRPr="000F582D">
              <w:rPr>
                <w:sz w:val="20"/>
                <w:szCs w:val="20"/>
              </w:rPr>
              <w:t>7.533</w:t>
            </w:r>
          </w:p>
        </w:tc>
        <w:tc>
          <w:tcPr>
            <w:tcW w:w="459" w:type="pct"/>
            <w:vAlign w:val="center"/>
          </w:tcPr>
          <w:p w14:paraId="6BFA871E" w14:textId="77777777" w:rsidR="00BA0176" w:rsidRPr="000F582D" w:rsidRDefault="00BA0176" w:rsidP="00B955FB">
            <w:pPr>
              <w:spacing w:before="0" w:after="0"/>
              <w:jc w:val="center"/>
              <w:rPr>
                <w:sz w:val="20"/>
                <w:szCs w:val="20"/>
              </w:rPr>
            </w:pPr>
            <w:r w:rsidRPr="000F582D">
              <w:rPr>
                <w:sz w:val="20"/>
                <w:szCs w:val="20"/>
              </w:rPr>
              <w:t>7.57</w:t>
            </w:r>
          </w:p>
        </w:tc>
        <w:tc>
          <w:tcPr>
            <w:tcW w:w="459" w:type="pct"/>
            <w:vAlign w:val="center"/>
          </w:tcPr>
          <w:p w14:paraId="051E7640" w14:textId="77777777" w:rsidR="00BA0176" w:rsidRPr="000F582D" w:rsidRDefault="00BA0176" w:rsidP="00B955FB">
            <w:pPr>
              <w:spacing w:before="0" w:after="0"/>
              <w:jc w:val="center"/>
              <w:rPr>
                <w:sz w:val="20"/>
                <w:szCs w:val="20"/>
              </w:rPr>
            </w:pPr>
            <w:r w:rsidRPr="000F582D">
              <w:rPr>
                <w:sz w:val="20"/>
                <w:szCs w:val="20"/>
              </w:rPr>
              <w:t>7.57</w:t>
            </w:r>
          </w:p>
        </w:tc>
        <w:tc>
          <w:tcPr>
            <w:tcW w:w="400" w:type="pct"/>
            <w:vAlign w:val="center"/>
          </w:tcPr>
          <w:p w14:paraId="7CAB1B89" w14:textId="77777777" w:rsidR="00BA0176" w:rsidRPr="000F582D" w:rsidRDefault="00BA0176" w:rsidP="00B955FB">
            <w:pPr>
              <w:spacing w:before="0" w:after="0"/>
              <w:jc w:val="center"/>
              <w:rPr>
                <w:sz w:val="20"/>
                <w:szCs w:val="20"/>
              </w:rPr>
            </w:pPr>
            <w:r w:rsidRPr="000F582D">
              <w:rPr>
                <w:sz w:val="20"/>
                <w:szCs w:val="20"/>
              </w:rPr>
              <w:t>7.55</w:t>
            </w:r>
          </w:p>
        </w:tc>
        <w:tc>
          <w:tcPr>
            <w:tcW w:w="400" w:type="pct"/>
            <w:vAlign w:val="center"/>
          </w:tcPr>
          <w:p w14:paraId="4B4C5001" w14:textId="77777777" w:rsidR="00BA0176" w:rsidRPr="000F582D" w:rsidRDefault="00BA0176" w:rsidP="00B955FB">
            <w:pPr>
              <w:spacing w:before="0" w:after="0"/>
              <w:jc w:val="center"/>
              <w:rPr>
                <w:sz w:val="20"/>
                <w:szCs w:val="20"/>
              </w:rPr>
            </w:pPr>
            <w:r w:rsidRPr="000F582D">
              <w:rPr>
                <w:sz w:val="20"/>
                <w:szCs w:val="20"/>
              </w:rPr>
              <w:t>7.55</w:t>
            </w:r>
          </w:p>
        </w:tc>
      </w:tr>
      <w:tr w:rsidR="00BA0176" w:rsidRPr="000F582D" w14:paraId="1C8A676C" w14:textId="77777777" w:rsidTr="00B955FB">
        <w:trPr>
          <w:trHeight w:val="454"/>
        </w:trPr>
        <w:tc>
          <w:tcPr>
            <w:tcW w:w="955" w:type="pct"/>
            <w:vAlign w:val="center"/>
          </w:tcPr>
          <w:p w14:paraId="0232F34B" w14:textId="77777777" w:rsidR="00BA0176" w:rsidRPr="000F582D" w:rsidRDefault="00BA0176" w:rsidP="00C161B4">
            <w:pPr>
              <w:spacing w:before="0" w:after="0"/>
              <w:jc w:val="left"/>
              <w:rPr>
                <w:sz w:val="20"/>
                <w:szCs w:val="20"/>
                <w:vertAlign w:val="superscript"/>
              </w:rPr>
            </w:pPr>
            <w:r w:rsidRPr="000F582D">
              <w:rPr>
                <w:sz w:val="20"/>
                <w:szCs w:val="20"/>
              </w:rPr>
              <w:t>Viscosity index</w:t>
            </w:r>
            <w:r w:rsidRPr="000F582D">
              <w:rPr>
                <w:sz w:val="20"/>
                <w:szCs w:val="20"/>
                <w:vertAlign w:val="superscript"/>
              </w:rPr>
              <w:t>1</w:t>
            </w:r>
          </w:p>
        </w:tc>
        <w:tc>
          <w:tcPr>
            <w:tcW w:w="830" w:type="pct"/>
            <w:vAlign w:val="center"/>
          </w:tcPr>
          <w:p w14:paraId="77AC2762" w14:textId="77777777" w:rsidR="00BA0176" w:rsidRPr="000F582D" w:rsidRDefault="00BA0176" w:rsidP="00C161B4">
            <w:pPr>
              <w:spacing w:before="0" w:after="0"/>
              <w:jc w:val="center"/>
              <w:rPr>
                <w:sz w:val="20"/>
                <w:szCs w:val="20"/>
              </w:rPr>
            </w:pPr>
            <w:r w:rsidRPr="000F582D">
              <w:rPr>
                <w:sz w:val="20"/>
                <w:szCs w:val="20"/>
              </w:rPr>
              <w:t>ASTM D2270</w:t>
            </w:r>
          </w:p>
        </w:tc>
        <w:tc>
          <w:tcPr>
            <w:tcW w:w="577" w:type="pct"/>
            <w:vAlign w:val="center"/>
          </w:tcPr>
          <w:p w14:paraId="226FE214" w14:textId="77777777" w:rsidR="00BA0176" w:rsidRPr="000F582D" w:rsidRDefault="00BA0176" w:rsidP="00C161B4">
            <w:pPr>
              <w:spacing w:before="0" w:after="0"/>
              <w:jc w:val="center"/>
              <w:rPr>
                <w:sz w:val="20"/>
                <w:szCs w:val="20"/>
              </w:rPr>
            </w:pPr>
            <w:r w:rsidRPr="000F582D">
              <w:rPr>
                <w:sz w:val="20"/>
                <w:szCs w:val="20"/>
              </w:rPr>
              <w:t>[ - ]</w:t>
            </w:r>
          </w:p>
        </w:tc>
        <w:tc>
          <w:tcPr>
            <w:tcW w:w="459" w:type="pct"/>
            <w:vAlign w:val="center"/>
          </w:tcPr>
          <w:p w14:paraId="3940CD0B" w14:textId="77777777" w:rsidR="00BA0176" w:rsidRPr="000F582D" w:rsidRDefault="00BA0176" w:rsidP="00B955FB">
            <w:pPr>
              <w:spacing w:before="0" w:after="0"/>
              <w:jc w:val="center"/>
              <w:rPr>
                <w:sz w:val="20"/>
                <w:szCs w:val="20"/>
              </w:rPr>
            </w:pPr>
            <w:r w:rsidRPr="000F582D">
              <w:rPr>
                <w:sz w:val="20"/>
                <w:szCs w:val="20"/>
              </w:rPr>
              <w:t>110</w:t>
            </w:r>
          </w:p>
        </w:tc>
        <w:tc>
          <w:tcPr>
            <w:tcW w:w="459" w:type="pct"/>
            <w:vAlign w:val="center"/>
          </w:tcPr>
          <w:p w14:paraId="0606E62F" w14:textId="77777777" w:rsidR="00BA0176" w:rsidRPr="000F582D" w:rsidRDefault="00BA0176" w:rsidP="00B955FB">
            <w:pPr>
              <w:spacing w:before="0" w:after="0"/>
              <w:jc w:val="center"/>
              <w:rPr>
                <w:sz w:val="20"/>
                <w:szCs w:val="20"/>
              </w:rPr>
            </w:pPr>
            <w:r w:rsidRPr="000F582D">
              <w:rPr>
                <w:sz w:val="20"/>
                <w:szCs w:val="20"/>
              </w:rPr>
              <w:t>102</w:t>
            </w:r>
          </w:p>
        </w:tc>
        <w:tc>
          <w:tcPr>
            <w:tcW w:w="459" w:type="pct"/>
            <w:vAlign w:val="center"/>
          </w:tcPr>
          <w:p w14:paraId="51B93B9E" w14:textId="77777777" w:rsidR="00BA0176" w:rsidRPr="000F582D" w:rsidRDefault="00BA0176" w:rsidP="00B955FB">
            <w:pPr>
              <w:spacing w:before="0" w:after="0"/>
              <w:jc w:val="center"/>
              <w:rPr>
                <w:sz w:val="20"/>
                <w:szCs w:val="20"/>
              </w:rPr>
            </w:pPr>
            <w:r w:rsidRPr="000F582D">
              <w:rPr>
                <w:sz w:val="20"/>
                <w:szCs w:val="20"/>
              </w:rPr>
              <w:t>101</w:t>
            </w:r>
          </w:p>
        </w:tc>
        <w:tc>
          <w:tcPr>
            <w:tcW w:w="459" w:type="pct"/>
            <w:vAlign w:val="center"/>
          </w:tcPr>
          <w:p w14:paraId="4A30EC1F" w14:textId="77777777" w:rsidR="00BA0176" w:rsidRPr="000F582D" w:rsidRDefault="00BA0176" w:rsidP="00B955FB">
            <w:pPr>
              <w:spacing w:before="0" w:after="0"/>
              <w:jc w:val="center"/>
              <w:rPr>
                <w:sz w:val="20"/>
                <w:szCs w:val="20"/>
              </w:rPr>
            </w:pPr>
            <w:r w:rsidRPr="000F582D">
              <w:rPr>
                <w:sz w:val="20"/>
                <w:szCs w:val="20"/>
              </w:rPr>
              <w:t>105</w:t>
            </w:r>
          </w:p>
        </w:tc>
        <w:tc>
          <w:tcPr>
            <w:tcW w:w="400" w:type="pct"/>
            <w:vAlign w:val="center"/>
          </w:tcPr>
          <w:p w14:paraId="51DF454A" w14:textId="77777777" w:rsidR="00BA0176" w:rsidRPr="000F582D" w:rsidRDefault="00BA0176" w:rsidP="00B955FB">
            <w:pPr>
              <w:spacing w:before="0" w:after="0"/>
              <w:jc w:val="center"/>
              <w:rPr>
                <w:sz w:val="20"/>
                <w:szCs w:val="20"/>
              </w:rPr>
            </w:pPr>
            <w:r w:rsidRPr="000F582D">
              <w:rPr>
                <w:sz w:val="20"/>
                <w:szCs w:val="20"/>
              </w:rPr>
              <w:t>-</w:t>
            </w:r>
          </w:p>
        </w:tc>
        <w:tc>
          <w:tcPr>
            <w:tcW w:w="400" w:type="pct"/>
            <w:vAlign w:val="center"/>
          </w:tcPr>
          <w:p w14:paraId="7D721487" w14:textId="77777777" w:rsidR="00BA0176" w:rsidRPr="000F582D" w:rsidRDefault="00BA0176" w:rsidP="00B955FB">
            <w:pPr>
              <w:spacing w:before="0" w:after="0"/>
              <w:jc w:val="center"/>
              <w:rPr>
                <w:sz w:val="20"/>
                <w:szCs w:val="20"/>
              </w:rPr>
            </w:pPr>
            <w:r w:rsidRPr="000F582D">
              <w:rPr>
                <w:sz w:val="20"/>
                <w:szCs w:val="20"/>
              </w:rPr>
              <w:t>-</w:t>
            </w:r>
          </w:p>
        </w:tc>
      </w:tr>
      <w:tr w:rsidR="00BA0176" w:rsidRPr="000F582D" w14:paraId="10B58534" w14:textId="77777777" w:rsidTr="00B955FB">
        <w:trPr>
          <w:trHeight w:val="454"/>
        </w:trPr>
        <w:tc>
          <w:tcPr>
            <w:tcW w:w="955" w:type="pct"/>
            <w:vAlign w:val="center"/>
          </w:tcPr>
          <w:p w14:paraId="04AE4EC3" w14:textId="77777777" w:rsidR="00BA0176" w:rsidRPr="000F582D" w:rsidRDefault="00BA0176" w:rsidP="00C161B4">
            <w:pPr>
              <w:spacing w:before="0" w:after="0"/>
              <w:jc w:val="left"/>
              <w:rPr>
                <w:sz w:val="20"/>
                <w:szCs w:val="20"/>
                <w:vertAlign w:val="superscript"/>
              </w:rPr>
            </w:pPr>
            <w:r w:rsidRPr="000F582D">
              <w:rPr>
                <w:sz w:val="20"/>
                <w:szCs w:val="20"/>
              </w:rPr>
              <w:t>Viscosity index</w:t>
            </w:r>
            <w:r w:rsidRPr="000F582D">
              <w:rPr>
                <w:sz w:val="20"/>
                <w:szCs w:val="20"/>
                <w:vertAlign w:val="superscript"/>
              </w:rPr>
              <w:t>2</w:t>
            </w:r>
          </w:p>
        </w:tc>
        <w:tc>
          <w:tcPr>
            <w:tcW w:w="830" w:type="pct"/>
            <w:vAlign w:val="center"/>
          </w:tcPr>
          <w:p w14:paraId="2E104EFB" w14:textId="77777777" w:rsidR="00BA0176" w:rsidRPr="000F582D" w:rsidRDefault="00BA0176" w:rsidP="00C161B4">
            <w:pPr>
              <w:spacing w:before="0" w:after="0"/>
              <w:jc w:val="center"/>
              <w:rPr>
                <w:sz w:val="20"/>
                <w:szCs w:val="20"/>
              </w:rPr>
            </w:pPr>
            <w:r w:rsidRPr="000F582D">
              <w:rPr>
                <w:sz w:val="20"/>
                <w:szCs w:val="20"/>
              </w:rPr>
              <w:t>ASTM D2270</w:t>
            </w:r>
          </w:p>
        </w:tc>
        <w:tc>
          <w:tcPr>
            <w:tcW w:w="577" w:type="pct"/>
            <w:vAlign w:val="center"/>
          </w:tcPr>
          <w:p w14:paraId="42B2B93E" w14:textId="77777777" w:rsidR="00BA0176" w:rsidRPr="000F582D" w:rsidRDefault="00BA0176" w:rsidP="00C161B4">
            <w:pPr>
              <w:spacing w:before="0" w:after="0"/>
              <w:jc w:val="center"/>
              <w:rPr>
                <w:sz w:val="20"/>
                <w:szCs w:val="20"/>
              </w:rPr>
            </w:pPr>
            <w:r w:rsidRPr="000F582D">
              <w:rPr>
                <w:sz w:val="20"/>
                <w:szCs w:val="20"/>
              </w:rPr>
              <w:t>[ - ]</w:t>
            </w:r>
          </w:p>
        </w:tc>
        <w:tc>
          <w:tcPr>
            <w:tcW w:w="459" w:type="pct"/>
            <w:vAlign w:val="center"/>
          </w:tcPr>
          <w:p w14:paraId="5D7952FE" w14:textId="77777777" w:rsidR="00BA0176" w:rsidRPr="000F582D" w:rsidRDefault="00BA0176" w:rsidP="00B955FB">
            <w:pPr>
              <w:spacing w:before="0" w:after="0"/>
              <w:jc w:val="center"/>
              <w:rPr>
                <w:sz w:val="20"/>
                <w:szCs w:val="20"/>
              </w:rPr>
            </w:pPr>
            <w:r w:rsidRPr="000F582D">
              <w:rPr>
                <w:sz w:val="20"/>
                <w:szCs w:val="20"/>
              </w:rPr>
              <w:t>109</w:t>
            </w:r>
          </w:p>
        </w:tc>
        <w:tc>
          <w:tcPr>
            <w:tcW w:w="459" w:type="pct"/>
            <w:vAlign w:val="center"/>
          </w:tcPr>
          <w:p w14:paraId="1271C174" w14:textId="77777777" w:rsidR="00BA0176" w:rsidRPr="000F582D" w:rsidRDefault="00BA0176" w:rsidP="00B955FB">
            <w:pPr>
              <w:spacing w:before="0" w:after="0"/>
              <w:jc w:val="center"/>
              <w:rPr>
                <w:sz w:val="20"/>
                <w:szCs w:val="20"/>
              </w:rPr>
            </w:pPr>
            <w:r w:rsidRPr="000F582D">
              <w:rPr>
                <w:sz w:val="20"/>
                <w:szCs w:val="20"/>
              </w:rPr>
              <w:t>103</w:t>
            </w:r>
          </w:p>
        </w:tc>
        <w:tc>
          <w:tcPr>
            <w:tcW w:w="459" w:type="pct"/>
            <w:vAlign w:val="center"/>
          </w:tcPr>
          <w:p w14:paraId="31173730" w14:textId="77777777" w:rsidR="00BA0176" w:rsidRPr="000F582D" w:rsidRDefault="00BA0176" w:rsidP="00B955FB">
            <w:pPr>
              <w:spacing w:before="0" w:after="0"/>
              <w:jc w:val="center"/>
              <w:rPr>
                <w:sz w:val="20"/>
                <w:szCs w:val="20"/>
              </w:rPr>
            </w:pPr>
            <w:r w:rsidRPr="000F582D">
              <w:rPr>
                <w:sz w:val="20"/>
                <w:szCs w:val="20"/>
              </w:rPr>
              <w:t>103</w:t>
            </w:r>
          </w:p>
        </w:tc>
        <w:tc>
          <w:tcPr>
            <w:tcW w:w="459" w:type="pct"/>
            <w:vAlign w:val="center"/>
          </w:tcPr>
          <w:p w14:paraId="62AD012E" w14:textId="77777777" w:rsidR="00BA0176" w:rsidRPr="000F582D" w:rsidRDefault="00BA0176" w:rsidP="00B955FB">
            <w:pPr>
              <w:spacing w:before="0" w:after="0"/>
              <w:jc w:val="center"/>
              <w:rPr>
                <w:sz w:val="20"/>
                <w:szCs w:val="20"/>
              </w:rPr>
            </w:pPr>
            <w:r w:rsidRPr="000F582D">
              <w:rPr>
                <w:sz w:val="20"/>
                <w:szCs w:val="20"/>
              </w:rPr>
              <w:t>103</w:t>
            </w:r>
          </w:p>
        </w:tc>
        <w:tc>
          <w:tcPr>
            <w:tcW w:w="400" w:type="pct"/>
            <w:vAlign w:val="center"/>
          </w:tcPr>
          <w:p w14:paraId="22132C43" w14:textId="77777777" w:rsidR="00BA0176" w:rsidRPr="000F582D" w:rsidRDefault="00BA0176" w:rsidP="00B955FB">
            <w:pPr>
              <w:spacing w:before="0" w:after="0"/>
              <w:jc w:val="center"/>
              <w:rPr>
                <w:sz w:val="20"/>
                <w:szCs w:val="20"/>
              </w:rPr>
            </w:pPr>
            <w:r w:rsidRPr="000F582D">
              <w:rPr>
                <w:sz w:val="20"/>
                <w:szCs w:val="20"/>
              </w:rPr>
              <w:t>104</w:t>
            </w:r>
          </w:p>
        </w:tc>
        <w:tc>
          <w:tcPr>
            <w:tcW w:w="400" w:type="pct"/>
            <w:vAlign w:val="center"/>
          </w:tcPr>
          <w:p w14:paraId="5495C50E" w14:textId="77777777" w:rsidR="00BA0176" w:rsidRPr="000F582D" w:rsidRDefault="00BA0176" w:rsidP="00B955FB">
            <w:pPr>
              <w:spacing w:before="0" w:after="0"/>
              <w:jc w:val="center"/>
              <w:rPr>
                <w:sz w:val="20"/>
                <w:szCs w:val="20"/>
              </w:rPr>
            </w:pPr>
            <w:r w:rsidRPr="000F582D">
              <w:rPr>
                <w:sz w:val="20"/>
                <w:szCs w:val="20"/>
              </w:rPr>
              <w:t>104</w:t>
            </w:r>
          </w:p>
        </w:tc>
      </w:tr>
      <w:tr w:rsidR="00BA0176" w:rsidRPr="000F582D" w14:paraId="5D714726" w14:textId="77777777" w:rsidTr="00B955FB">
        <w:trPr>
          <w:trHeight w:val="454"/>
        </w:trPr>
        <w:tc>
          <w:tcPr>
            <w:tcW w:w="955" w:type="pct"/>
            <w:vAlign w:val="center"/>
          </w:tcPr>
          <w:p w14:paraId="1EC3CA93" w14:textId="77777777" w:rsidR="00BA0176" w:rsidRPr="000F582D" w:rsidRDefault="00BA0176" w:rsidP="00C161B4">
            <w:pPr>
              <w:spacing w:before="0" w:after="0"/>
              <w:jc w:val="left"/>
              <w:rPr>
                <w:sz w:val="20"/>
                <w:szCs w:val="20"/>
                <w:vertAlign w:val="superscript"/>
              </w:rPr>
            </w:pPr>
            <w:r w:rsidRPr="000F582D">
              <w:rPr>
                <w:sz w:val="20"/>
                <w:szCs w:val="20"/>
              </w:rPr>
              <w:t>TAN</w:t>
            </w:r>
            <w:r w:rsidRPr="000F582D">
              <w:rPr>
                <w:sz w:val="20"/>
                <w:szCs w:val="20"/>
                <w:vertAlign w:val="superscript"/>
              </w:rPr>
              <w:t>2</w:t>
            </w:r>
          </w:p>
        </w:tc>
        <w:tc>
          <w:tcPr>
            <w:tcW w:w="830" w:type="pct"/>
            <w:vAlign w:val="center"/>
          </w:tcPr>
          <w:p w14:paraId="583F2319" w14:textId="77777777" w:rsidR="00BA0176" w:rsidRPr="000F582D" w:rsidRDefault="00BA0176" w:rsidP="00C161B4">
            <w:pPr>
              <w:spacing w:before="0" w:after="0"/>
              <w:jc w:val="center"/>
              <w:rPr>
                <w:sz w:val="20"/>
                <w:szCs w:val="20"/>
              </w:rPr>
            </w:pPr>
            <w:r w:rsidRPr="000F582D">
              <w:rPr>
                <w:sz w:val="20"/>
                <w:szCs w:val="20"/>
              </w:rPr>
              <w:t>ASTM D664</w:t>
            </w:r>
          </w:p>
        </w:tc>
        <w:tc>
          <w:tcPr>
            <w:tcW w:w="577" w:type="pct"/>
            <w:vAlign w:val="center"/>
          </w:tcPr>
          <w:p w14:paraId="09324AAE" w14:textId="2471FFB7" w:rsidR="00BA0176" w:rsidRPr="000F582D" w:rsidRDefault="00BA0176" w:rsidP="00C161B4">
            <w:pPr>
              <w:spacing w:before="0" w:after="0"/>
              <w:jc w:val="center"/>
              <w:rPr>
                <w:sz w:val="20"/>
                <w:szCs w:val="20"/>
              </w:rPr>
            </w:pPr>
            <w:r w:rsidRPr="000F582D">
              <w:rPr>
                <w:sz w:val="20"/>
                <w:szCs w:val="20"/>
              </w:rPr>
              <w:t>mgKOH</w:t>
            </w:r>
            <w:r w:rsidR="00D77191">
              <w:rPr>
                <w:sz w:val="20"/>
                <w:szCs w:val="20"/>
              </w:rPr>
              <w:t>/g</w:t>
            </w:r>
          </w:p>
        </w:tc>
        <w:tc>
          <w:tcPr>
            <w:tcW w:w="459" w:type="pct"/>
            <w:vAlign w:val="center"/>
          </w:tcPr>
          <w:p w14:paraId="6967AB75" w14:textId="1F46327B" w:rsidR="00BA0176" w:rsidRPr="000F582D" w:rsidRDefault="00D77191" w:rsidP="00B955FB">
            <w:pPr>
              <w:spacing w:before="0" w:after="0"/>
              <w:jc w:val="center"/>
              <w:rPr>
                <w:sz w:val="20"/>
                <w:szCs w:val="20"/>
              </w:rPr>
            </w:pPr>
            <w:r>
              <w:rPr>
                <w:sz w:val="20"/>
                <w:szCs w:val="20"/>
              </w:rPr>
              <w:t>0.42</w:t>
            </w:r>
          </w:p>
        </w:tc>
        <w:tc>
          <w:tcPr>
            <w:tcW w:w="459" w:type="pct"/>
            <w:vAlign w:val="center"/>
          </w:tcPr>
          <w:p w14:paraId="492994D3" w14:textId="7F11938F" w:rsidR="00BA0176" w:rsidRPr="000F582D" w:rsidRDefault="00D77191" w:rsidP="00B955FB">
            <w:pPr>
              <w:spacing w:before="0" w:after="0"/>
              <w:jc w:val="center"/>
              <w:rPr>
                <w:sz w:val="20"/>
                <w:szCs w:val="20"/>
              </w:rPr>
            </w:pPr>
            <w:r>
              <w:rPr>
                <w:sz w:val="20"/>
                <w:szCs w:val="20"/>
              </w:rPr>
              <w:t>0.43</w:t>
            </w:r>
          </w:p>
        </w:tc>
        <w:tc>
          <w:tcPr>
            <w:tcW w:w="459" w:type="pct"/>
            <w:vAlign w:val="center"/>
          </w:tcPr>
          <w:p w14:paraId="5B3F3D04" w14:textId="55C4D9A8" w:rsidR="00BA0176" w:rsidRPr="000F582D" w:rsidRDefault="00D77191" w:rsidP="00B955FB">
            <w:pPr>
              <w:spacing w:before="0" w:after="0"/>
              <w:jc w:val="center"/>
              <w:rPr>
                <w:sz w:val="20"/>
                <w:szCs w:val="20"/>
              </w:rPr>
            </w:pPr>
            <w:r>
              <w:rPr>
                <w:sz w:val="20"/>
                <w:szCs w:val="20"/>
              </w:rPr>
              <w:t>0.45</w:t>
            </w:r>
          </w:p>
        </w:tc>
        <w:tc>
          <w:tcPr>
            <w:tcW w:w="459" w:type="pct"/>
            <w:vAlign w:val="center"/>
          </w:tcPr>
          <w:p w14:paraId="24149E8B" w14:textId="09711808" w:rsidR="00BA0176" w:rsidRPr="000F582D" w:rsidRDefault="00D77191" w:rsidP="00B955FB">
            <w:pPr>
              <w:spacing w:before="0" w:after="0"/>
              <w:jc w:val="center"/>
              <w:rPr>
                <w:sz w:val="20"/>
                <w:szCs w:val="20"/>
              </w:rPr>
            </w:pPr>
            <w:r>
              <w:rPr>
                <w:sz w:val="20"/>
                <w:szCs w:val="20"/>
              </w:rPr>
              <w:t>0.53</w:t>
            </w:r>
          </w:p>
        </w:tc>
        <w:tc>
          <w:tcPr>
            <w:tcW w:w="400" w:type="pct"/>
            <w:vAlign w:val="center"/>
          </w:tcPr>
          <w:p w14:paraId="4612F70A" w14:textId="7E70C3F9" w:rsidR="00BA0176" w:rsidRPr="000F582D" w:rsidRDefault="00D77191" w:rsidP="00B955FB">
            <w:pPr>
              <w:spacing w:before="0" w:after="0"/>
              <w:jc w:val="center"/>
              <w:rPr>
                <w:sz w:val="20"/>
                <w:szCs w:val="20"/>
              </w:rPr>
            </w:pPr>
            <w:r>
              <w:rPr>
                <w:sz w:val="20"/>
                <w:szCs w:val="20"/>
              </w:rPr>
              <w:t>0.48</w:t>
            </w:r>
          </w:p>
        </w:tc>
        <w:tc>
          <w:tcPr>
            <w:tcW w:w="400" w:type="pct"/>
            <w:vAlign w:val="center"/>
          </w:tcPr>
          <w:p w14:paraId="609C0B7B" w14:textId="63BBADFF" w:rsidR="00BA0176" w:rsidRPr="000F582D" w:rsidRDefault="00D77191" w:rsidP="00B955FB">
            <w:pPr>
              <w:spacing w:before="0" w:after="0"/>
              <w:jc w:val="center"/>
              <w:rPr>
                <w:sz w:val="20"/>
                <w:szCs w:val="20"/>
              </w:rPr>
            </w:pPr>
            <w:r>
              <w:rPr>
                <w:sz w:val="20"/>
                <w:szCs w:val="20"/>
              </w:rPr>
              <w:t>0.46</w:t>
            </w:r>
          </w:p>
        </w:tc>
      </w:tr>
      <w:tr w:rsidR="00BA0176" w:rsidRPr="000F582D" w14:paraId="348D15C5" w14:textId="77777777" w:rsidTr="00B955FB">
        <w:trPr>
          <w:trHeight w:val="454"/>
        </w:trPr>
        <w:tc>
          <w:tcPr>
            <w:tcW w:w="955" w:type="pct"/>
            <w:vAlign w:val="center"/>
          </w:tcPr>
          <w:p w14:paraId="5DC351FF" w14:textId="77777777" w:rsidR="00BA0176" w:rsidRPr="000F582D" w:rsidRDefault="00BA0176" w:rsidP="00C161B4">
            <w:pPr>
              <w:spacing w:before="0" w:after="0"/>
              <w:jc w:val="left"/>
              <w:rPr>
                <w:sz w:val="20"/>
                <w:szCs w:val="20"/>
                <w:vertAlign w:val="superscript"/>
              </w:rPr>
            </w:pPr>
            <w:r w:rsidRPr="000F582D">
              <w:rPr>
                <w:sz w:val="20"/>
                <w:szCs w:val="20"/>
              </w:rPr>
              <w:t>Water content</w:t>
            </w:r>
            <w:r w:rsidRPr="000F582D">
              <w:rPr>
                <w:sz w:val="20"/>
                <w:szCs w:val="20"/>
                <w:vertAlign w:val="superscript"/>
              </w:rPr>
              <w:t>2</w:t>
            </w:r>
          </w:p>
        </w:tc>
        <w:tc>
          <w:tcPr>
            <w:tcW w:w="830" w:type="pct"/>
            <w:vAlign w:val="center"/>
          </w:tcPr>
          <w:p w14:paraId="292D91A2" w14:textId="77777777" w:rsidR="00BA0176" w:rsidRPr="000F582D" w:rsidRDefault="00BA0176" w:rsidP="00C161B4">
            <w:pPr>
              <w:spacing w:before="0" w:after="0"/>
              <w:jc w:val="center"/>
              <w:rPr>
                <w:sz w:val="20"/>
                <w:szCs w:val="20"/>
              </w:rPr>
            </w:pPr>
            <w:r w:rsidRPr="000F582D">
              <w:rPr>
                <w:sz w:val="20"/>
                <w:szCs w:val="20"/>
              </w:rPr>
              <w:t>ASTM D6304</w:t>
            </w:r>
          </w:p>
        </w:tc>
        <w:tc>
          <w:tcPr>
            <w:tcW w:w="577" w:type="pct"/>
            <w:vAlign w:val="center"/>
          </w:tcPr>
          <w:p w14:paraId="5438C034" w14:textId="77777777" w:rsidR="00BA0176" w:rsidRPr="000F582D" w:rsidRDefault="00BA0176" w:rsidP="00C161B4">
            <w:pPr>
              <w:spacing w:before="0" w:after="0"/>
              <w:jc w:val="center"/>
              <w:rPr>
                <w:sz w:val="20"/>
                <w:szCs w:val="20"/>
              </w:rPr>
            </w:pPr>
            <w:r w:rsidRPr="000F582D">
              <w:rPr>
                <w:sz w:val="20"/>
                <w:szCs w:val="20"/>
              </w:rPr>
              <w:t>[ppm]</w:t>
            </w:r>
          </w:p>
        </w:tc>
        <w:tc>
          <w:tcPr>
            <w:tcW w:w="459" w:type="pct"/>
            <w:vAlign w:val="center"/>
          </w:tcPr>
          <w:p w14:paraId="20326841" w14:textId="77777777" w:rsidR="00BA0176" w:rsidRPr="000F582D" w:rsidRDefault="00BA0176" w:rsidP="00B955FB">
            <w:pPr>
              <w:spacing w:before="0" w:after="0"/>
              <w:jc w:val="center"/>
              <w:rPr>
                <w:sz w:val="20"/>
                <w:szCs w:val="20"/>
              </w:rPr>
            </w:pPr>
            <w:r w:rsidRPr="000F582D">
              <w:rPr>
                <w:sz w:val="20"/>
                <w:szCs w:val="20"/>
              </w:rPr>
              <w:t>13</w:t>
            </w:r>
          </w:p>
        </w:tc>
        <w:tc>
          <w:tcPr>
            <w:tcW w:w="459" w:type="pct"/>
            <w:vAlign w:val="center"/>
          </w:tcPr>
          <w:p w14:paraId="48D64587" w14:textId="77777777" w:rsidR="00BA0176" w:rsidRPr="000F582D" w:rsidRDefault="00BA0176" w:rsidP="00B955FB">
            <w:pPr>
              <w:spacing w:before="0" w:after="0"/>
              <w:jc w:val="center"/>
              <w:rPr>
                <w:sz w:val="20"/>
                <w:szCs w:val="20"/>
              </w:rPr>
            </w:pPr>
            <w:r w:rsidRPr="000F582D">
              <w:rPr>
                <w:sz w:val="20"/>
                <w:szCs w:val="20"/>
              </w:rPr>
              <w:t>24</w:t>
            </w:r>
          </w:p>
        </w:tc>
        <w:tc>
          <w:tcPr>
            <w:tcW w:w="459" w:type="pct"/>
            <w:vAlign w:val="center"/>
          </w:tcPr>
          <w:p w14:paraId="5F36238F" w14:textId="77777777" w:rsidR="00BA0176" w:rsidRPr="000F582D" w:rsidRDefault="00BA0176" w:rsidP="00B955FB">
            <w:pPr>
              <w:spacing w:before="0" w:after="0"/>
              <w:jc w:val="center"/>
              <w:rPr>
                <w:sz w:val="20"/>
                <w:szCs w:val="20"/>
              </w:rPr>
            </w:pPr>
            <w:r w:rsidRPr="000F582D">
              <w:rPr>
                <w:sz w:val="20"/>
                <w:szCs w:val="20"/>
              </w:rPr>
              <w:t>19</w:t>
            </w:r>
          </w:p>
        </w:tc>
        <w:tc>
          <w:tcPr>
            <w:tcW w:w="459" w:type="pct"/>
            <w:vAlign w:val="center"/>
          </w:tcPr>
          <w:p w14:paraId="3AFF04C8" w14:textId="77777777" w:rsidR="00BA0176" w:rsidRPr="000F582D" w:rsidRDefault="00BA0176" w:rsidP="00B955FB">
            <w:pPr>
              <w:spacing w:before="0" w:after="0"/>
              <w:jc w:val="center"/>
              <w:rPr>
                <w:sz w:val="20"/>
                <w:szCs w:val="20"/>
              </w:rPr>
            </w:pPr>
            <w:r w:rsidRPr="000F582D">
              <w:rPr>
                <w:sz w:val="20"/>
                <w:szCs w:val="20"/>
              </w:rPr>
              <w:t>17</w:t>
            </w:r>
          </w:p>
        </w:tc>
        <w:tc>
          <w:tcPr>
            <w:tcW w:w="400" w:type="pct"/>
            <w:vAlign w:val="center"/>
          </w:tcPr>
          <w:p w14:paraId="646752B5" w14:textId="77777777" w:rsidR="00BA0176" w:rsidRPr="000F582D" w:rsidRDefault="00BA0176" w:rsidP="00B955FB">
            <w:pPr>
              <w:spacing w:before="0" w:after="0"/>
              <w:jc w:val="center"/>
              <w:rPr>
                <w:sz w:val="20"/>
                <w:szCs w:val="20"/>
              </w:rPr>
            </w:pPr>
            <w:r w:rsidRPr="000F582D">
              <w:rPr>
                <w:sz w:val="20"/>
                <w:szCs w:val="20"/>
              </w:rPr>
              <w:t>16</w:t>
            </w:r>
          </w:p>
        </w:tc>
        <w:tc>
          <w:tcPr>
            <w:tcW w:w="400" w:type="pct"/>
            <w:vAlign w:val="center"/>
          </w:tcPr>
          <w:p w14:paraId="6ADCD2BA" w14:textId="77777777" w:rsidR="00BA0176" w:rsidRPr="000F582D" w:rsidRDefault="00BA0176" w:rsidP="00B955FB">
            <w:pPr>
              <w:spacing w:before="0" w:after="0"/>
              <w:jc w:val="center"/>
              <w:rPr>
                <w:sz w:val="20"/>
                <w:szCs w:val="20"/>
              </w:rPr>
            </w:pPr>
            <w:r w:rsidRPr="000F582D">
              <w:rPr>
                <w:sz w:val="20"/>
                <w:szCs w:val="20"/>
              </w:rPr>
              <w:t>25</w:t>
            </w:r>
          </w:p>
        </w:tc>
      </w:tr>
      <w:tr w:rsidR="00BA0176" w:rsidRPr="000F582D" w14:paraId="5E328A68" w14:textId="77777777" w:rsidTr="00B955FB">
        <w:trPr>
          <w:trHeight w:val="454"/>
        </w:trPr>
        <w:tc>
          <w:tcPr>
            <w:tcW w:w="955" w:type="pct"/>
            <w:vAlign w:val="center"/>
          </w:tcPr>
          <w:p w14:paraId="2388E522" w14:textId="77777777" w:rsidR="00BA0176" w:rsidRPr="000F582D" w:rsidRDefault="00BA0176" w:rsidP="00C161B4">
            <w:pPr>
              <w:spacing w:before="0" w:after="0"/>
              <w:jc w:val="left"/>
              <w:rPr>
                <w:sz w:val="20"/>
                <w:szCs w:val="20"/>
              </w:rPr>
            </w:pPr>
            <w:r w:rsidRPr="000F582D">
              <w:rPr>
                <w:sz w:val="20"/>
                <w:szCs w:val="20"/>
              </w:rPr>
              <w:t>Zn</w:t>
            </w:r>
          </w:p>
        </w:tc>
        <w:tc>
          <w:tcPr>
            <w:tcW w:w="830" w:type="pct"/>
            <w:vAlign w:val="center"/>
          </w:tcPr>
          <w:p w14:paraId="55CB1687" w14:textId="77777777" w:rsidR="00BA0176" w:rsidRPr="000F582D" w:rsidRDefault="00BA0176" w:rsidP="00C161B4">
            <w:pPr>
              <w:spacing w:before="0" w:after="0"/>
              <w:jc w:val="center"/>
              <w:rPr>
                <w:sz w:val="20"/>
                <w:szCs w:val="20"/>
              </w:rPr>
            </w:pPr>
            <w:r w:rsidRPr="000F582D">
              <w:rPr>
                <w:sz w:val="20"/>
                <w:szCs w:val="20"/>
              </w:rPr>
              <w:t>ASTM D4927</w:t>
            </w:r>
          </w:p>
        </w:tc>
        <w:tc>
          <w:tcPr>
            <w:tcW w:w="577" w:type="pct"/>
            <w:vAlign w:val="center"/>
          </w:tcPr>
          <w:p w14:paraId="6B2C1654" w14:textId="77777777" w:rsidR="00BA0176" w:rsidRPr="000F582D" w:rsidRDefault="00BA0176" w:rsidP="00C161B4">
            <w:pPr>
              <w:spacing w:before="0" w:after="0"/>
              <w:jc w:val="center"/>
              <w:rPr>
                <w:sz w:val="20"/>
                <w:szCs w:val="20"/>
              </w:rPr>
            </w:pPr>
            <w:r w:rsidRPr="000F582D">
              <w:rPr>
                <w:sz w:val="20"/>
                <w:szCs w:val="20"/>
              </w:rPr>
              <w:t>[%]</w:t>
            </w:r>
          </w:p>
        </w:tc>
        <w:tc>
          <w:tcPr>
            <w:tcW w:w="459" w:type="pct"/>
            <w:vAlign w:val="center"/>
          </w:tcPr>
          <w:p w14:paraId="156173D4" w14:textId="77777777" w:rsidR="00BA0176" w:rsidRPr="000F582D" w:rsidRDefault="00BA0176" w:rsidP="00B955FB">
            <w:pPr>
              <w:spacing w:before="0" w:after="0"/>
              <w:jc w:val="center"/>
              <w:rPr>
                <w:sz w:val="20"/>
                <w:szCs w:val="20"/>
              </w:rPr>
            </w:pPr>
            <w:r w:rsidRPr="000F582D">
              <w:rPr>
                <w:sz w:val="20"/>
                <w:szCs w:val="20"/>
              </w:rPr>
              <w:t>0.037</w:t>
            </w:r>
          </w:p>
        </w:tc>
        <w:tc>
          <w:tcPr>
            <w:tcW w:w="459" w:type="pct"/>
            <w:vAlign w:val="center"/>
          </w:tcPr>
          <w:p w14:paraId="56A5414A" w14:textId="77777777" w:rsidR="00BA0176" w:rsidRPr="000F582D" w:rsidRDefault="00BA0176" w:rsidP="00B955FB">
            <w:pPr>
              <w:spacing w:before="0" w:after="0"/>
              <w:jc w:val="center"/>
              <w:rPr>
                <w:sz w:val="20"/>
                <w:szCs w:val="20"/>
              </w:rPr>
            </w:pPr>
            <w:r w:rsidRPr="000F582D">
              <w:rPr>
                <w:sz w:val="20"/>
                <w:szCs w:val="20"/>
              </w:rPr>
              <w:t>0.034</w:t>
            </w:r>
          </w:p>
        </w:tc>
        <w:tc>
          <w:tcPr>
            <w:tcW w:w="459" w:type="pct"/>
            <w:vAlign w:val="center"/>
          </w:tcPr>
          <w:p w14:paraId="1CC69358" w14:textId="77777777" w:rsidR="00BA0176" w:rsidRPr="000F582D" w:rsidRDefault="00BA0176" w:rsidP="00B955FB">
            <w:pPr>
              <w:spacing w:before="0" w:after="0"/>
              <w:jc w:val="center"/>
              <w:rPr>
                <w:sz w:val="20"/>
                <w:szCs w:val="20"/>
              </w:rPr>
            </w:pPr>
            <w:r w:rsidRPr="000F582D">
              <w:rPr>
                <w:sz w:val="20"/>
                <w:szCs w:val="20"/>
              </w:rPr>
              <w:t>0.034</w:t>
            </w:r>
          </w:p>
        </w:tc>
        <w:tc>
          <w:tcPr>
            <w:tcW w:w="459" w:type="pct"/>
            <w:vAlign w:val="center"/>
          </w:tcPr>
          <w:p w14:paraId="090F5A2F" w14:textId="77777777" w:rsidR="00BA0176" w:rsidRPr="000F582D" w:rsidRDefault="00BA0176" w:rsidP="00B955FB">
            <w:pPr>
              <w:spacing w:before="0" w:after="0"/>
              <w:jc w:val="center"/>
              <w:rPr>
                <w:sz w:val="20"/>
                <w:szCs w:val="20"/>
              </w:rPr>
            </w:pPr>
            <w:r w:rsidRPr="000F582D">
              <w:rPr>
                <w:sz w:val="20"/>
                <w:szCs w:val="20"/>
              </w:rPr>
              <w:t>0.034</w:t>
            </w:r>
          </w:p>
        </w:tc>
        <w:tc>
          <w:tcPr>
            <w:tcW w:w="400" w:type="pct"/>
            <w:vAlign w:val="center"/>
          </w:tcPr>
          <w:p w14:paraId="2D036DEE" w14:textId="77777777" w:rsidR="00BA0176" w:rsidRPr="000F582D" w:rsidRDefault="00BA0176" w:rsidP="00B955FB">
            <w:pPr>
              <w:spacing w:before="0" w:after="0"/>
              <w:jc w:val="center"/>
              <w:rPr>
                <w:sz w:val="20"/>
                <w:szCs w:val="20"/>
              </w:rPr>
            </w:pPr>
            <w:r w:rsidRPr="000F582D">
              <w:rPr>
                <w:sz w:val="20"/>
                <w:szCs w:val="20"/>
              </w:rPr>
              <w:t>0.034</w:t>
            </w:r>
          </w:p>
        </w:tc>
        <w:tc>
          <w:tcPr>
            <w:tcW w:w="400" w:type="pct"/>
            <w:vAlign w:val="center"/>
          </w:tcPr>
          <w:p w14:paraId="779D076B" w14:textId="77777777" w:rsidR="00BA0176" w:rsidRPr="000F582D" w:rsidRDefault="00BA0176" w:rsidP="00B955FB">
            <w:pPr>
              <w:spacing w:before="0" w:after="0"/>
              <w:jc w:val="center"/>
              <w:rPr>
                <w:sz w:val="20"/>
                <w:szCs w:val="20"/>
              </w:rPr>
            </w:pPr>
            <w:r w:rsidRPr="000F582D">
              <w:rPr>
                <w:sz w:val="20"/>
                <w:szCs w:val="20"/>
              </w:rPr>
              <w:t>0.034</w:t>
            </w:r>
          </w:p>
        </w:tc>
      </w:tr>
      <w:tr w:rsidR="00BA0176" w:rsidRPr="000F582D" w14:paraId="090FCEDE" w14:textId="77777777" w:rsidTr="00B955FB">
        <w:trPr>
          <w:trHeight w:val="454"/>
        </w:trPr>
        <w:tc>
          <w:tcPr>
            <w:tcW w:w="955" w:type="pct"/>
            <w:vAlign w:val="center"/>
          </w:tcPr>
          <w:p w14:paraId="53F49F68" w14:textId="77777777" w:rsidR="00BA0176" w:rsidRPr="000F582D" w:rsidRDefault="00BA0176" w:rsidP="00C161B4">
            <w:pPr>
              <w:spacing w:before="0" w:after="0"/>
              <w:jc w:val="left"/>
              <w:rPr>
                <w:sz w:val="20"/>
                <w:szCs w:val="20"/>
              </w:rPr>
            </w:pPr>
            <w:r w:rsidRPr="000F582D">
              <w:rPr>
                <w:sz w:val="20"/>
                <w:szCs w:val="20"/>
              </w:rPr>
              <w:t>Fe</w:t>
            </w:r>
          </w:p>
        </w:tc>
        <w:tc>
          <w:tcPr>
            <w:tcW w:w="830" w:type="pct"/>
            <w:vAlign w:val="center"/>
          </w:tcPr>
          <w:p w14:paraId="6A943AA3" w14:textId="77777777" w:rsidR="00BA0176" w:rsidRPr="000F582D" w:rsidRDefault="00BA0176" w:rsidP="00C161B4">
            <w:pPr>
              <w:spacing w:before="0" w:after="0"/>
              <w:jc w:val="center"/>
              <w:rPr>
                <w:sz w:val="20"/>
                <w:szCs w:val="20"/>
              </w:rPr>
            </w:pPr>
            <w:r w:rsidRPr="000F582D">
              <w:rPr>
                <w:sz w:val="20"/>
                <w:szCs w:val="20"/>
              </w:rPr>
              <w:t>WDXRF</w:t>
            </w:r>
          </w:p>
        </w:tc>
        <w:tc>
          <w:tcPr>
            <w:tcW w:w="577" w:type="pct"/>
            <w:vAlign w:val="center"/>
          </w:tcPr>
          <w:p w14:paraId="539A6198" w14:textId="77777777" w:rsidR="00BA0176" w:rsidRPr="000F582D" w:rsidRDefault="00BA0176" w:rsidP="00C161B4">
            <w:pPr>
              <w:spacing w:before="0" w:after="0"/>
              <w:jc w:val="center"/>
              <w:rPr>
                <w:sz w:val="20"/>
                <w:szCs w:val="20"/>
              </w:rPr>
            </w:pPr>
            <w:r w:rsidRPr="000F582D">
              <w:rPr>
                <w:sz w:val="20"/>
                <w:szCs w:val="20"/>
              </w:rPr>
              <w:t>[ppm]</w:t>
            </w:r>
          </w:p>
        </w:tc>
        <w:tc>
          <w:tcPr>
            <w:tcW w:w="459" w:type="pct"/>
            <w:vAlign w:val="center"/>
          </w:tcPr>
          <w:p w14:paraId="649EF103" w14:textId="77777777" w:rsidR="00BA0176" w:rsidRPr="000F582D" w:rsidRDefault="00BA0176" w:rsidP="00B955FB">
            <w:pPr>
              <w:spacing w:before="0" w:after="0"/>
              <w:jc w:val="center"/>
              <w:rPr>
                <w:sz w:val="20"/>
                <w:szCs w:val="20"/>
              </w:rPr>
            </w:pPr>
            <w:r w:rsidRPr="000F582D">
              <w:rPr>
                <w:sz w:val="20"/>
                <w:szCs w:val="20"/>
              </w:rPr>
              <w:t>2</w:t>
            </w:r>
          </w:p>
        </w:tc>
        <w:tc>
          <w:tcPr>
            <w:tcW w:w="459" w:type="pct"/>
            <w:vAlign w:val="center"/>
          </w:tcPr>
          <w:p w14:paraId="4090F667" w14:textId="77777777" w:rsidR="00BA0176" w:rsidRPr="000F582D" w:rsidRDefault="00BA0176" w:rsidP="00B955FB">
            <w:pPr>
              <w:spacing w:before="0" w:after="0"/>
              <w:jc w:val="center"/>
              <w:rPr>
                <w:sz w:val="20"/>
                <w:szCs w:val="20"/>
              </w:rPr>
            </w:pPr>
            <w:r w:rsidRPr="000F582D">
              <w:rPr>
                <w:sz w:val="20"/>
                <w:szCs w:val="20"/>
              </w:rPr>
              <w:t>5</w:t>
            </w:r>
          </w:p>
        </w:tc>
        <w:tc>
          <w:tcPr>
            <w:tcW w:w="459" w:type="pct"/>
            <w:vAlign w:val="center"/>
          </w:tcPr>
          <w:p w14:paraId="14499FFE" w14:textId="77777777" w:rsidR="00BA0176" w:rsidRPr="000F582D" w:rsidRDefault="00BA0176" w:rsidP="00B955FB">
            <w:pPr>
              <w:spacing w:before="0" w:after="0"/>
              <w:jc w:val="center"/>
              <w:rPr>
                <w:sz w:val="20"/>
                <w:szCs w:val="20"/>
              </w:rPr>
            </w:pPr>
            <w:r w:rsidRPr="000F582D">
              <w:rPr>
                <w:sz w:val="20"/>
                <w:szCs w:val="20"/>
              </w:rPr>
              <w:t>4</w:t>
            </w:r>
          </w:p>
        </w:tc>
        <w:tc>
          <w:tcPr>
            <w:tcW w:w="459" w:type="pct"/>
            <w:vAlign w:val="center"/>
          </w:tcPr>
          <w:p w14:paraId="678B8D31" w14:textId="77777777" w:rsidR="00BA0176" w:rsidRPr="000F582D" w:rsidRDefault="00BA0176" w:rsidP="00B955FB">
            <w:pPr>
              <w:spacing w:before="0" w:after="0"/>
              <w:jc w:val="center"/>
              <w:rPr>
                <w:sz w:val="20"/>
                <w:szCs w:val="20"/>
              </w:rPr>
            </w:pPr>
            <w:r w:rsidRPr="000F582D">
              <w:rPr>
                <w:sz w:val="20"/>
                <w:szCs w:val="20"/>
              </w:rPr>
              <w:t>4</w:t>
            </w:r>
          </w:p>
        </w:tc>
        <w:tc>
          <w:tcPr>
            <w:tcW w:w="400" w:type="pct"/>
            <w:vAlign w:val="center"/>
          </w:tcPr>
          <w:p w14:paraId="6FB47A4C" w14:textId="77777777" w:rsidR="00BA0176" w:rsidRPr="000F582D" w:rsidRDefault="00BA0176" w:rsidP="00B955FB">
            <w:pPr>
              <w:spacing w:before="0" w:after="0"/>
              <w:jc w:val="center"/>
              <w:rPr>
                <w:sz w:val="20"/>
                <w:szCs w:val="20"/>
              </w:rPr>
            </w:pPr>
            <w:r w:rsidRPr="000F582D">
              <w:rPr>
                <w:sz w:val="20"/>
                <w:szCs w:val="20"/>
              </w:rPr>
              <w:t>3</w:t>
            </w:r>
          </w:p>
        </w:tc>
        <w:tc>
          <w:tcPr>
            <w:tcW w:w="400" w:type="pct"/>
            <w:vAlign w:val="center"/>
          </w:tcPr>
          <w:p w14:paraId="79C4AC38" w14:textId="77777777" w:rsidR="00BA0176" w:rsidRPr="000F582D" w:rsidRDefault="00BA0176" w:rsidP="00B955FB">
            <w:pPr>
              <w:spacing w:before="0" w:after="0"/>
              <w:jc w:val="center"/>
              <w:rPr>
                <w:sz w:val="20"/>
                <w:szCs w:val="20"/>
              </w:rPr>
            </w:pPr>
            <w:r w:rsidRPr="000F582D">
              <w:rPr>
                <w:sz w:val="20"/>
                <w:szCs w:val="20"/>
              </w:rPr>
              <w:t>5</w:t>
            </w:r>
          </w:p>
        </w:tc>
      </w:tr>
      <w:tr w:rsidR="00BA0176" w:rsidRPr="000F582D" w14:paraId="7C3A510B" w14:textId="77777777" w:rsidTr="00B955FB">
        <w:trPr>
          <w:trHeight w:val="454"/>
        </w:trPr>
        <w:tc>
          <w:tcPr>
            <w:tcW w:w="955" w:type="pct"/>
            <w:vAlign w:val="center"/>
          </w:tcPr>
          <w:p w14:paraId="3E7FCB21" w14:textId="77777777" w:rsidR="00BA0176" w:rsidRPr="000F582D" w:rsidRDefault="00BA0176" w:rsidP="00C161B4">
            <w:pPr>
              <w:spacing w:before="0" w:after="0"/>
              <w:jc w:val="left"/>
              <w:rPr>
                <w:sz w:val="20"/>
                <w:szCs w:val="20"/>
              </w:rPr>
            </w:pPr>
            <w:r w:rsidRPr="000F582D">
              <w:rPr>
                <w:sz w:val="20"/>
                <w:szCs w:val="20"/>
              </w:rPr>
              <w:t>Pb</w:t>
            </w:r>
          </w:p>
        </w:tc>
        <w:tc>
          <w:tcPr>
            <w:tcW w:w="830" w:type="pct"/>
            <w:vAlign w:val="center"/>
          </w:tcPr>
          <w:p w14:paraId="47A07878" w14:textId="77777777" w:rsidR="00BA0176" w:rsidRPr="000F582D" w:rsidRDefault="00BA0176" w:rsidP="00C161B4">
            <w:pPr>
              <w:spacing w:before="0" w:after="0"/>
              <w:jc w:val="center"/>
              <w:rPr>
                <w:sz w:val="20"/>
                <w:szCs w:val="20"/>
              </w:rPr>
            </w:pPr>
            <w:r w:rsidRPr="000F582D">
              <w:rPr>
                <w:sz w:val="20"/>
                <w:szCs w:val="20"/>
              </w:rPr>
              <w:t>WDXRF</w:t>
            </w:r>
          </w:p>
        </w:tc>
        <w:tc>
          <w:tcPr>
            <w:tcW w:w="577" w:type="pct"/>
            <w:vAlign w:val="center"/>
          </w:tcPr>
          <w:p w14:paraId="723A785F" w14:textId="77777777" w:rsidR="00BA0176" w:rsidRPr="000F582D" w:rsidRDefault="00BA0176" w:rsidP="00C161B4">
            <w:pPr>
              <w:spacing w:before="0" w:after="0"/>
              <w:jc w:val="center"/>
              <w:rPr>
                <w:sz w:val="20"/>
                <w:szCs w:val="20"/>
              </w:rPr>
            </w:pPr>
            <w:r w:rsidRPr="000F582D">
              <w:rPr>
                <w:sz w:val="20"/>
                <w:szCs w:val="20"/>
              </w:rPr>
              <w:t>[ppm]</w:t>
            </w:r>
          </w:p>
        </w:tc>
        <w:tc>
          <w:tcPr>
            <w:tcW w:w="459" w:type="pct"/>
            <w:vAlign w:val="center"/>
          </w:tcPr>
          <w:p w14:paraId="4828BA1D" w14:textId="77777777" w:rsidR="00BA0176" w:rsidRPr="000F582D" w:rsidRDefault="00BA0176" w:rsidP="00B955FB">
            <w:pPr>
              <w:spacing w:before="0" w:after="0"/>
              <w:jc w:val="center"/>
              <w:rPr>
                <w:sz w:val="20"/>
                <w:szCs w:val="20"/>
              </w:rPr>
            </w:pPr>
            <w:r w:rsidRPr="000F582D">
              <w:rPr>
                <w:sz w:val="20"/>
                <w:szCs w:val="20"/>
              </w:rPr>
              <w:t>ND</w:t>
            </w:r>
          </w:p>
        </w:tc>
        <w:tc>
          <w:tcPr>
            <w:tcW w:w="459" w:type="pct"/>
            <w:vAlign w:val="center"/>
          </w:tcPr>
          <w:p w14:paraId="5D78D010" w14:textId="77777777" w:rsidR="00BA0176" w:rsidRPr="000F582D" w:rsidRDefault="00BA0176" w:rsidP="00B955FB">
            <w:pPr>
              <w:spacing w:before="0" w:after="0"/>
              <w:jc w:val="center"/>
              <w:rPr>
                <w:sz w:val="20"/>
                <w:szCs w:val="20"/>
              </w:rPr>
            </w:pPr>
            <w:r w:rsidRPr="000F582D">
              <w:rPr>
                <w:sz w:val="20"/>
                <w:szCs w:val="20"/>
              </w:rPr>
              <w:t>ND</w:t>
            </w:r>
          </w:p>
        </w:tc>
        <w:tc>
          <w:tcPr>
            <w:tcW w:w="459" w:type="pct"/>
            <w:vAlign w:val="center"/>
          </w:tcPr>
          <w:p w14:paraId="7ED2D45E" w14:textId="77777777" w:rsidR="00BA0176" w:rsidRPr="000F582D" w:rsidRDefault="00BA0176" w:rsidP="00B955FB">
            <w:pPr>
              <w:spacing w:before="0" w:after="0"/>
              <w:jc w:val="center"/>
              <w:rPr>
                <w:sz w:val="20"/>
                <w:szCs w:val="20"/>
              </w:rPr>
            </w:pPr>
            <w:r w:rsidRPr="000F582D">
              <w:rPr>
                <w:sz w:val="20"/>
                <w:szCs w:val="20"/>
              </w:rPr>
              <w:t>ND</w:t>
            </w:r>
          </w:p>
        </w:tc>
        <w:tc>
          <w:tcPr>
            <w:tcW w:w="459" w:type="pct"/>
            <w:vAlign w:val="center"/>
          </w:tcPr>
          <w:p w14:paraId="792A2330" w14:textId="77777777" w:rsidR="00BA0176" w:rsidRPr="000F582D" w:rsidRDefault="00BA0176" w:rsidP="00B955FB">
            <w:pPr>
              <w:spacing w:before="0" w:after="0"/>
              <w:jc w:val="center"/>
              <w:rPr>
                <w:sz w:val="20"/>
                <w:szCs w:val="20"/>
              </w:rPr>
            </w:pPr>
            <w:r w:rsidRPr="000F582D">
              <w:rPr>
                <w:sz w:val="20"/>
                <w:szCs w:val="20"/>
              </w:rPr>
              <w:t>ND</w:t>
            </w:r>
          </w:p>
        </w:tc>
        <w:tc>
          <w:tcPr>
            <w:tcW w:w="400" w:type="pct"/>
            <w:vAlign w:val="center"/>
          </w:tcPr>
          <w:p w14:paraId="6094F12E" w14:textId="77777777" w:rsidR="00BA0176" w:rsidRPr="000F582D" w:rsidRDefault="00BA0176" w:rsidP="00B955FB">
            <w:pPr>
              <w:spacing w:before="0" w:after="0"/>
              <w:jc w:val="center"/>
              <w:rPr>
                <w:sz w:val="20"/>
                <w:szCs w:val="20"/>
              </w:rPr>
            </w:pPr>
            <w:r w:rsidRPr="000F582D">
              <w:rPr>
                <w:sz w:val="20"/>
                <w:szCs w:val="20"/>
              </w:rPr>
              <w:t>ND</w:t>
            </w:r>
          </w:p>
        </w:tc>
        <w:tc>
          <w:tcPr>
            <w:tcW w:w="400" w:type="pct"/>
            <w:vAlign w:val="center"/>
          </w:tcPr>
          <w:p w14:paraId="4CF55E95" w14:textId="77777777" w:rsidR="00BA0176" w:rsidRPr="000F582D" w:rsidRDefault="00BA0176" w:rsidP="00B955FB">
            <w:pPr>
              <w:spacing w:before="0" w:after="0"/>
              <w:jc w:val="center"/>
              <w:rPr>
                <w:sz w:val="20"/>
                <w:szCs w:val="20"/>
              </w:rPr>
            </w:pPr>
            <w:r w:rsidRPr="000F582D">
              <w:rPr>
                <w:sz w:val="20"/>
                <w:szCs w:val="20"/>
              </w:rPr>
              <w:t>ND</w:t>
            </w:r>
          </w:p>
        </w:tc>
      </w:tr>
      <w:tr w:rsidR="00BA0176" w:rsidRPr="000F582D" w14:paraId="710E7A1C" w14:textId="77777777" w:rsidTr="00B955FB">
        <w:trPr>
          <w:trHeight w:val="454"/>
        </w:trPr>
        <w:tc>
          <w:tcPr>
            <w:tcW w:w="955" w:type="pct"/>
            <w:vAlign w:val="center"/>
          </w:tcPr>
          <w:p w14:paraId="644407CF" w14:textId="77777777" w:rsidR="00BA0176" w:rsidRPr="000F582D" w:rsidRDefault="00BA0176" w:rsidP="00C161B4">
            <w:pPr>
              <w:spacing w:before="0" w:after="0"/>
              <w:jc w:val="left"/>
              <w:rPr>
                <w:sz w:val="20"/>
                <w:szCs w:val="20"/>
              </w:rPr>
            </w:pPr>
            <w:r w:rsidRPr="000F582D">
              <w:rPr>
                <w:sz w:val="20"/>
                <w:szCs w:val="20"/>
              </w:rPr>
              <w:t>Cu</w:t>
            </w:r>
          </w:p>
        </w:tc>
        <w:tc>
          <w:tcPr>
            <w:tcW w:w="830" w:type="pct"/>
            <w:vAlign w:val="center"/>
          </w:tcPr>
          <w:p w14:paraId="20EC70EF" w14:textId="77777777" w:rsidR="00BA0176" w:rsidRPr="000F582D" w:rsidRDefault="00BA0176" w:rsidP="00C161B4">
            <w:pPr>
              <w:spacing w:before="0" w:after="0"/>
              <w:jc w:val="center"/>
              <w:rPr>
                <w:sz w:val="20"/>
                <w:szCs w:val="20"/>
              </w:rPr>
            </w:pPr>
            <w:r w:rsidRPr="000F582D">
              <w:rPr>
                <w:sz w:val="20"/>
                <w:szCs w:val="20"/>
              </w:rPr>
              <w:t>WDXRF</w:t>
            </w:r>
          </w:p>
        </w:tc>
        <w:tc>
          <w:tcPr>
            <w:tcW w:w="577" w:type="pct"/>
            <w:vAlign w:val="center"/>
          </w:tcPr>
          <w:p w14:paraId="29B54769" w14:textId="77777777" w:rsidR="00BA0176" w:rsidRPr="000F582D" w:rsidRDefault="00BA0176" w:rsidP="00C161B4">
            <w:pPr>
              <w:spacing w:before="0" w:after="0"/>
              <w:jc w:val="center"/>
              <w:rPr>
                <w:sz w:val="20"/>
                <w:szCs w:val="20"/>
              </w:rPr>
            </w:pPr>
            <w:r w:rsidRPr="000F582D">
              <w:rPr>
                <w:sz w:val="20"/>
                <w:szCs w:val="20"/>
              </w:rPr>
              <w:t>[ppm]</w:t>
            </w:r>
          </w:p>
        </w:tc>
        <w:tc>
          <w:tcPr>
            <w:tcW w:w="459" w:type="pct"/>
            <w:vAlign w:val="center"/>
          </w:tcPr>
          <w:p w14:paraId="2A813EAB" w14:textId="77777777" w:rsidR="00BA0176" w:rsidRPr="000F582D" w:rsidRDefault="00BA0176" w:rsidP="00B955FB">
            <w:pPr>
              <w:spacing w:before="0" w:after="0"/>
              <w:jc w:val="center"/>
              <w:rPr>
                <w:sz w:val="20"/>
                <w:szCs w:val="20"/>
              </w:rPr>
            </w:pPr>
            <w:r w:rsidRPr="000F582D">
              <w:rPr>
                <w:sz w:val="20"/>
                <w:szCs w:val="20"/>
              </w:rPr>
              <w:t>ND</w:t>
            </w:r>
          </w:p>
        </w:tc>
        <w:tc>
          <w:tcPr>
            <w:tcW w:w="459" w:type="pct"/>
            <w:vAlign w:val="center"/>
          </w:tcPr>
          <w:p w14:paraId="3B4DF073" w14:textId="77777777" w:rsidR="00BA0176" w:rsidRPr="000F582D" w:rsidRDefault="00BA0176" w:rsidP="00B955FB">
            <w:pPr>
              <w:spacing w:before="0" w:after="0"/>
              <w:jc w:val="center"/>
              <w:rPr>
                <w:sz w:val="20"/>
                <w:szCs w:val="20"/>
              </w:rPr>
            </w:pPr>
            <w:r w:rsidRPr="000F582D">
              <w:rPr>
                <w:sz w:val="20"/>
                <w:szCs w:val="20"/>
              </w:rPr>
              <w:t>ND</w:t>
            </w:r>
          </w:p>
        </w:tc>
        <w:tc>
          <w:tcPr>
            <w:tcW w:w="459" w:type="pct"/>
            <w:vAlign w:val="center"/>
          </w:tcPr>
          <w:p w14:paraId="380E4CCF" w14:textId="77777777" w:rsidR="00BA0176" w:rsidRPr="000F582D" w:rsidRDefault="00BA0176" w:rsidP="00B955FB">
            <w:pPr>
              <w:spacing w:before="0" w:after="0"/>
              <w:jc w:val="center"/>
              <w:rPr>
                <w:sz w:val="20"/>
                <w:szCs w:val="20"/>
              </w:rPr>
            </w:pPr>
            <w:r w:rsidRPr="000F582D">
              <w:rPr>
                <w:sz w:val="20"/>
                <w:szCs w:val="20"/>
              </w:rPr>
              <w:t>ND</w:t>
            </w:r>
          </w:p>
        </w:tc>
        <w:tc>
          <w:tcPr>
            <w:tcW w:w="459" w:type="pct"/>
            <w:vAlign w:val="center"/>
          </w:tcPr>
          <w:p w14:paraId="17A583A8" w14:textId="77777777" w:rsidR="00BA0176" w:rsidRPr="000F582D" w:rsidRDefault="00BA0176" w:rsidP="00B955FB">
            <w:pPr>
              <w:spacing w:before="0" w:after="0"/>
              <w:jc w:val="center"/>
              <w:rPr>
                <w:sz w:val="20"/>
                <w:szCs w:val="20"/>
              </w:rPr>
            </w:pPr>
            <w:r w:rsidRPr="000F582D">
              <w:rPr>
                <w:sz w:val="20"/>
                <w:szCs w:val="20"/>
              </w:rPr>
              <w:t>ND</w:t>
            </w:r>
          </w:p>
        </w:tc>
        <w:tc>
          <w:tcPr>
            <w:tcW w:w="400" w:type="pct"/>
            <w:vAlign w:val="center"/>
          </w:tcPr>
          <w:p w14:paraId="43B8916F" w14:textId="77777777" w:rsidR="00BA0176" w:rsidRPr="000F582D" w:rsidRDefault="00BA0176" w:rsidP="00B955FB">
            <w:pPr>
              <w:spacing w:before="0" w:after="0"/>
              <w:jc w:val="center"/>
              <w:rPr>
                <w:sz w:val="20"/>
                <w:szCs w:val="20"/>
              </w:rPr>
            </w:pPr>
            <w:r w:rsidRPr="000F582D">
              <w:rPr>
                <w:sz w:val="20"/>
                <w:szCs w:val="20"/>
              </w:rPr>
              <w:t>ND</w:t>
            </w:r>
          </w:p>
        </w:tc>
        <w:tc>
          <w:tcPr>
            <w:tcW w:w="400" w:type="pct"/>
            <w:vAlign w:val="center"/>
          </w:tcPr>
          <w:p w14:paraId="1AB01B27" w14:textId="77777777" w:rsidR="00BA0176" w:rsidRPr="000F582D" w:rsidRDefault="00BA0176" w:rsidP="00B955FB">
            <w:pPr>
              <w:spacing w:before="0" w:after="0"/>
              <w:jc w:val="center"/>
              <w:rPr>
                <w:sz w:val="20"/>
                <w:szCs w:val="20"/>
              </w:rPr>
            </w:pPr>
            <w:r w:rsidRPr="000F582D">
              <w:rPr>
                <w:sz w:val="20"/>
                <w:szCs w:val="20"/>
              </w:rPr>
              <w:t>ND</w:t>
            </w:r>
          </w:p>
        </w:tc>
      </w:tr>
      <w:tr w:rsidR="00BA0176" w:rsidRPr="000F582D" w14:paraId="17AA6A00" w14:textId="77777777" w:rsidTr="00B955FB">
        <w:trPr>
          <w:trHeight w:val="454"/>
        </w:trPr>
        <w:tc>
          <w:tcPr>
            <w:tcW w:w="955" w:type="pct"/>
            <w:vAlign w:val="center"/>
          </w:tcPr>
          <w:p w14:paraId="536F874C" w14:textId="77777777" w:rsidR="00BA0176" w:rsidRPr="000F582D" w:rsidRDefault="00BA0176" w:rsidP="00C161B4">
            <w:pPr>
              <w:spacing w:before="0" w:after="0"/>
              <w:jc w:val="left"/>
              <w:rPr>
                <w:sz w:val="20"/>
                <w:szCs w:val="20"/>
              </w:rPr>
            </w:pPr>
            <w:r w:rsidRPr="000F582D">
              <w:rPr>
                <w:sz w:val="20"/>
                <w:szCs w:val="20"/>
              </w:rPr>
              <w:t>Si</w:t>
            </w:r>
          </w:p>
        </w:tc>
        <w:tc>
          <w:tcPr>
            <w:tcW w:w="830" w:type="pct"/>
            <w:vAlign w:val="center"/>
          </w:tcPr>
          <w:p w14:paraId="78A643A6" w14:textId="77777777" w:rsidR="00BA0176" w:rsidRPr="000F582D" w:rsidRDefault="00BA0176" w:rsidP="00C161B4">
            <w:pPr>
              <w:spacing w:before="0" w:after="0"/>
              <w:jc w:val="center"/>
              <w:rPr>
                <w:sz w:val="20"/>
                <w:szCs w:val="20"/>
              </w:rPr>
            </w:pPr>
            <w:r w:rsidRPr="000F582D">
              <w:rPr>
                <w:sz w:val="20"/>
                <w:szCs w:val="20"/>
              </w:rPr>
              <w:t>WDXRF</w:t>
            </w:r>
          </w:p>
        </w:tc>
        <w:tc>
          <w:tcPr>
            <w:tcW w:w="577" w:type="pct"/>
            <w:vAlign w:val="center"/>
          </w:tcPr>
          <w:p w14:paraId="1D7E3DBA" w14:textId="77777777" w:rsidR="00BA0176" w:rsidRPr="000F582D" w:rsidRDefault="00BA0176" w:rsidP="00C161B4">
            <w:pPr>
              <w:spacing w:before="0" w:after="0"/>
              <w:jc w:val="center"/>
              <w:rPr>
                <w:sz w:val="20"/>
                <w:szCs w:val="20"/>
              </w:rPr>
            </w:pPr>
            <w:r w:rsidRPr="000F582D">
              <w:rPr>
                <w:sz w:val="20"/>
                <w:szCs w:val="20"/>
              </w:rPr>
              <w:t>[ppm]</w:t>
            </w:r>
          </w:p>
        </w:tc>
        <w:tc>
          <w:tcPr>
            <w:tcW w:w="459" w:type="pct"/>
            <w:vAlign w:val="center"/>
          </w:tcPr>
          <w:p w14:paraId="0F12DD51" w14:textId="77777777" w:rsidR="00BA0176" w:rsidRPr="000F582D" w:rsidRDefault="00BA0176" w:rsidP="00B955FB">
            <w:pPr>
              <w:spacing w:before="0" w:after="0"/>
              <w:jc w:val="center"/>
              <w:rPr>
                <w:sz w:val="20"/>
                <w:szCs w:val="20"/>
              </w:rPr>
            </w:pPr>
            <w:r w:rsidRPr="000F582D">
              <w:rPr>
                <w:sz w:val="20"/>
                <w:szCs w:val="20"/>
              </w:rPr>
              <w:t>27</w:t>
            </w:r>
          </w:p>
        </w:tc>
        <w:tc>
          <w:tcPr>
            <w:tcW w:w="459" w:type="pct"/>
            <w:vAlign w:val="center"/>
          </w:tcPr>
          <w:p w14:paraId="61C1309C" w14:textId="77777777" w:rsidR="00BA0176" w:rsidRPr="000F582D" w:rsidRDefault="00BA0176" w:rsidP="00B955FB">
            <w:pPr>
              <w:spacing w:before="0" w:after="0"/>
              <w:jc w:val="center"/>
              <w:rPr>
                <w:sz w:val="20"/>
                <w:szCs w:val="20"/>
              </w:rPr>
            </w:pPr>
            <w:r w:rsidRPr="000F582D">
              <w:rPr>
                <w:sz w:val="20"/>
                <w:szCs w:val="20"/>
              </w:rPr>
              <w:t>24</w:t>
            </w:r>
          </w:p>
        </w:tc>
        <w:tc>
          <w:tcPr>
            <w:tcW w:w="459" w:type="pct"/>
            <w:vAlign w:val="center"/>
          </w:tcPr>
          <w:p w14:paraId="4B72B5C0" w14:textId="77777777" w:rsidR="00BA0176" w:rsidRPr="000F582D" w:rsidRDefault="00BA0176" w:rsidP="00B955FB">
            <w:pPr>
              <w:spacing w:before="0" w:after="0"/>
              <w:jc w:val="center"/>
              <w:rPr>
                <w:sz w:val="20"/>
                <w:szCs w:val="20"/>
              </w:rPr>
            </w:pPr>
            <w:r w:rsidRPr="000F582D">
              <w:rPr>
                <w:sz w:val="20"/>
                <w:szCs w:val="20"/>
              </w:rPr>
              <w:t>29</w:t>
            </w:r>
          </w:p>
        </w:tc>
        <w:tc>
          <w:tcPr>
            <w:tcW w:w="459" w:type="pct"/>
            <w:vAlign w:val="center"/>
          </w:tcPr>
          <w:p w14:paraId="0AB361DE" w14:textId="77777777" w:rsidR="00BA0176" w:rsidRPr="000F582D" w:rsidRDefault="00BA0176" w:rsidP="00B955FB">
            <w:pPr>
              <w:spacing w:before="0" w:after="0"/>
              <w:jc w:val="center"/>
              <w:rPr>
                <w:sz w:val="20"/>
                <w:szCs w:val="20"/>
              </w:rPr>
            </w:pPr>
            <w:r w:rsidRPr="000F582D">
              <w:rPr>
                <w:sz w:val="20"/>
                <w:szCs w:val="20"/>
              </w:rPr>
              <w:t>18</w:t>
            </w:r>
          </w:p>
        </w:tc>
        <w:tc>
          <w:tcPr>
            <w:tcW w:w="400" w:type="pct"/>
            <w:vAlign w:val="center"/>
          </w:tcPr>
          <w:p w14:paraId="1EBE3055" w14:textId="77777777" w:rsidR="00BA0176" w:rsidRPr="000F582D" w:rsidRDefault="00BA0176" w:rsidP="00B955FB">
            <w:pPr>
              <w:spacing w:before="0" w:after="0"/>
              <w:jc w:val="center"/>
              <w:rPr>
                <w:sz w:val="20"/>
                <w:szCs w:val="20"/>
              </w:rPr>
            </w:pPr>
            <w:r w:rsidRPr="000F582D">
              <w:rPr>
                <w:sz w:val="20"/>
                <w:szCs w:val="20"/>
              </w:rPr>
              <w:t>20</w:t>
            </w:r>
          </w:p>
        </w:tc>
        <w:tc>
          <w:tcPr>
            <w:tcW w:w="400" w:type="pct"/>
            <w:vAlign w:val="center"/>
          </w:tcPr>
          <w:p w14:paraId="0150E694" w14:textId="77777777" w:rsidR="00BA0176" w:rsidRPr="000F582D" w:rsidRDefault="00BA0176" w:rsidP="00B955FB">
            <w:pPr>
              <w:spacing w:before="0" w:after="0"/>
              <w:jc w:val="center"/>
              <w:rPr>
                <w:sz w:val="20"/>
                <w:szCs w:val="20"/>
              </w:rPr>
            </w:pPr>
            <w:r w:rsidRPr="000F582D">
              <w:rPr>
                <w:sz w:val="20"/>
                <w:szCs w:val="20"/>
              </w:rPr>
              <w:t>27</w:t>
            </w:r>
          </w:p>
        </w:tc>
      </w:tr>
      <w:tr w:rsidR="00BA0176" w:rsidRPr="000F582D" w14:paraId="4C33BC30" w14:textId="77777777" w:rsidTr="00B955FB">
        <w:trPr>
          <w:trHeight w:val="454"/>
        </w:trPr>
        <w:tc>
          <w:tcPr>
            <w:tcW w:w="955" w:type="pct"/>
            <w:vAlign w:val="center"/>
          </w:tcPr>
          <w:p w14:paraId="7FB1383F" w14:textId="77777777" w:rsidR="00BA0176" w:rsidRPr="000F582D" w:rsidRDefault="00BA0176" w:rsidP="00C161B4">
            <w:pPr>
              <w:spacing w:before="0" w:after="0"/>
              <w:jc w:val="left"/>
              <w:rPr>
                <w:sz w:val="20"/>
                <w:szCs w:val="20"/>
              </w:rPr>
            </w:pPr>
            <w:r w:rsidRPr="000F582D">
              <w:rPr>
                <w:sz w:val="20"/>
                <w:szCs w:val="20"/>
              </w:rPr>
              <w:t>Sn</w:t>
            </w:r>
          </w:p>
        </w:tc>
        <w:tc>
          <w:tcPr>
            <w:tcW w:w="830" w:type="pct"/>
            <w:vAlign w:val="center"/>
          </w:tcPr>
          <w:p w14:paraId="4CC7C1B5" w14:textId="77777777" w:rsidR="00BA0176" w:rsidRPr="000F582D" w:rsidRDefault="00BA0176" w:rsidP="00C161B4">
            <w:pPr>
              <w:spacing w:before="0" w:after="0"/>
              <w:jc w:val="center"/>
              <w:rPr>
                <w:sz w:val="20"/>
                <w:szCs w:val="20"/>
              </w:rPr>
            </w:pPr>
            <w:r w:rsidRPr="000F582D">
              <w:rPr>
                <w:sz w:val="20"/>
                <w:szCs w:val="20"/>
              </w:rPr>
              <w:t>WDXRF</w:t>
            </w:r>
          </w:p>
        </w:tc>
        <w:tc>
          <w:tcPr>
            <w:tcW w:w="577" w:type="pct"/>
            <w:vAlign w:val="center"/>
          </w:tcPr>
          <w:p w14:paraId="265F25E1" w14:textId="77777777" w:rsidR="00BA0176" w:rsidRPr="000F582D" w:rsidRDefault="00BA0176" w:rsidP="00C161B4">
            <w:pPr>
              <w:spacing w:before="0" w:after="0"/>
              <w:jc w:val="center"/>
              <w:rPr>
                <w:sz w:val="20"/>
                <w:szCs w:val="20"/>
              </w:rPr>
            </w:pPr>
            <w:r w:rsidRPr="000F582D">
              <w:rPr>
                <w:sz w:val="20"/>
                <w:szCs w:val="20"/>
              </w:rPr>
              <w:t>[ppm]</w:t>
            </w:r>
          </w:p>
        </w:tc>
        <w:tc>
          <w:tcPr>
            <w:tcW w:w="459" w:type="pct"/>
            <w:vAlign w:val="center"/>
          </w:tcPr>
          <w:p w14:paraId="2B3CFC82" w14:textId="77777777" w:rsidR="00BA0176" w:rsidRPr="000F582D" w:rsidRDefault="00BA0176" w:rsidP="00B955FB">
            <w:pPr>
              <w:spacing w:before="0" w:after="0"/>
              <w:jc w:val="center"/>
              <w:rPr>
                <w:sz w:val="20"/>
                <w:szCs w:val="20"/>
              </w:rPr>
            </w:pPr>
            <w:r w:rsidRPr="000F582D">
              <w:rPr>
                <w:sz w:val="20"/>
                <w:szCs w:val="20"/>
              </w:rPr>
              <w:t>ND</w:t>
            </w:r>
          </w:p>
        </w:tc>
        <w:tc>
          <w:tcPr>
            <w:tcW w:w="459" w:type="pct"/>
            <w:vAlign w:val="center"/>
          </w:tcPr>
          <w:p w14:paraId="5DAFE3E9" w14:textId="77777777" w:rsidR="00BA0176" w:rsidRPr="000F582D" w:rsidRDefault="00BA0176" w:rsidP="00B955FB">
            <w:pPr>
              <w:spacing w:before="0" w:after="0"/>
              <w:jc w:val="center"/>
              <w:rPr>
                <w:sz w:val="20"/>
                <w:szCs w:val="20"/>
              </w:rPr>
            </w:pPr>
            <w:r w:rsidRPr="000F582D">
              <w:rPr>
                <w:sz w:val="20"/>
                <w:szCs w:val="20"/>
              </w:rPr>
              <w:t>ND</w:t>
            </w:r>
          </w:p>
        </w:tc>
        <w:tc>
          <w:tcPr>
            <w:tcW w:w="459" w:type="pct"/>
            <w:vAlign w:val="center"/>
          </w:tcPr>
          <w:p w14:paraId="3FC755EF" w14:textId="77777777" w:rsidR="00BA0176" w:rsidRPr="000F582D" w:rsidRDefault="00BA0176" w:rsidP="00B955FB">
            <w:pPr>
              <w:spacing w:before="0" w:after="0"/>
              <w:jc w:val="center"/>
              <w:rPr>
                <w:sz w:val="20"/>
                <w:szCs w:val="20"/>
              </w:rPr>
            </w:pPr>
            <w:r w:rsidRPr="000F582D">
              <w:rPr>
                <w:sz w:val="20"/>
                <w:szCs w:val="20"/>
              </w:rPr>
              <w:t>ND</w:t>
            </w:r>
          </w:p>
        </w:tc>
        <w:tc>
          <w:tcPr>
            <w:tcW w:w="459" w:type="pct"/>
            <w:vAlign w:val="center"/>
          </w:tcPr>
          <w:p w14:paraId="5D388811" w14:textId="77777777" w:rsidR="00BA0176" w:rsidRPr="000F582D" w:rsidRDefault="00BA0176" w:rsidP="00B955FB">
            <w:pPr>
              <w:spacing w:before="0" w:after="0"/>
              <w:jc w:val="center"/>
              <w:rPr>
                <w:sz w:val="20"/>
                <w:szCs w:val="20"/>
              </w:rPr>
            </w:pPr>
            <w:r w:rsidRPr="000F582D">
              <w:rPr>
                <w:sz w:val="20"/>
                <w:szCs w:val="20"/>
              </w:rPr>
              <w:t>ND</w:t>
            </w:r>
          </w:p>
        </w:tc>
        <w:tc>
          <w:tcPr>
            <w:tcW w:w="400" w:type="pct"/>
            <w:vAlign w:val="center"/>
          </w:tcPr>
          <w:p w14:paraId="5CC8D0A3" w14:textId="77777777" w:rsidR="00BA0176" w:rsidRPr="000F582D" w:rsidRDefault="00BA0176" w:rsidP="00B955FB">
            <w:pPr>
              <w:spacing w:before="0" w:after="0"/>
              <w:jc w:val="center"/>
              <w:rPr>
                <w:sz w:val="20"/>
                <w:szCs w:val="20"/>
              </w:rPr>
            </w:pPr>
            <w:r w:rsidRPr="000F582D">
              <w:rPr>
                <w:sz w:val="20"/>
                <w:szCs w:val="20"/>
              </w:rPr>
              <w:t>ND</w:t>
            </w:r>
          </w:p>
        </w:tc>
        <w:tc>
          <w:tcPr>
            <w:tcW w:w="400" w:type="pct"/>
            <w:vAlign w:val="center"/>
          </w:tcPr>
          <w:p w14:paraId="1EF8DC9A" w14:textId="77777777" w:rsidR="00BA0176" w:rsidRPr="000F582D" w:rsidRDefault="00BA0176" w:rsidP="00B955FB">
            <w:pPr>
              <w:spacing w:before="0" w:after="0"/>
              <w:jc w:val="center"/>
              <w:rPr>
                <w:sz w:val="20"/>
                <w:szCs w:val="20"/>
              </w:rPr>
            </w:pPr>
            <w:r w:rsidRPr="000F582D">
              <w:rPr>
                <w:sz w:val="20"/>
                <w:szCs w:val="20"/>
              </w:rPr>
              <w:t>ND</w:t>
            </w:r>
          </w:p>
        </w:tc>
      </w:tr>
      <w:tr w:rsidR="00BA0176" w:rsidRPr="000F582D" w14:paraId="748224EF" w14:textId="77777777" w:rsidTr="00B955FB">
        <w:trPr>
          <w:trHeight w:val="454"/>
        </w:trPr>
        <w:tc>
          <w:tcPr>
            <w:tcW w:w="955" w:type="pct"/>
            <w:vAlign w:val="center"/>
          </w:tcPr>
          <w:p w14:paraId="77C758C6" w14:textId="77777777" w:rsidR="00BA0176" w:rsidRPr="000F582D" w:rsidRDefault="00BA0176" w:rsidP="00C161B4">
            <w:pPr>
              <w:spacing w:before="0" w:after="0"/>
              <w:jc w:val="left"/>
              <w:rPr>
                <w:sz w:val="20"/>
                <w:szCs w:val="20"/>
              </w:rPr>
            </w:pPr>
            <w:r w:rsidRPr="000F582D">
              <w:rPr>
                <w:sz w:val="20"/>
                <w:szCs w:val="20"/>
              </w:rPr>
              <w:t>Cr</w:t>
            </w:r>
          </w:p>
        </w:tc>
        <w:tc>
          <w:tcPr>
            <w:tcW w:w="830" w:type="pct"/>
            <w:vAlign w:val="center"/>
          </w:tcPr>
          <w:p w14:paraId="35A58DE1" w14:textId="77777777" w:rsidR="00BA0176" w:rsidRPr="000F582D" w:rsidRDefault="00BA0176" w:rsidP="00C161B4">
            <w:pPr>
              <w:spacing w:before="0" w:after="0"/>
              <w:jc w:val="center"/>
              <w:rPr>
                <w:sz w:val="20"/>
                <w:szCs w:val="20"/>
              </w:rPr>
            </w:pPr>
            <w:r w:rsidRPr="000F582D">
              <w:rPr>
                <w:sz w:val="20"/>
                <w:szCs w:val="20"/>
              </w:rPr>
              <w:t>WDXRF</w:t>
            </w:r>
          </w:p>
        </w:tc>
        <w:tc>
          <w:tcPr>
            <w:tcW w:w="577" w:type="pct"/>
            <w:vAlign w:val="center"/>
          </w:tcPr>
          <w:p w14:paraId="2B40C496" w14:textId="77777777" w:rsidR="00BA0176" w:rsidRPr="000F582D" w:rsidRDefault="00BA0176" w:rsidP="00C161B4">
            <w:pPr>
              <w:spacing w:before="0" w:after="0"/>
              <w:jc w:val="center"/>
              <w:rPr>
                <w:sz w:val="20"/>
                <w:szCs w:val="20"/>
              </w:rPr>
            </w:pPr>
            <w:r w:rsidRPr="000F582D">
              <w:rPr>
                <w:sz w:val="20"/>
                <w:szCs w:val="20"/>
              </w:rPr>
              <w:t>[ppm]</w:t>
            </w:r>
          </w:p>
        </w:tc>
        <w:tc>
          <w:tcPr>
            <w:tcW w:w="459" w:type="pct"/>
            <w:vAlign w:val="center"/>
          </w:tcPr>
          <w:p w14:paraId="6EC26BC8" w14:textId="77777777" w:rsidR="00BA0176" w:rsidRPr="000F582D" w:rsidRDefault="00BA0176" w:rsidP="00B955FB">
            <w:pPr>
              <w:spacing w:before="0" w:after="0"/>
              <w:jc w:val="center"/>
              <w:rPr>
                <w:sz w:val="20"/>
                <w:szCs w:val="20"/>
              </w:rPr>
            </w:pPr>
            <w:r w:rsidRPr="000F582D">
              <w:rPr>
                <w:sz w:val="20"/>
                <w:szCs w:val="20"/>
              </w:rPr>
              <w:t>1</w:t>
            </w:r>
          </w:p>
        </w:tc>
        <w:tc>
          <w:tcPr>
            <w:tcW w:w="459" w:type="pct"/>
            <w:vAlign w:val="center"/>
          </w:tcPr>
          <w:p w14:paraId="33ADC7D3" w14:textId="77777777" w:rsidR="00BA0176" w:rsidRPr="000F582D" w:rsidRDefault="00BA0176" w:rsidP="00B955FB">
            <w:pPr>
              <w:spacing w:before="0" w:after="0"/>
              <w:jc w:val="center"/>
              <w:rPr>
                <w:sz w:val="20"/>
                <w:szCs w:val="20"/>
              </w:rPr>
            </w:pPr>
            <w:r w:rsidRPr="000F582D">
              <w:rPr>
                <w:sz w:val="20"/>
                <w:szCs w:val="20"/>
              </w:rPr>
              <w:t>1</w:t>
            </w:r>
          </w:p>
        </w:tc>
        <w:tc>
          <w:tcPr>
            <w:tcW w:w="459" w:type="pct"/>
            <w:vAlign w:val="center"/>
          </w:tcPr>
          <w:p w14:paraId="2CD7C059" w14:textId="77777777" w:rsidR="00BA0176" w:rsidRPr="000F582D" w:rsidRDefault="00BA0176" w:rsidP="00B955FB">
            <w:pPr>
              <w:spacing w:before="0" w:after="0"/>
              <w:jc w:val="center"/>
              <w:rPr>
                <w:sz w:val="20"/>
                <w:szCs w:val="20"/>
              </w:rPr>
            </w:pPr>
            <w:r w:rsidRPr="000F582D">
              <w:rPr>
                <w:sz w:val="20"/>
                <w:szCs w:val="20"/>
              </w:rPr>
              <w:t>1</w:t>
            </w:r>
          </w:p>
        </w:tc>
        <w:tc>
          <w:tcPr>
            <w:tcW w:w="459" w:type="pct"/>
            <w:vAlign w:val="center"/>
          </w:tcPr>
          <w:p w14:paraId="6BFACFE0" w14:textId="77777777" w:rsidR="00BA0176" w:rsidRPr="000F582D" w:rsidRDefault="00BA0176" w:rsidP="00B955FB">
            <w:pPr>
              <w:spacing w:before="0" w:after="0"/>
              <w:jc w:val="center"/>
              <w:rPr>
                <w:sz w:val="20"/>
                <w:szCs w:val="20"/>
              </w:rPr>
            </w:pPr>
            <w:r w:rsidRPr="000F582D">
              <w:rPr>
                <w:sz w:val="20"/>
                <w:szCs w:val="20"/>
              </w:rPr>
              <w:t>1</w:t>
            </w:r>
          </w:p>
        </w:tc>
        <w:tc>
          <w:tcPr>
            <w:tcW w:w="400" w:type="pct"/>
            <w:vAlign w:val="center"/>
          </w:tcPr>
          <w:p w14:paraId="1005B166" w14:textId="77777777" w:rsidR="00BA0176" w:rsidRPr="000F582D" w:rsidRDefault="00BA0176" w:rsidP="00B955FB">
            <w:pPr>
              <w:spacing w:before="0" w:after="0"/>
              <w:jc w:val="center"/>
              <w:rPr>
                <w:sz w:val="20"/>
                <w:szCs w:val="20"/>
              </w:rPr>
            </w:pPr>
            <w:r w:rsidRPr="000F582D">
              <w:rPr>
                <w:sz w:val="20"/>
                <w:szCs w:val="20"/>
              </w:rPr>
              <w:t>2</w:t>
            </w:r>
          </w:p>
        </w:tc>
        <w:tc>
          <w:tcPr>
            <w:tcW w:w="400" w:type="pct"/>
            <w:vAlign w:val="center"/>
          </w:tcPr>
          <w:p w14:paraId="4573549F" w14:textId="77777777" w:rsidR="00BA0176" w:rsidRPr="000F582D" w:rsidRDefault="00BA0176" w:rsidP="00B955FB">
            <w:pPr>
              <w:spacing w:before="0" w:after="0"/>
              <w:jc w:val="center"/>
              <w:rPr>
                <w:sz w:val="20"/>
                <w:szCs w:val="20"/>
              </w:rPr>
            </w:pPr>
            <w:r w:rsidRPr="000F582D">
              <w:rPr>
                <w:sz w:val="20"/>
                <w:szCs w:val="20"/>
              </w:rPr>
              <w:t>2</w:t>
            </w:r>
          </w:p>
        </w:tc>
      </w:tr>
      <w:tr w:rsidR="00BA0176" w:rsidRPr="000F582D" w14:paraId="7C05F4C2" w14:textId="77777777" w:rsidTr="00B955FB">
        <w:trPr>
          <w:trHeight w:val="454"/>
        </w:trPr>
        <w:tc>
          <w:tcPr>
            <w:tcW w:w="955" w:type="pct"/>
            <w:vAlign w:val="center"/>
          </w:tcPr>
          <w:p w14:paraId="3FCFE879" w14:textId="77777777" w:rsidR="00BA0176" w:rsidRPr="000F582D" w:rsidRDefault="00BA0176" w:rsidP="00C161B4">
            <w:pPr>
              <w:spacing w:before="0" w:after="0"/>
              <w:jc w:val="left"/>
              <w:rPr>
                <w:sz w:val="20"/>
                <w:szCs w:val="20"/>
              </w:rPr>
            </w:pPr>
            <w:r w:rsidRPr="000F582D">
              <w:rPr>
                <w:sz w:val="20"/>
                <w:szCs w:val="20"/>
              </w:rPr>
              <w:t>Al</w:t>
            </w:r>
          </w:p>
        </w:tc>
        <w:tc>
          <w:tcPr>
            <w:tcW w:w="830" w:type="pct"/>
            <w:vAlign w:val="center"/>
          </w:tcPr>
          <w:p w14:paraId="26164958" w14:textId="77777777" w:rsidR="00BA0176" w:rsidRPr="000F582D" w:rsidRDefault="00BA0176" w:rsidP="00C161B4">
            <w:pPr>
              <w:spacing w:before="0" w:after="0"/>
              <w:jc w:val="center"/>
              <w:rPr>
                <w:sz w:val="20"/>
                <w:szCs w:val="20"/>
              </w:rPr>
            </w:pPr>
            <w:r w:rsidRPr="000F582D">
              <w:rPr>
                <w:sz w:val="20"/>
                <w:szCs w:val="20"/>
              </w:rPr>
              <w:t>WDXRF</w:t>
            </w:r>
          </w:p>
        </w:tc>
        <w:tc>
          <w:tcPr>
            <w:tcW w:w="577" w:type="pct"/>
            <w:vAlign w:val="center"/>
          </w:tcPr>
          <w:p w14:paraId="40087136" w14:textId="77777777" w:rsidR="00BA0176" w:rsidRPr="000F582D" w:rsidRDefault="00BA0176" w:rsidP="00C161B4">
            <w:pPr>
              <w:spacing w:before="0" w:after="0"/>
              <w:jc w:val="center"/>
              <w:rPr>
                <w:sz w:val="20"/>
                <w:szCs w:val="20"/>
              </w:rPr>
            </w:pPr>
            <w:r w:rsidRPr="000F582D">
              <w:rPr>
                <w:sz w:val="20"/>
                <w:szCs w:val="20"/>
              </w:rPr>
              <w:t>[ppm]</w:t>
            </w:r>
          </w:p>
        </w:tc>
        <w:tc>
          <w:tcPr>
            <w:tcW w:w="459" w:type="pct"/>
            <w:vAlign w:val="center"/>
          </w:tcPr>
          <w:p w14:paraId="1EEBFFF5" w14:textId="77777777" w:rsidR="00BA0176" w:rsidRPr="000F582D" w:rsidRDefault="00BA0176" w:rsidP="00B955FB">
            <w:pPr>
              <w:spacing w:before="0" w:after="0"/>
              <w:jc w:val="center"/>
              <w:rPr>
                <w:sz w:val="20"/>
                <w:szCs w:val="20"/>
              </w:rPr>
            </w:pPr>
            <w:r w:rsidRPr="000F582D">
              <w:rPr>
                <w:sz w:val="20"/>
                <w:szCs w:val="20"/>
              </w:rPr>
              <w:t>ND</w:t>
            </w:r>
          </w:p>
        </w:tc>
        <w:tc>
          <w:tcPr>
            <w:tcW w:w="459" w:type="pct"/>
            <w:vAlign w:val="center"/>
          </w:tcPr>
          <w:p w14:paraId="5EC71D96" w14:textId="77777777" w:rsidR="00BA0176" w:rsidRPr="000F582D" w:rsidRDefault="00BA0176" w:rsidP="00B955FB">
            <w:pPr>
              <w:spacing w:before="0" w:after="0"/>
              <w:jc w:val="center"/>
              <w:rPr>
                <w:sz w:val="20"/>
                <w:szCs w:val="20"/>
              </w:rPr>
            </w:pPr>
            <w:r w:rsidRPr="000F582D">
              <w:rPr>
                <w:sz w:val="20"/>
                <w:szCs w:val="20"/>
              </w:rPr>
              <w:t>ND</w:t>
            </w:r>
          </w:p>
        </w:tc>
        <w:tc>
          <w:tcPr>
            <w:tcW w:w="459" w:type="pct"/>
            <w:vAlign w:val="center"/>
          </w:tcPr>
          <w:p w14:paraId="17C6FD8E" w14:textId="77777777" w:rsidR="00BA0176" w:rsidRPr="000F582D" w:rsidRDefault="00BA0176" w:rsidP="00B955FB">
            <w:pPr>
              <w:spacing w:before="0" w:after="0"/>
              <w:jc w:val="center"/>
              <w:rPr>
                <w:sz w:val="20"/>
                <w:szCs w:val="20"/>
              </w:rPr>
            </w:pPr>
            <w:r w:rsidRPr="000F582D">
              <w:rPr>
                <w:sz w:val="20"/>
                <w:szCs w:val="20"/>
              </w:rPr>
              <w:t>ND</w:t>
            </w:r>
          </w:p>
        </w:tc>
        <w:tc>
          <w:tcPr>
            <w:tcW w:w="459" w:type="pct"/>
            <w:vAlign w:val="center"/>
          </w:tcPr>
          <w:p w14:paraId="47F9DFF1" w14:textId="77777777" w:rsidR="00BA0176" w:rsidRPr="000F582D" w:rsidRDefault="00BA0176" w:rsidP="00B955FB">
            <w:pPr>
              <w:spacing w:before="0" w:after="0"/>
              <w:jc w:val="center"/>
              <w:rPr>
                <w:sz w:val="20"/>
                <w:szCs w:val="20"/>
              </w:rPr>
            </w:pPr>
            <w:r w:rsidRPr="000F582D">
              <w:rPr>
                <w:sz w:val="20"/>
                <w:szCs w:val="20"/>
              </w:rPr>
              <w:t>ND</w:t>
            </w:r>
          </w:p>
        </w:tc>
        <w:tc>
          <w:tcPr>
            <w:tcW w:w="400" w:type="pct"/>
            <w:vAlign w:val="center"/>
          </w:tcPr>
          <w:p w14:paraId="5810F299" w14:textId="77777777" w:rsidR="00BA0176" w:rsidRPr="000F582D" w:rsidRDefault="00BA0176" w:rsidP="00B955FB">
            <w:pPr>
              <w:spacing w:before="0" w:after="0"/>
              <w:jc w:val="center"/>
              <w:rPr>
                <w:sz w:val="20"/>
                <w:szCs w:val="20"/>
              </w:rPr>
            </w:pPr>
            <w:r w:rsidRPr="000F582D">
              <w:rPr>
                <w:sz w:val="20"/>
                <w:szCs w:val="20"/>
              </w:rPr>
              <w:t>ND</w:t>
            </w:r>
          </w:p>
        </w:tc>
        <w:tc>
          <w:tcPr>
            <w:tcW w:w="400" w:type="pct"/>
            <w:vAlign w:val="center"/>
          </w:tcPr>
          <w:p w14:paraId="1D37AD74" w14:textId="77777777" w:rsidR="00BA0176" w:rsidRPr="000F582D" w:rsidRDefault="00BA0176" w:rsidP="00B955FB">
            <w:pPr>
              <w:spacing w:before="0" w:after="0"/>
              <w:jc w:val="center"/>
              <w:rPr>
                <w:sz w:val="20"/>
                <w:szCs w:val="20"/>
              </w:rPr>
            </w:pPr>
            <w:r w:rsidRPr="000F582D">
              <w:rPr>
                <w:sz w:val="20"/>
                <w:szCs w:val="20"/>
              </w:rPr>
              <w:t>ND</w:t>
            </w:r>
          </w:p>
        </w:tc>
      </w:tr>
      <w:tr w:rsidR="00BA0176" w:rsidRPr="000F582D" w14:paraId="0AD4BD27" w14:textId="77777777" w:rsidTr="00B955FB">
        <w:trPr>
          <w:trHeight w:val="454"/>
        </w:trPr>
        <w:tc>
          <w:tcPr>
            <w:tcW w:w="955" w:type="pct"/>
            <w:vAlign w:val="center"/>
          </w:tcPr>
          <w:p w14:paraId="0B8BAA78" w14:textId="77777777" w:rsidR="00BA0176" w:rsidRPr="000F582D" w:rsidRDefault="00BA0176" w:rsidP="00C161B4">
            <w:pPr>
              <w:spacing w:before="0" w:after="0"/>
              <w:jc w:val="left"/>
              <w:rPr>
                <w:sz w:val="20"/>
                <w:szCs w:val="20"/>
              </w:rPr>
            </w:pPr>
            <w:r w:rsidRPr="000F582D">
              <w:rPr>
                <w:sz w:val="20"/>
                <w:szCs w:val="20"/>
              </w:rPr>
              <w:t>Ag</w:t>
            </w:r>
          </w:p>
        </w:tc>
        <w:tc>
          <w:tcPr>
            <w:tcW w:w="830" w:type="pct"/>
            <w:vAlign w:val="center"/>
          </w:tcPr>
          <w:p w14:paraId="081777F7" w14:textId="77777777" w:rsidR="00BA0176" w:rsidRPr="000F582D" w:rsidRDefault="00BA0176" w:rsidP="00C161B4">
            <w:pPr>
              <w:spacing w:before="0" w:after="0"/>
              <w:jc w:val="center"/>
              <w:rPr>
                <w:sz w:val="20"/>
                <w:szCs w:val="20"/>
              </w:rPr>
            </w:pPr>
            <w:r w:rsidRPr="000F582D">
              <w:rPr>
                <w:sz w:val="20"/>
                <w:szCs w:val="20"/>
              </w:rPr>
              <w:t>WDXRF</w:t>
            </w:r>
          </w:p>
        </w:tc>
        <w:tc>
          <w:tcPr>
            <w:tcW w:w="577" w:type="pct"/>
            <w:vAlign w:val="center"/>
          </w:tcPr>
          <w:p w14:paraId="07620551" w14:textId="77777777" w:rsidR="00BA0176" w:rsidRPr="000F582D" w:rsidRDefault="00BA0176" w:rsidP="00C161B4">
            <w:pPr>
              <w:spacing w:before="0" w:after="0"/>
              <w:jc w:val="center"/>
              <w:rPr>
                <w:sz w:val="20"/>
                <w:szCs w:val="20"/>
              </w:rPr>
            </w:pPr>
            <w:r w:rsidRPr="000F582D">
              <w:rPr>
                <w:sz w:val="20"/>
                <w:szCs w:val="20"/>
              </w:rPr>
              <w:t>[ppm]</w:t>
            </w:r>
          </w:p>
        </w:tc>
        <w:tc>
          <w:tcPr>
            <w:tcW w:w="459" w:type="pct"/>
            <w:vAlign w:val="center"/>
          </w:tcPr>
          <w:p w14:paraId="5672ABF2" w14:textId="77777777" w:rsidR="00BA0176" w:rsidRPr="000F582D" w:rsidRDefault="00BA0176" w:rsidP="00B955FB">
            <w:pPr>
              <w:spacing w:before="0" w:after="0"/>
              <w:jc w:val="center"/>
              <w:rPr>
                <w:sz w:val="20"/>
                <w:szCs w:val="20"/>
              </w:rPr>
            </w:pPr>
            <w:r w:rsidRPr="000F582D">
              <w:rPr>
                <w:sz w:val="20"/>
                <w:szCs w:val="20"/>
              </w:rPr>
              <w:t>ND</w:t>
            </w:r>
          </w:p>
        </w:tc>
        <w:tc>
          <w:tcPr>
            <w:tcW w:w="459" w:type="pct"/>
            <w:vAlign w:val="center"/>
          </w:tcPr>
          <w:p w14:paraId="083B539C" w14:textId="77777777" w:rsidR="00BA0176" w:rsidRPr="000F582D" w:rsidRDefault="00BA0176" w:rsidP="00B955FB">
            <w:pPr>
              <w:spacing w:before="0" w:after="0"/>
              <w:jc w:val="center"/>
              <w:rPr>
                <w:sz w:val="20"/>
                <w:szCs w:val="20"/>
              </w:rPr>
            </w:pPr>
            <w:r w:rsidRPr="000F582D">
              <w:rPr>
                <w:sz w:val="20"/>
                <w:szCs w:val="20"/>
              </w:rPr>
              <w:t>ND</w:t>
            </w:r>
          </w:p>
        </w:tc>
        <w:tc>
          <w:tcPr>
            <w:tcW w:w="459" w:type="pct"/>
            <w:vAlign w:val="center"/>
          </w:tcPr>
          <w:p w14:paraId="67034257" w14:textId="77777777" w:rsidR="00BA0176" w:rsidRPr="000F582D" w:rsidRDefault="00BA0176" w:rsidP="00B955FB">
            <w:pPr>
              <w:spacing w:before="0" w:after="0"/>
              <w:jc w:val="center"/>
              <w:rPr>
                <w:sz w:val="20"/>
                <w:szCs w:val="20"/>
              </w:rPr>
            </w:pPr>
            <w:r w:rsidRPr="000F582D">
              <w:rPr>
                <w:sz w:val="20"/>
                <w:szCs w:val="20"/>
              </w:rPr>
              <w:t>ND</w:t>
            </w:r>
          </w:p>
        </w:tc>
        <w:tc>
          <w:tcPr>
            <w:tcW w:w="459" w:type="pct"/>
            <w:vAlign w:val="center"/>
          </w:tcPr>
          <w:p w14:paraId="0314E611" w14:textId="77777777" w:rsidR="00BA0176" w:rsidRPr="000F582D" w:rsidRDefault="00BA0176" w:rsidP="00B955FB">
            <w:pPr>
              <w:spacing w:before="0" w:after="0"/>
              <w:jc w:val="center"/>
              <w:rPr>
                <w:sz w:val="20"/>
                <w:szCs w:val="20"/>
              </w:rPr>
            </w:pPr>
            <w:r w:rsidRPr="000F582D">
              <w:rPr>
                <w:sz w:val="20"/>
                <w:szCs w:val="20"/>
              </w:rPr>
              <w:t>ND</w:t>
            </w:r>
          </w:p>
        </w:tc>
        <w:tc>
          <w:tcPr>
            <w:tcW w:w="400" w:type="pct"/>
            <w:vAlign w:val="center"/>
          </w:tcPr>
          <w:p w14:paraId="53CAC136" w14:textId="77777777" w:rsidR="00BA0176" w:rsidRPr="000F582D" w:rsidRDefault="00BA0176" w:rsidP="00B955FB">
            <w:pPr>
              <w:spacing w:before="0" w:after="0"/>
              <w:jc w:val="center"/>
              <w:rPr>
                <w:sz w:val="20"/>
                <w:szCs w:val="20"/>
              </w:rPr>
            </w:pPr>
            <w:r w:rsidRPr="000F582D">
              <w:rPr>
                <w:sz w:val="20"/>
                <w:szCs w:val="20"/>
              </w:rPr>
              <w:t>ND</w:t>
            </w:r>
          </w:p>
        </w:tc>
        <w:tc>
          <w:tcPr>
            <w:tcW w:w="400" w:type="pct"/>
            <w:vAlign w:val="center"/>
          </w:tcPr>
          <w:p w14:paraId="246326D0" w14:textId="77777777" w:rsidR="00BA0176" w:rsidRPr="000F582D" w:rsidRDefault="00BA0176" w:rsidP="00B955FB">
            <w:pPr>
              <w:spacing w:before="0" w:after="0"/>
              <w:jc w:val="center"/>
              <w:rPr>
                <w:sz w:val="20"/>
                <w:szCs w:val="20"/>
              </w:rPr>
            </w:pPr>
            <w:r w:rsidRPr="000F582D">
              <w:rPr>
                <w:sz w:val="20"/>
                <w:szCs w:val="20"/>
              </w:rPr>
              <w:t>ND</w:t>
            </w:r>
          </w:p>
        </w:tc>
      </w:tr>
      <w:tr w:rsidR="00BA0176" w:rsidRPr="000F582D" w14:paraId="7E2E8241" w14:textId="77777777" w:rsidTr="00B955FB">
        <w:trPr>
          <w:trHeight w:val="454"/>
        </w:trPr>
        <w:tc>
          <w:tcPr>
            <w:tcW w:w="955" w:type="pct"/>
            <w:vAlign w:val="center"/>
          </w:tcPr>
          <w:p w14:paraId="1E692E81" w14:textId="77777777" w:rsidR="00BA0176" w:rsidRPr="000F582D" w:rsidRDefault="00BA0176" w:rsidP="00C161B4">
            <w:pPr>
              <w:spacing w:before="0" w:after="0"/>
              <w:jc w:val="left"/>
              <w:rPr>
                <w:sz w:val="20"/>
                <w:szCs w:val="20"/>
              </w:rPr>
            </w:pPr>
            <w:r w:rsidRPr="000F582D">
              <w:rPr>
                <w:sz w:val="20"/>
                <w:szCs w:val="20"/>
              </w:rPr>
              <w:t>Ni</w:t>
            </w:r>
          </w:p>
        </w:tc>
        <w:tc>
          <w:tcPr>
            <w:tcW w:w="830" w:type="pct"/>
            <w:vAlign w:val="center"/>
          </w:tcPr>
          <w:p w14:paraId="4429BA38" w14:textId="77777777" w:rsidR="00BA0176" w:rsidRPr="000F582D" w:rsidRDefault="00BA0176" w:rsidP="00C161B4">
            <w:pPr>
              <w:spacing w:before="0" w:after="0"/>
              <w:jc w:val="center"/>
              <w:rPr>
                <w:sz w:val="20"/>
                <w:szCs w:val="20"/>
              </w:rPr>
            </w:pPr>
            <w:r w:rsidRPr="000F582D">
              <w:rPr>
                <w:sz w:val="20"/>
                <w:szCs w:val="20"/>
              </w:rPr>
              <w:t>WDXRF</w:t>
            </w:r>
          </w:p>
        </w:tc>
        <w:tc>
          <w:tcPr>
            <w:tcW w:w="577" w:type="pct"/>
            <w:vAlign w:val="center"/>
          </w:tcPr>
          <w:p w14:paraId="0FD9C865" w14:textId="77777777" w:rsidR="00BA0176" w:rsidRPr="000F582D" w:rsidRDefault="00BA0176" w:rsidP="00C161B4">
            <w:pPr>
              <w:spacing w:before="0" w:after="0"/>
              <w:jc w:val="center"/>
              <w:rPr>
                <w:sz w:val="20"/>
                <w:szCs w:val="20"/>
              </w:rPr>
            </w:pPr>
            <w:r w:rsidRPr="000F582D">
              <w:rPr>
                <w:sz w:val="20"/>
                <w:szCs w:val="20"/>
              </w:rPr>
              <w:t>[ppm]</w:t>
            </w:r>
          </w:p>
        </w:tc>
        <w:tc>
          <w:tcPr>
            <w:tcW w:w="459" w:type="pct"/>
            <w:vAlign w:val="center"/>
          </w:tcPr>
          <w:p w14:paraId="30E97A32" w14:textId="77777777" w:rsidR="00BA0176" w:rsidRPr="000F582D" w:rsidRDefault="00BA0176" w:rsidP="00B955FB">
            <w:pPr>
              <w:spacing w:before="0" w:after="0"/>
              <w:jc w:val="center"/>
              <w:rPr>
                <w:sz w:val="20"/>
                <w:szCs w:val="20"/>
              </w:rPr>
            </w:pPr>
            <w:r w:rsidRPr="000F582D">
              <w:rPr>
                <w:sz w:val="20"/>
                <w:szCs w:val="20"/>
              </w:rPr>
              <w:t>3</w:t>
            </w:r>
          </w:p>
        </w:tc>
        <w:tc>
          <w:tcPr>
            <w:tcW w:w="459" w:type="pct"/>
            <w:vAlign w:val="center"/>
          </w:tcPr>
          <w:p w14:paraId="0801B027" w14:textId="77777777" w:rsidR="00BA0176" w:rsidRPr="000F582D" w:rsidRDefault="00BA0176" w:rsidP="00B955FB">
            <w:pPr>
              <w:spacing w:before="0" w:after="0"/>
              <w:jc w:val="center"/>
              <w:rPr>
                <w:sz w:val="20"/>
                <w:szCs w:val="20"/>
              </w:rPr>
            </w:pPr>
            <w:r w:rsidRPr="000F582D">
              <w:rPr>
                <w:sz w:val="20"/>
                <w:szCs w:val="20"/>
              </w:rPr>
              <w:t>ND</w:t>
            </w:r>
          </w:p>
        </w:tc>
        <w:tc>
          <w:tcPr>
            <w:tcW w:w="459" w:type="pct"/>
            <w:vAlign w:val="center"/>
          </w:tcPr>
          <w:p w14:paraId="43CF6F6E" w14:textId="77777777" w:rsidR="00BA0176" w:rsidRPr="000F582D" w:rsidRDefault="00BA0176" w:rsidP="00B955FB">
            <w:pPr>
              <w:spacing w:before="0" w:after="0"/>
              <w:jc w:val="center"/>
              <w:rPr>
                <w:sz w:val="20"/>
                <w:szCs w:val="20"/>
              </w:rPr>
            </w:pPr>
            <w:r w:rsidRPr="000F582D">
              <w:rPr>
                <w:sz w:val="20"/>
                <w:szCs w:val="20"/>
              </w:rPr>
              <w:t>ND</w:t>
            </w:r>
          </w:p>
        </w:tc>
        <w:tc>
          <w:tcPr>
            <w:tcW w:w="459" w:type="pct"/>
            <w:vAlign w:val="center"/>
          </w:tcPr>
          <w:p w14:paraId="07F2AFB2" w14:textId="77777777" w:rsidR="00BA0176" w:rsidRPr="000F582D" w:rsidRDefault="00BA0176" w:rsidP="00B955FB">
            <w:pPr>
              <w:spacing w:before="0" w:after="0"/>
              <w:jc w:val="center"/>
              <w:rPr>
                <w:sz w:val="20"/>
                <w:szCs w:val="20"/>
              </w:rPr>
            </w:pPr>
            <w:r w:rsidRPr="000F582D">
              <w:rPr>
                <w:sz w:val="20"/>
                <w:szCs w:val="20"/>
              </w:rPr>
              <w:t>ND</w:t>
            </w:r>
          </w:p>
        </w:tc>
        <w:tc>
          <w:tcPr>
            <w:tcW w:w="400" w:type="pct"/>
            <w:vAlign w:val="center"/>
          </w:tcPr>
          <w:p w14:paraId="044B0640" w14:textId="77777777" w:rsidR="00BA0176" w:rsidRPr="000F582D" w:rsidRDefault="00BA0176" w:rsidP="00B955FB">
            <w:pPr>
              <w:spacing w:before="0" w:after="0"/>
              <w:jc w:val="center"/>
              <w:rPr>
                <w:sz w:val="20"/>
                <w:szCs w:val="20"/>
              </w:rPr>
            </w:pPr>
            <w:r w:rsidRPr="000F582D">
              <w:rPr>
                <w:sz w:val="20"/>
                <w:szCs w:val="20"/>
              </w:rPr>
              <w:t>ND</w:t>
            </w:r>
          </w:p>
        </w:tc>
        <w:tc>
          <w:tcPr>
            <w:tcW w:w="400" w:type="pct"/>
            <w:vAlign w:val="center"/>
          </w:tcPr>
          <w:p w14:paraId="4D3B7CC5" w14:textId="77777777" w:rsidR="00BA0176" w:rsidRPr="000F582D" w:rsidRDefault="00BA0176" w:rsidP="00B955FB">
            <w:pPr>
              <w:spacing w:before="0" w:after="0"/>
              <w:jc w:val="center"/>
              <w:rPr>
                <w:sz w:val="20"/>
                <w:szCs w:val="20"/>
              </w:rPr>
            </w:pPr>
            <w:r w:rsidRPr="000F582D">
              <w:rPr>
                <w:sz w:val="20"/>
                <w:szCs w:val="20"/>
              </w:rPr>
              <w:t>ND</w:t>
            </w:r>
          </w:p>
        </w:tc>
      </w:tr>
      <w:tr w:rsidR="00BA0176" w:rsidRPr="000F582D" w14:paraId="1B37515F" w14:textId="77777777" w:rsidTr="00B955FB">
        <w:trPr>
          <w:trHeight w:val="454"/>
        </w:trPr>
        <w:tc>
          <w:tcPr>
            <w:tcW w:w="955" w:type="pct"/>
            <w:vAlign w:val="center"/>
          </w:tcPr>
          <w:p w14:paraId="5947FF02" w14:textId="77777777" w:rsidR="00BA0176" w:rsidRPr="000F582D" w:rsidRDefault="00BA0176" w:rsidP="00C161B4">
            <w:pPr>
              <w:spacing w:before="0" w:after="0"/>
              <w:jc w:val="left"/>
              <w:rPr>
                <w:sz w:val="20"/>
                <w:szCs w:val="20"/>
              </w:rPr>
            </w:pPr>
            <w:r w:rsidRPr="000F582D">
              <w:rPr>
                <w:sz w:val="20"/>
                <w:szCs w:val="20"/>
              </w:rPr>
              <w:t>Mn</w:t>
            </w:r>
          </w:p>
        </w:tc>
        <w:tc>
          <w:tcPr>
            <w:tcW w:w="830" w:type="pct"/>
            <w:vAlign w:val="center"/>
          </w:tcPr>
          <w:p w14:paraId="3A0ED242" w14:textId="77777777" w:rsidR="00BA0176" w:rsidRPr="000F582D" w:rsidRDefault="00BA0176" w:rsidP="00C161B4">
            <w:pPr>
              <w:spacing w:before="0" w:after="0"/>
              <w:jc w:val="center"/>
              <w:rPr>
                <w:sz w:val="20"/>
                <w:szCs w:val="20"/>
              </w:rPr>
            </w:pPr>
            <w:r w:rsidRPr="000F582D">
              <w:rPr>
                <w:sz w:val="20"/>
                <w:szCs w:val="20"/>
              </w:rPr>
              <w:t>WDXRF</w:t>
            </w:r>
          </w:p>
        </w:tc>
        <w:tc>
          <w:tcPr>
            <w:tcW w:w="577" w:type="pct"/>
            <w:vAlign w:val="center"/>
          </w:tcPr>
          <w:p w14:paraId="65A50258" w14:textId="77777777" w:rsidR="00BA0176" w:rsidRPr="000F582D" w:rsidRDefault="00BA0176" w:rsidP="00C161B4">
            <w:pPr>
              <w:spacing w:before="0" w:after="0"/>
              <w:jc w:val="center"/>
              <w:rPr>
                <w:sz w:val="20"/>
                <w:szCs w:val="20"/>
              </w:rPr>
            </w:pPr>
            <w:r w:rsidRPr="000F582D">
              <w:rPr>
                <w:sz w:val="20"/>
                <w:szCs w:val="20"/>
              </w:rPr>
              <w:t>[ppm]</w:t>
            </w:r>
          </w:p>
        </w:tc>
        <w:tc>
          <w:tcPr>
            <w:tcW w:w="459" w:type="pct"/>
            <w:vAlign w:val="center"/>
          </w:tcPr>
          <w:p w14:paraId="0657D80B" w14:textId="77777777" w:rsidR="00BA0176" w:rsidRPr="000F582D" w:rsidRDefault="00BA0176" w:rsidP="00B955FB">
            <w:pPr>
              <w:spacing w:before="0" w:after="0"/>
              <w:jc w:val="center"/>
              <w:rPr>
                <w:sz w:val="20"/>
                <w:szCs w:val="20"/>
              </w:rPr>
            </w:pPr>
            <w:r w:rsidRPr="000F582D">
              <w:rPr>
                <w:sz w:val="20"/>
                <w:szCs w:val="20"/>
              </w:rPr>
              <w:t>ND</w:t>
            </w:r>
          </w:p>
        </w:tc>
        <w:tc>
          <w:tcPr>
            <w:tcW w:w="459" w:type="pct"/>
            <w:vAlign w:val="center"/>
          </w:tcPr>
          <w:p w14:paraId="7307CAF3" w14:textId="77777777" w:rsidR="00BA0176" w:rsidRPr="000F582D" w:rsidRDefault="00BA0176" w:rsidP="00B955FB">
            <w:pPr>
              <w:spacing w:before="0" w:after="0"/>
              <w:jc w:val="center"/>
              <w:rPr>
                <w:sz w:val="20"/>
                <w:szCs w:val="20"/>
              </w:rPr>
            </w:pPr>
            <w:r w:rsidRPr="000F582D">
              <w:rPr>
                <w:sz w:val="20"/>
                <w:szCs w:val="20"/>
              </w:rPr>
              <w:t>ND</w:t>
            </w:r>
          </w:p>
        </w:tc>
        <w:tc>
          <w:tcPr>
            <w:tcW w:w="459" w:type="pct"/>
            <w:vAlign w:val="center"/>
          </w:tcPr>
          <w:p w14:paraId="0D01CBE2" w14:textId="77777777" w:rsidR="00BA0176" w:rsidRPr="000F582D" w:rsidRDefault="00BA0176" w:rsidP="00B955FB">
            <w:pPr>
              <w:spacing w:before="0" w:after="0"/>
              <w:jc w:val="center"/>
              <w:rPr>
                <w:sz w:val="20"/>
                <w:szCs w:val="20"/>
              </w:rPr>
            </w:pPr>
            <w:r w:rsidRPr="000F582D">
              <w:rPr>
                <w:sz w:val="20"/>
                <w:szCs w:val="20"/>
              </w:rPr>
              <w:t>ND</w:t>
            </w:r>
          </w:p>
        </w:tc>
        <w:tc>
          <w:tcPr>
            <w:tcW w:w="459" w:type="pct"/>
            <w:vAlign w:val="center"/>
          </w:tcPr>
          <w:p w14:paraId="18F75D78" w14:textId="77777777" w:rsidR="00BA0176" w:rsidRPr="000F582D" w:rsidRDefault="00BA0176" w:rsidP="00B955FB">
            <w:pPr>
              <w:spacing w:before="0" w:after="0"/>
              <w:jc w:val="center"/>
              <w:rPr>
                <w:sz w:val="20"/>
                <w:szCs w:val="20"/>
              </w:rPr>
            </w:pPr>
            <w:r w:rsidRPr="000F582D">
              <w:rPr>
                <w:sz w:val="20"/>
                <w:szCs w:val="20"/>
              </w:rPr>
              <w:t>ND</w:t>
            </w:r>
          </w:p>
        </w:tc>
        <w:tc>
          <w:tcPr>
            <w:tcW w:w="400" w:type="pct"/>
            <w:vAlign w:val="center"/>
          </w:tcPr>
          <w:p w14:paraId="64C97931" w14:textId="77777777" w:rsidR="00BA0176" w:rsidRPr="000F582D" w:rsidRDefault="00BA0176" w:rsidP="00B955FB">
            <w:pPr>
              <w:spacing w:before="0" w:after="0"/>
              <w:jc w:val="center"/>
              <w:rPr>
                <w:sz w:val="20"/>
                <w:szCs w:val="20"/>
              </w:rPr>
            </w:pPr>
            <w:r w:rsidRPr="000F582D">
              <w:rPr>
                <w:sz w:val="20"/>
                <w:szCs w:val="20"/>
              </w:rPr>
              <w:t>ND</w:t>
            </w:r>
          </w:p>
        </w:tc>
        <w:tc>
          <w:tcPr>
            <w:tcW w:w="400" w:type="pct"/>
            <w:vAlign w:val="center"/>
          </w:tcPr>
          <w:p w14:paraId="203B3A46" w14:textId="77777777" w:rsidR="00BA0176" w:rsidRPr="000F582D" w:rsidRDefault="00BA0176" w:rsidP="00B955FB">
            <w:pPr>
              <w:spacing w:before="0" w:after="0"/>
              <w:jc w:val="center"/>
              <w:rPr>
                <w:sz w:val="20"/>
                <w:szCs w:val="20"/>
              </w:rPr>
            </w:pPr>
            <w:r w:rsidRPr="000F582D">
              <w:rPr>
                <w:sz w:val="20"/>
                <w:szCs w:val="20"/>
              </w:rPr>
              <w:t>ND</w:t>
            </w:r>
          </w:p>
        </w:tc>
      </w:tr>
      <w:tr w:rsidR="00BA0176" w:rsidRPr="000F582D" w14:paraId="1A460E2E" w14:textId="77777777" w:rsidTr="00B955FB">
        <w:trPr>
          <w:trHeight w:val="454"/>
        </w:trPr>
        <w:tc>
          <w:tcPr>
            <w:tcW w:w="955" w:type="pct"/>
            <w:tcBorders>
              <w:bottom w:val="single" w:sz="4" w:space="0" w:color="auto"/>
            </w:tcBorders>
            <w:vAlign w:val="center"/>
          </w:tcPr>
          <w:p w14:paraId="343956FF" w14:textId="77777777" w:rsidR="00BA0176" w:rsidRPr="000F582D" w:rsidRDefault="00BA0176" w:rsidP="00C161B4">
            <w:pPr>
              <w:spacing w:before="0" w:after="0"/>
              <w:jc w:val="left"/>
              <w:rPr>
                <w:sz w:val="20"/>
                <w:szCs w:val="20"/>
              </w:rPr>
            </w:pPr>
            <w:r w:rsidRPr="000F582D">
              <w:rPr>
                <w:sz w:val="20"/>
                <w:szCs w:val="20"/>
              </w:rPr>
              <w:t>Cd</w:t>
            </w:r>
          </w:p>
        </w:tc>
        <w:tc>
          <w:tcPr>
            <w:tcW w:w="830" w:type="pct"/>
            <w:tcBorders>
              <w:bottom w:val="single" w:sz="4" w:space="0" w:color="auto"/>
            </w:tcBorders>
            <w:vAlign w:val="center"/>
          </w:tcPr>
          <w:p w14:paraId="16CB31EE" w14:textId="77777777" w:rsidR="00BA0176" w:rsidRPr="000F582D" w:rsidRDefault="00BA0176" w:rsidP="00C161B4">
            <w:pPr>
              <w:spacing w:before="0" w:after="0"/>
              <w:jc w:val="center"/>
              <w:rPr>
                <w:sz w:val="20"/>
                <w:szCs w:val="20"/>
              </w:rPr>
            </w:pPr>
            <w:r w:rsidRPr="000F582D">
              <w:rPr>
                <w:sz w:val="20"/>
                <w:szCs w:val="20"/>
              </w:rPr>
              <w:t>WDXRF</w:t>
            </w:r>
          </w:p>
        </w:tc>
        <w:tc>
          <w:tcPr>
            <w:tcW w:w="577" w:type="pct"/>
            <w:tcBorders>
              <w:bottom w:val="single" w:sz="4" w:space="0" w:color="auto"/>
            </w:tcBorders>
            <w:vAlign w:val="center"/>
          </w:tcPr>
          <w:p w14:paraId="0C474145" w14:textId="77777777" w:rsidR="00BA0176" w:rsidRPr="000F582D" w:rsidRDefault="00BA0176" w:rsidP="00C161B4">
            <w:pPr>
              <w:spacing w:before="0" w:after="0"/>
              <w:jc w:val="center"/>
              <w:rPr>
                <w:sz w:val="20"/>
                <w:szCs w:val="20"/>
              </w:rPr>
            </w:pPr>
            <w:r w:rsidRPr="000F582D">
              <w:rPr>
                <w:sz w:val="20"/>
                <w:szCs w:val="20"/>
              </w:rPr>
              <w:t>[ppm]</w:t>
            </w:r>
          </w:p>
        </w:tc>
        <w:tc>
          <w:tcPr>
            <w:tcW w:w="459" w:type="pct"/>
            <w:tcBorders>
              <w:bottom w:val="single" w:sz="4" w:space="0" w:color="auto"/>
            </w:tcBorders>
            <w:vAlign w:val="center"/>
          </w:tcPr>
          <w:p w14:paraId="249FA452" w14:textId="77777777" w:rsidR="00BA0176" w:rsidRPr="000F582D" w:rsidRDefault="00BA0176" w:rsidP="00B955FB">
            <w:pPr>
              <w:spacing w:before="0" w:after="0"/>
              <w:jc w:val="center"/>
              <w:rPr>
                <w:sz w:val="20"/>
                <w:szCs w:val="20"/>
              </w:rPr>
            </w:pPr>
            <w:r w:rsidRPr="000F582D">
              <w:rPr>
                <w:sz w:val="20"/>
                <w:szCs w:val="20"/>
              </w:rPr>
              <w:t>ND</w:t>
            </w:r>
          </w:p>
        </w:tc>
        <w:tc>
          <w:tcPr>
            <w:tcW w:w="459" w:type="pct"/>
            <w:tcBorders>
              <w:bottom w:val="single" w:sz="4" w:space="0" w:color="auto"/>
            </w:tcBorders>
            <w:vAlign w:val="center"/>
          </w:tcPr>
          <w:p w14:paraId="1B6FB6BB" w14:textId="77777777" w:rsidR="00BA0176" w:rsidRPr="000F582D" w:rsidRDefault="00BA0176" w:rsidP="00B955FB">
            <w:pPr>
              <w:spacing w:before="0" w:after="0"/>
              <w:jc w:val="center"/>
              <w:rPr>
                <w:sz w:val="20"/>
                <w:szCs w:val="20"/>
              </w:rPr>
            </w:pPr>
            <w:r w:rsidRPr="000F582D">
              <w:rPr>
                <w:sz w:val="20"/>
                <w:szCs w:val="20"/>
              </w:rPr>
              <w:t>ND</w:t>
            </w:r>
          </w:p>
        </w:tc>
        <w:tc>
          <w:tcPr>
            <w:tcW w:w="459" w:type="pct"/>
            <w:tcBorders>
              <w:bottom w:val="single" w:sz="4" w:space="0" w:color="auto"/>
            </w:tcBorders>
            <w:vAlign w:val="center"/>
          </w:tcPr>
          <w:p w14:paraId="27C1EEB7" w14:textId="77777777" w:rsidR="00BA0176" w:rsidRPr="000F582D" w:rsidRDefault="00BA0176" w:rsidP="00B955FB">
            <w:pPr>
              <w:spacing w:before="0" w:after="0"/>
              <w:jc w:val="center"/>
              <w:rPr>
                <w:sz w:val="20"/>
                <w:szCs w:val="20"/>
              </w:rPr>
            </w:pPr>
            <w:r w:rsidRPr="000F582D">
              <w:rPr>
                <w:sz w:val="20"/>
                <w:szCs w:val="20"/>
              </w:rPr>
              <w:t>ND</w:t>
            </w:r>
          </w:p>
        </w:tc>
        <w:tc>
          <w:tcPr>
            <w:tcW w:w="459" w:type="pct"/>
            <w:tcBorders>
              <w:bottom w:val="single" w:sz="4" w:space="0" w:color="auto"/>
            </w:tcBorders>
            <w:vAlign w:val="center"/>
          </w:tcPr>
          <w:p w14:paraId="55EFA098" w14:textId="77777777" w:rsidR="00BA0176" w:rsidRPr="000F582D" w:rsidRDefault="00BA0176" w:rsidP="00B955FB">
            <w:pPr>
              <w:spacing w:before="0" w:after="0"/>
              <w:jc w:val="center"/>
              <w:rPr>
                <w:sz w:val="20"/>
                <w:szCs w:val="20"/>
              </w:rPr>
            </w:pPr>
            <w:r w:rsidRPr="000F582D">
              <w:rPr>
                <w:sz w:val="20"/>
                <w:szCs w:val="20"/>
              </w:rPr>
              <w:t>ND</w:t>
            </w:r>
          </w:p>
        </w:tc>
        <w:tc>
          <w:tcPr>
            <w:tcW w:w="400" w:type="pct"/>
            <w:tcBorders>
              <w:bottom w:val="single" w:sz="4" w:space="0" w:color="auto"/>
            </w:tcBorders>
            <w:vAlign w:val="center"/>
          </w:tcPr>
          <w:p w14:paraId="64F0D74F" w14:textId="77777777" w:rsidR="00BA0176" w:rsidRPr="000F582D" w:rsidRDefault="00BA0176" w:rsidP="00B955FB">
            <w:pPr>
              <w:spacing w:before="0" w:after="0"/>
              <w:jc w:val="center"/>
              <w:rPr>
                <w:sz w:val="20"/>
                <w:szCs w:val="20"/>
              </w:rPr>
            </w:pPr>
            <w:r w:rsidRPr="000F582D">
              <w:rPr>
                <w:sz w:val="20"/>
                <w:szCs w:val="20"/>
              </w:rPr>
              <w:t>ND</w:t>
            </w:r>
          </w:p>
        </w:tc>
        <w:tc>
          <w:tcPr>
            <w:tcW w:w="400" w:type="pct"/>
            <w:tcBorders>
              <w:bottom w:val="single" w:sz="4" w:space="0" w:color="auto"/>
            </w:tcBorders>
            <w:vAlign w:val="center"/>
          </w:tcPr>
          <w:p w14:paraId="0680E7B7" w14:textId="6253FECC" w:rsidR="00BA0176" w:rsidRPr="000F582D" w:rsidRDefault="00960749" w:rsidP="00B955FB">
            <w:pPr>
              <w:spacing w:before="0" w:after="0"/>
              <w:jc w:val="center"/>
              <w:rPr>
                <w:sz w:val="20"/>
                <w:szCs w:val="20"/>
              </w:rPr>
            </w:pPr>
            <w:r>
              <w:rPr>
                <w:sz w:val="20"/>
                <w:szCs w:val="20"/>
              </w:rPr>
              <w:t>1</w:t>
            </w:r>
          </w:p>
        </w:tc>
      </w:tr>
      <w:tr w:rsidR="00BA0176" w:rsidRPr="000F582D" w14:paraId="2888D18A" w14:textId="77777777" w:rsidTr="00C161B4">
        <w:trPr>
          <w:trHeight w:val="454"/>
        </w:trPr>
        <w:tc>
          <w:tcPr>
            <w:tcW w:w="5000" w:type="pct"/>
            <w:gridSpan w:val="9"/>
            <w:tcBorders>
              <w:top w:val="single" w:sz="4" w:space="0" w:color="auto"/>
            </w:tcBorders>
            <w:vAlign w:val="center"/>
          </w:tcPr>
          <w:p w14:paraId="0C9AC51E" w14:textId="3254581E" w:rsidR="00BA0176" w:rsidRPr="000F582D" w:rsidRDefault="00BA0176" w:rsidP="00C161B4">
            <w:pPr>
              <w:spacing w:before="0" w:after="0"/>
              <w:jc w:val="left"/>
              <w:rPr>
                <w:sz w:val="20"/>
                <w:szCs w:val="20"/>
              </w:rPr>
            </w:pPr>
            <w:r w:rsidRPr="000F582D">
              <w:rPr>
                <w:sz w:val="20"/>
                <w:szCs w:val="20"/>
                <w:vertAlign w:val="superscript"/>
              </w:rPr>
              <w:t>1,2</w:t>
            </w:r>
            <w:r w:rsidRPr="000F582D">
              <w:rPr>
                <w:sz w:val="20"/>
                <w:szCs w:val="20"/>
              </w:rPr>
              <w:t xml:space="preserve"> Fluid analysis samples are taken and sent to two different laboratories f</w:t>
            </w:r>
            <w:r w:rsidR="008D26BA">
              <w:rPr>
                <w:sz w:val="20"/>
                <w:szCs w:val="20"/>
              </w:rPr>
              <w:t>or</w:t>
            </w:r>
            <w:r w:rsidRPr="000F582D">
              <w:rPr>
                <w:sz w:val="20"/>
                <w:szCs w:val="20"/>
              </w:rPr>
              <w:t xml:space="preserve"> information collection.</w:t>
            </w:r>
            <w:r w:rsidRPr="000F582D">
              <w:rPr>
                <w:sz w:val="20"/>
                <w:szCs w:val="20"/>
              </w:rPr>
              <w:br/>
              <w:t>ND = Not detected.</w:t>
            </w:r>
          </w:p>
        </w:tc>
      </w:tr>
    </w:tbl>
    <w:p w14:paraId="23DB531B" w14:textId="77777777" w:rsidR="00BA0176" w:rsidRDefault="00BA0176" w:rsidP="00BA0176">
      <w:pPr>
        <w:pStyle w:val="Caption"/>
        <w:jc w:val="left"/>
      </w:pPr>
      <w:bookmarkStart w:id="822" w:name="_Ref93753906"/>
    </w:p>
    <w:p w14:paraId="30100096" w14:textId="77777777" w:rsidR="00BA0176" w:rsidRDefault="00BA0176" w:rsidP="00BA0176">
      <w:pPr>
        <w:spacing w:before="0" w:after="160" w:line="259" w:lineRule="auto"/>
        <w:jc w:val="left"/>
        <w:rPr>
          <w:iCs/>
          <w:szCs w:val="18"/>
        </w:rPr>
      </w:pPr>
      <w:r>
        <w:br w:type="page"/>
      </w:r>
    </w:p>
    <w:p w14:paraId="70F342CC" w14:textId="0C509433" w:rsidR="00BA0176" w:rsidRDefault="00BA0176" w:rsidP="00BA0176">
      <w:pPr>
        <w:pStyle w:val="Caption"/>
        <w:jc w:val="left"/>
      </w:pPr>
      <w:bookmarkStart w:id="823" w:name="_Ref93928260"/>
      <w:bookmarkStart w:id="824" w:name="_Toc101274673"/>
      <w:r>
        <w:lastRenderedPageBreak/>
        <w:t xml:space="preserve">Appendix </w:t>
      </w:r>
      <w:fldSimple w:instr=" SEQ Appendix \* ARABIC ">
        <w:r w:rsidR="00587AF0">
          <w:rPr>
            <w:noProof/>
          </w:rPr>
          <w:t>3</w:t>
        </w:r>
      </w:fldSimple>
      <w:bookmarkEnd w:id="822"/>
      <w:bookmarkEnd w:id="823"/>
      <w:r>
        <w:t>. ISO 4406:2017 code for contamination level</w:t>
      </w:r>
      <w:bookmarkEnd w:id="824"/>
    </w:p>
    <w:tbl>
      <w:tblPr>
        <w:tblW w:w="9030" w:type="dxa"/>
        <w:tblLook w:val="04A0" w:firstRow="1" w:lastRow="0" w:firstColumn="1" w:lastColumn="0" w:noHBand="0" w:noVBand="1"/>
      </w:tblPr>
      <w:tblGrid>
        <w:gridCol w:w="3010"/>
        <w:gridCol w:w="3010"/>
        <w:gridCol w:w="3010"/>
      </w:tblGrid>
      <w:tr w:rsidR="00BA0176" w14:paraId="1F1DF9D1" w14:textId="77777777" w:rsidTr="00C161B4">
        <w:trPr>
          <w:trHeight w:val="498"/>
        </w:trPr>
        <w:tc>
          <w:tcPr>
            <w:tcW w:w="3010" w:type="dxa"/>
            <w:vMerge w:val="restart"/>
            <w:tcBorders>
              <w:top w:val="single" w:sz="4" w:space="0" w:color="auto"/>
            </w:tcBorders>
            <w:vAlign w:val="center"/>
          </w:tcPr>
          <w:p w14:paraId="3F5670D0" w14:textId="77777777" w:rsidR="00BA0176" w:rsidRPr="0053479D" w:rsidRDefault="00BA0176" w:rsidP="00C161B4">
            <w:pPr>
              <w:spacing w:before="0" w:after="0"/>
              <w:jc w:val="center"/>
              <w:rPr>
                <w:b/>
                <w:bCs/>
              </w:rPr>
            </w:pPr>
            <w:r w:rsidRPr="0053479D">
              <w:rPr>
                <w:b/>
                <w:bCs/>
              </w:rPr>
              <w:t>ISO 4406 code</w:t>
            </w:r>
          </w:p>
        </w:tc>
        <w:tc>
          <w:tcPr>
            <w:tcW w:w="6020" w:type="dxa"/>
            <w:gridSpan w:val="2"/>
            <w:tcBorders>
              <w:top w:val="single" w:sz="4" w:space="0" w:color="auto"/>
            </w:tcBorders>
            <w:vAlign w:val="center"/>
          </w:tcPr>
          <w:p w14:paraId="7232BA32" w14:textId="77777777" w:rsidR="00BA0176" w:rsidRPr="0053479D" w:rsidRDefault="00BA0176" w:rsidP="00C161B4">
            <w:pPr>
              <w:spacing w:before="0" w:after="0"/>
              <w:jc w:val="center"/>
              <w:rPr>
                <w:b/>
                <w:bCs/>
              </w:rPr>
            </w:pPr>
            <w:r w:rsidRPr="0053479D">
              <w:rPr>
                <w:b/>
                <w:bCs/>
              </w:rPr>
              <w:t>Number of particles per ml</w:t>
            </w:r>
          </w:p>
        </w:tc>
      </w:tr>
      <w:tr w:rsidR="00BA0176" w14:paraId="66B0E3C7" w14:textId="77777777" w:rsidTr="00C161B4">
        <w:trPr>
          <w:trHeight w:val="421"/>
        </w:trPr>
        <w:tc>
          <w:tcPr>
            <w:tcW w:w="3010" w:type="dxa"/>
            <w:vMerge/>
            <w:tcBorders>
              <w:bottom w:val="single" w:sz="4" w:space="0" w:color="auto"/>
            </w:tcBorders>
            <w:vAlign w:val="center"/>
          </w:tcPr>
          <w:p w14:paraId="5C057EE5" w14:textId="77777777" w:rsidR="00BA0176" w:rsidRPr="0053479D" w:rsidRDefault="00BA0176" w:rsidP="00C161B4">
            <w:pPr>
              <w:spacing w:before="0" w:after="0" w:line="480" w:lineRule="auto"/>
              <w:jc w:val="center"/>
              <w:rPr>
                <w:b/>
                <w:bCs/>
              </w:rPr>
            </w:pPr>
          </w:p>
        </w:tc>
        <w:tc>
          <w:tcPr>
            <w:tcW w:w="3010" w:type="dxa"/>
            <w:tcBorders>
              <w:bottom w:val="single" w:sz="4" w:space="0" w:color="auto"/>
            </w:tcBorders>
            <w:vAlign w:val="center"/>
          </w:tcPr>
          <w:p w14:paraId="59E20B54" w14:textId="77777777" w:rsidR="00BA0176" w:rsidRPr="0053479D" w:rsidRDefault="00BA0176" w:rsidP="00C161B4">
            <w:pPr>
              <w:spacing w:before="0" w:after="0"/>
              <w:jc w:val="center"/>
              <w:rPr>
                <w:b/>
                <w:bCs/>
              </w:rPr>
            </w:pPr>
            <w:r w:rsidRPr="0053479D">
              <w:rPr>
                <w:b/>
                <w:bCs/>
              </w:rPr>
              <w:t>Lower number</w:t>
            </w:r>
          </w:p>
        </w:tc>
        <w:tc>
          <w:tcPr>
            <w:tcW w:w="3010" w:type="dxa"/>
            <w:tcBorders>
              <w:bottom w:val="single" w:sz="4" w:space="0" w:color="auto"/>
            </w:tcBorders>
            <w:vAlign w:val="center"/>
          </w:tcPr>
          <w:p w14:paraId="4FD9842F" w14:textId="77777777" w:rsidR="00BA0176" w:rsidRPr="0053479D" w:rsidRDefault="00BA0176" w:rsidP="00C161B4">
            <w:pPr>
              <w:spacing w:before="0" w:after="0"/>
              <w:jc w:val="center"/>
              <w:rPr>
                <w:b/>
                <w:bCs/>
              </w:rPr>
            </w:pPr>
            <w:r w:rsidRPr="0053479D">
              <w:rPr>
                <w:b/>
                <w:bCs/>
              </w:rPr>
              <w:t>Higher number</w:t>
            </w:r>
          </w:p>
        </w:tc>
      </w:tr>
      <w:tr w:rsidR="00BA0176" w14:paraId="6155883D" w14:textId="77777777" w:rsidTr="00C161B4">
        <w:trPr>
          <w:trHeight w:val="283"/>
        </w:trPr>
        <w:tc>
          <w:tcPr>
            <w:tcW w:w="3010" w:type="dxa"/>
            <w:tcBorders>
              <w:top w:val="single" w:sz="4" w:space="0" w:color="auto"/>
            </w:tcBorders>
            <w:vAlign w:val="center"/>
          </w:tcPr>
          <w:p w14:paraId="2B1F27EE" w14:textId="77777777" w:rsidR="00BA0176" w:rsidRDefault="00BA0176" w:rsidP="00C161B4">
            <w:pPr>
              <w:spacing w:before="0" w:after="0"/>
              <w:jc w:val="center"/>
            </w:pPr>
            <w:r>
              <w:t>24</w:t>
            </w:r>
          </w:p>
        </w:tc>
        <w:tc>
          <w:tcPr>
            <w:tcW w:w="3010" w:type="dxa"/>
            <w:tcBorders>
              <w:top w:val="single" w:sz="4" w:space="0" w:color="auto"/>
            </w:tcBorders>
            <w:vAlign w:val="center"/>
          </w:tcPr>
          <w:p w14:paraId="654B98BF" w14:textId="77777777" w:rsidR="00BA0176" w:rsidRDefault="00BA0176" w:rsidP="00C161B4">
            <w:pPr>
              <w:spacing w:before="0" w:after="0"/>
              <w:jc w:val="center"/>
            </w:pPr>
            <w:r>
              <w:t>80 0000</w:t>
            </w:r>
          </w:p>
        </w:tc>
        <w:tc>
          <w:tcPr>
            <w:tcW w:w="3010" w:type="dxa"/>
            <w:tcBorders>
              <w:top w:val="single" w:sz="4" w:space="0" w:color="auto"/>
            </w:tcBorders>
            <w:vAlign w:val="center"/>
          </w:tcPr>
          <w:p w14:paraId="202FB593" w14:textId="77777777" w:rsidR="00BA0176" w:rsidRDefault="00BA0176" w:rsidP="00C161B4">
            <w:pPr>
              <w:spacing w:before="0" w:after="0"/>
              <w:jc w:val="center"/>
            </w:pPr>
            <w:r>
              <w:t>160 000</w:t>
            </w:r>
          </w:p>
        </w:tc>
      </w:tr>
      <w:tr w:rsidR="00BA0176" w14:paraId="4640C846" w14:textId="77777777" w:rsidTr="00C161B4">
        <w:trPr>
          <w:trHeight w:val="271"/>
        </w:trPr>
        <w:tc>
          <w:tcPr>
            <w:tcW w:w="3010" w:type="dxa"/>
            <w:vAlign w:val="center"/>
          </w:tcPr>
          <w:p w14:paraId="29588313" w14:textId="77777777" w:rsidR="00BA0176" w:rsidRDefault="00BA0176" w:rsidP="00C161B4">
            <w:pPr>
              <w:spacing w:before="0" w:after="0"/>
              <w:jc w:val="center"/>
            </w:pPr>
            <w:r>
              <w:t>23</w:t>
            </w:r>
          </w:p>
        </w:tc>
        <w:tc>
          <w:tcPr>
            <w:tcW w:w="3010" w:type="dxa"/>
            <w:vAlign w:val="center"/>
          </w:tcPr>
          <w:p w14:paraId="43A92D7E" w14:textId="77777777" w:rsidR="00BA0176" w:rsidRDefault="00BA0176" w:rsidP="00C161B4">
            <w:pPr>
              <w:spacing w:before="0" w:after="0"/>
              <w:jc w:val="center"/>
            </w:pPr>
            <w:r>
              <w:t>40 000</w:t>
            </w:r>
          </w:p>
        </w:tc>
        <w:tc>
          <w:tcPr>
            <w:tcW w:w="3010" w:type="dxa"/>
            <w:vAlign w:val="center"/>
          </w:tcPr>
          <w:p w14:paraId="4C432073" w14:textId="77777777" w:rsidR="00BA0176" w:rsidRDefault="00BA0176" w:rsidP="00C161B4">
            <w:pPr>
              <w:spacing w:before="0" w:after="0"/>
              <w:jc w:val="center"/>
            </w:pPr>
            <w:r>
              <w:t>80 000</w:t>
            </w:r>
          </w:p>
        </w:tc>
      </w:tr>
      <w:tr w:rsidR="00BA0176" w14:paraId="496CA192" w14:textId="77777777" w:rsidTr="00C161B4">
        <w:trPr>
          <w:trHeight w:val="271"/>
        </w:trPr>
        <w:tc>
          <w:tcPr>
            <w:tcW w:w="3010" w:type="dxa"/>
            <w:vAlign w:val="center"/>
          </w:tcPr>
          <w:p w14:paraId="3E4FFFDE" w14:textId="77777777" w:rsidR="00BA0176" w:rsidRDefault="00BA0176" w:rsidP="00C161B4">
            <w:pPr>
              <w:spacing w:before="0" w:after="0"/>
              <w:jc w:val="center"/>
            </w:pPr>
            <w:r>
              <w:t>22</w:t>
            </w:r>
          </w:p>
        </w:tc>
        <w:tc>
          <w:tcPr>
            <w:tcW w:w="3010" w:type="dxa"/>
            <w:vAlign w:val="center"/>
          </w:tcPr>
          <w:p w14:paraId="1E17CAB5" w14:textId="77777777" w:rsidR="00BA0176" w:rsidRDefault="00BA0176" w:rsidP="00C161B4">
            <w:pPr>
              <w:spacing w:before="0" w:after="0"/>
              <w:jc w:val="center"/>
            </w:pPr>
            <w:r>
              <w:t>20 000</w:t>
            </w:r>
          </w:p>
        </w:tc>
        <w:tc>
          <w:tcPr>
            <w:tcW w:w="3010" w:type="dxa"/>
            <w:vAlign w:val="center"/>
          </w:tcPr>
          <w:p w14:paraId="11C83A2E" w14:textId="77777777" w:rsidR="00BA0176" w:rsidRDefault="00BA0176" w:rsidP="00C161B4">
            <w:pPr>
              <w:spacing w:before="0" w:after="0"/>
              <w:jc w:val="center"/>
            </w:pPr>
            <w:r>
              <w:t>40 000</w:t>
            </w:r>
          </w:p>
        </w:tc>
      </w:tr>
      <w:tr w:rsidR="00BA0176" w14:paraId="2E43D074" w14:textId="77777777" w:rsidTr="00C161B4">
        <w:trPr>
          <w:trHeight w:val="283"/>
        </w:trPr>
        <w:tc>
          <w:tcPr>
            <w:tcW w:w="3010" w:type="dxa"/>
            <w:vAlign w:val="center"/>
          </w:tcPr>
          <w:p w14:paraId="677F33FB" w14:textId="77777777" w:rsidR="00BA0176" w:rsidRDefault="00BA0176" w:rsidP="00C161B4">
            <w:pPr>
              <w:spacing w:before="0" w:after="0"/>
              <w:jc w:val="center"/>
            </w:pPr>
            <w:r>
              <w:t>21</w:t>
            </w:r>
          </w:p>
        </w:tc>
        <w:tc>
          <w:tcPr>
            <w:tcW w:w="3010" w:type="dxa"/>
            <w:vAlign w:val="center"/>
          </w:tcPr>
          <w:p w14:paraId="15FA0B23" w14:textId="77777777" w:rsidR="00BA0176" w:rsidRDefault="00BA0176" w:rsidP="00C161B4">
            <w:pPr>
              <w:spacing w:before="0" w:after="0"/>
              <w:jc w:val="center"/>
            </w:pPr>
            <w:r>
              <w:t>10 000</w:t>
            </w:r>
          </w:p>
        </w:tc>
        <w:tc>
          <w:tcPr>
            <w:tcW w:w="3010" w:type="dxa"/>
            <w:vAlign w:val="center"/>
          </w:tcPr>
          <w:p w14:paraId="348A0738" w14:textId="77777777" w:rsidR="00BA0176" w:rsidRDefault="00BA0176" w:rsidP="00C161B4">
            <w:pPr>
              <w:spacing w:before="0" w:after="0"/>
              <w:jc w:val="center"/>
            </w:pPr>
            <w:r>
              <w:t>20 000</w:t>
            </w:r>
          </w:p>
        </w:tc>
      </w:tr>
      <w:tr w:rsidR="00BA0176" w14:paraId="53F4D19B" w14:textId="77777777" w:rsidTr="00C161B4">
        <w:trPr>
          <w:trHeight w:val="271"/>
        </w:trPr>
        <w:tc>
          <w:tcPr>
            <w:tcW w:w="3010" w:type="dxa"/>
            <w:vAlign w:val="center"/>
          </w:tcPr>
          <w:p w14:paraId="7AA0B533" w14:textId="77777777" w:rsidR="00BA0176" w:rsidRDefault="00BA0176" w:rsidP="00C161B4">
            <w:pPr>
              <w:spacing w:before="0" w:after="0"/>
              <w:jc w:val="center"/>
            </w:pPr>
            <w:r>
              <w:t>20</w:t>
            </w:r>
          </w:p>
        </w:tc>
        <w:tc>
          <w:tcPr>
            <w:tcW w:w="3010" w:type="dxa"/>
            <w:vAlign w:val="center"/>
          </w:tcPr>
          <w:p w14:paraId="0254552D" w14:textId="77777777" w:rsidR="00BA0176" w:rsidRDefault="00BA0176" w:rsidP="00C161B4">
            <w:pPr>
              <w:spacing w:before="0" w:after="0"/>
              <w:jc w:val="center"/>
            </w:pPr>
            <w:r>
              <w:t>5 000</w:t>
            </w:r>
          </w:p>
        </w:tc>
        <w:tc>
          <w:tcPr>
            <w:tcW w:w="3010" w:type="dxa"/>
            <w:vAlign w:val="center"/>
          </w:tcPr>
          <w:p w14:paraId="78544555" w14:textId="77777777" w:rsidR="00BA0176" w:rsidRDefault="00BA0176" w:rsidP="00C161B4">
            <w:pPr>
              <w:spacing w:before="0" w:after="0"/>
              <w:jc w:val="center"/>
            </w:pPr>
            <w:r>
              <w:t>10 000</w:t>
            </w:r>
          </w:p>
        </w:tc>
      </w:tr>
      <w:tr w:rsidR="00BA0176" w14:paraId="1E9309A4" w14:textId="77777777" w:rsidTr="00C161B4">
        <w:trPr>
          <w:trHeight w:val="271"/>
        </w:trPr>
        <w:tc>
          <w:tcPr>
            <w:tcW w:w="3010" w:type="dxa"/>
            <w:vAlign w:val="center"/>
          </w:tcPr>
          <w:p w14:paraId="7219FE4C" w14:textId="77777777" w:rsidR="00BA0176" w:rsidRDefault="00BA0176" w:rsidP="00C161B4">
            <w:pPr>
              <w:spacing w:before="0" w:after="0"/>
              <w:jc w:val="center"/>
            </w:pPr>
            <w:r>
              <w:t>19</w:t>
            </w:r>
          </w:p>
        </w:tc>
        <w:tc>
          <w:tcPr>
            <w:tcW w:w="3010" w:type="dxa"/>
            <w:vAlign w:val="center"/>
          </w:tcPr>
          <w:p w14:paraId="6A3DA563" w14:textId="77777777" w:rsidR="00BA0176" w:rsidRDefault="00BA0176" w:rsidP="00C161B4">
            <w:pPr>
              <w:spacing w:before="0" w:after="0"/>
              <w:jc w:val="center"/>
            </w:pPr>
            <w:r>
              <w:t>2 500</w:t>
            </w:r>
          </w:p>
        </w:tc>
        <w:tc>
          <w:tcPr>
            <w:tcW w:w="3010" w:type="dxa"/>
            <w:vAlign w:val="center"/>
          </w:tcPr>
          <w:p w14:paraId="59FEC9DD" w14:textId="77777777" w:rsidR="00BA0176" w:rsidRDefault="00BA0176" w:rsidP="00C161B4">
            <w:pPr>
              <w:spacing w:before="0" w:after="0"/>
              <w:jc w:val="center"/>
            </w:pPr>
            <w:r>
              <w:t>5 000</w:t>
            </w:r>
          </w:p>
        </w:tc>
      </w:tr>
      <w:tr w:rsidR="00BA0176" w14:paraId="41195472" w14:textId="77777777" w:rsidTr="00C161B4">
        <w:trPr>
          <w:trHeight w:val="271"/>
        </w:trPr>
        <w:tc>
          <w:tcPr>
            <w:tcW w:w="3010" w:type="dxa"/>
            <w:vAlign w:val="center"/>
          </w:tcPr>
          <w:p w14:paraId="09E590B4" w14:textId="77777777" w:rsidR="00BA0176" w:rsidRDefault="00BA0176" w:rsidP="00C161B4">
            <w:pPr>
              <w:spacing w:before="0" w:after="0"/>
              <w:jc w:val="center"/>
            </w:pPr>
            <w:r>
              <w:t>18</w:t>
            </w:r>
          </w:p>
        </w:tc>
        <w:tc>
          <w:tcPr>
            <w:tcW w:w="3010" w:type="dxa"/>
            <w:vAlign w:val="center"/>
          </w:tcPr>
          <w:p w14:paraId="46ECFEBD" w14:textId="77777777" w:rsidR="00BA0176" w:rsidRDefault="00BA0176" w:rsidP="00C161B4">
            <w:pPr>
              <w:spacing w:before="0" w:after="0"/>
              <w:jc w:val="center"/>
            </w:pPr>
            <w:r>
              <w:t>1 300</w:t>
            </w:r>
          </w:p>
        </w:tc>
        <w:tc>
          <w:tcPr>
            <w:tcW w:w="3010" w:type="dxa"/>
            <w:vAlign w:val="center"/>
          </w:tcPr>
          <w:p w14:paraId="0CF57F17" w14:textId="77777777" w:rsidR="00BA0176" w:rsidRDefault="00BA0176" w:rsidP="00C161B4">
            <w:pPr>
              <w:spacing w:before="0" w:after="0"/>
              <w:jc w:val="center"/>
            </w:pPr>
            <w:r>
              <w:t>2 500</w:t>
            </w:r>
          </w:p>
        </w:tc>
      </w:tr>
      <w:tr w:rsidR="00BA0176" w14:paraId="72C8DDC9" w14:textId="77777777" w:rsidTr="00C161B4">
        <w:trPr>
          <w:trHeight w:val="271"/>
        </w:trPr>
        <w:tc>
          <w:tcPr>
            <w:tcW w:w="3010" w:type="dxa"/>
            <w:vAlign w:val="center"/>
          </w:tcPr>
          <w:p w14:paraId="03C97102" w14:textId="77777777" w:rsidR="00BA0176" w:rsidRDefault="00BA0176" w:rsidP="00C161B4">
            <w:pPr>
              <w:spacing w:before="0" w:after="0"/>
              <w:jc w:val="center"/>
            </w:pPr>
            <w:r>
              <w:t>17</w:t>
            </w:r>
          </w:p>
        </w:tc>
        <w:tc>
          <w:tcPr>
            <w:tcW w:w="3010" w:type="dxa"/>
            <w:vAlign w:val="center"/>
          </w:tcPr>
          <w:p w14:paraId="62011A2A" w14:textId="77777777" w:rsidR="00BA0176" w:rsidRDefault="00BA0176" w:rsidP="00C161B4">
            <w:pPr>
              <w:spacing w:before="0" w:after="0"/>
              <w:jc w:val="center"/>
            </w:pPr>
            <w:r>
              <w:t>640</w:t>
            </w:r>
          </w:p>
        </w:tc>
        <w:tc>
          <w:tcPr>
            <w:tcW w:w="3010" w:type="dxa"/>
            <w:vAlign w:val="center"/>
          </w:tcPr>
          <w:p w14:paraId="5F559F30" w14:textId="77777777" w:rsidR="00BA0176" w:rsidRDefault="00BA0176" w:rsidP="00C161B4">
            <w:pPr>
              <w:spacing w:before="0" w:after="0"/>
              <w:jc w:val="center"/>
            </w:pPr>
            <w:r>
              <w:t>1 300</w:t>
            </w:r>
          </w:p>
        </w:tc>
      </w:tr>
      <w:tr w:rsidR="00BA0176" w14:paraId="7FF7D6EF" w14:textId="77777777" w:rsidTr="00C161B4">
        <w:trPr>
          <w:trHeight w:val="271"/>
        </w:trPr>
        <w:tc>
          <w:tcPr>
            <w:tcW w:w="3010" w:type="dxa"/>
            <w:vAlign w:val="center"/>
          </w:tcPr>
          <w:p w14:paraId="1EF150B2" w14:textId="77777777" w:rsidR="00BA0176" w:rsidRDefault="00BA0176" w:rsidP="00C161B4">
            <w:pPr>
              <w:spacing w:before="0" w:after="0"/>
              <w:jc w:val="center"/>
            </w:pPr>
            <w:r>
              <w:t>16</w:t>
            </w:r>
          </w:p>
        </w:tc>
        <w:tc>
          <w:tcPr>
            <w:tcW w:w="3010" w:type="dxa"/>
            <w:vAlign w:val="center"/>
          </w:tcPr>
          <w:p w14:paraId="2AB18D10" w14:textId="77777777" w:rsidR="00BA0176" w:rsidRDefault="00BA0176" w:rsidP="00C161B4">
            <w:pPr>
              <w:spacing w:before="0" w:after="0"/>
              <w:jc w:val="center"/>
            </w:pPr>
            <w:r>
              <w:t>320</w:t>
            </w:r>
          </w:p>
        </w:tc>
        <w:tc>
          <w:tcPr>
            <w:tcW w:w="3010" w:type="dxa"/>
            <w:vAlign w:val="center"/>
          </w:tcPr>
          <w:p w14:paraId="787D74D4" w14:textId="77777777" w:rsidR="00BA0176" w:rsidRDefault="00BA0176" w:rsidP="00C161B4">
            <w:pPr>
              <w:spacing w:before="0" w:after="0"/>
              <w:jc w:val="center"/>
            </w:pPr>
            <w:r>
              <w:t>640</w:t>
            </w:r>
          </w:p>
        </w:tc>
      </w:tr>
      <w:tr w:rsidR="00BA0176" w14:paraId="7BD4B179" w14:textId="77777777" w:rsidTr="00C161B4">
        <w:trPr>
          <w:trHeight w:val="271"/>
        </w:trPr>
        <w:tc>
          <w:tcPr>
            <w:tcW w:w="3010" w:type="dxa"/>
            <w:vAlign w:val="center"/>
          </w:tcPr>
          <w:p w14:paraId="61FD7AA5" w14:textId="77777777" w:rsidR="00BA0176" w:rsidRDefault="00BA0176" w:rsidP="00C161B4">
            <w:pPr>
              <w:spacing w:before="0" w:after="0"/>
              <w:jc w:val="center"/>
            </w:pPr>
            <w:r>
              <w:t>15</w:t>
            </w:r>
          </w:p>
        </w:tc>
        <w:tc>
          <w:tcPr>
            <w:tcW w:w="3010" w:type="dxa"/>
            <w:vAlign w:val="center"/>
          </w:tcPr>
          <w:p w14:paraId="5456F477" w14:textId="77777777" w:rsidR="00BA0176" w:rsidRDefault="00BA0176" w:rsidP="00C161B4">
            <w:pPr>
              <w:spacing w:before="0" w:after="0"/>
              <w:jc w:val="center"/>
            </w:pPr>
            <w:r>
              <w:t>160</w:t>
            </w:r>
          </w:p>
        </w:tc>
        <w:tc>
          <w:tcPr>
            <w:tcW w:w="3010" w:type="dxa"/>
            <w:vAlign w:val="center"/>
          </w:tcPr>
          <w:p w14:paraId="26ED61FB" w14:textId="77777777" w:rsidR="00BA0176" w:rsidRDefault="00BA0176" w:rsidP="00C161B4">
            <w:pPr>
              <w:spacing w:before="0" w:after="0"/>
              <w:jc w:val="center"/>
            </w:pPr>
            <w:r>
              <w:t>320</w:t>
            </w:r>
          </w:p>
        </w:tc>
      </w:tr>
      <w:tr w:rsidR="00BA0176" w14:paraId="7FCD170C" w14:textId="77777777" w:rsidTr="00C161B4">
        <w:trPr>
          <w:trHeight w:val="271"/>
        </w:trPr>
        <w:tc>
          <w:tcPr>
            <w:tcW w:w="3010" w:type="dxa"/>
            <w:vAlign w:val="center"/>
          </w:tcPr>
          <w:p w14:paraId="29A96040" w14:textId="77777777" w:rsidR="00BA0176" w:rsidRDefault="00BA0176" w:rsidP="00C161B4">
            <w:pPr>
              <w:spacing w:before="0" w:after="0"/>
              <w:jc w:val="center"/>
            </w:pPr>
            <w:r>
              <w:t>14</w:t>
            </w:r>
          </w:p>
        </w:tc>
        <w:tc>
          <w:tcPr>
            <w:tcW w:w="3010" w:type="dxa"/>
            <w:vAlign w:val="center"/>
          </w:tcPr>
          <w:p w14:paraId="61DE434D" w14:textId="77777777" w:rsidR="00BA0176" w:rsidRDefault="00BA0176" w:rsidP="00C161B4">
            <w:pPr>
              <w:spacing w:before="0" w:after="0"/>
              <w:jc w:val="center"/>
            </w:pPr>
            <w:r>
              <w:t>80</w:t>
            </w:r>
          </w:p>
        </w:tc>
        <w:tc>
          <w:tcPr>
            <w:tcW w:w="3010" w:type="dxa"/>
            <w:vAlign w:val="center"/>
          </w:tcPr>
          <w:p w14:paraId="26C8C8D3" w14:textId="77777777" w:rsidR="00BA0176" w:rsidRDefault="00BA0176" w:rsidP="00C161B4">
            <w:pPr>
              <w:spacing w:before="0" w:after="0"/>
              <w:jc w:val="center"/>
            </w:pPr>
            <w:r>
              <w:t>160</w:t>
            </w:r>
          </w:p>
        </w:tc>
      </w:tr>
      <w:tr w:rsidR="00BA0176" w14:paraId="5A7766F1" w14:textId="77777777" w:rsidTr="00C161B4">
        <w:trPr>
          <w:trHeight w:val="283"/>
        </w:trPr>
        <w:tc>
          <w:tcPr>
            <w:tcW w:w="3010" w:type="dxa"/>
            <w:vAlign w:val="center"/>
          </w:tcPr>
          <w:p w14:paraId="79FA23BD" w14:textId="77777777" w:rsidR="00BA0176" w:rsidRDefault="00BA0176" w:rsidP="00C161B4">
            <w:pPr>
              <w:spacing w:before="0" w:after="0"/>
              <w:jc w:val="center"/>
            </w:pPr>
            <w:r>
              <w:t>13</w:t>
            </w:r>
          </w:p>
        </w:tc>
        <w:tc>
          <w:tcPr>
            <w:tcW w:w="3010" w:type="dxa"/>
            <w:vAlign w:val="center"/>
          </w:tcPr>
          <w:p w14:paraId="0C39F795" w14:textId="77777777" w:rsidR="00BA0176" w:rsidRDefault="00BA0176" w:rsidP="00C161B4">
            <w:pPr>
              <w:spacing w:before="0" w:after="0"/>
              <w:jc w:val="center"/>
            </w:pPr>
            <w:r>
              <w:t>40</w:t>
            </w:r>
          </w:p>
        </w:tc>
        <w:tc>
          <w:tcPr>
            <w:tcW w:w="3010" w:type="dxa"/>
            <w:vAlign w:val="center"/>
          </w:tcPr>
          <w:p w14:paraId="26DBD497" w14:textId="77777777" w:rsidR="00BA0176" w:rsidRDefault="00BA0176" w:rsidP="00C161B4">
            <w:pPr>
              <w:spacing w:before="0" w:after="0"/>
              <w:jc w:val="center"/>
            </w:pPr>
            <w:r>
              <w:t>80</w:t>
            </w:r>
          </w:p>
        </w:tc>
      </w:tr>
      <w:tr w:rsidR="00BA0176" w14:paraId="39F1AC0C" w14:textId="77777777" w:rsidTr="00C161B4">
        <w:trPr>
          <w:trHeight w:val="283"/>
        </w:trPr>
        <w:tc>
          <w:tcPr>
            <w:tcW w:w="3010" w:type="dxa"/>
            <w:vAlign w:val="center"/>
          </w:tcPr>
          <w:p w14:paraId="31B50D55" w14:textId="77777777" w:rsidR="00BA0176" w:rsidRDefault="00BA0176" w:rsidP="00C161B4">
            <w:pPr>
              <w:spacing w:before="0" w:after="0"/>
              <w:jc w:val="center"/>
            </w:pPr>
            <w:r>
              <w:t>12</w:t>
            </w:r>
          </w:p>
        </w:tc>
        <w:tc>
          <w:tcPr>
            <w:tcW w:w="3010" w:type="dxa"/>
            <w:vAlign w:val="center"/>
          </w:tcPr>
          <w:p w14:paraId="09CD514C" w14:textId="77777777" w:rsidR="00BA0176" w:rsidRDefault="00BA0176" w:rsidP="00C161B4">
            <w:pPr>
              <w:spacing w:before="0" w:after="0"/>
              <w:jc w:val="center"/>
            </w:pPr>
            <w:r>
              <w:t>20</w:t>
            </w:r>
          </w:p>
        </w:tc>
        <w:tc>
          <w:tcPr>
            <w:tcW w:w="3010" w:type="dxa"/>
            <w:vAlign w:val="center"/>
          </w:tcPr>
          <w:p w14:paraId="24B474CD" w14:textId="77777777" w:rsidR="00BA0176" w:rsidRDefault="00BA0176" w:rsidP="00C161B4">
            <w:pPr>
              <w:spacing w:before="0" w:after="0"/>
              <w:jc w:val="center"/>
            </w:pPr>
            <w:r>
              <w:t>40</w:t>
            </w:r>
          </w:p>
        </w:tc>
      </w:tr>
      <w:tr w:rsidR="00BA0176" w14:paraId="14F11476" w14:textId="77777777" w:rsidTr="00C161B4">
        <w:trPr>
          <w:trHeight w:val="283"/>
        </w:trPr>
        <w:tc>
          <w:tcPr>
            <w:tcW w:w="3010" w:type="dxa"/>
            <w:vAlign w:val="center"/>
          </w:tcPr>
          <w:p w14:paraId="07621E75" w14:textId="77777777" w:rsidR="00BA0176" w:rsidRDefault="00BA0176" w:rsidP="00C161B4">
            <w:pPr>
              <w:spacing w:before="0" w:after="0"/>
              <w:jc w:val="center"/>
            </w:pPr>
            <w:r>
              <w:t>11</w:t>
            </w:r>
          </w:p>
        </w:tc>
        <w:tc>
          <w:tcPr>
            <w:tcW w:w="3010" w:type="dxa"/>
            <w:vAlign w:val="center"/>
          </w:tcPr>
          <w:p w14:paraId="5A3716AA" w14:textId="77777777" w:rsidR="00BA0176" w:rsidRDefault="00BA0176" w:rsidP="00C161B4">
            <w:pPr>
              <w:spacing w:before="0" w:after="0"/>
              <w:jc w:val="center"/>
            </w:pPr>
            <w:r>
              <w:t>10</w:t>
            </w:r>
          </w:p>
        </w:tc>
        <w:tc>
          <w:tcPr>
            <w:tcW w:w="3010" w:type="dxa"/>
            <w:vAlign w:val="center"/>
          </w:tcPr>
          <w:p w14:paraId="0E6D5F63" w14:textId="77777777" w:rsidR="00BA0176" w:rsidRDefault="00BA0176" w:rsidP="00C161B4">
            <w:pPr>
              <w:spacing w:before="0" w:after="0"/>
              <w:jc w:val="center"/>
            </w:pPr>
            <w:r>
              <w:t>20</w:t>
            </w:r>
          </w:p>
        </w:tc>
      </w:tr>
      <w:tr w:rsidR="00BA0176" w14:paraId="58FAF26F" w14:textId="77777777" w:rsidTr="00C161B4">
        <w:trPr>
          <w:trHeight w:val="283"/>
        </w:trPr>
        <w:tc>
          <w:tcPr>
            <w:tcW w:w="3010" w:type="dxa"/>
            <w:vAlign w:val="center"/>
          </w:tcPr>
          <w:p w14:paraId="7FAAAEE2" w14:textId="77777777" w:rsidR="00BA0176" w:rsidRDefault="00BA0176" w:rsidP="00C161B4">
            <w:pPr>
              <w:spacing w:before="0" w:after="0"/>
              <w:jc w:val="center"/>
            </w:pPr>
            <w:r>
              <w:t>10</w:t>
            </w:r>
          </w:p>
        </w:tc>
        <w:tc>
          <w:tcPr>
            <w:tcW w:w="3010" w:type="dxa"/>
            <w:vAlign w:val="center"/>
          </w:tcPr>
          <w:p w14:paraId="520400E6" w14:textId="77777777" w:rsidR="00BA0176" w:rsidRDefault="00BA0176" w:rsidP="00C161B4">
            <w:pPr>
              <w:spacing w:before="0" w:after="0"/>
              <w:jc w:val="center"/>
            </w:pPr>
            <w:r>
              <w:t>5</w:t>
            </w:r>
          </w:p>
        </w:tc>
        <w:tc>
          <w:tcPr>
            <w:tcW w:w="3010" w:type="dxa"/>
            <w:vAlign w:val="center"/>
          </w:tcPr>
          <w:p w14:paraId="7EA34780" w14:textId="77777777" w:rsidR="00BA0176" w:rsidRDefault="00BA0176" w:rsidP="00C161B4">
            <w:pPr>
              <w:spacing w:before="0" w:after="0"/>
              <w:jc w:val="center"/>
            </w:pPr>
            <w:r>
              <w:t>10</w:t>
            </w:r>
          </w:p>
        </w:tc>
      </w:tr>
      <w:tr w:rsidR="00BA0176" w14:paraId="33D89C44" w14:textId="77777777" w:rsidTr="00C161B4">
        <w:trPr>
          <w:trHeight w:val="283"/>
        </w:trPr>
        <w:tc>
          <w:tcPr>
            <w:tcW w:w="3010" w:type="dxa"/>
            <w:vAlign w:val="center"/>
          </w:tcPr>
          <w:p w14:paraId="2E336CC2" w14:textId="77777777" w:rsidR="00BA0176" w:rsidRDefault="00BA0176" w:rsidP="00C161B4">
            <w:pPr>
              <w:spacing w:before="0" w:after="0"/>
              <w:jc w:val="center"/>
            </w:pPr>
            <w:r>
              <w:t>9</w:t>
            </w:r>
          </w:p>
        </w:tc>
        <w:tc>
          <w:tcPr>
            <w:tcW w:w="3010" w:type="dxa"/>
            <w:vAlign w:val="center"/>
          </w:tcPr>
          <w:p w14:paraId="05E01F8E" w14:textId="77777777" w:rsidR="00BA0176" w:rsidRDefault="00BA0176" w:rsidP="00C161B4">
            <w:pPr>
              <w:spacing w:before="0" w:after="0"/>
              <w:jc w:val="center"/>
            </w:pPr>
            <w:r>
              <w:t>2.5</w:t>
            </w:r>
          </w:p>
        </w:tc>
        <w:tc>
          <w:tcPr>
            <w:tcW w:w="3010" w:type="dxa"/>
            <w:vAlign w:val="center"/>
          </w:tcPr>
          <w:p w14:paraId="02272C3C" w14:textId="77777777" w:rsidR="00BA0176" w:rsidRDefault="00BA0176" w:rsidP="00C161B4">
            <w:pPr>
              <w:spacing w:before="0" w:after="0"/>
              <w:jc w:val="center"/>
            </w:pPr>
            <w:r>
              <w:t>5</w:t>
            </w:r>
          </w:p>
        </w:tc>
      </w:tr>
      <w:tr w:rsidR="00BA0176" w14:paraId="5B82F284" w14:textId="77777777" w:rsidTr="00C161B4">
        <w:trPr>
          <w:trHeight w:val="283"/>
        </w:trPr>
        <w:tc>
          <w:tcPr>
            <w:tcW w:w="3010" w:type="dxa"/>
            <w:vAlign w:val="center"/>
          </w:tcPr>
          <w:p w14:paraId="17EFA577" w14:textId="77777777" w:rsidR="00BA0176" w:rsidRDefault="00BA0176" w:rsidP="00C161B4">
            <w:pPr>
              <w:spacing w:before="0" w:after="0"/>
              <w:jc w:val="center"/>
            </w:pPr>
            <w:r>
              <w:t>8</w:t>
            </w:r>
          </w:p>
        </w:tc>
        <w:tc>
          <w:tcPr>
            <w:tcW w:w="3010" w:type="dxa"/>
            <w:vAlign w:val="center"/>
          </w:tcPr>
          <w:p w14:paraId="5FAB78A8" w14:textId="77777777" w:rsidR="00BA0176" w:rsidRDefault="00BA0176" w:rsidP="00C161B4">
            <w:pPr>
              <w:spacing w:before="0" w:after="0"/>
              <w:jc w:val="center"/>
            </w:pPr>
            <w:r>
              <w:t>1.3</w:t>
            </w:r>
          </w:p>
        </w:tc>
        <w:tc>
          <w:tcPr>
            <w:tcW w:w="3010" w:type="dxa"/>
            <w:vAlign w:val="center"/>
          </w:tcPr>
          <w:p w14:paraId="5040A83C" w14:textId="77777777" w:rsidR="00BA0176" w:rsidRDefault="00BA0176" w:rsidP="00C161B4">
            <w:pPr>
              <w:spacing w:before="0" w:after="0"/>
              <w:jc w:val="center"/>
            </w:pPr>
            <w:r>
              <w:t>2.5</w:t>
            </w:r>
          </w:p>
        </w:tc>
      </w:tr>
      <w:tr w:rsidR="00BA0176" w14:paraId="125B78C3" w14:textId="77777777" w:rsidTr="00C161B4">
        <w:trPr>
          <w:trHeight w:val="283"/>
        </w:trPr>
        <w:tc>
          <w:tcPr>
            <w:tcW w:w="3010" w:type="dxa"/>
            <w:vAlign w:val="center"/>
          </w:tcPr>
          <w:p w14:paraId="499EA14C" w14:textId="77777777" w:rsidR="00BA0176" w:rsidRDefault="00BA0176" w:rsidP="00C161B4">
            <w:pPr>
              <w:spacing w:before="0" w:after="0"/>
              <w:jc w:val="center"/>
            </w:pPr>
            <w:r>
              <w:t>7</w:t>
            </w:r>
          </w:p>
        </w:tc>
        <w:tc>
          <w:tcPr>
            <w:tcW w:w="3010" w:type="dxa"/>
            <w:vAlign w:val="center"/>
          </w:tcPr>
          <w:p w14:paraId="659EB74D" w14:textId="77777777" w:rsidR="00BA0176" w:rsidRDefault="00BA0176" w:rsidP="00C161B4">
            <w:pPr>
              <w:spacing w:before="0" w:after="0"/>
              <w:jc w:val="center"/>
            </w:pPr>
            <w:r>
              <w:t>0.64</w:t>
            </w:r>
          </w:p>
        </w:tc>
        <w:tc>
          <w:tcPr>
            <w:tcW w:w="3010" w:type="dxa"/>
            <w:vAlign w:val="center"/>
          </w:tcPr>
          <w:p w14:paraId="14EAE4E2" w14:textId="77777777" w:rsidR="00BA0176" w:rsidRDefault="00BA0176" w:rsidP="00C161B4">
            <w:pPr>
              <w:spacing w:before="0" w:after="0"/>
              <w:jc w:val="center"/>
            </w:pPr>
            <w:r>
              <w:t>1.3</w:t>
            </w:r>
          </w:p>
        </w:tc>
      </w:tr>
      <w:tr w:rsidR="00BA0176" w14:paraId="602826FD" w14:textId="77777777" w:rsidTr="00C161B4">
        <w:trPr>
          <w:trHeight w:val="283"/>
        </w:trPr>
        <w:tc>
          <w:tcPr>
            <w:tcW w:w="3010" w:type="dxa"/>
            <w:tcBorders>
              <w:bottom w:val="single" w:sz="4" w:space="0" w:color="auto"/>
            </w:tcBorders>
            <w:vAlign w:val="center"/>
          </w:tcPr>
          <w:p w14:paraId="5A348F54" w14:textId="77777777" w:rsidR="00BA0176" w:rsidRDefault="00BA0176" w:rsidP="00C161B4">
            <w:pPr>
              <w:spacing w:before="0" w:after="0"/>
              <w:jc w:val="center"/>
            </w:pPr>
            <w:r>
              <w:t>6</w:t>
            </w:r>
          </w:p>
        </w:tc>
        <w:tc>
          <w:tcPr>
            <w:tcW w:w="3010" w:type="dxa"/>
            <w:tcBorders>
              <w:bottom w:val="single" w:sz="4" w:space="0" w:color="auto"/>
            </w:tcBorders>
            <w:vAlign w:val="center"/>
          </w:tcPr>
          <w:p w14:paraId="2D6B7617" w14:textId="77777777" w:rsidR="00BA0176" w:rsidRDefault="00BA0176" w:rsidP="00C161B4">
            <w:pPr>
              <w:spacing w:before="0" w:after="0"/>
              <w:jc w:val="center"/>
            </w:pPr>
            <w:r>
              <w:t>0.32</w:t>
            </w:r>
          </w:p>
        </w:tc>
        <w:tc>
          <w:tcPr>
            <w:tcW w:w="3010" w:type="dxa"/>
            <w:tcBorders>
              <w:bottom w:val="single" w:sz="4" w:space="0" w:color="auto"/>
            </w:tcBorders>
            <w:vAlign w:val="center"/>
          </w:tcPr>
          <w:p w14:paraId="0E9E0B67" w14:textId="77777777" w:rsidR="00BA0176" w:rsidRDefault="00BA0176" w:rsidP="00C161B4">
            <w:pPr>
              <w:spacing w:before="0" w:after="0"/>
              <w:jc w:val="center"/>
            </w:pPr>
            <w:r>
              <w:t>0.64</w:t>
            </w:r>
          </w:p>
        </w:tc>
      </w:tr>
    </w:tbl>
    <w:p w14:paraId="7F6C9711" w14:textId="77777777" w:rsidR="00BA0176" w:rsidRPr="000E5811" w:rsidRDefault="00BA0176" w:rsidP="00BA0176"/>
    <w:p w14:paraId="03EC5B3E" w14:textId="77777777" w:rsidR="00BA0176" w:rsidRDefault="00BA0176" w:rsidP="00BA0176">
      <w:pPr>
        <w:spacing w:before="0" w:after="160" w:line="259" w:lineRule="auto"/>
        <w:jc w:val="left"/>
      </w:pPr>
      <w:r>
        <w:br w:type="page"/>
      </w:r>
    </w:p>
    <w:p w14:paraId="1D751AF0" w14:textId="5D18D16F" w:rsidR="00BA0176" w:rsidRDefault="00BA0176" w:rsidP="00BA0176">
      <w:pPr>
        <w:pStyle w:val="Caption"/>
        <w:jc w:val="left"/>
      </w:pPr>
      <w:bookmarkStart w:id="825" w:name="_Toc101274674"/>
      <w:r>
        <w:lastRenderedPageBreak/>
        <w:t xml:space="preserve">Appendix </w:t>
      </w:r>
      <w:fldSimple w:instr=" SEQ Appendix \* ARABIC ">
        <w:r w:rsidR="00587AF0">
          <w:rPr>
            <w:noProof/>
          </w:rPr>
          <w:t>4</w:t>
        </w:r>
      </w:fldSimple>
      <w:r>
        <w:t xml:space="preserve">. Measured values per cycle </w:t>
      </w:r>
      <w:r w:rsidR="00D346FE">
        <w:t>of</w:t>
      </w:r>
      <w:r>
        <w:t xml:space="preserve"> workload and intensity data</w:t>
      </w:r>
      <w:bookmarkEnd w:id="825"/>
    </w:p>
    <w:tbl>
      <w:tblPr>
        <w:tblW w:w="5000" w:type="pct"/>
        <w:tblLook w:val="04A0" w:firstRow="1" w:lastRow="0" w:firstColumn="1" w:lastColumn="0" w:noHBand="0" w:noVBand="1"/>
      </w:tblPr>
      <w:tblGrid>
        <w:gridCol w:w="1169"/>
        <w:gridCol w:w="1267"/>
        <w:gridCol w:w="1208"/>
        <w:gridCol w:w="1749"/>
        <w:gridCol w:w="1094"/>
        <w:gridCol w:w="1208"/>
        <w:gridCol w:w="1332"/>
      </w:tblGrid>
      <w:tr w:rsidR="00BA0176" w:rsidRPr="006B5748" w14:paraId="7810C250" w14:textId="77777777" w:rsidTr="00C161B4">
        <w:trPr>
          <w:trHeight w:val="315"/>
        </w:trPr>
        <w:tc>
          <w:tcPr>
            <w:tcW w:w="1349" w:type="pct"/>
            <w:gridSpan w:val="2"/>
            <w:tcBorders>
              <w:top w:val="single" w:sz="4" w:space="0" w:color="auto"/>
              <w:left w:val="nil"/>
            </w:tcBorders>
            <w:shd w:val="clear" w:color="auto" w:fill="auto"/>
            <w:noWrap/>
            <w:vAlign w:val="center"/>
            <w:hideMark/>
          </w:tcPr>
          <w:p w14:paraId="3097329E" w14:textId="77777777" w:rsidR="00BA0176" w:rsidRPr="006B5748" w:rsidRDefault="00BA0176" w:rsidP="00C161B4">
            <w:pPr>
              <w:spacing w:before="0" w:after="0"/>
              <w:jc w:val="center"/>
              <w:rPr>
                <w:rFonts w:eastAsia="Times New Roman" w:cs="Calibri"/>
                <w:b/>
                <w:bCs/>
                <w:color w:val="000000"/>
                <w:sz w:val="20"/>
                <w:szCs w:val="20"/>
                <w:lang w:val="sr-Latn-RS" w:eastAsia="sr-Latn-RS"/>
              </w:rPr>
            </w:pPr>
            <w:r>
              <w:rPr>
                <w:rFonts w:eastAsia="Times New Roman" w:cs="Calibri"/>
                <w:b/>
                <w:bCs/>
                <w:color w:val="000000"/>
                <w:sz w:val="20"/>
                <w:szCs w:val="20"/>
                <w:lang w:val="sr-Latn-RS" w:eastAsia="sr-Latn-RS"/>
              </w:rPr>
              <w:t>20</w:t>
            </w:r>
            <w:r w:rsidRPr="006B5748">
              <w:rPr>
                <w:rFonts w:eastAsia="Times New Roman" w:cs="Calibri"/>
                <w:b/>
                <w:bCs/>
                <w:color w:val="000000"/>
                <w:sz w:val="20"/>
                <w:szCs w:val="20"/>
                <w:lang w:val="sr-Latn-RS" w:eastAsia="sr-Latn-RS"/>
              </w:rPr>
              <w:t> </w:t>
            </w:r>
            <w:r>
              <w:rPr>
                <w:rFonts w:eastAsia="Times New Roman" w:cs="Calibri"/>
                <w:b/>
                <w:bCs/>
                <w:color w:val="000000"/>
                <w:sz w:val="20"/>
                <w:szCs w:val="20"/>
                <w:lang w:val="sr-Latn-RS" w:eastAsia="sr-Latn-RS"/>
              </w:rPr>
              <w:t>Cycles measured @</w:t>
            </w:r>
          </w:p>
        </w:tc>
        <w:tc>
          <w:tcPr>
            <w:tcW w:w="3651" w:type="pct"/>
            <w:gridSpan w:val="5"/>
            <w:tcBorders>
              <w:top w:val="single" w:sz="4" w:space="0" w:color="auto"/>
              <w:bottom w:val="nil"/>
            </w:tcBorders>
            <w:shd w:val="clear" w:color="auto" w:fill="auto"/>
            <w:noWrap/>
            <w:vAlign w:val="center"/>
            <w:hideMark/>
          </w:tcPr>
          <w:p w14:paraId="337DB18A" w14:textId="77777777" w:rsidR="00BA0176" w:rsidRPr="006B5748" w:rsidRDefault="00BA0176" w:rsidP="00C161B4">
            <w:pPr>
              <w:spacing w:before="0" w:after="0"/>
              <w:jc w:val="center"/>
              <w:rPr>
                <w:rFonts w:eastAsia="Times New Roman" w:cs="Calibri"/>
                <w:b/>
                <w:bCs/>
                <w:color w:val="000000"/>
                <w:sz w:val="20"/>
                <w:szCs w:val="20"/>
                <w:lang w:val="sr-Latn-RS" w:eastAsia="sr-Latn-RS"/>
              </w:rPr>
            </w:pPr>
            <w:r w:rsidRPr="006B5748">
              <w:rPr>
                <w:rFonts w:eastAsia="Times New Roman" w:cs="Calibri"/>
                <w:b/>
                <w:bCs/>
                <w:color w:val="000000"/>
                <w:sz w:val="20"/>
                <w:szCs w:val="20"/>
                <w:lang w:val="sr-Latn-RS" w:eastAsia="sr-Latn-RS"/>
              </w:rPr>
              <w:t>Work Load and intensity</w:t>
            </w:r>
          </w:p>
        </w:tc>
      </w:tr>
      <w:tr w:rsidR="00BA0176" w:rsidRPr="006B5748" w14:paraId="1E9FE977" w14:textId="77777777" w:rsidTr="00C161B4">
        <w:trPr>
          <w:trHeight w:val="360"/>
        </w:trPr>
        <w:tc>
          <w:tcPr>
            <w:tcW w:w="647" w:type="pct"/>
            <w:tcBorders>
              <w:top w:val="nil"/>
              <w:left w:val="nil"/>
              <w:bottom w:val="single" w:sz="4" w:space="0" w:color="auto"/>
            </w:tcBorders>
            <w:shd w:val="clear" w:color="auto" w:fill="auto"/>
            <w:noWrap/>
            <w:vAlign w:val="center"/>
            <w:hideMark/>
          </w:tcPr>
          <w:p w14:paraId="35FB6655" w14:textId="77777777" w:rsidR="00BA0176" w:rsidRPr="006B5748" w:rsidRDefault="00BA0176" w:rsidP="00C161B4">
            <w:pPr>
              <w:spacing w:before="0" w:after="0"/>
              <w:jc w:val="center"/>
              <w:rPr>
                <w:rFonts w:eastAsia="Times New Roman" w:cs="Calibri"/>
                <w:b/>
                <w:bCs/>
                <w:color w:val="000000"/>
                <w:sz w:val="20"/>
                <w:szCs w:val="20"/>
                <w:lang w:val="sr-Latn-RS" w:eastAsia="sr-Latn-RS"/>
              </w:rPr>
            </w:pPr>
            <w:r>
              <w:rPr>
                <w:rFonts w:eastAsia="Times New Roman" w:cs="Calibri"/>
                <w:b/>
                <w:bCs/>
                <w:color w:val="000000"/>
                <w:sz w:val="20"/>
                <w:szCs w:val="20"/>
                <w:lang w:val="sr-Latn-RS" w:eastAsia="sr-Latn-RS"/>
              </w:rPr>
              <w:t>n</w:t>
            </w:r>
          </w:p>
        </w:tc>
        <w:tc>
          <w:tcPr>
            <w:tcW w:w="702" w:type="pct"/>
            <w:tcBorders>
              <w:top w:val="nil"/>
              <w:bottom w:val="single" w:sz="4" w:space="0" w:color="auto"/>
            </w:tcBorders>
            <w:shd w:val="clear" w:color="auto" w:fill="auto"/>
            <w:noWrap/>
            <w:vAlign w:val="center"/>
            <w:hideMark/>
          </w:tcPr>
          <w:p w14:paraId="08919AAE" w14:textId="77777777" w:rsidR="00BA0176" w:rsidRPr="006B5748" w:rsidRDefault="00BA0176" w:rsidP="00C161B4">
            <w:pPr>
              <w:spacing w:before="0" w:after="0"/>
              <w:jc w:val="center"/>
              <w:rPr>
                <w:rFonts w:eastAsia="Times New Roman" w:cs="Calibri"/>
                <w:b/>
                <w:bCs/>
                <w:color w:val="000000"/>
                <w:sz w:val="20"/>
                <w:szCs w:val="20"/>
                <w:lang w:val="sr-Latn-RS" w:eastAsia="sr-Latn-RS"/>
              </w:rPr>
            </w:pPr>
            <w:r w:rsidRPr="006B5748">
              <w:rPr>
                <w:rFonts w:eastAsia="Times New Roman" w:cs="Calibri"/>
                <w:b/>
                <w:bCs/>
                <w:color w:val="000000"/>
                <w:sz w:val="20"/>
                <w:szCs w:val="20"/>
                <w:lang w:val="sr-Latn-RS" w:eastAsia="sr-Latn-RS"/>
              </w:rPr>
              <w:t>Date</w:t>
            </w:r>
          </w:p>
        </w:tc>
        <w:tc>
          <w:tcPr>
            <w:tcW w:w="669" w:type="pct"/>
            <w:tcBorders>
              <w:top w:val="nil"/>
              <w:bottom w:val="single" w:sz="4" w:space="0" w:color="auto"/>
            </w:tcBorders>
            <w:shd w:val="clear" w:color="auto" w:fill="auto"/>
            <w:noWrap/>
            <w:vAlign w:val="center"/>
            <w:hideMark/>
          </w:tcPr>
          <w:p w14:paraId="54E7C9D8" w14:textId="77777777" w:rsidR="00BA0176" w:rsidRPr="006B5748" w:rsidRDefault="00BA0176" w:rsidP="00C161B4">
            <w:pPr>
              <w:spacing w:before="0" w:after="0"/>
              <w:jc w:val="center"/>
              <w:rPr>
                <w:rFonts w:eastAsia="Times New Roman" w:cs="Calibri"/>
                <w:b/>
                <w:bCs/>
                <w:color w:val="000000"/>
                <w:sz w:val="20"/>
                <w:szCs w:val="20"/>
                <w:lang w:val="sr-Latn-RS" w:eastAsia="sr-Latn-RS"/>
              </w:rPr>
            </w:pPr>
            <w:r w:rsidRPr="006B5748">
              <w:rPr>
                <w:rFonts w:eastAsia="Times New Roman" w:cs="Calibri"/>
                <w:b/>
                <w:bCs/>
                <w:color w:val="000000"/>
                <w:sz w:val="20"/>
                <w:szCs w:val="20"/>
                <w:lang w:val="sr-Latn-RS" w:eastAsia="sr-Latn-RS"/>
              </w:rPr>
              <w:t>Pre_cycles</w:t>
            </w:r>
          </w:p>
        </w:tc>
        <w:tc>
          <w:tcPr>
            <w:tcW w:w="969" w:type="pct"/>
            <w:tcBorders>
              <w:top w:val="nil"/>
              <w:bottom w:val="single" w:sz="4" w:space="0" w:color="auto"/>
            </w:tcBorders>
            <w:shd w:val="clear" w:color="auto" w:fill="auto"/>
            <w:noWrap/>
            <w:vAlign w:val="center"/>
            <w:hideMark/>
          </w:tcPr>
          <w:p w14:paraId="5B374BFE" w14:textId="77777777" w:rsidR="00BA0176" w:rsidRPr="006B5748" w:rsidRDefault="00BA0176" w:rsidP="00C161B4">
            <w:pPr>
              <w:spacing w:before="0" w:after="0"/>
              <w:jc w:val="center"/>
              <w:rPr>
                <w:rFonts w:eastAsia="Times New Roman" w:cs="Calibri"/>
                <w:b/>
                <w:bCs/>
                <w:color w:val="000000"/>
                <w:sz w:val="20"/>
                <w:szCs w:val="20"/>
                <w:lang w:val="sr-Latn-RS" w:eastAsia="sr-Latn-RS"/>
              </w:rPr>
            </w:pPr>
            <w:r w:rsidRPr="006B5748">
              <w:rPr>
                <w:rFonts w:eastAsia="Times New Roman" w:cs="Calibri"/>
                <w:b/>
                <w:bCs/>
                <w:color w:val="000000"/>
                <w:sz w:val="20"/>
                <w:szCs w:val="20"/>
                <w:lang w:val="sr-Latn-RS" w:eastAsia="sr-Latn-RS"/>
              </w:rPr>
              <w:t>Prod_cyc [daily]</w:t>
            </w:r>
          </w:p>
        </w:tc>
        <w:tc>
          <w:tcPr>
            <w:tcW w:w="606" w:type="pct"/>
            <w:tcBorders>
              <w:top w:val="nil"/>
              <w:bottom w:val="single" w:sz="4" w:space="0" w:color="auto"/>
            </w:tcBorders>
            <w:shd w:val="clear" w:color="auto" w:fill="auto"/>
            <w:noWrap/>
            <w:vAlign w:val="center"/>
            <w:hideMark/>
          </w:tcPr>
          <w:p w14:paraId="736B3805" w14:textId="77777777" w:rsidR="00BA0176" w:rsidRPr="006B5748" w:rsidRDefault="00BA0176" w:rsidP="00C161B4">
            <w:pPr>
              <w:spacing w:before="0" w:after="0"/>
              <w:jc w:val="center"/>
              <w:rPr>
                <w:rFonts w:eastAsia="Times New Roman" w:cs="Calibri"/>
                <w:b/>
                <w:bCs/>
                <w:color w:val="000000"/>
                <w:sz w:val="20"/>
                <w:szCs w:val="20"/>
                <w:lang w:val="sr-Latn-RS" w:eastAsia="sr-Latn-RS"/>
              </w:rPr>
            </w:pPr>
            <w:r w:rsidRPr="006B5748">
              <w:rPr>
                <w:rFonts w:eastAsia="Times New Roman" w:cs="Calibri"/>
                <w:b/>
                <w:bCs/>
                <w:color w:val="000000"/>
                <w:sz w:val="20"/>
                <w:szCs w:val="20"/>
                <w:lang w:val="sr-Latn-RS" w:eastAsia="sr-Latn-RS"/>
              </w:rPr>
              <w:t>HS_Time</w:t>
            </w:r>
          </w:p>
        </w:tc>
        <w:tc>
          <w:tcPr>
            <w:tcW w:w="669" w:type="pct"/>
            <w:tcBorders>
              <w:top w:val="nil"/>
              <w:bottom w:val="single" w:sz="4" w:space="0" w:color="auto"/>
            </w:tcBorders>
            <w:shd w:val="clear" w:color="auto" w:fill="auto"/>
            <w:noWrap/>
            <w:vAlign w:val="center"/>
            <w:hideMark/>
          </w:tcPr>
          <w:p w14:paraId="73511578" w14:textId="77777777" w:rsidR="00BA0176" w:rsidRPr="006B5748" w:rsidRDefault="00BA0176" w:rsidP="00C161B4">
            <w:pPr>
              <w:spacing w:before="0" w:after="0"/>
              <w:jc w:val="center"/>
              <w:rPr>
                <w:rFonts w:eastAsia="Times New Roman" w:cs="Calibri"/>
                <w:b/>
                <w:bCs/>
                <w:color w:val="000000"/>
                <w:sz w:val="20"/>
                <w:szCs w:val="20"/>
                <w:lang w:val="sr-Latn-RS" w:eastAsia="sr-Latn-RS"/>
              </w:rPr>
            </w:pPr>
            <w:r w:rsidRPr="006B5748">
              <w:rPr>
                <w:rFonts w:eastAsia="Times New Roman" w:cs="Calibri"/>
                <w:b/>
                <w:bCs/>
                <w:color w:val="000000"/>
                <w:sz w:val="20"/>
                <w:szCs w:val="20"/>
                <w:lang w:val="sr-Latn-RS" w:eastAsia="sr-Latn-RS"/>
              </w:rPr>
              <w:t>HS_idle</w:t>
            </w:r>
          </w:p>
        </w:tc>
        <w:tc>
          <w:tcPr>
            <w:tcW w:w="739" w:type="pct"/>
            <w:tcBorders>
              <w:top w:val="nil"/>
              <w:bottom w:val="single" w:sz="4" w:space="0" w:color="auto"/>
            </w:tcBorders>
            <w:shd w:val="clear" w:color="auto" w:fill="auto"/>
            <w:noWrap/>
            <w:vAlign w:val="center"/>
            <w:hideMark/>
          </w:tcPr>
          <w:p w14:paraId="08B18DF7" w14:textId="77777777" w:rsidR="00BA0176" w:rsidRPr="006B5748" w:rsidRDefault="00BA0176" w:rsidP="00C161B4">
            <w:pPr>
              <w:spacing w:before="0" w:after="0"/>
              <w:jc w:val="center"/>
              <w:rPr>
                <w:rFonts w:eastAsia="Times New Roman" w:cs="Calibri"/>
                <w:b/>
                <w:bCs/>
                <w:color w:val="000000"/>
                <w:sz w:val="20"/>
                <w:szCs w:val="20"/>
                <w:lang w:val="sr-Latn-RS" w:eastAsia="sr-Latn-RS"/>
              </w:rPr>
            </w:pPr>
            <w:r w:rsidRPr="006B5748">
              <w:rPr>
                <w:rFonts w:eastAsia="Times New Roman" w:cs="Calibri"/>
                <w:b/>
                <w:bCs/>
                <w:color w:val="000000"/>
                <w:sz w:val="20"/>
                <w:szCs w:val="20"/>
                <w:lang w:val="sr-Latn-RS" w:eastAsia="sr-Latn-RS"/>
              </w:rPr>
              <w:t>[kg] per 20n</w:t>
            </w:r>
          </w:p>
        </w:tc>
      </w:tr>
      <w:tr w:rsidR="00BA0176" w:rsidRPr="006B5748" w14:paraId="4F18DE3A" w14:textId="77777777" w:rsidTr="00C161B4">
        <w:trPr>
          <w:trHeight w:val="315"/>
        </w:trPr>
        <w:tc>
          <w:tcPr>
            <w:tcW w:w="647" w:type="pct"/>
            <w:tcBorders>
              <w:top w:val="single" w:sz="4" w:space="0" w:color="auto"/>
              <w:left w:val="nil"/>
              <w:bottom w:val="nil"/>
            </w:tcBorders>
            <w:shd w:val="clear" w:color="auto" w:fill="auto"/>
            <w:noWrap/>
            <w:vAlign w:val="center"/>
            <w:hideMark/>
          </w:tcPr>
          <w:p w14:paraId="77CC3E90"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165</w:t>
            </w:r>
          </w:p>
        </w:tc>
        <w:tc>
          <w:tcPr>
            <w:tcW w:w="702" w:type="pct"/>
            <w:tcBorders>
              <w:top w:val="single" w:sz="4" w:space="0" w:color="auto"/>
              <w:bottom w:val="nil"/>
            </w:tcBorders>
            <w:shd w:val="clear" w:color="auto" w:fill="auto"/>
            <w:noWrap/>
            <w:vAlign w:val="center"/>
            <w:hideMark/>
          </w:tcPr>
          <w:p w14:paraId="71890D53"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6.10.2021</w:t>
            </w:r>
          </w:p>
        </w:tc>
        <w:tc>
          <w:tcPr>
            <w:tcW w:w="669" w:type="pct"/>
            <w:tcBorders>
              <w:top w:val="single" w:sz="4" w:space="0" w:color="auto"/>
              <w:bottom w:val="nil"/>
            </w:tcBorders>
            <w:shd w:val="clear" w:color="auto" w:fill="auto"/>
            <w:noWrap/>
            <w:vAlign w:val="center"/>
            <w:hideMark/>
          </w:tcPr>
          <w:p w14:paraId="31D12276"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165.0000</w:t>
            </w:r>
          </w:p>
        </w:tc>
        <w:tc>
          <w:tcPr>
            <w:tcW w:w="969" w:type="pct"/>
            <w:tcBorders>
              <w:top w:val="single" w:sz="4" w:space="0" w:color="auto"/>
              <w:bottom w:val="nil"/>
            </w:tcBorders>
            <w:shd w:val="clear" w:color="auto" w:fill="auto"/>
            <w:noWrap/>
            <w:vAlign w:val="center"/>
            <w:hideMark/>
          </w:tcPr>
          <w:p w14:paraId="3F23E5B4"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355.0000</w:t>
            </w:r>
          </w:p>
        </w:tc>
        <w:tc>
          <w:tcPr>
            <w:tcW w:w="606" w:type="pct"/>
            <w:tcBorders>
              <w:top w:val="single" w:sz="4" w:space="0" w:color="auto"/>
              <w:bottom w:val="nil"/>
            </w:tcBorders>
            <w:shd w:val="clear" w:color="auto" w:fill="auto"/>
            <w:noWrap/>
            <w:vAlign w:val="center"/>
            <w:hideMark/>
          </w:tcPr>
          <w:p w14:paraId="5F300640"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398.4200</w:t>
            </w:r>
          </w:p>
        </w:tc>
        <w:tc>
          <w:tcPr>
            <w:tcW w:w="669" w:type="pct"/>
            <w:tcBorders>
              <w:top w:val="single" w:sz="4" w:space="0" w:color="auto"/>
              <w:bottom w:val="nil"/>
            </w:tcBorders>
            <w:shd w:val="clear" w:color="auto" w:fill="auto"/>
            <w:noWrap/>
            <w:vAlign w:val="center"/>
            <w:hideMark/>
          </w:tcPr>
          <w:p w14:paraId="506CB99D"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3897.5800</w:t>
            </w:r>
          </w:p>
        </w:tc>
        <w:tc>
          <w:tcPr>
            <w:tcW w:w="739" w:type="pct"/>
            <w:tcBorders>
              <w:top w:val="single" w:sz="4" w:space="0" w:color="auto"/>
              <w:bottom w:val="nil"/>
            </w:tcBorders>
            <w:shd w:val="clear" w:color="auto" w:fill="auto"/>
            <w:noWrap/>
            <w:vAlign w:val="center"/>
            <w:hideMark/>
          </w:tcPr>
          <w:p w14:paraId="7619993E"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4067.8700</w:t>
            </w:r>
          </w:p>
        </w:tc>
      </w:tr>
      <w:tr w:rsidR="00BA0176" w:rsidRPr="006B5748" w14:paraId="49328B42" w14:textId="77777777" w:rsidTr="00C161B4">
        <w:trPr>
          <w:trHeight w:val="315"/>
        </w:trPr>
        <w:tc>
          <w:tcPr>
            <w:tcW w:w="647" w:type="pct"/>
            <w:tcBorders>
              <w:top w:val="nil"/>
              <w:left w:val="nil"/>
              <w:bottom w:val="nil"/>
            </w:tcBorders>
            <w:shd w:val="clear" w:color="auto" w:fill="auto"/>
            <w:noWrap/>
            <w:vAlign w:val="center"/>
            <w:hideMark/>
          </w:tcPr>
          <w:p w14:paraId="081236E8"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432</w:t>
            </w:r>
          </w:p>
        </w:tc>
        <w:tc>
          <w:tcPr>
            <w:tcW w:w="702" w:type="pct"/>
            <w:tcBorders>
              <w:top w:val="nil"/>
              <w:bottom w:val="nil"/>
            </w:tcBorders>
            <w:shd w:val="clear" w:color="auto" w:fill="auto"/>
            <w:noWrap/>
            <w:vAlign w:val="center"/>
            <w:hideMark/>
          </w:tcPr>
          <w:p w14:paraId="3DD121F9"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7.10.2021</w:t>
            </w:r>
          </w:p>
        </w:tc>
        <w:tc>
          <w:tcPr>
            <w:tcW w:w="669" w:type="pct"/>
            <w:tcBorders>
              <w:top w:val="nil"/>
              <w:bottom w:val="nil"/>
            </w:tcBorders>
            <w:shd w:val="clear" w:color="auto" w:fill="auto"/>
            <w:noWrap/>
            <w:vAlign w:val="center"/>
            <w:hideMark/>
          </w:tcPr>
          <w:p w14:paraId="1B111012"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267.0000</w:t>
            </w:r>
          </w:p>
        </w:tc>
        <w:tc>
          <w:tcPr>
            <w:tcW w:w="969" w:type="pct"/>
            <w:tcBorders>
              <w:top w:val="nil"/>
              <w:bottom w:val="nil"/>
            </w:tcBorders>
            <w:shd w:val="clear" w:color="auto" w:fill="auto"/>
            <w:noWrap/>
            <w:vAlign w:val="center"/>
            <w:hideMark/>
          </w:tcPr>
          <w:p w14:paraId="78A2485E"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374.0000</w:t>
            </w:r>
          </w:p>
        </w:tc>
        <w:tc>
          <w:tcPr>
            <w:tcW w:w="606" w:type="pct"/>
            <w:tcBorders>
              <w:top w:val="nil"/>
              <w:bottom w:val="nil"/>
            </w:tcBorders>
            <w:shd w:val="clear" w:color="auto" w:fill="auto"/>
            <w:noWrap/>
            <w:vAlign w:val="center"/>
            <w:hideMark/>
          </w:tcPr>
          <w:p w14:paraId="04BF4972"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632.7300</w:t>
            </w:r>
          </w:p>
        </w:tc>
        <w:tc>
          <w:tcPr>
            <w:tcW w:w="669" w:type="pct"/>
            <w:tcBorders>
              <w:top w:val="nil"/>
              <w:bottom w:val="nil"/>
            </w:tcBorders>
            <w:shd w:val="clear" w:color="auto" w:fill="auto"/>
            <w:noWrap/>
            <w:vAlign w:val="center"/>
            <w:hideMark/>
          </w:tcPr>
          <w:p w14:paraId="3971414D"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5173.2700</w:t>
            </w:r>
          </w:p>
        </w:tc>
        <w:tc>
          <w:tcPr>
            <w:tcW w:w="739" w:type="pct"/>
            <w:tcBorders>
              <w:top w:val="nil"/>
              <w:bottom w:val="nil"/>
            </w:tcBorders>
            <w:shd w:val="clear" w:color="auto" w:fill="auto"/>
            <w:noWrap/>
            <w:vAlign w:val="center"/>
            <w:hideMark/>
          </w:tcPr>
          <w:p w14:paraId="48E30B3A"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4315.1500</w:t>
            </w:r>
          </w:p>
        </w:tc>
      </w:tr>
      <w:tr w:rsidR="00BA0176" w:rsidRPr="006B5748" w14:paraId="7AB94051" w14:textId="77777777" w:rsidTr="00C161B4">
        <w:trPr>
          <w:trHeight w:val="300"/>
        </w:trPr>
        <w:tc>
          <w:tcPr>
            <w:tcW w:w="647" w:type="pct"/>
            <w:tcBorders>
              <w:top w:val="nil"/>
              <w:left w:val="nil"/>
              <w:bottom w:val="nil"/>
            </w:tcBorders>
            <w:shd w:val="clear" w:color="auto" w:fill="auto"/>
            <w:noWrap/>
            <w:vAlign w:val="center"/>
            <w:hideMark/>
          </w:tcPr>
          <w:p w14:paraId="33153EFD"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818</w:t>
            </w:r>
          </w:p>
        </w:tc>
        <w:tc>
          <w:tcPr>
            <w:tcW w:w="702" w:type="pct"/>
            <w:tcBorders>
              <w:top w:val="nil"/>
              <w:bottom w:val="nil"/>
            </w:tcBorders>
            <w:shd w:val="clear" w:color="auto" w:fill="auto"/>
            <w:noWrap/>
            <w:vAlign w:val="center"/>
            <w:hideMark/>
          </w:tcPr>
          <w:p w14:paraId="511E4BD9"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8.10.2021</w:t>
            </w:r>
          </w:p>
        </w:tc>
        <w:tc>
          <w:tcPr>
            <w:tcW w:w="669" w:type="pct"/>
            <w:tcBorders>
              <w:top w:val="nil"/>
              <w:bottom w:val="nil"/>
            </w:tcBorders>
            <w:shd w:val="clear" w:color="auto" w:fill="auto"/>
            <w:noWrap/>
            <w:vAlign w:val="center"/>
            <w:hideMark/>
          </w:tcPr>
          <w:p w14:paraId="125098CE"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386.0000</w:t>
            </w:r>
          </w:p>
        </w:tc>
        <w:tc>
          <w:tcPr>
            <w:tcW w:w="969" w:type="pct"/>
            <w:tcBorders>
              <w:top w:val="nil"/>
              <w:bottom w:val="nil"/>
            </w:tcBorders>
            <w:shd w:val="clear" w:color="auto" w:fill="auto"/>
            <w:noWrap/>
            <w:vAlign w:val="center"/>
            <w:hideMark/>
          </w:tcPr>
          <w:p w14:paraId="3902C990"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388.0000</w:t>
            </w:r>
          </w:p>
        </w:tc>
        <w:tc>
          <w:tcPr>
            <w:tcW w:w="606" w:type="pct"/>
            <w:tcBorders>
              <w:top w:val="nil"/>
              <w:bottom w:val="nil"/>
            </w:tcBorders>
            <w:shd w:val="clear" w:color="auto" w:fill="auto"/>
            <w:noWrap/>
            <w:vAlign w:val="center"/>
            <w:hideMark/>
          </w:tcPr>
          <w:p w14:paraId="3AFB7207"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477.8900</w:t>
            </w:r>
          </w:p>
        </w:tc>
        <w:tc>
          <w:tcPr>
            <w:tcW w:w="669" w:type="pct"/>
            <w:tcBorders>
              <w:top w:val="nil"/>
              <w:bottom w:val="nil"/>
            </w:tcBorders>
            <w:shd w:val="clear" w:color="auto" w:fill="auto"/>
            <w:noWrap/>
            <w:vAlign w:val="center"/>
            <w:hideMark/>
          </w:tcPr>
          <w:p w14:paraId="5B5252C7"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7263.1100</w:t>
            </w:r>
          </w:p>
        </w:tc>
        <w:tc>
          <w:tcPr>
            <w:tcW w:w="739" w:type="pct"/>
            <w:tcBorders>
              <w:top w:val="nil"/>
              <w:bottom w:val="nil"/>
            </w:tcBorders>
            <w:shd w:val="clear" w:color="auto" w:fill="auto"/>
            <w:noWrap/>
            <w:vAlign w:val="center"/>
            <w:hideMark/>
          </w:tcPr>
          <w:p w14:paraId="003E8D24"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4376.6800</w:t>
            </w:r>
          </w:p>
        </w:tc>
      </w:tr>
      <w:tr w:rsidR="00BA0176" w:rsidRPr="006B5748" w14:paraId="752AD716" w14:textId="77777777" w:rsidTr="00C161B4">
        <w:trPr>
          <w:trHeight w:val="300"/>
        </w:trPr>
        <w:tc>
          <w:tcPr>
            <w:tcW w:w="647" w:type="pct"/>
            <w:tcBorders>
              <w:top w:val="nil"/>
              <w:left w:val="nil"/>
              <w:bottom w:val="nil"/>
            </w:tcBorders>
            <w:shd w:val="clear" w:color="auto" w:fill="auto"/>
            <w:noWrap/>
            <w:vAlign w:val="center"/>
            <w:hideMark/>
          </w:tcPr>
          <w:p w14:paraId="2FE56401"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2897</w:t>
            </w:r>
          </w:p>
        </w:tc>
        <w:tc>
          <w:tcPr>
            <w:tcW w:w="702" w:type="pct"/>
            <w:tcBorders>
              <w:top w:val="nil"/>
              <w:bottom w:val="nil"/>
            </w:tcBorders>
            <w:shd w:val="clear" w:color="auto" w:fill="auto"/>
            <w:noWrap/>
            <w:vAlign w:val="center"/>
            <w:hideMark/>
          </w:tcPr>
          <w:p w14:paraId="0E3A56E7"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14.10.2021</w:t>
            </w:r>
          </w:p>
        </w:tc>
        <w:tc>
          <w:tcPr>
            <w:tcW w:w="669" w:type="pct"/>
            <w:tcBorders>
              <w:top w:val="nil"/>
              <w:bottom w:val="nil"/>
            </w:tcBorders>
            <w:shd w:val="clear" w:color="auto" w:fill="auto"/>
            <w:noWrap/>
            <w:vAlign w:val="center"/>
            <w:hideMark/>
          </w:tcPr>
          <w:p w14:paraId="6F249BE7"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2079.0000</w:t>
            </w:r>
          </w:p>
        </w:tc>
        <w:tc>
          <w:tcPr>
            <w:tcW w:w="969" w:type="pct"/>
            <w:tcBorders>
              <w:top w:val="nil"/>
              <w:bottom w:val="nil"/>
            </w:tcBorders>
            <w:shd w:val="clear" w:color="auto" w:fill="auto"/>
            <w:noWrap/>
            <w:vAlign w:val="center"/>
            <w:hideMark/>
          </w:tcPr>
          <w:p w14:paraId="6A7DF1C3"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393.0000</w:t>
            </w:r>
          </w:p>
        </w:tc>
        <w:tc>
          <w:tcPr>
            <w:tcW w:w="606" w:type="pct"/>
            <w:tcBorders>
              <w:top w:val="nil"/>
              <w:bottom w:val="nil"/>
            </w:tcBorders>
            <w:shd w:val="clear" w:color="auto" w:fill="auto"/>
            <w:noWrap/>
            <w:vAlign w:val="center"/>
            <w:hideMark/>
          </w:tcPr>
          <w:p w14:paraId="7CB0C7FD"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400.4400</w:t>
            </w:r>
          </w:p>
        </w:tc>
        <w:tc>
          <w:tcPr>
            <w:tcW w:w="669" w:type="pct"/>
            <w:tcBorders>
              <w:top w:val="nil"/>
              <w:bottom w:val="nil"/>
            </w:tcBorders>
            <w:shd w:val="clear" w:color="auto" w:fill="auto"/>
            <w:noWrap/>
            <w:vAlign w:val="center"/>
            <w:hideMark/>
          </w:tcPr>
          <w:p w14:paraId="24F5224F"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3606.5600</w:t>
            </w:r>
          </w:p>
        </w:tc>
        <w:tc>
          <w:tcPr>
            <w:tcW w:w="739" w:type="pct"/>
            <w:tcBorders>
              <w:top w:val="nil"/>
              <w:bottom w:val="nil"/>
            </w:tcBorders>
            <w:shd w:val="clear" w:color="auto" w:fill="auto"/>
            <w:noWrap/>
            <w:vAlign w:val="center"/>
            <w:hideMark/>
          </w:tcPr>
          <w:p w14:paraId="6B31EBAA"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4645.6000</w:t>
            </w:r>
          </w:p>
        </w:tc>
      </w:tr>
      <w:tr w:rsidR="00BA0176" w:rsidRPr="006B5748" w14:paraId="1E472A49" w14:textId="77777777" w:rsidTr="00C161B4">
        <w:trPr>
          <w:trHeight w:val="300"/>
        </w:trPr>
        <w:tc>
          <w:tcPr>
            <w:tcW w:w="647" w:type="pct"/>
            <w:tcBorders>
              <w:top w:val="nil"/>
              <w:left w:val="nil"/>
              <w:bottom w:val="nil"/>
            </w:tcBorders>
            <w:shd w:val="clear" w:color="auto" w:fill="auto"/>
            <w:noWrap/>
            <w:vAlign w:val="center"/>
            <w:hideMark/>
          </w:tcPr>
          <w:p w14:paraId="078A4A6D"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3257</w:t>
            </w:r>
          </w:p>
        </w:tc>
        <w:tc>
          <w:tcPr>
            <w:tcW w:w="702" w:type="pct"/>
            <w:tcBorders>
              <w:top w:val="nil"/>
              <w:bottom w:val="nil"/>
            </w:tcBorders>
            <w:shd w:val="clear" w:color="auto" w:fill="auto"/>
            <w:noWrap/>
            <w:vAlign w:val="center"/>
            <w:hideMark/>
          </w:tcPr>
          <w:p w14:paraId="5F55EC92"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15.10.2021</w:t>
            </w:r>
          </w:p>
        </w:tc>
        <w:tc>
          <w:tcPr>
            <w:tcW w:w="669" w:type="pct"/>
            <w:tcBorders>
              <w:top w:val="nil"/>
              <w:bottom w:val="nil"/>
            </w:tcBorders>
            <w:shd w:val="clear" w:color="auto" w:fill="auto"/>
            <w:noWrap/>
            <w:vAlign w:val="center"/>
            <w:hideMark/>
          </w:tcPr>
          <w:p w14:paraId="7E6186FC"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360.0000</w:t>
            </w:r>
          </w:p>
        </w:tc>
        <w:tc>
          <w:tcPr>
            <w:tcW w:w="969" w:type="pct"/>
            <w:tcBorders>
              <w:top w:val="nil"/>
              <w:bottom w:val="nil"/>
            </w:tcBorders>
            <w:shd w:val="clear" w:color="auto" w:fill="auto"/>
            <w:noWrap/>
            <w:vAlign w:val="center"/>
            <w:hideMark/>
          </w:tcPr>
          <w:p w14:paraId="7E846B9A"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434.0000</w:t>
            </w:r>
          </w:p>
        </w:tc>
        <w:tc>
          <w:tcPr>
            <w:tcW w:w="606" w:type="pct"/>
            <w:tcBorders>
              <w:top w:val="nil"/>
              <w:bottom w:val="nil"/>
            </w:tcBorders>
            <w:shd w:val="clear" w:color="auto" w:fill="auto"/>
            <w:noWrap/>
            <w:vAlign w:val="center"/>
            <w:hideMark/>
          </w:tcPr>
          <w:p w14:paraId="3920EF1A"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393.0200</w:t>
            </w:r>
          </w:p>
        </w:tc>
        <w:tc>
          <w:tcPr>
            <w:tcW w:w="669" w:type="pct"/>
            <w:tcBorders>
              <w:top w:val="nil"/>
              <w:bottom w:val="nil"/>
            </w:tcBorders>
            <w:shd w:val="clear" w:color="auto" w:fill="auto"/>
            <w:noWrap/>
            <w:vAlign w:val="center"/>
            <w:hideMark/>
          </w:tcPr>
          <w:p w14:paraId="3F819189"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5966.9800</w:t>
            </w:r>
          </w:p>
        </w:tc>
        <w:tc>
          <w:tcPr>
            <w:tcW w:w="739" w:type="pct"/>
            <w:tcBorders>
              <w:top w:val="nil"/>
              <w:bottom w:val="nil"/>
            </w:tcBorders>
            <w:shd w:val="clear" w:color="auto" w:fill="auto"/>
            <w:noWrap/>
            <w:vAlign w:val="center"/>
            <w:hideMark/>
          </w:tcPr>
          <w:p w14:paraId="68B90D7C"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4684.4000</w:t>
            </w:r>
          </w:p>
        </w:tc>
      </w:tr>
      <w:tr w:rsidR="00BA0176" w:rsidRPr="006B5748" w14:paraId="6C4C2BBC" w14:textId="77777777" w:rsidTr="00C161B4">
        <w:trPr>
          <w:trHeight w:val="300"/>
        </w:trPr>
        <w:tc>
          <w:tcPr>
            <w:tcW w:w="647" w:type="pct"/>
            <w:tcBorders>
              <w:top w:val="nil"/>
              <w:left w:val="nil"/>
              <w:bottom w:val="nil"/>
            </w:tcBorders>
            <w:shd w:val="clear" w:color="auto" w:fill="auto"/>
            <w:noWrap/>
            <w:vAlign w:val="center"/>
            <w:hideMark/>
          </w:tcPr>
          <w:p w14:paraId="2B2DFD00"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4443</w:t>
            </w:r>
          </w:p>
        </w:tc>
        <w:tc>
          <w:tcPr>
            <w:tcW w:w="702" w:type="pct"/>
            <w:tcBorders>
              <w:top w:val="nil"/>
              <w:bottom w:val="nil"/>
            </w:tcBorders>
            <w:shd w:val="clear" w:color="auto" w:fill="auto"/>
            <w:noWrap/>
            <w:vAlign w:val="center"/>
            <w:hideMark/>
          </w:tcPr>
          <w:p w14:paraId="1E4FB19C"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18.10.2021</w:t>
            </w:r>
          </w:p>
        </w:tc>
        <w:tc>
          <w:tcPr>
            <w:tcW w:w="669" w:type="pct"/>
            <w:tcBorders>
              <w:top w:val="nil"/>
              <w:bottom w:val="nil"/>
            </w:tcBorders>
            <w:shd w:val="clear" w:color="auto" w:fill="auto"/>
            <w:noWrap/>
            <w:vAlign w:val="center"/>
            <w:hideMark/>
          </w:tcPr>
          <w:p w14:paraId="725D6185"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1186.0000</w:t>
            </w:r>
          </w:p>
        </w:tc>
        <w:tc>
          <w:tcPr>
            <w:tcW w:w="969" w:type="pct"/>
            <w:tcBorders>
              <w:top w:val="nil"/>
              <w:bottom w:val="nil"/>
            </w:tcBorders>
            <w:shd w:val="clear" w:color="auto" w:fill="auto"/>
            <w:noWrap/>
            <w:vAlign w:val="center"/>
            <w:hideMark/>
          </w:tcPr>
          <w:p w14:paraId="03731FD5"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370.0000</w:t>
            </w:r>
          </w:p>
        </w:tc>
        <w:tc>
          <w:tcPr>
            <w:tcW w:w="606" w:type="pct"/>
            <w:tcBorders>
              <w:top w:val="nil"/>
              <w:bottom w:val="nil"/>
            </w:tcBorders>
            <w:shd w:val="clear" w:color="auto" w:fill="auto"/>
            <w:noWrap/>
            <w:vAlign w:val="center"/>
            <w:hideMark/>
          </w:tcPr>
          <w:p w14:paraId="7298F33C"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393.0200</w:t>
            </w:r>
          </w:p>
        </w:tc>
        <w:tc>
          <w:tcPr>
            <w:tcW w:w="669" w:type="pct"/>
            <w:tcBorders>
              <w:top w:val="nil"/>
              <w:bottom w:val="nil"/>
            </w:tcBorders>
            <w:shd w:val="clear" w:color="auto" w:fill="auto"/>
            <w:noWrap/>
            <w:vAlign w:val="center"/>
            <w:hideMark/>
          </w:tcPr>
          <w:p w14:paraId="70B84239"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5242.9800</w:t>
            </w:r>
          </w:p>
        </w:tc>
        <w:tc>
          <w:tcPr>
            <w:tcW w:w="739" w:type="pct"/>
            <w:tcBorders>
              <w:top w:val="nil"/>
              <w:bottom w:val="nil"/>
            </w:tcBorders>
            <w:shd w:val="clear" w:color="auto" w:fill="auto"/>
            <w:noWrap/>
            <w:vAlign w:val="center"/>
            <w:hideMark/>
          </w:tcPr>
          <w:p w14:paraId="67D1879B"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4654.5500</w:t>
            </w:r>
          </w:p>
        </w:tc>
      </w:tr>
      <w:tr w:rsidR="00BA0176" w:rsidRPr="006B5748" w14:paraId="2588B9AB" w14:textId="77777777" w:rsidTr="00C161B4">
        <w:trPr>
          <w:trHeight w:val="300"/>
        </w:trPr>
        <w:tc>
          <w:tcPr>
            <w:tcW w:w="647" w:type="pct"/>
            <w:tcBorders>
              <w:top w:val="nil"/>
              <w:left w:val="nil"/>
              <w:bottom w:val="nil"/>
            </w:tcBorders>
            <w:shd w:val="clear" w:color="auto" w:fill="auto"/>
            <w:noWrap/>
            <w:vAlign w:val="center"/>
            <w:hideMark/>
          </w:tcPr>
          <w:p w14:paraId="4136B0C0"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4740</w:t>
            </w:r>
          </w:p>
        </w:tc>
        <w:tc>
          <w:tcPr>
            <w:tcW w:w="702" w:type="pct"/>
            <w:tcBorders>
              <w:top w:val="nil"/>
              <w:bottom w:val="nil"/>
            </w:tcBorders>
            <w:shd w:val="clear" w:color="auto" w:fill="auto"/>
            <w:noWrap/>
            <w:vAlign w:val="center"/>
            <w:hideMark/>
          </w:tcPr>
          <w:p w14:paraId="6A278D7D"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19.10.2021</w:t>
            </w:r>
          </w:p>
        </w:tc>
        <w:tc>
          <w:tcPr>
            <w:tcW w:w="669" w:type="pct"/>
            <w:tcBorders>
              <w:top w:val="nil"/>
              <w:bottom w:val="nil"/>
            </w:tcBorders>
            <w:shd w:val="clear" w:color="auto" w:fill="auto"/>
            <w:noWrap/>
            <w:vAlign w:val="center"/>
            <w:hideMark/>
          </w:tcPr>
          <w:p w14:paraId="0A6BE927"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297.0000</w:t>
            </w:r>
          </w:p>
        </w:tc>
        <w:tc>
          <w:tcPr>
            <w:tcW w:w="969" w:type="pct"/>
            <w:tcBorders>
              <w:top w:val="nil"/>
              <w:bottom w:val="nil"/>
            </w:tcBorders>
            <w:shd w:val="clear" w:color="auto" w:fill="auto"/>
            <w:noWrap/>
            <w:vAlign w:val="center"/>
            <w:hideMark/>
          </w:tcPr>
          <w:p w14:paraId="68DC307E"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401.0000</w:t>
            </w:r>
          </w:p>
        </w:tc>
        <w:tc>
          <w:tcPr>
            <w:tcW w:w="606" w:type="pct"/>
            <w:tcBorders>
              <w:top w:val="nil"/>
              <w:bottom w:val="nil"/>
            </w:tcBorders>
            <w:shd w:val="clear" w:color="auto" w:fill="auto"/>
            <w:noWrap/>
            <w:vAlign w:val="center"/>
            <w:hideMark/>
          </w:tcPr>
          <w:p w14:paraId="623D3BDF"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393.0200</w:t>
            </w:r>
          </w:p>
        </w:tc>
        <w:tc>
          <w:tcPr>
            <w:tcW w:w="669" w:type="pct"/>
            <w:tcBorders>
              <w:top w:val="nil"/>
              <w:bottom w:val="nil"/>
            </w:tcBorders>
            <w:shd w:val="clear" w:color="auto" w:fill="auto"/>
            <w:noWrap/>
            <w:vAlign w:val="center"/>
            <w:hideMark/>
          </w:tcPr>
          <w:p w14:paraId="622EBBA4"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6098.9800</w:t>
            </w:r>
          </w:p>
        </w:tc>
        <w:tc>
          <w:tcPr>
            <w:tcW w:w="739" w:type="pct"/>
            <w:tcBorders>
              <w:top w:val="nil"/>
              <w:bottom w:val="nil"/>
            </w:tcBorders>
            <w:shd w:val="clear" w:color="auto" w:fill="auto"/>
            <w:noWrap/>
            <w:vAlign w:val="center"/>
            <w:hideMark/>
          </w:tcPr>
          <w:p w14:paraId="35E1766B"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4768.4800</w:t>
            </w:r>
          </w:p>
        </w:tc>
      </w:tr>
      <w:tr w:rsidR="00BA0176" w:rsidRPr="006B5748" w14:paraId="02CF25E5" w14:textId="77777777" w:rsidTr="00C161B4">
        <w:trPr>
          <w:trHeight w:val="300"/>
        </w:trPr>
        <w:tc>
          <w:tcPr>
            <w:tcW w:w="647" w:type="pct"/>
            <w:tcBorders>
              <w:top w:val="nil"/>
              <w:left w:val="nil"/>
              <w:bottom w:val="nil"/>
            </w:tcBorders>
            <w:shd w:val="clear" w:color="auto" w:fill="auto"/>
            <w:noWrap/>
            <w:vAlign w:val="center"/>
            <w:hideMark/>
          </w:tcPr>
          <w:p w14:paraId="0947A3F3"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5191</w:t>
            </w:r>
          </w:p>
        </w:tc>
        <w:tc>
          <w:tcPr>
            <w:tcW w:w="702" w:type="pct"/>
            <w:tcBorders>
              <w:top w:val="nil"/>
              <w:bottom w:val="nil"/>
            </w:tcBorders>
            <w:shd w:val="clear" w:color="auto" w:fill="auto"/>
            <w:noWrap/>
            <w:vAlign w:val="center"/>
            <w:hideMark/>
          </w:tcPr>
          <w:p w14:paraId="1C69580D"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20.10.2021</w:t>
            </w:r>
          </w:p>
        </w:tc>
        <w:tc>
          <w:tcPr>
            <w:tcW w:w="669" w:type="pct"/>
            <w:tcBorders>
              <w:top w:val="nil"/>
              <w:bottom w:val="nil"/>
            </w:tcBorders>
            <w:shd w:val="clear" w:color="auto" w:fill="auto"/>
            <w:noWrap/>
            <w:vAlign w:val="center"/>
            <w:hideMark/>
          </w:tcPr>
          <w:p w14:paraId="1063BC19"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451.0000</w:t>
            </w:r>
          </w:p>
        </w:tc>
        <w:tc>
          <w:tcPr>
            <w:tcW w:w="969" w:type="pct"/>
            <w:tcBorders>
              <w:top w:val="nil"/>
              <w:bottom w:val="nil"/>
            </w:tcBorders>
            <w:shd w:val="clear" w:color="auto" w:fill="auto"/>
            <w:noWrap/>
            <w:vAlign w:val="center"/>
            <w:hideMark/>
          </w:tcPr>
          <w:p w14:paraId="5D33C899"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386.0000</w:t>
            </w:r>
          </w:p>
        </w:tc>
        <w:tc>
          <w:tcPr>
            <w:tcW w:w="606" w:type="pct"/>
            <w:tcBorders>
              <w:top w:val="nil"/>
              <w:bottom w:val="nil"/>
            </w:tcBorders>
            <w:shd w:val="clear" w:color="auto" w:fill="auto"/>
            <w:noWrap/>
            <w:vAlign w:val="center"/>
            <w:hideMark/>
          </w:tcPr>
          <w:p w14:paraId="26A3744B"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902.5300</w:t>
            </w:r>
          </w:p>
        </w:tc>
        <w:tc>
          <w:tcPr>
            <w:tcW w:w="669" w:type="pct"/>
            <w:tcBorders>
              <w:top w:val="nil"/>
              <w:bottom w:val="nil"/>
            </w:tcBorders>
            <w:shd w:val="clear" w:color="auto" w:fill="auto"/>
            <w:noWrap/>
            <w:vAlign w:val="center"/>
            <w:hideMark/>
          </w:tcPr>
          <w:p w14:paraId="67B12B7F"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5316.4700</w:t>
            </w:r>
          </w:p>
        </w:tc>
        <w:tc>
          <w:tcPr>
            <w:tcW w:w="739" w:type="pct"/>
            <w:tcBorders>
              <w:top w:val="nil"/>
              <w:bottom w:val="nil"/>
            </w:tcBorders>
            <w:shd w:val="clear" w:color="auto" w:fill="auto"/>
            <w:noWrap/>
            <w:vAlign w:val="center"/>
            <w:hideMark/>
          </w:tcPr>
          <w:p w14:paraId="12DEA791"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4080.6800</w:t>
            </w:r>
          </w:p>
        </w:tc>
      </w:tr>
      <w:tr w:rsidR="00BA0176" w:rsidRPr="006B5748" w14:paraId="676453DC" w14:textId="77777777" w:rsidTr="00C161B4">
        <w:trPr>
          <w:trHeight w:val="300"/>
        </w:trPr>
        <w:tc>
          <w:tcPr>
            <w:tcW w:w="647" w:type="pct"/>
            <w:tcBorders>
              <w:top w:val="nil"/>
              <w:left w:val="nil"/>
              <w:bottom w:val="nil"/>
            </w:tcBorders>
            <w:shd w:val="clear" w:color="auto" w:fill="auto"/>
            <w:noWrap/>
            <w:vAlign w:val="center"/>
            <w:hideMark/>
          </w:tcPr>
          <w:p w14:paraId="5FED68DA"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5544</w:t>
            </w:r>
          </w:p>
        </w:tc>
        <w:tc>
          <w:tcPr>
            <w:tcW w:w="702" w:type="pct"/>
            <w:tcBorders>
              <w:top w:val="nil"/>
              <w:bottom w:val="nil"/>
            </w:tcBorders>
            <w:shd w:val="clear" w:color="auto" w:fill="auto"/>
            <w:noWrap/>
            <w:vAlign w:val="center"/>
            <w:hideMark/>
          </w:tcPr>
          <w:p w14:paraId="31DC68E9"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21.10.2021</w:t>
            </w:r>
          </w:p>
        </w:tc>
        <w:tc>
          <w:tcPr>
            <w:tcW w:w="669" w:type="pct"/>
            <w:tcBorders>
              <w:top w:val="nil"/>
              <w:bottom w:val="nil"/>
            </w:tcBorders>
            <w:shd w:val="clear" w:color="auto" w:fill="auto"/>
            <w:noWrap/>
            <w:vAlign w:val="center"/>
            <w:hideMark/>
          </w:tcPr>
          <w:p w14:paraId="6FB18AD5"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353.0000</w:t>
            </w:r>
          </w:p>
        </w:tc>
        <w:tc>
          <w:tcPr>
            <w:tcW w:w="969" w:type="pct"/>
            <w:tcBorders>
              <w:top w:val="nil"/>
              <w:bottom w:val="nil"/>
            </w:tcBorders>
            <w:shd w:val="clear" w:color="auto" w:fill="auto"/>
            <w:noWrap/>
            <w:vAlign w:val="center"/>
            <w:hideMark/>
          </w:tcPr>
          <w:p w14:paraId="09280591"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330.0000</w:t>
            </w:r>
          </w:p>
        </w:tc>
        <w:tc>
          <w:tcPr>
            <w:tcW w:w="606" w:type="pct"/>
            <w:tcBorders>
              <w:top w:val="nil"/>
              <w:bottom w:val="nil"/>
            </w:tcBorders>
            <w:shd w:val="clear" w:color="auto" w:fill="auto"/>
            <w:noWrap/>
            <w:vAlign w:val="center"/>
            <w:hideMark/>
          </w:tcPr>
          <w:p w14:paraId="5F6A4CA3"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410.8000</w:t>
            </w:r>
          </w:p>
        </w:tc>
        <w:tc>
          <w:tcPr>
            <w:tcW w:w="669" w:type="pct"/>
            <w:tcBorders>
              <w:top w:val="nil"/>
              <w:bottom w:val="nil"/>
            </w:tcBorders>
            <w:shd w:val="clear" w:color="auto" w:fill="auto"/>
            <w:noWrap/>
            <w:vAlign w:val="center"/>
            <w:hideMark/>
          </w:tcPr>
          <w:p w14:paraId="0C0AF591"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3044.2000</w:t>
            </w:r>
          </w:p>
        </w:tc>
        <w:tc>
          <w:tcPr>
            <w:tcW w:w="739" w:type="pct"/>
            <w:tcBorders>
              <w:top w:val="nil"/>
              <w:bottom w:val="nil"/>
            </w:tcBorders>
            <w:shd w:val="clear" w:color="auto" w:fill="auto"/>
            <w:noWrap/>
            <w:vAlign w:val="center"/>
            <w:hideMark/>
          </w:tcPr>
          <w:p w14:paraId="1B7B61D1"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4777.0500</w:t>
            </w:r>
          </w:p>
        </w:tc>
      </w:tr>
      <w:tr w:rsidR="00BA0176" w:rsidRPr="006B5748" w14:paraId="4E1C6D77" w14:textId="77777777" w:rsidTr="00C161B4">
        <w:trPr>
          <w:trHeight w:val="300"/>
        </w:trPr>
        <w:tc>
          <w:tcPr>
            <w:tcW w:w="647" w:type="pct"/>
            <w:tcBorders>
              <w:top w:val="nil"/>
              <w:left w:val="nil"/>
              <w:bottom w:val="nil"/>
            </w:tcBorders>
            <w:shd w:val="clear" w:color="auto" w:fill="auto"/>
            <w:noWrap/>
            <w:vAlign w:val="center"/>
            <w:hideMark/>
          </w:tcPr>
          <w:p w14:paraId="0EF1FCF6"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5915</w:t>
            </w:r>
          </w:p>
        </w:tc>
        <w:tc>
          <w:tcPr>
            <w:tcW w:w="702" w:type="pct"/>
            <w:tcBorders>
              <w:top w:val="nil"/>
              <w:bottom w:val="nil"/>
            </w:tcBorders>
            <w:shd w:val="clear" w:color="auto" w:fill="auto"/>
            <w:noWrap/>
            <w:vAlign w:val="center"/>
            <w:hideMark/>
          </w:tcPr>
          <w:p w14:paraId="74821B44"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22.10.2021</w:t>
            </w:r>
          </w:p>
        </w:tc>
        <w:tc>
          <w:tcPr>
            <w:tcW w:w="669" w:type="pct"/>
            <w:tcBorders>
              <w:top w:val="nil"/>
              <w:bottom w:val="nil"/>
            </w:tcBorders>
            <w:shd w:val="clear" w:color="auto" w:fill="auto"/>
            <w:noWrap/>
            <w:vAlign w:val="center"/>
            <w:hideMark/>
          </w:tcPr>
          <w:p w14:paraId="3E5CFEDB"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371.0000</w:t>
            </w:r>
          </w:p>
        </w:tc>
        <w:tc>
          <w:tcPr>
            <w:tcW w:w="969" w:type="pct"/>
            <w:tcBorders>
              <w:top w:val="nil"/>
              <w:bottom w:val="nil"/>
            </w:tcBorders>
            <w:shd w:val="clear" w:color="auto" w:fill="auto"/>
            <w:noWrap/>
            <w:vAlign w:val="center"/>
            <w:hideMark/>
          </w:tcPr>
          <w:p w14:paraId="10A9FAD7"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335.0000</w:t>
            </w:r>
          </w:p>
        </w:tc>
        <w:tc>
          <w:tcPr>
            <w:tcW w:w="606" w:type="pct"/>
            <w:tcBorders>
              <w:top w:val="nil"/>
              <w:bottom w:val="nil"/>
            </w:tcBorders>
            <w:shd w:val="clear" w:color="auto" w:fill="auto"/>
            <w:noWrap/>
            <w:vAlign w:val="center"/>
            <w:hideMark/>
          </w:tcPr>
          <w:p w14:paraId="6408D76E"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696.8800</w:t>
            </w:r>
          </w:p>
        </w:tc>
        <w:tc>
          <w:tcPr>
            <w:tcW w:w="669" w:type="pct"/>
            <w:tcBorders>
              <w:top w:val="nil"/>
              <w:bottom w:val="nil"/>
            </w:tcBorders>
            <w:shd w:val="clear" w:color="auto" w:fill="auto"/>
            <w:noWrap/>
            <w:vAlign w:val="center"/>
            <w:hideMark/>
          </w:tcPr>
          <w:p w14:paraId="423D822F"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4445.1200</w:t>
            </w:r>
          </w:p>
        </w:tc>
        <w:tc>
          <w:tcPr>
            <w:tcW w:w="739" w:type="pct"/>
            <w:tcBorders>
              <w:top w:val="nil"/>
              <w:bottom w:val="nil"/>
            </w:tcBorders>
            <w:shd w:val="clear" w:color="auto" w:fill="auto"/>
            <w:noWrap/>
            <w:vAlign w:val="center"/>
            <w:hideMark/>
          </w:tcPr>
          <w:p w14:paraId="4CB81C24"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4336.5600</w:t>
            </w:r>
          </w:p>
        </w:tc>
      </w:tr>
      <w:tr w:rsidR="00BA0176" w:rsidRPr="006B5748" w14:paraId="6529DAD8" w14:textId="77777777" w:rsidTr="00C161B4">
        <w:trPr>
          <w:trHeight w:val="300"/>
        </w:trPr>
        <w:tc>
          <w:tcPr>
            <w:tcW w:w="647" w:type="pct"/>
            <w:tcBorders>
              <w:top w:val="nil"/>
              <w:left w:val="nil"/>
              <w:bottom w:val="nil"/>
            </w:tcBorders>
            <w:shd w:val="clear" w:color="auto" w:fill="auto"/>
            <w:noWrap/>
            <w:vAlign w:val="center"/>
            <w:hideMark/>
          </w:tcPr>
          <w:p w14:paraId="33A046A6"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6137</w:t>
            </w:r>
          </w:p>
        </w:tc>
        <w:tc>
          <w:tcPr>
            <w:tcW w:w="702" w:type="pct"/>
            <w:tcBorders>
              <w:top w:val="nil"/>
              <w:bottom w:val="nil"/>
            </w:tcBorders>
            <w:shd w:val="clear" w:color="auto" w:fill="auto"/>
            <w:noWrap/>
            <w:vAlign w:val="center"/>
            <w:hideMark/>
          </w:tcPr>
          <w:p w14:paraId="26C30EAC"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23.10.2021</w:t>
            </w:r>
          </w:p>
        </w:tc>
        <w:tc>
          <w:tcPr>
            <w:tcW w:w="669" w:type="pct"/>
            <w:tcBorders>
              <w:top w:val="nil"/>
              <w:bottom w:val="nil"/>
            </w:tcBorders>
            <w:shd w:val="clear" w:color="auto" w:fill="auto"/>
            <w:noWrap/>
            <w:vAlign w:val="center"/>
            <w:hideMark/>
          </w:tcPr>
          <w:p w14:paraId="24169116"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222.0000</w:t>
            </w:r>
          </w:p>
        </w:tc>
        <w:tc>
          <w:tcPr>
            <w:tcW w:w="969" w:type="pct"/>
            <w:tcBorders>
              <w:top w:val="nil"/>
              <w:bottom w:val="nil"/>
            </w:tcBorders>
            <w:shd w:val="clear" w:color="auto" w:fill="auto"/>
            <w:noWrap/>
            <w:vAlign w:val="center"/>
            <w:hideMark/>
          </w:tcPr>
          <w:p w14:paraId="10C8C01A"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317.0000</w:t>
            </w:r>
          </w:p>
        </w:tc>
        <w:tc>
          <w:tcPr>
            <w:tcW w:w="606" w:type="pct"/>
            <w:tcBorders>
              <w:top w:val="nil"/>
              <w:bottom w:val="nil"/>
            </w:tcBorders>
            <w:shd w:val="clear" w:color="auto" w:fill="auto"/>
            <w:noWrap/>
            <w:vAlign w:val="center"/>
            <w:hideMark/>
          </w:tcPr>
          <w:p w14:paraId="007E6763"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392.8000</w:t>
            </w:r>
          </w:p>
        </w:tc>
        <w:tc>
          <w:tcPr>
            <w:tcW w:w="669" w:type="pct"/>
            <w:tcBorders>
              <w:top w:val="nil"/>
              <w:bottom w:val="nil"/>
            </w:tcBorders>
            <w:shd w:val="clear" w:color="auto" w:fill="auto"/>
            <w:noWrap/>
            <w:vAlign w:val="center"/>
            <w:hideMark/>
          </w:tcPr>
          <w:p w14:paraId="0C50EE73"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5427.2000</w:t>
            </w:r>
          </w:p>
        </w:tc>
        <w:tc>
          <w:tcPr>
            <w:tcW w:w="739" w:type="pct"/>
            <w:tcBorders>
              <w:top w:val="nil"/>
              <w:bottom w:val="nil"/>
            </w:tcBorders>
            <w:shd w:val="clear" w:color="auto" w:fill="auto"/>
            <w:noWrap/>
            <w:vAlign w:val="center"/>
            <w:hideMark/>
          </w:tcPr>
          <w:p w14:paraId="17D86F13"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4999.6000</w:t>
            </w:r>
          </w:p>
        </w:tc>
      </w:tr>
      <w:tr w:rsidR="00BA0176" w:rsidRPr="006B5748" w14:paraId="385AD379" w14:textId="77777777" w:rsidTr="00C161B4">
        <w:trPr>
          <w:trHeight w:val="300"/>
        </w:trPr>
        <w:tc>
          <w:tcPr>
            <w:tcW w:w="647" w:type="pct"/>
            <w:tcBorders>
              <w:top w:val="nil"/>
              <w:left w:val="nil"/>
              <w:bottom w:val="nil"/>
            </w:tcBorders>
            <w:shd w:val="clear" w:color="auto" w:fill="auto"/>
            <w:noWrap/>
            <w:vAlign w:val="center"/>
            <w:hideMark/>
          </w:tcPr>
          <w:p w14:paraId="11BD75BD"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6600</w:t>
            </w:r>
          </w:p>
        </w:tc>
        <w:tc>
          <w:tcPr>
            <w:tcW w:w="702" w:type="pct"/>
            <w:tcBorders>
              <w:top w:val="nil"/>
              <w:bottom w:val="nil"/>
            </w:tcBorders>
            <w:shd w:val="clear" w:color="auto" w:fill="auto"/>
            <w:noWrap/>
            <w:vAlign w:val="center"/>
            <w:hideMark/>
          </w:tcPr>
          <w:p w14:paraId="2C5A869D"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24.10.2021</w:t>
            </w:r>
          </w:p>
        </w:tc>
        <w:tc>
          <w:tcPr>
            <w:tcW w:w="669" w:type="pct"/>
            <w:tcBorders>
              <w:top w:val="nil"/>
              <w:bottom w:val="nil"/>
            </w:tcBorders>
            <w:shd w:val="clear" w:color="auto" w:fill="auto"/>
            <w:noWrap/>
            <w:vAlign w:val="center"/>
            <w:hideMark/>
          </w:tcPr>
          <w:p w14:paraId="27EAFC4B"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463.0000</w:t>
            </w:r>
          </w:p>
        </w:tc>
        <w:tc>
          <w:tcPr>
            <w:tcW w:w="969" w:type="pct"/>
            <w:tcBorders>
              <w:top w:val="nil"/>
              <w:bottom w:val="nil"/>
            </w:tcBorders>
            <w:shd w:val="clear" w:color="auto" w:fill="auto"/>
            <w:noWrap/>
            <w:vAlign w:val="center"/>
            <w:hideMark/>
          </w:tcPr>
          <w:p w14:paraId="7CDD991E"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319.0000</w:t>
            </w:r>
          </w:p>
        </w:tc>
        <w:tc>
          <w:tcPr>
            <w:tcW w:w="606" w:type="pct"/>
            <w:tcBorders>
              <w:top w:val="nil"/>
              <w:bottom w:val="nil"/>
            </w:tcBorders>
            <w:shd w:val="clear" w:color="auto" w:fill="auto"/>
            <w:noWrap/>
            <w:vAlign w:val="center"/>
            <w:hideMark/>
          </w:tcPr>
          <w:p w14:paraId="5C4805DD"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393.0100</w:t>
            </w:r>
          </w:p>
        </w:tc>
        <w:tc>
          <w:tcPr>
            <w:tcW w:w="669" w:type="pct"/>
            <w:tcBorders>
              <w:top w:val="nil"/>
              <w:bottom w:val="nil"/>
            </w:tcBorders>
            <w:shd w:val="clear" w:color="auto" w:fill="auto"/>
            <w:noWrap/>
            <w:vAlign w:val="center"/>
            <w:hideMark/>
          </w:tcPr>
          <w:p w14:paraId="5215D3C3"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2501.9900</w:t>
            </w:r>
          </w:p>
        </w:tc>
        <w:tc>
          <w:tcPr>
            <w:tcW w:w="739" w:type="pct"/>
            <w:tcBorders>
              <w:top w:val="nil"/>
              <w:bottom w:val="nil"/>
            </w:tcBorders>
            <w:shd w:val="clear" w:color="auto" w:fill="auto"/>
            <w:noWrap/>
            <w:vAlign w:val="center"/>
            <w:hideMark/>
          </w:tcPr>
          <w:p w14:paraId="2A69CFEF"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4415.4000</w:t>
            </w:r>
          </w:p>
        </w:tc>
      </w:tr>
      <w:tr w:rsidR="00BA0176" w:rsidRPr="006B5748" w14:paraId="3EF787D6" w14:textId="77777777" w:rsidTr="00C161B4">
        <w:trPr>
          <w:trHeight w:val="300"/>
        </w:trPr>
        <w:tc>
          <w:tcPr>
            <w:tcW w:w="647" w:type="pct"/>
            <w:tcBorders>
              <w:top w:val="nil"/>
              <w:left w:val="nil"/>
              <w:bottom w:val="nil"/>
            </w:tcBorders>
            <w:shd w:val="clear" w:color="auto" w:fill="auto"/>
            <w:noWrap/>
            <w:vAlign w:val="center"/>
            <w:hideMark/>
          </w:tcPr>
          <w:p w14:paraId="0F6FA605"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6823</w:t>
            </w:r>
          </w:p>
        </w:tc>
        <w:tc>
          <w:tcPr>
            <w:tcW w:w="702" w:type="pct"/>
            <w:tcBorders>
              <w:top w:val="nil"/>
              <w:bottom w:val="nil"/>
            </w:tcBorders>
            <w:shd w:val="clear" w:color="auto" w:fill="auto"/>
            <w:noWrap/>
            <w:vAlign w:val="center"/>
            <w:hideMark/>
          </w:tcPr>
          <w:p w14:paraId="4940D838"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25.10.2021</w:t>
            </w:r>
          </w:p>
        </w:tc>
        <w:tc>
          <w:tcPr>
            <w:tcW w:w="669" w:type="pct"/>
            <w:tcBorders>
              <w:top w:val="nil"/>
              <w:bottom w:val="nil"/>
            </w:tcBorders>
            <w:shd w:val="clear" w:color="auto" w:fill="auto"/>
            <w:noWrap/>
            <w:vAlign w:val="center"/>
            <w:hideMark/>
          </w:tcPr>
          <w:p w14:paraId="57B3C458"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223.0000</w:t>
            </w:r>
          </w:p>
        </w:tc>
        <w:tc>
          <w:tcPr>
            <w:tcW w:w="969" w:type="pct"/>
            <w:tcBorders>
              <w:top w:val="nil"/>
              <w:bottom w:val="nil"/>
            </w:tcBorders>
            <w:shd w:val="clear" w:color="auto" w:fill="auto"/>
            <w:noWrap/>
            <w:vAlign w:val="center"/>
            <w:hideMark/>
          </w:tcPr>
          <w:p w14:paraId="2680424E"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274.0000</w:t>
            </w:r>
          </w:p>
        </w:tc>
        <w:tc>
          <w:tcPr>
            <w:tcW w:w="606" w:type="pct"/>
            <w:tcBorders>
              <w:top w:val="nil"/>
              <w:bottom w:val="nil"/>
            </w:tcBorders>
            <w:shd w:val="clear" w:color="auto" w:fill="auto"/>
            <w:noWrap/>
            <w:vAlign w:val="center"/>
            <w:hideMark/>
          </w:tcPr>
          <w:p w14:paraId="217C781D"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421.0500</w:t>
            </w:r>
          </w:p>
        </w:tc>
        <w:tc>
          <w:tcPr>
            <w:tcW w:w="669" w:type="pct"/>
            <w:tcBorders>
              <w:top w:val="nil"/>
              <w:bottom w:val="nil"/>
            </w:tcBorders>
            <w:shd w:val="clear" w:color="auto" w:fill="auto"/>
            <w:noWrap/>
            <w:vAlign w:val="center"/>
            <w:hideMark/>
          </w:tcPr>
          <w:p w14:paraId="3F18B8D7"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3158.9500</w:t>
            </w:r>
          </w:p>
        </w:tc>
        <w:tc>
          <w:tcPr>
            <w:tcW w:w="739" w:type="pct"/>
            <w:tcBorders>
              <w:top w:val="nil"/>
              <w:bottom w:val="nil"/>
            </w:tcBorders>
            <w:shd w:val="clear" w:color="auto" w:fill="auto"/>
            <w:noWrap/>
            <w:vAlign w:val="center"/>
            <w:hideMark/>
          </w:tcPr>
          <w:p w14:paraId="3277F4CF"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4261.0000</w:t>
            </w:r>
          </w:p>
        </w:tc>
      </w:tr>
      <w:tr w:rsidR="00BA0176" w:rsidRPr="006B5748" w14:paraId="39F810C6" w14:textId="77777777" w:rsidTr="00C161B4">
        <w:trPr>
          <w:trHeight w:val="300"/>
        </w:trPr>
        <w:tc>
          <w:tcPr>
            <w:tcW w:w="647" w:type="pct"/>
            <w:tcBorders>
              <w:top w:val="nil"/>
              <w:left w:val="nil"/>
              <w:bottom w:val="nil"/>
            </w:tcBorders>
            <w:shd w:val="clear" w:color="auto" w:fill="auto"/>
            <w:noWrap/>
            <w:vAlign w:val="center"/>
            <w:hideMark/>
          </w:tcPr>
          <w:p w14:paraId="3922E007"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7090</w:t>
            </w:r>
          </w:p>
        </w:tc>
        <w:tc>
          <w:tcPr>
            <w:tcW w:w="702" w:type="pct"/>
            <w:tcBorders>
              <w:top w:val="nil"/>
              <w:bottom w:val="nil"/>
            </w:tcBorders>
            <w:shd w:val="clear" w:color="auto" w:fill="auto"/>
            <w:noWrap/>
            <w:vAlign w:val="center"/>
            <w:hideMark/>
          </w:tcPr>
          <w:p w14:paraId="09F94ABB"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26.10.2021</w:t>
            </w:r>
          </w:p>
        </w:tc>
        <w:tc>
          <w:tcPr>
            <w:tcW w:w="669" w:type="pct"/>
            <w:tcBorders>
              <w:top w:val="nil"/>
              <w:bottom w:val="nil"/>
            </w:tcBorders>
            <w:shd w:val="clear" w:color="auto" w:fill="auto"/>
            <w:noWrap/>
            <w:vAlign w:val="center"/>
            <w:hideMark/>
          </w:tcPr>
          <w:p w14:paraId="3BB4A7C6"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267.0000</w:t>
            </w:r>
          </w:p>
        </w:tc>
        <w:tc>
          <w:tcPr>
            <w:tcW w:w="969" w:type="pct"/>
            <w:tcBorders>
              <w:top w:val="nil"/>
              <w:bottom w:val="nil"/>
            </w:tcBorders>
            <w:shd w:val="clear" w:color="auto" w:fill="auto"/>
            <w:noWrap/>
            <w:vAlign w:val="center"/>
            <w:hideMark/>
          </w:tcPr>
          <w:p w14:paraId="1C95277B"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351.0000</w:t>
            </w:r>
          </w:p>
        </w:tc>
        <w:tc>
          <w:tcPr>
            <w:tcW w:w="606" w:type="pct"/>
            <w:tcBorders>
              <w:top w:val="nil"/>
              <w:bottom w:val="nil"/>
            </w:tcBorders>
            <w:shd w:val="clear" w:color="auto" w:fill="auto"/>
            <w:noWrap/>
            <w:vAlign w:val="center"/>
            <w:hideMark/>
          </w:tcPr>
          <w:p w14:paraId="21185747"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404.4700</w:t>
            </w:r>
          </w:p>
        </w:tc>
        <w:tc>
          <w:tcPr>
            <w:tcW w:w="669" w:type="pct"/>
            <w:tcBorders>
              <w:top w:val="nil"/>
              <w:bottom w:val="nil"/>
            </w:tcBorders>
            <w:shd w:val="clear" w:color="auto" w:fill="auto"/>
            <w:noWrap/>
            <w:vAlign w:val="center"/>
            <w:hideMark/>
          </w:tcPr>
          <w:p w14:paraId="3DD8FE1C"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2250.5300</w:t>
            </w:r>
          </w:p>
        </w:tc>
        <w:tc>
          <w:tcPr>
            <w:tcW w:w="739" w:type="pct"/>
            <w:tcBorders>
              <w:top w:val="nil"/>
              <w:bottom w:val="nil"/>
            </w:tcBorders>
            <w:shd w:val="clear" w:color="auto" w:fill="auto"/>
            <w:noWrap/>
            <w:vAlign w:val="center"/>
            <w:hideMark/>
          </w:tcPr>
          <w:p w14:paraId="48993E4E"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4418.0000</w:t>
            </w:r>
          </w:p>
        </w:tc>
      </w:tr>
      <w:tr w:rsidR="00BA0176" w:rsidRPr="006B5748" w14:paraId="4EA55A04" w14:textId="77777777" w:rsidTr="00C161B4">
        <w:trPr>
          <w:trHeight w:val="300"/>
        </w:trPr>
        <w:tc>
          <w:tcPr>
            <w:tcW w:w="647" w:type="pct"/>
            <w:tcBorders>
              <w:top w:val="nil"/>
              <w:left w:val="nil"/>
              <w:bottom w:val="nil"/>
            </w:tcBorders>
            <w:shd w:val="clear" w:color="auto" w:fill="auto"/>
            <w:noWrap/>
            <w:vAlign w:val="center"/>
            <w:hideMark/>
          </w:tcPr>
          <w:p w14:paraId="7CA85EFB"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7413</w:t>
            </w:r>
          </w:p>
        </w:tc>
        <w:tc>
          <w:tcPr>
            <w:tcW w:w="702" w:type="pct"/>
            <w:tcBorders>
              <w:top w:val="nil"/>
              <w:bottom w:val="nil"/>
            </w:tcBorders>
            <w:shd w:val="clear" w:color="auto" w:fill="auto"/>
            <w:noWrap/>
            <w:vAlign w:val="center"/>
            <w:hideMark/>
          </w:tcPr>
          <w:p w14:paraId="6250C854"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27.10.2021</w:t>
            </w:r>
          </w:p>
        </w:tc>
        <w:tc>
          <w:tcPr>
            <w:tcW w:w="669" w:type="pct"/>
            <w:tcBorders>
              <w:top w:val="nil"/>
              <w:bottom w:val="nil"/>
            </w:tcBorders>
            <w:shd w:val="clear" w:color="auto" w:fill="auto"/>
            <w:noWrap/>
            <w:vAlign w:val="center"/>
            <w:hideMark/>
          </w:tcPr>
          <w:p w14:paraId="5022362D"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323.0000</w:t>
            </w:r>
          </w:p>
        </w:tc>
        <w:tc>
          <w:tcPr>
            <w:tcW w:w="969" w:type="pct"/>
            <w:tcBorders>
              <w:top w:val="nil"/>
              <w:bottom w:val="nil"/>
            </w:tcBorders>
            <w:shd w:val="clear" w:color="auto" w:fill="auto"/>
            <w:noWrap/>
            <w:vAlign w:val="center"/>
            <w:hideMark/>
          </w:tcPr>
          <w:p w14:paraId="4B853942"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394.0000</w:t>
            </w:r>
          </w:p>
        </w:tc>
        <w:tc>
          <w:tcPr>
            <w:tcW w:w="606" w:type="pct"/>
            <w:tcBorders>
              <w:top w:val="nil"/>
              <w:bottom w:val="nil"/>
            </w:tcBorders>
            <w:shd w:val="clear" w:color="auto" w:fill="auto"/>
            <w:noWrap/>
            <w:vAlign w:val="center"/>
            <w:hideMark/>
          </w:tcPr>
          <w:p w14:paraId="50F27BCE"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980.5300</w:t>
            </w:r>
          </w:p>
        </w:tc>
        <w:tc>
          <w:tcPr>
            <w:tcW w:w="669" w:type="pct"/>
            <w:tcBorders>
              <w:top w:val="nil"/>
              <w:bottom w:val="nil"/>
            </w:tcBorders>
            <w:shd w:val="clear" w:color="auto" w:fill="auto"/>
            <w:noWrap/>
            <w:vAlign w:val="center"/>
            <w:hideMark/>
          </w:tcPr>
          <w:p w14:paraId="01847E15"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4077.4700</w:t>
            </w:r>
          </w:p>
        </w:tc>
        <w:tc>
          <w:tcPr>
            <w:tcW w:w="739" w:type="pct"/>
            <w:tcBorders>
              <w:top w:val="nil"/>
              <w:bottom w:val="nil"/>
            </w:tcBorders>
            <w:shd w:val="clear" w:color="auto" w:fill="auto"/>
            <w:noWrap/>
            <w:vAlign w:val="center"/>
            <w:hideMark/>
          </w:tcPr>
          <w:p w14:paraId="52E5A2DA"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4525.3000</w:t>
            </w:r>
          </w:p>
        </w:tc>
      </w:tr>
      <w:tr w:rsidR="00BA0176" w:rsidRPr="006B5748" w14:paraId="096A6CDF" w14:textId="77777777" w:rsidTr="00C161B4">
        <w:trPr>
          <w:trHeight w:val="300"/>
        </w:trPr>
        <w:tc>
          <w:tcPr>
            <w:tcW w:w="647" w:type="pct"/>
            <w:tcBorders>
              <w:top w:val="nil"/>
              <w:left w:val="nil"/>
              <w:bottom w:val="nil"/>
            </w:tcBorders>
            <w:shd w:val="clear" w:color="auto" w:fill="auto"/>
            <w:noWrap/>
            <w:vAlign w:val="center"/>
            <w:hideMark/>
          </w:tcPr>
          <w:p w14:paraId="387B2212"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7931</w:t>
            </w:r>
          </w:p>
        </w:tc>
        <w:tc>
          <w:tcPr>
            <w:tcW w:w="702" w:type="pct"/>
            <w:tcBorders>
              <w:top w:val="nil"/>
              <w:bottom w:val="nil"/>
            </w:tcBorders>
            <w:shd w:val="clear" w:color="auto" w:fill="auto"/>
            <w:noWrap/>
            <w:vAlign w:val="center"/>
            <w:hideMark/>
          </w:tcPr>
          <w:p w14:paraId="66D6E57A"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28.10.2021</w:t>
            </w:r>
          </w:p>
        </w:tc>
        <w:tc>
          <w:tcPr>
            <w:tcW w:w="669" w:type="pct"/>
            <w:tcBorders>
              <w:top w:val="nil"/>
              <w:bottom w:val="nil"/>
            </w:tcBorders>
            <w:shd w:val="clear" w:color="auto" w:fill="auto"/>
            <w:noWrap/>
            <w:vAlign w:val="center"/>
            <w:hideMark/>
          </w:tcPr>
          <w:p w14:paraId="5D2E6A76"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518.0000</w:t>
            </w:r>
          </w:p>
        </w:tc>
        <w:tc>
          <w:tcPr>
            <w:tcW w:w="969" w:type="pct"/>
            <w:tcBorders>
              <w:top w:val="nil"/>
              <w:bottom w:val="nil"/>
            </w:tcBorders>
            <w:shd w:val="clear" w:color="auto" w:fill="auto"/>
            <w:noWrap/>
            <w:vAlign w:val="center"/>
            <w:hideMark/>
          </w:tcPr>
          <w:p w14:paraId="58B71558"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404.0000</w:t>
            </w:r>
          </w:p>
        </w:tc>
        <w:tc>
          <w:tcPr>
            <w:tcW w:w="606" w:type="pct"/>
            <w:tcBorders>
              <w:top w:val="nil"/>
              <w:bottom w:val="nil"/>
            </w:tcBorders>
            <w:shd w:val="clear" w:color="auto" w:fill="auto"/>
            <w:noWrap/>
            <w:vAlign w:val="center"/>
            <w:hideMark/>
          </w:tcPr>
          <w:p w14:paraId="02BAC111"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498.4700</w:t>
            </w:r>
          </w:p>
        </w:tc>
        <w:tc>
          <w:tcPr>
            <w:tcW w:w="669" w:type="pct"/>
            <w:tcBorders>
              <w:top w:val="nil"/>
              <w:bottom w:val="nil"/>
            </w:tcBorders>
            <w:shd w:val="clear" w:color="auto" w:fill="auto"/>
            <w:noWrap/>
            <w:vAlign w:val="center"/>
            <w:hideMark/>
          </w:tcPr>
          <w:p w14:paraId="518D5276"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6474.5300</w:t>
            </w:r>
          </w:p>
        </w:tc>
        <w:tc>
          <w:tcPr>
            <w:tcW w:w="739" w:type="pct"/>
            <w:tcBorders>
              <w:top w:val="nil"/>
              <w:bottom w:val="nil"/>
            </w:tcBorders>
            <w:shd w:val="clear" w:color="auto" w:fill="auto"/>
            <w:noWrap/>
            <w:vAlign w:val="center"/>
            <w:hideMark/>
          </w:tcPr>
          <w:p w14:paraId="35A155EE"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4326.1000</w:t>
            </w:r>
          </w:p>
        </w:tc>
      </w:tr>
      <w:tr w:rsidR="00BA0176" w:rsidRPr="006B5748" w14:paraId="5E62B649" w14:textId="77777777" w:rsidTr="00C161B4">
        <w:trPr>
          <w:trHeight w:val="300"/>
        </w:trPr>
        <w:tc>
          <w:tcPr>
            <w:tcW w:w="5000" w:type="pct"/>
            <w:gridSpan w:val="7"/>
            <w:tcBorders>
              <w:top w:val="nil"/>
              <w:left w:val="nil"/>
              <w:bottom w:val="nil"/>
            </w:tcBorders>
            <w:shd w:val="clear" w:color="auto" w:fill="auto"/>
            <w:noWrap/>
            <w:vAlign w:val="center"/>
          </w:tcPr>
          <w:p w14:paraId="52DF5F95" w14:textId="77777777" w:rsidR="00BA0176" w:rsidRPr="006B5748" w:rsidRDefault="00BA0176" w:rsidP="00C161B4">
            <w:pPr>
              <w:spacing w:before="0" w:after="0"/>
              <w:jc w:val="center"/>
              <w:rPr>
                <w:rFonts w:eastAsia="Times New Roman" w:cs="Calibri"/>
                <w:color w:val="000000"/>
                <w:sz w:val="20"/>
                <w:szCs w:val="20"/>
                <w:lang w:val="sr-Latn-RS" w:eastAsia="sr-Latn-RS"/>
              </w:rPr>
            </w:pPr>
            <w:r>
              <w:rPr>
                <w:rFonts w:eastAsia="Times New Roman" w:cs="Calibri"/>
                <w:color w:val="000000"/>
                <w:sz w:val="20"/>
                <w:szCs w:val="20"/>
                <w:lang w:val="sr-Latn-RS" w:eastAsia="sr-Latn-RS"/>
              </w:rPr>
              <w:t>...</w:t>
            </w:r>
          </w:p>
        </w:tc>
      </w:tr>
      <w:tr w:rsidR="00BA0176" w:rsidRPr="006B5748" w14:paraId="5F690C0A" w14:textId="77777777" w:rsidTr="00C161B4">
        <w:trPr>
          <w:trHeight w:val="300"/>
        </w:trPr>
        <w:tc>
          <w:tcPr>
            <w:tcW w:w="647" w:type="pct"/>
            <w:tcBorders>
              <w:top w:val="nil"/>
              <w:left w:val="nil"/>
              <w:bottom w:val="nil"/>
            </w:tcBorders>
            <w:shd w:val="clear" w:color="auto" w:fill="auto"/>
            <w:noWrap/>
            <w:vAlign w:val="center"/>
            <w:hideMark/>
          </w:tcPr>
          <w:p w14:paraId="0BF80296"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10014</w:t>
            </w:r>
          </w:p>
        </w:tc>
        <w:tc>
          <w:tcPr>
            <w:tcW w:w="702" w:type="pct"/>
            <w:tcBorders>
              <w:top w:val="nil"/>
              <w:bottom w:val="nil"/>
            </w:tcBorders>
            <w:shd w:val="clear" w:color="auto" w:fill="auto"/>
            <w:noWrap/>
            <w:vAlign w:val="center"/>
            <w:hideMark/>
          </w:tcPr>
          <w:p w14:paraId="4487F5D4"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3.11.2021</w:t>
            </w:r>
          </w:p>
        </w:tc>
        <w:tc>
          <w:tcPr>
            <w:tcW w:w="669" w:type="pct"/>
            <w:tcBorders>
              <w:top w:val="nil"/>
              <w:bottom w:val="nil"/>
            </w:tcBorders>
            <w:shd w:val="clear" w:color="auto" w:fill="auto"/>
            <w:noWrap/>
            <w:vAlign w:val="center"/>
            <w:hideMark/>
          </w:tcPr>
          <w:p w14:paraId="2EEEAED7"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240.0000</w:t>
            </w:r>
          </w:p>
        </w:tc>
        <w:tc>
          <w:tcPr>
            <w:tcW w:w="969" w:type="pct"/>
            <w:tcBorders>
              <w:top w:val="nil"/>
              <w:bottom w:val="nil"/>
            </w:tcBorders>
            <w:shd w:val="clear" w:color="auto" w:fill="auto"/>
            <w:noWrap/>
            <w:vAlign w:val="center"/>
            <w:hideMark/>
          </w:tcPr>
          <w:p w14:paraId="15B64C5E"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398.0000</w:t>
            </w:r>
          </w:p>
        </w:tc>
        <w:tc>
          <w:tcPr>
            <w:tcW w:w="606" w:type="pct"/>
            <w:tcBorders>
              <w:top w:val="nil"/>
              <w:bottom w:val="nil"/>
            </w:tcBorders>
            <w:shd w:val="clear" w:color="auto" w:fill="auto"/>
            <w:noWrap/>
            <w:vAlign w:val="center"/>
            <w:hideMark/>
          </w:tcPr>
          <w:p w14:paraId="0D9C78F6"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406.2570</w:t>
            </w:r>
          </w:p>
        </w:tc>
        <w:tc>
          <w:tcPr>
            <w:tcW w:w="669" w:type="pct"/>
            <w:tcBorders>
              <w:top w:val="nil"/>
              <w:bottom w:val="nil"/>
            </w:tcBorders>
            <w:shd w:val="clear" w:color="auto" w:fill="auto"/>
            <w:noWrap/>
            <w:vAlign w:val="center"/>
            <w:hideMark/>
          </w:tcPr>
          <w:p w14:paraId="46D91B6E"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2792.8730</w:t>
            </w:r>
          </w:p>
        </w:tc>
        <w:tc>
          <w:tcPr>
            <w:tcW w:w="739" w:type="pct"/>
            <w:tcBorders>
              <w:top w:val="nil"/>
              <w:bottom w:val="nil"/>
            </w:tcBorders>
            <w:shd w:val="clear" w:color="auto" w:fill="auto"/>
            <w:noWrap/>
            <w:vAlign w:val="center"/>
            <w:hideMark/>
          </w:tcPr>
          <w:p w14:paraId="11FE2F4B"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4700.8000</w:t>
            </w:r>
          </w:p>
        </w:tc>
      </w:tr>
      <w:tr w:rsidR="00BA0176" w:rsidRPr="006B5748" w14:paraId="5373AEB3" w14:textId="77777777" w:rsidTr="00C161B4">
        <w:trPr>
          <w:trHeight w:val="300"/>
        </w:trPr>
        <w:tc>
          <w:tcPr>
            <w:tcW w:w="647" w:type="pct"/>
            <w:tcBorders>
              <w:top w:val="nil"/>
              <w:left w:val="nil"/>
              <w:bottom w:val="nil"/>
            </w:tcBorders>
            <w:shd w:val="clear" w:color="auto" w:fill="auto"/>
            <w:noWrap/>
            <w:vAlign w:val="center"/>
            <w:hideMark/>
          </w:tcPr>
          <w:p w14:paraId="5BFFB386"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11975</w:t>
            </w:r>
          </w:p>
        </w:tc>
        <w:tc>
          <w:tcPr>
            <w:tcW w:w="702" w:type="pct"/>
            <w:tcBorders>
              <w:top w:val="nil"/>
              <w:bottom w:val="nil"/>
            </w:tcBorders>
            <w:shd w:val="clear" w:color="auto" w:fill="auto"/>
            <w:noWrap/>
            <w:vAlign w:val="center"/>
            <w:hideMark/>
          </w:tcPr>
          <w:p w14:paraId="7B96F7FD"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9.11.2021</w:t>
            </w:r>
          </w:p>
        </w:tc>
        <w:tc>
          <w:tcPr>
            <w:tcW w:w="669" w:type="pct"/>
            <w:tcBorders>
              <w:top w:val="nil"/>
              <w:bottom w:val="nil"/>
            </w:tcBorders>
            <w:shd w:val="clear" w:color="auto" w:fill="auto"/>
            <w:noWrap/>
            <w:vAlign w:val="center"/>
            <w:hideMark/>
          </w:tcPr>
          <w:p w14:paraId="69B49CB8"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1961.0000</w:t>
            </w:r>
          </w:p>
        </w:tc>
        <w:tc>
          <w:tcPr>
            <w:tcW w:w="969" w:type="pct"/>
            <w:tcBorders>
              <w:top w:val="nil"/>
              <w:bottom w:val="nil"/>
            </w:tcBorders>
            <w:shd w:val="clear" w:color="auto" w:fill="auto"/>
            <w:noWrap/>
            <w:vAlign w:val="center"/>
            <w:hideMark/>
          </w:tcPr>
          <w:p w14:paraId="50ED29C4"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323.0000</w:t>
            </w:r>
          </w:p>
        </w:tc>
        <w:tc>
          <w:tcPr>
            <w:tcW w:w="606" w:type="pct"/>
            <w:tcBorders>
              <w:top w:val="nil"/>
              <w:bottom w:val="nil"/>
            </w:tcBorders>
            <w:shd w:val="clear" w:color="auto" w:fill="auto"/>
            <w:noWrap/>
            <w:vAlign w:val="center"/>
            <w:hideMark/>
          </w:tcPr>
          <w:p w14:paraId="356825C3"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401.7458</w:t>
            </w:r>
          </w:p>
        </w:tc>
        <w:tc>
          <w:tcPr>
            <w:tcW w:w="669" w:type="pct"/>
            <w:tcBorders>
              <w:top w:val="nil"/>
              <w:bottom w:val="nil"/>
            </w:tcBorders>
            <w:shd w:val="clear" w:color="auto" w:fill="auto"/>
            <w:noWrap/>
            <w:vAlign w:val="center"/>
            <w:hideMark/>
          </w:tcPr>
          <w:p w14:paraId="777D7058"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1928.0442</w:t>
            </w:r>
          </w:p>
        </w:tc>
        <w:tc>
          <w:tcPr>
            <w:tcW w:w="739" w:type="pct"/>
            <w:tcBorders>
              <w:top w:val="nil"/>
              <w:bottom w:val="nil"/>
            </w:tcBorders>
            <w:shd w:val="clear" w:color="auto" w:fill="auto"/>
            <w:noWrap/>
            <w:vAlign w:val="center"/>
            <w:hideMark/>
          </w:tcPr>
          <w:p w14:paraId="224BDD40"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3990.6000</w:t>
            </w:r>
          </w:p>
        </w:tc>
      </w:tr>
      <w:tr w:rsidR="00BA0176" w:rsidRPr="006B5748" w14:paraId="12AFA37E" w14:textId="77777777" w:rsidTr="00C161B4">
        <w:trPr>
          <w:trHeight w:val="300"/>
        </w:trPr>
        <w:tc>
          <w:tcPr>
            <w:tcW w:w="647" w:type="pct"/>
            <w:tcBorders>
              <w:top w:val="nil"/>
              <w:left w:val="nil"/>
              <w:bottom w:val="nil"/>
            </w:tcBorders>
            <w:shd w:val="clear" w:color="auto" w:fill="auto"/>
            <w:noWrap/>
            <w:vAlign w:val="center"/>
            <w:hideMark/>
          </w:tcPr>
          <w:p w14:paraId="1801E9B0"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12381</w:t>
            </w:r>
          </w:p>
        </w:tc>
        <w:tc>
          <w:tcPr>
            <w:tcW w:w="702" w:type="pct"/>
            <w:tcBorders>
              <w:top w:val="nil"/>
              <w:bottom w:val="nil"/>
            </w:tcBorders>
            <w:shd w:val="clear" w:color="auto" w:fill="auto"/>
            <w:noWrap/>
            <w:vAlign w:val="center"/>
            <w:hideMark/>
          </w:tcPr>
          <w:p w14:paraId="1C6EC48E"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10.11.2021</w:t>
            </w:r>
          </w:p>
        </w:tc>
        <w:tc>
          <w:tcPr>
            <w:tcW w:w="669" w:type="pct"/>
            <w:tcBorders>
              <w:top w:val="nil"/>
              <w:bottom w:val="nil"/>
            </w:tcBorders>
            <w:shd w:val="clear" w:color="auto" w:fill="auto"/>
            <w:noWrap/>
            <w:vAlign w:val="center"/>
            <w:hideMark/>
          </w:tcPr>
          <w:p w14:paraId="6077373A"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406.0000</w:t>
            </w:r>
          </w:p>
        </w:tc>
        <w:tc>
          <w:tcPr>
            <w:tcW w:w="969" w:type="pct"/>
            <w:tcBorders>
              <w:top w:val="nil"/>
              <w:bottom w:val="nil"/>
            </w:tcBorders>
            <w:shd w:val="clear" w:color="auto" w:fill="auto"/>
            <w:noWrap/>
            <w:vAlign w:val="center"/>
            <w:hideMark/>
          </w:tcPr>
          <w:p w14:paraId="588E9C63"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317.0000</w:t>
            </w:r>
          </w:p>
        </w:tc>
        <w:tc>
          <w:tcPr>
            <w:tcW w:w="606" w:type="pct"/>
            <w:tcBorders>
              <w:top w:val="nil"/>
              <w:bottom w:val="nil"/>
            </w:tcBorders>
            <w:shd w:val="clear" w:color="auto" w:fill="auto"/>
            <w:noWrap/>
            <w:vAlign w:val="center"/>
            <w:hideMark/>
          </w:tcPr>
          <w:p w14:paraId="72126684"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397.0440</w:t>
            </w:r>
          </w:p>
        </w:tc>
        <w:tc>
          <w:tcPr>
            <w:tcW w:w="669" w:type="pct"/>
            <w:tcBorders>
              <w:top w:val="nil"/>
              <w:bottom w:val="nil"/>
            </w:tcBorders>
            <w:shd w:val="clear" w:color="auto" w:fill="auto"/>
            <w:noWrap/>
            <w:vAlign w:val="center"/>
            <w:hideMark/>
          </w:tcPr>
          <w:p w14:paraId="46F3CD04"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2611.3860</w:t>
            </w:r>
          </w:p>
        </w:tc>
        <w:tc>
          <w:tcPr>
            <w:tcW w:w="739" w:type="pct"/>
            <w:tcBorders>
              <w:top w:val="nil"/>
              <w:bottom w:val="nil"/>
            </w:tcBorders>
            <w:shd w:val="clear" w:color="auto" w:fill="auto"/>
            <w:noWrap/>
            <w:vAlign w:val="center"/>
            <w:hideMark/>
          </w:tcPr>
          <w:p w14:paraId="120CDE0F"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4169.6000</w:t>
            </w:r>
          </w:p>
        </w:tc>
      </w:tr>
      <w:tr w:rsidR="00BA0176" w:rsidRPr="006B5748" w14:paraId="1F274A8C" w14:textId="77777777" w:rsidTr="00C161B4">
        <w:trPr>
          <w:trHeight w:val="300"/>
        </w:trPr>
        <w:tc>
          <w:tcPr>
            <w:tcW w:w="647" w:type="pct"/>
            <w:tcBorders>
              <w:top w:val="nil"/>
              <w:left w:val="nil"/>
              <w:bottom w:val="nil"/>
            </w:tcBorders>
            <w:shd w:val="clear" w:color="auto" w:fill="auto"/>
            <w:noWrap/>
            <w:vAlign w:val="center"/>
            <w:hideMark/>
          </w:tcPr>
          <w:p w14:paraId="771FDB88"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12432</w:t>
            </w:r>
          </w:p>
        </w:tc>
        <w:tc>
          <w:tcPr>
            <w:tcW w:w="702" w:type="pct"/>
            <w:tcBorders>
              <w:top w:val="nil"/>
              <w:bottom w:val="nil"/>
            </w:tcBorders>
            <w:shd w:val="clear" w:color="auto" w:fill="auto"/>
            <w:noWrap/>
            <w:vAlign w:val="center"/>
            <w:hideMark/>
          </w:tcPr>
          <w:p w14:paraId="1C35EA8B"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11.11.2021</w:t>
            </w:r>
          </w:p>
        </w:tc>
        <w:tc>
          <w:tcPr>
            <w:tcW w:w="669" w:type="pct"/>
            <w:tcBorders>
              <w:top w:val="nil"/>
              <w:bottom w:val="nil"/>
            </w:tcBorders>
            <w:shd w:val="clear" w:color="auto" w:fill="auto"/>
            <w:noWrap/>
            <w:vAlign w:val="center"/>
            <w:hideMark/>
          </w:tcPr>
          <w:p w14:paraId="5B738CF8"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51.0000</w:t>
            </w:r>
          </w:p>
        </w:tc>
        <w:tc>
          <w:tcPr>
            <w:tcW w:w="969" w:type="pct"/>
            <w:tcBorders>
              <w:top w:val="nil"/>
              <w:bottom w:val="nil"/>
            </w:tcBorders>
            <w:shd w:val="clear" w:color="auto" w:fill="auto"/>
            <w:noWrap/>
            <w:vAlign w:val="center"/>
            <w:hideMark/>
          </w:tcPr>
          <w:p w14:paraId="7AF3E1F4"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407.0000</w:t>
            </w:r>
          </w:p>
        </w:tc>
        <w:tc>
          <w:tcPr>
            <w:tcW w:w="606" w:type="pct"/>
            <w:tcBorders>
              <w:top w:val="nil"/>
              <w:bottom w:val="nil"/>
            </w:tcBorders>
            <w:shd w:val="clear" w:color="auto" w:fill="auto"/>
            <w:noWrap/>
            <w:vAlign w:val="center"/>
            <w:hideMark/>
          </w:tcPr>
          <w:p w14:paraId="79304200"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409.1640</w:t>
            </w:r>
          </w:p>
        </w:tc>
        <w:tc>
          <w:tcPr>
            <w:tcW w:w="669" w:type="pct"/>
            <w:tcBorders>
              <w:top w:val="nil"/>
              <w:bottom w:val="nil"/>
            </w:tcBorders>
            <w:shd w:val="clear" w:color="auto" w:fill="auto"/>
            <w:noWrap/>
            <w:vAlign w:val="center"/>
            <w:hideMark/>
          </w:tcPr>
          <w:p w14:paraId="4B60FDA6"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1181.1460</w:t>
            </w:r>
          </w:p>
        </w:tc>
        <w:tc>
          <w:tcPr>
            <w:tcW w:w="739" w:type="pct"/>
            <w:tcBorders>
              <w:top w:val="nil"/>
              <w:bottom w:val="nil"/>
            </w:tcBorders>
            <w:shd w:val="clear" w:color="auto" w:fill="auto"/>
            <w:noWrap/>
            <w:vAlign w:val="center"/>
            <w:hideMark/>
          </w:tcPr>
          <w:p w14:paraId="62EFA8B0"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3902.6400</w:t>
            </w:r>
          </w:p>
        </w:tc>
      </w:tr>
      <w:tr w:rsidR="00BA0176" w:rsidRPr="006B5748" w14:paraId="3EDF10EC" w14:textId="77777777" w:rsidTr="00C161B4">
        <w:trPr>
          <w:trHeight w:val="300"/>
        </w:trPr>
        <w:tc>
          <w:tcPr>
            <w:tcW w:w="647" w:type="pct"/>
            <w:tcBorders>
              <w:top w:val="nil"/>
              <w:left w:val="nil"/>
              <w:bottom w:val="nil"/>
            </w:tcBorders>
            <w:shd w:val="clear" w:color="auto" w:fill="auto"/>
            <w:noWrap/>
            <w:vAlign w:val="center"/>
            <w:hideMark/>
          </w:tcPr>
          <w:p w14:paraId="416391D5"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12951</w:t>
            </w:r>
          </w:p>
        </w:tc>
        <w:tc>
          <w:tcPr>
            <w:tcW w:w="702" w:type="pct"/>
            <w:tcBorders>
              <w:top w:val="nil"/>
              <w:bottom w:val="nil"/>
            </w:tcBorders>
            <w:shd w:val="clear" w:color="auto" w:fill="auto"/>
            <w:noWrap/>
            <w:vAlign w:val="center"/>
            <w:hideMark/>
          </w:tcPr>
          <w:p w14:paraId="23DE8254"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12.11.2021</w:t>
            </w:r>
          </w:p>
        </w:tc>
        <w:tc>
          <w:tcPr>
            <w:tcW w:w="669" w:type="pct"/>
            <w:tcBorders>
              <w:top w:val="nil"/>
              <w:bottom w:val="nil"/>
            </w:tcBorders>
            <w:shd w:val="clear" w:color="auto" w:fill="auto"/>
            <w:noWrap/>
            <w:vAlign w:val="center"/>
            <w:hideMark/>
          </w:tcPr>
          <w:p w14:paraId="2A3AA436"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519.0000</w:t>
            </w:r>
          </w:p>
        </w:tc>
        <w:tc>
          <w:tcPr>
            <w:tcW w:w="969" w:type="pct"/>
            <w:tcBorders>
              <w:top w:val="nil"/>
              <w:bottom w:val="nil"/>
            </w:tcBorders>
            <w:shd w:val="clear" w:color="auto" w:fill="auto"/>
            <w:noWrap/>
            <w:vAlign w:val="center"/>
            <w:hideMark/>
          </w:tcPr>
          <w:p w14:paraId="26BA8156"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259.0000</w:t>
            </w:r>
          </w:p>
        </w:tc>
        <w:tc>
          <w:tcPr>
            <w:tcW w:w="606" w:type="pct"/>
            <w:tcBorders>
              <w:top w:val="nil"/>
              <w:bottom w:val="nil"/>
            </w:tcBorders>
            <w:shd w:val="clear" w:color="auto" w:fill="auto"/>
            <w:noWrap/>
            <w:vAlign w:val="center"/>
            <w:hideMark/>
          </w:tcPr>
          <w:p w14:paraId="5C00924A"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397.5640</w:t>
            </w:r>
          </w:p>
        </w:tc>
        <w:tc>
          <w:tcPr>
            <w:tcW w:w="669" w:type="pct"/>
            <w:tcBorders>
              <w:top w:val="nil"/>
              <w:bottom w:val="nil"/>
            </w:tcBorders>
            <w:shd w:val="clear" w:color="auto" w:fill="auto"/>
            <w:noWrap/>
            <w:vAlign w:val="center"/>
            <w:hideMark/>
          </w:tcPr>
          <w:p w14:paraId="1CF8F6C1"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2760.3460</w:t>
            </w:r>
          </w:p>
        </w:tc>
        <w:tc>
          <w:tcPr>
            <w:tcW w:w="739" w:type="pct"/>
            <w:tcBorders>
              <w:top w:val="nil"/>
              <w:bottom w:val="nil"/>
            </w:tcBorders>
            <w:shd w:val="clear" w:color="auto" w:fill="auto"/>
            <w:noWrap/>
            <w:vAlign w:val="center"/>
            <w:hideMark/>
          </w:tcPr>
          <w:p w14:paraId="161F03BC"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4560.6000</w:t>
            </w:r>
          </w:p>
        </w:tc>
      </w:tr>
      <w:tr w:rsidR="00BA0176" w:rsidRPr="006B5748" w14:paraId="023CCF4A" w14:textId="77777777" w:rsidTr="00C161B4">
        <w:trPr>
          <w:trHeight w:val="300"/>
        </w:trPr>
        <w:tc>
          <w:tcPr>
            <w:tcW w:w="647" w:type="pct"/>
            <w:tcBorders>
              <w:top w:val="nil"/>
              <w:left w:val="nil"/>
              <w:bottom w:val="nil"/>
            </w:tcBorders>
            <w:shd w:val="clear" w:color="auto" w:fill="auto"/>
            <w:noWrap/>
            <w:vAlign w:val="center"/>
            <w:hideMark/>
          </w:tcPr>
          <w:p w14:paraId="0E990E78"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13232</w:t>
            </w:r>
          </w:p>
        </w:tc>
        <w:tc>
          <w:tcPr>
            <w:tcW w:w="702" w:type="pct"/>
            <w:tcBorders>
              <w:top w:val="nil"/>
              <w:bottom w:val="nil"/>
            </w:tcBorders>
            <w:shd w:val="clear" w:color="auto" w:fill="auto"/>
            <w:noWrap/>
            <w:vAlign w:val="center"/>
            <w:hideMark/>
          </w:tcPr>
          <w:p w14:paraId="20CCD82E"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13.11.2021</w:t>
            </w:r>
          </w:p>
        </w:tc>
        <w:tc>
          <w:tcPr>
            <w:tcW w:w="669" w:type="pct"/>
            <w:tcBorders>
              <w:top w:val="nil"/>
              <w:bottom w:val="nil"/>
            </w:tcBorders>
            <w:shd w:val="clear" w:color="auto" w:fill="auto"/>
            <w:noWrap/>
            <w:vAlign w:val="center"/>
            <w:hideMark/>
          </w:tcPr>
          <w:p w14:paraId="6D8E143B"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281.0000</w:t>
            </w:r>
          </w:p>
        </w:tc>
        <w:tc>
          <w:tcPr>
            <w:tcW w:w="969" w:type="pct"/>
            <w:tcBorders>
              <w:top w:val="nil"/>
              <w:bottom w:val="nil"/>
            </w:tcBorders>
            <w:shd w:val="clear" w:color="auto" w:fill="auto"/>
            <w:noWrap/>
            <w:vAlign w:val="center"/>
            <w:hideMark/>
          </w:tcPr>
          <w:p w14:paraId="7EAB0C1F"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404.0000</w:t>
            </w:r>
          </w:p>
        </w:tc>
        <w:tc>
          <w:tcPr>
            <w:tcW w:w="606" w:type="pct"/>
            <w:tcBorders>
              <w:top w:val="nil"/>
              <w:bottom w:val="nil"/>
            </w:tcBorders>
            <w:shd w:val="clear" w:color="auto" w:fill="auto"/>
            <w:noWrap/>
            <w:vAlign w:val="center"/>
            <w:hideMark/>
          </w:tcPr>
          <w:p w14:paraId="02FD08A9"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396.4320</w:t>
            </w:r>
          </w:p>
        </w:tc>
        <w:tc>
          <w:tcPr>
            <w:tcW w:w="669" w:type="pct"/>
            <w:tcBorders>
              <w:top w:val="nil"/>
              <w:bottom w:val="nil"/>
            </w:tcBorders>
            <w:shd w:val="clear" w:color="auto" w:fill="auto"/>
            <w:noWrap/>
            <w:vAlign w:val="center"/>
            <w:hideMark/>
          </w:tcPr>
          <w:p w14:paraId="4041F790"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3212.3030</w:t>
            </w:r>
          </w:p>
        </w:tc>
        <w:tc>
          <w:tcPr>
            <w:tcW w:w="739" w:type="pct"/>
            <w:tcBorders>
              <w:top w:val="nil"/>
              <w:bottom w:val="nil"/>
            </w:tcBorders>
            <w:shd w:val="clear" w:color="auto" w:fill="auto"/>
            <w:noWrap/>
            <w:vAlign w:val="center"/>
            <w:hideMark/>
          </w:tcPr>
          <w:p w14:paraId="3DC323AF"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3879.7000</w:t>
            </w:r>
          </w:p>
        </w:tc>
      </w:tr>
      <w:tr w:rsidR="00BA0176" w:rsidRPr="006B5748" w14:paraId="5EF95590" w14:textId="77777777" w:rsidTr="00C161B4">
        <w:trPr>
          <w:trHeight w:val="300"/>
        </w:trPr>
        <w:tc>
          <w:tcPr>
            <w:tcW w:w="647" w:type="pct"/>
            <w:tcBorders>
              <w:top w:val="nil"/>
              <w:left w:val="nil"/>
              <w:bottom w:val="nil"/>
            </w:tcBorders>
            <w:shd w:val="clear" w:color="auto" w:fill="auto"/>
            <w:noWrap/>
            <w:vAlign w:val="center"/>
            <w:hideMark/>
          </w:tcPr>
          <w:p w14:paraId="71E8EDC5"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13760</w:t>
            </w:r>
          </w:p>
        </w:tc>
        <w:tc>
          <w:tcPr>
            <w:tcW w:w="702" w:type="pct"/>
            <w:tcBorders>
              <w:top w:val="nil"/>
              <w:bottom w:val="nil"/>
            </w:tcBorders>
            <w:shd w:val="clear" w:color="auto" w:fill="auto"/>
            <w:noWrap/>
            <w:vAlign w:val="center"/>
            <w:hideMark/>
          </w:tcPr>
          <w:p w14:paraId="0FF69F00"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14.11.2021</w:t>
            </w:r>
          </w:p>
        </w:tc>
        <w:tc>
          <w:tcPr>
            <w:tcW w:w="669" w:type="pct"/>
            <w:tcBorders>
              <w:top w:val="nil"/>
              <w:bottom w:val="nil"/>
            </w:tcBorders>
            <w:shd w:val="clear" w:color="auto" w:fill="auto"/>
            <w:noWrap/>
            <w:vAlign w:val="center"/>
            <w:hideMark/>
          </w:tcPr>
          <w:p w14:paraId="033E73EF"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528.0000</w:t>
            </w:r>
          </w:p>
        </w:tc>
        <w:tc>
          <w:tcPr>
            <w:tcW w:w="969" w:type="pct"/>
            <w:tcBorders>
              <w:top w:val="nil"/>
              <w:bottom w:val="nil"/>
            </w:tcBorders>
            <w:shd w:val="clear" w:color="auto" w:fill="auto"/>
            <w:noWrap/>
            <w:vAlign w:val="center"/>
            <w:hideMark/>
          </w:tcPr>
          <w:p w14:paraId="0DF23C65"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378.0000</w:t>
            </w:r>
          </w:p>
        </w:tc>
        <w:tc>
          <w:tcPr>
            <w:tcW w:w="606" w:type="pct"/>
            <w:tcBorders>
              <w:top w:val="nil"/>
              <w:bottom w:val="nil"/>
            </w:tcBorders>
            <w:shd w:val="clear" w:color="auto" w:fill="auto"/>
            <w:noWrap/>
            <w:vAlign w:val="center"/>
            <w:hideMark/>
          </w:tcPr>
          <w:p w14:paraId="21039463"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458.0102</w:t>
            </w:r>
          </w:p>
        </w:tc>
        <w:tc>
          <w:tcPr>
            <w:tcW w:w="669" w:type="pct"/>
            <w:tcBorders>
              <w:top w:val="nil"/>
              <w:bottom w:val="nil"/>
            </w:tcBorders>
            <w:shd w:val="clear" w:color="auto" w:fill="auto"/>
            <w:noWrap/>
            <w:vAlign w:val="center"/>
            <w:hideMark/>
          </w:tcPr>
          <w:p w14:paraId="21604C18"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1605.5498</w:t>
            </w:r>
          </w:p>
        </w:tc>
        <w:tc>
          <w:tcPr>
            <w:tcW w:w="739" w:type="pct"/>
            <w:tcBorders>
              <w:top w:val="nil"/>
              <w:bottom w:val="nil"/>
            </w:tcBorders>
            <w:shd w:val="clear" w:color="auto" w:fill="auto"/>
            <w:noWrap/>
            <w:vAlign w:val="center"/>
            <w:hideMark/>
          </w:tcPr>
          <w:p w14:paraId="0653FC0E"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4180.4000</w:t>
            </w:r>
          </w:p>
        </w:tc>
      </w:tr>
      <w:tr w:rsidR="00BA0176" w:rsidRPr="006B5748" w14:paraId="77210F12" w14:textId="77777777" w:rsidTr="00C161B4">
        <w:trPr>
          <w:trHeight w:val="300"/>
        </w:trPr>
        <w:tc>
          <w:tcPr>
            <w:tcW w:w="647" w:type="pct"/>
            <w:tcBorders>
              <w:top w:val="nil"/>
              <w:left w:val="nil"/>
              <w:bottom w:val="nil"/>
            </w:tcBorders>
            <w:shd w:val="clear" w:color="auto" w:fill="auto"/>
            <w:noWrap/>
            <w:vAlign w:val="center"/>
            <w:hideMark/>
          </w:tcPr>
          <w:p w14:paraId="1E546329"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14021</w:t>
            </w:r>
          </w:p>
        </w:tc>
        <w:tc>
          <w:tcPr>
            <w:tcW w:w="702" w:type="pct"/>
            <w:tcBorders>
              <w:top w:val="nil"/>
              <w:bottom w:val="nil"/>
            </w:tcBorders>
            <w:shd w:val="clear" w:color="auto" w:fill="auto"/>
            <w:noWrap/>
            <w:vAlign w:val="center"/>
            <w:hideMark/>
          </w:tcPr>
          <w:p w14:paraId="266CDA50"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15.11.2021</w:t>
            </w:r>
          </w:p>
        </w:tc>
        <w:tc>
          <w:tcPr>
            <w:tcW w:w="669" w:type="pct"/>
            <w:tcBorders>
              <w:top w:val="nil"/>
              <w:bottom w:val="nil"/>
            </w:tcBorders>
            <w:shd w:val="clear" w:color="auto" w:fill="auto"/>
            <w:noWrap/>
            <w:vAlign w:val="center"/>
            <w:hideMark/>
          </w:tcPr>
          <w:p w14:paraId="38FFEE4E"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261.0000</w:t>
            </w:r>
          </w:p>
        </w:tc>
        <w:tc>
          <w:tcPr>
            <w:tcW w:w="969" w:type="pct"/>
            <w:tcBorders>
              <w:top w:val="nil"/>
              <w:bottom w:val="nil"/>
            </w:tcBorders>
            <w:shd w:val="clear" w:color="auto" w:fill="auto"/>
            <w:noWrap/>
            <w:vAlign w:val="center"/>
            <w:hideMark/>
          </w:tcPr>
          <w:p w14:paraId="4D65E580"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331.0000</w:t>
            </w:r>
          </w:p>
        </w:tc>
        <w:tc>
          <w:tcPr>
            <w:tcW w:w="606" w:type="pct"/>
            <w:tcBorders>
              <w:top w:val="nil"/>
              <w:bottom w:val="nil"/>
            </w:tcBorders>
            <w:shd w:val="clear" w:color="auto" w:fill="auto"/>
            <w:noWrap/>
            <w:vAlign w:val="center"/>
            <w:hideMark/>
          </w:tcPr>
          <w:p w14:paraId="59223E0F"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414.6004</w:t>
            </w:r>
          </w:p>
        </w:tc>
        <w:tc>
          <w:tcPr>
            <w:tcW w:w="669" w:type="pct"/>
            <w:tcBorders>
              <w:top w:val="nil"/>
              <w:bottom w:val="nil"/>
            </w:tcBorders>
            <w:shd w:val="clear" w:color="auto" w:fill="auto"/>
            <w:noWrap/>
            <w:vAlign w:val="center"/>
            <w:hideMark/>
          </w:tcPr>
          <w:p w14:paraId="11B3A822"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2144.6796</w:t>
            </w:r>
          </w:p>
        </w:tc>
        <w:tc>
          <w:tcPr>
            <w:tcW w:w="739" w:type="pct"/>
            <w:tcBorders>
              <w:top w:val="nil"/>
              <w:bottom w:val="nil"/>
            </w:tcBorders>
            <w:shd w:val="clear" w:color="auto" w:fill="auto"/>
            <w:noWrap/>
            <w:vAlign w:val="center"/>
            <w:hideMark/>
          </w:tcPr>
          <w:p w14:paraId="3445DC4C"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4170.5300</w:t>
            </w:r>
          </w:p>
        </w:tc>
      </w:tr>
      <w:tr w:rsidR="00BA0176" w:rsidRPr="006B5748" w14:paraId="21476539" w14:textId="77777777" w:rsidTr="00C161B4">
        <w:trPr>
          <w:trHeight w:val="300"/>
        </w:trPr>
        <w:tc>
          <w:tcPr>
            <w:tcW w:w="647" w:type="pct"/>
            <w:tcBorders>
              <w:top w:val="nil"/>
              <w:left w:val="nil"/>
              <w:bottom w:val="nil"/>
            </w:tcBorders>
            <w:shd w:val="clear" w:color="auto" w:fill="auto"/>
            <w:noWrap/>
            <w:vAlign w:val="center"/>
            <w:hideMark/>
          </w:tcPr>
          <w:p w14:paraId="4A4C1FF9"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14547</w:t>
            </w:r>
          </w:p>
        </w:tc>
        <w:tc>
          <w:tcPr>
            <w:tcW w:w="702" w:type="pct"/>
            <w:tcBorders>
              <w:top w:val="nil"/>
              <w:bottom w:val="nil"/>
            </w:tcBorders>
            <w:shd w:val="clear" w:color="auto" w:fill="auto"/>
            <w:noWrap/>
            <w:vAlign w:val="center"/>
            <w:hideMark/>
          </w:tcPr>
          <w:p w14:paraId="657365CD"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16.11.2021</w:t>
            </w:r>
          </w:p>
        </w:tc>
        <w:tc>
          <w:tcPr>
            <w:tcW w:w="669" w:type="pct"/>
            <w:tcBorders>
              <w:top w:val="nil"/>
              <w:bottom w:val="nil"/>
            </w:tcBorders>
            <w:shd w:val="clear" w:color="auto" w:fill="auto"/>
            <w:noWrap/>
            <w:vAlign w:val="center"/>
            <w:hideMark/>
          </w:tcPr>
          <w:p w14:paraId="17155B37"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526.0000</w:t>
            </w:r>
          </w:p>
        </w:tc>
        <w:tc>
          <w:tcPr>
            <w:tcW w:w="969" w:type="pct"/>
            <w:tcBorders>
              <w:top w:val="nil"/>
              <w:bottom w:val="nil"/>
            </w:tcBorders>
            <w:shd w:val="clear" w:color="auto" w:fill="auto"/>
            <w:noWrap/>
            <w:vAlign w:val="center"/>
            <w:hideMark/>
          </w:tcPr>
          <w:p w14:paraId="29591C7B"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428.0000</w:t>
            </w:r>
          </w:p>
        </w:tc>
        <w:tc>
          <w:tcPr>
            <w:tcW w:w="606" w:type="pct"/>
            <w:tcBorders>
              <w:top w:val="nil"/>
              <w:bottom w:val="nil"/>
            </w:tcBorders>
            <w:shd w:val="clear" w:color="auto" w:fill="auto"/>
            <w:noWrap/>
            <w:vAlign w:val="center"/>
            <w:hideMark/>
          </w:tcPr>
          <w:p w14:paraId="5AA669CE"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398.7597</w:t>
            </w:r>
          </w:p>
        </w:tc>
        <w:tc>
          <w:tcPr>
            <w:tcW w:w="669" w:type="pct"/>
            <w:tcBorders>
              <w:top w:val="nil"/>
              <w:bottom w:val="nil"/>
            </w:tcBorders>
            <w:shd w:val="clear" w:color="auto" w:fill="auto"/>
            <w:noWrap/>
            <w:vAlign w:val="center"/>
            <w:hideMark/>
          </w:tcPr>
          <w:p w14:paraId="3D35FCD8"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1877.7303</w:t>
            </w:r>
          </w:p>
        </w:tc>
        <w:tc>
          <w:tcPr>
            <w:tcW w:w="739" w:type="pct"/>
            <w:tcBorders>
              <w:top w:val="nil"/>
              <w:bottom w:val="nil"/>
            </w:tcBorders>
            <w:shd w:val="clear" w:color="auto" w:fill="auto"/>
            <w:noWrap/>
            <w:vAlign w:val="center"/>
            <w:hideMark/>
          </w:tcPr>
          <w:p w14:paraId="5B31D1B8"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4591.6500</w:t>
            </w:r>
          </w:p>
        </w:tc>
      </w:tr>
      <w:tr w:rsidR="00BA0176" w:rsidRPr="006B5748" w14:paraId="164F1080" w14:textId="77777777" w:rsidTr="00C161B4">
        <w:trPr>
          <w:trHeight w:val="300"/>
        </w:trPr>
        <w:tc>
          <w:tcPr>
            <w:tcW w:w="647" w:type="pct"/>
            <w:tcBorders>
              <w:top w:val="nil"/>
              <w:left w:val="nil"/>
              <w:bottom w:val="nil"/>
            </w:tcBorders>
            <w:shd w:val="clear" w:color="auto" w:fill="auto"/>
            <w:noWrap/>
            <w:vAlign w:val="center"/>
            <w:hideMark/>
          </w:tcPr>
          <w:p w14:paraId="4B030C54"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14901</w:t>
            </w:r>
          </w:p>
        </w:tc>
        <w:tc>
          <w:tcPr>
            <w:tcW w:w="702" w:type="pct"/>
            <w:tcBorders>
              <w:top w:val="nil"/>
              <w:bottom w:val="nil"/>
            </w:tcBorders>
            <w:shd w:val="clear" w:color="auto" w:fill="auto"/>
            <w:noWrap/>
            <w:vAlign w:val="center"/>
            <w:hideMark/>
          </w:tcPr>
          <w:p w14:paraId="4EFCDD70"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17.11.2021</w:t>
            </w:r>
          </w:p>
        </w:tc>
        <w:tc>
          <w:tcPr>
            <w:tcW w:w="669" w:type="pct"/>
            <w:tcBorders>
              <w:top w:val="nil"/>
              <w:bottom w:val="nil"/>
            </w:tcBorders>
            <w:shd w:val="clear" w:color="auto" w:fill="auto"/>
            <w:noWrap/>
            <w:vAlign w:val="center"/>
            <w:hideMark/>
          </w:tcPr>
          <w:p w14:paraId="55C7F33E"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354.0000</w:t>
            </w:r>
          </w:p>
        </w:tc>
        <w:tc>
          <w:tcPr>
            <w:tcW w:w="969" w:type="pct"/>
            <w:tcBorders>
              <w:top w:val="nil"/>
              <w:bottom w:val="nil"/>
            </w:tcBorders>
            <w:shd w:val="clear" w:color="auto" w:fill="auto"/>
            <w:noWrap/>
            <w:vAlign w:val="center"/>
            <w:hideMark/>
          </w:tcPr>
          <w:p w14:paraId="72CB7E64"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418.0000</w:t>
            </w:r>
          </w:p>
        </w:tc>
        <w:tc>
          <w:tcPr>
            <w:tcW w:w="606" w:type="pct"/>
            <w:tcBorders>
              <w:top w:val="nil"/>
              <w:bottom w:val="nil"/>
            </w:tcBorders>
            <w:shd w:val="clear" w:color="auto" w:fill="auto"/>
            <w:noWrap/>
            <w:vAlign w:val="center"/>
            <w:hideMark/>
          </w:tcPr>
          <w:p w14:paraId="03BCBF9D"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396.4197</w:t>
            </w:r>
          </w:p>
        </w:tc>
        <w:tc>
          <w:tcPr>
            <w:tcW w:w="669" w:type="pct"/>
            <w:tcBorders>
              <w:top w:val="nil"/>
              <w:bottom w:val="nil"/>
            </w:tcBorders>
            <w:shd w:val="clear" w:color="auto" w:fill="auto"/>
            <w:noWrap/>
            <w:vAlign w:val="center"/>
            <w:hideMark/>
          </w:tcPr>
          <w:p w14:paraId="7B0F921E"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2242.4103</w:t>
            </w:r>
          </w:p>
        </w:tc>
        <w:tc>
          <w:tcPr>
            <w:tcW w:w="739" w:type="pct"/>
            <w:tcBorders>
              <w:top w:val="nil"/>
              <w:bottom w:val="nil"/>
            </w:tcBorders>
            <w:shd w:val="clear" w:color="auto" w:fill="auto"/>
            <w:noWrap/>
            <w:vAlign w:val="center"/>
            <w:hideMark/>
          </w:tcPr>
          <w:p w14:paraId="1F658FEC"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4510.5700</w:t>
            </w:r>
          </w:p>
        </w:tc>
      </w:tr>
      <w:tr w:rsidR="00BA0176" w:rsidRPr="006B5748" w14:paraId="05FF33E1" w14:textId="77777777" w:rsidTr="00C161B4">
        <w:trPr>
          <w:trHeight w:val="300"/>
        </w:trPr>
        <w:tc>
          <w:tcPr>
            <w:tcW w:w="647" w:type="pct"/>
            <w:tcBorders>
              <w:top w:val="nil"/>
              <w:left w:val="nil"/>
              <w:bottom w:val="nil"/>
            </w:tcBorders>
            <w:shd w:val="clear" w:color="auto" w:fill="auto"/>
            <w:noWrap/>
            <w:vAlign w:val="center"/>
            <w:hideMark/>
          </w:tcPr>
          <w:p w14:paraId="7238C814"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15256</w:t>
            </w:r>
          </w:p>
        </w:tc>
        <w:tc>
          <w:tcPr>
            <w:tcW w:w="702" w:type="pct"/>
            <w:tcBorders>
              <w:top w:val="nil"/>
              <w:bottom w:val="nil"/>
            </w:tcBorders>
            <w:shd w:val="clear" w:color="auto" w:fill="auto"/>
            <w:noWrap/>
            <w:vAlign w:val="center"/>
            <w:hideMark/>
          </w:tcPr>
          <w:p w14:paraId="07608F58"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18.11.2021</w:t>
            </w:r>
          </w:p>
        </w:tc>
        <w:tc>
          <w:tcPr>
            <w:tcW w:w="669" w:type="pct"/>
            <w:tcBorders>
              <w:top w:val="nil"/>
              <w:bottom w:val="nil"/>
            </w:tcBorders>
            <w:shd w:val="clear" w:color="auto" w:fill="auto"/>
            <w:noWrap/>
            <w:vAlign w:val="center"/>
            <w:hideMark/>
          </w:tcPr>
          <w:p w14:paraId="1E67E1FC"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355.0000</w:t>
            </w:r>
          </w:p>
        </w:tc>
        <w:tc>
          <w:tcPr>
            <w:tcW w:w="969" w:type="pct"/>
            <w:tcBorders>
              <w:top w:val="nil"/>
              <w:bottom w:val="nil"/>
            </w:tcBorders>
            <w:shd w:val="clear" w:color="auto" w:fill="auto"/>
            <w:noWrap/>
            <w:vAlign w:val="center"/>
            <w:hideMark/>
          </w:tcPr>
          <w:p w14:paraId="1255512C"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387.0000</w:t>
            </w:r>
          </w:p>
        </w:tc>
        <w:tc>
          <w:tcPr>
            <w:tcW w:w="606" w:type="pct"/>
            <w:tcBorders>
              <w:top w:val="nil"/>
              <w:bottom w:val="nil"/>
            </w:tcBorders>
            <w:shd w:val="clear" w:color="auto" w:fill="auto"/>
            <w:noWrap/>
            <w:vAlign w:val="center"/>
            <w:hideMark/>
          </w:tcPr>
          <w:p w14:paraId="6E17C98B"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399.5838</w:t>
            </w:r>
          </w:p>
        </w:tc>
        <w:tc>
          <w:tcPr>
            <w:tcW w:w="669" w:type="pct"/>
            <w:tcBorders>
              <w:top w:val="nil"/>
              <w:bottom w:val="nil"/>
            </w:tcBorders>
            <w:shd w:val="clear" w:color="auto" w:fill="auto"/>
            <w:noWrap/>
            <w:vAlign w:val="center"/>
            <w:hideMark/>
          </w:tcPr>
          <w:p w14:paraId="219BBB0E"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2807.3062</w:t>
            </w:r>
          </w:p>
        </w:tc>
        <w:tc>
          <w:tcPr>
            <w:tcW w:w="739" w:type="pct"/>
            <w:tcBorders>
              <w:top w:val="nil"/>
              <w:bottom w:val="nil"/>
            </w:tcBorders>
            <w:shd w:val="clear" w:color="auto" w:fill="auto"/>
            <w:noWrap/>
            <w:vAlign w:val="center"/>
            <w:hideMark/>
          </w:tcPr>
          <w:p w14:paraId="6E63CEBE"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4445.9200</w:t>
            </w:r>
          </w:p>
        </w:tc>
      </w:tr>
      <w:tr w:rsidR="00BA0176" w:rsidRPr="006B5748" w14:paraId="094A3D8B" w14:textId="77777777" w:rsidTr="00C161B4">
        <w:trPr>
          <w:trHeight w:val="300"/>
        </w:trPr>
        <w:tc>
          <w:tcPr>
            <w:tcW w:w="647" w:type="pct"/>
            <w:tcBorders>
              <w:top w:val="nil"/>
              <w:left w:val="nil"/>
              <w:bottom w:val="nil"/>
            </w:tcBorders>
            <w:shd w:val="clear" w:color="auto" w:fill="auto"/>
            <w:noWrap/>
            <w:vAlign w:val="center"/>
            <w:hideMark/>
          </w:tcPr>
          <w:p w14:paraId="2A760519"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15636</w:t>
            </w:r>
          </w:p>
        </w:tc>
        <w:tc>
          <w:tcPr>
            <w:tcW w:w="702" w:type="pct"/>
            <w:tcBorders>
              <w:top w:val="nil"/>
              <w:bottom w:val="nil"/>
            </w:tcBorders>
            <w:shd w:val="clear" w:color="auto" w:fill="auto"/>
            <w:noWrap/>
            <w:vAlign w:val="center"/>
            <w:hideMark/>
          </w:tcPr>
          <w:p w14:paraId="0CAE5911"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19.11.2021</w:t>
            </w:r>
          </w:p>
        </w:tc>
        <w:tc>
          <w:tcPr>
            <w:tcW w:w="669" w:type="pct"/>
            <w:tcBorders>
              <w:top w:val="nil"/>
              <w:bottom w:val="nil"/>
            </w:tcBorders>
            <w:shd w:val="clear" w:color="auto" w:fill="auto"/>
            <w:noWrap/>
            <w:vAlign w:val="center"/>
            <w:hideMark/>
          </w:tcPr>
          <w:p w14:paraId="179B9182"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380.0000</w:t>
            </w:r>
          </w:p>
        </w:tc>
        <w:tc>
          <w:tcPr>
            <w:tcW w:w="969" w:type="pct"/>
            <w:tcBorders>
              <w:top w:val="nil"/>
              <w:bottom w:val="nil"/>
            </w:tcBorders>
            <w:shd w:val="clear" w:color="auto" w:fill="auto"/>
            <w:noWrap/>
            <w:vAlign w:val="center"/>
            <w:hideMark/>
          </w:tcPr>
          <w:p w14:paraId="4629E1C5"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442.0000</w:t>
            </w:r>
          </w:p>
        </w:tc>
        <w:tc>
          <w:tcPr>
            <w:tcW w:w="606" w:type="pct"/>
            <w:tcBorders>
              <w:top w:val="nil"/>
              <w:bottom w:val="nil"/>
            </w:tcBorders>
            <w:shd w:val="clear" w:color="auto" w:fill="auto"/>
            <w:noWrap/>
            <w:vAlign w:val="center"/>
            <w:hideMark/>
          </w:tcPr>
          <w:p w14:paraId="4FC72F96"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404.9458</w:t>
            </w:r>
          </w:p>
        </w:tc>
        <w:tc>
          <w:tcPr>
            <w:tcW w:w="669" w:type="pct"/>
            <w:tcBorders>
              <w:top w:val="nil"/>
              <w:bottom w:val="nil"/>
            </w:tcBorders>
            <w:shd w:val="clear" w:color="auto" w:fill="auto"/>
            <w:noWrap/>
            <w:vAlign w:val="center"/>
            <w:hideMark/>
          </w:tcPr>
          <w:p w14:paraId="27797259"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2605.5542</w:t>
            </w:r>
          </w:p>
        </w:tc>
        <w:tc>
          <w:tcPr>
            <w:tcW w:w="739" w:type="pct"/>
            <w:tcBorders>
              <w:top w:val="nil"/>
              <w:bottom w:val="nil"/>
            </w:tcBorders>
            <w:shd w:val="clear" w:color="auto" w:fill="auto"/>
            <w:noWrap/>
            <w:vAlign w:val="center"/>
            <w:hideMark/>
          </w:tcPr>
          <w:p w14:paraId="79248689"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4184.5100</w:t>
            </w:r>
          </w:p>
        </w:tc>
      </w:tr>
      <w:tr w:rsidR="00BA0176" w:rsidRPr="006B5748" w14:paraId="45912CF0" w14:textId="77777777" w:rsidTr="00C161B4">
        <w:trPr>
          <w:trHeight w:val="300"/>
        </w:trPr>
        <w:tc>
          <w:tcPr>
            <w:tcW w:w="647" w:type="pct"/>
            <w:tcBorders>
              <w:top w:val="nil"/>
              <w:left w:val="nil"/>
              <w:bottom w:val="nil"/>
            </w:tcBorders>
            <w:shd w:val="clear" w:color="auto" w:fill="auto"/>
            <w:noWrap/>
            <w:vAlign w:val="center"/>
            <w:hideMark/>
          </w:tcPr>
          <w:p w14:paraId="0027B612"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16226</w:t>
            </w:r>
          </w:p>
        </w:tc>
        <w:tc>
          <w:tcPr>
            <w:tcW w:w="702" w:type="pct"/>
            <w:tcBorders>
              <w:top w:val="nil"/>
              <w:bottom w:val="nil"/>
            </w:tcBorders>
            <w:shd w:val="clear" w:color="auto" w:fill="auto"/>
            <w:noWrap/>
            <w:vAlign w:val="center"/>
            <w:hideMark/>
          </w:tcPr>
          <w:p w14:paraId="0E808957"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20.11.2021</w:t>
            </w:r>
          </w:p>
        </w:tc>
        <w:tc>
          <w:tcPr>
            <w:tcW w:w="669" w:type="pct"/>
            <w:tcBorders>
              <w:top w:val="nil"/>
              <w:bottom w:val="nil"/>
            </w:tcBorders>
            <w:shd w:val="clear" w:color="auto" w:fill="auto"/>
            <w:noWrap/>
            <w:vAlign w:val="center"/>
            <w:hideMark/>
          </w:tcPr>
          <w:p w14:paraId="742175F1"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590.0000</w:t>
            </w:r>
          </w:p>
        </w:tc>
        <w:tc>
          <w:tcPr>
            <w:tcW w:w="969" w:type="pct"/>
            <w:tcBorders>
              <w:top w:val="nil"/>
              <w:bottom w:val="nil"/>
            </w:tcBorders>
            <w:shd w:val="clear" w:color="auto" w:fill="auto"/>
            <w:noWrap/>
            <w:vAlign w:val="center"/>
            <w:hideMark/>
          </w:tcPr>
          <w:p w14:paraId="42B6949F"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416.0000</w:t>
            </w:r>
          </w:p>
        </w:tc>
        <w:tc>
          <w:tcPr>
            <w:tcW w:w="606" w:type="pct"/>
            <w:tcBorders>
              <w:top w:val="nil"/>
              <w:bottom w:val="nil"/>
            </w:tcBorders>
            <w:shd w:val="clear" w:color="auto" w:fill="auto"/>
            <w:noWrap/>
            <w:vAlign w:val="center"/>
            <w:hideMark/>
          </w:tcPr>
          <w:p w14:paraId="71705D5E"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621.2916</w:t>
            </w:r>
          </w:p>
        </w:tc>
        <w:tc>
          <w:tcPr>
            <w:tcW w:w="669" w:type="pct"/>
            <w:tcBorders>
              <w:top w:val="nil"/>
              <w:bottom w:val="nil"/>
            </w:tcBorders>
            <w:shd w:val="clear" w:color="auto" w:fill="auto"/>
            <w:noWrap/>
            <w:vAlign w:val="center"/>
            <w:hideMark/>
          </w:tcPr>
          <w:p w14:paraId="7EBAD588"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1658.8384</w:t>
            </w:r>
          </w:p>
        </w:tc>
        <w:tc>
          <w:tcPr>
            <w:tcW w:w="739" w:type="pct"/>
            <w:tcBorders>
              <w:top w:val="nil"/>
              <w:bottom w:val="nil"/>
            </w:tcBorders>
            <w:shd w:val="clear" w:color="auto" w:fill="auto"/>
            <w:noWrap/>
            <w:vAlign w:val="center"/>
            <w:hideMark/>
          </w:tcPr>
          <w:p w14:paraId="609EC24F"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4194.2000</w:t>
            </w:r>
          </w:p>
        </w:tc>
      </w:tr>
      <w:tr w:rsidR="00BA0176" w:rsidRPr="006B5748" w14:paraId="7E37F1A6" w14:textId="77777777" w:rsidTr="00C161B4">
        <w:trPr>
          <w:trHeight w:val="315"/>
        </w:trPr>
        <w:tc>
          <w:tcPr>
            <w:tcW w:w="647" w:type="pct"/>
            <w:tcBorders>
              <w:top w:val="nil"/>
              <w:left w:val="nil"/>
              <w:bottom w:val="nil"/>
            </w:tcBorders>
            <w:shd w:val="clear" w:color="auto" w:fill="auto"/>
            <w:noWrap/>
            <w:vAlign w:val="center"/>
            <w:hideMark/>
          </w:tcPr>
          <w:p w14:paraId="6D75BDAA"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19126</w:t>
            </w:r>
          </w:p>
        </w:tc>
        <w:tc>
          <w:tcPr>
            <w:tcW w:w="702" w:type="pct"/>
            <w:tcBorders>
              <w:top w:val="nil"/>
              <w:bottom w:val="nil"/>
            </w:tcBorders>
            <w:shd w:val="clear" w:color="auto" w:fill="auto"/>
            <w:noWrap/>
            <w:vAlign w:val="center"/>
            <w:hideMark/>
          </w:tcPr>
          <w:p w14:paraId="58FA11BA"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29.11.2021</w:t>
            </w:r>
          </w:p>
        </w:tc>
        <w:tc>
          <w:tcPr>
            <w:tcW w:w="669" w:type="pct"/>
            <w:tcBorders>
              <w:top w:val="nil"/>
              <w:bottom w:val="nil"/>
            </w:tcBorders>
            <w:shd w:val="clear" w:color="auto" w:fill="auto"/>
            <w:noWrap/>
            <w:vAlign w:val="center"/>
            <w:hideMark/>
          </w:tcPr>
          <w:p w14:paraId="0C86E6DD"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2900.0000</w:t>
            </w:r>
          </w:p>
        </w:tc>
        <w:tc>
          <w:tcPr>
            <w:tcW w:w="969" w:type="pct"/>
            <w:tcBorders>
              <w:top w:val="nil"/>
              <w:bottom w:val="nil"/>
            </w:tcBorders>
            <w:shd w:val="clear" w:color="auto" w:fill="auto"/>
            <w:noWrap/>
            <w:vAlign w:val="center"/>
            <w:hideMark/>
          </w:tcPr>
          <w:p w14:paraId="2E535B0B"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388.0000</w:t>
            </w:r>
          </w:p>
        </w:tc>
        <w:tc>
          <w:tcPr>
            <w:tcW w:w="606" w:type="pct"/>
            <w:tcBorders>
              <w:top w:val="nil"/>
              <w:bottom w:val="nil"/>
            </w:tcBorders>
            <w:shd w:val="clear" w:color="auto" w:fill="auto"/>
            <w:noWrap/>
            <w:vAlign w:val="center"/>
            <w:hideMark/>
          </w:tcPr>
          <w:p w14:paraId="4ED875A9"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440.6909</w:t>
            </w:r>
          </w:p>
        </w:tc>
        <w:tc>
          <w:tcPr>
            <w:tcW w:w="669" w:type="pct"/>
            <w:tcBorders>
              <w:top w:val="nil"/>
              <w:bottom w:val="nil"/>
            </w:tcBorders>
            <w:shd w:val="clear" w:color="auto" w:fill="auto"/>
            <w:noWrap/>
            <w:vAlign w:val="center"/>
            <w:hideMark/>
          </w:tcPr>
          <w:p w14:paraId="6126A4DE"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2786.7491</w:t>
            </w:r>
          </w:p>
        </w:tc>
        <w:tc>
          <w:tcPr>
            <w:tcW w:w="739" w:type="pct"/>
            <w:tcBorders>
              <w:top w:val="nil"/>
              <w:bottom w:val="nil"/>
            </w:tcBorders>
            <w:shd w:val="clear" w:color="auto" w:fill="auto"/>
            <w:noWrap/>
            <w:vAlign w:val="center"/>
            <w:hideMark/>
          </w:tcPr>
          <w:p w14:paraId="228FB5A3"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4764.7000</w:t>
            </w:r>
          </w:p>
        </w:tc>
      </w:tr>
      <w:tr w:rsidR="00BA0176" w:rsidRPr="006B5748" w14:paraId="1B85FFD6" w14:textId="77777777" w:rsidTr="00C161B4">
        <w:trPr>
          <w:trHeight w:val="300"/>
        </w:trPr>
        <w:tc>
          <w:tcPr>
            <w:tcW w:w="647" w:type="pct"/>
            <w:tcBorders>
              <w:top w:val="nil"/>
              <w:left w:val="nil"/>
            </w:tcBorders>
            <w:shd w:val="clear" w:color="auto" w:fill="auto"/>
            <w:noWrap/>
            <w:vAlign w:val="center"/>
            <w:hideMark/>
          </w:tcPr>
          <w:p w14:paraId="433E596D"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19466</w:t>
            </w:r>
          </w:p>
        </w:tc>
        <w:tc>
          <w:tcPr>
            <w:tcW w:w="702" w:type="pct"/>
            <w:tcBorders>
              <w:top w:val="nil"/>
            </w:tcBorders>
            <w:shd w:val="clear" w:color="auto" w:fill="auto"/>
            <w:noWrap/>
            <w:vAlign w:val="center"/>
            <w:hideMark/>
          </w:tcPr>
          <w:p w14:paraId="49F988A2"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30.11.2021</w:t>
            </w:r>
          </w:p>
        </w:tc>
        <w:tc>
          <w:tcPr>
            <w:tcW w:w="669" w:type="pct"/>
            <w:tcBorders>
              <w:top w:val="nil"/>
            </w:tcBorders>
            <w:shd w:val="clear" w:color="auto" w:fill="auto"/>
            <w:noWrap/>
            <w:vAlign w:val="center"/>
            <w:hideMark/>
          </w:tcPr>
          <w:p w14:paraId="04FB871F"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340.0000</w:t>
            </w:r>
          </w:p>
        </w:tc>
        <w:tc>
          <w:tcPr>
            <w:tcW w:w="969" w:type="pct"/>
            <w:tcBorders>
              <w:top w:val="nil"/>
            </w:tcBorders>
            <w:shd w:val="clear" w:color="auto" w:fill="auto"/>
            <w:noWrap/>
            <w:vAlign w:val="center"/>
            <w:hideMark/>
          </w:tcPr>
          <w:p w14:paraId="407B62B0"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339.0000</w:t>
            </w:r>
          </w:p>
        </w:tc>
        <w:tc>
          <w:tcPr>
            <w:tcW w:w="606" w:type="pct"/>
            <w:tcBorders>
              <w:top w:val="nil"/>
            </w:tcBorders>
            <w:shd w:val="clear" w:color="auto" w:fill="auto"/>
            <w:noWrap/>
            <w:vAlign w:val="center"/>
            <w:hideMark/>
          </w:tcPr>
          <w:p w14:paraId="5885DD24"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406.1911</w:t>
            </w:r>
          </w:p>
        </w:tc>
        <w:tc>
          <w:tcPr>
            <w:tcW w:w="669" w:type="pct"/>
            <w:tcBorders>
              <w:top w:val="nil"/>
            </w:tcBorders>
            <w:shd w:val="clear" w:color="auto" w:fill="auto"/>
            <w:noWrap/>
            <w:vAlign w:val="center"/>
            <w:hideMark/>
          </w:tcPr>
          <w:p w14:paraId="22819ACD"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2229.0889</w:t>
            </w:r>
          </w:p>
        </w:tc>
        <w:tc>
          <w:tcPr>
            <w:tcW w:w="739" w:type="pct"/>
            <w:tcBorders>
              <w:top w:val="nil"/>
            </w:tcBorders>
            <w:shd w:val="clear" w:color="auto" w:fill="auto"/>
            <w:noWrap/>
            <w:vAlign w:val="center"/>
            <w:hideMark/>
          </w:tcPr>
          <w:p w14:paraId="611C7373"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4279.8000</w:t>
            </w:r>
          </w:p>
        </w:tc>
      </w:tr>
      <w:tr w:rsidR="00BA0176" w:rsidRPr="006B5748" w14:paraId="0DE2D30D" w14:textId="77777777" w:rsidTr="00C161B4">
        <w:trPr>
          <w:trHeight w:val="300"/>
        </w:trPr>
        <w:tc>
          <w:tcPr>
            <w:tcW w:w="647" w:type="pct"/>
            <w:tcBorders>
              <w:top w:val="nil"/>
              <w:left w:val="nil"/>
              <w:bottom w:val="nil"/>
            </w:tcBorders>
            <w:shd w:val="clear" w:color="auto" w:fill="auto"/>
            <w:noWrap/>
            <w:vAlign w:val="center"/>
            <w:hideMark/>
          </w:tcPr>
          <w:p w14:paraId="7EB46E49"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19761</w:t>
            </w:r>
          </w:p>
        </w:tc>
        <w:tc>
          <w:tcPr>
            <w:tcW w:w="702" w:type="pct"/>
            <w:tcBorders>
              <w:top w:val="nil"/>
              <w:bottom w:val="nil"/>
            </w:tcBorders>
            <w:shd w:val="clear" w:color="auto" w:fill="auto"/>
            <w:noWrap/>
            <w:vAlign w:val="center"/>
            <w:hideMark/>
          </w:tcPr>
          <w:p w14:paraId="6AF7D38A"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1.12.2021</w:t>
            </w:r>
          </w:p>
        </w:tc>
        <w:tc>
          <w:tcPr>
            <w:tcW w:w="669" w:type="pct"/>
            <w:tcBorders>
              <w:top w:val="nil"/>
              <w:bottom w:val="nil"/>
            </w:tcBorders>
            <w:shd w:val="clear" w:color="auto" w:fill="auto"/>
            <w:noWrap/>
            <w:vAlign w:val="center"/>
            <w:hideMark/>
          </w:tcPr>
          <w:p w14:paraId="407B3A10"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295.0000</w:t>
            </w:r>
          </w:p>
        </w:tc>
        <w:tc>
          <w:tcPr>
            <w:tcW w:w="969" w:type="pct"/>
            <w:tcBorders>
              <w:top w:val="nil"/>
              <w:bottom w:val="nil"/>
            </w:tcBorders>
            <w:shd w:val="clear" w:color="auto" w:fill="auto"/>
            <w:noWrap/>
            <w:vAlign w:val="center"/>
            <w:hideMark/>
          </w:tcPr>
          <w:p w14:paraId="526F4510"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297.0000</w:t>
            </w:r>
          </w:p>
        </w:tc>
        <w:tc>
          <w:tcPr>
            <w:tcW w:w="606" w:type="pct"/>
            <w:tcBorders>
              <w:top w:val="nil"/>
              <w:bottom w:val="nil"/>
            </w:tcBorders>
            <w:shd w:val="clear" w:color="auto" w:fill="auto"/>
            <w:noWrap/>
            <w:vAlign w:val="center"/>
            <w:hideMark/>
          </w:tcPr>
          <w:p w14:paraId="11B95B12"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403.4309</w:t>
            </w:r>
          </w:p>
        </w:tc>
        <w:tc>
          <w:tcPr>
            <w:tcW w:w="669" w:type="pct"/>
            <w:tcBorders>
              <w:top w:val="nil"/>
              <w:bottom w:val="nil"/>
            </w:tcBorders>
            <w:shd w:val="clear" w:color="auto" w:fill="auto"/>
            <w:noWrap/>
            <w:vAlign w:val="center"/>
            <w:hideMark/>
          </w:tcPr>
          <w:p w14:paraId="0EE7765E"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1907.4091</w:t>
            </w:r>
          </w:p>
        </w:tc>
        <w:tc>
          <w:tcPr>
            <w:tcW w:w="739" w:type="pct"/>
            <w:tcBorders>
              <w:top w:val="nil"/>
              <w:bottom w:val="nil"/>
            </w:tcBorders>
            <w:shd w:val="clear" w:color="auto" w:fill="auto"/>
            <w:noWrap/>
            <w:vAlign w:val="center"/>
            <w:hideMark/>
          </w:tcPr>
          <w:p w14:paraId="60B4A9CC"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4690.0000</w:t>
            </w:r>
          </w:p>
        </w:tc>
      </w:tr>
      <w:tr w:rsidR="00BA0176" w:rsidRPr="006B5748" w14:paraId="45A43789" w14:textId="77777777" w:rsidTr="00C161B4">
        <w:trPr>
          <w:trHeight w:val="300"/>
        </w:trPr>
        <w:tc>
          <w:tcPr>
            <w:tcW w:w="647" w:type="pct"/>
            <w:tcBorders>
              <w:top w:val="nil"/>
              <w:left w:val="nil"/>
              <w:bottom w:val="nil"/>
            </w:tcBorders>
            <w:shd w:val="clear" w:color="auto" w:fill="auto"/>
            <w:noWrap/>
            <w:vAlign w:val="center"/>
            <w:hideMark/>
          </w:tcPr>
          <w:p w14:paraId="51C74854"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20150</w:t>
            </w:r>
          </w:p>
        </w:tc>
        <w:tc>
          <w:tcPr>
            <w:tcW w:w="702" w:type="pct"/>
            <w:tcBorders>
              <w:top w:val="nil"/>
              <w:bottom w:val="nil"/>
            </w:tcBorders>
            <w:shd w:val="clear" w:color="auto" w:fill="auto"/>
            <w:noWrap/>
            <w:vAlign w:val="center"/>
            <w:hideMark/>
          </w:tcPr>
          <w:p w14:paraId="652E979A"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2.12.2021</w:t>
            </w:r>
          </w:p>
        </w:tc>
        <w:tc>
          <w:tcPr>
            <w:tcW w:w="669" w:type="pct"/>
            <w:tcBorders>
              <w:top w:val="nil"/>
              <w:bottom w:val="nil"/>
            </w:tcBorders>
            <w:shd w:val="clear" w:color="auto" w:fill="auto"/>
            <w:noWrap/>
            <w:vAlign w:val="center"/>
            <w:hideMark/>
          </w:tcPr>
          <w:p w14:paraId="477AEE06"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389.0000</w:t>
            </w:r>
          </w:p>
        </w:tc>
        <w:tc>
          <w:tcPr>
            <w:tcW w:w="969" w:type="pct"/>
            <w:tcBorders>
              <w:top w:val="nil"/>
              <w:bottom w:val="nil"/>
            </w:tcBorders>
            <w:shd w:val="clear" w:color="auto" w:fill="auto"/>
            <w:noWrap/>
            <w:vAlign w:val="center"/>
            <w:hideMark/>
          </w:tcPr>
          <w:p w14:paraId="520A386A"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338.0000</w:t>
            </w:r>
          </w:p>
        </w:tc>
        <w:tc>
          <w:tcPr>
            <w:tcW w:w="606" w:type="pct"/>
            <w:tcBorders>
              <w:top w:val="nil"/>
              <w:bottom w:val="nil"/>
            </w:tcBorders>
            <w:shd w:val="clear" w:color="auto" w:fill="auto"/>
            <w:noWrap/>
            <w:vAlign w:val="center"/>
            <w:hideMark/>
          </w:tcPr>
          <w:p w14:paraId="6D232B59"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408.4415</w:t>
            </w:r>
          </w:p>
        </w:tc>
        <w:tc>
          <w:tcPr>
            <w:tcW w:w="669" w:type="pct"/>
            <w:tcBorders>
              <w:top w:val="nil"/>
              <w:bottom w:val="nil"/>
            </w:tcBorders>
            <w:shd w:val="clear" w:color="auto" w:fill="auto"/>
            <w:noWrap/>
            <w:vAlign w:val="center"/>
            <w:hideMark/>
          </w:tcPr>
          <w:p w14:paraId="7942E44C"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2488.9785</w:t>
            </w:r>
          </w:p>
        </w:tc>
        <w:tc>
          <w:tcPr>
            <w:tcW w:w="739" w:type="pct"/>
            <w:tcBorders>
              <w:top w:val="nil"/>
              <w:bottom w:val="nil"/>
            </w:tcBorders>
            <w:shd w:val="clear" w:color="auto" w:fill="auto"/>
            <w:noWrap/>
            <w:vAlign w:val="center"/>
            <w:hideMark/>
          </w:tcPr>
          <w:p w14:paraId="163D3844"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4671.0100</w:t>
            </w:r>
          </w:p>
        </w:tc>
      </w:tr>
      <w:tr w:rsidR="00BA0176" w:rsidRPr="006B5748" w14:paraId="67E61617" w14:textId="77777777" w:rsidTr="00C161B4">
        <w:trPr>
          <w:trHeight w:val="300"/>
        </w:trPr>
        <w:tc>
          <w:tcPr>
            <w:tcW w:w="647" w:type="pct"/>
            <w:tcBorders>
              <w:top w:val="nil"/>
              <w:left w:val="nil"/>
              <w:bottom w:val="nil"/>
            </w:tcBorders>
            <w:shd w:val="clear" w:color="auto" w:fill="auto"/>
            <w:noWrap/>
            <w:vAlign w:val="center"/>
            <w:hideMark/>
          </w:tcPr>
          <w:p w14:paraId="47F34A67"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20434</w:t>
            </w:r>
          </w:p>
        </w:tc>
        <w:tc>
          <w:tcPr>
            <w:tcW w:w="702" w:type="pct"/>
            <w:tcBorders>
              <w:top w:val="nil"/>
              <w:bottom w:val="nil"/>
            </w:tcBorders>
            <w:shd w:val="clear" w:color="auto" w:fill="auto"/>
            <w:noWrap/>
            <w:vAlign w:val="center"/>
            <w:hideMark/>
          </w:tcPr>
          <w:p w14:paraId="5B7A1DC5"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3.12.2021</w:t>
            </w:r>
          </w:p>
        </w:tc>
        <w:tc>
          <w:tcPr>
            <w:tcW w:w="669" w:type="pct"/>
            <w:tcBorders>
              <w:top w:val="nil"/>
              <w:bottom w:val="nil"/>
            </w:tcBorders>
            <w:shd w:val="clear" w:color="auto" w:fill="auto"/>
            <w:noWrap/>
            <w:vAlign w:val="center"/>
            <w:hideMark/>
          </w:tcPr>
          <w:p w14:paraId="76D4EBED"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284.0000</w:t>
            </w:r>
          </w:p>
        </w:tc>
        <w:tc>
          <w:tcPr>
            <w:tcW w:w="969" w:type="pct"/>
            <w:tcBorders>
              <w:top w:val="nil"/>
              <w:bottom w:val="nil"/>
            </w:tcBorders>
            <w:shd w:val="clear" w:color="auto" w:fill="auto"/>
            <w:noWrap/>
            <w:vAlign w:val="center"/>
            <w:hideMark/>
          </w:tcPr>
          <w:p w14:paraId="616BC960"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355.0000</w:t>
            </w:r>
          </w:p>
        </w:tc>
        <w:tc>
          <w:tcPr>
            <w:tcW w:w="606" w:type="pct"/>
            <w:tcBorders>
              <w:top w:val="nil"/>
              <w:bottom w:val="nil"/>
            </w:tcBorders>
            <w:shd w:val="clear" w:color="auto" w:fill="auto"/>
            <w:noWrap/>
            <w:vAlign w:val="center"/>
            <w:hideMark/>
          </w:tcPr>
          <w:p w14:paraId="7F193F76"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386.9453</w:t>
            </w:r>
          </w:p>
        </w:tc>
        <w:tc>
          <w:tcPr>
            <w:tcW w:w="669" w:type="pct"/>
            <w:tcBorders>
              <w:top w:val="nil"/>
              <w:bottom w:val="nil"/>
            </w:tcBorders>
            <w:shd w:val="clear" w:color="auto" w:fill="auto"/>
            <w:noWrap/>
            <w:vAlign w:val="center"/>
            <w:hideMark/>
          </w:tcPr>
          <w:p w14:paraId="06A49F09"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2261.5847</w:t>
            </w:r>
          </w:p>
        </w:tc>
        <w:tc>
          <w:tcPr>
            <w:tcW w:w="739" w:type="pct"/>
            <w:tcBorders>
              <w:top w:val="nil"/>
              <w:bottom w:val="nil"/>
            </w:tcBorders>
            <w:shd w:val="clear" w:color="auto" w:fill="auto"/>
            <w:noWrap/>
            <w:vAlign w:val="center"/>
            <w:hideMark/>
          </w:tcPr>
          <w:p w14:paraId="7475D7D6"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4193.2000</w:t>
            </w:r>
          </w:p>
        </w:tc>
      </w:tr>
      <w:tr w:rsidR="00BA0176" w:rsidRPr="006B5748" w14:paraId="1C24E7E9" w14:textId="77777777" w:rsidTr="00C161B4">
        <w:trPr>
          <w:trHeight w:val="300"/>
        </w:trPr>
        <w:tc>
          <w:tcPr>
            <w:tcW w:w="647" w:type="pct"/>
            <w:tcBorders>
              <w:top w:val="nil"/>
              <w:left w:val="nil"/>
              <w:bottom w:val="nil"/>
            </w:tcBorders>
            <w:shd w:val="clear" w:color="auto" w:fill="auto"/>
            <w:noWrap/>
            <w:vAlign w:val="center"/>
            <w:hideMark/>
          </w:tcPr>
          <w:p w14:paraId="00EA592F"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20845</w:t>
            </w:r>
          </w:p>
        </w:tc>
        <w:tc>
          <w:tcPr>
            <w:tcW w:w="702" w:type="pct"/>
            <w:tcBorders>
              <w:top w:val="nil"/>
              <w:bottom w:val="nil"/>
            </w:tcBorders>
            <w:shd w:val="clear" w:color="auto" w:fill="auto"/>
            <w:noWrap/>
            <w:vAlign w:val="center"/>
            <w:hideMark/>
          </w:tcPr>
          <w:p w14:paraId="396C17F9"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4.12.2021</w:t>
            </w:r>
          </w:p>
        </w:tc>
        <w:tc>
          <w:tcPr>
            <w:tcW w:w="669" w:type="pct"/>
            <w:tcBorders>
              <w:top w:val="nil"/>
              <w:bottom w:val="nil"/>
            </w:tcBorders>
            <w:shd w:val="clear" w:color="auto" w:fill="auto"/>
            <w:noWrap/>
            <w:vAlign w:val="center"/>
            <w:hideMark/>
          </w:tcPr>
          <w:p w14:paraId="02E07245"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411.0000</w:t>
            </w:r>
          </w:p>
        </w:tc>
        <w:tc>
          <w:tcPr>
            <w:tcW w:w="969" w:type="pct"/>
            <w:tcBorders>
              <w:top w:val="nil"/>
              <w:bottom w:val="nil"/>
            </w:tcBorders>
            <w:shd w:val="clear" w:color="auto" w:fill="auto"/>
            <w:noWrap/>
            <w:vAlign w:val="center"/>
            <w:hideMark/>
          </w:tcPr>
          <w:p w14:paraId="778C7297"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405.0000</w:t>
            </w:r>
          </w:p>
        </w:tc>
        <w:tc>
          <w:tcPr>
            <w:tcW w:w="606" w:type="pct"/>
            <w:tcBorders>
              <w:top w:val="nil"/>
              <w:bottom w:val="nil"/>
            </w:tcBorders>
            <w:shd w:val="clear" w:color="auto" w:fill="auto"/>
            <w:noWrap/>
            <w:vAlign w:val="center"/>
            <w:hideMark/>
          </w:tcPr>
          <w:p w14:paraId="62150D88"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385.4499</w:t>
            </w:r>
          </w:p>
        </w:tc>
        <w:tc>
          <w:tcPr>
            <w:tcW w:w="669" w:type="pct"/>
            <w:tcBorders>
              <w:top w:val="nil"/>
              <w:bottom w:val="nil"/>
            </w:tcBorders>
            <w:shd w:val="clear" w:color="auto" w:fill="auto"/>
            <w:noWrap/>
            <w:vAlign w:val="center"/>
            <w:hideMark/>
          </w:tcPr>
          <w:p w14:paraId="5CB502EE"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2561.5701</w:t>
            </w:r>
          </w:p>
        </w:tc>
        <w:tc>
          <w:tcPr>
            <w:tcW w:w="739" w:type="pct"/>
            <w:tcBorders>
              <w:top w:val="nil"/>
              <w:bottom w:val="nil"/>
            </w:tcBorders>
            <w:shd w:val="clear" w:color="auto" w:fill="auto"/>
            <w:noWrap/>
            <w:vAlign w:val="center"/>
            <w:hideMark/>
          </w:tcPr>
          <w:p w14:paraId="273E4D36"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4486.8700</w:t>
            </w:r>
          </w:p>
        </w:tc>
      </w:tr>
      <w:tr w:rsidR="00BA0176" w:rsidRPr="006B5748" w14:paraId="386E4AC0" w14:textId="77777777" w:rsidTr="00C161B4">
        <w:trPr>
          <w:trHeight w:val="300"/>
        </w:trPr>
        <w:tc>
          <w:tcPr>
            <w:tcW w:w="647" w:type="pct"/>
            <w:tcBorders>
              <w:top w:val="nil"/>
              <w:left w:val="nil"/>
              <w:bottom w:val="nil"/>
            </w:tcBorders>
            <w:shd w:val="clear" w:color="auto" w:fill="auto"/>
            <w:noWrap/>
            <w:vAlign w:val="center"/>
            <w:hideMark/>
          </w:tcPr>
          <w:p w14:paraId="4EE1A092"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21485</w:t>
            </w:r>
          </w:p>
        </w:tc>
        <w:tc>
          <w:tcPr>
            <w:tcW w:w="702" w:type="pct"/>
            <w:tcBorders>
              <w:top w:val="nil"/>
              <w:bottom w:val="nil"/>
            </w:tcBorders>
            <w:shd w:val="clear" w:color="auto" w:fill="auto"/>
            <w:noWrap/>
            <w:vAlign w:val="center"/>
            <w:hideMark/>
          </w:tcPr>
          <w:p w14:paraId="40D9F374"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6.12.2021</w:t>
            </w:r>
          </w:p>
        </w:tc>
        <w:tc>
          <w:tcPr>
            <w:tcW w:w="669" w:type="pct"/>
            <w:tcBorders>
              <w:top w:val="nil"/>
              <w:bottom w:val="nil"/>
            </w:tcBorders>
            <w:shd w:val="clear" w:color="auto" w:fill="auto"/>
            <w:noWrap/>
            <w:vAlign w:val="center"/>
            <w:hideMark/>
          </w:tcPr>
          <w:p w14:paraId="045D90FF"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640.0000</w:t>
            </w:r>
          </w:p>
        </w:tc>
        <w:tc>
          <w:tcPr>
            <w:tcW w:w="969" w:type="pct"/>
            <w:tcBorders>
              <w:top w:val="nil"/>
              <w:bottom w:val="nil"/>
            </w:tcBorders>
            <w:shd w:val="clear" w:color="auto" w:fill="auto"/>
            <w:noWrap/>
            <w:vAlign w:val="center"/>
            <w:hideMark/>
          </w:tcPr>
          <w:p w14:paraId="149030AD"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339.0000</w:t>
            </w:r>
          </w:p>
        </w:tc>
        <w:tc>
          <w:tcPr>
            <w:tcW w:w="606" w:type="pct"/>
            <w:tcBorders>
              <w:top w:val="nil"/>
              <w:bottom w:val="nil"/>
            </w:tcBorders>
            <w:shd w:val="clear" w:color="auto" w:fill="auto"/>
            <w:noWrap/>
            <w:vAlign w:val="center"/>
            <w:hideMark/>
          </w:tcPr>
          <w:p w14:paraId="7AA80C80"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380.0810</w:t>
            </w:r>
          </w:p>
        </w:tc>
        <w:tc>
          <w:tcPr>
            <w:tcW w:w="669" w:type="pct"/>
            <w:tcBorders>
              <w:top w:val="nil"/>
              <w:bottom w:val="nil"/>
            </w:tcBorders>
            <w:shd w:val="clear" w:color="auto" w:fill="auto"/>
            <w:noWrap/>
            <w:vAlign w:val="center"/>
            <w:hideMark/>
          </w:tcPr>
          <w:p w14:paraId="1BF4786C"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2342.2690</w:t>
            </w:r>
          </w:p>
        </w:tc>
        <w:tc>
          <w:tcPr>
            <w:tcW w:w="739" w:type="pct"/>
            <w:tcBorders>
              <w:top w:val="nil"/>
              <w:bottom w:val="nil"/>
            </w:tcBorders>
            <w:shd w:val="clear" w:color="auto" w:fill="auto"/>
            <w:noWrap/>
            <w:vAlign w:val="center"/>
            <w:hideMark/>
          </w:tcPr>
          <w:p w14:paraId="0CBC8CB2"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4058.4400</w:t>
            </w:r>
          </w:p>
        </w:tc>
      </w:tr>
      <w:tr w:rsidR="00BA0176" w:rsidRPr="006B5748" w14:paraId="416401B7" w14:textId="77777777" w:rsidTr="00C161B4">
        <w:trPr>
          <w:trHeight w:val="300"/>
        </w:trPr>
        <w:tc>
          <w:tcPr>
            <w:tcW w:w="647" w:type="pct"/>
            <w:tcBorders>
              <w:top w:val="nil"/>
              <w:left w:val="nil"/>
              <w:bottom w:val="nil"/>
            </w:tcBorders>
            <w:shd w:val="clear" w:color="auto" w:fill="auto"/>
            <w:noWrap/>
            <w:vAlign w:val="center"/>
            <w:hideMark/>
          </w:tcPr>
          <w:p w14:paraId="7A368987"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21839</w:t>
            </w:r>
          </w:p>
        </w:tc>
        <w:tc>
          <w:tcPr>
            <w:tcW w:w="702" w:type="pct"/>
            <w:tcBorders>
              <w:top w:val="nil"/>
              <w:bottom w:val="nil"/>
            </w:tcBorders>
            <w:shd w:val="clear" w:color="auto" w:fill="auto"/>
            <w:noWrap/>
            <w:vAlign w:val="center"/>
            <w:hideMark/>
          </w:tcPr>
          <w:p w14:paraId="194701D2"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7.12.2021</w:t>
            </w:r>
          </w:p>
        </w:tc>
        <w:tc>
          <w:tcPr>
            <w:tcW w:w="669" w:type="pct"/>
            <w:tcBorders>
              <w:top w:val="nil"/>
              <w:bottom w:val="nil"/>
            </w:tcBorders>
            <w:shd w:val="clear" w:color="auto" w:fill="auto"/>
            <w:noWrap/>
            <w:vAlign w:val="center"/>
            <w:hideMark/>
          </w:tcPr>
          <w:p w14:paraId="541D9FD8"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354.0000</w:t>
            </w:r>
          </w:p>
        </w:tc>
        <w:tc>
          <w:tcPr>
            <w:tcW w:w="969" w:type="pct"/>
            <w:tcBorders>
              <w:top w:val="nil"/>
              <w:bottom w:val="nil"/>
            </w:tcBorders>
            <w:shd w:val="clear" w:color="auto" w:fill="auto"/>
            <w:noWrap/>
            <w:vAlign w:val="center"/>
            <w:hideMark/>
          </w:tcPr>
          <w:p w14:paraId="0F89F10C"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353.0000</w:t>
            </w:r>
          </w:p>
        </w:tc>
        <w:tc>
          <w:tcPr>
            <w:tcW w:w="606" w:type="pct"/>
            <w:tcBorders>
              <w:top w:val="nil"/>
              <w:bottom w:val="nil"/>
            </w:tcBorders>
            <w:shd w:val="clear" w:color="auto" w:fill="auto"/>
            <w:noWrap/>
            <w:vAlign w:val="center"/>
            <w:hideMark/>
          </w:tcPr>
          <w:p w14:paraId="39F10917"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386.9215</w:t>
            </w:r>
          </w:p>
        </w:tc>
        <w:tc>
          <w:tcPr>
            <w:tcW w:w="669" w:type="pct"/>
            <w:tcBorders>
              <w:top w:val="nil"/>
              <w:bottom w:val="nil"/>
            </w:tcBorders>
            <w:shd w:val="clear" w:color="auto" w:fill="auto"/>
            <w:noWrap/>
            <w:vAlign w:val="center"/>
            <w:hideMark/>
          </w:tcPr>
          <w:p w14:paraId="6EF685E1"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2024.7685</w:t>
            </w:r>
          </w:p>
        </w:tc>
        <w:tc>
          <w:tcPr>
            <w:tcW w:w="739" w:type="pct"/>
            <w:tcBorders>
              <w:top w:val="nil"/>
              <w:bottom w:val="nil"/>
            </w:tcBorders>
            <w:shd w:val="clear" w:color="auto" w:fill="auto"/>
            <w:noWrap/>
            <w:vAlign w:val="center"/>
            <w:hideMark/>
          </w:tcPr>
          <w:p w14:paraId="027AF05E"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4048.5000</w:t>
            </w:r>
          </w:p>
        </w:tc>
      </w:tr>
      <w:tr w:rsidR="00BA0176" w:rsidRPr="006B5748" w14:paraId="723D23A1" w14:textId="77777777" w:rsidTr="00C161B4">
        <w:trPr>
          <w:trHeight w:val="300"/>
        </w:trPr>
        <w:tc>
          <w:tcPr>
            <w:tcW w:w="647" w:type="pct"/>
            <w:tcBorders>
              <w:top w:val="nil"/>
              <w:left w:val="nil"/>
              <w:bottom w:val="nil"/>
            </w:tcBorders>
            <w:shd w:val="clear" w:color="auto" w:fill="auto"/>
            <w:noWrap/>
            <w:vAlign w:val="center"/>
            <w:hideMark/>
          </w:tcPr>
          <w:p w14:paraId="34A2B2D5"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22846</w:t>
            </w:r>
          </w:p>
        </w:tc>
        <w:tc>
          <w:tcPr>
            <w:tcW w:w="702" w:type="pct"/>
            <w:tcBorders>
              <w:top w:val="nil"/>
              <w:bottom w:val="nil"/>
            </w:tcBorders>
            <w:shd w:val="clear" w:color="auto" w:fill="auto"/>
            <w:noWrap/>
            <w:vAlign w:val="center"/>
            <w:hideMark/>
          </w:tcPr>
          <w:p w14:paraId="60B36EB1"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10.12.2021</w:t>
            </w:r>
          </w:p>
        </w:tc>
        <w:tc>
          <w:tcPr>
            <w:tcW w:w="669" w:type="pct"/>
            <w:tcBorders>
              <w:top w:val="nil"/>
              <w:bottom w:val="nil"/>
            </w:tcBorders>
            <w:shd w:val="clear" w:color="auto" w:fill="auto"/>
            <w:noWrap/>
            <w:vAlign w:val="center"/>
            <w:hideMark/>
          </w:tcPr>
          <w:p w14:paraId="5EAA69EB"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1007.0000</w:t>
            </w:r>
          </w:p>
        </w:tc>
        <w:tc>
          <w:tcPr>
            <w:tcW w:w="969" w:type="pct"/>
            <w:tcBorders>
              <w:top w:val="nil"/>
              <w:bottom w:val="nil"/>
            </w:tcBorders>
            <w:shd w:val="clear" w:color="auto" w:fill="auto"/>
            <w:noWrap/>
            <w:vAlign w:val="center"/>
            <w:hideMark/>
          </w:tcPr>
          <w:p w14:paraId="4AAE529C"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394.0000</w:t>
            </w:r>
          </w:p>
        </w:tc>
        <w:tc>
          <w:tcPr>
            <w:tcW w:w="606" w:type="pct"/>
            <w:tcBorders>
              <w:top w:val="nil"/>
              <w:bottom w:val="nil"/>
            </w:tcBorders>
            <w:shd w:val="clear" w:color="auto" w:fill="auto"/>
            <w:noWrap/>
            <w:vAlign w:val="center"/>
            <w:hideMark/>
          </w:tcPr>
          <w:p w14:paraId="1CA3F647"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384.2151</w:t>
            </w:r>
          </w:p>
        </w:tc>
        <w:tc>
          <w:tcPr>
            <w:tcW w:w="669" w:type="pct"/>
            <w:tcBorders>
              <w:top w:val="nil"/>
              <w:bottom w:val="nil"/>
            </w:tcBorders>
            <w:shd w:val="clear" w:color="auto" w:fill="auto"/>
            <w:noWrap/>
            <w:vAlign w:val="center"/>
            <w:hideMark/>
          </w:tcPr>
          <w:p w14:paraId="592BBFD5"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2151.2249</w:t>
            </w:r>
          </w:p>
        </w:tc>
        <w:tc>
          <w:tcPr>
            <w:tcW w:w="739" w:type="pct"/>
            <w:tcBorders>
              <w:top w:val="nil"/>
              <w:bottom w:val="nil"/>
            </w:tcBorders>
            <w:shd w:val="clear" w:color="auto" w:fill="auto"/>
            <w:noWrap/>
            <w:vAlign w:val="center"/>
            <w:hideMark/>
          </w:tcPr>
          <w:p w14:paraId="7E6B3780"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4378.6000</w:t>
            </w:r>
          </w:p>
        </w:tc>
      </w:tr>
      <w:tr w:rsidR="00BA0176" w:rsidRPr="006B5748" w14:paraId="19A341F3" w14:textId="77777777" w:rsidTr="00C161B4">
        <w:trPr>
          <w:trHeight w:val="300"/>
        </w:trPr>
        <w:tc>
          <w:tcPr>
            <w:tcW w:w="647" w:type="pct"/>
            <w:tcBorders>
              <w:top w:val="nil"/>
              <w:left w:val="nil"/>
            </w:tcBorders>
            <w:shd w:val="clear" w:color="auto" w:fill="auto"/>
            <w:noWrap/>
            <w:vAlign w:val="center"/>
            <w:hideMark/>
          </w:tcPr>
          <w:p w14:paraId="2E8CDAB0"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23670</w:t>
            </w:r>
          </w:p>
        </w:tc>
        <w:tc>
          <w:tcPr>
            <w:tcW w:w="702" w:type="pct"/>
            <w:tcBorders>
              <w:top w:val="nil"/>
            </w:tcBorders>
            <w:shd w:val="clear" w:color="auto" w:fill="auto"/>
            <w:noWrap/>
            <w:vAlign w:val="center"/>
            <w:hideMark/>
          </w:tcPr>
          <w:p w14:paraId="6CAE6DDF"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11.12.2021</w:t>
            </w:r>
          </w:p>
        </w:tc>
        <w:tc>
          <w:tcPr>
            <w:tcW w:w="669" w:type="pct"/>
            <w:tcBorders>
              <w:top w:val="nil"/>
            </w:tcBorders>
            <w:shd w:val="clear" w:color="auto" w:fill="auto"/>
            <w:noWrap/>
            <w:vAlign w:val="center"/>
            <w:hideMark/>
          </w:tcPr>
          <w:p w14:paraId="7AB9FF57"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824.0000</w:t>
            </w:r>
          </w:p>
        </w:tc>
        <w:tc>
          <w:tcPr>
            <w:tcW w:w="969" w:type="pct"/>
            <w:tcBorders>
              <w:top w:val="nil"/>
            </w:tcBorders>
            <w:shd w:val="clear" w:color="auto" w:fill="auto"/>
            <w:noWrap/>
            <w:vAlign w:val="center"/>
            <w:hideMark/>
          </w:tcPr>
          <w:p w14:paraId="4C85AC35"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426.0000</w:t>
            </w:r>
          </w:p>
        </w:tc>
        <w:tc>
          <w:tcPr>
            <w:tcW w:w="606" w:type="pct"/>
            <w:tcBorders>
              <w:top w:val="nil"/>
            </w:tcBorders>
            <w:shd w:val="clear" w:color="auto" w:fill="auto"/>
            <w:noWrap/>
            <w:vAlign w:val="center"/>
            <w:hideMark/>
          </w:tcPr>
          <w:p w14:paraId="3F2C53FB"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380.9267</w:t>
            </w:r>
          </w:p>
        </w:tc>
        <w:tc>
          <w:tcPr>
            <w:tcW w:w="669" w:type="pct"/>
            <w:tcBorders>
              <w:top w:val="nil"/>
            </w:tcBorders>
            <w:shd w:val="clear" w:color="auto" w:fill="auto"/>
            <w:noWrap/>
            <w:vAlign w:val="center"/>
            <w:hideMark/>
          </w:tcPr>
          <w:p w14:paraId="229E9F26"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2559.9733</w:t>
            </w:r>
          </w:p>
        </w:tc>
        <w:tc>
          <w:tcPr>
            <w:tcW w:w="739" w:type="pct"/>
            <w:tcBorders>
              <w:top w:val="nil"/>
            </w:tcBorders>
            <w:shd w:val="clear" w:color="auto" w:fill="auto"/>
            <w:noWrap/>
            <w:vAlign w:val="center"/>
            <w:hideMark/>
          </w:tcPr>
          <w:p w14:paraId="3A4C3BEA"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4701.7900</w:t>
            </w:r>
          </w:p>
        </w:tc>
      </w:tr>
      <w:tr w:rsidR="00BA0176" w:rsidRPr="006B5748" w14:paraId="0FE4F2C4" w14:textId="77777777" w:rsidTr="00C161B4">
        <w:trPr>
          <w:trHeight w:val="300"/>
        </w:trPr>
        <w:tc>
          <w:tcPr>
            <w:tcW w:w="647" w:type="pct"/>
            <w:tcBorders>
              <w:top w:val="nil"/>
              <w:left w:val="nil"/>
              <w:bottom w:val="single" w:sz="4" w:space="0" w:color="auto"/>
            </w:tcBorders>
            <w:shd w:val="clear" w:color="auto" w:fill="auto"/>
            <w:noWrap/>
            <w:vAlign w:val="center"/>
            <w:hideMark/>
          </w:tcPr>
          <w:p w14:paraId="2725B4C3"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23690</w:t>
            </w:r>
          </w:p>
        </w:tc>
        <w:tc>
          <w:tcPr>
            <w:tcW w:w="702" w:type="pct"/>
            <w:tcBorders>
              <w:top w:val="nil"/>
              <w:bottom w:val="single" w:sz="4" w:space="0" w:color="auto"/>
            </w:tcBorders>
            <w:shd w:val="clear" w:color="auto" w:fill="auto"/>
            <w:noWrap/>
            <w:vAlign w:val="center"/>
            <w:hideMark/>
          </w:tcPr>
          <w:p w14:paraId="6C945A21"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12.12.2021</w:t>
            </w:r>
          </w:p>
        </w:tc>
        <w:tc>
          <w:tcPr>
            <w:tcW w:w="669" w:type="pct"/>
            <w:tcBorders>
              <w:top w:val="nil"/>
              <w:bottom w:val="single" w:sz="4" w:space="0" w:color="auto"/>
            </w:tcBorders>
            <w:shd w:val="clear" w:color="auto" w:fill="auto"/>
            <w:noWrap/>
            <w:vAlign w:val="center"/>
            <w:hideMark/>
          </w:tcPr>
          <w:p w14:paraId="12529429"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20.0000</w:t>
            </w:r>
          </w:p>
        </w:tc>
        <w:tc>
          <w:tcPr>
            <w:tcW w:w="969" w:type="pct"/>
            <w:tcBorders>
              <w:top w:val="nil"/>
              <w:bottom w:val="single" w:sz="4" w:space="0" w:color="auto"/>
            </w:tcBorders>
            <w:shd w:val="clear" w:color="auto" w:fill="auto"/>
            <w:noWrap/>
            <w:vAlign w:val="center"/>
            <w:hideMark/>
          </w:tcPr>
          <w:p w14:paraId="050A993A"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273.0000</w:t>
            </w:r>
          </w:p>
        </w:tc>
        <w:tc>
          <w:tcPr>
            <w:tcW w:w="606" w:type="pct"/>
            <w:tcBorders>
              <w:top w:val="nil"/>
              <w:bottom w:val="single" w:sz="4" w:space="0" w:color="auto"/>
            </w:tcBorders>
            <w:shd w:val="clear" w:color="auto" w:fill="auto"/>
            <w:noWrap/>
            <w:vAlign w:val="center"/>
            <w:hideMark/>
          </w:tcPr>
          <w:p w14:paraId="02A4FF9F"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384.6666</w:t>
            </w:r>
          </w:p>
        </w:tc>
        <w:tc>
          <w:tcPr>
            <w:tcW w:w="669" w:type="pct"/>
            <w:tcBorders>
              <w:top w:val="nil"/>
              <w:bottom w:val="single" w:sz="4" w:space="0" w:color="auto"/>
            </w:tcBorders>
            <w:shd w:val="clear" w:color="auto" w:fill="auto"/>
            <w:noWrap/>
            <w:vAlign w:val="center"/>
            <w:hideMark/>
          </w:tcPr>
          <w:p w14:paraId="0EEF170F"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2001.6234</w:t>
            </w:r>
          </w:p>
        </w:tc>
        <w:tc>
          <w:tcPr>
            <w:tcW w:w="739" w:type="pct"/>
            <w:tcBorders>
              <w:top w:val="nil"/>
              <w:bottom w:val="single" w:sz="4" w:space="0" w:color="auto"/>
            </w:tcBorders>
            <w:shd w:val="clear" w:color="auto" w:fill="auto"/>
            <w:noWrap/>
            <w:vAlign w:val="center"/>
            <w:hideMark/>
          </w:tcPr>
          <w:p w14:paraId="055458F2" w14:textId="77777777" w:rsidR="00BA0176" w:rsidRPr="006B5748" w:rsidRDefault="00BA0176" w:rsidP="00C161B4">
            <w:pPr>
              <w:spacing w:before="0" w:after="0"/>
              <w:jc w:val="center"/>
              <w:rPr>
                <w:rFonts w:eastAsia="Times New Roman" w:cs="Calibri"/>
                <w:color w:val="000000"/>
                <w:sz w:val="20"/>
                <w:szCs w:val="20"/>
                <w:lang w:val="sr-Latn-RS" w:eastAsia="sr-Latn-RS"/>
              </w:rPr>
            </w:pPr>
            <w:r w:rsidRPr="006B5748">
              <w:rPr>
                <w:rFonts w:eastAsia="Times New Roman" w:cs="Calibri"/>
                <w:color w:val="000000"/>
                <w:sz w:val="20"/>
                <w:szCs w:val="20"/>
                <w:lang w:val="sr-Latn-RS" w:eastAsia="sr-Latn-RS"/>
              </w:rPr>
              <w:t>4166.4400</w:t>
            </w:r>
          </w:p>
        </w:tc>
      </w:tr>
    </w:tbl>
    <w:p w14:paraId="5D41FB2E" w14:textId="77777777" w:rsidR="00BA0176" w:rsidRPr="006B5748" w:rsidRDefault="00BA0176" w:rsidP="00BA0176"/>
    <w:p w14:paraId="474DF378" w14:textId="5218E183" w:rsidR="00BA0176" w:rsidRDefault="00BA0176" w:rsidP="00BA0176">
      <w:pPr>
        <w:pStyle w:val="Caption"/>
        <w:jc w:val="left"/>
      </w:pPr>
      <w:bookmarkStart w:id="826" w:name="_Toc101274675"/>
      <w:r>
        <w:lastRenderedPageBreak/>
        <w:t xml:space="preserve">Appendix </w:t>
      </w:r>
      <w:fldSimple w:instr=" SEQ Appendix \* ARABIC ">
        <w:r w:rsidR="00587AF0">
          <w:rPr>
            <w:noProof/>
          </w:rPr>
          <w:t>5</w:t>
        </w:r>
      </w:fldSimple>
      <w:r>
        <w:t>. Automatic particle counter and aqua sensor (saturation) data</w:t>
      </w:r>
      <w:bookmarkEnd w:id="826"/>
    </w:p>
    <w:tbl>
      <w:tblPr>
        <w:tblW w:w="5000" w:type="pct"/>
        <w:tblLook w:val="04A0" w:firstRow="1" w:lastRow="0" w:firstColumn="1" w:lastColumn="0" w:noHBand="0" w:noVBand="1"/>
      </w:tblPr>
      <w:tblGrid>
        <w:gridCol w:w="1062"/>
        <w:gridCol w:w="1419"/>
        <w:gridCol w:w="146"/>
        <w:gridCol w:w="895"/>
        <w:gridCol w:w="1042"/>
        <w:gridCol w:w="1042"/>
        <w:gridCol w:w="1186"/>
        <w:gridCol w:w="1195"/>
        <w:gridCol w:w="1040"/>
      </w:tblGrid>
      <w:tr w:rsidR="00BA0176" w:rsidRPr="004746AF" w14:paraId="6D496FF6" w14:textId="77777777" w:rsidTr="00C161B4">
        <w:trPr>
          <w:trHeight w:val="300"/>
        </w:trPr>
        <w:tc>
          <w:tcPr>
            <w:tcW w:w="1455" w:type="pct"/>
            <w:gridSpan w:val="3"/>
            <w:tcBorders>
              <w:top w:val="single" w:sz="4" w:space="0" w:color="auto"/>
            </w:tcBorders>
            <w:shd w:val="clear" w:color="auto" w:fill="auto"/>
            <w:noWrap/>
            <w:vAlign w:val="center"/>
          </w:tcPr>
          <w:p w14:paraId="148221AE" w14:textId="77777777" w:rsidR="00BA0176" w:rsidRPr="004746AF" w:rsidRDefault="00BA0176" w:rsidP="00C161B4">
            <w:pPr>
              <w:spacing w:before="0" w:after="0"/>
              <w:jc w:val="center"/>
              <w:rPr>
                <w:rFonts w:eastAsia="Times New Roman" w:cs="Calibri"/>
                <w:b/>
                <w:bCs/>
                <w:color w:val="000000"/>
                <w:sz w:val="20"/>
                <w:szCs w:val="20"/>
                <w:lang w:val="sr-Latn-RS" w:eastAsia="sr-Latn-RS"/>
              </w:rPr>
            </w:pPr>
            <w:r w:rsidRPr="004746AF">
              <w:rPr>
                <w:rFonts w:eastAsia="Times New Roman" w:cs="Calibri"/>
                <w:b/>
                <w:bCs/>
                <w:color w:val="000000"/>
                <w:sz w:val="20"/>
                <w:szCs w:val="20"/>
                <w:lang w:val="sr-Latn-RS" w:eastAsia="sr-Latn-RS"/>
              </w:rPr>
              <w:t>20</w:t>
            </w:r>
            <w:r w:rsidRPr="006B5748">
              <w:rPr>
                <w:rFonts w:eastAsia="Times New Roman" w:cs="Calibri"/>
                <w:b/>
                <w:bCs/>
                <w:color w:val="000000"/>
                <w:sz w:val="20"/>
                <w:szCs w:val="20"/>
                <w:lang w:val="sr-Latn-RS" w:eastAsia="sr-Latn-RS"/>
              </w:rPr>
              <w:t> </w:t>
            </w:r>
            <w:r w:rsidRPr="004746AF">
              <w:rPr>
                <w:rFonts w:eastAsia="Times New Roman" w:cs="Calibri"/>
                <w:b/>
                <w:bCs/>
                <w:color w:val="000000"/>
                <w:sz w:val="20"/>
                <w:szCs w:val="20"/>
                <w:lang w:val="sr-Latn-RS" w:eastAsia="sr-Latn-RS"/>
              </w:rPr>
              <w:t>Cycles measured @</w:t>
            </w:r>
          </w:p>
        </w:tc>
        <w:tc>
          <w:tcPr>
            <w:tcW w:w="2307" w:type="pct"/>
            <w:gridSpan w:val="4"/>
            <w:tcBorders>
              <w:top w:val="single" w:sz="4" w:space="0" w:color="auto"/>
            </w:tcBorders>
            <w:shd w:val="clear" w:color="auto" w:fill="auto"/>
            <w:noWrap/>
            <w:vAlign w:val="center"/>
            <w:hideMark/>
          </w:tcPr>
          <w:p w14:paraId="5F52D6F1" w14:textId="77777777" w:rsidR="00BA0176" w:rsidRPr="004746AF" w:rsidRDefault="00BA0176" w:rsidP="00C161B4">
            <w:pPr>
              <w:spacing w:before="0" w:after="0"/>
              <w:jc w:val="center"/>
              <w:rPr>
                <w:rFonts w:eastAsia="Times New Roman" w:cs="Calibri"/>
                <w:b/>
                <w:bCs/>
                <w:color w:val="000000"/>
                <w:sz w:val="20"/>
                <w:szCs w:val="20"/>
                <w:lang w:val="sr-Latn-RS" w:eastAsia="sr-Latn-RS"/>
              </w:rPr>
            </w:pPr>
            <w:r>
              <w:rPr>
                <w:rFonts w:eastAsia="Times New Roman" w:cs="Calibri"/>
                <w:b/>
                <w:bCs/>
                <w:color w:val="000000"/>
                <w:sz w:val="20"/>
                <w:szCs w:val="20"/>
                <w:lang w:val="sr-Latn-RS" w:eastAsia="sr-Latn-RS"/>
              </w:rPr>
              <w:t>Automatic Particle Counter data</w:t>
            </w:r>
          </w:p>
        </w:tc>
        <w:tc>
          <w:tcPr>
            <w:tcW w:w="1238" w:type="pct"/>
            <w:gridSpan w:val="2"/>
            <w:tcBorders>
              <w:top w:val="single" w:sz="4" w:space="0" w:color="auto"/>
            </w:tcBorders>
            <w:shd w:val="clear" w:color="auto" w:fill="auto"/>
            <w:noWrap/>
            <w:vAlign w:val="center"/>
            <w:hideMark/>
          </w:tcPr>
          <w:p w14:paraId="080CC760" w14:textId="77777777" w:rsidR="00BA0176" w:rsidRPr="004746AF" w:rsidRDefault="00BA0176" w:rsidP="00C161B4">
            <w:pPr>
              <w:spacing w:before="0" w:after="0"/>
              <w:jc w:val="center"/>
              <w:rPr>
                <w:rFonts w:eastAsia="Times New Roman" w:cs="Calibri"/>
                <w:b/>
                <w:bCs/>
                <w:color w:val="000000"/>
                <w:sz w:val="20"/>
                <w:szCs w:val="20"/>
                <w:lang w:val="sr-Latn-RS" w:eastAsia="sr-Latn-RS"/>
              </w:rPr>
            </w:pPr>
            <w:r>
              <w:rPr>
                <w:rFonts w:eastAsia="Times New Roman" w:cs="Calibri"/>
                <w:b/>
                <w:bCs/>
                <w:color w:val="000000"/>
                <w:sz w:val="20"/>
                <w:szCs w:val="20"/>
                <w:lang w:val="sr-Latn-RS" w:eastAsia="sr-Latn-RS"/>
              </w:rPr>
              <w:t>Aqua Sensor</w:t>
            </w:r>
          </w:p>
        </w:tc>
      </w:tr>
      <w:tr w:rsidR="00BA0176" w:rsidRPr="004746AF" w14:paraId="749ABB40" w14:textId="77777777" w:rsidTr="00C161B4">
        <w:trPr>
          <w:trHeight w:val="300"/>
        </w:trPr>
        <w:tc>
          <w:tcPr>
            <w:tcW w:w="588" w:type="pct"/>
            <w:tcBorders>
              <w:bottom w:val="single" w:sz="4" w:space="0" w:color="auto"/>
            </w:tcBorders>
            <w:shd w:val="clear" w:color="auto" w:fill="auto"/>
            <w:noWrap/>
            <w:vAlign w:val="center"/>
          </w:tcPr>
          <w:p w14:paraId="35591226" w14:textId="77777777" w:rsidR="00BA0176" w:rsidRPr="004746AF" w:rsidRDefault="00BA0176" w:rsidP="00C161B4">
            <w:pPr>
              <w:spacing w:before="0" w:after="0"/>
              <w:jc w:val="center"/>
              <w:rPr>
                <w:rFonts w:eastAsia="Times New Roman" w:cs="Calibri"/>
                <w:b/>
                <w:bCs/>
                <w:color w:val="000000"/>
                <w:sz w:val="20"/>
                <w:szCs w:val="20"/>
                <w:lang w:val="sr-Latn-RS" w:eastAsia="sr-Latn-RS"/>
              </w:rPr>
            </w:pPr>
            <w:r w:rsidRPr="004746AF">
              <w:rPr>
                <w:rFonts w:eastAsia="Times New Roman" w:cs="Calibri"/>
                <w:b/>
                <w:bCs/>
                <w:color w:val="000000"/>
                <w:sz w:val="20"/>
                <w:szCs w:val="20"/>
                <w:lang w:val="sr-Latn-RS" w:eastAsia="sr-Latn-RS"/>
              </w:rPr>
              <w:t>n</w:t>
            </w:r>
          </w:p>
        </w:tc>
        <w:tc>
          <w:tcPr>
            <w:tcW w:w="867" w:type="pct"/>
            <w:gridSpan w:val="2"/>
            <w:tcBorders>
              <w:bottom w:val="single" w:sz="4" w:space="0" w:color="auto"/>
            </w:tcBorders>
            <w:shd w:val="clear" w:color="auto" w:fill="auto"/>
            <w:noWrap/>
            <w:vAlign w:val="center"/>
          </w:tcPr>
          <w:p w14:paraId="351A174B" w14:textId="77777777" w:rsidR="00BA0176" w:rsidRPr="004746AF" w:rsidRDefault="00BA0176" w:rsidP="00C161B4">
            <w:pPr>
              <w:spacing w:before="0" w:after="0"/>
              <w:jc w:val="center"/>
              <w:rPr>
                <w:rFonts w:eastAsia="Times New Roman" w:cs="Calibri"/>
                <w:b/>
                <w:bCs/>
                <w:color w:val="000000"/>
                <w:sz w:val="20"/>
                <w:szCs w:val="20"/>
                <w:lang w:val="sr-Latn-RS" w:eastAsia="sr-Latn-RS"/>
              </w:rPr>
            </w:pPr>
            <w:r w:rsidRPr="004746AF">
              <w:rPr>
                <w:rFonts w:eastAsia="Times New Roman" w:cs="Calibri"/>
                <w:b/>
                <w:bCs/>
                <w:color w:val="000000"/>
                <w:sz w:val="20"/>
                <w:szCs w:val="20"/>
                <w:lang w:val="sr-Latn-RS" w:eastAsia="sr-Latn-RS"/>
              </w:rPr>
              <w:t>date</w:t>
            </w:r>
          </w:p>
        </w:tc>
        <w:tc>
          <w:tcPr>
            <w:tcW w:w="496" w:type="pct"/>
            <w:tcBorders>
              <w:bottom w:val="single" w:sz="4" w:space="0" w:color="auto"/>
            </w:tcBorders>
            <w:shd w:val="clear" w:color="auto" w:fill="auto"/>
            <w:noWrap/>
            <w:vAlign w:val="center"/>
            <w:hideMark/>
          </w:tcPr>
          <w:p w14:paraId="44FC69C5" w14:textId="77777777" w:rsidR="00BA0176" w:rsidRPr="004746AF" w:rsidRDefault="00BA0176" w:rsidP="00C161B4">
            <w:pPr>
              <w:spacing w:before="0" w:after="0"/>
              <w:jc w:val="center"/>
              <w:rPr>
                <w:rFonts w:eastAsia="Times New Roman" w:cs="Calibri"/>
                <w:b/>
                <w:bCs/>
                <w:color w:val="000000"/>
                <w:sz w:val="20"/>
                <w:szCs w:val="20"/>
                <w:lang w:val="sr-Latn-RS" w:eastAsia="sr-Latn-RS"/>
              </w:rPr>
            </w:pPr>
            <w:r w:rsidRPr="004746AF">
              <w:rPr>
                <w:rFonts w:eastAsia="Times New Roman" w:cs="Calibri"/>
                <w:b/>
                <w:bCs/>
                <w:color w:val="000000"/>
                <w:sz w:val="20"/>
                <w:szCs w:val="20"/>
                <w:lang w:val="sr-Latn-RS" w:eastAsia="sr-Latn-RS"/>
              </w:rPr>
              <w:t>APC4</w:t>
            </w:r>
          </w:p>
        </w:tc>
        <w:tc>
          <w:tcPr>
            <w:tcW w:w="577" w:type="pct"/>
            <w:tcBorders>
              <w:bottom w:val="single" w:sz="4" w:space="0" w:color="auto"/>
            </w:tcBorders>
            <w:shd w:val="clear" w:color="auto" w:fill="auto"/>
            <w:noWrap/>
            <w:vAlign w:val="center"/>
            <w:hideMark/>
          </w:tcPr>
          <w:p w14:paraId="22727605" w14:textId="77777777" w:rsidR="00BA0176" w:rsidRPr="004746AF" w:rsidRDefault="00BA0176" w:rsidP="00C161B4">
            <w:pPr>
              <w:spacing w:before="0" w:after="0"/>
              <w:jc w:val="center"/>
              <w:rPr>
                <w:rFonts w:eastAsia="Times New Roman" w:cs="Calibri"/>
                <w:b/>
                <w:bCs/>
                <w:color w:val="000000"/>
                <w:sz w:val="20"/>
                <w:szCs w:val="20"/>
                <w:lang w:val="sr-Latn-RS" w:eastAsia="sr-Latn-RS"/>
              </w:rPr>
            </w:pPr>
            <w:r w:rsidRPr="004746AF">
              <w:rPr>
                <w:rFonts w:eastAsia="Times New Roman" w:cs="Calibri"/>
                <w:b/>
                <w:bCs/>
                <w:color w:val="000000"/>
                <w:sz w:val="20"/>
                <w:szCs w:val="20"/>
                <w:lang w:val="sr-Latn-RS" w:eastAsia="sr-Latn-RS"/>
              </w:rPr>
              <w:t>APC6</w:t>
            </w:r>
          </w:p>
        </w:tc>
        <w:tc>
          <w:tcPr>
            <w:tcW w:w="577" w:type="pct"/>
            <w:tcBorders>
              <w:bottom w:val="single" w:sz="4" w:space="0" w:color="auto"/>
            </w:tcBorders>
            <w:shd w:val="clear" w:color="auto" w:fill="auto"/>
            <w:noWrap/>
            <w:vAlign w:val="center"/>
            <w:hideMark/>
          </w:tcPr>
          <w:p w14:paraId="1C267449" w14:textId="77777777" w:rsidR="00BA0176" w:rsidRPr="004746AF" w:rsidRDefault="00BA0176" w:rsidP="00C161B4">
            <w:pPr>
              <w:spacing w:before="0" w:after="0"/>
              <w:jc w:val="center"/>
              <w:rPr>
                <w:rFonts w:eastAsia="Times New Roman" w:cs="Calibri"/>
                <w:b/>
                <w:bCs/>
                <w:color w:val="000000"/>
                <w:sz w:val="20"/>
                <w:szCs w:val="20"/>
                <w:lang w:val="sr-Latn-RS" w:eastAsia="sr-Latn-RS"/>
              </w:rPr>
            </w:pPr>
            <w:r w:rsidRPr="004746AF">
              <w:rPr>
                <w:rFonts w:eastAsia="Times New Roman" w:cs="Calibri"/>
                <w:b/>
                <w:bCs/>
                <w:color w:val="000000"/>
                <w:sz w:val="20"/>
                <w:szCs w:val="20"/>
                <w:lang w:val="sr-Latn-RS" w:eastAsia="sr-Latn-RS"/>
              </w:rPr>
              <w:t>APC14</w:t>
            </w:r>
          </w:p>
        </w:tc>
        <w:tc>
          <w:tcPr>
            <w:tcW w:w="657" w:type="pct"/>
            <w:tcBorders>
              <w:bottom w:val="single" w:sz="4" w:space="0" w:color="auto"/>
            </w:tcBorders>
            <w:shd w:val="clear" w:color="auto" w:fill="auto"/>
            <w:noWrap/>
            <w:vAlign w:val="center"/>
            <w:hideMark/>
          </w:tcPr>
          <w:p w14:paraId="0A47DF87" w14:textId="77777777" w:rsidR="00BA0176" w:rsidRPr="004746AF" w:rsidRDefault="00BA0176" w:rsidP="00C161B4">
            <w:pPr>
              <w:spacing w:before="0" w:after="0"/>
              <w:jc w:val="center"/>
              <w:rPr>
                <w:rFonts w:eastAsia="Times New Roman" w:cs="Calibri"/>
                <w:b/>
                <w:bCs/>
                <w:color w:val="000000"/>
                <w:sz w:val="20"/>
                <w:szCs w:val="20"/>
                <w:lang w:val="sr-Latn-RS" w:eastAsia="sr-Latn-RS"/>
              </w:rPr>
            </w:pPr>
            <w:r w:rsidRPr="004746AF">
              <w:rPr>
                <w:rFonts w:eastAsia="Times New Roman" w:cs="Calibri"/>
                <w:b/>
                <w:bCs/>
                <w:color w:val="000000"/>
                <w:sz w:val="20"/>
                <w:szCs w:val="20"/>
                <w:lang w:val="sr-Latn-RS" w:eastAsia="sr-Latn-RS"/>
              </w:rPr>
              <w:t>TEMP_CS</w:t>
            </w:r>
          </w:p>
        </w:tc>
        <w:tc>
          <w:tcPr>
            <w:tcW w:w="662" w:type="pct"/>
            <w:tcBorders>
              <w:bottom w:val="single" w:sz="4" w:space="0" w:color="auto"/>
            </w:tcBorders>
            <w:shd w:val="clear" w:color="auto" w:fill="auto"/>
            <w:noWrap/>
            <w:vAlign w:val="center"/>
            <w:hideMark/>
          </w:tcPr>
          <w:p w14:paraId="0256EAB4" w14:textId="77777777" w:rsidR="00BA0176" w:rsidRPr="004746AF" w:rsidRDefault="00BA0176" w:rsidP="00C161B4">
            <w:pPr>
              <w:spacing w:before="0" w:after="0"/>
              <w:jc w:val="center"/>
              <w:rPr>
                <w:rFonts w:eastAsia="Times New Roman" w:cs="Calibri"/>
                <w:b/>
                <w:bCs/>
                <w:color w:val="000000"/>
                <w:sz w:val="20"/>
                <w:szCs w:val="20"/>
                <w:lang w:val="sr-Latn-RS" w:eastAsia="sr-Latn-RS"/>
              </w:rPr>
            </w:pPr>
            <w:r w:rsidRPr="004746AF">
              <w:rPr>
                <w:rFonts w:eastAsia="Times New Roman" w:cs="Calibri"/>
                <w:b/>
                <w:bCs/>
                <w:color w:val="000000"/>
                <w:sz w:val="20"/>
                <w:szCs w:val="20"/>
                <w:lang w:val="sr-Latn-RS" w:eastAsia="sr-Latn-RS"/>
              </w:rPr>
              <w:t>TEMP_AS</w:t>
            </w:r>
          </w:p>
        </w:tc>
        <w:tc>
          <w:tcPr>
            <w:tcW w:w="576" w:type="pct"/>
            <w:tcBorders>
              <w:bottom w:val="single" w:sz="4" w:space="0" w:color="auto"/>
            </w:tcBorders>
            <w:shd w:val="clear" w:color="auto" w:fill="auto"/>
            <w:noWrap/>
            <w:vAlign w:val="center"/>
            <w:hideMark/>
          </w:tcPr>
          <w:p w14:paraId="5B76B8C1" w14:textId="77777777" w:rsidR="00BA0176" w:rsidRPr="004746AF" w:rsidRDefault="00BA0176" w:rsidP="00C161B4">
            <w:pPr>
              <w:spacing w:before="0" w:after="0"/>
              <w:jc w:val="center"/>
              <w:rPr>
                <w:rFonts w:eastAsia="Times New Roman" w:cs="Calibri"/>
                <w:b/>
                <w:bCs/>
                <w:color w:val="000000"/>
                <w:sz w:val="20"/>
                <w:szCs w:val="20"/>
                <w:lang w:val="sr-Latn-RS" w:eastAsia="sr-Latn-RS"/>
              </w:rPr>
            </w:pPr>
            <w:r w:rsidRPr="004746AF">
              <w:rPr>
                <w:rFonts w:eastAsia="Times New Roman" w:cs="Calibri"/>
                <w:b/>
                <w:bCs/>
                <w:color w:val="000000"/>
                <w:sz w:val="20"/>
                <w:szCs w:val="20"/>
                <w:lang w:val="sr-Latn-RS" w:eastAsia="sr-Latn-RS"/>
              </w:rPr>
              <w:t>WatSat</w:t>
            </w:r>
          </w:p>
        </w:tc>
      </w:tr>
      <w:tr w:rsidR="00BA0176" w:rsidRPr="004746AF" w14:paraId="77140253" w14:textId="77777777" w:rsidTr="00C161B4">
        <w:trPr>
          <w:trHeight w:val="300"/>
        </w:trPr>
        <w:tc>
          <w:tcPr>
            <w:tcW w:w="588" w:type="pct"/>
            <w:tcBorders>
              <w:top w:val="single" w:sz="4" w:space="0" w:color="auto"/>
            </w:tcBorders>
            <w:shd w:val="clear" w:color="auto" w:fill="auto"/>
            <w:noWrap/>
            <w:vAlign w:val="center"/>
            <w:hideMark/>
          </w:tcPr>
          <w:p w14:paraId="6F0E6FBF"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165</w:t>
            </w:r>
          </w:p>
        </w:tc>
        <w:tc>
          <w:tcPr>
            <w:tcW w:w="786" w:type="pct"/>
            <w:tcBorders>
              <w:top w:val="single" w:sz="4" w:space="0" w:color="auto"/>
            </w:tcBorders>
            <w:shd w:val="clear" w:color="auto" w:fill="auto"/>
            <w:noWrap/>
            <w:vAlign w:val="center"/>
            <w:hideMark/>
          </w:tcPr>
          <w:p w14:paraId="17E1E900"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6.10.2021</w:t>
            </w:r>
          </w:p>
        </w:tc>
        <w:tc>
          <w:tcPr>
            <w:tcW w:w="577" w:type="pct"/>
            <w:gridSpan w:val="2"/>
            <w:tcBorders>
              <w:top w:val="single" w:sz="4" w:space="0" w:color="auto"/>
            </w:tcBorders>
            <w:shd w:val="clear" w:color="auto" w:fill="auto"/>
            <w:noWrap/>
            <w:vAlign w:val="center"/>
            <w:hideMark/>
          </w:tcPr>
          <w:p w14:paraId="50B46D28"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20.3214</w:t>
            </w:r>
          </w:p>
        </w:tc>
        <w:tc>
          <w:tcPr>
            <w:tcW w:w="577" w:type="pct"/>
            <w:tcBorders>
              <w:top w:val="single" w:sz="4" w:space="0" w:color="auto"/>
            </w:tcBorders>
            <w:shd w:val="clear" w:color="auto" w:fill="auto"/>
            <w:noWrap/>
            <w:vAlign w:val="center"/>
            <w:hideMark/>
          </w:tcPr>
          <w:p w14:paraId="34CC6E4D"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19.0611</w:t>
            </w:r>
          </w:p>
        </w:tc>
        <w:tc>
          <w:tcPr>
            <w:tcW w:w="577" w:type="pct"/>
            <w:tcBorders>
              <w:top w:val="single" w:sz="4" w:space="0" w:color="auto"/>
            </w:tcBorders>
            <w:shd w:val="clear" w:color="auto" w:fill="auto"/>
            <w:noWrap/>
            <w:vAlign w:val="center"/>
            <w:hideMark/>
          </w:tcPr>
          <w:p w14:paraId="21B0407D"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16.5379</w:t>
            </w:r>
          </w:p>
        </w:tc>
        <w:tc>
          <w:tcPr>
            <w:tcW w:w="657" w:type="pct"/>
            <w:tcBorders>
              <w:top w:val="single" w:sz="4" w:space="0" w:color="auto"/>
            </w:tcBorders>
            <w:shd w:val="clear" w:color="auto" w:fill="auto"/>
            <w:noWrap/>
            <w:vAlign w:val="center"/>
            <w:hideMark/>
          </w:tcPr>
          <w:p w14:paraId="01A6BDF3"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40.3761</w:t>
            </w:r>
          </w:p>
        </w:tc>
        <w:tc>
          <w:tcPr>
            <w:tcW w:w="662" w:type="pct"/>
            <w:tcBorders>
              <w:top w:val="single" w:sz="4" w:space="0" w:color="auto"/>
            </w:tcBorders>
            <w:shd w:val="clear" w:color="auto" w:fill="auto"/>
            <w:noWrap/>
            <w:vAlign w:val="center"/>
            <w:hideMark/>
          </w:tcPr>
          <w:p w14:paraId="74D1D224"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42.2750</w:t>
            </w:r>
          </w:p>
        </w:tc>
        <w:tc>
          <w:tcPr>
            <w:tcW w:w="576" w:type="pct"/>
            <w:tcBorders>
              <w:top w:val="single" w:sz="4" w:space="0" w:color="auto"/>
            </w:tcBorders>
            <w:shd w:val="clear" w:color="auto" w:fill="auto"/>
            <w:noWrap/>
            <w:vAlign w:val="center"/>
            <w:hideMark/>
          </w:tcPr>
          <w:p w14:paraId="30779821"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21.1000</w:t>
            </w:r>
          </w:p>
        </w:tc>
      </w:tr>
      <w:tr w:rsidR="00BA0176" w:rsidRPr="004746AF" w14:paraId="0A76F5C8" w14:textId="77777777" w:rsidTr="00C161B4">
        <w:trPr>
          <w:trHeight w:val="300"/>
        </w:trPr>
        <w:tc>
          <w:tcPr>
            <w:tcW w:w="588" w:type="pct"/>
            <w:shd w:val="clear" w:color="auto" w:fill="auto"/>
            <w:noWrap/>
            <w:vAlign w:val="center"/>
            <w:hideMark/>
          </w:tcPr>
          <w:p w14:paraId="55AA3046"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432</w:t>
            </w:r>
          </w:p>
        </w:tc>
        <w:tc>
          <w:tcPr>
            <w:tcW w:w="786" w:type="pct"/>
            <w:shd w:val="clear" w:color="auto" w:fill="auto"/>
            <w:noWrap/>
            <w:vAlign w:val="center"/>
            <w:hideMark/>
          </w:tcPr>
          <w:p w14:paraId="7D0ACCA9"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7.10.2021</w:t>
            </w:r>
          </w:p>
        </w:tc>
        <w:tc>
          <w:tcPr>
            <w:tcW w:w="577" w:type="pct"/>
            <w:gridSpan w:val="2"/>
            <w:shd w:val="clear" w:color="auto" w:fill="auto"/>
            <w:noWrap/>
            <w:vAlign w:val="center"/>
            <w:hideMark/>
          </w:tcPr>
          <w:p w14:paraId="225A6A6E"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20.0675</w:t>
            </w:r>
          </w:p>
        </w:tc>
        <w:tc>
          <w:tcPr>
            <w:tcW w:w="577" w:type="pct"/>
            <w:shd w:val="clear" w:color="auto" w:fill="auto"/>
            <w:noWrap/>
            <w:vAlign w:val="center"/>
            <w:hideMark/>
          </w:tcPr>
          <w:p w14:paraId="01B1BB5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19.1979</w:t>
            </w:r>
          </w:p>
        </w:tc>
        <w:tc>
          <w:tcPr>
            <w:tcW w:w="577" w:type="pct"/>
            <w:shd w:val="clear" w:color="auto" w:fill="auto"/>
            <w:noWrap/>
            <w:vAlign w:val="center"/>
            <w:hideMark/>
          </w:tcPr>
          <w:p w14:paraId="1A6C564A"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16.3172</w:t>
            </w:r>
          </w:p>
        </w:tc>
        <w:tc>
          <w:tcPr>
            <w:tcW w:w="657" w:type="pct"/>
            <w:shd w:val="clear" w:color="auto" w:fill="auto"/>
            <w:noWrap/>
            <w:vAlign w:val="center"/>
            <w:hideMark/>
          </w:tcPr>
          <w:p w14:paraId="49372762"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38.3846</w:t>
            </w:r>
          </w:p>
        </w:tc>
        <w:tc>
          <w:tcPr>
            <w:tcW w:w="662" w:type="pct"/>
            <w:shd w:val="clear" w:color="auto" w:fill="auto"/>
            <w:noWrap/>
            <w:vAlign w:val="center"/>
            <w:hideMark/>
          </w:tcPr>
          <w:p w14:paraId="63EEA48E"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39.3550</w:t>
            </w:r>
          </w:p>
        </w:tc>
        <w:tc>
          <w:tcPr>
            <w:tcW w:w="576" w:type="pct"/>
            <w:shd w:val="clear" w:color="auto" w:fill="auto"/>
            <w:noWrap/>
            <w:vAlign w:val="center"/>
            <w:hideMark/>
          </w:tcPr>
          <w:p w14:paraId="552BC024"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22.3400</w:t>
            </w:r>
          </w:p>
        </w:tc>
      </w:tr>
      <w:tr w:rsidR="00BA0176" w:rsidRPr="004746AF" w14:paraId="5233A32A" w14:textId="77777777" w:rsidTr="00C161B4">
        <w:trPr>
          <w:trHeight w:val="300"/>
        </w:trPr>
        <w:tc>
          <w:tcPr>
            <w:tcW w:w="588" w:type="pct"/>
            <w:shd w:val="clear" w:color="auto" w:fill="auto"/>
            <w:noWrap/>
            <w:vAlign w:val="center"/>
            <w:hideMark/>
          </w:tcPr>
          <w:p w14:paraId="10BF9ED3"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818</w:t>
            </w:r>
          </w:p>
        </w:tc>
        <w:tc>
          <w:tcPr>
            <w:tcW w:w="786" w:type="pct"/>
            <w:shd w:val="clear" w:color="auto" w:fill="auto"/>
            <w:noWrap/>
            <w:vAlign w:val="center"/>
            <w:hideMark/>
          </w:tcPr>
          <w:p w14:paraId="223CBBBA"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8.10.2021</w:t>
            </w:r>
          </w:p>
        </w:tc>
        <w:tc>
          <w:tcPr>
            <w:tcW w:w="577" w:type="pct"/>
            <w:gridSpan w:val="2"/>
            <w:shd w:val="clear" w:color="auto" w:fill="auto"/>
            <w:noWrap/>
            <w:vAlign w:val="center"/>
            <w:hideMark/>
          </w:tcPr>
          <w:p w14:paraId="0EFA957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20.0423</w:t>
            </w:r>
          </w:p>
        </w:tc>
        <w:tc>
          <w:tcPr>
            <w:tcW w:w="577" w:type="pct"/>
            <w:shd w:val="clear" w:color="auto" w:fill="auto"/>
            <w:noWrap/>
            <w:vAlign w:val="center"/>
            <w:hideMark/>
          </w:tcPr>
          <w:p w14:paraId="3E445689"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19.2092</w:t>
            </w:r>
          </w:p>
        </w:tc>
        <w:tc>
          <w:tcPr>
            <w:tcW w:w="577" w:type="pct"/>
            <w:shd w:val="clear" w:color="auto" w:fill="auto"/>
            <w:noWrap/>
            <w:vAlign w:val="center"/>
            <w:hideMark/>
          </w:tcPr>
          <w:p w14:paraId="5EB8A5FA"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16.2385</w:t>
            </w:r>
          </w:p>
        </w:tc>
        <w:tc>
          <w:tcPr>
            <w:tcW w:w="657" w:type="pct"/>
            <w:shd w:val="clear" w:color="auto" w:fill="auto"/>
            <w:noWrap/>
            <w:vAlign w:val="center"/>
            <w:hideMark/>
          </w:tcPr>
          <w:p w14:paraId="6CC44A59"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38.5868</w:t>
            </w:r>
          </w:p>
        </w:tc>
        <w:tc>
          <w:tcPr>
            <w:tcW w:w="662" w:type="pct"/>
            <w:shd w:val="clear" w:color="auto" w:fill="auto"/>
            <w:noWrap/>
            <w:vAlign w:val="center"/>
            <w:hideMark/>
          </w:tcPr>
          <w:p w14:paraId="41653311"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39.0000</w:t>
            </w:r>
          </w:p>
        </w:tc>
        <w:tc>
          <w:tcPr>
            <w:tcW w:w="576" w:type="pct"/>
            <w:shd w:val="clear" w:color="auto" w:fill="auto"/>
            <w:noWrap/>
            <w:vAlign w:val="center"/>
            <w:hideMark/>
          </w:tcPr>
          <w:p w14:paraId="6264DB08"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24.0000</w:t>
            </w:r>
          </w:p>
        </w:tc>
      </w:tr>
      <w:tr w:rsidR="00BA0176" w:rsidRPr="004746AF" w14:paraId="5B3FDC01" w14:textId="77777777" w:rsidTr="00C161B4">
        <w:trPr>
          <w:trHeight w:val="300"/>
        </w:trPr>
        <w:tc>
          <w:tcPr>
            <w:tcW w:w="588" w:type="pct"/>
            <w:shd w:val="clear" w:color="auto" w:fill="auto"/>
            <w:noWrap/>
            <w:vAlign w:val="center"/>
            <w:hideMark/>
          </w:tcPr>
          <w:p w14:paraId="22075342"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2897</w:t>
            </w:r>
          </w:p>
        </w:tc>
        <w:tc>
          <w:tcPr>
            <w:tcW w:w="786" w:type="pct"/>
            <w:shd w:val="clear" w:color="auto" w:fill="auto"/>
            <w:noWrap/>
            <w:vAlign w:val="center"/>
            <w:hideMark/>
          </w:tcPr>
          <w:p w14:paraId="0E11CC0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14.10.2021</w:t>
            </w:r>
          </w:p>
        </w:tc>
        <w:tc>
          <w:tcPr>
            <w:tcW w:w="577" w:type="pct"/>
            <w:gridSpan w:val="2"/>
            <w:shd w:val="clear" w:color="auto" w:fill="auto"/>
            <w:noWrap/>
            <w:vAlign w:val="center"/>
            <w:hideMark/>
          </w:tcPr>
          <w:p w14:paraId="5BCC8267"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20.5952</w:t>
            </w:r>
          </w:p>
        </w:tc>
        <w:tc>
          <w:tcPr>
            <w:tcW w:w="577" w:type="pct"/>
            <w:shd w:val="clear" w:color="auto" w:fill="auto"/>
            <w:noWrap/>
            <w:vAlign w:val="center"/>
            <w:hideMark/>
          </w:tcPr>
          <w:p w14:paraId="4FB39829"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20.4693</w:t>
            </w:r>
          </w:p>
        </w:tc>
        <w:tc>
          <w:tcPr>
            <w:tcW w:w="577" w:type="pct"/>
            <w:shd w:val="clear" w:color="auto" w:fill="auto"/>
            <w:noWrap/>
            <w:vAlign w:val="center"/>
            <w:hideMark/>
          </w:tcPr>
          <w:p w14:paraId="37E14891"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17.4034</w:t>
            </w:r>
          </w:p>
        </w:tc>
        <w:tc>
          <w:tcPr>
            <w:tcW w:w="657" w:type="pct"/>
            <w:shd w:val="clear" w:color="auto" w:fill="auto"/>
            <w:noWrap/>
            <w:vAlign w:val="center"/>
            <w:hideMark/>
          </w:tcPr>
          <w:p w14:paraId="58A9BD30"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39.3769</w:t>
            </w:r>
          </w:p>
        </w:tc>
        <w:tc>
          <w:tcPr>
            <w:tcW w:w="662" w:type="pct"/>
            <w:shd w:val="clear" w:color="auto" w:fill="auto"/>
            <w:noWrap/>
            <w:vAlign w:val="center"/>
            <w:hideMark/>
          </w:tcPr>
          <w:p w14:paraId="02CBC477"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39.5500</w:t>
            </w:r>
          </w:p>
        </w:tc>
        <w:tc>
          <w:tcPr>
            <w:tcW w:w="576" w:type="pct"/>
            <w:shd w:val="clear" w:color="auto" w:fill="auto"/>
            <w:noWrap/>
            <w:vAlign w:val="center"/>
            <w:hideMark/>
          </w:tcPr>
          <w:p w14:paraId="5E3CBD87"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22.6750</w:t>
            </w:r>
          </w:p>
        </w:tc>
      </w:tr>
      <w:tr w:rsidR="00BA0176" w:rsidRPr="004746AF" w14:paraId="030D3748" w14:textId="77777777" w:rsidTr="00C161B4">
        <w:trPr>
          <w:trHeight w:val="300"/>
        </w:trPr>
        <w:tc>
          <w:tcPr>
            <w:tcW w:w="588" w:type="pct"/>
            <w:shd w:val="clear" w:color="auto" w:fill="auto"/>
            <w:noWrap/>
            <w:vAlign w:val="center"/>
            <w:hideMark/>
          </w:tcPr>
          <w:p w14:paraId="3BE7FBCA"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3257</w:t>
            </w:r>
          </w:p>
        </w:tc>
        <w:tc>
          <w:tcPr>
            <w:tcW w:w="786" w:type="pct"/>
            <w:shd w:val="clear" w:color="auto" w:fill="auto"/>
            <w:noWrap/>
            <w:vAlign w:val="center"/>
            <w:hideMark/>
          </w:tcPr>
          <w:p w14:paraId="4DB33DAA"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15.10.2021</w:t>
            </w:r>
          </w:p>
        </w:tc>
        <w:tc>
          <w:tcPr>
            <w:tcW w:w="577" w:type="pct"/>
            <w:gridSpan w:val="2"/>
            <w:shd w:val="clear" w:color="auto" w:fill="auto"/>
            <w:noWrap/>
            <w:vAlign w:val="center"/>
            <w:hideMark/>
          </w:tcPr>
          <w:p w14:paraId="70516EF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20.6064</w:t>
            </w:r>
          </w:p>
        </w:tc>
        <w:tc>
          <w:tcPr>
            <w:tcW w:w="577" w:type="pct"/>
            <w:shd w:val="clear" w:color="auto" w:fill="auto"/>
            <w:noWrap/>
            <w:vAlign w:val="center"/>
            <w:hideMark/>
          </w:tcPr>
          <w:p w14:paraId="7F1AA2CA"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20.4851</w:t>
            </w:r>
          </w:p>
        </w:tc>
        <w:tc>
          <w:tcPr>
            <w:tcW w:w="577" w:type="pct"/>
            <w:shd w:val="clear" w:color="auto" w:fill="auto"/>
            <w:noWrap/>
            <w:vAlign w:val="center"/>
            <w:hideMark/>
          </w:tcPr>
          <w:p w14:paraId="3BE40DE7"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17.1642</w:t>
            </w:r>
          </w:p>
        </w:tc>
        <w:tc>
          <w:tcPr>
            <w:tcW w:w="657" w:type="pct"/>
            <w:shd w:val="clear" w:color="auto" w:fill="auto"/>
            <w:noWrap/>
            <w:vAlign w:val="center"/>
            <w:hideMark/>
          </w:tcPr>
          <w:p w14:paraId="36F62DC3"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37.8354</w:t>
            </w:r>
          </w:p>
        </w:tc>
        <w:tc>
          <w:tcPr>
            <w:tcW w:w="662" w:type="pct"/>
            <w:shd w:val="clear" w:color="auto" w:fill="auto"/>
            <w:noWrap/>
            <w:vAlign w:val="center"/>
            <w:hideMark/>
          </w:tcPr>
          <w:p w14:paraId="1D465953"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39.3250</w:t>
            </w:r>
          </w:p>
        </w:tc>
        <w:tc>
          <w:tcPr>
            <w:tcW w:w="576" w:type="pct"/>
            <w:shd w:val="clear" w:color="auto" w:fill="auto"/>
            <w:noWrap/>
            <w:vAlign w:val="center"/>
            <w:hideMark/>
          </w:tcPr>
          <w:p w14:paraId="2EDD8392"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22.6250</w:t>
            </w:r>
          </w:p>
        </w:tc>
      </w:tr>
      <w:tr w:rsidR="00BA0176" w:rsidRPr="004746AF" w14:paraId="7ABDCA2F" w14:textId="77777777" w:rsidTr="00C161B4">
        <w:trPr>
          <w:trHeight w:val="300"/>
        </w:trPr>
        <w:tc>
          <w:tcPr>
            <w:tcW w:w="588" w:type="pct"/>
            <w:shd w:val="clear" w:color="auto" w:fill="auto"/>
            <w:noWrap/>
            <w:vAlign w:val="center"/>
            <w:hideMark/>
          </w:tcPr>
          <w:p w14:paraId="2D0E8453"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4443</w:t>
            </w:r>
          </w:p>
        </w:tc>
        <w:tc>
          <w:tcPr>
            <w:tcW w:w="786" w:type="pct"/>
            <w:shd w:val="clear" w:color="auto" w:fill="auto"/>
            <w:noWrap/>
            <w:vAlign w:val="center"/>
            <w:hideMark/>
          </w:tcPr>
          <w:p w14:paraId="20F71C5A"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18.10.2021</w:t>
            </w:r>
          </w:p>
        </w:tc>
        <w:tc>
          <w:tcPr>
            <w:tcW w:w="577" w:type="pct"/>
            <w:gridSpan w:val="2"/>
            <w:shd w:val="clear" w:color="auto" w:fill="auto"/>
            <w:noWrap/>
            <w:vAlign w:val="center"/>
            <w:hideMark/>
          </w:tcPr>
          <w:p w14:paraId="43077C04"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20.6497</w:t>
            </w:r>
          </w:p>
        </w:tc>
        <w:tc>
          <w:tcPr>
            <w:tcW w:w="577" w:type="pct"/>
            <w:shd w:val="clear" w:color="auto" w:fill="auto"/>
            <w:noWrap/>
            <w:vAlign w:val="center"/>
            <w:hideMark/>
          </w:tcPr>
          <w:p w14:paraId="112D7EB2"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20.5131</w:t>
            </w:r>
          </w:p>
        </w:tc>
        <w:tc>
          <w:tcPr>
            <w:tcW w:w="577" w:type="pct"/>
            <w:shd w:val="clear" w:color="auto" w:fill="auto"/>
            <w:noWrap/>
            <w:vAlign w:val="center"/>
            <w:hideMark/>
          </w:tcPr>
          <w:p w14:paraId="196232F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17.4249</w:t>
            </w:r>
          </w:p>
        </w:tc>
        <w:tc>
          <w:tcPr>
            <w:tcW w:w="657" w:type="pct"/>
            <w:shd w:val="clear" w:color="auto" w:fill="auto"/>
            <w:noWrap/>
            <w:vAlign w:val="center"/>
            <w:hideMark/>
          </w:tcPr>
          <w:p w14:paraId="67498EA2"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39.9084</w:t>
            </w:r>
          </w:p>
        </w:tc>
        <w:tc>
          <w:tcPr>
            <w:tcW w:w="662" w:type="pct"/>
            <w:shd w:val="clear" w:color="auto" w:fill="auto"/>
            <w:noWrap/>
            <w:vAlign w:val="center"/>
            <w:hideMark/>
          </w:tcPr>
          <w:p w14:paraId="0BF1CE72"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40.4750</w:t>
            </w:r>
          </w:p>
        </w:tc>
        <w:tc>
          <w:tcPr>
            <w:tcW w:w="576" w:type="pct"/>
            <w:shd w:val="clear" w:color="auto" w:fill="auto"/>
            <w:noWrap/>
            <w:vAlign w:val="center"/>
            <w:hideMark/>
          </w:tcPr>
          <w:p w14:paraId="5689ACFA"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20.8750</w:t>
            </w:r>
          </w:p>
        </w:tc>
      </w:tr>
      <w:tr w:rsidR="00BA0176" w:rsidRPr="004746AF" w14:paraId="650CEC81" w14:textId="77777777" w:rsidTr="00C161B4">
        <w:trPr>
          <w:trHeight w:val="300"/>
        </w:trPr>
        <w:tc>
          <w:tcPr>
            <w:tcW w:w="588" w:type="pct"/>
            <w:shd w:val="clear" w:color="auto" w:fill="auto"/>
            <w:noWrap/>
            <w:vAlign w:val="center"/>
            <w:hideMark/>
          </w:tcPr>
          <w:p w14:paraId="5E02655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4740</w:t>
            </w:r>
          </w:p>
        </w:tc>
        <w:tc>
          <w:tcPr>
            <w:tcW w:w="786" w:type="pct"/>
            <w:shd w:val="clear" w:color="auto" w:fill="auto"/>
            <w:noWrap/>
            <w:vAlign w:val="center"/>
            <w:hideMark/>
          </w:tcPr>
          <w:p w14:paraId="1CF65C40"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19.10.2021</w:t>
            </w:r>
          </w:p>
        </w:tc>
        <w:tc>
          <w:tcPr>
            <w:tcW w:w="577" w:type="pct"/>
            <w:gridSpan w:val="2"/>
            <w:shd w:val="clear" w:color="auto" w:fill="auto"/>
            <w:noWrap/>
            <w:vAlign w:val="center"/>
            <w:hideMark/>
          </w:tcPr>
          <w:p w14:paraId="323DCC1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20.8381</w:t>
            </w:r>
          </w:p>
        </w:tc>
        <w:tc>
          <w:tcPr>
            <w:tcW w:w="577" w:type="pct"/>
            <w:shd w:val="clear" w:color="auto" w:fill="auto"/>
            <w:noWrap/>
            <w:vAlign w:val="center"/>
            <w:hideMark/>
          </w:tcPr>
          <w:p w14:paraId="07CB0A63"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20.6057</w:t>
            </w:r>
          </w:p>
        </w:tc>
        <w:tc>
          <w:tcPr>
            <w:tcW w:w="577" w:type="pct"/>
            <w:shd w:val="clear" w:color="auto" w:fill="auto"/>
            <w:noWrap/>
            <w:vAlign w:val="center"/>
            <w:hideMark/>
          </w:tcPr>
          <w:p w14:paraId="135A39C1"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17.5551</w:t>
            </w:r>
          </w:p>
        </w:tc>
        <w:tc>
          <w:tcPr>
            <w:tcW w:w="657" w:type="pct"/>
            <w:shd w:val="clear" w:color="auto" w:fill="auto"/>
            <w:noWrap/>
            <w:vAlign w:val="center"/>
            <w:hideMark/>
          </w:tcPr>
          <w:p w14:paraId="07666706"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38.4056</w:t>
            </w:r>
          </w:p>
        </w:tc>
        <w:tc>
          <w:tcPr>
            <w:tcW w:w="662" w:type="pct"/>
            <w:shd w:val="clear" w:color="auto" w:fill="auto"/>
            <w:noWrap/>
            <w:vAlign w:val="center"/>
            <w:hideMark/>
          </w:tcPr>
          <w:p w14:paraId="7E8B16B6"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40.1250</w:t>
            </w:r>
          </w:p>
        </w:tc>
        <w:tc>
          <w:tcPr>
            <w:tcW w:w="576" w:type="pct"/>
            <w:shd w:val="clear" w:color="auto" w:fill="auto"/>
            <w:noWrap/>
            <w:vAlign w:val="center"/>
            <w:hideMark/>
          </w:tcPr>
          <w:p w14:paraId="38F33389"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21.4000</w:t>
            </w:r>
          </w:p>
        </w:tc>
      </w:tr>
      <w:tr w:rsidR="00BA0176" w:rsidRPr="004746AF" w14:paraId="27E21192" w14:textId="77777777" w:rsidTr="00C161B4">
        <w:trPr>
          <w:trHeight w:val="300"/>
        </w:trPr>
        <w:tc>
          <w:tcPr>
            <w:tcW w:w="588" w:type="pct"/>
            <w:shd w:val="clear" w:color="auto" w:fill="auto"/>
            <w:noWrap/>
            <w:vAlign w:val="center"/>
            <w:hideMark/>
          </w:tcPr>
          <w:p w14:paraId="3BD9F39F"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5191</w:t>
            </w:r>
          </w:p>
        </w:tc>
        <w:tc>
          <w:tcPr>
            <w:tcW w:w="786" w:type="pct"/>
            <w:shd w:val="clear" w:color="auto" w:fill="auto"/>
            <w:noWrap/>
            <w:vAlign w:val="center"/>
            <w:hideMark/>
          </w:tcPr>
          <w:p w14:paraId="3363DDAC"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20.10.2021</w:t>
            </w:r>
          </w:p>
        </w:tc>
        <w:tc>
          <w:tcPr>
            <w:tcW w:w="577" w:type="pct"/>
            <w:gridSpan w:val="2"/>
            <w:shd w:val="clear" w:color="auto" w:fill="auto"/>
            <w:noWrap/>
            <w:vAlign w:val="center"/>
            <w:hideMark/>
          </w:tcPr>
          <w:p w14:paraId="193BF132"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20.6421</w:t>
            </w:r>
          </w:p>
        </w:tc>
        <w:tc>
          <w:tcPr>
            <w:tcW w:w="577" w:type="pct"/>
            <w:shd w:val="clear" w:color="auto" w:fill="auto"/>
            <w:noWrap/>
            <w:vAlign w:val="center"/>
            <w:hideMark/>
          </w:tcPr>
          <w:p w14:paraId="2BA0B93F"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20.5570</w:t>
            </w:r>
          </w:p>
        </w:tc>
        <w:tc>
          <w:tcPr>
            <w:tcW w:w="577" w:type="pct"/>
            <w:shd w:val="clear" w:color="auto" w:fill="auto"/>
            <w:noWrap/>
            <w:vAlign w:val="center"/>
            <w:hideMark/>
          </w:tcPr>
          <w:p w14:paraId="4FEF7490"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17.5260</w:t>
            </w:r>
          </w:p>
        </w:tc>
        <w:tc>
          <w:tcPr>
            <w:tcW w:w="657" w:type="pct"/>
            <w:shd w:val="clear" w:color="auto" w:fill="auto"/>
            <w:noWrap/>
            <w:vAlign w:val="center"/>
            <w:hideMark/>
          </w:tcPr>
          <w:p w14:paraId="30578783"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39.9275</w:t>
            </w:r>
          </w:p>
        </w:tc>
        <w:tc>
          <w:tcPr>
            <w:tcW w:w="662" w:type="pct"/>
            <w:shd w:val="clear" w:color="auto" w:fill="auto"/>
            <w:noWrap/>
            <w:vAlign w:val="center"/>
            <w:hideMark/>
          </w:tcPr>
          <w:p w14:paraId="28F6863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38.6000</w:t>
            </w:r>
          </w:p>
        </w:tc>
        <w:tc>
          <w:tcPr>
            <w:tcW w:w="576" w:type="pct"/>
            <w:shd w:val="clear" w:color="auto" w:fill="auto"/>
            <w:noWrap/>
            <w:vAlign w:val="center"/>
            <w:hideMark/>
          </w:tcPr>
          <w:p w14:paraId="14875C06"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23.5250</w:t>
            </w:r>
          </w:p>
        </w:tc>
      </w:tr>
      <w:tr w:rsidR="00BA0176" w:rsidRPr="004746AF" w14:paraId="777ADD64" w14:textId="77777777" w:rsidTr="00C161B4">
        <w:trPr>
          <w:trHeight w:val="300"/>
        </w:trPr>
        <w:tc>
          <w:tcPr>
            <w:tcW w:w="588" w:type="pct"/>
            <w:shd w:val="clear" w:color="auto" w:fill="auto"/>
            <w:noWrap/>
            <w:vAlign w:val="center"/>
            <w:hideMark/>
          </w:tcPr>
          <w:p w14:paraId="26C8DB24"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5544</w:t>
            </w:r>
          </w:p>
        </w:tc>
        <w:tc>
          <w:tcPr>
            <w:tcW w:w="786" w:type="pct"/>
            <w:shd w:val="clear" w:color="auto" w:fill="auto"/>
            <w:noWrap/>
            <w:vAlign w:val="center"/>
            <w:hideMark/>
          </w:tcPr>
          <w:p w14:paraId="028BCA66"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21.10.2021</w:t>
            </w:r>
          </w:p>
        </w:tc>
        <w:tc>
          <w:tcPr>
            <w:tcW w:w="577" w:type="pct"/>
            <w:gridSpan w:val="2"/>
            <w:shd w:val="clear" w:color="auto" w:fill="auto"/>
            <w:noWrap/>
            <w:vAlign w:val="center"/>
            <w:hideMark/>
          </w:tcPr>
          <w:p w14:paraId="47E0681F"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20.6839</w:t>
            </w:r>
          </w:p>
        </w:tc>
        <w:tc>
          <w:tcPr>
            <w:tcW w:w="577" w:type="pct"/>
            <w:shd w:val="clear" w:color="auto" w:fill="auto"/>
            <w:noWrap/>
            <w:vAlign w:val="center"/>
            <w:hideMark/>
          </w:tcPr>
          <w:p w14:paraId="07074888"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20.5103</w:t>
            </w:r>
          </w:p>
        </w:tc>
        <w:tc>
          <w:tcPr>
            <w:tcW w:w="577" w:type="pct"/>
            <w:shd w:val="clear" w:color="auto" w:fill="auto"/>
            <w:noWrap/>
            <w:vAlign w:val="center"/>
            <w:hideMark/>
          </w:tcPr>
          <w:p w14:paraId="3D7636AA"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17.4014</w:t>
            </w:r>
          </w:p>
        </w:tc>
        <w:tc>
          <w:tcPr>
            <w:tcW w:w="657" w:type="pct"/>
            <w:shd w:val="clear" w:color="auto" w:fill="auto"/>
            <w:noWrap/>
            <w:vAlign w:val="center"/>
            <w:hideMark/>
          </w:tcPr>
          <w:p w14:paraId="7B1BE681"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39.9618</w:t>
            </w:r>
          </w:p>
        </w:tc>
        <w:tc>
          <w:tcPr>
            <w:tcW w:w="662" w:type="pct"/>
            <w:shd w:val="clear" w:color="auto" w:fill="auto"/>
            <w:noWrap/>
            <w:vAlign w:val="center"/>
            <w:hideMark/>
          </w:tcPr>
          <w:p w14:paraId="7866DF64"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42.1750</w:t>
            </w:r>
          </w:p>
        </w:tc>
        <w:tc>
          <w:tcPr>
            <w:tcW w:w="576" w:type="pct"/>
            <w:shd w:val="clear" w:color="auto" w:fill="auto"/>
            <w:noWrap/>
            <w:vAlign w:val="center"/>
            <w:hideMark/>
          </w:tcPr>
          <w:p w14:paraId="1D94FB56"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20.4250</w:t>
            </w:r>
          </w:p>
        </w:tc>
      </w:tr>
      <w:tr w:rsidR="00BA0176" w:rsidRPr="004746AF" w14:paraId="04D39F57" w14:textId="77777777" w:rsidTr="00C161B4">
        <w:trPr>
          <w:trHeight w:val="300"/>
        </w:trPr>
        <w:tc>
          <w:tcPr>
            <w:tcW w:w="588" w:type="pct"/>
            <w:shd w:val="clear" w:color="auto" w:fill="auto"/>
            <w:noWrap/>
            <w:vAlign w:val="center"/>
            <w:hideMark/>
          </w:tcPr>
          <w:p w14:paraId="3F8C4CA6"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5915</w:t>
            </w:r>
          </w:p>
        </w:tc>
        <w:tc>
          <w:tcPr>
            <w:tcW w:w="786" w:type="pct"/>
            <w:shd w:val="clear" w:color="auto" w:fill="auto"/>
            <w:noWrap/>
            <w:vAlign w:val="center"/>
            <w:hideMark/>
          </w:tcPr>
          <w:p w14:paraId="046557F2"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22.10.2021</w:t>
            </w:r>
          </w:p>
        </w:tc>
        <w:tc>
          <w:tcPr>
            <w:tcW w:w="577" w:type="pct"/>
            <w:gridSpan w:val="2"/>
            <w:shd w:val="clear" w:color="auto" w:fill="auto"/>
            <w:noWrap/>
            <w:vAlign w:val="center"/>
            <w:hideMark/>
          </w:tcPr>
          <w:p w14:paraId="3EEB9803"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20.8461</w:t>
            </w:r>
          </w:p>
        </w:tc>
        <w:tc>
          <w:tcPr>
            <w:tcW w:w="577" w:type="pct"/>
            <w:shd w:val="clear" w:color="auto" w:fill="auto"/>
            <w:noWrap/>
            <w:vAlign w:val="center"/>
            <w:hideMark/>
          </w:tcPr>
          <w:p w14:paraId="6F336E4C"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20.6459</w:t>
            </w:r>
          </w:p>
        </w:tc>
        <w:tc>
          <w:tcPr>
            <w:tcW w:w="577" w:type="pct"/>
            <w:shd w:val="clear" w:color="auto" w:fill="auto"/>
            <w:noWrap/>
            <w:vAlign w:val="center"/>
            <w:hideMark/>
          </w:tcPr>
          <w:p w14:paraId="231B5731"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17.3402</w:t>
            </w:r>
          </w:p>
        </w:tc>
        <w:tc>
          <w:tcPr>
            <w:tcW w:w="657" w:type="pct"/>
            <w:shd w:val="clear" w:color="auto" w:fill="auto"/>
            <w:noWrap/>
            <w:vAlign w:val="center"/>
            <w:hideMark/>
          </w:tcPr>
          <w:p w14:paraId="6AECB6C2"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40.1221</w:t>
            </w:r>
          </w:p>
        </w:tc>
        <w:tc>
          <w:tcPr>
            <w:tcW w:w="662" w:type="pct"/>
            <w:shd w:val="clear" w:color="auto" w:fill="auto"/>
            <w:noWrap/>
            <w:vAlign w:val="center"/>
            <w:hideMark/>
          </w:tcPr>
          <w:p w14:paraId="162C2704"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41.8250</w:t>
            </w:r>
          </w:p>
        </w:tc>
        <w:tc>
          <w:tcPr>
            <w:tcW w:w="576" w:type="pct"/>
            <w:shd w:val="clear" w:color="auto" w:fill="auto"/>
            <w:noWrap/>
            <w:vAlign w:val="center"/>
            <w:hideMark/>
          </w:tcPr>
          <w:p w14:paraId="36E185B7"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21.1000</w:t>
            </w:r>
          </w:p>
        </w:tc>
      </w:tr>
      <w:tr w:rsidR="00BA0176" w:rsidRPr="004746AF" w14:paraId="3092A17E" w14:textId="77777777" w:rsidTr="00C161B4">
        <w:trPr>
          <w:trHeight w:val="300"/>
        </w:trPr>
        <w:tc>
          <w:tcPr>
            <w:tcW w:w="588" w:type="pct"/>
            <w:shd w:val="clear" w:color="auto" w:fill="auto"/>
            <w:noWrap/>
            <w:vAlign w:val="center"/>
            <w:hideMark/>
          </w:tcPr>
          <w:p w14:paraId="4594889F"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6137</w:t>
            </w:r>
          </w:p>
        </w:tc>
        <w:tc>
          <w:tcPr>
            <w:tcW w:w="786" w:type="pct"/>
            <w:shd w:val="clear" w:color="auto" w:fill="auto"/>
            <w:noWrap/>
            <w:vAlign w:val="center"/>
            <w:hideMark/>
          </w:tcPr>
          <w:p w14:paraId="6E4A288E"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23.10.2021</w:t>
            </w:r>
          </w:p>
        </w:tc>
        <w:tc>
          <w:tcPr>
            <w:tcW w:w="577" w:type="pct"/>
            <w:gridSpan w:val="2"/>
            <w:shd w:val="clear" w:color="auto" w:fill="auto"/>
            <w:noWrap/>
            <w:vAlign w:val="center"/>
            <w:hideMark/>
          </w:tcPr>
          <w:p w14:paraId="2E02C5E6"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20.8589</w:t>
            </w:r>
          </w:p>
        </w:tc>
        <w:tc>
          <w:tcPr>
            <w:tcW w:w="577" w:type="pct"/>
            <w:shd w:val="clear" w:color="auto" w:fill="auto"/>
            <w:noWrap/>
            <w:vAlign w:val="center"/>
            <w:hideMark/>
          </w:tcPr>
          <w:p w14:paraId="3B6EDB34"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20.7211</w:t>
            </w:r>
          </w:p>
        </w:tc>
        <w:tc>
          <w:tcPr>
            <w:tcW w:w="577" w:type="pct"/>
            <w:shd w:val="clear" w:color="auto" w:fill="auto"/>
            <w:noWrap/>
            <w:vAlign w:val="center"/>
            <w:hideMark/>
          </w:tcPr>
          <w:p w14:paraId="26DC1AC8"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17.3053</w:t>
            </w:r>
          </w:p>
        </w:tc>
        <w:tc>
          <w:tcPr>
            <w:tcW w:w="657" w:type="pct"/>
            <w:shd w:val="clear" w:color="auto" w:fill="auto"/>
            <w:noWrap/>
            <w:vAlign w:val="center"/>
            <w:hideMark/>
          </w:tcPr>
          <w:p w14:paraId="64FC29AB"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39.2128</w:t>
            </w:r>
          </w:p>
        </w:tc>
        <w:tc>
          <w:tcPr>
            <w:tcW w:w="662" w:type="pct"/>
            <w:shd w:val="clear" w:color="auto" w:fill="auto"/>
            <w:noWrap/>
            <w:vAlign w:val="center"/>
            <w:hideMark/>
          </w:tcPr>
          <w:p w14:paraId="38D77C1C"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36.8750</w:t>
            </w:r>
          </w:p>
        </w:tc>
        <w:tc>
          <w:tcPr>
            <w:tcW w:w="576" w:type="pct"/>
            <w:shd w:val="clear" w:color="auto" w:fill="auto"/>
            <w:noWrap/>
            <w:vAlign w:val="center"/>
            <w:hideMark/>
          </w:tcPr>
          <w:p w14:paraId="3DC102BB"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25.9750</w:t>
            </w:r>
          </w:p>
        </w:tc>
      </w:tr>
      <w:tr w:rsidR="00BA0176" w:rsidRPr="004746AF" w14:paraId="64723F52" w14:textId="77777777" w:rsidTr="00C161B4">
        <w:trPr>
          <w:trHeight w:val="300"/>
        </w:trPr>
        <w:tc>
          <w:tcPr>
            <w:tcW w:w="588" w:type="pct"/>
            <w:shd w:val="clear" w:color="auto" w:fill="auto"/>
            <w:noWrap/>
            <w:vAlign w:val="center"/>
            <w:hideMark/>
          </w:tcPr>
          <w:p w14:paraId="044A2549"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6600</w:t>
            </w:r>
          </w:p>
        </w:tc>
        <w:tc>
          <w:tcPr>
            <w:tcW w:w="786" w:type="pct"/>
            <w:shd w:val="clear" w:color="auto" w:fill="auto"/>
            <w:noWrap/>
            <w:vAlign w:val="center"/>
            <w:hideMark/>
          </w:tcPr>
          <w:p w14:paraId="2B851213"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24.10.2021</w:t>
            </w:r>
          </w:p>
        </w:tc>
        <w:tc>
          <w:tcPr>
            <w:tcW w:w="577" w:type="pct"/>
            <w:gridSpan w:val="2"/>
            <w:shd w:val="clear" w:color="auto" w:fill="auto"/>
            <w:noWrap/>
            <w:vAlign w:val="center"/>
            <w:hideMark/>
          </w:tcPr>
          <w:p w14:paraId="2B13315B"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20.6774</w:t>
            </w:r>
          </w:p>
        </w:tc>
        <w:tc>
          <w:tcPr>
            <w:tcW w:w="577" w:type="pct"/>
            <w:shd w:val="clear" w:color="auto" w:fill="auto"/>
            <w:noWrap/>
            <w:vAlign w:val="center"/>
            <w:hideMark/>
          </w:tcPr>
          <w:p w14:paraId="1A592A5B"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20.4776</w:t>
            </w:r>
          </w:p>
        </w:tc>
        <w:tc>
          <w:tcPr>
            <w:tcW w:w="577" w:type="pct"/>
            <w:shd w:val="clear" w:color="auto" w:fill="auto"/>
            <w:noWrap/>
            <w:vAlign w:val="center"/>
            <w:hideMark/>
          </w:tcPr>
          <w:p w14:paraId="69BAA4AC"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17.0673</w:t>
            </w:r>
          </w:p>
        </w:tc>
        <w:tc>
          <w:tcPr>
            <w:tcW w:w="657" w:type="pct"/>
            <w:shd w:val="clear" w:color="auto" w:fill="auto"/>
            <w:noWrap/>
            <w:vAlign w:val="center"/>
            <w:hideMark/>
          </w:tcPr>
          <w:p w14:paraId="384C3C7E"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38.2791</w:t>
            </w:r>
          </w:p>
        </w:tc>
        <w:tc>
          <w:tcPr>
            <w:tcW w:w="662" w:type="pct"/>
            <w:shd w:val="clear" w:color="auto" w:fill="auto"/>
            <w:noWrap/>
            <w:vAlign w:val="center"/>
            <w:hideMark/>
          </w:tcPr>
          <w:p w14:paraId="5FB977BA"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38.0500</w:t>
            </w:r>
          </w:p>
        </w:tc>
        <w:tc>
          <w:tcPr>
            <w:tcW w:w="576" w:type="pct"/>
            <w:shd w:val="clear" w:color="auto" w:fill="auto"/>
            <w:noWrap/>
            <w:vAlign w:val="center"/>
            <w:hideMark/>
          </w:tcPr>
          <w:p w14:paraId="6932FF1F"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23.9500</w:t>
            </w:r>
          </w:p>
        </w:tc>
      </w:tr>
      <w:tr w:rsidR="00BA0176" w:rsidRPr="004746AF" w14:paraId="738FECC7" w14:textId="77777777" w:rsidTr="00C161B4">
        <w:trPr>
          <w:trHeight w:val="300"/>
        </w:trPr>
        <w:tc>
          <w:tcPr>
            <w:tcW w:w="588" w:type="pct"/>
            <w:shd w:val="clear" w:color="auto" w:fill="auto"/>
            <w:noWrap/>
            <w:vAlign w:val="center"/>
            <w:hideMark/>
          </w:tcPr>
          <w:p w14:paraId="0DF41EAF"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6823</w:t>
            </w:r>
          </w:p>
        </w:tc>
        <w:tc>
          <w:tcPr>
            <w:tcW w:w="786" w:type="pct"/>
            <w:shd w:val="clear" w:color="auto" w:fill="auto"/>
            <w:noWrap/>
            <w:vAlign w:val="center"/>
            <w:hideMark/>
          </w:tcPr>
          <w:p w14:paraId="6949D6A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25.10.2021</w:t>
            </w:r>
          </w:p>
        </w:tc>
        <w:tc>
          <w:tcPr>
            <w:tcW w:w="577" w:type="pct"/>
            <w:gridSpan w:val="2"/>
            <w:shd w:val="clear" w:color="auto" w:fill="auto"/>
            <w:noWrap/>
            <w:vAlign w:val="center"/>
            <w:hideMark/>
          </w:tcPr>
          <w:p w14:paraId="50BC6530"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20.6511</w:t>
            </w:r>
          </w:p>
        </w:tc>
        <w:tc>
          <w:tcPr>
            <w:tcW w:w="577" w:type="pct"/>
            <w:shd w:val="clear" w:color="auto" w:fill="auto"/>
            <w:noWrap/>
            <w:vAlign w:val="center"/>
            <w:hideMark/>
          </w:tcPr>
          <w:p w14:paraId="6682B5D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20.5143</w:t>
            </w:r>
          </w:p>
        </w:tc>
        <w:tc>
          <w:tcPr>
            <w:tcW w:w="577" w:type="pct"/>
            <w:shd w:val="clear" w:color="auto" w:fill="auto"/>
            <w:noWrap/>
            <w:vAlign w:val="center"/>
            <w:hideMark/>
          </w:tcPr>
          <w:p w14:paraId="3F868C96"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16.7519</w:t>
            </w:r>
          </w:p>
        </w:tc>
        <w:tc>
          <w:tcPr>
            <w:tcW w:w="657" w:type="pct"/>
            <w:shd w:val="clear" w:color="auto" w:fill="auto"/>
            <w:noWrap/>
            <w:vAlign w:val="center"/>
            <w:hideMark/>
          </w:tcPr>
          <w:p w14:paraId="27CC3906"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37.5545</w:t>
            </w:r>
          </w:p>
        </w:tc>
        <w:tc>
          <w:tcPr>
            <w:tcW w:w="662" w:type="pct"/>
            <w:shd w:val="clear" w:color="auto" w:fill="auto"/>
            <w:noWrap/>
            <w:vAlign w:val="center"/>
            <w:hideMark/>
          </w:tcPr>
          <w:p w14:paraId="60B46F8C"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40.9500</w:t>
            </w:r>
          </w:p>
        </w:tc>
        <w:tc>
          <w:tcPr>
            <w:tcW w:w="576" w:type="pct"/>
            <w:shd w:val="clear" w:color="auto" w:fill="auto"/>
            <w:noWrap/>
            <w:vAlign w:val="center"/>
            <w:hideMark/>
          </w:tcPr>
          <w:p w14:paraId="05283BEF"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20.2000</w:t>
            </w:r>
          </w:p>
        </w:tc>
      </w:tr>
      <w:tr w:rsidR="00BA0176" w:rsidRPr="004746AF" w14:paraId="3D5EC8FE" w14:textId="77777777" w:rsidTr="00C161B4">
        <w:trPr>
          <w:trHeight w:val="300"/>
        </w:trPr>
        <w:tc>
          <w:tcPr>
            <w:tcW w:w="588" w:type="pct"/>
            <w:shd w:val="clear" w:color="auto" w:fill="auto"/>
            <w:noWrap/>
            <w:vAlign w:val="center"/>
            <w:hideMark/>
          </w:tcPr>
          <w:p w14:paraId="737B8DE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7090</w:t>
            </w:r>
          </w:p>
        </w:tc>
        <w:tc>
          <w:tcPr>
            <w:tcW w:w="786" w:type="pct"/>
            <w:shd w:val="clear" w:color="auto" w:fill="auto"/>
            <w:noWrap/>
            <w:vAlign w:val="center"/>
            <w:hideMark/>
          </w:tcPr>
          <w:p w14:paraId="65FF70EB"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26.10.2021</w:t>
            </w:r>
          </w:p>
        </w:tc>
        <w:tc>
          <w:tcPr>
            <w:tcW w:w="577" w:type="pct"/>
            <w:gridSpan w:val="2"/>
            <w:shd w:val="clear" w:color="auto" w:fill="auto"/>
            <w:noWrap/>
            <w:vAlign w:val="center"/>
            <w:hideMark/>
          </w:tcPr>
          <w:p w14:paraId="139BC269"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20.6892</w:t>
            </w:r>
          </w:p>
        </w:tc>
        <w:tc>
          <w:tcPr>
            <w:tcW w:w="577" w:type="pct"/>
            <w:shd w:val="clear" w:color="auto" w:fill="auto"/>
            <w:noWrap/>
            <w:vAlign w:val="center"/>
            <w:hideMark/>
          </w:tcPr>
          <w:p w14:paraId="597E0438"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20.4497</w:t>
            </w:r>
          </w:p>
        </w:tc>
        <w:tc>
          <w:tcPr>
            <w:tcW w:w="577" w:type="pct"/>
            <w:shd w:val="clear" w:color="auto" w:fill="auto"/>
            <w:noWrap/>
            <w:vAlign w:val="center"/>
            <w:hideMark/>
          </w:tcPr>
          <w:p w14:paraId="5274BC86"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16.6523</w:t>
            </w:r>
          </w:p>
        </w:tc>
        <w:tc>
          <w:tcPr>
            <w:tcW w:w="657" w:type="pct"/>
            <w:shd w:val="clear" w:color="auto" w:fill="auto"/>
            <w:noWrap/>
            <w:vAlign w:val="center"/>
            <w:hideMark/>
          </w:tcPr>
          <w:p w14:paraId="637134E6"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38.1757</w:t>
            </w:r>
          </w:p>
        </w:tc>
        <w:tc>
          <w:tcPr>
            <w:tcW w:w="662" w:type="pct"/>
            <w:shd w:val="clear" w:color="auto" w:fill="auto"/>
            <w:noWrap/>
            <w:vAlign w:val="center"/>
            <w:hideMark/>
          </w:tcPr>
          <w:p w14:paraId="09073BB1"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42.8750</w:t>
            </w:r>
          </w:p>
        </w:tc>
        <w:tc>
          <w:tcPr>
            <w:tcW w:w="576" w:type="pct"/>
            <w:shd w:val="clear" w:color="auto" w:fill="auto"/>
            <w:noWrap/>
            <w:vAlign w:val="center"/>
            <w:hideMark/>
          </w:tcPr>
          <w:p w14:paraId="7589AA7F"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18.7500</w:t>
            </w:r>
          </w:p>
        </w:tc>
      </w:tr>
      <w:tr w:rsidR="00BA0176" w:rsidRPr="004746AF" w14:paraId="52704E8C" w14:textId="77777777" w:rsidTr="00C161B4">
        <w:trPr>
          <w:trHeight w:val="300"/>
        </w:trPr>
        <w:tc>
          <w:tcPr>
            <w:tcW w:w="588" w:type="pct"/>
            <w:shd w:val="clear" w:color="auto" w:fill="auto"/>
            <w:noWrap/>
            <w:vAlign w:val="center"/>
            <w:hideMark/>
          </w:tcPr>
          <w:p w14:paraId="78517FAD"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7413</w:t>
            </w:r>
          </w:p>
        </w:tc>
        <w:tc>
          <w:tcPr>
            <w:tcW w:w="786" w:type="pct"/>
            <w:shd w:val="clear" w:color="auto" w:fill="auto"/>
            <w:noWrap/>
            <w:vAlign w:val="center"/>
            <w:hideMark/>
          </w:tcPr>
          <w:p w14:paraId="699C140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27.10.2021</w:t>
            </w:r>
          </w:p>
        </w:tc>
        <w:tc>
          <w:tcPr>
            <w:tcW w:w="577" w:type="pct"/>
            <w:gridSpan w:val="2"/>
            <w:shd w:val="clear" w:color="auto" w:fill="auto"/>
            <w:noWrap/>
            <w:vAlign w:val="center"/>
            <w:hideMark/>
          </w:tcPr>
          <w:p w14:paraId="23B8ED8B"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20.7899</w:t>
            </w:r>
          </w:p>
        </w:tc>
        <w:tc>
          <w:tcPr>
            <w:tcW w:w="577" w:type="pct"/>
            <w:shd w:val="clear" w:color="auto" w:fill="auto"/>
            <w:noWrap/>
            <w:vAlign w:val="center"/>
            <w:hideMark/>
          </w:tcPr>
          <w:p w14:paraId="087DAC4A"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20.5215</w:t>
            </w:r>
          </w:p>
        </w:tc>
        <w:tc>
          <w:tcPr>
            <w:tcW w:w="577" w:type="pct"/>
            <w:shd w:val="clear" w:color="auto" w:fill="auto"/>
            <w:noWrap/>
            <w:vAlign w:val="center"/>
            <w:hideMark/>
          </w:tcPr>
          <w:p w14:paraId="58474E99"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16.7317</w:t>
            </w:r>
          </w:p>
        </w:tc>
        <w:tc>
          <w:tcPr>
            <w:tcW w:w="657" w:type="pct"/>
            <w:shd w:val="clear" w:color="auto" w:fill="auto"/>
            <w:noWrap/>
            <w:vAlign w:val="center"/>
            <w:hideMark/>
          </w:tcPr>
          <w:p w14:paraId="429F3ADE"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37.9123</w:t>
            </w:r>
          </w:p>
        </w:tc>
        <w:tc>
          <w:tcPr>
            <w:tcW w:w="662" w:type="pct"/>
            <w:shd w:val="clear" w:color="auto" w:fill="auto"/>
            <w:noWrap/>
            <w:vAlign w:val="center"/>
            <w:hideMark/>
          </w:tcPr>
          <w:p w14:paraId="71A23714"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38.4000</w:t>
            </w:r>
          </w:p>
        </w:tc>
        <w:tc>
          <w:tcPr>
            <w:tcW w:w="576" w:type="pct"/>
            <w:shd w:val="clear" w:color="auto" w:fill="auto"/>
            <w:noWrap/>
            <w:vAlign w:val="center"/>
            <w:hideMark/>
          </w:tcPr>
          <w:p w14:paraId="7727F1B3"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22.1250</w:t>
            </w:r>
          </w:p>
        </w:tc>
      </w:tr>
      <w:tr w:rsidR="00BA0176" w:rsidRPr="004746AF" w14:paraId="23A5BF16" w14:textId="77777777" w:rsidTr="00C161B4">
        <w:trPr>
          <w:trHeight w:val="300"/>
        </w:trPr>
        <w:tc>
          <w:tcPr>
            <w:tcW w:w="588" w:type="pct"/>
            <w:shd w:val="clear" w:color="auto" w:fill="auto"/>
            <w:noWrap/>
            <w:vAlign w:val="center"/>
            <w:hideMark/>
          </w:tcPr>
          <w:p w14:paraId="398227B4"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7931</w:t>
            </w:r>
          </w:p>
        </w:tc>
        <w:tc>
          <w:tcPr>
            <w:tcW w:w="786" w:type="pct"/>
            <w:shd w:val="clear" w:color="auto" w:fill="auto"/>
            <w:noWrap/>
            <w:vAlign w:val="center"/>
            <w:hideMark/>
          </w:tcPr>
          <w:p w14:paraId="5139EBDF"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28.10.2021</w:t>
            </w:r>
          </w:p>
        </w:tc>
        <w:tc>
          <w:tcPr>
            <w:tcW w:w="577" w:type="pct"/>
            <w:gridSpan w:val="2"/>
            <w:shd w:val="clear" w:color="auto" w:fill="auto"/>
            <w:noWrap/>
            <w:vAlign w:val="center"/>
            <w:hideMark/>
          </w:tcPr>
          <w:p w14:paraId="361AAECB"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20.7743</w:t>
            </w:r>
          </w:p>
        </w:tc>
        <w:tc>
          <w:tcPr>
            <w:tcW w:w="577" w:type="pct"/>
            <w:shd w:val="clear" w:color="auto" w:fill="auto"/>
            <w:noWrap/>
            <w:vAlign w:val="center"/>
            <w:hideMark/>
          </w:tcPr>
          <w:p w14:paraId="38B060FD"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20.5300</w:t>
            </w:r>
          </w:p>
        </w:tc>
        <w:tc>
          <w:tcPr>
            <w:tcW w:w="577" w:type="pct"/>
            <w:shd w:val="clear" w:color="auto" w:fill="auto"/>
            <w:noWrap/>
            <w:vAlign w:val="center"/>
            <w:hideMark/>
          </w:tcPr>
          <w:p w14:paraId="61858913"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16.6879</w:t>
            </w:r>
          </w:p>
        </w:tc>
        <w:tc>
          <w:tcPr>
            <w:tcW w:w="657" w:type="pct"/>
            <w:shd w:val="clear" w:color="auto" w:fill="auto"/>
            <w:noWrap/>
            <w:vAlign w:val="center"/>
            <w:hideMark/>
          </w:tcPr>
          <w:p w14:paraId="5AE87C76"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38.5982</w:t>
            </w:r>
          </w:p>
        </w:tc>
        <w:tc>
          <w:tcPr>
            <w:tcW w:w="662" w:type="pct"/>
            <w:shd w:val="clear" w:color="auto" w:fill="auto"/>
            <w:noWrap/>
            <w:vAlign w:val="center"/>
            <w:hideMark/>
          </w:tcPr>
          <w:p w14:paraId="23FB9D8D"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40.0750</w:t>
            </w:r>
          </w:p>
        </w:tc>
        <w:tc>
          <w:tcPr>
            <w:tcW w:w="576" w:type="pct"/>
            <w:shd w:val="clear" w:color="auto" w:fill="auto"/>
            <w:noWrap/>
            <w:vAlign w:val="center"/>
            <w:hideMark/>
          </w:tcPr>
          <w:p w14:paraId="06D7E62B"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20.9250</w:t>
            </w:r>
          </w:p>
        </w:tc>
      </w:tr>
      <w:tr w:rsidR="00BA0176" w:rsidRPr="004746AF" w14:paraId="77906BF2" w14:textId="77777777" w:rsidTr="00C161B4">
        <w:trPr>
          <w:trHeight w:val="300"/>
        </w:trPr>
        <w:tc>
          <w:tcPr>
            <w:tcW w:w="588" w:type="pct"/>
            <w:shd w:val="clear" w:color="auto" w:fill="auto"/>
            <w:noWrap/>
            <w:vAlign w:val="center"/>
            <w:hideMark/>
          </w:tcPr>
          <w:p w14:paraId="28A08310"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8361</w:t>
            </w:r>
          </w:p>
        </w:tc>
        <w:tc>
          <w:tcPr>
            <w:tcW w:w="786" w:type="pct"/>
            <w:shd w:val="clear" w:color="auto" w:fill="auto"/>
            <w:noWrap/>
            <w:vAlign w:val="center"/>
            <w:hideMark/>
          </w:tcPr>
          <w:p w14:paraId="30D0CF03"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29.10.2021</w:t>
            </w:r>
          </w:p>
        </w:tc>
        <w:tc>
          <w:tcPr>
            <w:tcW w:w="577" w:type="pct"/>
            <w:gridSpan w:val="2"/>
            <w:shd w:val="clear" w:color="auto" w:fill="auto"/>
            <w:noWrap/>
            <w:vAlign w:val="center"/>
            <w:hideMark/>
          </w:tcPr>
          <w:p w14:paraId="55A26388"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20.9959</w:t>
            </w:r>
          </w:p>
        </w:tc>
        <w:tc>
          <w:tcPr>
            <w:tcW w:w="577" w:type="pct"/>
            <w:shd w:val="clear" w:color="auto" w:fill="auto"/>
            <w:noWrap/>
            <w:vAlign w:val="center"/>
            <w:hideMark/>
          </w:tcPr>
          <w:p w14:paraId="51D13026"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20.4946</w:t>
            </w:r>
          </w:p>
        </w:tc>
        <w:tc>
          <w:tcPr>
            <w:tcW w:w="577" w:type="pct"/>
            <w:shd w:val="clear" w:color="auto" w:fill="auto"/>
            <w:noWrap/>
            <w:vAlign w:val="center"/>
            <w:hideMark/>
          </w:tcPr>
          <w:p w14:paraId="6130F02E"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16.6110</w:t>
            </w:r>
          </w:p>
        </w:tc>
        <w:tc>
          <w:tcPr>
            <w:tcW w:w="657" w:type="pct"/>
            <w:shd w:val="clear" w:color="auto" w:fill="auto"/>
            <w:noWrap/>
            <w:vAlign w:val="center"/>
            <w:hideMark/>
          </w:tcPr>
          <w:p w14:paraId="2D7AEE67"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39.0842</w:t>
            </w:r>
          </w:p>
        </w:tc>
        <w:tc>
          <w:tcPr>
            <w:tcW w:w="662" w:type="pct"/>
            <w:shd w:val="clear" w:color="auto" w:fill="auto"/>
            <w:noWrap/>
            <w:vAlign w:val="center"/>
            <w:hideMark/>
          </w:tcPr>
          <w:p w14:paraId="6018A927"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42.7250</w:t>
            </w:r>
          </w:p>
        </w:tc>
        <w:tc>
          <w:tcPr>
            <w:tcW w:w="576" w:type="pct"/>
            <w:shd w:val="clear" w:color="auto" w:fill="auto"/>
            <w:noWrap/>
            <w:vAlign w:val="center"/>
            <w:hideMark/>
          </w:tcPr>
          <w:p w14:paraId="2D1E1ECD"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19.0000</w:t>
            </w:r>
          </w:p>
        </w:tc>
      </w:tr>
      <w:tr w:rsidR="00BA0176" w:rsidRPr="004746AF" w14:paraId="38023660" w14:textId="77777777" w:rsidTr="00C161B4">
        <w:trPr>
          <w:trHeight w:val="300"/>
        </w:trPr>
        <w:tc>
          <w:tcPr>
            <w:tcW w:w="588" w:type="pct"/>
            <w:shd w:val="clear" w:color="auto" w:fill="auto"/>
            <w:noWrap/>
            <w:vAlign w:val="center"/>
            <w:hideMark/>
          </w:tcPr>
          <w:p w14:paraId="7A8A1C12"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8679</w:t>
            </w:r>
          </w:p>
        </w:tc>
        <w:tc>
          <w:tcPr>
            <w:tcW w:w="786" w:type="pct"/>
            <w:shd w:val="clear" w:color="auto" w:fill="auto"/>
            <w:noWrap/>
            <w:vAlign w:val="center"/>
            <w:hideMark/>
          </w:tcPr>
          <w:p w14:paraId="1F63D3CE"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30.10.2021</w:t>
            </w:r>
          </w:p>
        </w:tc>
        <w:tc>
          <w:tcPr>
            <w:tcW w:w="577" w:type="pct"/>
            <w:gridSpan w:val="2"/>
            <w:shd w:val="clear" w:color="auto" w:fill="auto"/>
            <w:noWrap/>
            <w:vAlign w:val="center"/>
            <w:hideMark/>
          </w:tcPr>
          <w:p w14:paraId="53C143A7"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21.3780</w:t>
            </w:r>
          </w:p>
        </w:tc>
        <w:tc>
          <w:tcPr>
            <w:tcW w:w="577" w:type="pct"/>
            <w:shd w:val="clear" w:color="auto" w:fill="auto"/>
            <w:noWrap/>
            <w:vAlign w:val="center"/>
            <w:hideMark/>
          </w:tcPr>
          <w:p w14:paraId="384D31E3"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20.5834</w:t>
            </w:r>
          </w:p>
        </w:tc>
        <w:tc>
          <w:tcPr>
            <w:tcW w:w="577" w:type="pct"/>
            <w:shd w:val="clear" w:color="auto" w:fill="auto"/>
            <w:noWrap/>
            <w:vAlign w:val="center"/>
            <w:hideMark/>
          </w:tcPr>
          <w:p w14:paraId="047FB19A"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16.6226</w:t>
            </w:r>
          </w:p>
        </w:tc>
        <w:tc>
          <w:tcPr>
            <w:tcW w:w="657" w:type="pct"/>
            <w:shd w:val="clear" w:color="auto" w:fill="auto"/>
            <w:noWrap/>
            <w:vAlign w:val="center"/>
            <w:hideMark/>
          </w:tcPr>
          <w:p w14:paraId="31CD162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40.4554</w:t>
            </w:r>
          </w:p>
        </w:tc>
        <w:tc>
          <w:tcPr>
            <w:tcW w:w="662" w:type="pct"/>
            <w:shd w:val="clear" w:color="auto" w:fill="auto"/>
            <w:noWrap/>
            <w:vAlign w:val="center"/>
            <w:hideMark/>
          </w:tcPr>
          <w:p w14:paraId="23D761EF"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42.3500</w:t>
            </w:r>
          </w:p>
        </w:tc>
        <w:tc>
          <w:tcPr>
            <w:tcW w:w="576" w:type="pct"/>
            <w:shd w:val="clear" w:color="auto" w:fill="auto"/>
            <w:noWrap/>
            <w:vAlign w:val="center"/>
            <w:hideMark/>
          </w:tcPr>
          <w:p w14:paraId="18D4D529"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19.8000</w:t>
            </w:r>
          </w:p>
        </w:tc>
      </w:tr>
      <w:tr w:rsidR="00BA0176" w:rsidRPr="004746AF" w14:paraId="6ADA6D73" w14:textId="77777777" w:rsidTr="00C161B4">
        <w:trPr>
          <w:trHeight w:val="300"/>
        </w:trPr>
        <w:tc>
          <w:tcPr>
            <w:tcW w:w="588" w:type="pct"/>
            <w:shd w:val="clear" w:color="auto" w:fill="auto"/>
            <w:noWrap/>
            <w:vAlign w:val="center"/>
            <w:hideMark/>
          </w:tcPr>
          <w:p w14:paraId="47ECC85B"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9074</w:t>
            </w:r>
          </w:p>
        </w:tc>
        <w:tc>
          <w:tcPr>
            <w:tcW w:w="786" w:type="pct"/>
            <w:shd w:val="clear" w:color="auto" w:fill="auto"/>
            <w:noWrap/>
            <w:vAlign w:val="center"/>
            <w:hideMark/>
          </w:tcPr>
          <w:p w14:paraId="61CF2FD6"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31.10.2021</w:t>
            </w:r>
          </w:p>
        </w:tc>
        <w:tc>
          <w:tcPr>
            <w:tcW w:w="577" w:type="pct"/>
            <w:gridSpan w:val="2"/>
            <w:shd w:val="clear" w:color="auto" w:fill="auto"/>
            <w:noWrap/>
            <w:vAlign w:val="center"/>
            <w:hideMark/>
          </w:tcPr>
          <w:p w14:paraId="646B0A58"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21.0138</w:t>
            </w:r>
          </w:p>
        </w:tc>
        <w:tc>
          <w:tcPr>
            <w:tcW w:w="577" w:type="pct"/>
            <w:shd w:val="clear" w:color="auto" w:fill="auto"/>
            <w:noWrap/>
            <w:vAlign w:val="center"/>
            <w:hideMark/>
          </w:tcPr>
          <w:p w14:paraId="7978B77E"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20.6006</w:t>
            </w:r>
          </w:p>
        </w:tc>
        <w:tc>
          <w:tcPr>
            <w:tcW w:w="577" w:type="pct"/>
            <w:shd w:val="clear" w:color="auto" w:fill="auto"/>
            <w:noWrap/>
            <w:vAlign w:val="center"/>
            <w:hideMark/>
          </w:tcPr>
          <w:p w14:paraId="272461B3"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16.7058</w:t>
            </w:r>
          </w:p>
        </w:tc>
        <w:tc>
          <w:tcPr>
            <w:tcW w:w="657" w:type="pct"/>
            <w:shd w:val="clear" w:color="auto" w:fill="auto"/>
            <w:noWrap/>
            <w:vAlign w:val="center"/>
            <w:hideMark/>
          </w:tcPr>
          <w:p w14:paraId="39C4CC7F"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37.2065</w:t>
            </w:r>
          </w:p>
        </w:tc>
        <w:tc>
          <w:tcPr>
            <w:tcW w:w="662" w:type="pct"/>
            <w:shd w:val="clear" w:color="auto" w:fill="auto"/>
            <w:noWrap/>
            <w:vAlign w:val="center"/>
            <w:hideMark/>
          </w:tcPr>
          <w:p w14:paraId="4DE5EE04"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38.2000</w:t>
            </w:r>
          </w:p>
        </w:tc>
        <w:tc>
          <w:tcPr>
            <w:tcW w:w="576" w:type="pct"/>
            <w:shd w:val="clear" w:color="auto" w:fill="auto"/>
            <w:noWrap/>
            <w:vAlign w:val="center"/>
            <w:hideMark/>
          </w:tcPr>
          <w:p w14:paraId="08E8ED0B"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22.8250</w:t>
            </w:r>
          </w:p>
        </w:tc>
      </w:tr>
      <w:tr w:rsidR="00BA0176" w:rsidRPr="004746AF" w14:paraId="2E3C3AD4" w14:textId="77777777" w:rsidTr="00C161B4">
        <w:trPr>
          <w:trHeight w:val="300"/>
        </w:trPr>
        <w:tc>
          <w:tcPr>
            <w:tcW w:w="588" w:type="pct"/>
            <w:shd w:val="clear" w:color="auto" w:fill="auto"/>
            <w:noWrap/>
            <w:vAlign w:val="center"/>
            <w:hideMark/>
          </w:tcPr>
          <w:p w14:paraId="58A5C64B"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9304</w:t>
            </w:r>
          </w:p>
        </w:tc>
        <w:tc>
          <w:tcPr>
            <w:tcW w:w="786" w:type="pct"/>
            <w:shd w:val="clear" w:color="auto" w:fill="auto"/>
            <w:noWrap/>
            <w:vAlign w:val="center"/>
            <w:hideMark/>
          </w:tcPr>
          <w:p w14:paraId="6AB50C47"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1.11.2021</w:t>
            </w:r>
          </w:p>
        </w:tc>
        <w:tc>
          <w:tcPr>
            <w:tcW w:w="577" w:type="pct"/>
            <w:gridSpan w:val="2"/>
            <w:shd w:val="clear" w:color="auto" w:fill="auto"/>
            <w:noWrap/>
            <w:vAlign w:val="center"/>
            <w:hideMark/>
          </w:tcPr>
          <w:p w14:paraId="3EA4E240"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20.8140</w:t>
            </w:r>
          </w:p>
        </w:tc>
        <w:tc>
          <w:tcPr>
            <w:tcW w:w="577" w:type="pct"/>
            <w:shd w:val="clear" w:color="auto" w:fill="auto"/>
            <w:noWrap/>
            <w:vAlign w:val="center"/>
            <w:hideMark/>
          </w:tcPr>
          <w:p w14:paraId="56887EA6"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20.4916</w:t>
            </w:r>
          </w:p>
        </w:tc>
        <w:tc>
          <w:tcPr>
            <w:tcW w:w="577" w:type="pct"/>
            <w:shd w:val="clear" w:color="auto" w:fill="auto"/>
            <w:noWrap/>
            <w:vAlign w:val="center"/>
            <w:hideMark/>
          </w:tcPr>
          <w:p w14:paraId="4D6F987F"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16.8483</w:t>
            </w:r>
          </w:p>
        </w:tc>
        <w:tc>
          <w:tcPr>
            <w:tcW w:w="657" w:type="pct"/>
            <w:shd w:val="clear" w:color="auto" w:fill="auto"/>
            <w:noWrap/>
            <w:vAlign w:val="center"/>
            <w:hideMark/>
          </w:tcPr>
          <w:p w14:paraId="4D3A131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38.3142</w:t>
            </w:r>
          </w:p>
        </w:tc>
        <w:tc>
          <w:tcPr>
            <w:tcW w:w="662" w:type="pct"/>
            <w:shd w:val="clear" w:color="auto" w:fill="auto"/>
            <w:noWrap/>
            <w:vAlign w:val="center"/>
            <w:hideMark/>
          </w:tcPr>
          <w:p w14:paraId="47FAE964"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42.3000</w:t>
            </w:r>
          </w:p>
        </w:tc>
        <w:tc>
          <w:tcPr>
            <w:tcW w:w="576" w:type="pct"/>
            <w:shd w:val="clear" w:color="auto" w:fill="auto"/>
            <w:noWrap/>
            <w:vAlign w:val="center"/>
            <w:hideMark/>
          </w:tcPr>
          <w:p w14:paraId="7FD87638"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19.0500</w:t>
            </w:r>
          </w:p>
        </w:tc>
      </w:tr>
      <w:tr w:rsidR="00BA0176" w:rsidRPr="004746AF" w14:paraId="24658E0F" w14:textId="77777777" w:rsidTr="00C161B4">
        <w:trPr>
          <w:trHeight w:val="300"/>
        </w:trPr>
        <w:tc>
          <w:tcPr>
            <w:tcW w:w="5000" w:type="pct"/>
            <w:gridSpan w:val="9"/>
            <w:shd w:val="clear" w:color="auto" w:fill="auto"/>
            <w:noWrap/>
            <w:vAlign w:val="center"/>
          </w:tcPr>
          <w:p w14:paraId="57A9B3DA" w14:textId="77777777" w:rsidR="00BA0176" w:rsidRPr="004746AF" w:rsidRDefault="00BA0176" w:rsidP="00C161B4">
            <w:pPr>
              <w:spacing w:before="0" w:after="0"/>
              <w:jc w:val="center"/>
              <w:rPr>
                <w:rFonts w:eastAsia="Times New Roman" w:cs="Calibri"/>
                <w:color w:val="000000"/>
                <w:sz w:val="20"/>
                <w:szCs w:val="20"/>
                <w:lang w:val="sr-Latn-RS" w:eastAsia="sr-Latn-RS"/>
              </w:rPr>
            </w:pPr>
            <w:r>
              <w:rPr>
                <w:rFonts w:eastAsia="Times New Roman" w:cs="Calibri"/>
                <w:color w:val="000000"/>
                <w:sz w:val="20"/>
                <w:szCs w:val="20"/>
                <w:lang w:val="sr-Latn-RS" w:eastAsia="sr-Latn-RS"/>
              </w:rPr>
              <w:t>...</w:t>
            </w:r>
          </w:p>
        </w:tc>
      </w:tr>
      <w:tr w:rsidR="00BA0176" w:rsidRPr="004746AF" w14:paraId="132A9DE9" w14:textId="77777777" w:rsidTr="00C161B4">
        <w:trPr>
          <w:trHeight w:val="300"/>
        </w:trPr>
        <w:tc>
          <w:tcPr>
            <w:tcW w:w="588" w:type="pct"/>
            <w:shd w:val="clear" w:color="auto" w:fill="auto"/>
            <w:noWrap/>
            <w:vAlign w:val="center"/>
            <w:hideMark/>
          </w:tcPr>
          <w:p w14:paraId="6707A373"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12432</w:t>
            </w:r>
          </w:p>
        </w:tc>
        <w:tc>
          <w:tcPr>
            <w:tcW w:w="786" w:type="pct"/>
            <w:shd w:val="clear" w:color="auto" w:fill="auto"/>
            <w:noWrap/>
            <w:vAlign w:val="center"/>
            <w:hideMark/>
          </w:tcPr>
          <w:p w14:paraId="2B164FFD"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11.11.2021</w:t>
            </w:r>
          </w:p>
        </w:tc>
        <w:tc>
          <w:tcPr>
            <w:tcW w:w="577" w:type="pct"/>
            <w:gridSpan w:val="2"/>
            <w:shd w:val="clear" w:color="auto" w:fill="auto"/>
            <w:noWrap/>
            <w:vAlign w:val="center"/>
            <w:hideMark/>
          </w:tcPr>
          <w:p w14:paraId="12077541"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20.7242</w:t>
            </w:r>
          </w:p>
        </w:tc>
        <w:tc>
          <w:tcPr>
            <w:tcW w:w="577" w:type="pct"/>
            <w:shd w:val="clear" w:color="auto" w:fill="auto"/>
            <w:noWrap/>
            <w:vAlign w:val="center"/>
            <w:hideMark/>
          </w:tcPr>
          <w:p w14:paraId="4329F802"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20.5000</w:t>
            </w:r>
          </w:p>
        </w:tc>
        <w:tc>
          <w:tcPr>
            <w:tcW w:w="577" w:type="pct"/>
            <w:shd w:val="clear" w:color="auto" w:fill="auto"/>
            <w:noWrap/>
            <w:vAlign w:val="center"/>
            <w:hideMark/>
          </w:tcPr>
          <w:p w14:paraId="3C1C43D0"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16.6667</w:t>
            </w:r>
          </w:p>
        </w:tc>
        <w:tc>
          <w:tcPr>
            <w:tcW w:w="657" w:type="pct"/>
            <w:shd w:val="clear" w:color="auto" w:fill="auto"/>
            <w:noWrap/>
            <w:vAlign w:val="center"/>
            <w:hideMark/>
          </w:tcPr>
          <w:p w14:paraId="2362494C"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37.1268</w:t>
            </w:r>
          </w:p>
        </w:tc>
        <w:tc>
          <w:tcPr>
            <w:tcW w:w="662" w:type="pct"/>
            <w:shd w:val="clear" w:color="auto" w:fill="auto"/>
            <w:noWrap/>
            <w:vAlign w:val="center"/>
            <w:hideMark/>
          </w:tcPr>
          <w:p w14:paraId="0CA2AE12"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40.8000</w:t>
            </w:r>
          </w:p>
        </w:tc>
        <w:tc>
          <w:tcPr>
            <w:tcW w:w="576" w:type="pct"/>
            <w:shd w:val="clear" w:color="auto" w:fill="auto"/>
            <w:noWrap/>
            <w:vAlign w:val="center"/>
            <w:hideMark/>
          </w:tcPr>
          <w:p w14:paraId="57FCAAA0"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21.0250</w:t>
            </w:r>
          </w:p>
        </w:tc>
      </w:tr>
      <w:tr w:rsidR="00BA0176" w:rsidRPr="004746AF" w14:paraId="178BACE4" w14:textId="77777777" w:rsidTr="00C161B4">
        <w:trPr>
          <w:trHeight w:val="300"/>
        </w:trPr>
        <w:tc>
          <w:tcPr>
            <w:tcW w:w="588" w:type="pct"/>
            <w:shd w:val="clear" w:color="auto" w:fill="auto"/>
            <w:noWrap/>
            <w:vAlign w:val="center"/>
            <w:hideMark/>
          </w:tcPr>
          <w:p w14:paraId="64F8A8B1"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12951</w:t>
            </w:r>
          </w:p>
        </w:tc>
        <w:tc>
          <w:tcPr>
            <w:tcW w:w="786" w:type="pct"/>
            <w:shd w:val="clear" w:color="auto" w:fill="auto"/>
            <w:noWrap/>
            <w:vAlign w:val="center"/>
            <w:hideMark/>
          </w:tcPr>
          <w:p w14:paraId="326C7F38"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12.11.2021</w:t>
            </w:r>
          </w:p>
        </w:tc>
        <w:tc>
          <w:tcPr>
            <w:tcW w:w="577" w:type="pct"/>
            <w:gridSpan w:val="2"/>
            <w:shd w:val="clear" w:color="auto" w:fill="auto"/>
            <w:noWrap/>
            <w:vAlign w:val="center"/>
            <w:hideMark/>
          </w:tcPr>
          <w:p w14:paraId="075956EC"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20.7569</w:t>
            </w:r>
          </w:p>
        </w:tc>
        <w:tc>
          <w:tcPr>
            <w:tcW w:w="577" w:type="pct"/>
            <w:shd w:val="clear" w:color="auto" w:fill="auto"/>
            <w:noWrap/>
            <w:vAlign w:val="center"/>
            <w:hideMark/>
          </w:tcPr>
          <w:p w14:paraId="09684B78"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20.5008</w:t>
            </w:r>
          </w:p>
        </w:tc>
        <w:tc>
          <w:tcPr>
            <w:tcW w:w="577" w:type="pct"/>
            <w:shd w:val="clear" w:color="auto" w:fill="auto"/>
            <w:noWrap/>
            <w:vAlign w:val="center"/>
            <w:hideMark/>
          </w:tcPr>
          <w:p w14:paraId="0123E2C2"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16.6276</w:t>
            </w:r>
          </w:p>
        </w:tc>
        <w:tc>
          <w:tcPr>
            <w:tcW w:w="657" w:type="pct"/>
            <w:shd w:val="clear" w:color="auto" w:fill="auto"/>
            <w:noWrap/>
            <w:vAlign w:val="center"/>
            <w:hideMark/>
          </w:tcPr>
          <w:p w14:paraId="58BEEDBD"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37.6511</w:t>
            </w:r>
          </w:p>
        </w:tc>
        <w:tc>
          <w:tcPr>
            <w:tcW w:w="662" w:type="pct"/>
            <w:shd w:val="clear" w:color="auto" w:fill="auto"/>
            <w:noWrap/>
            <w:vAlign w:val="center"/>
            <w:hideMark/>
          </w:tcPr>
          <w:p w14:paraId="2FB34D8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37.4750</w:t>
            </w:r>
          </w:p>
        </w:tc>
        <w:tc>
          <w:tcPr>
            <w:tcW w:w="576" w:type="pct"/>
            <w:shd w:val="clear" w:color="auto" w:fill="auto"/>
            <w:noWrap/>
            <w:vAlign w:val="center"/>
            <w:hideMark/>
          </w:tcPr>
          <w:p w14:paraId="0CB1AECD"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24.6250</w:t>
            </w:r>
          </w:p>
        </w:tc>
      </w:tr>
      <w:tr w:rsidR="00BA0176" w:rsidRPr="004746AF" w14:paraId="0F804DBE" w14:textId="77777777" w:rsidTr="00C161B4">
        <w:trPr>
          <w:trHeight w:val="300"/>
        </w:trPr>
        <w:tc>
          <w:tcPr>
            <w:tcW w:w="588" w:type="pct"/>
            <w:shd w:val="clear" w:color="auto" w:fill="auto"/>
            <w:noWrap/>
            <w:vAlign w:val="center"/>
            <w:hideMark/>
          </w:tcPr>
          <w:p w14:paraId="64746611"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13232</w:t>
            </w:r>
          </w:p>
        </w:tc>
        <w:tc>
          <w:tcPr>
            <w:tcW w:w="786" w:type="pct"/>
            <w:shd w:val="clear" w:color="auto" w:fill="auto"/>
            <w:noWrap/>
            <w:vAlign w:val="center"/>
            <w:hideMark/>
          </w:tcPr>
          <w:p w14:paraId="607C7FB4"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13.11.2021</w:t>
            </w:r>
          </w:p>
        </w:tc>
        <w:tc>
          <w:tcPr>
            <w:tcW w:w="577" w:type="pct"/>
            <w:gridSpan w:val="2"/>
            <w:shd w:val="clear" w:color="auto" w:fill="auto"/>
            <w:noWrap/>
            <w:vAlign w:val="center"/>
            <w:hideMark/>
          </w:tcPr>
          <w:p w14:paraId="233BFAF4"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21.0838</w:t>
            </w:r>
          </w:p>
        </w:tc>
        <w:tc>
          <w:tcPr>
            <w:tcW w:w="577" w:type="pct"/>
            <w:shd w:val="clear" w:color="auto" w:fill="auto"/>
            <w:noWrap/>
            <w:vAlign w:val="center"/>
            <w:hideMark/>
          </w:tcPr>
          <w:p w14:paraId="4F171EF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20.5218</w:t>
            </w:r>
          </w:p>
        </w:tc>
        <w:tc>
          <w:tcPr>
            <w:tcW w:w="577" w:type="pct"/>
            <w:shd w:val="clear" w:color="auto" w:fill="auto"/>
            <w:noWrap/>
            <w:vAlign w:val="center"/>
            <w:hideMark/>
          </w:tcPr>
          <w:p w14:paraId="450B7F4F"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16.6297</w:t>
            </w:r>
          </w:p>
        </w:tc>
        <w:tc>
          <w:tcPr>
            <w:tcW w:w="657" w:type="pct"/>
            <w:shd w:val="clear" w:color="auto" w:fill="auto"/>
            <w:noWrap/>
            <w:vAlign w:val="center"/>
            <w:hideMark/>
          </w:tcPr>
          <w:p w14:paraId="651FDF86"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39.4703</w:t>
            </w:r>
          </w:p>
        </w:tc>
        <w:tc>
          <w:tcPr>
            <w:tcW w:w="662" w:type="pct"/>
            <w:shd w:val="clear" w:color="auto" w:fill="auto"/>
            <w:noWrap/>
            <w:vAlign w:val="center"/>
            <w:hideMark/>
          </w:tcPr>
          <w:p w14:paraId="12CF121E"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40.7250</w:t>
            </w:r>
          </w:p>
        </w:tc>
        <w:tc>
          <w:tcPr>
            <w:tcW w:w="576" w:type="pct"/>
            <w:shd w:val="clear" w:color="auto" w:fill="auto"/>
            <w:noWrap/>
            <w:vAlign w:val="center"/>
            <w:hideMark/>
          </w:tcPr>
          <w:p w14:paraId="2CF6B4BC"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22.0500</w:t>
            </w:r>
          </w:p>
        </w:tc>
      </w:tr>
      <w:tr w:rsidR="00BA0176" w:rsidRPr="004746AF" w14:paraId="25967A7E" w14:textId="77777777" w:rsidTr="00C161B4">
        <w:trPr>
          <w:trHeight w:val="300"/>
        </w:trPr>
        <w:tc>
          <w:tcPr>
            <w:tcW w:w="588" w:type="pct"/>
            <w:shd w:val="clear" w:color="auto" w:fill="auto"/>
            <w:noWrap/>
            <w:vAlign w:val="center"/>
            <w:hideMark/>
          </w:tcPr>
          <w:p w14:paraId="48332367"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13760</w:t>
            </w:r>
          </w:p>
        </w:tc>
        <w:tc>
          <w:tcPr>
            <w:tcW w:w="786" w:type="pct"/>
            <w:shd w:val="clear" w:color="auto" w:fill="auto"/>
            <w:noWrap/>
            <w:vAlign w:val="center"/>
            <w:hideMark/>
          </w:tcPr>
          <w:p w14:paraId="6CE1F4CA"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14.11.2021</w:t>
            </w:r>
          </w:p>
        </w:tc>
        <w:tc>
          <w:tcPr>
            <w:tcW w:w="577" w:type="pct"/>
            <w:gridSpan w:val="2"/>
            <w:shd w:val="clear" w:color="auto" w:fill="auto"/>
            <w:noWrap/>
            <w:vAlign w:val="center"/>
            <w:hideMark/>
          </w:tcPr>
          <w:p w14:paraId="3378E970"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21.1509</w:t>
            </w:r>
          </w:p>
        </w:tc>
        <w:tc>
          <w:tcPr>
            <w:tcW w:w="577" w:type="pct"/>
            <w:shd w:val="clear" w:color="auto" w:fill="auto"/>
            <w:noWrap/>
            <w:vAlign w:val="center"/>
            <w:hideMark/>
          </w:tcPr>
          <w:p w14:paraId="40A0317F"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20.4964</w:t>
            </w:r>
          </w:p>
        </w:tc>
        <w:tc>
          <w:tcPr>
            <w:tcW w:w="577" w:type="pct"/>
            <w:shd w:val="clear" w:color="auto" w:fill="auto"/>
            <w:noWrap/>
            <w:vAlign w:val="center"/>
            <w:hideMark/>
          </w:tcPr>
          <w:p w14:paraId="5C97BDBC"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16.6746</w:t>
            </w:r>
          </w:p>
        </w:tc>
        <w:tc>
          <w:tcPr>
            <w:tcW w:w="657" w:type="pct"/>
            <w:shd w:val="clear" w:color="auto" w:fill="auto"/>
            <w:noWrap/>
            <w:vAlign w:val="center"/>
            <w:hideMark/>
          </w:tcPr>
          <w:p w14:paraId="4456C504"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39.6742</w:t>
            </w:r>
          </w:p>
        </w:tc>
        <w:tc>
          <w:tcPr>
            <w:tcW w:w="662" w:type="pct"/>
            <w:shd w:val="clear" w:color="auto" w:fill="auto"/>
            <w:noWrap/>
            <w:vAlign w:val="center"/>
            <w:hideMark/>
          </w:tcPr>
          <w:p w14:paraId="4FD0FD9F"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42.9000</w:t>
            </w:r>
          </w:p>
        </w:tc>
        <w:tc>
          <w:tcPr>
            <w:tcW w:w="576" w:type="pct"/>
            <w:shd w:val="clear" w:color="auto" w:fill="auto"/>
            <w:noWrap/>
            <w:vAlign w:val="center"/>
            <w:hideMark/>
          </w:tcPr>
          <w:p w14:paraId="1F9EAE6E"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19.9250</w:t>
            </w:r>
          </w:p>
        </w:tc>
      </w:tr>
      <w:tr w:rsidR="00BA0176" w:rsidRPr="004746AF" w14:paraId="026E880D" w14:textId="77777777" w:rsidTr="00C161B4">
        <w:trPr>
          <w:trHeight w:val="300"/>
        </w:trPr>
        <w:tc>
          <w:tcPr>
            <w:tcW w:w="588" w:type="pct"/>
            <w:shd w:val="clear" w:color="auto" w:fill="auto"/>
            <w:noWrap/>
            <w:vAlign w:val="center"/>
            <w:hideMark/>
          </w:tcPr>
          <w:p w14:paraId="18E6070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14021</w:t>
            </w:r>
          </w:p>
        </w:tc>
        <w:tc>
          <w:tcPr>
            <w:tcW w:w="786" w:type="pct"/>
            <w:shd w:val="clear" w:color="auto" w:fill="auto"/>
            <w:noWrap/>
            <w:vAlign w:val="center"/>
            <w:hideMark/>
          </w:tcPr>
          <w:p w14:paraId="4BA81D16"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15.11.2021</w:t>
            </w:r>
          </w:p>
        </w:tc>
        <w:tc>
          <w:tcPr>
            <w:tcW w:w="577" w:type="pct"/>
            <w:gridSpan w:val="2"/>
            <w:shd w:val="clear" w:color="auto" w:fill="auto"/>
            <w:noWrap/>
            <w:vAlign w:val="center"/>
            <w:hideMark/>
          </w:tcPr>
          <w:p w14:paraId="0B70BFC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20.9766</w:t>
            </w:r>
          </w:p>
        </w:tc>
        <w:tc>
          <w:tcPr>
            <w:tcW w:w="577" w:type="pct"/>
            <w:shd w:val="clear" w:color="auto" w:fill="auto"/>
            <w:noWrap/>
            <w:vAlign w:val="center"/>
            <w:hideMark/>
          </w:tcPr>
          <w:p w14:paraId="7F7995D2"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20.4879</w:t>
            </w:r>
          </w:p>
        </w:tc>
        <w:tc>
          <w:tcPr>
            <w:tcW w:w="577" w:type="pct"/>
            <w:shd w:val="clear" w:color="auto" w:fill="auto"/>
            <w:noWrap/>
            <w:vAlign w:val="center"/>
            <w:hideMark/>
          </w:tcPr>
          <w:p w14:paraId="76758E66"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16.6984</w:t>
            </w:r>
          </w:p>
        </w:tc>
        <w:tc>
          <w:tcPr>
            <w:tcW w:w="657" w:type="pct"/>
            <w:shd w:val="clear" w:color="auto" w:fill="auto"/>
            <w:noWrap/>
            <w:vAlign w:val="center"/>
            <w:hideMark/>
          </w:tcPr>
          <w:p w14:paraId="16E4DBAA"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38.1303</w:t>
            </w:r>
          </w:p>
        </w:tc>
        <w:tc>
          <w:tcPr>
            <w:tcW w:w="662" w:type="pct"/>
            <w:shd w:val="clear" w:color="auto" w:fill="auto"/>
            <w:noWrap/>
            <w:vAlign w:val="center"/>
            <w:hideMark/>
          </w:tcPr>
          <w:p w14:paraId="64CBBEEE"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41.8000</w:t>
            </w:r>
          </w:p>
        </w:tc>
        <w:tc>
          <w:tcPr>
            <w:tcW w:w="576" w:type="pct"/>
            <w:shd w:val="clear" w:color="auto" w:fill="auto"/>
            <w:noWrap/>
            <w:vAlign w:val="center"/>
            <w:hideMark/>
          </w:tcPr>
          <w:p w14:paraId="776896CF"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20.5750</w:t>
            </w:r>
          </w:p>
        </w:tc>
      </w:tr>
      <w:tr w:rsidR="00BA0176" w:rsidRPr="004746AF" w14:paraId="7F4180BB" w14:textId="77777777" w:rsidTr="00C161B4">
        <w:trPr>
          <w:trHeight w:val="300"/>
        </w:trPr>
        <w:tc>
          <w:tcPr>
            <w:tcW w:w="588" w:type="pct"/>
            <w:shd w:val="clear" w:color="auto" w:fill="auto"/>
            <w:noWrap/>
            <w:vAlign w:val="center"/>
            <w:hideMark/>
          </w:tcPr>
          <w:p w14:paraId="6566102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14547</w:t>
            </w:r>
          </w:p>
        </w:tc>
        <w:tc>
          <w:tcPr>
            <w:tcW w:w="786" w:type="pct"/>
            <w:shd w:val="clear" w:color="auto" w:fill="auto"/>
            <w:noWrap/>
            <w:vAlign w:val="center"/>
            <w:hideMark/>
          </w:tcPr>
          <w:p w14:paraId="178648D8"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16.11.2021</w:t>
            </w:r>
          </w:p>
        </w:tc>
        <w:tc>
          <w:tcPr>
            <w:tcW w:w="577" w:type="pct"/>
            <w:gridSpan w:val="2"/>
            <w:shd w:val="clear" w:color="auto" w:fill="auto"/>
            <w:noWrap/>
            <w:vAlign w:val="center"/>
            <w:hideMark/>
          </w:tcPr>
          <w:p w14:paraId="15A53214"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21.0824</w:t>
            </w:r>
          </w:p>
        </w:tc>
        <w:tc>
          <w:tcPr>
            <w:tcW w:w="577" w:type="pct"/>
            <w:shd w:val="clear" w:color="auto" w:fill="auto"/>
            <w:noWrap/>
            <w:vAlign w:val="center"/>
            <w:hideMark/>
          </w:tcPr>
          <w:p w14:paraId="7D7EF829"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20.4416</w:t>
            </w:r>
          </w:p>
        </w:tc>
        <w:tc>
          <w:tcPr>
            <w:tcW w:w="577" w:type="pct"/>
            <w:shd w:val="clear" w:color="auto" w:fill="auto"/>
            <w:noWrap/>
            <w:vAlign w:val="center"/>
            <w:hideMark/>
          </w:tcPr>
          <w:p w14:paraId="0B03475E"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16.7541</w:t>
            </w:r>
          </w:p>
        </w:tc>
        <w:tc>
          <w:tcPr>
            <w:tcW w:w="657" w:type="pct"/>
            <w:shd w:val="clear" w:color="auto" w:fill="auto"/>
            <w:noWrap/>
            <w:vAlign w:val="center"/>
            <w:hideMark/>
          </w:tcPr>
          <w:p w14:paraId="17D5880A"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39.0762</w:t>
            </w:r>
          </w:p>
        </w:tc>
        <w:tc>
          <w:tcPr>
            <w:tcW w:w="662" w:type="pct"/>
            <w:shd w:val="clear" w:color="auto" w:fill="auto"/>
            <w:noWrap/>
            <w:vAlign w:val="center"/>
            <w:hideMark/>
          </w:tcPr>
          <w:p w14:paraId="75D0A58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41.6250</w:t>
            </w:r>
          </w:p>
        </w:tc>
        <w:tc>
          <w:tcPr>
            <w:tcW w:w="576" w:type="pct"/>
            <w:shd w:val="clear" w:color="auto" w:fill="auto"/>
            <w:noWrap/>
            <w:vAlign w:val="center"/>
            <w:hideMark/>
          </w:tcPr>
          <w:p w14:paraId="606AE0DE"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20.9750</w:t>
            </w:r>
          </w:p>
        </w:tc>
      </w:tr>
      <w:tr w:rsidR="00BA0176" w:rsidRPr="004746AF" w14:paraId="0247D771" w14:textId="77777777" w:rsidTr="00C161B4">
        <w:trPr>
          <w:trHeight w:val="300"/>
        </w:trPr>
        <w:tc>
          <w:tcPr>
            <w:tcW w:w="588" w:type="pct"/>
            <w:shd w:val="clear" w:color="auto" w:fill="auto"/>
            <w:noWrap/>
            <w:vAlign w:val="center"/>
            <w:hideMark/>
          </w:tcPr>
          <w:p w14:paraId="0EF48F3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14901</w:t>
            </w:r>
          </w:p>
        </w:tc>
        <w:tc>
          <w:tcPr>
            <w:tcW w:w="786" w:type="pct"/>
            <w:shd w:val="clear" w:color="auto" w:fill="auto"/>
            <w:noWrap/>
            <w:vAlign w:val="center"/>
            <w:hideMark/>
          </w:tcPr>
          <w:p w14:paraId="57268EBD"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17.11.2021</w:t>
            </w:r>
          </w:p>
        </w:tc>
        <w:tc>
          <w:tcPr>
            <w:tcW w:w="577" w:type="pct"/>
            <w:gridSpan w:val="2"/>
            <w:shd w:val="clear" w:color="auto" w:fill="auto"/>
            <w:noWrap/>
            <w:vAlign w:val="center"/>
            <w:hideMark/>
          </w:tcPr>
          <w:p w14:paraId="7D3EC21F"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21.0819</w:t>
            </w:r>
          </w:p>
        </w:tc>
        <w:tc>
          <w:tcPr>
            <w:tcW w:w="577" w:type="pct"/>
            <w:shd w:val="clear" w:color="auto" w:fill="auto"/>
            <w:noWrap/>
            <w:vAlign w:val="center"/>
            <w:hideMark/>
          </w:tcPr>
          <w:p w14:paraId="6BAA1AD1"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20.4673</w:t>
            </w:r>
          </w:p>
        </w:tc>
        <w:tc>
          <w:tcPr>
            <w:tcW w:w="577" w:type="pct"/>
            <w:shd w:val="clear" w:color="auto" w:fill="auto"/>
            <w:noWrap/>
            <w:vAlign w:val="center"/>
            <w:hideMark/>
          </w:tcPr>
          <w:p w14:paraId="77D3B1FE"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16.8000</w:t>
            </w:r>
          </w:p>
        </w:tc>
        <w:tc>
          <w:tcPr>
            <w:tcW w:w="657" w:type="pct"/>
            <w:shd w:val="clear" w:color="auto" w:fill="auto"/>
            <w:noWrap/>
            <w:vAlign w:val="center"/>
            <w:hideMark/>
          </w:tcPr>
          <w:p w14:paraId="0F605709"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38.4915</w:t>
            </w:r>
          </w:p>
        </w:tc>
        <w:tc>
          <w:tcPr>
            <w:tcW w:w="662" w:type="pct"/>
            <w:shd w:val="clear" w:color="auto" w:fill="auto"/>
            <w:noWrap/>
            <w:vAlign w:val="center"/>
            <w:hideMark/>
          </w:tcPr>
          <w:p w14:paraId="7DF7AE30"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41.1500</w:t>
            </w:r>
          </w:p>
        </w:tc>
        <w:tc>
          <w:tcPr>
            <w:tcW w:w="576" w:type="pct"/>
            <w:shd w:val="clear" w:color="auto" w:fill="auto"/>
            <w:noWrap/>
            <w:vAlign w:val="center"/>
            <w:hideMark/>
          </w:tcPr>
          <w:p w14:paraId="21E250F0"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21.3000</w:t>
            </w:r>
          </w:p>
        </w:tc>
      </w:tr>
      <w:tr w:rsidR="00BA0176" w:rsidRPr="004746AF" w14:paraId="245C8FA9" w14:textId="77777777" w:rsidTr="00C161B4">
        <w:trPr>
          <w:trHeight w:val="300"/>
        </w:trPr>
        <w:tc>
          <w:tcPr>
            <w:tcW w:w="588" w:type="pct"/>
            <w:shd w:val="clear" w:color="auto" w:fill="auto"/>
            <w:noWrap/>
            <w:vAlign w:val="center"/>
            <w:hideMark/>
          </w:tcPr>
          <w:p w14:paraId="1920ABC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15256</w:t>
            </w:r>
          </w:p>
        </w:tc>
        <w:tc>
          <w:tcPr>
            <w:tcW w:w="786" w:type="pct"/>
            <w:shd w:val="clear" w:color="auto" w:fill="auto"/>
            <w:noWrap/>
            <w:vAlign w:val="center"/>
            <w:hideMark/>
          </w:tcPr>
          <w:p w14:paraId="156A745F"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18.11.2021</w:t>
            </w:r>
          </w:p>
        </w:tc>
        <w:tc>
          <w:tcPr>
            <w:tcW w:w="577" w:type="pct"/>
            <w:gridSpan w:val="2"/>
            <w:shd w:val="clear" w:color="auto" w:fill="auto"/>
            <w:noWrap/>
            <w:vAlign w:val="center"/>
            <w:hideMark/>
          </w:tcPr>
          <w:p w14:paraId="2FFF15C9"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20.9674</w:t>
            </w:r>
          </w:p>
        </w:tc>
        <w:tc>
          <w:tcPr>
            <w:tcW w:w="577" w:type="pct"/>
            <w:shd w:val="clear" w:color="auto" w:fill="auto"/>
            <w:noWrap/>
            <w:vAlign w:val="center"/>
            <w:hideMark/>
          </w:tcPr>
          <w:p w14:paraId="67F39F7A"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20.4356</w:t>
            </w:r>
          </w:p>
        </w:tc>
        <w:tc>
          <w:tcPr>
            <w:tcW w:w="577" w:type="pct"/>
            <w:shd w:val="clear" w:color="auto" w:fill="auto"/>
            <w:noWrap/>
            <w:vAlign w:val="center"/>
            <w:hideMark/>
          </w:tcPr>
          <w:p w14:paraId="0839F4E6"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16.8121</w:t>
            </w:r>
          </w:p>
        </w:tc>
        <w:tc>
          <w:tcPr>
            <w:tcW w:w="657" w:type="pct"/>
            <w:shd w:val="clear" w:color="auto" w:fill="auto"/>
            <w:noWrap/>
            <w:vAlign w:val="center"/>
            <w:hideMark/>
          </w:tcPr>
          <w:p w14:paraId="3274CC69"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37.8696</w:t>
            </w:r>
          </w:p>
        </w:tc>
        <w:tc>
          <w:tcPr>
            <w:tcW w:w="662" w:type="pct"/>
            <w:shd w:val="clear" w:color="auto" w:fill="auto"/>
            <w:noWrap/>
            <w:vAlign w:val="center"/>
            <w:hideMark/>
          </w:tcPr>
          <w:p w14:paraId="45D29C1B"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40.7250</w:t>
            </w:r>
          </w:p>
        </w:tc>
        <w:tc>
          <w:tcPr>
            <w:tcW w:w="576" w:type="pct"/>
            <w:shd w:val="clear" w:color="auto" w:fill="auto"/>
            <w:noWrap/>
            <w:vAlign w:val="center"/>
            <w:hideMark/>
          </w:tcPr>
          <w:p w14:paraId="3BBB87FC"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21.7250</w:t>
            </w:r>
          </w:p>
        </w:tc>
      </w:tr>
      <w:tr w:rsidR="00BA0176" w:rsidRPr="004746AF" w14:paraId="4B82C021" w14:textId="77777777" w:rsidTr="00C161B4">
        <w:trPr>
          <w:trHeight w:val="300"/>
        </w:trPr>
        <w:tc>
          <w:tcPr>
            <w:tcW w:w="588" w:type="pct"/>
            <w:shd w:val="clear" w:color="auto" w:fill="auto"/>
            <w:noWrap/>
            <w:vAlign w:val="center"/>
            <w:hideMark/>
          </w:tcPr>
          <w:p w14:paraId="0E001A51"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15636</w:t>
            </w:r>
          </w:p>
        </w:tc>
        <w:tc>
          <w:tcPr>
            <w:tcW w:w="786" w:type="pct"/>
            <w:shd w:val="clear" w:color="auto" w:fill="auto"/>
            <w:noWrap/>
            <w:vAlign w:val="center"/>
            <w:hideMark/>
          </w:tcPr>
          <w:p w14:paraId="34FE59B0"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19.11.2021</w:t>
            </w:r>
          </w:p>
        </w:tc>
        <w:tc>
          <w:tcPr>
            <w:tcW w:w="577" w:type="pct"/>
            <w:gridSpan w:val="2"/>
            <w:shd w:val="clear" w:color="auto" w:fill="auto"/>
            <w:noWrap/>
            <w:vAlign w:val="center"/>
            <w:hideMark/>
          </w:tcPr>
          <w:p w14:paraId="1CC37AA0"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21.0664</w:t>
            </w:r>
          </w:p>
        </w:tc>
        <w:tc>
          <w:tcPr>
            <w:tcW w:w="577" w:type="pct"/>
            <w:shd w:val="clear" w:color="auto" w:fill="auto"/>
            <w:noWrap/>
            <w:vAlign w:val="center"/>
            <w:hideMark/>
          </w:tcPr>
          <w:p w14:paraId="1243FCC2"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20.4702</w:t>
            </w:r>
          </w:p>
        </w:tc>
        <w:tc>
          <w:tcPr>
            <w:tcW w:w="577" w:type="pct"/>
            <w:shd w:val="clear" w:color="auto" w:fill="auto"/>
            <w:noWrap/>
            <w:vAlign w:val="center"/>
            <w:hideMark/>
          </w:tcPr>
          <w:p w14:paraId="55444D88"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16.6445</w:t>
            </w:r>
          </w:p>
        </w:tc>
        <w:tc>
          <w:tcPr>
            <w:tcW w:w="657" w:type="pct"/>
            <w:shd w:val="clear" w:color="auto" w:fill="auto"/>
            <w:noWrap/>
            <w:vAlign w:val="center"/>
            <w:hideMark/>
          </w:tcPr>
          <w:p w14:paraId="385F36F2"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37.8894</w:t>
            </w:r>
          </w:p>
        </w:tc>
        <w:tc>
          <w:tcPr>
            <w:tcW w:w="662" w:type="pct"/>
            <w:shd w:val="clear" w:color="auto" w:fill="auto"/>
            <w:noWrap/>
            <w:vAlign w:val="center"/>
            <w:hideMark/>
          </w:tcPr>
          <w:p w14:paraId="37CBA1E7"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40.0750</w:t>
            </w:r>
          </w:p>
        </w:tc>
        <w:tc>
          <w:tcPr>
            <w:tcW w:w="576" w:type="pct"/>
            <w:shd w:val="clear" w:color="auto" w:fill="auto"/>
            <w:noWrap/>
            <w:vAlign w:val="center"/>
            <w:hideMark/>
          </w:tcPr>
          <w:p w14:paraId="1A0EF968"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21.9500</w:t>
            </w:r>
          </w:p>
        </w:tc>
      </w:tr>
      <w:tr w:rsidR="00BA0176" w:rsidRPr="004746AF" w14:paraId="34E2E33F" w14:textId="77777777" w:rsidTr="00C161B4">
        <w:trPr>
          <w:trHeight w:val="300"/>
        </w:trPr>
        <w:tc>
          <w:tcPr>
            <w:tcW w:w="588" w:type="pct"/>
            <w:shd w:val="clear" w:color="auto" w:fill="auto"/>
            <w:noWrap/>
            <w:vAlign w:val="center"/>
            <w:hideMark/>
          </w:tcPr>
          <w:p w14:paraId="7211986A"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16226</w:t>
            </w:r>
          </w:p>
        </w:tc>
        <w:tc>
          <w:tcPr>
            <w:tcW w:w="786" w:type="pct"/>
            <w:shd w:val="clear" w:color="auto" w:fill="auto"/>
            <w:noWrap/>
            <w:vAlign w:val="center"/>
            <w:hideMark/>
          </w:tcPr>
          <w:p w14:paraId="2810FFF6"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20.11.2021</w:t>
            </w:r>
          </w:p>
        </w:tc>
        <w:tc>
          <w:tcPr>
            <w:tcW w:w="577" w:type="pct"/>
            <w:gridSpan w:val="2"/>
            <w:shd w:val="clear" w:color="auto" w:fill="auto"/>
            <w:noWrap/>
            <w:vAlign w:val="center"/>
            <w:hideMark/>
          </w:tcPr>
          <w:p w14:paraId="2F38581C"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21.2404</w:t>
            </w:r>
          </w:p>
        </w:tc>
        <w:tc>
          <w:tcPr>
            <w:tcW w:w="577" w:type="pct"/>
            <w:shd w:val="clear" w:color="auto" w:fill="auto"/>
            <w:noWrap/>
            <w:vAlign w:val="center"/>
            <w:hideMark/>
          </w:tcPr>
          <w:p w14:paraId="1F98F88D"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20.5673</w:t>
            </w:r>
          </w:p>
        </w:tc>
        <w:tc>
          <w:tcPr>
            <w:tcW w:w="577" w:type="pct"/>
            <w:shd w:val="clear" w:color="auto" w:fill="auto"/>
            <w:noWrap/>
            <w:vAlign w:val="center"/>
            <w:hideMark/>
          </w:tcPr>
          <w:p w14:paraId="4A83EC8C"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17.0353</w:t>
            </w:r>
          </w:p>
        </w:tc>
        <w:tc>
          <w:tcPr>
            <w:tcW w:w="657" w:type="pct"/>
            <w:shd w:val="clear" w:color="auto" w:fill="auto"/>
            <w:noWrap/>
            <w:vAlign w:val="center"/>
            <w:hideMark/>
          </w:tcPr>
          <w:p w14:paraId="4216A0F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40.0510</w:t>
            </w:r>
          </w:p>
        </w:tc>
        <w:tc>
          <w:tcPr>
            <w:tcW w:w="662" w:type="pct"/>
            <w:shd w:val="clear" w:color="auto" w:fill="auto"/>
            <w:noWrap/>
            <w:vAlign w:val="center"/>
            <w:hideMark/>
          </w:tcPr>
          <w:p w14:paraId="7929B8A2"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43.2750</w:t>
            </w:r>
          </w:p>
        </w:tc>
        <w:tc>
          <w:tcPr>
            <w:tcW w:w="576" w:type="pct"/>
            <w:shd w:val="clear" w:color="auto" w:fill="auto"/>
            <w:noWrap/>
            <w:vAlign w:val="center"/>
            <w:hideMark/>
          </w:tcPr>
          <w:p w14:paraId="509D12B1"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19.7500</w:t>
            </w:r>
          </w:p>
        </w:tc>
      </w:tr>
      <w:tr w:rsidR="00BA0176" w:rsidRPr="004746AF" w14:paraId="05DF9CE1" w14:textId="77777777" w:rsidTr="00C161B4">
        <w:trPr>
          <w:trHeight w:val="300"/>
        </w:trPr>
        <w:tc>
          <w:tcPr>
            <w:tcW w:w="588" w:type="pct"/>
            <w:shd w:val="clear" w:color="auto" w:fill="auto"/>
            <w:noWrap/>
            <w:vAlign w:val="center"/>
            <w:hideMark/>
          </w:tcPr>
          <w:p w14:paraId="7F34C4A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19126</w:t>
            </w:r>
          </w:p>
        </w:tc>
        <w:tc>
          <w:tcPr>
            <w:tcW w:w="786" w:type="pct"/>
            <w:shd w:val="clear" w:color="auto" w:fill="auto"/>
            <w:noWrap/>
            <w:vAlign w:val="center"/>
            <w:hideMark/>
          </w:tcPr>
          <w:p w14:paraId="2668E933"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29.11.2021</w:t>
            </w:r>
          </w:p>
        </w:tc>
        <w:tc>
          <w:tcPr>
            <w:tcW w:w="577" w:type="pct"/>
            <w:gridSpan w:val="2"/>
            <w:shd w:val="clear" w:color="auto" w:fill="auto"/>
            <w:noWrap/>
            <w:vAlign w:val="center"/>
            <w:hideMark/>
          </w:tcPr>
          <w:p w14:paraId="21C71BBA"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20.8439</w:t>
            </w:r>
          </w:p>
        </w:tc>
        <w:tc>
          <w:tcPr>
            <w:tcW w:w="577" w:type="pct"/>
            <w:shd w:val="clear" w:color="auto" w:fill="auto"/>
            <w:noWrap/>
            <w:vAlign w:val="center"/>
            <w:hideMark/>
          </w:tcPr>
          <w:p w14:paraId="6E7F6C02"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20.4683</w:t>
            </w:r>
          </w:p>
        </w:tc>
        <w:tc>
          <w:tcPr>
            <w:tcW w:w="577" w:type="pct"/>
            <w:shd w:val="clear" w:color="auto" w:fill="auto"/>
            <w:noWrap/>
            <w:vAlign w:val="center"/>
            <w:hideMark/>
          </w:tcPr>
          <w:p w14:paraId="295F86D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16.6030</w:t>
            </w:r>
          </w:p>
        </w:tc>
        <w:tc>
          <w:tcPr>
            <w:tcW w:w="657" w:type="pct"/>
            <w:shd w:val="clear" w:color="auto" w:fill="auto"/>
            <w:noWrap/>
            <w:vAlign w:val="center"/>
            <w:hideMark/>
          </w:tcPr>
          <w:p w14:paraId="50C467D4"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38.1175</w:t>
            </w:r>
          </w:p>
        </w:tc>
        <w:tc>
          <w:tcPr>
            <w:tcW w:w="662" w:type="pct"/>
            <w:shd w:val="clear" w:color="auto" w:fill="auto"/>
            <w:noWrap/>
            <w:vAlign w:val="center"/>
            <w:hideMark/>
          </w:tcPr>
          <w:p w14:paraId="19D010AD"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41.2250</w:t>
            </w:r>
          </w:p>
        </w:tc>
        <w:tc>
          <w:tcPr>
            <w:tcW w:w="576" w:type="pct"/>
            <w:shd w:val="clear" w:color="auto" w:fill="auto"/>
            <w:noWrap/>
            <w:vAlign w:val="center"/>
            <w:hideMark/>
          </w:tcPr>
          <w:p w14:paraId="5E1C7C76"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21.3250</w:t>
            </w:r>
          </w:p>
        </w:tc>
      </w:tr>
      <w:tr w:rsidR="00BA0176" w:rsidRPr="004746AF" w14:paraId="08423C18" w14:textId="77777777" w:rsidTr="00C161B4">
        <w:trPr>
          <w:trHeight w:val="300"/>
        </w:trPr>
        <w:tc>
          <w:tcPr>
            <w:tcW w:w="588" w:type="pct"/>
            <w:shd w:val="clear" w:color="auto" w:fill="auto"/>
            <w:noWrap/>
            <w:vAlign w:val="center"/>
            <w:hideMark/>
          </w:tcPr>
          <w:p w14:paraId="6E920754"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19466</w:t>
            </w:r>
          </w:p>
        </w:tc>
        <w:tc>
          <w:tcPr>
            <w:tcW w:w="786" w:type="pct"/>
            <w:shd w:val="clear" w:color="auto" w:fill="auto"/>
            <w:noWrap/>
            <w:vAlign w:val="center"/>
            <w:hideMark/>
          </w:tcPr>
          <w:p w14:paraId="73300611"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30.11.2021</w:t>
            </w:r>
          </w:p>
        </w:tc>
        <w:tc>
          <w:tcPr>
            <w:tcW w:w="577" w:type="pct"/>
            <w:gridSpan w:val="2"/>
            <w:shd w:val="clear" w:color="auto" w:fill="auto"/>
            <w:noWrap/>
            <w:vAlign w:val="center"/>
            <w:hideMark/>
          </w:tcPr>
          <w:p w14:paraId="1465B164"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20.6939</w:t>
            </w:r>
          </w:p>
        </w:tc>
        <w:tc>
          <w:tcPr>
            <w:tcW w:w="577" w:type="pct"/>
            <w:shd w:val="clear" w:color="auto" w:fill="auto"/>
            <w:noWrap/>
            <w:vAlign w:val="center"/>
            <w:hideMark/>
          </w:tcPr>
          <w:p w14:paraId="1C52FC82"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20.4590</w:t>
            </w:r>
          </w:p>
        </w:tc>
        <w:tc>
          <w:tcPr>
            <w:tcW w:w="577" w:type="pct"/>
            <w:shd w:val="clear" w:color="auto" w:fill="auto"/>
            <w:noWrap/>
            <w:vAlign w:val="center"/>
            <w:hideMark/>
          </w:tcPr>
          <w:p w14:paraId="36ADBD07"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16.5505</w:t>
            </w:r>
          </w:p>
        </w:tc>
        <w:tc>
          <w:tcPr>
            <w:tcW w:w="657" w:type="pct"/>
            <w:shd w:val="clear" w:color="auto" w:fill="auto"/>
            <w:noWrap/>
            <w:vAlign w:val="center"/>
            <w:hideMark/>
          </w:tcPr>
          <w:p w14:paraId="4239790E"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36.6457</w:t>
            </w:r>
          </w:p>
        </w:tc>
        <w:tc>
          <w:tcPr>
            <w:tcW w:w="662" w:type="pct"/>
            <w:shd w:val="clear" w:color="auto" w:fill="auto"/>
            <w:noWrap/>
            <w:vAlign w:val="center"/>
            <w:hideMark/>
          </w:tcPr>
          <w:p w14:paraId="31E5DAD0"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39.5250</w:t>
            </w:r>
          </w:p>
        </w:tc>
        <w:tc>
          <w:tcPr>
            <w:tcW w:w="576" w:type="pct"/>
            <w:shd w:val="clear" w:color="auto" w:fill="auto"/>
            <w:noWrap/>
            <w:vAlign w:val="center"/>
            <w:hideMark/>
          </w:tcPr>
          <w:p w14:paraId="5A083766"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21.8000</w:t>
            </w:r>
          </w:p>
        </w:tc>
      </w:tr>
      <w:tr w:rsidR="00BA0176" w:rsidRPr="004746AF" w14:paraId="150967B6" w14:textId="77777777" w:rsidTr="00C161B4">
        <w:trPr>
          <w:trHeight w:val="300"/>
        </w:trPr>
        <w:tc>
          <w:tcPr>
            <w:tcW w:w="588" w:type="pct"/>
            <w:shd w:val="clear" w:color="auto" w:fill="auto"/>
            <w:noWrap/>
            <w:vAlign w:val="center"/>
            <w:hideMark/>
          </w:tcPr>
          <w:p w14:paraId="700817BE"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19761</w:t>
            </w:r>
          </w:p>
        </w:tc>
        <w:tc>
          <w:tcPr>
            <w:tcW w:w="786" w:type="pct"/>
            <w:shd w:val="clear" w:color="auto" w:fill="auto"/>
            <w:noWrap/>
            <w:vAlign w:val="center"/>
            <w:hideMark/>
          </w:tcPr>
          <w:p w14:paraId="0183C89E"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1.12.2021</w:t>
            </w:r>
          </w:p>
        </w:tc>
        <w:tc>
          <w:tcPr>
            <w:tcW w:w="577" w:type="pct"/>
            <w:gridSpan w:val="2"/>
            <w:shd w:val="clear" w:color="auto" w:fill="auto"/>
            <w:noWrap/>
            <w:vAlign w:val="center"/>
            <w:hideMark/>
          </w:tcPr>
          <w:p w14:paraId="37B3FACA"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20.9026</w:t>
            </w:r>
          </w:p>
        </w:tc>
        <w:tc>
          <w:tcPr>
            <w:tcW w:w="577" w:type="pct"/>
            <w:shd w:val="clear" w:color="auto" w:fill="auto"/>
            <w:noWrap/>
            <w:vAlign w:val="center"/>
            <w:hideMark/>
          </w:tcPr>
          <w:p w14:paraId="0EA8E35D"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20.5393</w:t>
            </w:r>
          </w:p>
        </w:tc>
        <w:tc>
          <w:tcPr>
            <w:tcW w:w="577" w:type="pct"/>
            <w:shd w:val="clear" w:color="auto" w:fill="auto"/>
            <w:noWrap/>
            <w:vAlign w:val="center"/>
            <w:hideMark/>
          </w:tcPr>
          <w:p w14:paraId="00272CC6"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16.6467</w:t>
            </w:r>
          </w:p>
        </w:tc>
        <w:tc>
          <w:tcPr>
            <w:tcW w:w="657" w:type="pct"/>
            <w:shd w:val="clear" w:color="auto" w:fill="auto"/>
            <w:noWrap/>
            <w:vAlign w:val="center"/>
            <w:hideMark/>
          </w:tcPr>
          <w:p w14:paraId="79ED4E11"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37.8467</w:t>
            </w:r>
          </w:p>
        </w:tc>
        <w:tc>
          <w:tcPr>
            <w:tcW w:w="662" w:type="pct"/>
            <w:shd w:val="clear" w:color="auto" w:fill="auto"/>
            <w:noWrap/>
            <w:vAlign w:val="center"/>
            <w:hideMark/>
          </w:tcPr>
          <w:p w14:paraId="1FD8CD7A"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40.8000</w:t>
            </w:r>
          </w:p>
        </w:tc>
        <w:tc>
          <w:tcPr>
            <w:tcW w:w="576" w:type="pct"/>
            <w:shd w:val="clear" w:color="auto" w:fill="auto"/>
            <w:noWrap/>
            <w:vAlign w:val="center"/>
            <w:hideMark/>
          </w:tcPr>
          <w:p w14:paraId="5B4F8760"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20.9000</w:t>
            </w:r>
          </w:p>
        </w:tc>
      </w:tr>
      <w:tr w:rsidR="00BA0176" w:rsidRPr="004746AF" w14:paraId="62F61008" w14:textId="77777777" w:rsidTr="00C161B4">
        <w:trPr>
          <w:trHeight w:val="300"/>
        </w:trPr>
        <w:tc>
          <w:tcPr>
            <w:tcW w:w="588" w:type="pct"/>
            <w:shd w:val="clear" w:color="auto" w:fill="auto"/>
            <w:noWrap/>
            <w:vAlign w:val="center"/>
            <w:hideMark/>
          </w:tcPr>
          <w:p w14:paraId="24DC71EF"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20150</w:t>
            </w:r>
          </w:p>
        </w:tc>
        <w:tc>
          <w:tcPr>
            <w:tcW w:w="786" w:type="pct"/>
            <w:shd w:val="clear" w:color="auto" w:fill="auto"/>
            <w:noWrap/>
            <w:vAlign w:val="center"/>
            <w:hideMark/>
          </w:tcPr>
          <w:p w14:paraId="380B95DF"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2.12.2021</w:t>
            </w:r>
          </w:p>
        </w:tc>
        <w:tc>
          <w:tcPr>
            <w:tcW w:w="577" w:type="pct"/>
            <w:gridSpan w:val="2"/>
            <w:shd w:val="clear" w:color="auto" w:fill="auto"/>
            <w:noWrap/>
            <w:vAlign w:val="center"/>
            <w:hideMark/>
          </w:tcPr>
          <w:p w14:paraId="2F8160C2"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21.0633</w:t>
            </w:r>
          </w:p>
        </w:tc>
        <w:tc>
          <w:tcPr>
            <w:tcW w:w="577" w:type="pct"/>
            <w:shd w:val="clear" w:color="auto" w:fill="auto"/>
            <w:noWrap/>
            <w:vAlign w:val="center"/>
            <w:hideMark/>
          </w:tcPr>
          <w:p w14:paraId="1169B6AA"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20.5159</w:t>
            </w:r>
          </w:p>
        </w:tc>
        <w:tc>
          <w:tcPr>
            <w:tcW w:w="577" w:type="pct"/>
            <w:shd w:val="clear" w:color="auto" w:fill="auto"/>
            <w:noWrap/>
            <w:vAlign w:val="center"/>
            <w:hideMark/>
          </w:tcPr>
          <w:p w14:paraId="1F91567A"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16.7366</w:t>
            </w:r>
          </w:p>
        </w:tc>
        <w:tc>
          <w:tcPr>
            <w:tcW w:w="657" w:type="pct"/>
            <w:shd w:val="clear" w:color="auto" w:fill="auto"/>
            <w:noWrap/>
            <w:vAlign w:val="center"/>
            <w:hideMark/>
          </w:tcPr>
          <w:p w14:paraId="25AF3B12"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38.7098</w:t>
            </w:r>
          </w:p>
        </w:tc>
        <w:tc>
          <w:tcPr>
            <w:tcW w:w="662" w:type="pct"/>
            <w:shd w:val="clear" w:color="auto" w:fill="auto"/>
            <w:noWrap/>
            <w:vAlign w:val="center"/>
            <w:hideMark/>
          </w:tcPr>
          <w:p w14:paraId="4E79F69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38.8000</w:t>
            </w:r>
          </w:p>
        </w:tc>
        <w:tc>
          <w:tcPr>
            <w:tcW w:w="576" w:type="pct"/>
            <w:shd w:val="clear" w:color="auto" w:fill="auto"/>
            <w:noWrap/>
            <w:vAlign w:val="center"/>
            <w:hideMark/>
          </w:tcPr>
          <w:p w14:paraId="37F59230"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22.9500</w:t>
            </w:r>
          </w:p>
        </w:tc>
      </w:tr>
      <w:tr w:rsidR="00BA0176" w:rsidRPr="004746AF" w14:paraId="03BCCE70" w14:textId="77777777" w:rsidTr="00C161B4">
        <w:trPr>
          <w:trHeight w:val="300"/>
        </w:trPr>
        <w:tc>
          <w:tcPr>
            <w:tcW w:w="588" w:type="pct"/>
            <w:shd w:val="clear" w:color="auto" w:fill="auto"/>
            <w:noWrap/>
            <w:vAlign w:val="center"/>
            <w:hideMark/>
          </w:tcPr>
          <w:p w14:paraId="14D1DF8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20434</w:t>
            </w:r>
          </w:p>
        </w:tc>
        <w:tc>
          <w:tcPr>
            <w:tcW w:w="786" w:type="pct"/>
            <w:shd w:val="clear" w:color="auto" w:fill="auto"/>
            <w:noWrap/>
            <w:vAlign w:val="center"/>
            <w:hideMark/>
          </w:tcPr>
          <w:p w14:paraId="5278B846"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3.12.2021</w:t>
            </w:r>
          </w:p>
        </w:tc>
        <w:tc>
          <w:tcPr>
            <w:tcW w:w="577" w:type="pct"/>
            <w:gridSpan w:val="2"/>
            <w:shd w:val="clear" w:color="auto" w:fill="auto"/>
            <w:noWrap/>
            <w:vAlign w:val="center"/>
            <w:hideMark/>
          </w:tcPr>
          <w:p w14:paraId="7C422FCA"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20.9252</w:t>
            </w:r>
          </w:p>
        </w:tc>
        <w:tc>
          <w:tcPr>
            <w:tcW w:w="577" w:type="pct"/>
            <w:shd w:val="clear" w:color="auto" w:fill="auto"/>
            <w:noWrap/>
            <w:vAlign w:val="center"/>
            <w:hideMark/>
          </w:tcPr>
          <w:p w14:paraId="12305AD6"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20.5022</w:t>
            </w:r>
          </w:p>
        </w:tc>
        <w:tc>
          <w:tcPr>
            <w:tcW w:w="577" w:type="pct"/>
            <w:shd w:val="clear" w:color="auto" w:fill="auto"/>
            <w:noWrap/>
            <w:vAlign w:val="center"/>
            <w:hideMark/>
          </w:tcPr>
          <w:p w14:paraId="6419805B"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16.6405</w:t>
            </w:r>
          </w:p>
        </w:tc>
        <w:tc>
          <w:tcPr>
            <w:tcW w:w="657" w:type="pct"/>
            <w:shd w:val="clear" w:color="auto" w:fill="auto"/>
            <w:noWrap/>
            <w:vAlign w:val="center"/>
            <w:hideMark/>
          </w:tcPr>
          <w:p w14:paraId="415E213D"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37.8558</w:t>
            </w:r>
          </w:p>
        </w:tc>
        <w:tc>
          <w:tcPr>
            <w:tcW w:w="662" w:type="pct"/>
            <w:shd w:val="clear" w:color="auto" w:fill="auto"/>
            <w:noWrap/>
            <w:vAlign w:val="center"/>
            <w:hideMark/>
          </w:tcPr>
          <w:p w14:paraId="532DF681"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38.9000</w:t>
            </w:r>
          </w:p>
        </w:tc>
        <w:tc>
          <w:tcPr>
            <w:tcW w:w="576" w:type="pct"/>
            <w:shd w:val="clear" w:color="auto" w:fill="auto"/>
            <w:noWrap/>
            <w:vAlign w:val="center"/>
            <w:hideMark/>
          </w:tcPr>
          <w:p w14:paraId="2556886F"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22.7750</w:t>
            </w:r>
          </w:p>
        </w:tc>
      </w:tr>
      <w:tr w:rsidR="00BA0176" w:rsidRPr="004746AF" w14:paraId="4C37CB78" w14:textId="77777777" w:rsidTr="00C161B4">
        <w:trPr>
          <w:trHeight w:val="300"/>
        </w:trPr>
        <w:tc>
          <w:tcPr>
            <w:tcW w:w="588" w:type="pct"/>
            <w:shd w:val="clear" w:color="auto" w:fill="auto"/>
            <w:noWrap/>
            <w:vAlign w:val="center"/>
            <w:hideMark/>
          </w:tcPr>
          <w:p w14:paraId="7D48566E"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20845</w:t>
            </w:r>
          </w:p>
        </w:tc>
        <w:tc>
          <w:tcPr>
            <w:tcW w:w="786" w:type="pct"/>
            <w:shd w:val="clear" w:color="auto" w:fill="auto"/>
            <w:noWrap/>
            <w:vAlign w:val="center"/>
            <w:hideMark/>
          </w:tcPr>
          <w:p w14:paraId="5B28BF8F"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4.12.2021</w:t>
            </w:r>
          </w:p>
        </w:tc>
        <w:tc>
          <w:tcPr>
            <w:tcW w:w="577" w:type="pct"/>
            <w:gridSpan w:val="2"/>
            <w:shd w:val="clear" w:color="auto" w:fill="auto"/>
            <w:noWrap/>
            <w:vAlign w:val="center"/>
            <w:hideMark/>
          </w:tcPr>
          <w:p w14:paraId="4549A5B1"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20.9252</w:t>
            </w:r>
          </w:p>
        </w:tc>
        <w:tc>
          <w:tcPr>
            <w:tcW w:w="577" w:type="pct"/>
            <w:shd w:val="clear" w:color="auto" w:fill="auto"/>
            <w:noWrap/>
            <w:vAlign w:val="center"/>
            <w:hideMark/>
          </w:tcPr>
          <w:p w14:paraId="356661DA"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20.5022</w:t>
            </w:r>
          </w:p>
        </w:tc>
        <w:tc>
          <w:tcPr>
            <w:tcW w:w="577" w:type="pct"/>
            <w:shd w:val="clear" w:color="auto" w:fill="auto"/>
            <w:noWrap/>
            <w:vAlign w:val="center"/>
            <w:hideMark/>
          </w:tcPr>
          <w:p w14:paraId="33C4A6E9"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16.6405</w:t>
            </w:r>
          </w:p>
        </w:tc>
        <w:tc>
          <w:tcPr>
            <w:tcW w:w="657" w:type="pct"/>
            <w:shd w:val="clear" w:color="auto" w:fill="auto"/>
            <w:noWrap/>
            <w:vAlign w:val="center"/>
            <w:hideMark/>
          </w:tcPr>
          <w:p w14:paraId="1A4413C3"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37.8558</w:t>
            </w:r>
          </w:p>
        </w:tc>
        <w:tc>
          <w:tcPr>
            <w:tcW w:w="662" w:type="pct"/>
            <w:shd w:val="clear" w:color="auto" w:fill="auto"/>
            <w:noWrap/>
            <w:vAlign w:val="center"/>
            <w:hideMark/>
          </w:tcPr>
          <w:p w14:paraId="40B6CE8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38.6750</w:t>
            </w:r>
          </w:p>
        </w:tc>
        <w:tc>
          <w:tcPr>
            <w:tcW w:w="576" w:type="pct"/>
            <w:shd w:val="clear" w:color="auto" w:fill="auto"/>
            <w:noWrap/>
            <w:vAlign w:val="center"/>
            <w:hideMark/>
          </w:tcPr>
          <w:p w14:paraId="401DA460"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22.3750</w:t>
            </w:r>
          </w:p>
        </w:tc>
      </w:tr>
      <w:tr w:rsidR="00BA0176" w:rsidRPr="004746AF" w14:paraId="699566CA" w14:textId="77777777" w:rsidTr="00C161B4">
        <w:trPr>
          <w:trHeight w:val="300"/>
        </w:trPr>
        <w:tc>
          <w:tcPr>
            <w:tcW w:w="588" w:type="pct"/>
            <w:shd w:val="clear" w:color="auto" w:fill="auto"/>
            <w:noWrap/>
            <w:vAlign w:val="center"/>
            <w:hideMark/>
          </w:tcPr>
          <w:p w14:paraId="1385973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21485</w:t>
            </w:r>
          </w:p>
        </w:tc>
        <w:tc>
          <w:tcPr>
            <w:tcW w:w="786" w:type="pct"/>
            <w:shd w:val="clear" w:color="auto" w:fill="auto"/>
            <w:noWrap/>
            <w:vAlign w:val="center"/>
            <w:hideMark/>
          </w:tcPr>
          <w:p w14:paraId="07069337"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6.12.2021</w:t>
            </w:r>
          </w:p>
        </w:tc>
        <w:tc>
          <w:tcPr>
            <w:tcW w:w="577" w:type="pct"/>
            <w:gridSpan w:val="2"/>
            <w:shd w:val="clear" w:color="auto" w:fill="auto"/>
            <w:noWrap/>
            <w:vAlign w:val="center"/>
            <w:hideMark/>
          </w:tcPr>
          <w:p w14:paraId="224A58FC"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20.6357</w:t>
            </w:r>
          </w:p>
        </w:tc>
        <w:tc>
          <w:tcPr>
            <w:tcW w:w="577" w:type="pct"/>
            <w:shd w:val="clear" w:color="auto" w:fill="auto"/>
            <w:noWrap/>
            <w:vAlign w:val="center"/>
            <w:hideMark/>
          </w:tcPr>
          <w:p w14:paraId="19447146"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20.5057</w:t>
            </w:r>
          </w:p>
        </w:tc>
        <w:tc>
          <w:tcPr>
            <w:tcW w:w="577" w:type="pct"/>
            <w:shd w:val="clear" w:color="auto" w:fill="auto"/>
            <w:noWrap/>
            <w:vAlign w:val="center"/>
            <w:hideMark/>
          </w:tcPr>
          <w:p w14:paraId="71BA46F8"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16.6871</w:t>
            </w:r>
          </w:p>
        </w:tc>
        <w:tc>
          <w:tcPr>
            <w:tcW w:w="657" w:type="pct"/>
            <w:shd w:val="clear" w:color="auto" w:fill="auto"/>
            <w:noWrap/>
            <w:vAlign w:val="center"/>
            <w:hideMark/>
          </w:tcPr>
          <w:p w14:paraId="12418F4F"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35.3616</w:t>
            </w:r>
          </w:p>
        </w:tc>
        <w:tc>
          <w:tcPr>
            <w:tcW w:w="662" w:type="pct"/>
            <w:shd w:val="clear" w:color="auto" w:fill="auto"/>
            <w:noWrap/>
            <w:vAlign w:val="center"/>
            <w:hideMark/>
          </w:tcPr>
          <w:p w14:paraId="78237CDF"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39.2000</w:t>
            </w:r>
          </w:p>
        </w:tc>
        <w:tc>
          <w:tcPr>
            <w:tcW w:w="576" w:type="pct"/>
            <w:shd w:val="clear" w:color="auto" w:fill="auto"/>
            <w:noWrap/>
            <w:vAlign w:val="center"/>
            <w:hideMark/>
          </w:tcPr>
          <w:p w14:paraId="047A798A"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21.8250</w:t>
            </w:r>
          </w:p>
        </w:tc>
      </w:tr>
      <w:tr w:rsidR="00BA0176" w:rsidRPr="004746AF" w14:paraId="129EC58A" w14:textId="77777777" w:rsidTr="00C161B4">
        <w:trPr>
          <w:trHeight w:val="300"/>
        </w:trPr>
        <w:tc>
          <w:tcPr>
            <w:tcW w:w="588" w:type="pct"/>
            <w:shd w:val="clear" w:color="auto" w:fill="auto"/>
            <w:noWrap/>
            <w:vAlign w:val="center"/>
            <w:hideMark/>
          </w:tcPr>
          <w:p w14:paraId="23955469"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21839</w:t>
            </w:r>
          </w:p>
        </w:tc>
        <w:tc>
          <w:tcPr>
            <w:tcW w:w="786" w:type="pct"/>
            <w:shd w:val="clear" w:color="auto" w:fill="auto"/>
            <w:noWrap/>
            <w:vAlign w:val="center"/>
            <w:hideMark/>
          </w:tcPr>
          <w:p w14:paraId="32D411BE"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7.12.2021</w:t>
            </w:r>
          </w:p>
        </w:tc>
        <w:tc>
          <w:tcPr>
            <w:tcW w:w="577" w:type="pct"/>
            <w:gridSpan w:val="2"/>
            <w:shd w:val="clear" w:color="auto" w:fill="auto"/>
            <w:noWrap/>
            <w:vAlign w:val="center"/>
            <w:hideMark/>
          </w:tcPr>
          <w:p w14:paraId="0CB97873"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20.6511</w:t>
            </w:r>
          </w:p>
        </w:tc>
        <w:tc>
          <w:tcPr>
            <w:tcW w:w="577" w:type="pct"/>
            <w:shd w:val="clear" w:color="auto" w:fill="auto"/>
            <w:noWrap/>
            <w:vAlign w:val="center"/>
            <w:hideMark/>
          </w:tcPr>
          <w:p w14:paraId="424E7FC3"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20.6231</w:t>
            </w:r>
          </w:p>
        </w:tc>
        <w:tc>
          <w:tcPr>
            <w:tcW w:w="577" w:type="pct"/>
            <w:shd w:val="clear" w:color="auto" w:fill="auto"/>
            <w:noWrap/>
            <w:vAlign w:val="center"/>
            <w:hideMark/>
          </w:tcPr>
          <w:p w14:paraId="58882737"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16.6876</w:t>
            </w:r>
          </w:p>
        </w:tc>
        <w:tc>
          <w:tcPr>
            <w:tcW w:w="657" w:type="pct"/>
            <w:shd w:val="clear" w:color="auto" w:fill="auto"/>
            <w:noWrap/>
            <w:vAlign w:val="center"/>
            <w:hideMark/>
          </w:tcPr>
          <w:p w14:paraId="7A555ED7"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35.5717</w:t>
            </w:r>
          </w:p>
        </w:tc>
        <w:tc>
          <w:tcPr>
            <w:tcW w:w="662" w:type="pct"/>
            <w:shd w:val="clear" w:color="auto" w:fill="auto"/>
            <w:noWrap/>
            <w:vAlign w:val="center"/>
            <w:hideMark/>
          </w:tcPr>
          <w:p w14:paraId="38245398"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38.8500</w:t>
            </w:r>
          </w:p>
        </w:tc>
        <w:tc>
          <w:tcPr>
            <w:tcW w:w="576" w:type="pct"/>
            <w:shd w:val="clear" w:color="auto" w:fill="auto"/>
            <w:noWrap/>
            <w:vAlign w:val="center"/>
            <w:hideMark/>
          </w:tcPr>
          <w:p w14:paraId="64A7C0DD"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22.0500</w:t>
            </w:r>
          </w:p>
        </w:tc>
      </w:tr>
      <w:tr w:rsidR="00BA0176" w:rsidRPr="004746AF" w14:paraId="37013566" w14:textId="77777777" w:rsidTr="00C161B4">
        <w:trPr>
          <w:trHeight w:val="300"/>
        </w:trPr>
        <w:tc>
          <w:tcPr>
            <w:tcW w:w="588" w:type="pct"/>
            <w:shd w:val="clear" w:color="auto" w:fill="auto"/>
            <w:noWrap/>
            <w:vAlign w:val="center"/>
            <w:hideMark/>
          </w:tcPr>
          <w:p w14:paraId="700CFE2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22846</w:t>
            </w:r>
          </w:p>
        </w:tc>
        <w:tc>
          <w:tcPr>
            <w:tcW w:w="786" w:type="pct"/>
            <w:shd w:val="clear" w:color="auto" w:fill="auto"/>
            <w:noWrap/>
            <w:vAlign w:val="center"/>
            <w:hideMark/>
          </w:tcPr>
          <w:p w14:paraId="3D7EC86E"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10.12.2021</w:t>
            </w:r>
          </w:p>
        </w:tc>
        <w:tc>
          <w:tcPr>
            <w:tcW w:w="577" w:type="pct"/>
            <w:gridSpan w:val="2"/>
            <w:shd w:val="clear" w:color="auto" w:fill="auto"/>
            <w:noWrap/>
            <w:vAlign w:val="center"/>
            <w:hideMark/>
          </w:tcPr>
          <w:p w14:paraId="43DBE88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20.5319</w:t>
            </w:r>
          </w:p>
        </w:tc>
        <w:tc>
          <w:tcPr>
            <w:tcW w:w="577" w:type="pct"/>
            <w:shd w:val="clear" w:color="auto" w:fill="auto"/>
            <w:noWrap/>
            <w:vAlign w:val="center"/>
            <w:hideMark/>
          </w:tcPr>
          <w:p w14:paraId="667417DF"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20.4841</w:t>
            </w:r>
          </w:p>
        </w:tc>
        <w:tc>
          <w:tcPr>
            <w:tcW w:w="577" w:type="pct"/>
            <w:shd w:val="clear" w:color="auto" w:fill="auto"/>
            <w:noWrap/>
            <w:vAlign w:val="center"/>
            <w:hideMark/>
          </w:tcPr>
          <w:p w14:paraId="0EC4B2E3"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16.6267</w:t>
            </w:r>
          </w:p>
        </w:tc>
        <w:tc>
          <w:tcPr>
            <w:tcW w:w="657" w:type="pct"/>
            <w:shd w:val="clear" w:color="auto" w:fill="auto"/>
            <w:noWrap/>
            <w:vAlign w:val="center"/>
            <w:hideMark/>
          </w:tcPr>
          <w:p w14:paraId="2B0F5F0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35.1362</w:t>
            </w:r>
          </w:p>
        </w:tc>
        <w:tc>
          <w:tcPr>
            <w:tcW w:w="662" w:type="pct"/>
            <w:shd w:val="clear" w:color="auto" w:fill="auto"/>
            <w:noWrap/>
            <w:vAlign w:val="center"/>
            <w:hideMark/>
          </w:tcPr>
          <w:p w14:paraId="07BD114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39.5250</w:t>
            </w:r>
          </w:p>
        </w:tc>
        <w:tc>
          <w:tcPr>
            <w:tcW w:w="576" w:type="pct"/>
            <w:shd w:val="clear" w:color="auto" w:fill="auto"/>
            <w:noWrap/>
            <w:vAlign w:val="center"/>
            <w:hideMark/>
          </w:tcPr>
          <w:p w14:paraId="7B4C3E5B"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20.1750</w:t>
            </w:r>
          </w:p>
        </w:tc>
      </w:tr>
      <w:tr w:rsidR="00BA0176" w:rsidRPr="004746AF" w14:paraId="34091BE4" w14:textId="77777777" w:rsidTr="00C161B4">
        <w:trPr>
          <w:trHeight w:val="300"/>
        </w:trPr>
        <w:tc>
          <w:tcPr>
            <w:tcW w:w="588" w:type="pct"/>
            <w:shd w:val="clear" w:color="auto" w:fill="auto"/>
            <w:noWrap/>
            <w:vAlign w:val="center"/>
            <w:hideMark/>
          </w:tcPr>
          <w:p w14:paraId="446A6C23"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23670</w:t>
            </w:r>
          </w:p>
        </w:tc>
        <w:tc>
          <w:tcPr>
            <w:tcW w:w="786" w:type="pct"/>
            <w:shd w:val="clear" w:color="auto" w:fill="auto"/>
            <w:noWrap/>
            <w:vAlign w:val="center"/>
            <w:hideMark/>
          </w:tcPr>
          <w:p w14:paraId="41C34BA3"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11.12.2021</w:t>
            </w:r>
          </w:p>
        </w:tc>
        <w:tc>
          <w:tcPr>
            <w:tcW w:w="577" w:type="pct"/>
            <w:gridSpan w:val="2"/>
            <w:shd w:val="clear" w:color="auto" w:fill="auto"/>
            <w:noWrap/>
            <w:vAlign w:val="center"/>
            <w:hideMark/>
          </w:tcPr>
          <w:p w14:paraId="7C398CA5"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20.5632</w:t>
            </w:r>
          </w:p>
        </w:tc>
        <w:tc>
          <w:tcPr>
            <w:tcW w:w="577" w:type="pct"/>
            <w:shd w:val="clear" w:color="auto" w:fill="auto"/>
            <w:noWrap/>
            <w:vAlign w:val="center"/>
            <w:hideMark/>
          </w:tcPr>
          <w:p w14:paraId="46D58D61"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20.4912</w:t>
            </w:r>
          </w:p>
        </w:tc>
        <w:tc>
          <w:tcPr>
            <w:tcW w:w="577" w:type="pct"/>
            <w:shd w:val="clear" w:color="auto" w:fill="auto"/>
            <w:noWrap/>
            <w:vAlign w:val="center"/>
            <w:hideMark/>
          </w:tcPr>
          <w:p w14:paraId="099D8A66"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16.2550</w:t>
            </w:r>
          </w:p>
        </w:tc>
        <w:tc>
          <w:tcPr>
            <w:tcW w:w="657" w:type="pct"/>
            <w:shd w:val="clear" w:color="auto" w:fill="auto"/>
            <w:noWrap/>
            <w:vAlign w:val="center"/>
            <w:hideMark/>
          </w:tcPr>
          <w:p w14:paraId="7BD31B74"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35.2132</w:t>
            </w:r>
          </w:p>
        </w:tc>
        <w:tc>
          <w:tcPr>
            <w:tcW w:w="662" w:type="pct"/>
            <w:shd w:val="clear" w:color="auto" w:fill="auto"/>
            <w:noWrap/>
            <w:vAlign w:val="center"/>
            <w:hideMark/>
          </w:tcPr>
          <w:p w14:paraId="6CD13E61"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35.6250</w:t>
            </w:r>
          </w:p>
        </w:tc>
        <w:tc>
          <w:tcPr>
            <w:tcW w:w="576" w:type="pct"/>
            <w:shd w:val="clear" w:color="auto" w:fill="auto"/>
            <w:noWrap/>
            <w:vAlign w:val="center"/>
            <w:hideMark/>
          </w:tcPr>
          <w:p w14:paraId="3252F837"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24.0750</w:t>
            </w:r>
          </w:p>
        </w:tc>
      </w:tr>
      <w:tr w:rsidR="00BA0176" w:rsidRPr="004746AF" w14:paraId="7622E7C1" w14:textId="77777777" w:rsidTr="00C161B4">
        <w:trPr>
          <w:trHeight w:val="300"/>
        </w:trPr>
        <w:tc>
          <w:tcPr>
            <w:tcW w:w="588" w:type="pct"/>
            <w:tcBorders>
              <w:bottom w:val="single" w:sz="4" w:space="0" w:color="auto"/>
            </w:tcBorders>
            <w:shd w:val="clear" w:color="auto" w:fill="auto"/>
            <w:noWrap/>
            <w:vAlign w:val="center"/>
            <w:hideMark/>
          </w:tcPr>
          <w:p w14:paraId="5C7FBF5C"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23690</w:t>
            </w:r>
          </w:p>
        </w:tc>
        <w:tc>
          <w:tcPr>
            <w:tcW w:w="786" w:type="pct"/>
            <w:tcBorders>
              <w:bottom w:val="single" w:sz="4" w:space="0" w:color="auto"/>
            </w:tcBorders>
            <w:shd w:val="clear" w:color="auto" w:fill="auto"/>
            <w:noWrap/>
            <w:vAlign w:val="center"/>
            <w:hideMark/>
          </w:tcPr>
          <w:p w14:paraId="2BDD1BD8"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sz w:val="20"/>
                <w:szCs w:val="20"/>
              </w:rPr>
              <w:t>12.12.2021</w:t>
            </w:r>
          </w:p>
        </w:tc>
        <w:tc>
          <w:tcPr>
            <w:tcW w:w="577" w:type="pct"/>
            <w:gridSpan w:val="2"/>
            <w:tcBorders>
              <w:bottom w:val="single" w:sz="4" w:space="0" w:color="auto"/>
            </w:tcBorders>
            <w:shd w:val="clear" w:color="auto" w:fill="auto"/>
            <w:noWrap/>
            <w:vAlign w:val="center"/>
            <w:hideMark/>
          </w:tcPr>
          <w:p w14:paraId="5C81E4C4"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20.5339</w:t>
            </w:r>
          </w:p>
        </w:tc>
        <w:tc>
          <w:tcPr>
            <w:tcW w:w="577" w:type="pct"/>
            <w:tcBorders>
              <w:bottom w:val="single" w:sz="4" w:space="0" w:color="auto"/>
            </w:tcBorders>
            <w:shd w:val="clear" w:color="auto" w:fill="auto"/>
            <w:noWrap/>
            <w:vAlign w:val="center"/>
            <w:hideMark/>
          </w:tcPr>
          <w:p w14:paraId="7E320EFD"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20.4978</w:t>
            </w:r>
          </w:p>
        </w:tc>
        <w:tc>
          <w:tcPr>
            <w:tcW w:w="577" w:type="pct"/>
            <w:tcBorders>
              <w:bottom w:val="single" w:sz="4" w:space="0" w:color="auto"/>
            </w:tcBorders>
            <w:shd w:val="clear" w:color="auto" w:fill="auto"/>
            <w:noWrap/>
            <w:vAlign w:val="center"/>
            <w:hideMark/>
          </w:tcPr>
          <w:p w14:paraId="6175ED4E"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16.7280</w:t>
            </w:r>
          </w:p>
        </w:tc>
        <w:tc>
          <w:tcPr>
            <w:tcW w:w="657" w:type="pct"/>
            <w:tcBorders>
              <w:bottom w:val="single" w:sz="4" w:space="0" w:color="auto"/>
            </w:tcBorders>
            <w:shd w:val="clear" w:color="auto" w:fill="auto"/>
            <w:noWrap/>
            <w:vAlign w:val="center"/>
            <w:hideMark/>
          </w:tcPr>
          <w:p w14:paraId="041DAAAC"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34.1999</w:t>
            </w:r>
          </w:p>
        </w:tc>
        <w:tc>
          <w:tcPr>
            <w:tcW w:w="662" w:type="pct"/>
            <w:tcBorders>
              <w:bottom w:val="single" w:sz="4" w:space="0" w:color="auto"/>
            </w:tcBorders>
            <w:shd w:val="clear" w:color="auto" w:fill="auto"/>
            <w:noWrap/>
            <w:vAlign w:val="center"/>
            <w:hideMark/>
          </w:tcPr>
          <w:p w14:paraId="01293A17"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37.7250</w:t>
            </w:r>
          </w:p>
        </w:tc>
        <w:tc>
          <w:tcPr>
            <w:tcW w:w="576" w:type="pct"/>
            <w:tcBorders>
              <w:bottom w:val="single" w:sz="4" w:space="0" w:color="auto"/>
            </w:tcBorders>
            <w:shd w:val="clear" w:color="auto" w:fill="auto"/>
            <w:noWrap/>
            <w:vAlign w:val="center"/>
            <w:hideMark/>
          </w:tcPr>
          <w:p w14:paraId="25A64146" w14:textId="77777777" w:rsidR="00BA0176" w:rsidRPr="004746AF" w:rsidRDefault="00BA0176" w:rsidP="00C161B4">
            <w:pPr>
              <w:spacing w:before="0" w:after="0"/>
              <w:jc w:val="center"/>
              <w:rPr>
                <w:rFonts w:eastAsia="Times New Roman" w:cs="Calibri"/>
                <w:color w:val="000000"/>
                <w:sz w:val="20"/>
                <w:szCs w:val="20"/>
                <w:lang w:val="sr-Latn-RS" w:eastAsia="sr-Latn-RS"/>
              </w:rPr>
            </w:pPr>
            <w:r w:rsidRPr="004746AF">
              <w:rPr>
                <w:rFonts w:eastAsia="Times New Roman" w:cs="Calibri"/>
                <w:color w:val="000000"/>
                <w:sz w:val="20"/>
                <w:szCs w:val="20"/>
                <w:lang w:val="sr-Latn-RS" w:eastAsia="sr-Latn-RS"/>
              </w:rPr>
              <w:t>22.4750</w:t>
            </w:r>
          </w:p>
        </w:tc>
      </w:tr>
    </w:tbl>
    <w:p w14:paraId="3421CDD7" w14:textId="323C6C00" w:rsidR="00BA0176" w:rsidRDefault="00BA0176" w:rsidP="00BA0176">
      <w:pPr>
        <w:pStyle w:val="Caption"/>
        <w:jc w:val="left"/>
      </w:pPr>
      <w:bookmarkStart w:id="827" w:name="_Toc101274676"/>
      <w:r>
        <w:lastRenderedPageBreak/>
        <w:t xml:space="preserve">Appendix </w:t>
      </w:r>
      <w:fldSimple w:instr=" SEQ Appendix \* ARABIC ">
        <w:r w:rsidR="00587AF0">
          <w:rPr>
            <w:noProof/>
          </w:rPr>
          <w:t>6</w:t>
        </w:r>
      </w:fldSimple>
      <w:r>
        <w:t>. Power delivery to the system per specific sum of cycles and daily</w:t>
      </w:r>
      <w:bookmarkEnd w:id="827"/>
    </w:p>
    <w:tbl>
      <w:tblPr>
        <w:tblW w:w="5000" w:type="pct"/>
        <w:tblLook w:val="04A0" w:firstRow="1" w:lastRow="0" w:firstColumn="1" w:lastColumn="0" w:noHBand="0" w:noVBand="1"/>
      </w:tblPr>
      <w:tblGrid>
        <w:gridCol w:w="778"/>
        <w:gridCol w:w="1262"/>
        <w:gridCol w:w="1659"/>
        <w:gridCol w:w="1554"/>
        <w:gridCol w:w="1607"/>
        <w:gridCol w:w="1062"/>
        <w:gridCol w:w="1105"/>
      </w:tblGrid>
      <w:tr w:rsidR="00BA0176" w:rsidRPr="00FD52EE" w14:paraId="76AEBB06" w14:textId="77777777" w:rsidTr="00C161B4">
        <w:trPr>
          <w:trHeight w:val="300"/>
        </w:trPr>
        <w:tc>
          <w:tcPr>
            <w:tcW w:w="1130" w:type="pct"/>
            <w:gridSpan w:val="2"/>
            <w:tcBorders>
              <w:top w:val="single" w:sz="4" w:space="0" w:color="auto"/>
            </w:tcBorders>
            <w:shd w:val="clear" w:color="auto" w:fill="auto"/>
            <w:noWrap/>
            <w:vAlign w:val="center"/>
          </w:tcPr>
          <w:p w14:paraId="0FE27093" w14:textId="77777777" w:rsidR="00BA0176" w:rsidRPr="00FD52EE" w:rsidRDefault="00BA0176" w:rsidP="00C161B4">
            <w:pPr>
              <w:spacing w:before="0" w:after="0"/>
              <w:jc w:val="center"/>
              <w:rPr>
                <w:rFonts w:eastAsia="Times New Roman" w:cs="Calibri"/>
                <w:b/>
                <w:bCs/>
                <w:color w:val="000000"/>
                <w:sz w:val="20"/>
                <w:szCs w:val="20"/>
                <w:lang w:val="sr-Latn-RS" w:eastAsia="sr-Latn-RS"/>
              </w:rPr>
            </w:pPr>
            <w:r w:rsidRPr="00FD52EE">
              <w:rPr>
                <w:rFonts w:eastAsia="Times New Roman" w:cs="Calibri"/>
                <w:b/>
                <w:bCs/>
                <w:color w:val="000000"/>
                <w:sz w:val="20"/>
                <w:szCs w:val="20"/>
                <w:lang w:val="sr-Latn-RS" w:eastAsia="sr-Latn-RS"/>
              </w:rPr>
              <w:t>20 Cycles @</w:t>
            </w:r>
          </w:p>
        </w:tc>
        <w:tc>
          <w:tcPr>
            <w:tcW w:w="2670" w:type="pct"/>
            <w:gridSpan w:val="3"/>
            <w:tcBorders>
              <w:top w:val="single" w:sz="4" w:space="0" w:color="auto"/>
            </w:tcBorders>
            <w:shd w:val="clear" w:color="auto" w:fill="auto"/>
            <w:noWrap/>
            <w:vAlign w:val="center"/>
            <w:hideMark/>
          </w:tcPr>
          <w:p w14:paraId="7D05651B" w14:textId="77777777" w:rsidR="00BA0176" w:rsidRPr="00FD52EE" w:rsidRDefault="00BA0176" w:rsidP="00C161B4">
            <w:pPr>
              <w:spacing w:before="0" w:after="0"/>
              <w:jc w:val="center"/>
              <w:rPr>
                <w:rFonts w:eastAsia="Times New Roman" w:cs="Calibri"/>
                <w:b/>
                <w:bCs/>
                <w:color w:val="000000"/>
                <w:sz w:val="20"/>
                <w:szCs w:val="20"/>
                <w:lang w:val="sr-Latn-RS" w:eastAsia="sr-Latn-RS"/>
              </w:rPr>
            </w:pPr>
            <w:r w:rsidRPr="00FD52EE">
              <w:rPr>
                <w:rFonts w:eastAsia="Times New Roman" w:cs="Calibri"/>
                <w:b/>
                <w:bCs/>
                <w:color w:val="000000"/>
                <w:sz w:val="20"/>
                <w:szCs w:val="20"/>
                <w:lang w:val="sr-Latn-RS" w:eastAsia="sr-Latn-RS"/>
              </w:rPr>
              <w:t>Power delivery to the system [20 x n]</w:t>
            </w:r>
          </w:p>
        </w:tc>
        <w:tc>
          <w:tcPr>
            <w:tcW w:w="1200" w:type="pct"/>
            <w:gridSpan w:val="2"/>
            <w:tcBorders>
              <w:top w:val="single" w:sz="4" w:space="0" w:color="auto"/>
            </w:tcBorders>
            <w:shd w:val="clear" w:color="auto" w:fill="auto"/>
            <w:vAlign w:val="center"/>
          </w:tcPr>
          <w:p w14:paraId="5304B55E" w14:textId="77777777" w:rsidR="00BA0176" w:rsidRPr="00FD52EE" w:rsidRDefault="00BA0176" w:rsidP="00C161B4">
            <w:pPr>
              <w:spacing w:before="0" w:after="0"/>
              <w:jc w:val="center"/>
              <w:rPr>
                <w:rFonts w:eastAsia="Times New Roman" w:cs="Calibri"/>
                <w:b/>
                <w:bCs/>
                <w:color w:val="000000"/>
                <w:sz w:val="20"/>
                <w:szCs w:val="20"/>
                <w:lang w:val="sr-Latn-RS" w:eastAsia="sr-Latn-RS"/>
              </w:rPr>
            </w:pPr>
            <w:r w:rsidRPr="00FD52EE">
              <w:rPr>
                <w:rFonts w:eastAsia="Times New Roman" w:cs="Calibri"/>
                <w:b/>
                <w:bCs/>
                <w:color w:val="000000"/>
                <w:sz w:val="20"/>
                <w:szCs w:val="20"/>
                <w:lang w:val="sr-Latn-RS" w:eastAsia="sr-Latn-RS"/>
              </w:rPr>
              <w:t>Power lost [%]</w:t>
            </w:r>
          </w:p>
        </w:tc>
      </w:tr>
      <w:tr w:rsidR="00BA0176" w:rsidRPr="00FD52EE" w14:paraId="62D5B451" w14:textId="77777777" w:rsidTr="00C161B4">
        <w:trPr>
          <w:trHeight w:val="300"/>
        </w:trPr>
        <w:tc>
          <w:tcPr>
            <w:tcW w:w="431" w:type="pct"/>
            <w:tcBorders>
              <w:bottom w:val="single" w:sz="4" w:space="0" w:color="auto"/>
            </w:tcBorders>
            <w:shd w:val="clear" w:color="auto" w:fill="auto"/>
            <w:noWrap/>
            <w:vAlign w:val="center"/>
          </w:tcPr>
          <w:p w14:paraId="2849DA41"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rFonts w:eastAsia="Times New Roman" w:cs="Calibri"/>
                <w:color w:val="000000"/>
                <w:sz w:val="20"/>
                <w:szCs w:val="20"/>
                <w:lang w:val="sr-Latn-RS" w:eastAsia="sr-Latn-RS"/>
              </w:rPr>
              <w:t>n</w:t>
            </w:r>
          </w:p>
        </w:tc>
        <w:tc>
          <w:tcPr>
            <w:tcW w:w="698" w:type="pct"/>
            <w:tcBorders>
              <w:bottom w:val="single" w:sz="4" w:space="0" w:color="auto"/>
            </w:tcBorders>
            <w:shd w:val="clear" w:color="auto" w:fill="auto"/>
            <w:noWrap/>
            <w:vAlign w:val="center"/>
          </w:tcPr>
          <w:p w14:paraId="3446B9DE"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rFonts w:eastAsia="Times New Roman" w:cs="Calibri"/>
                <w:color w:val="000000"/>
                <w:sz w:val="20"/>
                <w:szCs w:val="20"/>
                <w:lang w:val="sr-Latn-RS" w:eastAsia="sr-Latn-RS"/>
              </w:rPr>
              <w:t>Date</w:t>
            </w:r>
          </w:p>
        </w:tc>
        <w:tc>
          <w:tcPr>
            <w:tcW w:w="919" w:type="pct"/>
            <w:tcBorders>
              <w:bottom w:val="single" w:sz="4" w:space="0" w:color="auto"/>
            </w:tcBorders>
            <w:shd w:val="clear" w:color="auto" w:fill="auto"/>
            <w:noWrap/>
            <w:vAlign w:val="center"/>
          </w:tcPr>
          <w:p w14:paraId="185553B7"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rFonts w:eastAsia="Times New Roman" w:cs="Calibri"/>
                <w:color w:val="000000"/>
                <w:sz w:val="20"/>
                <w:szCs w:val="20"/>
                <w:lang w:val="sr-Latn-RS" w:eastAsia="sr-Latn-RS"/>
              </w:rPr>
              <w:t>P [kWh/20cycles]</w:t>
            </w:r>
          </w:p>
        </w:tc>
        <w:tc>
          <w:tcPr>
            <w:tcW w:w="861" w:type="pct"/>
            <w:tcBorders>
              <w:bottom w:val="single" w:sz="4" w:space="0" w:color="auto"/>
            </w:tcBorders>
            <w:shd w:val="clear" w:color="auto" w:fill="auto"/>
            <w:noWrap/>
            <w:vAlign w:val="center"/>
          </w:tcPr>
          <w:p w14:paraId="1C7953B2"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rFonts w:eastAsia="Times New Roman" w:cs="Calibri"/>
                <w:color w:val="000000"/>
                <w:sz w:val="20"/>
                <w:szCs w:val="20"/>
                <w:lang w:val="sr-Latn-RS" w:eastAsia="sr-Latn-RS"/>
              </w:rPr>
              <w:t>P</w:t>
            </w:r>
            <w:r w:rsidRPr="00FD52EE">
              <w:rPr>
                <w:rFonts w:eastAsia="Times New Roman" w:cs="Calibri"/>
                <w:color w:val="000000"/>
                <w:sz w:val="20"/>
                <w:szCs w:val="20"/>
                <w:vertAlign w:val="subscript"/>
                <w:lang w:val="sr-Latn-RS" w:eastAsia="sr-Latn-RS"/>
              </w:rPr>
              <w:t>lost</w:t>
            </w:r>
            <w:r w:rsidRPr="00FD52EE">
              <w:rPr>
                <w:rFonts w:eastAsia="Times New Roman" w:cs="Calibri"/>
                <w:color w:val="000000"/>
                <w:sz w:val="20"/>
                <w:szCs w:val="20"/>
                <w:lang w:val="sr-Latn-RS" w:eastAsia="sr-Latn-RS"/>
              </w:rPr>
              <w:t xml:space="preserve"> [%/20cycle]</w:t>
            </w:r>
          </w:p>
        </w:tc>
        <w:tc>
          <w:tcPr>
            <w:tcW w:w="890" w:type="pct"/>
            <w:tcBorders>
              <w:bottom w:val="single" w:sz="4" w:space="0" w:color="auto"/>
            </w:tcBorders>
            <w:shd w:val="clear" w:color="auto" w:fill="auto"/>
            <w:noWrap/>
            <w:vAlign w:val="center"/>
          </w:tcPr>
          <w:p w14:paraId="758CA0B0"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rFonts w:eastAsia="Times New Roman" w:cs="Calibri"/>
                <w:color w:val="000000"/>
                <w:sz w:val="20"/>
                <w:szCs w:val="20"/>
                <w:lang w:val="sr-Latn-RS" w:eastAsia="sr-Latn-RS"/>
              </w:rPr>
              <w:t>P</w:t>
            </w:r>
            <w:r w:rsidRPr="00FD52EE">
              <w:rPr>
                <w:rFonts w:eastAsia="Times New Roman" w:cs="Calibri"/>
                <w:color w:val="000000"/>
                <w:sz w:val="20"/>
                <w:szCs w:val="20"/>
                <w:vertAlign w:val="subscript"/>
                <w:lang w:val="sr-Latn-RS" w:eastAsia="sr-Latn-RS"/>
              </w:rPr>
              <w:t>daily</w:t>
            </w:r>
            <w:r w:rsidRPr="00FD52EE">
              <w:rPr>
                <w:rFonts w:eastAsia="Times New Roman" w:cs="Calibri"/>
                <w:color w:val="000000"/>
                <w:sz w:val="20"/>
                <w:szCs w:val="20"/>
                <w:lang w:val="sr-Latn-RS" w:eastAsia="sr-Latn-RS"/>
              </w:rPr>
              <w:t xml:space="preserve"> [kWh/daily]</w:t>
            </w:r>
          </w:p>
        </w:tc>
        <w:tc>
          <w:tcPr>
            <w:tcW w:w="588" w:type="pct"/>
            <w:tcBorders>
              <w:bottom w:val="single" w:sz="4" w:space="0" w:color="auto"/>
            </w:tcBorders>
            <w:shd w:val="clear" w:color="auto" w:fill="auto"/>
            <w:noWrap/>
            <w:vAlign w:val="center"/>
          </w:tcPr>
          <w:p w14:paraId="2EFD75A7"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rFonts w:eastAsia="Times New Roman" w:cs="Calibri"/>
                <w:color w:val="000000"/>
                <w:sz w:val="20"/>
                <w:szCs w:val="20"/>
                <w:lang w:val="sr-Latn-RS" w:eastAsia="sr-Latn-RS"/>
              </w:rPr>
              <w:t>%20cycles</w:t>
            </w:r>
          </w:p>
        </w:tc>
        <w:tc>
          <w:tcPr>
            <w:tcW w:w="611" w:type="pct"/>
            <w:tcBorders>
              <w:bottom w:val="single" w:sz="4" w:space="0" w:color="auto"/>
            </w:tcBorders>
            <w:shd w:val="clear" w:color="auto" w:fill="auto"/>
            <w:noWrap/>
            <w:vAlign w:val="center"/>
          </w:tcPr>
          <w:p w14:paraId="4C9748EE"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rFonts w:eastAsia="Times New Roman" w:cs="Calibri"/>
                <w:color w:val="000000"/>
                <w:sz w:val="20"/>
                <w:szCs w:val="20"/>
                <w:lang w:val="sr-Latn-RS" w:eastAsia="sr-Latn-RS"/>
              </w:rPr>
              <w:t>%daily</w:t>
            </w:r>
          </w:p>
        </w:tc>
      </w:tr>
      <w:tr w:rsidR="00BA0176" w:rsidRPr="00FD52EE" w14:paraId="36AC8F1C" w14:textId="77777777" w:rsidTr="00C161B4">
        <w:trPr>
          <w:trHeight w:val="300"/>
        </w:trPr>
        <w:tc>
          <w:tcPr>
            <w:tcW w:w="431" w:type="pct"/>
            <w:tcBorders>
              <w:top w:val="single" w:sz="4" w:space="0" w:color="auto"/>
            </w:tcBorders>
            <w:shd w:val="clear" w:color="auto" w:fill="auto"/>
            <w:noWrap/>
            <w:vAlign w:val="center"/>
          </w:tcPr>
          <w:p w14:paraId="3B7369CF"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165</w:t>
            </w:r>
          </w:p>
        </w:tc>
        <w:tc>
          <w:tcPr>
            <w:tcW w:w="698" w:type="pct"/>
            <w:tcBorders>
              <w:top w:val="single" w:sz="4" w:space="0" w:color="auto"/>
            </w:tcBorders>
            <w:shd w:val="clear" w:color="auto" w:fill="auto"/>
            <w:noWrap/>
            <w:vAlign w:val="center"/>
          </w:tcPr>
          <w:p w14:paraId="55AEF0A1"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6.10.2021</w:t>
            </w:r>
          </w:p>
        </w:tc>
        <w:tc>
          <w:tcPr>
            <w:tcW w:w="919" w:type="pct"/>
            <w:tcBorders>
              <w:top w:val="single" w:sz="4" w:space="0" w:color="auto"/>
            </w:tcBorders>
            <w:shd w:val="clear" w:color="auto" w:fill="auto"/>
            <w:noWrap/>
            <w:vAlign w:val="center"/>
          </w:tcPr>
          <w:p w14:paraId="335246CD"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0.8713</w:t>
            </w:r>
          </w:p>
        </w:tc>
        <w:tc>
          <w:tcPr>
            <w:tcW w:w="861" w:type="pct"/>
            <w:tcBorders>
              <w:top w:val="single" w:sz="4" w:space="0" w:color="auto"/>
            </w:tcBorders>
            <w:shd w:val="clear" w:color="auto" w:fill="auto"/>
            <w:noWrap/>
            <w:vAlign w:val="center"/>
          </w:tcPr>
          <w:p w14:paraId="7672F90A"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0.8713</w:t>
            </w:r>
          </w:p>
        </w:tc>
        <w:tc>
          <w:tcPr>
            <w:tcW w:w="890" w:type="pct"/>
            <w:tcBorders>
              <w:top w:val="single" w:sz="4" w:space="0" w:color="auto"/>
            </w:tcBorders>
            <w:shd w:val="clear" w:color="auto" w:fill="auto"/>
            <w:noWrap/>
            <w:vAlign w:val="center"/>
          </w:tcPr>
          <w:p w14:paraId="33C8FB48"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15.4655</w:t>
            </w:r>
          </w:p>
        </w:tc>
        <w:tc>
          <w:tcPr>
            <w:tcW w:w="588" w:type="pct"/>
            <w:tcBorders>
              <w:top w:val="single" w:sz="4" w:space="0" w:color="auto"/>
            </w:tcBorders>
            <w:shd w:val="clear" w:color="auto" w:fill="auto"/>
            <w:noWrap/>
            <w:vAlign w:val="center"/>
          </w:tcPr>
          <w:p w14:paraId="405CBC5E"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0.000%</w:t>
            </w:r>
          </w:p>
        </w:tc>
        <w:tc>
          <w:tcPr>
            <w:tcW w:w="611" w:type="pct"/>
            <w:tcBorders>
              <w:top w:val="single" w:sz="4" w:space="0" w:color="auto"/>
            </w:tcBorders>
            <w:shd w:val="clear" w:color="auto" w:fill="auto"/>
            <w:noWrap/>
            <w:vAlign w:val="center"/>
          </w:tcPr>
          <w:p w14:paraId="40B3395E"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0.000%</w:t>
            </w:r>
          </w:p>
        </w:tc>
      </w:tr>
      <w:tr w:rsidR="00BA0176" w:rsidRPr="00FD52EE" w14:paraId="32FA11CB" w14:textId="77777777" w:rsidTr="00C161B4">
        <w:trPr>
          <w:trHeight w:val="300"/>
        </w:trPr>
        <w:tc>
          <w:tcPr>
            <w:tcW w:w="431" w:type="pct"/>
            <w:shd w:val="clear" w:color="auto" w:fill="auto"/>
            <w:noWrap/>
            <w:vAlign w:val="center"/>
          </w:tcPr>
          <w:p w14:paraId="14FAF559"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432</w:t>
            </w:r>
          </w:p>
        </w:tc>
        <w:tc>
          <w:tcPr>
            <w:tcW w:w="698" w:type="pct"/>
            <w:shd w:val="clear" w:color="auto" w:fill="auto"/>
            <w:noWrap/>
            <w:vAlign w:val="center"/>
          </w:tcPr>
          <w:p w14:paraId="7AA31871"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7.10.2021</w:t>
            </w:r>
          </w:p>
        </w:tc>
        <w:tc>
          <w:tcPr>
            <w:tcW w:w="919" w:type="pct"/>
            <w:shd w:val="clear" w:color="auto" w:fill="auto"/>
            <w:noWrap/>
            <w:vAlign w:val="center"/>
          </w:tcPr>
          <w:p w14:paraId="5DEDA155"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0.8737</w:t>
            </w:r>
          </w:p>
        </w:tc>
        <w:tc>
          <w:tcPr>
            <w:tcW w:w="861" w:type="pct"/>
            <w:shd w:val="clear" w:color="auto" w:fill="auto"/>
            <w:noWrap/>
            <w:vAlign w:val="center"/>
          </w:tcPr>
          <w:p w14:paraId="00532482"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-0.0024</w:t>
            </w:r>
          </w:p>
        </w:tc>
        <w:tc>
          <w:tcPr>
            <w:tcW w:w="890" w:type="pct"/>
            <w:shd w:val="clear" w:color="auto" w:fill="auto"/>
            <w:noWrap/>
            <w:vAlign w:val="center"/>
          </w:tcPr>
          <w:p w14:paraId="10AC2E8D"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16.3383</w:t>
            </w:r>
          </w:p>
        </w:tc>
        <w:tc>
          <w:tcPr>
            <w:tcW w:w="588" w:type="pct"/>
            <w:shd w:val="clear" w:color="auto" w:fill="auto"/>
            <w:noWrap/>
            <w:vAlign w:val="center"/>
          </w:tcPr>
          <w:p w14:paraId="388287DA"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-0.277%</w:t>
            </w:r>
          </w:p>
        </w:tc>
        <w:tc>
          <w:tcPr>
            <w:tcW w:w="611" w:type="pct"/>
            <w:shd w:val="clear" w:color="auto" w:fill="auto"/>
            <w:noWrap/>
            <w:vAlign w:val="center"/>
          </w:tcPr>
          <w:p w14:paraId="02A299FC"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-5.644%</w:t>
            </w:r>
          </w:p>
        </w:tc>
      </w:tr>
      <w:tr w:rsidR="00BA0176" w:rsidRPr="00FD52EE" w14:paraId="4D5AF20C" w14:textId="77777777" w:rsidTr="00C161B4">
        <w:trPr>
          <w:trHeight w:val="300"/>
        </w:trPr>
        <w:tc>
          <w:tcPr>
            <w:tcW w:w="431" w:type="pct"/>
            <w:shd w:val="clear" w:color="auto" w:fill="auto"/>
            <w:noWrap/>
            <w:vAlign w:val="center"/>
          </w:tcPr>
          <w:p w14:paraId="3E8969E5"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818</w:t>
            </w:r>
          </w:p>
        </w:tc>
        <w:tc>
          <w:tcPr>
            <w:tcW w:w="698" w:type="pct"/>
            <w:shd w:val="clear" w:color="auto" w:fill="auto"/>
            <w:noWrap/>
            <w:vAlign w:val="center"/>
          </w:tcPr>
          <w:p w14:paraId="38B05C2B"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8.10.2021</w:t>
            </w:r>
          </w:p>
        </w:tc>
        <w:tc>
          <w:tcPr>
            <w:tcW w:w="919" w:type="pct"/>
            <w:shd w:val="clear" w:color="auto" w:fill="auto"/>
            <w:noWrap/>
            <w:vAlign w:val="center"/>
          </w:tcPr>
          <w:p w14:paraId="60CCBFA0"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0.7964</w:t>
            </w:r>
          </w:p>
        </w:tc>
        <w:tc>
          <w:tcPr>
            <w:tcW w:w="861" w:type="pct"/>
            <w:shd w:val="clear" w:color="auto" w:fill="auto"/>
            <w:noWrap/>
            <w:vAlign w:val="center"/>
          </w:tcPr>
          <w:p w14:paraId="29E04D72"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0.0749</w:t>
            </w:r>
          </w:p>
        </w:tc>
        <w:tc>
          <w:tcPr>
            <w:tcW w:w="890" w:type="pct"/>
            <w:shd w:val="clear" w:color="auto" w:fill="auto"/>
            <w:noWrap/>
            <w:vAlign w:val="center"/>
          </w:tcPr>
          <w:p w14:paraId="1D07CC9B"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15.4499</w:t>
            </w:r>
          </w:p>
        </w:tc>
        <w:tc>
          <w:tcPr>
            <w:tcW w:w="588" w:type="pct"/>
            <w:shd w:val="clear" w:color="auto" w:fill="auto"/>
            <w:noWrap/>
            <w:vAlign w:val="center"/>
          </w:tcPr>
          <w:p w14:paraId="4F412701"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8.597%</w:t>
            </w:r>
          </w:p>
        </w:tc>
        <w:tc>
          <w:tcPr>
            <w:tcW w:w="611" w:type="pct"/>
            <w:shd w:val="clear" w:color="auto" w:fill="auto"/>
            <w:noWrap/>
            <w:vAlign w:val="center"/>
          </w:tcPr>
          <w:p w14:paraId="11824342"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0.101%</w:t>
            </w:r>
          </w:p>
        </w:tc>
      </w:tr>
      <w:tr w:rsidR="00BA0176" w:rsidRPr="00FD52EE" w14:paraId="547801E0" w14:textId="77777777" w:rsidTr="00C161B4">
        <w:trPr>
          <w:trHeight w:val="300"/>
        </w:trPr>
        <w:tc>
          <w:tcPr>
            <w:tcW w:w="431" w:type="pct"/>
            <w:shd w:val="clear" w:color="auto" w:fill="auto"/>
            <w:noWrap/>
            <w:vAlign w:val="center"/>
          </w:tcPr>
          <w:p w14:paraId="3504A39B"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2897</w:t>
            </w:r>
          </w:p>
        </w:tc>
        <w:tc>
          <w:tcPr>
            <w:tcW w:w="698" w:type="pct"/>
            <w:shd w:val="clear" w:color="auto" w:fill="auto"/>
            <w:noWrap/>
            <w:vAlign w:val="center"/>
          </w:tcPr>
          <w:p w14:paraId="0E0544B5"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14.10.2021</w:t>
            </w:r>
          </w:p>
        </w:tc>
        <w:tc>
          <w:tcPr>
            <w:tcW w:w="919" w:type="pct"/>
            <w:shd w:val="clear" w:color="auto" w:fill="auto"/>
            <w:noWrap/>
            <w:vAlign w:val="center"/>
          </w:tcPr>
          <w:p w14:paraId="7B298D98"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0.7673</w:t>
            </w:r>
          </w:p>
        </w:tc>
        <w:tc>
          <w:tcPr>
            <w:tcW w:w="861" w:type="pct"/>
            <w:shd w:val="clear" w:color="auto" w:fill="auto"/>
            <w:noWrap/>
            <w:vAlign w:val="center"/>
          </w:tcPr>
          <w:p w14:paraId="042A091E"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0.1040</w:t>
            </w:r>
          </w:p>
        </w:tc>
        <w:tc>
          <w:tcPr>
            <w:tcW w:w="890" w:type="pct"/>
            <w:shd w:val="clear" w:color="auto" w:fill="auto"/>
            <w:noWrap/>
            <w:vAlign w:val="center"/>
          </w:tcPr>
          <w:p w14:paraId="5BAC71FA"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15.0775</w:t>
            </w:r>
          </w:p>
        </w:tc>
        <w:tc>
          <w:tcPr>
            <w:tcW w:w="588" w:type="pct"/>
            <w:shd w:val="clear" w:color="auto" w:fill="auto"/>
            <w:noWrap/>
            <w:vAlign w:val="center"/>
          </w:tcPr>
          <w:p w14:paraId="019D78DD"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11.935%</w:t>
            </w:r>
          </w:p>
        </w:tc>
        <w:tc>
          <w:tcPr>
            <w:tcW w:w="611" w:type="pct"/>
            <w:shd w:val="clear" w:color="auto" w:fill="auto"/>
            <w:noWrap/>
            <w:vAlign w:val="center"/>
          </w:tcPr>
          <w:p w14:paraId="11325F20"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2.509%</w:t>
            </w:r>
          </w:p>
        </w:tc>
      </w:tr>
      <w:tr w:rsidR="00BA0176" w:rsidRPr="00FD52EE" w14:paraId="54F44F0C" w14:textId="77777777" w:rsidTr="00C161B4">
        <w:trPr>
          <w:trHeight w:val="300"/>
        </w:trPr>
        <w:tc>
          <w:tcPr>
            <w:tcW w:w="431" w:type="pct"/>
            <w:shd w:val="clear" w:color="auto" w:fill="auto"/>
            <w:noWrap/>
            <w:vAlign w:val="center"/>
          </w:tcPr>
          <w:p w14:paraId="1AECDD02"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3257</w:t>
            </w:r>
          </w:p>
        </w:tc>
        <w:tc>
          <w:tcPr>
            <w:tcW w:w="698" w:type="pct"/>
            <w:shd w:val="clear" w:color="auto" w:fill="auto"/>
            <w:noWrap/>
            <w:vAlign w:val="center"/>
          </w:tcPr>
          <w:p w14:paraId="0BE763CE"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15.10.2021</w:t>
            </w:r>
          </w:p>
        </w:tc>
        <w:tc>
          <w:tcPr>
            <w:tcW w:w="919" w:type="pct"/>
            <w:shd w:val="clear" w:color="auto" w:fill="auto"/>
            <w:noWrap/>
            <w:vAlign w:val="center"/>
          </w:tcPr>
          <w:p w14:paraId="46EC93A7"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0.7646</w:t>
            </w:r>
          </w:p>
        </w:tc>
        <w:tc>
          <w:tcPr>
            <w:tcW w:w="861" w:type="pct"/>
            <w:shd w:val="clear" w:color="auto" w:fill="auto"/>
            <w:noWrap/>
            <w:vAlign w:val="center"/>
          </w:tcPr>
          <w:p w14:paraId="7CE941E2"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0.1067</w:t>
            </w:r>
          </w:p>
        </w:tc>
        <w:tc>
          <w:tcPr>
            <w:tcW w:w="890" w:type="pct"/>
            <w:shd w:val="clear" w:color="auto" w:fill="auto"/>
            <w:noWrap/>
            <w:vAlign w:val="center"/>
          </w:tcPr>
          <w:p w14:paraId="1B91819A"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16.5918</w:t>
            </w:r>
          </w:p>
        </w:tc>
        <w:tc>
          <w:tcPr>
            <w:tcW w:w="588" w:type="pct"/>
            <w:shd w:val="clear" w:color="auto" w:fill="auto"/>
            <w:noWrap/>
            <w:vAlign w:val="center"/>
          </w:tcPr>
          <w:p w14:paraId="3825A638"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12.246%</w:t>
            </w:r>
          </w:p>
        </w:tc>
        <w:tc>
          <w:tcPr>
            <w:tcW w:w="611" w:type="pct"/>
            <w:shd w:val="clear" w:color="auto" w:fill="auto"/>
            <w:noWrap/>
            <w:vAlign w:val="center"/>
          </w:tcPr>
          <w:p w14:paraId="176691CE"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-7.283%</w:t>
            </w:r>
          </w:p>
        </w:tc>
      </w:tr>
      <w:tr w:rsidR="00BA0176" w:rsidRPr="00FD52EE" w14:paraId="2362E77C" w14:textId="77777777" w:rsidTr="00C161B4">
        <w:trPr>
          <w:trHeight w:val="300"/>
        </w:trPr>
        <w:tc>
          <w:tcPr>
            <w:tcW w:w="431" w:type="pct"/>
            <w:shd w:val="clear" w:color="auto" w:fill="auto"/>
            <w:noWrap/>
            <w:vAlign w:val="center"/>
          </w:tcPr>
          <w:p w14:paraId="3B895694"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4443</w:t>
            </w:r>
          </w:p>
        </w:tc>
        <w:tc>
          <w:tcPr>
            <w:tcW w:w="698" w:type="pct"/>
            <w:shd w:val="clear" w:color="auto" w:fill="auto"/>
            <w:noWrap/>
            <w:vAlign w:val="center"/>
          </w:tcPr>
          <w:p w14:paraId="1ECB2FBA"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18.10.2021</w:t>
            </w:r>
          </w:p>
        </w:tc>
        <w:tc>
          <w:tcPr>
            <w:tcW w:w="919" w:type="pct"/>
            <w:shd w:val="clear" w:color="auto" w:fill="auto"/>
            <w:noWrap/>
            <w:vAlign w:val="center"/>
          </w:tcPr>
          <w:p w14:paraId="73F2C2BE"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0.6979</w:t>
            </w:r>
          </w:p>
        </w:tc>
        <w:tc>
          <w:tcPr>
            <w:tcW w:w="861" w:type="pct"/>
            <w:shd w:val="clear" w:color="auto" w:fill="auto"/>
            <w:noWrap/>
            <w:vAlign w:val="center"/>
          </w:tcPr>
          <w:p w14:paraId="4325DA80"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0.1734</w:t>
            </w:r>
          </w:p>
        </w:tc>
        <w:tc>
          <w:tcPr>
            <w:tcW w:w="890" w:type="pct"/>
            <w:shd w:val="clear" w:color="auto" w:fill="auto"/>
            <w:noWrap/>
            <w:vAlign w:val="center"/>
          </w:tcPr>
          <w:p w14:paraId="1E3C347F"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12.9109</w:t>
            </w:r>
          </w:p>
        </w:tc>
        <w:tc>
          <w:tcPr>
            <w:tcW w:w="588" w:type="pct"/>
            <w:shd w:val="clear" w:color="auto" w:fill="auto"/>
            <w:noWrap/>
            <w:vAlign w:val="center"/>
          </w:tcPr>
          <w:p w14:paraId="06B6B75E"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19.903%</w:t>
            </w:r>
          </w:p>
        </w:tc>
        <w:tc>
          <w:tcPr>
            <w:tcW w:w="611" w:type="pct"/>
            <w:shd w:val="clear" w:color="auto" w:fill="auto"/>
            <w:noWrap/>
            <w:vAlign w:val="center"/>
          </w:tcPr>
          <w:p w14:paraId="2AA552B6"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16.518%</w:t>
            </w:r>
          </w:p>
        </w:tc>
      </w:tr>
      <w:tr w:rsidR="00BA0176" w:rsidRPr="00FD52EE" w14:paraId="01DA002F" w14:textId="77777777" w:rsidTr="00C161B4">
        <w:trPr>
          <w:trHeight w:val="300"/>
        </w:trPr>
        <w:tc>
          <w:tcPr>
            <w:tcW w:w="431" w:type="pct"/>
            <w:shd w:val="clear" w:color="auto" w:fill="auto"/>
            <w:noWrap/>
            <w:vAlign w:val="center"/>
          </w:tcPr>
          <w:p w14:paraId="245751F2"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4740</w:t>
            </w:r>
          </w:p>
        </w:tc>
        <w:tc>
          <w:tcPr>
            <w:tcW w:w="698" w:type="pct"/>
            <w:shd w:val="clear" w:color="auto" w:fill="auto"/>
            <w:noWrap/>
            <w:vAlign w:val="center"/>
          </w:tcPr>
          <w:p w14:paraId="44EF78D8"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19.10.2021</w:t>
            </w:r>
          </w:p>
        </w:tc>
        <w:tc>
          <w:tcPr>
            <w:tcW w:w="919" w:type="pct"/>
            <w:shd w:val="clear" w:color="auto" w:fill="auto"/>
            <w:noWrap/>
            <w:vAlign w:val="center"/>
          </w:tcPr>
          <w:p w14:paraId="31FBDEB2"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0.6850</w:t>
            </w:r>
          </w:p>
        </w:tc>
        <w:tc>
          <w:tcPr>
            <w:tcW w:w="861" w:type="pct"/>
            <w:shd w:val="clear" w:color="auto" w:fill="auto"/>
            <w:noWrap/>
            <w:vAlign w:val="center"/>
          </w:tcPr>
          <w:p w14:paraId="269B1F8B"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0.1863</w:t>
            </w:r>
          </w:p>
        </w:tc>
        <w:tc>
          <w:tcPr>
            <w:tcW w:w="890" w:type="pct"/>
            <w:shd w:val="clear" w:color="auto" w:fill="auto"/>
            <w:noWrap/>
            <w:vAlign w:val="center"/>
          </w:tcPr>
          <w:p w14:paraId="2815D8E9"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13.7345</w:t>
            </w:r>
          </w:p>
        </w:tc>
        <w:tc>
          <w:tcPr>
            <w:tcW w:w="588" w:type="pct"/>
            <w:shd w:val="clear" w:color="auto" w:fill="auto"/>
            <w:noWrap/>
            <w:vAlign w:val="center"/>
          </w:tcPr>
          <w:p w14:paraId="692F2C12"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21.380%</w:t>
            </w:r>
          </w:p>
        </w:tc>
        <w:tc>
          <w:tcPr>
            <w:tcW w:w="611" w:type="pct"/>
            <w:shd w:val="clear" w:color="auto" w:fill="auto"/>
            <w:noWrap/>
            <w:vAlign w:val="center"/>
          </w:tcPr>
          <w:p w14:paraId="51BAAF0A"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11.193%</w:t>
            </w:r>
          </w:p>
        </w:tc>
      </w:tr>
      <w:tr w:rsidR="00BA0176" w:rsidRPr="00FD52EE" w14:paraId="2EC1E5A1" w14:textId="77777777" w:rsidTr="00C161B4">
        <w:trPr>
          <w:trHeight w:val="300"/>
        </w:trPr>
        <w:tc>
          <w:tcPr>
            <w:tcW w:w="431" w:type="pct"/>
            <w:shd w:val="clear" w:color="auto" w:fill="auto"/>
            <w:noWrap/>
            <w:vAlign w:val="center"/>
          </w:tcPr>
          <w:p w14:paraId="2345AD9E"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5191</w:t>
            </w:r>
          </w:p>
        </w:tc>
        <w:tc>
          <w:tcPr>
            <w:tcW w:w="698" w:type="pct"/>
            <w:shd w:val="clear" w:color="auto" w:fill="auto"/>
            <w:noWrap/>
            <w:vAlign w:val="center"/>
          </w:tcPr>
          <w:p w14:paraId="43225620"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20.10.2021</w:t>
            </w:r>
          </w:p>
        </w:tc>
        <w:tc>
          <w:tcPr>
            <w:tcW w:w="919" w:type="pct"/>
            <w:shd w:val="clear" w:color="auto" w:fill="auto"/>
            <w:noWrap/>
            <w:vAlign w:val="center"/>
          </w:tcPr>
          <w:p w14:paraId="174EDE4C"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0.7363</w:t>
            </w:r>
          </w:p>
        </w:tc>
        <w:tc>
          <w:tcPr>
            <w:tcW w:w="861" w:type="pct"/>
            <w:shd w:val="clear" w:color="auto" w:fill="auto"/>
            <w:noWrap/>
            <w:vAlign w:val="center"/>
          </w:tcPr>
          <w:p w14:paraId="47B2C6D3"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0.1350</w:t>
            </w:r>
          </w:p>
        </w:tc>
        <w:tc>
          <w:tcPr>
            <w:tcW w:w="890" w:type="pct"/>
            <w:shd w:val="clear" w:color="auto" w:fill="auto"/>
            <w:noWrap/>
            <w:vAlign w:val="center"/>
          </w:tcPr>
          <w:p w14:paraId="308275DA"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14.2105</w:t>
            </w:r>
          </w:p>
        </w:tc>
        <w:tc>
          <w:tcPr>
            <w:tcW w:w="588" w:type="pct"/>
            <w:shd w:val="clear" w:color="auto" w:fill="auto"/>
            <w:noWrap/>
            <w:vAlign w:val="center"/>
          </w:tcPr>
          <w:p w14:paraId="17F006F0"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15.494%</w:t>
            </w:r>
          </w:p>
        </w:tc>
        <w:tc>
          <w:tcPr>
            <w:tcW w:w="611" w:type="pct"/>
            <w:shd w:val="clear" w:color="auto" w:fill="auto"/>
            <w:noWrap/>
            <w:vAlign w:val="center"/>
          </w:tcPr>
          <w:p w14:paraId="6E46D763"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8.115%</w:t>
            </w:r>
          </w:p>
        </w:tc>
      </w:tr>
      <w:tr w:rsidR="00BA0176" w:rsidRPr="00FD52EE" w14:paraId="48D736CE" w14:textId="77777777" w:rsidTr="00C161B4">
        <w:trPr>
          <w:trHeight w:val="300"/>
        </w:trPr>
        <w:tc>
          <w:tcPr>
            <w:tcW w:w="431" w:type="pct"/>
            <w:shd w:val="clear" w:color="auto" w:fill="auto"/>
            <w:noWrap/>
            <w:vAlign w:val="center"/>
          </w:tcPr>
          <w:p w14:paraId="5F932448"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5544</w:t>
            </w:r>
          </w:p>
        </w:tc>
        <w:tc>
          <w:tcPr>
            <w:tcW w:w="698" w:type="pct"/>
            <w:shd w:val="clear" w:color="auto" w:fill="auto"/>
            <w:noWrap/>
            <w:vAlign w:val="center"/>
          </w:tcPr>
          <w:p w14:paraId="2AE3D359"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21.10.2021</w:t>
            </w:r>
          </w:p>
        </w:tc>
        <w:tc>
          <w:tcPr>
            <w:tcW w:w="919" w:type="pct"/>
            <w:shd w:val="clear" w:color="auto" w:fill="auto"/>
            <w:noWrap/>
            <w:vAlign w:val="center"/>
          </w:tcPr>
          <w:p w14:paraId="012FB41C"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0.6853</w:t>
            </w:r>
          </w:p>
        </w:tc>
        <w:tc>
          <w:tcPr>
            <w:tcW w:w="861" w:type="pct"/>
            <w:shd w:val="clear" w:color="auto" w:fill="auto"/>
            <w:noWrap/>
            <w:vAlign w:val="center"/>
          </w:tcPr>
          <w:p w14:paraId="1E1D412F"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0.1860</w:t>
            </w:r>
          </w:p>
        </w:tc>
        <w:tc>
          <w:tcPr>
            <w:tcW w:w="890" w:type="pct"/>
            <w:shd w:val="clear" w:color="auto" w:fill="auto"/>
            <w:noWrap/>
            <w:vAlign w:val="center"/>
          </w:tcPr>
          <w:p w14:paraId="635A6597"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11.3073</w:t>
            </w:r>
          </w:p>
        </w:tc>
        <w:tc>
          <w:tcPr>
            <w:tcW w:w="588" w:type="pct"/>
            <w:shd w:val="clear" w:color="auto" w:fill="auto"/>
            <w:noWrap/>
            <w:vAlign w:val="center"/>
          </w:tcPr>
          <w:p w14:paraId="1DF83C12"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21.348%</w:t>
            </w:r>
          </w:p>
        </w:tc>
        <w:tc>
          <w:tcPr>
            <w:tcW w:w="611" w:type="pct"/>
            <w:shd w:val="clear" w:color="auto" w:fill="auto"/>
            <w:noWrap/>
            <w:vAlign w:val="center"/>
          </w:tcPr>
          <w:p w14:paraId="5725310A"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26.887%</w:t>
            </w:r>
          </w:p>
        </w:tc>
      </w:tr>
      <w:tr w:rsidR="00BA0176" w:rsidRPr="00FD52EE" w14:paraId="0BFCBE74" w14:textId="77777777" w:rsidTr="00C161B4">
        <w:trPr>
          <w:trHeight w:val="300"/>
        </w:trPr>
        <w:tc>
          <w:tcPr>
            <w:tcW w:w="431" w:type="pct"/>
            <w:shd w:val="clear" w:color="auto" w:fill="auto"/>
            <w:noWrap/>
            <w:vAlign w:val="center"/>
          </w:tcPr>
          <w:p w14:paraId="035E6571"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5915</w:t>
            </w:r>
          </w:p>
        </w:tc>
        <w:tc>
          <w:tcPr>
            <w:tcW w:w="698" w:type="pct"/>
            <w:shd w:val="clear" w:color="auto" w:fill="auto"/>
            <w:noWrap/>
            <w:vAlign w:val="center"/>
          </w:tcPr>
          <w:p w14:paraId="5766430B"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22.10.2021</w:t>
            </w:r>
          </w:p>
        </w:tc>
        <w:tc>
          <w:tcPr>
            <w:tcW w:w="919" w:type="pct"/>
            <w:shd w:val="clear" w:color="auto" w:fill="auto"/>
            <w:noWrap/>
            <w:vAlign w:val="center"/>
          </w:tcPr>
          <w:p w14:paraId="0926D02C"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0.7070</w:t>
            </w:r>
          </w:p>
        </w:tc>
        <w:tc>
          <w:tcPr>
            <w:tcW w:w="861" w:type="pct"/>
            <w:shd w:val="clear" w:color="auto" w:fill="auto"/>
            <w:noWrap/>
            <w:vAlign w:val="center"/>
          </w:tcPr>
          <w:p w14:paraId="310CCCED"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0.1643</w:t>
            </w:r>
          </w:p>
        </w:tc>
        <w:tc>
          <w:tcPr>
            <w:tcW w:w="890" w:type="pct"/>
            <w:shd w:val="clear" w:color="auto" w:fill="auto"/>
            <w:noWrap/>
            <w:vAlign w:val="center"/>
          </w:tcPr>
          <w:p w14:paraId="531E68A1"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11.8422</w:t>
            </w:r>
          </w:p>
        </w:tc>
        <w:tc>
          <w:tcPr>
            <w:tcW w:w="588" w:type="pct"/>
            <w:shd w:val="clear" w:color="auto" w:fill="auto"/>
            <w:noWrap/>
            <w:vAlign w:val="center"/>
          </w:tcPr>
          <w:p w14:paraId="50A0BBBC"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18.857%</w:t>
            </w:r>
          </w:p>
        </w:tc>
        <w:tc>
          <w:tcPr>
            <w:tcW w:w="611" w:type="pct"/>
            <w:shd w:val="clear" w:color="auto" w:fill="auto"/>
            <w:noWrap/>
            <w:vAlign w:val="center"/>
          </w:tcPr>
          <w:p w14:paraId="414EED92"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23.428%</w:t>
            </w:r>
          </w:p>
        </w:tc>
      </w:tr>
      <w:tr w:rsidR="00BA0176" w:rsidRPr="00FD52EE" w14:paraId="43A865A8" w14:textId="77777777" w:rsidTr="00C161B4">
        <w:trPr>
          <w:trHeight w:val="300"/>
        </w:trPr>
        <w:tc>
          <w:tcPr>
            <w:tcW w:w="431" w:type="pct"/>
            <w:shd w:val="clear" w:color="auto" w:fill="auto"/>
            <w:noWrap/>
            <w:vAlign w:val="center"/>
          </w:tcPr>
          <w:p w14:paraId="7A231565"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6137</w:t>
            </w:r>
          </w:p>
        </w:tc>
        <w:tc>
          <w:tcPr>
            <w:tcW w:w="698" w:type="pct"/>
            <w:shd w:val="clear" w:color="auto" w:fill="auto"/>
            <w:noWrap/>
            <w:vAlign w:val="center"/>
          </w:tcPr>
          <w:p w14:paraId="2EF8B8CE"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23.10.2021</w:t>
            </w:r>
          </w:p>
        </w:tc>
        <w:tc>
          <w:tcPr>
            <w:tcW w:w="919" w:type="pct"/>
            <w:shd w:val="clear" w:color="auto" w:fill="auto"/>
            <w:noWrap/>
            <w:vAlign w:val="center"/>
          </w:tcPr>
          <w:p w14:paraId="16D68D15"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0.6980</w:t>
            </w:r>
          </w:p>
        </w:tc>
        <w:tc>
          <w:tcPr>
            <w:tcW w:w="861" w:type="pct"/>
            <w:shd w:val="clear" w:color="auto" w:fill="auto"/>
            <w:noWrap/>
            <w:vAlign w:val="center"/>
          </w:tcPr>
          <w:p w14:paraId="3FEF14BA"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0.1733</w:t>
            </w:r>
          </w:p>
        </w:tc>
        <w:tc>
          <w:tcPr>
            <w:tcW w:w="890" w:type="pct"/>
            <w:shd w:val="clear" w:color="auto" w:fill="auto"/>
            <w:noWrap/>
            <w:vAlign w:val="center"/>
          </w:tcPr>
          <w:p w14:paraId="51FB02F4"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11.0638</w:t>
            </w:r>
          </w:p>
        </w:tc>
        <w:tc>
          <w:tcPr>
            <w:tcW w:w="588" w:type="pct"/>
            <w:shd w:val="clear" w:color="auto" w:fill="auto"/>
            <w:noWrap/>
            <w:vAlign w:val="center"/>
          </w:tcPr>
          <w:p w14:paraId="25AD2D40"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19.885%</w:t>
            </w:r>
          </w:p>
        </w:tc>
        <w:tc>
          <w:tcPr>
            <w:tcW w:w="611" w:type="pct"/>
            <w:shd w:val="clear" w:color="auto" w:fill="auto"/>
            <w:noWrap/>
            <w:vAlign w:val="center"/>
          </w:tcPr>
          <w:p w14:paraId="7FADA539"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28.461%</w:t>
            </w:r>
          </w:p>
        </w:tc>
      </w:tr>
      <w:tr w:rsidR="00BA0176" w:rsidRPr="00FD52EE" w14:paraId="40E709ED" w14:textId="77777777" w:rsidTr="00C161B4">
        <w:trPr>
          <w:trHeight w:val="300"/>
        </w:trPr>
        <w:tc>
          <w:tcPr>
            <w:tcW w:w="431" w:type="pct"/>
            <w:shd w:val="clear" w:color="auto" w:fill="auto"/>
            <w:noWrap/>
            <w:vAlign w:val="center"/>
          </w:tcPr>
          <w:p w14:paraId="2E50B1E1"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6600</w:t>
            </w:r>
          </w:p>
        </w:tc>
        <w:tc>
          <w:tcPr>
            <w:tcW w:w="698" w:type="pct"/>
            <w:shd w:val="clear" w:color="auto" w:fill="auto"/>
            <w:noWrap/>
            <w:vAlign w:val="center"/>
          </w:tcPr>
          <w:p w14:paraId="68C4C207"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24.10.2021</w:t>
            </w:r>
          </w:p>
        </w:tc>
        <w:tc>
          <w:tcPr>
            <w:tcW w:w="919" w:type="pct"/>
            <w:shd w:val="clear" w:color="auto" w:fill="auto"/>
            <w:noWrap/>
            <w:vAlign w:val="center"/>
          </w:tcPr>
          <w:p w14:paraId="5F5476B6"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0.6608</w:t>
            </w:r>
          </w:p>
        </w:tc>
        <w:tc>
          <w:tcPr>
            <w:tcW w:w="861" w:type="pct"/>
            <w:shd w:val="clear" w:color="auto" w:fill="auto"/>
            <w:noWrap/>
            <w:vAlign w:val="center"/>
          </w:tcPr>
          <w:p w14:paraId="465AFABC"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0.2104</w:t>
            </w:r>
          </w:p>
        </w:tc>
        <w:tc>
          <w:tcPr>
            <w:tcW w:w="890" w:type="pct"/>
            <w:shd w:val="clear" w:color="auto" w:fill="auto"/>
            <w:noWrap/>
            <w:vAlign w:val="center"/>
          </w:tcPr>
          <w:p w14:paraId="2B51D73D"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10.5406</w:t>
            </w:r>
          </w:p>
        </w:tc>
        <w:tc>
          <w:tcPr>
            <w:tcW w:w="588" w:type="pct"/>
            <w:shd w:val="clear" w:color="auto" w:fill="auto"/>
            <w:noWrap/>
            <w:vAlign w:val="center"/>
          </w:tcPr>
          <w:p w14:paraId="7DBB09EF"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24.153%</w:t>
            </w:r>
          </w:p>
        </w:tc>
        <w:tc>
          <w:tcPr>
            <w:tcW w:w="611" w:type="pct"/>
            <w:shd w:val="clear" w:color="auto" w:fill="auto"/>
            <w:noWrap/>
            <w:vAlign w:val="center"/>
          </w:tcPr>
          <w:p w14:paraId="0B7920AB"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31.845%</w:t>
            </w:r>
          </w:p>
        </w:tc>
      </w:tr>
      <w:tr w:rsidR="00BA0176" w:rsidRPr="00FD52EE" w14:paraId="788DD261" w14:textId="77777777" w:rsidTr="00C161B4">
        <w:trPr>
          <w:trHeight w:val="300"/>
        </w:trPr>
        <w:tc>
          <w:tcPr>
            <w:tcW w:w="431" w:type="pct"/>
            <w:shd w:val="clear" w:color="auto" w:fill="auto"/>
            <w:noWrap/>
            <w:vAlign w:val="center"/>
          </w:tcPr>
          <w:p w14:paraId="7A749FB6"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6823</w:t>
            </w:r>
          </w:p>
        </w:tc>
        <w:tc>
          <w:tcPr>
            <w:tcW w:w="698" w:type="pct"/>
            <w:shd w:val="clear" w:color="auto" w:fill="auto"/>
            <w:noWrap/>
            <w:vAlign w:val="center"/>
          </w:tcPr>
          <w:p w14:paraId="6720086B"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25.10.2021</w:t>
            </w:r>
          </w:p>
        </w:tc>
        <w:tc>
          <w:tcPr>
            <w:tcW w:w="919" w:type="pct"/>
            <w:shd w:val="clear" w:color="auto" w:fill="auto"/>
            <w:noWrap/>
            <w:vAlign w:val="center"/>
          </w:tcPr>
          <w:p w14:paraId="52EFE216"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0.6900</w:t>
            </w:r>
          </w:p>
        </w:tc>
        <w:tc>
          <w:tcPr>
            <w:tcW w:w="861" w:type="pct"/>
            <w:shd w:val="clear" w:color="auto" w:fill="auto"/>
            <w:noWrap/>
            <w:vAlign w:val="center"/>
          </w:tcPr>
          <w:p w14:paraId="57C15170"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0.1813</w:t>
            </w:r>
          </w:p>
        </w:tc>
        <w:tc>
          <w:tcPr>
            <w:tcW w:w="890" w:type="pct"/>
            <w:shd w:val="clear" w:color="auto" w:fill="auto"/>
            <w:noWrap/>
            <w:vAlign w:val="center"/>
          </w:tcPr>
          <w:p w14:paraId="2E5E21A9"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9.4536</w:t>
            </w:r>
          </w:p>
        </w:tc>
        <w:tc>
          <w:tcPr>
            <w:tcW w:w="588" w:type="pct"/>
            <w:shd w:val="clear" w:color="auto" w:fill="auto"/>
            <w:noWrap/>
            <w:vAlign w:val="center"/>
          </w:tcPr>
          <w:p w14:paraId="6C3E206A"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20.803%</w:t>
            </w:r>
          </w:p>
        </w:tc>
        <w:tc>
          <w:tcPr>
            <w:tcW w:w="611" w:type="pct"/>
            <w:shd w:val="clear" w:color="auto" w:fill="auto"/>
            <w:noWrap/>
            <w:vAlign w:val="center"/>
          </w:tcPr>
          <w:p w14:paraId="266E826A"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38.873%</w:t>
            </w:r>
          </w:p>
        </w:tc>
      </w:tr>
      <w:tr w:rsidR="00BA0176" w:rsidRPr="00FD52EE" w14:paraId="037FAEBC" w14:textId="77777777" w:rsidTr="00C161B4">
        <w:trPr>
          <w:trHeight w:val="300"/>
        </w:trPr>
        <w:tc>
          <w:tcPr>
            <w:tcW w:w="431" w:type="pct"/>
            <w:shd w:val="clear" w:color="auto" w:fill="auto"/>
            <w:noWrap/>
            <w:vAlign w:val="center"/>
          </w:tcPr>
          <w:p w14:paraId="73CCC414"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7090</w:t>
            </w:r>
          </w:p>
        </w:tc>
        <w:tc>
          <w:tcPr>
            <w:tcW w:w="698" w:type="pct"/>
            <w:shd w:val="clear" w:color="auto" w:fill="auto"/>
            <w:noWrap/>
            <w:vAlign w:val="center"/>
          </w:tcPr>
          <w:p w14:paraId="118B2263"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26.10.2021</w:t>
            </w:r>
          </w:p>
        </w:tc>
        <w:tc>
          <w:tcPr>
            <w:tcW w:w="919" w:type="pct"/>
            <w:shd w:val="clear" w:color="auto" w:fill="auto"/>
            <w:noWrap/>
            <w:vAlign w:val="center"/>
          </w:tcPr>
          <w:p w14:paraId="21B2F1D4"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0.6843</w:t>
            </w:r>
          </w:p>
        </w:tc>
        <w:tc>
          <w:tcPr>
            <w:tcW w:w="861" w:type="pct"/>
            <w:shd w:val="clear" w:color="auto" w:fill="auto"/>
            <w:noWrap/>
            <w:vAlign w:val="center"/>
          </w:tcPr>
          <w:p w14:paraId="68F41EE4"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0.1870</w:t>
            </w:r>
          </w:p>
        </w:tc>
        <w:tc>
          <w:tcPr>
            <w:tcW w:w="890" w:type="pct"/>
            <w:shd w:val="clear" w:color="auto" w:fill="auto"/>
            <w:noWrap/>
            <w:vAlign w:val="center"/>
          </w:tcPr>
          <w:p w14:paraId="7851F89A"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12.0090</w:t>
            </w:r>
          </w:p>
        </w:tc>
        <w:tc>
          <w:tcPr>
            <w:tcW w:w="588" w:type="pct"/>
            <w:shd w:val="clear" w:color="auto" w:fill="auto"/>
            <w:noWrap/>
            <w:vAlign w:val="center"/>
          </w:tcPr>
          <w:p w14:paraId="7BBB1BBC"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21.465%</w:t>
            </w:r>
          </w:p>
        </w:tc>
        <w:tc>
          <w:tcPr>
            <w:tcW w:w="611" w:type="pct"/>
            <w:shd w:val="clear" w:color="auto" w:fill="auto"/>
            <w:noWrap/>
            <w:vAlign w:val="center"/>
          </w:tcPr>
          <w:p w14:paraId="5423FBCC"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22.350%</w:t>
            </w:r>
          </w:p>
        </w:tc>
      </w:tr>
      <w:tr w:rsidR="00BA0176" w:rsidRPr="00FD52EE" w14:paraId="375319BF" w14:textId="77777777" w:rsidTr="00C161B4">
        <w:trPr>
          <w:trHeight w:val="300"/>
        </w:trPr>
        <w:tc>
          <w:tcPr>
            <w:tcW w:w="431" w:type="pct"/>
            <w:shd w:val="clear" w:color="auto" w:fill="auto"/>
            <w:noWrap/>
            <w:vAlign w:val="center"/>
          </w:tcPr>
          <w:p w14:paraId="545F0BCE"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7413</w:t>
            </w:r>
          </w:p>
        </w:tc>
        <w:tc>
          <w:tcPr>
            <w:tcW w:w="698" w:type="pct"/>
            <w:shd w:val="clear" w:color="auto" w:fill="auto"/>
            <w:noWrap/>
            <w:vAlign w:val="center"/>
          </w:tcPr>
          <w:p w14:paraId="5D54CFCD"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27.10.2021</w:t>
            </w:r>
          </w:p>
        </w:tc>
        <w:tc>
          <w:tcPr>
            <w:tcW w:w="919" w:type="pct"/>
            <w:shd w:val="clear" w:color="auto" w:fill="auto"/>
            <w:noWrap/>
            <w:vAlign w:val="center"/>
          </w:tcPr>
          <w:p w14:paraId="19B4CFE1"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0.7068</w:t>
            </w:r>
          </w:p>
        </w:tc>
        <w:tc>
          <w:tcPr>
            <w:tcW w:w="861" w:type="pct"/>
            <w:shd w:val="clear" w:color="auto" w:fill="auto"/>
            <w:noWrap/>
            <w:vAlign w:val="center"/>
          </w:tcPr>
          <w:p w14:paraId="4897AD80"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0.1645</w:t>
            </w:r>
          </w:p>
        </w:tc>
        <w:tc>
          <w:tcPr>
            <w:tcW w:w="890" w:type="pct"/>
            <w:shd w:val="clear" w:color="auto" w:fill="auto"/>
            <w:noWrap/>
            <w:vAlign w:val="center"/>
          </w:tcPr>
          <w:p w14:paraId="7DE7DB44"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13.9241</w:t>
            </w:r>
          </w:p>
        </w:tc>
        <w:tc>
          <w:tcPr>
            <w:tcW w:w="588" w:type="pct"/>
            <w:shd w:val="clear" w:color="auto" w:fill="auto"/>
            <w:noWrap/>
            <w:vAlign w:val="center"/>
          </w:tcPr>
          <w:p w14:paraId="42D3C2C1"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18.878%</w:t>
            </w:r>
          </w:p>
        </w:tc>
        <w:tc>
          <w:tcPr>
            <w:tcW w:w="611" w:type="pct"/>
            <w:shd w:val="clear" w:color="auto" w:fill="auto"/>
            <w:noWrap/>
            <w:vAlign w:val="center"/>
          </w:tcPr>
          <w:p w14:paraId="50E3341D"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9.966%</w:t>
            </w:r>
          </w:p>
        </w:tc>
      </w:tr>
      <w:tr w:rsidR="00BA0176" w:rsidRPr="00FD52EE" w14:paraId="03E13BB5" w14:textId="77777777" w:rsidTr="00C161B4">
        <w:trPr>
          <w:trHeight w:val="300"/>
        </w:trPr>
        <w:tc>
          <w:tcPr>
            <w:tcW w:w="431" w:type="pct"/>
            <w:shd w:val="clear" w:color="auto" w:fill="auto"/>
            <w:noWrap/>
            <w:vAlign w:val="center"/>
          </w:tcPr>
          <w:p w14:paraId="0A0F8CBB"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7931</w:t>
            </w:r>
          </w:p>
        </w:tc>
        <w:tc>
          <w:tcPr>
            <w:tcW w:w="698" w:type="pct"/>
            <w:shd w:val="clear" w:color="auto" w:fill="auto"/>
            <w:noWrap/>
            <w:vAlign w:val="center"/>
          </w:tcPr>
          <w:p w14:paraId="11969B55"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28.10.2021</w:t>
            </w:r>
          </w:p>
        </w:tc>
        <w:tc>
          <w:tcPr>
            <w:tcW w:w="919" w:type="pct"/>
            <w:shd w:val="clear" w:color="auto" w:fill="auto"/>
            <w:noWrap/>
            <w:vAlign w:val="center"/>
          </w:tcPr>
          <w:p w14:paraId="59D1C499"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0.7083</w:t>
            </w:r>
          </w:p>
        </w:tc>
        <w:tc>
          <w:tcPr>
            <w:tcW w:w="861" w:type="pct"/>
            <w:shd w:val="clear" w:color="auto" w:fill="auto"/>
            <w:noWrap/>
            <w:vAlign w:val="center"/>
          </w:tcPr>
          <w:p w14:paraId="5F700EAD"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0.1629</w:t>
            </w:r>
          </w:p>
        </w:tc>
        <w:tc>
          <w:tcPr>
            <w:tcW w:w="890" w:type="pct"/>
            <w:shd w:val="clear" w:color="auto" w:fill="auto"/>
            <w:noWrap/>
            <w:vAlign w:val="center"/>
          </w:tcPr>
          <w:p w14:paraId="68EFEEAB"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14.3086</w:t>
            </w:r>
          </w:p>
        </w:tc>
        <w:tc>
          <w:tcPr>
            <w:tcW w:w="588" w:type="pct"/>
            <w:shd w:val="clear" w:color="auto" w:fill="auto"/>
            <w:noWrap/>
            <w:vAlign w:val="center"/>
          </w:tcPr>
          <w:p w14:paraId="57A3FE92"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18.702%</w:t>
            </w:r>
          </w:p>
        </w:tc>
        <w:tc>
          <w:tcPr>
            <w:tcW w:w="611" w:type="pct"/>
            <w:shd w:val="clear" w:color="auto" w:fill="auto"/>
            <w:noWrap/>
            <w:vAlign w:val="center"/>
          </w:tcPr>
          <w:p w14:paraId="496A08D2"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7.481%</w:t>
            </w:r>
          </w:p>
        </w:tc>
      </w:tr>
      <w:tr w:rsidR="00BA0176" w:rsidRPr="00FD52EE" w14:paraId="2CA08ABF" w14:textId="77777777" w:rsidTr="00C161B4">
        <w:trPr>
          <w:trHeight w:val="300"/>
        </w:trPr>
        <w:tc>
          <w:tcPr>
            <w:tcW w:w="431" w:type="pct"/>
            <w:shd w:val="clear" w:color="auto" w:fill="auto"/>
            <w:noWrap/>
            <w:vAlign w:val="center"/>
          </w:tcPr>
          <w:p w14:paraId="72BC32F1"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8361</w:t>
            </w:r>
          </w:p>
        </w:tc>
        <w:tc>
          <w:tcPr>
            <w:tcW w:w="698" w:type="pct"/>
            <w:shd w:val="clear" w:color="auto" w:fill="auto"/>
            <w:noWrap/>
            <w:vAlign w:val="center"/>
          </w:tcPr>
          <w:p w14:paraId="38FB3D7D"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29.10.2021</w:t>
            </w:r>
          </w:p>
        </w:tc>
        <w:tc>
          <w:tcPr>
            <w:tcW w:w="919" w:type="pct"/>
            <w:shd w:val="clear" w:color="auto" w:fill="auto"/>
            <w:noWrap/>
            <w:vAlign w:val="center"/>
          </w:tcPr>
          <w:p w14:paraId="1972BAA8"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0.6990</w:t>
            </w:r>
          </w:p>
        </w:tc>
        <w:tc>
          <w:tcPr>
            <w:tcW w:w="861" w:type="pct"/>
            <w:shd w:val="clear" w:color="auto" w:fill="auto"/>
            <w:noWrap/>
            <w:vAlign w:val="center"/>
          </w:tcPr>
          <w:p w14:paraId="616F7521"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0.1723</w:t>
            </w:r>
          </w:p>
        </w:tc>
        <w:tc>
          <w:tcPr>
            <w:tcW w:w="890" w:type="pct"/>
            <w:shd w:val="clear" w:color="auto" w:fill="auto"/>
            <w:noWrap/>
            <w:vAlign w:val="center"/>
          </w:tcPr>
          <w:p w14:paraId="0BED5260"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13.6309</w:t>
            </w:r>
          </w:p>
        </w:tc>
        <w:tc>
          <w:tcPr>
            <w:tcW w:w="588" w:type="pct"/>
            <w:shd w:val="clear" w:color="auto" w:fill="auto"/>
            <w:noWrap/>
            <w:vAlign w:val="center"/>
          </w:tcPr>
          <w:p w14:paraId="2A7DE91E"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19.772%</w:t>
            </w:r>
          </w:p>
        </w:tc>
        <w:tc>
          <w:tcPr>
            <w:tcW w:w="611" w:type="pct"/>
            <w:shd w:val="clear" w:color="auto" w:fill="auto"/>
            <w:noWrap/>
            <w:vAlign w:val="center"/>
          </w:tcPr>
          <w:p w14:paraId="3B64FF3D"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11.862%</w:t>
            </w:r>
          </w:p>
        </w:tc>
      </w:tr>
      <w:tr w:rsidR="00BA0176" w:rsidRPr="00FD52EE" w14:paraId="3C216B78" w14:textId="77777777" w:rsidTr="00C161B4">
        <w:trPr>
          <w:trHeight w:val="300"/>
        </w:trPr>
        <w:tc>
          <w:tcPr>
            <w:tcW w:w="431" w:type="pct"/>
            <w:shd w:val="clear" w:color="auto" w:fill="auto"/>
            <w:noWrap/>
            <w:vAlign w:val="center"/>
          </w:tcPr>
          <w:p w14:paraId="25F79515"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8679</w:t>
            </w:r>
          </w:p>
        </w:tc>
        <w:tc>
          <w:tcPr>
            <w:tcW w:w="698" w:type="pct"/>
            <w:shd w:val="clear" w:color="auto" w:fill="auto"/>
            <w:noWrap/>
            <w:vAlign w:val="center"/>
          </w:tcPr>
          <w:p w14:paraId="261F1C59"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30.10.2021</w:t>
            </w:r>
          </w:p>
        </w:tc>
        <w:tc>
          <w:tcPr>
            <w:tcW w:w="919" w:type="pct"/>
            <w:shd w:val="clear" w:color="auto" w:fill="auto"/>
            <w:noWrap/>
            <w:vAlign w:val="center"/>
          </w:tcPr>
          <w:p w14:paraId="128F5462"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0.7022</w:t>
            </w:r>
          </w:p>
        </w:tc>
        <w:tc>
          <w:tcPr>
            <w:tcW w:w="861" w:type="pct"/>
            <w:shd w:val="clear" w:color="auto" w:fill="auto"/>
            <w:noWrap/>
            <w:vAlign w:val="center"/>
          </w:tcPr>
          <w:p w14:paraId="1FA4E31C"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0.1691</w:t>
            </w:r>
          </w:p>
        </w:tc>
        <w:tc>
          <w:tcPr>
            <w:tcW w:w="890" w:type="pct"/>
            <w:shd w:val="clear" w:color="auto" w:fill="auto"/>
            <w:noWrap/>
            <w:vAlign w:val="center"/>
          </w:tcPr>
          <w:p w14:paraId="13A962CB"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13.4815</w:t>
            </w:r>
          </w:p>
        </w:tc>
        <w:tc>
          <w:tcPr>
            <w:tcW w:w="588" w:type="pct"/>
            <w:shd w:val="clear" w:color="auto" w:fill="auto"/>
            <w:noWrap/>
            <w:vAlign w:val="center"/>
          </w:tcPr>
          <w:p w14:paraId="643FD35F"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19.411%</w:t>
            </w:r>
          </w:p>
        </w:tc>
        <w:tc>
          <w:tcPr>
            <w:tcW w:w="611" w:type="pct"/>
            <w:shd w:val="clear" w:color="auto" w:fill="auto"/>
            <w:noWrap/>
            <w:vAlign w:val="center"/>
          </w:tcPr>
          <w:p w14:paraId="7F9CC43E"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12.828%</w:t>
            </w:r>
          </w:p>
        </w:tc>
      </w:tr>
      <w:tr w:rsidR="00BA0176" w:rsidRPr="00FD52EE" w14:paraId="378F0F35" w14:textId="77777777" w:rsidTr="00C161B4">
        <w:trPr>
          <w:trHeight w:val="300"/>
        </w:trPr>
        <w:tc>
          <w:tcPr>
            <w:tcW w:w="431" w:type="pct"/>
            <w:shd w:val="clear" w:color="auto" w:fill="auto"/>
            <w:noWrap/>
            <w:vAlign w:val="center"/>
          </w:tcPr>
          <w:p w14:paraId="6924B8A0"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9074</w:t>
            </w:r>
          </w:p>
        </w:tc>
        <w:tc>
          <w:tcPr>
            <w:tcW w:w="698" w:type="pct"/>
            <w:shd w:val="clear" w:color="auto" w:fill="auto"/>
            <w:noWrap/>
            <w:vAlign w:val="center"/>
          </w:tcPr>
          <w:p w14:paraId="40CBD0C1"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31.10.2021</w:t>
            </w:r>
          </w:p>
        </w:tc>
        <w:tc>
          <w:tcPr>
            <w:tcW w:w="919" w:type="pct"/>
            <w:shd w:val="clear" w:color="auto" w:fill="auto"/>
            <w:noWrap/>
            <w:vAlign w:val="center"/>
          </w:tcPr>
          <w:p w14:paraId="661454E7"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0.7434</w:t>
            </w:r>
          </w:p>
        </w:tc>
        <w:tc>
          <w:tcPr>
            <w:tcW w:w="861" w:type="pct"/>
            <w:shd w:val="clear" w:color="auto" w:fill="auto"/>
            <w:noWrap/>
            <w:vAlign w:val="center"/>
          </w:tcPr>
          <w:p w14:paraId="350A0520"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0.1279</w:t>
            </w:r>
          </w:p>
        </w:tc>
        <w:tc>
          <w:tcPr>
            <w:tcW w:w="890" w:type="pct"/>
            <w:shd w:val="clear" w:color="auto" w:fill="auto"/>
            <w:noWrap/>
            <w:vAlign w:val="center"/>
          </w:tcPr>
          <w:p w14:paraId="5C7362FB"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9.7384</w:t>
            </w:r>
          </w:p>
        </w:tc>
        <w:tc>
          <w:tcPr>
            <w:tcW w:w="588" w:type="pct"/>
            <w:shd w:val="clear" w:color="auto" w:fill="auto"/>
            <w:noWrap/>
            <w:vAlign w:val="center"/>
          </w:tcPr>
          <w:p w14:paraId="51A92687"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14.680%</w:t>
            </w:r>
          </w:p>
        </w:tc>
        <w:tc>
          <w:tcPr>
            <w:tcW w:w="611" w:type="pct"/>
            <w:shd w:val="clear" w:color="auto" w:fill="auto"/>
            <w:noWrap/>
            <w:vAlign w:val="center"/>
          </w:tcPr>
          <w:p w14:paraId="6137DFBC"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37.032%</w:t>
            </w:r>
          </w:p>
        </w:tc>
      </w:tr>
      <w:tr w:rsidR="00BA0176" w:rsidRPr="00FD52EE" w14:paraId="34E5986E" w14:textId="77777777" w:rsidTr="00C161B4">
        <w:trPr>
          <w:trHeight w:val="300"/>
        </w:trPr>
        <w:tc>
          <w:tcPr>
            <w:tcW w:w="431" w:type="pct"/>
            <w:shd w:val="clear" w:color="auto" w:fill="auto"/>
            <w:noWrap/>
            <w:vAlign w:val="center"/>
          </w:tcPr>
          <w:p w14:paraId="06472AEA"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9304</w:t>
            </w:r>
          </w:p>
        </w:tc>
        <w:tc>
          <w:tcPr>
            <w:tcW w:w="698" w:type="pct"/>
            <w:shd w:val="clear" w:color="auto" w:fill="auto"/>
            <w:noWrap/>
            <w:vAlign w:val="center"/>
          </w:tcPr>
          <w:p w14:paraId="7346117F"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1.11.2021</w:t>
            </w:r>
          </w:p>
        </w:tc>
        <w:tc>
          <w:tcPr>
            <w:tcW w:w="919" w:type="pct"/>
            <w:shd w:val="clear" w:color="auto" w:fill="auto"/>
            <w:noWrap/>
            <w:vAlign w:val="center"/>
          </w:tcPr>
          <w:p w14:paraId="621A21B5"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0.7241</w:t>
            </w:r>
          </w:p>
        </w:tc>
        <w:tc>
          <w:tcPr>
            <w:tcW w:w="861" w:type="pct"/>
            <w:shd w:val="clear" w:color="auto" w:fill="auto"/>
            <w:noWrap/>
            <w:vAlign w:val="center"/>
          </w:tcPr>
          <w:p w14:paraId="1F8BFE3D"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0.1472</w:t>
            </w:r>
          </w:p>
        </w:tc>
        <w:tc>
          <w:tcPr>
            <w:tcW w:w="890" w:type="pct"/>
            <w:shd w:val="clear" w:color="auto" w:fill="auto"/>
            <w:noWrap/>
            <w:vAlign w:val="center"/>
          </w:tcPr>
          <w:p w14:paraId="58A529B3"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13.2870</w:t>
            </w:r>
          </w:p>
        </w:tc>
        <w:tc>
          <w:tcPr>
            <w:tcW w:w="588" w:type="pct"/>
            <w:shd w:val="clear" w:color="auto" w:fill="auto"/>
            <w:noWrap/>
            <w:vAlign w:val="center"/>
          </w:tcPr>
          <w:p w14:paraId="533D9310"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16.895%</w:t>
            </w:r>
          </w:p>
        </w:tc>
        <w:tc>
          <w:tcPr>
            <w:tcW w:w="611" w:type="pct"/>
            <w:shd w:val="clear" w:color="auto" w:fill="auto"/>
            <w:noWrap/>
            <w:vAlign w:val="center"/>
          </w:tcPr>
          <w:p w14:paraId="7C3FC13F"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14.086%</w:t>
            </w:r>
          </w:p>
        </w:tc>
      </w:tr>
      <w:tr w:rsidR="00BA0176" w:rsidRPr="00FD52EE" w14:paraId="40190CB7" w14:textId="77777777" w:rsidTr="00C161B4">
        <w:trPr>
          <w:trHeight w:val="300"/>
        </w:trPr>
        <w:tc>
          <w:tcPr>
            <w:tcW w:w="5000" w:type="pct"/>
            <w:gridSpan w:val="7"/>
            <w:shd w:val="clear" w:color="auto" w:fill="auto"/>
            <w:noWrap/>
            <w:vAlign w:val="center"/>
          </w:tcPr>
          <w:p w14:paraId="67158841"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rFonts w:eastAsia="Times New Roman" w:cs="Calibri"/>
                <w:color w:val="000000"/>
                <w:sz w:val="20"/>
                <w:szCs w:val="20"/>
                <w:lang w:val="sr-Latn-RS" w:eastAsia="sr-Latn-RS"/>
              </w:rPr>
              <w:t>...</w:t>
            </w:r>
          </w:p>
        </w:tc>
      </w:tr>
      <w:tr w:rsidR="00BA0176" w:rsidRPr="00FD52EE" w14:paraId="08DC2EAC" w14:textId="77777777" w:rsidTr="00C161B4">
        <w:trPr>
          <w:trHeight w:val="300"/>
        </w:trPr>
        <w:tc>
          <w:tcPr>
            <w:tcW w:w="431" w:type="pct"/>
            <w:shd w:val="clear" w:color="auto" w:fill="auto"/>
            <w:noWrap/>
            <w:vAlign w:val="center"/>
          </w:tcPr>
          <w:p w14:paraId="1C099FED" w14:textId="77777777" w:rsidR="00BA0176" w:rsidRPr="00FD52EE" w:rsidRDefault="00BA0176" w:rsidP="00C161B4">
            <w:pPr>
              <w:spacing w:before="0" w:after="0"/>
              <w:jc w:val="center"/>
              <w:rPr>
                <w:sz w:val="20"/>
                <w:szCs w:val="20"/>
              </w:rPr>
            </w:pPr>
            <w:r w:rsidRPr="00FD52EE">
              <w:rPr>
                <w:sz w:val="20"/>
                <w:szCs w:val="20"/>
              </w:rPr>
              <w:t>12432</w:t>
            </w:r>
          </w:p>
        </w:tc>
        <w:tc>
          <w:tcPr>
            <w:tcW w:w="698" w:type="pct"/>
            <w:shd w:val="clear" w:color="auto" w:fill="auto"/>
            <w:noWrap/>
            <w:vAlign w:val="center"/>
          </w:tcPr>
          <w:p w14:paraId="3848F99A" w14:textId="77777777" w:rsidR="00BA0176" w:rsidRPr="00FD52EE" w:rsidRDefault="00BA0176" w:rsidP="00C161B4">
            <w:pPr>
              <w:spacing w:before="0" w:after="0"/>
              <w:jc w:val="center"/>
              <w:rPr>
                <w:sz w:val="20"/>
                <w:szCs w:val="20"/>
              </w:rPr>
            </w:pPr>
            <w:r w:rsidRPr="00FD52EE">
              <w:rPr>
                <w:sz w:val="20"/>
                <w:szCs w:val="20"/>
              </w:rPr>
              <w:t>11.11.2021</w:t>
            </w:r>
          </w:p>
        </w:tc>
        <w:tc>
          <w:tcPr>
            <w:tcW w:w="919" w:type="pct"/>
            <w:shd w:val="clear" w:color="auto" w:fill="auto"/>
            <w:noWrap/>
            <w:vAlign w:val="center"/>
          </w:tcPr>
          <w:p w14:paraId="629C4CC1"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0.6948</w:t>
            </w:r>
          </w:p>
        </w:tc>
        <w:tc>
          <w:tcPr>
            <w:tcW w:w="861" w:type="pct"/>
            <w:shd w:val="clear" w:color="auto" w:fill="auto"/>
            <w:noWrap/>
            <w:vAlign w:val="center"/>
          </w:tcPr>
          <w:p w14:paraId="213970B7"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0.1765</w:t>
            </w:r>
          </w:p>
        </w:tc>
        <w:tc>
          <w:tcPr>
            <w:tcW w:w="890" w:type="pct"/>
            <w:shd w:val="clear" w:color="auto" w:fill="auto"/>
            <w:noWrap/>
            <w:vAlign w:val="center"/>
          </w:tcPr>
          <w:p w14:paraId="33A5E5D6"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14.1383</w:t>
            </w:r>
          </w:p>
        </w:tc>
        <w:tc>
          <w:tcPr>
            <w:tcW w:w="588" w:type="pct"/>
            <w:shd w:val="clear" w:color="auto" w:fill="auto"/>
            <w:noWrap/>
            <w:vAlign w:val="center"/>
          </w:tcPr>
          <w:p w14:paraId="7E6F15E9"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20.261%</w:t>
            </w:r>
          </w:p>
        </w:tc>
        <w:tc>
          <w:tcPr>
            <w:tcW w:w="611" w:type="pct"/>
            <w:shd w:val="clear" w:color="auto" w:fill="auto"/>
            <w:noWrap/>
            <w:vAlign w:val="center"/>
          </w:tcPr>
          <w:p w14:paraId="06A87D51"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8.581%</w:t>
            </w:r>
          </w:p>
        </w:tc>
      </w:tr>
      <w:tr w:rsidR="00BA0176" w:rsidRPr="00FD52EE" w14:paraId="2D2C50FC" w14:textId="77777777" w:rsidTr="00C161B4">
        <w:trPr>
          <w:trHeight w:val="300"/>
        </w:trPr>
        <w:tc>
          <w:tcPr>
            <w:tcW w:w="431" w:type="pct"/>
            <w:shd w:val="clear" w:color="auto" w:fill="auto"/>
            <w:noWrap/>
            <w:vAlign w:val="center"/>
          </w:tcPr>
          <w:p w14:paraId="01F73057" w14:textId="77777777" w:rsidR="00BA0176" w:rsidRPr="00FD52EE" w:rsidRDefault="00BA0176" w:rsidP="00C161B4">
            <w:pPr>
              <w:spacing w:before="0" w:after="0"/>
              <w:jc w:val="center"/>
              <w:rPr>
                <w:sz w:val="20"/>
                <w:szCs w:val="20"/>
              </w:rPr>
            </w:pPr>
            <w:r w:rsidRPr="00FD52EE">
              <w:rPr>
                <w:sz w:val="20"/>
                <w:szCs w:val="20"/>
              </w:rPr>
              <w:t>12951</w:t>
            </w:r>
          </w:p>
        </w:tc>
        <w:tc>
          <w:tcPr>
            <w:tcW w:w="698" w:type="pct"/>
            <w:shd w:val="clear" w:color="auto" w:fill="auto"/>
            <w:noWrap/>
            <w:vAlign w:val="center"/>
          </w:tcPr>
          <w:p w14:paraId="03062165" w14:textId="77777777" w:rsidR="00BA0176" w:rsidRPr="00FD52EE" w:rsidRDefault="00BA0176" w:rsidP="00C161B4">
            <w:pPr>
              <w:spacing w:before="0" w:after="0"/>
              <w:jc w:val="center"/>
              <w:rPr>
                <w:sz w:val="20"/>
                <w:szCs w:val="20"/>
              </w:rPr>
            </w:pPr>
            <w:r w:rsidRPr="00FD52EE">
              <w:rPr>
                <w:sz w:val="20"/>
                <w:szCs w:val="20"/>
              </w:rPr>
              <w:t>12.11.2021</w:t>
            </w:r>
          </w:p>
        </w:tc>
        <w:tc>
          <w:tcPr>
            <w:tcW w:w="919" w:type="pct"/>
            <w:shd w:val="clear" w:color="auto" w:fill="auto"/>
            <w:noWrap/>
            <w:vAlign w:val="center"/>
          </w:tcPr>
          <w:p w14:paraId="1D3BE47B"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0.6869</w:t>
            </w:r>
          </w:p>
        </w:tc>
        <w:tc>
          <w:tcPr>
            <w:tcW w:w="861" w:type="pct"/>
            <w:shd w:val="clear" w:color="auto" w:fill="auto"/>
            <w:noWrap/>
            <w:vAlign w:val="center"/>
          </w:tcPr>
          <w:p w14:paraId="1DB9036B"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0.1844</w:t>
            </w:r>
          </w:p>
        </w:tc>
        <w:tc>
          <w:tcPr>
            <w:tcW w:w="890" w:type="pct"/>
            <w:shd w:val="clear" w:color="auto" w:fill="auto"/>
            <w:noWrap/>
            <w:vAlign w:val="center"/>
          </w:tcPr>
          <w:p w14:paraId="5DC4EFAB"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8.8952</w:t>
            </w:r>
          </w:p>
        </w:tc>
        <w:tc>
          <w:tcPr>
            <w:tcW w:w="588" w:type="pct"/>
            <w:shd w:val="clear" w:color="auto" w:fill="auto"/>
            <w:noWrap/>
            <w:vAlign w:val="center"/>
          </w:tcPr>
          <w:p w14:paraId="672B5E1E"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21.165%</w:t>
            </w:r>
          </w:p>
        </w:tc>
        <w:tc>
          <w:tcPr>
            <w:tcW w:w="611" w:type="pct"/>
            <w:shd w:val="clear" w:color="auto" w:fill="auto"/>
            <w:noWrap/>
            <w:vAlign w:val="center"/>
          </w:tcPr>
          <w:p w14:paraId="05C68D6D"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42.484%</w:t>
            </w:r>
          </w:p>
        </w:tc>
      </w:tr>
      <w:tr w:rsidR="00BA0176" w:rsidRPr="00FD52EE" w14:paraId="6471FC24" w14:textId="77777777" w:rsidTr="00C161B4">
        <w:trPr>
          <w:trHeight w:val="300"/>
        </w:trPr>
        <w:tc>
          <w:tcPr>
            <w:tcW w:w="431" w:type="pct"/>
            <w:shd w:val="clear" w:color="auto" w:fill="auto"/>
            <w:noWrap/>
            <w:vAlign w:val="center"/>
          </w:tcPr>
          <w:p w14:paraId="182BAAD7" w14:textId="77777777" w:rsidR="00BA0176" w:rsidRPr="00FD52EE" w:rsidRDefault="00BA0176" w:rsidP="00C161B4">
            <w:pPr>
              <w:spacing w:before="0" w:after="0"/>
              <w:jc w:val="center"/>
              <w:rPr>
                <w:sz w:val="20"/>
                <w:szCs w:val="20"/>
              </w:rPr>
            </w:pPr>
            <w:r w:rsidRPr="00FD52EE">
              <w:rPr>
                <w:sz w:val="20"/>
                <w:szCs w:val="20"/>
              </w:rPr>
              <w:t>13232</w:t>
            </w:r>
          </w:p>
        </w:tc>
        <w:tc>
          <w:tcPr>
            <w:tcW w:w="698" w:type="pct"/>
            <w:shd w:val="clear" w:color="auto" w:fill="auto"/>
            <w:noWrap/>
            <w:vAlign w:val="center"/>
          </w:tcPr>
          <w:p w14:paraId="5E45C508" w14:textId="77777777" w:rsidR="00BA0176" w:rsidRPr="00FD52EE" w:rsidRDefault="00BA0176" w:rsidP="00C161B4">
            <w:pPr>
              <w:spacing w:before="0" w:after="0"/>
              <w:jc w:val="center"/>
              <w:rPr>
                <w:sz w:val="20"/>
                <w:szCs w:val="20"/>
              </w:rPr>
            </w:pPr>
            <w:r w:rsidRPr="00FD52EE">
              <w:rPr>
                <w:sz w:val="20"/>
                <w:szCs w:val="20"/>
              </w:rPr>
              <w:t>13.11.2021</w:t>
            </w:r>
          </w:p>
        </w:tc>
        <w:tc>
          <w:tcPr>
            <w:tcW w:w="919" w:type="pct"/>
            <w:shd w:val="clear" w:color="auto" w:fill="auto"/>
            <w:noWrap/>
            <w:vAlign w:val="center"/>
          </w:tcPr>
          <w:p w14:paraId="35A4B653"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0.6643</w:t>
            </w:r>
          </w:p>
        </w:tc>
        <w:tc>
          <w:tcPr>
            <w:tcW w:w="861" w:type="pct"/>
            <w:shd w:val="clear" w:color="auto" w:fill="auto"/>
            <w:noWrap/>
            <w:vAlign w:val="center"/>
          </w:tcPr>
          <w:p w14:paraId="0AF34FA5"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0.2070</w:t>
            </w:r>
          </w:p>
        </w:tc>
        <w:tc>
          <w:tcPr>
            <w:tcW w:w="890" w:type="pct"/>
            <w:shd w:val="clear" w:color="auto" w:fill="auto"/>
            <w:noWrap/>
            <w:vAlign w:val="center"/>
          </w:tcPr>
          <w:p w14:paraId="334316FA"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13.4187</w:t>
            </w:r>
          </w:p>
        </w:tc>
        <w:tc>
          <w:tcPr>
            <w:tcW w:w="588" w:type="pct"/>
            <w:shd w:val="clear" w:color="auto" w:fill="auto"/>
            <w:noWrap/>
            <w:vAlign w:val="center"/>
          </w:tcPr>
          <w:p w14:paraId="2FD54AD7"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23.758%</w:t>
            </w:r>
          </w:p>
        </w:tc>
        <w:tc>
          <w:tcPr>
            <w:tcW w:w="611" w:type="pct"/>
            <w:shd w:val="clear" w:color="auto" w:fill="auto"/>
            <w:noWrap/>
            <w:vAlign w:val="center"/>
          </w:tcPr>
          <w:p w14:paraId="24A4E1AA"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13.235%</w:t>
            </w:r>
          </w:p>
        </w:tc>
      </w:tr>
      <w:tr w:rsidR="00BA0176" w:rsidRPr="00FD52EE" w14:paraId="28E83DEB" w14:textId="77777777" w:rsidTr="00C161B4">
        <w:trPr>
          <w:trHeight w:val="300"/>
        </w:trPr>
        <w:tc>
          <w:tcPr>
            <w:tcW w:w="431" w:type="pct"/>
            <w:shd w:val="clear" w:color="auto" w:fill="auto"/>
            <w:noWrap/>
            <w:vAlign w:val="center"/>
          </w:tcPr>
          <w:p w14:paraId="03E2D290" w14:textId="77777777" w:rsidR="00BA0176" w:rsidRPr="00FD52EE" w:rsidRDefault="00BA0176" w:rsidP="00C161B4">
            <w:pPr>
              <w:spacing w:before="0" w:after="0"/>
              <w:jc w:val="center"/>
              <w:rPr>
                <w:sz w:val="20"/>
                <w:szCs w:val="20"/>
              </w:rPr>
            </w:pPr>
            <w:r w:rsidRPr="00FD52EE">
              <w:rPr>
                <w:sz w:val="20"/>
                <w:szCs w:val="20"/>
              </w:rPr>
              <w:t>13760</w:t>
            </w:r>
          </w:p>
        </w:tc>
        <w:tc>
          <w:tcPr>
            <w:tcW w:w="698" w:type="pct"/>
            <w:shd w:val="clear" w:color="auto" w:fill="auto"/>
            <w:noWrap/>
            <w:vAlign w:val="center"/>
          </w:tcPr>
          <w:p w14:paraId="2FB49DDA" w14:textId="77777777" w:rsidR="00BA0176" w:rsidRPr="00FD52EE" w:rsidRDefault="00BA0176" w:rsidP="00C161B4">
            <w:pPr>
              <w:spacing w:before="0" w:after="0"/>
              <w:jc w:val="center"/>
              <w:rPr>
                <w:sz w:val="20"/>
                <w:szCs w:val="20"/>
              </w:rPr>
            </w:pPr>
            <w:r w:rsidRPr="00FD52EE">
              <w:rPr>
                <w:sz w:val="20"/>
                <w:szCs w:val="20"/>
              </w:rPr>
              <w:t>14.11.2021</w:t>
            </w:r>
          </w:p>
        </w:tc>
        <w:tc>
          <w:tcPr>
            <w:tcW w:w="919" w:type="pct"/>
            <w:shd w:val="clear" w:color="auto" w:fill="auto"/>
            <w:noWrap/>
            <w:vAlign w:val="center"/>
          </w:tcPr>
          <w:p w14:paraId="3F188F3C"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0.6594</w:t>
            </w:r>
          </w:p>
        </w:tc>
        <w:tc>
          <w:tcPr>
            <w:tcW w:w="861" w:type="pct"/>
            <w:shd w:val="clear" w:color="auto" w:fill="auto"/>
            <w:noWrap/>
            <w:vAlign w:val="center"/>
          </w:tcPr>
          <w:p w14:paraId="2C3BBEE0"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0.2119</w:t>
            </w:r>
          </w:p>
        </w:tc>
        <w:tc>
          <w:tcPr>
            <w:tcW w:w="890" w:type="pct"/>
            <w:shd w:val="clear" w:color="auto" w:fill="auto"/>
            <w:noWrap/>
            <w:vAlign w:val="center"/>
          </w:tcPr>
          <w:p w14:paraId="0B165532"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12.4629</w:t>
            </w:r>
          </w:p>
        </w:tc>
        <w:tc>
          <w:tcPr>
            <w:tcW w:w="588" w:type="pct"/>
            <w:shd w:val="clear" w:color="auto" w:fill="auto"/>
            <w:noWrap/>
            <w:vAlign w:val="center"/>
          </w:tcPr>
          <w:p w14:paraId="72CF0D04"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24.318%</w:t>
            </w:r>
          </w:p>
        </w:tc>
        <w:tc>
          <w:tcPr>
            <w:tcW w:w="611" w:type="pct"/>
            <w:shd w:val="clear" w:color="auto" w:fill="auto"/>
            <w:noWrap/>
            <w:vAlign w:val="center"/>
          </w:tcPr>
          <w:p w14:paraId="0C3358F4"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19.415%</w:t>
            </w:r>
          </w:p>
        </w:tc>
      </w:tr>
      <w:tr w:rsidR="00BA0176" w:rsidRPr="00FD52EE" w14:paraId="22A4FB1C" w14:textId="77777777" w:rsidTr="00C161B4">
        <w:trPr>
          <w:trHeight w:val="300"/>
        </w:trPr>
        <w:tc>
          <w:tcPr>
            <w:tcW w:w="431" w:type="pct"/>
            <w:shd w:val="clear" w:color="auto" w:fill="auto"/>
            <w:noWrap/>
            <w:vAlign w:val="center"/>
          </w:tcPr>
          <w:p w14:paraId="709C1977" w14:textId="77777777" w:rsidR="00BA0176" w:rsidRPr="00FD52EE" w:rsidRDefault="00BA0176" w:rsidP="00C161B4">
            <w:pPr>
              <w:spacing w:before="0" w:after="0"/>
              <w:jc w:val="center"/>
              <w:rPr>
                <w:sz w:val="20"/>
                <w:szCs w:val="20"/>
              </w:rPr>
            </w:pPr>
            <w:r w:rsidRPr="00FD52EE">
              <w:rPr>
                <w:sz w:val="20"/>
                <w:szCs w:val="20"/>
              </w:rPr>
              <w:t>14021</w:t>
            </w:r>
          </w:p>
        </w:tc>
        <w:tc>
          <w:tcPr>
            <w:tcW w:w="698" w:type="pct"/>
            <w:shd w:val="clear" w:color="auto" w:fill="auto"/>
            <w:noWrap/>
            <w:vAlign w:val="center"/>
          </w:tcPr>
          <w:p w14:paraId="2F89D3CE" w14:textId="77777777" w:rsidR="00BA0176" w:rsidRPr="00FD52EE" w:rsidRDefault="00BA0176" w:rsidP="00C161B4">
            <w:pPr>
              <w:spacing w:before="0" w:after="0"/>
              <w:jc w:val="center"/>
              <w:rPr>
                <w:sz w:val="20"/>
                <w:szCs w:val="20"/>
              </w:rPr>
            </w:pPr>
            <w:r w:rsidRPr="00FD52EE">
              <w:rPr>
                <w:sz w:val="20"/>
                <w:szCs w:val="20"/>
              </w:rPr>
              <w:t>15.11.2021</w:t>
            </w:r>
          </w:p>
        </w:tc>
        <w:tc>
          <w:tcPr>
            <w:tcW w:w="919" w:type="pct"/>
            <w:shd w:val="clear" w:color="auto" w:fill="auto"/>
            <w:noWrap/>
            <w:vAlign w:val="center"/>
          </w:tcPr>
          <w:p w14:paraId="558F5D20"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0.6737</w:t>
            </w:r>
          </w:p>
        </w:tc>
        <w:tc>
          <w:tcPr>
            <w:tcW w:w="861" w:type="pct"/>
            <w:shd w:val="clear" w:color="auto" w:fill="auto"/>
            <w:noWrap/>
            <w:vAlign w:val="center"/>
          </w:tcPr>
          <w:p w14:paraId="77F485EA"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0.1976</w:t>
            </w:r>
          </w:p>
        </w:tc>
        <w:tc>
          <w:tcPr>
            <w:tcW w:w="890" w:type="pct"/>
            <w:shd w:val="clear" w:color="auto" w:fill="auto"/>
            <w:noWrap/>
            <w:vAlign w:val="center"/>
          </w:tcPr>
          <w:p w14:paraId="7AC2546C"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11.1492</w:t>
            </w:r>
          </w:p>
        </w:tc>
        <w:tc>
          <w:tcPr>
            <w:tcW w:w="588" w:type="pct"/>
            <w:shd w:val="clear" w:color="auto" w:fill="auto"/>
            <w:noWrap/>
            <w:vAlign w:val="center"/>
          </w:tcPr>
          <w:p w14:paraId="0C2D9B2A"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22.682%</w:t>
            </w:r>
          </w:p>
        </w:tc>
        <w:tc>
          <w:tcPr>
            <w:tcW w:w="611" w:type="pct"/>
            <w:shd w:val="clear" w:color="auto" w:fill="auto"/>
            <w:noWrap/>
            <w:vAlign w:val="center"/>
          </w:tcPr>
          <w:p w14:paraId="4CA64B56"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27.909%</w:t>
            </w:r>
          </w:p>
        </w:tc>
      </w:tr>
      <w:tr w:rsidR="00BA0176" w:rsidRPr="00FD52EE" w14:paraId="52F3648E" w14:textId="77777777" w:rsidTr="00C161B4">
        <w:trPr>
          <w:trHeight w:val="300"/>
        </w:trPr>
        <w:tc>
          <w:tcPr>
            <w:tcW w:w="431" w:type="pct"/>
            <w:shd w:val="clear" w:color="auto" w:fill="auto"/>
            <w:noWrap/>
            <w:vAlign w:val="center"/>
          </w:tcPr>
          <w:p w14:paraId="2E4224FC" w14:textId="77777777" w:rsidR="00BA0176" w:rsidRPr="00FD52EE" w:rsidRDefault="00BA0176" w:rsidP="00C161B4">
            <w:pPr>
              <w:spacing w:before="0" w:after="0"/>
              <w:jc w:val="center"/>
              <w:rPr>
                <w:sz w:val="20"/>
                <w:szCs w:val="20"/>
              </w:rPr>
            </w:pPr>
            <w:r w:rsidRPr="00FD52EE">
              <w:rPr>
                <w:sz w:val="20"/>
                <w:szCs w:val="20"/>
              </w:rPr>
              <w:t>14547</w:t>
            </w:r>
          </w:p>
        </w:tc>
        <w:tc>
          <w:tcPr>
            <w:tcW w:w="698" w:type="pct"/>
            <w:shd w:val="clear" w:color="auto" w:fill="auto"/>
            <w:noWrap/>
            <w:vAlign w:val="center"/>
          </w:tcPr>
          <w:p w14:paraId="3A9199C9" w14:textId="77777777" w:rsidR="00BA0176" w:rsidRPr="00FD52EE" w:rsidRDefault="00BA0176" w:rsidP="00C161B4">
            <w:pPr>
              <w:spacing w:before="0" w:after="0"/>
              <w:jc w:val="center"/>
              <w:rPr>
                <w:sz w:val="20"/>
                <w:szCs w:val="20"/>
              </w:rPr>
            </w:pPr>
            <w:r w:rsidRPr="00FD52EE">
              <w:rPr>
                <w:sz w:val="20"/>
                <w:szCs w:val="20"/>
              </w:rPr>
              <w:t>16.11.2021</w:t>
            </w:r>
          </w:p>
        </w:tc>
        <w:tc>
          <w:tcPr>
            <w:tcW w:w="919" w:type="pct"/>
            <w:shd w:val="clear" w:color="auto" w:fill="auto"/>
            <w:noWrap/>
            <w:vAlign w:val="center"/>
          </w:tcPr>
          <w:p w14:paraId="7EC57D5F"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0.6699</w:t>
            </w:r>
          </w:p>
        </w:tc>
        <w:tc>
          <w:tcPr>
            <w:tcW w:w="861" w:type="pct"/>
            <w:shd w:val="clear" w:color="auto" w:fill="auto"/>
            <w:noWrap/>
            <w:vAlign w:val="center"/>
          </w:tcPr>
          <w:p w14:paraId="79679F0B"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0.2014</w:t>
            </w:r>
          </w:p>
        </w:tc>
        <w:tc>
          <w:tcPr>
            <w:tcW w:w="890" w:type="pct"/>
            <w:shd w:val="clear" w:color="auto" w:fill="auto"/>
            <w:noWrap/>
            <w:vAlign w:val="center"/>
          </w:tcPr>
          <w:p w14:paraId="174D5AD1"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14.3351</w:t>
            </w:r>
          </w:p>
        </w:tc>
        <w:tc>
          <w:tcPr>
            <w:tcW w:w="588" w:type="pct"/>
            <w:shd w:val="clear" w:color="auto" w:fill="auto"/>
            <w:noWrap/>
            <w:vAlign w:val="center"/>
          </w:tcPr>
          <w:p w14:paraId="0DA1B41C"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23.118%</w:t>
            </w:r>
          </w:p>
        </w:tc>
        <w:tc>
          <w:tcPr>
            <w:tcW w:w="611" w:type="pct"/>
            <w:shd w:val="clear" w:color="auto" w:fill="auto"/>
            <w:noWrap/>
            <w:vAlign w:val="center"/>
          </w:tcPr>
          <w:p w14:paraId="0F8741C9"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7.309%</w:t>
            </w:r>
          </w:p>
        </w:tc>
      </w:tr>
      <w:tr w:rsidR="00BA0176" w:rsidRPr="00FD52EE" w14:paraId="4BA4AB8D" w14:textId="77777777" w:rsidTr="00C161B4">
        <w:trPr>
          <w:trHeight w:val="300"/>
        </w:trPr>
        <w:tc>
          <w:tcPr>
            <w:tcW w:w="431" w:type="pct"/>
            <w:shd w:val="clear" w:color="auto" w:fill="auto"/>
            <w:noWrap/>
            <w:vAlign w:val="center"/>
          </w:tcPr>
          <w:p w14:paraId="5E657FB0" w14:textId="77777777" w:rsidR="00BA0176" w:rsidRPr="00FD52EE" w:rsidRDefault="00BA0176" w:rsidP="00C161B4">
            <w:pPr>
              <w:spacing w:before="0" w:after="0"/>
              <w:jc w:val="center"/>
              <w:rPr>
                <w:sz w:val="20"/>
                <w:szCs w:val="20"/>
              </w:rPr>
            </w:pPr>
            <w:r w:rsidRPr="00FD52EE">
              <w:rPr>
                <w:sz w:val="20"/>
                <w:szCs w:val="20"/>
              </w:rPr>
              <w:t>14901</w:t>
            </w:r>
          </w:p>
        </w:tc>
        <w:tc>
          <w:tcPr>
            <w:tcW w:w="698" w:type="pct"/>
            <w:shd w:val="clear" w:color="auto" w:fill="auto"/>
            <w:noWrap/>
            <w:vAlign w:val="center"/>
          </w:tcPr>
          <w:p w14:paraId="76E0768C" w14:textId="77777777" w:rsidR="00BA0176" w:rsidRPr="00FD52EE" w:rsidRDefault="00BA0176" w:rsidP="00C161B4">
            <w:pPr>
              <w:spacing w:before="0" w:after="0"/>
              <w:jc w:val="center"/>
              <w:rPr>
                <w:sz w:val="20"/>
                <w:szCs w:val="20"/>
              </w:rPr>
            </w:pPr>
            <w:r w:rsidRPr="00FD52EE">
              <w:rPr>
                <w:sz w:val="20"/>
                <w:szCs w:val="20"/>
              </w:rPr>
              <w:t>17.11.2021</w:t>
            </w:r>
          </w:p>
        </w:tc>
        <w:tc>
          <w:tcPr>
            <w:tcW w:w="919" w:type="pct"/>
            <w:shd w:val="clear" w:color="auto" w:fill="auto"/>
            <w:noWrap/>
            <w:vAlign w:val="center"/>
          </w:tcPr>
          <w:p w14:paraId="1C30E37B"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0.6739</w:t>
            </w:r>
          </w:p>
        </w:tc>
        <w:tc>
          <w:tcPr>
            <w:tcW w:w="861" w:type="pct"/>
            <w:shd w:val="clear" w:color="auto" w:fill="auto"/>
            <w:noWrap/>
            <w:vAlign w:val="center"/>
          </w:tcPr>
          <w:p w14:paraId="1A939AA9"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0.1974</w:t>
            </w:r>
          </w:p>
        </w:tc>
        <w:tc>
          <w:tcPr>
            <w:tcW w:w="890" w:type="pct"/>
            <w:shd w:val="clear" w:color="auto" w:fill="auto"/>
            <w:noWrap/>
            <w:vAlign w:val="center"/>
          </w:tcPr>
          <w:p w14:paraId="2BA108FB"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14.0850</w:t>
            </w:r>
          </w:p>
        </w:tc>
        <w:tc>
          <w:tcPr>
            <w:tcW w:w="588" w:type="pct"/>
            <w:shd w:val="clear" w:color="auto" w:fill="auto"/>
            <w:noWrap/>
            <w:vAlign w:val="center"/>
          </w:tcPr>
          <w:p w14:paraId="5BE258E1"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22.652%</w:t>
            </w:r>
          </w:p>
        </w:tc>
        <w:tc>
          <w:tcPr>
            <w:tcW w:w="611" w:type="pct"/>
            <w:shd w:val="clear" w:color="auto" w:fill="auto"/>
            <w:noWrap/>
            <w:vAlign w:val="center"/>
          </w:tcPr>
          <w:p w14:paraId="15788576"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8.926%</w:t>
            </w:r>
          </w:p>
        </w:tc>
      </w:tr>
      <w:tr w:rsidR="00BA0176" w:rsidRPr="00FD52EE" w14:paraId="13CC73CC" w14:textId="77777777" w:rsidTr="00C161B4">
        <w:trPr>
          <w:trHeight w:val="300"/>
        </w:trPr>
        <w:tc>
          <w:tcPr>
            <w:tcW w:w="431" w:type="pct"/>
            <w:shd w:val="clear" w:color="auto" w:fill="auto"/>
            <w:noWrap/>
            <w:vAlign w:val="center"/>
          </w:tcPr>
          <w:p w14:paraId="07561618" w14:textId="77777777" w:rsidR="00BA0176" w:rsidRPr="00FD52EE" w:rsidRDefault="00BA0176" w:rsidP="00C161B4">
            <w:pPr>
              <w:spacing w:before="0" w:after="0"/>
              <w:jc w:val="center"/>
              <w:rPr>
                <w:sz w:val="20"/>
                <w:szCs w:val="20"/>
              </w:rPr>
            </w:pPr>
            <w:r w:rsidRPr="00FD52EE">
              <w:rPr>
                <w:sz w:val="20"/>
                <w:szCs w:val="20"/>
              </w:rPr>
              <w:t>15256</w:t>
            </w:r>
          </w:p>
        </w:tc>
        <w:tc>
          <w:tcPr>
            <w:tcW w:w="698" w:type="pct"/>
            <w:shd w:val="clear" w:color="auto" w:fill="auto"/>
            <w:noWrap/>
            <w:vAlign w:val="center"/>
          </w:tcPr>
          <w:p w14:paraId="0C9A5058" w14:textId="77777777" w:rsidR="00BA0176" w:rsidRPr="00FD52EE" w:rsidRDefault="00BA0176" w:rsidP="00C161B4">
            <w:pPr>
              <w:spacing w:before="0" w:after="0"/>
              <w:jc w:val="center"/>
              <w:rPr>
                <w:sz w:val="20"/>
                <w:szCs w:val="20"/>
              </w:rPr>
            </w:pPr>
            <w:r w:rsidRPr="00FD52EE">
              <w:rPr>
                <w:sz w:val="20"/>
                <w:szCs w:val="20"/>
              </w:rPr>
              <w:t>18.11.2021</w:t>
            </w:r>
          </w:p>
        </w:tc>
        <w:tc>
          <w:tcPr>
            <w:tcW w:w="919" w:type="pct"/>
            <w:shd w:val="clear" w:color="auto" w:fill="auto"/>
            <w:noWrap/>
            <w:vAlign w:val="center"/>
          </w:tcPr>
          <w:p w14:paraId="1708E73C"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0.7155</w:t>
            </w:r>
          </w:p>
        </w:tc>
        <w:tc>
          <w:tcPr>
            <w:tcW w:w="861" w:type="pct"/>
            <w:shd w:val="clear" w:color="auto" w:fill="auto"/>
            <w:noWrap/>
            <w:vAlign w:val="center"/>
          </w:tcPr>
          <w:p w14:paraId="4B9BA32A"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0.1557</w:t>
            </w:r>
          </w:p>
        </w:tc>
        <w:tc>
          <w:tcPr>
            <w:tcW w:w="890" w:type="pct"/>
            <w:shd w:val="clear" w:color="auto" w:fill="auto"/>
            <w:noWrap/>
            <w:vAlign w:val="center"/>
          </w:tcPr>
          <w:p w14:paraId="2CCF6F34"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13.8459</w:t>
            </w:r>
          </w:p>
        </w:tc>
        <w:tc>
          <w:tcPr>
            <w:tcW w:w="588" w:type="pct"/>
            <w:shd w:val="clear" w:color="auto" w:fill="auto"/>
            <w:noWrap/>
            <w:vAlign w:val="center"/>
          </w:tcPr>
          <w:p w14:paraId="2CE9FBC7"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17.875%</w:t>
            </w:r>
          </w:p>
        </w:tc>
        <w:tc>
          <w:tcPr>
            <w:tcW w:w="611" w:type="pct"/>
            <w:shd w:val="clear" w:color="auto" w:fill="auto"/>
            <w:noWrap/>
            <w:vAlign w:val="center"/>
          </w:tcPr>
          <w:p w14:paraId="276CCBA0"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10.472%</w:t>
            </w:r>
          </w:p>
        </w:tc>
      </w:tr>
      <w:tr w:rsidR="00BA0176" w:rsidRPr="00FD52EE" w14:paraId="679D2DDE" w14:textId="77777777" w:rsidTr="00C161B4">
        <w:trPr>
          <w:trHeight w:val="300"/>
        </w:trPr>
        <w:tc>
          <w:tcPr>
            <w:tcW w:w="431" w:type="pct"/>
            <w:shd w:val="clear" w:color="auto" w:fill="auto"/>
            <w:noWrap/>
            <w:vAlign w:val="center"/>
          </w:tcPr>
          <w:p w14:paraId="25831534" w14:textId="77777777" w:rsidR="00BA0176" w:rsidRPr="00FD52EE" w:rsidRDefault="00BA0176" w:rsidP="00C161B4">
            <w:pPr>
              <w:spacing w:before="0" w:after="0"/>
              <w:jc w:val="center"/>
              <w:rPr>
                <w:sz w:val="20"/>
                <w:szCs w:val="20"/>
              </w:rPr>
            </w:pPr>
            <w:r w:rsidRPr="00FD52EE">
              <w:rPr>
                <w:sz w:val="20"/>
                <w:szCs w:val="20"/>
              </w:rPr>
              <w:t>15636</w:t>
            </w:r>
          </w:p>
        </w:tc>
        <w:tc>
          <w:tcPr>
            <w:tcW w:w="698" w:type="pct"/>
            <w:shd w:val="clear" w:color="auto" w:fill="auto"/>
            <w:noWrap/>
            <w:vAlign w:val="center"/>
          </w:tcPr>
          <w:p w14:paraId="30D1394B" w14:textId="77777777" w:rsidR="00BA0176" w:rsidRPr="00FD52EE" w:rsidRDefault="00BA0176" w:rsidP="00C161B4">
            <w:pPr>
              <w:spacing w:before="0" w:after="0"/>
              <w:jc w:val="center"/>
              <w:rPr>
                <w:sz w:val="20"/>
                <w:szCs w:val="20"/>
              </w:rPr>
            </w:pPr>
            <w:r w:rsidRPr="00FD52EE">
              <w:rPr>
                <w:sz w:val="20"/>
                <w:szCs w:val="20"/>
              </w:rPr>
              <w:t>19.11.2021</w:t>
            </w:r>
          </w:p>
        </w:tc>
        <w:tc>
          <w:tcPr>
            <w:tcW w:w="919" w:type="pct"/>
            <w:shd w:val="clear" w:color="auto" w:fill="auto"/>
            <w:noWrap/>
            <w:vAlign w:val="center"/>
          </w:tcPr>
          <w:p w14:paraId="658FBE12"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0.7403</w:t>
            </w:r>
          </w:p>
        </w:tc>
        <w:tc>
          <w:tcPr>
            <w:tcW w:w="861" w:type="pct"/>
            <w:shd w:val="clear" w:color="auto" w:fill="auto"/>
            <w:noWrap/>
            <w:vAlign w:val="center"/>
          </w:tcPr>
          <w:p w14:paraId="567BB1D9"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0.1310</w:t>
            </w:r>
          </w:p>
        </w:tc>
        <w:tc>
          <w:tcPr>
            <w:tcW w:w="890" w:type="pct"/>
            <w:shd w:val="clear" w:color="auto" w:fill="auto"/>
            <w:noWrap/>
            <w:vAlign w:val="center"/>
          </w:tcPr>
          <w:p w14:paraId="6262AE97"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16.3608</w:t>
            </w:r>
          </w:p>
        </w:tc>
        <w:tc>
          <w:tcPr>
            <w:tcW w:w="588" w:type="pct"/>
            <w:shd w:val="clear" w:color="auto" w:fill="auto"/>
            <w:noWrap/>
            <w:vAlign w:val="center"/>
          </w:tcPr>
          <w:p w14:paraId="7ED0D21C"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15.033%</w:t>
            </w:r>
          </w:p>
        </w:tc>
        <w:tc>
          <w:tcPr>
            <w:tcW w:w="611" w:type="pct"/>
            <w:shd w:val="clear" w:color="auto" w:fill="auto"/>
            <w:noWrap/>
            <w:vAlign w:val="center"/>
          </w:tcPr>
          <w:p w14:paraId="2C1974A8"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-5.789%</w:t>
            </w:r>
          </w:p>
        </w:tc>
      </w:tr>
      <w:tr w:rsidR="00BA0176" w:rsidRPr="00FD52EE" w14:paraId="6E661AC9" w14:textId="77777777" w:rsidTr="00C161B4">
        <w:trPr>
          <w:trHeight w:val="300"/>
        </w:trPr>
        <w:tc>
          <w:tcPr>
            <w:tcW w:w="431" w:type="pct"/>
            <w:shd w:val="clear" w:color="auto" w:fill="auto"/>
            <w:noWrap/>
            <w:vAlign w:val="center"/>
          </w:tcPr>
          <w:p w14:paraId="13F57983" w14:textId="77777777" w:rsidR="00BA0176" w:rsidRPr="00FD52EE" w:rsidRDefault="00BA0176" w:rsidP="00C161B4">
            <w:pPr>
              <w:spacing w:before="0" w:after="0"/>
              <w:jc w:val="center"/>
              <w:rPr>
                <w:sz w:val="20"/>
                <w:szCs w:val="20"/>
              </w:rPr>
            </w:pPr>
            <w:r w:rsidRPr="00FD52EE">
              <w:rPr>
                <w:sz w:val="20"/>
                <w:szCs w:val="20"/>
              </w:rPr>
              <w:t>16226</w:t>
            </w:r>
          </w:p>
        </w:tc>
        <w:tc>
          <w:tcPr>
            <w:tcW w:w="698" w:type="pct"/>
            <w:shd w:val="clear" w:color="auto" w:fill="auto"/>
            <w:noWrap/>
            <w:vAlign w:val="center"/>
          </w:tcPr>
          <w:p w14:paraId="4B436497" w14:textId="77777777" w:rsidR="00BA0176" w:rsidRPr="00FD52EE" w:rsidRDefault="00BA0176" w:rsidP="00C161B4">
            <w:pPr>
              <w:spacing w:before="0" w:after="0"/>
              <w:jc w:val="center"/>
              <w:rPr>
                <w:sz w:val="20"/>
                <w:szCs w:val="20"/>
              </w:rPr>
            </w:pPr>
            <w:r w:rsidRPr="00FD52EE">
              <w:rPr>
                <w:sz w:val="20"/>
                <w:szCs w:val="20"/>
              </w:rPr>
              <w:t>20.11.2021</w:t>
            </w:r>
          </w:p>
        </w:tc>
        <w:tc>
          <w:tcPr>
            <w:tcW w:w="919" w:type="pct"/>
            <w:shd w:val="clear" w:color="auto" w:fill="auto"/>
            <w:noWrap/>
            <w:vAlign w:val="center"/>
          </w:tcPr>
          <w:p w14:paraId="7376D210"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0.8238</w:t>
            </w:r>
          </w:p>
        </w:tc>
        <w:tc>
          <w:tcPr>
            <w:tcW w:w="861" w:type="pct"/>
            <w:shd w:val="clear" w:color="auto" w:fill="auto"/>
            <w:noWrap/>
            <w:vAlign w:val="center"/>
          </w:tcPr>
          <w:p w14:paraId="3065AE84"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0.0475</w:t>
            </w:r>
          </w:p>
        </w:tc>
        <w:tc>
          <w:tcPr>
            <w:tcW w:w="890" w:type="pct"/>
            <w:shd w:val="clear" w:color="auto" w:fill="auto"/>
            <w:noWrap/>
            <w:vAlign w:val="center"/>
          </w:tcPr>
          <w:p w14:paraId="47E4DDC9"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17.1346</w:t>
            </w:r>
          </w:p>
        </w:tc>
        <w:tc>
          <w:tcPr>
            <w:tcW w:w="588" w:type="pct"/>
            <w:shd w:val="clear" w:color="auto" w:fill="auto"/>
            <w:noWrap/>
            <w:vAlign w:val="center"/>
          </w:tcPr>
          <w:p w14:paraId="321D4E13"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5.453%</w:t>
            </w:r>
          </w:p>
        </w:tc>
        <w:tc>
          <w:tcPr>
            <w:tcW w:w="611" w:type="pct"/>
            <w:shd w:val="clear" w:color="auto" w:fill="auto"/>
            <w:noWrap/>
            <w:vAlign w:val="center"/>
          </w:tcPr>
          <w:p w14:paraId="2948F184"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-10.793%</w:t>
            </w:r>
          </w:p>
        </w:tc>
      </w:tr>
      <w:tr w:rsidR="00BA0176" w:rsidRPr="00FD52EE" w14:paraId="02D9DE6F" w14:textId="77777777" w:rsidTr="00C161B4">
        <w:trPr>
          <w:trHeight w:val="300"/>
        </w:trPr>
        <w:tc>
          <w:tcPr>
            <w:tcW w:w="431" w:type="pct"/>
            <w:shd w:val="clear" w:color="auto" w:fill="auto"/>
            <w:noWrap/>
            <w:vAlign w:val="center"/>
          </w:tcPr>
          <w:p w14:paraId="5E1E75F2" w14:textId="77777777" w:rsidR="00BA0176" w:rsidRPr="00FD52EE" w:rsidRDefault="00BA0176" w:rsidP="00C161B4">
            <w:pPr>
              <w:spacing w:before="0" w:after="0"/>
              <w:jc w:val="center"/>
              <w:rPr>
                <w:sz w:val="20"/>
                <w:szCs w:val="20"/>
              </w:rPr>
            </w:pPr>
            <w:r w:rsidRPr="00FD52EE">
              <w:rPr>
                <w:sz w:val="20"/>
                <w:szCs w:val="20"/>
              </w:rPr>
              <w:t>19126</w:t>
            </w:r>
          </w:p>
        </w:tc>
        <w:tc>
          <w:tcPr>
            <w:tcW w:w="698" w:type="pct"/>
            <w:shd w:val="clear" w:color="auto" w:fill="auto"/>
            <w:noWrap/>
            <w:vAlign w:val="center"/>
          </w:tcPr>
          <w:p w14:paraId="519FB887" w14:textId="77777777" w:rsidR="00BA0176" w:rsidRPr="00FD52EE" w:rsidRDefault="00BA0176" w:rsidP="00C161B4">
            <w:pPr>
              <w:spacing w:before="0" w:after="0"/>
              <w:jc w:val="center"/>
              <w:rPr>
                <w:sz w:val="20"/>
                <w:szCs w:val="20"/>
              </w:rPr>
            </w:pPr>
            <w:r w:rsidRPr="00FD52EE">
              <w:rPr>
                <w:sz w:val="20"/>
                <w:szCs w:val="20"/>
              </w:rPr>
              <w:t>29.11.2021</w:t>
            </w:r>
          </w:p>
        </w:tc>
        <w:tc>
          <w:tcPr>
            <w:tcW w:w="919" w:type="pct"/>
            <w:shd w:val="clear" w:color="auto" w:fill="auto"/>
            <w:noWrap/>
            <w:vAlign w:val="center"/>
          </w:tcPr>
          <w:p w14:paraId="7776F74B"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0.7460</w:t>
            </w:r>
          </w:p>
        </w:tc>
        <w:tc>
          <w:tcPr>
            <w:tcW w:w="861" w:type="pct"/>
            <w:shd w:val="clear" w:color="auto" w:fill="auto"/>
            <w:noWrap/>
            <w:vAlign w:val="center"/>
          </w:tcPr>
          <w:p w14:paraId="29F9F9CC"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0.1253</w:t>
            </w:r>
          </w:p>
        </w:tc>
        <w:tc>
          <w:tcPr>
            <w:tcW w:w="890" w:type="pct"/>
            <w:shd w:val="clear" w:color="auto" w:fill="auto"/>
            <w:noWrap/>
            <w:vAlign w:val="center"/>
          </w:tcPr>
          <w:p w14:paraId="75F0E331"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14.4730</w:t>
            </w:r>
          </w:p>
        </w:tc>
        <w:tc>
          <w:tcPr>
            <w:tcW w:w="588" w:type="pct"/>
            <w:shd w:val="clear" w:color="auto" w:fill="auto"/>
            <w:noWrap/>
            <w:vAlign w:val="center"/>
          </w:tcPr>
          <w:p w14:paraId="3548D812"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14.377%</w:t>
            </w:r>
          </w:p>
        </w:tc>
        <w:tc>
          <w:tcPr>
            <w:tcW w:w="611" w:type="pct"/>
            <w:shd w:val="clear" w:color="auto" w:fill="auto"/>
            <w:noWrap/>
            <w:vAlign w:val="center"/>
          </w:tcPr>
          <w:p w14:paraId="4695FB63"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6.417%</w:t>
            </w:r>
          </w:p>
        </w:tc>
      </w:tr>
      <w:tr w:rsidR="00BA0176" w:rsidRPr="00FD52EE" w14:paraId="15E3C1CA" w14:textId="77777777" w:rsidTr="00C161B4">
        <w:trPr>
          <w:trHeight w:val="300"/>
        </w:trPr>
        <w:tc>
          <w:tcPr>
            <w:tcW w:w="431" w:type="pct"/>
            <w:shd w:val="clear" w:color="auto" w:fill="auto"/>
            <w:noWrap/>
            <w:vAlign w:val="center"/>
          </w:tcPr>
          <w:p w14:paraId="7B36F727" w14:textId="77777777" w:rsidR="00BA0176" w:rsidRPr="00FD52EE" w:rsidRDefault="00BA0176" w:rsidP="00C161B4">
            <w:pPr>
              <w:spacing w:before="0" w:after="0"/>
              <w:jc w:val="center"/>
              <w:rPr>
                <w:sz w:val="20"/>
                <w:szCs w:val="20"/>
              </w:rPr>
            </w:pPr>
            <w:r w:rsidRPr="00FD52EE">
              <w:rPr>
                <w:sz w:val="20"/>
                <w:szCs w:val="20"/>
              </w:rPr>
              <w:t>19466</w:t>
            </w:r>
          </w:p>
        </w:tc>
        <w:tc>
          <w:tcPr>
            <w:tcW w:w="698" w:type="pct"/>
            <w:shd w:val="clear" w:color="auto" w:fill="auto"/>
            <w:noWrap/>
            <w:vAlign w:val="center"/>
          </w:tcPr>
          <w:p w14:paraId="06B4812B" w14:textId="77777777" w:rsidR="00BA0176" w:rsidRPr="00FD52EE" w:rsidRDefault="00BA0176" w:rsidP="00C161B4">
            <w:pPr>
              <w:spacing w:before="0" w:after="0"/>
              <w:jc w:val="center"/>
              <w:rPr>
                <w:sz w:val="20"/>
                <w:szCs w:val="20"/>
              </w:rPr>
            </w:pPr>
            <w:r w:rsidRPr="00FD52EE">
              <w:rPr>
                <w:sz w:val="20"/>
                <w:szCs w:val="20"/>
              </w:rPr>
              <w:t>30.11.2021</w:t>
            </w:r>
          </w:p>
        </w:tc>
        <w:tc>
          <w:tcPr>
            <w:tcW w:w="919" w:type="pct"/>
            <w:shd w:val="clear" w:color="auto" w:fill="auto"/>
            <w:noWrap/>
            <w:vAlign w:val="center"/>
          </w:tcPr>
          <w:p w14:paraId="55CC0BB0"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0.7578</w:t>
            </w:r>
          </w:p>
        </w:tc>
        <w:tc>
          <w:tcPr>
            <w:tcW w:w="861" w:type="pct"/>
            <w:shd w:val="clear" w:color="auto" w:fill="auto"/>
            <w:noWrap/>
            <w:vAlign w:val="center"/>
          </w:tcPr>
          <w:p w14:paraId="0FE93A34"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0.1135</w:t>
            </w:r>
          </w:p>
        </w:tc>
        <w:tc>
          <w:tcPr>
            <w:tcW w:w="890" w:type="pct"/>
            <w:shd w:val="clear" w:color="auto" w:fill="auto"/>
            <w:noWrap/>
            <w:vAlign w:val="center"/>
          </w:tcPr>
          <w:p w14:paraId="016A9983"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12.8452</w:t>
            </w:r>
          </w:p>
        </w:tc>
        <w:tc>
          <w:tcPr>
            <w:tcW w:w="588" w:type="pct"/>
            <w:shd w:val="clear" w:color="auto" w:fill="auto"/>
            <w:noWrap/>
            <w:vAlign w:val="center"/>
          </w:tcPr>
          <w:p w14:paraId="718FE80A"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13.022%</w:t>
            </w:r>
          </w:p>
        </w:tc>
        <w:tc>
          <w:tcPr>
            <w:tcW w:w="611" w:type="pct"/>
            <w:shd w:val="clear" w:color="auto" w:fill="auto"/>
            <w:noWrap/>
            <w:vAlign w:val="center"/>
          </w:tcPr>
          <w:p w14:paraId="38C5C357"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16.942%</w:t>
            </w:r>
          </w:p>
        </w:tc>
      </w:tr>
      <w:tr w:rsidR="00BA0176" w:rsidRPr="00FD52EE" w14:paraId="4E117E82" w14:textId="77777777" w:rsidTr="00C161B4">
        <w:trPr>
          <w:trHeight w:val="300"/>
        </w:trPr>
        <w:tc>
          <w:tcPr>
            <w:tcW w:w="431" w:type="pct"/>
            <w:shd w:val="clear" w:color="auto" w:fill="auto"/>
            <w:noWrap/>
            <w:vAlign w:val="center"/>
          </w:tcPr>
          <w:p w14:paraId="5D8E2C69" w14:textId="77777777" w:rsidR="00BA0176" w:rsidRPr="00FD52EE" w:rsidRDefault="00BA0176" w:rsidP="00C161B4">
            <w:pPr>
              <w:spacing w:before="0" w:after="0"/>
              <w:jc w:val="center"/>
              <w:rPr>
                <w:sz w:val="20"/>
                <w:szCs w:val="20"/>
              </w:rPr>
            </w:pPr>
            <w:r w:rsidRPr="00FD52EE">
              <w:rPr>
                <w:sz w:val="20"/>
                <w:szCs w:val="20"/>
              </w:rPr>
              <w:t>19761</w:t>
            </w:r>
          </w:p>
        </w:tc>
        <w:tc>
          <w:tcPr>
            <w:tcW w:w="698" w:type="pct"/>
            <w:shd w:val="clear" w:color="auto" w:fill="auto"/>
            <w:noWrap/>
            <w:vAlign w:val="center"/>
          </w:tcPr>
          <w:p w14:paraId="324AA3AB" w14:textId="77777777" w:rsidR="00BA0176" w:rsidRPr="00FD52EE" w:rsidRDefault="00BA0176" w:rsidP="00C161B4">
            <w:pPr>
              <w:spacing w:before="0" w:after="0"/>
              <w:jc w:val="center"/>
              <w:rPr>
                <w:sz w:val="20"/>
                <w:szCs w:val="20"/>
              </w:rPr>
            </w:pPr>
            <w:r w:rsidRPr="00FD52EE">
              <w:rPr>
                <w:sz w:val="20"/>
                <w:szCs w:val="20"/>
              </w:rPr>
              <w:t>1.12.2021</w:t>
            </w:r>
          </w:p>
        </w:tc>
        <w:tc>
          <w:tcPr>
            <w:tcW w:w="919" w:type="pct"/>
            <w:shd w:val="clear" w:color="auto" w:fill="auto"/>
            <w:noWrap/>
            <w:vAlign w:val="center"/>
          </w:tcPr>
          <w:p w14:paraId="7475A3B2"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0.7102</w:t>
            </w:r>
          </w:p>
        </w:tc>
        <w:tc>
          <w:tcPr>
            <w:tcW w:w="861" w:type="pct"/>
            <w:shd w:val="clear" w:color="auto" w:fill="auto"/>
            <w:noWrap/>
            <w:vAlign w:val="center"/>
          </w:tcPr>
          <w:p w14:paraId="6015D5EE"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0.1611</w:t>
            </w:r>
          </w:p>
        </w:tc>
        <w:tc>
          <w:tcPr>
            <w:tcW w:w="890" w:type="pct"/>
            <w:shd w:val="clear" w:color="auto" w:fill="auto"/>
            <w:noWrap/>
            <w:vAlign w:val="center"/>
          </w:tcPr>
          <w:p w14:paraId="40BCE573"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10.5470</w:t>
            </w:r>
          </w:p>
        </w:tc>
        <w:tc>
          <w:tcPr>
            <w:tcW w:w="588" w:type="pct"/>
            <w:shd w:val="clear" w:color="auto" w:fill="auto"/>
            <w:noWrap/>
            <w:vAlign w:val="center"/>
          </w:tcPr>
          <w:p w14:paraId="29BB4C63"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18.485%</w:t>
            </w:r>
          </w:p>
        </w:tc>
        <w:tc>
          <w:tcPr>
            <w:tcW w:w="611" w:type="pct"/>
            <w:shd w:val="clear" w:color="auto" w:fill="auto"/>
            <w:noWrap/>
            <w:vAlign w:val="center"/>
          </w:tcPr>
          <w:p w14:paraId="116E431E"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31.803%</w:t>
            </w:r>
          </w:p>
        </w:tc>
      </w:tr>
      <w:tr w:rsidR="00BA0176" w:rsidRPr="00FD52EE" w14:paraId="72AA28AF" w14:textId="77777777" w:rsidTr="00C161B4">
        <w:trPr>
          <w:trHeight w:val="300"/>
        </w:trPr>
        <w:tc>
          <w:tcPr>
            <w:tcW w:w="431" w:type="pct"/>
            <w:shd w:val="clear" w:color="auto" w:fill="auto"/>
            <w:noWrap/>
            <w:vAlign w:val="center"/>
          </w:tcPr>
          <w:p w14:paraId="102F2C4D" w14:textId="77777777" w:rsidR="00BA0176" w:rsidRPr="00FD52EE" w:rsidRDefault="00BA0176" w:rsidP="00C161B4">
            <w:pPr>
              <w:spacing w:before="0" w:after="0"/>
              <w:jc w:val="center"/>
              <w:rPr>
                <w:sz w:val="20"/>
                <w:szCs w:val="20"/>
              </w:rPr>
            </w:pPr>
            <w:r w:rsidRPr="00FD52EE">
              <w:rPr>
                <w:sz w:val="20"/>
                <w:szCs w:val="20"/>
              </w:rPr>
              <w:t>20150</w:t>
            </w:r>
          </w:p>
        </w:tc>
        <w:tc>
          <w:tcPr>
            <w:tcW w:w="698" w:type="pct"/>
            <w:shd w:val="clear" w:color="auto" w:fill="auto"/>
            <w:noWrap/>
            <w:vAlign w:val="center"/>
          </w:tcPr>
          <w:p w14:paraId="7CC34F19" w14:textId="77777777" w:rsidR="00BA0176" w:rsidRPr="00FD52EE" w:rsidRDefault="00BA0176" w:rsidP="00C161B4">
            <w:pPr>
              <w:spacing w:before="0" w:after="0"/>
              <w:jc w:val="center"/>
              <w:rPr>
                <w:sz w:val="20"/>
                <w:szCs w:val="20"/>
              </w:rPr>
            </w:pPr>
            <w:r w:rsidRPr="00FD52EE">
              <w:rPr>
                <w:sz w:val="20"/>
                <w:szCs w:val="20"/>
              </w:rPr>
              <w:t>2.12.2021</w:t>
            </w:r>
          </w:p>
        </w:tc>
        <w:tc>
          <w:tcPr>
            <w:tcW w:w="919" w:type="pct"/>
            <w:shd w:val="clear" w:color="auto" w:fill="auto"/>
            <w:noWrap/>
            <w:vAlign w:val="center"/>
          </w:tcPr>
          <w:p w14:paraId="6BBE7D12"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0.7558</w:t>
            </w:r>
          </w:p>
        </w:tc>
        <w:tc>
          <w:tcPr>
            <w:tcW w:w="861" w:type="pct"/>
            <w:shd w:val="clear" w:color="auto" w:fill="auto"/>
            <w:noWrap/>
            <w:vAlign w:val="center"/>
          </w:tcPr>
          <w:p w14:paraId="05D119A6"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0.1155</w:t>
            </w:r>
          </w:p>
        </w:tc>
        <w:tc>
          <w:tcPr>
            <w:tcW w:w="890" w:type="pct"/>
            <w:shd w:val="clear" w:color="auto" w:fill="auto"/>
            <w:noWrap/>
            <w:vAlign w:val="center"/>
          </w:tcPr>
          <w:p w14:paraId="41D19D64"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12.7729</w:t>
            </w:r>
          </w:p>
        </w:tc>
        <w:tc>
          <w:tcPr>
            <w:tcW w:w="588" w:type="pct"/>
            <w:shd w:val="clear" w:color="auto" w:fill="auto"/>
            <w:noWrap/>
            <w:vAlign w:val="center"/>
          </w:tcPr>
          <w:p w14:paraId="218FE5FD"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13.256%</w:t>
            </w:r>
          </w:p>
        </w:tc>
        <w:tc>
          <w:tcPr>
            <w:tcW w:w="611" w:type="pct"/>
            <w:shd w:val="clear" w:color="auto" w:fill="auto"/>
            <w:noWrap/>
            <w:vAlign w:val="center"/>
          </w:tcPr>
          <w:p w14:paraId="2876DA87"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17.410%</w:t>
            </w:r>
          </w:p>
        </w:tc>
      </w:tr>
      <w:tr w:rsidR="00BA0176" w:rsidRPr="00FD52EE" w14:paraId="5DA55863" w14:textId="77777777" w:rsidTr="00C161B4">
        <w:trPr>
          <w:trHeight w:val="300"/>
        </w:trPr>
        <w:tc>
          <w:tcPr>
            <w:tcW w:w="431" w:type="pct"/>
            <w:shd w:val="clear" w:color="auto" w:fill="auto"/>
            <w:noWrap/>
            <w:vAlign w:val="center"/>
          </w:tcPr>
          <w:p w14:paraId="04E7B1E5" w14:textId="77777777" w:rsidR="00BA0176" w:rsidRPr="00FD52EE" w:rsidRDefault="00BA0176" w:rsidP="00C161B4">
            <w:pPr>
              <w:spacing w:before="0" w:after="0"/>
              <w:jc w:val="center"/>
              <w:rPr>
                <w:sz w:val="20"/>
                <w:szCs w:val="20"/>
              </w:rPr>
            </w:pPr>
            <w:r w:rsidRPr="00FD52EE">
              <w:rPr>
                <w:sz w:val="20"/>
                <w:szCs w:val="20"/>
              </w:rPr>
              <w:t>20434</w:t>
            </w:r>
          </w:p>
        </w:tc>
        <w:tc>
          <w:tcPr>
            <w:tcW w:w="698" w:type="pct"/>
            <w:shd w:val="clear" w:color="auto" w:fill="auto"/>
            <w:noWrap/>
            <w:vAlign w:val="center"/>
          </w:tcPr>
          <w:p w14:paraId="47A05C75" w14:textId="77777777" w:rsidR="00BA0176" w:rsidRPr="00FD52EE" w:rsidRDefault="00BA0176" w:rsidP="00C161B4">
            <w:pPr>
              <w:spacing w:before="0" w:after="0"/>
              <w:jc w:val="center"/>
              <w:rPr>
                <w:sz w:val="20"/>
                <w:szCs w:val="20"/>
              </w:rPr>
            </w:pPr>
            <w:r w:rsidRPr="00FD52EE">
              <w:rPr>
                <w:sz w:val="20"/>
                <w:szCs w:val="20"/>
              </w:rPr>
              <w:t>3.12.2021</w:t>
            </w:r>
          </w:p>
        </w:tc>
        <w:tc>
          <w:tcPr>
            <w:tcW w:w="919" w:type="pct"/>
            <w:shd w:val="clear" w:color="auto" w:fill="auto"/>
            <w:noWrap/>
            <w:vAlign w:val="center"/>
          </w:tcPr>
          <w:p w14:paraId="6E07CC2B"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0.7411</w:t>
            </w:r>
          </w:p>
        </w:tc>
        <w:tc>
          <w:tcPr>
            <w:tcW w:w="861" w:type="pct"/>
            <w:shd w:val="clear" w:color="auto" w:fill="auto"/>
            <w:noWrap/>
            <w:vAlign w:val="center"/>
          </w:tcPr>
          <w:p w14:paraId="3C307B64"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0.1302</w:t>
            </w:r>
          </w:p>
        </w:tc>
        <w:tc>
          <w:tcPr>
            <w:tcW w:w="890" w:type="pct"/>
            <w:shd w:val="clear" w:color="auto" w:fill="auto"/>
            <w:noWrap/>
            <w:vAlign w:val="center"/>
          </w:tcPr>
          <w:p w14:paraId="2AFA8937"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13.1549</w:t>
            </w:r>
          </w:p>
        </w:tc>
        <w:tc>
          <w:tcPr>
            <w:tcW w:w="588" w:type="pct"/>
            <w:shd w:val="clear" w:color="auto" w:fill="auto"/>
            <w:noWrap/>
            <w:vAlign w:val="center"/>
          </w:tcPr>
          <w:p w14:paraId="686ECD4F"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14.940%</w:t>
            </w:r>
          </w:p>
        </w:tc>
        <w:tc>
          <w:tcPr>
            <w:tcW w:w="611" w:type="pct"/>
            <w:shd w:val="clear" w:color="auto" w:fill="auto"/>
            <w:noWrap/>
            <w:vAlign w:val="center"/>
          </w:tcPr>
          <w:p w14:paraId="7DC730BA"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14.940%</w:t>
            </w:r>
          </w:p>
        </w:tc>
      </w:tr>
      <w:tr w:rsidR="00BA0176" w:rsidRPr="00FD52EE" w14:paraId="0C01948C" w14:textId="77777777" w:rsidTr="00C161B4">
        <w:trPr>
          <w:trHeight w:val="300"/>
        </w:trPr>
        <w:tc>
          <w:tcPr>
            <w:tcW w:w="431" w:type="pct"/>
            <w:shd w:val="clear" w:color="auto" w:fill="auto"/>
            <w:noWrap/>
            <w:vAlign w:val="center"/>
          </w:tcPr>
          <w:p w14:paraId="2B3CC1E1" w14:textId="77777777" w:rsidR="00BA0176" w:rsidRPr="00FD52EE" w:rsidRDefault="00BA0176" w:rsidP="00C161B4">
            <w:pPr>
              <w:spacing w:before="0" w:after="0"/>
              <w:jc w:val="center"/>
              <w:rPr>
                <w:sz w:val="20"/>
                <w:szCs w:val="20"/>
              </w:rPr>
            </w:pPr>
            <w:r w:rsidRPr="00FD52EE">
              <w:rPr>
                <w:sz w:val="20"/>
                <w:szCs w:val="20"/>
              </w:rPr>
              <w:t>20845</w:t>
            </w:r>
          </w:p>
        </w:tc>
        <w:tc>
          <w:tcPr>
            <w:tcW w:w="698" w:type="pct"/>
            <w:shd w:val="clear" w:color="auto" w:fill="auto"/>
            <w:noWrap/>
            <w:vAlign w:val="center"/>
          </w:tcPr>
          <w:p w14:paraId="54E6AE80" w14:textId="77777777" w:rsidR="00BA0176" w:rsidRPr="00FD52EE" w:rsidRDefault="00BA0176" w:rsidP="00C161B4">
            <w:pPr>
              <w:spacing w:before="0" w:after="0"/>
              <w:jc w:val="center"/>
              <w:rPr>
                <w:sz w:val="20"/>
                <w:szCs w:val="20"/>
              </w:rPr>
            </w:pPr>
            <w:r w:rsidRPr="00FD52EE">
              <w:rPr>
                <w:sz w:val="20"/>
                <w:szCs w:val="20"/>
              </w:rPr>
              <w:t>4.12.2021</w:t>
            </w:r>
          </w:p>
        </w:tc>
        <w:tc>
          <w:tcPr>
            <w:tcW w:w="919" w:type="pct"/>
            <w:shd w:val="clear" w:color="auto" w:fill="auto"/>
            <w:noWrap/>
            <w:vAlign w:val="center"/>
          </w:tcPr>
          <w:p w14:paraId="30C15591"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0.7439</w:t>
            </w:r>
          </w:p>
        </w:tc>
        <w:tc>
          <w:tcPr>
            <w:tcW w:w="861" w:type="pct"/>
            <w:shd w:val="clear" w:color="auto" w:fill="auto"/>
            <w:noWrap/>
            <w:vAlign w:val="center"/>
          </w:tcPr>
          <w:p w14:paraId="03FC7931"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0.1274</w:t>
            </w:r>
          </w:p>
        </w:tc>
        <w:tc>
          <w:tcPr>
            <w:tcW w:w="890" w:type="pct"/>
            <w:shd w:val="clear" w:color="auto" w:fill="auto"/>
            <w:noWrap/>
            <w:vAlign w:val="center"/>
          </w:tcPr>
          <w:p w14:paraId="07C1F44B"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15.0634</w:t>
            </w:r>
          </w:p>
        </w:tc>
        <w:tc>
          <w:tcPr>
            <w:tcW w:w="588" w:type="pct"/>
            <w:shd w:val="clear" w:color="auto" w:fill="auto"/>
            <w:noWrap/>
            <w:vAlign w:val="center"/>
          </w:tcPr>
          <w:p w14:paraId="36C58A28"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14.624%</w:t>
            </w:r>
          </w:p>
        </w:tc>
        <w:tc>
          <w:tcPr>
            <w:tcW w:w="611" w:type="pct"/>
            <w:shd w:val="clear" w:color="auto" w:fill="auto"/>
            <w:noWrap/>
            <w:vAlign w:val="center"/>
          </w:tcPr>
          <w:p w14:paraId="5352011D"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2.600%</w:t>
            </w:r>
          </w:p>
        </w:tc>
      </w:tr>
      <w:tr w:rsidR="00BA0176" w:rsidRPr="00FD52EE" w14:paraId="5C0C9716" w14:textId="77777777" w:rsidTr="00C161B4">
        <w:trPr>
          <w:trHeight w:val="300"/>
        </w:trPr>
        <w:tc>
          <w:tcPr>
            <w:tcW w:w="431" w:type="pct"/>
            <w:shd w:val="clear" w:color="auto" w:fill="auto"/>
            <w:noWrap/>
            <w:vAlign w:val="center"/>
          </w:tcPr>
          <w:p w14:paraId="33AC7EA0" w14:textId="77777777" w:rsidR="00BA0176" w:rsidRPr="00FD52EE" w:rsidRDefault="00BA0176" w:rsidP="00C161B4">
            <w:pPr>
              <w:spacing w:before="0" w:after="0"/>
              <w:jc w:val="center"/>
              <w:rPr>
                <w:sz w:val="20"/>
                <w:szCs w:val="20"/>
              </w:rPr>
            </w:pPr>
            <w:r w:rsidRPr="00FD52EE">
              <w:rPr>
                <w:sz w:val="20"/>
                <w:szCs w:val="20"/>
              </w:rPr>
              <w:t>21485</w:t>
            </w:r>
          </w:p>
        </w:tc>
        <w:tc>
          <w:tcPr>
            <w:tcW w:w="698" w:type="pct"/>
            <w:shd w:val="clear" w:color="auto" w:fill="auto"/>
            <w:noWrap/>
            <w:vAlign w:val="center"/>
          </w:tcPr>
          <w:p w14:paraId="7B8289B4" w14:textId="77777777" w:rsidR="00BA0176" w:rsidRPr="00FD52EE" w:rsidRDefault="00BA0176" w:rsidP="00C161B4">
            <w:pPr>
              <w:spacing w:before="0" w:after="0"/>
              <w:jc w:val="center"/>
              <w:rPr>
                <w:sz w:val="20"/>
                <w:szCs w:val="20"/>
              </w:rPr>
            </w:pPr>
            <w:r w:rsidRPr="00FD52EE">
              <w:rPr>
                <w:sz w:val="20"/>
                <w:szCs w:val="20"/>
              </w:rPr>
              <w:t>6.12.2021</w:t>
            </w:r>
          </w:p>
        </w:tc>
        <w:tc>
          <w:tcPr>
            <w:tcW w:w="919" w:type="pct"/>
            <w:shd w:val="clear" w:color="auto" w:fill="auto"/>
            <w:noWrap/>
            <w:vAlign w:val="center"/>
          </w:tcPr>
          <w:p w14:paraId="59E9A677"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0.6876</w:t>
            </w:r>
          </w:p>
        </w:tc>
        <w:tc>
          <w:tcPr>
            <w:tcW w:w="861" w:type="pct"/>
            <w:shd w:val="clear" w:color="auto" w:fill="auto"/>
            <w:noWrap/>
            <w:vAlign w:val="center"/>
          </w:tcPr>
          <w:p w14:paraId="73A4089B"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0.1837</w:t>
            </w:r>
          </w:p>
        </w:tc>
        <w:tc>
          <w:tcPr>
            <w:tcW w:w="890" w:type="pct"/>
            <w:shd w:val="clear" w:color="auto" w:fill="auto"/>
            <w:noWrap/>
            <w:vAlign w:val="center"/>
          </w:tcPr>
          <w:p w14:paraId="76EB194B"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11.6550</w:t>
            </w:r>
          </w:p>
        </w:tc>
        <w:tc>
          <w:tcPr>
            <w:tcW w:w="588" w:type="pct"/>
            <w:shd w:val="clear" w:color="auto" w:fill="auto"/>
            <w:noWrap/>
            <w:vAlign w:val="center"/>
          </w:tcPr>
          <w:p w14:paraId="34363D2B"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21.081%</w:t>
            </w:r>
          </w:p>
        </w:tc>
        <w:tc>
          <w:tcPr>
            <w:tcW w:w="611" w:type="pct"/>
            <w:shd w:val="clear" w:color="auto" w:fill="auto"/>
            <w:noWrap/>
            <w:vAlign w:val="center"/>
          </w:tcPr>
          <w:p w14:paraId="1FD57C41"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24.638%</w:t>
            </w:r>
          </w:p>
        </w:tc>
      </w:tr>
      <w:tr w:rsidR="00BA0176" w:rsidRPr="00FD52EE" w14:paraId="275B53D0" w14:textId="77777777" w:rsidTr="00C161B4">
        <w:trPr>
          <w:trHeight w:val="300"/>
        </w:trPr>
        <w:tc>
          <w:tcPr>
            <w:tcW w:w="431" w:type="pct"/>
            <w:shd w:val="clear" w:color="auto" w:fill="auto"/>
            <w:noWrap/>
            <w:vAlign w:val="center"/>
          </w:tcPr>
          <w:p w14:paraId="6A0D2026" w14:textId="77777777" w:rsidR="00BA0176" w:rsidRPr="00FD52EE" w:rsidRDefault="00BA0176" w:rsidP="00C161B4">
            <w:pPr>
              <w:spacing w:before="0" w:after="0"/>
              <w:jc w:val="center"/>
              <w:rPr>
                <w:sz w:val="20"/>
                <w:szCs w:val="20"/>
              </w:rPr>
            </w:pPr>
            <w:r w:rsidRPr="00FD52EE">
              <w:rPr>
                <w:sz w:val="20"/>
                <w:szCs w:val="20"/>
              </w:rPr>
              <w:t>21839</w:t>
            </w:r>
          </w:p>
        </w:tc>
        <w:tc>
          <w:tcPr>
            <w:tcW w:w="698" w:type="pct"/>
            <w:shd w:val="clear" w:color="auto" w:fill="auto"/>
            <w:noWrap/>
            <w:vAlign w:val="center"/>
          </w:tcPr>
          <w:p w14:paraId="149746FF" w14:textId="77777777" w:rsidR="00BA0176" w:rsidRPr="00FD52EE" w:rsidRDefault="00BA0176" w:rsidP="00C161B4">
            <w:pPr>
              <w:spacing w:before="0" w:after="0"/>
              <w:jc w:val="center"/>
              <w:rPr>
                <w:sz w:val="20"/>
                <w:szCs w:val="20"/>
              </w:rPr>
            </w:pPr>
            <w:r w:rsidRPr="00FD52EE">
              <w:rPr>
                <w:sz w:val="20"/>
                <w:szCs w:val="20"/>
              </w:rPr>
              <w:t>7.12.2021</w:t>
            </w:r>
          </w:p>
        </w:tc>
        <w:tc>
          <w:tcPr>
            <w:tcW w:w="919" w:type="pct"/>
            <w:shd w:val="clear" w:color="auto" w:fill="auto"/>
            <w:noWrap/>
            <w:vAlign w:val="center"/>
          </w:tcPr>
          <w:p w14:paraId="0A8B5B6A"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0.6621</w:t>
            </w:r>
          </w:p>
        </w:tc>
        <w:tc>
          <w:tcPr>
            <w:tcW w:w="861" w:type="pct"/>
            <w:shd w:val="clear" w:color="auto" w:fill="auto"/>
            <w:noWrap/>
            <w:vAlign w:val="center"/>
          </w:tcPr>
          <w:p w14:paraId="1F3E9C85"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0.2092</w:t>
            </w:r>
          </w:p>
        </w:tc>
        <w:tc>
          <w:tcPr>
            <w:tcW w:w="890" w:type="pct"/>
            <w:shd w:val="clear" w:color="auto" w:fill="auto"/>
            <w:noWrap/>
            <w:vAlign w:val="center"/>
          </w:tcPr>
          <w:p w14:paraId="400757D5"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11.6864</w:t>
            </w:r>
          </w:p>
        </w:tc>
        <w:tc>
          <w:tcPr>
            <w:tcW w:w="588" w:type="pct"/>
            <w:shd w:val="clear" w:color="auto" w:fill="auto"/>
            <w:noWrap/>
            <w:vAlign w:val="center"/>
          </w:tcPr>
          <w:p w14:paraId="74C16516"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24.007%</w:t>
            </w:r>
          </w:p>
        </w:tc>
        <w:tc>
          <w:tcPr>
            <w:tcW w:w="611" w:type="pct"/>
            <w:shd w:val="clear" w:color="auto" w:fill="auto"/>
            <w:noWrap/>
            <w:vAlign w:val="center"/>
          </w:tcPr>
          <w:p w14:paraId="3A4FED9C"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24.436%</w:t>
            </w:r>
          </w:p>
        </w:tc>
      </w:tr>
      <w:tr w:rsidR="00BA0176" w:rsidRPr="00FD52EE" w14:paraId="4C5B6BBA" w14:textId="77777777" w:rsidTr="00C161B4">
        <w:trPr>
          <w:trHeight w:val="300"/>
        </w:trPr>
        <w:tc>
          <w:tcPr>
            <w:tcW w:w="431" w:type="pct"/>
            <w:shd w:val="clear" w:color="auto" w:fill="auto"/>
            <w:noWrap/>
            <w:vAlign w:val="center"/>
          </w:tcPr>
          <w:p w14:paraId="75AB19BE" w14:textId="77777777" w:rsidR="00BA0176" w:rsidRPr="00FD52EE" w:rsidRDefault="00BA0176" w:rsidP="00C161B4">
            <w:pPr>
              <w:spacing w:before="0" w:after="0"/>
              <w:jc w:val="center"/>
              <w:rPr>
                <w:sz w:val="20"/>
                <w:szCs w:val="20"/>
              </w:rPr>
            </w:pPr>
            <w:r w:rsidRPr="00FD52EE">
              <w:rPr>
                <w:sz w:val="20"/>
                <w:szCs w:val="20"/>
              </w:rPr>
              <w:t>22846</w:t>
            </w:r>
          </w:p>
        </w:tc>
        <w:tc>
          <w:tcPr>
            <w:tcW w:w="698" w:type="pct"/>
            <w:shd w:val="clear" w:color="auto" w:fill="auto"/>
            <w:noWrap/>
            <w:vAlign w:val="center"/>
          </w:tcPr>
          <w:p w14:paraId="40077D4B" w14:textId="77777777" w:rsidR="00BA0176" w:rsidRPr="00FD52EE" w:rsidRDefault="00BA0176" w:rsidP="00C161B4">
            <w:pPr>
              <w:spacing w:before="0" w:after="0"/>
              <w:jc w:val="center"/>
              <w:rPr>
                <w:sz w:val="20"/>
                <w:szCs w:val="20"/>
              </w:rPr>
            </w:pPr>
            <w:r w:rsidRPr="00FD52EE">
              <w:rPr>
                <w:sz w:val="20"/>
                <w:szCs w:val="20"/>
              </w:rPr>
              <w:t>10.12.2021</w:t>
            </w:r>
          </w:p>
        </w:tc>
        <w:tc>
          <w:tcPr>
            <w:tcW w:w="919" w:type="pct"/>
            <w:shd w:val="clear" w:color="auto" w:fill="auto"/>
            <w:noWrap/>
            <w:vAlign w:val="center"/>
          </w:tcPr>
          <w:p w14:paraId="7A5E760B"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0.6887</w:t>
            </w:r>
          </w:p>
        </w:tc>
        <w:tc>
          <w:tcPr>
            <w:tcW w:w="861" w:type="pct"/>
            <w:shd w:val="clear" w:color="auto" w:fill="auto"/>
            <w:noWrap/>
            <w:vAlign w:val="center"/>
          </w:tcPr>
          <w:p w14:paraId="14E36EFF"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0.1826</w:t>
            </w:r>
          </w:p>
        </w:tc>
        <w:tc>
          <w:tcPr>
            <w:tcW w:w="890" w:type="pct"/>
            <w:shd w:val="clear" w:color="auto" w:fill="auto"/>
            <w:noWrap/>
            <w:vAlign w:val="center"/>
          </w:tcPr>
          <w:p w14:paraId="7425EECC"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13.5676</w:t>
            </w:r>
          </w:p>
        </w:tc>
        <w:tc>
          <w:tcPr>
            <w:tcW w:w="588" w:type="pct"/>
            <w:shd w:val="clear" w:color="auto" w:fill="auto"/>
            <w:noWrap/>
            <w:vAlign w:val="center"/>
          </w:tcPr>
          <w:p w14:paraId="6E46F0DB"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20.956%</w:t>
            </w:r>
          </w:p>
        </w:tc>
        <w:tc>
          <w:tcPr>
            <w:tcW w:w="611" w:type="pct"/>
            <w:shd w:val="clear" w:color="auto" w:fill="auto"/>
            <w:noWrap/>
            <w:vAlign w:val="center"/>
          </w:tcPr>
          <w:p w14:paraId="3292FF5D"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12.272%</w:t>
            </w:r>
          </w:p>
        </w:tc>
      </w:tr>
      <w:tr w:rsidR="00BA0176" w:rsidRPr="00FD52EE" w14:paraId="16764F7A" w14:textId="77777777" w:rsidTr="00C161B4">
        <w:trPr>
          <w:trHeight w:val="300"/>
        </w:trPr>
        <w:tc>
          <w:tcPr>
            <w:tcW w:w="431" w:type="pct"/>
            <w:shd w:val="clear" w:color="auto" w:fill="auto"/>
            <w:noWrap/>
            <w:vAlign w:val="center"/>
          </w:tcPr>
          <w:p w14:paraId="6A408959" w14:textId="77777777" w:rsidR="00BA0176" w:rsidRPr="00FD52EE" w:rsidRDefault="00BA0176" w:rsidP="00C161B4">
            <w:pPr>
              <w:spacing w:before="0" w:after="0"/>
              <w:jc w:val="center"/>
              <w:rPr>
                <w:sz w:val="20"/>
                <w:szCs w:val="20"/>
              </w:rPr>
            </w:pPr>
            <w:r w:rsidRPr="00FD52EE">
              <w:rPr>
                <w:sz w:val="20"/>
                <w:szCs w:val="20"/>
              </w:rPr>
              <w:t>23670</w:t>
            </w:r>
          </w:p>
        </w:tc>
        <w:tc>
          <w:tcPr>
            <w:tcW w:w="698" w:type="pct"/>
            <w:shd w:val="clear" w:color="auto" w:fill="auto"/>
            <w:noWrap/>
            <w:vAlign w:val="center"/>
          </w:tcPr>
          <w:p w14:paraId="48E1FFD0" w14:textId="77777777" w:rsidR="00BA0176" w:rsidRPr="00FD52EE" w:rsidRDefault="00BA0176" w:rsidP="00C161B4">
            <w:pPr>
              <w:spacing w:before="0" w:after="0"/>
              <w:jc w:val="center"/>
              <w:rPr>
                <w:sz w:val="20"/>
                <w:szCs w:val="20"/>
              </w:rPr>
            </w:pPr>
            <w:r w:rsidRPr="00FD52EE">
              <w:rPr>
                <w:sz w:val="20"/>
                <w:szCs w:val="20"/>
              </w:rPr>
              <w:t>11.12.2021</w:t>
            </w:r>
          </w:p>
        </w:tc>
        <w:tc>
          <w:tcPr>
            <w:tcW w:w="919" w:type="pct"/>
            <w:shd w:val="clear" w:color="auto" w:fill="auto"/>
            <w:noWrap/>
            <w:vAlign w:val="center"/>
          </w:tcPr>
          <w:p w14:paraId="211F984B"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0.6518</w:t>
            </w:r>
          </w:p>
        </w:tc>
        <w:tc>
          <w:tcPr>
            <w:tcW w:w="861" w:type="pct"/>
            <w:shd w:val="clear" w:color="auto" w:fill="auto"/>
            <w:noWrap/>
            <w:vAlign w:val="center"/>
          </w:tcPr>
          <w:p w14:paraId="542244E5"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0.2195</w:t>
            </w:r>
          </w:p>
        </w:tc>
        <w:tc>
          <w:tcPr>
            <w:tcW w:w="890" w:type="pct"/>
            <w:shd w:val="clear" w:color="auto" w:fill="auto"/>
            <w:noWrap/>
            <w:vAlign w:val="center"/>
          </w:tcPr>
          <w:p w14:paraId="41B9E241"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13.8832</w:t>
            </w:r>
          </w:p>
        </w:tc>
        <w:tc>
          <w:tcPr>
            <w:tcW w:w="588" w:type="pct"/>
            <w:shd w:val="clear" w:color="auto" w:fill="auto"/>
            <w:noWrap/>
            <w:vAlign w:val="center"/>
          </w:tcPr>
          <w:p w14:paraId="1329A205"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25.193%</w:t>
            </w:r>
          </w:p>
        </w:tc>
        <w:tc>
          <w:tcPr>
            <w:tcW w:w="611" w:type="pct"/>
            <w:shd w:val="clear" w:color="auto" w:fill="auto"/>
            <w:noWrap/>
            <w:vAlign w:val="center"/>
          </w:tcPr>
          <w:p w14:paraId="3F395B74"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10.231%</w:t>
            </w:r>
          </w:p>
        </w:tc>
      </w:tr>
      <w:tr w:rsidR="00BA0176" w:rsidRPr="00FD52EE" w14:paraId="0B75CC44" w14:textId="77777777" w:rsidTr="00C161B4">
        <w:trPr>
          <w:trHeight w:val="300"/>
        </w:trPr>
        <w:tc>
          <w:tcPr>
            <w:tcW w:w="431" w:type="pct"/>
            <w:tcBorders>
              <w:bottom w:val="single" w:sz="4" w:space="0" w:color="auto"/>
            </w:tcBorders>
            <w:shd w:val="clear" w:color="auto" w:fill="auto"/>
            <w:noWrap/>
            <w:vAlign w:val="center"/>
          </w:tcPr>
          <w:p w14:paraId="53D3C918" w14:textId="77777777" w:rsidR="00BA0176" w:rsidRPr="00FD52EE" w:rsidRDefault="00BA0176" w:rsidP="00C161B4">
            <w:pPr>
              <w:spacing w:before="0" w:after="0"/>
              <w:jc w:val="center"/>
              <w:rPr>
                <w:sz w:val="20"/>
                <w:szCs w:val="20"/>
              </w:rPr>
            </w:pPr>
            <w:r w:rsidRPr="00FD52EE">
              <w:rPr>
                <w:sz w:val="20"/>
                <w:szCs w:val="20"/>
              </w:rPr>
              <w:t>23690</w:t>
            </w:r>
          </w:p>
        </w:tc>
        <w:tc>
          <w:tcPr>
            <w:tcW w:w="698" w:type="pct"/>
            <w:tcBorders>
              <w:bottom w:val="single" w:sz="4" w:space="0" w:color="auto"/>
            </w:tcBorders>
            <w:shd w:val="clear" w:color="auto" w:fill="auto"/>
            <w:noWrap/>
            <w:vAlign w:val="center"/>
          </w:tcPr>
          <w:p w14:paraId="7ED68C62" w14:textId="77777777" w:rsidR="00BA0176" w:rsidRPr="00FD52EE" w:rsidRDefault="00BA0176" w:rsidP="00C161B4">
            <w:pPr>
              <w:spacing w:before="0" w:after="0"/>
              <w:jc w:val="center"/>
              <w:rPr>
                <w:sz w:val="20"/>
                <w:szCs w:val="20"/>
              </w:rPr>
            </w:pPr>
            <w:r w:rsidRPr="00FD52EE">
              <w:rPr>
                <w:sz w:val="20"/>
                <w:szCs w:val="20"/>
              </w:rPr>
              <w:t>12.12.2021</w:t>
            </w:r>
          </w:p>
        </w:tc>
        <w:tc>
          <w:tcPr>
            <w:tcW w:w="919" w:type="pct"/>
            <w:tcBorders>
              <w:bottom w:val="single" w:sz="4" w:space="0" w:color="auto"/>
            </w:tcBorders>
            <w:shd w:val="clear" w:color="auto" w:fill="auto"/>
            <w:noWrap/>
            <w:vAlign w:val="center"/>
          </w:tcPr>
          <w:p w14:paraId="07D496AC"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0.6561</w:t>
            </w:r>
          </w:p>
        </w:tc>
        <w:tc>
          <w:tcPr>
            <w:tcW w:w="861" w:type="pct"/>
            <w:tcBorders>
              <w:bottom w:val="single" w:sz="4" w:space="0" w:color="auto"/>
            </w:tcBorders>
            <w:shd w:val="clear" w:color="auto" w:fill="auto"/>
            <w:noWrap/>
            <w:vAlign w:val="center"/>
          </w:tcPr>
          <w:p w14:paraId="01A4FCC2"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0.2152</w:t>
            </w:r>
          </w:p>
        </w:tc>
        <w:tc>
          <w:tcPr>
            <w:tcW w:w="890" w:type="pct"/>
            <w:tcBorders>
              <w:bottom w:val="single" w:sz="4" w:space="0" w:color="auto"/>
            </w:tcBorders>
            <w:shd w:val="clear" w:color="auto" w:fill="auto"/>
            <w:noWrap/>
            <w:vAlign w:val="center"/>
          </w:tcPr>
          <w:p w14:paraId="318161C3"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8.9558</w:t>
            </w:r>
          </w:p>
        </w:tc>
        <w:tc>
          <w:tcPr>
            <w:tcW w:w="588" w:type="pct"/>
            <w:tcBorders>
              <w:bottom w:val="single" w:sz="4" w:space="0" w:color="auto"/>
            </w:tcBorders>
            <w:shd w:val="clear" w:color="auto" w:fill="auto"/>
            <w:noWrap/>
            <w:vAlign w:val="center"/>
          </w:tcPr>
          <w:p w14:paraId="4B905407"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24.698%</w:t>
            </w:r>
          </w:p>
        </w:tc>
        <w:tc>
          <w:tcPr>
            <w:tcW w:w="611" w:type="pct"/>
            <w:tcBorders>
              <w:bottom w:val="single" w:sz="4" w:space="0" w:color="auto"/>
            </w:tcBorders>
            <w:shd w:val="clear" w:color="auto" w:fill="auto"/>
            <w:noWrap/>
            <w:vAlign w:val="center"/>
          </w:tcPr>
          <w:p w14:paraId="7AF45BE1" w14:textId="77777777" w:rsidR="00BA0176" w:rsidRPr="00FD52EE" w:rsidRDefault="00BA0176" w:rsidP="00C161B4">
            <w:pPr>
              <w:spacing w:before="0" w:after="0"/>
              <w:jc w:val="center"/>
              <w:rPr>
                <w:rFonts w:eastAsia="Times New Roman" w:cs="Calibri"/>
                <w:color w:val="000000"/>
                <w:sz w:val="20"/>
                <w:szCs w:val="20"/>
                <w:lang w:val="sr-Latn-RS" w:eastAsia="sr-Latn-RS"/>
              </w:rPr>
            </w:pPr>
            <w:r w:rsidRPr="00FD52EE">
              <w:rPr>
                <w:sz w:val="20"/>
                <w:szCs w:val="20"/>
              </w:rPr>
              <w:t>42.092%</w:t>
            </w:r>
          </w:p>
        </w:tc>
      </w:tr>
    </w:tbl>
    <w:p w14:paraId="4129F431" w14:textId="4A1D0FC9" w:rsidR="00BA0176" w:rsidRDefault="00BA0176" w:rsidP="00BA0176">
      <w:pPr>
        <w:pStyle w:val="Caption"/>
        <w:jc w:val="left"/>
      </w:pPr>
      <w:bookmarkStart w:id="828" w:name="_Toc101274677"/>
      <w:r>
        <w:lastRenderedPageBreak/>
        <w:t xml:space="preserve">Appendix </w:t>
      </w:r>
      <w:fldSimple w:instr=" SEQ Appendix \* ARABIC ">
        <w:r w:rsidR="00587AF0">
          <w:rPr>
            <w:noProof/>
          </w:rPr>
          <w:t>7</w:t>
        </w:r>
      </w:fldSimple>
      <w:r>
        <w:t>. Interpolation equations for dealing with missing values</w:t>
      </w:r>
      <w:bookmarkEnd w:id="828"/>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61"/>
        <w:gridCol w:w="6212"/>
        <w:gridCol w:w="1054"/>
      </w:tblGrid>
      <w:tr w:rsidR="00BA0176" w:rsidRPr="00913D3E" w14:paraId="01EA66B8" w14:textId="77777777" w:rsidTr="008B5A9D">
        <w:tc>
          <w:tcPr>
            <w:tcW w:w="975" w:type="pct"/>
            <w:tcBorders>
              <w:top w:val="single" w:sz="4" w:space="0" w:color="auto"/>
              <w:bottom w:val="single" w:sz="4" w:space="0" w:color="auto"/>
            </w:tcBorders>
            <w:vAlign w:val="center"/>
          </w:tcPr>
          <w:p w14:paraId="0189CB14" w14:textId="77777777" w:rsidR="00BA0176" w:rsidRPr="004859FD" w:rsidRDefault="00BA0176" w:rsidP="008B5A9D">
            <w:pPr>
              <w:spacing w:beforeLines="60" w:before="144" w:after="60"/>
              <w:jc w:val="center"/>
              <w:rPr>
                <w:b/>
                <w:bCs/>
                <w:sz w:val="20"/>
                <w:szCs w:val="20"/>
              </w:rPr>
            </w:pPr>
            <w:r w:rsidRPr="004859FD">
              <w:rPr>
                <w:b/>
                <w:bCs/>
                <w:sz w:val="20"/>
                <w:szCs w:val="20"/>
              </w:rPr>
              <w:t>Property</w:t>
            </w:r>
          </w:p>
        </w:tc>
        <w:tc>
          <w:tcPr>
            <w:tcW w:w="3441" w:type="pct"/>
            <w:tcBorders>
              <w:top w:val="single" w:sz="4" w:space="0" w:color="auto"/>
              <w:bottom w:val="single" w:sz="4" w:space="0" w:color="auto"/>
            </w:tcBorders>
            <w:vAlign w:val="center"/>
          </w:tcPr>
          <w:p w14:paraId="1E40787D" w14:textId="77777777" w:rsidR="00BA0176" w:rsidRPr="00913D3E" w:rsidRDefault="00BA0176" w:rsidP="008B5A9D">
            <w:pPr>
              <w:spacing w:beforeLines="60" w:before="144" w:after="60"/>
              <w:jc w:val="center"/>
              <w:rPr>
                <w:b/>
                <w:bCs/>
                <w:sz w:val="20"/>
                <w:szCs w:val="20"/>
              </w:rPr>
            </w:pPr>
            <w:r w:rsidRPr="00913D3E">
              <w:rPr>
                <w:b/>
                <w:bCs/>
                <w:sz w:val="20"/>
                <w:szCs w:val="20"/>
              </w:rPr>
              <w:t>Equation</w:t>
            </w:r>
          </w:p>
        </w:tc>
        <w:tc>
          <w:tcPr>
            <w:tcW w:w="584" w:type="pct"/>
            <w:tcBorders>
              <w:top w:val="single" w:sz="4" w:space="0" w:color="auto"/>
              <w:bottom w:val="single" w:sz="4" w:space="0" w:color="auto"/>
            </w:tcBorders>
            <w:vAlign w:val="center"/>
          </w:tcPr>
          <w:p w14:paraId="2A5B0C0F" w14:textId="77777777" w:rsidR="00BA0176" w:rsidRPr="004859FD" w:rsidRDefault="00BA0176" w:rsidP="008B5A9D">
            <w:pPr>
              <w:spacing w:beforeLines="60" w:before="144" w:after="60"/>
              <w:jc w:val="center"/>
              <w:rPr>
                <w:b/>
                <w:bCs/>
                <w:sz w:val="20"/>
                <w:szCs w:val="20"/>
              </w:rPr>
            </w:pPr>
            <w:r w:rsidRPr="004859FD">
              <w:rPr>
                <w:b/>
                <w:bCs/>
                <w:sz w:val="20"/>
                <w:szCs w:val="20"/>
              </w:rPr>
              <w:t>R</w:t>
            </w:r>
            <w:r w:rsidRPr="004859FD">
              <w:rPr>
                <w:b/>
                <w:bCs/>
                <w:sz w:val="20"/>
                <w:szCs w:val="20"/>
                <w:vertAlign w:val="superscript"/>
              </w:rPr>
              <w:t>2</w:t>
            </w:r>
          </w:p>
        </w:tc>
      </w:tr>
      <w:tr w:rsidR="00BA0176" w:rsidRPr="00913D3E" w14:paraId="3E6DAD24" w14:textId="77777777" w:rsidTr="00C161B4">
        <w:tc>
          <w:tcPr>
            <w:tcW w:w="975" w:type="pct"/>
            <w:tcBorders>
              <w:top w:val="single" w:sz="4" w:space="0" w:color="auto"/>
            </w:tcBorders>
          </w:tcPr>
          <w:p w14:paraId="187352B6" w14:textId="77777777" w:rsidR="00BA0176" w:rsidRPr="00913D3E" w:rsidRDefault="00BA0176" w:rsidP="00C161B4">
            <w:pPr>
              <w:spacing w:beforeLines="60" w:before="144" w:after="60"/>
              <w:jc w:val="center"/>
              <w:rPr>
                <w:sz w:val="20"/>
                <w:szCs w:val="20"/>
              </w:rPr>
            </w:pPr>
            <w:r>
              <w:rPr>
                <w:sz w:val="20"/>
                <w:szCs w:val="20"/>
              </w:rPr>
              <w:t>Fluid density</w:t>
            </w:r>
          </w:p>
        </w:tc>
        <w:tc>
          <w:tcPr>
            <w:tcW w:w="3441" w:type="pct"/>
            <w:tcBorders>
              <w:top w:val="single" w:sz="4" w:space="0" w:color="auto"/>
            </w:tcBorders>
          </w:tcPr>
          <w:p w14:paraId="1B38D23F" w14:textId="64302D3D" w:rsidR="00BA0176" w:rsidRPr="00913D3E" w:rsidRDefault="004E7F13" w:rsidP="00C161B4">
            <w:pPr>
              <w:spacing w:beforeLines="60" w:before="144" w:after="60"/>
              <w:jc w:val="center"/>
              <w:rPr>
                <w:sz w:val="20"/>
                <w:szCs w:val="20"/>
              </w:rPr>
            </w:pPr>
            <w:r w:rsidRPr="004E7F13">
              <w:rPr>
                <w:sz w:val="20"/>
                <w:szCs w:val="20"/>
              </w:rPr>
              <w:t>y = 7E-15x</w:t>
            </w:r>
            <w:r w:rsidRPr="004E7F13">
              <w:rPr>
                <w:sz w:val="20"/>
                <w:szCs w:val="20"/>
                <w:vertAlign w:val="superscript"/>
              </w:rPr>
              <w:t>3</w:t>
            </w:r>
            <w:r w:rsidRPr="004E7F13">
              <w:rPr>
                <w:sz w:val="20"/>
                <w:szCs w:val="20"/>
              </w:rPr>
              <w:t xml:space="preserve"> - 3E-10x</w:t>
            </w:r>
            <w:r w:rsidRPr="004E7F13">
              <w:rPr>
                <w:sz w:val="20"/>
                <w:szCs w:val="20"/>
                <w:vertAlign w:val="superscript"/>
              </w:rPr>
              <w:t>2</w:t>
            </w:r>
            <w:r w:rsidRPr="004E7F13">
              <w:rPr>
                <w:sz w:val="20"/>
                <w:szCs w:val="20"/>
              </w:rPr>
              <w:t xml:space="preserve"> + 4E-06x + 0.8637</w:t>
            </w:r>
          </w:p>
        </w:tc>
        <w:tc>
          <w:tcPr>
            <w:tcW w:w="584" w:type="pct"/>
            <w:tcBorders>
              <w:top w:val="single" w:sz="4" w:space="0" w:color="auto"/>
            </w:tcBorders>
          </w:tcPr>
          <w:p w14:paraId="6DE67D9C" w14:textId="6887C2D3" w:rsidR="00BA0176" w:rsidRPr="00913D3E" w:rsidRDefault="00BA0176" w:rsidP="00C161B4">
            <w:pPr>
              <w:spacing w:beforeLines="60" w:before="144" w:after="60"/>
              <w:jc w:val="center"/>
              <w:rPr>
                <w:sz w:val="20"/>
                <w:szCs w:val="20"/>
              </w:rPr>
            </w:pPr>
            <w:r>
              <w:rPr>
                <w:sz w:val="20"/>
                <w:szCs w:val="20"/>
              </w:rPr>
              <w:t>0.9</w:t>
            </w:r>
            <w:r w:rsidR="004E7F13">
              <w:rPr>
                <w:sz w:val="20"/>
                <w:szCs w:val="20"/>
              </w:rPr>
              <w:t>855</w:t>
            </w:r>
          </w:p>
        </w:tc>
      </w:tr>
      <w:tr w:rsidR="00BA0176" w:rsidRPr="00913D3E" w14:paraId="43E2C4AA" w14:textId="77777777" w:rsidTr="00C161B4">
        <w:tc>
          <w:tcPr>
            <w:tcW w:w="975" w:type="pct"/>
          </w:tcPr>
          <w:p w14:paraId="109809AF" w14:textId="77777777" w:rsidR="00BA0176" w:rsidRPr="00913D3E" w:rsidRDefault="00BA0176" w:rsidP="00C161B4">
            <w:pPr>
              <w:spacing w:beforeLines="60" w:before="144" w:after="60"/>
              <w:jc w:val="center"/>
              <w:rPr>
                <w:sz w:val="20"/>
                <w:szCs w:val="20"/>
              </w:rPr>
            </w:pPr>
            <w:r>
              <w:rPr>
                <w:sz w:val="20"/>
                <w:szCs w:val="20"/>
              </w:rPr>
              <w:t>Viscosity @40°C</w:t>
            </w:r>
          </w:p>
        </w:tc>
        <w:tc>
          <w:tcPr>
            <w:tcW w:w="3441" w:type="pct"/>
          </w:tcPr>
          <w:p w14:paraId="33B83C9E" w14:textId="4E278056" w:rsidR="00BA0176" w:rsidRPr="00913D3E" w:rsidRDefault="00AE23AA" w:rsidP="00C161B4">
            <w:pPr>
              <w:spacing w:beforeLines="60" w:before="144" w:after="60"/>
              <w:jc w:val="center"/>
              <w:rPr>
                <w:sz w:val="20"/>
                <w:szCs w:val="20"/>
              </w:rPr>
            </w:pPr>
            <w:r w:rsidRPr="00AE23AA">
              <w:rPr>
                <w:sz w:val="20"/>
                <w:szCs w:val="20"/>
              </w:rPr>
              <w:t>y = 2E-12x</w:t>
            </w:r>
            <w:r w:rsidRPr="00AE23AA">
              <w:rPr>
                <w:sz w:val="20"/>
                <w:szCs w:val="20"/>
                <w:vertAlign w:val="superscript"/>
              </w:rPr>
              <w:t>3</w:t>
            </w:r>
            <w:r w:rsidRPr="00AE23AA">
              <w:rPr>
                <w:sz w:val="20"/>
                <w:szCs w:val="20"/>
              </w:rPr>
              <w:t xml:space="preserve"> - 1E-07x</w:t>
            </w:r>
            <w:r w:rsidRPr="00AE23AA">
              <w:rPr>
                <w:sz w:val="20"/>
                <w:szCs w:val="20"/>
                <w:vertAlign w:val="superscript"/>
              </w:rPr>
              <w:t>2</w:t>
            </w:r>
            <w:r w:rsidRPr="00AE23AA">
              <w:rPr>
                <w:sz w:val="20"/>
                <w:szCs w:val="20"/>
              </w:rPr>
              <w:t xml:space="preserve"> + 0.0016x + 45.038</w:t>
            </w:r>
          </w:p>
        </w:tc>
        <w:tc>
          <w:tcPr>
            <w:tcW w:w="584" w:type="pct"/>
          </w:tcPr>
          <w:p w14:paraId="3DFA3C29" w14:textId="27B28FFA" w:rsidR="00BA0176" w:rsidRPr="00913D3E" w:rsidRDefault="00377D4B" w:rsidP="00C161B4">
            <w:pPr>
              <w:spacing w:beforeLines="60" w:before="144" w:after="60"/>
              <w:jc w:val="center"/>
              <w:rPr>
                <w:sz w:val="20"/>
                <w:szCs w:val="20"/>
              </w:rPr>
            </w:pPr>
            <w:r>
              <w:rPr>
                <w:sz w:val="20"/>
                <w:szCs w:val="20"/>
              </w:rPr>
              <w:t>0.9</w:t>
            </w:r>
            <w:r w:rsidR="00AE23AA">
              <w:rPr>
                <w:sz w:val="20"/>
                <w:szCs w:val="20"/>
              </w:rPr>
              <w:t>658</w:t>
            </w:r>
          </w:p>
        </w:tc>
      </w:tr>
      <w:tr w:rsidR="00BA0176" w:rsidRPr="00913D3E" w14:paraId="08A9514C" w14:textId="77777777" w:rsidTr="00C161B4">
        <w:tc>
          <w:tcPr>
            <w:tcW w:w="975" w:type="pct"/>
          </w:tcPr>
          <w:p w14:paraId="6D9F8A71" w14:textId="77777777" w:rsidR="00BA0176" w:rsidRPr="00913D3E" w:rsidRDefault="00BA0176" w:rsidP="00C161B4">
            <w:pPr>
              <w:spacing w:beforeLines="60" w:before="144" w:after="60"/>
              <w:jc w:val="center"/>
              <w:rPr>
                <w:sz w:val="20"/>
                <w:szCs w:val="20"/>
              </w:rPr>
            </w:pPr>
            <w:r>
              <w:rPr>
                <w:sz w:val="20"/>
                <w:szCs w:val="20"/>
              </w:rPr>
              <w:t>Viscosity @100°C</w:t>
            </w:r>
          </w:p>
        </w:tc>
        <w:tc>
          <w:tcPr>
            <w:tcW w:w="3441" w:type="pct"/>
          </w:tcPr>
          <w:p w14:paraId="1C8F0558" w14:textId="516A07E7" w:rsidR="00BA0176" w:rsidRPr="00913D3E" w:rsidRDefault="00A801DA" w:rsidP="00C161B4">
            <w:pPr>
              <w:spacing w:beforeLines="60" w:before="144" w:after="60"/>
              <w:jc w:val="center"/>
              <w:rPr>
                <w:sz w:val="20"/>
                <w:szCs w:val="20"/>
              </w:rPr>
            </w:pPr>
            <w:r>
              <w:rPr>
                <w:sz w:val="20"/>
                <w:szCs w:val="20"/>
              </w:rPr>
              <w:t xml:space="preserve">y </w:t>
            </w:r>
            <w:r w:rsidRPr="00A801DA">
              <w:rPr>
                <w:sz w:val="20"/>
                <w:szCs w:val="20"/>
              </w:rPr>
              <w:t>= 6E-14x</w:t>
            </w:r>
            <w:r w:rsidRPr="00A801DA">
              <w:rPr>
                <w:sz w:val="20"/>
                <w:szCs w:val="20"/>
                <w:vertAlign w:val="superscript"/>
              </w:rPr>
              <w:t>3</w:t>
            </w:r>
            <w:r w:rsidRPr="00A801DA">
              <w:rPr>
                <w:sz w:val="20"/>
                <w:szCs w:val="20"/>
              </w:rPr>
              <w:t xml:space="preserve"> - 4E-09x</w:t>
            </w:r>
            <w:r w:rsidRPr="00A801DA">
              <w:rPr>
                <w:sz w:val="20"/>
                <w:szCs w:val="20"/>
                <w:vertAlign w:val="superscript"/>
              </w:rPr>
              <w:t>2</w:t>
            </w:r>
            <w:r w:rsidRPr="00A801DA">
              <w:rPr>
                <w:sz w:val="20"/>
                <w:szCs w:val="20"/>
              </w:rPr>
              <w:t xml:space="preserve"> + 8E-05x + 6.9355</w:t>
            </w:r>
          </w:p>
        </w:tc>
        <w:tc>
          <w:tcPr>
            <w:tcW w:w="584" w:type="pct"/>
          </w:tcPr>
          <w:p w14:paraId="35CCB0D9" w14:textId="59BC79F1" w:rsidR="00BA0176" w:rsidRPr="00913D3E" w:rsidRDefault="00BA0176" w:rsidP="00C161B4">
            <w:pPr>
              <w:spacing w:beforeLines="60" w:before="144" w:after="60"/>
              <w:jc w:val="center"/>
              <w:rPr>
                <w:sz w:val="20"/>
                <w:szCs w:val="20"/>
              </w:rPr>
            </w:pPr>
            <w:r>
              <w:rPr>
                <w:sz w:val="20"/>
                <w:szCs w:val="20"/>
              </w:rPr>
              <w:t>0.9</w:t>
            </w:r>
            <w:r w:rsidR="00A801DA">
              <w:rPr>
                <w:sz w:val="20"/>
                <w:szCs w:val="20"/>
              </w:rPr>
              <w:t>397</w:t>
            </w:r>
          </w:p>
        </w:tc>
      </w:tr>
      <w:tr w:rsidR="00BA0176" w:rsidRPr="00913D3E" w14:paraId="04B22F0A" w14:textId="77777777" w:rsidTr="00C161B4">
        <w:tc>
          <w:tcPr>
            <w:tcW w:w="975" w:type="pct"/>
          </w:tcPr>
          <w:p w14:paraId="62A089A1" w14:textId="77777777" w:rsidR="00BA0176" w:rsidRPr="00913D3E" w:rsidRDefault="00BA0176" w:rsidP="00C161B4">
            <w:pPr>
              <w:spacing w:beforeLines="60" w:before="144" w:after="60"/>
              <w:jc w:val="center"/>
              <w:rPr>
                <w:sz w:val="20"/>
                <w:szCs w:val="20"/>
              </w:rPr>
            </w:pPr>
            <w:r>
              <w:rPr>
                <w:sz w:val="20"/>
                <w:szCs w:val="20"/>
              </w:rPr>
              <w:t>Viscosity index [-]</w:t>
            </w:r>
          </w:p>
        </w:tc>
        <w:tc>
          <w:tcPr>
            <w:tcW w:w="3441" w:type="pct"/>
          </w:tcPr>
          <w:p w14:paraId="43CCC818" w14:textId="1FEE011A" w:rsidR="00BA0176" w:rsidRPr="00913D3E" w:rsidRDefault="00665860" w:rsidP="00C161B4">
            <w:pPr>
              <w:spacing w:beforeLines="60" w:before="144" w:after="60"/>
              <w:jc w:val="center"/>
              <w:rPr>
                <w:sz w:val="20"/>
                <w:szCs w:val="20"/>
              </w:rPr>
            </w:pPr>
            <w:r w:rsidRPr="00665860">
              <w:rPr>
                <w:sz w:val="20"/>
                <w:szCs w:val="20"/>
              </w:rPr>
              <w:t>y = 1E-16x</w:t>
            </w:r>
            <w:r w:rsidRPr="00665860">
              <w:rPr>
                <w:sz w:val="20"/>
                <w:szCs w:val="20"/>
                <w:vertAlign w:val="superscript"/>
              </w:rPr>
              <w:t>4</w:t>
            </w:r>
            <w:r w:rsidRPr="00665860">
              <w:rPr>
                <w:sz w:val="20"/>
                <w:szCs w:val="20"/>
              </w:rPr>
              <w:t xml:space="preserve"> - 1E-11x</w:t>
            </w:r>
            <w:r w:rsidRPr="00665860">
              <w:rPr>
                <w:sz w:val="20"/>
                <w:szCs w:val="20"/>
                <w:vertAlign w:val="superscript"/>
              </w:rPr>
              <w:t>3</w:t>
            </w:r>
            <w:r w:rsidRPr="00665860">
              <w:rPr>
                <w:sz w:val="20"/>
                <w:szCs w:val="20"/>
              </w:rPr>
              <w:t xml:space="preserve"> + 3E-07x</w:t>
            </w:r>
            <w:r w:rsidRPr="00665860">
              <w:rPr>
                <w:sz w:val="20"/>
                <w:szCs w:val="20"/>
                <w:vertAlign w:val="superscript"/>
              </w:rPr>
              <w:t>2</w:t>
            </w:r>
            <w:r w:rsidRPr="00665860">
              <w:rPr>
                <w:sz w:val="20"/>
                <w:szCs w:val="20"/>
              </w:rPr>
              <w:t xml:space="preserve"> - 0.0031x + 110.05</w:t>
            </w:r>
          </w:p>
        </w:tc>
        <w:tc>
          <w:tcPr>
            <w:tcW w:w="584" w:type="pct"/>
          </w:tcPr>
          <w:p w14:paraId="22251C0F" w14:textId="6D2A182B" w:rsidR="00BA0176" w:rsidRPr="00913D3E" w:rsidRDefault="00BA0176" w:rsidP="00C161B4">
            <w:pPr>
              <w:spacing w:beforeLines="60" w:before="144" w:after="60"/>
              <w:jc w:val="center"/>
              <w:rPr>
                <w:sz w:val="20"/>
                <w:szCs w:val="20"/>
              </w:rPr>
            </w:pPr>
            <w:r>
              <w:rPr>
                <w:sz w:val="20"/>
                <w:szCs w:val="20"/>
              </w:rPr>
              <w:t>0.9</w:t>
            </w:r>
            <w:r w:rsidR="00665860">
              <w:rPr>
                <w:sz w:val="20"/>
                <w:szCs w:val="20"/>
              </w:rPr>
              <w:t>543</w:t>
            </w:r>
          </w:p>
        </w:tc>
      </w:tr>
      <w:tr w:rsidR="00BA0176" w:rsidRPr="00913D3E" w14:paraId="3D65C985" w14:textId="77777777" w:rsidTr="00C161B4">
        <w:tc>
          <w:tcPr>
            <w:tcW w:w="975" w:type="pct"/>
          </w:tcPr>
          <w:p w14:paraId="42C33FF7" w14:textId="77777777" w:rsidR="00BA0176" w:rsidRPr="00093435" w:rsidRDefault="00BA0176" w:rsidP="00C161B4">
            <w:pPr>
              <w:spacing w:beforeLines="60" w:before="144" w:after="60"/>
              <w:jc w:val="center"/>
              <w:rPr>
                <w:sz w:val="20"/>
                <w:szCs w:val="20"/>
                <w:lang w:val="en-GB"/>
              </w:rPr>
            </w:pPr>
            <w:r>
              <w:rPr>
                <w:sz w:val="20"/>
                <w:szCs w:val="20"/>
                <w:lang w:val="en-GB"/>
              </w:rPr>
              <w:t xml:space="preserve">Flame point [°C] </w:t>
            </w:r>
          </w:p>
        </w:tc>
        <w:tc>
          <w:tcPr>
            <w:tcW w:w="3441" w:type="pct"/>
          </w:tcPr>
          <w:p w14:paraId="5779BC73" w14:textId="69C58B9F" w:rsidR="00BA0176" w:rsidRPr="00913D3E" w:rsidRDefault="00B50E32" w:rsidP="00C161B4">
            <w:pPr>
              <w:spacing w:beforeLines="60" w:before="144" w:after="60"/>
              <w:jc w:val="center"/>
              <w:rPr>
                <w:sz w:val="20"/>
                <w:szCs w:val="20"/>
              </w:rPr>
            </w:pPr>
            <w:r>
              <w:rPr>
                <w:sz w:val="20"/>
                <w:szCs w:val="20"/>
              </w:rPr>
              <w:t xml:space="preserve">y </w:t>
            </w:r>
            <w:r w:rsidRPr="00B50E32">
              <w:rPr>
                <w:sz w:val="20"/>
                <w:szCs w:val="20"/>
              </w:rPr>
              <w:t xml:space="preserve">= </w:t>
            </w:r>
            <w:r>
              <w:rPr>
                <w:sz w:val="20"/>
                <w:szCs w:val="20"/>
              </w:rPr>
              <w:t>-5E-12x</w:t>
            </w:r>
            <w:r>
              <w:rPr>
                <w:sz w:val="20"/>
                <w:szCs w:val="20"/>
                <w:vertAlign w:val="superscript"/>
              </w:rPr>
              <w:t>3</w:t>
            </w:r>
            <w:r w:rsidRPr="00B50E32">
              <w:rPr>
                <w:sz w:val="20"/>
                <w:szCs w:val="20"/>
              </w:rPr>
              <w:t xml:space="preserve"> + </w:t>
            </w:r>
            <w:r>
              <w:rPr>
                <w:sz w:val="20"/>
                <w:szCs w:val="20"/>
              </w:rPr>
              <w:t>2E-7x</w:t>
            </w:r>
            <w:r w:rsidRPr="00B50E32">
              <w:rPr>
                <w:sz w:val="20"/>
                <w:szCs w:val="20"/>
              </w:rPr>
              <w:t>^2 - 0.0035*A2^1 + 229.76</w:t>
            </w:r>
          </w:p>
        </w:tc>
        <w:tc>
          <w:tcPr>
            <w:tcW w:w="584" w:type="pct"/>
          </w:tcPr>
          <w:p w14:paraId="743F59D2" w14:textId="0E41E901" w:rsidR="00BA0176" w:rsidRPr="00913D3E" w:rsidRDefault="00BA0176" w:rsidP="00C161B4">
            <w:pPr>
              <w:spacing w:beforeLines="60" w:before="144" w:after="60"/>
              <w:jc w:val="center"/>
              <w:rPr>
                <w:sz w:val="20"/>
                <w:szCs w:val="20"/>
              </w:rPr>
            </w:pPr>
            <w:r>
              <w:rPr>
                <w:sz w:val="20"/>
                <w:szCs w:val="20"/>
              </w:rPr>
              <w:t>0.9</w:t>
            </w:r>
            <w:r w:rsidR="006F059B">
              <w:rPr>
                <w:sz w:val="20"/>
                <w:szCs w:val="20"/>
              </w:rPr>
              <w:t>799</w:t>
            </w:r>
          </w:p>
        </w:tc>
      </w:tr>
      <w:tr w:rsidR="00BA0176" w:rsidRPr="00913D3E" w14:paraId="1C2ACE6B" w14:textId="77777777" w:rsidTr="00C161B4">
        <w:tc>
          <w:tcPr>
            <w:tcW w:w="975" w:type="pct"/>
          </w:tcPr>
          <w:p w14:paraId="04F0D374" w14:textId="77777777" w:rsidR="00BA0176" w:rsidRPr="00913D3E" w:rsidRDefault="00BA0176" w:rsidP="00C161B4">
            <w:pPr>
              <w:spacing w:beforeLines="60" w:before="144" w:after="60"/>
              <w:jc w:val="center"/>
              <w:rPr>
                <w:sz w:val="20"/>
                <w:szCs w:val="20"/>
              </w:rPr>
            </w:pPr>
            <w:r>
              <w:rPr>
                <w:sz w:val="20"/>
                <w:szCs w:val="20"/>
              </w:rPr>
              <w:t>Flow point [°C]</w:t>
            </w:r>
          </w:p>
        </w:tc>
        <w:tc>
          <w:tcPr>
            <w:tcW w:w="3441" w:type="pct"/>
          </w:tcPr>
          <w:p w14:paraId="25ECBE57" w14:textId="534D188B" w:rsidR="00BA0176" w:rsidRPr="00913D3E" w:rsidRDefault="006F059B" w:rsidP="00C161B4">
            <w:pPr>
              <w:spacing w:beforeLines="60" w:before="144" w:after="60"/>
              <w:jc w:val="center"/>
              <w:rPr>
                <w:sz w:val="20"/>
                <w:szCs w:val="20"/>
              </w:rPr>
            </w:pPr>
            <w:r w:rsidRPr="006F059B">
              <w:rPr>
                <w:sz w:val="20"/>
                <w:szCs w:val="20"/>
              </w:rPr>
              <w:t>y = -2E-12x</w:t>
            </w:r>
            <w:r w:rsidRPr="006F059B">
              <w:rPr>
                <w:sz w:val="20"/>
                <w:szCs w:val="20"/>
                <w:vertAlign w:val="superscript"/>
              </w:rPr>
              <w:t>3</w:t>
            </w:r>
            <w:r w:rsidRPr="006F059B">
              <w:rPr>
                <w:sz w:val="20"/>
                <w:szCs w:val="20"/>
              </w:rPr>
              <w:t xml:space="preserve"> + 1E-07x</w:t>
            </w:r>
            <w:r w:rsidRPr="006F059B">
              <w:rPr>
                <w:sz w:val="20"/>
                <w:szCs w:val="20"/>
                <w:vertAlign w:val="superscript"/>
              </w:rPr>
              <w:t>2</w:t>
            </w:r>
            <w:r w:rsidRPr="006F059B">
              <w:rPr>
                <w:sz w:val="20"/>
                <w:szCs w:val="20"/>
              </w:rPr>
              <w:t xml:space="preserve"> - 0.0014x - 32.116</w:t>
            </w:r>
          </w:p>
        </w:tc>
        <w:tc>
          <w:tcPr>
            <w:tcW w:w="584" w:type="pct"/>
          </w:tcPr>
          <w:p w14:paraId="064EE81A" w14:textId="5C7D4F44" w:rsidR="00BA0176" w:rsidRPr="00913D3E" w:rsidRDefault="00BA0176" w:rsidP="00C161B4">
            <w:pPr>
              <w:spacing w:beforeLines="60" w:before="144" w:after="60"/>
              <w:jc w:val="center"/>
              <w:rPr>
                <w:sz w:val="20"/>
                <w:szCs w:val="20"/>
              </w:rPr>
            </w:pPr>
            <w:r>
              <w:rPr>
                <w:sz w:val="20"/>
                <w:szCs w:val="20"/>
              </w:rPr>
              <w:t>0.9</w:t>
            </w:r>
            <w:r w:rsidR="006F059B">
              <w:rPr>
                <w:sz w:val="20"/>
                <w:szCs w:val="20"/>
              </w:rPr>
              <w:t>766</w:t>
            </w:r>
          </w:p>
        </w:tc>
      </w:tr>
      <w:tr w:rsidR="00BA0176" w:rsidRPr="00913D3E" w14:paraId="2E25173B" w14:textId="77777777" w:rsidTr="00C161B4">
        <w:tc>
          <w:tcPr>
            <w:tcW w:w="975" w:type="pct"/>
          </w:tcPr>
          <w:p w14:paraId="313D8F5A" w14:textId="77777777" w:rsidR="00BA0176" w:rsidRPr="00913D3E" w:rsidRDefault="00BA0176" w:rsidP="00C161B4">
            <w:pPr>
              <w:spacing w:beforeLines="60" w:before="144" w:after="60"/>
              <w:jc w:val="center"/>
              <w:rPr>
                <w:sz w:val="20"/>
                <w:szCs w:val="20"/>
              </w:rPr>
            </w:pPr>
            <w:r>
              <w:rPr>
                <w:sz w:val="20"/>
                <w:szCs w:val="20"/>
              </w:rPr>
              <w:t>Water [ppm]</w:t>
            </w:r>
          </w:p>
        </w:tc>
        <w:tc>
          <w:tcPr>
            <w:tcW w:w="3441" w:type="pct"/>
          </w:tcPr>
          <w:p w14:paraId="21B1372E" w14:textId="496AD7E4" w:rsidR="00BA0176" w:rsidRPr="006D56EC" w:rsidRDefault="006F059B" w:rsidP="00C161B4">
            <w:pPr>
              <w:spacing w:beforeLines="60" w:before="144" w:after="60"/>
              <w:jc w:val="center"/>
              <w:rPr>
                <w:sz w:val="20"/>
                <w:szCs w:val="20"/>
              </w:rPr>
            </w:pPr>
            <w:r w:rsidRPr="006F059B">
              <w:rPr>
                <w:sz w:val="20"/>
                <w:szCs w:val="20"/>
              </w:rPr>
              <w:t>y = 1E-11x</w:t>
            </w:r>
            <w:r w:rsidRPr="006F059B">
              <w:rPr>
                <w:sz w:val="20"/>
                <w:szCs w:val="20"/>
                <w:vertAlign w:val="superscript"/>
              </w:rPr>
              <w:t>3</w:t>
            </w:r>
            <w:r w:rsidRPr="006F059B">
              <w:rPr>
                <w:sz w:val="20"/>
                <w:szCs w:val="20"/>
              </w:rPr>
              <w:t xml:space="preserve"> - 4E-07x</w:t>
            </w:r>
            <w:r w:rsidRPr="006F059B">
              <w:rPr>
                <w:sz w:val="20"/>
                <w:szCs w:val="20"/>
                <w:vertAlign w:val="superscript"/>
              </w:rPr>
              <w:t>2</w:t>
            </w:r>
            <w:r w:rsidRPr="006F059B">
              <w:rPr>
                <w:sz w:val="20"/>
                <w:szCs w:val="20"/>
              </w:rPr>
              <w:t xml:space="preserve"> + 0.0038x + 13.076</w:t>
            </w:r>
          </w:p>
        </w:tc>
        <w:tc>
          <w:tcPr>
            <w:tcW w:w="584" w:type="pct"/>
          </w:tcPr>
          <w:p w14:paraId="269E9E21" w14:textId="4F4AE354" w:rsidR="00BA0176" w:rsidRPr="00913D3E" w:rsidRDefault="00BA0176" w:rsidP="00C161B4">
            <w:pPr>
              <w:spacing w:beforeLines="60" w:before="144" w:after="60"/>
              <w:jc w:val="center"/>
              <w:rPr>
                <w:sz w:val="20"/>
                <w:szCs w:val="20"/>
              </w:rPr>
            </w:pPr>
            <w:r>
              <w:rPr>
                <w:sz w:val="20"/>
                <w:szCs w:val="20"/>
              </w:rPr>
              <w:t>0.9</w:t>
            </w:r>
            <w:r w:rsidR="006F059B">
              <w:rPr>
                <w:sz w:val="20"/>
                <w:szCs w:val="20"/>
              </w:rPr>
              <w:t>510</w:t>
            </w:r>
          </w:p>
        </w:tc>
      </w:tr>
      <w:tr w:rsidR="00BA0176" w:rsidRPr="00913D3E" w14:paraId="1733A0DC" w14:textId="77777777" w:rsidTr="00C161B4">
        <w:tc>
          <w:tcPr>
            <w:tcW w:w="975" w:type="pct"/>
          </w:tcPr>
          <w:p w14:paraId="5FF8F199" w14:textId="77777777" w:rsidR="00BA0176" w:rsidRPr="00913D3E" w:rsidRDefault="00BA0176" w:rsidP="00C161B4">
            <w:pPr>
              <w:spacing w:beforeLines="60" w:before="144" w:after="60"/>
              <w:jc w:val="center"/>
              <w:rPr>
                <w:sz w:val="20"/>
                <w:szCs w:val="20"/>
              </w:rPr>
            </w:pPr>
            <w:r>
              <w:rPr>
                <w:sz w:val="20"/>
                <w:szCs w:val="20"/>
              </w:rPr>
              <w:t>Zn [ppm]</w:t>
            </w:r>
          </w:p>
        </w:tc>
        <w:tc>
          <w:tcPr>
            <w:tcW w:w="3441" w:type="pct"/>
          </w:tcPr>
          <w:p w14:paraId="6C595924" w14:textId="167F57C5" w:rsidR="00BA0176" w:rsidRPr="0098001E" w:rsidRDefault="006F059B" w:rsidP="00C161B4">
            <w:pPr>
              <w:spacing w:beforeLines="60" w:before="144" w:after="60"/>
              <w:jc w:val="center"/>
              <w:rPr>
                <w:sz w:val="20"/>
                <w:szCs w:val="20"/>
              </w:rPr>
            </w:pPr>
            <w:r w:rsidRPr="006F059B">
              <w:rPr>
                <w:sz w:val="20"/>
                <w:szCs w:val="20"/>
              </w:rPr>
              <w:t>y = 369.54x</w:t>
            </w:r>
            <w:r w:rsidRPr="006F059B">
              <w:rPr>
                <w:sz w:val="20"/>
                <w:szCs w:val="20"/>
                <w:vertAlign w:val="superscript"/>
              </w:rPr>
              <w:t>-0.009</w:t>
            </w:r>
          </w:p>
        </w:tc>
        <w:tc>
          <w:tcPr>
            <w:tcW w:w="584" w:type="pct"/>
          </w:tcPr>
          <w:p w14:paraId="3ABD9CC2" w14:textId="08ADA127" w:rsidR="00BA0176" w:rsidRPr="00913D3E" w:rsidRDefault="006F059B" w:rsidP="00C161B4">
            <w:pPr>
              <w:spacing w:beforeLines="60" w:before="144" w:after="60"/>
              <w:jc w:val="center"/>
              <w:rPr>
                <w:sz w:val="20"/>
                <w:szCs w:val="20"/>
              </w:rPr>
            </w:pPr>
            <w:r>
              <w:rPr>
                <w:sz w:val="20"/>
                <w:szCs w:val="20"/>
              </w:rPr>
              <w:t>0.9842</w:t>
            </w:r>
          </w:p>
        </w:tc>
      </w:tr>
      <w:tr w:rsidR="00BA0176" w:rsidRPr="00913D3E" w14:paraId="11FC280C" w14:textId="77777777" w:rsidTr="00C161B4">
        <w:tc>
          <w:tcPr>
            <w:tcW w:w="975" w:type="pct"/>
          </w:tcPr>
          <w:p w14:paraId="32AEDE5B" w14:textId="77777777" w:rsidR="00BA0176" w:rsidRPr="00913D3E" w:rsidRDefault="00BA0176" w:rsidP="00C161B4">
            <w:pPr>
              <w:spacing w:beforeLines="60" w:before="144" w:after="60"/>
              <w:jc w:val="center"/>
              <w:rPr>
                <w:sz w:val="20"/>
                <w:szCs w:val="20"/>
              </w:rPr>
            </w:pPr>
            <w:r>
              <w:rPr>
                <w:sz w:val="20"/>
                <w:szCs w:val="20"/>
              </w:rPr>
              <w:t>Fe [ppm]</w:t>
            </w:r>
          </w:p>
        </w:tc>
        <w:tc>
          <w:tcPr>
            <w:tcW w:w="3441" w:type="pct"/>
          </w:tcPr>
          <w:p w14:paraId="79951901" w14:textId="24D3606E" w:rsidR="00BA0176" w:rsidRPr="00913D3E" w:rsidRDefault="00525BC1" w:rsidP="00C161B4">
            <w:pPr>
              <w:spacing w:beforeLines="60" w:before="144" w:after="60"/>
              <w:jc w:val="center"/>
              <w:rPr>
                <w:sz w:val="20"/>
                <w:szCs w:val="20"/>
              </w:rPr>
            </w:pPr>
            <w:r>
              <w:rPr>
                <w:sz w:val="20"/>
                <w:szCs w:val="20"/>
              </w:rPr>
              <w:t xml:space="preserve">y </w:t>
            </w:r>
            <w:r w:rsidRPr="00525BC1">
              <w:rPr>
                <w:sz w:val="20"/>
                <w:szCs w:val="20"/>
              </w:rPr>
              <w:t>=</w:t>
            </w:r>
            <w:r>
              <w:rPr>
                <w:sz w:val="20"/>
                <w:szCs w:val="20"/>
              </w:rPr>
              <w:t xml:space="preserve"> </w:t>
            </w:r>
            <w:r w:rsidRPr="00525BC1">
              <w:rPr>
                <w:sz w:val="20"/>
                <w:szCs w:val="20"/>
              </w:rPr>
              <w:t>0.000000000003*A2^3 - 0.0000001*A2^2 +0.001*A2 + 1.8297</w:t>
            </w:r>
          </w:p>
        </w:tc>
        <w:tc>
          <w:tcPr>
            <w:tcW w:w="584" w:type="pct"/>
          </w:tcPr>
          <w:p w14:paraId="67ED344C" w14:textId="35827568" w:rsidR="00BA0176" w:rsidRPr="00913D3E" w:rsidRDefault="00BA0176" w:rsidP="00C161B4">
            <w:pPr>
              <w:spacing w:beforeLines="60" w:before="144" w:after="60"/>
              <w:jc w:val="center"/>
              <w:rPr>
                <w:sz w:val="20"/>
                <w:szCs w:val="20"/>
              </w:rPr>
            </w:pPr>
            <w:r>
              <w:rPr>
                <w:sz w:val="20"/>
                <w:szCs w:val="20"/>
              </w:rPr>
              <w:t>0.</w:t>
            </w:r>
            <w:r w:rsidR="007A7162">
              <w:rPr>
                <w:sz w:val="20"/>
                <w:szCs w:val="20"/>
              </w:rPr>
              <w:t>89</w:t>
            </w:r>
            <w:r w:rsidR="00525BC1">
              <w:rPr>
                <w:sz w:val="20"/>
                <w:szCs w:val="20"/>
              </w:rPr>
              <w:t>52</w:t>
            </w:r>
          </w:p>
        </w:tc>
      </w:tr>
      <w:tr w:rsidR="00BA0176" w:rsidRPr="00913D3E" w14:paraId="37CAEB0F" w14:textId="77777777" w:rsidTr="00C161B4">
        <w:tc>
          <w:tcPr>
            <w:tcW w:w="975" w:type="pct"/>
          </w:tcPr>
          <w:p w14:paraId="1198FF12" w14:textId="77777777" w:rsidR="00BA0176" w:rsidRDefault="00BA0176" w:rsidP="00C161B4">
            <w:pPr>
              <w:spacing w:beforeLines="60" w:before="144" w:after="60"/>
              <w:jc w:val="center"/>
              <w:rPr>
                <w:sz w:val="20"/>
                <w:szCs w:val="20"/>
              </w:rPr>
            </w:pPr>
            <w:r>
              <w:rPr>
                <w:sz w:val="20"/>
                <w:szCs w:val="20"/>
              </w:rPr>
              <w:t>Si [ppm]</w:t>
            </w:r>
          </w:p>
        </w:tc>
        <w:tc>
          <w:tcPr>
            <w:tcW w:w="3441" w:type="pct"/>
          </w:tcPr>
          <w:p w14:paraId="357E1D8C" w14:textId="0D686F81" w:rsidR="00BA0176" w:rsidRPr="001F681B" w:rsidRDefault="009F2A9E" w:rsidP="00C161B4">
            <w:pPr>
              <w:spacing w:beforeLines="60" w:before="144" w:after="60"/>
              <w:jc w:val="center"/>
              <w:rPr>
                <w:sz w:val="20"/>
                <w:szCs w:val="20"/>
              </w:rPr>
            </w:pPr>
            <w:r>
              <w:rPr>
                <w:sz w:val="20"/>
                <w:szCs w:val="20"/>
              </w:rPr>
              <w:t xml:space="preserve">y </w:t>
            </w:r>
            <w:r w:rsidR="00A601C3" w:rsidRPr="00A601C3">
              <w:rPr>
                <w:sz w:val="20"/>
                <w:szCs w:val="20"/>
              </w:rPr>
              <w:t>= 7E-12x</w:t>
            </w:r>
            <w:r w:rsidR="00A601C3" w:rsidRPr="00A601C3">
              <w:rPr>
                <w:sz w:val="20"/>
                <w:szCs w:val="20"/>
                <w:vertAlign w:val="superscript"/>
              </w:rPr>
              <w:t>3</w:t>
            </w:r>
            <w:r w:rsidR="00A601C3" w:rsidRPr="00A601C3">
              <w:rPr>
                <w:sz w:val="20"/>
                <w:szCs w:val="20"/>
              </w:rPr>
              <w:t xml:space="preserve"> - 2E-07x</w:t>
            </w:r>
            <w:r w:rsidR="00A601C3" w:rsidRPr="00A601C3">
              <w:rPr>
                <w:sz w:val="20"/>
                <w:szCs w:val="20"/>
                <w:vertAlign w:val="superscript"/>
              </w:rPr>
              <w:t>2</w:t>
            </w:r>
            <w:r w:rsidR="00A601C3" w:rsidRPr="00A601C3">
              <w:rPr>
                <w:sz w:val="20"/>
                <w:szCs w:val="20"/>
              </w:rPr>
              <w:t xml:space="preserve"> + 0.0013x + 26.053</w:t>
            </w:r>
          </w:p>
        </w:tc>
        <w:tc>
          <w:tcPr>
            <w:tcW w:w="584" w:type="pct"/>
          </w:tcPr>
          <w:p w14:paraId="42404CB1" w14:textId="14E1EB6A" w:rsidR="00BA0176" w:rsidRDefault="00BA0176" w:rsidP="00C161B4">
            <w:pPr>
              <w:spacing w:beforeLines="60" w:before="144" w:after="60"/>
              <w:jc w:val="center"/>
              <w:rPr>
                <w:sz w:val="20"/>
                <w:szCs w:val="20"/>
              </w:rPr>
            </w:pPr>
            <w:r>
              <w:rPr>
                <w:sz w:val="20"/>
                <w:szCs w:val="20"/>
              </w:rPr>
              <w:t>0.</w:t>
            </w:r>
            <w:r w:rsidR="00A601C3">
              <w:rPr>
                <w:sz w:val="20"/>
                <w:szCs w:val="20"/>
              </w:rPr>
              <w:t>4985</w:t>
            </w:r>
          </w:p>
        </w:tc>
      </w:tr>
      <w:tr w:rsidR="00BA0176" w:rsidRPr="00913D3E" w14:paraId="67C1B3D3" w14:textId="77777777" w:rsidTr="00C161B4">
        <w:tc>
          <w:tcPr>
            <w:tcW w:w="975" w:type="pct"/>
          </w:tcPr>
          <w:p w14:paraId="7EA8603C" w14:textId="77777777" w:rsidR="00BA0176" w:rsidRDefault="00BA0176" w:rsidP="00C161B4">
            <w:pPr>
              <w:spacing w:beforeLines="60" w:before="144" w:after="60"/>
              <w:jc w:val="center"/>
              <w:rPr>
                <w:sz w:val="20"/>
                <w:szCs w:val="20"/>
              </w:rPr>
            </w:pPr>
            <w:r>
              <w:rPr>
                <w:sz w:val="20"/>
                <w:szCs w:val="20"/>
              </w:rPr>
              <w:t>Cr [ppm]</w:t>
            </w:r>
          </w:p>
        </w:tc>
        <w:tc>
          <w:tcPr>
            <w:tcW w:w="3441" w:type="pct"/>
          </w:tcPr>
          <w:p w14:paraId="1C80CA12" w14:textId="441AC7EE" w:rsidR="00BA0176" w:rsidRDefault="009F2A9E" w:rsidP="00C161B4">
            <w:pPr>
              <w:spacing w:beforeLines="60" w:before="144" w:after="60"/>
              <w:jc w:val="center"/>
              <w:rPr>
                <w:sz w:val="20"/>
                <w:szCs w:val="20"/>
              </w:rPr>
            </w:pPr>
            <w:r w:rsidRPr="009F2A9E">
              <w:rPr>
                <w:sz w:val="20"/>
                <w:szCs w:val="20"/>
              </w:rPr>
              <w:t>y = 1E-08x</w:t>
            </w:r>
            <w:r w:rsidRPr="009F2A9E">
              <w:rPr>
                <w:sz w:val="20"/>
                <w:szCs w:val="20"/>
                <w:vertAlign w:val="superscript"/>
              </w:rPr>
              <w:t>2</w:t>
            </w:r>
            <w:r w:rsidRPr="009F2A9E">
              <w:rPr>
                <w:sz w:val="20"/>
                <w:szCs w:val="20"/>
              </w:rPr>
              <w:t xml:space="preserve"> - 0.0002x + 1.9884</w:t>
            </w:r>
          </w:p>
        </w:tc>
        <w:tc>
          <w:tcPr>
            <w:tcW w:w="584" w:type="pct"/>
          </w:tcPr>
          <w:p w14:paraId="13D4DA27" w14:textId="5FA42245" w:rsidR="00BA0176" w:rsidRDefault="00BA0176" w:rsidP="00C161B4">
            <w:pPr>
              <w:spacing w:beforeLines="60" w:before="144" w:after="60"/>
              <w:jc w:val="center"/>
              <w:rPr>
                <w:sz w:val="20"/>
                <w:szCs w:val="20"/>
              </w:rPr>
            </w:pPr>
            <w:r>
              <w:rPr>
                <w:sz w:val="20"/>
                <w:szCs w:val="20"/>
              </w:rPr>
              <w:t>0.</w:t>
            </w:r>
            <w:r w:rsidR="009F2A9E">
              <w:rPr>
                <w:sz w:val="20"/>
                <w:szCs w:val="20"/>
              </w:rPr>
              <w:t>8762</w:t>
            </w:r>
          </w:p>
        </w:tc>
      </w:tr>
      <w:tr w:rsidR="00BA0176" w:rsidRPr="00913D3E" w14:paraId="639F5011" w14:textId="77777777" w:rsidTr="00C161B4">
        <w:tc>
          <w:tcPr>
            <w:tcW w:w="975" w:type="pct"/>
          </w:tcPr>
          <w:p w14:paraId="0D1CA58F" w14:textId="77777777" w:rsidR="00BA0176" w:rsidRDefault="00BA0176" w:rsidP="00C161B4">
            <w:pPr>
              <w:spacing w:beforeLines="60" w:before="144" w:after="60"/>
              <w:jc w:val="center"/>
              <w:rPr>
                <w:sz w:val="20"/>
                <w:szCs w:val="20"/>
              </w:rPr>
            </w:pPr>
            <w:r>
              <w:rPr>
                <w:sz w:val="20"/>
                <w:szCs w:val="20"/>
              </w:rPr>
              <w:t>Ni [ppm]</w:t>
            </w:r>
          </w:p>
        </w:tc>
        <w:tc>
          <w:tcPr>
            <w:tcW w:w="3441" w:type="pct"/>
          </w:tcPr>
          <w:p w14:paraId="1F0814C0" w14:textId="5B1E0C39" w:rsidR="00BA0176" w:rsidRPr="00390108" w:rsidRDefault="006C2378" w:rsidP="00C161B4">
            <w:pPr>
              <w:spacing w:beforeLines="60" w:before="144" w:after="60"/>
              <w:jc w:val="center"/>
              <w:rPr>
                <w:sz w:val="20"/>
                <w:szCs w:val="20"/>
              </w:rPr>
            </w:pPr>
            <w:r w:rsidRPr="006C2378">
              <w:rPr>
                <w:sz w:val="20"/>
                <w:szCs w:val="20"/>
              </w:rPr>
              <w:t>y = 4.2538x</w:t>
            </w:r>
            <w:r w:rsidRPr="006C2378">
              <w:rPr>
                <w:sz w:val="20"/>
                <w:szCs w:val="20"/>
                <w:vertAlign w:val="superscript"/>
              </w:rPr>
              <w:t>-1.392</w:t>
            </w:r>
          </w:p>
        </w:tc>
        <w:tc>
          <w:tcPr>
            <w:tcW w:w="584" w:type="pct"/>
          </w:tcPr>
          <w:p w14:paraId="1410CD43" w14:textId="77777777" w:rsidR="00BA0176" w:rsidRDefault="00BA0176" w:rsidP="00C161B4">
            <w:pPr>
              <w:spacing w:beforeLines="60" w:before="144" w:after="60"/>
              <w:jc w:val="center"/>
              <w:rPr>
                <w:sz w:val="20"/>
                <w:szCs w:val="20"/>
              </w:rPr>
            </w:pPr>
            <w:r>
              <w:rPr>
                <w:sz w:val="20"/>
                <w:szCs w:val="20"/>
              </w:rPr>
              <w:t>1.0000</w:t>
            </w:r>
          </w:p>
        </w:tc>
      </w:tr>
      <w:tr w:rsidR="00BA0176" w:rsidRPr="00913D3E" w14:paraId="18BF696C" w14:textId="77777777" w:rsidTr="00C161B4">
        <w:tc>
          <w:tcPr>
            <w:tcW w:w="975" w:type="pct"/>
          </w:tcPr>
          <w:p w14:paraId="71CF7603" w14:textId="7974D554" w:rsidR="00BA0176" w:rsidRDefault="008F10D2" w:rsidP="00C161B4">
            <w:pPr>
              <w:spacing w:beforeLines="60" w:before="144" w:after="60"/>
              <w:jc w:val="center"/>
              <w:rPr>
                <w:sz w:val="20"/>
                <w:szCs w:val="20"/>
              </w:rPr>
            </w:pPr>
            <w:r>
              <w:rPr>
                <w:sz w:val="20"/>
                <w:szCs w:val="20"/>
              </w:rPr>
              <w:t>TAN [mgKOH/g]</w:t>
            </w:r>
          </w:p>
        </w:tc>
        <w:tc>
          <w:tcPr>
            <w:tcW w:w="3441" w:type="pct"/>
          </w:tcPr>
          <w:p w14:paraId="3EEF4920" w14:textId="7E884407" w:rsidR="00BA0176" w:rsidRDefault="008F10D2" w:rsidP="00C161B4">
            <w:pPr>
              <w:spacing w:beforeLines="60" w:before="144" w:after="60"/>
              <w:jc w:val="center"/>
              <w:rPr>
                <w:sz w:val="20"/>
                <w:szCs w:val="20"/>
              </w:rPr>
            </w:pPr>
            <w:r w:rsidRPr="008F10D2">
              <w:rPr>
                <w:sz w:val="20"/>
                <w:szCs w:val="20"/>
              </w:rPr>
              <w:t>y = -1E-14x</w:t>
            </w:r>
            <w:r w:rsidRPr="008F10D2">
              <w:rPr>
                <w:sz w:val="20"/>
                <w:szCs w:val="20"/>
                <w:vertAlign w:val="superscript"/>
              </w:rPr>
              <w:t>3</w:t>
            </w:r>
            <w:r w:rsidRPr="008F10D2">
              <w:rPr>
                <w:sz w:val="20"/>
                <w:szCs w:val="20"/>
              </w:rPr>
              <w:t xml:space="preserve"> - 2E-10x</w:t>
            </w:r>
            <w:r w:rsidRPr="008F10D2">
              <w:rPr>
                <w:sz w:val="20"/>
                <w:szCs w:val="20"/>
                <w:vertAlign w:val="superscript"/>
              </w:rPr>
              <w:t>2</w:t>
            </w:r>
            <w:r w:rsidRPr="008F10D2">
              <w:rPr>
                <w:sz w:val="20"/>
                <w:szCs w:val="20"/>
              </w:rPr>
              <w:t xml:space="preserve"> + 1E-05x + 0.4099</w:t>
            </w:r>
          </w:p>
        </w:tc>
        <w:tc>
          <w:tcPr>
            <w:tcW w:w="584" w:type="pct"/>
          </w:tcPr>
          <w:p w14:paraId="7CD52A29" w14:textId="564683CB" w:rsidR="00BA0176" w:rsidRDefault="008F10D2" w:rsidP="00C161B4">
            <w:pPr>
              <w:spacing w:beforeLines="60" w:before="144" w:after="60"/>
              <w:jc w:val="center"/>
              <w:rPr>
                <w:sz w:val="20"/>
                <w:szCs w:val="20"/>
              </w:rPr>
            </w:pPr>
            <w:r>
              <w:rPr>
                <w:sz w:val="20"/>
                <w:szCs w:val="20"/>
              </w:rPr>
              <w:t>0.7354</w:t>
            </w:r>
          </w:p>
        </w:tc>
      </w:tr>
      <w:tr w:rsidR="00BA0176" w:rsidRPr="00913D3E" w14:paraId="72C554F4" w14:textId="77777777" w:rsidTr="00C161B4">
        <w:tc>
          <w:tcPr>
            <w:tcW w:w="975" w:type="pct"/>
            <w:tcBorders>
              <w:bottom w:val="single" w:sz="4" w:space="0" w:color="auto"/>
            </w:tcBorders>
          </w:tcPr>
          <w:p w14:paraId="023C17E6" w14:textId="77777777" w:rsidR="00BA0176" w:rsidRDefault="00BA0176" w:rsidP="00C161B4">
            <w:pPr>
              <w:spacing w:beforeLines="60" w:before="144" w:after="60"/>
              <w:jc w:val="center"/>
              <w:rPr>
                <w:sz w:val="20"/>
                <w:szCs w:val="20"/>
              </w:rPr>
            </w:pPr>
          </w:p>
        </w:tc>
        <w:tc>
          <w:tcPr>
            <w:tcW w:w="3441" w:type="pct"/>
            <w:tcBorders>
              <w:bottom w:val="single" w:sz="4" w:space="0" w:color="auto"/>
            </w:tcBorders>
          </w:tcPr>
          <w:p w14:paraId="566D86DB" w14:textId="77777777" w:rsidR="00BA0176" w:rsidRDefault="00BA0176" w:rsidP="00C161B4">
            <w:pPr>
              <w:spacing w:beforeLines="60" w:before="144" w:after="60"/>
              <w:jc w:val="center"/>
              <w:rPr>
                <w:sz w:val="20"/>
                <w:szCs w:val="20"/>
              </w:rPr>
            </w:pPr>
          </w:p>
        </w:tc>
        <w:tc>
          <w:tcPr>
            <w:tcW w:w="584" w:type="pct"/>
            <w:tcBorders>
              <w:bottom w:val="single" w:sz="4" w:space="0" w:color="auto"/>
            </w:tcBorders>
          </w:tcPr>
          <w:p w14:paraId="42DB5128" w14:textId="77777777" w:rsidR="00BA0176" w:rsidRDefault="00BA0176" w:rsidP="00C161B4">
            <w:pPr>
              <w:spacing w:beforeLines="60" w:before="144" w:after="60"/>
              <w:jc w:val="center"/>
              <w:rPr>
                <w:sz w:val="20"/>
                <w:szCs w:val="20"/>
              </w:rPr>
            </w:pPr>
          </w:p>
        </w:tc>
      </w:tr>
      <w:tr w:rsidR="00BA0176" w:rsidRPr="00913D3E" w14:paraId="4D0630DF" w14:textId="77777777" w:rsidTr="00C161B4">
        <w:tc>
          <w:tcPr>
            <w:tcW w:w="5000" w:type="pct"/>
            <w:gridSpan w:val="3"/>
            <w:tcBorders>
              <w:top w:val="single" w:sz="4" w:space="0" w:color="auto"/>
            </w:tcBorders>
          </w:tcPr>
          <w:p w14:paraId="17590449" w14:textId="77777777" w:rsidR="00BA0176" w:rsidRDefault="00BA0176" w:rsidP="00C161B4">
            <w:pPr>
              <w:spacing w:before="0" w:after="0"/>
              <w:jc w:val="left"/>
              <w:rPr>
                <w:sz w:val="20"/>
                <w:szCs w:val="20"/>
              </w:rPr>
            </w:pPr>
            <w:r>
              <w:rPr>
                <w:sz w:val="20"/>
                <w:szCs w:val="20"/>
              </w:rPr>
              <w:t xml:space="preserve">Where </w:t>
            </w:r>
            <w:r>
              <w:rPr>
                <w:i/>
                <w:iCs/>
                <w:sz w:val="20"/>
                <w:szCs w:val="20"/>
              </w:rPr>
              <w:t>x</w:t>
            </w:r>
            <w:r>
              <w:rPr>
                <w:sz w:val="20"/>
                <w:szCs w:val="20"/>
              </w:rPr>
              <w:t xml:space="preserve"> = cycle number</w:t>
            </w:r>
          </w:p>
        </w:tc>
      </w:tr>
    </w:tbl>
    <w:p w14:paraId="018DB860" w14:textId="3F032B3F" w:rsidR="00A16307" w:rsidRDefault="00A16307" w:rsidP="00BA0176"/>
    <w:p w14:paraId="779EE4EE" w14:textId="77777777" w:rsidR="00A16307" w:rsidRDefault="00A16307">
      <w:pPr>
        <w:spacing w:before="0" w:after="160" w:line="259" w:lineRule="auto"/>
        <w:jc w:val="left"/>
      </w:pPr>
      <w:r>
        <w:br w:type="page"/>
      </w:r>
    </w:p>
    <w:p w14:paraId="01CA0A8B" w14:textId="0B88F06E" w:rsidR="00D01989" w:rsidRDefault="00A16307" w:rsidP="008B1653">
      <w:pPr>
        <w:pStyle w:val="Caption"/>
        <w:jc w:val="left"/>
      </w:pPr>
      <w:bookmarkStart w:id="829" w:name="_Toc101274678"/>
      <w:r>
        <w:lastRenderedPageBreak/>
        <w:t xml:space="preserve">Appendix </w:t>
      </w:r>
      <w:fldSimple w:instr=" SEQ Appendix \* ARABIC ">
        <w:r w:rsidR="00587AF0">
          <w:rPr>
            <w:noProof/>
          </w:rPr>
          <w:t>8</w:t>
        </w:r>
      </w:fldSimple>
      <w:r>
        <w:t>. Autocorrelation and partial autocorrelation estimates of N_HyPower data</w:t>
      </w:r>
      <w:bookmarkEnd w:id="829"/>
    </w:p>
    <w:tbl>
      <w:tblPr>
        <w:tblW w:w="5000" w:type="pct"/>
        <w:tblLook w:val="04A0" w:firstRow="1" w:lastRow="0" w:firstColumn="1" w:lastColumn="0" w:noHBand="0" w:noVBand="1"/>
      </w:tblPr>
      <w:tblGrid>
        <w:gridCol w:w="1442"/>
        <w:gridCol w:w="1517"/>
        <w:gridCol w:w="1517"/>
        <w:gridCol w:w="1517"/>
        <w:gridCol w:w="1517"/>
        <w:gridCol w:w="1517"/>
      </w:tblGrid>
      <w:tr w:rsidR="00AD277B" w:rsidRPr="00AD277B" w14:paraId="2EF2AB42" w14:textId="77777777" w:rsidTr="00516D3C">
        <w:trPr>
          <w:trHeight w:val="300"/>
        </w:trPr>
        <w:tc>
          <w:tcPr>
            <w:tcW w:w="799" w:type="pct"/>
            <w:tcBorders>
              <w:top w:val="single" w:sz="4" w:space="0" w:color="auto"/>
              <w:bottom w:val="single" w:sz="4" w:space="0" w:color="auto"/>
            </w:tcBorders>
            <w:shd w:val="clear" w:color="auto" w:fill="auto"/>
            <w:noWrap/>
            <w:vAlign w:val="center"/>
            <w:hideMark/>
          </w:tcPr>
          <w:p w14:paraId="7ED22091"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n</w:t>
            </w:r>
          </w:p>
        </w:tc>
        <w:tc>
          <w:tcPr>
            <w:tcW w:w="840" w:type="pct"/>
            <w:tcBorders>
              <w:top w:val="single" w:sz="4" w:space="0" w:color="auto"/>
              <w:bottom w:val="single" w:sz="4" w:space="0" w:color="auto"/>
            </w:tcBorders>
            <w:shd w:val="clear" w:color="auto" w:fill="auto"/>
            <w:noWrap/>
            <w:vAlign w:val="center"/>
            <w:hideMark/>
          </w:tcPr>
          <w:p w14:paraId="5E384A64" w14:textId="77777777" w:rsidR="00AD277B" w:rsidRPr="00AD277B" w:rsidRDefault="00AD277B" w:rsidP="00AD277B">
            <w:pPr>
              <w:spacing w:before="0" w:after="0"/>
              <w:jc w:val="center"/>
              <w:rPr>
                <w:rFonts w:eastAsia="Times New Roman" w:cs="Calibri"/>
                <w:b/>
                <w:bCs/>
                <w:color w:val="000000"/>
                <w:sz w:val="20"/>
                <w:szCs w:val="20"/>
                <w:lang w:val="sr-Latn-RS" w:eastAsia="sr-Latn-RS"/>
              </w:rPr>
            </w:pPr>
            <w:r w:rsidRPr="00AD277B">
              <w:rPr>
                <w:rFonts w:eastAsia="Times New Roman" w:cs="Calibri"/>
                <w:b/>
                <w:bCs/>
                <w:color w:val="000000"/>
                <w:sz w:val="20"/>
                <w:szCs w:val="20"/>
                <w:lang w:val="sr-Latn-RS" w:eastAsia="sr-Latn-RS"/>
              </w:rPr>
              <w:t>ACF1</w:t>
            </w:r>
          </w:p>
        </w:tc>
        <w:tc>
          <w:tcPr>
            <w:tcW w:w="840" w:type="pct"/>
            <w:tcBorders>
              <w:top w:val="single" w:sz="4" w:space="0" w:color="auto"/>
              <w:bottom w:val="single" w:sz="4" w:space="0" w:color="auto"/>
            </w:tcBorders>
            <w:shd w:val="clear" w:color="auto" w:fill="auto"/>
            <w:noWrap/>
            <w:vAlign w:val="center"/>
            <w:hideMark/>
          </w:tcPr>
          <w:p w14:paraId="308AD7F0" w14:textId="77777777" w:rsidR="00AD277B" w:rsidRPr="00AD277B" w:rsidRDefault="00AD277B" w:rsidP="00AD277B">
            <w:pPr>
              <w:spacing w:before="0" w:after="0"/>
              <w:jc w:val="center"/>
              <w:rPr>
                <w:rFonts w:eastAsia="Times New Roman" w:cs="Calibri"/>
                <w:b/>
                <w:bCs/>
                <w:color w:val="000000"/>
                <w:sz w:val="20"/>
                <w:szCs w:val="20"/>
                <w:lang w:val="sr-Latn-RS" w:eastAsia="sr-Latn-RS"/>
              </w:rPr>
            </w:pPr>
            <w:r w:rsidRPr="00AD277B">
              <w:rPr>
                <w:rFonts w:eastAsia="Times New Roman" w:cs="Calibri"/>
                <w:b/>
                <w:bCs/>
                <w:color w:val="000000"/>
                <w:sz w:val="20"/>
                <w:szCs w:val="20"/>
                <w:lang w:val="sr-Latn-RS" w:eastAsia="sr-Latn-RS"/>
              </w:rPr>
              <w:t>TSTA1</w:t>
            </w:r>
          </w:p>
        </w:tc>
        <w:tc>
          <w:tcPr>
            <w:tcW w:w="840" w:type="pct"/>
            <w:tcBorders>
              <w:top w:val="single" w:sz="4" w:space="0" w:color="auto"/>
              <w:bottom w:val="single" w:sz="4" w:space="0" w:color="auto"/>
            </w:tcBorders>
            <w:shd w:val="clear" w:color="auto" w:fill="auto"/>
            <w:noWrap/>
            <w:vAlign w:val="center"/>
            <w:hideMark/>
          </w:tcPr>
          <w:p w14:paraId="598AE475" w14:textId="77777777" w:rsidR="00AD277B" w:rsidRPr="00AD277B" w:rsidRDefault="00AD277B" w:rsidP="00AD277B">
            <w:pPr>
              <w:spacing w:before="0" w:after="0"/>
              <w:jc w:val="center"/>
              <w:rPr>
                <w:rFonts w:eastAsia="Times New Roman" w:cs="Calibri"/>
                <w:b/>
                <w:bCs/>
                <w:color w:val="000000"/>
                <w:sz w:val="20"/>
                <w:szCs w:val="20"/>
                <w:lang w:val="sr-Latn-RS" w:eastAsia="sr-Latn-RS"/>
              </w:rPr>
            </w:pPr>
            <w:r w:rsidRPr="00AD277B">
              <w:rPr>
                <w:rFonts w:eastAsia="Times New Roman" w:cs="Calibri"/>
                <w:b/>
                <w:bCs/>
                <w:color w:val="000000"/>
                <w:sz w:val="20"/>
                <w:szCs w:val="20"/>
                <w:lang w:val="sr-Latn-RS" w:eastAsia="sr-Latn-RS"/>
              </w:rPr>
              <w:t>LBQ1</w:t>
            </w:r>
          </w:p>
        </w:tc>
        <w:tc>
          <w:tcPr>
            <w:tcW w:w="840" w:type="pct"/>
            <w:tcBorders>
              <w:top w:val="single" w:sz="4" w:space="0" w:color="auto"/>
              <w:bottom w:val="single" w:sz="4" w:space="0" w:color="auto"/>
            </w:tcBorders>
            <w:shd w:val="clear" w:color="auto" w:fill="auto"/>
            <w:noWrap/>
            <w:vAlign w:val="center"/>
            <w:hideMark/>
          </w:tcPr>
          <w:p w14:paraId="406B4747" w14:textId="77777777" w:rsidR="00AD277B" w:rsidRPr="00AD277B" w:rsidRDefault="00AD277B" w:rsidP="00AD277B">
            <w:pPr>
              <w:spacing w:before="0" w:after="0"/>
              <w:jc w:val="center"/>
              <w:rPr>
                <w:rFonts w:eastAsia="Times New Roman" w:cs="Calibri"/>
                <w:b/>
                <w:bCs/>
                <w:color w:val="000000"/>
                <w:sz w:val="20"/>
                <w:szCs w:val="20"/>
                <w:lang w:val="sr-Latn-RS" w:eastAsia="sr-Latn-RS"/>
              </w:rPr>
            </w:pPr>
            <w:r w:rsidRPr="00AD277B">
              <w:rPr>
                <w:rFonts w:eastAsia="Times New Roman" w:cs="Calibri"/>
                <w:b/>
                <w:bCs/>
                <w:color w:val="000000"/>
                <w:sz w:val="20"/>
                <w:szCs w:val="20"/>
                <w:lang w:val="sr-Latn-RS" w:eastAsia="sr-Latn-RS"/>
              </w:rPr>
              <w:t>PACF2</w:t>
            </w:r>
          </w:p>
        </w:tc>
        <w:tc>
          <w:tcPr>
            <w:tcW w:w="840" w:type="pct"/>
            <w:tcBorders>
              <w:top w:val="single" w:sz="4" w:space="0" w:color="auto"/>
              <w:bottom w:val="single" w:sz="4" w:space="0" w:color="auto"/>
            </w:tcBorders>
            <w:shd w:val="clear" w:color="auto" w:fill="auto"/>
            <w:noWrap/>
            <w:vAlign w:val="center"/>
            <w:hideMark/>
          </w:tcPr>
          <w:p w14:paraId="6E9A4269" w14:textId="77777777" w:rsidR="00AD277B" w:rsidRPr="00AD277B" w:rsidRDefault="00AD277B" w:rsidP="00AD277B">
            <w:pPr>
              <w:spacing w:before="0" w:after="0"/>
              <w:jc w:val="center"/>
              <w:rPr>
                <w:rFonts w:eastAsia="Times New Roman" w:cs="Calibri"/>
                <w:b/>
                <w:bCs/>
                <w:color w:val="000000"/>
                <w:sz w:val="20"/>
                <w:szCs w:val="20"/>
                <w:lang w:val="sr-Latn-RS" w:eastAsia="sr-Latn-RS"/>
              </w:rPr>
            </w:pPr>
            <w:r w:rsidRPr="00AD277B">
              <w:rPr>
                <w:rFonts w:eastAsia="Times New Roman" w:cs="Calibri"/>
                <w:b/>
                <w:bCs/>
                <w:color w:val="000000"/>
                <w:sz w:val="20"/>
                <w:szCs w:val="20"/>
                <w:lang w:val="sr-Latn-RS" w:eastAsia="sr-Latn-RS"/>
              </w:rPr>
              <w:t>TSTA2</w:t>
            </w:r>
          </w:p>
        </w:tc>
      </w:tr>
      <w:tr w:rsidR="00AD277B" w:rsidRPr="00AD277B" w14:paraId="20EFB172" w14:textId="77777777" w:rsidTr="00516D3C">
        <w:trPr>
          <w:trHeight w:val="300"/>
        </w:trPr>
        <w:tc>
          <w:tcPr>
            <w:tcW w:w="799" w:type="pct"/>
            <w:tcBorders>
              <w:top w:val="single" w:sz="4" w:space="0" w:color="auto"/>
            </w:tcBorders>
            <w:shd w:val="clear" w:color="auto" w:fill="auto"/>
            <w:noWrap/>
            <w:vAlign w:val="center"/>
            <w:hideMark/>
          </w:tcPr>
          <w:p w14:paraId="2EA0D938"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w:t>
            </w:r>
          </w:p>
        </w:tc>
        <w:tc>
          <w:tcPr>
            <w:tcW w:w="840" w:type="pct"/>
            <w:tcBorders>
              <w:top w:val="single" w:sz="4" w:space="0" w:color="auto"/>
            </w:tcBorders>
            <w:shd w:val="clear" w:color="auto" w:fill="auto"/>
            <w:noWrap/>
            <w:vAlign w:val="center"/>
            <w:hideMark/>
          </w:tcPr>
          <w:p w14:paraId="6BBA15CE"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0.0013728</w:t>
            </w:r>
          </w:p>
        </w:tc>
        <w:tc>
          <w:tcPr>
            <w:tcW w:w="840" w:type="pct"/>
            <w:tcBorders>
              <w:top w:val="single" w:sz="4" w:space="0" w:color="auto"/>
            </w:tcBorders>
            <w:shd w:val="clear" w:color="auto" w:fill="auto"/>
            <w:noWrap/>
            <w:vAlign w:val="center"/>
            <w:hideMark/>
          </w:tcPr>
          <w:p w14:paraId="5CE35F38"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0.0195595</w:t>
            </w:r>
          </w:p>
        </w:tc>
        <w:tc>
          <w:tcPr>
            <w:tcW w:w="840" w:type="pct"/>
            <w:tcBorders>
              <w:top w:val="single" w:sz="4" w:space="0" w:color="auto"/>
            </w:tcBorders>
            <w:shd w:val="clear" w:color="auto" w:fill="auto"/>
            <w:noWrap/>
            <w:vAlign w:val="center"/>
            <w:hideMark/>
          </w:tcPr>
          <w:p w14:paraId="19C8CA07"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0.0003883</w:t>
            </w:r>
          </w:p>
        </w:tc>
        <w:tc>
          <w:tcPr>
            <w:tcW w:w="840" w:type="pct"/>
            <w:tcBorders>
              <w:top w:val="single" w:sz="4" w:space="0" w:color="auto"/>
            </w:tcBorders>
            <w:shd w:val="clear" w:color="auto" w:fill="auto"/>
            <w:noWrap/>
            <w:vAlign w:val="center"/>
            <w:hideMark/>
          </w:tcPr>
          <w:p w14:paraId="46FB2A7C"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0.0013728</w:t>
            </w:r>
          </w:p>
        </w:tc>
        <w:tc>
          <w:tcPr>
            <w:tcW w:w="840" w:type="pct"/>
            <w:tcBorders>
              <w:top w:val="single" w:sz="4" w:space="0" w:color="auto"/>
            </w:tcBorders>
            <w:shd w:val="clear" w:color="auto" w:fill="auto"/>
            <w:noWrap/>
            <w:vAlign w:val="center"/>
            <w:hideMark/>
          </w:tcPr>
          <w:p w14:paraId="2C99BCE0"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0.0195595</w:t>
            </w:r>
          </w:p>
        </w:tc>
      </w:tr>
      <w:tr w:rsidR="00AD277B" w:rsidRPr="00AD277B" w14:paraId="5DED2AD6" w14:textId="77777777" w:rsidTr="00516D3C">
        <w:trPr>
          <w:trHeight w:val="300"/>
        </w:trPr>
        <w:tc>
          <w:tcPr>
            <w:tcW w:w="799" w:type="pct"/>
            <w:shd w:val="clear" w:color="auto" w:fill="auto"/>
            <w:noWrap/>
            <w:vAlign w:val="center"/>
            <w:hideMark/>
          </w:tcPr>
          <w:p w14:paraId="2677349D"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2</w:t>
            </w:r>
          </w:p>
        </w:tc>
        <w:tc>
          <w:tcPr>
            <w:tcW w:w="840" w:type="pct"/>
            <w:shd w:val="clear" w:color="auto" w:fill="auto"/>
            <w:noWrap/>
            <w:vAlign w:val="center"/>
            <w:hideMark/>
          </w:tcPr>
          <w:p w14:paraId="462A287A"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-0.0637644</w:t>
            </w:r>
          </w:p>
        </w:tc>
        <w:tc>
          <w:tcPr>
            <w:tcW w:w="840" w:type="pct"/>
            <w:shd w:val="clear" w:color="auto" w:fill="auto"/>
            <w:noWrap/>
            <w:vAlign w:val="center"/>
            <w:hideMark/>
          </w:tcPr>
          <w:p w14:paraId="5A5FA80F"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-0.9085013</w:t>
            </w:r>
          </w:p>
        </w:tc>
        <w:tc>
          <w:tcPr>
            <w:tcW w:w="840" w:type="pct"/>
            <w:shd w:val="clear" w:color="auto" w:fill="auto"/>
            <w:noWrap/>
            <w:vAlign w:val="center"/>
            <w:hideMark/>
          </w:tcPr>
          <w:p w14:paraId="22BF3C31"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0.8421914</w:t>
            </w:r>
          </w:p>
        </w:tc>
        <w:tc>
          <w:tcPr>
            <w:tcW w:w="840" w:type="pct"/>
            <w:shd w:val="clear" w:color="auto" w:fill="auto"/>
            <w:noWrap/>
            <w:vAlign w:val="center"/>
            <w:hideMark/>
          </w:tcPr>
          <w:p w14:paraId="1D74D721"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-0.0637664</w:t>
            </w:r>
          </w:p>
        </w:tc>
        <w:tc>
          <w:tcPr>
            <w:tcW w:w="840" w:type="pct"/>
            <w:shd w:val="clear" w:color="auto" w:fill="auto"/>
            <w:noWrap/>
            <w:vAlign w:val="center"/>
            <w:hideMark/>
          </w:tcPr>
          <w:p w14:paraId="266DD0BA"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-0.9085316</w:t>
            </w:r>
          </w:p>
        </w:tc>
      </w:tr>
      <w:tr w:rsidR="00AD277B" w:rsidRPr="00AD277B" w14:paraId="3336B8A2" w14:textId="77777777" w:rsidTr="00516D3C">
        <w:trPr>
          <w:trHeight w:val="300"/>
        </w:trPr>
        <w:tc>
          <w:tcPr>
            <w:tcW w:w="799" w:type="pct"/>
            <w:shd w:val="clear" w:color="auto" w:fill="auto"/>
            <w:noWrap/>
            <w:vAlign w:val="center"/>
            <w:hideMark/>
          </w:tcPr>
          <w:p w14:paraId="6E914794"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3</w:t>
            </w:r>
          </w:p>
        </w:tc>
        <w:tc>
          <w:tcPr>
            <w:tcW w:w="840" w:type="pct"/>
            <w:shd w:val="clear" w:color="auto" w:fill="auto"/>
            <w:noWrap/>
            <w:vAlign w:val="center"/>
            <w:hideMark/>
          </w:tcPr>
          <w:p w14:paraId="5673F1EC"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-0.0433429</w:t>
            </w:r>
          </w:p>
        </w:tc>
        <w:tc>
          <w:tcPr>
            <w:tcW w:w="840" w:type="pct"/>
            <w:shd w:val="clear" w:color="auto" w:fill="auto"/>
            <w:noWrap/>
            <w:vAlign w:val="center"/>
            <w:hideMark/>
          </w:tcPr>
          <w:p w14:paraId="3914DFFF"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-0.6150445</w:t>
            </w:r>
          </w:p>
        </w:tc>
        <w:tc>
          <w:tcPr>
            <w:tcW w:w="840" w:type="pct"/>
            <w:shd w:val="clear" w:color="auto" w:fill="auto"/>
            <w:noWrap/>
            <w:vAlign w:val="center"/>
            <w:hideMark/>
          </w:tcPr>
          <w:p w14:paraId="70E21DBD"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1.2330826</w:t>
            </w:r>
          </w:p>
        </w:tc>
        <w:tc>
          <w:tcPr>
            <w:tcW w:w="840" w:type="pct"/>
            <w:shd w:val="clear" w:color="auto" w:fill="auto"/>
            <w:noWrap/>
            <w:vAlign w:val="center"/>
            <w:hideMark/>
          </w:tcPr>
          <w:p w14:paraId="2D9BCF47"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-0.0433385</w:t>
            </w:r>
          </w:p>
        </w:tc>
        <w:tc>
          <w:tcPr>
            <w:tcW w:w="840" w:type="pct"/>
            <w:shd w:val="clear" w:color="auto" w:fill="auto"/>
            <w:noWrap/>
            <w:vAlign w:val="center"/>
            <w:hideMark/>
          </w:tcPr>
          <w:p w14:paraId="4D6B94C2"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-0.6174793</w:t>
            </w:r>
          </w:p>
        </w:tc>
      </w:tr>
      <w:tr w:rsidR="00AD277B" w:rsidRPr="00AD277B" w14:paraId="1B219D84" w14:textId="77777777" w:rsidTr="00516D3C">
        <w:trPr>
          <w:trHeight w:val="300"/>
        </w:trPr>
        <w:tc>
          <w:tcPr>
            <w:tcW w:w="799" w:type="pct"/>
            <w:shd w:val="clear" w:color="auto" w:fill="auto"/>
            <w:noWrap/>
            <w:vAlign w:val="center"/>
            <w:hideMark/>
          </w:tcPr>
          <w:p w14:paraId="5555F6BE"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4</w:t>
            </w:r>
          </w:p>
        </w:tc>
        <w:tc>
          <w:tcPr>
            <w:tcW w:w="840" w:type="pct"/>
            <w:shd w:val="clear" w:color="auto" w:fill="auto"/>
            <w:noWrap/>
            <w:vAlign w:val="center"/>
            <w:hideMark/>
          </w:tcPr>
          <w:p w14:paraId="5DE7B355"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-0.0222836</w:t>
            </w:r>
          </w:p>
        </w:tc>
        <w:tc>
          <w:tcPr>
            <w:tcW w:w="840" w:type="pct"/>
            <w:shd w:val="clear" w:color="auto" w:fill="auto"/>
            <w:noWrap/>
            <w:vAlign w:val="center"/>
            <w:hideMark/>
          </w:tcPr>
          <w:p w14:paraId="1CD7BBB1"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-0.315621</w:t>
            </w:r>
          </w:p>
        </w:tc>
        <w:tc>
          <w:tcPr>
            <w:tcW w:w="840" w:type="pct"/>
            <w:shd w:val="clear" w:color="auto" w:fill="auto"/>
            <w:noWrap/>
            <w:vAlign w:val="center"/>
            <w:hideMark/>
          </w:tcPr>
          <w:p w14:paraId="1B4839CA"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1.3369232</w:t>
            </w:r>
          </w:p>
        </w:tc>
        <w:tc>
          <w:tcPr>
            <w:tcW w:w="840" w:type="pct"/>
            <w:shd w:val="clear" w:color="auto" w:fill="auto"/>
            <w:noWrap/>
            <w:vAlign w:val="center"/>
            <w:hideMark/>
          </w:tcPr>
          <w:p w14:paraId="3CDDAE9C"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-0.0264999</w:t>
            </w:r>
          </w:p>
        </w:tc>
        <w:tc>
          <w:tcPr>
            <w:tcW w:w="840" w:type="pct"/>
            <w:shd w:val="clear" w:color="auto" w:fill="auto"/>
            <w:noWrap/>
            <w:vAlign w:val="center"/>
            <w:hideMark/>
          </w:tcPr>
          <w:p w14:paraId="1F80614E"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-0.377566</w:t>
            </w:r>
          </w:p>
        </w:tc>
      </w:tr>
      <w:tr w:rsidR="00AD277B" w:rsidRPr="00AD277B" w14:paraId="4C41AD38" w14:textId="77777777" w:rsidTr="00516D3C">
        <w:trPr>
          <w:trHeight w:val="300"/>
        </w:trPr>
        <w:tc>
          <w:tcPr>
            <w:tcW w:w="799" w:type="pct"/>
            <w:shd w:val="clear" w:color="auto" w:fill="auto"/>
            <w:noWrap/>
            <w:vAlign w:val="center"/>
            <w:hideMark/>
          </w:tcPr>
          <w:p w14:paraId="73A4A2EC"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5</w:t>
            </w:r>
          </w:p>
        </w:tc>
        <w:tc>
          <w:tcPr>
            <w:tcW w:w="840" w:type="pct"/>
            <w:shd w:val="clear" w:color="auto" w:fill="auto"/>
            <w:noWrap/>
            <w:vAlign w:val="center"/>
            <w:hideMark/>
          </w:tcPr>
          <w:p w14:paraId="0E0B2D00"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-0.0355053</w:t>
            </w:r>
          </w:p>
        </w:tc>
        <w:tc>
          <w:tcPr>
            <w:tcW w:w="840" w:type="pct"/>
            <w:shd w:val="clear" w:color="auto" w:fill="auto"/>
            <w:noWrap/>
            <w:vAlign w:val="center"/>
            <w:hideMark/>
          </w:tcPr>
          <w:p w14:paraId="5DCA16D0"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-0.5026439</w:t>
            </w:r>
          </w:p>
        </w:tc>
        <w:tc>
          <w:tcPr>
            <w:tcW w:w="840" w:type="pct"/>
            <w:shd w:val="clear" w:color="auto" w:fill="auto"/>
            <w:noWrap/>
            <w:vAlign w:val="center"/>
            <w:hideMark/>
          </w:tcPr>
          <w:p w14:paraId="2CDA2426"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1.6018769</w:t>
            </w:r>
          </w:p>
        </w:tc>
        <w:tc>
          <w:tcPr>
            <w:tcW w:w="840" w:type="pct"/>
            <w:shd w:val="clear" w:color="auto" w:fill="auto"/>
            <w:noWrap/>
            <w:vAlign w:val="center"/>
            <w:hideMark/>
          </w:tcPr>
          <w:p w14:paraId="47A97F93"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-0.0413982</w:t>
            </w:r>
          </w:p>
        </w:tc>
        <w:tc>
          <w:tcPr>
            <w:tcW w:w="840" w:type="pct"/>
            <w:shd w:val="clear" w:color="auto" w:fill="auto"/>
            <w:noWrap/>
            <w:vAlign w:val="center"/>
            <w:hideMark/>
          </w:tcPr>
          <w:p w14:paraId="4C9005F7"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-0.589833</w:t>
            </w:r>
          </w:p>
        </w:tc>
      </w:tr>
      <w:tr w:rsidR="00AD277B" w:rsidRPr="00AD277B" w14:paraId="441864C4" w14:textId="77777777" w:rsidTr="00516D3C">
        <w:trPr>
          <w:trHeight w:val="300"/>
        </w:trPr>
        <w:tc>
          <w:tcPr>
            <w:tcW w:w="799" w:type="pct"/>
            <w:shd w:val="clear" w:color="auto" w:fill="auto"/>
            <w:noWrap/>
            <w:vAlign w:val="center"/>
            <w:hideMark/>
          </w:tcPr>
          <w:p w14:paraId="0E9F2B0B"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6</w:t>
            </w:r>
          </w:p>
        </w:tc>
        <w:tc>
          <w:tcPr>
            <w:tcW w:w="840" w:type="pct"/>
            <w:shd w:val="clear" w:color="auto" w:fill="auto"/>
            <w:noWrap/>
            <w:vAlign w:val="center"/>
            <w:hideMark/>
          </w:tcPr>
          <w:p w14:paraId="0B42F57A"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-0.0627005</w:t>
            </w:r>
          </w:p>
        </w:tc>
        <w:tc>
          <w:tcPr>
            <w:tcW w:w="840" w:type="pct"/>
            <w:shd w:val="clear" w:color="auto" w:fill="auto"/>
            <w:noWrap/>
            <w:vAlign w:val="center"/>
            <w:hideMark/>
          </w:tcPr>
          <w:p w14:paraId="22D010CE"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-0.8865406</w:t>
            </w:r>
          </w:p>
        </w:tc>
        <w:tc>
          <w:tcPr>
            <w:tcW w:w="840" w:type="pct"/>
            <w:shd w:val="clear" w:color="auto" w:fill="auto"/>
            <w:noWrap/>
            <w:vAlign w:val="center"/>
            <w:hideMark/>
          </w:tcPr>
          <w:p w14:paraId="23216D41"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2.432349</w:t>
            </w:r>
          </w:p>
        </w:tc>
        <w:tc>
          <w:tcPr>
            <w:tcW w:w="840" w:type="pct"/>
            <w:shd w:val="clear" w:color="auto" w:fill="auto"/>
            <w:noWrap/>
            <w:vAlign w:val="center"/>
            <w:hideMark/>
          </w:tcPr>
          <w:p w14:paraId="546915DA"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-0.0685318</w:t>
            </w:r>
          </w:p>
        </w:tc>
        <w:tc>
          <w:tcPr>
            <w:tcW w:w="840" w:type="pct"/>
            <w:shd w:val="clear" w:color="auto" w:fill="auto"/>
            <w:noWrap/>
            <w:vAlign w:val="center"/>
            <w:hideMark/>
          </w:tcPr>
          <w:p w14:paraId="5E7831B9"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-0.9764272</w:t>
            </w:r>
          </w:p>
        </w:tc>
      </w:tr>
      <w:tr w:rsidR="00AD277B" w:rsidRPr="00AD277B" w14:paraId="606F508B" w14:textId="77777777" w:rsidTr="00516D3C">
        <w:trPr>
          <w:trHeight w:val="300"/>
        </w:trPr>
        <w:tc>
          <w:tcPr>
            <w:tcW w:w="799" w:type="pct"/>
            <w:shd w:val="clear" w:color="auto" w:fill="auto"/>
            <w:noWrap/>
            <w:vAlign w:val="center"/>
            <w:hideMark/>
          </w:tcPr>
          <w:p w14:paraId="76DE95E1"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7</w:t>
            </w:r>
          </w:p>
        </w:tc>
        <w:tc>
          <w:tcPr>
            <w:tcW w:w="840" w:type="pct"/>
            <w:shd w:val="clear" w:color="auto" w:fill="auto"/>
            <w:noWrap/>
            <w:vAlign w:val="center"/>
            <w:hideMark/>
          </w:tcPr>
          <w:p w14:paraId="5428E168"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-0.03091</w:t>
            </w:r>
          </w:p>
        </w:tc>
        <w:tc>
          <w:tcPr>
            <w:tcW w:w="840" w:type="pct"/>
            <w:shd w:val="clear" w:color="auto" w:fill="auto"/>
            <w:noWrap/>
            <w:vAlign w:val="center"/>
            <w:hideMark/>
          </w:tcPr>
          <w:p w14:paraId="3F5C389C"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-0.4353632</w:t>
            </w:r>
          </w:p>
        </w:tc>
        <w:tc>
          <w:tcPr>
            <w:tcW w:w="840" w:type="pct"/>
            <w:shd w:val="clear" w:color="auto" w:fill="auto"/>
            <w:noWrap/>
            <w:vAlign w:val="center"/>
            <w:hideMark/>
          </w:tcPr>
          <w:p w14:paraId="4FF48CBE"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2.6352067</w:t>
            </w:r>
          </w:p>
        </w:tc>
        <w:tc>
          <w:tcPr>
            <w:tcW w:w="840" w:type="pct"/>
            <w:shd w:val="clear" w:color="auto" w:fill="auto"/>
            <w:noWrap/>
            <w:vAlign w:val="center"/>
            <w:hideMark/>
          </w:tcPr>
          <w:p w14:paraId="73C82738"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-0.039282</w:t>
            </w:r>
          </w:p>
        </w:tc>
        <w:tc>
          <w:tcPr>
            <w:tcW w:w="840" w:type="pct"/>
            <w:shd w:val="clear" w:color="auto" w:fill="auto"/>
            <w:noWrap/>
            <w:vAlign w:val="center"/>
            <w:hideMark/>
          </w:tcPr>
          <w:p w14:paraId="60957326"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-0.5596828</w:t>
            </w:r>
          </w:p>
        </w:tc>
      </w:tr>
      <w:tr w:rsidR="00AD277B" w:rsidRPr="00AD277B" w14:paraId="275BF619" w14:textId="77777777" w:rsidTr="00516D3C">
        <w:trPr>
          <w:trHeight w:val="300"/>
        </w:trPr>
        <w:tc>
          <w:tcPr>
            <w:tcW w:w="799" w:type="pct"/>
            <w:shd w:val="clear" w:color="auto" w:fill="auto"/>
            <w:noWrap/>
            <w:vAlign w:val="center"/>
            <w:hideMark/>
          </w:tcPr>
          <w:p w14:paraId="2971D93C"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8</w:t>
            </w:r>
          </w:p>
        </w:tc>
        <w:tc>
          <w:tcPr>
            <w:tcW w:w="840" w:type="pct"/>
            <w:shd w:val="clear" w:color="auto" w:fill="auto"/>
            <w:noWrap/>
            <w:vAlign w:val="center"/>
            <w:hideMark/>
          </w:tcPr>
          <w:p w14:paraId="0FA7AC7D"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-0.0437372</w:t>
            </w:r>
          </w:p>
        </w:tc>
        <w:tc>
          <w:tcPr>
            <w:tcW w:w="840" w:type="pct"/>
            <w:shd w:val="clear" w:color="auto" w:fill="auto"/>
            <w:noWrap/>
            <w:vAlign w:val="center"/>
            <w:hideMark/>
          </w:tcPr>
          <w:p w14:paraId="2E90FB26"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-0.6154584</w:t>
            </w:r>
          </w:p>
        </w:tc>
        <w:tc>
          <w:tcPr>
            <w:tcW w:w="840" w:type="pct"/>
            <w:shd w:val="clear" w:color="auto" w:fill="auto"/>
            <w:noWrap/>
            <w:vAlign w:val="center"/>
            <w:hideMark/>
          </w:tcPr>
          <w:p w14:paraId="0AFF9C14"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3.0434481</w:t>
            </w:r>
          </w:p>
        </w:tc>
        <w:tc>
          <w:tcPr>
            <w:tcW w:w="840" w:type="pct"/>
            <w:shd w:val="clear" w:color="auto" w:fill="auto"/>
            <w:noWrap/>
            <w:vAlign w:val="center"/>
            <w:hideMark/>
          </w:tcPr>
          <w:p w14:paraId="0B135262"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-0.058075</w:t>
            </w:r>
          </w:p>
        </w:tc>
        <w:tc>
          <w:tcPr>
            <w:tcW w:w="840" w:type="pct"/>
            <w:shd w:val="clear" w:color="auto" w:fill="auto"/>
            <w:noWrap/>
            <w:vAlign w:val="center"/>
            <w:hideMark/>
          </w:tcPr>
          <w:p w14:paraId="7F4C2608"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-0.8274421</w:t>
            </w:r>
          </w:p>
        </w:tc>
      </w:tr>
      <w:tr w:rsidR="00AD277B" w:rsidRPr="00AD277B" w14:paraId="68D39D01" w14:textId="77777777" w:rsidTr="00516D3C">
        <w:trPr>
          <w:trHeight w:val="300"/>
        </w:trPr>
        <w:tc>
          <w:tcPr>
            <w:tcW w:w="799" w:type="pct"/>
            <w:shd w:val="clear" w:color="auto" w:fill="auto"/>
            <w:noWrap/>
            <w:vAlign w:val="center"/>
            <w:hideMark/>
          </w:tcPr>
          <w:p w14:paraId="0DFCD3DC"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9</w:t>
            </w:r>
          </w:p>
        </w:tc>
        <w:tc>
          <w:tcPr>
            <w:tcW w:w="840" w:type="pct"/>
            <w:shd w:val="clear" w:color="auto" w:fill="auto"/>
            <w:noWrap/>
            <w:vAlign w:val="center"/>
            <w:hideMark/>
          </w:tcPr>
          <w:p w14:paraId="375849EE"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-0.017305</w:t>
            </w:r>
          </w:p>
        </w:tc>
        <w:tc>
          <w:tcPr>
            <w:tcW w:w="840" w:type="pct"/>
            <w:shd w:val="clear" w:color="auto" w:fill="auto"/>
            <w:noWrap/>
            <w:vAlign w:val="center"/>
            <w:hideMark/>
          </w:tcPr>
          <w:p w14:paraId="51191357"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-0.243058</w:t>
            </w:r>
          </w:p>
        </w:tc>
        <w:tc>
          <w:tcPr>
            <w:tcW w:w="840" w:type="pct"/>
            <w:shd w:val="clear" w:color="auto" w:fill="auto"/>
            <w:noWrap/>
            <w:vAlign w:val="center"/>
            <w:hideMark/>
          </w:tcPr>
          <w:p w14:paraId="4A07CF51"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3.1076858</w:t>
            </w:r>
          </w:p>
        </w:tc>
        <w:tc>
          <w:tcPr>
            <w:tcW w:w="840" w:type="pct"/>
            <w:shd w:val="clear" w:color="auto" w:fill="auto"/>
            <w:noWrap/>
            <w:vAlign w:val="center"/>
            <w:hideMark/>
          </w:tcPr>
          <w:p w14:paraId="28A920AE"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-0.0319205</w:t>
            </w:r>
          </w:p>
        </w:tc>
        <w:tc>
          <w:tcPr>
            <w:tcW w:w="840" w:type="pct"/>
            <w:shd w:val="clear" w:color="auto" w:fill="auto"/>
            <w:noWrap/>
            <w:vAlign w:val="center"/>
            <w:hideMark/>
          </w:tcPr>
          <w:p w14:paraId="7B578D45"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-0.4547965</w:t>
            </w:r>
          </w:p>
        </w:tc>
      </w:tr>
      <w:tr w:rsidR="00AD277B" w:rsidRPr="00AD277B" w14:paraId="1C5AB715" w14:textId="77777777" w:rsidTr="00516D3C">
        <w:trPr>
          <w:trHeight w:val="300"/>
        </w:trPr>
        <w:tc>
          <w:tcPr>
            <w:tcW w:w="799" w:type="pct"/>
            <w:shd w:val="clear" w:color="auto" w:fill="auto"/>
            <w:noWrap/>
            <w:vAlign w:val="center"/>
            <w:hideMark/>
          </w:tcPr>
          <w:p w14:paraId="193B22D5"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10</w:t>
            </w:r>
          </w:p>
        </w:tc>
        <w:tc>
          <w:tcPr>
            <w:tcW w:w="840" w:type="pct"/>
            <w:shd w:val="clear" w:color="auto" w:fill="auto"/>
            <w:noWrap/>
            <w:vAlign w:val="center"/>
            <w:hideMark/>
          </w:tcPr>
          <w:p w14:paraId="0CB3F556"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0.0484969</w:t>
            </w:r>
          </w:p>
        </w:tc>
        <w:tc>
          <w:tcPr>
            <w:tcW w:w="840" w:type="pct"/>
            <w:shd w:val="clear" w:color="auto" w:fill="auto"/>
            <w:noWrap/>
            <w:vAlign w:val="center"/>
            <w:hideMark/>
          </w:tcPr>
          <w:p w14:paraId="6ED7A14E"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0.6809675</w:t>
            </w:r>
          </w:p>
        </w:tc>
        <w:tc>
          <w:tcPr>
            <w:tcW w:w="840" w:type="pct"/>
            <w:shd w:val="clear" w:color="auto" w:fill="auto"/>
            <w:noWrap/>
            <w:vAlign w:val="center"/>
            <w:hideMark/>
          </w:tcPr>
          <w:p w14:paraId="61542EF6"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3.6148168</w:t>
            </w:r>
          </w:p>
        </w:tc>
        <w:tc>
          <w:tcPr>
            <w:tcW w:w="840" w:type="pct"/>
            <w:shd w:val="clear" w:color="auto" w:fill="auto"/>
            <w:noWrap/>
            <w:vAlign w:val="center"/>
            <w:hideMark/>
          </w:tcPr>
          <w:p w14:paraId="759A767F"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0.0326676</w:t>
            </w:r>
          </w:p>
        </w:tc>
        <w:tc>
          <w:tcPr>
            <w:tcW w:w="840" w:type="pct"/>
            <w:shd w:val="clear" w:color="auto" w:fill="auto"/>
            <w:noWrap/>
            <w:vAlign w:val="center"/>
            <w:hideMark/>
          </w:tcPr>
          <w:p w14:paraId="41C0CBE4"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0.4654413</w:t>
            </w:r>
          </w:p>
        </w:tc>
      </w:tr>
      <w:tr w:rsidR="00AD277B" w:rsidRPr="00AD277B" w14:paraId="1440EE3F" w14:textId="77777777" w:rsidTr="00516D3C">
        <w:trPr>
          <w:trHeight w:val="300"/>
        </w:trPr>
        <w:tc>
          <w:tcPr>
            <w:tcW w:w="799" w:type="pct"/>
            <w:shd w:val="clear" w:color="auto" w:fill="auto"/>
            <w:noWrap/>
            <w:vAlign w:val="center"/>
            <w:hideMark/>
          </w:tcPr>
          <w:p w14:paraId="5F2E5E85"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11</w:t>
            </w:r>
          </w:p>
        </w:tc>
        <w:tc>
          <w:tcPr>
            <w:tcW w:w="840" w:type="pct"/>
            <w:shd w:val="clear" w:color="auto" w:fill="auto"/>
            <w:noWrap/>
            <w:vAlign w:val="center"/>
            <w:hideMark/>
          </w:tcPr>
          <w:p w14:paraId="10ECEF82"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-0.0548237</w:t>
            </w:r>
          </w:p>
        </w:tc>
        <w:tc>
          <w:tcPr>
            <w:tcW w:w="840" w:type="pct"/>
            <w:shd w:val="clear" w:color="auto" w:fill="auto"/>
            <w:noWrap/>
            <w:vAlign w:val="center"/>
            <w:hideMark/>
          </w:tcPr>
          <w:p w14:paraId="6CAD03DF"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-0.7680534</w:t>
            </w:r>
          </w:p>
        </w:tc>
        <w:tc>
          <w:tcPr>
            <w:tcW w:w="840" w:type="pct"/>
            <w:shd w:val="clear" w:color="auto" w:fill="auto"/>
            <w:noWrap/>
            <w:vAlign w:val="center"/>
            <w:hideMark/>
          </w:tcPr>
          <w:p w14:paraId="447A8450"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4.2662741</w:t>
            </w:r>
          </w:p>
        </w:tc>
        <w:tc>
          <w:tcPr>
            <w:tcW w:w="840" w:type="pct"/>
            <w:shd w:val="clear" w:color="auto" w:fill="auto"/>
            <w:noWrap/>
            <w:vAlign w:val="center"/>
            <w:hideMark/>
          </w:tcPr>
          <w:p w14:paraId="2B32C61C"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-0.0712674</w:t>
            </w:r>
          </w:p>
        </w:tc>
        <w:tc>
          <w:tcPr>
            <w:tcW w:w="840" w:type="pct"/>
            <w:shd w:val="clear" w:color="auto" w:fill="auto"/>
            <w:noWrap/>
            <w:vAlign w:val="center"/>
            <w:hideMark/>
          </w:tcPr>
          <w:p w14:paraId="55E6D9DE"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-1.0154035</w:t>
            </w:r>
          </w:p>
        </w:tc>
      </w:tr>
      <w:tr w:rsidR="00AD277B" w:rsidRPr="00AD277B" w14:paraId="4B9E710B" w14:textId="77777777" w:rsidTr="00516D3C">
        <w:trPr>
          <w:trHeight w:val="300"/>
        </w:trPr>
        <w:tc>
          <w:tcPr>
            <w:tcW w:w="799" w:type="pct"/>
            <w:shd w:val="clear" w:color="auto" w:fill="auto"/>
            <w:noWrap/>
            <w:vAlign w:val="center"/>
            <w:hideMark/>
          </w:tcPr>
          <w:p w14:paraId="1A009D23"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12</w:t>
            </w:r>
          </w:p>
        </w:tc>
        <w:tc>
          <w:tcPr>
            <w:tcW w:w="840" w:type="pct"/>
            <w:shd w:val="clear" w:color="auto" w:fill="auto"/>
            <w:noWrap/>
            <w:vAlign w:val="center"/>
            <w:hideMark/>
          </w:tcPr>
          <w:p w14:paraId="24990EAD"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0.0695247</w:t>
            </w:r>
          </w:p>
        </w:tc>
        <w:tc>
          <w:tcPr>
            <w:tcW w:w="840" w:type="pct"/>
            <w:shd w:val="clear" w:color="auto" w:fill="auto"/>
            <w:noWrap/>
            <w:vAlign w:val="center"/>
            <w:hideMark/>
          </w:tcPr>
          <w:p w14:paraId="1ED4B6DA"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0.9711892</w:t>
            </w:r>
          </w:p>
        </w:tc>
        <w:tc>
          <w:tcPr>
            <w:tcW w:w="840" w:type="pct"/>
            <w:shd w:val="clear" w:color="auto" w:fill="auto"/>
            <w:noWrap/>
            <w:vAlign w:val="center"/>
            <w:hideMark/>
          </w:tcPr>
          <w:p w14:paraId="61777EEB"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5.3194366</w:t>
            </w:r>
          </w:p>
        </w:tc>
        <w:tc>
          <w:tcPr>
            <w:tcW w:w="840" w:type="pct"/>
            <w:shd w:val="clear" w:color="auto" w:fill="auto"/>
            <w:noWrap/>
            <w:vAlign w:val="center"/>
            <w:hideMark/>
          </w:tcPr>
          <w:p w14:paraId="404CE047"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0.0628845</w:t>
            </w:r>
          </w:p>
        </w:tc>
        <w:tc>
          <w:tcPr>
            <w:tcW w:w="840" w:type="pct"/>
            <w:shd w:val="clear" w:color="auto" w:fill="auto"/>
            <w:noWrap/>
            <w:vAlign w:val="center"/>
            <w:hideMark/>
          </w:tcPr>
          <w:p w14:paraId="6044D4A4"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0.8959662</w:t>
            </w:r>
          </w:p>
        </w:tc>
      </w:tr>
      <w:tr w:rsidR="00AD277B" w:rsidRPr="00AD277B" w14:paraId="54211F91" w14:textId="77777777" w:rsidTr="00516D3C">
        <w:trPr>
          <w:trHeight w:val="300"/>
        </w:trPr>
        <w:tc>
          <w:tcPr>
            <w:tcW w:w="799" w:type="pct"/>
            <w:shd w:val="clear" w:color="auto" w:fill="auto"/>
            <w:noWrap/>
            <w:vAlign w:val="center"/>
            <w:hideMark/>
          </w:tcPr>
          <w:p w14:paraId="18638831"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13</w:t>
            </w:r>
          </w:p>
        </w:tc>
        <w:tc>
          <w:tcPr>
            <w:tcW w:w="840" w:type="pct"/>
            <w:shd w:val="clear" w:color="auto" w:fill="auto"/>
            <w:noWrap/>
            <w:vAlign w:val="center"/>
            <w:hideMark/>
          </w:tcPr>
          <w:p w14:paraId="3D6C876F"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-0.0155204</w:t>
            </w:r>
          </w:p>
        </w:tc>
        <w:tc>
          <w:tcPr>
            <w:tcW w:w="840" w:type="pct"/>
            <w:shd w:val="clear" w:color="auto" w:fill="auto"/>
            <w:noWrap/>
            <w:vAlign w:val="center"/>
            <w:hideMark/>
          </w:tcPr>
          <w:p w14:paraId="079479AE"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-0.2158042</w:t>
            </w:r>
          </w:p>
        </w:tc>
        <w:tc>
          <w:tcPr>
            <w:tcW w:w="840" w:type="pct"/>
            <w:shd w:val="clear" w:color="auto" w:fill="auto"/>
            <w:noWrap/>
            <w:vAlign w:val="center"/>
            <w:hideMark/>
          </w:tcPr>
          <w:p w14:paraId="660CBF35"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5.3721966</w:t>
            </w:r>
          </w:p>
        </w:tc>
        <w:tc>
          <w:tcPr>
            <w:tcW w:w="840" w:type="pct"/>
            <w:shd w:val="clear" w:color="auto" w:fill="auto"/>
            <w:noWrap/>
            <w:vAlign w:val="center"/>
            <w:hideMark/>
          </w:tcPr>
          <w:p w14:paraId="12103A89"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-0.0308436</w:t>
            </w:r>
          </w:p>
        </w:tc>
        <w:tc>
          <w:tcPr>
            <w:tcW w:w="840" w:type="pct"/>
            <w:shd w:val="clear" w:color="auto" w:fill="auto"/>
            <w:noWrap/>
            <w:vAlign w:val="center"/>
            <w:hideMark/>
          </w:tcPr>
          <w:p w14:paraId="13A24AED"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-0.4394543</w:t>
            </w:r>
          </w:p>
        </w:tc>
      </w:tr>
      <w:tr w:rsidR="00AD277B" w:rsidRPr="00AD277B" w14:paraId="40F76D0E" w14:textId="77777777" w:rsidTr="00516D3C">
        <w:trPr>
          <w:trHeight w:val="300"/>
        </w:trPr>
        <w:tc>
          <w:tcPr>
            <w:tcW w:w="799" w:type="pct"/>
            <w:shd w:val="clear" w:color="auto" w:fill="auto"/>
            <w:noWrap/>
            <w:vAlign w:val="center"/>
            <w:hideMark/>
          </w:tcPr>
          <w:p w14:paraId="15C4E3BB"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14</w:t>
            </w:r>
          </w:p>
        </w:tc>
        <w:tc>
          <w:tcPr>
            <w:tcW w:w="840" w:type="pct"/>
            <w:shd w:val="clear" w:color="auto" w:fill="auto"/>
            <w:noWrap/>
            <w:vAlign w:val="center"/>
            <w:hideMark/>
          </w:tcPr>
          <w:p w14:paraId="3D613F8C"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0.0692142</w:t>
            </w:r>
          </w:p>
        </w:tc>
        <w:tc>
          <w:tcPr>
            <w:tcW w:w="840" w:type="pct"/>
            <w:shd w:val="clear" w:color="auto" w:fill="auto"/>
            <w:noWrap/>
            <w:vAlign w:val="center"/>
            <w:hideMark/>
          </w:tcPr>
          <w:p w14:paraId="56CFA3B1"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0.9621691</w:t>
            </w:r>
          </w:p>
        </w:tc>
        <w:tc>
          <w:tcPr>
            <w:tcW w:w="840" w:type="pct"/>
            <w:shd w:val="clear" w:color="auto" w:fill="auto"/>
            <w:noWrap/>
            <w:vAlign w:val="center"/>
            <w:hideMark/>
          </w:tcPr>
          <w:p w14:paraId="76C7A23A"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6.4270169</w:t>
            </w:r>
          </w:p>
        </w:tc>
        <w:tc>
          <w:tcPr>
            <w:tcW w:w="840" w:type="pct"/>
            <w:shd w:val="clear" w:color="auto" w:fill="auto"/>
            <w:noWrap/>
            <w:vAlign w:val="center"/>
            <w:hideMark/>
          </w:tcPr>
          <w:p w14:paraId="63A77E9C"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0.0667718</w:t>
            </w:r>
          </w:p>
        </w:tc>
        <w:tc>
          <w:tcPr>
            <w:tcW w:w="840" w:type="pct"/>
            <w:shd w:val="clear" w:color="auto" w:fill="auto"/>
            <w:noWrap/>
            <w:vAlign w:val="center"/>
            <w:hideMark/>
          </w:tcPr>
          <w:p w14:paraId="2BB1041C"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0.951352</w:t>
            </w:r>
          </w:p>
        </w:tc>
      </w:tr>
      <w:tr w:rsidR="00AD277B" w:rsidRPr="00AD277B" w14:paraId="5CC3950D" w14:textId="77777777" w:rsidTr="00516D3C">
        <w:trPr>
          <w:trHeight w:val="300"/>
        </w:trPr>
        <w:tc>
          <w:tcPr>
            <w:tcW w:w="799" w:type="pct"/>
            <w:shd w:val="clear" w:color="auto" w:fill="auto"/>
            <w:noWrap/>
            <w:vAlign w:val="center"/>
            <w:hideMark/>
          </w:tcPr>
          <w:p w14:paraId="6F1F857B"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15</w:t>
            </w:r>
          </w:p>
        </w:tc>
        <w:tc>
          <w:tcPr>
            <w:tcW w:w="840" w:type="pct"/>
            <w:shd w:val="clear" w:color="auto" w:fill="auto"/>
            <w:noWrap/>
            <w:vAlign w:val="center"/>
            <w:hideMark/>
          </w:tcPr>
          <w:p w14:paraId="27509FE5"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-0.0540087</w:t>
            </w:r>
          </w:p>
        </w:tc>
        <w:tc>
          <w:tcPr>
            <w:tcW w:w="840" w:type="pct"/>
            <w:shd w:val="clear" w:color="auto" w:fill="auto"/>
            <w:noWrap/>
            <w:vAlign w:val="center"/>
            <w:hideMark/>
          </w:tcPr>
          <w:p w14:paraId="5B12D05C"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-0.7473923</w:t>
            </w:r>
          </w:p>
        </w:tc>
        <w:tc>
          <w:tcPr>
            <w:tcW w:w="840" w:type="pct"/>
            <w:shd w:val="clear" w:color="auto" w:fill="auto"/>
            <w:noWrap/>
            <w:vAlign w:val="center"/>
            <w:hideMark/>
          </w:tcPr>
          <w:p w14:paraId="7BD02DCA"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7.0727009</w:t>
            </w:r>
          </w:p>
        </w:tc>
        <w:tc>
          <w:tcPr>
            <w:tcW w:w="840" w:type="pct"/>
            <w:shd w:val="clear" w:color="auto" w:fill="auto"/>
            <w:noWrap/>
            <w:vAlign w:val="center"/>
            <w:hideMark/>
          </w:tcPr>
          <w:p w14:paraId="7C798C73"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-0.059247</w:t>
            </w:r>
          </w:p>
        </w:tc>
        <w:tc>
          <w:tcPr>
            <w:tcW w:w="840" w:type="pct"/>
            <w:shd w:val="clear" w:color="auto" w:fill="auto"/>
            <w:noWrap/>
            <w:vAlign w:val="center"/>
            <w:hideMark/>
          </w:tcPr>
          <w:p w14:paraId="5E0E1189"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-0.8441404</w:t>
            </w:r>
          </w:p>
        </w:tc>
      </w:tr>
      <w:tr w:rsidR="00AD277B" w:rsidRPr="00AD277B" w14:paraId="50411B97" w14:textId="77777777" w:rsidTr="00516D3C">
        <w:trPr>
          <w:trHeight w:val="300"/>
        </w:trPr>
        <w:tc>
          <w:tcPr>
            <w:tcW w:w="799" w:type="pct"/>
            <w:shd w:val="clear" w:color="auto" w:fill="auto"/>
            <w:noWrap/>
            <w:vAlign w:val="center"/>
            <w:hideMark/>
          </w:tcPr>
          <w:p w14:paraId="5639FD38"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16</w:t>
            </w:r>
          </w:p>
        </w:tc>
        <w:tc>
          <w:tcPr>
            <w:tcW w:w="840" w:type="pct"/>
            <w:shd w:val="clear" w:color="auto" w:fill="auto"/>
            <w:noWrap/>
            <w:vAlign w:val="center"/>
            <w:hideMark/>
          </w:tcPr>
          <w:p w14:paraId="09B443F5"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0.0016481</w:t>
            </w:r>
          </w:p>
        </w:tc>
        <w:tc>
          <w:tcPr>
            <w:tcW w:w="840" w:type="pct"/>
            <w:shd w:val="clear" w:color="auto" w:fill="auto"/>
            <w:noWrap/>
            <w:vAlign w:val="center"/>
            <w:hideMark/>
          </w:tcPr>
          <w:p w14:paraId="639FD615"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0.0227444</w:t>
            </w:r>
          </w:p>
        </w:tc>
        <w:tc>
          <w:tcPr>
            <w:tcW w:w="840" w:type="pct"/>
            <w:shd w:val="clear" w:color="auto" w:fill="auto"/>
            <w:noWrap/>
            <w:vAlign w:val="center"/>
            <w:hideMark/>
          </w:tcPr>
          <w:p w14:paraId="05E4D9CB"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7.0733054</w:t>
            </w:r>
          </w:p>
        </w:tc>
        <w:tc>
          <w:tcPr>
            <w:tcW w:w="840" w:type="pct"/>
            <w:shd w:val="clear" w:color="auto" w:fill="auto"/>
            <w:noWrap/>
            <w:vAlign w:val="center"/>
            <w:hideMark/>
          </w:tcPr>
          <w:p w14:paraId="37840562"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0.0107546</w:t>
            </w:r>
          </w:p>
        </w:tc>
        <w:tc>
          <w:tcPr>
            <w:tcW w:w="840" w:type="pct"/>
            <w:shd w:val="clear" w:color="auto" w:fill="auto"/>
            <w:noWrap/>
            <w:vAlign w:val="center"/>
            <w:hideMark/>
          </w:tcPr>
          <w:p w14:paraId="5ECF42C3"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0.153229</w:t>
            </w:r>
          </w:p>
        </w:tc>
      </w:tr>
      <w:tr w:rsidR="00AD277B" w:rsidRPr="00AD277B" w14:paraId="13ABA596" w14:textId="77777777" w:rsidTr="00516D3C">
        <w:trPr>
          <w:trHeight w:val="300"/>
        </w:trPr>
        <w:tc>
          <w:tcPr>
            <w:tcW w:w="799" w:type="pct"/>
            <w:shd w:val="clear" w:color="auto" w:fill="auto"/>
            <w:noWrap/>
            <w:vAlign w:val="center"/>
            <w:hideMark/>
          </w:tcPr>
          <w:p w14:paraId="6CCC4725"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17</w:t>
            </w:r>
          </w:p>
        </w:tc>
        <w:tc>
          <w:tcPr>
            <w:tcW w:w="840" w:type="pct"/>
            <w:shd w:val="clear" w:color="auto" w:fill="auto"/>
            <w:noWrap/>
            <w:vAlign w:val="center"/>
            <w:hideMark/>
          </w:tcPr>
          <w:p w14:paraId="73D247BB"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0.0314229</w:t>
            </w:r>
          </w:p>
        </w:tc>
        <w:tc>
          <w:tcPr>
            <w:tcW w:w="840" w:type="pct"/>
            <w:shd w:val="clear" w:color="auto" w:fill="auto"/>
            <w:noWrap/>
            <w:vAlign w:val="center"/>
            <w:hideMark/>
          </w:tcPr>
          <w:p w14:paraId="6516C359"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0.4336487</w:t>
            </w:r>
          </w:p>
        </w:tc>
        <w:tc>
          <w:tcPr>
            <w:tcW w:w="840" w:type="pct"/>
            <w:shd w:val="clear" w:color="auto" w:fill="auto"/>
            <w:noWrap/>
            <w:vAlign w:val="center"/>
            <w:hideMark/>
          </w:tcPr>
          <w:p w14:paraId="35511542"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7.2942226</w:t>
            </w:r>
          </w:p>
        </w:tc>
        <w:tc>
          <w:tcPr>
            <w:tcW w:w="840" w:type="pct"/>
            <w:shd w:val="clear" w:color="auto" w:fill="auto"/>
            <w:noWrap/>
            <w:vAlign w:val="center"/>
            <w:hideMark/>
          </w:tcPr>
          <w:p w14:paraId="02A95C59"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0.0263293</w:t>
            </w:r>
          </w:p>
        </w:tc>
        <w:tc>
          <w:tcPr>
            <w:tcW w:w="840" w:type="pct"/>
            <w:shd w:val="clear" w:color="auto" w:fill="auto"/>
            <w:noWrap/>
            <w:vAlign w:val="center"/>
            <w:hideMark/>
          </w:tcPr>
          <w:p w14:paraId="36486DDE"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0.3751348</w:t>
            </w:r>
          </w:p>
        </w:tc>
      </w:tr>
      <w:tr w:rsidR="00AD277B" w:rsidRPr="00AD277B" w14:paraId="3E6B8C46" w14:textId="77777777" w:rsidTr="00516D3C">
        <w:trPr>
          <w:trHeight w:val="300"/>
        </w:trPr>
        <w:tc>
          <w:tcPr>
            <w:tcW w:w="799" w:type="pct"/>
            <w:shd w:val="clear" w:color="auto" w:fill="auto"/>
            <w:noWrap/>
            <w:vAlign w:val="center"/>
            <w:hideMark/>
          </w:tcPr>
          <w:p w14:paraId="3AFC1DFF"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18</w:t>
            </w:r>
          </w:p>
        </w:tc>
        <w:tc>
          <w:tcPr>
            <w:tcW w:w="840" w:type="pct"/>
            <w:shd w:val="clear" w:color="auto" w:fill="auto"/>
            <w:noWrap/>
            <w:vAlign w:val="center"/>
            <w:hideMark/>
          </w:tcPr>
          <w:p w14:paraId="75178372"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0.0722488</w:t>
            </w:r>
          </w:p>
        </w:tc>
        <w:tc>
          <w:tcPr>
            <w:tcW w:w="840" w:type="pct"/>
            <w:shd w:val="clear" w:color="auto" w:fill="auto"/>
            <w:noWrap/>
            <w:vAlign w:val="center"/>
            <w:hideMark/>
          </w:tcPr>
          <w:p w14:paraId="221A9504"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0.9961396</w:t>
            </w:r>
          </w:p>
        </w:tc>
        <w:tc>
          <w:tcPr>
            <w:tcW w:w="840" w:type="pct"/>
            <w:shd w:val="clear" w:color="auto" w:fill="auto"/>
            <w:noWrap/>
            <w:vAlign w:val="center"/>
            <w:hideMark/>
          </w:tcPr>
          <w:p w14:paraId="70D383CE"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8.4684141</w:t>
            </w:r>
          </w:p>
        </w:tc>
        <w:tc>
          <w:tcPr>
            <w:tcW w:w="840" w:type="pct"/>
            <w:shd w:val="clear" w:color="auto" w:fill="auto"/>
            <w:noWrap/>
            <w:vAlign w:val="center"/>
            <w:hideMark/>
          </w:tcPr>
          <w:p w14:paraId="7D746F5E"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0.0816471</w:t>
            </w:r>
          </w:p>
        </w:tc>
        <w:tc>
          <w:tcPr>
            <w:tcW w:w="840" w:type="pct"/>
            <w:shd w:val="clear" w:color="auto" w:fill="auto"/>
            <w:noWrap/>
            <w:vAlign w:val="center"/>
            <w:hideMark/>
          </w:tcPr>
          <w:p w14:paraId="76E15AF6"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1.1632925</w:t>
            </w:r>
          </w:p>
        </w:tc>
      </w:tr>
      <w:tr w:rsidR="00AD277B" w:rsidRPr="00AD277B" w14:paraId="697409EB" w14:textId="77777777" w:rsidTr="00516D3C">
        <w:trPr>
          <w:trHeight w:val="300"/>
        </w:trPr>
        <w:tc>
          <w:tcPr>
            <w:tcW w:w="799" w:type="pct"/>
            <w:shd w:val="clear" w:color="auto" w:fill="auto"/>
            <w:noWrap/>
            <w:vAlign w:val="center"/>
            <w:hideMark/>
          </w:tcPr>
          <w:p w14:paraId="3EF12B7A"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19</w:t>
            </w:r>
          </w:p>
        </w:tc>
        <w:tc>
          <w:tcPr>
            <w:tcW w:w="840" w:type="pct"/>
            <w:shd w:val="clear" w:color="auto" w:fill="auto"/>
            <w:noWrap/>
            <w:vAlign w:val="center"/>
            <w:hideMark/>
          </w:tcPr>
          <w:p w14:paraId="451DBD30"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0.0068547</w:t>
            </w:r>
          </w:p>
        </w:tc>
        <w:tc>
          <w:tcPr>
            <w:tcW w:w="840" w:type="pct"/>
            <w:shd w:val="clear" w:color="auto" w:fill="auto"/>
            <w:noWrap/>
            <w:vAlign w:val="center"/>
            <w:hideMark/>
          </w:tcPr>
          <w:p w14:paraId="20EFBA6C"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0.0940521</w:t>
            </w:r>
          </w:p>
        </w:tc>
        <w:tc>
          <w:tcPr>
            <w:tcW w:w="840" w:type="pct"/>
            <w:shd w:val="clear" w:color="auto" w:fill="auto"/>
            <w:noWrap/>
            <w:vAlign w:val="center"/>
            <w:hideMark/>
          </w:tcPr>
          <w:p w14:paraId="27CF8EDD"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8.4790412</w:t>
            </w:r>
          </w:p>
        </w:tc>
        <w:tc>
          <w:tcPr>
            <w:tcW w:w="840" w:type="pct"/>
            <w:shd w:val="clear" w:color="auto" w:fill="auto"/>
            <w:noWrap/>
            <w:vAlign w:val="center"/>
            <w:hideMark/>
          </w:tcPr>
          <w:p w14:paraId="60A86EA7"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0.0123228</w:t>
            </w:r>
          </w:p>
        </w:tc>
        <w:tc>
          <w:tcPr>
            <w:tcW w:w="840" w:type="pct"/>
            <w:shd w:val="clear" w:color="auto" w:fill="auto"/>
            <w:noWrap/>
            <w:vAlign w:val="center"/>
            <w:hideMark/>
          </w:tcPr>
          <w:p w14:paraId="38A9E99D"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0.1755727</w:t>
            </w:r>
          </w:p>
        </w:tc>
      </w:tr>
      <w:tr w:rsidR="00AD277B" w:rsidRPr="00AD277B" w14:paraId="739342A0" w14:textId="77777777" w:rsidTr="00516D3C">
        <w:trPr>
          <w:trHeight w:val="300"/>
        </w:trPr>
        <w:tc>
          <w:tcPr>
            <w:tcW w:w="799" w:type="pct"/>
            <w:shd w:val="clear" w:color="auto" w:fill="auto"/>
            <w:noWrap/>
            <w:vAlign w:val="center"/>
            <w:hideMark/>
          </w:tcPr>
          <w:p w14:paraId="23AD6D11"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20</w:t>
            </w:r>
          </w:p>
        </w:tc>
        <w:tc>
          <w:tcPr>
            <w:tcW w:w="840" w:type="pct"/>
            <w:shd w:val="clear" w:color="auto" w:fill="auto"/>
            <w:noWrap/>
            <w:vAlign w:val="center"/>
            <w:hideMark/>
          </w:tcPr>
          <w:p w14:paraId="4F3DDFD8"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0.1103546</w:t>
            </w:r>
          </w:p>
        </w:tc>
        <w:tc>
          <w:tcPr>
            <w:tcW w:w="840" w:type="pct"/>
            <w:shd w:val="clear" w:color="auto" w:fill="auto"/>
            <w:noWrap/>
            <w:vAlign w:val="center"/>
            <w:hideMark/>
          </w:tcPr>
          <w:p w14:paraId="13C143ED"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1.5140803</w:t>
            </w:r>
          </w:p>
        </w:tc>
        <w:tc>
          <w:tcPr>
            <w:tcW w:w="840" w:type="pct"/>
            <w:shd w:val="clear" w:color="auto" w:fill="auto"/>
            <w:noWrap/>
            <w:vAlign w:val="center"/>
            <w:hideMark/>
          </w:tcPr>
          <w:p w14:paraId="7857A87F"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11.248405</w:t>
            </w:r>
          </w:p>
        </w:tc>
        <w:tc>
          <w:tcPr>
            <w:tcW w:w="840" w:type="pct"/>
            <w:shd w:val="clear" w:color="auto" w:fill="auto"/>
            <w:noWrap/>
            <w:vAlign w:val="center"/>
            <w:hideMark/>
          </w:tcPr>
          <w:p w14:paraId="55E80254"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0.1371907</w:t>
            </w:r>
          </w:p>
        </w:tc>
        <w:tc>
          <w:tcPr>
            <w:tcW w:w="840" w:type="pct"/>
            <w:shd w:val="clear" w:color="auto" w:fill="auto"/>
            <w:noWrap/>
            <w:vAlign w:val="center"/>
            <w:hideMark/>
          </w:tcPr>
          <w:p w14:paraId="40AE2376"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1.9546666</w:t>
            </w:r>
          </w:p>
        </w:tc>
      </w:tr>
      <w:tr w:rsidR="00AD277B" w:rsidRPr="00AD277B" w14:paraId="5B9A9466" w14:textId="77777777" w:rsidTr="00516D3C">
        <w:trPr>
          <w:trHeight w:val="300"/>
        </w:trPr>
        <w:tc>
          <w:tcPr>
            <w:tcW w:w="799" w:type="pct"/>
            <w:shd w:val="clear" w:color="auto" w:fill="auto"/>
            <w:noWrap/>
            <w:vAlign w:val="center"/>
            <w:hideMark/>
          </w:tcPr>
          <w:p w14:paraId="736FEF61"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21</w:t>
            </w:r>
          </w:p>
        </w:tc>
        <w:tc>
          <w:tcPr>
            <w:tcW w:w="840" w:type="pct"/>
            <w:shd w:val="clear" w:color="auto" w:fill="auto"/>
            <w:noWrap/>
            <w:vAlign w:val="center"/>
            <w:hideMark/>
          </w:tcPr>
          <w:p w14:paraId="283F54CD"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-0.0586094</w:t>
            </w:r>
          </w:p>
        </w:tc>
        <w:tc>
          <w:tcPr>
            <w:tcW w:w="840" w:type="pct"/>
            <w:shd w:val="clear" w:color="auto" w:fill="auto"/>
            <w:noWrap/>
            <w:vAlign w:val="center"/>
            <w:hideMark/>
          </w:tcPr>
          <w:p w14:paraId="20A4F9FE"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-0.7951984</w:t>
            </w:r>
          </w:p>
        </w:tc>
        <w:tc>
          <w:tcPr>
            <w:tcW w:w="840" w:type="pct"/>
            <w:shd w:val="clear" w:color="auto" w:fill="auto"/>
            <w:noWrap/>
            <w:vAlign w:val="center"/>
            <w:hideMark/>
          </w:tcPr>
          <w:p w14:paraId="74173D9E"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12.033844</w:t>
            </w:r>
          </w:p>
        </w:tc>
        <w:tc>
          <w:tcPr>
            <w:tcW w:w="840" w:type="pct"/>
            <w:shd w:val="clear" w:color="auto" w:fill="auto"/>
            <w:noWrap/>
            <w:vAlign w:val="center"/>
            <w:hideMark/>
          </w:tcPr>
          <w:p w14:paraId="3AA3C704"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-0.046307</w:t>
            </w:r>
          </w:p>
        </w:tc>
        <w:tc>
          <w:tcPr>
            <w:tcW w:w="840" w:type="pct"/>
            <w:shd w:val="clear" w:color="auto" w:fill="auto"/>
            <w:noWrap/>
            <w:vAlign w:val="center"/>
            <w:hideMark/>
          </w:tcPr>
          <w:p w14:paraId="3816BE98"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-0.6597727</w:t>
            </w:r>
          </w:p>
        </w:tc>
      </w:tr>
      <w:tr w:rsidR="00AD277B" w:rsidRPr="00AD277B" w14:paraId="036E67CA" w14:textId="77777777" w:rsidTr="00516D3C">
        <w:trPr>
          <w:trHeight w:val="300"/>
        </w:trPr>
        <w:tc>
          <w:tcPr>
            <w:tcW w:w="799" w:type="pct"/>
            <w:shd w:val="clear" w:color="auto" w:fill="auto"/>
            <w:noWrap/>
            <w:vAlign w:val="center"/>
            <w:hideMark/>
          </w:tcPr>
          <w:p w14:paraId="543BFC53"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22</w:t>
            </w:r>
          </w:p>
        </w:tc>
        <w:tc>
          <w:tcPr>
            <w:tcW w:w="840" w:type="pct"/>
            <w:shd w:val="clear" w:color="auto" w:fill="auto"/>
            <w:noWrap/>
            <w:vAlign w:val="center"/>
            <w:hideMark/>
          </w:tcPr>
          <w:p w14:paraId="1C4BCBE1"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-0.0581332</w:t>
            </w:r>
          </w:p>
        </w:tc>
        <w:tc>
          <w:tcPr>
            <w:tcW w:w="840" w:type="pct"/>
            <w:shd w:val="clear" w:color="auto" w:fill="auto"/>
            <w:noWrap/>
            <w:vAlign w:val="center"/>
            <w:hideMark/>
          </w:tcPr>
          <w:p w14:paraId="22D93468"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-0.7862928</w:t>
            </w:r>
          </w:p>
        </w:tc>
        <w:tc>
          <w:tcPr>
            <w:tcW w:w="840" w:type="pct"/>
            <w:shd w:val="clear" w:color="auto" w:fill="auto"/>
            <w:noWrap/>
            <w:vAlign w:val="center"/>
            <w:hideMark/>
          </w:tcPr>
          <w:p w14:paraId="01BC4011"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12.810843</w:t>
            </w:r>
          </w:p>
        </w:tc>
        <w:tc>
          <w:tcPr>
            <w:tcW w:w="840" w:type="pct"/>
            <w:shd w:val="clear" w:color="auto" w:fill="auto"/>
            <w:noWrap/>
            <w:vAlign w:val="center"/>
            <w:hideMark/>
          </w:tcPr>
          <w:p w14:paraId="2DF28E30"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-0.0358148</w:t>
            </w:r>
          </w:p>
        </w:tc>
        <w:tc>
          <w:tcPr>
            <w:tcW w:w="840" w:type="pct"/>
            <w:shd w:val="clear" w:color="auto" w:fill="auto"/>
            <w:noWrap/>
            <w:vAlign w:val="center"/>
            <w:hideMark/>
          </w:tcPr>
          <w:p w14:paraId="4D45A241"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-0.510283</w:t>
            </w:r>
          </w:p>
        </w:tc>
      </w:tr>
      <w:tr w:rsidR="00AD277B" w:rsidRPr="00AD277B" w14:paraId="0EA8F8A0" w14:textId="77777777" w:rsidTr="00516D3C">
        <w:trPr>
          <w:trHeight w:val="300"/>
        </w:trPr>
        <w:tc>
          <w:tcPr>
            <w:tcW w:w="799" w:type="pct"/>
            <w:shd w:val="clear" w:color="auto" w:fill="auto"/>
            <w:noWrap/>
            <w:vAlign w:val="center"/>
            <w:hideMark/>
          </w:tcPr>
          <w:p w14:paraId="3D90717F"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23</w:t>
            </w:r>
          </w:p>
        </w:tc>
        <w:tc>
          <w:tcPr>
            <w:tcW w:w="840" w:type="pct"/>
            <w:shd w:val="clear" w:color="auto" w:fill="auto"/>
            <w:noWrap/>
            <w:vAlign w:val="center"/>
            <w:hideMark/>
          </w:tcPr>
          <w:p w14:paraId="695EE90E"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-0.0612056</w:t>
            </w:r>
          </w:p>
        </w:tc>
        <w:tc>
          <w:tcPr>
            <w:tcW w:w="840" w:type="pct"/>
            <w:shd w:val="clear" w:color="auto" w:fill="auto"/>
            <w:noWrap/>
            <w:vAlign w:val="center"/>
            <w:hideMark/>
          </w:tcPr>
          <w:p w14:paraId="791FA8B5"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-0.8253394</w:t>
            </w:r>
          </w:p>
        </w:tc>
        <w:tc>
          <w:tcPr>
            <w:tcW w:w="840" w:type="pct"/>
            <w:shd w:val="clear" w:color="auto" w:fill="auto"/>
            <w:noWrap/>
            <w:vAlign w:val="center"/>
            <w:hideMark/>
          </w:tcPr>
          <w:p w14:paraId="4E9813CD"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13.676927</w:t>
            </w:r>
          </w:p>
        </w:tc>
        <w:tc>
          <w:tcPr>
            <w:tcW w:w="840" w:type="pct"/>
            <w:shd w:val="clear" w:color="auto" w:fill="auto"/>
            <w:noWrap/>
            <w:vAlign w:val="center"/>
            <w:hideMark/>
          </w:tcPr>
          <w:p w14:paraId="3B3C769D"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-0.0428369</w:t>
            </w:r>
          </w:p>
        </w:tc>
        <w:tc>
          <w:tcPr>
            <w:tcW w:w="840" w:type="pct"/>
            <w:shd w:val="clear" w:color="auto" w:fill="auto"/>
            <w:noWrap/>
            <w:vAlign w:val="center"/>
            <w:hideMark/>
          </w:tcPr>
          <w:p w14:paraId="199F4865"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-0.6103318</w:t>
            </w:r>
          </w:p>
        </w:tc>
      </w:tr>
      <w:tr w:rsidR="00AD277B" w:rsidRPr="00AD277B" w14:paraId="7A344F9F" w14:textId="77777777" w:rsidTr="00516D3C">
        <w:trPr>
          <w:trHeight w:val="300"/>
        </w:trPr>
        <w:tc>
          <w:tcPr>
            <w:tcW w:w="799" w:type="pct"/>
            <w:shd w:val="clear" w:color="auto" w:fill="auto"/>
            <w:noWrap/>
            <w:vAlign w:val="center"/>
            <w:hideMark/>
          </w:tcPr>
          <w:p w14:paraId="0356D2DE"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24</w:t>
            </w:r>
          </w:p>
        </w:tc>
        <w:tc>
          <w:tcPr>
            <w:tcW w:w="840" w:type="pct"/>
            <w:shd w:val="clear" w:color="auto" w:fill="auto"/>
            <w:noWrap/>
            <w:vAlign w:val="center"/>
            <w:hideMark/>
          </w:tcPr>
          <w:p w14:paraId="34E43FBA"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-0.0749278</w:t>
            </w:r>
          </w:p>
        </w:tc>
        <w:tc>
          <w:tcPr>
            <w:tcW w:w="840" w:type="pct"/>
            <w:shd w:val="clear" w:color="auto" w:fill="auto"/>
            <w:noWrap/>
            <w:vAlign w:val="center"/>
            <w:hideMark/>
          </w:tcPr>
          <w:p w14:paraId="336D9B70"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-1.0070058</w:t>
            </w:r>
          </w:p>
        </w:tc>
        <w:tc>
          <w:tcPr>
            <w:tcW w:w="840" w:type="pct"/>
            <w:shd w:val="clear" w:color="auto" w:fill="auto"/>
            <w:noWrap/>
            <w:vAlign w:val="center"/>
            <w:hideMark/>
          </w:tcPr>
          <w:p w14:paraId="0EF0DB80"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14.982146</w:t>
            </w:r>
          </w:p>
        </w:tc>
        <w:tc>
          <w:tcPr>
            <w:tcW w:w="840" w:type="pct"/>
            <w:shd w:val="clear" w:color="auto" w:fill="auto"/>
            <w:noWrap/>
            <w:vAlign w:val="center"/>
            <w:hideMark/>
          </w:tcPr>
          <w:p w14:paraId="49217FBD"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-0.0859988</w:t>
            </w:r>
          </w:p>
        </w:tc>
        <w:tc>
          <w:tcPr>
            <w:tcW w:w="840" w:type="pct"/>
            <w:shd w:val="clear" w:color="auto" w:fill="auto"/>
            <w:noWrap/>
            <w:vAlign w:val="center"/>
            <w:hideMark/>
          </w:tcPr>
          <w:p w14:paraId="252E3F04"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-1.225295</w:t>
            </w:r>
          </w:p>
        </w:tc>
      </w:tr>
      <w:tr w:rsidR="00AD277B" w:rsidRPr="00AD277B" w14:paraId="5F4F8B62" w14:textId="77777777" w:rsidTr="00516D3C">
        <w:trPr>
          <w:trHeight w:val="300"/>
        </w:trPr>
        <w:tc>
          <w:tcPr>
            <w:tcW w:w="799" w:type="pct"/>
            <w:shd w:val="clear" w:color="auto" w:fill="auto"/>
            <w:noWrap/>
            <w:vAlign w:val="center"/>
            <w:hideMark/>
          </w:tcPr>
          <w:p w14:paraId="43DF786E"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25</w:t>
            </w:r>
          </w:p>
        </w:tc>
        <w:tc>
          <w:tcPr>
            <w:tcW w:w="840" w:type="pct"/>
            <w:shd w:val="clear" w:color="auto" w:fill="auto"/>
            <w:noWrap/>
            <w:vAlign w:val="center"/>
            <w:hideMark/>
          </w:tcPr>
          <w:p w14:paraId="6F1BDC90"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-0.0495715</w:t>
            </w:r>
          </w:p>
        </w:tc>
        <w:tc>
          <w:tcPr>
            <w:tcW w:w="840" w:type="pct"/>
            <w:shd w:val="clear" w:color="auto" w:fill="auto"/>
            <w:noWrap/>
            <w:vAlign w:val="center"/>
            <w:hideMark/>
          </w:tcPr>
          <w:p w14:paraId="1AE980E4"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-0.662922</w:t>
            </w:r>
          </w:p>
        </w:tc>
        <w:tc>
          <w:tcPr>
            <w:tcW w:w="840" w:type="pct"/>
            <w:shd w:val="clear" w:color="auto" w:fill="auto"/>
            <w:noWrap/>
            <w:vAlign w:val="center"/>
            <w:hideMark/>
          </w:tcPr>
          <w:p w14:paraId="0B0278FB"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15.556652</w:t>
            </w:r>
          </w:p>
        </w:tc>
        <w:tc>
          <w:tcPr>
            <w:tcW w:w="840" w:type="pct"/>
            <w:shd w:val="clear" w:color="auto" w:fill="auto"/>
            <w:noWrap/>
            <w:vAlign w:val="center"/>
            <w:hideMark/>
          </w:tcPr>
          <w:p w14:paraId="78E7F9F7"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-0.0345575</w:t>
            </w:r>
          </w:p>
        </w:tc>
        <w:tc>
          <w:tcPr>
            <w:tcW w:w="840" w:type="pct"/>
            <w:shd w:val="clear" w:color="auto" w:fill="auto"/>
            <w:noWrap/>
            <w:vAlign w:val="center"/>
            <w:hideMark/>
          </w:tcPr>
          <w:p w14:paraId="766D6F30"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-0.4923693</w:t>
            </w:r>
          </w:p>
        </w:tc>
      </w:tr>
      <w:tr w:rsidR="00AD277B" w:rsidRPr="00AD277B" w14:paraId="068909E1" w14:textId="77777777" w:rsidTr="00516D3C">
        <w:trPr>
          <w:trHeight w:val="300"/>
        </w:trPr>
        <w:tc>
          <w:tcPr>
            <w:tcW w:w="799" w:type="pct"/>
            <w:shd w:val="clear" w:color="auto" w:fill="auto"/>
            <w:noWrap/>
            <w:vAlign w:val="center"/>
            <w:hideMark/>
          </w:tcPr>
          <w:p w14:paraId="09A30DB0"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26</w:t>
            </w:r>
          </w:p>
        </w:tc>
        <w:tc>
          <w:tcPr>
            <w:tcW w:w="840" w:type="pct"/>
            <w:shd w:val="clear" w:color="auto" w:fill="auto"/>
            <w:noWrap/>
            <w:vAlign w:val="center"/>
            <w:hideMark/>
          </w:tcPr>
          <w:p w14:paraId="4F50DFAB"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-0.0260325</w:t>
            </w:r>
          </w:p>
        </w:tc>
        <w:tc>
          <w:tcPr>
            <w:tcW w:w="840" w:type="pct"/>
            <w:shd w:val="clear" w:color="auto" w:fill="auto"/>
            <w:noWrap/>
            <w:vAlign w:val="center"/>
            <w:hideMark/>
          </w:tcPr>
          <w:p w14:paraId="6CA18EF1"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-0.3473825</w:t>
            </w:r>
          </w:p>
        </w:tc>
        <w:tc>
          <w:tcPr>
            <w:tcW w:w="840" w:type="pct"/>
            <w:shd w:val="clear" w:color="auto" w:fill="auto"/>
            <w:noWrap/>
            <w:vAlign w:val="center"/>
            <w:hideMark/>
          </w:tcPr>
          <w:p w14:paraId="0CF59C01"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15.715986</w:t>
            </w:r>
          </w:p>
        </w:tc>
        <w:tc>
          <w:tcPr>
            <w:tcW w:w="840" w:type="pct"/>
            <w:shd w:val="clear" w:color="auto" w:fill="auto"/>
            <w:noWrap/>
            <w:vAlign w:val="center"/>
            <w:hideMark/>
          </w:tcPr>
          <w:p w14:paraId="456E8DEE"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-0.0463457</w:t>
            </w:r>
          </w:p>
        </w:tc>
        <w:tc>
          <w:tcPr>
            <w:tcW w:w="840" w:type="pct"/>
            <w:shd w:val="clear" w:color="auto" w:fill="auto"/>
            <w:noWrap/>
            <w:vAlign w:val="center"/>
            <w:hideMark/>
          </w:tcPr>
          <w:p w14:paraId="3D47CCD0"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-0.660324</w:t>
            </w:r>
          </w:p>
        </w:tc>
      </w:tr>
      <w:tr w:rsidR="00AD277B" w:rsidRPr="00AD277B" w14:paraId="55C49A00" w14:textId="77777777" w:rsidTr="00516D3C">
        <w:trPr>
          <w:trHeight w:val="300"/>
        </w:trPr>
        <w:tc>
          <w:tcPr>
            <w:tcW w:w="799" w:type="pct"/>
            <w:shd w:val="clear" w:color="auto" w:fill="auto"/>
            <w:noWrap/>
            <w:vAlign w:val="center"/>
            <w:hideMark/>
          </w:tcPr>
          <w:p w14:paraId="524CA6B3"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27</w:t>
            </w:r>
          </w:p>
        </w:tc>
        <w:tc>
          <w:tcPr>
            <w:tcW w:w="840" w:type="pct"/>
            <w:shd w:val="clear" w:color="auto" w:fill="auto"/>
            <w:noWrap/>
            <w:vAlign w:val="center"/>
            <w:hideMark/>
          </w:tcPr>
          <w:p w14:paraId="61A3F013"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-0.0016675</w:t>
            </w:r>
          </w:p>
        </w:tc>
        <w:tc>
          <w:tcPr>
            <w:tcW w:w="840" w:type="pct"/>
            <w:shd w:val="clear" w:color="auto" w:fill="auto"/>
            <w:noWrap/>
            <w:vAlign w:val="center"/>
            <w:hideMark/>
          </w:tcPr>
          <w:p w14:paraId="693DFAF1"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-0.022238</w:t>
            </w:r>
          </w:p>
        </w:tc>
        <w:tc>
          <w:tcPr>
            <w:tcW w:w="840" w:type="pct"/>
            <w:shd w:val="clear" w:color="auto" w:fill="auto"/>
            <w:noWrap/>
            <w:vAlign w:val="center"/>
            <w:hideMark/>
          </w:tcPr>
          <w:p w14:paraId="09D0DAED"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15.716644</w:t>
            </w:r>
          </w:p>
        </w:tc>
        <w:tc>
          <w:tcPr>
            <w:tcW w:w="840" w:type="pct"/>
            <w:shd w:val="clear" w:color="auto" w:fill="auto"/>
            <w:noWrap/>
            <w:vAlign w:val="center"/>
            <w:hideMark/>
          </w:tcPr>
          <w:p w14:paraId="2C6B74BD"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-0.0111475</w:t>
            </w:r>
          </w:p>
        </w:tc>
        <w:tc>
          <w:tcPr>
            <w:tcW w:w="840" w:type="pct"/>
            <w:shd w:val="clear" w:color="auto" w:fill="auto"/>
            <w:noWrap/>
            <w:vAlign w:val="center"/>
            <w:hideMark/>
          </w:tcPr>
          <w:p w14:paraId="316A4ACE"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-0.1588281</w:t>
            </w:r>
          </w:p>
        </w:tc>
      </w:tr>
      <w:tr w:rsidR="00AD277B" w:rsidRPr="00AD277B" w14:paraId="76BF2C49" w14:textId="77777777" w:rsidTr="00516D3C">
        <w:trPr>
          <w:trHeight w:val="300"/>
        </w:trPr>
        <w:tc>
          <w:tcPr>
            <w:tcW w:w="799" w:type="pct"/>
            <w:shd w:val="clear" w:color="auto" w:fill="auto"/>
            <w:noWrap/>
            <w:vAlign w:val="center"/>
            <w:hideMark/>
          </w:tcPr>
          <w:p w14:paraId="7254D1AE"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28</w:t>
            </w:r>
          </w:p>
        </w:tc>
        <w:tc>
          <w:tcPr>
            <w:tcW w:w="840" w:type="pct"/>
            <w:shd w:val="clear" w:color="auto" w:fill="auto"/>
            <w:noWrap/>
            <w:vAlign w:val="center"/>
            <w:hideMark/>
          </w:tcPr>
          <w:p w14:paraId="3AFCFEB1"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0.0358661</w:t>
            </w:r>
          </w:p>
        </w:tc>
        <w:tc>
          <w:tcPr>
            <w:tcW w:w="840" w:type="pct"/>
            <w:shd w:val="clear" w:color="auto" w:fill="auto"/>
            <w:noWrap/>
            <w:vAlign w:val="center"/>
            <w:hideMark/>
          </w:tcPr>
          <w:p w14:paraId="16C39728"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0.4783189</w:t>
            </w:r>
          </w:p>
        </w:tc>
        <w:tc>
          <w:tcPr>
            <w:tcW w:w="840" w:type="pct"/>
            <w:shd w:val="clear" w:color="auto" w:fill="auto"/>
            <w:noWrap/>
            <w:vAlign w:val="center"/>
            <w:hideMark/>
          </w:tcPr>
          <w:p w14:paraId="688A9E9D"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16.022545</w:t>
            </w:r>
          </w:p>
        </w:tc>
        <w:tc>
          <w:tcPr>
            <w:tcW w:w="840" w:type="pct"/>
            <w:shd w:val="clear" w:color="auto" w:fill="auto"/>
            <w:noWrap/>
            <w:vAlign w:val="center"/>
            <w:hideMark/>
          </w:tcPr>
          <w:p w14:paraId="28F3D902"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0.0078813</w:t>
            </w:r>
          </w:p>
        </w:tc>
        <w:tc>
          <w:tcPr>
            <w:tcW w:w="840" w:type="pct"/>
            <w:shd w:val="clear" w:color="auto" w:fill="auto"/>
            <w:noWrap/>
            <w:vAlign w:val="center"/>
            <w:hideMark/>
          </w:tcPr>
          <w:p w14:paraId="2DD8F1C0"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0.1122919</w:t>
            </w:r>
          </w:p>
        </w:tc>
      </w:tr>
      <w:tr w:rsidR="00AD277B" w:rsidRPr="00AD277B" w14:paraId="756F40E9" w14:textId="77777777" w:rsidTr="00516D3C">
        <w:trPr>
          <w:trHeight w:val="300"/>
        </w:trPr>
        <w:tc>
          <w:tcPr>
            <w:tcW w:w="799" w:type="pct"/>
            <w:shd w:val="clear" w:color="auto" w:fill="auto"/>
            <w:noWrap/>
            <w:vAlign w:val="center"/>
            <w:hideMark/>
          </w:tcPr>
          <w:p w14:paraId="1F12EF0C"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29</w:t>
            </w:r>
          </w:p>
        </w:tc>
        <w:tc>
          <w:tcPr>
            <w:tcW w:w="840" w:type="pct"/>
            <w:shd w:val="clear" w:color="auto" w:fill="auto"/>
            <w:noWrap/>
            <w:vAlign w:val="center"/>
            <w:hideMark/>
          </w:tcPr>
          <w:p w14:paraId="34696305"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-0.0021963</w:t>
            </w:r>
          </w:p>
        </w:tc>
        <w:tc>
          <w:tcPr>
            <w:tcW w:w="840" w:type="pct"/>
            <w:shd w:val="clear" w:color="auto" w:fill="auto"/>
            <w:noWrap/>
            <w:vAlign w:val="center"/>
            <w:hideMark/>
          </w:tcPr>
          <w:p w14:paraId="4A08917B"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-0.0292578</w:t>
            </w:r>
          </w:p>
        </w:tc>
        <w:tc>
          <w:tcPr>
            <w:tcW w:w="840" w:type="pct"/>
            <w:shd w:val="clear" w:color="auto" w:fill="auto"/>
            <w:noWrap/>
            <w:vAlign w:val="center"/>
            <w:hideMark/>
          </w:tcPr>
          <w:p w14:paraId="45C1ED48"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16.023699</w:t>
            </w:r>
          </w:p>
        </w:tc>
        <w:tc>
          <w:tcPr>
            <w:tcW w:w="840" w:type="pct"/>
            <w:shd w:val="clear" w:color="auto" w:fill="auto"/>
            <w:noWrap/>
            <w:vAlign w:val="center"/>
            <w:hideMark/>
          </w:tcPr>
          <w:p w14:paraId="3BB8B594"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-0.0146701</w:t>
            </w:r>
          </w:p>
        </w:tc>
        <w:tc>
          <w:tcPr>
            <w:tcW w:w="840" w:type="pct"/>
            <w:shd w:val="clear" w:color="auto" w:fill="auto"/>
            <w:noWrap/>
            <w:vAlign w:val="center"/>
            <w:hideMark/>
          </w:tcPr>
          <w:p w14:paraId="381AC11D"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-0.2090169</w:t>
            </w:r>
          </w:p>
        </w:tc>
      </w:tr>
      <w:tr w:rsidR="00AD277B" w:rsidRPr="00AD277B" w14:paraId="17253508" w14:textId="77777777" w:rsidTr="00516D3C">
        <w:trPr>
          <w:trHeight w:val="300"/>
        </w:trPr>
        <w:tc>
          <w:tcPr>
            <w:tcW w:w="799" w:type="pct"/>
            <w:shd w:val="clear" w:color="auto" w:fill="auto"/>
            <w:noWrap/>
            <w:vAlign w:val="center"/>
            <w:hideMark/>
          </w:tcPr>
          <w:p w14:paraId="481A2082"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30</w:t>
            </w:r>
          </w:p>
        </w:tc>
        <w:tc>
          <w:tcPr>
            <w:tcW w:w="840" w:type="pct"/>
            <w:shd w:val="clear" w:color="auto" w:fill="auto"/>
            <w:noWrap/>
            <w:vAlign w:val="center"/>
            <w:hideMark/>
          </w:tcPr>
          <w:p w14:paraId="2D5DEA6D"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-0.0352185</w:t>
            </w:r>
          </w:p>
        </w:tc>
        <w:tc>
          <w:tcPr>
            <w:tcW w:w="840" w:type="pct"/>
            <w:shd w:val="clear" w:color="auto" w:fill="auto"/>
            <w:noWrap/>
            <w:vAlign w:val="center"/>
            <w:hideMark/>
          </w:tcPr>
          <w:p w14:paraId="06F73137"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-0.4691515</w:t>
            </w:r>
          </w:p>
        </w:tc>
        <w:tc>
          <w:tcPr>
            <w:tcW w:w="840" w:type="pct"/>
            <w:shd w:val="clear" w:color="auto" w:fill="auto"/>
            <w:noWrap/>
            <w:vAlign w:val="center"/>
            <w:hideMark/>
          </w:tcPr>
          <w:p w14:paraId="5427C7BF"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16.322063</w:t>
            </w:r>
          </w:p>
        </w:tc>
        <w:tc>
          <w:tcPr>
            <w:tcW w:w="840" w:type="pct"/>
            <w:shd w:val="clear" w:color="auto" w:fill="auto"/>
            <w:noWrap/>
            <w:vAlign w:val="center"/>
            <w:hideMark/>
          </w:tcPr>
          <w:p w14:paraId="1526D024"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-0.0894822</w:t>
            </w:r>
          </w:p>
        </w:tc>
        <w:tc>
          <w:tcPr>
            <w:tcW w:w="840" w:type="pct"/>
            <w:shd w:val="clear" w:color="auto" w:fill="auto"/>
            <w:noWrap/>
            <w:vAlign w:val="center"/>
            <w:hideMark/>
          </w:tcPr>
          <w:p w14:paraId="0D0BC22F"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-1.2749257</w:t>
            </w:r>
          </w:p>
        </w:tc>
      </w:tr>
      <w:tr w:rsidR="00AD277B" w:rsidRPr="00AD277B" w14:paraId="50109496" w14:textId="77777777" w:rsidTr="00516D3C">
        <w:trPr>
          <w:trHeight w:val="300"/>
        </w:trPr>
        <w:tc>
          <w:tcPr>
            <w:tcW w:w="799" w:type="pct"/>
            <w:shd w:val="clear" w:color="auto" w:fill="auto"/>
            <w:noWrap/>
            <w:vAlign w:val="center"/>
            <w:hideMark/>
          </w:tcPr>
          <w:p w14:paraId="097030FA"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31</w:t>
            </w:r>
          </w:p>
        </w:tc>
        <w:tc>
          <w:tcPr>
            <w:tcW w:w="840" w:type="pct"/>
            <w:shd w:val="clear" w:color="auto" w:fill="auto"/>
            <w:noWrap/>
            <w:vAlign w:val="center"/>
            <w:hideMark/>
          </w:tcPr>
          <w:p w14:paraId="30139BB9"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0.0239778</w:t>
            </w:r>
          </w:p>
        </w:tc>
        <w:tc>
          <w:tcPr>
            <w:tcW w:w="840" w:type="pct"/>
            <w:shd w:val="clear" w:color="auto" w:fill="auto"/>
            <w:noWrap/>
            <w:vAlign w:val="center"/>
            <w:hideMark/>
          </w:tcPr>
          <w:p w14:paraId="7B49C4D2"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0.3190659</w:t>
            </w:r>
          </w:p>
        </w:tc>
        <w:tc>
          <w:tcPr>
            <w:tcW w:w="840" w:type="pct"/>
            <w:shd w:val="clear" w:color="auto" w:fill="auto"/>
            <w:noWrap/>
            <w:vAlign w:val="center"/>
            <w:hideMark/>
          </w:tcPr>
          <w:p w14:paraId="5810AA78"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16.461166</w:t>
            </w:r>
          </w:p>
        </w:tc>
        <w:tc>
          <w:tcPr>
            <w:tcW w:w="840" w:type="pct"/>
            <w:shd w:val="clear" w:color="auto" w:fill="auto"/>
            <w:noWrap/>
            <w:vAlign w:val="center"/>
            <w:hideMark/>
          </w:tcPr>
          <w:p w14:paraId="126892F1"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0.0223005</w:t>
            </w:r>
          </w:p>
        </w:tc>
        <w:tc>
          <w:tcPr>
            <w:tcW w:w="840" w:type="pct"/>
            <w:shd w:val="clear" w:color="auto" w:fill="auto"/>
            <w:noWrap/>
            <w:vAlign w:val="center"/>
            <w:hideMark/>
          </w:tcPr>
          <w:p w14:paraId="50D9D6C1"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0.3177328</w:t>
            </w:r>
          </w:p>
        </w:tc>
      </w:tr>
      <w:tr w:rsidR="00AD277B" w:rsidRPr="00AD277B" w14:paraId="299B415A" w14:textId="77777777" w:rsidTr="00516D3C">
        <w:trPr>
          <w:trHeight w:val="300"/>
        </w:trPr>
        <w:tc>
          <w:tcPr>
            <w:tcW w:w="799" w:type="pct"/>
            <w:shd w:val="clear" w:color="auto" w:fill="auto"/>
            <w:noWrap/>
            <w:vAlign w:val="center"/>
            <w:hideMark/>
          </w:tcPr>
          <w:p w14:paraId="27211C9B"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32</w:t>
            </w:r>
          </w:p>
        </w:tc>
        <w:tc>
          <w:tcPr>
            <w:tcW w:w="840" w:type="pct"/>
            <w:shd w:val="clear" w:color="auto" w:fill="auto"/>
            <w:noWrap/>
            <w:vAlign w:val="center"/>
            <w:hideMark/>
          </w:tcPr>
          <w:p w14:paraId="3C531F2E"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0.1636722</w:t>
            </w:r>
          </w:p>
        </w:tc>
        <w:tc>
          <w:tcPr>
            <w:tcW w:w="840" w:type="pct"/>
            <w:shd w:val="clear" w:color="auto" w:fill="auto"/>
            <w:noWrap/>
            <w:vAlign w:val="center"/>
            <w:hideMark/>
          </w:tcPr>
          <w:p w14:paraId="5BDFFC61"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2.1768519</w:t>
            </w:r>
          </w:p>
        </w:tc>
        <w:tc>
          <w:tcPr>
            <w:tcW w:w="840" w:type="pct"/>
            <w:shd w:val="clear" w:color="auto" w:fill="auto"/>
            <w:noWrap/>
            <w:vAlign w:val="center"/>
            <w:hideMark/>
          </w:tcPr>
          <w:p w14:paraId="3AE1F8D2"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22.980505</w:t>
            </w:r>
          </w:p>
        </w:tc>
        <w:tc>
          <w:tcPr>
            <w:tcW w:w="840" w:type="pct"/>
            <w:shd w:val="clear" w:color="auto" w:fill="auto"/>
            <w:noWrap/>
            <w:vAlign w:val="center"/>
            <w:hideMark/>
          </w:tcPr>
          <w:p w14:paraId="0A135321"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0.1161467</w:t>
            </w:r>
          </w:p>
        </w:tc>
        <w:tc>
          <w:tcPr>
            <w:tcW w:w="840" w:type="pct"/>
            <w:shd w:val="clear" w:color="auto" w:fill="auto"/>
            <w:noWrap/>
            <w:vAlign w:val="center"/>
            <w:hideMark/>
          </w:tcPr>
          <w:p w14:paraId="2268CD5E"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1.6548364</w:t>
            </w:r>
          </w:p>
        </w:tc>
      </w:tr>
      <w:tr w:rsidR="00AD277B" w:rsidRPr="00AD277B" w14:paraId="213188D7" w14:textId="77777777" w:rsidTr="00516D3C">
        <w:trPr>
          <w:trHeight w:val="300"/>
        </w:trPr>
        <w:tc>
          <w:tcPr>
            <w:tcW w:w="799" w:type="pct"/>
            <w:shd w:val="clear" w:color="auto" w:fill="auto"/>
            <w:noWrap/>
            <w:vAlign w:val="center"/>
            <w:hideMark/>
          </w:tcPr>
          <w:p w14:paraId="4426E7FF"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33</w:t>
            </w:r>
          </w:p>
        </w:tc>
        <w:tc>
          <w:tcPr>
            <w:tcW w:w="840" w:type="pct"/>
            <w:shd w:val="clear" w:color="auto" w:fill="auto"/>
            <w:noWrap/>
            <w:vAlign w:val="center"/>
            <w:hideMark/>
          </w:tcPr>
          <w:p w14:paraId="239EF45C"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-0.0684284</w:t>
            </w:r>
          </w:p>
        </w:tc>
        <w:tc>
          <w:tcPr>
            <w:tcW w:w="840" w:type="pct"/>
            <w:shd w:val="clear" w:color="auto" w:fill="auto"/>
            <w:noWrap/>
            <w:vAlign w:val="center"/>
            <w:hideMark/>
          </w:tcPr>
          <w:p w14:paraId="24113548"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-0.8895739</w:t>
            </w:r>
          </w:p>
        </w:tc>
        <w:tc>
          <w:tcPr>
            <w:tcW w:w="840" w:type="pct"/>
            <w:shd w:val="clear" w:color="auto" w:fill="auto"/>
            <w:noWrap/>
            <w:vAlign w:val="center"/>
            <w:hideMark/>
          </w:tcPr>
          <w:p w14:paraId="4335C60D"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24.12674</w:t>
            </w:r>
          </w:p>
        </w:tc>
        <w:tc>
          <w:tcPr>
            <w:tcW w:w="840" w:type="pct"/>
            <w:shd w:val="clear" w:color="auto" w:fill="auto"/>
            <w:noWrap/>
            <w:vAlign w:val="center"/>
            <w:hideMark/>
          </w:tcPr>
          <w:p w14:paraId="00FBB1B9"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-0.0626278</w:t>
            </w:r>
          </w:p>
        </w:tc>
        <w:tc>
          <w:tcPr>
            <w:tcW w:w="840" w:type="pct"/>
            <w:shd w:val="clear" w:color="auto" w:fill="auto"/>
            <w:noWrap/>
            <w:vAlign w:val="center"/>
            <w:hideMark/>
          </w:tcPr>
          <w:p w14:paraId="52DDC73E"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-0.8923084</w:t>
            </w:r>
          </w:p>
        </w:tc>
      </w:tr>
      <w:tr w:rsidR="00AD277B" w:rsidRPr="00AD277B" w14:paraId="28148486" w14:textId="77777777" w:rsidTr="00516D3C">
        <w:trPr>
          <w:trHeight w:val="300"/>
        </w:trPr>
        <w:tc>
          <w:tcPr>
            <w:tcW w:w="799" w:type="pct"/>
            <w:shd w:val="clear" w:color="auto" w:fill="auto"/>
            <w:noWrap/>
            <w:vAlign w:val="center"/>
            <w:hideMark/>
          </w:tcPr>
          <w:p w14:paraId="045B73F4"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34</w:t>
            </w:r>
          </w:p>
        </w:tc>
        <w:tc>
          <w:tcPr>
            <w:tcW w:w="840" w:type="pct"/>
            <w:shd w:val="clear" w:color="auto" w:fill="auto"/>
            <w:noWrap/>
            <w:vAlign w:val="center"/>
            <w:hideMark/>
          </w:tcPr>
          <w:p w14:paraId="437C14EF"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-0.0366222</w:t>
            </w:r>
          </w:p>
        </w:tc>
        <w:tc>
          <w:tcPr>
            <w:tcW w:w="840" w:type="pct"/>
            <w:shd w:val="clear" w:color="auto" w:fill="auto"/>
            <w:noWrap/>
            <w:vAlign w:val="center"/>
            <w:hideMark/>
          </w:tcPr>
          <w:p w14:paraId="0A3BDEA2"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-0.4742454</w:t>
            </w:r>
          </w:p>
        </w:tc>
        <w:tc>
          <w:tcPr>
            <w:tcW w:w="840" w:type="pct"/>
            <w:shd w:val="clear" w:color="auto" w:fill="auto"/>
            <w:noWrap/>
            <w:vAlign w:val="center"/>
            <w:hideMark/>
          </w:tcPr>
          <w:p w14:paraId="35D89D1B"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24.456997</w:t>
            </w:r>
          </w:p>
        </w:tc>
        <w:tc>
          <w:tcPr>
            <w:tcW w:w="840" w:type="pct"/>
            <w:shd w:val="clear" w:color="auto" w:fill="auto"/>
            <w:noWrap/>
            <w:vAlign w:val="center"/>
            <w:hideMark/>
          </w:tcPr>
          <w:p w14:paraId="520FEDBF"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-0.0306096</w:t>
            </w:r>
          </w:p>
        </w:tc>
        <w:tc>
          <w:tcPr>
            <w:tcW w:w="840" w:type="pct"/>
            <w:shd w:val="clear" w:color="auto" w:fill="auto"/>
            <w:noWrap/>
            <w:vAlign w:val="center"/>
            <w:hideMark/>
          </w:tcPr>
          <w:p w14:paraId="4820A987"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-0.4361203</w:t>
            </w:r>
          </w:p>
        </w:tc>
      </w:tr>
      <w:tr w:rsidR="00AD277B" w:rsidRPr="00AD277B" w14:paraId="2FCBE053" w14:textId="77777777" w:rsidTr="00516D3C">
        <w:trPr>
          <w:trHeight w:val="300"/>
        </w:trPr>
        <w:tc>
          <w:tcPr>
            <w:tcW w:w="799" w:type="pct"/>
            <w:shd w:val="clear" w:color="auto" w:fill="auto"/>
            <w:noWrap/>
            <w:vAlign w:val="center"/>
            <w:hideMark/>
          </w:tcPr>
          <w:p w14:paraId="362CD269"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35</w:t>
            </w:r>
          </w:p>
        </w:tc>
        <w:tc>
          <w:tcPr>
            <w:tcW w:w="840" w:type="pct"/>
            <w:shd w:val="clear" w:color="auto" w:fill="auto"/>
            <w:noWrap/>
            <w:vAlign w:val="center"/>
            <w:hideMark/>
          </w:tcPr>
          <w:p w14:paraId="7090D5CA"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-0.0456167</w:t>
            </w:r>
          </w:p>
        </w:tc>
        <w:tc>
          <w:tcPr>
            <w:tcW w:w="840" w:type="pct"/>
            <w:shd w:val="clear" w:color="auto" w:fill="auto"/>
            <w:noWrap/>
            <w:vAlign w:val="center"/>
            <w:hideMark/>
          </w:tcPr>
          <w:p w14:paraId="7F66A9CE"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-0.5900687</w:t>
            </w:r>
          </w:p>
        </w:tc>
        <w:tc>
          <w:tcPr>
            <w:tcW w:w="840" w:type="pct"/>
            <w:shd w:val="clear" w:color="auto" w:fill="auto"/>
            <w:noWrap/>
            <w:vAlign w:val="center"/>
            <w:hideMark/>
          </w:tcPr>
          <w:p w14:paraId="208D34C1"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24.972449</w:t>
            </w:r>
          </w:p>
        </w:tc>
        <w:tc>
          <w:tcPr>
            <w:tcW w:w="840" w:type="pct"/>
            <w:shd w:val="clear" w:color="auto" w:fill="auto"/>
            <w:noWrap/>
            <w:vAlign w:val="center"/>
            <w:hideMark/>
          </w:tcPr>
          <w:p w14:paraId="642D9FC3"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-0.0341883</w:t>
            </w:r>
          </w:p>
        </w:tc>
        <w:tc>
          <w:tcPr>
            <w:tcW w:w="840" w:type="pct"/>
            <w:shd w:val="clear" w:color="auto" w:fill="auto"/>
            <w:noWrap/>
            <w:vAlign w:val="center"/>
            <w:hideMark/>
          </w:tcPr>
          <w:p w14:paraId="4556D8E7"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-0.4871078</w:t>
            </w:r>
          </w:p>
        </w:tc>
      </w:tr>
      <w:tr w:rsidR="00AD277B" w:rsidRPr="00AD277B" w14:paraId="410A9029" w14:textId="77777777" w:rsidTr="00516D3C">
        <w:trPr>
          <w:trHeight w:val="300"/>
        </w:trPr>
        <w:tc>
          <w:tcPr>
            <w:tcW w:w="799" w:type="pct"/>
            <w:shd w:val="clear" w:color="auto" w:fill="auto"/>
            <w:noWrap/>
            <w:vAlign w:val="center"/>
            <w:hideMark/>
          </w:tcPr>
          <w:p w14:paraId="3B6991CA"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36</w:t>
            </w:r>
          </w:p>
        </w:tc>
        <w:tc>
          <w:tcPr>
            <w:tcW w:w="840" w:type="pct"/>
            <w:shd w:val="clear" w:color="auto" w:fill="auto"/>
            <w:noWrap/>
            <w:vAlign w:val="center"/>
            <w:hideMark/>
          </w:tcPr>
          <w:p w14:paraId="5C0AD0B7"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0.0239224</w:t>
            </w:r>
          </w:p>
        </w:tc>
        <w:tc>
          <w:tcPr>
            <w:tcW w:w="840" w:type="pct"/>
            <w:shd w:val="clear" w:color="auto" w:fill="auto"/>
            <w:noWrap/>
            <w:vAlign w:val="center"/>
            <w:hideMark/>
          </w:tcPr>
          <w:p w14:paraId="25F5F09F"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0.3089153</w:t>
            </w:r>
          </w:p>
        </w:tc>
        <w:tc>
          <w:tcPr>
            <w:tcW w:w="840" w:type="pct"/>
            <w:shd w:val="clear" w:color="auto" w:fill="auto"/>
            <w:noWrap/>
            <w:vAlign w:val="center"/>
            <w:hideMark/>
          </w:tcPr>
          <w:p w14:paraId="671CCC11"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25.115057</w:t>
            </w:r>
          </w:p>
        </w:tc>
        <w:tc>
          <w:tcPr>
            <w:tcW w:w="840" w:type="pct"/>
            <w:shd w:val="clear" w:color="auto" w:fill="auto"/>
            <w:noWrap/>
            <w:vAlign w:val="center"/>
            <w:hideMark/>
          </w:tcPr>
          <w:p w14:paraId="56CD8CE1"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0.0218771</w:t>
            </w:r>
          </w:p>
        </w:tc>
        <w:tc>
          <w:tcPr>
            <w:tcW w:w="840" w:type="pct"/>
            <w:shd w:val="clear" w:color="auto" w:fill="auto"/>
            <w:noWrap/>
            <w:vAlign w:val="center"/>
            <w:hideMark/>
          </w:tcPr>
          <w:p w14:paraId="26A27260"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0.3117008</w:t>
            </w:r>
          </w:p>
        </w:tc>
      </w:tr>
      <w:tr w:rsidR="00AD277B" w:rsidRPr="00AD277B" w14:paraId="62540190" w14:textId="77777777" w:rsidTr="00516D3C">
        <w:trPr>
          <w:trHeight w:val="300"/>
        </w:trPr>
        <w:tc>
          <w:tcPr>
            <w:tcW w:w="799" w:type="pct"/>
            <w:shd w:val="clear" w:color="auto" w:fill="auto"/>
            <w:noWrap/>
            <w:vAlign w:val="center"/>
            <w:hideMark/>
          </w:tcPr>
          <w:p w14:paraId="4D495314"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37</w:t>
            </w:r>
          </w:p>
        </w:tc>
        <w:tc>
          <w:tcPr>
            <w:tcW w:w="840" w:type="pct"/>
            <w:shd w:val="clear" w:color="auto" w:fill="auto"/>
            <w:noWrap/>
            <w:vAlign w:val="center"/>
            <w:hideMark/>
          </w:tcPr>
          <w:p w14:paraId="11050C79"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0.0407089</w:t>
            </w:r>
          </w:p>
        </w:tc>
        <w:tc>
          <w:tcPr>
            <w:tcW w:w="840" w:type="pct"/>
            <w:shd w:val="clear" w:color="auto" w:fill="auto"/>
            <w:noWrap/>
            <w:vAlign w:val="center"/>
            <w:hideMark/>
          </w:tcPr>
          <w:p w14:paraId="09BC2825"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0.525437</w:t>
            </w:r>
          </w:p>
        </w:tc>
        <w:tc>
          <w:tcPr>
            <w:tcW w:w="840" w:type="pct"/>
            <w:shd w:val="clear" w:color="auto" w:fill="auto"/>
            <w:noWrap/>
            <w:vAlign w:val="center"/>
            <w:hideMark/>
          </w:tcPr>
          <w:p w14:paraId="125CD109"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25.530509</w:t>
            </w:r>
          </w:p>
        </w:tc>
        <w:tc>
          <w:tcPr>
            <w:tcW w:w="840" w:type="pct"/>
            <w:shd w:val="clear" w:color="auto" w:fill="auto"/>
            <w:noWrap/>
            <w:vAlign w:val="center"/>
            <w:hideMark/>
          </w:tcPr>
          <w:p w14:paraId="0DCC0596"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0.0353085</w:t>
            </w:r>
          </w:p>
        </w:tc>
        <w:tc>
          <w:tcPr>
            <w:tcW w:w="840" w:type="pct"/>
            <w:shd w:val="clear" w:color="auto" w:fill="auto"/>
            <w:noWrap/>
            <w:vAlign w:val="center"/>
            <w:hideMark/>
          </w:tcPr>
          <w:p w14:paraId="66FF119F"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0.5030689</w:t>
            </w:r>
          </w:p>
        </w:tc>
      </w:tr>
      <w:tr w:rsidR="00AD277B" w:rsidRPr="00AD277B" w14:paraId="3A1DE20E" w14:textId="77777777" w:rsidTr="00516D3C">
        <w:trPr>
          <w:trHeight w:val="300"/>
        </w:trPr>
        <w:tc>
          <w:tcPr>
            <w:tcW w:w="799" w:type="pct"/>
            <w:shd w:val="clear" w:color="auto" w:fill="auto"/>
            <w:noWrap/>
            <w:vAlign w:val="center"/>
            <w:hideMark/>
          </w:tcPr>
          <w:p w14:paraId="4BCCD45E"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38</w:t>
            </w:r>
          </w:p>
        </w:tc>
        <w:tc>
          <w:tcPr>
            <w:tcW w:w="840" w:type="pct"/>
            <w:shd w:val="clear" w:color="auto" w:fill="auto"/>
            <w:noWrap/>
            <w:vAlign w:val="center"/>
            <w:hideMark/>
          </w:tcPr>
          <w:p w14:paraId="0BFBF8F0"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-0.0139432</w:t>
            </w:r>
          </w:p>
        </w:tc>
        <w:tc>
          <w:tcPr>
            <w:tcW w:w="840" w:type="pct"/>
            <w:shd w:val="clear" w:color="auto" w:fill="auto"/>
            <w:noWrap/>
            <w:vAlign w:val="center"/>
            <w:hideMark/>
          </w:tcPr>
          <w:p w14:paraId="5C89BA0C"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-0.1797234</w:t>
            </w:r>
          </w:p>
        </w:tc>
        <w:tc>
          <w:tcPr>
            <w:tcW w:w="840" w:type="pct"/>
            <w:shd w:val="clear" w:color="auto" w:fill="auto"/>
            <w:noWrap/>
            <w:vAlign w:val="center"/>
            <w:hideMark/>
          </w:tcPr>
          <w:p w14:paraId="2AB3344E"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25.579542</w:t>
            </w:r>
          </w:p>
        </w:tc>
        <w:tc>
          <w:tcPr>
            <w:tcW w:w="840" w:type="pct"/>
            <w:shd w:val="clear" w:color="auto" w:fill="auto"/>
            <w:noWrap/>
            <w:vAlign w:val="center"/>
            <w:hideMark/>
          </w:tcPr>
          <w:p w14:paraId="37EA54ED"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-0.012611</w:t>
            </w:r>
          </w:p>
        </w:tc>
        <w:tc>
          <w:tcPr>
            <w:tcW w:w="840" w:type="pct"/>
            <w:shd w:val="clear" w:color="auto" w:fill="auto"/>
            <w:noWrap/>
            <w:vAlign w:val="center"/>
            <w:hideMark/>
          </w:tcPr>
          <w:p w14:paraId="33C8D19A"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-0.1796788</w:t>
            </w:r>
          </w:p>
        </w:tc>
      </w:tr>
      <w:tr w:rsidR="00AD277B" w:rsidRPr="00AD277B" w14:paraId="5EA3FCA3" w14:textId="77777777" w:rsidTr="00516D3C">
        <w:trPr>
          <w:trHeight w:val="300"/>
        </w:trPr>
        <w:tc>
          <w:tcPr>
            <w:tcW w:w="799" w:type="pct"/>
            <w:tcBorders>
              <w:bottom w:val="single" w:sz="4" w:space="0" w:color="auto"/>
            </w:tcBorders>
            <w:shd w:val="clear" w:color="auto" w:fill="auto"/>
            <w:noWrap/>
            <w:vAlign w:val="center"/>
            <w:hideMark/>
          </w:tcPr>
          <w:p w14:paraId="2775F626" w14:textId="77777777" w:rsidR="00AD277B" w:rsidRPr="00AD277B" w:rsidRDefault="00AD277B" w:rsidP="00516D3C">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39</w:t>
            </w:r>
          </w:p>
        </w:tc>
        <w:tc>
          <w:tcPr>
            <w:tcW w:w="840" w:type="pct"/>
            <w:tcBorders>
              <w:bottom w:val="single" w:sz="4" w:space="0" w:color="auto"/>
            </w:tcBorders>
            <w:shd w:val="clear" w:color="auto" w:fill="auto"/>
            <w:noWrap/>
            <w:vAlign w:val="center"/>
            <w:hideMark/>
          </w:tcPr>
          <w:p w14:paraId="7370D915"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0.0136644</w:t>
            </w:r>
          </w:p>
        </w:tc>
        <w:tc>
          <w:tcPr>
            <w:tcW w:w="840" w:type="pct"/>
            <w:tcBorders>
              <w:bottom w:val="single" w:sz="4" w:space="0" w:color="auto"/>
            </w:tcBorders>
            <w:shd w:val="clear" w:color="auto" w:fill="auto"/>
            <w:noWrap/>
            <w:vAlign w:val="center"/>
            <w:hideMark/>
          </w:tcPr>
          <w:p w14:paraId="4B44ED32"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0.1761007</w:t>
            </w:r>
          </w:p>
        </w:tc>
        <w:tc>
          <w:tcPr>
            <w:tcW w:w="840" w:type="pct"/>
            <w:tcBorders>
              <w:bottom w:val="single" w:sz="4" w:space="0" w:color="auto"/>
            </w:tcBorders>
            <w:shd w:val="clear" w:color="auto" w:fill="auto"/>
            <w:noWrap/>
            <w:vAlign w:val="center"/>
            <w:hideMark/>
          </w:tcPr>
          <w:p w14:paraId="2E4C66AA"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25.626921</w:t>
            </w:r>
          </w:p>
        </w:tc>
        <w:tc>
          <w:tcPr>
            <w:tcW w:w="840" w:type="pct"/>
            <w:tcBorders>
              <w:bottom w:val="single" w:sz="4" w:space="0" w:color="auto"/>
            </w:tcBorders>
            <w:shd w:val="clear" w:color="auto" w:fill="auto"/>
            <w:noWrap/>
            <w:vAlign w:val="center"/>
            <w:hideMark/>
          </w:tcPr>
          <w:p w14:paraId="440B56E2"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0.0306954</w:t>
            </w:r>
          </w:p>
        </w:tc>
        <w:tc>
          <w:tcPr>
            <w:tcW w:w="840" w:type="pct"/>
            <w:tcBorders>
              <w:bottom w:val="single" w:sz="4" w:space="0" w:color="auto"/>
            </w:tcBorders>
            <w:shd w:val="clear" w:color="auto" w:fill="auto"/>
            <w:noWrap/>
            <w:vAlign w:val="center"/>
            <w:hideMark/>
          </w:tcPr>
          <w:p w14:paraId="0210EEC0" w14:textId="77777777" w:rsidR="00AD277B" w:rsidRPr="00AD277B" w:rsidRDefault="00AD277B" w:rsidP="00AD277B">
            <w:pPr>
              <w:spacing w:before="0" w:after="0"/>
              <w:jc w:val="center"/>
              <w:rPr>
                <w:rFonts w:eastAsia="Times New Roman" w:cs="Calibri"/>
                <w:color w:val="000000"/>
                <w:sz w:val="20"/>
                <w:szCs w:val="20"/>
                <w:lang w:val="sr-Latn-RS" w:eastAsia="sr-Latn-RS"/>
              </w:rPr>
            </w:pPr>
            <w:r w:rsidRPr="00AD277B">
              <w:rPr>
                <w:rFonts w:eastAsia="Times New Roman" w:cs="Calibri"/>
                <w:color w:val="000000"/>
                <w:sz w:val="20"/>
                <w:szCs w:val="20"/>
                <w:lang w:val="sr-Latn-RS" w:eastAsia="sr-Latn-RS"/>
              </w:rPr>
              <w:t>0.4373419</w:t>
            </w:r>
          </w:p>
        </w:tc>
      </w:tr>
    </w:tbl>
    <w:p w14:paraId="4659F950" w14:textId="77777777" w:rsidR="00A16307" w:rsidRPr="00A16307" w:rsidRDefault="00A16307" w:rsidP="00A16307"/>
    <w:p w14:paraId="1C111254" w14:textId="77777777" w:rsidR="00935A0B" w:rsidRDefault="00935A0B">
      <w:pPr>
        <w:spacing w:before="0" w:after="160" w:line="259" w:lineRule="auto"/>
        <w:jc w:val="left"/>
      </w:pPr>
      <w:r>
        <w:br w:type="page"/>
      </w:r>
    </w:p>
    <w:p w14:paraId="7299D603" w14:textId="2111A9D8" w:rsidR="00913830" w:rsidRDefault="00935A0B" w:rsidP="00913830">
      <w:pPr>
        <w:pStyle w:val="Caption"/>
        <w:jc w:val="left"/>
      </w:pPr>
      <w:bookmarkStart w:id="830" w:name="_Toc101274679"/>
      <w:r>
        <w:lastRenderedPageBreak/>
        <w:t xml:space="preserve">Appendix </w:t>
      </w:r>
      <w:fldSimple w:instr=" SEQ Appendix \* ARABIC ">
        <w:r w:rsidR="00587AF0">
          <w:rPr>
            <w:noProof/>
          </w:rPr>
          <w:t>9</w:t>
        </w:r>
      </w:fldSimple>
      <w:r>
        <w:t xml:space="preserve">. </w:t>
      </w:r>
      <w:r w:rsidR="0061433F">
        <w:t>Determining quasi-fault time-to-an-event (TB</w:t>
      </w:r>
      <w:r w:rsidR="00913830">
        <w:t>QF) at opening saddle position</w:t>
      </w:r>
      <w:bookmarkEnd w:id="830"/>
    </w:p>
    <w:tbl>
      <w:tblPr>
        <w:tblW w:w="5000" w:type="pct"/>
        <w:tblLook w:val="04A0" w:firstRow="1" w:lastRow="0" w:firstColumn="1" w:lastColumn="0" w:noHBand="0" w:noVBand="1"/>
      </w:tblPr>
      <w:tblGrid>
        <w:gridCol w:w="1389"/>
        <w:gridCol w:w="883"/>
        <w:gridCol w:w="735"/>
        <w:gridCol w:w="832"/>
        <w:gridCol w:w="1013"/>
        <w:gridCol w:w="906"/>
        <w:gridCol w:w="850"/>
        <w:gridCol w:w="720"/>
        <w:gridCol w:w="903"/>
        <w:gridCol w:w="796"/>
      </w:tblGrid>
      <w:tr w:rsidR="00014D58" w:rsidRPr="00014D58" w14:paraId="059DBF9E" w14:textId="77777777" w:rsidTr="00014D58">
        <w:trPr>
          <w:trHeight w:val="315"/>
        </w:trPr>
        <w:tc>
          <w:tcPr>
            <w:tcW w:w="769" w:type="pct"/>
            <w:tcBorders>
              <w:top w:val="single" w:sz="4" w:space="0" w:color="auto"/>
              <w:bottom w:val="single" w:sz="4" w:space="0" w:color="auto"/>
            </w:tcBorders>
            <w:shd w:val="clear" w:color="auto" w:fill="auto"/>
            <w:noWrap/>
            <w:vAlign w:val="center"/>
            <w:hideMark/>
          </w:tcPr>
          <w:p w14:paraId="2515D7A4" w14:textId="77777777" w:rsidR="00913830" w:rsidRPr="00913830" w:rsidRDefault="00913830" w:rsidP="00014D58">
            <w:pPr>
              <w:spacing w:before="0" w:after="0"/>
              <w:jc w:val="center"/>
              <w:rPr>
                <w:rFonts w:eastAsia="Times New Roman" w:cs="Calibri"/>
                <w:b/>
                <w:bCs/>
                <w:color w:val="000000"/>
                <w:sz w:val="16"/>
                <w:szCs w:val="16"/>
                <w:lang w:val="sr-Latn-RS" w:eastAsia="sr-Latn-RS"/>
              </w:rPr>
            </w:pPr>
            <w:r w:rsidRPr="00913830">
              <w:rPr>
                <w:rFonts w:eastAsia="Times New Roman" w:cs="Calibri"/>
                <w:b/>
                <w:bCs/>
                <w:color w:val="000000"/>
                <w:sz w:val="16"/>
                <w:szCs w:val="16"/>
                <w:lang w:val="sr-Latn-RS" w:eastAsia="sr-Latn-RS"/>
              </w:rPr>
              <w:t>TBQF [minutes]</w:t>
            </w:r>
          </w:p>
        </w:tc>
        <w:tc>
          <w:tcPr>
            <w:tcW w:w="489" w:type="pct"/>
            <w:tcBorders>
              <w:top w:val="single" w:sz="4" w:space="0" w:color="auto"/>
              <w:bottom w:val="single" w:sz="4" w:space="0" w:color="auto"/>
            </w:tcBorders>
            <w:shd w:val="clear" w:color="auto" w:fill="auto"/>
            <w:noWrap/>
            <w:vAlign w:val="center"/>
            <w:hideMark/>
          </w:tcPr>
          <w:p w14:paraId="51FE7C81" w14:textId="77777777" w:rsidR="00913830" w:rsidRPr="00913830" w:rsidRDefault="00913830" w:rsidP="00014D58">
            <w:pPr>
              <w:spacing w:before="0" w:after="0"/>
              <w:jc w:val="center"/>
              <w:rPr>
                <w:rFonts w:eastAsia="Times New Roman" w:cs="Calibri"/>
                <w:b/>
                <w:bCs/>
                <w:color w:val="000000"/>
                <w:sz w:val="16"/>
                <w:szCs w:val="16"/>
                <w:lang w:val="sr-Latn-RS" w:eastAsia="sr-Latn-RS"/>
              </w:rPr>
            </w:pPr>
            <w:r w:rsidRPr="00913830">
              <w:rPr>
                <w:rFonts w:eastAsia="Times New Roman" w:cs="Calibri"/>
                <w:b/>
                <w:bCs/>
                <w:color w:val="000000"/>
                <w:sz w:val="16"/>
                <w:szCs w:val="16"/>
                <w:lang w:val="sr-Latn-RS" w:eastAsia="sr-Latn-RS"/>
              </w:rPr>
              <w:t>Gate [1,0]</w:t>
            </w:r>
          </w:p>
        </w:tc>
        <w:tc>
          <w:tcPr>
            <w:tcW w:w="407" w:type="pct"/>
            <w:tcBorders>
              <w:top w:val="single" w:sz="4" w:space="0" w:color="auto"/>
              <w:bottom w:val="single" w:sz="4" w:space="0" w:color="auto"/>
            </w:tcBorders>
            <w:shd w:val="clear" w:color="auto" w:fill="auto"/>
            <w:noWrap/>
            <w:vAlign w:val="center"/>
            <w:hideMark/>
          </w:tcPr>
          <w:p w14:paraId="2AFB371B" w14:textId="107AEFB4" w:rsidR="00913830" w:rsidRPr="00913830" w:rsidRDefault="00913830" w:rsidP="00014D58">
            <w:pPr>
              <w:spacing w:before="0" w:after="0"/>
              <w:jc w:val="center"/>
              <w:rPr>
                <w:rFonts w:eastAsia="Times New Roman" w:cs="Calibri"/>
                <w:b/>
                <w:bCs/>
                <w:color w:val="000000"/>
                <w:sz w:val="16"/>
                <w:szCs w:val="16"/>
                <w:lang w:val="sr-Latn-RS" w:eastAsia="sr-Latn-RS"/>
              </w:rPr>
            </w:pPr>
            <w:r w:rsidRPr="00913830">
              <w:rPr>
                <w:rFonts w:eastAsia="Times New Roman" w:cs="Calibri"/>
                <w:b/>
                <w:bCs/>
                <w:color w:val="000000"/>
                <w:sz w:val="16"/>
                <w:szCs w:val="16"/>
                <w:lang w:val="sr-Latn-RS" w:eastAsia="sr-Latn-RS"/>
              </w:rPr>
              <w:t>K</w:t>
            </w:r>
            <w:r w:rsidRPr="00014D58">
              <w:rPr>
                <w:rFonts w:eastAsia="Times New Roman" w:cs="Calibri"/>
                <w:b/>
                <w:bCs/>
                <w:color w:val="000000"/>
                <w:sz w:val="16"/>
                <w:szCs w:val="16"/>
                <w:lang w:val="sr-Latn-RS" w:eastAsia="sr-Latn-RS"/>
              </w:rPr>
              <w:t>_Bool</w:t>
            </w:r>
          </w:p>
        </w:tc>
        <w:tc>
          <w:tcPr>
            <w:tcW w:w="461" w:type="pct"/>
            <w:tcBorders>
              <w:top w:val="single" w:sz="4" w:space="0" w:color="auto"/>
              <w:bottom w:val="single" w:sz="4" w:space="0" w:color="auto"/>
            </w:tcBorders>
            <w:shd w:val="clear" w:color="auto" w:fill="auto"/>
            <w:noWrap/>
            <w:vAlign w:val="center"/>
            <w:hideMark/>
          </w:tcPr>
          <w:p w14:paraId="027DE346" w14:textId="06AA77D8" w:rsidR="00913830" w:rsidRPr="00913830" w:rsidRDefault="00913830" w:rsidP="00014D58">
            <w:pPr>
              <w:spacing w:before="0" w:after="0"/>
              <w:jc w:val="center"/>
              <w:rPr>
                <w:rFonts w:eastAsia="Times New Roman" w:cs="Calibri"/>
                <w:b/>
                <w:bCs/>
                <w:color w:val="000000"/>
                <w:sz w:val="16"/>
                <w:szCs w:val="16"/>
                <w:lang w:val="sr-Latn-RS" w:eastAsia="sr-Latn-RS"/>
              </w:rPr>
            </w:pPr>
            <w:r w:rsidRPr="00913830">
              <w:rPr>
                <w:rFonts w:eastAsia="Times New Roman" w:cs="Calibri"/>
                <w:b/>
                <w:bCs/>
                <w:color w:val="000000"/>
                <w:sz w:val="16"/>
                <w:szCs w:val="16"/>
                <w:lang w:val="sr-Latn-RS" w:eastAsia="sr-Latn-RS"/>
              </w:rPr>
              <w:t>S</w:t>
            </w:r>
            <w:r w:rsidRPr="00014D58">
              <w:rPr>
                <w:rFonts w:eastAsia="Times New Roman" w:cs="Calibri"/>
                <w:b/>
                <w:bCs/>
                <w:color w:val="000000"/>
                <w:sz w:val="16"/>
                <w:szCs w:val="16"/>
                <w:lang w:val="sr-Latn-RS" w:eastAsia="sr-Latn-RS"/>
              </w:rPr>
              <w:t>D</w:t>
            </w:r>
            <w:r w:rsidRPr="00913830">
              <w:rPr>
                <w:rFonts w:eastAsia="Times New Roman" w:cs="Calibri"/>
                <w:b/>
                <w:bCs/>
                <w:color w:val="000000"/>
                <w:sz w:val="16"/>
                <w:szCs w:val="16"/>
                <w:lang w:val="sr-Latn-RS" w:eastAsia="sr-Latn-RS"/>
              </w:rPr>
              <w:t>_Bool</w:t>
            </w:r>
          </w:p>
        </w:tc>
        <w:tc>
          <w:tcPr>
            <w:tcW w:w="561" w:type="pct"/>
            <w:tcBorders>
              <w:top w:val="single" w:sz="4" w:space="0" w:color="auto"/>
              <w:bottom w:val="single" w:sz="4" w:space="0" w:color="auto"/>
            </w:tcBorders>
            <w:shd w:val="clear" w:color="auto" w:fill="auto"/>
            <w:noWrap/>
            <w:vAlign w:val="center"/>
            <w:hideMark/>
          </w:tcPr>
          <w:p w14:paraId="3284AD74" w14:textId="7580D27D" w:rsidR="00913830" w:rsidRPr="00913830" w:rsidRDefault="00913830" w:rsidP="00014D58">
            <w:pPr>
              <w:spacing w:before="0" w:after="0"/>
              <w:jc w:val="center"/>
              <w:rPr>
                <w:rFonts w:eastAsia="Times New Roman" w:cs="Calibri"/>
                <w:b/>
                <w:bCs/>
                <w:color w:val="000000"/>
                <w:sz w:val="16"/>
                <w:szCs w:val="16"/>
                <w:lang w:val="sr-Latn-RS" w:eastAsia="sr-Latn-RS"/>
              </w:rPr>
            </w:pPr>
            <w:r w:rsidRPr="00913830">
              <w:rPr>
                <w:rFonts w:eastAsia="Times New Roman" w:cs="Calibri"/>
                <w:b/>
                <w:bCs/>
                <w:color w:val="000000"/>
                <w:sz w:val="16"/>
                <w:szCs w:val="16"/>
                <w:lang w:val="sr-Latn-RS" w:eastAsia="sr-Latn-RS"/>
              </w:rPr>
              <w:t>M</w:t>
            </w:r>
            <w:r w:rsidRPr="00014D58">
              <w:rPr>
                <w:rFonts w:eastAsia="Times New Roman" w:cs="Calibri"/>
                <w:b/>
                <w:bCs/>
                <w:color w:val="000000"/>
                <w:sz w:val="16"/>
                <w:szCs w:val="16"/>
                <w:lang w:val="sr-Latn-RS" w:eastAsia="sr-Latn-RS"/>
              </w:rPr>
              <w:t>ED</w:t>
            </w:r>
            <w:r w:rsidRPr="00913830">
              <w:rPr>
                <w:rFonts w:eastAsia="Times New Roman" w:cs="Calibri"/>
                <w:b/>
                <w:bCs/>
                <w:color w:val="000000"/>
                <w:sz w:val="16"/>
                <w:szCs w:val="16"/>
                <w:lang w:val="sr-Latn-RS" w:eastAsia="sr-Latn-RS"/>
              </w:rPr>
              <w:t>_Bool</w:t>
            </w:r>
          </w:p>
        </w:tc>
        <w:tc>
          <w:tcPr>
            <w:tcW w:w="502" w:type="pct"/>
            <w:tcBorders>
              <w:top w:val="single" w:sz="4" w:space="0" w:color="auto"/>
              <w:bottom w:val="single" w:sz="4" w:space="0" w:color="auto"/>
            </w:tcBorders>
            <w:shd w:val="clear" w:color="auto" w:fill="auto"/>
            <w:noWrap/>
            <w:vAlign w:val="center"/>
            <w:hideMark/>
          </w:tcPr>
          <w:p w14:paraId="26FEF763" w14:textId="77777777" w:rsidR="00913830" w:rsidRPr="00913830" w:rsidRDefault="00913830" w:rsidP="00014D58">
            <w:pPr>
              <w:spacing w:before="0" w:after="0"/>
              <w:jc w:val="center"/>
              <w:rPr>
                <w:rFonts w:eastAsia="Times New Roman" w:cs="Calibri"/>
                <w:b/>
                <w:bCs/>
                <w:color w:val="000000"/>
                <w:sz w:val="16"/>
                <w:szCs w:val="16"/>
                <w:lang w:val="sr-Latn-RS" w:eastAsia="sr-Latn-RS"/>
              </w:rPr>
            </w:pPr>
            <w:r w:rsidRPr="00913830">
              <w:rPr>
                <w:rFonts w:eastAsia="Times New Roman" w:cs="Calibri"/>
                <w:b/>
                <w:bCs/>
                <w:color w:val="000000"/>
                <w:sz w:val="16"/>
                <w:szCs w:val="16"/>
                <w:lang w:val="sr-Latn-RS" w:eastAsia="sr-Latn-RS"/>
              </w:rPr>
              <w:t>Min_Bool</w:t>
            </w:r>
          </w:p>
        </w:tc>
        <w:tc>
          <w:tcPr>
            <w:tcW w:w="471" w:type="pct"/>
            <w:tcBorders>
              <w:top w:val="single" w:sz="4" w:space="0" w:color="auto"/>
              <w:bottom w:val="single" w:sz="4" w:space="0" w:color="auto"/>
            </w:tcBorders>
            <w:shd w:val="clear" w:color="auto" w:fill="auto"/>
            <w:noWrap/>
            <w:vAlign w:val="center"/>
            <w:hideMark/>
          </w:tcPr>
          <w:p w14:paraId="1E655CF2" w14:textId="3748A206" w:rsidR="00913830" w:rsidRPr="00913830" w:rsidRDefault="00913830" w:rsidP="00014D58">
            <w:pPr>
              <w:spacing w:before="0" w:after="0"/>
              <w:jc w:val="center"/>
              <w:rPr>
                <w:rFonts w:eastAsia="Times New Roman" w:cs="Calibri"/>
                <w:b/>
                <w:bCs/>
                <w:color w:val="000000"/>
                <w:sz w:val="16"/>
                <w:szCs w:val="16"/>
                <w:lang w:val="sr-Latn-RS" w:eastAsia="sr-Latn-RS"/>
              </w:rPr>
            </w:pPr>
            <w:r w:rsidRPr="00913830">
              <w:rPr>
                <w:rFonts w:eastAsia="Times New Roman" w:cs="Calibri"/>
                <w:b/>
                <w:bCs/>
                <w:color w:val="000000"/>
                <w:sz w:val="16"/>
                <w:szCs w:val="16"/>
                <w:lang w:val="sr-Latn-RS" w:eastAsia="sr-Latn-RS"/>
              </w:rPr>
              <w:t>Kurt_OS</w:t>
            </w:r>
          </w:p>
        </w:tc>
        <w:tc>
          <w:tcPr>
            <w:tcW w:w="399" w:type="pct"/>
            <w:tcBorders>
              <w:top w:val="single" w:sz="4" w:space="0" w:color="auto"/>
              <w:bottom w:val="single" w:sz="4" w:space="0" w:color="auto"/>
            </w:tcBorders>
            <w:shd w:val="clear" w:color="auto" w:fill="auto"/>
            <w:noWrap/>
            <w:vAlign w:val="center"/>
            <w:hideMark/>
          </w:tcPr>
          <w:p w14:paraId="31AB6A6F" w14:textId="0D0313B2" w:rsidR="00913830" w:rsidRPr="00913830" w:rsidRDefault="00913830" w:rsidP="00014D58">
            <w:pPr>
              <w:spacing w:before="0" w:after="0"/>
              <w:jc w:val="center"/>
              <w:rPr>
                <w:rFonts w:eastAsia="Times New Roman" w:cs="Calibri"/>
                <w:b/>
                <w:bCs/>
                <w:color w:val="000000"/>
                <w:sz w:val="16"/>
                <w:szCs w:val="16"/>
                <w:lang w:val="sr-Latn-RS" w:eastAsia="sr-Latn-RS"/>
              </w:rPr>
            </w:pPr>
            <w:r w:rsidRPr="00014D58">
              <w:rPr>
                <w:rFonts w:eastAsia="Times New Roman" w:cs="Calibri"/>
                <w:b/>
                <w:bCs/>
                <w:color w:val="000000"/>
                <w:sz w:val="16"/>
                <w:szCs w:val="16"/>
                <w:lang w:val="sr-Latn-RS" w:eastAsia="sr-Latn-RS"/>
              </w:rPr>
              <w:t>SD</w:t>
            </w:r>
            <w:r w:rsidRPr="00913830">
              <w:rPr>
                <w:rFonts w:eastAsia="Times New Roman" w:cs="Calibri"/>
                <w:b/>
                <w:bCs/>
                <w:color w:val="000000"/>
                <w:sz w:val="16"/>
                <w:szCs w:val="16"/>
                <w:lang w:val="sr-Latn-RS" w:eastAsia="sr-Latn-RS"/>
              </w:rPr>
              <w:t>_OS</w:t>
            </w:r>
          </w:p>
        </w:tc>
        <w:tc>
          <w:tcPr>
            <w:tcW w:w="500" w:type="pct"/>
            <w:tcBorders>
              <w:top w:val="single" w:sz="4" w:space="0" w:color="auto"/>
              <w:bottom w:val="single" w:sz="4" w:space="0" w:color="auto"/>
            </w:tcBorders>
            <w:shd w:val="clear" w:color="auto" w:fill="auto"/>
            <w:noWrap/>
            <w:vAlign w:val="center"/>
            <w:hideMark/>
          </w:tcPr>
          <w:p w14:paraId="181EF8D9" w14:textId="21FC3F54" w:rsidR="00913830" w:rsidRPr="00913830" w:rsidRDefault="00913830" w:rsidP="00014D58">
            <w:pPr>
              <w:spacing w:before="0" w:after="0"/>
              <w:jc w:val="center"/>
              <w:rPr>
                <w:rFonts w:eastAsia="Times New Roman" w:cs="Calibri"/>
                <w:b/>
                <w:bCs/>
                <w:color w:val="000000"/>
                <w:sz w:val="16"/>
                <w:szCs w:val="16"/>
                <w:lang w:val="sr-Latn-RS" w:eastAsia="sr-Latn-RS"/>
              </w:rPr>
            </w:pPr>
            <w:r w:rsidRPr="00014D58">
              <w:rPr>
                <w:rFonts w:eastAsia="Times New Roman" w:cs="Calibri"/>
                <w:b/>
                <w:bCs/>
                <w:color w:val="000000"/>
                <w:sz w:val="16"/>
                <w:szCs w:val="16"/>
                <w:lang w:val="sr-Latn-RS" w:eastAsia="sr-Latn-RS"/>
              </w:rPr>
              <w:t>MED</w:t>
            </w:r>
            <w:r w:rsidRPr="00913830">
              <w:rPr>
                <w:rFonts w:eastAsia="Times New Roman" w:cs="Calibri"/>
                <w:b/>
                <w:bCs/>
                <w:color w:val="000000"/>
                <w:sz w:val="16"/>
                <w:szCs w:val="16"/>
                <w:lang w:val="sr-Latn-RS" w:eastAsia="sr-Latn-RS"/>
              </w:rPr>
              <w:t>_OS</w:t>
            </w:r>
          </w:p>
        </w:tc>
        <w:tc>
          <w:tcPr>
            <w:tcW w:w="441" w:type="pct"/>
            <w:tcBorders>
              <w:top w:val="single" w:sz="4" w:space="0" w:color="auto"/>
              <w:bottom w:val="single" w:sz="4" w:space="0" w:color="auto"/>
            </w:tcBorders>
            <w:shd w:val="clear" w:color="auto" w:fill="auto"/>
            <w:noWrap/>
            <w:vAlign w:val="center"/>
            <w:hideMark/>
          </w:tcPr>
          <w:p w14:paraId="773D4C1C" w14:textId="20EDE53F" w:rsidR="00913830" w:rsidRPr="00913830" w:rsidRDefault="00913830" w:rsidP="00014D58">
            <w:pPr>
              <w:spacing w:before="0" w:after="0"/>
              <w:jc w:val="center"/>
              <w:rPr>
                <w:rFonts w:eastAsia="Times New Roman" w:cs="Calibri"/>
                <w:b/>
                <w:bCs/>
                <w:color w:val="000000"/>
                <w:sz w:val="16"/>
                <w:szCs w:val="16"/>
                <w:lang w:val="sr-Latn-RS" w:eastAsia="sr-Latn-RS"/>
              </w:rPr>
            </w:pPr>
            <w:r w:rsidRPr="00913830">
              <w:rPr>
                <w:rFonts w:eastAsia="Times New Roman" w:cs="Calibri"/>
                <w:b/>
                <w:bCs/>
                <w:color w:val="000000"/>
                <w:sz w:val="16"/>
                <w:szCs w:val="16"/>
                <w:lang w:val="sr-Latn-RS" w:eastAsia="sr-Latn-RS"/>
              </w:rPr>
              <w:t>Min_OS</w:t>
            </w:r>
          </w:p>
        </w:tc>
      </w:tr>
      <w:tr w:rsidR="005474B1" w:rsidRPr="00014D58" w14:paraId="34B19DBF" w14:textId="77777777" w:rsidTr="00014D58">
        <w:trPr>
          <w:trHeight w:val="315"/>
        </w:trPr>
        <w:tc>
          <w:tcPr>
            <w:tcW w:w="769" w:type="pct"/>
            <w:tcBorders>
              <w:top w:val="single" w:sz="4" w:space="0" w:color="auto"/>
            </w:tcBorders>
            <w:shd w:val="clear" w:color="auto" w:fill="auto"/>
            <w:noWrap/>
            <w:vAlign w:val="center"/>
            <w:hideMark/>
          </w:tcPr>
          <w:p w14:paraId="0FCCC42D"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2.117</w:t>
            </w:r>
          </w:p>
        </w:tc>
        <w:tc>
          <w:tcPr>
            <w:tcW w:w="489" w:type="pct"/>
            <w:tcBorders>
              <w:top w:val="single" w:sz="4" w:space="0" w:color="auto"/>
            </w:tcBorders>
            <w:shd w:val="clear" w:color="auto" w:fill="auto"/>
            <w:noWrap/>
            <w:vAlign w:val="center"/>
            <w:hideMark/>
          </w:tcPr>
          <w:p w14:paraId="3D8EB988"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1</w:t>
            </w:r>
          </w:p>
        </w:tc>
        <w:tc>
          <w:tcPr>
            <w:tcW w:w="407" w:type="pct"/>
            <w:tcBorders>
              <w:top w:val="single" w:sz="4" w:space="0" w:color="auto"/>
            </w:tcBorders>
            <w:shd w:val="clear" w:color="auto" w:fill="auto"/>
            <w:noWrap/>
            <w:vAlign w:val="center"/>
            <w:hideMark/>
          </w:tcPr>
          <w:p w14:paraId="27705F50"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461" w:type="pct"/>
            <w:tcBorders>
              <w:top w:val="single" w:sz="4" w:space="0" w:color="auto"/>
            </w:tcBorders>
            <w:shd w:val="clear" w:color="auto" w:fill="auto"/>
            <w:noWrap/>
            <w:vAlign w:val="center"/>
            <w:hideMark/>
          </w:tcPr>
          <w:p w14:paraId="1D054FCA"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1</w:t>
            </w:r>
          </w:p>
        </w:tc>
        <w:tc>
          <w:tcPr>
            <w:tcW w:w="561" w:type="pct"/>
            <w:tcBorders>
              <w:top w:val="single" w:sz="4" w:space="0" w:color="auto"/>
            </w:tcBorders>
            <w:shd w:val="clear" w:color="auto" w:fill="auto"/>
            <w:noWrap/>
            <w:vAlign w:val="center"/>
            <w:hideMark/>
          </w:tcPr>
          <w:p w14:paraId="6FD2B60C"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502" w:type="pct"/>
            <w:tcBorders>
              <w:top w:val="single" w:sz="4" w:space="0" w:color="auto"/>
            </w:tcBorders>
            <w:shd w:val="clear" w:color="auto" w:fill="auto"/>
            <w:noWrap/>
            <w:vAlign w:val="center"/>
            <w:hideMark/>
          </w:tcPr>
          <w:p w14:paraId="019ED702"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1</w:t>
            </w:r>
          </w:p>
        </w:tc>
        <w:tc>
          <w:tcPr>
            <w:tcW w:w="471" w:type="pct"/>
            <w:tcBorders>
              <w:top w:val="single" w:sz="4" w:space="0" w:color="auto"/>
            </w:tcBorders>
            <w:shd w:val="clear" w:color="auto" w:fill="auto"/>
            <w:noWrap/>
            <w:vAlign w:val="center"/>
            <w:hideMark/>
          </w:tcPr>
          <w:p w14:paraId="45AB29E3"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1.492</w:t>
            </w:r>
          </w:p>
        </w:tc>
        <w:tc>
          <w:tcPr>
            <w:tcW w:w="399" w:type="pct"/>
            <w:tcBorders>
              <w:top w:val="single" w:sz="4" w:space="0" w:color="auto"/>
            </w:tcBorders>
            <w:shd w:val="clear" w:color="auto" w:fill="auto"/>
            <w:noWrap/>
            <w:vAlign w:val="center"/>
            <w:hideMark/>
          </w:tcPr>
          <w:p w14:paraId="5272D237"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2.003</w:t>
            </w:r>
          </w:p>
        </w:tc>
        <w:tc>
          <w:tcPr>
            <w:tcW w:w="500" w:type="pct"/>
            <w:tcBorders>
              <w:top w:val="single" w:sz="4" w:space="0" w:color="auto"/>
            </w:tcBorders>
            <w:shd w:val="clear" w:color="auto" w:fill="auto"/>
            <w:noWrap/>
            <w:vAlign w:val="center"/>
            <w:hideMark/>
          </w:tcPr>
          <w:p w14:paraId="19F76ABD"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17.427</w:t>
            </w:r>
          </w:p>
        </w:tc>
        <w:tc>
          <w:tcPr>
            <w:tcW w:w="441" w:type="pct"/>
            <w:tcBorders>
              <w:top w:val="single" w:sz="4" w:space="0" w:color="auto"/>
            </w:tcBorders>
            <w:shd w:val="clear" w:color="auto" w:fill="auto"/>
            <w:noWrap/>
            <w:vAlign w:val="center"/>
            <w:hideMark/>
          </w:tcPr>
          <w:p w14:paraId="43C69792"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11.267</w:t>
            </w:r>
          </w:p>
        </w:tc>
      </w:tr>
      <w:tr w:rsidR="005474B1" w:rsidRPr="00014D58" w14:paraId="2539BA30" w14:textId="77777777" w:rsidTr="00014D58">
        <w:trPr>
          <w:trHeight w:val="315"/>
        </w:trPr>
        <w:tc>
          <w:tcPr>
            <w:tcW w:w="769" w:type="pct"/>
            <w:shd w:val="clear" w:color="auto" w:fill="auto"/>
            <w:noWrap/>
            <w:vAlign w:val="center"/>
            <w:hideMark/>
          </w:tcPr>
          <w:p w14:paraId="1CFD7CD5"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0.000</w:t>
            </w:r>
          </w:p>
        </w:tc>
        <w:tc>
          <w:tcPr>
            <w:tcW w:w="489" w:type="pct"/>
            <w:shd w:val="clear" w:color="auto" w:fill="auto"/>
            <w:noWrap/>
            <w:vAlign w:val="center"/>
            <w:hideMark/>
          </w:tcPr>
          <w:p w14:paraId="43AAC60E"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407" w:type="pct"/>
            <w:shd w:val="clear" w:color="auto" w:fill="auto"/>
            <w:noWrap/>
            <w:vAlign w:val="center"/>
            <w:hideMark/>
          </w:tcPr>
          <w:p w14:paraId="097CD64A"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461" w:type="pct"/>
            <w:shd w:val="clear" w:color="auto" w:fill="auto"/>
            <w:noWrap/>
            <w:vAlign w:val="center"/>
            <w:hideMark/>
          </w:tcPr>
          <w:p w14:paraId="15358823"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561" w:type="pct"/>
            <w:shd w:val="clear" w:color="auto" w:fill="auto"/>
            <w:noWrap/>
            <w:vAlign w:val="center"/>
            <w:hideMark/>
          </w:tcPr>
          <w:p w14:paraId="41B4637B"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502" w:type="pct"/>
            <w:shd w:val="clear" w:color="auto" w:fill="auto"/>
            <w:noWrap/>
            <w:vAlign w:val="center"/>
            <w:hideMark/>
          </w:tcPr>
          <w:p w14:paraId="40594B70"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471" w:type="pct"/>
            <w:shd w:val="clear" w:color="auto" w:fill="auto"/>
            <w:noWrap/>
            <w:vAlign w:val="center"/>
            <w:hideMark/>
          </w:tcPr>
          <w:p w14:paraId="3CAFD4CA"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0.780</w:t>
            </w:r>
          </w:p>
        </w:tc>
        <w:tc>
          <w:tcPr>
            <w:tcW w:w="399" w:type="pct"/>
            <w:shd w:val="clear" w:color="auto" w:fill="auto"/>
            <w:noWrap/>
            <w:vAlign w:val="center"/>
            <w:hideMark/>
          </w:tcPr>
          <w:p w14:paraId="40831FB3"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5.551</w:t>
            </w:r>
          </w:p>
        </w:tc>
        <w:tc>
          <w:tcPr>
            <w:tcW w:w="500" w:type="pct"/>
            <w:shd w:val="clear" w:color="auto" w:fill="auto"/>
            <w:noWrap/>
            <w:vAlign w:val="center"/>
            <w:hideMark/>
          </w:tcPr>
          <w:p w14:paraId="0163F976"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17.467</w:t>
            </w:r>
          </w:p>
        </w:tc>
        <w:tc>
          <w:tcPr>
            <w:tcW w:w="441" w:type="pct"/>
            <w:shd w:val="clear" w:color="auto" w:fill="auto"/>
            <w:noWrap/>
            <w:vAlign w:val="center"/>
            <w:hideMark/>
          </w:tcPr>
          <w:p w14:paraId="7365D8C4"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2.558</w:t>
            </w:r>
          </w:p>
        </w:tc>
      </w:tr>
      <w:tr w:rsidR="005474B1" w:rsidRPr="00014D58" w14:paraId="0A84FFCE" w14:textId="77777777" w:rsidTr="00014D58">
        <w:trPr>
          <w:trHeight w:val="315"/>
        </w:trPr>
        <w:tc>
          <w:tcPr>
            <w:tcW w:w="769" w:type="pct"/>
            <w:shd w:val="clear" w:color="auto" w:fill="auto"/>
            <w:noWrap/>
            <w:vAlign w:val="center"/>
            <w:hideMark/>
          </w:tcPr>
          <w:p w14:paraId="32A88081"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0.000</w:t>
            </w:r>
          </w:p>
        </w:tc>
        <w:tc>
          <w:tcPr>
            <w:tcW w:w="489" w:type="pct"/>
            <w:shd w:val="clear" w:color="auto" w:fill="auto"/>
            <w:noWrap/>
            <w:vAlign w:val="center"/>
            <w:hideMark/>
          </w:tcPr>
          <w:p w14:paraId="0556B021"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407" w:type="pct"/>
            <w:shd w:val="clear" w:color="auto" w:fill="auto"/>
            <w:noWrap/>
            <w:vAlign w:val="center"/>
            <w:hideMark/>
          </w:tcPr>
          <w:p w14:paraId="69AF9E9A"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1</w:t>
            </w:r>
          </w:p>
        </w:tc>
        <w:tc>
          <w:tcPr>
            <w:tcW w:w="461" w:type="pct"/>
            <w:shd w:val="clear" w:color="auto" w:fill="auto"/>
            <w:noWrap/>
            <w:vAlign w:val="center"/>
            <w:hideMark/>
          </w:tcPr>
          <w:p w14:paraId="11647821"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561" w:type="pct"/>
            <w:shd w:val="clear" w:color="auto" w:fill="auto"/>
            <w:noWrap/>
            <w:vAlign w:val="center"/>
            <w:hideMark/>
          </w:tcPr>
          <w:p w14:paraId="566138F8"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502" w:type="pct"/>
            <w:shd w:val="clear" w:color="auto" w:fill="auto"/>
            <w:noWrap/>
            <w:vAlign w:val="center"/>
            <w:hideMark/>
          </w:tcPr>
          <w:p w14:paraId="6AD357A9"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471" w:type="pct"/>
            <w:shd w:val="clear" w:color="auto" w:fill="auto"/>
            <w:noWrap/>
            <w:vAlign w:val="center"/>
            <w:hideMark/>
          </w:tcPr>
          <w:p w14:paraId="48D6D8DE"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0.344</w:t>
            </w:r>
          </w:p>
        </w:tc>
        <w:tc>
          <w:tcPr>
            <w:tcW w:w="399" w:type="pct"/>
            <w:shd w:val="clear" w:color="auto" w:fill="auto"/>
            <w:noWrap/>
            <w:vAlign w:val="center"/>
            <w:hideMark/>
          </w:tcPr>
          <w:p w14:paraId="754A9AD5"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5.707</w:t>
            </w:r>
          </w:p>
        </w:tc>
        <w:tc>
          <w:tcPr>
            <w:tcW w:w="500" w:type="pct"/>
            <w:shd w:val="clear" w:color="auto" w:fill="auto"/>
            <w:noWrap/>
            <w:vAlign w:val="center"/>
            <w:hideMark/>
          </w:tcPr>
          <w:p w14:paraId="4A22C395"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17.366</w:t>
            </w:r>
          </w:p>
        </w:tc>
        <w:tc>
          <w:tcPr>
            <w:tcW w:w="441" w:type="pct"/>
            <w:shd w:val="clear" w:color="auto" w:fill="auto"/>
            <w:noWrap/>
            <w:vAlign w:val="center"/>
            <w:hideMark/>
          </w:tcPr>
          <w:p w14:paraId="32B5FBAE"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2.452</w:t>
            </w:r>
          </w:p>
        </w:tc>
      </w:tr>
      <w:tr w:rsidR="005474B1" w:rsidRPr="00014D58" w14:paraId="00CB07A0" w14:textId="77777777" w:rsidTr="00014D58">
        <w:trPr>
          <w:trHeight w:val="315"/>
        </w:trPr>
        <w:tc>
          <w:tcPr>
            <w:tcW w:w="769" w:type="pct"/>
            <w:shd w:val="clear" w:color="auto" w:fill="auto"/>
            <w:noWrap/>
            <w:vAlign w:val="center"/>
            <w:hideMark/>
          </w:tcPr>
          <w:p w14:paraId="2B564127"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0.000</w:t>
            </w:r>
          </w:p>
        </w:tc>
        <w:tc>
          <w:tcPr>
            <w:tcW w:w="489" w:type="pct"/>
            <w:shd w:val="clear" w:color="auto" w:fill="auto"/>
            <w:noWrap/>
            <w:vAlign w:val="center"/>
            <w:hideMark/>
          </w:tcPr>
          <w:p w14:paraId="270E3B4D"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407" w:type="pct"/>
            <w:shd w:val="clear" w:color="auto" w:fill="auto"/>
            <w:noWrap/>
            <w:vAlign w:val="center"/>
            <w:hideMark/>
          </w:tcPr>
          <w:p w14:paraId="6805D369"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461" w:type="pct"/>
            <w:shd w:val="clear" w:color="auto" w:fill="auto"/>
            <w:noWrap/>
            <w:vAlign w:val="center"/>
            <w:hideMark/>
          </w:tcPr>
          <w:p w14:paraId="428C4633"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561" w:type="pct"/>
            <w:shd w:val="clear" w:color="auto" w:fill="auto"/>
            <w:noWrap/>
            <w:vAlign w:val="center"/>
            <w:hideMark/>
          </w:tcPr>
          <w:p w14:paraId="1A6DF150"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502" w:type="pct"/>
            <w:shd w:val="clear" w:color="auto" w:fill="auto"/>
            <w:noWrap/>
            <w:vAlign w:val="center"/>
            <w:hideMark/>
          </w:tcPr>
          <w:p w14:paraId="06CF5B4A"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471" w:type="pct"/>
            <w:shd w:val="clear" w:color="auto" w:fill="auto"/>
            <w:noWrap/>
            <w:vAlign w:val="center"/>
            <w:hideMark/>
          </w:tcPr>
          <w:p w14:paraId="5BEDD576"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0.530</w:t>
            </w:r>
          </w:p>
        </w:tc>
        <w:tc>
          <w:tcPr>
            <w:tcW w:w="399" w:type="pct"/>
            <w:shd w:val="clear" w:color="auto" w:fill="auto"/>
            <w:noWrap/>
            <w:vAlign w:val="center"/>
            <w:hideMark/>
          </w:tcPr>
          <w:p w14:paraId="4E22F6D1"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5.544</w:t>
            </w:r>
          </w:p>
        </w:tc>
        <w:tc>
          <w:tcPr>
            <w:tcW w:w="500" w:type="pct"/>
            <w:shd w:val="clear" w:color="auto" w:fill="auto"/>
            <w:noWrap/>
            <w:vAlign w:val="center"/>
            <w:hideMark/>
          </w:tcPr>
          <w:p w14:paraId="2E639FCC"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17.337</w:t>
            </w:r>
          </w:p>
        </w:tc>
        <w:tc>
          <w:tcPr>
            <w:tcW w:w="441" w:type="pct"/>
            <w:shd w:val="clear" w:color="auto" w:fill="auto"/>
            <w:noWrap/>
            <w:vAlign w:val="center"/>
            <w:hideMark/>
          </w:tcPr>
          <w:p w14:paraId="3EF60FDB"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2.558</w:t>
            </w:r>
          </w:p>
        </w:tc>
      </w:tr>
      <w:tr w:rsidR="005474B1" w:rsidRPr="00014D58" w14:paraId="55A5D3C9" w14:textId="77777777" w:rsidTr="00014D58">
        <w:trPr>
          <w:trHeight w:val="315"/>
        </w:trPr>
        <w:tc>
          <w:tcPr>
            <w:tcW w:w="769" w:type="pct"/>
            <w:shd w:val="clear" w:color="auto" w:fill="auto"/>
            <w:noWrap/>
            <w:vAlign w:val="center"/>
            <w:hideMark/>
          </w:tcPr>
          <w:p w14:paraId="07F0280C"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0.000</w:t>
            </w:r>
          </w:p>
        </w:tc>
        <w:tc>
          <w:tcPr>
            <w:tcW w:w="489" w:type="pct"/>
            <w:shd w:val="clear" w:color="auto" w:fill="auto"/>
            <w:noWrap/>
            <w:vAlign w:val="center"/>
            <w:hideMark/>
          </w:tcPr>
          <w:p w14:paraId="233CFA34"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1</w:t>
            </w:r>
          </w:p>
        </w:tc>
        <w:tc>
          <w:tcPr>
            <w:tcW w:w="407" w:type="pct"/>
            <w:shd w:val="clear" w:color="auto" w:fill="auto"/>
            <w:noWrap/>
            <w:vAlign w:val="center"/>
            <w:hideMark/>
          </w:tcPr>
          <w:p w14:paraId="75575173"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1</w:t>
            </w:r>
          </w:p>
        </w:tc>
        <w:tc>
          <w:tcPr>
            <w:tcW w:w="461" w:type="pct"/>
            <w:shd w:val="clear" w:color="auto" w:fill="auto"/>
            <w:noWrap/>
            <w:vAlign w:val="center"/>
            <w:hideMark/>
          </w:tcPr>
          <w:p w14:paraId="31DCA5F2"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561" w:type="pct"/>
            <w:shd w:val="clear" w:color="auto" w:fill="auto"/>
            <w:noWrap/>
            <w:vAlign w:val="center"/>
            <w:hideMark/>
          </w:tcPr>
          <w:p w14:paraId="78D70C34"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1</w:t>
            </w:r>
          </w:p>
        </w:tc>
        <w:tc>
          <w:tcPr>
            <w:tcW w:w="502" w:type="pct"/>
            <w:shd w:val="clear" w:color="auto" w:fill="auto"/>
            <w:noWrap/>
            <w:vAlign w:val="center"/>
            <w:hideMark/>
          </w:tcPr>
          <w:p w14:paraId="6CFC182E"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471" w:type="pct"/>
            <w:shd w:val="clear" w:color="auto" w:fill="auto"/>
            <w:noWrap/>
            <w:vAlign w:val="center"/>
            <w:hideMark/>
          </w:tcPr>
          <w:p w14:paraId="1E388F21"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0.166</w:t>
            </w:r>
          </w:p>
        </w:tc>
        <w:tc>
          <w:tcPr>
            <w:tcW w:w="399" w:type="pct"/>
            <w:shd w:val="clear" w:color="auto" w:fill="auto"/>
            <w:noWrap/>
            <w:vAlign w:val="center"/>
            <w:hideMark/>
          </w:tcPr>
          <w:p w14:paraId="7AD7A68C"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5.657</w:t>
            </w:r>
          </w:p>
        </w:tc>
        <w:tc>
          <w:tcPr>
            <w:tcW w:w="500" w:type="pct"/>
            <w:shd w:val="clear" w:color="auto" w:fill="auto"/>
            <w:noWrap/>
            <w:vAlign w:val="center"/>
            <w:hideMark/>
          </w:tcPr>
          <w:p w14:paraId="3E1D4697"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17.261</w:t>
            </w:r>
          </w:p>
        </w:tc>
        <w:tc>
          <w:tcPr>
            <w:tcW w:w="441" w:type="pct"/>
            <w:shd w:val="clear" w:color="auto" w:fill="auto"/>
            <w:noWrap/>
            <w:vAlign w:val="center"/>
            <w:hideMark/>
          </w:tcPr>
          <w:p w14:paraId="0429E0E8"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2.437</w:t>
            </w:r>
          </w:p>
        </w:tc>
      </w:tr>
      <w:tr w:rsidR="005474B1" w:rsidRPr="00014D58" w14:paraId="39BA6F9C" w14:textId="77777777" w:rsidTr="00014D58">
        <w:trPr>
          <w:trHeight w:val="315"/>
        </w:trPr>
        <w:tc>
          <w:tcPr>
            <w:tcW w:w="769" w:type="pct"/>
            <w:shd w:val="clear" w:color="auto" w:fill="auto"/>
            <w:noWrap/>
            <w:vAlign w:val="center"/>
            <w:hideMark/>
          </w:tcPr>
          <w:p w14:paraId="55BAA600"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0.000</w:t>
            </w:r>
          </w:p>
        </w:tc>
        <w:tc>
          <w:tcPr>
            <w:tcW w:w="489" w:type="pct"/>
            <w:shd w:val="clear" w:color="auto" w:fill="auto"/>
            <w:noWrap/>
            <w:vAlign w:val="center"/>
            <w:hideMark/>
          </w:tcPr>
          <w:p w14:paraId="747F41FC"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407" w:type="pct"/>
            <w:shd w:val="clear" w:color="auto" w:fill="auto"/>
            <w:noWrap/>
            <w:vAlign w:val="center"/>
            <w:hideMark/>
          </w:tcPr>
          <w:p w14:paraId="511367A4"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461" w:type="pct"/>
            <w:shd w:val="clear" w:color="auto" w:fill="auto"/>
            <w:noWrap/>
            <w:vAlign w:val="center"/>
            <w:hideMark/>
          </w:tcPr>
          <w:p w14:paraId="707BEB99"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561" w:type="pct"/>
            <w:shd w:val="clear" w:color="auto" w:fill="auto"/>
            <w:noWrap/>
            <w:vAlign w:val="center"/>
            <w:hideMark/>
          </w:tcPr>
          <w:p w14:paraId="5D0A316F"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502" w:type="pct"/>
            <w:shd w:val="clear" w:color="auto" w:fill="auto"/>
            <w:noWrap/>
            <w:vAlign w:val="center"/>
            <w:hideMark/>
          </w:tcPr>
          <w:p w14:paraId="6B175C0B"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471" w:type="pct"/>
            <w:shd w:val="clear" w:color="auto" w:fill="auto"/>
            <w:noWrap/>
            <w:vAlign w:val="center"/>
            <w:hideMark/>
          </w:tcPr>
          <w:p w14:paraId="7A330156"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0.785</w:t>
            </w:r>
          </w:p>
        </w:tc>
        <w:tc>
          <w:tcPr>
            <w:tcW w:w="399" w:type="pct"/>
            <w:shd w:val="clear" w:color="auto" w:fill="auto"/>
            <w:noWrap/>
            <w:vAlign w:val="center"/>
            <w:hideMark/>
          </w:tcPr>
          <w:p w14:paraId="11C73D73"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5.48</w:t>
            </w:r>
          </w:p>
        </w:tc>
        <w:tc>
          <w:tcPr>
            <w:tcW w:w="500" w:type="pct"/>
            <w:shd w:val="clear" w:color="auto" w:fill="auto"/>
            <w:noWrap/>
            <w:vAlign w:val="center"/>
            <w:hideMark/>
          </w:tcPr>
          <w:p w14:paraId="238D2C56"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17.401</w:t>
            </w:r>
          </w:p>
        </w:tc>
        <w:tc>
          <w:tcPr>
            <w:tcW w:w="441" w:type="pct"/>
            <w:shd w:val="clear" w:color="auto" w:fill="auto"/>
            <w:noWrap/>
            <w:vAlign w:val="center"/>
            <w:hideMark/>
          </w:tcPr>
          <w:p w14:paraId="79EAA49F"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2.562</w:t>
            </w:r>
          </w:p>
        </w:tc>
      </w:tr>
      <w:tr w:rsidR="005474B1" w:rsidRPr="00014D58" w14:paraId="65294E9E" w14:textId="77777777" w:rsidTr="00014D58">
        <w:trPr>
          <w:trHeight w:val="315"/>
        </w:trPr>
        <w:tc>
          <w:tcPr>
            <w:tcW w:w="769" w:type="pct"/>
            <w:shd w:val="clear" w:color="auto" w:fill="auto"/>
            <w:noWrap/>
            <w:vAlign w:val="center"/>
            <w:hideMark/>
          </w:tcPr>
          <w:p w14:paraId="40587349"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0.000</w:t>
            </w:r>
          </w:p>
        </w:tc>
        <w:tc>
          <w:tcPr>
            <w:tcW w:w="489" w:type="pct"/>
            <w:shd w:val="clear" w:color="auto" w:fill="auto"/>
            <w:noWrap/>
            <w:vAlign w:val="center"/>
            <w:hideMark/>
          </w:tcPr>
          <w:p w14:paraId="1C4B9987"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407" w:type="pct"/>
            <w:shd w:val="clear" w:color="auto" w:fill="auto"/>
            <w:noWrap/>
            <w:vAlign w:val="center"/>
            <w:hideMark/>
          </w:tcPr>
          <w:p w14:paraId="1B4D9A00"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461" w:type="pct"/>
            <w:shd w:val="clear" w:color="auto" w:fill="auto"/>
            <w:noWrap/>
            <w:vAlign w:val="center"/>
            <w:hideMark/>
          </w:tcPr>
          <w:p w14:paraId="0B19B032"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561" w:type="pct"/>
            <w:shd w:val="clear" w:color="auto" w:fill="auto"/>
            <w:noWrap/>
            <w:vAlign w:val="center"/>
            <w:hideMark/>
          </w:tcPr>
          <w:p w14:paraId="7389187F"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502" w:type="pct"/>
            <w:shd w:val="clear" w:color="auto" w:fill="auto"/>
            <w:noWrap/>
            <w:vAlign w:val="center"/>
            <w:hideMark/>
          </w:tcPr>
          <w:p w14:paraId="6D7DB206"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471" w:type="pct"/>
            <w:shd w:val="clear" w:color="auto" w:fill="auto"/>
            <w:noWrap/>
            <w:vAlign w:val="center"/>
            <w:hideMark/>
          </w:tcPr>
          <w:p w14:paraId="0A2393FB"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0.614</w:t>
            </w:r>
          </w:p>
        </w:tc>
        <w:tc>
          <w:tcPr>
            <w:tcW w:w="399" w:type="pct"/>
            <w:shd w:val="clear" w:color="auto" w:fill="auto"/>
            <w:noWrap/>
            <w:vAlign w:val="center"/>
            <w:hideMark/>
          </w:tcPr>
          <w:p w14:paraId="11F0CB25"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5.548</w:t>
            </w:r>
          </w:p>
        </w:tc>
        <w:tc>
          <w:tcPr>
            <w:tcW w:w="500" w:type="pct"/>
            <w:shd w:val="clear" w:color="auto" w:fill="auto"/>
            <w:noWrap/>
            <w:vAlign w:val="center"/>
            <w:hideMark/>
          </w:tcPr>
          <w:p w14:paraId="5DADFE71"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17.339</w:t>
            </w:r>
          </w:p>
        </w:tc>
        <w:tc>
          <w:tcPr>
            <w:tcW w:w="441" w:type="pct"/>
            <w:shd w:val="clear" w:color="auto" w:fill="auto"/>
            <w:noWrap/>
            <w:vAlign w:val="center"/>
            <w:hideMark/>
          </w:tcPr>
          <w:p w14:paraId="77071122"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2.568</w:t>
            </w:r>
          </w:p>
        </w:tc>
      </w:tr>
      <w:tr w:rsidR="005474B1" w:rsidRPr="00014D58" w14:paraId="7CFED9A3" w14:textId="77777777" w:rsidTr="00014D58">
        <w:trPr>
          <w:trHeight w:val="315"/>
        </w:trPr>
        <w:tc>
          <w:tcPr>
            <w:tcW w:w="769" w:type="pct"/>
            <w:shd w:val="clear" w:color="auto" w:fill="auto"/>
            <w:noWrap/>
            <w:vAlign w:val="center"/>
            <w:hideMark/>
          </w:tcPr>
          <w:p w14:paraId="7CB9FA9B"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0.000</w:t>
            </w:r>
          </w:p>
        </w:tc>
        <w:tc>
          <w:tcPr>
            <w:tcW w:w="489" w:type="pct"/>
            <w:shd w:val="clear" w:color="auto" w:fill="auto"/>
            <w:noWrap/>
            <w:vAlign w:val="center"/>
            <w:hideMark/>
          </w:tcPr>
          <w:p w14:paraId="05D00C24"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407" w:type="pct"/>
            <w:shd w:val="clear" w:color="auto" w:fill="auto"/>
            <w:noWrap/>
            <w:vAlign w:val="center"/>
            <w:hideMark/>
          </w:tcPr>
          <w:p w14:paraId="196E7010"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461" w:type="pct"/>
            <w:shd w:val="clear" w:color="auto" w:fill="auto"/>
            <w:noWrap/>
            <w:vAlign w:val="center"/>
            <w:hideMark/>
          </w:tcPr>
          <w:p w14:paraId="3CCDC505"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561" w:type="pct"/>
            <w:shd w:val="clear" w:color="auto" w:fill="auto"/>
            <w:noWrap/>
            <w:vAlign w:val="center"/>
            <w:hideMark/>
          </w:tcPr>
          <w:p w14:paraId="3D0C14ED"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1</w:t>
            </w:r>
          </w:p>
        </w:tc>
        <w:tc>
          <w:tcPr>
            <w:tcW w:w="502" w:type="pct"/>
            <w:shd w:val="clear" w:color="auto" w:fill="auto"/>
            <w:noWrap/>
            <w:vAlign w:val="center"/>
            <w:hideMark/>
          </w:tcPr>
          <w:p w14:paraId="138BA636"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471" w:type="pct"/>
            <w:shd w:val="clear" w:color="auto" w:fill="auto"/>
            <w:noWrap/>
            <w:vAlign w:val="center"/>
            <w:hideMark/>
          </w:tcPr>
          <w:p w14:paraId="6F741E7C"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0.664</w:t>
            </w:r>
          </w:p>
        </w:tc>
        <w:tc>
          <w:tcPr>
            <w:tcW w:w="399" w:type="pct"/>
            <w:shd w:val="clear" w:color="auto" w:fill="auto"/>
            <w:noWrap/>
            <w:vAlign w:val="center"/>
            <w:hideMark/>
          </w:tcPr>
          <w:p w14:paraId="54C27614"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5.505</w:t>
            </w:r>
          </w:p>
        </w:tc>
        <w:tc>
          <w:tcPr>
            <w:tcW w:w="500" w:type="pct"/>
            <w:shd w:val="clear" w:color="auto" w:fill="auto"/>
            <w:noWrap/>
            <w:vAlign w:val="center"/>
            <w:hideMark/>
          </w:tcPr>
          <w:p w14:paraId="4338C0FF"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17.318</w:t>
            </w:r>
          </w:p>
        </w:tc>
        <w:tc>
          <w:tcPr>
            <w:tcW w:w="441" w:type="pct"/>
            <w:shd w:val="clear" w:color="auto" w:fill="auto"/>
            <w:noWrap/>
            <w:vAlign w:val="center"/>
            <w:hideMark/>
          </w:tcPr>
          <w:p w14:paraId="7350C768"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2.568</w:t>
            </w:r>
          </w:p>
        </w:tc>
      </w:tr>
      <w:tr w:rsidR="005474B1" w:rsidRPr="00014D58" w14:paraId="290AA788" w14:textId="77777777" w:rsidTr="00014D58">
        <w:trPr>
          <w:trHeight w:val="315"/>
        </w:trPr>
        <w:tc>
          <w:tcPr>
            <w:tcW w:w="769" w:type="pct"/>
            <w:shd w:val="clear" w:color="auto" w:fill="auto"/>
            <w:noWrap/>
            <w:vAlign w:val="center"/>
            <w:hideMark/>
          </w:tcPr>
          <w:p w14:paraId="57F041F7"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0.000</w:t>
            </w:r>
          </w:p>
        </w:tc>
        <w:tc>
          <w:tcPr>
            <w:tcW w:w="489" w:type="pct"/>
            <w:shd w:val="clear" w:color="auto" w:fill="auto"/>
            <w:noWrap/>
            <w:vAlign w:val="center"/>
            <w:hideMark/>
          </w:tcPr>
          <w:p w14:paraId="371F9565"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407" w:type="pct"/>
            <w:shd w:val="clear" w:color="auto" w:fill="auto"/>
            <w:noWrap/>
            <w:vAlign w:val="center"/>
            <w:hideMark/>
          </w:tcPr>
          <w:p w14:paraId="51B31669"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461" w:type="pct"/>
            <w:shd w:val="clear" w:color="auto" w:fill="auto"/>
            <w:noWrap/>
            <w:vAlign w:val="center"/>
            <w:hideMark/>
          </w:tcPr>
          <w:p w14:paraId="5E6FA85D"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561" w:type="pct"/>
            <w:shd w:val="clear" w:color="auto" w:fill="auto"/>
            <w:noWrap/>
            <w:vAlign w:val="center"/>
            <w:hideMark/>
          </w:tcPr>
          <w:p w14:paraId="7C9AD90A"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502" w:type="pct"/>
            <w:shd w:val="clear" w:color="auto" w:fill="auto"/>
            <w:noWrap/>
            <w:vAlign w:val="center"/>
            <w:hideMark/>
          </w:tcPr>
          <w:p w14:paraId="5B854BFE"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471" w:type="pct"/>
            <w:shd w:val="clear" w:color="auto" w:fill="auto"/>
            <w:noWrap/>
            <w:vAlign w:val="center"/>
            <w:hideMark/>
          </w:tcPr>
          <w:p w14:paraId="23C136C0"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0.571</w:t>
            </w:r>
          </w:p>
        </w:tc>
        <w:tc>
          <w:tcPr>
            <w:tcW w:w="399" w:type="pct"/>
            <w:shd w:val="clear" w:color="auto" w:fill="auto"/>
            <w:noWrap/>
            <w:vAlign w:val="center"/>
            <w:hideMark/>
          </w:tcPr>
          <w:p w14:paraId="465E37AB"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5.546</w:t>
            </w:r>
          </w:p>
        </w:tc>
        <w:tc>
          <w:tcPr>
            <w:tcW w:w="500" w:type="pct"/>
            <w:shd w:val="clear" w:color="auto" w:fill="auto"/>
            <w:noWrap/>
            <w:vAlign w:val="center"/>
            <w:hideMark/>
          </w:tcPr>
          <w:p w14:paraId="278A85BF"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17.331</w:t>
            </w:r>
          </w:p>
        </w:tc>
        <w:tc>
          <w:tcPr>
            <w:tcW w:w="441" w:type="pct"/>
            <w:shd w:val="clear" w:color="auto" w:fill="auto"/>
            <w:noWrap/>
            <w:vAlign w:val="center"/>
            <w:hideMark/>
          </w:tcPr>
          <w:p w14:paraId="0839B613"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2.564</w:t>
            </w:r>
          </w:p>
        </w:tc>
      </w:tr>
      <w:tr w:rsidR="005474B1" w:rsidRPr="00014D58" w14:paraId="5DA7C478" w14:textId="77777777" w:rsidTr="00014D58">
        <w:trPr>
          <w:trHeight w:val="315"/>
        </w:trPr>
        <w:tc>
          <w:tcPr>
            <w:tcW w:w="769" w:type="pct"/>
            <w:shd w:val="clear" w:color="auto" w:fill="auto"/>
            <w:noWrap/>
            <w:vAlign w:val="center"/>
            <w:hideMark/>
          </w:tcPr>
          <w:p w14:paraId="18C9E1D4"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0.000</w:t>
            </w:r>
          </w:p>
        </w:tc>
        <w:tc>
          <w:tcPr>
            <w:tcW w:w="489" w:type="pct"/>
            <w:shd w:val="clear" w:color="auto" w:fill="auto"/>
            <w:noWrap/>
            <w:vAlign w:val="center"/>
            <w:hideMark/>
          </w:tcPr>
          <w:p w14:paraId="13E93831"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407" w:type="pct"/>
            <w:shd w:val="clear" w:color="auto" w:fill="auto"/>
            <w:noWrap/>
            <w:vAlign w:val="center"/>
            <w:hideMark/>
          </w:tcPr>
          <w:p w14:paraId="751D6FC9"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461" w:type="pct"/>
            <w:shd w:val="clear" w:color="auto" w:fill="auto"/>
            <w:noWrap/>
            <w:vAlign w:val="center"/>
            <w:hideMark/>
          </w:tcPr>
          <w:p w14:paraId="055676DF"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561" w:type="pct"/>
            <w:shd w:val="clear" w:color="auto" w:fill="auto"/>
            <w:noWrap/>
            <w:vAlign w:val="center"/>
            <w:hideMark/>
          </w:tcPr>
          <w:p w14:paraId="611AFE6F"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502" w:type="pct"/>
            <w:shd w:val="clear" w:color="auto" w:fill="auto"/>
            <w:noWrap/>
            <w:vAlign w:val="center"/>
            <w:hideMark/>
          </w:tcPr>
          <w:p w14:paraId="639FD5B8"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471" w:type="pct"/>
            <w:shd w:val="clear" w:color="auto" w:fill="auto"/>
            <w:noWrap/>
            <w:vAlign w:val="center"/>
            <w:hideMark/>
          </w:tcPr>
          <w:p w14:paraId="05D6D52E"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0.639</w:t>
            </w:r>
          </w:p>
        </w:tc>
        <w:tc>
          <w:tcPr>
            <w:tcW w:w="399" w:type="pct"/>
            <w:shd w:val="clear" w:color="auto" w:fill="auto"/>
            <w:noWrap/>
            <w:vAlign w:val="center"/>
            <w:hideMark/>
          </w:tcPr>
          <w:p w14:paraId="1DBCF751"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5.53</w:t>
            </w:r>
          </w:p>
        </w:tc>
        <w:tc>
          <w:tcPr>
            <w:tcW w:w="500" w:type="pct"/>
            <w:shd w:val="clear" w:color="auto" w:fill="auto"/>
            <w:noWrap/>
            <w:vAlign w:val="center"/>
            <w:hideMark/>
          </w:tcPr>
          <w:p w14:paraId="75689B57"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17.351</w:t>
            </w:r>
          </w:p>
        </w:tc>
        <w:tc>
          <w:tcPr>
            <w:tcW w:w="441" w:type="pct"/>
            <w:shd w:val="clear" w:color="auto" w:fill="auto"/>
            <w:noWrap/>
            <w:vAlign w:val="center"/>
            <w:hideMark/>
          </w:tcPr>
          <w:p w14:paraId="491C4C4B"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2.576</w:t>
            </w:r>
          </w:p>
        </w:tc>
      </w:tr>
      <w:tr w:rsidR="005474B1" w:rsidRPr="00014D58" w14:paraId="71E8A922" w14:textId="77777777" w:rsidTr="00014D58">
        <w:trPr>
          <w:trHeight w:val="315"/>
        </w:trPr>
        <w:tc>
          <w:tcPr>
            <w:tcW w:w="769" w:type="pct"/>
            <w:shd w:val="clear" w:color="auto" w:fill="auto"/>
            <w:noWrap/>
            <w:vAlign w:val="center"/>
            <w:hideMark/>
          </w:tcPr>
          <w:p w14:paraId="082906AA"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0.000</w:t>
            </w:r>
          </w:p>
        </w:tc>
        <w:tc>
          <w:tcPr>
            <w:tcW w:w="489" w:type="pct"/>
            <w:shd w:val="clear" w:color="auto" w:fill="auto"/>
            <w:noWrap/>
            <w:vAlign w:val="center"/>
            <w:hideMark/>
          </w:tcPr>
          <w:p w14:paraId="28F15DC8"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407" w:type="pct"/>
            <w:shd w:val="clear" w:color="auto" w:fill="auto"/>
            <w:noWrap/>
            <w:vAlign w:val="center"/>
            <w:hideMark/>
          </w:tcPr>
          <w:p w14:paraId="4EA79A12"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461" w:type="pct"/>
            <w:shd w:val="clear" w:color="auto" w:fill="auto"/>
            <w:noWrap/>
            <w:vAlign w:val="center"/>
            <w:hideMark/>
          </w:tcPr>
          <w:p w14:paraId="0ECE8B45"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561" w:type="pct"/>
            <w:shd w:val="clear" w:color="auto" w:fill="auto"/>
            <w:noWrap/>
            <w:vAlign w:val="center"/>
            <w:hideMark/>
          </w:tcPr>
          <w:p w14:paraId="24C18AAB"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502" w:type="pct"/>
            <w:shd w:val="clear" w:color="auto" w:fill="auto"/>
            <w:noWrap/>
            <w:vAlign w:val="center"/>
            <w:hideMark/>
          </w:tcPr>
          <w:p w14:paraId="2FF1893B"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w:t>
            </w:r>
          </w:p>
        </w:tc>
        <w:tc>
          <w:tcPr>
            <w:tcW w:w="471" w:type="pct"/>
            <w:shd w:val="clear" w:color="auto" w:fill="auto"/>
            <w:noWrap/>
            <w:vAlign w:val="center"/>
            <w:hideMark/>
          </w:tcPr>
          <w:p w14:paraId="602A5E5E"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0.641</w:t>
            </w:r>
          </w:p>
        </w:tc>
        <w:tc>
          <w:tcPr>
            <w:tcW w:w="399" w:type="pct"/>
            <w:shd w:val="clear" w:color="auto" w:fill="auto"/>
            <w:noWrap/>
            <w:vAlign w:val="center"/>
            <w:hideMark/>
          </w:tcPr>
          <w:p w14:paraId="5473365B"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5.531</w:t>
            </w:r>
          </w:p>
        </w:tc>
        <w:tc>
          <w:tcPr>
            <w:tcW w:w="500" w:type="pct"/>
            <w:shd w:val="clear" w:color="auto" w:fill="auto"/>
            <w:noWrap/>
            <w:vAlign w:val="center"/>
            <w:hideMark/>
          </w:tcPr>
          <w:p w14:paraId="62F924B6"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17.342</w:t>
            </w:r>
          </w:p>
        </w:tc>
        <w:tc>
          <w:tcPr>
            <w:tcW w:w="441" w:type="pct"/>
            <w:shd w:val="clear" w:color="auto" w:fill="auto"/>
            <w:noWrap/>
            <w:vAlign w:val="center"/>
            <w:hideMark/>
          </w:tcPr>
          <w:p w14:paraId="0B024A4A" w14:textId="77777777" w:rsidR="00913830" w:rsidRPr="00913830" w:rsidRDefault="00913830" w:rsidP="00014D58">
            <w:pPr>
              <w:spacing w:before="0" w:after="0"/>
              <w:jc w:val="center"/>
              <w:rPr>
                <w:rFonts w:eastAsia="Times New Roman" w:cs="Calibri"/>
                <w:color w:val="000000"/>
                <w:sz w:val="16"/>
                <w:szCs w:val="16"/>
                <w:lang w:val="sr-Latn-RS" w:eastAsia="sr-Latn-RS"/>
              </w:rPr>
            </w:pPr>
            <w:r w:rsidRPr="00913830">
              <w:rPr>
                <w:rFonts w:eastAsia="Times New Roman" w:cs="Calibri"/>
                <w:color w:val="000000"/>
                <w:sz w:val="16"/>
                <w:szCs w:val="16"/>
                <w:lang w:val="sr-Latn-RS" w:eastAsia="sr-Latn-RS"/>
              </w:rPr>
              <w:t>2.573</w:t>
            </w:r>
          </w:p>
        </w:tc>
      </w:tr>
      <w:tr w:rsidR="00014D58" w:rsidRPr="00014D58" w14:paraId="40C546CB" w14:textId="77777777" w:rsidTr="00014D58">
        <w:trPr>
          <w:trHeight w:val="315"/>
        </w:trPr>
        <w:tc>
          <w:tcPr>
            <w:tcW w:w="5000" w:type="pct"/>
            <w:gridSpan w:val="10"/>
            <w:shd w:val="clear" w:color="auto" w:fill="auto"/>
            <w:noWrap/>
            <w:vAlign w:val="center"/>
          </w:tcPr>
          <w:p w14:paraId="1E5F156A" w14:textId="492189D6" w:rsidR="00014D58" w:rsidRPr="00014D58" w:rsidRDefault="00014D58" w:rsidP="00014D58">
            <w:pPr>
              <w:spacing w:before="0" w:after="0"/>
              <w:jc w:val="center"/>
              <w:rPr>
                <w:rFonts w:eastAsia="Times New Roman" w:cs="Calibri"/>
                <w:color w:val="000000"/>
                <w:sz w:val="16"/>
                <w:szCs w:val="16"/>
                <w:lang w:val="sr-Latn-RS" w:eastAsia="sr-Latn-RS"/>
              </w:rPr>
            </w:pPr>
            <w:r>
              <w:rPr>
                <w:rFonts w:eastAsia="Times New Roman" w:cs="Calibri"/>
                <w:color w:val="000000"/>
                <w:sz w:val="16"/>
                <w:szCs w:val="16"/>
                <w:lang w:val="sr-Latn-RS" w:eastAsia="sr-Latn-RS"/>
              </w:rPr>
              <w:t xml:space="preserve">... </w:t>
            </w:r>
          </w:p>
        </w:tc>
      </w:tr>
      <w:tr w:rsidR="00014D58" w:rsidRPr="00014D58" w14:paraId="34317A53" w14:textId="77777777" w:rsidTr="00014D58">
        <w:trPr>
          <w:trHeight w:val="315"/>
        </w:trPr>
        <w:tc>
          <w:tcPr>
            <w:tcW w:w="769" w:type="pct"/>
            <w:shd w:val="clear" w:color="auto" w:fill="auto"/>
            <w:noWrap/>
            <w:vAlign w:val="center"/>
          </w:tcPr>
          <w:p w14:paraId="71B91A1E" w14:textId="71F3674C"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0.000</w:t>
            </w:r>
          </w:p>
        </w:tc>
        <w:tc>
          <w:tcPr>
            <w:tcW w:w="489" w:type="pct"/>
            <w:shd w:val="clear" w:color="auto" w:fill="auto"/>
            <w:noWrap/>
            <w:vAlign w:val="center"/>
          </w:tcPr>
          <w:p w14:paraId="652BDA65" w14:textId="21CEBC28"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07" w:type="pct"/>
            <w:shd w:val="clear" w:color="auto" w:fill="auto"/>
            <w:noWrap/>
            <w:vAlign w:val="center"/>
          </w:tcPr>
          <w:p w14:paraId="5E664B4D" w14:textId="13151397"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61" w:type="pct"/>
            <w:shd w:val="clear" w:color="auto" w:fill="auto"/>
            <w:noWrap/>
            <w:vAlign w:val="center"/>
          </w:tcPr>
          <w:p w14:paraId="1563B76B" w14:textId="2A9D3F27"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61" w:type="pct"/>
            <w:shd w:val="clear" w:color="auto" w:fill="auto"/>
            <w:noWrap/>
            <w:vAlign w:val="center"/>
          </w:tcPr>
          <w:p w14:paraId="2D8053AC" w14:textId="6D8C96F4"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02" w:type="pct"/>
            <w:shd w:val="clear" w:color="auto" w:fill="auto"/>
            <w:noWrap/>
            <w:vAlign w:val="center"/>
          </w:tcPr>
          <w:p w14:paraId="2F16B21F" w14:textId="4587FC09"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71" w:type="pct"/>
            <w:shd w:val="clear" w:color="auto" w:fill="auto"/>
            <w:noWrap/>
            <w:vAlign w:val="center"/>
          </w:tcPr>
          <w:p w14:paraId="14BC116D" w14:textId="0CDCC69B"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1.503</w:t>
            </w:r>
          </w:p>
        </w:tc>
        <w:tc>
          <w:tcPr>
            <w:tcW w:w="399" w:type="pct"/>
            <w:shd w:val="clear" w:color="auto" w:fill="auto"/>
            <w:noWrap/>
            <w:vAlign w:val="center"/>
          </w:tcPr>
          <w:p w14:paraId="0DF544FD" w14:textId="0CBBD9EA"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4.259</w:t>
            </w:r>
          </w:p>
        </w:tc>
        <w:tc>
          <w:tcPr>
            <w:tcW w:w="500" w:type="pct"/>
            <w:shd w:val="clear" w:color="auto" w:fill="auto"/>
            <w:noWrap/>
            <w:vAlign w:val="center"/>
          </w:tcPr>
          <w:p w14:paraId="15644ED7" w14:textId="1DA3A2ED"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13.847</w:t>
            </w:r>
          </w:p>
        </w:tc>
        <w:tc>
          <w:tcPr>
            <w:tcW w:w="441" w:type="pct"/>
            <w:shd w:val="clear" w:color="auto" w:fill="auto"/>
            <w:noWrap/>
            <w:vAlign w:val="center"/>
          </w:tcPr>
          <w:p w14:paraId="44315909" w14:textId="29AE2B6D"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1.476</w:t>
            </w:r>
          </w:p>
        </w:tc>
      </w:tr>
      <w:tr w:rsidR="00014D58" w:rsidRPr="00014D58" w14:paraId="4F79B8AB" w14:textId="77777777" w:rsidTr="00014D58">
        <w:trPr>
          <w:trHeight w:val="315"/>
        </w:trPr>
        <w:tc>
          <w:tcPr>
            <w:tcW w:w="769" w:type="pct"/>
            <w:shd w:val="clear" w:color="auto" w:fill="auto"/>
            <w:noWrap/>
            <w:vAlign w:val="center"/>
          </w:tcPr>
          <w:p w14:paraId="2EE5D952" w14:textId="19C4B976"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0.000</w:t>
            </w:r>
          </w:p>
        </w:tc>
        <w:tc>
          <w:tcPr>
            <w:tcW w:w="489" w:type="pct"/>
            <w:shd w:val="clear" w:color="auto" w:fill="auto"/>
            <w:noWrap/>
            <w:vAlign w:val="center"/>
          </w:tcPr>
          <w:p w14:paraId="42CED975" w14:textId="2B0B9492"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07" w:type="pct"/>
            <w:shd w:val="clear" w:color="auto" w:fill="auto"/>
            <w:noWrap/>
            <w:vAlign w:val="center"/>
          </w:tcPr>
          <w:p w14:paraId="14793FF6" w14:textId="764F816C"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61" w:type="pct"/>
            <w:shd w:val="clear" w:color="auto" w:fill="auto"/>
            <w:noWrap/>
            <w:vAlign w:val="center"/>
          </w:tcPr>
          <w:p w14:paraId="0A978DC6" w14:textId="63250B03"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61" w:type="pct"/>
            <w:shd w:val="clear" w:color="auto" w:fill="auto"/>
            <w:noWrap/>
            <w:vAlign w:val="center"/>
          </w:tcPr>
          <w:p w14:paraId="73268A64" w14:textId="1F2458D2"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02" w:type="pct"/>
            <w:shd w:val="clear" w:color="auto" w:fill="auto"/>
            <w:noWrap/>
            <w:vAlign w:val="center"/>
          </w:tcPr>
          <w:p w14:paraId="289817A4" w14:textId="507024E3"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71" w:type="pct"/>
            <w:shd w:val="clear" w:color="auto" w:fill="auto"/>
            <w:noWrap/>
            <w:vAlign w:val="center"/>
          </w:tcPr>
          <w:p w14:paraId="6DCFA50C" w14:textId="794405EF"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1.728</w:t>
            </w:r>
          </w:p>
        </w:tc>
        <w:tc>
          <w:tcPr>
            <w:tcW w:w="399" w:type="pct"/>
            <w:shd w:val="clear" w:color="auto" w:fill="auto"/>
            <w:noWrap/>
            <w:vAlign w:val="center"/>
          </w:tcPr>
          <w:p w14:paraId="51FBBF96" w14:textId="41A48A20"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4.112</w:t>
            </w:r>
          </w:p>
        </w:tc>
        <w:tc>
          <w:tcPr>
            <w:tcW w:w="500" w:type="pct"/>
            <w:shd w:val="clear" w:color="auto" w:fill="auto"/>
            <w:noWrap/>
            <w:vAlign w:val="center"/>
          </w:tcPr>
          <w:p w14:paraId="41F1ABA5" w14:textId="6053C178"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13.957</w:t>
            </w:r>
          </w:p>
        </w:tc>
        <w:tc>
          <w:tcPr>
            <w:tcW w:w="441" w:type="pct"/>
            <w:shd w:val="clear" w:color="auto" w:fill="auto"/>
            <w:noWrap/>
            <w:vAlign w:val="center"/>
          </w:tcPr>
          <w:p w14:paraId="6F529DB9" w14:textId="0831FC41"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1.932</w:t>
            </w:r>
          </w:p>
        </w:tc>
      </w:tr>
      <w:tr w:rsidR="00014D58" w:rsidRPr="00014D58" w14:paraId="3CA23AA6" w14:textId="77777777" w:rsidTr="00014D58">
        <w:trPr>
          <w:trHeight w:val="315"/>
        </w:trPr>
        <w:tc>
          <w:tcPr>
            <w:tcW w:w="769" w:type="pct"/>
            <w:shd w:val="clear" w:color="auto" w:fill="auto"/>
            <w:noWrap/>
            <w:vAlign w:val="center"/>
          </w:tcPr>
          <w:p w14:paraId="303D4FE0" w14:textId="00A6ED0F"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0.000</w:t>
            </w:r>
          </w:p>
        </w:tc>
        <w:tc>
          <w:tcPr>
            <w:tcW w:w="489" w:type="pct"/>
            <w:shd w:val="clear" w:color="auto" w:fill="auto"/>
            <w:noWrap/>
            <w:vAlign w:val="center"/>
          </w:tcPr>
          <w:p w14:paraId="3B2E015E" w14:textId="1EE108B5"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07" w:type="pct"/>
            <w:shd w:val="clear" w:color="auto" w:fill="auto"/>
            <w:noWrap/>
            <w:vAlign w:val="center"/>
          </w:tcPr>
          <w:p w14:paraId="6EF74771" w14:textId="3A17BA55"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61" w:type="pct"/>
            <w:shd w:val="clear" w:color="auto" w:fill="auto"/>
            <w:noWrap/>
            <w:vAlign w:val="center"/>
          </w:tcPr>
          <w:p w14:paraId="1F7CA128" w14:textId="3B542529"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61" w:type="pct"/>
            <w:shd w:val="clear" w:color="auto" w:fill="auto"/>
            <w:noWrap/>
            <w:vAlign w:val="center"/>
          </w:tcPr>
          <w:p w14:paraId="0B3F2C9D" w14:textId="2622629F"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02" w:type="pct"/>
            <w:shd w:val="clear" w:color="auto" w:fill="auto"/>
            <w:noWrap/>
            <w:vAlign w:val="center"/>
          </w:tcPr>
          <w:p w14:paraId="119F358A" w14:textId="102E479B"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71" w:type="pct"/>
            <w:shd w:val="clear" w:color="auto" w:fill="auto"/>
            <w:noWrap/>
            <w:vAlign w:val="center"/>
          </w:tcPr>
          <w:p w14:paraId="23D5B2F2" w14:textId="5A7DB09E"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1.544</w:t>
            </w:r>
          </w:p>
        </w:tc>
        <w:tc>
          <w:tcPr>
            <w:tcW w:w="399" w:type="pct"/>
            <w:shd w:val="clear" w:color="auto" w:fill="auto"/>
            <w:noWrap/>
            <w:vAlign w:val="center"/>
          </w:tcPr>
          <w:p w14:paraId="583EB026" w14:textId="22ED76CA"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4.215</w:t>
            </w:r>
          </w:p>
        </w:tc>
        <w:tc>
          <w:tcPr>
            <w:tcW w:w="500" w:type="pct"/>
            <w:shd w:val="clear" w:color="auto" w:fill="auto"/>
            <w:noWrap/>
            <w:vAlign w:val="center"/>
          </w:tcPr>
          <w:p w14:paraId="77F89185" w14:textId="0AF2F19D"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13.788</w:t>
            </w:r>
          </w:p>
        </w:tc>
        <w:tc>
          <w:tcPr>
            <w:tcW w:w="441" w:type="pct"/>
            <w:shd w:val="clear" w:color="auto" w:fill="auto"/>
            <w:noWrap/>
            <w:vAlign w:val="center"/>
          </w:tcPr>
          <w:p w14:paraId="15F394DA" w14:textId="252BB96D"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1.65</w:t>
            </w:r>
          </w:p>
        </w:tc>
      </w:tr>
      <w:tr w:rsidR="00014D58" w:rsidRPr="00014D58" w14:paraId="47657ED8" w14:textId="77777777" w:rsidTr="00014D58">
        <w:trPr>
          <w:trHeight w:val="315"/>
        </w:trPr>
        <w:tc>
          <w:tcPr>
            <w:tcW w:w="769" w:type="pct"/>
            <w:shd w:val="clear" w:color="auto" w:fill="auto"/>
            <w:noWrap/>
            <w:vAlign w:val="center"/>
          </w:tcPr>
          <w:p w14:paraId="13A0ECB1" w14:textId="19755694"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0.000</w:t>
            </w:r>
          </w:p>
        </w:tc>
        <w:tc>
          <w:tcPr>
            <w:tcW w:w="489" w:type="pct"/>
            <w:shd w:val="clear" w:color="auto" w:fill="auto"/>
            <w:noWrap/>
            <w:vAlign w:val="center"/>
          </w:tcPr>
          <w:p w14:paraId="1FA4F5C7" w14:textId="45872649"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07" w:type="pct"/>
            <w:shd w:val="clear" w:color="auto" w:fill="auto"/>
            <w:noWrap/>
            <w:vAlign w:val="center"/>
          </w:tcPr>
          <w:p w14:paraId="1675A4F8" w14:textId="6CD49309"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61" w:type="pct"/>
            <w:shd w:val="clear" w:color="auto" w:fill="auto"/>
            <w:noWrap/>
            <w:vAlign w:val="center"/>
          </w:tcPr>
          <w:p w14:paraId="3A46711F" w14:textId="3219BC47"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61" w:type="pct"/>
            <w:shd w:val="clear" w:color="auto" w:fill="auto"/>
            <w:noWrap/>
            <w:vAlign w:val="center"/>
          </w:tcPr>
          <w:p w14:paraId="3B6E807D" w14:textId="2058BAF3"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02" w:type="pct"/>
            <w:shd w:val="clear" w:color="auto" w:fill="auto"/>
            <w:noWrap/>
            <w:vAlign w:val="center"/>
          </w:tcPr>
          <w:p w14:paraId="1944072A" w14:textId="0708B6E0"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71" w:type="pct"/>
            <w:shd w:val="clear" w:color="auto" w:fill="auto"/>
            <w:noWrap/>
            <w:vAlign w:val="center"/>
          </w:tcPr>
          <w:p w14:paraId="61D3A23C" w14:textId="745C647F"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2.083</w:t>
            </w:r>
          </w:p>
        </w:tc>
        <w:tc>
          <w:tcPr>
            <w:tcW w:w="399" w:type="pct"/>
            <w:shd w:val="clear" w:color="auto" w:fill="auto"/>
            <w:noWrap/>
            <w:vAlign w:val="center"/>
          </w:tcPr>
          <w:p w14:paraId="0F03B8AF" w14:textId="17885406"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4.129</w:t>
            </w:r>
          </w:p>
        </w:tc>
        <w:tc>
          <w:tcPr>
            <w:tcW w:w="500" w:type="pct"/>
            <w:shd w:val="clear" w:color="auto" w:fill="auto"/>
            <w:noWrap/>
            <w:vAlign w:val="center"/>
          </w:tcPr>
          <w:p w14:paraId="1CD0BFBC" w14:textId="640C35A1"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14.094</w:t>
            </w:r>
          </w:p>
        </w:tc>
        <w:tc>
          <w:tcPr>
            <w:tcW w:w="441" w:type="pct"/>
            <w:shd w:val="clear" w:color="auto" w:fill="auto"/>
            <w:noWrap/>
            <w:vAlign w:val="center"/>
          </w:tcPr>
          <w:p w14:paraId="0F583E94" w14:textId="43725E52"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1.401</w:t>
            </w:r>
          </w:p>
        </w:tc>
      </w:tr>
      <w:tr w:rsidR="00014D58" w:rsidRPr="00014D58" w14:paraId="66D03358" w14:textId="77777777" w:rsidTr="00014D58">
        <w:trPr>
          <w:trHeight w:val="315"/>
        </w:trPr>
        <w:tc>
          <w:tcPr>
            <w:tcW w:w="769" w:type="pct"/>
            <w:shd w:val="clear" w:color="auto" w:fill="auto"/>
            <w:noWrap/>
            <w:vAlign w:val="center"/>
          </w:tcPr>
          <w:p w14:paraId="78E646C1" w14:textId="15993ACC"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0.000</w:t>
            </w:r>
          </w:p>
        </w:tc>
        <w:tc>
          <w:tcPr>
            <w:tcW w:w="489" w:type="pct"/>
            <w:shd w:val="clear" w:color="auto" w:fill="auto"/>
            <w:noWrap/>
            <w:vAlign w:val="center"/>
          </w:tcPr>
          <w:p w14:paraId="35354F4D" w14:textId="327150C5"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07" w:type="pct"/>
            <w:shd w:val="clear" w:color="auto" w:fill="auto"/>
            <w:noWrap/>
            <w:vAlign w:val="center"/>
          </w:tcPr>
          <w:p w14:paraId="59301A1B" w14:textId="403452EF"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61" w:type="pct"/>
            <w:shd w:val="clear" w:color="auto" w:fill="auto"/>
            <w:noWrap/>
            <w:vAlign w:val="center"/>
          </w:tcPr>
          <w:p w14:paraId="2566758C" w14:textId="325E6B99"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61" w:type="pct"/>
            <w:shd w:val="clear" w:color="auto" w:fill="auto"/>
            <w:noWrap/>
            <w:vAlign w:val="center"/>
          </w:tcPr>
          <w:p w14:paraId="66B83960" w14:textId="6B529F13"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02" w:type="pct"/>
            <w:shd w:val="clear" w:color="auto" w:fill="auto"/>
            <w:noWrap/>
            <w:vAlign w:val="center"/>
          </w:tcPr>
          <w:p w14:paraId="447DF696" w14:textId="5BAD9B94"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71" w:type="pct"/>
            <w:shd w:val="clear" w:color="auto" w:fill="auto"/>
            <w:noWrap/>
            <w:vAlign w:val="center"/>
          </w:tcPr>
          <w:p w14:paraId="2F69A2BF" w14:textId="2E366A63"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1.779</w:t>
            </w:r>
          </w:p>
        </w:tc>
        <w:tc>
          <w:tcPr>
            <w:tcW w:w="399" w:type="pct"/>
            <w:shd w:val="clear" w:color="auto" w:fill="auto"/>
            <w:noWrap/>
            <w:vAlign w:val="center"/>
          </w:tcPr>
          <w:p w14:paraId="02955374" w14:textId="789C27D6"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4.101</w:t>
            </w:r>
          </w:p>
        </w:tc>
        <w:tc>
          <w:tcPr>
            <w:tcW w:w="500" w:type="pct"/>
            <w:shd w:val="clear" w:color="auto" w:fill="auto"/>
            <w:noWrap/>
            <w:vAlign w:val="center"/>
          </w:tcPr>
          <w:p w14:paraId="35AF495B" w14:textId="19B12EB6"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13.66</w:t>
            </w:r>
          </w:p>
        </w:tc>
        <w:tc>
          <w:tcPr>
            <w:tcW w:w="441" w:type="pct"/>
            <w:shd w:val="clear" w:color="auto" w:fill="auto"/>
            <w:noWrap/>
            <w:vAlign w:val="center"/>
          </w:tcPr>
          <w:p w14:paraId="209DF517" w14:textId="3D59BA3C"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1.451</w:t>
            </w:r>
          </w:p>
        </w:tc>
      </w:tr>
      <w:tr w:rsidR="00014D58" w:rsidRPr="00014D58" w14:paraId="57B3E896" w14:textId="77777777" w:rsidTr="00014D58">
        <w:trPr>
          <w:trHeight w:val="315"/>
        </w:trPr>
        <w:tc>
          <w:tcPr>
            <w:tcW w:w="769" w:type="pct"/>
            <w:shd w:val="clear" w:color="auto" w:fill="auto"/>
            <w:noWrap/>
            <w:vAlign w:val="center"/>
          </w:tcPr>
          <w:p w14:paraId="3EA8BB1F" w14:textId="364A5987"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0.000</w:t>
            </w:r>
          </w:p>
        </w:tc>
        <w:tc>
          <w:tcPr>
            <w:tcW w:w="489" w:type="pct"/>
            <w:shd w:val="clear" w:color="auto" w:fill="auto"/>
            <w:noWrap/>
            <w:vAlign w:val="center"/>
          </w:tcPr>
          <w:p w14:paraId="6A1F5FF0" w14:textId="5D595FB1"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07" w:type="pct"/>
            <w:shd w:val="clear" w:color="auto" w:fill="auto"/>
            <w:noWrap/>
            <w:vAlign w:val="center"/>
          </w:tcPr>
          <w:p w14:paraId="50B07106" w14:textId="48B8E65D"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61" w:type="pct"/>
            <w:shd w:val="clear" w:color="auto" w:fill="auto"/>
            <w:noWrap/>
            <w:vAlign w:val="center"/>
          </w:tcPr>
          <w:p w14:paraId="1BECD02B" w14:textId="786A4830"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61" w:type="pct"/>
            <w:shd w:val="clear" w:color="auto" w:fill="auto"/>
            <w:noWrap/>
            <w:vAlign w:val="center"/>
          </w:tcPr>
          <w:p w14:paraId="66FAC50E" w14:textId="20604171"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02" w:type="pct"/>
            <w:shd w:val="clear" w:color="auto" w:fill="auto"/>
            <w:noWrap/>
            <w:vAlign w:val="center"/>
          </w:tcPr>
          <w:p w14:paraId="3D669635" w14:textId="27BB4406"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71" w:type="pct"/>
            <w:shd w:val="clear" w:color="auto" w:fill="auto"/>
            <w:noWrap/>
            <w:vAlign w:val="center"/>
          </w:tcPr>
          <w:p w14:paraId="239D4D37" w14:textId="562D67F4"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2.092</w:t>
            </w:r>
          </w:p>
        </w:tc>
        <w:tc>
          <w:tcPr>
            <w:tcW w:w="399" w:type="pct"/>
            <w:shd w:val="clear" w:color="auto" w:fill="auto"/>
            <w:noWrap/>
            <w:vAlign w:val="center"/>
          </w:tcPr>
          <w:p w14:paraId="64A80847" w14:textId="26F9EA50"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4.084</w:t>
            </w:r>
          </w:p>
        </w:tc>
        <w:tc>
          <w:tcPr>
            <w:tcW w:w="500" w:type="pct"/>
            <w:shd w:val="clear" w:color="auto" w:fill="auto"/>
            <w:noWrap/>
            <w:vAlign w:val="center"/>
          </w:tcPr>
          <w:p w14:paraId="1D5268B5" w14:textId="5C9EBD67"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13.912</w:t>
            </w:r>
          </w:p>
        </w:tc>
        <w:tc>
          <w:tcPr>
            <w:tcW w:w="441" w:type="pct"/>
            <w:shd w:val="clear" w:color="auto" w:fill="auto"/>
            <w:noWrap/>
            <w:vAlign w:val="center"/>
          </w:tcPr>
          <w:p w14:paraId="7D87A438" w14:textId="50D4F70D"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1.765</w:t>
            </w:r>
          </w:p>
        </w:tc>
      </w:tr>
      <w:tr w:rsidR="00014D58" w:rsidRPr="00014D58" w14:paraId="3EF628A7" w14:textId="77777777" w:rsidTr="00014D58">
        <w:trPr>
          <w:trHeight w:val="315"/>
        </w:trPr>
        <w:tc>
          <w:tcPr>
            <w:tcW w:w="769" w:type="pct"/>
            <w:shd w:val="clear" w:color="auto" w:fill="auto"/>
            <w:noWrap/>
            <w:vAlign w:val="center"/>
          </w:tcPr>
          <w:p w14:paraId="36DBD9F1" w14:textId="15169760"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0.000</w:t>
            </w:r>
          </w:p>
        </w:tc>
        <w:tc>
          <w:tcPr>
            <w:tcW w:w="489" w:type="pct"/>
            <w:shd w:val="clear" w:color="auto" w:fill="auto"/>
            <w:noWrap/>
            <w:vAlign w:val="center"/>
          </w:tcPr>
          <w:p w14:paraId="2B44D515" w14:textId="1EB9F5B3"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07" w:type="pct"/>
            <w:shd w:val="clear" w:color="auto" w:fill="auto"/>
            <w:noWrap/>
            <w:vAlign w:val="center"/>
          </w:tcPr>
          <w:p w14:paraId="0AAF5B00" w14:textId="5F1393DD"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61" w:type="pct"/>
            <w:shd w:val="clear" w:color="auto" w:fill="auto"/>
            <w:noWrap/>
            <w:vAlign w:val="center"/>
          </w:tcPr>
          <w:p w14:paraId="0442D6B6" w14:textId="0D1C7C33"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61" w:type="pct"/>
            <w:shd w:val="clear" w:color="auto" w:fill="auto"/>
            <w:noWrap/>
            <w:vAlign w:val="center"/>
          </w:tcPr>
          <w:p w14:paraId="1333B114" w14:textId="18D56E1F"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02" w:type="pct"/>
            <w:shd w:val="clear" w:color="auto" w:fill="auto"/>
            <w:noWrap/>
            <w:vAlign w:val="center"/>
          </w:tcPr>
          <w:p w14:paraId="411CFF24" w14:textId="4EEE5A93"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71" w:type="pct"/>
            <w:shd w:val="clear" w:color="auto" w:fill="auto"/>
            <w:noWrap/>
            <w:vAlign w:val="center"/>
          </w:tcPr>
          <w:p w14:paraId="1074EEBC" w14:textId="2915A5E6"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2.115</w:t>
            </w:r>
          </w:p>
        </w:tc>
        <w:tc>
          <w:tcPr>
            <w:tcW w:w="399" w:type="pct"/>
            <w:shd w:val="clear" w:color="auto" w:fill="auto"/>
            <w:noWrap/>
            <w:vAlign w:val="center"/>
          </w:tcPr>
          <w:p w14:paraId="70F74FED" w14:textId="3E8A42FE"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4.095</w:t>
            </w:r>
          </w:p>
        </w:tc>
        <w:tc>
          <w:tcPr>
            <w:tcW w:w="500" w:type="pct"/>
            <w:shd w:val="clear" w:color="auto" w:fill="auto"/>
            <w:noWrap/>
            <w:vAlign w:val="center"/>
          </w:tcPr>
          <w:p w14:paraId="5AC228B0" w14:textId="5938ED54"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14.002</w:t>
            </w:r>
          </w:p>
        </w:tc>
        <w:tc>
          <w:tcPr>
            <w:tcW w:w="441" w:type="pct"/>
            <w:shd w:val="clear" w:color="auto" w:fill="auto"/>
            <w:noWrap/>
            <w:vAlign w:val="center"/>
          </w:tcPr>
          <w:p w14:paraId="659FCFDC" w14:textId="77F58E4C"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1.885</w:t>
            </w:r>
          </w:p>
        </w:tc>
      </w:tr>
      <w:tr w:rsidR="00014D58" w:rsidRPr="00014D58" w14:paraId="43354BEA" w14:textId="77777777" w:rsidTr="00014D58">
        <w:trPr>
          <w:trHeight w:val="315"/>
        </w:trPr>
        <w:tc>
          <w:tcPr>
            <w:tcW w:w="769" w:type="pct"/>
            <w:shd w:val="clear" w:color="auto" w:fill="auto"/>
            <w:noWrap/>
            <w:vAlign w:val="center"/>
          </w:tcPr>
          <w:p w14:paraId="6C5F28F3" w14:textId="2260F132"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0.000</w:t>
            </w:r>
          </w:p>
        </w:tc>
        <w:tc>
          <w:tcPr>
            <w:tcW w:w="489" w:type="pct"/>
            <w:shd w:val="clear" w:color="auto" w:fill="auto"/>
            <w:noWrap/>
            <w:vAlign w:val="center"/>
          </w:tcPr>
          <w:p w14:paraId="19B2D376" w14:textId="7C11E11A"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07" w:type="pct"/>
            <w:shd w:val="clear" w:color="auto" w:fill="auto"/>
            <w:noWrap/>
            <w:vAlign w:val="center"/>
          </w:tcPr>
          <w:p w14:paraId="7C671FF8" w14:textId="54F5AFC2"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61" w:type="pct"/>
            <w:shd w:val="clear" w:color="auto" w:fill="auto"/>
            <w:noWrap/>
            <w:vAlign w:val="center"/>
          </w:tcPr>
          <w:p w14:paraId="1B425F96" w14:textId="7064957E"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61" w:type="pct"/>
            <w:shd w:val="clear" w:color="auto" w:fill="auto"/>
            <w:noWrap/>
            <w:vAlign w:val="center"/>
          </w:tcPr>
          <w:p w14:paraId="5C59C5F2" w14:textId="5DC7F1D1"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02" w:type="pct"/>
            <w:shd w:val="clear" w:color="auto" w:fill="auto"/>
            <w:noWrap/>
            <w:vAlign w:val="center"/>
          </w:tcPr>
          <w:p w14:paraId="7B0BC78D" w14:textId="5A94C042"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71" w:type="pct"/>
            <w:shd w:val="clear" w:color="auto" w:fill="auto"/>
            <w:noWrap/>
            <w:vAlign w:val="center"/>
          </w:tcPr>
          <w:p w14:paraId="0DF368FB" w14:textId="17A07BF2"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1.586</w:t>
            </w:r>
          </w:p>
        </w:tc>
        <w:tc>
          <w:tcPr>
            <w:tcW w:w="399" w:type="pct"/>
            <w:shd w:val="clear" w:color="auto" w:fill="auto"/>
            <w:noWrap/>
            <w:vAlign w:val="center"/>
          </w:tcPr>
          <w:p w14:paraId="4E0F294B" w14:textId="02BFAFD6"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4.314</w:t>
            </w:r>
          </w:p>
        </w:tc>
        <w:tc>
          <w:tcPr>
            <w:tcW w:w="500" w:type="pct"/>
            <w:shd w:val="clear" w:color="auto" w:fill="auto"/>
            <w:noWrap/>
            <w:vAlign w:val="center"/>
          </w:tcPr>
          <w:p w14:paraId="36B0005B" w14:textId="0EC94BB5"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14.057</w:t>
            </w:r>
          </w:p>
        </w:tc>
        <w:tc>
          <w:tcPr>
            <w:tcW w:w="441" w:type="pct"/>
            <w:shd w:val="clear" w:color="auto" w:fill="auto"/>
            <w:noWrap/>
            <w:vAlign w:val="center"/>
          </w:tcPr>
          <w:p w14:paraId="190A824C" w14:textId="5B6A239D"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1.433</w:t>
            </w:r>
          </w:p>
        </w:tc>
      </w:tr>
      <w:tr w:rsidR="00014D58" w:rsidRPr="00014D58" w14:paraId="13111845" w14:textId="77777777" w:rsidTr="00014D58">
        <w:trPr>
          <w:trHeight w:val="315"/>
        </w:trPr>
        <w:tc>
          <w:tcPr>
            <w:tcW w:w="769" w:type="pct"/>
            <w:shd w:val="clear" w:color="auto" w:fill="auto"/>
            <w:noWrap/>
            <w:vAlign w:val="center"/>
          </w:tcPr>
          <w:p w14:paraId="73B98282" w14:textId="11E52C1C"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0.000</w:t>
            </w:r>
          </w:p>
        </w:tc>
        <w:tc>
          <w:tcPr>
            <w:tcW w:w="489" w:type="pct"/>
            <w:shd w:val="clear" w:color="auto" w:fill="auto"/>
            <w:noWrap/>
            <w:vAlign w:val="center"/>
          </w:tcPr>
          <w:p w14:paraId="2ED09FDA" w14:textId="1FD9DB22"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07" w:type="pct"/>
            <w:shd w:val="clear" w:color="auto" w:fill="auto"/>
            <w:noWrap/>
            <w:vAlign w:val="center"/>
          </w:tcPr>
          <w:p w14:paraId="149133F5" w14:textId="03B85A3B"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61" w:type="pct"/>
            <w:shd w:val="clear" w:color="auto" w:fill="auto"/>
            <w:noWrap/>
            <w:vAlign w:val="center"/>
          </w:tcPr>
          <w:p w14:paraId="2182F59A" w14:textId="526A49B9"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61" w:type="pct"/>
            <w:shd w:val="clear" w:color="auto" w:fill="auto"/>
            <w:noWrap/>
            <w:vAlign w:val="center"/>
          </w:tcPr>
          <w:p w14:paraId="3814E63E" w14:textId="529B1233"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02" w:type="pct"/>
            <w:shd w:val="clear" w:color="auto" w:fill="auto"/>
            <w:noWrap/>
            <w:vAlign w:val="center"/>
          </w:tcPr>
          <w:p w14:paraId="14D1B570" w14:textId="2216201F"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71" w:type="pct"/>
            <w:shd w:val="clear" w:color="auto" w:fill="auto"/>
            <w:noWrap/>
            <w:vAlign w:val="center"/>
          </w:tcPr>
          <w:p w14:paraId="4C2A4627" w14:textId="45DB06D3"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1.662</w:t>
            </w:r>
          </w:p>
        </w:tc>
        <w:tc>
          <w:tcPr>
            <w:tcW w:w="399" w:type="pct"/>
            <w:shd w:val="clear" w:color="auto" w:fill="auto"/>
            <w:noWrap/>
            <w:vAlign w:val="center"/>
          </w:tcPr>
          <w:p w14:paraId="0CD2366A" w14:textId="7EA1A404"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4.223</w:t>
            </w:r>
          </w:p>
        </w:tc>
        <w:tc>
          <w:tcPr>
            <w:tcW w:w="500" w:type="pct"/>
            <w:shd w:val="clear" w:color="auto" w:fill="auto"/>
            <w:noWrap/>
            <w:vAlign w:val="center"/>
          </w:tcPr>
          <w:p w14:paraId="777E37BA" w14:textId="1A1E25B7"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13.992</w:t>
            </w:r>
          </w:p>
        </w:tc>
        <w:tc>
          <w:tcPr>
            <w:tcW w:w="441" w:type="pct"/>
            <w:shd w:val="clear" w:color="auto" w:fill="auto"/>
            <w:noWrap/>
            <w:vAlign w:val="center"/>
          </w:tcPr>
          <w:p w14:paraId="402CD5C1" w14:textId="1199A57D"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1.807</w:t>
            </w:r>
          </w:p>
        </w:tc>
      </w:tr>
      <w:tr w:rsidR="00014D58" w:rsidRPr="00014D58" w14:paraId="1A92090E" w14:textId="77777777" w:rsidTr="00014D58">
        <w:trPr>
          <w:trHeight w:val="315"/>
        </w:trPr>
        <w:tc>
          <w:tcPr>
            <w:tcW w:w="769" w:type="pct"/>
            <w:shd w:val="clear" w:color="auto" w:fill="auto"/>
            <w:noWrap/>
            <w:vAlign w:val="center"/>
          </w:tcPr>
          <w:p w14:paraId="286F0E82" w14:textId="4E6E753D"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0.000</w:t>
            </w:r>
          </w:p>
        </w:tc>
        <w:tc>
          <w:tcPr>
            <w:tcW w:w="489" w:type="pct"/>
            <w:shd w:val="clear" w:color="auto" w:fill="auto"/>
            <w:noWrap/>
            <w:vAlign w:val="center"/>
          </w:tcPr>
          <w:p w14:paraId="478C5F74" w14:textId="7E949446"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07" w:type="pct"/>
            <w:shd w:val="clear" w:color="auto" w:fill="auto"/>
            <w:noWrap/>
            <w:vAlign w:val="center"/>
          </w:tcPr>
          <w:p w14:paraId="6F36BF47" w14:textId="25094FF2"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61" w:type="pct"/>
            <w:shd w:val="clear" w:color="auto" w:fill="auto"/>
            <w:noWrap/>
            <w:vAlign w:val="center"/>
          </w:tcPr>
          <w:p w14:paraId="2254F457" w14:textId="714CBCF8"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61" w:type="pct"/>
            <w:shd w:val="clear" w:color="auto" w:fill="auto"/>
            <w:noWrap/>
            <w:vAlign w:val="center"/>
          </w:tcPr>
          <w:p w14:paraId="302E76A9" w14:textId="27FA6FEE"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02" w:type="pct"/>
            <w:shd w:val="clear" w:color="auto" w:fill="auto"/>
            <w:noWrap/>
            <w:vAlign w:val="center"/>
          </w:tcPr>
          <w:p w14:paraId="018B0F0F" w14:textId="4DA4BE6C"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w:t>
            </w:r>
          </w:p>
        </w:tc>
        <w:tc>
          <w:tcPr>
            <w:tcW w:w="471" w:type="pct"/>
            <w:shd w:val="clear" w:color="auto" w:fill="auto"/>
            <w:noWrap/>
            <w:vAlign w:val="center"/>
          </w:tcPr>
          <w:p w14:paraId="4ECD67DF" w14:textId="442A2195"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1.977</w:t>
            </w:r>
          </w:p>
        </w:tc>
        <w:tc>
          <w:tcPr>
            <w:tcW w:w="399" w:type="pct"/>
            <w:shd w:val="clear" w:color="auto" w:fill="auto"/>
            <w:noWrap/>
            <w:vAlign w:val="center"/>
          </w:tcPr>
          <w:p w14:paraId="3916C369" w14:textId="1F571DA2"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4.166</w:t>
            </w:r>
          </w:p>
        </w:tc>
        <w:tc>
          <w:tcPr>
            <w:tcW w:w="500" w:type="pct"/>
            <w:shd w:val="clear" w:color="auto" w:fill="auto"/>
            <w:noWrap/>
            <w:vAlign w:val="center"/>
          </w:tcPr>
          <w:p w14:paraId="39535994" w14:textId="6C1894C9"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14.137</w:t>
            </w:r>
          </w:p>
        </w:tc>
        <w:tc>
          <w:tcPr>
            <w:tcW w:w="441" w:type="pct"/>
            <w:shd w:val="clear" w:color="auto" w:fill="auto"/>
            <w:noWrap/>
            <w:vAlign w:val="center"/>
          </w:tcPr>
          <w:p w14:paraId="4DA052B7" w14:textId="0610C10F"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2.145</w:t>
            </w:r>
          </w:p>
        </w:tc>
      </w:tr>
      <w:tr w:rsidR="00014D58" w:rsidRPr="00014D58" w14:paraId="227BCE83" w14:textId="77777777" w:rsidTr="00014D58">
        <w:trPr>
          <w:trHeight w:val="315"/>
        </w:trPr>
        <w:tc>
          <w:tcPr>
            <w:tcW w:w="769" w:type="pct"/>
            <w:shd w:val="clear" w:color="auto" w:fill="auto"/>
            <w:noWrap/>
            <w:vAlign w:val="center"/>
          </w:tcPr>
          <w:p w14:paraId="1884C23A" w14:textId="4BCB0E6D"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0.000</w:t>
            </w:r>
          </w:p>
        </w:tc>
        <w:tc>
          <w:tcPr>
            <w:tcW w:w="489" w:type="pct"/>
            <w:shd w:val="clear" w:color="auto" w:fill="auto"/>
            <w:noWrap/>
            <w:vAlign w:val="center"/>
          </w:tcPr>
          <w:p w14:paraId="381BFA45" w14:textId="47F54B5B"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07" w:type="pct"/>
            <w:shd w:val="clear" w:color="auto" w:fill="auto"/>
            <w:noWrap/>
            <w:vAlign w:val="center"/>
          </w:tcPr>
          <w:p w14:paraId="245D02AF" w14:textId="2858C125"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61" w:type="pct"/>
            <w:shd w:val="clear" w:color="auto" w:fill="auto"/>
            <w:noWrap/>
            <w:vAlign w:val="center"/>
          </w:tcPr>
          <w:p w14:paraId="1F3CB058" w14:textId="6FF66F2C"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61" w:type="pct"/>
            <w:shd w:val="clear" w:color="auto" w:fill="auto"/>
            <w:noWrap/>
            <w:vAlign w:val="center"/>
          </w:tcPr>
          <w:p w14:paraId="7645DF5B" w14:textId="5C13D6CE"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02" w:type="pct"/>
            <w:shd w:val="clear" w:color="auto" w:fill="auto"/>
            <w:noWrap/>
            <w:vAlign w:val="center"/>
          </w:tcPr>
          <w:p w14:paraId="71969985" w14:textId="0024855D"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71" w:type="pct"/>
            <w:shd w:val="clear" w:color="auto" w:fill="auto"/>
            <w:noWrap/>
            <w:vAlign w:val="center"/>
          </w:tcPr>
          <w:p w14:paraId="398C8013" w14:textId="141D032D"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1.505</w:t>
            </w:r>
          </w:p>
        </w:tc>
        <w:tc>
          <w:tcPr>
            <w:tcW w:w="399" w:type="pct"/>
            <w:shd w:val="clear" w:color="auto" w:fill="auto"/>
            <w:noWrap/>
            <w:vAlign w:val="center"/>
          </w:tcPr>
          <w:p w14:paraId="5E1A1D03" w14:textId="380F8647"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4.314</w:t>
            </w:r>
          </w:p>
        </w:tc>
        <w:tc>
          <w:tcPr>
            <w:tcW w:w="500" w:type="pct"/>
            <w:shd w:val="clear" w:color="auto" w:fill="auto"/>
            <w:noWrap/>
            <w:vAlign w:val="center"/>
          </w:tcPr>
          <w:p w14:paraId="2AD7DA34" w14:textId="469F2B17"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13.957</w:t>
            </w:r>
          </w:p>
        </w:tc>
        <w:tc>
          <w:tcPr>
            <w:tcW w:w="441" w:type="pct"/>
            <w:shd w:val="clear" w:color="auto" w:fill="auto"/>
            <w:noWrap/>
            <w:vAlign w:val="center"/>
          </w:tcPr>
          <w:p w14:paraId="35DAB5C3" w14:textId="6344E07A"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1.361</w:t>
            </w:r>
          </w:p>
        </w:tc>
      </w:tr>
      <w:tr w:rsidR="00014D58" w:rsidRPr="00014D58" w14:paraId="03DE566E" w14:textId="77777777" w:rsidTr="00014D58">
        <w:trPr>
          <w:trHeight w:val="315"/>
        </w:trPr>
        <w:tc>
          <w:tcPr>
            <w:tcW w:w="769" w:type="pct"/>
            <w:shd w:val="clear" w:color="auto" w:fill="auto"/>
            <w:noWrap/>
            <w:vAlign w:val="center"/>
          </w:tcPr>
          <w:p w14:paraId="3166AD10" w14:textId="6464A154"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0.000</w:t>
            </w:r>
          </w:p>
        </w:tc>
        <w:tc>
          <w:tcPr>
            <w:tcW w:w="489" w:type="pct"/>
            <w:shd w:val="clear" w:color="auto" w:fill="auto"/>
            <w:noWrap/>
            <w:vAlign w:val="center"/>
          </w:tcPr>
          <w:p w14:paraId="4B0A0C10" w14:textId="038DFAC5"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07" w:type="pct"/>
            <w:shd w:val="clear" w:color="auto" w:fill="auto"/>
            <w:noWrap/>
            <w:vAlign w:val="center"/>
          </w:tcPr>
          <w:p w14:paraId="5B7DA611" w14:textId="78DA1694"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61" w:type="pct"/>
            <w:shd w:val="clear" w:color="auto" w:fill="auto"/>
            <w:noWrap/>
            <w:vAlign w:val="center"/>
          </w:tcPr>
          <w:p w14:paraId="7E58B55C" w14:textId="61A122C0"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61" w:type="pct"/>
            <w:shd w:val="clear" w:color="auto" w:fill="auto"/>
            <w:noWrap/>
            <w:vAlign w:val="center"/>
          </w:tcPr>
          <w:p w14:paraId="2C328CCC" w14:textId="7DBF0AAB"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02" w:type="pct"/>
            <w:shd w:val="clear" w:color="auto" w:fill="auto"/>
            <w:noWrap/>
            <w:vAlign w:val="center"/>
          </w:tcPr>
          <w:p w14:paraId="2A504A0C" w14:textId="25094A0B"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71" w:type="pct"/>
            <w:shd w:val="clear" w:color="auto" w:fill="auto"/>
            <w:noWrap/>
            <w:vAlign w:val="center"/>
          </w:tcPr>
          <w:p w14:paraId="65358353" w14:textId="706A4EA7"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1.886</w:t>
            </w:r>
          </w:p>
        </w:tc>
        <w:tc>
          <w:tcPr>
            <w:tcW w:w="399" w:type="pct"/>
            <w:shd w:val="clear" w:color="auto" w:fill="auto"/>
            <w:noWrap/>
            <w:vAlign w:val="center"/>
          </w:tcPr>
          <w:p w14:paraId="50FC069B" w14:textId="39584186"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4.243</w:t>
            </w:r>
          </w:p>
        </w:tc>
        <w:tc>
          <w:tcPr>
            <w:tcW w:w="500" w:type="pct"/>
            <w:shd w:val="clear" w:color="auto" w:fill="auto"/>
            <w:noWrap/>
            <w:vAlign w:val="center"/>
          </w:tcPr>
          <w:p w14:paraId="6F964105" w14:textId="09D6780A"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14.32</w:t>
            </w:r>
          </w:p>
        </w:tc>
        <w:tc>
          <w:tcPr>
            <w:tcW w:w="441" w:type="pct"/>
            <w:shd w:val="clear" w:color="auto" w:fill="auto"/>
            <w:noWrap/>
            <w:vAlign w:val="center"/>
          </w:tcPr>
          <w:p w14:paraId="72495F6A" w14:textId="03C7E09E"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1.35</w:t>
            </w:r>
          </w:p>
        </w:tc>
      </w:tr>
      <w:tr w:rsidR="00014D58" w:rsidRPr="00014D58" w14:paraId="5C8774F9" w14:textId="77777777" w:rsidTr="00014D58">
        <w:trPr>
          <w:trHeight w:val="315"/>
        </w:trPr>
        <w:tc>
          <w:tcPr>
            <w:tcW w:w="769" w:type="pct"/>
            <w:shd w:val="clear" w:color="auto" w:fill="auto"/>
            <w:noWrap/>
            <w:vAlign w:val="center"/>
          </w:tcPr>
          <w:p w14:paraId="76CEB774" w14:textId="2600BDBB"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0.000</w:t>
            </w:r>
          </w:p>
        </w:tc>
        <w:tc>
          <w:tcPr>
            <w:tcW w:w="489" w:type="pct"/>
            <w:shd w:val="clear" w:color="auto" w:fill="auto"/>
            <w:noWrap/>
            <w:vAlign w:val="center"/>
          </w:tcPr>
          <w:p w14:paraId="7360E7AE" w14:textId="057B687C"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07" w:type="pct"/>
            <w:shd w:val="clear" w:color="auto" w:fill="auto"/>
            <w:noWrap/>
            <w:vAlign w:val="center"/>
          </w:tcPr>
          <w:p w14:paraId="67A4F8DE" w14:textId="6A63FD57"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61" w:type="pct"/>
            <w:shd w:val="clear" w:color="auto" w:fill="auto"/>
            <w:noWrap/>
            <w:vAlign w:val="center"/>
          </w:tcPr>
          <w:p w14:paraId="3EEC43D3" w14:textId="18FAD776"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61" w:type="pct"/>
            <w:shd w:val="clear" w:color="auto" w:fill="auto"/>
            <w:noWrap/>
            <w:vAlign w:val="center"/>
          </w:tcPr>
          <w:p w14:paraId="08F2D411" w14:textId="6A289013"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02" w:type="pct"/>
            <w:shd w:val="clear" w:color="auto" w:fill="auto"/>
            <w:noWrap/>
            <w:vAlign w:val="center"/>
          </w:tcPr>
          <w:p w14:paraId="66BE3E8E" w14:textId="312C0A4F"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71" w:type="pct"/>
            <w:shd w:val="clear" w:color="auto" w:fill="auto"/>
            <w:noWrap/>
            <w:vAlign w:val="center"/>
          </w:tcPr>
          <w:p w14:paraId="2B72B823" w14:textId="019457A3"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1.768</w:t>
            </w:r>
          </w:p>
        </w:tc>
        <w:tc>
          <w:tcPr>
            <w:tcW w:w="399" w:type="pct"/>
            <w:shd w:val="clear" w:color="auto" w:fill="auto"/>
            <w:noWrap/>
            <w:vAlign w:val="center"/>
          </w:tcPr>
          <w:p w14:paraId="6B0ED56D" w14:textId="32F2C103"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4.267</w:t>
            </w:r>
          </w:p>
        </w:tc>
        <w:tc>
          <w:tcPr>
            <w:tcW w:w="500" w:type="pct"/>
            <w:shd w:val="clear" w:color="auto" w:fill="auto"/>
            <w:noWrap/>
            <w:vAlign w:val="center"/>
          </w:tcPr>
          <w:p w14:paraId="331EB813" w14:textId="25E35DCB"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13.986</w:t>
            </w:r>
          </w:p>
        </w:tc>
        <w:tc>
          <w:tcPr>
            <w:tcW w:w="441" w:type="pct"/>
            <w:shd w:val="clear" w:color="auto" w:fill="auto"/>
            <w:noWrap/>
            <w:vAlign w:val="center"/>
          </w:tcPr>
          <w:p w14:paraId="3C8885F2" w14:textId="1E920196"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1.186</w:t>
            </w:r>
          </w:p>
        </w:tc>
      </w:tr>
      <w:tr w:rsidR="00014D58" w:rsidRPr="00014D58" w14:paraId="54FD40C2" w14:textId="77777777" w:rsidTr="00014D58">
        <w:trPr>
          <w:trHeight w:val="315"/>
        </w:trPr>
        <w:tc>
          <w:tcPr>
            <w:tcW w:w="769" w:type="pct"/>
            <w:shd w:val="clear" w:color="auto" w:fill="auto"/>
            <w:noWrap/>
            <w:vAlign w:val="center"/>
          </w:tcPr>
          <w:p w14:paraId="7CAE85C7" w14:textId="6253A89A"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0.000</w:t>
            </w:r>
          </w:p>
        </w:tc>
        <w:tc>
          <w:tcPr>
            <w:tcW w:w="489" w:type="pct"/>
            <w:shd w:val="clear" w:color="auto" w:fill="auto"/>
            <w:noWrap/>
            <w:vAlign w:val="center"/>
          </w:tcPr>
          <w:p w14:paraId="4E4F237F" w14:textId="3E77FA9E"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07" w:type="pct"/>
            <w:shd w:val="clear" w:color="auto" w:fill="auto"/>
            <w:noWrap/>
            <w:vAlign w:val="center"/>
          </w:tcPr>
          <w:p w14:paraId="4D1190E2" w14:textId="1BD65951"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61" w:type="pct"/>
            <w:shd w:val="clear" w:color="auto" w:fill="auto"/>
            <w:noWrap/>
            <w:vAlign w:val="center"/>
          </w:tcPr>
          <w:p w14:paraId="35F00E76" w14:textId="092D2AB5"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61" w:type="pct"/>
            <w:shd w:val="clear" w:color="auto" w:fill="auto"/>
            <w:noWrap/>
            <w:vAlign w:val="center"/>
          </w:tcPr>
          <w:p w14:paraId="55678EF8" w14:textId="24CC10A9"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02" w:type="pct"/>
            <w:shd w:val="clear" w:color="auto" w:fill="auto"/>
            <w:noWrap/>
            <w:vAlign w:val="center"/>
          </w:tcPr>
          <w:p w14:paraId="00E4B297" w14:textId="43A7F1FF"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71" w:type="pct"/>
            <w:shd w:val="clear" w:color="auto" w:fill="auto"/>
            <w:noWrap/>
            <w:vAlign w:val="center"/>
          </w:tcPr>
          <w:p w14:paraId="60A3ECF2" w14:textId="1CFB8BDF"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1.719</w:t>
            </w:r>
          </w:p>
        </w:tc>
        <w:tc>
          <w:tcPr>
            <w:tcW w:w="399" w:type="pct"/>
            <w:shd w:val="clear" w:color="auto" w:fill="auto"/>
            <w:noWrap/>
            <w:vAlign w:val="center"/>
          </w:tcPr>
          <w:p w14:paraId="0BC5F28F" w14:textId="7931A161"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4.231</w:t>
            </w:r>
          </w:p>
        </w:tc>
        <w:tc>
          <w:tcPr>
            <w:tcW w:w="500" w:type="pct"/>
            <w:shd w:val="clear" w:color="auto" w:fill="auto"/>
            <w:noWrap/>
            <w:vAlign w:val="center"/>
          </w:tcPr>
          <w:p w14:paraId="43F71371" w14:textId="00090F5C"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14.05</w:t>
            </w:r>
          </w:p>
        </w:tc>
        <w:tc>
          <w:tcPr>
            <w:tcW w:w="441" w:type="pct"/>
            <w:shd w:val="clear" w:color="auto" w:fill="auto"/>
            <w:noWrap/>
            <w:vAlign w:val="center"/>
          </w:tcPr>
          <w:p w14:paraId="78B1B86E" w14:textId="769EFF7B"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1.462</w:t>
            </w:r>
          </w:p>
        </w:tc>
      </w:tr>
      <w:tr w:rsidR="00014D58" w:rsidRPr="00014D58" w14:paraId="71B1D7E4" w14:textId="77777777" w:rsidTr="00014D58">
        <w:trPr>
          <w:trHeight w:val="315"/>
        </w:trPr>
        <w:tc>
          <w:tcPr>
            <w:tcW w:w="769" w:type="pct"/>
            <w:shd w:val="clear" w:color="auto" w:fill="auto"/>
            <w:noWrap/>
            <w:vAlign w:val="center"/>
          </w:tcPr>
          <w:p w14:paraId="106AC674" w14:textId="4CBC0154"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0.000</w:t>
            </w:r>
          </w:p>
        </w:tc>
        <w:tc>
          <w:tcPr>
            <w:tcW w:w="489" w:type="pct"/>
            <w:shd w:val="clear" w:color="auto" w:fill="auto"/>
            <w:noWrap/>
            <w:vAlign w:val="center"/>
          </w:tcPr>
          <w:p w14:paraId="6B4C17B2" w14:textId="638BCD81"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07" w:type="pct"/>
            <w:shd w:val="clear" w:color="auto" w:fill="auto"/>
            <w:noWrap/>
            <w:vAlign w:val="center"/>
          </w:tcPr>
          <w:p w14:paraId="6135F369" w14:textId="0557AD7A"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61" w:type="pct"/>
            <w:shd w:val="clear" w:color="auto" w:fill="auto"/>
            <w:noWrap/>
            <w:vAlign w:val="center"/>
          </w:tcPr>
          <w:p w14:paraId="6DC7E4C6" w14:textId="0FA6CC1C"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61" w:type="pct"/>
            <w:shd w:val="clear" w:color="auto" w:fill="auto"/>
            <w:noWrap/>
            <w:vAlign w:val="center"/>
          </w:tcPr>
          <w:p w14:paraId="28A073C5" w14:textId="0CF0F6C9"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02" w:type="pct"/>
            <w:shd w:val="clear" w:color="auto" w:fill="auto"/>
            <w:noWrap/>
            <w:vAlign w:val="center"/>
          </w:tcPr>
          <w:p w14:paraId="2E861F83" w14:textId="133841BB"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71" w:type="pct"/>
            <w:shd w:val="clear" w:color="auto" w:fill="auto"/>
            <w:noWrap/>
            <w:vAlign w:val="center"/>
          </w:tcPr>
          <w:p w14:paraId="6A73C159" w14:textId="703E6C10"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2.036</w:t>
            </w:r>
          </w:p>
        </w:tc>
        <w:tc>
          <w:tcPr>
            <w:tcW w:w="399" w:type="pct"/>
            <w:shd w:val="clear" w:color="auto" w:fill="auto"/>
            <w:noWrap/>
            <w:vAlign w:val="center"/>
          </w:tcPr>
          <w:p w14:paraId="75CD6E96" w14:textId="25C48671"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4.184</w:t>
            </w:r>
          </w:p>
        </w:tc>
        <w:tc>
          <w:tcPr>
            <w:tcW w:w="500" w:type="pct"/>
            <w:shd w:val="clear" w:color="auto" w:fill="auto"/>
            <w:noWrap/>
            <w:vAlign w:val="center"/>
          </w:tcPr>
          <w:p w14:paraId="651868FA" w14:textId="7F6674CA"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14.004</w:t>
            </w:r>
          </w:p>
        </w:tc>
        <w:tc>
          <w:tcPr>
            <w:tcW w:w="441" w:type="pct"/>
            <w:shd w:val="clear" w:color="auto" w:fill="auto"/>
            <w:noWrap/>
            <w:vAlign w:val="center"/>
          </w:tcPr>
          <w:p w14:paraId="74801BA7" w14:textId="189B5E20" w:rsidR="00393790" w:rsidRPr="00014D58" w:rsidRDefault="00393790" w:rsidP="00014D58">
            <w:pPr>
              <w:spacing w:before="0" w:after="0"/>
              <w:jc w:val="center"/>
              <w:rPr>
                <w:rFonts w:eastAsia="Times New Roman" w:cs="Calibri"/>
                <w:color w:val="000000"/>
                <w:sz w:val="16"/>
                <w:szCs w:val="16"/>
                <w:lang w:val="sr-Latn-RS" w:eastAsia="sr-Latn-RS"/>
              </w:rPr>
            </w:pPr>
            <w:r w:rsidRPr="00014D58">
              <w:rPr>
                <w:sz w:val="16"/>
                <w:szCs w:val="16"/>
              </w:rPr>
              <w:t>1.438</w:t>
            </w:r>
          </w:p>
        </w:tc>
      </w:tr>
      <w:tr w:rsidR="00014D58" w:rsidRPr="00014D58" w14:paraId="1C3645E5" w14:textId="77777777" w:rsidTr="00014D58">
        <w:trPr>
          <w:trHeight w:val="315"/>
        </w:trPr>
        <w:tc>
          <w:tcPr>
            <w:tcW w:w="769" w:type="pct"/>
            <w:shd w:val="clear" w:color="auto" w:fill="auto"/>
            <w:noWrap/>
            <w:vAlign w:val="center"/>
          </w:tcPr>
          <w:p w14:paraId="619345A2" w14:textId="5DBD26E0"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0.000</w:t>
            </w:r>
          </w:p>
        </w:tc>
        <w:tc>
          <w:tcPr>
            <w:tcW w:w="489" w:type="pct"/>
            <w:shd w:val="clear" w:color="auto" w:fill="auto"/>
            <w:noWrap/>
            <w:vAlign w:val="center"/>
          </w:tcPr>
          <w:p w14:paraId="69E34E9C" w14:textId="7A056663"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07" w:type="pct"/>
            <w:shd w:val="clear" w:color="auto" w:fill="auto"/>
            <w:noWrap/>
            <w:vAlign w:val="center"/>
          </w:tcPr>
          <w:p w14:paraId="504BB30D" w14:textId="79A4A132"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61" w:type="pct"/>
            <w:shd w:val="clear" w:color="auto" w:fill="auto"/>
            <w:noWrap/>
            <w:vAlign w:val="center"/>
          </w:tcPr>
          <w:p w14:paraId="0320E7A6" w14:textId="248BE312"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61" w:type="pct"/>
            <w:shd w:val="clear" w:color="auto" w:fill="auto"/>
            <w:noWrap/>
            <w:vAlign w:val="center"/>
          </w:tcPr>
          <w:p w14:paraId="20636A54" w14:textId="13DB9314"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02" w:type="pct"/>
            <w:shd w:val="clear" w:color="auto" w:fill="auto"/>
            <w:noWrap/>
            <w:vAlign w:val="center"/>
          </w:tcPr>
          <w:p w14:paraId="20F2D3A3" w14:textId="23F442AC"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71" w:type="pct"/>
            <w:shd w:val="clear" w:color="auto" w:fill="auto"/>
            <w:noWrap/>
            <w:vAlign w:val="center"/>
          </w:tcPr>
          <w:p w14:paraId="1EADEAC2" w14:textId="7E46F7A5"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2.250</w:t>
            </w:r>
          </w:p>
        </w:tc>
        <w:tc>
          <w:tcPr>
            <w:tcW w:w="399" w:type="pct"/>
            <w:shd w:val="clear" w:color="auto" w:fill="auto"/>
            <w:noWrap/>
            <w:vAlign w:val="center"/>
          </w:tcPr>
          <w:p w14:paraId="1113E674" w14:textId="63002F00"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4.094</w:t>
            </w:r>
          </w:p>
        </w:tc>
        <w:tc>
          <w:tcPr>
            <w:tcW w:w="500" w:type="pct"/>
            <w:shd w:val="clear" w:color="auto" w:fill="auto"/>
            <w:noWrap/>
            <w:vAlign w:val="center"/>
          </w:tcPr>
          <w:p w14:paraId="437C98AD" w14:textId="46AC1CDB"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14.203</w:t>
            </w:r>
          </w:p>
        </w:tc>
        <w:tc>
          <w:tcPr>
            <w:tcW w:w="441" w:type="pct"/>
            <w:shd w:val="clear" w:color="auto" w:fill="auto"/>
            <w:noWrap/>
            <w:vAlign w:val="center"/>
          </w:tcPr>
          <w:p w14:paraId="1DFA08F4" w14:textId="317371CB"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1.456</w:t>
            </w:r>
          </w:p>
        </w:tc>
      </w:tr>
      <w:tr w:rsidR="00014D58" w:rsidRPr="00014D58" w14:paraId="5A4BCE73" w14:textId="77777777" w:rsidTr="00014D58">
        <w:trPr>
          <w:trHeight w:val="315"/>
        </w:trPr>
        <w:tc>
          <w:tcPr>
            <w:tcW w:w="769" w:type="pct"/>
            <w:shd w:val="clear" w:color="auto" w:fill="auto"/>
            <w:noWrap/>
            <w:vAlign w:val="center"/>
          </w:tcPr>
          <w:p w14:paraId="206AD2E7" w14:textId="3F222498"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0.000</w:t>
            </w:r>
          </w:p>
        </w:tc>
        <w:tc>
          <w:tcPr>
            <w:tcW w:w="489" w:type="pct"/>
            <w:shd w:val="clear" w:color="auto" w:fill="auto"/>
            <w:noWrap/>
            <w:vAlign w:val="center"/>
          </w:tcPr>
          <w:p w14:paraId="3D29BD09" w14:textId="60B68FBC"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07" w:type="pct"/>
            <w:shd w:val="clear" w:color="auto" w:fill="auto"/>
            <w:noWrap/>
            <w:vAlign w:val="center"/>
          </w:tcPr>
          <w:p w14:paraId="0545E94D" w14:textId="7B27BE75"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61" w:type="pct"/>
            <w:shd w:val="clear" w:color="auto" w:fill="auto"/>
            <w:noWrap/>
            <w:vAlign w:val="center"/>
          </w:tcPr>
          <w:p w14:paraId="6613D915" w14:textId="46ECBE77"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61" w:type="pct"/>
            <w:shd w:val="clear" w:color="auto" w:fill="auto"/>
            <w:noWrap/>
            <w:vAlign w:val="center"/>
          </w:tcPr>
          <w:p w14:paraId="227BD79E" w14:textId="3F6FCD07"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02" w:type="pct"/>
            <w:shd w:val="clear" w:color="auto" w:fill="auto"/>
            <w:noWrap/>
            <w:vAlign w:val="center"/>
          </w:tcPr>
          <w:p w14:paraId="040B8BD6" w14:textId="4ADA81DF"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71" w:type="pct"/>
            <w:shd w:val="clear" w:color="auto" w:fill="auto"/>
            <w:noWrap/>
            <w:vAlign w:val="center"/>
          </w:tcPr>
          <w:p w14:paraId="4A005680" w14:textId="3033AA9C"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2.120</w:t>
            </w:r>
          </w:p>
        </w:tc>
        <w:tc>
          <w:tcPr>
            <w:tcW w:w="399" w:type="pct"/>
            <w:shd w:val="clear" w:color="auto" w:fill="auto"/>
            <w:noWrap/>
            <w:vAlign w:val="center"/>
          </w:tcPr>
          <w:p w14:paraId="0A034A77" w14:textId="27042CC9"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4.186</w:t>
            </w:r>
          </w:p>
        </w:tc>
        <w:tc>
          <w:tcPr>
            <w:tcW w:w="500" w:type="pct"/>
            <w:shd w:val="clear" w:color="auto" w:fill="auto"/>
            <w:noWrap/>
            <w:vAlign w:val="center"/>
          </w:tcPr>
          <w:p w14:paraId="3B4C622A" w14:textId="64373AC8"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14.402</w:t>
            </w:r>
          </w:p>
        </w:tc>
        <w:tc>
          <w:tcPr>
            <w:tcW w:w="441" w:type="pct"/>
            <w:shd w:val="clear" w:color="auto" w:fill="auto"/>
            <w:noWrap/>
            <w:vAlign w:val="center"/>
          </w:tcPr>
          <w:p w14:paraId="7C5EC22A" w14:textId="1577EF38"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1.583</w:t>
            </w:r>
          </w:p>
        </w:tc>
      </w:tr>
      <w:tr w:rsidR="00014D58" w:rsidRPr="00014D58" w14:paraId="405C4C63" w14:textId="77777777" w:rsidTr="00014D58">
        <w:trPr>
          <w:trHeight w:val="315"/>
        </w:trPr>
        <w:tc>
          <w:tcPr>
            <w:tcW w:w="769" w:type="pct"/>
            <w:shd w:val="clear" w:color="auto" w:fill="auto"/>
            <w:noWrap/>
            <w:vAlign w:val="center"/>
          </w:tcPr>
          <w:p w14:paraId="28304D4D" w14:textId="4AD78C38"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0.000</w:t>
            </w:r>
          </w:p>
        </w:tc>
        <w:tc>
          <w:tcPr>
            <w:tcW w:w="489" w:type="pct"/>
            <w:shd w:val="clear" w:color="auto" w:fill="auto"/>
            <w:noWrap/>
            <w:vAlign w:val="center"/>
          </w:tcPr>
          <w:p w14:paraId="60123C5E" w14:textId="73C3414B"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07" w:type="pct"/>
            <w:shd w:val="clear" w:color="auto" w:fill="auto"/>
            <w:noWrap/>
            <w:vAlign w:val="center"/>
          </w:tcPr>
          <w:p w14:paraId="36A2C13C" w14:textId="15370BAF"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61" w:type="pct"/>
            <w:shd w:val="clear" w:color="auto" w:fill="auto"/>
            <w:noWrap/>
            <w:vAlign w:val="center"/>
          </w:tcPr>
          <w:p w14:paraId="1CDBE188" w14:textId="41414EAD"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61" w:type="pct"/>
            <w:shd w:val="clear" w:color="auto" w:fill="auto"/>
            <w:noWrap/>
            <w:vAlign w:val="center"/>
          </w:tcPr>
          <w:p w14:paraId="3A67E3DE" w14:textId="600FCB81"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02" w:type="pct"/>
            <w:shd w:val="clear" w:color="auto" w:fill="auto"/>
            <w:noWrap/>
            <w:vAlign w:val="center"/>
          </w:tcPr>
          <w:p w14:paraId="3E9D7DBC" w14:textId="46A732E4"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71" w:type="pct"/>
            <w:shd w:val="clear" w:color="auto" w:fill="auto"/>
            <w:noWrap/>
            <w:vAlign w:val="center"/>
          </w:tcPr>
          <w:p w14:paraId="3AED7714" w14:textId="2A8DA41E"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1.838</w:t>
            </w:r>
          </w:p>
        </w:tc>
        <w:tc>
          <w:tcPr>
            <w:tcW w:w="399" w:type="pct"/>
            <w:shd w:val="clear" w:color="auto" w:fill="auto"/>
            <w:noWrap/>
            <w:vAlign w:val="center"/>
          </w:tcPr>
          <w:p w14:paraId="42FE15AE" w14:textId="58042088"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4.11</w:t>
            </w:r>
          </w:p>
        </w:tc>
        <w:tc>
          <w:tcPr>
            <w:tcW w:w="500" w:type="pct"/>
            <w:shd w:val="clear" w:color="auto" w:fill="auto"/>
            <w:noWrap/>
            <w:vAlign w:val="center"/>
          </w:tcPr>
          <w:p w14:paraId="28927EC4" w14:textId="700380CD"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13.974</w:t>
            </w:r>
          </w:p>
        </w:tc>
        <w:tc>
          <w:tcPr>
            <w:tcW w:w="441" w:type="pct"/>
            <w:shd w:val="clear" w:color="auto" w:fill="auto"/>
            <w:noWrap/>
            <w:vAlign w:val="center"/>
          </w:tcPr>
          <w:p w14:paraId="1715F4C8" w14:textId="7CA9D86C"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1.507</w:t>
            </w:r>
          </w:p>
        </w:tc>
      </w:tr>
      <w:tr w:rsidR="00014D58" w:rsidRPr="00014D58" w14:paraId="2362BAED" w14:textId="77777777" w:rsidTr="00014D58">
        <w:trPr>
          <w:trHeight w:val="315"/>
        </w:trPr>
        <w:tc>
          <w:tcPr>
            <w:tcW w:w="769" w:type="pct"/>
            <w:shd w:val="clear" w:color="auto" w:fill="auto"/>
            <w:noWrap/>
            <w:vAlign w:val="center"/>
          </w:tcPr>
          <w:p w14:paraId="56B0C2AE" w14:textId="34008DFD"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96666.450</w:t>
            </w:r>
          </w:p>
        </w:tc>
        <w:tc>
          <w:tcPr>
            <w:tcW w:w="489" w:type="pct"/>
            <w:shd w:val="clear" w:color="auto" w:fill="auto"/>
            <w:noWrap/>
            <w:vAlign w:val="center"/>
          </w:tcPr>
          <w:p w14:paraId="5629750F" w14:textId="74EEC51A"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w:t>
            </w:r>
          </w:p>
        </w:tc>
        <w:tc>
          <w:tcPr>
            <w:tcW w:w="407" w:type="pct"/>
            <w:shd w:val="clear" w:color="auto" w:fill="auto"/>
            <w:noWrap/>
            <w:vAlign w:val="center"/>
          </w:tcPr>
          <w:p w14:paraId="0F7CB737" w14:textId="00A718B8"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w:t>
            </w:r>
          </w:p>
        </w:tc>
        <w:tc>
          <w:tcPr>
            <w:tcW w:w="461" w:type="pct"/>
            <w:shd w:val="clear" w:color="auto" w:fill="auto"/>
            <w:noWrap/>
            <w:vAlign w:val="center"/>
          </w:tcPr>
          <w:p w14:paraId="3E8D68A3" w14:textId="3A088CF9"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w:t>
            </w:r>
          </w:p>
        </w:tc>
        <w:tc>
          <w:tcPr>
            <w:tcW w:w="561" w:type="pct"/>
            <w:shd w:val="clear" w:color="auto" w:fill="auto"/>
            <w:noWrap/>
            <w:vAlign w:val="center"/>
          </w:tcPr>
          <w:p w14:paraId="51F3FCC5" w14:textId="41C09D44"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w:t>
            </w:r>
          </w:p>
        </w:tc>
        <w:tc>
          <w:tcPr>
            <w:tcW w:w="502" w:type="pct"/>
            <w:shd w:val="clear" w:color="auto" w:fill="auto"/>
            <w:noWrap/>
            <w:vAlign w:val="center"/>
          </w:tcPr>
          <w:p w14:paraId="1834FD51" w14:textId="566DFE2A"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w:t>
            </w:r>
          </w:p>
        </w:tc>
        <w:tc>
          <w:tcPr>
            <w:tcW w:w="471" w:type="pct"/>
            <w:shd w:val="clear" w:color="auto" w:fill="auto"/>
            <w:noWrap/>
            <w:vAlign w:val="center"/>
          </w:tcPr>
          <w:p w14:paraId="43E6C78B" w14:textId="5E6D8CD6"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-0.192</w:t>
            </w:r>
          </w:p>
        </w:tc>
        <w:tc>
          <w:tcPr>
            <w:tcW w:w="399" w:type="pct"/>
            <w:shd w:val="clear" w:color="auto" w:fill="auto"/>
            <w:noWrap/>
            <w:vAlign w:val="center"/>
          </w:tcPr>
          <w:p w14:paraId="07820567" w14:textId="1D9E71D6"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1.41</w:t>
            </w:r>
          </w:p>
        </w:tc>
        <w:tc>
          <w:tcPr>
            <w:tcW w:w="500" w:type="pct"/>
            <w:shd w:val="clear" w:color="auto" w:fill="auto"/>
            <w:noWrap/>
            <w:vAlign w:val="center"/>
          </w:tcPr>
          <w:p w14:paraId="2215F518" w14:textId="2E4A07E4"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13.463</w:t>
            </w:r>
          </w:p>
        </w:tc>
        <w:tc>
          <w:tcPr>
            <w:tcW w:w="441" w:type="pct"/>
            <w:shd w:val="clear" w:color="auto" w:fill="auto"/>
            <w:noWrap/>
            <w:vAlign w:val="center"/>
          </w:tcPr>
          <w:p w14:paraId="3F6867CB" w14:textId="2A7A0EB2"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9.825</w:t>
            </w:r>
          </w:p>
        </w:tc>
      </w:tr>
      <w:tr w:rsidR="00014D58" w:rsidRPr="00014D58" w14:paraId="6E918142" w14:textId="77777777" w:rsidTr="00014D58">
        <w:trPr>
          <w:trHeight w:val="315"/>
        </w:trPr>
        <w:tc>
          <w:tcPr>
            <w:tcW w:w="769" w:type="pct"/>
            <w:shd w:val="clear" w:color="auto" w:fill="auto"/>
            <w:noWrap/>
            <w:vAlign w:val="center"/>
          </w:tcPr>
          <w:p w14:paraId="4D33EB10" w14:textId="3D5A203F"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0.000</w:t>
            </w:r>
          </w:p>
        </w:tc>
        <w:tc>
          <w:tcPr>
            <w:tcW w:w="489" w:type="pct"/>
            <w:shd w:val="clear" w:color="auto" w:fill="auto"/>
            <w:noWrap/>
            <w:vAlign w:val="center"/>
          </w:tcPr>
          <w:p w14:paraId="5BCD92D0" w14:textId="5308DCA0"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07" w:type="pct"/>
            <w:shd w:val="clear" w:color="auto" w:fill="auto"/>
            <w:noWrap/>
            <w:vAlign w:val="center"/>
          </w:tcPr>
          <w:p w14:paraId="788612C5" w14:textId="515BE059"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61" w:type="pct"/>
            <w:shd w:val="clear" w:color="auto" w:fill="auto"/>
            <w:noWrap/>
            <w:vAlign w:val="center"/>
          </w:tcPr>
          <w:p w14:paraId="4A8B0E45" w14:textId="2C453924"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61" w:type="pct"/>
            <w:shd w:val="clear" w:color="auto" w:fill="auto"/>
            <w:noWrap/>
            <w:vAlign w:val="center"/>
          </w:tcPr>
          <w:p w14:paraId="53AF4CE6" w14:textId="07E9AD46"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w:t>
            </w:r>
          </w:p>
        </w:tc>
        <w:tc>
          <w:tcPr>
            <w:tcW w:w="502" w:type="pct"/>
            <w:shd w:val="clear" w:color="auto" w:fill="auto"/>
            <w:noWrap/>
            <w:vAlign w:val="center"/>
          </w:tcPr>
          <w:p w14:paraId="0725F99C" w14:textId="3374C95E"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71" w:type="pct"/>
            <w:shd w:val="clear" w:color="auto" w:fill="auto"/>
            <w:noWrap/>
            <w:vAlign w:val="center"/>
          </w:tcPr>
          <w:p w14:paraId="56E59848" w14:textId="05FA48B6"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2.260</w:t>
            </w:r>
          </w:p>
        </w:tc>
        <w:tc>
          <w:tcPr>
            <w:tcW w:w="399" w:type="pct"/>
            <w:shd w:val="clear" w:color="auto" w:fill="auto"/>
            <w:noWrap/>
            <w:vAlign w:val="center"/>
          </w:tcPr>
          <w:p w14:paraId="410FEE5A" w14:textId="19240C11"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3.67</w:t>
            </w:r>
          </w:p>
        </w:tc>
        <w:tc>
          <w:tcPr>
            <w:tcW w:w="500" w:type="pct"/>
            <w:shd w:val="clear" w:color="auto" w:fill="auto"/>
            <w:noWrap/>
            <w:vAlign w:val="center"/>
          </w:tcPr>
          <w:p w14:paraId="1B37D7A0" w14:textId="003632BA"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12.887</w:t>
            </w:r>
          </w:p>
        </w:tc>
        <w:tc>
          <w:tcPr>
            <w:tcW w:w="441" w:type="pct"/>
            <w:shd w:val="clear" w:color="auto" w:fill="auto"/>
            <w:noWrap/>
            <w:vAlign w:val="center"/>
          </w:tcPr>
          <w:p w14:paraId="4857E24D" w14:textId="76DF2C04"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1.593</w:t>
            </w:r>
          </w:p>
        </w:tc>
      </w:tr>
      <w:tr w:rsidR="00014D58" w:rsidRPr="00014D58" w14:paraId="4BA58E69" w14:textId="77777777" w:rsidTr="00014D58">
        <w:trPr>
          <w:trHeight w:val="315"/>
        </w:trPr>
        <w:tc>
          <w:tcPr>
            <w:tcW w:w="769" w:type="pct"/>
            <w:shd w:val="clear" w:color="auto" w:fill="auto"/>
            <w:noWrap/>
            <w:vAlign w:val="center"/>
          </w:tcPr>
          <w:p w14:paraId="396B8F02" w14:textId="61009A16"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0.000</w:t>
            </w:r>
          </w:p>
        </w:tc>
        <w:tc>
          <w:tcPr>
            <w:tcW w:w="489" w:type="pct"/>
            <w:shd w:val="clear" w:color="auto" w:fill="auto"/>
            <w:noWrap/>
            <w:vAlign w:val="center"/>
          </w:tcPr>
          <w:p w14:paraId="6E5A16B7" w14:textId="593F9AB1"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07" w:type="pct"/>
            <w:shd w:val="clear" w:color="auto" w:fill="auto"/>
            <w:noWrap/>
            <w:vAlign w:val="center"/>
          </w:tcPr>
          <w:p w14:paraId="11266644" w14:textId="41BD18A9"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61" w:type="pct"/>
            <w:shd w:val="clear" w:color="auto" w:fill="auto"/>
            <w:noWrap/>
            <w:vAlign w:val="center"/>
          </w:tcPr>
          <w:p w14:paraId="092DF4E1" w14:textId="41061529"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61" w:type="pct"/>
            <w:shd w:val="clear" w:color="auto" w:fill="auto"/>
            <w:noWrap/>
            <w:vAlign w:val="center"/>
          </w:tcPr>
          <w:p w14:paraId="43181BBA" w14:textId="7A0D7553"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w:t>
            </w:r>
          </w:p>
        </w:tc>
        <w:tc>
          <w:tcPr>
            <w:tcW w:w="502" w:type="pct"/>
            <w:shd w:val="clear" w:color="auto" w:fill="auto"/>
            <w:noWrap/>
            <w:vAlign w:val="center"/>
          </w:tcPr>
          <w:p w14:paraId="0EEC8D0F" w14:textId="4AC16C98"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71" w:type="pct"/>
            <w:shd w:val="clear" w:color="auto" w:fill="auto"/>
            <w:noWrap/>
            <w:vAlign w:val="center"/>
          </w:tcPr>
          <w:p w14:paraId="23EC2DCD" w14:textId="56B0B564"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2.584</w:t>
            </w:r>
          </w:p>
        </w:tc>
        <w:tc>
          <w:tcPr>
            <w:tcW w:w="399" w:type="pct"/>
            <w:shd w:val="clear" w:color="auto" w:fill="auto"/>
            <w:noWrap/>
            <w:vAlign w:val="center"/>
          </w:tcPr>
          <w:p w14:paraId="36A5D18A" w14:textId="2A1BFE39"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3.531</w:t>
            </w:r>
          </w:p>
        </w:tc>
        <w:tc>
          <w:tcPr>
            <w:tcW w:w="500" w:type="pct"/>
            <w:shd w:val="clear" w:color="auto" w:fill="auto"/>
            <w:noWrap/>
            <w:vAlign w:val="center"/>
          </w:tcPr>
          <w:p w14:paraId="12645A3A" w14:textId="577F79BA"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12.458</w:t>
            </w:r>
          </w:p>
        </w:tc>
        <w:tc>
          <w:tcPr>
            <w:tcW w:w="441" w:type="pct"/>
            <w:shd w:val="clear" w:color="auto" w:fill="auto"/>
            <w:noWrap/>
            <w:vAlign w:val="center"/>
          </w:tcPr>
          <w:p w14:paraId="2EE6144D" w14:textId="1A054C9D"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1.291</w:t>
            </w:r>
          </w:p>
        </w:tc>
      </w:tr>
      <w:tr w:rsidR="00014D58" w:rsidRPr="00014D58" w14:paraId="6C4509EF" w14:textId="77777777" w:rsidTr="00014D58">
        <w:trPr>
          <w:trHeight w:val="315"/>
        </w:trPr>
        <w:tc>
          <w:tcPr>
            <w:tcW w:w="769" w:type="pct"/>
            <w:shd w:val="clear" w:color="auto" w:fill="auto"/>
            <w:noWrap/>
            <w:vAlign w:val="center"/>
          </w:tcPr>
          <w:p w14:paraId="749C15DB" w14:textId="64D95DDC"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96696.183</w:t>
            </w:r>
          </w:p>
        </w:tc>
        <w:tc>
          <w:tcPr>
            <w:tcW w:w="489" w:type="pct"/>
            <w:shd w:val="clear" w:color="auto" w:fill="auto"/>
            <w:noWrap/>
            <w:vAlign w:val="center"/>
          </w:tcPr>
          <w:p w14:paraId="22FF710A" w14:textId="582FC293"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w:t>
            </w:r>
          </w:p>
        </w:tc>
        <w:tc>
          <w:tcPr>
            <w:tcW w:w="407" w:type="pct"/>
            <w:shd w:val="clear" w:color="auto" w:fill="auto"/>
            <w:noWrap/>
            <w:vAlign w:val="center"/>
          </w:tcPr>
          <w:p w14:paraId="3CA0577D" w14:textId="61180B40"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w:t>
            </w:r>
          </w:p>
        </w:tc>
        <w:tc>
          <w:tcPr>
            <w:tcW w:w="461" w:type="pct"/>
            <w:shd w:val="clear" w:color="auto" w:fill="auto"/>
            <w:noWrap/>
            <w:vAlign w:val="center"/>
          </w:tcPr>
          <w:p w14:paraId="6E491B7E" w14:textId="798C820C"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w:t>
            </w:r>
          </w:p>
        </w:tc>
        <w:tc>
          <w:tcPr>
            <w:tcW w:w="561" w:type="pct"/>
            <w:shd w:val="clear" w:color="auto" w:fill="auto"/>
            <w:noWrap/>
            <w:vAlign w:val="center"/>
          </w:tcPr>
          <w:p w14:paraId="05B09CC0" w14:textId="4B6CD02E"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02" w:type="pct"/>
            <w:shd w:val="clear" w:color="auto" w:fill="auto"/>
            <w:noWrap/>
            <w:vAlign w:val="center"/>
          </w:tcPr>
          <w:p w14:paraId="637A1B7C" w14:textId="1D33AC64"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w:t>
            </w:r>
          </w:p>
        </w:tc>
        <w:tc>
          <w:tcPr>
            <w:tcW w:w="471" w:type="pct"/>
            <w:shd w:val="clear" w:color="auto" w:fill="auto"/>
            <w:noWrap/>
            <w:vAlign w:val="center"/>
          </w:tcPr>
          <w:p w14:paraId="5E7D448E" w14:textId="771E76E0"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-0.399</w:t>
            </w:r>
          </w:p>
        </w:tc>
        <w:tc>
          <w:tcPr>
            <w:tcW w:w="399" w:type="pct"/>
            <w:shd w:val="clear" w:color="auto" w:fill="auto"/>
            <w:noWrap/>
            <w:vAlign w:val="center"/>
          </w:tcPr>
          <w:p w14:paraId="06BBD3A1" w14:textId="73402B10"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1.361</w:t>
            </w:r>
          </w:p>
        </w:tc>
        <w:tc>
          <w:tcPr>
            <w:tcW w:w="500" w:type="pct"/>
            <w:shd w:val="clear" w:color="auto" w:fill="auto"/>
            <w:noWrap/>
            <w:vAlign w:val="center"/>
          </w:tcPr>
          <w:p w14:paraId="6EB28B5F" w14:textId="2A23E533"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14.063</w:t>
            </w:r>
          </w:p>
        </w:tc>
        <w:tc>
          <w:tcPr>
            <w:tcW w:w="441" w:type="pct"/>
            <w:shd w:val="clear" w:color="auto" w:fill="auto"/>
            <w:noWrap/>
            <w:vAlign w:val="center"/>
          </w:tcPr>
          <w:p w14:paraId="5299AB14" w14:textId="6C278A56"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10.421</w:t>
            </w:r>
          </w:p>
        </w:tc>
      </w:tr>
      <w:tr w:rsidR="00014D58" w:rsidRPr="00014D58" w14:paraId="5211178A" w14:textId="77777777" w:rsidTr="00014D58">
        <w:trPr>
          <w:trHeight w:val="315"/>
        </w:trPr>
        <w:tc>
          <w:tcPr>
            <w:tcW w:w="769" w:type="pct"/>
            <w:shd w:val="clear" w:color="auto" w:fill="auto"/>
            <w:noWrap/>
            <w:vAlign w:val="center"/>
          </w:tcPr>
          <w:p w14:paraId="2543335A" w14:textId="5C72802D"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0.000</w:t>
            </w:r>
          </w:p>
        </w:tc>
        <w:tc>
          <w:tcPr>
            <w:tcW w:w="489" w:type="pct"/>
            <w:shd w:val="clear" w:color="auto" w:fill="auto"/>
            <w:noWrap/>
            <w:vAlign w:val="center"/>
          </w:tcPr>
          <w:p w14:paraId="1E15D299" w14:textId="7CEE6424"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07" w:type="pct"/>
            <w:shd w:val="clear" w:color="auto" w:fill="auto"/>
            <w:noWrap/>
            <w:vAlign w:val="center"/>
          </w:tcPr>
          <w:p w14:paraId="463CF553" w14:textId="60B05ADD"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61" w:type="pct"/>
            <w:shd w:val="clear" w:color="auto" w:fill="auto"/>
            <w:noWrap/>
            <w:vAlign w:val="center"/>
          </w:tcPr>
          <w:p w14:paraId="2B9C3E68" w14:textId="10638077"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61" w:type="pct"/>
            <w:shd w:val="clear" w:color="auto" w:fill="auto"/>
            <w:noWrap/>
            <w:vAlign w:val="center"/>
          </w:tcPr>
          <w:p w14:paraId="2412D9AD" w14:textId="50CCBC66"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02" w:type="pct"/>
            <w:shd w:val="clear" w:color="auto" w:fill="auto"/>
            <w:noWrap/>
            <w:vAlign w:val="center"/>
          </w:tcPr>
          <w:p w14:paraId="023576AD" w14:textId="7FA29A78"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71" w:type="pct"/>
            <w:shd w:val="clear" w:color="auto" w:fill="auto"/>
            <w:noWrap/>
            <w:vAlign w:val="center"/>
          </w:tcPr>
          <w:p w14:paraId="5816807F" w14:textId="3592EDB9"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2.249</w:t>
            </w:r>
          </w:p>
        </w:tc>
        <w:tc>
          <w:tcPr>
            <w:tcW w:w="399" w:type="pct"/>
            <w:shd w:val="clear" w:color="auto" w:fill="auto"/>
            <w:noWrap/>
            <w:vAlign w:val="center"/>
          </w:tcPr>
          <w:p w14:paraId="724C6413" w14:textId="5B4C3605"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3.782</w:t>
            </w:r>
          </w:p>
        </w:tc>
        <w:tc>
          <w:tcPr>
            <w:tcW w:w="500" w:type="pct"/>
            <w:shd w:val="clear" w:color="auto" w:fill="auto"/>
            <w:noWrap/>
            <w:vAlign w:val="center"/>
          </w:tcPr>
          <w:p w14:paraId="77A818DF" w14:textId="3449AE1F"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13.025</w:t>
            </w:r>
          </w:p>
        </w:tc>
        <w:tc>
          <w:tcPr>
            <w:tcW w:w="441" w:type="pct"/>
            <w:shd w:val="clear" w:color="auto" w:fill="auto"/>
            <w:noWrap/>
            <w:vAlign w:val="center"/>
          </w:tcPr>
          <w:p w14:paraId="06CF197A" w14:textId="4D5C2637"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1.313</w:t>
            </w:r>
          </w:p>
        </w:tc>
      </w:tr>
      <w:tr w:rsidR="00014D58" w:rsidRPr="00014D58" w14:paraId="2067CB9D" w14:textId="77777777" w:rsidTr="00014D58">
        <w:trPr>
          <w:trHeight w:val="315"/>
        </w:trPr>
        <w:tc>
          <w:tcPr>
            <w:tcW w:w="769" w:type="pct"/>
            <w:shd w:val="clear" w:color="auto" w:fill="auto"/>
            <w:noWrap/>
            <w:vAlign w:val="center"/>
          </w:tcPr>
          <w:p w14:paraId="1245BB77" w14:textId="30E9EF02"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0.000</w:t>
            </w:r>
          </w:p>
        </w:tc>
        <w:tc>
          <w:tcPr>
            <w:tcW w:w="489" w:type="pct"/>
            <w:shd w:val="clear" w:color="auto" w:fill="auto"/>
            <w:noWrap/>
            <w:vAlign w:val="center"/>
          </w:tcPr>
          <w:p w14:paraId="183586C5" w14:textId="4E993946"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07" w:type="pct"/>
            <w:shd w:val="clear" w:color="auto" w:fill="auto"/>
            <w:noWrap/>
            <w:vAlign w:val="center"/>
          </w:tcPr>
          <w:p w14:paraId="587FF26E" w14:textId="45126DEC"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61" w:type="pct"/>
            <w:shd w:val="clear" w:color="auto" w:fill="auto"/>
            <w:noWrap/>
            <w:vAlign w:val="center"/>
          </w:tcPr>
          <w:p w14:paraId="3F844F03" w14:textId="4A8B228D"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61" w:type="pct"/>
            <w:shd w:val="clear" w:color="auto" w:fill="auto"/>
            <w:noWrap/>
            <w:vAlign w:val="center"/>
          </w:tcPr>
          <w:p w14:paraId="51D7F2E4" w14:textId="1FE14E66"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w:t>
            </w:r>
          </w:p>
        </w:tc>
        <w:tc>
          <w:tcPr>
            <w:tcW w:w="502" w:type="pct"/>
            <w:shd w:val="clear" w:color="auto" w:fill="auto"/>
            <w:noWrap/>
            <w:vAlign w:val="center"/>
          </w:tcPr>
          <w:p w14:paraId="648DF5A2" w14:textId="2FB0D4BB"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71" w:type="pct"/>
            <w:shd w:val="clear" w:color="auto" w:fill="auto"/>
            <w:noWrap/>
            <w:vAlign w:val="center"/>
          </w:tcPr>
          <w:p w14:paraId="35153BC4" w14:textId="316FD785"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1.959</w:t>
            </w:r>
          </w:p>
        </w:tc>
        <w:tc>
          <w:tcPr>
            <w:tcW w:w="399" w:type="pct"/>
            <w:shd w:val="clear" w:color="auto" w:fill="auto"/>
            <w:noWrap/>
            <w:vAlign w:val="center"/>
          </w:tcPr>
          <w:p w14:paraId="0AA2A7F9" w14:textId="1F2AC7B9"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3.632</w:t>
            </w:r>
          </w:p>
        </w:tc>
        <w:tc>
          <w:tcPr>
            <w:tcW w:w="500" w:type="pct"/>
            <w:shd w:val="clear" w:color="auto" w:fill="auto"/>
            <w:noWrap/>
            <w:vAlign w:val="center"/>
          </w:tcPr>
          <w:p w14:paraId="1D129FCD" w14:textId="01C6AA93"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12.797</w:t>
            </w:r>
          </w:p>
        </w:tc>
        <w:tc>
          <w:tcPr>
            <w:tcW w:w="441" w:type="pct"/>
            <w:shd w:val="clear" w:color="auto" w:fill="auto"/>
            <w:noWrap/>
            <w:vAlign w:val="center"/>
          </w:tcPr>
          <w:p w14:paraId="6E89329E" w14:textId="04E5956B"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1.357</w:t>
            </w:r>
          </w:p>
        </w:tc>
      </w:tr>
      <w:tr w:rsidR="00014D58" w:rsidRPr="00014D58" w14:paraId="28D44025" w14:textId="77777777" w:rsidTr="00014D58">
        <w:trPr>
          <w:trHeight w:val="315"/>
        </w:trPr>
        <w:tc>
          <w:tcPr>
            <w:tcW w:w="769" w:type="pct"/>
            <w:tcBorders>
              <w:bottom w:val="single" w:sz="4" w:space="0" w:color="auto"/>
            </w:tcBorders>
            <w:shd w:val="clear" w:color="auto" w:fill="auto"/>
            <w:noWrap/>
            <w:vAlign w:val="center"/>
          </w:tcPr>
          <w:p w14:paraId="103693C3" w14:textId="3856EC4B"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0.000</w:t>
            </w:r>
          </w:p>
        </w:tc>
        <w:tc>
          <w:tcPr>
            <w:tcW w:w="489" w:type="pct"/>
            <w:tcBorders>
              <w:bottom w:val="single" w:sz="4" w:space="0" w:color="auto"/>
            </w:tcBorders>
            <w:shd w:val="clear" w:color="auto" w:fill="auto"/>
            <w:noWrap/>
            <w:vAlign w:val="center"/>
          </w:tcPr>
          <w:p w14:paraId="18CF569D" w14:textId="00BBDB6E"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07" w:type="pct"/>
            <w:tcBorders>
              <w:bottom w:val="single" w:sz="4" w:space="0" w:color="auto"/>
            </w:tcBorders>
            <w:shd w:val="clear" w:color="auto" w:fill="auto"/>
            <w:noWrap/>
            <w:vAlign w:val="center"/>
          </w:tcPr>
          <w:p w14:paraId="653A9668" w14:textId="724A2715"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61" w:type="pct"/>
            <w:tcBorders>
              <w:bottom w:val="single" w:sz="4" w:space="0" w:color="auto"/>
            </w:tcBorders>
            <w:shd w:val="clear" w:color="auto" w:fill="auto"/>
            <w:noWrap/>
            <w:vAlign w:val="center"/>
          </w:tcPr>
          <w:p w14:paraId="13A8F7AA" w14:textId="68D0F59B"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61" w:type="pct"/>
            <w:tcBorders>
              <w:bottom w:val="single" w:sz="4" w:space="0" w:color="auto"/>
            </w:tcBorders>
            <w:shd w:val="clear" w:color="auto" w:fill="auto"/>
            <w:noWrap/>
            <w:vAlign w:val="center"/>
          </w:tcPr>
          <w:p w14:paraId="5431ED1A" w14:textId="3002AE5D"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502" w:type="pct"/>
            <w:tcBorders>
              <w:bottom w:val="single" w:sz="4" w:space="0" w:color="auto"/>
            </w:tcBorders>
            <w:shd w:val="clear" w:color="auto" w:fill="auto"/>
            <w:noWrap/>
            <w:vAlign w:val="center"/>
          </w:tcPr>
          <w:p w14:paraId="1A61EF11" w14:textId="6A15E803"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0</w:t>
            </w:r>
          </w:p>
        </w:tc>
        <w:tc>
          <w:tcPr>
            <w:tcW w:w="471" w:type="pct"/>
            <w:tcBorders>
              <w:bottom w:val="single" w:sz="4" w:space="0" w:color="auto"/>
            </w:tcBorders>
            <w:shd w:val="clear" w:color="auto" w:fill="auto"/>
            <w:noWrap/>
            <w:vAlign w:val="center"/>
          </w:tcPr>
          <w:p w14:paraId="3A1D12E1" w14:textId="7D2C020E"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2.102</w:t>
            </w:r>
          </w:p>
        </w:tc>
        <w:tc>
          <w:tcPr>
            <w:tcW w:w="399" w:type="pct"/>
            <w:tcBorders>
              <w:bottom w:val="single" w:sz="4" w:space="0" w:color="auto"/>
            </w:tcBorders>
            <w:shd w:val="clear" w:color="auto" w:fill="auto"/>
            <w:noWrap/>
            <w:vAlign w:val="center"/>
          </w:tcPr>
          <w:p w14:paraId="086A01F5" w14:textId="6D0475A6"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3.666</w:t>
            </w:r>
          </w:p>
        </w:tc>
        <w:tc>
          <w:tcPr>
            <w:tcW w:w="500" w:type="pct"/>
            <w:tcBorders>
              <w:bottom w:val="single" w:sz="4" w:space="0" w:color="auto"/>
            </w:tcBorders>
            <w:shd w:val="clear" w:color="auto" w:fill="auto"/>
            <w:noWrap/>
            <w:vAlign w:val="center"/>
          </w:tcPr>
          <w:p w14:paraId="65D9BAAA" w14:textId="43967A53"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13.09</w:t>
            </w:r>
          </w:p>
        </w:tc>
        <w:tc>
          <w:tcPr>
            <w:tcW w:w="441" w:type="pct"/>
            <w:tcBorders>
              <w:bottom w:val="single" w:sz="4" w:space="0" w:color="auto"/>
            </w:tcBorders>
            <w:shd w:val="clear" w:color="auto" w:fill="auto"/>
            <w:noWrap/>
            <w:vAlign w:val="center"/>
          </w:tcPr>
          <w:p w14:paraId="6CDB0178" w14:textId="6150E963" w:rsidR="00014D58" w:rsidRPr="00014D58" w:rsidRDefault="00014D58" w:rsidP="00014D58">
            <w:pPr>
              <w:spacing w:before="0" w:after="0"/>
              <w:jc w:val="center"/>
              <w:rPr>
                <w:rFonts w:eastAsia="Times New Roman" w:cs="Calibri"/>
                <w:color w:val="000000"/>
                <w:sz w:val="16"/>
                <w:szCs w:val="16"/>
                <w:lang w:val="sr-Latn-RS" w:eastAsia="sr-Latn-RS"/>
              </w:rPr>
            </w:pPr>
            <w:r w:rsidRPr="00014D58">
              <w:rPr>
                <w:sz w:val="16"/>
                <w:szCs w:val="16"/>
              </w:rPr>
              <w:t>1.489</w:t>
            </w:r>
          </w:p>
        </w:tc>
      </w:tr>
    </w:tbl>
    <w:p w14:paraId="4CB59306" w14:textId="77777777" w:rsidR="00746BDE" w:rsidRDefault="00746BDE" w:rsidP="00746BDE"/>
    <w:p w14:paraId="71417E5A" w14:textId="77777777" w:rsidR="00746BDE" w:rsidRDefault="00746BDE">
      <w:pPr>
        <w:spacing w:before="0" w:after="160" w:line="259" w:lineRule="auto"/>
        <w:jc w:val="left"/>
      </w:pPr>
      <w:r>
        <w:br w:type="page"/>
      </w:r>
    </w:p>
    <w:p w14:paraId="1025DB63" w14:textId="3816DA4F" w:rsidR="00746BDE" w:rsidRDefault="00746BDE" w:rsidP="00746BDE">
      <w:pPr>
        <w:pStyle w:val="Caption"/>
        <w:jc w:val="left"/>
      </w:pPr>
      <w:bookmarkStart w:id="831" w:name="_Toc101274680"/>
      <w:r>
        <w:lastRenderedPageBreak/>
        <w:t xml:space="preserve">Appendix </w:t>
      </w:r>
      <w:fldSimple w:instr=" SEQ Appendix \* ARABIC ">
        <w:r w:rsidR="00587AF0">
          <w:rPr>
            <w:noProof/>
          </w:rPr>
          <w:t>10</w:t>
        </w:r>
      </w:fldSimple>
      <w:r>
        <w:t>. Determining quasi-</w:t>
      </w:r>
      <w:r w:rsidRPr="00746BDE">
        <w:t xml:space="preserve"> fault time-to-an-event (TBQF) at </w:t>
      </w:r>
      <w:r w:rsidR="005F74DB">
        <w:t>idle</w:t>
      </w:r>
      <w:r w:rsidRPr="00746BDE">
        <w:t xml:space="preserve"> saddle position</w:t>
      </w:r>
      <w:bookmarkEnd w:id="831"/>
    </w:p>
    <w:tbl>
      <w:tblPr>
        <w:tblW w:w="5000" w:type="pct"/>
        <w:tblLayout w:type="fixed"/>
        <w:tblLook w:val="04A0" w:firstRow="1" w:lastRow="0" w:firstColumn="1" w:lastColumn="0" w:noHBand="0" w:noVBand="1"/>
      </w:tblPr>
      <w:tblGrid>
        <w:gridCol w:w="1091"/>
        <w:gridCol w:w="892"/>
        <w:gridCol w:w="722"/>
        <w:gridCol w:w="926"/>
        <w:gridCol w:w="1101"/>
        <w:gridCol w:w="989"/>
        <w:gridCol w:w="879"/>
        <w:gridCol w:w="661"/>
        <w:gridCol w:w="852"/>
        <w:gridCol w:w="914"/>
      </w:tblGrid>
      <w:tr w:rsidR="005F74DB" w:rsidRPr="0039599D" w14:paraId="7A932C60" w14:textId="77777777" w:rsidTr="0039599D">
        <w:trPr>
          <w:trHeight w:val="315"/>
        </w:trPr>
        <w:tc>
          <w:tcPr>
            <w:tcW w:w="604" w:type="pct"/>
            <w:tcBorders>
              <w:top w:val="single" w:sz="4" w:space="0" w:color="auto"/>
              <w:bottom w:val="single" w:sz="4" w:space="0" w:color="auto"/>
            </w:tcBorders>
            <w:shd w:val="clear" w:color="auto" w:fill="auto"/>
            <w:noWrap/>
            <w:vAlign w:val="center"/>
            <w:hideMark/>
          </w:tcPr>
          <w:p w14:paraId="62E14680" w14:textId="2C5BA76B" w:rsidR="005F74DB" w:rsidRPr="00913830" w:rsidRDefault="005F74DB" w:rsidP="0039599D">
            <w:pPr>
              <w:spacing w:before="0" w:after="0"/>
              <w:jc w:val="center"/>
              <w:rPr>
                <w:rFonts w:eastAsia="Times New Roman" w:cs="Calibri"/>
                <w:b/>
                <w:bCs/>
                <w:color w:val="000000"/>
                <w:sz w:val="16"/>
                <w:szCs w:val="16"/>
                <w:lang w:val="sr-Latn-RS" w:eastAsia="sr-Latn-RS"/>
              </w:rPr>
            </w:pPr>
            <w:r w:rsidRPr="0039599D">
              <w:rPr>
                <w:sz w:val="16"/>
                <w:szCs w:val="16"/>
              </w:rPr>
              <w:t>TBQF [min]</w:t>
            </w:r>
          </w:p>
        </w:tc>
        <w:tc>
          <w:tcPr>
            <w:tcW w:w="494" w:type="pct"/>
            <w:tcBorders>
              <w:top w:val="single" w:sz="4" w:space="0" w:color="auto"/>
              <w:bottom w:val="single" w:sz="4" w:space="0" w:color="auto"/>
            </w:tcBorders>
            <w:shd w:val="clear" w:color="auto" w:fill="auto"/>
            <w:noWrap/>
            <w:vAlign w:val="center"/>
            <w:hideMark/>
          </w:tcPr>
          <w:p w14:paraId="775A96B4" w14:textId="62197146" w:rsidR="005F74DB" w:rsidRPr="00913830" w:rsidRDefault="005F74DB" w:rsidP="0039599D">
            <w:pPr>
              <w:spacing w:before="0" w:after="0"/>
              <w:jc w:val="center"/>
              <w:rPr>
                <w:rFonts w:eastAsia="Times New Roman" w:cs="Calibri"/>
                <w:b/>
                <w:bCs/>
                <w:color w:val="000000"/>
                <w:sz w:val="16"/>
                <w:szCs w:val="16"/>
                <w:lang w:val="sr-Latn-RS" w:eastAsia="sr-Latn-RS"/>
              </w:rPr>
            </w:pPr>
            <w:r w:rsidRPr="00913830">
              <w:rPr>
                <w:rFonts w:eastAsia="Times New Roman" w:cs="Calibri"/>
                <w:b/>
                <w:bCs/>
                <w:color w:val="000000"/>
                <w:sz w:val="16"/>
                <w:szCs w:val="16"/>
                <w:lang w:val="sr-Latn-RS" w:eastAsia="sr-Latn-RS"/>
              </w:rPr>
              <w:t>Gate [1,0]</w:t>
            </w:r>
          </w:p>
        </w:tc>
        <w:tc>
          <w:tcPr>
            <w:tcW w:w="400" w:type="pct"/>
            <w:tcBorders>
              <w:top w:val="single" w:sz="4" w:space="0" w:color="auto"/>
              <w:bottom w:val="single" w:sz="4" w:space="0" w:color="auto"/>
            </w:tcBorders>
            <w:shd w:val="clear" w:color="auto" w:fill="auto"/>
            <w:noWrap/>
            <w:vAlign w:val="center"/>
            <w:hideMark/>
          </w:tcPr>
          <w:p w14:paraId="69548168" w14:textId="0A075888" w:rsidR="005F74DB" w:rsidRPr="00913830" w:rsidRDefault="005F74DB" w:rsidP="0039599D">
            <w:pPr>
              <w:spacing w:before="0" w:after="0"/>
              <w:jc w:val="center"/>
              <w:rPr>
                <w:rFonts w:eastAsia="Times New Roman" w:cs="Calibri"/>
                <w:b/>
                <w:bCs/>
                <w:color w:val="000000"/>
                <w:sz w:val="16"/>
                <w:szCs w:val="16"/>
                <w:lang w:val="sr-Latn-RS" w:eastAsia="sr-Latn-RS"/>
              </w:rPr>
            </w:pPr>
            <w:r w:rsidRPr="00913830">
              <w:rPr>
                <w:rFonts w:eastAsia="Times New Roman" w:cs="Calibri"/>
                <w:b/>
                <w:bCs/>
                <w:color w:val="000000"/>
                <w:sz w:val="16"/>
                <w:szCs w:val="16"/>
                <w:lang w:val="sr-Latn-RS" w:eastAsia="sr-Latn-RS"/>
              </w:rPr>
              <w:t>K</w:t>
            </w:r>
            <w:r w:rsidRPr="0039599D">
              <w:rPr>
                <w:rFonts w:eastAsia="Times New Roman" w:cs="Calibri"/>
                <w:b/>
                <w:bCs/>
                <w:color w:val="000000"/>
                <w:sz w:val="16"/>
                <w:szCs w:val="16"/>
                <w:lang w:val="sr-Latn-RS" w:eastAsia="sr-Latn-RS"/>
              </w:rPr>
              <w:t>_Bool</w:t>
            </w:r>
          </w:p>
        </w:tc>
        <w:tc>
          <w:tcPr>
            <w:tcW w:w="513" w:type="pct"/>
            <w:tcBorders>
              <w:top w:val="single" w:sz="4" w:space="0" w:color="auto"/>
              <w:bottom w:val="single" w:sz="4" w:space="0" w:color="auto"/>
            </w:tcBorders>
            <w:shd w:val="clear" w:color="auto" w:fill="auto"/>
            <w:noWrap/>
            <w:vAlign w:val="center"/>
            <w:hideMark/>
          </w:tcPr>
          <w:p w14:paraId="69F56319" w14:textId="5262D1B9" w:rsidR="005F74DB" w:rsidRPr="00913830" w:rsidRDefault="005F74DB" w:rsidP="0039599D">
            <w:pPr>
              <w:spacing w:before="0" w:after="0"/>
              <w:jc w:val="center"/>
              <w:rPr>
                <w:rFonts w:eastAsia="Times New Roman" w:cs="Calibri"/>
                <w:b/>
                <w:bCs/>
                <w:color w:val="000000"/>
                <w:sz w:val="16"/>
                <w:szCs w:val="16"/>
                <w:lang w:val="sr-Latn-RS" w:eastAsia="sr-Latn-RS"/>
              </w:rPr>
            </w:pPr>
            <w:r w:rsidRPr="00913830">
              <w:rPr>
                <w:rFonts w:eastAsia="Times New Roman" w:cs="Calibri"/>
                <w:b/>
                <w:bCs/>
                <w:color w:val="000000"/>
                <w:sz w:val="16"/>
                <w:szCs w:val="16"/>
                <w:lang w:val="sr-Latn-RS" w:eastAsia="sr-Latn-RS"/>
              </w:rPr>
              <w:t>S</w:t>
            </w:r>
            <w:r w:rsidRPr="0039599D">
              <w:rPr>
                <w:rFonts w:eastAsia="Times New Roman" w:cs="Calibri"/>
                <w:b/>
                <w:bCs/>
                <w:color w:val="000000"/>
                <w:sz w:val="16"/>
                <w:szCs w:val="16"/>
                <w:lang w:val="sr-Latn-RS" w:eastAsia="sr-Latn-RS"/>
              </w:rPr>
              <w:t>D</w:t>
            </w:r>
            <w:r w:rsidRPr="00913830">
              <w:rPr>
                <w:rFonts w:eastAsia="Times New Roman" w:cs="Calibri"/>
                <w:b/>
                <w:bCs/>
                <w:color w:val="000000"/>
                <w:sz w:val="16"/>
                <w:szCs w:val="16"/>
                <w:lang w:val="sr-Latn-RS" w:eastAsia="sr-Latn-RS"/>
              </w:rPr>
              <w:t>_Bool</w:t>
            </w:r>
          </w:p>
        </w:tc>
        <w:tc>
          <w:tcPr>
            <w:tcW w:w="610" w:type="pct"/>
            <w:tcBorders>
              <w:top w:val="single" w:sz="4" w:space="0" w:color="auto"/>
              <w:bottom w:val="single" w:sz="4" w:space="0" w:color="auto"/>
            </w:tcBorders>
            <w:shd w:val="clear" w:color="auto" w:fill="auto"/>
            <w:noWrap/>
            <w:vAlign w:val="center"/>
            <w:hideMark/>
          </w:tcPr>
          <w:p w14:paraId="05E79AA4" w14:textId="1119A2B1" w:rsidR="005F74DB" w:rsidRPr="00913830" w:rsidRDefault="005F74DB" w:rsidP="0039599D">
            <w:pPr>
              <w:spacing w:before="0" w:after="0"/>
              <w:jc w:val="center"/>
              <w:rPr>
                <w:rFonts w:eastAsia="Times New Roman" w:cs="Calibri"/>
                <w:b/>
                <w:bCs/>
                <w:color w:val="000000"/>
                <w:sz w:val="16"/>
                <w:szCs w:val="16"/>
                <w:lang w:val="sr-Latn-RS" w:eastAsia="sr-Latn-RS"/>
              </w:rPr>
            </w:pPr>
            <w:r w:rsidRPr="00913830">
              <w:rPr>
                <w:rFonts w:eastAsia="Times New Roman" w:cs="Calibri"/>
                <w:b/>
                <w:bCs/>
                <w:color w:val="000000"/>
                <w:sz w:val="16"/>
                <w:szCs w:val="16"/>
                <w:lang w:val="sr-Latn-RS" w:eastAsia="sr-Latn-RS"/>
              </w:rPr>
              <w:t>M</w:t>
            </w:r>
            <w:r w:rsidRPr="0039599D">
              <w:rPr>
                <w:rFonts w:eastAsia="Times New Roman" w:cs="Calibri"/>
                <w:b/>
                <w:bCs/>
                <w:color w:val="000000"/>
                <w:sz w:val="16"/>
                <w:szCs w:val="16"/>
                <w:lang w:val="sr-Latn-RS" w:eastAsia="sr-Latn-RS"/>
              </w:rPr>
              <w:t>ED</w:t>
            </w:r>
            <w:r w:rsidRPr="00913830">
              <w:rPr>
                <w:rFonts w:eastAsia="Times New Roman" w:cs="Calibri"/>
                <w:b/>
                <w:bCs/>
                <w:color w:val="000000"/>
                <w:sz w:val="16"/>
                <w:szCs w:val="16"/>
                <w:lang w:val="sr-Latn-RS" w:eastAsia="sr-Latn-RS"/>
              </w:rPr>
              <w:t>_Bool</w:t>
            </w:r>
          </w:p>
        </w:tc>
        <w:tc>
          <w:tcPr>
            <w:tcW w:w="548" w:type="pct"/>
            <w:tcBorders>
              <w:top w:val="single" w:sz="4" w:space="0" w:color="auto"/>
              <w:bottom w:val="single" w:sz="4" w:space="0" w:color="auto"/>
            </w:tcBorders>
            <w:shd w:val="clear" w:color="auto" w:fill="auto"/>
            <w:noWrap/>
            <w:vAlign w:val="center"/>
            <w:hideMark/>
          </w:tcPr>
          <w:p w14:paraId="21242FEA" w14:textId="01C5D48A" w:rsidR="005F74DB" w:rsidRPr="00913830" w:rsidRDefault="005F74DB" w:rsidP="0039599D">
            <w:pPr>
              <w:spacing w:before="0" w:after="0"/>
              <w:jc w:val="center"/>
              <w:rPr>
                <w:rFonts w:eastAsia="Times New Roman" w:cs="Calibri"/>
                <w:b/>
                <w:bCs/>
                <w:color w:val="000000"/>
                <w:sz w:val="16"/>
                <w:szCs w:val="16"/>
                <w:lang w:val="sr-Latn-RS" w:eastAsia="sr-Latn-RS"/>
              </w:rPr>
            </w:pPr>
            <w:r w:rsidRPr="00913830">
              <w:rPr>
                <w:rFonts w:eastAsia="Times New Roman" w:cs="Calibri"/>
                <w:b/>
                <w:bCs/>
                <w:color w:val="000000"/>
                <w:sz w:val="16"/>
                <w:szCs w:val="16"/>
                <w:lang w:val="sr-Latn-RS" w:eastAsia="sr-Latn-RS"/>
              </w:rPr>
              <w:t>Min_Bool</w:t>
            </w:r>
          </w:p>
        </w:tc>
        <w:tc>
          <w:tcPr>
            <w:tcW w:w="487" w:type="pct"/>
            <w:tcBorders>
              <w:top w:val="single" w:sz="4" w:space="0" w:color="auto"/>
              <w:bottom w:val="single" w:sz="4" w:space="0" w:color="auto"/>
            </w:tcBorders>
            <w:shd w:val="clear" w:color="auto" w:fill="auto"/>
            <w:noWrap/>
            <w:vAlign w:val="center"/>
            <w:hideMark/>
          </w:tcPr>
          <w:p w14:paraId="044EEF8A" w14:textId="54622C8F" w:rsidR="005F74DB" w:rsidRPr="00913830" w:rsidRDefault="005F74DB" w:rsidP="0039599D">
            <w:pPr>
              <w:spacing w:before="0" w:after="0"/>
              <w:jc w:val="center"/>
              <w:rPr>
                <w:rFonts w:eastAsia="Times New Roman" w:cs="Calibri"/>
                <w:b/>
                <w:bCs/>
                <w:color w:val="000000"/>
                <w:sz w:val="16"/>
                <w:szCs w:val="16"/>
                <w:lang w:val="sr-Latn-RS" w:eastAsia="sr-Latn-RS"/>
              </w:rPr>
            </w:pPr>
            <w:r w:rsidRPr="00913830">
              <w:rPr>
                <w:rFonts w:eastAsia="Times New Roman" w:cs="Calibri"/>
                <w:b/>
                <w:bCs/>
                <w:color w:val="000000"/>
                <w:sz w:val="16"/>
                <w:szCs w:val="16"/>
                <w:lang w:val="sr-Latn-RS" w:eastAsia="sr-Latn-RS"/>
              </w:rPr>
              <w:t>Kurt_</w:t>
            </w:r>
            <w:r w:rsidRPr="0039599D">
              <w:rPr>
                <w:rFonts w:eastAsia="Times New Roman" w:cs="Calibri"/>
                <w:b/>
                <w:bCs/>
                <w:color w:val="000000"/>
                <w:sz w:val="16"/>
                <w:szCs w:val="16"/>
                <w:lang w:val="sr-Latn-RS" w:eastAsia="sr-Latn-RS"/>
              </w:rPr>
              <w:t>I</w:t>
            </w:r>
            <w:r w:rsidRPr="00913830">
              <w:rPr>
                <w:rFonts w:eastAsia="Times New Roman" w:cs="Calibri"/>
                <w:b/>
                <w:bCs/>
                <w:color w:val="000000"/>
                <w:sz w:val="16"/>
                <w:szCs w:val="16"/>
                <w:lang w:val="sr-Latn-RS" w:eastAsia="sr-Latn-RS"/>
              </w:rPr>
              <w:t>S</w:t>
            </w:r>
          </w:p>
        </w:tc>
        <w:tc>
          <w:tcPr>
            <w:tcW w:w="366" w:type="pct"/>
            <w:tcBorders>
              <w:top w:val="single" w:sz="4" w:space="0" w:color="auto"/>
              <w:bottom w:val="single" w:sz="4" w:space="0" w:color="auto"/>
            </w:tcBorders>
            <w:shd w:val="clear" w:color="auto" w:fill="auto"/>
            <w:noWrap/>
            <w:vAlign w:val="center"/>
            <w:hideMark/>
          </w:tcPr>
          <w:p w14:paraId="63483834" w14:textId="1EA21812" w:rsidR="005F74DB" w:rsidRPr="00913830" w:rsidRDefault="005F74DB" w:rsidP="0039599D">
            <w:pPr>
              <w:spacing w:before="0" w:after="0"/>
              <w:jc w:val="center"/>
              <w:rPr>
                <w:rFonts w:eastAsia="Times New Roman" w:cs="Calibri"/>
                <w:b/>
                <w:bCs/>
                <w:color w:val="000000"/>
                <w:sz w:val="16"/>
                <w:szCs w:val="16"/>
                <w:lang w:val="sr-Latn-RS" w:eastAsia="sr-Latn-RS"/>
              </w:rPr>
            </w:pPr>
            <w:r w:rsidRPr="0039599D">
              <w:rPr>
                <w:rFonts w:eastAsia="Times New Roman" w:cs="Calibri"/>
                <w:b/>
                <w:bCs/>
                <w:color w:val="000000"/>
                <w:sz w:val="16"/>
                <w:szCs w:val="16"/>
                <w:lang w:val="sr-Latn-RS" w:eastAsia="sr-Latn-RS"/>
              </w:rPr>
              <w:t>SD</w:t>
            </w:r>
            <w:r w:rsidRPr="00913830">
              <w:rPr>
                <w:rFonts w:eastAsia="Times New Roman" w:cs="Calibri"/>
                <w:b/>
                <w:bCs/>
                <w:color w:val="000000"/>
                <w:sz w:val="16"/>
                <w:szCs w:val="16"/>
                <w:lang w:val="sr-Latn-RS" w:eastAsia="sr-Latn-RS"/>
              </w:rPr>
              <w:t>_</w:t>
            </w:r>
            <w:r w:rsidRPr="0039599D">
              <w:rPr>
                <w:rFonts w:eastAsia="Times New Roman" w:cs="Calibri"/>
                <w:b/>
                <w:bCs/>
                <w:color w:val="000000"/>
                <w:sz w:val="16"/>
                <w:szCs w:val="16"/>
                <w:lang w:val="sr-Latn-RS" w:eastAsia="sr-Latn-RS"/>
              </w:rPr>
              <w:t>I</w:t>
            </w:r>
            <w:r w:rsidRPr="00913830">
              <w:rPr>
                <w:rFonts w:eastAsia="Times New Roman" w:cs="Calibri"/>
                <w:b/>
                <w:bCs/>
                <w:color w:val="000000"/>
                <w:sz w:val="16"/>
                <w:szCs w:val="16"/>
                <w:lang w:val="sr-Latn-RS" w:eastAsia="sr-Latn-RS"/>
              </w:rPr>
              <w:t>S</w:t>
            </w:r>
          </w:p>
        </w:tc>
        <w:tc>
          <w:tcPr>
            <w:tcW w:w="472" w:type="pct"/>
            <w:tcBorders>
              <w:top w:val="single" w:sz="4" w:space="0" w:color="auto"/>
              <w:bottom w:val="single" w:sz="4" w:space="0" w:color="auto"/>
            </w:tcBorders>
            <w:shd w:val="clear" w:color="auto" w:fill="auto"/>
            <w:noWrap/>
            <w:vAlign w:val="center"/>
            <w:hideMark/>
          </w:tcPr>
          <w:p w14:paraId="64A11022" w14:textId="722DE7E7" w:rsidR="005F74DB" w:rsidRPr="00913830" w:rsidRDefault="005F74DB" w:rsidP="0039599D">
            <w:pPr>
              <w:spacing w:before="0" w:after="0"/>
              <w:jc w:val="center"/>
              <w:rPr>
                <w:rFonts w:eastAsia="Times New Roman" w:cs="Calibri"/>
                <w:b/>
                <w:bCs/>
                <w:color w:val="000000"/>
                <w:sz w:val="16"/>
                <w:szCs w:val="16"/>
                <w:lang w:val="sr-Latn-RS" w:eastAsia="sr-Latn-RS"/>
              </w:rPr>
            </w:pPr>
            <w:r w:rsidRPr="0039599D">
              <w:rPr>
                <w:rFonts w:eastAsia="Times New Roman" w:cs="Calibri"/>
                <w:b/>
                <w:bCs/>
                <w:color w:val="000000"/>
                <w:sz w:val="16"/>
                <w:szCs w:val="16"/>
                <w:lang w:val="sr-Latn-RS" w:eastAsia="sr-Latn-RS"/>
              </w:rPr>
              <w:t>MED</w:t>
            </w:r>
            <w:r w:rsidRPr="00913830">
              <w:rPr>
                <w:rFonts w:eastAsia="Times New Roman" w:cs="Calibri"/>
                <w:b/>
                <w:bCs/>
                <w:color w:val="000000"/>
                <w:sz w:val="16"/>
                <w:szCs w:val="16"/>
                <w:lang w:val="sr-Latn-RS" w:eastAsia="sr-Latn-RS"/>
              </w:rPr>
              <w:t>_</w:t>
            </w:r>
            <w:r w:rsidRPr="0039599D">
              <w:rPr>
                <w:rFonts w:eastAsia="Times New Roman" w:cs="Calibri"/>
                <w:b/>
                <w:bCs/>
                <w:color w:val="000000"/>
                <w:sz w:val="16"/>
                <w:szCs w:val="16"/>
                <w:lang w:val="sr-Latn-RS" w:eastAsia="sr-Latn-RS"/>
              </w:rPr>
              <w:t>I</w:t>
            </w:r>
            <w:r w:rsidRPr="00913830">
              <w:rPr>
                <w:rFonts w:eastAsia="Times New Roman" w:cs="Calibri"/>
                <w:b/>
                <w:bCs/>
                <w:color w:val="000000"/>
                <w:sz w:val="16"/>
                <w:szCs w:val="16"/>
                <w:lang w:val="sr-Latn-RS" w:eastAsia="sr-Latn-RS"/>
              </w:rPr>
              <w:t>S</w:t>
            </w:r>
          </w:p>
        </w:tc>
        <w:tc>
          <w:tcPr>
            <w:tcW w:w="506" w:type="pct"/>
            <w:tcBorders>
              <w:top w:val="single" w:sz="4" w:space="0" w:color="auto"/>
              <w:bottom w:val="single" w:sz="4" w:space="0" w:color="auto"/>
            </w:tcBorders>
            <w:shd w:val="clear" w:color="auto" w:fill="auto"/>
            <w:noWrap/>
            <w:vAlign w:val="center"/>
            <w:hideMark/>
          </w:tcPr>
          <w:p w14:paraId="11F4E21D" w14:textId="0950E760" w:rsidR="005F74DB" w:rsidRPr="00913830" w:rsidRDefault="005F74DB" w:rsidP="0039599D">
            <w:pPr>
              <w:spacing w:before="0" w:after="0"/>
              <w:jc w:val="center"/>
              <w:rPr>
                <w:rFonts w:eastAsia="Times New Roman" w:cs="Calibri"/>
                <w:b/>
                <w:bCs/>
                <w:color w:val="000000"/>
                <w:sz w:val="16"/>
                <w:szCs w:val="16"/>
                <w:lang w:val="sr-Latn-RS" w:eastAsia="sr-Latn-RS"/>
              </w:rPr>
            </w:pPr>
            <w:r w:rsidRPr="00913830">
              <w:rPr>
                <w:rFonts w:eastAsia="Times New Roman" w:cs="Calibri"/>
                <w:b/>
                <w:bCs/>
                <w:color w:val="000000"/>
                <w:sz w:val="16"/>
                <w:szCs w:val="16"/>
                <w:lang w:val="sr-Latn-RS" w:eastAsia="sr-Latn-RS"/>
              </w:rPr>
              <w:t>Min_</w:t>
            </w:r>
            <w:r w:rsidRPr="0039599D">
              <w:rPr>
                <w:rFonts w:eastAsia="Times New Roman" w:cs="Calibri"/>
                <w:b/>
                <w:bCs/>
                <w:color w:val="000000"/>
                <w:sz w:val="16"/>
                <w:szCs w:val="16"/>
                <w:lang w:val="sr-Latn-RS" w:eastAsia="sr-Latn-RS"/>
              </w:rPr>
              <w:t>I</w:t>
            </w:r>
            <w:r w:rsidRPr="00913830">
              <w:rPr>
                <w:rFonts w:eastAsia="Times New Roman" w:cs="Calibri"/>
                <w:b/>
                <w:bCs/>
                <w:color w:val="000000"/>
                <w:sz w:val="16"/>
                <w:szCs w:val="16"/>
                <w:lang w:val="sr-Latn-RS" w:eastAsia="sr-Latn-RS"/>
              </w:rPr>
              <w:t>S</w:t>
            </w:r>
          </w:p>
        </w:tc>
      </w:tr>
      <w:tr w:rsidR="005F74DB" w:rsidRPr="0039599D" w14:paraId="22114D07" w14:textId="77777777" w:rsidTr="0039599D">
        <w:trPr>
          <w:trHeight w:val="315"/>
        </w:trPr>
        <w:tc>
          <w:tcPr>
            <w:tcW w:w="604" w:type="pct"/>
            <w:tcBorders>
              <w:top w:val="single" w:sz="4" w:space="0" w:color="auto"/>
            </w:tcBorders>
            <w:shd w:val="clear" w:color="auto" w:fill="auto"/>
            <w:noWrap/>
            <w:vAlign w:val="center"/>
            <w:hideMark/>
          </w:tcPr>
          <w:p w14:paraId="7B1A67C4" w14:textId="1221911D"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2.117</w:t>
            </w:r>
          </w:p>
        </w:tc>
        <w:tc>
          <w:tcPr>
            <w:tcW w:w="494" w:type="pct"/>
            <w:tcBorders>
              <w:top w:val="single" w:sz="4" w:space="0" w:color="auto"/>
            </w:tcBorders>
            <w:shd w:val="clear" w:color="auto" w:fill="auto"/>
            <w:noWrap/>
            <w:vAlign w:val="center"/>
            <w:hideMark/>
          </w:tcPr>
          <w:p w14:paraId="3F0BC503" w14:textId="2EC4335A"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1.000</w:t>
            </w:r>
          </w:p>
        </w:tc>
        <w:tc>
          <w:tcPr>
            <w:tcW w:w="400" w:type="pct"/>
            <w:tcBorders>
              <w:top w:val="single" w:sz="4" w:space="0" w:color="auto"/>
            </w:tcBorders>
            <w:shd w:val="clear" w:color="auto" w:fill="auto"/>
            <w:noWrap/>
            <w:vAlign w:val="center"/>
            <w:hideMark/>
          </w:tcPr>
          <w:p w14:paraId="4191D2D7" w14:textId="7BA53CE1"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tcBorders>
              <w:top w:val="single" w:sz="4" w:space="0" w:color="auto"/>
            </w:tcBorders>
            <w:shd w:val="clear" w:color="auto" w:fill="auto"/>
            <w:noWrap/>
            <w:vAlign w:val="center"/>
            <w:hideMark/>
          </w:tcPr>
          <w:p w14:paraId="12525847" w14:textId="3CBB0FFF"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1</w:t>
            </w:r>
          </w:p>
        </w:tc>
        <w:tc>
          <w:tcPr>
            <w:tcW w:w="610" w:type="pct"/>
            <w:tcBorders>
              <w:top w:val="single" w:sz="4" w:space="0" w:color="auto"/>
            </w:tcBorders>
            <w:shd w:val="clear" w:color="auto" w:fill="auto"/>
            <w:noWrap/>
            <w:vAlign w:val="center"/>
            <w:hideMark/>
          </w:tcPr>
          <w:p w14:paraId="7C114AEB" w14:textId="092EE5D1"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tcBorders>
              <w:top w:val="single" w:sz="4" w:space="0" w:color="auto"/>
            </w:tcBorders>
            <w:shd w:val="clear" w:color="auto" w:fill="auto"/>
            <w:noWrap/>
            <w:vAlign w:val="center"/>
            <w:hideMark/>
          </w:tcPr>
          <w:p w14:paraId="3E74233D" w14:textId="345E8C36"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1</w:t>
            </w:r>
          </w:p>
        </w:tc>
        <w:tc>
          <w:tcPr>
            <w:tcW w:w="487" w:type="pct"/>
            <w:tcBorders>
              <w:top w:val="single" w:sz="4" w:space="0" w:color="auto"/>
            </w:tcBorders>
            <w:shd w:val="clear" w:color="auto" w:fill="auto"/>
            <w:noWrap/>
            <w:vAlign w:val="center"/>
            <w:hideMark/>
          </w:tcPr>
          <w:p w14:paraId="0878BD65" w14:textId="69188137"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8.14</w:t>
            </w:r>
          </w:p>
        </w:tc>
        <w:tc>
          <w:tcPr>
            <w:tcW w:w="366" w:type="pct"/>
            <w:tcBorders>
              <w:top w:val="single" w:sz="4" w:space="0" w:color="auto"/>
            </w:tcBorders>
            <w:shd w:val="clear" w:color="auto" w:fill="auto"/>
            <w:noWrap/>
            <w:vAlign w:val="center"/>
            <w:hideMark/>
          </w:tcPr>
          <w:p w14:paraId="1B068431" w14:textId="6F0D1EB3"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3.579</w:t>
            </w:r>
          </w:p>
        </w:tc>
        <w:tc>
          <w:tcPr>
            <w:tcW w:w="472" w:type="pct"/>
            <w:tcBorders>
              <w:top w:val="single" w:sz="4" w:space="0" w:color="auto"/>
            </w:tcBorders>
            <w:shd w:val="clear" w:color="auto" w:fill="auto"/>
            <w:noWrap/>
            <w:vAlign w:val="center"/>
            <w:hideMark/>
          </w:tcPr>
          <w:p w14:paraId="6409FDA0" w14:textId="205E0BB5"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0.591</w:t>
            </w:r>
          </w:p>
        </w:tc>
        <w:tc>
          <w:tcPr>
            <w:tcW w:w="506" w:type="pct"/>
            <w:tcBorders>
              <w:top w:val="single" w:sz="4" w:space="0" w:color="auto"/>
            </w:tcBorders>
            <w:shd w:val="clear" w:color="auto" w:fill="auto"/>
            <w:noWrap/>
            <w:vAlign w:val="center"/>
            <w:hideMark/>
          </w:tcPr>
          <w:p w14:paraId="6E53DB4F" w14:textId="6EBB1444"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4.419</w:t>
            </w:r>
          </w:p>
        </w:tc>
      </w:tr>
      <w:tr w:rsidR="005F74DB" w:rsidRPr="0039599D" w14:paraId="07B8D356" w14:textId="77777777" w:rsidTr="0039599D">
        <w:trPr>
          <w:trHeight w:val="315"/>
        </w:trPr>
        <w:tc>
          <w:tcPr>
            <w:tcW w:w="604" w:type="pct"/>
            <w:shd w:val="clear" w:color="auto" w:fill="auto"/>
            <w:noWrap/>
            <w:vAlign w:val="center"/>
            <w:hideMark/>
          </w:tcPr>
          <w:p w14:paraId="0CC4CB9B" w14:textId="5E209CED"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hideMark/>
          </w:tcPr>
          <w:p w14:paraId="74C3A66A" w14:textId="0AFA8F79"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hideMark/>
          </w:tcPr>
          <w:p w14:paraId="10D417B0" w14:textId="52C38CF0"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hideMark/>
          </w:tcPr>
          <w:p w14:paraId="339D730F" w14:textId="090DD336"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hideMark/>
          </w:tcPr>
          <w:p w14:paraId="3A53E22A" w14:textId="436ACB06"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hideMark/>
          </w:tcPr>
          <w:p w14:paraId="3F182552" w14:textId="340E4275"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hideMark/>
          </w:tcPr>
          <w:p w14:paraId="1C5CA03F" w14:textId="1945888B"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7.92</w:t>
            </w:r>
          </w:p>
        </w:tc>
        <w:tc>
          <w:tcPr>
            <w:tcW w:w="366" w:type="pct"/>
            <w:shd w:val="clear" w:color="auto" w:fill="auto"/>
            <w:noWrap/>
            <w:vAlign w:val="center"/>
            <w:hideMark/>
          </w:tcPr>
          <w:p w14:paraId="287C421E" w14:textId="17529F25"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5.137</w:t>
            </w:r>
          </w:p>
        </w:tc>
        <w:tc>
          <w:tcPr>
            <w:tcW w:w="472" w:type="pct"/>
            <w:shd w:val="clear" w:color="auto" w:fill="auto"/>
            <w:noWrap/>
            <w:vAlign w:val="center"/>
            <w:hideMark/>
          </w:tcPr>
          <w:p w14:paraId="42013956" w14:textId="1A73B5F0"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0.497</w:t>
            </w:r>
          </w:p>
        </w:tc>
        <w:tc>
          <w:tcPr>
            <w:tcW w:w="506" w:type="pct"/>
            <w:shd w:val="clear" w:color="auto" w:fill="auto"/>
            <w:noWrap/>
            <w:vAlign w:val="center"/>
            <w:hideMark/>
          </w:tcPr>
          <w:p w14:paraId="44017A2C" w14:textId="71B2689E"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2.667</w:t>
            </w:r>
          </w:p>
        </w:tc>
      </w:tr>
      <w:tr w:rsidR="005F74DB" w:rsidRPr="0039599D" w14:paraId="1CA581BB" w14:textId="77777777" w:rsidTr="0039599D">
        <w:trPr>
          <w:trHeight w:val="315"/>
        </w:trPr>
        <w:tc>
          <w:tcPr>
            <w:tcW w:w="604" w:type="pct"/>
            <w:shd w:val="clear" w:color="auto" w:fill="auto"/>
            <w:noWrap/>
            <w:vAlign w:val="center"/>
            <w:hideMark/>
          </w:tcPr>
          <w:p w14:paraId="58904C8D" w14:textId="7A0988D5"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hideMark/>
          </w:tcPr>
          <w:p w14:paraId="32D5B3E9" w14:textId="75858C1D"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hideMark/>
          </w:tcPr>
          <w:p w14:paraId="4B63C0B2" w14:textId="571E9893"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hideMark/>
          </w:tcPr>
          <w:p w14:paraId="4CE43857" w14:textId="0A314804"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hideMark/>
          </w:tcPr>
          <w:p w14:paraId="6A524CFA" w14:textId="053A6836"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hideMark/>
          </w:tcPr>
          <w:p w14:paraId="725FF7D2" w14:textId="5A0D69C2"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hideMark/>
          </w:tcPr>
          <w:p w14:paraId="66B32DCB" w14:textId="28255709"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7.70</w:t>
            </w:r>
          </w:p>
        </w:tc>
        <w:tc>
          <w:tcPr>
            <w:tcW w:w="366" w:type="pct"/>
            <w:shd w:val="clear" w:color="auto" w:fill="auto"/>
            <w:noWrap/>
            <w:vAlign w:val="center"/>
            <w:hideMark/>
          </w:tcPr>
          <w:p w14:paraId="02F0C45A" w14:textId="05D72DB5"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5.309</w:t>
            </w:r>
          </w:p>
        </w:tc>
        <w:tc>
          <w:tcPr>
            <w:tcW w:w="472" w:type="pct"/>
            <w:shd w:val="clear" w:color="auto" w:fill="auto"/>
            <w:noWrap/>
            <w:vAlign w:val="center"/>
            <w:hideMark/>
          </w:tcPr>
          <w:p w14:paraId="69A970FB" w14:textId="676980D6"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0.479</w:t>
            </w:r>
          </w:p>
        </w:tc>
        <w:tc>
          <w:tcPr>
            <w:tcW w:w="506" w:type="pct"/>
            <w:shd w:val="clear" w:color="auto" w:fill="auto"/>
            <w:noWrap/>
            <w:vAlign w:val="center"/>
            <w:hideMark/>
          </w:tcPr>
          <w:p w14:paraId="2460478C" w14:textId="3D388772"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2.401</w:t>
            </w:r>
          </w:p>
        </w:tc>
      </w:tr>
      <w:tr w:rsidR="005F74DB" w:rsidRPr="0039599D" w14:paraId="568CF263" w14:textId="77777777" w:rsidTr="0039599D">
        <w:trPr>
          <w:trHeight w:val="315"/>
        </w:trPr>
        <w:tc>
          <w:tcPr>
            <w:tcW w:w="604" w:type="pct"/>
            <w:shd w:val="clear" w:color="auto" w:fill="auto"/>
            <w:noWrap/>
            <w:vAlign w:val="center"/>
            <w:hideMark/>
          </w:tcPr>
          <w:p w14:paraId="146E9B6F" w14:textId="6A35DB89"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hideMark/>
          </w:tcPr>
          <w:p w14:paraId="724DA326" w14:textId="7B344DB4"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hideMark/>
          </w:tcPr>
          <w:p w14:paraId="2778E0FE" w14:textId="3512512D"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hideMark/>
          </w:tcPr>
          <w:p w14:paraId="635C313C" w14:textId="75C0A458"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hideMark/>
          </w:tcPr>
          <w:p w14:paraId="62D9B724" w14:textId="605EF9E7"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hideMark/>
          </w:tcPr>
          <w:p w14:paraId="5553D2F1" w14:textId="1B806637"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hideMark/>
          </w:tcPr>
          <w:p w14:paraId="0BD052DA" w14:textId="09D4C63B"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8.09</w:t>
            </w:r>
          </w:p>
        </w:tc>
        <w:tc>
          <w:tcPr>
            <w:tcW w:w="366" w:type="pct"/>
            <w:shd w:val="clear" w:color="auto" w:fill="auto"/>
            <w:noWrap/>
            <w:vAlign w:val="center"/>
            <w:hideMark/>
          </w:tcPr>
          <w:p w14:paraId="52072CDE" w14:textId="2FA7B2B1"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5.526</w:t>
            </w:r>
          </w:p>
        </w:tc>
        <w:tc>
          <w:tcPr>
            <w:tcW w:w="472" w:type="pct"/>
            <w:shd w:val="clear" w:color="auto" w:fill="auto"/>
            <w:noWrap/>
            <w:vAlign w:val="center"/>
            <w:hideMark/>
          </w:tcPr>
          <w:p w14:paraId="785118E9" w14:textId="580B14DE"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0.479</w:t>
            </w:r>
          </w:p>
        </w:tc>
        <w:tc>
          <w:tcPr>
            <w:tcW w:w="506" w:type="pct"/>
            <w:shd w:val="clear" w:color="auto" w:fill="auto"/>
            <w:noWrap/>
            <w:vAlign w:val="center"/>
            <w:hideMark/>
          </w:tcPr>
          <w:p w14:paraId="5A35A1CC" w14:textId="1231F464"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2.152</w:t>
            </w:r>
          </w:p>
        </w:tc>
      </w:tr>
      <w:tr w:rsidR="005F74DB" w:rsidRPr="0039599D" w14:paraId="40F6A31E" w14:textId="77777777" w:rsidTr="0039599D">
        <w:trPr>
          <w:trHeight w:val="315"/>
        </w:trPr>
        <w:tc>
          <w:tcPr>
            <w:tcW w:w="604" w:type="pct"/>
            <w:shd w:val="clear" w:color="auto" w:fill="auto"/>
            <w:noWrap/>
            <w:vAlign w:val="center"/>
            <w:hideMark/>
          </w:tcPr>
          <w:p w14:paraId="783BB3A7" w14:textId="45DE9F87"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hideMark/>
          </w:tcPr>
          <w:p w14:paraId="2567F8E4" w14:textId="3553620E"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hideMark/>
          </w:tcPr>
          <w:p w14:paraId="20C419F9" w14:textId="2F799E85"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hideMark/>
          </w:tcPr>
          <w:p w14:paraId="1E252273" w14:textId="40F4BE12"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hideMark/>
          </w:tcPr>
          <w:p w14:paraId="11A76A13" w14:textId="333D0ACA"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hideMark/>
          </w:tcPr>
          <w:p w14:paraId="5E9D1BA4" w14:textId="1D922875"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hideMark/>
          </w:tcPr>
          <w:p w14:paraId="4C3A3A05" w14:textId="69BD7FE7"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8.39</w:t>
            </w:r>
          </w:p>
        </w:tc>
        <w:tc>
          <w:tcPr>
            <w:tcW w:w="366" w:type="pct"/>
            <w:shd w:val="clear" w:color="auto" w:fill="auto"/>
            <w:noWrap/>
            <w:vAlign w:val="center"/>
            <w:hideMark/>
          </w:tcPr>
          <w:p w14:paraId="70D0AAAE" w14:textId="3AA290D5"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5.612</w:t>
            </w:r>
          </w:p>
        </w:tc>
        <w:tc>
          <w:tcPr>
            <w:tcW w:w="472" w:type="pct"/>
            <w:shd w:val="clear" w:color="auto" w:fill="auto"/>
            <w:noWrap/>
            <w:vAlign w:val="center"/>
            <w:hideMark/>
          </w:tcPr>
          <w:p w14:paraId="1030BF63" w14:textId="1A25BE13"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0.498</w:t>
            </w:r>
          </w:p>
        </w:tc>
        <w:tc>
          <w:tcPr>
            <w:tcW w:w="506" w:type="pct"/>
            <w:shd w:val="clear" w:color="auto" w:fill="auto"/>
            <w:noWrap/>
            <w:vAlign w:val="center"/>
            <w:hideMark/>
          </w:tcPr>
          <w:p w14:paraId="392AFB47" w14:textId="67E9C875"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2.018</w:t>
            </w:r>
          </w:p>
        </w:tc>
      </w:tr>
      <w:tr w:rsidR="005F74DB" w:rsidRPr="0039599D" w14:paraId="49E37558" w14:textId="77777777" w:rsidTr="0039599D">
        <w:trPr>
          <w:trHeight w:val="315"/>
        </w:trPr>
        <w:tc>
          <w:tcPr>
            <w:tcW w:w="604" w:type="pct"/>
            <w:shd w:val="clear" w:color="auto" w:fill="auto"/>
            <w:noWrap/>
            <w:vAlign w:val="center"/>
            <w:hideMark/>
          </w:tcPr>
          <w:p w14:paraId="50DC84F2" w14:textId="60F0CC1A"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hideMark/>
          </w:tcPr>
          <w:p w14:paraId="36E529F5" w14:textId="06B7343A"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hideMark/>
          </w:tcPr>
          <w:p w14:paraId="10876104" w14:textId="718DB971"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hideMark/>
          </w:tcPr>
          <w:p w14:paraId="34A19518" w14:textId="37B31EB5"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hideMark/>
          </w:tcPr>
          <w:p w14:paraId="35E18DDD" w14:textId="3E656A0F"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hideMark/>
          </w:tcPr>
          <w:p w14:paraId="290C3074" w14:textId="2220610E"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hideMark/>
          </w:tcPr>
          <w:p w14:paraId="53AB8B76" w14:textId="35889754"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7.84</w:t>
            </w:r>
          </w:p>
        </w:tc>
        <w:tc>
          <w:tcPr>
            <w:tcW w:w="366" w:type="pct"/>
            <w:shd w:val="clear" w:color="auto" w:fill="auto"/>
            <w:noWrap/>
            <w:vAlign w:val="center"/>
            <w:hideMark/>
          </w:tcPr>
          <w:p w14:paraId="771205FB" w14:textId="40BD8A3C"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5.214</w:t>
            </w:r>
          </w:p>
        </w:tc>
        <w:tc>
          <w:tcPr>
            <w:tcW w:w="472" w:type="pct"/>
            <w:shd w:val="clear" w:color="auto" w:fill="auto"/>
            <w:noWrap/>
            <w:vAlign w:val="center"/>
            <w:hideMark/>
          </w:tcPr>
          <w:p w14:paraId="097C5F67" w14:textId="67DA4918"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0.537</w:t>
            </w:r>
          </w:p>
        </w:tc>
        <w:tc>
          <w:tcPr>
            <w:tcW w:w="506" w:type="pct"/>
            <w:shd w:val="clear" w:color="auto" w:fill="auto"/>
            <w:noWrap/>
            <w:vAlign w:val="center"/>
            <w:hideMark/>
          </w:tcPr>
          <w:p w14:paraId="0364B795" w14:textId="0DCB1289"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2.556</w:t>
            </w:r>
          </w:p>
        </w:tc>
      </w:tr>
      <w:tr w:rsidR="005F74DB" w:rsidRPr="0039599D" w14:paraId="72EA0807" w14:textId="77777777" w:rsidTr="0039599D">
        <w:trPr>
          <w:trHeight w:val="315"/>
        </w:trPr>
        <w:tc>
          <w:tcPr>
            <w:tcW w:w="604" w:type="pct"/>
            <w:shd w:val="clear" w:color="auto" w:fill="auto"/>
            <w:noWrap/>
            <w:vAlign w:val="center"/>
            <w:hideMark/>
          </w:tcPr>
          <w:p w14:paraId="36197CDF" w14:textId="11D9E841"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hideMark/>
          </w:tcPr>
          <w:p w14:paraId="0AD850EE" w14:textId="445F2D63"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hideMark/>
          </w:tcPr>
          <w:p w14:paraId="27A56CBD" w14:textId="17FF034D"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hideMark/>
          </w:tcPr>
          <w:p w14:paraId="104963EF" w14:textId="678CB8E0"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hideMark/>
          </w:tcPr>
          <w:p w14:paraId="6A8B700F" w14:textId="5B7B405F"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hideMark/>
          </w:tcPr>
          <w:p w14:paraId="0256DE0C" w14:textId="0C543FB2"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hideMark/>
          </w:tcPr>
          <w:p w14:paraId="599129BB" w14:textId="34EEEF3B"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7.88</w:t>
            </w:r>
          </w:p>
        </w:tc>
        <w:tc>
          <w:tcPr>
            <w:tcW w:w="366" w:type="pct"/>
            <w:shd w:val="clear" w:color="auto" w:fill="auto"/>
            <w:noWrap/>
            <w:vAlign w:val="center"/>
            <w:hideMark/>
          </w:tcPr>
          <w:p w14:paraId="30FACDB1" w14:textId="6F349B27"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5.414</w:t>
            </w:r>
          </w:p>
        </w:tc>
        <w:tc>
          <w:tcPr>
            <w:tcW w:w="472" w:type="pct"/>
            <w:shd w:val="clear" w:color="auto" w:fill="auto"/>
            <w:noWrap/>
            <w:vAlign w:val="center"/>
            <w:hideMark/>
          </w:tcPr>
          <w:p w14:paraId="20B1D938" w14:textId="08923B55"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0.483</w:t>
            </w:r>
          </w:p>
        </w:tc>
        <w:tc>
          <w:tcPr>
            <w:tcW w:w="506" w:type="pct"/>
            <w:shd w:val="clear" w:color="auto" w:fill="auto"/>
            <w:noWrap/>
            <w:vAlign w:val="center"/>
            <w:hideMark/>
          </w:tcPr>
          <w:p w14:paraId="61E6EB9E" w14:textId="6EB39F19"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2.28</w:t>
            </w:r>
          </w:p>
        </w:tc>
      </w:tr>
      <w:tr w:rsidR="005F74DB" w:rsidRPr="0039599D" w14:paraId="7B989FBA" w14:textId="77777777" w:rsidTr="0039599D">
        <w:trPr>
          <w:trHeight w:val="315"/>
        </w:trPr>
        <w:tc>
          <w:tcPr>
            <w:tcW w:w="604" w:type="pct"/>
            <w:shd w:val="clear" w:color="auto" w:fill="auto"/>
            <w:noWrap/>
            <w:vAlign w:val="center"/>
            <w:hideMark/>
          </w:tcPr>
          <w:p w14:paraId="1742E982" w14:textId="1598B4C5"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hideMark/>
          </w:tcPr>
          <w:p w14:paraId="7D04E887" w14:textId="3B4E448C"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hideMark/>
          </w:tcPr>
          <w:p w14:paraId="40598E1C" w14:textId="11C77EBC"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hideMark/>
          </w:tcPr>
          <w:p w14:paraId="46ADA6CE" w14:textId="4BFE94FF"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hideMark/>
          </w:tcPr>
          <w:p w14:paraId="0EE5167D" w14:textId="1994309E"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hideMark/>
          </w:tcPr>
          <w:p w14:paraId="059C713C" w14:textId="2D0FA04A"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hideMark/>
          </w:tcPr>
          <w:p w14:paraId="5DB0CAA2" w14:textId="4675ADB4"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8.15</w:t>
            </w:r>
          </w:p>
        </w:tc>
        <w:tc>
          <w:tcPr>
            <w:tcW w:w="366" w:type="pct"/>
            <w:shd w:val="clear" w:color="auto" w:fill="auto"/>
            <w:noWrap/>
            <w:vAlign w:val="center"/>
            <w:hideMark/>
          </w:tcPr>
          <w:p w14:paraId="625A9FC3" w14:textId="292AF787"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5.41</w:t>
            </w:r>
          </w:p>
        </w:tc>
        <w:tc>
          <w:tcPr>
            <w:tcW w:w="472" w:type="pct"/>
            <w:shd w:val="clear" w:color="auto" w:fill="auto"/>
            <w:noWrap/>
            <w:vAlign w:val="center"/>
            <w:hideMark/>
          </w:tcPr>
          <w:p w14:paraId="49AFDFCB" w14:textId="3195960B"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0.497</w:t>
            </w:r>
          </w:p>
        </w:tc>
        <w:tc>
          <w:tcPr>
            <w:tcW w:w="506" w:type="pct"/>
            <w:shd w:val="clear" w:color="auto" w:fill="auto"/>
            <w:noWrap/>
            <w:vAlign w:val="center"/>
            <w:hideMark/>
          </w:tcPr>
          <w:p w14:paraId="7B29546C" w14:textId="5E760CAC"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2.275</w:t>
            </w:r>
          </w:p>
        </w:tc>
      </w:tr>
      <w:tr w:rsidR="005F74DB" w:rsidRPr="0039599D" w14:paraId="29F03FB9" w14:textId="77777777" w:rsidTr="0039599D">
        <w:trPr>
          <w:trHeight w:val="315"/>
        </w:trPr>
        <w:tc>
          <w:tcPr>
            <w:tcW w:w="604" w:type="pct"/>
            <w:shd w:val="clear" w:color="auto" w:fill="auto"/>
            <w:noWrap/>
            <w:vAlign w:val="center"/>
            <w:hideMark/>
          </w:tcPr>
          <w:p w14:paraId="2934A360" w14:textId="7A97C05F"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hideMark/>
          </w:tcPr>
          <w:p w14:paraId="636C56A4" w14:textId="07D25621"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hideMark/>
          </w:tcPr>
          <w:p w14:paraId="4E44B755" w14:textId="26F6BA6A"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hideMark/>
          </w:tcPr>
          <w:p w14:paraId="3D3A04FB" w14:textId="383E1A66"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hideMark/>
          </w:tcPr>
          <w:p w14:paraId="75DDE77F" w14:textId="0A4AFCA6"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hideMark/>
          </w:tcPr>
          <w:p w14:paraId="5D06FCEE" w14:textId="0371CC18"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hideMark/>
          </w:tcPr>
          <w:p w14:paraId="702211CC" w14:textId="49707E7D"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8.41</w:t>
            </w:r>
          </w:p>
        </w:tc>
        <w:tc>
          <w:tcPr>
            <w:tcW w:w="366" w:type="pct"/>
            <w:shd w:val="clear" w:color="auto" w:fill="auto"/>
            <w:noWrap/>
            <w:vAlign w:val="center"/>
            <w:hideMark/>
          </w:tcPr>
          <w:p w14:paraId="6611A90E" w14:textId="5DA4BC51"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5.467</w:t>
            </w:r>
          </w:p>
        </w:tc>
        <w:tc>
          <w:tcPr>
            <w:tcW w:w="472" w:type="pct"/>
            <w:shd w:val="clear" w:color="auto" w:fill="auto"/>
            <w:noWrap/>
            <w:vAlign w:val="center"/>
            <w:hideMark/>
          </w:tcPr>
          <w:p w14:paraId="4E8F784B" w14:textId="158B5CF6"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0.51</w:t>
            </w:r>
          </w:p>
        </w:tc>
        <w:tc>
          <w:tcPr>
            <w:tcW w:w="506" w:type="pct"/>
            <w:shd w:val="clear" w:color="auto" w:fill="auto"/>
            <w:noWrap/>
            <w:vAlign w:val="center"/>
            <w:hideMark/>
          </w:tcPr>
          <w:p w14:paraId="7106B8E6" w14:textId="477B8C6F"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2.217</w:t>
            </w:r>
          </w:p>
        </w:tc>
      </w:tr>
      <w:tr w:rsidR="005F74DB" w:rsidRPr="0039599D" w14:paraId="0363D8BD" w14:textId="77777777" w:rsidTr="0039599D">
        <w:trPr>
          <w:trHeight w:val="315"/>
        </w:trPr>
        <w:tc>
          <w:tcPr>
            <w:tcW w:w="604" w:type="pct"/>
            <w:shd w:val="clear" w:color="auto" w:fill="auto"/>
            <w:noWrap/>
            <w:vAlign w:val="center"/>
            <w:hideMark/>
          </w:tcPr>
          <w:p w14:paraId="00C972E7" w14:textId="22907246"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hideMark/>
          </w:tcPr>
          <w:p w14:paraId="4B49C176" w14:textId="3A74BAC3"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hideMark/>
          </w:tcPr>
          <w:p w14:paraId="678FB8E3" w14:textId="114176D1"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hideMark/>
          </w:tcPr>
          <w:p w14:paraId="0FB4CCC9" w14:textId="6EE8663E"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hideMark/>
          </w:tcPr>
          <w:p w14:paraId="2620F936" w14:textId="7E3560AA"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hideMark/>
          </w:tcPr>
          <w:p w14:paraId="5A055D50" w14:textId="4EC19A7D"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hideMark/>
          </w:tcPr>
          <w:p w14:paraId="1AD9B7F5" w14:textId="52138065"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7.98</w:t>
            </w:r>
          </w:p>
        </w:tc>
        <w:tc>
          <w:tcPr>
            <w:tcW w:w="366" w:type="pct"/>
            <w:shd w:val="clear" w:color="auto" w:fill="auto"/>
            <w:noWrap/>
            <w:vAlign w:val="center"/>
            <w:hideMark/>
          </w:tcPr>
          <w:p w14:paraId="2D72E914" w14:textId="71300E56"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5.415</w:t>
            </w:r>
          </w:p>
        </w:tc>
        <w:tc>
          <w:tcPr>
            <w:tcW w:w="472" w:type="pct"/>
            <w:shd w:val="clear" w:color="auto" w:fill="auto"/>
            <w:noWrap/>
            <w:vAlign w:val="center"/>
            <w:hideMark/>
          </w:tcPr>
          <w:p w14:paraId="2C646B26" w14:textId="1459F268"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0.503</w:t>
            </w:r>
          </w:p>
        </w:tc>
        <w:tc>
          <w:tcPr>
            <w:tcW w:w="506" w:type="pct"/>
            <w:shd w:val="clear" w:color="auto" w:fill="auto"/>
            <w:noWrap/>
            <w:vAlign w:val="center"/>
            <w:hideMark/>
          </w:tcPr>
          <w:p w14:paraId="236F6434" w14:textId="1B33B1D8" w:rsidR="005F74DB" w:rsidRPr="00913830" w:rsidRDefault="005F74DB" w:rsidP="0039599D">
            <w:pPr>
              <w:spacing w:before="0" w:after="0"/>
              <w:jc w:val="center"/>
              <w:rPr>
                <w:rFonts w:eastAsia="Times New Roman" w:cs="Calibri"/>
                <w:color w:val="000000"/>
                <w:sz w:val="16"/>
                <w:szCs w:val="16"/>
                <w:lang w:val="sr-Latn-RS" w:eastAsia="sr-Latn-RS"/>
              </w:rPr>
            </w:pPr>
            <w:r w:rsidRPr="0039599D">
              <w:rPr>
                <w:sz w:val="16"/>
                <w:szCs w:val="16"/>
              </w:rPr>
              <w:t>2.28</w:t>
            </w:r>
          </w:p>
        </w:tc>
      </w:tr>
      <w:tr w:rsidR="00767C8B" w:rsidRPr="0039599D" w14:paraId="374C94E8" w14:textId="77777777" w:rsidTr="0039599D">
        <w:trPr>
          <w:trHeight w:val="315"/>
        </w:trPr>
        <w:tc>
          <w:tcPr>
            <w:tcW w:w="604" w:type="pct"/>
            <w:shd w:val="clear" w:color="auto" w:fill="auto"/>
            <w:noWrap/>
            <w:vAlign w:val="center"/>
          </w:tcPr>
          <w:p w14:paraId="287E86D4" w14:textId="488912F9" w:rsidR="00767C8B" w:rsidRPr="00913830" w:rsidRDefault="00767C8B"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tcPr>
          <w:p w14:paraId="19074763" w14:textId="4DA9C06F" w:rsidR="00767C8B" w:rsidRPr="00913830" w:rsidRDefault="00767C8B"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tcPr>
          <w:p w14:paraId="474A68AC" w14:textId="04484456" w:rsidR="00767C8B" w:rsidRPr="00913830" w:rsidRDefault="00767C8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tcPr>
          <w:p w14:paraId="0C9E61CF" w14:textId="63723AD5" w:rsidR="00767C8B" w:rsidRPr="00913830" w:rsidRDefault="00767C8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tcPr>
          <w:p w14:paraId="331AF514" w14:textId="3047E1EF" w:rsidR="00767C8B" w:rsidRPr="00913830" w:rsidRDefault="00767C8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tcPr>
          <w:p w14:paraId="2C38C08E" w14:textId="50B35E85" w:rsidR="00767C8B" w:rsidRPr="00913830" w:rsidRDefault="00767C8B"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tcPr>
          <w:p w14:paraId="183FDB95" w14:textId="0C3E0636" w:rsidR="00767C8B" w:rsidRPr="00913830" w:rsidRDefault="00767C8B" w:rsidP="0039599D">
            <w:pPr>
              <w:spacing w:before="0" w:after="0"/>
              <w:jc w:val="center"/>
              <w:rPr>
                <w:rFonts w:eastAsia="Times New Roman" w:cs="Calibri"/>
                <w:color w:val="000000"/>
                <w:sz w:val="16"/>
                <w:szCs w:val="16"/>
                <w:lang w:val="sr-Latn-RS" w:eastAsia="sr-Latn-RS"/>
              </w:rPr>
            </w:pPr>
            <w:r w:rsidRPr="0039599D">
              <w:rPr>
                <w:sz w:val="16"/>
                <w:szCs w:val="16"/>
              </w:rPr>
              <w:t>8.28</w:t>
            </w:r>
          </w:p>
        </w:tc>
        <w:tc>
          <w:tcPr>
            <w:tcW w:w="366" w:type="pct"/>
            <w:shd w:val="clear" w:color="auto" w:fill="auto"/>
            <w:noWrap/>
            <w:vAlign w:val="center"/>
          </w:tcPr>
          <w:p w14:paraId="64D7AE5B" w14:textId="4280FCB1" w:rsidR="00767C8B" w:rsidRPr="00913830" w:rsidRDefault="00767C8B" w:rsidP="0039599D">
            <w:pPr>
              <w:spacing w:before="0" w:after="0"/>
              <w:jc w:val="center"/>
              <w:rPr>
                <w:rFonts w:eastAsia="Times New Roman" w:cs="Calibri"/>
                <w:color w:val="000000"/>
                <w:sz w:val="16"/>
                <w:szCs w:val="16"/>
                <w:lang w:val="sr-Latn-RS" w:eastAsia="sr-Latn-RS"/>
              </w:rPr>
            </w:pPr>
            <w:r w:rsidRPr="0039599D">
              <w:rPr>
                <w:sz w:val="16"/>
                <w:szCs w:val="16"/>
              </w:rPr>
              <w:t>5.413</w:t>
            </w:r>
          </w:p>
        </w:tc>
        <w:tc>
          <w:tcPr>
            <w:tcW w:w="472" w:type="pct"/>
            <w:shd w:val="clear" w:color="auto" w:fill="auto"/>
            <w:noWrap/>
            <w:vAlign w:val="center"/>
          </w:tcPr>
          <w:p w14:paraId="4148C0FC" w14:textId="696AD92E" w:rsidR="00767C8B" w:rsidRPr="00913830" w:rsidRDefault="00767C8B" w:rsidP="0039599D">
            <w:pPr>
              <w:spacing w:before="0" w:after="0"/>
              <w:jc w:val="center"/>
              <w:rPr>
                <w:rFonts w:eastAsia="Times New Roman" w:cs="Calibri"/>
                <w:color w:val="000000"/>
                <w:sz w:val="16"/>
                <w:szCs w:val="16"/>
                <w:lang w:val="sr-Latn-RS" w:eastAsia="sr-Latn-RS"/>
              </w:rPr>
            </w:pPr>
            <w:r w:rsidRPr="0039599D">
              <w:rPr>
                <w:sz w:val="16"/>
                <w:szCs w:val="16"/>
              </w:rPr>
              <w:t>0.522</w:t>
            </w:r>
          </w:p>
        </w:tc>
        <w:tc>
          <w:tcPr>
            <w:tcW w:w="506" w:type="pct"/>
            <w:shd w:val="clear" w:color="auto" w:fill="auto"/>
            <w:noWrap/>
            <w:vAlign w:val="center"/>
          </w:tcPr>
          <w:p w14:paraId="1F205AEA" w14:textId="431AB378" w:rsidR="00767C8B" w:rsidRPr="00913830" w:rsidRDefault="00767C8B" w:rsidP="0039599D">
            <w:pPr>
              <w:spacing w:before="0" w:after="0"/>
              <w:jc w:val="center"/>
              <w:rPr>
                <w:rFonts w:eastAsia="Times New Roman" w:cs="Calibri"/>
                <w:color w:val="000000"/>
                <w:sz w:val="16"/>
                <w:szCs w:val="16"/>
                <w:lang w:val="sr-Latn-RS" w:eastAsia="sr-Latn-RS"/>
              </w:rPr>
            </w:pPr>
            <w:r w:rsidRPr="0039599D">
              <w:rPr>
                <w:sz w:val="16"/>
                <w:szCs w:val="16"/>
              </w:rPr>
              <w:t>2.28</w:t>
            </w:r>
          </w:p>
        </w:tc>
      </w:tr>
      <w:tr w:rsidR="00746BDE" w:rsidRPr="0039599D" w14:paraId="6A870FD7" w14:textId="77777777" w:rsidTr="0039599D">
        <w:trPr>
          <w:trHeight w:val="315"/>
        </w:trPr>
        <w:tc>
          <w:tcPr>
            <w:tcW w:w="5000" w:type="pct"/>
            <w:gridSpan w:val="10"/>
            <w:shd w:val="clear" w:color="auto" w:fill="auto"/>
            <w:noWrap/>
            <w:vAlign w:val="center"/>
          </w:tcPr>
          <w:p w14:paraId="0FF95037" w14:textId="19B89761" w:rsidR="00746BDE" w:rsidRPr="0039599D" w:rsidRDefault="00746BDE" w:rsidP="0039599D">
            <w:pPr>
              <w:spacing w:before="0" w:after="0"/>
              <w:jc w:val="center"/>
              <w:rPr>
                <w:rFonts w:eastAsia="Times New Roman" w:cs="Calibri"/>
                <w:color w:val="000000"/>
                <w:sz w:val="16"/>
                <w:szCs w:val="16"/>
                <w:lang w:val="sr-Latn-RS" w:eastAsia="sr-Latn-RS"/>
              </w:rPr>
            </w:pPr>
            <w:r w:rsidRPr="0039599D">
              <w:rPr>
                <w:rFonts w:eastAsia="Times New Roman" w:cs="Calibri"/>
                <w:color w:val="000000"/>
                <w:sz w:val="16"/>
                <w:szCs w:val="16"/>
                <w:lang w:val="sr-Latn-RS" w:eastAsia="sr-Latn-RS"/>
              </w:rPr>
              <w:t>...</w:t>
            </w:r>
          </w:p>
        </w:tc>
      </w:tr>
      <w:tr w:rsidR="0039599D" w:rsidRPr="0039599D" w14:paraId="41896540" w14:textId="77777777" w:rsidTr="0039599D">
        <w:trPr>
          <w:trHeight w:val="315"/>
        </w:trPr>
        <w:tc>
          <w:tcPr>
            <w:tcW w:w="604" w:type="pct"/>
            <w:shd w:val="clear" w:color="auto" w:fill="auto"/>
            <w:noWrap/>
            <w:vAlign w:val="center"/>
          </w:tcPr>
          <w:p w14:paraId="5A779E58" w14:textId="287C248C"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96666.450</w:t>
            </w:r>
          </w:p>
        </w:tc>
        <w:tc>
          <w:tcPr>
            <w:tcW w:w="494" w:type="pct"/>
            <w:shd w:val="clear" w:color="auto" w:fill="auto"/>
            <w:noWrap/>
            <w:vAlign w:val="center"/>
          </w:tcPr>
          <w:p w14:paraId="3A027DBF" w14:textId="3D92D4D8"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1.000</w:t>
            </w:r>
          </w:p>
        </w:tc>
        <w:tc>
          <w:tcPr>
            <w:tcW w:w="400" w:type="pct"/>
            <w:shd w:val="clear" w:color="auto" w:fill="auto"/>
            <w:noWrap/>
            <w:vAlign w:val="center"/>
          </w:tcPr>
          <w:p w14:paraId="0C9ED1D2" w14:textId="44FC2EF8"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tcPr>
          <w:p w14:paraId="43E41911" w14:textId="19A2CB65"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1</w:t>
            </w:r>
          </w:p>
        </w:tc>
        <w:tc>
          <w:tcPr>
            <w:tcW w:w="610" w:type="pct"/>
            <w:shd w:val="clear" w:color="auto" w:fill="auto"/>
            <w:noWrap/>
            <w:vAlign w:val="center"/>
          </w:tcPr>
          <w:p w14:paraId="20A2685C" w14:textId="1561995E"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tcPr>
          <w:p w14:paraId="118A5A55" w14:textId="5C455D0D"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1</w:t>
            </w:r>
          </w:p>
        </w:tc>
        <w:tc>
          <w:tcPr>
            <w:tcW w:w="487" w:type="pct"/>
            <w:shd w:val="clear" w:color="auto" w:fill="auto"/>
            <w:noWrap/>
            <w:vAlign w:val="center"/>
          </w:tcPr>
          <w:p w14:paraId="03B8183E" w14:textId="6C0F9483"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8.5</w:t>
            </w:r>
          </w:p>
        </w:tc>
        <w:tc>
          <w:tcPr>
            <w:tcW w:w="366" w:type="pct"/>
            <w:shd w:val="clear" w:color="auto" w:fill="auto"/>
            <w:noWrap/>
            <w:vAlign w:val="center"/>
          </w:tcPr>
          <w:p w14:paraId="4886C030" w14:textId="2CC148CC"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4.145</w:t>
            </w:r>
          </w:p>
        </w:tc>
        <w:tc>
          <w:tcPr>
            <w:tcW w:w="472" w:type="pct"/>
            <w:shd w:val="clear" w:color="auto" w:fill="auto"/>
            <w:noWrap/>
            <w:vAlign w:val="center"/>
          </w:tcPr>
          <w:p w14:paraId="7487DE15" w14:textId="0E128078"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0.406</w:t>
            </w:r>
          </w:p>
        </w:tc>
        <w:tc>
          <w:tcPr>
            <w:tcW w:w="506" w:type="pct"/>
            <w:shd w:val="clear" w:color="auto" w:fill="auto"/>
            <w:noWrap/>
            <w:vAlign w:val="center"/>
          </w:tcPr>
          <w:p w14:paraId="1B5FB402" w14:textId="76D74492"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1.898</w:t>
            </w:r>
          </w:p>
        </w:tc>
      </w:tr>
      <w:tr w:rsidR="0039599D" w:rsidRPr="0039599D" w14:paraId="13617DB7" w14:textId="77777777" w:rsidTr="0039599D">
        <w:trPr>
          <w:trHeight w:val="315"/>
        </w:trPr>
        <w:tc>
          <w:tcPr>
            <w:tcW w:w="604" w:type="pct"/>
            <w:shd w:val="clear" w:color="auto" w:fill="auto"/>
            <w:noWrap/>
            <w:vAlign w:val="center"/>
          </w:tcPr>
          <w:p w14:paraId="4EFE2EC0" w14:textId="3B6E9218"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tcPr>
          <w:p w14:paraId="0854682D" w14:textId="1BE782B4"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tcPr>
          <w:p w14:paraId="292D3375" w14:textId="1B8E0105"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tcPr>
          <w:p w14:paraId="461BD051" w14:textId="31C9D730"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tcPr>
          <w:p w14:paraId="341391D6" w14:textId="27511306"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tcPr>
          <w:p w14:paraId="6DCE937C" w14:textId="6C5384B3"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tcPr>
          <w:p w14:paraId="28FCE699" w14:textId="5B16B7B8"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6.78</w:t>
            </w:r>
          </w:p>
        </w:tc>
        <w:tc>
          <w:tcPr>
            <w:tcW w:w="366" w:type="pct"/>
            <w:shd w:val="clear" w:color="auto" w:fill="auto"/>
            <w:noWrap/>
            <w:vAlign w:val="center"/>
          </w:tcPr>
          <w:p w14:paraId="09273A73" w14:textId="1192EEE1"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5.242</w:t>
            </w:r>
          </w:p>
        </w:tc>
        <w:tc>
          <w:tcPr>
            <w:tcW w:w="472" w:type="pct"/>
            <w:shd w:val="clear" w:color="auto" w:fill="auto"/>
            <w:noWrap/>
            <w:vAlign w:val="center"/>
          </w:tcPr>
          <w:p w14:paraId="40FA1077" w14:textId="4CE2E9D5"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0.58</w:t>
            </w:r>
          </w:p>
        </w:tc>
        <w:tc>
          <w:tcPr>
            <w:tcW w:w="506" w:type="pct"/>
            <w:shd w:val="clear" w:color="auto" w:fill="auto"/>
            <w:noWrap/>
            <w:vAlign w:val="center"/>
          </w:tcPr>
          <w:p w14:paraId="54567208" w14:textId="38315DC8"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0.062</w:t>
            </w:r>
          </w:p>
        </w:tc>
      </w:tr>
      <w:tr w:rsidR="0039599D" w:rsidRPr="0039599D" w14:paraId="58410476" w14:textId="77777777" w:rsidTr="0039599D">
        <w:trPr>
          <w:trHeight w:val="315"/>
        </w:trPr>
        <w:tc>
          <w:tcPr>
            <w:tcW w:w="604" w:type="pct"/>
            <w:shd w:val="clear" w:color="auto" w:fill="auto"/>
            <w:noWrap/>
            <w:vAlign w:val="center"/>
          </w:tcPr>
          <w:p w14:paraId="1E20A309" w14:textId="58E78D7C"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tcPr>
          <w:p w14:paraId="651B43AB" w14:textId="462BA0FE"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tcPr>
          <w:p w14:paraId="61FFE830" w14:textId="12CC0D0A"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tcPr>
          <w:p w14:paraId="317B56F3" w14:textId="391CE72A"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tcPr>
          <w:p w14:paraId="63C37620" w14:textId="24DD0862"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tcPr>
          <w:p w14:paraId="5C979F43" w14:textId="4E974E13"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tcPr>
          <w:p w14:paraId="3FC5ADEC" w14:textId="1D9B0AC4"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7.35</w:t>
            </w:r>
          </w:p>
        </w:tc>
        <w:tc>
          <w:tcPr>
            <w:tcW w:w="366" w:type="pct"/>
            <w:shd w:val="clear" w:color="auto" w:fill="auto"/>
            <w:noWrap/>
            <w:vAlign w:val="center"/>
          </w:tcPr>
          <w:p w14:paraId="1DAE15BF" w14:textId="5FF8CF34"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5.245</w:t>
            </w:r>
          </w:p>
        </w:tc>
        <w:tc>
          <w:tcPr>
            <w:tcW w:w="472" w:type="pct"/>
            <w:shd w:val="clear" w:color="auto" w:fill="auto"/>
            <w:noWrap/>
            <w:vAlign w:val="center"/>
          </w:tcPr>
          <w:p w14:paraId="3A850027" w14:textId="6731DB19"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0.295</w:t>
            </w:r>
          </w:p>
        </w:tc>
        <w:tc>
          <w:tcPr>
            <w:tcW w:w="506" w:type="pct"/>
            <w:shd w:val="clear" w:color="auto" w:fill="auto"/>
            <w:noWrap/>
            <w:vAlign w:val="center"/>
          </w:tcPr>
          <w:p w14:paraId="1B63A1C0" w14:textId="7EAF4CC8"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-0.181</w:t>
            </w:r>
          </w:p>
        </w:tc>
      </w:tr>
      <w:tr w:rsidR="0039599D" w:rsidRPr="0039599D" w14:paraId="3B9E920A" w14:textId="77777777" w:rsidTr="0039599D">
        <w:trPr>
          <w:trHeight w:val="315"/>
        </w:trPr>
        <w:tc>
          <w:tcPr>
            <w:tcW w:w="604" w:type="pct"/>
            <w:shd w:val="clear" w:color="auto" w:fill="auto"/>
            <w:noWrap/>
            <w:vAlign w:val="center"/>
          </w:tcPr>
          <w:p w14:paraId="5155082B" w14:textId="26219AC8"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tcPr>
          <w:p w14:paraId="462749A4" w14:textId="723BA386"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tcPr>
          <w:p w14:paraId="6C40E142" w14:textId="74FD46B6"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tcPr>
          <w:p w14:paraId="100E8229" w14:textId="338E97D9"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tcPr>
          <w:p w14:paraId="17A42900" w14:textId="006430AF"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tcPr>
          <w:p w14:paraId="0FC5B121" w14:textId="1EAC5CAD"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1</w:t>
            </w:r>
          </w:p>
        </w:tc>
        <w:tc>
          <w:tcPr>
            <w:tcW w:w="487" w:type="pct"/>
            <w:shd w:val="clear" w:color="auto" w:fill="auto"/>
            <w:noWrap/>
            <w:vAlign w:val="center"/>
          </w:tcPr>
          <w:p w14:paraId="2E290772" w14:textId="556C2E0B"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7.39</w:t>
            </w:r>
          </w:p>
        </w:tc>
        <w:tc>
          <w:tcPr>
            <w:tcW w:w="366" w:type="pct"/>
            <w:shd w:val="clear" w:color="auto" w:fill="auto"/>
            <w:noWrap/>
            <w:vAlign w:val="center"/>
          </w:tcPr>
          <w:p w14:paraId="770F6CB0" w14:textId="322F3204"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4.942</w:t>
            </w:r>
          </w:p>
        </w:tc>
        <w:tc>
          <w:tcPr>
            <w:tcW w:w="472" w:type="pct"/>
            <w:shd w:val="clear" w:color="auto" w:fill="auto"/>
            <w:noWrap/>
            <w:vAlign w:val="center"/>
          </w:tcPr>
          <w:p w14:paraId="25C998B2" w14:textId="579E8B02"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0.258</w:t>
            </w:r>
          </w:p>
        </w:tc>
        <w:tc>
          <w:tcPr>
            <w:tcW w:w="506" w:type="pct"/>
            <w:shd w:val="clear" w:color="auto" w:fill="auto"/>
            <w:noWrap/>
            <w:vAlign w:val="center"/>
          </w:tcPr>
          <w:p w14:paraId="41F3A8C6" w14:textId="7847B778"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1.382</w:t>
            </w:r>
          </w:p>
        </w:tc>
      </w:tr>
      <w:tr w:rsidR="0039599D" w:rsidRPr="0039599D" w14:paraId="449FA9A5" w14:textId="77777777" w:rsidTr="0039599D">
        <w:trPr>
          <w:trHeight w:val="315"/>
        </w:trPr>
        <w:tc>
          <w:tcPr>
            <w:tcW w:w="604" w:type="pct"/>
            <w:shd w:val="clear" w:color="auto" w:fill="auto"/>
            <w:noWrap/>
            <w:vAlign w:val="center"/>
          </w:tcPr>
          <w:p w14:paraId="4D5568DE" w14:textId="72567E70"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tcPr>
          <w:p w14:paraId="60A4E151" w14:textId="7B3D74A9"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tcPr>
          <w:p w14:paraId="3064C402" w14:textId="7FB17FD6"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tcPr>
          <w:p w14:paraId="24C04391" w14:textId="57822C1A"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tcPr>
          <w:p w14:paraId="7EECC60C" w14:textId="37E2C8EC"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tcPr>
          <w:p w14:paraId="5C76B949" w14:textId="1242D9A8"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tcPr>
          <w:p w14:paraId="51AF1A55" w14:textId="29A4C64B"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7.02</w:t>
            </w:r>
          </w:p>
        </w:tc>
        <w:tc>
          <w:tcPr>
            <w:tcW w:w="366" w:type="pct"/>
            <w:shd w:val="clear" w:color="auto" w:fill="auto"/>
            <w:noWrap/>
            <w:vAlign w:val="center"/>
          </w:tcPr>
          <w:p w14:paraId="45920F89" w14:textId="3157F0EE"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5.563</w:t>
            </w:r>
          </w:p>
        </w:tc>
        <w:tc>
          <w:tcPr>
            <w:tcW w:w="472" w:type="pct"/>
            <w:shd w:val="clear" w:color="auto" w:fill="auto"/>
            <w:noWrap/>
            <w:vAlign w:val="center"/>
          </w:tcPr>
          <w:p w14:paraId="0F6AE0C0" w14:textId="15C2B175"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0.544</w:t>
            </w:r>
          </w:p>
        </w:tc>
        <w:tc>
          <w:tcPr>
            <w:tcW w:w="506" w:type="pct"/>
            <w:shd w:val="clear" w:color="auto" w:fill="auto"/>
            <w:noWrap/>
            <w:vAlign w:val="center"/>
          </w:tcPr>
          <w:p w14:paraId="123CE165" w14:textId="691E848F"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0.075</w:t>
            </w:r>
          </w:p>
        </w:tc>
      </w:tr>
      <w:tr w:rsidR="0039599D" w:rsidRPr="0039599D" w14:paraId="12D0E4C0" w14:textId="77777777" w:rsidTr="0039599D">
        <w:trPr>
          <w:trHeight w:val="315"/>
        </w:trPr>
        <w:tc>
          <w:tcPr>
            <w:tcW w:w="604" w:type="pct"/>
            <w:shd w:val="clear" w:color="auto" w:fill="auto"/>
            <w:noWrap/>
            <w:vAlign w:val="center"/>
          </w:tcPr>
          <w:p w14:paraId="3C3C037F" w14:textId="52D03E7C"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tcPr>
          <w:p w14:paraId="655EEFD5" w14:textId="19FA0167"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tcPr>
          <w:p w14:paraId="0623B046" w14:textId="2714848B"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tcPr>
          <w:p w14:paraId="222E2481" w14:textId="592D7DD8"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tcPr>
          <w:p w14:paraId="5F3B2FBE" w14:textId="4141ADE5"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tcPr>
          <w:p w14:paraId="7CA385C7" w14:textId="0FB90FA6"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tcPr>
          <w:p w14:paraId="285029DE" w14:textId="499A0488"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7.43</w:t>
            </w:r>
          </w:p>
        </w:tc>
        <w:tc>
          <w:tcPr>
            <w:tcW w:w="366" w:type="pct"/>
            <w:shd w:val="clear" w:color="auto" w:fill="auto"/>
            <w:noWrap/>
            <w:vAlign w:val="center"/>
          </w:tcPr>
          <w:p w14:paraId="2662E5D1" w14:textId="34ACBC35"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5.444</w:t>
            </w:r>
          </w:p>
        </w:tc>
        <w:tc>
          <w:tcPr>
            <w:tcW w:w="472" w:type="pct"/>
            <w:shd w:val="clear" w:color="auto" w:fill="auto"/>
            <w:noWrap/>
            <w:vAlign w:val="center"/>
          </w:tcPr>
          <w:p w14:paraId="3B17574C" w14:textId="61BD1F2F"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0.332</w:t>
            </w:r>
          </w:p>
        </w:tc>
        <w:tc>
          <w:tcPr>
            <w:tcW w:w="506" w:type="pct"/>
            <w:shd w:val="clear" w:color="auto" w:fill="auto"/>
            <w:noWrap/>
            <w:vAlign w:val="center"/>
          </w:tcPr>
          <w:p w14:paraId="097CC652" w14:textId="2F62376D"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-0.315</w:t>
            </w:r>
          </w:p>
        </w:tc>
      </w:tr>
      <w:tr w:rsidR="0039599D" w:rsidRPr="0039599D" w14:paraId="55B0DCF4" w14:textId="77777777" w:rsidTr="0039599D">
        <w:trPr>
          <w:trHeight w:val="315"/>
        </w:trPr>
        <w:tc>
          <w:tcPr>
            <w:tcW w:w="604" w:type="pct"/>
            <w:shd w:val="clear" w:color="auto" w:fill="auto"/>
            <w:noWrap/>
            <w:vAlign w:val="center"/>
          </w:tcPr>
          <w:p w14:paraId="72E44CA0" w14:textId="65F512E8"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tcPr>
          <w:p w14:paraId="3B5C7CC7" w14:textId="05E344F9"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tcPr>
          <w:p w14:paraId="662BB26F" w14:textId="7AD9AD24"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tcPr>
          <w:p w14:paraId="35694BDA" w14:textId="0BD4301F"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tcPr>
          <w:p w14:paraId="238FC9E1" w14:textId="6646DA6B"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tcPr>
          <w:p w14:paraId="5E4094DA" w14:textId="47362DD0"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tcPr>
          <w:p w14:paraId="6E9B6069" w14:textId="04885078"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6.97</w:t>
            </w:r>
          </w:p>
        </w:tc>
        <w:tc>
          <w:tcPr>
            <w:tcW w:w="366" w:type="pct"/>
            <w:shd w:val="clear" w:color="auto" w:fill="auto"/>
            <w:noWrap/>
            <w:vAlign w:val="center"/>
          </w:tcPr>
          <w:p w14:paraId="59CE8797" w14:textId="7C83BF24"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5.426</w:t>
            </w:r>
          </w:p>
        </w:tc>
        <w:tc>
          <w:tcPr>
            <w:tcW w:w="472" w:type="pct"/>
            <w:shd w:val="clear" w:color="auto" w:fill="auto"/>
            <w:noWrap/>
            <w:vAlign w:val="center"/>
          </w:tcPr>
          <w:p w14:paraId="633497FA" w14:textId="6548C714"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0.552</w:t>
            </w:r>
          </w:p>
        </w:tc>
        <w:tc>
          <w:tcPr>
            <w:tcW w:w="506" w:type="pct"/>
            <w:shd w:val="clear" w:color="auto" w:fill="auto"/>
            <w:noWrap/>
            <w:vAlign w:val="center"/>
          </w:tcPr>
          <w:p w14:paraId="73B72FC7" w14:textId="340A45F9"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0.009</w:t>
            </w:r>
          </w:p>
        </w:tc>
      </w:tr>
      <w:tr w:rsidR="0039599D" w:rsidRPr="0039599D" w14:paraId="6D931E8B" w14:textId="77777777" w:rsidTr="0039599D">
        <w:trPr>
          <w:trHeight w:val="315"/>
        </w:trPr>
        <w:tc>
          <w:tcPr>
            <w:tcW w:w="604" w:type="pct"/>
            <w:shd w:val="clear" w:color="auto" w:fill="auto"/>
            <w:noWrap/>
            <w:vAlign w:val="center"/>
          </w:tcPr>
          <w:p w14:paraId="7D1959A0" w14:textId="092B3707"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tcPr>
          <w:p w14:paraId="509038EC" w14:textId="59EACBA7"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tcPr>
          <w:p w14:paraId="47E4A1DB" w14:textId="1F93A3C8"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tcPr>
          <w:p w14:paraId="29222C85" w14:textId="7DFEE886"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tcPr>
          <w:p w14:paraId="1F12BB9E" w14:textId="372B57B6"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tcPr>
          <w:p w14:paraId="2CB452F3" w14:textId="14D0C4DA"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tcPr>
          <w:p w14:paraId="1CDEF0BF" w14:textId="281C899B"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7.19</w:t>
            </w:r>
          </w:p>
        </w:tc>
        <w:tc>
          <w:tcPr>
            <w:tcW w:w="366" w:type="pct"/>
            <w:shd w:val="clear" w:color="auto" w:fill="auto"/>
            <w:noWrap/>
            <w:vAlign w:val="center"/>
          </w:tcPr>
          <w:p w14:paraId="2FC69944" w14:textId="69D7D1CD"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5.273</w:t>
            </w:r>
          </w:p>
        </w:tc>
        <w:tc>
          <w:tcPr>
            <w:tcW w:w="472" w:type="pct"/>
            <w:shd w:val="clear" w:color="auto" w:fill="auto"/>
            <w:noWrap/>
            <w:vAlign w:val="center"/>
          </w:tcPr>
          <w:p w14:paraId="70F2A349" w14:textId="1798A527"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0.433</w:t>
            </w:r>
          </w:p>
        </w:tc>
        <w:tc>
          <w:tcPr>
            <w:tcW w:w="506" w:type="pct"/>
            <w:shd w:val="clear" w:color="auto" w:fill="auto"/>
            <w:noWrap/>
            <w:vAlign w:val="center"/>
          </w:tcPr>
          <w:p w14:paraId="276F22B4" w14:textId="5604906C"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-0.063</w:t>
            </w:r>
          </w:p>
        </w:tc>
      </w:tr>
      <w:tr w:rsidR="0039599D" w:rsidRPr="0039599D" w14:paraId="43967EA5" w14:textId="77777777" w:rsidTr="0039599D">
        <w:trPr>
          <w:trHeight w:val="315"/>
        </w:trPr>
        <w:tc>
          <w:tcPr>
            <w:tcW w:w="604" w:type="pct"/>
            <w:shd w:val="clear" w:color="auto" w:fill="auto"/>
            <w:noWrap/>
            <w:vAlign w:val="center"/>
          </w:tcPr>
          <w:p w14:paraId="40079B74" w14:textId="0825757A"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tcPr>
          <w:p w14:paraId="7EE38CC6" w14:textId="20186E90"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tcPr>
          <w:p w14:paraId="7A9C8DC0" w14:textId="6456485A"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tcPr>
          <w:p w14:paraId="62F6E879" w14:textId="5D228DD1"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tcPr>
          <w:p w14:paraId="35414F30" w14:textId="11A78510"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tcPr>
          <w:p w14:paraId="2587A720" w14:textId="62A86D22"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tcPr>
          <w:p w14:paraId="6023436D" w14:textId="726FA5A3"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6.83</w:t>
            </w:r>
          </w:p>
        </w:tc>
        <w:tc>
          <w:tcPr>
            <w:tcW w:w="366" w:type="pct"/>
            <w:shd w:val="clear" w:color="auto" w:fill="auto"/>
            <w:noWrap/>
            <w:vAlign w:val="center"/>
          </w:tcPr>
          <w:p w14:paraId="43DE8D68" w14:textId="40325AD2"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5.19</w:t>
            </w:r>
          </w:p>
        </w:tc>
        <w:tc>
          <w:tcPr>
            <w:tcW w:w="472" w:type="pct"/>
            <w:shd w:val="clear" w:color="auto" w:fill="auto"/>
            <w:noWrap/>
            <w:vAlign w:val="center"/>
          </w:tcPr>
          <w:p w14:paraId="4BE39C55" w14:textId="66D306D3"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0.461</w:t>
            </w:r>
          </w:p>
        </w:tc>
        <w:tc>
          <w:tcPr>
            <w:tcW w:w="506" w:type="pct"/>
            <w:shd w:val="clear" w:color="auto" w:fill="auto"/>
            <w:noWrap/>
            <w:vAlign w:val="center"/>
          </w:tcPr>
          <w:p w14:paraId="75F142A4" w14:textId="48B9B301"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-0.196</w:t>
            </w:r>
          </w:p>
        </w:tc>
      </w:tr>
      <w:tr w:rsidR="0039599D" w:rsidRPr="0039599D" w14:paraId="2D55582D" w14:textId="77777777" w:rsidTr="0039599D">
        <w:trPr>
          <w:trHeight w:val="315"/>
        </w:trPr>
        <w:tc>
          <w:tcPr>
            <w:tcW w:w="604" w:type="pct"/>
            <w:shd w:val="clear" w:color="auto" w:fill="auto"/>
            <w:noWrap/>
            <w:vAlign w:val="center"/>
          </w:tcPr>
          <w:p w14:paraId="7F855D86" w14:textId="17150BDA"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tcPr>
          <w:p w14:paraId="3A61D8DD" w14:textId="1D745F8C"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tcPr>
          <w:p w14:paraId="56C96170" w14:textId="14823DED"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tcPr>
          <w:p w14:paraId="06ABE6A6" w14:textId="638E6C2F"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tcPr>
          <w:p w14:paraId="0BBC236F" w14:textId="69D94507"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tcPr>
          <w:p w14:paraId="4BA8047C" w14:textId="4F3A0458"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tcPr>
          <w:p w14:paraId="07C0D481" w14:textId="7FC585E5"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7.58</w:t>
            </w:r>
          </w:p>
        </w:tc>
        <w:tc>
          <w:tcPr>
            <w:tcW w:w="366" w:type="pct"/>
            <w:shd w:val="clear" w:color="auto" w:fill="auto"/>
            <w:noWrap/>
            <w:vAlign w:val="center"/>
          </w:tcPr>
          <w:p w14:paraId="0BA508F9" w14:textId="57AEB1E7"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5.169</w:t>
            </w:r>
          </w:p>
        </w:tc>
        <w:tc>
          <w:tcPr>
            <w:tcW w:w="472" w:type="pct"/>
            <w:shd w:val="clear" w:color="auto" w:fill="auto"/>
            <w:noWrap/>
            <w:vAlign w:val="center"/>
          </w:tcPr>
          <w:p w14:paraId="5555DD19" w14:textId="63EBD3BE"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0.47</w:t>
            </w:r>
          </w:p>
        </w:tc>
        <w:tc>
          <w:tcPr>
            <w:tcW w:w="506" w:type="pct"/>
            <w:shd w:val="clear" w:color="auto" w:fill="auto"/>
            <w:noWrap/>
            <w:vAlign w:val="center"/>
          </w:tcPr>
          <w:p w14:paraId="5A0FDB1A" w14:textId="6926FE48"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-0.217</w:t>
            </w:r>
          </w:p>
        </w:tc>
      </w:tr>
      <w:tr w:rsidR="0039599D" w:rsidRPr="0039599D" w14:paraId="620156AB" w14:textId="77777777" w:rsidTr="0039599D">
        <w:trPr>
          <w:trHeight w:val="315"/>
        </w:trPr>
        <w:tc>
          <w:tcPr>
            <w:tcW w:w="604" w:type="pct"/>
            <w:shd w:val="clear" w:color="auto" w:fill="auto"/>
            <w:noWrap/>
            <w:vAlign w:val="center"/>
          </w:tcPr>
          <w:p w14:paraId="3E24871F" w14:textId="17F5FD54"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tcPr>
          <w:p w14:paraId="1A6082C3" w14:textId="53044BF1"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tcPr>
          <w:p w14:paraId="038525CC" w14:textId="66E240E1"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tcPr>
          <w:p w14:paraId="2607A401" w14:textId="10DFD9E6"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1</w:t>
            </w:r>
          </w:p>
        </w:tc>
        <w:tc>
          <w:tcPr>
            <w:tcW w:w="610" w:type="pct"/>
            <w:shd w:val="clear" w:color="auto" w:fill="auto"/>
            <w:noWrap/>
            <w:vAlign w:val="center"/>
          </w:tcPr>
          <w:p w14:paraId="0E2B8A3D" w14:textId="76B6FE14"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tcPr>
          <w:p w14:paraId="376311C3" w14:textId="653E47F0"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tcPr>
          <w:p w14:paraId="6EAD4A3E" w14:textId="215ABA00"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7.63</w:t>
            </w:r>
          </w:p>
        </w:tc>
        <w:tc>
          <w:tcPr>
            <w:tcW w:w="366" w:type="pct"/>
            <w:shd w:val="clear" w:color="auto" w:fill="auto"/>
            <w:noWrap/>
            <w:vAlign w:val="center"/>
          </w:tcPr>
          <w:p w14:paraId="090615A7" w14:textId="309E567C"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4.555</w:t>
            </w:r>
          </w:p>
        </w:tc>
        <w:tc>
          <w:tcPr>
            <w:tcW w:w="472" w:type="pct"/>
            <w:shd w:val="clear" w:color="auto" w:fill="auto"/>
            <w:noWrap/>
            <w:vAlign w:val="center"/>
          </w:tcPr>
          <w:p w14:paraId="49795526" w14:textId="4568ADA3"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0.283</w:t>
            </w:r>
          </w:p>
        </w:tc>
        <w:tc>
          <w:tcPr>
            <w:tcW w:w="506" w:type="pct"/>
            <w:shd w:val="clear" w:color="auto" w:fill="auto"/>
            <w:noWrap/>
            <w:vAlign w:val="center"/>
          </w:tcPr>
          <w:p w14:paraId="4EC47675" w14:textId="5BDA10D8"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1.29</w:t>
            </w:r>
          </w:p>
        </w:tc>
      </w:tr>
      <w:tr w:rsidR="0039599D" w:rsidRPr="0039599D" w14:paraId="02CBD183" w14:textId="77777777" w:rsidTr="0039599D">
        <w:trPr>
          <w:trHeight w:val="315"/>
        </w:trPr>
        <w:tc>
          <w:tcPr>
            <w:tcW w:w="604" w:type="pct"/>
            <w:shd w:val="clear" w:color="auto" w:fill="auto"/>
            <w:noWrap/>
            <w:vAlign w:val="center"/>
          </w:tcPr>
          <w:p w14:paraId="6866DB19" w14:textId="57C50503"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tcPr>
          <w:p w14:paraId="4CF04D62" w14:textId="3C5E1610"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tcPr>
          <w:p w14:paraId="39D599BE" w14:textId="008132B7"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tcPr>
          <w:p w14:paraId="5277F280" w14:textId="77835438"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tcPr>
          <w:p w14:paraId="5E9F0897" w14:textId="0442DBF7"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tcPr>
          <w:p w14:paraId="16197EDF" w14:textId="13FD35E0"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tcPr>
          <w:p w14:paraId="6B24E7B5" w14:textId="74088D1E"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6.94</w:t>
            </w:r>
          </w:p>
        </w:tc>
        <w:tc>
          <w:tcPr>
            <w:tcW w:w="366" w:type="pct"/>
            <w:shd w:val="clear" w:color="auto" w:fill="auto"/>
            <w:noWrap/>
            <w:vAlign w:val="center"/>
          </w:tcPr>
          <w:p w14:paraId="01D9FB86" w14:textId="071AA154"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5.464</w:t>
            </w:r>
          </w:p>
        </w:tc>
        <w:tc>
          <w:tcPr>
            <w:tcW w:w="472" w:type="pct"/>
            <w:shd w:val="clear" w:color="auto" w:fill="auto"/>
            <w:noWrap/>
            <w:vAlign w:val="center"/>
          </w:tcPr>
          <w:p w14:paraId="22930565" w14:textId="23ABB682"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0.259</w:t>
            </w:r>
          </w:p>
        </w:tc>
        <w:tc>
          <w:tcPr>
            <w:tcW w:w="506" w:type="pct"/>
            <w:shd w:val="clear" w:color="auto" w:fill="auto"/>
            <w:noWrap/>
            <w:vAlign w:val="center"/>
          </w:tcPr>
          <w:p w14:paraId="7D42B2A1" w14:textId="0D856C66"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0.134</w:t>
            </w:r>
          </w:p>
        </w:tc>
      </w:tr>
      <w:tr w:rsidR="0039599D" w:rsidRPr="0039599D" w14:paraId="4306DFE8" w14:textId="77777777" w:rsidTr="0039599D">
        <w:trPr>
          <w:trHeight w:val="315"/>
        </w:trPr>
        <w:tc>
          <w:tcPr>
            <w:tcW w:w="604" w:type="pct"/>
            <w:shd w:val="clear" w:color="auto" w:fill="auto"/>
            <w:noWrap/>
            <w:vAlign w:val="center"/>
          </w:tcPr>
          <w:p w14:paraId="60314E5A" w14:textId="529C505B"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tcPr>
          <w:p w14:paraId="5E97C2A4" w14:textId="51C3A1F4"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tcPr>
          <w:p w14:paraId="7F12E64A" w14:textId="5928E0E2"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tcPr>
          <w:p w14:paraId="1319A77C" w14:textId="104836BD"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tcPr>
          <w:p w14:paraId="5A3B0A99" w14:textId="3D68B512"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tcPr>
          <w:p w14:paraId="26128585" w14:textId="74F74728"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tcPr>
          <w:p w14:paraId="2F991569" w14:textId="4D71BEA5"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6.92</w:t>
            </w:r>
          </w:p>
        </w:tc>
        <w:tc>
          <w:tcPr>
            <w:tcW w:w="366" w:type="pct"/>
            <w:shd w:val="clear" w:color="auto" w:fill="auto"/>
            <w:noWrap/>
            <w:vAlign w:val="center"/>
          </w:tcPr>
          <w:p w14:paraId="1ED72BAC" w14:textId="1FAB9630"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5.304</w:t>
            </w:r>
          </w:p>
        </w:tc>
        <w:tc>
          <w:tcPr>
            <w:tcW w:w="472" w:type="pct"/>
            <w:shd w:val="clear" w:color="auto" w:fill="auto"/>
            <w:noWrap/>
            <w:vAlign w:val="center"/>
          </w:tcPr>
          <w:p w14:paraId="3FB326BF" w14:textId="14AD658A"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0.424</w:t>
            </w:r>
          </w:p>
        </w:tc>
        <w:tc>
          <w:tcPr>
            <w:tcW w:w="506" w:type="pct"/>
            <w:shd w:val="clear" w:color="auto" w:fill="auto"/>
            <w:noWrap/>
            <w:vAlign w:val="center"/>
          </w:tcPr>
          <w:p w14:paraId="56E24F3E" w14:textId="5B1D1827"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0.028</w:t>
            </w:r>
          </w:p>
        </w:tc>
      </w:tr>
      <w:tr w:rsidR="0039599D" w:rsidRPr="0039599D" w14:paraId="603C7A8A" w14:textId="77777777" w:rsidTr="0039599D">
        <w:trPr>
          <w:trHeight w:val="315"/>
        </w:trPr>
        <w:tc>
          <w:tcPr>
            <w:tcW w:w="604" w:type="pct"/>
            <w:shd w:val="clear" w:color="auto" w:fill="auto"/>
            <w:noWrap/>
            <w:vAlign w:val="center"/>
          </w:tcPr>
          <w:p w14:paraId="79C88DB6" w14:textId="063472C7"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tcPr>
          <w:p w14:paraId="1DF1756E" w14:textId="2523F145"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tcPr>
          <w:p w14:paraId="5332CF9B" w14:textId="6EEBA7A6"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tcPr>
          <w:p w14:paraId="5F53548F" w14:textId="618B855C"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tcPr>
          <w:p w14:paraId="1ADFD754" w14:textId="40881694"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tcPr>
          <w:p w14:paraId="18548224" w14:textId="3FD704C8"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tcPr>
          <w:p w14:paraId="7D1163A2" w14:textId="36DF3E67"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6.83</w:t>
            </w:r>
          </w:p>
        </w:tc>
        <w:tc>
          <w:tcPr>
            <w:tcW w:w="366" w:type="pct"/>
            <w:shd w:val="clear" w:color="auto" w:fill="auto"/>
            <w:noWrap/>
            <w:vAlign w:val="center"/>
          </w:tcPr>
          <w:p w14:paraId="1F2845C6" w14:textId="2D69D5C7"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5.208</w:t>
            </w:r>
          </w:p>
        </w:tc>
        <w:tc>
          <w:tcPr>
            <w:tcW w:w="472" w:type="pct"/>
            <w:shd w:val="clear" w:color="auto" w:fill="auto"/>
            <w:noWrap/>
            <w:vAlign w:val="center"/>
          </w:tcPr>
          <w:p w14:paraId="67098396" w14:textId="503AFD65"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0.497</w:t>
            </w:r>
          </w:p>
        </w:tc>
        <w:tc>
          <w:tcPr>
            <w:tcW w:w="506" w:type="pct"/>
            <w:shd w:val="clear" w:color="auto" w:fill="auto"/>
            <w:noWrap/>
            <w:vAlign w:val="center"/>
          </w:tcPr>
          <w:p w14:paraId="7309F658" w14:textId="0217FE30"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-0.142</w:t>
            </w:r>
          </w:p>
        </w:tc>
      </w:tr>
      <w:tr w:rsidR="0039599D" w:rsidRPr="0039599D" w14:paraId="5B5F8006" w14:textId="77777777" w:rsidTr="0039599D">
        <w:trPr>
          <w:trHeight w:val="315"/>
        </w:trPr>
        <w:tc>
          <w:tcPr>
            <w:tcW w:w="604" w:type="pct"/>
            <w:shd w:val="clear" w:color="auto" w:fill="auto"/>
            <w:noWrap/>
            <w:vAlign w:val="center"/>
          </w:tcPr>
          <w:p w14:paraId="0B35E19E" w14:textId="6D7F1987"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tcPr>
          <w:p w14:paraId="2D1D29F0" w14:textId="400342B0"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tcPr>
          <w:p w14:paraId="52DEB739" w14:textId="5822210B"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tcPr>
          <w:p w14:paraId="4527FA25" w14:textId="305A8B4C"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tcPr>
          <w:p w14:paraId="29B4419F" w14:textId="1C9EB675"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tcPr>
          <w:p w14:paraId="034644FC" w14:textId="0FCA63CC"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tcPr>
          <w:p w14:paraId="39D13151" w14:textId="626352E9"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7.17</w:t>
            </w:r>
          </w:p>
        </w:tc>
        <w:tc>
          <w:tcPr>
            <w:tcW w:w="366" w:type="pct"/>
            <w:shd w:val="clear" w:color="auto" w:fill="auto"/>
            <w:noWrap/>
            <w:vAlign w:val="center"/>
          </w:tcPr>
          <w:p w14:paraId="295DCBFE" w14:textId="1770B1A1"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5.301</w:t>
            </w:r>
          </w:p>
        </w:tc>
        <w:tc>
          <w:tcPr>
            <w:tcW w:w="472" w:type="pct"/>
            <w:shd w:val="clear" w:color="auto" w:fill="auto"/>
            <w:noWrap/>
            <w:vAlign w:val="center"/>
          </w:tcPr>
          <w:p w14:paraId="0E679868" w14:textId="595B2010"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0.506</w:t>
            </w:r>
          </w:p>
        </w:tc>
        <w:tc>
          <w:tcPr>
            <w:tcW w:w="506" w:type="pct"/>
            <w:shd w:val="clear" w:color="auto" w:fill="auto"/>
            <w:noWrap/>
            <w:vAlign w:val="center"/>
          </w:tcPr>
          <w:p w14:paraId="374E8C0C" w14:textId="17E9F6F5"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-0.218</w:t>
            </w:r>
          </w:p>
        </w:tc>
      </w:tr>
      <w:tr w:rsidR="0039599D" w:rsidRPr="0039599D" w14:paraId="272BC786" w14:textId="77777777" w:rsidTr="0039599D">
        <w:trPr>
          <w:trHeight w:val="315"/>
        </w:trPr>
        <w:tc>
          <w:tcPr>
            <w:tcW w:w="604" w:type="pct"/>
            <w:shd w:val="clear" w:color="auto" w:fill="auto"/>
            <w:noWrap/>
            <w:vAlign w:val="center"/>
          </w:tcPr>
          <w:p w14:paraId="79BF53F2" w14:textId="05B3D320"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tcPr>
          <w:p w14:paraId="3C046F17" w14:textId="5EB715FD"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tcPr>
          <w:p w14:paraId="112688B8" w14:textId="30D380EC"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tcPr>
          <w:p w14:paraId="0E57B9A3" w14:textId="3D05BACC"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tcPr>
          <w:p w14:paraId="56795DEF" w14:textId="1FDBEE84"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tcPr>
          <w:p w14:paraId="09156AC0" w14:textId="5359FF97"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tcPr>
          <w:p w14:paraId="15AD01D3" w14:textId="3EAF2231"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7</w:t>
            </w:r>
          </w:p>
        </w:tc>
        <w:tc>
          <w:tcPr>
            <w:tcW w:w="366" w:type="pct"/>
            <w:shd w:val="clear" w:color="auto" w:fill="auto"/>
            <w:noWrap/>
            <w:vAlign w:val="center"/>
          </w:tcPr>
          <w:p w14:paraId="292BA65D" w14:textId="5FBF7F93"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5.193</w:t>
            </w:r>
          </w:p>
        </w:tc>
        <w:tc>
          <w:tcPr>
            <w:tcW w:w="472" w:type="pct"/>
            <w:shd w:val="clear" w:color="auto" w:fill="auto"/>
            <w:noWrap/>
            <w:vAlign w:val="center"/>
          </w:tcPr>
          <w:p w14:paraId="0A9A05CB" w14:textId="508E1912"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0.25</w:t>
            </w:r>
          </w:p>
        </w:tc>
        <w:tc>
          <w:tcPr>
            <w:tcW w:w="506" w:type="pct"/>
            <w:shd w:val="clear" w:color="auto" w:fill="auto"/>
            <w:noWrap/>
            <w:vAlign w:val="center"/>
          </w:tcPr>
          <w:p w14:paraId="51DD0593" w14:textId="7664AC3D"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-0.248</w:t>
            </w:r>
          </w:p>
        </w:tc>
      </w:tr>
      <w:tr w:rsidR="0039599D" w:rsidRPr="0039599D" w14:paraId="5B6F3DA7" w14:textId="77777777" w:rsidTr="0039599D">
        <w:trPr>
          <w:trHeight w:val="315"/>
        </w:trPr>
        <w:tc>
          <w:tcPr>
            <w:tcW w:w="604" w:type="pct"/>
            <w:shd w:val="clear" w:color="auto" w:fill="auto"/>
            <w:noWrap/>
            <w:vAlign w:val="center"/>
          </w:tcPr>
          <w:p w14:paraId="55922177" w14:textId="0F30A529"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tcPr>
          <w:p w14:paraId="621ABE80" w14:textId="583CD941"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tcPr>
          <w:p w14:paraId="370B2066" w14:textId="316777C5"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tcPr>
          <w:p w14:paraId="40E6B21C" w14:textId="696A7C48"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tcPr>
          <w:p w14:paraId="6D4BB9D4" w14:textId="352ECD71"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tcPr>
          <w:p w14:paraId="0D24FC2B" w14:textId="5F8C487B"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tcPr>
          <w:p w14:paraId="5EEAC4BA" w14:textId="23C58E1F"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6.73</w:t>
            </w:r>
          </w:p>
        </w:tc>
        <w:tc>
          <w:tcPr>
            <w:tcW w:w="366" w:type="pct"/>
            <w:shd w:val="clear" w:color="auto" w:fill="auto"/>
            <w:noWrap/>
            <w:vAlign w:val="center"/>
          </w:tcPr>
          <w:p w14:paraId="6F89FBDE" w14:textId="6CEA0344"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5.321</w:t>
            </w:r>
          </w:p>
        </w:tc>
        <w:tc>
          <w:tcPr>
            <w:tcW w:w="472" w:type="pct"/>
            <w:shd w:val="clear" w:color="auto" w:fill="auto"/>
            <w:noWrap/>
            <w:vAlign w:val="center"/>
          </w:tcPr>
          <w:p w14:paraId="1B906DDC" w14:textId="688C36E5"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0.395</w:t>
            </w:r>
          </w:p>
        </w:tc>
        <w:tc>
          <w:tcPr>
            <w:tcW w:w="506" w:type="pct"/>
            <w:shd w:val="clear" w:color="auto" w:fill="auto"/>
            <w:noWrap/>
            <w:vAlign w:val="center"/>
          </w:tcPr>
          <w:p w14:paraId="0ED34E4B" w14:textId="6622DE4F"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-0.075</w:t>
            </w:r>
          </w:p>
        </w:tc>
      </w:tr>
      <w:tr w:rsidR="0039599D" w:rsidRPr="0039599D" w14:paraId="60135932" w14:textId="77777777" w:rsidTr="0039599D">
        <w:trPr>
          <w:trHeight w:val="315"/>
        </w:trPr>
        <w:tc>
          <w:tcPr>
            <w:tcW w:w="604" w:type="pct"/>
            <w:shd w:val="clear" w:color="auto" w:fill="auto"/>
            <w:noWrap/>
            <w:vAlign w:val="center"/>
          </w:tcPr>
          <w:p w14:paraId="559D2887" w14:textId="62B764D9"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tcPr>
          <w:p w14:paraId="09289C5C" w14:textId="30A4C51B"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tcPr>
          <w:p w14:paraId="76033CAD" w14:textId="3C2A6258"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tcPr>
          <w:p w14:paraId="753BAF15" w14:textId="410B9306"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tcPr>
          <w:p w14:paraId="0DB8AAC0" w14:textId="74142AD6"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tcPr>
          <w:p w14:paraId="007B2D71" w14:textId="44BC55E5"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tcPr>
          <w:p w14:paraId="108B098B" w14:textId="0837F94D"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7</w:t>
            </w:r>
          </w:p>
        </w:tc>
        <w:tc>
          <w:tcPr>
            <w:tcW w:w="366" w:type="pct"/>
            <w:shd w:val="clear" w:color="auto" w:fill="auto"/>
            <w:noWrap/>
            <w:vAlign w:val="center"/>
          </w:tcPr>
          <w:p w14:paraId="40F9C388" w14:textId="6663C0E8"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5.301</w:t>
            </w:r>
          </w:p>
        </w:tc>
        <w:tc>
          <w:tcPr>
            <w:tcW w:w="472" w:type="pct"/>
            <w:shd w:val="clear" w:color="auto" w:fill="auto"/>
            <w:noWrap/>
            <w:vAlign w:val="center"/>
          </w:tcPr>
          <w:p w14:paraId="48CF19ED" w14:textId="1BEC7E7E"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0.506</w:t>
            </w:r>
          </w:p>
        </w:tc>
        <w:tc>
          <w:tcPr>
            <w:tcW w:w="506" w:type="pct"/>
            <w:shd w:val="clear" w:color="auto" w:fill="auto"/>
            <w:noWrap/>
            <w:vAlign w:val="center"/>
          </w:tcPr>
          <w:p w14:paraId="4C226F44" w14:textId="5ABD6510"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-0.218</w:t>
            </w:r>
          </w:p>
        </w:tc>
      </w:tr>
      <w:tr w:rsidR="0039599D" w:rsidRPr="0039599D" w14:paraId="780F33F8" w14:textId="77777777" w:rsidTr="0039599D">
        <w:trPr>
          <w:trHeight w:val="315"/>
        </w:trPr>
        <w:tc>
          <w:tcPr>
            <w:tcW w:w="604" w:type="pct"/>
            <w:shd w:val="clear" w:color="auto" w:fill="auto"/>
            <w:noWrap/>
            <w:vAlign w:val="center"/>
          </w:tcPr>
          <w:p w14:paraId="6151B6AB" w14:textId="2EDB06FB"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tcPr>
          <w:p w14:paraId="16D9A05B" w14:textId="23A7A1CE"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tcPr>
          <w:p w14:paraId="35E97B8E" w14:textId="70F70E69"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tcPr>
          <w:p w14:paraId="5935CEC6" w14:textId="50F0C349"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tcPr>
          <w:p w14:paraId="004A7A1E" w14:textId="3F80AC26"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tcPr>
          <w:p w14:paraId="443B91DD" w14:textId="46590579"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tcPr>
          <w:p w14:paraId="3C579145" w14:textId="6033BA5D"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7.34</w:t>
            </w:r>
          </w:p>
        </w:tc>
        <w:tc>
          <w:tcPr>
            <w:tcW w:w="366" w:type="pct"/>
            <w:shd w:val="clear" w:color="auto" w:fill="auto"/>
            <w:noWrap/>
            <w:vAlign w:val="center"/>
          </w:tcPr>
          <w:p w14:paraId="066CDEF5" w14:textId="3B815F99"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5.193</w:t>
            </w:r>
          </w:p>
        </w:tc>
        <w:tc>
          <w:tcPr>
            <w:tcW w:w="472" w:type="pct"/>
            <w:shd w:val="clear" w:color="auto" w:fill="auto"/>
            <w:noWrap/>
            <w:vAlign w:val="center"/>
          </w:tcPr>
          <w:p w14:paraId="19B21D25" w14:textId="6D3D33F1"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0.25</w:t>
            </w:r>
          </w:p>
        </w:tc>
        <w:tc>
          <w:tcPr>
            <w:tcW w:w="506" w:type="pct"/>
            <w:shd w:val="clear" w:color="auto" w:fill="auto"/>
            <w:noWrap/>
            <w:vAlign w:val="center"/>
          </w:tcPr>
          <w:p w14:paraId="6114DA7F" w14:textId="5FFE89B4"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-0.248</w:t>
            </w:r>
          </w:p>
        </w:tc>
      </w:tr>
      <w:tr w:rsidR="0039599D" w:rsidRPr="0039599D" w14:paraId="32036297" w14:textId="77777777" w:rsidTr="0039599D">
        <w:trPr>
          <w:trHeight w:val="315"/>
        </w:trPr>
        <w:tc>
          <w:tcPr>
            <w:tcW w:w="604" w:type="pct"/>
            <w:shd w:val="clear" w:color="auto" w:fill="auto"/>
            <w:noWrap/>
            <w:vAlign w:val="center"/>
          </w:tcPr>
          <w:p w14:paraId="7A499844" w14:textId="42F5A09F"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tcPr>
          <w:p w14:paraId="74636D8C" w14:textId="641FD29E"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tcPr>
          <w:p w14:paraId="256E9603" w14:textId="33DFF5F4"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tcPr>
          <w:p w14:paraId="1E7DB833" w14:textId="31EB6377"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tcPr>
          <w:p w14:paraId="58103E77" w14:textId="2E538D32"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tcPr>
          <w:p w14:paraId="02392F14" w14:textId="565C7D25"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tcPr>
          <w:p w14:paraId="66CFCF8E" w14:textId="3539E74F"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7.15</w:t>
            </w:r>
          </w:p>
        </w:tc>
        <w:tc>
          <w:tcPr>
            <w:tcW w:w="366" w:type="pct"/>
            <w:shd w:val="clear" w:color="auto" w:fill="auto"/>
            <w:noWrap/>
            <w:vAlign w:val="center"/>
          </w:tcPr>
          <w:p w14:paraId="4D5A6AC1" w14:textId="096B86A3"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5.321</w:t>
            </w:r>
          </w:p>
        </w:tc>
        <w:tc>
          <w:tcPr>
            <w:tcW w:w="472" w:type="pct"/>
            <w:shd w:val="clear" w:color="auto" w:fill="auto"/>
            <w:noWrap/>
            <w:vAlign w:val="center"/>
          </w:tcPr>
          <w:p w14:paraId="20BE5BBC" w14:textId="7D18D2E2"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0.395</w:t>
            </w:r>
          </w:p>
        </w:tc>
        <w:tc>
          <w:tcPr>
            <w:tcW w:w="506" w:type="pct"/>
            <w:shd w:val="clear" w:color="auto" w:fill="auto"/>
            <w:noWrap/>
            <w:vAlign w:val="center"/>
          </w:tcPr>
          <w:p w14:paraId="41D20B2C" w14:textId="3C5F26BB"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-0.075</w:t>
            </w:r>
          </w:p>
        </w:tc>
      </w:tr>
      <w:tr w:rsidR="0039599D" w:rsidRPr="0039599D" w14:paraId="34353460" w14:textId="77777777" w:rsidTr="0039599D">
        <w:trPr>
          <w:trHeight w:val="315"/>
        </w:trPr>
        <w:tc>
          <w:tcPr>
            <w:tcW w:w="604" w:type="pct"/>
            <w:shd w:val="clear" w:color="auto" w:fill="auto"/>
            <w:noWrap/>
            <w:vAlign w:val="center"/>
          </w:tcPr>
          <w:p w14:paraId="46E9F8E5" w14:textId="295DACE0"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tcPr>
          <w:p w14:paraId="18FE5252" w14:textId="09BDD828"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tcPr>
          <w:p w14:paraId="6FA8C131" w14:textId="531A34A5"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tcPr>
          <w:p w14:paraId="380877DA" w14:textId="2F628E09"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tcPr>
          <w:p w14:paraId="37EAB432" w14:textId="72EFBEEA"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tcPr>
          <w:p w14:paraId="420FBF60" w14:textId="727C1A6E"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tcPr>
          <w:p w14:paraId="712D9E36" w14:textId="1E0EDEE1"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6.76</w:t>
            </w:r>
          </w:p>
        </w:tc>
        <w:tc>
          <w:tcPr>
            <w:tcW w:w="366" w:type="pct"/>
            <w:shd w:val="clear" w:color="auto" w:fill="auto"/>
            <w:noWrap/>
            <w:vAlign w:val="center"/>
          </w:tcPr>
          <w:p w14:paraId="7E1B83BC" w14:textId="3B892D63"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5.172</w:t>
            </w:r>
          </w:p>
        </w:tc>
        <w:tc>
          <w:tcPr>
            <w:tcW w:w="472" w:type="pct"/>
            <w:shd w:val="clear" w:color="auto" w:fill="auto"/>
            <w:noWrap/>
            <w:vAlign w:val="center"/>
          </w:tcPr>
          <w:p w14:paraId="0099C8E6" w14:textId="189F0C07"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0.592</w:t>
            </w:r>
          </w:p>
        </w:tc>
        <w:tc>
          <w:tcPr>
            <w:tcW w:w="506" w:type="pct"/>
            <w:shd w:val="clear" w:color="auto" w:fill="auto"/>
            <w:noWrap/>
            <w:vAlign w:val="center"/>
          </w:tcPr>
          <w:p w14:paraId="26BCCDF0" w14:textId="289D32F3"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0.211</w:t>
            </w:r>
          </w:p>
        </w:tc>
      </w:tr>
      <w:tr w:rsidR="0039599D" w:rsidRPr="0039599D" w14:paraId="2541E02A" w14:textId="77777777" w:rsidTr="0039599D">
        <w:trPr>
          <w:trHeight w:val="315"/>
        </w:trPr>
        <w:tc>
          <w:tcPr>
            <w:tcW w:w="604" w:type="pct"/>
            <w:shd w:val="clear" w:color="auto" w:fill="auto"/>
            <w:noWrap/>
            <w:vAlign w:val="center"/>
          </w:tcPr>
          <w:p w14:paraId="78271117" w14:textId="31B855EA"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tcPr>
          <w:p w14:paraId="0DC7891F" w14:textId="07C4D059"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tcPr>
          <w:p w14:paraId="3AE41964" w14:textId="24798DBF"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tcPr>
          <w:p w14:paraId="5BAEF4D5" w14:textId="663FA0B1"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tcPr>
          <w:p w14:paraId="61F3719C" w14:textId="32048B01"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tcPr>
          <w:p w14:paraId="535A4C88" w14:textId="735583FF"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tcPr>
          <w:p w14:paraId="4A36D599" w14:textId="32B5B749"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7.06</w:t>
            </w:r>
          </w:p>
        </w:tc>
        <w:tc>
          <w:tcPr>
            <w:tcW w:w="366" w:type="pct"/>
            <w:shd w:val="clear" w:color="auto" w:fill="auto"/>
            <w:noWrap/>
            <w:vAlign w:val="center"/>
          </w:tcPr>
          <w:p w14:paraId="34AD2068" w14:textId="004549DC"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5.211</w:t>
            </w:r>
          </w:p>
        </w:tc>
        <w:tc>
          <w:tcPr>
            <w:tcW w:w="472" w:type="pct"/>
            <w:shd w:val="clear" w:color="auto" w:fill="auto"/>
            <w:noWrap/>
            <w:vAlign w:val="center"/>
          </w:tcPr>
          <w:p w14:paraId="70C0F6BE" w14:textId="7D2F2455"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0.35</w:t>
            </w:r>
          </w:p>
        </w:tc>
        <w:tc>
          <w:tcPr>
            <w:tcW w:w="506" w:type="pct"/>
            <w:shd w:val="clear" w:color="auto" w:fill="auto"/>
            <w:noWrap/>
            <w:vAlign w:val="center"/>
          </w:tcPr>
          <w:p w14:paraId="35C6C35F" w14:textId="1491BF8D"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-0.147</w:t>
            </w:r>
          </w:p>
        </w:tc>
      </w:tr>
      <w:tr w:rsidR="0039599D" w:rsidRPr="0039599D" w14:paraId="4C6A0D30" w14:textId="77777777" w:rsidTr="0039599D">
        <w:trPr>
          <w:trHeight w:val="315"/>
        </w:trPr>
        <w:tc>
          <w:tcPr>
            <w:tcW w:w="604" w:type="pct"/>
            <w:shd w:val="clear" w:color="auto" w:fill="auto"/>
            <w:noWrap/>
            <w:vAlign w:val="center"/>
          </w:tcPr>
          <w:p w14:paraId="6B417E20" w14:textId="366E5106"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tcPr>
          <w:p w14:paraId="4A908DC8" w14:textId="412733FD"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tcPr>
          <w:p w14:paraId="269C0ABF" w14:textId="18023E77"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tcPr>
          <w:p w14:paraId="4B551A1A" w14:textId="29230EA2"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tcPr>
          <w:p w14:paraId="1AD733AF" w14:textId="40F5278E"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tcPr>
          <w:p w14:paraId="4CE68B0D" w14:textId="17FB5019"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tcPr>
          <w:p w14:paraId="437160B1" w14:textId="1F3C9CEF"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7.45</w:t>
            </w:r>
          </w:p>
        </w:tc>
        <w:tc>
          <w:tcPr>
            <w:tcW w:w="366" w:type="pct"/>
            <w:shd w:val="clear" w:color="auto" w:fill="auto"/>
            <w:noWrap/>
            <w:vAlign w:val="center"/>
          </w:tcPr>
          <w:p w14:paraId="6F974083" w14:textId="735D4C18"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5.11</w:t>
            </w:r>
          </w:p>
        </w:tc>
        <w:tc>
          <w:tcPr>
            <w:tcW w:w="472" w:type="pct"/>
            <w:shd w:val="clear" w:color="auto" w:fill="auto"/>
            <w:noWrap/>
            <w:vAlign w:val="center"/>
          </w:tcPr>
          <w:p w14:paraId="1892D61B" w14:textId="5D3D3BAA"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0.205</w:t>
            </w:r>
          </w:p>
        </w:tc>
        <w:tc>
          <w:tcPr>
            <w:tcW w:w="506" w:type="pct"/>
            <w:shd w:val="clear" w:color="auto" w:fill="auto"/>
            <w:noWrap/>
            <w:vAlign w:val="center"/>
          </w:tcPr>
          <w:p w14:paraId="542C8EAB" w14:textId="1126C7D8"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0.112</w:t>
            </w:r>
          </w:p>
        </w:tc>
      </w:tr>
      <w:tr w:rsidR="0039599D" w:rsidRPr="0039599D" w14:paraId="7A05032A" w14:textId="77777777" w:rsidTr="0039599D">
        <w:trPr>
          <w:trHeight w:val="315"/>
        </w:trPr>
        <w:tc>
          <w:tcPr>
            <w:tcW w:w="604" w:type="pct"/>
            <w:shd w:val="clear" w:color="auto" w:fill="auto"/>
            <w:noWrap/>
            <w:vAlign w:val="center"/>
          </w:tcPr>
          <w:p w14:paraId="1B88C6D4" w14:textId="17CD7034"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shd w:val="clear" w:color="auto" w:fill="auto"/>
            <w:noWrap/>
            <w:vAlign w:val="center"/>
          </w:tcPr>
          <w:p w14:paraId="69406511" w14:textId="3F564059"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shd w:val="clear" w:color="auto" w:fill="auto"/>
            <w:noWrap/>
            <w:vAlign w:val="center"/>
          </w:tcPr>
          <w:p w14:paraId="667223E7" w14:textId="6AEF7EC8"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shd w:val="clear" w:color="auto" w:fill="auto"/>
            <w:noWrap/>
            <w:vAlign w:val="center"/>
          </w:tcPr>
          <w:p w14:paraId="43D82FE2" w14:textId="00DFA071"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shd w:val="clear" w:color="auto" w:fill="auto"/>
            <w:noWrap/>
            <w:vAlign w:val="center"/>
          </w:tcPr>
          <w:p w14:paraId="57B1B835" w14:textId="1E1AC42D"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48" w:type="pct"/>
            <w:shd w:val="clear" w:color="auto" w:fill="auto"/>
            <w:noWrap/>
            <w:vAlign w:val="center"/>
          </w:tcPr>
          <w:p w14:paraId="57F4B18E" w14:textId="03E4C3E0"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shd w:val="clear" w:color="auto" w:fill="auto"/>
            <w:noWrap/>
            <w:vAlign w:val="center"/>
          </w:tcPr>
          <w:p w14:paraId="614C686E" w14:textId="7A3B18F6"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7.42</w:t>
            </w:r>
          </w:p>
        </w:tc>
        <w:tc>
          <w:tcPr>
            <w:tcW w:w="366" w:type="pct"/>
            <w:shd w:val="clear" w:color="auto" w:fill="auto"/>
            <w:noWrap/>
            <w:vAlign w:val="center"/>
          </w:tcPr>
          <w:p w14:paraId="4B4F279D" w14:textId="4839A0D9"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5.21</w:t>
            </w:r>
          </w:p>
        </w:tc>
        <w:tc>
          <w:tcPr>
            <w:tcW w:w="472" w:type="pct"/>
            <w:shd w:val="clear" w:color="auto" w:fill="auto"/>
            <w:noWrap/>
            <w:vAlign w:val="center"/>
          </w:tcPr>
          <w:p w14:paraId="36AFA234" w14:textId="65DC7048"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0.25</w:t>
            </w:r>
          </w:p>
        </w:tc>
        <w:tc>
          <w:tcPr>
            <w:tcW w:w="506" w:type="pct"/>
            <w:shd w:val="clear" w:color="auto" w:fill="auto"/>
            <w:noWrap/>
            <w:vAlign w:val="center"/>
          </w:tcPr>
          <w:p w14:paraId="0AEE7B83" w14:textId="54CC76FC"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-0.047</w:t>
            </w:r>
          </w:p>
        </w:tc>
      </w:tr>
      <w:tr w:rsidR="0039599D" w:rsidRPr="0039599D" w14:paraId="386765F4" w14:textId="77777777" w:rsidTr="0039599D">
        <w:trPr>
          <w:trHeight w:val="315"/>
        </w:trPr>
        <w:tc>
          <w:tcPr>
            <w:tcW w:w="604" w:type="pct"/>
            <w:tcBorders>
              <w:bottom w:val="single" w:sz="4" w:space="0" w:color="auto"/>
            </w:tcBorders>
            <w:shd w:val="clear" w:color="auto" w:fill="auto"/>
            <w:noWrap/>
            <w:vAlign w:val="center"/>
          </w:tcPr>
          <w:p w14:paraId="2D575367" w14:textId="42FD92EA"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94" w:type="pct"/>
            <w:tcBorders>
              <w:bottom w:val="single" w:sz="4" w:space="0" w:color="auto"/>
            </w:tcBorders>
            <w:shd w:val="clear" w:color="auto" w:fill="auto"/>
            <w:noWrap/>
            <w:vAlign w:val="center"/>
          </w:tcPr>
          <w:p w14:paraId="0A2754B0" w14:textId="14F9EE08"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0.000</w:t>
            </w:r>
          </w:p>
        </w:tc>
        <w:tc>
          <w:tcPr>
            <w:tcW w:w="400" w:type="pct"/>
            <w:tcBorders>
              <w:bottom w:val="single" w:sz="4" w:space="0" w:color="auto"/>
            </w:tcBorders>
            <w:shd w:val="clear" w:color="auto" w:fill="auto"/>
            <w:noWrap/>
            <w:vAlign w:val="center"/>
          </w:tcPr>
          <w:p w14:paraId="21E8953E" w14:textId="532D6646"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513" w:type="pct"/>
            <w:tcBorders>
              <w:bottom w:val="single" w:sz="4" w:space="0" w:color="auto"/>
            </w:tcBorders>
            <w:shd w:val="clear" w:color="auto" w:fill="auto"/>
            <w:noWrap/>
            <w:vAlign w:val="center"/>
          </w:tcPr>
          <w:p w14:paraId="72B232ED" w14:textId="0FB95C35"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610" w:type="pct"/>
            <w:tcBorders>
              <w:bottom w:val="single" w:sz="4" w:space="0" w:color="auto"/>
            </w:tcBorders>
            <w:shd w:val="clear" w:color="auto" w:fill="auto"/>
            <w:noWrap/>
            <w:vAlign w:val="center"/>
          </w:tcPr>
          <w:p w14:paraId="3958B246" w14:textId="55130963"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1</w:t>
            </w:r>
          </w:p>
        </w:tc>
        <w:tc>
          <w:tcPr>
            <w:tcW w:w="548" w:type="pct"/>
            <w:tcBorders>
              <w:bottom w:val="single" w:sz="4" w:space="0" w:color="auto"/>
            </w:tcBorders>
            <w:shd w:val="clear" w:color="auto" w:fill="auto"/>
            <w:noWrap/>
            <w:vAlign w:val="center"/>
          </w:tcPr>
          <w:p w14:paraId="1ABBEACB" w14:textId="565BF447"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w:t>
            </w:r>
          </w:p>
        </w:tc>
        <w:tc>
          <w:tcPr>
            <w:tcW w:w="487" w:type="pct"/>
            <w:tcBorders>
              <w:bottom w:val="single" w:sz="4" w:space="0" w:color="auto"/>
            </w:tcBorders>
            <w:shd w:val="clear" w:color="auto" w:fill="auto"/>
            <w:noWrap/>
            <w:vAlign w:val="center"/>
          </w:tcPr>
          <w:p w14:paraId="362B2C89" w14:textId="20B7356A"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7.53</w:t>
            </w:r>
          </w:p>
        </w:tc>
        <w:tc>
          <w:tcPr>
            <w:tcW w:w="366" w:type="pct"/>
            <w:tcBorders>
              <w:bottom w:val="single" w:sz="4" w:space="0" w:color="auto"/>
            </w:tcBorders>
            <w:shd w:val="clear" w:color="auto" w:fill="auto"/>
            <w:noWrap/>
            <w:vAlign w:val="center"/>
          </w:tcPr>
          <w:p w14:paraId="315865DA" w14:textId="2F88F362"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5.509</w:t>
            </w:r>
          </w:p>
        </w:tc>
        <w:tc>
          <w:tcPr>
            <w:tcW w:w="472" w:type="pct"/>
            <w:tcBorders>
              <w:bottom w:val="single" w:sz="4" w:space="0" w:color="auto"/>
            </w:tcBorders>
            <w:shd w:val="clear" w:color="auto" w:fill="auto"/>
            <w:noWrap/>
            <w:vAlign w:val="center"/>
          </w:tcPr>
          <w:p w14:paraId="27482D1F" w14:textId="33EDC235"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0.138</w:t>
            </w:r>
          </w:p>
        </w:tc>
        <w:tc>
          <w:tcPr>
            <w:tcW w:w="506" w:type="pct"/>
            <w:tcBorders>
              <w:bottom w:val="single" w:sz="4" w:space="0" w:color="auto"/>
            </w:tcBorders>
            <w:shd w:val="clear" w:color="auto" w:fill="auto"/>
            <w:noWrap/>
            <w:vAlign w:val="center"/>
          </w:tcPr>
          <w:p w14:paraId="16F7B855" w14:textId="4340294B" w:rsidR="0039599D" w:rsidRPr="0039599D" w:rsidRDefault="0039599D" w:rsidP="0039599D">
            <w:pPr>
              <w:spacing w:before="0" w:after="0"/>
              <w:jc w:val="center"/>
              <w:rPr>
                <w:rFonts w:eastAsia="Times New Roman" w:cs="Calibri"/>
                <w:color w:val="000000"/>
                <w:sz w:val="16"/>
                <w:szCs w:val="16"/>
                <w:lang w:val="sr-Latn-RS" w:eastAsia="sr-Latn-RS"/>
              </w:rPr>
            </w:pPr>
            <w:r w:rsidRPr="0039599D">
              <w:rPr>
                <w:sz w:val="16"/>
                <w:szCs w:val="16"/>
              </w:rPr>
              <w:t>0.089</w:t>
            </w:r>
          </w:p>
        </w:tc>
      </w:tr>
    </w:tbl>
    <w:p w14:paraId="1E7CD090" w14:textId="77777777" w:rsidR="00ED573F" w:rsidRDefault="00ED573F" w:rsidP="00ED573F"/>
    <w:p w14:paraId="57B198C3" w14:textId="77777777" w:rsidR="00ED573F" w:rsidRDefault="00ED573F">
      <w:pPr>
        <w:spacing w:before="0" w:after="160" w:line="259" w:lineRule="auto"/>
        <w:jc w:val="left"/>
      </w:pPr>
      <w:r>
        <w:br w:type="page"/>
      </w:r>
    </w:p>
    <w:p w14:paraId="18DDDAE2" w14:textId="2252D4A6" w:rsidR="00ED573F" w:rsidRDefault="00ED573F" w:rsidP="00ED573F">
      <w:pPr>
        <w:pStyle w:val="Caption"/>
        <w:jc w:val="both"/>
      </w:pPr>
      <w:bookmarkStart w:id="832" w:name="_Toc101274681"/>
      <w:r>
        <w:lastRenderedPageBreak/>
        <w:t xml:space="preserve">Appendix </w:t>
      </w:r>
      <w:fldSimple w:instr=" SEQ Appendix \* ARABIC ">
        <w:r w:rsidR="00587AF0">
          <w:rPr>
            <w:noProof/>
          </w:rPr>
          <w:t>11</w:t>
        </w:r>
      </w:fldSimple>
      <w:r>
        <w:t xml:space="preserve">. </w:t>
      </w:r>
      <w:r w:rsidRPr="00ED573F">
        <w:t xml:space="preserve">Determining quasi- fault time-to-an-event (TBQF) at </w:t>
      </w:r>
      <w:r>
        <w:t xml:space="preserve">closing </w:t>
      </w:r>
      <w:r w:rsidRPr="00ED573F">
        <w:t>saddle position</w:t>
      </w:r>
      <w:bookmarkEnd w:id="832"/>
    </w:p>
    <w:tbl>
      <w:tblPr>
        <w:tblW w:w="5000" w:type="pct"/>
        <w:tblLayout w:type="fixed"/>
        <w:tblLook w:val="04A0" w:firstRow="1" w:lastRow="0" w:firstColumn="1" w:lastColumn="0" w:noHBand="0" w:noVBand="1"/>
      </w:tblPr>
      <w:tblGrid>
        <w:gridCol w:w="1091"/>
        <w:gridCol w:w="896"/>
        <w:gridCol w:w="723"/>
        <w:gridCol w:w="926"/>
        <w:gridCol w:w="877"/>
        <w:gridCol w:w="989"/>
        <w:gridCol w:w="879"/>
        <w:gridCol w:w="769"/>
        <w:gridCol w:w="962"/>
        <w:gridCol w:w="915"/>
      </w:tblGrid>
      <w:tr w:rsidR="00842F5B" w:rsidRPr="000158F3" w14:paraId="23E0E4AB" w14:textId="77777777" w:rsidTr="000158F3">
        <w:trPr>
          <w:trHeight w:val="315"/>
        </w:trPr>
        <w:tc>
          <w:tcPr>
            <w:tcW w:w="604" w:type="pct"/>
            <w:tcBorders>
              <w:top w:val="single" w:sz="4" w:space="0" w:color="auto"/>
              <w:bottom w:val="single" w:sz="4" w:space="0" w:color="auto"/>
            </w:tcBorders>
            <w:shd w:val="clear" w:color="auto" w:fill="auto"/>
            <w:noWrap/>
            <w:vAlign w:val="center"/>
            <w:hideMark/>
          </w:tcPr>
          <w:p w14:paraId="30079832" w14:textId="77777777" w:rsidR="00842F5B" w:rsidRPr="00913830" w:rsidRDefault="00842F5B" w:rsidP="000158F3">
            <w:pPr>
              <w:spacing w:before="0" w:after="0"/>
              <w:jc w:val="center"/>
              <w:rPr>
                <w:rFonts w:eastAsia="Times New Roman" w:cs="Calibri"/>
                <w:b/>
                <w:bCs/>
                <w:color w:val="000000"/>
                <w:sz w:val="16"/>
                <w:szCs w:val="16"/>
                <w:lang w:val="sr-Latn-RS" w:eastAsia="sr-Latn-RS"/>
              </w:rPr>
            </w:pPr>
            <w:r w:rsidRPr="000158F3">
              <w:rPr>
                <w:sz w:val="16"/>
                <w:szCs w:val="16"/>
              </w:rPr>
              <w:t>TBQF [min]</w:t>
            </w:r>
          </w:p>
        </w:tc>
        <w:tc>
          <w:tcPr>
            <w:tcW w:w="496" w:type="pct"/>
            <w:tcBorders>
              <w:top w:val="single" w:sz="4" w:space="0" w:color="auto"/>
              <w:bottom w:val="single" w:sz="4" w:space="0" w:color="auto"/>
            </w:tcBorders>
            <w:shd w:val="clear" w:color="auto" w:fill="auto"/>
            <w:noWrap/>
            <w:vAlign w:val="center"/>
            <w:hideMark/>
          </w:tcPr>
          <w:p w14:paraId="2E66836B" w14:textId="77777777" w:rsidR="00842F5B" w:rsidRPr="00913830" w:rsidRDefault="00842F5B" w:rsidP="000158F3">
            <w:pPr>
              <w:spacing w:before="0" w:after="0"/>
              <w:jc w:val="center"/>
              <w:rPr>
                <w:rFonts w:eastAsia="Times New Roman" w:cs="Calibri"/>
                <w:b/>
                <w:bCs/>
                <w:color w:val="000000"/>
                <w:sz w:val="16"/>
                <w:szCs w:val="16"/>
                <w:lang w:val="sr-Latn-RS" w:eastAsia="sr-Latn-RS"/>
              </w:rPr>
            </w:pPr>
            <w:r w:rsidRPr="00913830">
              <w:rPr>
                <w:rFonts w:eastAsia="Times New Roman" w:cs="Calibri"/>
                <w:b/>
                <w:bCs/>
                <w:color w:val="000000"/>
                <w:sz w:val="16"/>
                <w:szCs w:val="16"/>
                <w:lang w:val="sr-Latn-RS" w:eastAsia="sr-Latn-RS"/>
              </w:rPr>
              <w:t>Gate [1,0]</w:t>
            </w:r>
          </w:p>
        </w:tc>
        <w:tc>
          <w:tcPr>
            <w:tcW w:w="400" w:type="pct"/>
            <w:tcBorders>
              <w:top w:val="single" w:sz="4" w:space="0" w:color="auto"/>
              <w:bottom w:val="single" w:sz="4" w:space="0" w:color="auto"/>
            </w:tcBorders>
            <w:shd w:val="clear" w:color="auto" w:fill="auto"/>
            <w:noWrap/>
            <w:vAlign w:val="center"/>
            <w:hideMark/>
          </w:tcPr>
          <w:p w14:paraId="2DCC5DC3" w14:textId="77777777" w:rsidR="00842F5B" w:rsidRPr="00913830" w:rsidRDefault="00842F5B" w:rsidP="000158F3">
            <w:pPr>
              <w:spacing w:before="0" w:after="0"/>
              <w:jc w:val="center"/>
              <w:rPr>
                <w:rFonts w:eastAsia="Times New Roman" w:cs="Calibri"/>
                <w:b/>
                <w:bCs/>
                <w:color w:val="000000"/>
                <w:sz w:val="16"/>
                <w:szCs w:val="16"/>
                <w:lang w:val="sr-Latn-RS" w:eastAsia="sr-Latn-RS"/>
              </w:rPr>
            </w:pPr>
            <w:r w:rsidRPr="00913830">
              <w:rPr>
                <w:rFonts w:eastAsia="Times New Roman" w:cs="Calibri"/>
                <w:b/>
                <w:bCs/>
                <w:color w:val="000000"/>
                <w:sz w:val="16"/>
                <w:szCs w:val="16"/>
                <w:lang w:val="sr-Latn-RS" w:eastAsia="sr-Latn-RS"/>
              </w:rPr>
              <w:t>K</w:t>
            </w:r>
            <w:r w:rsidRPr="000158F3">
              <w:rPr>
                <w:rFonts w:eastAsia="Times New Roman" w:cs="Calibri"/>
                <w:b/>
                <w:bCs/>
                <w:color w:val="000000"/>
                <w:sz w:val="16"/>
                <w:szCs w:val="16"/>
                <w:lang w:val="sr-Latn-RS" w:eastAsia="sr-Latn-RS"/>
              </w:rPr>
              <w:t>_Bool</w:t>
            </w:r>
          </w:p>
        </w:tc>
        <w:tc>
          <w:tcPr>
            <w:tcW w:w="513" w:type="pct"/>
            <w:tcBorders>
              <w:top w:val="single" w:sz="4" w:space="0" w:color="auto"/>
              <w:bottom w:val="single" w:sz="4" w:space="0" w:color="auto"/>
            </w:tcBorders>
            <w:shd w:val="clear" w:color="auto" w:fill="auto"/>
            <w:noWrap/>
            <w:vAlign w:val="center"/>
            <w:hideMark/>
          </w:tcPr>
          <w:p w14:paraId="1435DD08" w14:textId="77777777" w:rsidR="00842F5B" w:rsidRPr="00913830" w:rsidRDefault="00842F5B" w:rsidP="000158F3">
            <w:pPr>
              <w:spacing w:before="0" w:after="0"/>
              <w:jc w:val="center"/>
              <w:rPr>
                <w:rFonts w:eastAsia="Times New Roman" w:cs="Calibri"/>
                <w:b/>
                <w:bCs/>
                <w:color w:val="000000"/>
                <w:sz w:val="16"/>
                <w:szCs w:val="16"/>
                <w:lang w:val="sr-Latn-RS" w:eastAsia="sr-Latn-RS"/>
              </w:rPr>
            </w:pPr>
            <w:r w:rsidRPr="00913830">
              <w:rPr>
                <w:rFonts w:eastAsia="Times New Roman" w:cs="Calibri"/>
                <w:b/>
                <w:bCs/>
                <w:color w:val="000000"/>
                <w:sz w:val="16"/>
                <w:szCs w:val="16"/>
                <w:lang w:val="sr-Latn-RS" w:eastAsia="sr-Latn-RS"/>
              </w:rPr>
              <w:t>S</w:t>
            </w:r>
            <w:r w:rsidRPr="000158F3">
              <w:rPr>
                <w:rFonts w:eastAsia="Times New Roman" w:cs="Calibri"/>
                <w:b/>
                <w:bCs/>
                <w:color w:val="000000"/>
                <w:sz w:val="16"/>
                <w:szCs w:val="16"/>
                <w:lang w:val="sr-Latn-RS" w:eastAsia="sr-Latn-RS"/>
              </w:rPr>
              <w:t>D</w:t>
            </w:r>
            <w:r w:rsidRPr="00913830">
              <w:rPr>
                <w:rFonts w:eastAsia="Times New Roman" w:cs="Calibri"/>
                <w:b/>
                <w:bCs/>
                <w:color w:val="000000"/>
                <w:sz w:val="16"/>
                <w:szCs w:val="16"/>
                <w:lang w:val="sr-Latn-RS" w:eastAsia="sr-Latn-RS"/>
              </w:rPr>
              <w:t>_Bool</w:t>
            </w:r>
          </w:p>
        </w:tc>
        <w:tc>
          <w:tcPr>
            <w:tcW w:w="486" w:type="pct"/>
            <w:tcBorders>
              <w:top w:val="single" w:sz="4" w:space="0" w:color="auto"/>
              <w:bottom w:val="single" w:sz="4" w:space="0" w:color="auto"/>
            </w:tcBorders>
            <w:shd w:val="clear" w:color="auto" w:fill="auto"/>
            <w:noWrap/>
            <w:vAlign w:val="center"/>
            <w:hideMark/>
          </w:tcPr>
          <w:p w14:paraId="716D318D" w14:textId="5B5A79B4" w:rsidR="00842F5B" w:rsidRPr="00913830" w:rsidRDefault="00842F5B" w:rsidP="000158F3">
            <w:pPr>
              <w:spacing w:before="0" w:after="0"/>
              <w:jc w:val="center"/>
              <w:rPr>
                <w:rFonts w:eastAsia="Times New Roman" w:cs="Calibri"/>
                <w:b/>
                <w:bCs/>
                <w:color w:val="000000"/>
                <w:sz w:val="16"/>
                <w:szCs w:val="16"/>
                <w:lang w:val="sr-Latn-RS" w:eastAsia="sr-Latn-RS"/>
              </w:rPr>
            </w:pPr>
            <w:r w:rsidRPr="00913830">
              <w:rPr>
                <w:rFonts w:eastAsia="Times New Roman" w:cs="Calibri"/>
                <w:b/>
                <w:bCs/>
                <w:color w:val="000000"/>
                <w:sz w:val="16"/>
                <w:szCs w:val="16"/>
                <w:lang w:val="sr-Latn-RS" w:eastAsia="sr-Latn-RS"/>
              </w:rPr>
              <w:t>M</w:t>
            </w:r>
            <w:r w:rsidRPr="000158F3">
              <w:rPr>
                <w:rFonts w:eastAsia="Times New Roman" w:cs="Calibri"/>
                <w:b/>
                <w:bCs/>
                <w:color w:val="000000"/>
                <w:sz w:val="16"/>
                <w:szCs w:val="16"/>
                <w:lang w:val="sr-Latn-RS" w:eastAsia="sr-Latn-RS"/>
              </w:rPr>
              <w:t>ED</w:t>
            </w:r>
            <w:r w:rsidRPr="00913830">
              <w:rPr>
                <w:rFonts w:eastAsia="Times New Roman" w:cs="Calibri"/>
                <w:b/>
                <w:bCs/>
                <w:color w:val="000000"/>
                <w:sz w:val="16"/>
                <w:szCs w:val="16"/>
                <w:lang w:val="sr-Latn-RS" w:eastAsia="sr-Latn-RS"/>
              </w:rPr>
              <w:t>_Bo</w:t>
            </w:r>
          </w:p>
        </w:tc>
        <w:tc>
          <w:tcPr>
            <w:tcW w:w="548" w:type="pct"/>
            <w:tcBorders>
              <w:top w:val="single" w:sz="4" w:space="0" w:color="auto"/>
              <w:bottom w:val="single" w:sz="4" w:space="0" w:color="auto"/>
            </w:tcBorders>
            <w:shd w:val="clear" w:color="auto" w:fill="auto"/>
            <w:noWrap/>
            <w:vAlign w:val="center"/>
            <w:hideMark/>
          </w:tcPr>
          <w:p w14:paraId="0512F087" w14:textId="77777777" w:rsidR="00842F5B" w:rsidRPr="00913830" w:rsidRDefault="00842F5B" w:rsidP="000158F3">
            <w:pPr>
              <w:spacing w:before="0" w:after="0"/>
              <w:jc w:val="center"/>
              <w:rPr>
                <w:rFonts w:eastAsia="Times New Roman" w:cs="Calibri"/>
                <w:b/>
                <w:bCs/>
                <w:color w:val="000000"/>
                <w:sz w:val="16"/>
                <w:szCs w:val="16"/>
                <w:lang w:val="sr-Latn-RS" w:eastAsia="sr-Latn-RS"/>
              </w:rPr>
            </w:pPr>
            <w:r w:rsidRPr="00913830">
              <w:rPr>
                <w:rFonts w:eastAsia="Times New Roman" w:cs="Calibri"/>
                <w:b/>
                <w:bCs/>
                <w:color w:val="000000"/>
                <w:sz w:val="16"/>
                <w:szCs w:val="16"/>
                <w:lang w:val="sr-Latn-RS" w:eastAsia="sr-Latn-RS"/>
              </w:rPr>
              <w:t>Min_Bool</w:t>
            </w:r>
          </w:p>
        </w:tc>
        <w:tc>
          <w:tcPr>
            <w:tcW w:w="487" w:type="pct"/>
            <w:tcBorders>
              <w:top w:val="single" w:sz="4" w:space="0" w:color="auto"/>
              <w:bottom w:val="single" w:sz="4" w:space="0" w:color="auto"/>
            </w:tcBorders>
            <w:shd w:val="clear" w:color="auto" w:fill="auto"/>
            <w:noWrap/>
            <w:vAlign w:val="center"/>
            <w:hideMark/>
          </w:tcPr>
          <w:p w14:paraId="42A219B9" w14:textId="44583D08" w:rsidR="00842F5B" w:rsidRPr="00913830" w:rsidRDefault="00842F5B" w:rsidP="000158F3">
            <w:pPr>
              <w:spacing w:before="0" w:after="0"/>
              <w:jc w:val="center"/>
              <w:rPr>
                <w:rFonts w:eastAsia="Times New Roman" w:cs="Calibri"/>
                <w:b/>
                <w:bCs/>
                <w:color w:val="000000"/>
                <w:sz w:val="16"/>
                <w:szCs w:val="16"/>
                <w:lang w:val="sr-Latn-RS" w:eastAsia="sr-Latn-RS"/>
              </w:rPr>
            </w:pPr>
            <w:r w:rsidRPr="00913830">
              <w:rPr>
                <w:rFonts w:eastAsia="Times New Roman" w:cs="Calibri"/>
                <w:b/>
                <w:bCs/>
                <w:color w:val="000000"/>
                <w:sz w:val="16"/>
                <w:szCs w:val="16"/>
                <w:lang w:val="sr-Latn-RS" w:eastAsia="sr-Latn-RS"/>
              </w:rPr>
              <w:t>Kurt_</w:t>
            </w:r>
            <w:r w:rsidRPr="000158F3">
              <w:rPr>
                <w:rFonts w:eastAsia="Times New Roman" w:cs="Calibri"/>
                <w:b/>
                <w:bCs/>
                <w:color w:val="000000"/>
                <w:sz w:val="16"/>
                <w:szCs w:val="16"/>
                <w:lang w:val="sr-Latn-RS" w:eastAsia="sr-Latn-RS"/>
              </w:rPr>
              <w:t>C</w:t>
            </w:r>
            <w:r w:rsidRPr="00913830">
              <w:rPr>
                <w:rFonts w:eastAsia="Times New Roman" w:cs="Calibri"/>
                <w:b/>
                <w:bCs/>
                <w:color w:val="000000"/>
                <w:sz w:val="16"/>
                <w:szCs w:val="16"/>
                <w:lang w:val="sr-Latn-RS" w:eastAsia="sr-Latn-RS"/>
              </w:rPr>
              <w:t>S</w:t>
            </w:r>
          </w:p>
        </w:tc>
        <w:tc>
          <w:tcPr>
            <w:tcW w:w="426" w:type="pct"/>
            <w:tcBorders>
              <w:top w:val="single" w:sz="4" w:space="0" w:color="auto"/>
              <w:bottom w:val="single" w:sz="4" w:space="0" w:color="auto"/>
            </w:tcBorders>
            <w:shd w:val="clear" w:color="auto" w:fill="auto"/>
            <w:noWrap/>
            <w:vAlign w:val="center"/>
            <w:hideMark/>
          </w:tcPr>
          <w:p w14:paraId="5FC1AE43" w14:textId="537153AF" w:rsidR="00842F5B" w:rsidRPr="00913830" w:rsidRDefault="00842F5B" w:rsidP="000158F3">
            <w:pPr>
              <w:spacing w:before="0" w:after="0"/>
              <w:jc w:val="center"/>
              <w:rPr>
                <w:rFonts w:eastAsia="Times New Roman" w:cs="Calibri"/>
                <w:b/>
                <w:bCs/>
                <w:color w:val="000000"/>
                <w:sz w:val="16"/>
                <w:szCs w:val="16"/>
                <w:lang w:val="sr-Latn-RS" w:eastAsia="sr-Latn-RS"/>
              </w:rPr>
            </w:pPr>
            <w:r w:rsidRPr="000158F3">
              <w:rPr>
                <w:rFonts w:eastAsia="Times New Roman" w:cs="Calibri"/>
                <w:b/>
                <w:bCs/>
                <w:color w:val="000000"/>
                <w:sz w:val="16"/>
                <w:szCs w:val="16"/>
                <w:lang w:val="sr-Latn-RS" w:eastAsia="sr-Latn-RS"/>
              </w:rPr>
              <w:t>SD</w:t>
            </w:r>
            <w:r w:rsidRPr="00913830">
              <w:rPr>
                <w:rFonts w:eastAsia="Times New Roman" w:cs="Calibri"/>
                <w:b/>
                <w:bCs/>
                <w:color w:val="000000"/>
                <w:sz w:val="16"/>
                <w:szCs w:val="16"/>
                <w:lang w:val="sr-Latn-RS" w:eastAsia="sr-Latn-RS"/>
              </w:rPr>
              <w:t>_</w:t>
            </w:r>
            <w:r w:rsidRPr="000158F3">
              <w:rPr>
                <w:rFonts w:eastAsia="Times New Roman" w:cs="Calibri"/>
                <w:b/>
                <w:bCs/>
                <w:color w:val="000000"/>
                <w:sz w:val="16"/>
                <w:szCs w:val="16"/>
                <w:lang w:val="sr-Latn-RS" w:eastAsia="sr-Latn-RS"/>
              </w:rPr>
              <w:t>C</w:t>
            </w:r>
            <w:r w:rsidRPr="00913830">
              <w:rPr>
                <w:rFonts w:eastAsia="Times New Roman" w:cs="Calibri"/>
                <w:b/>
                <w:bCs/>
                <w:color w:val="000000"/>
                <w:sz w:val="16"/>
                <w:szCs w:val="16"/>
                <w:lang w:val="sr-Latn-RS" w:eastAsia="sr-Latn-RS"/>
              </w:rPr>
              <w:t>S</w:t>
            </w:r>
          </w:p>
        </w:tc>
        <w:tc>
          <w:tcPr>
            <w:tcW w:w="533" w:type="pct"/>
            <w:tcBorders>
              <w:top w:val="single" w:sz="4" w:space="0" w:color="auto"/>
              <w:bottom w:val="single" w:sz="4" w:space="0" w:color="auto"/>
            </w:tcBorders>
            <w:shd w:val="clear" w:color="auto" w:fill="auto"/>
            <w:noWrap/>
            <w:vAlign w:val="center"/>
            <w:hideMark/>
          </w:tcPr>
          <w:p w14:paraId="24473B4D" w14:textId="5A9D15D6" w:rsidR="00842F5B" w:rsidRPr="00913830" w:rsidRDefault="00842F5B" w:rsidP="000158F3">
            <w:pPr>
              <w:spacing w:before="0" w:after="0"/>
              <w:jc w:val="center"/>
              <w:rPr>
                <w:rFonts w:eastAsia="Times New Roman" w:cs="Calibri"/>
                <w:b/>
                <w:bCs/>
                <w:color w:val="000000"/>
                <w:sz w:val="16"/>
                <w:szCs w:val="16"/>
                <w:lang w:val="sr-Latn-RS" w:eastAsia="sr-Latn-RS"/>
              </w:rPr>
            </w:pPr>
            <w:r w:rsidRPr="000158F3">
              <w:rPr>
                <w:rFonts w:eastAsia="Times New Roman" w:cs="Calibri"/>
                <w:b/>
                <w:bCs/>
                <w:color w:val="000000"/>
                <w:sz w:val="16"/>
                <w:szCs w:val="16"/>
                <w:lang w:val="sr-Latn-RS" w:eastAsia="sr-Latn-RS"/>
              </w:rPr>
              <w:t>MED</w:t>
            </w:r>
            <w:r w:rsidRPr="00913830">
              <w:rPr>
                <w:rFonts w:eastAsia="Times New Roman" w:cs="Calibri"/>
                <w:b/>
                <w:bCs/>
                <w:color w:val="000000"/>
                <w:sz w:val="16"/>
                <w:szCs w:val="16"/>
                <w:lang w:val="sr-Latn-RS" w:eastAsia="sr-Latn-RS"/>
              </w:rPr>
              <w:t>_</w:t>
            </w:r>
            <w:r w:rsidRPr="000158F3">
              <w:rPr>
                <w:rFonts w:eastAsia="Times New Roman" w:cs="Calibri"/>
                <w:b/>
                <w:bCs/>
                <w:color w:val="000000"/>
                <w:sz w:val="16"/>
                <w:szCs w:val="16"/>
                <w:lang w:val="sr-Latn-RS" w:eastAsia="sr-Latn-RS"/>
              </w:rPr>
              <w:t>C</w:t>
            </w:r>
            <w:r w:rsidRPr="00913830">
              <w:rPr>
                <w:rFonts w:eastAsia="Times New Roman" w:cs="Calibri"/>
                <w:b/>
                <w:bCs/>
                <w:color w:val="000000"/>
                <w:sz w:val="16"/>
                <w:szCs w:val="16"/>
                <w:lang w:val="sr-Latn-RS" w:eastAsia="sr-Latn-RS"/>
              </w:rPr>
              <w:t>S</w:t>
            </w:r>
          </w:p>
        </w:tc>
        <w:tc>
          <w:tcPr>
            <w:tcW w:w="507" w:type="pct"/>
            <w:tcBorders>
              <w:top w:val="single" w:sz="4" w:space="0" w:color="auto"/>
              <w:bottom w:val="single" w:sz="4" w:space="0" w:color="auto"/>
            </w:tcBorders>
            <w:shd w:val="clear" w:color="auto" w:fill="auto"/>
            <w:noWrap/>
            <w:vAlign w:val="center"/>
            <w:hideMark/>
          </w:tcPr>
          <w:p w14:paraId="5BBAAF38" w14:textId="261156B5" w:rsidR="00842F5B" w:rsidRPr="00913830" w:rsidRDefault="00842F5B" w:rsidP="000158F3">
            <w:pPr>
              <w:spacing w:before="0" w:after="0"/>
              <w:jc w:val="center"/>
              <w:rPr>
                <w:rFonts w:eastAsia="Times New Roman" w:cs="Calibri"/>
                <w:b/>
                <w:bCs/>
                <w:color w:val="000000"/>
                <w:sz w:val="16"/>
                <w:szCs w:val="16"/>
                <w:lang w:val="sr-Latn-RS" w:eastAsia="sr-Latn-RS"/>
              </w:rPr>
            </w:pPr>
            <w:r w:rsidRPr="00913830">
              <w:rPr>
                <w:rFonts w:eastAsia="Times New Roman" w:cs="Calibri"/>
                <w:b/>
                <w:bCs/>
                <w:color w:val="000000"/>
                <w:sz w:val="16"/>
                <w:szCs w:val="16"/>
                <w:lang w:val="sr-Latn-RS" w:eastAsia="sr-Latn-RS"/>
              </w:rPr>
              <w:t>Min_</w:t>
            </w:r>
            <w:r w:rsidRPr="000158F3">
              <w:rPr>
                <w:rFonts w:eastAsia="Times New Roman" w:cs="Calibri"/>
                <w:b/>
                <w:bCs/>
                <w:color w:val="000000"/>
                <w:sz w:val="16"/>
                <w:szCs w:val="16"/>
                <w:lang w:val="sr-Latn-RS" w:eastAsia="sr-Latn-RS"/>
              </w:rPr>
              <w:t>C</w:t>
            </w:r>
            <w:r w:rsidRPr="00913830">
              <w:rPr>
                <w:rFonts w:eastAsia="Times New Roman" w:cs="Calibri"/>
                <w:b/>
                <w:bCs/>
                <w:color w:val="000000"/>
                <w:sz w:val="16"/>
                <w:szCs w:val="16"/>
                <w:lang w:val="sr-Latn-RS" w:eastAsia="sr-Latn-RS"/>
              </w:rPr>
              <w:t>S</w:t>
            </w:r>
          </w:p>
        </w:tc>
      </w:tr>
      <w:tr w:rsidR="0008011B" w:rsidRPr="000158F3" w14:paraId="4F2232B5" w14:textId="77777777" w:rsidTr="000158F3">
        <w:trPr>
          <w:trHeight w:val="315"/>
        </w:trPr>
        <w:tc>
          <w:tcPr>
            <w:tcW w:w="604" w:type="pct"/>
            <w:tcBorders>
              <w:top w:val="single" w:sz="4" w:space="0" w:color="auto"/>
            </w:tcBorders>
            <w:shd w:val="clear" w:color="auto" w:fill="auto"/>
            <w:noWrap/>
            <w:vAlign w:val="center"/>
          </w:tcPr>
          <w:p w14:paraId="05B12820" w14:textId="223098CA"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tcBorders>
              <w:top w:val="single" w:sz="4" w:space="0" w:color="auto"/>
            </w:tcBorders>
            <w:shd w:val="clear" w:color="auto" w:fill="auto"/>
            <w:noWrap/>
            <w:vAlign w:val="center"/>
          </w:tcPr>
          <w:p w14:paraId="785D0958" w14:textId="3D624623"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tcBorders>
              <w:top w:val="single" w:sz="4" w:space="0" w:color="auto"/>
            </w:tcBorders>
            <w:shd w:val="clear" w:color="auto" w:fill="auto"/>
            <w:noWrap/>
            <w:vAlign w:val="center"/>
          </w:tcPr>
          <w:p w14:paraId="243C7E3D" w14:textId="7E2994DD"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tcBorders>
              <w:top w:val="single" w:sz="4" w:space="0" w:color="auto"/>
            </w:tcBorders>
            <w:shd w:val="clear" w:color="auto" w:fill="auto"/>
            <w:noWrap/>
            <w:vAlign w:val="center"/>
          </w:tcPr>
          <w:p w14:paraId="3FC3BB02" w14:textId="1C40CE8F"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tcBorders>
              <w:top w:val="single" w:sz="4" w:space="0" w:color="auto"/>
            </w:tcBorders>
            <w:shd w:val="clear" w:color="auto" w:fill="auto"/>
            <w:noWrap/>
            <w:vAlign w:val="center"/>
          </w:tcPr>
          <w:p w14:paraId="52EA1531" w14:textId="7D41098E"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tcBorders>
              <w:top w:val="single" w:sz="4" w:space="0" w:color="auto"/>
            </w:tcBorders>
            <w:shd w:val="clear" w:color="auto" w:fill="auto"/>
            <w:noWrap/>
            <w:vAlign w:val="center"/>
          </w:tcPr>
          <w:p w14:paraId="793BCDFE" w14:textId="431882F9"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1</w:t>
            </w:r>
          </w:p>
        </w:tc>
        <w:tc>
          <w:tcPr>
            <w:tcW w:w="487" w:type="pct"/>
            <w:tcBorders>
              <w:top w:val="single" w:sz="4" w:space="0" w:color="auto"/>
            </w:tcBorders>
            <w:shd w:val="clear" w:color="auto" w:fill="auto"/>
            <w:noWrap/>
            <w:vAlign w:val="center"/>
          </w:tcPr>
          <w:p w14:paraId="065A7746" w14:textId="1E656400"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1.096</w:t>
            </w:r>
          </w:p>
        </w:tc>
        <w:tc>
          <w:tcPr>
            <w:tcW w:w="426" w:type="pct"/>
            <w:tcBorders>
              <w:top w:val="single" w:sz="4" w:space="0" w:color="auto"/>
            </w:tcBorders>
            <w:shd w:val="clear" w:color="auto" w:fill="auto"/>
            <w:noWrap/>
            <w:vAlign w:val="center"/>
          </w:tcPr>
          <w:p w14:paraId="579E5E6B" w14:textId="32BA09CD"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2.062</w:t>
            </w:r>
          </w:p>
        </w:tc>
        <w:tc>
          <w:tcPr>
            <w:tcW w:w="533" w:type="pct"/>
            <w:tcBorders>
              <w:top w:val="single" w:sz="4" w:space="0" w:color="auto"/>
            </w:tcBorders>
            <w:shd w:val="clear" w:color="auto" w:fill="auto"/>
            <w:noWrap/>
            <w:vAlign w:val="center"/>
          </w:tcPr>
          <w:p w14:paraId="71990C3B" w14:textId="2616C0FC"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2.331</w:t>
            </w:r>
          </w:p>
        </w:tc>
        <w:tc>
          <w:tcPr>
            <w:tcW w:w="507" w:type="pct"/>
            <w:tcBorders>
              <w:top w:val="single" w:sz="4" w:space="0" w:color="auto"/>
            </w:tcBorders>
            <w:shd w:val="clear" w:color="auto" w:fill="auto"/>
            <w:noWrap/>
            <w:vAlign w:val="center"/>
          </w:tcPr>
          <w:p w14:paraId="177719B7" w14:textId="51F65046"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0.011</w:t>
            </w:r>
          </w:p>
        </w:tc>
      </w:tr>
      <w:tr w:rsidR="0008011B" w:rsidRPr="000158F3" w14:paraId="7CCB380A" w14:textId="77777777" w:rsidTr="000158F3">
        <w:trPr>
          <w:trHeight w:val="315"/>
        </w:trPr>
        <w:tc>
          <w:tcPr>
            <w:tcW w:w="604" w:type="pct"/>
            <w:shd w:val="clear" w:color="auto" w:fill="auto"/>
            <w:noWrap/>
            <w:vAlign w:val="center"/>
          </w:tcPr>
          <w:p w14:paraId="6E00308E" w14:textId="71726744"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shd w:val="clear" w:color="auto" w:fill="auto"/>
            <w:noWrap/>
            <w:vAlign w:val="center"/>
          </w:tcPr>
          <w:p w14:paraId="18539985" w14:textId="4CF093BD"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shd w:val="clear" w:color="auto" w:fill="auto"/>
            <w:noWrap/>
            <w:vAlign w:val="center"/>
          </w:tcPr>
          <w:p w14:paraId="5A354660" w14:textId="44609333"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shd w:val="clear" w:color="auto" w:fill="auto"/>
            <w:noWrap/>
            <w:vAlign w:val="center"/>
          </w:tcPr>
          <w:p w14:paraId="48D9C085" w14:textId="47FBE7B0"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64BB7A84" w14:textId="25F434D0"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shd w:val="clear" w:color="auto" w:fill="auto"/>
            <w:noWrap/>
            <w:vAlign w:val="center"/>
          </w:tcPr>
          <w:p w14:paraId="07580FBF" w14:textId="249ADC4B"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1</w:t>
            </w:r>
          </w:p>
        </w:tc>
        <w:tc>
          <w:tcPr>
            <w:tcW w:w="487" w:type="pct"/>
            <w:shd w:val="clear" w:color="auto" w:fill="auto"/>
            <w:noWrap/>
            <w:vAlign w:val="center"/>
          </w:tcPr>
          <w:p w14:paraId="5860B42E" w14:textId="6401DCB8"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0.914</w:t>
            </w:r>
          </w:p>
        </w:tc>
        <w:tc>
          <w:tcPr>
            <w:tcW w:w="426" w:type="pct"/>
            <w:shd w:val="clear" w:color="auto" w:fill="auto"/>
            <w:noWrap/>
            <w:vAlign w:val="center"/>
          </w:tcPr>
          <w:p w14:paraId="10ED1F7B" w14:textId="367D76E1"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2.193</w:t>
            </w:r>
          </w:p>
        </w:tc>
        <w:tc>
          <w:tcPr>
            <w:tcW w:w="533" w:type="pct"/>
            <w:shd w:val="clear" w:color="auto" w:fill="auto"/>
            <w:noWrap/>
            <w:vAlign w:val="center"/>
          </w:tcPr>
          <w:p w14:paraId="73DD7232" w14:textId="06466F22"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2.374</w:t>
            </w:r>
          </w:p>
        </w:tc>
        <w:tc>
          <w:tcPr>
            <w:tcW w:w="507" w:type="pct"/>
            <w:shd w:val="clear" w:color="auto" w:fill="auto"/>
            <w:noWrap/>
            <w:vAlign w:val="center"/>
          </w:tcPr>
          <w:p w14:paraId="1172D111" w14:textId="57221336"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0.018</w:t>
            </w:r>
          </w:p>
        </w:tc>
      </w:tr>
      <w:tr w:rsidR="0008011B" w:rsidRPr="000158F3" w14:paraId="5A08878D" w14:textId="77777777" w:rsidTr="000158F3">
        <w:trPr>
          <w:trHeight w:val="315"/>
        </w:trPr>
        <w:tc>
          <w:tcPr>
            <w:tcW w:w="604" w:type="pct"/>
            <w:shd w:val="clear" w:color="auto" w:fill="auto"/>
            <w:noWrap/>
            <w:vAlign w:val="center"/>
          </w:tcPr>
          <w:p w14:paraId="1B31C0AF" w14:textId="5147F0BB"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shd w:val="clear" w:color="auto" w:fill="auto"/>
            <w:noWrap/>
            <w:vAlign w:val="center"/>
          </w:tcPr>
          <w:p w14:paraId="5EB9C686" w14:textId="4FEB2846"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shd w:val="clear" w:color="auto" w:fill="auto"/>
            <w:noWrap/>
            <w:vAlign w:val="center"/>
          </w:tcPr>
          <w:p w14:paraId="1801F16D" w14:textId="0B74E651"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shd w:val="clear" w:color="auto" w:fill="auto"/>
            <w:noWrap/>
            <w:vAlign w:val="center"/>
          </w:tcPr>
          <w:p w14:paraId="1D97A7E9" w14:textId="1EB45F95"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5E1149CB" w14:textId="08C3ACC7"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shd w:val="clear" w:color="auto" w:fill="auto"/>
            <w:noWrap/>
            <w:vAlign w:val="center"/>
          </w:tcPr>
          <w:p w14:paraId="5848DAC5" w14:textId="55C7F302"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7" w:type="pct"/>
            <w:shd w:val="clear" w:color="auto" w:fill="auto"/>
            <w:noWrap/>
            <w:vAlign w:val="center"/>
          </w:tcPr>
          <w:p w14:paraId="7DFD923A" w14:textId="72C26DB6"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0.751</w:t>
            </w:r>
          </w:p>
        </w:tc>
        <w:tc>
          <w:tcPr>
            <w:tcW w:w="426" w:type="pct"/>
            <w:shd w:val="clear" w:color="auto" w:fill="auto"/>
            <w:noWrap/>
            <w:vAlign w:val="center"/>
          </w:tcPr>
          <w:p w14:paraId="03DFB309" w14:textId="27F7E517"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2.108</w:t>
            </w:r>
          </w:p>
        </w:tc>
        <w:tc>
          <w:tcPr>
            <w:tcW w:w="533" w:type="pct"/>
            <w:shd w:val="clear" w:color="auto" w:fill="auto"/>
            <w:noWrap/>
            <w:vAlign w:val="center"/>
          </w:tcPr>
          <w:p w14:paraId="37E40C67" w14:textId="6C1C7480"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2.236</w:t>
            </w:r>
          </w:p>
        </w:tc>
        <w:tc>
          <w:tcPr>
            <w:tcW w:w="507" w:type="pct"/>
            <w:shd w:val="clear" w:color="auto" w:fill="auto"/>
            <w:noWrap/>
            <w:vAlign w:val="center"/>
          </w:tcPr>
          <w:p w14:paraId="42BCA4BC" w14:textId="1AAE47D7"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0.392</w:t>
            </w:r>
          </w:p>
        </w:tc>
      </w:tr>
      <w:tr w:rsidR="0008011B" w:rsidRPr="000158F3" w14:paraId="4438BCBA" w14:textId="77777777" w:rsidTr="000158F3">
        <w:trPr>
          <w:trHeight w:val="315"/>
        </w:trPr>
        <w:tc>
          <w:tcPr>
            <w:tcW w:w="604" w:type="pct"/>
            <w:shd w:val="clear" w:color="auto" w:fill="auto"/>
            <w:noWrap/>
            <w:vAlign w:val="center"/>
          </w:tcPr>
          <w:p w14:paraId="14452276" w14:textId="2B06C7F7"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shd w:val="clear" w:color="auto" w:fill="auto"/>
            <w:noWrap/>
            <w:vAlign w:val="center"/>
          </w:tcPr>
          <w:p w14:paraId="3B47D478" w14:textId="3E3225CC"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shd w:val="clear" w:color="auto" w:fill="auto"/>
            <w:noWrap/>
            <w:vAlign w:val="center"/>
          </w:tcPr>
          <w:p w14:paraId="4DAEE3FF" w14:textId="24E0DF7F"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shd w:val="clear" w:color="auto" w:fill="auto"/>
            <w:noWrap/>
            <w:vAlign w:val="center"/>
          </w:tcPr>
          <w:p w14:paraId="496D96C3" w14:textId="61EAE38D"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0C3D8A9D" w14:textId="0B287EF4"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shd w:val="clear" w:color="auto" w:fill="auto"/>
            <w:noWrap/>
            <w:vAlign w:val="center"/>
          </w:tcPr>
          <w:p w14:paraId="2FFB5F5C" w14:textId="2B9B0B3E"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7" w:type="pct"/>
            <w:shd w:val="clear" w:color="auto" w:fill="auto"/>
            <w:noWrap/>
            <w:vAlign w:val="center"/>
          </w:tcPr>
          <w:p w14:paraId="59861A59" w14:textId="760B10A1"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4.771</w:t>
            </w:r>
          </w:p>
        </w:tc>
        <w:tc>
          <w:tcPr>
            <w:tcW w:w="426" w:type="pct"/>
            <w:shd w:val="clear" w:color="auto" w:fill="auto"/>
            <w:noWrap/>
            <w:vAlign w:val="center"/>
          </w:tcPr>
          <w:p w14:paraId="08AD9E94" w14:textId="2189D8CA"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4.459</w:t>
            </w:r>
          </w:p>
        </w:tc>
        <w:tc>
          <w:tcPr>
            <w:tcW w:w="533" w:type="pct"/>
            <w:shd w:val="clear" w:color="auto" w:fill="auto"/>
            <w:noWrap/>
            <w:vAlign w:val="center"/>
          </w:tcPr>
          <w:p w14:paraId="07A949DE" w14:textId="404E913A"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6.506</w:t>
            </w:r>
          </w:p>
        </w:tc>
        <w:tc>
          <w:tcPr>
            <w:tcW w:w="507" w:type="pct"/>
            <w:shd w:val="clear" w:color="auto" w:fill="auto"/>
            <w:noWrap/>
            <w:vAlign w:val="center"/>
          </w:tcPr>
          <w:p w14:paraId="048382AC" w14:textId="212641BA"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0.095</w:t>
            </w:r>
          </w:p>
        </w:tc>
      </w:tr>
      <w:tr w:rsidR="0008011B" w:rsidRPr="000158F3" w14:paraId="1C182207" w14:textId="77777777" w:rsidTr="000158F3">
        <w:trPr>
          <w:trHeight w:val="315"/>
        </w:trPr>
        <w:tc>
          <w:tcPr>
            <w:tcW w:w="604" w:type="pct"/>
            <w:shd w:val="clear" w:color="auto" w:fill="auto"/>
            <w:noWrap/>
            <w:vAlign w:val="center"/>
          </w:tcPr>
          <w:p w14:paraId="4FAD06E8" w14:textId="53B44660"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shd w:val="clear" w:color="auto" w:fill="auto"/>
            <w:noWrap/>
            <w:vAlign w:val="center"/>
          </w:tcPr>
          <w:p w14:paraId="3BEEDC3B" w14:textId="45FCA77E"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shd w:val="clear" w:color="auto" w:fill="auto"/>
            <w:noWrap/>
            <w:vAlign w:val="center"/>
          </w:tcPr>
          <w:p w14:paraId="55839721" w14:textId="08B265B8"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shd w:val="clear" w:color="auto" w:fill="auto"/>
            <w:noWrap/>
            <w:vAlign w:val="center"/>
          </w:tcPr>
          <w:p w14:paraId="3449A2B5" w14:textId="3EF4E842"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07F3CBCE" w14:textId="547F1074"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shd w:val="clear" w:color="auto" w:fill="auto"/>
            <w:noWrap/>
            <w:vAlign w:val="center"/>
          </w:tcPr>
          <w:p w14:paraId="2EDE4D58" w14:textId="29A7223C"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1</w:t>
            </w:r>
          </w:p>
        </w:tc>
        <w:tc>
          <w:tcPr>
            <w:tcW w:w="487" w:type="pct"/>
            <w:shd w:val="clear" w:color="auto" w:fill="auto"/>
            <w:noWrap/>
            <w:vAlign w:val="center"/>
          </w:tcPr>
          <w:p w14:paraId="2149E297" w14:textId="0BD92773"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2.869</w:t>
            </w:r>
          </w:p>
        </w:tc>
        <w:tc>
          <w:tcPr>
            <w:tcW w:w="426" w:type="pct"/>
            <w:shd w:val="clear" w:color="auto" w:fill="auto"/>
            <w:noWrap/>
            <w:vAlign w:val="center"/>
          </w:tcPr>
          <w:p w14:paraId="2A86887C" w14:textId="24CB1D7A"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3.155</w:t>
            </w:r>
          </w:p>
        </w:tc>
        <w:tc>
          <w:tcPr>
            <w:tcW w:w="533" w:type="pct"/>
            <w:shd w:val="clear" w:color="auto" w:fill="auto"/>
            <w:noWrap/>
            <w:vAlign w:val="center"/>
          </w:tcPr>
          <w:p w14:paraId="062EB76B" w14:textId="1F369BBA"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4.25</w:t>
            </w:r>
          </w:p>
        </w:tc>
        <w:tc>
          <w:tcPr>
            <w:tcW w:w="507" w:type="pct"/>
            <w:shd w:val="clear" w:color="auto" w:fill="auto"/>
            <w:noWrap/>
            <w:vAlign w:val="center"/>
          </w:tcPr>
          <w:p w14:paraId="493F4A74" w14:textId="0D00F036"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0.003</w:t>
            </w:r>
          </w:p>
        </w:tc>
      </w:tr>
      <w:tr w:rsidR="0008011B" w:rsidRPr="000158F3" w14:paraId="4F349821" w14:textId="77777777" w:rsidTr="000158F3">
        <w:trPr>
          <w:trHeight w:val="315"/>
        </w:trPr>
        <w:tc>
          <w:tcPr>
            <w:tcW w:w="604" w:type="pct"/>
            <w:shd w:val="clear" w:color="auto" w:fill="auto"/>
            <w:noWrap/>
            <w:vAlign w:val="center"/>
          </w:tcPr>
          <w:p w14:paraId="64DE30DF" w14:textId="780BFF96"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shd w:val="clear" w:color="auto" w:fill="auto"/>
            <w:noWrap/>
            <w:vAlign w:val="center"/>
          </w:tcPr>
          <w:p w14:paraId="3B05BC0B" w14:textId="7F5911A1"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shd w:val="clear" w:color="auto" w:fill="auto"/>
            <w:noWrap/>
            <w:vAlign w:val="center"/>
          </w:tcPr>
          <w:p w14:paraId="660BD473" w14:textId="17063C4F"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shd w:val="clear" w:color="auto" w:fill="auto"/>
            <w:noWrap/>
            <w:vAlign w:val="center"/>
          </w:tcPr>
          <w:p w14:paraId="6EE2338A" w14:textId="65446F0D"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76E02752" w14:textId="0D652316"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shd w:val="clear" w:color="auto" w:fill="auto"/>
            <w:noWrap/>
            <w:vAlign w:val="center"/>
          </w:tcPr>
          <w:p w14:paraId="10516E1A" w14:textId="7BFFC2E7"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1</w:t>
            </w:r>
          </w:p>
        </w:tc>
        <w:tc>
          <w:tcPr>
            <w:tcW w:w="487" w:type="pct"/>
            <w:shd w:val="clear" w:color="auto" w:fill="auto"/>
            <w:noWrap/>
            <w:vAlign w:val="center"/>
          </w:tcPr>
          <w:p w14:paraId="1EF991EC" w14:textId="1DE515CD"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0.745</w:t>
            </w:r>
          </w:p>
        </w:tc>
        <w:tc>
          <w:tcPr>
            <w:tcW w:w="426" w:type="pct"/>
            <w:shd w:val="clear" w:color="auto" w:fill="auto"/>
            <w:noWrap/>
            <w:vAlign w:val="center"/>
          </w:tcPr>
          <w:p w14:paraId="675FC03B" w14:textId="788212F1"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2.318</w:t>
            </w:r>
          </w:p>
        </w:tc>
        <w:tc>
          <w:tcPr>
            <w:tcW w:w="533" w:type="pct"/>
            <w:shd w:val="clear" w:color="auto" w:fill="auto"/>
            <w:noWrap/>
            <w:vAlign w:val="center"/>
          </w:tcPr>
          <w:p w14:paraId="5F5E8BCC" w14:textId="311D8D9B"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2.434</w:t>
            </w:r>
          </w:p>
        </w:tc>
        <w:tc>
          <w:tcPr>
            <w:tcW w:w="507" w:type="pct"/>
            <w:shd w:val="clear" w:color="auto" w:fill="auto"/>
            <w:noWrap/>
            <w:vAlign w:val="center"/>
          </w:tcPr>
          <w:p w14:paraId="4925EE52" w14:textId="55CE3612"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0.003</w:t>
            </w:r>
          </w:p>
        </w:tc>
      </w:tr>
      <w:tr w:rsidR="0008011B" w:rsidRPr="000158F3" w14:paraId="6066FFB1" w14:textId="77777777" w:rsidTr="000158F3">
        <w:trPr>
          <w:trHeight w:val="315"/>
        </w:trPr>
        <w:tc>
          <w:tcPr>
            <w:tcW w:w="604" w:type="pct"/>
            <w:shd w:val="clear" w:color="auto" w:fill="auto"/>
            <w:noWrap/>
            <w:vAlign w:val="center"/>
          </w:tcPr>
          <w:p w14:paraId="2FBD09BF" w14:textId="62FD244F"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shd w:val="clear" w:color="auto" w:fill="auto"/>
            <w:noWrap/>
            <w:vAlign w:val="center"/>
          </w:tcPr>
          <w:p w14:paraId="022BC37A" w14:textId="2466C763"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shd w:val="clear" w:color="auto" w:fill="auto"/>
            <w:noWrap/>
            <w:vAlign w:val="center"/>
          </w:tcPr>
          <w:p w14:paraId="63F6BFB0" w14:textId="15FBEEE5"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shd w:val="clear" w:color="auto" w:fill="auto"/>
            <w:noWrap/>
            <w:vAlign w:val="center"/>
          </w:tcPr>
          <w:p w14:paraId="0C24AEC4" w14:textId="7D087711"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765147ED" w14:textId="48CCCA00"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shd w:val="clear" w:color="auto" w:fill="auto"/>
            <w:noWrap/>
            <w:vAlign w:val="center"/>
          </w:tcPr>
          <w:p w14:paraId="27414E2E" w14:textId="736E4188"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1</w:t>
            </w:r>
          </w:p>
        </w:tc>
        <w:tc>
          <w:tcPr>
            <w:tcW w:w="487" w:type="pct"/>
            <w:shd w:val="clear" w:color="auto" w:fill="auto"/>
            <w:noWrap/>
            <w:vAlign w:val="center"/>
          </w:tcPr>
          <w:p w14:paraId="0F60F096" w14:textId="67D4EEF2"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0.641</w:t>
            </w:r>
          </w:p>
        </w:tc>
        <w:tc>
          <w:tcPr>
            <w:tcW w:w="426" w:type="pct"/>
            <w:shd w:val="clear" w:color="auto" w:fill="auto"/>
            <w:noWrap/>
            <w:vAlign w:val="center"/>
          </w:tcPr>
          <w:p w14:paraId="14FA74F9" w14:textId="6EDFB385"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2.071</w:t>
            </w:r>
          </w:p>
        </w:tc>
        <w:tc>
          <w:tcPr>
            <w:tcW w:w="533" w:type="pct"/>
            <w:shd w:val="clear" w:color="auto" w:fill="auto"/>
            <w:noWrap/>
            <w:vAlign w:val="center"/>
          </w:tcPr>
          <w:p w14:paraId="67663D0F" w14:textId="16F6EDF4"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2.167</w:t>
            </w:r>
          </w:p>
        </w:tc>
        <w:tc>
          <w:tcPr>
            <w:tcW w:w="507" w:type="pct"/>
            <w:shd w:val="clear" w:color="auto" w:fill="auto"/>
            <w:noWrap/>
            <w:vAlign w:val="center"/>
          </w:tcPr>
          <w:p w14:paraId="58416906" w14:textId="1A136E34"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0.048</w:t>
            </w:r>
          </w:p>
        </w:tc>
      </w:tr>
      <w:tr w:rsidR="0008011B" w:rsidRPr="000158F3" w14:paraId="02A6D0D7" w14:textId="77777777" w:rsidTr="000158F3">
        <w:trPr>
          <w:trHeight w:val="315"/>
        </w:trPr>
        <w:tc>
          <w:tcPr>
            <w:tcW w:w="604" w:type="pct"/>
            <w:shd w:val="clear" w:color="auto" w:fill="auto"/>
            <w:noWrap/>
            <w:vAlign w:val="center"/>
          </w:tcPr>
          <w:p w14:paraId="6A6C1472" w14:textId="76777C15"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shd w:val="clear" w:color="auto" w:fill="auto"/>
            <w:noWrap/>
            <w:vAlign w:val="center"/>
          </w:tcPr>
          <w:p w14:paraId="4F594FE0" w14:textId="60E01E7F"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shd w:val="clear" w:color="auto" w:fill="auto"/>
            <w:noWrap/>
            <w:vAlign w:val="center"/>
          </w:tcPr>
          <w:p w14:paraId="305A24E2" w14:textId="10FEEB7F"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shd w:val="clear" w:color="auto" w:fill="auto"/>
            <w:noWrap/>
            <w:vAlign w:val="center"/>
          </w:tcPr>
          <w:p w14:paraId="0D45CA25" w14:textId="1E9D1632"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4968B154" w14:textId="0B693257"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shd w:val="clear" w:color="auto" w:fill="auto"/>
            <w:noWrap/>
            <w:vAlign w:val="center"/>
          </w:tcPr>
          <w:p w14:paraId="5067ACB8" w14:textId="5DBCF398"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1</w:t>
            </w:r>
          </w:p>
        </w:tc>
        <w:tc>
          <w:tcPr>
            <w:tcW w:w="487" w:type="pct"/>
            <w:shd w:val="clear" w:color="auto" w:fill="auto"/>
            <w:noWrap/>
            <w:vAlign w:val="center"/>
          </w:tcPr>
          <w:p w14:paraId="3459FA71" w14:textId="34D9ECB4"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0.639</w:t>
            </w:r>
          </w:p>
        </w:tc>
        <w:tc>
          <w:tcPr>
            <w:tcW w:w="426" w:type="pct"/>
            <w:shd w:val="clear" w:color="auto" w:fill="auto"/>
            <w:noWrap/>
            <w:vAlign w:val="center"/>
          </w:tcPr>
          <w:p w14:paraId="7AE99498" w14:textId="275A911B"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2.069</w:t>
            </w:r>
          </w:p>
        </w:tc>
        <w:tc>
          <w:tcPr>
            <w:tcW w:w="533" w:type="pct"/>
            <w:shd w:val="clear" w:color="auto" w:fill="auto"/>
            <w:noWrap/>
            <w:vAlign w:val="center"/>
          </w:tcPr>
          <w:p w14:paraId="6DF6795C" w14:textId="587D78DF"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2.164</w:t>
            </w:r>
          </w:p>
        </w:tc>
        <w:tc>
          <w:tcPr>
            <w:tcW w:w="507" w:type="pct"/>
            <w:shd w:val="clear" w:color="auto" w:fill="auto"/>
            <w:noWrap/>
            <w:vAlign w:val="center"/>
          </w:tcPr>
          <w:p w14:paraId="239ABF3A" w14:textId="6092E877"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0.05</w:t>
            </w:r>
          </w:p>
        </w:tc>
      </w:tr>
      <w:tr w:rsidR="0008011B" w:rsidRPr="000158F3" w14:paraId="586488C4" w14:textId="77777777" w:rsidTr="000158F3">
        <w:trPr>
          <w:trHeight w:val="315"/>
        </w:trPr>
        <w:tc>
          <w:tcPr>
            <w:tcW w:w="604" w:type="pct"/>
            <w:shd w:val="clear" w:color="auto" w:fill="auto"/>
            <w:noWrap/>
            <w:vAlign w:val="center"/>
          </w:tcPr>
          <w:p w14:paraId="54A6877E" w14:textId="7EECF4D1"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shd w:val="clear" w:color="auto" w:fill="auto"/>
            <w:noWrap/>
            <w:vAlign w:val="center"/>
          </w:tcPr>
          <w:p w14:paraId="13A8E03E" w14:textId="63790317"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shd w:val="clear" w:color="auto" w:fill="auto"/>
            <w:noWrap/>
            <w:vAlign w:val="center"/>
          </w:tcPr>
          <w:p w14:paraId="50AF717B" w14:textId="34786B4A"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shd w:val="clear" w:color="auto" w:fill="auto"/>
            <w:noWrap/>
            <w:vAlign w:val="center"/>
          </w:tcPr>
          <w:p w14:paraId="75A1560B" w14:textId="0AB8B8DF"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496EE672" w14:textId="6B990552"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shd w:val="clear" w:color="auto" w:fill="auto"/>
            <w:noWrap/>
            <w:vAlign w:val="center"/>
          </w:tcPr>
          <w:p w14:paraId="3E8B8665" w14:textId="686E1179"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1</w:t>
            </w:r>
          </w:p>
        </w:tc>
        <w:tc>
          <w:tcPr>
            <w:tcW w:w="487" w:type="pct"/>
            <w:shd w:val="clear" w:color="auto" w:fill="auto"/>
            <w:noWrap/>
            <w:vAlign w:val="center"/>
          </w:tcPr>
          <w:p w14:paraId="09AFA883" w14:textId="61A1445E"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0.64</w:t>
            </w:r>
          </w:p>
        </w:tc>
        <w:tc>
          <w:tcPr>
            <w:tcW w:w="426" w:type="pct"/>
            <w:shd w:val="clear" w:color="auto" w:fill="auto"/>
            <w:noWrap/>
            <w:vAlign w:val="center"/>
          </w:tcPr>
          <w:p w14:paraId="32E05892" w14:textId="02C8BC31"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2.069</w:t>
            </w:r>
          </w:p>
        </w:tc>
        <w:tc>
          <w:tcPr>
            <w:tcW w:w="533" w:type="pct"/>
            <w:shd w:val="clear" w:color="auto" w:fill="auto"/>
            <w:noWrap/>
            <w:vAlign w:val="center"/>
          </w:tcPr>
          <w:p w14:paraId="63B2AE9B" w14:textId="69E868CF"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2.165</w:t>
            </w:r>
          </w:p>
        </w:tc>
        <w:tc>
          <w:tcPr>
            <w:tcW w:w="507" w:type="pct"/>
            <w:shd w:val="clear" w:color="auto" w:fill="auto"/>
            <w:noWrap/>
            <w:vAlign w:val="center"/>
          </w:tcPr>
          <w:p w14:paraId="58E15AC8" w14:textId="1409B235"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0.05</w:t>
            </w:r>
          </w:p>
        </w:tc>
      </w:tr>
      <w:tr w:rsidR="0008011B" w:rsidRPr="000158F3" w14:paraId="1BCCA629" w14:textId="77777777" w:rsidTr="000158F3">
        <w:trPr>
          <w:trHeight w:val="315"/>
        </w:trPr>
        <w:tc>
          <w:tcPr>
            <w:tcW w:w="604" w:type="pct"/>
            <w:shd w:val="clear" w:color="auto" w:fill="auto"/>
            <w:noWrap/>
            <w:vAlign w:val="center"/>
          </w:tcPr>
          <w:p w14:paraId="23DFA670" w14:textId="5306600A"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shd w:val="clear" w:color="auto" w:fill="auto"/>
            <w:noWrap/>
            <w:vAlign w:val="center"/>
          </w:tcPr>
          <w:p w14:paraId="5600EB5B" w14:textId="369F2FBB"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shd w:val="clear" w:color="auto" w:fill="auto"/>
            <w:noWrap/>
            <w:vAlign w:val="center"/>
          </w:tcPr>
          <w:p w14:paraId="7C51E5A3" w14:textId="13F6F972"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shd w:val="clear" w:color="auto" w:fill="auto"/>
            <w:noWrap/>
            <w:vAlign w:val="center"/>
          </w:tcPr>
          <w:p w14:paraId="6CE38769" w14:textId="04CC3C18"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6FCEC83E" w14:textId="2A2A289B"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shd w:val="clear" w:color="auto" w:fill="auto"/>
            <w:noWrap/>
            <w:vAlign w:val="center"/>
          </w:tcPr>
          <w:p w14:paraId="6AE4F186" w14:textId="2E648B84"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7" w:type="pct"/>
            <w:shd w:val="clear" w:color="auto" w:fill="auto"/>
            <w:noWrap/>
            <w:vAlign w:val="center"/>
          </w:tcPr>
          <w:p w14:paraId="6C129D62" w14:textId="62490C2F"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0.623</w:t>
            </w:r>
          </w:p>
        </w:tc>
        <w:tc>
          <w:tcPr>
            <w:tcW w:w="426" w:type="pct"/>
            <w:shd w:val="clear" w:color="auto" w:fill="auto"/>
            <w:noWrap/>
            <w:vAlign w:val="center"/>
          </w:tcPr>
          <w:p w14:paraId="212CB49C" w14:textId="276560FC"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2.096</w:t>
            </w:r>
          </w:p>
        </w:tc>
        <w:tc>
          <w:tcPr>
            <w:tcW w:w="533" w:type="pct"/>
            <w:shd w:val="clear" w:color="auto" w:fill="auto"/>
            <w:noWrap/>
            <w:vAlign w:val="center"/>
          </w:tcPr>
          <w:p w14:paraId="4B198FD3" w14:textId="77466B53"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2.185</w:t>
            </w:r>
          </w:p>
        </w:tc>
        <w:tc>
          <w:tcPr>
            <w:tcW w:w="507" w:type="pct"/>
            <w:shd w:val="clear" w:color="auto" w:fill="auto"/>
            <w:noWrap/>
            <w:vAlign w:val="center"/>
          </w:tcPr>
          <w:p w14:paraId="2EAF729C" w14:textId="63904FCD"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0.121</w:t>
            </w:r>
          </w:p>
        </w:tc>
      </w:tr>
      <w:tr w:rsidR="0008011B" w:rsidRPr="000158F3" w14:paraId="68630A27" w14:textId="77777777" w:rsidTr="000158F3">
        <w:trPr>
          <w:trHeight w:val="315"/>
        </w:trPr>
        <w:tc>
          <w:tcPr>
            <w:tcW w:w="604" w:type="pct"/>
            <w:shd w:val="clear" w:color="auto" w:fill="auto"/>
            <w:noWrap/>
            <w:vAlign w:val="center"/>
          </w:tcPr>
          <w:p w14:paraId="150F446B" w14:textId="32526708"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shd w:val="clear" w:color="auto" w:fill="auto"/>
            <w:noWrap/>
            <w:vAlign w:val="center"/>
          </w:tcPr>
          <w:p w14:paraId="05C08854" w14:textId="1E47658A"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shd w:val="clear" w:color="auto" w:fill="auto"/>
            <w:noWrap/>
            <w:vAlign w:val="center"/>
          </w:tcPr>
          <w:p w14:paraId="463AAE9F" w14:textId="340F2B7C"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shd w:val="clear" w:color="auto" w:fill="auto"/>
            <w:noWrap/>
            <w:vAlign w:val="center"/>
          </w:tcPr>
          <w:p w14:paraId="5449D4C4" w14:textId="45041168"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2F74363A" w14:textId="481CA90F"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shd w:val="clear" w:color="auto" w:fill="auto"/>
            <w:noWrap/>
            <w:vAlign w:val="center"/>
          </w:tcPr>
          <w:p w14:paraId="18510C70" w14:textId="0E8E7BF8"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1</w:t>
            </w:r>
          </w:p>
        </w:tc>
        <w:tc>
          <w:tcPr>
            <w:tcW w:w="487" w:type="pct"/>
            <w:shd w:val="clear" w:color="auto" w:fill="auto"/>
            <w:noWrap/>
            <w:vAlign w:val="center"/>
          </w:tcPr>
          <w:p w14:paraId="7856F575" w14:textId="0B369291"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1.096</w:t>
            </w:r>
          </w:p>
        </w:tc>
        <w:tc>
          <w:tcPr>
            <w:tcW w:w="426" w:type="pct"/>
            <w:shd w:val="clear" w:color="auto" w:fill="auto"/>
            <w:noWrap/>
            <w:vAlign w:val="center"/>
          </w:tcPr>
          <w:p w14:paraId="3B13825D" w14:textId="47A1845D"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2.062</w:t>
            </w:r>
          </w:p>
        </w:tc>
        <w:tc>
          <w:tcPr>
            <w:tcW w:w="533" w:type="pct"/>
            <w:shd w:val="clear" w:color="auto" w:fill="auto"/>
            <w:noWrap/>
            <w:vAlign w:val="center"/>
          </w:tcPr>
          <w:p w14:paraId="767D032C" w14:textId="1A5FCCC3"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2.331</w:t>
            </w:r>
          </w:p>
        </w:tc>
        <w:tc>
          <w:tcPr>
            <w:tcW w:w="507" w:type="pct"/>
            <w:shd w:val="clear" w:color="auto" w:fill="auto"/>
            <w:noWrap/>
            <w:vAlign w:val="center"/>
          </w:tcPr>
          <w:p w14:paraId="34EFA393" w14:textId="683F1AAC" w:rsidR="0008011B" w:rsidRPr="00913830" w:rsidRDefault="0008011B" w:rsidP="000158F3">
            <w:pPr>
              <w:spacing w:before="0" w:after="0"/>
              <w:jc w:val="center"/>
              <w:rPr>
                <w:rFonts w:eastAsia="Times New Roman" w:cs="Calibri"/>
                <w:color w:val="000000"/>
                <w:sz w:val="16"/>
                <w:szCs w:val="16"/>
                <w:lang w:val="sr-Latn-RS" w:eastAsia="sr-Latn-RS"/>
              </w:rPr>
            </w:pPr>
            <w:r w:rsidRPr="000158F3">
              <w:rPr>
                <w:sz w:val="16"/>
                <w:szCs w:val="16"/>
              </w:rPr>
              <w:t>0.011</w:t>
            </w:r>
          </w:p>
        </w:tc>
      </w:tr>
      <w:tr w:rsidR="00842F5B" w:rsidRPr="000158F3" w14:paraId="4514981C" w14:textId="77777777" w:rsidTr="000158F3">
        <w:trPr>
          <w:trHeight w:val="315"/>
        </w:trPr>
        <w:tc>
          <w:tcPr>
            <w:tcW w:w="5000" w:type="pct"/>
            <w:gridSpan w:val="10"/>
            <w:shd w:val="clear" w:color="auto" w:fill="auto"/>
            <w:noWrap/>
            <w:vAlign w:val="center"/>
          </w:tcPr>
          <w:p w14:paraId="3A896C82" w14:textId="77777777" w:rsidR="00842F5B" w:rsidRPr="000158F3" w:rsidRDefault="00842F5B" w:rsidP="000158F3">
            <w:pPr>
              <w:spacing w:before="0" w:after="0"/>
              <w:jc w:val="center"/>
              <w:rPr>
                <w:rFonts w:eastAsia="Times New Roman" w:cs="Calibri"/>
                <w:color w:val="000000"/>
                <w:sz w:val="16"/>
                <w:szCs w:val="16"/>
                <w:lang w:val="sr-Latn-RS" w:eastAsia="sr-Latn-RS"/>
              </w:rPr>
            </w:pPr>
            <w:r w:rsidRPr="000158F3">
              <w:rPr>
                <w:rFonts w:eastAsia="Times New Roman" w:cs="Calibri"/>
                <w:color w:val="000000"/>
                <w:sz w:val="16"/>
                <w:szCs w:val="16"/>
                <w:lang w:val="sr-Latn-RS" w:eastAsia="sr-Latn-RS"/>
              </w:rPr>
              <w:t>...</w:t>
            </w:r>
          </w:p>
        </w:tc>
      </w:tr>
      <w:tr w:rsidR="000158F3" w:rsidRPr="000158F3" w14:paraId="7CF530FF" w14:textId="77777777" w:rsidTr="000158F3">
        <w:trPr>
          <w:trHeight w:val="315"/>
        </w:trPr>
        <w:tc>
          <w:tcPr>
            <w:tcW w:w="604" w:type="pct"/>
            <w:shd w:val="clear" w:color="auto" w:fill="auto"/>
            <w:noWrap/>
            <w:vAlign w:val="center"/>
          </w:tcPr>
          <w:p w14:paraId="421C3EB1" w14:textId="38D07CD2"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96672.317</w:t>
            </w:r>
          </w:p>
        </w:tc>
        <w:tc>
          <w:tcPr>
            <w:tcW w:w="496" w:type="pct"/>
            <w:shd w:val="clear" w:color="auto" w:fill="auto"/>
            <w:noWrap/>
            <w:vAlign w:val="center"/>
          </w:tcPr>
          <w:p w14:paraId="509DE1F1" w14:textId="31515510"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1.000</w:t>
            </w:r>
          </w:p>
        </w:tc>
        <w:tc>
          <w:tcPr>
            <w:tcW w:w="400" w:type="pct"/>
            <w:shd w:val="clear" w:color="auto" w:fill="auto"/>
            <w:noWrap/>
            <w:vAlign w:val="center"/>
          </w:tcPr>
          <w:p w14:paraId="53F1CBFE" w14:textId="18391950"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shd w:val="clear" w:color="auto" w:fill="auto"/>
            <w:noWrap/>
            <w:vAlign w:val="center"/>
          </w:tcPr>
          <w:p w14:paraId="7E2BA942" w14:textId="618CC503"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w:t>
            </w:r>
          </w:p>
        </w:tc>
        <w:tc>
          <w:tcPr>
            <w:tcW w:w="486" w:type="pct"/>
            <w:shd w:val="clear" w:color="auto" w:fill="auto"/>
            <w:noWrap/>
            <w:vAlign w:val="center"/>
          </w:tcPr>
          <w:p w14:paraId="6C094EF2" w14:textId="706EF1B5"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w:t>
            </w:r>
          </w:p>
        </w:tc>
        <w:tc>
          <w:tcPr>
            <w:tcW w:w="548" w:type="pct"/>
            <w:shd w:val="clear" w:color="auto" w:fill="auto"/>
            <w:noWrap/>
            <w:vAlign w:val="center"/>
          </w:tcPr>
          <w:p w14:paraId="3C26916D" w14:textId="6B3BA2FD"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7" w:type="pct"/>
            <w:shd w:val="clear" w:color="auto" w:fill="auto"/>
            <w:noWrap/>
            <w:vAlign w:val="center"/>
          </w:tcPr>
          <w:p w14:paraId="2EA5D1A6" w14:textId="69E8B606"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1.29</w:t>
            </w:r>
          </w:p>
        </w:tc>
        <w:tc>
          <w:tcPr>
            <w:tcW w:w="426" w:type="pct"/>
            <w:shd w:val="clear" w:color="auto" w:fill="auto"/>
            <w:noWrap/>
            <w:vAlign w:val="center"/>
          </w:tcPr>
          <w:p w14:paraId="2A6898FC" w14:textId="1F9BF699"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0.92</w:t>
            </w:r>
          </w:p>
        </w:tc>
        <w:tc>
          <w:tcPr>
            <w:tcW w:w="533" w:type="pct"/>
            <w:shd w:val="clear" w:color="auto" w:fill="auto"/>
            <w:noWrap/>
            <w:vAlign w:val="center"/>
          </w:tcPr>
          <w:p w14:paraId="09C1C08F" w14:textId="3D500D12"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1.58</w:t>
            </w:r>
          </w:p>
        </w:tc>
        <w:tc>
          <w:tcPr>
            <w:tcW w:w="507" w:type="pct"/>
            <w:shd w:val="clear" w:color="auto" w:fill="auto"/>
            <w:noWrap/>
            <w:vAlign w:val="center"/>
          </w:tcPr>
          <w:p w14:paraId="6904EC96" w14:textId="43123BF0"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r>
      <w:tr w:rsidR="000158F3" w:rsidRPr="000158F3" w14:paraId="184445EB" w14:textId="77777777" w:rsidTr="000158F3">
        <w:trPr>
          <w:trHeight w:val="315"/>
        </w:trPr>
        <w:tc>
          <w:tcPr>
            <w:tcW w:w="604" w:type="pct"/>
            <w:shd w:val="clear" w:color="auto" w:fill="auto"/>
            <w:noWrap/>
            <w:vAlign w:val="center"/>
          </w:tcPr>
          <w:p w14:paraId="6565A62A" w14:textId="2D923C35"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96674.717</w:t>
            </w:r>
          </w:p>
        </w:tc>
        <w:tc>
          <w:tcPr>
            <w:tcW w:w="496" w:type="pct"/>
            <w:shd w:val="clear" w:color="auto" w:fill="auto"/>
            <w:noWrap/>
            <w:vAlign w:val="center"/>
          </w:tcPr>
          <w:p w14:paraId="07A47918" w14:textId="5E1C84CF"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1.000</w:t>
            </w:r>
          </w:p>
        </w:tc>
        <w:tc>
          <w:tcPr>
            <w:tcW w:w="400" w:type="pct"/>
            <w:shd w:val="clear" w:color="auto" w:fill="auto"/>
            <w:noWrap/>
            <w:vAlign w:val="center"/>
          </w:tcPr>
          <w:p w14:paraId="4BC64D68" w14:textId="071FE4F3"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w:t>
            </w:r>
          </w:p>
        </w:tc>
        <w:tc>
          <w:tcPr>
            <w:tcW w:w="513" w:type="pct"/>
            <w:shd w:val="clear" w:color="auto" w:fill="auto"/>
            <w:noWrap/>
            <w:vAlign w:val="center"/>
          </w:tcPr>
          <w:p w14:paraId="119477C2" w14:textId="6D9EF965"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07C31350" w14:textId="06D27D99"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w:t>
            </w:r>
          </w:p>
        </w:tc>
        <w:tc>
          <w:tcPr>
            <w:tcW w:w="548" w:type="pct"/>
            <w:shd w:val="clear" w:color="auto" w:fill="auto"/>
            <w:noWrap/>
            <w:vAlign w:val="center"/>
          </w:tcPr>
          <w:p w14:paraId="61C8A2A0" w14:textId="54290B41"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7" w:type="pct"/>
            <w:shd w:val="clear" w:color="auto" w:fill="auto"/>
            <w:noWrap/>
            <w:vAlign w:val="center"/>
          </w:tcPr>
          <w:p w14:paraId="6913C7AA" w14:textId="45A1B10D"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1.21</w:t>
            </w:r>
          </w:p>
        </w:tc>
        <w:tc>
          <w:tcPr>
            <w:tcW w:w="426" w:type="pct"/>
            <w:shd w:val="clear" w:color="auto" w:fill="auto"/>
            <w:noWrap/>
            <w:vAlign w:val="center"/>
          </w:tcPr>
          <w:p w14:paraId="36DFA20B" w14:textId="671223E6"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0.993</w:t>
            </w:r>
          </w:p>
        </w:tc>
        <w:tc>
          <w:tcPr>
            <w:tcW w:w="533" w:type="pct"/>
            <w:shd w:val="clear" w:color="auto" w:fill="auto"/>
            <w:noWrap/>
            <w:vAlign w:val="center"/>
          </w:tcPr>
          <w:p w14:paraId="3C585F4E" w14:textId="3DF82923"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1.562</w:t>
            </w:r>
          </w:p>
        </w:tc>
        <w:tc>
          <w:tcPr>
            <w:tcW w:w="507" w:type="pct"/>
            <w:shd w:val="clear" w:color="auto" w:fill="auto"/>
            <w:noWrap/>
            <w:vAlign w:val="center"/>
          </w:tcPr>
          <w:p w14:paraId="254D0EFA" w14:textId="744F03D8"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r>
      <w:tr w:rsidR="000158F3" w:rsidRPr="000158F3" w14:paraId="7FDD7512" w14:textId="77777777" w:rsidTr="000158F3">
        <w:trPr>
          <w:trHeight w:val="315"/>
        </w:trPr>
        <w:tc>
          <w:tcPr>
            <w:tcW w:w="604" w:type="pct"/>
            <w:shd w:val="clear" w:color="auto" w:fill="auto"/>
            <w:noWrap/>
            <w:vAlign w:val="center"/>
          </w:tcPr>
          <w:p w14:paraId="0E3B0B96" w14:textId="16537766"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96696.183</w:t>
            </w:r>
          </w:p>
        </w:tc>
        <w:tc>
          <w:tcPr>
            <w:tcW w:w="496" w:type="pct"/>
            <w:shd w:val="clear" w:color="auto" w:fill="auto"/>
            <w:noWrap/>
            <w:vAlign w:val="center"/>
          </w:tcPr>
          <w:p w14:paraId="0A382A59" w14:textId="1B183656"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1.000</w:t>
            </w:r>
          </w:p>
        </w:tc>
        <w:tc>
          <w:tcPr>
            <w:tcW w:w="400" w:type="pct"/>
            <w:shd w:val="clear" w:color="auto" w:fill="auto"/>
            <w:noWrap/>
            <w:vAlign w:val="center"/>
          </w:tcPr>
          <w:p w14:paraId="27BD5C4B" w14:textId="0AE93027"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w:t>
            </w:r>
          </w:p>
        </w:tc>
        <w:tc>
          <w:tcPr>
            <w:tcW w:w="513" w:type="pct"/>
            <w:shd w:val="clear" w:color="auto" w:fill="auto"/>
            <w:noWrap/>
            <w:vAlign w:val="center"/>
          </w:tcPr>
          <w:p w14:paraId="268A796C" w14:textId="2EE8F068"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w:t>
            </w:r>
          </w:p>
        </w:tc>
        <w:tc>
          <w:tcPr>
            <w:tcW w:w="486" w:type="pct"/>
            <w:shd w:val="clear" w:color="auto" w:fill="auto"/>
            <w:noWrap/>
            <w:vAlign w:val="center"/>
          </w:tcPr>
          <w:p w14:paraId="2960E559" w14:textId="395B8E03"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w:t>
            </w:r>
          </w:p>
        </w:tc>
        <w:tc>
          <w:tcPr>
            <w:tcW w:w="548" w:type="pct"/>
            <w:shd w:val="clear" w:color="auto" w:fill="auto"/>
            <w:noWrap/>
            <w:vAlign w:val="center"/>
          </w:tcPr>
          <w:p w14:paraId="054B5B41" w14:textId="0863E6D4"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7" w:type="pct"/>
            <w:shd w:val="clear" w:color="auto" w:fill="auto"/>
            <w:noWrap/>
            <w:vAlign w:val="center"/>
          </w:tcPr>
          <w:p w14:paraId="36F890E0" w14:textId="7B9B0F68"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1.195</w:t>
            </w:r>
          </w:p>
        </w:tc>
        <w:tc>
          <w:tcPr>
            <w:tcW w:w="426" w:type="pct"/>
            <w:shd w:val="clear" w:color="auto" w:fill="auto"/>
            <w:noWrap/>
            <w:vAlign w:val="center"/>
          </w:tcPr>
          <w:p w14:paraId="78DAA70E" w14:textId="06AAF20F"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0.921</w:t>
            </w:r>
          </w:p>
        </w:tc>
        <w:tc>
          <w:tcPr>
            <w:tcW w:w="533" w:type="pct"/>
            <w:shd w:val="clear" w:color="auto" w:fill="auto"/>
            <w:noWrap/>
            <w:vAlign w:val="center"/>
          </w:tcPr>
          <w:p w14:paraId="7747C170" w14:textId="6714E4DE"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1.505</w:t>
            </w:r>
          </w:p>
        </w:tc>
        <w:tc>
          <w:tcPr>
            <w:tcW w:w="507" w:type="pct"/>
            <w:shd w:val="clear" w:color="auto" w:fill="auto"/>
            <w:noWrap/>
            <w:vAlign w:val="center"/>
          </w:tcPr>
          <w:p w14:paraId="16D4E18C" w14:textId="279CF410"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r>
      <w:tr w:rsidR="000158F3" w:rsidRPr="000158F3" w14:paraId="7F8E76E6" w14:textId="77777777" w:rsidTr="000158F3">
        <w:trPr>
          <w:trHeight w:val="315"/>
        </w:trPr>
        <w:tc>
          <w:tcPr>
            <w:tcW w:w="604" w:type="pct"/>
            <w:shd w:val="clear" w:color="auto" w:fill="auto"/>
            <w:noWrap/>
            <w:vAlign w:val="center"/>
          </w:tcPr>
          <w:p w14:paraId="6DE14319" w14:textId="4B4BD45E"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96700.817</w:t>
            </w:r>
          </w:p>
        </w:tc>
        <w:tc>
          <w:tcPr>
            <w:tcW w:w="496" w:type="pct"/>
            <w:shd w:val="clear" w:color="auto" w:fill="auto"/>
            <w:noWrap/>
            <w:vAlign w:val="center"/>
          </w:tcPr>
          <w:p w14:paraId="75D8172E" w14:textId="371EE9B9"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1.000</w:t>
            </w:r>
          </w:p>
        </w:tc>
        <w:tc>
          <w:tcPr>
            <w:tcW w:w="400" w:type="pct"/>
            <w:shd w:val="clear" w:color="auto" w:fill="auto"/>
            <w:noWrap/>
            <w:vAlign w:val="center"/>
          </w:tcPr>
          <w:p w14:paraId="7DFE3EB6" w14:textId="37F9344D"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w:t>
            </w:r>
          </w:p>
        </w:tc>
        <w:tc>
          <w:tcPr>
            <w:tcW w:w="513" w:type="pct"/>
            <w:shd w:val="clear" w:color="auto" w:fill="auto"/>
            <w:noWrap/>
            <w:vAlign w:val="center"/>
          </w:tcPr>
          <w:p w14:paraId="1DB8C7D4" w14:textId="6E583C7F"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54D6BF4B" w14:textId="4A15BBC3"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w:t>
            </w:r>
          </w:p>
        </w:tc>
        <w:tc>
          <w:tcPr>
            <w:tcW w:w="548" w:type="pct"/>
            <w:shd w:val="clear" w:color="auto" w:fill="auto"/>
            <w:noWrap/>
            <w:vAlign w:val="center"/>
          </w:tcPr>
          <w:p w14:paraId="4D7591B0" w14:textId="3ED109C6"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7" w:type="pct"/>
            <w:shd w:val="clear" w:color="auto" w:fill="auto"/>
            <w:noWrap/>
            <w:vAlign w:val="center"/>
          </w:tcPr>
          <w:p w14:paraId="3262E6ED" w14:textId="7470B3EA"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1.237</w:t>
            </w:r>
          </w:p>
        </w:tc>
        <w:tc>
          <w:tcPr>
            <w:tcW w:w="426" w:type="pct"/>
            <w:shd w:val="clear" w:color="auto" w:fill="auto"/>
            <w:noWrap/>
            <w:vAlign w:val="center"/>
          </w:tcPr>
          <w:p w14:paraId="1741F1B5" w14:textId="22B300AF"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0.964</w:t>
            </w:r>
          </w:p>
        </w:tc>
        <w:tc>
          <w:tcPr>
            <w:tcW w:w="533" w:type="pct"/>
            <w:shd w:val="clear" w:color="auto" w:fill="auto"/>
            <w:noWrap/>
            <w:vAlign w:val="center"/>
          </w:tcPr>
          <w:p w14:paraId="57E27DE6" w14:textId="482E09F9"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1.565</w:t>
            </w:r>
          </w:p>
        </w:tc>
        <w:tc>
          <w:tcPr>
            <w:tcW w:w="507" w:type="pct"/>
            <w:shd w:val="clear" w:color="auto" w:fill="auto"/>
            <w:noWrap/>
            <w:vAlign w:val="center"/>
          </w:tcPr>
          <w:p w14:paraId="2704D5E5" w14:textId="29416B7A"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r>
      <w:tr w:rsidR="000158F3" w:rsidRPr="000158F3" w14:paraId="62CFB584" w14:textId="77777777" w:rsidTr="000158F3">
        <w:trPr>
          <w:trHeight w:val="315"/>
        </w:trPr>
        <w:tc>
          <w:tcPr>
            <w:tcW w:w="604" w:type="pct"/>
            <w:shd w:val="clear" w:color="auto" w:fill="auto"/>
            <w:noWrap/>
            <w:vAlign w:val="center"/>
          </w:tcPr>
          <w:p w14:paraId="1774450D" w14:textId="4DC4EEE0"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shd w:val="clear" w:color="auto" w:fill="auto"/>
            <w:noWrap/>
            <w:vAlign w:val="center"/>
          </w:tcPr>
          <w:p w14:paraId="6289C1FC" w14:textId="170CF320"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shd w:val="clear" w:color="auto" w:fill="auto"/>
            <w:noWrap/>
            <w:vAlign w:val="center"/>
          </w:tcPr>
          <w:p w14:paraId="59E3DE93" w14:textId="66D7CDBE"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w:t>
            </w:r>
          </w:p>
        </w:tc>
        <w:tc>
          <w:tcPr>
            <w:tcW w:w="513" w:type="pct"/>
            <w:shd w:val="clear" w:color="auto" w:fill="auto"/>
            <w:noWrap/>
            <w:vAlign w:val="center"/>
          </w:tcPr>
          <w:p w14:paraId="15DE9B2D" w14:textId="7FFCD7EC"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17F3C4CC" w14:textId="21F47A23"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shd w:val="clear" w:color="auto" w:fill="auto"/>
            <w:noWrap/>
            <w:vAlign w:val="center"/>
          </w:tcPr>
          <w:p w14:paraId="7DD18977" w14:textId="3AFE5EDE"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7" w:type="pct"/>
            <w:shd w:val="clear" w:color="auto" w:fill="auto"/>
            <w:noWrap/>
            <w:vAlign w:val="center"/>
          </w:tcPr>
          <w:p w14:paraId="6A93A5BF" w14:textId="4B8A2F6F"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1.221</w:t>
            </w:r>
          </w:p>
        </w:tc>
        <w:tc>
          <w:tcPr>
            <w:tcW w:w="426" w:type="pct"/>
            <w:shd w:val="clear" w:color="auto" w:fill="auto"/>
            <w:noWrap/>
            <w:vAlign w:val="center"/>
          </w:tcPr>
          <w:p w14:paraId="3D4A729E" w14:textId="0F4A856D"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1.085</w:t>
            </w:r>
          </w:p>
        </w:tc>
        <w:tc>
          <w:tcPr>
            <w:tcW w:w="533" w:type="pct"/>
            <w:shd w:val="clear" w:color="auto" w:fill="auto"/>
            <w:noWrap/>
            <w:vAlign w:val="center"/>
          </w:tcPr>
          <w:p w14:paraId="6C1BF641" w14:textId="38ED60BE"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1.63</w:t>
            </w:r>
          </w:p>
        </w:tc>
        <w:tc>
          <w:tcPr>
            <w:tcW w:w="507" w:type="pct"/>
            <w:shd w:val="clear" w:color="auto" w:fill="auto"/>
            <w:noWrap/>
            <w:vAlign w:val="center"/>
          </w:tcPr>
          <w:p w14:paraId="07C31A2C" w14:textId="05A53111"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r>
      <w:tr w:rsidR="000158F3" w:rsidRPr="000158F3" w14:paraId="03076BDB" w14:textId="77777777" w:rsidTr="000158F3">
        <w:trPr>
          <w:trHeight w:val="315"/>
        </w:trPr>
        <w:tc>
          <w:tcPr>
            <w:tcW w:w="604" w:type="pct"/>
            <w:shd w:val="clear" w:color="auto" w:fill="auto"/>
            <w:noWrap/>
            <w:vAlign w:val="center"/>
          </w:tcPr>
          <w:p w14:paraId="5573773F" w14:textId="2D581D10"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96710.983</w:t>
            </w:r>
          </w:p>
        </w:tc>
        <w:tc>
          <w:tcPr>
            <w:tcW w:w="496" w:type="pct"/>
            <w:shd w:val="clear" w:color="auto" w:fill="auto"/>
            <w:noWrap/>
            <w:vAlign w:val="center"/>
          </w:tcPr>
          <w:p w14:paraId="49B2941D" w14:textId="285FB805"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1.000</w:t>
            </w:r>
          </w:p>
        </w:tc>
        <w:tc>
          <w:tcPr>
            <w:tcW w:w="400" w:type="pct"/>
            <w:shd w:val="clear" w:color="auto" w:fill="auto"/>
            <w:noWrap/>
            <w:vAlign w:val="center"/>
          </w:tcPr>
          <w:p w14:paraId="62E8E969" w14:textId="7B235D0C"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w:t>
            </w:r>
          </w:p>
        </w:tc>
        <w:tc>
          <w:tcPr>
            <w:tcW w:w="513" w:type="pct"/>
            <w:shd w:val="clear" w:color="auto" w:fill="auto"/>
            <w:noWrap/>
            <w:vAlign w:val="center"/>
          </w:tcPr>
          <w:p w14:paraId="1C4F48EC" w14:textId="16B58F45"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w:t>
            </w:r>
          </w:p>
        </w:tc>
        <w:tc>
          <w:tcPr>
            <w:tcW w:w="486" w:type="pct"/>
            <w:shd w:val="clear" w:color="auto" w:fill="auto"/>
            <w:noWrap/>
            <w:vAlign w:val="center"/>
          </w:tcPr>
          <w:p w14:paraId="28AD4F2A" w14:textId="4E4611EC"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w:t>
            </w:r>
          </w:p>
        </w:tc>
        <w:tc>
          <w:tcPr>
            <w:tcW w:w="548" w:type="pct"/>
            <w:shd w:val="clear" w:color="auto" w:fill="auto"/>
            <w:noWrap/>
            <w:vAlign w:val="center"/>
          </w:tcPr>
          <w:p w14:paraId="1BC2D866" w14:textId="712A6BFD"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7" w:type="pct"/>
            <w:shd w:val="clear" w:color="auto" w:fill="auto"/>
            <w:noWrap/>
            <w:vAlign w:val="center"/>
          </w:tcPr>
          <w:p w14:paraId="1CF4883D" w14:textId="037DC046"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0.516</w:t>
            </w:r>
          </w:p>
        </w:tc>
        <w:tc>
          <w:tcPr>
            <w:tcW w:w="426" w:type="pct"/>
            <w:shd w:val="clear" w:color="auto" w:fill="auto"/>
            <w:noWrap/>
            <w:vAlign w:val="center"/>
          </w:tcPr>
          <w:p w14:paraId="6C1B5510" w14:textId="0A45FE8C"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0.13</w:t>
            </w:r>
          </w:p>
        </w:tc>
        <w:tc>
          <w:tcPr>
            <w:tcW w:w="533" w:type="pct"/>
            <w:shd w:val="clear" w:color="auto" w:fill="auto"/>
            <w:noWrap/>
            <w:vAlign w:val="center"/>
          </w:tcPr>
          <w:p w14:paraId="6F9B3CE6" w14:textId="3A42EE6B"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0.53</w:t>
            </w:r>
          </w:p>
        </w:tc>
        <w:tc>
          <w:tcPr>
            <w:tcW w:w="507" w:type="pct"/>
            <w:shd w:val="clear" w:color="auto" w:fill="auto"/>
            <w:noWrap/>
            <w:vAlign w:val="center"/>
          </w:tcPr>
          <w:p w14:paraId="317C2796" w14:textId="34C14322"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r>
      <w:tr w:rsidR="000158F3" w:rsidRPr="000158F3" w14:paraId="1BEE79FD" w14:textId="77777777" w:rsidTr="000158F3">
        <w:trPr>
          <w:trHeight w:val="315"/>
        </w:trPr>
        <w:tc>
          <w:tcPr>
            <w:tcW w:w="604" w:type="pct"/>
            <w:shd w:val="clear" w:color="auto" w:fill="auto"/>
            <w:noWrap/>
            <w:vAlign w:val="center"/>
          </w:tcPr>
          <w:p w14:paraId="4EC1532D" w14:textId="75393508"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shd w:val="clear" w:color="auto" w:fill="auto"/>
            <w:noWrap/>
            <w:vAlign w:val="center"/>
          </w:tcPr>
          <w:p w14:paraId="69A0BC0A" w14:textId="2EB47143"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shd w:val="clear" w:color="auto" w:fill="auto"/>
            <w:noWrap/>
            <w:vAlign w:val="center"/>
          </w:tcPr>
          <w:p w14:paraId="565AC28B" w14:textId="5B69ECD5"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shd w:val="clear" w:color="auto" w:fill="auto"/>
            <w:noWrap/>
            <w:vAlign w:val="center"/>
          </w:tcPr>
          <w:p w14:paraId="72E63273" w14:textId="09AF8AE3"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042A4B76" w14:textId="2E6FE255"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shd w:val="clear" w:color="auto" w:fill="auto"/>
            <w:noWrap/>
            <w:vAlign w:val="center"/>
          </w:tcPr>
          <w:p w14:paraId="659D8DB6" w14:textId="154AB5BE"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7" w:type="pct"/>
            <w:shd w:val="clear" w:color="auto" w:fill="auto"/>
            <w:noWrap/>
            <w:vAlign w:val="center"/>
          </w:tcPr>
          <w:p w14:paraId="68526086" w14:textId="6E2AEBD9"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1.235</w:t>
            </w:r>
          </w:p>
        </w:tc>
        <w:tc>
          <w:tcPr>
            <w:tcW w:w="426" w:type="pct"/>
            <w:shd w:val="clear" w:color="auto" w:fill="auto"/>
            <w:noWrap/>
            <w:vAlign w:val="center"/>
          </w:tcPr>
          <w:p w14:paraId="3B4DD39D" w14:textId="7FA6DC03"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0.957</w:t>
            </w:r>
          </w:p>
        </w:tc>
        <w:tc>
          <w:tcPr>
            <w:tcW w:w="533" w:type="pct"/>
            <w:shd w:val="clear" w:color="auto" w:fill="auto"/>
            <w:noWrap/>
            <w:vAlign w:val="center"/>
          </w:tcPr>
          <w:p w14:paraId="33BC0D32" w14:textId="3F536CC8"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1.559</w:t>
            </w:r>
          </w:p>
        </w:tc>
        <w:tc>
          <w:tcPr>
            <w:tcW w:w="507" w:type="pct"/>
            <w:shd w:val="clear" w:color="auto" w:fill="auto"/>
            <w:noWrap/>
            <w:vAlign w:val="center"/>
          </w:tcPr>
          <w:p w14:paraId="505304DD" w14:textId="7E80FAB6"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r>
      <w:tr w:rsidR="000158F3" w:rsidRPr="000158F3" w14:paraId="5E92D7AB" w14:textId="77777777" w:rsidTr="000158F3">
        <w:trPr>
          <w:trHeight w:val="315"/>
        </w:trPr>
        <w:tc>
          <w:tcPr>
            <w:tcW w:w="604" w:type="pct"/>
            <w:shd w:val="clear" w:color="auto" w:fill="auto"/>
            <w:noWrap/>
            <w:vAlign w:val="center"/>
          </w:tcPr>
          <w:p w14:paraId="26CAA160" w14:textId="351F11F4"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shd w:val="clear" w:color="auto" w:fill="auto"/>
            <w:noWrap/>
            <w:vAlign w:val="center"/>
          </w:tcPr>
          <w:p w14:paraId="469D97C5" w14:textId="04007E9C"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shd w:val="clear" w:color="auto" w:fill="auto"/>
            <w:noWrap/>
            <w:vAlign w:val="center"/>
          </w:tcPr>
          <w:p w14:paraId="26D44DBD" w14:textId="2205C64B"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shd w:val="clear" w:color="auto" w:fill="auto"/>
            <w:noWrap/>
            <w:vAlign w:val="center"/>
          </w:tcPr>
          <w:p w14:paraId="39B71816" w14:textId="5294F7BF"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4023E852" w14:textId="37F145AF"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shd w:val="clear" w:color="auto" w:fill="auto"/>
            <w:noWrap/>
            <w:vAlign w:val="center"/>
          </w:tcPr>
          <w:p w14:paraId="3C9473F2" w14:textId="3E0B289C"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7" w:type="pct"/>
            <w:shd w:val="clear" w:color="auto" w:fill="auto"/>
            <w:noWrap/>
            <w:vAlign w:val="center"/>
          </w:tcPr>
          <w:p w14:paraId="2630E2CF" w14:textId="4D21C0F0"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1.247</w:t>
            </w:r>
          </w:p>
        </w:tc>
        <w:tc>
          <w:tcPr>
            <w:tcW w:w="426" w:type="pct"/>
            <w:shd w:val="clear" w:color="auto" w:fill="auto"/>
            <w:noWrap/>
            <w:vAlign w:val="center"/>
          </w:tcPr>
          <w:p w14:paraId="3C79D526" w14:textId="22F38FFB"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0.946</w:t>
            </w:r>
          </w:p>
        </w:tc>
        <w:tc>
          <w:tcPr>
            <w:tcW w:w="533" w:type="pct"/>
            <w:shd w:val="clear" w:color="auto" w:fill="auto"/>
            <w:noWrap/>
            <w:vAlign w:val="center"/>
          </w:tcPr>
          <w:p w14:paraId="28F2E441" w14:textId="74E74D06"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1.562</w:t>
            </w:r>
          </w:p>
        </w:tc>
        <w:tc>
          <w:tcPr>
            <w:tcW w:w="507" w:type="pct"/>
            <w:shd w:val="clear" w:color="auto" w:fill="auto"/>
            <w:noWrap/>
            <w:vAlign w:val="center"/>
          </w:tcPr>
          <w:p w14:paraId="092B561A" w14:textId="6882CBE6"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r>
      <w:tr w:rsidR="000158F3" w:rsidRPr="000158F3" w14:paraId="7BF854B4" w14:textId="77777777" w:rsidTr="000158F3">
        <w:trPr>
          <w:trHeight w:val="315"/>
        </w:trPr>
        <w:tc>
          <w:tcPr>
            <w:tcW w:w="604" w:type="pct"/>
            <w:shd w:val="clear" w:color="auto" w:fill="auto"/>
            <w:noWrap/>
            <w:vAlign w:val="center"/>
          </w:tcPr>
          <w:p w14:paraId="4268AC1D" w14:textId="7CD525F8"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shd w:val="clear" w:color="auto" w:fill="auto"/>
            <w:noWrap/>
            <w:vAlign w:val="center"/>
          </w:tcPr>
          <w:p w14:paraId="449FAB14" w14:textId="181E9F1F"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shd w:val="clear" w:color="auto" w:fill="auto"/>
            <w:noWrap/>
            <w:vAlign w:val="center"/>
          </w:tcPr>
          <w:p w14:paraId="3C72F03D" w14:textId="69CB1DD5"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shd w:val="clear" w:color="auto" w:fill="auto"/>
            <w:noWrap/>
            <w:vAlign w:val="center"/>
          </w:tcPr>
          <w:p w14:paraId="20772310" w14:textId="30446FB6"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1588DA8E" w14:textId="4C7E7235"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shd w:val="clear" w:color="auto" w:fill="auto"/>
            <w:noWrap/>
            <w:vAlign w:val="center"/>
          </w:tcPr>
          <w:p w14:paraId="3E3546D6" w14:textId="29F033F8"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7" w:type="pct"/>
            <w:shd w:val="clear" w:color="auto" w:fill="auto"/>
            <w:noWrap/>
            <w:vAlign w:val="center"/>
          </w:tcPr>
          <w:p w14:paraId="1CEB6400" w14:textId="7F068D54"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1.237</w:t>
            </w:r>
          </w:p>
        </w:tc>
        <w:tc>
          <w:tcPr>
            <w:tcW w:w="426" w:type="pct"/>
            <w:shd w:val="clear" w:color="auto" w:fill="auto"/>
            <w:noWrap/>
            <w:vAlign w:val="center"/>
          </w:tcPr>
          <w:p w14:paraId="0D6808D4" w14:textId="3968C05C"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0.967</w:t>
            </w:r>
          </w:p>
        </w:tc>
        <w:tc>
          <w:tcPr>
            <w:tcW w:w="533" w:type="pct"/>
            <w:shd w:val="clear" w:color="auto" w:fill="auto"/>
            <w:noWrap/>
            <w:vAlign w:val="center"/>
          </w:tcPr>
          <w:p w14:paraId="6B2762A9" w14:textId="02A8522E"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1.566</w:t>
            </w:r>
          </w:p>
        </w:tc>
        <w:tc>
          <w:tcPr>
            <w:tcW w:w="507" w:type="pct"/>
            <w:shd w:val="clear" w:color="auto" w:fill="auto"/>
            <w:noWrap/>
            <w:vAlign w:val="center"/>
          </w:tcPr>
          <w:p w14:paraId="6100EFB1" w14:textId="0E657080"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r>
      <w:tr w:rsidR="000158F3" w:rsidRPr="000158F3" w14:paraId="2A3BE686" w14:textId="77777777" w:rsidTr="000158F3">
        <w:trPr>
          <w:trHeight w:val="315"/>
        </w:trPr>
        <w:tc>
          <w:tcPr>
            <w:tcW w:w="604" w:type="pct"/>
            <w:shd w:val="clear" w:color="auto" w:fill="auto"/>
            <w:noWrap/>
            <w:vAlign w:val="center"/>
          </w:tcPr>
          <w:p w14:paraId="00D683D1" w14:textId="6499A469"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shd w:val="clear" w:color="auto" w:fill="auto"/>
            <w:noWrap/>
            <w:vAlign w:val="center"/>
          </w:tcPr>
          <w:p w14:paraId="408B974F" w14:textId="75452CAE"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shd w:val="clear" w:color="auto" w:fill="auto"/>
            <w:noWrap/>
            <w:vAlign w:val="center"/>
          </w:tcPr>
          <w:p w14:paraId="463875E3" w14:textId="79CFF58F"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shd w:val="clear" w:color="auto" w:fill="auto"/>
            <w:noWrap/>
            <w:vAlign w:val="center"/>
          </w:tcPr>
          <w:p w14:paraId="7F0F4FA4" w14:textId="3A0C73F3"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096F400A" w14:textId="0AC8F4A4"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shd w:val="clear" w:color="auto" w:fill="auto"/>
            <w:noWrap/>
            <w:vAlign w:val="center"/>
          </w:tcPr>
          <w:p w14:paraId="0BF8840C" w14:textId="5A5DF65E"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7" w:type="pct"/>
            <w:shd w:val="clear" w:color="auto" w:fill="auto"/>
            <w:noWrap/>
            <w:vAlign w:val="center"/>
          </w:tcPr>
          <w:p w14:paraId="57EE6D9D" w14:textId="61C1563A"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1.184</w:t>
            </w:r>
          </w:p>
        </w:tc>
        <w:tc>
          <w:tcPr>
            <w:tcW w:w="426" w:type="pct"/>
            <w:shd w:val="clear" w:color="auto" w:fill="auto"/>
            <w:noWrap/>
            <w:vAlign w:val="center"/>
          </w:tcPr>
          <w:p w14:paraId="70F01525" w14:textId="5115E65B"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0.901</w:t>
            </w:r>
          </w:p>
        </w:tc>
        <w:tc>
          <w:tcPr>
            <w:tcW w:w="533" w:type="pct"/>
            <w:shd w:val="clear" w:color="auto" w:fill="auto"/>
            <w:noWrap/>
            <w:vAlign w:val="center"/>
          </w:tcPr>
          <w:p w14:paraId="456828F9" w14:textId="5033117E"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1.484</w:t>
            </w:r>
          </w:p>
        </w:tc>
        <w:tc>
          <w:tcPr>
            <w:tcW w:w="507" w:type="pct"/>
            <w:shd w:val="clear" w:color="auto" w:fill="auto"/>
            <w:noWrap/>
            <w:vAlign w:val="center"/>
          </w:tcPr>
          <w:p w14:paraId="47F8AE1A" w14:textId="5232DFD8"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r>
      <w:tr w:rsidR="000158F3" w:rsidRPr="000158F3" w14:paraId="7A492E44" w14:textId="77777777" w:rsidTr="000158F3">
        <w:trPr>
          <w:trHeight w:val="315"/>
        </w:trPr>
        <w:tc>
          <w:tcPr>
            <w:tcW w:w="604" w:type="pct"/>
            <w:shd w:val="clear" w:color="auto" w:fill="auto"/>
            <w:noWrap/>
            <w:vAlign w:val="center"/>
          </w:tcPr>
          <w:p w14:paraId="57077CAB" w14:textId="04C24FD8"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shd w:val="clear" w:color="auto" w:fill="auto"/>
            <w:noWrap/>
            <w:vAlign w:val="center"/>
          </w:tcPr>
          <w:p w14:paraId="55468BBB" w14:textId="2D7DB3F0"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shd w:val="clear" w:color="auto" w:fill="auto"/>
            <w:noWrap/>
            <w:vAlign w:val="center"/>
          </w:tcPr>
          <w:p w14:paraId="0E6B5616" w14:textId="4A6CC6F1"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shd w:val="clear" w:color="auto" w:fill="auto"/>
            <w:noWrap/>
            <w:vAlign w:val="center"/>
          </w:tcPr>
          <w:p w14:paraId="46D2329A" w14:textId="4A18F3B3"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08EC2906" w14:textId="3A4A064D"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shd w:val="clear" w:color="auto" w:fill="auto"/>
            <w:noWrap/>
            <w:vAlign w:val="center"/>
          </w:tcPr>
          <w:p w14:paraId="66EE6DF2" w14:textId="44E07D82"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7" w:type="pct"/>
            <w:shd w:val="clear" w:color="auto" w:fill="auto"/>
            <w:noWrap/>
            <w:vAlign w:val="center"/>
          </w:tcPr>
          <w:p w14:paraId="63FCC18A" w14:textId="733BAD47"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1.308</w:t>
            </w:r>
          </w:p>
        </w:tc>
        <w:tc>
          <w:tcPr>
            <w:tcW w:w="426" w:type="pct"/>
            <w:shd w:val="clear" w:color="auto" w:fill="auto"/>
            <w:noWrap/>
            <w:vAlign w:val="center"/>
          </w:tcPr>
          <w:p w14:paraId="7299C929" w14:textId="537380D1"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1.116</w:t>
            </w:r>
          </w:p>
        </w:tc>
        <w:tc>
          <w:tcPr>
            <w:tcW w:w="533" w:type="pct"/>
            <w:shd w:val="clear" w:color="auto" w:fill="auto"/>
            <w:noWrap/>
            <w:vAlign w:val="center"/>
          </w:tcPr>
          <w:p w14:paraId="10C717AB" w14:textId="1121ADDE"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1.716</w:t>
            </w:r>
          </w:p>
        </w:tc>
        <w:tc>
          <w:tcPr>
            <w:tcW w:w="507" w:type="pct"/>
            <w:shd w:val="clear" w:color="auto" w:fill="auto"/>
            <w:noWrap/>
            <w:vAlign w:val="center"/>
          </w:tcPr>
          <w:p w14:paraId="40E3B2A5" w14:textId="5417CC41"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r>
      <w:tr w:rsidR="000158F3" w:rsidRPr="000158F3" w14:paraId="27D3CEF3" w14:textId="77777777" w:rsidTr="000158F3">
        <w:trPr>
          <w:trHeight w:val="315"/>
        </w:trPr>
        <w:tc>
          <w:tcPr>
            <w:tcW w:w="604" w:type="pct"/>
            <w:shd w:val="clear" w:color="auto" w:fill="auto"/>
            <w:noWrap/>
            <w:vAlign w:val="center"/>
          </w:tcPr>
          <w:p w14:paraId="6480EE19" w14:textId="3003B2B4"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shd w:val="clear" w:color="auto" w:fill="auto"/>
            <w:noWrap/>
            <w:vAlign w:val="center"/>
          </w:tcPr>
          <w:p w14:paraId="413B179D" w14:textId="18EB7C1C"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shd w:val="clear" w:color="auto" w:fill="auto"/>
            <w:noWrap/>
            <w:vAlign w:val="center"/>
          </w:tcPr>
          <w:p w14:paraId="1305B668" w14:textId="1D04F40C"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shd w:val="clear" w:color="auto" w:fill="auto"/>
            <w:noWrap/>
            <w:vAlign w:val="center"/>
          </w:tcPr>
          <w:p w14:paraId="5D337B7C" w14:textId="62133AD6"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1B153DBC" w14:textId="16C512B7"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shd w:val="clear" w:color="auto" w:fill="auto"/>
            <w:noWrap/>
            <w:vAlign w:val="center"/>
          </w:tcPr>
          <w:p w14:paraId="18EE082D" w14:textId="216BAA55"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7" w:type="pct"/>
            <w:shd w:val="clear" w:color="auto" w:fill="auto"/>
            <w:noWrap/>
            <w:vAlign w:val="center"/>
          </w:tcPr>
          <w:p w14:paraId="7EBC66A2" w14:textId="3A724D08"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1.241</w:t>
            </w:r>
          </w:p>
        </w:tc>
        <w:tc>
          <w:tcPr>
            <w:tcW w:w="426" w:type="pct"/>
            <w:shd w:val="clear" w:color="auto" w:fill="auto"/>
            <w:noWrap/>
            <w:vAlign w:val="center"/>
          </w:tcPr>
          <w:p w14:paraId="1CBA4F36" w14:textId="4E01F0B1"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1.006</w:t>
            </w:r>
          </w:p>
        </w:tc>
        <w:tc>
          <w:tcPr>
            <w:tcW w:w="533" w:type="pct"/>
            <w:shd w:val="clear" w:color="auto" w:fill="auto"/>
            <w:noWrap/>
            <w:vAlign w:val="center"/>
          </w:tcPr>
          <w:p w14:paraId="327D95EC" w14:textId="3B7B8666"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1.594</w:t>
            </w:r>
          </w:p>
        </w:tc>
        <w:tc>
          <w:tcPr>
            <w:tcW w:w="507" w:type="pct"/>
            <w:shd w:val="clear" w:color="auto" w:fill="auto"/>
            <w:noWrap/>
            <w:vAlign w:val="center"/>
          </w:tcPr>
          <w:p w14:paraId="16ED4745" w14:textId="0CDFD791"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r>
      <w:tr w:rsidR="000158F3" w:rsidRPr="000158F3" w14:paraId="282CFD8C" w14:textId="77777777" w:rsidTr="000158F3">
        <w:trPr>
          <w:trHeight w:val="315"/>
        </w:trPr>
        <w:tc>
          <w:tcPr>
            <w:tcW w:w="604" w:type="pct"/>
            <w:shd w:val="clear" w:color="auto" w:fill="auto"/>
            <w:noWrap/>
            <w:vAlign w:val="center"/>
          </w:tcPr>
          <w:p w14:paraId="03B7128D" w14:textId="025D875B"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shd w:val="clear" w:color="auto" w:fill="auto"/>
            <w:noWrap/>
            <w:vAlign w:val="center"/>
          </w:tcPr>
          <w:p w14:paraId="214F6FA2" w14:textId="591E71F1"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shd w:val="clear" w:color="auto" w:fill="auto"/>
            <w:noWrap/>
            <w:vAlign w:val="center"/>
          </w:tcPr>
          <w:p w14:paraId="7F7A6D78" w14:textId="00061A20"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shd w:val="clear" w:color="auto" w:fill="auto"/>
            <w:noWrap/>
            <w:vAlign w:val="center"/>
          </w:tcPr>
          <w:p w14:paraId="16C689B6" w14:textId="0524F381"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599DBAFF" w14:textId="759E3FFA"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shd w:val="clear" w:color="auto" w:fill="auto"/>
            <w:noWrap/>
            <w:vAlign w:val="center"/>
          </w:tcPr>
          <w:p w14:paraId="131BA51A" w14:textId="53095672"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7" w:type="pct"/>
            <w:shd w:val="clear" w:color="auto" w:fill="auto"/>
            <w:noWrap/>
            <w:vAlign w:val="center"/>
          </w:tcPr>
          <w:p w14:paraId="26998F78" w14:textId="28462829"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1.24</w:t>
            </w:r>
          </w:p>
        </w:tc>
        <w:tc>
          <w:tcPr>
            <w:tcW w:w="426" w:type="pct"/>
            <w:shd w:val="clear" w:color="auto" w:fill="auto"/>
            <w:noWrap/>
            <w:vAlign w:val="center"/>
          </w:tcPr>
          <w:p w14:paraId="6C21AAD5" w14:textId="267F7115"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0.954</w:t>
            </w:r>
          </w:p>
        </w:tc>
        <w:tc>
          <w:tcPr>
            <w:tcW w:w="533" w:type="pct"/>
            <w:shd w:val="clear" w:color="auto" w:fill="auto"/>
            <w:noWrap/>
            <w:vAlign w:val="center"/>
          </w:tcPr>
          <w:p w14:paraId="62A3AF14" w14:textId="0221F159"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1.56</w:t>
            </w:r>
          </w:p>
        </w:tc>
        <w:tc>
          <w:tcPr>
            <w:tcW w:w="507" w:type="pct"/>
            <w:shd w:val="clear" w:color="auto" w:fill="auto"/>
            <w:noWrap/>
            <w:vAlign w:val="center"/>
          </w:tcPr>
          <w:p w14:paraId="3C807C4A" w14:textId="6B349814"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r>
      <w:tr w:rsidR="000158F3" w:rsidRPr="000158F3" w14:paraId="12CC27BF" w14:textId="77777777" w:rsidTr="000158F3">
        <w:trPr>
          <w:trHeight w:val="315"/>
        </w:trPr>
        <w:tc>
          <w:tcPr>
            <w:tcW w:w="604" w:type="pct"/>
            <w:shd w:val="clear" w:color="auto" w:fill="auto"/>
            <w:noWrap/>
            <w:vAlign w:val="center"/>
          </w:tcPr>
          <w:p w14:paraId="6107B574" w14:textId="5BBB32AC"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shd w:val="clear" w:color="auto" w:fill="auto"/>
            <w:noWrap/>
            <w:vAlign w:val="center"/>
          </w:tcPr>
          <w:p w14:paraId="7FC91BEC" w14:textId="3793E78C"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shd w:val="clear" w:color="auto" w:fill="auto"/>
            <w:noWrap/>
            <w:vAlign w:val="center"/>
          </w:tcPr>
          <w:p w14:paraId="61412571" w14:textId="4026B163"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shd w:val="clear" w:color="auto" w:fill="auto"/>
            <w:noWrap/>
            <w:vAlign w:val="center"/>
          </w:tcPr>
          <w:p w14:paraId="1B4651DF" w14:textId="27700067"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73BF881D" w14:textId="0ECC364E"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shd w:val="clear" w:color="auto" w:fill="auto"/>
            <w:noWrap/>
            <w:vAlign w:val="center"/>
          </w:tcPr>
          <w:p w14:paraId="15D5B1E8" w14:textId="4B4BFB5E"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7" w:type="pct"/>
            <w:shd w:val="clear" w:color="auto" w:fill="auto"/>
            <w:noWrap/>
            <w:vAlign w:val="center"/>
          </w:tcPr>
          <w:p w14:paraId="4216BE03" w14:textId="3CF7255B"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1.25</w:t>
            </w:r>
          </w:p>
        </w:tc>
        <w:tc>
          <w:tcPr>
            <w:tcW w:w="426" w:type="pct"/>
            <w:shd w:val="clear" w:color="auto" w:fill="auto"/>
            <w:noWrap/>
            <w:vAlign w:val="center"/>
          </w:tcPr>
          <w:p w14:paraId="7D8463C9" w14:textId="7060F696"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0.961</w:t>
            </w:r>
          </w:p>
        </w:tc>
        <w:tc>
          <w:tcPr>
            <w:tcW w:w="533" w:type="pct"/>
            <w:shd w:val="clear" w:color="auto" w:fill="auto"/>
            <w:noWrap/>
            <w:vAlign w:val="center"/>
          </w:tcPr>
          <w:p w14:paraId="5AF50908" w14:textId="52E0D339"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1.572</w:t>
            </w:r>
          </w:p>
        </w:tc>
        <w:tc>
          <w:tcPr>
            <w:tcW w:w="507" w:type="pct"/>
            <w:shd w:val="clear" w:color="auto" w:fill="auto"/>
            <w:noWrap/>
            <w:vAlign w:val="center"/>
          </w:tcPr>
          <w:p w14:paraId="05687138" w14:textId="16141FEE"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r>
      <w:tr w:rsidR="000158F3" w:rsidRPr="000158F3" w14:paraId="07329F06" w14:textId="77777777" w:rsidTr="000158F3">
        <w:trPr>
          <w:trHeight w:val="315"/>
        </w:trPr>
        <w:tc>
          <w:tcPr>
            <w:tcW w:w="604" w:type="pct"/>
            <w:shd w:val="clear" w:color="auto" w:fill="auto"/>
            <w:noWrap/>
            <w:vAlign w:val="center"/>
          </w:tcPr>
          <w:p w14:paraId="3D1D78EB" w14:textId="1D19A85B"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shd w:val="clear" w:color="auto" w:fill="auto"/>
            <w:noWrap/>
            <w:vAlign w:val="center"/>
          </w:tcPr>
          <w:p w14:paraId="2EB4A17E" w14:textId="7C5C7C0D"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shd w:val="clear" w:color="auto" w:fill="auto"/>
            <w:noWrap/>
            <w:vAlign w:val="center"/>
          </w:tcPr>
          <w:p w14:paraId="62A43B9C" w14:textId="03100C7E"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shd w:val="clear" w:color="auto" w:fill="auto"/>
            <w:noWrap/>
            <w:vAlign w:val="center"/>
          </w:tcPr>
          <w:p w14:paraId="518FAB89" w14:textId="19BBE45D"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0FB474C6" w14:textId="58348C2B"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shd w:val="clear" w:color="auto" w:fill="auto"/>
            <w:noWrap/>
            <w:vAlign w:val="center"/>
          </w:tcPr>
          <w:p w14:paraId="18F086C8" w14:textId="72F229EE"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7" w:type="pct"/>
            <w:shd w:val="clear" w:color="auto" w:fill="auto"/>
            <w:noWrap/>
            <w:vAlign w:val="center"/>
          </w:tcPr>
          <w:p w14:paraId="5E6F58A2" w14:textId="4F3F8745"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1.246</w:t>
            </w:r>
          </w:p>
        </w:tc>
        <w:tc>
          <w:tcPr>
            <w:tcW w:w="426" w:type="pct"/>
            <w:shd w:val="clear" w:color="auto" w:fill="auto"/>
            <w:noWrap/>
            <w:vAlign w:val="center"/>
          </w:tcPr>
          <w:p w14:paraId="70A81E9B" w14:textId="53354CFD"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1.031</w:t>
            </w:r>
          </w:p>
        </w:tc>
        <w:tc>
          <w:tcPr>
            <w:tcW w:w="533" w:type="pct"/>
            <w:shd w:val="clear" w:color="auto" w:fill="auto"/>
            <w:noWrap/>
            <w:vAlign w:val="center"/>
          </w:tcPr>
          <w:p w14:paraId="7CAB25C1" w14:textId="3ED76778"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1.614</w:t>
            </w:r>
          </w:p>
        </w:tc>
        <w:tc>
          <w:tcPr>
            <w:tcW w:w="507" w:type="pct"/>
            <w:shd w:val="clear" w:color="auto" w:fill="auto"/>
            <w:noWrap/>
            <w:vAlign w:val="center"/>
          </w:tcPr>
          <w:p w14:paraId="4CD44A49" w14:textId="68A92D19"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r>
      <w:tr w:rsidR="000158F3" w:rsidRPr="000158F3" w14:paraId="0FBBC62E" w14:textId="77777777" w:rsidTr="000158F3">
        <w:trPr>
          <w:trHeight w:val="315"/>
        </w:trPr>
        <w:tc>
          <w:tcPr>
            <w:tcW w:w="604" w:type="pct"/>
            <w:shd w:val="clear" w:color="auto" w:fill="auto"/>
            <w:noWrap/>
            <w:vAlign w:val="center"/>
          </w:tcPr>
          <w:p w14:paraId="3C0B6E1D" w14:textId="3D34155D"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shd w:val="clear" w:color="auto" w:fill="auto"/>
            <w:noWrap/>
            <w:vAlign w:val="center"/>
          </w:tcPr>
          <w:p w14:paraId="1D8C2C93" w14:textId="12245F3D"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shd w:val="clear" w:color="auto" w:fill="auto"/>
            <w:noWrap/>
            <w:vAlign w:val="center"/>
          </w:tcPr>
          <w:p w14:paraId="2596B54E" w14:textId="18666175"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shd w:val="clear" w:color="auto" w:fill="auto"/>
            <w:noWrap/>
            <w:vAlign w:val="center"/>
          </w:tcPr>
          <w:p w14:paraId="21B64A21" w14:textId="2AB5851F"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694690D4" w14:textId="10C0B1E8"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shd w:val="clear" w:color="auto" w:fill="auto"/>
            <w:noWrap/>
            <w:vAlign w:val="center"/>
          </w:tcPr>
          <w:p w14:paraId="532F01BC" w14:textId="4B75DB3C"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7" w:type="pct"/>
            <w:shd w:val="clear" w:color="auto" w:fill="auto"/>
            <w:noWrap/>
            <w:vAlign w:val="center"/>
          </w:tcPr>
          <w:p w14:paraId="4D6278A4" w14:textId="0368715B"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1.203</w:t>
            </w:r>
          </w:p>
        </w:tc>
        <w:tc>
          <w:tcPr>
            <w:tcW w:w="426" w:type="pct"/>
            <w:shd w:val="clear" w:color="auto" w:fill="auto"/>
            <w:noWrap/>
            <w:vAlign w:val="center"/>
          </w:tcPr>
          <w:p w14:paraId="55BB0245" w14:textId="58D15A64"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0.979</w:t>
            </w:r>
          </w:p>
        </w:tc>
        <w:tc>
          <w:tcPr>
            <w:tcW w:w="533" w:type="pct"/>
            <w:shd w:val="clear" w:color="auto" w:fill="auto"/>
            <w:noWrap/>
            <w:vAlign w:val="center"/>
          </w:tcPr>
          <w:p w14:paraId="0252F0FB" w14:textId="7285A037"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1.548</w:t>
            </w:r>
          </w:p>
        </w:tc>
        <w:tc>
          <w:tcPr>
            <w:tcW w:w="507" w:type="pct"/>
            <w:shd w:val="clear" w:color="auto" w:fill="auto"/>
            <w:noWrap/>
            <w:vAlign w:val="center"/>
          </w:tcPr>
          <w:p w14:paraId="42F36D7A" w14:textId="0B6061C8"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r>
      <w:tr w:rsidR="000158F3" w:rsidRPr="000158F3" w14:paraId="2A4C34F4" w14:textId="77777777" w:rsidTr="000158F3">
        <w:trPr>
          <w:trHeight w:val="315"/>
        </w:trPr>
        <w:tc>
          <w:tcPr>
            <w:tcW w:w="604" w:type="pct"/>
            <w:shd w:val="clear" w:color="auto" w:fill="auto"/>
            <w:noWrap/>
            <w:vAlign w:val="center"/>
          </w:tcPr>
          <w:p w14:paraId="31AE898F" w14:textId="0B93FC9E"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shd w:val="clear" w:color="auto" w:fill="auto"/>
            <w:noWrap/>
            <w:vAlign w:val="center"/>
          </w:tcPr>
          <w:p w14:paraId="0FE00B4B" w14:textId="474EED66"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shd w:val="clear" w:color="auto" w:fill="auto"/>
            <w:noWrap/>
            <w:vAlign w:val="center"/>
          </w:tcPr>
          <w:p w14:paraId="211DF5A5" w14:textId="39F63E24"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shd w:val="clear" w:color="auto" w:fill="auto"/>
            <w:noWrap/>
            <w:vAlign w:val="center"/>
          </w:tcPr>
          <w:p w14:paraId="156573AA" w14:textId="36BACDFC"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7013077D" w14:textId="377D0D65"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shd w:val="clear" w:color="auto" w:fill="auto"/>
            <w:noWrap/>
            <w:vAlign w:val="center"/>
          </w:tcPr>
          <w:p w14:paraId="2513323C" w14:textId="5377B528"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7" w:type="pct"/>
            <w:shd w:val="clear" w:color="auto" w:fill="auto"/>
            <w:noWrap/>
            <w:vAlign w:val="center"/>
          </w:tcPr>
          <w:p w14:paraId="6C7AE9F5" w14:textId="326D94BA"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1.25</w:t>
            </w:r>
          </w:p>
        </w:tc>
        <w:tc>
          <w:tcPr>
            <w:tcW w:w="426" w:type="pct"/>
            <w:shd w:val="clear" w:color="auto" w:fill="auto"/>
            <w:noWrap/>
            <w:vAlign w:val="center"/>
          </w:tcPr>
          <w:p w14:paraId="426E44C1" w14:textId="30EF6B34"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0.961</w:t>
            </w:r>
          </w:p>
        </w:tc>
        <w:tc>
          <w:tcPr>
            <w:tcW w:w="533" w:type="pct"/>
            <w:shd w:val="clear" w:color="auto" w:fill="auto"/>
            <w:noWrap/>
            <w:vAlign w:val="center"/>
          </w:tcPr>
          <w:p w14:paraId="1B50778F" w14:textId="6BF0763D"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1.572</w:t>
            </w:r>
          </w:p>
        </w:tc>
        <w:tc>
          <w:tcPr>
            <w:tcW w:w="507" w:type="pct"/>
            <w:shd w:val="clear" w:color="auto" w:fill="auto"/>
            <w:noWrap/>
            <w:vAlign w:val="center"/>
          </w:tcPr>
          <w:p w14:paraId="79075B73" w14:textId="02F505E3"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r>
      <w:tr w:rsidR="000158F3" w:rsidRPr="000158F3" w14:paraId="1CD090D2" w14:textId="77777777" w:rsidTr="000158F3">
        <w:trPr>
          <w:trHeight w:val="315"/>
        </w:trPr>
        <w:tc>
          <w:tcPr>
            <w:tcW w:w="604" w:type="pct"/>
            <w:shd w:val="clear" w:color="auto" w:fill="auto"/>
            <w:noWrap/>
            <w:vAlign w:val="center"/>
          </w:tcPr>
          <w:p w14:paraId="489836F4" w14:textId="0CEF9588"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shd w:val="clear" w:color="auto" w:fill="auto"/>
            <w:noWrap/>
            <w:vAlign w:val="center"/>
          </w:tcPr>
          <w:p w14:paraId="1280FEF8" w14:textId="5E48417F"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shd w:val="clear" w:color="auto" w:fill="auto"/>
            <w:noWrap/>
            <w:vAlign w:val="center"/>
          </w:tcPr>
          <w:p w14:paraId="79C218C7" w14:textId="150593B9"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shd w:val="clear" w:color="auto" w:fill="auto"/>
            <w:noWrap/>
            <w:vAlign w:val="center"/>
          </w:tcPr>
          <w:p w14:paraId="263D7C56" w14:textId="1200EEA9"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1FD7B467" w14:textId="48D083B0"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shd w:val="clear" w:color="auto" w:fill="auto"/>
            <w:noWrap/>
            <w:vAlign w:val="center"/>
          </w:tcPr>
          <w:p w14:paraId="31309FFF" w14:textId="0258DCEB"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7" w:type="pct"/>
            <w:shd w:val="clear" w:color="auto" w:fill="auto"/>
            <w:noWrap/>
            <w:vAlign w:val="center"/>
          </w:tcPr>
          <w:p w14:paraId="3176C58A" w14:textId="261FDF04"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1.246</w:t>
            </w:r>
          </w:p>
        </w:tc>
        <w:tc>
          <w:tcPr>
            <w:tcW w:w="426" w:type="pct"/>
            <w:shd w:val="clear" w:color="auto" w:fill="auto"/>
            <w:noWrap/>
            <w:vAlign w:val="center"/>
          </w:tcPr>
          <w:p w14:paraId="3485190C" w14:textId="2FBB6669"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1.031</w:t>
            </w:r>
          </w:p>
        </w:tc>
        <w:tc>
          <w:tcPr>
            <w:tcW w:w="533" w:type="pct"/>
            <w:shd w:val="clear" w:color="auto" w:fill="auto"/>
            <w:noWrap/>
            <w:vAlign w:val="center"/>
          </w:tcPr>
          <w:p w14:paraId="711EB9FF" w14:textId="43549F57"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1.614</w:t>
            </w:r>
          </w:p>
        </w:tc>
        <w:tc>
          <w:tcPr>
            <w:tcW w:w="507" w:type="pct"/>
            <w:shd w:val="clear" w:color="auto" w:fill="auto"/>
            <w:noWrap/>
            <w:vAlign w:val="center"/>
          </w:tcPr>
          <w:p w14:paraId="42D26745" w14:textId="2071943D"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r>
      <w:tr w:rsidR="000158F3" w:rsidRPr="000158F3" w14:paraId="537996BD" w14:textId="77777777" w:rsidTr="000158F3">
        <w:trPr>
          <w:trHeight w:val="315"/>
        </w:trPr>
        <w:tc>
          <w:tcPr>
            <w:tcW w:w="604" w:type="pct"/>
            <w:shd w:val="clear" w:color="auto" w:fill="auto"/>
            <w:noWrap/>
            <w:vAlign w:val="center"/>
          </w:tcPr>
          <w:p w14:paraId="08507819" w14:textId="4050B483"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shd w:val="clear" w:color="auto" w:fill="auto"/>
            <w:noWrap/>
            <w:vAlign w:val="center"/>
          </w:tcPr>
          <w:p w14:paraId="121C0637" w14:textId="7329E2F3"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shd w:val="clear" w:color="auto" w:fill="auto"/>
            <w:noWrap/>
            <w:vAlign w:val="center"/>
          </w:tcPr>
          <w:p w14:paraId="5827291F" w14:textId="28F46A8E"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shd w:val="clear" w:color="auto" w:fill="auto"/>
            <w:noWrap/>
            <w:vAlign w:val="center"/>
          </w:tcPr>
          <w:p w14:paraId="71616C7D" w14:textId="43A8A12D"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418BFCA2" w14:textId="373C2226"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shd w:val="clear" w:color="auto" w:fill="auto"/>
            <w:noWrap/>
            <w:vAlign w:val="center"/>
          </w:tcPr>
          <w:p w14:paraId="3267AB31" w14:textId="18F6EDBD"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7" w:type="pct"/>
            <w:shd w:val="clear" w:color="auto" w:fill="auto"/>
            <w:noWrap/>
            <w:vAlign w:val="center"/>
          </w:tcPr>
          <w:p w14:paraId="4E1F568F" w14:textId="540B2EA5"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1.203</w:t>
            </w:r>
          </w:p>
        </w:tc>
        <w:tc>
          <w:tcPr>
            <w:tcW w:w="426" w:type="pct"/>
            <w:shd w:val="clear" w:color="auto" w:fill="auto"/>
            <w:noWrap/>
            <w:vAlign w:val="center"/>
          </w:tcPr>
          <w:p w14:paraId="23488B09" w14:textId="4C09589E"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0.979</w:t>
            </w:r>
          </w:p>
        </w:tc>
        <w:tc>
          <w:tcPr>
            <w:tcW w:w="533" w:type="pct"/>
            <w:shd w:val="clear" w:color="auto" w:fill="auto"/>
            <w:noWrap/>
            <w:vAlign w:val="center"/>
          </w:tcPr>
          <w:p w14:paraId="310A9F01" w14:textId="1D9975B9"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1.548</w:t>
            </w:r>
          </w:p>
        </w:tc>
        <w:tc>
          <w:tcPr>
            <w:tcW w:w="507" w:type="pct"/>
            <w:shd w:val="clear" w:color="auto" w:fill="auto"/>
            <w:noWrap/>
            <w:vAlign w:val="center"/>
          </w:tcPr>
          <w:p w14:paraId="7F82AED1" w14:textId="23460942"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r>
      <w:tr w:rsidR="000158F3" w:rsidRPr="000158F3" w14:paraId="4DE8143E" w14:textId="77777777" w:rsidTr="000158F3">
        <w:trPr>
          <w:trHeight w:val="315"/>
        </w:trPr>
        <w:tc>
          <w:tcPr>
            <w:tcW w:w="604" w:type="pct"/>
            <w:shd w:val="clear" w:color="auto" w:fill="auto"/>
            <w:noWrap/>
            <w:vAlign w:val="center"/>
          </w:tcPr>
          <w:p w14:paraId="7A98B297" w14:textId="50DDF4A7"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shd w:val="clear" w:color="auto" w:fill="auto"/>
            <w:noWrap/>
            <w:vAlign w:val="center"/>
          </w:tcPr>
          <w:p w14:paraId="4F083434" w14:textId="6DFF960A"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shd w:val="clear" w:color="auto" w:fill="auto"/>
            <w:noWrap/>
            <w:vAlign w:val="center"/>
          </w:tcPr>
          <w:p w14:paraId="08C797B8" w14:textId="012BE2A4"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shd w:val="clear" w:color="auto" w:fill="auto"/>
            <w:noWrap/>
            <w:vAlign w:val="center"/>
          </w:tcPr>
          <w:p w14:paraId="6C1425BD" w14:textId="0BA25B5D"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5BF8B0D4" w14:textId="6E97B196"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shd w:val="clear" w:color="auto" w:fill="auto"/>
            <w:noWrap/>
            <w:vAlign w:val="center"/>
          </w:tcPr>
          <w:p w14:paraId="6EA4A7E1" w14:textId="4C84B2AD"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7" w:type="pct"/>
            <w:shd w:val="clear" w:color="auto" w:fill="auto"/>
            <w:noWrap/>
            <w:vAlign w:val="center"/>
          </w:tcPr>
          <w:p w14:paraId="3DC94E09" w14:textId="19C77DBA"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1.252</w:t>
            </w:r>
          </w:p>
        </w:tc>
        <w:tc>
          <w:tcPr>
            <w:tcW w:w="426" w:type="pct"/>
            <w:shd w:val="clear" w:color="auto" w:fill="auto"/>
            <w:noWrap/>
            <w:vAlign w:val="center"/>
          </w:tcPr>
          <w:p w14:paraId="6EC38D4D" w14:textId="152F0B1C"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0.873</w:t>
            </w:r>
          </w:p>
        </w:tc>
        <w:tc>
          <w:tcPr>
            <w:tcW w:w="533" w:type="pct"/>
            <w:shd w:val="clear" w:color="auto" w:fill="auto"/>
            <w:noWrap/>
            <w:vAlign w:val="center"/>
          </w:tcPr>
          <w:p w14:paraId="5F10C19A" w14:textId="48C9F009"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1.523</w:t>
            </w:r>
          </w:p>
        </w:tc>
        <w:tc>
          <w:tcPr>
            <w:tcW w:w="507" w:type="pct"/>
            <w:shd w:val="clear" w:color="auto" w:fill="auto"/>
            <w:noWrap/>
            <w:vAlign w:val="center"/>
          </w:tcPr>
          <w:p w14:paraId="20E009E3" w14:textId="060A7253"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r>
      <w:tr w:rsidR="000158F3" w:rsidRPr="000158F3" w14:paraId="30B6BEDB" w14:textId="77777777" w:rsidTr="000158F3">
        <w:trPr>
          <w:trHeight w:val="315"/>
        </w:trPr>
        <w:tc>
          <w:tcPr>
            <w:tcW w:w="604" w:type="pct"/>
            <w:shd w:val="clear" w:color="auto" w:fill="auto"/>
            <w:noWrap/>
            <w:vAlign w:val="center"/>
          </w:tcPr>
          <w:p w14:paraId="5B5D7300" w14:textId="59D08097"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shd w:val="clear" w:color="auto" w:fill="auto"/>
            <w:noWrap/>
            <w:vAlign w:val="center"/>
          </w:tcPr>
          <w:p w14:paraId="2B11B718" w14:textId="2EE201AA"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shd w:val="clear" w:color="auto" w:fill="auto"/>
            <w:noWrap/>
            <w:vAlign w:val="center"/>
          </w:tcPr>
          <w:p w14:paraId="61A9E35E" w14:textId="2F66A44F"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shd w:val="clear" w:color="auto" w:fill="auto"/>
            <w:noWrap/>
            <w:vAlign w:val="center"/>
          </w:tcPr>
          <w:p w14:paraId="4D846A35" w14:textId="0FBA4477"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6BEB6405" w14:textId="77E153EE"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shd w:val="clear" w:color="auto" w:fill="auto"/>
            <w:noWrap/>
            <w:vAlign w:val="center"/>
          </w:tcPr>
          <w:p w14:paraId="4068FBD1" w14:textId="1A5DD556"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7" w:type="pct"/>
            <w:shd w:val="clear" w:color="auto" w:fill="auto"/>
            <w:noWrap/>
            <w:vAlign w:val="center"/>
          </w:tcPr>
          <w:p w14:paraId="16915F43" w14:textId="1CCE1218"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1.233</w:t>
            </w:r>
          </w:p>
        </w:tc>
        <w:tc>
          <w:tcPr>
            <w:tcW w:w="426" w:type="pct"/>
            <w:shd w:val="clear" w:color="auto" w:fill="auto"/>
            <w:noWrap/>
            <w:vAlign w:val="center"/>
          </w:tcPr>
          <w:p w14:paraId="62005B1D" w14:textId="2898F1FF"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1.002</w:t>
            </w:r>
          </w:p>
        </w:tc>
        <w:tc>
          <w:tcPr>
            <w:tcW w:w="533" w:type="pct"/>
            <w:shd w:val="clear" w:color="auto" w:fill="auto"/>
            <w:noWrap/>
            <w:vAlign w:val="center"/>
          </w:tcPr>
          <w:p w14:paraId="42B45634" w14:textId="0E887DDC"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1.585</w:t>
            </w:r>
          </w:p>
        </w:tc>
        <w:tc>
          <w:tcPr>
            <w:tcW w:w="507" w:type="pct"/>
            <w:shd w:val="clear" w:color="auto" w:fill="auto"/>
            <w:noWrap/>
            <w:vAlign w:val="center"/>
          </w:tcPr>
          <w:p w14:paraId="1B5BED99" w14:textId="25511992"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r>
      <w:tr w:rsidR="000158F3" w:rsidRPr="000158F3" w14:paraId="400FA124" w14:textId="77777777" w:rsidTr="000158F3">
        <w:trPr>
          <w:trHeight w:val="315"/>
        </w:trPr>
        <w:tc>
          <w:tcPr>
            <w:tcW w:w="604" w:type="pct"/>
            <w:shd w:val="clear" w:color="auto" w:fill="auto"/>
            <w:noWrap/>
            <w:vAlign w:val="center"/>
          </w:tcPr>
          <w:p w14:paraId="6DC49AD7" w14:textId="334EB5CE"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shd w:val="clear" w:color="auto" w:fill="auto"/>
            <w:noWrap/>
            <w:vAlign w:val="center"/>
          </w:tcPr>
          <w:p w14:paraId="2A752EA8" w14:textId="6DA1696A"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shd w:val="clear" w:color="auto" w:fill="auto"/>
            <w:noWrap/>
            <w:vAlign w:val="center"/>
          </w:tcPr>
          <w:p w14:paraId="6C8BA2F1" w14:textId="6455EF95"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shd w:val="clear" w:color="auto" w:fill="auto"/>
            <w:noWrap/>
            <w:vAlign w:val="center"/>
          </w:tcPr>
          <w:p w14:paraId="43F6F56E" w14:textId="4FD50C82"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74325CCB" w14:textId="3B4DA7DA"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shd w:val="clear" w:color="auto" w:fill="auto"/>
            <w:noWrap/>
            <w:vAlign w:val="center"/>
          </w:tcPr>
          <w:p w14:paraId="4B1EBDCC" w14:textId="2D2D1AC2"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7" w:type="pct"/>
            <w:shd w:val="clear" w:color="auto" w:fill="auto"/>
            <w:noWrap/>
            <w:vAlign w:val="center"/>
          </w:tcPr>
          <w:p w14:paraId="7564243B" w14:textId="36683FAC"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1.231</w:t>
            </w:r>
          </w:p>
        </w:tc>
        <w:tc>
          <w:tcPr>
            <w:tcW w:w="426" w:type="pct"/>
            <w:shd w:val="clear" w:color="auto" w:fill="auto"/>
            <w:noWrap/>
            <w:vAlign w:val="center"/>
          </w:tcPr>
          <w:p w14:paraId="1DCEE592" w14:textId="585F6FFE"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1.035</w:t>
            </w:r>
          </w:p>
        </w:tc>
        <w:tc>
          <w:tcPr>
            <w:tcW w:w="533" w:type="pct"/>
            <w:shd w:val="clear" w:color="auto" w:fill="auto"/>
            <w:noWrap/>
            <w:vAlign w:val="center"/>
          </w:tcPr>
          <w:p w14:paraId="2549C884" w14:textId="60583A30"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1.605</w:t>
            </w:r>
          </w:p>
        </w:tc>
        <w:tc>
          <w:tcPr>
            <w:tcW w:w="507" w:type="pct"/>
            <w:shd w:val="clear" w:color="auto" w:fill="auto"/>
            <w:noWrap/>
            <w:vAlign w:val="center"/>
          </w:tcPr>
          <w:p w14:paraId="1A9E2574" w14:textId="33BD3840"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r>
      <w:tr w:rsidR="000158F3" w:rsidRPr="000158F3" w14:paraId="688C147F" w14:textId="77777777" w:rsidTr="000158F3">
        <w:trPr>
          <w:trHeight w:val="315"/>
        </w:trPr>
        <w:tc>
          <w:tcPr>
            <w:tcW w:w="604" w:type="pct"/>
            <w:shd w:val="clear" w:color="auto" w:fill="auto"/>
            <w:noWrap/>
            <w:vAlign w:val="center"/>
          </w:tcPr>
          <w:p w14:paraId="32A5BF4A" w14:textId="7D23CFE7"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shd w:val="clear" w:color="auto" w:fill="auto"/>
            <w:noWrap/>
            <w:vAlign w:val="center"/>
          </w:tcPr>
          <w:p w14:paraId="1BA8523A" w14:textId="61EBDD42"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shd w:val="clear" w:color="auto" w:fill="auto"/>
            <w:noWrap/>
            <w:vAlign w:val="center"/>
          </w:tcPr>
          <w:p w14:paraId="23673478" w14:textId="30940F0F"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shd w:val="clear" w:color="auto" w:fill="auto"/>
            <w:noWrap/>
            <w:vAlign w:val="center"/>
          </w:tcPr>
          <w:p w14:paraId="49549850" w14:textId="3B12835F"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4D642228" w14:textId="5046B3F2"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shd w:val="clear" w:color="auto" w:fill="auto"/>
            <w:noWrap/>
            <w:vAlign w:val="center"/>
          </w:tcPr>
          <w:p w14:paraId="157F445B" w14:textId="43721BFD"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7" w:type="pct"/>
            <w:shd w:val="clear" w:color="auto" w:fill="auto"/>
            <w:noWrap/>
            <w:vAlign w:val="center"/>
          </w:tcPr>
          <w:p w14:paraId="4E6E1925" w14:textId="0BA880EB"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1.284</w:t>
            </w:r>
          </w:p>
        </w:tc>
        <w:tc>
          <w:tcPr>
            <w:tcW w:w="426" w:type="pct"/>
            <w:shd w:val="clear" w:color="auto" w:fill="auto"/>
            <w:noWrap/>
            <w:vAlign w:val="center"/>
          </w:tcPr>
          <w:p w14:paraId="70C78238" w14:textId="5A668033"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1.027</w:t>
            </w:r>
          </w:p>
        </w:tc>
        <w:tc>
          <w:tcPr>
            <w:tcW w:w="533" w:type="pct"/>
            <w:shd w:val="clear" w:color="auto" w:fill="auto"/>
            <w:noWrap/>
            <w:vAlign w:val="center"/>
          </w:tcPr>
          <w:p w14:paraId="30DBA01F" w14:textId="295113A6"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1.64</w:t>
            </w:r>
          </w:p>
        </w:tc>
        <w:tc>
          <w:tcPr>
            <w:tcW w:w="507" w:type="pct"/>
            <w:shd w:val="clear" w:color="auto" w:fill="auto"/>
            <w:noWrap/>
            <w:vAlign w:val="center"/>
          </w:tcPr>
          <w:p w14:paraId="749A8FD0" w14:textId="266B8918"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r>
      <w:tr w:rsidR="000158F3" w:rsidRPr="000158F3" w14:paraId="2099C235" w14:textId="77777777" w:rsidTr="000158F3">
        <w:trPr>
          <w:trHeight w:val="315"/>
        </w:trPr>
        <w:tc>
          <w:tcPr>
            <w:tcW w:w="604" w:type="pct"/>
            <w:shd w:val="clear" w:color="auto" w:fill="auto"/>
            <w:noWrap/>
            <w:vAlign w:val="center"/>
          </w:tcPr>
          <w:p w14:paraId="60FB48BE" w14:textId="067723A1"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shd w:val="clear" w:color="auto" w:fill="auto"/>
            <w:noWrap/>
            <w:vAlign w:val="center"/>
          </w:tcPr>
          <w:p w14:paraId="23227D7D" w14:textId="239E9D06"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shd w:val="clear" w:color="auto" w:fill="auto"/>
            <w:noWrap/>
            <w:vAlign w:val="center"/>
          </w:tcPr>
          <w:p w14:paraId="7D34DD6D" w14:textId="16FAB83D"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shd w:val="clear" w:color="auto" w:fill="auto"/>
            <w:noWrap/>
            <w:vAlign w:val="center"/>
          </w:tcPr>
          <w:p w14:paraId="701FA790" w14:textId="2B7AB375"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shd w:val="clear" w:color="auto" w:fill="auto"/>
            <w:noWrap/>
            <w:vAlign w:val="center"/>
          </w:tcPr>
          <w:p w14:paraId="096C4104" w14:textId="1D436B4B"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shd w:val="clear" w:color="auto" w:fill="auto"/>
            <w:noWrap/>
            <w:vAlign w:val="center"/>
          </w:tcPr>
          <w:p w14:paraId="1906FA1E" w14:textId="3E77E347"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7" w:type="pct"/>
            <w:shd w:val="clear" w:color="auto" w:fill="auto"/>
            <w:noWrap/>
            <w:vAlign w:val="center"/>
          </w:tcPr>
          <w:p w14:paraId="3BB60533" w14:textId="1856FC21"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1.186</w:t>
            </w:r>
          </w:p>
        </w:tc>
        <w:tc>
          <w:tcPr>
            <w:tcW w:w="426" w:type="pct"/>
            <w:shd w:val="clear" w:color="auto" w:fill="auto"/>
            <w:noWrap/>
            <w:vAlign w:val="center"/>
          </w:tcPr>
          <w:p w14:paraId="50F24720" w14:textId="5C132F97"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1.087</w:t>
            </w:r>
          </w:p>
        </w:tc>
        <w:tc>
          <w:tcPr>
            <w:tcW w:w="533" w:type="pct"/>
            <w:shd w:val="clear" w:color="auto" w:fill="auto"/>
            <w:noWrap/>
            <w:vAlign w:val="center"/>
          </w:tcPr>
          <w:p w14:paraId="799F690B" w14:textId="67159722"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1.605</w:t>
            </w:r>
          </w:p>
        </w:tc>
        <w:tc>
          <w:tcPr>
            <w:tcW w:w="507" w:type="pct"/>
            <w:shd w:val="clear" w:color="auto" w:fill="auto"/>
            <w:noWrap/>
            <w:vAlign w:val="center"/>
          </w:tcPr>
          <w:p w14:paraId="738DC3B4" w14:textId="4253E70B"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r>
      <w:tr w:rsidR="000158F3" w:rsidRPr="000158F3" w14:paraId="1DDE1D6A" w14:textId="77777777" w:rsidTr="000158F3">
        <w:trPr>
          <w:trHeight w:val="315"/>
        </w:trPr>
        <w:tc>
          <w:tcPr>
            <w:tcW w:w="604" w:type="pct"/>
            <w:tcBorders>
              <w:bottom w:val="single" w:sz="4" w:space="0" w:color="auto"/>
            </w:tcBorders>
            <w:shd w:val="clear" w:color="auto" w:fill="auto"/>
            <w:noWrap/>
            <w:vAlign w:val="center"/>
          </w:tcPr>
          <w:p w14:paraId="45BC41CC" w14:textId="27D355DB"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96" w:type="pct"/>
            <w:tcBorders>
              <w:bottom w:val="single" w:sz="4" w:space="0" w:color="auto"/>
            </w:tcBorders>
            <w:shd w:val="clear" w:color="auto" w:fill="auto"/>
            <w:noWrap/>
            <w:vAlign w:val="center"/>
          </w:tcPr>
          <w:p w14:paraId="62350114" w14:textId="7191899F"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0.000</w:t>
            </w:r>
          </w:p>
        </w:tc>
        <w:tc>
          <w:tcPr>
            <w:tcW w:w="400" w:type="pct"/>
            <w:tcBorders>
              <w:bottom w:val="single" w:sz="4" w:space="0" w:color="auto"/>
            </w:tcBorders>
            <w:shd w:val="clear" w:color="auto" w:fill="auto"/>
            <w:noWrap/>
            <w:vAlign w:val="center"/>
          </w:tcPr>
          <w:p w14:paraId="26775188" w14:textId="77599B82"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13" w:type="pct"/>
            <w:tcBorders>
              <w:bottom w:val="single" w:sz="4" w:space="0" w:color="auto"/>
            </w:tcBorders>
            <w:shd w:val="clear" w:color="auto" w:fill="auto"/>
            <w:noWrap/>
            <w:vAlign w:val="center"/>
          </w:tcPr>
          <w:p w14:paraId="4A7F8C26" w14:textId="43AFC915"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6" w:type="pct"/>
            <w:tcBorders>
              <w:bottom w:val="single" w:sz="4" w:space="0" w:color="auto"/>
            </w:tcBorders>
            <w:shd w:val="clear" w:color="auto" w:fill="auto"/>
            <w:noWrap/>
            <w:vAlign w:val="center"/>
          </w:tcPr>
          <w:p w14:paraId="1A305B0F" w14:textId="49C1F209"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548" w:type="pct"/>
            <w:tcBorders>
              <w:bottom w:val="single" w:sz="4" w:space="0" w:color="auto"/>
            </w:tcBorders>
            <w:shd w:val="clear" w:color="auto" w:fill="auto"/>
            <w:noWrap/>
            <w:vAlign w:val="center"/>
          </w:tcPr>
          <w:p w14:paraId="4C220C57" w14:textId="306F2115"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c>
          <w:tcPr>
            <w:tcW w:w="487" w:type="pct"/>
            <w:tcBorders>
              <w:bottom w:val="single" w:sz="4" w:space="0" w:color="auto"/>
            </w:tcBorders>
            <w:shd w:val="clear" w:color="auto" w:fill="auto"/>
            <w:noWrap/>
            <w:vAlign w:val="center"/>
          </w:tcPr>
          <w:p w14:paraId="514040CB" w14:textId="3254E5FE"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1.264</w:t>
            </w:r>
          </w:p>
        </w:tc>
        <w:tc>
          <w:tcPr>
            <w:tcW w:w="426" w:type="pct"/>
            <w:tcBorders>
              <w:bottom w:val="single" w:sz="4" w:space="0" w:color="auto"/>
            </w:tcBorders>
            <w:shd w:val="clear" w:color="auto" w:fill="auto"/>
            <w:noWrap/>
            <w:vAlign w:val="center"/>
          </w:tcPr>
          <w:p w14:paraId="290287C2" w14:textId="7E08000F"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1.077</w:t>
            </w:r>
          </w:p>
        </w:tc>
        <w:tc>
          <w:tcPr>
            <w:tcW w:w="533" w:type="pct"/>
            <w:tcBorders>
              <w:bottom w:val="single" w:sz="4" w:space="0" w:color="auto"/>
            </w:tcBorders>
            <w:shd w:val="clear" w:color="auto" w:fill="auto"/>
            <w:noWrap/>
            <w:vAlign w:val="center"/>
          </w:tcPr>
          <w:p w14:paraId="611EF969" w14:textId="13F747E6"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1.657</w:t>
            </w:r>
          </w:p>
        </w:tc>
        <w:tc>
          <w:tcPr>
            <w:tcW w:w="507" w:type="pct"/>
            <w:tcBorders>
              <w:bottom w:val="single" w:sz="4" w:space="0" w:color="auto"/>
            </w:tcBorders>
            <w:shd w:val="clear" w:color="auto" w:fill="auto"/>
            <w:noWrap/>
            <w:vAlign w:val="center"/>
          </w:tcPr>
          <w:p w14:paraId="7C532C79" w14:textId="108DED31" w:rsidR="000158F3" w:rsidRPr="000158F3" w:rsidRDefault="000158F3" w:rsidP="000158F3">
            <w:pPr>
              <w:spacing w:before="0" w:after="0"/>
              <w:jc w:val="center"/>
              <w:rPr>
                <w:rFonts w:eastAsia="Times New Roman" w:cs="Calibri"/>
                <w:color w:val="000000"/>
                <w:sz w:val="16"/>
                <w:szCs w:val="16"/>
                <w:lang w:val="sr-Latn-RS" w:eastAsia="sr-Latn-RS"/>
              </w:rPr>
            </w:pPr>
            <w:r w:rsidRPr="000158F3">
              <w:rPr>
                <w:sz w:val="16"/>
                <w:szCs w:val="16"/>
              </w:rPr>
              <w:t>0</w:t>
            </w:r>
          </w:p>
        </w:tc>
      </w:tr>
    </w:tbl>
    <w:p w14:paraId="34E6FACA" w14:textId="3DCDBD24" w:rsidR="00BA0176" w:rsidRDefault="00BA0176" w:rsidP="00ED573F">
      <w:pPr>
        <w:pStyle w:val="Caption"/>
        <w:jc w:val="both"/>
      </w:pPr>
      <w:r>
        <w:br w:type="page"/>
      </w:r>
    </w:p>
    <w:p w14:paraId="1C2FEEE7" w14:textId="21A6301D" w:rsidR="00BA0176" w:rsidRDefault="00BA0176" w:rsidP="00BA0176">
      <w:pPr>
        <w:pStyle w:val="Caption"/>
        <w:jc w:val="left"/>
      </w:pPr>
      <w:bookmarkStart w:id="833" w:name="_Toc101274682"/>
      <w:r>
        <w:lastRenderedPageBreak/>
        <w:t xml:space="preserve">Appendix </w:t>
      </w:r>
      <w:fldSimple w:instr=" SEQ Appendix \* ARABIC ">
        <w:r w:rsidR="00587AF0">
          <w:rPr>
            <w:noProof/>
          </w:rPr>
          <w:t>12</w:t>
        </w:r>
      </w:fldSimple>
      <w:r>
        <w:t>. Interpolation graphs of physical and elemental oil analysis data</w:t>
      </w:r>
      <w:bookmarkEnd w:id="833"/>
    </w:p>
    <w:p w14:paraId="75ECD8E3" w14:textId="6C52D2C5" w:rsidR="00BA0176" w:rsidRDefault="00C275BF" w:rsidP="00C275BF">
      <w:pPr>
        <w:keepNext/>
        <w:jc w:val="center"/>
      </w:pPr>
      <w:r>
        <w:rPr>
          <w:noProof/>
        </w:rPr>
        <w:drawing>
          <wp:inline distT="0" distB="0" distL="0" distR="0" wp14:anchorId="406CB64B" wp14:editId="26D379F2">
            <wp:extent cx="5731200" cy="3600000"/>
            <wp:effectExtent l="0" t="0" r="3175" b="635"/>
            <wp:docPr id="70" name="Chart 70">
              <a:extLst xmlns:a="http://schemas.openxmlformats.org/drawingml/2006/main">
                <a:ext uri="{FF2B5EF4-FFF2-40B4-BE49-F238E27FC236}">
                  <a16:creationId xmlns:a16="http://schemas.microsoft.com/office/drawing/2014/main" id="{7617BEA1-463B-4213-BD8F-E2387F71F6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14:paraId="1A49712B" w14:textId="1487F797" w:rsidR="00BA0176" w:rsidRDefault="00BA0176" w:rsidP="00BA0176">
      <w:pPr>
        <w:pStyle w:val="Caption"/>
      </w:pPr>
      <w:bookmarkStart w:id="834" w:name="_Toc101274652"/>
      <w:r>
        <w:t xml:space="preserve">Figure </w:t>
      </w:r>
      <w:fldSimple w:instr=" SEQ Figure \* ARABIC ">
        <w:r w:rsidR="00587AF0">
          <w:rPr>
            <w:noProof/>
          </w:rPr>
          <w:t>130</w:t>
        </w:r>
      </w:fldSimple>
      <w:r>
        <w:t xml:space="preserve">. Data explanation of hydraulic cycles (x-axis) and </w:t>
      </w:r>
      <w:r w:rsidR="002F7873">
        <w:t>TAN</w:t>
      </w:r>
      <w:r>
        <w:t xml:space="preserve"> (y-axis)</w:t>
      </w:r>
      <w:bookmarkEnd w:id="834"/>
    </w:p>
    <w:p w14:paraId="0E8741AF" w14:textId="77777777" w:rsidR="00BA0176" w:rsidRDefault="00BA0176" w:rsidP="00BA0176">
      <w:pPr>
        <w:rPr>
          <w:lang w:bidi="en-US"/>
        </w:rPr>
      </w:pPr>
    </w:p>
    <w:p w14:paraId="75EF9FDA" w14:textId="3987D7E2" w:rsidR="00BA0176" w:rsidRDefault="00105111" w:rsidP="00BA0176">
      <w:pPr>
        <w:keepNext/>
      </w:pPr>
      <w:r>
        <w:rPr>
          <w:noProof/>
        </w:rPr>
        <w:drawing>
          <wp:inline distT="0" distB="0" distL="0" distR="0" wp14:anchorId="2B71DA6F" wp14:editId="5F558CC3">
            <wp:extent cx="5723036" cy="3600000"/>
            <wp:effectExtent l="0" t="0" r="0" b="635"/>
            <wp:docPr id="71" name="Chart 71">
              <a:extLst xmlns:a="http://schemas.openxmlformats.org/drawingml/2006/main">
                <a:ext uri="{FF2B5EF4-FFF2-40B4-BE49-F238E27FC236}">
                  <a16:creationId xmlns:a16="http://schemas.microsoft.com/office/drawing/2014/main" id="{CCB213CB-48BE-4C01-ABD8-5161D76009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14:paraId="04D460C4" w14:textId="7CC8FBA6" w:rsidR="00BA0176" w:rsidRDefault="00BA0176" w:rsidP="00BA0176">
      <w:pPr>
        <w:pStyle w:val="Caption"/>
      </w:pPr>
      <w:bookmarkStart w:id="835" w:name="_Toc101274653"/>
      <w:r>
        <w:t xml:space="preserve">Figure </w:t>
      </w:r>
      <w:fldSimple w:instr=" SEQ Figure \* ARABIC ">
        <w:r w:rsidR="00587AF0">
          <w:rPr>
            <w:noProof/>
          </w:rPr>
          <w:t>131</w:t>
        </w:r>
      </w:fldSimple>
      <w:r>
        <w:t xml:space="preserve">. Data explanation of hydraulic cycles (x-axis) and </w:t>
      </w:r>
      <w:r w:rsidR="002F7873">
        <w:t xml:space="preserve">density </w:t>
      </w:r>
      <w:r>
        <w:t>(y-axis)</w:t>
      </w:r>
      <w:bookmarkEnd w:id="835"/>
    </w:p>
    <w:p w14:paraId="6290E856" w14:textId="09546C56" w:rsidR="00BA0176" w:rsidRDefault="009D5F63" w:rsidP="00BA0176">
      <w:pPr>
        <w:keepNext/>
      </w:pPr>
      <w:r>
        <w:rPr>
          <w:noProof/>
        </w:rPr>
        <w:lastRenderedPageBreak/>
        <w:drawing>
          <wp:inline distT="0" distB="0" distL="0" distR="0" wp14:anchorId="06CCC815" wp14:editId="411ECB64">
            <wp:extent cx="5723036" cy="3600000"/>
            <wp:effectExtent l="0" t="0" r="0" b="635"/>
            <wp:docPr id="72" name="Chart 72">
              <a:extLst xmlns:a="http://schemas.openxmlformats.org/drawingml/2006/main">
                <a:ext uri="{FF2B5EF4-FFF2-40B4-BE49-F238E27FC236}">
                  <a16:creationId xmlns:a16="http://schemas.microsoft.com/office/drawing/2014/main" id="{BD8AB37C-66F6-4649-8984-8A67637FC3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6C2E20BA" w14:textId="3E356F5F" w:rsidR="00BA0176" w:rsidRPr="00755E58" w:rsidRDefault="00BA0176" w:rsidP="00BA0176">
      <w:pPr>
        <w:pStyle w:val="Caption"/>
        <w:rPr>
          <w:lang w:bidi="en-US"/>
        </w:rPr>
      </w:pPr>
      <w:bookmarkStart w:id="836" w:name="_Toc101274654"/>
      <w:r>
        <w:t xml:space="preserve">Figure </w:t>
      </w:r>
      <w:fldSimple w:instr=" SEQ Figure \* ARABIC ">
        <w:r w:rsidR="00587AF0">
          <w:rPr>
            <w:noProof/>
          </w:rPr>
          <w:t>132</w:t>
        </w:r>
      </w:fldSimple>
      <w:r>
        <w:t xml:space="preserve">. Data explanation of hydraulic cycles (x-axis) and viscosity </w:t>
      </w:r>
      <w:r w:rsidR="002F7873">
        <w:t>40</w:t>
      </w:r>
      <w:r>
        <w:t>°C (y-axis)</w:t>
      </w:r>
      <w:bookmarkEnd w:id="836"/>
    </w:p>
    <w:p w14:paraId="40AA7894" w14:textId="77777777" w:rsidR="00BA0176" w:rsidRDefault="00BA0176" w:rsidP="00BA0176">
      <w:pPr>
        <w:spacing w:before="0" w:after="160" w:line="259" w:lineRule="auto"/>
        <w:jc w:val="left"/>
        <w:rPr>
          <w:lang w:bidi="en-US"/>
        </w:rPr>
      </w:pPr>
    </w:p>
    <w:p w14:paraId="66E0AD17" w14:textId="43DBA875" w:rsidR="00BA0176" w:rsidRDefault="009E5E50" w:rsidP="00BA0176">
      <w:pPr>
        <w:keepNext/>
        <w:spacing w:before="0" w:after="160" w:line="259" w:lineRule="auto"/>
        <w:jc w:val="left"/>
      </w:pPr>
      <w:r>
        <w:rPr>
          <w:noProof/>
        </w:rPr>
        <w:drawing>
          <wp:inline distT="0" distB="0" distL="0" distR="0" wp14:anchorId="5CDA6B17" wp14:editId="569A25FE">
            <wp:extent cx="5723036" cy="3600000"/>
            <wp:effectExtent l="0" t="0" r="0" b="635"/>
            <wp:docPr id="73" name="Chart 73">
              <a:extLst xmlns:a="http://schemas.openxmlformats.org/drawingml/2006/main">
                <a:ext uri="{FF2B5EF4-FFF2-40B4-BE49-F238E27FC236}">
                  <a16:creationId xmlns:a16="http://schemas.microsoft.com/office/drawing/2014/main" id="{E694FEE6-89F2-4EEC-8768-258AEA24E7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14:paraId="545D37B3" w14:textId="4D3D8961" w:rsidR="00BA0176" w:rsidRDefault="00BA0176" w:rsidP="00BA0176">
      <w:pPr>
        <w:pStyle w:val="Caption"/>
      </w:pPr>
      <w:bookmarkStart w:id="837" w:name="_Toc101274655"/>
      <w:r>
        <w:t xml:space="preserve">Figure </w:t>
      </w:r>
      <w:fldSimple w:instr=" SEQ Figure \* ARABIC ">
        <w:r w:rsidR="00587AF0">
          <w:rPr>
            <w:noProof/>
          </w:rPr>
          <w:t>133</w:t>
        </w:r>
      </w:fldSimple>
      <w:r>
        <w:t xml:space="preserve">. Data explanation of hydraulic cycles (x-axis) and </w:t>
      </w:r>
      <w:r w:rsidR="003A6770">
        <w:t>viscosity index</w:t>
      </w:r>
      <w:r>
        <w:t xml:space="preserve"> (y-axis)</w:t>
      </w:r>
      <w:bookmarkEnd w:id="837"/>
    </w:p>
    <w:p w14:paraId="172EC0E5" w14:textId="739AA815" w:rsidR="00BA0176" w:rsidRDefault="009E5E50" w:rsidP="00BA0176">
      <w:pPr>
        <w:keepNext/>
      </w:pPr>
      <w:r>
        <w:rPr>
          <w:noProof/>
        </w:rPr>
        <w:lastRenderedPageBreak/>
        <w:drawing>
          <wp:inline distT="0" distB="0" distL="0" distR="0" wp14:anchorId="0F2F2837" wp14:editId="6001D38C">
            <wp:extent cx="5723036" cy="3673479"/>
            <wp:effectExtent l="0" t="0" r="0" b="3175"/>
            <wp:docPr id="74" name="Chart 74">
              <a:extLst xmlns:a="http://schemas.openxmlformats.org/drawingml/2006/main">
                <a:ext uri="{FF2B5EF4-FFF2-40B4-BE49-F238E27FC236}">
                  <a16:creationId xmlns:a16="http://schemas.microsoft.com/office/drawing/2014/main" id="{1320B823-7193-4BF0-8ED0-218755AB1E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14:paraId="77AAD61F" w14:textId="2EAFF106" w:rsidR="00BA0176" w:rsidRDefault="00BA0176" w:rsidP="00BA0176">
      <w:pPr>
        <w:pStyle w:val="Caption"/>
      </w:pPr>
      <w:bookmarkStart w:id="838" w:name="_Toc101274656"/>
      <w:r>
        <w:t xml:space="preserve">Figure </w:t>
      </w:r>
      <w:fldSimple w:instr=" SEQ Figure \* ARABIC ">
        <w:r w:rsidR="00587AF0">
          <w:rPr>
            <w:noProof/>
          </w:rPr>
          <w:t>134</w:t>
        </w:r>
      </w:fldSimple>
      <w:r>
        <w:t>. Data explanation of hydraulic cycles (x-axis) and fl</w:t>
      </w:r>
      <w:r w:rsidR="003A6770">
        <w:t>ame</w:t>
      </w:r>
      <w:r>
        <w:t xml:space="preserve"> point (y-axis)</w:t>
      </w:r>
      <w:bookmarkEnd w:id="838"/>
    </w:p>
    <w:p w14:paraId="6FE567A8" w14:textId="670B231F" w:rsidR="00BA0176" w:rsidRDefault="00976BD4" w:rsidP="00BA0176">
      <w:pPr>
        <w:keepNext/>
      </w:pPr>
      <w:r>
        <w:rPr>
          <w:noProof/>
        </w:rPr>
        <w:drawing>
          <wp:inline distT="0" distB="0" distL="0" distR="0" wp14:anchorId="314F4A55" wp14:editId="79DBEAAB">
            <wp:extent cx="5723036" cy="3673479"/>
            <wp:effectExtent l="0" t="0" r="0" b="3175"/>
            <wp:docPr id="78" name="Chart 78">
              <a:extLst xmlns:a="http://schemas.openxmlformats.org/drawingml/2006/main">
                <a:ext uri="{FF2B5EF4-FFF2-40B4-BE49-F238E27FC236}">
                  <a16:creationId xmlns:a16="http://schemas.microsoft.com/office/drawing/2014/main" id="{6BAF62D3-757F-4A94-8E10-8B60DBF721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14:paraId="4EC696BC" w14:textId="267BF4E7" w:rsidR="00BA0176" w:rsidRDefault="00BA0176" w:rsidP="00BA0176">
      <w:pPr>
        <w:pStyle w:val="Caption"/>
      </w:pPr>
      <w:bookmarkStart w:id="839" w:name="_Toc101274657"/>
      <w:r>
        <w:t xml:space="preserve">Figure </w:t>
      </w:r>
      <w:fldSimple w:instr=" SEQ Figure \* ARABIC ">
        <w:r w:rsidR="00587AF0">
          <w:rPr>
            <w:noProof/>
          </w:rPr>
          <w:t>135</w:t>
        </w:r>
      </w:fldSimple>
      <w:r>
        <w:t>. Data explanation of hydraulic cycles (x-axis) and viscosity</w:t>
      </w:r>
      <w:r w:rsidR="003A6770">
        <w:t xml:space="preserve"> 100°C </w:t>
      </w:r>
      <w:r>
        <w:t>(y-axis)</w:t>
      </w:r>
      <w:bookmarkEnd w:id="839"/>
    </w:p>
    <w:p w14:paraId="33918A22" w14:textId="18A81E9D" w:rsidR="00BA0176" w:rsidRDefault="00D438F2" w:rsidP="00BA0176">
      <w:pPr>
        <w:keepNext/>
      </w:pPr>
      <w:r>
        <w:rPr>
          <w:noProof/>
        </w:rPr>
        <w:lastRenderedPageBreak/>
        <w:drawing>
          <wp:inline distT="0" distB="0" distL="0" distR="0" wp14:anchorId="04AB2A2E" wp14:editId="731DD63B">
            <wp:extent cx="5723036" cy="3673479"/>
            <wp:effectExtent l="0" t="0" r="0" b="3175"/>
            <wp:docPr id="75" name="Chart 75">
              <a:extLst xmlns:a="http://schemas.openxmlformats.org/drawingml/2006/main">
                <a:ext uri="{FF2B5EF4-FFF2-40B4-BE49-F238E27FC236}">
                  <a16:creationId xmlns:a16="http://schemas.microsoft.com/office/drawing/2014/main" id="{CAB6A611-03B1-4DC2-BF29-F3B82E3F18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14:paraId="716CFA0A" w14:textId="03E3969D" w:rsidR="00BA0176" w:rsidRDefault="00BA0176" w:rsidP="00BA0176">
      <w:pPr>
        <w:pStyle w:val="Caption"/>
      </w:pPr>
      <w:bookmarkStart w:id="840" w:name="_Toc101274658"/>
      <w:r>
        <w:t xml:space="preserve">Figure </w:t>
      </w:r>
      <w:fldSimple w:instr=" SEQ Figure \* ARABIC ">
        <w:r w:rsidR="00587AF0">
          <w:rPr>
            <w:noProof/>
          </w:rPr>
          <w:t>136</w:t>
        </w:r>
      </w:fldSimple>
      <w:r>
        <w:t xml:space="preserve">. Data explanation of hydraulic cycles (x-axis) and </w:t>
      </w:r>
      <w:r w:rsidR="003A6770">
        <w:t>flow point</w:t>
      </w:r>
      <w:r>
        <w:t xml:space="preserve"> [ppm] (y-axis)</w:t>
      </w:r>
      <w:bookmarkEnd w:id="840"/>
    </w:p>
    <w:p w14:paraId="7CC13A9B" w14:textId="1D575C79" w:rsidR="00BA0176" w:rsidRDefault="00BA0176" w:rsidP="00BA0176">
      <w:pPr>
        <w:pStyle w:val="Caption"/>
      </w:pPr>
    </w:p>
    <w:p w14:paraId="367171BD" w14:textId="49A0996A" w:rsidR="00BA0176" w:rsidRDefault="00D438F2" w:rsidP="00BA0176">
      <w:pPr>
        <w:keepNext/>
      </w:pPr>
      <w:r>
        <w:rPr>
          <w:noProof/>
        </w:rPr>
        <w:drawing>
          <wp:inline distT="0" distB="0" distL="0" distR="0" wp14:anchorId="312A5731" wp14:editId="0D3A47B3">
            <wp:extent cx="5723036" cy="3673479"/>
            <wp:effectExtent l="0" t="0" r="0" b="3175"/>
            <wp:docPr id="76" name="Chart 76">
              <a:extLst xmlns:a="http://schemas.openxmlformats.org/drawingml/2006/main">
                <a:ext uri="{FF2B5EF4-FFF2-40B4-BE49-F238E27FC236}">
                  <a16:creationId xmlns:a16="http://schemas.microsoft.com/office/drawing/2014/main" id="{4BB22676-C75E-4AA2-A07E-E2D0A00EB2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14:paraId="39252FAF" w14:textId="2CA0D84C" w:rsidR="00BA0176" w:rsidRDefault="00BA0176" w:rsidP="00BA0176">
      <w:pPr>
        <w:pStyle w:val="Caption"/>
      </w:pPr>
      <w:bookmarkStart w:id="841" w:name="_Toc101274659"/>
      <w:r>
        <w:t xml:space="preserve">Figure </w:t>
      </w:r>
      <w:fldSimple w:instr=" SEQ Figure \* ARABIC ">
        <w:r w:rsidR="00587AF0">
          <w:rPr>
            <w:noProof/>
          </w:rPr>
          <w:t>137</w:t>
        </w:r>
      </w:fldSimple>
      <w:r>
        <w:t xml:space="preserve">. Data explanation of hydraulic cycles (x-axis) and </w:t>
      </w:r>
      <w:r w:rsidR="003A6770">
        <w:t>Water</w:t>
      </w:r>
      <w:r>
        <w:t xml:space="preserve"> [ppm] (y-axis)</w:t>
      </w:r>
      <w:bookmarkEnd w:id="841"/>
    </w:p>
    <w:p w14:paraId="62A3261D" w14:textId="79A1F4CD" w:rsidR="00BA0176" w:rsidRDefault="00010EBC" w:rsidP="00BA0176">
      <w:pPr>
        <w:keepNext/>
      </w:pPr>
      <w:r>
        <w:rPr>
          <w:noProof/>
        </w:rPr>
        <w:lastRenderedPageBreak/>
        <w:drawing>
          <wp:inline distT="0" distB="0" distL="0" distR="0" wp14:anchorId="5539619F" wp14:editId="21850DF9">
            <wp:extent cx="5723036" cy="3673479"/>
            <wp:effectExtent l="0" t="0" r="0" b="3175"/>
            <wp:docPr id="79" name="Chart 79">
              <a:extLst xmlns:a="http://schemas.openxmlformats.org/drawingml/2006/main">
                <a:ext uri="{FF2B5EF4-FFF2-40B4-BE49-F238E27FC236}">
                  <a16:creationId xmlns:a16="http://schemas.microsoft.com/office/drawing/2014/main" id="{FC5D6DB4-4869-499A-AEEA-278B27CB01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14:paraId="27FA02B3" w14:textId="46388362" w:rsidR="00BA0176" w:rsidRDefault="00BA0176" w:rsidP="00BA0176">
      <w:pPr>
        <w:pStyle w:val="Caption"/>
      </w:pPr>
      <w:bookmarkStart w:id="842" w:name="_Toc101274660"/>
      <w:r>
        <w:t xml:space="preserve">Figure </w:t>
      </w:r>
      <w:fldSimple w:instr=" SEQ Figure \* ARABIC ">
        <w:r w:rsidR="00587AF0">
          <w:rPr>
            <w:noProof/>
          </w:rPr>
          <w:t>138</w:t>
        </w:r>
      </w:fldSimple>
      <w:r>
        <w:t xml:space="preserve">. Data explanation of hydraulic cycles (x-axis) and </w:t>
      </w:r>
      <w:r w:rsidR="003A6770">
        <w:t>Zn</w:t>
      </w:r>
      <w:r>
        <w:t xml:space="preserve"> [ppm] (y-axis)</w:t>
      </w:r>
      <w:bookmarkEnd w:id="842"/>
    </w:p>
    <w:p w14:paraId="3D46508A" w14:textId="1B720F5E" w:rsidR="00BA0176" w:rsidRDefault="004C4D17" w:rsidP="00BA0176">
      <w:pPr>
        <w:keepNext/>
      </w:pPr>
      <w:r>
        <w:rPr>
          <w:noProof/>
        </w:rPr>
        <w:drawing>
          <wp:inline distT="0" distB="0" distL="0" distR="0" wp14:anchorId="01C44326" wp14:editId="63C65F8F">
            <wp:extent cx="5723036" cy="3673479"/>
            <wp:effectExtent l="0" t="0" r="0" b="3175"/>
            <wp:docPr id="80" name="Chart 80">
              <a:extLst xmlns:a="http://schemas.openxmlformats.org/drawingml/2006/main">
                <a:ext uri="{FF2B5EF4-FFF2-40B4-BE49-F238E27FC236}">
                  <a16:creationId xmlns:a16="http://schemas.microsoft.com/office/drawing/2014/main" id="{6D4B4A6F-849A-4A01-B0A4-C5E3427F93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14:paraId="4D8C8ADC" w14:textId="0BC54C06" w:rsidR="00BA0176" w:rsidRDefault="00BA0176" w:rsidP="00BA0176">
      <w:pPr>
        <w:pStyle w:val="Caption"/>
      </w:pPr>
      <w:bookmarkStart w:id="843" w:name="_Toc101274661"/>
      <w:r>
        <w:t xml:space="preserve">Figure </w:t>
      </w:r>
      <w:fldSimple w:instr=" SEQ Figure \* ARABIC ">
        <w:r w:rsidR="00587AF0">
          <w:rPr>
            <w:noProof/>
          </w:rPr>
          <w:t>139</w:t>
        </w:r>
      </w:fldSimple>
      <w:r>
        <w:t xml:space="preserve">. Data explanation of hydraulic cycles (x-axis) and </w:t>
      </w:r>
      <w:r w:rsidR="003A6770">
        <w:t>Ni</w:t>
      </w:r>
      <w:r>
        <w:t xml:space="preserve"> [ppm] (y-axis)</w:t>
      </w:r>
      <w:bookmarkEnd w:id="843"/>
    </w:p>
    <w:p w14:paraId="23B7F3C3" w14:textId="0E55F7B4" w:rsidR="00BA0176" w:rsidRDefault="005A2946" w:rsidP="00BA0176">
      <w:pPr>
        <w:keepNext/>
      </w:pPr>
      <w:r>
        <w:rPr>
          <w:noProof/>
        </w:rPr>
        <w:lastRenderedPageBreak/>
        <w:drawing>
          <wp:inline distT="0" distB="0" distL="0" distR="0" wp14:anchorId="130C5FC7" wp14:editId="011AD284">
            <wp:extent cx="5723036" cy="3673479"/>
            <wp:effectExtent l="0" t="0" r="0" b="3175"/>
            <wp:docPr id="82" name="Chart 82">
              <a:extLst xmlns:a="http://schemas.openxmlformats.org/drawingml/2006/main">
                <a:ext uri="{FF2B5EF4-FFF2-40B4-BE49-F238E27FC236}">
                  <a16:creationId xmlns:a16="http://schemas.microsoft.com/office/drawing/2014/main" id="{62110A56-761E-49D3-BFEA-FFB04BEE29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14:paraId="630F5183" w14:textId="3C246432" w:rsidR="00BA0176" w:rsidRDefault="00BA0176" w:rsidP="00BA0176">
      <w:pPr>
        <w:pStyle w:val="Caption"/>
      </w:pPr>
      <w:bookmarkStart w:id="844" w:name="_Toc101274662"/>
      <w:r>
        <w:t xml:space="preserve">Figure </w:t>
      </w:r>
      <w:fldSimple w:instr=" SEQ Figure \* ARABIC ">
        <w:r w:rsidR="00587AF0">
          <w:rPr>
            <w:noProof/>
          </w:rPr>
          <w:t>140</w:t>
        </w:r>
      </w:fldSimple>
      <w:r>
        <w:t xml:space="preserve">. Data explanation of hydraulic cycles (x-axis) and </w:t>
      </w:r>
      <w:r w:rsidR="003A6770">
        <w:t>Si</w:t>
      </w:r>
      <w:r>
        <w:t xml:space="preserve"> [ppm] (y-axis)</w:t>
      </w:r>
      <w:bookmarkEnd w:id="844"/>
    </w:p>
    <w:p w14:paraId="5DB6E7FA" w14:textId="3387AAFE" w:rsidR="00BA0176" w:rsidRDefault="00DB62C9" w:rsidP="00BA0176">
      <w:pPr>
        <w:keepNext/>
      </w:pPr>
      <w:r>
        <w:rPr>
          <w:noProof/>
        </w:rPr>
        <w:drawing>
          <wp:inline distT="0" distB="0" distL="0" distR="0" wp14:anchorId="76B79A94" wp14:editId="356D83F5">
            <wp:extent cx="5723036" cy="3673479"/>
            <wp:effectExtent l="0" t="0" r="0" b="3175"/>
            <wp:docPr id="81" name="Chart 81">
              <a:extLst xmlns:a="http://schemas.openxmlformats.org/drawingml/2006/main">
                <a:ext uri="{FF2B5EF4-FFF2-40B4-BE49-F238E27FC236}">
                  <a16:creationId xmlns:a16="http://schemas.microsoft.com/office/drawing/2014/main" id="{05A5287B-0673-4225-993A-3F682DF71E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14:paraId="4CEE5669" w14:textId="30E689B9" w:rsidR="00BA0176" w:rsidRDefault="00BA0176" w:rsidP="00BA0176">
      <w:pPr>
        <w:pStyle w:val="Caption"/>
      </w:pPr>
      <w:bookmarkStart w:id="845" w:name="_Toc101274663"/>
      <w:r>
        <w:t xml:space="preserve">Figure </w:t>
      </w:r>
      <w:fldSimple w:instr=" SEQ Figure \* ARABIC ">
        <w:r w:rsidR="00587AF0">
          <w:rPr>
            <w:noProof/>
          </w:rPr>
          <w:t>141</w:t>
        </w:r>
      </w:fldSimple>
      <w:r>
        <w:t xml:space="preserve">. Data explanation of hydraulic cycles (x-axis) and </w:t>
      </w:r>
      <w:r w:rsidR="003A6770">
        <w:t>Fe</w:t>
      </w:r>
      <w:r>
        <w:t xml:space="preserve"> [ppm] (y-axis)</w:t>
      </w:r>
      <w:bookmarkEnd w:id="845"/>
    </w:p>
    <w:p w14:paraId="267DADB5" w14:textId="77777777" w:rsidR="00107DEB" w:rsidRDefault="00107DEB" w:rsidP="00107DEB">
      <w:pPr>
        <w:keepNext/>
      </w:pPr>
      <w:r>
        <w:rPr>
          <w:noProof/>
        </w:rPr>
        <w:lastRenderedPageBreak/>
        <w:drawing>
          <wp:inline distT="0" distB="0" distL="0" distR="0" wp14:anchorId="308065BB" wp14:editId="78A0E850">
            <wp:extent cx="5731200" cy="3600000"/>
            <wp:effectExtent l="0" t="0" r="3175" b="635"/>
            <wp:docPr id="38" name="Chart 38">
              <a:extLst xmlns:a="http://schemas.openxmlformats.org/drawingml/2006/main">
                <a:ext uri="{FF2B5EF4-FFF2-40B4-BE49-F238E27FC236}">
                  <a16:creationId xmlns:a16="http://schemas.microsoft.com/office/drawing/2014/main" id="{D7848AB8-6F78-4083-9C35-A6AC302160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14:paraId="4AA630CE" w14:textId="23E9A4CB" w:rsidR="00107DEB" w:rsidRPr="00107DEB" w:rsidRDefault="00107DEB" w:rsidP="00107DEB">
      <w:pPr>
        <w:pStyle w:val="Caption"/>
      </w:pPr>
      <w:bookmarkStart w:id="846" w:name="_Toc101274664"/>
      <w:r>
        <w:t xml:space="preserve">Figure </w:t>
      </w:r>
      <w:fldSimple w:instr=" SEQ Figure \* ARABIC ">
        <w:r w:rsidR="00587AF0">
          <w:rPr>
            <w:noProof/>
          </w:rPr>
          <w:t>142</w:t>
        </w:r>
      </w:fldSimple>
      <w:r>
        <w:t>. Data explanation of hydraulic cycles (x-axis) and TAN [mgKOH/g] (y-axis)</w:t>
      </w:r>
      <w:bookmarkEnd w:id="846"/>
    </w:p>
    <w:p w14:paraId="5E575418" w14:textId="5741F38F" w:rsidR="00421D19" w:rsidRDefault="00421D19">
      <w:pPr>
        <w:spacing w:before="0" w:after="160" w:line="259" w:lineRule="auto"/>
        <w:jc w:val="left"/>
      </w:pPr>
      <w:r>
        <w:br w:type="page"/>
      </w:r>
    </w:p>
    <w:p w14:paraId="76C67A38" w14:textId="499FE526" w:rsidR="006A32C2" w:rsidRDefault="00842C5B" w:rsidP="00842C5B">
      <w:pPr>
        <w:pStyle w:val="Caption"/>
        <w:jc w:val="both"/>
      </w:pPr>
      <w:bookmarkStart w:id="847" w:name="_Ref96438304"/>
      <w:bookmarkStart w:id="848" w:name="_Ref98313705"/>
      <w:bookmarkStart w:id="849" w:name="_Toc101274683"/>
      <w:r>
        <w:lastRenderedPageBreak/>
        <w:t xml:space="preserve">Appendix </w:t>
      </w:r>
      <w:fldSimple w:instr=" SEQ Appendix \* ARABIC ">
        <w:r w:rsidR="00587AF0">
          <w:rPr>
            <w:noProof/>
          </w:rPr>
          <w:t>13</w:t>
        </w:r>
      </w:fldSimple>
      <w:bookmarkEnd w:id="847"/>
      <w:r>
        <w:t xml:space="preserve">. Hydraulic power </w:t>
      </w:r>
      <w:r w:rsidR="00577040">
        <w:t>features</w:t>
      </w:r>
      <w:r w:rsidR="00F26C6C">
        <w:t xml:space="preserve"> </w:t>
      </w:r>
      <w:r w:rsidR="00F7159B">
        <w:t>before and after normalisation</w:t>
      </w:r>
      <w:bookmarkEnd w:id="848"/>
      <w:bookmarkEnd w:id="849"/>
    </w:p>
    <w:p w14:paraId="0BBFBB3B" w14:textId="77777777" w:rsidR="00416869" w:rsidRDefault="00732701" w:rsidP="00416869">
      <w:pPr>
        <w:keepNext/>
        <w:jc w:val="center"/>
      </w:pPr>
      <w:r>
        <w:rPr>
          <w:noProof/>
        </w:rPr>
        <w:drawing>
          <wp:inline distT="0" distB="0" distL="0" distR="0" wp14:anchorId="0E94002B" wp14:editId="7D45DA64">
            <wp:extent cx="5732145" cy="7165340"/>
            <wp:effectExtent l="0" t="0" r="1905" b="0"/>
            <wp:docPr id="190" name="Picture 190"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Chart, diagram&#10;&#10;Description automatically generated"/>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732145" cy="7165340"/>
                    </a:xfrm>
                    <a:prstGeom prst="rect">
                      <a:avLst/>
                    </a:prstGeom>
                  </pic:spPr>
                </pic:pic>
              </a:graphicData>
            </a:graphic>
          </wp:inline>
        </w:drawing>
      </w:r>
    </w:p>
    <w:p w14:paraId="731A23DD" w14:textId="6B04644E" w:rsidR="00775540" w:rsidRDefault="00416869" w:rsidP="00416869">
      <w:pPr>
        <w:pStyle w:val="Caption"/>
      </w:pPr>
      <w:bookmarkStart w:id="850" w:name="_Toc101274665"/>
      <w:r>
        <w:t xml:space="preserve">Figure </w:t>
      </w:r>
      <w:fldSimple w:instr=" SEQ Figure \* ARABIC ">
        <w:r w:rsidR="00587AF0">
          <w:rPr>
            <w:noProof/>
          </w:rPr>
          <w:t>143</w:t>
        </w:r>
      </w:fldSimple>
      <w:r>
        <w:t xml:space="preserve">. </w:t>
      </w:r>
      <w:r w:rsidR="007C6F59">
        <w:t>Opening saddle features after normalisation</w:t>
      </w:r>
      <w:bookmarkEnd w:id="850"/>
    </w:p>
    <w:p w14:paraId="1E97C62C" w14:textId="77777777" w:rsidR="00577040" w:rsidRDefault="00577040">
      <w:pPr>
        <w:spacing w:before="0" w:after="160" w:line="259" w:lineRule="auto"/>
        <w:jc w:val="left"/>
      </w:pPr>
      <w:r>
        <w:br w:type="page"/>
      </w:r>
    </w:p>
    <w:p w14:paraId="72AB7900" w14:textId="77777777" w:rsidR="00416869" w:rsidRDefault="00732701" w:rsidP="00416869">
      <w:pPr>
        <w:keepNext/>
        <w:spacing w:before="0" w:after="160" w:line="259" w:lineRule="auto"/>
        <w:jc w:val="center"/>
      </w:pPr>
      <w:r>
        <w:rPr>
          <w:noProof/>
        </w:rPr>
        <w:lastRenderedPageBreak/>
        <w:drawing>
          <wp:inline distT="0" distB="0" distL="0" distR="0" wp14:anchorId="1FEB4A7B" wp14:editId="7BD82C47">
            <wp:extent cx="5732145" cy="7165340"/>
            <wp:effectExtent l="0" t="0" r="1905" b="0"/>
            <wp:docPr id="191" name="Picture 19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Diagram&#10;&#10;Description automatically generated"/>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732145" cy="7165340"/>
                    </a:xfrm>
                    <a:prstGeom prst="rect">
                      <a:avLst/>
                    </a:prstGeom>
                  </pic:spPr>
                </pic:pic>
              </a:graphicData>
            </a:graphic>
          </wp:inline>
        </w:drawing>
      </w:r>
    </w:p>
    <w:p w14:paraId="70628C70" w14:textId="74B2D6FF" w:rsidR="00572391" w:rsidRPr="00572391" w:rsidRDefault="00416869" w:rsidP="00416869">
      <w:pPr>
        <w:pStyle w:val="Caption"/>
      </w:pPr>
      <w:bookmarkStart w:id="851" w:name="_Toc101274666"/>
      <w:r>
        <w:t xml:space="preserve">Figure </w:t>
      </w:r>
      <w:fldSimple w:instr=" SEQ Figure \* ARABIC ">
        <w:r w:rsidR="00587AF0">
          <w:rPr>
            <w:noProof/>
          </w:rPr>
          <w:t>144</w:t>
        </w:r>
      </w:fldSimple>
      <w:r>
        <w:t>. Opening saddle samples after feature normalisation</w:t>
      </w:r>
      <w:bookmarkEnd w:id="851"/>
    </w:p>
    <w:p w14:paraId="28EC8746" w14:textId="5B0DBABC" w:rsidR="00B313EF" w:rsidRDefault="00B313EF">
      <w:pPr>
        <w:spacing w:before="0" w:after="160" w:line="259" w:lineRule="auto"/>
        <w:jc w:val="left"/>
      </w:pPr>
      <w:r>
        <w:br w:type="page"/>
      </w:r>
    </w:p>
    <w:p w14:paraId="6FF46D6B" w14:textId="77777777" w:rsidR="00416869" w:rsidRDefault="007C3984" w:rsidP="00416869">
      <w:pPr>
        <w:keepNext/>
      </w:pPr>
      <w:r>
        <w:rPr>
          <w:noProof/>
        </w:rPr>
        <w:lastRenderedPageBreak/>
        <w:drawing>
          <wp:inline distT="0" distB="0" distL="0" distR="0" wp14:anchorId="038C97DC" wp14:editId="2F27AD09">
            <wp:extent cx="5732145" cy="7165340"/>
            <wp:effectExtent l="0" t="0" r="1905" b="0"/>
            <wp:docPr id="186" name="Picture 18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Chart&#10;&#10;Description automatically generated"/>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732145" cy="7165340"/>
                    </a:xfrm>
                    <a:prstGeom prst="rect">
                      <a:avLst/>
                    </a:prstGeom>
                  </pic:spPr>
                </pic:pic>
              </a:graphicData>
            </a:graphic>
          </wp:inline>
        </w:drawing>
      </w:r>
    </w:p>
    <w:p w14:paraId="70F42B25" w14:textId="03C500EE" w:rsidR="00577040" w:rsidRDefault="00416869" w:rsidP="00416869">
      <w:pPr>
        <w:pStyle w:val="Caption"/>
      </w:pPr>
      <w:bookmarkStart w:id="852" w:name="_Toc101274667"/>
      <w:r>
        <w:t xml:space="preserve">Figure </w:t>
      </w:r>
      <w:fldSimple w:instr=" SEQ Figure \* ARABIC ">
        <w:r w:rsidR="00587AF0">
          <w:rPr>
            <w:noProof/>
          </w:rPr>
          <w:t>145</w:t>
        </w:r>
      </w:fldSimple>
      <w:r>
        <w:t>. Idle saddle feature normalisation</w:t>
      </w:r>
      <w:bookmarkEnd w:id="852"/>
    </w:p>
    <w:p w14:paraId="1F88A47A" w14:textId="77777777" w:rsidR="00577040" w:rsidRDefault="00577040">
      <w:pPr>
        <w:spacing w:before="0" w:after="160" w:line="259" w:lineRule="auto"/>
        <w:jc w:val="left"/>
      </w:pPr>
      <w:r>
        <w:br w:type="page"/>
      </w:r>
    </w:p>
    <w:p w14:paraId="3DC6E304" w14:textId="77777777" w:rsidR="00416869" w:rsidRDefault="007C3984" w:rsidP="00416869">
      <w:pPr>
        <w:keepNext/>
        <w:spacing w:before="240"/>
      </w:pPr>
      <w:r>
        <w:rPr>
          <w:noProof/>
        </w:rPr>
        <w:lastRenderedPageBreak/>
        <w:drawing>
          <wp:inline distT="0" distB="0" distL="0" distR="0" wp14:anchorId="565DF996" wp14:editId="2025F4E2">
            <wp:extent cx="5732145" cy="7165340"/>
            <wp:effectExtent l="0" t="0" r="1905" b="0"/>
            <wp:docPr id="187" name="Picture 18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Diagram&#10;&#10;Description automatically generated"/>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732145" cy="7165340"/>
                    </a:xfrm>
                    <a:prstGeom prst="rect">
                      <a:avLst/>
                    </a:prstGeom>
                  </pic:spPr>
                </pic:pic>
              </a:graphicData>
            </a:graphic>
          </wp:inline>
        </w:drawing>
      </w:r>
    </w:p>
    <w:p w14:paraId="01B0E6C1" w14:textId="48D6631D" w:rsidR="00577040" w:rsidRDefault="00416869" w:rsidP="00416869">
      <w:pPr>
        <w:pStyle w:val="Caption"/>
      </w:pPr>
      <w:bookmarkStart w:id="853" w:name="_Toc101274668"/>
      <w:r>
        <w:t xml:space="preserve">Figure </w:t>
      </w:r>
      <w:fldSimple w:instr=" SEQ Figure \* ARABIC ">
        <w:r w:rsidR="00587AF0">
          <w:rPr>
            <w:noProof/>
          </w:rPr>
          <w:t>146</w:t>
        </w:r>
      </w:fldSimple>
      <w:r>
        <w:t>. Idle saddle samples after feature normalisation</w:t>
      </w:r>
      <w:bookmarkEnd w:id="853"/>
    </w:p>
    <w:p w14:paraId="3A9CA63E" w14:textId="26A26D32" w:rsidR="00B313EF" w:rsidRDefault="00B313EF">
      <w:pPr>
        <w:spacing w:before="0" w:after="160" w:line="259" w:lineRule="auto"/>
        <w:jc w:val="left"/>
      </w:pPr>
      <w:r>
        <w:br w:type="page"/>
      </w:r>
    </w:p>
    <w:p w14:paraId="17F022DE" w14:textId="77777777" w:rsidR="00416869" w:rsidRDefault="007C3984" w:rsidP="00416869">
      <w:pPr>
        <w:keepNext/>
        <w:jc w:val="center"/>
      </w:pPr>
      <w:r>
        <w:rPr>
          <w:noProof/>
        </w:rPr>
        <w:lastRenderedPageBreak/>
        <w:drawing>
          <wp:inline distT="0" distB="0" distL="0" distR="0" wp14:anchorId="71E286A9" wp14:editId="6B3047EF">
            <wp:extent cx="5732145" cy="7165340"/>
            <wp:effectExtent l="0" t="0" r="1905" b="0"/>
            <wp:docPr id="188" name="Picture 188"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Chart, box and whisker chart&#10;&#10;Description automatically generated"/>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732145" cy="7165340"/>
                    </a:xfrm>
                    <a:prstGeom prst="rect">
                      <a:avLst/>
                    </a:prstGeom>
                  </pic:spPr>
                </pic:pic>
              </a:graphicData>
            </a:graphic>
          </wp:inline>
        </w:drawing>
      </w:r>
    </w:p>
    <w:p w14:paraId="78EE9F9D" w14:textId="24570667" w:rsidR="00B313EF" w:rsidRDefault="00416869" w:rsidP="00416869">
      <w:pPr>
        <w:pStyle w:val="Caption"/>
      </w:pPr>
      <w:bookmarkStart w:id="854" w:name="_Toc101274669"/>
      <w:r>
        <w:t xml:space="preserve">Figure </w:t>
      </w:r>
      <w:fldSimple w:instr=" SEQ Figure \* ARABIC ">
        <w:r w:rsidR="00587AF0">
          <w:rPr>
            <w:noProof/>
          </w:rPr>
          <w:t>147</w:t>
        </w:r>
      </w:fldSimple>
      <w:r>
        <w:t>. Closing saddle feature normalisation</w:t>
      </w:r>
      <w:bookmarkEnd w:id="854"/>
    </w:p>
    <w:p w14:paraId="62E59F3D" w14:textId="1E1ACBCB" w:rsidR="00577040" w:rsidRDefault="00577040">
      <w:pPr>
        <w:spacing w:before="0" w:after="160" w:line="259" w:lineRule="auto"/>
        <w:jc w:val="left"/>
      </w:pPr>
      <w:r>
        <w:br w:type="page"/>
      </w:r>
    </w:p>
    <w:p w14:paraId="26ACD753" w14:textId="77777777" w:rsidR="00416869" w:rsidRDefault="007C3984" w:rsidP="00416869">
      <w:pPr>
        <w:keepNext/>
      </w:pPr>
      <w:r>
        <w:rPr>
          <w:noProof/>
        </w:rPr>
        <w:lastRenderedPageBreak/>
        <w:drawing>
          <wp:inline distT="0" distB="0" distL="0" distR="0" wp14:anchorId="724BCE1A" wp14:editId="364480C1">
            <wp:extent cx="5732145" cy="7165340"/>
            <wp:effectExtent l="0" t="0" r="1905" b="0"/>
            <wp:docPr id="189" name="Picture 18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Diagram&#10;&#10;Description automatically generated"/>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5732145" cy="7165340"/>
                    </a:xfrm>
                    <a:prstGeom prst="rect">
                      <a:avLst/>
                    </a:prstGeom>
                  </pic:spPr>
                </pic:pic>
              </a:graphicData>
            </a:graphic>
          </wp:inline>
        </w:drawing>
      </w:r>
    </w:p>
    <w:p w14:paraId="0261A082" w14:textId="073152E6" w:rsidR="00577040" w:rsidRDefault="00416869" w:rsidP="00416869">
      <w:pPr>
        <w:pStyle w:val="Caption"/>
      </w:pPr>
      <w:bookmarkStart w:id="855" w:name="_Toc101274670"/>
      <w:r>
        <w:t xml:space="preserve">Figure </w:t>
      </w:r>
      <w:fldSimple w:instr=" SEQ Figure \* ARABIC ">
        <w:r w:rsidR="00587AF0">
          <w:rPr>
            <w:noProof/>
          </w:rPr>
          <w:t>148</w:t>
        </w:r>
      </w:fldSimple>
      <w:r>
        <w:t>. Closing saddle samples after feature normalisation</w:t>
      </w:r>
      <w:bookmarkEnd w:id="855"/>
    </w:p>
    <w:p w14:paraId="203D3946" w14:textId="77777777" w:rsidR="00B313EF" w:rsidRPr="00B313EF" w:rsidRDefault="00B313EF" w:rsidP="00B313EF"/>
    <w:p w14:paraId="4ED19092" w14:textId="0A6F2CC5" w:rsidR="00DC3146" w:rsidRDefault="00DC3146">
      <w:pPr>
        <w:spacing w:before="0" w:after="160" w:line="259" w:lineRule="auto"/>
        <w:jc w:val="left"/>
        <w:rPr>
          <w:lang w:val="en-GB"/>
        </w:rPr>
      </w:pPr>
      <w:r>
        <w:rPr>
          <w:lang w:val="en-GB"/>
        </w:rPr>
        <w:br w:type="page"/>
      </w:r>
    </w:p>
    <w:p w14:paraId="6615253B" w14:textId="5EE9460F" w:rsidR="006A32C2" w:rsidRDefault="00DC3146" w:rsidP="00DC3146">
      <w:pPr>
        <w:pStyle w:val="Caption"/>
        <w:jc w:val="both"/>
      </w:pPr>
      <w:bookmarkStart w:id="856" w:name="_Ref99634063"/>
      <w:bookmarkStart w:id="857" w:name="_Toc101274684"/>
      <w:r>
        <w:lastRenderedPageBreak/>
        <w:t xml:space="preserve">Appendix </w:t>
      </w:r>
      <w:fldSimple w:instr=" SEQ Appendix \* ARABIC ">
        <w:r w:rsidR="00587AF0">
          <w:rPr>
            <w:noProof/>
          </w:rPr>
          <w:t>14</w:t>
        </w:r>
      </w:fldSimple>
      <w:bookmarkEnd w:id="856"/>
      <w:r>
        <w:t>. JADbio</w:t>
      </w:r>
      <w:r w:rsidR="002E78EA">
        <w:rPr>
          <w:rStyle w:val="FootnoteReference"/>
        </w:rPr>
        <w:footnoteReference w:id="6"/>
      </w:r>
      <w:r>
        <w:t xml:space="preserve"> AutoML results of testing classification data using SVM</w:t>
      </w:r>
      <w:bookmarkEnd w:id="857"/>
    </w:p>
    <w:tbl>
      <w:tblPr>
        <w:tblStyle w:val="TableGrid"/>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84"/>
        <w:gridCol w:w="1196"/>
        <w:gridCol w:w="990"/>
        <w:gridCol w:w="990"/>
        <w:gridCol w:w="670"/>
        <w:gridCol w:w="1640"/>
        <w:gridCol w:w="855"/>
        <w:gridCol w:w="985"/>
        <w:gridCol w:w="917"/>
      </w:tblGrid>
      <w:tr w:rsidR="00DC3146" w:rsidRPr="00DC3146" w14:paraId="5C223EAB" w14:textId="77777777" w:rsidTr="00421115">
        <w:tc>
          <w:tcPr>
            <w:tcW w:w="784" w:type="dxa"/>
            <w:tcBorders>
              <w:top w:val="single" w:sz="4" w:space="0" w:color="auto"/>
              <w:bottom w:val="single" w:sz="4" w:space="0" w:color="auto"/>
            </w:tcBorders>
            <w:shd w:val="clear" w:color="auto" w:fill="auto"/>
          </w:tcPr>
          <w:p w14:paraId="09F4F6F5" w14:textId="0C8BA995" w:rsidR="00DC3146" w:rsidRPr="002E78EA" w:rsidRDefault="002E78EA" w:rsidP="00421115">
            <w:pPr>
              <w:spacing w:before="0" w:after="0"/>
              <w:jc w:val="center"/>
              <w:rPr>
                <w:b/>
                <w:bCs/>
                <w:sz w:val="20"/>
              </w:rPr>
            </w:pPr>
            <w:r>
              <w:rPr>
                <w:b/>
                <w:bCs/>
                <w:sz w:val="20"/>
              </w:rPr>
              <w:t>Conf.</w:t>
            </w:r>
          </w:p>
        </w:tc>
        <w:tc>
          <w:tcPr>
            <w:tcW w:w="1196" w:type="dxa"/>
            <w:tcBorders>
              <w:top w:val="single" w:sz="4" w:space="0" w:color="auto"/>
              <w:bottom w:val="single" w:sz="4" w:space="0" w:color="auto"/>
            </w:tcBorders>
            <w:shd w:val="clear" w:color="auto" w:fill="auto"/>
          </w:tcPr>
          <w:p w14:paraId="15B2BE84" w14:textId="1071D54E" w:rsidR="00DC3146" w:rsidRPr="002E78EA" w:rsidRDefault="00DC3146" w:rsidP="00421115">
            <w:pPr>
              <w:spacing w:before="0" w:after="0"/>
              <w:jc w:val="center"/>
              <w:rPr>
                <w:b/>
                <w:bCs/>
                <w:sz w:val="20"/>
              </w:rPr>
            </w:pPr>
            <w:r w:rsidRPr="002E78EA">
              <w:rPr>
                <w:b/>
                <w:bCs/>
                <w:sz w:val="20"/>
              </w:rPr>
              <w:t>Preprocess</w:t>
            </w:r>
          </w:p>
        </w:tc>
        <w:tc>
          <w:tcPr>
            <w:tcW w:w="990" w:type="dxa"/>
            <w:tcBorders>
              <w:top w:val="single" w:sz="4" w:space="0" w:color="auto"/>
              <w:bottom w:val="single" w:sz="4" w:space="0" w:color="auto"/>
            </w:tcBorders>
            <w:shd w:val="clear" w:color="auto" w:fill="auto"/>
          </w:tcPr>
          <w:p w14:paraId="0543998F" w14:textId="1EC8DC3B" w:rsidR="00DC3146" w:rsidRPr="002E78EA" w:rsidRDefault="002E78EA" w:rsidP="00421115">
            <w:pPr>
              <w:spacing w:before="0" w:after="0"/>
              <w:jc w:val="center"/>
              <w:rPr>
                <w:b/>
                <w:bCs/>
                <w:sz w:val="20"/>
              </w:rPr>
            </w:pPr>
            <w:r>
              <w:rPr>
                <w:b/>
                <w:bCs/>
                <w:sz w:val="20"/>
              </w:rPr>
              <w:t>DFA</w:t>
            </w:r>
          </w:p>
        </w:tc>
        <w:tc>
          <w:tcPr>
            <w:tcW w:w="990" w:type="dxa"/>
            <w:tcBorders>
              <w:top w:val="single" w:sz="4" w:space="0" w:color="auto"/>
              <w:bottom w:val="single" w:sz="4" w:space="0" w:color="auto"/>
            </w:tcBorders>
            <w:shd w:val="clear" w:color="auto" w:fill="auto"/>
          </w:tcPr>
          <w:p w14:paraId="0D66C0FE" w14:textId="5ACC321A" w:rsidR="00DC3146" w:rsidRPr="002E78EA" w:rsidRDefault="002E78EA" w:rsidP="00421115">
            <w:pPr>
              <w:spacing w:before="0" w:after="0"/>
              <w:jc w:val="center"/>
              <w:rPr>
                <w:b/>
                <w:bCs/>
                <w:sz w:val="20"/>
              </w:rPr>
            </w:pPr>
            <w:r>
              <w:rPr>
                <w:b/>
                <w:bCs/>
                <w:sz w:val="20"/>
              </w:rPr>
              <w:t>HPM</w:t>
            </w:r>
          </w:p>
        </w:tc>
        <w:tc>
          <w:tcPr>
            <w:tcW w:w="670" w:type="dxa"/>
            <w:tcBorders>
              <w:top w:val="single" w:sz="4" w:space="0" w:color="auto"/>
              <w:bottom w:val="single" w:sz="4" w:space="0" w:color="auto"/>
            </w:tcBorders>
            <w:shd w:val="clear" w:color="auto" w:fill="auto"/>
          </w:tcPr>
          <w:p w14:paraId="3A069309" w14:textId="364FF82D" w:rsidR="00DC3146" w:rsidRPr="002E78EA" w:rsidRDefault="002E78EA" w:rsidP="00421115">
            <w:pPr>
              <w:spacing w:before="0" w:after="0"/>
              <w:jc w:val="center"/>
              <w:rPr>
                <w:b/>
                <w:bCs/>
                <w:sz w:val="20"/>
              </w:rPr>
            </w:pPr>
            <w:r>
              <w:rPr>
                <w:b/>
                <w:bCs/>
                <w:sz w:val="20"/>
              </w:rPr>
              <w:t>ML</w:t>
            </w:r>
          </w:p>
        </w:tc>
        <w:tc>
          <w:tcPr>
            <w:tcW w:w="1640" w:type="dxa"/>
            <w:tcBorders>
              <w:top w:val="single" w:sz="4" w:space="0" w:color="auto"/>
              <w:bottom w:val="single" w:sz="4" w:space="0" w:color="auto"/>
            </w:tcBorders>
            <w:shd w:val="clear" w:color="auto" w:fill="auto"/>
          </w:tcPr>
          <w:p w14:paraId="2943940B" w14:textId="0EE032DF" w:rsidR="00DC3146" w:rsidRPr="002E78EA" w:rsidRDefault="002E78EA" w:rsidP="00421115">
            <w:pPr>
              <w:spacing w:before="0" w:after="0"/>
              <w:jc w:val="center"/>
              <w:rPr>
                <w:b/>
                <w:bCs/>
                <w:sz w:val="20"/>
              </w:rPr>
            </w:pPr>
            <w:r>
              <w:rPr>
                <w:b/>
                <w:bCs/>
                <w:sz w:val="20"/>
              </w:rPr>
              <w:t>HPME</w:t>
            </w:r>
          </w:p>
        </w:tc>
        <w:tc>
          <w:tcPr>
            <w:tcW w:w="855" w:type="dxa"/>
            <w:tcBorders>
              <w:top w:val="single" w:sz="4" w:space="0" w:color="auto"/>
              <w:bottom w:val="single" w:sz="4" w:space="0" w:color="auto"/>
            </w:tcBorders>
            <w:shd w:val="clear" w:color="auto" w:fill="auto"/>
          </w:tcPr>
          <w:p w14:paraId="20932052" w14:textId="613E9281" w:rsidR="00DC3146" w:rsidRPr="002E78EA" w:rsidRDefault="002E78EA" w:rsidP="00421115">
            <w:pPr>
              <w:spacing w:before="0" w:after="0"/>
              <w:jc w:val="center"/>
              <w:rPr>
                <w:b/>
                <w:bCs/>
                <w:sz w:val="20"/>
              </w:rPr>
            </w:pPr>
            <w:r>
              <w:rPr>
                <w:b/>
                <w:bCs/>
                <w:sz w:val="20"/>
              </w:rPr>
              <w:t>%PER</w:t>
            </w:r>
          </w:p>
        </w:tc>
        <w:tc>
          <w:tcPr>
            <w:tcW w:w="985" w:type="dxa"/>
            <w:tcBorders>
              <w:top w:val="single" w:sz="4" w:space="0" w:color="auto"/>
              <w:bottom w:val="single" w:sz="4" w:space="0" w:color="auto"/>
            </w:tcBorders>
            <w:shd w:val="clear" w:color="auto" w:fill="auto"/>
          </w:tcPr>
          <w:p w14:paraId="474BB7B7" w14:textId="362CD3CF" w:rsidR="00DC3146" w:rsidRPr="002E78EA" w:rsidRDefault="00DC3146" w:rsidP="00421115">
            <w:pPr>
              <w:spacing w:before="0" w:after="0"/>
              <w:jc w:val="center"/>
              <w:rPr>
                <w:b/>
                <w:bCs/>
                <w:sz w:val="20"/>
              </w:rPr>
            </w:pPr>
            <w:r w:rsidRPr="002E78EA">
              <w:rPr>
                <w:b/>
                <w:bCs/>
                <w:sz w:val="20"/>
              </w:rPr>
              <w:t>Time</w:t>
            </w:r>
          </w:p>
        </w:tc>
        <w:tc>
          <w:tcPr>
            <w:tcW w:w="917" w:type="dxa"/>
            <w:tcBorders>
              <w:top w:val="single" w:sz="4" w:space="0" w:color="auto"/>
              <w:bottom w:val="single" w:sz="4" w:space="0" w:color="auto"/>
            </w:tcBorders>
            <w:shd w:val="clear" w:color="auto" w:fill="auto"/>
          </w:tcPr>
          <w:p w14:paraId="3ED3BDB9" w14:textId="61764822" w:rsidR="00DC3146" w:rsidRPr="002E78EA" w:rsidRDefault="00DC3146" w:rsidP="00421115">
            <w:pPr>
              <w:spacing w:before="0" w:after="0"/>
              <w:jc w:val="center"/>
              <w:rPr>
                <w:b/>
                <w:bCs/>
                <w:sz w:val="20"/>
              </w:rPr>
            </w:pPr>
            <w:r w:rsidRPr="002E78EA">
              <w:rPr>
                <w:b/>
                <w:bCs/>
                <w:sz w:val="20"/>
              </w:rPr>
              <w:t>Dro</w:t>
            </w:r>
            <w:r w:rsidR="002E78EA">
              <w:rPr>
                <w:b/>
                <w:bCs/>
                <w:sz w:val="20"/>
              </w:rPr>
              <w:t>p.</w:t>
            </w:r>
          </w:p>
        </w:tc>
      </w:tr>
      <w:tr w:rsidR="00DC3146" w:rsidRPr="00DC3146" w14:paraId="3CD27B0C" w14:textId="77777777" w:rsidTr="00421115">
        <w:tc>
          <w:tcPr>
            <w:tcW w:w="784" w:type="dxa"/>
            <w:tcBorders>
              <w:top w:val="single" w:sz="4" w:space="0" w:color="auto"/>
            </w:tcBorders>
            <w:shd w:val="clear" w:color="auto" w:fill="auto"/>
            <w:vAlign w:val="center"/>
          </w:tcPr>
          <w:p w14:paraId="28CB0582" w14:textId="25698548" w:rsidR="00DC3146" w:rsidRPr="002E78EA" w:rsidRDefault="00421115" w:rsidP="00421115">
            <w:pPr>
              <w:spacing w:before="0" w:after="0"/>
              <w:jc w:val="center"/>
              <w:rPr>
                <w:sz w:val="20"/>
                <w:szCs w:val="20"/>
              </w:rPr>
            </w:pPr>
            <w:r w:rsidRPr="002E78EA">
              <w:rPr>
                <w:sz w:val="20"/>
                <w:szCs w:val="20"/>
              </w:rPr>
              <w:t>1</w:t>
            </w:r>
          </w:p>
        </w:tc>
        <w:tc>
          <w:tcPr>
            <w:tcW w:w="1196" w:type="dxa"/>
            <w:tcBorders>
              <w:top w:val="single" w:sz="4" w:space="0" w:color="auto"/>
            </w:tcBorders>
            <w:shd w:val="clear" w:color="auto" w:fill="auto"/>
            <w:vAlign w:val="center"/>
          </w:tcPr>
          <w:p w14:paraId="5D2A785F" w14:textId="77777777" w:rsidR="00DC3146" w:rsidRPr="002E78EA" w:rsidRDefault="00421115" w:rsidP="00421115">
            <w:pPr>
              <w:spacing w:before="0" w:after="0"/>
              <w:jc w:val="center"/>
              <w:rPr>
                <w:sz w:val="20"/>
                <w:szCs w:val="20"/>
              </w:rPr>
            </w:pPr>
            <w:r w:rsidRPr="002E78EA">
              <w:rPr>
                <w:sz w:val="20"/>
                <w:szCs w:val="20"/>
              </w:rPr>
              <w:t>Removal const.</w:t>
            </w:r>
          </w:p>
          <w:p w14:paraId="0F9F0879" w14:textId="4A37E7A4" w:rsidR="00421115" w:rsidRPr="002E78EA" w:rsidRDefault="00421115" w:rsidP="00421115">
            <w:pPr>
              <w:spacing w:before="0" w:after="0"/>
              <w:jc w:val="center"/>
              <w:rPr>
                <w:sz w:val="20"/>
                <w:szCs w:val="20"/>
              </w:rPr>
            </w:pPr>
            <w:r w:rsidRPr="002E78EA">
              <w:rPr>
                <w:sz w:val="20"/>
                <w:szCs w:val="20"/>
              </w:rPr>
              <w:t>Standardisation</w:t>
            </w:r>
          </w:p>
        </w:tc>
        <w:tc>
          <w:tcPr>
            <w:tcW w:w="990" w:type="dxa"/>
            <w:tcBorders>
              <w:top w:val="single" w:sz="4" w:space="0" w:color="auto"/>
            </w:tcBorders>
            <w:shd w:val="clear" w:color="auto" w:fill="auto"/>
            <w:vAlign w:val="center"/>
          </w:tcPr>
          <w:p w14:paraId="6314BEEE" w14:textId="64FCACB0" w:rsidR="00DC3146" w:rsidRPr="002E78EA" w:rsidRDefault="002E78EA" w:rsidP="00421115">
            <w:pPr>
              <w:spacing w:before="0" w:after="0"/>
              <w:jc w:val="center"/>
              <w:rPr>
                <w:sz w:val="20"/>
                <w:szCs w:val="20"/>
              </w:rPr>
            </w:pPr>
            <w:r w:rsidRPr="002E78EA">
              <w:rPr>
                <w:sz w:val="20"/>
                <w:szCs w:val="20"/>
              </w:rPr>
              <w:t>Test-Budgeted Statistic. Equiv. Signature (SES) algorithm</w:t>
            </w:r>
          </w:p>
        </w:tc>
        <w:tc>
          <w:tcPr>
            <w:tcW w:w="990" w:type="dxa"/>
            <w:tcBorders>
              <w:top w:val="single" w:sz="4" w:space="0" w:color="auto"/>
            </w:tcBorders>
            <w:shd w:val="clear" w:color="auto" w:fill="auto"/>
            <w:vAlign w:val="center"/>
          </w:tcPr>
          <w:p w14:paraId="5A54AC7D" w14:textId="04083D62" w:rsidR="00DC3146" w:rsidRPr="002E78EA" w:rsidRDefault="00DC3146" w:rsidP="00421115">
            <w:pPr>
              <w:spacing w:before="0" w:after="0"/>
              <w:jc w:val="center"/>
              <w:rPr>
                <w:sz w:val="20"/>
                <w:szCs w:val="20"/>
              </w:rPr>
            </w:pPr>
            <w:r w:rsidRPr="002E78EA">
              <w:rPr>
                <w:sz w:val="20"/>
                <w:szCs w:val="20"/>
              </w:rPr>
              <w:t>maxK = 2, alpha= 0.05,</w:t>
            </w:r>
          </w:p>
          <w:p w14:paraId="2DED9A69" w14:textId="2D882087" w:rsidR="00DC3146" w:rsidRPr="002E78EA" w:rsidRDefault="00DC3146" w:rsidP="00421115">
            <w:pPr>
              <w:spacing w:before="0" w:after="0"/>
              <w:jc w:val="center"/>
              <w:rPr>
                <w:sz w:val="20"/>
                <w:szCs w:val="20"/>
              </w:rPr>
            </w:pPr>
            <w:r w:rsidRPr="002E78EA">
              <w:rPr>
                <w:sz w:val="20"/>
                <w:szCs w:val="20"/>
              </w:rPr>
              <w:t>budget = 3 * nvars</w:t>
            </w:r>
          </w:p>
        </w:tc>
        <w:tc>
          <w:tcPr>
            <w:tcW w:w="670" w:type="dxa"/>
            <w:tcBorders>
              <w:top w:val="single" w:sz="4" w:space="0" w:color="auto"/>
            </w:tcBorders>
            <w:shd w:val="clear" w:color="auto" w:fill="auto"/>
            <w:vAlign w:val="center"/>
          </w:tcPr>
          <w:p w14:paraId="0F4981D8" w14:textId="4148CEBC" w:rsidR="00DC3146" w:rsidRPr="002E78EA" w:rsidRDefault="00DC3146" w:rsidP="00421115">
            <w:pPr>
              <w:spacing w:before="0" w:after="0"/>
              <w:jc w:val="center"/>
              <w:rPr>
                <w:sz w:val="20"/>
                <w:szCs w:val="20"/>
              </w:rPr>
            </w:pPr>
            <w:r w:rsidRPr="002E78EA">
              <w:rPr>
                <w:sz w:val="20"/>
                <w:szCs w:val="20"/>
              </w:rPr>
              <w:t>SVM</w:t>
            </w:r>
          </w:p>
        </w:tc>
        <w:tc>
          <w:tcPr>
            <w:tcW w:w="1640" w:type="dxa"/>
            <w:tcBorders>
              <w:top w:val="single" w:sz="4" w:space="0" w:color="auto"/>
            </w:tcBorders>
            <w:shd w:val="clear" w:color="auto" w:fill="auto"/>
            <w:vAlign w:val="center"/>
          </w:tcPr>
          <w:p w14:paraId="76ED4D20" w14:textId="7B24DD28" w:rsidR="00DC3146" w:rsidRPr="002E78EA" w:rsidRDefault="00DC3146" w:rsidP="00421115">
            <w:pPr>
              <w:spacing w:before="0" w:after="0"/>
              <w:jc w:val="center"/>
              <w:rPr>
                <w:sz w:val="20"/>
                <w:szCs w:val="20"/>
              </w:rPr>
            </w:pPr>
            <w:r w:rsidRPr="002E78EA">
              <w:rPr>
                <w:sz w:val="20"/>
                <w:szCs w:val="20"/>
              </w:rPr>
              <w:t>Kernel = 'Poly</w:t>
            </w:r>
            <w:r w:rsidR="00421115" w:rsidRPr="002E78EA">
              <w:rPr>
                <w:sz w:val="20"/>
                <w:szCs w:val="20"/>
              </w:rPr>
              <w:t xml:space="preserve">. </w:t>
            </w:r>
            <w:r w:rsidRPr="002E78EA">
              <w:rPr>
                <w:sz w:val="20"/>
                <w:szCs w:val="20"/>
              </w:rPr>
              <w:t>Kernel',</w:t>
            </w:r>
          </w:p>
          <w:p w14:paraId="1206EAD4" w14:textId="5B13D513" w:rsidR="00DC3146" w:rsidRPr="002E78EA" w:rsidRDefault="00DC3146" w:rsidP="00421115">
            <w:pPr>
              <w:spacing w:before="0" w:after="0"/>
              <w:jc w:val="center"/>
              <w:rPr>
                <w:sz w:val="20"/>
                <w:szCs w:val="20"/>
              </w:rPr>
            </w:pPr>
            <w:r w:rsidRPr="002E78EA">
              <w:rPr>
                <w:sz w:val="20"/>
                <w:szCs w:val="20"/>
              </w:rPr>
              <w:t>cost=1.0, gamma=1.0degree = 3</w:t>
            </w:r>
          </w:p>
        </w:tc>
        <w:tc>
          <w:tcPr>
            <w:tcW w:w="855" w:type="dxa"/>
            <w:tcBorders>
              <w:top w:val="single" w:sz="4" w:space="0" w:color="auto"/>
            </w:tcBorders>
            <w:shd w:val="clear" w:color="auto" w:fill="auto"/>
            <w:vAlign w:val="center"/>
          </w:tcPr>
          <w:p w14:paraId="2E6B72B3" w14:textId="0C819207" w:rsidR="00DC3146" w:rsidRPr="002E78EA" w:rsidRDefault="00DC3146" w:rsidP="00421115">
            <w:pPr>
              <w:spacing w:before="0" w:after="0"/>
              <w:jc w:val="center"/>
              <w:rPr>
                <w:sz w:val="20"/>
                <w:szCs w:val="20"/>
              </w:rPr>
            </w:pPr>
            <w:r w:rsidRPr="002E78EA">
              <w:rPr>
                <w:sz w:val="20"/>
                <w:szCs w:val="20"/>
              </w:rPr>
              <w:t>89.2%</w:t>
            </w:r>
          </w:p>
        </w:tc>
        <w:tc>
          <w:tcPr>
            <w:tcW w:w="985" w:type="dxa"/>
            <w:tcBorders>
              <w:top w:val="single" w:sz="4" w:space="0" w:color="auto"/>
            </w:tcBorders>
            <w:shd w:val="clear" w:color="auto" w:fill="auto"/>
            <w:vAlign w:val="center"/>
          </w:tcPr>
          <w:p w14:paraId="6B1C12E5" w14:textId="2977186B" w:rsidR="00DC3146" w:rsidRPr="002E78EA" w:rsidRDefault="00DC3146" w:rsidP="00421115">
            <w:pPr>
              <w:spacing w:before="0" w:after="0"/>
              <w:jc w:val="center"/>
              <w:rPr>
                <w:sz w:val="20"/>
                <w:szCs w:val="20"/>
              </w:rPr>
            </w:pPr>
            <w:r w:rsidRPr="002E78EA">
              <w:rPr>
                <w:sz w:val="20"/>
                <w:szCs w:val="20"/>
              </w:rPr>
              <w:t>00:00:01</w:t>
            </w:r>
          </w:p>
        </w:tc>
        <w:tc>
          <w:tcPr>
            <w:tcW w:w="917" w:type="dxa"/>
            <w:tcBorders>
              <w:top w:val="single" w:sz="4" w:space="0" w:color="auto"/>
            </w:tcBorders>
            <w:shd w:val="clear" w:color="auto" w:fill="auto"/>
            <w:vAlign w:val="center"/>
          </w:tcPr>
          <w:p w14:paraId="2F0DBB2D" w14:textId="68AD80CA" w:rsidR="00DC3146" w:rsidRPr="002E78EA" w:rsidRDefault="00DC3146" w:rsidP="00421115">
            <w:pPr>
              <w:spacing w:before="0" w:after="0"/>
              <w:jc w:val="center"/>
              <w:rPr>
                <w:sz w:val="20"/>
                <w:szCs w:val="20"/>
              </w:rPr>
            </w:pPr>
            <w:r w:rsidRPr="002E78EA">
              <w:rPr>
                <w:sz w:val="20"/>
                <w:szCs w:val="20"/>
              </w:rPr>
              <w:t>false</w:t>
            </w:r>
          </w:p>
        </w:tc>
      </w:tr>
      <w:tr w:rsidR="00421115" w:rsidRPr="00DC3146" w14:paraId="3660A787" w14:textId="77777777" w:rsidTr="00421115">
        <w:tc>
          <w:tcPr>
            <w:tcW w:w="784" w:type="dxa"/>
            <w:shd w:val="clear" w:color="auto" w:fill="auto"/>
            <w:vAlign w:val="center"/>
          </w:tcPr>
          <w:p w14:paraId="71C7630F" w14:textId="5073471A" w:rsidR="00421115" w:rsidRPr="002E78EA" w:rsidRDefault="00421115" w:rsidP="00421115">
            <w:pPr>
              <w:spacing w:before="0" w:after="0"/>
              <w:jc w:val="center"/>
              <w:rPr>
                <w:sz w:val="20"/>
                <w:szCs w:val="20"/>
              </w:rPr>
            </w:pPr>
            <w:r w:rsidRPr="002E78EA">
              <w:rPr>
                <w:sz w:val="20"/>
                <w:szCs w:val="20"/>
              </w:rPr>
              <w:t>2</w:t>
            </w:r>
          </w:p>
        </w:tc>
        <w:tc>
          <w:tcPr>
            <w:tcW w:w="1196" w:type="dxa"/>
            <w:shd w:val="clear" w:color="auto" w:fill="auto"/>
            <w:vAlign w:val="center"/>
          </w:tcPr>
          <w:p w14:paraId="05AEA6B5" w14:textId="77777777" w:rsidR="003D66BD" w:rsidRPr="002E78EA" w:rsidRDefault="003D66BD" w:rsidP="003D66BD">
            <w:pPr>
              <w:spacing w:before="0" w:after="0"/>
              <w:jc w:val="center"/>
              <w:rPr>
                <w:sz w:val="20"/>
                <w:szCs w:val="20"/>
              </w:rPr>
            </w:pPr>
            <w:r w:rsidRPr="002E78EA">
              <w:rPr>
                <w:sz w:val="20"/>
                <w:szCs w:val="20"/>
              </w:rPr>
              <w:t>Removal const.</w:t>
            </w:r>
          </w:p>
          <w:p w14:paraId="09301F47" w14:textId="183E28A7" w:rsidR="00421115" w:rsidRPr="002E78EA" w:rsidRDefault="003D66BD" w:rsidP="003D66BD">
            <w:pPr>
              <w:spacing w:before="0" w:after="0"/>
              <w:jc w:val="center"/>
              <w:rPr>
                <w:sz w:val="20"/>
                <w:szCs w:val="20"/>
              </w:rPr>
            </w:pPr>
            <w:r w:rsidRPr="002E78EA">
              <w:rPr>
                <w:sz w:val="20"/>
                <w:szCs w:val="20"/>
              </w:rPr>
              <w:t>Standardisation</w:t>
            </w:r>
          </w:p>
        </w:tc>
        <w:tc>
          <w:tcPr>
            <w:tcW w:w="990" w:type="dxa"/>
            <w:shd w:val="clear" w:color="auto" w:fill="auto"/>
            <w:vAlign w:val="center"/>
          </w:tcPr>
          <w:p w14:paraId="162C9EC4" w14:textId="5E88BFFC" w:rsidR="00421115" w:rsidRPr="002E78EA" w:rsidRDefault="00421115" w:rsidP="00421115">
            <w:pPr>
              <w:spacing w:before="0" w:after="0"/>
              <w:jc w:val="center"/>
              <w:rPr>
                <w:sz w:val="20"/>
                <w:szCs w:val="20"/>
              </w:rPr>
            </w:pPr>
            <w:r w:rsidRPr="002E78EA">
              <w:rPr>
                <w:sz w:val="20"/>
                <w:szCs w:val="20"/>
              </w:rPr>
              <w:t>Test-Budgeted Statistic</w:t>
            </w:r>
            <w:r w:rsidR="002E78EA">
              <w:rPr>
                <w:sz w:val="20"/>
                <w:szCs w:val="20"/>
              </w:rPr>
              <w:t xml:space="preserve">. </w:t>
            </w:r>
            <w:r w:rsidRPr="002E78EA">
              <w:rPr>
                <w:sz w:val="20"/>
                <w:szCs w:val="20"/>
              </w:rPr>
              <w:t>Equiv</w:t>
            </w:r>
            <w:r w:rsidR="002E78EA">
              <w:rPr>
                <w:sz w:val="20"/>
                <w:szCs w:val="20"/>
              </w:rPr>
              <w:t xml:space="preserve">. </w:t>
            </w:r>
            <w:r w:rsidRPr="002E78EA">
              <w:rPr>
                <w:sz w:val="20"/>
                <w:szCs w:val="20"/>
              </w:rPr>
              <w:t>Signature (SES) algorithm</w:t>
            </w:r>
          </w:p>
        </w:tc>
        <w:tc>
          <w:tcPr>
            <w:tcW w:w="990" w:type="dxa"/>
            <w:shd w:val="clear" w:color="auto" w:fill="auto"/>
            <w:vAlign w:val="center"/>
          </w:tcPr>
          <w:p w14:paraId="48D392FA" w14:textId="5DB08D6D" w:rsidR="00421115" w:rsidRPr="002E78EA" w:rsidRDefault="00421115" w:rsidP="00421115">
            <w:pPr>
              <w:spacing w:before="0" w:after="0"/>
              <w:jc w:val="center"/>
              <w:rPr>
                <w:sz w:val="20"/>
                <w:szCs w:val="20"/>
              </w:rPr>
            </w:pPr>
            <w:r w:rsidRPr="002E78EA">
              <w:rPr>
                <w:sz w:val="20"/>
                <w:szCs w:val="20"/>
              </w:rPr>
              <w:t>maxK = 2, alpha = 0.05, budget = 3 * nvars</w:t>
            </w:r>
          </w:p>
        </w:tc>
        <w:tc>
          <w:tcPr>
            <w:tcW w:w="670" w:type="dxa"/>
            <w:shd w:val="clear" w:color="auto" w:fill="auto"/>
            <w:vAlign w:val="center"/>
          </w:tcPr>
          <w:p w14:paraId="77BA6F7C" w14:textId="44821D74" w:rsidR="00421115" w:rsidRPr="002E78EA" w:rsidRDefault="003D66BD" w:rsidP="00421115">
            <w:pPr>
              <w:spacing w:before="0" w:after="0"/>
              <w:jc w:val="center"/>
              <w:rPr>
                <w:sz w:val="20"/>
                <w:szCs w:val="20"/>
              </w:rPr>
            </w:pPr>
            <w:r w:rsidRPr="002E78EA">
              <w:rPr>
                <w:sz w:val="20"/>
                <w:szCs w:val="20"/>
              </w:rPr>
              <w:t>SVM</w:t>
            </w:r>
          </w:p>
        </w:tc>
        <w:tc>
          <w:tcPr>
            <w:tcW w:w="1640" w:type="dxa"/>
            <w:shd w:val="clear" w:color="auto" w:fill="auto"/>
            <w:vAlign w:val="center"/>
          </w:tcPr>
          <w:p w14:paraId="4653F31D" w14:textId="6909AD13" w:rsidR="00421115" w:rsidRPr="002E78EA" w:rsidRDefault="00421115" w:rsidP="00421115">
            <w:pPr>
              <w:spacing w:before="0" w:after="0"/>
              <w:jc w:val="center"/>
              <w:rPr>
                <w:sz w:val="20"/>
                <w:szCs w:val="20"/>
              </w:rPr>
            </w:pPr>
            <w:r w:rsidRPr="002E78EA">
              <w:rPr>
                <w:sz w:val="20"/>
                <w:szCs w:val="20"/>
              </w:rPr>
              <w:t>kernel = 'Radial Basis Function Kernel', cost = 1.0, gamma = 1.0</w:t>
            </w:r>
          </w:p>
        </w:tc>
        <w:tc>
          <w:tcPr>
            <w:tcW w:w="855" w:type="dxa"/>
            <w:shd w:val="clear" w:color="auto" w:fill="auto"/>
            <w:vAlign w:val="center"/>
          </w:tcPr>
          <w:p w14:paraId="1DA27E2C" w14:textId="3896A26E" w:rsidR="00421115" w:rsidRPr="002E78EA" w:rsidRDefault="00421115" w:rsidP="00421115">
            <w:pPr>
              <w:spacing w:before="0" w:after="0"/>
              <w:jc w:val="center"/>
              <w:rPr>
                <w:sz w:val="20"/>
                <w:szCs w:val="20"/>
              </w:rPr>
            </w:pPr>
            <w:r w:rsidRPr="002E78EA">
              <w:rPr>
                <w:sz w:val="20"/>
                <w:szCs w:val="20"/>
              </w:rPr>
              <w:t>91.1%</w:t>
            </w:r>
          </w:p>
        </w:tc>
        <w:tc>
          <w:tcPr>
            <w:tcW w:w="985" w:type="dxa"/>
            <w:shd w:val="clear" w:color="auto" w:fill="auto"/>
            <w:vAlign w:val="center"/>
          </w:tcPr>
          <w:p w14:paraId="7DCF2144" w14:textId="05DB30E1" w:rsidR="00421115" w:rsidRPr="002E78EA" w:rsidRDefault="00421115" w:rsidP="00421115">
            <w:pPr>
              <w:spacing w:before="0" w:after="0"/>
              <w:jc w:val="center"/>
              <w:rPr>
                <w:sz w:val="20"/>
                <w:szCs w:val="20"/>
              </w:rPr>
            </w:pPr>
            <w:r w:rsidRPr="002E78EA">
              <w:rPr>
                <w:sz w:val="20"/>
                <w:szCs w:val="20"/>
              </w:rPr>
              <w:t>00:00:01</w:t>
            </w:r>
          </w:p>
        </w:tc>
        <w:tc>
          <w:tcPr>
            <w:tcW w:w="917" w:type="dxa"/>
            <w:shd w:val="clear" w:color="auto" w:fill="auto"/>
            <w:vAlign w:val="center"/>
          </w:tcPr>
          <w:p w14:paraId="0E3C3241" w14:textId="44EED273" w:rsidR="00421115" w:rsidRPr="002E78EA" w:rsidRDefault="00421115" w:rsidP="00421115">
            <w:pPr>
              <w:spacing w:before="0" w:after="0"/>
              <w:jc w:val="center"/>
              <w:rPr>
                <w:sz w:val="20"/>
                <w:szCs w:val="20"/>
              </w:rPr>
            </w:pPr>
            <w:r w:rsidRPr="002E78EA">
              <w:rPr>
                <w:sz w:val="20"/>
                <w:szCs w:val="20"/>
              </w:rPr>
              <w:t>false</w:t>
            </w:r>
          </w:p>
        </w:tc>
      </w:tr>
      <w:tr w:rsidR="00421115" w:rsidRPr="00DC3146" w14:paraId="4F6D734A" w14:textId="77777777" w:rsidTr="00421115">
        <w:tc>
          <w:tcPr>
            <w:tcW w:w="784" w:type="dxa"/>
            <w:shd w:val="clear" w:color="auto" w:fill="auto"/>
            <w:vAlign w:val="center"/>
          </w:tcPr>
          <w:p w14:paraId="3507BD8F" w14:textId="717B943F" w:rsidR="00421115" w:rsidRPr="002E78EA" w:rsidRDefault="00421115" w:rsidP="00421115">
            <w:pPr>
              <w:spacing w:before="0" w:after="0"/>
              <w:jc w:val="center"/>
              <w:rPr>
                <w:sz w:val="20"/>
                <w:szCs w:val="20"/>
              </w:rPr>
            </w:pPr>
            <w:r w:rsidRPr="002E78EA">
              <w:rPr>
                <w:sz w:val="20"/>
                <w:szCs w:val="20"/>
              </w:rPr>
              <w:t>3</w:t>
            </w:r>
          </w:p>
        </w:tc>
        <w:tc>
          <w:tcPr>
            <w:tcW w:w="1196" w:type="dxa"/>
            <w:shd w:val="clear" w:color="auto" w:fill="auto"/>
            <w:vAlign w:val="center"/>
          </w:tcPr>
          <w:p w14:paraId="23AA504C" w14:textId="77777777" w:rsidR="003D66BD" w:rsidRPr="002E78EA" w:rsidRDefault="003D66BD" w:rsidP="003D66BD">
            <w:pPr>
              <w:spacing w:before="0" w:after="0"/>
              <w:jc w:val="center"/>
              <w:rPr>
                <w:sz w:val="20"/>
                <w:szCs w:val="20"/>
              </w:rPr>
            </w:pPr>
            <w:r w:rsidRPr="002E78EA">
              <w:rPr>
                <w:sz w:val="20"/>
                <w:szCs w:val="20"/>
              </w:rPr>
              <w:t>Removal const.</w:t>
            </w:r>
          </w:p>
          <w:p w14:paraId="04FFF6C9" w14:textId="57D742B2" w:rsidR="00421115" w:rsidRPr="002E78EA" w:rsidRDefault="003D66BD" w:rsidP="003D66BD">
            <w:pPr>
              <w:spacing w:before="0" w:after="0"/>
              <w:jc w:val="center"/>
              <w:rPr>
                <w:sz w:val="20"/>
                <w:szCs w:val="20"/>
              </w:rPr>
            </w:pPr>
            <w:r w:rsidRPr="002E78EA">
              <w:rPr>
                <w:sz w:val="20"/>
                <w:szCs w:val="20"/>
              </w:rPr>
              <w:t>Standardisation</w:t>
            </w:r>
          </w:p>
        </w:tc>
        <w:tc>
          <w:tcPr>
            <w:tcW w:w="990" w:type="dxa"/>
            <w:shd w:val="clear" w:color="auto" w:fill="auto"/>
            <w:vAlign w:val="center"/>
          </w:tcPr>
          <w:p w14:paraId="6AAB3CB5" w14:textId="77B1DD42" w:rsidR="00421115" w:rsidRPr="002E78EA" w:rsidRDefault="003D66BD" w:rsidP="00421115">
            <w:pPr>
              <w:spacing w:before="0" w:after="0"/>
              <w:jc w:val="center"/>
              <w:rPr>
                <w:sz w:val="20"/>
                <w:szCs w:val="20"/>
              </w:rPr>
            </w:pPr>
            <w:r w:rsidRPr="002E78EA">
              <w:rPr>
                <w:sz w:val="20"/>
                <w:szCs w:val="20"/>
              </w:rPr>
              <w:t>Full</w:t>
            </w:r>
            <w:r w:rsidR="002E78EA">
              <w:rPr>
                <w:sz w:val="20"/>
                <w:szCs w:val="20"/>
              </w:rPr>
              <w:t xml:space="preserve"> </w:t>
            </w:r>
            <w:r w:rsidRPr="002E78EA">
              <w:rPr>
                <w:sz w:val="20"/>
                <w:szCs w:val="20"/>
              </w:rPr>
              <w:t>Selector</w:t>
            </w:r>
          </w:p>
        </w:tc>
        <w:tc>
          <w:tcPr>
            <w:tcW w:w="990" w:type="dxa"/>
            <w:shd w:val="clear" w:color="auto" w:fill="auto"/>
            <w:vAlign w:val="center"/>
          </w:tcPr>
          <w:p w14:paraId="4644D4BA" w14:textId="77777777" w:rsidR="00421115" w:rsidRPr="002E78EA" w:rsidRDefault="00421115" w:rsidP="00421115">
            <w:pPr>
              <w:spacing w:before="0" w:after="0"/>
              <w:jc w:val="center"/>
              <w:rPr>
                <w:sz w:val="20"/>
                <w:szCs w:val="20"/>
              </w:rPr>
            </w:pPr>
          </w:p>
        </w:tc>
        <w:tc>
          <w:tcPr>
            <w:tcW w:w="670" w:type="dxa"/>
            <w:shd w:val="clear" w:color="auto" w:fill="auto"/>
            <w:vAlign w:val="center"/>
          </w:tcPr>
          <w:p w14:paraId="59A1CFC4" w14:textId="6FF89D84" w:rsidR="00421115" w:rsidRPr="002E78EA" w:rsidRDefault="003D66BD" w:rsidP="00421115">
            <w:pPr>
              <w:spacing w:before="0" w:after="0"/>
              <w:jc w:val="center"/>
              <w:rPr>
                <w:sz w:val="20"/>
                <w:szCs w:val="20"/>
              </w:rPr>
            </w:pPr>
            <w:r w:rsidRPr="002E78EA">
              <w:rPr>
                <w:sz w:val="20"/>
                <w:szCs w:val="20"/>
              </w:rPr>
              <w:t>SVM</w:t>
            </w:r>
          </w:p>
        </w:tc>
        <w:tc>
          <w:tcPr>
            <w:tcW w:w="1640" w:type="dxa"/>
            <w:shd w:val="clear" w:color="auto" w:fill="auto"/>
            <w:vAlign w:val="center"/>
          </w:tcPr>
          <w:p w14:paraId="2FAC7722" w14:textId="1ED46FFF" w:rsidR="00421115" w:rsidRPr="002E78EA" w:rsidRDefault="003D66BD" w:rsidP="00421115">
            <w:pPr>
              <w:spacing w:before="0" w:after="0"/>
              <w:jc w:val="center"/>
              <w:rPr>
                <w:sz w:val="20"/>
                <w:szCs w:val="20"/>
              </w:rPr>
            </w:pPr>
            <w:r w:rsidRPr="002E78EA">
              <w:rPr>
                <w:sz w:val="20"/>
                <w:szCs w:val="20"/>
              </w:rPr>
              <w:t>kernel = 'Radial Basis Function Kernel', cost = 1.0, gamma = 1.0</w:t>
            </w:r>
          </w:p>
        </w:tc>
        <w:tc>
          <w:tcPr>
            <w:tcW w:w="855" w:type="dxa"/>
            <w:shd w:val="clear" w:color="auto" w:fill="auto"/>
            <w:vAlign w:val="center"/>
          </w:tcPr>
          <w:p w14:paraId="06632088" w14:textId="07CA59F0" w:rsidR="00421115" w:rsidRPr="002E78EA" w:rsidRDefault="003D66BD" w:rsidP="00421115">
            <w:pPr>
              <w:spacing w:before="0" w:after="0"/>
              <w:jc w:val="center"/>
              <w:rPr>
                <w:sz w:val="20"/>
                <w:szCs w:val="20"/>
              </w:rPr>
            </w:pPr>
            <w:r w:rsidRPr="002E78EA">
              <w:rPr>
                <w:sz w:val="20"/>
                <w:szCs w:val="20"/>
              </w:rPr>
              <w:t>93.8%</w:t>
            </w:r>
          </w:p>
        </w:tc>
        <w:tc>
          <w:tcPr>
            <w:tcW w:w="985" w:type="dxa"/>
            <w:shd w:val="clear" w:color="auto" w:fill="auto"/>
            <w:vAlign w:val="center"/>
          </w:tcPr>
          <w:p w14:paraId="23E3B855" w14:textId="0810E0DB" w:rsidR="00421115" w:rsidRPr="002E78EA" w:rsidRDefault="00421115" w:rsidP="00421115">
            <w:pPr>
              <w:spacing w:before="0" w:after="0"/>
              <w:jc w:val="center"/>
              <w:rPr>
                <w:sz w:val="20"/>
                <w:szCs w:val="20"/>
              </w:rPr>
            </w:pPr>
            <w:r w:rsidRPr="002E78EA">
              <w:rPr>
                <w:sz w:val="20"/>
                <w:szCs w:val="20"/>
              </w:rPr>
              <w:t>00:00:01</w:t>
            </w:r>
          </w:p>
        </w:tc>
        <w:tc>
          <w:tcPr>
            <w:tcW w:w="917" w:type="dxa"/>
            <w:shd w:val="clear" w:color="auto" w:fill="auto"/>
            <w:vAlign w:val="center"/>
          </w:tcPr>
          <w:p w14:paraId="72234DD2" w14:textId="0A8ED3F4" w:rsidR="00421115" w:rsidRPr="002E78EA" w:rsidRDefault="00421115" w:rsidP="00421115">
            <w:pPr>
              <w:spacing w:before="0" w:after="0"/>
              <w:jc w:val="center"/>
              <w:rPr>
                <w:sz w:val="20"/>
                <w:szCs w:val="20"/>
              </w:rPr>
            </w:pPr>
            <w:r w:rsidRPr="002E78EA">
              <w:rPr>
                <w:sz w:val="20"/>
                <w:szCs w:val="20"/>
              </w:rPr>
              <w:t>false</w:t>
            </w:r>
          </w:p>
        </w:tc>
      </w:tr>
      <w:tr w:rsidR="003D66BD" w:rsidRPr="00DC3146" w14:paraId="705F2A12" w14:textId="77777777" w:rsidTr="00421115">
        <w:tc>
          <w:tcPr>
            <w:tcW w:w="784" w:type="dxa"/>
            <w:shd w:val="clear" w:color="auto" w:fill="auto"/>
            <w:vAlign w:val="center"/>
          </w:tcPr>
          <w:p w14:paraId="34ECBD6B" w14:textId="318B5669" w:rsidR="003D66BD" w:rsidRPr="002E78EA" w:rsidRDefault="003D66BD" w:rsidP="003D66BD">
            <w:pPr>
              <w:spacing w:before="0" w:after="0"/>
              <w:jc w:val="center"/>
              <w:rPr>
                <w:sz w:val="20"/>
                <w:szCs w:val="20"/>
              </w:rPr>
            </w:pPr>
            <w:r w:rsidRPr="002E78EA">
              <w:rPr>
                <w:sz w:val="20"/>
                <w:szCs w:val="20"/>
              </w:rPr>
              <w:t>4</w:t>
            </w:r>
          </w:p>
        </w:tc>
        <w:tc>
          <w:tcPr>
            <w:tcW w:w="1196" w:type="dxa"/>
            <w:shd w:val="clear" w:color="auto" w:fill="auto"/>
            <w:vAlign w:val="center"/>
          </w:tcPr>
          <w:p w14:paraId="57D92EF0" w14:textId="77777777" w:rsidR="003D66BD" w:rsidRPr="002E78EA" w:rsidRDefault="003D66BD" w:rsidP="003D66BD">
            <w:pPr>
              <w:spacing w:before="0" w:after="0"/>
              <w:jc w:val="center"/>
              <w:rPr>
                <w:sz w:val="20"/>
                <w:szCs w:val="20"/>
              </w:rPr>
            </w:pPr>
            <w:r w:rsidRPr="002E78EA">
              <w:rPr>
                <w:sz w:val="20"/>
                <w:szCs w:val="20"/>
              </w:rPr>
              <w:t>Removal const.</w:t>
            </w:r>
          </w:p>
          <w:p w14:paraId="792B7C0C" w14:textId="41EAA346" w:rsidR="003D66BD" w:rsidRPr="002E78EA" w:rsidRDefault="003D66BD" w:rsidP="003D66BD">
            <w:pPr>
              <w:spacing w:before="0" w:after="0"/>
              <w:jc w:val="center"/>
              <w:rPr>
                <w:sz w:val="20"/>
                <w:szCs w:val="20"/>
              </w:rPr>
            </w:pPr>
            <w:r w:rsidRPr="002E78EA">
              <w:rPr>
                <w:sz w:val="20"/>
                <w:szCs w:val="20"/>
              </w:rPr>
              <w:t>Standardisation</w:t>
            </w:r>
          </w:p>
        </w:tc>
        <w:tc>
          <w:tcPr>
            <w:tcW w:w="990" w:type="dxa"/>
            <w:shd w:val="clear" w:color="auto" w:fill="auto"/>
            <w:vAlign w:val="center"/>
          </w:tcPr>
          <w:p w14:paraId="1442D1D2" w14:textId="0FF86D18" w:rsidR="003D66BD" w:rsidRPr="002E78EA" w:rsidRDefault="003D66BD" w:rsidP="003D66BD">
            <w:pPr>
              <w:spacing w:before="0" w:after="0"/>
              <w:jc w:val="center"/>
              <w:rPr>
                <w:sz w:val="20"/>
                <w:szCs w:val="20"/>
              </w:rPr>
            </w:pPr>
            <w:r w:rsidRPr="002E78EA">
              <w:rPr>
                <w:sz w:val="20"/>
                <w:szCs w:val="20"/>
              </w:rPr>
              <w:t>Lasso feature selector</w:t>
            </w:r>
          </w:p>
        </w:tc>
        <w:tc>
          <w:tcPr>
            <w:tcW w:w="990" w:type="dxa"/>
            <w:shd w:val="clear" w:color="auto" w:fill="auto"/>
            <w:vAlign w:val="center"/>
          </w:tcPr>
          <w:p w14:paraId="627829B2" w14:textId="1168DA37" w:rsidR="003D66BD" w:rsidRPr="002E78EA" w:rsidRDefault="003D66BD" w:rsidP="003D66BD">
            <w:pPr>
              <w:spacing w:before="0" w:after="0"/>
              <w:jc w:val="center"/>
              <w:rPr>
                <w:sz w:val="20"/>
                <w:szCs w:val="20"/>
              </w:rPr>
            </w:pPr>
            <w:r w:rsidRPr="002E78EA">
              <w:rPr>
                <w:sz w:val="20"/>
                <w:szCs w:val="20"/>
              </w:rPr>
              <w:t>penalty 1.0</w:t>
            </w:r>
          </w:p>
        </w:tc>
        <w:tc>
          <w:tcPr>
            <w:tcW w:w="670" w:type="dxa"/>
            <w:shd w:val="clear" w:color="auto" w:fill="auto"/>
            <w:vAlign w:val="center"/>
          </w:tcPr>
          <w:p w14:paraId="36E48BA6" w14:textId="6044F6D4" w:rsidR="003D66BD" w:rsidRPr="002E78EA" w:rsidRDefault="003D66BD" w:rsidP="003D66BD">
            <w:pPr>
              <w:spacing w:before="0" w:after="0"/>
              <w:jc w:val="center"/>
              <w:rPr>
                <w:sz w:val="20"/>
                <w:szCs w:val="20"/>
              </w:rPr>
            </w:pPr>
            <w:r w:rsidRPr="002E78EA">
              <w:rPr>
                <w:sz w:val="20"/>
                <w:szCs w:val="20"/>
              </w:rPr>
              <w:t>SVM</w:t>
            </w:r>
          </w:p>
        </w:tc>
        <w:tc>
          <w:tcPr>
            <w:tcW w:w="1640" w:type="dxa"/>
            <w:shd w:val="clear" w:color="auto" w:fill="auto"/>
            <w:vAlign w:val="center"/>
          </w:tcPr>
          <w:p w14:paraId="78CE2E0D" w14:textId="2701280C" w:rsidR="003D66BD" w:rsidRPr="002E78EA" w:rsidRDefault="003D66BD" w:rsidP="003D66BD">
            <w:pPr>
              <w:spacing w:before="0" w:after="0"/>
              <w:jc w:val="center"/>
              <w:rPr>
                <w:sz w:val="20"/>
                <w:szCs w:val="20"/>
              </w:rPr>
            </w:pPr>
            <w:r w:rsidRPr="002E78EA">
              <w:rPr>
                <w:sz w:val="20"/>
                <w:szCs w:val="20"/>
              </w:rPr>
              <w:t>kernel = 'Radial Basis Function Kernel', cost = 1.0, gamma = 1.0</w:t>
            </w:r>
          </w:p>
        </w:tc>
        <w:tc>
          <w:tcPr>
            <w:tcW w:w="855" w:type="dxa"/>
            <w:shd w:val="clear" w:color="auto" w:fill="auto"/>
            <w:vAlign w:val="center"/>
          </w:tcPr>
          <w:p w14:paraId="18C9A542" w14:textId="1BCF3D0C" w:rsidR="003D66BD" w:rsidRPr="002E78EA" w:rsidRDefault="003D66BD" w:rsidP="003D66BD">
            <w:pPr>
              <w:spacing w:before="0" w:after="0"/>
              <w:jc w:val="center"/>
              <w:rPr>
                <w:sz w:val="20"/>
                <w:szCs w:val="20"/>
              </w:rPr>
            </w:pPr>
            <w:r w:rsidRPr="002E78EA">
              <w:rPr>
                <w:sz w:val="20"/>
                <w:szCs w:val="20"/>
              </w:rPr>
              <w:t>82.5%</w:t>
            </w:r>
          </w:p>
        </w:tc>
        <w:tc>
          <w:tcPr>
            <w:tcW w:w="985" w:type="dxa"/>
            <w:shd w:val="clear" w:color="auto" w:fill="auto"/>
            <w:vAlign w:val="center"/>
          </w:tcPr>
          <w:p w14:paraId="0AD58443" w14:textId="7DD819C0" w:rsidR="003D66BD" w:rsidRPr="002E78EA" w:rsidRDefault="003D66BD" w:rsidP="003D66BD">
            <w:pPr>
              <w:spacing w:before="0" w:after="0"/>
              <w:jc w:val="center"/>
              <w:rPr>
                <w:sz w:val="20"/>
                <w:szCs w:val="20"/>
              </w:rPr>
            </w:pPr>
            <w:r w:rsidRPr="002E78EA">
              <w:rPr>
                <w:sz w:val="20"/>
                <w:szCs w:val="20"/>
              </w:rPr>
              <w:t>00:00:01</w:t>
            </w:r>
          </w:p>
        </w:tc>
        <w:tc>
          <w:tcPr>
            <w:tcW w:w="917" w:type="dxa"/>
            <w:shd w:val="clear" w:color="auto" w:fill="auto"/>
            <w:vAlign w:val="center"/>
          </w:tcPr>
          <w:p w14:paraId="3C3FA30E" w14:textId="19C173AE" w:rsidR="003D66BD" w:rsidRPr="002E78EA" w:rsidRDefault="003D66BD" w:rsidP="003D66BD">
            <w:pPr>
              <w:spacing w:before="0" w:after="0"/>
              <w:jc w:val="center"/>
              <w:rPr>
                <w:sz w:val="20"/>
                <w:szCs w:val="20"/>
              </w:rPr>
            </w:pPr>
            <w:r w:rsidRPr="002E78EA">
              <w:rPr>
                <w:sz w:val="20"/>
                <w:szCs w:val="20"/>
              </w:rPr>
              <w:t>false</w:t>
            </w:r>
          </w:p>
        </w:tc>
      </w:tr>
      <w:tr w:rsidR="008D02A3" w:rsidRPr="00DC3146" w14:paraId="669905ED" w14:textId="77777777" w:rsidTr="002E78EA">
        <w:tc>
          <w:tcPr>
            <w:tcW w:w="784" w:type="dxa"/>
            <w:tcBorders>
              <w:bottom w:val="single" w:sz="4" w:space="0" w:color="auto"/>
            </w:tcBorders>
            <w:shd w:val="clear" w:color="auto" w:fill="auto"/>
            <w:vAlign w:val="center"/>
          </w:tcPr>
          <w:p w14:paraId="0DDDFA84" w14:textId="2D7F8D63" w:rsidR="008D02A3" w:rsidRPr="002E78EA" w:rsidRDefault="008D02A3" w:rsidP="008D02A3">
            <w:pPr>
              <w:spacing w:before="0" w:after="0"/>
              <w:jc w:val="center"/>
              <w:rPr>
                <w:sz w:val="20"/>
                <w:szCs w:val="20"/>
              </w:rPr>
            </w:pPr>
            <w:r w:rsidRPr="002E78EA">
              <w:rPr>
                <w:sz w:val="20"/>
                <w:szCs w:val="20"/>
              </w:rPr>
              <w:t>5</w:t>
            </w:r>
          </w:p>
        </w:tc>
        <w:tc>
          <w:tcPr>
            <w:tcW w:w="1196" w:type="dxa"/>
            <w:tcBorders>
              <w:bottom w:val="single" w:sz="4" w:space="0" w:color="auto"/>
            </w:tcBorders>
            <w:shd w:val="clear" w:color="auto" w:fill="auto"/>
            <w:vAlign w:val="center"/>
          </w:tcPr>
          <w:p w14:paraId="62286BA5" w14:textId="77777777" w:rsidR="008D02A3" w:rsidRPr="002E78EA" w:rsidRDefault="008D02A3" w:rsidP="008D02A3">
            <w:pPr>
              <w:spacing w:before="0" w:after="0"/>
              <w:jc w:val="center"/>
              <w:rPr>
                <w:sz w:val="20"/>
                <w:szCs w:val="20"/>
              </w:rPr>
            </w:pPr>
            <w:r w:rsidRPr="002E78EA">
              <w:rPr>
                <w:sz w:val="20"/>
                <w:szCs w:val="20"/>
              </w:rPr>
              <w:t>Removal const.</w:t>
            </w:r>
          </w:p>
          <w:p w14:paraId="17E044BD" w14:textId="43B67FD1" w:rsidR="008D02A3" w:rsidRPr="002E78EA" w:rsidRDefault="008D02A3" w:rsidP="008D02A3">
            <w:pPr>
              <w:spacing w:before="0" w:after="0"/>
              <w:jc w:val="center"/>
              <w:rPr>
                <w:sz w:val="20"/>
                <w:szCs w:val="20"/>
              </w:rPr>
            </w:pPr>
            <w:r w:rsidRPr="002E78EA">
              <w:rPr>
                <w:sz w:val="20"/>
                <w:szCs w:val="20"/>
              </w:rPr>
              <w:t>Standardisation</w:t>
            </w:r>
          </w:p>
        </w:tc>
        <w:tc>
          <w:tcPr>
            <w:tcW w:w="990" w:type="dxa"/>
            <w:tcBorders>
              <w:bottom w:val="single" w:sz="4" w:space="0" w:color="auto"/>
            </w:tcBorders>
            <w:shd w:val="clear" w:color="auto" w:fill="auto"/>
            <w:vAlign w:val="center"/>
          </w:tcPr>
          <w:p w14:paraId="11B9D5A3" w14:textId="4B525DD3" w:rsidR="008D02A3" w:rsidRPr="002E78EA" w:rsidRDefault="008D02A3" w:rsidP="008D02A3">
            <w:pPr>
              <w:spacing w:before="0" w:after="0"/>
              <w:jc w:val="center"/>
              <w:rPr>
                <w:sz w:val="20"/>
                <w:szCs w:val="20"/>
              </w:rPr>
            </w:pPr>
            <w:r w:rsidRPr="002E78EA">
              <w:rPr>
                <w:sz w:val="20"/>
                <w:szCs w:val="20"/>
              </w:rPr>
              <w:t>Lasso feature selector</w:t>
            </w:r>
          </w:p>
        </w:tc>
        <w:tc>
          <w:tcPr>
            <w:tcW w:w="990" w:type="dxa"/>
            <w:tcBorders>
              <w:bottom w:val="single" w:sz="4" w:space="0" w:color="auto"/>
            </w:tcBorders>
            <w:shd w:val="clear" w:color="auto" w:fill="auto"/>
            <w:vAlign w:val="center"/>
          </w:tcPr>
          <w:p w14:paraId="214592ED" w14:textId="31E64CE2" w:rsidR="008D02A3" w:rsidRPr="002E78EA" w:rsidRDefault="008D02A3" w:rsidP="008D02A3">
            <w:pPr>
              <w:spacing w:before="0" w:after="0"/>
              <w:jc w:val="center"/>
              <w:rPr>
                <w:sz w:val="20"/>
                <w:szCs w:val="20"/>
              </w:rPr>
            </w:pPr>
            <w:r w:rsidRPr="002E78EA">
              <w:rPr>
                <w:sz w:val="20"/>
                <w:szCs w:val="20"/>
              </w:rPr>
              <w:t>penalty 1.0</w:t>
            </w:r>
          </w:p>
        </w:tc>
        <w:tc>
          <w:tcPr>
            <w:tcW w:w="670" w:type="dxa"/>
            <w:tcBorders>
              <w:bottom w:val="single" w:sz="4" w:space="0" w:color="auto"/>
            </w:tcBorders>
            <w:shd w:val="clear" w:color="auto" w:fill="auto"/>
            <w:vAlign w:val="center"/>
          </w:tcPr>
          <w:p w14:paraId="0522573B" w14:textId="6B203CC9" w:rsidR="008D02A3" w:rsidRPr="002E78EA" w:rsidRDefault="008D02A3" w:rsidP="008D02A3">
            <w:pPr>
              <w:spacing w:before="0" w:after="0"/>
              <w:jc w:val="center"/>
              <w:rPr>
                <w:sz w:val="20"/>
                <w:szCs w:val="20"/>
              </w:rPr>
            </w:pPr>
            <w:r w:rsidRPr="002E78EA">
              <w:rPr>
                <w:sz w:val="20"/>
                <w:szCs w:val="20"/>
              </w:rPr>
              <w:t>SVM</w:t>
            </w:r>
          </w:p>
        </w:tc>
        <w:tc>
          <w:tcPr>
            <w:tcW w:w="1640" w:type="dxa"/>
            <w:tcBorders>
              <w:bottom w:val="single" w:sz="4" w:space="0" w:color="auto"/>
            </w:tcBorders>
            <w:shd w:val="clear" w:color="auto" w:fill="auto"/>
            <w:vAlign w:val="center"/>
          </w:tcPr>
          <w:p w14:paraId="0237845D" w14:textId="77777777" w:rsidR="008D02A3" w:rsidRPr="002E78EA" w:rsidRDefault="008D02A3" w:rsidP="008D02A3">
            <w:pPr>
              <w:spacing w:before="0" w:after="0"/>
              <w:jc w:val="center"/>
              <w:rPr>
                <w:sz w:val="20"/>
                <w:szCs w:val="20"/>
              </w:rPr>
            </w:pPr>
            <w:r w:rsidRPr="002E78EA">
              <w:rPr>
                <w:sz w:val="20"/>
                <w:szCs w:val="20"/>
              </w:rPr>
              <w:t>kernel = Linear Kernel.</w:t>
            </w:r>
          </w:p>
          <w:p w14:paraId="117930B4" w14:textId="16A578AC" w:rsidR="008D02A3" w:rsidRPr="002E78EA" w:rsidRDefault="008D02A3" w:rsidP="008D02A3">
            <w:pPr>
              <w:spacing w:before="0" w:after="0"/>
              <w:jc w:val="center"/>
              <w:rPr>
                <w:sz w:val="20"/>
                <w:szCs w:val="20"/>
              </w:rPr>
            </w:pPr>
            <w:r w:rsidRPr="002E78EA">
              <w:rPr>
                <w:sz w:val="20"/>
                <w:szCs w:val="20"/>
              </w:rPr>
              <w:t>Cost = 1.0</w:t>
            </w:r>
          </w:p>
        </w:tc>
        <w:tc>
          <w:tcPr>
            <w:tcW w:w="855" w:type="dxa"/>
            <w:tcBorders>
              <w:bottom w:val="single" w:sz="4" w:space="0" w:color="auto"/>
            </w:tcBorders>
            <w:shd w:val="clear" w:color="auto" w:fill="auto"/>
            <w:vAlign w:val="center"/>
          </w:tcPr>
          <w:p w14:paraId="714E1AB1" w14:textId="042FC6A9" w:rsidR="008D02A3" w:rsidRPr="002E78EA" w:rsidRDefault="008D02A3" w:rsidP="008D02A3">
            <w:pPr>
              <w:spacing w:before="0" w:after="0"/>
              <w:jc w:val="center"/>
              <w:rPr>
                <w:sz w:val="20"/>
                <w:szCs w:val="20"/>
              </w:rPr>
            </w:pPr>
            <w:r w:rsidRPr="002E78EA">
              <w:rPr>
                <w:sz w:val="20"/>
                <w:szCs w:val="20"/>
              </w:rPr>
              <w:t>91.6%</w:t>
            </w:r>
          </w:p>
        </w:tc>
        <w:tc>
          <w:tcPr>
            <w:tcW w:w="985" w:type="dxa"/>
            <w:tcBorders>
              <w:bottom w:val="single" w:sz="4" w:space="0" w:color="auto"/>
            </w:tcBorders>
            <w:shd w:val="clear" w:color="auto" w:fill="auto"/>
            <w:vAlign w:val="center"/>
          </w:tcPr>
          <w:p w14:paraId="5C62E612" w14:textId="4A70378F" w:rsidR="008D02A3" w:rsidRPr="002E78EA" w:rsidRDefault="008D02A3" w:rsidP="008D02A3">
            <w:pPr>
              <w:spacing w:before="0" w:after="0"/>
              <w:jc w:val="center"/>
              <w:rPr>
                <w:sz w:val="20"/>
                <w:szCs w:val="20"/>
              </w:rPr>
            </w:pPr>
            <w:r w:rsidRPr="002E78EA">
              <w:rPr>
                <w:sz w:val="20"/>
                <w:szCs w:val="20"/>
              </w:rPr>
              <w:t>00:00:01</w:t>
            </w:r>
          </w:p>
        </w:tc>
        <w:tc>
          <w:tcPr>
            <w:tcW w:w="917" w:type="dxa"/>
            <w:tcBorders>
              <w:bottom w:val="single" w:sz="4" w:space="0" w:color="auto"/>
            </w:tcBorders>
            <w:shd w:val="clear" w:color="auto" w:fill="auto"/>
            <w:vAlign w:val="center"/>
          </w:tcPr>
          <w:p w14:paraId="59211E6C" w14:textId="55634CB7" w:rsidR="008D02A3" w:rsidRPr="002E78EA" w:rsidRDefault="008D02A3" w:rsidP="008D02A3">
            <w:pPr>
              <w:spacing w:before="0" w:after="0"/>
              <w:jc w:val="center"/>
              <w:rPr>
                <w:sz w:val="20"/>
                <w:szCs w:val="20"/>
              </w:rPr>
            </w:pPr>
            <w:r w:rsidRPr="002E78EA">
              <w:rPr>
                <w:sz w:val="20"/>
                <w:szCs w:val="20"/>
              </w:rPr>
              <w:t>false</w:t>
            </w:r>
          </w:p>
        </w:tc>
      </w:tr>
      <w:tr w:rsidR="002E78EA" w:rsidRPr="00DC3146" w14:paraId="78CC339F" w14:textId="77777777" w:rsidTr="002E78EA">
        <w:tc>
          <w:tcPr>
            <w:tcW w:w="9027" w:type="dxa"/>
            <w:gridSpan w:val="9"/>
            <w:tcBorders>
              <w:top w:val="single" w:sz="4" w:space="0" w:color="auto"/>
              <w:bottom w:val="nil"/>
            </w:tcBorders>
            <w:shd w:val="clear" w:color="auto" w:fill="auto"/>
          </w:tcPr>
          <w:p w14:paraId="34429148" w14:textId="3F7CD5C1" w:rsidR="002E78EA" w:rsidRPr="002E78EA" w:rsidRDefault="002E78EA" w:rsidP="002E78EA">
            <w:pPr>
              <w:spacing w:before="0" w:after="0"/>
              <w:rPr>
                <w:sz w:val="20"/>
                <w:szCs w:val="20"/>
              </w:rPr>
            </w:pPr>
            <w:r>
              <w:rPr>
                <w:sz w:val="20"/>
                <w:szCs w:val="20"/>
              </w:rPr>
              <w:t>NOTE: Explanation of preprocessing is done as according to all ML used. Different feature selection algorithm are represented by “DFA”. HPM = Represents the hyperparameter changed in fitting the model for best performance; HPME = Represents the changes in hyperparameter made for fitting the model accordingly; %PER=Shows the performance of a model individually. TIME = Time to perform the model.</w:t>
            </w:r>
          </w:p>
        </w:tc>
      </w:tr>
    </w:tbl>
    <w:p w14:paraId="5050529F" w14:textId="77777777" w:rsidR="00DC3146" w:rsidRPr="00DC3146" w:rsidRDefault="00DC3146" w:rsidP="00DC3146"/>
    <w:sectPr w:rsidR="00DC3146" w:rsidRPr="00DC3146" w:rsidSect="003919FC">
      <w:pgSz w:w="11907" w:h="16840"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A789C1" w14:textId="77777777" w:rsidR="001803EC" w:rsidRDefault="001803EC" w:rsidP="00424A69">
      <w:pPr>
        <w:spacing w:before="0" w:after="0"/>
      </w:pPr>
      <w:r>
        <w:separator/>
      </w:r>
    </w:p>
  </w:endnote>
  <w:endnote w:type="continuationSeparator" w:id="0">
    <w:p w14:paraId="0CCD3584" w14:textId="77777777" w:rsidR="001803EC" w:rsidRDefault="001803EC" w:rsidP="00424A69">
      <w:pPr>
        <w:spacing w:before="0" w:after="0"/>
      </w:pPr>
      <w:r>
        <w:continuationSeparator/>
      </w:r>
    </w:p>
  </w:endnote>
  <w:endnote w:type="continuationNotice" w:id="1">
    <w:p w14:paraId="6200E765" w14:textId="77777777" w:rsidR="001803EC" w:rsidRDefault="001803EC">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IDFont+F4">
    <w:altName w:val="Yu Gothic"/>
    <w:panose1 w:val="00000000000000000000"/>
    <w:charset w:val="80"/>
    <w:family w:val="auto"/>
    <w:notTrueType/>
    <w:pitch w:val="default"/>
    <w:sig w:usb0="00000001"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6606370"/>
      <w:docPartObj>
        <w:docPartGallery w:val="Page Numbers (Bottom of Page)"/>
        <w:docPartUnique/>
      </w:docPartObj>
    </w:sdtPr>
    <w:sdtEndPr>
      <w:rPr>
        <w:color w:val="7F7F7F" w:themeColor="background1" w:themeShade="7F"/>
        <w:spacing w:val="60"/>
      </w:rPr>
    </w:sdtEndPr>
    <w:sdtContent>
      <w:p w14:paraId="31F5ABF8" w14:textId="1588ACAA" w:rsidR="008D7D41" w:rsidRDefault="008D7D41">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013CBD23" w14:textId="77777777" w:rsidR="00D0649A" w:rsidRDefault="00D0649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9432F6" w14:textId="77777777" w:rsidR="001803EC" w:rsidRDefault="001803EC" w:rsidP="00424A69">
      <w:pPr>
        <w:spacing w:before="0" w:after="0"/>
      </w:pPr>
      <w:r>
        <w:separator/>
      </w:r>
    </w:p>
  </w:footnote>
  <w:footnote w:type="continuationSeparator" w:id="0">
    <w:p w14:paraId="7EDBDF38" w14:textId="77777777" w:rsidR="001803EC" w:rsidRDefault="001803EC" w:rsidP="00424A69">
      <w:pPr>
        <w:spacing w:before="0" w:after="0"/>
      </w:pPr>
      <w:r>
        <w:continuationSeparator/>
      </w:r>
    </w:p>
  </w:footnote>
  <w:footnote w:type="continuationNotice" w:id="1">
    <w:p w14:paraId="6DED38A3" w14:textId="77777777" w:rsidR="001803EC" w:rsidRDefault="001803EC">
      <w:pPr>
        <w:spacing w:before="0" w:after="0"/>
      </w:pPr>
    </w:p>
  </w:footnote>
  <w:footnote w:id="2">
    <w:p w14:paraId="45D4F3E5" w14:textId="77777777" w:rsidR="0085374E" w:rsidRPr="00B616B3" w:rsidRDefault="0085374E" w:rsidP="0085374E">
      <w:pPr>
        <w:pStyle w:val="FootnoteText"/>
        <w:rPr>
          <w:sz w:val="18"/>
          <w:szCs w:val="18"/>
        </w:rPr>
      </w:pPr>
      <w:r w:rsidRPr="006E33E3">
        <w:rPr>
          <w:rStyle w:val="FootnoteReference"/>
        </w:rPr>
        <w:footnoteRef/>
      </w:r>
      <w:r w:rsidRPr="00B616B3">
        <w:rPr>
          <w:sz w:val="18"/>
          <w:szCs w:val="18"/>
        </w:rPr>
        <w:t xml:space="preserve"> Using current component state information (signal and data processing) to conduct appropriate actions based on signals and data.</w:t>
      </w:r>
    </w:p>
  </w:footnote>
  <w:footnote w:id="3">
    <w:p w14:paraId="159D6AEA" w14:textId="77777777" w:rsidR="0085374E" w:rsidRDefault="0085374E" w:rsidP="0085374E">
      <w:pPr>
        <w:pStyle w:val="FootnoteText"/>
      </w:pPr>
      <w:r w:rsidRPr="006E33E3">
        <w:rPr>
          <w:rStyle w:val="FootnoteReference"/>
        </w:rPr>
        <w:footnoteRef/>
      </w:r>
      <w:r w:rsidRPr="00B616B3">
        <w:rPr>
          <w:sz w:val="18"/>
          <w:szCs w:val="18"/>
        </w:rPr>
        <w:t xml:space="preserve"> Using current and prognostic information, like the remaining useful lifetime of components, to optimally schedule maintenance actions.</w:t>
      </w:r>
    </w:p>
  </w:footnote>
  <w:footnote w:id="4">
    <w:p w14:paraId="531B5ADD" w14:textId="77777777" w:rsidR="0085374E" w:rsidRDefault="0085374E" w:rsidP="0085374E">
      <w:pPr>
        <w:pStyle w:val="FootnoteText"/>
      </w:pPr>
      <w:r w:rsidRPr="006E33E3">
        <w:rPr>
          <w:rStyle w:val="FootnoteReference"/>
        </w:rPr>
        <w:footnoteRef/>
      </w:r>
      <w:r w:rsidRPr="00322EBD">
        <w:rPr>
          <w:sz w:val="18"/>
          <w:szCs w:val="18"/>
        </w:rPr>
        <w:t xml:space="preserve"> The failure of one subsystem results in the possible opportunity to undertake maintenance on other subsystems (opportunistic maintenance)</w:t>
      </w:r>
      <w:r>
        <w:rPr>
          <w:sz w:val="18"/>
          <w:szCs w:val="18"/>
        </w:rPr>
        <w:t>.</w:t>
      </w:r>
    </w:p>
  </w:footnote>
  <w:footnote w:id="5">
    <w:p w14:paraId="5B79B18A" w14:textId="77777777" w:rsidR="0085374E" w:rsidRPr="00F847F5" w:rsidRDefault="0085374E" w:rsidP="0085374E">
      <w:pPr>
        <w:pStyle w:val="FootnoteText"/>
      </w:pPr>
      <w:r w:rsidRPr="006E33E3">
        <w:rPr>
          <w:rStyle w:val="FootnoteReference"/>
        </w:rPr>
        <w:footnoteRef/>
      </w:r>
      <w:r>
        <w:t xml:space="preserve"> </w:t>
      </w:r>
      <w:r w:rsidRPr="00565021">
        <w:rPr>
          <w:sz w:val="18"/>
        </w:rPr>
        <w:t>Design Out Maintenance aims to redesign those parts of the equipment which consume high levels of maintenance effort or spares cost or which have unacceptably high failure rates</w:t>
      </w:r>
      <w:r>
        <w:rPr>
          <w:sz w:val="18"/>
        </w:rPr>
        <w:t>.</w:t>
      </w:r>
    </w:p>
  </w:footnote>
  <w:footnote w:id="6">
    <w:p w14:paraId="18A11EAC" w14:textId="1B4131D7" w:rsidR="002E78EA" w:rsidRPr="002E78EA" w:rsidRDefault="002E78EA">
      <w:pPr>
        <w:pStyle w:val="FootnoteText"/>
        <w:rPr>
          <w:lang w:val="en-GB"/>
        </w:rPr>
      </w:pPr>
      <w:r>
        <w:rPr>
          <w:rStyle w:val="FootnoteReference"/>
        </w:rPr>
        <w:footnoteRef/>
      </w:r>
      <w:r>
        <w:t xml:space="preserve"> </w:t>
      </w:r>
      <w:hyperlink r:id="rId1" w:history="1">
        <w:r w:rsidRPr="00DB588B">
          <w:rPr>
            <w:rStyle w:val="Hyperlink"/>
          </w:rPr>
          <w:t>https://app.jadbio.com/</w:t>
        </w:r>
      </w:hyperlink>
      <w:r>
        <w:t xml:space="preserve"> Performance of a model was conducted by JADBio version 1.4.38 on an opening saddle dataset.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99586D"/>
    <w:multiLevelType w:val="hybridMultilevel"/>
    <w:tmpl w:val="577EF3A0"/>
    <w:lvl w:ilvl="0" w:tplc="3CD07E28">
      <w:start w:val="117"/>
      <w:numFmt w:val="bullet"/>
      <w:lvlText w:val="-"/>
      <w:lvlJc w:val="left"/>
      <w:pPr>
        <w:ind w:left="720" w:hanging="360"/>
      </w:pPr>
      <w:rPr>
        <w:rFonts w:ascii="Garamond" w:eastAsiaTheme="minorHAnsi" w:hAnsi="Garamond" w:cstheme="minorBidi"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 w15:restartNumberingAfterBreak="0">
    <w:nsid w:val="15E643E8"/>
    <w:multiLevelType w:val="hybridMultilevel"/>
    <w:tmpl w:val="D4CE997E"/>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2" w15:restartNumberingAfterBreak="0">
    <w:nsid w:val="1B996DC1"/>
    <w:multiLevelType w:val="hybridMultilevel"/>
    <w:tmpl w:val="D0ACFB5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D11544F"/>
    <w:multiLevelType w:val="hybridMultilevel"/>
    <w:tmpl w:val="A84629E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33A109A"/>
    <w:multiLevelType w:val="hybridMultilevel"/>
    <w:tmpl w:val="10141E04"/>
    <w:lvl w:ilvl="0" w:tplc="D5C46712">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5" w15:restartNumberingAfterBreak="0">
    <w:nsid w:val="245A38FA"/>
    <w:multiLevelType w:val="hybridMultilevel"/>
    <w:tmpl w:val="C4CE9762"/>
    <w:lvl w:ilvl="0" w:tplc="1B04BE08">
      <w:start w:val="10"/>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286D0A40"/>
    <w:multiLevelType w:val="hybridMultilevel"/>
    <w:tmpl w:val="CA605FE2"/>
    <w:lvl w:ilvl="0" w:tplc="CC56B8AE">
      <w:numFmt w:val="bullet"/>
      <w:lvlText w:val="–"/>
      <w:lvlJc w:val="left"/>
      <w:pPr>
        <w:ind w:left="720" w:hanging="360"/>
      </w:pPr>
      <w:rPr>
        <w:rFonts w:ascii="Garamond" w:eastAsiaTheme="minorHAnsi" w:hAnsi="Garamond" w:cs="Cambria" w:hint="default"/>
        <w:color w:val="auto"/>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7" w15:restartNumberingAfterBreak="0">
    <w:nsid w:val="2B2E3E31"/>
    <w:multiLevelType w:val="hybridMultilevel"/>
    <w:tmpl w:val="F2286A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E06477C"/>
    <w:multiLevelType w:val="hybridMultilevel"/>
    <w:tmpl w:val="B6CE920A"/>
    <w:lvl w:ilvl="0" w:tplc="FD5681B0">
      <w:start w:val="65"/>
      <w:numFmt w:val="bullet"/>
      <w:lvlText w:val="-"/>
      <w:lvlJc w:val="left"/>
      <w:pPr>
        <w:ind w:left="720" w:hanging="360"/>
      </w:pPr>
      <w:rPr>
        <w:rFonts w:ascii="Garamond" w:eastAsiaTheme="minorHAnsi" w:hAnsi="Garamond" w:cstheme="minorBidi"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9" w15:restartNumberingAfterBreak="0">
    <w:nsid w:val="30921F1C"/>
    <w:multiLevelType w:val="hybridMultilevel"/>
    <w:tmpl w:val="E4FAEF76"/>
    <w:lvl w:ilvl="0" w:tplc="66568C40">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0" w15:restartNumberingAfterBreak="0">
    <w:nsid w:val="344029C7"/>
    <w:multiLevelType w:val="hybridMultilevel"/>
    <w:tmpl w:val="C60AEB04"/>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1" w15:restartNumberingAfterBreak="0">
    <w:nsid w:val="35E267AA"/>
    <w:multiLevelType w:val="hybridMultilevel"/>
    <w:tmpl w:val="92BE09D2"/>
    <w:lvl w:ilvl="0" w:tplc="D5C46712">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2" w15:restartNumberingAfterBreak="0">
    <w:nsid w:val="3A08754F"/>
    <w:multiLevelType w:val="hybridMultilevel"/>
    <w:tmpl w:val="DF123F2E"/>
    <w:lvl w:ilvl="0" w:tplc="68C6FA74">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3" w15:restartNumberingAfterBreak="0">
    <w:nsid w:val="3BD06191"/>
    <w:multiLevelType w:val="hybridMultilevel"/>
    <w:tmpl w:val="92BEF17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0A11426"/>
    <w:multiLevelType w:val="hybridMultilevel"/>
    <w:tmpl w:val="7370F6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7EE2974"/>
    <w:multiLevelType w:val="hybridMultilevel"/>
    <w:tmpl w:val="C0F4E04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494B7FB1"/>
    <w:multiLevelType w:val="hybridMultilevel"/>
    <w:tmpl w:val="034E2AC8"/>
    <w:lvl w:ilvl="0" w:tplc="EFA2A146">
      <w:start w:val="1"/>
      <w:numFmt w:val="decimal"/>
      <w:lvlText w:val="%1."/>
      <w:lvlJc w:val="lef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7" w15:restartNumberingAfterBreak="0">
    <w:nsid w:val="4A1018B2"/>
    <w:multiLevelType w:val="hybridMultilevel"/>
    <w:tmpl w:val="3DA2FDF2"/>
    <w:lvl w:ilvl="0" w:tplc="241A000F">
      <w:start w:val="1"/>
      <w:numFmt w:val="decimal"/>
      <w:lvlText w:val="%1."/>
      <w:lvlJc w:val="left"/>
      <w:pPr>
        <w:ind w:left="1287" w:hanging="360"/>
      </w:pPr>
    </w:lvl>
    <w:lvl w:ilvl="1" w:tplc="241A0019" w:tentative="1">
      <w:start w:val="1"/>
      <w:numFmt w:val="lowerLetter"/>
      <w:lvlText w:val="%2."/>
      <w:lvlJc w:val="left"/>
      <w:pPr>
        <w:ind w:left="2007" w:hanging="360"/>
      </w:pPr>
    </w:lvl>
    <w:lvl w:ilvl="2" w:tplc="241A001B" w:tentative="1">
      <w:start w:val="1"/>
      <w:numFmt w:val="lowerRoman"/>
      <w:lvlText w:val="%3."/>
      <w:lvlJc w:val="right"/>
      <w:pPr>
        <w:ind w:left="2727" w:hanging="180"/>
      </w:pPr>
    </w:lvl>
    <w:lvl w:ilvl="3" w:tplc="241A000F" w:tentative="1">
      <w:start w:val="1"/>
      <w:numFmt w:val="decimal"/>
      <w:lvlText w:val="%4."/>
      <w:lvlJc w:val="left"/>
      <w:pPr>
        <w:ind w:left="3447" w:hanging="360"/>
      </w:pPr>
    </w:lvl>
    <w:lvl w:ilvl="4" w:tplc="241A0019" w:tentative="1">
      <w:start w:val="1"/>
      <w:numFmt w:val="lowerLetter"/>
      <w:lvlText w:val="%5."/>
      <w:lvlJc w:val="left"/>
      <w:pPr>
        <w:ind w:left="4167" w:hanging="360"/>
      </w:pPr>
    </w:lvl>
    <w:lvl w:ilvl="5" w:tplc="241A001B" w:tentative="1">
      <w:start w:val="1"/>
      <w:numFmt w:val="lowerRoman"/>
      <w:lvlText w:val="%6."/>
      <w:lvlJc w:val="right"/>
      <w:pPr>
        <w:ind w:left="4887" w:hanging="180"/>
      </w:pPr>
    </w:lvl>
    <w:lvl w:ilvl="6" w:tplc="241A000F" w:tentative="1">
      <w:start w:val="1"/>
      <w:numFmt w:val="decimal"/>
      <w:lvlText w:val="%7."/>
      <w:lvlJc w:val="left"/>
      <w:pPr>
        <w:ind w:left="5607" w:hanging="360"/>
      </w:pPr>
    </w:lvl>
    <w:lvl w:ilvl="7" w:tplc="241A0019" w:tentative="1">
      <w:start w:val="1"/>
      <w:numFmt w:val="lowerLetter"/>
      <w:lvlText w:val="%8."/>
      <w:lvlJc w:val="left"/>
      <w:pPr>
        <w:ind w:left="6327" w:hanging="360"/>
      </w:pPr>
    </w:lvl>
    <w:lvl w:ilvl="8" w:tplc="241A001B" w:tentative="1">
      <w:start w:val="1"/>
      <w:numFmt w:val="lowerRoman"/>
      <w:lvlText w:val="%9."/>
      <w:lvlJc w:val="right"/>
      <w:pPr>
        <w:ind w:left="7047" w:hanging="180"/>
      </w:pPr>
    </w:lvl>
  </w:abstractNum>
  <w:abstractNum w:abstractNumId="18" w15:restartNumberingAfterBreak="0">
    <w:nsid w:val="4FBB7CAA"/>
    <w:multiLevelType w:val="hybridMultilevel"/>
    <w:tmpl w:val="F190C0A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5089542A"/>
    <w:multiLevelType w:val="hybridMultilevel"/>
    <w:tmpl w:val="4D0879A2"/>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0" w15:restartNumberingAfterBreak="0">
    <w:nsid w:val="50F87692"/>
    <w:multiLevelType w:val="hybridMultilevel"/>
    <w:tmpl w:val="4844E220"/>
    <w:lvl w:ilvl="0" w:tplc="2068929E">
      <w:numFmt w:val="bullet"/>
      <w:lvlText w:val="–"/>
      <w:lvlJc w:val="left"/>
      <w:pPr>
        <w:ind w:left="720" w:hanging="360"/>
      </w:pPr>
      <w:rPr>
        <w:rFonts w:ascii="Calibri" w:eastAsiaTheme="minorHAnsi" w:hAnsi="Calibri" w:cs="Calibri"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1" w15:restartNumberingAfterBreak="0">
    <w:nsid w:val="56D15682"/>
    <w:multiLevelType w:val="hybridMultilevel"/>
    <w:tmpl w:val="B1B8671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70F122D"/>
    <w:multiLevelType w:val="hybridMultilevel"/>
    <w:tmpl w:val="F8B27442"/>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3" w15:restartNumberingAfterBreak="0">
    <w:nsid w:val="57C72353"/>
    <w:multiLevelType w:val="hybridMultilevel"/>
    <w:tmpl w:val="C3423426"/>
    <w:lvl w:ilvl="0" w:tplc="241A0001">
      <w:start w:val="1"/>
      <w:numFmt w:val="bullet"/>
      <w:lvlText w:val=""/>
      <w:lvlJc w:val="left"/>
      <w:pPr>
        <w:ind w:left="1287" w:hanging="360"/>
      </w:pPr>
      <w:rPr>
        <w:rFonts w:ascii="Symbol" w:hAnsi="Symbol" w:hint="default"/>
      </w:rPr>
    </w:lvl>
    <w:lvl w:ilvl="1" w:tplc="241A0003" w:tentative="1">
      <w:start w:val="1"/>
      <w:numFmt w:val="bullet"/>
      <w:lvlText w:val="o"/>
      <w:lvlJc w:val="left"/>
      <w:pPr>
        <w:ind w:left="2007" w:hanging="360"/>
      </w:pPr>
      <w:rPr>
        <w:rFonts w:ascii="Courier New" w:hAnsi="Courier New" w:cs="Courier New" w:hint="default"/>
      </w:rPr>
    </w:lvl>
    <w:lvl w:ilvl="2" w:tplc="241A0005" w:tentative="1">
      <w:start w:val="1"/>
      <w:numFmt w:val="bullet"/>
      <w:lvlText w:val=""/>
      <w:lvlJc w:val="left"/>
      <w:pPr>
        <w:ind w:left="2727" w:hanging="360"/>
      </w:pPr>
      <w:rPr>
        <w:rFonts w:ascii="Wingdings" w:hAnsi="Wingdings" w:hint="default"/>
      </w:rPr>
    </w:lvl>
    <w:lvl w:ilvl="3" w:tplc="241A0001" w:tentative="1">
      <w:start w:val="1"/>
      <w:numFmt w:val="bullet"/>
      <w:lvlText w:val=""/>
      <w:lvlJc w:val="left"/>
      <w:pPr>
        <w:ind w:left="3447" w:hanging="360"/>
      </w:pPr>
      <w:rPr>
        <w:rFonts w:ascii="Symbol" w:hAnsi="Symbol" w:hint="default"/>
      </w:rPr>
    </w:lvl>
    <w:lvl w:ilvl="4" w:tplc="241A0003" w:tentative="1">
      <w:start w:val="1"/>
      <w:numFmt w:val="bullet"/>
      <w:lvlText w:val="o"/>
      <w:lvlJc w:val="left"/>
      <w:pPr>
        <w:ind w:left="4167" w:hanging="360"/>
      </w:pPr>
      <w:rPr>
        <w:rFonts w:ascii="Courier New" w:hAnsi="Courier New" w:cs="Courier New" w:hint="default"/>
      </w:rPr>
    </w:lvl>
    <w:lvl w:ilvl="5" w:tplc="241A0005" w:tentative="1">
      <w:start w:val="1"/>
      <w:numFmt w:val="bullet"/>
      <w:lvlText w:val=""/>
      <w:lvlJc w:val="left"/>
      <w:pPr>
        <w:ind w:left="4887" w:hanging="360"/>
      </w:pPr>
      <w:rPr>
        <w:rFonts w:ascii="Wingdings" w:hAnsi="Wingdings" w:hint="default"/>
      </w:rPr>
    </w:lvl>
    <w:lvl w:ilvl="6" w:tplc="241A0001" w:tentative="1">
      <w:start w:val="1"/>
      <w:numFmt w:val="bullet"/>
      <w:lvlText w:val=""/>
      <w:lvlJc w:val="left"/>
      <w:pPr>
        <w:ind w:left="5607" w:hanging="360"/>
      </w:pPr>
      <w:rPr>
        <w:rFonts w:ascii="Symbol" w:hAnsi="Symbol" w:hint="default"/>
      </w:rPr>
    </w:lvl>
    <w:lvl w:ilvl="7" w:tplc="241A0003" w:tentative="1">
      <w:start w:val="1"/>
      <w:numFmt w:val="bullet"/>
      <w:lvlText w:val="o"/>
      <w:lvlJc w:val="left"/>
      <w:pPr>
        <w:ind w:left="6327" w:hanging="360"/>
      </w:pPr>
      <w:rPr>
        <w:rFonts w:ascii="Courier New" w:hAnsi="Courier New" w:cs="Courier New" w:hint="default"/>
      </w:rPr>
    </w:lvl>
    <w:lvl w:ilvl="8" w:tplc="241A0005" w:tentative="1">
      <w:start w:val="1"/>
      <w:numFmt w:val="bullet"/>
      <w:lvlText w:val=""/>
      <w:lvlJc w:val="left"/>
      <w:pPr>
        <w:ind w:left="7047" w:hanging="360"/>
      </w:pPr>
      <w:rPr>
        <w:rFonts w:ascii="Wingdings" w:hAnsi="Wingdings" w:hint="default"/>
      </w:rPr>
    </w:lvl>
  </w:abstractNum>
  <w:abstractNum w:abstractNumId="24" w15:restartNumberingAfterBreak="0">
    <w:nsid w:val="5E4956F4"/>
    <w:multiLevelType w:val="hybridMultilevel"/>
    <w:tmpl w:val="B2D2C808"/>
    <w:lvl w:ilvl="0" w:tplc="F6F0E4F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60D51009"/>
    <w:multiLevelType w:val="hybridMultilevel"/>
    <w:tmpl w:val="BB28787C"/>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6" w15:restartNumberingAfterBreak="0">
    <w:nsid w:val="6C6F3EA8"/>
    <w:multiLevelType w:val="hybridMultilevel"/>
    <w:tmpl w:val="6D0037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D4E23E7"/>
    <w:multiLevelType w:val="hybridMultilevel"/>
    <w:tmpl w:val="6DDE48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2CD7ECB"/>
    <w:multiLevelType w:val="hybridMultilevel"/>
    <w:tmpl w:val="50845E7C"/>
    <w:lvl w:ilvl="0" w:tplc="BC0CAC7A">
      <w:start w:val="5"/>
      <w:numFmt w:val="bullet"/>
      <w:lvlText w:val="–"/>
      <w:lvlJc w:val="left"/>
      <w:pPr>
        <w:ind w:left="720" w:hanging="360"/>
      </w:pPr>
      <w:rPr>
        <w:rFonts w:ascii="Garamond" w:eastAsiaTheme="minorHAnsi" w:hAnsi="Garamond" w:cstheme="minorBidi"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9" w15:restartNumberingAfterBreak="0">
    <w:nsid w:val="77717886"/>
    <w:multiLevelType w:val="hybridMultilevel"/>
    <w:tmpl w:val="1B22416A"/>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0" w15:restartNumberingAfterBreak="0">
    <w:nsid w:val="783276D2"/>
    <w:multiLevelType w:val="hybridMultilevel"/>
    <w:tmpl w:val="A0B25004"/>
    <w:lvl w:ilvl="0" w:tplc="83A605E0">
      <w:start w:val="150"/>
      <w:numFmt w:val="bullet"/>
      <w:lvlText w:val="-"/>
      <w:lvlJc w:val="left"/>
      <w:pPr>
        <w:ind w:left="720" w:hanging="360"/>
      </w:pPr>
      <w:rPr>
        <w:rFonts w:ascii="Garamond" w:eastAsiaTheme="minorHAnsi" w:hAnsi="Garamond" w:cstheme="minorBidi"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1" w15:restartNumberingAfterBreak="0">
    <w:nsid w:val="7ADB78FA"/>
    <w:multiLevelType w:val="hybridMultilevel"/>
    <w:tmpl w:val="993C371E"/>
    <w:lvl w:ilvl="0" w:tplc="B5668F78">
      <w:start w:val="5"/>
      <w:numFmt w:val="bullet"/>
      <w:lvlText w:val="-"/>
      <w:lvlJc w:val="left"/>
      <w:pPr>
        <w:ind w:left="720" w:hanging="360"/>
      </w:pPr>
      <w:rPr>
        <w:rFonts w:ascii="Garamond" w:eastAsiaTheme="minorHAnsi" w:hAnsi="Garamond" w:cstheme="minorBidi"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2" w15:restartNumberingAfterBreak="0">
    <w:nsid w:val="7CA51CC9"/>
    <w:multiLevelType w:val="multilevel"/>
    <w:tmpl w:val="D526B41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3" w15:restartNumberingAfterBreak="0">
    <w:nsid w:val="7E253249"/>
    <w:multiLevelType w:val="hybridMultilevel"/>
    <w:tmpl w:val="12C2ED9E"/>
    <w:lvl w:ilvl="0" w:tplc="8090BBAA">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34" w15:restartNumberingAfterBreak="0">
    <w:nsid w:val="7FD571A9"/>
    <w:multiLevelType w:val="hybridMultilevel"/>
    <w:tmpl w:val="7B1A1800"/>
    <w:lvl w:ilvl="0" w:tplc="579EA6F2">
      <w:start w:val="3"/>
      <w:numFmt w:val="decimal"/>
      <w:lvlText w:val="%1."/>
      <w:lvlJc w:val="left"/>
      <w:pPr>
        <w:ind w:left="36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num w:numId="1" w16cid:durableId="1828552207">
    <w:abstractNumId w:val="20"/>
  </w:num>
  <w:num w:numId="2" w16cid:durableId="497188043">
    <w:abstractNumId w:val="23"/>
  </w:num>
  <w:num w:numId="3" w16cid:durableId="1225457702">
    <w:abstractNumId w:val="32"/>
  </w:num>
  <w:num w:numId="4" w16cid:durableId="921066939">
    <w:abstractNumId w:val="17"/>
  </w:num>
  <w:num w:numId="5" w16cid:durableId="924266707">
    <w:abstractNumId w:val="16"/>
  </w:num>
  <w:num w:numId="6" w16cid:durableId="108474178">
    <w:abstractNumId w:val="30"/>
  </w:num>
  <w:num w:numId="7" w16cid:durableId="1315336262">
    <w:abstractNumId w:val="14"/>
  </w:num>
  <w:num w:numId="8" w16cid:durableId="149835912">
    <w:abstractNumId w:val="29"/>
  </w:num>
  <w:num w:numId="9" w16cid:durableId="1184443505">
    <w:abstractNumId w:val="2"/>
  </w:num>
  <w:num w:numId="10" w16cid:durableId="460616000">
    <w:abstractNumId w:val="24"/>
  </w:num>
  <w:num w:numId="11" w16cid:durableId="1422608273">
    <w:abstractNumId w:val="18"/>
  </w:num>
  <w:num w:numId="12" w16cid:durableId="23791019">
    <w:abstractNumId w:val="15"/>
  </w:num>
  <w:num w:numId="13" w16cid:durableId="908152303">
    <w:abstractNumId w:val="5"/>
  </w:num>
  <w:num w:numId="14" w16cid:durableId="2090225004">
    <w:abstractNumId w:val="7"/>
  </w:num>
  <w:num w:numId="15" w16cid:durableId="1531381547">
    <w:abstractNumId w:val="26"/>
  </w:num>
  <w:num w:numId="16" w16cid:durableId="812600545">
    <w:abstractNumId w:val="27"/>
  </w:num>
  <w:num w:numId="17" w16cid:durableId="1826704364">
    <w:abstractNumId w:val="8"/>
  </w:num>
  <w:num w:numId="18" w16cid:durableId="801848487">
    <w:abstractNumId w:val="1"/>
  </w:num>
  <w:num w:numId="19" w16cid:durableId="351810885">
    <w:abstractNumId w:val="12"/>
  </w:num>
  <w:num w:numId="20" w16cid:durableId="796488595">
    <w:abstractNumId w:val="6"/>
  </w:num>
  <w:num w:numId="21" w16cid:durableId="1487285795">
    <w:abstractNumId w:val="0"/>
  </w:num>
  <w:num w:numId="22" w16cid:durableId="1841505930">
    <w:abstractNumId w:val="34"/>
  </w:num>
  <w:num w:numId="23" w16cid:durableId="706876551">
    <w:abstractNumId w:val="22"/>
  </w:num>
  <w:num w:numId="24" w16cid:durableId="71896765">
    <w:abstractNumId w:val="19"/>
  </w:num>
  <w:num w:numId="25" w16cid:durableId="1205100816">
    <w:abstractNumId w:val="10"/>
  </w:num>
  <w:num w:numId="26" w16cid:durableId="366639504">
    <w:abstractNumId w:val="11"/>
  </w:num>
  <w:num w:numId="27" w16cid:durableId="159391619">
    <w:abstractNumId w:val="33"/>
  </w:num>
  <w:num w:numId="28" w16cid:durableId="1158613441">
    <w:abstractNumId w:val="28"/>
  </w:num>
  <w:num w:numId="29" w16cid:durableId="1557929460">
    <w:abstractNumId w:val="31"/>
  </w:num>
  <w:num w:numId="30" w16cid:durableId="942612006">
    <w:abstractNumId w:val="25"/>
  </w:num>
  <w:num w:numId="31" w16cid:durableId="1052998907">
    <w:abstractNumId w:val="4"/>
  </w:num>
  <w:num w:numId="32" w16cid:durableId="1713119042">
    <w:abstractNumId w:val="13"/>
  </w:num>
  <w:num w:numId="33" w16cid:durableId="1269267681">
    <w:abstractNumId w:val="3"/>
  </w:num>
  <w:num w:numId="34" w16cid:durableId="323435259">
    <w:abstractNumId w:val="21"/>
  </w:num>
  <w:num w:numId="35" w16cid:durableId="182944129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0MDA2NzaztDQ2NzQ3MzJT0lEKTi0uzszPAykwtDCvBQCxCxUlLgAAAA=="/>
  </w:docVars>
  <w:rsids>
    <w:rsidRoot w:val="008E4A7C"/>
    <w:rsid w:val="00000022"/>
    <w:rsid w:val="000000B1"/>
    <w:rsid w:val="000000FF"/>
    <w:rsid w:val="00000225"/>
    <w:rsid w:val="0000030D"/>
    <w:rsid w:val="0000047C"/>
    <w:rsid w:val="00000C04"/>
    <w:rsid w:val="00000DA3"/>
    <w:rsid w:val="00000E8C"/>
    <w:rsid w:val="00001029"/>
    <w:rsid w:val="00001040"/>
    <w:rsid w:val="0000111A"/>
    <w:rsid w:val="00001551"/>
    <w:rsid w:val="000016D0"/>
    <w:rsid w:val="00001ACC"/>
    <w:rsid w:val="00001AFA"/>
    <w:rsid w:val="00002058"/>
    <w:rsid w:val="0000226D"/>
    <w:rsid w:val="00002725"/>
    <w:rsid w:val="0000278E"/>
    <w:rsid w:val="000028DF"/>
    <w:rsid w:val="00002D37"/>
    <w:rsid w:val="00002DF6"/>
    <w:rsid w:val="00002EC1"/>
    <w:rsid w:val="00002FC7"/>
    <w:rsid w:val="00003025"/>
    <w:rsid w:val="0000314D"/>
    <w:rsid w:val="0000332C"/>
    <w:rsid w:val="0000376E"/>
    <w:rsid w:val="00003C64"/>
    <w:rsid w:val="0000413C"/>
    <w:rsid w:val="0000429C"/>
    <w:rsid w:val="000042E0"/>
    <w:rsid w:val="000043E0"/>
    <w:rsid w:val="000044C6"/>
    <w:rsid w:val="00004B98"/>
    <w:rsid w:val="00004CD1"/>
    <w:rsid w:val="00004F2F"/>
    <w:rsid w:val="00004F61"/>
    <w:rsid w:val="00004F70"/>
    <w:rsid w:val="000050C6"/>
    <w:rsid w:val="0000518B"/>
    <w:rsid w:val="000051F3"/>
    <w:rsid w:val="00005633"/>
    <w:rsid w:val="000056BA"/>
    <w:rsid w:val="00005A9D"/>
    <w:rsid w:val="00005AC6"/>
    <w:rsid w:val="00005C3A"/>
    <w:rsid w:val="00005CE5"/>
    <w:rsid w:val="00006307"/>
    <w:rsid w:val="00006350"/>
    <w:rsid w:val="00006509"/>
    <w:rsid w:val="0000655E"/>
    <w:rsid w:val="0000670F"/>
    <w:rsid w:val="00006823"/>
    <w:rsid w:val="0000696C"/>
    <w:rsid w:val="000073A0"/>
    <w:rsid w:val="0000743F"/>
    <w:rsid w:val="000074E7"/>
    <w:rsid w:val="00007522"/>
    <w:rsid w:val="000076DA"/>
    <w:rsid w:val="0000785D"/>
    <w:rsid w:val="00007A9C"/>
    <w:rsid w:val="00007AC3"/>
    <w:rsid w:val="00007BD9"/>
    <w:rsid w:val="0001006E"/>
    <w:rsid w:val="00010087"/>
    <w:rsid w:val="0001069C"/>
    <w:rsid w:val="00010C69"/>
    <w:rsid w:val="00010C94"/>
    <w:rsid w:val="00010E01"/>
    <w:rsid w:val="00010EBC"/>
    <w:rsid w:val="00011940"/>
    <w:rsid w:val="00011BCB"/>
    <w:rsid w:val="00011DFB"/>
    <w:rsid w:val="00011EB1"/>
    <w:rsid w:val="00011ECF"/>
    <w:rsid w:val="00011EFD"/>
    <w:rsid w:val="00011F74"/>
    <w:rsid w:val="000120D4"/>
    <w:rsid w:val="000127B8"/>
    <w:rsid w:val="000127F4"/>
    <w:rsid w:val="00012958"/>
    <w:rsid w:val="00012A44"/>
    <w:rsid w:val="00012C02"/>
    <w:rsid w:val="00012EBD"/>
    <w:rsid w:val="00013069"/>
    <w:rsid w:val="00013095"/>
    <w:rsid w:val="000130E6"/>
    <w:rsid w:val="000131C3"/>
    <w:rsid w:val="000131D7"/>
    <w:rsid w:val="0001330A"/>
    <w:rsid w:val="00013472"/>
    <w:rsid w:val="00013565"/>
    <w:rsid w:val="000136F9"/>
    <w:rsid w:val="00013937"/>
    <w:rsid w:val="000139AD"/>
    <w:rsid w:val="000139BA"/>
    <w:rsid w:val="00013AF4"/>
    <w:rsid w:val="00013DED"/>
    <w:rsid w:val="00013E52"/>
    <w:rsid w:val="00013F75"/>
    <w:rsid w:val="0001429B"/>
    <w:rsid w:val="00014375"/>
    <w:rsid w:val="00014390"/>
    <w:rsid w:val="00014398"/>
    <w:rsid w:val="00014761"/>
    <w:rsid w:val="00014BA9"/>
    <w:rsid w:val="00014CF6"/>
    <w:rsid w:val="00014D58"/>
    <w:rsid w:val="00014DA4"/>
    <w:rsid w:val="00014E03"/>
    <w:rsid w:val="00014FEF"/>
    <w:rsid w:val="0001505D"/>
    <w:rsid w:val="00015133"/>
    <w:rsid w:val="000151F0"/>
    <w:rsid w:val="000155BF"/>
    <w:rsid w:val="000158F3"/>
    <w:rsid w:val="00015A5B"/>
    <w:rsid w:val="00015D5D"/>
    <w:rsid w:val="00015FD9"/>
    <w:rsid w:val="0001603A"/>
    <w:rsid w:val="000161F2"/>
    <w:rsid w:val="00016216"/>
    <w:rsid w:val="00016221"/>
    <w:rsid w:val="00016368"/>
    <w:rsid w:val="00016747"/>
    <w:rsid w:val="00016878"/>
    <w:rsid w:val="00016AC1"/>
    <w:rsid w:val="00016BA3"/>
    <w:rsid w:val="00016BE6"/>
    <w:rsid w:val="00016C17"/>
    <w:rsid w:val="00016C9B"/>
    <w:rsid w:val="00016D75"/>
    <w:rsid w:val="00017056"/>
    <w:rsid w:val="00017191"/>
    <w:rsid w:val="00017210"/>
    <w:rsid w:val="0001735A"/>
    <w:rsid w:val="00017377"/>
    <w:rsid w:val="00017400"/>
    <w:rsid w:val="0001776E"/>
    <w:rsid w:val="00017ACA"/>
    <w:rsid w:val="00017ACC"/>
    <w:rsid w:val="00017C0D"/>
    <w:rsid w:val="00017F1B"/>
    <w:rsid w:val="00020041"/>
    <w:rsid w:val="0002023A"/>
    <w:rsid w:val="00020251"/>
    <w:rsid w:val="0002038A"/>
    <w:rsid w:val="000204DB"/>
    <w:rsid w:val="00020837"/>
    <w:rsid w:val="00020FB4"/>
    <w:rsid w:val="00021155"/>
    <w:rsid w:val="000211A1"/>
    <w:rsid w:val="000213B2"/>
    <w:rsid w:val="00021967"/>
    <w:rsid w:val="00021D61"/>
    <w:rsid w:val="00021D67"/>
    <w:rsid w:val="00021D6A"/>
    <w:rsid w:val="000222DA"/>
    <w:rsid w:val="00022432"/>
    <w:rsid w:val="0002247A"/>
    <w:rsid w:val="000224CE"/>
    <w:rsid w:val="000224F6"/>
    <w:rsid w:val="00022590"/>
    <w:rsid w:val="000228EF"/>
    <w:rsid w:val="00022903"/>
    <w:rsid w:val="00022B31"/>
    <w:rsid w:val="00022C97"/>
    <w:rsid w:val="00022E46"/>
    <w:rsid w:val="00022F07"/>
    <w:rsid w:val="00022FB0"/>
    <w:rsid w:val="00023019"/>
    <w:rsid w:val="00023021"/>
    <w:rsid w:val="00023162"/>
    <w:rsid w:val="000231E7"/>
    <w:rsid w:val="000235C2"/>
    <w:rsid w:val="00023901"/>
    <w:rsid w:val="00023CE5"/>
    <w:rsid w:val="00023D66"/>
    <w:rsid w:val="00023DE1"/>
    <w:rsid w:val="00023F1D"/>
    <w:rsid w:val="000240E1"/>
    <w:rsid w:val="0002411B"/>
    <w:rsid w:val="00024229"/>
    <w:rsid w:val="00024316"/>
    <w:rsid w:val="000246BD"/>
    <w:rsid w:val="000246C6"/>
    <w:rsid w:val="0002473F"/>
    <w:rsid w:val="00024A82"/>
    <w:rsid w:val="00024EC5"/>
    <w:rsid w:val="00024F6F"/>
    <w:rsid w:val="0002500E"/>
    <w:rsid w:val="000251A2"/>
    <w:rsid w:val="0002542D"/>
    <w:rsid w:val="00025517"/>
    <w:rsid w:val="00025608"/>
    <w:rsid w:val="000256D9"/>
    <w:rsid w:val="000256FB"/>
    <w:rsid w:val="00025982"/>
    <w:rsid w:val="00025B30"/>
    <w:rsid w:val="00025E01"/>
    <w:rsid w:val="00025E56"/>
    <w:rsid w:val="00025EA6"/>
    <w:rsid w:val="00025FD5"/>
    <w:rsid w:val="000264BD"/>
    <w:rsid w:val="000267A6"/>
    <w:rsid w:val="000269B1"/>
    <w:rsid w:val="000269E0"/>
    <w:rsid w:val="00026ED6"/>
    <w:rsid w:val="00026F7E"/>
    <w:rsid w:val="00027067"/>
    <w:rsid w:val="000270B0"/>
    <w:rsid w:val="000271E7"/>
    <w:rsid w:val="0002741E"/>
    <w:rsid w:val="000274B9"/>
    <w:rsid w:val="00027BCE"/>
    <w:rsid w:val="00027C98"/>
    <w:rsid w:val="00027F39"/>
    <w:rsid w:val="00030277"/>
    <w:rsid w:val="00030338"/>
    <w:rsid w:val="000304D7"/>
    <w:rsid w:val="00030772"/>
    <w:rsid w:val="0003081E"/>
    <w:rsid w:val="000308A3"/>
    <w:rsid w:val="00030987"/>
    <w:rsid w:val="00030CE9"/>
    <w:rsid w:val="00030F87"/>
    <w:rsid w:val="00031031"/>
    <w:rsid w:val="000316D0"/>
    <w:rsid w:val="000318FF"/>
    <w:rsid w:val="00031E77"/>
    <w:rsid w:val="00031FD7"/>
    <w:rsid w:val="0003223C"/>
    <w:rsid w:val="00032276"/>
    <w:rsid w:val="000328F9"/>
    <w:rsid w:val="00032A13"/>
    <w:rsid w:val="00032AAE"/>
    <w:rsid w:val="00032ABA"/>
    <w:rsid w:val="00032FC4"/>
    <w:rsid w:val="0003311B"/>
    <w:rsid w:val="00033181"/>
    <w:rsid w:val="00033362"/>
    <w:rsid w:val="0003339E"/>
    <w:rsid w:val="0003360D"/>
    <w:rsid w:val="00033738"/>
    <w:rsid w:val="0003374C"/>
    <w:rsid w:val="000338C4"/>
    <w:rsid w:val="0003399E"/>
    <w:rsid w:val="000339A2"/>
    <w:rsid w:val="00033A18"/>
    <w:rsid w:val="00033B96"/>
    <w:rsid w:val="00033D1A"/>
    <w:rsid w:val="00033F1C"/>
    <w:rsid w:val="00034113"/>
    <w:rsid w:val="000342B1"/>
    <w:rsid w:val="000342DC"/>
    <w:rsid w:val="000342DE"/>
    <w:rsid w:val="000343E5"/>
    <w:rsid w:val="000345D7"/>
    <w:rsid w:val="00034766"/>
    <w:rsid w:val="000349A2"/>
    <w:rsid w:val="00034A48"/>
    <w:rsid w:val="00034CCC"/>
    <w:rsid w:val="00034DB3"/>
    <w:rsid w:val="000351DB"/>
    <w:rsid w:val="0003524C"/>
    <w:rsid w:val="000353FA"/>
    <w:rsid w:val="0003545A"/>
    <w:rsid w:val="000354C2"/>
    <w:rsid w:val="000354E4"/>
    <w:rsid w:val="000356DD"/>
    <w:rsid w:val="000358C3"/>
    <w:rsid w:val="000359A0"/>
    <w:rsid w:val="00035BCE"/>
    <w:rsid w:val="0003615C"/>
    <w:rsid w:val="0003622C"/>
    <w:rsid w:val="000368D3"/>
    <w:rsid w:val="000369CD"/>
    <w:rsid w:val="00036A61"/>
    <w:rsid w:val="00036C65"/>
    <w:rsid w:val="00036EA5"/>
    <w:rsid w:val="0003716A"/>
    <w:rsid w:val="0003717B"/>
    <w:rsid w:val="000373C0"/>
    <w:rsid w:val="000373EF"/>
    <w:rsid w:val="000374CE"/>
    <w:rsid w:val="00037619"/>
    <w:rsid w:val="00037656"/>
    <w:rsid w:val="00037849"/>
    <w:rsid w:val="00037856"/>
    <w:rsid w:val="00037891"/>
    <w:rsid w:val="000378DD"/>
    <w:rsid w:val="0003797E"/>
    <w:rsid w:val="00037A9F"/>
    <w:rsid w:val="00037BD5"/>
    <w:rsid w:val="00037CBA"/>
    <w:rsid w:val="00037CCD"/>
    <w:rsid w:val="00037EC6"/>
    <w:rsid w:val="00037FE6"/>
    <w:rsid w:val="000402D5"/>
    <w:rsid w:val="000405FD"/>
    <w:rsid w:val="0004063B"/>
    <w:rsid w:val="000406A8"/>
    <w:rsid w:val="00040C21"/>
    <w:rsid w:val="00040C58"/>
    <w:rsid w:val="00040C8B"/>
    <w:rsid w:val="00040D6A"/>
    <w:rsid w:val="00040DFF"/>
    <w:rsid w:val="00040E45"/>
    <w:rsid w:val="00040FF1"/>
    <w:rsid w:val="0004104B"/>
    <w:rsid w:val="000410AB"/>
    <w:rsid w:val="000415B6"/>
    <w:rsid w:val="000416F1"/>
    <w:rsid w:val="00041A30"/>
    <w:rsid w:val="00041B09"/>
    <w:rsid w:val="00041B2C"/>
    <w:rsid w:val="00041BB4"/>
    <w:rsid w:val="000420C0"/>
    <w:rsid w:val="000420C3"/>
    <w:rsid w:val="00042674"/>
    <w:rsid w:val="00042BF5"/>
    <w:rsid w:val="00042C8C"/>
    <w:rsid w:val="00042D30"/>
    <w:rsid w:val="00042D89"/>
    <w:rsid w:val="00042DAB"/>
    <w:rsid w:val="00042FFE"/>
    <w:rsid w:val="00043033"/>
    <w:rsid w:val="0004324C"/>
    <w:rsid w:val="000434FB"/>
    <w:rsid w:val="000435C8"/>
    <w:rsid w:val="00043663"/>
    <w:rsid w:val="0004371C"/>
    <w:rsid w:val="00043843"/>
    <w:rsid w:val="00043C46"/>
    <w:rsid w:val="00043DEB"/>
    <w:rsid w:val="00043FD7"/>
    <w:rsid w:val="00044231"/>
    <w:rsid w:val="0004437C"/>
    <w:rsid w:val="00044504"/>
    <w:rsid w:val="00044623"/>
    <w:rsid w:val="0004468F"/>
    <w:rsid w:val="0004470F"/>
    <w:rsid w:val="00044820"/>
    <w:rsid w:val="00044878"/>
    <w:rsid w:val="0004493C"/>
    <w:rsid w:val="00044998"/>
    <w:rsid w:val="00044B62"/>
    <w:rsid w:val="00044D47"/>
    <w:rsid w:val="00045363"/>
    <w:rsid w:val="000453A3"/>
    <w:rsid w:val="000456B9"/>
    <w:rsid w:val="000457A0"/>
    <w:rsid w:val="00045866"/>
    <w:rsid w:val="0004586F"/>
    <w:rsid w:val="0004592C"/>
    <w:rsid w:val="00045A3F"/>
    <w:rsid w:val="00045EE7"/>
    <w:rsid w:val="00046335"/>
    <w:rsid w:val="000463BD"/>
    <w:rsid w:val="0004645B"/>
    <w:rsid w:val="000464AD"/>
    <w:rsid w:val="0004663D"/>
    <w:rsid w:val="0004697E"/>
    <w:rsid w:val="000469DD"/>
    <w:rsid w:val="00046A71"/>
    <w:rsid w:val="00046BA9"/>
    <w:rsid w:val="00046D63"/>
    <w:rsid w:val="00046FA2"/>
    <w:rsid w:val="00046FE0"/>
    <w:rsid w:val="0004705A"/>
    <w:rsid w:val="00047225"/>
    <w:rsid w:val="00047378"/>
    <w:rsid w:val="000473B3"/>
    <w:rsid w:val="000474EC"/>
    <w:rsid w:val="000475C5"/>
    <w:rsid w:val="000477BB"/>
    <w:rsid w:val="00047978"/>
    <w:rsid w:val="00047A84"/>
    <w:rsid w:val="00047BC9"/>
    <w:rsid w:val="00047F5B"/>
    <w:rsid w:val="00050079"/>
    <w:rsid w:val="0005009B"/>
    <w:rsid w:val="00050113"/>
    <w:rsid w:val="00050287"/>
    <w:rsid w:val="0005036E"/>
    <w:rsid w:val="00050416"/>
    <w:rsid w:val="000505BA"/>
    <w:rsid w:val="000507B0"/>
    <w:rsid w:val="00050A2D"/>
    <w:rsid w:val="00050A98"/>
    <w:rsid w:val="00050B14"/>
    <w:rsid w:val="00050DF3"/>
    <w:rsid w:val="00050EC1"/>
    <w:rsid w:val="000511A0"/>
    <w:rsid w:val="0005129A"/>
    <w:rsid w:val="0005131B"/>
    <w:rsid w:val="00051498"/>
    <w:rsid w:val="0005167D"/>
    <w:rsid w:val="000517E8"/>
    <w:rsid w:val="00051841"/>
    <w:rsid w:val="00051C8E"/>
    <w:rsid w:val="00051D01"/>
    <w:rsid w:val="00051D05"/>
    <w:rsid w:val="0005216A"/>
    <w:rsid w:val="000521B7"/>
    <w:rsid w:val="000521FF"/>
    <w:rsid w:val="00052261"/>
    <w:rsid w:val="0005229B"/>
    <w:rsid w:val="000523F1"/>
    <w:rsid w:val="00052622"/>
    <w:rsid w:val="00052661"/>
    <w:rsid w:val="000526B0"/>
    <w:rsid w:val="0005294B"/>
    <w:rsid w:val="00052B6C"/>
    <w:rsid w:val="00052F3E"/>
    <w:rsid w:val="000531AF"/>
    <w:rsid w:val="00053319"/>
    <w:rsid w:val="000535E9"/>
    <w:rsid w:val="000536ED"/>
    <w:rsid w:val="00053781"/>
    <w:rsid w:val="000537BB"/>
    <w:rsid w:val="000539EF"/>
    <w:rsid w:val="00053DEF"/>
    <w:rsid w:val="00053F81"/>
    <w:rsid w:val="00053FEA"/>
    <w:rsid w:val="0005401D"/>
    <w:rsid w:val="00054336"/>
    <w:rsid w:val="00054366"/>
    <w:rsid w:val="000548D2"/>
    <w:rsid w:val="0005497D"/>
    <w:rsid w:val="000549E1"/>
    <w:rsid w:val="00054B09"/>
    <w:rsid w:val="00054BB5"/>
    <w:rsid w:val="00054D66"/>
    <w:rsid w:val="00054FA4"/>
    <w:rsid w:val="00054FCC"/>
    <w:rsid w:val="00055110"/>
    <w:rsid w:val="00055589"/>
    <w:rsid w:val="000555F0"/>
    <w:rsid w:val="00055634"/>
    <w:rsid w:val="00055764"/>
    <w:rsid w:val="00055B8B"/>
    <w:rsid w:val="00055FC3"/>
    <w:rsid w:val="000561BB"/>
    <w:rsid w:val="0005691D"/>
    <w:rsid w:val="00056960"/>
    <w:rsid w:val="00056AE4"/>
    <w:rsid w:val="00056B45"/>
    <w:rsid w:val="00056D3F"/>
    <w:rsid w:val="00056DDD"/>
    <w:rsid w:val="000573DD"/>
    <w:rsid w:val="00057661"/>
    <w:rsid w:val="00057858"/>
    <w:rsid w:val="00057BC3"/>
    <w:rsid w:val="00057BF9"/>
    <w:rsid w:val="000600D4"/>
    <w:rsid w:val="000600DE"/>
    <w:rsid w:val="0006010B"/>
    <w:rsid w:val="000602D6"/>
    <w:rsid w:val="0006040B"/>
    <w:rsid w:val="00060550"/>
    <w:rsid w:val="00060854"/>
    <w:rsid w:val="000609B3"/>
    <w:rsid w:val="000609C3"/>
    <w:rsid w:val="00060BEF"/>
    <w:rsid w:val="00060C17"/>
    <w:rsid w:val="00060E33"/>
    <w:rsid w:val="00060EB7"/>
    <w:rsid w:val="000612F9"/>
    <w:rsid w:val="000613B5"/>
    <w:rsid w:val="0006142D"/>
    <w:rsid w:val="00061481"/>
    <w:rsid w:val="000614E6"/>
    <w:rsid w:val="0006152D"/>
    <w:rsid w:val="000617D5"/>
    <w:rsid w:val="00061BD5"/>
    <w:rsid w:val="00061CF3"/>
    <w:rsid w:val="00061D3C"/>
    <w:rsid w:val="00061EFF"/>
    <w:rsid w:val="00061F0D"/>
    <w:rsid w:val="00061F61"/>
    <w:rsid w:val="00061F70"/>
    <w:rsid w:val="000622F4"/>
    <w:rsid w:val="000624F0"/>
    <w:rsid w:val="00062605"/>
    <w:rsid w:val="000627A9"/>
    <w:rsid w:val="000627E0"/>
    <w:rsid w:val="00062B60"/>
    <w:rsid w:val="00062CA6"/>
    <w:rsid w:val="00062E3B"/>
    <w:rsid w:val="00062F2E"/>
    <w:rsid w:val="00063132"/>
    <w:rsid w:val="00063197"/>
    <w:rsid w:val="0006377E"/>
    <w:rsid w:val="00063910"/>
    <w:rsid w:val="00063986"/>
    <w:rsid w:val="00063C08"/>
    <w:rsid w:val="00064079"/>
    <w:rsid w:val="000641C4"/>
    <w:rsid w:val="0006427F"/>
    <w:rsid w:val="000642DF"/>
    <w:rsid w:val="0006435A"/>
    <w:rsid w:val="0006451A"/>
    <w:rsid w:val="00064744"/>
    <w:rsid w:val="00064ACE"/>
    <w:rsid w:val="00064CA6"/>
    <w:rsid w:val="00064DC9"/>
    <w:rsid w:val="00064F31"/>
    <w:rsid w:val="00065347"/>
    <w:rsid w:val="0006541F"/>
    <w:rsid w:val="0006551B"/>
    <w:rsid w:val="00065722"/>
    <w:rsid w:val="00065D53"/>
    <w:rsid w:val="00065DB6"/>
    <w:rsid w:val="00065FC4"/>
    <w:rsid w:val="000661B3"/>
    <w:rsid w:val="000661BB"/>
    <w:rsid w:val="000662F1"/>
    <w:rsid w:val="00066354"/>
    <w:rsid w:val="0006645D"/>
    <w:rsid w:val="00066507"/>
    <w:rsid w:val="000666CD"/>
    <w:rsid w:val="00066B15"/>
    <w:rsid w:val="00066CA5"/>
    <w:rsid w:val="00066D8E"/>
    <w:rsid w:val="0006709F"/>
    <w:rsid w:val="000670E7"/>
    <w:rsid w:val="000673EE"/>
    <w:rsid w:val="0006759C"/>
    <w:rsid w:val="000676B5"/>
    <w:rsid w:val="00067A36"/>
    <w:rsid w:val="00067B29"/>
    <w:rsid w:val="00067BDA"/>
    <w:rsid w:val="00067EE4"/>
    <w:rsid w:val="00067F11"/>
    <w:rsid w:val="000701A7"/>
    <w:rsid w:val="000704D1"/>
    <w:rsid w:val="00070767"/>
    <w:rsid w:val="00070812"/>
    <w:rsid w:val="0007088E"/>
    <w:rsid w:val="00070B6A"/>
    <w:rsid w:val="00070EB5"/>
    <w:rsid w:val="00070FAC"/>
    <w:rsid w:val="0007141F"/>
    <w:rsid w:val="0007152D"/>
    <w:rsid w:val="000716C5"/>
    <w:rsid w:val="00071833"/>
    <w:rsid w:val="0007189E"/>
    <w:rsid w:val="00071CA9"/>
    <w:rsid w:val="00071D57"/>
    <w:rsid w:val="00071DE0"/>
    <w:rsid w:val="000723B7"/>
    <w:rsid w:val="00072480"/>
    <w:rsid w:val="000725A7"/>
    <w:rsid w:val="000725D2"/>
    <w:rsid w:val="000729F0"/>
    <w:rsid w:val="00072A8A"/>
    <w:rsid w:val="00072DC0"/>
    <w:rsid w:val="00073229"/>
    <w:rsid w:val="0007326C"/>
    <w:rsid w:val="000732F6"/>
    <w:rsid w:val="00073339"/>
    <w:rsid w:val="00073342"/>
    <w:rsid w:val="0007371D"/>
    <w:rsid w:val="00073774"/>
    <w:rsid w:val="00073AD6"/>
    <w:rsid w:val="00073C82"/>
    <w:rsid w:val="00073E94"/>
    <w:rsid w:val="00074049"/>
    <w:rsid w:val="00074149"/>
    <w:rsid w:val="00074556"/>
    <w:rsid w:val="000746D6"/>
    <w:rsid w:val="00074791"/>
    <w:rsid w:val="00074B6A"/>
    <w:rsid w:val="00074BC4"/>
    <w:rsid w:val="00074E31"/>
    <w:rsid w:val="00075002"/>
    <w:rsid w:val="00075483"/>
    <w:rsid w:val="00075627"/>
    <w:rsid w:val="00075678"/>
    <w:rsid w:val="0007586E"/>
    <w:rsid w:val="00075D34"/>
    <w:rsid w:val="00075DC7"/>
    <w:rsid w:val="00075E9F"/>
    <w:rsid w:val="0007650E"/>
    <w:rsid w:val="00076568"/>
    <w:rsid w:val="00076DB0"/>
    <w:rsid w:val="00076DCE"/>
    <w:rsid w:val="00076E70"/>
    <w:rsid w:val="000770D2"/>
    <w:rsid w:val="00077247"/>
    <w:rsid w:val="00077770"/>
    <w:rsid w:val="00077802"/>
    <w:rsid w:val="00077A89"/>
    <w:rsid w:val="00077A8A"/>
    <w:rsid w:val="00077CFC"/>
    <w:rsid w:val="00077F1C"/>
    <w:rsid w:val="0008011B"/>
    <w:rsid w:val="00080660"/>
    <w:rsid w:val="000809AB"/>
    <w:rsid w:val="000809C2"/>
    <w:rsid w:val="00080A89"/>
    <w:rsid w:val="00080D1F"/>
    <w:rsid w:val="00080D30"/>
    <w:rsid w:val="00080F2B"/>
    <w:rsid w:val="00081214"/>
    <w:rsid w:val="000813EC"/>
    <w:rsid w:val="0008177C"/>
    <w:rsid w:val="00081841"/>
    <w:rsid w:val="00081A80"/>
    <w:rsid w:val="00081A83"/>
    <w:rsid w:val="00081AC7"/>
    <w:rsid w:val="00081E21"/>
    <w:rsid w:val="000823A0"/>
    <w:rsid w:val="0008266D"/>
    <w:rsid w:val="00082BC5"/>
    <w:rsid w:val="00082CFC"/>
    <w:rsid w:val="00082D7C"/>
    <w:rsid w:val="00082E74"/>
    <w:rsid w:val="00083439"/>
    <w:rsid w:val="000836B7"/>
    <w:rsid w:val="000837B3"/>
    <w:rsid w:val="00083D7B"/>
    <w:rsid w:val="00083EA5"/>
    <w:rsid w:val="00083F1F"/>
    <w:rsid w:val="00084216"/>
    <w:rsid w:val="00084260"/>
    <w:rsid w:val="000845F5"/>
    <w:rsid w:val="00084918"/>
    <w:rsid w:val="00084B9D"/>
    <w:rsid w:val="00084C5F"/>
    <w:rsid w:val="00084CD9"/>
    <w:rsid w:val="00084E15"/>
    <w:rsid w:val="00085371"/>
    <w:rsid w:val="0008539A"/>
    <w:rsid w:val="00085554"/>
    <w:rsid w:val="0008593D"/>
    <w:rsid w:val="00085A57"/>
    <w:rsid w:val="00085C89"/>
    <w:rsid w:val="00085CEE"/>
    <w:rsid w:val="00085E23"/>
    <w:rsid w:val="00086267"/>
    <w:rsid w:val="0008630A"/>
    <w:rsid w:val="000864AF"/>
    <w:rsid w:val="00086548"/>
    <w:rsid w:val="0008660C"/>
    <w:rsid w:val="0008667D"/>
    <w:rsid w:val="0008668D"/>
    <w:rsid w:val="00086A01"/>
    <w:rsid w:val="00086DE2"/>
    <w:rsid w:val="00086F1C"/>
    <w:rsid w:val="000870E9"/>
    <w:rsid w:val="000873BD"/>
    <w:rsid w:val="0008752E"/>
    <w:rsid w:val="00087650"/>
    <w:rsid w:val="0008767E"/>
    <w:rsid w:val="00087712"/>
    <w:rsid w:val="000878FE"/>
    <w:rsid w:val="00087A6D"/>
    <w:rsid w:val="00087A8A"/>
    <w:rsid w:val="00087AF1"/>
    <w:rsid w:val="00090035"/>
    <w:rsid w:val="000903B3"/>
    <w:rsid w:val="000904ED"/>
    <w:rsid w:val="00090F6D"/>
    <w:rsid w:val="00091275"/>
    <w:rsid w:val="000913BF"/>
    <w:rsid w:val="00091B4D"/>
    <w:rsid w:val="00091C23"/>
    <w:rsid w:val="00091C98"/>
    <w:rsid w:val="00091DF1"/>
    <w:rsid w:val="0009206A"/>
    <w:rsid w:val="00092203"/>
    <w:rsid w:val="00092448"/>
    <w:rsid w:val="000924B7"/>
    <w:rsid w:val="000925DB"/>
    <w:rsid w:val="00092656"/>
    <w:rsid w:val="0009297C"/>
    <w:rsid w:val="00092A4F"/>
    <w:rsid w:val="00092BC7"/>
    <w:rsid w:val="00092CF9"/>
    <w:rsid w:val="00092D7D"/>
    <w:rsid w:val="000931EB"/>
    <w:rsid w:val="0009325A"/>
    <w:rsid w:val="00093314"/>
    <w:rsid w:val="00093435"/>
    <w:rsid w:val="00093444"/>
    <w:rsid w:val="0009371C"/>
    <w:rsid w:val="000937E3"/>
    <w:rsid w:val="0009391A"/>
    <w:rsid w:val="000939FB"/>
    <w:rsid w:val="00093C30"/>
    <w:rsid w:val="00093C96"/>
    <w:rsid w:val="00094098"/>
    <w:rsid w:val="00094194"/>
    <w:rsid w:val="000941A3"/>
    <w:rsid w:val="000946E3"/>
    <w:rsid w:val="000948EA"/>
    <w:rsid w:val="00094D0C"/>
    <w:rsid w:val="000950BF"/>
    <w:rsid w:val="00095141"/>
    <w:rsid w:val="00095553"/>
    <w:rsid w:val="00095957"/>
    <w:rsid w:val="00095B53"/>
    <w:rsid w:val="00095C39"/>
    <w:rsid w:val="00095F50"/>
    <w:rsid w:val="00096033"/>
    <w:rsid w:val="00096043"/>
    <w:rsid w:val="00096083"/>
    <w:rsid w:val="000961CF"/>
    <w:rsid w:val="000961E5"/>
    <w:rsid w:val="00096230"/>
    <w:rsid w:val="0009623C"/>
    <w:rsid w:val="00096349"/>
    <w:rsid w:val="000966CC"/>
    <w:rsid w:val="000967BD"/>
    <w:rsid w:val="00096E8E"/>
    <w:rsid w:val="00096FF8"/>
    <w:rsid w:val="0009734A"/>
    <w:rsid w:val="00097523"/>
    <w:rsid w:val="000975AE"/>
    <w:rsid w:val="000975DE"/>
    <w:rsid w:val="00097878"/>
    <w:rsid w:val="000979E2"/>
    <w:rsid w:val="00097B2B"/>
    <w:rsid w:val="00097C23"/>
    <w:rsid w:val="00097C6B"/>
    <w:rsid w:val="00097E7E"/>
    <w:rsid w:val="000A04E0"/>
    <w:rsid w:val="000A0BCC"/>
    <w:rsid w:val="000A0BFA"/>
    <w:rsid w:val="000A12BC"/>
    <w:rsid w:val="000A1414"/>
    <w:rsid w:val="000A14A7"/>
    <w:rsid w:val="000A1604"/>
    <w:rsid w:val="000A1787"/>
    <w:rsid w:val="000A17E0"/>
    <w:rsid w:val="000A19B0"/>
    <w:rsid w:val="000A1ADE"/>
    <w:rsid w:val="000A1BA9"/>
    <w:rsid w:val="000A1D06"/>
    <w:rsid w:val="000A1DA8"/>
    <w:rsid w:val="000A20B0"/>
    <w:rsid w:val="000A22F3"/>
    <w:rsid w:val="000A24F8"/>
    <w:rsid w:val="000A2968"/>
    <w:rsid w:val="000A2A78"/>
    <w:rsid w:val="000A2C46"/>
    <w:rsid w:val="000A2D19"/>
    <w:rsid w:val="000A30E6"/>
    <w:rsid w:val="000A3209"/>
    <w:rsid w:val="000A326D"/>
    <w:rsid w:val="000A352C"/>
    <w:rsid w:val="000A369B"/>
    <w:rsid w:val="000A36C2"/>
    <w:rsid w:val="000A376E"/>
    <w:rsid w:val="000A3ACD"/>
    <w:rsid w:val="000A3BD1"/>
    <w:rsid w:val="000A3EA7"/>
    <w:rsid w:val="000A3F5F"/>
    <w:rsid w:val="000A4016"/>
    <w:rsid w:val="000A41D5"/>
    <w:rsid w:val="000A44F2"/>
    <w:rsid w:val="000A46FE"/>
    <w:rsid w:val="000A47E4"/>
    <w:rsid w:val="000A499C"/>
    <w:rsid w:val="000A4A76"/>
    <w:rsid w:val="000A4D2D"/>
    <w:rsid w:val="000A4F91"/>
    <w:rsid w:val="000A5031"/>
    <w:rsid w:val="000A512E"/>
    <w:rsid w:val="000A522B"/>
    <w:rsid w:val="000A5836"/>
    <w:rsid w:val="000A588F"/>
    <w:rsid w:val="000A5ABC"/>
    <w:rsid w:val="000A5AF6"/>
    <w:rsid w:val="000A5D47"/>
    <w:rsid w:val="000A5FD6"/>
    <w:rsid w:val="000A5FF8"/>
    <w:rsid w:val="000A60F2"/>
    <w:rsid w:val="000A6330"/>
    <w:rsid w:val="000A6483"/>
    <w:rsid w:val="000A67E4"/>
    <w:rsid w:val="000A69D5"/>
    <w:rsid w:val="000A69D6"/>
    <w:rsid w:val="000A69F2"/>
    <w:rsid w:val="000A6A01"/>
    <w:rsid w:val="000A6A2D"/>
    <w:rsid w:val="000A6CDA"/>
    <w:rsid w:val="000A6DF0"/>
    <w:rsid w:val="000A745D"/>
    <w:rsid w:val="000A7644"/>
    <w:rsid w:val="000A7711"/>
    <w:rsid w:val="000A78D3"/>
    <w:rsid w:val="000A7A41"/>
    <w:rsid w:val="000A7F75"/>
    <w:rsid w:val="000B014A"/>
    <w:rsid w:val="000B0727"/>
    <w:rsid w:val="000B07CE"/>
    <w:rsid w:val="000B0823"/>
    <w:rsid w:val="000B08FE"/>
    <w:rsid w:val="000B0A1D"/>
    <w:rsid w:val="000B102C"/>
    <w:rsid w:val="000B1279"/>
    <w:rsid w:val="000B1285"/>
    <w:rsid w:val="000B1A04"/>
    <w:rsid w:val="000B1CE3"/>
    <w:rsid w:val="000B1D04"/>
    <w:rsid w:val="000B1E5D"/>
    <w:rsid w:val="000B1F99"/>
    <w:rsid w:val="000B2205"/>
    <w:rsid w:val="000B22E7"/>
    <w:rsid w:val="000B2343"/>
    <w:rsid w:val="000B29C3"/>
    <w:rsid w:val="000B2B94"/>
    <w:rsid w:val="000B2FCE"/>
    <w:rsid w:val="000B2FE7"/>
    <w:rsid w:val="000B3161"/>
    <w:rsid w:val="000B34AD"/>
    <w:rsid w:val="000B362E"/>
    <w:rsid w:val="000B36C9"/>
    <w:rsid w:val="000B3908"/>
    <w:rsid w:val="000B3912"/>
    <w:rsid w:val="000B3AFC"/>
    <w:rsid w:val="000B3BB3"/>
    <w:rsid w:val="000B3CA8"/>
    <w:rsid w:val="000B3DDC"/>
    <w:rsid w:val="000B3E07"/>
    <w:rsid w:val="000B3E93"/>
    <w:rsid w:val="000B3F18"/>
    <w:rsid w:val="000B4915"/>
    <w:rsid w:val="000B4C5B"/>
    <w:rsid w:val="000B5038"/>
    <w:rsid w:val="000B5040"/>
    <w:rsid w:val="000B5099"/>
    <w:rsid w:val="000B53E4"/>
    <w:rsid w:val="000B5482"/>
    <w:rsid w:val="000B56C5"/>
    <w:rsid w:val="000B56D2"/>
    <w:rsid w:val="000B5848"/>
    <w:rsid w:val="000B58C3"/>
    <w:rsid w:val="000B5EC0"/>
    <w:rsid w:val="000B60D9"/>
    <w:rsid w:val="000B6166"/>
    <w:rsid w:val="000B625E"/>
    <w:rsid w:val="000B6333"/>
    <w:rsid w:val="000B6370"/>
    <w:rsid w:val="000B64C5"/>
    <w:rsid w:val="000B64DE"/>
    <w:rsid w:val="000B6733"/>
    <w:rsid w:val="000B67F4"/>
    <w:rsid w:val="000B69DF"/>
    <w:rsid w:val="000B6BE8"/>
    <w:rsid w:val="000B6E3E"/>
    <w:rsid w:val="000B6FE1"/>
    <w:rsid w:val="000B7348"/>
    <w:rsid w:val="000B77A9"/>
    <w:rsid w:val="000B78D5"/>
    <w:rsid w:val="000B7AB6"/>
    <w:rsid w:val="000B7CF4"/>
    <w:rsid w:val="000B7DE3"/>
    <w:rsid w:val="000C04F5"/>
    <w:rsid w:val="000C0673"/>
    <w:rsid w:val="000C08D3"/>
    <w:rsid w:val="000C08D9"/>
    <w:rsid w:val="000C0B41"/>
    <w:rsid w:val="000C0CC4"/>
    <w:rsid w:val="000C0E32"/>
    <w:rsid w:val="000C0FA7"/>
    <w:rsid w:val="000C0FF2"/>
    <w:rsid w:val="000C103B"/>
    <w:rsid w:val="000C13FE"/>
    <w:rsid w:val="000C1436"/>
    <w:rsid w:val="000C1537"/>
    <w:rsid w:val="000C15A6"/>
    <w:rsid w:val="000C1641"/>
    <w:rsid w:val="000C164F"/>
    <w:rsid w:val="000C1B42"/>
    <w:rsid w:val="000C1B97"/>
    <w:rsid w:val="000C1CC1"/>
    <w:rsid w:val="000C1D8A"/>
    <w:rsid w:val="000C1DB9"/>
    <w:rsid w:val="000C1FE8"/>
    <w:rsid w:val="000C2279"/>
    <w:rsid w:val="000C237F"/>
    <w:rsid w:val="000C246E"/>
    <w:rsid w:val="000C2477"/>
    <w:rsid w:val="000C2624"/>
    <w:rsid w:val="000C27F8"/>
    <w:rsid w:val="000C29B6"/>
    <w:rsid w:val="000C2C81"/>
    <w:rsid w:val="000C2DFF"/>
    <w:rsid w:val="000C2F5C"/>
    <w:rsid w:val="000C2F5E"/>
    <w:rsid w:val="000C3242"/>
    <w:rsid w:val="000C33D3"/>
    <w:rsid w:val="000C3721"/>
    <w:rsid w:val="000C3766"/>
    <w:rsid w:val="000C390F"/>
    <w:rsid w:val="000C3BFE"/>
    <w:rsid w:val="000C3C28"/>
    <w:rsid w:val="000C3CBD"/>
    <w:rsid w:val="000C408F"/>
    <w:rsid w:val="000C4828"/>
    <w:rsid w:val="000C4B3E"/>
    <w:rsid w:val="000C4B69"/>
    <w:rsid w:val="000C4D68"/>
    <w:rsid w:val="000C4ED0"/>
    <w:rsid w:val="000C4EDD"/>
    <w:rsid w:val="000C4FCA"/>
    <w:rsid w:val="000C550E"/>
    <w:rsid w:val="000C558D"/>
    <w:rsid w:val="000C56B9"/>
    <w:rsid w:val="000C58DF"/>
    <w:rsid w:val="000C5941"/>
    <w:rsid w:val="000C5976"/>
    <w:rsid w:val="000C5A43"/>
    <w:rsid w:val="000C5A6E"/>
    <w:rsid w:val="000C5B66"/>
    <w:rsid w:val="000C5DD2"/>
    <w:rsid w:val="000C5F1B"/>
    <w:rsid w:val="000C5F8D"/>
    <w:rsid w:val="000C66B5"/>
    <w:rsid w:val="000C68E1"/>
    <w:rsid w:val="000C69E1"/>
    <w:rsid w:val="000C6A76"/>
    <w:rsid w:val="000C6DB7"/>
    <w:rsid w:val="000C7001"/>
    <w:rsid w:val="000C703B"/>
    <w:rsid w:val="000C710C"/>
    <w:rsid w:val="000C7360"/>
    <w:rsid w:val="000C73CE"/>
    <w:rsid w:val="000C76B7"/>
    <w:rsid w:val="000C770E"/>
    <w:rsid w:val="000C7745"/>
    <w:rsid w:val="000C77F8"/>
    <w:rsid w:val="000C7802"/>
    <w:rsid w:val="000C7AEA"/>
    <w:rsid w:val="000C7BF6"/>
    <w:rsid w:val="000C7E0C"/>
    <w:rsid w:val="000D00E9"/>
    <w:rsid w:val="000D0522"/>
    <w:rsid w:val="000D0B28"/>
    <w:rsid w:val="000D0C64"/>
    <w:rsid w:val="000D0CCE"/>
    <w:rsid w:val="000D0D34"/>
    <w:rsid w:val="000D113C"/>
    <w:rsid w:val="000D12CC"/>
    <w:rsid w:val="000D1693"/>
    <w:rsid w:val="000D171E"/>
    <w:rsid w:val="000D176D"/>
    <w:rsid w:val="000D1820"/>
    <w:rsid w:val="000D1A6F"/>
    <w:rsid w:val="000D1A8D"/>
    <w:rsid w:val="000D1D1A"/>
    <w:rsid w:val="000D1E7F"/>
    <w:rsid w:val="000D1F05"/>
    <w:rsid w:val="000D1FF7"/>
    <w:rsid w:val="000D2130"/>
    <w:rsid w:val="000D25B5"/>
    <w:rsid w:val="000D25ED"/>
    <w:rsid w:val="000D2724"/>
    <w:rsid w:val="000D2773"/>
    <w:rsid w:val="000D281A"/>
    <w:rsid w:val="000D2A5F"/>
    <w:rsid w:val="000D2A89"/>
    <w:rsid w:val="000D2AB5"/>
    <w:rsid w:val="000D2B0B"/>
    <w:rsid w:val="000D2EFF"/>
    <w:rsid w:val="000D3220"/>
    <w:rsid w:val="000D327D"/>
    <w:rsid w:val="000D33CD"/>
    <w:rsid w:val="000D36E8"/>
    <w:rsid w:val="000D3D5D"/>
    <w:rsid w:val="000D4122"/>
    <w:rsid w:val="000D4289"/>
    <w:rsid w:val="000D4391"/>
    <w:rsid w:val="000D45A7"/>
    <w:rsid w:val="000D49E1"/>
    <w:rsid w:val="000D4D5D"/>
    <w:rsid w:val="000D4D9E"/>
    <w:rsid w:val="000D4DCA"/>
    <w:rsid w:val="000D4E6C"/>
    <w:rsid w:val="000D4E9D"/>
    <w:rsid w:val="000D4F65"/>
    <w:rsid w:val="000D5081"/>
    <w:rsid w:val="000D536B"/>
    <w:rsid w:val="000D542A"/>
    <w:rsid w:val="000D5759"/>
    <w:rsid w:val="000D577E"/>
    <w:rsid w:val="000D5780"/>
    <w:rsid w:val="000D58B6"/>
    <w:rsid w:val="000D5A00"/>
    <w:rsid w:val="000D5A08"/>
    <w:rsid w:val="000D5B13"/>
    <w:rsid w:val="000D5DA2"/>
    <w:rsid w:val="000D5EC2"/>
    <w:rsid w:val="000D6225"/>
    <w:rsid w:val="000D6501"/>
    <w:rsid w:val="000D669E"/>
    <w:rsid w:val="000D6787"/>
    <w:rsid w:val="000D69B3"/>
    <w:rsid w:val="000D6A18"/>
    <w:rsid w:val="000D6ABC"/>
    <w:rsid w:val="000D6B66"/>
    <w:rsid w:val="000D6CAF"/>
    <w:rsid w:val="000D6D69"/>
    <w:rsid w:val="000D7080"/>
    <w:rsid w:val="000D74C6"/>
    <w:rsid w:val="000D7649"/>
    <w:rsid w:val="000D7799"/>
    <w:rsid w:val="000D78A8"/>
    <w:rsid w:val="000D7B94"/>
    <w:rsid w:val="000D7BA5"/>
    <w:rsid w:val="000D7D31"/>
    <w:rsid w:val="000E0047"/>
    <w:rsid w:val="000E012A"/>
    <w:rsid w:val="000E0412"/>
    <w:rsid w:val="000E07CB"/>
    <w:rsid w:val="000E09E9"/>
    <w:rsid w:val="000E0D0C"/>
    <w:rsid w:val="000E0D36"/>
    <w:rsid w:val="000E0F26"/>
    <w:rsid w:val="000E0F9E"/>
    <w:rsid w:val="000E10AA"/>
    <w:rsid w:val="000E1163"/>
    <w:rsid w:val="000E1552"/>
    <w:rsid w:val="000E15F3"/>
    <w:rsid w:val="000E1749"/>
    <w:rsid w:val="000E1776"/>
    <w:rsid w:val="000E1A0D"/>
    <w:rsid w:val="000E1AF5"/>
    <w:rsid w:val="000E2061"/>
    <w:rsid w:val="000E22C9"/>
    <w:rsid w:val="000E2704"/>
    <w:rsid w:val="000E2707"/>
    <w:rsid w:val="000E2804"/>
    <w:rsid w:val="000E2AB0"/>
    <w:rsid w:val="000E2EC7"/>
    <w:rsid w:val="000E2F53"/>
    <w:rsid w:val="000E2FE1"/>
    <w:rsid w:val="000E3726"/>
    <w:rsid w:val="000E3803"/>
    <w:rsid w:val="000E39EF"/>
    <w:rsid w:val="000E3A94"/>
    <w:rsid w:val="000E3AB3"/>
    <w:rsid w:val="000E3F25"/>
    <w:rsid w:val="000E427F"/>
    <w:rsid w:val="000E435C"/>
    <w:rsid w:val="000E448E"/>
    <w:rsid w:val="000E452E"/>
    <w:rsid w:val="000E4638"/>
    <w:rsid w:val="000E4982"/>
    <w:rsid w:val="000E4A43"/>
    <w:rsid w:val="000E4AA2"/>
    <w:rsid w:val="000E4BFE"/>
    <w:rsid w:val="000E4CA8"/>
    <w:rsid w:val="000E5007"/>
    <w:rsid w:val="000E506F"/>
    <w:rsid w:val="000E5445"/>
    <w:rsid w:val="000E5503"/>
    <w:rsid w:val="000E5571"/>
    <w:rsid w:val="000E56B5"/>
    <w:rsid w:val="000E5706"/>
    <w:rsid w:val="000E5795"/>
    <w:rsid w:val="000E5811"/>
    <w:rsid w:val="000E5B71"/>
    <w:rsid w:val="000E5B9E"/>
    <w:rsid w:val="000E5EC9"/>
    <w:rsid w:val="000E5F64"/>
    <w:rsid w:val="000E6066"/>
    <w:rsid w:val="000E60AA"/>
    <w:rsid w:val="000E61EB"/>
    <w:rsid w:val="000E6600"/>
    <w:rsid w:val="000E6969"/>
    <w:rsid w:val="000E6CBF"/>
    <w:rsid w:val="000E6DC4"/>
    <w:rsid w:val="000E6F34"/>
    <w:rsid w:val="000E701B"/>
    <w:rsid w:val="000E712E"/>
    <w:rsid w:val="000E72A9"/>
    <w:rsid w:val="000E73C4"/>
    <w:rsid w:val="000E7423"/>
    <w:rsid w:val="000E742E"/>
    <w:rsid w:val="000E76B1"/>
    <w:rsid w:val="000E770E"/>
    <w:rsid w:val="000E7825"/>
    <w:rsid w:val="000E7A23"/>
    <w:rsid w:val="000E7CCD"/>
    <w:rsid w:val="000F00DF"/>
    <w:rsid w:val="000F01FD"/>
    <w:rsid w:val="000F0669"/>
    <w:rsid w:val="000F0671"/>
    <w:rsid w:val="000F08C5"/>
    <w:rsid w:val="000F090A"/>
    <w:rsid w:val="000F0FB8"/>
    <w:rsid w:val="000F10C6"/>
    <w:rsid w:val="000F13DF"/>
    <w:rsid w:val="000F14BE"/>
    <w:rsid w:val="000F15BE"/>
    <w:rsid w:val="000F161A"/>
    <w:rsid w:val="000F165A"/>
    <w:rsid w:val="000F16A7"/>
    <w:rsid w:val="000F1770"/>
    <w:rsid w:val="000F1DC6"/>
    <w:rsid w:val="000F2195"/>
    <w:rsid w:val="000F29F5"/>
    <w:rsid w:val="000F2C6E"/>
    <w:rsid w:val="000F2FA1"/>
    <w:rsid w:val="000F30FC"/>
    <w:rsid w:val="000F3156"/>
    <w:rsid w:val="000F31BD"/>
    <w:rsid w:val="000F3307"/>
    <w:rsid w:val="000F3A3D"/>
    <w:rsid w:val="000F3A45"/>
    <w:rsid w:val="000F3BF6"/>
    <w:rsid w:val="000F3E9C"/>
    <w:rsid w:val="000F3FB9"/>
    <w:rsid w:val="000F40EF"/>
    <w:rsid w:val="000F41E4"/>
    <w:rsid w:val="000F41F4"/>
    <w:rsid w:val="000F44B7"/>
    <w:rsid w:val="000F46BA"/>
    <w:rsid w:val="000F482E"/>
    <w:rsid w:val="000F48E6"/>
    <w:rsid w:val="000F49D9"/>
    <w:rsid w:val="000F4A3C"/>
    <w:rsid w:val="000F4AB6"/>
    <w:rsid w:val="000F4B57"/>
    <w:rsid w:val="000F4B78"/>
    <w:rsid w:val="000F4DAC"/>
    <w:rsid w:val="000F4E0C"/>
    <w:rsid w:val="000F515F"/>
    <w:rsid w:val="000F5463"/>
    <w:rsid w:val="000F558C"/>
    <w:rsid w:val="000F568E"/>
    <w:rsid w:val="000F56F4"/>
    <w:rsid w:val="000F582D"/>
    <w:rsid w:val="000F5999"/>
    <w:rsid w:val="000F5A4C"/>
    <w:rsid w:val="000F5A4E"/>
    <w:rsid w:val="000F6082"/>
    <w:rsid w:val="000F6349"/>
    <w:rsid w:val="000F66E3"/>
    <w:rsid w:val="000F69B5"/>
    <w:rsid w:val="000F6B24"/>
    <w:rsid w:val="000F6ED7"/>
    <w:rsid w:val="000F7021"/>
    <w:rsid w:val="000F71A7"/>
    <w:rsid w:val="000F740D"/>
    <w:rsid w:val="000F7491"/>
    <w:rsid w:val="000F74A4"/>
    <w:rsid w:val="000F7589"/>
    <w:rsid w:val="000F75C7"/>
    <w:rsid w:val="000F7610"/>
    <w:rsid w:val="000F7751"/>
    <w:rsid w:val="000F7D9B"/>
    <w:rsid w:val="000F7DE0"/>
    <w:rsid w:val="000F7FE8"/>
    <w:rsid w:val="00100102"/>
    <w:rsid w:val="0010017F"/>
    <w:rsid w:val="0010021E"/>
    <w:rsid w:val="00100293"/>
    <w:rsid w:val="001003AB"/>
    <w:rsid w:val="00100440"/>
    <w:rsid w:val="001006A2"/>
    <w:rsid w:val="00100833"/>
    <w:rsid w:val="001008AF"/>
    <w:rsid w:val="0010094B"/>
    <w:rsid w:val="00100950"/>
    <w:rsid w:val="0010115D"/>
    <w:rsid w:val="001012BF"/>
    <w:rsid w:val="00101305"/>
    <w:rsid w:val="00101579"/>
    <w:rsid w:val="001017B7"/>
    <w:rsid w:val="001017FD"/>
    <w:rsid w:val="00101CDD"/>
    <w:rsid w:val="00101E06"/>
    <w:rsid w:val="00101E49"/>
    <w:rsid w:val="001020C2"/>
    <w:rsid w:val="00102118"/>
    <w:rsid w:val="00102318"/>
    <w:rsid w:val="00102570"/>
    <w:rsid w:val="001025D7"/>
    <w:rsid w:val="00102638"/>
    <w:rsid w:val="00102905"/>
    <w:rsid w:val="0010290C"/>
    <w:rsid w:val="0010297D"/>
    <w:rsid w:val="001029AC"/>
    <w:rsid w:val="00102D92"/>
    <w:rsid w:val="00103262"/>
    <w:rsid w:val="0010338F"/>
    <w:rsid w:val="001035B6"/>
    <w:rsid w:val="0010383F"/>
    <w:rsid w:val="00103857"/>
    <w:rsid w:val="00103D55"/>
    <w:rsid w:val="00103EC7"/>
    <w:rsid w:val="001043A2"/>
    <w:rsid w:val="00104418"/>
    <w:rsid w:val="0010454F"/>
    <w:rsid w:val="001048E7"/>
    <w:rsid w:val="00104C4F"/>
    <w:rsid w:val="00104C73"/>
    <w:rsid w:val="00104E0D"/>
    <w:rsid w:val="00105111"/>
    <w:rsid w:val="00105739"/>
    <w:rsid w:val="0010592E"/>
    <w:rsid w:val="00105970"/>
    <w:rsid w:val="00105E4A"/>
    <w:rsid w:val="001060EC"/>
    <w:rsid w:val="0010634B"/>
    <w:rsid w:val="0010660C"/>
    <w:rsid w:val="001067A8"/>
    <w:rsid w:val="001068E1"/>
    <w:rsid w:val="00106BAB"/>
    <w:rsid w:val="001071B2"/>
    <w:rsid w:val="0010770C"/>
    <w:rsid w:val="00107899"/>
    <w:rsid w:val="001078A8"/>
    <w:rsid w:val="001078B3"/>
    <w:rsid w:val="00107BED"/>
    <w:rsid w:val="00107C17"/>
    <w:rsid w:val="00107DEB"/>
    <w:rsid w:val="00107E64"/>
    <w:rsid w:val="00107F80"/>
    <w:rsid w:val="001100A9"/>
    <w:rsid w:val="001100B8"/>
    <w:rsid w:val="001100D0"/>
    <w:rsid w:val="0011051A"/>
    <w:rsid w:val="00110522"/>
    <w:rsid w:val="00110A33"/>
    <w:rsid w:val="00110A61"/>
    <w:rsid w:val="00110AA4"/>
    <w:rsid w:val="00110CAA"/>
    <w:rsid w:val="0011104B"/>
    <w:rsid w:val="00111272"/>
    <w:rsid w:val="0011149A"/>
    <w:rsid w:val="001115FC"/>
    <w:rsid w:val="001116A6"/>
    <w:rsid w:val="001117DA"/>
    <w:rsid w:val="001119AD"/>
    <w:rsid w:val="001119D9"/>
    <w:rsid w:val="00111A0D"/>
    <w:rsid w:val="00111A31"/>
    <w:rsid w:val="00111B75"/>
    <w:rsid w:val="00111CF6"/>
    <w:rsid w:val="001123A0"/>
    <w:rsid w:val="001123B4"/>
    <w:rsid w:val="0011240A"/>
    <w:rsid w:val="001126D6"/>
    <w:rsid w:val="00112B28"/>
    <w:rsid w:val="00112C97"/>
    <w:rsid w:val="00112CD9"/>
    <w:rsid w:val="00112DB7"/>
    <w:rsid w:val="00112E66"/>
    <w:rsid w:val="00113052"/>
    <w:rsid w:val="001130D4"/>
    <w:rsid w:val="00113163"/>
    <w:rsid w:val="00113185"/>
    <w:rsid w:val="001133BF"/>
    <w:rsid w:val="00113A51"/>
    <w:rsid w:val="00113C67"/>
    <w:rsid w:val="00113D0C"/>
    <w:rsid w:val="00113DE0"/>
    <w:rsid w:val="00113E8E"/>
    <w:rsid w:val="001140EA"/>
    <w:rsid w:val="0011422B"/>
    <w:rsid w:val="00114524"/>
    <w:rsid w:val="00114531"/>
    <w:rsid w:val="00114577"/>
    <w:rsid w:val="00114919"/>
    <w:rsid w:val="00114994"/>
    <w:rsid w:val="00114DD4"/>
    <w:rsid w:val="00114DF8"/>
    <w:rsid w:val="00114E99"/>
    <w:rsid w:val="0011516C"/>
    <w:rsid w:val="00115173"/>
    <w:rsid w:val="001156BD"/>
    <w:rsid w:val="00115976"/>
    <w:rsid w:val="00115AA3"/>
    <w:rsid w:val="00115B4E"/>
    <w:rsid w:val="00115B94"/>
    <w:rsid w:val="00115D81"/>
    <w:rsid w:val="001160AC"/>
    <w:rsid w:val="0011625B"/>
    <w:rsid w:val="001163C7"/>
    <w:rsid w:val="00116442"/>
    <w:rsid w:val="001164C1"/>
    <w:rsid w:val="001165A1"/>
    <w:rsid w:val="00116787"/>
    <w:rsid w:val="00116AB6"/>
    <w:rsid w:val="00116C44"/>
    <w:rsid w:val="00116F6B"/>
    <w:rsid w:val="00116F6E"/>
    <w:rsid w:val="00116FEA"/>
    <w:rsid w:val="00117299"/>
    <w:rsid w:val="001173FF"/>
    <w:rsid w:val="001174DB"/>
    <w:rsid w:val="001174FF"/>
    <w:rsid w:val="001176C1"/>
    <w:rsid w:val="00117B47"/>
    <w:rsid w:val="00117C00"/>
    <w:rsid w:val="00117D81"/>
    <w:rsid w:val="00117EFA"/>
    <w:rsid w:val="0012027C"/>
    <w:rsid w:val="001202C1"/>
    <w:rsid w:val="001204BD"/>
    <w:rsid w:val="001206C6"/>
    <w:rsid w:val="00120957"/>
    <w:rsid w:val="00120C4E"/>
    <w:rsid w:val="00120C70"/>
    <w:rsid w:val="00120CD3"/>
    <w:rsid w:val="001212C3"/>
    <w:rsid w:val="00121593"/>
    <w:rsid w:val="00121749"/>
    <w:rsid w:val="00121889"/>
    <w:rsid w:val="0012196C"/>
    <w:rsid w:val="00121A41"/>
    <w:rsid w:val="00121ACB"/>
    <w:rsid w:val="00121DF5"/>
    <w:rsid w:val="00121F32"/>
    <w:rsid w:val="00121F4E"/>
    <w:rsid w:val="0012200F"/>
    <w:rsid w:val="00122862"/>
    <w:rsid w:val="00122876"/>
    <w:rsid w:val="001229D7"/>
    <w:rsid w:val="00122A68"/>
    <w:rsid w:val="00122D74"/>
    <w:rsid w:val="00122DFC"/>
    <w:rsid w:val="00122F43"/>
    <w:rsid w:val="0012308C"/>
    <w:rsid w:val="00123095"/>
    <w:rsid w:val="0012312C"/>
    <w:rsid w:val="00123304"/>
    <w:rsid w:val="00123379"/>
    <w:rsid w:val="00123771"/>
    <w:rsid w:val="001237ED"/>
    <w:rsid w:val="0012383B"/>
    <w:rsid w:val="00123977"/>
    <w:rsid w:val="00123C0D"/>
    <w:rsid w:val="00123CCD"/>
    <w:rsid w:val="00123D26"/>
    <w:rsid w:val="00123D43"/>
    <w:rsid w:val="00123D5B"/>
    <w:rsid w:val="00123D86"/>
    <w:rsid w:val="00123FE2"/>
    <w:rsid w:val="00124034"/>
    <w:rsid w:val="0012434C"/>
    <w:rsid w:val="00124465"/>
    <w:rsid w:val="00124563"/>
    <w:rsid w:val="001245EB"/>
    <w:rsid w:val="0012466A"/>
    <w:rsid w:val="001247BB"/>
    <w:rsid w:val="00124899"/>
    <w:rsid w:val="001249A2"/>
    <w:rsid w:val="00124B76"/>
    <w:rsid w:val="00124E1D"/>
    <w:rsid w:val="00124E82"/>
    <w:rsid w:val="00125BA8"/>
    <w:rsid w:val="00125D80"/>
    <w:rsid w:val="00125DD7"/>
    <w:rsid w:val="00125E23"/>
    <w:rsid w:val="00126082"/>
    <w:rsid w:val="00126844"/>
    <w:rsid w:val="00126C1F"/>
    <w:rsid w:val="00126D9D"/>
    <w:rsid w:val="001270FD"/>
    <w:rsid w:val="00127272"/>
    <w:rsid w:val="00127316"/>
    <w:rsid w:val="00127387"/>
    <w:rsid w:val="001274B1"/>
    <w:rsid w:val="00127B22"/>
    <w:rsid w:val="00127CC9"/>
    <w:rsid w:val="00127E88"/>
    <w:rsid w:val="00130021"/>
    <w:rsid w:val="001300F6"/>
    <w:rsid w:val="0013033E"/>
    <w:rsid w:val="00130714"/>
    <w:rsid w:val="0013075B"/>
    <w:rsid w:val="001309C8"/>
    <w:rsid w:val="001310B8"/>
    <w:rsid w:val="001311B0"/>
    <w:rsid w:val="001311DB"/>
    <w:rsid w:val="001313CB"/>
    <w:rsid w:val="001314A3"/>
    <w:rsid w:val="001315AE"/>
    <w:rsid w:val="00131605"/>
    <w:rsid w:val="001319BD"/>
    <w:rsid w:val="00131A1B"/>
    <w:rsid w:val="00131C24"/>
    <w:rsid w:val="00131D89"/>
    <w:rsid w:val="00131FBA"/>
    <w:rsid w:val="0013203B"/>
    <w:rsid w:val="001320F9"/>
    <w:rsid w:val="00132115"/>
    <w:rsid w:val="00132142"/>
    <w:rsid w:val="001323C1"/>
    <w:rsid w:val="00132590"/>
    <w:rsid w:val="001327EA"/>
    <w:rsid w:val="0013280D"/>
    <w:rsid w:val="001328AD"/>
    <w:rsid w:val="00132979"/>
    <w:rsid w:val="00132B5F"/>
    <w:rsid w:val="00132E61"/>
    <w:rsid w:val="001331C7"/>
    <w:rsid w:val="0013343C"/>
    <w:rsid w:val="0013347E"/>
    <w:rsid w:val="001335B2"/>
    <w:rsid w:val="00133A4F"/>
    <w:rsid w:val="00133A7A"/>
    <w:rsid w:val="00133B67"/>
    <w:rsid w:val="00133C0E"/>
    <w:rsid w:val="00133C7A"/>
    <w:rsid w:val="00133C89"/>
    <w:rsid w:val="00133CBC"/>
    <w:rsid w:val="00133D55"/>
    <w:rsid w:val="00133D60"/>
    <w:rsid w:val="00133FB6"/>
    <w:rsid w:val="0013406F"/>
    <w:rsid w:val="0013425F"/>
    <w:rsid w:val="0013433C"/>
    <w:rsid w:val="0013476E"/>
    <w:rsid w:val="001348D3"/>
    <w:rsid w:val="00134960"/>
    <w:rsid w:val="00134992"/>
    <w:rsid w:val="001349A2"/>
    <w:rsid w:val="00134D42"/>
    <w:rsid w:val="00135132"/>
    <w:rsid w:val="00135284"/>
    <w:rsid w:val="00135523"/>
    <w:rsid w:val="0013558B"/>
    <w:rsid w:val="0013561A"/>
    <w:rsid w:val="00135A4E"/>
    <w:rsid w:val="00135C4F"/>
    <w:rsid w:val="0013616B"/>
    <w:rsid w:val="00136384"/>
    <w:rsid w:val="0013642D"/>
    <w:rsid w:val="001364C7"/>
    <w:rsid w:val="00136957"/>
    <w:rsid w:val="00136AAB"/>
    <w:rsid w:val="00136B33"/>
    <w:rsid w:val="00136F1C"/>
    <w:rsid w:val="00136F63"/>
    <w:rsid w:val="001370C1"/>
    <w:rsid w:val="00137130"/>
    <w:rsid w:val="0013731B"/>
    <w:rsid w:val="0013753E"/>
    <w:rsid w:val="0013766F"/>
    <w:rsid w:val="00137966"/>
    <w:rsid w:val="00137FE5"/>
    <w:rsid w:val="00140273"/>
    <w:rsid w:val="001403F9"/>
    <w:rsid w:val="00140411"/>
    <w:rsid w:val="0014044E"/>
    <w:rsid w:val="001407C0"/>
    <w:rsid w:val="0014083F"/>
    <w:rsid w:val="00140892"/>
    <w:rsid w:val="001408FC"/>
    <w:rsid w:val="0014095D"/>
    <w:rsid w:val="00140992"/>
    <w:rsid w:val="00140AD9"/>
    <w:rsid w:val="00140CCA"/>
    <w:rsid w:val="00140E09"/>
    <w:rsid w:val="00140E80"/>
    <w:rsid w:val="00140F6E"/>
    <w:rsid w:val="00141306"/>
    <w:rsid w:val="0014146D"/>
    <w:rsid w:val="001414EE"/>
    <w:rsid w:val="001416CF"/>
    <w:rsid w:val="00141901"/>
    <w:rsid w:val="00141AA0"/>
    <w:rsid w:val="00141C04"/>
    <w:rsid w:val="00141EF5"/>
    <w:rsid w:val="00141F44"/>
    <w:rsid w:val="00141F70"/>
    <w:rsid w:val="0014213A"/>
    <w:rsid w:val="001421F9"/>
    <w:rsid w:val="001426CD"/>
    <w:rsid w:val="0014281F"/>
    <w:rsid w:val="001428F3"/>
    <w:rsid w:val="00142950"/>
    <w:rsid w:val="00142ADB"/>
    <w:rsid w:val="00142B4C"/>
    <w:rsid w:val="00142C36"/>
    <w:rsid w:val="00142C5D"/>
    <w:rsid w:val="00142E6C"/>
    <w:rsid w:val="00142E77"/>
    <w:rsid w:val="00142F36"/>
    <w:rsid w:val="00142F58"/>
    <w:rsid w:val="001432A4"/>
    <w:rsid w:val="00143771"/>
    <w:rsid w:val="00143793"/>
    <w:rsid w:val="001442E8"/>
    <w:rsid w:val="00144430"/>
    <w:rsid w:val="0014497C"/>
    <w:rsid w:val="00144A56"/>
    <w:rsid w:val="00144A89"/>
    <w:rsid w:val="00144BA0"/>
    <w:rsid w:val="00145045"/>
    <w:rsid w:val="001456C7"/>
    <w:rsid w:val="00145741"/>
    <w:rsid w:val="00145763"/>
    <w:rsid w:val="00145876"/>
    <w:rsid w:val="001459A3"/>
    <w:rsid w:val="00145B0D"/>
    <w:rsid w:val="00145BA9"/>
    <w:rsid w:val="00145DCA"/>
    <w:rsid w:val="00145E54"/>
    <w:rsid w:val="001460AC"/>
    <w:rsid w:val="001461C0"/>
    <w:rsid w:val="001464F0"/>
    <w:rsid w:val="00146C41"/>
    <w:rsid w:val="00146D70"/>
    <w:rsid w:val="00147026"/>
    <w:rsid w:val="001471BB"/>
    <w:rsid w:val="00147255"/>
    <w:rsid w:val="001475EF"/>
    <w:rsid w:val="00147AA5"/>
    <w:rsid w:val="00147AAE"/>
    <w:rsid w:val="00147B98"/>
    <w:rsid w:val="00150319"/>
    <w:rsid w:val="00150424"/>
    <w:rsid w:val="00150434"/>
    <w:rsid w:val="0015055B"/>
    <w:rsid w:val="00150731"/>
    <w:rsid w:val="00150B3C"/>
    <w:rsid w:val="00150D97"/>
    <w:rsid w:val="00150FC5"/>
    <w:rsid w:val="0015105E"/>
    <w:rsid w:val="0015115A"/>
    <w:rsid w:val="001511D6"/>
    <w:rsid w:val="001511F0"/>
    <w:rsid w:val="0015150F"/>
    <w:rsid w:val="00151585"/>
    <w:rsid w:val="00151772"/>
    <w:rsid w:val="001517DA"/>
    <w:rsid w:val="00151B2D"/>
    <w:rsid w:val="00151C38"/>
    <w:rsid w:val="00151C8D"/>
    <w:rsid w:val="00151ECE"/>
    <w:rsid w:val="00151FB6"/>
    <w:rsid w:val="001521A8"/>
    <w:rsid w:val="0015221A"/>
    <w:rsid w:val="001527D9"/>
    <w:rsid w:val="00152804"/>
    <w:rsid w:val="00152822"/>
    <w:rsid w:val="001529BC"/>
    <w:rsid w:val="00152A43"/>
    <w:rsid w:val="00152A4F"/>
    <w:rsid w:val="00152B16"/>
    <w:rsid w:val="00152FFD"/>
    <w:rsid w:val="00153165"/>
    <w:rsid w:val="00153421"/>
    <w:rsid w:val="0015357A"/>
    <w:rsid w:val="00153718"/>
    <w:rsid w:val="00153A28"/>
    <w:rsid w:val="00153A92"/>
    <w:rsid w:val="00153BB1"/>
    <w:rsid w:val="00153EC6"/>
    <w:rsid w:val="00154063"/>
    <w:rsid w:val="00154298"/>
    <w:rsid w:val="001542EA"/>
    <w:rsid w:val="001543D7"/>
    <w:rsid w:val="001549C6"/>
    <w:rsid w:val="00154B93"/>
    <w:rsid w:val="00154CDB"/>
    <w:rsid w:val="00154D02"/>
    <w:rsid w:val="0015507A"/>
    <w:rsid w:val="00155490"/>
    <w:rsid w:val="0015593E"/>
    <w:rsid w:val="00155C88"/>
    <w:rsid w:val="00155CB2"/>
    <w:rsid w:val="00155D87"/>
    <w:rsid w:val="001563B0"/>
    <w:rsid w:val="001564F5"/>
    <w:rsid w:val="0015659E"/>
    <w:rsid w:val="00156831"/>
    <w:rsid w:val="001569E6"/>
    <w:rsid w:val="00156A36"/>
    <w:rsid w:val="00156A61"/>
    <w:rsid w:val="00156D53"/>
    <w:rsid w:val="00156FB2"/>
    <w:rsid w:val="001572DD"/>
    <w:rsid w:val="001575F1"/>
    <w:rsid w:val="00157628"/>
    <w:rsid w:val="0015773F"/>
    <w:rsid w:val="00157758"/>
    <w:rsid w:val="0015789B"/>
    <w:rsid w:val="00157C57"/>
    <w:rsid w:val="00157CEB"/>
    <w:rsid w:val="00157D47"/>
    <w:rsid w:val="00157DF4"/>
    <w:rsid w:val="00157E80"/>
    <w:rsid w:val="00157F1D"/>
    <w:rsid w:val="0016037E"/>
    <w:rsid w:val="00160F8D"/>
    <w:rsid w:val="00160F93"/>
    <w:rsid w:val="00161125"/>
    <w:rsid w:val="001612CE"/>
    <w:rsid w:val="0016181A"/>
    <w:rsid w:val="001618BA"/>
    <w:rsid w:val="0016191A"/>
    <w:rsid w:val="00161B57"/>
    <w:rsid w:val="00161F87"/>
    <w:rsid w:val="001620D4"/>
    <w:rsid w:val="00162116"/>
    <w:rsid w:val="00162158"/>
    <w:rsid w:val="0016222A"/>
    <w:rsid w:val="00162463"/>
    <w:rsid w:val="0016256B"/>
    <w:rsid w:val="001625F1"/>
    <w:rsid w:val="0016260D"/>
    <w:rsid w:val="00162940"/>
    <w:rsid w:val="00162C87"/>
    <w:rsid w:val="00162F7C"/>
    <w:rsid w:val="0016317C"/>
    <w:rsid w:val="001631BC"/>
    <w:rsid w:val="001631E9"/>
    <w:rsid w:val="00163369"/>
    <w:rsid w:val="001633E4"/>
    <w:rsid w:val="00163568"/>
    <w:rsid w:val="001637DA"/>
    <w:rsid w:val="0016391A"/>
    <w:rsid w:val="00163939"/>
    <w:rsid w:val="0016394C"/>
    <w:rsid w:val="00163B60"/>
    <w:rsid w:val="00163C93"/>
    <w:rsid w:val="00163E76"/>
    <w:rsid w:val="00163EE6"/>
    <w:rsid w:val="001641BE"/>
    <w:rsid w:val="0016439C"/>
    <w:rsid w:val="0016470E"/>
    <w:rsid w:val="001647A8"/>
    <w:rsid w:val="00164A2D"/>
    <w:rsid w:val="00164D11"/>
    <w:rsid w:val="00164E12"/>
    <w:rsid w:val="001652E8"/>
    <w:rsid w:val="00165529"/>
    <w:rsid w:val="00165656"/>
    <w:rsid w:val="00165792"/>
    <w:rsid w:val="0016590B"/>
    <w:rsid w:val="00165DDC"/>
    <w:rsid w:val="00165DE9"/>
    <w:rsid w:val="00165ED0"/>
    <w:rsid w:val="00165FB9"/>
    <w:rsid w:val="0016652F"/>
    <w:rsid w:val="0016665D"/>
    <w:rsid w:val="00167099"/>
    <w:rsid w:val="0016713D"/>
    <w:rsid w:val="00167293"/>
    <w:rsid w:val="001672FC"/>
    <w:rsid w:val="00167520"/>
    <w:rsid w:val="0016759B"/>
    <w:rsid w:val="00167741"/>
    <w:rsid w:val="0016774D"/>
    <w:rsid w:val="001678DD"/>
    <w:rsid w:val="00167BC1"/>
    <w:rsid w:val="00167E8F"/>
    <w:rsid w:val="001700F6"/>
    <w:rsid w:val="001700FE"/>
    <w:rsid w:val="0017015A"/>
    <w:rsid w:val="00170367"/>
    <w:rsid w:val="0017037A"/>
    <w:rsid w:val="001704A6"/>
    <w:rsid w:val="00170587"/>
    <w:rsid w:val="00170722"/>
    <w:rsid w:val="001707F9"/>
    <w:rsid w:val="0017086B"/>
    <w:rsid w:val="001708B5"/>
    <w:rsid w:val="00170A76"/>
    <w:rsid w:val="00170B60"/>
    <w:rsid w:val="00170C90"/>
    <w:rsid w:val="00170D45"/>
    <w:rsid w:val="00170EA6"/>
    <w:rsid w:val="00171009"/>
    <w:rsid w:val="00171052"/>
    <w:rsid w:val="00171097"/>
    <w:rsid w:val="001711A3"/>
    <w:rsid w:val="001711A9"/>
    <w:rsid w:val="00171691"/>
    <w:rsid w:val="00171975"/>
    <w:rsid w:val="00171C8F"/>
    <w:rsid w:val="00171CFE"/>
    <w:rsid w:val="00171F2E"/>
    <w:rsid w:val="00172054"/>
    <w:rsid w:val="00172078"/>
    <w:rsid w:val="00172164"/>
    <w:rsid w:val="00172277"/>
    <w:rsid w:val="0017241D"/>
    <w:rsid w:val="00172442"/>
    <w:rsid w:val="001724C4"/>
    <w:rsid w:val="00172534"/>
    <w:rsid w:val="001726A8"/>
    <w:rsid w:val="001726D0"/>
    <w:rsid w:val="00172813"/>
    <w:rsid w:val="00172A13"/>
    <w:rsid w:val="00172C0D"/>
    <w:rsid w:val="00172C54"/>
    <w:rsid w:val="00172E08"/>
    <w:rsid w:val="0017327C"/>
    <w:rsid w:val="001732B3"/>
    <w:rsid w:val="001732EA"/>
    <w:rsid w:val="00173434"/>
    <w:rsid w:val="0017357F"/>
    <w:rsid w:val="0017360B"/>
    <w:rsid w:val="0017381C"/>
    <w:rsid w:val="001739BA"/>
    <w:rsid w:val="00173E5F"/>
    <w:rsid w:val="00173EB5"/>
    <w:rsid w:val="00173EE3"/>
    <w:rsid w:val="00174047"/>
    <w:rsid w:val="00174058"/>
    <w:rsid w:val="00174071"/>
    <w:rsid w:val="001743AA"/>
    <w:rsid w:val="001746A1"/>
    <w:rsid w:val="00174AB0"/>
    <w:rsid w:val="00174B48"/>
    <w:rsid w:val="00174D4E"/>
    <w:rsid w:val="00174F65"/>
    <w:rsid w:val="00175173"/>
    <w:rsid w:val="001751AB"/>
    <w:rsid w:val="001751F6"/>
    <w:rsid w:val="001759A2"/>
    <w:rsid w:val="00175AE2"/>
    <w:rsid w:val="00175B6A"/>
    <w:rsid w:val="00175B9F"/>
    <w:rsid w:val="00175C56"/>
    <w:rsid w:val="00175CA1"/>
    <w:rsid w:val="00175EEB"/>
    <w:rsid w:val="001760B1"/>
    <w:rsid w:val="0017664F"/>
    <w:rsid w:val="001766E3"/>
    <w:rsid w:val="001767AF"/>
    <w:rsid w:val="00176E5C"/>
    <w:rsid w:val="00176E68"/>
    <w:rsid w:val="0017712E"/>
    <w:rsid w:val="00177691"/>
    <w:rsid w:val="00177697"/>
    <w:rsid w:val="00177955"/>
    <w:rsid w:val="00177A05"/>
    <w:rsid w:val="00177D5B"/>
    <w:rsid w:val="00177E67"/>
    <w:rsid w:val="00177ECB"/>
    <w:rsid w:val="001803EC"/>
    <w:rsid w:val="00180484"/>
    <w:rsid w:val="001804D6"/>
    <w:rsid w:val="001805A5"/>
    <w:rsid w:val="0018077D"/>
    <w:rsid w:val="00180A1C"/>
    <w:rsid w:val="00180B3E"/>
    <w:rsid w:val="00180B55"/>
    <w:rsid w:val="00180D55"/>
    <w:rsid w:val="00180EEB"/>
    <w:rsid w:val="0018142F"/>
    <w:rsid w:val="0018185C"/>
    <w:rsid w:val="001818DE"/>
    <w:rsid w:val="0018193A"/>
    <w:rsid w:val="00181AF0"/>
    <w:rsid w:val="00181BF6"/>
    <w:rsid w:val="00181DEF"/>
    <w:rsid w:val="00181F1A"/>
    <w:rsid w:val="00181F2E"/>
    <w:rsid w:val="0018214A"/>
    <w:rsid w:val="0018224F"/>
    <w:rsid w:val="001823C7"/>
    <w:rsid w:val="00182686"/>
    <w:rsid w:val="00182761"/>
    <w:rsid w:val="00182819"/>
    <w:rsid w:val="00182900"/>
    <w:rsid w:val="00182B61"/>
    <w:rsid w:val="0018302E"/>
    <w:rsid w:val="00183276"/>
    <w:rsid w:val="001837C4"/>
    <w:rsid w:val="001838B1"/>
    <w:rsid w:val="00183915"/>
    <w:rsid w:val="00183951"/>
    <w:rsid w:val="001839A7"/>
    <w:rsid w:val="00183D34"/>
    <w:rsid w:val="001841EE"/>
    <w:rsid w:val="00184224"/>
    <w:rsid w:val="00184274"/>
    <w:rsid w:val="001846E1"/>
    <w:rsid w:val="001846E4"/>
    <w:rsid w:val="00184772"/>
    <w:rsid w:val="00184800"/>
    <w:rsid w:val="00184AB9"/>
    <w:rsid w:val="00184BA7"/>
    <w:rsid w:val="001850E6"/>
    <w:rsid w:val="00185258"/>
    <w:rsid w:val="00185312"/>
    <w:rsid w:val="00185470"/>
    <w:rsid w:val="00185634"/>
    <w:rsid w:val="00185A90"/>
    <w:rsid w:val="00185C3A"/>
    <w:rsid w:val="00185CDE"/>
    <w:rsid w:val="0018609E"/>
    <w:rsid w:val="001860B5"/>
    <w:rsid w:val="001862C3"/>
    <w:rsid w:val="00186392"/>
    <w:rsid w:val="00186430"/>
    <w:rsid w:val="00186658"/>
    <w:rsid w:val="00186728"/>
    <w:rsid w:val="00186776"/>
    <w:rsid w:val="00186778"/>
    <w:rsid w:val="00186BF3"/>
    <w:rsid w:val="00186F9E"/>
    <w:rsid w:val="00187111"/>
    <w:rsid w:val="0018712A"/>
    <w:rsid w:val="0018741E"/>
    <w:rsid w:val="001874BD"/>
    <w:rsid w:val="00187528"/>
    <w:rsid w:val="00187858"/>
    <w:rsid w:val="001878B9"/>
    <w:rsid w:val="00187D41"/>
    <w:rsid w:val="00187D77"/>
    <w:rsid w:val="00187EFE"/>
    <w:rsid w:val="00187F13"/>
    <w:rsid w:val="001902EF"/>
    <w:rsid w:val="001903D7"/>
    <w:rsid w:val="001904C3"/>
    <w:rsid w:val="00190682"/>
    <w:rsid w:val="0019078E"/>
    <w:rsid w:val="00190927"/>
    <w:rsid w:val="00190962"/>
    <w:rsid w:val="0019099D"/>
    <w:rsid w:val="00190A25"/>
    <w:rsid w:val="00190D2A"/>
    <w:rsid w:val="00190D6E"/>
    <w:rsid w:val="00190EC3"/>
    <w:rsid w:val="00190ED0"/>
    <w:rsid w:val="00191021"/>
    <w:rsid w:val="00191022"/>
    <w:rsid w:val="001912A2"/>
    <w:rsid w:val="0019182C"/>
    <w:rsid w:val="00191BA8"/>
    <w:rsid w:val="00191C11"/>
    <w:rsid w:val="00191C9C"/>
    <w:rsid w:val="00191E5F"/>
    <w:rsid w:val="001921D6"/>
    <w:rsid w:val="00192281"/>
    <w:rsid w:val="001924D6"/>
    <w:rsid w:val="00192AAF"/>
    <w:rsid w:val="00192E0B"/>
    <w:rsid w:val="001930A2"/>
    <w:rsid w:val="001931C9"/>
    <w:rsid w:val="00193225"/>
    <w:rsid w:val="00193818"/>
    <w:rsid w:val="001938F1"/>
    <w:rsid w:val="0019399D"/>
    <w:rsid w:val="00193BD0"/>
    <w:rsid w:val="00193D40"/>
    <w:rsid w:val="001942C2"/>
    <w:rsid w:val="00194327"/>
    <w:rsid w:val="00194550"/>
    <w:rsid w:val="00194600"/>
    <w:rsid w:val="00194B86"/>
    <w:rsid w:val="00194BD8"/>
    <w:rsid w:val="00194D08"/>
    <w:rsid w:val="00195037"/>
    <w:rsid w:val="00195046"/>
    <w:rsid w:val="00195069"/>
    <w:rsid w:val="00195133"/>
    <w:rsid w:val="00195220"/>
    <w:rsid w:val="00195317"/>
    <w:rsid w:val="001954D7"/>
    <w:rsid w:val="00195883"/>
    <w:rsid w:val="001958F3"/>
    <w:rsid w:val="00195D4B"/>
    <w:rsid w:val="00195E4B"/>
    <w:rsid w:val="00195FAF"/>
    <w:rsid w:val="00196398"/>
    <w:rsid w:val="001964D7"/>
    <w:rsid w:val="00196525"/>
    <w:rsid w:val="001967F5"/>
    <w:rsid w:val="00196AAE"/>
    <w:rsid w:val="00196B0F"/>
    <w:rsid w:val="00196D42"/>
    <w:rsid w:val="00197268"/>
    <w:rsid w:val="00197641"/>
    <w:rsid w:val="001978C6"/>
    <w:rsid w:val="001979FC"/>
    <w:rsid w:val="00197A4F"/>
    <w:rsid w:val="00197C9F"/>
    <w:rsid w:val="001A0030"/>
    <w:rsid w:val="001A008E"/>
    <w:rsid w:val="001A009D"/>
    <w:rsid w:val="001A00EA"/>
    <w:rsid w:val="001A02FD"/>
    <w:rsid w:val="001A061F"/>
    <w:rsid w:val="001A0712"/>
    <w:rsid w:val="001A084F"/>
    <w:rsid w:val="001A09DC"/>
    <w:rsid w:val="001A0FA3"/>
    <w:rsid w:val="001A0FF7"/>
    <w:rsid w:val="001A11C7"/>
    <w:rsid w:val="001A157B"/>
    <w:rsid w:val="001A1ACC"/>
    <w:rsid w:val="001A1B12"/>
    <w:rsid w:val="001A1E1D"/>
    <w:rsid w:val="001A205D"/>
    <w:rsid w:val="001A2255"/>
    <w:rsid w:val="001A2259"/>
    <w:rsid w:val="001A23BC"/>
    <w:rsid w:val="001A23EE"/>
    <w:rsid w:val="001A256E"/>
    <w:rsid w:val="001A26CB"/>
    <w:rsid w:val="001A2A5B"/>
    <w:rsid w:val="001A2B23"/>
    <w:rsid w:val="001A2E3E"/>
    <w:rsid w:val="001A2FBE"/>
    <w:rsid w:val="001A33EC"/>
    <w:rsid w:val="001A345C"/>
    <w:rsid w:val="001A353C"/>
    <w:rsid w:val="001A37C9"/>
    <w:rsid w:val="001A3975"/>
    <w:rsid w:val="001A3AEE"/>
    <w:rsid w:val="001A3CB5"/>
    <w:rsid w:val="001A3DF1"/>
    <w:rsid w:val="001A3F71"/>
    <w:rsid w:val="001A3FA8"/>
    <w:rsid w:val="001A4305"/>
    <w:rsid w:val="001A46DD"/>
    <w:rsid w:val="001A46EF"/>
    <w:rsid w:val="001A483F"/>
    <w:rsid w:val="001A4B1E"/>
    <w:rsid w:val="001A4B58"/>
    <w:rsid w:val="001A4F22"/>
    <w:rsid w:val="001A5399"/>
    <w:rsid w:val="001A578D"/>
    <w:rsid w:val="001A598D"/>
    <w:rsid w:val="001A5A44"/>
    <w:rsid w:val="001A5C28"/>
    <w:rsid w:val="001A5CFE"/>
    <w:rsid w:val="001A5F26"/>
    <w:rsid w:val="001A6059"/>
    <w:rsid w:val="001A6090"/>
    <w:rsid w:val="001A61E1"/>
    <w:rsid w:val="001A63CC"/>
    <w:rsid w:val="001A6491"/>
    <w:rsid w:val="001A6624"/>
    <w:rsid w:val="001A662B"/>
    <w:rsid w:val="001A673E"/>
    <w:rsid w:val="001A6C49"/>
    <w:rsid w:val="001A6DFD"/>
    <w:rsid w:val="001A7182"/>
    <w:rsid w:val="001A72A7"/>
    <w:rsid w:val="001A75C0"/>
    <w:rsid w:val="001A75EC"/>
    <w:rsid w:val="001A780E"/>
    <w:rsid w:val="001A7949"/>
    <w:rsid w:val="001A7A9F"/>
    <w:rsid w:val="001A7B21"/>
    <w:rsid w:val="001A7F3D"/>
    <w:rsid w:val="001B03AF"/>
    <w:rsid w:val="001B062D"/>
    <w:rsid w:val="001B065C"/>
    <w:rsid w:val="001B07DE"/>
    <w:rsid w:val="001B0852"/>
    <w:rsid w:val="001B0BA6"/>
    <w:rsid w:val="001B0F09"/>
    <w:rsid w:val="001B0F4A"/>
    <w:rsid w:val="001B1034"/>
    <w:rsid w:val="001B104F"/>
    <w:rsid w:val="001B1091"/>
    <w:rsid w:val="001B14F7"/>
    <w:rsid w:val="001B15CC"/>
    <w:rsid w:val="001B175B"/>
    <w:rsid w:val="001B17B3"/>
    <w:rsid w:val="001B18BE"/>
    <w:rsid w:val="001B1AAD"/>
    <w:rsid w:val="001B1B53"/>
    <w:rsid w:val="001B1ED4"/>
    <w:rsid w:val="001B1F15"/>
    <w:rsid w:val="001B1F59"/>
    <w:rsid w:val="001B20D0"/>
    <w:rsid w:val="001B20D4"/>
    <w:rsid w:val="001B2102"/>
    <w:rsid w:val="001B225B"/>
    <w:rsid w:val="001B2316"/>
    <w:rsid w:val="001B25A5"/>
    <w:rsid w:val="001B273A"/>
    <w:rsid w:val="001B28A0"/>
    <w:rsid w:val="001B2A33"/>
    <w:rsid w:val="001B2BBF"/>
    <w:rsid w:val="001B2E25"/>
    <w:rsid w:val="001B2F25"/>
    <w:rsid w:val="001B30CF"/>
    <w:rsid w:val="001B32B6"/>
    <w:rsid w:val="001B336C"/>
    <w:rsid w:val="001B34EE"/>
    <w:rsid w:val="001B353F"/>
    <w:rsid w:val="001B38A9"/>
    <w:rsid w:val="001B39D3"/>
    <w:rsid w:val="001B3A68"/>
    <w:rsid w:val="001B3BF3"/>
    <w:rsid w:val="001B3C8E"/>
    <w:rsid w:val="001B3CF0"/>
    <w:rsid w:val="001B3DC7"/>
    <w:rsid w:val="001B4154"/>
    <w:rsid w:val="001B41AC"/>
    <w:rsid w:val="001B455B"/>
    <w:rsid w:val="001B4588"/>
    <w:rsid w:val="001B45D5"/>
    <w:rsid w:val="001B4668"/>
    <w:rsid w:val="001B4783"/>
    <w:rsid w:val="001B48A6"/>
    <w:rsid w:val="001B4B21"/>
    <w:rsid w:val="001B4B76"/>
    <w:rsid w:val="001B4CE4"/>
    <w:rsid w:val="001B4E3F"/>
    <w:rsid w:val="001B5452"/>
    <w:rsid w:val="001B5519"/>
    <w:rsid w:val="001B58F6"/>
    <w:rsid w:val="001B5C5D"/>
    <w:rsid w:val="001B5F17"/>
    <w:rsid w:val="001B5F26"/>
    <w:rsid w:val="001B5F58"/>
    <w:rsid w:val="001B5F94"/>
    <w:rsid w:val="001B6005"/>
    <w:rsid w:val="001B6326"/>
    <w:rsid w:val="001B6410"/>
    <w:rsid w:val="001B65EC"/>
    <w:rsid w:val="001B6685"/>
    <w:rsid w:val="001B6829"/>
    <w:rsid w:val="001B69E2"/>
    <w:rsid w:val="001B6A21"/>
    <w:rsid w:val="001B6DE7"/>
    <w:rsid w:val="001B6DFD"/>
    <w:rsid w:val="001B7221"/>
    <w:rsid w:val="001B72F0"/>
    <w:rsid w:val="001B7928"/>
    <w:rsid w:val="001B7D91"/>
    <w:rsid w:val="001B7DFB"/>
    <w:rsid w:val="001B7E01"/>
    <w:rsid w:val="001C00F0"/>
    <w:rsid w:val="001C04BF"/>
    <w:rsid w:val="001C05B1"/>
    <w:rsid w:val="001C06E7"/>
    <w:rsid w:val="001C0800"/>
    <w:rsid w:val="001C08A5"/>
    <w:rsid w:val="001C0CBF"/>
    <w:rsid w:val="001C0D2F"/>
    <w:rsid w:val="001C119E"/>
    <w:rsid w:val="001C123C"/>
    <w:rsid w:val="001C1543"/>
    <w:rsid w:val="001C1642"/>
    <w:rsid w:val="001C180E"/>
    <w:rsid w:val="001C1B6F"/>
    <w:rsid w:val="001C1C42"/>
    <w:rsid w:val="001C20B5"/>
    <w:rsid w:val="001C2201"/>
    <w:rsid w:val="001C222E"/>
    <w:rsid w:val="001C243B"/>
    <w:rsid w:val="001C25DA"/>
    <w:rsid w:val="001C26D2"/>
    <w:rsid w:val="001C2ADC"/>
    <w:rsid w:val="001C2AEE"/>
    <w:rsid w:val="001C2D4A"/>
    <w:rsid w:val="001C3119"/>
    <w:rsid w:val="001C3177"/>
    <w:rsid w:val="001C32D5"/>
    <w:rsid w:val="001C3387"/>
    <w:rsid w:val="001C35B8"/>
    <w:rsid w:val="001C363D"/>
    <w:rsid w:val="001C3DB6"/>
    <w:rsid w:val="001C42A4"/>
    <w:rsid w:val="001C46DD"/>
    <w:rsid w:val="001C47D8"/>
    <w:rsid w:val="001C49A7"/>
    <w:rsid w:val="001C4BAF"/>
    <w:rsid w:val="001C4FA2"/>
    <w:rsid w:val="001C5136"/>
    <w:rsid w:val="001C5181"/>
    <w:rsid w:val="001C5202"/>
    <w:rsid w:val="001C528A"/>
    <w:rsid w:val="001C5802"/>
    <w:rsid w:val="001C613F"/>
    <w:rsid w:val="001C6166"/>
    <w:rsid w:val="001C6172"/>
    <w:rsid w:val="001C6699"/>
    <w:rsid w:val="001C67E8"/>
    <w:rsid w:val="001C68FA"/>
    <w:rsid w:val="001C6BA9"/>
    <w:rsid w:val="001C6D37"/>
    <w:rsid w:val="001C6DC5"/>
    <w:rsid w:val="001C6EAE"/>
    <w:rsid w:val="001C6F2B"/>
    <w:rsid w:val="001C72A4"/>
    <w:rsid w:val="001C7506"/>
    <w:rsid w:val="001C7633"/>
    <w:rsid w:val="001C76BE"/>
    <w:rsid w:val="001C7744"/>
    <w:rsid w:val="001C776F"/>
    <w:rsid w:val="001C7956"/>
    <w:rsid w:val="001C7BD8"/>
    <w:rsid w:val="001C7D21"/>
    <w:rsid w:val="001C7E05"/>
    <w:rsid w:val="001C7EA4"/>
    <w:rsid w:val="001C7EE3"/>
    <w:rsid w:val="001C7FEF"/>
    <w:rsid w:val="001D0260"/>
    <w:rsid w:val="001D031F"/>
    <w:rsid w:val="001D03B2"/>
    <w:rsid w:val="001D05A1"/>
    <w:rsid w:val="001D060A"/>
    <w:rsid w:val="001D0858"/>
    <w:rsid w:val="001D0931"/>
    <w:rsid w:val="001D0FE3"/>
    <w:rsid w:val="001D10B9"/>
    <w:rsid w:val="001D1409"/>
    <w:rsid w:val="001D14EA"/>
    <w:rsid w:val="001D154A"/>
    <w:rsid w:val="001D1AB6"/>
    <w:rsid w:val="001D1B7D"/>
    <w:rsid w:val="001D1F9C"/>
    <w:rsid w:val="001D237B"/>
    <w:rsid w:val="001D23B8"/>
    <w:rsid w:val="001D2413"/>
    <w:rsid w:val="001D246C"/>
    <w:rsid w:val="001D265A"/>
    <w:rsid w:val="001D2703"/>
    <w:rsid w:val="001D27AB"/>
    <w:rsid w:val="001D2A74"/>
    <w:rsid w:val="001D2B23"/>
    <w:rsid w:val="001D2B75"/>
    <w:rsid w:val="001D31C2"/>
    <w:rsid w:val="001D3792"/>
    <w:rsid w:val="001D37DF"/>
    <w:rsid w:val="001D3B69"/>
    <w:rsid w:val="001D3BFA"/>
    <w:rsid w:val="001D3DAB"/>
    <w:rsid w:val="001D3DED"/>
    <w:rsid w:val="001D3EDB"/>
    <w:rsid w:val="001D4126"/>
    <w:rsid w:val="001D456A"/>
    <w:rsid w:val="001D47D5"/>
    <w:rsid w:val="001D48F2"/>
    <w:rsid w:val="001D5526"/>
    <w:rsid w:val="001D56AA"/>
    <w:rsid w:val="001D5811"/>
    <w:rsid w:val="001D5860"/>
    <w:rsid w:val="001D5A80"/>
    <w:rsid w:val="001D5BDB"/>
    <w:rsid w:val="001D5D70"/>
    <w:rsid w:val="001D5E32"/>
    <w:rsid w:val="001D618F"/>
    <w:rsid w:val="001D62DE"/>
    <w:rsid w:val="001D6449"/>
    <w:rsid w:val="001D64BA"/>
    <w:rsid w:val="001D6A10"/>
    <w:rsid w:val="001D6B0D"/>
    <w:rsid w:val="001D6D8C"/>
    <w:rsid w:val="001D6E88"/>
    <w:rsid w:val="001D6F1A"/>
    <w:rsid w:val="001D73A4"/>
    <w:rsid w:val="001D7411"/>
    <w:rsid w:val="001D7589"/>
    <w:rsid w:val="001D75A5"/>
    <w:rsid w:val="001D7822"/>
    <w:rsid w:val="001D7883"/>
    <w:rsid w:val="001D79C5"/>
    <w:rsid w:val="001D7AAF"/>
    <w:rsid w:val="001D7BA7"/>
    <w:rsid w:val="001D7E08"/>
    <w:rsid w:val="001D7F9C"/>
    <w:rsid w:val="001D7FC0"/>
    <w:rsid w:val="001D7FDD"/>
    <w:rsid w:val="001E0362"/>
    <w:rsid w:val="001E045A"/>
    <w:rsid w:val="001E05A6"/>
    <w:rsid w:val="001E07F8"/>
    <w:rsid w:val="001E0821"/>
    <w:rsid w:val="001E08F4"/>
    <w:rsid w:val="001E093F"/>
    <w:rsid w:val="001E0D97"/>
    <w:rsid w:val="001E0F7A"/>
    <w:rsid w:val="001E1152"/>
    <w:rsid w:val="001E11A6"/>
    <w:rsid w:val="001E11C8"/>
    <w:rsid w:val="001E11EC"/>
    <w:rsid w:val="001E125C"/>
    <w:rsid w:val="001E12EA"/>
    <w:rsid w:val="001E187C"/>
    <w:rsid w:val="001E193A"/>
    <w:rsid w:val="001E1A5E"/>
    <w:rsid w:val="001E1C19"/>
    <w:rsid w:val="001E1CB1"/>
    <w:rsid w:val="001E2062"/>
    <w:rsid w:val="001E248D"/>
    <w:rsid w:val="001E2735"/>
    <w:rsid w:val="001E27E8"/>
    <w:rsid w:val="001E287B"/>
    <w:rsid w:val="001E2A9C"/>
    <w:rsid w:val="001E2C30"/>
    <w:rsid w:val="001E2DE3"/>
    <w:rsid w:val="001E2F66"/>
    <w:rsid w:val="001E2FD1"/>
    <w:rsid w:val="001E320C"/>
    <w:rsid w:val="001E325B"/>
    <w:rsid w:val="001E33A7"/>
    <w:rsid w:val="001E33F8"/>
    <w:rsid w:val="001E343B"/>
    <w:rsid w:val="001E343C"/>
    <w:rsid w:val="001E3664"/>
    <w:rsid w:val="001E3761"/>
    <w:rsid w:val="001E3784"/>
    <w:rsid w:val="001E3A3B"/>
    <w:rsid w:val="001E3B9D"/>
    <w:rsid w:val="001E3D0A"/>
    <w:rsid w:val="001E3DEC"/>
    <w:rsid w:val="001E3FE5"/>
    <w:rsid w:val="001E41F3"/>
    <w:rsid w:val="001E4ABD"/>
    <w:rsid w:val="001E4F3A"/>
    <w:rsid w:val="001E5079"/>
    <w:rsid w:val="001E50FD"/>
    <w:rsid w:val="001E52DB"/>
    <w:rsid w:val="001E53AC"/>
    <w:rsid w:val="001E53AD"/>
    <w:rsid w:val="001E54C9"/>
    <w:rsid w:val="001E555D"/>
    <w:rsid w:val="001E5629"/>
    <w:rsid w:val="001E56C2"/>
    <w:rsid w:val="001E5820"/>
    <w:rsid w:val="001E58BC"/>
    <w:rsid w:val="001E5D91"/>
    <w:rsid w:val="001E5DB9"/>
    <w:rsid w:val="001E5F4D"/>
    <w:rsid w:val="001E5FDE"/>
    <w:rsid w:val="001E5FE2"/>
    <w:rsid w:val="001E6276"/>
    <w:rsid w:val="001E647A"/>
    <w:rsid w:val="001E6521"/>
    <w:rsid w:val="001E677E"/>
    <w:rsid w:val="001E6810"/>
    <w:rsid w:val="001E6817"/>
    <w:rsid w:val="001E6838"/>
    <w:rsid w:val="001E713F"/>
    <w:rsid w:val="001E72C2"/>
    <w:rsid w:val="001E73A4"/>
    <w:rsid w:val="001E746C"/>
    <w:rsid w:val="001E7734"/>
    <w:rsid w:val="001E785A"/>
    <w:rsid w:val="001E78CE"/>
    <w:rsid w:val="001E7ABA"/>
    <w:rsid w:val="001E7BC0"/>
    <w:rsid w:val="001E7D71"/>
    <w:rsid w:val="001E7F13"/>
    <w:rsid w:val="001F00CB"/>
    <w:rsid w:val="001F016D"/>
    <w:rsid w:val="001F079C"/>
    <w:rsid w:val="001F088D"/>
    <w:rsid w:val="001F09A2"/>
    <w:rsid w:val="001F09CA"/>
    <w:rsid w:val="001F1149"/>
    <w:rsid w:val="001F1151"/>
    <w:rsid w:val="001F11A2"/>
    <w:rsid w:val="001F11B8"/>
    <w:rsid w:val="001F11CC"/>
    <w:rsid w:val="001F1314"/>
    <w:rsid w:val="001F13A0"/>
    <w:rsid w:val="001F13F2"/>
    <w:rsid w:val="001F1462"/>
    <w:rsid w:val="001F201D"/>
    <w:rsid w:val="001F2213"/>
    <w:rsid w:val="001F22C0"/>
    <w:rsid w:val="001F24DA"/>
    <w:rsid w:val="001F26B2"/>
    <w:rsid w:val="001F29B0"/>
    <w:rsid w:val="001F2DEB"/>
    <w:rsid w:val="001F2EE7"/>
    <w:rsid w:val="001F3151"/>
    <w:rsid w:val="001F343B"/>
    <w:rsid w:val="001F3467"/>
    <w:rsid w:val="001F3758"/>
    <w:rsid w:val="001F38A2"/>
    <w:rsid w:val="001F3A67"/>
    <w:rsid w:val="001F3D6D"/>
    <w:rsid w:val="001F3EC2"/>
    <w:rsid w:val="001F40F6"/>
    <w:rsid w:val="001F41EA"/>
    <w:rsid w:val="001F42E2"/>
    <w:rsid w:val="001F4328"/>
    <w:rsid w:val="001F4378"/>
    <w:rsid w:val="001F460F"/>
    <w:rsid w:val="001F4718"/>
    <w:rsid w:val="001F471A"/>
    <w:rsid w:val="001F4766"/>
    <w:rsid w:val="001F49D0"/>
    <w:rsid w:val="001F4C7A"/>
    <w:rsid w:val="001F4FFF"/>
    <w:rsid w:val="001F5264"/>
    <w:rsid w:val="001F5735"/>
    <w:rsid w:val="001F5979"/>
    <w:rsid w:val="001F5C05"/>
    <w:rsid w:val="001F5C4F"/>
    <w:rsid w:val="001F5D1C"/>
    <w:rsid w:val="001F5E4B"/>
    <w:rsid w:val="001F628A"/>
    <w:rsid w:val="001F63C1"/>
    <w:rsid w:val="001F65BE"/>
    <w:rsid w:val="001F681B"/>
    <w:rsid w:val="001F6821"/>
    <w:rsid w:val="001F688A"/>
    <w:rsid w:val="001F6A10"/>
    <w:rsid w:val="001F6ACF"/>
    <w:rsid w:val="001F6B3A"/>
    <w:rsid w:val="001F6EF3"/>
    <w:rsid w:val="001F6FF4"/>
    <w:rsid w:val="001F71CF"/>
    <w:rsid w:val="001F7200"/>
    <w:rsid w:val="001F737C"/>
    <w:rsid w:val="001F740A"/>
    <w:rsid w:val="001F7583"/>
    <w:rsid w:val="001F75A2"/>
    <w:rsid w:val="001F766F"/>
    <w:rsid w:val="001F7A47"/>
    <w:rsid w:val="001F7E3C"/>
    <w:rsid w:val="001F7E52"/>
    <w:rsid w:val="0020058A"/>
    <w:rsid w:val="00200762"/>
    <w:rsid w:val="002008BE"/>
    <w:rsid w:val="00200C4D"/>
    <w:rsid w:val="00200C71"/>
    <w:rsid w:val="00200CB1"/>
    <w:rsid w:val="00200D91"/>
    <w:rsid w:val="00201265"/>
    <w:rsid w:val="00201364"/>
    <w:rsid w:val="0020168C"/>
    <w:rsid w:val="002017A7"/>
    <w:rsid w:val="002017DE"/>
    <w:rsid w:val="0020196B"/>
    <w:rsid w:val="00201C88"/>
    <w:rsid w:val="00201FB0"/>
    <w:rsid w:val="0020220A"/>
    <w:rsid w:val="00202479"/>
    <w:rsid w:val="002026E5"/>
    <w:rsid w:val="00202825"/>
    <w:rsid w:val="00202852"/>
    <w:rsid w:val="00202960"/>
    <w:rsid w:val="002029F0"/>
    <w:rsid w:val="00202AF9"/>
    <w:rsid w:val="00203048"/>
    <w:rsid w:val="0020306E"/>
    <w:rsid w:val="0020326D"/>
    <w:rsid w:val="0020334C"/>
    <w:rsid w:val="00203417"/>
    <w:rsid w:val="0020350E"/>
    <w:rsid w:val="00203649"/>
    <w:rsid w:val="00203801"/>
    <w:rsid w:val="00203974"/>
    <w:rsid w:val="00203DF6"/>
    <w:rsid w:val="00203F1D"/>
    <w:rsid w:val="00203F36"/>
    <w:rsid w:val="002041CD"/>
    <w:rsid w:val="00204211"/>
    <w:rsid w:val="002044F9"/>
    <w:rsid w:val="0020458E"/>
    <w:rsid w:val="002047D8"/>
    <w:rsid w:val="00204994"/>
    <w:rsid w:val="002049F8"/>
    <w:rsid w:val="00204D1B"/>
    <w:rsid w:val="00204DA0"/>
    <w:rsid w:val="00204DC9"/>
    <w:rsid w:val="002050D6"/>
    <w:rsid w:val="00205467"/>
    <w:rsid w:val="00205664"/>
    <w:rsid w:val="00205AC9"/>
    <w:rsid w:val="00205B85"/>
    <w:rsid w:val="00205D41"/>
    <w:rsid w:val="00205EA9"/>
    <w:rsid w:val="002060CC"/>
    <w:rsid w:val="00206294"/>
    <w:rsid w:val="00206494"/>
    <w:rsid w:val="0020689E"/>
    <w:rsid w:val="00206939"/>
    <w:rsid w:val="00206AED"/>
    <w:rsid w:val="00206C7D"/>
    <w:rsid w:val="002072D4"/>
    <w:rsid w:val="002075B0"/>
    <w:rsid w:val="0020763F"/>
    <w:rsid w:val="00207663"/>
    <w:rsid w:val="002077D3"/>
    <w:rsid w:val="00207B27"/>
    <w:rsid w:val="00207D22"/>
    <w:rsid w:val="00207F44"/>
    <w:rsid w:val="002100C2"/>
    <w:rsid w:val="0021039C"/>
    <w:rsid w:val="002103C2"/>
    <w:rsid w:val="00210422"/>
    <w:rsid w:val="002104B7"/>
    <w:rsid w:val="002104DE"/>
    <w:rsid w:val="002109BF"/>
    <w:rsid w:val="002109E1"/>
    <w:rsid w:val="00210CB7"/>
    <w:rsid w:val="00210D2E"/>
    <w:rsid w:val="0021103F"/>
    <w:rsid w:val="0021106F"/>
    <w:rsid w:val="002113E6"/>
    <w:rsid w:val="002116B3"/>
    <w:rsid w:val="0021171A"/>
    <w:rsid w:val="0021172B"/>
    <w:rsid w:val="00211804"/>
    <w:rsid w:val="0021191C"/>
    <w:rsid w:val="00211D55"/>
    <w:rsid w:val="00211D6F"/>
    <w:rsid w:val="00211F37"/>
    <w:rsid w:val="00211FB2"/>
    <w:rsid w:val="00211FE5"/>
    <w:rsid w:val="0021278D"/>
    <w:rsid w:val="002127E1"/>
    <w:rsid w:val="0021294B"/>
    <w:rsid w:val="00212F4B"/>
    <w:rsid w:val="0021325D"/>
    <w:rsid w:val="002132AB"/>
    <w:rsid w:val="00213767"/>
    <w:rsid w:val="002138F5"/>
    <w:rsid w:val="00213AE4"/>
    <w:rsid w:val="00213AF6"/>
    <w:rsid w:val="00213B1E"/>
    <w:rsid w:val="00214029"/>
    <w:rsid w:val="002143CA"/>
    <w:rsid w:val="0021445E"/>
    <w:rsid w:val="002145CA"/>
    <w:rsid w:val="00214721"/>
    <w:rsid w:val="00214A93"/>
    <w:rsid w:val="00214AD5"/>
    <w:rsid w:val="00214AE1"/>
    <w:rsid w:val="00214C81"/>
    <w:rsid w:val="00214D7E"/>
    <w:rsid w:val="00214FFD"/>
    <w:rsid w:val="00215280"/>
    <w:rsid w:val="00215966"/>
    <w:rsid w:val="00215AFF"/>
    <w:rsid w:val="00215B36"/>
    <w:rsid w:val="00215BB0"/>
    <w:rsid w:val="00215D5D"/>
    <w:rsid w:val="002164A6"/>
    <w:rsid w:val="00216702"/>
    <w:rsid w:val="00216730"/>
    <w:rsid w:val="00216B0E"/>
    <w:rsid w:val="00216D41"/>
    <w:rsid w:val="00216D88"/>
    <w:rsid w:val="00216D9B"/>
    <w:rsid w:val="00216E8F"/>
    <w:rsid w:val="00216EA7"/>
    <w:rsid w:val="00217160"/>
    <w:rsid w:val="002171D7"/>
    <w:rsid w:val="00217221"/>
    <w:rsid w:val="002174C6"/>
    <w:rsid w:val="002174ED"/>
    <w:rsid w:val="002176B4"/>
    <w:rsid w:val="002176CD"/>
    <w:rsid w:val="0021791F"/>
    <w:rsid w:val="00217E95"/>
    <w:rsid w:val="00217EE5"/>
    <w:rsid w:val="00220106"/>
    <w:rsid w:val="002201D2"/>
    <w:rsid w:val="00220284"/>
    <w:rsid w:val="002202AB"/>
    <w:rsid w:val="0022032E"/>
    <w:rsid w:val="002203F9"/>
    <w:rsid w:val="00220891"/>
    <w:rsid w:val="0022094D"/>
    <w:rsid w:val="002209F9"/>
    <w:rsid w:val="00220B70"/>
    <w:rsid w:val="00220FC9"/>
    <w:rsid w:val="002210C9"/>
    <w:rsid w:val="00221C93"/>
    <w:rsid w:val="00221E3A"/>
    <w:rsid w:val="0022212E"/>
    <w:rsid w:val="0022234D"/>
    <w:rsid w:val="002223FE"/>
    <w:rsid w:val="002224B8"/>
    <w:rsid w:val="0022259C"/>
    <w:rsid w:val="00222987"/>
    <w:rsid w:val="002229CC"/>
    <w:rsid w:val="00222A71"/>
    <w:rsid w:val="00222B11"/>
    <w:rsid w:val="00222B1F"/>
    <w:rsid w:val="00222B2D"/>
    <w:rsid w:val="00222C00"/>
    <w:rsid w:val="00222C2C"/>
    <w:rsid w:val="00222D16"/>
    <w:rsid w:val="00222D37"/>
    <w:rsid w:val="00222F88"/>
    <w:rsid w:val="00223116"/>
    <w:rsid w:val="0022311E"/>
    <w:rsid w:val="0022344D"/>
    <w:rsid w:val="00223747"/>
    <w:rsid w:val="00223ADD"/>
    <w:rsid w:val="00223D09"/>
    <w:rsid w:val="00223F5C"/>
    <w:rsid w:val="00223F90"/>
    <w:rsid w:val="00224508"/>
    <w:rsid w:val="00224905"/>
    <w:rsid w:val="00224AE0"/>
    <w:rsid w:val="00224B60"/>
    <w:rsid w:val="00224B89"/>
    <w:rsid w:val="00224CE4"/>
    <w:rsid w:val="00224E24"/>
    <w:rsid w:val="00224E2A"/>
    <w:rsid w:val="00224EB3"/>
    <w:rsid w:val="00224F68"/>
    <w:rsid w:val="00225145"/>
    <w:rsid w:val="002251BC"/>
    <w:rsid w:val="0022565B"/>
    <w:rsid w:val="00225848"/>
    <w:rsid w:val="00225C05"/>
    <w:rsid w:val="002261C9"/>
    <w:rsid w:val="002264C2"/>
    <w:rsid w:val="002264DE"/>
    <w:rsid w:val="0022654B"/>
    <w:rsid w:val="0022657E"/>
    <w:rsid w:val="00226832"/>
    <w:rsid w:val="00226A89"/>
    <w:rsid w:val="00226B4E"/>
    <w:rsid w:val="00226C56"/>
    <w:rsid w:val="0022701E"/>
    <w:rsid w:val="00227324"/>
    <w:rsid w:val="002273E7"/>
    <w:rsid w:val="002276A3"/>
    <w:rsid w:val="0022786C"/>
    <w:rsid w:val="00227AB2"/>
    <w:rsid w:val="00227B1F"/>
    <w:rsid w:val="00227D15"/>
    <w:rsid w:val="00227D3C"/>
    <w:rsid w:val="00227F80"/>
    <w:rsid w:val="0023003A"/>
    <w:rsid w:val="0023027A"/>
    <w:rsid w:val="00230628"/>
    <w:rsid w:val="00230B32"/>
    <w:rsid w:val="00230CA6"/>
    <w:rsid w:val="00230D4F"/>
    <w:rsid w:val="00230DE6"/>
    <w:rsid w:val="00230E27"/>
    <w:rsid w:val="00230F62"/>
    <w:rsid w:val="00231215"/>
    <w:rsid w:val="002312AD"/>
    <w:rsid w:val="00231300"/>
    <w:rsid w:val="00231680"/>
    <w:rsid w:val="002317EB"/>
    <w:rsid w:val="00231B27"/>
    <w:rsid w:val="00231F09"/>
    <w:rsid w:val="0023206B"/>
    <w:rsid w:val="002320DE"/>
    <w:rsid w:val="0023216F"/>
    <w:rsid w:val="00232207"/>
    <w:rsid w:val="00232213"/>
    <w:rsid w:val="00232215"/>
    <w:rsid w:val="002322B8"/>
    <w:rsid w:val="002322B9"/>
    <w:rsid w:val="002323D5"/>
    <w:rsid w:val="002323E9"/>
    <w:rsid w:val="002328C7"/>
    <w:rsid w:val="002328EC"/>
    <w:rsid w:val="00232BE6"/>
    <w:rsid w:val="00232FCD"/>
    <w:rsid w:val="00233046"/>
    <w:rsid w:val="00233090"/>
    <w:rsid w:val="00233188"/>
    <w:rsid w:val="002333DA"/>
    <w:rsid w:val="0023344F"/>
    <w:rsid w:val="00233963"/>
    <w:rsid w:val="00233A73"/>
    <w:rsid w:val="00233AEF"/>
    <w:rsid w:val="00233CDA"/>
    <w:rsid w:val="002341B9"/>
    <w:rsid w:val="0023440A"/>
    <w:rsid w:val="00234624"/>
    <w:rsid w:val="002347C2"/>
    <w:rsid w:val="002347F7"/>
    <w:rsid w:val="00234801"/>
    <w:rsid w:val="002348ED"/>
    <w:rsid w:val="002349C6"/>
    <w:rsid w:val="00234D39"/>
    <w:rsid w:val="00235162"/>
    <w:rsid w:val="00235905"/>
    <w:rsid w:val="00235925"/>
    <w:rsid w:val="00235A9C"/>
    <w:rsid w:val="00235E68"/>
    <w:rsid w:val="00235FA0"/>
    <w:rsid w:val="00236042"/>
    <w:rsid w:val="00236750"/>
    <w:rsid w:val="00236845"/>
    <w:rsid w:val="002368FF"/>
    <w:rsid w:val="0023690B"/>
    <w:rsid w:val="00236A1A"/>
    <w:rsid w:val="00236A62"/>
    <w:rsid w:val="00236E4C"/>
    <w:rsid w:val="00237352"/>
    <w:rsid w:val="002373F1"/>
    <w:rsid w:val="00237594"/>
    <w:rsid w:val="00237A91"/>
    <w:rsid w:val="00237AB4"/>
    <w:rsid w:val="00237F30"/>
    <w:rsid w:val="0024017E"/>
    <w:rsid w:val="002401FB"/>
    <w:rsid w:val="00240364"/>
    <w:rsid w:val="00240D56"/>
    <w:rsid w:val="00240FA7"/>
    <w:rsid w:val="002410D5"/>
    <w:rsid w:val="0024136F"/>
    <w:rsid w:val="002414FC"/>
    <w:rsid w:val="00241732"/>
    <w:rsid w:val="002417B1"/>
    <w:rsid w:val="002419DC"/>
    <w:rsid w:val="00241A64"/>
    <w:rsid w:val="00241AE5"/>
    <w:rsid w:val="00241B07"/>
    <w:rsid w:val="00241F94"/>
    <w:rsid w:val="00242033"/>
    <w:rsid w:val="002421EC"/>
    <w:rsid w:val="00242220"/>
    <w:rsid w:val="00242391"/>
    <w:rsid w:val="002423A7"/>
    <w:rsid w:val="0024260C"/>
    <w:rsid w:val="002426A8"/>
    <w:rsid w:val="002426F2"/>
    <w:rsid w:val="00242910"/>
    <w:rsid w:val="00242CB8"/>
    <w:rsid w:val="002430A3"/>
    <w:rsid w:val="00243427"/>
    <w:rsid w:val="002435D5"/>
    <w:rsid w:val="002439EB"/>
    <w:rsid w:val="00243A9E"/>
    <w:rsid w:val="00243DF0"/>
    <w:rsid w:val="002444E8"/>
    <w:rsid w:val="00244A18"/>
    <w:rsid w:val="00244AA8"/>
    <w:rsid w:val="00244DCE"/>
    <w:rsid w:val="00244F89"/>
    <w:rsid w:val="00245538"/>
    <w:rsid w:val="0024584B"/>
    <w:rsid w:val="00245882"/>
    <w:rsid w:val="00245950"/>
    <w:rsid w:val="00245A79"/>
    <w:rsid w:val="00245DC2"/>
    <w:rsid w:val="00246255"/>
    <w:rsid w:val="002466CB"/>
    <w:rsid w:val="0024678B"/>
    <w:rsid w:val="0024695B"/>
    <w:rsid w:val="00246A5A"/>
    <w:rsid w:val="00246A85"/>
    <w:rsid w:val="00246C58"/>
    <w:rsid w:val="00246C75"/>
    <w:rsid w:val="00246D35"/>
    <w:rsid w:val="00246D7B"/>
    <w:rsid w:val="00246EF8"/>
    <w:rsid w:val="00246F3C"/>
    <w:rsid w:val="0024712F"/>
    <w:rsid w:val="0024725A"/>
    <w:rsid w:val="0024745F"/>
    <w:rsid w:val="00247646"/>
    <w:rsid w:val="002478FB"/>
    <w:rsid w:val="002479CA"/>
    <w:rsid w:val="00247B9A"/>
    <w:rsid w:val="00247BF2"/>
    <w:rsid w:val="00247C51"/>
    <w:rsid w:val="002500DE"/>
    <w:rsid w:val="0025021B"/>
    <w:rsid w:val="002502EA"/>
    <w:rsid w:val="0025044B"/>
    <w:rsid w:val="0025053D"/>
    <w:rsid w:val="002505B9"/>
    <w:rsid w:val="00250732"/>
    <w:rsid w:val="0025078F"/>
    <w:rsid w:val="00250DE3"/>
    <w:rsid w:val="00250DF5"/>
    <w:rsid w:val="00250FF6"/>
    <w:rsid w:val="00251311"/>
    <w:rsid w:val="00251537"/>
    <w:rsid w:val="00251564"/>
    <w:rsid w:val="002515B5"/>
    <w:rsid w:val="0025163C"/>
    <w:rsid w:val="002516AE"/>
    <w:rsid w:val="00251F26"/>
    <w:rsid w:val="00251F54"/>
    <w:rsid w:val="00252136"/>
    <w:rsid w:val="0025247E"/>
    <w:rsid w:val="00252538"/>
    <w:rsid w:val="00252AA4"/>
    <w:rsid w:val="00252E5F"/>
    <w:rsid w:val="00252FF3"/>
    <w:rsid w:val="0025340B"/>
    <w:rsid w:val="0025390F"/>
    <w:rsid w:val="00253A8D"/>
    <w:rsid w:val="00253D67"/>
    <w:rsid w:val="00253EEA"/>
    <w:rsid w:val="0025425B"/>
    <w:rsid w:val="002544EF"/>
    <w:rsid w:val="00254585"/>
    <w:rsid w:val="00254701"/>
    <w:rsid w:val="0025481B"/>
    <w:rsid w:val="00254A2B"/>
    <w:rsid w:val="00254B87"/>
    <w:rsid w:val="00254DDA"/>
    <w:rsid w:val="00254EEA"/>
    <w:rsid w:val="00254F5E"/>
    <w:rsid w:val="00254FB4"/>
    <w:rsid w:val="00255226"/>
    <w:rsid w:val="00255372"/>
    <w:rsid w:val="002553F7"/>
    <w:rsid w:val="002554AD"/>
    <w:rsid w:val="00255672"/>
    <w:rsid w:val="002558B9"/>
    <w:rsid w:val="002558F4"/>
    <w:rsid w:val="00255CAB"/>
    <w:rsid w:val="00255EF3"/>
    <w:rsid w:val="00256145"/>
    <w:rsid w:val="002562CF"/>
    <w:rsid w:val="002562E7"/>
    <w:rsid w:val="002563B7"/>
    <w:rsid w:val="00256479"/>
    <w:rsid w:val="00256520"/>
    <w:rsid w:val="002565F2"/>
    <w:rsid w:val="002566A1"/>
    <w:rsid w:val="0025682E"/>
    <w:rsid w:val="00256A2C"/>
    <w:rsid w:val="00256B42"/>
    <w:rsid w:val="00256B92"/>
    <w:rsid w:val="00256C04"/>
    <w:rsid w:val="0025700D"/>
    <w:rsid w:val="00257149"/>
    <w:rsid w:val="0025764A"/>
    <w:rsid w:val="002576F0"/>
    <w:rsid w:val="00257BC1"/>
    <w:rsid w:val="00257CAB"/>
    <w:rsid w:val="00257DC4"/>
    <w:rsid w:val="00257E12"/>
    <w:rsid w:val="00257E30"/>
    <w:rsid w:val="00257EC3"/>
    <w:rsid w:val="0026004D"/>
    <w:rsid w:val="0026015B"/>
    <w:rsid w:val="002604DF"/>
    <w:rsid w:val="002607C1"/>
    <w:rsid w:val="00260864"/>
    <w:rsid w:val="00260899"/>
    <w:rsid w:val="002608C7"/>
    <w:rsid w:val="002609A7"/>
    <w:rsid w:val="00260B17"/>
    <w:rsid w:val="00260B95"/>
    <w:rsid w:val="00260BE3"/>
    <w:rsid w:val="00260E5C"/>
    <w:rsid w:val="00261114"/>
    <w:rsid w:val="002613AA"/>
    <w:rsid w:val="00261605"/>
    <w:rsid w:val="00261DAF"/>
    <w:rsid w:val="00261F63"/>
    <w:rsid w:val="00262150"/>
    <w:rsid w:val="002621CA"/>
    <w:rsid w:val="00262212"/>
    <w:rsid w:val="0026237F"/>
    <w:rsid w:val="002623A8"/>
    <w:rsid w:val="00262424"/>
    <w:rsid w:val="00262561"/>
    <w:rsid w:val="00262787"/>
    <w:rsid w:val="00262C30"/>
    <w:rsid w:val="00262DE4"/>
    <w:rsid w:val="00262E2A"/>
    <w:rsid w:val="00262E2E"/>
    <w:rsid w:val="00262E4C"/>
    <w:rsid w:val="002633D0"/>
    <w:rsid w:val="002634FD"/>
    <w:rsid w:val="00263708"/>
    <w:rsid w:val="0026372C"/>
    <w:rsid w:val="00263811"/>
    <w:rsid w:val="0026386C"/>
    <w:rsid w:val="00263A19"/>
    <w:rsid w:val="00263E0A"/>
    <w:rsid w:val="00263EFD"/>
    <w:rsid w:val="0026407B"/>
    <w:rsid w:val="002643B3"/>
    <w:rsid w:val="0026445B"/>
    <w:rsid w:val="00264733"/>
    <w:rsid w:val="00264ADF"/>
    <w:rsid w:val="00264CED"/>
    <w:rsid w:val="00264E7F"/>
    <w:rsid w:val="00265234"/>
    <w:rsid w:val="0026549D"/>
    <w:rsid w:val="00265522"/>
    <w:rsid w:val="002658EC"/>
    <w:rsid w:val="00265B35"/>
    <w:rsid w:val="00265CF8"/>
    <w:rsid w:val="00265D3A"/>
    <w:rsid w:val="00265D43"/>
    <w:rsid w:val="0026607E"/>
    <w:rsid w:val="002660C7"/>
    <w:rsid w:val="002661CE"/>
    <w:rsid w:val="00266574"/>
    <w:rsid w:val="0026663A"/>
    <w:rsid w:val="0026672C"/>
    <w:rsid w:val="002667DE"/>
    <w:rsid w:val="002669A8"/>
    <w:rsid w:val="002669AA"/>
    <w:rsid w:val="00266C83"/>
    <w:rsid w:val="00266DA7"/>
    <w:rsid w:val="00266DDC"/>
    <w:rsid w:val="00266E46"/>
    <w:rsid w:val="002672CE"/>
    <w:rsid w:val="0026730C"/>
    <w:rsid w:val="0026745D"/>
    <w:rsid w:val="002678E2"/>
    <w:rsid w:val="00267A37"/>
    <w:rsid w:val="00267F4B"/>
    <w:rsid w:val="002700C3"/>
    <w:rsid w:val="0027017E"/>
    <w:rsid w:val="002701F4"/>
    <w:rsid w:val="002704C8"/>
    <w:rsid w:val="002706C6"/>
    <w:rsid w:val="0027073F"/>
    <w:rsid w:val="00270B33"/>
    <w:rsid w:val="00270E33"/>
    <w:rsid w:val="00270E72"/>
    <w:rsid w:val="00270E98"/>
    <w:rsid w:val="00271801"/>
    <w:rsid w:val="002719D3"/>
    <w:rsid w:val="00271C9D"/>
    <w:rsid w:val="00271F76"/>
    <w:rsid w:val="00271FEE"/>
    <w:rsid w:val="00272017"/>
    <w:rsid w:val="002720D2"/>
    <w:rsid w:val="002723D8"/>
    <w:rsid w:val="00272774"/>
    <w:rsid w:val="00272972"/>
    <w:rsid w:val="00272B62"/>
    <w:rsid w:val="00272C33"/>
    <w:rsid w:val="00272C9F"/>
    <w:rsid w:val="00272CA8"/>
    <w:rsid w:val="00272E0B"/>
    <w:rsid w:val="00272E22"/>
    <w:rsid w:val="00272FF3"/>
    <w:rsid w:val="00273031"/>
    <w:rsid w:val="002735DC"/>
    <w:rsid w:val="00273633"/>
    <w:rsid w:val="002737AE"/>
    <w:rsid w:val="00273889"/>
    <w:rsid w:val="00273EF4"/>
    <w:rsid w:val="00273FB8"/>
    <w:rsid w:val="00274002"/>
    <w:rsid w:val="00274109"/>
    <w:rsid w:val="002741A9"/>
    <w:rsid w:val="00274223"/>
    <w:rsid w:val="002742A0"/>
    <w:rsid w:val="00274566"/>
    <w:rsid w:val="002748BC"/>
    <w:rsid w:val="00274AF7"/>
    <w:rsid w:val="00274BA5"/>
    <w:rsid w:val="00274BB5"/>
    <w:rsid w:val="00274EB0"/>
    <w:rsid w:val="00274FF7"/>
    <w:rsid w:val="002750ED"/>
    <w:rsid w:val="0027516B"/>
    <w:rsid w:val="002752AA"/>
    <w:rsid w:val="002754F1"/>
    <w:rsid w:val="00275904"/>
    <w:rsid w:val="00275E29"/>
    <w:rsid w:val="00275EBE"/>
    <w:rsid w:val="00275F05"/>
    <w:rsid w:val="0027635A"/>
    <w:rsid w:val="00276432"/>
    <w:rsid w:val="002765AA"/>
    <w:rsid w:val="0027671E"/>
    <w:rsid w:val="0027677E"/>
    <w:rsid w:val="00276AFD"/>
    <w:rsid w:val="00276D8B"/>
    <w:rsid w:val="002770C0"/>
    <w:rsid w:val="00277130"/>
    <w:rsid w:val="002771AA"/>
    <w:rsid w:val="0027723C"/>
    <w:rsid w:val="002774BC"/>
    <w:rsid w:val="00277536"/>
    <w:rsid w:val="00277595"/>
    <w:rsid w:val="00277787"/>
    <w:rsid w:val="002777DB"/>
    <w:rsid w:val="00277B60"/>
    <w:rsid w:val="00277BEC"/>
    <w:rsid w:val="00280229"/>
    <w:rsid w:val="002802B5"/>
    <w:rsid w:val="002802CD"/>
    <w:rsid w:val="00280501"/>
    <w:rsid w:val="00280637"/>
    <w:rsid w:val="00280767"/>
    <w:rsid w:val="0028083F"/>
    <w:rsid w:val="00280875"/>
    <w:rsid w:val="00280C9D"/>
    <w:rsid w:val="00280F35"/>
    <w:rsid w:val="002812D5"/>
    <w:rsid w:val="002814E8"/>
    <w:rsid w:val="0028161F"/>
    <w:rsid w:val="00281EC6"/>
    <w:rsid w:val="0028221A"/>
    <w:rsid w:val="00282224"/>
    <w:rsid w:val="00282446"/>
    <w:rsid w:val="002824C5"/>
    <w:rsid w:val="002824F0"/>
    <w:rsid w:val="002827BA"/>
    <w:rsid w:val="002827EF"/>
    <w:rsid w:val="0028294F"/>
    <w:rsid w:val="00282988"/>
    <w:rsid w:val="00282DB8"/>
    <w:rsid w:val="00282E31"/>
    <w:rsid w:val="00282E95"/>
    <w:rsid w:val="00282EAA"/>
    <w:rsid w:val="002830E9"/>
    <w:rsid w:val="00283166"/>
    <w:rsid w:val="00283197"/>
    <w:rsid w:val="00283363"/>
    <w:rsid w:val="0028357B"/>
    <w:rsid w:val="002836BA"/>
    <w:rsid w:val="00283A1B"/>
    <w:rsid w:val="00283ABE"/>
    <w:rsid w:val="00283CB5"/>
    <w:rsid w:val="00283FCE"/>
    <w:rsid w:val="00284023"/>
    <w:rsid w:val="00284032"/>
    <w:rsid w:val="002840CB"/>
    <w:rsid w:val="002841CD"/>
    <w:rsid w:val="002844EC"/>
    <w:rsid w:val="00284634"/>
    <w:rsid w:val="00284691"/>
    <w:rsid w:val="00284840"/>
    <w:rsid w:val="00284A8E"/>
    <w:rsid w:val="00284C8B"/>
    <w:rsid w:val="00284CA4"/>
    <w:rsid w:val="002852D9"/>
    <w:rsid w:val="0028548C"/>
    <w:rsid w:val="00285514"/>
    <w:rsid w:val="00285637"/>
    <w:rsid w:val="00285D87"/>
    <w:rsid w:val="00285E1E"/>
    <w:rsid w:val="00285FC5"/>
    <w:rsid w:val="002863E1"/>
    <w:rsid w:val="00286472"/>
    <w:rsid w:val="002868CC"/>
    <w:rsid w:val="00286EDD"/>
    <w:rsid w:val="00286F8A"/>
    <w:rsid w:val="0028724A"/>
    <w:rsid w:val="00287268"/>
    <w:rsid w:val="0028727E"/>
    <w:rsid w:val="00287446"/>
    <w:rsid w:val="0028765C"/>
    <w:rsid w:val="002903F5"/>
    <w:rsid w:val="002904E2"/>
    <w:rsid w:val="00290652"/>
    <w:rsid w:val="002910ED"/>
    <w:rsid w:val="00291320"/>
    <w:rsid w:val="00291469"/>
    <w:rsid w:val="002914BC"/>
    <w:rsid w:val="002914F2"/>
    <w:rsid w:val="0029155E"/>
    <w:rsid w:val="0029181B"/>
    <w:rsid w:val="002918F0"/>
    <w:rsid w:val="00291B4A"/>
    <w:rsid w:val="00291B8E"/>
    <w:rsid w:val="00291C8A"/>
    <w:rsid w:val="00291D5F"/>
    <w:rsid w:val="00291D97"/>
    <w:rsid w:val="00291EE5"/>
    <w:rsid w:val="00292724"/>
    <w:rsid w:val="0029291E"/>
    <w:rsid w:val="00292C69"/>
    <w:rsid w:val="00292DF6"/>
    <w:rsid w:val="00292FEF"/>
    <w:rsid w:val="00293079"/>
    <w:rsid w:val="00293270"/>
    <w:rsid w:val="0029329C"/>
    <w:rsid w:val="00293641"/>
    <w:rsid w:val="00293691"/>
    <w:rsid w:val="0029384F"/>
    <w:rsid w:val="00293B06"/>
    <w:rsid w:val="00293B08"/>
    <w:rsid w:val="00293BF4"/>
    <w:rsid w:val="00293C04"/>
    <w:rsid w:val="00293C51"/>
    <w:rsid w:val="00293EE7"/>
    <w:rsid w:val="00294053"/>
    <w:rsid w:val="002941FC"/>
    <w:rsid w:val="002943AE"/>
    <w:rsid w:val="002943D1"/>
    <w:rsid w:val="0029443E"/>
    <w:rsid w:val="00294750"/>
    <w:rsid w:val="00294828"/>
    <w:rsid w:val="002949B8"/>
    <w:rsid w:val="00294AEA"/>
    <w:rsid w:val="00294C5B"/>
    <w:rsid w:val="00294E23"/>
    <w:rsid w:val="00294F04"/>
    <w:rsid w:val="0029510F"/>
    <w:rsid w:val="00295377"/>
    <w:rsid w:val="00295580"/>
    <w:rsid w:val="00295CF8"/>
    <w:rsid w:val="00295D1B"/>
    <w:rsid w:val="00295D20"/>
    <w:rsid w:val="00295F1C"/>
    <w:rsid w:val="002962C9"/>
    <w:rsid w:val="00296302"/>
    <w:rsid w:val="002964DC"/>
    <w:rsid w:val="0029678F"/>
    <w:rsid w:val="002967A4"/>
    <w:rsid w:val="0029685A"/>
    <w:rsid w:val="002968A4"/>
    <w:rsid w:val="00296FB5"/>
    <w:rsid w:val="00297184"/>
    <w:rsid w:val="0029724D"/>
    <w:rsid w:val="002978EB"/>
    <w:rsid w:val="00297948"/>
    <w:rsid w:val="00297C44"/>
    <w:rsid w:val="00297C54"/>
    <w:rsid w:val="00297E91"/>
    <w:rsid w:val="002A0033"/>
    <w:rsid w:val="002A0039"/>
    <w:rsid w:val="002A04E7"/>
    <w:rsid w:val="002A0C9E"/>
    <w:rsid w:val="002A0E8B"/>
    <w:rsid w:val="002A1015"/>
    <w:rsid w:val="002A13E9"/>
    <w:rsid w:val="002A17D9"/>
    <w:rsid w:val="002A1A24"/>
    <w:rsid w:val="002A1BFA"/>
    <w:rsid w:val="002A1FC4"/>
    <w:rsid w:val="002A216C"/>
    <w:rsid w:val="002A22F1"/>
    <w:rsid w:val="002A2362"/>
    <w:rsid w:val="002A264E"/>
    <w:rsid w:val="002A282A"/>
    <w:rsid w:val="002A299F"/>
    <w:rsid w:val="002A2A5B"/>
    <w:rsid w:val="002A2B7B"/>
    <w:rsid w:val="002A2D3B"/>
    <w:rsid w:val="002A33DC"/>
    <w:rsid w:val="002A385F"/>
    <w:rsid w:val="002A3A74"/>
    <w:rsid w:val="002A3B25"/>
    <w:rsid w:val="002A3DC4"/>
    <w:rsid w:val="002A4187"/>
    <w:rsid w:val="002A41B9"/>
    <w:rsid w:val="002A42A4"/>
    <w:rsid w:val="002A4329"/>
    <w:rsid w:val="002A43AA"/>
    <w:rsid w:val="002A4411"/>
    <w:rsid w:val="002A4537"/>
    <w:rsid w:val="002A456B"/>
    <w:rsid w:val="002A46DD"/>
    <w:rsid w:val="002A5031"/>
    <w:rsid w:val="002A5091"/>
    <w:rsid w:val="002A525E"/>
    <w:rsid w:val="002A5624"/>
    <w:rsid w:val="002A562B"/>
    <w:rsid w:val="002A56AF"/>
    <w:rsid w:val="002A594E"/>
    <w:rsid w:val="002A5CBE"/>
    <w:rsid w:val="002A5CD1"/>
    <w:rsid w:val="002A5FCB"/>
    <w:rsid w:val="002A62E0"/>
    <w:rsid w:val="002A637A"/>
    <w:rsid w:val="002A683B"/>
    <w:rsid w:val="002A687B"/>
    <w:rsid w:val="002A6C41"/>
    <w:rsid w:val="002A6DBB"/>
    <w:rsid w:val="002A7012"/>
    <w:rsid w:val="002A7076"/>
    <w:rsid w:val="002A726B"/>
    <w:rsid w:val="002A72B7"/>
    <w:rsid w:val="002A7373"/>
    <w:rsid w:val="002A73FD"/>
    <w:rsid w:val="002A79B6"/>
    <w:rsid w:val="002A7C49"/>
    <w:rsid w:val="002A7DCD"/>
    <w:rsid w:val="002A7F40"/>
    <w:rsid w:val="002A7F94"/>
    <w:rsid w:val="002B006D"/>
    <w:rsid w:val="002B0106"/>
    <w:rsid w:val="002B0244"/>
    <w:rsid w:val="002B0290"/>
    <w:rsid w:val="002B02EB"/>
    <w:rsid w:val="002B030C"/>
    <w:rsid w:val="002B0B87"/>
    <w:rsid w:val="002B0C7C"/>
    <w:rsid w:val="002B0DE2"/>
    <w:rsid w:val="002B0EA9"/>
    <w:rsid w:val="002B0F6C"/>
    <w:rsid w:val="002B101B"/>
    <w:rsid w:val="002B12D3"/>
    <w:rsid w:val="002B149C"/>
    <w:rsid w:val="002B18D1"/>
    <w:rsid w:val="002B18EA"/>
    <w:rsid w:val="002B1A80"/>
    <w:rsid w:val="002B1ACB"/>
    <w:rsid w:val="002B1BA1"/>
    <w:rsid w:val="002B1BDF"/>
    <w:rsid w:val="002B1CAE"/>
    <w:rsid w:val="002B2016"/>
    <w:rsid w:val="002B2042"/>
    <w:rsid w:val="002B20D5"/>
    <w:rsid w:val="002B223D"/>
    <w:rsid w:val="002B2269"/>
    <w:rsid w:val="002B26FF"/>
    <w:rsid w:val="002B2C5D"/>
    <w:rsid w:val="002B2D32"/>
    <w:rsid w:val="002B2D3E"/>
    <w:rsid w:val="002B2EC6"/>
    <w:rsid w:val="002B3181"/>
    <w:rsid w:val="002B31B6"/>
    <w:rsid w:val="002B337C"/>
    <w:rsid w:val="002B36A6"/>
    <w:rsid w:val="002B3791"/>
    <w:rsid w:val="002B3B11"/>
    <w:rsid w:val="002B3B2D"/>
    <w:rsid w:val="002B3B2E"/>
    <w:rsid w:val="002B3DE9"/>
    <w:rsid w:val="002B4109"/>
    <w:rsid w:val="002B41FF"/>
    <w:rsid w:val="002B429C"/>
    <w:rsid w:val="002B449A"/>
    <w:rsid w:val="002B44E4"/>
    <w:rsid w:val="002B4566"/>
    <w:rsid w:val="002B4806"/>
    <w:rsid w:val="002B4837"/>
    <w:rsid w:val="002B4B84"/>
    <w:rsid w:val="002B4D9D"/>
    <w:rsid w:val="002B4E6A"/>
    <w:rsid w:val="002B5123"/>
    <w:rsid w:val="002B536C"/>
    <w:rsid w:val="002B54B6"/>
    <w:rsid w:val="002B5625"/>
    <w:rsid w:val="002B5CAD"/>
    <w:rsid w:val="002B603E"/>
    <w:rsid w:val="002B60EA"/>
    <w:rsid w:val="002B6165"/>
    <w:rsid w:val="002B6215"/>
    <w:rsid w:val="002B6278"/>
    <w:rsid w:val="002B64B0"/>
    <w:rsid w:val="002B67E1"/>
    <w:rsid w:val="002B6872"/>
    <w:rsid w:val="002B687D"/>
    <w:rsid w:val="002B6A1B"/>
    <w:rsid w:val="002B6BE5"/>
    <w:rsid w:val="002B6CE1"/>
    <w:rsid w:val="002B6D6F"/>
    <w:rsid w:val="002B6F0B"/>
    <w:rsid w:val="002B7255"/>
    <w:rsid w:val="002B79D5"/>
    <w:rsid w:val="002B7A19"/>
    <w:rsid w:val="002B7B24"/>
    <w:rsid w:val="002B7BBD"/>
    <w:rsid w:val="002B7CC2"/>
    <w:rsid w:val="002B7D15"/>
    <w:rsid w:val="002B7FB2"/>
    <w:rsid w:val="002C0296"/>
    <w:rsid w:val="002C03D4"/>
    <w:rsid w:val="002C04A4"/>
    <w:rsid w:val="002C04AD"/>
    <w:rsid w:val="002C073E"/>
    <w:rsid w:val="002C07C2"/>
    <w:rsid w:val="002C0F72"/>
    <w:rsid w:val="002C100F"/>
    <w:rsid w:val="002C10C4"/>
    <w:rsid w:val="002C13F0"/>
    <w:rsid w:val="002C14AC"/>
    <w:rsid w:val="002C1699"/>
    <w:rsid w:val="002C1A5C"/>
    <w:rsid w:val="002C1AB7"/>
    <w:rsid w:val="002C1DC7"/>
    <w:rsid w:val="002C20E9"/>
    <w:rsid w:val="002C22C6"/>
    <w:rsid w:val="002C23CD"/>
    <w:rsid w:val="002C248D"/>
    <w:rsid w:val="002C268F"/>
    <w:rsid w:val="002C26FE"/>
    <w:rsid w:val="002C2913"/>
    <w:rsid w:val="002C297F"/>
    <w:rsid w:val="002C2B83"/>
    <w:rsid w:val="002C2B99"/>
    <w:rsid w:val="002C2E68"/>
    <w:rsid w:val="002C2F27"/>
    <w:rsid w:val="002C3322"/>
    <w:rsid w:val="002C3383"/>
    <w:rsid w:val="002C340A"/>
    <w:rsid w:val="002C355A"/>
    <w:rsid w:val="002C3724"/>
    <w:rsid w:val="002C373C"/>
    <w:rsid w:val="002C37B8"/>
    <w:rsid w:val="002C38A5"/>
    <w:rsid w:val="002C3913"/>
    <w:rsid w:val="002C39B5"/>
    <w:rsid w:val="002C3B1C"/>
    <w:rsid w:val="002C417B"/>
    <w:rsid w:val="002C434D"/>
    <w:rsid w:val="002C4687"/>
    <w:rsid w:val="002C4744"/>
    <w:rsid w:val="002C4A4D"/>
    <w:rsid w:val="002C4C2D"/>
    <w:rsid w:val="002C4D61"/>
    <w:rsid w:val="002C4FCD"/>
    <w:rsid w:val="002C53EE"/>
    <w:rsid w:val="002C55ED"/>
    <w:rsid w:val="002C59AD"/>
    <w:rsid w:val="002C5D0E"/>
    <w:rsid w:val="002C5F17"/>
    <w:rsid w:val="002C6118"/>
    <w:rsid w:val="002C616F"/>
    <w:rsid w:val="002C62A1"/>
    <w:rsid w:val="002C635F"/>
    <w:rsid w:val="002C63CC"/>
    <w:rsid w:val="002C6423"/>
    <w:rsid w:val="002C64D2"/>
    <w:rsid w:val="002C693A"/>
    <w:rsid w:val="002C75F7"/>
    <w:rsid w:val="002C75FE"/>
    <w:rsid w:val="002C76AB"/>
    <w:rsid w:val="002C79F5"/>
    <w:rsid w:val="002C7A3A"/>
    <w:rsid w:val="002C7B1C"/>
    <w:rsid w:val="002C7C69"/>
    <w:rsid w:val="002C7D21"/>
    <w:rsid w:val="002C7EAC"/>
    <w:rsid w:val="002D007F"/>
    <w:rsid w:val="002D0160"/>
    <w:rsid w:val="002D070C"/>
    <w:rsid w:val="002D0BEC"/>
    <w:rsid w:val="002D0F32"/>
    <w:rsid w:val="002D112D"/>
    <w:rsid w:val="002D1152"/>
    <w:rsid w:val="002D11F2"/>
    <w:rsid w:val="002D1218"/>
    <w:rsid w:val="002D13EE"/>
    <w:rsid w:val="002D18F0"/>
    <w:rsid w:val="002D1DD0"/>
    <w:rsid w:val="002D1E4C"/>
    <w:rsid w:val="002D1FBA"/>
    <w:rsid w:val="002D2382"/>
    <w:rsid w:val="002D2738"/>
    <w:rsid w:val="002D27A0"/>
    <w:rsid w:val="002D2A8F"/>
    <w:rsid w:val="002D2D2D"/>
    <w:rsid w:val="002D31F3"/>
    <w:rsid w:val="002D342A"/>
    <w:rsid w:val="002D3430"/>
    <w:rsid w:val="002D3443"/>
    <w:rsid w:val="002D3457"/>
    <w:rsid w:val="002D3AC5"/>
    <w:rsid w:val="002D3BCE"/>
    <w:rsid w:val="002D3C2B"/>
    <w:rsid w:val="002D3E76"/>
    <w:rsid w:val="002D4148"/>
    <w:rsid w:val="002D422E"/>
    <w:rsid w:val="002D455E"/>
    <w:rsid w:val="002D4594"/>
    <w:rsid w:val="002D45DB"/>
    <w:rsid w:val="002D46D6"/>
    <w:rsid w:val="002D482B"/>
    <w:rsid w:val="002D4872"/>
    <w:rsid w:val="002D524C"/>
    <w:rsid w:val="002D540C"/>
    <w:rsid w:val="002D54F0"/>
    <w:rsid w:val="002D565B"/>
    <w:rsid w:val="002D5727"/>
    <w:rsid w:val="002D5853"/>
    <w:rsid w:val="002D5F48"/>
    <w:rsid w:val="002D6259"/>
    <w:rsid w:val="002D6955"/>
    <w:rsid w:val="002D6D3C"/>
    <w:rsid w:val="002D6DED"/>
    <w:rsid w:val="002D70BE"/>
    <w:rsid w:val="002D7308"/>
    <w:rsid w:val="002D735C"/>
    <w:rsid w:val="002D7512"/>
    <w:rsid w:val="002D779F"/>
    <w:rsid w:val="002D7CAC"/>
    <w:rsid w:val="002D7DC2"/>
    <w:rsid w:val="002D7E07"/>
    <w:rsid w:val="002D7E41"/>
    <w:rsid w:val="002E006F"/>
    <w:rsid w:val="002E01E4"/>
    <w:rsid w:val="002E0331"/>
    <w:rsid w:val="002E055C"/>
    <w:rsid w:val="002E0909"/>
    <w:rsid w:val="002E0C2B"/>
    <w:rsid w:val="002E0C2C"/>
    <w:rsid w:val="002E1049"/>
    <w:rsid w:val="002E10BC"/>
    <w:rsid w:val="002E12AC"/>
    <w:rsid w:val="002E14F0"/>
    <w:rsid w:val="002E189C"/>
    <w:rsid w:val="002E18FE"/>
    <w:rsid w:val="002E19AF"/>
    <w:rsid w:val="002E1ADD"/>
    <w:rsid w:val="002E1CD2"/>
    <w:rsid w:val="002E1DCA"/>
    <w:rsid w:val="002E208B"/>
    <w:rsid w:val="002E2529"/>
    <w:rsid w:val="002E2559"/>
    <w:rsid w:val="002E25DE"/>
    <w:rsid w:val="002E2821"/>
    <w:rsid w:val="002E298E"/>
    <w:rsid w:val="002E29C9"/>
    <w:rsid w:val="002E2AA8"/>
    <w:rsid w:val="002E2F66"/>
    <w:rsid w:val="002E31F0"/>
    <w:rsid w:val="002E31F6"/>
    <w:rsid w:val="002E323C"/>
    <w:rsid w:val="002E3400"/>
    <w:rsid w:val="002E3538"/>
    <w:rsid w:val="002E38E2"/>
    <w:rsid w:val="002E39B4"/>
    <w:rsid w:val="002E39D1"/>
    <w:rsid w:val="002E3A0A"/>
    <w:rsid w:val="002E3B31"/>
    <w:rsid w:val="002E3CE7"/>
    <w:rsid w:val="002E3D75"/>
    <w:rsid w:val="002E3F9D"/>
    <w:rsid w:val="002E3FF1"/>
    <w:rsid w:val="002E43D1"/>
    <w:rsid w:val="002E4719"/>
    <w:rsid w:val="002E47C4"/>
    <w:rsid w:val="002E4A70"/>
    <w:rsid w:val="002E4AF8"/>
    <w:rsid w:val="002E4B6E"/>
    <w:rsid w:val="002E4D0A"/>
    <w:rsid w:val="002E4D47"/>
    <w:rsid w:val="002E5155"/>
    <w:rsid w:val="002E56E9"/>
    <w:rsid w:val="002E571D"/>
    <w:rsid w:val="002E5823"/>
    <w:rsid w:val="002E59A5"/>
    <w:rsid w:val="002E5AF2"/>
    <w:rsid w:val="002E5B47"/>
    <w:rsid w:val="002E5BAF"/>
    <w:rsid w:val="002E5CB3"/>
    <w:rsid w:val="002E5CDD"/>
    <w:rsid w:val="002E5CF1"/>
    <w:rsid w:val="002E5EE9"/>
    <w:rsid w:val="002E6281"/>
    <w:rsid w:val="002E62A9"/>
    <w:rsid w:val="002E6412"/>
    <w:rsid w:val="002E6518"/>
    <w:rsid w:val="002E6755"/>
    <w:rsid w:val="002E67DA"/>
    <w:rsid w:val="002E6984"/>
    <w:rsid w:val="002E6A6F"/>
    <w:rsid w:val="002E6AE0"/>
    <w:rsid w:val="002E6C5D"/>
    <w:rsid w:val="002E7171"/>
    <w:rsid w:val="002E7566"/>
    <w:rsid w:val="002E77F7"/>
    <w:rsid w:val="002E78E4"/>
    <w:rsid w:val="002E78EA"/>
    <w:rsid w:val="002E79D5"/>
    <w:rsid w:val="002E7CA5"/>
    <w:rsid w:val="002E7E00"/>
    <w:rsid w:val="002E7F98"/>
    <w:rsid w:val="002E7FD8"/>
    <w:rsid w:val="002F0235"/>
    <w:rsid w:val="002F034F"/>
    <w:rsid w:val="002F0862"/>
    <w:rsid w:val="002F11E0"/>
    <w:rsid w:val="002F12A5"/>
    <w:rsid w:val="002F1950"/>
    <w:rsid w:val="002F197D"/>
    <w:rsid w:val="002F1A70"/>
    <w:rsid w:val="002F1BA8"/>
    <w:rsid w:val="002F1DCA"/>
    <w:rsid w:val="002F1DEE"/>
    <w:rsid w:val="002F1E94"/>
    <w:rsid w:val="002F1F90"/>
    <w:rsid w:val="002F22D1"/>
    <w:rsid w:val="002F245B"/>
    <w:rsid w:val="002F25EB"/>
    <w:rsid w:val="002F2635"/>
    <w:rsid w:val="002F2727"/>
    <w:rsid w:val="002F27EE"/>
    <w:rsid w:val="002F2832"/>
    <w:rsid w:val="002F28DA"/>
    <w:rsid w:val="002F2930"/>
    <w:rsid w:val="002F2FAA"/>
    <w:rsid w:val="002F358D"/>
    <w:rsid w:val="002F3A0F"/>
    <w:rsid w:val="002F40E8"/>
    <w:rsid w:val="002F4463"/>
    <w:rsid w:val="002F4591"/>
    <w:rsid w:val="002F460F"/>
    <w:rsid w:val="002F4610"/>
    <w:rsid w:val="002F46C6"/>
    <w:rsid w:val="002F495F"/>
    <w:rsid w:val="002F49C6"/>
    <w:rsid w:val="002F49E2"/>
    <w:rsid w:val="002F4D55"/>
    <w:rsid w:val="002F4F72"/>
    <w:rsid w:val="002F5064"/>
    <w:rsid w:val="002F5135"/>
    <w:rsid w:val="002F529D"/>
    <w:rsid w:val="002F57CE"/>
    <w:rsid w:val="002F57FD"/>
    <w:rsid w:val="002F587A"/>
    <w:rsid w:val="002F5DB9"/>
    <w:rsid w:val="002F5E38"/>
    <w:rsid w:val="002F5F64"/>
    <w:rsid w:val="002F5FE6"/>
    <w:rsid w:val="002F645D"/>
    <w:rsid w:val="002F64D9"/>
    <w:rsid w:val="002F656C"/>
    <w:rsid w:val="002F6620"/>
    <w:rsid w:val="002F66EB"/>
    <w:rsid w:val="002F68B0"/>
    <w:rsid w:val="002F6A30"/>
    <w:rsid w:val="002F6A90"/>
    <w:rsid w:val="002F6EE3"/>
    <w:rsid w:val="002F7267"/>
    <w:rsid w:val="002F72BE"/>
    <w:rsid w:val="002F72CF"/>
    <w:rsid w:val="002F73F0"/>
    <w:rsid w:val="002F7402"/>
    <w:rsid w:val="002F76E5"/>
    <w:rsid w:val="002F7873"/>
    <w:rsid w:val="002F7A5F"/>
    <w:rsid w:val="002F7D59"/>
    <w:rsid w:val="002F7F10"/>
    <w:rsid w:val="003001DE"/>
    <w:rsid w:val="00300246"/>
    <w:rsid w:val="003002FA"/>
    <w:rsid w:val="00300535"/>
    <w:rsid w:val="00300E03"/>
    <w:rsid w:val="003011B2"/>
    <w:rsid w:val="003017E0"/>
    <w:rsid w:val="0030183E"/>
    <w:rsid w:val="00301A9A"/>
    <w:rsid w:val="00301B8A"/>
    <w:rsid w:val="00301DD9"/>
    <w:rsid w:val="00301FD8"/>
    <w:rsid w:val="003020F4"/>
    <w:rsid w:val="0030253B"/>
    <w:rsid w:val="00302589"/>
    <w:rsid w:val="0030268F"/>
    <w:rsid w:val="003028A7"/>
    <w:rsid w:val="003028FB"/>
    <w:rsid w:val="003029CD"/>
    <w:rsid w:val="00302A0B"/>
    <w:rsid w:val="00302AF6"/>
    <w:rsid w:val="00302B62"/>
    <w:rsid w:val="00302B90"/>
    <w:rsid w:val="00302C17"/>
    <w:rsid w:val="00302DF4"/>
    <w:rsid w:val="003030CE"/>
    <w:rsid w:val="003030FF"/>
    <w:rsid w:val="00303390"/>
    <w:rsid w:val="003034BF"/>
    <w:rsid w:val="0030379A"/>
    <w:rsid w:val="00303802"/>
    <w:rsid w:val="00303861"/>
    <w:rsid w:val="00303D46"/>
    <w:rsid w:val="00303DAF"/>
    <w:rsid w:val="00303E03"/>
    <w:rsid w:val="00303FFD"/>
    <w:rsid w:val="00304123"/>
    <w:rsid w:val="0030429E"/>
    <w:rsid w:val="003042CE"/>
    <w:rsid w:val="00304424"/>
    <w:rsid w:val="00304677"/>
    <w:rsid w:val="003048B6"/>
    <w:rsid w:val="003049FE"/>
    <w:rsid w:val="00304E15"/>
    <w:rsid w:val="00304EF3"/>
    <w:rsid w:val="00305775"/>
    <w:rsid w:val="00305B02"/>
    <w:rsid w:val="00305B4C"/>
    <w:rsid w:val="00305B84"/>
    <w:rsid w:val="00305BD8"/>
    <w:rsid w:val="00305D40"/>
    <w:rsid w:val="00305F1C"/>
    <w:rsid w:val="00305F9A"/>
    <w:rsid w:val="00306164"/>
    <w:rsid w:val="0030617A"/>
    <w:rsid w:val="0030625E"/>
    <w:rsid w:val="0030636C"/>
    <w:rsid w:val="0030642C"/>
    <w:rsid w:val="00306499"/>
    <w:rsid w:val="00306584"/>
    <w:rsid w:val="00306AFC"/>
    <w:rsid w:val="00306BD5"/>
    <w:rsid w:val="00307102"/>
    <w:rsid w:val="003073FB"/>
    <w:rsid w:val="0030751B"/>
    <w:rsid w:val="00307620"/>
    <w:rsid w:val="00307987"/>
    <w:rsid w:val="00307F42"/>
    <w:rsid w:val="0031030B"/>
    <w:rsid w:val="0031034B"/>
    <w:rsid w:val="0031039C"/>
    <w:rsid w:val="0031044E"/>
    <w:rsid w:val="0031056A"/>
    <w:rsid w:val="00310627"/>
    <w:rsid w:val="003109F7"/>
    <w:rsid w:val="00310A91"/>
    <w:rsid w:val="00310DE9"/>
    <w:rsid w:val="00310F55"/>
    <w:rsid w:val="0031101C"/>
    <w:rsid w:val="00311051"/>
    <w:rsid w:val="0031119C"/>
    <w:rsid w:val="00311333"/>
    <w:rsid w:val="003114B7"/>
    <w:rsid w:val="003117D8"/>
    <w:rsid w:val="00311887"/>
    <w:rsid w:val="003119BD"/>
    <w:rsid w:val="00311AFA"/>
    <w:rsid w:val="00311B5C"/>
    <w:rsid w:val="00311D0C"/>
    <w:rsid w:val="00312163"/>
    <w:rsid w:val="0031227C"/>
    <w:rsid w:val="00312379"/>
    <w:rsid w:val="003123BE"/>
    <w:rsid w:val="003125B9"/>
    <w:rsid w:val="00312941"/>
    <w:rsid w:val="00312ACE"/>
    <w:rsid w:val="00312BE1"/>
    <w:rsid w:val="00312CEF"/>
    <w:rsid w:val="00312CF7"/>
    <w:rsid w:val="00313000"/>
    <w:rsid w:val="00313169"/>
    <w:rsid w:val="003131A8"/>
    <w:rsid w:val="003134E7"/>
    <w:rsid w:val="003137B0"/>
    <w:rsid w:val="003137D9"/>
    <w:rsid w:val="00313825"/>
    <w:rsid w:val="00313DAF"/>
    <w:rsid w:val="00313F6A"/>
    <w:rsid w:val="0031466D"/>
    <w:rsid w:val="003146F8"/>
    <w:rsid w:val="0031471E"/>
    <w:rsid w:val="003147BF"/>
    <w:rsid w:val="00314D71"/>
    <w:rsid w:val="00314E12"/>
    <w:rsid w:val="00314E5A"/>
    <w:rsid w:val="00315435"/>
    <w:rsid w:val="0031549E"/>
    <w:rsid w:val="0031551F"/>
    <w:rsid w:val="00315572"/>
    <w:rsid w:val="003155B9"/>
    <w:rsid w:val="003155BF"/>
    <w:rsid w:val="0031571D"/>
    <w:rsid w:val="003157F6"/>
    <w:rsid w:val="003158AE"/>
    <w:rsid w:val="00315951"/>
    <w:rsid w:val="00315AA1"/>
    <w:rsid w:val="00315BA1"/>
    <w:rsid w:val="00315C97"/>
    <w:rsid w:val="00315CB7"/>
    <w:rsid w:val="00315CC3"/>
    <w:rsid w:val="00315D01"/>
    <w:rsid w:val="00315DBA"/>
    <w:rsid w:val="003160D8"/>
    <w:rsid w:val="00316224"/>
    <w:rsid w:val="003162CE"/>
    <w:rsid w:val="003162E3"/>
    <w:rsid w:val="00316317"/>
    <w:rsid w:val="0031642A"/>
    <w:rsid w:val="00316516"/>
    <w:rsid w:val="00316626"/>
    <w:rsid w:val="00316656"/>
    <w:rsid w:val="003166A3"/>
    <w:rsid w:val="0031688A"/>
    <w:rsid w:val="00316DEE"/>
    <w:rsid w:val="00316F56"/>
    <w:rsid w:val="00317387"/>
    <w:rsid w:val="00317644"/>
    <w:rsid w:val="00317DE5"/>
    <w:rsid w:val="00317E0E"/>
    <w:rsid w:val="00320236"/>
    <w:rsid w:val="003202B1"/>
    <w:rsid w:val="0032046F"/>
    <w:rsid w:val="003204F2"/>
    <w:rsid w:val="00320A34"/>
    <w:rsid w:val="00320A9C"/>
    <w:rsid w:val="00320AD4"/>
    <w:rsid w:val="00320B3E"/>
    <w:rsid w:val="00320E42"/>
    <w:rsid w:val="00320EB6"/>
    <w:rsid w:val="00321015"/>
    <w:rsid w:val="00321269"/>
    <w:rsid w:val="0032139B"/>
    <w:rsid w:val="00321475"/>
    <w:rsid w:val="003216C1"/>
    <w:rsid w:val="00321C7D"/>
    <w:rsid w:val="00321EAE"/>
    <w:rsid w:val="00321F7E"/>
    <w:rsid w:val="003221A8"/>
    <w:rsid w:val="003226F7"/>
    <w:rsid w:val="0032294D"/>
    <w:rsid w:val="00322A5C"/>
    <w:rsid w:val="00322C47"/>
    <w:rsid w:val="00322CA7"/>
    <w:rsid w:val="00322EAF"/>
    <w:rsid w:val="00322FA1"/>
    <w:rsid w:val="00322FF3"/>
    <w:rsid w:val="003231E8"/>
    <w:rsid w:val="00323234"/>
    <w:rsid w:val="0032324B"/>
    <w:rsid w:val="003233D2"/>
    <w:rsid w:val="0032346B"/>
    <w:rsid w:val="00323594"/>
    <w:rsid w:val="0032385C"/>
    <w:rsid w:val="00323863"/>
    <w:rsid w:val="0032394C"/>
    <w:rsid w:val="00323A72"/>
    <w:rsid w:val="00323B13"/>
    <w:rsid w:val="00323B95"/>
    <w:rsid w:val="00323C17"/>
    <w:rsid w:val="00323CE4"/>
    <w:rsid w:val="00323D31"/>
    <w:rsid w:val="00323DDE"/>
    <w:rsid w:val="00323ECB"/>
    <w:rsid w:val="00323FB0"/>
    <w:rsid w:val="0032425F"/>
    <w:rsid w:val="00324264"/>
    <w:rsid w:val="003242CF"/>
    <w:rsid w:val="0032437A"/>
    <w:rsid w:val="003244B4"/>
    <w:rsid w:val="003245C9"/>
    <w:rsid w:val="00324A60"/>
    <w:rsid w:val="00324A8E"/>
    <w:rsid w:val="00324CD8"/>
    <w:rsid w:val="0032532C"/>
    <w:rsid w:val="00325363"/>
    <w:rsid w:val="00325581"/>
    <w:rsid w:val="0032560B"/>
    <w:rsid w:val="0032567A"/>
    <w:rsid w:val="003256E2"/>
    <w:rsid w:val="003257E4"/>
    <w:rsid w:val="003259E0"/>
    <w:rsid w:val="00325CD1"/>
    <w:rsid w:val="00325DAB"/>
    <w:rsid w:val="00325E5B"/>
    <w:rsid w:val="00326143"/>
    <w:rsid w:val="003261C0"/>
    <w:rsid w:val="003261C6"/>
    <w:rsid w:val="0032638C"/>
    <w:rsid w:val="00326706"/>
    <w:rsid w:val="00326753"/>
    <w:rsid w:val="00326CA9"/>
    <w:rsid w:val="00326CDA"/>
    <w:rsid w:val="00326D9F"/>
    <w:rsid w:val="00326F74"/>
    <w:rsid w:val="00327178"/>
    <w:rsid w:val="003271A4"/>
    <w:rsid w:val="003272AA"/>
    <w:rsid w:val="00327661"/>
    <w:rsid w:val="00327751"/>
    <w:rsid w:val="003278CD"/>
    <w:rsid w:val="00327906"/>
    <w:rsid w:val="00327A8A"/>
    <w:rsid w:val="00327ABF"/>
    <w:rsid w:val="00327D21"/>
    <w:rsid w:val="00327FE8"/>
    <w:rsid w:val="003302D5"/>
    <w:rsid w:val="003302EC"/>
    <w:rsid w:val="00330429"/>
    <w:rsid w:val="00330486"/>
    <w:rsid w:val="00330548"/>
    <w:rsid w:val="003306B7"/>
    <w:rsid w:val="00330927"/>
    <w:rsid w:val="00330E34"/>
    <w:rsid w:val="00330E62"/>
    <w:rsid w:val="00330F4E"/>
    <w:rsid w:val="0033147C"/>
    <w:rsid w:val="003314B1"/>
    <w:rsid w:val="00331585"/>
    <w:rsid w:val="00331823"/>
    <w:rsid w:val="0033200E"/>
    <w:rsid w:val="003320A2"/>
    <w:rsid w:val="0033235D"/>
    <w:rsid w:val="0033259B"/>
    <w:rsid w:val="00332A95"/>
    <w:rsid w:val="00332AA2"/>
    <w:rsid w:val="00332B68"/>
    <w:rsid w:val="00332DE8"/>
    <w:rsid w:val="00332EC5"/>
    <w:rsid w:val="00332F98"/>
    <w:rsid w:val="00333060"/>
    <w:rsid w:val="003332AB"/>
    <w:rsid w:val="0033372F"/>
    <w:rsid w:val="003337EF"/>
    <w:rsid w:val="0033386B"/>
    <w:rsid w:val="00333AEF"/>
    <w:rsid w:val="00334089"/>
    <w:rsid w:val="003340C2"/>
    <w:rsid w:val="003340FA"/>
    <w:rsid w:val="003343E5"/>
    <w:rsid w:val="0033444B"/>
    <w:rsid w:val="00334461"/>
    <w:rsid w:val="00334480"/>
    <w:rsid w:val="0033451B"/>
    <w:rsid w:val="00334C75"/>
    <w:rsid w:val="0033506B"/>
    <w:rsid w:val="0033547E"/>
    <w:rsid w:val="0033550C"/>
    <w:rsid w:val="00335872"/>
    <w:rsid w:val="00335C49"/>
    <w:rsid w:val="00335D3F"/>
    <w:rsid w:val="00335F2B"/>
    <w:rsid w:val="00335F94"/>
    <w:rsid w:val="003364C6"/>
    <w:rsid w:val="00336C70"/>
    <w:rsid w:val="00336CF6"/>
    <w:rsid w:val="003377A3"/>
    <w:rsid w:val="00337B8A"/>
    <w:rsid w:val="00337C6A"/>
    <w:rsid w:val="00337E4F"/>
    <w:rsid w:val="00337FBE"/>
    <w:rsid w:val="00340159"/>
    <w:rsid w:val="0034059F"/>
    <w:rsid w:val="00340AAB"/>
    <w:rsid w:val="00340DB5"/>
    <w:rsid w:val="00340F7D"/>
    <w:rsid w:val="00341038"/>
    <w:rsid w:val="00341055"/>
    <w:rsid w:val="003410AE"/>
    <w:rsid w:val="003412DB"/>
    <w:rsid w:val="00341743"/>
    <w:rsid w:val="00341873"/>
    <w:rsid w:val="003419F0"/>
    <w:rsid w:val="00341B2D"/>
    <w:rsid w:val="00341E4C"/>
    <w:rsid w:val="00341ED7"/>
    <w:rsid w:val="00341F41"/>
    <w:rsid w:val="0034236E"/>
    <w:rsid w:val="0034251C"/>
    <w:rsid w:val="00343014"/>
    <w:rsid w:val="0034302A"/>
    <w:rsid w:val="00343095"/>
    <w:rsid w:val="00343155"/>
    <w:rsid w:val="00343156"/>
    <w:rsid w:val="003432B9"/>
    <w:rsid w:val="00343388"/>
    <w:rsid w:val="00343650"/>
    <w:rsid w:val="00343BCD"/>
    <w:rsid w:val="00343E15"/>
    <w:rsid w:val="00343E24"/>
    <w:rsid w:val="00343EE4"/>
    <w:rsid w:val="003441AA"/>
    <w:rsid w:val="003442A8"/>
    <w:rsid w:val="0034438A"/>
    <w:rsid w:val="00344422"/>
    <w:rsid w:val="0034461C"/>
    <w:rsid w:val="00344700"/>
    <w:rsid w:val="00344A4B"/>
    <w:rsid w:val="00344C53"/>
    <w:rsid w:val="00344EB8"/>
    <w:rsid w:val="00344EB9"/>
    <w:rsid w:val="00344EF0"/>
    <w:rsid w:val="003450C9"/>
    <w:rsid w:val="00345110"/>
    <w:rsid w:val="0034514D"/>
    <w:rsid w:val="003452E7"/>
    <w:rsid w:val="00345867"/>
    <w:rsid w:val="00345942"/>
    <w:rsid w:val="00345A24"/>
    <w:rsid w:val="00345CBC"/>
    <w:rsid w:val="00345CE0"/>
    <w:rsid w:val="003462F0"/>
    <w:rsid w:val="003468A8"/>
    <w:rsid w:val="003468DA"/>
    <w:rsid w:val="00346A73"/>
    <w:rsid w:val="00346CA8"/>
    <w:rsid w:val="00346D82"/>
    <w:rsid w:val="00346DE0"/>
    <w:rsid w:val="00346E03"/>
    <w:rsid w:val="00346F55"/>
    <w:rsid w:val="0034700A"/>
    <w:rsid w:val="003470EB"/>
    <w:rsid w:val="00347508"/>
    <w:rsid w:val="00347A6E"/>
    <w:rsid w:val="00347B8A"/>
    <w:rsid w:val="00347D6D"/>
    <w:rsid w:val="00347EB8"/>
    <w:rsid w:val="00347F88"/>
    <w:rsid w:val="00347F94"/>
    <w:rsid w:val="00350097"/>
    <w:rsid w:val="003500B9"/>
    <w:rsid w:val="00350440"/>
    <w:rsid w:val="003506CE"/>
    <w:rsid w:val="00350989"/>
    <w:rsid w:val="00350A3E"/>
    <w:rsid w:val="00350BBB"/>
    <w:rsid w:val="00351012"/>
    <w:rsid w:val="00351767"/>
    <w:rsid w:val="0035186B"/>
    <w:rsid w:val="00351C68"/>
    <w:rsid w:val="00351D49"/>
    <w:rsid w:val="00351D79"/>
    <w:rsid w:val="00351DF9"/>
    <w:rsid w:val="00351E6F"/>
    <w:rsid w:val="00352073"/>
    <w:rsid w:val="00352742"/>
    <w:rsid w:val="00352F9F"/>
    <w:rsid w:val="003531B9"/>
    <w:rsid w:val="00353330"/>
    <w:rsid w:val="003533F5"/>
    <w:rsid w:val="003534E5"/>
    <w:rsid w:val="00353527"/>
    <w:rsid w:val="003536D7"/>
    <w:rsid w:val="00353966"/>
    <w:rsid w:val="00353BA7"/>
    <w:rsid w:val="00353BF8"/>
    <w:rsid w:val="00353EAB"/>
    <w:rsid w:val="00353ED9"/>
    <w:rsid w:val="00353F46"/>
    <w:rsid w:val="00354140"/>
    <w:rsid w:val="00354164"/>
    <w:rsid w:val="003541CF"/>
    <w:rsid w:val="00354438"/>
    <w:rsid w:val="003545EA"/>
    <w:rsid w:val="003549C6"/>
    <w:rsid w:val="00354C24"/>
    <w:rsid w:val="00354DDB"/>
    <w:rsid w:val="003550E7"/>
    <w:rsid w:val="003551FC"/>
    <w:rsid w:val="0035533F"/>
    <w:rsid w:val="00355477"/>
    <w:rsid w:val="003554AB"/>
    <w:rsid w:val="0035594C"/>
    <w:rsid w:val="00355A8C"/>
    <w:rsid w:val="00355E60"/>
    <w:rsid w:val="00355F13"/>
    <w:rsid w:val="00355FA0"/>
    <w:rsid w:val="0035619A"/>
    <w:rsid w:val="00356221"/>
    <w:rsid w:val="003563F5"/>
    <w:rsid w:val="00356484"/>
    <w:rsid w:val="003566F6"/>
    <w:rsid w:val="00356826"/>
    <w:rsid w:val="0035682B"/>
    <w:rsid w:val="0035698A"/>
    <w:rsid w:val="00356B8A"/>
    <w:rsid w:val="00356C7C"/>
    <w:rsid w:val="00356D0A"/>
    <w:rsid w:val="003571B4"/>
    <w:rsid w:val="0035720B"/>
    <w:rsid w:val="0035781D"/>
    <w:rsid w:val="00357C72"/>
    <w:rsid w:val="00357D23"/>
    <w:rsid w:val="00357D57"/>
    <w:rsid w:val="00357E9C"/>
    <w:rsid w:val="00357ED2"/>
    <w:rsid w:val="0036059B"/>
    <w:rsid w:val="003605B6"/>
    <w:rsid w:val="003605F5"/>
    <w:rsid w:val="00360727"/>
    <w:rsid w:val="00360B17"/>
    <w:rsid w:val="00360C94"/>
    <w:rsid w:val="00360CC4"/>
    <w:rsid w:val="00360E02"/>
    <w:rsid w:val="00360E9A"/>
    <w:rsid w:val="00360F08"/>
    <w:rsid w:val="00361255"/>
    <w:rsid w:val="00361646"/>
    <w:rsid w:val="00361843"/>
    <w:rsid w:val="0036185B"/>
    <w:rsid w:val="00361874"/>
    <w:rsid w:val="00361AAD"/>
    <w:rsid w:val="00361CC3"/>
    <w:rsid w:val="00361D98"/>
    <w:rsid w:val="003620FD"/>
    <w:rsid w:val="00362393"/>
    <w:rsid w:val="003624DC"/>
    <w:rsid w:val="00362603"/>
    <w:rsid w:val="003627E2"/>
    <w:rsid w:val="00362823"/>
    <w:rsid w:val="0036288C"/>
    <w:rsid w:val="003628C7"/>
    <w:rsid w:val="00362AB8"/>
    <w:rsid w:val="0036306C"/>
    <w:rsid w:val="003630CD"/>
    <w:rsid w:val="0036323E"/>
    <w:rsid w:val="003632B5"/>
    <w:rsid w:val="00363424"/>
    <w:rsid w:val="0036361B"/>
    <w:rsid w:val="00363650"/>
    <w:rsid w:val="003637DF"/>
    <w:rsid w:val="003638DB"/>
    <w:rsid w:val="0036390A"/>
    <w:rsid w:val="00363942"/>
    <w:rsid w:val="003639D6"/>
    <w:rsid w:val="00363A7D"/>
    <w:rsid w:val="00363B8E"/>
    <w:rsid w:val="00363C38"/>
    <w:rsid w:val="00363D39"/>
    <w:rsid w:val="0036431A"/>
    <w:rsid w:val="00364343"/>
    <w:rsid w:val="00364439"/>
    <w:rsid w:val="003647FD"/>
    <w:rsid w:val="0036488A"/>
    <w:rsid w:val="00364906"/>
    <w:rsid w:val="003649AF"/>
    <w:rsid w:val="003649E1"/>
    <w:rsid w:val="00364A8F"/>
    <w:rsid w:val="00364AF3"/>
    <w:rsid w:val="00364C67"/>
    <w:rsid w:val="00364D58"/>
    <w:rsid w:val="00364F20"/>
    <w:rsid w:val="00365008"/>
    <w:rsid w:val="003656FC"/>
    <w:rsid w:val="0036581E"/>
    <w:rsid w:val="00365C25"/>
    <w:rsid w:val="00365D1E"/>
    <w:rsid w:val="00365EB7"/>
    <w:rsid w:val="00365EE3"/>
    <w:rsid w:val="00365FBA"/>
    <w:rsid w:val="003660D9"/>
    <w:rsid w:val="003661EB"/>
    <w:rsid w:val="003663B6"/>
    <w:rsid w:val="003667A0"/>
    <w:rsid w:val="00366936"/>
    <w:rsid w:val="0036694C"/>
    <w:rsid w:val="00366D47"/>
    <w:rsid w:val="00367193"/>
    <w:rsid w:val="003671AF"/>
    <w:rsid w:val="00367B73"/>
    <w:rsid w:val="00367BD6"/>
    <w:rsid w:val="00367DA3"/>
    <w:rsid w:val="00367EE1"/>
    <w:rsid w:val="00367F39"/>
    <w:rsid w:val="00367F8C"/>
    <w:rsid w:val="003700F3"/>
    <w:rsid w:val="00370475"/>
    <w:rsid w:val="003706DD"/>
    <w:rsid w:val="00370723"/>
    <w:rsid w:val="00370754"/>
    <w:rsid w:val="0037087E"/>
    <w:rsid w:val="0037089F"/>
    <w:rsid w:val="0037096C"/>
    <w:rsid w:val="00370BA7"/>
    <w:rsid w:val="00370BA8"/>
    <w:rsid w:val="00370CDE"/>
    <w:rsid w:val="00370E12"/>
    <w:rsid w:val="00371191"/>
    <w:rsid w:val="00371232"/>
    <w:rsid w:val="0037129C"/>
    <w:rsid w:val="003712D7"/>
    <w:rsid w:val="00371440"/>
    <w:rsid w:val="00371774"/>
    <w:rsid w:val="00371943"/>
    <w:rsid w:val="0037197D"/>
    <w:rsid w:val="00371A64"/>
    <w:rsid w:val="00371C11"/>
    <w:rsid w:val="00371E20"/>
    <w:rsid w:val="00371EEB"/>
    <w:rsid w:val="00371EEC"/>
    <w:rsid w:val="00371EF1"/>
    <w:rsid w:val="0037200B"/>
    <w:rsid w:val="0037217A"/>
    <w:rsid w:val="003721AE"/>
    <w:rsid w:val="0037273C"/>
    <w:rsid w:val="00372A89"/>
    <w:rsid w:val="00372DD8"/>
    <w:rsid w:val="00372DEA"/>
    <w:rsid w:val="00372E5F"/>
    <w:rsid w:val="003730CE"/>
    <w:rsid w:val="003735B5"/>
    <w:rsid w:val="0037376D"/>
    <w:rsid w:val="003738C8"/>
    <w:rsid w:val="003739E1"/>
    <w:rsid w:val="00373B26"/>
    <w:rsid w:val="00373B4A"/>
    <w:rsid w:val="00373C32"/>
    <w:rsid w:val="00373EB5"/>
    <w:rsid w:val="00373EF6"/>
    <w:rsid w:val="00373FBB"/>
    <w:rsid w:val="003740B3"/>
    <w:rsid w:val="003740D1"/>
    <w:rsid w:val="0037420B"/>
    <w:rsid w:val="0037432C"/>
    <w:rsid w:val="003745D8"/>
    <w:rsid w:val="0037479F"/>
    <w:rsid w:val="0037481B"/>
    <w:rsid w:val="003748E4"/>
    <w:rsid w:val="0037497A"/>
    <w:rsid w:val="00374A64"/>
    <w:rsid w:val="00375102"/>
    <w:rsid w:val="003751B7"/>
    <w:rsid w:val="0037574D"/>
    <w:rsid w:val="00375906"/>
    <w:rsid w:val="00375A16"/>
    <w:rsid w:val="00375B3D"/>
    <w:rsid w:val="00375D92"/>
    <w:rsid w:val="00375E57"/>
    <w:rsid w:val="0037601D"/>
    <w:rsid w:val="0037604A"/>
    <w:rsid w:val="00376254"/>
    <w:rsid w:val="003762B6"/>
    <w:rsid w:val="0037633A"/>
    <w:rsid w:val="00376460"/>
    <w:rsid w:val="003765E2"/>
    <w:rsid w:val="0037674F"/>
    <w:rsid w:val="00376772"/>
    <w:rsid w:val="00376A59"/>
    <w:rsid w:val="00376EE1"/>
    <w:rsid w:val="00377039"/>
    <w:rsid w:val="003770F9"/>
    <w:rsid w:val="0037712B"/>
    <w:rsid w:val="0037714D"/>
    <w:rsid w:val="0037754F"/>
    <w:rsid w:val="003776E7"/>
    <w:rsid w:val="0037791F"/>
    <w:rsid w:val="00377964"/>
    <w:rsid w:val="00377ABD"/>
    <w:rsid w:val="00377B3E"/>
    <w:rsid w:val="00377C34"/>
    <w:rsid w:val="00377D4B"/>
    <w:rsid w:val="00377DDC"/>
    <w:rsid w:val="00380180"/>
    <w:rsid w:val="003802A5"/>
    <w:rsid w:val="0038052C"/>
    <w:rsid w:val="00380572"/>
    <w:rsid w:val="00380587"/>
    <w:rsid w:val="00380628"/>
    <w:rsid w:val="00380710"/>
    <w:rsid w:val="00380EF8"/>
    <w:rsid w:val="00380F33"/>
    <w:rsid w:val="003810AD"/>
    <w:rsid w:val="00381100"/>
    <w:rsid w:val="003812C1"/>
    <w:rsid w:val="00381331"/>
    <w:rsid w:val="00381706"/>
    <w:rsid w:val="0038173C"/>
    <w:rsid w:val="003817B4"/>
    <w:rsid w:val="0038199E"/>
    <w:rsid w:val="0038199F"/>
    <w:rsid w:val="00381A0B"/>
    <w:rsid w:val="00381EF9"/>
    <w:rsid w:val="00382224"/>
    <w:rsid w:val="00382252"/>
    <w:rsid w:val="003822AF"/>
    <w:rsid w:val="00382336"/>
    <w:rsid w:val="003826EF"/>
    <w:rsid w:val="003827DC"/>
    <w:rsid w:val="003827FB"/>
    <w:rsid w:val="003829B2"/>
    <w:rsid w:val="00382CDA"/>
    <w:rsid w:val="003830E0"/>
    <w:rsid w:val="003833A1"/>
    <w:rsid w:val="0038371B"/>
    <w:rsid w:val="00383F24"/>
    <w:rsid w:val="00383FEA"/>
    <w:rsid w:val="003840B2"/>
    <w:rsid w:val="0038410B"/>
    <w:rsid w:val="00384290"/>
    <w:rsid w:val="003842F2"/>
    <w:rsid w:val="0038436F"/>
    <w:rsid w:val="003843E6"/>
    <w:rsid w:val="003848A2"/>
    <w:rsid w:val="00384977"/>
    <w:rsid w:val="00384B12"/>
    <w:rsid w:val="00384E86"/>
    <w:rsid w:val="00384EAF"/>
    <w:rsid w:val="00385285"/>
    <w:rsid w:val="00385505"/>
    <w:rsid w:val="00385A95"/>
    <w:rsid w:val="00385CC2"/>
    <w:rsid w:val="00385D2A"/>
    <w:rsid w:val="003861F2"/>
    <w:rsid w:val="00386231"/>
    <w:rsid w:val="003865D9"/>
    <w:rsid w:val="00386A73"/>
    <w:rsid w:val="00386B76"/>
    <w:rsid w:val="00386BAE"/>
    <w:rsid w:val="00386C07"/>
    <w:rsid w:val="00386E81"/>
    <w:rsid w:val="00386F6C"/>
    <w:rsid w:val="003873A4"/>
    <w:rsid w:val="00387459"/>
    <w:rsid w:val="003874B9"/>
    <w:rsid w:val="00387B8C"/>
    <w:rsid w:val="00387FAC"/>
    <w:rsid w:val="00390075"/>
    <w:rsid w:val="00390108"/>
    <w:rsid w:val="00390261"/>
    <w:rsid w:val="003903E4"/>
    <w:rsid w:val="003904DF"/>
    <w:rsid w:val="0039058F"/>
    <w:rsid w:val="003905B5"/>
    <w:rsid w:val="00390690"/>
    <w:rsid w:val="0039074B"/>
    <w:rsid w:val="00390DA3"/>
    <w:rsid w:val="0039110D"/>
    <w:rsid w:val="003912E0"/>
    <w:rsid w:val="003912E3"/>
    <w:rsid w:val="0039149B"/>
    <w:rsid w:val="0039161B"/>
    <w:rsid w:val="003919FB"/>
    <w:rsid w:val="003919FC"/>
    <w:rsid w:val="00391C04"/>
    <w:rsid w:val="00391C13"/>
    <w:rsid w:val="00391F2C"/>
    <w:rsid w:val="003921DE"/>
    <w:rsid w:val="00392994"/>
    <w:rsid w:val="00392AAE"/>
    <w:rsid w:val="00392B2B"/>
    <w:rsid w:val="00392BEE"/>
    <w:rsid w:val="00392C78"/>
    <w:rsid w:val="0039307A"/>
    <w:rsid w:val="00393174"/>
    <w:rsid w:val="0039329C"/>
    <w:rsid w:val="003935F2"/>
    <w:rsid w:val="00393790"/>
    <w:rsid w:val="0039389B"/>
    <w:rsid w:val="00393B81"/>
    <w:rsid w:val="00393D7E"/>
    <w:rsid w:val="00393D8A"/>
    <w:rsid w:val="00394121"/>
    <w:rsid w:val="0039419C"/>
    <w:rsid w:val="0039484F"/>
    <w:rsid w:val="0039490C"/>
    <w:rsid w:val="00394DD7"/>
    <w:rsid w:val="00395027"/>
    <w:rsid w:val="00395078"/>
    <w:rsid w:val="0039599D"/>
    <w:rsid w:val="003959AD"/>
    <w:rsid w:val="00395B43"/>
    <w:rsid w:val="003960EA"/>
    <w:rsid w:val="00396225"/>
    <w:rsid w:val="00396240"/>
    <w:rsid w:val="00396684"/>
    <w:rsid w:val="0039687F"/>
    <w:rsid w:val="00396E3F"/>
    <w:rsid w:val="00396E79"/>
    <w:rsid w:val="00396F18"/>
    <w:rsid w:val="003972A8"/>
    <w:rsid w:val="0039735D"/>
    <w:rsid w:val="00397597"/>
    <w:rsid w:val="003A02D5"/>
    <w:rsid w:val="003A0394"/>
    <w:rsid w:val="003A096D"/>
    <w:rsid w:val="003A0EFD"/>
    <w:rsid w:val="003A1097"/>
    <w:rsid w:val="003A12A1"/>
    <w:rsid w:val="003A1BA2"/>
    <w:rsid w:val="003A1CE6"/>
    <w:rsid w:val="003A2471"/>
    <w:rsid w:val="003A26C8"/>
    <w:rsid w:val="003A293E"/>
    <w:rsid w:val="003A296D"/>
    <w:rsid w:val="003A29AA"/>
    <w:rsid w:val="003A2AC5"/>
    <w:rsid w:val="003A2E6A"/>
    <w:rsid w:val="003A2EAE"/>
    <w:rsid w:val="003A3029"/>
    <w:rsid w:val="003A31CF"/>
    <w:rsid w:val="003A35A5"/>
    <w:rsid w:val="003A3640"/>
    <w:rsid w:val="003A366D"/>
    <w:rsid w:val="003A3C57"/>
    <w:rsid w:val="003A3F39"/>
    <w:rsid w:val="003A3FFB"/>
    <w:rsid w:val="003A4E14"/>
    <w:rsid w:val="003A50EE"/>
    <w:rsid w:val="003A51D5"/>
    <w:rsid w:val="003A521E"/>
    <w:rsid w:val="003A54A2"/>
    <w:rsid w:val="003A5656"/>
    <w:rsid w:val="003A5C06"/>
    <w:rsid w:val="003A5CC3"/>
    <w:rsid w:val="003A5E65"/>
    <w:rsid w:val="003A648A"/>
    <w:rsid w:val="003A64D4"/>
    <w:rsid w:val="003A674F"/>
    <w:rsid w:val="003A6770"/>
    <w:rsid w:val="003A683D"/>
    <w:rsid w:val="003A68D6"/>
    <w:rsid w:val="003A68DC"/>
    <w:rsid w:val="003A690D"/>
    <w:rsid w:val="003A69EC"/>
    <w:rsid w:val="003A6A2E"/>
    <w:rsid w:val="003A7016"/>
    <w:rsid w:val="003A72AF"/>
    <w:rsid w:val="003A74A5"/>
    <w:rsid w:val="003A7601"/>
    <w:rsid w:val="003A7DCB"/>
    <w:rsid w:val="003B0010"/>
    <w:rsid w:val="003B016B"/>
    <w:rsid w:val="003B024F"/>
    <w:rsid w:val="003B05C3"/>
    <w:rsid w:val="003B06A2"/>
    <w:rsid w:val="003B06F7"/>
    <w:rsid w:val="003B07AB"/>
    <w:rsid w:val="003B0AA4"/>
    <w:rsid w:val="003B0AFA"/>
    <w:rsid w:val="003B0CB3"/>
    <w:rsid w:val="003B0DA0"/>
    <w:rsid w:val="003B0E93"/>
    <w:rsid w:val="003B1650"/>
    <w:rsid w:val="003B178B"/>
    <w:rsid w:val="003B18A2"/>
    <w:rsid w:val="003B18FF"/>
    <w:rsid w:val="003B2019"/>
    <w:rsid w:val="003B20C8"/>
    <w:rsid w:val="003B24DB"/>
    <w:rsid w:val="003B25F7"/>
    <w:rsid w:val="003B2804"/>
    <w:rsid w:val="003B2AD8"/>
    <w:rsid w:val="003B2E1E"/>
    <w:rsid w:val="003B2F93"/>
    <w:rsid w:val="003B32A3"/>
    <w:rsid w:val="003B3440"/>
    <w:rsid w:val="003B353F"/>
    <w:rsid w:val="003B36D6"/>
    <w:rsid w:val="003B39BF"/>
    <w:rsid w:val="003B39D7"/>
    <w:rsid w:val="003B3CF1"/>
    <w:rsid w:val="003B3FB5"/>
    <w:rsid w:val="003B4327"/>
    <w:rsid w:val="003B44FC"/>
    <w:rsid w:val="003B4882"/>
    <w:rsid w:val="003B4C50"/>
    <w:rsid w:val="003B4DAC"/>
    <w:rsid w:val="003B4DF7"/>
    <w:rsid w:val="003B4FCE"/>
    <w:rsid w:val="003B4FE7"/>
    <w:rsid w:val="003B5036"/>
    <w:rsid w:val="003B5103"/>
    <w:rsid w:val="003B5181"/>
    <w:rsid w:val="003B5196"/>
    <w:rsid w:val="003B5307"/>
    <w:rsid w:val="003B5615"/>
    <w:rsid w:val="003B580C"/>
    <w:rsid w:val="003B585E"/>
    <w:rsid w:val="003B593D"/>
    <w:rsid w:val="003B5A29"/>
    <w:rsid w:val="003B5CF3"/>
    <w:rsid w:val="003B5F5A"/>
    <w:rsid w:val="003B5FC8"/>
    <w:rsid w:val="003B6009"/>
    <w:rsid w:val="003B6356"/>
    <w:rsid w:val="003B6669"/>
    <w:rsid w:val="003B6DD5"/>
    <w:rsid w:val="003B6DDE"/>
    <w:rsid w:val="003B70D4"/>
    <w:rsid w:val="003B71AF"/>
    <w:rsid w:val="003B7393"/>
    <w:rsid w:val="003B7460"/>
    <w:rsid w:val="003B753F"/>
    <w:rsid w:val="003B757A"/>
    <w:rsid w:val="003B7722"/>
    <w:rsid w:val="003B7B86"/>
    <w:rsid w:val="003B7BD0"/>
    <w:rsid w:val="003B7C2D"/>
    <w:rsid w:val="003B7CBC"/>
    <w:rsid w:val="003B7CD3"/>
    <w:rsid w:val="003B7D0D"/>
    <w:rsid w:val="003C05C5"/>
    <w:rsid w:val="003C0B63"/>
    <w:rsid w:val="003C1016"/>
    <w:rsid w:val="003C1258"/>
    <w:rsid w:val="003C1267"/>
    <w:rsid w:val="003C12D3"/>
    <w:rsid w:val="003C12DC"/>
    <w:rsid w:val="003C1690"/>
    <w:rsid w:val="003C1755"/>
    <w:rsid w:val="003C1A7D"/>
    <w:rsid w:val="003C1C06"/>
    <w:rsid w:val="003C1CAB"/>
    <w:rsid w:val="003C1DFB"/>
    <w:rsid w:val="003C20B8"/>
    <w:rsid w:val="003C2107"/>
    <w:rsid w:val="003C26DC"/>
    <w:rsid w:val="003C2740"/>
    <w:rsid w:val="003C2854"/>
    <w:rsid w:val="003C28CF"/>
    <w:rsid w:val="003C28E2"/>
    <w:rsid w:val="003C2B76"/>
    <w:rsid w:val="003C2EB1"/>
    <w:rsid w:val="003C3344"/>
    <w:rsid w:val="003C3693"/>
    <w:rsid w:val="003C3A3A"/>
    <w:rsid w:val="003C3A71"/>
    <w:rsid w:val="003C3BEB"/>
    <w:rsid w:val="003C4448"/>
    <w:rsid w:val="003C4760"/>
    <w:rsid w:val="003C4850"/>
    <w:rsid w:val="003C4D91"/>
    <w:rsid w:val="003C4F37"/>
    <w:rsid w:val="003C50DB"/>
    <w:rsid w:val="003C5233"/>
    <w:rsid w:val="003C53E2"/>
    <w:rsid w:val="003C5A89"/>
    <w:rsid w:val="003C5AAF"/>
    <w:rsid w:val="003C5BB0"/>
    <w:rsid w:val="003C5E65"/>
    <w:rsid w:val="003C5F46"/>
    <w:rsid w:val="003C6087"/>
    <w:rsid w:val="003C6107"/>
    <w:rsid w:val="003C649D"/>
    <w:rsid w:val="003C65CC"/>
    <w:rsid w:val="003C6751"/>
    <w:rsid w:val="003C6922"/>
    <w:rsid w:val="003C6A2C"/>
    <w:rsid w:val="003C6A77"/>
    <w:rsid w:val="003C6BEE"/>
    <w:rsid w:val="003C7186"/>
    <w:rsid w:val="003C71F1"/>
    <w:rsid w:val="003C7338"/>
    <w:rsid w:val="003C7425"/>
    <w:rsid w:val="003C75A5"/>
    <w:rsid w:val="003C76A2"/>
    <w:rsid w:val="003C7902"/>
    <w:rsid w:val="003C7979"/>
    <w:rsid w:val="003C7A0A"/>
    <w:rsid w:val="003C7B5E"/>
    <w:rsid w:val="003C7DA0"/>
    <w:rsid w:val="003C7E26"/>
    <w:rsid w:val="003C7E42"/>
    <w:rsid w:val="003C7EB6"/>
    <w:rsid w:val="003C7F6B"/>
    <w:rsid w:val="003C7F9C"/>
    <w:rsid w:val="003D03C4"/>
    <w:rsid w:val="003D04CF"/>
    <w:rsid w:val="003D057F"/>
    <w:rsid w:val="003D06D6"/>
    <w:rsid w:val="003D07CB"/>
    <w:rsid w:val="003D081A"/>
    <w:rsid w:val="003D0834"/>
    <w:rsid w:val="003D08B2"/>
    <w:rsid w:val="003D08C2"/>
    <w:rsid w:val="003D0A0E"/>
    <w:rsid w:val="003D0A7B"/>
    <w:rsid w:val="003D0BE1"/>
    <w:rsid w:val="003D0C45"/>
    <w:rsid w:val="003D0C78"/>
    <w:rsid w:val="003D0E41"/>
    <w:rsid w:val="003D0FF3"/>
    <w:rsid w:val="003D1030"/>
    <w:rsid w:val="003D10F2"/>
    <w:rsid w:val="003D162D"/>
    <w:rsid w:val="003D182B"/>
    <w:rsid w:val="003D1905"/>
    <w:rsid w:val="003D1CA3"/>
    <w:rsid w:val="003D1CAE"/>
    <w:rsid w:val="003D1CDB"/>
    <w:rsid w:val="003D1DC4"/>
    <w:rsid w:val="003D223B"/>
    <w:rsid w:val="003D2280"/>
    <w:rsid w:val="003D2337"/>
    <w:rsid w:val="003D241A"/>
    <w:rsid w:val="003D2535"/>
    <w:rsid w:val="003D2D9E"/>
    <w:rsid w:val="003D2FAC"/>
    <w:rsid w:val="003D2FD9"/>
    <w:rsid w:val="003D3173"/>
    <w:rsid w:val="003D320E"/>
    <w:rsid w:val="003D3230"/>
    <w:rsid w:val="003D338B"/>
    <w:rsid w:val="003D33D9"/>
    <w:rsid w:val="003D34D0"/>
    <w:rsid w:val="003D354A"/>
    <w:rsid w:val="003D3691"/>
    <w:rsid w:val="003D37C6"/>
    <w:rsid w:val="003D38B6"/>
    <w:rsid w:val="003D393A"/>
    <w:rsid w:val="003D3A21"/>
    <w:rsid w:val="003D3C37"/>
    <w:rsid w:val="003D3C71"/>
    <w:rsid w:val="003D3C96"/>
    <w:rsid w:val="003D3DDC"/>
    <w:rsid w:val="003D3E2E"/>
    <w:rsid w:val="003D40B7"/>
    <w:rsid w:val="003D411B"/>
    <w:rsid w:val="003D41A1"/>
    <w:rsid w:val="003D41FC"/>
    <w:rsid w:val="003D42CA"/>
    <w:rsid w:val="003D43EC"/>
    <w:rsid w:val="003D4526"/>
    <w:rsid w:val="003D45FB"/>
    <w:rsid w:val="003D4684"/>
    <w:rsid w:val="003D4691"/>
    <w:rsid w:val="003D4891"/>
    <w:rsid w:val="003D48ED"/>
    <w:rsid w:val="003D4B58"/>
    <w:rsid w:val="003D4D1D"/>
    <w:rsid w:val="003D4D38"/>
    <w:rsid w:val="003D4E5A"/>
    <w:rsid w:val="003D4F25"/>
    <w:rsid w:val="003D522C"/>
    <w:rsid w:val="003D5265"/>
    <w:rsid w:val="003D5BB0"/>
    <w:rsid w:val="003D5C9E"/>
    <w:rsid w:val="003D6017"/>
    <w:rsid w:val="003D619D"/>
    <w:rsid w:val="003D6645"/>
    <w:rsid w:val="003D66BD"/>
    <w:rsid w:val="003D6837"/>
    <w:rsid w:val="003D6C71"/>
    <w:rsid w:val="003D6CEB"/>
    <w:rsid w:val="003D6F30"/>
    <w:rsid w:val="003D71AC"/>
    <w:rsid w:val="003D725E"/>
    <w:rsid w:val="003D73EB"/>
    <w:rsid w:val="003D747A"/>
    <w:rsid w:val="003D79DC"/>
    <w:rsid w:val="003D7FF2"/>
    <w:rsid w:val="003E0010"/>
    <w:rsid w:val="003E020A"/>
    <w:rsid w:val="003E021B"/>
    <w:rsid w:val="003E05DE"/>
    <w:rsid w:val="003E09DA"/>
    <w:rsid w:val="003E0A25"/>
    <w:rsid w:val="003E0CFB"/>
    <w:rsid w:val="003E0D52"/>
    <w:rsid w:val="003E1126"/>
    <w:rsid w:val="003E12C2"/>
    <w:rsid w:val="003E17B4"/>
    <w:rsid w:val="003E1853"/>
    <w:rsid w:val="003E19BA"/>
    <w:rsid w:val="003E1C1E"/>
    <w:rsid w:val="003E1C2F"/>
    <w:rsid w:val="003E1C8C"/>
    <w:rsid w:val="003E20DD"/>
    <w:rsid w:val="003E210B"/>
    <w:rsid w:val="003E2142"/>
    <w:rsid w:val="003E22FC"/>
    <w:rsid w:val="003E2300"/>
    <w:rsid w:val="003E23C9"/>
    <w:rsid w:val="003E25AC"/>
    <w:rsid w:val="003E2820"/>
    <w:rsid w:val="003E2ABB"/>
    <w:rsid w:val="003E2CDB"/>
    <w:rsid w:val="003E2DA4"/>
    <w:rsid w:val="003E2DDD"/>
    <w:rsid w:val="003E2E9F"/>
    <w:rsid w:val="003E2F24"/>
    <w:rsid w:val="003E3144"/>
    <w:rsid w:val="003E3145"/>
    <w:rsid w:val="003E3211"/>
    <w:rsid w:val="003E3306"/>
    <w:rsid w:val="003E331B"/>
    <w:rsid w:val="003E3409"/>
    <w:rsid w:val="003E34F7"/>
    <w:rsid w:val="003E36C2"/>
    <w:rsid w:val="003E3777"/>
    <w:rsid w:val="003E3A0E"/>
    <w:rsid w:val="003E3AC4"/>
    <w:rsid w:val="003E3B49"/>
    <w:rsid w:val="003E3EEC"/>
    <w:rsid w:val="003E4491"/>
    <w:rsid w:val="003E4513"/>
    <w:rsid w:val="003E455C"/>
    <w:rsid w:val="003E46C0"/>
    <w:rsid w:val="003E46C9"/>
    <w:rsid w:val="003E48BB"/>
    <w:rsid w:val="003E4E41"/>
    <w:rsid w:val="003E4FA3"/>
    <w:rsid w:val="003E4FE5"/>
    <w:rsid w:val="003E5234"/>
    <w:rsid w:val="003E54F4"/>
    <w:rsid w:val="003E5589"/>
    <w:rsid w:val="003E58FC"/>
    <w:rsid w:val="003E594A"/>
    <w:rsid w:val="003E61AC"/>
    <w:rsid w:val="003E63D8"/>
    <w:rsid w:val="003E6956"/>
    <w:rsid w:val="003E6E1F"/>
    <w:rsid w:val="003E7166"/>
    <w:rsid w:val="003E754B"/>
    <w:rsid w:val="003E7557"/>
    <w:rsid w:val="003E7818"/>
    <w:rsid w:val="003E7CF5"/>
    <w:rsid w:val="003E7D2B"/>
    <w:rsid w:val="003E7D80"/>
    <w:rsid w:val="003E7EF8"/>
    <w:rsid w:val="003E7F18"/>
    <w:rsid w:val="003E7FC6"/>
    <w:rsid w:val="003F0106"/>
    <w:rsid w:val="003F0113"/>
    <w:rsid w:val="003F0226"/>
    <w:rsid w:val="003F02E7"/>
    <w:rsid w:val="003F0713"/>
    <w:rsid w:val="003F0730"/>
    <w:rsid w:val="003F07A7"/>
    <w:rsid w:val="003F082E"/>
    <w:rsid w:val="003F0A0F"/>
    <w:rsid w:val="003F0E3E"/>
    <w:rsid w:val="003F0E43"/>
    <w:rsid w:val="003F0FCD"/>
    <w:rsid w:val="003F1550"/>
    <w:rsid w:val="003F16F4"/>
    <w:rsid w:val="003F19BB"/>
    <w:rsid w:val="003F1ADE"/>
    <w:rsid w:val="003F1BDE"/>
    <w:rsid w:val="003F202D"/>
    <w:rsid w:val="003F2357"/>
    <w:rsid w:val="003F26E2"/>
    <w:rsid w:val="003F2C25"/>
    <w:rsid w:val="003F2C68"/>
    <w:rsid w:val="003F2DBD"/>
    <w:rsid w:val="003F2E3A"/>
    <w:rsid w:val="003F31A8"/>
    <w:rsid w:val="003F3585"/>
    <w:rsid w:val="003F372F"/>
    <w:rsid w:val="003F3915"/>
    <w:rsid w:val="003F39AC"/>
    <w:rsid w:val="003F3AF2"/>
    <w:rsid w:val="003F3B7C"/>
    <w:rsid w:val="003F3C0A"/>
    <w:rsid w:val="003F3CA1"/>
    <w:rsid w:val="003F3D5E"/>
    <w:rsid w:val="003F41C0"/>
    <w:rsid w:val="003F463A"/>
    <w:rsid w:val="003F47F4"/>
    <w:rsid w:val="003F4ADC"/>
    <w:rsid w:val="003F4C61"/>
    <w:rsid w:val="003F4F67"/>
    <w:rsid w:val="003F4F92"/>
    <w:rsid w:val="003F503D"/>
    <w:rsid w:val="003F5056"/>
    <w:rsid w:val="003F5275"/>
    <w:rsid w:val="003F53B1"/>
    <w:rsid w:val="003F54F4"/>
    <w:rsid w:val="003F57DD"/>
    <w:rsid w:val="003F5A35"/>
    <w:rsid w:val="003F5BBF"/>
    <w:rsid w:val="003F5EA2"/>
    <w:rsid w:val="003F5EB9"/>
    <w:rsid w:val="003F5FF0"/>
    <w:rsid w:val="003F60B8"/>
    <w:rsid w:val="003F60F5"/>
    <w:rsid w:val="003F619B"/>
    <w:rsid w:val="003F61D1"/>
    <w:rsid w:val="003F6250"/>
    <w:rsid w:val="003F62E4"/>
    <w:rsid w:val="003F65B7"/>
    <w:rsid w:val="003F682A"/>
    <w:rsid w:val="003F6B12"/>
    <w:rsid w:val="003F6C4C"/>
    <w:rsid w:val="003F6C5A"/>
    <w:rsid w:val="003F6D53"/>
    <w:rsid w:val="003F7111"/>
    <w:rsid w:val="003F7340"/>
    <w:rsid w:val="003F752D"/>
    <w:rsid w:val="003F79BC"/>
    <w:rsid w:val="003F79DF"/>
    <w:rsid w:val="003F7C7F"/>
    <w:rsid w:val="003F7C94"/>
    <w:rsid w:val="003F7CBF"/>
    <w:rsid w:val="003F7DA8"/>
    <w:rsid w:val="003F7EF8"/>
    <w:rsid w:val="003F7F7E"/>
    <w:rsid w:val="00400060"/>
    <w:rsid w:val="004000AF"/>
    <w:rsid w:val="004000E9"/>
    <w:rsid w:val="00400616"/>
    <w:rsid w:val="00400660"/>
    <w:rsid w:val="0040070B"/>
    <w:rsid w:val="004007D2"/>
    <w:rsid w:val="00400AF4"/>
    <w:rsid w:val="00400C20"/>
    <w:rsid w:val="00400C70"/>
    <w:rsid w:val="004010EC"/>
    <w:rsid w:val="00401425"/>
    <w:rsid w:val="00401514"/>
    <w:rsid w:val="0040155D"/>
    <w:rsid w:val="00401901"/>
    <w:rsid w:val="0040199A"/>
    <w:rsid w:val="00401D0F"/>
    <w:rsid w:val="00401E0D"/>
    <w:rsid w:val="0040205D"/>
    <w:rsid w:val="004021B7"/>
    <w:rsid w:val="00402236"/>
    <w:rsid w:val="00402DC6"/>
    <w:rsid w:val="00402E28"/>
    <w:rsid w:val="00403009"/>
    <w:rsid w:val="0040315B"/>
    <w:rsid w:val="004032B8"/>
    <w:rsid w:val="00403361"/>
    <w:rsid w:val="00403386"/>
    <w:rsid w:val="004035A1"/>
    <w:rsid w:val="0040391C"/>
    <w:rsid w:val="00403B7F"/>
    <w:rsid w:val="00403DA2"/>
    <w:rsid w:val="00403E80"/>
    <w:rsid w:val="004040EA"/>
    <w:rsid w:val="00404105"/>
    <w:rsid w:val="00404175"/>
    <w:rsid w:val="004041B9"/>
    <w:rsid w:val="004043AC"/>
    <w:rsid w:val="004043C1"/>
    <w:rsid w:val="004043F1"/>
    <w:rsid w:val="0040453B"/>
    <w:rsid w:val="0040468A"/>
    <w:rsid w:val="004046D7"/>
    <w:rsid w:val="0040473E"/>
    <w:rsid w:val="004049C5"/>
    <w:rsid w:val="00404AA7"/>
    <w:rsid w:val="00404B8B"/>
    <w:rsid w:val="00404BED"/>
    <w:rsid w:val="00404C7E"/>
    <w:rsid w:val="00404C8D"/>
    <w:rsid w:val="00404DCC"/>
    <w:rsid w:val="00404E2A"/>
    <w:rsid w:val="00405030"/>
    <w:rsid w:val="004051B8"/>
    <w:rsid w:val="004053E7"/>
    <w:rsid w:val="00405402"/>
    <w:rsid w:val="00405668"/>
    <w:rsid w:val="0040567A"/>
    <w:rsid w:val="00405CFC"/>
    <w:rsid w:val="00405D05"/>
    <w:rsid w:val="00405D10"/>
    <w:rsid w:val="00405D69"/>
    <w:rsid w:val="00405E39"/>
    <w:rsid w:val="00405E78"/>
    <w:rsid w:val="00405EBD"/>
    <w:rsid w:val="00406113"/>
    <w:rsid w:val="0040617C"/>
    <w:rsid w:val="00406477"/>
    <w:rsid w:val="00406492"/>
    <w:rsid w:val="004066C5"/>
    <w:rsid w:val="00406782"/>
    <w:rsid w:val="004067C9"/>
    <w:rsid w:val="004068F3"/>
    <w:rsid w:val="0040693F"/>
    <w:rsid w:val="00406AC7"/>
    <w:rsid w:val="00406E22"/>
    <w:rsid w:val="00406E97"/>
    <w:rsid w:val="004070BB"/>
    <w:rsid w:val="004071D3"/>
    <w:rsid w:val="00407384"/>
    <w:rsid w:val="0040747D"/>
    <w:rsid w:val="004074B1"/>
    <w:rsid w:val="00407753"/>
    <w:rsid w:val="00407CD2"/>
    <w:rsid w:val="00407DA2"/>
    <w:rsid w:val="0041004B"/>
    <w:rsid w:val="00410074"/>
    <w:rsid w:val="004100FF"/>
    <w:rsid w:val="004105C5"/>
    <w:rsid w:val="00410BAD"/>
    <w:rsid w:val="00410D01"/>
    <w:rsid w:val="00410E76"/>
    <w:rsid w:val="0041129D"/>
    <w:rsid w:val="0041145B"/>
    <w:rsid w:val="00411923"/>
    <w:rsid w:val="00411A3E"/>
    <w:rsid w:val="00411C91"/>
    <w:rsid w:val="00412128"/>
    <w:rsid w:val="00412224"/>
    <w:rsid w:val="004122DA"/>
    <w:rsid w:val="00412587"/>
    <w:rsid w:val="00412ADA"/>
    <w:rsid w:val="00412AE4"/>
    <w:rsid w:val="00412E42"/>
    <w:rsid w:val="00413402"/>
    <w:rsid w:val="00413573"/>
    <w:rsid w:val="004137D0"/>
    <w:rsid w:val="00413856"/>
    <w:rsid w:val="004138B8"/>
    <w:rsid w:val="00413CB7"/>
    <w:rsid w:val="00413D80"/>
    <w:rsid w:val="00413D96"/>
    <w:rsid w:val="00413F1D"/>
    <w:rsid w:val="00413F7F"/>
    <w:rsid w:val="00413FDF"/>
    <w:rsid w:val="004143D6"/>
    <w:rsid w:val="004145FD"/>
    <w:rsid w:val="0041465C"/>
    <w:rsid w:val="004147A8"/>
    <w:rsid w:val="0041489D"/>
    <w:rsid w:val="00414C57"/>
    <w:rsid w:val="00414C94"/>
    <w:rsid w:val="00415273"/>
    <w:rsid w:val="00415652"/>
    <w:rsid w:val="004156D8"/>
    <w:rsid w:val="004159EC"/>
    <w:rsid w:val="00415BD8"/>
    <w:rsid w:val="00415D2C"/>
    <w:rsid w:val="00415E07"/>
    <w:rsid w:val="004160E9"/>
    <w:rsid w:val="004161E5"/>
    <w:rsid w:val="00416251"/>
    <w:rsid w:val="0041631D"/>
    <w:rsid w:val="004163D2"/>
    <w:rsid w:val="004163DF"/>
    <w:rsid w:val="004164C0"/>
    <w:rsid w:val="004165DC"/>
    <w:rsid w:val="00416869"/>
    <w:rsid w:val="004168C8"/>
    <w:rsid w:val="0041698E"/>
    <w:rsid w:val="00416AF1"/>
    <w:rsid w:val="00416B3D"/>
    <w:rsid w:val="00416BF6"/>
    <w:rsid w:val="00416DF2"/>
    <w:rsid w:val="00416F7C"/>
    <w:rsid w:val="00417043"/>
    <w:rsid w:val="0041710F"/>
    <w:rsid w:val="00417167"/>
    <w:rsid w:val="004171CE"/>
    <w:rsid w:val="004172E0"/>
    <w:rsid w:val="004174EC"/>
    <w:rsid w:val="00417974"/>
    <w:rsid w:val="00417C19"/>
    <w:rsid w:val="00417D8A"/>
    <w:rsid w:val="00417DC7"/>
    <w:rsid w:val="004202C9"/>
    <w:rsid w:val="004202D7"/>
    <w:rsid w:val="00420357"/>
    <w:rsid w:val="004204AC"/>
    <w:rsid w:val="004205C1"/>
    <w:rsid w:val="00420667"/>
    <w:rsid w:val="004207FD"/>
    <w:rsid w:val="00420B10"/>
    <w:rsid w:val="00421115"/>
    <w:rsid w:val="00421258"/>
    <w:rsid w:val="004212CA"/>
    <w:rsid w:val="00421393"/>
    <w:rsid w:val="0042141B"/>
    <w:rsid w:val="004216E0"/>
    <w:rsid w:val="0042189E"/>
    <w:rsid w:val="00421967"/>
    <w:rsid w:val="00421A49"/>
    <w:rsid w:val="00421B2C"/>
    <w:rsid w:val="00421D19"/>
    <w:rsid w:val="00422031"/>
    <w:rsid w:val="004223F6"/>
    <w:rsid w:val="00422419"/>
    <w:rsid w:val="0042269D"/>
    <w:rsid w:val="00422711"/>
    <w:rsid w:val="004227F0"/>
    <w:rsid w:val="004229C2"/>
    <w:rsid w:val="00422A0F"/>
    <w:rsid w:val="00422A3C"/>
    <w:rsid w:val="00422A3D"/>
    <w:rsid w:val="00422A50"/>
    <w:rsid w:val="00422DF4"/>
    <w:rsid w:val="00422DFB"/>
    <w:rsid w:val="00422F74"/>
    <w:rsid w:val="0042330B"/>
    <w:rsid w:val="00423823"/>
    <w:rsid w:val="0042385A"/>
    <w:rsid w:val="00423E2A"/>
    <w:rsid w:val="00423F4C"/>
    <w:rsid w:val="004240CC"/>
    <w:rsid w:val="0042443F"/>
    <w:rsid w:val="0042444D"/>
    <w:rsid w:val="0042447E"/>
    <w:rsid w:val="00424665"/>
    <w:rsid w:val="00424868"/>
    <w:rsid w:val="00424A69"/>
    <w:rsid w:val="00424A6D"/>
    <w:rsid w:val="00424C01"/>
    <w:rsid w:val="00424DF1"/>
    <w:rsid w:val="00424F0F"/>
    <w:rsid w:val="004251D4"/>
    <w:rsid w:val="00425401"/>
    <w:rsid w:val="00425659"/>
    <w:rsid w:val="0042577A"/>
    <w:rsid w:val="00425948"/>
    <w:rsid w:val="00425A48"/>
    <w:rsid w:val="0042612C"/>
    <w:rsid w:val="0042636F"/>
    <w:rsid w:val="004263AA"/>
    <w:rsid w:val="004263F8"/>
    <w:rsid w:val="004264D1"/>
    <w:rsid w:val="004266E6"/>
    <w:rsid w:val="004266F8"/>
    <w:rsid w:val="00426803"/>
    <w:rsid w:val="0042690D"/>
    <w:rsid w:val="004269AB"/>
    <w:rsid w:val="00426BFB"/>
    <w:rsid w:val="00426C10"/>
    <w:rsid w:val="00426EC3"/>
    <w:rsid w:val="00427394"/>
    <w:rsid w:val="004273DF"/>
    <w:rsid w:val="00427910"/>
    <w:rsid w:val="00427B33"/>
    <w:rsid w:val="00427C0B"/>
    <w:rsid w:val="00427C9F"/>
    <w:rsid w:val="00427E2E"/>
    <w:rsid w:val="0043035D"/>
    <w:rsid w:val="004306AD"/>
    <w:rsid w:val="004307DC"/>
    <w:rsid w:val="00430811"/>
    <w:rsid w:val="00430BBC"/>
    <w:rsid w:val="00430EAA"/>
    <w:rsid w:val="00430ED6"/>
    <w:rsid w:val="00430F8A"/>
    <w:rsid w:val="0043112E"/>
    <w:rsid w:val="00431306"/>
    <w:rsid w:val="0043144C"/>
    <w:rsid w:val="0043178C"/>
    <w:rsid w:val="00431923"/>
    <w:rsid w:val="004319A2"/>
    <w:rsid w:val="00431A0C"/>
    <w:rsid w:val="00431B1F"/>
    <w:rsid w:val="00431C98"/>
    <w:rsid w:val="004320D5"/>
    <w:rsid w:val="004321E5"/>
    <w:rsid w:val="0043253D"/>
    <w:rsid w:val="00432597"/>
    <w:rsid w:val="004327D9"/>
    <w:rsid w:val="00432CE2"/>
    <w:rsid w:val="00432D5F"/>
    <w:rsid w:val="00432DBA"/>
    <w:rsid w:val="00432EC4"/>
    <w:rsid w:val="00432FC3"/>
    <w:rsid w:val="00433190"/>
    <w:rsid w:val="004332AB"/>
    <w:rsid w:val="00433414"/>
    <w:rsid w:val="00433419"/>
    <w:rsid w:val="004336FC"/>
    <w:rsid w:val="0043405A"/>
    <w:rsid w:val="00434198"/>
    <w:rsid w:val="00434213"/>
    <w:rsid w:val="0043421F"/>
    <w:rsid w:val="00434375"/>
    <w:rsid w:val="004344E2"/>
    <w:rsid w:val="00434695"/>
    <w:rsid w:val="00434885"/>
    <w:rsid w:val="00434D95"/>
    <w:rsid w:val="00435005"/>
    <w:rsid w:val="004352C8"/>
    <w:rsid w:val="004357D1"/>
    <w:rsid w:val="00435918"/>
    <w:rsid w:val="00435B98"/>
    <w:rsid w:val="00435E4E"/>
    <w:rsid w:val="004361CF"/>
    <w:rsid w:val="00436308"/>
    <w:rsid w:val="00436444"/>
    <w:rsid w:val="00436B0B"/>
    <w:rsid w:val="00436D8D"/>
    <w:rsid w:val="00436DC6"/>
    <w:rsid w:val="00436DD1"/>
    <w:rsid w:val="00436E12"/>
    <w:rsid w:val="00436E32"/>
    <w:rsid w:val="00436F82"/>
    <w:rsid w:val="004372A0"/>
    <w:rsid w:val="0043732D"/>
    <w:rsid w:val="00437330"/>
    <w:rsid w:val="0043739E"/>
    <w:rsid w:val="00437431"/>
    <w:rsid w:val="004374D2"/>
    <w:rsid w:val="0043775D"/>
    <w:rsid w:val="00437920"/>
    <w:rsid w:val="00437986"/>
    <w:rsid w:val="00437AA9"/>
    <w:rsid w:val="00437BE9"/>
    <w:rsid w:val="00437CF8"/>
    <w:rsid w:val="00437F34"/>
    <w:rsid w:val="00440184"/>
    <w:rsid w:val="0044038B"/>
    <w:rsid w:val="004406E9"/>
    <w:rsid w:val="00440BA9"/>
    <w:rsid w:val="00440D42"/>
    <w:rsid w:val="00441160"/>
    <w:rsid w:val="004418D9"/>
    <w:rsid w:val="004419E0"/>
    <w:rsid w:val="00441A43"/>
    <w:rsid w:val="00441AD9"/>
    <w:rsid w:val="00441FB4"/>
    <w:rsid w:val="00442393"/>
    <w:rsid w:val="0044245E"/>
    <w:rsid w:val="00442640"/>
    <w:rsid w:val="004426DF"/>
    <w:rsid w:val="0044281E"/>
    <w:rsid w:val="0044285D"/>
    <w:rsid w:val="004428D7"/>
    <w:rsid w:val="00442B1E"/>
    <w:rsid w:val="00442B84"/>
    <w:rsid w:val="00442BF6"/>
    <w:rsid w:val="00442D63"/>
    <w:rsid w:val="00442E45"/>
    <w:rsid w:val="00442E8F"/>
    <w:rsid w:val="00443424"/>
    <w:rsid w:val="0044372B"/>
    <w:rsid w:val="00443775"/>
    <w:rsid w:val="00443A2B"/>
    <w:rsid w:val="00443B0E"/>
    <w:rsid w:val="00443CEF"/>
    <w:rsid w:val="00443D5E"/>
    <w:rsid w:val="00443EE3"/>
    <w:rsid w:val="00444391"/>
    <w:rsid w:val="0044439D"/>
    <w:rsid w:val="004444A1"/>
    <w:rsid w:val="00444530"/>
    <w:rsid w:val="004445FA"/>
    <w:rsid w:val="0044487C"/>
    <w:rsid w:val="00444C42"/>
    <w:rsid w:val="00444F2C"/>
    <w:rsid w:val="00445052"/>
    <w:rsid w:val="004451FE"/>
    <w:rsid w:val="00445275"/>
    <w:rsid w:val="00445356"/>
    <w:rsid w:val="00445405"/>
    <w:rsid w:val="0044573A"/>
    <w:rsid w:val="0044576C"/>
    <w:rsid w:val="00445C12"/>
    <w:rsid w:val="004465F3"/>
    <w:rsid w:val="0044674B"/>
    <w:rsid w:val="0044680D"/>
    <w:rsid w:val="00446908"/>
    <w:rsid w:val="00446AFA"/>
    <w:rsid w:val="00446C86"/>
    <w:rsid w:val="00446D52"/>
    <w:rsid w:val="0044710B"/>
    <w:rsid w:val="004471BD"/>
    <w:rsid w:val="00447278"/>
    <w:rsid w:val="004472DD"/>
    <w:rsid w:val="004473AF"/>
    <w:rsid w:val="00447421"/>
    <w:rsid w:val="0044750A"/>
    <w:rsid w:val="004475F7"/>
    <w:rsid w:val="0044766B"/>
    <w:rsid w:val="0044782B"/>
    <w:rsid w:val="0044786A"/>
    <w:rsid w:val="00447A93"/>
    <w:rsid w:val="00447B68"/>
    <w:rsid w:val="00447CED"/>
    <w:rsid w:val="00450416"/>
    <w:rsid w:val="0045044D"/>
    <w:rsid w:val="00450876"/>
    <w:rsid w:val="004509D3"/>
    <w:rsid w:val="00450BDB"/>
    <w:rsid w:val="00450C98"/>
    <w:rsid w:val="00450E93"/>
    <w:rsid w:val="00451066"/>
    <w:rsid w:val="004512DB"/>
    <w:rsid w:val="00451363"/>
    <w:rsid w:val="004516B6"/>
    <w:rsid w:val="0045172D"/>
    <w:rsid w:val="00451876"/>
    <w:rsid w:val="00451D32"/>
    <w:rsid w:val="00451E25"/>
    <w:rsid w:val="00451E9B"/>
    <w:rsid w:val="0045208F"/>
    <w:rsid w:val="004520EB"/>
    <w:rsid w:val="0045226D"/>
    <w:rsid w:val="00452352"/>
    <w:rsid w:val="00452483"/>
    <w:rsid w:val="004526FC"/>
    <w:rsid w:val="00452757"/>
    <w:rsid w:val="00452A5F"/>
    <w:rsid w:val="00452E7D"/>
    <w:rsid w:val="00452E7E"/>
    <w:rsid w:val="00452EF1"/>
    <w:rsid w:val="00452F7B"/>
    <w:rsid w:val="00452FCC"/>
    <w:rsid w:val="00453028"/>
    <w:rsid w:val="00453353"/>
    <w:rsid w:val="00453548"/>
    <w:rsid w:val="00453863"/>
    <w:rsid w:val="00453CB6"/>
    <w:rsid w:val="00453DCF"/>
    <w:rsid w:val="00453F01"/>
    <w:rsid w:val="00453FF4"/>
    <w:rsid w:val="004541D8"/>
    <w:rsid w:val="0045441D"/>
    <w:rsid w:val="004546D7"/>
    <w:rsid w:val="0045490D"/>
    <w:rsid w:val="00454C58"/>
    <w:rsid w:val="00454D17"/>
    <w:rsid w:val="00454D7C"/>
    <w:rsid w:val="00454FF0"/>
    <w:rsid w:val="00455089"/>
    <w:rsid w:val="00455396"/>
    <w:rsid w:val="004554BC"/>
    <w:rsid w:val="004554EE"/>
    <w:rsid w:val="00455A10"/>
    <w:rsid w:val="00455A58"/>
    <w:rsid w:val="00455B62"/>
    <w:rsid w:val="00455F63"/>
    <w:rsid w:val="00456273"/>
    <w:rsid w:val="0045648C"/>
    <w:rsid w:val="00456522"/>
    <w:rsid w:val="00456553"/>
    <w:rsid w:val="00456594"/>
    <w:rsid w:val="00456842"/>
    <w:rsid w:val="004573CE"/>
    <w:rsid w:val="0045764D"/>
    <w:rsid w:val="004578BD"/>
    <w:rsid w:val="00457E5B"/>
    <w:rsid w:val="00457ECF"/>
    <w:rsid w:val="00460000"/>
    <w:rsid w:val="0046019F"/>
    <w:rsid w:val="004601B9"/>
    <w:rsid w:val="0046024D"/>
    <w:rsid w:val="004602CE"/>
    <w:rsid w:val="004603FF"/>
    <w:rsid w:val="00460595"/>
    <w:rsid w:val="004605FE"/>
    <w:rsid w:val="00460697"/>
    <w:rsid w:val="00460821"/>
    <w:rsid w:val="00460857"/>
    <w:rsid w:val="00460A4F"/>
    <w:rsid w:val="00460A67"/>
    <w:rsid w:val="00460D59"/>
    <w:rsid w:val="00460D8B"/>
    <w:rsid w:val="00460E73"/>
    <w:rsid w:val="004612AC"/>
    <w:rsid w:val="004612E5"/>
    <w:rsid w:val="004612F5"/>
    <w:rsid w:val="0046138D"/>
    <w:rsid w:val="00461564"/>
    <w:rsid w:val="004616FF"/>
    <w:rsid w:val="004619EC"/>
    <w:rsid w:val="00461B93"/>
    <w:rsid w:val="00461C69"/>
    <w:rsid w:val="00461E05"/>
    <w:rsid w:val="00461EA4"/>
    <w:rsid w:val="004621A0"/>
    <w:rsid w:val="0046225A"/>
    <w:rsid w:val="0046234F"/>
    <w:rsid w:val="004623B3"/>
    <w:rsid w:val="00462429"/>
    <w:rsid w:val="0046248A"/>
    <w:rsid w:val="004625C6"/>
    <w:rsid w:val="00462637"/>
    <w:rsid w:val="0046266B"/>
    <w:rsid w:val="0046271C"/>
    <w:rsid w:val="00462796"/>
    <w:rsid w:val="004627E3"/>
    <w:rsid w:val="0046290C"/>
    <w:rsid w:val="00462B5B"/>
    <w:rsid w:val="00462F35"/>
    <w:rsid w:val="0046319F"/>
    <w:rsid w:val="00463304"/>
    <w:rsid w:val="004633C6"/>
    <w:rsid w:val="00463545"/>
    <w:rsid w:val="00463565"/>
    <w:rsid w:val="00463641"/>
    <w:rsid w:val="00463795"/>
    <w:rsid w:val="004639DF"/>
    <w:rsid w:val="004639E0"/>
    <w:rsid w:val="00463AA1"/>
    <w:rsid w:val="00463FA3"/>
    <w:rsid w:val="0046410D"/>
    <w:rsid w:val="00464293"/>
    <w:rsid w:val="004643C8"/>
    <w:rsid w:val="0046458C"/>
    <w:rsid w:val="004647AA"/>
    <w:rsid w:val="00464841"/>
    <w:rsid w:val="004653A7"/>
    <w:rsid w:val="004653CE"/>
    <w:rsid w:val="00465659"/>
    <w:rsid w:val="004659F7"/>
    <w:rsid w:val="00465B18"/>
    <w:rsid w:val="00465B97"/>
    <w:rsid w:val="00465BCB"/>
    <w:rsid w:val="00465D4C"/>
    <w:rsid w:val="00465D8B"/>
    <w:rsid w:val="00465D94"/>
    <w:rsid w:val="00465F0E"/>
    <w:rsid w:val="004660E2"/>
    <w:rsid w:val="00466358"/>
    <w:rsid w:val="00466726"/>
    <w:rsid w:val="0046673E"/>
    <w:rsid w:val="00466740"/>
    <w:rsid w:val="00466995"/>
    <w:rsid w:val="00466F76"/>
    <w:rsid w:val="0046701F"/>
    <w:rsid w:val="004672F9"/>
    <w:rsid w:val="00467374"/>
    <w:rsid w:val="0046739C"/>
    <w:rsid w:val="00467575"/>
    <w:rsid w:val="00467625"/>
    <w:rsid w:val="004679EA"/>
    <w:rsid w:val="00467B44"/>
    <w:rsid w:val="00467CB8"/>
    <w:rsid w:val="00467EA4"/>
    <w:rsid w:val="00467FE6"/>
    <w:rsid w:val="004703D4"/>
    <w:rsid w:val="004703EB"/>
    <w:rsid w:val="004704B7"/>
    <w:rsid w:val="00470532"/>
    <w:rsid w:val="00470557"/>
    <w:rsid w:val="00470993"/>
    <w:rsid w:val="00470B51"/>
    <w:rsid w:val="00471257"/>
    <w:rsid w:val="00471284"/>
    <w:rsid w:val="004712CB"/>
    <w:rsid w:val="0047190D"/>
    <w:rsid w:val="00471ADC"/>
    <w:rsid w:val="00471B2B"/>
    <w:rsid w:val="00471CDA"/>
    <w:rsid w:val="00472286"/>
    <w:rsid w:val="0047230C"/>
    <w:rsid w:val="004725A9"/>
    <w:rsid w:val="00472608"/>
    <w:rsid w:val="00472651"/>
    <w:rsid w:val="00472A9D"/>
    <w:rsid w:val="00472AC5"/>
    <w:rsid w:val="00472BA0"/>
    <w:rsid w:val="00472CE8"/>
    <w:rsid w:val="00472D89"/>
    <w:rsid w:val="00472E62"/>
    <w:rsid w:val="00472F32"/>
    <w:rsid w:val="00472FCD"/>
    <w:rsid w:val="004732A8"/>
    <w:rsid w:val="004732F0"/>
    <w:rsid w:val="00473504"/>
    <w:rsid w:val="004735FA"/>
    <w:rsid w:val="004738B5"/>
    <w:rsid w:val="0047391D"/>
    <w:rsid w:val="00473AD5"/>
    <w:rsid w:val="00473BD5"/>
    <w:rsid w:val="00473C6D"/>
    <w:rsid w:val="00473CA0"/>
    <w:rsid w:val="00473FC6"/>
    <w:rsid w:val="00474083"/>
    <w:rsid w:val="00474164"/>
    <w:rsid w:val="004746AF"/>
    <w:rsid w:val="0047498E"/>
    <w:rsid w:val="004749B9"/>
    <w:rsid w:val="00474A5E"/>
    <w:rsid w:val="00474B1B"/>
    <w:rsid w:val="00474C1D"/>
    <w:rsid w:val="00474D3D"/>
    <w:rsid w:val="00474F8F"/>
    <w:rsid w:val="00475575"/>
    <w:rsid w:val="004757ED"/>
    <w:rsid w:val="00475854"/>
    <w:rsid w:val="00475980"/>
    <w:rsid w:val="00475C2B"/>
    <w:rsid w:val="00475CCE"/>
    <w:rsid w:val="00475E77"/>
    <w:rsid w:val="00475FF7"/>
    <w:rsid w:val="0047633C"/>
    <w:rsid w:val="00476830"/>
    <w:rsid w:val="00476A08"/>
    <w:rsid w:val="00476A1F"/>
    <w:rsid w:val="00476CEE"/>
    <w:rsid w:val="004771FA"/>
    <w:rsid w:val="0047740B"/>
    <w:rsid w:val="00477430"/>
    <w:rsid w:val="00477533"/>
    <w:rsid w:val="00477AB2"/>
    <w:rsid w:val="00477C2D"/>
    <w:rsid w:val="00477CAE"/>
    <w:rsid w:val="00477DDA"/>
    <w:rsid w:val="00477E62"/>
    <w:rsid w:val="0048007D"/>
    <w:rsid w:val="0048016B"/>
    <w:rsid w:val="00480343"/>
    <w:rsid w:val="00480354"/>
    <w:rsid w:val="00480C1F"/>
    <w:rsid w:val="00480FDB"/>
    <w:rsid w:val="0048121A"/>
    <w:rsid w:val="004812AA"/>
    <w:rsid w:val="004813EC"/>
    <w:rsid w:val="00481507"/>
    <w:rsid w:val="0048169B"/>
    <w:rsid w:val="0048188C"/>
    <w:rsid w:val="004818EB"/>
    <w:rsid w:val="00481AAA"/>
    <w:rsid w:val="00481B01"/>
    <w:rsid w:val="00481BB7"/>
    <w:rsid w:val="00481D4C"/>
    <w:rsid w:val="00481E96"/>
    <w:rsid w:val="00481EAA"/>
    <w:rsid w:val="00481FF9"/>
    <w:rsid w:val="00482042"/>
    <w:rsid w:val="00482136"/>
    <w:rsid w:val="00482232"/>
    <w:rsid w:val="00482420"/>
    <w:rsid w:val="00482729"/>
    <w:rsid w:val="00482C14"/>
    <w:rsid w:val="00483613"/>
    <w:rsid w:val="0048362E"/>
    <w:rsid w:val="004838F4"/>
    <w:rsid w:val="00483940"/>
    <w:rsid w:val="00483BA4"/>
    <w:rsid w:val="00483DEE"/>
    <w:rsid w:val="00483F40"/>
    <w:rsid w:val="00484511"/>
    <w:rsid w:val="004847FA"/>
    <w:rsid w:val="00484B21"/>
    <w:rsid w:val="00484B60"/>
    <w:rsid w:val="00484BBE"/>
    <w:rsid w:val="00484F06"/>
    <w:rsid w:val="00485072"/>
    <w:rsid w:val="00485343"/>
    <w:rsid w:val="004859FD"/>
    <w:rsid w:val="00485DA8"/>
    <w:rsid w:val="00485DDF"/>
    <w:rsid w:val="00485E2E"/>
    <w:rsid w:val="00485EB0"/>
    <w:rsid w:val="00485F7B"/>
    <w:rsid w:val="00485F93"/>
    <w:rsid w:val="00486482"/>
    <w:rsid w:val="004864B8"/>
    <w:rsid w:val="0048664D"/>
    <w:rsid w:val="00486671"/>
    <w:rsid w:val="00486768"/>
    <w:rsid w:val="00486A00"/>
    <w:rsid w:val="00486A9B"/>
    <w:rsid w:val="00486C2D"/>
    <w:rsid w:val="00486D7C"/>
    <w:rsid w:val="0048728B"/>
    <w:rsid w:val="00487425"/>
    <w:rsid w:val="00487501"/>
    <w:rsid w:val="00487A1F"/>
    <w:rsid w:val="00487E7D"/>
    <w:rsid w:val="00487EE1"/>
    <w:rsid w:val="00487F2E"/>
    <w:rsid w:val="00490150"/>
    <w:rsid w:val="00490248"/>
    <w:rsid w:val="004902AA"/>
    <w:rsid w:val="004902AB"/>
    <w:rsid w:val="004903E4"/>
    <w:rsid w:val="0049075B"/>
    <w:rsid w:val="004909B8"/>
    <w:rsid w:val="00490B57"/>
    <w:rsid w:val="00490BFA"/>
    <w:rsid w:val="00490D53"/>
    <w:rsid w:val="00490E0C"/>
    <w:rsid w:val="00491174"/>
    <w:rsid w:val="00491178"/>
    <w:rsid w:val="004915E0"/>
    <w:rsid w:val="00491788"/>
    <w:rsid w:val="0049196A"/>
    <w:rsid w:val="004919D1"/>
    <w:rsid w:val="00491A63"/>
    <w:rsid w:val="00491C17"/>
    <w:rsid w:val="00491E49"/>
    <w:rsid w:val="00491F31"/>
    <w:rsid w:val="00492012"/>
    <w:rsid w:val="004920AD"/>
    <w:rsid w:val="00492185"/>
    <w:rsid w:val="0049226F"/>
    <w:rsid w:val="004922D1"/>
    <w:rsid w:val="00492372"/>
    <w:rsid w:val="00492428"/>
    <w:rsid w:val="0049268B"/>
    <w:rsid w:val="0049270C"/>
    <w:rsid w:val="00492761"/>
    <w:rsid w:val="0049279C"/>
    <w:rsid w:val="00492A82"/>
    <w:rsid w:val="00492B53"/>
    <w:rsid w:val="00492CFA"/>
    <w:rsid w:val="004931F1"/>
    <w:rsid w:val="004931F8"/>
    <w:rsid w:val="00493416"/>
    <w:rsid w:val="004934C3"/>
    <w:rsid w:val="00493E9B"/>
    <w:rsid w:val="00494159"/>
    <w:rsid w:val="004944F8"/>
    <w:rsid w:val="00494805"/>
    <w:rsid w:val="00494B77"/>
    <w:rsid w:val="00494DEB"/>
    <w:rsid w:val="00494EC2"/>
    <w:rsid w:val="00494F84"/>
    <w:rsid w:val="00495210"/>
    <w:rsid w:val="004954B3"/>
    <w:rsid w:val="0049557C"/>
    <w:rsid w:val="004956F1"/>
    <w:rsid w:val="00495868"/>
    <w:rsid w:val="00495C38"/>
    <w:rsid w:val="00496064"/>
    <w:rsid w:val="004960B3"/>
    <w:rsid w:val="00496196"/>
    <w:rsid w:val="0049619A"/>
    <w:rsid w:val="0049621A"/>
    <w:rsid w:val="004965D4"/>
    <w:rsid w:val="00496770"/>
    <w:rsid w:val="0049687E"/>
    <w:rsid w:val="0049691B"/>
    <w:rsid w:val="0049695E"/>
    <w:rsid w:val="004969AB"/>
    <w:rsid w:val="004969E7"/>
    <w:rsid w:val="00496A96"/>
    <w:rsid w:val="00496E0B"/>
    <w:rsid w:val="00496EE7"/>
    <w:rsid w:val="00496F1A"/>
    <w:rsid w:val="004970CB"/>
    <w:rsid w:val="0049738D"/>
    <w:rsid w:val="0049738F"/>
    <w:rsid w:val="004973B0"/>
    <w:rsid w:val="0049749D"/>
    <w:rsid w:val="004975C9"/>
    <w:rsid w:val="004975EE"/>
    <w:rsid w:val="00497689"/>
    <w:rsid w:val="004977B9"/>
    <w:rsid w:val="00497A18"/>
    <w:rsid w:val="00497DE1"/>
    <w:rsid w:val="00497FDC"/>
    <w:rsid w:val="004A037B"/>
    <w:rsid w:val="004A0647"/>
    <w:rsid w:val="004A06CD"/>
    <w:rsid w:val="004A08AF"/>
    <w:rsid w:val="004A0915"/>
    <w:rsid w:val="004A0A63"/>
    <w:rsid w:val="004A0B94"/>
    <w:rsid w:val="004A0C87"/>
    <w:rsid w:val="004A1A10"/>
    <w:rsid w:val="004A1ADA"/>
    <w:rsid w:val="004A1E78"/>
    <w:rsid w:val="004A2045"/>
    <w:rsid w:val="004A24ED"/>
    <w:rsid w:val="004A27C8"/>
    <w:rsid w:val="004A2808"/>
    <w:rsid w:val="004A2B59"/>
    <w:rsid w:val="004A2BB4"/>
    <w:rsid w:val="004A2C2F"/>
    <w:rsid w:val="004A2D94"/>
    <w:rsid w:val="004A2F6B"/>
    <w:rsid w:val="004A3024"/>
    <w:rsid w:val="004A30E8"/>
    <w:rsid w:val="004A32FA"/>
    <w:rsid w:val="004A357C"/>
    <w:rsid w:val="004A3685"/>
    <w:rsid w:val="004A38CB"/>
    <w:rsid w:val="004A3EBF"/>
    <w:rsid w:val="004A428F"/>
    <w:rsid w:val="004A43AF"/>
    <w:rsid w:val="004A4444"/>
    <w:rsid w:val="004A45C4"/>
    <w:rsid w:val="004A4616"/>
    <w:rsid w:val="004A4621"/>
    <w:rsid w:val="004A46EE"/>
    <w:rsid w:val="004A48DF"/>
    <w:rsid w:val="004A49AE"/>
    <w:rsid w:val="004A4AB9"/>
    <w:rsid w:val="004A4D52"/>
    <w:rsid w:val="004A4DC0"/>
    <w:rsid w:val="004A4F0A"/>
    <w:rsid w:val="004A4F86"/>
    <w:rsid w:val="004A507B"/>
    <w:rsid w:val="004A50D9"/>
    <w:rsid w:val="004A590A"/>
    <w:rsid w:val="004A5A77"/>
    <w:rsid w:val="004A5A8A"/>
    <w:rsid w:val="004A5B5E"/>
    <w:rsid w:val="004A5E07"/>
    <w:rsid w:val="004A5ECA"/>
    <w:rsid w:val="004A60D6"/>
    <w:rsid w:val="004A60E7"/>
    <w:rsid w:val="004A63A8"/>
    <w:rsid w:val="004A651E"/>
    <w:rsid w:val="004A6554"/>
    <w:rsid w:val="004A6598"/>
    <w:rsid w:val="004A693D"/>
    <w:rsid w:val="004A6943"/>
    <w:rsid w:val="004A6DAC"/>
    <w:rsid w:val="004A6E54"/>
    <w:rsid w:val="004A6E83"/>
    <w:rsid w:val="004A726F"/>
    <w:rsid w:val="004A733D"/>
    <w:rsid w:val="004A7762"/>
    <w:rsid w:val="004A779D"/>
    <w:rsid w:val="004A7EBB"/>
    <w:rsid w:val="004B0100"/>
    <w:rsid w:val="004B028A"/>
    <w:rsid w:val="004B02AA"/>
    <w:rsid w:val="004B0771"/>
    <w:rsid w:val="004B0775"/>
    <w:rsid w:val="004B0AC6"/>
    <w:rsid w:val="004B0C71"/>
    <w:rsid w:val="004B0C72"/>
    <w:rsid w:val="004B0E63"/>
    <w:rsid w:val="004B0F61"/>
    <w:rsid w:val="004B10C7"/>
    <w:rsid w:val="004B1152"/>
    <w:rsid w:val="004B1295"/>
    <w:rsid w:val="004B12A7"/>
    <w:rsid w:val="004B14C1"/>
    <w:rsid w:val="004B1627"/>
    <w:rsid w:val="004B17A5"/>
    <w:rsid w:val="004B1B0A"/>
    <w:rsid w:val="004B1C0F"/>
    <w:rsid w:val="004B20CD"/>
    <w:rsid w:val="004B2225"/>
    <w:rsid w:val="004B23F7"/>
    <w:rsid w:val="004B24C1"/>
    <w:rsid w:val="004B2BCD"/>
    <w:rsid w:val="004B2CEF"/>
    <w:rsid w:val="004B305C"/>
    <w:rsid w:val="004B3279"/>
    <w:rsid w:val="004B3633"/>
    <w:rsid w:val="004B39A1"/>
    <w:rsid w:val="004B3D82"/>
    <w:rsid w:val="004B3EC8"/>
    <w:rsid w:val="004B3F35"/>
    <w:rsid w:val="004B42C9"/>
    <w:rsid w:val="004B47F8"/>
    <w:rsid w:val="004B4D8C"/>
    <w:rsid w:val="004B4D9B"/>
    <w:rsid w:val="004B5017"/>
    <w:rsid w:val="004B50AA"/>
    <w:rsid w:val="004B5381"/>
    <w:rsid w:val="004B5561"/>
    <w:rsid w:val="004B578F"/>
    <w:rsid w:val="004B59E6"/>
    <w:rsid w:val="004B5B20"/>
    <w:rsid w:val="004B5D64"/>
    <w:rsid w:val="004B5EA6"/>
    <w:rsid w:val="004B60FA"/>
    <w:rsid w:val="004B637D"/>
    <w:rsid w:val="004B64C1"/>
    <w:rsid w:val="004B6586"/>
    <w:rsid w:val="004B658C"/>
    <w:rsid w:val="004B6702"/>
    <w:rsid w:val="004B6792"/>
    <w:rsid w:val="004B6C4D"/>
    <w:rsid w:val="004B6CB3"/>
    <w:rsid w:val="004B6E20"/>
    <w:rsid w:val="004B7129"/>
    <w:rsid w:val="004B7162"/>
    <w:rsid w:val="004B73CA"/>
    <w:rsid w:val="004B750A"/>
    <w:rsid w:val="004B77A7"/>
    <w:rsid w:val="004B7865"/>
    <w:rsid w:val="004B791C"/>
    <w:rsid w:val="004B7A11"/>
    <w:rsid w:val="004B7A44"/>
    <w:rsid w:val="004B7ECD"/>
    <w:rsid w:val="004C0090"/>
    <w:rsid w:val="004C01CD"/>
    <w:rsid w:val="004C04B5"/>
    <w:rsid w:val="004C0742"/>
    <w:rsid w:val="004C0949"/>
    <w:rsid w:val="004C0BEB"/>
    <w:rsid w:val="004C0EB0"/>
    <w:rsid w:val="004C0FFF"/>
    <w:rsid w:val="004C1087"/>
    <w:rsid w:val="004C111A"/>
    <w:rsid w:val="004C135C"/>
    <w:rsid w:val="004C15FD"/>
    <w:rsid w:val="004C17DF"/>
    <w:rsid w:val="004C1803"/>
    <w:rsid w:val="004C1879"/>
    <w:rsid w:val="004C1AD5"/>
    <w:rsid w:val="004C1ADB"/>
    <w:rsid w:val="004C1CAD"/>
    <w:rsid w:val="004C21E9"/>
    <w:rsid w:val="004C221B"/>
    <w:rsid w:val="004C235A"/>
    <w:rsid w:val="004C2607"/>
    <w:rsid w:val="004C26BA"/>
    <w:rsid w:val="004C27C9"/>
    <w:rsid w:val="004C333A"/>
    <w:rsid w:val="004C33DA"/>
    <w:rsid w:val="004C34CF"/>
    <w:rsid w:val="004C351A"/>
    <w:rsid w:val="004C3655"/>
    <w:rsid w:val="004C37CE"/>
    <w:rsid w:val="004C3EAB"/>
    <w:rsid w:val="004C43B7"/>
    <w:rsid w:val="004C44E1"/>
    <w:rsid w:val="004C46F3"/>
    <w:rsid w:val="004C47D4"/>
    <w:rsid w:val="004C4A1D"/>
    <w:rsid w:val="004C4B46"/>
    <w:rsid w:val="004C4D17"/>
    <w:rsid w:val="004C4DF6"/>
    <w:rsid w:val="004C50E2"/>
    <w:rsid w:val="004C51BA"/>
    <w:rsid w:val="004C56A8"/>
    <w:rsid w:val="004C5A0A"/>
    <w:rsid w:val="004C5A36"/>
    <w:rsid w:val="004C5A7A"/>
    <w:rsid w:val="004C5F57"/>
    <w:rsid w:val="004C6042"/>
    <w:rsid w:val="004C60E8"/>
    <w:rsid w:val="004C6176"/>
    <w:rsid w:val="004C62BD"/>
    <w:rsid w:val="004C6541"/>
    <w:rsid w:val="004C682C"/>
    <w:rsid w:val="004C68C6"/>
    <w:rsid w:val="004C695B"/>
    <w:rsid w:val="004C699B"/>
    <w:rsid w:val="004C6B25"/>
    <w:rsid w:val="004C6B2A"/>
    <w:rsid w:val="004C6C61"/>
    <w:rsid w:val="004C6D2B"/>
    <w:rsid w:val="004C6DC0"/>
    <w:rsid w:val="004C6F3F"/>
    <w:rsid w:val="004C7141"/>
    <w:rsid w:val="004C724E"/>
    <w:rsid w:val="004C72C9"/>
    <w:rsid w:val="004C736B"/>
    <w:rsid w:val="004C73C0"/>
    <w:rsid w:val="004C73F7"/>
    <w:rsid w:val="004C7539"/>
    <w:rsid w:val="004C75A9"/>
    <w:rsid w:val="004C7657"/>
    <w:rsid w:val="004C767E"/>
    <w:rsid w:val="004C771E"/>
    <w:rsid w:val="004C7735"/>
    <w:rsid w:val="004C78C8"/>
    <w:rsid w:val="004C78FD"/>
    <w:rsid w:val="004C7BB1"/>
    <w:rsid w:val="004C7C0C"/>
    <w:rsid w:val="004C7D20"/>
    <w:rsid w:val="004C7D6A"/>
    <w:rsid w:val="004C7DD5"/>
    <w:rsid w:val="004D0076"/>
    <w:rsid w:val="004D0217"/>
    <w:rsid w:val="004D0244"/>
    <w:rsid w:val="004D0410"/>
    <w:rsid w:val="004D0543"/>
    <w:rsid w:val="004D0575"/>
    <w:rsid w:val="004D0576"/>
    <w:rsid w:val="004D0E43"/>
    <w:rsid w:val="004D12D6"/>
    <w:rsid w:val="004D1884"/>
    <w:rsid w:val="004D18A2"/>
    <w:rsid w:val="004D1A5F"/>
    <w:rsid w:val="004D1C2B"/>
    <w:rsid w:val="004D1D61"/>
    <w:rsid w:val="004D1FA2"/>
    <w:rsid w:val="004D2173"/>
    <w:rsid w:val="004D21E9"/>
    <w:rsid w:val="004D2504"/>
    <w:rsid w:val="004D2604"/>
    <w:rsid w:val="004D2629"/>
    <w:rsid w:val="004D26DA"/>
    <w:rsid w:val="004D2852"/>
    <w:rsid w:val="004D2853"/>
    <w:rsid w:val="004D296A"/>
    <w:rsid w:val="004D2C27"/>
    <w:rsid w:val="004D2C34"/>
    <w:rsid w:val="004D301D"/>
    <w:rsid w:val="004D3124"/>
    <w:rsid w:val="004D3571"/>
    <w:rsid w:val="004D359E"/>
    <w:rsid w:val="004D372F"/>
    <w:rsid w:val="004D3987"/>
    <w:rsid w:val="004D3A1D"/>
    <w:rsid w:val="004D3A9F"/>
    <w:rsid w:val="004D3F52"/>
    <w:rsid w:val="004D42F2"/>
    <w:rsid w:val="004D4311"/>
    <w:rsid w:val="004D433D"/>
    <w:rsid w:val="004D4347"/>
    <w:rsid w:val="004D4358"/>
    <w:rsid w:val="004D43E2"/>
    <w:rsid w:val="004D4468"/>
    <w:rsid w:val="004D4608"/>
    <w:rsid w:val="004D4621"/>
    <w:rsid w:val="004D474D"/>
    <w:rsid w:val="004D4AFE"/>
    <w:rsid w:val="004D501F"/>
    <w:rsid w:val="004D535B"/>
    <w:rsid w:val="004D536E"/>
    <w:rsid w:val="004D5732"/>
    <w:rsid w:val="004D57D9"/>
    <w:rsid w:val="004D5CDF"/>
    <w:rsid w:val="004D5D5B"/>
    <w:rsid w:val="004D5D68"/>
    <w:rsid w:val="004D6057"/>
    <w:rsid w:val="004D6076"/>
    <w:rsid w:val="004D62BC"/>
    <w:rsid w:val="004D652B"/>
    <w:rsid w:val="004D662F"/>
    <w:rsid w:val="004D677E"/>
    <w:rsid w:val="004D68B5"/>
    <w:rsid w:val="004D6CCB"/>
    <w:rsid w:val="004D6CEC"/>
    <w:rsid w:val="004D6D48"/>
    <w:rsid w:val="004D6F76"/>
    <w:rsid w:val="004D6F7A"/>
    <w:rsid w:val="004D6FF4"/>
    <w:rsid w:val="004D7079"/>
    <w:rsid w:val="004D750C"/>
    <w:rsid w:val="004D77EA"/>
    <w:rsid w:val="004E0775"/>
    <w:rsid w:val="004E07F3"/>
    <w:rsid w:val="004E0812"/>
    <w:rsid w:val="004E0964"/>
    <w:rsid w:val="004E0BEB"/>
    <w:rsid w:val="004E0CF4"/>
    <w:rsid w:val="004E1016"/>
    <w:rsid w:val="004E102A"/>
    <w:rsid w:val="004E1145"/>
    <w:rsid w:val="004E12E4"/>
    <w:rsid w:val="004E13BD"/>
    <w:rsid w:val="004E1481"/>
    <w:rsid w:val="004E23DD"/>
    <w:rsid w:val="004E2499"/>
    <w:rsid w:val="004E24DC"/>
    <w:rsid w:val="004E24F8"/>
    <w:rsid w:val="004E2662"/>
    <w:rsid w:val="004E2695"/>
    <w:rsid w:val="004E27E0"/>
    <w:rsid w:val="004E2868"/>
    <w:rsid w:val="004E29C2"/>
    <w:rsid w:val="004E29D1"/>
    <w:rsid w:val="004E2B65"/>
    <w:rsid w:val="004E2D8F"/>
    <w:rsid w:val="004E324A"/>
    <w:rsid w:val="004E361C"/>
    <w:rsid w:val="004E3D7D"/>
    <w:rsid w:val="004E4074"/>
    <w:rsid w:val="004E429C"/>
    <w:rsid w:val="004E450C"/>
    <w:rsid w:val="004E45A7"/>
    <w:rsid w:val="004E4782"/>
    <w:rsid w:val="004E47B5"/>
    <w:rsid w:val="004E47EE"/>
    <w:rsid w:val="004E488F"/>
    <w:rsid w:val="004E4A1F"/>
    <w:rsid w:val="004E4E2F"/>
    <w:rsid w:val="004E4F6C"/>
    <w:rsid w:val="004E503C"/>
    <w:rsid w:val="004E5101"/>
    <w:rsid w:val="004E512D"/>
    <w:rsid w:val="004E5134"/>
    <w:rsid w:val="004E581E"/>
    <w:rsid w:val="004E5DA8"/>
    <w:rsid w:val="004E5F5D"/>
    <w:rsid w:val="004E60E0"/>
    <w:rsid w:val="004E6103"/>
    <w:rsid w:val="004E6150"/>
    <w:rsid w:val="004E6169"/>
    <w:rsid w:val="004E61E1"/>
    <w:rsid w:val="004E61E5"/>
    <w:rsid w:val="004E624B"/>
    <w:rsid w:val="004E6366"/>
    <w:rsid w:val="004E636A"/>
    <w:rsid w:val="004E64AB"/>
    <w:rsid w:val="004E6615"/>
    <w:rsid w:val="004E66A1"/>
    <w:rsid w:val="004E673C"/>
    <w:rsid w:val="004E67C3"/>
    <w:rsid w:val="004E68B2"/>
    <w:rsid w:val="004E6AF6"/>
    <w:rsid w:val="004E6C3F"/>
    <w:rsid w:val="004E6CBD"/>
    <w:rsid w:val="004E6CC4"/>
    <w:rsid w:val="004E6F11"/>
    <w:rsid w:val="004E6F7F"/>
    <w:rsid w:val="004E7002"/>
    <w:rsid w:val="004E7095"/>
    <w:rsid w:val="004E71D8"/>
    <w:rsid w:val="004E7BD4"/>
    <w:rsid w:val="004E7F13"/>
    <w:rsid w:val="004F0283"/>
    <w:rsid w:val="004F02D8"/>
    <w:rsid w:val="004F02DF"/>
    <w:rsid w:val="004F04F3"/>
    <w:rsid w:val="004F0669"/>
    <w:rsid w:val="004F0899"/>
    <w:rsid w:val="004F08A8"/>
    <w:rsid w:val="004F09D3"/>
    <w:rsid w:val="004F0B32"/>
    <w:rsid w:val="004F0B37"/>
    <w:rsid w:val="004F0C5B"/>
    <w:rsid w:val="004F0F2E"/>
    <w:rsid w:val="004F1015"/>
    <w:rsid w:val="004F1575"/>
    <w:rsid w:val="004F1755"/>
    <w:rsid w:val="004F1AB1"/>
    <w:rsid w:val="004F1BA6"/>
    <w:rsid w:val="004F1D39"/>
    <w:rsid w:val="004F1D41"/>
    <w:rsid w:val="004F1DAA"/>
    <w:rsid w:val="004F1E32"/>
    <w:rsid w:val="004F2115"/>
    <w:rsid w:val="004F230E"/>
    <w:rsid w:val="004F2314"/>
    <w:rsid w:val="004F247F"/>
    <w:rsid w:val="004F258A"/>
    <w:rsid w:val="004F26BC"/>
    <w:rsid w:val="004F2A20"/>
    <w:rsid w:val="004F2A7C"/>
    <w:rsid w:val="004F2FCD"/>
    <w:rsid w:val="004F30CC"/>
    <w:rsid w:val="004F3A42"/>
    <w:rsid w:val="004F3B52"/>
    <w:rsid w:val="004F3C5F"/>
    <w:rsid w:val="004F3DFC"/>
    <w:rsid w:val="004F3F04"/>
    <w:rsid w:val="004F3F47"/>
    <w:rsid w:val="004F4238"/>
    <w:rsid w:val="004F4498"/>
    <w:rsid w:val="004F45F7"/>
    <w:rsid w:val="004F46C7"/>
    <w:rsid w:val="004F48FF"/>
    <w:rsid w:val="004F49EB"/>
    <w:rsid w:val="004F4BB8"/>
    <w:rsid w:val="004F4DA8"/>
    <w:rsid w:val="004F5057"/>
    <w:rsid w:val="004F5350"/>
    <w:rsid w:val="004F53D0"/>
    <w:rsid w:val="004F55F1"/>
    <w:rsid w:val="004F588D"/>
    <w:rsid w:val="004F5B69"/>
    <w:rsid w:val="004F5B82"/>
    <w:rsid w:val="004F5BFC"/>
    <w:rsid w:val="004F5D58"/>
    <w:rsid w:val="004F6163"/>
    <w:rsid w:val="004F61E9"/>
    <w:rsid w:val="004F66DF"/>
    <w:rsid w:val="004F68E6"/>
    <w:rsid w:val="004F698B"/>
    <w:rsid w:val="004F6C4E"/>
    <w:rsid w:val="004F6CC9"/>
    <w:rsid w:val="004F6D4D"/>
    <w:rsid w:val="004F71D3"/>
    <w:rsid w:val="004F71E0"/>
    <w:rsid w:val="004F75E9"/>
    <w:rsid w:val="004F7986"/>
    <w:rsid w:val="004F7CE0"/>
    <w:rsid w:val="004F7D43"/>
    <w:rsid w:val="00500041"/>
    <w:rsid w:val="00500352"/>
    <w:rsid w:val="005008AF"/>
    <w:rsid w:val="005009EE"/>
    <w:rsid w:val="00500A3B"/>
    <w:rsid w:val="00500D4E"/>
    <w:rsid w:val="00501195"/>
    <w:rsid w:val="0050162C"/>
    <w:rsid w:val="005017F3"/>
    <w:rsid w:val="005018B1"/>
    <w:rsid w:val="00501903"/>
    <w:rsid w:val="0050206C"/>
    <w:rsid w:val="005023BB"/>
    <w:rsid w:val="0050254B"/>
    <w:rsid w:val="0050267C"/>
    <w:rsid w:val="0050272C"/>
    <w:rsid w:val="00502811"/>
    <w:rsid w:val="005029DB"/>
    <w:rsid w:val="00502C2C"/>
    <w:rsid w:val="00502D27"/>
    <w:rsid w:val="00502E19"/>
    <w:rsid w:val="00503121"/>
    <w:rsid w:val="0050330E"/>
    <w:rsid w:val="005034E0"/>
    <w:rsid w:val="00503586"/>
    <w:rsid w:val="0050374E"/>
    <w:rsid w:val="00503DC7"/>
    <w:rsid w:val="0050411B"/>
    <w:rsid w:val="0050440C"/>
    <w:rsid w:val="00504467"/>
    <w:rsid w:val="0050476B"/>
    <w:rsid w:val="005048EE"/>
    <w:rsid w:val="00504D4F"/>
    <w:rsid w:val="00504F90"/>
    <w:rsid w:val="005052CC"/>
    <w:rsid w:val="00505615"/>
    <w:rsid w:val="00505893"/>
    <w:rsid w:val="00505C90"/>
    <w:rsid w:val="00505E05"/>
    <w:rsid w:val="00505E0B"/>
    <w:rsid w:val="0050606E"/>
    <w:rsid w:val="0050612F"/>
    <w:rsid w:val="00506199"/>
    <w:rsid w:val="0050635F"/>
    <w:rsid w:val="00506388"/>
    <w:rsid w:val="005068B3"/>
    <w:rsid w:val="00506952"/>
    <w:rsid w:val="00506A94"/>
    <w:rsid w:val="00506B57"/>
    <w:rsid w:val="00507033"/>
    <w:rsid w:val="0050734E"/>
    <w:rsid w:val="00507655"/>
    <w:rsid w:val="00507735"/>
    <w:rsid w:val="0050783C"/>
    <w:rsid w:val="00507ADF"/>
    <w:rsid w:val="00507AE4"/>
    <w:rsid w:val="00507F10"/>
    <w:rsid w:val="00510075"/>
    <w:rsid w:val="00510272"/>
    <w:rsid w:val="00510562"/>
    <w:rsid w:val="00510B07"/>
    <w:rsid w:val="00510B15"/>
    <w:rsid w:val="00510CAA"/>
    <w:rsid w:val="00510F4C"/>
    <w:rsid w:val="00511205"/>
    <w:rsid w:val="00511369"/>
    <w:rsid w:val="00511445"/>
    <w:rsid w:val="0051153E"/>
    <w:rsid w:val="00511551"/>
    <w:rsid w:val="00511694"/>
    <w:rsid w:val="00511905"/>
    <w:rsid w:val="005119A4"/>
    <w:rsid w:val="00511C05"/>
    <w:rsid w:val="00511E47"/>
    <w:rsid w:val="00512232"/>
    <w:rsid w:val="00512559"/>
    <w:rsid w:val="005128DF"/>
    <w:rsid w:val="00512E28"/>
    <w:rsid w:val="0051300F"/>
    <w:rsid w:val="0051304D"/>
    <w:rsid w:val="00513073"/>
    <w:rsid w:val="005130F3"/>
    <w:rsid w:val="0051354A"/>
    <w:rsid w:val="00513837"/>
    <w:rsid w:val="00513A45"/>
    <w:rsid w:val="00513ABD"/>
    <w:rsid w:val="00513DE7"/>
    <w:rsid w:val="00513EC4"/>
    <w:rsid w:val="00513FC6"/>
    <w:rsid w:val="0051405D"/>
    <w:rsid w:val="00514405"/>
    <w:rsid w:val="005144B8"/>
    <w:rsid w:val="005144D7"/>
    <w:rsid w:val="005145EE"/>
    <w:rsid w:val="00514A96"/>
    <w:rsid w:val="00514E93"/>
    <w:rsid w:val="005151D9"/>
    <w:rsid w:val="0051522A"/>
    <w:rsid w:val="005154CA"/>
    <w:rsid w:val="00515510"/>
    <w:rsid w:val="00515823"/>
    <w:rsid w:val="00515A8F"/>
    <w:rsid w:val="00515B07"/>
    <w:rsid w:val="00515B33"/>
    <w:rsid w:val="00515BD4"/>
    <w:rsid w:val="00515EAA"/>
    <w:rsid w:val="005162B5"/>
    <w:rsid w:val="005165CA"/>
    <w:rsid w:val="00516775"/>
    <w:rsid w:val="0051691C"/>
    <w:rsid w:val="005169E3"/>
    <w:rsid w:val="00516A39"/>
    <w:rsid w:val="00516D3C"/>
    <w:rsid w:val="00517210"/>
    <w:rsid w:val="00517419"/>
    <w:rsid w:val="0051764A"/>
    <w:rsid w:val="00517667"/>
    <w:rsid w:val="0051767A"/>
    <w:rsid w:val="00517BB1"/>
    <w:rsid w:val="00517C5B"/>
    <w:rsid w:val="00517DE4"/>
    <w:rsid w:val="00517F70"/>
    <w:rsid w:val="00517FD3"/>
    <w:rsid w:val="005200B2"/>
    <w:rsid w:val="00520128"/>
    <w:rsid w:val="005204AE"/>
    <w:rsid w:val="005206AB"/>
    <w:rsid w:val="005206FF"/>
    <w:rsid w:val="0052091E"/>
    <w:rsid w:val="00520A2B"/>
    <w:rsid w:val="00520A73"/>
    <w:rsid w:val="00520D90"/>
    <w:rsid w:val="00520F4E"/>
    <w:rsid w:val="005210DA"/>
    <w:rsid w:val="005214DC"/>
    <w:rsid w:val="0052161D"/>
    <w:rsid w:val="005218E2"/>
    <w:rsid w:val="00521963"/>
    <w:rsid w:val="00521B99"/>
    <w:rsid w:val="00521E9C"/>
    <w:rsid w:val="00521FB3"/>
    <w:rsid w:val="00522226"/>
    <w:rsid w:val="005223CF"/>
    <w:rsid w:val="005226ED"/>
    <w:rsid w:val="00522B4D"/>
    <w:rsid w:val="005230FA"/>
    <w:rsid w:val="00523193"/>
    <w:rsid w:val="00523474"/>
    <w:rsid w:val="00523582"/>
    <w:rsid w:val="005235AB"/>
    <w:rsid w:val="00523693"/>
    <w:rsid w:val="00523866"/>
    <w:rsid w:val="005238DF"/>
    <w:rsid w:val="005238F9"/>
    <w:rsid w:val="00523CB6"/>
    <w:rsid w:val="00523E2B"/>
    <w:rsid w:val="00524067"/>
    <w:rsid w:val="005240A6"/>
    <w:rsid w:val="00524111"/>
    <w:rsid w:val="00524582"/>
    <w:rsid w:val="00524752"/>
    <w:rsid w:val="00524871"/>
    <w:rsid w:val="00524959"/>
    <w:rsid w:val="00524B4A"/>
    <w:rsid w:val="00524D10"/>
    <w:rsid w:val="00524E46"/>
    <w:rsid w:val="00524FF5"/>
    <w:rsid w:val="00525364"/>
    <w:rsid w:val="005254AA"/>
    <w:rsid w:val="00525514"/>
    <w:rsid w:val="0052573B"/>
    <w:rsid w:val="0052581B"/>
    <w:rsid w:val="00525859"/>
    <w:rsid w:val="00525A00"/>
    <w:rsid w:val="00525A0C"/>
    <w:rsid w:val="00525BC1"/>
    <w:rsid w:val="00525D8E"/>
    <w:rsid w:val="00525FAC"/>
    <w:rsid w:val="005260E8"/>
    <w:rsid w:val="005261F5"/>
    <w:rsid w:val="005262E7"/>
    <w:rsid w:val="005263C8"/>
    <w:rsid w:val="0052640E"/>
    <w:rsid w:val="00526588"/>
    <w:rsid w:val="00526607"/>
    <w:rsid w:val="0052667A"/>
    <w:rsid w:val="005268DE"/>
    <w:rsid w:val="0052690F"/>
    <w:rsid w:val="00526CCA"/>
    <w:rsid w:val="00526E51"/>
    <w:rsid w:val="005271BE"/>
    <w:rsid w:val="0052738D"/>
    <w:rsid w:val="00527502"/>
    <w:rsid w:val="00527745"/>
    <w:rsid w:val="005277FD"/>
    <w:rsid w:val="005278FB"/>
    <w:rsid w:val="00527982"/>
    <w:rsid w:val="005279F2"/>
    <w:rsid w:val="0053026B"/>
    <w:rsid w:val="005304E3"/>
    <w:rsid w:val="00530C44"/>
    <w:rsid w:val="00530D27"/>
    <w:rsid w:val="00530FD5"/>
    <w:rsid w:val="0053145B"/>
    <w:rsid w:val="005315FA"/>
    <w:rsid w:val="005317C2"/>
    <w:rsid w:val="00531956"/>
    <w:rsid w:val="00531A94"/>
    <w:rsid w:val="00531B38"/>
    <w:rsid w:val="00531DC0"/>
    <w:rsid w:val="00531E0A"/>
    <w:rsid w:val="00531EDB"/>
    <w:rsid w:val="00531F4C"/>
    <w:rsid w:val="005320C1"/>
    <w:rsid w:val="005321A6"/>
    <w:rsid w:val="005325D8"/>
    <w:rsid w:val="00532737"/>
    <w:rsid w:val="00532960"/>
    <w:rsid w:val="00532DB7"/>
    <w:rsid w:val="00532F95"/>
    <w:rsid w:val="0053309C"/>
    <w:rsid w:val="00533207"/>
    <w:rsid w:val="0053353B"/>
    <w:rsid w:val="00533A9C"/>
    <w:rsid w:val="00533B12"/>
    <w:rsid w:val="00533B66"/>
    <w:rsid w:val="00533BC4"/>
    <w:rsid w:val="00533BD1"/>
    <w:rsid w:val="00533BDA"/>
    <w:rsid w:val="00533C7E"/>
    <w:rsid w:val="0053407C"/>
    <w:rsid w:val="005341F8"/>
    <w:rsid w:val="0053462E"/>
    <w:rsid w:val="0053479D"/>
    <w:rsid w:val="00534864"/>
    <w:rsid w:val="00534905"/>
    <w:rsid w:val="00534935"/>
    <w:rsid w:val="00534AA6"/>
    <w:rsid w:val="00534AD9"/>
    <w:rsid w:val="00535011"/>
    <w:rsid w:val="00535154"/>
    <w:rsid w:val="005352DC"/>
    <w:rsid w:val="00535327"/>
    <w:rsid w:val="00535395"/>
    <w:rsid w:val="00535A66"/>
    <w:rsid w:val="00535A70"/>
    <w:rsid w:val="00535EB0"/>
    <w:rsid w:val="005360A7"/>
    <w:rsid w:val="005363C1"/>
    <w:rsid w:val="005365B2"/>
    <w:rsid w:val="0053665A"/>
    <w:rsid w:val="00536716"/>
    <w:rsid w:val="0053691A"/>
    <w:rsid w:val="0053697D"/>
    <w:rsid w:val="00536B9B"/>
    <w:rsid w:val="00536E08"/>
    <w:rsid w:val="005373C2"/>
    <w:rsid w:val="00537742"/>
    <w:rsid w:val="00537943"/>
    <w:rsid w:val="00537B0B"/>
    <w:rsid w:val="00537B8D"/>
    <w:rsid w:val="00540252"/>
    <w:rsid w:val="0054026E"/>
    <w:rsid w:val="005402A4"/>
    <w:rsid w:val="005406A2"/>
    <w:rsid w:val="00540731"/>
    <w:rsid w:val="005407AE"/>
    <w:rsid w:val="00540853"/>
    <w:rsid w:val="005408F7"/>
    <w:rsid w:val="005409C6"/>
    <w:rsid w:val="005409D0"/>
    <w:rsid w:val="00540DAD"/>
    <w:rsid w:val="00540E65"/>
    <w:rsid w:val="0054101F"/>
    <w:rsid w:val="00541085"/>
    <w:rsid w:val="00541108"/>
    <w:rsid w:val="0054115C"/>
    <w:rsid w:val="0054146A"/>
    <w:rsid w:val="005416B3"/>
    <w:rsid w:val="00541F55"/>
    <w:rsid w:val="00541F5C"/>
    <w:rsid w:val="00542079"/>
    <w:rsid w:val="00542398"/>
    <w:rsid w:val="0054279C"/>
    <w:rsid w:val="00542804"/>
    <w:rsid w:val="00542838"/>
    <w:rsid w:val="0054296F"/>
    <w:rsid w:val="00542AF8"/>
    <w:rsid w:val="00542C3E"/>
    <w:rsid w:val="00542D6B"/>
    <w:rsid w:val="00542F10"/>
    <w:rsid w:val="00542F89"/>
    <w:rsid w:val="00543079"/>
    <w:rsid w:val="00543113"/>
    <w:rsid w:val="005431B2"/>
    <w:rsid w:val="005432E6"/>
    <w:rsid w:val="0054338C"/>
    <w:rsid w:val="0054347C"/>
    <w:rsid w:val="005435A9"/>
    <w:rsid w:val="00543714"/>
    <w:rsid w:val="00543828"/>
    <w:rsid w:val="00543885"/>
    <w:rsid w:val="005438FD"/>
    <w:rsid w:val="005439D7"/>
    <w:rsid w:val="005439F7"/>
    <w:rsid w:val="00543A1A"/>
    <w:rsid w:val="00543B9D"/>
    <w:rsid w:val="00543C5B"/>
    <w:rsid w:val="00543E8B"/>
    <w:rsid w:val="00543EDA"/>
    <w:rsid w:val="00544A1E"/>
    <w:rsid w:val="00544A54"/>
    <w:rsid w:val="00544B8D"/>
    <w:rsid w:val="00544BEF"/>
    <w:rsid w:val="00544D09"/>
    <w:rsid w:val="00544D7D"/>
    <w:rsid w:val="00545123"/>
    <w:rsid w:val="00545246"/>
    <w:rsid w:val="00545423"/>
    <w:rsid w:val="005454C3"/>
    <w:rsid w:val="00545671"/>
    <w:rsid w:val="005456BB"/>
    <w:rsid w:val="005457CB"/>
    <w:rsid w:val="005457D0"/>
    <w:rsid w:val="005459F1"/>
    <w:rsid w:val="00545B1C"/>
    <w:rsid w:val="00545D58"/>
    <w:rsid w:val="00545E5D"/>
    <w:rsid w:val="00545E92"/>
    <w:rsid w:val="00546058"/>
    <w:rsid w:val="00546298"/>
    <w:rsid w:val="0054678F"/>
    <w:rsid w:val="00546818"/>
    <w:rsid w:val="005468A0"/>
    <w:rsid w:val="00546952"/>
    <w:rsid w:val="00546ADE"/>
    <w:rsid w:val="00546B80"/>
    <w:rsid w:val="00546D0F"/>
    <w:rsid w:val="00546EBE"/>
    <w:rsid w:val="0054715E"/>
    <w:rsid w:val="005471D5"/>
    <w:rsid w:val="00547259"/>
    <w:rsid w:val="0054731D"/>
    <w:rsid w:val="005474B1"/>
    <w:rsid w:val="0054766F"/>
    <w:rsid w:val="0054792C"/>
    <w:rsid w:val="00547F3F"/>
    <w:rsid w:val="0055014A"/>
    <w:rsid w:val="00550997"/>
    <w:rsid w:val="00550A7D"/>
    <w:rsid w:val="00550CFE"/>
    <w:rsid w:val="00551076"/>
    <w:rsid w:val="00551448"/>
    <w:rsid w:val="005514C7"/>
    <w:rsid w:val="005516D9"/>
    <w:rsid w:val="00551B43"/>
    <w:rsid w:val="00551D39"/>
    <w:rsid w:val="00551E0E"/>
    <w:rsid w:val="005525A1"/>
    <w:rsid w:val="00552A15"/>
    <w:rsid w:val="00552C9B"/>
    <w:rsid w:val="00552DBD"/>
    <w:rsid w:val="00552F6A"/>
    <w:rsid w:val="0055305A"/>
    <w:rsid w:val="005530C3"/>
    <w:rsid w:val="005535EF"/>
    <w:rsid w:val="005537B4"/>
    <w:rsid w:val="0055385E"/>
    <w:rsid w:val="00553906"/>
    <w:rsid w:val="00553E00"/>
    <w:rsid w:val="00553E0F"/>
    <w:rsid w:val="00553FBB"/>
    <w:rsid w:val="00553FEE"/>
    <w:rsid w:val="00554046"/>
    <w:rsid w:val="005544A9"/>
    <w:rsid w:val="0055469B"/>
    <w:rsid w:val="0055491F"/>
    <w:rsid w:val="00554BE9"/>
    <w:rsid w:val="00554F19"/>
    <w:rsid w:val="00554FE8"/>
    <w:rsid w:val="0055502D"/>
    <w:rsid w:val="00555468"/>
    <w:rsid w:val="00555A04"/>
    <w:rsid w:val="00555D72"/>
    <w:rsid w:val="00555F29"/>
    <w:rsid w:val="00555FD6"/>
    <w:rsid w:val="0055615B"/>
    <w:rsid w:val="005561F5"/>
    <w:rsid w:val="005566E0"/>
    <w:rsid w:val="005567C9"/>
    <w:rsid w:val="00556A3D"/>
    <w:rsid w:val="00556B26"/>
    <w:rsid w:val="00556D1D"/>
    <w:rsid w:val="00556DBE"/>
    <w:rsid w:val="00557204"/>
    <w:rsid w:val="00557402"/>
    <w:rsid w:val="00557809"/>
    <w:rsid w:val="0055798F"/>
    <w:rsid w:val="00557CF1"/>
    <w:rsid w:val="00557F53"/>
    <w:rsid w:val="00560127"/>
    <w:rsid w:val="00560264"/>
    <w:rsid w:val="0056036A"/>
    <w:rsid w:val="00560500"/>
    <w:rsid w:val="00560565"/>
    <w:rsid w:val="0056059A"/>
    <w:rsid w:val="00560834"/>
    <w:rsid w:val="00560912"/>
    <w:rsid w:val="0056094B"/>
    <w:rsid w:val="00560B09"/>
    <w:rsid w:val="00560ED6"/>
    <w:rsid w:val="00561362"/>
    <w:rsid w:val="00561396"/>
    <w:rsid w:val="0056182B"/>
    <w:rsid w:val="00561F50"/>
    <w:rsid w:val="00562045"/>
    <w:rsid w:val="005620DD"/>
    <w:rsid w:val="0056220B"/>
    <w:rsid w:val="005623E6"/>
    <w:rsid w:val="005624EC"/>
    <w:rsid w:val="00562AB9"/>
    <w:rsid w:val="00562B3C"/>
    <w:rsid w:val="00562C43"/>
    <w:rsid w:val="00562C55"/>
    <w:rsid w:val="00562F7C"/>
    <w:rsid w:val="005630A4"/>
    <w:rsid w:val="005630A5"/>
    <w:rsid w:val="005630D8"/>
    <w:rsid w:val="005637F5"/>
    <w:rsid w:val="0056394A"/>
    <w:rsid w:val="00563A18"/>
    <w:rsid w:val="00563C05"/>
    <w:rsid w:val="00563CAC"/>
    <w:rsid w:val="00563D08"/>
    <w:rsid w:val="00563FF1"/>
    <w:rsid w:val="0056430C"/>
    <w:rsid w:val="00564409"/>
    <w:rsid w:val="005644DC"/>
    <w:rsid w:val="005645D2"/>
    <w:rsid w:val="005645D8"/>
    <w:rsid w:val="00564B75"/>
    <w:rsid w:val="00564F6E"/>
    <w:rsid w:val="00565004"/>
    <w:rsid w:val="00565007"/>
    <w:rsid w:val="00565069"/>
    <w:rsid w:val="005650B8"/>
    <w:rsid w:val="005651F3"/>
    <w:rsid w:val="0056529E"/>
    <w:rsid w:val="00565329"/>
    <w:rsid w:val="00565403"/>
    <w:rsid w:val="0056545C"/>
    <w:rsid w:val="005654CE"/>
    <w:rsid w:val="005655A5"/>
    <w:rsid w:val="0056571E"/>
    <w:rsid w:val="00565917"/>
    <w:rsid w:val="005659B1"/>
    <w:rsid w:val="005659B9"/>
    <w:rsid w:val="00565AFD"/>
    <w:rsid w:val="00565F79"/>
    <w:rsid w:val="00565FB7"/>
    <w:rsid w:val="0056606F"/>
    <w:rsid w:val="00566228"/>
    <w:rsid w:val="005664A6"/>
    <w:rsid w:val="0056674E"/>
    <w:rsid w:val="00566796"/>
    <w:rsid w:val="00566799"/>
    <w:rsid w:val="005668C1"/>
    <w:rsid w:val="00566B1A"/>
    <w:rsid w:val="00566C13"/>
    <w:rsid w:val="00566CA9"/>
    <w:rsid w:val="00566D69"/>
    <w:rsid w:val="005670A9"/>
    <w:rsid w:val="005671D8"/>
    <w:rsid w:val="00567658"/>
    <w:rsid w:val="005676F7"/>
    <w:rsid w:val="00567740"/>
    <w:rsid w:val="0056783B"/>
    <w:rsid w:val="00567A3F"/>
    <w:rsid w:val="00567B1D"/>
    <w:rsid w:val="00567C55"/>
    <w:rsid w:val="00567D76"/>
    <w:rsid w:val="005701BB"/>
    <w:rsid w:val="005703AD"/>
    <w:rsid w:val="005703BF"/>
    <w:rsid w:val="005703CC"/>
    <w:rsid w:val="005704AB"/>
    <w:rsid w:val="00570583"/>
    <w:rsid w:val="005705AC"/>
    <w:rsid w:val="0057076E"/>
    <w:rsid w:val="00570814"/>
    <w:rsid w:val="00570A0D"/>
    <w:rsid w:val="00570BBA"/>
    <w:rsid w:val="00570E36"/>
    <w:rsid w:val="0057112B"/>
    <w:rsid w:val="0057116F"/>
    <w:rsid w:val="0057135C"/>
    <w:rsid w:val="00571788"/>
    <w:rsid w:val="005717B9"/>
    <w:rsid w:val="005717E9"/>
    <w:rsid w:val="00571963"/>
    <w:rsid w:val="00571987"/>
    <w:rsid w:val="00571B64"/>
    <w:rsid w:val="00571C21"/>
    <w:rsid w:val="00571D81"/>
    <w:rsid w:val="00571FD5"/>
    <w:rsid w:val="0057217C"/>
    <w:rsid w:val="00572391"/>
    <w:rsid w:val="005726E0"/>
    <w:rsid w:val="005728DB"/>
    <w:rsid w:val="00572FCC"/>
    <w:rsid w:val="0057324C"/>
    <w:rsid w:val="0057346D"/>
    <w:rsid w:val="00573994"/>
    <w:rsid w:val="00573997"/>
    <w:rsid w:val="00573A58"/>
    <w:rsid w:val="0057446E"/>
    <w:rsid w:val="005744FF"/>
    <w:rsid w:val="00574658"/>
    <w:rsid w:val="005746E6"/>
    <w:rsid w:val="00574BA6"/>
    <w:rsid w:val="00574D5A"/>
    <w:rsid w:val="00574F2A"/>
    <w:rsid w:val="00574F34"/>
    <w:rsid w:val="00575033"/>
    <w:rsid w:val="005751F8"/>
    <w:rsid w:val="005752AC"/>
    <w:rsid w:val="0057546A"/>
    <w:rsid w:val="00575531"/>
    <w:rsid w:val="00575AE0"/>
    <w:rsid w:val="00575E7E"/>
    <w:rsid w:val="00576143"/>
    <w:rsid w:val="0057642F"/>
    <w:rsid w:val="00576477"/>
    <w:rsid w:val="00576487"/>
    <w:rsid w:val="005768BB"/>
    <w:rsid w:val="00576975"/>
    <w:rsid w:val="00576BC6"/>
    <w:rsid w:val="00576FD8"/>
    <w:rsid w:val="0057700D"/>
    <w:rsid w:val="00577040"/>
    <w:rsid w:val="005770AB"/>
    <w:rsid w:val="00577297"/>
    <w:rsid w:val="005777F1"/>
    <w:rsid w:val="00577B79"/>
    <w:rsid w:val="00577BD7"/>
    <w:rsid w:val="00577D5D"/>
    <w:rsid w:val="00577DB3"/>
    <w:rsid w:val="00580166"/>
    <w:rsid w:val="00580664"/>
    <w:rsid w:val="0058068A"/>
    <w:rsid w:val="005806DC"/>
    <w:rsid w:val="0058072E"/>
    <w:rsid w:val="00580B68"/>
    <w:rsid w:val="00580B77"/>
    <w:rsid w:val="00580C6E"/>
    <w:rsid w:val="00580E68"/>
    <w:rsid w:val="00580FEA"/>
    <w:rsid w:val="00581149"/>
    <w:rsid w:val="005813DE"/>
    <w:rsid w:val="0058183B"/>
    <w:rsid w:val="005819A6"/>
    <w:rsid w:val="005819B8"/>
    <w:rsid w:val="00581B1C"/>
    <w:rsid w:val="00581B61"/>
    <w:rsid w:val="00581C7D"/>
    <w:rsid w:val="00581C80"/>
    <w:rsid w:val="00581CB9"/>
    <w:rsid w:val="00581E08"/>
    <w:rsid w:val="00581E0E"/>
    <w:rsid w:val="00582144"/>
    <w:rsid w:val="005823A8"/>
    <w:rsid w:val="005824D0"/>
    <w:rsid w:val="00582699"/>
    <w:rsid w:val="00582CDC"/>
    <w:rsid w:val="00582EDF"/>
    <w:rsid w:val="00583177"/>
    <w:rsid w:val="00583209"/>
    <w:rsid w:val="0058335E"/>
    <w:rsid w:val="00583548"/>
    <w:rsid w:val="00583612"/>
    <w:rsid w:val="0058377F"/>
    <w:rsid w:val="0058378D"/>
    <w:rsid w:val="005837D2"/>
    <w:rsid w:val="00583802"/>
    <w:rsid w:val="00583BDD"/>
    <w:rsid w:val="00583CF2"/>
    <w:rsid w:val="00583FB2"/>
    <w:rsid w:val="00583FE5"/>
    <w:rsid w:val="005840F2"/>
    <w:rsid w:val="0058427C"/>
    <w:rsid w:val="005844E0"/>
    <w:rsid w:val="0058466B"/>
    <w:rsid w:val="0058496D"/>
    <w:rsid w:val="00584AC4"/>
    <w:rsid w:val="00584D09"/>
    <w:rsid w:val="00584FDE"/>
    <w:rsid w:val="005850B6"/>
    <w:rsid w:val="005850B8"/>
    <w:rsid w:val="0058537A"/>
    <w:rsid w:val="0058539C"/>
    <w:rsid w:val="005853CF"/>
    <w:rsid w:val="005858BC"/>
    <w:rsid w:val="005858BD"/>
    <w:rsid w:val="0058599A"/>
    <w:rsid w:val="00585C33"/>
    <w:rsid w:val="00585CDD"/>
    <w:rsid w:val="00585CEB"/>
    <w:rsid w:val="00585F8D"/>
    <w:rsid w:val="00586029"/>
    <w:rsid w:val="005860A9"/>
    <w:rsid w:val="005862EE"/>
    <w:rsid w:val="00586ABF"/>
    <w:rsid w:val="005871B3"/>
    <w:rsid w:val="00587437"/>
    <w:rsid w:val="005876A1"/>
    <w:rsid w:val="0058787D"/>
    <w:rsid w:val="005879AE"/>
    <w:rsid w:val="00587AF0"/>
    <w:rsid w:val="00587C80"/>
    <w:rsid w:val="00587F72"/>
    <w:rsid w:val="00587F8F"/>
    <w:rsid w:val="00590108"/>
    <w:rsid w:val="00590261"/>
    <w:rsid w:val="0059038F"/>
    <w:rsid w:val="00590598"/>
    <w:rsid w:val="005906F2"/>
    <w:rsid w:val="00590735"/>
    <w:rsid w:val="0059081B"/>
    <w:rsid w:val="00590A0C"/>
    <w:rsid w:val="00590D2C"/>
    <w:rsid w:val="00590D68"/>
    <w:rsid w:val="00590F92"/>
    <w:rsid w:val="00590FA1"/>
    <w:rsid w:val="00591015"/>
    <w:rsid w:val="00591090"/>
    <w:rsid w:val="0059117C"/>
    <w:rsid w:val="00591199"/>
    <w:rsid w:val="005913D7"/>
    <w:rsid w:val="005915D5"/>
    <w:rsid w:val="0059169D"/>
    <w:rsid w:val="005917C1"/>
    <w:rsid w:val="00591913"/>
    <w:rsid w:val="00591A67"/>
    <w:rsid w:val="00591B7C"/>
    <w:rsid w:val="00591E63"/>
    <w:rsid w:val="0059214C"/>
    <w:rsid w:val="0059222D"/>
    <w:rsid w:val="0059227D"/>
    <w:rsid w:val="0059247C"/>
    <w:rsid w:val="0059276D"/>
    <w:rsid w:val="005927C0"/>
    <w:rsid w:val="00592C36"/>
    <w:rsid w:val="00592FCA"/>
    <w:rsid w:val="0059309D"/>
    <w:rsid w:val="005932F3"/>
    <w:rsid w:val="00593662"/>
    <w:rsid w:val="00593776"/>
    <w:rsid w:val="005937AB"/>
    <w:rsid w:val="00593A13"/>
    <w:rsid w:val="00593F0E"/>
    <w:rsid w:val="00593F21"/>
    <w:rsid w:val="00594374"/>
    <w:rsid w:val="005943B7"/>
    <w:rsid w:val="005944A7"/>
    <w:rsid w:val="005945A4"/>
    <w:rsid w:val="005945EE"/>
    <w:rsid w:val="005945FB"/>
    <w:rsid w:val="005949EB"/>
    <w:rsid w:val="00594AE8"/>
    <w:rsid w:val="00594C49"/>
    <w:rsid w:val="00594D35"/>
    <w:rsid w:val="00594F1A"/>
    <w:rsid w:val="005951E9"/>
    <w:rsid w:val="005953BB"/>
    <w:rsid w:val="00595A88"/>
    <w:rsid w:val="00595F47"/>
    <w:rsid w:val="0059636F"/>
    <w:rsid w:val="005966FE"/>
    <w:rsid w:val="005969AE"/>
    <w:rsid w:val="00596B88"/>
    <w:rsid w:val="00596BEF"/>
    <w:rsid w:val="00596C88"/>
    <w:rsid w:val="00596CFC"/>
    <w:rsid w:val="00596F4C"/>
    <w:rsid w:val="00596FB3"/>
    <w:rsid w:val="0059733F"/>
    <w:rsid w:val="005977B5"/>
    <w:rsid w:val="005978E6"/>
    <w:rsid w:val="00597A72"/>
    <w:rsid w:val="00597B9B"/>
    <w:rsid w:val="00597EB1"/>
    <w:rsid w:val="00597FDD"/>
    <w:rsid w:val="005A01EE"/>
    <w:rsid w:val="005A0722"/>
    <w:rsid w:val="005A0972"/>
    <w:rsid w:val="005A0CE4"/>
    <w:rsid w:val="005A0CFD"/>
    <w:rsid w:val="005A0E64"/>
    <w:rsid w:val="005A1040"/>
    <w:rsid w:val="005A113F"/>
    <w:rsid w:val="005A125D"/>
    <w:rsid w:val="005A1380"/>
    <w:rsid w:val="005A13B0"/>
    <w:rsid w:val="005A1431"/>
    <w:rsid w:val="005A143E"/>
    <w:rsid w:val="005A15FE"/>
    <w:rsid w:val="005A168B"/>
    <w:rsid w:val="005A19F8"/>
    <w:rsid w:val="005A1A22"/>
    <w:rsid w:val="005A1B0A"/>
    <w:rsid w:val="005A1C8A"/>
    <w:rsid w:val="005A1D65"/>
    <w:rsid w:val="005A1DC9"/>
    <w:rsid w:val="005A1E43"/>
    <w:rsid w:val="005A201C"/>
    <w:rsid w:val="005A2167"/>
    <w:rsid w:val="005A2191"/>
    <w:rsid w:val="005A24EF"/>
    <w:rsid w:val="005A2538"/>
    <w:rsid w:val="005A25ED"/>
    <w:rsid w:val="005A2746"/>
    <w:rsid w:val="005A2838"/>
    <w:rsid w:val="005A2880"/>
    <w:rsid w:val="005A28BE"/>
    <w:rsid w:val="005A2946"/>
    <w:rsid w:val="005A2BBE"/>
    <w:rsid w:val="005A2BE0"/>
    <w:rsid w:val="005A2FC2"/>
    <w:rsid w:val="005A323C"/>
    <w:rsid w:val="005A3335"/>
    <w:rsid w:val="005A3416"/>
    <w:rsid w:val="005A344D"/>
    <w:rsid w:val="005A3484"/>
    <w:rsid w:val="005A3614"/>
    <w:rsid w:val="005A36A9"/>
    <w:rsid w:val="005A36B2"/>
    <w:rsid w:val="005A38D1"/>
    <w:rsid w:val="005A3BB0"/>
    <w:rsid w:val="005A3C7F"/>
    <w:rsid w:val="005A3E49"/>
    <w:rsid w:val="005A3E6D"/>
    <w:rsid w:val="005A3ED5"/>
    <w:rsid w:val="005A400E"/>
    <w:rsid w:val="005A43D9"/>
    <w:rsid w:val="005A44E4"/>
    <w:rsid w:val="005A4639"/>
    <w:rsid w:val="005A468E"/>
    <w:rsid w:val="005A47AC"/>
    <w:rsid w:val="005A480C"/>
    <w:rsid w:val="005A4895"/>
    <w:rsid w:val="005A4961"/>
    <w:rsid w:val="005A4982"/>
    <w:rsid w:val="005A4AC8"/>
    <w:rsid w:val="005A5007"/>
    <w:rsid w:val="005A5175"/>
    <w:rsid w:val="005A517D"/>
    <w:rsid w:val="005A5191"/>
    <w:rsid w:val="005A541D"/>
    <w:rsid w:val="005A547D"/>
    <w:rsid w:val="005A5533"/>
    <w:rsid w:val="005A5606"/>
    <w:rsid w:val="005A5AB2"/>
    <w:rsid w:val="005A5E36"/>
    <w:rsid w:val="005A6080"/>
    <w:rsid w:val="005A6532"/>
    <w:rsid w:val="005A68E8"/>
    <w:rsid w:val="005A6B91"/>
    <w:rsid w:val="005A6BE9"/>
    <w:rsid w:val="005A6C20"/>
    <w:rsid w:val="005A6E58"/>
    <w:rsid w:val="005A6FFE"/>
    <w:rsid w:val="005A7175"/>
    <w:rsid w:val="005A71E7"/>
    <w:rsid w:val="005A729E"/>
    <w:rsid w:val="005A7307"/>
    <w:rsid w:val="005A731E"/>
    <w:rsid w:val="005A7521"/>
    <w:rsid w:val="005A789D"/>
    <w:rsid w:val="005A7BDD"/>
    <w:rsid w:val="005A7C6A"/>
    <w:rsid w:val="005A7DBD"/>
    <w:rsid w:val="005A7E7C"/>
    <w:rsid w:val="005A7EED"/>
    <w:rsid w:val="005A7F61"/>
    <w:rsid w:val="005B014C"/>
    <w:rsid w:val="005B0544"/>
    <w:rsid w:val="005B075D"/>
    <w:rsid w:val="005B07A2"/>
    <w:rsid w:val="005B08D4"/>
    <w:rsid w:val="005B0AD8"/>
    <w:rsid w:val="005B0DD3"/>
    <w:rsid w:val="005B0E9E"/>
    <w:rsid w:val="005B0EC6"/>
    <w:rsid w:val="005B1142"/>
    <w:rsid w:val="005B13FE"/>
    <w:rsid w:val="005B181F"/>
    <w:rsid w:val="005B18BB"/>
    <w:rsid w:val="005B1B79"/>
    <w:rsid w:val="005B1E10"/>
    <w:rsid w:val="005B1EF3"/>
    <w:rsid w:val="005B246F"/>
    <w:rsid w:val="005B2A09"/>
    <w:rsid w:val="005B2A72"/>
    <w:rsid w:val="005B2CE8"/>
    <w:rsid w:val="005B2E3B"/>
    <w:rsid w:val="005B3056"/>
    <w:rsid w:val="005B32B5"/>
    <w:rsid w:val="005B3353"/>
    <w:rsid w:val="005B3600"/>
    <w:rsid w:val="005B37B0"/>
    <w:rsid w:val="005B38A5"/>
    <w:rsid w:val="005B3BE4"/>
    <w:rsid w:val="005B3CEC"/>
    <w:rsid w:val="005B3D8C"/>
    <w:rsid w:val="005B4068"/>
    <w:rsid w:val="005B40B9"/>
    <w:rsid w:val="005B4127"/>
    <w:rsid w:val="005B414B"/>
    <w:rsid w:val="005B46BD"/>
    <w:rsid w:val="005B4966"/>
    <w:rsid w:val="005B5673"/>
    <w:rsid w:val="005B58BB"/>
    <w:rsid w:val="005B5B1F"/>
    <w:rsid w:val="005B5C59"/>
    <w:rsid w:val="005B5F24"/>
    <w:rsid w:val="005B61FD"/>
    <w:rsid w:val="005B6401"/>
    <w:rsid w:val="005B6636"/>
    <w:rsid w:val="005B6816"/>
    <w:rsid w:val="005B6838"/>
    <w:rsid w:val="005B6931"/>
    <w:rsid w:val="005B6946"/>
    <w:rsid w:val="005B6B6A"/>
    <w:rsid w:val="005B71B2"/>
    <w:rsid w:val="005B7330"/>
    <w:rsid w:val="005B7491"/>
    <w:rsid w:val="005B7507"/>
    <w:rsid w:val="005B75BD"/>
    <w:rsid w:val="005B75EF"/>
    <w:rsid w:val="005B76A3"/>
    <w:rsid w:val="005B7743"/>
    <w:rsid w:val="005B7955"/>
    <w:rsid w:val="005B7AC0"/>
    <w:rsid w:val="005B7BD9"/>
    <w:rsid w:val="005B7D42"/>
    <w:rsid w:val="005B7E76"/>
    <w:rsid w:val="005C009A"/>
    <w:rsid w:val="005C0139"/>
    <w:rsid w:val="005C01D0"/>
    <w:rsid w:val="005C01E8"/>
    <w:rsid w:val="005C0230"/>
    <w:rsid w:val="005C034C"/>
    <w:rsid w:val="005C05B2"/>
    <w:rsid w:val="005C08CD"/>
    <w:rsid w:val="005C0ABF"/>
    <w:rsid w:val="005C0D53"/>
    <w:rsid w:val="005C1557"/>
    <w:rsid w:val="005C15AE"/>
    <w:rsid w:val="005C162F"/>
    <w:rsid w:val="005C16D1"/>
    <w:rsid w:val="005C17D7"/>
    <w:rsid w:val="005C1B2A"/>
    <w:rsid w:val="005C1BB1"/>
    <w:rsid w:val="005C1D07"/>
    <w:rsid w:val="005C1ED4"/>
    <w:rsid w:val="005C1FA6"/>
    <w:rsid w:val="005C210C"/>
    <w:rsid w:val="005C21B1"/>
    <w:rsid w:val="005C25B5"/>
    <w:rsid w:val="005C2612"/>
    <w:rsid w:val="005C263D"/>
    <w:rsid w:val="005C2690"/>
    <w:rsid w:val="005C26DC"/>
    <w:rsid w:val="005C2810"/>
    <w:rsid w:val="005C28E3"/>
    <w:rsid w:val="005C3151"/>
    <w:rsid w:val="005C3408"/>
    <w:rsid w:val="005C38C6"/>
    <w:rsid w:val="005C397B"/>
    <w:rsid w:val="005C3C8E"/>
    <w:rsid w:val="005C4317"/>
    <w:rsid w:val="005C44C0"/>
    <w:rsid w:val="005C44EA"/>
    <w:rsid w:val="005C4659"/>
    <w:rsid w:val="005C4C8B"/>
    <w:rsid w:val="005C4CBD"/>
    <w:rsid w:val="005C5063"/>
    <w:rsid w:val="005C5082"/>
    <w:rsid w:val="005C50A5"/>
    <w:rsid w:val="005C510D"/>
    <w:rsid w:val="005C5300"/>
    <w:rsid w:val="005C5304"/>
    <w:rsid w:val="005C539A"/>
    <w:rsid w:val="005C54F2"/>
    <w:rsid w:val="005C568C"/>
    <w:rsid w:val="005C5712"/>
    <w:rsid w:val="005C5C74"/>
    <w:rsid w:val="005C5FC6"/>
    <w:rsid w:val="005C63E4"/>
    <w:rsid w:val="005C6499"/>
    <w:rsid w:val="005C65BF"/>
    <w:rsid w:val="005C67D7"/>
    <w:rsid w:val="005C6ACB"/>
    <w:rsid w:val="005C6B88"/>
    <w:rsid w:val="005C6BE3"/>
    <w:rsid w:val="005C6C60"/>
    <w:rsid w:val="005C6D04"/>
    <w:rsid w:val="005C6D6B"/>
    <w:rsid w:val="005C6F3D"/>
    <w:rsid w:val="005C740C"/>
    <w:rsid w:val="005C75C7"/>
    <w:rsid w:val="005C7698"/>
    <w:rsid w:val="005C7710"/>
    <w:rsid w:val="005C775D"/>
    <w:rsid w:val="005C7988"/>
    <w:rsid w:val="005C7ABE"/>
    <w:rsid w:val="005C7B4C"/>
    <w:rsid w:val="005C7BDA"/>
    <w:rsid w:val="005C7D72"/>
    <w:rsid w:val="005C7D90"/>
    <w:rsid w:val="005C7FEF"/>
    <w:rsid w:val="005D0722"/>
    <w:rsid w:val="005D088D"/>
    <w:rsid w:val="005D09A5"/>
    <w:rsid w:val="005D117E"/>
    <w:rsid w:val="005D123F"/>
    <w:rsid w:val="005D1434"/>
    <w:rsid w:val="005D16B8"/>
    <w:rsid w:val="005D1862"/>
    <w:rsid w:val="005D189D"/>
    <w:rsid w:val="005D18DE"/>
    <w:rsid w:val="005D1A17"/>
    <w:rsid w:val="005D1A30"/>
    <w:rsid w:val="005D1A73"/>
    <w:rsid w:val="005D2041"/>
    <w:rsid w:val="005D219B"/>
    <w:rsid w:val="005D24FE"/>
    <w:rsid w:val="005D2543"/>
    <w:rsid w:val="005D2756"/>
    <w:rsid w:val="005D2796"/>
    <w:rsid w:val="005D27CC"/>
    <w:rsid w:val="005D2885"/>
    <w:rsid w:val="005D2B14"/>
    <w:rsid w:val="005D2BE8"/>
    <w:rsid w:val="005D31DE"/>
    <w:rsid w:val="005D344E"/>
    <w:rsid w:val="005D370F"/>
    <w:rsid w:val="005D3882"/>
    <w:rsid w:val="005D3A39"/>
    <w:rsid w:val="005D3B0B"/>
    <w:rsid w:val="005D3C1A"/>
    <w:rsid w:val="005D3F55"/>
    <w:rsid w:val="005D3FA5"/>
    <w:rsid w:val="005D41DF"/>
    <w:rsid w:val="005D423D"/>
    <w:rsid w:val="005D424E"/>
    <w:rsid w:val="005D42CF"/>
    <w:rsid w:val="005D42F3"/>
    <w:rsid w:val="005D4301"/>
    <w:rsid w:val="005D442A"/>
    <w:rsid w:val="005D45D0"/>
    <w:rsid w:val="005D479C"/>
    <w:rsid w:val="005D48D2"/>
    <w:rsid w:val="005D4937"/>
    <w:rsid w:val="005D4A3A"/>
    <w:rsid w:val="005D4ED7"/>
    <w:rsid w:val="005D50B3"/>
    <w:rsid w:val="005D514C"/>
    <w:rsid w:val="005D53B1"/>
    <w:rsid w:val="005D557A"/>
    <w:rsid w:val="005D56E8"/>
    <w:rsid w:val="005D5780"/>
    <w:rsid w:val="005D5B32"/>
    <w:rsid w:val="005D5B86"/>
    <w:rsid w:val="005D5F12"/>
    <w:rsid w:val="005D6037"/>
    <w:rsid w:val="005D60AF"/>
    <w:rsid w:val="005D6314"/>
    <w:rsid w:val="005D6361"/>
    <w:rsid w:val="005D67BF"/>
    <w:rsid w:val="005D67ED"/>
    <w:rsid w:val="005D68A6"/>
    <w:rsid w:val="005D6C91"/>
    <w:rsid w:val="005D6FBA"/>
    <w:rsid w:val="005D755E"/>
    <w:rsid w:val="005D7619"/>
    <w:rsid w:val="005D76A2"/>
    <w:rsid w:val="005D76F0"/>
    <w:rsid w:val="005D7AA4"/>
    <w:rsid w:val="005D7B3F"/>
    <w:rsid w:val="005D7BD9"/>
    <w:rsid w:val="005D7C85"/>
    <w:rsid w:val="005E002E"/>
    <w:rsid w:val="005E023E"/>
    <w:rsid w:val="005E0897"/>
    <w:rsid w:val="005E08B1"/>
    <w:rsid w:val="005E0DD6"/>
    <w:rsid w:val="005E0F93"/>
    <w:rsid w:val="005E11E9"/>
    <w:rsid w:val="005E14F8"/>
    <w:rsid w:val="005E1684"/>
    <w:rsid w:val="005E1C4C"/>
    <w:rsid w:val="005E1CF3"/>
    <w:rsid w:val="005E2131"/>
    <w:rsid w:val="005E2282"/>
    <w:rsid w:val="005E2401"/>
    <w:rsid w:val="005E24FD"/>
    <w:rsid w:val="005E26F9"/>
    <w:rsid w:val="005E279B"/>
    <w:rsid w:val="005E2AF0"/>
    <w:rsid w:val="005E2C14"/>
    <w:rsid w:val="005E2C7B"/>
    <w:rsid w:val="005E2F5D"/>
    <w:rsid w:val="005E3102"/>
    <w:rsid w:val="005E319C"/>
    <w:rsid w:val="005E340B"/>
    <w:rsid w:val="005E35F3"/>
    <w:rsid w:val="005E3DE9"/>
    <w:rsid w:val="005E3FDD"/>
    <w:rsid w:val="005E4073"/>
    <w:rsid w:val="005E4152"/>
    <w:rsid w:val="005E45EF"/>
    <w:rsid w:val="005E48E6"/>
    <w:rsid w:val="005E4994"/>
    <w:rsid w:val="005E4BA6"/>
    <w:rsid w:val="005E4BFC"/>
    <w:rsid w:val="005E5144"/>
    <w:rsid w:val="005E5382"/>
    <w:rsid w:val="005E5523"/>
    <w:rsid w:val="005E554D"/>
    <w:rsid w:val="005E5676"/>
    <w:rsid w:val="005E59A3"/>
    <w:rsid w:val="005E5BC7"/>
    <w:rsid w:val="005E5D90"/>
    <w:rsid w:val="005E5DD5"/>
    <w:rsid w:val="005E5E73"/>
    <w:rsid w:val="005E5F52"/>
    <w:rsid w:val="005E64C5"/>
    <w:rsid w:val="005E650E"/>
    <w:rsid w:val="005E6801"/>
    <w:rsid w:val="005E6D5D"/>
    <w:rsid w:val="005E70C1"/>
    <w:rsid w:val="005E7279"/>
    <w:rsid w:val="005E738B"/>
    <w:rsid w:val="005E7463"/>
    <w:rsid w:val="005E74D4"/>
    <w:rsid w:val="005E7624"/>
    <w:rsid w:val="005E7926"/>
    <w:rsid w:val="005E7B2A"/>
    <w:rsid w:val="005E7BE4"/>
    <w:rsid w:val="005E7CD8"/>
    <w:rsid w:val="005E7F68"/>
    <w:rsid w:val="005F01D2"/>
    <w:rsid w:val="005F0463"/>
    <w:rsid w:val="005F05A4"/>
    <w:rsid w:val="005F05AA"/>
    <w:rsid w:val="005F0633"/>
    <w:rsid w:val="005F070E"/>
    <w:rsid w:val="005F0790"/>
    <w:rsid w:val="005F0915"/>
    <w:rsid w:val="005F0973"/>
    <w:rsid w:val="005F0AA1"/>
    <w:rsid w:val="005F0B05"/>
    <w:rsid w:val="005F0C36"/>
    <w:rsid w:val="005F0CB7"/>
    <w:rsid w:val="005F0CBF"/>
    <w:rsid w:val="005F0D54"/>
    <w:rsid w:val="005F0DD4"/>
    <w:rsid w:val="005F113E"/>
    <w:rsid w:val="005F114C"/>
    <w:rsid w:val="005F131D"/>
    <w:rsid w:val="005F15A0"/>
    <w:rsid w:val="005F16CB"/>
    <w:rsid w:val="005F186D"/>
    <w:rsid w:val="005F18AE"/>
    <w:rsid w:val="005F1B28"/>
    <w:rsid w:val="005F1CFF"/>
    <w:rsid w:val="005F1DBA"/>
    <w:rsid w:val="005F1EE5"/>
    <w:rsid w:val="005F207D"/>
    <w:rsid w:val="005F20BA"/>
    <w:rsid w:val="005F2165"/>
    <w:rsid w:val="005F218B"/>
    <w:rsid w:val="005F21BC"/>
    <w:rsid w:val="005F261B"/>
    <w:rsid w:val="005F26B7"/>
    <w:rsid w:val="005F27AD"/>
    <w:rsid w:val="005F29EE"/>
    <w:rsid w:val="005F2B77"/>
    <w:rsid w:val="005F2FBE"/>
    <w:rsid w:val="005F3016"/>
    <w:rsid w:val="005F308D"/>
    <w:rsid w:val="005F31CC"/>
    <w:rsid w:val="005F328B"/>
    <w:rsid w:val="005F3369"/>
    <w:rsid w:val="005F3636"/>
    <w:rsid w:val="005F3A0A"/>
    <w:rsid w:val="005F3AA2"/>
    <w:rsid w:val="005F3BA4"/>
    <w:rsid w:val="005F404A"/>
    <w:rsid w:val="005F4265"/>
    <w:rsid w:val="005F44D8"/>
    <w:rsid w:val="005F48DA"/>
    <w:rsid w:val="005F4A0E"/>
    <w:rsid w:val="005F4AD8"/>
    <w:rsid w:val="005F4D11"/>
    <w:rsid w:val="005F4F52"/>
    <w:rsid w:val="005F5279"/>
    <w:rsid w:val="005F540E"/>
    <w:rsid w:val="005F558C"/>
    <w:rsid w:val="005F56BE"/>
    <w:rsid w:val="005F59D7"/>
    <w:rsid w:val="005F5AA4"/>
    <w:rsid w:val="005F5D25"/>
    <w:rsid w:val="005F5D77"/>
    <w:rsid w:val="005F5F7D"/>
    <w:rsid w:val="005F6391"/>
    <w:rsid w:val="005F63F0"/>
    <w:rsid w:val="005F63F7"/>
    <w:rsid w:val="005F6681"/>
    <w:rsid w:val="005F66C8"/>
    <w:rsid w:val="005F6974"/>
    <w:rsid w:val="005F6B24"/>
    <w:rsid w:val="005F6FCD"/>
    <w:rsid w:val="005F700E"/>
    <w:rsid w:val="005F7018"/>
    <w:rsid w:val="005F71DB"/>
    <w:rsid w:val="005F7211"/>
    <w:rsid w:val="005F72BC"/>
    <w:rsid w:val="005F74CC"/>
    <w:rsid w:val="005F74DB"/>
    <w:rsid w:val="005F750F"/>
    <w:rsid w:val="005F751A"/>
    <w:rsid w:val="005F781E"/>
    <w:rsid w:val="005F7911"/>
    <w:rsid w:val="005F7BA2"/>
    <w:rsid w:val="005F7C56"/>
    <w:rsid w:val="005F7D4F"/>
    <w:rsid w:val="00600219"/>
    <w:rsid w:val="00600222"/>
    <w:rsid w:val="006003E5"/>
    <w:rsid w:val="00600586"/>
    <w:rsid w:val="006007E6"/>
    <w:rsid w:val="00600AC6"/>
    <w:rsid w:val="00600BE8"/>
    <w:rsid w:val="00600EAC"/>
    <w:rsid w:val="00601224"/>
    <w:rsid w:val="006015D6"/>
    <w:rsid w:val="00601BE0"/>
    <w:rsid w:val="00601CD5"/>
    <w:rsid w:val="00601D2A"/>
    <w:rsid w:val="006022E1"/>
    <w:rsid w:val="0060254F"/>
    <w:rsid w:val="006026FC"/>
    <w:rsid w:val="006028DE"/>
    <w:rsid w:val="00602921"/>
    <w:rsid w:val="006029D0"/>
    <w:rsid w:val="006029F8"/>
    <w:rsid w:val="00602AC3"/>
    <w:rsid w:val="00602C2D"/>
    <w:rsid w:val="00602CED"/>
    <w:rsid w:val="00602D96"/>
    <w:rsid w:val="0060336F"/>
    <w:rsid w:val="00603932"/>
    <w:rsid w:val="00603A06"/>
    <w:rsid w:val="00603A5B"/>
    <w:rsid w:val="00603AF2"/>
    <w:rsid w:val="00603CF6"/>
    <w:rsid w:val="00603D0F"/>
    <w:rsid w:val="00603EA5"/>
    <w:rsid w:val="00603EAD"/>
    <w:rsid w:val="00603ECB"/>
    <w:rsid w:val="00603F0B"/>
    <w:rsid w:val="00603FF4"/>
    <w:rsid w:val="0060402D"/>
    <w:rsid w:val="006040D2"/>
    <w:rsid w:val="00604424"/>
    <w:rsid w:val="006045CD"/>
    <w:rsid w:val="00604D5C"/>
    <w:rsid w:val="00604EEA"/>
    <w:rsid w:val="00604FB9"/>
    <w:rsid w:val="0060515A"/>
    <w:rsid w:val="0060516A"/>
    <w:rsid w:val="00605406"/>
    <w:rsid w:val="006058BB"/>
    <w:rsid w:val="00605963"/>
    <w:rsid w:val="00605C88"/>
    <w:rsid w:val="00605CF1"/>
    <w:rsid w:val="00605F85"/>
    <w:rsid w:val="00606599"/>
    <w:rsid w:val="0060660E"/>
    <w:rsid w:val="00606695"/>
    <w:rsid w:val="00606BAA"/>
    <w:rsid w:val="00606E23"/>
    <w:rsid w:val="00606FDC"/>
    <w:rsid w:val="006071B1"/>
    <w:rsid w:val="0060727B"/>
    <w:rsid w:val="00607309"/>
    <w:rsid w:val="00607699"/>
    <w:rsid w:val="0060785E"/>
    <w:rsid w:val="00607BFA"/>
    <w:rsid w:val="00607D22"/>
    <w:rsid w:val="00607E9E"/>
    <w:rsid w:val="00607EAE"/>
    <w:rsid w:val="00610138"/>
    <w:rsid w:val="0061013F"/>
    <w:rsid w:val="006101A2"/>
    <w:rsid w:val="006102C7"/>
    <w:rsid w:val="0061041B"/>
    <w:rsid w:val="0061048C"/>
    <w:rsid w:val="00610659"/>
    <w:rsid w:val="006106DB"/>
    <w:rsid w:val="00610BC5"/>
    <w:rsid w:val="00610E11"/>
    <w:rsid w:val="00610F59"/>
    <w:rsid w:val="00610F62"/>
    <w:rsid w:val="00610F6B"/>
    <w:rsid w:val="00611070"/>
    <w:rsid w:val="00611077"/>
    <w:rsid w:val="00611269"/>
    <w:rsid w:val="0061126B"/>
    <w:rsid w:val="006114EF"/>
    <w:rsid w:val="00611858"/>
    <w:rsid w:val="006118FF"/>
    <w:rsid w:val="00611A4D"/>
    <w:rsid w:val="00611B3D"/>
    <w:rsid w:val="00611F1A"/>
    <w:rsid w:val="00612158"/>
    <w:rsid w:val="00612221"/>
    <w:rsid w:val="00612656"/>
    <w:rsid w:val="006126A0"/>
    <w:rsid w:val="006127DD"/>
    <w:rsid w:val="006128B5"/>
    <w:rsid w:val="00612BA0"/>
    <w:rsid w:val="00612E87"/>
    <w:rsid w:val="00613198"/>
    <w:rsid w:val="006132BF"/>
    <w:rsid w:val="0061343A"/>
    <w:rsid w:val="00613548"/>
    <w:rsid w:val="00613A6B"/>
    <w:rsid w:val="00613AE5"/>
    <w:rsid w:val="00613B19"/>
    <w:rsid w:val="00613D67"/>
    <w:rsid w:val="00613F1A"/>
    <w:rsid w:val="00613F2B"/>
    <w:rsid w:val="0061433F"/>
    <w:rsid w:val="006143C7"/>
    <w:rsid w:val="006143E0"/>
    <w:rsid w:val="00614585"/>
    <w:rsid w:val="00614792"/>
    <w:rsid w:val="00614919"/>
    <w:rsid w:val="00614D2D"/>
    <w:rsid w:val="00615083"/>
    <w:rsid w:val="00615232"/>
    <w:rsid w:val="0061531A"/>
    <w:rsid w:val="006153A1"/>
    <w:rsid w:val="006157CE"/>
    <w:rsid w:val="00615B08"/>
    <w:rsid w:val="00615B70"/>
    <w:rsid w:val="00615B97"/>
    <w:rsid w:val="00615DFD"/>
    <w:rsid w:val="00615F09"/>
    <w:rsid w:val="00615F76"/>
    <w:rsid w:val="00616050"/>
    <w:rsid w:val="0061642A"/>
    <w:rsid w:val="0061649B"/>
    <w:rsid w:val="006164C5"/>
    <w:rsid w:val="0061657F"/>
    <w:rsid w:val="0061658D"/>
    <w:rsid w:val="006166B0"/>
    <w:rsid w:val="006167A8"/>
    <w:rsid w:val="00616AFA"/>
    <w:rsid w:val="00616C42"/>
    <w:rsid w:val="00616E58"/>
    <w:rsid w:val="00616EB8"/>
    <w:rsid w:val="0061718A"/>
    <w:rsid w:val="00617212"/>
    <w:rsid w:val="00617219"/>
    <w:rsid w:val="006174CE"/>
    <w:rsid w:val="006175AD"/>
    <w:rsid w:val="00617892"/>
    <w:rsid w:val="00617A07"/>
    <w:rsid w:val="00617B16"/>
    <w:rsid w:val="00617E3B"/>
    <w:rsid w:val="006200D1"/>
    <w:rsid w:val="006204F5"/>
    <w:rsid w:val="006205FC"/>
    <w:rsid w:val="00620684"/>
    <w:rsid w:val="0062071E"/>
    <w:rsid w:val="0062074F"/>
    <w:rsid w:val="00620B51"/>
    <w:rsid w:val="00620CD7"/>
    <w:rsid w:val="00620D78"/>
    <w:rsid w:val="00620DF9"/>
    <w:rsid w:val="00620E3C"/>
    <w:rsid w:val="00620E3E"/>
    <w:rsid w:val="00620F43"/>
    <w:rsid w:val="00620FA5"/>
    <w:rsid w:val="00620FF1"/>
    <w:rsid w:val="00621001"/>
    <w:rsid w:val="0062110E"/>
    <w:rsid w:val="00621253"/>
    <w:rsid w:val="00621291"/>
    <w:rsid w:val="006212E9"/>
    <w:rsid w:val="00621330"/>
    <w:rsid w:val="00621356"/>
    <w:rsid w:val="0062141A"/>
    <w:rsid w:val="006214B0"/>
    <w:rsid w:val="006217A9"/>
    <w:rsid w:val="006218A3"/>
    <w:rsid w:val="00621ABC"/>
    <w:rsid w:val="00621D2C"/>
    <w:rsid w:val="00621E2B"/>
    <w:rsid w:val="0062207B"/>
    <w:rsid w:val="00622142"/>
    <w:rsid w:val="0062240A"/>
    <w:rsid w:val="006226B9"/>
    <w:rsid w:val="00622CBF"/>
    <w:rsid w:val="00622D3E"/>
    <w:rsid w:val="00622E8D"/>
    <w:rsid w:val="00623074"/>
    <w:rsid w:val="0062318C"/>
    <w:rsid w:val="006231EE"/>
    <w:rsid w:val="00623364"/>
    <w:rsid w:val="00623649"/>
    <w:rsid w:val="00623D7E"/>
    <w:rsid w:val="00623E31"/>
    <w:rsid w:val="00623FC5"/>
    <w:rsid w:val="00624015"/>
    <w:rsid w:val="0062408E"/>
    <w:rsid w:val="006242CD"/>
    <w:rsid w:val="006247DA"/>
    <w:rsid w:val="006248F5"/>
    <w:rsid w:val="00624D0A"/>
    <w:rsid w:val="00624E09"/>
    <w:rsid w:val="00624F3C"/>
    <w:rsid w:val="00625246"/>
    <w:rsid w:val="0062529A"/>
    <w:rsid w:val="0062541F"/>
    <w:rsid w:val="006256F7"/>
    <w:rsid w:val="006257C9"/>
    <w:rsid w:val="006258D5"/>
    <w:rsid w:val="00625B2F"/>
    <w:rsid w:val="00625D29"/>
    <w:rsid w:val="00625E1F"/>
    <w:rsid w:val="00625E40"/>
    <w:rsid w:val="00625E6E"/>
    <w:rsid w:val="00625E81"/>
    <w:rsid w:val="00625F82"/>
    <w:rsid w:val="0062603F"/>
    <w:rsid w:val="00626357"/>
    <w:rsid w:val="006263A1"/>
    <w:rsid w:val="006268CD"/>
    <w:rsid w:val="00626F12"/>
    <w:rsid w:val="00626FCC"/>
    <w:rsid w:val="006272D1"/>
    <w:rsid w:val="0062756E"/>
    <w:rsid w:val="006276B4"/>
    <w:rsid w:val="00627706"/>
    <w:rsid w:val="006277A5"/>
    <w:rsid w:val="00627A15"/>
    <w:rsid w:val="00627D88"/>
    <w:rsid w:val="00630202"/>
    <w:rsid w:val="00630681"/>
    <w:rsid w:val="006309F9"/>
    <w:rsid w:val="00630A59"/>
    <w:rsid w:val="00630B2C"/>
    <w:rsid w:val="00630B32"/>
    <w:rsid w:val="00630BD7"/>
    <w:rsid w:val="00630C64"/>
    <w:rsid w:val="00630DE9"/>
    <w:rsid w:val="006310B2"/>
    <w:rsid w:val="00631127"/>
    <w:rsid w:val="00631354"/>
    <w:rsid w:val="0063145D"/>
    <w:rsid w:val="006314EC"/>
    <w:rsid w:val="00631563"/>
    <w:rsid w:val="006315FB"/>
    <w:rsid w:val="00631690"/>
    <w:rsid w:val="006317A8"/>
    <w:rsid w:val="006317E5"/>
    <w:rsid w:val="00631985"/>
    <w:rsid w:val="00632136"/>
    <w:rsid w:val="00632680"/>
    <w:rsid w:val="00632722"/>
    <w:rsid w:val="00632729"/>
    <w:rsid w:val="00632789"/>
    <w:rsid w:val="006328BF"/>
    <w:rsid w:val="006328E2"/>
    <w:rsid w:val="00632AE4"/>
    <w:rsid w:val="00632C29"/>
    <w:rsid w:val="00632DF3"/>
    <w:rsid w:val="00632E51"/>
    <w:rsid w:val="0063340D"/>
    <w:rsid w:val="00633768"/>
    <w:rsid w:val="00633844"/>
    <w:rsid w:val="006339C4"/>
    <w:rsid w:val="00633A3E"/>
    <w:rsid w:val="00633D1E"/>
    <w:rsid w:val="00633E67"/>
    <w:rsid w:val="00633E95"/>
    <w:rsid w:val="00633FB4"/>
    <w:rsid w:val="006341FF"/>
    <w:rsid w:val="0063439A"/>
    <w:rsid w:val="006348A7"/>
    <w:rsid w:val="0063495C"/>
    <w:rsid w:val="00634997"/>
    <w:rsid w:val="00634CF2"/>
    <w:rsid w:val="00634E89"/>
    <w:rsid w:val="00635047"/>
    <w:rsid w:val="006350A0"/>
    <w:rsid w:val="00635118"/>
    <w:rsid w:val="006351F4"/>
    <w:rsid w:val="00635752"/>
    <w:rsid w:val="00635AD1"/>
    <w:rsid w:val="00635AE8"/>
    <w:rsid w:val="00635C62"/>
    <w:rsid w:val="00635C70"/>
    <w:rsid w:val="00635DC4"/>
    <w:rsid w:val="00635FC6"/>
    <w:rsid w:val="0063672A"/>
    <w:rsid w:val="00636950"/>
    <w:rsid w:val="00636A01"/>
    <w:rsid w:val="00636C3B"/>
    <w:rsid w:val="00636C98"/>
    <w:rsid w:val="00636CC3"/>
    <w:rsid w:val="00636DAB"/>
    <w:rsid w:val="006370C1"/>
    <w:rsid w:val="006370C7"/>
    <w:rsid w:val="00637276"/>
    <w:rsid w:val="006373FB"/>
    <w:rsid w:val="00637535"/>
    <w:rsid w:val="0063779F"/>
    <w:rsid w:val="0063797D"/>
    <w:rsid w:val="00637CC3"/>
    <w:rsid w:val="00640143"/>
    <w:rsid w:val="0064055F"/>
    <w:rsid w:val="0064063A"/>
    <w:rsid w:val="00640E92"/>
    <w:rsid w:val="00640EA8"/>
    <w:rsid w:val="00640EB1"/>
    <w:rsid w:val="006410A6"/>
    <w:rsid w:val="0064127D"/>
    <w:rsid w:val="00641378"/>
    <w:rsid w:val="006414FF"/>
    <w:rsid w:val="0064155A"/>
    <w:rsid w:val="006415AA"/>
    <w:rsid w:val="006418B3"/>
    <w:rsid w:val="006418BD"/>
    <w:rsid w:val="00641D02"/>
    <w:rsid w:val="00641F1F"/>
    <w:rsid w:val="0064211D"/>
    <w:rsid w:val="006424FD"/>
    <w:rsid w:val="00642718"/>
    <w:rsid w:val="00642904"/>
    <w:rsid w:val="00642C7B"/>
    <w:rsid w:val="00642EF5"/>
    <w:rsid w:val="0064327C"/>
    <w:rsid w:val="006433BE"/>
    <w:rsid w:val="006435CD"/>
    <w:rsid w:val="00643DF7"/>
    <w:rsid w:val="006441FA"/>
    <w:rsid w:val="006444E9"/>
    <w:rsid w:val="00644607"/>
    <w:rsid w:val="00644654"/>
    <w:rsid w:val="00644801"/>
    <w:rsid w:val="00644EBF"/>
    <w:rsid w:val="006451F4"/>
    <w:rsid w:val="006454C1"/>
    <w:rsid w:val="00645683"/>
    <w:rsid w:val="00645736"/>
    <w:rsid w:val="00645956"/>
    <w:rsid w:val="00645A41"/>
    <w:rsid w:val="00645B24"/>
    <w:rsid w:val="00645D0B"/>
    <w:rsid w:val="00645FDE"/>
    <w:rsid w:val="00646269"/>
    <w:rsid w:val="00646316"/>
    <w:rsid w:val="0064653B"/>
    <w:rsid w:val="00646662"/>
    <w:rsid w:val="0064694A"/>
    <w:rsid w:val="00646F1A"/>
    <w:rsid w:val="00646F5B"/>
    <w:rsid w:val="00647285"/>
    <w:rsid w:val="00647324"/>
    <w:rsid w:val="0064735C"/>
    <w:rsid w:val="006475FA"/>
    <w:rsid w:val="00647633"/>
    <w:rsid w:val="006476A4"/>
    <w:rsid w:val="006478C8"/>
    <w:rsid w:val="00647D55"/>
    <w:rsid w:val="00647EC0"/>
    <w:rsid w:val="0065000C"/>
    <w:rsid w:val="0065026C"/>
    <w:rsid w:val="0065043C"/>
    <w:rsid w:val="0065067B"/>
    <w:rsid w:val="00650B05"/>
    <w:rsid w:val="00650CB1"/>
    <w:rsid w:val="00650FD6"/>
    <w:rsid w:val="006512D4"/>
    <w:rsid w:val="0065133D"/>
    <w:rsid w:val="00651630"/>
    <w:rsid w:val="00651639"/>
    <w:rsid w:val="00651643"/>
    <w:rsid w:val="00651874"/>
    <w:rsid w:val="00652427"/>
    <w:rsid w:val="006525ED"/>
    <w:rsid w:val="00652683"/>
    <w:rsid w:val="00652818"/>
    <w:rsid w:val="00652986"/>
    <w:rsid w:val="00652998"/>
    <w:rsid w:val="00652AC7"/>
    <w:rsid w:val="00652D93"/>
    <w:rsid w:val="00652E00"/>
    <w:rsid w:val="006533B9"/>
    <w:rsid w:val="006533C4"/>
    <w:rsid w:val="006537C9"/>
    <w:rsid w:val="006537E0"/>
    <w:rsid w:val="00653899"/>
    <w:rsid w:val="006539FA"/>
    <w:rsid w:val="00653A00"/>
    <w:rsid w:val="00653BA5"/>
    <w:rsid w:val="00653F7C"/>
    <w:rsid w:val="006541E0"/>
    <w:rsid w:val="0065439C"/>
    <w:rsid w:val="00654408"/>
    <w:rsid w:val="00654470"/>
    <w:rsid w:val="006546E8"/>
    <w:rsid w:val="0065482A"/>
    <w:rsid w:val="00654A19"/>
    <w:rsid w:val="00654CF7"/>
    <w:rsid w:val="00654D27"/>
    <w:rsid w:val="00654D44"/>
    <w:rsid w:val="00654FB4"/>
    <w:rsid w:val="00655229"/>
    <w:rsid w:val="006553C0"/>
    <w:rsid w:val="00655657"/>
    <w:rsid w:val="006556C8"/>
    <w:rsid w:val="00655974"/>
    <w:rsid w:val="00655BB1"/>
    <w:rsid w:val="00655BE4"/>
    <w:rsid w:val="00655D6B"/>
    <w:rsid w:val="0065601A"/>
    <w:rsid w:val="0065604E"/>
    <w:rsid w:val="00656091"/>
    <w:rsid w:val="00656172"/>
    <w:rsid w:val="00656272"/>
    <w:rsid w:val="006566CD"/>
    <w:rsid w:val="006568AD"/>
    <w:rsid w:val="00656966"/>
    <w:rsid w:val="00656A67"/>
    <w:rsid w:val="0065729E"/>
    <w:rsid w:val="0065734E"/>
    <w:rsid w:val="00657456"/>
    <w:rsid w:val="00657505"/>
    <w:rsid w:val="006575D1"/>
    <w:rsid w:val="006578B0"/>
    <w:rsid w:val="00657979"/>
    <w:rsid w:val="006579AA"/>
    <w:rsid w:val="00657D14"/>
    <w:rsid w:val="00657DB4"/>
    <w:rsid w:val="00657FFE"/>
    <w:rsid w:val="00660225"/>
    <w:rsid w:val="0066055B"/>
    <w:rsid w:val="006605BE"/>
    <w:rsid w:val="00660632"/>
    <w:rsid w:val="00660873"/>
    <w:rsid w:val="006608E2"/>
    <w:rsid w:val="00660A23"/>
    <w:rsid w:val="00660A36"/>
    <w:rsid w:val="00660EA7"/>
    <w:rsid w:val="0066103E"/>
    <w:rsid w:val="006613C1"/>
    <w:rsid w:val="00661437"/>
    <w:rsid w:val="0066169E"/>
    <w:rsid w:val="0066172B"/>
    <w:rsid w:val="00661A04"/>
    <w:rsid w:val="00661B38"/>
    <w:rsid w:val="00661B98"/>
    <w:rsid w:val="00661CA9"/>
    <w:rsid w:val="00662088"/>
    <w:rsid w:val="0066274F"/>
    <w:rsid w:val="00662845"/>
    <w:rsid w:val="00662BB5"/>
    <w:rsid w:val="00662CDF"/>
    <w:rsid w:val="00663065"/>
    <w:rsid w:val="006630F3"/>
    <w:rsid w:val="0066322E"/>
    <w:rsid w:val="00663540"/>
    <w:rsid w:val="00663567"/>
    <w:rsid w:val="00663651"/>
    <w:rsid w:val="006638D7"/>
    <w:rsid w:val="00663A11"/>
    <w:rsid w:val="00663B1B"/>
    <w:rsid w:val="00663B8A"/>
    <w:rsid w:val="00663CD9"/>
    <w:rsid w:val="00663E99"/>
    <w:rsid w:val="00664095"/>
    <w:rsid w:val="0066437B"/>
    <w:rsid w:val="006643F7"/>
    <w:rsid w:val="00664A1E"/>
    <w:rsid w:val="00664A2E"/>
    <w:rsid w:val="00664C5D"/>
    <w:rsid w:val="00664C89"/>
    <w:rsid w:val="00664D59"/>
    <w:rsid w:val="00664D5D"/>
    <w:rsid w:val="00664EFC"/>
    <w:rsid w:val="00664FDA"/>
    <w:rsid w:val="00665396"/>
    <w:rsid w:val="00665684"/>
    <w:rsid w:val="006657D3"/>
    <w:rsid w:val="00665860"/>
    <w:rsid w:val="00665A3D"/>
    <w:rsid w:val="00665A62"/>
    <w:rsid w:val="00665B76"/>
    <w:rsid w:val="00665F2D"/>
    <w:rsid w:val="00666076"/>
    <w:rsid w:val="0066630A"/>
    <w:rsid w:val="00666500"/>
    <w:rsid w:val="00666720"/>
    <w:rsid w:val="006668F9"/>
    <w:rsid w:val="00666A30"/>
    <w:rsid w:val="00666B46"/>
    <w:rsid w:val="00666BA6"/>
    <w:rsid w:val="00666C20"/>
    <w:rsid w:val="00666EAB"/>
    <w:rsid w:val="00666EE2"/>
    <w:rsid w:val="00666F32"/>
    <w:rsid w:val="006670FF"/>
    <w:rsid w:val="00667233"/>
    <w:rsid w:val="0066793A"/>
    <w:rsid w:val="00667F40"/>
    <w:rsid w:val="00670436"/>
    <w:rsid w:val="0067089D"/>
    <w:rsid w:val="00670D22"/>
    <w:rsid w:val="00670E29"/>
    <w:rsid w:val="00670ED0"/>
    <w:rsid w:val="00670F68"/>
    <w:rsid w:val="0067115F"/>
    <w:rsid w:val="006711AB"/>
    <w:rsid w:val="0067123D"/>
    <w:rsid w:val="006713AF"/>
    <w:rsid w:val="0067142B"/>
    <w:rsid w:val="006716D3"/>
    <w:rsid w:val="00671711"/>
    <w:rsid w:val="006717E6"/>
    <w:rsid w:val="00671870"/>
    <w:rsid w:val="00671C5A"/>
    <w:rsid w:val="00671D8E"/>
    <w:rsid w:val="00671EF7"/>
    <w:rsid w:val="00672357"/>
    <w:rsid w:val="006724D2"/>
    <w:rsid w:val="006729BD"/>
    <w:rsid w:val="00672BD9"/>
    <w:rsid w:val="00672E04"/>
    <w:rsid w:val="00673074"/>
    <w:rsid w:val="006731A9"/>
    <w:rsid w:val="006731DB"/>
    <w:rsid w:val="006732B5"/>
    <w:rsid w:val="006739AE"/>
    <w:rsid w:val="00673C7E"/>
    <w:rsid w:val="00673D30"/>
    <w:rsid w:val="00673D5B"/>
    <w:rsid w:val="00673DCC"/>
    <w:rsid w:val="00673EDA"/>
    <w:rsid w:val="006741D6"/>
    <w:rsid w:val="0067445D"/>
    <w:rsid w:val="0067472D"/>
    <w:rsid w:val="00674760"/>
    <w:rsid w:val="006747BA"/>
    <w:rsid w:val="006749B6"/>
    <w:rsid w:val="00674B55"/>
    <w:rsid w:val="00675095"/>
    <w:rsid w:val="00675174"/>
    <w:rsid w:val="0067540B"/>
    <w:rsid w:val="006754F1"/>
    <w:rsid w:val="0067579E"/>
    <w:rsid w:val="006758A6"/>
    <w:rsid w:val="00675912"/>
    <w:rsid w:val="0067612E"/>
    <w:rsid w:val="0067627F"/>
    <w:rsid w:val="00676446"/>
    <w:rsid w:val="006764D8"/>
    <w:rsid w:val="00676504"/>
    <w:rsid w:val="00676868"/>
    <w:rsid w:val="0067689D"/>
    <w:rsid w:val="00676990"/>
    <w:rsid w:val="0067699C"/>
    <w:rsid w:val="00676C70"/>
    <w:rsid w:val="00676DE9"/>
    <w:rsid w:val="0067702A"/>
    <w:rsid w:val="0067713A"/>
    <w:rsid w:val="0067797B"/>
    <w:rsid w:val="00677C2E"/>
    <w:rsid w:val="00677DA4"/>
    <w:rsid w:val="00677EF4"/>
    <w:rsid w:val="00677F95"/>
    <w:rsid w:val="006800E2"/>
    <w:rsid w:val="006804A9"/>
    <w:rsid w:val="00680B35"/>
    <w:rsid w:val="00680BEC"/>
    <w:rsid w:val="00680C1B"/>
    <w:rsid w:val="00680C42"/>
    <w:rsid w:val="00680FB5"/>
    <w:rsid w:val="00680FCB"/>
    <w:rsid w:val="006812B1"/>
    <w:rsid w:val="00681427"/>
    <w:rsid w:val="00681719"/>
    <w:rsid w:val="0068177F"/>
    <w:rsid w:val="00681A5E"/>
    <w:rsid w:val="00681AC4"/>
    <w:rsid w:val="00681CA2"/>
    <w:rsid w:val="00681E00"/>
    <w:rsid w:val="00681EA4"/>
    <w:rsid w:val="006820E5"/>
    <w:rsid w:val="0068215C"/>
    <w:rsid w:val="00682247"/>
    <w:rsid w:val="00682262"/>
    <w:rsid w:val="006824BA"/>
    <w:rsid w:val="006825ED"/>
    <w:rsid w:val="006826E2"/>
    <w:rsid w:val="006828BF"/>
    <w:rsid w:val="00682ADF"/>
    <w:rsid w:val="00682B30"/>
    <w:rsid w:val="00682B7D"/>
    <w:rsid w:val="00682EB4"/>
    <w:rsid w:val="00682F7D"/>
    <w:rsid w:val="00682F81"/>
    <w:rsid w:val="00682FA3"/>
    <w:rsid w:val="00683022"/>
    <w:rsid w:val="006830FB"/>
    <w:rsid w:val="00683149"/>
    <w:rsid w:val="006834C2"/>
    <w:rsid w:val="0068356E"/>
    <w:rsid w:val="0068380A"/>
    <w:rsid w:val="00683A73"/>
    <w:rsid w:val="00683C39"/>
    <w:rsid w:val="00683CB5"/>
    <w:rsid w:val="00683F72"/>
    <w:rsid w:val="0068408E"/>
    <w:rsid w:val="00684417"/>
    <w:rsid w:val="00684666"/>
    <w:rsid w:val="00684804"/>
    <w:rsid w:val="006849BF"/>
    <w:rsid w:val="00684A7D"/>
    <w:rsid w:val="00684C80"/>
    <w:rsid w:val="00684E57"/>
    <w:rsid w:val="006851BE"/>
    <w:rsid w:val="006859F0"/>
    <w:rsid w:val="00685A0F"/>
    <w:rsid w:val="00685B59"/>
    <w:rsid w:val="00685B6A"/>
    <w:rsid w:val="00685D90"/>
    <w:rsid w:val="00685E37"/>
    <w:rsid w:val="00685F9B"/>
    <w:rsid w:val="006862B1"/>
    <w:rsid w:val="006865AC"/>
    <w:rsid w:val="00686942"/>
    <w:rsid w:val="00686EAC"/>
    <w:rsid w:val="00687098"/>
    <w:rsid w:val="0068718C"/>
    <w:rsid w:val="006873F8"/>
    <w:rsid w:val="0068755B"/>
    <w:rsid w:val="00687570"/>
    <w:rsid w:val="00687964"/>
    <w:rsid w:val="00687BE0"/>
    <w:rsid w:val="0069018D"/>
    <w:rsid w:val="0069046B"/>
    <w:rsid w:val="006908DC"/>
    <w:rsid w:val="00690B3D"/>
    <w:rsid w:val="00690BC5"/>
    <w:rsid w:val="00690DC3"/>
    <w:rsid w:val="00691073"/>
    <w:rsid w:val="006912B1"/>
    <w:rsid w:val="00691384"/>
    <w:rsid w:val="006916B5"/>
    <w:rsid w:val="006916E8"/>
    <w:rsid w:val="00691EC4"/>
    <w:rsid w:val="00692132"/>
    <w:rsid w:val="00692306"/>
    <w:rsid w:val="00692399"/>
    <w:rsid w:val="006923A7"/>
    <w:rsid w:val="006923AB"/>
    <w:rsid w:val="00692516"/>
    <w:rsid w:val="006926A3"/>
    <w:rsid w:val="00692841"/>
    <w:rsid w:val="006929EF"/>
    <w:rsid w:val="00692B85"/>
    <w:rsid w:val="00692C0F"/>
    <w:rsid w:val="00692C1C"/>
    <w:rsid w:val="00692CA4"/>
    <w:rsid w:val="00692E7F"/>
    <w:rsid w:val="00693009"/>
    <w:rsid w:val="0069315A"/>
    <w:rsid w:val="006931D3"/>
    <w:rsid w:val="00693333"/>
    <w:rsid w:val="00693341"/>
    <w:rsid w:val="0069335D"/>
    <w:rsid w:val="006936F6"/>
    <w:rsid w:val="00693985"/>
    <w:rsid w:val="006939C9"/>
    <w:rsid w:val="006939CF"/>
    <w:rsid w:val="00693B92"/>
    <w:rsid w:val="00693C2B"/>
    <w:rsid w:val="00693D5E"/>
    <w:rsid w:val="006940A9"/>
    <w:rsid w:val="00694265"/>
    <w:rsid w:val="0069473C"/>
    <w:rsid w:val="00694C94"/>
    <w:rsid w:val="00694CB1"/>
    <w:rsid w:val="00694DA7"/>
    <w:rsid w:val="00694FF7"/>
    <w:rsid w:val="00695610"/>
    <w:rsid w:val="0069563E"/>
    <w:rsid w:val="00695994"/>
    <w:rsid w:val="00695D3D"/>
    <w:rsid w:val="00696115"/>
    <w:rsid w:val="00696174"/>
    <w:rsid w:val="00696269"/>
    <w:rsid w:val="00696533"/>
    <w:rsid w:val="006965AB"/>
    <w:rsid w:val="0069661F"/>
    <w:rsid w:val="006967B9"/>
    <w:rsid w:val="006968BC"/>
    <w:rsid w:val="00696A8F"/>
    <w:rsid w:val="00696EBF"/>
    <w:rsid w:val="0069718D"/>
    <w:rsid w:val="0069725C"/>
    <w:rsid w:val="006973C7"/>
    <w:rsid w:val="0069741E"/>
    <w:rsid w:val="006974AA"/>
    <w:rsid w:val="0069774C"/>
    <w:rsid w:val="00697A3E"/>
    <w:rsid w:val="00697AA1"/>
    <w:rsid w:val="00697C0F"/>
    <w:rsid w:val="00697D3D"/>
    <w:rsid w:val="00697DE7"/>
    <w:rsid w:val="00697E06"/>
    <w:rsid w:val="00697EA0"/>
    <w:rsid w:val="006A001D"/>
    <w:rsid w:val="006A0036"/>
    <w:rsid w:val="006A00AC"/>
    <w:rsid w:val="006A0102"/>
    <w:rsid w:val="006A0142"/>
    <w:rsid w:val="006A0214"/>
    <w:rsid w:val="006A04B8"/>
    <w:rsid w:val="006A068D"/>
    <w:rsid w:val="006A07CB"/>
    <w:rsid w:val="006A0931"/>
    <w:rsid w:val="006A097F"/>
    <w:rsid w:val="006A0AA8"/>
    <w:rsid w:val="006A0B6D"/>
    <w:rsid w:val="006A0FFC"/>
    <w:rsid w:val="006A11CB"/>
    <w:rsid w:val="006A1231"/>
    <w:rsid w:val="006A1382"/>
    <w:rsid w:val="006A1635"/>
    <w:rsid w:val="006A164D"/>
    <w:rsid w:val="006A16D0"/>
    <w:rsid w:val="006A19C8"/>
    <w:rsid w:val="006A1C4F"/>
    <w:rsid w:val="006A1CA1"/>
    <w:rsid w:val="006A1FE3"/>
    <w:rsid w:val="006A1FE7"/>
    <w:rsid w:val="006A2043"/>
    <w:rsid w:val="006A29CB"/>
    <w:rsid w:val="006A2D03"/>
    <w:rsid w:val="006A2E3E"/>
    <w:rsid w:val="006A32C2"/>
    <w:rsid w:val="006A340B"/>
    <w:rsid w:val="006A3507"/>
    <w:rsid w:val="006A35AC"/>
    <w:rsid w:val="006A36B4"/>
    <w:rsid w:val="006A36CC"/>
    <w:rsid w:val="006A37B6"/>
    <w:rsid w:val="006A3A20"/>
    <w:rsid w:val="006A3C84"/>
    <w:rsid w:val="006A3D36"/>
    <w:rsid w:val="006A3FD1"/>
    <w:rsid w:val="006A405C"/>
    <w:rsid w:val="006A42F2"/>
    <w:rsid w:val="006A4484"/>
    <w:rsid w:val="006A451F"/>
    <w:rsid w:val="006A4678"/>
    <w:rsid w:val="006A46F5"/>
    <w:rsid w:val="006A47AB"/>
    <w:rsid w:val="006A48BE"/>
    <w:rsid w:val="006A4A29"/>
    <w:rsid w:val="006A4A37"/>
    <w:rsid w:val="006A4A74"/>
    <w:rsid w:val="006A4C6C"/>
    <w:rsid w:val="006A4FFE"/>
    <w:rsid w:val="006A5065"/>
    <w:rsid w:val="006A570B"/>
    <w:rsid w:val="006A5AB5"/>
    <w:rsid w:val="006A5C55"/>
    <w:rsid w:val="006A5C96"/>
    <w:rsid w:val="006A5CA6"/>
    <w:rsid w:val="006A5F1C"/>
    <w:rsid w:val="006A6155"/>
    <w:rsid w:val="006A6429"/>
    <w:rsid w:val="006A6475"/>
    <w:rsid w:val="006A6640"/>
    <w:rsid w:val="006A66E6"/>
    <w:rsid w:val="006A67B7"/>
    <w:rsid w:val="006A67E4"/>
    <w:rsid w:val="006A6943"/>
    <w:rsid w:val="006A6967"/>
    <w:rsid w:val="006A6E94"/>
    <w:rsid w:val="006A7705"/>
    <w:rsid w:val="006A7D26"/>
    <w:rsid w:val="006A7F3E"/>
    <w:rsid w:val="006B00F1"/>
    <w:rsid w:val="006B015C"/>
    <w:rsid w:val="006B015E"/>
    <w:rsid w:val="006B0266"/>
    <w:rsid w:val="006B04FA"/>
    <w:rsid w:val="006B10E7"/>
    <w:rsid w:val="006B10F8"/>
    <w:rsid w:val="006B1199"/>
    <w:rsid w:val="006B15B2"/>
    <w:rsid w:val="006B1627"/>
    <w:rsid w:val="006B1861"/>
    <w:rsid w:val="006B19A5"/>
    <w:rsid w:val="006B1A27"/>
    <w:rsid w:val="006B1B85"/>
    <w:rsid w:val="006B1C4F"/>
    <w:rsid w:val="006B1D69"/>
    <w:rsid w:val="006B20A6"/>
    <w:rsid w:val="006B20F0"/>
    <w:rsid w:val="006B21AC"/>
    <w:rsid w:val="006B21BB"/>
    <w:rsid w:val="006B258B"/>
    <w:rsid w:val="006B27F9"/>
    <w:rsid w:val="006B2853"/>
    <w:rsid w:val="006B28E0"/>
    <w:rsid w:val="006B2908"/>
    <w:rsid w:val="006B2A5C"/>
    <w:rsid w:val="006B2D40"/>
    <w:rsid w:val="006B2D87"/>
    <w:rsid w:val="006B2DDC"/>
    <w:rsid w:val="006B2EDB"/>
    <w:rsid w:val="006B3104"/>
    <w:rsid w:val="006B3201"/>
    <w:rsid w:val="006B32E8"/>
    <w:rsid w:val="006B337C"/>
    <w:rsid w:val="006B34B1"/>
    <w:rsid w:val="006B3522"/>
    <w:rsid w:val="006B3FFD"/>
    <w:rsid w:val="006B413B"/>
    <w:rsid w:val="006B436B"/>
    <w:rsid w:val="006B4AD9"/>
    <w:rsid w:val="006B4B3D"/>
    <w:rsid w:val="006B4B82"/>
    <w:rsid w:val="006B4B94"/>
    <w:rsid w:val="006B4BF4"/>
    <w:rsid w:val="006B5207"/>
    <w:rsid w:val="006B523E"/>
    <w:rsid w:val="006B53AA"/>
    <w:rsid w:val="006B5429"/>
    <w:rsid w:val="006B5588"/>
    <w:rsid w:val="006B5595"/>
    <w:rsid w:val="006B568A"/>
    <w:rsid w:val="006B5748"/>
    <w:rsid w:val="006B57A5"/>
    <w:rsid w:val="006B5A83"/>
    <w:rsid w:val="006B5C48"/>
    <w:rsid w:val="006B5CC6"/>
    <w:rsid w:val="006B5DF3"/>
    <w:rsid w:val="006B5FBE"/>
    <w:rsid w:val="006B6250"/>
    <w:rsid w:val="006B6361"/>
    <w:rsid w:val="006B648D"/>
    <w:rsid w:val="006B6726"/>
    <w:rsid w:val="006B6800"/>
    <w:rsid w:val="006B6A7D"/>
    <w:rsid w:val="006B6AEE"/>
    <w:rsid w:val="006B7246"/>
    <w:rsid w:val="006B76A7"/>
    <w:rsid w:val="006B7A25"/>
    <w:rsid w:val="006B7BC8"/>
    <w:rsid w:val="006B7C0A"/>
    <w:rsid w:val="006B7D7B"/>
    <w:rsid w:val="006B7E90"/>
    <w:rsid w:val="006B7EBB"/>
    <w:rsid w:val="006B7EE9"/>
    <w:rsid w:val="006B7F68"/>
    <w:rsid w:val="006B7FA8"/>
    <w:rsid w:val="006C0082"/>
    <w:rsid w:val="006C00A7"/>
    <w:rsid w:val="006C0163"/>
    <w:rsid w:val="006C01AD"/>
    <w:rsid w:val="006C04DF"/>
    <w:rsid w:val="006C0516"/>
    <w:rsid w:val="006C07A2"/>
    <w:rsid w:val="006C07E0"/>
    <w:rsid w:val="006C08B9"/>
    <w:rsid w:val="006C0E7D"/>
    <w:rsid w:val="006C0FA8"/>
    <w:rsid w:val="006C1018"/>
    <w:rsid w:val="006C10F3"/>
    <w:rsid w:val="006C113C"/>
    <w:rsid w:val="006C18AB"/>
    <w:rsid w:val="006C198E"/>
    <w:rsid w:val="006C1B4F"/>
    <w:rsid w:val="006C1BF9"/>
    <w:rsid w:val="006C1D3D"/>
    <w:rsid w:val="006C2142"/>
    <w:rsid w:val="006C22EF"/>
    <w:rsid w:val="006C2378"/>
    <w:rsid w:val="006C2380"/>
    <w:rsid w:val="006C23BE"/>
    <w:rsid w:val="006C25EE"/>
    <w:rsid w:val="006C2690"/>
    <w:rsid w:val="006C2982"/>
    <w:rsid w:val="006C2A83"/>
    <w:rsid w:val="006C2BDD"/>
    <w:rsid w:val="006C2D82"/>
    <w:rsid w:val="006C2F20"/>
    <w:rsid w:val="006C3059"/>
    <w:rsid w:val="006C3878"/>
    <w:rsid w:val="006C39B7"/>
    <w:rsid w:val="006C40BB"/>
    <w:rsid w:val="006C41BA"/>
    <w:rsid w:val="006C4609"/>
    <w:rsid w:val="006C465C"/>
    <w:rsid w:val="006C4A1F"/>
    <w:rsid w:val="006C4B2C"/>
    <w:rsid w:val="006C4C67"/>
    <w:rsid w:val="006C4DC3"/>
    <w:rsid w:val="006C4FF9"/>
    <w:rsid w:val="006C531A"/>
    <w:rsid w:val="006C54BB"/>
    <w:rsid w:val="006C54E0"/>
    <w:rsid w:val="006C5577"/>
    <w:rsid w:val="006C5B22"/>
    <w:rsid w:val="006C5D46"/>
    <w:rsid w:val="006C5D83"/>
    <w:rsid w:val="006C5DF8"/>
    <w:rsid w:val="006C6002"/>
    <w:rsid w:val="006C6148"/>
    <w:rsid w:val="006C6715"/>
    <w:rsid w:val="006C6769"/>
    <w:rsid w:val="006C67A6"/>
    <w:rsid w:val="006C67C2"/>
    <w:rsid w:val="006C688E"/>
    <w:rsid w:val="006C6998"/>
    <w:rsid w:val="006C6B13"/>
    <w:rsid w:val="006C6CD7"/>
    <w:rsid w:val="006C6D4D"/>
    <w:rsid w:val="006C6D71"/>
    <w:rsid w:val="006C6E02"/>
    <w:rsid w:val="006C6F1F"/>
    <w:rsid w:val="006C6F8F"/>
    <w:rsid w:val="006C710A"/>
    <w:rsid w:val="006C72CF"/>
    <w:rsid w:val="006C76AA"/>
    <w:rsid w:val="006C76B0"/>
    <w:rsid w:val="006C771D"/>
    <w:rsid w:val="006C7918"/>
    <w:rsid w:val="006C7C22"/>
    <w:rsid w:val="006C7D9C"/>
    <w:rsid w:val="006C7ED5"/>
    <w:rsid w:val="006D0009"/>
    <w:rsid w:val="006D0169"/>
    <w:rsid w:val="006D035F"/>
    <w:rsid w:val="006D0759"/>
    <w:rsid w:val="006D0820"/>
    <w:rsid w:val="006D0DC4"/>
    <w:rsid w:val="006D0E3A"/>
    <w:rsid w:val="006D1018"/>
    <w:rsid w:val="006D1295"/>
    <w:rsid w:val="006D135E"/>
    <w:rsid w:val="006D144E"/>
    <w:rsid w:val="006D15AC"/>
    <w:rsid w:val="006D173F"/>
    <w:rsid w:val="006D199F"/>
    <w:rsid w:val="006D19ED"/>
    <w:rsid w:val="006D1C41"/>
    <w:rsid w:val="006D1C7E"/>
    <w:rsid w:val="006D1F58"/>
    <w:rsid w:val="006D20D2"/>
    <w:rsid w:val="006D21F3"/>
    <w:rsid w:val="006D245F"/>
    <w:rsid w:val="006D249E"/>
    <w:rsid w:val="006D2833"/>
    <w:rsid w:val="006D28EB"/>
    <w:rsid w:val="006D2932"/>
    <w:rsid w:val="006D297E"/>
    <w:rsid w:val="006D29FC"/>
    <w:rsid w:val="006D2A68"/>
    <w:rsid w:val="006D2A82"/>
    <w:rsid w:val="006D2A9B"/>
    <w:rsid w:val="006D30E1"/>
    <w:rsid w:val="006D35D6"/>
    <w:rsid w:val="006D3796"/>
    <w:rsid w:val="006D3900"/>
    <w:rsid w:val="006D391A"/>
    <w:rsid w:val="006D3E22"/>
    <w:rsid w:val="006D4104"/>
    <w:rsid w:val="006D4295"/>
    <w:rsid w:val="006D429B"/>
    <w:rsid w:val="006D42CA"/>
    <w:rsid w:val="006D4370"/>
    <w:rsid w:val="006D4719"/>
    <w:rsid w:val="006D4960"/>
    <w:rsid w:val="006D4DC1"/>
    <w:rsid w:val="006D4EB1"/>
    <w:rsid w:val="006D4EFE"/>
    <w:rsid w:val="006D5211"/>
    <w:rsid w:val="006D5286"/>
    <w:rsid w:val="006D5499"/>
    <w:rsid w:val="006D554F"/>
    <w:rsid w:val="006D5682"/>
    <w:rsid w:val="006D56EC"/>
    <w:rsid w:val="006D59E9"/>
    <w:rsid w:val="006D5E65"/>
    <w:rsid w:val="006D5F03"/>
    <w:rsid w:val="006D5F55"/>
    <w:rsid w:val="006D6340"/>
    <w:rsid w:val="006D6432"/>
    <w:rsid w:val="006D653D"/>
    <w:rsid w:val="006D659D"/>
    <w:rsid w:val="006D663D"/>
    <w:rsid w:val="006D6727"/>
    <w:rsid w:val="006D67D3"/>
    <w:rsid w:val="006D681D"/>
    <w:rsid w:val="006D6880"/>
    <w:rsid w:val="006D6928"/>
    <w:rsid w:val="006D6BFA"/>
    <w:rsid w:val="006D6DCB"/>
    <w:rsid w:val="006D73CF"/>
    <w:rsid w:val="006D7C2C"/>
    <w:rsid w:val="006D7DD5"/>
    <w:rsid w:val="006E05A2"/>
    <w:rsid w:val="006E0740"/>
    <w:rsid w:val="006E15C3"/>
    <w:rsid w:val="006E15CB"/>
    <w:rsid w:val="006E170D"/>
    <w:rsid w:val="006E1A60"/>
    <w:rsid w:val="006E1B45"/>
    <w:rsid w:val="006E1C12"/>
    <w:rsid w:val="006E1E15"/>
    <w:rsid w:val="006E21D8"/>
    <w:rsid w:val="006E22CF"/>
    <w:rsid w:val="006E2336"/>
    <w:rsid w:val="006E2340"/>
    <w:rsid w:val="006E23E3"/>
    <w:rsid w:val="006E2608"/>
    <w:rsid w:val="006E26C7"/>
    <w:rsid w:val="006E27DC"/>
    <w:rsid w:val="006E2A55"/>
    <w:rsid w:val="006E2A8B"/>
    <w:rsid w:val="006E2DB6"/>
    <w:rsid w:val="006E2F10"/>
    <w:rsid w:val="006E2F76"/>
    <w:rsid w:val="006E30A5"/>
    <w:rsid w:val="006E32A0"/>
    <w:rsid w:val="006E3323"/>
    <w:rsid w:val="006E348E"/>
    <w:rsid w:val="006E361B"/>
    <w:rsid w:val="006E38A8"/>
    <w:rsid w:val="006E39CF"/>
    <w:rsid w:val="006E3A94"/>
    <w:rsid w:val="006E3BBB"/>
    <w:rsid w:val="006E3DF9"/>
    <w:rsid w:val="006E3E57"/>
    <w:rsid w:val="006E3E88"/>
    <w:rsid w:val="006E3EE4"/>
    <w:rsid w:val="006E46AE"/>
    <w:rsid w:val="006E4703"/>
    <w:rsid w:val="006E472F"/>
    <w:rsid w:val="006E48B6"/>
    <w:rsid w:val="006E48D7"/>
    <w:rsid w:val="006E4D83"/>
    <w:rsid w:val="006E4E56"/>
    <w:rsid w:val="006E4FBB"/>
    <w:rsid w:val="006E505D"/>
    <w:rsid w:val="006E50B5"/>
    <w:rsid w:val="006E5341"/>
    <w:rsid w:val="006E53EB"/>
    <w:rsid w:val="006E54D4"/>
    <w:rsid w:val="006E5996"/>
    <w:rsid w:val="006E5A37"/>
    <w:rsid w:val="006E5B19"/>
    <w:rsid w:val="006E5BCB"/>
    <w:rsid w:val="006E5D4F"/>
    <w:rsid w:val="006E6022"/>
    <w:rsid w:val="006E6338"/>
    <w:rsid w:val="006E6BA5"/>
    <w:rsid w:val="006E6BAB"/>
    <w:rsid w:val="006E71A6"/>
    <w:rsid w:val="006E737D"/>
    <w:rsid w:val="006E7551"/>
    <w:rsid w:val="006E7743"/>
    <w:rsid w:val="006E777D"/>
    <w:rsid w:val="006E77A8"/>
    <w:rsid w:val="006E7B30"/>
    <w:rsid w:val="006E7D5D"/>
    <w:rsid w:val="006E7F97"/>
    <w:rsid w:val="006F0053"/>
    <w:rsid w:val="006F059B"/>
    <w:rsid w:val="006F05AA"/>
    <w:rsid w:val="006F06C3"/>
    <w:rsid w:val="006F09EF"/>
    <w:rsid w:val="006F0BC7"/>
    <w:rsid w:val="006F0E3E"/>
    <w:rsid w:val="006F1038"/>
    <w:rsid w:val="006F1056"/>
    <w:rsid w:val="006F1074"/>
    <w:rsid w:val="006F121E"/>
    <w:rsid w:val="006F12D4"/>
    <w:rsid w:val="006F159E"/>
    <w:rsid w:val="006F15CC"/>
    <w:rsid w:val="006F15FD"/>
    <w:rsid w:val="006F1657"/>
    <w:rsid w:val="006F198A"/>
    <w:rsid w:val="006F1B7D"/>
    <w:rsid w:val="006F1D05"/>
    <w:rsid w:val="006F1EA3"/>
    <w:rsid w:val="006F2074"/>
    <w:rsid w:val="006F2191"/>
    <w:rsid w:val="006F21DE"/>
    <w:rsid w:val="006F21F4"/>
    <w:rsid w:val="006F228A"/>
    <w:rsid w:val="006F2361"/>
    <w:rsid w:val="006F2427"/>
    <w:rsid w:val="006F2527"/>
    <w:rsid w:val="006F264C"/>
    <w:rsid w:val="006F29C4"/>
    <w:rsid w:val="006F2A56"/>
    <w:rsid w:val="006F2F3A"/>
    <w:rsid w:val="006F301B"/>
    <w:rsid w:val="006F3054"/>
    <w:rsid w:val="006F32A7"/>
    <w:rsid w:val="006F3653"/>
    <w:rsid w:val="006F37CA"/>
    <w:rsid w:val="006F3830"/>
    <w:rsid w:val="006F39C3"/>
    <w:rsid w:val="006F3ADA"/>
    <w:rsid w:val="006F3D5B"/>
    <w:rsid w:val="006F3EBC"/>
    <w:rsid w:val="006F4128"/>
    <w:rsid w:val="006F412B"/>
    <w:rsid w:val="006F4494"/>
    <w:rsid w:val="006F45A7"/>
    <w:rsid w:val="006F47D3"/>
    <w:rsid w:val="006F4985"/>
    <w:rsid w:val="006F49CC"/>
    <w:rsid w:val="006F5243"/>
    <w:rsid w:val="006F53A8"/>
    <w:rsid w:val="006F541B"/>
    <w:rsid w:val="006F5420"/>
    <w:rsid w:val="006F59A1"/>
    <w:rsid w:val="006F5A36"/>
    <w:rsid w:val="006F5A49"/>
    <w:rsid w:val="006F5A84"/>
    <w:rsid w:val="006F5BD3"/>
    <w:rsid w:val="006F5EE3"/>
    <w:rsid w:val="006F6523"/>
    <w:rsid w:val="006F65A2"/>
    <w:rsid w:val="006F6622"/>
    <w:rsid w:val="006F6689"/>
    <w:rsid w:val="006F6C6F"/>
    <w:rsid w:val="006F6D6B"/>
    <w:rsid w:val="006F6E4D"/>
    <w:rsid w:val="006F708C"/>
    <w:rsid w:val="006F7292"/>
    <w:rsid w:val="006F72D3"/>
    <w:rsid w:val="006F7956"/>
    <w:rsid w:val="006F7CE3"/>
    <w:rsid w:val="006F7D61"/>
    <w:rsid w:val="006F7DA2"/>
    <w:rsid w:val="006F7DC6"/>
    <w:rsid w:val="007000D1"/>
    <w:rsid w:val="00700118"/>
    <w:rsid w:val="0070072B"/>
    <w:rsid w:val="007008FD"/>
    <w:rsid w:val="007009A0"/>
    <w:rsid w:val="00700E4E"/>
    <w:rsid w:val="00701180"/>
    <w:rsid w:val="00701338"/>
    <w:rsid w:val="00701578"/>
    <w:rsid w:val="00701612"/>
    <w:rsid w:val="007018E2"/>
    <w:rsid w:val="00701A15"/>
    <w:rsid w:val="00701C0D"/>
    <w:rsid w:val="00701C46"/>
    <w:rsid w:val="0070263C"/>
    <w:rsid w:val="0070274D"/>
    <w:rsid w:val="00702B42"/>
    <w:rsid w:val="00702E34"/>
    <w:rsid w:val="00703242"/>
    <w:rsid w:val="00703336"/>
    <w:rsid w:val="007034DD"/>
    <w:rsid w:val="00703879"/>
    <w:rsid w:val="00703AE3"/>
    <w:rsid w:val="00703BAB"/>
    <w:rsid w:val="00703C37"/>
    <w:rsid w:val="00703C4A"/>
    <w:rsid w:val="00703CF6"/>
    <w:rsid w:val="007040FE"/>
    <w:rsid w:val="007042A3"/>
    <w:rsid w:val="00704325"/>
    <w:rsid w:val="00704356"/>
    <w:rsid w:val="0070447F"/>
    <w:rsid w:val="0070457B"/>
    <w:rsid w:val="007046A8"/>
    <w:rsid w:val="0070471C"/>
    <w:rsid w:val="00704739"/>
    <w:rsid w:val="00704CE0"/>
    <w:rsid w:val="00704D1C"/>
    <w:rsid w:val="00704E37"/>
    <w:rsid w:val="00705234"/>
    <w:rsid w:val="0070533E"/>
    <w:rsid w:val="007053C7"/>
    <w:rsid w:val="007055F0"/>
    <w:rsid w:val="00705A44"/>
    <w:rsid w:val="00705AE7"/>
    <w:rsid w:val="00705C6D"/>
    <w:rsid w:val="00705C91"/>
    <w:rsid w:val="00705E80"/>
    <w:rsid w:val="00705EC8"/>
    <w:rsid w:val="00706A41"/>
    <w:rsid w:val="00706A5C"/>
    <w:rsid w:val="00706A89"/>
    <w:rsid w:val="00706D8E"/>
    <w:rsid w:val="007071B1"/>
    <w:rsid w:val="00707260"/>
    <w:rsid w:val="00707281"/>
    <w:rsid w:val="007072B7"/>
    <w:rsid w:val="007073B3"/>
    <w:rsid w:val="00707401"/>
    <w:rsid w:val="00707469"/>
    <w:rsid w:val="00707723"/>
    <w:rsid w:val="00707AF0"/>
    <w:rsid w:val="00707B54"/>
    <w:rsid w:val="00707F23"/>
    <w:rsid w:val="00707FDD"/>
    <w:rsid w:val="007100A4"/>
    <w:rsid w:val="007100C5"/>
    <w:rsid w:val="007100EB"/>
    <w:rsid w:val="0071027A"/>
    <w:rsid w:val="00710500"/>
    <w:rsid w:val="007109E4"/>
    <w:rsid w:val="00710B03"/>
    <w:rsid w:val="00710E41"/>
    <w:rsid w:val="00711252"/>
    <w:rsid w:val="00711255"/>
    <w:rsid w:val="007114E1"/>
    <w:rsid w:val="007116A3"/>
    <w:rsid w:val="0071178D"/>
    <w:rsid w:val="00711793"/>
    <w:rsid w:val="0071189B"/>
    <w:rsid w:val="007118C5"/>
    <w:rsid w:val="00711924"/>
    <w:rsid w:val="00711DE1"/>
    <w:rsid w:val="00712269"/>
    <w:rsid w:val="007124DE"/>
    <w:rsid w:val="0071255A"/>
    <w:rsid w:val="00712A5A"/>
    <w:rsid w:val="00712A7B"/>
    <w:rsid w:val="00712F21"/>
    <w:rsid w:val="007131CF"/>
    <w:rsid w:val="00713212"/>
    <w:rsid w:val="007137F8"/>
    <w:rsid w:val="007138D0"/>
    <w:rsid w:val="00713A08"/>
    <w:rsid w:val="00713B07"/>
    <w:rsid w:val="00713E6F"/>
    <w:rsid w:val="00714869"/>
    <w:rsid w:val="007148CE"/>
    <w:rsid w:val="00714C65"/>
    <w:rsid w:val="00715163"/>
    <w:rsid w:val="0071540A"/>
    <w:rsid w:val="007155AD"/>
    <w:rsid w:val="00715D2D"/>
    <w:rsid w:val="007161C8"/>
    <w:rsid w:val="007162E4"/>
    <w:rsid w:val="00716497"/>
    <w:rsid w:val="007164B9"/>
    <w:rsid w:val="007165AE"/>
    <w:rsid w:val="007166FC"/>
    <w:rsid w:val="00716814"/>
    <w:rsid w:val="007168DC"/>
    <w:rsid w:val="00716906"/>
    <w:rsid w:val="00716A59"/>
    <w:rsid w:val="00716CAE"/>
    <w:rsid w:val="00716CED"/>
    <w:rsid w:val="00716CFA"/>
    <w:rsid w:val="00716D92"/>
    <w:rsid w:val="00716E4B"/>
    <w:rsid w:val="00716E6A"/>
    <w:rsid w:val="00716ED9"/>
    <w:rsid w:val="0071708A"/>
    <w:rsid w:val="007174BC"/>
    <w:rsid w:val="007175B8"/>
    <w:rsid w:val="00717E56"/>
    <w:rsid w:val="00717E66"/>
    <w:rsid w:val="00717F75"/>
    <w:rsid w:val="00720140"/>
    <w:rsid w:val="007201B1"/>
    <w:rsid w:val="007202A2"/>
    <w:rsid w:val="007202D9"/>
    <w:rsid w:val="00720460"/>
    <w:rsid w:val="00720498"/>
    <w:rsid w:val="00720E80"/>
    <w:rsid w:val="00721183"/>
    <w:rsid w:val="007213E7"/>
    <w:rsid w:val="007215DB"/>
    <w:rsid w:val="00721CA6"/>
    <w:rsid w:val="00721DE5"/>
    <w:rsid w:val="007221C8"/>
    <w:rsid w:val="007222DE"/>
    <w:rsid w:val="0072233F"/>
    <w:rsid w:val="007225E0"/>
    <w:rsid w:val="007227A1"/>
    <w:rsid w:val="00722828"/>
    <w:rsid w:val="00722847"/>
    <w:rsid w:val="007228F0"/>
    <w:rsid w:val="00722A9C"/>
    <w:rsid w:val="00722B99"/>
    <w:rsid w:val="00722C48"/>
    <w:rsid w:val="00722C9E"/>
    <w:rsid w:val="00722F3B"/>
    <w:rsid w:val="00722FCD"/>
    <w:rsid w:val="0072304F"/>
    <w:rsid w:val="0072307F"/>
    <w:rsid w:val="0072322F"/>
    <w:rsid w:val="00723394"/>
    <w:rsid w:val="00723572"/>
    <w:rsid w:val="007235F0"/>
    <w:rsid w:val="00723A53"/>
    <w:rsid w:val="00723BFC"/>
    <w:rsid w:val="00723C40"/>
    <w:rsid w:val="00723C4A"/>
    <w:rsid w:val="00723C72"/>
    <w:rsid w:val="00723CF3"/>
    <w:rsid w:val="00723D8C"/>
    <w:rsid w:val="00723F50"/>
    <w:rsid w:val="00723F57"/>
    <w:rsid w:val="007243F6"/>
    <w:rsid w:val="007245FD"/>
    <w:rsid w:val="007248FF"/>
    <w:rsid w:val="007249AD"/>
    <w:rsid w:val="00724BCC"/>
    <w:rsid w:val="00724E4C"/>
    <w:rsid w:val="00724EED"/>
    <w:rsid w:val="00724F65"/>
    <w:rsid w:val="0072513E"/>
    <w:rsid w:val="0072528D"/>
    <w:rsid w:val="00725296"/>
    <w:rsid w:val="00725423"/>
    <w:rsid w:val="007254CB"/>
    <w:rsid w:val="007256EF"/>
    <w:rsid w:val="0072579F"/>
    <w:rsid w:val="007258E1"/>
    <w:rsid w:val="007258ED"/>
    <w:rsid w:val="00725B32"/>
    <w:rsid w:val="00725BD0"/>
    <w:rsid w:val="00725E47"/>
    <w:rsid w:val="00725EED"/>
    <w:rsid w:val="00725F07"/>
    <w:rsid w:val="00725FB6"/>
    <w:rsid w:val="007261C1"/>
    <w:rsid w:val="007261F3"/>
    <w:rsid w:val="0072672E"/>
    <w:rsid w:val="00726741"/>
    <w:rsid w:val="00726847"/>
    <w:rsid w:val="00726958"/>
    <w:rsid w:val="007269A6"/>
    <w:rsid w:val="00726BF4"/>
    <w:rsid w:val="0072710F"/>
    <w:rsid w:val="007271E8"/>
    <w:rsid w:val="007272C2"/>
    <w:rsid w:val="00727323"/>
    <w:rsid w:val="0072742A"/>
    <w:rsid w:val="00727444"/>
    <w:rsid w:val="00727BE2"/>
    <w:rsid w:val="00727CD4"/>
    <w:rsid w:val="00730050"/>
    <w:rsid w:val="0073009F"/>
    <w:rsid w:val="007300DA"/>
    <w:rsid w:val="00730173"/>
    <w:rsid w:val="0073032A"/>
    <w:rsid w:val="0073049C"/>
    <w:rsid w:val="0073057D"/>
    <w:rsid w:val="00730792"/>
    <w:rsid w:val="00730817"/>
    <w:rsid w:val="0073087C"/>
    <w:rsid w:val="007308C5"/>
    <w:rsid w:val="00730C4D"/>
    <w:rsid w:val="00731010"/>
    <w:rsid w:val="00731070"/>
    <w:rsid w:val="007311ED"/>
    <w:rsid w:val="007312A9"/>
    <w:rsid w:val="0073178F"/>
    <w:rsid w:val="007317A4"/>
    <w:rsid w:val="0073187F"/>
    <w:rsid w:val="007318CF"/>
    <w:rsid w:val="007319FF"/>
    <w:rsid w:val="00731CFE"/>
    <w:rsid w:val="00731D00"/>
    <w:rsid w:val="00732291"/>
    <w:rsid w:val="007323A5"/>
    <w:rsid w:val="00732445"/>
    <w:rsid w:val="007324E8"/>
    <w:rsid w:val="007324ED"/>
    <w:rsid w:val="00732525"/>
    <w:rsid w:val="00732701"/>
    <w:rsid w:val="00732900"/>
    <w:rsid w:val="00732961"/>
    <w:rsid w:val="0073296B"/>
    <w:rsid w:val="00732BC2"/>
    <w:rsid w:val="00732D9D"/>
    <w:rsid w:val="007330FE"/>
    <w:rsid w:val="0073316C"/>
    <w:rsid w:val="00733ABC"/>
    <w:rsid w:val="00733BCE"/>
    <w:rsid w:val="00733BDE"/>
    <w:rsid w:val="007341D2"/>
    <w:rsid w:val="007346D5"/>
    <w:rsid w:val="007349C5"/>
    <w:rsid w:val="00734A8E"/>
    <w:rsid w:val="00734AC5"/>
    <w:rsid w:val="007350C7"/>
    <w:rsid w:val="0073511A"/>
    <w:rsid w:val="007352E8"/>
    <w:rsid w:val="00735466"/>
    <w:rsid w:val="007354F7"/>
    <w:rsid w:val="0073569E"/>
    <w:rsid w:val="00735A4A"/>
    <w:rsid w:val="00735B7B"/>
    <w:rsid w:val="0073614D"/>
    <w:rsid w:val="0073616D"/>
    <w:rsid w:val="007364E7"/>
    <w:rsid w:val="007366B0"/>
    <w:rsid w:val="00736714"/>
    <w:rsid w:val="007367D0"/>
    <w:rsid w:val="007369E6"/>
    <w:rsid w:val="00736A67"/>
    <w:rsid w:val="00736C2A"/>
    <w:rsid w:val="00736E8B"/>
    <w:rsid w:val="00736FE7"/>
    <w:rsid w:val="00737285"/>
    <w:rsid w:val="007372C7"/>
    <w:rsid w:val="007373DC"/>
    <w:rsid w:val="0073746B"/>
    <w:rsid w:val="00737668"/>
    <w:rsid w:val="00737730"/>
    <w:rsid w:val="00737AEE"/>
    <w:rsid w:val="00737CD8"/>
    <w:rsid w:val="00737D2C"/>
    <w:rsid w:val="00737D8F"/>
    <w:rsid w:val="00737DC3"/>
    <w:rsid w:val="0074001F"/>
    <w:rsid w:val="0074036D"/>
    <w:rsid w:val="00740639"/>
    <w:rsid w:val="00740AEE"/>
    <w:rsid w:val="00740BDB"/>
    <w:rsid w:val="00740CD7"/>
    <w:rsid w:val="00740D53"/>
    <w:rsid w:val="00740DCC"/>
    <w:rsid w:val="00741057"/>
    <w:rsid w:val="007410F4"/>
    <w:rsid w:val="0074112D"/>
    <w:rsid w:val="0074161D"/>
    <w:rsid w:val="0074194B"/>
    <w:rsid w:val="0074195A"/>
    <w:rsid w:val="00741C19"/>
    <w:rsid w:val="00741C9B"/>
    <w:rsid w:val="00741D6F"/>
    <w:rsid w:val="00741DDB"/>
    <w:rsid w:val="00741E7A"/>
    <w:rsid w:val="0074202D"/>
    <w:rsid w:val="0074235C"/>
    <w:rsid w:val="0074253D"/>
    <w:rsid w:val="00742784"/>
    <w:rsid w:val="007428B0"/>
    <w:rsid w:val="007428B3"/>
    <w:rsid w:val="00742956"/>
    <w:rsid w:val="00742A8E"/>
    <w:rsid w:val="00743028"/>
    <w:rsid w:val="00743141"/>
    <w:rsid w:val="0074334C"/>
    <w:rsid w:val="007436D6"/>
    <w:rsid w:val="00743905"/>
    <w:rsid w:val="00743CA1"/>
    <w:rsid w:val="00743D78"/>
    <w:rsid w:val="00744676"/>
    <w:rsid w:val="00744834"/>
    <w:rsid w:val="007449D1"/>
    <w:rsid w:val="00744D49"/>
    <w:rsid w:val="00745090"/>
    <w:rsid w:val="00745408"/>
    <w:rsid w:val="00745434"/>
    <w:rsid w:val="00745926"/>
    <w:rsid w:val="007459BB"/>
    <w:rsid w:val="00745BCB"/>
    <w:rsid w:val="00745D9B"/>
    <w:rsid w:val="00745EE2"/>
    <w:rsid w:val="00746287"/>
    <w:rsid w:val="00746288"/>
    <w:rsid w:val="007462BD"/>
    <w:rsid w:val="007468F8"/>
    <w:rsid w:val="00746A5E"/>
    <w:rsid w:val="00746BDE"/>
    <w:rsid w:val="00746CD4"/>
    <w:rsid w:val="00746CE3"/>
    <w:rsid w:val="00746F47"/>
    <w:rsid w:val="0074742A"/>
    <w:rsid w:val="00747466"/>
    <w:rsid w:val="0074762D"/>
    <w:rsid w:val="00747846"/>
    <w:rsid w:val="00747967"/>
    <w:rsid w:val="00747981"/>
    <w:rsid w:val="00747A60"/>
    <w:rsid w:val="00747B0B"/>
    <w:rsid w:val="00747BE2"/>
    <w:rsid w:val="00747C55"/>
    <w:rsid w:val="00747D17"/>
    <w:rsid w:val="00747E7B"/>
    <w:rsid w:val="00747F42"/>
    <w:rsid w:val="00750068"/>
    <w:rsid w:val="00750099"/>
    <w:rsid w:val="007500A4"/>
    <w:rsid w:val="00750190"/>
    <w:rsid w:val="00750489"/>
    <w:rsid w:val="00750AB4"/>
    <w:rsid w:val="00750DC8"/>
    <w:rsid w:val="00750FC6"/>
    <w:rsid w:val="007512A2"/>
    <w:rsid w:val="007513A4"/>
    <w:rsid w:val="00751689"/>
    <w:rsid w:val="007516B6"/>
    <w:rsid w:val="007516C1"/>
    <w:rsid w:val="00751B30"/>
    <w:rsid w:val="00751CC1"/>
    <w:rsid w:val="00752179"/>
    <w:rsid w:val="0075217C"/>
    <w:rsid w:val="007523D4"/>
    <w:rsid w:val="007526F0"/>
    <w:rsid w:val="007527A0"/>
    <w:rsid w:val="00752AC0"/>
    <w:rsid w:val="00752C5E"/>
    <w:rsid w:val="00753001"/>
    <w:rsid w:val="0075308F"/>
    <w:rsid w:val="00753150"/>
    <w:rsid w:val="007534E0"/>
    <w:rsid w:val="0075360E"/>
    <w:rsid w:val="00753987"/>
    <w:rsid w:val="00753A70"/>
    <w:rsid w:val="00753A7E"/>
    <w:rsid w:val="00753D4D"/>
    <w:rsid w:val="00753DB8"/>
    <w:rsid w:val="00753DDC"/>
    <w:rsid w:val="007540A3"/>
    <w:rsid w:val="007540BD"/>
    <w:rsid w:val="00754217"/>
    <w:rsid w:val="0075423B"/>
    <w:rsid w:val="007548A0"/>
    <w:rsid w:val="00754C66"/>
    <w:rsid w:val="00754CB6"/>
    <w:rsid w:val="00754E03"/>
    <w:rsid w:val="0075515B"/>
    <w:rsid w:val="00755352"/>
    <w:rsid w:val="0075578A"/>
    <w:rsid w:val="007558C6"/>
    <w:rsid w:val="00755A07"/>
    <w:rsid w:val="00755AC5"/>
    <w:rsid w:val="00755DC9"/>
    <w:rsid w:val="00755E58"/>
    <w:rsid w:val="00755FF2"/>
    <w:rsid w:val="00756087"/>
    <w:rsid w:val="00756911"/>
    <w:rsid w:val="007569C7"/>
    <w:rsid w:val="007569EC"/>
    <w:rsid w:val="00756B95"/>
    <w:rsid w:val="00756C8E"/>
    <w:rsid w:val="00756E19"/>
    <w:rsid w:val="00756E21"/>
    <w:rsid w:val="00756E5C"/>
    <w:rsid w:val="00756EBB"/>
    <w:rsid w:val="00756FA2"/>
    <w:rsid w:val="0075703D"/>
    <w:rsid w:val="0075704B"/>
    <w:rsid w:val="0075709D"/>
    <w:rsid w:val="00757228"/>
    <w:rsid w:val="007575F0"/>
    <w:rsid w:val="00757B22"/>
    <w:rsid w:val="00757B96"/>
    <w:rsid w:val="00757C3F"/>
    <w:rsid w:val="00757C40"/>
    <w:rsid w:val="00757E7C"/>
    <w:rsid w:val="00760120"/>
    <w:rsid w:val="00760273"/>
    <w:rsid w:val="0076031B"/>
    <w:rsid w:val="0076067E"/>
    <w:rsid w:val="0076099E"/>
    <w:rsid w:val="00760F79"/>
    <w:rsid w:val="00760FBF"/>
    <w:rsid w:val="0076106F"/>
    <w:rsid w:val="0076108E"/>
    <w:rsid w:val="00761233"/>
    <w:rsid w:val="007612E7"/>
    <w:rsid w:val="00761870"/>
    <w:rsid w:val="00761871"/>
    <w:rsid w:val="00761946"/>
    <w:rsid w:val="00761B10"/>
    <w:rsid w:val="00761CC5"/>
    <w:rsid w:val="00761F0A"/>
    <w:rsid w:val="007620DE"/>
    <w:rsid w:val="00762462"/>
    <w:rsid w:val="00762C8F"/>
    <w:rsid w:val="00762E29"/>
    <w:rsid w:val="007631DE"/>
    <w:rsid w:val="007639B2"/>
    <w:rsid w:val="00763A2F"/>
    <w:rsid w:val="00764078"/>
    <w:rsid w:val="00764268"/>
    <w:rsid w:val="007642E3"/>
    <w:rsid w:val="007643B2"/>
    <w:rsid w:val="00764488"/>
    <w:rsid w:val="007645A0"/>
    <w:rsid w:val="007645D6"/>
    <w:rsid w:val="00764641"/>
    <w:rsid w:val="007647BC"/>
    <w:rsid w:val="00764895"/>
    <w:rsid w:val="00764B83"/>
    <w:rsid w:val="00764DBB"/>
    <w:rsid w:val="0076514A"/>
    <w:rsid w:val="00765246"/>
    <w:rsid w:val="00765532"/>
    <w:rsid w:val="00765AAB"/>
    <w:rsid w:val="00765B97"/>
    <w:rsid w:val="00765C62"/>
    <w:rsid w:val="00765CE9"/>
    <w:rsid w:val="00765DC0"/>
    <w:rsid w:val="0076606C"/>
    <w:rsid w:val="00766E8B"/>
    <w:rsid w:val="00766FA8"/>
    <w:rsid w:val="007670C2"/>
    <w:rsid w:val="0076714D"/>
    <w:rsid w:val="00767B23"/>
    <w:rsid w:val="00767C8B"/>
    <w:rsid w:val="00767DA4"/>
    <w:rsid w:val="00767E0B"/>
    <w:rsid w:val="00770458"/>
    <w:rsid w:val="00770592"/>
    <w:rsid w:val="007708CF"/>
    <w:rsid w:val="0077090C"/>
    <w:rsid w:val="00770F28"/>
    <w:rsid w:val="00771365"/>
    <w:rsid w:val="00771808"/>
    <w:rsid w:val="00771AFF"/>
    <w:rsid w:val="00771D81"/>
    <w:rsid w:val="00771EDE"/>
    <w:rsid w:val="007720C1"/>
    <w:rsid w:val="0077238F"/>
    <w:rsid w:val="007723E5"/>
    <w:rsid w:val="0077245A"/>
    <w:rsid w:val="00772607"/>
    <w:rsid w:val="00772654"/>
    <w:rsid w:val="0077281B"/>
    <w:rsid w:val="00772C2A"/>
    <w:rsid w:val="00772D02"/>
    <w:rsid w:val="00772EDA"/>
    <w:rsid w:val="00773151"/>
    <w:rsid w:val="00773198"/>
    <w:rsid w:val="007732B0"/>
    <w:rsid w:val="007737B7"/>
    <w:rsid w:val="007738C5"/>
    <w:rsid w:val="0077399A"/>
    <w:rsid w:val="00773AC5"/>
    <w:rsid w:val="00773D81"/>
    <w:rsid w:val="00773E16"/>
    <w:rsid w:val="00773EB3"/>
    <w:rsid w:val="00773F9C"/>
    <w:rsid w:val="00773FAD"/>
    <w:rsid w:val="007740F9"/>
    <w:rsid w:val="007741D7"/>
    <w:rsid w:val="007744FC"/>
    <w:rsid w:val="007745C5"/>
    <w:rsid w:val="00774A9E"/>
    <w:rsid w:val="00774AB7"/>
    <w:rsid w:val="00774B72"/>
    <w:rsid w:val="00774DA9"/>
    <w:rsid w:val="00774F89"/>
    <w:rsid w:val="007750F9"/>
    <w:rsid w:val="00775540"/>
    <w:rsid w:val="0077564F"/>
    <w:rsid w:val="00775CA7"/>
    <w:rsid w:val="007762A0"/>
    <w:rsid w:val="007765EE"/>
    <w:rsid w:val="00776814"/>
    <w:rsid w:val="0077688B"/>
    <w:rsid w:val="00776ACC"/>
    <w:rsid w:val="00776AF1"/>
    <w:rsid w:val="00776B37"/>
    <w:rsid w:val="00776B77"/>
    <w:rsid w:val="00776BBF"/>
    <w:rsid w:val="00776D53"/>
    <w:rsid w:val="00776F98"/>
    <w:rsid w:val="00776FEB"/>
    <w:rsid w:val="007772AD"/>
    <w:rsid w:val="00777378"/>
    <w:rsid w:val="00777452"/>
    <w:rsid w:val="007776EA"/>
    <w:rsid w:val="00777724"/>
    <w:rsid w:val="007777AF"/>
    <w:rsid w:val="007777BD"/>
    <w:rsid w:val="007779FF"/>
    <w:rsid w:val="00777A60"/>
    <w:rsid w:val="00777F5D"/>
    <w:rsid w:val="00780668"/>
    <w:rsid w:val="0078087C"/>
    <w:rsid w:val="00780981"/>
    <w:rsid w:val="00780DEB"/>
    <w:rsid w:val="00780F8A"/>
    <w:rsid w:val="0078105E"/>
    <w:rsid w:val="007810D9"/>
    <w:rsid w:val="00781358"/>
    <w:rsid w:val="00781713"/>
    <w:rsid w:val="00781B8D"/>
    <w:rsid w:val="00781BF1"/>
    <w:rsid w:val="00781EC7"/>
    <w:rsid w:val="00782069"/>
    <w:rsid w:val="00782387"/>
    <w:rsid w:val="00782455"/>
    <w:rsid w:val="00782B4E"/>
    <w:rsid w:val="00782EFA"/>
    <w:rsid w:val="00783253"/>
    <w:rsid w:val="007832EA"/>
    <w:rsid w:val="007833B4"/>
    <w:rsid w:val="007834C9"/>
    <w:rsid w:val="0078360F"/>
    <w:rsid w:val="007836F6"/>
    <w:rsid w:val="00783A21"/>
    <w:rsid w:val="00783AA6"/>
    <w:rsid w:val="00783B3D"/>
    <w:rsid w:val="00783BB1"/>
    <w:rsid w:val="00783FB4"/>
    <w:rsid w:val="007841DF"/>
    <w:rsid w:val="00784242"/>
    <w:rsid w:val="007842EF"/>
    <w:rsid w:val="0078432D"/>
    <w:rsid w:val="007843EC"/>
    <w:rsid w:val="0078448E"/>
    <w:rsid w:val="007846BF"/>
    <w:rsid w:val="0078474B"/>
    <w:rsid w:val="0078493D"/>
    <w:rsid w:val="00784991"/>
    <w:rsid w:val="007849A8"/>
    <w:rsid w:val="00784AB1"/>
    <w:rsid w:val="00784B8E"/>
    <w:rsid w:val="00784C8C"/>
    <w:rsid w:val="00784E56"/>
    <w:rsid w:val="00784F32"/>
    <w:rsid w:val="00785119"/>
    <w:rsid w:val="00785320"/>
    <w:rsid w:val="007858DA"/>
    <w:rsid w:val="00785CBF"/>
    <w:rsid w:val="00785D0F"/>
    <w:rsid w:val="00785DD3"/>
    <w:rsid w:val="00785E93"/>
    <w:rsid w:val="00786359"/>
    <w:rsid w:val="0078666D"/>
    <w:rsid w:val="007866EF"/>
    <w:rsid w:val="007867E0"/>
    <w:rsid w:val="00786883"/>
    <w:rsid w:val="007868A2"/>
    <w:rsid w:val="0078695D"/>
    <w:rsid w:val="007869C0"/>
    <w:rsid w:val="007869CE"/>
    <w:rsid w:val="00786BCC"/>
    <w:rsid w:val="00786C27"/>
    <w:rsid w:val="00786D52"/>
    <w:rsid w:val="00786E9F"/>
    <w:rsid w:val="00786FE9"/>
    <w:rsid w:val="00787166"/>
    <w:rsid w:val="007873EE"/>
    <w:rsid w:val="00787842"/>
    <w:rsid w:val="007878FE"/>
    <w:rsid w:val="00787921"/>
    <w:rsid w:val="00787B1E"/>
    <w:rsid w:val="00787B5E"/>
    <w:rsid w:val="00787D1B"/>
    <w:rsid w:val="00787D38"/>
    <w:rsid w:val="007903B6"/>
    <w:rsid w:val="00790471"/>
    <w:rsid w:val="007908AB"/>
    <w:rsid w:val="00790954"/>
    <w:rsid w:val="00790A2D"/>
    <w:rsid w:val="00790BAC"/>
    <w:rsid w:val="00790BB9"/>
    <w:rsid w:val="00790C98"/>
    <w:rsid w:val="00790E0C"/>
    <w:rsid w:val="00790EDD"/>
    <w:rsid w:val="00791273"/>
    <w:rsid w:val="007913B8"/>
    <w:rsid w:val="00791857"/>
    <w:rsid w:val="007919F1"/>
    <w:rsid w:val="00791AA6"/>
    <w:rsid w:val="00791AB9"/>
    <w:rsid w:val="00791D0A"/>
    <w:rsid w:val="00792149"/>
    <w:rsid w:val="007922C0"/>
    <w:rsid w:val="00792535"/>
    <w:rsid w:val="007929EA"/>
    <w:rsid w:val="00792AE8"/>
    <w:rsid w:val="00792D3D"/>
    <w:rsid w:val="00792D54"/>
    <w:rsid w:val="00792E89"/>
    <w:rsid w:val="00792EFF"/>
    <w:rsid w:val="00792FDB"/>
    <w:rsid w:val="0079303D"/>
    <w:rsid w:val="0079309B"/>
    <w:rsid w:val="007931E3"/>
    <w:rsid w:val="007932BE"/>
    <w:rsid w:val="007932FB"/>
    <w:rsid w:val="007933B1"/>
    <w:rsid w:val="007933DB"/>
    <w:rsid w:val="0079354C"/>
    <w:rsid w:val="00793598"/>
    <w:rsid w:val="007935FC"/>
    <w:rsid w:val="0079369B"/>
    <w:rsid w:val="00793737"/>
    <w:rsid w:val="007938EF"/>
    <w:rsid w:val="00793A7F"/>
    <w:rsid w:val="00793B65"/>
    <w:rsid w:val="00793CCC"/>
    <w:rsid w:val="00793DA4"/>
    <w:rsid w:val="00793F82"/>
    <w:rsid w:val="00793F8A"/>
    <w:rsid w:val="00794008"/>
    <w:rsid w:val="0079423F"/>
    <w:rsid w:val="007944BF"/>
    <w:rsid w:val="00794569"/>
    <w:rsid w:val="007945C0"/>
    <w:rsid w:val="0079460F"/>
    <w:rsid w:val="00794833"/>
    <w:rsid w:val="00794A92"/>
    <w:rsid w:val="00794DB1"/>
    <w:rsid w:val="00794DBD"/>
    <w:rsid w:val="00794EC3"/>
    <w:rsid w:val="00794FB8"/>
    <w:rsid w:val="00795479"/>
    <w:rsid w:val="007954A2"/>
    <w:rsid w:val="00795646"/>
    <w:rsid w:val="007956A8"/>
    <w:rsid w:val="007956E1"/>
    <w:rsid w:val="00795DB8"/>
    <w:rsid w:val="00795E0C"/>
    <w:rsid w:val="00795E15"/>
    <w:rsid w:val="0079615E"/>
    <w:rsid w:val="007962BE"/>
    <w:rsid w:val="0079663E"/>
    <w:rsid w:val="007967D5"/>
    <w:rsid w:val="00796B34"/>
    <w:rsid w:val="00796C5A"/>
    <w:rsid w:val="00796CFB"/>
    <w:rsid w:val="0079798B"/>
    <w:rsid w:val="00797A84"/>
    <w:rsid w:val="00797C3E"/>
    <w:rsid w:val="00797D0D"/>
    <w:rsid w:val="00797D23"/>
    <w:rsid w:val="00797D70"/>
    <w:rsid w:val="00797E6A"/>
    <w:rsid w:val="007A0183"/>
    <w:rsid w:val="007A0442"/>
    <w:rsid w:val="007A04DD"/>
    <w:rsid w:val="007A04E9"/>
    <w:rsid w:val="007A0569"/>
    <w:rsid w:val="007A088B"/>
    <w:rsid w:val="007A0C15"/>
    <w:rsid w:val="007A0EC7"/>
    <w:rsid w:val="007A0FAE"/>
    <w:rsid w:val="007A1082"/>
    <w:rsid w:val="007A11D0"/>
    <w:rsid w:val="007A127D"/>
    <w:rsid w:val="007A12FE"/>
    <w:rsid w:val="007A1B86"/>
    <w:rsid w:val="007A1D58"/>
    <w:rsid w:val="007A1DA5"/>
    <w:rsid w:val="007A1DCB"/>
    <w:rsid w:val="007A1E1D"/>
    <w:rsid w:val="007A1E26"/>
    <w:rsid w:val="007A1E74"/>
    <w:rsid w:val="007A20E4"/>
    <w:rsid w:val="007A20FD"/>
    <w:rsid w:val="007A2242"/>
    <w:rsid w:val="007A2478"/>
    <w:rsid w:val="007A264A"/>
    <w:rsid w:val="007A26EC"/>
    <w:rsid w:val="007A2756"/>
    <w:rsid w:val="007A2861"/>
    <w:rsid w:val="007A28C9"/>
    <w:rsid w:val="007A2B75"/>
    <w:rsid w:val="007A2CFE"/>
    <w:rsid w:val="007A2F3E"/>
    <w:rsid w:val="007A31EC"/>
    <w:rsid w:val="007A33DE"/>
    <w:rsid w:val="007A37D8"/>
    <w:rsid w:val="007A3A06"/>
    <w:rsid w:val="007A3FD9"/>
    <w:rsid w:val="007A4004"/>
    <w:rsid w:val="007A4018"/>
    <w:rsid w:val="007A41D1"/>
    <w:rsid w:val="007A44C9"/>
    <w:rsid w:val="007A4538"/>
    <w:rsid w:val="007A459E"/>
    <w:rsid w:val="007A45ED"/>
    <w:rsid w:val="007A49E0"/>
    <w:rsid w:val="007A4CA5"/>
    <w:rsid w:val="007A4CD1"/>
    <w:rsid w:val="007A4D2C"/>
    <w:rsid w:val="007A4D42"/>
    <w:rsid w:val="007A50D6"/>
    <w:rsid w:val="007A532E"/>
    <w:rsid w:val="007A539B"/>
    <w:rsid w:val="007A543B"/>
    <w:rsid w:val="007A5CEA"/>
    <w:rsid w:val="007A5F96"/>
    <w:rsid w:val="007A6037"/>
    <w:rsid w:val="007A6173"/>
    <w:rsid w:val="007A61A5"/>
    <w:rsid w:val="007A633B"/>
    <w:rsid w:val="007A64D3"/>
    <w:rsid w:val="007A6538"/>
    <w:rsid w:val="007A657F"/>
    <w:rsid w:val="007A6622"/>
    <w:rsid w:val="007A67D1"/>
    <w:rsid w:val="007A67D5"/>
    <w:rsid w:val="007A67EB"/>
    <w:rsid w:val="007A69D2"/>
    <w:rsid w:val="007A6A38"/>
    <w:rsid w:val="007A6D0A"/>
    <w:rsid w:val="007A6D54"/>
    <w:rsid w:val="007A6FCD"/>
    <w:rsid w:val="007A6FE1"/>
    <w:rsid w:val="007A70EC"/>
    <w:rsid w:val="007A7162"/>
    <w:rsid w:val="007A71D2"/>
    <w:rsid w:val="007A749E"/>
    <w:rsid w:val="007A7A2E"/>
    <w:rsid w:val="007A7DD9"/>
    <w:rsid w:val="007A7E9E"/>
    <w:rsid w:val="007A7EB9"/>
    <w:rsid w:val="007A7ED0"/>
    <w:rsid w:val="007A7F2C"/>
    <w:rsid w:val="007A7F35"/>
    <w:rsid w:val="007B02A5"/>
    <w:rsid w:val="007B0461"/>
    <w:rsid w:val="007B0594"/>
    <w:rsid w:val="007B05E2"/>
    <w:rsid w:val="007B06CC"/>
    <w:rsid w:val="007B0897"/>
    <w:rsid w:val="007B0902"/>
    <w:rsid w:val="007B0C03"/>
    <w:rsid w:val="007B0F36"/>
    <w:rsid w:val="007B1216"/>
    <w:rsid w:val="007B12D5"/>
    <w:rsid w:val="007B16B6"/>
    <w:rsid w:val="007B18AA"/>
    <w:rsid w:val="007B18FB"/>
    <w:rsid w:val="007B1910"/>
    <w:rsid w:val="007B193E"/>
    <w:rsid w:val="007B19E0"/>
    <w:rsid w:val="007B1BB0"/>
    <w:rsid w:val="007B1C88"/>
    <w:rsid w:val="007B1F29"/>
    <w:rsid w:val="007B21A5"/>
    <w:rsid w:val="007B224C"/>
    <w:rsid w:val="007B2A19"/>
    <w:rsid w:val="007B2A9A"/>
    <w:rsid w:val="007B2B5C"/>
    <w:rsid w:val="007B2F50"/>
    <w:rsid w:val="007B300E"/>
    <w:rsid w:val="007B310C"/>
    <w:rsid w:val="007B3150"/>
    <w:rsid w:val="007B3398"/>
    <w:rsid w:val="007B3412"/>
    <w:rsid w:val="007B3747"/>
    <w:rsid w:val="007B3749"/>
    <w:rsid w:val="007B3844"/>
    <w:rsid w:val="007B38F0"/>
    <w:rsid w:val="007B39C5"/>
    <w:rsid w:val="007B39EA"/>
    <w:rsid w:val="007B3C6B"/>
    <w:rsid w:val="007B3D21"/>
    <w:rsid w:val="007B3E6F"/>
    <w:rsid w:val="007B402D"/>
    <w:rsid w:val="007B408D"/>
    <w:rsid w:val="007B4160"/>
    <w:rsid w:val="007B444D"/>
    <w:rsid w:val="007B4510"/>
    <w:rsid w:val="007B4703"/>
    <w:rsid w:val="007B48EE"/>
    <w:rsid w:val="007B4D40"/>
    <w:rsid w:val="007B4E8F"/>
    <w:rsid w:val="007B5178"/>
    <w:rsid w:val="007B5426"/>
    <w:rsid w:val="007B554D"/>
    <w:rsid w:val="007B5659"/>
    <w:rsid w:val="007B58DC"/>
    <w:rsid w:val="007B5A96"/>
    <w:rsid w:val="007B5C17"/>
    <w:rsid w:val="007B5C20"/>
    <w:rsid w:val="007B5DCB"/>
    <w:rsid w:val="007B618C"/>
    <w:rsid w:val="007B634A"/>
    <w:rsid w:val="007B6389"/>
    <w:rsid w:val="007B6418"/>
    <w:rsid w:val="007B66CF"/>
    <w:rsid w:val="007B6A55"/>
    <w:rsid w:val="007B6A5E"/>
    <w:rsid w:val="007B6C82"/>
    <w:rsid w:val="007B6EAE"/>
    <w:rsid w:val="007B71DB"/>
    <w:rsid w:val="007B7893"/>
    <w:rsid w:val="007B7A0B"/>
    <w:rsid w:val="007B7BB5"/>
    <w:rsid w:val="007B7BF8"/>
    <w:rsid w:val="007B7C4A"/>
    <w:rsid w:val="007B7CF3"/>
    <w:rsid w:val="007C003C"/>
    <w:rsid w:val="007C00AB"/>
    <w:rsid w:val="007C011E"/>
    <w:rsid w:val="007C0249"/>
    <w:rsid w:val="007C031A"/>
    <w:rsid w:val="007C04E6"/>
    <w:rsid w:val="007C09DA"/>
    <w:rsid w:val="007C0D1D"/>
    <w:rsid w:val="007C0F2B"/>
    <w:rsid w:val="007C1027"/>
    <w:rsid w:val="007C12F8"/>
    <w:rsid w:val="007C158F"/>
    <w:rsid w:val="007C17F0"/>
    <w:rsid w:val="007C1A7A"/>
    <w:rsid w:val="007C1C7B"/>
    <w:rsid w:val="007C1D0F"/>
    <w:rsid w:val="007C1E46"/>
    <w:rsid w:val="007C1E99"/>
    <w:rsid w:val="007C1E9E"/>
    <w:rsid w:val="007C226A"/>
    <w:rsid w:val="007C23B9"/>
    <w:rsid w:val="007C23E2"/>
    <w:rsid w:val="007C246C"/>
    <w:rsid w:val="007C2737"/>
    <w:rsid w:val="007C2BD7"/>
    <w:rsid w:val="007C2C12"/>
    <w:rsid w:val="007C2DD6"/>
    <w:rsid w:val="007C2E83"/>
    <w:rsid w:val="007C2F8C"/>
    <w:rsid w:val="007C3124"/>
    <w:rsid w:val="007C3340"/>
    <w:rsid w:val="007C33CA"/>
    <w:rsid w:val="007C35B6"/>
    <w:rsid w:val="007C3826"/>
    <w:rsid w:val="007C3984"/>
    <w:rsid w:val="007C3989"/>
    <w:rsid w:val="007C3B44"/>
    <w:rsid w:val="007C3C37"/>
    <w:rsid w:val="007C3DA1"/>
    <w:rsid w:val="007C409C"/>
    <w:rsid w:val="007C457C"/>
    <w:rsid w:val="007C48CA"/>
    <w:rsid w:val="007C49CB"/>
    <w:rsid w:val="007C5291"/>
    <w:rsid w:val="007C5516"/>
    <w:rsid w:val="007C5555"/>
    <w:rsid w:val="007C589E"/>
    <w:rsid w:val="007C58E1"/>
    <w:rsid w:val="007C5BEB"/>
    <w:rsid w:val="007C5DC2"/>
    <w:rsid w:val="007C5EBD"/>
    <w:rsid w:val="007C5F1D"/>
    <w:rsid w:val="007C6244"/>
    <w:rsid w:val="007C69D4"/>
    <w:rsid w:val="007C6B22"/>
    <w:rsid w:val="007C6C8E"/>
    <w:rsid w:val="007C6E94"/>
    <w:rsid w:val="007C6F59"/>
    <w:rsid w:val="007C6FB1"/>
    <w:rsid w:val="007C7331"/>
    <w:rsid w:val="007C7339"/>
    <w:rsid w:val="007C7549"/>
    <w:rsid w:val="007C79C6"/>
    <w:rsid w:val="007C79EA"/>
    <w:rsid w:val="007C7B53"/>
    <w:rsid w:val="007C7B5A"/>
    <w:rsid w:val="007D01DA"/>
    <w:rsid w:val="007D03BC"/>
    <w:rsid w:val="007D0480"/>
    <w:rsid w:val="007D05B0"/>
    <w:rsid w:val="007D05EF"/>
    <w:rsid w:val="007D084E"/>
    <w:rsid w:val="007D09E6"/>
    <w:rsid w:val="007D0A4D"/>
    <w:rsid w:val="007D0AB0"/>
    <w:rsid w:val="007D0ADE"/>
    <w:rsid w:val="007D106D"/>
    <w:rsid w:val="007D10FC"/>
    <w:rsid w:val="007D1223"/>
    <w:rsid w:val="007D13CB"/>
    <w:rsid w:val="007D14F0"/>
    <w:rsid w:val="007D15AB"/>
    <w:rsid w:val="007D1680"/>
    <w:rsid w:val="007D168D"/>
    <w:rsid w:val="007D1695"/>
    <w:rsid w:val="007D1767"/>
    <w:rsid w:val="007D183D"/>
    <w:rsid w:val="007D1E5A"/>
    <w:rsid w:val="007D1F16"/>
    <w:rsid w:val="007D1FF3"/>
    <w:rsid w:val="007D202D"/>
    <w:rsid w:val="007D2118"/>
    <w:rsid w:val="007D224C"/>
    <w:rsid w:val="007D2298"/>
    <w:rsid w:val="007D2341"/>
    <w:rsid w:val="007D239F"/>
    <w:rsid w:val="007D2465"/>
    <w:rsid w:val="007D2499"/>
    <w:rsid w:val="007D2725"/>
    <w:rsid w:val="007D29B6"/>
    <w:rsid w:val="007D2ADB"/>
    <w:rsid w:val="007D2B7A"/>
    <w:rsid w:val="007D2F27"/>
    <w:rsid w:val="007D3661"/>
    <w:rsid w:val="007D38A4"/>
    <w:rsid w:val="007D3C84"/>
    <w:rsid w:val="007D3E32"/>
    <w:rsid w:val="007D3FB4"/>
    <w:rsid w:val="007D3FE2"/>
    <w:rsid w:val="007D4201"/>
    <w:rsid w:val="007D435A"/>
    <w:rsid w:val="007D439D"/>
    <w:rsid w:val="007D447A"/>
    <w:rsid w:val="007D4525"/>
    <w:rsid w:val="007D4637"/>
    <w:rsid w:val="007D4685"/>
    <w:rsid w:val="007D46A5"/>
    <w:rsid w:val="007D4A62"/>
    <w:rsid w:val="007D4FF5"/>
    <w:rsid w:val="007D50C9"/>
    <w:rsid w:val="007D51BE"/>
    <w:rsid w:val="007D529A"/>
    <w:rsid w:val="007D5346"/>
    <w:rsid w:val="007D5484"/>
    <w:rsid w:val="007D5487"/>
    <w:rsid w:val="007D54A1"/>
    <w:rsid w:val="007D5ABE"/>
    <w:rsid w:val="007D5D25"/>
    <w:rsid w:val="007D5F42"/>
    <w:rsid w:val="007D5F6F"/>
    <w:rsid w:val="007D60C1"/>
    <w:rsid w:val="007D62A1"/>
    <w:rsid w:val="007D62D0"/>
    <w:rsid w:val="007D64D3"/>
    <w:rsid w:val="007D6527"/>
    <w:rsid w:val="007D6AD6"/>
    <w:rsid w:val="007D6D07"/>
    <w:rsid w:val="007D6E91"/>
    <w:rsid w:val="007D7020"/>
    <w:rsid w:val="007D715B"/>
    <w:rsid w:val="007D7277"/>
    <w:rsid w:val="007D748B"/>
    <w:rsid w:val="007D78AE"/>
    <w:rsid w:val="007D78DE"/>
    <w:rsid w:val="007D7C4A"/>
    <w:rsid w:val="007D7D8A"/>
    <w:rsid w:val="007D7DEC"/>
    <w:rsid w:val="007D7E4C"/>
    <w:rsid w:val="007E0966"/>
    <w:rsid w:val="007E0A09"/>
    <w:rsid w:val="007E0B25"/>
    <w:rsid w:val="007E0C31"/>
    <w:rsid w:val="007E0D71"/>
    <w:rsid w:val="007E0F96"/>
    <w:rsid w:val="007E1277"/>
    <w:rsid w:val="007E159D"/>
    <w:rsid w:val="007E15FC"/>
    <w:rsid w:val="007E1751"/>
    <w:rsid w:val="007E1A9D"/>
    <w:rsid w:val="007E1CD3"/>
    <w:rsid w:val="007E1D1D"/>
    <w:rsid w:val="007E2110"/>
    <w:rsid w:val="007E215D"/>
    <w:rsid w:val="007E21D0"/>
    <w:rsid w:val="007E24E5"/>
    <w:rsid w:val="007E27AD"/>
    <w:rsid w:val="007E2BE8"/>
    <w:rsid w:val="007E2DC9"/>
    <w:rsid w:val="007E303E"/>
    <w:rsid w:val="007E30E2"/>
    <w:rsid w:val="007E3103"/>
    <w:rsid w:val="007E3108"/>
    <w:rsid w:val="007E3138"/>
    <w:rsid w:val="007E31D6"/>
    <w:rsid w:val="007E33E4"/>
    <w:rsid w:val="007E354B"/>
    <w:rsid w:val="007E357C"/>
    <w:rsid w:val="007E35ED"/>
    <w:rsid w:val="007E382C"/>
    <w:rsid w:val="007E3860"/>
    <w:rsid w:val="007E3B0A"/>
    <w:rsid w:val="007E3CF9"/>
    <w:rsid w:val="007E3F34"/>
    <w:rsid w:val="007E40FE"/>
    <w:rsid w:val="007E4348"/>
    <w:rsid w:val="007E43F2"/>
    <w:rsid w:val="007E48FE"/>
    <w:rsid w:val="007E4E07"/>
    <w:rsid w:val="007E523C"/>
    <w:rsid w:val="007E5349"/>
    <w:rsid w:val="007E5430"/>
    <w:rsid w:val="007E5716"/>
    <w:rsid w:val="007E574A"/>
    <w:rsid w:val="007E5C5C"/>
    <w:rsid w:val="007E5E4F"/>
    <w:rsid w:val="007E6308"/>
    <w:rsid w:val="007E6534"/>
    <w:rsid w:val="007E666A"/>
    <w:rsid w:val="007E6AD1"/>
    <w:rsid w:val="007E6D73"/>
    <w:rsid w:val="007E70F8"/>
    <w:rsid w:val="007E753D"/>
    <w:rsid w:val="007E7622"/>
    <w:rsid w:val="007E7819"/>
    <w:rsid w:val="007E7820"/>
    <w:rsid w:val="007E7823"/>
    <w:rsid w:val="007E7AEA"/>
    <w:rsid w:val="007E7B72"/>
    <w:rsid w:val="007E7B78"/>
    <w:rsid w:val="007E7BBA"/>
    <w:rsid w:val="007F0148"/>
    <w:rsid w:val="007F0522"/>
    <w:rsid w:val="007F0527"/>
    <w:rsid w:val="007F072B"/>
    <w:rsid w:val="007F0A5B"/>
    <w:rsid w:val="007F0D76"/>
    <w:rsid w:val="007F0EB8"/>
    <w:rsid w:val="007F0F9E"/>
    <w:rsid w:val="007F14FA"/>
    <w:rsid w:val="007F15BF"/>
    <w:rsid w:val="007F16AF"/>
    <w:rsid w:val="007F179F"/>
    <w:rsid w:val="007F17DE"/>
    <w:rsid w:val="007F1A9A"/>
    <w:rsid w:val="007F1B4B"/>
    <w:rsid w:val="007F1C28"/>
    <w:rsid w:val="007F1E8B"/>
    <w:rsid w:val="007F1F80"/>
    <w:rsid w:val="007F20C7"/>
    <w:rsid w:val="007F223B"/>
    <w:rsid w:val="007F236E"/>
    <w:rsid w:val="007F2705"/>
    <w:rsid w:val="007F27A3"/>
    <w:rsid w:val="007F2A9E"/>
    <w:rsid w:val="007F2BA8"/>
    <w:rsid w:val="007F2C24"/>
    <w:rsid w:val="007F2DC7"/>
    <w:rsid w:val="007F2E17"/>
    <w:rsid w:val="007F2FE8"/>
    <w:rsid w:val="007F3295"/>
    <w:rsid w:val="007F33D9"/>
    <w:rsid w:val="007F3622"/>
    <w:rsid w:val="007F37AF"/>
    <w:rsid w:val="007F39C8"/>
    <w:rsid w:val="007F3E37"/>
    <w:rsid w:val="007F40FF"/>
    <w:rsid w:val="007F411D"/>
    <w:rsid w:val="007F4574"/>
    <w:rsid w:val="007F47FF"/>
    <w:rsid w:val="007F4A4A"/>
    <w:rsid w:val="007F4B22"/>
    <w:rsid w:val="007F4B69"/>
    <w:rsid w:val="007F4E7E"/>
    <w:rsid w:val="007F4F28"/>
    <w:rsid w:val="007F50A9"/>
    <w:rsid w:val="007F511D"/>
    <w:rsid w:val="007F5578"/>
    <w:rsid w:val="007F578D"/>
    <w:rsid w:val="007F57CF"/>
    <w:rsid w:val="007F57E6"/>
    <w:rsid w:val="007F5822"/>
    <w:rsid w:val="007F5D83"/>
    <w:rsid w:val="007F5EFA"/>
    <w:rsid w:val="007F60FD"/>
    <w:rsid w:val="007F6128"/>
    <w:rsid w:val="007F6238"/>
    <w:rsid w:val="007F638F"/>
    <w:rsid w:val="007F6550"/>
    <w:rsid w:val="007F65FE"/>
    <w:rsid w:val="007F6607"/>
    <w:rsid w:val="007F672F"/>
    <w:rsid w:val="007F6E74"/>
    <w:rsid w:val="007F7252"/>
    <w:rsid w:val="007F7294"/>
    <w:rsid w:val="007F73B4"/>
    <w:rsid w:val="007F7448"/>
    <w:rsid w:val="007F77BC"/>
    <w:rsid w:val="007F77EC"/>
    <w:rsid w:val="007F782C"/>
    <w:rsid w:val="007F795A"/>
    <w:rsid w:val="007F7D81"/>
    <w:rsid w:val="00800024"/>
    <w:rsid w:val="0080028A"/>
    <w:rsid w:val="00800319"/>
    <w:rsid w:val="00800778"/>
    <w:rsid w:val="00800AFD"/>
    <w:rsid w:val="00800C9B"/>
    <w:rsid w:val="00800EA2"/>
    <w:rsid w:val="008010DB"/>
    <w:rsid w:val="00801576"/>
    <w:rsid w:val="008016CF"/>
    <w:rsid w:val="0080186E"/>
    <w:rsid w:val="00801897"/>
    <w:rsid w:val="00801BB1"/>
    <w:rsid w:val="00801D24"/>
    <w:rsid w:val="00801DEB"/>
    <w:rsid w:val="00801E6C"/>
    <w:rsid w:val="00801EAC"/>
    <w:rsid w:val="00802001"/>
    <w:rsid w:val="0080233F"/>
    <w:rsid w:val="008023AE"/>
    <w:rsid w:val="008023CB"/>
    <w:rsid w:val="00802549"/>
    <w:rsid w:val="00802553"/>
    <w:rsid w:val="0080276E"/>
    <w:rsid w:val="00802884"/>
    <w:rsid w:val="008028D0"/>
    <w:rsid w:val="00802BBF"/>
    <w:rsid w:val="00802D3D"/>
    <w:rsid w:val="00802E0D"/>
    <w:rsid w:val="00802E17"/>
    <w:rsid w:val="0080333E"/>
    <w:rsid w:val="008034ED"/>
    <w:rsid w:val="00803594"/>
    <w:rsid w:val="008038C8"/>
    <w:rsid w:val="00803B5A"/>
    <w:rsid w:val="0080401F"/>
    <w:rsid w:val="008042F2"/>
    <w:rsid w:val="0080462A"/>
    <w:rsid w:val="00804789"/>
    <w:rsid w:val="008049EE"/>
    <w:rsid w:val="00804AA5"/>
    <w:rsid w:val="00804BC2"/>
    <w:rsid w:val="00804CE5"/>
    <w:rsid w:val="00804F62"/>
    <w:rsid w:val="00805549"/>
    <w:rsid w:val="0080564E"/>
    <w:rsid w:val="00805698"/>
    <w:rsid w:val="0080569A"/>
    <w:rsid w:val="0080571D"/>
    <w:rsid w:val="0080574F"/>
    <w:rsid w:val="008058FC"/>
    <w:rsid w:val="00805BA0"/>
    <w:rsid w:val="00805DA0"/>
    <w:rsid w:val="00805DD0"/>
    <w:rsid w:val="00805EB5"/>
    <w:rsid w:val="00805FA7"/>
    <w:rsid w:val="0080607F"/>
    <w:rsid w:val="00806262"/>
    <w:rsid w:val="00806275"/>
    <w:rsid w:val="00806392"/>
    <w:rsid w:val="0080663A"/>
    <w:rsid w:val="008066E5"/>
    <w:rsid w:val="00806BE2"/>
    <w:rsid w:val="00806D4B"/>
    <w:rsid w:val="00806D55"/>
    <w:rsid w:val="00806E48"/>
    <w:rsid w:val="00806FA9"/>
    <w:rsid w:val="008072A5"/>
    <w:rsid w:val="00807448"/>
    <w:rsid w:val="0080756F"/>
    <w:rsid w:val="008075E2"/>
    <w:rsid w:val="0080775D"/>
    <w:rsid w:val="008078D7"/>
    <w:rsid w:val="00807995"/>
    <w:rsid w:val="008079A2"/>
    <w:rsid w:val="00807C33"/>
    <w:rsid w:val="00807CE0"/>
    <w:rsid w:val="00807F0A"/>
    <w:rsid w:val="008101D2"/>
    <w:rsid w:val="00810310"/>
    <w:rsid w:val="00810491"/>
    <w:rsid w:val="008108B8"/>
    <w:rsid w:val="00810A21"/>
    <w:rsid w:val="00810AB9"/>
    <w:rsid w:val="00810C61"/>
    <w:rsid w:val="00810E89"/>
    <w:rsid w:val="00810F2C"/>
    <w:rsid w:val="00810FB2"/>
    <w:rsid w:val="00811117"/>
    <w:rsid w:val="0081138B"/>
    <w:rsid w:val="008115CC"/>
    <w:rsid w:val="008117E0"/>
    <w:rsid w:val="008119C5"/>
    <w:rsid w:val="008119EF"/>
    <w:rsid w:val="00811C41"/>
    <w:rsid w:val="00811E6A"/>
    <w:rsid w:val="0081201D"/>
    <w:rsid w:val="008121E0"/>
    <w:rsid w:val="008129DE"/>
    <w:rsid w:val="00812A8D"/>
    <w:rsid w:val="00812F3C"/>
    <w:rsid w:val="00812F52"/>
    <w:rsid w:val="00813071"/>
    <w:rsid w:val="0081344A"/>
    <w:rsid w:val="00813A71"/>
    <w:rsid w:val="00813AA3"/>
    <w:rsid w:val="00813AB6"/>
    <w:rsid w:val="00813FAC"/>
    <w:rsid w:val="0081411C"/>
    <w:rsid w:val="00814271"/>
    <w:rsid w:val="00814424"/>
    <w:rsid w:val="0081442C"/>
    <w:rsid w:val="00814434"/>
    <w:rsid w:val="0081460D"/>
    <w:rsid w:val="008148C2"/>
    <w:rsid w:val="00814A4E"/>
    <w:rsid w:val="00814AEA"/>
    <w:rsid w:val="00814B0E"/>
    <w:rsid w:val="00814BF7"/>
    <w:rsid w:val="00814CDD"/>
    <w:rsid w:val="00814E50"/>
    <w:rsid w:val="00814E81"/>
    <w:rsid w:val="00814EC9"/>
    <w:rsid w:val="00814FB7"/>
    <w:rsid w:val="00815093"/>
    <w:rsid w:val="008150F2"/>
    <w:rsid w:val="008152F7"/>
    <w:rsid w:val="008157AE"/>
    <w:rsid w:val="008158D8"/>
    <w:rsid w:val="00815A26"/>
    <w:rsid w:val="00815A8D"/>
    <w:rsid w:val="00815B1C"/>
    <w:rsid w:val="00815BD4"/>
    <w:rsid w:val="00815C72"/>
    <w:rsid w:val="00815D7D"/>
    <w:rsid w:val="00816105"/>
    <w:rsid w:val="00816328"/>
    <w:rsid w:val="0081649A"/>
    <w:rsid w:val="008165CF"/>
    <w:rsid w:val="00816755"/>
    <w:rsid w:val="0081688C"/>
    <w:rsid w:val="00816C63"/>
    <w:rsid w:val="00816D60"/>
    <w:rsid w:val="00816E6F"/>
    <w:rsid w:val="00816EEE"/>
    <w:rsid w:val="008170D2"/>
    <w:rsid w:val="00817165"/>
    <w:rsid w:val="00817394"/>
    <w:rsid w:val="008174F0"/>
    <w:rsid w:val="0081796E"/>
    <w:rsid w:val="00817A18"/>
    <w:rsid w:val="00817A52"/>
    <w:rsid w:val="00817AA7"/>
    <w:rsid w:val="00817CA0"/>
    <w:rsid w:val="00817CF1"/>
    <w:rsid w:val="00817D82"/>
    <w:rsid w:val="00817F09"/>
    <w:rsid w:val="008202BD"/>
    <w:rsid w:val="00820463"/>
    <w:rsid w:val="008204B8"/>
    <w:rsid w:val="0082069D"/>
    <w:rsid w:val="00820CF4"/>
    <w:rsid w:val="00820D4E"/>
    <w:rsid w:val="00820DA7"/>
    <w:rsid w:val="00820DE2"/>
    <w:rsid w:val="00820E11"/>
    <w:rsid w:val="00821187"/>
    <w:rsid w:val="008212E6"/>
    <w:rsid w:val="00821531"/>
    <w:rsid w:val="00821597"/>
    <w:rsid w:val="0082166E"/>
    <w:rsid w:val="00821BCF"/>
    <w:rsid w:val="00821F2A"/>
    <w:rsid w:val="00822027"/>
    <w:rsid w:val="00822030"/>
    <w:rsid w:val="00822342"/>
    <w:rsid w:val="00822454"/>
    <w:rsid w:val="008226EA"/>
    <w:rsid w:val="00822781"/>
    <w:rsid w:val="00822D6B"/>
    <w:rsid w:val="00822DC0"/>
    <w:rsid w:val="008230D8"/>
    <w:rsid w:val="00823121"/>
    <w:rsid w:val="00823273"/>
    <w:rsid w:val="008232F8"/>
    <w:rsid w:val="008235BD"/>
    <w:rsid w:val="00823822"/>
    <w:rsid w:val="00823871"/>
    <w:rsid w:val="00823C97"/>
    <w:rsid w:val="008243A8"/>
    <w:rsid w:val="008243AC"/>
    <w:rsid w:val="0082473D"/>
    <w:rsid w:val="00824873"/>
    <w:rsid w:val="0082488B"/>
    <w:rsid w:val="00824B3F"/>
    <w:rsid w:val="00824C2C"/>
    <w:rsid w:val="00824D90"/>
    <w:rsid w:val="00824DF7"/>
    <w:rsid w:val="00824F11"/>
    <w:rsid w:val="0082549A"/>
    <w:rsid w:val="008254FB"/>
    <w:rsid w:val="008255C8"/>
    <w:rsid w:val="00825661"/>
    <w:rsid w:val="00825911"/>
    <w:rsid w:val="00825920"/>
    <w:rsid w:val="00825B91"/>
    <w:rsid w:val="00825DBC"/>
    <w:rsid w:val="00825E5A"/>
    <w:rsid w:val="0082624C"/>
    <w:rsid w:val="00826507"/>
    <w:rsid w:val="00826831"/>
    <w:rsid w:val="008268DF"/>
    <w:rsid w:val="00826964"/>
    <w:rsid w:val="00826B37"/>
    <w:rsid w:val="00826DCD"/>
    <w:rsid w:val="00826F12"/>
    <w:rsid w:val="00827239"/>
    <w:rsid w:val="008273EA"/>
    <w:rsid w:val="008275BB"/>
    <w:rsid w:val="0082760D"/>
    <w:rsid w:val="00827942"/>
    <w:rsid w:val="00827A85"/>
    <w:rsid w:val="00830371"/>
    <w:rsid w:val="00830941"/>
    <w:rsid w:val="0083098F"/>
    <w:rsid w:val="00830A48"/>
    <w:rsid w:val="00830E96"/>
    <w:rsid w:val="008310A7"/>
    <w:rsid w:val="00831467"/>
    <w:rsid w:val="00831960"/>
    <w:rsid w:val="008319FF"/>
    <w:rsid w:val="00831C9E"/>
    <w:rsid w:val="00831FF2"/>
    <w:rsid w:val="00831FF6"/>
    <w:rsid w:val="008320EA"/>
    <w:rsid w:val="008325A4"/>
    <w:rsid w:val="00832957"/>
    <w:rsid w:val="00832AE7"/>
    <w:rsid w:val="00832B6D"/>
    <w:rsid w:val="00832B96"/>
    <w:rsid w:val="00832E61"/>
    <w:rsid w:val="00832E96"/>
    <w:rsid w:val="00832F9C"/>
    <w:rsid w:val="00832FCC"/>
    <w:rsid w:val="008330AB"/>
    <w:rsid w:val="008330FE"/>
    <w:rsid w:val="008332EC"/>
    <w:rsid w:val="00833781"/>
    <w:rsid w:val="00833A67"/>
    <w:rsid w:val="00833B8F"/>
    <w:rsid w:val="00833BA9"/>
    <w:rsid w:val="00833F89"/>
    <w:rsid w:val="008342AB"/>
    <w:rsid w:val="008343A3"/>
    <w:rsid w:val="008343BF"/>
    <w:rsid w:val="008348F5"/>
    <w:rsid w:val="00834BCF"/>
    <w:rsid w:val="00834FEB"/>
    <w:rsid w:val="00835263"/>
    <w:rsid w:val="00835354"/>
    <w:rsid w:val="0083578C"/>
    <w:rsid w:val="00835847"/>
    <w:rsid w:val="00835AD7"/>
    <w:rsid w:val="00835DA2"/>
    <w:rsid w:val="00835DCC"/>
    <w:rsid w:val="00835EF6"/>
    <w:rsid w:val="00836171"/>
    <w:rsid w:val="008366D9"/>
    <w:rsid w:val="0083677C"/>
    <w:rsid w:val="008367B7"/>
    <w:rsid w:val="00836EBD"/>
    <w:rsid w:val="0083704C"/>
    <w:rsid w:val="0083716A"/>
    <w:rsid w:val="00837252"/>
    <w:rsid w:val="00837442"/>
    <w:rsid w:val="00837B3C"/>
    <w:rsid w:val="00837C8D"/>
    <w:rsid w:val="00837D10"/>
    <w:rsid w:val="00837EFC"/>
    <w:rsid w:val="00840020"/>
    <w:rsid w:val="00840080"/>
    <w:rsid w:val="0084036E"/>
    <w:rsid w:val="008406AA"/>
    <w:rsid w:val="008408F9"/>
    <w:rsid w:val="00840B85"/>
    <w:rsid w:val="00840C70"/>
    <w:rsid w:val="00840C8A"/>
    <w:rsid w:val="008411A3"/>
    <w:rsid w:val="008411FD"/>
    <w:rsid w:val="00841368"/>
    <w:rsid w:val="0084136D"/>
    <w:rsid w:val="008414E8"/>
    <w:rsid w:val="00841577"/>
    <w:rsid w:val="00841587"/>
    <w:rsid w:val="008418FC"/>
    <w:rsid w:val="00841925"/>
    <w:rsid w:val="00842019"/>
    <w:rsid w:val="00842090"/>
    <w:rsid w:val="00842292"/>
    <w:rsid w:val="008425D2"/>
    <w:rsid w:val="008426F7"/>
    <w:rsid w:val="0084286E"/>
    <w:rsid w:val="00842997"/>
    <w:rsid w:val="00842C5B"/>
    <w:rsid w:val="00842E59"/>
    <w:rsid w:val="00842F5B"/>
    <w:rsid w:val="00842FBA"/>
    <w:rsid w:val="00843001"/>
    <w:rsid w:val="008431A4"/>
    <w:rsid w:val="008431C3"/>
    <w:rsid w:val="008432D7"/>
    <w:rsid w:val="00843676"/>
    <w:rsid w:val="008436B4"/>
    <w:rsid w:val="00843776"/>
    <w:rsid w:val="008439F1"/>
    <w:rsid w:val="00843A58"/>
    <w:rsid w:val="00843B3A"/>
    <w:rsid w:val="00843B85"/>
    <w:rsid w:val="00843D45"/>
    <w:rsid w:val="00843F99"/>
    <w:rsid w:val="00844147"/>
    <w:rsid w:val="00844341"/>
    <w:rsid w:val="0084449D"/>
    <w:rsid w:val="008444BB"/>
    <w:rsid w:val="00844563"/>
    <w:rsid w:val="008446A4"/>
    <w:rsid w:val="008449E1"/>
    <w:rsid w:val="00844B66"/>
    <w:rsid w:val="00844DB5"/>
    <w:rsid w:val="00844DBF"/>
    <w:rsid w:val="00844DF2"/>
    <w:rsid w:val="00844EC3"/>
    <w:rsid w:val="00845003"/>
    <w:rsid w:val="008451EE"/>
    <w:rsid w:val="008452BF"/>
    <w:rsid w:val="0084575F"/>
    <w:rsid w:val="008461A4"/>
    <w:rsid w:val="00846204"/>
    <w:rsid w:val="00846205"/>
    <w:rsid w:val="00846278"/>
    <w:rsid w:val="0084643A"/>
    <w:rsid w:val="00846643"/>
    <w:rsid w:val="0084664E"/>
    <w:rsid w:val="008466EE"/>
    <w:rsid w:val="0084675F"/>
    <w:rsid w:val="00846800"/>
    <w:rsid w:val="0084696C"/>
    <w:rsid w:val="00846BD1"/>
    <w:rsid w:val="00846D73"/>
    <w:rsid w:val="0084708D"/>
    <w:rsid w:val="00847093"/>
    <w:rsid w:val="0084709D"/>
    <w:rsid w:val="008473F0"/>
    <w:rsid w:val="008474AB"/>
    <w:rsid w:val="00847514"/>
    <w:rsid w:val="008475C4"/>
    <w:rsid w:val="008478C5"/>
    <w:rsid w:val="00847C7F"/>
    <w:rsid w:val="00847D7F"/>
    <w:rsid w:val="00847DBD"/>
    <w:rsid w:val="0085007E"/>
    <w:rsid w:val="008504FD"/>
    <w:rsid w:val="00850725"/>
    <w:rsid w:val="00850777"/>
    <w:rsid w:val="00850851"/>
    <w:rsid w:val="008508FA"/>
    <w:rsid w:val="008509BB"/>
    <w:rsid w:val="00850BAE"/>
    <w:rsid w:val="008512C4"/>
    <w:rsid w:val="008514B9"/>
    <w:rsid w:val="00851591"/>
    <w:rsid w:val="008515E0"/>
    <w:rsid w:val="00851C4D"/>
    <w:rsid w:val="00851C62"/>
    <w:rsid w:val="00851DC7"/>
    <w:rsid w:val="00851E14"/>
    <w:rsid w:val="00851E82"/>
    <w:rsid w:val="00851EA7"/>
    <w:rsid w:val="00851FAA"/>
    <w:rsid w:val="0085213B"/>
    <w:rsid w:val="00852357"/>
    <w:rsid w:val="00852510"/>
    <w:rsid w:val="008528C6"/>
    <w:rsid w:val="00852A95"/>
    <w:rsid w:val="00852B38"/>
    <w:rsid w:val="00852B5A"/>
    <w:rsid w:val="00852F2F"/>
    <w:rsid w:val="00853004"/>
    <w:rsid w:val="00853082"/>
    <w:rsid w:val="0085312D"/>
    <w:rsid w:val="00853183"/>
    <w:rsid w:val="008531D3"/>
    <w:rsid w:val="0085339D"/>
    <w:rsid w:val="0085374E"/>
    <w:rsid w:val="00853ABA"/>
    <w:rsid w:val="00853FD2"/>
    <w:rsid w:val="008541C8"/>
    <w:rsid w:val="0085421A"/>
    <w:rsid w:val="00854419"/>
    <w:rsid w:val="008549C6"/>
    <w:rsid w:val="00854E76"/>
    <w:rsid w:val="00854EC4"/>
    <w:rsid w:val="00854ED9"/>
    <w:rsid w:val="00854F07"/>
    <w:rsid w:val="00855229"/>
    <w:rsid w:val="00855562"/>
    <w:rsid w:val="0085568F"/>
    <w:rsid w:val="0085578B"/>
    <w:rsid w:val="0085599F"/>
    <w:rsid w:val="00855BD3"/>
    <w:rsid w:val="00855C4F"/>
    <w:rsid w:val="00855D78"/>
    <w:rsid w:val="00855DED"/>
    <w:rsid w:val="00855FBA"/>
    <w:rsid w:val="00855FF0"/>
    <w:rsid w:val="0085627F"/>
    <w:rsid w:val="008562E1"/>
    <w:rsid w:val="008563A2"/>
    <w:rsid w:val="008564A4"/>
    <w:rsid w:val="00856619"/>
    <w:rsid w:val="008566A4"/>
    <w:rsid w:val="008566B0"/>
    <w:rsid w:val="00856901"/>
    <w:rsid w:val="0085694A"/>
    <w:rsid w:val="008569FE"/>
    <w:rsid w:val="00856C9C"/>
    <w:rsid w:val="00856D9B"/>
    <w:rsid w:val="00856DF1"/>
    <w:rsid w:val="00857289"/>
    <w:rsid w:val="008572D0"/>
    <w:rsid w:val="008575F6"/>
    <w:rsid w:val="008577E2"/>
    <w:rsid w:val="0085788F"/>
    <w:rsid w:val="00857990"/>
    <w:rsid w:val="00857A2E"/>
    <w:rsid w:val="00857BBA"/>
    <w:rsid w:val="00857C42"/>
    <w:rsid w:val="00857D2F"/>
    <w:rsid w:val="00857DA1"/>
    <w:rsid w:val="00860219"/>
    <w:rsid w:val="00860465"/>
    <w:rsid w:val="00860642"/>
    <w:rsid w:val="00860754"/>
    <w:rsid w:val="008607E6"/>
    <w:rsid w:val="00860AA5"/>
    <w:rsid w:val="00860AEC"/>
    <w:rsid w:val="00860DBB"/>
    <w:rsid w:val="008610E2"/>
    <w:rsid w:val="008613B7"/>
    <w:rsid w:val="008613CF"/>
    <w:rsid w:val="00861414"/>
    <w:rsid w:val="00861429"/>
    <w:rsid w:val="00861541"/>
    <w:rsid w:val="0086179E"/>
    <w:rsid w:val="008617C5"/>
    <w:rsid w:val="00861CC3"/>
    <w:rsid w:val="00861CC5"/>
    <w:rsid w:val="00861CF9"/>
    <w:rsid w:val="00861F8B"/>
    <w:rsid w:val="00862006"/>
    <w:rsid w:val="0086227B"/>
    <w:rsid w:val="008626A9"/>
    <w:rsid w:val="008627E9"/>
    <w:rsid w:val="00862801"/>
    <w:rsid w:val="008629F0"/>
    <w:rsid w:val="00862AE0"/>
    <w:rsid w:val="00862CA9"/>
    <w:rsid w:val="00862EF8"/>
    <w:rsid w:val="00863222"/>
    <w:rsid w:val="00863466"/>
    <w:rsid w:val="008635C6"/>
    <w:rsid w:val="00863602"/>
    <w:rsid w:val="00863646"/>
    <w:rsid w:val="00863CEE"/>
    <w:rsid w:val="00863F99"/>
    <w:rsid w:val="0086402F"/>
    <w:rsid w:val="00864568"/>
    <w:rsid w:val="008646E8"/>
    <w:rsid w:val="00864B86"/>
    <w:rsid w:val="00864BEA"/>
    <w:rsid w:val="00864E56"/>
    <w:rsid w:val="00864F17"/>
    <w:rsid w:val="00865070"/>
    <w:rsid w:val="0086512B"/>
    <w:rsid w:val="008652A8"/>
    <w:rsid w:val="008652A9"/>
    <w:rsid w:val="00865493"/>
    <w:rsid w:val="00865782"/>
    <w:rsid w:val="00865843"/>
    <w:rsid w:val="00865D97"/>
    <w:rsid w:val="00865DC0"/>
    <w:rsid w:val="00866296"/>
    <w:rsid w:val="00866589"/>
    <w:rsid w:val="00866760"/>
    <w:rsid w:val="0086691C"/>
    <w:rsid w:val="00866A45"/>
    <w:rsid w:val="00866A5A"/>
    <w:rsid w:val="00866A91"/>
    <w:rsid w:val="00866B28"/>
    <w:rsid w:val="00866C41"/>
    <w:rsid w:val="00866C90"/>
    <w:rsid w:val="00866CD7"/>
    <w:rsid w:val="00866D35"/>
    <w:rsid w:val="00866D94"/>
    <w:rsid w:val="0086717C"/>
    <w:rsid w:val="00867187"/>
    <w:rsid w:val="00867C5C"/>
    <w:rsid w:val="00867E73"/>
    <w:rsid w:val="008700EE"/>
    <w:rsid w:val="00870177"/>
    <w:rsid w:val="0087032F"/>
    <w:rsid w:val="00870438"/>
    <w:rsid w:val="008705B3"/>
    <w:rsid w:val="0087079B"/>
    <w:rsid w:val="00870D03"/>
    <w:rsid w:val="00870F1D"/>
    <w:rsid w:val="008711F1"/>
    <w:rsid w:val="0087120A"/>
    <w:rsid w:val="00871361"/>
    <w:rsid w:val="00871659"/>
    <w:rsid w:val="00871662"/>
    <w:rsid w:val="008717C4"/>
    <w:rsid w:val="00871B92"/>
    <w:rsid w:val="00871D25"/>
    <w:rsid w:val="00871E69"/>
    <w:rsid w:val="0087235F"/>
    <w:rsid w:val="0087286B"/>
    <w:rsid w:val="00872A0E"/>
    <w:rsid w:val="00872B01"/>
    <w:rsid w:val="00872B04"/>
    <w:rsid w:val="00872DB8"/>
    <w:rsid w:val="00872DBB"/>
    <w:rsid w:val="00872DEA"/>
    <w:rsid w:val="00872E4C"/>
    <w:rsid w:val="008733A7"/>
    <w:rsid w:val="008734F9"/>
    <w:rsid w:val="008737F8"/>
    <w:rsid w:val="0087392D"/>
    <w:rsid w:val="00873A94"/>
    <w:rsid w:val="00873AE6"/>
    <w:rsid w:val="008740D1"/>
    <w:rsid w:val="008741A6"/>
    <w:rsid w:val="008741FC"/>
    <w:rsid w:val="0087442F"/>
    <w:rsid w:val="008746DE"/>
    <w:rsid w:val="008749FF"/>
    <w:rsid w:val="00874DC9"/>
    <w:rsid w:val="00875010"/>
    <w:rsid w:val="00875093"/>
    <w:rsid w:val="008751BF"/>
    <w:rsid w:val="00875416"/>
    <w:rsid w:val="008755A1"/>
    <w:rsid w:val="0087564D"/>
    <w:rsid w:val="0087580C"/>
    <w:rsid w:val="0087596A"/>
    <w:rsid w:val="00875AF5"/>
    <w:rsid w:val="00875C2F"/>
    <w:rsid w:val="00875D89"/>
    <w:rsid w:val="00875E49"/>
    <w:rsid w:val="00876303"/>
    <w:rsid w:val="00876389"/>
    <w:rsid w:val="00876425"/>
    <w:rsid w:val="00876612"/>
    <w:rsid w:val="00876850"/>
    <w:rsid w:val="00876BFC"/>
    <w:rsid w:val="00876E82"/>
    <w:rsid w:val="00877030"/>
    <w:rsid w:val="008770B3"/>
    <w:rsid w:val="00877411"/>
    <w:rsid w:val="00877585"/>
    <w:rsid w:val="008777C7"/>
    <w:rsid w:val="00877944"/>
    <w:rsid w:val="00877985"/>
    <w:rsid w:val="00877A53"/>
    <w:rsid w:val="00877CF1"/>
    <w:rsid w:val="00877DAF"/>
    <w:rsid w:val="00877E3C"/>
    <w:rsid w:val="00877F03"/>
    <w:rsid w:val="0088046B"/>
    <w:rsid w:val="00880505"/>
    <w:rsid w:val="00880691"/>
    <w:rsid w:val="00880A9D"/>
    <w:rsid w:val="00880FD6"/>
    <w:rsid w:val="008810AB"/>
    <w:rsid w:val="008810BE"/>
    <w:rsid w:val="00881159"/>
    <w:rsid w:val="00881547"/>
    <w:rsid w:val="00881802"/>
    <w:rsid w:val="0088194B"/>
    <w:rsid w:val="00881BCB"/>
    <w:rsid w:val="00881EBD"/>
    <w:rsid w:val="008823C8"/>
    <w:rsid w:val="00882493"/>
    <w:rsid w:val="008824B2"/>
    <w:rsid w:val="008829A6"/>
    <w:rsid w:val="00882A37"/>
    <w:rsid w:val="00882BB2"/>
    <w:rsid w:val="00882C40"/>
    <w:rsid w:val="00882D42"/>
    <w:rsid w:val="00883375"/>
    <w:rsid w:val="00883438"/>
    <w:rsid w:val="00883557"/>
    <w:rsid w:val="00883843"/>
    <w:rsid w:val="008839EC"/>
    <w:rsid w:val="00883BEF"/>
    <w:rsid w:val="00883CC6"/>
    <w:rsid w:val="00883CF9"/>
    <w:rsid w:val="00884199"/>
    <w:rsid w:val="008843C4"/>
    <w:rsid w:val="008849B4"/>
    <w:rsid w:val="00884B74"/>
    <w:rsid w:val="00884C06"/>
    <w:rsid w:val="00884CD1"/>
    <w:rsid w:val="008850CC"/>
    <w:rsid w:val="0088514D"/>
    <w:rsid w:val="00885177"/>
    <w:rsid w:val="00885222"/>
    <w:rsid w:val="008854D1"/>
    <w:rsid w:val="0088551E"/>
    <w:rsid w:val="00885530"/>
    <w:rsid w:val="008855FF"/>
    <w:rsid w:val="00885810"/>
    <w:rsid w:val="008858D1"/>
    <w:rsid w:val="008858E0"/>
    <w:rsid w:val="00885E69"/>
    <w:rsid w:val="00886301"/>
    <w:rsid w:val="0088649F"/>
    <w:rsid w:val="008864D9"/>
    <w:rsid w:val="00886973"/>
    <w:rsid w:val="00886BEE"/>
    <w:rsid w:val="0088719E"/>
    <w:rsid w:val="008872DE"/>
    <w:rsid w:val="008873EB"/>
    <w:rsid w:val="008874D5"/>
    <w:rsid w:val="008875C3"/>
    <w:rsid w:val="00887697"/>
    <w:rsid w:val="00887A03"/>
    <w:rsid w:val="00890376"/>
    <w:rsid w:val="008904AB"/>
    <w:rsid w:val="008904C7"/>
    <w:rsid w:val="008907C8"/>
    <w:rsid w:val="00890810"/>
    <w:rsid w:val="00890BF5"/>
    <w:rsid w:val="00890DAC"/>
    <w:rsid w:val="00890E93"/>
    <w:rsid w:val="00890FDC"/>
    <w:rsid w:val="008911C1"/>
    <w:rsid w:val="0089121A"/>
    <w:rsid w:val="00891313"/>
    <w:rsid w:val="008914E0"/>
    <w:rsid w:val="00891833"/>
    <w:rsid w:val="008923CE"/>
    <w:rsid w:val="00892562"/>
    <w:rsid w:val="008927CB"/>
    <w:rsid w:val="008927F5"/>
    <w:rsid w:val="00892E43"/>
    <w:rsid w:val="00893004"/>
    <w:rsid w:val="0089302A"/>
    <w:rsid w:val="008931CB"/>
    <w:rsid w:val="00893365"/>
    <w:rsid w:val="008933D2"/>
    <w:rsid w:val="008934C1"/>
    <w:rsid w:val="00893BAF"/>
    <w:rsid w:val="00894001"/>
    <w:rsid w:val="0089430D"/>
    <w:rsid w:val="008946AF"/>
    <w:rsid w:val="00894720"/>
    <w:rsid w:val="00894A0A"/>
    <w:rsid w:val="00894C73"/>
    <w:rsid w:val="00894C80"/>
    <w:rsid w:val="00894DDA"/>
    <w:rsid w:val="00894DE9"/>
    <w:rsid w:val="008953EC"/>
    <w:rsid w:val="0089540A"/>
    <w:rsid w:val="00895419"/>
    <w:rsid w:val="008955F3"/>
    <w:rsid w:val="008956CB"/>
    <w:rsid w:val="008956FF"/>
    <w:rsid w:val="0089573E"/>
    <w:rsid w:val="00895A4C"/>
    <w:rsid w:val="00895D0C"/>
    <w:rsid w:val="00895DC8"/>
    <w:rsid w:val="00896287"/>
    <w:rsid w:val="0089652A"/>
    <w:rsid w:val="008965F5"/>
    <w:rsid w:val="008966C6"/>
    <w:rsid w:val="00896982"/>
    <w:rsid w:val="0089698C"/>
    <w:rsid w:val="00896BF2"/>
    <w:rsid w:val="00896D2C"/>
    <w:rsid w:val="00896D9C"/>
    <w:rsid w:val="00897208"/>
    <w:rsid w:val="00897302"/>
    <w:rsid w:val="008974C7"/>
    <w:rsid w:val="0089763C"/>
    <w:rsid w:val="00897803"/>
    <w:rsid w:val="00897A35"/>
    <w:rsid w:val="00897A6F"/>
    <w:rsid w:val="00897C1C"/>
    <w:rsid w:val="00897C36"/>
    <w:rsid w:val="00897EB4"/>
    <w:rsid w:val="00897F1B"/>
    <w:rsid w:val="008A0132"/>
    <w:rsid w:val="008A0274"/>
    <w:rsid w:val="008A0412"/>
    <w:rsid w:val="008A04C5"/>
    <w:rsid w:val="008A04FB"/>
    <w:rsid w:val="008A0501"/>
    <w:rsid w:val="008A0552"/>
    <w:rsid w:val="008A09ED"/>
    <w:rsid w:val="008A0B98"/>
    <w:rsid w:val="008A0C0A"/>
    <w:rsid w:val="008A0D97"/>
    <w:rsid w:val="008A0DF3"/>
    <w:rsid w:val="008A0DFC"/>
    <w:rsid w:val="008A0F7E"/>
    <w:rsid w:val="008A1375"/>
    <w:rsid w:val="008A1487"/>
    <w:rsid w:val="008A1D27"/>
    <w:rsid w:val="008A1D9B"/>
    <w:rsid w:val="008A1E05"/>
    <w:rsid w:val="008A23BE"/>
    <w:rsid w:val="008A2677"/>
    <w:rsid w:val="008A290A"/>
    <w:rsid w:val="008A2A6D"/>
    <w:rsid w:val="008A2BF2"/>
    <w:rsid w:val="008A2DF6"/>
    <w:rsid w:val="008A2E7A"/>
    <w:rsid w:val="008A3064"/>
    <w:rsid w:val="008A33E4"/>
    <w:rsid w:val="008A34A7"/>
    <w:rsid w:val="008A34EE"/>
    <w:rsid w:val="008A3726"/>
    <w:rsid w:val="008A38FC"/>
    <w:rsid w:val="008A40F1"/>
    <w:rsid w:val="008A4147"/>
    <w:rsid w:val="008A419B"/>
    <w:rsid w:val="008A4443"/>
    <w:rsid w:val="008A4651"/>
    <w:rsid w:val="008A47CB"/>
    <w:rsid w:val="008A48C9"/>
    <w:rsid w:val="008A4B7E"/>
    <w:rsid w:val="008A4E6D"/>
    <w:rsid w:val="008A5229"/>
    <w:rsid w:val="008A532D"/>
    <w:rsid w:val="008A546B"/>
    <w:rsid w:val="008A59AC"/>
    <w:rsid w:val="008A59C1"/>
    <w:rsid w:val="008A59FE"/>
    <w:rsid w:val="008A5E1F"/>
    <w:rsid w:val="008A5E23"/>
    <w:rsid w:val="008A5E88"/>
    <w:rsid w:val="008A5F65"/>
    <w:rsid w:val="008A602E"/>
    <w:rsid w:val="008A631C"/>
    <w:rsid w:val="008A64DB"/>
    <w:rsid w:val="008A6767"/>
    <w:rsid w:val="008A681A"/>
    <w:rsid w:val="008A6B9F"/>
    <w:rsid w:val="008A6D94"/>
    <w:rsid w:val="008A6F32"/>
    <w:rsid w:val="008A709D"/>
    <w:rsid w:val="008A741A"/>
    <w:rsid w:val="008A7688"/>
    <w:rsid w:val="008A77AA"/>
    <w:rsid w:val="008A7B6F"/>
    <w:rsid w:val="008A7BCA"/>
    <w:rsid w:val="008A7CD7"/>
    <w:rsid w:val="008A7D01"/>
    <w:rsid w:val="008A7F70"/>
    <w:rsid w:val="008B013C"/>
    <w:rsid w:val="008B0167"/>
    <w:rsid w:val="008B0404"/>
    <w:rsid w:val="008B04D8"/>
    <w:rsid w:val="008B0528"/>
    <w:rsid w:val="008B08DF"/>
    <w:rsid w:val="008B0EE7"/>
    <w:rsid w:val="008B1131"/>
    <w:rsid w:val="008B157D"/>
    <w:rsid w:val="008B1653"/>
    <w:rsid w:val="008B169D"/>
    <w:rsid w:val="008B1862"/>
    <w:rsid w:val="008B1CAD"/>
    <w:rsid w:val="008B1E3E"/>
    <w:rsid w:val="008B1F11"/>
    <w:rsid w:val="008B2283"/>
    <w:rsid w:val="008B2371"/>
    <w:rsid w:val="008B2384"/>
    <w:rsid w:val="008B24AB"/>
    <w:rsid w:val="008B24F5"/>
    <w:rsid w:val="008B271F"/>
    <w:rsid w:val="008B2807"/>
    <w:rsid w:val="008B296D"/>
    <w:rsid w:val="008B29BA"/>
    <w:rsid w:val="008B2B47"/>
    <w:rsid w:val="008B2E5F"/>
    <w:rsid w:val="008B2F07"/>
    <w:rsid w:val="008B31ED"/>
    <w:rsid w:val="008B3214"/>
    <w:rsid w:val="008B3259"/>
    <w:rsid w:val="008B36B9"/>
    <w:rsid w:val="008B3F4E"/>
    <w:rsid w:val="008B3F73"/>
    <w:rsid w:val="008B4518"/>
    <w:rsid w:val="008B45E9"/>
    <w:rsid w:val="008B4615"/>
    <w:rsid w:val="008B4672"/>
    <w:rsid w:val="008B4848"/>
    <w:rsid w:val="008B49BE"/>
    <w:rsid w:val="008B4ACF"/>
    <w:rsid w:val="008B4E0D"/>
    <w:rsid w:val="008B5562"/>
    <w:rsid w:val="008B5914"/>
    <w:rsid w:val="008B5A28"/>
    <w:rsid w:val="008B5A9D"/>
    <w:rsid w:val="008B5AA2"/>
    <w:rsid w:val="008B5C3A"/>
    <w:rsid w:val="008B5E50"/>
    <w:rsid w:val="008B5FC9"/>
    <w:rsid w:val="008B64DE"/>
    <w:rsid w:val="008B64F3"/>
    <w:rsid w:val="008B66F1"/>
    <w:rsid w:val="008B6731"/>
    <w:rsid w:val="008B69DC"/>
    <w:rsid w:val="008B6A14"/>
    <w:rsid w:val="008B6ED1"/>
    <w:rsid w:val="008B6F2B"/>
    <w:rsid w:val="008B7327"/>
    <w:rsid w:val="008B73C2"/>
    <w:rsid w:val="008B73D9"/>
    <w:rsid w:val="008B750A"/>
    <w:rsid w:val="008B76E4"/>
    <w:rsid w:val="008B77B9"/>
    <w:rsid w:val="008B79AE"/>
    <w:rsid w:val="008B7A7E"/>
    <w:rsid w:val="008B7CEF"/>
    <w:rsid w:val="008B7D18"/>
    <w:rsid w:val="008B7F75"/>
    <w:rsid w:val="008C007D"/>
    <w:rsid w:val="008C01A6"/>
    <w:rsid w:val="008C03B6"/>
    <w:rsid w:val="008C0A9F"/>
    <w:rsid w:val="008C0F01"/>
    <w:rsid w:val="008C0FA6"/>
    <w:rsid w:val="008C1101"/>
    <w:rsid w:val="008C1124"/>
    <w:rsid w:val="008C1BE7"/>
    <w:rsid w:val="008C1BEC"/>
    <w:rsid w:val="008C1D0C"/>
    <w:rsid w:val="008C1E5A"/>
    <w:rsid w:val="008C1E5C"/>
    <w:rsid w:val="008C1EF7"/>
    <w:rsid w:val="008C1FA2"/>
    <w:rsid w:val="008C1FAB"/>
    <w:rsid w:val="008C1FEC"/>
    <w:rsid w:val="008C21DB"/>
    <w:rsid w:val="008C2425"/>
    <w:rsid w:val="008C2533"/>
    <w:rsid w:val="008C281A"/>
    <w:rsid w:val="008C2911"/>
    <w:rsid w:val="008C2AF8"/>
    <w:rsid w:val="008C2B62"/>
    <w:rsid w:val="008C2F37"/>
    <w:rsid w:val="008C2F51"/>
    <w:rsid w:val="008C2F66"/>
    <w:rsid w:val="008C2FD7"/>
    <w:rsid w:val="008C2FEE"/>
    <w:rsid w:val="008C3364"/>
    <w:rsid w:val="008C34A5"/>
    <w:rsid w:val="008C359F"/>
    <w:rsid w:val="008C3761"/>
    <w:rsid w:val="008C3846"/>
    <w:rsid w:val="008C3BC1"/>
    <w:rsid w:val="008C3CB8"/>
    <w:rsid w:val="008C3D0E"/>
    <w:rsid w:val="008C3D36"/>
    <w:rsid w:val="008C3F33"/>
    <w:rsid w:val="008C3FBF"/>
    <w:rsid w:val="008C44A6"/>
    <w:rsid w:val="008C4712"/>
    <w:rsid w:val="008C498C"/>
    <w:rsid w:val="008C4D27"/>
    <w:rsid w:val="008C4EE3"/>
    <w:rsid w:val="008C500D"/>
    <w:rsid w:val="008C5162"/>
    <w:rsid w:val="008C5281"/>
    <w:rsid w:val="008C5415"/>
    <w:rsid w:val="008C5B8A"/>
    <w:rsid w:val="008C641D"/>
    <w:rsid w:val="008C6618"/>
    <w:rsid w:val="008C6677"/>
    <w:rsid w:val="008C6742"/>
    <w:rsid w:val="008C679F"/>
    <w:rsid w:val="008C6B46"/>
    <w:rsid w:val="008C6D75"/>
    <w:rsid w:val="008C6DF2"/>
    <w:rsid w:val="008C6E85"/>
    <w:rsid w:val="008C701E"/>
    <w:rsid w:val="008C7079"/>
    <w:rsid w:val="008C7133"/>
    <w:rsid w:val="008C7323"/>
    <w:rsid w:val="008C7387"/>
    <w:rsid w:val="008C742A"/>
    <w:rsid w:val="008C7472"/>
    <w:rsid w:val="008C747A"/>
    <w:rsid w:val="008C7941"/>
    <w:rsid w:val="008C79EB"/>
    <w:rsid w:val="008C7BC1"/>
    <w:rsid w:val="008C7CC1"/>
    <w:rsid w:val="008D008E"/>
    <w:rsid w:val="008D02A3"/>
    <w:rsid w:val="008D0481"/>
    <w:rsid w:val="008D04FD"/>
    <w:rsid w:val="008D05CF"/>
    <w:rsid w:val="008D05F8"/>
    <w:rsid w:val="008D0811"/>
    <w:rsid w:val="008D0E1F"/>
    <w:rsid w:val="008D11EA"/>
    <w:rsid w:val="008D1242"/>
    <w:rsid w:val="008D1374"/>
    <w:rsid w:val="008D1695"/>
    <w:rsid w:val="008D1855"/>
    <w:rsid w:val="008D1AAB"/>
    <w:rsid w:val="008D1B66"/>
    <w:rsid w:val="008D1C19"/>
    <w:rsid w:val="008D22EC"/>
    <w:rsid w:val="008D25E9"/>
    <w:rsid w:val="008D2677"/>
    <w:rsid w:val="008D26BA"/>
    <w:rsid w:val="008D2A77"/>
    <w:rsid w:val="008D3190"/>
    <w:rsid w:val="008D37CD"/>
    <w:rsid w:val="008D3847"/>
    <w:rsid w:val="008D39D0"/>
    <w:rsid w:val="008D3CA1"/>
    <w:rsid w:val="008D3FEA"/>
    <w:rsid w:val="008D41BA"/>
    <w:rsid w:val="008D4292"/>
    <w:rsid w:val="008D42A2"/>
    <w:rsid w:val="008D4568"/>
    <w:rsid w:val="008D45FD"/>
    <w:rsid w:val="008D468B"/>
    <w:rsid w:val="008D46BF"/>
    <w:rsid w:val="008D48F5"/>
    <w:rsid w:val="008D4A11"/>
    <w:rsid w:val="008D4BFC"/>
    <w:rsid w:val="008D4ECD"/>
    <w:rsid w:val="008D5143"/>
    <w:rsid w:val="008D5201"/>
    <w:rsid w:val="008D56BE"/>
    <w:rsid w:val="008D59E7"/>
    <w:rsid w:val="008D5AFB"/>
    <w:rsid w:val="008D5B00"/>
    <w:rsid w:val="008D5BA2"/>
    <w:rsid w:val="008D5C2A"/>
    <w:rsid w:val="008D5D91"/>
    <w:rsid w:val="008D5E44"/>
    <w:rsid w:val="008D5F23"/>
    <w:rsid w:val="008D5F85"/>
    <w:rsid w:val="008D61E0"/>
    <w:rsid w:val="008D633B"/>
    <w:rsid w:val="008D644D"/>
    <w:rsid w:val="008D6711"/>
    <w:rsid w:val="008D6948"/>
    <w:rsid w:val="008D6969"/>
    <w:rsid w:val="008D6A09"/>
    <w:rsid w:val="008D6CA1"/>
    <w:rsid w:val="008D7000"/>
    <w:rsid w:val="008D70E0"/>
    <w:rsid w:val="008D7397"/>
    <w:rsid w:val="008D73A8"/>
    <w:rsid w:val="008D7693"/>
    <w:rsid w:val="008D7D3A"/>
    <w:rsid w:val="008D7D41"/>
    <w:rsid w:val="008D7D92"/>
    <w:rsid w:val="008E0361"/>
    <w:rsid w:val="008E07BF"/>
    <w:rsid w:val="008E07D8"/>
    <w:rsid w:val="008E085B"/>
    <w:rsid w:val="008E089E"/>
    <w:rsid w:val="008E08F0"/>
    <w:rsid w:val="008E0933"/>
    <w:rsid w:val="008E0C93"/>
    <w:rsid w:val="008E0D1D"/>
    <w:rsid w:val="008E0E1E"/>
    <w:rsid w:val="008E0F6E"/>
    <w:rsid w:val="008E1159"/>
    <w:rsid w:val="008E121C"/>
    <w:rsid w:val="008E1567"/>
    <w:rsid w:val="008E16F1"/>
    <w:rsid w:val="008E1771"/>
    <w:rsid w:val="008E17D8"/>
    <w:rsid w:val="008E18D3"/>
    <w:rsid w:val="008E1927"/>
    <w:rsid w:val="008E1A7B"/>
    <w:rsid w:val="008E1E65"/>
    <w:rsid w:val="008E2199"/>
    <w:rsid w:val="008E27DD"/>
    <w:rsid w:val="008E27E9"/>
    <w:rsid w:val="008E2C70"/>
    <w:rsid w:val="008E2D38"/>
    <w:rsid w:val="008E31C2"/>
    <w:rsid w:val="008E3213"/>
    <w:rsid w:val="008E3346"/>
    <w:rsid w:val="008E354D"/>
    <w:rsid w:val="008E36E2"/>
    <w:rsid w:val="008E37DE"/>
    <w:rsid w:val="008E3BE0"/>
    <w:rsid w:val="008E3BE8"/>
    <w:rsid w:val="008E3E35"/>
    <w:rsid w:val="008E402A"/>
    <w:rsid w:val="008E40AF"/>
    <w:rsid w:val="008E4138"/>
    <w:rsid w:val="008E41CF"/>
    <w:rsid w:val="008E422C"/>
    <w:rsid w:val="008E449C"/>
    <w:rsid w:val="008E4579"/>
    <w:rsid w:val="008E491A"/>
    <w:rsid w:val="008E4A7C"/>
    <w:rsid w:val="008E4F1D"/>
    <w:rsid w:val="008E5011"/>
    <w:rsid w:val="008E510E"/>
    <w:rsid w:val="008E599B"/>
    <w:rsid w:val="008E5B6B"/>
    <w:rsid w:val="008E5BB9"/>
    <w:rsid w:val="008E5EEA"/>
    <w:rsid w:val="008E60AB"/>
    <w:rsid w:val="008E62C8"/>
    <w:rsid w:val="008E639B"/>
    <w:rsid w:val="008E63C4"/>
    <w:rsid w:val="008E67AA"/>
    <w:rsid w:val="008E6909"/>
    <w:rsid w:val="008E69E3"/>
    <w:rsid w:val="008E69F5"/>
    <w:rsid w:val="008E6AF9"/>
    <w:rsid w:val="008E6B9D"/>
    <w:rsid w:val="008E6D41"/>
    <w:rsid w:val="008E6D5D"/>
    <w:rsid w:val="008E6E57"/>
    <w:rsid w:val="008E726C"/>
    <w:rsid w:val="008E7309"/>
    <w:rsid w:val="008E776C"/>
    <w:rsid w:val="008E79C7"/>
    <w:rsid w:val="008E7A3A"/>
    <w:rsid w:val="008E7B6E"/>
    <w:rsid w:val="008E7E30"/>
    <w:rsid w:val="008E7FB2"/>
    <w:rsid w:val="008F00F6"/>
    <w:rsid w:val="008F0289"/>
    <w:rsid w:val="008F04AB"/>
    <w:rsid w:val="008F0543"/>
    <w:rsid w:val="008F066D"/>
    <w:rsid w:val="008F08C9"/>
    <w:rsid w:val="008F0AF8"/>
    <w:rsid w:val="008F0BB6"/>
    <w:rsid w:val="008F0F18"/>
    <w:rsid w:val="008F0F7A"/>
    <w:rsid w:val="008F10D2"/>
    <w:rsid w:val="008F10E5"/>
    <w:rsid w:val="008F15D7"/>
    <w:rsid w:val="008F169F"/>
    <w:rsid w:val="008F17D0"/>
    <w:rsid w:val="008F1869"/>
    <w:rsid w:val="008F1992"/>
    <w:rsid w:val="008F19D6"/>
    <w:rsid w:val="008F1D11"/>
    <w:rsid w:val="008F1DF9"/>
    <w:rsid w:val="008F2091"/>
    <w:rsid w:val="008F21E3"/>
    <w:rsid w:val="008F2202"/>
    <w:rsid w:val="008F25FD"/>
    <w:rsid w:val="008F27DB"/>
    <w:rsid w:val="008F2837"/>
    <w:rsid w:val="008F286F"/>
    <w:rsid w:val="008F2B7C"/>
    <w:rsid w:val="008F2E92"/>
    <w:rsid w:val="008F2F0A"/>
    <w:rsid w:val="008F312C"/>
    <w:rsid w:val="008F31CA"/>
    <w:rsid w:val="008F39DB"/>
    <w:rsid w:val="008F3A1E"/>
    <w:rsid w:val="008F3E33"/>
    <w:rsid w:val="008F3FBC"/>
    <w:rsid w:val="008F418E"/>
    <w:rsid w:val="008F4359"/>
    <w:rsid w:val="008F44DA"/>
    <w:rsid w:val="008F4693"/>
    <w:rsid w:val="008F46E6"/>
    <w:rsid w:val="008F48A8"/>
    <w:rsid w:val="008F4AFE"/>
    <w:rsid w:val="008F50DA"/>
    <w:rsid w:val="008F5121"/>
    <w:rsid w:val="008F5157"/>
    <w:rsid w:val="008F51BC"/>
    <w:rsid w:val="008F534D"/>
    <w:rsid w:val="008F53BD"/>
    <w:rsid w:val="008F55EA"/>
    <w:rsid w:val="008F5681"/>
    <w:rsid w:val="008F5702"/>
    <w:rsid w:val="008F59BD"/>
    <w:rsid w:val="008F5DB1"/>
    <w:rsid w:val="008F5E2B"/>
    <w:rsid w:val="008F5E32"/>
    <w:rsid w:val="008F6014"/>
    <w:rsid w:val="008F62EE"/>
    <w:rsid w:val="008F6471"/>
    <w:rsid w:val="008F6770"/>
    <w:rsid w:val="008F684B"/>
    <w:rsid w:val="008F697D"/>
    <w:rsid w:val="008F6FEB"/>
    <w:rsid w:val="008F71A5"/>
    <w:rsid w:val="008F75DC"/>
    <w:rsid w:val="008F7A4F"/>
    <w:rsid w:val="008F7B6C"/>
    <w:rsid w:val="008F7C00"/>
    <w:rsid w:val="00900301"/>
    <w:rsid w:val="00900510"/>
    <w:rsid w:val="00900557"/>
    <w:rsid w:val="009007F9"/>
    <w:rsid w:val="00900A7F"/>
    <w:rsid w:val="00900C0A"/>
    <w:rsid w:val="00900D29"/>
    <w:rsid w:val="00900D2A"/>
    <w:rsid w:val="0090105E"/>
    <w:rsid w:val="0090119F"/>
    <w:rsid w:val="00901390"/>
    <w:rsid w:val="0090178A"/>
    <w:rsid w:val="00901C23"/>
    <w:rsid w:val="00901D86"/>
    <w:rsid w:val="00901F55"/>
    <w:rsid w:val="00902530"/>
    <w:rsid w:val="00902895"/>
    <w:rsid w:val="009028D5"/>
    <w:rsid w:val="009028E4"/>
    <w:rsid w:val="00902A91"/>
    <w:rsid w:val="00902BCB"/>
    <w:rsid w:val="00902BFF"/>
    <w:rsid w:val="0090315B"/>
    <w:rsid w:val="009033F0"/>
    <w:rsid w:val="009034B8"/>
    <w:rsid w:val="00903515"/>
    <w:rsid w:val="00903572"/>
    <w:rsid w:val="0090363C"/>
    <w:rsid w:val="00903767"/>
    <w:rsid w:val="009037A6"/>
    <w:rsid w:val="009037FD"/>
    <w:rsid w:val="00903A29"/>
    <w:rsid w:val="00903B9F"/>
    <w:rsid w:val="00903D76"/>
    <w:rsid w:val="00903DDF"/>
    <w:rsid w:val="00903E73"/>
    <w:rsid w:val="0090412B"/>
    <w:rsid w:val="00904174"/>
    <w:rsid w:val="00904246"/>
    <w:rsid w:val="009042C5"/>
    <w:rsid w:val="00904DBE"/>
    <w:rsid w:val="00904F39"/>
    <w:rsid w:val="009050CC"/>
    <w:rsid w:val="00905431"/>
    <w:rsid w:val="00905563"/>
    <w:rsid w:val="009055D3"/>
    <w:rsid w:val="009056D6"/>
    <w:rsid w:val="00905A9C"/>
    <w:rsid w:val="00905C8F"/>
    <w:rsid w:val="00906006"/>
    <w:rsid w:val="009065AA"/>
    <w:rsid w:val="00906759"/>
    <w:rsid w:val="00906803"/>
    <w:rsid w:val="00906BC8"/>
    <w:rsid w:val="00906EB2"/>
    <w:rsid w:val="0090731A"/>
    <w:rsid w:val="00907831"/>
    <w:rsid w:val="00907884"/>
    <w:rsid w:val="00907939"/>
    <w:rsid w:val="00907B2B"/>
    <w:rsid w:val="00907CF8"/>
    <w:rsid w:val="00907E59"/>
    <w:rsid w:val="00907FB5"/>
    <w:rsid w:val="009101A0"/>
    <w:rsid w:val="009101C5"/>
    <w:rsid w:val="00910311"/>
    <w:rsid w:val="0091038D"/>
    <w:rsid w:val="009107D6"/>
    <w:rsid w:val="009107E3"/>
    <w:rsid w:val="009107EA"/>
    <w:rsid w:val="00910827"/>
    <w:rsid w:val="009108FF"/>
    <w:rsid w:val="00910991"/>
    <w:rsid w:val="00910A99"/>
    <w:rsid w:val="00910B59"/>
    <w:rsid w:val="00910B97"/>
    <w:rsid w:val="00910CEE"/>
    <w:rsid w:val="00910DF6"/>
    <w:rsid w:val="00910F94"/>
    <w:rsid w:val="009110BE"/>
    <w:rsid w:val="009110D3"/>
    <w:rsid w:val="009113CF"/>
    <w:rsid w:val="009118DC"/>
    <w:rsid w:val="00911999"/>
    <w:rsid w:val="00911A60"/>
    <w:rsid w:val="00911AFC"/>
    <w:rsid w:val="00911DE9"/>
    <w:rsid w:val="00911E8E"/>
    <w:rsid w:val="00911F92"/>
    <w:rsid w:val="00912027"/>
    <w:rsid w:val="0091216E"/>
    <w:rsid w:val="00912327"/>
    <w:rsid w:val="0091256A"/>
    <w:rsid w:val="00912B8A"/>
    <w:rsid w:val="00912D58"/>
    <w:rsid w:val="00912D94"/>
    <w:rsid w:val="00912DAA"/>
    <w:rsid w:val="00912EE0"/>
    <w:rsid w:val="0091332D"/>
    <w:rsid w:val="009134EB"/>
    <w:rsid w:val="00913830"/>
    <w:rsid w:val="00913C6A"/>
    <w:rsid w:val="00913D3E"/>
    <w:rsid w:val="00913E96"/>
    <w:rsid w:val="00913F9D"/>
    <w:rsid w:val="0091427D"/>
    <w:rsid w:val="00914281"/>
    <w:rsid w:val="009143E4"/>
    <w:rsid w:val="00914507"/>
    <w:rsid w:val="0091462A"/>
    <w:rsid w:val="00914D77"/>
    <w:rsid w:val="00914DE8"/>
    <w:rsid w:val="00914F3B"/>
    <w:rsid w:val="00914F3E"/>
    <w:rsid w:val="009150D3"/>
    <w:rsid w:val="00915192"/>
    <w:rsid w:val="0091528C"/>
    <w:rsid w:val="00915420"/>
    <w:rsid w:val="00915670"/>
    <w:rsid w:val="00915882"/>
    <w:rsid w:val="009158EB"/>
    <w:rsid w:val="00915935"/>
    <w:rsid w:val="00915A08"/>
    <w:rsid w:val="00915A44"/>
    <w:rsid w:val="00915BCB"/>
    <w:rsid w:val="00915BE9"/>
    <w:rsid w:val="00916288"/>
    <w:rsid w:val="009164B3"/>
    <w:rsid w:val="009168FF"/>
    <w:rsid w:val="00916A48"/>
    <w:rsid w:val="00916E65"/>
    <w:rsid w:val="00917041"/>
    <w:rsid w:val="009172D9"/>
    <w:rsid w:val="00917390"/>
    <w:rsid w:val="00917577"/>
    <w:rsid w:val="00917754"/>
    <w:rsid w:val="009178E5"/>
    <w:rsid w:val="0091799F"/>
    <w:rsid w:val="009179B9"/>
    <w:rsid w:val="00917D8E"/>
    <w:rsid w:val="009202C0"/>
    <w:rsid w:val="009204EC"/>
    <w:rsid w:val="009207BB"/>
    <w:rsid w:val="0092086F"/>
    <w:rsid w:val="00920B90"/>
    <w:rsid w:val="00920BBD"/>
    <w:rsid w:val="00920BE9"/>
    <w:rsid w:val="00920D59"/>
    <w:rsid w:val="00920D85"/>
    <w:rsid w:val="00920DCF"/>
    <w:rsid w:val="00920F0D"/>
    <w:rsid w:val="00921104"/>
    <w:rsid w:val="0092112C"/>
    <w:rsid w:val="00921322"/>
    <w:rsid w:val="00921401"/>
    <w:rsid w:val="009215E9"/>
    <w:rsid w:val="009216B1"/>
    <w:rsid w:val="00921861"/>
    <w:rsid w:val="00921B48"/>
    <w:rsid w:val="00922076"/>
    <w:rsid w:val="0092222D"/>
    <w:rsid w:val="009222E0"/>
    <w:rsid w:val="00922444"/>
    <w:rsid w:val="009226AC"/>
    <w:rsid w:val="0092284E"/>
    <w:rsid w:val="00922B63"/>
    <w:rsid w:val="00922C6A"/>
    <w:rsid w:val="00922D53"/>
    <w:rsid w:val="00922D5B"/>
    <w:rsid w:val="009230D3"/>
    <w:rsid w:val="009230F2"/>
    <w:rsid w:val="00923165"/>
    <w:rsid w:val="0092319A"/>
    <w:rsid w:val="00923304"/>
    <w:rsid w:val="009234B8"/>
    <w:rsid w:val="00923685"/>
    <w:rsid w:val="0092373C"/>
    <w:rsid w:val="00923879"/>
    <w:rsid w:val="009238A3"/>
    <w:rsid w:val="00923BAF"/>
    <w:rsid w:val="00923C63"/>
    <w:rsid w:val="00923C92"/>
    <w:rsid w:val="00923CE3"/>
    <w:rsid w:val="009242B9"/>
    <w:rsid w:val="00924367"/>
    <w:rsid w:val="009245F6"/>
    <w:rsid w:val="009246B9"/>
    <w:rsid w:val="0092482C"/>
    <w:rsid w:val="0092495D"/>
    <w:rsid w:val="00924B16"/>
    <w:rsid w:val="00924BC0"/>
    <w:rsid w:val="00924D0E"/>
    <w:rsid w:val="0092509F"/>
    <w:rsid w:val="009250BA"/>
    <w:rsid w:val="00925314"/>
    <w:rsid w:val="00925455"/>
    <w:rsid w:val="00925550"/>
    <w:rsid w:val="009255B1"/>
    <w:rsid w:val="00925662"/>
    <w:rsid w:val="00925924"/>
    <w:rsid w:val="0092595E"/>
    <w:rsid w:val="00925A1B"/>
    <w:rsid w:val="00925B25"/>
    <w:rsid w:val="00925D98"/>
    <w:rsid w:val="00926265"/>
    <w:rsid w:val="0092639B"/>
    <w:rsid w:val="009265CE"/>
    <w:rsid w:val="00926839"/>
    <w:rsid w:val="009268BF"/>
    <w:rsid w:val="009269AF"/>
    <w:rsid w:val="009269CB"/>
    <w:rsid w:val="00926BE9"/>
    <w:rsid w:val="00926F28"/>
    <w:rsid w:val="00927300"/>
    <w:rsid w:val="009273D8"/>
    <w:rsid w:val="009274E5"/>
    <w:rsid w:val="009275B1"/>
    <w:rsid w:val="00927792"/>
    <w:rsid w:val="00927A4F"/>
    <w:rsid w:val="00927AD1"/>
    <w:rsid w:val="00927DD6"/>
    <w:rsid w:val="00927FA4"/>
    <w:rsid w:val="00927FCC"/>
    <w:rsid w:val="00930066"/>
    <w:rsid w:val="009300BC"/>
    <w:rsid w:val="009301F7"/>
    <w:rsid w:val="00930324"/>
    <w:rsid w:val="009303DA"/>
    <w:rsid w:val="00930403"/>
    <w:rsid w:val="0093046B"/>
    <w:rsid w:val="0093059C"/>
    <w:rsid w:val="009306C5"/>
    <w:rsid w:val="0093081C"/>
    <w:rsid w:val="0093088E"/>
    <w:rsid w:val="009309A2"/>
    <w:rsid w:val="00930B35"/>
    <w:rsid w:val="00930B65"/>
    <w:rsid w:val="00930C1E"/>
    <w:rsid w:val="00931204"/>
    <w:rsid w:val="00931375"/>
    <w:rsid w:val="00931BEC"/>
    <w:rsid w:val="00931C9C"/>
    <w:rsid w:val="00931ED1"/>
    <w:rsid w:val="00931EFA"/>
    <w:rsid w:val="0093208A"/>
    <w:rsid w:val="009325BE"/>
    <w:rsid w:val="009325DF"/>
    <w:rsid w:val="00932650"/>
    <w:rsid w:val="00932EEB"/>
    <w:rsid w:val="00932FD3"/>
    <w:rsid w:val="00932FD6"/>
    <w:rsid w:val="00933519"/>
    <w:rsid w:val="00933897"/>
    <w:rsid w:val="00933B10"/>
    <w:rsid w:val="009344D8"/>
    <w:rsid w:val="009345FC"/>
    <w:rsid w:val="00934BB5"/>
    <w:rsid w:val="00934C4D"/>
    <w:rsid w:val="00934D31"/>
    <w:rsid w:val="00934F6C"/>
    <w:rsid w:val="0093534B"/>
    <w:rsid w:val="00935A0B"/>
    <w:rsid w:val="00935BAA"/>
    <w:rsid w:val="00935ED3"/>
    <w:rsid w:val="00936183"/>
    <w:rsid w:val="00936250"/>
    <w:rsid w:val="009362F7"/>
    <w:rsid w:val="00936547"/>
    <w:rsid w:val="009366C4"/>
    <w:rsid w:val="009366F5"/>
    <w:rsid w:val="00936766"/>
    <w:rsid w:val="0093684E"/>
    <w:rsid w:val="00936960"/>
    <w:rsid w:val="00937114"/>
    <w:rsid w:val="00937479"/>
    <w:rsid w:val="00937489"/>
    <w:rsid w:val="00937665"/>
    <w:rsid w:val="00937C1D"/>
    <w:rsid w:val="00940079"/>
    <w:rsid w:val="00940176"/>
    <w:rsid w:val="0094021C"/>
    <w:rsid w:val="009403D2"/>
    <w:rsid w:val="0094067B"/>
    <w:rsid w:val="009406EA"/>
    <w:rsid w:val="00940B4F"/>
    <w:rsid w:val="00940BB0"/>
    <w:rsid w:val="00940F10"/>
    <w:rsid w:val="009410DD"/>
    <w:rsid w:val="0094111C"/>
    <w:rsid w:val="009411DB"/>
    <w:rsid w:val="009412EC"/>
    <w:rsid w:val="00941415"/>
    <w:rsid w:val="00941456"/>
    <w:rsid w:val="00941461"/>
    <w:rsid w:val="00941C43"/>
    <w:rsid w:val="00941C6A"/>
    <w:rsid w:val="00941E6D"/>
    <w:rsid w:val="00941ED0"/>
    <w:rsid w:val="00941FB5"/>
    <w:rsid w:val="009420E5"/>
    <w:rsid w:val="009421B0"/>
    <w:rsid w:val="00942344"/>
    <w:rsid w:val="00942422"/>
    <w:rsid w:val="009424EB"/>
    <w:rsid w:val="009428A4"/>
    <w:rsid w:val="00942963"/>
    <w:rsid w:val="00942C60"/>
    <w:rsid w:val="00942D31"/>
    <w:rsid w:val="009430C8"/>
    <w:rsid w:val="00943362"/>
    <w:rsid w:val="0094356C"/>
    <w:rsid w:val="009436B6"/>
    <w:rsid w:val="009437AC"/>
    <w:rsid w:val="00943BFD"/>
    <w:rsid w:val="00943D93"/>
    <w:rsid w:val="00943FB9"/>
    <w:rsid w:val="0094401E"/>
    <w:rsid w:val="00944073"/>
    <w:rsid w:val="009440FF"/>
    <w:rsid w:val="0094413B"/>
    <w:rsid w:val="009441F8"/>
    <w:rsid w:val="00944311"/>
    <w:rsid w:val="00944741"/>
    <w:rsid w:val="009447D0"/>
    <w:rsid w:val="00944A72"/>
    <w:rsid w:val="00944D03"/>
    <w:rsid w:val="009450A1"/>
    <w:rsid w:val="00945218"/>
    <w:rsid w:val="00945233"/>
    <w:rsid w:val="009452D8"/>
    <w:rsid w:val="00945498"/>
    <w:rsid w:val="00945755"/>
    <w:rsid w:val="009458CE"/>
    <w:rsid w:val="0094591C"/>
    <w:rsid w:val="00945D01"/>
    <w:rsid w:val="00945F4C"/>
    <w:rsid w:val="0094602B"/>
    <w:rsid w:val="00946315"/>
    <w:rsid w:val="00946644"/>
    <w:rsid w:val="0094679C"/>
    <w:rsid w:val="0094696E"/>
    <w:rsid w:val="00946AB4"/>
    <w:rsid w:val="00946E2E"/>
    <w:rsid w:val="00946F80"/>
    <w:rsid w:val="00947220"/>
    <w:rsid w:val="00947578"/>
    <w:rsid w:val="0094764F"/>
    <w:rsid w:val="0094779A"/>
    <w:rsid w:val="009479B8"/>
    <w:rsid w:val="00947BA1"/>
    <w:rsid w:val="0095006E"/>
    <w:rsid w:val="009503BF"/>
    <w:rsid w:val="00950530"/>
    <w:rsid w:val="009507C4"/>
    <w:rsid w:val="0095082B"/>
    <w:rsid w:val="00950A0F"/>
    <w:rsid w:val="00950B85"/>
    <w:rsid w:val="00950DEE"/>
    <w:rsid w:val="00950DFB"/>
    <w:rsid w:val="00950E9F"/>
    <w:rsid w:val="0095146B"/>
    <w:rsid w:val="009514BB"/>
    <w:rsid w:val="00951583"/>
    <w:rsid w:val="00951A49"/>
    <w:rsid w:val="00951D51"/>
    <w:rsid w:val="00951DA6"/>
    <w:rsid w:val="00951F34"/>
    <w:rsid w:val="0095206A"/>
    <w:rsid w:val="0095208E"/>
    <w:rsid w:val="00952139"/>
    <w:rsid w:val="009524C3"/>
    <w:rsid w:val="00952534"/>
    <w:rsid w:val="00952537"/>
    <w:rsid w:val="0095274F"/>
    <w:rsid w:val="00952A61"/>
    <w:rsid w:val="00952F7D"/>
    <w:rsid w:val="00953130"/>
    <w:rsid w:val="0095315F"/>
    <w:rsid w:val="009534B5"/>
    <w:rsid w:val="0095373D"/>
    <w:rsid w:val="00953B19"/>
    <w:rsid w:val="00953C94"/>
    <w:rsid w:val="00953E96"/>
    <w:rsid w:val="00954068"/>
    <w:rsid w:val="009542E7"/>
    <w:rsid w:val="009545BB"/>
    <w:rsid w:val="009546C2"/>
    <w:rsid w:val="009546ED"/>
    <w:rsid w:val="00954A71"/>
    <w:rsid w:val="00954CCC"/>
    <w:rsid w:val="00954E3B"/>
    <w:rsid w:val="00954EB8"/>
    <w:rsid w:val="0095506B"/>
    <w:rsid w:val="00955207"/>
    <w:rsid w:val="0095526B"/>
    <w:rsid w:val="009552DA"/>
    <w:rsid w:val="00955508"/>
    <w:rsid w:val="0095588B"/>
    <w:rsid w:val="00955899"/>
    <w:rsid w:val="00955AC7"/>
    <w:rsid w:val="00955E7B"/>
    <w:rsid w:val="009565BE"/>
    <w:rsid w:val="00956700"/>
    <w:rsid w:val="00956921"/>
    <w:rsid w:val="00956CC6"/>
    <w:rsid w:val="00956FAD"/>
    <w:rsid w:val="00956FD3"/>
    <w:rsid w:val="009570CE"/>
    <w:rsid w:val="009571F4"/>
    <w:rsid w:val="00957219"/>
    <w:rsid w:val="00957233"/>
    <w:rsid w:val="009572C8"/>
    <w:rsid w:val="009573AD"/>
    <w:rsid w:val="00957598"/>
    <w:rsid w:val="009575A1"/>
    <w:rsid w:val="009575FD"/>
    <w:rsid w:val="009579B9"/>
    <w:rsid w:val="00957CD2"/>
    <w:rsid w:val="00957F5B"/>
    <w:rsid w:val="009600E3"/>
    <w:rsid w:val="00960340"/>
    <w:rsid w:val="009603BE"/>
    <w:rsid w:val="009603D9"/>
    <w:rsid w:val="0096043D"/>
    <w:rsid w:val="009605DD"/>
    <w:rsid w:val="00960666"/>
    <w:rsid w:val="00960749"/>
    <w:rsid w:val="00960B89"/>
    <w:rsid w:val="00960B93"/>
    <w:rsid w:val="00960BF9"/>
    <w:rsid w:val="00960D0A"/>
    <w:rsid w:val="00960D35"/>
    <w:rsid w:val="00960F63"/>
    <w:rsid w:val="0096101D"/>
    <w:rsid w:val="00961079"/>
    <w:rsid w:val="009611CD"/>
    <w:rsid w:val="0096149E"/>
    <w:rsid w:val="00961695"/>
    <w:rsid w:val="0096183E"/>
    <w:rsid w:val="0096184F"/>
    <w:rsid w:val="00961A6E"/>
    <w:rsid w:val="00961ED2"/>
    <w:rsid w:val="00961FE7"/>
    <w:rsid w:val="009622E0"/>
    <w:rsid w:val="009622E1"/>
    <w:rsid w:val="00962771"/>
    <w:rsid w:val="00962AFB"/>
    <w:rsid w:val="00962D0F"/>
    <w:rsid w:val="00962E11"/>
    <w:rsid w:val="009630A9"/>
    <w:rsid w:val="0096317E"/>
    <w:rsid w:val="009632B9"/>
    <w:rsid w:val="00963495"/>
    <w:rsid w:val="009637C9"/>
    <w:rsid w:val="00963857"/>
    <w:rsid w:val="00963B45"/>
    <w:rsid w:val="00963B53"/>
    <w:rsid w:val="00963B61"/>
    <w:rsid w:val="00963DE2"/>
    <w:rsid w:val="00964084"/>
    <w:rsid w:val="00964099"/>
    <w:rsid w:val="00964279"/>
    <w:rsid w:val="009642B0"/>
    <w:rsid w:val="0096458A"/>
    <w:rsid w:val="009645E6"/>
    <w:rsid w:val="00964931"/>
    <w:rsid w:val="00964ADD"/>
    <w:rsid w:val="00964E70"/>
    <w:rsid w:val="00965179"/>
    <w:rsid w:val="009654F0"/>
    <w:rsid w:val="0096568C"/>
    <w:rsid w:val="009656FC"/>
    <w:rsid w:val="00965836"/>
    <w:rsid w:val="00965915"/>
    <w:rsid w:val="00965A2E"/>
    <w:rsid w:val="00965D5A"/>
    <w:rsid w:val="00965FA7"/>
    <w:rsid w:val="00966173"/>
    <w:rsid w:val="00966227"/>
    <w:rsid w:val="009663C7"/>
    <w:rsid w:val="009664D4"/>
    <w:rsid w:val="0096672E"/>
    <w:rsid w:val="009668C6"/>
    <w:rsid w:val="009668DE"/>
    <w:rsid w:val="00966A1A"/>
    <w:rsid w:val="00966AC1"/>
    <w:rsid w:val="00966AEC"/>
    <w:rsid w:val="00966F53"/>
    <w:rsid w:val="00967049"/>
    <w:rsid w:val="00967227"/>
    <w:rsid w:val="009674AB"/>
    <w:rsid w:val="009675B7"/>
    <w:rsid w:val="009675E1"/>
    <w:rsid w:val="00967604"/>
    <w:rsid w:val="009677F6"/>
    <w:rsid w:val="00967810"/>
    <w:rsid w:val="00967980"/>
    <w:rsid w:val="00967CC1"/>
    <w:rsid w:val="009702D6"/>
    <w:rsid w:val="0097054D"/>
    <w:rsid w:val="00970732"/>
    <w:rsid w:val="00970751"/>
    <w:rsid w:val="00970C52"/>
    <w:rsid w:val="00970D3A"/>
    <w:rsid w:val="00970D68"/>
    <w:rsid w:val="00971095"/>
    <w:rsid w:val="0097111C"/>
    <w:rsid w:val="0097176F"/>
    <w:rsid w:val="009719B8"/>
    <w:rsid w:val="00971ABC"/>
    <w:rsid w:val="00971CFC"/>
    <w:rsid w:val="009723C0"/>
    <w:rsid w:val="009725E7"/>
    <w:rsid w:val="00972642"/>
    <w:rsid w:val="009726B1"/>
    <w:rsid w:val="00972815"/>
    <w:rsid w:val="00972847"/>
    <w:rsid w:val="00972C5B"/>
    <w:rsid w:val="00972C96"/>
    <w:rsid w:val="00972D00"/>
    <w:rsid w:val="00972DDF"/>
    <w:rsid w:val="00972E9D"/>
    <w:rsid w:val="00972FE9"/>
    <w:rsid w:val="00973017"/>
    <w:rsid w:val="0097311E"/>
    <w:rsid w:val="00973166"/>
    <w:rsid w:val="009733E2"/>
    <w:rsid w:val="0097388C"/>
    <w:rsid w:val="009738C8"/>
    <w:rsid w:val="00973A8F"/>
    <w:rsid w:val="00973B92"/>
    <w:rsid w:val="00973BC4"/>
    <w:rsid w:val="00973F33"/>
    <w:rsid w:val="0097418A"/>
    <w:rsid w:val="00974191"/>
    <w:rsid w:val="0097420D"/>
    <w:rsid w:val="009742F2"/>
    <w:rsid w:val="00974379"/>
    <w:rsid w:val="009744B0"/>
    <w:rsid w:val="0097472A"/>
    <w:rsid w:val="009747B1"/>
    <w:rsid w:val="0097493B"/>
    <w:rsid w:val="00974A38"/>
    <w:rsid w:val="00974E16"/>
    <w:rsid w:val="00974E9D"/>
    <w:rsid w:val="00975125"/>
    <w:rsid w:val="009755CD"/>
    <w:rsid w:val="00975772"/>
    <w:rsid w:val="009759B4"/>
    <w:rsid w:val="00975BAD"/>
    <w:rsid w:val="00975D71"/>
    <w:rsid w:val="00975E1A"/>
    <w:rsid w:val="00976096"/>
    <w:rsid w:val="009760CA"/>
    <w:rsid w:val="009761A9"/>
    <w:rsid w:val="009761DC"/>
    <w:rsid w:val="009761DE"/>
    <w:rsid w:val="00976501"/>
    <w:rsid w:val="0097652E"/>
    <w:rsid w:val="00976BD2"/>
    <w:rsid w:val="00976BD4"/>
    <w:rsid w:val="00976D7F"/>
    <w:rsid w:val="00977042"/>
    <w:rsid w:val="00977263"/>
    <w:rsid w:val="00977430"/>
    <w:rsid w:val="00977569"/>
    <w:rsid w:val="009775E0"/>
    <w:rsid w:val="0098001E"/>
    <w:rsid w:val="00980A38"/>
    <w:rsid w:val="00980CE4"/>
    <w:rsid w:val="00980D8A"/>
    <w:rsid w:val="00980D90"/>
    <w:rsid w:val="00980E51"/>
    <w:rsid w:val="00980ED3"/>
    <w:rsid w:val="00980F88"/>
    <w:rsid w:val="00981000"/>
    <w:rsid w:val="00981001"/>
    <w:rsid w:val="00981116"/>
    <w:rsid w:val="00981387"/>
    <w:rsid w:val="009814F8"/>
    <w:rsid w:val="00981849"/>
    <w:rsid w:val="009819FB"/>
    <w:rsid w:val="00981A18"/>
    <w:rsid w:val="00981A61"/>
    <w:rsid w:val="00981F73"/>
    <w:rsid w:val="00982038"/>
    <w:rsid w:val="0098238F"/>
    <w:rsid w:val="009824AC"/>
    <w:rsid w:val="00982743"/>
    <w:rsid w:val="00982882"/>
    <w:rsid w:val="009828C8"/>
    <w:rsid w:val="00982A36"/>
    <w:rsid w:val="00982A6E"/>
    <w:rsid w:val="00982A84"/>
    <w:rsid w:val="00982CE8"/>
    <w:rsid w:val="00982E69"/>
    <w:rsid w:val="00983033"/>
    <w:rsid w:val="00983100"/>
    <w:rsid w:val="00983270"/>
    <w:rsid w:val="009836EC"/>
    <w:rsid w:val="00983A25"/>
    <w:rsid w:val="00983D4E"/>
    <w:rsid w:val="00983EA5"/>
    <w:rsid w:val="00983F0E"/>
    <w:rsid w:val="00983F73"/>
    <w:rsid w:val="0098406B"/>
    <w:rsid w:val="009840EC"/>
    <w:rsid w:val="00984138"/>
    <w:rsid w:val="00984596"/>
    <w:rsid w:val="00984A35"/>
    <w:rsid w:val="00984C98"/>
    <w:rsid w:val="00984CBF"/>
    <w:rsid w:val="00984F8D"/>
    <w:rsid w:val="009851DB"/>
    <w:rsid w:val="00985242"/>
    <w:rsid w:val="009859B6"/>
    <w:rsid w:val="00985B62"/>
    <w:rsid w:val="00985D79"/>
    <w:rsid w:val="00985E4D"/>
    <w:rsid w:val="00986108"/>
    <w:rsid w:val="00986119"/>
    <w:rsid w:val="00986172"/>
    <w:rsid w:val="009861D0"/>
    <w:rsid w:val="0098644F"/>
    <w:rsid w:val="00986919"/>
    <w:rsid w:val="00986A98"/>
    <w:rsid w:val="00986AB0"/>
    <w:rsid w:val="00986BD3"/>
    <w:rsid w:val="00986DBF"/>
    <w:rsid w:val="009870F7"/>
    <w:rsid w:val="0098723B"/>
    <w:rsid w:val="0098728F"/>
    <w:rsid w:val="0098729A"/>
    <w:rsid w:val="0098744D"/>
    <w:rsid w:val="0098798C"/>
    <w:rsid w:val="00987DEA"/>
    <w:rsid w:val="00987DF0"/>
    <w:rsid w:val="00987F9C"/>
    <w:rsid w:val="00990195"/>
    <w:rsid w:val="009901AE"/>
    <w:rsid w:val="009904AF"/>
    <w:rsid w:val="009905D4"/>
    <w:rsid w:val="0099074F"/>
    <w:rsid w:val="00990808"/>
    <w:rsid w:val="00990B77"/>
    <w:rsid w:val="00990FEB"/>
    <w:rsid w:val="009914B3"/>
    <w:rsid w:val="00991524"/>
    <w:rsid w:val="00991720"/>
    <w:rsid w:val="0099192A"/>
    <w:rsid w:val="00991B49"/>
    <w:rsid w:val="00991E5C"/>
    <w:rsid w:val="00991E8A"/>
    <w:rsid w:val="00991EAB"/>
    <w:rsid w:val="00991F14"/>
    <w:rsid w:val="0099279B"/>
    <w:rsid w:val="00992867"/>
    <w:rsid w:val="0099286C"/>
    <w:rsid w:val="0099287F"/>
    <w:rsid w:val="00992A60"/>
    <w:rsid w:val="00992ACC"/>
    <w:rsid w:val="00992C91"/>
    <w:rsid w:val="00992DE0"/>
    <w:rsid w:val="00992F64"/>
    <w:rsid w:val="0099312F"/>
    <w:rsid w:val="00993275"/>
    <w:rsid w:val="0099337D"/>
    <w:rsid w:val="00993592"/>
    <w:rsid w:val="009938B7"/>
    <w:rsid w:val="009939C2"/>
    <w:rsid w:val="00993E7F"/>
    <w:rsid w:val="0099457B"/>
    <w:rsid w:val="00994679"/>
    <w:rsid w:val="009947D0"/>
    <w:rsid w:val="00994E5B"/>
    <w:rsid w:val="0099503E"/>
    <w:rsid w:val="009952E4"/>
    <w:rsid w:val="00995835"/>
    <w:rsid w:val="00995B9C"/>
    <w:rsid w:val="00995C22"/>
    <w:rsid w:val="00995C62"/>
    <w:rsid w:val="00995EE8"/>
    <w:rsid w:val="00996294"/>
    <w:rsid w:val="00996415"/>
    <w:rsid w:val="0099679B"/>
    <w:rsid w:val="0099684A"/>
    <w:rsid w:val="00996A68"/>
    <w:rsid w:val="00996AA3"/>
    <w:rsid w:val="00996E6D"/>
    <w:rsid w:val="00996EFF"/>
    <w:rsid w:val="009971EF"/>
    <w:rsid w:val="0099745C"/>
    <w:rsid w:val="009974EF"/>
    <w:rsid w:val="0099794E"/>
    <w:rsid w:val="00997A2C"/>
    <w:rsid w:val="00997CB9"/>
    <w:rsid w:val="00997DE3"/>
    <w:rsid w:val="00997E7B"/>
    <w:rsid w:val="00997F50"/>
    <w:rsid w:val="009A0192"/>
    <w:rsid w:val="009A028D"/>
    <w:rsid w:val="009A046A"/>
    <w:rsid w:val="009A05EB"/>
    <w:rsid w:val="009A06AB"/>
    <w:rsid w:val="009A08AD"/>
    <w:rsid w:val="009A0A86"/>
    <w:rsid w:val="009A0BFF"/>
    <w:rsid w:val="009A0DA4"/>
    <w:rsid w:val="009A10A5"/>
    <w:rsid w:val="009A1158"/>
    <w:rsid w:val="009A160A"/>
    <w:rsid w:val="009A173C"/>
    <w:rsid w:val="009A1CC9"/>
    <w:rsid w:val="009A1F99"/>
    <w:rsid w:val="009A2532"/>
    <w:rsid w:val="009A2AFA"/>
    <w:rsid w:val="009A2ED3"/>
    <w:rsid w:val="009A2F46"/>
    <w:rsid w:val="009A2F4A"/>
    <w:rsid w:val="009A31BF"/>
    <w:rsid w:val="009A3332"/>
    <w:rsid w:val="009A3574"/>
    <w:rsid w:val="009A35FE"/>
    <w:rsid w:val="009A36CA"/>
    <w:rsid w:val="009A3A41"/>
    <w:rsid w:val="009A3ABC"/>
    <w:rsid w:val="009A3AED"/>
    <w:rsid w:val="009A3CE5"/>
    <w:rsid w:val="009A3D51"/>
    <w:rsid w:val="009A40D4"/>
    <w:rsid w:val="009A4151"/>
    <w:rsid w:val="009A429A"/>
    <w:rsid w:val="009A435E"/>
    <w:rsid w:val="009A44A1"/>
    <w:rsid w:val="009A45A4"/>
    <w:rsid w:val="009A46C4"/>
    <w:rsid w:val="009A4AA8"/>
    <w:rsid w:val="009A4E0B"/>
    <w:rsid w:val="009A5024"/>
    <w:rsid w:val="009A5056"/>
    <w:rsid w:val="009A537A"/>
    <w:rsid w:val="009A53A3"/>
    <w:rsid w:val="009A5488"/>
    <w:rsid w:val="009A55A2"/>
    <w:rsid w:val="009A56E2"/>
    <w:rsid w:val="009A5791"/>
    <w:rsid w:val="009A5904"/>
    <w:rsid w:val="009A59BE"/>
    <w:rsid w:val="009A5A53"/>
    <w:rsid w:val="009A5B2C"/>
    <w:rsid w:val="009A5BB4"/>
    <w:rsid w:val="009A5CC1"/>
    <w:rsid w:val="009A5D15"/>
    <w:rsid w:val="009A60DE"/>
    <w:rsid w:val="009A63E6"/>
    <w:rsid w:val="009A658D"/>
    <w:rsid w:val="009A67C6"/>
    <w:rsid w:val="009A6BB4"/>
    <w:rsid w:val="009A6C7E"/>
    <w:rsid w:val="009A6D9A"/>
    <w:rsid w:val="009A6E3D"/>
    <w:rsid w:val="009A6E79"/>
    <w:rsid w:val="009A7001"/>
    <w:rsid w:val="009A7256"/>
    <w:rsid w:val="009A7276"/>
    <w:rsid w:val="009A7308"/>
    <w:rsid w:val="009A77B8"/>
    <w:rsid w:val="009A783B"/>
    <w:rsid w:val="009A79B1"/>
    <w:rsid w:val="009A7D4F"/>
    <w:rsid w:val="009A7EE8"/>
    <w:rsid w:val="009A7FFE"/>
    <w:rsid w:val="009B0216"/>
    <w:rsid w:val="009B064C"/>
    <w:rsid w:val="009B0740"/>
    <w:rsid w:val="009B076B"/>
    <w:rsid w:val="009B076D"/>
    <w:rsid w:val="009B0B65"/>
    <w:rsid w:val="009B0BC3"/>
    <w:rsid w:val="009B0C60"/>
    <w:rsid w:val="009B1180"/>
    <w:rsid w:val="009B11E7"/>
    <w:rsid w:val="009B12CA"/>
    <w:rsid w:val="009B14C1"/>
    <w:rsid w:val="009B160B"/>
    <w:rsid w:val="009B1A12"/>
    <w:rsid w:val="009B1A60"/>
    <w:rsid w:val="009B2020"/>
    <w:rsid w:val="009B2174"/>
    <w:rsid w:val="009B2183"/>
    <w:rsid w:val="009B22A0"/>
    <w:rsid w:val="009B2477"/>
    <w:rsid w:val="009B2482"/>
    <w:rsid w:val="009B288F"/>
    <w:rsid w:val="009B2AE7"/>
    <w:rsid w:val="009B2C18"/>
    <w:rsid w:val="009B2D99"/>
    <w:rsid w:val="009B2DE9"/>
    <w:rsid w:val="009B2DF2"/>
    <w:rsid w:val="009B2F7A"/>
    <w:rsid w:val="009B33E1"/>
    <w:rsid w:val="009B3446"/>
    <w:rsid w:val="009B348B"/>
    <w:rsid w:val="009B35EF"/>
    <w:rsid w:val="009B36F3"/>
    <w:rsid w:val="009B37A3"/>
    <w:rsid w:val="009B38E6"/>
    <w:rsid w:val="009B394B"/>
    <w:rsid w:val="009B39AD"/>
    <w:rsid w:val="009B39D5"/>
    <w:rsid w:val="009B3AB0"/>
    <w:rsid w:val="009B3C2D"/>
    <w:rsid w:val="009B3EFA"/>
    <w:rsid w:val="009B3FC0"/>
    <w:rsid w:val="009B407F"/>
    <w:rsid w:val="009B43B5"/>
    <w:rsid w:val="009B4487"/>
    <w:rsid w:val="009B44C7"/>
    <w:rsid w:val="009B451F"/>
    <w:rsid w:val="009B47A0"/>
    <w:rsid w:val="009B48AA"/>
    <w:rsid w:val="009B4A9D"/>
    <w:rsid w:val="009B555C"/>
    <w:rsid w:val="009B5749"/>
    <w:rsid w:val="009B59D0"/>
    <w:rsid w:val="009B5AB2"/>
    <w:rsid w:val="009B5B60"/>
    <w:rsid w:val="009B5DBE"/>
    <w:rsid w:val="009B5E28"/>
    <w:rsid w:val="009B5E95"/>
    <w:rsid w:val="009B5EBA"/>
    <w:rsid w:val="009B63AC"/>
    <w:rsid w:val="009B63C3"/>
    <w:rsid w:val="009B6632"/>
    <w:rsid w:val="009B6930"/>
    <w:rsid w:val="009B6962"/>
    <w:rsid w:val="009B6B58"/>
    <w:rsid w:val="009B6B83"/>
    <w:rsid w:val="009B6C76"/>
    <w:rsid w:val="009B6D84"/>
    <w:rsid w:val="009B6DDF"/>
    <w:rsid w:val="009B6E41"/>
    <w:rsid w:val="009B706A"/>
    <w:rsid w:val="009B7565"/>
    <w:rsid w:val="009B7956"/>
    <w:rsid w:val="009B7A03"/>
    <w:rsid w:val="009B7A07"/>
    <w:rsid w:val="009B7C52"/>
    <w:rsid w:val="009B7CF8"/>
    <w:rsid w:val="009B7DF0"/>
    <w:rsid w:val="009B7ED1"/>
    <w:rsid w:val="009B7F7A"/>
    <w:rsid w:val="009C02A9"/>
    <w:rsid w:val="009C0379"/>
    <w:rsid w:val="009C0682"/>
    <w:rsid w:val="009C06F1"/>
    <w:rsid w:val="009C0862"/>
    <w:rsid w:val="009C0907"/>
    <w:rsid w:val="009C09E4"/>
    <w:rsid w:val="009C0B11"/>
    <w:rsid w:val="009C0BB8"/>
    <w:rsid w:val="009C0BD1"/>
    <w:rsid w:val="009C0D5E"/>
    <w:rsid w:val="009C0E1F"/>
    <w:rsid w:val="009C1078"/>
    <w:rsid w:val="009C128A"/>
    <w:rsid w:val="009C13DA"/>
    <w:rsid w:val="009C1471"/>
    <w:rsid w:val="009C169D"/>
    <w:rsid w:val="009C16D6"/>
    <w:rsid w:val="009C171E"/>
    <w:rsid w:val="009C17FB"/>
    <w:rsid w:val="009C1C7B"/>
    <w:rsid w:val="009C1CCA"/>
    <w:rsid w:val="009C1E00"/>
    <w:rsid w:val="009C20FA"/>
    <w:rsid w:val="009C2140"/>
    <w:rsid w:val="009C2305"/>
    <w:rsid w:val="009C2876"/>
    <w:rsid w:val="009C288C"/>
    <w:rsid w:val="009C2DC1"/>
    <w:rsid w:val="009C31FD"/>
    <w:rsid w:val="009C33AD"/>
    <w:rsid w:val="009C3761"/>
    <w:rsid w:val="009C3A80"/>
    <w:rsid w:val="009C3B3C"/>
    <w:rsid w:val="009C3C79"/>
    <w:rsid w:val="009C3D61"/>
    <w:rsid w:val="009C40FA"/>
    <w:rsid w:val="009C453C"/>
    <w:rsid w:val="009C4723"/>
    <w:rsid w:val="009C4804"/>
    <w:rsid w:val="009C496D"/>
    <w:rsid w:val="009C4D0A"/>
    <w:rsid w:val="009C5001"/>
    <w:rsid w:val="009C54C5"/>
    <w:rsid w:val="009C560A"/>
    <w:rsid w:val="009C565F"/>
    <w:rsid w:val="009C585A"/>
    <w:rsid w:val="009C587D"/>
    <w:rsid w:val="009C5AE4"/>
    <w:rsid w:val="009C5BE9"/>
    <w:rsid w:val="009C5BEC"/>
    <w:rsid w:val="009C5E38"/>
    <w:rsid w:val="009C5F70"/>
    <w:rsid w:val="009C65B2"/>
    <w:rsid w:val="009C6754"/>
    <w:rsid w:val="009C67D5"/>
    <w:rsid w:val="009C68E7"/>
    <w:rsid w:val="009C6928"/>
    <w:rsid w:val="009C693D"/>
    <w:rsid w:val="009C69CF"/>
    <w:rsid w:val="009C6AFC"/>
    <w:rsid w:val="009C7006"/>
    <w:rsid w:val="009C711D"/>
    <w:rsid w:val="009C730C"/>
    <w:rsid w:val="009C7391"/>
    <w:rsid w:val="009C7463"/>
    <w:rsid w:val="009C74CC"/>
    <w:rsid w:val="009C75CE"/>
    <w:rsid w:val="009C770A"/>
    <w:rsid w:val="009C7F29"/>
    <w:rsid w:val="009D019F"/>
    <w:rsid w:val="009D0383"/>
    <w:rsid w:val="009D03C1"/>
    <w:rsid w:val="009D03DC"/>
    <w:rsid w:val="009D063C"/>
    <w:rsid w:val="009D0648"/>
    <w:rsid w:val="009D076E"/>
    <w:rsid w:val="009D0819"/>
    <w:rsid w:val="009D091A"/>
    <w:rsid w:val="009D092F"/>
    <w:rsid w:val="009D0A29"/>
    <w:rsid w:val="009D0EA2"/>
    <w:rsid w:val="009D0F13"/>
    <w:rsid w:val="009D12F8"/>
    <w:rsid w:val="009D1304"/>
    <w:rsid w:val="009D13A7"/>
    <w:rsid w:val="009D17A8"/>
    <w:rsid w:val="009D1AB2"/>
    <w:rsid w:val="009D1ABB"/>
    <w:rsid w:val="009D1FCE"/>
    <w:rsid w:val="009D210C"/>
    <w:rsid w:val="009D222A"/>
    <w:rsid w:val="009D2249"/>
    <w:rsid w:val="009D24F7"/>
    <w:rsid w:val="009D2513"/>
    <w:rsid w:val="009D26F9"/>
    <w:rsid w:val="009D27C2"/>
    <w:rsid w:val="009D2BBA"/>
    <w:rsid w:val="009D2F34"/>
    <w:rsid w:val="009D2FD7"/>
    <w:rsid w:val="009D3034"/>
    <w:rsid w:val="009D3116"/>
    <w:rsid w:val="009D334F"/>
    <w:rsid w:val="009D3AD2"/>
    <w:rsid w:val="009D3DF1"/>
    <w:rsid w:val="009D3FC3"/>
    <w:rsid w:val="009D400B"/>
    <w:rsid w:val="009D4163"/>
    <w:rsid w:val="009D41C2"/>
    <w:rsid w:val="009D42C7"/>
    <w:rsid w:val="009D4346"/>
    <w:rsid w:val="009D43B9"/>
    <w:rsid w:val="009D476F"/>
    <w:rsid w:val="009D47D0"/>
    <w:rsid w:val="009D4880"/>
    <w:rsid w:val="009D48C0"/>
    <w:rsid w:val="009D491E"/>
    <w:rsid w:val="009D4BCB"/>
    <w:rsid w:val="009D4BFB"/>
    <w:rsid w:val="009D4C3F"/>
    <w:rsid w:val="009D507E"/>
    <w:rsid w:val="009D5107"/>
    <w:rsid w:val="009D51B1"/>
    <w:rsid w:val="009D5271"/>
    <w:rsid w:val="009D55CA"/>
    <w:rsid w:val="009D55ED"/>
    <w:rsid w:val="009D5CED"/>
    <w:rsid w:val="009D5E39"/>
    <w:rsid w:val="009D5F14"/>
    <w:rsid w:val="009D5F63"/>
    <w:rsid w:val="009D617E"/>
    <w:rsid w:val="009D61BE"/>
    <w:rsid w:val="009D61FA"/>
    <w:rsid w:val="009D628D"/>
    <w:rsid w:val="009D63F2"/>
    <w:rsid w:val="009D6428"/>
    <w:rsid w:val="009D642A"/>
    <w:rsid w:val="009D65C1"/>
    <w:rsid w:val="009D6958"/>
    <w:rsid w:val="009D6A44"/>
    <w:rsid w:val="009D6B30"/>
    <w:rsid w:val="009D6BC1"/>
    <w:rsid w:val="009D6EEC"/>
    <w:rsid w:val="009D7232"/>
    <w:rsid w:val="009D7309"/>
    <w:rsid w:val="009D762B"/>
    <w:rsid w:val="009D7664"/>
    <w:rsid w:val="009D76E1"/>
    <w:rsid w:val="009D7708"/>
    <w:rsid w:val="009D78E1"/>
    <w:rsid w:val="009D79AC"/>
    <w:rsid w:val="009D7C50"/>
    <w:rsid w:val="009E0089"/>
    <w:rsid w:val="009E0497"/>
    <w:rsid w:val="009E0559"/>
    <w:rsid w:val="009E0668"/>
    <w:rsid w:val="009E0711"/>
    <w:rsid w:val="009E09A2"/>
    <w:rsid w:val="009E09DF"/>
    <w:rsid w:val="009E0B04"/>
    <w:rsid w:val="009E0B6C"/>
    <w:rsid w:val="009E0D2F"/>
    <w:rsid w:val="009E105E"/>
    <w:rsid w:val="009E1317"/>
    <w:rsid w:val="009E14D0"/>
    <w:rsid w:val="009E17C2"/>
    <w:rsid w:val="009E1909"/>
    <w:rsid w:val="009E19F6"/>
    <w:rsid w:val="009E1ABB"/>
    <w:rsid w:val="009E1ABC"/>
    <w:rsid w:val="009E1BBB"/>
    <w:rsid w:val="009E1DA0"/>
    <w:rsid w:val="009E1E5B"/>
    <w:rsid w:val="009E1E9A"/>
    <w:rsid w:val="009E2585"/>
    <w:rsid w:val="009E2AE6"/>
    <w:rsid w:val="009E2B9F"/>
    <w:rsid w:val="009E2E7C"/>
    <w:rsid w:val="009E302D"/>
    <w:rsid w:val="009E313B"/>
    <w:rsid w:val="009E316A"/>
    <w:rsid w:val="009E32D1"/>
    <w:rsid w:val="009E3311"/>
    <w:rsid w:val="009E35A8"/>
    <w:rsid w:val="009E3E27"/>
    <w:rsid w:val="009E3EA5"/>
    <w:rsid w:val="009E3F10"/>
    <w:rsid w:val="009E4042"/>
    <w:rsid w:val="009E4289"/>
    <w:rsid w:val="009E4DC5"/>
    <w:rsid w:val="009E4E33"/>
    <w:rsid w:val="009E4FC7"/>
    <w:rsid w:val="009E500B"/>
    <w:rsid w:val="009E52DC"/>
    <w:rsid w:val="009E531E"/>
    <w:rsid w:val="009E5361"/>
    <w:rsid w:val="009E54C8"/>
    <w:rsid w:val="009E55F9"/>
    <w:rsid w:val="009E579A"/>
    <w:rsid w:val="009E5861"/>
    <w:rsid w:val="009E5962"/>
    <w:rsid w:val="009E5974"/>
    <w:rsid w:val="009E5A29"/>
    <w:rsid w:val="009E5A98"/>
    <w:rsid w:val="009E5ADB"/>
    <w:rsid w:val="009E5BB3"/>
    <w:rsid w:val="009E5E50"/>
    <w:rsid w:val="009E6534"/>
    <w:rsid w:val="009E6681"/>
    <w:rsid w:val="009E671C"/>
    <w:rsid w:val="009E6809"/>
    <w:rsid w:val="009E6924"/>
    <w:rsid w:val="009E696F"/>
    <w:rsid w:val="009E6BAB"/>
    <w:rsid w:val="009E6D8E"/>
    <w:rsid w:val="009E6D94"/>
    <w:rsid w:val="009E6DD6"/>
    <w:rsid w:val="009E6F1D"/>
    <w:rsid w:val="009E6F79"/>
    <w:rsid w:val="009E7048"/>
    <w:rsid w:val="009E73C2"/>
    <w:rsid w:val="009E7665"/>
    <w:rsid w:val="009E76FB"/>
    <w:rsid w:val="009E7A03"/>
    <w:rsid w:val="009E7C00"/>
    <w:rsid w:val="009E7D2A"/>
    <w:rsid w:val="009E7DCE"/>
    <w:rsid w:val="009E7F51"/>
    <w:rsid w:val="009F0055"/>
    <w:rsid w:val="009F0093"/>
    <w:rsid w:val="009F00FE"/>
    <w:rsid w:val="009F03A4"/>
    <w:rsid w:val="009F03D7"/>
    <w:rsid w:val="009F0617"/>
    <w:rsid w:val="009F064C"/>
    <w:rsid w:val="009F066B"/>
    <w:rsid w:val="009F0955"/>
    <w:rsid w:val="009F0A80"/>
    <w:rsid w:val="009F0B2E"/>
    <w:rsid w:val="009F0E86"/>
    <w:rsid w:val="009F0FA4"/>
    <w:rsid w:val="009F100E"/>
    <w:rsid w:val="009F104B"/>
    <w:rsid w:val="009F1296"/>
    <w:rsid w:val="009F1478"/>
    <w:rsid w:val="009F176B"/>
    <w:rsid w:val="009F1AC9"/>
    <w:rsid w:val="009F1CB3"/>
    <w:rsid w:val="009F1EB9"/>
    <w:rsid w:val="009F1EFE"/>
    <w:rsid w:val="009F1FE4"/>
    <w:rsid w:val="009F23DB"/>
    <w:rsid w:val="009F23E1"/>
    <w:rsid w:val="009F2614"/>
    <w:rsid w:val="009F2652"/>
    <w:rsid w:val="009F2745"/>
    <w:rsid w:val="009F28F2"/>
    <w:rsid w:val="009F2A9E"/>
    <w:rsid w:val="009F2B17"/>
    <w:rsid w:val="009F3172"/>
    <w:rsid w:val="009F3286"/>
    <w:rsid w:val="009F35E4"/>
    <w:rsid w:val="009F3640"/>
    <w:rsid w:val="009F3707"/>
    <w:rsid w:val="009F373C"/>
    <w:rsid w:val="009F381B"/>
    <w:rsid w:val="009F3ADC"/>
    <w:rsid w:val="009F3BB7"/>
    <w:rsid w:val="009F3E0F"/>
    <w:rsid w:val="009F3EA7"/>
    <w:rsid w:val="009F444C"/>
    <w:rsid w:val="009F475F"/>
    <w:rsid w:val="009F486E"/>
    <w:rsid w:val="009F48A3"/>
    <w:rsid w:val="009F4CC8"/>
    <w:rsid w:val="009F4E20"/>
    <w:rsid w:val="009F5033"/>
    <w:rsid w:val="009F508A"/>
    <w:rsid w:val="009F57EF"/>
    <w:rsid w:val="009F5A0B"/>
    <w:rsid w:val="009F5CAD"/>
    <w:rsid w:val="009F5FD2"/>
    <w:rsid w:val="009F612E"/>
    <w:rsid w:val="009F6397"/>
    <w:rsid w:val="009F66B5"/>
    <w:rsid w:val="009F66C0"/>
    <w:rsid w:val="009F68DF"/>
    <w:rsid w:val="009F6972"/>
    <w:rsid w:val="009F6C03"/>
    <w:rsid w:val="009F6C69"/>
    <w:rsid w:val="009F6D97"/>
    <w:rsid w:val="009F6F21"/>
    <w:rsid w:val="009F70A7"/>
    <w:rsid w:val="009F7208"/>
    <w:rsid w:val="009F725A"/>
    <w:rsid w:val="009F7282"/>
    <w:rsid w:val="009F7516"/>
    <w:rsid w:val="009F766C"/>
    <w:rsid w:val="009F7708"/>
    <w:rsid w:val="009F784A"/>
    <w:rsid w:val="00A00035"/>
    <w:rsid w:val="00A000D5"/>
    <w:rsid w:val="00A002A9"/>
    <w:rsid w:val="00A00480"/>
    <w:rsid w:val="00A005ED"/>
    <w:rsid w:val="00A00782"/>
    <w:rsid w:val="00A00784"/>
    <w:rsid w:val="00A007B9"/>
    <w:rsid w:val="00A00861"/>
    <w:rsid w:val="00A00BDF"/>
    <w:rsid w:val="00A00BFA"/>
    <w:rsid w:val="00A00C2E"/>
    <w:rsid w:val="00A00CB9"/>
    <w:rsid w:val="00A00DBD"/>
    <w:rsid w:val="00A00E29"/>
    <w:rsid w:val="00A00F0C"/>
    <w:rsid w:val="00A00FAC"/>
    <w:rsid w:val="00A01064"/>
    <w:rsid w:val="00A01157"/>
    <w:rsid w:val="00A01208"/>
    <w:rsid w:val="00A012E1"/>
    <w:rsid w:val="00A016D3"/>
    <w:rsid w:val="00A01B0F"/>
    <w:rsid w:val="00A01E10"/>
    <w:rsid w:val="00A0206D"/>
    <w:rsid w:val="00A02252"/>
    <w:rsid w:val="00A02367"/>
    <w:rsid w:val="00A028B3"/>
    <w:rsid w:val="00A0297D"/>
    <w:rsid w:val="00A02FB7"/>
    <w:rsid w:val="00A02FDE"/>
    <w:rsid w:val="00A030D1"/>
    <w:rsid w:val="00A0393A"/>
    <w:rsid w:val="00A03AF3"/>
    <w:rsid w:val="00A03E44"/>
    <w:rsid w:val="00A03EEC"/>
    <w:rsid w:val="00A04482"/>
    <w:rsid w:val="00A04581"/>
    <w:rsid w:val="00A0473E"/>
    <w:rsid w:val="00A04BA5"/>
    <w:rsid w:val="00A04C9E"/>
    <w:rsid w:val="00A04D5F"/>
    <w:rsid w:val="00A04E1D"/>
    <w:rsid w:val="00A04EFB"/>
    <w:rsid w:val="00A051C2"/>
    <w:rsid w:val="00A05273"/>
    <w:rsid w:val="00A05418"/>
    <w:rsid w:val="00A05530"/>
    <w:rsid w:val="00A05668"/>
    <w:rsid w:val="00A058AE"/>
    <w:rsid w:val="00A05B76"/>
    <w:rsid w:val="00A05DF7"/>
    <w:rsid w:val="00A05EEC"/>
    <w:rsid w:val="00A05F5B"/>
    <w:rsid w:val="00A05F86"/>
    <w:rsid w:val="00A05F89"/>
    <w:rsid w:val="00A062FD"/>
    <w:rsid w:val="00A0663A"/>
    <w:rsid w:val="00A06A7F"/>
    <w:rsid w:val="00A06F84"/>
    <w:rsid w:val="00A071D8"/>
    <w:rsid w:val="00A07388"/>
    <w:rsid w:val="00A07587"/>
    <w:rsid w:val="00A079C1"/>
    <w:rsid w:val="00A07A8D"/>
    <w:rsid w:val="00A07BC7"/>
    <w:rsid w:val="00A07BE3"/>
    <w:rsid w:val="00A07CB4"/>
    <w:rsid w:val="00A07D11"/>
    <w:rsid w:val="00A07D86"/>
    <w:rsid w:val="00A1009D"/>
    <w:rsid w:val="00A103E8"/>
    <w:rsid w:val="00A10573"/>
    <w:rsid w:val="00A1076D"/>
    <w:rsid w:val="00A10A3C"/>
    <w:rsid w:val="00A1108E"/>
    <w:rsid w:val="00A1135E"/>
    <w:rsid w:val="00A11555"/>
    <w:rsid w:val="00A11771"/>
    <w:rsid w:val="00A1185A"/>
    <w:rsid w:val="00A11A6C"/>
    <w:rsid w:val="00A11B3A"/>
    <w:rsid w:val="00A11C5E"/>
    <w:rsid w:val="00A12282"/>
    <w:rsid w:val="00A122F9"/>
    <w:rsid w:val="00A12499"/>
    <w:rsid w:val="00A1258D"/>
    <w:rsid w:val="00A1267B"/>
    <w:rsid w:val="00A12726"/>
    <w:rsid w:val="00A127AB"/>
    <w:rsid w:val="00A12825"/>
    <w:rsid w:val="00A129FB"/>
    <w:rsid w:val="00A12A55"/>
    <w:rsid w:val="00A12B5F"/>
    <w:rsid w:val="00A12BA1"/>
    <w:rsid w:val="00A12D4E"/>
    <w:rsid w:val="00A12E24"/>
    <w:rsid w:val="00A12E7D"/>
    <w:rsid w:val="00A12EF6"/>
    <w:rsid w:val="00A13002"/>
    <w:rsid w:val="00A131F8"/>
    <w:rsid w:val="00A13562"/>
    <w:rsid w:val="00A135A3"/>
    <w:rsid w:val="00A1367B"/>
    <w:rsid w:val="00A13896"/>
    <w:rsid w:val="00A13B45"/>
    <w:rsid w:val="00A13B7E"/>
    <w:rsid w:val="00A13BEC"/>
    <w:rsid w:val="00A13C13"/>
    <w:rsid w:val="00A13C1D"/>
    <w:rsid w:val="00A13FB7"/>
    <w:rsid w:val="00A142C3"/>
    <w:rsid w:val="00A142E0"/>
    <w:rsid w:val="00A1448F"/>
    <w:rsid w:val="00A14698"/>
    <w:rsid w:val="00A146C5"/>
    <w:rsid w:val="00A149A2"/>
    <w:rsid w:val="00A149DF"/>
    <w:rsid w:val="00A14B3B"/>
    <w:rsid w:val="00A14BD8"/>
    <w:rsid w:val="00A14D27"/>
    <w:rsid w:val="00A154FF"/>
    <w:rsid w:val="00A158CF"/>
    <w:rsid w:val="00A15945"/>
    <w:rsid w:val="00A15BF8"/>
    <w:rsid w:val="00A15CA4"/>
    <w:rsid w:val="00A15D2E"/>
    <w:rsid w:val="00A15DAA"/>
    <w:rsid w:val="00A15ED3"/>
    <w:rsid w:val="00A16174"/>
    <w:rsid w:val="00A161F8"/>
    <w:rsid w:val="00A16307"/>
    <w:rsid w:val="00A16482"/>
    <w:rsid w:val="00A165D2"/>
    <w:rsid w:val="00A1668D"/>
    <w:rsid w:val="00A16722"/>
    <w:rsid w:val="00A16759"/>
    <w:rsid w:val="00A16789"/>
    <w:rsid w:val="00A167BA"/>
    <w:rsid w:val="00A16C2C"/>
    <w:rsid w:val="00A16E78"/>
    <w:rsid w:val="00A16F6A"/>
    <w:rsid w:val="00A1711B"/>
    <w:rsid w:val="00A174F4"/>
    <w:rsid w:val="00A1750C"/>
    <w:rsid w:val="00A17887"/>
    <w:rsid w:val="00A178AC"/>
    <w:rsid w:val="00A17A16"/>
    <w:rsid w:val="00A17B4E"/>
    <w:rsid w:val="00A17FDE"/>
    <w:rsid w:val="00A201F5"/>
    <w:rsid w:val="00A2030E"/>
    <w:rsid w:val="00A20681"/>
    <w:rsid w:val="00A209F6"/>
    <w:rsid w:val="00A20A5E"/>
    <w:rsid w:val="00A20A7E"/>
    <w:rsid w:val="00A20ADB"/>
    <w:rsid w:val="00A20FFC"/>
    <w:rsid w:val="00A21043"/>
    <w:rsid w:val="00A2133F"/>
    <w:rsid w:val="00A21481"/>
    <w:rsid w:val="00A21865"/>
    <w:rsid w:val="00A219D5"/>
    <w:rsid w:val="00A220B7"/>
    <w:rsid w:val="00A2215C"/>
    <w:rsid w:val="00A222B5"/>
    <w:rsid w:val="00A22412"/>
    <w:rsid w:val="00A226BF"/>
    <w:rsid w:val="00A22812"/>
    <w:rsid w:val="00A22891"/>
    <w:rsid w:val="00A22B62"/>
    <w:rsid w:val="00A22EA8"/>
    <w:rsid w:val="00A23030"/>
    <w:rsid w:val="00A23091"/>
    <w:rsid w:val="00A2324F"/>
    <w:rsid w:val="00A23262"/>
    <w:rsid w:val="00A23343"/>
    <w:rsid w:val="00A23415"/>
    <w:rsid w:val="00A23B14"/>
    <w:rsid w:val="00A23E82"/>
    <w:rsid w:val="00A23FE6"/>
    <w:rsid w:val="00A24062"/>
    <w:rsid w:val="00A2414A"/>
    <w:rsid w:val="00A244A5"/>
    <w:rsid w:val="00A244AF"/>
    <w:rsid w:val="00A24787"/>
    <w:rsid w:val="00A24890"/>
    <w:rsid w:val="00A248FC"/>
    <w:rsid w:val="00A2493E"/>
    <w:rsid w:val="00A24F09"/>
    <w:rsid w:val="00A25165"/>
    <w:rsid w:val="00A253C8"/>
    <w:rsid w:val="00A25503"/>
    <w:rsid w:val="00A25620"/>
    <w:rsid w:val="00A25988"/>
    <w:rsid w:val="00A25A71"/>
    <w:rsid w:val="00A25C57"/>
    <w:rsid w:val="00A25D0B"/>
    <w:rsid w:val="00A2606B"/>
    <w:rsid w:val="00A260C7"/>
    <w:rsid w:val="00A260E6"/>
    <w:rsid w:val="00A266F6"/>
    <w:rsid w:val="00A26928"/>
    <w:rsid w:val="00A26C57"/>
    <w:rsid w:val="00A26C5A"/>
    <w:rsid w:val="00A26DB5"/>
    <w:rsid w:val="00A26E9A"/>
    <w:rsid w:val="00A27391"/>
    <w:rsid w:val="00A274D1"/>
    <w:rsid w:val="00A2767E"/>
    <w:rsid w:val="00A27A1D"/>
    <w:rsid w:val="00A27AE1"/>
    <w:rsid w:val="00A27AF3"/>
    <w:rsid w:val="00A30032"/>
    <w:rsid w:val="00A30078"/>
    <w:rsid w:val="00A3015B"/>
    <w:rsid w:val="00A302DE"/>
    <w:rsid w:val="00A3042A"/>
    <w:rsid w:val="00A305CE"/>
    <w:rsid w:val="00A308B2"/>
    <w:rsid w:val="00A309B3"/>
    <w:rsid w:val="00A30B4C"/>
    <w:rsid w:val="00A30DF6"/>
    <w:rsid w:val="00A30F54"/>
    <w:rsid w:val="00A310D8"/>
    <w:rsid w:val="00A31156"/>
    <w:rsid w:val="00A31316"/>
    <w:rsid w:val="00A313C6"/>
    <w:rsid w:val="00A31851"/>
    <w:rsid w:val="00A319F7"/>
    <w:rsid w:val="00A31A97"/>
    <w:rsid w:val="00A31E45"/>
    <w:rsid w:val="00A31E5D"/>
    <w:rsid w:val="00A32243"/>
    <w:rsid w:val="00A32707"/>
    <w:rsid w:val="00A327BC"/>
    <w:rsid w:val="00A327FA"/>
    <w:rsid w:val="00A328EF"/>
    <w:rsid w:val="00A32953"/>
    <w:rsid w:val="00A33148"/>
    <w:rsid w:val="00A3329F"/>
    <w:rsid w:val="00A336C9"/>
    <w:rsid w:val="00A33AF5"/>
    <w:rsid w:val="00A33CEC"/>
    <w:rsid w:val="00A33D00"/>
    <w:rsid w:val="00A34183"/>
    <w:rsid w:val="00A343BE"/>
    <w:rsid w:val="00A34755"/>
    <w:rsid w:val="00A34AE5"/>
    <w:rsid w:val="00A34C5C"/>
    <w:rsid w:val="00A34D75"/>
    <w:rsid w:val="00A34F8F"/>
    <w:rsid w:val="00A35306"/>
    <w:rsid w:val="00A35363"/>
    <w:rsid w:val="00A353CB"/>
    <w:rsid w:val="00A3557D"/>
    <w:rsid w:val="00A35871"/>
    <w:rsid w:val="00A35EBC"/>
    <w:rsid w:val="00A360B4"/>
    <w:rsid w:val="00A36145"/>
    <w:rsid w:val="00A362C7"/>
    <w:rsid w:val="00A363F7"/>
    <w:rsid w:val="00A364A9"/>
    <w:rsid w:val="00A3677E"/>
    <w:rsid w:val="00A3684A"/>
    <w:rsid w:val="00A36995"/>
    <w:rsid w:val="00A36A5B"/>
    <w:rsid w:val="00A36B18"/>
    <w:rsid w:val="00A36D9B"/>
    <w:rsid w:val="00A372F5"/>
    <w:rsid w:val="00A373CC"/>
    <w:rsid w:val="00A375E4"/>
    <w:rsid w:val="00A37756"/>
    <w:rsid w:val="00A37782"/>
    <w:rsid w:val="00A379DE"/>
    <w:rsid w:val="00A37A14"/>
    <w:rsid w:val="00A37AE0"/>
    <w:rsid w:val="00A37AE5"/>
    <w:rsid w:val="00A37B66"/>
    <w:rsid w:val="00A37C6E"/>
    <w:rsid w:val="00A37CC6"/>
    <w:rsid w:val="00A400E3"/>
    <w:rsid w:val="00A402B1"/>
    <w:rsid w:val="00A4058C"/>
    <w:rsid w:val="00A407B9"/>
    <w:rsid w:val="00A40903"/>
    <w:rsid w:val="00A40A50"/>
    <w:rsid w:val="00A40C14"/>
    <w:rsid w:val="00A40C4C"/>
    <w:rsid w:val="00A40C57"/>
    <w:rsid w:val="00A40C62"/>
    <w:rsid w:val="00A40F38"/>
    <w:rsid w:val="00A41094"/>
    <w:rsid w:val="00A410D9"/>
    <w:rsid w:val="00A413F3"/>
    <w:rsid w:val="00A4179B"/>
    <w:rsid w:val="00A41BB3"/>
    <w:rsid w:val="00A41DC4"/>
    <w:rsid w:val="00A41DE8"/>
    <w:rsid w:val="00A42408"/>
    <w:rsid w:val="00A42458"/>
    <w:rsid w:val="00A424F2"/>
    <w:rsid w:val="00A4255C"/>
    <w:rsid w:val="00A42561"/>
    <w:rsid w:val="00A42629"/>
    <w:rsid w:val="00A4263A"/>
    <w:rsid w:val="00A426B6"/>
    <w:rsid w:val="00A42930"/>
    <w:rsid w:val="00A42A35"/>
    <w:rsid w:val="00A42B77"/>
    <w:rsid w:val="00A430DB"/>
    <w:rsid w:val="00A43139"/>
    <w:rsid w:val="00A43180"/>
    <w:rsid w:val="00A434AE"/>
    <w:rsid w:val="00A43584"/>
    <w:rsid w:val="00A43673"/>
    <w:rsid w:val="00A43E0A"/>
    <w:rsid w:val="00A44610"/>
    <w:rsid w:val="00A446A3"/>
    <w:rsid w:val="00A44B25"/>
    <w:rsid w:val="00A44F2A"/>
    <w:rsid w:val="00A4514E"/>
    <w:rsid w:val="00A4549B"/>
    <w:rsid w:val="00A45911"/>
    <w:rsid w:val="00A45938"/>
    <w:rsid w:val="00A4596C"/>
    <w:rsid w:val="00A45A70"/>
    <w:rsid w:val="00A45CB5"/>
    <w:rsid w:val="00A45D70"/>
    <w:rsid w:val="00A45DC4"/>
    <w:rsid w:val="00A45E06"/>
    <w:rsid w:val="00A45F27"/>
    <w:rsid w:val="00A460BD"/>
    <w:rsid w:val="00A46124"/>
    <w:rsid w:val="00A4675A"/>
    <w:rsid w:val="00A46BF7"/>
    <w:rsid w:val="00A46EE6"/>
    <w:rsid w:val="00A46F11"/>
    <w:rsid w:val="00A46F92"/>
    <w:rsid w:val="00A4702E"/>
    <w:rsid w:val="00A473BD"/>
    <w:rsid w:val="00A4754B"/>
    <w:rsid w:val="00A47681"/>
    <w:rsid w:val="00A47A3B"/>
    <w:rsid w:val="00A47A89"/>
    <w:rsid w:val="00A47C60"/>
    <w:rsid w:val="00A47F9D"/>
    <w:rsid w:val="00A50122"/>
    <w:rsid w:val="00A502EC"/>
    <w:rsid w:val="00A504DD"/>
    <w:rsid w:val="00A506C6"/>
    <w:rsid w:val="00A50707"/>
    <w:rsid w:val="00A50881"/>
    <w:rsid w:val="00A50C06"/>
    <w:rsid w:val="00A50CB0"/>
    <w:rsid w:val="00A50CC2"/>
    <w:rsid w:val="00A511A6"/>
    <w:rsid w:val="00A5136B"/>
    <w:rsid w:val="00A51518"/>
    <w:rsid w:val="00A5168E"/>
    <w:rsid w:val="00A516CA"/>
    <w:rsid w:val="00A51AEB"/>
    <w:rsid w:val="00A51FD2"/>
    <w:rsid w:val="00A522E0"/>
    <w:rsid w:val="00A524E5"/>
    <w:rsid w:val="00A52714"/>
    <w:rsid w:val="00A527D8"/>
    <w:rsid w:val="00A52B12"/>
    <w:rsid w:val="00A52B6F"/>
    <w:rsid w:val="00A52C25"/>
    <w:rsid w:val="00A52D7A"/>
    <w:rsid w:val="00A52F21"/>
    <w:rsid w:val="00A52F8D"/>
    <w:rsid w:val="00A53244"/>
    <w:rsid w:val="00A53383"/>
    <w:rsid w:val="00A533ED"/>
    <w:rsid w:val="00A534BE"/>
    <w:rsid w:val="00A53555"/>
    <w:rsid w:val="00A5368F"/>
    <w:rsid w:val="00A5375A"/>
    <w:rsid w:val="00A53C76"/>
    <w:rsid w:val="00A53CA8"/>
    <w:rsid w:val="00A5424E"/>
    <w:rsid w:val="00A542B1"/>
    <w:rsid w:val="00A542EA"/>
    <w:rsid w:val="00A5435F"/>
    <w:rsid w:val="00A543A4"/>
    <w:rsid w:val="00A54496"/>
    <w:rsid w:val="00A5455A"/>
    <w:rsid w:val="00A54750"/>
    <w:rsid w:val="00A549FB"/>
    <w:rsid w:val="00A54B81"/>
    <w:rsid w:val="00A54BAB"/>
    <w:rsid w:val="00A54D53"/>
    <w:rsid w:val="00A54D68"/>
    <w:rsid w:val="00A54D75"/>
    <w:rsid w:val="00A54DD7"/>
    <w:rsid w:val="00A54EAC"/>
    <w:rsid w:val="00A54EFA"/>
    <w:rsid w:val="00A55399"/>
    <w:rsid w:val="00A554A6"/>
    <w:rsid w:val="00A556C5"/>
    <w:rsid w:val="00A556E4"/>
    <w:rsid w:val="00A55788"/>
    <w:rsid w:val="00A55ADC"/>
    <w:rsid w:val="00A55C98"/>
    <w:rsid w:val="00A55CE0"/>
    <w:rsid w:val="00A55D9E"/>
    <w:rsid w:val="00A55ECC"/>
    <w:rsid w:val="00A56151"/>
    <w:rsid w:val="00A561F0"/>
    <w:rsid w:val="00A56348"/>
    <w:rsid w:val="00A5675E"/>
    <w:rsid w:val="00A5677B"/>
    <w:rsid w:val="00A56E43"/>
    <w:rsid w:val="00A57355"/>
    <w:rsid w:val="00A5750B"/>
    <w:rsid w:val="00A57512"/>
    <w:rsid w:val="00A575CC"/>
    <w:rsid w:val="00A5768C"/>
    <w:rsid w:val="00A57828"/>
    <w:rsid w:val="00A5791D"/>
    <w:rsid w:val="00A5792A"/>
    <w:rsid w:val="00A579C9"/>
    <w:rsid w:val="00A57A54"/>
    <w:rsid w:val="00A57C3B"/>
    <w:rsid w:val="00A57FBA"/>
    <w:rsid w:val="00A601C3"/>
    <w:rsid w:val="00A60329"/>
    <w:rsid w:val="00A6035F"/>
    <w:rsid w:val="00A60434"/>
    <w:rsid w:val="00A604CB"/>
    <w:rsid w:val="00A606D8"/>
    <w:rsid w:val="00A60848"/>
    <w:rsid w:val="00A609C9"/>
    <w:rsid w:val="00A60C26"/>
    <w:rsid w:val="00A60EAF"/>
    <w:rsid w:val="00A60F87"/>
    <w:rsid w:val="00A610D1"/>
    <w:rsid w:val="00A61396"/>
    <w:rsid w:val="00A6156C"/>
    <w:rsid w:val="00A61622"/>
    <w:rsid w:val="00A616B4"/>
    <w:rsid w:val="00A616F7"/>
    <w:rsid w:val="00A617F9"/>
    <w:rsid w:val="00A618CC"/>
    <w:rsid w:val="00A61C47"/>
    <w:rsid w:val="00A61E09"/>
    <w:rsid w:val="00A61E41"/>
    <w:rsid w:val="00A62413"/>
    <w:rsid w:val="00A62651"/>
    <w:rsid w:val="00A62742"/>
    <w:rsid w:val="00A6277C"/>
    <w:rsid w:val="00A628A1"/>
    <w:rsid w:val="00A628FC"/>
    <w:rsid w:val="00A62BD2"/>
    <w:rsid w:val="00A62C31"/>
    <w:rsid w:val="00A62DDA"/>
    <w:rsid w:val="00A62E7A"/>
    <w:rsid w:val="00A62FF4"/>
    <w:rsid w:val="00A63125"/>
    <w:rsid w:val="00A6357B"/>
    <w:rsid w:val="00A63AA1"/>
    <w:rsid w:val="00A63C63"/>
    <w:rsid w:val="00A63CC0"/>
    <w:rsid w:val="00A63EF9"/>
    <w:rsid w:val="00A63F16"/>
    <w:rsid w:val="00A6418B"/>
    <w:rsid w:val="00A643C2"/>
    <w:rsid w:val="00A643DC"/>
    <w:rsid w:val="00A6443D"/>
    <w:rsid w:val="00A64546"/>
    <w:rsid w:val="00A64629"/>
    <w:rsid w:val="00A64813"/>
    <w:rsid w:val="00A650D0"/>
    <w:rsid w:val="00A65370"/>
    <w:rsid w:val="00A65905"/>
    <w:rsid w:val="00A65BA1"/>
    <w:rsid w:val="00A65BCE"/>
    <w:rsid w:val="00A65F9B"/>
    <w:rsid w:val="00A661DE"/>
    <w:rsid w:val="00A664C1"/>
    <w:rsid w:val="00A667B9"/>
    <w:rsid w:val="00A66C39"/>
    <w:rsid w:val="00A66CF2"/>
    <w:rsid w:val="00A66D77"/>
    <w:rsid w:val="00A66EE2"/>
    <w:rsid w:val="00A67040"/>
    <w:rsid w:val="00A67063"/>
    <w:rsid w:val="00A67238"/>
    <w:rsid w:val="00A6733D"/>
    <w:rsid w:val="00A674B6"/>
    <w:rsid w:val="00A678BB"/>
    <w:rsid w:val="00A6797B"/>
    <w:rsid w:val="00A67B0A"/>
    <w:rsid w:val="00A67DB1"/>
    <w:rsid w:val="00A67E83"/>
    <w:rsid w:val="00A700ED"/>
    <w:rsid w:val="00A703D5"/>
    <w:rsid w:val="00A703E1"/>
    <w:rsid w:val="00A711F6"/>
    <w:rsid w:val="00A71464"/>
    <w:rsid w:val="00A71805"/>
    <w:rsid w:val="00A71902"/>
    <w:rsid w:val="00A71931"/>
    <w:rsid w:val="00A71DB6"/>
    <w:rsid w:val="00A71DD7"/>
    <w:rsid w:val="00A71F5C"/>
    <w:rsid w:val="00A723A8"/>
    <w:rsid w:val="00A724F1"/>
    <w:rsid w:val="00A72593"/>
    <w:rsid w:val="00A725D3"/>
    <w:rsid w:val="00A72990"/>
    <w:rsid w:val="00A72B49"/>
    <w:rsid w:val="00A72C1F"/>
    <w:rsid w:val="00A72CEF"/>
    <w:rsid w:val="00A72DA1"/>
    <w:rsid w:val="00A72F4C"/>
    <w:rsid w:val="00A732CD"/>
    <w:rsid w:val="00A73408"/>
    <w:rsid w:val="00A7349C"/>
    <w:rsid w:val="00A734FD"/>
    <w:rsid w:val="00A73686"/>
    <w:rsid w:val="00A7370A"/>
    <w:rsid w:val="00A7391D"/>
    <w:rsid w:val="00A73A67"/>
    <w:rsid w:val="00A73C9B"/>
    <w:rsid w:val="00A74266"/>
    <w:rsid w:val="00A74621"/>
    <w:rsid w:val="00A748BE"/>
    <w:rsid w:val="00A74951"/>
    <w:rsid w:val="00A749A0"/>
    <w:rsid w:val="00A74B23"/>
    <w:rsid w:val="00A74EAB"/>
    <w:rsid w:val="00A750C8"/>
    <w:rsid w:val="00A752C1"/>
    <w:rsid w:val="00A7547B"/>
    <w:rsid w:val="00A7549D"/>
    <w:rsid w:val="00A755DA"/>
    <w:rsid w:val="00A75C3C"/>
    <w:rsid w:val="00A75D05"/>
    <w:rsid w:val="00A75FF1"/>
    <w:rsid w:val="00A76406"/>
    <w:rsid w:val="00A765D4"/>
    <w:rsid w:val="00A7665A"/>
    <w:rsid w:val="00A76808"/>
    <w:rsid w:val="00A76959"/>
    <w:rsid w:val="00A76A5C"/>
    <w:rsid w:val="00A76D8C"/>
    <w:rsid w:val="00A76EE2"/>
    <w:rsid w:val="00A76F08"/>
    <w:rsid w:val="00A76F5D"/>
    <w:rsid w:val="00A76F78"/>
    <w:rsid w:val="00A772B6"/>
    <w:rsid w:val="00A7735C"/>
    <w:rsid w:val="00A77414"/>
    <w:rsid w:val="00A7749E"/>
    <w:rsid w:val="00A7760D"/>
    <w:rsid w:val="00A77747"/>
    <w:rsid w:val="00A7784E"/>
    <w:rsid w:val="00A77C1F"/>
    <w:rsid w:val="00A77D53"/>
    <w:rsid w:val="00A77E69"/>
    <w:rsid w:val="00A80021"/>
    <w:rsid w:val="00A80148"/>
    <w:rsid w:val="00A801DA"/>
    <w:rsid w:val="00A8049F"/>
    <w:rsid w:val="00A8051B"/>
    <w:rsid w:val="00A80928"/>
    <w:rsid w:val="00A80AAB"/>
    <w:rsid w:val="00A80B53"/>
    <w:rsid w:val="00A80BAB"/>
    <w:rsid w:val="00A80D1A"/>
    <w:rsid w:val="00A80F23"/>
    <w:rsid w:val="00A80F53"/>
    <w:rsid w:val="00A81172"/>
    <w:rsid w:val="00A8120A"/>
    <w:rsid w:val="00A81265"/>
    <w:rsid w:val="00A814FD"/>
    <w:rsid w:val="00A81784"/>
    <w:rsid w:val="00A818C3"/>
    <w:rsid w:val="00A81E7E"/>
    <w:rsid w:val="00A81E8B"/>
    <w:rsid w:val="00A81E8C"/>
    <w:rsid w:val="00A81F39"/>
    <w:rsid w:val="00A82096"/>
    <w:rsid w:val="00A8256F"/>
    <w:rsid w:val="00A8274E"/>
    <w:rsid w:val="00A82798"/>
    <w:rsid w:val="00A82814"/>
    <w:rsid w:val="00A82848"/>
    <w:rsid w:val="00A82B07"/>
    <w:rsid w:val="00A82CFF"/>
    <w:rsid w:val="00A82FF8"/>
    <w:rsid w:val="00A838A0"/>
    <w:rsid w:val="00A83BEA"/>
    <w:rsid w:val="00A84072"/>
    <w:rsid w:val="00A84753"/>
    <w:rsid w:val="00A84A3D"/>
    <w:rsid w:val="00A84CDB"/>
    <w:rsid w:val="00A8561D"/>
    <w:rsid w:val="00A85646"/>
    <w:rsid w:val="00A85A9C"/>
    <w:rsid w:val="00A85B44"/>
    <w:rsid w:val="00A85D64"/>
    <w:rsid w:val="00A86034"/>
    <w:rsid w:val="00A860F5"/>
    <w:rsid w:val="00A8628C"/>
    <w:rsid w:val="00A86ABD"/>
    <w:rsid w:val="00A86D02"/>
    <w:rsid w:val="00A86D39"/>
    <w:rsid w:val="00A86D73"/>
    <w:rsid w:val="00A87259"/>
    <w:rsid w:val="00A8725D"/>
    <w:rsid w:val="00A87500"/>
    <w:rsid w:val="00A875D0"/>
    <w:rsid w:val="00A875D4"/>
    <w:rsid w:val="00A87623"/>
    <w:rsid w:val="00A8767C"/>
    <w:rsid w:val="00A87B82"/>
    <w:rsid w:val="00A87C29"/>
    <w:rsid w:val="00A87DB8"/>
    <w:rsid w:val="00A87E64"/>
    <w:rsid w:val="00A900BA"/>
    <w:rsid w:val="00A9021D"/>
    <w:rsid w:val="00A90681"/>
    <w:rsid w:val="00A90848"/>
    <w:rsid w:val="00A9093A"/>
    <w:rsid w:val="00A90BCE"/>
    <w:rsid w:val="00A90C54"/>
    <w:rsid w:val="00A90CBB"/>
    <w:rsid w:val="00A91935"/>
    <w:rsid w:val="00A91A9D"/>
    <w:rsid w:val="00A91CAB"/>
    <w:rsid w:val="00A91FF8"/>
    <w:rsid w:val="00A921FB"/>
    <w:rsid w:val="00A92213"/>
    <w:rsid w:val="00A9245C"/>
    <w:rsid w:val="00A9249D"/>
    <w:rsid w:val="00A92556"/>
    <w:rsid w:val="00A925DF"/>
    <w:rsid w:val="00A92697"/>
    <w:rsid w:val="00A926D5"/>
    <w:rsid w:val="00A92828"/>
    <w:rsid w:val="00A92A68"/>
    <w:rsid w:val="00A92AA4"/>
    <w:rsid w:val="00A92B44"/>
    <w:rsid w:val="00A92CA3"/>
    <w:rsid w:val="00A92F6D"/>
    <w:rsid w:val="00A930A5"/>
    <w:rsid w:val="00A9320F"/>
    <w:rsid w:val="00A933C8"/>
    <w:rsid w:val="00A93799"/>
    <w:rsid w:val="00A9394E"/>
    <w:rsid w:val="00A939DA"/>
    <w:rsid w:val="00A93B5E"/>
    <w:rsid w:val="00A93BFE"/>
    <w:rsid w:val="00A93C63"/>
    <w:rsid w:val="00A93D96"/>
    <w:rsid w:val="00A94154"/>
    <w:rsid w:val="00A94261"/>
    <w:rsid w:val="00A94591"/>
    <w:rsid w:val="00A945B9"/>
    <w:rsid w:val="00A947B5"/>
    <w:rsid w:val="00A94814"/>
    <w:rsid w:val="00A9486C"/>
    <w:rsid w:val="00A948BC"/>
    <w:rsid w:val="00A94948"/>
    <w:rsid w:val="00A94955"/>
    <w:rsid w:val="00A94AFF"/>
    <w:rsid w:val="00A94B53"/>
    <w:rsid w:val="00A94C16"/>
    <w:rsid w:val="00A94CCF"/>
    <w:rsid w:val="00A94DBD"/>
    <w:rsid w:val="00A95162"/>
    <w:rsid w:val="00A9571E"/>
    <w:rsid w:val="00A9573A"/>
    <w:rsid w:val="00A95AC3"/>
    <w:rsid w:val="00A95B1C"/>
    <w:rsid w:val="00A96051"/>
    <w:rsid w:val="00A96198"/>
    <w:rsid w:val="00A96524"/>
    <w:rsid w:val="00A965F2"/>
    <w:rsid w:val="00A9677D"/>
    <w:rsid w:val="00A9682D"/>
    <w:rsid w:val="00A968E4"/>
    <w:rsid w:val="00A9697F"/>
    <w:rsid w:val="00A96F9D"/>
    <w:rsid w:val="00A97001"/>
    <w:rsid w:val="00A970B9"/>
    <w:rsid w:val="00A970FF"/>
    <w:rsid w:val="00A97183"/>
    <w:rsid w:val="00A97204"/>
    <w:rsid w:val="00A9739D"/>
    <w:rsid w:val="00A9760A"/>
    <w:rsid w:val="00A97611"/>
    <w:rsid w:val="00A97732"/>
    <w:rsid w:val="00A979E0"/>
    <w:rsid w:val="00A97C3F"/>
    <w:rsid w:val="00A97DC6"/>
    <w:rsid w:val="00A97DD9"/>
    <w:rsid w:val="00A97E43"/>
    <w:rsid w:val="00A97E89"/>
    <w:rsid w:val="00A97F91"/>
    <w:rsid w:val="00AA0049"/>
    <w:rsid w:val="00AA009C"/>
    <w:rsid w:val="00AA0168"/>
    <w:rsid w:val="00AA01D2"/>
    <w:rsid w:val="00AA02C1"/>
    <w:rsid w:val="00AA031A"/>
    <w:rsid w:val="00AA0449"/>
    <w:rsid w:val="00AA04AF"/>
    <w:rsid w:val="00AA0746"/>
    <w:rsid w:val="00AA07E4"/>
    <w:rsid w:val="00AA0B5E"/>
    <w:rsid w:val="00AA0BC1"/>
    <w:rsid w:val="00AA0C16"/>
    <w:rsid w:val="00AA0DEF"/>
    <w:rsid w:val="00AA0E08"/>
    <w:rsid w:val="00AA0EAB"/>
    <w:rsid w:val="00AA1056"/>
    <w:rsid w:val="00AA1711"/>
    <w:rsid w:val="00AA1AB4"/>
    <w:rsid w:val="00AA1AC0"/>
    <w:rsid w:val="00AA1C66"/>
    <w:rsid w:val="00AA1CF2"/>
    <w:rsid w:val="00AA1D52"/>
    <w:rsid w:val="00AA226C"/>
    <w:rsid w:val="00AA2296"/>
    <w:rsid w:val="00AA2671"/>
    <w:rsid w:val="00AA2769"/>
    <w:rsid w:val="00AA277B"/>
    <w:rsid w:val="00AA27A3"/>
    <w:rsid w:val="00AA2DFE"/>
    <w:rsid w:val="00AA2F59"/>
    <w:rsid w:val="00AA3197"/>
    <w:rsid w:val="00AA32F2"/>
    <w:rsid w:val="00AA342D"/>
    <w:rsid w:val="00AA34A4"/>
    <w:rsid w:val="00AA3E54"/>
    <w:rsid w:val="00AA3ED1"/>
    <w:rsid w:val="00AA3F9A"/>
    <w:rsid w:val="00AA405B"/>
    <w:rsid w:val="00AA40EA"/>
    <w:rsid w:val="00AA43D5"/>
    <w:rsid w:val="00AA4434"/>
    <w:rsid w:val="00AA45BB"/>
    <w:rsid w:val="00AA4AA4"/>
    <w:rsid w:val="00AA4B36"/>
    <w:rsid w:val="00AA4DFF"/>
    <w:rsid w:val="00AA4E6F"/>
    <w:rsid w:val="00AA4EE8"/>
    <w:rsid w:val="00AA5146"/>
    <w:rsid w:val="00AA5166"/>
    <w:rsid w:val="00AA54F0"/>
    <w:rsid w:val="00AA5646"/>
    <w:rsid w:val="00AA5B2F"/>
    <w:rsid w:val="00AA5D1C"/>
    <w:rsid w:val="00AA63E2"/>
    <w:rsid w:val="00AA64A0"/>
    <w:rsid w:val="00AA656F"/>
    <w:rsid w:val="00AA66C2"/>
    <w:rsid w:val="00AA6971"/>
    <w:rsid w:val="00AA69F0"/>
    <w:rsid w:val="00AA6AA7"/>
    <w:rsid w:val="00AA6D20"/>
    <w:rsid w:val="00AA743C"/>
    <w:rsid w:val="00AA76E5"/>
    <w:rsid w:val="00AA76F7"/>
    <w:rsid w:val="00AA7762"/>
    <w:rsid w:val="00AA7937"/>
    <w:rsid w:val="00AA793E"/>
    <w:rsid w:val="00AA7B31"/>
    <w:rsid w:val="00AA7FAD"/>
    <w:rsid w:val="00AB021C"/>
    <w:rsid w:val="00AB057C"/>
    <w:rsid w:val="00AB0974"/>
    <w:rsid w:val="00AB0A8D"/>
    <w:rsid w:val="00AB0B71"/>
    <w:rsid w:val="00AB109F"/>
    <w:rsid w:val="00AB1122"/>
    <w:rsid w:val="00AB12CA"/>
    <w:rsid w:val="00AB14AD"/>
    <w:rsid w:val="00AB166A"/>
    <w:rsid w:val="00AB177D"/>
    <w:rsid w:val="00AB1849"/>
    <w:rsid w:val="00AB1865"/>
    <w:rsid w:val="00AB19E9"/>
    <w:rsid w:val="00AB1A4E"/>
    <w:rsid w:val="00AB234A"/>
    <w:rsid w:val="00AB250A"/>
    <w:rsid w:val="00AB26C9"/>
    <w:rsid w:val="00AB2776"/>
    <w:rsid w:val="00AB29A0"/>
    <w:rsid w:val="00AB2A7D"/>
    <w:rsid w:val="00AB2ACF"/>
    <w:rsid w:val="00AB2BC6"/>
    <w:rsid w:val="00AB2C2F"/>
    <w:rsid w:val="00AB2E47"/>
    <w:rsid w:val="00AB2E9D"/>
    <w:rsid w:val="00AB305E"/>
    <w:rsid w:val="00AB325E"/>
    <w:rsid w:val="00AB3300"/>
    <w:rsid w:val="00AB3402"/>
    <w:rsid w:val="00AB34DD"/>
    <w:rsid w:val="00AB3678"/>
    <w:rsid w:val="00AB3885"/>
    <w:rsid w:val="00AB38FF"/>
    <w:rsid w:val="00AB3A99"/>
    <w:rsid w:val="00AB3C4B"/>
    <w:rsid w:val="00AB3F69"/>
    <w:rsid w:val="00AB4459"/>
    <w:rsid w:val="00AB453B"/>
    <w:rsid w:val="00AB461C"/>
    <w:rsid w:val="00AB47B4"/>
    <w:rsid w:val="00AB47BA"/>
    <w:rsid w:val="00AB48CE"/>
    <w:rsid w:val="00AB48D2"/>
    <w:rsid w:val="00AB4B5B"/>
    <w:rsid w:val="00AB4F32"/>
    <w:rsid w:val="00AB4FCF"/>
    <w:rsid w:val="00AB4FE9"/>
    <w:rsid w:val="00AB5070"/>
    <w:rsid w:val="00AB52BD"/>
    <w:rsid w:val="00AB5514"/>
    <w:rsid w:val="00AB55E0"/>
    <w:rsid w:val="00AB581D"/>
    <w:rsid w:val="00AB5C3B"/>
    <w:rsid w:val="00AB5E7C"/>
    <w:rsid w:val="00AB5EBC"/>
    <w:rsid w:val="00AB5EDB"/>
    <w:rsid w:val="00AB610A"/>
    <w:rsid w:val="00AB613C"/>
    <w:rsid w:val="00AB6158"/>
    <w:rsid w:val="00AB626C"/>
    <w:rsid w:val="00AB6532"/>
    <w:rsid w:val="00AB6661"/>
    <w:rsid w:val="00AB66AF"/>
    <w:rsid w:val="00AB6A5C"/>
    <w:rsid w:val="00AB6B25"/>
    <w:rsid w:val="00AB6CD8"/>
    <w:rsid w:val="00AB6CFC"/>
    <w:rsid w:val="00AB6D79"/>
    <w:rsid w:val="00AB73AB"/>
    <w:rsid w:val="00AB74B8"/>
    <w:rsid w:val="00AB77E1"/>
    <w:rsid w:val="00AB789E"/>
    <w:rsid w:val="00AC0730"/>
    <w:rsid w:val="00AC0A78"/>
    <w:rsid w:val="00AC1267"/>
    <w:rsid w:val="00AC12D4"/>
    <w:rsid w:val="00AC16B9"/>
    <w:rsid w:val="00AC18C9"/>
    <w:rsid w:val="00AC19B7"/>
    <w:rsid w:val="00AC1B56"/>
    <w:rsid w:val="00AC1CCF"/>
    <w:rsid w:val="00AC1DDF"/>
    <w:rsid w:val="00AC1F36"/>
    <w:rsid w:val="00AC1F53"/>
    <w:rsid w:val="00AC228B"/>
    <w:rsid w:val="00AC2435"/>
    <w:rsid w:val="00AC28DC"/>
    <w:rsid w:val="00AC2925"/>
    <w:rsid w:val="00AC2A63"/>
    <w:rsid w:val="00AC2BDA"/>
    <w:rsid w:val="00AC2CAA"/>
    <w:rsid w:val="00AC2CD0"/>
    <w:rsid w:val="00AC2FA9"/>
    <w:rsid w:val="00AC3074"/>
    <w:rsid w:val="00AC3512"/>
    <w:rsid w:val="00AC3770"/>
    <w:rsid w:val="00AC3876"/>
    <w:rsid w:val="00AC38BB"/>
    <w:rsid w:val="00AC3AF9"/>
    <w:rsid w:val="00AC3B55"/>
    <w:rsid w:val="00AC3E0F"/>
    <w:rsid w:val="00AC3E86"/>
    <w:rsid w:val="00AC3FCF"/>
    <w:rsid w:val="00AC479B"/>
    <w:rsid w:val="00AC48D4"/>
    <w:rsid w:val="00AC4BA2"/>
    <w:rsid w:val="00AC4BEF"/>
    <w:rsid w:val="00AC4F4C"/>
    <w:rsid w:val="00AC4F90"/>
    <w:rsid w:val="00AC502E"/>
    <w:rsid w:val="00AC51DF"/>
    <w:rsid w:val="00AC5239"/>
    <w:rsid w:val="00AC56E3"/>
    <w:rsid w:val="00AC5739"/>
    <w:rsid w:val="00AC5834"/>
    <w:rsid w:val="00AC59ED"/>
    <w:rsid w:val="00AC5DA8"/>
    <w:rsid w:val="00AC6097"/>
    <w:rsid w:val="00AC6118"/>
    <w:rsid w:val="00AC632E"/>
    <w:rsid w:val="00AC697C"/>
    <w:rsid w:val="00AC6A05"/>
    <w:rsid w:val="00AC6E67"/>
    <w:rsid w:val="00AC7008"/>
    <w:rsid w:val="00AC71FA"/>
    <w:rsid w:val="00AC72FD"/>
    <w:rsid w:val="00AC765F"/>
    <w:rsid w:val="00AC776C"/>
    <w:rsid w:val="00AC79F3"/>
    <w:rsid w:val="00AC7C9F"/>
    <w:rsid w:val="00AC7DE0"/>
    <w:rsid w:val="00AC7E26"/>
    <w:rsid w:val="00AC7E5A"/>
    <w:rsid w:val="00AC7E81"/>
    <w:rsid w:val="00AC7F29"/>
    <w:rsid w:val="00AC7FB6"/>
    <w:rsid w:val="00AD0024"/>
    <w:rsid w:val="00AD014C"/>
    <w:rsid w:val="00AD02CB"/>
    <w:rsid w:val="00AD0303"/>
    <w:rsid w:val="00AD050B"/>
    <w:rsid w:val="00AD0646"/>
    <w:rsid w:val="00AD06F0"/>
    <w:rsid w:val="00AD0801"/>
    <w:rsid w:val="00AD0827"/>
    <w:rsid w:val="00AD0AFC"/>
    <w:rsid w:val="00AD0E40"/>
    <w:rsid w:val="00AD0EE1"/>
    <w:rsid w:val="00AD0FD5"/>
    <w:rsid w:val="00AD0FDA"/>
    <w:rsid w:val="00AD10AA"/>
    <w:rsid w:val="00AD11FD"/>
    <w:rsid w:val="00AD1295"/>
    <w:rsid w:val="00AD12B5"/>
    <w:rsid w:val="00AD1558"/>
    <w:rsid w:val="00AD169C"/>
    <w:rsid w:val="00AD1790"/>
    <w:rsid w:val="00AD1922"/>
    <w:rsid w:val="00AD1924"/>
    <w:rsid w:val="00AD1A78"/>
    <w:rsid w:val="00AD1CA7"/>
    <w:rsid w:val="00AD210F"/>
    <w:rsid w:val="00AD215B"/>
    <w:rsid w:val="00AD21C0"/>
    <w:rsid w:val="00AD2383"/>
    <w:rsid w:val="00AD23F1"/>
    <w:rsid w:val="00AD24A2"/>
    <w:rsid w:val="00AD277B"/>
    <w:rsid w:val="00AD2910"/>
    <w:rsid w:val="00AD2A2F"/>
    <w:rsid w:val="00AD2A67"/>
    <w:rsid w:val="00AD3230"/>
    <w:rsid w:val="00AD37D7"/>
    <w:rsid w:val="00AD381A"/>
    <w:rsid w:val="00AD38EC"/>
    <w:rsid w:val="00AD3978"/>
    <w:rsid w:val="00AD3B99"/>
    <w:rsid w:val="00AD3C6C"/>
    <w:rsid w:val="00AD3E11"/>
    <w:rsid w:val="00AD3E3E"/>
    <w:rsid w:val="00AD40DA"/>
    <w:rsid w:val="00AD4374"/>
    <w:rsid w:val="00AD47D6"/>
    <w:rsid w:val="00AD487C"/>
    <w:rsid w:val="00AD4B56"/>
    <w:rsid w:val="00AD4BB1"/>
    <w:rsid w:val="00AD4C1E"/>
    <w:rsid w:val="00AD4E2E"/>
    <w:rsid w:val="00AD4EC8"/>
    <w:rsid w:val="00AD510C"/>
    <w:rsid w:val="00AD5217"/>
    <w:rsid w:val="00AD5429"/>
    <w:rsid w:val="00AD55E3"/>
    <w:rsid w:val="00AD5724"/>
    <w:rsid w:val="00AD58D5"/>
    <w:rsid w:val="00AD5BFF"/>
    <w:rsid w:val="00AD5D1A"/>
    <w:rsid w:val="00AD5E14"/>
    <w:rsid w:val="00AD60E5"/>
    <w:rsid w:val="00AD60F9"/>
    <w:rsid w:val="00AD6274"/>
    <w:rsid w:val="00AD643A"/>
    <w:rsid w:val="00AD6E35"/>
    <w:rsid w:val="00AD6F53"/>
    <w:rsid w:val="00AD70B5"/>
    <w:rsid w:val="00AD72D1"/>
    <w:rsid w:val="00AD7427"/>
    <w:rsid w:val="00AD743A"/>
    <w:rsid w:val="00AD748F"/>
    <w:rsid w:val="00AD76A2"/>
    <w:rsid w:val="00AD782C"/>
    <w:rsid w:val="00AD790A"/>
    <w:rsid w:val="00AD7CEA"/>
    <w:rsid w:val="00AD7E1A"/>
    <w:rsid w:val="00AD7E36"/>
    <w:rsid w:val="00AE014C"/>
    <w:rsid w:val="00AE063F"/>
    <w:rsid w:val="00AE0792"/>
    <w:rsid w:val="00AE0917"/>
    <w:rsid w:val="00AE0959"/>
    <w:rsid w:val="00AE0CFD"/>
    <w:rsid w:val="00AE1025"/>
    <w:rsid w:val="00AE105A"/>
    <w:rsid w:val="00AE1572"/>
    <w:rsid w:val="00AE1A98"/>
    <w:rsid w:val="00AE1AFE"/>
    <w:rsid w:val="00AE2047"/>
    <w:rsid w:val="00AE2193"/>
    <w:rsid w:val="00AE2351"/>
    <w:rsid w:val="00AE23AA"/>
    <w:rsid w:val="00AE24BD"/>
    <w:rsid w:val="00AE26B0"/>
    <w:rsid w:val="00AE288B"/>
    <w:rsid w:val="00AE28DF"/>
    <w:rsid w:val="00AE2A49"/>
    <w:rsid w:val="00AE2E23"/>
    <w:rsid w:val="00AE300D"/>
    <w:rsid w:val="00AE3056"/>
    <w:rsid w:val="00AE3092"/>
    <w:rsid w:val="00AE3FEA"/>
    <w:rsid w:val="00AE4064"/>
    <w:rsid w:val="00AE40D4"/>
    <w:rsid w:val="00AE4246"/>
    <w:rsid w:val="00AE44EB"/>
    <w:rsid w:val="00AE4582"/>
    <w:rsid w:val="00AE45B9"/>
    <w:rsid w:val="00AE45F5"/>
    <w:rsid w:val="00AE49AD"/>
    <w:rsid w:val="00AE4C85"/>
    <w:rsid w:val="00AE5007"/>
    <w:rsid w:val="00AE55AC"/>
    <w:rsid w:val="00AE5710"/>
    <w:rsid w:val="00AE59FE"/>
    <w:rsid w:val="00AE5CBD"/>
    <w:rsid w:val="00AE5F31"/>
    <w:rsid w:val="00AE5F71"/>
    <w:rsid w:val="00AE5FF5"/>
    <w:rsid w:val="00AE607C"/>
    <w:rsid w:val="00AE6562"/>
    <w:rsid w:val="00AE6567"/>
    <w:rsid w:val="00AE65B5"/>
    <w:rsid w:val="00AE69CE"/>
    <w:rsid w:val="00AE69EA"/>
    <w:rsid w:val="00AE6A61"/>
    <w:rsid w:val="00AE6EF4"/>
    <w:rsid w:val="00AE7032"/>
    <w:rsid w:val="00AE7299"/>
    <w:rsid w:val="00AE7947"/>
    <w:rsid w:val="00AE7BD2"/>
    <w:rsid w:val="00AE7FFC"/>
    <w:rsid w:val="00AF000A"/>
    <w:rsid w:val="00AF05C4"/>
    <w:rsid w:val="00AF05D3"/>
    <w:rsid w:val="00AF064F"/>
    <w:rsid w:val="00AF07A8"/>
    <w:rsid w:val="00AF119F"/>
    <w:rsid w:val="00AF1313"/>
    <w:rsid w:val="00AF1580"/>
    <w:rsid w:val="00AF185E"/>
    <w:rsid w:val="00AF187F"/>
    <w:rsid w:val="00AF18C6"/>
    <w:rsid w:val="00AF1985"/>
    <w:rsid w:val="00AF1997"/>
    <w:rsid w:val="00AF19E5"/>
    <w:rsid w:val="00AF1AF0"/>
    <w:rsid w:val="00AF1E0D"/>
    <w:rsid w:val="00AF2106"/>
    <w:rsid w:val="00AF2269"/>
    <w:rsid w:val="00AF24C1"/>
    <w:rsid w:val="00AF2936"/>
    <w:rsid w:val="00AF2ACC"/>
    <w:rsid w:val="00AF2B2A"/>
    <w:rsid w:val="00AF2F02"/>
    <w:rsid w:val="00AF34E8"/>
    <w:rsid w:val="00AF353B"/>
    <w:rsid w:val="00AF354F"/>
    <w:rsid w:val="00AF3628"/>
    <w:rsid w:val="00AF3639"/>
    <w:rsid w:val="00AF3671"/>
    <w:rsid w:val="00AF372D"/>
    <w:rsid w:val="00AF3730"/>
    <w:rsid w:val="00AF39AC"/>
    <w:rsid w:val="00AF3ADD"/>
    <w:rsid w:val="00AF3C3D"/>
    <w:rsid w:val="00AF3C4F"/>
    <w:rsid w:val="00AF3C74"/>
    <w:rsid w:val="00AF3D2A"/>
    <w:rsid w:val="00AF3E0F"/>
    <w:rsid w:val="00AF433F"/>
    <w:rsid w:val="00AF4537"/>
    <w:rsid w:val="00AF454A"/>
    <w:rsid w:val="00AF492E"/>
    <w:rsid w:val="00AF4C6E"/>
    <w:rsid w:val="00AF4C97"/>
    <w:rsid w:val="00AF4FE2"/>
    <w:rsid w:val="00AF5136"/>
    <w:rsid w:val="00AF5396"/>
    <w:rsid w:val="00AF566C"/>
    <w:rsid w:val="00AF5887"/>
    <w:rsid w:val="00AF58DB"/>
    <w:rsid w:val="00AF5BDA"/>
    <w:rsid w:val="00AF5D1F"/>
    <w:rsid w:val="00AF5E6D"/>
    <w:rsid w:val="00AF61DB"/>
    <w:rsid w:val="00AF647C"/>
    <w:rsid w:val="00AF657A"/>
    <w:rsid w:val="00AF69DD"/>
    <w:rsid w:val="00AF6B0E"/>
    <w:rsid w:val="00AF6D3F"/>
    <w:rsid w:val="00AF6F23"/>
    <w:rsid w:val="00AF7074"/>
    <w:rsid w:val="00AF7278"/>
    <w:rsid w:val="00AF72B6"/>
    <w:rsid w:val="00AF7650"/>
    <w:rsid w:val="00AF7962"/>
    <w:rsid w:val="00AF7B34"/>
    <w:rsid w:val="00B0006F"/>
    <w:rsid w:val="00B000A2"/>
    <w:rsid w:val="00B00274"/>
    <w:rsid w:val="00B00363"/>
    <w:rsid w:val="00B0075E"/>
    <w:rsid w:val="00B0082E"/>
    <w:rsid w:val="00B00916"/>
    <w:rsid w:val="00B00941"/>
    <w:rsid w:val="00B0098A"/>
    <w:rsid w:val="00B00A19"/>
    <w:rsid w:val="00B00A44"/>
    <w:rsid w:val="00B00B99"/>
    <w:rsid w:val="00B00BC9"/>
    <w:rsid w:val="00B00E28"/>
    <w:rsid w:val="00B00F1F"/>
    <w:rsid w:val="00B01047"/>
    <w:rsid w:val="00B01154"/>
    <w:rsid w:val="00B011BF"/>
    <w:rsid w:val="00B013D1"/>
    <w:rsid w:val="00B0149E"/>
    <w:rsid w:val="00B01534"/>
    <w:rsid w:val="00B0154A"/>
    <w:rsid w:val="00B015A4"/>
    <w:rsid w:val="00B01620"/>
    <w:rsid w:val="00B01635"/>
    <w:rsid w:val="00B0170B"/>
    <w:rsid w:val="00B017D1"/>
    <w:rsid w:val="00B01A16"/>
    <w:rsid w:val="00B01DFE"/>
    <w:rsid w:val="00B01E03"/>
    <w:rsid w:val="00B01E93"/>
    <w:rsid w:val="00B01F54"/>
    <w:rsid w:val="00B0202D"/>
    <w:rsid w:val="00B0240A"/>
    <w:rsid w:val="00B02602"/>
    <w:rsid w:val="00B02723"/>
    <w:rsid w:val="00B0283D"/>
    <w:rsid w:val="00B029BF"/>
    <w:rsid w:val="00B02D8E"/>
    <w:rsid w:val="00B0312D"/>
    <w:rsid w:val="00B03350"/>
    <w:rsid w:val="00B03476"/>
    <w:rsid w:val="00B03823"/>
    <w:rsid w:val="00B03A16"/>
    <w:rsid w:val="00B03CFA"/>
    <w:rsid w:val="00B0404F"/>
    <w:rsid w:val="00B0408E"/>
    <w:rsid w:val="00B041D4"/>
    <w:rsid w:val="00B043C6"/>
    <w:rsid w:val="00B0454C"/>
    <w:rsid w:val="00B04843"/>
    <w:rsid w:val="00B048B2"/>
    <w:rsid w:val="00B04BAC"/>
    <w:rsid w:val="00B04DB2"/>
    <w:rsid w:val="00B04E48"/>
    <w:rsid w:val="00B04E7F"/>
    <w:rsid w:val="00B04EE1"/>
    <w:rsid w:val="00B050D2"/>
    <w:rsid w:val="00B0530B"/>
    <w:rsid w:val="00B0533A"/>
    <w:rsid w:val="00B054C9"/>
    <w:rsid w:val="00B0560A"/>
    <w:rsid w:val="00B0599D"/>
    <w:rsid w:val="00B05A68"/>
    <w:rsid w:val="00B05C4A"/>
    <w:rsid w:val="00B05D4F"/>
    <w:rsid w:val="00B05DBA"/>
    <w:rsid w:val="00B05F69"/>
    <w:rsid w:val="00B060B9"/>
    <w:rsid w:val="00B062E6"/>
    <w:rsid w:val="00B0646E"/>
    <w:rsid w:val="00B06751"/>
    <w:rsid w:val="00B069BD"/>
    <w:rsid w:val="00B06AEC"/>
    <w:rsid w:val="00B06BF7"/>
    <w:rsid w:val="00B06CC0"/>
    <w:rsid w:val="00B07092"/>
    <w:rsid w:val="00B07274"/>
    <w:rsid w:val="00B072F8"/>
    <w:rsid w:val="00B0730F"/>
    <w:rsid w:val="00B073D1"/>
    <w:rsid w:val="00B0751A"/>
    <w:rsid w:val="00B0766B"/>
    <w:rsid w:val="00B077DE"/>
    <w:rsid w:val="00B07C78"/>
    <w:rsid w:val="00B07D73"/>
    <w:rsid w:val="00B07DEA"/>
    <w:rsid w:val="00B10128"/>
    <w:rsid w:val="00B10616"/>
    <w:rsid w:val="00B106A3"/>
    <w:rsid w:val="00B10793"/>
    <w:rsid w:val="00B1089E"/>
    <w:rsid w:val="00B108C4"/>
    <w:rsid w:val="00B10E32"/>
    <w:rsid w:val="00B11384"/>
    <w:rsid w:val="00B1160F"/>
    <w:rsid w:val="00B119BB"/>
    <w:rsid w:val="00B11A9B"/>
    <w:rsid w:val="00B11E62"/>
    <w:rsid w:val="00B121C3"/>
    <w:rsid w:val="00B1266B"/>
    <w:rsid w:val="00B12864"/>
    <w:rsid w:val="00B128CD"/>
    <w:rsid w:val="00B12AC2"/>
    <w:rsid w:val="00B12B1B"/>
    <w:rsid w:val="00B12BD0"/>
    <w:rsid w:val="00B134B5"/>
    <w:rsid w:val="00B1350C"/>
    <w:rsid w:val="00B13A60"/>
    <w:rsid w:val="00B13C01"/>
    <w:rsid w:val="00B13E63"/>
    <w:rsid w:val="00B13F36"/>
    <w:rsid w:val="00B13F9F"/>
    <w:rsid w:val="00B13FF4"/>
    <w:rsid w:val="00B14372"/>
    <w:rsid w:val="00B14867"/>
    <w:rsid w:val="00B14915"/>
    <w:rsid w:val="00B14B44"/>
    <w:rsid w:val="00B14C1D"/>
    <w:rsid w:val="00B14D87"/>
    <w:rsid w:val="00B14F46"/>
    <w:rsid w:val="00B14FA7"/>
    <w:rsid w:val="00B15486"/>
    <w:rsid w:val="00B15505"/>
    <w:rsid w:val="00B15820"/>
    <w:rsid w:val="00B15957"/>
    <w:rsid w:val="00B15C03"/>
    <w:rsid w:val="00B15DE1"/>
    <w:rsid w:val="00B15F41"/>
    <w:rsid w:val="00B16016"/>
    <w:rsid w:val="00B1621A"/>
    <w:rsid w:val="00B16342"/>
    <w:rsid w:val="00B1634A"/>
    <w:rsid w:val="00B163EB"/>
    <w:rsid w:val="00B166A0"/>
    <w:rsid w:val="00B16791"/>
    <w:rsid w:val="00B16E33"/>
    <w:rsid w:val="00B170CD"/>
    <w:rsid w:val="00B174EA"/>
    <w:rsid w:val="00B17580"/>
    <w:rsid w:val="00B1759F"/>
    <w:rsid w:val="00B17669"/>
    <w:rsid w:val="00B1772F"/>
    <w:rsid w:val="00B17787"/>
    <w:rsid w:val="00B177CC"/>
    <w:rsid w:val="00B17C66"/>
    <w:rsid w:val="00B17E8D"/>
    <w:rsid w:val="00B17FAA"/>
    <w:rsid w:val="00B2039F"/>
    <w:rsid w:val="00B204AD"/>
    <w:rsid w:val="00B204F9"/>
    <w:rsid w:val="00B205F8"/>
    <w:rsid w:val="00B206C0"/>
    <w:rsid w:val="00B208AE"/>
    <w:rsid w:val="00B2096A"/>
    <w:rsid w:val="00B20B4E"/>
    <w:rsid w:val="00B20EBC"/>
    <w:rsid w:val="00B214E9"/>
    <w:rsid w:val="00B219A3"/>
    <w:rsid w:val="00B21D20"/>
    <w:rsid w:val="00B22280"/>
    <w:rsid w:val="00B224FC"/>
    <w:rsid w:val="00B225B9"/>
    <w:rsid w:val="00B22644"/>
    <w:rsid w:val="00B227F8"/>
    <w:rsid w:val="00B22A54"/>
    <w:rsid w:val="00B22B7D"/>
    <w:rsid w:val="00B22BAB"/>
    <w:rsid w:val="00B22CF2"/>
    <w:rsid w:val="00B22D2A"/>
    <w:rsid w:val="00B23020"/>
    <w:rsid w:val="00B231F3"/>
    <w:rsid w:val="00B23214"/>
    <w:rsid w:val="00B23314"/>
    <w:rsid w:val="00B23322"/>
    <w:rsid w:val="00B23882"/>
    <w:rsid w:val="00B2392B"/>
    <w:rsid w:val="00B23954"/>
    <w:rsid w:val="00B23CD4"/>
    <w:rsid w:val="00B23EE2"/>
    <w:rsid w:val="00B23F1B"/>
    <w:rsid w:val="00B23F2C"/>
    <w:rsid w:val="00B242E4"/>
    <w:rsid w:val="00B2433F"/>
    <w:rsid w:val="00B24812"/>
    <w:rsid w:val="00B2497C"/>
    <w:rsid w:val="00B24CAF"/>
    <w:rsid w:val="00B24CBE"/>
    <w:rsid w:val="00B24CED"/>
    <w:rsid w:val="00B24FB2"/>
    <w:rsid w:val="00B25287"/>
    <w:rsid w:val="00B25353"/>
    <w:rsid w:val="00B255FC"/>
    <w:rsid w:val="00B25961"/>
    <w:rsid w:val="00B25B7A"/>
    <w:rsid w:val="00B25BF3"/>
    <w:rsid w:val="00B26044"/>
    <w:rsid w:val="00B26073"/>
    <w:rsid w:val="00B26462"/>
    <w:rsid w:val="00B26773"/>
    <w:rsid w:val="00B26AAF"/>
    <w:rsid w:val="00B26D37"/>
    <w:rsid w:val="00B26D6F"/>
    <w:rsid w:val="00B26DBC"/>
    <w:rsid w:val="00B26F1F"/>
    <w:rsid w:val="00B27028"/>
    <w:rsid w:val="00B2733C"/>
    <w:rsid w:val="00B2736D"/>
    <w:rsid w:val="00B27719"/>
    <w:rsid w:val="00B277CB"/>
    <w:rsid w:val="00B2791B"/>
    <w:rsid w:val="00B27A17"/>
    <w:rsid w:val="00B27A1F"/>
    <w:rsid w:val="00B27A6C"/>
    <w:rsid w:val="00B27A7E"/>
    <w:rsid w:val="00B27C3F"/>
    <w:rsid w:val="00B30090"/>
    <w:rsid w:val="00B30135"/>
    <w:rsid w:val="00B303AF"/>
    <w:rsid w:val="00B3050E"/>
    <w:rsid w:val="00B3069B"/>
    <w:rsid w:val="00B30732"/>
    <w:rsid w:val="00B3091D"/>
    <w:rsid w:val="00B30969"/>
    <w:rsid w:val="00B30B00"/>
    <w:rsid w:val="00B30D4D"/>
    <w:rsid w:val="00B30F93"/>
    <w:rsid w:val="00B30F97"/>
    <w:rsid w:val="00B310DE"/>
    <w:rsid w:val="00B312D3"/>
    <w:rsid w:val="00B3135B"/>
    <w:rsid w:val="00B313EF"/>
    <w:rsid w:val="00B31547"/>
    <w:rsid w:val="00B316D5"/>
    <w:rsid w:val="00B31700"/>
    <w:rsid w:val="00B31770"/>
    <w:rsid w:val="00B317AF"/>
    <w:rsid w:val="00B31853"/>
    <w:rsid w:val="00B31966"/>
    <w:rsid w:val="00B31E8D"/>
    <w:rsid w:val="00B321AC"/>
    <w:rsid w:val="00B32284"/>
    <w:rsid w:val="00B32485"/>
    <w:rsid w:val="00B3252A"/>
    <w:rsid w:val="00B32964"/>
    <w:rsid w:val="00B32AFE"/>
    <w:rsid w:val="00B32CF2"/>
    <w:rsid w:val="00B32E76"/>
    <w:rsid w:val="00B33218"/>
    <w:rsid w:val="00B33288"/>
    <w:rsid w:val="00B332AF"/>
    <w:rsid w:val="00B33306"/>
    <w:rsid w:val="00B3370E"/>
    <w:rsid w:val="00B33882"/>
    <w:rsid w:val="00B338ED"/>
    <w:rsid w:val="00B33AA0"/>
    <w:rsid w:val="00B33B00"/>
    <w:rsid w:val="00B33D23"/>
    <w:rsid w:val="00B33E15"/>
    <w:rsid w:val="00B33FC9"/>
    <w:rsid w:val="00B340D4"/>
    <w:rsid w:val="00B34181"/>
    <w:rsid w:val="00B34348"/>
    <w:rsid w:val="00B3439C"/>
    <w:rsid w:val="00B343CA"/>
    <w:rsid w:val="00B34440"/>
    <w:rsid w:val="00B3444A"/>
    <w:rsid w:val="00B34507"/>
    <w:rsid w:val="00B3453F"/>
    <w:rsid w:val="00B34722"/>
    <w:rsid w:val="00B34D2D"/>
    <w:rsid w:val="00B34E12"/>
    <w:rsid w:val="00B350D1"/>
    <w:rsid w:val="00B35134"/>
    <w:rsid w:val="00B35182"/>
    <w:rsid w:val="00B35870"/>
    <w:rsid w:val="00B3598E"/>
    <w:rsid w:val="00B35AB8"/>
    <w:rsid w:val="00B35B64"/>
    <w:rsid w:val="00B35B68"/>
    <w:rsid w:val="00B35D5E"/>
    <w:rsid w:val="00B36005"/>
    <w:rsid w:val="00B361FC"/>
    <w:rsid w:val="00B364A4"/>
    <w:rsid w:val="00B3660F"/>
    <w:rsid w:val="00B3672E"/>
    <w:rsid w:val="00B36A81"/>
    <w:rsid w:val="00B36B7F"/>
    <w:rsid w:val="00B36E87"/>
    <w:rsid w:val="00B36EBB"/>
    <w:rsid w:val="00B373BB"/>
    <w:rsid w:val="00B3757E"/>
    <w:rsid w:val="00B3767F"/>
    <w:rsid w:val="00B37A96"/>
    <w:rsid w:val="00B37AA8"/>
    <w:rsid w:val="00B37BF4"/>
    <w:rsid w:val="00B37C22"/>
    <w:rsid w:val="00B37C8A"/>
    <w:rsid w:val="00B37C92"/>
    <w:rsid w:val="00B37EAD"/>
    <w:rsid w:val="00B37FA3"/>
    <w:rsid w:val="00B40169"/>
    <w:rsid w:val="00B40478"/>
    <w:rsid w:val="00B4051C"/>
    <w:rsid w:val="00B40A81"/>
    <w:rsid w:val="00B40BE8"/>
    <w:rsid w:val="00B40E6F"/>
    <w:rsid w:val="00B40ED4"/>
    <w:rsid w:val="00B40EED"/>
    <w:rsid w:val="00B40F43"/>
    <w:rsid w:val="00B40F66"/>
    <w:rsid w:val="00B413C1"/>
    <w:rsid w:val="00B414C2"/>
    <w:rsid w:val="00B415BE"/>
    <w:rsid w:val="00B41731"/>
    <w:rsid w:val="00B417C1"/>
    <w:rsid w:val="00B41899"/>
    <w:rsid w:val="00B41A8A"/>
    <w:rsid w:val="00B41ABB"/>
    <w:rsid w:val="00B41BCD"/>
    <w:rsid w:val="00B41E77"/>
    <w:rsid w:val="00B41F9A"/>
    <w:rsid w:val="00B421CD"/>
    <w:rsid w:val="00B4240F"/>
    <w:rsid w:val="00B424AD"/>
    <w:rsid w:val="00B4253C"/>
    <w:rsid w:val="00B426BB"/>
    <w:rsid w:val="00B426E0"/>
    <w:rsid w:val="00B42934"/>
    <w:rsid w:val="00B4298E"/>
    <w:rsid w:val="00B42AC5"/>
    <w:rsid w:val="00B42BF5"/>
    <w:rsid w:val="00B42CEE"/>
    <w:rsid w:val="00B42E19"/>
    <w:rsid w:val="00B43215"/>
    <w:rsid w:val="00B43218"/>
    <w:rsid w:val="00B4321A"/>
    <w:rsid w:val="00B433F1"/>
    <w:rsid w:val="00B43667"/>
    <w:rsid w:val="00B43771"/>
    <w:rsid w:val="00B43808"/>
    <w:rsid w:val="00B438F3"/>
    <w:rsid w:val="00B438F8"/>
    <w:rsid w:val="00B439FF"/>
    <w:rsid w:val="00B43BCB"/>
    <w:rsid w:val="00B43BD2"/>
    <w:rsid w:val="00B43DF6"/>
    <w:rsid w:val="00B43E76"/>
    <w:rsid w:val="00B43EE5"/>
    <w:rsid w:val="00B43EFE"/>
    <w:rsid w:val="00B44039"/>
    <w:rsid w:val="00B44156"/>
    <w:rsid w:val="00B4416C"/>
    <w:rsid w:val="00B44191"/>
    <w:rsid w:val="00B441CC"/>
    <w:rsid w:val="00B445EA"/>
    <w:rsid w:val="00B44EA2"/>
    <w:rsid w:val="00B454AE"/>
    <w:rsid w:val="00B45505"/>
    <w:rsid w:val="00B45693"/>
    <w:rsid w:val="00B456EF"/>
    <w:rsid w:val="00B457A9"/>
    <w:rsid w:val="00B458DC"/>
    <w:rsid w:val="00B459DD"/>
    <w:rsid w:val="00B45AB0"/>
    <w:rsid w:val="00B45C5F"/>
    <w:rsid w:val="00B45E70"/>
    <w:rsid w:val="00B46295"/>
    <w:rsid w:val="00B464D2"/>
    <w:rsid w:val="00B46501"/>
    <w:rsid w:val="00B465C3"/>
    <w:rsid w:val="00B4661E"/>
    <w:rsid w:val="00B466DD"/>
    <w:rsid w:val="00B466E6"/>
    <w:rsid w:val="00B467C9"/>
    <w:rsid w:val="00B46841"/>
    <w:rsid w:val="00B46AEE"/>
    <w:rsid w:val="00B46BD1"/>
    <w:rsid w:val="00B46CFF"/>
    <w:rsid w:val="00B46E30"/>
    <w:rsid w:val="00B46EF3"/>
    <w:rsid w:val="00B47111"/>
    <w:rsid w:val="00B4731D"/>
    <w:rsid w:val="00B4747D"/>
    <w:rsid w:val="00B474CA"/>
    <w:rsid w:val="00B47A80"/>
    <w:rsid w:val="00B47DBE"/>
    <w:rsid w:val="00B5050D"/>
    <w:rsid w:val="00B509A7"/>
    <w:rsid w:val="00B50A39"/>
    <w:rsid w:val="00B50A48"/>
    <w:rsid w:val="00B50BBD"/>
    <w:rsid w:val="00B50E32"/>
    <w:rsid w:val="00B511CE"/>
    <w:rsid w:val="00B515B8"/>
    <w:rsid w:val="00B5167B"/>
    <w:rsid w:val="00B517BE"/>
    <w:rsid w:val="00B518AC"/>
    <w:rsid w:val="00B51A07"/>
    <w:rsid w:val="00B51BB3"/>
    <w:rsid w:val="00B52145"/>
    <w:rsid w:val="00B5239F"/>
    <w:rsid w:val="00B523E5"/>
    <w:rsid w:val="00B524BE"/>
    <w:rsid w:val="00B52578"/>
    <w:rsid w:val="00B529B8"/>
    <w:rsid w:val="00B52A24"/>
    <w:rsid w:val="00B52ECF"/>
    <w:rsid w:val="00B53106"/>
    <w:rsid w:val="00B53246"/>
    <w:rsid w:val="00B534B6"/>
    <w:rsid w:val="00B53566"/>
    <w:rsid w:val="00B53579"/>
    <w:rsid w:val="00B53582"/>
    <w:rsid w:val="00B535CE"/>
    <w:rsid w:val="00B53ABA"/>
    <w:rsid w:val="00B53B43"/>
    <w:rsid w:val="00B53BBD"/>
    <w:rsid w:val="00B53EEA"/>
    <w:rsid w:val="00B542B0"/>
    <w:rsid w:val="00B54458"/>
    <w:rsid w:val="00B54486"/>
    <w:rsid w:val="00B544CE"/>
    <w:rsid w:val="00B545F3"/>
    <w:rsid w:val="00B548F5"/>
    <w:rsid w:val="00B549F1"/>
    <w:rsid w:val="00B54C40"/>
    <w:rsid w:val="00B54D43"/>
    <w:rsid w:val="00B54D87"/>
    <w:rsid w:val="00B54EBC"/>
    <w:rsid w:val="00B54F68"/>
    <w:rsid w:val="00B553ED"/>
    <w:rsid w:val="00B554ED"/>
    <w:rsid w:val="00B5563C"/>
    <w:rsid w:val="00B55668"/>
    <w:rsid w:val="00B558B3"/>
    <w:rsid w:val="00B559F3"/>
    <w:rsid w:val="00B55BA1"/>
    <w:rsid w:val="00B55E1B"/>
    <w:rsid w:val="00B5636C"/>
    <w:rsid w:val="00B56405"/>
    <w:rsid w:val="00B567D4"/>
    <w:rsid w:val="00B568B2"/>
    <w:rsid w:val="00B57905"/>
    <w:rsid w:val="00B57A09"/>
    <w:rsid w:val="00B57AA0"/>
    <w:rsid w:val="00B57C25"/>
    <w:rsid w:val="00B57F43"/>
    <w:rsid w:val="00B60044"/>
    <w:rsid w:val="00B60076"/>
    <w:rsid w:val="00B6007A"/>
    <w:rsid w:val="00B603A3"/>
    <w:rsid w:val="00B603EE"/>
    <w:rsid w:val="00B60477"/>
    <w:rsid w:val="00B607F6"/>
    <w:rsid w:val="00B60883"/>
    <w:rsid w:val="00B60935"/>
    <w:rsid w:val="00B60D77"/>
    <w:rsid w:val="00B60F33"/>
    <w:rsid w:val="00B6100B"/>
    <w:rsid w:val="00B612F2"/>
    <w:rsid w:val="00B61381"/>
    <w:rsid w:val="00B61452"/>
    <w:rsid w:val="00B6170C"/>
    <w:rsid w:val="00B61725"/>
    <w:rsid w:val="00B6181D"/>
    <w:rsid w:val="00B61923"/>
    <w:rsid w:val="00B61F33"/>
    <w:rsid w:val="00B6219E"/>
    <w:rsid w:val="00B6242E"/>
    <w:rsid w:val="00B62468"/>
    <w:rsid w:val="00B62518"/>
    <w:rsid w:val="00B62622"/>
    <w:rsid w:val="00B62667"/>
    <w:rsid w:val="00B62915"/>
    <w:rsid w:val="00B62B23"/>
    <w:rsid w:val="00B62BAA"/>
    <w:rsid w:val="00B62BD1"/>
    <w:rsid w:val="00B62CC3"/>
    <w:rsid w:val="00B62F54"/>
    <w:rsid w:val="00B630E8"/>
    <w:rsid w:val="00B63171"/>
    <w:rsid w:val="00B63380"/>
    <w:rsid w:val="00B63CF8"/>
    <w:rsid w:val="00B63E28"/>
    <w:rsid w:val="00B63E85"/>
    <w:rsid w:val="00B64033"/>
    <w:rsid w:val="00B64388"/>
    <w:rsid w:val="00B6443A"/>
    <w:rsid w:val="00B645B9"/>
    <w:rsid w:val="00B649ED"/>
    <w:rsid w:val="00B64A3B"/>
    <w:rsid w:val="00B64A43"/>
    <w:rsid w:val="00B64A65"/>
    <w:rsid w:val="00B64BB6"/>
    <w:rsid w:val="00B64BD7"/>
    <w:rsid w:val="00B64DA2"/>
    <w:rsid w:val="00B64E5C"/>
    <w:rsid w:val="00B65215"/>
    <w:rsid w:val="00B654C0"/>
    <w:rsid w:val="00B6589E"/>
    <w:rsid w:val="00B65B78"/>
    <w:rsid w:val="00B65CE4"/>
    <w:rsid w:val="00B6624D"/>
    <w:rsid w:val="00B663E2"/>
    <w:rsid w:val="00B6650D"/>
    <w:rsid w:val="00B6656A"/>
    <w:rsid w:val="00B66694"/>
    <w:rsid w:val="00B668FB"/>
    <w:rsid w:val="00B66B95"/>
    <w:rsid w:val="00B66CC7"/>
    <w:rsid w:val="00B66CD5"/>
    <w:rsid w:val="00B66D3B"/>
    <w:rsid w:val="00B66DB3"/>
    <w:rsid w:val="00B66E75"/>
    <w:rsid w:val="00B67003"/>
    <w:rsid w:val="00B670A7"/>
    <w:rsid w:val="00B6732A"/>
    <w:rsid w:val="00B673D6"/>
    <w:rsid w:val="00B675A3"/>
    <w:rsid w:val="00B67B47"/>
    <w:rsid w:val="00B67F2D"/>
    <w:rsid w:val="00B67FDA"/>
    <w:rsid w:val="00B701E7"/>
    <w:rsid w:val="00B70491"/>
    <w:rsid w:val="00B707AA"/>
    <w:rsid w:val="00B70850"/>
    <w:rsid w:val="00B70960"/>
    <w:rsid w:val="00B7096E"/>
    <w:rsid w:val="00B70E15"/>
    <w:rsid w:val="00B7120F"/>
    <w:rsid w:val="00B713F9"/>
    <w:rsid w:val="00B7149C"/>
    <w:rsid w:val="00B7172C"/>
    <w:rsid w:val="00B717F3"/>
    <w:rsid w:val="00B71981"/>
    <w:rsid w:val="00B719B0"/>
    <w:rsid w:val="00B71BE0"/>
    <w:rsid w:val="00B71FA9"/>
    <w:rsid w:val="00B71FD2"/>
    <w:rsid w:val="00B7203E"/>
    <w:rsid w:val="00B720BF"/>
    <w:rsid w:val="00B721B1"/>
    <w:rsid w:val="00B7234A"/>
    <w:rsid w:val="00B72606"/>
    <w:rsid w:val="00B7260C"/>
    <w:rsid w:val="00B726DE"/>
    <w:rsid w:val="00B726F2"/>
    <w:rsid w:val="00B728F0"/>
    <w:rsid w:val="00B72A0A"/>
    <w:rsid w:val="00B72AC1"/>
    <w:rsid w:val="00B73273"/>
    <w:rsid w:val="00B73332"/>
    <w:rsid w:val="00B73393"/>
    <w:rsid w:val="00B73469"/>
    <w:rsid w:val="00B73506"/>
    <w:rsid w:val="00B73569"/>
    <w:rsid w:val="00B737A5"/>
    <w:rsid w:val="00B73818"/>
    <w:rsid w:val="00B73C58"/>
    <w:rsid w:val="00B73EF4"/>
    <w:rsid w:val="00B73F3D"/>
    <w:rsid w:val="00B74122"/>
    <w:rsid w:val="00B741A4"/>
    <w:rsid w:val="00B741E8"/>
    <w:rsid w:val="00B7456B"/>
    <w:rsid w:val="00B745FB"/>
    <w:rsid w:val="00B74724"/>
    <w:rsid w:val="00B7493F"/>
    <w:rsid w:val="00B74D67"/>
    <w:rsid w:val="00B75263"/>
    <w:rsid w:val="00B75280"/>
    <w:rsid w:val="00B75B27"/>
    <w:rsid w:val="00B75BE7"/>
    <w:rsid w:val="00B75DD3"/>
    <w:rsid w:val="00B75E6C"/>
    <w:rsid w:val="00B763A8"/>
    <w:rsid w:val="00B763D5"/>
    <w:rsid w:val="00B76437"/>
    <w:rsid w:val="00B76626"/>
    <w:rsid w:val="00B766BF"/>
    <w:rsid w:val="00B76864"/>
    <w:rsid w:val="00B76989"/>
    <w:rsid w:val="00B76F9E"/>
    <w:rsid w:val="00B77107"/>
    <w:rsid w:val="00B772F3"/>
    <w:rsid w:val="00B7739B"/>
    <w:rsid w:val="00B77A8E"/>
    <w:rsid w:val="00B77BCE"/>
    <w:rsid w:val="00B77BE2"/>
    <w:rsid w:val="00B77CF5"/>
    <w:rsid w:val="00B77FBC"/>
    <w:rsid w:val="00B77FC9"/>
    <w:rsid w:val="00B77FF2"/>
    <w:rsid w:val="00B80062"/>
    <w:rsid w:val="00B800B2"/>
    <w:rsid w:val="00B805E3"/>
    <w:rsid w:val="00B80681"/>
    <w:rsid w:val="00B8077A"/>
    <w:rsid w:val="00B8083D"/>
    <w:rsid w:val="00B808CA"/>
    <w:rsid w:val="00B808DE"/>
    <w:rsid w:val="00B80C1D"/>
    <w:rsid w:val="00B80CDD"/>
    <w:rsid w:val="00B81078"/>
    <w:rsid w:val="00B812E9"/>
    <w:rsid w:val="00B81594"/>
    <w:rsid w:val="00B819E0"/>
    <w:rsid w:val="00B821DB"/>
    <w:rsid w:val="00B82321"/>
    <w:rsid w:val="00B82375"/>
    <w:rsid w:val="00B82437"/>
    <w:rsid w:val="00B8249D"/>
    <w:rsid w:val="00B82560"/>
    <w:rsid w:val="00B82575"/>
    <w:rsid w:val="00B828DB"/>
    <w:rsid w:val="00B82A2D"/>
    <w:rsid w:val="00B82DE2"/>
    <w:rsid w:val="00B82ED2"/>
    <w:rsid w:val="00B82F76"/>
    <w:rsid w:val="00B8305B"/>
    <w:rsid w:val="00B83095"/>
    <w:rsid w:val="00B831C2"/>
    <w:rsid w:val="00B83405"/>
    <w:rsid w:val="00B83424"/>
    <w:rsid w:val="00B83745"/>
    <w:rsid w:val="00B83B39"/>
    <w:rsid w:val="00B83BAF"/>
    <w:rsid w:val="00B83C14"/>
    <w:rsid w:val="00B83F18"/>
    <w:rsid w:val="00B83F98"/>
    <w:rsid w:val="00B84008"/>
    <w:rsid w:val="00B84083"/>
    <w:rsid w:val="00B8420B"/>
    <w:rsid w:val="00B84299"/>
    <w:rsid w:val="00B844ED"/>
    <w:rsid w:val="00B84517"/>
    <w:rsid w:val="00B845DA"/>
    <w:rsid w:val="00B84671"/>
    <w:rsid w:val="00B84B7F"/>
    <w:rsid w:val="00B84B85"/>
    <w:rsid w:val="00B84C5C"/>
    <w:rsid w:val="00B84DA7"/>
    <w:rsid w:val="00B84EF7"/>
    <w:rsid w:val="00B84F9E"/>
    <w:rsid w:val="00B851D6"/>
    <w:rsid w:val="00B8533B"/>
    <w:rsid w:val="00B854AA"/>
    <w:rsid w:val="00B854AC"/>
    <w:rsid w:val="00B85739"/>
    <w:rsid w:val="00B85774"/>
    <w:rsid w:val="00B857D6"/>
    <w:rsid w:val="00B857E5"/>
    <w:rsid w:val="00B85B00"/>
    <w:rsid w:val="00B85D06"/>
    <w:rsid w:val="00B85FC4"/>
    <w:rsid w:val="00B868A9"/>
    <w:rsid w:val="00B8697E"/>
    <w:rsid w:val="00B869FC"/>
    <w:rsid w:val="00B86B47"/>
    <w:rsid w:val="00B86C43"/>
    <w:rsid w:val="00B86FA2"/>
    <w:rsid w:val="00B87AA4"/>
    <w:rsid w:val="00B87AED"/>
    <w:rsid w:val="00B87C62"/>
    <w:rsid w:val="00B87E7A"/>
    <w:rsid w:val="00B90113"/>
    <w:rsid w:val="00B902DA"/>
    <w:rsid w:val="00B90864"/>
    <w:rsid w:val="00B9090E"/>
    <w:rsid w:val="00B909E6"/>
    <w:rsid w:val="00B90AF1"/>
    <w:rsid w:val="00B90B71"/>
    <w:rsid w:val="00B90B7E"/>
    <w:rsid w:val="00B90CAD"/>
    <w:rsid w:val="00B90FCD"/>
    <w:rsid w:val="00B910D4"/>
    <w:rsid w:val="00B91112"/>
    <w:rsid w:val="00B91291"/>
    <w:rsid w:val="00B91513"/>
    <w:rsid w:val="00B91559"/>
    <w:rsid w:val="00B916B0"/>
    <w:rsid w:val="00B91900"/>
    <w:rsid w:val="00B91D96"/>
    <w:rsid w:val="00B921F3"/>
    <w:rsid w:val="00B923AC"/>
    <w:rsid w:val="00B9247C"/>
    <w:rsid w:val="00B9265A"/>
    <w:rsid w:val="00B928A7"/>
    <w:rsid w:val="00B929E8"/>
    <w:rsid w:val="00B92D75"/>
    <w:rsid w:val="00B92E38"/>
    <w:rsid w:val="00B92E41"/>
    <w:rsid w:val="00B92EBE"/>
    <w:rsid w:val="00B92F0A"/>
    <w:rsid w:val="00B9303A"/>
    <w:rsid w:val="00B93338"/>
    <w:rsid w:val="00B933B5"/>
    <w:rsid w:val="00B93819"/>
    <w:rsid w:val="00B93A95"/>
    <w:rsid w:val="00B93AA3"/>
    <w:rsid w:val="00B93B56"/>
    <w:rsid w:val="00B93EBC"/>
    <w:rsid w:val="00B93FB7"/>
    <w:rsid w:val="00B9416B"/>
    <w:rsid w:val="00B94529"/>
    <w:rsid w:val="00B94554"/>
    <w:rsid w:val="00B947FB"/>
    <w:rsid w:val="00B948E8"/>
    <w:rsid w:val="00B9495E"/>
    <w:rsid w:val="00B94AA2"/>
    <w:rsid w:val="00B94E36"/>
    <w:rsid w:val="00B9507D"/>
    <w:rsid w:val="00B9520A"/>
    <w:rsid w:val="00B95248"/>
    <w:rsid w:val="00B9547F"/>
    <w:rsid w:val="00B955FB"/>
    <w:rsid w:val="00B958E5"/>
    <w:rsid w:val="00B95ADB"/>
    <w:rsid w:val="00B95B87"/>
    <w:rsid w:val="00B95CEB"/>
    <w:rsid w:val="00B9630F"/>
    <w:rsid w:val="00B963B1"/>
    <w:rsid w:val="00B964B2"/>
    <w:rsid w:val="00B965B5"/>
    <w:rsid w:val="00B9670B"/>
    <w:rsid w:val="00B9692C"/>
    <w:rsid w:val="00B96B0B"/>
    <w:rsid w:val="00B96B46"/>
    <w:rsid w:val="00B96CA2"/>
    <w:rsid w:val="00B96CA4"/>
    <w:rsid w:val="00B96D68"/>
    <w:rsid w:val="00B971EE"/>
    <w:rsid w:val="00B9735F"/>
    <w:rsid w:val="00B975BC"/>
    <w:rsid w:val="00B976E2"/>
    <w:rsid w:val="00B976E3"/>
    <w:rsid w:val="00B97AB7"/>
    <w:rsid w:val="00B97CF2"/>
    <w:rsid w:val="00B97E33"/>
    <w:rsid w:val="00B97EDA"/>
    <w:rsid w:val="00BA015A"/>
    <w:rsid w:val="00BA0176"/>
    <w:rsid w:val="00BA01E0"/>
    <w:rsid w:val="00BA062B"/>
    <w:rsid w:val="00BA0BBE"/>
    <w:rsid w:val="00BA1068"/>
    <w:rsid w:val="00BA11FE"/>
    <w:rsid w:val="00BA13C6"/>
    <w:rsid w:val="00BA14B4"/>
    <w:rsid w:val="00BA168B"/>
    <w:rsid w:val="00BA1AE9"/>
    <w:rsid w:val="00BA1E49"/>
    <w:rsid w:val="00BA20A4"/>
    <w:rsid w:val="00BA20FB"/>
    <w:rsid w:val="00BA210E"/>
    <w:rsid w:val="00BA2344"/>
    <w:rsid w:val="00BA2352"/>
    <w:rsid w:val="00BA2604"/>
    <w:rsid w:val="00BA26AD"/>
    <w:rsid w:val="00BA297E"/>
    <w:rsid w:val="00BA2CE6"/>
    <w:rsid w:val="00BA2FA9"/>
    <w:rsid w:val="00BA3206"/>
    <w:rsid w:val="00BA3277"/>
    <w:rsid w:val="00BA3458"/>
    <w:rsid w:val="00BA38CF"/>
    <w:rsid w:val="00BA3BB5"/>
    <w:rsid w:val="00BA3C5D"/>
    <w:rsid w:val="00BA3FC1"/>
    <w:rsid w:val="00BA4022"/>
    <w:rsid w:val="00BA41CD"/>
    <w:rsid w:val="00BA43B2"/>
    <w:rsid w:val="00BA4642"/>
    <w:rsid w:val="00BA47F0"/>
    <w:rsid w:val="00BA498A"/>
    <w:rsid w:val="00BA4B24"/>
    <w:rsid w:val="00BA4C71"/>
    <w:rsid w:val="00BA5132"/>
    <w:rsid w:val="00BA520B"/>
    <w:rsid w:val="00BA5229"/>
    <w:rsid w:val="00BA52AB"/>
    <w:rsid w:val="00BA5427"/>
    <w:rsid w:val="00BA544E"/>
    <w:rsid w:val="00BA551C"/>
    <w:rsid w:val="00BA55DD"/>
    <w:rsid w:val="00BA5A4A"/>
    <w:rsid w:val="00BA5CC5"/>
    <w:rsid w:val="00BA5CEA"/>
    <w:rsid w:val="00BA60D4"/>
    <w:rsid w:val="00BA6675"/>
    <w:rsid w:val="00BA6787"/>
    <w:rsid w:val="00BA6C79"/>
    <w:rsid w:val="00BA6CC3"/>
    <w:rsid w:val="00BA6D08"/>
    <w:rsid w:val="00BA6DE4"/>
    <w:rsid w:val="00BA6F19"/>
    <w:rsid w:val="00BA6F39"/>
    <w:rsid w:val="00BA6FFE"/>
    <w:rsid w:val="00BA7129"/>
    <w:rsid w:val="00BA7226"/>
    <w:rsid w:val="00BA735C"/>
    <w:rsid w:val="00BA73D8"/>
    <w:rsid w:val="00BA74B1"/>
    <w:rsid w:val="00BA74B8"/>
    <w:rsid w:val="00BA7568"/>
    <w:rsid w:val="00BA77D9"/>
    <w:rsid w:val="00BA788F"/>
    <w:rsid w:val="00BA7F7E"/>
    <w:rsid w:val="00BB0462"/>
    <w:rsid w:val="00BB047D"/>
    <w:rsid w:val="00BB04DE"/>
    <w:rsid w:val="00BB0748"/>
    <w:rsid w:val="00BB0878"/>
    <w:rsid w:val="00BB0C8D"/>
    <w:rsid w:val="00BB0EE6"/>
    <w:rsid w:val="00BB11DC"/>
    <w:rsid w:val="00BB1230"/>
    <w:rsid w:val="00BB134B"/>
    <w:rsid w:val="00BB1391"/>
    <w:rsid w:val="00BB1767"/>
    <w:rsid w:val="00BB176D"/>
    <w:rsid w:val="00BB18AF"/>
    <w:rsid w:val="00BB19C0"/>
    <w:rsid w:val="00BB1A1E"/>
    <w:rsid w:val="00BB1C0A"/>
    <w:rsid w:val="00BB1EE7"/>
    <w:rsid w:val="00BB2035"/>
    <w:rsid w:val="00BB2119"/>
    <w:rsid w:val="00BB21A5"/>
    <w:rsid w:val="00BB227C"/>
    <w:rsid w:val="00BB242A"/>
    <w:rsid w:val="00BB25ED"/>
    <w:rsid w:val="00BB26A0"/>
    <w:rsid w:val="00BB27B5"/>
    <w:rsid w:val="00BB2956"/>
    <w:rsid w:val="00BB2A5E"/>
    <w:rsid w:val="00BB2BB0"/>
    <w:rsid w:val="00BB2C5B"/>
    <w:rsid w:val="00BB2E81"/>
    <w:rsid w:val="00BB36E9"/>
    <w:rsid w:val="00BB3C33"/>
    <w:rsid w:val="00BB3FAD"/>
    <w:rsid w:val="00BB4072"/>
    <w:rsid w:val="00BB40B5"/>
    <w:rsid w:val="00BB417F"/>
    <w:rsid w:val="00BB433E"/>
    <w:rsid w:val="00BB44D2"/>
    <w:rsid w:val="00BB46A1"/>
    <w:rsid w:val="00BB46ED"/>
    <w:rsid w:val="00BB481C"/>
    <w:rsid w:val="00BB4899"/>
    <w:rsid w:val="00BB4AE6"/>
    <w:rsid w:val="00BB4D7A"/>
    <w:rsid w:val="00BB5189"/>
    <w:rsid w:val="00BB5193"/>
    <w:rsid w:val="00BB5294"/>
    <w:rsid w:val="00BB5454"/>
    <w:rsid w:val="00BB5728"/>
    <w:rsid w:val="00BB57D0"/>
    <w:rsid w:val="00BB5980"/>
    <w:rsid w:val="00BB5A00"/>
    <w:rsid w:val="00BB5A86"/>
    <w:rsid w:val="00BB5B2E"/>
    <w:rsid w:val="00BB5B31"/>
    <w:rsid w:val="00BB5DBC"/>
    <w:rsid w:val="00BB6117"/>
    <w:rsid w:val="00BB626D"/>
    <w:rsid w:val="00BB66CD"/>
    <w:rsid w:val="00BB689E"/>
    <w:rsid w:val="00BB6AB0"/>
    <w:rsid w:val="00BB6B36"/>
    <w:rsid w:val="00BB6C1F"/>
    <w:rsid w:val="00BB6FAD"/>
    <w:rsid w:val="00BB7526"/>
    <w:rsid w:val="00BB7599"/>
    <w:rsid w:val="00BB759E"/>
    <w:rsid w:val="00BB75A3"/>
    <w:rsid w:val="00BB75EF"/>
    <w:rsid w:val="00BB7DEE"/>
    <w:rsid w:val="00BB7E43"/>
    <w:rsid w:val="00BB7F6B"/>
    <w:rsid w:val="00BC00A4"/>
    <w:rsid w:val="00BC013E"/>
    <w:rsid w:val="00BC01FD"/>
    <w:rsid w:val="00BC03C5"/>
    <w:rsid w:val="00BC050F"/>
    <w:rsid w:val="00BC075D"/>
    <w:rsid w:val="00BC0906"/>
    <w:rsid w:val="00BC09FD"/>
    <w:rsid w:val="00BC0B1B"/>
    <w:rsid w:val="00BC0B6E"/>
    <w:rsid w:val="00BC10AA"/>
    <w:rsid w:val="00BC1842"/>
    <w:rsid w:val="00BC1ABB"/>
    <w:rsid w:val="00BC1EC2"/>
    <w:rsid w:val="00BC20F0"/>
    <w:rsid w:val="00BC2261"/>
    <w:rsid w:val="00BC239C"/>
    <w:rsid w:val="00BC23F7"/>
    <w:rsid w:val="00BC23FA"/>
    <w:rsid w:val="00BC2409"/>
    <w:rsid w:val="00BC2822"/>
    <w:rsid w:val="00BC2862"/>
    <w:rsid w:val="00BC29EF"/>
    <w:rsid w:val="00BC2AAD"/>
    <w:rsid w:val="00BC2CD6"/>
    <w:rsid w:val="00BC2D20"/>
    <w:rsid w:val="00BC32E0"/>
    <w:rsid w:val="00BC32ED"/>
    <w:rsid w:val="00BC3386"/>
    <w:rsid w:val="00BC3430"/>
    <w:rsid w:val="00BC3946"/>
    <w:rsid w:val="00BC39D9"/>
    <w:rsid w:val="00BC3A59"/>
    <w:rsid w:val="00BC3B88"/>
    <w:rsid w:val="00BC3BAF"/>
    <w:rsid w:val="00BC3D00"/>
    <w:rsid w:val="00BC40B3"/>
    <w:rsid w:val="00BC4231"/>
    <w:rsid w:val="00BC4268"/>
    <w:rsid w:val="00BC448B"/>
    <w:rsid w:val="00BC45AD"/>
    <w:rsid w:val="00BC4670"/>
    <w:rsid w:val="00BC4749"/>
    <w:rsid w:val="00BC474D"/>
    <w:rsid w:val="00BC4777"/>
    <w:rsid w:val="00BC478A"/>
    <w:rsid w:val="00BC481E"/>
    <w:rsid w:val="00BC4998"/>
    <w:rsid w:val="00BC4AF0"/>
    <w:rsid w:val="00BC5020"/>
    <w:rsid w:val="00BC5070"/>
    <w:rsid w:val="00BC523F"/>
    <w:rsid w:val="00BC57EC"/>
    <w:rsid w:val="00BC582C"/>
    <w:rsid w:val="00BC5A6E"/>
    <w:rsid w:val="00BC5B99"/>
    <w:rsid w:val="00BC5D1F"/>
    <w:rsid w:val="00BC5DFF"/>
    <w:rsid w:val="00BC5F86"/>
    <w:rsid w:val="00BC6410"/>
    <w:rsid w:val="00BC64EA"/>
    <w:rsid w:val="00BC66FA"/>
    <w:rsid w:val="00BC6963"/>
    <w:rsid w:val="00BC6A21"/>
    <w:rsid w:val="00BC6A2D"/>
    <w:rsid w:val="00BC6E01"/>
    <w:rsid w:val="00BC6FD3"/>
    <w:rsid w:val="00BC74E9"/>
    <w:rsid w:val="00BC758D"/>
    <w:rsid w:val="00BC77AC"/>
    <w:rsid w:val="00BC78A9"/>
    <w:rsid w:val="00BC7D3E"/>
    <w:rsid w:val="00BC7F4B"/>
    <w:rsid w:val="00BD072D"/>
    <w:rsid w:val="00BD074E"/>
    <w:rsid w:val="00BD07ED"/>
    <w:rsid w:val="00BD086A"/>
    <w:rsid w:val="00BD0A59"/>
    <w:rsid w:val="00BD0CBF"/>
    <w:rsid w:val="00BD0E72"/>
    <w:rsid w:val="00BD15CA"/>
    <w:rsid w:val="00BD17D9"/>
    <w:rsid w:val="00BD1B1D"/>
    <w:rsid w:val="00BD1F07"/>
    <w:rsid w:val="00BD1FBE"/>
    <w:rsid w:val="00BD1FE9"/>
    <w:rsid w:val="00BD2512"/>
    <w:rsid w:val="00BD2600"/>
    <w:rsid w:val="00BD264B"/>
    <w:rsid w:val="00BD285C"/>
    <w:rsid w:val="00BD28AB"/>
    <w:rsid w:val="00BD28B3"/>
    <w:rsid w:val="00BD28D4"/>
    <w:rsid w:val="00BD2BF3"/>
    <w:rsid w:val="00BD2CA9"/>
    <w:rsid w:val="00BD2D1C"/>
    <w:rsid w:val="00BD2D4F"/>
    <w:rsid w:val="00BD30D5"/>
    <w:rsid w:val="00BD30FB"/>
    <w:rsid w:val="00BD3185"/>
    <w:rsid w:val="00BD318D"/>
    <w:rsid w:val="00BD3688"/>
    <w:rsid w:val="00BD3785"/>
    <w:rsid w:val="00BD3804"/>
    <w:rsid w:val="00BD39D8"/>
    <w:rsid w:val="00BD39E3"/>
    <w:rsid w:val="00BD3B0B"/>
    <w:rsid w:val="00BD3C90"/>
    <w:rsid w:val="00BD40B7"/>
    <w:rsid w:val="00BD4190"/>
    <w:rsid w:val="00BD41F8"/>
    <w:rsid w:val="00BD4295"/>
    <w:rsid w:val="00BD477C"/>
    <w:rsid w:val="00BD478F"/>
    <w:rsid w:val="00BD47CD"/>
    <w:rsid w:val="00BD48BD"/>
    <w:rsid w:val="00BD4A6F"/>
    <w:rsid w:val="00BD4ADB"/>
    <w:rsid w:val="00BD4CD1"/>
    <w:rsid w:val="00BD4D22"/>
    <w:rsid w:val="00BD4D43"/>
    <w:rsid w:val="00BD4DFC"/>
    <w:rsid w:val="00BD4E9D"/>
    <w:rsid w:val="00BD5005"/>
    <w:rsid w:val="00BD5140"/>
    <w:rsid w:val="00BD517A"/>
    <w:rsid w:val="00BD58A9"/>
    <w:rsid w:val="00BD5D09"/>
    <w:rsid w:val="00BD5D2F"/>
    <w:rsid w:val="00BD5E08"/>
    <w:rsid w:val="00BD5F85"/>
    <w:rsid w:val="00BD6038"/>
    <w:rsid w:val="00BD6091"/>
    <w:rsid w:val="00BD6255"/>
    <w:rsid w:val="00BD6367"/>
    <w:rsid w:val="00BD6416"/>
    <w:rsid w:val="00BD6537"/>
    <w:rsid w:val="00BD6635"/>
    <w:rsid w:val="00BD6888"/>
    <w:rsid w:val="00BD69A8"/>
    <w:rsid w:val="00BD69EF"/>
    <w:rsid w:val="00BD6CB1"/>
    <w:rsid w:val="00BD6DF1"/>
    <w:rsid w:val="00BD6EDF"/>
    <w:rsid w:val="00BD6EF0"/>
    <w:rsid w:val="00BD71BF"/>
    <w:rsid w:val="00BD724E"/>
    <w:rsid w:val="00BD7314"/>
    <w:rsid w:val="00BD7464"/>
    <w:rsid w:val="00BD74E5"/>
    <w:rsid w:val="00BD7586"/>
    <w:rsid w:val="00BD7671"/>
    <w:rsid w:val="00BD78CC"/>
    <w:rsid w:val="00BD7BEC"/>
    <w:rsid w:val="00BD7D44"/>
    <w:rsid w:val="00BD7E14"/>
    <w:rsid w:val="00BD7E4B"/>
    <w:rsid w:val="00BD7E89"/>
    <w:rsid w:val="00BE0138"/>
    <w:rsid w:val="00BE0372"/>
    <w:rsid w:val="00BE070D"/>
    <w:rsid w:val="00BE13A7"/>
    <w:rsid w:val="00BE1602"/>
    <w:rsid w:val="00BE195C"/>
    <w:rsid w:val="00BE1CFE"/>
    <w:rsid w:val="00BE1EA0"/>
    <w:rsid w:val="00BE206D"/>
    <w:rsid w:val="00BE2241"/>
    <w:rsid w:val="00BE24D9"/>
    <w:rsid w:val="00BE2E0F"/>
    <w:rsid w:val="00BE2FD3"/>
    <w:rsid w:val="00BE30B4"/>
    <w:rsid w:val="00BE3228"/>
    <w:rsid w:val="00BE3253"/>
    <w:rsid w:val="00BE333C"/>
    <w:rsid w:val="00BE341D"/>
    <w:rsid w:val="00BE3646"/>
    <w:rsid w:val="00BE37B7"/>
    <w:rsid w:val="00BE3B1D"/>
    <w:rsid w:val="00BE3C28"/>
    <w:rsid w:val="00BE3E2F"/>
    <w:rsid w:val="00BE3FED"/>
    <w:rsid w:val="00BE488E"/>
    <w:rsid w:val="00BE49C9"/>
    <w:rsid w:val="00BE4A25"/>
    <w:rsid w:val="00BE4BBF"/>
    <w:rsid w:val="00BE4BC8"/>
    <w:rsid w:val="00BE4C9E"/>
    <w:rsid w:val="00BE4D30"/>
    <w:rsid w:val="00BE4E26"/>
    <w:rsid w:val="00BE4F8E"/>
    <w:rsid w:val="00BE50DA"/>
    <w:rsid w:val="00BE5661"/>
    <w:rsid w:val="00BE59E2"/>
    <w:rsid w:val="00BE5C69"/>
    <w:rsid w:val="00BE5CB3"/>
    <w:rsid w:val="00BE5D86"/>
    <w:rsid w:val="00BE5DE8"/>
    <w:rsid w:val="00BE5F2F"/>
    <w:rsid w:val="00BE61A6"/>
    <w:rsid w:val="00BE6292"/>
    <w:rsid w:val="00BE6446"/>
    <w:rsid w:val="00BE64EB"/>
    <w:rsid w:val="00BE6954"/>
    <w:rsid w:val="00BE6A82"/>
    <w:rsid w:val="00BE6A9D"/>
    <w:rsid w:val="00BE6D60"/>
    <w:rsid w:val="00BE6E3A"/>
    <w:rsid w:val="00BE6F73"/>
    <w:rsid w:val="00BE74EC"/>
    <w:rsid w:val="00BE76ED"/>
    <w:rsid w:val="00BE7AD0"/>
    <w:rsid w:val="00BE7B85"/>
    <w:rsid w:val="00BE7D16"/>
    <w:rsid w:val="00BE7D90"/>
    <w:rsid w:val="00BE7E6F"/>
    <w:rsid w:val="00BF0481"/>
    <w:rsid w:val="00BF0592"/>
    <w:rsid w:val="00BF05C3"/>
    <w:rsid w:val="00BF088C"/>
    <w:rsid w:val="00BF0992"/>
    <w:rsid w:val="00BF0A9C"/>
    <w:rsid w:val="00BF0BB1"/>
    <w:rsid w:val="00BF1157"/>
    <w:rsid w:val="00BF11DD"/>
    <w:rsid w:val="00BF1293"/>
    <w:rsid w:val="00BF134D"/>
    <w:rsid w:val="00BF1791"/>
    <w:rsid w:val="00BF17D8"/>
    <w:rsid w:val="00BF1A48"/>
    <w:rsid w:val="00BF1A56"/>
    <w:rsid w:val="00BF21A5"/>
    <w:rsid w:val="00BF22C6"/>
    <w:rsid w:val="00BF2517"/>
    <w:rsid w:val="00BF27C2"/>
    <w:rsid w:val="00BF2B63"/>
    <w:rsid w:val="00BF2B74"/>
    <w:rsid w:val="00BF2BA4"/>
    <w:rsid w:val="00BF308A"/>
    <w:rsid w:val="00BF3436"/>
    <w:rsid w:val="00BF347D"/>
    <w:rsid w:val="00BF3A0F"/>
    <w:rsid w:val="00BF3E24"/>
    <w:rsid w:val="00BF3E92"/>
    <w:rsid w:val="00BF3FB6"/>
    <w:rsid w:val="00BF4126"/>
    <w:rsid w:val="00BF4416"/>
    <w:rsid w:val="00BF44B4"/>
    <w:rsid w:val="00BF44F0"/>
    <w:rsid w:val="00BF4785"/>
    <w:rsid w:val="00BF47A2"/>
    <w:rsid w:val="00BF4C8D"/>
    <w:rsid w:val="00BF4D1B"/>
    <w:rsid w:val="00BF4D6F"/>
    <w:rsid w:val="00BF4FF2"/>
    <w:rsid w:val="00BF565A"/>
    <w:rsid w:val="00BF575A"/>
    <w:rsid w:val="00BF5ABD"/>
    <w:rsid w:val="00BF5D26"/>
    <w:rsid w:val="00BF5DCD"/>
    <w:rsid w:val="00BF5F73"/>
    <w:rsid w:val="00BF61B3"/>
    <w:rsid w:val="00BF6235"/>
    <w:rsid w:val="00BF6766"/>
    <w:rsid w:val="00BF68C6"/>
    <w:rsid w:val="00BF6CA6"/>
    <w:rsid w:val="00BF6E3A"/>
    <w:rsid w:val="00BF7005"/>
    <w:rsid w:val="00BF709A"/>
    <w:rsid w:val="00BF70A0"/>
    <w:rsid w:val="00BF753F"/>
    <w:rsid w:val="00BF7716"/>
    <w:rsid w:val="00BF7730"/>
    <w:rsid w:val="00BF77FC"/>
    <w:rsid w:val="00BF7853"/>
    <w:rsid w:val="00BF7872"/>
    <w:rsid w:val="00BF79B1"/>
    <w:rsid w:val="00BF7D15"/>
    <w:rsid w:val="00BF7D35"/>
    <w:rsid w:val="00BF7D36"/>
    <w:rsid w:val="00C00091"/>
    <w:rsid w:val="00C00305"/>
    <w:rsid w:val="00C00B8D"/>
    <w:rsid w:val="00C00E0E"/>
    <w:rsid w:val="00C00E9A"/>
    <w:rsid w:val="00C010C0"/>
    <w:rsid w:val="00C01131"/>
    <w:rsid w:val="00C01173"/>
    <w:rsid w:val="00C01394"/>
    <w:rsid w:val="00C0151B"/>
    <w:rsid w:val="00C01684"/>
    <w:rsid w:val="00C01852"/>
    <w:rsid w:val="00C018E0"/>
    <w:rsid w:val="00C01F80"/>
    <w:rsid w:val="00C0221C"/>
    <w:rsid w:val="00C02342"/>
    <w:rsid w:val="00C0245C"/>
    <w:rsid w:val="00C0246D"/>
    <w:rsid w:val="00C024D2"/>
    <w:rsid w:val="00C02702"/>
    <w:rsid w:val="00C02759"/>
    <w:rsid w:val="00C027FB"/>
    <w:rsid w:val="00C02880"/>
    <w:rsid w:val="00C02D98"/>
    <w:rsid w:val="00C0306B"/>
    <w:rsid w:val="00C03169"/>
    <w:rsid w:val="00C03197"/>
    <w:rsid w:val="00C03291"/>
    <w:rsid w:val="00C033A2"/>
    <w:rsid w:val="00C03471"/>
    <w:rsid w:val="00C03567"/>
    <w:rsid w:val="00C035C0"/>
    <w:rsid w:val="00C03935"/>
    <w:rsid w:val="00C039E3"/>
    <w:rsid w:val="00C03D64"/>
    <w:rsid w:val="00C03E07"/>
    <w:rsid w:val="00C03EF4"/>
    <w:rsid w:val="00C03F06"/>
    <w:rsid w:val="00C0408C"/>
    <w:rsid w:val="00C0435E"/>
    <w:rsid w:val="00C044E0"/>
    <w:rsid w:val="00C0460E"/>
    <w:rsid w:val="00C04870"/>
    <w:rsid w:val="00C051D8"/>
    <w:rsid w:val="00C05570"/>
    <w:rsid w:val="00C0563A"/>
    <w:rsid w:val="00C05675"/>
    <w:rsid w:val="00C05912"/>
    <w:rsid w:val="00C05AB2"/>
    <w:rsid w:val="00C05F7C"/>
    <w:rsid w:val="00C06009"/>
    <w:rsid w:val="00C0608F"/>
    <w:rsid w:val="00C06540"/>
    <w:rsid w:val="00C06665"/>
    <w:rsid w:val="00C066F6"/>
    <w:rsid w:val="00C068D5"/>
    <w:rsid w:val="00C069F7"/>
    <w:rsid w:val="00C06B8F"/>
    <w:rsid w:val="00C06CE5"/>
    <w:rsid w:val="00C06D52"/>
    <w:rsid w:val="00C06E91"/>
    <w:rsid w:val="00C07102"/>
    <w:rsid w:val="00C073F2"/>
    <w:rsid w:val="00C07595"/>
    <w:rsid w:val="00C076B6"/>
    <w:rsid w:val="00C07867"/>
    <w:rsid w:val="00C07D31"/>
    <w:rsid w:val="00C101C6"/>
    <w:rsid w:val="00C1020F"/>
    <w:rsid w:val="00C10224"/>
    <w:rsid w:val="00C1055F"/>
    <w:rsid w:val="00C109C9"/>
    <w:rsid w:val="00C10B46"/>
    <w:rsid w:val="00C10F57"/>
    <w:rsid w:val="00C11147"/>
    <w:rsid w:val="00C1162D"/>
    <w:rsid w:val="00C116E9"/>
    <w:rsid w:val="00C11708"/>
    <w:rsid w:val="00C11718"/>
    <w:rsid w:val="00C11727"/>
    <w:rsid w:val="00C118F0"/>
    <w:rsid w:val="00C11955"/>
    <w:rsid w:val="00C119B6"/>
    <w:rsid w:val="00C11A25"/>
    <w:rsid w:val="00C11E28"/>
    <w:rsid w:val="00C12100"/>
    <w:rsid w:val="00C1212E"/>
    <w:rsid w:val="00C12130"/>
    <w:rsid w:val="00C12BE0"/>
    <w:rsid w:val="00C12C01"/>
    <w:rsid w:val="00C12D4E"/>
    <w:rsid w:val="00C12E6F"/>
    <w:rsid w:val="00C1336A"/>
    <w:rsid w:val="00C13377"/>
    <w:rsid w:val="00C13384"/>
    <w:rsid w:val="00C1351E"/>
    <w:rsid w:val="00C13628"/>
    <w:rsid w:val="00C13809"/>
    <w:rsid w:val="00C138A1"/>
    <w:rsid w:val="00C13BFC"/>
    <w:rsid w:val="00C13D6C"/>
    <w:rsid w:val="00C13DD0"/>
    <w:rsid w:val="00C142D8"/>
    <w:rsid w:val="00C14420"/>
    <w:rsid w:val="00C144D8"/>
    <w:rsid w:val="00C144DC"/>
    <w:rsid w:val="00C14506"/>
    <w:rsid w:val="00C14518"/>
    <w:rsid w:val="00C145DC"/>
    <w:rsid w:val="00C14634"/>
    <w:rsid w:val="00C14684"/>
    <w:rsid w:val="00C147F3"/>
    <w:rsid w:val="00C14883"/>
    <w:rsid w:val="00C14A95"/>
    <w:rsid w:val="00C14B53"/>
    <w:rsid w:val="00C14C74"/>
    <w:rsid w:val="00C152FD"/>
    <w:rsid w:val="00C15598"/>
    <w:rsid w:val="00C157A7"/>
    <w:rsid w:val="00C1598B"/>
    <w:rsid w:val="00C159FF"/>
    <w:rsid w:val="00C15B35"/>
    <w:rsid w:val="00C15E31"/>
    <w:rsid w:val="00C15EAD"/>
    <w:rsid w:val="00C1618C"/>
    <w:rsid w:val="00C16456"/>
    <w:rsid w:val="00C1675F"/>
    <w:rsid w:val="00C167CE"/>
    <w:rsid w:val="00C16ADC"/>
    <w:rsid w:val="00C16CAC"/>
    <w:rsid w:val="00C16F64"/>
    <w:rsid w:val="00C174AF"/>
    <w:rsid w:val="00C17572"/>
    <w:rsid w:val="00C17748"/>
    <w:rsid w:val="00C177A3"/>
    <w:rsid w:val="00C177F4"/>
    <w:rsid w:val="00C17A71"/>
    <w:rsid w:val="00C17CE6"/>
    <w:rsid w:val="00C20037"/>
    <w:rsid w:val="00C200FD"/>
    <w:rsid w:val="00C2012D"/>
    <w:rsid w:val="00C2026D"/>
    <w:rsid w:val="00C203C7"/>
    <w:rsid w:val="00C2079D"/>
    <w:rsid w:val="00C209D6"/>
    <w:rsid w:val="00C20D2E"/>
    <w:rsid w:val="00C20E7B"/>
    <w:rsid w:val="00C20E8D"/>
    <w:rsid w:val="00C20EAC"/>
    <w:rsid w:val="00C20FB6"/>
    <w:rsid w:val="00C20FC3"/>
    <w:rsid w:val="00C21053"/>
    <w:rsid w:val="00C2129A"/>
    <w:rsid w:val="00C213D5"/>
    <w:rsid w:val="00C2150E"/>
    <w:rsid w:val="00C21515"/>
    <w:rsid w:val="00C21B58"/>
    <w:rsid w:val="00C21DAE"/>
    <w:rsid w:val="00C21DEC"/>
    <w:rsid w:val="00C21E6A"/>
    <w:rsid w:val="00C2255F"/>
    <w:rsid w:val="00C22767"/>
    <w:rsid w:val="00C2295A"/>
    <w:rsid w:val="00C22A80"/>
    <w:rsid w:val="00C22B00"/>
    <w:rsid w:val="00C22BBC"/>
    <w:rsid w:val="00C22C55"/>
    <w:rsid w:val="00C22C56"/>
    <w:rsid w:val="00C22D9B"/>
    <w:rsid w:val="00C22EB9"/>
    <w:rsid w:val="00C23049"/>
    <w:rsid w:val="00C231E3"/>
    <w:rsid w:val="00C23638"/>
    <w:rsid w:val="00C237BF"/>
    <w:rsid w:val="00C2399F"/>
    <w:rsid w:val="00C23BC3"/>
    <w:rsid w:val="00C23BE9"/>
    <w:rsid w:val="00C23C04"/>
    <w:rsid w:val="00C23DAA"/>
    <w:rsid w:val="00C24104"/>
    <w:rsid w:val="00C24231"/>
    <w:rsid w:val="00C244F6"/>
    <w:rsid w:val="00C24674"/>
    <w:rsid w:val="00C2481B"/>
    <w:rsid w:val="00C249A1"/>
    <w:rsid w:val="00C24AFC"/>
    <w:rsid w:val="00C24C59"/>
    <w:rsid w:val="00C24E58"/>
    <w:rsid w:val="00C24ED2"/>
    <w:rsid w:val="00C24FDA"/>
    <w:rsid w:val="00C2517D"/>
    <w:rsid w:val="00C25193"/>
    <w:rsid w:val="00C255E2"/>
    <w:rsid w:val="00C2563D"/>
    <w:rsid w:val="00C256E1"/>
    <w:rsid w:val="00C25A36"/>
    <w:rsid w:val="00C25A89"/>
    <w:rsid w:val="00C25D75"/>
    <w:rsid w:val="00C25F54"/>
    <w:rsid w:val="00C26012"/>
    <w:rsid w:val="00C2607B"/>
    <w:rsid w:val="00C264FD"/>
    <w:rsid w:val="00C265B6"/>
    <w:rsid w:val="00C267C3"/>
    <w:rsid w:val="00C2690A"/>
    <w:rsid w:val="00C26DEB"/>
    <w:rsid w:val="00C26FFB"/>
    <w:rsid w:val="00C27327"/>
    <w:rsid w:val="00C273A5"/>
    <w:rsid w:val="00C275BF"/>
    <w:rsid w:val="00C27719"/>
    <w:rsid w:val="00C27A22"/>
    <w:rsid w:val="00C27A86"/>
    <w:rsid w:val="00C27CAD"/>
    <w:rsid w:val="00C27D94"/>
    <w:rsid w:val="00C27D98"/>
    <w:rsid w:val="00C27EAA"/>
    <w:rsid w:val="00C305F8"/>
    <w:rsid w:val="00C30933"/>
    <w:rsid w:val="00C30A07"/>
    <w:rsid w:val="00C30AEF"/>
    <w:rsid w:val="00C30C24"/>
    <w:rsid w:val="00C30C34"/>
    <w:rsid w:val="00C30D22"/>
    <w:rsid w:val="00C31044"/>
    <w:rsid w:val="00C31226"/>
    <w:rsid w:val="00C3134F"/>
    <w:rsid w:val="00C31746"/>
    <w:rsid w:val="00C31769"/>
    <w:rsid w:val="00C317ED"/>
    <w:rsid w:val="00C3186A"/>
    <w:rsid w:val="00C3190F"/>
    <w:rsid w:val="00C31C0C"/>
    <w:rsid w:val="00C31E9E"/>
    <w:rsid w:val="00C32002"/>
    <w:rsid w:val="00C32190"/>
    <w:rsid w:val="00C324E1"/>
    <w:rsid w:val="00C32C74"/>
    <w:rsid w:val="00C32CCB"/>
    <w:rsid w:val="00C32D62"/>
    <w:rsid w:val="00C32D9C"/>
    <w:rsid w:val="00C32DA7"/>
    <w:rsid w:val="00C32EE1"/>
    <w:rsid w:val="00C330AD"/>
    <w:rsid w:val="00C330D0"/>
    <w:rsid w:val="00C33141"/>
    <w:rsid w:val="00C33200"/>
    <w:rsid w:val="00C33260"/>
    <w:rsid w:val="00C333E9"/>
    <w:rsid w:val="00C334D1"/>
    <w:rsid w:val="00C33521"/>
    <w:rsid w:val="00C34134"/>
    <w:rsid w:val="00C34191"/>
    <w:rsid w:val="00C343F7"/>
    <w:rsid w:val="00C34434"/>
    <w:rsid w:val="00C347C8"/>
    <w:rsid w:val="00C34E50"/>
    <w:rsid w:val="00C34F23"/>
    <w:rsid w:val="00C34FEA"/>
    <w:rsid w:val="00C3500D"/>
    <w:rsid w:val="00C3516C"/>
    <w:rsid w:val="00C3529B"/>
    <w:rsid w:val="00C352E0"/>
    <w:rsid w:val="00C352F4"/>
    <w:rsid w:val="00C355D9"/>
    <w:rsid w:val="00C3584B"/>
    <w:rsid w:val="00C35872"/>
    <w:rsid w:val="00C35A07"/>
    <w:rsid w:val="00C35BDF"/>
    <w:rsid w:val="00C35DB4"/>
    <w:rsid w:val="00C367B8"/>
    <w:rsid w:val="00C36BE0"/>
    <w:rsid w:val="00C36C3D"/>
    <w:rsid w:val="00C37067"/>
    <w:rsid w:val="00C370C6"/>
    <w:rsid w:val="00C370E6"/>
    <w:rsid w:val="00C372A9"/>
    <w:rsid w:val="00C37432"/>
    <w:rsid w:val="00C37894"/>
    <w:rsid w:val="00C37E9D"/>
    <w:rsid w:val="00C37F47"/>
    <w:rsid w:val="00C37FB9"/>
    <w:rsid w:val="00C400F2"/>
    <w:rsid w:val="00C40106"/>
    <w:rsid w:val="00C40114"/>
    <w:rsid w:val="00C40383"/>
    <w:rsid w:val="00C40472"/>
    <w:rsid w:val="00C4051B"/>
    <w:rsid w:val="00C4067E"/>
    <w:rsid w:val="00C408E2"/>
    <w:rsid w:val="00C40A97"/>
    <w:rsid w:val="00C40AD5"/>
    <w:rsid w:val="00C40B84"/>
    <w:rsid w:val="00C40CE4"/>
    <w:rsid w:val="00C40FD8"/>
    <w:rsid w:val="00C412CD"/>
    <w:rsid w:val="00C4141E"/>
    <w:rsid w:val="00C41595"/>
    <w:rsid w:val="00C415B4"/>
    <w:rsid w:val="00C41609"/>
    <w:rsid w:val="00C419CD"/>
    <w:rsid w:val="00C419FA"/>
    <w:rsid w:val="00C41A3F"/>
    <w:rsid w:val="00C41ACB"/>
    <w:rsid w:val="00C41FD7"/>
    <w:rsid w:val="00C4230D"/>
    <w:rsid w:val="00C425A6"/>
    <w:rsid w:val="00C4262A"/>
    <w:rsid w:val="00C42993"/>
    <w:rsid w:val="00C429B2"/>
    <w:rsid w:val="00C43158"/>
    <w:rsid w:val="00C43163"/>
    <w:rsid w:val="00C435DA"/>
    <w:rsid w:val="00C439F5"/>
    <w:rsid w:val="00C43B8C"/>
    <w:rsid w:val="00C43DDA"/>
    <w:rsid w:val="00C441CF"/>
    <w:rsid w:val="00C44289"/>
    <w:rsid w:val="00C44578"/>
    <w:rsid w:val="00C446C3"/>
    <w:rsid w:val="00C4486F"/>
    <w:rsid w:val="00C4487F"/>
    <w:rsid w:val="00C449AF"/>
    <w:rsid w:val="00C44C13"/>
    <w:rsid w:val="00C44FBA"/>
    <w:rsid w:val="00C45224"/>
    <w:rsid w:val="00C457F2"/>
    <w:rsid w:val="00C458D1"/>
    <w:rsid w:val="00C45CAE"/>
    <w:rsid w:val="00C45DF7"/>
    <w:rsid w:val="00C462E6"/>
    <w:rsid w:val="00C46457"/>
    <w:rsid w:val="00C4686E"/>
    <w:rsid w:val="00C468DD"/>
    <w:rsid w:val="00C46A9B"/>
    <w:rsid w:val="00C46B1F"/>
    <w:rsid w:val="00C46C18"/>
    <w:rsid w:val="00C4718F"/>
    <w:rsid w:val="00C477B6"/>
    <w:rsid w:val="00C47AFF"/>
    <w:rsid w:val="00C47D0A"/>
    <w:rsid w:val="00C500E3"/>
    <w:rsid w:val="00C50206"/>
    <w:rsid w:val="00C502F8"/>
    <w:rsid w:val="00C50476"/>
    <w:rsid w:val="00C504EA"/>
    <w:rsid w:val="00C5054D"/>
    <w:rsid w:val="00C505E7"/>
    <w:rsid w:val="00C506C2"/>
    <w:rsid w:val="00C506EB"/>
    <w:rsid w:val="00C5085C"/>
    <w:rsid w:val="00C50A04"/>
    <w:rsid w:val="00C50A09"/>
    <w:rsid w:val="00C50AFD"/>
    <w:rsid w:val="00C51069"/>
    <w:rsid w:val="00C51108"/>
    <w:rsid w:val="00C512CC"/>
    <w:rsid w:val="00C512F8"/>
    <w:rsid w:val="00C51435"/>
    <w:rsid w:val="00C517F2"/>
    <w:rsid w:val="00C51812"/>
    <w:rsid w:val="00C51AD2"/>
    <w:rsid w:val="00C51D6B"/>
    <w:rsid w:val="00C51D7F"/>
    <w:rsid w:val="00C51E9F"/>
    <w:rsid w:val="00C5224D"/>
    <w:rsid w:val="00C52299"/>
    <w:rsid w:val="00C52480"/>
    <w:rsid w:val="00C5280A"/>
    <w:rsid w:val="00C52881"/>
    <w:rsid w:val="00C52D79"/>
    <w:rsid w:val="00C52E51"/>
    <w:rsid w:val="00C52FF0"/>
    <w:rsid w:val="00C52FF4"/>
    <w:rsid w:val="00C530AA"/>
    <w:rsid w:val="00C530C4"/>
    <w:rsid w:val="00C53316"/>
    <w:rsid w:val="00C53675"/>
    <w:rsid w:val="00C537FF"/>
    <w:rsid w:val="00C539AB"/>
    <w:rsid w:val="00C53CEA"/>
    <w:rsid w:val="00C53D54"/>
    <w:rsid w:val="00C54126"/>
    <w:rsid w:val="00C542EF"/>
    <w:rsid w:val="00C5460D"/>
    <w:rsid w:val="00C547E8"/>
    <w:rsid w:val="00C547FD"/>
    <w:rsid w:val="00C54954"/>
    <w:rsid w:val="00C551A3"/>
    <w:rsid w:val="00C551D3"/>
    <w:rsid w:val="00C552DA"/>
    <w:rsid w:val="00C5534D"/>
    <w:rsid w:val="00C55719"/>
    <w:rsid w:val="00C557D1"/>
    <w:rsid w:val="00C55868"/>
    <w:rsid w:val="00C55895"/>
    <w:rsid w:val="00C558E6"/>
    <w:rsid w:val="00C55AB2"/>
    <w:rsid w:val="00C55AF5"/>
    <w:rsid w:val="00C55E19"/>
    <w:rsid w:val="00C55F53"/>
    <w:rsid w:val="00C56009"/>
    <w:rsid w:val="00C56192"/>
    <w:rsid w:val="00C56290"/>
    <w:rsid w:val="00C562D7"/>
    <w:rsid w:val="00C565F2"/>
    <w:rsid w:val="00C56751"/>
    <w:rsid w:val="00C567DD"/>
    <w:rsid w:val="00C56909"/>
    <w:rsid w:val="00C56AF7"/>
    <w:rsid w:val="00C56D9F"/>
    <w:rsid w:val="00C56EC7"/>
    <w:rsid w:val="00C56FD8"/>
    <w:rsid w:val="00C570C7"/>
    <w:rsid w:val="00C57177"/>
    <w:rsid w:val="00C57507"/>
    <w:rsid w:val="00C575B3"/>
    <w:rsid w:val="00C576E0"/>
    <w:rsid w:val="00C57944"/>
    <w:rsid w:val="00C579AA"/>
    <w:rsid w:val="00C57AD9"/>
    <w:rsid w:val="00C57C36"/>
    <w:rsid w:val="00C57C83"/>
    <w:rsid w:val="00C60074"/>
    <w:rsid w:val="00C60237"/>
    <w:rsid w:val="00C6027D"/>
    <w:rsid w:val="00C60651"/>
    <w:rsid w:val="00C606A9"/>
    <w:rsid w:val="00C60A1F"/>
    <w:rsid w:val="00C60A27"/>
    <w:rsid w:val="00C60ACB"/>
    <w:rsid w:val="00C60E8A"/>
    <w:rsid w:val="00C61017"/>
    <w:rsid w:val="00C61159"/>
    <w:rsid w:val="00C611F8"/>
    <w:rsid w:val="00C616F3"/>
    <w:rsid w:val="00C6181F"/>
    <w:rsid w:val="00C61918"/>
    <w:rsid w:val="00C619FC"/>
    <w:rsid w:val="00C61C55"/>
    <w:rsid w:val="00C61E49"/>
    <w:rsid w:val="00C620D1"/>
    <w:rsid w:val="00C621CD"/>
    <w:rsid w:val="00C62829"/>
    <w:rsid w:val="00C628F0"/>
    <w:rsid w:val="00C62BEA"/>
    <w:rsid w:val="00C62C72"/>
    <w:rsid w:val="00C62EE8"/>
    <w:rsid w:val="00C63464"/>
    <w:rsid w:val="00C639AB"/>
    <w:rsid w:val="00C63B0D"/>
    <w:rsid w:val="00C63BB5"/>
    <w:rsid w:val="00C63E88"/>
    <w:rsid w:val="00C63F3B"/>
    <w:rsid w:val="00C63FFA"/>
    <w:rsid w:val="00C6400F"/>
    <w:rsid w:val="00C64056"/>
    <w:rsid w:val="00C64100"/>
    <w:rsid w:val="00C64143"/>
    <w:rsid w:val="00C64297"/>
    <w:rsid w:val="00C64330"/>
    <w:rsid w:val="00C64350"/>
    <w:rsid w:val="00C647FB"/>
    <w:rsid w:val="00C64986"/>
    <w:rsid w:val="00C64A82"/>
    <w:rsid w:val="00C64C20"/>
    <w:rsid w:val="00C64E55"/>
    <w:rsid w:val="00C65239"/>
    <w:rsid w:val="00C65274"/>
    <w:rsid w:val="00C6543C"/>
    <w:rsid w:val="00C657B8"/>
    <w:rsid w:val="00C6589E"/>
    <w:rsid w:val="00C65D57"/>
    <w:rsid w:val="00C65EA7"/>
    <w:rsid w:val="00C6606A"/>
    <w:rsid w:val="00C66280"/>
    <w:rsid w:val="00C6629A"/>
    <w:rsid w:val="00C663A4"/>
    <w:rsid w:val="00C66539"/>
    <w:rsid w:val="00C66583"/>
    <w:rsid w:val="00C66795"/>
    <w:rsid w:val="00C669C9"/>
    <w:rsid w:val="00C66AD9"/>
    <w:rsid w:val="00C66C1C"/>
    <w:rsid w:val="00C670A0"/>
    <w:rsid w:val="00C670D1"/>
    <w:rsid w:val="00C67474"/>
    <w:rsid w:val="00C67762"/>
    <w:rsid w:val="00C678A4"/>
    <w:rsid w:val="00C67CC5"/>
    <w:rsid w:val="00C67F10"/>
    <w:rsid w:val="00C7020A"/>
    <w:rsid w:val="00C70414"/>
    <w:rsid w:val="00C70567"/>
    <w:rsid w:val="00C706EF"/>
    <w:rsid w:val="00C7074C"/>
    <w:rsid w:val="00C70D81"/>
    <w:rsid w:val="00C70EF8"/>
    <w:rsid w:val="00C70FEF"/>
    <w:rsid w:val="00C71055"/>
    <w:rsid w:val="00C710DE"/>
    <w:rsid w:val="00C71328"/>
    <w:rsid w:val="00C714BF"/>
    <w:rsid w:val="00C716BA"/>
    <w:rsid w:val="00C71713"/>
    <w:rsid w:val="00C71823"/>
    <w:rsid w:val="00C719C7"/>
    <w:rsid w:val="00C71A9E"/>
    <w:rsid w:val="00C71BEA"/>
    <w:rsid w:val="00C71F0C"/>
    <w:rsid w:val="00C72071"/>
    <w:rsid w:val="00C72127"/>
    <w:rsid w:val="00C721F1"/>
    <w:rsid w:val="00C7287A"/>
    <w:rsid w:val="00C728AF"/>
    <w:rsid w:val="00C729C1"/>
    <w:rsid w:val="00C72A32"/>
    <w:rsid w:val="00C72B61"/>
    <w:rsid w:val="00C73016"/>
    <w:rsid w:val="00C73085"/>
    <w:rsid w:val="00C7372F"/>
    <w:rsid w:val="00C73A3B"/>
    <w:rsid w:val="00C73B77"/>
    <w:rsid w:val="00C73D86"/>
    <w:rsid w:val="00C73DF8"/>
    <w:rsid w:val="00C743B6"/>
    <w:rsid w:val="00C74666"/>
    <w:rsid w:val="00C7493A"/>
    <w:rsid w:val="00C74A89"/>
    <w:rsid w:val="00C74CB5"/>
    <w:rsid w:val="00C74EE6"/>
    <w:rsid w:val="00C74FBB"/>
    <w:rsid w:val="00C7536B"/>
    <w:rsid w:val="00C7538A"/>
    <w:rsid w:val="00C75483"/>
    <w:rsid w:val="00C7585E"/>
    <w:rsid w:val="00C75943"/>
    <w:rsid w:val="00C75944"/>
    <w:rsid w:val="00C75CDB"/>
    <w:rsid w:val="00C75E30"/>
    <w:rsid w:val="00C75EFA"/>
    <w:rsid w:val="00C760A1"/>
    <w:rsid w:val="00C76496"/>
    <w:rsid w:val="00C7697A"/>
    <w:rsid w:val="00C76C0D"/>
    <w:rsid w:val="00C76DCD"/>
    <w:rsid w:val="00C7717C"/>
    <w:rsid w:val="00C771F0"/>
    <w:rsid w:val="00C7723F"/>
    <w:rsid w:val="00C773D1"/>
    <w:rsid w:val="00C77483"/>
    <w:rsid w:val="00C775FA"/>
    <w:rsid w:val="00C77788"/>
    <w:rsid w:val="00C77CF6"/>
    <w:rsid w:val="00C80038"/>
    <w:rsid w:val="00C802BA"/>
    <w:rsid w:val="00C80340"/>
    <w:rsid w:val="00C806A1"/>
    <w:rsid w:val="00C809FC"/>
    <w:rsid w:val="00C80B18"/>
    <w:rsid w:val="00C80E12"/>
    <w:rsid w:val="00C80E31"/>
    <w:rsid w:val="00C80E8A"/>
    <w:rsid w:val="00C8127B"/>
    <w:rsid w:val="00C8144F"/>
    <w:rsid w:val="00C81879"/>
    <w:rsid w:val="00C81A8D"/>
    <w:rsid w:val="00C81D3B"/>
    <w:rsid w:val="00C81F9E"/>
    <w:rsid w:val="00C820C7"/>
    <w:rsid w:val="00C820E8"/>
    <w:rsid w:val="00C82523"/>
    <w:rsid w:val="00C8252F"/>
    <w:rsid w:val="00C8267C"/>
    <w:rsid w:val="00C826F7"/>
    <w:rsid w:val="00C828A6"/>
    <w:rsid w:val="00C82B21"/>
    <w:rsid w:val="00C82C0F"/>
    <w:rsid w:val="00C82D27"/>
    <w:rsid w:val="00C82E92"/>
    <w:rsid w:val="00C82F3F"/>
    <w:rsid w:val="00C82F83"/>
    <w:rsid w:val="00C83328"/>
    <w:rsid w:val="00C8350C"/>
    <w:rsid w:val="00C83860"/>
    <w:rsid w:val="00C83882"/>
    <w:rsid w:val="00C83A99"/>
    <w:rsid w:val="00C83AE3"/>
    <w:rsid w:val="00C83B76"/>
    <w:rsid w:val="00C84086"/>
    <w:rsid w:val="00C84147"/>
    <w:rsid w:val="00C8421E"/>
    <w:rsid w:val="00C846BD"/>
    <w:rsid w:val="00C847F2"/>
    <w:rsid w:val="00C84C32"/>
    <w:rsid w:val="00C85181"/>
    <w:rsid w:val="00C85691"/>
    <w:rsid w:val="00C8574A"/>
    <w:rsid w:val="00C8586A"/>
    <w:rsid w:val="00C858D0"/>
    <w:rsid w:val="00C858F2"/>
    <w:rsid w:val="00C85AA6"/>
    <w:rsid w:val="00C85B81"/>
    <w:rsid w:val="00C85CAC"/>
    <w:rsid w:val="00C85DC9"/>
    <w:rsid w:val="00C86083"/>
    <w:rsid w:val="00C8619F"/>
    <w:rsid w:val="00C86362"/>
    <w:rsid w:val="00C86798"/>
    <w:rsid w:val="00C86862"/>
    <w:rsid w:val="00C86920"/>
    <w:rsid w:val="00C869F1"/>
    <w:rsid w:val="00C86AA9"/>
    <w:rsid w:val="00C86D8E"/>
    <w:rsid w:val="00C86EAD"/>
    <w:rsid w:val="00C86F5B"/>
    <w:rsid w:val="00C872CA"/>
    <w:rsid w:val="00C875CC"/>
    <w:rsid w:val="00C87618"/>
    <w:rsid w:val="00C87732"/>
    <w:rsid w:val="00C87A8A"/>
    <w:rsid w:val="00C87C1F"/>
    <w:rsid w:val="00C87C30"/>
    <w:rsid w:val="00C90136"/>
    <w:rsid w:val="00C903B7"/>
    <w:rsid w:val="00C904CA"/>
    <w:rsid w:val="00C9085C"/>
    <w:rsid w:val="00C90A0D"/>
    <w:rsid w:val="00C90AAB"/>
    <w:rsid w:val="00C90D45"/>
    <w:rsid w:val="00C90DE1"/>
    <w:rsid w:val="00C90EF3"/>
    <w:rsid w:val="00C90F0E"/>
    <w:rsid w:val="00C91020"/>
    <w:rsid w:val="00C91173"/>
    <w:rsid w:val="00C91396"/>
    <w:rsid w:val="00C915BB"/>
    <w:rsid w:val="00C91704"/>
    <w:rsid w:val="00C919CE"/>
    <w:rsid w:val="00C91C88"/>
    <w:rsid w:val="00C91C90"/>
    <w:rsid w:val="00C91D15"/>
    <w:rsid w:val="00C9218E"/>
    <w:rsid w:val="00C9253D"/>
    <w:rsid w:val="00C92668"/>
    <w:rsid w:val="00C92725"/>
    <w:rsid w:val="00C92747"/>
    <w:rsid w:val="00C92B1C"/>
    <w:rsid w:val="00C92CFF"/>
    <w:rsid w:val="00C92E62"/>
    <w:rsid w:val="00C92E65"/>
    <w:rsid w:val="00C92F58"/>
    <w:rsid w:val="00C9301B"/>
    <w:rsid w:val="00C93120"/>
    <w:rsid w:val="00C932E7"/>
    <w:rsid w:val="00C93498"/>
    <w:rsid w:val="00C937BD"/>
    <w:rsid w:val="00C937F8"/>
    <w:rsid w:val="00C93B0F"/>
    <w:rsid w:val="00C93B35"/>
    <w:rsid w:val="00C93C69"/>
    <w:rsid w:val="00C93F95"/>
    <w:rsid w:val="00C93FC1"/>
    <w:rsid w:val="00C940D0"/>
    <w:rsid w:val="00C943A8"/>
    <w:rsid w:val="00C9446B"/>
    <w:rsid w:val="00C9465B"/>
    <w:rsid w:val="00C9469F"/>
    <w:rsid w:val="00C94BA2"/>
    <w:rsid w:val="00C95006"/>
    <w:rsid w:val="00C950F1"/>
    <w:rsid w:val="00C953E8"/>
    <w:rsid w:val="00C9550B"/>
    <w:rsid w:val="00C95567"/>
    <w:rsid w:val="00C95A1E"/>
    <w:rsid w:val="00C95AFF"/>
    <w:rsid w:val="00C95B64"/>
    <w:rsid w:val="00C95E79"/>
    <w:rsid w:val="00C95F12"/>
    <w:rsid w:val="00C962EE"/>
    <w:rsid w:val="00C96391"/>
    <w:rsid w:val="00C96567"/>
    <w:rsid w:val="00C96651"/>
    <w:rsid w:val="00C96673"/>
    <w:rsid w:val="00C96C98"/>
    <w:rsid w:val="00C96E3C"/>
    <w:rsid w:val="00C972A2"/>
    <w:rsid w:val="00C973D6"/>
    <w:rsid w:val="00C97659"/>
    <w:rsid w:val="00C97A68"/>
    <w:rsid w:val="00C97A99"/>
    <w:rsid w:val="00C97ACA"/>
    <w:rsid w:val="00C97D7E"/>
    <w:rsid w:val="00C97EC9"/>
    <w:rsid w:val="00C97F39"/>
    <w:rsid w:val="00CA04B6"/>
    <w:rsid w:val="00CA081B"/>
    <w:rsid w:val="00CA081E"/>
    <w:rsid w:val="00CA08B2"/>
    <w:rsid w:val="00CA0920"/>
    <w:rsid w:val="00CA0D16"/>
    <w:rsid w:val="00CA0E13"/>
    <w:rsid w:val="00CA0F7B"/>
    <w:rsid w:val="00CA10EB"/>
    <w:rsid w:val="00CA111C"/>
    <w:rsid w:val="00CA128E"/>
    <w:rsid w:val="00CA12C6"/>
    <w:rsid w:val="00CA1367"/>
    <w:rsid w:val="00CA13D6"/>
    <w:rsid w:val="00CA19CB"/>
    <w:rsid w:val="00CA1B5B"/>
    <w:rsid w:val="00CA1F34"/>
    <w:rsid w:val="00CA2027"/>
    <w:rsid w:val="00CA22B6"/>
    <w:rsid w:val="00CA2471"/>
    <w:rsid w:val="00CA2706"/>
    <w:rsid w:val="00CA2BBA"/>
    <w:rsid w:val="00CA2D99"/>
    <w:rsid w:val="00CA3010"/>
    <w:rsid w:val="00CA3243"/>
    <w:rsid w:val="00CA3497"/>
    <w:rsid w:val="00CA354F"/>
    <w:rsid w:val="00CA37BB"/>
    <w:rsid w:val="00CA3918"/>
    <w:rsid w:val="00CA39DD"/>
    <w:rsid w:val="00CA3D39"/>
    <w:rsid w:val="00CA3EBB"/>
    <w:rsid w:val="00CA3F1E"/>
    <w:rsid w:val="00CA4530"/>
    <w:rsid w:val="00CA45F0"/>
    <w:rsid w:val="00CA48D5"/>
    <w:rsid w:val="00CA4996"/>
    <w:rsid w:val="00CA4B11"/>
    <w:rsid w:val="00CA4C92"/>
    <w:rsid w:val="00CA50AD"/>
    <w:rsid w:val="00CA5270"/>
    <w:rsid w:val="00CA5334"/>
    <w:rsid w:val="00CA53EE"/>
    <w:rsid w:val="00CA5863"/>
    <w:rsid w:val="00CA5894"/>
    <w:rsid w:val="00CA58DB"/>
    <w:rsid w:val="00CA5A32"/>
    <w:rsid w:val="00CA5A80"/>
    <w:rsid w:val="00CA5C5A"/>
    <w:rsid w:val="00CA5E81"/>
    <w:rsid w:val="00CA5F5D"/>
    <w:rsid w:val="00CA6523"/>
    <w:rsid w:val="00CA6612"/>
    <w:rsid w:val="00CA68AA"/>
    <w:rsid w:val="00CA6AB2"/>
    <w:rsid w:val="00CA6E7A"/>
    <w:rsid w:val="00CA6F76"/>
    <w:rsid w:val="00CA7162"/>
    <w:rsid w:val="00CA7222"/>
    <w:rsid w:val="00CA7510"/>
    <w:rsid w:val="00CA76BC"/>
    <w:rsid w:val="00CA77A6"/>
    <w:rsid w:val="00CA782D"/>
    <w:rsid w:val="00CA78EE"/>
    <w:rsid w:val="00CA7ACD"/>
    <w:rsid w:val="00CA7D0E"/>
    <w:rsid w:val="00CB014C"/>
    <w:rsid w:val="00CB0405"/>
    <w:rsid w:val="00CB0433"/>
    <w:rsid w:val="00CB0555"/>
    <w:rsid w:val="00CB0593"/>
    <w:rsid w:val="00CB073A"/>
    <w:rsid w:val="00CB0818"/>
    <w:rsid w:val="00CB08DA"/>
    <w:rsid w:val="00CB0D55"/>
    <w:rsid w:val="00CB0F18"/>
    <w:rsid w:val="00CB1267"/>
    <w:rsid w:val="00CB12A2"/>
    <w:rsid w:val="00CB14C4"/>
    <w:rsid w:val="00CB16DC"/>
    <w:rsid w:val="00CB1789"/>
    <w:rsid w:val="00CB1C04"/>
    <w:rsid w:val="00CB1C8E"/>
    <w:rsid w:val="00CB1CA7"/>
    <w:rsid w:val="00CB1DCB"/>
    <w:rsid w:val="00CB22A7"/>
    <w:rsid w:val="00CB2312"/>
    <w:rsid w:val="00CB2399"/>
    <w:rsid w:val="00CB258C"/>
    <w:rsid w:val="00CB26E4"/>
    <w:rsid w:val="00CB2B11"/>
    <w:rsid w:val="00CB2BAC"/>
    <w:rsid w:val="00CB2D03"/>
    <w:rsid w:val="00CB2F6C"/>
    <w:rsid w:val="00CB3290"/>
    <w:rsid w:val="00CB338C"/>
    <w:rsid w:val="00CB345F"/>
    <w:rsid w:val="00CB35EA"/>
    <w:rsid w:val="00CB376C"/>
    <w:rsid w:val="00CB38F1"/>
    <w:rsid w:val="00CB3F9B"/>
    <w:rsid w:val="00CB41E3"/>
    <w:rsid w:val="00CB41FA"/>
    <w:rsid w:val="00CB42B8"/>
    <w:rsid w:val="00CB4583"/>
    <w:rsid w:val="00CB4638"/>
    <w:rsid w:val="00CB4677"/>
    <w:rsid w:val="00CB46EE"/>
    <w:rsid w:val="00CB47B3"/>
    <w:rsid w:val="00CB481A"/>
    <w:rsid w:val="00CB4855"/>
    <w:rsid w:val="00CB4A59"/>
    <w:rsid w:val="00CB4B62"/>
    <w:rsid w:val="00CB4BB8"/>
    <w:rsid w:val="00CB4D07"/>
    <w:rsid w:val="00CB4E2D"/>
    <w:rsid w:val="00CB4E4C"/>
    <w:rsid w:val="00CB4E71"/>
    <w:rsid w:val="00CB5032"/>
    <w:rsid w:val="00CB5208"/>
    <w:rsid w:val="00CB52E9"/>
    <w:rsid w:val="00CB5494"/>
    <w:rsid w:val="00CB560F"/>
    <w:rsid w:val="00CB57EB"/>
    <w:rsid w:val="00CB5882"/>
    <w:rsid w:val="00CB594E"/>
    <w:rsid w:val="00CB5CAF"/>
    <w:rsid w:val="00CB5D3F"/>
    <w:rsid w:val="00CB5DDD"/>
    <w:rsid w:val="00CB61F3"/>
    <w:rsid w:val="00CB61FA"/>
    <w:rsid w:val="00CB621A"/>
    <w:rsid w:val="00CB63C2"/>
    <w:rsid w:val="00CB65B1"/>
    <w:rsid w:val="00CB6736"/>
    <w:rsid w:val="00CB6822"/>
    <w:rsid w:val="00CB698E"/>
    <w:rsid w:val="00CB69ED"/>
    <w:rsid w:val="00CB6AA6"/>
    <w:rsid w:val="00CB6D76"/>
    <w:rsid w:val="00CB6D99"/>
    <w:rsid w:val="00CB6DC6"/>
    <w:rsid w:val="00CB6EB6"/>
    <w:rsid w:val="00CB6EC6"/>
    <w:rsid w:val="00CB6FE6"/>
    <w:rsid w:val="00CB7246"/>
    <w:rsid w:val="00CB72F8"/>
    <w:rsid w:val="00CB7402"/>
    <w:rsid w:val="00CB7424"/>
    <w:rsid w:val="00CB7507"/>
    <w:rsid w:val="00CB7544"/>
    <w:rsid w:val="00CB7747"/>
    <w:rsid w:val="00CB77AA"/>
    <w:rsid w:val="00CB79D6"/>
    <w:rsid w:val="00CB79F6"/>
    <w:rsid w:val="00CB7DB8"/>
    <w:rsid w:val="00CB7F4F"/>
    <w:rsid w:val="00CC00DC"/>
    <w:rsid w:val="00CC031F"/>
    <w:rsid w:val="00CC0496"/>
    <w:rsid w:val="00CC04DE"/>
    <w:rsid w:val="00CC067C"/>
    <w:rsid w:val="00CC0861"/>
    <w:rsid w:val="00CC0866"/>
    <w:rsid w:val="00CC0A9B"/>
    <w:rsid w:val="00CC0B1C"/>
    <w:rsid w:val="00CC0E18"/>
    <w:rsid w:val="00CC1125"/>
    <w:rsid w:val="00CC1158"/>
    <w:rsid w:val="00CC12C1"/>
    <w:rsid w:val="00CC14AD"/>
    <w:rsid w:val="00CC1598"/>
    <w:rsid w:val="00CC1695"/>
    <w:rsid w:val="00CC16E5"/>
    <w:rsid w:val="00CC1ADC"/>
    <w:rsid w:val="00CC1C0D"/>
    <w:rsid w:val="00CC2147"/>
    <w:rsid w:val="00CC2646"/>
    <w:rsid w:val="00CC266C"/>
    <w:rsid w:val="00CC2AB6"/>
    <w:rsid w:val="00CC2BD0"/>
    <w:rsid w:val="00CC2D57"/>
    <w:rsid w:val="00CC2EEB"/>
    <w:rsid w:val="00CC2F24"/>
    <w:rsid w:val="00CC3113"/>
    <w:rsid w:val="00CC3518"/>
    <w:rsid w:val="00CC3668"/>
    <w:rsid w:val="00CC3A02"/>
    <w:rsid w:val="00CC3CEE"/>
    <w:rsid w:val="00CC3D3A"/>
    <w:rsid w:val="00CC3DAC"/>
    <w:rsid w:val="00CC3E7E"/>
    <w:rsid w:val="00CC3EAA"/>
    <w:rsid w:val="00CC3FCF"/>
    <w:rsid w:val="00CC402D"/>
    <w:rsid w:val="00CC42A1"/>
    <w:rsid w:val="00CC4306"/>
    <w:rsid w:val="00CC45AA"/>
    <w:rsid w:val="00CC4985"/>
    <w:rsid w:val="00CC4F5B"/>
    <w:rsid w:val="00CC5014"/>
    <w:rsid w:val="00CC5228"/>
    <w:rsid w:val="00CC5428"/>
    <w:rsid w:val="00CC5475"/>
    <w:rsid w:val="00CC5518"/>
    <w:rsid w:val="00CC571C"/>
    <w:rsid w:val="00CC5778"/>
    <w:rsid w:val="00CC57D4"/>
    <w:rsid w:val="00CC5874"/>
    <w:rsid w:val="00CC5B58"/>
    <w:rsid w:val="00CC6330"/>
    <w:rsid w:val="00CC64C5"/>
    <w:rsid w:val="00CC6586"/>
    <w:rsid w:val="00CC65BD"/>
    <w:rsid w:val="00CC66CF"/>
    <w:rsid w:val="00CC69B7"/>
    <w:rsid w:val="00CC6BFC"/>
    <w:rsid w:val="00CC6D6E"/>
    <w:rsid w:val="00CC6D79"/>
    <w:rsid w:val="00CC6DE8"/>
    <w:rsid w:val="00CC6E77"/>
    <w:rsid w:val="00CC6F38"/>
    <w:rsid w:val="00CC6F8F"/>
    <w:rsid w:val="00CC705A"/>
    <w:rsid w:val="00CC7393"/>
    <w:rsid w:val="00CC7B5D"/>
    <w:rsid w:val="00CC7BB3"/>
    <w:rsid w:val="00CC7C29"/>
    <w:rsid w:val="00CC7C9D"/>
    <w:rsid w:val="00CC7D5F"/>
    <w:rsid w:val="00CC7EF4"/>
    <w:rsid w:val="00CD0081"/>
    <w:rsid w:val="00CD0131"/>
    <w:rsid w:val="00CD0356"/>
    <w:rsid w:val="00CD0492"/>
    <w:rsid w:val="00CD04D1"/>
    <w:rsid w:val="00CD0750"/>
    <w:rsid w:val="00CD08B9"/>
    <w:rsid w:val="00CD099B"/>
    <w:rsid w:val="00CD09DF"/>
    <w:rsid w:val="00CD0B0A"/>
    <w:rsid w:val="00CD0B9D"/>
    <w:rsid w:val="00CD0D6F"/>
    <w:rsid w:val="00CD0E29"/>
    <w:rsid w:val="00CD0E5E"/>
    <w:rsid w:val="00CD0EA2"/>
    <w:rsid w:val="00CD0EEC"/>
    <w:rsid w:val="00CD11C5"/>
    <w:rsid w:val="00CD186D"/>
    <w:rsid w:val="00CD1BEE"/>
    <w:rsid w:val="00CD1E4E"/>
    <w:rsid w:val="00CD1FF5"/>
    <w:rsid w:val="00CD242D"/>
    <w:rsid w:val="00CD2439"/>
    <w:rsid w:val="00CD27CC"/>
    <w:rsid w:val="00CD29C6"/>
    <w:rsid w:val="00CD29E2"/>
    <w:rsid w:val="00CD2CD3"/>
    <w:rsid w:val="00CD2D20"/>
    <w:rsid w:val="00CD3238"/>
    <w:rsid w:val="00CD32CA"/>
    <w:rsid w:val="00CD369D"/>
    <w:rsid w:val="00CD37C2"/>
    <w:rsid w:val="00CD3A05"/>
    <w:rsid w:val="00CD3C0E"/>
    <w:rsid w:val="00CD3CA7"/>
    <w:rsid w:val="00CD41AE"/>
    <w:rsid w:val="00CD4234"/>
    <w:rsid w:val="00CD4784"/>
    <w:rsid w:val="00CD4794"/>
    <w:rsid w:val="00CD4990"/>
    <w:rsid w:val="00CD4C55"/>
    <w:rsid w:val="00CD4CAC"/>
    <w:rsid w:val="00CD4DBC"/>
    <w:rsid w:val="00CD4F8B"/>
    <w:rsid w:val="00CD554B"/>
    <w:rsid w:val="00CD591B"/>
    <w:rsid w:val="00CD59DC"/>
    <w:rsid w:val="00CD5BC0"/>
    <w:rsid w:val="00CD5D32"/>
    <w:rsid w:val="00CD5E7B"/>
    <w:rsid w:val="00CD6169"/>
    <w:rsid w:val="00CD62AC"/>
    <w:rsid w:val="00CD62F0"/>
    <w:rsid w:val="00CD633D"/>
    <w:rsid w:val="00CD636D"/>
    <w:rsid w:val="00CD65A8"/>
    <w:rsid w:val="00CD66C2"/>
    <w:rsid w:val="00CD67D1"/>
    <w:rsid w:val="00CD6A23"/>
    <w:rsid w:val="00CD6A6D"/>
    <w:rsid w:val="00CD6D10"/>
    <w:rsid w:val="00CD6DCF"/>
    <w:rsid w:val="00CD774A"/>
    <w:rsid w:val="00CD7907"/>
    <w:rsid w:val="00CD792E"/>
    <w:rsid w:val="00CD7942"/>
    <w:rsid w:val="00CD79B1"/>
    <w:rsid w:val="00CD7AD0"/>
    <w:rsid w:val="00CD7B7C"/>
    <w:rsid w:val="00CE019F"/>
    <w:rsid w:val="00CE03D3"/>
    <w:rsid w:val="00CE050C"/>
    <w:rsid w:val="00CE06A8"/>
    <w:rsid w:val="00CE076A"/>
    <w:rsid w:val="00CE08E8"/>
    <w:rsid w:val="00CE0F48"/>
    <w:rsid w:val="00CE0F4B"/>
    <w:rsid w:val="00CE1072"/>
    <w:rsid w:val="00CE13E4"/>
    <w:rsid w:val="00CE145F"/>
    <w:rsid w:val="00CE18C4"/>
    <w:rsid w:val="00CE19B9"/>
    <w:rsid w:val="00CE1A02"/>
    <w:rsid w:val="00CE1ACE"/>
    <w:rsid w:val="00CE1C55"/>
    <w:rsid w:val="00CE1E07"/>
    <w:rsid w:val="00CE24F6"/>
    <w:rsid w:val="00CE2A74"/>
    <w:rsid w:val="00CE2B82"/>
    <w:rsid w:val="00CE2BCC"/>
    <w:rsid w:val="00CE2C9E"/>
    <w:rsid w:val="00CE2D2C"/>
    <w:rsid w:val="00CE2F63"/>
    <w:rsid w:val="00CE2FC7"/>
    <w:rsid w:val="00CE310F"/>
    <w:rsid w:val="00CE3250"/>
    <w:rsid w:val="00CE3DAC"/>
    <w:rsid w:val="00CE3F66"/>
    <w:rsid w:val="00CE4017"/>
    <w:rsid w:val="00CE40AA"/>
    <w:rsid w:val="00CE40B1"/>
    <w:rsid w:val="00CE4232"/>
    <w:rsid w:val="00CE4260"/>
    <w:rsid w:val="00CE43F6"/>
    <w:rsid w:val="00CE43FB"/>
    <w:rsid w:val="00CE4537"/>
    <w:rsid w:val="00CE47F2"/>
    <w:rsid w:val="00CE4E94"/>
    <w:rsid w:val="00CE4ED3"/>
    <w:rsid w:val="00CE4F27"/>
    <w:rsid w:val="00CE4F75"/>
    <w:rsid w:val="00CE501E"/>
    <w:rsid w:val="00CE51E6"/>
    <w:rsid w:val="00CE557B"/>
    <w:rsid w:val="00CE55D1"/>
    <w:rsid w:val="00CE5A3D"/>
    <w:rsid w:val="00CE5E03"/>
    <w:rsid w:val="00CE5FF6"/>
    <w:rsid w:val="00CE60E5"/>
    <w:rsid w:val="00CE6101"/>
    <w:rsid w:val="00CE610F"/>
    <w:rsid w:val="00CE616B"/>
    <w:rsid w:val="00CE63B8"/>
    <w:rsid w:val="00CE6596"/>
    <w:rsid w:val="00CE673C"/>
    <w:rsid w:val="00CE697C"/>
    <w:rsid w:val="00CE69DA"/>
    <w:rsid w:val="00CE6AA5"/>
    <w:rsid w:val="00CE6F14"/>
    <w:rsid w:val="00CE6F33"/>
    <w:rsid w:val="00CE7250"/>
    <w:rsid w:val="00CE73D3"/>
    <w:rsid w:val="00CE7608"/>
    <w:rsid w:val="00CE7637"/>
    <w:rsid w:val="00CE78A3"/>
    <w:rsid w:val="00CE7A1F"/>
    <w:rsid w:val="00CE7BC1"/>
    <w:rsid w:val="00CE7F03"/>
    <w:rsid w:val="00CF004E"/>
    <w:rsid w:val="00CF01E5"/>
    <w:rsid w:val="00CF035F"/>
    <w:rsid w:val="00CF0411"/>
    <w:rsid w:val="00CF0523"/>
    <w:rsid w:val="00CF0912"/>
    <w:rsid w:val="00CF0984"/>
    <w:rsid w:val="00CF0AF4"/>
    <w:rsid w:val="00CF0B24"/>
    <w:rsid w:val="00CF0D38"/>
    <w:rsid w:val="00CF0F1C"/>
    <w:rsid w:val="00CF0F5D"/>
    <w:rsid w:val="00CF0F77"/>
    <w:rsid w:val="00CF105E"/>
    <w:rsid w:val="00CF1066"/>
    <w:rsid w:val="00CF12F1"/>
    <w:rsid w:val="00CF157A"/>
    <w:rsid w:val="00CF183E"/>
    <w:rsid w:val="00CF1862"/>
    <w:rsid w:val="00CF19F9"/>
    <w:rsid w:val="00CF1BEF"/>
    <w:rsid w:val="00CF1C8B"/>
    <w:rsid w:val="00CF1CC9"/>
    <w:rsid w:val="00CF1CFD"/>
    <w:rsid w:val="00CF1D00"/>
    <w:rsid w:val="00CF1D7C"/>
    <w:rsid w:val="00CF1FE8"/>
    <w:rsid w:val="00CF2460"/>
    <w:rsid w:val="00CF2648"/>
    <w:rsid w:val="00CF29DC"/>
    <w:rsid w:val="00CF2AF7"/>
    <w:rsid w:val="00CF2CFF"/>
    <w:rsid w:val="00CF2E79"/>
    <w:rsid w:val="00CF2EAD"/>
    <w:rsid w:val="00CF31BC"/>
    <w:rsid w:val="00CF3246"/>
    <w:rsid w:val="00CF341E"/>
    <w:rsid w:val="00CF3475"/>
    <w:rsid w:val="00CF34CC"/>
    <w:rsid w:val="00CF35C2"/>
    <w:rsid w:val="00CF368B"/>
    <w:rsid w:val="00CF3738"/>
    <w:rsid w:val="00CF38DF"/>
    <w:rsid w:val="00CF3917"/>
    <w:rsid w:val="00CF3B1B"/>
    <w:rsid w:val="00CF3BB5"/>
    <w:rsid w:val="00CF3CD0"/>
    <w:rsid w:val="00CF3D75"/>
    <w:rsid w:val="00CF3DA6"/>
    <w:rsid w:val="00CF3FDD"/>
    <w:rsid w:val="00CF405E"/>
    <w:rsid w:val="00CF4234"/>
    <w:rsid w:val="00CF4565"/>
    <w:rsid w:val="00CF4761"/>
    <w:rsid w:val="00CF481B"/>
    <w:rsid w:val="00CF48F8"/>
    <w:rsid w:val="00CF4ABC"/>
    <w:rsid w:val="00CF4C88"/>
    <w:rsid w:val="00CF4DBB"/>
    <w:rsid w:val="00CF51E5"/>
    <w:rsid w:val="00CF52D9"/>
    <w:rsid w:val="00CF54C4"/>
    <w:rsid w:val="00CF54D3"/>
    <w:rsid w:val="00CF55B4"/>
    <w:rsid w:val="00CF5600"/>
    <w:rsid w:val="00CF56FB"/>
    <w:rsid w:val="00CF5818"/>
    <w:rsid w:val="00CF5C02"/>
    <w:rsid w:val="00CF6238"/>
    <w:rsid w:val="00CF625D"/>
    <w:rsid w:val="00CF631F"/>
    <w:rsid w:val="00CF6330"/>
    <w:rsid w:val="00CF63C7"/>
    <w:rsid w:val="00CF6579"/>
    <w:rsid w:val="00CF676B"/>
    <w:rsid w:val="00CF6A72"/>
    <w:rsid w:val="00CF6AC5"/>
    <w:rsid w:val="00CF6CF7"/>
    <w:rsid w:val="00CF6D4B"/>
    <w:rsid w:val="00CF6E48"/>
    <w:rsid w:val="00CF7014"/>
    <w:rsid w:val="00CF7113"/>
    <w:rsid w:val="00CF72E2"/>
    <w:rsid w:val="00CF74D8"/>
    <w:rsid w:val="00CF7520"/>
    <w:rsid w:val="00CF7915"/>
    <w:rsid w:val="00CF7FCE"/>
    <w:rsid w:val="00D002C5"/>
    <w:rsid w:val="00D00933"/>
    <w:rsid w:val="00D0099B"/>
    <w:rsid w:val="00D009A6"/>
    <w:rsid w:val="00D00B09"/>
    <w:rsid w:val="00D00C62"/>
    <w:rsid w:val="00D00CD0"/>
    <w:rsid w:val="00D00DE8"/>
    <w:rsid w:val="00D01088"/>
    <w:rsid w:val="00D01268"/>
    <w:rsid w:val="00D01392"/>
    <w:rsid w:val="00D015FE"/>
    <w:rsid w:val="00D01678"/>
    <w:rsid w:val="00D018F9"/>
    <w:rsid w:val="00D01989"/>
    <w:rsid w:val="00D01AF4"/>
    <w:rsid w:val="00D01BEF"/>
    <w:rsid w:val="00D01D90"/>
    <w:rsid w:val="00D01E38"/>
    <w:rsid w:val="00D0206C"/>
    <w:rsid w:val="00D02159"/>
    <w:rsid w:val="00D021DD"/>
    <w:rsid w:val="00D02435"/>
    <w:rsid w:val="00D0246D"/>
    <w:rsid w:val="00D0273D"/>
    <w:rsid w:val="00D02745"/>
    <w:rsid w:val="00D0280A"/>
    <w:rsid w:val="00D02A95"/>
    <w:rsid w:val="00D02B54"/>
    <w:rsid w:val="00D03293"/>
    <w:rsid w:val="00D032BD"/>
    <w:rsid w:val="00D03466"/>
    <w:rsid w:val="00D034F2"/>
    <w:rsid w:val="00D03735"/>
    <w:rsid w:val="00D037F0"/>
    <w:rsid w:val="00D038DF"/>
    <w:rsid w:val="00D03AAD"/>
    <w:rsid w:val="00D03AC9"/>
    <w:rsid w:val="00D03FF0"/>
    <w:rsid w:val="00D04048"/>
    <w:rsid w:val="00D04405"/>
    <w:rsid w:val="00D04416"/>
    <w:rsid w:val="00D04462"/>
    <w:rsid w:val="00D0459C"/>
    <w:rsid w:val="00D04648"/>
    <w:rsid w:val="00D046F7"/>
    <w:rsid w:val="00D04912"/>
    <w:rsid w:val="00D051FC"/>
    <w:rsid w:val="00D05258"/>
    <w:rsid w:val="00D053B8"/>
    <w:rsid w:val="00D0576E"/>
    <w:rsid w:val="00D057D7"/>
    <w:rsid w:val="00D05854"/>
    <w:rsid w:val="00D05940"/>
    <w:rsid w:val="00D05A7C"/>
    <w:rsid w:val="00D05AB7"/>
    <w:rsid w:val="00D05E15"/>
    <w:rsid w:val="00D06024"/>
    <w:rsid w:val="00D063CC"/>
    <w:rsid w:val="00D0643C"/>
    <w:rsid w:val="00D0649A"/>
    <w:rsid w:val="00D0651C"/>
    <w:rsid w:val="00D06581"/>
    <w:rsid w:val="00D0665C"/>
    <w:rsid w:val="00D06984"/>
    <w:rsid w:val="00D069ED"/>
    <w:rsid w:val="00D06B45"/>
    <w:rsid w:val="00D06C26"/>
    <w:rsid w:val="00D06CEE"/>
    <w:rsid w:val="00D06DDF"/>
    <w:rsid w:val="00D06E33"/>
    <w:rsid w:val="00D07041"/>
    <w:rsid w:val="00D071A8"/>
    <w:rsid w:val="00D072B6"/>
    <w:rsid w:val="00D073DA"/>
    <w:rsid w:val="00D07420"/>
    <w:rsid w:val="00D07758"/>
    <w:rsid w:val="00D077B7"/>
    <w:rsid w:val="00D07880"/>
    <w:rsid w:val="00D07A60"/>
    <w:rsid w:val="00D07B5B"/>
    <w:rsid w:val="00D07D1C"/>
    <w:rsid w:val="00D07E85"/>
    <w:rsid w:val="00D07FE7"/>
    <w:rsid w:val="00D1011F"/>
    <w:rsid w:val="00D1013D"/>
    <w:rsid w:val="00D103C0"/>
    <w:rsid w:val="00D10809"/>
    <w:rsid w:val="00D10A91"/>
    <w:rsid w:val="00D10A99"/>
    <w:rsid w:val="00D10C34"/>
    <w:rsid w:val="00D10CE1"/>
    <w:rsid w:val="00D10F36"/>
    <w:rsid w:val="00D10F4E"/>
    <w:rsid w:val="00D11165"/>
    <w:rsid w:val="00D1134C"/>
    <w:rsid w:val="00D11496"/>
    <w:rsid w:val="00D114A1"/>
    <w:rsid w:val="00D1150A"/>
    <w:rsid w:val="00D11537"/>
    <w:rsid w:val="00D11591"/>
    <w:rsid w:val="00D11647"/>
    <w:rsid w:val="00D11AD5"/>
    <w:rsid w:val="00D11D18"/>
    <w:rsid w:val="00D11F06"/>
    <w:rsid w:val="00D1200E"/>
    <w:rsid w:val="00D120A8"/>
    <w:rsid w:val="00D121B0"/>
    <w:rsid w:val="00D122A6"/>
    <w:rsid w:val="00D123E5"/>
    <w:rsid w:val="00D12578"/>
    <w:rsid w:val="00D125C8"/>
    <w:rsid w:val="00D12610"/>
    <w:rsid w:val="00D1268C"/>
    <w:rsid w:val="00D127C1"/>
    <w:rsid w:val="00D12E32"/>
    <w:rsid w:val="00D12EE9"/>
    <w:rsid w:val="00D12EEE"/>
    <w:rsid w:val="00D12F18"/>
    <w:rsid w:val="00D1327A"/>
    <w:rsid w:val="00D132AF"/>
    <w:rsid w:val="00D132DC"/>
    <w:rsid w:val="00D133C5"/>
    <w:rsid w:val="00D13416"/>
    <w:rsid w:val="00D13AE2"/>
    <w:rsid w:val="00D13CD8"/>
    <w:rsid w:val="00D13F0C"/>
    <w:rsid w:val="00D13F40"/>
    <w:rsid w:val="00D13FC5"/>
    <w:rsid w:val="00D1400F"/>
    <w:rsid w:val="00D141F3"/>
    <w:rsid w:val="00D14459"/>
    <w:rsid w:val="00D1464E"/>
    <w:rsid w:val="00D1478B"/>
    <w:rsid w:val="00D14986"/>
    <w:rsid w:val="00D14BB4"/>
    <w:rsid w:val="00D14CE6"/>
    <w:rsid w:val="00D14E0F"/>
    <w:rsid w:val="00D15267"/>
    <w:rsid w:val="00D15295"/>
    <w:rsid w:val="00D15459"/>
    <w:rsid w:val="00D156A2"/>
    <w:rsid w:val="00D15879"/>
    <w:rsid w:val="00D15A0D"/>
    <w:rsid w:val="00D15A31"/>
    <w:rsid w:val="00D1601C"/>
    <w:rsid w:val="00D16067"/>
    <w:rsid w:val="00D1640A"/>
    <w:rsid w:val="00D164AB"/>
    <w:rsid w:val="00D16592"/>
    <w:rsid w:val="00D169BE"/>
    <w:rsid w:val="00D16C49"/>
    <w:rsid w:val="00D16DB5"/>
    <w:rsid w:val="00D171ED"/>
    <w:rsid w:val="00D17278"/>
    <w:rsid w:val="00D17333"/>
    <w:rsid w:val="00D1737E"/>
    <w:rsid w:val="00D1739E"/>
    <w:rsid w:val="00D173B1"/>
    <w:rsid w:val="00D173B5"/>
    <w:rsid w:val="00D177D1"/>
    <w:rsid w:val="00D177E1"/>
    <w:rsid w:val="00D1784C"/>
    <w:rsid w:val="00D17A1A"/>
    <w:rsid w:val="00D17D81"/>
    <w:rsid w:val="00D200D1"/>
    <w:rsid w:val="00D202FB"/>
    <w:rsid w:val="00D20382"/>
    <w:rsid w:val="00D2058F"/>
    <w:rsid w:val="00D205EA"/>
    <w:rsid w:val="00D20611"/>
    <w:rsid w:val="00D20656"/>
    <w:rsid w:val="00D2098B"/>
    <w:rsid w:val="00D20BCE"/>
    <w:rsid w:val="00D20C44"/>
    <w:rsid w:val="00D20CE7"/>
    <w:rsid w:val="00D20EB8"/>
    <w:rsid w:val="00D2119F"/>
    <w:rsid w:val="00D214E3"/>
    <w:rsid w:val="00D214E6"/>
    <w:rsid w:val="00D2150C"/>
    <w:rsid w:val="00D2152F"/>
    <w:rsid w:val="00D21540"/>
    <w:rsid w:val="00D21668"/>
    <w:rsid w:val="00D216F5"/>
    <w:rsid w:val="00D218C3"/>
    <w:rsid w:val="00D21912"/>
    <w:rsid w:val="00D2196D"/>
    <w:rsid w:val="00D219D1"/>
    <w:rsid w:val="00D21B0C"/>
    <w:rsid w:val="00D21BAD"/>
    <w:rsid w:val="00D21C98"/>
    <w:rsid w:val="00D21FDC"/>
    <w:rsid w:val="00D2203D"/>
    <w:rsid w:val="00D2219D"/>
    <w:rsid w:val="00D2246E"/>
    <w:rsid w:val="00D2247E"/>
    <w:rsid w:val="00D2255D"/>
    <w:rsid w:val="00D22719"/>
    <w:rsid w:val="00D22B17"/>
    <w:rsid w:val="00D22BD2"/>
    <w:rsid w:val="00D23070"/>
    <w:rsid w:val="00D23303"/>
    <w:rsid w:val="00D23666"/>
    <w:rsid w:val="00D23749"/>
    <w:rsid w:val="00D23779"/>
    <w:rsid w:val="00D23F8B"/>
    <w:rsid w:val="00D23FCB"/>
    <w:rsid w:val="00D2424C"/>
    <w:rsid w:val="00D24268"/>
    <w:rsid w:val="00D242A2"/>
    <w:rsid w:val="00D2431B"/>
    <w:rsid w:val="00D24497"/>
    <w:rsid w:val="00D24AC5"/>
    <w:rsid w:val="00D24AE2"/>
    <w:rsid w:val="00D24B0A"/>
    <w:rsid w:val="00D24D6E"/>
    <w:rsid w:val="00D24D70"/>
    <w:rsid w:val="00D24E1A"/>
    <w:rsid w:val="00D24F30"/>
    <w:rsid w:val="00D24F9E"/>
    <w:rsid w:val="00D2526B"/>
    <w:rsid w:val="00D2537C"/>
    <w:rsid w:val="00D254EF"/>
    <w:rsid w:val="00D2554B"/>
    <w:rsid w:val="00D25627"/>
    <w:rsid w:val="00D25675"/>
    <w:rsid w:val="00D257B9"/>
    <w:rsid w:val="00D2580E"/>
    <w:rsid w:val="00D25AEC"/>
    <w:rsid w:val="00D25BAE"/>
    <w:rsid w:val="00D25C5E"/>
    <w:rsid w:val="00D25D32"/>
    <w:rsid w:val="00D25D88"/>
    <w:rsid w:val="00D25E4C"/>
    <w:rsid w:val="00D25F39"/>
    <w:rsid w:val="00D25F4F"/>
    <w:rsid w:val="00D25FFF"/>
    <w:rsid w:val="00D261DC"/>
    <w:rsid w:val="00D263FC"/>
    <w:rsid w:val="00D2641C"/>
    <w:rsid w:val="00D26513"/>
    <w:rsid w:val="00D265F6"/>
    <w:rsid w:val="00D26644"/>
    <w:rsid w:val="00D266B5"/>
    <w:rsid w:val="00D26BE2"/>
    <w:rsid w:val="00D27AD9"/>
    <w:rsid w:val="00D27B2A"/>
    <w:rsid w:val="00D27B60"/>
    <w:rsid w:val="00D30200"/>
    <w:rsid w:val="00D3022A"/>
    <w:rsid w:val="00D303D5"/>
    <w:rsid w:val="00D30446"/>
    <w:rsid w:val="00D30485"/>
    <w:rsid w:val="00D305AC"/>
    <w:rsid w:val="00D30BB7"/>
    <w:rsid w:val="00D30D01"/>
    <w:rsid w:val="00D30D4A"/>
    <w:rsid w:val="00D31345"/>
    <w:rsid w:val="00D316FB"/>
    <w:rsid w:val="00D31775"/>
    <w:rsid w:val="00D31B8F"/>
    <w:rsid w:val="00D31CF3"/>
    <w:rsid w:val="00D31D4B"/>
    <w:rsid w:val="00D31E52"/>
    <w:rsid w:val="00D3201E"/>
    <w:rsid w:val="00D32043"/>
    <w:rsid w:val="00D32291"/>
    <w:rsid w:val="00D3236E"/>
    <w:rsid w:val="00D325F1"/>
    <w:rsid w:val="00D327CA"/>
    <w:rsid w:val="00D32832"/>
    <w:rsid w:val="00D329C0"/>
    <w:rsid w:val="00D32CBB"/>
    <w:rsid w:val="00D3306F"/>
    <w:rsid w:val="00D3348A"/>
    <w:rsid w:val="00D3363E"/>
    <w:rsid w:val="00D33EFC"/>
    <w:rsid w:val="00D3415F"/>
    <w:rsid w:val="00D341BA"/>
    <w:rsid w:val="00D34298"/>
    <w:rsid w:val="00D3435D"/>
    <w:rsid w:val="00D344CC"/>
    <w:rsid w:val="00D345EA"/>
    <w:rsid w:val="00D3461B"/>
    <w:rsid w:val="00D346FE"/>
    <w:rsid w:val="00D3472D"/>
    <w:rsid w:val="00D34891"/>
    <w:rsid w:val="00D349C6"/>
    <w:rsid w:val="00D34EBE"/>
    <w:rsid w:val="00D353E0"/>
    <w:rsid w:val="00D35640"/>
    <w:rsid w:val="00D359B8"/>
    <w:rsid w:val="00D35F1A"/>
    <w:rsid w:val="00D360D0"/>
    <w:rsid w:val="00D36167"/>
    <w:rsid w:val="00D363B3"/>
    <w:rsid w:val="00D36449"/>
    <w:rsid w:val="00D3651E"/>
    <w:rsid w:val="00D36669"/>
    <w:rsid w:val="00D36804"/>
    <w:rsid w:val="00D3682D"/>
    <w:rsid w:val="00D36E09"/>
    <w:rsid w:val="00D36F57"/>
    <w:rsid w:val="00D37045"/>
    <w:rsid w:val="00D371DF"/>
    <w:rsid w:val="00D3739D"/>
    <w:rsid w:val="00D37525"/>
    <w:rsid w:val="00D376C9"/>
    <w:rsid w:val="00D37773"/>
    <w:rsid w:val="00D377C3"/>
    <w:rsid w:val="00D37C15"/>
    <w:rsid w:val="00D37D7D"/>
    <w:rsid w:val="00D37EA8"/>
    <w:rsid w:val="00D401D3"/>
    <w:rsid w:val="00D4029D"/>
    <w:rsid w:val="00D402CF"/>
    <w:rsid w:val="00D402D0"/>
    <w:rsid w:val="00D402D3"/>
    <w:rsid w:val="00D402F3"/>
    <w:rsid w:val="00D405C7"/>
    <w:rsid w:val="00D406D8"/>
    <w:rsid w:val="00D406DE"/>
    <w:rsid w:val="00D4086A"/>
    <w:rsid w:val="00D40876"/>
    <w:rsid w:val="00D40BB8"/>
    <w:rsid w:val="00D40C55"/>
    <w:rsid w:val="00D40D89"/>
    <w:rsid w:val="00D40F6A"/>
    <w:rsid w:val="00D41015"/>
    <w:rsid w:val="00D41181"/>
    <w:rsid w:val="00D41195"/>
    <w:rsid w:val="00D411EA"/>
    <w:rsid w:val="00D41665"/>
    <w:rsid w:val="00D41737"/>
    <w:rsid w:val="00D4182B"/>
    <w:rsid w:val="00D41AE1"/>
    <w:rsid w:val="00D41C79"/>
    <w:rsid w:val="00D41FAF"/>
    <w:rsid w:val="00D4226B"/>
    <w:rsid w:val="00D42451"/>
    <w:rsid w:val="00D426A5"/>
    <w:rsid w:val="00D42716"/>
    <w:rsid w:val="00D4271C"/>
    <w:rsid w:val="00D428CC"/>
    <w:rsid w:val="00D42A2A"/>
    <w:rsid w:val="00D42B04"/>
    <w:rsid w:val="00D42BD7"/>
    <w:rsid w:val="00D42C7B"/>
    <w:rsid w:val="00D42C7C"/>
    <w:rsid w:val="00D43121"/>
    <w:rsid w:val="00D431A2"/>
    <w:rsid w:val="00D4343D"/>
    <w:rsid w:val="00D437F3"/>
    <w:rsid w:val="00D438F2"/>
    <w:rsid w:val="00D43E88"/>
    <w:rsid w:val="00D43F4C"/>
    <w:rsid w:val="00D440A8"/>
    <w:rsid w:val="00D441D2"/>
    <w:rsid w:val="00D44238"/>
    <w:rsid w:val="00D44243"/>
    <w:rsid w:val="00D444E3"/>
    <w:rsid w:val="00D444F8"/>
    <w:rsid w:val="00D4456A"/>
    <w:rsid w:val="00D446F3"/>
    <w:rsid w:val="00D448FD"/>
    <w:rsid w:val="00D449ED"/>
    <w:rsid w:val="00D44B16"/>
    <w:rsid w:val="00D44B6A"/>
    <w:rsid w:val="00D44C4F"/>
    <w:rsid w:val="00D44D96"/>
    <w:rsid w:val="00D44DAC"/>
    <w:rsid w:val="00D44E89"/>
    <w:rsid w:val="00D452C2"/>
    <w:rsid w:val="00D45411"/>
    <w:rsid w:val="00D454F9"/>
    <w:rsid w:val="00D455D5"/>
    <w:rsid w:val="00D456B9"/>
    <w:rsid w:val="00D45732"/>
    <w:rsid w:val="00D458AE"/>
    <w:rsid w:val="00D45943"/>
    <w:rsid w:val="00D45B01"/>
    <w:rsid w:val="00D45C6A"/>
    <w:rsid w:val="00D45CE9"/>
    <w:rsid w:val="00D45FCA"/>
    <w:rsid w:val="00D462DA"/>
    <w:rsid w:val="00D4633B"/>
    <w:rsid w:val="00D465E3"/>
    <w:rsid w:val="00D469D2"/>
    <w:rsid w:val="00D46C59"/>
    <w:rsid w:val="00D46D46"/>
    <w:rsid w:val="00D46F58"/>
    <w:rsid w:val="00D46FA4"/>
    <w:rsid w:val="00D47335"/>
    <w:rsid w:val="00D4736B"/>
    <w:rsid w:val="00D4747D"/>
    <w:rsid w:val="00D475EC"/>
    <w:rsid w:val="00D4795A"/>
    <w:rsid w:val="00D47A40"/>
    <w:rsid w:val="00D47B45"/>
    <w:rsid w:val="00D50019"/>
    <w:rsid w:val="00D50FC3"/>
    <w:rsid w:val="00D511CA"/>
    <w:rsid w:val="00D51483"/>
    <w:rsid w:val="00D514FD"/>
    <w:rsid w:val="00D51515"/>
    <w:rsid w:val="00D51ACD"/>
    <w:rsid w:val="00D51BA3"/>
    <w:rsid w:val="00D51CAB"/>
    <w:rsid w:val="00D51E5B"/>
    <w:rsid w:val="00D52163"/>
    <w:rsid w:val="00D5219C"/>
    <w:rsid w:val="00D521A1"/>
    <w:rsid w:val="00D5222A"/>
    <w:rsid w:val="00D523F6"/>
    <w:rsid w:val="00D5248E"/>
    <w:rsid w:val="00D527E5"/>
    <w:rsid w:val="00D5280F"/>
    <w:rsid w:val="00D52A7D"/>
    <w:rsid w:val="00D52BF9"/>
    <w:rsid w:val="00D52C31"/>
    <w:rsid w:val="00D53067"/>
    <w:rsid w:val="00D5313F"/>
    <w:rsid w:val="00D5319C"/>
    <w:rsid w:val="00D53258"/>
    <w:rsid w:val="00D534C0"/>
    <w:rsid w:val="00D53626"/>
    <w:rsid w:val="00D536BD"/>
    <w:rsid w:val="00D536DB"/>
    <w:rsid w:val="00D53BE8"/>
    <w:rsid w:val="00D53F32"/>
    <w:rsid w:val="00D53F5D"/>
    <w:rsid w:val="00D53F8B"/>
    <w:rsid w:val="00D53FFC"/>
    <w:rsid w:val="00D54098"/>
    <w:rsid w:val="00D5410B"/>
    <w:rsid w:val="00D5444D"/>
    <w:rsid w:val="00D544B4"/>
    <w:rsid w:val="00D544D8"/>
    <w:rsid w:val="00D546D7"/>
    <w:rsid w:val="00D5489D"/>
    <w:rsid w:val="00D54B26"/>
    <w:rsid w:val="00D54C4C"/>
    <w:rsid w:val="00D55844"/>
    <w:rsid w:val="00D558A4"/>
    <w:rsid w:val="00D55B35"/>
    <w:rsid w:val="00D55D5F"/>
    <w:rsid w:val="00D55EDA"/>
    <w:rsid w:val="00D560CE"/>
    <w:rsid w:val="00D5653F"/>
    <w:rsid w:val="00D566F6"/>
    <w:rsid w:val="00D56779"/>
    <w:rsid w:val="00D569A2"/>
    <w:rsid w:val="00D56B66"/>
    <w:rsid w:val="00D56B6B"/>
    <w:rsid w:val="00D56FED"/>
    <w:rsid w:val="00D5700E"/>
    <w:rsid w:val="00D570B5"/>
    <w:rsid w:val="00D572DA"/>
    <w:rsid w:val="00D5736E"/>
    <w:rsid w:val="00D5760A"/>
    <w:rsid w:val="00D576D1"/>
    <w:rsid w:val="00D57703"/>
    <w:rsid w:val="00D57722"/>
    <w:rsid w:val="00D57ACD"/>
    <w:rsid w:val="00D57C09"/>
    <w:rsid w:val="00D6054C"/>
    <w:rsid w:val="00D605C4"/>
    <w:rsid w:val="00D60CD0"/>
    <w:rsid w:val="00D60E21"/>
    <w:rsid w:val="00D60E34"/>
    <w:rsid w:val="00D60F33"/>
    <w:rsid w:val="00D61274"/>
    <w:rsid w:val="00D612C4"/>
    <w:rsid w:val="00D6141A"/>
    <w:rsid w:val="00D616C4"/>
    <w:rsid w:val="00D61749"/>
    <w:rsid w:val="00D6185E"/>
    <w:rsid w:val="00D61869"/>
    <w:rsid w:val="00D61878"/>
    <w:rsid w:val="00D61A87"/>
    <w:rsid w:val="00D61ADC"/>
    <w:rsid w:val="00D61FB5"/>
    <w:rsid w:val="00D61FD5"/>
    <w:rsid w:val="00D61FF9"/>
    <w:rsid w:val="00D620DB"/>
    <w:rsid w:val="00D621CD"/>
    <w:rsid w:val="00D622C8"/>
    <w:rsid w:val="00D622EE"/>
    <w:rsid w:val="00D622FB"/>
    <w:rsid w:val="00D62315"/>
    <w:rsid w:val="00D62539"/>
    <w:rsid w:val="00D62621"/>
    <w:rsid w:val="00D627B2"/>
    <w:rsid w:val="00D629C7"/>
    <w:rsid w:val="00D62CEA"/>
    <w:rsid w:val="00D63036"/>
    <w:rsid w:val="00D63362"/>
    <w:rsid w:val="00D633B0"/>
    <w:rsid w:val="00D63438"/>
    <w:rsid w:val="00D6348E"/>
    <w:rsid w:val="00D635A9"/>
    <w:rsid w:val="00D638D7"/>
    <w:rsid w:val="00D639EB"/>
    <w:rsid w:val="00D63B2D"/>
    <w:rsid w:val="00D63C75"/>
    <w:rsid w:val="00D64234"/>
    <w:rsid w:val="00D64244"/>
    <w:rsid w:val="00D64287"/>
    <w:rsid w:val="00D6450C"/>
    <w:rsid w:val="00D6470B"/>
    <w:rsid w:val="00D647B7"/>
    <w:rsid w:val="00D64B1F"/>
    <w:rsid w:val="00D64C88"/>
    <w:rsid w:val="00D64C8A"/>
    <w:rsid w:val="00D64D6F"/>
    <w:rsid w:val="00D651EC"/>
    <w:rsid w:val="00D652BC"/>
    <w:rsid w:val="00D65575"/>
    <w:rsid w:val="00D65736"/>
    <w:rsid w:val="00D65757"/>
    <w:rsid w:val="00D65781"/>
    <w:rsid w:val="00D65864"/>
    <w:rsid w:val="00D65875"/>
    <w:rsid w:val="00D65A7F"/>
    <w:rsid w:val="00D65AB5"/>
    <w:rsid w:val="00D65BE2"/>
    <w:rsid w:val="00D65C71"/>
    <w:rsid w:val="00D65CBC"/>
    <w:rsid w:val="00D66000"/>
    <w:rsid w:val="00D66127"/>
    <w:rsid w:val="00D661AF"/>
    <w:rsid w:val="00D6651E"/>
    <w:rsid w:val="00D66640"/>
    <w:rsid w:val="00D66B5A"/>
    <w:rsid w:val="00D66CCB"/>
    <w:rsid w:val="00D67015"/>
    <w:rsid w:val="00D6753F"/>
    <w:rsid w:val="00D67795"/>
    <w:rsid w:val="00D67810"/>
    <w:rsid w:val="00D6785F"/>
    <w:rsid w:val="00D67C31"/>
    <w:rsid w:val="00D67E83"/>
    <w:rsid w:val="00D67F12"/>
    <w:rsid w:val="00D67F34"/>
    <w:rsid w:val="00D70244"/>
    <w:rsid w:val="00D70406"/>
    <w:rsid w:val="00D7042E"/>
    <w:rsid w:val="00D70B1F"/>
    <w:rsid w:val="00D70D06"/>
    <w:rsid w:val="00D70E5D"/>
    <w:rsid w:val="00D70F0F"/>
    <w:rsid w:val="00D71286"/>
    <w:rsid w:val="00D713B8"/>
    <w:rsid w:val="00D7155A"/>
    <w:rsid w:val="00D71675"/>
    <w:rsid w:val="00D7171F"/>
    <w:rsid w:val="00D71752"/>
    <w:rsid w:val="00D7180F"/>
    <w:rsid w:val="00D7190F"/>
    <w:rsid w:val="00D7197D"/>
    <w:rsid w:val="00D71F23"/>
    <w:rsid w:val="00D71F67"/>
    <w:rsid w:val="00D71F95"/>
    <w:rsid w:val="00D721D2"/>
    <w:rsid w:val="00D7230E"/>
    <w:rsid w:val="00D7261D"/>
    <w:rsid w:val="00D72EAB"/>
    <w:rsid w:val="00D72F52"/>
    <w:rsid w:val="00D732BC"/>
    <w:rsid w:val="00D73317"/>
    <w:rsid w:val="00D739EB"/>
    <w:rsid w:val="00D73C47"/>
    <w:rsid w:val="00D73D9C"/>
    <w:rsid w:val="00D73E9C"/>
    <w:rsid w:val="00D73F7F"/>
    <w:rsid w:val="00D7454F"/>
    <w:rsid w:val="00D74656"/>
    <w:rsid w:val="00D747DB"/>
    <w:rsid w:val="00D74B25"/>
    <w:rsid w:val="00D74D3C"/>
    <w:rsid w:val="00D74F86"/>
    <w:rsid w:val="00D750D8"/>
    <w:rsid w:val="00D7522C"/>
    <w:rsid w:val="00D7549C"/>
    <w:rsid w:val="00D75703"/>
    <w:rsid w:val="00D75D87"/>
    <w:rsid w:val="00D75DF5"/>
    <w:rsid w:val="00D75EEB"/>
    <w:rsid w:val="00D75F18"/>
    <w:rsid w:val="00D76071"/>
    <w:rsid w:val="00D762FD"/>
    <w:rsid w:val="00D76586"/>
    <w:rsid w:val="00D765EB"/>
    <w:rsid w:val="00D76B62"/>
    <w:rsid w:val="00D76B82"/>
    <w:rsid w:val="00D76BCA"/>
    <w:rsid w:val="00D76C32"/>
    <w:rsid w:val="00D76D68"/>
    <w:rsid w:val="00D77189"/>
    <w:rsid w:val="00D77191"/>
    <w:rsid w:val="00D7725E"/>
    <w:rsid w:val="00D773D2"/>
    <w:rsid w:val="00D7746D"/>
    <w:rsid w:val="00D77871"/>
    <w:rsid w:val="00D77877"/>
    <w:rsid w:val="00D779EB"/>
    <w:rsid w:val="00D77D70"/>
    <w:rsid w:val="00D8016D"/>
    <w:rsid w:val="00D803D6"/>
    <w:rsid w:val="00D80484"/>
    <w:rsid w:val="00D805E8"/>
    <w:rsid w:val="00D80796"/>
    <w:rsid w:val="00D809FD"/>
    <w:rsid w:val="00D80A0D"/>
    <w:rsid w:val="00D80BC6"/>
    <w:rsid w:val="00D80BE5"/>
    <w:rsid w:val="00D80D76"/>
    <w:rsid w:val="00D80EF9"/>
    <w:rsid w:val="00D80F82"/>
    <w:rsid w:val="00D813FF"/>
    <w:rsid w:val="00D814FD"/>
    <w:rsid w:val="00D8194C"/>
    <w:rsid w:val="00D81E17"/>
    <w:rsid w:val="00D82107"/>
    <w:rsid w:val="00D823BE"/>
    <w:rsid w:val="00D823E8"/>
    <w:rsid w:val="00D82567"/>
    <w:rsid w:val="00D826A6"/>
    <w:rsid w:val="00D82759"/>
    <w:rsid w:val="00D82760"/>
    <w:rsid w:val="00D82876"/>
    <w:rsid w:val="00D82C94"/>
    <w:rsid w:val="00D82DF8"/>
    <w:rsid w:val="00D83000"/>
    <w:rsid w:val="00D83218"/>
    <w:rsid w:val="00D834B8"/>
    <w:rsid w:val="00D837D1"/>
    <w:rsid w:val="00D8396F"/>
    <w:rsid w:val="00D83A4D"/>
    <w:rsid w:val="00D83EF5"/>
    <w:rsid w:val="00D84028"/>
    <w:rsid w:val="00D84187"/>
    <w:rsid w:val="00D841BB"/>
    <w:rsid w:val="00D844D2"/>
    <w:rsid w:val="00D845A7"/>
    <w:rsid w:val="00D8478C"/>
    <w:rsid w:val="00D8484B"/>
    <w:rsid w:val="00D848CE"/>
    <w:rsid w:val="00D84C53"/>
    <w:rsid w:val="00D84EC2"/>
    <w:rsid w:val="00D84EFF"/>
    <w:rsid w:val="00D84F92"/>
    <w:rsid w:val="00D853DD"/>
    <w:rsid w:val="00D85527"/>
    <w:rsid w:val="00D85584"/>
    <w:rsid w:val="00D8558B"/>
    <w:rsid w:val="00D855C8"/>
    <w:rsid w:val="00D855FD"/>
    <w:rsid w:val="00D856C3"/>
    <w:rsid w:val="00D85814"/>
    <w:rsid w:val="00D85910"/>
    <w:rsid w:val="00D85D31"/>
    <w:rsid w:val="00D85D43"/>
    <w:rsid w:val="00D85DC9"/>
    <w:rsid w:val="00D861B3"/>
    <w:rsid w:val="00D862E8"/>
    <w:rsid w:val="00D8671D"/>
    <w:rsid w:val="00D86897"/>
    <w:rsid w:val="00D86923"/>
    <w:rsid w:val="00D8692F"/>
    <w:rsid w:val="00D86A63"/>
    <w:rsid w:val="00D86B52"/>
    <w:rsid w:val="00D86D37"/>
    <w:rsid w:val="00D86EB0"/>
    <w:rsid w:val="00D86F11"/>
    <w:rsid w:val="00D8701C"/>
    <w:rsid w:val="00D870A3"/>
    <w:rsid w:val="00D87260"/>
    <w:rsid w:val="00D8737C"/>
    <w:rsid w:val="00D873F5"/>
    <w:rsid w:val="00D8744D"/>
    <w:rsid w:val="00D87455"/>
    <w:rsid w:val="00D874DF"/>
    <w:rsid w:val="00D8769A"/>
    <w:rsid w:val="00D87876"/>
    <w:rsid w:val="00D878D9"/>
    <w:rsid w:val="00D87A54"/>
    <w:rsid w:val="00D87B50"/>
    <w:rsid w:val="00D87D7A"/>
    <w:rsid w:val="00D90095"/>
    <w:rsid w:val="00D901C0"/>
    <w:rsid w:val="00D901C7"/>
    <w:rsid w:val="00D90271"/>
    <w:rsid w:val="00D902C5"/>
    <w:rsid w:val="00D90467"/>
    <w:rsid w:val="00D907F8"/>
    <w:rsid w:val="00D90E67"/>
    <w:rsid w:val="00D91082"/>
    <w:rsid w:val="00D9111E"/>
    <w:rsid w:val="00D911DA"/>
    <w:rsid w:val="00D9167D"/>
    <w:rsid w:val="00D91791"/>
    <w:rsid w:val="00D917D4"/>
    <w:rsid w:val="00D919B2"/>
    <w:rsid w:val="00D91D9C"/>
    <w:rsid w:val="00D91E20"/>
    <w:rsid w:val="00D925FD"/>
    <w:rsid w:val="00D92600"/>
    <w:rsid w:val="00D92950"/>
    <w:rsid w:val="00D92AB4"/>
    <w:rsid w:val="00D92AF5"/>
    <w:rsid w:val="00D92F8D"/>
    <w:rsid w:val="00D930E3"/>
    <w:rsid w:val="00D931E4"/>
    <w:rsid w:val="00D93352"/>
    <w:rsid w:val="00D93407"/>
    <w:rsid w:val="00D93595"/>
    <w:rsid w:val="00D935F7"/>
    <w:rsid w:val="00D936C9"/>
    <w:rsid w:val="00D937BA"/>
    <w:rsid w:val="00D93A70"/>
    <w:rsid w:val="00D93CBA"/>
    <w:rsid w:val="00D93D75"/>
    <w:rsid w:val="00D93E9D"/>
    <w:rsid w:val="00D93EB7"/>
    <w:rsid w:val="00D940F8"/>
    <w:rsid w:val="00D9422A"/>
    <w:rsid w:val="00D9432C"/>
    <w:rsid w:val="00D94332"/>
    <w:rsid w:val="00D943D6"/>
    <w:rsid w:val="00D94420"/>
    <w:rsid w:val="00D946EC"/>
    <w:rsid w:val="00D9488C"/>
    <w:rsid w:val="00D9491B"/>
    <w:rsid w:val="00D94929"/>
    <w:rsid w:val="00D9496C"/>
    <w:rsid w:val="00D94A81"/>
    <w:rsid w:val="00D94AD3"/>
    <w:rsid w:val="00D94C5B"/>
    <w:rsid w:val="00D9503C"/>
    <w:rsid w:val="00D95045"/>
    <w:rsid w:val="00D9548B"/>
    <w:rsid w:val="00D95514"/>
    <w:rsid w:val="00D9559B"/>
    <w:rsid w:val="00D958D8"/>
    <w:rsid w:val="00D959DD"/>
    <w:rsid w:val="00D95B1F"/>
    <w:rsid w:val="00D95B44"/>
    <w:rsid w:val="00D95C99"/>
    <w:rsid w:val="00D95FCE"/>
    <w:rsid w:val="00D9609C"/>
    <w:rsid w:val="00D9617B"/>
    <w:rsid w:val="00D961B5"/>
    <w:rsid w:val="00D964FD"/>
    <w:rsid w:val="00D96737"/>
    <w:rsid w:val="00D96B6F"/>
    <w:rsid w:val="00D9726C"/>
    <w:rsid w:val="00D97282"/>
    <w:rsid w:val="00D972A4"/>
    <w:rsid w:val="00D97479"/>
    <w:rsid w:val="00D97554"/>
    <w:rsid w:val="00D9773F"/>
    <w:rsid w:val="00DA025C"/>
    <w:rsid w:val="00DA03DC"/>
    <w:rsid w:val="00DA0CFD"/>
    <w:rsid w:val="00DA0F54"/>
    <w:rsid w:val="00DA1115"/>
    <w:rsid w:val="00DA12B1"/>
    <w:rsid w:val="00DA13C2"/>
    <w:rsid w:val="00DA13CB"/>
    <w:rsid w:val="00DA144E"/>
    <w:rsid w:val="00DA1897"/>
    <w:rsid w:val="00DA1E1D"/>
    <w:rsid w:val="00DA1F09"/>
    <w:rsid w:val="00DA2368"/>
    <w:rsid w:val="00DA236C"/>
    <w:rsid w:val="00DA246B"/>
    <w:rsid w:val="00DA246F"/>
    <w:rsid w:val="00DA2471"/>
    <w:rsid w:val="00DA24B1"/>
    <w:rsid w:val="00DA253F"/>
    <w:rsid w:val="00DA2883"/>
    <w:rsid w:val="00DA2984"/>
    <w:rsid w:val="00DA2BB0"/>
    <w:rsid w:val="00DA2C52"/>
    <w:rsid w:val="00DA2CDC"/>
    <w:rsid w:val="00DA2F4E"/>
    <w:rsid w:val="00DA2FC5"/>
    <w:rsid w:val="00DA30F7"/>
    <w:rsid w:val="00DA325E"/>
    <w:rsid w:val="00DA32EA"/>
    <w:rsid w:val="00DA3625"/>
    <w:rsid w:val="00DA3CCA"/>
    <w:rsid w:val="00DA3E7D"/>
    <w:rsid w:val="00DA401F"/>
    <w:rsid w:val="00DA444E"/>
    <w:rsid w:val="00DA461A"/>
    <w:rsid w:val="00DA48E8"/>
    <w:rsid w:val="00DA492E"/>
    <w:rsid w:val="00DA4B20"/>
    <w:rsid w:val="00DA4B82"/>
    <w:rsid w:val="00DA50DF"/>
    <w:rsid w:val="00DA520B"/>
    <w:rsid w:val="00DA524C"/>
    <w:rsid w:val="00DA5392"/>
    <w:rsid w:val="00DA55A0"/>
    <w:rsid w:val="00DA564D"/>
    <w:rsid w:val="00DA56B5"/>
    <w:rsid w:val="00DA595B"/>
    <w:rsid w:val="00DA59C7"/>
    <w:rsid w:val="00DA5A8E"/>
    <w:rsid w:val="00DA5C57"/>
    <w:rsid w:val="00DA5C85"/>
    <w:rsid w:val="00DA5D63"/>
    <w:rsid w:val="00DA5DE3"/>
    <w:rsid w:val="00DA5EDF"/>
    <w:rsid w:val="00DA6013"/>
    <w:rsid w:val="00DA6146"/>
    <w:rsid w:val="00DA65EC"/>
    <w:rsid w:val="00DA6813"/>
    <w:rsid w:val="00DA6846"/>
    <w:rsid w:val="00DA6BD3"/>
    <w:rsid w:val="00DA6C8E"/>
    <w:rsid w:val="00DA6EB9"/>
    <w:rsid w:val="00DA707D"/>
    <w:rsid w:val="00DA7215"/>
    <w:rsid w:val="00DA7216"/>
    <w:rsid w:val="00DA7252"/>
    <w:rsid w:val="00DA7293"/>
    <w:rsid w:val="00DA73B6"/>
    <w:rsid w:val="00DA741B"/>
    <w:rsid w:val="00DA755A"/>
    <w:rsid w:val="00DA75C9"/>
    <w:rsid w:val="00DA77CB"/>
    <w:rsid w:val="00DA7B4B"/>
    <w:rsid w:val="00DA7BA8"/>
    <w:rsid w:val="00DA7E99"/>
    <w:rsid w:val="00DB013B"/>
    <w:rsid w:val="00DB016F"/>
    <w:rsid w:val="00DB01A6"/>
    <w:rsid w:val="00DB01DA"/>
    <w:rsid w:val="00DB01EE"/>
    <w:rsid w:val="00DB01F4"/>
    <w:rsid w:val="00DB040B"/>
    <w:rsid w:val="00DB046F"/>
    <w:rsid w:val="00DB05A3"/>
    <w:rsid w:val="00DB068B"/>
    <w:rsid w:val="00DB08AB"/>
    <w:rsid w:val="00DB0BDE"/>
    <w:rsid w:val="00DB0DFE"/>
    <w:rsid w:val="00DB10A7"/>
    <w:rsid w:val="00DB1B68"/>
    <w:rsid w:val="00DB2524"/>
    <w:rsid w:val="00DB2736"/>
    <w:rsid w:val="00DB2825"/>
    <w:rsid w:val="00DB2882"/>
    <w:rsid w:val="00DB2C6C"/>
    <w:rsid w:val="00DB2CAD"/>
    <w:rsid w:val="00DB32FD"/>
    <w:rsid w:val="00DB34DF"/>
    <w:rsid w:val="00DB39FF"/>
    <w:rsid w:val="00DB3A88"/>
    <w:rsid w:val="00DB3BA3"/>
    <w:rsid w:val="00DB3C4D"/>
    <w:rsid w:val="00DB3C7B"/>
    <w:rsid w:val="00DB4015"/>
    <w:rsid w:val="00DB410A"/>
    <w:rsid w:val="00DB4590"/>
    <w:rsid w:val="00DB463F"/>
    <w:rsid w:val="00DB4B64"/>
    <w:rsid w:val="00DB4C34"/>
    <w:rsid w:val="00DB4CA7"/>
    <w:rsid w:val="00DB4D2C"/>
    <w:rsid w:val="00DB4D94"/>
    <w:rsid w:val="00DB4E12"/>
    <w:rsid w:val="00DB51AE"/>
    <w:rsid w:val="00DB51F3"/>
    <w:rsid w:val="00DB5355"/>
    <w:rsid w:val="00DB56DD"/>
    <w:rsid w:val="00DB5970"/>
    <w:rsid w:val="00DB5A89"/>
    <w:rsid w:val="00DB5BEC"/>
    <w:rsid w:val="00DB5DB9"/>
    <w:rsid w:val="00DB62C9"/>
    <w:rsid w:val="00DB6494"/>
    <w:rsid w:val="00DB64A2"/>
    <w:rsid w:val="00DB653F"/>
    <w:rsid w:val="00DB667E"/>
    <w:rsid w:val="00DB66A9"/>
    <w:rsid w:val="00DB67BC"/>
    <w:rsid w:val="00DB6A05"/>
    <w:rsid w:val="00DB6C3D"/>
    <w:rsid w:val="00DB6EC5"/>
    <w:rsid w:val="00DB6F3B"/>
    <w:rsid w:val="00DB736C"/>
    <w:rsid w:val="00DB74B6"/>
    <w:rsid w:val="00DB761C"/>
    <w:rsid w:val="00DB772E"/>
    <w:rsid w:val="00DB7BAF"/>
    <w:rsid w:val="00DB7CF8"/>
    <w:rsid w:val="00DB7DAA"/>
    <w:rsid w:val="00DB7F7B"/>
    <w:rsid w:val="00DC0221"/>
    <w:rsid w:val="00DC08A4"/>
    <w:rsid w:val="00DC0B4E"/>
    <w:rsid w:val="00DC0D06"/>
    <w:rsid w:val="00DC1139"/>
    <w:rsid w:val="00DC1145"/>
    <w:rsid w:val="00DC1B6B"/>
    <w:rsid w:val="00DC1D78"/>
    <w:rsid w:val="00DC20A5"/>
    <w:rsid w:val="00DC210D"/>
    <w:rsid w:val="00DC22DA"/>
    <w:rsid w:val="00DC23B1"/>
    <w:rsid w:val="00DC2452"/>
    <w:rsid w:val="00DC251A"/>
    <w:rsid w:val="00DC2569"/>
    <w:rsid w:val="00DC2956"/>
    <w:rsid w:val="00DC2A24"/>
    <w:rsid w:val="00DC2AA2"/>
    <w:rsid w:val="00DC2AC3"/>
    <w:rsid w:val="00DC2C7E"/>
    <w:rsid w:val="00DC2D73"/>
    <w:rsid w:val="00DC2E1C"/>
    <w:rsid w:val="00DC2F6E"/>
    <w:rsid w:val="00DC3146"/>
    <w:rsid w:val="00DC3320"/>
    <w:rsid w:val="00DC3335"/>
    <w:rsid w:val="00DC3503"/>
    <w:rsid w:val="00DC3540"/>
    <w:rsid w:val="00DC374C"/>
    <w:rsid w:val="00DC3FF9"/>
    <w:rsid w:val="00DC4042"/>
    <w:rsid w:val="00DC4059"/>
    <w:rsid w:val="00DC410C"/>
    <w:rsid w:val="00DC4891"/>
    <w:rsid w:val="00DC4ABB"/>
    <w:rsid w:val="00DC4AF0"/>
    <w:rsid w:val="00DC4B70"/>
    <w:rsid w:val="00DC4D2E"/>
    <w:rsid w:val="00DC4D4D"/>
    <w:rsid w:val="00DC4D97"/>
    <w:rsid w:val="00DC5184"/>
    <w:rsid w:val="00DC51BE"/>
    <w:rsid w:val="00DC569E"/>
    <w:rsid w:val="00DC57FF"/>
    <w:rsid w:val="00DC5A87"/>
    <w:rsid w:val="00DC5B44"/>
    <w:rsid w:val="00DC5BED"/>
    <w:rsid w:val="00DC5C4B"/>
    <w:rsid w:val="00DC5DD1"/>
    <w:rsid w:val="00DC6A06"/>
    <w:rsid w:val="00DC6B00"/>
    <w:rsid w:val="00DC6E12"/>
    <w:rsid w:val="00DC6F0E"/>
    <w:rsid w:val="00DC72FC"/>
    <w:rsid w:val="00DC73AF"/>
    <w:rsid w:val="00DC7C42"/>
    <w:rsid w:val="00DC7EB6"/>
    <w:rsid w:val="00DC7F81"/>
    <w:rsid w:val="00DD0084"/>
    <w:rsid w:val="00DD0583"/>
    <w:rsid w:val="00DD05BD"/>
    <w:rsid w:val="00DD1232"/>
    <w:rsid w:val="00DD1344"/>
    <w:rsid w:val="00DD1625"/>
    <w:rsid w:val="00DD175D"/>
    <w:rsid w:val="00DD1974"/>
    <w:rsid w:val="00DD1B15"/>
    <w:rsid w:val="00DD1B1E"/>
    <w:rsid w:val="00DD1BA1"/>
    <w:rsid w:val="00DD1BA6"/>
    <w:rsid w:val="00DD1CF9"/>
    <w:rsid w:val="00DD1D39"/>
    <w:rsid w:val="00DD1E15"/>
    <w:rsid w:val="00DD1FDC"/>
    <w:rsid w:val="00DD2228"/>
    <w:rsid w:val="00DD24C4"/>
    <w:rsid w:val="00DD276E"/>
    <w:rsid w:val="00DD2950"/>
    <w:rsid w:val="00DD2A50"/>
    <w:rsid w:val="00DD2CD0"/>
    <w:rsid w:val="00DD2CE6"/>
    <w:rsid w:val="00DD2F92"/>
    <w:rsid w:val="00DD3191"/>
    <w:rsid w:val="00DD3274"/>
    <w:rsid w:val="00DD32A4"/>
    <w:rsid w:val="00DD330E"/>
    <w:rsid w:val="00DD3393"/>
    <w:rsid w:val="00DD33A0"/>
    <w:rsid w:val="00DD3AA3"/>
    <w:rsid w:val="00DD3D06"/>
    <w:rsid w:val="00DD438B"/>
    <w:rsid w:val="00DD4445"/>
    <w:rsid w:val="00DD4511"/>
    <w:rsid w:val="00DD466D"/>
    <w:rsid w:val="00DD4BB3"/>
    <w:rsid w:val="00DD4BED"/>
    <w:rsid w:val="00DD4C88"/>
    <w:rsid w:val="00DD4CE1"/>
    <w:rsid w:val="00DD4D28"/>
    <w:rsid w:val="00DD4D61"/>
    <w:rsid w:val="00DD5311"/>
    <w:rsid w:val="00DD5335"/>
    <w:rsid w:val="00DD570C"/>
    <w:rsid w:val="00DD579D"/>
    <w:rsid w:val="00DD57BD"/>
    <w:rsid w:val="00DD5800"/>
    <w:rsid w:val="00DD591E"/>
    <w:rsid w:val="00DD59F6"/>
    <w:rsid w:val="00DD5AE3"/>
    <w:rsid w:val="00DD5AF2"/>
    <w:rsid w:val="00DD5C09"/>
    <w:rsid w:val="00DD5F94"/>
    <w:rsid w:val="00DD638D"/>
    <w:rsid w:val="00DD644C"/>
    <w:rsid w:val="00DD6517"/>
    <w:rsid w:val="00DD653D"/>
    <w:rsid w:val="00DD6861"/>
    <w:rsid w:val="00DD6AEC"/>
    <w:rsid w:val="00DD6E43"/>
    <w:rsid w:val="00DD6ED6"/>
    <w:rsid w:val="00DD6F71"/>
    <w:rsid w:val="00DD70AF"/>
    <w:rsid w:val="00DD7409"/>
    <w:rsid w:val="00DD7450"/>
    <w:rsid w:val="00DD74B0"/>
    <w:rsid w:val="00DD773A"/>
    <w:rsid w:val="00DD7761"/>
    <w:rsid w:val="00DD77AB"/>
    <w:rsid w:val="00DD7810"/>
    <w:rsid w:val="00DD78F3"/>
    <w:rsid w:val="00DD7A6A"/>
    <w:rsid w:val="00DD7C42"/>
    <w:rsid w:val="00DE0280"/>
    <w:rsid w:val="00DE0284"/>
    <w:rsid w:val="00DE0456"/>
    <w:rsid w:val="00DE054C"/>
    <w:rsid w:val="00DE0857"/>
    <w:rsid w:val="00DE09F5"/>
    <w:rsid w:val="00DE0B4F"/>
    <w:rsid w:val="00DE0CC3"/>
    <w:rsid w:val="00DE0D96"/>
    <w:rsid w:val="00DE0EF5"/>
    <w:rsid w:val="00DE180A"/>
    <w:rsid w:val="00DE1936"/>
    <w:rsid w:val="00DE1B6D"/>
    <w:rsid w:val="00DE1E4E"/>
    <w:rsid w:val="00DE1E98"/>
    <w:rsid w:val="00DE1FFD"/>
    <w:rsid w:val="00DE2022"/>
    <w:rsid w:val="00DE20E2"/>
    <w:rsid w:val="00DE2473"/>
    <w:rsid w:val="00DE24FD"/>
    <w:rsid w:val="00DE2891"/>
    <w:rsid w:val="00DE295E"/>
    <w:rsid w:val="00DE2ACA"/>
    <w:rsid w:val="00DE2C58"/>
    <w:rsid w:val="00DE3170"/>
    <w:rsid w:val="00DE31D3"/>
    <w:rsid w:val="00DE32DE"/>
    <w:rsid w:val="00DE335C"/>
    <w:rsid w:val="00DE3380"/>
    <w:rsid w:val="00DE33FD"/>
    <w:rsid w:val="00DE384D"/>
    <w:rsid w:val="00DE391C"/>
    <w:rsid w:val="00DE3998"/>
    <w:rsid w:val="00DE3CA7"/>
    <w:rsid w:val="00DE3DFB"/>
    <w:rsid w:val="00DE3FF1"/>
    <w:rsid w:val="00DE4042"/>
    <w:rsid w:val="00DE40D0"/>
    <w:rsid w:val="00DE427D"/>
    <w:rsid w:val="00DE4304"/>
    <w:rsid w:val="00DE4453"/>
    <w:rsid w:val="00DE4C51"/>
    <w:rsid w:val="00DE4C76"/>
    <w:rsid w:val="00DE4D93"/>
    <w:rsid w:val="00DE4E19"/>
    <w:rsid w:val="00DE5304"/>
    <w:rsid w:val="00DE5669"/>
    <w:rsid w:val="00DE5825"/>
    <w:rsid w:val="00DE5890"/>
    <w:rsid w:val="00DE5C8C"/>
    <w:rsid w:val="00DE61BF"/>
    <w:rsid w:val="00DE6469"/>
    <w:rsid w:val="00DE6521"/>
    <w:rsid w:val="00DE6714"/>
    <w:rsid w:val="00DE6A5F"/>
    <w:rsid w:val="00DE6AE0"/>
    <w:rsid w:val="00DE6C68"/>
    <w:rsid w:val="00DE7112"/>
    <w:rsid w:val="00DE72A5"/>
    <w:rsid w:val="00DE7488"/>
    <w:rsid w:val="00DE775A"/>
    <w:rsid w:val="00DE7780"/>
    <w:rsid w:val="00DE78A9"/>
    <w:rsid w:val="00DE7E08"/>
    <w:rsid w:val="00DE7F39"/>
    <w:rsid w:val="00DF020A"/>
    <w:rsid w:val="00DF028E"/>
    <w:rsid w:val="00DF044B"/>
    <w:rsid w:val="00DF05DE"/>
    <w:rsid w:val="00DF08B1"/>
    <w:rsid w:val="00DF0A92"/>
    <w:rsid w:val="00DF0BEF"/>
    <w:rsid w:val="00DF0C23"/>
    <w:rsid w:val="00DF1071"/>
    <w:rsid w:val="00DF172D"/>
    <w:rsid w:val="00DF179E"/>
    <w:rsid w:val="00DF17C4"/>
    <w:rsid w:val="00DF19BD"/>
    <w:rsid w:val="00DF1CE6"/>
    <w:rsid w:val="00DF205F"/>
    <w:rsid w:val="00DF2103"/>
    <w:rsid w:val="00DF21FB"/>
    <w:rsid w:val="00DF2232"/>
    <w:rsid w:val="00DF2260"/>
    <w:rsid w:val="00DF22CB"/>
    <w:rsid w:val="00DF2331"/>
    <w:rsid w:val="00DF2516"/>
    <w:rsid w:val="00DF260F"/>
    <w:rsid w:val="00DF263D"/>
    <w:rsid w:val="00DF2768"/>
    <w:rsid w:val="00DF2877"/>
    <w:rsid w:val="00DF2A7B"/>
    <w:rsid w:val="00DF2CEE"/>
    <w:rsid w:val="00DF2F81"/>
    <w:rsid w:val="00DF300F"/>
    <w:rsid w:val="00DF3206"/>
    <w:rsid w:val="00DF33DB"/>
    <w:rsid w:val="00DF3679"/>
    <w:rsid w:val="00DF3855"/>
    <w:rsid w:val="00DF390C"/>
    <w:rsid w:val="00DF3916"/>
    <w:rsid w:val="00DF39E6"/>
    <w:rsid w:val="00DF4521"/>
    <w:rsid w:val="00DF454B"/>
    <w:rsid w:val="00DF474A"/>
    <w:rsid w:val="00DF4787"/>
    <w:rsid w:val="00DF48C8"/>
    <w:rsid w:val="00DF4916"/>
    <w:rsid w:val="00DF49E0"/>
    <w:rsid w:val="00DF4BFE"/>
    <w:rsid w:val="00DF4D96"/>
    <w:rsid w:val="00DF4E5F"/>
    <w:rsid w:val="00DF508B"/>
    <w:rsid w:val="00DF50FF"/>
    <w:rsid w:val="00DF5516"/>
    <w:rsid w:val="00DF5B89"/>
    <w:rsid w:val="00DF5E1E"/>
    <w:rsid w:val="00DF5F82"/>
    <w:rsid w:val="00DF5FDD"/>
    <w:rsid w:val="00DF6121"/>
    <w:rsid w:val="00DF653B"/>
    <w:rsid w:val="00DF663F"/>
    <w:rsid w:val="00DF66A8"/>
    <w:rsid w:val="00DF68F4"/>
    <w:rsid w:val="00DF696D"/>
    <w:rsid w:val="00DF6A4A"/>
    <w:rsid w:val="00DF6CD0"/>
    <w:rsid w:val="00DF6DAB"/>
    <w:rsid w:val="00DF7074"/>
    <w:rsid w:val="00DF7088"/>
    <w:rsid w:val="00DF72C8"/>
    <w:rsid w:val="00DF7418"/>
    <w:rsid w:val="00DF74AA"/>
    <w:rsid w:val="00DF754C"/>
    <w:rsid w:val="00DF770C"/>
    <w:rsid w:val="00DF775B"/>
    <w:rsid w:val="00DF77E7"/>
    <w:rsid w:val="00DF77F1"/>
    <w:rsid w:val="00DF788A"/>
    <w:rsid w:val="00DF7B07"/>
    <w:rsid w:val="00E00003"/>
    <w:rsid w:val="00E003E3"/>
    <w:rsid w:val="00E00552"/>
    <w:rsid w:val="00E0056E"/>
    <w:rsid w:val="00E006A8"/>
    <w:rsid w:val="00E00802"/>
    <w:rsid w:val="00E008E9"/>
    <w:rsid w:val="00E00998"/>
    <w:rsid w:val="00E00C0E"/>
    <w:rsid w:val="00E00D77"/>
    <w:rsid w:val="00E00F95"/>
    <w:rsid w:val="00E01096"/>
    <w:rsid w:val="00E01662"/>
    <w:rsid w:val="00E01742"/>
    <w:rsid w:val="00E01749"/>
    <w:rsid w:val="00E0176D"/>
    <w:rsid w:val="00E01867"/>
    <w:rsid w:val="00E0191B"/>
    <w:rsid w:val="00E01A8F"/>
    <w:rsid w:val="00E01BC6"/>
    <w:rsid w:val="00E01C1B"/>
    <w:rsid w:val="00E01ED8"/>
    <w:rsid w:val="00E01F3B"/>
    <w:rsid w:val="00E02128"/>
    <w:rsid w:val="00E02270"/>
    <w:rsid w:val="00E022BD"/>
    <w:rsid w:val="00E02C4C"/>
    <w:rsid w:val="00E02D32"/>
    <w:rsid w:val="00E02F1C"/>
    <w:rsid w:val="00E03330"/>
    <w:rsid w:val="00E0335F"/>
    <w:rsid w:val="00E03399"/>
    <w:rsid w:val="00E03461"/>
    <w:rsid w:val="00E03779"/>
    <w:rsid w:val="00E03916"/>
    <w:rsid w:val="00E039A5"/>
    <w:rsid w:val="00E03B5E"/>
    <w:rsid w:val="00E03E36"/>
    <w:rsid w:val="00E04037"/>
    <w:rsid w:val="00E0420F"/>
    <w:rsid w:val="00E042F7"/>
    <w:rsid w:val="00E04399"/>
    <w:rsid w:val="00E044B7"/>
    <w:rsid w:val="00E046E5"/>
    <w:rsid w:val="00E048CE"/>
    <w:rsid w:val="00E04979"/>
    <w:rsid w:val="00E04A86"/>
    <w:rsid w:val="00E04B71"/>
    <w:rsid w:val="00E04C03"/>
    <w:rsid w:val="00E04FF6"/>
    <w:rsid w:val="00E05119"/>
    <w:rsid w:val="00E0519C"/>
    <w:rsid w:val="00E0523A"/>
    <w:rsid w:val="00E05339"/>
    <w:rsid w:val="00E05404"/>
    <w:rsid w:val="00E05BB2"/>
    <w:rsid w:val="00E05C21"/>
    <w:rsid w:val="00E05C74"/>
    <w:rsid w:val="00E05D86"/>
    <w:rsid w:val="00E05DB0"/>
    <w:rsid w:val="00E05E63"/>
    <w:rsid w:val="00E05FC9"/>
    <w:rsid w:val="00E0642B"/>
    <w:rsid w:val="00E0645B"/>
    <w:rsid w:val="00E06485"/>
    <w:rsid w:val="00E0652C"/>
    <w:rsid w:val="00E06C7B"/>
    <w:rsid w:val="00E06ECE"/>
    <w:rsid w:val="00E07000"/>
    <w:rsid w:val="00E070A0"/>
    <w:rsid w:val="00E07210"/>
    <w:rsid w:val="00E07416"/>
    <w:rsid w:val="00E07610"/>
    <w:rsid w:val="00E077A2"/>
    <w:rsid w:val="00E07823"/>
    <w:rsid w:val="00E079B0"/>
    <w:rsid w:val="00E07BAA"/>
    <w:rsid w:val="00E07BB4"/>
    <w:rsid w:val="00E07C40"/>
    <w:rsid w:val="00E07C44"/>
    <w:rsid w:val="00E102F5"/>
    <w:rsid w:val="00E10339"/>
    <w:rsid w:val="00E1055B"/>
    <w:rsid w:val="00E108FE"/>
    <w:rsid w:val="00E109C0"/>
    <w:rsid w:val="00E10CBE"/>
    <w:rsid w:val="00E10E2B"/>
    <w:rsid w:val="00E1112B"/>
    <w:rsid w:val="00E112B2"/>
    <w:rsid w:val="00E114F9"/>
    <w:rsid w:val="00E11A22"/>
    <w:rsid w:val="00E11B3A"/>
    <w:rsid w:val="00E11C13"/>
    <w:rsid w:val="00E11E5D"/>
    <w:rsid w:val="00E11EA3"/>
    <w:rsid w:val="00E11FF7"/>
    <w:rsid w:val="00E12307"/>
    <w:rsid w:val="00E12323"/>
    <w:rsid w:val="00E12496"/>
    <w:rsid w:val="00E124F8"/>
    <w:rsid w:val="00E127F3"/>
    <w:rsid w:val="00E1293C"/>
    <w:rsid w:val="00E129B2"/>
    <w:rsid w:val="00E12A9A"/>
    <w:rsid w:val="00E12DA5"/>
    <w:rsid w:val="00E12DC3"/>
    <w:rsid w:val="00E13142"/>
    <w:rsid w:val="00E1324C"/>
    <w:rsid w:val="00E132F1"/>
    <w:rsid w:val="00E133A3"/>
    <w:rsid w:val="00E1385A"/>
    <w:rsid w:val="00E13A61"/>
    <w:rsid w:val="00E13FF0"/>
    <w:rsid w:val="00E140EE"/>
    <w:rsid w:val="00E14397"/>
    <w:rsid w:val="00E145B3"/>
    <w:rsid w:val="00E145E7"/>
    <w:rsid w:val="00E14800"/>
    <w:rsid w:val="00E149BB"/>
    <w:rsid w:val="00E14B08"/>
    <w:rsid w:val="00E14C24"/>
    <w:rsid w:val="00E14D90"/>
    <w:rsid w:val="00E14F28"/>
    <w:rsid w:val="00E14FDF"/>
    <w:rsid w:val="00E151C1"/>
    <w:rsid w:val="00E15343"/>
    <w:rsid w:val="00E15443"/>
    <w:rsid w:val="00E154FC"/>
    <w:rsid w:val="00E15591"/>
    <w:rsid w:val="00E15648"/>
    <w:rsid w:val="00E156D2"/>
    <w:rsid w:val="00E15731"/>
    <w:rsid w:val="00E1586D"/>
    <w:rsid w:val="00E15CAC"/>
    <w:rsid w:val="00E15CD0"/>
    <w:rsid w:val="00E15ECF"/>
    <w:rsid w:val="00E15F41"/>
    <w:rsid w:val="00E16241"/>
    <w:rsid w:val="00E16322"/>
    <w:rsid w:val="00E16440"/>
    <w:rsid w:val="00E16816"/>
    <w:rsid w:val="00E168AA"/>
    <w:rsid w:val="00E168F8"/>
    <w:rsid w:val="00E16AC6"/>
    <w:rsid w:val="00E16C9C"/>
    <w:rsid w:val="00E17215"/>
    <w:rsid w:val="00E17515"/>
    <w:rsid w:val="00E1751A"/>
    <w:rsid w:val="00E175E2"/>
    <w:rsid w:val="00E17688"/>
    <w:rsid w:val="00E1780B"/>
    <w:rsid w:val="00E17846"/>
    <w:rsid w:val="00E179AB"/>
    <w:rsid w:val="00E17D8D"/>
    <w:rsid w:val="00E201E6"/>
    <w:rsid w:val="00E20259"/>
    <w:rsid w:val="00E20669"/>
    <w:rsid w:val="00E20B13"/>
    <w:rsid w:val="00E21069"/>
    <w:rsid w:val="00E214E3"/>
    <w:rsid w:val="00E218A7"/>
    <w:rsid w:val="00E218D9"/>
    <w:rsid w:val="00E21D69"/>
    <w:rsid w:val="00E21DB2"/>
    <w:rsid w:val="00E21E3F"/>
    <w:rsid w:val="00E22151"/>
    <w:rsid w:val="00E22360"/>
    <w:rsid w:val="00E22464"/>
    <w:rsid w:val="00E22526"/>
    <w:rsid w:val="00E2259B"/>
    <w:rsid w:val="00E22600"/>
    <w:rsid w:val="00E2263A"/>
    <w:rsid w:val="00E22907"/>
    <w:rsid w:val="00E22B21"/>
    <w:rsid w:val="00E22DF4"/>
    <w:rsid w:val="00E23219"/>
    <w:rsid w:val="00E233B4"/>
    <w:rsid w:val="00E2376E"/>
    <w:rsid w:val="00E23B81"/>
    <w:rsid w:val="00E23C49"/>
    <w:rsid w:val="00E23E63"/>
    <w:rsid w:val="00E24107"/>
    <w:rsid w:val="00E24278"/>
    <w:rsid w:val="00E249D3"/>
    <w:rsid w:val="00E24BED"/>
    <w:rsid w:val="00E24D83"/>
    <w:rsid w:val="00E25068"/>
    <w:rsid w:val="00E25369"/>
    <w:rsid w:val="00E25653"/>
    <w:rsid w:val="00E25720"/>
    <w:rsid w:val="00E25850"/>
    <w:rsid w:val="00E25A7A"/>
    <w:rsid w:val="00E25C96"/>
    <w:rsid w:val="00E25F14"/>
    <w:rsid w:val="00E25F4A"/>
    <w:rsid w:val="00E26022"/>
    <w:rsid w:val="00E2626F"/>
    <w:rsid w:val="00E2646A"/>
    <w:rsid w:val="00E2666B"/>
    <w:rsid w:val="00E26831"/>
    <w:rsid w:val="00E268C8"/>
    <w:rsid w:val="00E27191"/>
    <w:rsid w:val="00E27320"/>
    <w:rsid w:val="00E273BE"/>
    <w:rsid w:val="00E27642"/>
    <w:rsid w:val="00E27788"/>
    <w:rsid w:val="00E277AF"/>
    <w:rsid w:val="00E27C17"/>
    <w:rsid w:val="00E27C46"/>
    <w:rsid w:val="00E27D4C"/>
    <w:rsid w:val="00E27F21"/>
    <w:rsid w:val="00E27F6E"/>
    <w:rsid w:val="00E27F79"/>
    <w:rsid w:val="00E30092"/>
    <w:rsid w:val="00E3038F"/>
    <w:rsid w:val="00E303C8"/>
    <w:rsid w:val="00E304B0"/>
    <w:rsid w:val="00E30525"/>
    <w:rsid w:val="00E30542"/>
    <w:rsid w:val="00E3064A"/>
    <w:rsid w:val="00E306F1"/>
    <w:rsid w:val="00E30786"/>
    <w:rsid w:val="00E3079C"/>
    <w:rsid w:val="00E3083C"/>
    <w:rsid w:val="00E30872"/>
    <w:rsid w:val="00E309CA"/>
    <w:rsid w:val="00E30A46"/>
    <w:rsid w:val="00E30AA0"/>
    <w:rsid w:val="00E30F27"/>
    <w:rsid w:val="00E31079"/>
    <w:rsid w:val="00E31412"/>
    <w:rsid w:val="00E314B4"/>
    <w:rsid w:val="00E31E76"/>
    <w:rsid w:val="00E31EF6"/>
    <w:rsid w:val="00E325BB"/>
    <w:rsid w:val="00E32B92"/>
    <w:rsid w:val="00E330F5"/>
    <w:rsid w:val="00E3313D"/>
    <w:rsid w:val="00E33213"/>
    <w:rsid w:val="00E334AA"/>
    <w:rsid w:val="00E33537"/>
    <w:rsid w:val="00E33642"/>
    <w:rsid w:val="00E33B83"/>
    <w:rsid w:val="00E33FBA"/>
    <w:rsid w:val="00E340C9"/>
    <w:rsid w:val="00E34267"/>
    <w:rsid w:val="00E34613"/>
    <w:rsid w:val="00E3464D"/>
    <w:rsid w:val="00E347D8"/>
    <w:rsid w:val="00E34849"/>
    <w:rsid w:val="00E348CE"/>
    <w:rsid w:val="00E3497F"/>
    <w:rsid w:val="00E349C4"/>
    <w:rsid w:val="00E34A5B"/>
    <w:rsid w:val="00E34A64"/>
    <w:rsid w:val="00E34B92"/>
    <w:rsid w:val="00E34DD7"/>
    <w:rsid w:val="00E34F6A"/>
    <w:rsid w:val="00E350BA"/>
    <w:rsid w:val="00E3513A"/>
    <w:rsid w:val="00E35429"/>
    <w:rsid w:val="00E35479"/>
    <w:rsid w:val="00E35611"/>
    <w:rsid w:val="00E359BD"/>
    <w:rsid w:val="00E35AB9"/>
    <w:rsid w:val="00E35E6E"/>
    <w:rsid w:val="00E3611B"/>
    <w:rsid w:val="00E366F8"/>
    <w:rsid w:val="00E368AC"/>
    <w:rsid w:val="00E36B7C"/>
    <w:rsid w:val="00E36DA9"/>
    <w:rsid w:val="00E36EB2"/>
    <w:rsid w:val="00E36F2C"/>
    <w:rsid w:val="00E3704D"/>
    <w:rsid w:val="00E3711B"/>
    <w:rsid w:val="00E371E2"/>
    <w:rsid w:val="00E37456"/>
    <w:rsid w:val="00E377C2"/>
    <w:rsid w:val="00E378E8"/>
    <w:rsid w:val="00E37A73"/>
    <w:rsid w:val="00E37D26"/>
    <w:rsid w:val="00E37D9C"/>
    <w:rsid w:val="00E37E4D"/>
    <w:rsid w:val="00E40341"/>
    <w:rsid w:val="00E4036A"/>
    <w:rsid w:val="00E403D4"/>
    <w:rsid w:val="00E40524"/>
    <w:rsid w:val="00E4055D"/>
    <w:rsid w:val="00E4081A"/>
    <w:rsid w:val="00E40D9F"/>
    <w:rsid w:val="00E40F5B"/>
    <w:rsid w:val="00E41177"/>
    <w:rsid w:val="00E41307"/>
    <w:rsid w:val="00E414A0"/>
    <w:rsid w:val="00E4164F"/>
    <w:rsid w:val="00E4165A"/>
    <w:rsid w:val="00E41BA4"/>
    <w:rsid w:val="00E41CA0"/>
    <w:rsid w:val="00E4255C"/>
    <w:rsid w:val="00E426D9"/>
    <w:rsid w:val="00E428F2"/>
    <w:rsid w:val="00E42B81"/>
    <w:rsid w:val="00E42CCA"/>
    <w:rsid w:val="00E42D78"/>
    <w:rsid w:val="00E433F6"/>
    <w:rsid w:val="00E4354A"/>
    <w:rsid w:val="00E43675"/>
    <w:rsid w:val="00E43A44"/>
    <w:rsid w:val="00E43C0F"/>
    <w:rsid w:val="00E43C10"/>
    <w:rsid w:val="00E43E43"/>
    <w:rsid w:val="00E44096"/>
    <w:rsid w:val="00E4418A"/>
    <w:rsid w:val="00E4427F"/>
    <w:rsid w:val="00E44681"/>
    <w:rsid w:val="00E446F8"/>
    <w:rsid w:val="00E4487F"/>
    <w:rsid w:val="00E44CC3"/>
    <w:rsid w:val="00E4516F"/>
    <w:rsid w:val="00E45657"/>
    <w:rsid w:val="00E456BC"/>
    <w:rsid w:val="00E45726"/>
    <w:rsid w:val="00E45E22"/>
    <w:rsid w:val="00E45EC0"/>
    <w:rsid w:val="00E45F46"/>
    <w:rsid w:val="00E46296"/>
    <w:rsid w:val="00E4639A"/>
    <w:rsid w:val="00E46794"/>
    <w:rsid w:val="00E46BE8"/>
    <w:rsid w:val="00E46C4E"/>
    <w:rsid w:val="00E46C83"/>
    <w:rsid w:val="00E4702B"/>
    <w:rsid w:val="00E471E3"/>
    <w:rsid w:val="00E473CB"/>
    <w:rsid w:val="00E47524"/>
    <w:rsid w:val="00E477E7"/>
    <w:rsid w:val="00E47D1F"/>
    <w:rsid w:val="00E47E80"/>
    <w:rsid w:val="00E50057"/>
    <w:rsid w:val="00E50107"/>
    <w:rsid w:val="00E501F0"/>
    <w:rsid w:val="00E5034A"/>
    <w:rsid w:val="00E503C9"/>
    <w:rsid w:val="00E503D0"/>
    <w:rsid w:val="00E50506"/>
    <w:rsid w:val="00E50589"/>
    <w:rsid w:val="00E50953"/>
    <w:rsid w:val="00E50C11"/>
    <w:rsid w:val="00E50C73"/>
    <w:rsid w:val="00E50C93"/>
    <w:rsid w:val="00E50CDC"/>
    <w:rsid w:val="00E5104B"/>
    <w:rsid w:val="00E5112A"/>
    <w:rsid w:val="00E511F1"/>
    <w:rsid w:val="00E51459"/>
    <w:rsid w:val="00E519DF"/>
    <w:rsid w:val="00E51DEC"/>
    <w:rsid w:val="00E51EB9"/>
    <w:rsid w:val="00E524E9"/>
    <w:rsid w:val="00E52A95"/>
    <w:rsid w:val="00E52AFF"/>
    <w:rsid w:val="00E52DAC"/>
    <w:rsid w:val="00E52DB2"/>
    <w:rsid w:val="00E53077"/>
    <w:rsid w:val="00E531BC"/>
    <w:rsid w:val="00E531E4"/>
    <w:rsid w:val="00E53290"/>
    <w:rsid w:val="00E53335"/>
    <w:rsid w:val="00E53441"/>
    <w:rsid w:val="00E53973"/>
    <w:rsid w:val="00E53BDB"/>
    <w:rsid w:val="00E53DC7"/>
    <w:rsid w:val="00E53DEB"/>
    <w:rsid w:val="00E540DE"/>
    <w:rsid w:val="00E54213"/>
    <w:rsid w:val="00E54241"/>
    <w:rsid w:val="00E542DD"/>
    <w:rsid w:val="00E545AE"/>
    <w:rsid w:val="00E546B1"/>
    <w:rsid w:val="00E548D0"/>
    <w:rsid w:val="00E5497C"/>
    <w:rsid w:val="00E549BE"/>
    <w:rsid w:val="00E54A2D"/>
    <w:rsid w:val="00E54EBE"/>
    <w:rsid w:val="00E55110"/>
    <w:rsid w:val="00E5512C"/>
    <w:rsid w:val="00E5525F"/>
    <w:rsid w:val="00E55282"/>
    <w:rsid w:val="00E552C2"/>
    <w:rsid w:val="00E5530D"/>
    <w:rsid w:val="00E55689"/>
    <w:rsid w:val="00E5573C"/>
    <w:rsid w:val="00E5590D"/>
    <w:rsid w:val="00E559D5"/>
    <w:rsid w:val="00E559DA"/>
    <w:rsid w:val="00E55C04"/>
    <w:rsid w:val="00E55CBE"/>
    <w:rsid w:val="00E55CD8"/>
    <w:rsid w:val="00E55DAB"/>
    <w:rsid w:val="00E56449"/>
    <w:rsid w:val="00E567AC"/>
    <w:rsid w:val="00E56A67"/>
    <w:rsid w:val="00E56B4F"/>
    <w:rsid w:val="00E56DD2"/>
    <w:rsid w:val="00E56E2C"/>
    <w:rsid w:val="00E5710D"/>
    <w:rsid w:val="00E571F8"/>
    <w:rsid w:val="00E5727D"/>
    <w:rsid w:val="00E57299"/>
    <w:rsid w:val="00E572E9"/>
    <w:rsid w:val="00E574CC"/>
    <w:rsid w:val="00E5762E"/>
    <w:rsid w:val="00E57937"/>
    <w:rsid w:val="00E57D36"/>
    <w:rsid w:val="00E57DB0"/>
    <w:rsid w:val="00E60168"/>
    <w:rsid w:val="00E603D2"/>
    <w:rsid w:val="00E6041A"/>
    <w:rsid w:val="00E604CC"/>
    <w:rsid w:val="00E607E0"/>
    <w:rsid w:val="00E61521"/>
    <w:rsid w:val="00E615A2"/>
    <w:rsid w:val="00E615D0"/>
    <w:rsid w:val="00E615D4"/>
    <w:rsid w:val="00E6180C"/>
    <w:rsid w:val="00E61BC0"/>
    <w:rsid w:val="00E61C43"/>
    <w:rsid w:val="00E61CA7"/>
    <w:rsid w:val="00E62427"/>
    <w:rsid w:val="00E625BB"/>
    <w:rsid w:val="00E625EC"/>
    <w:rsid w:val="00E62647"/>
    <w:rsid w:val="00E626A6"/>
    <w:rsid w:val="00E628C5"/>
    <w:rsid w:val="00E62902"/>
    <w:rsid w:val="00E629AD"/>
    <w:rsid w:val="00E62A30"/>
    <w:rsid w:val="00E62B01"/>
    <w:rsid w:val="00E62B5B"/>
    <w:rsid w:val="00E62B77"/>
    <w:rsid w:val="00E62CB5"/>
    <w:rsid w:val="00E62D31"/>
    <w:rsid w:val="00E62D37"/>
    <w:rsid w:val="00E62F86"/>
    <w:rsid w:val="00E632C2"/>
    <w:rsid w:val="00E63885"/>
    <w:rsid w:val="00E63960"/>
    <w:rsid w:val="00E63AAA"/>
    <w:rsid w:val="00E63AE1"/>
    <w:rsid w:val="00E63C0F"/>
    <w:rsid w:val="00E63E12"/>
    <w:rsid w:val="00E63E4B"/>
    <w:rsid w:val="00E63ED0"/>
    <w:rsid w:val="00E6408C"/>
    <w:rsid w:val="00E64104"/>
    <w:rsid w:val="00E644C8"/>
    <w:rsid w:val="00E644F3"/>
    <w:rsid w:val="00E64EAA"/>
    <w:rsid w:val="00E64EEC"/>
    <w:rsid w:val="00E65100"/>
    <w:rsid w:val="00E6511D"/>
    <w:rsid w:val="00E6546F"/>
    <w:rsid w:val="00E6550E"/>
    <w:rsid w:val="00E65648"/>
    <w:rsid w:val="00E656B7"/>
    <w:rsid w:val="00E65862"/>
    <w:rsid w:val="00E661A3"/>
    <w:rsid w:val="00E66536"/>
    <w:rsid w:val="00E66587"/>
    <w:rsid w:val="00E66855"/>
    <w:rsid w:val="00E66AAA"/>
    <w:rsid w:val="00E66C55"/>
    <w:rsid w:val="00E66E97"/>
    <w:rsid w:val="00E66FEC"/>
    <w:rsid w:val="00E670CF"/>
    <w:rsid w:val="00E671BE"/>
    <w:rsid w:val="00E6728F"/>
    <w:rsid w:val="00E6749A"/>
    <w:rsid w:val="00E67766"/>
    <w:rsid w:val="00E67817"/>
    <w:rsid w:val="00E67863"/>
    <w:rsid w:val="00E678E1"/>
    <w:rsid w:val="00E679B4"/>
    <w:rsid w:val="00E67ABE"/>
    <w:rsid w:val="00E67AC1"/>
    <w:rsid w:val="00E67DE1"/>
    <w:rsid w:val="00E67F0D"/>
    <w:rsid w:val="00E70066"/>
    <w:rsid w:val="00E7019B"/>
    <w:rsid w:val="00E70352"/>
    <w:rsid w:val="00E703E5"/>
    <w:rsid w:val="00E705DB"/>
    <w:rsid w:val="00E70B82"/>
    <w:rsid w:val="00E710AF"/>
    <w:rsid w:val="00E71584"/>
    <w:rsid w:val="00E718DA"/>
    <w:rsid w:val="00E718DF"/>
    <w:rsid w:val="00E71930"/>
    <w:rsid w:val="00E71B99"/>
    <w:rsid w:val="00E71D76"/>
    <w:rsid w:val="00E71E1B"/>
    <w:rsid w:val="00E71EC7"/>
    <w:rsid w:val="00E72205"/>
    <w:rsid w:val="00E725ED"/>
    <w:rsid w:val="00E72607"/>
    <w:rsid w:val="00E72628"/>
    <w:rsid w:val="00E7272C"/>
    <w:rsid w:val="00E72755"/>
    <w:rsid w:val="00E7309A"/>
    <w:rsid w:val="00E730D0"/>
    <w:rsid w:val="00E73167"/>
    <w:rsid w:val="00E7331C"/>
    <w:rsid w:val="00E7346B"/>
    <w:rsid w:val="00E737E3"/>
    <w:rsid w:val="00E7397B"/>
    <w:rsid w:val="00E739BF"/>
    <w:rsid w:val="00E73AC7"/>
    <w:rsid w:val="00E73BF2"/>
    <w:rsid w:val="00E73C25"/>
    <w:rsid w:val="00E73E13"/>
    <w:rsid w:val="00E73E4B"/>
    <w:rsid w:val="00E73FD2"/>
    <w:rsid w:val="00E74104"/>
    <w:rsid w:val="00E742AC"/>
    <w:rsid w:val="00E7442A"/>
    <w:rsid w:val="00E7484B"/>
    <w:rsid w:val="00E748EC"/>
    <w:rsid w:val="00E749A4"/>
    <w:rsid w:val="00E749B2"/>
    <w:rsid w:val="00E75055"/>
    <w:rsid w:val="00E751F9"/>
    <w:rsid w:val="00E754F4"/>
    <w:rsid w:val="00E7553E"/>
    <w:rsid w:val="00E75AB5"/>
    <w:rsid w:val="00E75D35"/>
    <w:rsid w:val="00E75E6C"/>
    <w:rsid w:val="00E75F70"/>
    <w:rsid w:val="00E76080"/>
    <w:rsid w:val="00E76202"/>
    <w:rsid w:val="00E76528"/>
    <w:rsid w:val="00E7663B"/>
    <w:rsid w:val="00E767D7"/>
    <w:rsid w:val="00E7687C"/>
    <w:rsid w:val="00E76958"/>
    <w:rsid w:val="00E7696E"/>
    <w:rsid w:val="00E76A59"/>
    <w:rsid w:val="00E76D22"/>
    <w:rsid w:val="00E76FA1"/>
    <w:rsid w:val="00E772DA"/>
    <w:rsid w:val="00E77315"/>
    <w:rsid w:val="00E77429"/>
    <w:rsid w:val="00E77435"/>
    <w:rsid w:val="00E77548"/>
    <w:rsid w:val="00E775EF"/>
    <w:rsid w:val="00E776EB"/>
    <w:rsid w:val="00E7770E"/>
    <w:rsid w:val="00E778DA"/>
    <w:rsid w:val="00E77B14"/>
    <w:rsid w:val="00E77E3B"/>
    <w:rsid w:val="00E8005E"/>
    <w:rsid w:val="00E805BF"/>
    <w:rsid w:val="00E806BB"/>
    <w:rsid w:val="00E8073A"/>
    <w:rsid w:val="00E80A7B"/>
    <w:rsid w:val="00E8108E"/>
    <w:rsid w:val="00E810E2"/>
    <w:rsid w:val="00E81108"/>
    <w:rsid w:val="00E81129"/>
    <w:rsid w:val="00E8149E"/>
    <w:rsid w:val="00E814E0"/>
    <w:rsid w:val="00E816EA"/>
    <w:rsid w:val="00E818FA"/>
    <w:rsid w:val="00E819FE"/>
    <w:rsid w:val="00E81B1C"/>
    <w:rsid w:val="00E81BD4"/>
    <w:rsid w:val="00E81BD6"/>
    <w:rsid w:val="00E81DBB"/>
    <w:rsid w:val="00E81DF8"/>
    <w:rsid w:val="00E81E52"/>
    <w:rsid w:val="00E81E8A"/>
    <w:rsid w:val="00E81FDE"/>
    <w:rsid w:val="00E820B2"/>
    <w:rsid w:val="00E8213E"/>
    <w:rsid w:val="00E821DB"/>
    <w:rsid w:val="00E82306"/>
    <w:rsid w:val="00E823DA"/>
    <w:rsid w:val="00E825E9"/>
    <w:rsid w:val="00E82701"/>
    <w:rsid w:val="00E8288F"/>
    <w:rsid w:val="00E82A3C"/>
    <w:rsid w:val="00E82B12"/>
    <w:rsid w:val="00E82F14"/>
    <w:rsid w:val="00E82FB5"/>
    <w:rsid w:val="00E83037"/>
    <w:rsid w:val="00E8309C"/>
    <w:rsid w:val="00E830EE"/>
    <w:rsid w:val="00E8316E"/>
    <w:rsid w:val="00E834F3"/>
    <w:rsid w:val="00E83519"/>
    <w:rsid w:val="00E8372D"/>
    <w:rsid w:val="00E8376F"/>
    <w:rsid w:val="00E8396A"/>
    <w:rsid w:val="00E83C16"/>
    <w:rsid w:val="00E83CCC"/>
    <w:rsid w:val="00E83CD9"/>
    <w:rsid w:val="00E83DED"/>
    <w:rsid w:val="00E83E9E"/>
    <w:rsid w:val="00E83F2D"/>
    <w:rsid w:val="00E83FDC"/>
    <w:rsid w:val="00E84127"/>
    <w:rsid w:val="00E841FD"/>
    <w:rsid w:val="00E8426A"/>
    <w:rsid w:val="00E84316"/>
    <w:rsid w:val="00E84A53"/>
    <w:rsid w:val="00E84B40"/>
    <w:rsid w:val="00E84B99"/>
    <w:rsid w:val="00E84D4B"/>
    <w:rsid w:val="00E84D50"/>
    <w:rsid w:val="00E84F25"/>
    <w:rsid w:val="00E84F6A"/>
    <w:rsid w:val="00E854A0"/>
    <w:rsid w:val="00E855BB"/>
    <w:rsid w:val="00E856D8"/>
    <w:rsid w:val="00E85828"/>
    <w:rsid w:val="00E858CD"/>
    <w:rsid w:val="00E85E64"/>
    <w:rsid w:val="00E85F0E"/>
    <w:rsid w:val="00E85FF3"/>
    <w:rsid w:val="00E86367"/>
    <w:rsid w:val="00E865FE"/>
    <w:rsid w:val="00E8679D"/>
    <w:rsid w:val="00E8686D"/>
    <w:rsid w:val="00E86F6B"/>
    <w:rsid w:val="00E8701F"/>
    <w:rsid w:val="00E87386"/>
    <w:rsid w:val="00E8746A"/>
    <w:rsid w:val="00E87B88"/>
    <w:rsid w:val="00E87DFB"/>
    <w:rsid w:val="00E90029"/>
    <w:rsid w:val="00E90266"/>
    <w:rsid w:val="00E902ED"/>
    <w:rsid w:val="00E90403"/>
    <w:rsid w:val="00E9040E"/>
    <w:rsid w:val="00E905C6"/>
    <w:rsid w:val="00E906CF"/>
    <w:rsid w:val="00E9085F"/>
    <w:rsid w:val="00E90865"/>
    <w:rsid w:val="00E90B6D"/>
    <w:rsid w:val="00E90BE3"/>
    <w:rsid w:val="00E90E07"/>
    <w:rsid w:val="00E90F1B"/>
    <w:rsid w:val="00E912D5"/>
    <w:rsid w:val="00E91414"/>
    <w:rsid w:val="00E9184A"/>
    <w:rsid w:val="00E918EB"/>
    <w:rsid w:val="00E91B02"/>
    <w:rsid w:val="00E91B44"/>
    <w:rsid w:val="00E91DE2"/>
    <w:rsid w:val="00E92006"/>
    <w:rsid w:val="00E920B0"/>
    <w:rsid w:val="00E924C4"/>
    <w:rsid w:val="00E925CA"/>
    <w:rsid w:val="00E925FB"/>
    <w:rsid w:val="00E927A3"/>
    <w:rsid w:val="00E92985"/>
    <w:rsid w:val="00E92DF3"/>
    <w:rsid w:val="00E92E3E"/>
    <w:rsid w:val="00E92F03"/>
    <w:rsid w:val="00E92F7D"/>
    <w:rsid w:val="00E9340E"/>
    <w:rsid w:val="00E9345F"/>
    <w:rsid w:val="00E934F5"/>
    <w:rsid w:val="00E935FE"/>
    <w:rsid w:val="00E936F4"/>
    <w:rsid w:val="00E93924"/>
    <w:rsid w:val="00E93A14"/>
    <w:rsid w:val="00E93B28"/>
    <w:rsid w:val="00E93E9D"/>
    <w:rsid w:val="00E93F48"/>
    <w:rsid w:val="00E9442F"/>
    <w:rsid w:val="00E9486C"/>
    <w:rsid w:val="00E9487A"/>
    <w:rsid w:val="00E948A5"/>
    <w:rsid w:val="00E94AD9"/>
    <w:rsid w:val="00E94BAE"/>
    <w:rsid w:val="00E94D0E"/>
    <w:rsid w:val="00E94FC3"/>
    <w:rsid w:val="00E94FD6"/>
    <w:rsid w:val="00E950AD"/>
    <w:rsid w:val="00E95213"/>
    <w:rsid w:val="00E95565"/>
    <w:rsid w:val="00E95791"/>
    <w:rsid w:val="00E9582D"/>
    <w:rsid w:val="00E9591A"/>
    <w:rsid w:val="00E959B3"/>
    <w:rsid w:val="00E961B0"/>
    <w:rsid w:val="00E962CD"/>
    <w:rsid w:val="00E96818"/>
    <w:rsid w:val="00E96867"/>
    <w:rsid w:val="00E968BF"/>
    <w:rsid w:val="00E96A84"/>
    <w:rsid w:val="00E96D3E"/>
    <w:rsid w:val="00E96ED8"/>
    <w:rsid w:val="00E96F3B"/>
    <w:rsid w:val="00E96FF5"/>
    <w:rsid w:val="00E9713D"/>
    <w:rsid w:val="00E97582"/>
    <w:rsid w:val="00E97601"/>
    <w:rsid w:val="00E978F9"/>
    <w:rsid w:val="00E97E25"/>
    <w:rsid w:val="00E97E80"/>
    <w:rsid w:val="00EA00C5"/>
    <w:rsid w:val="00EA01AF"/>
    <w:rsid w:val="00EA01C2"/>
    <w:rsid w:val="00EA03EA"/>
    <w:rsid w:val="00EA0679"/>
    <w:rsid w:val="00EA07C7"/>
    <w:rsid w:val="00EA08C1"/>
    <w:rsid w:val="00EA08C2"/>
    <w:rsid w:val="00EA0E56"/>
    <w:rsid w:val="00EA0FDF"/>
    <w:rsid w:val="00EA10C0"/>
    <w:rsid w:val="00EA12C5"/>
    <w:rsid w:val="00EA13BD"/>
    <w:rsid w:val="00EA177F"/>
    <w:rsid w:val="00EA19A8"/>
    <w:rsid w:val="00EA1A0F"/>
    <w:rsid w:val="00EA1E8C"/>
    <w:rsid w:val="00EA2045"/>
    <w:rsid w:val="00EA25BD"/>
    <w:rsid w:val="00EA27DB"/>
    <w:rsid w:val="00EA2BF6"/>
    <w:rsid w:val="00EA320C"/>
    <w:rsid w:val="00EA32D4"/>
    <w:rsid w:val="00EA349B"/>
    <w:rsid w:val="00EA34F4"/>
    <w:rsid w:val="00EA3508"/>
    <w:rsid w:val="00EA3660"/>
    <w:rsid w:val="00EA378F"/>
    <w:rsid w:val="00EA37D8"/>
    <w:rsid w:val="00EA3959"/>
    <w:rsid w:val="00EA3A14"/>
    <w:rsid w:val="00EA3A2D"/>
    <w:rsid w:val="00EA3AA6"/>
    <w:rsid w:val="00EA3D58"/>
    <w:rsid w:val="00EA3D8A"/>
    <w:rsid w:val="00EA3F7F"/>
    <w:rsid w:val="00EA40E6"/>
    <w:rsid w:val="00EA42BB"/>
    <w:rsid w:val="00EA4457"/>
    <w:rsid w:val="00EA474A"/>
    <w:rsid w:val="00EA4A7A"/>
    <w:rsid w:val="00EA4C6F"/>
    <w:rsid w:val="00EA4CE7"/>
    <w:rsid w:val="00EA52F2"/>
    <w:rsid w:val="00EA5410"/>
    <w:rsid w:val="00EA56BB"/>
    <w:rsid w:val="00EA578E"/>
    <w:rsid w:val="00EA5804"/>
    <w:rsid w:val="00EA5898"/>
    <w:rsid w:val="00EA5A65"/>
    <w:rsid w:val="00EA5C46"/>
    <w:rsid w:val="00EA5CD3"/>
    <w:rsid w:val="00EA5DB1"/>
    <w:rsid w:val="00EA5E0B"/>
    <w:rsid w:val="00EA5F72"/>
    <w:rsid w:val="00EA608A"/>
    <w:rsid w:val="00EA6377"/>
    <w:rsid w:val="00EA6711"/>
    <w:rsid w:val="00EA6934"/>
    <w:rsid w:val="00EA6B53"/>
    <w:rsid w:val="00EA7147"/>
    <w:rsid w:val="00EA7249"/>
    <w:rsid w:val="00EA7430"/>
    <w:rsid w:val="00EA7593"/>
    <w:rsid w:val="00EA77CB"/>
    <w:rsid w:val="00EA7B44"/>
    <w:rsid w:val="00EB007C"/>
    <w:rsid w:val="00EB019F"/>
    <w:rsid w:val="00EB036E"/>
    <w:rsid w:val="00EB0535"/>
    <w:rsid w:val="00EB08EC"/>
    <w:rsid w:val="00EB0973"/>
    <w:rsid w:val="00EB0A52"/>
    <w:rsid w:val="00EB0B5D"/>
    <w:rsid w:val="00EB0B99"/>
    <w:rsid w:val="00EB0D34"/>
    <w:rsid w:val="00EB0DFC"/>
    <w:rsid w:val="00EB0FF2"/>
    <w:rsid w:val="00EB1171"/>
    <w:rsid w:val="00EB11D3"/>
    <w:rsid w:val="00EB1373"/>
    <w:rsid w:val="00EB1E2D"/>
    <w:rsid w:val="00EB2173"/>
    <w:rsid w:val="00EB218A"/>
    <w:rsid w:val="00EB2222"/>
    <w:rsid w:val="00EB232E"/>
    <w:rsid w:val="00EB2558"/>
    <w:rsid w:val="00EB2590"/>
    <w:rsid w:val="00EB26A9"/>
    <w:rsid w:val="00EB26D3"/>
    <w:rsid w:val="00EB294F"/>
    <w:rsid w:val="00EB2A3C"/>
    <w:rsid w:val="00EB2F78"/>
    <w:rsid w:val="00EB302E"/>
    <w:rsid w:val="00EB32B1"/>
    <w:rsid w:val="00EB359E"/>
    <w:rsid w:val="00EB3833"/>
    <w:rsid w:val="00EB38C1"/>
    <w:rsid w:val="00EB3AC2"/>
    <w:rsid w:val="00EB3CD9"/>
    <w:rsid w:val="00EB3D13"/>
    <w:rsid w:val="00EB3D82"/>
    <w:rsid w:val="00EB4017"/>
    <w:rsid w:val="00EB4511"/>
    <w:rsid w:val="00EB4536"/>
    <w:rsid w:val="00EB459B"/>
    <w:rsid w:val="00EB4768"/>
    <w:rsid w:val="00EB48FE"/>
    <w:rsid w:val="00EB4BC0"/>
    <w:rsid w:val="00EB4C3D"/>
    <w:rsid w:val="00EB4FE1"/>
    <w:rsid w:val="00EB500C"/>
    <w:rsid w:val="00EB50B7"/>
    <w:rsid w:val="00EB535B"/>
    <w:rsid w:val="00EB5362"/>
    <w:rsid w:val="00EB5558"/>
    <w:rsid w:val="00EB55D2"/>
    <w:rsid w:val="00EB5793"/>
    <w:rsid w:val="00EB5991"/>
    <w:rsid w:val="00EB5A90"/>
    <w:rsid w:val="00EB5C16"/>
    <w:rsid w:val="00EB5C2C"/>
    <w:rsid w:val="00EB5E37"/>
    <w:rsid w:val="00EB5F15"/>
    <w:rsid w:val="00EB60AE"/>
    <w:rsid w:val="00EB6130"/>
    <w:rsid w:val="00EB6238"/>
    <w:rsid w:val="00EB641C"/>
    <w:rsid w:val="00EB6431"/>
    <w:rsid w:val="00EB65C0"/>
    <w:rsid w:val="00EB66FF"/>
    <w:rsid w:val="00EB6748"/>
    <w:rsid w:val="00EB69C5"/>
    <w:rsid w:val="00EB6A00"/>
    <w:rsid w:val="00EB6AF5"/>
    <w:rsid w:val="00EB6BFD"/>
    <w:rsid w:val="00EB6CA8"/>
    <w:rsid w:val="00EB6CCB"/>
    <w:rsid w:val="00EB6D2D"/>
    <w:rsid w:val="00EB6D42"/>
    <w:rsid w:val="00EB6FD0"/>
    <w:rsid w:val="00EB7417"/>
    <w:rsid w:val="00EB7512"/>
    <w:rsid w:val="00EB7636"/>
    <w:rsid w:val="00EB7747"/>
    <w:rsid w:val="00EB79B5"/>
    <w:rsid w:val="00EB79E5"/>
    <w:rsid w:val="00EB7DAF"/>
    <w:rsid w:val="00EB7EDE"/>
    <w:rsid w:val="00EB7EF2"/>
    <w:rsid w:val="00EC00BF"/>
    <w:rsid w:val="00EC016D"/>
    <w:rsid w:val="00EC03AC"/>
    <w:rsid w:val="00EC0C90"/>
    <w:rsid w:val="00EC0E77"/>
    <w:rsid w:val="00EC0F98"/>
    <w:rsid w:val="00EC1382"/>
    <w:rsid w:val="00EC1462"/>
    <w:rsid w:val="00EC1651"/>
    <w:rsid w:val="00EC1921"/>
    <w:rsid w:val="00EC1A46"/>
    <w:rsid w:val="00EC1C17"/>
    <w:rsid w:val="00EC1C97"/>
    <w:rsid w:val="00EC1CAD"/>
    <w:rsid w:val="00EC1FB0"/>
    <w:rsid w:val="00EC223F"/>
    <w:rsid w:val="00EC23A9"/>
    <w:rsid w:val="00EC24B7"/>
    <w:rsid w:val="00EC2501"/>
    <w:rsid w:val="00EC2625"/>
    <w:rsid w:val="00EC2674"/>
    <w:rsid w:val="00EC27D0"/>
    <w:rsid w:val="00EC2D34"/>
    <w:rsid w:val="00EC2DDA"/>
    <w:rsid w:val="00EC317E"/>
    <w:rsid w:val="00EC3231"/>
    <w:rsid w:val="00EC32F6"/>
    <w:rsid w:val="00EC34AC"/>
    <w:rsid w:val="00EC35C6"/>
    <w:rsid w:val="00EC38D0"/>
    <w:rsid w:val="00EC39DB"/>
    <w:rsid w:val="00EC3A8F"/>
    <w:rsid w:val="00EC3ABF"/>
    <w:rsid w:val="00EC417B"/>
    <w:rsid w:val="00EC430C"/>
    <w:rsid w:val="00EC4608"/>
    <w:rsid w:val="00EC51FB"/>
    <w:rsid w:val="00EC5248"/>
    <w:rsid w:val="00EC52DF"/>
    <w:rsid w:val="00EC56E7"/>
    <w:rsid w:val="00EC570B"/>
    <w:rsid w:val="00EC5767"/>
    <w:rsid w:val="00EC5B96"/>
    <w:rsid w:val="00EC5D5F"/>
    <w:rsid w:val="00EC6308"/>
    <w:rsid w:val="00EC67C5"/>
    <w:rsid w:val="00EC67CE"/>
    <w:rsid w:val="00EC6895"/>
    <w:rsid w:val="00EC69BA"/>
    <w:rsid w:val="00EC69F7"/>
    <w:rsid w:val="00EC6A51"/>
    <w:rsid w:val="00EC6CC5"/>
    <w:rsid w:val="00EC6DA8"/>
    <w:rsid w:val="00EC6FFB"/>
    <w:rsid w:val="00EC7958"/>
    <w:rsid w:val="00EC7DC2"/>
    <w:rsid w:val="00ED000C"/>
    <w:rsid w:val="00ED049E"/>
    <w:rsid w:val="00ED04B7"/>
    <w:rsid w:val="00ED0533"/>
    <w:rsid w:val="00ED0568"/>
    <w:rsid w:val="00ED09F0"/>
    <w:rsid w:val="00ED0B67"/>
    <w:rsid w:val="00ED0BD5"/>
    <w:rsid w:val="00ED0C05"/>
    <w:rsid w:val="00ED0C1D"/>
    <w:rsid w:val="00ED0C86"/>
    <w:rsid w:val="00ED1045"/>
    <w:rsid w:val="00ED104A"/>
    <w:rsid w:val="00ED125F"/>
    <w:rsid w:val="00ED17F9"/>
    <w:rsid w:val="00ED1852"/>
    <w:rsid w:val="00ED1DE9"/>
    <w:rsid w:val="00ED1F75"/>
    <w:rsid w:val="00ED22F1"/>
    <w:rsid w:val="00ED233F"/>
    <w:rsid w:val="00ED2348"/>
    <w:rsid w:val="00ED2687"/>
    <w:rsid w:val="00ED270E"/>
    <w:rsid w:val="00ED281C"/>
    <w:rsid w:val="00ED28E8"/>
    <w:rsid w:val="00ED2D45"/>
    <w:rsid w:val="00ED2FCF"/>
    <w:rsid w:val="00ED2FE8"/>
    <w:rsid w:val="00ED3551"/>
    <w:rsid w:val="00ED3633"/>
    <w:rsid w:val="00ED3751"/>
    <w:rsid w:val="00ED3AA9"/>
    <w:rsid w:val="00ED3B0C"/>
    <w:rsid w:val="00ED3C6B"/>
    <w:rsid w:val="00ED3C7F"/>
    <w:rsid w:val="00ED401C"/>
    <w:rsid w:val="00ED4326"/>
    <w:rsid w:val="00ED4379"/>
    <w:rsid w:val="00ED469F"/>
    <w:rsid w:val="00ED4B05"/>
    <w:rsid w:val="00ED4CE1"/>
    <w:rsid w:val="00ED4CE2"/>
    <w:rsid w:val="00ED5371"/>
    <w:rsid w:val="00ED573F"/>
    <w:rsid w:val="00ED57CF"/>
    <w:rsid w:val="00ED5AA2"/>
    <w:rsid w:val="00ED5BEB"/>
    <w:rsid w:val="00ED5CC4"/>
    <w:rsid w:val="00ED5CCE"/>
    <w:rsid w:val="00ED5D9B"/>
    <w:rsid w:val="00ED6084"/>
    <w:rsid w:val="00ED63E4"/>
    <w:rsid w:val="00ED6577"/>
    <w:rsid w:val="00ED66E9"/>
    <w:rsid w:val="00ED6BC4"/>
    <w:rsid w:val="00ED6CA9"/>
    <w:rsid w:val="00ED6D7B"/>
    <w:rsid w:val="00ED6F8E"/>
    <w:rsid w:val="00ED70C7"/>
    <w:rsid w:val="00ED7169"/>
    <w:rsid w:val="00ED716E"/>
    <w:rsid w:val="00ED76A0"/>
    <w:rsid w:val="00ED7718"/>
    <w:rsid w:val="00ED7AAE"/>
    <w:rsid w:val="00ED7AC7"/>
    <w:rsid w:val="00ED7B6F"/>
    <w:rsid w:val="00ED7CF8"/>
    <w:rsid w:val="00ED7E48"/>
    <w:rsid w:val="00EE0033"/>
    <w:rsid w:val="00EE01B6"/>
    <w:rsid w:val="00EE03E2"/>
    <w:rsid w:val="00EE0494"/>
    <w:rsid w:val="00EE0555"/>
    <w:rsid w:val="00EE07F7"/>
    <w:rsid w:val="00EE08BB"/>
    <w:rsid w:val="00EE0A61"/>
    <w:rsid w:val="00EE0ABF"/>
    <w:rsid w:val="00EE0D94"/>
    <w:rsid w:val="00EE0DA6"/>
    <w:rsid w:val="00EE137B"/>
    <w:rsid w:val="00EE14BE"/>
    <w:rsid w:val="00EE1586"/>
    <w:rsid w:val="00EE158B"/>
    <w:rsid w:val="00EE186A"/>
    <w:rsid w:val="00EE18BD"/>
    <w:rsid w:val="00EE194E"/>
    <w:rsid w:val="00EE1B86"/>
    <w:rsid w:val="00EE1D03"/>
    <w:rsid w:val="00EE1D8E"/>
    <w:rsid w:val="00EE1DEE"/>
    <w:rsid w:val="00EE1F83"/>
    <w:rsid w:val="00EE219A"/>
    <w:rsid w:val="00EE2273"/>
    <w:rsid w:val="00EE23D9"/>
    <w:rsid w:val="00EE23FF"/>
    <w:rsid w:val="00EE249B"/>
    <w:rsid w:val="00EE25A1"/>
    <w:rsid w:val="00EE26BE"/>
    <w:rsid w:val="00EE276F"/>
    <w:rsid w:val="00EE286C"/>
    <w:rsid w:val="00EE2B52"/>
    <w:rsid w:val="00EE2C97"/>
    <w:rsid w:val="00EE3054"/>
    <w:rsid w:val="00EE3097"/>
    <w:rsid w:val="00EE3352"/>
    <w:rsid w:val="00EE366C"/>
    <w:rsid w:val="00EE3A37"/>
    <w:rsid w:val="00EE3BBE"/>
    <w:rsid w:val="00EE3ED5"/>
    <w:rsid w:val="00EE3F72"/>
    <w:rsid w:val="00EE4183"/>
    <w:rsid w:val="00EE424D"/>
    <w:rsid w:val="00EE428E"/>
    <w:rsid w:val="00EE4553"/>
    <w:rsid w:val="00EE49B2"/>
    <w:rsid w:val="00EE4BFC"/>
    <w:rsid w:val="00EE4C01"/>
    <w:rsid w:val="00EE4E14"/>
    <w:rsid w:val="00EE4ECB"/>
    <w:rsid w:val="00EE5021"/>
    <w:rsid w:val="00EE5A71"/>
    <w:rsid w:val="00EE5AF9"/>
    <w:rsid w:val="00EE5B94"/>
    <w:rsid w:val="00EE5C21"/>
    <w:rsid w:val="00EE6493"/>
    <w:rsid w:val="00EE6689"/>
    <w:rsid w:val="00EE66D5"/>
    <w:rsid w:val="00EE66FB"/>
    <w:rsid w:val="00EE6727"/>
    <w:rsid w:val="00EE6844"/>
    <w:rsid w:val="00EE6899"/>
    <w:rsid w:val="00EE6A35"/>
    <w:rsid w:val="00EE6F48"/>
    <w:rsid w:val="00EE7025"/>
    <w:rsid w:val="00EE7170"/>
    <w:rsid w:val="00EE7269"/>
    <w:rsid w:val="00EE75D9"/>
    <w:rsid w:val="00EE767A"/>
    <w:rsid w:val="00EE7816"/>
    <w:rsid w:val="00EE790D"/>
    <w:rsid w:val="00EE7AD4"/>
    <w:rsid w:val="00EE7C83"/>
    <w:rsid w:val="00EE7D6D"/>
    <w:rsid w:val="00EF0070"/>
    <w:rsid w:val="00EF025C"/>
    <w:rsid w:val="00EF037C"/>
    <w:rsid w:val="00EF03C1"/>
    <w:rsid w:val="00EF0629"/>
    <w:rsid w:val="00EF06AF"/>
    <w:rsid w:val="00EF0770"/>
    <w:rsid w:val="00EF09C9"/>
    <w:rsid w:val="00EF0A26"/>
    <w:rsid w:val="00EF0AA0"/>
    <w:rsid w:val="00EF0E2E"/>
    <w:rsid w:val="00EF1035"/>
    <w:rsid w:val="00EF108C"/>
    <w:rsid w:val="00EF111F"/>
    <w:rsid w:val="00EF1238"/>
    <w:rsid w:val="00EF13C8"/>
    <w:rsid w:val="00EF18A3"/>
    <w:rsid w:val="00EF1A4D"/>
    <w:rsid w:val="00EF1B3F"/>
    <w:rsid w:val="00EF1B50"/>
    <w:rsid w:val="00EF1C85"/>
    <w:rsid w:val="00EF1F5E"/>
    <w:rsid w:val="00EF1FA2"/>
    <w:rsid w:val="00EF2164"/>
    <w:rsid w:val="00EF2382"/>
    <w:rsid w:val="00EF2437"/>
    <w:rsid w:val="00EF254B"/>
    <w:rsid w:val="00EF2585"/>
    <w:rsid w:val="00EF29A2"/>
    <w:rsid w:val="00EF29C5"/>
    <w:rsid w:val="00EF2A52"/>
    <w:rsid w:val="00EF2B2D"/>
    <w:rsid w:val="00EF2BDD"/>
    <w:rsid w:val="00EF2C48"/>
    <w:rsid w:val="00EF2D08"/>
    <w:rsid w:val="00EF2D1B"/>
    <w:rsid w:val="00EF2EAD"/>
    <w:rsid w:val="00EF2F15"/>
    <w:rsid w:val="00EF2F3D"/>
    <w:rsid w:val="00EF301E"/>
    <w:rsid w:val="00EF3365"/>
    <w:rsid w:val="00EF361F"/>
    <w:rsid w:val="00EF3977"/>
    <w:rsid w:val="00EF3B7A"/>
    <w:rsid w:val="00EF4030"/>
    <w:rsid w:val="00EF4266"/>
    <w:rsid w:val="00EF4278"/>
    <w:rsid w:val="00EF48A8"/>
    <w:rsid w:val="00EF4E0F"/>
    <w:rsid w:val="00EF4E4A"/>
    <w:rsid w:val="00EF50E4"/>
    <w:rsid w:val="00EF5166"/>
    <w:rsid w:val="00EF51A2"/>
    <w:rsid w:val="00EF51C8"/>
    <w:rsid w:val="00EF5959"/>
    <w:rsid w:val="00EF5A47"/>
    <w:rsid w:val="00EF5A4B"/>
    <w:rsid w:val="00EF5AC0"/>
    <w:rsid w:val="00EF5B67"/>
    <w:rsid w:val="00EF5CEB"/>
    <w:rsid w:val="00EF6067"/>
    <w:rsid w:val="00EF639E"/>
    <w:rsid w:val="00EF6573"/>
    <w:rsid w:val="00EF68A7"/>
    <w:rsid w:val="00EF68DA"/>
    <w:rsid w:val="00EF6982"/>
    <w:rsid w:val="00EF6AE8"/>
    <w:rsid w:val="00EF6D8D"/>
    <w:rsid w:val="00EF72F8"/>
    <w:rsid w:val="00EF7418"/>
    <w:rsid w:val="00EF745B"/>
    <w:rsid w:val="00EF75EC"/>
    <w:rsid w:val="00EF764E"/>
    <w:rsid w:val="00EF7943"/>
    <w:rsid w:val="00EF7A12"/>
    <w:rsid w:val="00EF7B80"/>
    <w:rsid w:val="00EF7C5F"/>
    <w:rsid w:val="00EF7C62"/>
    <w:rsid w:val="00EF7FD0"/>
    <w:rsid w:val="00F0027A"/>
    <w:rsid w:val="00F002DA"/>
    <w:rsid w:val="00F0031D"/>
    <w:rsid w:val="00F0035B"/>
    <w:rsid w:val="00F003C4"/>
    <w:rsid w:val="00F005D8"/>
    <w:rsid w:val="00F0060B"/>
    <w:rsid w:val="00F00778"/>
    <w:rsid w:val="00F00A81"/>
    <w:rsid w:val="00F00B63"/>
    <w:rsid w:val="00F00DCA"/>
    <w:rsid w:val="00F011BB"/>
    <w:rsid w:val="00F013D7"/>
    <w:rsid w:val="00F01D2A"/>
    <w:rsid w:val="00F01FEF"/>
    <w:rsid w:val="00F0214B"/>
    <w:rsid w:val="00F0218F"/>
    <w:rsid w:val="00F02272"/>
    <w:rsid w:val="00F022BB"/>
    <w:rsid w:val="00F022C8"/>
    <w:rsid w:val="00F023ED"/>
    <w:rsid w:val="00F02625"/>
    <w:rsid w:val="00F02642"/>
    <w:rsid w:val="00F02745"/>
    <w:rsid w:val="00F02771"/>
    <w:rsid w:val="00F0295C"/>
    <w:rsid w:val="00F02C82"/>
    <w:rsid w:val="00F02CB3"/>
    <w:rsid w:val="00F02D7C"/>
    <w:rsid w:val="00F032A4"/>
    <w:rsid w:val="00F034BA"/>
    <w:rsid w:val="00F035B5"/>
    <w:rsid w:val="00F036CE"/>
    <w:rsid w:val="00F0372B"/>
    <w:rsid w:val="00F03AAD"/>
    <w:rsid w:val="00F043CB"/>
    <w:rsid w:val="00F0440E"/>
    <w:rsid w:val="00F045D3"/>
    <w:rsid w:val="00F04A5A"/>
    <w:rsid w:val="00F04C91"/>
    <w:rsid w:val="00F04E92"/>
    <w:rsid w:val="00F050AB"/>
    <w:rsid w:val="00F050B1"/>
    <w:rsid w:val="00F0512C"/>
    <w:rsid w:val="00F05747"/>
    <w:rsid w:val="00F05778"/>
    <w:rsid w:val="00F05A88"/>
    <w:rsid w:val="00F05D2E"/>
    <w:rsid w:val="00F05FB3"/>
    <w:rsid w:val="00F06494"/>
    <w:rsid w:val="00F0673F"/>
    <w:rsid w:val="00F06AD7"/>
    <w:rsid w:val="00F06B11"/>
    <w:rsid w:val="00F0721A"/>
    <w:rsid w:val="00F0725A"/>
    <w:rsid w:val="00F0750C"/>
    <w:rsid w:val="00F075C0"/>
    <w:rsid w:val="00F0778D"/>
    <w:rsid w:val="00F079BF"/>
    <w:rsid w:val="00F07AAE"/>
    <w:rsid w:val="00F07AD0"/>
    <w:rsid w:val="00F07AF2"/>
    <w:rsid w:val="00F07B2B"/>
    <w:rsid w:val="00F07CCF"/>
    <w:rsid w:val="00F07D9C"/>
    <w:rsid w:val="00F07DA7"/>
    <w:rsid w:val="00F07ECE"/>
    <w:rsid w:val="00F100E6"/>
    <w:rsid w:val="00F10228"/>
    <w:rsid w:val="00F105C9"/>
    <w:rsid w:val="00F106CC"/>
    <w:rsid w:val="00F10716"/>
    <w:rsid w:val="00F10784"/>
    <w:rsid w:val="00F10807"/>
    <w:rsid w:val="00F1088E"/>
    <w:rsid w:val="00F10C0C"/>
    <w:rsid w:val="00F10D11"/>
    <w:rsid w:val="00F10EAD"/>
    <w:rsid w:val="00F10F58"/>
    <w:rsid w:val="00F10FCE"/>
    <w:rsid w:val="00F110FF"/>
    <w:rsid w:val="00F11840"/>
    <w:rsid w:val="00F118F4"/>
    <w:rsid w:val="00F11C08"/>
    <w:rsid w:val="00F11FE6"/>
    <w:rsid w:val="00F1266A"/>
    <w:rsid w:val="00F1268A"/>
    <w:rsid w:val="00F126E6"/>
    <w:rsid w:val="00F12711"/>
    <w:rsid w:val="00F127FA"/>
    <w:rsid w:val="00F12854"/>
    <w:rsid w:val="00F1299A"/>
    <w:rsid w:val="00F129E7"/>
    <w:rsid w:val="00F12D0B"/>
    <w:rsid w:val="00F12FC1"/>
    <w:rsid w:val="00F133D0"/>
    <w:rsid w:val="00F134A0"/>
    <w:rsid w:val="00F1362E"/>
    <w:rsid w:val="00F136AF"/>
    <w:rsid w:val="00F136DF"/>
    <w:rsid w:val="00F1372B"/>
    <w:rsid w:val="00F137AB"/>
    <w:rsid w:val="00F13984"/>
    <w:rsid w:val="00F13A1B"/>
    <w:rsid w:val="00F14036"/>
    <w:rsid w:val="00F141E8"/>
    <w:rsid w:val="00F141E9"/>
    <w:rsid w:val="00F143AC"/>
    <w:rsid w:val="00F14544"/>
    <w:rsid w:val="00F1455C"/>
    <w:rsid w:val="00F1459A"/>
    <w:rsid w:val="00F1496C"/>
    <w:rsid w:val="00F14C7C"/>
    <w:rsid w:val="00F14C98"/>
    <w:rsid w:val="00F14D26"/>
    <w:rsid w:val="00F14F71"/>
    <w:rsid w:val="00F1548F"/>
    <w:rsid w:val="00F15541"/>
    <w:rsid w:val="00F15756"/>
    <w:rsid w:val="00F15757"/>
    <w:rsid w:val="00F15F27"/>
    <w:rsid w:val="00F15F55"/>
    <w:rsid w:val="00F15F84"/>
    <w:rsid w:val="00F15FC8"/>
    <w:rsid w:val="00F16026"/>
    <w:rsid w:val="00F16489"/>
    <w:rsid w:val="00F164C7"/>
    <w:rsid w:val="00F1658A"/>
    <w:rsid w:val="00F16643"/>
    <w:rsid w:val="00F167F2"/>
    <w:rsid w:val="00F16DC6"/>
    <w:rsid w:val="00F16E2F"/>
    <w:rsid w:val="00F16EB7"/>
    <w:rsid w:val="00F170A7"/>
    <w:rsid w:val="00F170BE"/>
    <w:rsid w:val="00F17236"/>
    <w:rsid w:val="00F173C9"/>
    <w:rsid w:val="00F17459"/>
    <w:rsid w:val="00F17625"/>
    <w:rsid w:val="00F1763B"/>
    <w:rsid w:val="00F17650"/>
    <w:rsid w:val="00F17849"/>
    <w:rsid w:val="00F17C68"/>
    <w:rsid w:val="00F20297"/>
    <w:rsid w:val="00F20420"/>
    <w:rsid w:val="00F20446"/>
    <w:rsid w:val="00F204DE"/>
    <w:rsid w:val="00F2053E"/>
    <w:rsid w:val="00F207D3"/>
    <w:rsid w:val="00F20907"/>
    <w:rsid w:val="00F20942"/>
    <w:rsid w:val="00F20AB0"/>
    <w:rsid w:val="00F20B7E"/>
    <w:rsid w:val="00F20C00"/>
    <w:rsid w:val="00F20CC2"/>
    <w:rsid w:val="00F212AC"/>
    <w:rsid w:val="00F21B09"/>
    <w:rsid w:val="00F21ED9"/>
    <w:rsid w:val="00F21F4E"/>
    <w:rsid w:val="00F220D5"/>
    <w:rsid w:val="00F2231E"/>
    <w:rsid w:val="00F2232C"/>
    <w:rsid w:val="00F2245C"/>
    <w:rsid w:val="00F22621"/>
    <w:rsid w:val="00F22697"/>
    <w:rsid w:val="00F22744"/>
    <w:rsid w:val="00F22A2E"/>
    <w:rsid w:val="00F22B9A"/>
    <w:rsid w:val="00F22CDC"/>
    <w:rsid w:val="00F230D7"/>
    <w:rsid w:val="00F2313F"/>
    <w:rsid w:val="00F2330C"/>
    <w:rsid w:val="00F23446"/>
    <w:rsid w:val="00F2359C"/>
    <w:rsid w:val="00F23707"/>
    <w:rsid w:val="00F23945"/>
    <w:rsid w:val="00F24053"/>
    <w:rsid w:val="00F241C1"/>
    <w:rsid w:val="00F241CA"/>
    <w:rsid w:val="00F2436B"/>
    <w:rsid w:val="00F24498"/>
    <w:rsid w:val="00F24535"/>
    <w:rsid w:val="00F24A4C"/>
    <w:rsid w:val="00F24C36"/>
    <w:rsid w:val="00F24CE4"/>
    <w:rsid w:val="00F24ED7"/>
    <w:rsid w:val="00F24F9B"/>
    <w:rsid w:val="00F25191"/>
    <w:rsid w:val="00F252D1"/>
    <w:rsid w:val="00F25415"/>
    <w:rsid w:val="00F2551D"/>
    <w:rsid w:val="00F25616"/>
    <w:rsid w:val="00F256A2"/>
    <w:rsid w:val="00F25788"/>
    <w:rsid w:val="00F25A62"/>
    <w:rsid w:val="00F25DAE"/>
    <w:rsid w:val="00F263CA"/>
    <w:rsid w:val="00F26597"/>
    <w:rsid w:val="00F267DE"/>
    <w:rsid w:val="00F269A2"/>
    <w:rsid w:val="00F26C6C"/>
    <w:rsid w:val="00F26E0C"/>
    <w:rsid w:val="00F2705C"/>
    <w:rsid w:val="00F27112"/>
    <w:rsid w:val="00F27507"/>
    <w:rsid w:val="00F278C4"/>
    <w:rsid w:val="00F27E96"/>
    <w:rsid w:val="00F27EF3"/>
    <w:rsid w:val="00F27F77"/>
    <w:rsid w:val="00F302E8"/>
    <w:rsid w:val="00F305F5"/>
    <w:rsid w:val="00F307B1"/>
    <w:rsid w:val="00F307CE"/>
    <w:rsid w:val="00F30B8D"/>
    <w:rsid w:val="00F30C1F"/>
    <w:rsid w:val="00F30C76"/>
    <w:rsid w:val="00F30DA0"/>
    <w:rsid w:val="00F30F4A"/>
    <w:rsid w:val="00F30F70"/>
    <w:rsid w:val="00F31150"/>
    <w:rsid w:val="00F3119E"/>
    <w:rsid w:val="00F312EF"/>
    <w:rsid w:val="00F31488"/>
    <w:rsid w:val="00F31577"/>
    <w:rsid w:val="00F316D5"/>
    <w:rsid w:val="00F31774"/>
    <w:rsid w:val="00F3189D"/>
    <w:rsid w:val="00F31C1E"/>
    <w:rsid w:val="00F31F86"/>
    <w:rsid w:val="00F32236"/>
    <w:rsid w:val="00F3235C"/>
    <w:rsid w:val="00F32401"/>
    <w:rsid w:val="00F32668"/>
    <w:rsid w:val="00F3280F"/>
    <w:rsid w:val="00F3282C"/>
    <w:rsid w:val="00F329E0"/>
    <w:rsid w:val="00F329E3"/>
    <w:rsid w:val="00F32C4E"/>
    <w:rsid w:val="00F32EAF"/>
    <w:rsid w:val="00F33073"/>
    <w:rsid w:val="00F33261"/>
    <w:rsid w:val="00F33324"/>
    <w:rsid w:val="00F335E2"/>
    <w:rsid w:val="00F3367B"/>
    <w:rsid w:val="00F336E6"/>
    <w:rsid w:val="00F33DF5"/>
    <w:rsid w:val="00F33E31"/>
    <w:rsid w:val="00F33F5D"/>
    <w:rsid w:val="00F341E2"/>
    <w:rsid w:val="00F342E6"/>
    <w:rsid w:val="00F34353"/>
    <w:rsid w:val="00F34362"/>
    <w:rsid w:val="00F3460A"/>
    <w:rsid w:val="00F3467C"/>
    <w:rsid w:val="00F346D4"/>
    <w:rsid w:val="00F3472F"/>
    <w:rsid w:val="00F34890"/>
    <w:rsid w:val="00F34AAD"/>
    <w:rsid w:val="00F34BBB"/>
    <w:rsid w:val="00F34C4C"/>
    <w:rsid w:val="00F34C83"/>
    <w:rsid w:val="00F3505C"/>
    <w:rsid w:val="00F350D2"/>
    <w:rsid w:val="00F355B7"/>
    <w:rsid w:val="00F3568D"/>
    <w:rsid w:val="00F35884"/>
    <w:rsid w:val="00F35910"/>
    <w:rsid w:val="00F35922"/>
    <w:rsid w:val="00F35A41"/>
    <w:rsid w:val="00F35C8F"/>
    <w:rsid w:val="00F35E77"/>
    <w:rsid w:val="00F36860"/>
    <w:rsid w:val="00F36AF5"/>
    <w:rsid w:val="00F36B59"/>
    <w:rsid w:val="00F36BCA"/>
    <w:rsid w:val="00F36C7D"/>
    <w:rsid w:val="00F36DD0"/>
    <w:rsid w:val="00F373F0"/>
    <w:rsid w:val="00F3789C"/>
    <w:rsid w:val="00F379AD"/>
    <w:rsid w:val="00F37B22"/>
    <w:rsid w:val="00F37CA7"/>
    <w:rsid w:val="00F37EA2"/>
    <w:rsid w:val="00F4002D"/>
    <w:rsid w:val="00F40663"/>
    <w:rsid w:val="00F40696"/>
    <w:rsid w:val="00F40ACE"/>
    <w:rsid w:val="00F40F0D"/>
    <w:rsid w:val="00F4109D"/>
    <w:rsid w:val="00F41117"/>
    <w:rsid w:val="00F4120A"/>
    <w:rsid w:val="00F41290"/>
    <w:rsid w:val="00F412CC"/>
    <w:rsid w:val="00F412FB"/>
    <w:rsid w:val="00F4146F"/>
    <w:rsid w:val="00F415C1"/>
    <w:rsid w:val="00F416BC"/>
    <w:rsid w:val="00F41A91"/>
    <w:rsid w:val="00F41CA8"/>
    <w:rsid w:val="00F41E57"/>
    <w:rsid w:val="00F41E5E"/>
    <w:rsid w:val="00F41FB4"/>
    <w:rsid w:val="00F42200"/>
    <w:rsid w:val="00F423F5"/>
    <w:rsid w:val="00F4242E"/>
    <w:rsid w:val="00F42597"/>
    <w:rsid w:val="00F4277D"/>
    <w:rsid w:val="00F428BB"/>
    <w:rsid w:val="00F42D83"/>
    <w:rsid w:val="00F42F8C"/>
    <w:rsid w:val="00F42FA5"/>
    <w:rsid w:val="00F430FC"/>
    <w:rsid w:val="00F43119"/>
    <w:rsid w:val="00F4324D"/>
    <w:rsid w:val="00F43349"/>
    <w:rsid w:val="00F4335A"/>
    <w:rsid w:val="00F433C8"/>
    <w:rsid w:val="00F43468"/>
    <w:rsid w:val="00F434BD"/>
    <w:rsid w:val="00F4350D"/>
    <w:rsid w:val="00F43752"/>
    <w:rsid w:val="00F43A1D"/>
    <w:rsid w:val="00F43C68"/>
    <w:rsid w:val="00F44086"/>
    <w:rsid w:val="00F44876"/>
    <w:rsid w:val="00F4490B"/>
    <w:rsid w:val="00F44C21"/>
    <w:rsid w:val="00F44EE1"/>
    <w:rsid w:val="00F44EFF"/>
    <w:rsid w:val="00F44F4F"/>
    <w:rsid w:val="00F45121"/>
    <w:rsid w:val="00F451CA"/>
    <w:rsid w:val="00F456D4"/>
    <w:rsid w:val="00F4580F"/>
    <w:rsid w:val="00F45810"/>
    <w:rsid w:val="00F458AC"/>
    <w:rsid w:val="00F458C0"/>
    <w:rsid w:val="00F459C1"/>
    <w:rsid w:val="00F45CF6"/>
    <w:rsid w:val="00F45E4D"/>
    <w:rsid w:val="00F45E69"/>
    <w:rsid w:val="00F461F3"/>
    <w:rsid w:val="00F462F7"/>
    <w:rsid w:val="00F46D30"/>
    <w:rsid w:val="00F46E82"/>
    <w:rsid w:val="00F47121"/>
    <w:rsid w:val="00F477DC"/>
    <w:rsid w:val="00F47972"/>
    <w:rsid w:val="00F47B1F"/>
    <w:rsid w:val="00F47B9E"/>
    <w:rsid w:val="00F47EF5"/>
    <w:rsid w:val="00F47FBC"/>
    <w:rsid w:val="00F506A9"/>
    <w:rsid w:val="00F5089A"/>
    <w:rsid w:val="00F508AB"/>
    <w:rsid w:val="00F50CC8"/>
    <w:rsid w:val="00F50D0C"/>
    <w:rsid w:val="00F50F2F"/>
    <w:rsid w:val="00F50FB5"/>
    <w:rsid w:val="00F511EF"/>
    <w:rsid w:val="00F5128F"/>
    <w:rsid w:val="00F514A2"/>
    <w:rsid w:val="00F514D6"/>
    <w:rsid w:val="00F51736"/>
    <w:rsid w:val="00F51997"/>
    <w:rsid w:val="00F51BF0"/>
    <w:rsid w:val="00F51CA4"/>
    <w:rsid w:val="00F51E49"/>
    <w:rsid w:val="00F51E51"/>
    <w:rsid w:val="00F51F7A"/>
    <w:rsid w:val="00F51FFC"/>
    <w:rsid w:val="00F520F4"/>
    <w:rsid w:val="00F521B5"/>
    <w:rsid w:val="00F522F7"/>
    <w:rsid w:val="00F5240D"/>
    <w:rsid w:val="00F52421"/>
    <w:rsid w:val="00F52BA8"/>
    <w:rsid w:val="00F52CC6"/>
    <w:rsid w:val="00F52D94"/>
    <w:rsid w:val="00F52FD3"/>
    <w:rsid w:val="00F52FD4"/>
    <w:rsid w:val="00F531CD"/>
    <w:rsid w:val="00F5343A"/>
    <w:rsid w:val="00F5368D"/>
    <w:rsid w:val="00F5373B"/>
    <w:rsid w:val="00F53792"/>
    <w:rsid w:val="00F53887"/>
    <w:rsid w:val="00F53D14"/>
    <w:rsid w:val="00F53F62"/>
    <w:rsid w:val="00F53F78"/>
    <w:rsid w:val="00F5440A"/>
    <w:rsid w:val="00F544E1"/>
    <w:rsid w:val="00F5467B"/>
    <w:rsid w:val="00F54691"/>
    <w:rsid w:val="00F546A4"/>
    <w:rsid w:val="00F546F5"/>
    <w:rsid w:val="00F54775"/>
    <w:rsid w:val="00F5482F"/>
    <w:rsid w:val="00F5484C"/>
    <w:rsid w:val="00F54B82"/>
    <w:rsid w:val="00F5523B"/>
    <w:rsid w:val="00F554B6"/>
    <w:rsid w:val="00F557BE"/>
    <w:rsid w:val="00F5593F"/>
    <w:rsid w:val="00F559E1"/>
    <w:rsid w:val="00F55AE9"/>
    <w:rsid w:val="00F55CA0"/>
    <w:rsid w:val="00F55DBF"/>
    <w:rsid w:val="00F55DCD"/>
    <w:rsid w:val="00F55F52"/>
    <w:rsid w:val="00F56181"/>
    <w:rsid w:val="00F5624F"/>
    <w:rsid w:val="00F562F2"/>
    <w:rsid w:val="00F56312"/>
    <w:rsid w:val="00F56610"/>
    <w:rsid w:val="00F566EF"/>
    <w:rsid w:val="00F567F1"/>
    <w:rsid w:val="00F569D8"/>
    <w:rsid w:val="00F56A0B"/>
    <w:rsid w:val="00F56ACB"/>
    <w:rsid w:val="00F56CF5"/>
    <w:rsid w:val="00F57188"/>
    <w:rsid w:val="00F572B0"/>
    <w:rsid w:val="00F572EA"/>
    <w:rsid w:val="00F574AC"/>
    <w:rsid w:val="00F574FD"/>
    <w:rsid w:val="00F5774B"/>
    <w:rsid w:val="00F57751"/>
    <w:rsid w:val="00F57975"/>
    <w:rsid w:val="00F57B15"/>
    <w:rsid w:val="00F57B5D"/>
    <w:rsid w:val="00F57B93"/>
    <w:rsid w:val="00F57C80"/>
    <w:rsid w:val="00F57CED"/>
    <w:rsid w:val="00F57D19"/>
    <w:rsid w:val="00F57D25"/>
    <w:rsid w:val="00F57E04"/>
    <w:rsid w:val="00F57E34"/>
    <w:rsid w:val="00F57FA2"/>
    <w:rsid w:val="00F604A0"/>
    <w:rsid w:val="00F605F7"/>
    <w:rsid w:val="00F60643"/>
    <w:rsid w:val="00F60646"/>
    <w:rsid w:val="00F60762"/>
    <w:rsid w:val="00F60A56"/>
    <w:rsid w:val="00F60CEA"/>
    <w:rsid w:val="00F60E77"/>
    <w:rsid w:val="00F60EA4"/>
    <w:rsid w:val="00F60EF7"/>
    <w:rsid w:val="00F61149"/>
    <w:rsid w:val="00F612AD"/>
    <w:rsid w:val="00F614C8"/>
    <w:rsid w:val="00F616B8"/>
    <w:rsid w:val="00F619CA"/>
    <w:rsid w:val="00F61D01"/>
    <w:rsid w:val="00F61FD9"/>
    <w:rsid w:val="00F620A7"/>
    <w:rsid w:val="00F62322"/>
    <w:rsid w:val="00F624A9"/>
    <w:rsid w:val="00F6273A"/>
    <w:rsid w:val="00F6288A"/>
    <w:rsid w:val="00F62A60"/>
    <w:rsid w:val="00F62C0D"/>
    <w:rsid w:val="00F631FB"/>
    <w:rsid w:val="00F63550"/>
    <w:rsid w:val="00F636EC"/>
    <w:rsid w:val="00F63ABB"/>
    <w:rsid w:val="00F63B2E"/>
    <w:rsid w:val="00F63DCB"/>
    <w:rsid w:val="00F63DE8"/>
    <w:rsid w:val="00F63FF7"/>
    <w:rsid w:val="00F6446B"/>
    <w:rsid w:val="00F64625"/>
    <w:rsid w:val="00F64659"/>
    <w:rsid w:val="00F64742"/>
    <w:rsid w:val="00F64811"/>
    <w:rsid w:val="00F649F4"/>
    <w:rsid w:val="00F64C1C"/>
    <w:rsid w:val="00F64C8F"/>
    <w:rsid w:val="00F64CD3"/>
    <w:rsid w:val="00F64D44"/>
    <w:rsid w:val="00F64E9C"/>
    <w:rsid w:val="00F65396"/>
    <w:rsid w:val="00F653F5"/>
    <w:rsid w:val="00F654B4"/>
    <w:rsid w:val="00F65650"/>
    <w:rsid w:val="00F65873"/>
    <w:rsid w:val="00F65DBA"/>
    <w:rsid w:val="00F66112"/>
    <w:rsid w:val="00F6641A"/>
    <w:rsid w:val="00F66918"/>
    <w:rsid w:val="00F66A68"/>
    <w:rsid w:val="00F66DEA"/>
    <w:rsid w:val="00F66EAA"/>
    <w:rsid w:val="00F66F78"/>
    <w:rsid w:val="00F67059"/>
    <w:rsid w:val="00F670EA"/>
    <w:rsid w:val="00F67440"/>
    <w:rsid w:val="00F6755C"/>
    <w:rsid w:val="00F67691"/>
    <w:rsid w:val="00F67A45"/>
    <w:rsid w:val="00F67AA4"/>
    <w:rsid w:val="00F67CA3"/>
    <w:rsid w:val="00F67F8B"/>
    <w:rsid w:val="00F7004F"/>
    <w:rsid w:val="00F700A5"/>
    <w:rsid w:val="00F7065F"/>
    <w:rsid w:val="00F706DD"/>
    <w:rsid w:val="00F7074E"/>
    <w:rsid w:val="00F709A2"/>
    <w:rsid w:val="00F70AA0"/>
    <w:rsid w:val="00F70B23"/>
    <w:rsid w:val="00F70B6D"/>
    <w:rsid w:val="00F70B8D"/>
    <w:rsid w:val="00F70CF9"/>
    <w:rsid w:val="00F70F4F"/>
    <w:rsid w:val="00F710C8"/>
    <w:rsid w:val="00F712EE"/>
    <w:rsid w:val="00F7159B"/>
    <w:rsid w:val="00F715EF"/>
    <w:rsid w:val="00F717F5"/>
    <w:rsid w:val="00F71A95"/>
    <w:rsid w:val="00F71B52"/>
    <w:rsid w:val="00F71EF8"/>
    <w:rsid w:val="00F71F19"/>
    <w:rsid w:val="00F72181"/>
    <w:rsid w:val="00F7225C"/>
    <w:rsid w:val="00F72343"/>
    <w:rsid w:val="00F72360"/>
    <w:rsid w:val="00F726D5"/>
    <w:rsid w:val="00F7279D"/>
    <w:rsid w:val="00F72900"/>
    <w:rsid w:val="00F72AAF"/>
    <w:rsid w:val="00F731BD"/>
    <w:rsid w:val="00F73464"/>
    <w:rsid w:val="00F73AD2"/>
    <w:rsid w:val="00F73B2C"/>
    <w:rsid w:val="00F74193"/>
    <w:rsid w:val="00F74288"/>
    <w:rsid w:val="00F746F3"/>
    <w:rsid w:val="00F74DD9"/>
    <w:rsid w:val="00F74EB2"/>
    <w:rsid w:val="00F74FA8"/>
    <w:rsid w:val="00F750EC"/>
    <w:rsid w:val="00F75281"/>
    <w:rsid w:val="00F754AD"/>
    <w:rsid w:val="00F7564E"/>
    <w:rsid w:val="00F756C1"/>
    <w:rsid w:val="00F75737"/>
    <w:rsid w:val="00F7594A"/>
    <w:rsid w:val="00F75AEC"/>
    <w:rsid w:val="00F75B3C"/>
    <w:rsid w:val="00F75B8F"/>
    <w:rsid w:val="00F75BC7"/>
    <w:rsid w:val="00F75DF1"/>
    <w:rsid w:val="00F75F20"/>
    <w:rsid w:val="00F76016"/>
    <w:rsid w:val="00F76380"/>
    <w:rsid w:val="00F764C2"/>
    <w:rsid w:val="00F76783"/>
    <w:rsid w:val="00F76B75"/>
    <w:rsid w:val="00F76B9C"/>
    <w:rsid w:val="00F76D64"/>
    <w:rsid w:val="00F76E23"/>
    <w:rsid w:val="00F76F35"/>
    <w:rsid w:val="00F7730F"/>
    <w:rsid w:val="00F7750F"/>
    <w:rsid w:val="00F775ED"/>
    <w:rsid w:val="00F77B76"/>
    <w:rsid w:val="00F77C51"/>
    <w:rsid w:val="00F77F0A"/>
    <w:rsid w:val="00F8045E"/>
    <w:rsid w:val="00F8075A"/>
    <w:rsid w:val="00F80841"/>
    <w:rsid w:val="00F8088F"/>
    <w:rsid w:val="00F809C0"/>
    <w:rsid w:val="00F80B5D"/>
    <w:rsid w:val="00F80B70"/>
    <w:rsid w:val="00F80EA7"/>
    <w:rsid w:val="00F80FDD"/>
    <w:rsid w:val="00F8104E"/>
    <w:rsid w:val="00F81105"/>
    <w:rsid w:val="00F8139B"/>
    <w:rsid w:val="00F814E7"/>
    <w:rsid w:val="00F81697"/>
    <w:rsid w:val="00F817CC"/>
    <w:rsid w:val="00F818B4"/>
    <w:rsid w:val="00F81B69"/>
    <w:rsid w:val="00F81C89"/>
    <w:rsid w:val="00F81CD8"/>
    <w:rsid w:val="00F81CEF"/>
    <w:rsid w:val="00F82034"/>
    <w:rsid w:val="00F8204A"/>
    <w:rsid w:val="00F821AB"/>
    <w:rsid w:val="00F8244A"/>
    <w:rsid w:val="00F82716"/>
    <w:rsid w:val="00F82934"/>
    <w:rsid w:val="00F83023"/>
    <w:rsid w:val="00F8325D"/>
    <w:rsid w:val="00F83318"/>
    <w:rsid w:val="00F83540"/>
    <w:rsid w:val="00F835AC"/>
    <w:rsid w:val="00F835FB"/>
    <w:rsid w:val="00F839A5"/>
    <w:rsid w:val="00F83A48"/>
    <w:rsid w:val="00F83A70"/>
    <w:rsid w:val="00F83DEB"/>
    <w:rsid w:val="00F83F42"/>
    <w:rsid w:val="00F83F72"/>
    <w:rsid w:val="00F8417E"/>
    <w:rsid w:val="00F8428B"/>
    <w:rsid w:val="00F842D1"/>
    <w:rsid w:val="00F845E1"/>
    <w:rsid w:val="00F8471A"/>
    <w:rsid w:val="00F848DB"/>
    <w:rsid w:val="00F84A67"/>
    <w:rsid w:val="00F84B0A"/>
    <w:rsid w:val="00F84B23"/>
    <w:rsid w:val="00F84C12"/>
    <w:rsid w:val="00F84C87"/>
    <w:rsid w:val="00F84D2A"/>
    <w:rsid w:val="00F84DC6"/>
    <w:rsid w:val="00F85067"/>
    <w:rsid w:val="00F850F5"/>
    <w:rsid w:val="00F851D3"/>
    <w:rsid w:val="00F8533D"/>
    <w:rsid w:val="00F85350"/>
    <w:rsid w:val="00F853A8"/>
    <w:rsid w:val="00F853C4"/>
    <w:rsid w:val="00F85697"/>
    <w:rsid w:val="00F85BFB"/>
    <w:rsid w:val="00F85C68"/>
    <w:rsid w:val="00F85D6E"/>
    <w:rsid w:val="00F85E0E"/>
    <w:rsid w:val="00F862CD"/>
    <w:rsid w:val="00F8648B"/>
    <w:rsid w:val="00F8666E"/>
    <w:rsid w:val="00F866A6"/>
    <w:rsid w:val="00F86A72"/>
    <w:rsid w:val="00F86FDB"/>
    <w:rsid w:val="00F8722B"/>
    <w:rsid w:val="00F8744D"/>
    <w:rsid w:val="00F87A37"/>
    <w:rsid w:val="00F87A5C"/>
    <w:rsid w:val="00F87BA7"/>
    <w:rsid w:val="00F87BAE"/>
    <w:rsid w:val="00F9003C"/>
    <w:rsid w:val="00F90129"/>
    <w:rsid w:val="00F9039D"/>
    <w:rsid w:val="00F903DC"/>
    <w:rsid w:val="00F90B8F"/>
    <w:rsid w:val="00F90BEB"/>
    <w:rsid w:val="00F90E18"/>
    <w:rsid w:val="00F90F0E"/>
    <w:rsid w:val="00F91462"/>
    <w:rsid w:val="00F91801"/>
    <w:rsid w:val="00F91995"/>
    <w:rsid w:val="00F91A7D"/>
    <w:rsid w:val="00F920A0"/>
    <w:rsid w:val="00F92261"/>
    <w:rsid w:val="00F92284"/>
    <w:rsid w:val="00F92368"/>
    <w:rsid w:val="00F92434"/>
    <w:rsid w:val="00F925E4"/>
    <w:rsid w:val="00F92647"/>
    <w:rsid w:val="00F9277F"/>
    <w:rsid w:val="00F9284F"/>
    <w:rsid w:val="00F92A37"/>
    <w:rsid w:val="00F92AD5"/>
    <w:rsid w:val="00F92B8A"/>
    <w:rsid w:val="00F92C28"/>
    <w:rsid w:val="00F92D4C"/>
    <w:rsid w:val="00F92D9E"/>
    <w:rsid w:val="00F92E2B"/>
    <w:rsid w:val="00F93114"/>
    <w:rsid w:val="00F931D4"/>
    <w:rsid w:val="00F9361F"/>
    <w:rsid w:val="00F936B8"/>
    <w:rsid w:val="00F93B01"/>
    <w:rsid w:val="00F93D3B"/>
    <w:rsid w:val="00F93E52"/>
    <w:rsid w:val="00F940E6"/>
    <w:rsid w:val="00F946BC"/>
    <w:rsid w:val="00F949AE"/>
    <w:rsid w:val="00F94B77"/>
    <w:rsid w:val="00F94B97"/>
    <w:rsid w:val="00F94CB8"/>
    <w:rsid w:val="00F94D27"/>
    <w:rsid w:val="00F94E2C"/>
    <w:rsid w:val="00F94FC2"/>
    <w:rsid w:val="00F94FE9"/>
    <w:rsid w:val="00F95697"/>
    <w:rsid w:val="00F95E58"/>
    <w:rsid w:val="00F95FBA"/>
    <w:rsid w:val="00F96180"/>
    <w:rsid w:val="00F9627F"/>
    <w:rsid w:val="00F964D6"/>
    <w:rsid w:val="00F96A83"/>
    <w:rsid w:val="00F96AAE"/>
    <w:rsid w:val="00F96DDD"/>
    <w:rsid w:val="00F96F21"/>
    <w:rsid w:val="00F96F3D"/>
    <w:rsid w:val="00F96F5F"/>
    <w:rsid w:val="00F9736A"/>
    <w:rsid w:val="00F97644"/>
    <w:rsid w:val="00F97AC1"/>
    <w:rsid w:val="00F97BD4"/>
    <w:rsid w:val="00F97F94"/>
    <w:rsid w:val="00FA029E"/>
    <w:rsid w:val="00FA02B0"/>
    <w:rsid w:val="00FA049F"/>
    <w:rsid w:val="00FA04D9"/>
    <w:rsid w:val="00FA0687"/>
    <w:rsid w:val="00FA1024"/>
    <w:rsid w:val="00FA1423"/>
    <w:rsid w:val="00FA14FF"/>
    <w:rsid w:val="00FA15A5"/>
    <w:rsid w:val="00FA1CBE"/>
    <w:rsid w:val="00FA1CCA"/>
    <w:rsid w:val="00FA1DAE"/>
    <w:rsid w:val="00FA1DBD"/>
    <w:rsid w:val="00FA1E11"/>
    <w:rsid w:val="00FA21D6"/>
    <w:rsid w:val="00FA21E4"/>
    <w:rsid w:val="00FA22A2"/>
    <w:rsid w:val="00FA232D"/>
    <w:rsid w:val="00FA240D"/>
    <w:rsid w:val="00FA25EC"/>
    <w:rsid w:val="00FA2AB9"/>
    <w:rsid w:val="00FA2D31"/>
    <w:rsid w:val="00FA30F4"/>
    <w:rsid w:val="00FA3288"/>
    <w:rsid w:val="00FA3589"/>
    <w:rsid w:val="00FA3770"/>
    <w:rsid w:val="00FA3874"/>
    <w:rsid w:val="00FA38D0"/>
    <w:rsid w:val="00FA439B"/>
    <w:rsid w:val="00FA467E"/>
    <w:rsid w:val="00FA46E4"/>
    <w:rsid w:val="00FA47B4"/>
    <w:rsid w:val="00FA47EE"/>
    <w:rsid w:val="00FA49E4"/>
    <w:rsid w:val="00FA4BB6"/>
    <w:rsid w:val="00FA4C5F"/>
    <w:rsid w:val="00FA4EC7"/>
    <w:rsid w:val="00FA52A0"/>
    <w:rsid w:val="00FA58A2"/>
    <w:rsid w:val="00FA5A66"/>
    <w:rsid w:val="00FA5BC9"/>
    <w:rsid w:val="00FA5D01"/>
    <w:rsid w:val="00FA5D17"/>
    <w:rsid w:val="00FA601A"/>
    <w:rsid w:val="00FA61B6"/>
    <w:rsid w:val="00FA61F2"/>
    <w:rsid w:val="00FA625D"/>
    <w:rsid w:val="00FA656B"/>
    <w:rsid w:val="00FA69C5"/>
    <w:rsid w:val="00FA6B2B"/>
    <w:rsid w:val="00FA6C59"/>
    <w:rsid w:val="00FA6E07"/>
    <w:rsid w:val="00FA7060"/>
    <w:rsid w:val="00FA7261"/>
    <w:rsid w:val="00FA72AC"/>
    <w:rsid w:val="00FA7437"/>
    <w:rsid w:val="00FA744F"/>
    <w:rsid w:val="00FA7680"/>
    <w:rsid w:val="00FA79E8"/>
    <w:rsid w:val="00FA7A3F"/>
    <w:rsid w:val="00FA7A7A"/>
    <w:rsid w:val="00FA7AEE"/>
    <w:rsid w:val="00FA7CC9"/>
    <w:rsid w:val="00FB05EC"/>
    <w:rsid w:val="00FB088D"/>
    <w:rsid w:val="00FB0E26"/>
    <w:rsid w:val="00FB0ECF"/>
    <w:rsid w:val="00FB10FD"/>
    <w:rsid w:val="00FB1190"/>
    <w:rsid w:val="00FB11B9"/>
    <w:rsid w:val="00FB1230"/>
    <w:rsid w:val="00FB12DE"/>
    <w:rsid w:val="00FB1799"/>
    <w:rsid w:val="00FB18A1"/>
    <w:rsid w:val="00FB1BF0"/>
    <w:rsid w:val="00FB1F3C"/>
    <w:rsid w:val="00FB1FEE"/>
    <w:rsid w:val="00FB23A7"/>
    <w:rsid w:val="00FB2405"/>
    <w:rsid w:val="00FB26DA"/>
    <w:rsid w:val="00FB2740"/>
    <w:rsid w:val="00FB2C5F"/>
    <w:rsid w:val="00FB2CCC"/>
    <w:rsid w:val="00FB321C"/>
    <w:rsid w:val="00FB3240"/>
    <w:rsid w:val="00FB33C8"/>
    <w:rsid w:val="00FB346E"/>
    <w:rsid w:val="00FB3481"/>
    <w:rsid w:val="00FB3647"/>
    <w:rsid w:val="00FB3866"/>
    <w:rsid w:val="00FB3882"/>
    <w:rsid w:val="00FB3A26"/>
    <w:rsid w:val="00FB3AD5"/>
    <w:rsid w:val="00FB3D52"/>
    <w:rsid w:val="00FB3D7C"/>
    <w:rsid w:val="00FB3FCB"/>
    <w:rsid w:val="00FB4062"/>
    <w:rsid w:val="00FB4398"/>
    <w:rsid w:val="00FB4487"/>
    <w:rsid w:val="00FB4543"/>
    <w:rsid w:val="00FB4656"/>
    <w:rsid w:val="00FB46EC"/>
    <w:rsid w:val="00FB474C"/>
    <w:rsid w:val="00FB4867"/>
    <w:rsid w:val="00FB488F"/>
    <w:rsid w:val="00FB4C5B"/>
    <w:rsid w:val="00FB4CD7"/>
    <w:rsid w:val="00FB4CDB"/>
    <w:rsid w:val="00FB4D29"/>
    <w:rsid w:val="00FB4FA9"/>
    <w:rsid w:val="00FB51DF"/>
    <w:rsid w:val="00FB5395"/>
    <w:rsid w:val="00FB5469"/>
    <w:rsid w:val="00FB553A"/>
    <w:rsid w:val="00FB592C"/>
    <w:rsid w:val="00FB5C92"/>
    <w:rsid w:val="00FB62AF"/>
    <w:rsid w:val="00FB62DC"/>
    <w:rsid w:val="00FB6BCD"/>
    <w:rsid w:val="00FB6EC6"/>
    <w:rsid w:val="00FB6F58"/>
    <w:rsid w:val="00FB713F"/>
    <w:rsid w:val="00FB715F"/>
    <w:rsid w:val="00FB7423"/>
    <w:rsid w:val="00FB7593"/>
    <w:rsid w:val="00FB7596"/>
    <w:rsid w:val="00FB77AC"/>
    <w:rsid w:val="00FB78FC"/>
    <w:rsid w:val="00FB7D19"/>
    <w:rsid w:val="00FB7D33"/>
    <w:rsid w:val="00FC000A"/>
    <w:rsid w:val="00FC002A"/>
    <w:rsid w:val="00FC03CE"/>
    <w:rsid w:val="00FC03EC"/>
    <w:rsid w:val="00FC06E2"/>
    <w:rsid w:val="00FC073A"/>
    <w:rsid w:val="00FC08E7"/>
    <w:rsid w:val="00FC0902"/>
    <w:rsid w:val="00FC0C52"/>
    <w:rsid w:val="00FC1514"/>
    <w:rsid w:val="00FC1749"/>
    <w:rsid w:val="00FC17BA"/>
    <w:rsid w:val="00FC17F0"/>
    <w:rsid w:val="00FC2832"/>
    <w:rsid w:val="00FC2DCA"/>
    <w:rsid w:val="00FC2F94"/>
    <w:rsid w:val="00FC31CF"/>
    <w:rsid w:val="00FC336A"/>
    <w:rsid w:val="00FC33E6"/>
    <w:rsid w:val="00FC349A"/>
    <w:rsid w:val="00FC34D3"/>
    <w:rsid w:val="00FC3556"/>
    <w:rsid w:val="00FC386A"/>
    <w:rsid w:val="00FC3A0A"/>
    <w:rsid w:val="00FC3A74"/>
    <w:rsid w:val="00FC3D8F"/>
    <w:rsid w:val="00FC3EEA"/>
    <w:rsid w:val="00FC40BC"/>
    <w:rsid w:val="00FC4142"/>
    <w:rsid w:val="00FC471F"/>
    <w:rsid w:val="00FC4877"/>
    <w:rsid w:val="00FC4A62"/>
    <w:rsid w:val="00FC4CAB"/>
    <w:rsid w:val="00FC4DC4"/>
    <w:rsid w:val="00FC4E3E"/>
    <w:rsid w:val="00FC4E3F"/>
    <w:rsid w:val="00FC4F63"/>
    <w:rsid w:val="00FC5064"/>
    <w:rsid w:val="00FC52CB"/>
    <w:rsid w:val="00FC538D"/>
    <w:rsid w:val="00FC579D"/>
    <w:rsid w:val="00FC58B3"/>
    <w:rsid w:val="00FC5BC7"/>
    <w:rsid w:val="00FC5D46"/>
    <w:rsid w:val="00FC5F46"/>
    <w:rsid w:val="00FC5FAD"/>
    <w:rsid w:val="00FC5FF2"/>
    <w:rsid w:val="00FC5FFC"/>
    <w:rsid w:val="00FC618E"/>
    <w:rsid w:val="00FC6350"/>
    <w:rsid w:val="00FC665F"/>
    <w:rsid w:val="00FC6792"/>
    <w:rsid w:val="00FC6845"/>
    <w:rsid w:val="00FC693D"/>
    <w:rsid w:val="00FC6982"/>
    <w:rsid w:val="00FC6B14"/>
    <w:rsid w:val="00FC6F85"/>
    <w:rsid w:val="00FC7182"/>
    <w:rsid w:val="00FC73CB"/>
    <w:rsid w:val="00FC73DE"/>
    <w:rsid w:val="00FC7AC7"/>
    <w:rsid w:val="00FC7C8A"/>
    <w:rsid w:val="00FC7D82"/>
    <w:rsid w:val="00FC7E3E"/>
    <w:rsid w:val="00FC7EE6"/>
    <w:rsid w:val="00FC7F83"/>
    <w:rsid w:val="00FD00F8"/>
    <w:rsid w:val="00FD0179"/>
    <w:rsid w:val="00FD02AA"/>
    <w:rsid w:val="00FD043B"/>
    <w:rsid w:val="00FD06CE"/>
    <w:rsid w:val="00FD06F2"/>
    <w:rsid w:val="00FD0AD4"/>
    <w:rsid w:val="00FD10AF"/>
    <w:rsid w:val="00FD128A"/>
    <w:rsid w:val="00FD143B"/>
    <w:rsid w:val="00FD14B8"/>
    <w:rsid w:val="00FD1590"/>
    <w:rsid w:val="00FD17BD"/>
    <w:rsid w:val="00FD1A6C"/>
    <w:rsid w:val="00FD1C96"/>
    <w:rsid w:val="00FD1CAB"/>
    <w:rsid w:val="00FD1FB0"/>
    <w:rsid w:val="00FD20D1"/>
    <w:rsid w:val="00FD211B"/>
    <w:rsid w:val="00FD215C"/>
    <w:rsid w:val="00FD24F7"/>
    <w:rsid w:val="00FD257A"/>
    <w:rsid w:val="00FD288E"/>
    <w:rsid w:val="00FD2912"/>
    <w:rsid w:val="00FD2A10"/>
    <w:rsid w:val="00FD2A3B"/>
    <w:rsid w:val="00FD304A"/>
    <w:rsid w:val="00FD3320"/>
    <w:rsid w:val="00FD3430"/>
    <w:rsid w:val="00FD3638"/>
    <w:rsid w:val="00FD3646"/>
    <w:rsid w:val="00FD370C"/>
    <w:rsid w:val="00FD39F7"/>
    <w:rsid w:val="00FD3AE0"/>
    <w:rsid w:val="00FD3DC1"/>
    <w:rsid w:val="00FD3FDB"/>
    <w:rsid w:val="00FD413D"/>
    <w:rsid w:val="00FD4702"/>
    <w:rsid w:val="00FD47FA"/>
    <w:rsid w:val="00FD4972"/>
    <w:rsid w:val="00FD4C3D"/>
    <w:rsid w:val="00FD4F40"/>
    <w:rsid w:val="00FD5025"/>
    <w:rsid w:val="00FD52EE"/>
    <w:rsid w:val="00FD57BA"/>
    <w:rsid w:val="00FD5905"/>
    <w:rsid w:val="00FD5A1D"/>
    <w:rsid w:val="00FD5E91"/>
    <w:rsid w:val="00FD5F9A"/>
    <w:rsid w:val="00FD64FA"/>
    <w:rsid w:val="00FD678A"/>
    <w:rsid w:val="00FD6824"/>
    <w:rsid w:val="00FD6C52"/>
    <w:rsid w:val="00FD71F2"/>
    <w:rsid w:val="00FD748D"/>
    <w:rsid w:val="00FD7FE5"/>
    <w:rsid w:val="00FE00F9"/>
    <w:rsid w:val="00FE0251"/>
    <w:rsid w:val="00FE0354"/>
    <w:rsid w:val="00FE03AB"/>
    <w:rsid w:val="00FE0541"/>
    <w:rsid w:val="00FE0583"/>
    <w:rsid w:val="00FE0753"/>
    <w:rsid w:val="00FE0777"/>
    <w:rsid w:val="00FE0AE7"/>
    <w:rsid w:val="00FE0DE3"/>
    <w:rsid w:val="00FE1495"/>
    <w:rsid w:val="00FE14D9"/>
    <w:rsid w:val="00FE160E"/>
    <w:rsid w:val="00FE167F"/>
    <w:rsid w:val="00FE183C"/>
    <w:rsid w:val="00FE18F3"/>
    <w:rsid w:val="00FE1D9D"/>
    <w:rsid w:val="00FE1EDC"/>
    <w:rsid w:val="00FE20F8"/>
    <w:rsid w:val="00FE22B8"/>
    <w:rsid w:val="00FE242D"/>
    <w:rsid w:val="00FE26FB"/>
    <w:rsid w:val="00FE2701"/>
    <w:rsid w:val="00FE2718"/>
    <w:rsid w:val="00FE2924"/>
    <w:rsid w:val="00FE2953"/>
    <w:rsid w:val="00FE2BA6"/>
    <w:rsid w:val="00FE2D7B"/>
    <w:rsid w:val="00FE3309"/>
    <w:rsid w:val="00FE33FA"/>
    <w:rsid w:val="00FE3C47"/>
    <w:rsid w:val="00FE3E00"/>
    <w:rsid w:val="00FE4139"/>
    <w:rsid w:val="00FE4148"/>
    <w:rsid w:val="00FE42BB"/>
    <w:rsid w:val="00FE456A"/>
    <w:rsid w:val="00FE48CB"/>
    <w:rsid w:val="00FE49CB"/>
    <w:rsid w:val="00FE4EB0"/>
    <w:rsid w:val="00FE536D"/>
    <w:rsid w:val="00FE54EA"/>
    <w:rsid w:val="00FE5515"/>
    <w:rsid w:val="00FE573B"/>
    <w:rsid w:val="00FE57F1"/>
    <w:rsid w:val="00FE5984"/>
    <w:rsid w:val="00FE5D07"/>
    <w:rsid w:val="00FE5D1D"/>
    <w:rsid w:val="00FE5DE6"/>
    <w:rsid w:val="00FE5E0A"/>
    <w:rsid w:val="00FE5E25"/>
    <w:rsid w:val="00FE5FC7"/>
    <w:rsid w:val="00FE69E0"/>
    <w:rsid w:val="00FE6BC9"/>
    <w:rsid w:val="00FE6D11"/>
    <w:rsid w:val="00FE6E92"/>
    <w:rsid w:val="00FE6ED3"/>
    <w:rsid w:val="00FE6FA0"/>
    <w:rsid w:val="00FE702B"/>
    <w:rsid w:val="00FE73A1"/>
    <w:rsid w:val="00FE7523"/>
    <w:rsid w:val="00FE774B"/>
    <w:rsid w:val="00FE78F8"/>
    <w:rsid w:val="00FE7A48"/>
    <w:rsid w:val="00FE7A69"/>
    <w:rsid w:val="00FE7C39"/>
    <w:rsid w:val="00FE7CC7"/>
    <w:rsid w:val="00FE7EDB"/>
    <w:rsid w:val="00FE7F18"/>
    <w:rsid w:val="00FF01FC"/>
    <w:rsid w:val="00FF023B"/>
    <w:rsid w:val="00FF0752"/>
    <w:rsid w:val="00FF07A5"/>
    <w:rsid w:val="00FF08A2"/>
    <w:rsid w:val="00FF0BEB"/>
    <w:rsid w:val="00FF0D32"/>
    <w:rsid w:val="00FF0FAE"/>
    <w:rsid w:val="00FF103E"/>
    <w:rsid w:val="00FF1040"/>
    <w:rsid w:val="00FF1471"/>
    <w:rsid w:val="00FF1496"/>
    <w:rsid w:val="00FF17D2"/>
    <w:rsid w:val="00FF18A5"/>
    <w:rsid w:val="00FF1937"/>
    <w:rsid w:val="00FF1983"/>
    <w:rsid w:val="00FF1EE4"/>
    <w:rsid w:val="00FF2027"/>
    <w:rsid w:val="00FF2267"/>
    <w:rsid w:val="00FF226B"/>
    <w:rsid w:val="00FF239F"/>
    <w:rsid w:val="00FF2B54"/>
    <w:rsid w:val="00FF2D21"/>
    <w:rsid w:val="00FF385C"/>
    <w:rsid w:val="00FF3B49"/>
    <w:rsid w:val="00FF3CAE"/>
    <w:rsid w:val="00FF3E12"/>
    <w:rsid w:val="00FF3F78"/>
    <w:rsid w:val="00FF40F1"/>
    <w:rsid w:val="00FF460B"/>
    <w:rsid w:val="00FF4653"/>
    <w:rsid w:val="00FF4952"/>
    <w:rsid w:val="00FF497A"/>
    <w:rsid w:val="00FF4CBD"/>
    <w:rsid w:val="00FF522A"/>
    <w:rsid w:val="00FF52B1"/>
    <w:rsid w:val="00FF535E"/>
    <w:rsid w:val="00FF53AF"/>
    <w:rsid w:val="00FF542C"/>
    <w:rsid w:val="00FF548D"/>
    <w:rsid w:val="00FF5951"/>
    <w:rsid w:val="00FF595E"/>
    <w:rsid w:val="00FF5B79"/>
    <w:rsid w:val="00FF5CF4"/>
    <w:rsid w:val="00FF6115"/>
    <w:rsid w:val="00FF61FD"/>
    <w:rsid w:val="00FF626A"/>
    <w:rsid w:val="00FF62E7"/>
    <w:rsid w:val="00FF6341"/>
    <w:rsid w:val="00FF63AC"/>
    <w:rsid w:val="00FF65B8"/>
    <w:rsid w:val="00FF66BD"/>
    <w:rsid w:val="00FF66FA"/>
    <w:rsid w:val="00FF68DE"/>
    <w:rsid w:val="00FF693F"/>
    <w:rsid w:val="00FF6CD2"/>
    <w:rsid w:val="00FF6D92"/>
    <w:rsid w:val="00FF712F"/>
    <w:rsid w:val="00FF7307"/>
    <w:rsid w:val="00FF7359"/>
    <w:rsid w:val="00FF7469"/>
    <w:rsid w:val="00FF7593"/>
    <w:rsid w:val="00FF75C8"/>
    <w:rsid w:val="00FF761A"/>
    <w:rsid w:val="00FF79BA"/>
    <w:rsid w:val="00FF7CE1"/>
    <w:rsid w:val="00FF7D2B"/>
    <w:rsid w:val="00FF7D71"/>
    <w:rsid w:val="00FF7D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BA33953"/>
  <w15:chartTrackingRefBased/>
  <w15:docId w15:val="{5733809D-2AF2-4F84-A0E9-8690F56C8D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042C5"/>
    <w:pPr>
      <w:spacing w:before="120" w:after="120" w:line="240" w:lineRule="auto"/>
      <w:jc w:val="both"/>
    </w:pPr>
    <w:rPr>
      <w:rFonts w:ascii="Garamond" w:hAnsi="Garamond"/>
      <w:sz w:val="24"/>
    </w:rPr>
  </w:style>
  <w:style w:type="paragraph" w:styleId="Heading1">
    <w:name w:val="heading 1"/>
    <w:basedOn w:val="Normal"/>
    <w:next w:val="Normal"/>
    <w:link w:val="Heading1Char"/>
    <w:uiPriority w:val="9"/>
    <w:qFormat/>
    <w:rsid w:val="004D1884"/>
    <w:pPr>
      <w:keepNext/>
      <w:keepLines/>
      <w:numPr>
        <w:numId w:val="3"/>
      </w:numPr>
      <w:spacing w:before="600" w:after="240"/>
      <w:ind w:left="431" w:hanging="431"/>
      <w:outlineLvl w:val="0"/>
    </w:pPr>
    <w:rPr>
      <w:rFonts w:eastAsiaTheme="majorEastAsia" w:cstheme="majorBidi"/>
      <w:b/>
      <w:smallCaps/>
      <w:sz w:val="32"/>
      <w:szCs w:val="32"/>
    </w:rPr>
  </w:style>
  <w:style w:type="paragraph" w:styleId="Heading2">
    <w:name w:val="heading 2"/>
    <w:basedOn w:val="Normal"/>
    <w:next w:val="Normal"/>
    <w:link w:val="Heading2Char"/>
    <w:unhideWhenUsed/>
    <w:qFormat/>
    <w:rsid w:val="00785320"/>
    <w:pPr>
      <w:keepNext/>
      <w:keepLines/>
      <w:numPr>
        <w:ilvl w:val="1"/>
        <w:numId w:val="3"/>
      </w:numPr>
      <w:spacing w:before="240" w:after="240"/>
      <w:ind w:left="578" w:hanging="578"/>
      <w:outlineLvl w:val="1"/>
    </w:pPr>
    <w:rPr>
      <w:rFonts w:eastAsiaTheme="majorEastAsia" w:cstheme="majorBidi"/>
      <w:b/>
      <w:smallCaps/>
      <w:sz w:val="28"/>
      <w:szCs w:val="26"/>
    </w:rPr>
  </w:style>
  <w:style w:type="paragraph" w:styleId="Heading3">
    <w:name w:val="heading 3"/>
    <w:basedOn w:val="Normal"/>
    <w:next w:val="Normal"/>
    <w:link w:val="Heading3Char"/>
    <w:uiPriority w:val="9"/>
    <w:unhideWhenUsed/>
    <w:qFormat/>
    <w:rsid w:val="005D6C91"/>
    <w:pPr>
      <w:keepNext/>
      <w:keepLines/>
      <w:numPr>
        <w:ilvl w:val="2"/>
        <w:numId w:val="3"/>
      </w:numPr>
      <w:outlineLvl w:val="2"/>
    </w:pPr>
    <w:rPr>
      <w:rFonts w:eastAsiaTheme="majorEastAsia" w:cstheme="majorBidi"/>
      <w:smallCaps/>
      <w:szCs w:val="24"/>
    </w:rPr>
  </w:style>
  <w:style w:type="paragraph" w:styleId="Heading4">
    <w:name w:val="heading 4"/>
    <w:basedOn w:val="Normal"/>
    <w:next w:val="Normal"/>
    <w:link w:val="Heading4Char"/>
    <w:uiPriority w:val="9"/>
    <w:unhideWhenUsed/>
    <w:qFormat/>
    <w:rsid w:val="008170D2"/>
    <w:pPr>
      <w:keepNext/>
      <w:keepLines/>
      <w:numPr>
        <w:ilvl w:val="3"/>
        <w:numId w:val="3"/>
      </w:numPr>
      <w:spacing w:before="40" w:after="0"/>
      <w:outlineLvl w:val="3"/>
    </w:pPr>
    <w:rPr>
      <w:rFonts w:asciiTheme="majorHAnsi" w:eastAsiaTheme="majorEastAsia" w:hAnsiTheme="majorHAnsi" w:cstheme="majorBidi"/>
      <w:b/>
      <w:iCs/>
    </w:rPr>
  </w:style>
  <w:style w:type="paragraph" w:styleId="Heading5">
    <w:name w:val="heading 5"/>
    <w:basedOn w:val="Normal"/>
    <w:next w:val="Normal"/>
    <w:link w:val="Heading5Char"/>
    <w:uiPriority w:val="9"/>
    <w:semiHidden/>
    <w:unhideWhenUsed/>
    <w:qFormat/>
    <w:rsid w:val="00FE2BA6"/>
    <w:pPr>
      <w:keepNext/>
      <w:keepLines/>
      <w:numPr>
        <w:ilvl w:val="4"/>
        <w:numId w:val="3"/>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FE2BA6"/>
    <w:pPr>
      <w:keepNext/>
      <w:keepLines/>
      <w:numPr>
        <w:ilvl w:val="5"/>
        <w:numId w:val="3"/>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FE2BA6"/>
    <w:pPr>
      <w:keepNext/>
      <w:keepLines/>
      <w:numPr>
        <w:ilvl w:val="6"/>
        <w:numId w:val="3"/>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FE2BA6"/>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FE2BA6"/>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D1884"/>
    <w:rPr>
      <w:rFonts w:ascii="Garamond" w:eastAsiaTheme="majorEastAsia" w:hAnsi="Garamond" w:cstheme="majorBidi"/>
      <w:b/>
      <w:smallCaps/>
      <w:sz w:val="32"/>
      <w:szCs w:val="32"/>
    </w:rPr>
  </w:style>
  <w:style w:type="character" w:customStyle="1" w:styleId="Heading2Char">
    <w:name w:val="Heading 2 Char"/>
    <w:basedOn w:val="DefaultParagraphFont"/>
    <w:link w:val="Heading2"/>
    <w:rsid w:val="00785320"/>
    <w:rPr>
      <w:rFonts w:ascii="Garamond" w:eastAsiaTheme="majorEastAsia" w:hAnsi="Garamond" w:cstheme="majorBidi"/>
      <w:b/>
      <w:smallCaps/>
      <w:sz w:val="28"/>
      <w:szCs w:val="26"/>
    </w:rPr>
  </w:style>
  <w:style w:type="character" w:customStyle="1" w:styleId="Heading3Char">
    <w:name w:val="Heading 3 Char"/>
    <w:basedOn w:val="DefaultParagraphFont"/>
    <w:link w:val="Heading3"/>
    <w:uiPriority w:val="9"/>
    <w:rsid w:val="005D6C91"/>
    <w:rPr>
      <w:rFonts w:ascii="Garamond" w:eastAsiaTheme="majorEastAsia" w:hAnsi="Garamond" w:cstheme="majorBidi"/>
      <w:smallCaps/>
      <w:sz w:val="24"/>
      <w:szCs w:val="24"/>
    </w:rPr>
  </w:style>
  <w:style w:type="character" w:customStyle="1" w:styleId="Heading4Char">
    <w:name w:val="Heading 4 Char"/>
    <w:basedOn w:val="DefaultParagraphFont"/>
    <w:link w:val="Heading4"/>
    <w:uiPriority w:val="9"/>
    <w:rsid w:val="008170D2"/>
    <w:rPr>
      <w:rFonts w:asciiTheme="majorHAnsi" w:eastAsiaTheme="majorEastAsia" w:hAnsiTheme="majorHAnsi" w:cstheme="majorBidi"/>
      <w:b/>
      <w:iCs/>
      <w:sz w:val="24"/>
    </w:rPr>
  </w:style>
  <w:style w:type="character" w:customStyle="1" w:styleId="Heading5Char">
    <w:name w:val="Heading 5 Char"/>
    <w:basedOn w:val="DefaultParagraphFont"/>
    <w:link w:val="Heading5"/>
    <w:uiPriority w:val="9"/>
    <w:semiHidden/>
    <w:rsid w:val="00FE2BA6"/>
    <w:rPr>
      <w:rFonts w:asciiTheme="majorHAnsi" w:eastAsiaTheme="majorEastAsia" w:hAnsiTheme="majorHAnsi" w:cstheme="majorBidi"/>
      <w:color w:val="2F5496" w:themeColor="accent1" w:themeShade="BF"/>
      <w:sz w:val="24"/>
    </w:rPr>
  </w:style>
  <w:style w:type="character" w:customStyle="1" w:styleId="Heading6Char">
    <w:name w:val="Heading 6 Char"/>
    <w:basedOn w:val="DefaultParagraphFont"/>
    <w:link w:val="Heading6"/>
    <w:uiPriority w:val="9"/>
    <w:semiHidden/>
    <w:rsid w:val="00FE2BA6"/>
    <w:rPr>
      <w:rFonts w:asciiTheme="majorHAnsi" w:eastAsiaTheme="majorEastAsia" w:hAnsiTheme="majorHAnsi" w:cstheme="majorBidi"/>
      <w:color w:val="1F3763" w:themeColor="accent1" w:themeShade="7F"/>
      <w:sz w:val="24"/>
    </w:rPr>
  </w:style>
  <w:style w:type="character" w:customStyle="1" w:styleId="Heading7Char">
    <w:name w:val="Heading 7 Char"/>
    <w:basedOn w:val="DefaultParagraphFont"/>
    <w:link w:val="Heading7"/>
    <w:uiPriority w:val="9"/>
    <w:semiHidden/>
    <w:rsid w:val="00FE2BA6"/>
    <w:rPr>
      <w:rFonts w:asciiTheme="majorHAnsi" w:eastAsiaTheme="majorEastAsia" w:hAnsiTheme="majorHAnsi" w:cstheme="majorBidi"/>
      <w:i/>
      <w:iCs/>
      <w:color w:val="1F3763" w:themeColor="accent1" w:themeShade="7F"/>
      <w:sz w:val="24"/>
    </w:rPr>
  </w:style>
  <w:style w:type="character" w:customStyle="1" w:styleId="Heading8Char">
    <w:name w:val="Heading 8 Char"/>
    <w:basedOn w:val="DefaultParagraphFont"/>
    <w:link w:val="Heading8"/>
    <w:uiPriority w:val="9"/>
    <w:semiHidden/>
    <w:rsid w:val="00FE2BA6"/>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FE2BA6"/>
    <w:rPr>
      <w:rFonts w:asciiTheme="majorHAnsi" w:eastAsiaTheme="majorEastAsia" w:hAnsiTheme="majorHAnsi" w:cstheme="majorBidi"/>
      <w:i/>
      <w:iCs/>
      <w:color w:val="272727" w:themeColor="text1" w:themeTint="D8"/>
      <w:sz w:val="21"/>
      <w:szCs w:val="21"/>
    </w:rPr>
  </w:style>
  <w:style w:type="paragraph" w:styleId="ListParagraph">
    <w:name w:val="List Paragraph"/>
    <w:basedOn w:val="Normal"/>
    <w:uiPriority w:val="34"/>
    <w:qFormat/>
    <w:rsid w:val="00872B04"/>
    <w:pPr>
      <w:ind w:left="720"/>
      <w:contextualSpacing/>
    </w:pPr>
  </w:style>
  <w:style w:type="paragraph" w:styleId="Title">
    <w:name w:val="Title"/>
    <w:basedOn w:val="Normal"/>
    <w:next w:val="Normal"/>
    <w:link w:val="TitleChar"/>
    <w:uiPriority w:val="10"/>
    <w:qFormat/>
    <w:rsid w:val="00461E05"/>
    <w:pPr>
      <w:spacing w:before="240" w:after="240"/>
      <w:contextualSpacing/>
      <w:jc w:val="right"/>
    </w:pPr>
    <w:rPr>
      <w:rFonts w:eastAsiaTheme="majorEastAsia" w:cstheme="majorBidi"/>
      <w:b/>
      <w:spacing w:val="-10"/>
      <w:kern w:val="28"/>
      <w:sz w:val="48"/>
      <w:szCs w:val="56"/>
    </w:rPr>
  </w:style>
  <w:style w:type="character" w:customStyle="1" w:styleId="TitleChar">
    <w:name w:val="Title Char"/>
    <w:basedOn w:val="DefaultParagraphFont"/>
    <w:link w:val="Title"/>
    <w:uiPriority w:val="10"/>
    <w:rsid w:val="00461E05"/>
    <w:rPr>
      <w:rFonts w:ascii="Garamond" w:eastAsiaTheme="majorEastAsia" w:hAnsi="Garamond" w:cstheme="majorBidi"/>
      <w:b/>
      <w:spacing w:val="-10"/>
      <w:kern w:val="28"/>
      <w:sz w:val="48"/>
      <w:szCs w:val="56"/>
    </w:rPr>
  </w:style>
  <w:style w:type="paragraph" w:styleId="FootnoteText">
    <w:name w:val="footnote text"/>
    <w:basedOn w:val="Normal"/>
    <w:link w:val="FootnoteTextChar"/>
    <w:uiPriority w:val="99"/>
    <w:semiHidden/>
    <w:unhideWhenUsed/>
    <w:rsid w:val="00424A69"/>
    <w:pPr>
      <w:spacing w:before="0" w:after="0"/>
    </w:pPr>
    <w:rPr>
      <w:sz w:val="20"/>
      <w:szCs w:val="20"/>
    </w:rPr>
  </w:style>
  <w:style w:type="character" w:customStyle="1" w:styleId="FootnoteTextChar">
    <w:name w:val="Footnote Text Char"/>
    <w:basedOn w:val="DefaultParagraphFont"/>
    <w:link w:val="FootnoteText"/>
    <w:uiPriority w:val="99"/>
    <w:semiHidden/>
    <w:rsid w:val="00424A69"/>
    <w:rPr>
      <w:rFonts w:ascii="Times New Roman" w:hAnsi="Times New Roman"/>
      <w:sz w:val="20"/>
      <w:szCs w:val="20"/>
    </w:rPr>
  </w:style>
  <w:style w:type="character" w:styleId="FootnoteReference">
    <w:name w:val="footnote reference"/>
    <w:basedOn w:val="DefaultParagraphFont"/>
    <w:uiPriority w:val="99"/>
    <w:semiHidden/>
    <w:unhideWhenUsed/>
    <w:rsid w:val="00424A69"/>
    <w:rPr>
      <w:vertAlign w:val="superscript"/>
    </w:rPr>
  </w:style>
  <w:style w:type="table" w:styleId="TableGrid">
    <w:name w:val="Table Grid"/>
    <w:basedOn w:val="TableNormal"/>
    <w:uiPriority w:val="39"/>
    <w:rsid w:val="005222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522226"/>
    <w:rPr>
      <w:color w:val="808080"/>
    </w:rPr>
  </w:style>
  <w:style w:type="character" w:styleId="EndnoteReference">
    <w:name w:val="endnote reference"/>
    <w:basedOn w:val="DefaultParagraphFont"/>
    <w:uiPriority w:val="99"/>
    <w:semiHidden/>
    <w:unhideWhenUsed/>
    <w:rsid w:val="00DD7C42"/>
    <w:rPr>
      <w:vertAlign w:val="superscript"/>
    </w:rPr>
  </w:style>
  <w:style w:type="paragraph" w:styleId="Caption">
    <w:name w:val="caption"/>
    <w:basedOn w:val="Normal"/>
    <w:next w:val="Normal"/>
    <w:link w:val="CaptionChar"/>
    <w:uiPriority w:val="35"/>
    <w:unhideWhenUsed/>
    <w:qFormat/>
    <w:rsid w:val="00A3015B"/>
    <w:pPr>
      <w:jc w:val="center"/>
    </w:pPr>
    <w:rPr>
      <w:iCs/>
      <w:szCs w:val="18"/>
    </w:rPr>
  </w:style>
  <w:style w:type="character" w:customStyle="1" w:styleId="CaptionChar">
    <w:name w:val="Caption Char"/>
    <w:basedOn w:val="DefaultParagraphFont"/>
    <w:link w:val="Caption"/>
    <w:uiPriority w:val="35"/>
    <w:rsid w:val="00A3015B"/>
    <w:rPr>
      <w:rFonts w:ascii="Garamond" w:hAnsi="Garamond"/>
      <w:iCs/>
      <w:sz w:val="24"/>
      <w:szCs w:val="18"/>
    </w:rPr>
  </w:style>
  <w:style w:type="paragraph" w:customStyle="1" w:styleId="Table">
    <w:name w:val="Table"/>
    <w:basedOn w:val="Caption"/>
    <w:link w:val="TableChar"/>
    <w:qFormat/>
    <w:rsid w:val="00E818FA"/>
    <w:pPr>
      <w:spacing w:after="0"/>
    </w:pPr>
    <w:rPr>
      <w:b/>
    </w:rPr>
  </w:style>
  <w:style w:type="character" w:customStyle="1" w:styleId="TableChar">
    <w:name w:val="Table Char"/>
    <w:basedOn w:val="CaptionChar"/>
    <w:link w:val="Table"/>
    <w:rsid w:val="00E818FA"/>
    <w:rPr>
      <w:rFonts w:ascii="Times New Roman" w:hAnsi="Times New Roman"/>
      <w:b/>
      <w:iCs/>
      <w:sz w:val="24"/>
      <w:szCs w:val="18"/>
    </w:rPr>
  </w:style>
  <w:style w:type="paragraph" w:styleId="TOCHeading">
    <w:name w:val="TOC Heading"/>
    <w:basedOn w:val="Heading1"/>
    <w:next w:val="Normal"/>
    <w:uiPriority w:val="39"/>
    <w:unhideWhenUsed/>
    <w:qFormat/>
    <w:rsid w:val="0047633C"/>
    <w:pPr>
      <w:numPr>
        <w:numId w:val="0"/>
      </w:numPr>
      <w:spacing w:before="120" w:after="120"/>
      <w:jc w:val="left"/>
      <w:outlineLvl w:val="9"/>
    </w:pPr>
    <w:rPr>
      <w:rFonts w:asciiTheme="majorHAnsi" w:hAnsiTheme="majorHAnsi"/>
      <w:b w:val="0"/>
      <w:smallCaps w:val="0"/>
      <w:color w:val="000000" w:themeColor="text1"/>
    </w:rPr>
  </w:style>
  <w:style w:type="paragraph" w:styleId="TOC1">
    <w:name w:val="toc 1"/>
    <w:basedOn w:val="Normal"/>
    <w:next w:val="Normal"/>
    <w:autoRedefine/>
    <w:uiPriority w:val="39"/>
    <w:unhideWhenUsed/>
    <w:qFormat/>
    <w:rsid w:val="00785320"/>
    <w:pPr>
      <w:tabs>
        <w:tab w:val="right" w:leader="dot" w:pos="9017"/>
      </w:tabs>
      <w:jc w:val="left"/>
    </w:pPr>
    <w:rPr>
      <w:rFonts w:cstheme="minorHAnsi"/>
      <w:b/>
      <w:bCs/>
      <w:caps/>
      <w:sz w:val="32"/>
      <w:szCs w:val="20"/>
    </w:rPr>
  </w:style>
  <w:style w:type="paragraph" w:styleId="TOC2">
    <w:name w:val="toc 2"/>
    <w:basedOn w:val="Normal"/>
    <w:next w:val="Normal"/>
    <w:autoRedefine/>
    <w:uiPriority w:val="39"/>
    <w:unhideWhenUsed/>
    <w:qFormat/>
    <w:rsid w:val="00E4081A"/>
    <w:pPr>
      <w:spacing w:before="0" w:after="0"/>
      <w:ind w:left="240"/>
      <w:jc w:val="left"/>
    </w:pPr>
    <w:rPr>
      <w:rFonts w:cstheme="minorHAnsi"/>
      <w:b/>
      <w:smallCaps/>
      <w:sz w:val="28"/>
      <w:szCs w:val="20"/>
    </w:rPr>
  </w:style>
  <w:style w:type="paragraph" w:styleId="TOC3">
    <w:name w:val="toc 3"/>
    <w:basedOn w:val="Normal"/>
    <w:next w:val="Normal"/>
    <w:autoRedefine/>
    <w:uiPriority w:val="39"/>
    <w:unhideWhenUsed/>
    <w:qFormat/>
    <w:rsid w:val="00B35B64"/>
    <w:pPr>
      <w:tabs>
        <w:tab w:val="left" w:pos="1200"/>
        <w:tab w:val="right" w:leader="dot" w:pos="9017"/>
      </w:tabs>
      <w:spacing w:before="0" w:after="0"/>
      <w:ind w:left="480"/>
      <w:jc w:val="left"/>
    </w:pPr>
    <w:rPr>
      <w:rFonts w:cstheme="minorHAnsi"/>
      <w:b/>
      <w:iCs/>
      <w:szCs w:val="20"/>
    </w:rPr>
  </w:style>
  <w:style w:type="character" w:styleId="Hyperlink">
    <w:name w:val="Hyperlink"/>
    <w:basedOn w:val="DefaultParagraphFont"/>
    <w:uiPriority w:val="99"/>
    <w:unhideWhenUsed/>
    <w:rsid w:val="002678E2"/>
    <w:rPr>
      <w:color w:val="0563C1" w:themeColor="hyperlink"/>
      <w:u w:val="single"/>
    </w:rPr>
  </w:style>
  <w:style w:type="paragraph" w:styleId="TOC4">
    <w:name w:val="toc 4"/>
    <w:basedOn w:val="Normal"/>
    <w:next w:val="Normal"/>
    <w:autoRedefine/>
    <w:uiPriority w:val="39"/>
    <w:unhideWhenUsed/>
    <w:qFormat/>
    <w:rsid w:val="00E4081A"/>
    <w:pPr>
      <w:spacing w:before="0" w:after="0"/>
      <w:ind w:left="720"/>
      <w:jc w:val="left"/>
    </w:pPr>
    <w:rPr>
      <w:rFonts w:cstheme="minorHAnsi"/>
      <w:szCs w:val="18"/>
    </w:rPr>
  </w:style>
  <w:style w:type="paragraph" w:styleId="TOC5">
    <w:name w:val="toc 5"/>
    <w:basedOn w:val="Normal"/>
    <w:next w:val="Normal"/>
    <w:autoRedefine/>
    <w:uiPriority w:val="39"/>
    <w:unhideWhenUsed/>
    <w:qFormat/>
    <w:rsid w:val="00330927"/>
    <w:pPr>
      <w:spacing w:before="0" w:after="0"/>
      <w:ind w:left="960"/>
      <w:jc w:val="left"/>
    </w:pPr>
    <w:rPr>
      <w:rFonts w:asciiTheme="minorHAnsi" w:hAnsiTheme="minorHAnsi" w:cstheme="minorHAnsi"/>
      <w:sz w:val="18"/>
      <w:szCs w:val="18"/>
    </w:rPr>
  </w:style>
  <w:style w:type="character" w:styleId="UnresolvedMention">
    <w:name w:val="Unresolved Mention"/>
    <w:basedOn w:val="DefaultParagraphFont"/>
    <w:uiPriority w:val="99"/>
    <w:semiHidden/>
    <w:unhideWhenUsed/>
    <w:rsid w:val="008F7C00"/>
    <w:rPr>
      <w:color w:val="605E5C"/>
      <w:shd w:val="clear" w:color="auto" w:fill="E1DFDD"/>
    </w:rPr>
  </w:style>
  <w:style w:type="character" w:styleId="FollowedHyperlink">
    <w:name w:val="FollowedHyperlink"/>
    <w:basedOn w:val="DefaultParagraphFont"/>
    <w:uiPriority w:val="99"/>
    <w:semiHidden/>
    <w:unhideWhenUsed/>
    <w:rsid w:val="00A12BA1"/>
    <w:rPr>
      <w:color w:val="954F72" w:themeColor="followedHyperlink"/>
      <w:u w:val="single"/>
    </w:rPr>
  </w:style>
  <w:style w:type="paragraph" w:styleId="BalloonText">
    <w:name w:val="Balloon Text"/>
    <w:basedOn w:val="Normal"/>
    <w:link w:val="BalloonTextChar"/>
    <w:uiPriority w:val="99"/>
    <w:semiHidden/>
    <w:unhideWhenUsed/>
    <w:rsid w:val="00A47681"/>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47681"/>
    <w:rPr>
      <w:rFonts w:ascii="Segoe UI" w:hAnsi="Segoe UI" w:cs="Segoe UI"/>
      <w:sz w:val="18"/>
      <w:szCs w:val="18"/>
    </w:rPr>
  </w:style>
  <w:style w:type="paragraph" w:customStyle="1" w:styleId="Titleofthepaper">
    <w:name w:val="Title of the paper"/>
    <w:basedOn w:val="Normal"/>
    <w:link w:val="TitleofthepaperChar"/>
    <w:qFormat/>
    <w:rsid w:val="007C48CA"/>
    <w:pPr>
      <w:spacing w:before="480" w:after="600"/>
      <w:jc w:val="center"/>
    </w:pPr>
    <w:rPr>
      <w:b/>
      <w:smallCaps/>
      <w:sz w:val="48"/>
    </w:rPr>
  </w:style>
  <w:style w:type="character" w:customStyle="1" w:styleId="TitleofthepaperChar">
    <w:name w:val="Title of the paper Char"/>
    <w:basedOn w:val="DefaultParagraphFont"/>
    <w:link w:val="Titleofthepaper"/>
    <w:rsid w:val="007C48CA"/>
    <w:rPr>
      <w:rFonts w:ascii="Garamond" w:hAnsi="Garamond"/>
      <w:b/>
      <w:smallCaps/>
      <w:sz w:val="48"/>
    </w:rPr>
  </w:style>
  <w:style w:type="paragraph" w:styleId="TOC6">
    <w:name w:val="toc 6"/>
    <w:basedOn w:val="Normal"/>
    <w:next w:val="Normal"/>
    <w:autoRedefine/>
    <w:uiPriority w:val="39"/>
    <w:unhideWhenUsed/>
    <w:rsid w:val="00D34298"/>
    <w:pPr>
      <w:spacing w:before="0" w:after="0"/>
      <w:ind w:left="12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D34298"/>
    <w:pPr>
      <w:spacing w:before="0" w:after="0"/>
      <w:ind w:left="144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D34298"/>
    <w:pPr>
      <w:spacing w:before="0" w:after="0"/>
      <w:ind w:left="168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D34298"/>
    <w:pPr>
      <w:spacing w:before="0" w:after="0"/>
      <w:ind w:left="1920"/>
      <w:jc w:val="left"/>
    </w:pPr>
    <w:rPr>
      <w:rFonts w:asciiTheme="minorHAnsi" w:hAnsiTheme="minorHAnsi" w:cstheme="minorHAnsi"/>
      <w:sz w:val="18"/>
      <w:szCs w:val="18"/>
    </w:rPr>
  </w:style>
  <w:style w:type="paragraph" w:styleId="NoSpacing">
    <w:name w:val="No Spacing"/>
    <w:uiPriority w:val="1"/>
    <w:qFormat/>
    <w:rsid w:val="00E818FA"/>
    <w:pPr>
      <w:spacing w:after="0" w:line="240" w:lineRule="auto"/>
      <w:jc w:val="both"/>
    </w:pPr>
    <w:rPr>
      <w:rFonts w:ascii="Times New Roman" w:hAnsi="Times New Roman"/>
      <w:sz w:val="24"/>
    </w:rPr>
  </w:style>
  <w:style w:type="character" w:styleId="LineNumber">
    <w:name w:val="line number"/>
    <w:basedOn w:val="DefaultParagraphFont"/>
    <w:uiPriority w:val="99"/>
    <w:semiHidden/>
    <w:unhideWhenUsed/>
    <w:rsid w:val="003919FC"/>
  </w:style>
  <w:style w:type="paragraph" w:styleId="TableofFigures">
    <w:name w:val="table of figures"/>
    <w:basedOn w:val="Normal"/>
    <w:next w:val="Normal"/>
    <w:uiPriority w:val="99"/>
    <w:unhideWhenUsed/>
    <w:rsid w:val="00B53106"/>
    <w:pPr>
      <w:spacing w:after="0"/>
    </w:pPr>
  </w:style>
  <w:style w:type="table" w:styleId="GridTable1Light">
    <w:name w:val="Grid Table 1 Light"/>
    <w:basedOn w:val="TableNormal"/>
    <w:uiPriority w:val="46"/>
    <w:rsid w:val="00D1733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InTables">
    <w:name w:val="InTables"/>
    <w:basedOn w:val="Normal"/>
    <w:link w:val="InTablesChar"/>
    <w:qFormat/>
    <w:rsid w:val="00323D31"/>
    <w:pPr>
      <w:spacing w:before="0" w:after="0"/>
    </w:pPr>
    <w:rPr>
      <w:bCs/>
      <w:sz w:val="20"/>
      <w:lang w:val="sr-Latn-RS" w:bidi="en-US"/>
    </w:rPr>
  </w:style>
  <w:style w:type="character" w:customStyle="1" w:styleId="InTablesChar">
    <w:name w:val="InTables Char"/>
    <w:basedOn w:val="DefaultParagraphFont"/>
    <w:link w:val="InTables"/>
    <w:rsid w:val="00323D31"/>
    <w:rPr>
      <w:rFonts w:ascii="Garamond" w:hAnsi="Garamond"/>
      <w:bCs/>
      <w:sz w:val="20"/>
      <w:lang w:val="sr-Latn-RS" w:bidi="en-US"/>
    </w:rPr>
  </w:style>
  <w:style w:type="paragraph" w:styleId="Header">
    <w:name w:val="header"/>
    <w:basedOn w:val="Normal"/>
    <w:link w:val="HeaderChar"/>
    <w:uiPriority w:val="99"/>
    <w:unhideWhenUsed/>
    <w:rsid w:val="00B77BE2"/>
    <w:pPr>
      <w:tabs>
        <w:tab w:val="center" w:pos="4513"/>
        <w:tab w:val="right" w:pos="9026"/>
      </w:tabs>
      <w:spacing w:before="0" w:after="0"/>
    </w:pPr>
  </w:style>
  <w:style w:type="character" w:customStyle="1" w:styleId="HeaderChar">
    <w:name w:val="Header Char"/>
    <w:basedOn w:val="DefaultParagraphFont"/>
    <w:link w:val="Header"/>
    <w:uiPriority w:val="99"/>
    <w:rsid w:val="00B77BE2"/>
    <w:rPr>
      <w:rFonts w:ascii="Garamond" w:hAnsi="Garamond"/>
      <w:sz w:val="24"/>
    </w:rPr>
  </w:style>
  <w:style w:type="paragraph" w:styleId="Footer">
    <w:name w:val="footer"/>
    <w:basedOn w:val="Normal"/>
    <w:link w:val="FooterChar"/>
    <w:uiPriority w:val="99"/>
    <w:unhideWhenUsed/>
    <w:rsid w:val="00B77BE2"/>
    <w:pPr>
      <w:tabs>
        <w:tab w:val="center" w:pos="4513"/>
        <w:tab w:val="right" w:pos="9026"/>
      </w:tabs>
      <w:spacing w:before="0" w:after="0"/>
    </w:pPr>
  </w:style>
  <w:style w:type="character" w:customStyle="1" w:styleId="FooterChar">
    <w:name w:val="Footer Char"/>
    <w:basedOn w:val="DefaultParagraphFont"/>
    <w:link w:val="Footer"/>
    <w:uiPriority w:val="99"/>
    <w:rsid w:val="00B77BE2"/>
    <w:rPr>
      <w:rFonts w:ascii="Garamond" w:hAnsi="Garamond"/>
      <w:sz w:val="24"/>
    </w:rPr>
  </w:style>
  <w:style w:type="character" w:styleId="Strong">
    <w:name w:val="Strong"/>
    <w:basedOn w:val="DefaultParagraphFont"/>
    <w:uiPriority w:val="22"/>
    <w:qFormat/>
    <w:rsid w:val="005E319C"/>
    <w:rPr>
      <w:b/>
      <w:bCs/>
    </w:rPr>
  </w:style>
  <w:style w:type="character" w:styleId="CommentReference">
    <w:name w:val="annotation reference"/>
    <w:basedOn w:val="DefaultParagraphFont"/>
    <w:uiPriority w:val="99"/>
    <w:semiHidden/>
    <w:unhideWhenUsed/>
    <w:rsid w:val="00ED5371"/>
    <w:rPr>
      <w:sz w:val="16"/>
      <w:szCs w:val="16"/>
    </w:rPr>
  </w:style>
  <w:style w:type="paragraph" w:styleId="CommentText">
    <w:name w:val="annotation text"/>
    <w:basedOn w:val="Normal"/>
    <w:link w:val="CommentTextChar"/>
    <w:uiPriority w:val="99"/>
    <w:semiHidden/>
    <w:unhideWhenUsed/>
    <w:rsid w:val="00ED5371"/>
    <w:rPr>
      <w:sz w:val="20"/>
      <w:szCs w:val="20"/>
    </w:rPr>
  </w:style>
  <w:style w:type="character" w:customStyle="1" w:styleId="CommentTextChar">
    <w:name w:val="Comment Text Char"/>
    <w:basedOn w:val="DefaultParagraphFont"/>
    <w:link w:val="CommentText"/>
    <w:uiPriority w:val="99"/>
    <w:semiHidden/>
    <w:rsid w:val="00ED5371"/>
    <w:rPr>
      <w:rFonts w:ascii="Garamond" w:hAnsi="Garamond"/>
      <w:sz w:val="20"/>
      <w:szCs w:val="20"/>
    </w:rPr>
  </w:style>
  <w:style w:type="paragraph" w:styleId="CommentSubject">
    <w:name w:val="annotation subject"/>
    <w:basedOn w:val="CommentText"/>
    <w:next w:val="CommentText"/>
    <w:link w:val="CommentSubjectChar"/>
    <w:uiPriority w:val="99"/>
    <w:semiHidden/>
    <w:unhideWhenUsed/>
    <w:rsid w:val="00ED5371"/>
    <w:rPr>
      <w:b/>
      <w:bCs/>
    </w:rPr>
  </w:style>
  <w:style w:type="character" w:customStyle="1" w:styleId="CommentSubjectChar">
    <w:name w:val="Comment Subject Char"/>
    <w:basedOn w:val="CommentTextChar"/>
    <w:link w:val="CommentSubject"/>
    <w:uiPriority w:val="99"/>
    <w:semiHidden/>
    <w:rsid w:val="00ED5371"/>
    <w:rPr>
      <w:rFonts w:ascii="Garamond" w:hAnsi="Garamond"/>
      <w:b/>
      <w:bCs/>
      <w:sz w:val="20"/>
      <w:szCs w:val="20"/>
    </w:rPr>
  </w:style>
  <w:style w:type="paragraph" w:styleId="BodyText">
    <w:name w:val="Body Text"/>
    <w:basedOn w:val="Normal"/>
    <w:link w:val="BodyTextChar"/>
    <w:rsid w:val="002C2F27"/>
    <w:pPr>
      <w:spacing w:before="0"/>
      <w:jc w:val="left"/>
    </w:pPr>
    <w:rPr>
      <w:rFonts w:ascii="Times New Roman" w:eastAsia="Times New Roman" w:hAnsi="Times New Roman" w:cs="Times New Roman"/>
      <w:szCs w:val="24"/>
    </w:rPr>
  </w:style>
  <w:style w:type="character" w:customStyle="1" w:styleId="BodyTextChar">
    <w:name w:val="Body Text Char"/>
    <w:basedOn w:val="DefaultParagraphFont"/>
    <w:link w:val="BodyText"/>
    <w:rsid w:val="002C2F27"/>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929014">
      <w:bodyDiv w:val="1"/>
      <w:marLeft w:val="0"/>
      <w:marRight w:val="0"/>
      <w:marTop w:val="0"/>
      <w:marBottom w:val="0"/>
      <w:divBdr>
        <w:top w:val="none" w:sz="0" w:space="0" w:color="auto"/>
        <w:left w:val="none" w:sz="0" w:space="0" w:color="auto"/>
        <w:bottom w:val="none" w:sz="0" w:space="0" w:color="auto"/>
        <w:right w:val="none" w:sz="0" w:space="0" w:color="auto"/>
      </w:divBdr>
    </w:div>
    <w:div w:id="97919280">
      <w:bodyDiv w:val="1"/>
      <w:marLeft w:val="0"/>
      <w:marRight w:val="0"/>
      <w:marTop w:val="0"/>
      <w:marBottom w:val="0"/>
      <w:divBdr>
        <w:top w:val="none" w:sz="0" w:space="0" w:color="auto"/>
        <w:left w:val="none" w:sz="0" w:space="0" w:color="auto"/>
        <w:bottom w:val="none" w:sz="0" w:space="0" w:color="auto"/>
        <w:right w:val="none" w:sz="0" w:space="0" w:color="auto"/>
      </w:divBdr>
    </w:div>
    <w:div w:id="98374321">
      <w:bodyDiv w:val="1"/>
      <w:marLeft w:val="0"/>
      <w:marRight w:val="0"/>
      <w:marTop w:val="0"/>
      <w:marBottom w:val="0"/>
      <w:divBdr>
        <w:top w:val="none" w:sz="0" w:space="0" w:color="auto"/>
        <w:left w:val="none" w:sz="0" w:space="0" w:color="auto"/>
        <w:bottom w:val="none" w:sz="0" w:space="0" w:color="auto"/>
        <w:right w:val="none" w:sz="0" w:space="0" w:color="auto"/>
      </w:divBdr>
    </w:div>
    <w:div w:id="118229824">
      <w:bodyDiv w:val="1"/>
      <w:marLeft w:val="0"/>
      <w:marRight w:val="0"/>
      <w:marTop w:val="0"/>
      <w:marBottom w:val="0"/>
      <w:divBdr>
        <w:top w:val="none" w:sz="0" w:space="0" w:color="auto"/>
        <w:left w:val="none" w:sz="0" w:space="0" w:color="auto"/>
        <w:bottom w:val="none" w:sz="0" w:space="0" w:color="auto"/>
        <w:right w:val="none" w:sz="0" w:space="0" w:color="auto"/>
      </w:divBdr>
    </w:div>
    <w:div w:id="123621062">
      <w:bodyDiv w:val="1"/>
      <w:marLeft w:val="0"/>
      <w:marRight w:val="0"/>
      <w:marTop w:val="0"/>
      <w:marBottom w:val="0"/>
      <w:divBdr>
        <w:top w:val="none" w:sz="0" w:space="0" w:color="auto"/>
        <w:left w:val="none" w:sz="0" w:space="0" w:color="auto"/>
        <w:bottom w:val="none" w:sz="0" w:space="0" w:color="auto"/>
        <w:right w:val="none" w:sz="0" w:space="0" w:color="auto"/>
      </w:divBdr>
    </w:div>
    <w:div w:id="161051781">
      <w:bodyDiv w:val="1"/>
      <w:marLeft w:val="0"/>
      <w:marRight w:val="0"/>
      <w:marTop w:val="0"/>
      <w:marBottom w:val="0"/>
      <w:divBdr>
        <w:top w:val="none" w:sz="0" w:space="0" w:color="auto"/>
        <w:left w:val="none" w:sz="0" w:space="0" w:color="auto"/>
        <w:bottom w:val="none" w:sz="0" w:space="0" w:color="auto"/>
        <w:right w:val="none" w:sz="0" w:space="0" w:color="auto"/>
      </w:divBdr>
    </w:div>
    <w:div w:id="162476786">
      <w:bodyDiv w:val="1"/>
      <w:marLeft w:val="0"/>
      <w:marRight w:val="0"/>
      <w:marTop w:val="0"/>
      <w:marBottom w:val="0"/>
      <w:divBdr>
        <w:top w:val="none" w:sz="0" w:space="0" w:color="auto"/>
        <w:left w:val="none" w:sz="0" w:space="0" w:color="auto"/>
        <w:bottom w:val="none" w:sz="0" w:space="0" w:color="auto"/>
        <w:right w:val="none" w:sz="0" w:space="0" w:color="auto"/>
      </w:divBdr>
    </w:div>
    <w:div w:id="170726124">
      <w:bodyDiv w:val="1"/>
      <w:marLeft w:val="0"/>
      <w:marRight w:val="0"/>
      <w:marTop w:val="0"/>
      <w:marBottom w:val="0"/>
      <w:divBdr>
        <w:top w:val="none" w:sz="0" w:space="0" w:color="auto"/>
        <w:left w:val="none" w:sz="0" w:space="0" w:color="auto"/>
        <w:bottom w:val="none" w:sz="0" w:space="0" w:color="auto"/>
        <w:right w:val="none" w:sz="0" w:space="0" w:color="auto"/>
      </w:divBdr>
    </w:div>
    <w:div w:id="175198638">
      <w:bodyDiv w:val="1"/>
      <w:marLeft w:val="0"/>
      <w:marRight w:val="0"/>
      <w:marTop w:val="0"/>
      <w:marBottom w:val="0"/>
      <w:divBdr>
        <w:top w:val="none" w:sz="0" w:space="0" w:color="auto"/>
        <w:left w:val="none" w:sz="0" w:space="0" w:color="auto"/>
        <w:bottom w:val="none" w:sz="0" w:space="0" w:color="auto"/>
        <w:right w:val="none" w:sz="0" w:space="0" w:color="auto"/>
      </w:divBdr>
    </w:div>
    <w:div w:id="222177343">
      <w:bodyDiv w:val="1"/>
      <w:marLeft w:val="0"/>
      <w:marRight w:val="0"/>
      <w:marTop w:val="0"/>
      <w:marBottom w:val="0"/>
      <w:divBdr>
        <w:top w:val="none" w:sz="0" w:space="0" w:color="auto"/>
        <w:left w:val="none" w:sz="0" w:space="0" w:color="auto"/>
        <w:bottom w:val="none" w:sz="0" w:space="0" w:color="auto"/>
        <w:right w:val="none" w:sz="0" w:space="0" w:color="auto"/>
      </w:divBdr>
    </w:div>
    <w:div w:id="244386242">
      <w:bodyDiv w:val="1"/>
      <w:marLeft w:val="0"/>
      <w:marRight w:val="0"/>
      <w:marTop w:val="0"/>
      <w:marBottom w:val="0"/>
      <w:divBdr>
        <w:top w:val="none" w:sz="0" w:space="0" w:color="auto"/>
        <w:left w:val="none" w:sz="0" w:space="0" w:color="auto"/>
        <w:bottom w:val="none" w:sz="0" w:space="0" w:color="auto"/>
        <w:right w:val="none" w:sz="0" w:space="0" w:color="auto"/>
      </w:divBdr>
    </w:div>
    <w:div w:id="290332719">
      <w:bodyDiv w:val="1"/>
      <w:marLeft w:val="0"/>
      <w:marRight w:val="0"/>
      <w:marTop w:val="0"/>
      <w:marBottom w:val="0"/>
      <w:divBdr>
        <w:top w:val="none" w:sz="0" w:space="0" w:color="auto"/>
        <w:left w:val="none" w:sz="0" w:space="0" w:color="auto"/>
        <w:bottom w:val="none" w:sz="0" w:space="0" w:color="auto"/>
        <w:right w:val="none" w:sz="0" w:space="0" w:color="auto"/>
      </w:divBdr>
    </w:div>
    <w:div w:id="315691836">
      <w:bodyDiv w:val="1"/>
      <w:marLeft w:val="0"/>
      <w:marRight w:val="0"/>
      <w:marTop w:val="0"/>
      <w:marBottom w:val="0"/>
      <w:divBdr>
        <w:top w:val="none" w:sz="0" w:space="0" w:color="auto"/>
        <w:left w:val="none" w:sz="0" w:space="0" w:color="auto"/>
        <w:bottom w:val="none" w:sz="0" w:space="0" w:color="auto"/>
        <w:right w:val="none" w:sz="0" w:space="0" w:color="auto"/>
      </w:divBdr>
    </w:div>
    <w:div w:id="330449041">
      <w:bodyDiv w:val="1"/>
      <w:marLeft w:val="0"/>
      <w:marRight w:val="0"/>
      <w:marTop w:val="0"/>
      <w:marBottom w:val="0"/>
      <w:divBdr>
        <w:top w:val="none" w:sz="0" w:space="0" w:color="auto"/>
        <w:left w:val="none" w:sz="0" w:space="0" w:color="auto"/>
        <w:bottom w:val="none" w:sz="0" w:space="0" w:color="auto"/>
        <w:right w:val="none" w:sz="0" w:space="0" w:color="auto"/>
      </w:divBdr>
    </w:div>
    <w:div w:id="391662470">
      <w:bodyDiv w:val="1"/>
      <w:marLeft w:val="0"/>
      <w:marRight w:val="0"/>
      <w:marTop w:val="0"/>
      <w:marBottom w:val="0"/>
      <w:divBdr>
        <w:top w:val="none" w:sz="0" w:space="0" w:color="auto"/>
        <w:left w:val="none" w:sz="0" w:space="0" w:color="auto"/>
        <w:bottom w:val="none" w:sz="0" w:space="0" w:color="auto"/>
        <w:right w:val="none" w:sz="0" w:space="0" w:color="auto"/>
      </w:divBdr>
    </w:div>
    <w:div w:id="432286050">
      <w:bodyDiv w:val="1"/>
      <w:marLeft w:val="0"/>
      <w:marRight w:val="0"/>
      <w:marTop w:val="0"/>
      <w:marBottom w:val="0"/>
      <w:divBdr>
        <w:top w:val="none" w:sz="0" w:space="0" w:color="auto"/>
        <w:left w:val="none" w:sz="0" w:space="0" w:color="auto"/>
        <w:bottom w:val="none" w:sz="0" w:space="0" w:color="auto"/>
        <w:right w:val="none" w:sz="0" w:space="0" w:color="auto"/>
      </w:divBdr>
    </w:div>
    <w:div w:id="434447710">
      <w:bodyDiv w:val="1"/>
      <w:marLeft w:val="0"/>
      <w:marRight w:val="0"/>
      <w:marTop w:val="0"/>
      <w:marBottom w:val="0"/>
      <w:divBdr>
        <w:top w:val="none" w:sz="0" w:space="0" w:color="auto"/>
        <w:left w:val="none" w:sz="0" w:space="0" w:color="auto"/>
        <w:bottom w:val="none" w:sz="0" w:space="0" w:color="auto"/>
        <w:right w:val="none" w:sz="0" w:space="0" w:color="auto"/>
      </w:divBdr>
    </w:div>
    <w:div w:id="434986606">
      <w:bodyDiv w:val="1"/>
      <w:marLeft w:val="0"/>
      <w:marRight w:val="0"/>
      <w:marTop w:val="0"/>
      <w:marBottom w:val="0"/>
      <w:divBdr>
        <w:top w:val="none" w:sz="0" w:space="0" w:color="auto"/>
        <w:left w:val="none" w:sz="0" w:space="0" w:color="auto"/>
        <w:bottom w:val="none" w:sz="0" w:space="0" w:color="auto"/>
        <w:right w:val="none" w:sz="0" w:space="0" w:color="auto"/>
      </w:divBdr>
    </w:div>
    <w:div w:id="447357146">
      <w:bodyDiv w:val="1"/>
      <w:marLeft w:val="0"/>
      <w:marRight w:val="0"/>
      <w:marTop w:val="0"/>
      <w:marBottom w:val="0"/>
      <w:divBdr>
        <w:top w:val="none" w:sz="0" w:space="0" w:color="auto"/>
        <w:left w:val="none" w:sz="0" w:space="0" w:color="auto"/>
        <w:bottom w:val="none" w:sz="0" w:space="0" w:color="auto"/>
        <w:right w:val="none" w:sz="0" w:space="0" w:color="auto"/>
      </w:divBdr>
    </w:div>
    <w:div w:id="452332531">
      <w:bodyDiv w:val="1"/>
      <w:marLeft w:val="0"/>
      <w:marRight w:val="0"/>
      <w:marTop w:val="0"/>
      <w:marBottom w:val="0"/>
      <w:divBdr>
        <w:top w:val="none" w:sz="0" w:space="0" w:color="auto"/>
        <w:left w:val="none" w:sz="0" w:space="0" w:color="auto"/>
        <w:bottom w:val="none" w:sz="0" w:space="0" w:color="auto"/>
        <w:right w:val="none" w:sz="0" w:space="0" w:color="auto"/>
      </w:divBdr>
    </w:div>
    <w:div w:id="466975389">
      <w:bodyDiv w:val="1"/>
      <w:marLeft w:val="0"/>
      <w:marRight w:val="0"/>
      <w:marTop w:val="0"/>
      <w:marBottom w:val="0"/>
      <w:divBdr>
        <w:top w:val="none" w:sz="0" w:space="0" w:color="auto"/>
        <w:left w:val="none" w:sz="0" w:space="0" w:color="auto"/>
        <w:bottom w:val="none" w:sz="0" w:space="0" w:color="auto"/>
        <w:right w:val="none" w:sz="0" w:space="0" w:color="auto"/>
      </w:divBdr>
    </w:div>
    <w:div w:id="483551234">
      <w:bodyDiv w:val="1"/>
      <w:marLeft w:val="0"/>
      <w:marRight w:val="0"/>
      <w:marTop w:val="0"/>
      <w:marBottom w:val="0"/>
      <w:divBdr>
        <w:top w:val="none" w:sz="0" w:space="0" w:color="auto"/>
        <w:left w:val="none" w:sz="0" w:space="0" w:color="auto"/>
        <w:bottom w:val="none" w:sz="0" w:space="0" w:color="auto"/>
        <w:right w:val="none" w:sz="0" w:space="0" w:color="auto"/>
      </w:divBdr>
    </w:div>
    <w:div w:id="485322390">
      <w:bodyDiv w:val="1"/>
      <w:marLeft w:val="0"/>
      <w:marRight w:val="0"/>
      <w:marTop w:val="0"/>
      <w:marBottom w:val="0"/>
      <w:divBdr>
        <w:top w:val="none" w:sz="0" w:space="0" w:color="auto"/>
        <w:left w:val="none" w:sz="0" w:space="0" w:color="auto"/>
        <w:bottom w:val="none" w:sz="0" w:space="0" w:color="auto"/>
        <w:right w:val="none" w:sz="0" w:space="0" w:color="auto"/>
      </w:divBdr>
    </w:div>
    <w:div w:id="494076645">
      <w:bodyDiv w:val="1"/>
      <w:marLeft w:val="0"/>
      <w:marRight w:val="0"/>
      <w:marTop w:val="0"/>
      <w:marBottom w:val="0"/>
      <w:divBdr>
        <w:top w:val="none" w:sz="0" w:space="0" w:color="auto"/>
        <w:left w:val="none" w:sz="0" w:space="0" w:color="auto"/>
        <w:bottom w:val="none" w:sz="0" w:space="0" w:color="auto"/>
        <w:right w:val="none" w:sz="0" w:space="0" w:color="auto"/>
      </w:divBdr>
    </w:div>
    <w:div w:id="572203366">
      <w:bodyDiv w:val="1"/>
      <w:marLeft w:val="0"/>
      <w:marRight w:val="0"/>
      <w:marTop w:val="0"/>
      <w:marBottom w:val="0"/>
      <w:divBdr>
        <w:top w:val="none" w:sz="0" w:space="0" w:color="auto"/>
        <w:left w:val="none" w:sz="0" w:space="0" w:color="auto"/>
        <w:bottom w:val="none" w:sz="0" w:space="0" w:color="auto"/>
        <w:right w:val="none" w:sz="0" w:space="0" w:color="auto"/>
      </w:divBdr>
    </w:div>
    <w:div w:id="578439987">
      <w:bodyDiv w:val="1"/>
      <w:marLeft w:val="0"/>
      <w:marRight w:val="0"/>
      <w:marTop w:val="0"/>
      <w:marBottom w:val="0"/>
      <w:divBdr>
        <w:top w:val="none" w:sz="0" w:space="0" w:color="auto"/>
        <w:left w:val="none" w:sz="0" w:space="0" w:color="auto"/>
        <w:bottom w:val="none" w:sz="0" w:space="0" w:color="auto"/>
        <w:right w:val="none" w:sz="0" w:space="0" w:color="auto"/>
      </w:divBdr>
    </w:div>
    <w:div w:id="611285566">
      <w:bodyDiv w:val="1"/>
      <w:marLeft w:val="0"/>
      <w:marRight w:val="0"/>
      <w:marTop w:val="0"/>
      <w:marBottom w:val="0"/>
      <w:divBdr>
        <w:top w:val="none" w:sz="0" w:space="0" w:color="auto"/>
        <w:left w:val="none" w:sz="0" w:space="0" w:color="auto"/>
        <w:bottom w:val="none" w:sz="0" w:space="0" w:color="auto"/>
        <w:right w:val="none" w:sz="0" w:space="0" w:color="auto"/>
      </w:divBdr>
    </w:div>
    <w:div w:id="672341705">
      <w:bodyDiv w:val="1"/>
      <w:marLeft w:val="0"/>
      <w:marRight w:val="0"/>
      <w:marTop w:val="0"/>
      <w:marBottom w:val="0"/>
      <w:divBdr>
        <w:top w:val="none" w:sz="0" w:space="0" w:color="auto"/>
        <w:left w:val="none" w:sz="0" w:space="0" w:color="auto"/>
        <w:bottom w:val="none" w:sz="0" w:space="0" w:color="auto"/>
        <w:right w:val="none" w:sz="0" w:space="0" w:color="auto"/>
      </w:divBdr>
    </w:div>
    <w:div w:id="705714688">
      <w:bodyDiv w:val="1"/>
      <w:marLeft w:val="0"/>
      <w:marRight w:val="0"/>
      <w:marTop w:val="0"/>
      <w:marBottom w:val="0"/>
      <w:divBdr>
        <w:top w:val="none" w:sz="0" w:space="0" w:color="auto"/>
        <w:left w:val="none" w:sz="0" w:space="0" w:color="auto"/>
        <w:bottom w:val="none" w:sz="0" w:space="0" w:color="auto"/>
        <w:right w:val="none" w:sz="0" w:space="0" w:color="auto"/>
      </w:divBdr>
    </w:div>
    <w:div w:id="719331483">
      <w:bodyDiv w:val="1"/>
      <w:marLeft w:val="0"/>
      <w:marRight w:val="0"/>
      <w:marTop w:val="0"/>
      <w:marBottom w:val="0"/>
      <w:divBdr>
        <w:top w:val="none" w:sz="0" w:space="0" w:color="auto"/>
        <w:left w:val="none" w:sz="0" w:space="0" w:color="auto"/>
        <w:bottom w:val="none" w:sz="0" w:space="0" w:color="auto"/>
        <w:right w:val="none" w:sz="0" w:space="0" w:color="auto"/>
      </w:divBdr>
    </w:div>
    <w:div w:id="719943179">
      <w:bodyDiv w:val="1"/>
      <w:marLeft w:val="0"/>
      <w:marRight w:val="0"/>
      <w:marTop w:val="0"/>
      <w:marBottom w:val="0"/>
      <w:divBdr>
        <w:top w:val="none" w:sz="0" w:space="0" w:color="auto"/>
        <w:left w:val="none" w:sz="0" w:space="0" w:color="auto"/>
        <w:bottom w:val="none" w:sz="0" w:space="0" w:color="auto"/>
        <w:right w:val="none" w:sz="0" w:space="0" w:color="auto"/>
      </w:divBdr>
    </w:div>
    <w:div w:id="726875698">
      <w:bodyDiv w:val="1"/>
      <w:marLeft w:val="0"/>
      <w:marRight w:val="0"/>
      <w:marTop w:val="0"/>
      <w:marBottom w:val="0"/>
      <w:divBdr>
        <w:top w:val="none" w:sz="0" w:space="0" w:color="auto"/>
        <w:left w:val="none" w:sz="0" w:space="0" w:color="auto"/>
        <w:bottom w:val="none" w:sz="0" w:space="0" w:color="auto"/>
        <w:right w:val="none" w:sz="0" w:space="0" w:color="auto"/>
      </w:divBdr>
    </w:div>
    <w:div w:id="734474890">
      <w:bodyDiv w:val="1"/>
      <w:marLeft w:val="0"/>
      <w:marRight w:val="0"/>
      <w:marTop w:val="0"/>
      <w:marBottom w:val="0"/>
      <w:divBdr>
        <w:top w:val="none" w:sz="0" w:space="0" w:color="auto"/>
        <w:left w:val="none" w:sz="0" w:space="0" w:color="auto"/>
        <w:bottom w:val="none" w:sz="0" w:space="0" w:color="auto"/>
        <w:right w:val="none" w:sz="0" w:space="0" w:color="auto"/>
      </w:divBdr>
    </w:div>
    <w:div w:id="741831000">
      <w:bodyDiv w:val="1"/>
      <w:marLeft w:val="0"/>
      <w:marRight w:val="0"/>
      <w:marTop w:val="0"/>
      <w:marBottom w:val="0"/>
      <w:divBdr>
        <w:top w:val="none" w:sz="0" w:space="0" w:color="auto"/>
        <w:left w:val="none" w:sz="0" w:space="0" w:color="auto"/>
        <w:bottom w:val="none" w:sz="0" w:space="0" w:color="auto"/>
        <w:right w:val="none" w:sz="0" w:space="0" w:color="auto"/>
      </w:divBdr>
    </w:div>
    <w:div w:id="753014857">
      <w:bodyDiv w:val="1"/>
      <w:marLeft w:val="0"/>
      <w:marRight w:val="0"/>
      <w:marTop w:val="0"/>
      <w:marBottom w:val="0"/>
      <w:divBdr>
        <w:top w:val="none" w:sz="0" w:space="0" w:color="auto"/>
        <w:left w:val="none" w:sz="0" w:space="0" w:color="auto"/>
        <w:bottom w:val="none" w:sz="0" w:space="0" w:color="auto"/>
        <w:right w:val="none" w:sz="0" w:space="0" w:color="auto"/>
      </w:divBdr>
    </w:div>
    <w:div w:id="755784927">
      <w:bodyDiv w:val="1"/>
      <w:marLeft w:val="0"/>
      <w:marRight w:val="0"/>
      <w:marTop w:val="0"/>
      <w:marBottom w:val="0"/>
      <w:divBdr>
        <w:top w:val="none" w:sz="0" w:space="0" w:color="auto"/>
        <w:left w:val="none" w:sz="0" w:space="0" w:color="auto"/>
        <w:bottom w:val="none" w:sz="0" w:space="0" w:color="auto"/>
        <w:right w:val="none" w:sz="0" w:space="0" w:color="auto"/>
      </w:divBdr>
    </w:div>
    <w:div w:id="786124863">
      <w:bodyDiv w:val="1"/>
      <w:marLeft w:val="0"/>
      <w:marRight w:val="0"/>
      <w:marTop w:val="0"/>
      <w:marBottom w:val="0"/>
      <w:divBdr>
        <w:top w:val="none" w:sz="0" w:space="0" w:color="auto"/>
        <w:left w:val="none" w:sz="0" w:space="0" w:color="auto"/>
        <w:bottom w:val="none" w:sz="0" w:space="0" w:color="auto"/>
        <w:right w:val="none" w:sz="0" w:space="0" w:color="auto"/>
      </w:divBdr>
    </w:div>
    <w:div w:id="828907030">
      <w:bodyDiv w:val="1"/>
      <w:marLeft w:val="0"/>
      <w:marRight w:val="0"/>
      <w:marTop w:val="0"/>
      <w:marBottom w:val="0"/>
      <w:divBdr>
        <w:top w:val="none" w:sz="0" w:space="0" w:color="auto"/>
        <w:left w:val="none" w:sz="0" w:space="0" w:color="auto"/>
        <w:bottom w:val="none" w:sz="0" w:space="0" w:color="auto"/>
        <w:right w:val="none" w:sz="0" w:space="0" w:color="auto"/>
      </w:divBdr>
    </w:div>
    <w:div w:id="849488577">
      <w:bodyDiv w:val="1"/>
      <w:marLeft w:val="0"/>
      <w:marRight w:val="0"/>
      <w:marTop w:val="0"/>
      <w:marBottom w:val="0"/>
      <w:divBdr>
        <w:top w:val="none" w:sz="0" w:space="0" w:color="auto"/>
        <w:left w:val="none" w:sz="0" w:space="0" w:color="auto"/>
        <w:bottom w:val="none" w:sz="0" w:space="0" w:color="auto"/>
        <w:right w:val="none" w:sz="0" w:space="0" w:color="auto"/>
      </w:divBdr>
    </w:div>
    <w:div w:id="855078913">
      <w:bodyDiv w:val="1"/>
      <w:marLeft w:val="0"/>
      <w:marRight w:val="0"/>
      <w:marTop w:val="0"/>
      <w:marBottom w:val="0"/>
      <w:divBdr>
        <w:top w:val="none" w:sz="0" w:space="0" w:color="auto"/>
        <w:left w:val="none" w:sz="0" w:space="0" w:color="auto"/>
        <w:bottom w:val="none" w:sz="0" w:space="0" w:color="auto"/>
        <w:right w:val="none" w:sz="0" w:space="0" w:color="auto"/>
      </w:divBdr>
    </w:div>
    <w:div w:id="882909647">
      <w:bodyDiv w:val="1"/>
      <w:marLeft w:val="0"/>
      <w:marRight w:val="0"/>
      <w:marTop w:val="0"/>
      <w:marBottom w:val="0"/>
      <w:divBdr>
        <w:top w:val="none" w:sz="0" w:space="0" w:color="auto"/>
        <w:left w:val="none" w:sz="0" w:space="0" w:color="auto"/>
        <w:bottom w:val="none" w:sz="0" w:space="0" w:color="auto"/>
        <w:right w:val="none" w:sz="0" w:space="0" w:color="auto"/>
      </w:divBdr>
    </w:div>
    <w:div w:id="896431501">
      <w:bodyDiv w:val="1"/>
      <w:marLeft w:val="0"/>
      <w:marRight w:val="0"/>
      <w:marTop w:val="0"/>
      <w:marBottom w:val="0"/>
      <w:divBdr>
        <w:top w:val="none" w:sz="0" w:space="0" w:color="auto"/>
        <w:left w:val="none" w:sz="0" w:space="0" w:color="auto"/>
        <w:bottom w:val="none" w:sz="0" w:space="0" w:color="auto"/>
        <w:right w:val="none" w:sz="0" w:space="0" w:color="auto"/>
      </w:divBdr>
    </w:div>
    <w:div w:id="912352069">
      <w:bodyDiv w:val="1"/>
      <w:marLeft w:val="0"/>
      <w:marRight w:val="0"/>
      <w:marTop w:val="0"/>
      <w:marBottom w:val="0"/>
      <w:divBdr>
        <w:top w:val="none" w:sz="0" w:space="0" w:color="auto"/>
        <w:left w:val="none" w:sz="0" w:space="0" w:color="auto"/>
        <w:bottom w:val="none" w:sz="0" w:space="0" w:color="auto"/>
        <w:right w:val="none" w:sz="0" w:space="0" w:color="auto"/>
      </w:divBdr>
    </w:div>
    <w:div w:id="935595576">
      <w:bodyDiv w:val="1"/>
      <w:marLeft w:val="0"/>
      <w:marRight w:val="0"/>
      <w:marTop w:val="0"/>
      <w:marBottom w:val="0"/>
      <w:divBdr>
        <w:top w:val="none" w:sz="0" w:space="0" w:color="auto"/>
        <w:left w:val="none" w:sz="0" w:space="0" w:color="auto"/>
        <w:bottom w:val="none" w:sz="0" w:space="0" w:color="auto"/>
        <w:right w:val="none" w:sz="0" w:space="0" w:color="auto"/>
      </w:divBdr>
    </w:div>
    <w:div w:id="970523830">
      <w:bodyDiv w:val="1"/>
      <w:marLeft w:val="0"/>
      <w:marRight w:val="0"/>
      <w:marTop w:val="0"/>
      <w:marBottom w:val="0"/>
      <w:divBdr>
        <w:top w:val="none" w:sz="0" w:space="0" w:color="auto"/>
        <w:left w:val="none" w:sz="0" w:space="0" w:color="auto"/>
        <w:bottom w:val="none" w:sz="0" w:space="0" w:color="auto"/>
        <w:right w:val="none" w:sz="0" w:space="0" w:color="auto"/>
      </w:divBdr>
    </w:div>
    <w:div w:id="1013412786">
      <w:bodyDiv w:val="1"/>
      <w:marLeft w:val="0"/>
      <w:marRight w:val="0"/>
      <w:marTop w:val="0"/>
      <w:marBottom w:val="0"/>
      <w:divBdr>
        <w:top w:val="none" w:sz="0" w:space="0" w:color="auto"/>
        <w:left w:val="none" w:sz="0" w:space="0" w:color="auto"/>
        <w:bottom w:val="none" w:sz="0" w:space="0" w:color="auto"/>
        <w:right w:val="none" w:sz="0" w:space="0" w:color="auto"/>
      </w:divBdr>
    </w:div>
    <w:div w:id="1015032053">
      <w:bodyDiv w:val="1"/>
      <w:marLeft w:val="0"/>
      <w:marRight w:val="0"/>
      <w:marTop w:val="0"/>
      <w:marBottom w:val="0"/>
      <w:divBdr>
        <w:top w:val="none" w:sz="0" w:space="0" w:color="auto"/>
        <w:left w:val="none" w:sz="0" w:space="0" w:color="auto"/>
        <w:bottom w:val="none" w:sz="0" w:space="0" w:color="auto"/>
        <w:right w:val="none" w:sz="0" w:space="0" w:color="auto"/>
      </w:divBdr>
    </w:div>
    <w:div w:id="1081564908">
      <w:bodyDiv w:val="1"/>
      <w:marLeft w:val="0"/>
      <w:marRight w:val="0"/>
      <w:marTop w:val="0"/>
      <w:marBottom w:val="0"/>
      <w:divBdr>
        <w:top w:val="none" w:sz="0" w:space="0" w:color="auto"/>
        <w:left w:val="none" w:sz="0" w:space="0" w:color="auto"/>
        <w:bottom w:val="none" w:sz="0" w:space="0" w:color="auto"/>
        <w:right w:val="none" w:sz="0" w:space="0" w:color="auto"/>
      </w:divBdr>
    </w:div>
    <w:div w:id="1165630470">
      <w:bodyDiv w:val="1"/>
      <w:marLeft w:val="0"/>
      <w:marRight w:val="0"/>
      <w:marTop w:val="0"/>
      <w:marBottom w:val="0"/>
      <w:divBdr>
        <w:top w:val="none" w:sz="0" w:space="0" w:color="auto"/>
        <w:left w:val="none" w:sz="0" w:space="0" w:color="auto"/>
        <w:bottom w:val="none" w:sz="0" w:space="0" w:color="auto"/>
        <w:right w:val="none" w:sz="0" w:space="0" w:color="auto"/>
      </w:divBdr>
    </w:div>
    <w:div w:id="1176067652">
      <w:bodyDiv w:val="1"/>
      <w:marLeft w:val="0"/>
      <w:marRight w:val="0"/>
      <w:marTop w:val="0"/>
      <w:marBottom w:val="0"/>
      <w:divBdr>
        <w:top w:val="none" w:sz="0" w:space="0" w:color="auto"/>
        <w:left w:val="none" w:sz="0" w:space="0" w:color="auto"/>
        <w:bottom w:val="none" w:sz="0" w:space="0" w:color="auto"/>
        <w:right w:val="none" w:sz="0" w:space="0" w:color="auto"/>
      </w:divBdr>
    </w:div>
    <w:div w:id="1197112456">
      <w:bodyDiv w:val="1"/>
      <w:marLeft w:val="0"/>
      <w:marRight w:val="0"/>
      <w:marTop w:val="0"/>
      <w:marBottom w:val="0"/>
      <w:divBdr>
        <w:top w:val="none" w:sz="0" w:space="0" w:color="auto"/>
        <w:left w:val="none" w:sz="0" w:space="0" w:color="auto"/>
        <w:bottom w:val="none" w:sz="0" w:space="0" w:color="auto"/>
        <w:right w:val="none" w:sz="0" w:space="0" w:color="auto"/>
      </w:divBdr>
    </w:div>
    <w:div w:id="1232889246">
      <w:bodyDiv w:val="1"/>
      <w:marLeft w:val="0"/>
      <w:marRight w:val="0"/>
      <w:marTop w:val="0"/>
      <w:marBottom w:val="0"/>
      <w:divBdr>
        <w:top w:val="none" w:sz="0" w:space="0" w:color="auto"/>
        <w:left w:val="none" w:sz="0" w:space="0" w:color="auto"/>
        <w:bottom w:val="none" w:sz="0" w:space="0" w:color="auto"/>
        <w:right w:val="none" w:sz="0" w:space="0" w:color="auto"/>
      </w:divBdr>
    </w:div>
    <w:div w:id="1261256067">
      <w:bodyDiv w:val="1"/>
      <w:marLeft w:val="0"/>
      <w:marRight w:val="0"/>
      <w:marTop w:val="0"/>
      <w:marBottom w:val="0"/>
      <w:divBdr>
        <w:top w:val="none" w:sz="0" w:space="0" w:color="auto"/>
        <w:left w:val="none" w:sz="0" w:space="0" w:color="auto"/>
        <w:bottom w:val="none" w:sz="0" w:space="0" w:color="auto"/>
        <w:right w:val="none" w:sz="0" w:space="0" w:color="auto"/>
      </w:divBdr>
    </w:div>
    <w:div w:id="1368603729">
      <w:bodyDiv w:val="1"/>
      <w:marLeft w:val="0"/>
      <w:marRight w:val="0"/>
      <w:marTop w:val="0"/>
      <w:marBottom w:val="0"/>
      <w:divBdr>
        <w:top w:val="none" w:sz="0" w:space="0" w:color="auto"/>
        <w:left w:val="none" w:sz="0" w:space="0" w:color="auto"/>
        <w:bottom w:val="none" w:sz="0" w:space="0" w:color="auto"/>
        <w:right w:val="none" w:sz="0" w:space="0" w:color="auto"/>
      </w:divBdr>
    </w:div>
    <w:div w:id="1374190200">
      <w:bodyDiv w:val="1"/>
      <w:marLeft w:val="0"/>
      <w:marRight w:val="0"/>
      <w:marTop w:val="0"/>
      <w:marBottom w:val="0"/>
      <w:divBdr>
        <w:top w:val="none" w:sz="0" w:space="0" w:color="auto"/>
        <w:left w:val="none" w:sz="0" w:space="0" w:color="auto"/>
        <w:bottom w:val="none" w:sz="0" w:space="0" w:color="auto"/>
        <w:right w:val="none" w:sz="0" w:space="0" w:color="auto"/>
      </w:divBdr>
    </w:div>
    <w:div w:id="1403989871">
      <w:bodyDiv w:val="1"/>
      <w:marLeft w:val="0"/>
      <w:marRight w:val="0"/>
      <w:marTop w:val="0"/>
      <w:marBottom w:val="0"/>
      <w:divBdr>
        <w:top w:val="none" w:sz="0" w:space="0" w:color="auto"/>
        <w:left w:val="none" w:sz="0" w:space="0" w:color="auto"/>
        <w:bottom w:val="none" w:sz="0" w:space="0" w:color="auto"/>
        <w:right w:val="none" w:sz="0" w:space="0" w:color="auto"/>
      </w:divBdr>
    </w:div>
    <w:div w:id="1443920060">
      <w:bodyDiv w:val="1"/>
      <w:marLeft w:val="0"/>
      <w:marRight w:val="0"/>
      <w:marTop w:val="0"/>
      <w:marBottom w:val="0"/>
      <w:divBdr>
        <w:top w:val="none" w:sz="0" w:space="0" w:color="auto"/>
        <w:left w:val="none" w:sz="0" w:space="0" w:color="auto"/>
        <w:bottom w:val="none" w:sz="0" w:space="0" w:color="auto"/>
        <w:right w:val="none" w:sz="0" w:space="0" w:color="auto"/>
      </w:divBdr>
    </w:div>
    <w:div w:id="1444182740">
      <w:bodyDiv w:val="1"/>
      <w:marLeft w:val="0"/>
      <w:marRight w:val="0"/>
      <w:marTop w:val="0"/>
      <w:marBottom w:val="0"/>
      <w:divBdr>
        <w:top w:val="none" w:sz="0" w:space="0" w:color="auto"/>
        <w:left w:val="none" w:sz="0" w:space="0" w:color="auto"/>
        <w:bottom w:val="none" w:sz="0" w:space="0" w:color="auto"/>
        <w:right w:val="none" w:sz="0" w:space="0" w:color="auto"/>
      </w:divBdr>
    </w:div>
    <w:div w:id="1462529558">
      <w:bodyDiv w:val="1"/>
      <w:marLeft w:val="0"/>
      <w:marRight w:val="0"/>
      <w:marTop w:val="0"/>
      <w:marBottom w:val="0"/>
      <w:divBdr>
        <w:top w:val="none" w:sz="0" w:space="0" w:color="auto"/>
        <w:left w:val="none" w:sz="0" w:space="0" w:color="auto"/>
        <w:bottom w:val="none" w:sz="0" w:space="0" w:color="auto"/>
        <w:right w:val="none" w:sz="0" w:space="0" w:color="auto"/>
      </w:divBdr>
    </w:div>
    <w:div w:id="1465466749">
      <w:bodyDiv w:val="1"/>
      <w:marLeft w:val="0"/>
      <w:marRight w:val="0"/>
      <w:marTop w:val="0"/>
      <w:marBottom w:val="0"/>
      <w:divBdr>
        <w:top w:val="none" w:sz="0" w:space="0" w:color="auto"/>
        <w:left w:val="none" w:sz="0" w:space="0" w:color="auto"/>
        <w:bottom w:val="none" w:sz="0" w:space="0" w:color="auto"/>
        <w:right w:val="none" w:sz="0" w:space="0" w:color="auto"/>
      </w:divBdr>
    </w:div>
    <w:div w:id="1476026743">
      <w:bodyDiv w:val="1"/>
      <w:marLeft w:val="0"/>
      <w:marRight w:val="0"/>
      <w:marTop w:val="0"/>
      <w:marBottom w:val="0"/>
      <w:divBdr>
        <w:top w:val="none" w:sz="0" w:space="0" w:color="auto"/>
        <w:left w:val="none" w:sz="0" w:space="0" w:color="auto"/>
        <w:bottom w:val="none" w:sz="0" w:space="0" w:color="auto"/>
        <w:right w:val="none" w:sz="0" w:space="0" w:color="auto"/>
      </w:divBdr>
    </w:div>
    <w:div w:id="1547521607">
      <w:bodyDiv w:val="1"/>
      <w:marLeft w:val="0"/>
      <w:marRight w:val="0"/>
      <w:marTop w:val="0"/>
      <w:marBottom w:val="0"/>
      <w:divBdr>
        <w:top w:val="none" w:sz="0" w:space="0" w:color="auto"/>
        <w:left w:val="none" w:sz="0" w:space="0" w:color="auto"/>
        <w:bottom w:val="none" w:sz="0" w:space="0" w:color="auto"/>
        <w:right w:val="none" w:sz="0" w:space="0" w:color="auto"/>
      </w:divBdr>
    </w:div>
    <w:div w:id="1552156194">
      <w:bodyDiv w:val="1"/>
      <w:marLeft w:val="0"/>
      <w:marRight w:val="0"/>
      <w:marTop w:val="0"/>
      <w:marBottom w:val="0"/>
      <w:divBdr>
        <w:top w:val="none" w:sz="0" w:space="0" w:color="auto"/>
        <w:left w:val="none" w:sz="0" w:space="0" w:color="auto"/>
        <w:bottom w:val="none" w:sz="0" w:space="0" w:color="auto"/>
        <w:right w:val="none" w:sz="0" w:space="0" w:color="auto"/>
      </w:divBdr>
    </w:div>
    <w:div w:id="1574197296">
      <w:bodyDiv w:val="1"/>
      <w:marLeft w:val="0"/>
      <w:marRight w:val="0"/>
      <w:marTop w:val="0"/>
      <w:marBottom w:val="0"/>
      <w:divBdr>
        <w:top w:val="none" w:sz="0" w:space="0" w:color="auto"/>
        <w:left w:val="none" w:sz="0" w:space="0" w:color="auto"/>
        <w:bottom w:val="none" w:sz="0" w:space="0" w:color="auto"/>
        <w:right w:val="none" w:sz="0" w:space="0" w:color="auto"/>
      </w:divBdr>
    </w:div>
    <w:div w:id="1583681101">
      <w:bodyDiv w:val="1"/>
      <w:marLeft w:val="0"/>
      <w:marRight w:val="0"/>
      <w:marTop w:val="0"/>
      <w:marBottom w:val="0"/>
      <w:divBdr>
        <w:top w:val="none" w:sz="0" w:space="0" w:color="auto"/>
        <w:left w:val="none" w:sz="0" w:space="0" w:color="auto"/>
        <w:bottom w:val="none" w:sz="0" w:space="0" w:color="auto"/>
        <w:right w:val="none" w:sz="0" w:space="0" w:color="auto"/>
      </w:divBdr>
    </w:div>
    <w:div w:id="1585989962">
      <w:bodyDiv w:val="1"/>
      <w:marLeft w:val="0"/>
      <w:marRight w:val="0"/>
      <w:marTop w:val="0"/>
      <w:marBottom w:val="0"/>
      <w:divBdr>
        <w:top w:val="none" w:sz="0" w:space="0" w:color="auto"/>
        <w:left w:val="none" w:sz="0" w:space="0" w:color="auto"/>
        <w:bottom w:val="none" w:sz="0" w:space="0" w:color="auto"/>
        <w:right w:val="none" w:sz="0" w:space="0" w:color="auto"/>
      </w:divBdr>
    </w:div>
    <w:div w:id="1654529857">
      <w:bodyDiv w:val="1"/>
      <w:marLeft w:val="0"/>
      <w:marRight w:val="0"/>
      <w:marTop w:val="0"/>
      <w:marBottom w:val="0"/>
      <w:divBdr>
        <w:top w:val="none" w:sz="0" w:space="0" w:color="auto"/>
        <w:left w:val="none" w:sz="0" w:space="0" w:color="auto"/>
        <w:bottom w:val="none" w:sz="0" w:space="0" w:color="auto"/>
        <w:right w:val="none" w:sz="0" w:space="0" w:color="auto"/>
      </w:divBdr>
    </w:div>
    <w:div w:id="1662806978">
      <w:bodyDiv w:val="1"/>
      <w:marLeft w:val="0"/>
      <w:marRight w:val="0"/>
      <w:marTop w:val="0"/>
      <w:marBottom w:val="0"/>
      <w:divBdr>
        <w:top w:val="none" w:sz="0" w:space="0" w:color="auto"/>
        <w:left w:val="none" w:sz="0" w:space="0" w:color="auto"/>
        <w:bottom w:val="none" w:sz="0" w:space="0" w:color="auto"/>
        <w:right w:val="none" w:sz="0" w:space="0" w:color="auto"/>
      </w:divBdr>
    </w:div>
    <w:div w:id="1716394594">
      <w:bodyDiv w:val="1"/>
      <w:marLeft w:val="0"/>
      <w:marRight w:val="0"/>
      <w:marTop w:val="0"/>
      <w:marBottom w:val="0"/>
      <w:divBdr>
        <w:top w:val="none" w:sz="0" w:space="0" w:color="auto"/>
        <w:left w:val="none" w:sz="0" w:space="0" w:color="auto"/>
        <w:bottom w:val="none" w:sz="0" w:space="0" w:color="auto"/>
        <w:right w:val="none" w:sz="0" w:space="0" w:color="auto"/>
      </w:divBdr>
    </w:div>
    <w:div w:id="1721057844">
      <w:bodyDiv w:val="1"/>
      <w:marLeft w:val="0"/>
      <w:marRight w:val="0"/>
      <w:marTop w:val="0"/>
      <w:marBottom w:val="0"/>
      <w:divBdr>
        <w:top w:val="none" w:sz="0" w:space="0" w:color="auto"/>
        <w:left w:val="none" w:sz="0" w:space="0" w:color="auto"/>
        <w:bottom w:val="none" w:sz="0" w:space="0" w:color="auto"/>
        <w:right w:val="none" w:sz="0" w:space="0" w:color="auto"/>
      </w:divBdr>
    </w:div>
    <w:div w:id="1736932578">
      <w:bodyDiv w:val="1"/>
      <w:marLeft w:val="0"/>
      <w:marRight w:val="0"/>
      <w:marTop w:val="0"/>
      <w:marBottom w:val="0"/>
      <w:divBdr>
        <w:top w:val="none" w:sz="0" w:space="0" w:color="auto"/>
        <w:left w:val="none" w:sz="0" w:space="0" w:color="auto"/>
        <w:bottom w:val="none" w:sz="0" w:space="0" w:color="auto"/>
        <w:right w:val="none" w:sz="0" w:space="0" w:color="auto"/>
      </w:divBdr>
    </w:div>
    <w:div w:id="1765343618">
      <w:bodyDiv w:val="1"/>
      <w:marLeft w:val="0"/>
      <w:marRight w:val="0"/>
      <w:marTop w:val="0"/>
      <w:marBottom w:val="0"/>
      <w:divBdr>
        <w:top w:val="none" w:sz="0" w:space="0" w:color="auto"/>
        <w:left w:val="none" w:sz="0" w:space="0" w:color="auto"/>
        <w:bottom w:val="none" w:sz="0" w:space="0" w:color="auto"/>
        <w:right w:val="none" w:sz="0" w:space="0" w:color="auto"/>
      </w:divBdr>
    </w:div>
    <w:div w:id="1768690848">
      <w:bodyDiv w:val="1"/>
      <w:marLeft w:val="0"/>
      <w:marRight w:val="0"/>
      <w:marTop w:val="0"/>
      <w:marBottom w:val="0"/>
      <w:divBdr>
        <w:top w:val="none" w:sz="0" w:space="0" w:color="auto"/>
        <w:left w:val="none" w:sz="0" w:space="0" w:color="auto"/>
        <w:bottom w:val="none" w:sz="0" w:space="0" w:color="auto"/>
        <w:right w:val="none" w:sz="0" w:space="0" w:color="auto"/>
      </w:divBdr>
    </w:div>
    <w:div w:id="1789356255">
      <w:bodyDiv w:val="1"/>
      <w:marLeft w:val="0"/>
      <w:marRight w:val="0"/>
      <w:marTop w:val="0"/>
      <w:marBottom w:val="0"/>
      <w:divBdr>
        <w:top w:val="none" w:sz="0" w:space="0" w:color="auto"/>
        <w:left w:val="none" w:sz="0" w:space="0" w:color="auto"/>
        <w:bottom w:val="none" w:sz="0" w:space="0" w:color="auto"/>
        <w:right w:val="none" w:sz="0" w:space="0" w:color="auto"/>
      </w:divBdr>
    </w:div>
    <w:div w:id="1810900264">
      <w:bodyDiv w:val="1"/>
      <w:marLeft w:val="0"/>
      <w:marRight w:val="0"/>
      <w:marTop w:val="0"/>
      <w:marBottom w:val="0"/>
      <w:divBdr>
        <w:top w:val="none" w:sz="0" w:space="0" w:color="auto"/>
        <w:left w:val="none" w:sz="0" w:space="0" w:color="auto"/>
        <w:bottom w:val="none" w:sz="0" w:space="0" w:color="auto"/>
        <w:right w:val="none" w:sz="0" w:space="0" w:color="auto"/>
      </w:divBdr>
    </w:div>
    <w:div w:id="1849442338">
      <w:bodyDiv w:val="1"/>
      <w:marLeft w:val="0"/>
      <w:marRight w:val="0"/>
      <w:marTop w:val="0"/>
      <w:marBottom w:val="0"/>
      <w:divBdr>
        <w:top w:val="none" w:sz="0" w:space="0" w:color="auto"/>
        <w:left w:val="none" w:sz="0" w:space="0" w:color="auto"/>
        <w:bottom w:val="none" w:sz="0" w:space="0" w:color="auto"/>
        <w:right w:val="none" w:sz="0" w:space="0" w:color="auto"/>
      </w:divBdr>
    </w:div>
    <w:div w:id="1869445058">
      <w:bodyDiv w:val="1"/>
      <w:marLeft w:val="0"/>
      <w:marRight w:val="0"/>
      <w:marTop w:val="0"/>
      <w:marBottom w:val="0"/>
      <w:divBdr>
        <w:top w:val="none" w:sz="0" w:space="0" w:color="auto"/>
        <w:left w:val="none" w:sz="0" w:space="0" w:color="auto"/>
        <w:bottom w:val="none" w:sz="0" w:space="0" w:color="auto"/>
        <w:right w:val="none" w:sz="0" w:space="0" w:color="auto"/>
      </w:divBdr>
    </w:div>
    <w:div w:id="1873685659">
      <w:bodyDiv w:val="1"/>
      <w:marLeft w:val="0"/>
      <w:marRight w:val="0"/>
      <w:marTop w:val="0"/>
      <w:marBottom w:val="0"/>
      <w:divBdr>
        <w:top w:val="none" w:sz="0" w:space="0" w:color="auto"/>
        <w:left w:val="none" w:sz="0" w:space="0" w:color="auto"/>
        <w:bottom w:val="none" w:sz="0" w:space="0" w:color="auto"/>
        <w:right w:val="none" w:sz="0" w:space="0" w:color="auto"/>
      </w:divBdr>
    </w:div>
    <w:div w:id="1891260197">
      <w:bodyDiv w:val="1"/>
      <w:marLeft w:val="0"/>
      <w:marRight w:val="0"/>
      <w:marTop w:val="0"/>
      <w:marBottom w:val="0"/>
      <w:divBdr>
        <w:top w:val="none" w:sz="0" w:space="0" w:color="auto"/>
        <w:left w:val="none" w:sz="0" w:space="0" w:color="auto"/>
        <w:bottom w:val="none" w:sz="0" w:space="0" w:color="auto"/>
        <w:right w:val="none" w:sz="0" w:space="0" w:color="auto"/>
      </w:divBdr>
    </w:div>
    <w:div w:id="1916550684">
      <w:bodyDiv w:val="1"/>
      <w:marLeft w:val="0"/>
      <w:marRight w:val="0"/>
      <w:marTop w:val="0"/>
      <w:marBottom w:val="0"/>
      <w:divBdr>
        <w:top w:val="none" w:sz="0" w:space="0" w:color="auto"/>
        <w:left w:val="none" w:sz="0" w:space="0" w:color="auto"/>
        <w:bottom w:val="none" w:sz="0" w:space="0" w:color="auto"/>
        <w:right w:val="none" w:sz="0" w:space="0" w:color="auto"/>
      </w:divBdr>
    </w:div>
    <w:div w:id="2017685889">
      <w:bodyDiv w:val="1"/>
      <w:marLeft w:val="0"/>
      <w:marRight w:val="0"/>
      <w:marTop w:val="0"/>
      <w:marBottom w:val="0"/>
      <w:divBdr>
        <w:top w:val="none" w:sz="0" w:space="0" w:color="auto"/>
        <w:left w:val="none" w:sz="0" w:space="0" w:color="auto"/>
        <w:bottom w:val="none" w:sz="0" w:space="0" w:color="auto"/>
        <w:right w:val="none" w:sz="0" w:space="0" w:color="auto"/>
      </w:divBdr>
    </w:div>
    <w:div w:id="2017998594">
      <w:bodyDiv w:val="1"/>
      <w:marLeft w:val="0"/>
      <w:marRight w:val="0"/>
      <w:marTop w:val="0"/>
      <w:marBottom w:val="0"/>
      <w:divBdr>
        <w:top w:val="none" w:sz="0" w:space="0" w:color="auto"/>
        <w:left w:val="none" w:sz="0" w:space="0" w:color="auto"/>
        <w:bottom w:val="none" w:sz="0" w:space="0" w:color="auto"/>
        <w:right w:val="none" w:sz="0" w:space="0" w:color="auto"/>
      </w:divBdr>
    </w:div>
    <w:div w:id="2020036117">
      <w:bodyDiv w:val="1"/>
      <w:marLeft w:val="0"/>
      <w:marRight w:val="0"/>
      <w:marTop w:val="0"/>
      <w:marBottom w:val="0"/>
      <w:divBdr>
        <w:top w:val="none" w:sz="0" w:space="0" w:color="auto"/>
        <w:left w:val="none" w:sz="0" w:space="0" w:color="auto"/>
        <w:bottom w:val="none" w:sz="0" w:space="0" w:color="auto"/>
        <w:right w:val="none" w:sz="0" w:space="0" w:color="auto"/>
      </w:divBdr>
    </w:div>
    <w:div w:id="2037341590">
      <w:bodyDiv w:val="1"/>
      <w:marLeft w:val="0"/>
      <w:marRight w:val="0"/>
      <w:marTop w:val="0"/>
      <w:marBottom w:val="0"/>
      <w:divBdr>
        <w:top w:val="none" w:sz="0" w:space="0" w:color="auto"/>
        <w:left w:val="none" w:sz="0" w:space="0" w:color="auto"/>
        <w:bottom w:val="none" w:sz="0" w:space="0" w:color="auto"/>
        <w:right w:val="none" w:sz="0" w:space="0" w:color="auto"/>
      </w:divBdr>
    </w:div>
    <w:div w:id="2091779397">
      <w:bodyDiv w:val="1"/>
      <w:marLeft w:val="0"/>
      <w:marRight w:val="0"/>
      <w:marTop w:val="0"/>
      <w:marBottom w:val="0"/>
      <w:divBdr>
        <w:top w:val="none" w:sz="0" w:space="0" w:color="auto"/>
        <w:left w:val="none" w:sz="0" w:space="0" w:color="auto"/>
        <w:bottom w:val="none" w:sz="0" w:space="0" w:color="auto"/>
        <w:right w:val="none" w:sz="0" w:space="0" w:color="auto"/>
      </w:divBdr>
    </w:div>
    <w:div w:id="2097164911">
      <w:bodyDiv w:val="1"/>
      <w:marLeft w:val="0"/>
      <w:marRight w:val="0"/>
      <w:marTop w:val="0"/>
      <w:marBottom w:val="0"/>
      <w:divBdr>
        <w:top w:val="none" w:sz="0" w:space="0" w:color="auto"/>
        <w:left w:val="none" w:sz="0" w:space="0" w:color="auto"/>
        <w:bottom w:val="none" w:sz="0" w:space="0" w:color="auto"/>
        <w:right w:val="none" w:sz="0" w:space="0" w:color="auto"/>
      </w:divBdr>
    </w:div>
    <w:div w:id="2130664010">
      <w:bodyDiv w:val="1"/>
      <w:marLeft w:val="0"/>
      <w:marRight w:val="0"/>
      <w:marTop w:val="0"/>
      <w:marBottom w:val="0"/>
      <w:divBdr>
        <w:top w:val="none" w:sz="0" w:space="0" w:color="auto"/>
        <w:left w:val="none" w:sz="0" w:space="0" w:color="auto"/>
        <w:bottom w:val="none" w:sz="0" w:space="0" w:color="auto"/>
        <w:right w:val="none" w:sz="0" w:space="0" w:color="auto"/>
      </w:divBdr>
    </w:div>
    <w:div w:id="21322392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tiff"/><Relationship Id="rId21" Type="http://schemas.openxmlformats.org/officeDocument/2006/relationships/image" Target="media/image9.emf"/><Relationship Id="rId42" Type="http://schemas.openxmlformats.org/officeDocument/2006/relationships/image" Target="media/image28.png"/><Relationship Id="rId63" Type="http://schemas.openxmlformats.org/officeDocument/2006/relationships/chart" Target="charts/chart19.xml"/><Relationship Id="rId84" Type="http://schemas.openxmlformats.org/officeDocument/2006/relationships/chart" Target="charts/chart29.xml"/><Relationship Id="rId138" Type="http://schemas.openxmlformats.org/officeDocument/2006/relationships/image" Target="media/image82.emf"/><Relationship Id="rId159" Type="http://schemas.openxmlformats.org/officeDocument/2006/relationships/image" Target="media/image103.png"/><Relationship Id="rId170" Type="http://schemas.openxmlformats.org/officeDocument/2006/relationships/chart" Target="charts/chart42.xml"/><Relationship Id="rId191" Type="http://schemas.openxmlformats.org/officeDocument/2006/relationships/chart" Target="charts/chart61.xml"/><Relationship Id="rId107" Type="http://schemas.openxmlformats.org/officeDocument/2006/relationships/image" Target="media/image51.tiff"/><Relationship Id="rId11" Type="http://schemas.openxmlformats.org/officeDocument/2006/relationships/image" Target="media/image3.emf"/><Relationship Id="rId32" Type="http://schemas.openxmlformats.org/officeDocument/2006/relationships/image" Target="media/image19.png"/><Relationship Id="rId53" Type="http://schemas.openxmlformats.org/officeDocument/2006/relationships/chart" Target="charts/chart13.xml"/><Relationship Id="rId74" Type="http://schemas.openxmlformats.org/officeDocument/2006/relationships/chart" Target="charts/chart26.xml"/><Relationship Id="rId128" Type="http://schemas.openxmlformats.org/officeDocument/2006/relationships/image" Target="media/image72.emf"/><Relationship Id="rId149" Type="http://schemas.openxmlformats.org/officeDocument/2006/relationships/image" Target="media/image93.png"/><Relationship Id="rId5" Type="http://schemas.openxmlformats.org/officeDocument/2006/relationships/webSettings" Target="webSettings.xml"/><Relationship Id="rId95" Type="http://schemas.openxmlformats.org/officeDocument/2006/relationships/chart" Target="charts/chart38.xml"/><Relationship Id="rId160" Type="http://schemas.openxmlformats.org/officeDocument/2006/relationships/image" Target="media/image104.png"/><Relationship Id="rId181" Type="http://schemas.openxmlformats.org/officeDocument/2006/relationships/chart" Target="charts/chart51.xml"/><Relationship Id="rId22" Type="http://schemas.openxmlformats.org/officeDocument/2006/relationships/image" Target="media/image10.emf"/><Relationship Id="rId43" Type="http://schemas.openxmlformats.org/officeDocument/2006/relationships/image" Target="media/image29.png"/><Relationship Id="rId64" Type="http://schemas.openxmlformats.org/officeDocument/2006/relationships/chart" Target="charts/chart20.xml"/><Relationship Id="rId118" Type="http://schemas.openxmlformats.org/officeDocument/2006/relationships/image" Target="media/image62.tiff"/><Relationship Id="rId139" Type="http://schemas.openxmlformats.org/officeDocument/2006/relationships/image" Target="media/image83.png"/><Relationship Id="rId85" Type="http://schemas.openxmlformats.org/officeDocument/2006/relationships/chart" Target="charts/chart30.xml"/><Relationship Id="rId150" Type="http://schemas.openxmlformats.org/officeDocument/2006/relationships/image" Target="media/image94.png"/><Relationship Id="rId171" Type="http://schemas.openxmlformats.org/officeDocument/2006/relationships/chart" Target="charts/chart43.xml"/><Relationship Id="rId192" Type="http://schemas.openxmlformats.org/officeDocument/2006/relationships/chart" Target="charts/chart62.xml"/><Relationship Id="rId12" Type="http://schemas.openxmlformats.org/officeDocument/2006/relationships/image" Target="media/image4.png"/><Relationship Id="rId33" Type="http://schemas.openxmlformats.org/officeDocument/2006/relationships/image" Target="media/image20.png"/><Relationship Id="rId108" Type="http://schemas.openxmlformats.org/officeDocument/2006/relationships/image" Target="media/image52.tiff"/><Relationship Id="rId129" Type="http://schemas.openxmlformats.org/officeDocument/2006/relationships/image" Target="media/image73.tiff"/><Relationship Id="rId54" Type="http://schemas.openxmlformats.org/officeDocument/2006/relationships/chart" Target="charts/chart14.xml"/><Relationship Id="rId75" Type="http://schemas.openxmlformats.org/officeDocument/2006/relationships/image" Target="media/image30.emf"/><Relationship Id="rId96" Type="http://schemas.openxmlformats.org/officeDocument/2006/relationships/image" Target="media/image40.png"/><Relationship Id="rId140" Type="http://schemas.openxmlformats.org/officeDocument/2006/relationships/image" Target="media/image84.png"/><Relationship Id="rId161" Type="http://schemas.openxmlformats.org/officeDocument/2006/relationships/image" Target="media/image105.png"/><Relationship Id="rId182" Type="http://schemas.openxmlformats.org/officeDocument/2006/relationships/chart" Target="charts/chart52.xml"/><Relationship Id="rId6" Type="http://schemas.openxmlformats.org/officeDocument/2006/relationships/footnotes" Target="footnotes.xml"/><Relationship Id="rId23" Type="http://schemas.openxmlformats.org/officeDocument/2006/relationships/image" Target="media/image11.jpg"/><Relationship Id="rId119" Type="http://schemas.openxmlformats.org/officeDocument/2006/relationships/image" Target="media/image63.tiff"/><Relationship Id="rId44" Type="http://schemas.openxmlformats.org/officeDocument/2006/relationships/chart" Target="charts/chart4.xml"/><Relationship Id="rId65" Type="http://schemas.openxmlformats.org/officeDocument/2006/relationships/chart" Target="charts/chart21.xml"/><Relationship Id="rId86" Type="http://schemas.openxmlformats.org/officeDocument/2006/relationships/chart" Target="charts/chart31.xml"/><Relationship Id="rId130" Type="http://schemas.openxmlformats.org/officeDocument/2006/relationships/image" Target="media/image74.tiff"/><Relationship Id="rId151" Type="http://schemas.openxmlformats.org/officeDocument/2006/relationships/image" Target="media/image95.png"/><Relationship Id="rId172" Type="http://schemas.openxmlformats.org/officeDocument/2006/relationships/chart" Target="charts/chart44.xml"/><Relationship Id="rId193" Type="http://schemas.openxmlformats.org/officeDocument/2006/relationships/chart" Target="charts/chart63.xml"/><Relationship Id="rId13" Type="http://schemas.openxmlformats.org/officeDocument/2006/relationships/image" Target="media/image5.emf"/><Relationship Id="rId109" Type="http://schemas.openxmlformats.org/officeDocument/2006/relationships/image" Target="media/image53.tiff"/><Relationship Id="rId34" Type="http://schemas.openxmlformats.org/officeDocument/2006/relationships/image" Target="media/image21.png"/><Relationship Id="rId55" Type="http://schemas.openxmlformats.org/officeDocument/2006/relationships/chart" Target="charts/chart15.xml"/><Relationship Id="rId76" Type="http://schemas.openxmlformats.org/officeDocument/2006/relationships/image" Target="media/image32.png"/><Relationship Id="rId97" Type="http://schemas.openxmlformats.org/officeDocument/2006/relationships/image" Target="media/image41.png"/><Relationship Id="rId120" Type="http://schemas.openxmlformats.org/officeDocument/2006/relationships/image" Target="media/image64.tiff"/><Relationship Id="rId141" Type="http://schemas.openxmlformats.org/officeDocument/2006/relationships/image" Target="media/image85.png"/><Relationship Id="rId7" Type="http://schemas.openxmlformats.org/officeDocument/2006/relationships/endnotes" Target="endnotes.xml"/><Relationship Id="rId162" Type="http://schemas.openxmlformats.org/officeDocument/2006/relationships/image" Target="media/image106.png"/><Relationship Id="rId183" Type="http://schemas.openxmlformats.org/officeDocument/2006/relationships/chart" Target="charts/chart53.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6.png"/><Relationship Id="rId45" Type="http://schemas.openxmlformats.org/officeDocument/2006/relationships/chart" Target="charts/chart5.xml"/><Relationship Id="rId66" Type="http://schemas.openxmlformats.org/officeDocument/2006/relationships/chart" Target="charts/chart22.xml"/><Relationship Id="rId87" Type="http://schemas.openxmlformats.org/officeDocument/2006/relationships/image" Target="media/image38.emf"/><Relationship Id="rId110" Type="http://schemas.openxmlformats.org/officeDocument/2006/relationships/image" Target="media/image54.tiff"/><Relationship Id="rId115" Type="http://schemas.openxmlformats.org/officeDocument/2006/relationships/image" Target="media/image59.tiff"/><Relationship Id="rId131" Type="http://schemas.openxmlformats.org/officeDocument/2006/relationships/image" Target="media/image75.tiff"/><Relationship Id="rId136" Type="http://schemas.openxmlformats.org/officeDocument/2006/relationships/image" Target="media/image80.emf"/><Relationship Id="rId157" Type="http://schemas.openxmlformats.org/officeDocument/2006/relationships/image" Target="media/image101.png"/><Relationship Id="rId178" Type="http://schemas.openxmlformats.org/officeDocument/2006/relationships/chart" Target="charts/chart48.xml"/><Relationship Id="rId61" Type="http://schemas.openxmlformats.org/officeDocument/2006/relationships/chart" Target="charts/chart17.xml"/><Relationship Id="rId82" Type="http://schemas.openxmlformats.org/officeDocument/2006/relationships/chart" Target="charts/chart27.xml"/><Relationship Id="rId152" Type="http://schemas.openxmlformats.org/officeDocument/2006/relationships/image" Target="media/image96.png"/><Relationship Id="rId173" Type="http://schemas.openxmlformats.org/officeDocument/2006/relationships/chart" Target="charts/chart45.xml"/><Relationship Id="rId194" Type="http://schemas.openxmlformats.org/officeDocument/2006/relationships/chart" Target="charts/chart64.xml"/><Relationship Id="rId199" Type="http://schemas.openxmlformats.org/officeDocument/2006/relationships/image" Target="media/image116.tiff"/><Relationship Id="rId203" Type="http://schemas.openxmlformats.org/officeDocument/2006/relationships/theme" Target="theme/theme1.xml"/><Relationship Id="rId19" Type="http://schemas.openxmlformats.org/officeDocument/2006/relationships/hyperlink" Target="https://cordis.europa.eu/" TargetMode="External"/><Relationship Id="rId14" Type="http://schemas.openxmlformats.org/officeDocument/2006/relationships/image" Target="media/image6.jpeg"/><Relationship Id="rId30" Type="http://schemas.openxmlformats.org/officeDocument/2006/relationships/chart" Target="charts/chart3.xml"/><Relationship Id="rId35" Type="http://schemas.openxmlformats.org/officeDocument/2006/relationships/image" Target="media/image22.png"/><Relationship Id="rId56" Type="http://schemas.openxmlformats.org/officeDocument/2006/relationships/chart" Target="charts/chart16.xml"/><Relationship Id="rId77" Type="http://schemas.openxmlformats.org/officeDocument/2006/relationships/image" Target="media/image33.png"/><Relationship Id="rId100" Type="http://schemas.openxmlformats.org/officeDocument/2006/relationships/image" Target="media/image44.tiff"/><Relationship Id="rId105" Type="http://schemas.openxmlformats.org/officeDocument/2006/relationships/image" Target="media/image49.tiff"/><Relationship Id="rId126" Type="http://schemas.openxmlformats.org/officeDocument/2006/relationships/image" Target="media/image70.tiff"/><Relationship Id="rId147" Type="http://schemas.openxmlformats.org/officeDocument/2006/relationships/image" Target="media/image91.png"/><Relationship Id="rId168" Type="http://schemas.openxmlformats.org/officeDocument/2006/relationships/chart" Target="charts/chart40.xml"/><Relationship Id="rId8" Type="http://schemas.openxmlformats.org/officeDocument/2006/relationships/image" Target="media/image1.emf"/><Relationship Id="rId51" Type="http://schemas.openxmlformats.org/officeDocument/2006/relationships/chart" Target="charts/chart11.xml"/><Relationship Id="rId72" Type="http://schemas.openxmlformats.org/officeDocument/2006/relationships/chart" Target="charts/chart24.xml"/><Relationship Id="rId93" Type="http://schemas.openxmlformats.org/officeDocument/2006/relationships/chart" Target="charts/chart36.xml"/><Relationship Id="rId98" Type="http://schemas.openxmlformats.org/officeDocument/2006/relationships/image" Target="media/image42.tiff"/><Relationship Id="rId121" Type="http://schemas.openxmlformats.org/officeDocument/2006/relationships/image" Target="media/image65.tiff"/><Relationship Id="rId142" Type="http://schemas.openxmlformats.org/officeDocument/2006/relationships/image" Target="media/image86.emf"/><Relationship Id="rId163" Type="http://schemas.openxmlformats.org/officeDocument/2006/relationships/image" Target="media/image107.png"/><Relationship Id="rId184" Type="http://schemas.openxmlformats.org/officeDocument/2006/relationships/chart" Target="charts/chart54.xml"/><Relationship Id="rId189" Type="http://schemas.openxmlformats.org/officeDocument/2006/relationships/chart" Target="charts/chart59.xm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chart" Target="charts/chart6.xml"/><Relationship Id="rId67" Type="http://schemas.microsoft.com/office/2014/relationships/chartEx" Target="charts/chartEx3.xml"/><Relationship Id="rId116" Type="http://schemas.openxmlformats.org/officeDocument/2006/relationships/image" Target="media/image60.tiff"/><Relationship Id="rId137" Type="http://schemas.openxmlformats.org/officeDocument/2006/relationships/image" Target="media/image81.emf"/><Relationship Id="rId158" Type="http://schemas.openxmlformats.org/officeDocument/2006/relationships/image" Target="media/image102.png"/><Relationship Id="rId20" Type="http://schemas.openxmlformats.org/officeDocument/2006/relationships/hyperlink" Target="https://cordis.europa.eu/" TargetMode="External"/><Relationship Id="rId41" Type="http://schemas.openxmlformats.org/officeDocument/2006/relationships/image" Target="media/image27.png"/><Relationship Id="rId62" Type="http://schemas.openxmlformats.org/officeDocument/2006/relationships/chart" Target="charts/chart18.xml"/><Relationship Id="rId83" Type="http://schemas.openxmlformats.org/officeDocument/2006/relationships/chart" Target="charts/chart28.xml"/><Relationship Id="rId88" Type="http://schemas.openxmlformats.org/officeDocument/2006/relationships/image" Target="media/image39.tiff"/><Relationship Id="rId111" Type="http://schemas.openxmlformats.org/officeDocument/2006/relationships/image" Target="media/image55.tiff"/><Relationship Id="rId132" Type="http://schemas.openxmlformats.org/officeDocument/2006/relationships/image" Target="media/image76.emf"/><Relationship Id="rId153" Type="http://schemas.openxmlformats.org/officeDocument/2006/relationships/image" Target="media/image97.png"/><Relationship Id="rId174" Type="http://schemas.openxmlformats.org/officeDocument/2006/relationships/chart" Target="charts/chart46.xml"/><Relationship Id="rId179" Type="http://schemas.openxmlformats.org/officeDocument/2006/relationships/chart" Target="charts/chart49.xml"/><Relationship Id="rId195" Type="http://schemas.openxmlformats.org/officeDocument/2006/relationships/chart" Target="charts/chart65.xml"/><Relationship Id="rId190" Type="http://schemas.openxmlformats.org/officeDocument/2006/relationships/chart" Target="charts/chart60.xml"/><Relationship Id="rId15" Type="http://schemas.openxmlformats.org/officeDocument/2006/relationships/image" Target="media/image7.jpeg"/><Relationship Id="rId36" Type="http://schemas.openxmlformats.org/officeDocument/2006/relationships/image" Target="media/image23.png"/><Relationship Id="rId57" Type="http://schemas.microsoft.com/office/2014/relationships/chartEx" Target="charts/chartEx1.xml"/><Relationship Id="rId106" Type="http://schemas.openxmlformats.org/officeDocument/2006/relationships/image" Target="media/image50.tiff"/><Relationship Id="rId127" Type="http://schemas.openxmlformats.org/officeDocument/2006/relationships/image" Target="media/image71.emf"/><Relationship Id="rId10" Type="http://schemas.openxmlformats.org/officeDocument/2006/relationships/footer" Target="footer1.xml"/><Relationship Id="rId31" Type="http://schemas.openxmlformats.org/officeDocument/2006/relationships/image" Target="media/image18.png"/><Relationship Id="rId52" Type="http://schemas.openxmlformats.org/officeDocument/2006/relationships/chart" Target="charts/chart12.xml"/><Relationship Id="rId73" Type="http://schemas.openxmlformats.org/officeDocument/2006/relationships/chart" Target="charts/chart25.xml"/><Relationship Id="rId78" Type="http://schemas.openxmlformats.org/officeDocument/2006/relationships/image" Target="media/image34.emf"/><Relationship Id="rId94" Type="http://schemas.openxmlformats.org/officeDocument/2006/relationships/chart" Target="charts/chart37.xml"/><Relationship Id="rId99" Type="http://schemas.openxmlformats.org/officeDocument/2006/relationships/image" Target="media/image43.tiff"/><Relationship Id="rId101" Type="http://schemas.openxmlformats.org/officeDocument/2006/relationships/image" Target="media/image45.tiff"/><Relationship Id="rId122" Type="http://schemas.openxmlformats.org/officeDocument/2006/relationships/image" Target="media/image66.emf"/><Relationship Id="rId143" Type="http://schemas.openxmlformats.org/officeDocument/2006/relationships/image" Target="media/image87.emf"/><Relationship Id="rId148" Type="http://schemas.openxmlformats.org/officeDocument/2006/relationships/image" Target="media/image92.png"/><Relationship Id="rId164" Type="http://schemas.openxmlformats.org/officeDocument/2006/relationships/image" Target="media/image108.png"/><Relationship Id="rId169" Type="http://schemas.openxmlformats.org/officeDocument/2006/relationships/chart" Target="charts/chart41.xml"/><Relationship Id="rId185" Type="http://schemas.openxmlformats.org/officeDocument/2006/relationships/chart" Target="charts/chart55.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chart" Target="charts/chart50.xml"/><Relationship Id="rId26" Type="http://schemas.openxmlformats.org/officeDocument/2006/relationships/image" Target="media/image14.png"/><Relationship Id="rId47" Type="http://schemas.openxmlformats.org/officeDocument/2006/relationships/chart" Target="charts/chart7.xml"/><Relationship Id="rId68" Type="http://schemas.openxmlformats.org/officeDocument/2006/relationships/image" Target="media/image30.png"/><Relationship Id="rId89" Type="http://schemas.openxmlformats.org/officeDocument/2006/relationships/chart" Target="charts/chart32.xml"/><Relationship Id="rId112" Type="http://schemas.openxmlformats.org/officeDocument/2006/relationships/image" Target="media/image56.tiff"/><Relationship Id="rId133" Type="http://schemas.openxmlformats.org/officeDocument/2006/relationships/image" Target="media/image77.emf"/><Relationship Id="rId154" Type="http://schemas.openxmlformats.org/officeDocument/2006/relationships/image" Target="media/image98.png"/><Relationship Id="rId175" Type="http://schemas.openxmlformats.org/officeDocument/2006/relationships/chart" Target="charts/chart47.xml"/><Relationship Id="rId196" Type="http://schemas.openxmlformats.org/officeDocument/2006/relationships/image" Target="media/image113.tiff"/><Relationship Id="rId200" Type="http://schemas.openxmlformats.org/officeDocument/2006/relationships/image" Target="media/image117.tiff"/><Relationship Id="rId16" Type="http://schemas.openxmlformats.org/officeDocument/2006/relationships/image" Target="media/image8.emf"/><Relationship Id="rId37" Type="http://schemas.microsoft.com/office/2007/relationships/hdphoto" Target="media/hdphoto1.wdp"/><Relationship Id="rId58" Type="http://schemas.openxmlformats.org/officeDocument/2006/relationships/image" Target="media/image280.png"/><Relationship Id="rId79" Type="http://schemas.openxmlformats.org/officeDocument/2006/relationships/image" Target="media/image35.png"/><Relationship Id="rId102" Type="http://schemas.openxmlformats.org/officeDocument/2006/relationships/image" Target="media/image46.tiff"/><Relationship Id="rId123" Type="http://schemas.openxmlformats.org/officeDocument/2006/relationships/image" Target="media/image67.emf"/><Relationship Id="rId144" Type="http://schemas.openxmlformats.org/officeDocument/2006/relationships/image" Target="media/image88.png"/><Relationship Id="rId90" Type="http://schemas.openxmlformats.org/officeDocument/2006/relationships/chart" Target="charts/chart33.xml"/><Relationship Id="rId165" Type="http://schemas.openxmlformats.org/officeDocument/2006/relationships/image" Target="media/image109.png"/><Relationship Id="rId186" Type="http://schemas.openxmlformats.org/officeDocument/2006/relationships/chart" Target="charts/chart56.xml"/><Relationship Id="rId27" Type="http://schemas.openxmlformats.org/officeDocument/2006/relationships/image" Target="media/image15.png"/><Relationship Id="rId48" Type="http://schemas.openxmlformats.org/officeDocument/2006/relationships/chart" Target="charts/chart8.xml"/><Relationship Id="rId69" Type="http://schemas.microsoft.com/office/2014/relationships/chartEx" Target="charts/chartEx4.xml"/><Relationship Id="rId113" Type="http://schemas.openxmlformats.org/officeDocument/2006/relationships/image" Target="media/image57.tiff"/><Relationship Id="rId134" Type="http://schemas.openxmlformats.org/officeDocument/2006/relationships/image" Target="media/image78.emf"/><Relationship Id="rId80" Type="http://schemas.openxmlformats.org/officeDocument/2006/relationships/image" Target="media/image36.png"/><Relationship Id="rId155" Type="http://schemas.openxmlformats.org/officeDocument/2006/relationships/image" Target="media/image99.png"/><Relationship Id="rId176" Type="http://schemas.openxmlformats.org/officeDocument/2006/relationships/image" Target="media/image111.emf"/><Relationship Id="rId197" Type="http://schemas.openxmlformats.org/officeDocument/2006/relationships/image" Target="media/image114.tiff"/><Relationship Id="rId201" Type="http://schemas.openxmlformats.org/officeDocument/2006/relationships/image" Target="media/image118.tiff"/><Relationship Id="rId17" Type="http://schemas.openxmlformats.org/officeDocument/2006/relationships/chart" Target="charts/chart1.xml"/><Relationship Id="rId38" Type="http://schemas.openxmlformats.org/officeDocument/2006/relationships/image" Target="media/image24.png"/><Relationship Id="rId59" Type="http://schemas.microsoft.com/office/2014/relationships/chartEx" Target="charts/chartEx2.xml"/><Relationship Id="rId103" Type="http://schemas.openxmlformats.org/officeDocument/2006/relationships/image" Target="media/image47.tiff"/><Relationship Id="rId124" Type="http://schemas.openxmlformats.org/officeDocument/2006/relationships/image" Target="media/image68.tiff"/><Relationship Id="rId70" Type="http://schemas.openxmlformats.org/officeDocument/2006/relationships/image" Target="media/image31.png"/><Relationship Id="rId91" Type="http://schemas.openxmlformats.org/officeDocument/2006/relationships/chart" Target="charts/chart34.xml"/><Relationship Id="rId145" Type="http://schemas.openxmlformats.org/officeDocument/2006/relationships/image" Target="media/image89.png"/><Relationship Id="rId166" Type="http://schemas.openxmlformats.org/officeDocument/2006/relationships/image" Target="media/image110.png"/><Relationship Id="rId187" Type="http://schemas.openxmlformats.org/officeDocument/2006/relationships/chart" Target="charts/chart57.xml"/><Relationship Id="rId1" Type="http://schemas.openxmlformats.org/officeDocument/2006/relationships/customXml" Target="../customXml/item1.xml"/><Relationship Id="rId28" Type="http://schemas.openxmlformats.org/officeDocument/2006/relationships/image" Target="media/image16.png"/><Relationship Id="rId49" Type="http://schemas.openxmlformats.org/officeDocument/2006/relationships/chart" Target="charts/chart9.xml"/><Relationship Id="rId114" Type="http://schemas.openxmlformats.org/officeDocument/2006/relationships/image" Target="media/image58.tiff"/><Relationship Id="rId60" Type="http://schemas.openxmlformats.org/officeDocument/2006/relationships/image" Target="media/image290.png"/><Relationship Id="rId81" Type="http://schemas.openxmlformats.org/officeDocument/2006/relationships/image" Target="media/image37.jpeg"/><Relationship Id="rId135" Type="http://schemas.openxmlformats.org/officeDocument/2006/relationships/image" Target="media/image79.emf"/><Relationship Id="rId156" Type="http://schemas.openxmlformats.org/officeDocument/2006/relationships/image" Target="media/image100.png"/><Relationship Id="rId177" Type="http://schemas.openxmlformats.org/officeDocument/2006/relationships/image" Target="media/image112.emf"/><Relationship Id="rId198" Type="http://schemas.openxmlformats.org/officeDocument/2006/relationships/image" Target="media/image115.tiff"/><Relationship Id="rId202" Type="http://schemas.openxmlformats.org/officeDocument/2006/relationships/fontTable" Target="fontTable.xml"/><Relationship Id="rId18" Type="http://schemas.openxmlformats.org/officeDocument/2006/relationships/chart" Target="charts/chart2.xml"/><Relationship Id="rId39" Type="http://schemas.openxmlformats.org/officeDocument/2006/relationships/image" Target="media/image25.png"/><Relationship Id="rId50" Type="http://schemas.openxmlformats.org/officeDocument/2006/relationships/chart" Target="charts/chart10.xml"/><Relationship Id="rId104" Type="http://schemas.openxmlformats.org/officeDocument/2006/relationships/image" Target="media/image48.tiff"/><Relationship Id="rId125" Type="http://schemas.openxmlformats.org/officeDocument/2006/relationships/image" Target="media/image69.tiff"/><Relationship Id="rId146" Type="http://schemas.openxmlformats.org/officeDocument/2006/relationships/image" Target="media/image90.png"/><Relationship Id="rId167" Type="http://schemas.openxmlformats.org/officeDocument/2006/relationships/chart" Target="charts/chart39.xml"/><Relationship Id="rId188" Type="http://schemas.openxmlformats.org/officeDocument/2006/relationships/chart" Target="charts/chart58.xml"/><Relationship Id="rId71" Type="http://schemas.openxmlformats.org/officeDocument/2006/relationships/chart" Target="charts/chart23.xml"/><Relationship Id="rId92" Type="http://schemas.openxmlformats.org/officeDocument/2006/relationships/chart" Target="charts/chart35.xml"/></Relationships>
</file>

<file path=word/_rels/footnotes.xml.rels><?xml version="1.0" encoding="UTF-8" standalone="yes"?>
<Relationships xmlns="http://schemas.openxmlformats.org/package/2006/relationships"><Relationship Id="rId1" Type="http://schemas.openxmlformats.org/officeDocument/2006/relationships/hyperlink" Target="https://app.jadbio.com/"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esktop\Systematic%20Literature%20Review%20-%20SERIE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Admin\OneDrive\Desktop\Anketa%20Doktorat\Meta%20Analysis%20of%20Hydraulic%20Systems%20-%2003.11.2020.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Admin\OneDrive\Desktop\Anketa%20Doktorat\Meta%20Analysis%20of%20Hydraulic%20Systems%20-%2003.11.2020.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Admin\OneDrive\Desktop\Anketa%20Doktorat\Anketa%20mobilne%20masine.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Admin\OneDrive\Desktop\Anketa%20Doktorat\Meta%20Analysis%20of%20Hydraulic%20Systems%20-%2003.11.2020.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Admin\OneDrive\Desktop\Anketa%20Doktorat\Meta%20Analysis%20of%20Hydraulic%20Systems%20-%2003.11.2020.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Admin\OneDrive\Desktop\Anketa%20Doktorat\Meta%20Analysis%20of%20Hydraulic%20Systems%20-%2003.11.2020.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Admin\OneDrive\Desktop\Anketa%20Doktorat\Meta%20Analysis%20of%20Hydraulic%20Systems%20-%2003.11.2020.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Admin\OneDrive\Desktop\Anketa%20Doktorat\Meta%20Analysis%20of%20Hydraulic%20Systems%20-%2003.11.2020.xlsx" TargetMode="External"/><Relationship Id="rId2" Type="http://schemas.microsoft.com/office/2011/relationships/chartColorStyle" Target="colors19.xml"/><Relationship Id="rId1" Type="http://schemas.microsoft.com/office/2011/relationships/chartStyle" Target="style19.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Admin\OneDrive\Desktop\Anketa%20Doktorat\Meta%20Analysis%20of%20Hydraulic%20Systems%20-%2003.11.2020.xlsx" TargetMode="External"/><Relationship Id="rId2" Type="http://schemas.microsoft.com/office/2011/relationships/chartColorStyle" Target="colors20.xml"/><Relationship Id="rId1" Type="http://schemas.microsoft.com/office/2011/relationships/chartStyle" Target="style20.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Admin\OneDrive\Desktop\Anketa%20Doktorat\Meta%20Analysis%20of%20Hydraulic%20Systems%20-%2003.11.2020.xlsx" TargetMode="External"/><Relationship Id="rId2" Type="http://schemas.microsoft.com/office/2011/relationships/chartColorStyle" Target="colors21.xml"/><Relationship Id="rId1" Type="http://schemas.microsoft.com/office/2011/relationships/chartStyle" Target="style2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esktop\Systematic%20Literature%20Review%20-%20SERIES.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Admin\OneDrive\Desktop\Anketa%20Doktorat\Meta%20Analysis%20of%20Hydraulic%20Systems%20-%2003.11.2020.xlsx" TargetMode="External"/><Relationship Id="rId2" Type="http://schemas.microsoft.com/office/2011/relationships/chartColorStyle" Target="colors22.xml"/><Relationship Id="rId1" Type="http://schemas.microsoft.com/office/2011/relationships/chartStyle" Target="style22.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Admin\OneDrive\Desktop\Anketa%20Doktorat\Meta%20Analysis%20of%20Hydraulic%20Systems%20-%2003.11.2020.xlsx" TargetMode="External"/><Relationship Id="rId2" Type="http://schemas.microsoft.com/office/2011/relationships/chartColorStyle" Target="colors23.xml"/><Relationship Id="rId1" Type="http://schemas.microsoft.com/office/2011/relationships/chartStyle" Target="style23.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Admin\OneDrive\Desktop\Anketa%20Doktorat\Meta%20Analysis%20of%20Hydraulic%20Systems%20-%2003.11.2020.xlsx" TargetMode="External"/><Relationship Id="rId2" Type="http://schemas.microsoft.com/office/2011/relationships/chartColorStyle" Target="colors24.xml"/><Relationship Id="rId1" Type="http://schemas.microsoft.com/office/2011/relationships/chartStyle" Target="style24.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Admin\OneDrive\Desktop\Anketa%20Doktorat\Meta%20Analysis%20of%20Hydraulic%20Systems%20-%2003.11.2020.xlsx" TargetMode="External"/><Relationship Id="rId2" Type="http://schemas.microsoft.com/office/2011/relationships/chartColorStyle" Target="colors27.xml"/><Relationship Id="rId1" Type="http://schemas.microsoft.com/office/2011/relationships/chartStyle" Target="style27.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Admin\OneDrive\Desktop\Anketa%20Doktorat\Meta%20Analysis%20of%20Hydraulic%20Systems%20-%2003.11.2020.xlsx" TargetMode="External"/><Relationship Id="rId2" Type="http://schemas.microsoft.com/office/2011/relationships/chartColorStyle" Target="colors28.xml"/><Relationship Id="rId1" Type="http://schemas.microsoft.com/office/2011/relationships/chartStyle" Target="style28.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Admin\OneDrive\Desktop\Anketa%20Doktorat\Meta%20Analysis%20of%20Hydraulic%20Systems%20-%2003.11.2020.xlsx" TargetMode="External"/><Relationship Id="rId2" Type="http://schemas.microsoft.com/office/2011/relationships/chartColorStyle" Target="colors29.xml"/><Relationship Id="rId1" Type="http://schemas.microsoft.com/office/2011/relationships/chartStyle" Target="style29.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Admin\OneDrive\Desktop\Anketa%20Doktorat\Meta%20Analysis%20of%20Hydraulic%20Systems%20-%2003.11.2020.xlsx" TargetMode="External"/><Relationship Id="rId2" Type="http://schemas.microsoft.com/office/2011/relationships/chartColorStyle" Target="colors30.xml"/><Relationship Id="rId1" Type="http://schemas.microsoft.com/office/2011/relationships/chartStyle" Target="style30.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Admin\OneDrive\Desktop\Experiment%20Trelleborg\Cleaned%20P-Q%20Files\October%20Cleaned%20Files.xlsx" TargetMode="External"/><Relationship Id="rId2" Type="http://schemas.microsoft.com/office/2011/relationships/chartColorStyle" Target="colors31.xml"/><Relationship Id="rId1" Type="http://schemas.microsoft.com/office/2011/relationships/chartStyle" Target="style31.xml"/></Relationships>
</file>

<file path=word/charts/_rels/chart28.xml.rels><?xml version="1.0" encoding="UTF-8" standalone="yes"?>
<Relationships xmlns="http://schemas.openxmlformats.org/package/2006/relationships"><Relationship Id="rId3" Type="http://schemas.openxmlformats.org/officeDocument/2006/relationships/oleObject" Target="file:///C:\Users\Admin\OneDrive\Desktop\Experiment%20Trelleborg\Actuator%20response.xlsx" TargetMode="External"/><Relationship Id="rId2" Type="http://schemas.microsoft.com/office/2011/relationships/chartColorStyle" Target="colors32.xml"/><Relationship Id="rId1" Type="http://schemas.microsoft.com/office/2011/relationships/chartStyle" Target="style32.xml"/></Relationships>
</file>

<file path=word/charts/_rels/chart29.xml.rels><?xml version="1.0" encoding="UTF-8" standalone="yes"?>
<Relationships xmlns="http://schemas.openxmlformats.org/package/2006/relationships"><Relationship Id="rId3" Type="http://schemas.openxmlformats.org/officeDocument/2006/relationships/oleObject" Target="file:///C:\Users\Admin\OneDrive\Desktop\Experiment%20Trelleborg\Data%20Processing\Machine%20learning%20H1.xlsx" TargetMode="External"/><Relationship Id="rId2" Type="http://schemas.microsoft.com/office/2011/relationships/chartColorStyle" Target="colors33.xml"/><Relationship Id="rId1" Type="http://schemas.microsoft.com/office/2011/relationships/chartStyle" Target="style33.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User\Desktop\Projects%20Databases%20Funded%20by%20European%20Comission%20-%20Orosnjak%201999-2019%20v1.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C:\Users\Admin\OneDrive\Desktop\Experiment%20Trelleborg\Oil%20sampling%20data.xlsx" TargetMode="External"/><Relationship Id="rId2" Type="http://schemas.microsoft.com/office/2011/relationships/chartColorStyle" Target="colors34.xml"/><Relationship Id="rId1" Type="http://schemas.microsoft.com/office/2011/relationships/chartStyle" Target="style34.xml"/></Relationships>
</file>

<file path=word/charts/_rels/chart31.xml.rels><?xml version="1.0" encoding="UTF-8" standalone="yes"?>
<Relationships xmlns="http://schemas.openxmlformats.org/package/2006/relationships"><Relationship Id="rId3" Type="http://schemas.openxmlformats.org/officeDocument/2006/relationships/oleObject" Target="file:///C:\Users\Admin\OneDrive\Desktop\Experiment%20Trelleborg\Oil%20sampling%20data.xlsx" TargetMode="External"/><Relationship Id="rId2" Type="http://schemas.microsoft.com/office/2011/relationships/chartColorStyle" Target="colors35.xml"/><Relationship Id="rId1" Type="http://schemas.microsoft.com/office/2011/relationships/chartStyle" Target="style35.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Admin\OneDrive\Desktop\Experiment%20Trelleborg\Cleaned%20P-Q%20Files\Filtered%20Data%20-%20October.xlsx" TargetMode="External"/><Relationship Id="rId2" Type="http://schemas.microsoft.com/office/2011/relationships/chartColorStyle" Target="colors36.xml"/><Relationship Id="rId1" Type="http://schemas.microsoft.com/office/2011/relationships/chartStyle" Target="style36.xml"/></Relationships>
</file>

<file path=word/charts/_rels/chart33.xml.rels><?xml version="1.0" encoding="UTF-8" standalone="yes"?>
<Relationships xmlns="http://schemas.openxmlformats.org/package/2006/relationships"><Relationship Id="rId3" Type="http://schemas.openxmlformats.org/officeDocument/2006/relationships/oleObject" Target="file:///C:\Users\Admin\OneDrive\Desktop\Experiment%20Trelleborg\Cleaned%20P-Q%20Files\Filtered%20Data%20-%20November.xlsx" TargetMode="External"/><Relationship Id="rId2" Type="http://schemas.microsoft.com/office/2011/relationships/chartColorStyle" Target="colors37.xml"/><Relationship Id="rId1" Type="http://schemas.microsoft.com/office/2011/relationships/chartStyle" Target="style37.xml"/></Relationships>
</file>

<file path=word/charts/_rels/chart34.xml.rels><?xml version="1.0" encoding="UTF-8" standalone="yes"?>
<Relationships xmlns="http://schemas.openxmlformats.org/package/2006/relationships"><Relationship Id="rId3" Type="http://schemas.openxmlformats.org/officeDocument/2006/relationships/oleObject" Target="file:///C:\Users\Admin\OneDrive\Desktop\Experiment%20Trelleborg\Cleaned%20P-Q%20Files\Filtered%20Data%20-%20November.xlsx" TargetMode="External"/><Relationship Id="rId2" Type="http://schemas.microsoft.com/office/2011/relationships/chartColorStyle" Target="colors38.xml"/><Relationship Id="rId1" Type="http://schemas.microsoft.com/office/2011/relationships/chartStyle" Target="style38.xml"/></Relationships>
</file>

<file path=word/charts/_rels/chart35.xml.rels><?xml version="1.0" encoding="UTF-8" standalone="yes"?>
<Relationships xmlns="http://schemas.openxmlformats.org/package/2006/relationships"><Relationship Id="rId3" Type="http://schemas.openxmlformats.org/officeDocument/2006/relationships/oleObject" Target="file:///C:\Users\Admin\OneDrive\Desktop\Experiment%20Trelleborg\Cleaned%20P-Q%20Files\Filtered%20Data%20-%20November.xlsx" TargetMode="External"/><Relationship Id="rId2" Type="http://schemas.microsoft.com/office/2011/relationships/chartColorStyle" Target="colors39.xml"/><Relationship Id="rId1" Type="http://schemas.microsoft.com/office/2011/relationships/chartStyle" Target="style39.xml"/></Relationships>
</file>

<file path=word/charts/_rels/chart36.xml.rels><?xml version="1.0" encoding="UTF-8" standalone="yes"?>
<Relationships xmlns="http://schemas.openxmlformats.org/package/2006/relationships"><Relationship Id="rId3" Type="http://schemas.openxmlformats.org/officeDocument/2006/relationships/oleObject" Target="file:///C:\Users\Admin\OneDrive\Desktop\Experiment%20Trelleborg\Cleaned%20P-Q%20Files\Filtered%20Data%20-%20November.xlsx" TargetMode="External"/><Relationship Id="rId2" Type="http://schemas.microsoft.com/office/2011/relationships/chartColorStyle" Target="colors40.xml"/><Relationship Id="rId1" Type="http://schemas.microsoft.com/office/2011/relationships/chartStyle" Target="style40.xml"/></Relationships>
</file>

<file path=word/charts/_rels/chart37.xml.rels><?xml version="1.0" encoding="UTF-8" standalone="yes"?>
<Relationships xmlns="http://schemas.openxmlformats.org/package/2006/relationships"><Relationship Id="rId3" Type="http://schemas.openxmlformats.org/officeDocument/2006/relationships/oleObject" Target="file:///C:\Users\Admin\OneDrive\Desktop\Experiment%20Trelleborg\Cleaned%20P-Q%20Files\Filtered%20Data%20-%20December.xlsx" TargetMode="External"/><Relationship Id="rId2" Type="http://schemas.microsoft.com/office/2011/relationships/chartColorStyle" Target="colors41.xml"/><Relationship Id="rId1" Type="http://schemas.microsoft.com/office/2011/relationships/chartStyle" Target="style41.xml"/></Relationships>
</file>

<file path=word/charts/_rels/chart38.xml.rels><?xml version="1.0" encoding="UTF-8" standalone="yes"?>
<Relationships xmlns="http://schemas.openxmlformats.org/package/2006/relationships"><Relationship Id="rId3" Type="http://schemas.openxmlformats.org/officeDocument/2006/relationships/oleObject" Target="file:///C:\Users\Admin\OneDrive\Desktop\Experiment%20Trelleborg\Cleaned%20P-Q%20Files\Filtered%20Data%20-%20December.xlsx" TargetMode="External"/><Relationship Id="rId2" Type="http://schemas.microsoft.com/office/2011/relationships/chartColorStyle" Target="colors42.xml"/><Relationship Id="rId1" Type="http://schemas.microsoft.com/office/2011/relationships/chartStyle" Target="style42.xml"/></Relationships>
</file>

<file path=word/charts/_rels/chart39.xml.rels><?xml version="1.0" encoding="UTF-8" standalone="yes"?>
<Relationships xmlns="http://schemas.openxmlformats.org/package/2006/relationships"><Relationship Id="rId3" Type="http://schemas.openxmlformats.org/officeDocument/2006/relationships/oleObject" Target="file:///C:\Users\Admin\OneDrive\Desktop\ML-RMM-Final-Data\Class_Matrix_Results.xlsx" TargetMode="External"/><Relationship Id="rId2" Type="http://schemas.microsoft.com/office/2011/relationships/chartColorStyle" Target="colors43.xml"/><Relationship Id="rId1" Type="http://schemas.microsoft.com/office/2011/relationships/chartStyle" Target="style4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dmin\OneDrive\Desktop\Anketa%20Doktorat\Meta%20Analysis%20of%20Hydraulic%20Systems%20-%2003.11.2020.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C:\Users\Admin\OneDrive\Desktop\ML-RMM-Final-Data\Class_Matrix_Results.xlsx" TargetMode="External"/><Relationship Id="rId2" Type="http://schemas.microsoft.com/office/2011/relationships/chartColorStyle" Target="colors44.xml"/><Relationship Id="rId1" Type="http://schemas.microsoft.com/office/2011/relationships/chartStyle" Target="style44.xml"/></Relationships>
</file>

<file path=word/charts/_rels/chart41.xml.rels><?xml version="1.0" encoding="UTF-8" standalone="yes"?>
<Relationships xmlns="http://schemas.openxmlformats.org/package/2006/relationships"><Relationship Id="rId3" Type="http://schemas.openxmlformats.org/officeDocument/2006/relationships/oleObject" Target="file:///C:\Users\Admin\OneDrive\Desktop\ML-RMM-Final-Data\Class_Matrix_Results.xlsx" TargetMode="External"/><Relationship Id="rId2" Type="http://schemas.microsoft.com/office/2011/relationships/chartColorStyle" Target="colors45.xml"/><Relationship Id="rId1" Type="http://schemas.microsoft.com/office/2011/relationships/chartStyle" Target="style45.xml"/></Relationships>
</file>

<file path=word/charts/_rels/chart42.xml.rels><?xml version="1.0" encoding="UTF-8" standalone="yes"?>
<Relationships xmlns="http://schemas.openxmlformats.org/package/2006/relationships"><Relationship Id="rId3" Type="http://schemas.openxmlformats.org/officeDocument/2006/relationships/oleObject" Target="file:///C:\Users\Admin\OneDrive\Desktop\Experiment%20Trelleborg\Data%20Processing\Machine%20learning%20H1.xlsx" TargetMode="External"/><Relationship Id="rId2" Type="http://schemas.microsoft.com/office/2011/relationships/chartColorStyle" Target="colors46.xml"/><Relationship Id="rId1" Type="http://schemas.microsoft.com/office/2011/relationships/chartStyle" Target="style46.xml"/></Relationships>
</file>

<file path=word/charts/_rels/chart43.xml.rels><?xml version="1.0" encoding="UTF-8" standalone="yes"?>
<Relationships xmlns="http://schemas.openxmlformats.org/package/2006/relationships"><Relationship Id="rId3" Type="http://schemas.openxmlformats.org/officeDocument/2006/relationships/oleObject" Target="file:///C:\Users\Admin\OneDrive\Desktop\Experiment%20Trelleborg\Data%20Processing\Machine%20learning%20H1.xlsx" TargetMode="External"/><Relationship Id="rId2" Type="http://schemas.microsoft.com/office/2011/relationships/chartColorStyle" Target="colors47.xml"/><Relationship Id="rId1" Type="http://schemas.microsoft.com/office/2011/relationships/chartStyle" Target="style47.xml"/></Relationships>
</file>

<file path=word/charts/_rels/chart44.xml.rels><?xml version="1.0" encoding="UTF-8" standalone="yes"?>
<Relationships xmlns="http://schemas.openxmlformats.org/package/2006/relationships"><Relationship Id="rId3" Type="http://schemas.openxmlformats.org/officeDocument/2006/relationships/oleObject" Target="file:///C:\Users\Admin\OneDrive\Desktop\Experiment%20Trelleborg\Data%20Processing\Machine%20learning%20H1.xlsx" TargetMode="External"/><Relationship Id="rId2" Type="http://schemas.microsoft.com/office/2011/relationships/chartColorStyle" Target="colors48.xml"/><Relationship Id="rId1" Type="http://schemas.microsoft.com/office/2011/relationships/chartStyle" Target="style48.xml"/></Relationships>
</file>

<file path=word/charts/_rels/chart45.xml.rels><?xml version="1.0" encoding="UTF-8" standalone="yes"?>
<Relationships xmlns="http://schemas.openxmlformats.org/package/2006/relationships"><Relationship Id="rId3" Type="http://schemas.openxmlformats.org/officeDocument/2006/relationships/oleObject" Target="file:///C:\Users\Admin\OneDrive\Desktop\Experiment%20Trelleborg\Data%20Processing\Machine%20learning%20H1.xlsx" TargetMode="External"/><Relationship Id="rId2" Type="http://schemas.microsoft.com/office/2011/relationships/chartColorStyle" Target="colors49.xml"/><Relationship Id="rId1" Type="http://schemas.microsoft.com/office/2011/relationships/chartStyle" Target="style49.xml"/></Relationships>
</file>

<file path=word/charts/_rels/chart46.xml.rels><?xml version="1.0" encoding="UTF-8" standalone="yes"?>
<Relationships xmlns="http://schemas.openxmlformats.org/package/2006/relationships"><Relationship Id="rId3" Type="http://schemas.openxmlformats.org/officeDocument/2006/relationships/oleObject" Target="file:///C:\Users\Admin\OneDrive\Desktop\Experiment%20Trelleborg\Data%20Processing\Machine%20learning%20H1.xlsx" TargetMode="External"/><Relationship Id="rId2" Type="http://schemas.microsoft.com/office/2011/relationships/chartColorStyle" Target="colors50.xml"/><Relationship Id="rId1" Type="http://schemas.microsoft.com/office/2011/relationships/chartStyle" Target="style50.xml"/></Relationships>
</file>

<file path=word/charts/_rels/chart47.xml.rels><?xml version="1.0" encoding="UTF-8" standalone="yes"?>
<Relationships xmlns="http://schemas.openxmlformats.org/package/2006/relationships"><Relationship Id="rId3" Type="http://schemas.openxmlformats.org/officeDocument/2006/relationships/oleObject" Target="file:///C:\Users\Admin\OneDrive\Desktop\Experiment%20Trelleborg\Data%20Processing\Machine%20learning%20H1.xlsx" TargetMode="External"/><Relationship Id="rId2" Type="http://schemas.microsoft.com/office/2011/relationships/chartColorStyle" Target="colors51.xml"/><Relationship Id="rId1" Type="http://schemas.microsoft.com/office/2011/relationships/chartStyle" Target="style51.xml"/></Relationships>
</file>

<file path=word/charts/_rels/chart48.xml.rels><?xml version="1.0" encoding="UTF-8" standalone="yes"?>
<Relationships xmlns="http://schemas.openxmlformats.org/package/2006/relationships"><Relationship Id="rId3" Type="http://schemas.openxmlformats.org/officeDocument/2006/relationships/oleObject" Target="file:///C:\Users\Admin\OneDrive\Desktop\Experiment%20Trelleborg\Data%20Processing\Machine%20learning%20H1.xlsx" TargetMode="External"/><Relationship Id="rId2" Type="http://schemas.microsoft.com/office/2011/relationships/chartColorStyle" Target="colors52.xml"/><Relationship Id="rId1" Type="http://schemas.microsoft.com/office/2011/relationships/chartStyle" Target="style52.xml"/></Relationships>
</file>

<file path=word/charts/_rels/chart49.xml.rels><?xml version="1.0" encoding="UTF-8" standalone="yes"?>
<Relationships xmlns="http://schemas.openxmlformats.org/package/2006/relationships"><Relationship Id="rId3" Type="http://schemas.openxmlformats.org/officeDocument/2006/relationships/oleObject" Target="file:///C:\Users\Admin\OneDrive\Desktop\Experiment%20Trelleborg\Data%20Processing\Machine%20learning%20H1.xlsx" TargetMode="External"/><Relationship Id="rId2" Type="http://schemas.microsoft.com/office/2011/relationships/chartColorStyle" Target="colors53.xml"/><Relationship Id="rId1" Type="http://schemas.microsoft.com/office/2011/relationships/chartStyle" Target="style53.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Admin\OneDrive\Desktop\Anketa%20Doktorat\Meta%20Analysis%20of%20Hydraulic%20Systems%20-%2003.11.2020.xlsx"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oleObject" Target="file:///C:\Users\Admin\OneDrive\Desktop\Experiment%20Trelleborg\Data%20Processing\Machine%20learning%20H1.xlsx" TargetMode="External"/><Relationship Id="rId2" Type="http://schemas.microsoft.com/office/2011/relationships/chartColorStyle" Target="colors54.xml"/><Relationship Id="rId1" Type="http://schemas.microsoft.com/office/2011/relationships/chartStyle" Target="style54.xml"/></Relationships>
</file>

<file path=word/charts/_rels/chart51.xml.rels><?xml version="1.0" encoding="UTF-8" standalone="yes"?>
<Relationships xmlns="http://schemas.openxmlformats.org/package/2006/relationships"><Relationship Id="rId3" Type="http://schemas.openxmlformats.org/officeDocument/2006/relationships/oleObject" Target="file:///C:\Users\Admin\OneDrive\Desktop\Experiment%20Trelleborg\Data%20Processing\Machine%20learning%20H1.xlsx" TargetMode="External"/><Relationship Id="rId2" Type="http://schemas.microsoft.com/office/2011/relationships/chartColorStyle" Target="colors55.xml"/><Relationship Id="rId1" Type="http://schemas.microsoft.com/office/2011/relationships/chartStyle" Target="style55.xml"/></Relationships>
</file>

<file path=word/charts/_rels/chart52.xml.rels><?xml version="1.0" encoding="UTF-8" standalone="yes"?>
<Relationships xmlns="http://schemas.openxmlformats.org/package/2006/relationships"><Relationship Id="rId3" Type="http://schemas.openxmlformats.org/officeDocument/2006/relationships/oleObject" Target="file:///C:\Users\Admin\OneDrive\Desktop\Experiment%20Trelleborg\Data%20Processing\Machine%20learning%20H1.xlsx" TargetMode="External"/><Relationship Id="rId2" Type="http://schemas.microsoft.com/office/2011/relationships/chartColorStyle" Target="colors56.xml"/><Relationship Id="rId1" Type="http://schemas.microsoft.com/office/2011/relationships/chartStyle" Target="style56.xml"/></Relationships>
</file>

<file path=word/charts/_rels/chart53.xml.rels><?xml version="1.0" encoding="UTF-8" standalone="yes"?>
<Relationships xmlns="http://schemas.openxmlformats.org/package/2006/relationships"><Relationship Id="rId3" Type="http://schemas.openxmlformats.org/officeDocument/2006/relationships/oleObject" Target="file:///C:\Users\Admin\OneDrive\Desktop\Experiment%20Trelleborg\Data%20Processing\Machine%20learning%20H1.xlsx" TargetMode="External"/><Relationship Id="rId2" Type="http://schemas.microsoft.com/office/2011/relationships/chartColorStyle" Target="colors57.xml"/><Relationship Id="rId1" Type="http://schemas.microsoft.com/office/2011/relationships/chartStyle" Target="style57.xml"/></Relationships>
</file>

<file path=word/charts/_rels/chart54.xml.rels><?xml version="1.0" encoding="UTF-8" standalone="yes"?>
<Relationships xmlns="http://schemas.openxmlformats.org/package/2006/relationships"><Relationship Id="rId3" Type="http://schemas.openxmlformats.org/officeDocument/2006/relationships/oleObject" Target="file:///C:\Users\Admin\OneDrive\Desktop\Experiment%20Trelleborg\Data%20Processing\Machine%20learning%20H1.xlsx" TargetMode="External"/><Relationship Id="rId2" Type="http://schemas.microsoft.com/office/2011/relationships/chartColorStyle" Target="colors58.xml"/><Relationship Id="rId1" Type="http://schemas.microsoft.com/office/2011/relationships/chartStyle" Target="style58.xml"/></Relationships>
</file>

<file path=word/charts/_rels/chart55.xml.rels><?xml version="1.0" encoding="UTF-8" standalone="yes"?>
<Relationships xmlns="http://schemas.openxmlformats.org/package/2006/relationships"><Relationship Id="rId3" Type="http://schemas.openxmlformats.org/officeDocument/2006/relationships/oleObject" Target="file:///C:\Users\Admin\OneDrive\Desktop\Experiment%20Trelleborg\Data%20Processing\Machine%20learning%20H1.xlsx" TargetMode="External"/><Relationship Id="rId2" Type="http://schemas.microsoft.com/office/2011/relationships/chartColorStyle" Target="colors59.xml"/><Relationship Id="rId1" Type="http://schemas.microsoft.com/office/2011/relationships/chartStyle" Target="style59.xml"/></Relationships>
</file>

<file path=word/charts/_rels/chart56.xml.rels><?xml version="1.0" encoding="UTF-8" standalone="yes"?>
<Relationships xmlns="http://schemas.openxmlformats.org/package/2006/relationships"><Relationship Id="rId3" Type="http://schemas.openxmlformats.org/officeDocument/2006/relationships/oleObject" Target="file:///C:\Users\Admin\OneDrive\Desktop\Experiment%20Trelleborg\Data%20Processing\Machine%20learning%20H1.xlsx" TargetMode="External"/><Relationship Id="rId2" Type="http://schemas.microsoft.com/office/2011/relationships/chartColorStyle" Target="colors60.xml"/><Relationship Id="rId1" Type="http://schemas.microsoft.com/office/2011/relationships/chartStyle" Target="style60.xml"/></Relationships>
</file>

<file path=word/charts/_rels/chart57.xml.rels><?xml version="1.0" encoding="UTF-8" standalone="yes"?>
<Relationships xmlns="http://schemas.openxmlformats.org/package/2006/relationships"><Relationship Id="rId3" Type="http://schemas.openxmlformats.org/officeDocument/2006/relationships/oleObject" Target="file:///C:\Users\Admin\OneDrive\Desktop\Experiment%20Trelleborg\Data%20Processing\Machine%20learning%20H1.xlsx" TargetMode="External"/><Relationship Id="rId2" Type="http://schemas.microsoft.com/office/2011/relationships/chartColorStyle" Target="colors61.xml"/><Relationship Id="rId1" Type="http://schemas.microsoft.com/office/2011/relationships/chartStyle" Target="style61.xml"/></Relationships>
</file>

<file path=word/charts/_rels/chart58.xml.rels><?xml version="1.0" encoding="UTF-8" standalone="yes"?>
<Relationships xmlns="http://schemas.openxmlformats.org/package/2006/relationships"><Relationship Id="rId3" Type="http://schemas.openxmlformats.org/officeDocument/2006/relationships/oleObject" Target="file:///C:\Users\Admin\OneDrive\Desktop\Experiment%20Trelleborg\Data%20Processing\Machine%20learning%20H1.xlsx" TargetMode="External"/><Relationship Id="rId2" Type="http://schemas.microsoft.com/office/2011/relationships/chartColorStyle" Target="colors62.xml"/><Relationship Id="rId1" Type="http://schemas.microsoft.com/office/2011/relationships/chartStyle" Target="style62.xml"/></Relationships>
</file>

<file path=word/charts/_rels/chart59.xml.rels><?xml version="1.0" encoding="UTF-8" standalone="yes"?>
<Relationships xmlns="http://schemas.openxmlformats.org/package/2006/relationships"><Relationship Id="rId3" Type="http://schemas.openxmlformats.org/officeDocument/2006/relationships/oleObject" Target="file:///C:\Users\Admin\OneDrive\Desktop\Experiment%20Trelleborg\Data%20Processing\Machine%20learning%20H1.xlsx" TargetMode="External"/><Relationship Id="rId2" Type="http://schemas.microsoft.com/office/2011/relationships/chartColorStyle" Target="colors63.xml"/><Relationship Id="rId1" Type="http://schemas.microsoft.com/office/2011/relationships/chartStyle" Target="style63.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Admin\OneDrive\Desktop\Anketa%20Doktorat\Meta%20Analysis%20of%20Hydraulic%20Systems%20-%2003.11.2020.xlsx" TargetMode="External"/><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oleObject" Target="file:///C:\Users\Admin\OneDrive\Desktop\Experiment%20Trelleborg\Data%20Processing\Machine%20learning%20H1.xlsx" TargetMode="External"/><Relationship Id="rId2" Type="http://schemas.microsoft.com/office/2011/relationships/chartColorStyle" Target="colors64.xml"/><Relationship Id="rId1" Type="http://schemas.microsoft.com/office/2011/relationships/chartStyle" Target="style64.xml"/></Relationships>
</file>

<file path=word/charts/_rels/chart61.xml.rels><?xml version="1.0" encoding="UTF-8" standalone="yes"?>
<Relationships xmlns="http://schemas.openxmlformats.org/package/2006/relationships"><Relationship Id="rId3" Type="http://schemas.openxmlformats.org/officeDocument/2006/relationships/oleObject" Target="file:///C:\Users\Admin\OneDrive\Desktop\Experiment%20Trelleborg\Data%20Processing\Machine%20learning%20H1.xlsx" TargetMode="External"/><Relationship Id="rId2" Type="http://schemas.microsoft.com/office/2011/relationships/chartColorStyle" Target="colors65.xml"/><Relationship Id="rId1" Type="http://schemas.microsoft.com/office/2011/relationships/chartStyle" Target="style65.xml"/></Relationships>
</file>

<file path=word/charts/_rels/chart62.xml.rels><?xml version="1.0" encoding="UTF-8" standalone="yes"?>
<Relationships xmlns="http://schemas.openxmlformats.org/package/2006/relationships"><Relationship Id="rId3" Type="http://schemas.openxmlformats.org/officeDocument/2006/relationships/oleObject" Target="file:///C:\Users\Admin\OneDrive\Desktop\Experiment%20Trelleborg\Data%20Processing\Machine%20learning%20H1.xlsx" TargetMode="External"/><Relationship Id="rId2" Type="http://schemas.microsoft.com/office/2011/relationships/chartColorStyle" Target="colors66.xml"/><Relationship Id="rId1" Type="http://schemas.microsoft.com/office/2011/relationships/chartStyle" Target="style66.xml"/></Relationships>
</file>

<file path=word/charts/_rels/chart63.xml.rels><?xml version="1.0" encoding="UTF-8" standalone="yes"?>
<Relationships xmlns="http://schemas.openxmlformats.org/package/2006/relationships"><Relationship Id="rId3" Type="http://schemas.openxmlformats.org/officeDocument/2006/relationships/oleObject" Target="file:///C:\Users\Admin\OneDrive\Desktop\Experiment%20Trelleborg\Data%20Processing\Machine%20learning%20H1.xlsx" TargetMode="External"/><Relationship Id="rId2" Type="http://schemas.microsoft.com/office/2011/relationships/chartColorStyle" Target="colors67.xml"/><Relationship Id="rId1" Type="http://schemas.microsoft.com/office/2011/relationships/chartStyle" Target="style67.xml"/></Relationships>
</file>

<file path=word/charts/_rels/chart64.xml.rels><?xml version="1.0" encoding="UTF-8" standalone="yes"?>
<Relationships xmlns="http://schemas.openxmlformats.org/package/2006/relationships"><Relationship Id="rId3" Type="http://schemas.openxmlformats.org/officeDocument/2006/relationships/oleObject" Target="file:///C:\Users\Admin\OneDrive\Desktop\Experiment%20Trelleborg\Data%20Processing\Machine%20learning%20H1.xlsx" TargetMode="External"/><Relationship Id="rId2" Type="http://schemas.microsoft.com/office/2011/relationships/chartColorStyle" Target="colors68.xml"/><Relationship Id="rId1" Type="http://schemas.microsoft.com/office/2011/relationships/chartStyle" Target="style68.xml"/></Relationships>
</file>

<file path=word/charts/_rels/chart65.xml.rels><?xml version="1.0" encoding="UTF-8" standalone="yes"?>
<Relationships xmlns="http://schemas.openxmlformats.org/package/2006/relationships"><Relationship Id="rId3" Type="http://schemas.openxmlformats.org/officeDocument/2006/relationships/oleObject" Target="file:///C:\Users\Admin\OneDrive\Desktop\Experiment%20Trelleborg\Data%20Processing\Machine%20learning%20H1.xlsx" TargetMode="External"/><Relationship Id="rId2" Type="http://schemas.microsoft.com/office/2011/relationships/chartColorStyle" Target="colors69.xml"/><Relationship Id="rId1" Type="http://schemas.microsoft.com/office/2011/relationships/chartStyle" Target="style69.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Admin\OneDrive\Desktop\Anketa%20Doktorat\Meta%20Analysis%20of%20Hydraulic%20Systems%20-%2003.11.2020.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Admin\OneDrive\Desktop\Anketa%20Doktorat\Meta%20Analysis%20of%20Hydraulic%20Systems%20-%2003.11.2020.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Admin\OneDrive\Desktop\Anketa%20Doktorat\Meta%20Analysis%20of%20Hydraulic%20Systems%20-%2003.11.2020.xlsx" TargetMode="External"/><Relationship Id="rId2" Type="http://schemas.microsoft.com/office/2011/relationships/chartColorStyle" Target="colors9.xml"/><Relationship Id="rId1" Type="http://schemas.microsoft.com/office/2011/relationships/chartStyle" Target="style9.xml"/></Relationships>
</file>

<file path=word/charts/_rels/chartEx1.xml.rels><?xml version="1.0" encoding="UTF-8" standalone="yes"?>
<Relationships xmlns="http://schemas.openxmlformats.org/package/2006/relationships"><Relationship Id="rId3" Type="http://schemas.microsoft.com/office/2011/relationships/chartColorStyle" Target="colors17.xml"/><Relationship Id="rId2" Type="http://schemas.microsoft.com/office/2011/relationships/chartStyle" Target="style17.xml"/><Relationship Id="rId1" Type="http://schemas.openxmlformats.org/officeDocument/2006/relationships/oleObject" Target="file:///C:\Users\Admin\OneDrive\Desktop\Anketa%20Doktorat\Meta%20Analysis%20of%20Hydraulic%20Systems%20-%2003.11.2020.xlsx" TargetMode="External"/></Relationships>
</file>

<file path=word/charts/_rels/chartEx2.xml.rels><?xml version="1.0" encoding="UTF-8" standalone="yes"?>
<Relationships xmlns="http://schemas.openxmlformats.org/package/2006/relationships"><Relationship Id="rId3" Type="http://schemas.microsoft.com/office/2011/relationships/chartColorStyle" Target="colors18.xml"/><Relationship Id="rId2" Type="http://schemas.microsoft.com/office/2011/relationships/chartStyle" Target="style18.xml"/><Relationship Id="rId1" Type="http://schemas.openxmlformats.org/officeDocument/2006/relationships/oleObject" Target="file:///C:\Users\Admin\OneDrive\Desktop\Anketa%20Doktorat\Meta%20Analysis%20of%20Hydraulic%20Systems%20-%2003.11.2020.xlsx" TargetMode="External"/></Relationships>
</file>

<file path=word/charts/_rels/chartEx3.xml.rels><?xml version="1.0" encoding="UTF-8" standalone="yes"?>
<Relationships xmlns="http://schemas.openxmlformats.org/package/2006/relationships"><Relationship Id="rId3" Type="http://schemas.microsoft.com/office/2011/relationships/chartColorStyle" Target="colors25.xml"/><Relationship Id="rId2" Type="http://schemas.microsoft.com/office/2011/relationships/chartStyle" Target="style25.xml"/><Relationship Id="rId1" Type="http://schemas.openxmlformats.org/officeDocument/2006/relationships/oleObject" Target="file:///C:\Users\Admin\OneDrive\Desktop\Anketa%20Doktorat\Meta%20Analysis%20of%20Hydraulic%20Systems%20-%2003.11.2020.xlsx" TargetMode="External"/></Relationships>
</file>

<file path=word/charts/_rels/chartEx4.xml.rels><?xml version="1.0" encoding="UTF-8" standalone="yes"?>
<Relationships xmlns="http://schemas.openxmlformats.org/package/2006/relationships"><Relationship Id="rId3" Type="http://schemas.microsoft.com/office/2011/relationships/chartColorStyle" Target="colors26.xml"/><Relationship Id="rId2" Type="http://schemas.microsoft.com/office/2011/relationships/chartStyle" Target="style26.xml"/><Relationship Id="rId1" Type="http://schemas.openxmlformats.org/officeDocument/2006/relationships/oleObject" Target="file:///C:\Users\Admin\OneDrive\Desktop\Anketa%20Doktorat\Meta%20Analysis%20of%20Hydraulic%20Systems%20-%2003.11.20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'SLR Papers-2000-2019'!$A$16</c:f>
              <c:strCache>
                <c:ptCount val="1"/>
                <c:pt idx="0">
                  <c:v>ScR WoS Overall</c:v>
                </c:pt>
              </c:strCache>
            </c:strRef>
          </c:tx>
          <c:spPr>
            <a:noFill/>
            <a:ln w="3175">
              <a:solidFill>
                <a:srgbClr val="FF0000"/>
              </a:solidFill>
            </a:ln>
            <a:effectLst/>
          </c:spPr>
          <c:invertIfNegative val="0"/>
          <c:cat>
            <c:numRef>
              <c:f>'SLR Papers-2000-2019'!$B$15:$U$15</c:f>
              <c:numCache>
                <c:formatCode>General</c:formatCod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numCache>
            </c:numRef>
          </c:cat>
          <c:val>
            <c:numRef>
              <c:f>'SLR Papers-2000-2019'!$B$16:$U$16</c:f>
              <c:numCache>
                <c:formatCode>General</c:formatCode>
                <c:ptCount val="20"/>
                <c:pt idx="5">
                  <c:v>1</c:v>
                </c:pt>
                <c:pt idx="6">
                  <c:v>1</c:v>
                </c:pt>
                <c:pt idx="7">
                  <c:v>1</c:v>
                </c:pt>
                <c:pt idx="8">
                  <c:v>6</c:v>
                </c:pt>
                <c:pt idx="9">
                  <c:v>4</c:v>
                </c:pt>
                <c:pt idx="10">
                  <c:v>15</c:v>
                </c:pt>
                <c:pt idx="11">
                  <c:v>26</c:v>
                </c:pt>
                <c:pt idx="12">
                  <c:v>51</c:v>
                </c:pt>
                <c:pt idx="13">
                  <c:v>80</c:v>
                </c:pt>
                <c:pt idx="14">
                  <c:v>140</c:v>
                </c:pt>
                <c:pt idx="15">
                  <c:v>227</c:v>
                </c:pt>
                <c:pt idx="16">
                  <c:v>391</c:v>
                </c:pt>
                <c:pt idx="17">
                  <c:v>644</c:v>
                </c:pt>
                <c:pt idx="18">
                  <c:v>846</c:v>
                </c:pt>
                <c:pt idx="19">
                  <c:v>1420</c:v>
                </c:pt>
              </c:numCache>
            </c:numRef>
          </c:val>
          <c:extLst>
            <c:ext xmlns:c16="http://schemas.microsoft.com/office/drawing/2014/chart" uri="{C3380CC4-5D6E-409C-BE32-E72D297353CC}">
              <c16:uniqueId val="{00000000-F7B0-48B0-B864-E13A54861380}"/>
            </c:ext>
          </c:extLst>
        </c:ser>
        <c:ser>
          <c:idx val="1"/>
          <c:order val="1"/>
          <c:tx>
            <c:strRef>
              <c:f>'SLR Papers-2000-2019'!$A$17</c:f>
              <c:strCache>
                <c:ptCount val="1"/>
                <c:pt idx="0">
                  <c:v>SLR WoS Overall</c:v>
                </c:pt>
              </c:strCache>
            </c:strRef>
          </c:tx>
          <c:spPr>
            <a:noFill/>
            <a:ln w="3175">
              <a:solidFill>
                <a:schemeClr val="accent1"/>
              </a:solidFill>
            </a:ln>
            <a:effectLst/>
          </c:spPr>
          <c:invertIfNegative val="0"/>
          <c:cat>
            <c:numRef>
              <c:f>'SLR Papers-2000-2019'!$B$15:$U$15</c:f>
              <c:numCache>
                <c:formatCode>General</c:formatCod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numCache>
            </c:numRef>
          </c:cat>
          <c:val>
            <c:numRef>
              <c:f>'SLR Papers-2000-2019'!$B$17:$U$17</c:f>
              <c:numCache>
                <c:formatCode>General</c:formatCode>
                <c:ptCount val="20"/>
                <c:pt idx="0">
                  <c:v>5</c:v>
                </c:pt>
                <c:pt idx="1">
                  <c:v>15</c:v>
                </c:pt>
                <c:pt idx="2">
                  <c:v>15</c:v>
                </c:pt>
                <c:pt idx="3">
                  <c:v>15</c:v>
                </c:pt>
                <c:pt idx="4">
                  <c:v>19</c:v>
                </c:pt>
                <c:pt idx="5">
                  <c:v>27</c:v>
                </c:pt>
                <c:pt idx="6">
                  <c:v>50</c:v>
                </c:pt>
                <c:pt idx="7">
                  <c:v>57</c:v>
                </c:pt>
                <c:pt idx="8">
                  <c:v>65</c:v>
                </c:pt>
                <c:pt idx="9">
                  <c:v>107</c:v>
                </c:pt>
                <c:pt idx="10">
                  <c:v>136</c:v>
                </c:pt>
                <c:pt idx="11">
                  <c:v>184</c:v>
                </c:pt>
                <c:pt idx="12">
                  <c:v>230</c:v>
                </c:pt>
                <c:pt idx="13">
                  <c:v>327</c:v>
                </c:pt>
                <c:pt idx="14">
                  <c:v>371</c:v>
                </c:pt>
                <c:pt idx="15">
                  <c:v>529</c:v>
                </c:pt>
                <c:pt idx="16">
                  <c:v>726</c:v>
                </c:pt>
                <c:pt idx="17">
                  <c:v>842</c:v>
                </c:pt>
                <c:pt idx="18">
                  <c:v>1050</c:v>
                </c:pt>
                <c:pt idx="19">
                  <c:v>1085</c:v>
                </c:pt>
              </c:numCache>
            </c:numRef>
          </c:val>
          <c:extLst>
            <c:ext xmlns:c16="http://schemas.microsoft.com/office/drawing/2014/chart" uri="{C3380CC4-5D6E-409C-BE32-E72D297353CC}">
              <c16:uniqueId val="{00000001-F7B0-48B0-B864-E13A54861380}"/>
            </c:ext>
          </c:extLst>
        </c:ser>
        <c:ser>
          <c:idx val="2"/>
          <c:order val="2"/>
          <c:tx>
            <c:strRef>
              <c:f>'SLR Papers-2000-2019'!$A$18</c:f>
              <c:strCache>
                <c:ptCount val="1"/>
                <c:pt idx="0">
                  <c:v>ScR Scopus Overall</c:v>
                </c:pt>
              </c:strCache>
            </c:strRef>
          </c:tx>
          <c:spPr>
            <a:noFill/>
            <a:ln w="3175">
              <a:solidFill>
                <a:schemeClr val="accent2"/>
              </a:solidFill>
            </a:ln>
            <a:effectLst/>
          </c:spPr>
          <c:invertIfNegative val="0"/>
          <c:cat>
            <c:numRef>
              <c:f>'SLR Papers-2000-2019'!$B$15:$U$15</c:f>
              <c:numCache>
                <c:formatCode>General</c:formatCod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numCache>
            </c:numRef>
          </c:cat>
          <c:val>
            <c:numRef>
              <c:f>'SLR Papers-2000-2019'!$B$18:$U$18</c:f>
              <c:numCache>
                <c:formatCode>General</c:formatCode>
                <c:ptCount val="20"/>
                <c:pt idx="3">
                  <c:v>1</c:v>
                </c:pt>
                <c:pt idx="4">
                  <c:v>1</c:v>
                </c:pt>
                <c:pt idx="5">
                  <c:v>3</c:v>
                </c:pt>
                <c:pt idx="6">
                  <c:v>5</c:v>
                </c:pt>
                <c:pt idx="7">
                  <c:v>4</c:v>
                </c:pt>
                <c:pt idx="8">
                  <c:v>11</c:v>
                </c:pt>
                <c:pt idx="9">
                  <c:v>19</c:v>
                </c:pt>
                <c:pt idx="10">
                  <c:v>38</c:v>
                </c:pt>
                <c:pt idx="11">
                  <c:v>48</c:v>
                </c:pt>
                <c:pt idx="12">
                  <c:v>75</c:v>
                </c:pt>
                <c:pt idx="13">
                  <c:v>137</c:v>
                </c:pt>
                <c:pt idx="14">
                  <c:v>211</c:v>
                </c:pt>
                <c:pt idx="15">
                  <c:v>328</c:v>
                </c:pt>
                <c:pt idx="16">
                  <c:v>468</c:v>
                </c:pt>
                <c:pt idx="17">
                  <c:v>856</c:v>
                </c:pt>
                <c:pt idx="18">
                  <c:v>1083</c:v>
                </c:pt>
                <c:pt idx="19">
                  <c:v>1996</c:v>
                </c:pt>
              </c:numCache>
            </c:numRef>
          </c:val>
          <c:extLst>
            <c:ext xmlns:c16="http://schemas.microsoft.com/office/drawing/2014/chart" uri="{C3380CC4-5D6E-409C-BE32-E72D297353CC}">
              <c16:uniqueId val="{00000002-F7B0-48B0-B864-E13A54861380}"/>
            </c:ext>
          </c:extLst>
        </c:ser>
        <c:ser>
          <c:idx val="3"/>
          <c:order val="3"/>
          <c:tx>
            <c:strRef>
              <c:f>'SLR Papers-2000-2019'!$A$19</c:f>
              <c:strCache>
                <c:ptCount val="1"/>
                <c:pt idx="0">
                  <c:v>SLR Scopus Overall</c:v>
                </c:pt>
              </c:strCache>
            </c:strRef>
          </c:tx>
          <c:spPr>
            <a:noFill/>
            <a:ln w="3175">
              <a:solidFill>
                <a:schemeClr val="accent6"/>
              </a:solidFill>
            </a:ln>
            <a:effectLst/>
          </c:spPr>
          <c:invertIfNegative val="0"/>
          <c:cat>
            <c:numRef>
              <c:f>'SLR Papers-2000-2019'!$B$15:$U$15</c:f>
              <c:numCache>
                <c:formatCode>General</c:formatCod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numCache>
            </c:numRef>
          </c:cat>
          <c:val>
            <c:numRef>
              <c:f>'SLR Papers-2000-2019'!$B$19:$U$19</c:f>
              <c:numCache>
                <c:formatCode>General</c:formatCode>
                <c:ptCount val="20"/>
                <c:pt idx="0">
                  <c:v>45</c:v>
                </c:pt>
                <c:pt idx="1">
                  <c:v>62</c:v>
                </c:pt>
                <c:pt idx="2">
                  <c:v>53</c:v>
                </c:pt>
                <c:pt idx="3">
                  <c:v>92</c:v>
                </c:pt>
                <c:pt idx="4">
                  <c:v>107</c:v>
                </c:pt>
                <c:pt idx="5">
                  <c:v>128</c:v>
                </c:pt>
                <c:pt idx="6">
                  <c:v>190</c:v>
                </c:pt>
                <c:pt idx="7">
                  <c:v>243</c:v>
                </c:pt>
                <c:pt idx="8">
                  <c:v>277</c:v>
                </c:pt>
                <c:pt idx="9">
                  <c:v>396</c:v>
                </c:pt>
                <c:pt idx="10">
                  <c:v>472</c:v>
                </c:pt>
                <c:pt idx="11">
                  <c:v>630</c:v>
                </c:pt>
                <c:pt idx="12">
                  <c:v>802</c:v>
                </c:pt>
                <c:pt idx="13">
                  <c:v>992</c:v>
                </c:pt>
                <c:pt idx="14">
                  <c:v>1242</c:v>
                </c:pt>
                <c:pt idx="15">
                  <c:v>1483</c:v>
                </c:pt>
                <c:pt idx="16">
                  <c:v>1817</c:v>
                </c:pt>
                <c:pt idx="17">
                  <c:v>2195</c:v>
                </c:pt>
                <c:pt idx="18">
                  <c:v>2721</c:v>
                </c:pt>
                <c:pt idx="19">
                  <c:v>3371</c:v>
                </c:pt>
              </c:numCache>
            </c:numRef>
          </c:val>
          <c:extLst>
            <c:ext xmlns:c16="http://schemas.microsoft.com/office/drawing/2014/chart" uri="{C3380CC4-5D6E-409C-BE32-E72D297353CC}">
              <c16:uniqueId val="{00000003-F7B0-48B0-B864-E13A54861380}"/>
            </c:ext>
          </c:extLst>
        </c:ser>
        <c:dLbls>
          <c:showLegendKey val="0"/>
          <c:showVal val="0"/>
          <c:showCatName val="0"/>
          <c:showSerName val="0"/>
          <c:showPercent val="0"/>
          <c:showBubbleSize val="0"/>
        </c:dLbls>
        <c:gapWidth val="219"/>
        <c:overlap val="-27"/>
        <c:axId val="1182224223"/>
        <c:axId val="1014597775"/>
      </c:barChart>
      <c:catAx>
        <c:axId val="1182224223"/>
        <c:scaling>
          <c:orientation val="minMax"/>
        </c:scaling>
        <c:delete val="0"/>
        <c:axPos val="b"/>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Garamond" panose="02020404030301010803" pitchFamily="18" charset="0"/>
                <a:ea typeface="+mn-ea"/>
                <a:cs typeface="+mn-cs"/>
              </a:defRPr>
            </a:pPr>
            <a:endParaRPr lang="sr-Latn-RS"/>
          </a:p>
        </c:txPr>
        <c:crossAx val="1014597775"/>
        <c:crosses val="autoZero"/>
        <c:auto val="1"/>
        <c:lblAlgn val="ctr"/>
        <c:lblOffset val="100"/>
        <c:noMultiLvlLbl val="0"/>
      </c:catAx>
      <c:valAx>
        <c:axId val="1014597775"/>
        <c:scaling>
          <c:orientation val="minMax"/>
        </c:scaling>
        <c:delete val="0"/>
        <c:axPos val="l"/>
        <c:numFmt formatCode="General" sourceLinked="1"/>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Garamond" panose="02020404030301010803" pitchFamily="18" charset="0"/>
                <a:ea typeface="+mn-ea"/>
                <a:cs typeface="+mn-cs"/>
              </a:defRPr>
            </a:pPr>
            <a:endParaRPr lang="sr-Latn-RS"/>
          </a:p>
        </c:txPr>
        <c:crossAx val="1182224223"/>
        <c:crosses val="autoZero"/>
        <c:crossBetween val="between"/>
      </c:valAx>
      <c:spPr>
        <a:noFill/>
        <a:ln w="3175">
          <a:solidFill>
            <a:schemeClr val="tx1"/>
          </a:solidFill>
        </a:ln>
        <a:effectLst/>
      </c:spPr>
    </c:plotArea>
    <c:legend>
      <c:legendPos val="b"/>
      <c:layout>
        <c:manualLayout>
          <c:xMode val="edge"/>
          <c:yMode val="edge"/>
          <c:x val="0.15269841269841272"/>
          <c:y val="0.13957446808510637"/>
          <c:w val="0.39528344671201815"/>
          <c:h val="0.25049645390070924"/>
        </c:manualLayout>
      </c:layout>
      <c:overlay val="1"/>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Garamond" panose="02020404030301010803" pitchFamily="18" charset="0"/>
        </a:defRPr>
      </a:pPr>
      <a:endParaRPr lang="sr-Latn-R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45069166952336E-2"/>
          <c:y val="7.1359065844956215E-2"/>
          <c:w val="0.88480664742430626"/>
          <c:h val="0.62783003567953288"/>
        </c:manualLayout>
      </c:layout>
      <c:barChart>
        <c:barDir val="col"/>
        <c:grouping val="clustered"/>
        <c:varyColors val="0"/>
        <c:ser>
          <c:idx val="0"/>
          <c:order val="0"/>
          <c:tx>
            <c:strRef>
              <c:f>'Balkan Survey'!$HZ$2:$IK$2</c:f>
              <c:strCache>
                <c:ptCount val="12"/>
                <c:pt idx="0">
                  <c:v>Average oil filling [litres]</c:v>
                </c:pt>
              </c:strCache>
            </c:strRef>
          </c:tx>
          <c:spPr>
            <a:noFill/>
            <a:ln w="3175">
              <a:solidFill>
                <a:srgbClr val="0000FF"/>
              </a:solidFill>
            </a:ln>
            <a:effectLst/>
          </c:spPr>
          <c:invertIfNegative val="0"/>
          <c:cat>
            <c:strRef>
              <c:f>'Balkan Survey'!$HZ$3:$IJ$3</c:f>
              <c:strCache>
                <c:ptCount val="11"/>
                <c:pt idx="0">
                  <c:v>&lt;50l</c:v>
                </c:pt>
                <c:pt idx="1">
                  <c:v>50-100</c:v>
                </c:pt>
                <c:pt idx="2">
                  <c:v>100-150</c:v>
                </c:pt>
                <c:pt idx="3">
                  <c:v>150-200</c:v>
                </c:pt>
                <c:pt idx="4">
                  <c:v>200-300</c:v>
                </c:pt>
                <c:pt idx="5">
                  <c:v>300-500</c:v>
                </c:pt>
                <c:pt idx="6">
                  <c:v>500-1000</c:v>
                </c:pt>
                <c:pt idx="7">
                  <c:v>1000-2000</c:v>
                </c:pt>
                <c:pt idx="8">
                  <c:v>2000-3000</c:v>
                </c:pt>
                <c:pt idx="9">
                  <c:v>3000-4000</c:v>
                </c:pt>
                <c:pt idx="10">
                  <c:v>&gt;4000</c:v>
                </c:pt>
              </c:strCache>
            </c:strRef>
          </c:cat>
          <c:val>
            <c:numRef>
              <c:f>'Balkan Survey'!$HZ$4:$IJ$4</c:f>
              <c:numCache>
                <c:formatCode>0%</c:formatCode>
                <c:ptCount val="11"/>
                <c:pt idx="0">
                  <c:v>8.943089430894309E-2</c:v>
                </c:pt>
                <c:pt idx="1">
                  <c:v>0.18699186991869918</c:v>
                </c:pt>
                <c:pt idx="2">
                  <c:v>0.10569105691056911</c:v>
                </c:pt>
                <c:pt idx="3">
                  <c:v>0.14634146341463414</c:v>
                </c:pt>
                <c:pt idx="4">
                  <c:v>0.17073170731707318</c:v>
                </c:pt>
                <c:pt idx="5">
                  <c:v>0.13008130081300814</c:v>
                </c:pt>
                <c:pt idx="6">
                  <c:v>8.1300813008130079E-2</c:v>
                </c:pt>
                <c:pt idx="7">
                  <c:v>4.065040650406504E-2</c:v>
                </c:pt>
                <c:pt idx="8">
                  <c:v>2.4390243902439025E-2</c:v>
                </c:pt>
                <c:pt idx="9">
                  <c:v>1.6260162601626018E-2</c:v>
                </c:pt>
                <c:pt idx="10">
                  <c:v>8.130081300813009E-3</c:v>
                </c:pt>
              </c:numCache>
            </c:numRef>
          </c:val>
          <c:extLst>
            <c:ext xmlns:c16="http://schemas.microsoft.com/office/drawing/2014/chart" uri="{C3380CC4-5D6E-409C-BE32-E72D297353CC}">
              <c16:uniqueId val="{00000000-1D6E-4154-B7DB-E26B96F170DF}"/>
            </c:ext>
          </c:extLst>
        </c:ser>
        <c:dLbls>
          <c:showLegendKey val="0"/>
          <c:showVal val="0"/>
          <c:showCatName val="0"/>
          <c:showSerName val="0"/>
          <c:showPercent val="0"/>
          <c:showBubbleSize val="0"/>
        </c:dLbls>
        <c:gapWidth val="100"/>
        <c:overlap val="-24"/>
        <c:axId val="2047780303"/>
        <c:axId val="2047781551"/>
      </c:barChart>
      <c:catAx>
        <c:axId val="2047780303"/>
        <c:scaling>
          <c:orientation val="minMax"/>
        </c:scaling>
        <c:delete val="0"/>
        <c:axPos val="b"/>
        <c:numFmt formatCode="General" sourceLinked="1"/>
        <c:majorTickMark val="out"/>
        <c:minorTickMark val="none"/>
        <c:tickLblPos val="nextTo"/>
        <c:spPr>
          <a:noFill/>
          <a:ln w="3175" cap="flat" cmpd="sng" algn="ctr">
            <a:solidFill>
              <a:schemeClr val="tx1"/>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2047781551"/>
        <c:crosses val="autoZero"/>
        <c:auto val="1"/>
        <c:lblAlgn val="ctr"/>
        <c:lblOffset val="100"/>
        <c:noMultiLvlLbl val="0"/>
      </c:catAx>
      <c:valAx>
        <c:axId val="2047781551"/>
        <c:scaling>
          <c:orientation val="minMax"/>
        </c:scaling>
        <c:delete val="0"/>
        <c:axPos val="l"/>
        <c:numFmt formatCode="0%" sourceLinked="1"/>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2047780303"/>
        <c:crosses val="autoZero"/>
        <c:crossBetween val="between"/>
      </c:valAx>
      <c:spPr>
        <a:noFill/>
        <a:ln w="3175">
          <a:solidFill>
            <a:schemeClr val="tx1"/>
          </a:solidFill>
        </a:ln>
        <a:effectLst/>
      </c:spPr>
    </c:plotArea>
    <c:legend>
      <c:legendPos val="r"/>
      <c:layout>
        <c:manualLayout>
          <c:xMode val="edge"/>
          <c:yMode val="edge"/>
          <c:x val="0.69674825043679112"/>
          <c:y val="0.11717904382938187"/>
          <c:w val="0.22266027813322936"/>
          <c:h val="0.1112756999125109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Garamond" panose="02020404030301010803" pitchFamily="18" charset="0"/>
        </a:defRPr>
      </a:pPr>
      <a:endParaRPr lang="sr-Latn-R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620581146702712"/>
          <c:y val="8.678237650200267E-2"/>
          <c:w val="0.81383960179364501"/>
          <c:h val="0.72099492236367646"/>
        </c:manualLayout>
      </c:layout>
      <c:barChart>
        <c:barDir val="col"/>
        <c:grouping val="clustered"/>
        <c:varyColors val="0"/>
        <c:ser>
          <c:idx val="0"/>
          <c:order val="0"/>
          <c:tx>
            <c:strRef>
              <c:f>'Charts and Results'!$P$2</c:f>
              <c:strCache>
                <c:ptCount val="1"/>
                <c:pt idx="0">
                  <c:v>Maintenance Practice</c:v>
                </c:pt>
              </c:strCache>
            </c:strRef>
          </c:tx>
          <c:spPr>
            <a:noFill/>
            <a:ln w="3175">
              <a:solidFill>
                <a:srgbClr val="0000FF"/>
              </a:solidFill>
            </a:ln>
            <a:effectLst/>
          </c:spPr>
          <c:invertIfNegative val="0"/>
          <c:cat>
            <c:strRef>
              <c:f>'Charts and Results'!$P$3:$P$9</c:f>
              <c:strCache>
                <c:ptCount val="6"/>
                <c:pt idx="0">
                  <c:v>DM</c:v>
                </c:pt>
                <c:pt idx="1">
                  <c:v>PdM</c:v>
                </c:pt>
                <c:pt idx="2">
                  <c:v>OM</c:v>
                </c:pt>
                <c:pt idx="3">
                  <c:v>CBM</c:v>
                </c:pt>
                <c:pt idx="4">
                  <c:v>CM</c:v>
                </c:pt>
                <c:pt idx="5">
                  <c:v>PM</c:v>
                </c:pt>
              </c:strCache>
            </c:strRef>
          </c:cat>
          <c:val>
            <c:numRef>
              <c:f>'Charts and Results'!$R$3:$R$8</c:f>
              <c:numCache>
                <c:formatCode>0%</c:formatCode>
                <c:ptCount val="6"/>
                <c:pt idx="0">
                  <c:v>4.1666666666666664E-2</c:v>
                </c:pt>
                <c:pt idx="1">
                  <c:v>6.9444444444444448E-2</c:v>
                </c:pt>
                <c:pt idx="2">
                  <c:v>8.3333333333333329E-2</c:v>
                </c:pt>
                <c:pt idx="3">
                  <c:v>0.1111111111111111</c:v>
                </c:pt>
                <c:pt idx="4">
                  <c:v>0.16666666666666666</c:v>
                </c:pt>
                <c:pt idx="5">
                  <c:v>0.52777777777777779</c:v>
                </c:pt>
              </c:numCache>
            </c:numRef>
          </c:val>
          <c:extLst>
            <c:ext xmlns:c16="http://schemas.microsoft.com/office/drawing/2014/chart" uri="{C3380CC4-5D6E-409C-BE32-E72D297353CC}">
              <c16:uniqueId val="{00000000-B11E-48B1-953B-EDBEAF4284A7}"/>
            </c:ext>
          </c:extLst>
        </c:ser>
        <c:dLbls>
          <c:showLegendKey val="0"/>
          <c:showVal val="0"/>
          <c:showCatName val="0"/>
          <c:showSerName val="0"/>
          <c:showPercent val="0"/>
          <c:showBubbleSize val="0"/>
        </c:dLbls>
        <c:gapWidth val="182"/>
        <c:axId val="1331600879"/>
        <c:axId val="1331584239"/>
      </c:barChart>
      <c:catAx>
        <c:axId val="1331600879"/>
        <c:scaling>
          <c:orientation val="minMax"/>
        </c:scaling>
        <c:delete val="0"/>
        <c:axPos val="b"/>
        <c:numFmt formatCode="General" sourceLinked="1"/>
        <c:majorTickMark val="out"/>
        <c:minorTickMark val="none"/>
        <c:tickLblPos val="nextTo"/>
        <c:spPr>
          <a:noFill/>
          <a:ln w="3175" cap="flat" cmpd="sng" algn="ctr">
            <a:solidFill>
              <a:schemeClr val="tx1"/>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331584239"/>
        <c:crosses val="autoZero"/>
        <c:auto val="1"/>
        <c:lblAlgn val="ctr"/>
        <c:lblOffset val="100"/>
        <c:noMultiLvlLbl val="0"/>
      </c:catAx>
      <c:valAx>
        <c:axId val="1331584239"/>
        <c:scaling>
          <c:orientation val="minMax"/>
          <c:max val="0.55000000000000004"/>
          <c:min val="0"/>
        </c:scaling>
        <c:delete val="0"/>
        <c:axPos val="l"/>
        <c:numFmt formatCode="0%" sourceLinked="1"/>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331600879"/>
        <c:crosses val="autoZero"/>
        <c:crossBetween val="between"/>
      </c:valAx>
      <c:spPr>
        <a:noFill/>
        <a:ln w="3175">
          <a:solidFill>
            <a:schemeClr val="tx1"/>
          </a:solidFill>
        </a:ln>
        <a:effectLst/>
      </c:spPr>
    </c:plotArea>
    <c:legend>
      <c:legendPos val="b"/>
      <c:layout>
        <c:manualLayout>
          <c:xMode val="edge"/>
          <c:yMode val="edge"/>
          <c:x val="0.14725339169116122"/>
          <c:y val="0.14262008136833362"/>
          <c:w val="0.39997282356054265"/>
          <c:h val="5.4746486128486274E-2"/>
        </c:manualLayout>
      </c:layout>
      <c:overlay val="1"/>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Garamond" panose="02020404030301010803" pitchFamily="18" charset="0"/>
        </a:defRPr>
      </a:pPr>
      <a:endParaRPr lang="sr-Latn-R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492640582285271"/>
          <c:y val="4.8729550991994428E-2"/>
          <c:w val="0.80192065868548268"/>
          <c:h val="0.73383195704783333"/>
        </c:manualLayout>
      </c:layout>
      <c:barChart>
        <c:barDir val="col"/>
        <c:grouping val="clustered"/>
        <c:varyColors val="0"/>
        <c:ser>
          <c:idx val="0"/>
          <c:order val="0"/>
          <c:tx>
            <c:strRef>
              <c:f>'Balkan Territory'!$DR$5</c:f>
              <c:strCache>
                <c:ptCount val="1"/>
                <c:pt idx="0">
                  <c:v>Machine analaysis program</c:v>
                </c:pt>
              </c:strCache>
            </c:strRef>
          </c:tx>
          <c:spPr>
            <a:noFill/>
            <a:ln w="3175">
              <a:solidFill>
                <a:srgbClr val="0000FF"/>
              </a:solidFill>
            </a:ln>
            <a:effectLst/>
          </c:spPr>
          <c:invertIfNegative val="0"/>
          <c:cat>
            <c:strRef>
              <c:f>'Balkan Territory'!$DR$3:$DY$3</c:f>
              <c:strCache>
                <c:ptCount val="8"/>
                <c:pt idx="0">
                  <c:v>Visual</c:v>
                </c:pt>
                <c:pt idx="1">
                  <c:v>CC</c:v>
                </c:pt>
                <c:pt idx="2">
                  <c:v>JOAP</c:v>
                </c:pt>
                <c:pt idx="3">
                  <c:v>LCM</c:v>
                </c:pt>
                <c:pt idx="4">
                  <c:v>UOAP</c:v>
                </c:pt>
                <c:pt idx="5">
                  <c:v>PHM</c:v>
                </c:pt>
                <c:pt idx="6">
                  <c:v>None</c:v>
                </c:pt>
                <c:pt idx="7">
                  <c:v>Other</c:v>
                </c:pt>
              </c:strCache>
            </c:strRef>
          </c:cat>
          <c:val>
            <c:numRef>
              <c:f>'Balkan Territory'!$DR$6:$DY$6</c:f>
              <c:numCache>
                <c:formatCode>0%</c:formatCode>
                <c:ptCount val="8"/>
                <c:pt idx="0">
                  <c:v>0.40458015267175573</c:v>
                </c:pt>
                <c:pt idx="1">
                  <c:v>0.17557251908396945</c:v>
                </c:pt>
                <c:pt idx="2">
                  <c:v>5.3435114503816793E-2</c:v>
                </c:pt>
                <c:pt idx="3">
                  <c:v>6.1068702290076333E-2</c:v>
                </c:pt>
                <c:pt idx="4">
                  <c:v>0.12977099236641221</c:v>
                </c:pt>
                <c:pt idx="5">
                  <c:v>9.1603053435114504E-2</c:v>
                </c:pt>
                <c:pt idx="6">
                  <c:v>7.6335877862595422E-2</c:v>
                </c:pt>
                <c:pt idx="7">
                  <c:v>7.6335877862595417E-3</c:v>
                </c:pt>
              </c:numCache>
            </c:numRef>
          </c:val>
          <c:extLst>
            <c:ext xmlns:c16="http://schemas.microsoft.com/office/drawing/2014/chart" uri="{C3380CC4-5D6E-409C-BE32-E72D297353CC}">
              <c16:uniqueId val="{00000000-139E-4290-9A69-9A7ADF2A76F5}"/>
            </c:ext>
          </c:extLst>
        </c:ser>
        <c:dLbls>
          <c:showLegendKey val="0"/>
          <c:showVal val="0"/>
          <c:showCatName val="0"/>
          <c:showSerName val="0"/>
          <c:showPercent val="0"/>
          <c:showBubbleSize val="0"/>
        </c:dLbls>
        <c:gapWidth val="100"/>
        <c:overlap val="-24"/>
        <c:axId val="2047780303"/>
        <c:axId val="2047781551"/>
      </c:barChart>
      <c:catAx>
        <c:axId val="2047780303"/>
        <c:scaling>
          <c:orientation val="minMax"/>
        </c:scaling>
        <c:delete val="0"/>
        <c:axPos val="b"/>
        <c:numFmt formatCode="General" sourceLinked="1"/>
        <c:majorTickMark val="out"/>
        <c:minorTickMark val="none"/>
        <c:tickLblPos val="nextTo"/>
        <c:spPr>
          <a:noFill/>
          <a:ln w="3175" cap="flat" cmpd="sng" algn="ctr">
            <a:solidFill>
              <a:schemeClr val="tx1"/>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2047781551"/>
        <c:crosses val="autoZero"/>
        <c:auto val="1"/>
        <c:lblAlgn val="ctr"/>
        <c:lblOffset val="100"/>
        <c:noMultiLvlLbl val="0"/>
      </c:catAx>
      <c:valAx>
        <c:axId val="2047781551"/>
        <c:scaling>
          <c:orientation val="minMax"/>
        </c:scaling>
        <c:delete val="0"/>
        <c:axPos val="l"/>
        <c:numFmt formatCode="0%" sourceLinked="1"/>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2047780303"/>
        <c:crosses val="autoZero"/>
        <c:crossBetween val="between"/>
      </c:valAx>
      <c:spPr>
        <a:noFill/>
        <a:ln w="3175">
          <a:solidFill>
            <a:schemeClr val="tx1"/>
          </a:solidFill>
        </a:ln>
        <a:effectLst/>
      </c:spPr>
    </c:plotArea>
    <c:legend>
      <c:legendPos val="r"/>
      <c:layout>
        <c:manualLayout>
          <c:xMode val="edge"/>
          <c:yMode val="edge"/>
          <c:x val="0.36033695232406171"/>
          <c:y val="0.1059311373060616"/>
          <c:w val="0.59131670512676604"/>
          <c:h val="7.2991122027643934E-2"/>
        </c:manualLayout>
      </c:layout>
      <c:overlay val="1"/>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Garamond" panose="02020404030301010803" pitchFamily="18" charset="0"/>
        </a:defRPr>
      </a:pPr>
      <a:endParaRPr lang="sr-Latn-R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'Charts and Results'!$T$2</c:f>
              <c:strCache>
                <c:ptCount val="1"/>
                <c:pt idx="0">
                  <c:v>Machine Age [years]</c:v>
                </c:pt>
              </c:strCache>
            </c:strRef>
          </c:tx>
          <c:spPr>
            <a:noFill/>
            <a:ln w="3175">
              <a:solidFill>
                <a:srgbClr val="0000FF"/>
              </a:solidFill>
            </a:ln>
            <a:effectLst/>
          </c:spPr>
          <c:invertIfNegative val="0"/>
          <c:cat>
            <c:strRef>
              <c:f>'Charts and Results'!$T$3:$T$14</c:f>
              <c:strCache>
                <c:ptCount val="12"/>
                <c:pt idx="0">
                  <c:v>1-5</c:v>
                </c:pt>
                <c:pt idx="1">
                  <c:v>5-10</c:v>
                </c:pt>
                <c:pt idx="2">
                  <c:v>10-15</c:v>
                </c:pt>
                <c:pt idx="3">
                  <c:v>15-20</c:v>
                </c:pt>
                <c:pt idx="4">
                  <c:v>20-25</c:v>
                </c:pt>
                <c:pt idx="5">
                  <c:v>25-30</c:v>
                </c:pt>
                <c:pt idx="6">
                  <c:v>30-35</c:v>
                </c:pt>
                <c:pt idx="7">
                  <c:v>35-40</c:v>
                </c:pt>
                <c:pt idx="8">
                  <c:v>40-45</c:v>
                </c:pt>
                <c:pt idx="9">
                  <c:v>45-50</c:v>
                </c:pt>
                <c:pt idx="10">
                  <c:v>50-55</c:v>
                </c:pt>
                <c:pt idx="11">
                  <c:v>55-60</c:v>
                </c:pt>
              </c:strCache>
            </c:strRef>
          </c:cat>
          <c:val>
            <c:numRef>
              <c:f>'Charts and Results'!$V$3:$V$14</c:f>
              <c:numCache>
                <c:formatCode>0%</c:formatCode>
                <c:ptCount val="12"/>
                <c:pt idx="0">
                  <c:v>0.12048192771084337</c:v>
                </c:pt>
                <c:pt idx="1">
                  <c:v>0.15662650602409639</c:v>
                </c:pt>
                <c:pt idx="2">
                  <c:v>0.2289156626506024</c:v>
                </c:pt>
                <c:pt idx="3">
                  <c:v>0.2289156626506024</c:v>
                </c:pt>
                <c:pt idx="4">
                  <c:v>0.15662650602409639</c:v>
                </c:pt>
                <c:pt idx="5">
                  <c:v>3.614457831325301E-2</c:v>
                </c:pt>
                <c:pt idx="6">
                  <c:v>1.2048192771084338E-2</c:v>
                </c:pt>
                <c:pt idx="7">
                  <c:v>2.0080321285140562E-2</c:v>
                </c:pt>
                <c:pt idx="8">
                  <c:v>1.6064257028112448E-2</c:v>
                </c:pt>
                <c:pt idx="9">
                  <c:v>8.0321285140562242E-3</c:v>
                </c:pt>
                <c:pt idx="10">
                  <c:v>8.0321285140562242E-3</c:v>
                </c:pt>
                <c:pt idx="11">
                  <c:v>8.0321285140562242E-3</c:v>
                </c:pt>
              </c:numCache>
            </c:numRef>
          </c:val>
          <c:extLst>
            <c:ext xmlns:c16="http://schemas.microsoft.com/office/drawing/2014/chart" uri="{C3380CC4-5D6E-409C-BE32-E72D297353CC}">
              <c16:uniqueId val="{00000000-6D45-47A8-A7DD-A52E41FD3D43}"/>
            </c:ext>
          </c:extLst>
        </c:ser>
        <c:dLbls>
          <c:showLegendKey val="0"/>
          <c:showVal val="0"/>
          <c:showCatName val="0"/>
          <c:showSerName val="0"/>
          <c:showPercent val="0"/>
          <c:showBubbleSize val="0"/>
        </c:dLbls>
        <c:gapWidth val="182"/>
        <c:axId val="1331600879"/>
        <c:axId val="1331584239"/>
      </c:barChart>
      <c:catAx>
        <c:axId val="1331600879"/>
        <c:scaling>
          <c:orientation val="minMax"/>
        </c:scaling>
        <c:delete val="0"/>
        <c:axPos val="b"/>
        <c:numFmt formatCode="General" sourceLinked="1"/>
        <c:majorTickMark val="out"/>
        <c:minorTickMark val="none"/>
        <c:tickLblPos val="nextTo"/>
        <c:spPr>
          <a:noFill/>
          <a:ln w="3175" cap="flat" cmpd="sng" algn="ctr">
            <a:solidFill>
              <a:schemeClr val="tx1"/>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331584239"/>
        <c:crosses val="autoZero"/>
        <c:auto val="1"/>
        <c:lblAlgn val="ctr"/>
        <c:lblOffset val="100"/>
        <c:noMultiLvlLbl val="0"/>
      </c:catAx>
      <c:valAx>
        <c:axId val="1331584239"/>
        <c:scaling>
          <c:orientation val="minMax"/>
          <c:max val="0.25"/>
          <c:min val="0"/>
        </c:scaling>
        <c:delete val="0"/>
        <c:axPos val="l"/>
        <c:numFmt formatCode="0%" sourceLinked="1"/>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331600879"/>
        <c:crosses val="autoZero"/>
        <c:crossBetween val="between"/>
      </c:valAx>
      <c:spPr>
        <a:noFill/>
        <a:ln w="3175">
          <a:solidFill>
            <a:schemeClr val="tx1"/>
          </a:solidFill>
        </a:ln>
        <a:effectLst/>
      </c:spPr>
    </c:plotArea>
    <c:legend>
      <c:legendPos val="b"/>
      <c:layout>
        <c:manualLayout>
          <c:xMode val="edge"/>
          <c:yMode val="edge"/>
          <c:x val="0.53604537195088375"/>
          <c:y val="0.1019490163615115"/>
          <c:w val="0.39974303911311787"/>
          <c:h val="0.13373276443522583"/>
        </c:manualLayout>
      </c:layout>
      <c:overlay val="1"/>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Garamond" panose="02020404030301010803" pitchFamily="18" charset="0"/>
        </a:defRPr>
      </a:pPr>
      <a:endParaRPr lang="sr-Latn-R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195717640558088"/>
          <c:y val="2.7500859401856308E-2"/>
          <c:w val="0.65703697564120278"/>
          <c:h val="0.80682865827746075"/>
        </c:manualLayout>
      </c:layout>
      <c:barChart>
        <c:barDir val="bar"/>
        <c:grouping val="clustered"/>
        <c:varyColors val="0"/>
        <c:ser>
          <c:idx val="0"/>
          <c:order val="0"/>
          <c:tx>
            <c:strRef>
              <c:f>'Charts and Results'!$P$10</c:f>
              <c:strCache>
                <c:ptCount val="1"/>
                <c:pt idx="0">
                  <c:v>CM sensors</c:v>
                </c:pt>
              </c:strCache>
            </c:strRef>
          </c:tx>
          <c:spPr>
            <a:noFill/>
            <a:ln w="3175">
              <a:solidFill>
                <a:srgbClr val="0000FF"/>
              </a:solidFill>
            </a:ln>
            <a:effectLst/>
          </c:spPr>
          <c:invertIfNegative val="0"/>
          <c:cat>
            <c:strRef>
              <c:f>'Charts and Results'!$P$11:$P$20</c:f>
              <c:strCache>
                <c:ptCount val="10"/>
                <c:pt idx="0">
                  <c:v>Other</c:v>
                </c:pt>
                <c:pt idx="1">
                  <c:v>Angle</c:v>
                </c:pt>
                <c:pt idx="2">
                  <c:v>Ultrasound</c:v>
                </c:pt>
                <c:pt idx="3">
                  <c:v>Contamin.</c:v>
                </c:pt>
                <c:pt idx="4">
                  <c:v>Linear position</c:v>
                </c:pt>
                <c:pt idx="5">
                  <c:v>Vibration</c:v>
                </c:pt>
                <c:pt idx="6">
                  <c:v>None</c:v>
                </c:pt>
                <c:pt idx="7">
                  <c:v>Flow</c:v>
                </c:pt>
                <c:pt idx="8">
                  <c:v>Temperature</c:v>
                </c:pt>
                <c:pt idx="9">
                  <c:v>Pressure</c:v>
                </c:pt>
              </c:strCache>
            </c:strRef>
          </c:cat>
          <c:val>
            <c:numRef>
              <c:f>'Charts and Results'!$R$11:$R$20</c:f>
              <c:numCache>
                <c:formatCode>0%</c:formatCode>
                <c:ptCount val="10"/>
                <c:pt idx="0">
                  <c:v>1.6483516483516484E-2</c:v>
                </c:pt>
                <c:pt idx="1">
                  <c:v>2.197802197802198E-2</c:v>
                </c:pt>
                <c:pt idx="2">
                  <c:v>3.2967032967032968E-2</c:v>
                </c:pt>
                <c:pt idx="3">
                  <c:v>4.9450549450549448E-2</c:v>
                </c:pt>
                <c:pt idx="4">
                  <c:v>6.043956043956044E-2</c:v>
                </c:pt>
                <c:pt idx="5">
                  <c:v>8.2417582417582416E-2</c:v>
                </c:pt>
                <c:pt idx="6">
                  <c:v>9.3406593406593408E-2</c:v>
                </c:pt>
                <c:pt idx="7">
                  <c:v>0.15934065934065933</c:v>
                </c:pt>
                <c:pt idx="8">
                  <c:v>0.18681318681318682</c:v>
                </c:pt>
                <c:pt idx="9">
                  <c:v>0.2967032967032967</c:v>
                </c:pt>
              </c:numCache>
            </c:numRef>
          </c:val>
          <c:extLst>
            <c:ext xmlns:c16="http://schemas.microsoft.com/office/drawing/2014/chart" uri="{C3380CC4-5D6E-409C-BE32-E72D297353CC}">
              <c16:uniqueId val="{00000000-2259-43E4-AA51-F4FD97D4C0A7}"/>
            </c:ext>
          </c:extLst>
        </c:ser>
        <c:dLbls>
          <c:showLegendKey val="0"/>
          <c:showVal val="0"/>
          <c:showCatName val="0"/>
          <c:showSerName val="0"/>
          <c:showPercent val="0"/>
          <c:showBubbleSize val="0"/>
        </c:dLbls>
        <c:gapWidth val="182"/>
        <c:axId val="1331600879"/>
        <c:axId val="1331584239"/>
      </c:barChart>
      <c:catAx>
        <c:axId val="1331600879"/>
        <c:scaling>
          <c:orientation val="minMax"/>
        </c:scaling>
        <c:delete val="0"/>
        <c:axPos val="l"/>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Garamond" panose="02020404030301010803" pitchFamily="18" charset="0"/>
                <a:ea typeface="+mn-ea"/>
                <a:cs typeface="+mn-cs"/>
              </a:defRPr>
            </a:pPr>
            <a:endParaRPr lang="sr-Latn-RS"/>
          </a:p>
        </c:txPr>
        <c:crossAx val="1331584239"/>
        <c:crosses val="autoZero"/>
        <c:auto val="1"/>
        <c:lblAlgn val="ctr"/>
        <c:lblOffset val="100"/>
        <c:noMultiLvlLbl val="0"/>
      </c:catAx>
      <c:valAx>
        <c:axId val="1331584239"/>
        <c:scaling>
          <c:orientation val="minMax"/>
          <c:max val="0.32000000000000006"/>
          <c:min val="0"/>
        </c:scaling>
        <c:delete val="0"/>
        <c:axPos val="b"/>
        <c:numFmt formatCode="0%" sourceLinked="1"/>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Garamond" panose="02020404030301010803" pitchFamily="18" charset="0"/>
                <a:ea typeface="+mn-ea"/>
                <a:cs typeface="+mn-cs"/>
              </a:defRPr>
            </a:pPr>
            <a:endParaRPr lang="sr-Latn-RS"/>
          </a:p>
        </c:txPr>
        <c:crossAx val="1331600879"/>
        <c:crosses val="autoZero"/>
        <c:crossBetween val="between"/>
      </c:valAx>
      <c:spPr>
        <a:noFill/>
        <a:ln w="3175">
          <a:solidFill>
            <a:schemeClr val="tx1"/>
          </a:solidFill>
        </a:ln>
        <a:effectLst/>
      </c:spPr>
    </c:plotArea>
    <c:legend>
      <c:legendPos val="b"/>
      <c:layout>
        <c:manualLayout>
          <c:xMode val="edge"/>
          <c:yMode val="edge"/>
          <c:x val="0.63503062117235343"/>
          <c:y val="0.72484361592992697"/>
          <c:w val="0.28953759727402495"/>
          <c:h val="8.7849236773034939E-2"/>
        </c:manualLayout>
      </c:layout>
      <c:overlay val="1"/>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Garamond" panose="02020404030301010803" pitchFamily="18" charset="0"/>
        </a:defRPr>
      </a:pPr>
      <a:endParaRPr lang="sr-Latn-R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'Charts and Results'!$AJ$3</c:f>
              <c:strCache>
                <c:ptCount val="1"/>
                <c:pt idx="0">
                  <c:v>Maintenance department size </c:v>
                </c:pt>
              </c:strCache>
            </c:strRef>
          </c:tx>
          <c:spPr>
            <a:noFill/>
            <a:ln w="3175">
              <a:solidFill>
                <a:srgbClr val="0000FF"/>
              </a:solidFill>
            </a:ln>
            <a:effectLst/>
          </c:spPr>
          <c:invertIfNegative val="0"/>
          <c:cat>
            <c:strRef>
              <c:f>'Charts and Results'!$AJ$4:$AJ$10</c:f>
              <c:strCache>
                <c:ptCount val="7"/>
                <c:pt idx="0">
                  <c:v>101-250</c:v>
                </c:pt>
                <c:pt idx="1">
                  <c:v>11-15</c:v>
                </c:pt>
                <c:pt idx="2">
                  <c:v>51-100</c:v>
                </c:pt>
                <c:pt idx="3">
                  <c:v>16-25</c:v>
                </c:pt>
                <c:pt idx="4">
                  <c:v>26-50</c:v>
                </c:pt>
                <c:pt idx="5">
                  <c:v>6-10</c:v>
                </c:pt>
                <c:pt idx="6">
                  <c:v>&lt;5</c:v>
                </c:pt>
              </c:strCache>
            </c:strRef>
          </c:cat>
          <c:val>
            <c:numRef>
              <c:f>'Charts and Results'!$AL$4:$AL$10</c:f>
              <c:numCache>
                <c:formatCode>0%</c:formatCode>
                <c:ptCount val="7"/>
                <c:pt idx="0">
                  <c:v>2.197802197802198E-2</c:v>
                </c:pt>
                <c:pt idx="1">
                  <c:v>9.8901098901098897E-2</c:v>
                </c:pt>
                <c:pt idx="2">
                  <c:v>0.10989010989010989</c:v>
                </c:pt>
                <c:pt idx="3">
                  <c:v>0.13186813186813187</c:v>
                </c:pt>
                <c:pt idx="4">
                  <c:v>0.14285714285714285</c:v>
                </c:pt>
                <c:pt idx="5">
                  <c:v>0.16483516483516483</c:v>
                </c:pt>
                <c:pt idx="6">
                  <c:v>0.32967032967032966</c:v>
                </c:pt>
              </c:numCache>
            </c:numRef>
          </c:val>
          <c:extLst>
            <c:ext xmlns:c16="http://schemas.microsoft.com/office/drawing/2014/chart" uri="{C3380CC4-5D6E-409C-BE32-E72D297353CC}">
              <c16:uniqueId val="{00000000-873B-476D-902B-2D1F75FD12F2}"/>
            </c:ext>
          </c:extLst>
        </c:ser>
        <c:dLbls>
          <c:showLegendKey val="0"/>
          <c:showVal val="0"/>
          <c:showCatName val="0"/>
          <c:showSerName val="0"/>
          <c:showPercent val="0"/>
          <c:showBubbleSize val="0"/>
        </c:dLbls>
        <c:gapWidth val="182"/>
        <c:axId val="64422943"/>
        <c:axId val="64423359"/>
      </c:barChart>
      <c:catAx>
        <c:axId val="64422943"/>
        <c:scaling>
          <c:orientation val="minMax"/>
        </c:scaling>
        <c:delete val="0"/>
        <c:axPos val="l"/>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64423359"/>
        <c:crosses val="autoZero"/>
        <c:auto val="1"/>
        <c:lblAlgn val="ctr"/>
        <c:lblOffset val="100"/>
        <c:noMultiLvlLbl val="0"/>
      </c:catAx>
      <c:valAx>
        <c:axId val="64423359"/>
        <c:scaling>
          <c:orientation val="minMax"/>
          <c:max val="0.35000000000000003"/>
          <c:min val="0"/>
        </c:scaling>
        <c:delete val="0"/>
        <c:axPos val="b"/>
        <c:numFmt formatCode="0%" sourceLinked="1"/>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64422943"/>
        <c:crosses val="autoZero"/>
        <c:crossBetween val="between"/>
      </c:valAx>
      <c:spPr>
        <a:noFill/>
        <a:ln w="3175">
          <a:solidFill>
            <a:schemeClr val="tx1"/>
          </a:solidFill>
        </a:ln>
        <a:effectLst/>
      </c:spPr>
    </c:plotArea>
    <c:legend>
      <c:legendPos val="r"/>
      <c:layout>
        <c:manualLayout>
          <c:xMode val="edge"/>
          <c:yMode val="edge"/>
          <c:x val="0.51333914225188859"/>
          <c:y val="0.73573785845341499"/>
          <c:w val="0.37686302410168271"/>
          <c:h val="0.13352212526543819"/>
        </c:manualLayout>
      </c:layout>
      <c:overlay val="1"/>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Garamond" panose="02020404030301010803" pitchFamily="18" charset="0"/>
        </a:defRPr>
      </a:pPr>
      <a:endParaRPr lang="sr-Latn-R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'Charts and Results'!$AN$3</c:f>
              <c:strCache>
                <c:ptCount val="1"/>
                <c:pt idx="0">
                  <c:v>Maintenance personnel</c:v>
                </c:pt>
              </c:strCache>
            </c:strRef>
          </c:tx>
          <c:spPr>
            <a:noFill/>
            <a:ln w="3175">
              <a:solidFill>
                <a:srgbClr val="0000FF"/>
              </a:solidFill>
            </a:ln>
            <a:effectLst/>
          </c:spPr>
          <c:invertIfNegative val="0"/>
          <c:cat>
            <c:strRef>
              <c:f>'Charts and Results'!$AN$4:$AN$10</c:f>
              <c:strCache>
                <c:ptCount val="7"/>
                <c:pt idx="0">
                  <c:v>TEOH+L</c:v>
                </c:pt>
                <c:pt idx="1">
                  <c:v>TE+O</c:v>
                </c:pt>
                <c:pt idx="2">
                  <c:v>TEOH</c:v>
                </c:pt>
                <c:pt idx="3">
                  <c:v>None</c:v>
                </c:pt>
                <c:pt idx="4">
                  <c:v>Technician</c:v>
                </c:pt>
                <c:pt idx="5">
                  <c:v>3rd party</c:v>
                </c:pt>
                <c:pt idx="6">
                  <c:v>Tech+Eng</c:v>
                </c:pt>
              </c:strCache>
            </c:strRef>
          </c:cat>
          <c:val>
            <c:numRef>
              <c:f>'Charts and Results'!$AP$4:$AP$10</c:f>
              <c:numCache>
                <c:formatCode>0%</c:formatCode>
                <c:ptCount val="7"/>
                <c:pt idx="0">
                  <c:v>0.02</c:v>
                </c:pt>
                <c:pt idx="1">
                  <c:v>0.03</c:v>
                </c:pt>
                <c:pt idx="2">
                  <c:v>0.1</c:v>
                </c:pt>
                <c:pt idx="3">
                  <c:v>0.14000000000000001</c:v>
                </c:pt>
                <c:pt idx="4">
                  <c:v>0.16</c:v>
                </c:pt>
                <c:pt idx="5">
                  <c:v>0.25</c:v>
                </c:pt>
                <c:pt idx="6">
                  <c:v>0.3</c:v>
                </c:pt>
              </c:numCache>
            </c:numRef>
          </c:val>
          <c:extLst>
            <c:ext xmlns:c16="http://schemas.microsoft.com/office/drawing/2014/chart" uri="{C3380CC4-5D6E-409C-BE32-E72D297353CC}">
              <c16:uniqueId val="{00000000-70C3-4784-9939-CDE204A7AA2D}"/>
            </c:ext>
          </c:extLst>
        </c:ser>
        <c:dLbls>
          <c:showLegendKey val="0"/>
          <c:showVal val="0"/>
          <c:showCatName val="0"/>
          <c:showSerName val="0"/>
          <c:showPercent val="0"/>
          <c:showBubbleSize val="0"/>
        </c:dLbls>
        <c:gapWidth val="182"/>
        <c:axId val="64422943"/>
        <c:axId val="64423359"/>
      </c:barChart>
      <c:catAx>
        <c:axId val="64422943"/>
        <c:scaling>
          <c:orientation val="minMax"/>
        </c:scaling>
        <c:delete val="0"/>
        <c:axPos val="l"/>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64423359"/>
        <c:crosses val="autoZero"/>
        <c:auto val="1"/>
        <c:lblAlgn val="ctr"/>
        <c:lblOffset val="100"/>
        <c:noMultiLvlLbl val="0"/>
      </c:catAx>
      <c:valAx>
        <c:axId val="64423359"/>
        <c:scaling>
          <c:orientation val="minMax"/>
          <c:max val="0.32000000000000006"/>
          <c:min val="0"/>
        </c:scaling>
        <c:delete val="0"/>
        <c:axPos val="b"/>
        <c:numFmt formatCode="0%" sourceLinked="1"/>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64422943"/>
        <c:crosses val="autoZero"/>
        <c:crossBetween val="between"/>
      </c:valAx>
      <c:spPr>
        <a:noFill/>
        <a:ln w="3175">
          <a:solidFill>
            <a:schemeClr val="tx1"/>
          </a:solidFill>
        </a:ln>
        <a:effectLst/>
      </c:spPr>
    </c:plotArea>
    <c:legend>
      <c:legendPos val="r"/>
      <c:layout>
        <c:manualLayout>
          <c:xMode val="edge"/>
          <c:yMode val="edge"/>
          <c:x val="0.51034624044675703"/>
          <c:y val="0.72305990282789601"/>
          <c:w val="0.37401897275488116"/>
          <c:h val="0.13211971379560308"/>
        </c:manualLayout>
      </c:layout>
      <c:overlay val="1"/>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Garamond" panose="02020404030301010803" pitchFamily="18" charset="0"/>
        </a:defRPr>
      </a:pPr>
      <a:endParaRPr lang="sr-Latn-R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097418156728419E-2"/>
          <c:y val="5.1450142712457417E-2"/>
          <c:w val="0.86714853688195881"/>
          <c:h val="0.88319491873311151"/>
        </c:manualLayout>
      </c:layout>
      <c:barChart>
        <c:barDir val="col"/>
        <c:grouping val="clustered"/>
        <c:varyColors val="0"/>
        <c:ser>
          <c:idx val="1"/>
          <c:order val="1"/>
          <c:tx>
            <c:strRef>
              <c:f>'Balkan Survey'!$HS$4</c:f>
              <c:strCache>
                <c:ptCount val="1"/>
                <c:pt idx="0">
                  <c:v>Criteria for oil replacement</c:v>
                </c:pt>
              </c:strCache>
            </c:strRef>
          </c:tx>
          <c:spPr>
            <a:noFill/>
            <a:ln w="3175">
              <a:solidFill>
                <a:srgbClr val="0000FF"/>
              </a:solidFill>
            </a:ln>
            <a:effectLst/>
          </c:spPr>
          <c:invertIfNegative val="0"/>
          <c:dLbls>
            <c:spPr>
              <a:noFill/>
              <a:ln>
                <a:noFill/>
              </a:ln>
              <a:effectLst/>
            </c:spPr>
            <c:txPr>
              <a:bodyPr rot="0" spcFirstLastPara="1" vertOverflow="clip" horzOverflow="clip" vert="horz" wrap="square" lIns="36576" tIns="18288" rIns="36576" bIns="18288" anchor="ctr" anchorCtr="1">
                <a:spAutoFit/>
              </a:bodyPr>
              <a:lstStyle/>
              <a:p>
                <a:pPr>
                  <a:defRPr sz="800" b="0" i="0" u="none" strike="noStrike" kern="1200" baseline="0">
                    <a:solidFill>
                      <a:sysClr val="windowText" lastClr="000000"/>
                    </a:solidFill>
                    <a:latin typeface="Garamond" panose="02020404030301010803" pitchFamily="18" charset="0"/>
                    <a:ea typeface="+mn-ea"/>
                    <a:cs typeface="+mn-cs"/>
                  </a:defRPr>
                </a:pPr>
                <a:endParaRPr lang="sr-Latn-RS"/>
              </a:p>
            </c:txPr>
            <c:showLegendKey val="0"/>
            <c:showVal val="0"/>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'Balkan Survey'!$HS$3:$HY$3</c:f>
              <c:strCache>
                <c:ptCount val="7"/>
                <c:pt idx="0">
                  <c:v>Routine</c:v>
                </c:pt>
                <c:pt idx="1">
                  <c:v>Oil check</c:v>
                </c:pt>
                <c:pt idx="2">
                  <c:v>Historical data</c:v>
                </c:pt>
                <c:pt idx="3">
                  <c:v>Laboratory</c:v>
                </c:pt>
                <c:pt idx="4">
                  <c:v>OEM</c:v>
                </c:pt>
                <c:pt idx="5">
                  <c:v>Syst Respons</c:v>
                </c:pt>
                <c:pt idx="6">
                  <c:v>Other</c:v>
                </c:pt>
              </c:strCache>
            </c:strRef>
          </c:cat>
          <c:val>
            <c:numRef>
              <c:f>'Balkan Survey'!$HS$5:$HY$5</c:f>
              <c:numCache>
                <c:formatCode>0%</c:formatCode>
                <c:ptCount val="7"/>
                <c:pt idx="0">
                  <c:v>8.7378640776699032E-2</c:v>
                </c:pt>
                <c:pt idx="1">
                  <c:v>0.18446601941747573</c:v>
                </c:pt>
                <c:pt idx="2">
                  <c:v>0.12621359223300971</c:v>
                </c:pt>
                <c:pt idx="3">
                  <c:v>8.7378640776699032E-2</c:v>
                </c:pt>
                <c:pt idx="4">
                  <c:v>0.39805825242718446</c:v>
                </c:pt>
                <c:pt idx="5">
                  <c:v>9.7087378640776698E-2</c:v>
                </c:pt>
                <c:pt idx="6">
                  <c:v>1.9417475728155338E-2</c:v>
                </c:pt>
              </c:numCache>
            </c:numRef>
          </c:val>
          <c:extLst>
            <c:ext xmlns:c16="http://schemas.microsoft.com/office/drawing/2014/chart" uri="{C3380CC4-5D6E-409C-BE32-E72D297353CC}">
              <c16:uniqueId val="{00000000-D1D0-4A0F-AAF0-1267C64A9812}"/>
            </c:ext>
          </c:extLst>
        </c:ser>
        <c:dLbls>
          <c:showLegendKey val="0"/>
          <c:showVal val="0"/>
          <c:showCatName val="0"/>
          <c:showSerName val="0"/>
          <c:showPercent val="0"/>
          <c:showBubbleSize val="0"/>
        </c:dLbls>
        <c:gapWidth val="49"/>
        <c:overlap val="-46"/>
        <c:axId val="144736448"/>
        <c:axId val="144725632"/>
      </c:barChart>
      <c:lineChart>
        <c:grouping val="stacked"/>
        <c:varyColors val="0"/>
        <c:ser>
          <c:idx val="0"/>
          <c:order val="0"/>
          <c:tx>
            <c:strRef>
              <c:f>'Balkan Survey'!$HI$4</c:f>
              <c:strCache>
                <c:ptCount val="1"/>
                <c:pt idx="0">
                  <c:v>Time to complete oil replacement</c:v>
                </c:pt>
              </c:strCache>
            </c:strRef>
          </c:tx>
          <c:spPr>
            <a:ln w="3175" cap="rnd">
              <a:solidFill>
                <a:srgbClr val="FF0000">
                  <a:alpha val="82745"/>
                </a:srgbClr>
              </a:solidFill>
              <a:round/>
            </a:ln>
            <a:effectLst/>
          </c:spPr>
          <c:marker>
            <c:symbol val="circle"/>
            <c:size val="6"/>
            <c:spPr>
              <a:noFill/>
              <a:ln w="3175">
                <a:solidFill>
                  <a:srgbClr val="FF0000"/>
                </a:solidFill>
                <a:round/>
              </a:ln>
              <a:effectLst/>
            </c:spPr>
          </c:marker>
          <c:dLbls>
            <c:dLbl>
              <c:idx val="4"/>
              <c:layout>
                <c:manualLayout>
                  <c:x val="-4.2095934418965329E-2"/>
                  <c:y val="-9.4996833438885486E-2"/>
                </c:manualLayout>
              </c:layou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1D0-4A0F-AAF0-1267C64A9812}"/>
                </c:ext>
              </c:extLst>
            </c:dLbl>
            <c:dLbl>
              <c:idx val="8"/>
              <c:layout>
                <c:manualLayout>
                  <c:x val="-4.4311509914700342E-2"/>
                  <c:y val="-6.3331222292590361E-2"/>
                </c:manualLayout>
              </c:layou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1D0-4A0F-AAF0-1267C64A9812}"/>
                </c:ext>
              </c:extLst>
            </c:dLbl>
            <c:dLbl>
              <c:idx val="9"/>
              <c:layout>
                <c:manualLayout>
                  <c:x val="-3.5449207931760277E-2"/>
                  <c:y val="7.59974667511083E-2"/>
                </c:manualLayout>
              </c:layou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1D0-4A0F-AAF0-1267C64A9812}"/>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Garamond" panose="02020404030301010803" pitchFamily="18" charset="0"/>
                    <a:ea typeface="+mn-ea"/>
                    <a:cs typeface="+mn-cs"/>
                  </a:defRPr>
                </a:pPr>
                <a:endParaRPr lang="sr-Latn-RS"/>
              </a:p>
            </c:txPr>
            <c:showLegendKey val="0"/>
            <c:showVal val="0"/>
            <c:showCatName val="1"/>
            <c:showSerName val="0"/>
            <c:showPercent val="0"/>
            <c:showBubbleSize val="0"/>
            <c:showLeaderLines val="0"/>
            <c:extLst>
              <c:ext xmlns:c15="http://schemas.microsoft.com/office/drawing/2012/chart" uri="{CE6537A1-D6FC-4f65-9D91-7224C49458BB}">
                <c15:showLeaderLines val="0"/>
              </c:ext>
            </c:extLst>
          </c:dLbls>
          <c:cat>
            <c:strRef>
              <c:f>'Balkan Survey'!$HI$3:$HR$3</c:f>
              <c:strCache>
                <c:ptCount val="10"/>
                <c:pt idx="0">
                  <c:v>&gt;100h</c:v>
                </c:pt>
                <c:pt idx="1">
                  <c:v>&gt;150h</c:v>
                </c:pt>
                <c:pt idx="2">
                  <c:v>&gt;250h</c:v>
                </c:pt>
                <c:pt idx="3">
                  <c:v>&gt;500h</c:v>
                </c:pt>
                <c:pt idx="4">
                  <c:v>&gt;720</c:v>
                </c:pt>
                <c:pt idx="5">
                  <c:v>&gt;1440h</c:v>
                </c:pt>
                <c:pt idx="6">
                  <c:v>&gt;2160</c:v>
                </c:pt>
                <c:pt idx="7">
                  <c:v>&gt;4320</c:v>
                </c:pt>
                <c:pt idx="8">
                  <c:v>&gt;8640</c:v>
                </c:pt>
                <c:pt idx="9">
                  <c:v>10000</c:v>
                </c:pt>
              </c:strCache>
            </c:strRef>
          </c:cat>
          <c:val>
            <c:numRef>
              <c:f>'Balkan Survey'!$HI$5:$HR$5</c:f>
              <c:numCache>
                <c:formatCode>0%</c:formatCode>
                <c:ptCount val="10"/>
                <c:pt idx="0">
                  <c:v>0</c:v>
                </c:pt>
                <c:pt idx="1">
                  <c:v>0</c:v>
                </c:pt>
                <c:pt idx="2">
                  <c:v>1.3157894736842105E-2</c:v>
                </c:pt>
                <c:pt idx="3">
                  <c:v>2.6315789473684209E-2</c:v>
                </c:pt>
                <c:pt idx="4">
                  <c:v>0.10526315789473684</c:v>
                </c:pt>
                <c:pt idx="5">
                  <c:v>0.31578947368421051</c:v>
                </c:pt>
                <c:pt idx="6">
                  <c:v>0.22368421052631579</c:v>
                </c:pt>
                <c:pt idx="7">
                  <c:v>6.5789473684210523E-2</c:v>
                </c:pt>
                <c:pt idx="8">
                  <c:v>0.11842105263157894</c:v>
                </c:pt>
                <c:pt idx="9">
                  <c:v>0.13157894736842105</c:v>
                </c:pt>
              </c:numCache>
            </c:numRef>
          </c:val>
          <c:smooth val="0"/>
          <c:extLst>
            <c:ext xmlns:c16="http://schemas.microsoft.com/office/drawing/2014/chart" uri="{C3380CC4-5D6E-409C-BE32-E72D297353CC}">
              <c16:uniqueId val="{00000001-D1D0-4A0F-AAF0-1267C64A9812}"/>
            </c:ext>
          </c:extLst>
        </c:ser>
        <c:dLbls>
          <c:showLegendKey val="0"/>
          <c:showVal val="0"/>
          <c:showCatName val="0"/>
          <c:showSerName val="0"/>
          <c:showPercent val="0"/>
          <c:showBubbleSize val="0"/>
        </c:dLbls>
        <c:marker val="1"/>
        <c:smooth val="0"/>
        <c:axId val="2047809839"/>
        <c:axId val="2047804847"/>
      </c:lineChart>
      <c:catAx>
        <c:axId val="2047809839"/>
        <c:scaling>
          <c:orientation val="minMax"/>
        </c:scaling>
        <c:delete val="0"/>
        <c:axPos val="b"/>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300" b="0" i="0" u="none" strike="noStrike" kern="1200" baseline="0">
                <a:solidFill>
                  <a:schemeClr val="bg1"/>
                </a:solidFill>
                <a:latin typeface="Garamond" panose="02020404030301010803" pitchFamily="18" charset="0"/>
                <a:ea typeface="+mn-ea"/>
                <a:cs typeface="+mn-cs"/>
              </a:defRPr>
            </a:pPr>
            <a:endParaRPr lang="sr-Latn-RS"/>
          </a:p>
        </c:txPr>
        <c:crossAx val="2047804847"/>
        <c:crosses val="autoZero"/>
        <c:auto val="1"/>
        <c:lblAlgn val="ctr"/>
        <c:lblOffset val="100"/>
        <c:noMultiLvlLbl val="0"/>
      </c:catAx>
      <c:valAx>
        <c:axId val="2047804847"/>
        <c:scaling>
          <c:orientation val="minMax"/>
        </c:scaling>
        <c:delete val="0"/>
        <c:axPos val="l"/>
        <c:numFmt formatCode="0%" sourceLinked="1"/>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rgbClr val="0000FF"/>
                </a:solidFill>
                <a:latin typeface="Garamond" panose="02020404030301010803" pitchFamily="18" charset="0"/>
                <a:ea typeface="+mn-ea"/>
                <a:cs typeface="+mn-cs"/>
              </a:defRPr>
            </a:pPr>
            <a:endParaRPr lang="sr-Latn-RS"/>
          </a:p>
        </c:txPr>
        <c:crossAx val="2047809839"/>
        <c:crosses val="autoZero"/>
        <c:crossBetween val="between"/>
      </c:valAx>
      <c:valAx>
        <c:axId val="144725632"/>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FF0000"/>
                </a:solidFill>
                <a:latin typeface="Garamond" panose="02020404030301010803" pitchFamily="18" charset="0"/>
                <a:ea typeface="+mn-ea"/>
                <a:cs typeface="+mn-cs"/>
              </a:defRPr>
            </a:pPr>
            <a:endParaRPr lang="sr-Latn-RS"/>
          </a:p>
        </c:txPr>
        <c:crossAx val="144736448"/>
        <c:crosses val="max"/>
        <c:crossBetween val="between"/>
      </c:valAx>
      <c:catAx>
        <c:axId val="144736448"/>
        <c:scaling>
          <c:orientation val="minMax"/>
        </c:scaling>
        <c:delete val="1"/>
        <c:axPos val="b"/>
        <c:numFmt formatCode="General" sourceLinked="1"/>
        <c:majorTickMark val="out"/>
        <c:minorTickMark val="none"/>
        <c:tickLblPos val="nextTo"/>
        <c:crossAx val="144725632"/>
        <c:crosses val="autoZero"/>
        <c:auto val="1"/>
        <c:lblAlgn val="ctr"/>
        <c:lblOffset val="100"/>
        <c:noMultiLvlLbl val="0"/>
      </c:catAx>
      <c:spPr>
        <a:noFill/>
        <a:ln w="3175">
          <a:solidFill>
            <a:schemeClr val="tx1"/>
          </a:solidFill>
        </a:ln>
        <a:effectLst/>
      </c:spPr>
    </c:plotArea>
    <c:legend>
      <c:legendPos val="r"/>
      <c:layout>
        <c:manualLayout>
          <c:xMode val="edge"/>
          <c:yMode val="edge"/>
          <c:x val="8.3360591890121405E-2"/>
          <c:y val="7.1715223097112854E-2"/>
          <c:w val="0.32360393614544075"/>
          <c:h val="0.2670616797900262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Garamond" panose="02020404030301010803" pitchFamily="18" charset="0"/>
        </a:defRPr>
      </a:pPr>
      <a:endParaRPr lang="sr-Latn-R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45069166952336E-2"/>
          <c:y val="7.4450084602368863E-2"/>
          <c:w val="0.88480664742430626"/>
          <c:h val="0.56856202619342633"/>
        </c:manualLayout>
      </c:layout>
      <c:barChart>
        <c:barDir val="col"/>
        <c:grouping val="clustered"/>
        <c:varyColors val="0"/>
        <c:ser>
          <c:idx val="0"/>
          <c:order val="0"/>
          <c:tx>
            <c:strRef>
              <c:f>'Charts and Results'!$P$57</c:f>
              <c:strCache>
                <c:ptCount val="1"/>
                <c:pt idx="0">
                  <c:v>Filter replacement period [hours]</c:v>
                </c:pt>
              </c:strCache>
            </c:strRef>
          </c:tx>
          <c:spPr>
            <a:noFill/>
            <a:ln w="3175">
              <a:solidFill>
                <a:srgbClr val="0000FF"/>
              </a:solidFill>
            </a:ln>
            <a:effectLst/>
          </c:spPr>
          <c:invertIfNegative val="0"/>
          <c:cat>
            <c:strRef>
              <c:f>'Charts and Results'!$P$58:$P$71</c:f>
              <c:strCache>
                <c:ptCount val="14"/>
                <c:pt idx="0">
                  <c:v>0-50</c:v>
                </c:pt>
                <c:pt idx="1">
                  <c:v>50-150</c:v>
                </c:pt>
                <c:pt idx="2">
                  <c:v>150-250</c:v>
                </c:pt>
                <c:pt idx="3">
                  <c:v>250 - 500</c:v>
                </c:pt>
                <c:pt idx="4">
                  <c:v>500 - 750</c:v>
                </c:pt>
                <c:pt idx="5">
                  <c:v>750 - 1000</c:v>
                </c:pt>
                <c:pt idx="6">
                  <c:v>1000 - 1250</c:v>
                </c:pt>
                <c:pt idx="7">
                  <c:v>1250 - 1500</c:v>
                </c:pt>
                <c:pt idx="8">
                  <c:v>1500-1750</c:v>
                </c:pt>
                <c:pt idx="9">
                  <c:v>1750-2000</c:v>
                </c:pt>
                <c:pt idx="10">
                  <c:v>2000-2500</c:v>
                </c:pt>
                <c:pt idx="11">
                  <c:v>2500-3000</c:v>
                </c:pt>
                <c:pt idx="12">
                  <c:v>&gt;3000</c:v>
                </c:pt>
                <c:pt idx="13">
                  <c:v>Other</c:v>
                </c:pt>
              </c:strCache>
            </c:strRef>
          </c:cat>
          <c:val>
            <c:numRef>
              <c:f>'Charts and Results'!$R$58:$R$71</c:f>
              <c:numCache>
                <c:formatCode>0%</c:formatCode>
                <c:ptCount val="14"/>
                <c:pt idx="0">
                  <c:v>1.0869565217391304E-2</c:v>
                </c:pt>
                <c:pt idx="1">
                  <c:v>4.3478260869565216E-2</c:v>
                </c:pt>
                <c:pt idx="2">
                  <c:v>5.434782608695652E-2</c:v>
                </c:pt>
                <c:pt idx="3">
                  <c:v>0.11956521739130435</c:v>
                </c:pt>
                <c:pt idx="4">
                  <c:v>7.6086956521739135E-2</c:v>
                </c:pt>
                <c:pt idx="5">
                  <c:v>8.6956521739130432E-2</c:v>
                </c:pt>
                <c:pt idx="6">
                  <c:v>0.20652173913043478</c:v>
                </c:pt>
                <c:pt idx="7">
                  <c:v>5.434782608695652E-2</c:v>
                </c:pt>
                <c:pt idx="8">
                  <c:v>6.5217391304347824E-2</c:v>
                </c:pt>
                <c:pt idx="9">
                  <c:v>4.3478260869565216E-2</c:v>
                </c:pt>
                <c:pt idx="10">
                  <c:v>0.11956521739130435</c:v>
                </c:pt>
                <c:pt idx="11">
                  <c:v>3.2608695652173912E-2</c:v>
                </c:pt>
                <c:pt idx="12">
                  <c:v>3.2608695652173912E-2</c:v>
                </c:pt>
                <c:pt idx="13">
                  <c:v>5.434782608695652E-2</c:v>
                </c:pt>
              </c:numCache>
            </c:numRef>
          </c:val>
          <c:extLst>
            <c:ext xmlns:c16="http://schemas.microsoft.com/office/drawing/2014/chart" uri="{C3380CC4-5D6E-409C-BE32-E72D297353CC}">
              <c16:uniqueId val="{00000000-30F8-4B56-AD01-979CFD5003C2}"/>
            </c:ext>
          </c:extLst>
        </c:ser>
        <c:dLbls>
          <c:showLegendKey val="0"/>
          <c:showVal val="0"/>
          <c:showCatName val="0"/>
          <c:showSerName val="0"/>
          <c:showPercent val="0"/>
          <c:showBubbleSize val="0"/>
        </c:dLbls>
        <c:gapWidth val="182"/>
        <c:axId val="1331600879"/>
        <c:axId val="1331584239"/>
      </c:barChart>
      <c:catAx>
        <c:axId val="1331600879"/>
        <c:scaling>
          <c:orientation val="minMax"/>
        </c:scaling>
        <c:delete val="0"/>
        <c:axPos val="b"/>
        <c:numFmt formatCode="General" sourceLinked="1"/>
        <c:majorTickMark val="out"/>
        <c:minorTickMark val="none"/>
        <c:tickLblPos val="nextTo"/>
        <c:spPr>
          <a:noFill/>
          <a:ln w="3175" cap="flat" cmpd="sng" algn="ctr">
            <a:solidFill>
              <a:schemeClr val="tx1"/>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331584239"/>
        <c:crosses val="autoZero"/>
        <c:auto val="1"/>
        <c:lblAlgn val="ctr"/>
        <c:lblOffset val="100"/>
        <c:noMultiLvlLbl val="0"/>
      </c:catAx>
      <c:valAx>
        <c:axId val="1331584239"/>
        <c:scaling>
          <c:orientation val="minMax"/>
          <c:max val="0.22000000000000003"/>
          <c:min val="0"/>
        </c:scaling>
        <c:delete val="0"/>
        <c:axPos val="l"/>
        <c:numFmt formatCode="0%" sourceLinked="1"/>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331600879"/>
        <c:crosses val="autoZero"/>
        <c:crossBetween val="between"/>
      </c:valAx>
      <c:spPr>
        <a:noFill/>
        <a:ln w="3175">
          <a:solidFill>
            <a:schemeClr val="tx1"/>
          </a:solidFill>
        </a:ln>
        <a:effectLst/>
      </c:spPr>
    </c:plotArea>
    <c:legend>
      <c:legendPos val="r"/>
      <c:layout>
        <c:manualLayout>
          <c:xMode val="edge"/>
          <c:yMode val="edge"/>
          <c:x val="0.62028385534559927"/>
          <c:y val="0.10001678724169633"/>
          <c:w val="0.33225781971670293"/>
          <c:h val="8.4969669943515264E-2"/>
        </c:manualLayout>
      </c:layout>
      <c:overlay val="1"/>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Garamond" panose="02020404030301010803" pitchFamily="18" charset="0"/>
        </a:defRPr>
      </a:pPr>
      <a:endParaRPr lang="sr-Latn-R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4982999284180382E-2"/>
          <c:y val="7.1243523316062179E-2"/>
          <c:w val="0.90008715103793846"/>
          <c:h val="0.69281427659380412"/>
        </c:manualLayout>
      </c:layout>
      <c:barChart>
        <c:barDir val="col"/>
        <c:grouping val="clustered"/>
        <c:varyColors val="0"/>
        <c:ser>
          <c:idx val="0"/>
          <c:order val="0"/>
          <c:tx>
            <c:strRef>
              <c:f>'Balkan Survey'!$GW$4</c:f>
              <c:strCache>
                <c:ptCount val="1"/>
                <c:pt idx="0">
                  <c:v>Time to oil refill [hours]</c:v>
                </c:pt>
              </c:strCache>
            </c:strRef>
          </c:tx>
          <c:spPr>
            <a:noFill/>
            <a:ln w="3175">
              <a:solidFill>
                <a:srgbClr val="0000FF"/>
              </a:solidFill>
            </a:ln>
            <a:effectLst/>
          </c:spPr>
          <c:invertIfNegative val="0"/>
          <c:cat>
            <c:strRef>
              <c:f>'Balkan Survey'!$GU$3:$HH$3</c:f>
              <c:strCache>
                <c:ptCount val="14"/>
                <c:pt idx="0">
                  <c:v>&gt;25h</c:v>
                </c:pt>
                <c:pt idx="1">
                  <c:v>&gt;50h</c:v>
                </c:pt>
                <c:pt idx="2">
                  <c:v>&gt;60h</c:v>
                </c:pt>
                <c:pt idx="3">
                  <c:v>&gt;75h</c:v>
                </c:pt>
                <c:pt idx="4">
                  <c:v>&gt;90h</c:v>
                </c:pt>
                <c:pt idx="5">
                  <c:v>&gt;100h</c:v>
                </c:pt>
                <c:pt idx="6">
                  <c:v>&gt;125h</c:v>
                </c:pt>
                <c:pt idx="7">
                  <c:v>&gt;150h</c:v>
                </c:pt>
                <c:pt idx="8">
                  <c:v>&gt;200h</c:v>
                </c:pt>
                <c:pt idx="9">
                  <c:v>&gt;250h</c:v>
                </c:pt>
                <c:pt idx="10">
                  <c:v>&gt;300h</c:v>
                </c:pt>
                <c:pt idx="11">
                  <c:v>&gt;500h</c:v>
                </c:pt>
                <c:pt idx="12">
                  <c:v>&gt;750</c:v>
                </c:pt>
                <c:pt idx="13">
                  <c:v>Other</c:v>
                </c:pt>
              </c:strCache>
            </c:strRef>
          </c:cat>
          <c:val>
            <c:numRef>
              <c:f>'Balkan Survey'!$GU$5:$HH$5</c:f>
              <c:numCache>
                <c:formatCode>0%</c:formatCode>
                <c:ptCount val="14"/>
                <c:pt idx="0">
                  <c:v>1.1494252873563218E-2</c:v>
                </c:pt>
                <c:pt idx="1">
                  <c:v>4.5977011494252873E-2</c:v>
                </c:pt>
                <c:pt idx="2">
                  <c:v>3.4482758620689655E-2</c:v>
                </c:pt>
                <c:pt idx="3">
                  <c:v>3.4482758620689655E-2</c:v>
                </c:pt>
                <c:pt idx="4">
                  <c:v>1.1494252873563218E-2</c:v>
                </c:pt>
                <c:pt idx="5">
                  <c:v>0.11494252873563218</c:v>
                </c:pt>
                <c:pt idx="6">
                  <c:v>3.4482758620689655E-2</c:v>
                </c:pt>
                <c:pt idx="7">
                  <c:v>2.2988505747126436E-2</c:v>
                </c:pt>
                <c:pt idx="8">
                  <c:v>3.4482758620689655E-2</c:v>
                </c:pt>
                <c:pt idx="9">
                  <c:v>5.7471264367816091E-2</c:v>
                </c:pt>
                <c:pt idx="10">
                  <c:v>2.2988505747126436E-2</c:v>
                </c:pt>
                <c:pt idx="11">
                  <c:v>0.14942528735632185</c:v>
                </c:pt>
                <c:pt idx="12">
                  <c:v>0.10344827586206896</c:v>
                </c:pt>
                <c:pt idx="13">
                  <c:v>0.32183908045977011</c:v>
                </c:pt>
              </c:numCache>
            </c:numRef>
          </c:val>
          <c:extLst>
            <c:ext xmlns:c16="http://schemas.microsoft.com/office/drawing/2014/chart" uri="{C3380CC4-5D6E-409C-BE32-E72D297353CC}">
              <c16:uniqueId val="{00000000-F7BA-48AF-A8BC-173B4E93CE48}"/>
            </c:ext>
          </c:extLst>
        </c:ser>
        <c:dLbls>
          <c:showLegendKey val="0"/>
          <c:showVal val="0"/>
          <c:showCatName val="0"/>
          <c:showSerName val="0"/>
          <c:showPercent val="0"/>
          <c:showBubbleSize val="0"/>
        </c:dLbls>
        <c:gapWidth val="100"/>
        <c:overlap val="-24"/>
        <c:axId val="2047780303"/>
        <c:axId val="2047781551"/>
      </c:barChart>
      <c:catAx>
        <c:axId val="2047780303"/>
        <c:scaling>
          <c:orientation val="minMax"/>
        </c:scaling>
        <c:delete val="0"/>
        <c:axPos val="b"/>
        <c:numFmt formatCode="General" sourceLinked="1"/>
        <c:majorTickMark val="out"/>
        <c:minorTickMark val="none"/>
        <c:tickLblPos val="nextTo"/>
        <c:spPr>
          <a:noFill/>
          <a:ln w="3175" cap="flat" cmpd="sng" algn="ctr">
            <a:solidFill>
              <a:schemeClr val="tx1"/>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2047781551"/>
        <c:crosses val="autoZero"/>
        <c:auto val="1"/>
        <c:lblAlgn val="ctr"/>
        <c:lblOffset val="100"/>
        <c:noMultiLvlLbl val="0"/>
      </c:catAx>
      <c:valAx>
        <c:axId val="2047781551"/>
        <c:scaling>
          <c:orientation val="minMax"/>
        </c:scaling>
        <c:delete val="0"/>
        <c:axPos val="l"/>
        <c:numFmt formatCode="0%" sourceLinked="1"/>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2047780303"/>
        <c:crosses val="autoZero"/>
        <c:crossBetween val="between"/>
      </c:valAx>
      <c:spPr>
        <a:noFill/>
        <a:ln w="3175">
          <a:solidFill>
            <a:schemeClr val="tx1"/>
          </a:solidFill>
        </a:ln>
        <a:effectLst/>
      </c:spPr>
    </c:plotArea>
    <c:legend>
      <c:legendPos val="r"/>
      <c:layout>
        <c:manualLayout>
          <c:xMode val="edge"/>
          <c:yMode val="edge"/>
          <c:x val="8.8846277738010015E-2"/>
          <c:y val="7.6592273347933268E-2"/>
          <c:w val="0.22480153901216893"/>
          <c:h val="0.2006958840505129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Garamond" panose="02020404030301010803" pitchFamily="18" charset="0"/>
        </a:defRPr>
      </a:pPr>
      <a:endParaRPr lang="sr-Latn-R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19418309370261"/>
          <c:y val="7.8014184397163122E-2"/>
          <c:w val="0.83504247583901203"/>
          <c:h val="0.75430278661975758"/>
        </c:manualLayout>
      </c:layout>
      <c:barChart>
        <c:barDir val="col"/>
        <c:grouping val="clustered"/>
        <c:varyColors val="0"/>
        <c:ser>
          <c:idx val="0"/>
          <c:order val="0"/>
          <c:tx>
            <c:strRef>
              <c:f>'SLR Papers-2000-2019'!$A$5</c:f>
              <c:strCache>
                <c:ptCount val="1"/>
                <c:pt idx="0">
                  <c:v>ScR WoS Engineering</c:v>
                </c:pt>
              </c:strCache>
            </c:strRef>
          </c:tx>
          <c:spPr>
            <a:noFill/>
            <a:ln w="3175">
              <a:solidFill>
                <a:srgbClr val="FF0000"/>
              </a:solidFill>
            </a:ln>
            <a:effectLst/>
          </c:spPr>
          <c:invertIfNegative val="0"/>
          <c:cat>
            <c:numRef>
              <c:f>'SLR Papers-2000-2019'!$B$4:$U$4</c:f>
              <c:numCache>
                <c:formatCode>General</c:formatCod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numCache>
            </c:numRef>
          </c:cat>
          <c:val>
            <c:numRef>
              <c:f>'SLR Papers-2000-2019'!$B$5:$U$5</c:f>
              <c:numCache>
                <c:formatCode>General</c:formatCode>
                <c:ptCount val="20"/>
                <c:pt idx="13">
                  <c:v>1</c:v>
                </c:pt>
                <c:pt idx="15">
                  <c:v>4</c:v>
                </c:pt>
                <c:pt idx="16">
                  <c:v>2</c:v>
                </c:pt>
                <c:pt idx="17">
                  <c:v>3</c:v>
                </c:pt>
                <c:pt idx="18">
                  <c:v>7</c:v>
                </c:pt>
                <c:pt idx="19">
                  <c:v>7</c:v>
                </c:pt>
              </c:numCache>
            </c:numRef>
          </c:val>
          <c:extLst>
            <c:ext xmlns:c16="http://schemas.microsoft.com/office/drawing/2014/chart" uri="{C3380CC4-5D6E-409C-BE32-E72D297353CC}">
              <c16:uniqueId val="{00000000-775A-4999-99EA-6EF18F8FF1CD}"/>
            </c:ext>
          </c:extLst>
        </c:ser>
        <c:ser>
          <c:idx val="1"/>
          <c:order val="1"/>
          <c:tx>
            <c:strRef>
              <c:f>'SLR Papers-2000-2019'!$A$6</c:f>
              <c:strCache>
                <c:ptCount val="1"/>
                <c:pt idx="0">
                  <c:v>SLR WoS Engineering</c:v>
                </c:pt>
              </c:strCache>
            </c:strRef>
          </c:tx>
          <c:spPr>
            <a:noFill/>
            <a:ln w="3175">
              <a:solidFill>
                <a:srgbClr val="FF0000"/>
              </a:solidFill>
            </a:ln>
            <a:effectLst/>
          </c:spPr>
          <c:invertIfNegative val="0"/>
          <c:cat>
            <c:numRef>
              <c:f>'SLR Papers-2000-2019'!$B$4:$U$4</c:f>
              <c:numCache>
                <c:formatCode>General</c:formatCod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numCache>
            </c:numRef>
          </c:cat>
          <c:val>
            <c:numRef>
              <c:f>'SLR Papers-2000-2019'!$B$6:$U$6</c:f>
              <c:numCache>
                <c:formatCode>General</c:formatCode>
                <c:ptCount val="20"/>
                <c:pt idx="2">
                  <c:v>1</c:v>
                </c:pt>
                <c:pt idx="7">
                  <c:v>2</c:v>
                </c:pt>
                <c:pt idx="8">
                  <c:v>3</c:v>
                </c:pt>
                <c:pt idx="9">
                  <c:v>12</c:v>
                </c:pt>
                <c:pt idx="10">
                  <c:v>8</c:v>
                </c:pt>
                <c:pt idx="11">
                  <c:v>16</c:v>
                </c:pt>
                <c:pt idx="12">
                  <c:v>11</c:v>
                </c:pt>
                <c:pt idx="13">
                  <c:v>21</c:v>
                </c:pt>
                <c:pt idx="14">
                  <c:v>34</c:v>
                </c:pt>
                <c:pt idx="15">
                  <c:v>57</c:v>
                </c:pt>
                <c:pt idx="16">
                  <c:v>84</c:v>
                </c:pt>
                <c:pt idx="17">
                  <c:v>98</c:v>
                </c:pt>
                <c:pt idx="18">
                  <c:v>123</c:v>
                </c:pt>
                <c:pt idx="19">
                  <c:v>119</c:v>
                </c:pt>
              </c:numCache>
            </c:numRef>
          </c:val>
          <c:extLst>
            <c:ext xmlns:c16="http://schemas.microsoft.com/office/drawing/2014/chart" uri="{C3380CC4-5D6E-409C-BE32-E72D297353CC}">
              <c16:uniqueId val="{00000001-775A-4999-99EA-6EF18F8FF1CD}"/>
            </c:ext>
          </c:extLst>
        </c:ser>
        <c:ser>
          <c:idx val="2"/>
          <c:order val="2"/>
          <c:tx>
            <c:strRef>
              <c:f>'SLR Papers-2000-2019'!$A$7</c:f>
              <c:strCache>
                <c:ptCount val="1"/>
                <c:pt idx="0">
                  <c:v>ScR Scopus Engineering</c:v>
                </c:pt>
              </c:strCache>
            </c:strRef>
          </c:tx>
          <c:spPr>
            <a:noFill/>
            <a:ln w="3175">
              <a:solidFill>
                <a:schemeClr val="accent5"/>
              </a:solidFill>
            </a:ln>
            <a:effectLst/>
          </c:spPr>
          <c:invertIfNegative val="0"/>
          <c:cat>
            <c:numRef>
              <c:f>'SLR Papers-2000-2019'!$B$4:$U$4</c:f>
              <c:numCache>
                <c:formatCode>General</c:formatCod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numCache>
            </c:numRef>
          </c:cat>
          <c:val>
            <c:numRef>
              <c:f>'SLR Papers-2000-2019'!$B$7:$U$7</c:f>
              <c:numCache>
                <c:formatCode>General</c:formatCode>
                <c:ptCount val="20"/>
                <c:pt idx="12">
                  <c:v>2</c:v>
                </c:pt>
                <c:pt idx="13">
                  <c:v>6</c:v>
                </c:pt>
                <c:pt idx="14">
                  <c:v>5</c:v>
                </c:pt>
                <c:pt idx="15">
                  <c:v>9</c:v>
                </c:pt>
                <c:pt idx="16">
                  <c:v>2</c:v>
                </c:pt>
                <c:pt idx="17">
                  <c:v>17</c:v>
                </c:pt>
                <c:pt idx="18">
                  <c:v>20</c:v>
                </c:pt>
                <c:pt idx="19">
                  <c:v>53</c:v>
                </c:pt>
              </c:numCache>
            </c:numRef>
          </c:val>
          <c:extLst>
            <c:ext xmlns:c16="http://schemas.microsoft.com/office/drawing/2014/chart" uri="{C3380CC4-5D6E-409C-BE32-E72D297353CC}">
              <c16:uniqueId val="{00000002-775A-4999-99EA-6EF18F8FF1CD}"/>
            </c:ext>
          </c:extLst>
        </c:ser>
        <c:ser>
          <c:idx val="3"/>
          <c:order val="3"/>
          <c:tx>
            <c:strRef>
              <c:f>'SLR Papers-2000-2019'!$A$8</c:f>
              <c:strCache>
                <c:ptCount val="1"/>
                <c:pt idx="0">
                  <c:v>SLR Scopus Engineering</c:v>
                </c:pt>
              </c:strCache>
            </c:strRef>
          </c:tx>
          <c:spPr>
            <a:noFill/>
            <a:ln w="3175">
              <a:solidFill>
                <a:schemeClr val="accent6"/>
              </a:solidFill>
            </a:ln>
            <a:effectLst/>
          </c:spPr>
          <c:invertIfNegative val="0"/>
          <c:cat>
            <c:numRef>
              <c:f>'SLR Papers-2000-2019'!$B$4:$U$4</c:f>
              <c:numCache>
                <c:formatCode>General</c:formatCod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numCache>
            </c:numRef>
          </c:cat>
          <c:val>
            <c:numRef>
              <c:f>'SLR Papers-2000-2019'!$B$8:$U$8</c:f>
              <c:numCache>
                <c:formatCode>General</c:formatCode>
                <c:ptCount val="20"/>
                <c:pt idx="4">
                  <c:v>1</c:v>
                </c:pt>
                <c:pt idx="5">
                  <c:v>3</c:v>
                </c:pt>
                <c:pt idx="6">
                  <c:v>2</c:v>
                </c:pt>
                <c:pt idx="7">
                  <c:v>8</c:v>
                </c:pt>
                <c:pt idx="8">
                  <c:v>7</c:v>
                </c:pt>
                <c:pt idx="9">
                  <c:v>8</c:v>
                </c:pt>
                <c:pt idx="10">
                  <c:v>11</c:v>
                </c:pt>
                <c:pt idx="11">
                  <c:v>24</c:v>
                </c:pt>
                <c:pt idx="12">
                  <c:v>47</c:v>
                </c:pt>
                <c:pt idx="13">
                  <c:v>46</c:v>
                </c:pt>
                <c:pt idx="14">
                  <c:v>65</c:v>
                </c:pt>
                <c:pt idx="15">
                  <c:v>120</c:v>
                </c:pt>
                <c:pt idx="16">
                  <c:v>174</c:v>
                </c:pt>
                <c:pt idx="17">
                  <c:v>240</c:v>
                </c:pt>
                <c:pt idx="18">
                  <c:v>354</c:v>
                </c:pt>
                <c:pt idx="19">
                  <c:v>511</c:v>
                </c:pt>
              </c:numCache>
            </c:numRef>
          </c:val>
          <c:extLst>
            <c:ext xmlns:c16="http://schemas.microsoft.com/office/drawing/2014/chart" uri="{C3380CC4-5D6E-409C-BE32-E72D297353CC}">
              <c16:uniqueId val="{00000003-775A-4999-99EA-6EF18F8FF1CD}"/>
            </c:ext>
          </c:extLst>
        </c:ser>
        <c:dLbls>
          <c:showLegendKey val="0"/>
          <c:showVal val="0"/>
          <c:showCatName val="0"/>
          <c:showSerName val="0"/>
          <c:showPercent val="0"/>
          <c:showBubbleSize val="0"/>
        </c:dLbls>
        <c:gapWidth val="219"/>
        <c:overlap val="-27"/>
        <c:axId val="1014099215"/>
        <c:axId val="1213397615"/>
      </c:barChart>
      <c:catAx>
        <c:axId val="1014099215"/>
        <c:scaling>
          <c:orientation val="minMax"/>
        </c:scaling>
        <c:delete val="0"/>
        <c:axPos val="b"/>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Garamond" panose="02020404030301010803" pitchFamily="18" charset="0"/>
                <a:ea typeface="+mn-ea"/>
                <a:cs typeface="+mn-cs"/>
              </a:defRPr>
            </a:pPr>
            <a:endParaRPr lang="sr-Latn-RS"/>
          </a:p>
        </c:txPr>
        <c:crossAx val="1213397615"/>
        <c:crosses val="autoZero"/>
        <c:auto val="1"/>
        <c:lblAlgn val="ctr"/>
        <c:lblOffset val="100"/>
        <c:noMultiLvlLbl val="0"/>
      </c:catAx>
      <c:valAx>
        <c:axId val="1213397615"/>
        <c:scaling>
          <c:orientation val="minMax"/>
        </c:scaling>
        <c:delete val="0"/>
        <c:axPos val="l"/>
        <c:numFmt formatCode="General" sourceLinked="1"/>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Garamond" panose="02020404030301010803" pitchFamily="18" charset="0"/>
                <a:ea typeface="+mn-ea"/>
                <a:cs typeface="+mn-cs"/>
              </a:defRPr>
            </a:pPr>
            <a:endParaRPr lang="sr-Latn-RS"/>
          </a:p>
        </c:txPr>
        <c:crossAx val="1014099215"/>
        <c:crosses val="autoZero"/>
        <c:crossBetween val="between"/>
      </c:valAx>
      <c:spPr>
        <a:noFill/>
        <a:ln w="3175">
          <a:solidFill>
            <a:schemeClr val="tx1"/>
          </a:solidFill>
        </a:ln>
        <a:effectLst/>
      </c:spPr>
    </c:plotArea>
    <c:legend>
      <c:legendPos val="b"/>
      <c:layout>
        <c:manualLayout>
          <c:xMode val="edge"/>
          <c:yMode val="edge"/>
          <c:x val="0.12269141531322506"/>
          <c:y val="0.13957446808510637"/>
          <c:w val="0.45763341067285385"/>
          <c:h val="0.25049645390070924"/>
        </c:manualLayout>
      </c:layout>
      <c:overlay val="1"/>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Garamond" panose="02020404030301010803" pitchFamily="18" charset="0"/>
        </a:defRPr>
      </a:pPr>
      <a:endParaRPr lang="sr-Latn-R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45069166952336E-2"/>
          <c:y val="7.3825503355704702E-2"/>
          <c:w val="0.88480664742430626"/>
          <c:h val="0.60238281456428688"/>
        </c:manualLayout>
      </c:layout>
      <c:barChart>
        <c:barDir val="col"/>
        <c:grouping val="clustered"/>
        <c:varyColors val="0"/>
        <c:ser>
          <c:idx val="0"/>
          <c:order val="0"/>
          <c:tx>
            <c:strRef>
              <c:f>'Charts and Results'!$T$28</c:f>
              <c:strCache>
                <c:ptCount val="1"/>
                <c:pt idx="0">
                  <c:v>MTBF [hours]</c:v>
                </c:pt>
              </c:strCache>
            </c:strRef>
          </c:tx>
          <c:spPr>
            <a:noFill/>
            <a:ln w="3175">
              <a:solidFill>
                <a:srgbClr val="0000FF"/>
              </a:solidFill>
            </a:ln>
            <a:effectLst/>
          </c:spPr>
          <c:invertIfNegative val="0"/>
          <c:cat>
            <c:strRef>
              <c:f>'Charts and Results'!$T$29:$T$54</c:f>
              <c:strCache>
                <c:ptCount val="26"/>
                <c:pt idx="0">
                  <c:v>0-100</c:v>
                </c:pt>
                <c:pt idx="1">
                  <c:v>100-200</c:v>
                </c:pt>
                <c:pt idx="2">
                  <c:v>200-300</c:v>
                </c:pt>
                <c:pt idx="3">
                  <c:v>300-400</c:v>
                </c:pt>
                <c:pt idx="4">
                  <c:v>400-500</c:v>
                </c:pt>
                <c:pt idx="5">
                  <c:v>500-600</c:v>
                </c:pt>
                <c:pt idx="6">
                  <c:v>600-700</c:v>
                </c:pt>
                <c:pt idx="7">
                  <c:v>700-800</c:v>
                </c:pt>
                <c:pt idx="8">
                  <c:v>800-900</c:v>
                </c:pt>
                <c:pt idx="9">
                  <c:v>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2300-2400</c:v>
                </c:pt>
                <c:pt idx="24">
                  <c:v>2400-2500</c:v>
                </c:pt>
                <c:pt idx="25">
                  <c:v>2500-2600</c:v>
                </c:pt>
              </c:strCache>
            </c:strRef>
          </c:cat>
          <c:val>
            <c:numRef>
              <c:f>'Charts and Results'!$V$29:$V$54</c:f>
              <c:numCache>
                <c:formatCode>0%</c:formatCode>
                <c:ptCount val="26"/>
                <c:pt idx="0">
                  <c:v>7.1315372424722665E-3</c:v>
                </c:pt>
                <c:pt idx="1">
                  <c:v>2.8526148969889066E-2</c:v>
                </c:pt>
                <c:pt idx="2">
                  <c:v>2.3771790808240888E-2</c:v>
                </c:pt>
                <c:pt idx="3">
                  <c:v>2.0602218700475437E-2</c:v>
                </c:pt>
                <c:pt idx="4">
                  <c:v>2.694136291600634E-2</c:v>
                </c:pt>
                <c:pt idx="5">
                  <c:v>2.2979397781299524E-2</c:v>
                </c:pt>
                <c:pt idx="6">
                  <c:v>1.4263074484944533E-2</c:v>
                </c:pt>
                <c:pt idx="7">
                  <c:v>3.8034865293185421E-2</c:v>
                </c:pt>
                <c:pt idx="8">
                  <c:v>2.5356576862123614E-2</c:v>
                </c:pt>
                <c:pt idx="9">
                  <c:v>3.4072900158478608E-2</c:v>
                </c:pt>
                <c:pt idx="10">
                  <c:v>6.3391442155309036E-2</c:v>
                </c:pt>
                <c:pt idx="11">
                  <c:v>3.328050713153724E-2</c:v>
                </c:pt>
                <c:pt idx="12">
                  <c:v>9.8256735340728998E-2</c:v>
                </c:pt>
                <c:pt idx="13">
                  <c:v>7.1315372424722662E-2</c:v>
                </c:pt>
                <c:pt idx="14">
                  <c:v>6.418383518225039E-2</c:v>
                </c:pt>
                <c:pt idx="15">
                  <c:v>6.8145800316957217E-2</c:v>
                </c:pt>
                <c:pt idx="16">
                  <c:v>0.10538827258320127</c:v>
                </c:pt>
                <c:pt idx="17">
                  <c:v>3.724247226624406E-2</c:v>
                </c:pt>
                <c:pt idx="18">
                  <c:v>5.150554675118859E-2</c:v>
                </c:pt>
                <c:pt idx="19">
                  <c:v>9.5087163232963554E-3</c:v>
                </c:pt>
                <c:pt idx="20">
                  <c:v>3.2488114104595879E-2</c:v>
                </c:pt>
                <c:pt idx="21">
                  <c:v>2.2187004754358162E-2</c:v>
                </c:pt>
                <c:pt idx="22">
                  <c:v>4.3581616481774964E-2</c:v>
                </c:pt>
                <c:pt idx="23">
                  <c:v>2.2979397781299524E-2</c:v>
                </c:pt>
                <c:pt idx="24">
                  <c:v>2.456418383518225E-2</c:v>
                </c:pt>
                <c:pt idx="25">
                  <c:v>1.0301109350237718E-2</c:v>
                </c:pt>
              </c:numCache>
            </c:numRef>
          </c:val>
          <c:extLst>
            <c:ext xmlns:c16="http://schemas.microsoft.com/office/drawing/2014/chart" uri="{C3380CC4-5D6E-409C-BE32-E72D297353CC}">
              <c16:uniqueId val="{00000000-320B-4723-8655-8F8AAF44CB97}"/>
            </c:ext>
          </c:extLst>
        </c:ser>
        <c:dLbls>
          <c:showLegendKey val="0"/>
          <c:showVal val="0"/>
          <c:showCatName val="0"/>
          <c:showSerName val="0"/>
          <c:showPercent val="0"/>
          <c:showBubbleSize val="0"/>
        </c:dLbls>
        <c:gapWidth val="182"/>
        <c:axId val="1331600879"/>
        <c:axId val="1331584239"/>
      </c:barChart>
      <c:catAx>
        <c:axId val="1331600879"/>
        <c:scaling>
          <c:orientation val="minMax"/>
        </c:scaling>
        <c:delete val="0"/>
        <c:axPos val="b"/>
        <c:numFmt formatCode="General" sourceLinked="1"/>
        <c:majorTickMark val="out"/>
        <c:minorTickMark val="none"/>
        <c:tickLblPos val="nextTo"/>
        <c:spPr>
          <a:noFill/>
          <a:ln w="3175" cap="flat" cmpd="sng" algn="ctr">
            <a:solidFill>
              <a:schemeClr val="tx1"/>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331584239"/>
        <c:crosses val="autoZero"/>
        <c:auto val="1"/>
        <c:lblAlgn val="ctr"/>
        <c:lblOffset val="100"/>
        <c:noMultiLvlLbl val="0"/>
      </c:catAx>
      <c:valAx>
        <c:axId val="1331584239"/>
        <c:scaling>
          <c:orientation val="minMax"/>
          <c:max val="0.11000000000000001"/>
          <c:min val="0"/>
        </c:scaling>
        <c:delete val="0"/>
        <c:axPos val="l"/>
        <c:numFmt formatCode="0%" sourceLinked="1"/>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331600879"/>
        <c:crosses val="autoZero"/>
        <c:crossBetween val="between"/>
      </c:valAx>
      <c:spPr>
        <a:noFill/>
        <a:ln w="3175">
          <a:solidFill>
            <a:schemeClr val="tx1"/>
          </a:solidFill>
        </a:ln>
        <a:effectLst/>
      </c:spPr>
    </c:plotArea>
    <c:legend>
      <c:legendPos val="r"/>
      <c:layout>
        <c:manualLayout>
          <c:xMode val="edge"/>
          <c:yMode val="edge"/>
          <c:x val="8.5526447778274978E-2"/>
          <c:y val="9.723563916926492E-2"/>
          <c:w val="0.14568002030653446"/>
          <c:h val="0.10754161602282934"/>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Garamond" panose="02020404030301010803" pitchFamily="18" charset="0"/>
        </a:defRPr>
      </a:pPr>
      <a:endParaRPr lang="sr-Latn-R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0"/>
          <c:tx>
            <c:strRef>
              <c:f>'Charts and Results'!$A$54</c:f>
              <c:strCache>
                <c:ptCount val="1"/>
                <c:pt idx="0">
                  <c:v>Most common failures</c:v>
                </c:pt>
              </c:strCache>
            </c:strRef>
          </c:tx>
          <c:spPr>
            <a:noFill/>
            <a:ln w="3175">
              <a:solidFill>
                <a:srgbClr val="0000FF"/>
              </a:solidFill>
            </a:ln>
            <a:effectLst/>
          </c:spPr>
          <c:invertIfNegative val="0"/>
          <c:cat>
            <c:strRef>
              <c:f>'Charts and Results'!$A$55:$A$66</c:f>
              <c:strCache>
                <c:ptCount val="12"/>
                <c:pt idx="0">
                  <c:v>Filter</c:v>
                </c:pt>
                <c:pt idx="1">
                  <c:v>EM/ICE</c:v>
                </c:pt>
                <c:pt idx="2">
                  <c:v>Other</c:v>
                </c:pt>
                <c:pt idx="3">
                  <c:v>Accumulator</c:v>
                </c:pt>
                <c:pt idx="4">
                  <c:v>Servo-valve</c:v>
                </c:pt>
                <c:pt idx="5">
                  <c:v>H. Motor</c:v>
                </c:pt>
                <c:pt idx="6">
                  <c:v>Check Valve</c:v>
                </c:pt>
                <c:pt idx="7">
                  <c:v>P/F regulator</c:v>
                </c:pt>
                <c:pt idx="8">
                  <c:v>Sensor</c:v>
                </c:pt>
                <c:pt idx="9">
                  <c:v>Pump</c:v>
                </c:pt>
                <c:pt idx="10">
                  <c:v>Cylinder</c:v>
                </c:pt>
                <c:pt idx="11">
                  <c:v>Hose/pipe</c:v>
                </c:pt>
              </c:strCache>
            </c:strRef>
          </c:cat>
          <c:val>
            <c:numRef>
              <c:f>'Charts and Results'!$B$55:$B$66</c:f>
              <c:numCache>
                <c:formatCode>0%</c:formatCode>
                <c:ptCount val="12"/>
                <c:pt idx="0">
                  <c:v>7.6045627376425855E-3</c:v>
                </c:pt>
                <c:pt idx="1">
                  <c:v>1.5209125475285171E-2</c:v>
                </c:pt>
                <c:pt idx="2">
                  <c:v>1.5209125475285171E-2</c:v>
                </c:pt>
                <c:pt idx="3">
                  <c:v>3.8022813688212927E-2</c:v>
                </c:pt>
                <c:pt idx="4">
                  <c:v>4.5627376425855515E-2</c:v>
                </c:pt>
                <c:pt idx="5">
                  <c:v>5.3231939163498096E-2</c:v>
                </c:pt>
                <c:pt idx="6">
                  <c:v>5.7034220532319393E-2</c:v>
                </c:pt>
                <c:pt idx="7">
                  <c:v>6.0836501901140684E-2</c:v>
                </c:pt>
                <c:pt idx="8">
                  <c:v>7.2243346007604556E-2</c:v>
                </c:pt>
                <c:pt idx="9">
                  <c:v>0.18631178707224336</c:v>
                </c:pt>
                <c:pt idx="10">
                  <c:v>0.19391634980988592</c:v>
                </c:pt>
                <c:pt idx="11">
                  <c:v>0.25475285171102663</c:v>
                </c:pt>
              </c:numCache>
            </c:numRef>
          </c:val>
          <c:extLst>
            <c:ext xmlns:c16="http://schemas.microsoft.com/office/drawing/2014/chart" uri="{C3380CC4-5D6E-409C-BE32-E72D297353CC}">
              <c16:uniqueId val="{00000000-D62D-45F0-8995-21E636F2976F}"/>
            </c:ext>
          </c:extLst>
        </c:ser>
        <c:dLbls>
          <c:showLegendKey val="0"/>
          <c:showVal val="0"/>
          <c:showCatName val="0"/>
          <c:showSerName val="0"/>
          <c:showPercent val="0"/>
          <c:showBubbleSize val="0"/>
        </c:dLbls>
        <c:gapWidth val="182"/>
        <c:axId val="1331600879"/>
        <c:axId val="1331584239"/>
      </c:barChart>
      <c:catAx>
        <c:axId val="1331600879"/>
        <c:scaling>
          <c:orientation val="minMax"/>
        </c:scaling>
        <c:delete val="0"/>
        <c:axPos val="l"/>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331584239"/>
        <c:crosses val="autoZero"/>
        <c:auto val="1"/>
        <c:lblAlgn val="ctr"/>
        <c:lblOffset val="100"/>
        <c:noMultiLvlLbl val="0"/>
      </c:catAx>
      <c:valAx>
        <c:axId val="1331584239"/>
        <c:scaling>
          <c:orientation val="minMax"/>
          <c:max val="0.32000000000000006"/>
          <c:min val="0"/>
        </c:scaling>
        <c:delete val="0"/>
        <c:axPos val="b"/>
        <c:numFmt formatCode="0%" sourceLinked="1"/>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331600879"/>
        <c:crosses val="autoZero"/>
        <c:crossBetween val="between"/>
      </c:valAx>
      <c:spPr>
        <a:noFill/>
        <a:ln w="3175">
          <a:solidFill>
            <a:schemeClr val="tx1"/>
          </a:solidFill>
        </a:ln>
        <a:effectLst/>
      </c:spPr>
    </c:plotArea>
    <c:legend>
      <c:legendPos val="b"/>
      <c:layout>
        <c:manualLayout>
          <c:xMode val="edge"/>
          <c:yMode val="edge"/>
          <c:x val="0.36300928029196255"/>
          <c:y val="0.79135943499290573"/>
          <c:w val="0.51754847977016993"/>
          <c:h val="5.9266814446121696E-2"/>
        </c:manualLayout>
      </c:layout>
      <c:overlay val="1"/>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Garamond" panose="02020404030301010803" pitchFamily="18" charset="0"/>
        </a:defRPr>
      </a:pPr>
      <a:endParaRPr lang="sr-Latn-R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0"/>
          <c:tx>
            <c:strRef>
              <c:f>'Charts and Results'!$E$54</c:f>
              <c:strCache>
                <c:ptCount val="1"/>
                <c:pt idx="0">
                  <c:v>Root causes of failures</c:v>
                </c:pt>
              </c:strCache>
            </c:strRef>
          </c:tx>
          <c:spPr>
            <a:noFill/>
            <a:ln w="3175">
              <a:solidFill>
                <a:srgbClr val="0000FF"/>
              </a:solidFill>
            </a:ln>
            <a:effectLst/>
          </c:spPr>
          <c:invertIfNegative val="0"/>
          <c:cat>
            <c:strRef>
              <c:f>'Charts and Results'!$E$55:$E$63</c:f>
              <c:strCache>
                <c:ptCount val="9"/>
                <c:pt idx="0">
                  <c:v>Mixture of oil</c:v>
                </c:pt>
                <c:pt idx="1">
                  <c:v>Inadequate oil</c:v>
                </c:pt>
                <c:pt idx="2">
                  <c:v>Other</c:v>
                </c:pt>
                <c:pt idx="3">
                  <c:v>Personel mistakes</c:v>
                </c:pt>
                <c:pt idx="4">
                  <c:v>Cont. (air and water)</c:v>
                </c:pt>
                <c:pt idx="5">
                  <c:v>Temperature</c:v>
                </c:pt>
                <c:pt idx="6">
                  <c:v>Cont. particles</c:v>
                </c:pt>
                <c:pt idx="7">
                  <c:v>Leakage</c:v>
                </c:pt>
                <c:pt idx="8">
                  <c:v>System overload</c:v>
                </c:pt>
              </c:strCache>
            </c:strRef>
          </c:cat>
          <c:val>
            <c:numRef>
              <c:f>'Charts and Results'!$F$55:$F$63</c:f>
              <c:numCache>
                <c:formatCode>0%</c:formatCode>
                <c:ptCount val="9"/>
                <c:pt idx="0">
                  <c:v>6.2500000000000003E-3</c:v>
                </c:pt>
                <c:pt idx="1">
                  <c:v>2.5000000000000001E-2</c:v>
                </c:pt>
                <c:pt idx="2">
                  <c:v>5.6250000000000001E-2</c:v>
                </c:pt>
                <c:pt idx="3">
                  <c:v>6.8750000000000006E-2</c:v>
                </c:pt>
                <c:pt idx="4">
                  <c:v>0.1125</c:v>
                </c:pt>
                <c:pt idx="5">
                  <c:v>0.125</c:v>
                </c:pt>
                <c:pt idx="6">
                  <c:v>0.15</c:v>
                </c:pt>
                <c:pt idx="7">
                  <c:v>0.21875</c:v>
                </c:pt>
                <c:pt idx="8">
                  <c:v>0.23749999999999999</c:v>
                </c:pt>
              </c:numCache>
            </c:numRef>
          </c:val>
          <c:extLst>
            <c:ext xmlns:c16="http://schemas.microsoft.com/office/drawing/2014/chart" uri="{C3380CC4-5D6E-409C-BE32-E72D297353CC}">
              <c16:uniqueId val="{00000000-2F60-4B48-B875-CD8BAC464F51}"/>
            </c:ext>
          </c:extLst>
        </c:ser>
        <c:dLbls>
          <c:showLegendKey val="0"/>
          <c:showVal val="0"/>
          <c:showCatName val="0"/>
          <c:showSerName val="0"/>
          <c:showPercent val="0"/>
          <c:showBubbleSize val="0"/>
        </c:dLbls>
        <c:gapWidth val="182"/>
        <c:axId val="1331600879"/>
        <c:axId val="1331584239"/>
      </c:barChart>
      <c:catAx>
        <c:axId val="1331600879"/>
        <c:scaling>
          <c:orientation val="minMax"/>
        </c:scaling>
        <c:delete val="0"/>
        <c:axPos val="l"/>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331584239"/>
        <c:crosses val="autoZero"/>
        <c:auto val="1"/>
        <c:lblAlgn val="ctr"/>
        <c:lblOffset val="100"/>
        <c:noMultiLvlLbl val="0"/>
      </c:catAx>
      <c:valAx>
        <c:axId val="1331584239"/>
        <c:scaling>
          <c:orientation val="minMax"/>
          <c:max val="0.32000000000000006"/>
          <c:min val="0"/>
        </c:scaling>
        <c:delete val="0"/>
        <c:axPos val="b"/>
        <c:numFmt formatCode="0%" sourceLinked="1"/>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331600879"/>
        <c:crosses val="autoZero"/>
        <c:crossBetween val="between"/>
      </c:valAx>
      <c:spPr>
        <a:noFill/>
        <a:ln w="3175">
          <a:solidFill>
            <a:schemeClr val="tx1"/>
          </a:solidFill>
        </a:ln>
        <a:effectLst/>
      </c:spPr>
    </c:plotArea>
    <c:legend>
      <c:legendPos val="b"/>
      <c:layout>
        <c:manualLayout>
          <c:xMode val="edge"/>
          <c:yMode val="edge"/>
          <c:x val="0.45654472506576083"/>
          <c:y val="0.77984520066766905"/>
          <c:w val="0.44733908700105185"/>
          <c:h val="7.0781060820284111E-2"/>
        </c:manualLayout>
      </c:layout>
      <c:overlay val="1"/>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Garamond" panose="02020404030301010803" pitchFamily="18" charset="0"/>
        </a:defRPr>
      </a:pPr>
      <a:endParaRPr lang="sr-Latn-R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'ICSRS Conference'!$Y$1</c:f>
              <c:strCache>
                <c:ptCount val="1"/>
                <c:pt idx="0">
                  <c:v>FWM</c:v>
                </c:pt>
              </c:strCache>
            </c:strRef>
          </c:tx>
          <c:spPr>
            <a:noFill/>
            <a:ln w="3175">
              <a:solidFill>
                <a:srgbClr val="0000FF"/>
              </a:solidFill>
            </a:ln>
            <a:effectLst/>
          </c:spPr>
          <c:invertIfNegative val="0"/>
          <c:cat>
            <c:strRef>
              <c:f>'ICSRS Conference'!$N$2:$N$73</c:f>
              <c:strCache>
                <c:ptCount val="72"/>
                <c:pt idx="0">
                  <c:v>CBM</c:v>
                </c:pt>
                <c:pt idx="1">
                  <c:v>CBM</c:v>
                </c:pt>
                <c:pt idx="2">
                  <c:v>CBM</c:v>
                </c:pt>
                <c:pt idx="3">
                  <c:v>CBM</c:v>
                </c:pt>
                <c:pt idx="4">
                  <c:v>CBM</c:v>
                </c:pt>
                <c:pt idx="5">
                  <c:v>CBM</c:v>
                </c:pt>
                <c:pt idx="6">
                  <c:v>CM</c:v>
                </c:pt>
                <c:pt idx="7">
                  <c:v>CM</c:v>
                </c:pt>
                <c:pt idx="8">
                  <c:v>CM</c:v>
                </c:pt>
                <c:pt idx="9">
                  <c:v>CM</c:v>
                </c:pt>
                <c:pt idx="10">
                  <c:v>CM</c:v>
                </c:pt>
                <c:pt idx="11">
                  <c:v>CM</c:v>
                </c:pt>
                <c:pt idx="12">
                  <c:v>CM</c:v>
                </c:pt>
                <c:pt idx="13">
                  <c:v>CM</c:v>
                </c:pt>
                <c:pt idx="14">
                  <c:v>DM</c:v>
                </c:pt>
                <c:pt idx="15">
                  <c:v>DM</c:v>
                </c:pt>
                <c:pt idx="16">
                  <c:v>OM</c:v>
                </c:pt>
                <c:pt idx="17">
                  <c:v>OM</c:v>
                </c:pt>
                <c:pt idx="18">
                  <c:v>OM</c:v>
                </c:pt>
                <c:pt idx="19">
                  <c:v>PdM</c:v>
                </c:pt>
                <c:pt idx="20">
                  <c:v>PdM</c:v>
                </c:pt>
                <c:pt idx="21">
                  <c:v>PdM</c:v>
                </c:pt>
                <c:pt idx="22">
                  <c:v>PdM</c:v>
                </c:pt>
                <c:pt idx="23">
                  <c:v>PM</c:v>
                </c:pt>
                <c:pt idx="24">
                  <c:v>PM</c:v>
                </c:pt>
                <c:pt idx="25">
                  <c:v>PM</c:v>
                </c:pt>
                <c:pt idx="26">
                  <c:v>PM</c:v>
                </c:pt>
                <c:pt idx="27">
                  <c:v>PM</c:v>
                </c:pt>
                <c:pt idx="28">
                  <c:v>PM</c:v>
                </c:pt>
                <c:pt idx="29">
                  <c:v>PM</c:v>
                </c:pt>
                <c:pt idx="30">
                  <c:v>PM</c:v>
                </c:pt>
                <c:pt idx="31">
                  <c:v>PM</c:v>
                </c:pt>
                <c:pt idx="32">
                  <c:v>PM</c:v>
                </c:pt>
                <c:pt idx="33">
                  <c:v>PM</c:v>
                </c:pt>
                <c:pt idx="34">
                  <c:v>PM</c:v>
                </c:pt>
                <c:pt idx="35">
                  <c:v>PM</c:v>
                </c:pt>
                <c:pt idx="36">
                  <c:v>PM</c:v>
                </c:pt>
                <c:pt idx="37">
                  <c:v>CBM</c:v>
                </c:pt>
                <c:pt idx="38">
                  <c:v>CBM</c:v>
                </c:pt>
                <c:pt idx="39">
                  <c:v>CM</c:v>
                </c:pt>
                <c:pt idx="40">
                  <c:v>CM</c:v>
                </c:pt>
                <c:pt idx="41">
                  <c:v>CM</c:v>
                </c:pt>
                <c:pt idx="42">
                  <c:v>DM</c:v>
                </c:pt>
                <c:pt idx="43">
                  <c:v>OM</c:v>
                </c:pt>
                <c:pt idx="44">
                  <c:v>OM</c:v>
                </c:pt>
                <c:pt idx="45">
                  <c:v>OM</c:v>
                </c:pt>
                <c:pt idx="46">
                  <c:v>PdM</c:v>
                </c:pt>
                <c:pt idx="47">
                  <c:v>PM</c:v>
                </c:pt>
                <c:pt idx="48">
                  <c:v>PM</c:v>
                </c:pt>
                <c:pt idx="49">
                  <c:v>PM</c:v>
                </c:pt>
                <c:pt idx="50">
                  <c:v>PM</c:v>
                </c:pt>
                <c:pt idx="51">
                  <c:v>PM</c:v>
                </c:pt>
                <c:pt idx="52">
                  <c:v>PM</c:v>
                </c:pt>
                <c:pt idx="53">
                  <c:v>PM</c:v>
                </c:pt>
                <c:pt idx="54">
                  <c:v>PM</c:v>
                </c:pt>
                <c:pt idx="55">
                  <c:v>PM</c:v>
                </c:pt>
                <c:pt idx="56">
                  <c:v>PM</c:v>
                </c:pt>
                <c:pt idx="57">
                  <c:v>PM</c:v>
                </c:pt>
                <c:pt idx="58">
                  <c:v>PM</c:v>
                </c:pt>
                <c:pt idx="59">
                  <c:v>PM</c:v>
                </c:pt>
                <c:pt idx="60">
                  <c:v>PM</c:v>
                </c:pt>
                <c:pt idx="61">
                  <c:v>PM</c:v>
                </c:pt>
                <c:pt idx="62">
                  <c:v>PM</c:v>
                </c:pt>
                <c:pt idx="63">
                  <c:v>PM</c:v>
                </c:pt>
                <c:pt idx="64">
                  <c:v>PM</c:v>
                </c:pt>
                <c:pt idx="65">
                  <c:v>PM</c:v>
                </c:pt>
                <c:pt idx="66">
                  <c:v>PM</c:v>
                </c:pt>
                <c:pt idx="67">
                  <c:v>PM</c:v>
                </c:pt>
                <c:pt idx="68">
                  <c:v>PM</c:v>
                </c:pt>
                <c:pt idx="69">
                  <c:v>PM</c:v>
                </c:pt>
                <c:pt idx="70">
                  <c:v>PM</c:v>
                </c:pt>
                <c:pt idx="71">
                  <c:v>PM</c:v>
                </c:pt>
              </c:strCache>
            </c:strRef>
          </c:cat>
          <c:val>
            <c:numRef>
              <c:f>'ICSRS Conference'!$Z$2:$Z$73</c:f>
              <c:numCache>
                <c:formatCode>0.00</c:formatCode>
                <c:ptCount val="72"/>
                <c:pt idx="0">
                  <c:v>48.205882352941174</c:v>
                </c:pt>
                <c:pt idx="1">
                  <c:v>8.6621621621621614</c:v>
                </c:pt>
                <c:pt idx="2">
                  <c:v>36.133333333333333</c:v>
                </c:pt>
                <c:pt idx="3">
                  <c:v>20.785714285714285</c:v>
                </c:pt>
                <c:pt idx="4">
                  <c:v>79.569892473118273</c:v>
                </c:pt>
                <c:pt idx="5">
                  <c:v>32.611111111111114</c:v>
                </c:pt>
                <c:pt idx="6">
                  <c:v>8.7272727272727266</c:v>
                </c:pt>
                <c:pt idx="7">
                  <c:v>19.8</c:v>
                </c:pt>
                <c:pt idx="8">
                  <c:v>1.696969696969697</c:v>
                </c:pt>
                <c:pt idx="9">
                  <c:v>58.95</c:v>
                </c:pt>
                <c:pt idx="10">
                  <c:v>38.299999999999997</c:v>
                </c:pt>
                <c:pt idx="11">
                  <c:v>7.2619047619047619</c:v>
                </c:pt>
                <c:pt idx="12">
                  <c:v>19.05263157894737</c:v>
                </c:pt>
                <c:pt idx="13">
                  <c:v>28.9</c:v>
                </c:pt>
                <c:pt idx="14">
                  <c:v>14.580645161290322</c:v>
                </c:pt>
                <c:pt idx="15">
                  <c:v>32.615384615384613</c:v>
                </c:pt>
                <c:pt idx="16">
                  <c:v>28.083333333333332</c:v>
                </c:pt>
                <c:pt idx="17">
                  <c:v>42.384615384615387</c:v>
                </c:pt>
                <c:pt idx="18">
                  <c:v>20.333333333333332</c:v>
                </c:pt>
                <c:pt idx="19">
                  <c:v>44</c:v>
                </c:pt>
                <c:pt idx="20">
                  <c:v>13.25</c:v>
                </c:pt>
                <c:pt idx="21">
                  <c:v>63.807692307692307</c:v>
                </c:pt>
                <c:pt idx="22">
                  <c:v>59.846153846153847</c:v>
                </c:pt>
                <c:pt idx="23">
                  <c:v>16.514285714285716</c:v>
                </c:pt>
                <c:pt idx="24">
                  <c:v>99.821428571428569</c:v>
                </c:pt>
                <c:pt idx="25">
                  <c:v>39.367647058823529</c:v>
                </c:pt>
                <c:pt idx="26">
                  <c:v>33.833333333333336</c:v>
                </c:pt>
                <c:pt idx="27">
                  <c:v>7.7777777777777777</c:v>
                </c:pt>
                <c:pt idx="28">
                  <c:v>8.8421052631578956</c:v>
                </c:pt>
                <c:pt idx="29">
                  <c:v>7.3813559322033901</c:v>
                </c:pt>
                <c:pt idx="30">
                  <c:v>11.818181818181818</c:v>
                </c:pt>
                <c:pt idx="31">
                  <c:v>20.425531914893618</c:v>
                </c:pt>
                <c:pt idx="32">
                  <c:v>5.5454545454545459</c:v>
                </c:pt>
                <c:pt idx="33">
                  <c:v>22.692307692307693</c:v>
                </c:pt>
                <c:pt idx="34">
                  <c:v>10.4</c:v>
                </c:pt>
                <c:pt idx="35">
                  <c:v>36.636363636363633</c:v>
                </c:pt>
                <c:pt idx="36">
                  <c:v>43.866666666666667</c:v>
                </c:pt>
                <c:pt idx="37">
                  <c:v>16.55</c:v>
                </c:pt>
                <c:pt idx="38">
                  <c:v>14.619047619047619</c:v>
                </c:pt>
                <c:pt idx="39">
                  <c:v>16.86725663716814</c:v>
                </c:pt>
                <c:pt idx="40">
                  <c:v>26.608695652173914</c:v>
                </c:pt>
                <c:pt idx="41">
                  <c:v>6.5517241379310347</c:v>
                </c:pt>
                <c:pt idx="42">
                  <c:v>35.366666666666667</c:v>
                </c:pt>
                <c:pt idx="43">
                  <c:v>88.444444444444443</c:v>
                </c:pt>
                <c:pt idx="44">
                  <c:v>26</c:v>
                </c:pt>
                <c:pt idx="45">
                  <c:v>10.208333333333334</c:v>
                </c:pt>
                <c:pt idx="46">
                  <c:v>6.2222222222222223</c:v>
                </c:pt>
                <c:pt idx="47">
                  <c:v>15.117647058823529</c:v>
                </c:pt>
                <c:pt idx="48">
                  <c:v>17.600000000000001</c:v>
                </c:pt>
                <c:pt idx="49">
                  <c:v>30.823529411764707</c:v>
                </c:pt>
                <c:pt idx="50">
                  <c:v>22.414634146341463</c:v>
                </c:pt>
                <c:pt idx="51">
                  <c:v>12.632978723404255</c:v>
                </c:pt>
                <c:pt idx="52">
                  <c:v>10.333333333333334</c:v>
                </c:pt>
                <c:pt idx="53">
                  <c:v>3.7530864197530862</c:v>
                </c:pt>
                <c:pt idx="54">
                  <c:v>49.214285714285715</c:v>
                </c:pt>
                <c:pt idx="55">
                  <c:v>21.09375</c:v>
                </c:pt>
                <c:pt idx="56">
                  <c:v>3.2546583850931676</c:v>
                </c:pt>
                <c:pt idx="57">
                  <c:v>102.375</c:v>
                </c:pt>
                <c:pt idx="58">
                  <c:v>4.9459459459459456</c:v>
                </c:pt>
                <c:pt idx="59">
                  <c:v>19.035714285714285</c:v>
                </c:pt>
                <c:pt idx="60">
                  <c:v>18.5</c:v>
                </c:pt>
                <c:pt idx="61">
                  <c:v>75.24444444444444</c:v>
                </c:pt>
                <c:pt idx="62">
                  <c:v>26</c:v>
                </c:pt>
                <c:pt idx="63">
                  <c:v>97.68518518518519</c:v>
                </c:pt>
                <c:pt idx="64">
                  <c:v>56.769230769230766</c:v>
                </c:pt>
                <c:pt idx="65">
                  <c:v>5.3928571428571432</c:v>
                </c:pt>
                <c:pt idx="66">
                  <c:v>27.454545454545453</c:v>
                </c:pt>
                <c:pt idx="67">
                  <c:v>48.8</c:v>
                </c:pt>
                <c:pt idx="68">
                  <c:v>19.470588235294116</c:v>
                </c:pt>
                <c:pt idx="69">
                  <c:v>23.25</c:v>
                </c:pt>
                <c:pt idx="70">
                  <c:v>29.09090909090909</c:v>
                </c:pt>
                <c:pt idx="71">
                  <c:v>65.150684931506845</c:v>
                </c:pt>
              </c:numCache>
            </c:numRef>
          </c:val>
          <c:extLst>
            <c:ext xmlns:c16="http://schemas.microsoft.com/office/drawing/2014/chart" uri="{C3380CC4-5D6E-409C-BE32-E72D297353CC}">
              <c16:uniqueId val="{00000000-F102-45D5-8C4D-BFCB6CEA3D22}"/>
            </c:ext>
          </c:extLst>
        </c:ser>
        <c:dLbls>
          <c:showLegendKey val="0"/>
          <c:showVal val="0"/>
          <c:showCatName val="0"/>
          <c:showSerName val="0"/>
          <c:showPercent val="0"/>
          <c:showBubbleSize val="0"/>
        </c:dLbls>
        <c:gapWidth val="219"/>
        <c:axId val="500840544"/>
        <c:axId val="500840960"/>
      </c:barChart>
      <c:lineChart>
        <c:grouping val="standard"/>
        <c:varyColors val="0"/>
        <c:ser>
          <c:idx val="1"/>
          <c:order val="1"/>
          <c:tx>
            <c:strRef>
              <c:f>'ICSRS Conference'!$AD$1</c:f>
              <c:strCache>
                <c:ptCount val="1"/>
                <c:pt idx="0">
                  <c:v>PCM</c:v>
                </c:pt>
              </c:strCache>
            </c:strRef>
          </c:tx>
          <c:spPr>
            <a:ln w="3175" cap="rnd">
              <a:solidFill>
                <a:srgbClr val="FF0000"/>
              </a:solidFill>
              <a:round/>
            </a:ln>
            <a:effectLst/>
          </c:spPr>
          <c:marker>
            <c:symbol val="none"/>
          </c:marker>
          <c:val>
            <c:numRef>
              <c:f>'ICSRS Conference'!$AB$2:$AB$73</c:f>
              <c:numCache>
                <c:formatCode>0.00</c:formatCode>
                <c:ptCount val="72"/>
                <c:pt idx="0">
                  <c:v>3583.8399999999997</c:v>
                </c:pt>
                <c:pt idx="1">
                  <c:v>1340</c:v>
                </c:pt>
                <c:pt idx="2">
                  <c:v>208</c:v>
                </c:pt>
                <c:pt idx="3">
                  <c:v>2214</c:v>
                </c:pt>
                <c:pt idx="4">
                  <c:v>1774.4533333333334</c:v>
                </c:pt>
                <c:pt idx="5">
                  <c:v>3790.7999999999997</c:v>
                </c:pt>
                <c:pt idx="6">
                  <c:v>1410.4</c:v>
                </c:pt>
                <c:pt idx="7">
                  <c:v>2134.08</c:v>
                </c:pt>
                <c:pt idx="8">
                  <c:v>2134.08</c:v>
                </c:pt>
                <c:pt idx="9">
                  <c:v>2214</c:v>
                </c:pt>
                <c:pt idx="10">
                  <c:v>1230</c:v>
                </c:pt>
                <c:pt idx="11">
                  <c:v>1246.3999999999999</c:v>
                </c:pt>
                <c:pt idx="12">
                  <c:v>3790.7999999999997</c:v>
                </c:pt>
                <c:pt idx="13">
                  <c:v>11504.880000000001</c:v>
                </c:pt>
                <c:pt idx="14">
                  <c:v>2134.08</c:v>
                </c:pt>
                <c:pt idx="15">
                  <c:v>1018.3999999999999</c:v>
                </c:pt>
                <c:pt idx="16">
                  <c:v>3198</c:v>
                </c:pt>
                <c:pt idx="17">
                  <c:v>208</c:v>
                </c:pt>
                <c:pt idx="18">
                  <c:v>1246.3999999999999</c:v>
                </c:pt>
                <c:pt idx="19">
                  <c:v>1246.3999999999999</c:v>
                </c:pt>
                <c:pt idx="20">
                  <c:v>1246.3999999999999</c:v>
                </c:pt>
                <c:pt idx="21">
                  <c:v>4688.72</c:v>
                </c:pt>
                <c:pt idx="22">
                  <c:v>5475.6</c:v>
                </c:pt>
                <c:pt idx="23">
                  <c:v>787.19999999999993</c:v>
                </c:pt>
                <c:pt idx="24">
                  <c:v>1712.88</c:v>
                </c:pt>
                <c:pt idx="25">
                  <c:v>4943.04</c:v>
                </c:pt>
                <c:pt idx="26">
                  <c:v>208</c:v>
                </c:pt>
                <c:pt idx="27">
                  <c:v>2134.08</c:v>
                </c:pt>
                <c:pt idx="28">
                  <c:v>5268.4800000000005</c:v>
                </c:pt>
                <c:pt idx="29">
                  <c:v>561.59999999999991</c:v>
                </c:pt>
                <c:pt idx="30">
                  <c:v>7328.88</c:v>
                </c:pt>
                <c:pt idx="31">
                  <c:v>1067.52</c:v>
                </c:pt>
                <c:pt idx="32">
                  <c:v>2134.08</c:v>
                </c:pt>
                <c:pt idx="33">
                  <c:v>1246.3999999999999</c:v>
                </c:pt>
                <c:pt idx="34">
                  <c:v>1246.3999999999999</c:v>
                </c:pt>
                <c:pt idx="35">
                  <c:v>208</c:v>
                </c:pt>
                <c:pt idx="36">
                  <c:v>17175.599999999999</c:v>
                </c:pt>
                <c:pt idx="37">
                  <c:v>11130.24</c:v>
                </c:pt>
                <c:pt idx="38">
                  <c:v>2889.3066666666664</c:v>
                </c:pt>
                <c:pt idx="39">
                  <c:v>1246.3999999999999</c:v>
                </c:pt>
                <c:pt idx="40">
                  <c:v>3013.52</c:v>
                </c:pt>
                <c:pt idx="41">
                  <c:v>5475.6</c:v>
                </c:pt>
                <c:pt idx="42">
                  <c:v>8751.5999999999985</c:v>
                </c:pt>
                <c:pt idx="43">
                  <c:v>12504.826666666668</c:v>
                </c:pt>
                <c:pt idx="44">
                  <c:v>8751.5999999999985</c:v>
                </c:pt>
                <c:pt idx="45">
                  <c:v>3538.56</c:v>
                </c:pt>
                <c:pt idx="46">
                  <c:v>7328.88</c:v>
                </c:pt>
                <c:pt idx="47">
                  <c:v>7267.9466666666667</c:v>
                </c:pt>
                <c:pt idx="48">
                  <c:v>3410.88</c:v>
                </c:pt>
                <c:pt idx="49">
                  <c:v>12498.24</c:v>
                </c:pt>
                <c:pt idx="50">
                  <c:v>7328.88</c:v>
                </c:pt>
                <c:pt idx="51">
                  <c:v>3198</c:v>
                </c:pt>
                <c:pt idx="52">
                  <c:v>6085.3600000000006</c:v>
                </c:pt>
                <c:pt idx="53">
                  <c:v>5475.6</c:v>
                </c:pt>
                <c:pt idx="54">
                  <c:v>7113.5999999999995</c:v>
                </c:pt>
                <c:pt idx="55">
                  <c:v>6027.04</c:v>
                </c:pt>
                <c:pt idx="56">
                  <c:v>3566.16</c:v>
                </c:pt>
                <c:pt idx="57">
                  <c:v>4353.3599999999997</c:v>
                </c:pt>
                <c:pt idx="58">
                  <c:v>8751.5999999999985</c:v>
                </c:pt>
                <c:pt idx="59">
                  <c:v>7385.0399999999991</c:v>
                </c:pt>
                <c:pt idx="60">
                  <c:v>16245.64</c:v>
                </c:pt>
                <c:pt idx="61">
                  <c:v>7273.6399999999994</c:v>
                </c:pt>
                <c:pt idx="62">
                  <c:v>2134.08</c:v>
                </c:pt>
                <c:pt idx="63">
                  <c:v>14458.239999999998</c:v>
                </c:pt>
                <c:pt idx="64">
                  <c:v>4036.0933333333332</c:v>
                </c:pt>
                <c:pt idx="65">
                  <c:v>1246.3999999999999</c:v>
                </c:pt>
                <c:pt idx="66">
                  <c:v>5475.6</c:v>
                </c:pt>
                <c:pt idx="67">
                  <c:v>5475.6</c:v>
                </c:pt>
                <c:pt idx="68">
                  <c:v>5475.6</c:v>
                </c:pt>
                <c:pt idx="69">
                  <c:v>12963.599999999999</c:v>
                </c:pt>
                <c:pt idx="70">
                  <c:v>790.39999999999986</c:v>
                </c:pt>
                <c:pt idx="71">
                  <c:v>14119.248</c:v>
                </c:pt>
              </c:numCache>
            </c:numRef>
          </c:val>
          <c:smooth val="0"/>
          <c:extLst>
            <c:ext xmlns:c16="http://schemas.microsoft.com/office/drawing/2014/chart" uri="{C3380CC4-5D6E-409C-BE32-E72D297353CC}">
              <c16:uniqueId val="{00000001-F102-45D5-8C4D-BFCB6CEA3D22}"/>
            </c:ext>
          </c:extLst>
        </c:ser>
        <c:dLbls>
          <c:showLegendKey val="0"/>
          <c:showVal val="0"/>
          <c:showCatName val="0"/>
          <c:showSerName val="0"/>
          <c:showPercent val="0"/>
          <c:showBubbleSize val="0"/>
        </c:dLbls>
        <c:marker val="1"/>
        <c:smooth val="0"/>
        <c:axId val="1328743872"/>
        <c:axId val="1328741792"/>
      </c:lineChart>
      <c:catAx>
        <c:axId val="500840544"/>
        <c:scaling>
          <c:orientation val="minMax"/>
        </c:scaling>
        <c:delete val="0"/>
        <c:axPos val="b"/>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500840960"/>
        <c:crosses val="autoZero"/>
        <c:auto val="1"/>
        <c:lblAlgn val="ctr"/>
        <c:lblOffset val="100"/>
        <c:noMultiLvlLbl val="0"/>
      </c:catAx>
      <c:valAx>
        <c:axId val="500840960"/>
        <c:scaling>
          <c:orientation val="minMax"/>
        </c:scaling>
        <c:delete val="0"/>
        <c:axPos val="l"/>
        <c:numFmt formatCode="0.00" sourceLinked="1"/>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rgbClr val="0000FF"/>
                </a:solidFill>
                <a:latin typeface="Garamond" panose="02020404030301010803" pitchFamily="18" charset="0"/>
                <a:ea typeface="+mn-ea"/>
                <a:cs typeface="+mn-cs"/>
              </a:defRPr>
            </a:pPr>
            <a:endParaRPr lang="sr-Latn-RS"/>
          </a:p>
        </c:txPr>
        <c:crossAx val="500840544"/>
        <c:crosses val="autoZero"/>
        <c:crossBetween val="between"/>
      </c:valAx>
      <c:valAx>
        <c:axId val="1328741792"/>
        <c:scaling>
          <c:orientation val="minMax"/>
        </c:scaling>
        <c:delete val="0"/>
        <c:axPos val="r"/>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rgbClr val="FF0000"/>
                </a:solidFill>
                <a:latin typeface="Garamond" panose="02020404030301010803" pitchFamily="18" charset="0"/>
                <a:ea typeface="+mn-ea"/>
                <a:cs typeface="+mn-cs"/>
              </a:defRPr>
            </a:pPr>
            <a:endParaRPr lang="sr-Latn-RS"/>
          </a:p>
        </c:txPr>
        <c:crossAx val="1328743872"/>
        <c:crosses val="max"/>
        <c:crossBetween val="between"/>
      </c:valAx>
      <c:catAx>
        <c:axId val="1328743872"/>
        <c:scaling>
          <c:orientation val="minMax"/>
        </c:scaling>
        <c:delete val="1"/>
        <c:axPos val="b"/>
        <c:majorTickMark val="out"/>
        <c:minorTickMark val="none"/>
        <c:tickLblPos val="nextTo"/>
        <c:crossAx val="1328741792"/>
        <c:crosses val="autoZero"/>
        <c:auto val="1"/>
        <c:lblAlgn val="ctr"/>
        <c:lblOffset val="100"/>
        <c:noMultiLvlLbl val="0"/>
      </c:catAx>
      <c:spPr>
        <a:noFill/>
        <a:ln w="3175">
          <a:solidFill>
            <a:schemeClr val="tx1"/>
          </a:solidFill>
        </a:ln>
        <a:effectLst/>
      </c:spPr>
    </c:plotArea>
    <c:legend>
      <c:legendPos val="r"/>
      <c:layout>
        <c:manualLayout>
          <c:xMode val="edge"/>
          <c:yMode val="edge"/>
          <c:x val="8.6008466289669974E-2"/>
          <c:y val="6.4694265466155171E-2"/>
          <c:w val="0.16955816714336427"/>
          <c:h val="0.20610056792004203"/>
        </c:manualLayout>
      </c:layout>
      <c:overlay val="1"/>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Garamond" panose="02020404030301010803" pitchFamily="18" charset="0"/>
        </a:defRPr>
      </a:pPr>
      <a:endParaRPr lang="sr-Latn-R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49543062709221"/>
          <c:y val="3.3892737371073553E-2"/>
          <c:w val="0.85195900176409223"/>
          <c:h val="0.84002627960853282"/>
        </c:manualLayout>
      </c:layout>
      <c:scatterChart>
        <c:scatterStyle val="lineMarker"/>
        <c:varyColors val="0"/>
        <c:ser>
          <c:idx val="0"/>
          <c:order val="0"/>
          <c:tx>
            <c:v>Condition Based Maintenance</c:v>
          </c:tx>
          <c:spPr>
            <a:ln w="19050" cap="rnd">
              <a:noFill/>
              <a:round/>
            </a:ln>
            <a:effectLst/>
          </c:spPr>
          <c:marker>
            <c:symbol val="diamond"/>
            <c:size val="8"/>
            <c:spPr>
              <a:noFill/>
              <a:ln w="3175">
                <a:solidFill>
                  <a:srgbClr val="FF0000"/>
                </a:solidFill>
              </a:ln>
              <a:effectLst/>
            </c:spPr>
          </c:marker>
          <c:xVal>
            <c:numRef>
              <c:f>'ICSRS Conference'!$Z$2:$Z$9</c:f>
              <c:numCache>
                <c:formatCode>0.00</c:formatCode>
                <c:ptCount val="8"/>
                <c:pt idx="0">
                  <c:v>48.205882352941174</c:v>
                </c:pt>
                <c:pt idx="1">
                  <c:v>8.6621621621621614</c:v>
                </c:pt>
                <c:pt idx="2">
                  <c:v>36.133333333333333</c:v>
                </c:pt>
                <c:pt idx="3">
                  <c:v>20.785714285714285</c:v>
                </c:pt>
                <c:pt idx="4">
                  <c:v>79.569892473118273</c:v>
                </c:pt>
                <c:pt idx="5">
                  <c:v>32.611111111111114</c:v>
                </c:pt>
                <c:pt idx="6">
                  <c:v>8.7272727272727266</c:v>
                </c:pt>
                <c:pt idx="7">
                  <c:v>19.8</c:v>
                </c:pt>
              </c:numCache>
            </c:numRef>
          </c:xVal>
          <c:yVal>
            <c:numRef>
              <c:f>'ICSRS Conference'!$AB$2:$AB$9</c:f>
              <c:numCache>
                <c:formatCode>0.00</c:formatCode>
                <c:ptCount val="8"/>
                <c:pt idx="0">
                  <c:v>3583.8399999999997</c:v>
                </c:pt>
                <c:pt idx="1">
                  <c:v>1340</c:v>
                </c:pt>
                <c:pt idx="2">
                  <c:v>208</c:v>
                </c:pt>
                <c:pt idx="3">
                  <c:v>2214</c:v>
                </c:pt>
                <c:pt idx="4">
                  <c:v>1774.4533333333334</c:v>
                </c:pt>
                <c:pt idx="5">
                  <c:v>3790.7999999999997</c:v>
                </c:pt>
                <c:pt idx="6">
                  <c:v>1410.4</c:v>
                </c:pt>
                <c:pt idx="7">
                  <c:v>2134.08</c:v>
                </c:pt>
              </c:numCache>
            </c:numRef>
          </c:yVal>
          <c:smooth val="0"/>
          <c:extLst>
            <c:ext xmlns:c16="http://schemas.microsoft.com/office/drawing/2014/chart" uri="{C3380CC4-5D6E-409C-BE32-E72D297353CC}">
              <c16:uniqueId val="{00000000-4FDA-4D18-A4C5-10469B71BCBA}"/>
            </c:ext>
          </c:extLst>
        </c:ser>
        <c:ser>
          <c:idx val="1"/>
          <c:order val="1"/>
          <c:tx>
            <c:v>Corrective Maintenance</c:v>
          </c:tx>
          <c:spPr>
            <a:ln w="25400" cap="rnd">
              <a:noFill/>
              <a:round/>
            </a:ln>
            <a:effectLst/>
          </c:spPr>
          <c:marker>
            <c:symbol val="square"/>
            <c:size val="8"/>
            <c:spPr>
              <a:noFill/>
              <a:ln w="3175">
                <a:solidFill>
                  <a:srgbClr val="FFC000"/>
                </a:solidFill>
              </a:ln>
              <a:effectLst/>
            </c:spPr>
          </c:marker>
          <c:xVal>
            <c:numRef>
              <c:f>'ICSRS Conference'!$Z$10:$Z$20</c:f>
              <c:numCache>
                <c:formatCode>0.00</c:formatCode>
                <c:ptCount val="11"/>
                <c:pt idx="0">
                  <c:v>1.696969696969697</c:v>
                </c:pt>
                <c:pt idx="1">
                  <c:v>58.95</c:v>
                </c:pt>
                <c:pt idx="2">
                  <c:v>38.299999999999997</c:v>
                </c:pt>
                <c:pt idx="3">
                  <c:v>7.2619047619047619</c:v>
                </c:pt>
                <c:pt idx="4">
                  <c:v>19.05263157894737</c:v>
                </c:pt>
                <c:pt idx="5">
                  <c:v>28.9</c:v>
                </c:pt>
                <c:pt idx="6">
                  <c:v>14.580645161290322</c:v>
                </c:pt>
                <c:pt idx="7">
                  <c:v>32.615384615384613</c:v>
                </c:pt>
                <c:pt idx="8">
                  <c:v>28.083333333333332</c:v>
                </c:pt>
                <c:pt idx="9">
                  <c:v>42.384615384615387</c:v>
                </c:pt>
                <c:pt idx="10">
                  <c:v>20.333333333333332</c:v>
                </c:pt>
              </c:numCache>
            </c:numRef>
          </c:xVal>
          <c:yVal>
            <c:numRef>
              <c:f>'ICSRS Conference'!$AB$10:$AB$20</c:f>
              <c:numCache>
                <c:formatCode>0.00</c:formatCode>
                <c:ptCount val="11"/>
                <c:pt idx="0">
                  <c:v>2134.08</c:v>
                </c:pt>
                <c:pt idx="1">
                  <c:v>2214</c:v>
                </c:pt>
                <c:pt idx="2">
                  <c:v>1230</c:v>
                </c:pt>
                <c:pt idx="3">
                  <c:v>1246.3999999999999</c:v>
                </c:pt>
                <c:pt idx="4">
                  <c:v>3790.7999999999997</c:v>
                </c:pt>
                <c:pt idx="5">
                  <c:v>11504.880000000001</c:v>
                </c:pt>
                <c:pt idx="6">
                  <c:v>2134.08</c:v>
                </c:pt>
                <c:pt idx="7">
                  <c:v>1018.3999999999999</c:v>
                </c:pt>
                <c:pt idx="8">
                  <c:v>3198</c:v>
                </c:pt>
                <c:pt idx="9">
                  <c:v>208</c:v>
                </c:pt>
                <c:pt idx="10">
                  <c:v>1246.3999999999999</c:v>
                </c:pt>
              </c:numCache>
            </c:numRef>
          </c:yVal>
          <c:smooth val="0"/>
          <c:extLst>
            <c:ext xmlns:c16="http://schemas.microsoft.com/office/drawing/2014/chart" uri="{C3380CC4-5D6E-409C-BE32-E72D297353CC}">
              <c16:uniqueId val="{00000001-4FDA-4D18-A4C5-10469B71BCBA}"/>
            </c:ext>
          </c:extLst>
        </c:ser>
        <c:ser>
          <c:idx val="2"/>
          <c:order val="2"/>
          <c:tx>
            <c:v>Design-Out Maintenance</c:v>
          </c:tx>
          <c:spPr>
            <a:ln w="25400" cap="rnd">
              <a:noFill/>
              <a:round/>
            </a:ln>
            <a:effectLst/>
          </c:spPr>
          <c:marker>
            <c:symbol val="circle"/>
            <c:size val="8"/>
            <c:spPr>
              <a:noFill/>
              <a:ln w="9525">
                <a:solidFill>
                  <a:schemeClr val="tx1"/>
                </a:solidFill>
              </a:ln>
              <a:effectLst/>
            </c:spPr>
          </c:marker>
          <c:xVal>
            <c:numRef>
              <c:f>'ICSRS Conference'!$Z$21:$Z$23</c:f>
              <c:numCache>
                <c:formatCode>0.00</c:formatCode>
                <c:ptCount val="3"/>
                <c:pt idx="0">
                  <c:v>44</c:v>
                </c:pt>
                <c:pt idx="1">
                  <c:v>13.25</c:v>
                </c:pt>
                <c:pt idx="2">
                  <c:v>63.807692307692307</c:v>
                </c:pt>
              </c:numCache>
            </c:numRef>
          </c:xVal>
          <c:yVal>
            <c:numRef>
              <c:f>'ICSRS Conference'!$AB$21:$AB$23</c:f>
              <c:numCache>
                <c:formatCode>0.00</c:formatCode>
                <c:ptCount val="3"/>
                <c:pt idx="0">
                  <c:v>1246.3999999999999</c:v>
                </c:pt>
                <c:pt idx="1">
                  <c:v>1246.3999999999999</c:v>
                </c:pt>
                <c:pt idx="2">
                  <c:v>4688.72</c:v>
                </c:pt>
              </c:numCache>
            </c:numRef>
          </c:yVal>
          <c:smooth val="0"/>
          <c:extLst>
            <c:ext xmlns:c16="http://schemas.microsoft.com/office/drawing/2014/chart" uri="{C3380CC4-5D6E-409C-BE32-E72D297353CC}">
              <c16:uniqueId val="{00000002-4FDA-4D18-A4C5-10469B71BCBA}"/>
            </c:ext>
          </c:extLst>
        </c:ser>
        <c:ser>
          <c:idx val="3"/>
          <c:order val="3"/>
          <c:tx>
            <c:v>Opportunity Maintenance</c:v>
          </c:tx>
          <c:spPr>
            <a:ln w="25400" cap="rnd">
              <a:noFill/>
              <a:round/>
            </a:ln>
            <a:effectLst/>
          </c:spPr>
          <c:marker>
            <c:symbol val="diamond"/>
            <c:size val="8"/>
            <c:spPr>
              <a:noFill/>
              <a:ln w="3175">
                <a:solidFill>
                  <a:schemeClr val="accent4"/>
                </a:solidFill>
              </a:ln>
              <a:effectLst/>
            </c:spPr>
          </c:marker>
          <c:xVal>
            <c:numRef>
              <c:f>'ICSRS Conference'!$Z$24:$Z$29</c:f>
              <c:numCache>
                <c:formatCode>0.00</c:formatCode>
                <c:ptCount val="6"/>
                <c:pt idx="0">
                  <c:v>59.846153846153847</c:v>
                </c:pt>
                <c:pt idx="1">
                  <c:v>16.514285714285716</c:v>
                </c:pt>
                <c:pt idx="2">
                  <c:v>99.821428571428569</c:v>
                </c:pt>
                <c:pt idx="3">
                  <c:v>39.367647058823529</c:v>
                </c:pt>
                <c:pt idx="4">
                  <c:v>33.833333333333336</c:v>
                </c:pt>
                <c:pt idx="5">
                  <c:v>7.7777777777777777</c:v>
                </c:pt>
              </c:numCache>
            </c:numRef>
          </c:xVal>
          <c:yVal>
            <c:numRef>
              <c:f>'ICSRS Conference'!$AB$24:$AB$29</c:f>
              <c:numCache>
                <c:formatCode>0.00</c:formatCode>
                <c:ptCount val="6"/>
                <c:pt idx="0">
                  <c:v>5475.6</c:v>
                </c:pt>
                <c:pt idx="1">
                  <c:v>787.19999999999993</c:v>
                </c:pt>
                <c:pt idx="2">
                  <c:v>1712.88</c:v>
                </c:pt>
                <c:pt idx="3">
                  <c:v>4943.04</c:v>
                </c:pt>
                <c:pt idx="4">
                  <c:v>208</c:v>
                </c:pt>
                <c:pt idx="5">
                  <c:v>2134.08</c:v>
                </c:pt>
              </c:numCache>
            </c:numRef>
          </c:yVal>
          <c:smooth val="0"/>
          <c:extLst>
            <c:ext xmlns:c16="http://schemas.microsoft.com/office/drawing/2014/chart" uri="{C3380CC4-5D6E-409C-BE32-E72D297353CC}">
              <c16:uniqueId val="{00000003-4FDA-4D18-A4C5-10469B71BCBA}"/>
            </c:ext>
          </c:extLst>
        </c:ser>
        <c:ser>
          <c:idx val="4"/>
          <c:order val="4"/>
          <c:tx>
            <c:v>Predictive Maintenance</c:v>
          </c:tx>
          <c:spPr>
            <a:ln w="25400" cap="rnd">
              <a:noFill/>
              <a:round/>
            </a:ln>
            <a:effectLst/>
          </c:spPr>
          <c:marker>
            <c:symbol val="x"/>
            <c:size val="8"/>
            <c:spPr>
              <a:noFill/>
              <a:ln w="3175">
                <a:solidFill>
                  <a:srgbClr val="002060"/>
                </a:solidFill>
              </a:ln>
              <a:effectLst/>
            </c:spPr>
          </c:marker>
          <c:xVal>
            <c:numRef>
              <c:f>'ICSRS Conference'!$Z$30:$Z$34</c:f>
              <c:numCache>
                <c:formatCode>0.00</c:formatCode>
                <c:ptCount val="5"/>
                <c:pt idx="0">
                  <c:v>8.8421052631578956</c:v>
                </c:pt>
                <c:pt idx="1">
                  <c:v>7.3813559322033901</c:v>
                </c:pt>
                <c:pt idx="2">
                  <c:v>11.818181818181818</c:v>
                </c:pt>
                <c:pt idx="3">
                  <c:v>20.425531914893618</c:v>
                </c:pt>
                <c:pt idx="4">
                  <c:v>5.5454545454545459</c:v>
                </c:pt>
              </c:numCache>
            </c:numRef>
          </c:xVal>
          <c:yVal>
            <c:numRef>
              <c:f>'ICSRS Conference'!$AB$30:$AB$34</c:f>
              <c:numCache>
                <c:formatCode>0.00</c:formatCode>
                <c:ptCount val="5"/>
                <c:pt idx="0">
                  <c:v>5268.4800000000005</c:v>
                </c:pt>
                <c:pt idx="1">
                  <c:v>561.59999999999991</c:v>
                </c:pt>
                <c:pt idx="2">
                  <c:v>7328.88</c:v>
                </c:pt>
                <c:pt idx="3">
                  <c:v>1067.52</c:v>
                </c:pt>
                <c:pt idx="4">
                  <c:v>2134.08</c:v>
                </c:pt>
              </c:numCache>
            </c:numRef>
          </c:yVal>
          <c:smooth val="0"/>
          <c:extLst>
            <c:ext xmlns:c16="http://schemas.microsoft.com/office/drawing/2014/chart" uri="{C3380CC4-5D6E-409C-BE32-E72D297353CC}">
              <c16:uniqueId val="{00000004-4FDA-4D18-A4C5-10469B71BCBA}"/>
            </c:ext>
          </c:extLst>
        </c:ser>
        <c:ser>
          <c:idx val="5"/>
          <c:order val="5"/>
          <c:tx>
            <c:v>Preventive Maintenance</c:v>
          </c:tx>
          <c:spPr>
            <a:ln w="25400" cap="rnd">
              <a:noFill/>
              <a:round/>
            </a:ln>
            <a:effectLst/>
          </c:spPr>
          <c:marker>
            <c:symbol val="triangle"/>
            <c:size val="8"/>
            <c:spPr>
              <a:noFill/>
              <a:ln w="3175">
                <a:solidFill>
                  <a:srgbClr val="92D050"/>
                </a:solidFill>
              </a:ln>
              <a:effectLst/>
            </c:spPr>
          </c:marker>
          <c:xVal>
            <c:numRef>
              <c:f>'ICSRS Conference'!$Z$35:$Z$73</c:f>
              <c:numCache>
                <c:formatCode>0.00</c:formatCode>
                <c:ptCount val="39"/>
                <c:pt idx="0">
                  <c:v>22.692307692307693</c:v>
                </c:pt>
                <c:pt idx="1">
                  <c:v>10.4</c:v>
                </c:pt>
                <c:pt idx="2">
                  <c:v>36.636363636363633</c:v>
                </c:pt>
                <c:pt idx="3">
                  <c:v>43.866666666666667</c:v>
                </c:pt>
                <c:pt idx="4">
                  <c:v>16.55</c:v>
                </c:pt>
                <c:pt idx="5">
                  <c:v>14.619047619047619</c:v>
                </c:pt>
                <c:pt idx="6">
                  <c:v>16.86725663716814</c:v>
                </c:pt>
                <c:pt idx="7">
                  <c:v>26.608695652173914</c:v>
                </c:pt>
                <c:pt idx="8">
                  <c:v>6.5517241379310347</c:v>
                </c:pt>
                <c:pt idx="9">
                  <c:v>35.366666666666667</c:v>
                </c:pt>
                <c:pt idx="10">
                  <c:v>88.444444444444443</c:v>
                </c:pt>
                <c:pt idx="11">
                  <c:v>26</c:v>
                </c:pt>
                <c:pt idx="12">
                  <c:v>10.208333333333334</c:v>
                </c:pt>
                <c:pt idx="13">
                  <c:v>6.2222222222222223</c:v>
                </c:pt>
                <c:pt idx="14">
                  <c:v>15.117647058823529</c:v>
                </c:pt>
                <c:pt idx="15">
                  <c:v>17.600000000000001</c:v>
                </c:pt>
                <c:pt idx="16">
                  <c:v>30.823529411764707</c:v>
                </c:pt>
                <c:pt idx="17">
                  <c:v>22.414634146341463</c:v>
                </c:pt>
                <c:pt idx="18">
                  <c:v>12.632978723404255</c:v>
                </c:pt>
                <c:pt idx="19">
                  <c:v>10.333333333333334</c:v>
                </c:pt>
                <c:pt idx="20">
                  <c:v>3.7530864197530862</c:v>
                </c:pt>
                <c:pt idx="21">
                  <c:v>49.214285714285715</c:v>
                </c:pt>
                <c:pt idx="22">
                  <c:v>21.09375</c:v>
                </c:pt>
                <c:pt idx="23">
                  <c:v>3.2546583850931676</c:v>
                </c:pt>
                <c:pt idx="24">
                  <c:v>102.375</c:v>
                </c:pt>
                <c:pt idx="25">
                  <c:v>4.9459459459459456</c:v>
                </c:pt>
                <c:pt idx="26">
                  <c:v>19.035714285714285</c:v>
                </c:pt>
                <c:pt idx="27">
                  <c:v>18.5</c:v>
                </c:pt>
                <c:pt idx="28">
                  <c:v>75.24444444444444</c:v>
                </c:pt>
                <c:pt idx="29">
                  <c:v>26</c:v>
                </c:pt>
                <c:pt idx="30">
                  <c:v>97.68518518518519</c:v>
                </c:pt>
                <c:pt idx="31">
                  <c:v>56.769230769230766</c:v>
                </c:pt>
                <c:pt idx="32">
                  <c:v>5.3928571428571432</c:v>
                </c:pt>
                <c:pt idx="33">
                  <c:v>27.454545454545453</c:v>
                </c:pt>
                <c:pt idx="34">
                  <c:v>48.8</c:v>
                </c:pt>
                <c:pt idx="35">
                  <c:v>19.470588235294116</c:v>
                </c:pt>
                <c:pt idx="36">
                  <c:v>23.25</c:v>
                </c:pt>
                <c:pt idx="37">
                  <c:v>29.09090909090909</c:v>
                </c:pt>
                <c:pt idx="38">
                  <c:v>65.150684931506845</c:v>
                </c:pt>
              </c:numCache>
            </c:numRef>
          </c:xVal>
          <c:yVal>
            <c:numRef>
              <c:f>'ICSRS Conference'!$AB$35:$AB$73</c:f>
              <c:numCache>
                <c:formatCode>0.00</c:formatCode>
                <c:ptCount val="39"/>
                <c:pt idx="0">
                  <c:v>1246.3999999999999</c:v>
                </c:pt>
                <c:pt idx="1">
                  <c:v>1246.3999999999999</c:v>
                </c:pt>
                <c:pt idx="2">
                  <c:v>208</c:v>
                </c:pt>
                <c:pt idx="3">
                  <c:v>17175.599999999999</c:v>
                </c:pt>
                <c:pt idx="4">
                  <c:v>11130.24</c:v>
                </c:pt>
                <c:pt idx="5">
                  <c:v>2889.3066666666664</c:v>
                </c:pt>
                <c:pt idx="6">
                  <c:v>1246.3999999999999</c:v>
                </c:pt>
                <c:pt idx="7">
                  <c:v>3013.52</c:v>
                </c:pt>
                <c:pt idx="8">
                  <c:v>5475.6</c:v>
                </c:pt>
                <c:pt idx="9">
                  <c:v>8751.5999999999985</c:v>
                </c:pt>
                <c:pt idx="10">
                  <c:v>12504.826666666668</c:v>
                </c:pt>
                <c:pt idx="11">
                  <c:v>8751.5999999999985</c:v>
                </c:pt>
                <c:pt idx="12">
                  <c:v>3538.56</c:v>
                </c:pt>
                <c:pt idx="13">
                  <c:v>7328.88</c:v>
                </c:pt>
                <c:pt idx="14">
                  <c:v>7267.9466666666667</c:v>
                </c:pt>
                <c:pt idx="15">
                  <c:v>3410.88</c:v>
                </c:pt>
                <c:pt idx="16">
                  <c:v>12498.24</c:v>
                </c:pt>
                <c:pt idx="17">
                  <c:v>7328.88</c:v>
                </c:pt>
                <c:pt idx="18">
                  <c:v>3198</c:v>
                </c:pt>
                <c:pt idx="19">
                  <c:v>6085.3600000000006</c:v>
                </c:pt>
                <c:pt idx="20">
                  <c:v>5475.6</c:v>
                </c:pt>
                <c:pt idx="21">
                  <c:v>7113.5999999999995</c:v>
                </c:pt>
                <c:pt idx="22">
                  <c:v>6027.04</c:v>
                </c:pt>
                <c:pt idx="23">
                  <c:v>3566.16</c:v>
                </c:pt>
                <c:pt idx="24">
                  <c:v>4353.3599999999997</c:v>
                </c:pt>
                <c:pt idx="25">
                  <c:v>8751.5999999999985</c:v>
                </c:pt>
                <c:pt idx="26">
                  <c:v>7385.0399999999991</c:v>
                </c:pt>
                <c:pt idx="27">
                  <c:v>16245.64</c:v>
                </c:pt>
                <c:pt idx="28">
                  <c:v>7273.6399999999994</c:v>
                </c:pt>
                <c:pt idx="29">
                  <c:v>2134.08</c:v>
                </c:pt>
                <c:pt idx="30">
                  <c:v>14458.239999999998</c:v>
                </c:pt>
                <c:pt idx="31">
                  <c:v>4036.0933333333332</c:v>
                </c:pt>
                <c:pt idx="32">
                  <c:v>1246.3999999999999</c:v>
                </c:pt>
                <c:pt idx="33">
                  <c:v>5475.6</c:v>
                </c:pt>
                <c:pt idx="34">
                  <c:v>5475.6</c:v>
                </c:pt>
                <c:pt idx="35">
                  <c:v>5475.6</c:v>
                </c:pt>
                <c:pt idx="36">
                  <c:v>12963.599999999999</c:v>
                </c:pt>
                <c:pt idx="37">
                  <c:v>790.39999999999986</c:v>
                </c:pt>
                <c:pt idx="38">
                  <c:v>14119.248</c:v>
                </c:pt>
              </c:numCache>
            </c:numRef>
          </c:yVal>
          <c:smooth val="0"/>
          <c:extLst>
            <c:ext xmlns:c16="http://schemas.microsoft.com/office/drawing/2014/chart" uri="{C3380CC4-5D6E-409C-BE32-E72D297353CC}">
              <c16:uniqueId val="{00000005-4FDA-4D18-A4C5-10469B71BCBA}"/>
            </c:ext>
          </c:extLst>
        </c:ser>
        <c:dLbls>
          <c:showLegendKey val="0"/>
          <c:showVal val="0"/>
          <c:showCatName val="0"/>
          <c:showSerName val="0"/>
          <c:showPercent val="0"/>
          <c:showBubbleSize val="0"/>
        </c:dLbls>
        <c:axId val="1449508144"/>
        <c:axId val="1449509392"/>
      </c:scatterChart>
      <c:valAx>
        <c:axId val="1449508144"/>
        <c:scaling>
          <c:orientation val="minMax"/>
          <c:max val="150"/>
          <c:min val="0"/>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r>
                  <a:rPr lang="en-GB"/>
                  <a:t>Fluid Waste per machine monthly [lit/month]]</a:t>
                </a:r>
                <a:endParaRPr lang="sr-Latn-RS"/>
              </a:p>
            </c:rich>
          </c:tx>
          <c:layout>
            <c:manualLayout>
              <c:xMode val="edge"/>
              <c:yMode val="edge"/>
              <c:x val="0.61754540044093875"/>
              <c:y val="0.9286896837988504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title>
        <c:numFmt formatCode="0.00"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449509392"/>
        <c:crosses val="autoZero"/>
        <c:crossBetween val="midCat"/>
      </c:valAx>
      <c:valAx>
        <c:axId val="1449509392"/>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r>
                  <a:rPr lang="en-GB"/>
                  <a:t>Power consumption [10</a:t>
                </a:r>
                <a:r>
                  <a:rPr lang="en-GB" baseline="30000"/>
                  <a:t>3</a:t>
                </a:r>
                <a:r>
                  <a:rPr lang="en-GB" baseline="0"/>
                  <a:t> [kW]</a:t>
                </a:r>
                <a:endParaRPr lang="sr-Latn-RS"/>
              </a:p>
            </c:rich>
          </c:tx>
          <c:layout>
            <c:manualLayout>
              <c:xMode val="edge"/>
              <c:yMode val="edge"/>
              <c:x val="2.829549858084866E-2"/>
              <c:y val="4.1130789817233976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title>
        <c:numFmt formatCode="0" sourceLinked="0"/>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449508144"/>
        <c:crosses val="autoZero"/>
        <c:crossBetween val="midCat"/>
        <c:dispUnits>
          <c:builtInUnit val="thousands"/>
        </c:dispUnits>
      </c:valAx>
      <c:spPr>
        <a:noFill/>
        <a:ln w="3175">
          <a:solidFill>
            <a:schemeClr val="tx1"/>
          </a:solidFill>
        </a:ln>
        <a:effectLst/>
      </c:spPr>
    </c:plotArea>
    <c:legend>
      <c:legendPos val="r"/>
      <c:layout>
        <c:manualLayout>
          <c:xMode val="edge"/>
          <c:yMode val="edge"/>
          <c:x val="0.67974588919156786"/>
          <c:y val="4.6039284295784771E-2"/>
          <c:w val="0.26822262870182106"/>
          <c:h val="0.27912374462941431"/>
        </c:manualLayout>
      </c:layout>
      <c:overlay val="1"/>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Garamond" panose="02020404030301010803" pitchFamily="18" charset="0"/>
        </a:defRPr>
      </a:pPr>
      <a:endParaRPr lang="sr-Latn-R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74203548584343"/>
          <c:y val="3.9873320945958343E-2"/>
          <c:w val="0.83212968269295351"/>
          <c:h val="0.83999295411982156"/>
        </c:manualLayout>
      </c:layout>
      <c:scatterChart>
        <c:scatterStyle val="lineMarker"/>
        <c:varyColors val="0"/>
        <c:ser>
          <c:idx val="0"/>
          <c:order val="0"/>
          <c:tx>
            <c:v>Condition Based Maintenance</c:v>
          </c:tx>
          <c:spPr>
            <a:ln w="19050" cap="rnd">
              <a:noFill/>
              <a:round/>
            </a:ln>
            <a:effectLst/>
          </c:spPr>
          <c:marker>
            <c:symbol val="diamond"/>
            <c:size val="8"/>
            <c:spPr>
              <a:noFill/>
              <a:ln w="3175">
                <a:solidFill>
                  <a:srgbClr val="FF0000"/>
                </a:solidFill>
              </a:ln>
              <a:effectLst/>
            </c:spPr>
          </c:marker>
          <c:xVal>
            <c:numRef>
              <c:f>'Izvucene vrednosti'!$B$2:$B$9</c:f>
              <c:numCache>
                <c:formatCode>0.0</c:formatCode>
                <c:ptCount val="8"/>
                <c:pt idx="0">
                  <c:v>1253</c:v>
                </c:pt>
                <c:pt idx="1">
                  <c:v>1425</c:v>
                </c:pt>
                <c:pt idx="2">
                  <c:v>1780</c:v>
                </c:pt>
                <c:pt idx="3">
                  <c:v>1242</c:v>
                </c:pt>
                <c:pt idx="4">
                  <c:v>1615</c:v>
                </c:pt>
                <c:pt idx="5">
                  <c:v>1142</c:v>
                </c:pt>
                <c:pt idx="6">
                  <c:v>1026</c:v>
                </c:pt>
                <c:pt idx="7">
                  <c:v>749</c:v>
                </c:pt>
              </c:numCache>
            </c:numRef>
          </c:xVal>
          <c:yVal>
            <c:numRef>
              <c:f>'Izvucene vrednosti'!$D$2:$D$9</c:f>
              <c:numCache>
                <c:formatCode>0.000</c:formatCode>
                <c:ptCount val="8"/>
                <c:pt idx="0">
                  <c:v>0.12786706194414105</c:v>
                </c:pt>
                <c:pt idx="1">
                  <c:v>2.2976557459316076E-2</c:v>
                </c:pt>
                <c:pt idx="2">
                  <c:v>9.5844385499557913E-2</c:v>
                </c:pt>
                <c:pt idx="3">
                  <c:v>5.5134520651762026E-2</c:v>
                </c:pt>
                <c:pt idx="4">
                  <c:v>0.21106072274036677</c:v>
                </c:pt>
                <c:pt idx="5">
                  <c:v>8.6501620984379607E-2</c:v>
                </c:pt>
                <c:pt idx="6">
                  <c:v>4.3899204244031834E-2</c:v>
                </c:pt>
                <c:pt idx="7">
                  <c:v>3.8777314639383602E-2</c:v>
                </c:pt>
              </c:numCache>
            </c:numRef>
          </c:yVal>
          <c:smooth val="0"/>
          <c:extLst>
            <c:ext xmlns:c16="http://schemas.microsoft.com/office/drawing/2014/chart" uri="{C3380CC4-5D6E-409C-BE32-E72D297353CC}">
              <c16:uniqueId val="{00000000-C5EE-4A8A-82DA-E0E7B740817D}"/>
            </c:ext>
          </c:extLst>
        </c:ser>
        <c:ser>
          <c:idx val="1"/>
          <c:order val="1"/>
          <c:tx>
            <c:v>Corrective Maintenance</c:v>
          </c:tx>
          <c:spPr>
            <a:ln w="25400" cap="rnd">
              <a:noFill/>
              <a:round/>
            </a:ln>
            <a:effectLst/>
          </c:spPr>
          <c:marker>
            <c:symbol val="square"/>
            <c:size val="8"/>
            <c:spPr>
              <a:noFill/>
              <a:ln w="3175">
                <a:solidFill>
                  <a:schemeClr val="accent2"/>
                </a:solidFill>
              </a:ln>
              <a:effectLst/>
            </c:spPr>
          </c:marker>
          <c:xVal>
            <c:numRef>
              <c:f>'Izvucene vrednosti'!$B$10:$B$20</c:f>
              <c:numCache>
                <c:formatCode>0.0</c:formatCode>
                <c:ptCount val="11"/>
                <c:pt idx="0">
                  <c:v>932</c:v>
                </c:pt>
                <c:pt idx="1">
                  <c:v>850</c:v>
                </c:pt>
                <c:pt idx="2">
                  <c:v>861</c:v>
                </c:pt>
                <c:pt idx="3">
                  <c:v>1183</c:v>
                </c:pt>
                <c:pt idx="4">
                  <c:v>1144</c:v>
                </c:pt>
                <c:pt idx="5">
                  <c:v>912</c:v>
                </c:pt>
                <c:pt idx="6">
                  <c:v>874</c:v>
                </c:pt>
                <c:pt idx="7">
                  <c:v>1114</c:v>
                </c:pt>
                <c:pt idx="8">
                  <c:v>1338</c:v>
                </c:pt>
                <c:pt idx="9">
                  <c:v>635</c:v>
                </c:pt>
                <c:pt idx="10">
                  <c:v>1109</c:v>
                </c:pt>
              </c:numCache>
            </c:numRef>
          </c:xVal>
          <c:yVal>
            <c:numRef>
              <c:f>'Izvucene vrednosti'!$D$10:$D$20</c:f>
              <c:numCache>
                <c:formatCode>0.00000</c:formatCode>
                <c:ptCount val="11"/>
                <c:pt idx="0">
                  <c:v>2.3149264528574871E-2</c:v>
                </c:pt>
                <c:pt idx="1">
                  <c:v>5.2519893899204244E-2</c:v>
                </c:pt>
                <c:pt idx="2">
                  <c:v>4.5012458805562252E-3</c:v>
                </c:pt>
                <c:pt idx="3">
                  <c:v>4.4740733785591881E-2</c:v>
                </c:pt>
                <c:pt idx="4">
                  <c:v>0.15636604774535809</c:v>
                </c:pt>
                <c:pt idx="5">
                  <c:v>0.10159151193633952</c:v>
                </c:pt>
                <c:pt idx="6">
                  <c:v>1.9262346848553744E-2</c:v>
                </c:pt>
                <c:pt idx="7">
                  <c:v>5.0537484294290107E-2</c:v>
                </c:pt>
                <c:pt idx="8">
                  <c:v>7.0580094568100563E-2</c:v>
                </c:pt>
                <c:pt idx="9">
                  <c:v>7.6657824933687002E-2</c:v>
                </c:pt>
                <c:pt idx="10">
                  <c:v>1.7378578615201683E-2</c:v>
                </c:pt>
              </c:numCache>
            </c:numRef>
          </c:yVal>
          <c:smooth val="0"/>
          <c:extLst>
            <c:ext xmlns:c16="http://schemas.microsoft.com/office/drawing/2014/chart" uri="{C3380CC4-5D6E-409C-BE32-E72D297353CC}">
              <c16:uniqueId val="{00000001-C5EE-4A8A-82DA-E0E7B740817D}"/>
            </c:ext>
          </c:extLst>
        </c:ser>
        <c:ser>
          <c:idx val="2"/>
          <c:order val="2"/>
          <c:tx>
            <c:v>Design-out Maintenance</c:v>
          </c:tx>
          <c:spPr>
            <a:ln w="25400" cap="rnd">
              <a:noFill/>
              <a:round/>
            </a:ln>
            <a:effectLst/>
          </c:spPr>
          <c:marker>
            <c:symbol val="circle"/>
            <c:size val="8"/>
            <c:spPr>
              <a:noFill/>
              <a:ln w="3175">
                <a:solidFill>
                  <a:schemeClr val="accent3"/>
                </a:solidFill>
              </a:ln>
              <a:effectLst/>
            </c:spPr>
          </c:marker>
          <c:xVal>
            <c:numRef>
              <c:f>'Izvucene vrednosti'!$B$21:$B$23</c:f>
              <c:numCache>
                <c:formatCode>0.0</c:formatCode>
                <c:ptCount val="3"/>
                <c:pt idx="0">
                  <c:v>1302</c:v>
                </c:pt>
                <c:pt idx="1">
                  <c:v>1625</c:v>
                </c:pt>
                <c:pt idx="2">
                  <c:v>1251</c:v>
                </c:pt>
              </c:numCache>
            </c:numRef>
          </c:xVal>
          <c:yVal>
            <c:numRef>
              <c:f>'Izvucene vrednosti'!$D$21:$D$23</c:f>
              <c:numCache>
                <c:formatCode>0.00000</c:formatCode>
                <c:ptCount val="3"/>
                <c:pt idx="0">
                  <c:v>9.3810786914235195E-2</c:v>
                </c:pt>
                <c:pt idx="1">
                  <c:v>3.867545135620775E-2</c:v>
                </c:pt>
                <c:pt idx="2">
                  <c:v>8.6512956539481739E-2</c:v>
                </c:pt>
              </c:numCache>
            </c:numRef>
          </c:yVal>
          <c:smooth val="0"/>
          <c:extLst>
            <c:ext xmlns:c16="http://schemas.microsoft.com/office/drawing/2014/chart" uri="{C3380CC4-5D6E-409C-BE32-E72D297353CC}">
              <c16:uniqueId val="{00000002-C5EE-4A8A-82DA-E0E7B740817D}"/>
            </c:ext>
          </c:extLst>
        </c:ser>
        <c:ser>
          <c:idx val="3"/>
          <c:order val="3"/>
          <c:tx>
            <c:v>Opportunity Maintenance</c:v>
          </c:tx>
          <c:spPr>
            <a:ln w="25400" cap="rnd">
              <a:noFill/>
              <a:round/>
            </a:ln>
            <a:effectLst/>
          </c:spPr>
          <c:marker>
            <c:symbol val="diamond"/>
            <c:size val="8"/>
            <c:spPr>
              <a:noFill/>
              <a:ln w="3175" cap="rnd">
                <a:solidFill>
                  <a:schemeClr val="accent4"/>
                </a:solidFill>
              </a:ln>
              <a:effectLst/>
            </c:spPr>
          </c:marker>
          <c:xVal>
            <c:numRef>
              <c:f>'Izvucene vrednosti'!$B$24:$B$29</c:f>
              <c:numCache>
                <c:formatCode>0.0</c:formatCode>
                <c:ptCount val="6"/>
                <c:pt idx="0">
                  <c:v>711</c:v>
                </c:pt>
                <c:pt idx="1">
                  <c:v>1195</c:v>
                </c:pt>
                <c:pt idx="2">
                  <c:v>891</c:v>
                </c:pt>
                <c:pt idx="3">
                  <c:v>1499</c:v>
                </c:pt>
                <c:pt idx="4">
                  <c:v>768</c:v>
                </c:pt>
                <c:pt idx="5">
                  <c:v>1890</c:v>
                </c:pt>
              </c:numCache>
            </c:numRef>
          </c:xVal>
          <c:yVal>
            <c:numRef>
              <c:f>'Izvucene vrednosti'!$D$24:$D$29</c:f>
              <c:numCache>
                <c:formatCode>0.00000</c:formatCode>
                <c:ptCount val="6"/>
                <c:pt idx="0">
                  <c:v>0.23460064839375183</c:v>
                </c:pt>
                <c:pt idx="1">
                  <c:v>7.4491600353669321E-2</c:v>
                </c:pt>
                <c:pt idx="2">
                  <c:v>6.8965517241379309E-2</c:v>
                </c:pt>
                <c:pt idx="3">
                  <c:v>0.11242603550295859</c:v>
                </c:pt>
                <c:pt idx="4">
                  <c:v>2.7077807250221044E-2</c:v>
                </c:pt>
                <c:pt idx="5">
                  <c:v>5.3934571175950484E-2</c:v>
                </c:pt>
              </c:numCache>
            </c:numRef>
          </c:yVal>
          <c:smooth val="0"/>
          <c:extLst>
            <c:ext xmlns:c16="http://schemas.microsoft.com/office/drawing/2014/chart" uri="{C3380CC4-5D6E-409C-BE32-E72D297353CC}">
              <c16:uniqueId val="{00000003-C5EE-4A8A-82DA-E0E7B740817D}"/>
            </c:ext>
          </c:extLst>
        </c:ser>
        <c:ser>
          <c:idx val="4"/>
          <c:order val="4"/>
          <c:tx>
            <c:v>Predictive Maintenance</c:v>
          </c:tx>
          <c:spPr>
            <a:ln w="25400" cap="rnd">
              <a:noFill/>
              <a:round/>
            </a:ln>
            <a:effectLst/>
          </c:spPr>
          <c:marker>
            <c:symbol val="x"/>
            <c:size val="8"/>
            <c:spPr>
              <a:noFill/>
              <a:ln w="3175">
                <a:solidFill>
                  <a:schemeClr val="accent5"/>
                </a:solidFill>
              </a:ln>
              <a:effectLst/>
            </c:spPr>
          </c:marker>
          <c:xVal>
            <c:numRef>
              <c:f>'Izvucene vrednosti'!$B$30:$B$34</c:f>
              <c:numCache>
                <c:formatCode>0.0</c:formatCode>
                <c:ptCount val="5"/>
                <c:pt idx="0">
                  <c:v>1621</c:v>
                </c:pt>
                <c:pt idx="1">
                  <c:v>1721</c:v>
                </c:pt>
                <c:pt idx="2">
                  <c:v>1749</c:v>
                </c:pt>
                <c:pt idx="3">
                  <c:v>1623</c:v>
                </c:pt>
                <c:pt idx="4">
                  <c:v>1564</c:v>
                </c:pt>
              </c:numCache>
            </c:numRef>
          </c:xVal>
          <c:yVal>
            <c:numRef>
              <c:f>'Izvucene vrednosti'!$D$30:$D$34</c:f>
              <c:numCache>
                <c:formatCode>0.00000</c:formatCode>
                <c:ptCount val="5"/>
                <c:pt idx="0">
                  <c:v>1.6504568228706159E-2</c:v>
                </c:pt>
                <c:pt idx="1">
                  <c:v>0.11671087533156499</c:v>
                </c:pt>
                <c:pt idx="2">
                  <c:v>3.5145888594164454E-2</c:v>
                </c:pt>
                <c:pt idx="3">
                  <c:v>0.16925117322995306</c:v>
                </c:pt>
                <c:pt idx="4">
                  <c:v>0.15874311365027546</c:v>
                </c:pt>
              </c:numCache>
            </c:numRef>
          </c:yVal>
          <c:smooth val="0"/>
          <c:extLst>
            <c:ext xmlns:c16="http://schemas.microsoft.com/office/drawing/2014/chart" uri="{C3380CC4-5D6E-409C-BE32-E72D297353CC}">
              <c16:uniqueId val="{00000004-C5EE-4A8A-82DA-E0E7B740817D}"/>
            </c:ext>
          </c:extLst>
        </c:ser>
        <c:ser>
          <c:idx val="5"/>
          <c:order val="5"/>
          <c:tx>
            <c:v>Preventive Maintenance</c:v>
          </c:tx>
          <c:spPr>
            <a:ln w="25400" cap="rnd">
              <a:noFill/>
              <a:round/>
            </a:ln>
            <a:effectLst/>
          </c:spPr>
          <c:marker>
            <c:symbol val="triangle"/>
            <c:size val="8"/>
            <c:spPr>
              <a:noFill/>
              <a:ln w="3175">
                <a:solidFill>
                  <a:schemeClr val="accent6"/>
                </a:solidFill>
              </a:ln>
              <a:effectLst/>
            </c:spPr>
          </c:marker>
          <c:xVal>
            <c:numRef>
              <c:f>'Izvucene vrednosti'!$B$35:$B$73</c:f>
              <c:numCache>
                <c:formatCode>0.0</c:formatCode>
                <c:ptCount val="39"/>
                <c:pt idx="0">
                  <c:v>1434</c:v>
                </c:pt>
                <c:pt idx="1">
                  <c:v>1149</c:v>
                </c:pt>
                <c:pt idx="2">
                  <c:v>808</c:v>
                </c:pt>
                <c:pt idx="3">
                  <c:v>1114</c:v>
                </c:pt>
                <c:pt idx="4">
                  <c:v>1434</c:v>
                </c:pt>
                <c:pt idx="5">
                  <c:v>1217</c:v>
                </c:pt>
                <c:pt idx="6">
                  <c:v>1391</c:v>
                </c:pt>
                <c:pt idx="7">
                  <c:v>1426</c:v>
                </c:pt>
                <c:pt idx="8">
                  <c:v>1331</c:v>
                </c:pt>
                <c:pt idx="9">
                  <c:v>881</c:v>
                </c:pt>
                <c:pt idx="10">
                  <c:v>1299</c:v>
                </c:pt>
                <c:pt idx="11">
                  <c:v>1462</c:v>
                </c:pt>
                <c:pt idx="12">
                  <c:v>934</c:v>
                </c:pt>
                <c:pt idx="13">
                  <c:v>1461</c:v>
                </c:pt>
                <c:pt idx="14">
                  <c:v>1868</c:v>
                </c:pt>
                <c:pt idx="15">
                  <c:v>554</c:v>
                </c:pt>
                <c:pt idx="16">
                  <c:v>1836</c:v>
                </c:pt>
                <c:pt idx="17">
                  <c:v>1657</c:v>
                </c:pt>
                <c:pt idx="18">
                  <c:v>1286</c:v>
                </c:pt>
                <c:pt idx="19">
                  <c:v>869</c:v>
                </c:pt>
                <c:pt idx="20">
                  <c:v>1448</c:v>
                </c:pt>
                <c:pt idx="21">
                  <c:v>1006</c:v>
                </c:pt>
                <c:pt idx="22">
                  <c:v>926</c:v>
                </c:pt>
                <c:pt idx="23">
                  <c:v>1423</c:v>
                </c:pt>
                <c:pt idx="24">
                  <c:v>1933</c:v>
                </c:pt>
                <c:pt idx="25">
                  <c:v>723</c:v>
                </c:pt>
                <c:pt idx="26">
                  <c:v>2171</c:v>
                </c:pt>
                <c:pt idx="27">
                  <c:v>1815</c:v>
                </c:pt>
                <c:pt idx="28">
                  <c:v>2262</c:v>
                </c:pt>
                <c:pt idx="29">
                  <c:v>928</c:v>
                </c:pt>
                <c:pt idx="30">
                  <c:v>1129</c:v>
                </c:pt>
                <c:pt idx="31">
                  <c:v>1120</c:v>
                </c:pt>
                <c:pt idx="32">
                  <c:v>1597</c:v>
                </c:pt>
                <c:pt idx="33">
                  <c:v>1342</c:v>
                </c:pt>
                <c:pt idx="34">
                  <c:v>1182</c:v>
                </c:pt>
                <c:pt idx="35">
                  <c:v>1253</c:v>
                </c:pt>
                <c:pt idx="36">
                  <c:v>965</c:v>
                </c:pt>
                <c:pt idx="37">
                  <c:v>1986</c:v>
                </c:pt>
                <c:pt idx="38">
                  <c:v>1177</c:v>
                </c:pt>
              </c:numCache>
            </c:numRef>
          </c:xVal>
          <c:yVal>
            <c:numRef>
              <c:f>'Izvucene vrednosti'!$D$35:$D$73</c:f>
              <c:numCache>
                <c:formatCode>0.00000</c:formatCode>
                <c:ptCount val="39"/>
                <c:pt idx="0">
                  <c:v>4.0099859572476207E-2</c:v>
                </c:pt>
                <c:pt idx="1">
                  <c:v>4.6684350132626E-2</c:v>
                </c:pt>
                <c:pt idx="2">
                  <c:v>8.1760024964893124E-2</c:v>
                </c:pt>
                <c:pt idx="3">
                  <c:v>5.9455262987643136E-2</c:v>
                </c:pt>
                <c:pt idx="4">
                  <c:v>3.3509227383035162E-2</c:v>
                </c:pt>
                <c:pt idx="5">
                  <c:v>2.7409372236958444E-2</c:v>
                </c:pt>
                <c:pt idx="6">
                  <c:v>9.9551363919180014E-3</c:v>
                </c:pt>
                <c:pt idx="7">
                  <c:v>4.3804471390678293E-2</c:v>
                </c:pt>
                <c:pt idx="8">
                  <c:v>0.26477832512315269</c:v>
                </c:pt>
                <c:pt idx="9">
                  <c:v>0.10442346699953191</c:v>
                </c:pt>
                <c:pt idx="10">
                  <c:v>0.13054187192118227</c:v>
                </c:pt>
                <c:pt idx="11">
                  <c:v>5.5951591511936342E-2</c:v>
                </c:pt>
                <c:pt idx="12">
                  <c:v>8.9743589743589744E-2</c:v>
                </c:pt>
                <c:pt idx="13">
                  <c:v>8.6330461143054836E-3</c:v>
                </c:pt>
                <c:pt idx="14">
                  <c:v>2.0630710285882699E-2</c:v>
                </c:pt>
                <c:pt idx="15">
                  <c:v>0.27155172413793105</c:v>
                </c:pt>
                <c:pt idx="16">
                  <c:v>2.3453860114477178E-2</c:v>
                </c:pt>
                <c:pt idx="17">
                  <c:v>1.9579193454120399E-2</c:v>
                </c:pt>
                <c:pt idx="18">
                  <c:v>3.1347962382445138E-2</c:v>
                </c:pt>
                <c:pt idx="19">
                  <c:v>1.3119220015771739E-2</c:v>
                </c:pt>
                <c:pt idx="20">
                  <c:v>5.4179129747728427E-2</c:v>
                </c:pt>
                <c:pt idx="21">
                  <c:v>5.0492610837438417E-2</c:v>
                </c:pt>
                <c:pt idx="22">
                  <c:v>4.9071618037135278E-2</c:v>
                </c:pt>
                <c:pt idx="23">
                  <c:v>1.4709428502531952E-2</c:v>
                </c:pt>
                <c:pt idx="24">
                  <c:v>6.0191797592328102E-2</c:v>
                </c:pt>
                <c:pt idx="25">
                  <c:v>0.19958738579428234</c:v>
                </c:pt>
                <c:pt idx="26">
                  <c:v>6.8965517241379309E-2</c:v>
                </c:pt>
                <c:pt idx="27">
                  <c:v>2.7586206896551724E-2</c:v>
                </c:pt>
                <c:pt idx="28">
                  <c:v>9.7178683385579931E-2</c:v>
                </c:pt>
                <c:pt idx="29">
                  <c:v>0.25911189704293153</c:v>
                </c:pt>
                <c:pt idx="30">
                  <c:v>0.15058151397673944</c:v>
                </c:pt>
                <c:pt idx="31">
                  <c:v>0.11635720601237842</c:v>
                </c:pt>
                <c:pt idx="32">
                  <c:v>1.4304660856384994E-2</c:v>
                </c:pt>
                <c:pt idx="33">
                  <c:v>7.2823727996141785E-2</c:v>
                </c:pt>
                <c:pt idx="34">
                  <c:v>0.12944297082228115</c:v>
                </c:pt>
                <c:pt idx="35">
                  <c:v>5.1646122640037442E-2</c:v>
                </c:pt>
                <c:pt idx="36">
                  <c:v>6.1671087533156498E-2</c:v>
                </c:pt>
                <c:pt idx="37">
                  <c:v>7.716421509524958E-2</c:v>
                </c:pt>
                <c:pt idx="38">
                  <c:v>0.17281348788198103</c:v>
                </c:pt>
              </c:numCache>
            </c:numRef>
          </c:yVal>
          <c:smooth val="0"/>
          <c:extLst>
            <c:ext xmlns:c16="http://schemas.microsoft.com/office/drawing/2014/chart" uri="{C3380CC4-5D6E-409C-BE32-E72D297353CC}">
              <c16:uniqueId val="{00000005-C5EE-4A8A-82DA-E0E7B740817D}"/>
            </c:ext>
          </c:extLst>
        </c:ser>
        <c:dLbls>
          <c:showLegendKey val="0"/>
          <c:showVal val="0"/>
          <c:showCatName val="0"/>
          <c:showSerName val="0"/>
          <c:showPercent val="0"/>
          <c:showBubbleSize val="0"/>
        </c:dLbls>
        <c:axId val="1383323776"/>
        <c:axId val="1596184512"/>
      </c:scatterChart>
      <c:valAx>
        <c:axId val="1383323776"/>
        <c:scaling>
          <c:orientation val="minMax"/>
          <c:min val="500"/>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r>
                  <a:rPr lang="en-GB"/>
                  <a:t>MTBF [hours]</a:t>
                </a:r>
                <a:endParaRPr lang="sr-Latn-RS"/>
              </a:p>
            </c:rich>
          </c:tx>
          <c:layout>
            <c:manualLayout>
              <c:xMode val="edge"/>
              <c:yMode val="edge"/>
              <c:x val="0.82665686230896118"/>
              <c:y val="0.9533718363780538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title>
        <c:numFmt formatCode="0.0"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596184512"/>
        <c:crosses val="autoZero"/>
        <c:crossBetween val="midCat"/>
      </c:valAx>
      <c:valAx>
        <c:axId val="1596184512"/>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r>
                  <a:rPr lang="en-GB"/>
                  <a:t>Fluid waste per machine-hour [liters/machine-hour]</a:t>
                </a:r>
                <a:endParaRPr lang="sr-Latn-RS"/>
              </a:p>
            </c:rich>
          </c:tx>
          <c:layout>
            <c:manualLayout>
              <c:xMode val="edge"/>
              <c:yMode val="edge"/>
              <c:x val="8.3084081090063142E-3"/>
              <c:y val="8.891981029632361E-3"/>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title>
        <c:numFmt formatCode="0.000"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383323776"/>
        <c:crosses val="autoZero"/>
        <c:crossBetween val="midCat"/>
      </c:valAx>
      <c:spPr>
        <a:noFill/>
        <a:ln w="3175">
          <a:solidFill>
            <a:schemeClr val="tx1"/>
          </a:solidFill>
        </a:ln>
        <a:effectLst/>
      </c:spPr>
    </c:plotArea>
    <c:legend>
      <c:legendPos val="r"/>
      <c:layout>
        <c:manualLayout>
          <c:xMode val="edge"/>
          <c:yMode val="edge"/>
          <c:x val="0.68164517820117954"/>
          <c:y val="5.6189360229907115E-2"/>
          <c:w val="0.27195648400380662"/>
          <c:h val="0.31844913709070521"/>
        </c:manualLayout>
      </c:layout>
      <c:overlay val="1"/>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Garamond" panose="02020404030301010803" pitchFamily="18" charset="0"/>
        </a:defRPr>
      </a:pPr>
      <a:endParaRPr lang="sr-Latn-R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539909851180499"/>
          <c:y val="4.6337696661562996E-2"/>
          <c:w val="0.82554577414888519"/>
          <c:h val="0.82607679349625562"/>
        </c:manualLayout>
      </c:layout>
      <c:scatterChart>
        <c:scatterStyle val="lineMarker"/>
        <c:varyColors val="0"/>
        <c:ser>
          <c:idx val="0"/>
          <c:order val="0"/>
          <c:tx>
            <c:v>Condition Based Maintenance</c:v>
          </c:tx>
          <c:spPr>
            <a:ln w="19050" cap="rnd">
              <a:noFill/>
              <a:round/>
            </a:ln>
            <a:effectLst/>
          </c:spPr>
          <c:marker>
            <c:symbol val="diamond"/>
            <c:size val="8"/>
            <c:spPr>
              <a:noFill/>
              <a:ln w="3175">
                <a:solidFill>
                  <a:srgbClr val="FF0000"/>
                </a:solidFill>
              </a:ln>
              <a:effectLst/>
            </c:spPr>
          </c:marker>
          <c:xVal>
            <c:numRef>
              <c:f>'ICSRS Conference'!$W$2:$W$9</c:f>
              <c:numCache>
                <c:formatCode>0.0</c:formatCode>
                <c:ptCount val="8"/>
                <c:pt idx="0">
                  <c:v>1253</c:v>
                </c:pt>
                <c:pt idx="1">
                  <c:v>1425</c:v>
                </c:pt>
                <c:pt idx="2">
                  <c:v>1780</c:v>
                </c:pt>
                <c:pt idx="3">
                  <c:v>1242</c:v>
                </c:pt>
                <c:pt idx="4">
                  <c:v>1615</c:v>
                </c:pt>
                <c:pt idx="5">
                  <c:v>1142</c:v>
                </c:pt>
                <c:pt idx="6">
                  <c:v>932</c:v>
                </c:pt>
                <c:pt idx="7">
                  <c:v>850</c:v>
                </c:pt>
              </c:numCache>
            </c:numRef>
          </c:xVal>
          <c:yVal>
            <c:numRef>
              <c:f>'ICSRS Conference'!$AD$2:$AD$9</c:f>
              <c:numCache>
                <c:formatCode>0.00</c:formatCode>
                <c:ptCount val="8"/>
                <c:pt idx="0">
                  <c:v>21.704457364341085</c:v>
                </c:pt>
                <c:pt idx="1">
                  <c:v>8.1153100775193803</c:v>
                </c:pt>
                <c:pt idx="2">
                  <c:v>1.2596899224806202</c:v>
                </c:pt>
                <c:pt idx="3">
                  <c:v>13.408430232558139</c:v>
                </c:pt>
                <c:pt idx="4">
                  <c:v>10.746447028423772</c:v>
                </c:pt>
                <c:pt idx="5">
                  <c:v>22.957848837209301</c:v>
                </c:pt>
                <c:pt idx="6">
                  <c:v>8.5416666666666661</c:v>
                </c:pt>
                <c:pt idx="7">
                  <c:v>12.924418604651162</c:v>
                </c:pt>
              </c:numCache>
            </c:numRef>
          </c:yVal>
          <c:smooth val="0"/>
          <c:extLst>
            <c:ext xmlns:c16="http://schemas.microsoft.com/office/drawing/2014/chart" uri="{C3380CC4-5D6E-409C-BE32-E72D297353CC}">
              <c16:uniqueId val="{00000000-9EE9-4994-9166-EAD79D2DBC37}"/>
            </c:ext>
          </c:extLst>
        </c:ser>
        <c:ser>
          <c:idx val="1"/>
          <c:order val="1"/>
          <c:tx>
            <c:v>Corrective Maintenance</c:v>
          </c:tx>
          <c:spPr>
            <a:ln w="25400" cap="rnd">
              <a:noFill/>
              <a:round/>
            </a:ln>
            <a:effectLst/>
          </c:spPr>
          <c:marker>
            <c:symbol val="square"/>
            <c:size val="8"/>
            <c:spPr>
              <a:noFill/>
              <a:ln w="3175">
                <a:solidFill>
                  <a:schemeClr val="accent2"/>
                </a:solidFill>
              </a:ln>
              <a:effectLst/>
            </c:spPr>
          </c:marker>
          <c:xVal>
            <c:numRef>
              <c:f>'ICSRS Conference'!$W$10:$W$20</c:f>
              <c:numCache>
                <c:formatCode>0.0</c:formatCode>
                <c:ptCount val="11"/>
                <c:pt idx="0">
                  <c:v>861</c:v>
                </c:pt>
                <c:pt idx="1">
                  <c:v>1144</c:v>
                </c:pt>
                <c:pt idx="2">
                  <c:v>912</c:v>
                </c:pt>
                <c:pt idx="3">
                  <c:v>874</c:v>
                </c:pt>
                <c:pt idx="4">
                  <c:v>1114</c:v>
                </c:pt>
                <c:pt idx="5">
                  <c:v>635</c:v>
                </c:pt>
                <c:pt idx="6">
                  <c:v>1625</c:v>
                </c:pt>
                <c:pt idx="7">
                  <c:v>1251</c:v>
                </c:pt>
                <c:pt idx="8">
                  <c:v>1195</c:v>
                </c:pt>
                <c:pt idx="9">
                  <c:v>1499</c:v>
                </c:pt>
                <c:pt idx="10">
                  <c:v>1890</c:v>
                </c:pt>
              </c:numCache>
            </c:numRef>
          </c:xVal>
          <c:yVal>
            <c:numRef>
              <c:f>'ICSRS Conference'!$AD$10:$AD$20</c:f>
              <c:numCache>
                <c:formatCode>0.00</c:formatCode>
                <c:ptCount val="11"/>
                <c:pt idx="0">
                  <c:v>12.924418604651162</c:v>
                </c:pt>
                <c:pt idx="1">
                  <c:v>13.408430232558139</c:v>
                </c:pt>
                <c:pt idx="2">
                  <c:v>7.4491279069767442</c:v>
                </c:pt>
                <c:pt idx="3">
                  <c:v>7.5484496124031004</c:v>
                </c:pt>
                <c:pt idx="4">
                  <c:v>22.957848837209301</c:v>
                </c:pt>
                <c:pt idx="5">
                  <c:v>69.675872093023258</c:v>
                </c:pt>
                <c:pt idx="6">
                  <c:v>12.924418604651162</c:v>
                </c:pt>
                <c:pt idx="7">
                  <c:v>6.1676356589147288</c:v>
                </c:pt>
                <c:pt idx="8">
                  <c:v>19.367732558139537</c:v>
                </c:pt>
                <c:pt idx="9">
                  <c:v>1.2596899224806202</c:v>
                </c:pt>
                <c:pt idx="10">
                  <c:v>7.5484496124031004</c:v>
                </c:pt>
              </c:numCache>
            </c:numRef>
          </c:yVal>
          <c:smooth val="0"/>
          <c:extLst>
            <c:ext xmlns:c16="http://schemas.microsoft.com/office/drawing/2014/chart" uri="{C3380CC4-5D6E-409C-BE32-E72D297353CC}">
              <c16:uniqueId val="{00000001-9EE9-4994-9166-EAD79D2DBC37}"/>
            </c:ext>
          </c:extLst>
        </c:ser>
        <c:ser>
          <c:idx val="2"/>
          <c:order val="2"/>
          <c:tx>
            <c:v>Design-out Maintenance</c:v>
          </c:tx>
          <c:spPr>
            <a:ln w="25400" cap="rnd">
              <a:noFill/>
              <a:round/>
            </a:ln>
            <a:effectLst/>
          </c:spPr>
          <c:marker>
            <c:symbol val="circle"/>
            <c:size val="8"/>
            <c:spPr>
              <a:noFill/>
              <a:ln w="3175">
                <a:solidFill>
                  <a:schemeClr val="accent3"/>
                </a:solidFill>
              </a:ln>
              <a:effectLst/>
            </c:spPr>
          </c:marker>
          <c:xVal>
            <c:numRef>
              <c:f>'ICSRS Conference'!$W$21:$W$23</c:f>
              <c:numCache>
                <c:formatCode>0.0</c:formatCode>
                <c:ptCount val="3"/>
                <c:pt idx="0">
                  <c:v>1721</c:v>
                </c:pt>
                <c:pt idx="1">
                  <c:v>1749</c:v>
                </c:pt>
                <c:pt idx="2">
                  <c:v>1623</c:v>
                </c:pt>
              </c:numCache>
            </c:numRef>
          </c:xVal>
          <c:yVal>
            <c:numRef>
              <c:f>'ICSRS Conference'!$AD$21:$AD$23</c:f>
              <c:numCache>
                <c:formatCode>0.00</c:formatCode>
                <c:ptCount val="3"/>
                <c:pt idx="0">
                  <c:v>7.5484496124031004</c:v>
                </c:pt>
                <c:pt idx="1">
                  <c:v>7.5484496124031004</c:v>
                </c:pt>
                <c:pt idx="2">
                  <c:v>28.395833333333332</c:v>
                </c:pt>
              </c:numCache>
            </c:numRef>
          </c:yVal>
          <c:smooth val="0"/>
          <c:extLst>
            <c:ext xmlns:c16="http://schemas.microsoft.com/office/drawing/2014/chart" uri="{C3380CC4-5D6E-409C-BE32-E72D297353CC}">
              <c16:uniqueId val="{00000002-9EE9-4994-9166-EAD79D2DBC37}"/>
            </c:ext>
          </c:extLst>
        </c:ser>
        <c:ser>
          <c:idx val="3"/>
          <c:order val="3"/>
          <c:tx>
            <c:v>Opportunity Maintenance</c:v>
          </c:tx>
          <c:spPr>
            <a:ln w="25400" cap="rnd">
              <a:noFill/>
              <a:round/>
            </a:ln>
            <a:effectLst/>
          </c:spPr>
          <c:marker>
            <c:symbol val="diamond"/>
            <c:size val="8"/>
            <c:spPr>
              <a:noFill/>
              <a:ln w="3175">
                <a:solidFill>
                  <a:schemeClr val="accent4"/>
                </a:solidFill>
              </a:ln>
              <a:effectLst/>
            </c:spPr>
          </c:marker>
          <c:xVal>
            <c:numRef>
              <c:f>'ICSRS Conference'!$W$24:$W$29</c:f>
              <c:numCache>
                <c:formatCode>0.0</c:formatCode>
                <c:ptCount val="6"/>
                <c:pt idx="0">
                  <c:v>1564</c:v>
                </c:pt>
                <c:pt idx="1">
                  <c:v>1426</c:v>
                </c:pt>
                <c:pt idx="2">
                  <c:v>1331</c:v>
                </c:pt>
                <c:pt idx="3">
                  <c:v>881</c:v>
                </c:pt>
                <c:pt idx="4">
                  <c:v>934</c:v>
                </c:pt>
                <c:pt idx="5">
                  <c:v>1868</c:v>
                </c:pt>
              </c:numCache>
            </c:numRef>
          </c:xVal>
          <c:yVal>
            <c:numRef>
              <c:f>'ICSRS Conference'!$AD$24:$AD$29</c:f>
              <c:numCache>
                <c:formatCode>0.00</c:formatCode>
                <c:ptCount val="6"/>
                <c:pt idx="0">
                  <c:v>33.161337209302324</c:v>
                </c:pt>
                <c:pt idx="1">
                  <c:v>4.7674418604651159</c:v>
                </c:pt>
                <c:pt idx="2">
                  <c:v>10.373546511627907</c:v>
                </c:pt>
                <c:pt idx="3">
                  <c:v>29.936046511627907</c:v>
                </c:pt>
                <c:pt idx="4">
                  <c:v>1.2596899224806202</c:v>
                </c:pt>
                <c:pt idx="5">
                  <c:v>12.924418604651162</c:v>
                </c:pt>
              </c:numCache>
            </c:numRef>
          </c:yVal>
          <c:smooth val="0"/>
          <c:extLst>
            <c:ext xmlns:c16="http://schemas.microsoft.com/office/drawing/2014/chart" uri="{C3380CC4-5D6E-409C-BE32-E72D297353CC}">
              <c16:uniqueId val="{00000003-9EE9-4994-9166-EAD79D2DBC37}"/>
            </c:ext>
          </c:extLst>
        </c:ser>
        <c:ser>
          <c:idx val="4"/>
          <c:order val="4"/>
          <c:tx>
            <c:v>Predictive Maintenance</c:v>
          </c:tx>
          <c:spPr>
            <a:ln w="25400" cap="rnd">
              <a:noFill/>
              <a:round/>
            </a:ln>
            <a:effectLst/>
          </c:spPr>
          <c:marker>
            <c:symbol val="x"/>
            <c:size val="8"/>
            <c:spPr>
              <a:noFill/>
              <a:ln w="3175">
                <a:solidFill>
                  <a:schemeClr val="accent5"/>
                </a:solidFill>
              </a:ln>
              <a:effectLst/>
            </c:spPr>
          </c:marker>
          <c:xVal>
            <c:numRef>
              <c:f>'ICSRS Conference'!$W$30:$W$34</c:f>
              <c:numCache>
                <c:formatCode>0.0</c:formatCode>
                <c:ptCount val="5"/>
                <c:pt idx="0">
                  <c:v>1836</c:v>
                </c:pt>
                <c:pt idx="1">
                  <c:v>1657</c:v>
                </c:pt>
                <c:pt idx="2">
                  <c:v>1286</c:v>
                </c:pt>
                <c:pt idx="3">
                  <c:v>1448</c:v>
                </c:pt>
                <c:pt idx="4">
                  <c:v>1423</c:v>
                </c:pt>
              </c:numCache>
            </c:numRef>
          </c:xVal>
          <c:yVal>
            <c:numRef>
              <c:f>'ICSRS Conference'!$AD$30:$AD$34</c:f>
              <c:numCache>
                <c:formatCode>0.00</c:formatCode>
                <c:ptCount val="5"/>
                <c:pt idx="0">
                  <c:v>31.906976744186046</c:v>
                </c:pt>
                <c:pt idx="1">
                  <c:v>3.4011627906976742</c:v>
                </c:pt>
                <c:pt idx="2">
                  <c:v>44.385174418604649</c:v>
                </c:pt>
                <c:pt idx="3">
                  <c:v>6.4651162790697674</c:v>
                </c:pt>
                <c:pt idx="4">
                  <c:v>12.924418604651162</c:v>
                </c:pt>
              </c:numCache>
            </c:numRef>
          </c:yVal>
          <c:smooth val="0"/>
          <c:extLst>
            <c:ext xmlns:c16="http://schemas.microsoft.com/office/drawing/2014/chart" uri="{C3380CC4-5D6E-409C-BE32-E72D297353CC}">
              <c16:uniqueId val="{00000004-9EE9-4994-9166-EAD79D2DBC37}"/>
            </c:ext>
          </c:extLst>
        </c:ser>
        <c:ser>
          <c:idx val="5"/>
          <c:order val="5"/>
          <c:tx>
            <c:v>Preventive Maintenance</c:v>
          </c:tx>
          <c:spPr>
            <a:ln w="25400" cap="rnd">
              <a:noFill/>
              <a:round/>
            </a:ln>
            <a:effectLst/>
          </c:spPr>
          <c:marker>
            <c:symbol val="triangle"/>
            <c:size val="8"/>
            <c:spPr>
              <a:noFill/>
              <a:ln w="3175">
                <a:solidFill>
                  <a:schemeClr val="accent6"/>
                </a:solidFill>
              </a:ln>
              <a:effectLst/>
            </c:spPr>
          </c:marker>
          <c:xVal>
            <c:numRef>
              <c:f>'ICSRS Conference'!$W$35:$W$73</c:f>
              <c:numCache>
                <c:formatCode>0.0</c:formatCode>
                <c:ptCount val="39"/>
                <c:pt idx="0">
                  <c:v>1933</c:v>
                </c:pt>
                <c:pt idx="1">
                  <c:v>1815</c:v>
                </c:pt>
                <c:pt idx="2">
                  <c:v>2262</c:v>
                </c:pt>
                <c:pt idx="3">
                  <c:v>1120</c:v>
                </c:pt>
                <c:pt idx="4">
                  <c:v>1026</c:v>
                </c:pt>
                <c:pt idx="5">
                  <c:v>749</c:v>
                </c:pt>
                <c:pt idx="6">
                  <c:v>1183</c:v>
                </c:pt>
                <c:pt idx="7">
                  <c:v>1338</c:v>
                </c:pt>
                <c:pt idx="8">
                  <c:v>1109</c:v>
                </c:pt>
                <c:pt idx="9">
                  <c:v>1302</c:v>
                </c:pt>
                <c:pt idx="10">
                  <c:v>711</c:v>
                </c:pt>
                <c:pt idx="11">
                  <c:v>891</c:v>
                </c:pt>
                <c:pt idx="12">
                  <c:v>768</c:v>
                </c:pt>
                <c:pt idx="13">
                  <c:v>1621</c:v>
                </c:pt>
                <c:pt idx="14">
                  <c:v>1434</c:v>
                </c:pt>
                <c:pt idx="15">
                  <c:v>1149</c:v>
                </c:pt>
                <c:pt idx="16">
                  <c:v>808</c:v>
                </c:pt>
                <c:pt idx="17">
                  <c:v>1114</c:v>
                </c:pt>
                <c:pt idx="18">
                  <c:v>1434</c:v>
                </c:pt>
                <c:pt idx="19">
                  <c:v>1217</c:v>
                </c:pt>
                <c:pt idx="20">
                  <c:v>1391</c:v>
                </c:pt>
                <c:pt idx="21">
                  <c:v>1299</c:v>
                </c:pt>
                <c:pt idx="22">
                  <c:v>1462</c:v>
                </c:pt>
                <c:pt idx="23">
                  <c:v>1461</c:v>
                </c:pt>
                <c:pt idx="24">
                  <c:v>554</c:v>
                </c:pt>
                <c:pt idx="25">
                  <c:v>869</c:v>
                </c:pt>
                <c:pt idx="26">
                  <c:v>1006</c:v>
                </c:pt>
                <c:pt idx="27">
                  <c:v>926</c:v>
                </c:pt>
                <c:pt idx="28">
                  <c:v>723</c:v>
                </c:pt>
                <c:pt idx="29">
                  <c:v>2171</c:v>
                </c:pt>
                <c:pt idx="30">
                  <c:v>928</c:v>
                </c:pt>
                <c:pt idx="31">
                  <c:v>1129</c:v>
                </c:pt>
                <c:pt idx="32">
                  <c:v>1597</c:v>
                </c:pt>
                <c:pt idx="33">
                  <c:v>1342</c:v>
                </c:pt>
                <c:pt idx="34">
                  <c:v>1182</c:v>
                </c:pt>
                <c:pt idx="35">
                  <c:v>1253</c:v>
                </c:pt>
                <c:pt idx="36">
                  <c:v>965</c:v>
                </c:pt>
                <c:pt idx="37">
                  <c:v>1986</c:v>
                </c:pt>
                <c:pt idx="38">
                  <c:v>1177</c:v>
                </c:pt>
              </c:numCache>
            </c:numRef>
          </c:xVal>
          <c:yVal>
            <c:numRef>
              <c:f>'ICSRS Conference'!$AD$35:$AD$73</c:f>
              <c:numCache>
                <c:formatCode>0.00</c:formatCode>
                <c:ptCount val="39"/>
                <c:pt idx="0">
                  <c:v>7.5484496124031004</c:v>
                </c:pt>
                <c:pt idx="1">
                  <c:v>7.5484496124031004</c:v>
                </c:pt>
                <c:pt idx="2">
                  <c:v>1.2596899224806202</c:v>
                </c:pt>
                <c:pt idx="3">
                  <c:v>104.01889534883721</c:v>
                </c:pt>
                <c:pt idx="4">
                  <c:v>67.406976744186053</c:v>
                </c:pt>
                <c:pt idx="5">
                  <c:v>17.498223514211883</c:v>
                </c:pt>
                <c:pt idx="6">
                  <c:v>7.5484496124031004</c:v>
                </c:pt>
                <c:pt idx="7">
                  <c:v>18.250484496124031</c:v>
                </c:pt>
                <c:pt idx="8">
                  <c:v>33.161337209302324</c:v>
                </c:pt>
                <c:pt idx="9">
                  <c:v>53.001453488372093</c:v>
                </c:pt>
                <c:pt idx="10">
                  <c:v>75.731750645994836</c:v>
                </c:pt>
                <c:pt idx="11">
                  <c:v>53.001453488372093</c:v>
                </c:pt>
                <c:pt idx="12">
                  <c:v>21.430232558139537</c:v>
                </c:pt>
                <c:pt idx="13">
                  <c:v>44.385174418604649</c:v>
                </c:pt>
                <c:pt idx="14">
                  <c:v>44.01614987080103</c:v>
                </c:pt>
                <c:pt idx="15">
                  <c:v>20.656976744186046</c:v>
                </c:pt>
                <c:pt idx="16">
                  <c:v>75.691860465116278</c:v>
                </c:pt>
                <c:pt idx="17">
                  <c:v>44.385174418604649</c:v>
                </c:pt>
                <c:pt idx="18">
                  <c:v>19.367732558139537</c:v>
                </c:pt>
                <c:pt idx="19">
                  <c:v>36.854166666666664</c:v>
                </c:pt>
                <c:pt idx="20">
                  <c:v>33.161337209302324</c:v>
                </c:pt>
                <c:pt idx="21">
                  <c:v>43.081395348837212</c:v>
                </c:pt>
                <c:pt idx="22">
                  <c:v>36.500968992248062</c:v>
                </c:pt>
                <c:pt idx="23">
                  <c:v>21.597383720930232</c:v>
                </c:pt>
                <c:pt idx="24">
                  <c:v>26.364825581395348</c:v>
                </c:pt>
                <c:pt idx="25">
                  <c:v>53.001453488372093</c:v>
                </c:pt>
                <c:pt idx="26">
                  <c:v>44.725290697674417</c:v>
                </c:pt>
                <c:pt idx="27">
                  <c:v>98.386870155038764</c:v>
                </c:pt>
                <c:pt idx="28">
                  <c:v>44.050629844961243</c:v>
                </c:pt>
                <c:pt idx="29">
                  <c:v>12.924418604651162</c:v>
                </c:pt>
                <c:pt idx="30">
                  <c:v>87.562015503875969</c:v>
                </c:pt>
                <c:pt idx="31">
                  <c:v>24.443394702842376</c:v>
                </c:pt>
                <c:pt idx="32">
                  <c:v>7.5484496124031004</c:v>
                </c:pt>
                <c:pt idx="33">
                  <c:v>33.161337209302324</c:v>
                </c:pt>
                <c:pt idx="34">
                  <c:v>33.161337209302324</c:v>
                </c:pt>
                <c:pt idx="35">
                  <c:v>33.161337209302324</c:v>
                </c:pt>
                <c:pt idx="36">
                  <c:v>78.510174418604649</c:v>
                </c:pt>
                <c:pt idx="37">
                  <c:v>4.7868217054263562</c:v>
                </c:pt>
                <c:pt idx="38">
                  <c:v>85.509011627906986</c:v>
                </c:pt>
              </c:numCache>
            </c:numRef>
          </c:yVal>
          <c:smooth val="0"/>
          <c:extLst>
            <c:ext xmlns:c16="http://schemas.microsoft.com/office/drawing/2014/chart" uri="{C3380CC4-5D6E-409C-BE32-E72D297353CC}">
              <c16:uniqueId val="{00000005-9EE9-4994-9166-EAD79D2DBC37}"/>
            </c:ext>
          </c:extLst>
        </c:ser>
        <c:dLbls>
          <c:showLegendKey val="0"/>
          <c:showVal val="0"/>
          <c:showCatName val="0"/>
          <c:showSerName val="0"/>
          <c:showPercent val="0"/>
          <c:showBubbleSize val="0"/>
        </c:dLbls>
        <c:axId val="1733862767"/>
        <c:axId val="1733847791"/>
      </c:scatterChart>
      <c:valAx>
        <c:axId val="1733862767"/>
        <c:scaling>
          <c:orientation val="minMax"/>
          <c:min val="500"/>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r>
                  <a:rPr lang="en-GB"/>
                  <a:t>MTBF [hours]</a:t>
                </a:r>
                <a:endParaRPr lang="sr-Latn-RS"/>
              </a:p>
            </c:rich>
          </c:tx>
          <c:layout>
            <c:manualLayout>
              <c:xMode val="edge"/>
              <c:yMode val="edge"/>
              <c:x val="0.80254721400104145"/>
              <c:y val="0.9439177142626252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title>
        <c:numFmt formatCode="0.0"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733847791"/>
        <c:crosses val="autoZero"/>
        <c:crossBetween val="midCat"/>
      </c:valAx>
      <c:valAx>
        <c:axId val="1733847791"/>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r>
                  <a:rPr lang="en-GB"/>
                  <a:t>Power consumption requirements per month [kW/month]</a:t>
                </a:r>
                <a:endParaRPr lang="sr-Latn-RS"/>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title>
        <c:numFmt formatCode="0.00"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733862767"/>
        <c:crosses val="autoZero"/>
        <c:crossBetween val="midCat"/>
      </c:valAx>
      <c:spPr>
        <a:noFill/>
        <a:ln w="3175">
          <a:solidFill>
            <a:schemeClr val="tx1"/>
          </a:solidFill>
        </a:ln>
        <a:effectLst/>
      </c:spPr>
    </c:plotArea>
    <c:legend>
      <c:legendPos val="r"/>
      <c:layout>
        <c:manualLayout>
          <c:xMode val="edge"/>
          <c:yMode val="edge"/>
          <c:x val="0.61865444785503498"/>
          <c:y val="6.4582586253049343E-2"/>
          <c:w val="0.30467704498054393"/>
          <c:h val="0.32100983368098873"/>
        </c:manualLayout>
      </c:layout>
      <c:overlay val="1"/>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Garamond" panose="02020404030301010803" pitchFamily="18" charset="0"/>
        </a:defRPr>
      </a:pPr>
      <a:endParaRPr lang="sr-Latn-R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2"/>
          <c:order val="1"/>
          <c:tx>
            <c:v>Flow [litres/minute]</c:v>
          </c:tx>
          <c:spPr>
            <a:ln w="3175" cap="rnd">
              <a:solidFill>
                <a:srgbClr val="FF0000"/>
              </a:solidFill>
              <a:round/>
            </a:ln>
            <a:effectLst/>
          </c:spPr>
          <c:marker>
            <c:symbol val="none"/>
          </c:marker>
          <c:cat>
            <c:numRef>
              <c:f>'07-10-2021'!$A$3:$A$255</c:f>
              <c:numCache>
                <c:formatCode>0.0000</c:formatCode>
                <c:ptCount val="253"/>
                <c:pt idx="0">
                  <c:v>2</c:v>
                </c:pt>
                <c:pt idx="1">
                  <c:v>2.1</c:v>
                </c:pt>
                <c:pt idx="2">
                  <c:v>2.2000000000000002</c:v>
                </c:pt>
                <c:pt idx="3">
                  <c:v>2.2999999999999998</c:v>
                </c:pt>
                <c:pt idx="4">
                  <c:v>2.4</c:v>
                </c:pt>
                <c:pt idx="5">
                  <c:v>2.5</c:v>
                </c:pt>
                <c:pt idx="6">
                  <c:v>2.6</c:v>
                </c:pt>
                <c:pt idx="7">
                  <c:v>2.7</c:v>
                </c:pt>
                <c:pt idx="8">
                  <c:v>2.8</c:v>
                </c:pt>
                <c:pt idx="9">
                  <c:v>2.9</c:v>
                </c:pt>
                <c:pt idx="10">
                  <c:v>3</c:v>
                </c:pt>
                <c:pt idx="11">
                  <c:v>3.1</c:v>
                </c:pt>
                <c:pt idx="12">
                  <c:v>3.2</c:v>
                </c:pt>
                <c:pt idx="13">
                  <c:v>3.3</c:v>
                </c:pt>
                <c:pt idx="14">
                  <c:v>3.4</c:v>
                </c:pt>
                <c:pt idx="15">
                  <c:v>3.5</c:v>
                </c:pt>
                <c:pt idx="16">
                  <c:v>3.6</c:v>
                </c:pt>
                <c:pt idx="17">
                  <c:v>3.7</c:v>
                </c:pt>
                <c:pt idx="18">
                  <c:v>3.8</c:v>
                </c:pt>
                <c:pt idx="19">
                  <c:v>3.9</c:v>
                </c:pt>
                <c:pt idx="20">
                  <c:v>4</c:v>
                </c:pt>
                <c:pt idx="21">
                  <c:v>4.0999999999999996</c:v>
                </c:pt>
                <c:pt idx="22">
                  <c:v>4.2</c:v>
                </c:pt>
                <c:pt idx="23">
                  <c:v>4.3</c:v>
                </c:pt>
                <c:pt idx="24">
                  <c:v>4.4000000000000004</c:v>
                </c:pt>
                <c:pt idx="25">
                  <c:v>4.5</c:v>
                </c:pt>
                <c:pt idx="26">
                  <c:v>4.5999999999999996</c:v>
                </c:pt>
                <c:pt idx="27">
                  <c:v>4.7</c:v>
                </c:pt>
                <c:pt idx="28">
                  <c:v>4.8</c:v>
                </c:pt>
                <c:pt idx="29">
                  <c:v>4.9000000000000004</c:v>
                </c:pt>
                <c:pt idx="30">
                  <c:v>5</c:v>
                </c:pt>
                <c:pt idx="31">
                  <c:v>5.0999999999999996</c:v>
                </c:pt>
                <c:pt idx="32">
                  <c:v>5.2</c:v>
                </c:pt>
                <c:pt idx="33">
                  <c:v>5.3</c:v>
                </c:pt>
                <c:pt idx="34">
                  <c:v>5.4</c:v>
                </c:pt>
                <c:pt idx="35">
                  <c:v>5.5</c:v>
                </c:pt>
                <c:pt idx="36">
                  <c:v>5.6</c:v>
                </c:pt>
                <c:pt idx="37">
                  <c:v>5.7</c:v>
                </c:pt>
                <c:pt idx="38">
                  <c:v>5.8</c:v>
                </c:pt>
                <c:pt idx="39">
                  <c:v>5.9</c:v>
                </c:pt>
                <c:pt idx="40">
                  <c:v>6</c:v>
                </c:pt>
                <c:pt idx="41">
                  <c:v>6.1</c:v>
                </c:pt>
                <c:pt idx="42">
                  <c:v>6.2</c:v>
                </c:pt>
                <c:pt idx="43">
                  <c:v>6.3</c:v>
                </c:pt>
                <c:pt idx="44">
                  <c:v>6.4</c:v>
                </c:pt>
                <c:pt idx="45">
                  <c:v>6.5</c:v>
                </c:pt>
                <c:pt idx="46">
                  <c:v>6.6</c:v>
                </c:pt>
                <c:pt idx="47">
                  <c:v>6.7</c:v>
                </c:pt>
                <c:pt idx="48">
                  <c:v>6.8</c:v>
                </c:pt>
                <c:pt idx="49">
                  <c:v>6.9</c:v>
                </c:pt>
                <c:pt idx="50">
                  <c:v>7</c:v>
                </c:pt>
                <c:pt idx="51">
                  <c:v>7.1</c:v>
                </c:pt>
                <c:pt idx="52">
                  <c:v>7.2</c:v>
                </c:pt>
                <c:pt idx="53">
                  <c:v>7.3</c:v>
                </c:pt>
                <c:pt idx="54">
                  <c:v>7.4</c:v>
                </c:pt>
                <c:pt idx="55">
                  <c:v>7.5</c:v>
                </c:pt>
                <c:pt idx="56">
                  <c:v>7.6</c:v>
                </c:pt>
                <c:pt idx="57">
                  <c:v>7.7</c:v>
                </c:pt>
                <c:pt idx="58">
                  <c:v>7.8</c:v>
                </c:pt>
                <c:pt idx="59">
                  <c:v>7.9</c:v>
                </c:pt>
                <c:pt idx="60">
                  <c:v>8</c:v>
                </c:pt>
                <c:pt idx="61">
                  <c:v>8.1</c:v>
                </c:pt>
                <c:pt idx="62">
                  <c:v>8.1999999999999993</c:v>
                </c:pt>
                <c:pt idx="63">
                  <c:v>8.3000000000000007</c:v>
                </c:pt>
                <c:pt idx="64">
                  <c:v>8.4</c:v>
                </c:pt>
                <c:pt idx="65">
                  <c:v>8.5</c:v>
                </c:pt>
                <c:pt idx="66">
                  <c:v>8.6</c:v>
                </c:pt>
                <c:pt idx="67">
                  <c:v>8.6999999999999993</c:v>
                </c:pt>
                <c:pt idx="68">
                  <c:v>8.8000000000000007</c:v>
                </c:pt>
                <c:pt idx="69">
                  <c:v>8.9</c:v>
                </c:pt>
                <c:pt idx="70">
                  <c:v>9</c:v>
                </c:pt>
                <c:pt idx="71">
                  <c:v>9.1</c:v>
                </c:pt>
                <c:pt idx="72">
                  <c:v>9.1999999999999993</c:v>
                </c:pt>
                <c:pt idx="73">
                  <c:v>9.3000000000000007</c:v>
                </c:pt>
                <c:pt idx="74">
                  <c:v>9.4</c:v>
                </c:pt>
                <c:pt idx="75">
                  <c:v>9.5</c:v>
                </c:pt>
                <c:pt idx="76">
                  <c:v>9.6</c:v>
                </c:pt>
                <c:pt idx="77">
                  <c:v>9.6999999999999993</c:v>
                </c:pt>
                <c:pt idx="78">
                  <c:v>9.8000000000000007</c:v>
                </c:pt>
                <c:pt idx="79">
                  <c:v>9.9</c:v>
                </c:pt>
                <c:pt idx="80">
                  <c:v>10</c:v>
                </c:pt>
                <c:pt idx="81">
                  <c:v>10.1</c:v>
                </c:pt>
                <c:pt idx="82">
                  <c:v>10.199999999999999</c:v>
                </c:pt>
                <c:pt idx="83">
                  <c:v>10.3</c:v>
                </c:pt>
                <c:pt idx="84">
                  <c:v>10.4</c:v>
                </c:pt>
                <c:pt idx="85">
                  <c:v>10.5</c:v>
                </c:pt>
                <c:pt idx="86">
                  <c:v>10.6</c:v>
                </c:pt>
                <c:pt idx="87">
                  <c:v>10.7</c:v>
                </c:pt>
                <c:pt idx="88">
                  <c:v>10.8</c:v>
                </c:pt>
                <c:pt idx="89">
                  <c:v>10.9</c:v>
                </c:pt>
                <c:pt idx="90">
                  <c:v>11</c:v>
                </c:pt>
                <c:pt idx="91">
                  <c:v>11.1</c:v>
                </c:pt>
                <c:pt idx="92">
                  <c:v>11.2</c:v>
                </c:pt>
                <c:pt idx="93">
                  <c:v>11.3</c:v>
                </c:pt>
                <c:pt idx="94">
                  <c:v>11.4</c:v>
                </c:pt>
                <c:pt idx="95">
                  <c:v>11.5</c:v>
                </c:pt>
                <c:pt idx="96">
                  <c:v>11.6</c:v>
                </c:pt>
                <c:pt idx="97">
                  <c:v>11.7</c:v>
                </c:pt>
                <c:pt idx="98">
                  <c:v>11.8</c:v>
                </c:pt>
                <c:pt idx="99">
                  <c:v>11.9</c:v>
                </c:pt>
                <c:pt idx="100">
                  <c:v>12</c:v>
                </c:pt>
                <c:pt idx="101">
                  <c:v>12.1</c:v>
                </c:pt>
                <c:pt idx="102">
                  <c:v>12.2</c:v>
                </c:pt>
                <c:pt idx="103">
                  <c:v>12.3</c:v>
                </c:pt>
                <c:pt idx="104">
                  <c:v>12.4</c:v>
                </c:pt>
                <c:pt idx="105">
                  <c:v>12.5</c:v>
                </c:pt>
                <c:pt idx="106">
                  <c:v>12.6</c:v>
                </c:pt>
                <c:pt idx="107">
                  <c:v>12.7</c:v>
                </c:pt>
                <c:pt idx="108">
                  <c:v>12.8</c:v>
                </c:pt>
                <c:pt idx="109">
                  <c:v>12.9</c:v>
                </c:pt>
                <c:pt idx="110">
                  <c:v>13</c:v>
                </c:pt>
                <c:pt idx="111">
                  <c:v>13.1</c:v>
                </c:pt>
                <c:pt idx="112">
                  <c:v>13.2</c:v>
                </c:pt>
                <c:pt idx="113">
                  <c:v>13.3</c:v>
                </c:pt>
                <c:pt idx="114">
                  <c:v>13.4</c:v>
                </c:pt>
                <c:pt idx="115">
                  <c:v>13.5</c:v>
                </c:pt>
                <c:pt idx="116">
                  <c:v>13.6</c:v>
                </c:pt>
                <c:pt idx="117">
                  <c:v>13.7</c:v>
                </c:pt>
                <c:pt idx="118">
                  <c:v>13.8</c:v>
                </c:pt>
                <c:pt idx="119">
                  <c:v>13.9</c:v>
                </c:pt>
                <c:pt idx="120">
                  <c:v>14</c:v>
                </c:pt>
                <c:pt idx="121">
                  <c:v>14.1</c:v>
                </c:pt>
                <c:pt idx="122">
                  <c:v>14.2</c:v>
                </c:pt>
                <c:pt idx="123">
                  <c:v>14.3</c:v>
                </c:pt>
                <c:pt idx="124">
                  <c:v>14.4</c:v>
                </c:pt>
                <c:pt idx="125">
                  <c:v>14.5</c:v>
                </c:pt>
                <c:pt idx="126">
                  <c:v>14.6</c:v>
                </c:pt>
                <c:pt idx="127">
                  <c:v>14.7</c:v>
                </c:pt>
                <c:pt idx="128">
                  <c:v>14.8</c:v>
                </c:pt>
                <c:pt idx="129">
                  <c:v>14.9</c:v>
                </c:pt>
                <c:pt idx="130">
                  <c:v>15</c:v>
                </c:pt>
                <c:pt idx="131">
                  <c:v>15.1</c:v>
                </c:pt>
                <c:pt idx="132">
                  <c:v>15.2</c:v>
                </c:pt>
                <c:pt idx="133">
                  <c:v>15.3</c:v>
                </c:pt>
                <c:pt idx="134">
                  <c:v>15.4</c:v>
                </c:pt>
                <c:pt idx="135">
                  <c:v>15.5</c:v>
                </c:pt>
                <c:pt idx="136">
                  <c:v>15.6</c:v>
                </c:pt>
                <c:pt idx="137">
                  <c:v>15.7</c:v>
                </c:pt>
                <c:pt idx="138">
                  <c:v>15.8</c:v>
                </c:pt>
                <c:pt idx="139">
                  <c:v>15.9</c:v>
                </c:pt>
                <c:pt idx="140">
                  <c:v>16</c:v>
                </c:pt>
                <c:pt idx="141">
                  <c:v>16.100000000000001</c:v>
                </c:pt>
                <c:pt idx="142">
                  <c:v>16.2</c:v>
                </c:pt>
                <c:pt idx="143">
                  <c:v>16.3</c:v>
                </c:pt>
                <c:pt idx="144">
                  <c:v>16.399999999999999</c:v>
                </c:pt>
                <c:pt idx="145">
                  <c:v>16.5</c:v>
                </c:pt>
                <c:pt idx="146">
                  <c:v>16.600000000000001</c:v>
                </c:pt>
                <c:pt idx="147">
                  <c:v>16.7</c:v>
                </c:pt>
                <c:pt idx="148">
                  <c:v>16.8</c:v>
                </c:pt>
                <c:pt idx="149">
                  <c:v>16.899999999999999</c:v>
                </c:pt>
                <c:pt idx="150">
                  <c:v>17</c:v>
                </c:pt>
                <c:pt idx="151">
                  <c:v>17.100000000000001</c:v>
                </c:pt>
                <c:pt idx="152">
                  <c:v>17.2</c:v>
                </c:pt>
                <c:pt idx="153">
                  <c:v>17.3</c:v>
                </c:pt>
                <c:pt idx="154">
                  <c:v>17.399999999999999</c:v>
                </c:pt>
                <c:pt idx="155">
                  <c:v>17.5</c:v>
                </c:pt>
                <c:pt idx="156">
                  <c:v>17.600000000000001</c:v>
                </c:pt>
                <c:pt idx="157">
                  <c:v>17.7</c:v>
                </c:pt>
                <c:pt idx="158">
                  <c:v>17.8</c:v>
                </c:pt>
                <c:pt idx="159">
                  <c:v>17.899999999999999</c:v>
                </c:pt>
                <c:pt idx="160">
                  <c:v>18</c:v>
                </c:pt>
                <c:pt idx="161">
                  <c:v>18.100000000000001</c:v>
                </c:pt>
                <c:pt idx="162">
                  <c:v>18.2</c:v>
                </c:pt>
                <c:pt idx="163">
                  <c:v>18.3</c:v>
                </c:pt>
                <c:pt idx="164">
                  <c:v>18.399999999999999</c:v>
                </c:pt>
                <c:pt idx="165">
                  <c:v>18.5</c:v>
                </c:pt>
                <c:pt idx="166">
                  <c:v>18.600000000000001</c:v>
                </c:pt>
                <c:pt idx="167">
                  <c:v>18.7</c:v>
                </c:pt>
                <c:pt idx="168">
                  <c:v>18.8</c:v>
                </c:pt>
                <c:pt idx="169">
                  <c:v>18.899999999999999</c:v>
                </c:pt>
                <c:pt idx="170">
                  <c:v>19</c:v>
                </c:pt>
                <c:pt idx="171">
                  <c:v>19.100000000000001</c:v>
                </c:pt>
                <c:pt idx="172">
                  <c:v>19.2</c:v>
                </c:pt>
                <c:pt idx="173">
                  <c:v>19.3</c:v>
                </c:pt>
                <c:pt idx="174">
                  <c:v>19.399999999999999</c:v>
                </c:pt>
                <c:pt idx="175">
                  <c:v>19.5</c:v>
                </c:pt>
                <c:pt idx="176">
                  <c:v>19.600000000000001</c:v>
                </c:pt>
                <c:pt idx="177">
                  <c:v>19.7</c:v>
                </c:pt>
                <c:pt idx="178">
                  <c:v>19.8</c:v>
                </c:pt>
                <c:pt idx="179">
                  <c:v>19.899999999999999</c:v>
                </c:pt>
                <c:pt idx="180">
                  <c:v>20</c:v>
                </c:pt>
                <c:pt idx="181">
                  <c:v>20.100000000000001</c:v>
                </c:pt>
                <c:pt idx="182">
                  <c:v>20.2</c:v>
                </c:pt>
                <c:pt idx="183">
                  <c:v>20.3</c:v>
                </c:pt>
                <c:pt idx="184">
                  <c:v>20.399999999999999</c:v>
                </c:pt>
                <c:pt idx="185">
                  <c:v>20.5</c:v>
                </c:pt>
                <c:pt idx="186">
                  <c:v>20.6</c:v>
                </c:pt>
                <c:pt idx="187">
                  <c:v>20.7</c:v>
                </c:pt>
                <c:pt idx="188">
                  <c:v>20.8</c:v>
                </c:pt>
                <c:pt idx="189">
                  <c:v>20.9</c:v>
                </c:pt>
                <c:pt idx="190">
                  <c:v>21</c:v>
                </c:pt>
                <c:pt idx="191">
                  <c:v>21.1</c:v>
                </c:pt>
                <c:pt idx="192">
                  <c:v>21.2</c:v>
                </c:pt>
                <c:pt idx="193">
                  <c:v>21.3</c:v>
                </c:pt>
                <c:pt idx="194">
                  <c:v>21.4</c:v>
                </c:pt>
                <c:pt idx="195">
                  <c:v>21.5</c:v>
                </c:pt>
                <c:pt idx="196">
                  <c:v>21.6</c:v>
                </c:pt>
                <c:pt idx="197">
                  <c:v>21.7</c:v>
                </c:pt>
                <c:pt idx="198">
                  <c:v>21.8</c:v>
                </c:pt>
                <c:pt idx="199">
                  <c:v>21.9</c:v>
                </c:pt>
                <c:pt idx="200">
                  <c:v>22</c:v>
                </c:pt>
                <c:pt idx="201">
                  <c:v>22.1</c:v>
                </c:pt>
                <c:pt idx="202">
                  <c:v>22.2</c:v>
                </c:pt>
                <c:pt idx="203">
                  <c:v>22.3</c:v>
                </c:pt>
                <c:pt idx="204">
                  <c:v>22.4</c:v>
                </c:pt>
                <c:pt idx="205">
                  <c:v>22.5</c:v>
                </c:pt>
                <c:pt idx="206">
                  <c:v>22.6</c:v>
                </c:pt>
                <c:pt idx="207">
                  <c:v>22.7</c:v>
                </c:pt>
                <c:pt idx="208">
                  <c:v>22.8</c:v>
                </c:pt>
                <c:pt idx="209">
                  <c:v>22.9</c:v>
                </c:pt>
                <c:pt idx="210">
                  <c:v>23</c:v>
                </c:pt>
                <c:pt idx="211">
                  <c:v>23.1</c:v>
                </c:pt>
                <c:pt idx="212">
                  <c:v>23.2</c:v>
                </c:pt>
                <c:pt idx="213">
                  <c:v>23.3</c:v>
                </c:pt>
                <c:pt idx="214">
                  <c:v>23.4</c:v>
                </c:pt>
                <c:pt idx="215">
                  <c:v>23.5</c:v>
                </c:pt>
                <c:pt idx="216">
                  <c:v>23.6</c:v>
                </c:pt>
                <c:pt idx="217">
                  <c:v>23.7</c:v>
                </c:pt>
                <c:pt idx="218">
                  <c:v>23.8</c:v>
                </c:pt>
                <c:pt idx="219">
                  <c:v>23.9</c:v>
                </c:pt>
                <c:pt idx="220">
                  <c:v>24</c:v>
                </c:pt>
                <c:pt idx="221">
                  <c:v>24.1</c:v>
                </c:pt>
                <c:pt idx="222">
                  <c:v>24.2</c:v>
                </c:pt>
                <c:pt idx="223">
                  <c:v>24.3</c:v>
                </c:pt>
                <c:pt idx="224">
                  <c:v>24.4</c:v>
                </c:pt>
                <c:pt idx="225">
                  <c:v>24.5</c:v>
                </c:pt>
                <c:pt idx="226">
                  <c:v>24.6</c:v>
                </c:pt>
                <c:pt idx="227">
                  <c:v>24.7</c:v>
                </c:pt>
                <c:pt idx="228">
                  <c:v>24.8</c:v>
                </c:pt>
                <c:pt idx="229">
                  <c:v>24.9</c:v>
                </c:pt>
                <c:pt idx="230">
                  <c:v>25</c:v>
                </c:pt>
                <c:pt idx="231">
                  <c:v>25.1</c:v>
                </c:pt>
                <c:pt idx="232">
                  <c:v>25.2</c:v>
                </c:pt>
                <c:pt idx="233">
                  <c:v>25.3</c:v>
                </c:pt>
                <c:pt idx="234">
                  <c:v>25.4</c:v>
                </c:pt>
                <c:pt idx="235">
                  <c:v>25.5</c:v>
                </c:pt>
                <c:pt idx="236">
                  <c:v>25.6</c:v>
                </c:pt>
                <c:pt idx="237">
                  <c:v>25.7</c:v>
                </c:pt>
                <c:pt idx="238">
                  <c:v>25.8</c:v>
                </c:pt>
                <c:pt idx="239">
                  <c:v>25.9</c:v>
                </c:pt>
                <c:pt idx="240">
                  <c:v>26</c:v>
                </c:pt>
                <c:pt idx="241">
                  <c:v>26.1</c:v>
                </c:pt>
                <c:pt idx="242">
                  <c:v>26.2</c:v>
                </c:pt>
                <c:pt idx="243">
                  <c:v>26.3</c:v>
                </c:pt>
                <c:pt idx="244">
                  <c:v>26.4</c:v>
                </c:pt>
                <c:pt idx="245">
                  <c:v>26.5</c:v>
                </c:pt>
                <c:pt idx="246">
                  <c:v>26.6</c:v>
                </c:pt>
                <c:pt idx="247">
                  <c:v>26.7</c:v>
                </c:pt>
                <c:pt idx="248">
                  <c:v>26.8</c:v>
                </c:pt>
                <c:pt idx="249">
                  <c:v>26.9</c:v>
                </c:pt>
                <c:pt idx="250">
                  <c:v>27</c:v>
                </c:pt>
                <c:pt idx="251">
                  <c:v>27.1</c:v>
                </c:pt>
                <c:pt idx="252">
                  <c:v>27.2</c:v>
                </c:pt>
              </c:numCache>
            </c:numRef>
          </c:cat>
          <c:val>
            <c:numRef>
              <c:f>'07-10-2021'!$AO$3:$AO$255</c:f>
              <c:numCache>
                <c:formatCode>0.000</c:formatCode>
                <c:ptCount val="253"/>
                <c:pt idx="0">
                  <c:v>6.6890000000000001</c:v>
                </c:pt>
                <c:pt idx="1">
                  <c:v>15.1</c:v>
                </c:pt>
                <c:pt idx="2">
                  <c:v>25.185000000000002</c:v>
                </c:pt>
                <c:pt idx="3">
                  <c:v>34.676666666666662</c:v>
                </c:pt>
                <c:pt idx="4">
                  <c:v>43.266666666666666</c:v>
                </c:pt>
                <c:pt idx="5">
                  <c:v>50.844999999999999</c:v>
                </c:pt>
                <c:pt idx="6">
                  <c:v>57.72</c:v>
                </c:pt>
                <c:pt idx="7">
                  <c:v>63.65</c:v>
                </c:pt>
                <c:pt idx="8">
                  <c:v>66.680000000000007</c:v>
                </c:pt>
                <c:pt idx="9">
                  <c:v>67.09</c:v>
                </c:pt>
                <c:pt idx="10">
                  <c:v>66.989999999999995</c:v>
                </c:pt>
                <c:pt idx="11">
                  <c:v>67.2</c:v>
                </c:pt>
                <c:pt idx="12">
                  <c:v>67.3</c:v>
                </c:pt>
                <c:pt idx="13">
                  <c:v>67.3</c:v>
                </c:pt>
                <c:pt idx="14">
                  <c:v>67.2</c:v>
                </c:pt>
                <c:pt idx="15">
                  <c:v>67.2</c:v>
                </c:pt>
                <c:pt idx="16">
                  <c:v>67.2</c:v>
                </c:pt>
                <c:pt idx="17">
                  <c:v>66.989999999999995</c:v>
                </c:pt>
                <c:pt idx="18">
                  <c:v>66.36</c:v>
                </c:pt>
                <c:pt idx="19">
                  <c:v>66.155000000000001</c:v>
                </c:pt>
                <c:pt idx="20">
                  <c:v>66.31</c:v>
                </c:pt>
                <c:pt idx="21">
                  <c:v>66.52</c:v>
                </c:pt>
                <c:pt idx="22">
                  <c:v>67.25</c:v>
                </c:pt>
                <c:pt idx="23">
                  <c:v>67.930000000000007</c:v>
                </c:pt>
                <c:pt idx="24">
                  <c:v>62.426666666666669</c:v>
                </c:pt>
                <c:pt idx="25">
                  <c:v>65.319999999999993</c:v>
                </c:pt>
                <c:pt idx="26">
                  <c:v>65.53</c:v>
                </c:pt>
                <c:pt idx="27">
                  <c:v>65.63</c:v>
                </c:pt>
                <c:pt idx="28">
                  <c:v>65.63</c:v>
                </c:pt>
                <c:pt idx="29">
                  <c:v>65.63</c:v>
                </c:pt>
                <c:pt idx="30">
                  <c:v>65.789999999999992</c:v>
                </c:pt>
                <c:pt idx="31">
                  <c:v>66.205000000000013</c:v>
                </c:pt>
                <c:pt idx="32">
                  <c:v>66.94</c:v>
                </c:pt>
                <c:pt idx="33">
                  <c:v>67.2</c:v>
                </c:pt>
                <c:pt idx="34">
                  <c:v>66.254999999999995</c:v>
                </c:pt>
                <c:pt idx="35">
                  <c:v>66.680000000000007</c:v>
                </c:pt>
                <c:pt idx="36">
                  <c:v>69.046666666666667</c:v>
                </c:pt>
                <c:pt idx="37">
                  <c:v>68.03</c:v>
                </c:pt>
                <c:pt idx="38">
                  <c:v>67.930000000000007</c:v>
                </c:pt>
                <c:pt idx="39">
                  <c:v>67.83</c:v>
                </c:pt>
                <c:pt idx="40">
                  <c:v>67.83</c:v>
                </c:pt>
                <c:pt idx="41">
                  <c:v>67.83</c:v>
                </c:pt>
                <c:pt idx="42">
                  <c:v>67.72</c:v>
                </c:pt>
                <c:pt idx="43">
                  <c:v>67.194999999999993</c:v>
                </c:pt>
                <c:pt idx="44">
                  <c:v>63.65</c:v>
                </c:pt>
                <c:pt idx="45">
                  <c:v>64.64</c:v>
                </c:pt>
                <c:pt idx="46">
                  <c:v>65.84</c:v>
                </c:pt>
                <c:pt idx="47">
                  <c:v>65.84</c:v>
                </c:pt>
                <c:pt idx="48">
                  <c:v>65.84</c:v>
                </c:pt>
                <c:pt idx="49">
                  <c:v>65.739999999999995</c:v>
                </c:pt>
                <c:pt idx="50">
                  <c:v>65.739999999999995</c:v>
                </c:pt>
                <c:pt idx="51">
                  <c:v>65.63</c:v>
                </c:pt>
                <c:pt idx="52">
                  <c:v>65.53</c:v>
                </c:pt>
                <c:pt idx="53">
                  <c:v>65.53</c:v>
                </c:pt>
                <c:pt idx="54">
                  <c:v>65.53</c:v>
                </c:pt>
                <c:pt idx="55">
                  <c:v>65.42</c:v>
                </c:pt>
                <c:pt idx="56">
                  <c:v>65.42</c:v>
                </c:pt>
                <c:pt idx="57">
                  <c:v>65.319999999999993</c:v>
                </c:pt>
                <c:pt idx="58">
                  <c:v>65.319999999999993</c:v>
                </c:pt>
                <c:pt idx="59">
                  <c:v>65.209999999999994</c:v>
                </c:pt>
                <c:pt idx="60">
                  <c:v>65.209999999999994</c:v>
                </c:pt>
                <c:pt idx="61">
                  <c:v>65.209999999999994</c:v>
                </c:pt>
                <c:pt idx="62">
                  <c:v>65.209999999999994</c:v>
                </c:pt>
                <c:pt idx="63">
                  <c:v>65.11</c:v>
                </c:pt>
                <c:pt idx="64">
                  <c:v>65.11</c:v>
                </c:pt>
                <c:pt idx="65">
                  <c:v>65</c:v>
                </c:pt>
                <c:pt idx="66">
                  <c:v>65</c:v>
                </c:pt>
                <c:pt idx="67">
                  <c:v>64.900000000000006</c:v>
                </c:pt>
                <c:pt idx="68">
                  <c:v>64.844999999999999</c:v>
                </c:pt>
                <c:pt idx="69">
                  <c:v>64.790000000000006</c:v>
                </c:pt>
                <c:pt idx="70">
                  <c:v>64.790000000000006</c:v>
                </c:pt>
                <c:pt idx="71">
                  <c:v>64.69</c:v>
                </c:pt>
                <c:pt idx="72">
                  <c:v>64.59</c:v>
                </c:pt>
                <c:pt idx="73">
                  <c:v>64.38</c:v>
                </c:pt>
                <c:pt idx="74">
                  <c:v>64.115000000000009</c:v>
                </c:pt>
                <c:pt idx="75">
                  <c:v>63.85</c:v>
                </c:pt>
                <c:pt idx="76">
                  <c:v>63.54</c:v>
                </c:pt>
                <c:pt idx="77">
                  <c:v>63.23</c:v>
                </c:pt>
                <c:pt idx="78">
                  <c:v>62.91</c:v>
                </c:pt>
                <c:pt idx="79">
                  <c:v>62.39</c:v>
                </c:pt>
                <c:pt idx="80">
                  <c:v>61.55</c:v>
                </c:pt>
                <c:pt idx="81">
                  <c:v>59.78</c:v>
                </c:pt>
                <c:pt idx="82">
                  <c:v>57.17</c:v>
                </c:pt>
                <c:pt idx="83">
                  <c:v>54.03</c:v>
                </c:pt>
                <c:pt idx="84">
                  <c:v>50.79</c:v>
                </c:pt>
                <c:pt idx="85">
                  <c:v>47.45</c:v>
                </c:pt>
                <c:pt idx="86">
                  <c:v>44</c:v>
                </c:pt>
                <c:pt idx="87">
                  <c:v>40.549999999999997</c:v>
                </c:pt>
                <c:pt idx="88">
                  <c:v>37.200000000000003</c:v>
                </c:pt>
                <c:pt idx="89">
                  <c:v>33.96</c:v>
                </c:pt>
                <c:pt idx="90">
                  <c:v>30.83</c:v>
                </c:pt>
                <c:pt idx="91">
                  <c:v>27.9</c:v>
                </c:pt>
                <c:pt idx="92">
                  <c:v>25.39</c:v>
                </c:pt>
                <c:pt idx="93">
                  <c:v>22.99</c:v>
                </c:pt>
                <c:pt idx="94">
                  <c:v>20.69</c:v>
                </c:pt>
                <c:pt idx="95">
                  <c:v>18.489999999999998</c:v>
                </c:pt>
                <c:pt idx="96">
                  <c:v>16.510000000000002</c:v>
                </c:pt>
                <c:pt idx="97">
                  <c:v>14.63</c:v>
                </c:pt>
                <c:pt idx="98">
                  <c:v>12.85</c:v>
                </c:pt>
                <c:pt idx="99">
                  <c:v>11.39</c:v>
                </c:pt>
                <c:pt idx="100">
                  <c:v>10.029999999999999</c:v>
                </c:pt>
                <c:pt idx="101">
                  <c:v>8.7789999999999999</c:v>
                </c:pt>
                <c:pt idx="102">
                  <c:v>7.8390000000000004</c:v>
                </c:pt>
                <c:pt idx="103">
                  <c:v>7.2119999999999997</c:v>
                </c:pt>
                <c:pt idx="104">
                  <c:v>6.5839999999999996</c:v>
                </c:pt>
                <c:pt idx="105">
                  <c:v>6.0620000000000003</c:v>
                </c:pt>
                <c:pt idx="106">
                  <c:v>5.5389999999999997</c:v>
                </c:pt>
                <c:pt idx="107">
                  <c:v>5.1210000000000004</c:v>
                </c:pt>
                <c:pt idx="108">
                  <c:v>4.7030000000000003</c:v>
                </c:pt>
                <c:pt idx="109">
                  <c:v>4.3899999999999997</c:v>
                </c:pt>
                <c:pt idx="110">
                  <c:v>4.0759999999999996</c:v>
                </c:pt>
                <c:pt idx="111">
                  <c:v>3.867</c:v>
                </c:pt>
                <c:pt idx="112">
                  <c:v>3.5539999999999998</c:v>
                </c:pt>
                <c:pt idx="113">
                  <c:v>3.3439999999999999</c:v>
                </c:pt>
                <c:pt idx="114">
                  <c:v>3.1349999999999998</c:v>
                </c:pt>
                <c:pt idx="115">
                  <c:v>2.9260000000000002</c:v>
                </c:pt>
                <c:pt idx="116">
                  <c:v>2.7694999999999999</c:v>
                </c:pt>
                <c:pt idx="117">
                  <c:v>2.613</c:v>
                </c:pt>
                <c:pt idx="118">
                  <c:v>2.508</c:v>
                </c:pt>
                <c:pt idx="119">
                  <c:v>2.4039999999999999</c:v>
                </c:pt>
                <c:pt idx="120">
                  <c:v>2.1949999999999998</c:v>
                </c:pt>
                <c:pt idx="121">
                  <c:v>2.09</c:v>
                </c:pt>
                <c:pt idx="122">
                  <c:v>1.986</c:v>
                </c:pt>
                <c:pt idx="123">
                  <c:v>1.881</c:v>
                </c:pt>
                <c:pt idx="124">
                  <c:v>1.881</c:v>
                </c:pt>
                <c:pt idx="125">
                  <c:v>1.7769999999999999</c:v>
                </c:pt>
                <c:pt idx="126">
                  <c:v>1.6719999999999999</c:v>
                </c:pt>
                <c:pt idx="127">
                  <c:v>1.5680000000000001</c:v>
                </c:pt>
                <c:pt idx="128">
                  <c:v>1.4630000000000001</c:v>
                </c:pt>
                <c:pt idx="129">
                  <c:v>1.4630000000000001</c:v>
                </c:pt>
                <c:pt idx="130">
                  <c:v>1.359</c:v>
                </c:pt>
                <c:pt idx="131">
                  <c:v>1.359</c:v>
                </c:pt>
                <c:pt idx="132">
                  <c:v>1.254</c:v>
                </c:pt>
                <c:pt idx="133">
                  <c:v>1.254</c:v>
                </c:pt>
                <c:pt idx="134">
                  <c:v>1.359</c:v>
                </c:pt>
                <c:pt idx="135">
                  <c:v>1.1499999999999999</c:v>
                </c:pt>
                <c:pt idx="136">
                  <c:v>1.1499999999999999</c:v>
                </c:pt>
                <c:pt idx="137">
                  <c:v>1.202</c:v>
                </c:pt>
                <c:pt idx="138">
                  <c:v>1.1499999999999999</c:v>
                </c:pt>
                <c:pt idx="139">
                  <c:v>1.1499999999999999</c:v>
                </c:pt>
                <c:pt idx="140">
                  <c:v>1.0449999999999999</c:v>
                </c:pt>
                <c:pt idx="141">
                  <c:v>1.254</c:v>
                </c:pt>
                <c:pt idx="142">
                  <c:v>1.5680000000000001</c:v>
                </c:pt>
                <c:pt idx="143">
                  <c:v>1.359</c:v>
                </c:pt>
                <c:pt idx="144">
                  <c:v>1.1499999999999999</c:v>
                </c:pt>
                <c:pt idx="145">
                  <c:v>1.254</c:v>
                </c:pt>
                <c:pt idx="146">
                  <c:v>1.0449999999999999</c:v>
                </c:pt>
                <c:pt idx="147">
                  <c:v>1.0449999999999999</c:v>
                </c:pt>
                <c:pt idx="148">
                  <c:v>1.6719999999999999</c:v>
                </c:pt>
                <c:pt idx="149">
                  <c:v>1.4630000000000001</c:v>
                </c:pt>
                <c:pt idx="150">
                  <c:v>1.359</c:v>
                </c:pt>
                <c:pt idx="151">
                  <c:v>3.3439999999999999</c:v>
                </c:pt>
                <c:pt idx="152">
                  <c:v>5.4349999999999996</c:v>
                </c:pt>
                <c:pt idx="153">
                  <c:v>5.6440000000000001</c:v>
                </c:pt>
                <c:pt idx="154">
                  <c:v>5.5389999999999997</c:v>
                </c:pt>
                <c:pt idx="155">
                  <c:v>5.4349999999999996</c:v>
                </c:pt>
                <c:pt idx="156">
                  <c:v>5.5914999999999999</c:v>
                </c:pt>
                <c:pt idx="157">
                  <c:v>6.1660000000000004</c:v>
                </c:pt>
                <c:pt idx="158">
                  <c:v>5.9569999999999999</c:v>
                </c:pt>
                <c:pt idx="159">
                  <c:v>6.2709999999999999</c:v>
                </c:pt>
                <c:pt idx="160">
                  <c:v>6.375</c:v>
                </c:pt>
                <c:pt idx="161">
                  <c:v>6.6890000000000001</c:v>
                </c:pt>
                <c:pt idx="162">
                  <c:v>6.7930000000000001</c:v>
                </c:pt>
                <c:pt idx="163">
                  <c:v>6.7930000000000001</c:v>
                </c:pt>
                <c:pt idx="164">
                  <c:v>6.8979999999999997</c:v>
                </c:pt>
                <c:pt idx="165">
                  <c:v>7.0030000000000001</c:v>
                </c:pt>
                <c:pt idx="166">
                  <c:v>7.3159999999999998</c:v>
                </c:pt>
                <c:pt idx="167">
                  <c:v>7.4210000000000003</c:v>
                </c:pt>
                <c:pt idx="168">
                  <c:v>7.63</c:v>
                </c:pt>
                <c:pt idx="169">
                  <c:v>7.734</c:v>
                </c:pt>
                <c:pt idx="170">
                  <c:v>7.8390000000000004</c:v>
                </c:pt>
                <c:pt idx="171">
                  <c:v>7.9429999999999996</c:v>
                </c:pt>
                <c:pt idx="172">
                  <c:v>8.048</c:v>
                </c:pt>
                <c:pt idx="173">
                  <c:v>8.1519999999999992</c:v>
                </c:pt>
                <c:pt idx="174">
                  <c:v>8.2569999999999997</c:v>
                </c:pt>
                <c:pt idx="175">
                  <c:v>8.3610000000000007</c:v>
                </c:pt>
                <c:pt idx="176">
                  <c:v>8.4659999999999993</c:v>
                </c:pt>
                <c:pt idx="177">
                  <c:v>8.57</c:v>
                </c:pt>
                <c:pt idx="178">
                  <c:v>8.57</c:v>
                </c:pt>
                <c:pt idx="179">
                  <c:v>8.6750000000000007</c:v>
                </c:pt>
                <c:pt idx="180">
                  <c:v>8.7789999999999999</c:v>
                </c:pt>
                <c:pt idx="181">
                  <c:v>8.8840000000000003</c:v>
                </c:pt>
                <c:pt idx="182">
                  <c:v>8.9879999999999995</c:v>
                </c:pt>
                <c:pt idx="183">
                  <c:v>9.093</c:v>
                </c:pt>
                <c:pt idx="184">
                  <c:v>9.093</c:v>
                </c:pt>
                <c:pt idx="185">
                  <c:v>9.1969999999999992</c:v>
                </c:pt>
                <c:pt idx="186">
                  <c:v>9.3019999999999996</c:v>
                </c:pt>
                <c:pt idx="187">
                  <c:v>9.4060000000000006</c:v>
                </c:pt>
                <c:pt idx="188">
                  <c:v>9.5109999999999992</c:v>
                </c:pt>
                <c:pt idx="189">
                  <c:v>9.6150000000000002</c:v>
                </c:pt>
                <c:pt idx="190">
                  <c:v>9.6150000000000002</c:v>
                </c:pt>
                <c:pt idx="191">
                  <c:v>9.7200000000000006</c:v>
                </c:pt>
                <c:pt idx="192">
                  <c:v>9.8239999999999998</c:v>
                </c:pt>
                <c:pt idx="193">
                  <c:v>9.9290000000000003</c:v>
                </c:pt>
                <c:pt idx="194">
                  <c:v>9.9290000000000003</c:v>
                </c:pt>
                <c:pt idx="195">
                  <c:v>10.029999999999999</c:v>
                </c:pt>
                <c:pt idx="196">
                  <c:v>10.130000000000001</c:v>
                </c:pt>
                <c:pt idx="197">
                  <c:v>10.130000000000001</c:v>
                </c:pt>
                <c:pt idx="198">
                  <c:v>10.24</c:v>
                </c:pt>
                <c:pt idx="199">
                  <c:v>10.34</c:v>
                </c:pt>
                <c:pt idx="200">
                  <c:v>10.34</c:v>
                </c:pt>
                <c:pt idx="201">
                  <c:v>10.45</c:v>
                </c:pt>
                <c:pt idx="202">
                  <c:v>10.76</c:v>
                </c:pt>
                <c:pt idx="203">
                  <c:v>10.87</c:v>
                </c:pt>
                <c:pt idx="204">
                  <c:v>13.16</c:v>
                </c:pt>
                <c:pt idx="205">
                  <c:v>14.84</c:v>
                </c:pt>
                <c:pt idx="206">
                  <c:v>13.27</c:v>
                </c:pt>
                <c:pt idx="207">
                  <c:v>14.21</c:v>
                </c:pt>
                <c:pt idx="208">
                  <c:v>20.43</c:v>
                </c:pt>
                <c:pt idx="209">
                  <c:v>25.5</c:v>
                </c:pt>
                <c:pt idx="210">
                  <c:v>32.03</c:v>
                </c:pt>
                <c:pt idx="211">
                  <c:v>41.28</c:v>
                </c:pt>
                <c:pt idx="212">
                  <c:v>49.744999999999997</c:v>
                </c:pt>
                <c:pt idx="213">
                  <c:v>57.32</c:v>
                </c:pt>
                <c:pt idx="214">
                  <c:v>64.424999999999997</c:v>
                </c:pt>
                <c:pt idx="215">
                  <c:v>67.615000000000009</c:v>
                </c:pt>
                <c:pt idx="216">
                  <c:v>67.83</c:v>
                </c:pt>
                <c:pt idx="217">
                  <c:v>67.83</c:v>
                </c:pt>
                <c:pt idx="218">
                  <c:v>67.83</c:v>
                </c:pt>
                <c:pt idx="219">
                  <c:v>67.88</c:v>
                </c:pt>
                <c:pt idx="220">
                  <c:v>67.83</c:v>
                </c:pt>
                <c:pt idx="221">
                  <c:v>67.83</c:v>
                </c:pt>
                <c:pt idx="222">
                  <c:v>67.83</c:v>
                </c:pt>
                <c:pt idx="223">
                  <c:v>67.83</c:v>
                </c:pt>
                <c:pt idx="224">
                  <c:v>67.72</c:v>
                </c:pt>
                <c:pt idx="225">
                  <c:v>67.83</c:v>
                </c:pt>
                <c:pt idx="226">
                  <c:v>67.83</c:v>
                </c:pt>
                <c:pt idx="227">
                  <c:v>67.62</c:v>
                </c:pt>
                <c:pt idx="228">
                  <c:v>65.84</c:v>
                </c:pt>
                <c:pt idx="229">
                  <c:v>27.429166666666667</c:v>
                </c:pt>
                <c:pt idx="230">
                  <c:v>3.0309999999999997</c:v>
                </c:pt>
                <c:pt idx="231">
                  <c:v>0.36599999999999999</c:v>
                </c:pt>
                <c:pt idx="232">
                  <c:v>0.20899999999999999</c:v>
                </c:pt>
                <c:pt idx="233">
                  <c:v>0.105</c:v>
                </c:pt>
                <c:pt idx="234">
                  <c:v>0.105</c:v>
                </c:pt>
                <c:pt idx="235">
                  <c:v>0.105</c:v>
                </c:pt>
                <c:pt idx="236">
                  <c:v>0.105</c:v>
                </c:pt>
                <c:pt idx="237">
                  <c:v>0.105</c:v>
                </c:pt>
                <c:pt idx="238">
                  <c:v>0.105</c:v>
                </c:pt>
                <c:pt idx="239">
                  <c:v>5.2499999999999998E-2</c:v>
                </c:pt>
                <c:pt idx="240">
                  <c:v>0.105</c:v>
                </c:pt>
                <c:pt idx="241">
                  <c:v>0</c:v>
                </c:pt>
                <c:pt idx="242">
                  <c:v>0</c:v>
                </c:pt>
                <c:pt idx="243">
                  <c:v>5.2499999999999998E-2</c:v>
                </c:pt>
                <c:pt idx="244">
                  <c:v>0</c:v>
                </c:pt>
                <c:pt idx="245">
                  <c:v>0</c:v>
                </c:pt>
                <c:pt idx="246">
                  <c:v>0</c:v>
                </c:pt>
                <c:pt idx="247">
                  <c:v>0</c:v>
                </c:pt>
                <c:pt idx="248">
                  <c:v>0</c:v>
                </c:pt>
                <c:pt idx="249">
                  <c:v>0</c:v>
                </c:pt>
                <c:pt idx="250">
                  <c:v>0</c:v>
                </c:pt>
                <c:pt idx="251">
                  <c:v>0</c:v>
                </c:pt>
                <c:pt idx="252">
                  <c:v>0</c:v>
                </c:pt>
              </c:numCache>
            </c:numRef>
          </c:val>
          <c:smooth val="0"/>
          <c:extLst>
            <c:ext xmlns:c16="http://schemas.microsoft.com/office/drawing/2014/chart" uri="{C3380CC4-5D6E-409C-BE32-E72D297353CC}">
              <c16:uniqueId val="{00000000-DF75-4944-9801-7071FFBAD279}"/>
            </c:ext>
          </c:extLst>
        </c:ser>
        <c:dLbls>
          <c:showLegendKey val="0"/>
          <c:showVal val="0"/>
          <c:showCatName val="0"/>
          <c:showSerName val="0"/>
          <c:showPercent val="0"/>
          <c:showBubbleSize val="0"/>
        </c:dLbls>
        <c:marker val="1"/>
        <c:smooth val="0"/>
        <c:axId val="1347222767"/>
        <c:axId val="1347216943"/>
      </c:lineChart>
      <c:lineChart>
        <c:grouping val="standard"/>
        <c:varyColors val="0"/>
        <c:ser>
          <c:idx val="1"/>
          <c:order val="0"/>
          <c:tx>
            <c:v>Pressure [bar]</c:v>
          </c:tx>
          <c:spPr>
            <a:ln w="3175" cap="rnd">
              <a:solidFill>
                <a:srgbClr val="0000FF"/>
              </a:solidFill>
              <a:round/>
            </a:ln>
            <a:effectLst/>
          </c:spPr>
          <c:marker>
            <c:symbol val="none"/>
          </c:marker>
          <c:cat>
            <c:numRef>
              <c:f>'07-10-2021'!$A$3:$A$255</c:f>
              <c:numCache>
                <c:formatCode>0.0000</c:formatCode>
                <c:ptCount val="253"/>
                <c:pt idx="0">
                  <c:v>2</c:v>
                </c:pt>
                <c:pt idx="1">
                  <c:v>2.1</c:v>
                </c:pt>
                <c:pt idx="2">
                  <c:v>2.2000000000000002</c:v>
                </c:pt>
                <c:pt idx="3">
                  <c:v>2.2999999999999998</c:v>
                </c:pt>
                <c:pt idx="4">
                  <c:v>2.4</c:v>
                </c:pt>
                <c:pt idx="5">
                  <c:v>2.5</c:v>
                </c:pt>
                <c:pt idx="6">
                  <c:v>2.6</c:v>
                </c:pt>
                <c:pt idx="7">
                  <c:v>2.7</c:v>
                </c:pt>
                <c:pt idx="8">
                  <c:v>2.8</c:v>
                </c:pt>
                <c:pt idx="9">
                  <c:v>2.9</c:v>
                </c:pt>
                <c:pt idx="10">
                  <c:v>3</c:v>
                </c:pt>
                <c:pt idx="11">
                  <c:v>3.1</c:v>
                </c:pt>
                <c:pt idx="12">
                  <c:v>3.2</c:v>
                </c:pt>
                <c:pt idx="13">
                  <c:v>3.3</c:v>
                </c:pt>
                <c:pt idx="14">
                  <c:v>3.4</c:v>
                </c:pt>
                <c:pt idx="15">
                  <c:v>3.5</c:v>
                </c:pt>
                <c:pt idx="16">
                  <c:v>3.6</c:v>
                </c:pt>
                <c:pt idx="17">
                  <c:v>3.7</c:v>
                </c:pt>
                <c:pt idx="18">
                  <c:v>3.8</c:v>
                </c:pt>
                <c:pt idx="19">
                  <c:v>3.9</c:v>
                </c:pt>
                <c:pt idx="20">
                  <c:v>4</c:v>
                </c:pt>
                <c:pt idx="21">
                  <c:v>4.0999999999999996</c:v>
                </c:pt>
                <c:pt idx="22">
                  <c:v>4.2</c:v>
                </c:pt>
                <c:pt idx="23">
                  <c:v>4.3</c:v>
                </c:pt>
                <c:pt idx="24">
                  <c:v>4.4000000000000004</c:v>
                </c:pt>
                <c:pt idx="25">
                  <c:v>4.5</c:v>
                </c:pt>
                <c:pt idx="26">
                  <c:v>4.5999999999999996</c:v>
                </c:pt>
                <c:pt idx="27">
                  <c:v>4.7</c:v>
                </c:pt>
                <c:pt idx="28">
                  <c:v>4.8</c:v>
                </c:pt>
                <c:pt idx="29">
                  <c:v>4.9000000000000004</c:v>
                </c:pt>
                <c:pt idx="30">
                  <c:v>5</c:v>
                </c:pt>
                <c:pt idx="31">
                  <c:v>5.0999999999999996</c:v>
                </c:pt>
                <c:pt idx="32">
                  <c:v>5.2</c:v>
                </c:pt>
                <c:pt idx="33">
                  <c:v>5.3</c:v>
                </c:pt>
                <c:pt idx="34">
                  <c:v>5.4</c:v>
                </c:pt>
                <c:pt idx="35">
                  <c:v>5.5</c:v>
                </c:pt>
                <c:pt idx="36">
                  <c:v>5.6</c:v>
                </c:pt>
                <c:pt idx="37">
                  <c:v>5.7</c:v>
                </c:pt>
                <c:pt idx="38">
                  <c:v>5.8</c:v>
                </c:pt>
                <c:pt idx="39">
                  <c:v>5.9</c:v>
                </c:pt>
                <c:pt idx="40">
                  <c:v>6</c:v>
                </c:pt>
                <c:pt idx="41">
                  <c:v>6.1</c:v>
                </c:pt>
                <c:pt idx="42">
                  <c:v>6.2</c:v>
                </c:pt>
                <c:pt idx="43">
                  <c:v>6.3</c:v>
                </c:pt>
                <c:pt idx="44">
                  <c:v>6.4</c:v>
                </c:pt>
                <c:pt idx="45">
                  <c:v>6.5</c:v>
                </c:pt>
                <c:pt idx="46">
                  <c:v>6.6</c:v>
                </c:pt>
                <c:pt idx="47">
                  <c:v>6.7</c:v>
                </c:pt>
                <c:pt idx="48">
                  <c:v>6.8</c:v>
                </c:pt>
                <c:pt idx="49">
                  <c:v>6.9</c:v>
                </c:pt>
                <c:pt idx="50">
                  <c:v>7</c:v>
                </c:pt>
                <c:pt idx="51">
                  <c:v>7.1</c:v>
                </c:pt>
                <c:pt idx="52">
                  <c:v>7.2</c:v>
                </c:pt>
                <c:pt idx="53">
                  <c:v>7.3</c:v>
                </c:pt>
                <c:pt idx="54">
                  <c:v>7.4</c:v>
                </c:pt>
                <c:pt idx="55">
                  <c:v>7.5</c:v>
                </c:pt>
                <c:pt idx="56">
                  <c:v>7.6</c:v>
                </c:pt>
                <c:pt idx="57">
                  <c:v>7.7</c:v>
                </c:pt>
                <c:pt idx="58">
                  <c:v>7.8</c:v>
                </c:pt>
                <c:pt idx="59">
                  <c:v>7.9</c:v>
                </c:pt>
                <c:pt idx="60">
                  <c:v>8</c:v>
                </c:pt>
                <c:pt idx="61">
                  <c:v>8.1</c:v>
                </c:pt>
                <c:pt idx="62">
                  <c:v>8.1999999999999993</c:v>
                </c:pt>
                <c:pt idx="63">
                  <c:v>8.3000000000000007</c:v>
                </c:pt>
                <c:pt idx="64">
                  <c:v>8.4</c:v>
                </c:pt>
                <c:pt idx="65">
                  <c:v>8.5</c:v>
                </c:pt>
                <c:pt idx="66">
                  <c:v>8.6</c:v>
                </c:pt>
                <c:pt idx="67">
                  <c:v>8.6999999999999993</c:v>
                </c:pt>
                <c:pt idx="68">
                  <c:v>8.8000000000000007</c:v>
                </c:pt>
                <c:pt idx="69">
                  <c:v>8.9</c:v>
                </c:pt>
                <c:pt idx="70">
                  <c:v>9</c:v>
                </c:pt>
                <c:pt idx="71">
                  <c:v>9.1</c:v>
                </c:pt>
                <c:pt idx="72">
                  <c:v>9.1999999999999993</c:v>
                </c:pt>
                <c:pt idx="73">
                  <c:v>9.3000000000000007</c:v>
                </c:pt>
                <c:pt idx="74">
                  <c:v>9.4</c:v>
                </c:pt>
                <c:pt idx="75">
                  <c:v>9.5</c:v>
                </c:pt>
                <c:pt idx="76">
                  <c:v>9.6</c:v>
                </c:pt>
                <c:pt idx="77">
                  <c:v>9.6999999999999993</c:v>
                </c:pt>
                <c:pt idx="78">
                  <c:v>9.8000000000000007</c:v>
                </c:pt>
                <c:pt idx="79">
                  <c:v>9.9</c:v>
                </c:pt>
                <c:pt idx="80">
                  <c:v>10</c:v>
                </c:pt>
                <c:pt idx="81">
                  <c:v>10.1</c:v>
                </c:pt>
                <c:pt idx="82">
                  <c:v>10.199999999999999</c:v>
                </c:pt>
                <c:pt idx="83">
                  <c:v>10.3</c:v>
                </c:pt>
                <c:pt idx="84">
                  <c:v>10.4</c:v>
                </c:pt>
                <c:pt idx="85">
                  <c:v>10.5</c:v>
                </c:pt>
                <c:pt idx="86">
                  <c:v>10.6</c:v>
                </c:pt>
                <c:pt idx="87">
                  <c:v>10.7</c:v>
                </c:pt>
                <c:pt idx="88">
                  <c:v>10.8</c:v>
                </c:pt>
                <c:pt idx="89">
                  <c:v>10.9</c:v>
                </c:pt>
                <c:pt idx="90">
                  <c:v>11</c:v>
                </c:pt>
                <c:pt idx="91">
                  <c:v>11.1</c:v>
                </c:pt>
                <c:pt idx="92">
                  <c:v>11.2</c:v>
                </c:pt>
                <c:pt idx="93">
                  <c:v>11.3</c:v>
                </c:pt>
                <c:pt idx="94">
                  <c:v>11.4</c:v>
                </c:pt>
                <c:pt idx="95">
                  <c:v>11.5</c:v>
                </c:pt>
                <c:pt idx="96">
                  <c:v>11.6</c:v>
                </c:pt>
                <c:pt idx="97">
                  <c:v>11.7</c:v>
                </c:pt>
                <c:pt idx="98">
                  <c:v>11.8</c:v>
                </c:pt>
                <c:pt idx="99">
                  <c:v>11.9</c:v>
                </c:pt>
                <c:pt idx="100">
                  <c:v>12</c:v>
                </c:pt>
                <c:pt idx="101">
                  <c:v>12.1</c:v>
                </c:pt>
                <c:pt idx="102">
                  <c:v>12.2</c:v>
                </c:pt>
                <c:pt idx="103">
                  <c:v>12.3</c:v>
                </c:pt>
                <c:pt idx="104">
                  <c:v>12.4</c:v>
                </c:pt>
                <c:pt idx="105">
                  <c:v>12.5</c:v>
                </c:pt>
                <c:pt idx="106">
                  <c:v>12.6</c:v>
                </c:pt>
                <c:pt idx="107">
                  <c:v>12.7</c:v>
                </c:pt>
                <c:pt idx="108">
                  <c:v>12.8</c:v>
                </c:pt>
                <c:pt idx="109">
                  <c:v>12.9</c:v>
                </c:pt>
                <c:pt idx="110">
                  <c:v>13</c:v>
                </c:pt>
                <c:pt idx="111">
                  <c:v>13.1</c:v>
                </c:pt>
                <c:pt idx="112">
                  <c:v>13.2</c:v>
                </c:pt>
                <c:pt idx="113">
                  <c:v>13.3</c:v>
                </c:pt>
                <c:pt idx="114">
                  <c:v>13.4</c:v>
                </c:pt>
                <c:pt idx="115">
                  <c:v>13.5</c:v>
                </c:pt>
                <c:pt idx="116">
                  <c:v>13.6</c:v>
                </c:pt>
                <c:pt idx="117">
                  <c:v>13.7</c:v>
                </c:pt>
                <c:pt idx="118">
                  <c:v>13.8</c:v>
                </c:pt>
                <c:pt idx="119">
                  <c:v>13.9</c:v>
                </c:pt>
                <c:pt idx="120">
                  <c:v>14</c:v>
                </c:pt>
                <c:pt idx="121">
                  <c:v>14.1</c:v>
                </c:pt>
                <c:pt idx="122">
                  <c:v>14.2</c:v>
                </c:pt>
                <c:pt idx="123">
                  <c:v>14.3</c:v>
                </c:pt>
                <c:pt idx="124">
                  <c:v>14.4</c:v>
                </c:pt>
                <c:pt idx="125">
                  <c:v>14.5</c:v>
                </c:pt>
                <c:pt idx="126">
                  <c:v>14.6</c:v>
                </c:pt>
                <c:pt idx="127">
                  <c:v>14.7</c:v>
                </c:pt>
                <c:pt idx="128">
                  <c:v>14.8</c:v>
                </c:pt>
                <c:pt idx="129">
                  <c:v>14.9</c:v>
                </c:pt>
                <c:pt idx="130">
                  <c:v>15</c:v>
                </c:pt>
                <c:pt idx="131">
                  <c:v>15.1</c:v>
                </c:pt>
                <c:pt idx="132">
                  <c:v>15.2</c:v>
                </c:pt>
                <c:pt idx="133">
                  <c:v>15.3</c:v>
                </c:pt>
                <c:pt idx="134">
                  <c:v>15.4</c:v>
                </c:pt>
                <c:pt idx="135">
                  <c:v>15.5</c:v>
                </c:pt>
                <c:pt idx="136">
                  <c:v>15.6</c:v>
                </c:pt>
                <c:pt idx="137">
                  <c:v>15.7</c:v>
                </c:pt>
                <c:pt idx="138">
                  <c:v>15.8</c:v>
                </c:pt>
                <c:pt idx="139">
                  <c:v>15.9</c:v>
                </c:pt>
                <c:pt idx="140">
                  <c:v>16</c:v>
                </c:pt>
                <c:pt idx="141">
                  <c:v>16.100000000000001</c:v>
                </c:pt>
                <c:pt idx="142">
                  <c:v>16.2</c:v>
                </c:pt>
                <c:pt idx="143">
                  <c:v>16.3</c:v>
                </c:pt>
                <c:pt idx="144">
                  <c:v>16.399999999999999</c:v>
                </c:pt>
                <c:pt idx="145">
                  <c:v>16.5</c:v>
                </c:pt>
                <c:pt idx="146">
                  <c:v>16.600000000000001</c:v>
                </c:pt>
                <c:pt idx="147">
                  <c:v>16.7</c:v>
                </c:pt>
                <c:pt idx="148">
                  <c:v>16.8</c:v>
                </c:pt>
                <c:pt idx="149">
                  <c:v>16.899999999999999</c:v>
                </c:pt>
                <c:pt idx="150">
                  <c:v>17</c:v>
                </c:pt>
                <c:pt idx="151">
                  <c:v>17.100000000000001</c:v>
                </c:pt>
                <c:pt idx="152">
                  <c:v>17.2</c:v>
                </c:pt>
                <c:pt idx="153">
                  <c:v>17.3</c:v>
                </c:pt>
                <c:pt idx="154">
                  <c:v>17.399999999999999</c:v>
                </c:pt>
                <c:pt idx="155">
                  <c:v>17.5</c:v>
                </c:pt>
                <c:pt idx="156">
                  <c:v>17.600000000000001</c:v>
                </c:pt>
                <c:pt idx="157">
                  <c:v>17.7</c:v>
                </c:pt>
                <c:pt idx="158">
                  <c:v>17.8</c:v>
                </c:pt>
                <c:pt idx="159">
                  <c:v>17.899999999999999</c:v>
                </c:pt>
                <c:pt idx="160">
                  <c:v>18</c:v>
                </c:pt>
                <c:pt idx="161">
                  <c:v>18.100000000000001</c:v>
                </c:pt>
                <c:pt idx="162">
                  <c:v>18.2</c:v>
                </c:pt>
                <c:pt idx="163">
                  <c:v>18.3</c:v>
                </c:pt>
                <c:pt idx="164">
                  <c:v>18.399999999999999</c:v>
                </c:pt>
                <c:pt idx="165">
                  <c:v>18.5</c:v>
                </c:pt>
                <c:pt idx="166">
                  <c:v>18.600000000000001</c:v>
                </c:pt>
                <c:pt idx="167">
                  <c:v>18.7</c:v>
                </c:pt>
                <c:pt idx="168">
                  <c:v>18.8</c:v>
                </c:pt>
                <c:pt idx="169">
                  <c:v>18.899999999999999</c:v>
                </c:pt>
                <c:pt idx="170">
                  <c:v>19</c:v>
                </c:pt>
                <c:pt idx="171">
                  <c:v>19.100000000000001</c:v>
                </c:pt>
                <c:pt idx="172">
                  <c:v>19.2</c:v>
                </c:pt>
                <c:pt idx="173">
                  <c:v>19.3</c:v>
                </c:pt>
                <c:pt idx="174">
                  <c:v>19.399999999999999</c:v>
                </c:pt>
                <c:pt idx="175">
                  <c:v>19.5</c:v>
                </c:pt>
                <c:pt idx="176">
                  <c:v>19.600000000000001</c:v>
                </c:pt>
                <c:pt idx="177">
                  <c:v>19.7</c:v>
                </c:pt>
                <c:pt idx="178">
                  <c:v>19.8</c:v>
                </c:pt>
                <c:pt idx="179">
                  <c:v>19.899999999999999</c:v>
                </c:pt>
                <c:pt idx="180">
                  <c:v>20</c:v>
                </c:pt>
                <c:pt idx="181">
                  <c:v>20.100000000000001</c:v>
                </c:pt>
                <c:pt idx="182">
                  <c:v>20.2</c:v>
                </c:pt>
                <c:pt idx="183">
                  <c:v>20.3</c:v>
                </c:pt>
                <c:pt idx="184">
                  <c:v>20.399999999999999</c:v>
                </c:pt>
                <c:pt idx="185">
                  <c:v>20.5</c:v>
                </c:pt>
                <c:pt idx="186">
                  <c:v>20.6</c:v>
                </c:pt>
                <c:pt idx="187">
                  <c:v>20.7</c:v>
                </c:pt>
                <c:pt idx="188">
                  <c:v>20.8</c:v>
                </c:pt>
                <c:pt idx="189">
                  <c:v>20.9</c:v>
                </c:pt>
                <c:pt idx="190">
                  <c:v>21</c:v>
                </c:pt>
                <c:pt idx="191">
                  <c:v>21.1</c:v>
                </c:pt>
                <c:pt idx="192">
                  <c:v>21.2</c:v>
                </c:pt>
                <c:pt idx="193">
                  <c:v>21.3</c:v>
                </c:pt>
                <c:pt idx="194">
                  <c:v>21.4</c:v>
                </c:pt>
                <c:pt idx="195">
                  <c:v>21.5</c:v>
                </c:pt>
                <c:pt idx="196">
                  <c:v>21.6</c:v>
                </c:pt>
                <c:pt idx="197">
                  <c:v>21.7</c:v>
                </c:pt>
                <c:pt idx="198">
                  <c:v>21.8</c:v>
                </c:pt>
                <c:pt idx="199">
                  <c:v>21.9</c:v>
                </c:pt>
                <c:pt idx="200">
                  <c:v>22</c:v>
                </c:pt>
                <c:pt idx="201">
                  <c:v>22.1</c:v>
                </c:pt>
                <c:pt idx="202">
                  <c:v>22.2</c:v>
                </c:pt>
                <c:pt idx="203">
                  <c:v>22.3</c:v>
                </c:pt>
                <c:pt idx="204">
                  <c:v>22.4</c:v>
                </c:pt>
                <c:pt idx="205">
                  <c:v>22.5</c:v>
                </c:pt>
                <c:pt idx="206">
                  <c:v>22.6</c:v>
                </c:pt>
                <c:pt idx="207">
                  <c:v>22.7</c:v>
                </c:pt>
                <c:pt idx="208">
                  <c:v>22.8</c:v>
                </c:pt>
                <c:pt idx="209">
                  <c:v>22.9</c:v>
                </c:pt>
                <c:pt idx="210">
                  <c:v>23</c:v>
                </c:pt>
                <c:pt idx="211">
                  <c:v>23.1</c:v>
                </c:pt>
                <c:pt idx="212">
                  <c:v>23.2</c:v>
                </c:pt>
                <c:pt idx="213">
                  <c:v>23.3</c:v>
                </c:pt>
                <c:pt idx="214">
                  <c:v>23.4</c:v>
                </c:pt>
                <c:pt idx="215">
                  <c:v>23.5</c:v>
                </c:pt>
                <c:pt idx="216">
                  <c:v>23.6</c:v>
                </c:pt>
                <c:pt idx="217">
                  <c:v>23.7</c:v>
                </c:pt>
                <c:pt idx="218">
                  <c:v>23.8</c:v>
                </c:pt>
                <c:pt idx="219">
                  <c:v>23.9</c:v>
                </c:pt>
                <c:pt idx="220">
                  <c:v>24</c:v>
                </c:pt>
                <c:pt idx="221">
                  <c:v>24.1</c:v>
                </c:pt>
                <c:pt idx="222">
                  <c:v>24.2</c:v>
                </c:pt>
                <c:pt idx="223">
                  <c:v>24.3</c:v>
                </c:pt>
                <c:pt idx="224">
                  <c:v>24.4</c:v>
                </c:pt>
                <c:pt idx="225">
                  <c:v>24.5</c:v>
                </c:pt>
                <c:pt idx="226">
                  <c:v>24.6</c:v>
                </c:pt>
                <c:pt idx="227">
                  <c:v>24.7</c:v>
                </c:pt>
                <c:pt idx="228">
                  <c:v>24.8</c:v>
                </c:pt>
                <c:pt idx="229">
                  <c:v>24.9</c:v>
                </c:pt>
                <c:pt idx="230">
                  <c:v>25</c:v>
                </c:pt>
                <c:pt idx="231">
                  <c:v>25.1</c:v>
                </c:pt>
                <c:pt idx="232">
                  <c:v>25.2</c:v>
                </c:pt>
                <c:pt idx="233">
                  <c:v>25.3</c:v>
                </c:pt>
                <c:pt idx="234">
                  <c:v>25.4</c:v>
                </c:pt>
                <c:pt idx="235">
                  <c:v>25.5</c:v>
                </c:pt>
                <c:pt idx="236">
                  <c:v>25.6</c:v>
                </c:pt>
                <c:pt idx="237">
                  <c:v>25.7</c:v>
                </c:pt>
                <c:pt idx="238">
                  <c:v>25.8</c:v>
                </c:pt>
                <c:pt idx="239">
                  <c:v>25.9</c:v>
                </c:pt>
                <c:pt idx="240">
                  <c:v>26</c:v>
                </c:pt>
                <c:pt idx="241">
                  <c:v>26.1</c:v>
                </c:pt>
                <c:pt idx="242">
                  <c:v>26.2</c:v>
                </c:pt>
                <c:pt idx="243">
                  <c:v>26.3</c:v>
                </c:pt>
                <c:pt idx="244">
                  <c:v>26.4</c:v>
                </c:pt>
                <c:pt idx="245">
                  <c:v>26.5</c:v>
                </c:pt>
                <c:pt idx="246">
                  <c:v>26.6</c:v>
                </c:pt>
                <c:pt idx="247">
                  <c:v>26.7</c:v>
                </c:pt>
                <c:pt idx="248">
                  <c:v>26.8</c:v>
                </c:pt>
                <c:pt idx="249">
                  <c:v>26.9</c:v>
                </c:pt>
                <c:pt idx="250">
                  <c:v>27</c:v>
                </c:pt>
                <c:pt idx="251">
                  <c:v>27.1</c:v>
                </c:pt>
                <c:pt idx="252">
                  <c:v>27.2</c:v>
                </c:pt>
              </c:numCache>
            </c:numRef>
          </c:cat>
          <c:val>
            <c:numRef>
              <c:f>'07-10-2021'!$AN$3:$AN$255</c:f>
              <c:numCache>
                <c:formatCode>0.000</c:formatCode>
                <c:ptCount val="253"/>
                <c:pt idx="0">
                  <c:v>6.7785000000000002</c:v>
                </c:pt>
                <c:pt idx="1">
                  <c:v>10.08</c:v>
                </c:pt>
                <c:pt idx="2">
                  <c:v>15.295</c:v>
                </c:pt>
                <c:pt idx="3">
                  <c:v>22.59</c:v>
                </c:pt>
                <c:pt idx="4">
                  <c:v>30.93</c:v>
                </c:pt>
                <c:pt idx="5">
                  <c:v>38.58</c:v>
                </c:pt>
                <c:pt idx="6">
                  <c:v>45.18</c:v>
                </c:pt>
                <c:pt idx="7">
                  <c:v>48.66</c:v>
                </c:pt>
                <c:pt idx="8">
                  <c:v>44.835000000000001</c:v>
                </c:pt>
                <c:pt idx="9">
                  <c:v>53.87</c:v>
                </c:pt>
                <c:pt idx="10">
                  <c:v>59.44</c:v>
                </c:pt>
                <c:pt idx="11">
                  <c:v>63.61</c:v>
                </c:pt>
                <c:pt idx="12">
                  <c:v>62.91</c:v>
                </c:pt>
                <c:pt idx="13">
                  <c:v>62.91</c:v>
                </c:pt>
                <c:pt idx="14">
                  <c:v>64.650000000000006</c:v>
                </c:pt>
                <c:pt idx="15">
                  <c:v>66.739999999999995</c:v>
                </c:pt>
                <c:pt idx="16">
                  <c:v>67.09</c:v>
                </c:pt>
                <c:pt idx="17">
                  <c:v>75.775000000000006</c:v>
                </c:pt>
                <c:pt idx="18">
                  <c:v>91.064999999999998</c:v>
                </c:pt>
                <c:pt idx="19">
                  <c:v>101.8</c:v>
                </c:pt>
                <c:pt idx="20">
                  <c:v>113.1</c:v>
                </c:pt>
                <c:pt idx="21">
                  <c:v>115</c:v>
                </c:pt>
                <c:pt idx="22">
                  <c:v>100.455</c:v>
                </c:pt>
                <c:pt idx="23">
                  <c:v>86.55</c:v>
                </c:pt>
                <c:pt idx="24">
                  <c:v>156.69999999999999</c:v>
                </c:pt>
                <c:pt idx="25">
                  <c:v>157.80000000000001</c:v>
                </c:pt>
                <c:pt idx="26">
                  <c:v>159.15</c:v>
                </c:pt>
                <c:pt idx="27">
                  <c:v>159.69999999999999</c:v>
                </c:pt>
                <c:pt idx="28">
                  <c:v>160.19999999999999</c:v>
                </c:pt>
                <c:pt idx="29">
                  <c:v>159.19999999999999</c:v>
                </c:pt>
                <c:pt idx="30">
                  <c:v>156.89999999999998</c:v>
                </c:pt>
                <c:pt idx="31">
                  <c:v>150.44999999999999</c:v>
                </c:pt>
                <c:pt idx="32">
                  <c:v>135.35</c:v>
                </c:pt>
                <c:pt idx="33">
                  <c:v>125.1</c:v>
                </c:pt>
                <c:pt idx="34">
                  <c:v>128.05000000000001</c:v>
                </c:pt>
                <c:pt idx="35">
                  <c:v>85.664999999999992</c:v>
                </c:pt>
                <c:pt idx="36">
                  <c:v>27.46</c:v>
                </c:pt>
                <c:pt idx="37">
                  <c:v>23.98</c:v>
                </c:pt>
                <c:pt idx="38">
                  <c:v>22.59</c:v>
                </c:pt>
                <c:pt idx="39">
                  <c:v>22.59</c:v>
                </c:pt>
                <c:pt idx="40">
                  <c:v>22.59</c:v>
                </c:pt>
                <c:pt idx="41">
                  <c:v>22.59</c:v>
                </c:pt>
                <c:pt idx="42">
                  <c:v>25.37</c:v>
                </c:pt>
                <c:pt idx="43">
                  <c:v>40.664999999999999</c:v>
                </c:pt>
                <c:pt idx="44">
                  <c:v>117.1</c:v>
                </c:pt>
                <c:pt idx="45">
                  <c:v>151.5</c:v>
                </c:pt>
                <c:pt idx="46">
                  <c:v>154.30000000000001</c:v>
                </c:pt>
                <c:pt idx="47">
                  <c:v>156</c:v>
                </c:pt>
                <c:pt idx="48">
                  <c:v>157.1</c:v>
                </c:pt>
                <c:pt idx="49">
                  <c:v>158.1</c:v>
                </c:pt>
                <c:pt idx="50">
                  <c:v>158.5</c:v>
                </c:pt>
                <c:pt idx="51">
                  <c:v>159.69999999999999</c:v>
                </c:pt>
                <c:pt idx="52">
                  <c:v>160.5</c:v>
                </c:pt>
                <c:pt idx="53">
                  <c:v>161.39999999999998</c:v>
                </c:pt>
                <c:pt idx="54">
                  <c:v>162.6</c:v>
                </c:pt>
                <c:pt idx="55">
                  <c:v>163.5</c:v>
                </c:pt>
                <c:pt idx="56">
                  <c:v>164.7</c:v>
                </c:pt>
                <c:pt idx="57">
                  <c:v>165.8</c:v>
                </c:pt>
                <c:pt idx="58">
                  <c:v>166.5</c:v>
                </c:pt>
                <c:pt idx="59">
                  <c:v>167.35</c:v>
                </c:pt>
                <c:pt idx="60">
                  <c:v>168.2</c:v>
                </c:pt>
                <c:pt idx="61">
                  <c:v>169.2</c:v>
                </c:pt>
                <c:pt idx="62">
                  <c:v>170.3</c:v>
                </c:pt>
                <c:pt idx="63">
                  <c:v>171.3</c:v>
                </c:pt>
                <c:pt idx="64">
                  <c:v>172</c:v>
                </c:pt>
                <c:pt idx="65">
                  <c:v>173.8</c:v>
                </c:pt>
                <c:pt idx="66">
                  <c:v>174.4</c:v>
                </c:pt>
                <c:pt idx="67">
                  <c:v>176.2</c:v>
                </c:pt>
                <c:pt idx="68">
                  <c:v>176.9</c:v>
                </c:pt>
                <c:pt idx="69">
                  <c:v>177.9</c:v>
                </c:pt>
                <c:pt idx="70">
                  <c:v>179</c:v>
                </c:pt>
                <c:pt idx="71">
                  <c:v>180.2</c:v>
                </c:pt>
                <c:pt idx="72">
                  <c:v>181.25</c:v>
                </c:pt>
                <c:pt idx="73">
                  <c:v>182.1</c:v>
                </c:pt>
                <c:pt idx="74">
                  <c:v>183.5</c:v>
                </c:pt>
                <c:pt idx="75">
                  <c:v>185.2</c:v>
                </c:pt>
                <c:pt idx="76">
                  <c:v>186.6</c:v>
                </c:pt>
                <c:pt idx="77">
                  <c:v>188.7</c:v>
                </c:pt>
                <c:pt idx="78">
                  <c:v>190.1</c:v>
                </c:pt>
                <c:pt idx="79">
                  <c:v>191.5</c:v>
                </c:pt>
                <c:pt idx="80">
                  <c:v>192.9</c:v>
                </c:pt>
                <c:pt idx="81">
                  <c:v>195.7</c:v>
                </c:pt>
                <c:pt idx="82">
                  <c:v>197</c:v>
                </c:pt>
                <c:pt idx="83">
                  <c:v>197.7</c:v>
                </c:pt>
                <c:pt idx="84">
                  <c:v>199.1</c:v>
                </c:pt>
                <c:pt idx="85">
                  <c:v>200.2</c:v>
                </c:pt>
                <c:pt idx="86">
                  <c:v>201.75</c:v>
                </c:pt>
                <c:pt idx="87">
                  <c:v>203</c:v>
                </c:pt>
                <c:pt idx="88">
                  <c:v>204</c:v>
                </c:pt>
                <c:pt idx="89">
                  <c:v>204.7</c:v>
                </c:pt>
                <c:pt idx="90">
                  <c:v>205.55</c:v>
                </c:pt>
                <c:pt idx="91">
                  <c:v>206.4</c:v>
                </c:pt>
                <c:pt idx="92">
                  <c:v>207.3</c:v>
                </c:pt>
                <c:pt idx="93">
                  <c:v>207.5</c:v>
                </c:pt>
                <c:pt idx="94">
                  <c:v>208.2</c:v>
                </c:pt>
                <c:pt idx="95">
                  <c:v>209.05</c:v>
                </c:pt>
                <c:pt idx="96">
                  <c:v>208.9</c:v>
                </c:pt>
                <c:pt idx="97">
                  <c:v>209.6</c:v>
                </c:pt>
                <c:pt idx="98">
                  <c:v>210.10000000000002</c:v>
                </c:pt>
                <c:pt idx="99">
                  <c:v>209.9</c:v>
                </c:pt>
                <c:pt idx="100">
                  <c:v>210.6</c:v>
                </c:pt>
                <c:pt idx="101">
                  <c:v>210.45</c:v>
                </c:pt>
                <c:pt idx="102">
                  <c:v>210.3</c:v>
                </c:pt>
                <c:pt idx="103">
                  <c:v>210.6</c:v>
                </c:pt>
                <c:pt idx="104">
                  <c:v>210.9</c:v>
                </c:pt>
                <c:pt idx="105">
                  <c:v>210.9</c:v>
                </c:pt>
                <c:pt idx="106">
                  <c:v>211.3</c:v>
                </c:pt>
                <c:pt idx="107">
                  <c:v>210.9</c:v>
                </c:pt>
                <c:pt idx="108">
                  <c:v>211.3</c:v>
                </c:pt>
                <c:pt idx="109">
                  <c:v>211.10000000000002</c:v>
                </c:pt>
                <c:pt idx="110">
                  <c:v>210.9</c:v>
                </c:pt>
                <c:pt idx="111">
                  <c:v>211.6</c:v>
                </c:pt>
                <c:pt idx="112">
                  <c:v>211.3</c:v>
                </c:pt>
                <c:pt idx="113">
                  <c:v>211.3</c:v>
                </c:pt>
                <c:pt idx="114">
                  <c:v>211.8</c:v>
                </c:pt>
                <c:pt idx="115">
                  <c:v>211.3</c:v>
                </c:pt>
                <c:pt idx="116">
                  <c:v>211.8</c:v>
                </c:pt>
                <c:pt idx="117">
                  <c:v>211.6</c:v>
                </c:pt>
                <c:pt idx="118">
                  <c:v>211.6</c:v>
                </c:pt>
                <c:pt idx="119">
                  <c:v>211.8</c:v>
                </c:pt>
                <c:pt idx="120">
                  <c:v>211.6</c:v>
                </c:pt>
                <c:pt idx="121">
                  <c:v>211.6</c:v>
                </c:pt>
                <c:pt idx="122">
                  <c:v>212</c:v>
                </c:pt>
                <c:pt idx="123">
                  <c:v>211.6</c:v>
                </c:pt>
                <c:pt idx="124">
                  <c:v>211.8</c:v>
                </c:pt>
                <c:pt idx="125">
                  <c:v>211.6</c:v>
                </c:pt>
                <c:pt idx="126">
                  <c:v>211.6</c:v>
                </c:pt>
                <c:pt idx="127">
                  <c:v>212</c:v>
                </c:pt>
                <c:pt idx="128">
                  <c:v>211.8</c:v>
                </c:pt>
                <c:pt idx="129">
                  <c:v>211.3</c:v>
                </c:pt>
                <c:pt idx="130">
                  <c:v>211.8</c:v>
                </c:pt>
                <c:pt idx="131">
                  <c:v>211.6</c:v>
                </c:pt>
                <c:pt idx="132">
                  <c:v>212.15</c:v>
                </c:pt>
                <c:pt idx="133">
                  <c:v>211.6</c:v>
                </c:pt>
                <c:pt idx="134">
                  <c:v>211.6</c:v>
                </c:pt>
                <c:pt idx="135">
                  <c:v>212.15</c:v>
                </c:pt>
                <c:pt idx="136">
                  <c:v>211.6</c:v>
                </c:pt>
                <c:pt idx="137">
                  <c:v>212</c:v>
                </c:pt>
                <c:pt idx="138">
                  <c:v>211.6</c:v>
                </c:pt>
                <c:pt idx="139">
                  <c:v>211.6</c:v>
                </c:pt>
                <c:pt idx="140">
                  <c:v>212</c:v>
                </c:pt>
                <c:pt idx="141">
                  <c:v>211.3</c:v>
                </c:pt>
                <c:pt idx="142">
                  <c:v>211.8</c:v>
                </c:pt>
                <c:pt idx="143">
                  <c:v>211.6</c:v>
                </c:pt>
                <c:pt idx="144">
                  <c:v>211.8</c:v>
                </c:pt>
                <c:pt idx="145">
                  <c:v>211.6</c:v>
                </c:pt>
                <c:pt idx="146">
                  <c:v>211.3</c:v>
                </c:pt>
                <c:pt idx="147">
                  <c:v>211.8</c:v>
                </c:pt>
                <c:pt idx="148">
                  <c:v>211.3</c:v>
                </c:pt>
                <c:pt idx="149">
                  <c:v>211.3</c:v>
                </c:pt>
                <c:pt idx="150">
                  <c:v>204.7</c:v>
                </c:pt>
                <c:pt idx="151">
                  <c:v>190.8</c:v>
                </c:pt>
                <c:pt idx="152">
                  <c:v>166.8</c:v>
                </c:pt>
                <c:pt idx="153">
                  <c:v>155.30000000000001</c:v>
                </c:pt>
                <c:pt idx="154">
                  <c:v>148.69999999999999</c:v>
                </c:pt>
                <c:pt idx="155">
                  <c:v>148.4</c:v>
                </c:pt>
                <c:pt idx="156">
                  <c:v>153.9</c:v>
                </c:pt>
                <c:pt idx="157">
                  <c:v>145.6</c:v>
                </c:pt>
                <c:pt idx="158">
                  <c:v>146.6</c:v>
                </c:pt>
                <c:pt idx="159">
                  <c:v>144.19999999999999</c:v>
                </c:pt>
                <c:pt idx="160">
                  <c:v>144.94999999999999</c:v>
                </c:pt>
                <c:pt idx="161">
                  <c:v>148.19999999999999</c:v>
                </c:pt>
                <c:pt idx="162">
                  <c:v>147.69999999999999</c:v>
                </c:pt>
                <c:pt idx="163">
                  <c:v>150.15</c:v>
                </c:pt>
                <c:pt idx="164">
                  <c:v>155.30000000000001</c:v>
                </c:pt>
                <c:pt idx="165">
                  <c:v>161.6</c:v>
                </c:pt>
                <c:pt idx="166">
                  <c:v>164.55</c:v>
                </c:pt>
                <c:pt idx="167">
                  <c:v>164.9</c:v>
                </c:pt>
                <c:pt idx="168">
                  <c:v>164.2</c:v>
                </c:pt>
                <c:pt idx="169">
                  <c:v>165.1</c:v>
                </c:pt>
                <c:pt idx="170">
                  <c:v>164.4</c:v>
                </c:pt>
                <c:pt idx="171">
                  <c:v>164</c:v>
                </c:pt>
                <c:pt idx="172">
                  <c:v>164.4</c:v>
                </c:pt>
                <c:pt idx="173">
                  <c:v>164</c:v>
                </c:pt>
                <c:pt idx="174">
                  <c:v>164</c:v>
                </c:pt>
                <c:pt idx="175">
                  <c:v>164.4</c:v>
                </c:pt>
                <c:pt idx="176">
                  <c:v>163.69999999999999</c:v>
                </c:pt>
                <c:pt idx="177">
                  <c:v>163.69999999999999</c:v>
                </c:pt>
                <c:pt idx="178">
                  <c:v>163.30000000000001</c:v>
                </c:pt>
                <c:pt idx="179">
                  <c:v>163.30000000000001</c:v>
                </c:pt>
                <c:pt idx="180">
                  <c:v>163</c:v>
                </c:pt>
                <c:pt idx="181">
                  <c:v>162.6</c:v>
                </c:pt>
                <c:pt idx="182">
                  <c:v>162.6</c:v>
                </c:pt>
                <c:pt idx="183">
                  <c:v>163</c:v>
                </c:pt>
                <c:pt idx="184">
                  <c:v>163.15</c:v>
                </c:pt>
                <c:pt idx="185">
                  <c:v>163.15</c:v>
                </c:pt>
                <c:pt idx="186">
                  <c:v>163.30000000000001</c:v>
                </c:pt>
                <c:pt idx="187">
                  <c:v>163.69999999999999</c:v>
                </c:pt>
                <c:pt idx="188">
                  <c:v>164.05</c:v>
                </c:pt>
                <c:pt idx="189">
                  <c:v>163.69999999999999</c:v>
                </c:pt>
                <c:pt idx="190">
                  <c:v>164.4</c:v>
                </c:pt>
                <c:pt idx="191">
                  <c:v>164.2</c:v>
                </c:pt>
                <c:pt idx="192">
                  <c:v>164.4</c:v>
                </c:pt>
                <c:pt idx="193">
                  <c:v>164.7</c:v>
                </c:pt>
                <c:pt idx="194">
                  <c:v>164.2</c:v>
                </c:pt>
                <c:pt idx="195">
                  <c:v>165.8</c:v>
                </c:pt>
                <c:pt idx="196">
                  <c:v>164.4</c:v>
                </c:pt>
                <c:pt idx="197">
                  <c:v>164.89999999999998</c:v>
                </c:pt>
                <c:pt idx="198">
                  <c:v>165.8</c:v>
                </c:pt>
                <c:pt idx="199">
                  <c:v>165.25</c:v>
                </c:pt>
                <c:pt idx="200">
                  <c:v>166.45</c:v>
                </c:pt>
                <c:pt idx="201">
                  <c:v>165.95</c:v>
                </c:pt>
                <c:pt idx="202">
                  <c:v>165.8</c:v>
                </c:pt>
                <c:pt idx="203">
                  <c:v>164.7</c:v>
                </c:pt>
                <c:pt idx="204">
                  <c:v>119.9</c:v>
                </c:pt>
                <c:pt idx="205">
                  <c:v>98.72</c:v>
                </c:pt>
                <c:pt idx="206">
                  <c:v>93.5</c:v>
                </c:pt>
                <c:pt idx="207">
                  <c:v>91.76</c:v>
                </c:pt>
                <c:pt idx="208">
                  <c:v>16.329999999999998</c:v>
                </c:pt>
                <c:pt idx="209">
                  <c:v>14.77</c:v>
                </c:pt>
                <c:pt idx="210">
                  <c:v>15.815</c:v>
                </c:pt>
                <c:pt idx="211">
                  <c:v>15.64</c:v>
                </c:pt>
                <c:pt idx="212">
                  <c:v>16.335000000000001</c:v>
                </c:pt>
                <c:pt idx="213">
                  <c:v>15.984999999999999</c:v>
                </c:pt>
                <c:pt idx="214">
                  <c:v>15.99</c:v>
                </c:pt>
                <c:pt idx="215">
                  <c:v>15.99</c:v>
                </c:pt>
                <c:pt idx="216">
                  <c:v>16.504999999999999</c:v>
                </c:pt>
                <c:pt idx="217">
                  <c:v>16.504999999999999</c:v>
                </c:pt>
                <c:pt idx="218">
                  <c:v>16.329999999999998</c:v>
                </c:pt>
                <c:pt idx="219">
                  <c:v>15.64</c:v>
                </c:pt>
                <c:pt idx="220">
                  <c:v>15.64</c:v>
                </c:pt>
                <c:pt idx="221">
                  <c:v>15.99</c:v>
                </c:pt>
                <c:pt idx="222">
                  <c:v>15.815000000000001</c:v>
                </c:pt>
                <c:pt idx="223">
                  <c:v>16.329999999999998</c:v>
                </c:pt>
                <c:pt idx="224">
                  <c:v>16.329999999999998</c:v>
                </c:pt>
                <c:pt idx="225">
                  <c:v>16.68</c:v>
                </c:pt>
                <c:pt idx="226">
                  <c:v>19.11</c:v>
                </c:pt>
                <c:pt idx="227">
                  <c:v>25.02</c:v>
                </c:pt>
                <c:pt idx="228">
                  <c:v>61.87</c:v>
                </c:pt>
                <c:pt idx="229">
                  <c:v>66.384999999999991</c:v>
                </c:pt>
                <c:pt idx="230">
                  <c:v>64.650000000000006</c:v>
                </c:pt>
                <c:pt idx="231">
                  <c:v>62.394999999999996</c:v>
                </c:pt>
                <c:pt idx="232">
                  <c:v>65.694999999999993</c:v>
                </c:pt>
                <c:pt idx="233">
                  <c:v>64.125</c:v>
                </c:pt>
                <c:pt idx="234">
                  <c:v>62.22</c:v>
                </c:pt>
                <c:pt idx="235">
                  <c:v>60.129999999999995</c:v>
                </c:pt>
                <c:pt idx="236">
                  <c:v>62.045000000000002</c:v>
                </c:pt>
                <c:pt idx="237">
                  <c:v>61.17</c:v>
                </c:pt>
                <c:pt idx="238">
                  <c:v>59.09</c:v>
                </c:pt>
                <c:pt idx="239">
                  <c:v>57.35</c:v>
                </c:pt>
                <c:pt idx="240">
                  <c:v>55.27</c:v>
                </c:pt>
                <c:pt idx="241">
                  <c:v>53.87</c:v>
                </c:pt>
                <c:pt idx="242">
                  <c:v>52.14</c:v>
                </c:pt>
                <c:pt idx="243">
                  <c:v>50.75</c:v>
                </c:pt>
                <c:pt idx="244">
                  <c:v>49.01</c:v>
                </c:pt>
                <c:pt idx="245">
                  <c:v>47.62</c:v>
                </c:pt>
                <c:pt idx="246">
                  <c:v>46.23</c:v>
                </c:pt>
                <c:pt idx="247">
                  <c:v>44.84</c:v>
                </c:pt>
                <c:pt idx="248">
                  <c:v>43.45</c:v>
                </c:pt>
                <c:pt idx="249">
                  <c:v>42.06</c:v>
                </c:pt>
                <c:pt idx="250">
                  <c:v>40.67</c:v>
                </c:pt>
                <c:pt idx="251">
                  <c:v>39.28</c:v>
                </c:pt>
                <c:pt idx="252">
                  <c:v>37.89</c:v>
                </c:pt>
              </c:numCache>
            </c:numRef>
          </c:val>
          <c:smooth val="0"/>
          <c:extLst>
            <c:ext xmlns:c16="http://schemas.microsoft.com/office/drawing/2014/chart" uri="{C3380CC4-5D6E-409C-BE32-E72D297353CC}">
              <c16:uniqueId val="{00000001-DF75-4944-9801-7071FFBAD279}"/>
            </c:ext>
          </c:extLst>
        </c:ser>
        <c:dLbls>
          <c:showLegendKey val="0"/>
          <c:showVal val="0"/>
          <c:showCatName val="0"/>
          <c:showSerName val="0"/>
          <c:showPercent val="0"/>
          <c:showBubbleSize val="0"/>
        </c:dLbls>
        <c:marker val="1"/>
        <c:smooth val="0"/>
        <c:axId val="1347223599"/>
        <c:axId val="1347205711"/>
      </c:lineChart>
      <c:catAx>
        <c:axId val="1347222767"/>
        <c:scaling>
          <c:orientation val="minMax"/>
        </c:scaling>
        <c:delete val="0"/>
        <c:axPos val="b"/>
        <c:numFmt formatCode="0" sourceLinked="0"/>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347216943"/>
        <c:crosses val="autoZero"/>
        <c:auto val="1"/>
        <c:lblAlgn val="ctr"/>
        <c:lblOffset val="100"/>
        <c:tickLblSkip val="10"/>
        <c:tickMarkSkip val="10"/>
        <c:noMultiLvlLbl val="0"/>
      </c:catAx>
      <c:valAx>
        <c:axId val="1347216943"/>
        <c:scaling>
          <c:orientation val="minMax"/>
        </c:scaling>
        <c:delete val="0"/>
        <c:axPos val="l"/>
        <c:numFmt formatCode="0" sourceLinked="0"/>
        <c:majorTickMark val="out"/>
        <c:minorTickMark val="none"/>
        <c:tickLblPos val="nextTo"/>
        <c:spPr>
          <a:noFill/>
          <a:ln w="3175">
            <a:solidFill>
              <a:srgbClr val="FF0000"/>
            </a:solidFill>
          </a:ln>
          <a:effectLst/>
        </c:spPr>
        <c:txPr>
          <a:bodyPr rot="-60000000" spcFirstLastPara="1" vertOverflow="ellipsis" vert="horz" wrap="square" anchor="ctr" anchorCtr="1"/>
          <a:lstStyle/>
          <a:p>
            <a:pPr>
              <a:defRPr sz="1000" b="0" i="0" u="none" strike="noStrike" kern="1200" baseline="0">
                <a:solidFill>
                  <a:srgbClr val="FF0000"/>
                </a:solidFill>
                <a:latin typeface="Garamond" panose="02020404030301010803" pitchFamily="18" charset="0"/>
                <a:ea typeface="+mn-ea"/>
                <a:cs typeface="+mn-cs"/>
              </a:defRPr>
            </a:pPr>
            <a:endParaRPr lang="sr-Latn-RS"/>
          </a:p>
        </c:txPr>
        <c:crossAx val="1347222767"/>
        <c:crosses val="autoZero"/>
        <c:crossBetween val="between"/>
      </c:valAx>
      <c:valAx>
        <c:axId val="1347205711"/>
        <c:scaling>
          <c:orientation val="minMax"/>
        </c:scaling>
        <c:delete val="0"/>
        <c:axPos val="r"/>
        <c:numFmt formatCode="0" sourceLinked="0"/>
        <c:majorTickMark val="out"/>
        <c:minorTickMark val="none"/>
        <c:tickLblPos val="nextTo"/>
        <c:spPr>
          <a:noFill/>
          <a:ln w="3175">
            <a:solidFill>
              <a:srgbClr val="0000FF"/>
            </a:solidFill>
          </a:ln>
          <a:effectLst/>
        </c:spPr>
        <c:txPr>
          <a:bodyPr rot="-60000000" spcFirstLastPara="1" vertOverflow="ellipsis" vert="horz" wrap="square" anchor="ctr" anchorCtr="1"/>
          <a:lstStyle/>
          <a:p>
            <a:pPr>
              <a:defRPr sz="1000" b="0" i="0" u="none" strike="noStrike" kern="1200" baseline="0">
                <a:solidFill>
                  <a:srgbClr val="0000FF"/>
                </a:solidFill>
                <a:latin typeface="Garamond" panose="02020404030301010803" pitchFamily="18" charset="0"/>
                <a:ea typeface="+mn-ea"/>
                <a:cs typeface="+mn-cs"/>
              </a:defRPr>
            </a:pPr>
            <a:endParaRPr lang="sr-Latn-RS"/>
          </a:p>
        </c:txPr>
        <c:crossAx val="1347223599"/>
        <c:crosses val="max"/>
        <c:crossBetween val="between"/>
      </c:valAx>
      <c:catAx>
        <c:axId val="1347223599"/>
        <c:scaling>
          <c:orientation val="minMax"/>
        </c:scaling>
        <c:delete val="1"/>
        <c:axPos val="b"/>
        <c:numFmt formatCode="0.0000" sourceLinked="1"/>
        <c:majorTickMark val="out"/>
        <c:minorTickMark val="none"/>
        <c:tickLblPos val="nextTo"/>
        <c:crossAx val="1347205711"/>
        <c:crosses val="autoZero"/>
        <c:auto val="1"/>
        <c:lblAlgn val="ctr"/>
        <c:lblOffset val="100"/>
        <c:noMultiLvlLbl val="0"/>
      </c:catAx>
      <c:spPr>
        <a:noFill/>
        <a:ln w="3175">
          <a:noFill/>
        </a:ln>
        <a:effectLst/>
      </c:spPr>
    </c:plotArea>
    <c:legend>
      <c:legendPos val="b"/>
      <c:layout>
        <c:manualLayout>
          <c:xMode val="edge"/>
          <c:yMode val="edge"/>
          <c:x val="0.26751242335984171"/>
          <c:y val="3.8703575551887151E-2"/>
          <c:w val="0.69012699434504887"/>
          <c:h val="7.7634773908238516E-2"/>
        </c:manualLayout>
      </c:layout>
      <c:overlay val="1"/>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Garamond" panose="02020404030301010803" pitchFamily="18" charset="0"/>
        </a:defRPr>
      </a:pPr>
      <a:endParaRPr lang="sr-Latn-R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128948092268129"/>
          <c:y val="5.3797114699321677E-2"/>
          <c:w val="0.75691158800203728"/>
          <c:h val="0.88690450854712066"/>
        </c:manualLayout>
      </c:layout>
      <c:barChart>
        <c:barDir val="bar"/>
        <c:grouping val="stacked"/>
        <c:varyColors val="0"/>
        <c:ser>
          <c:idx val="0"/>
          <c:order val="0"/>
          <c:tx>
            <c:strRef>
              <c:f>'14.10.2021'!$K$3</c:f>
              <c:strCache>
                <c:ptCount val="1"/>
                <c:pt idx="0">
                  <c:v>T1</c:v>
                </c:pt>
              </c:strCache>
            </c:strRef>
          </c:tx>
          <c:spPr>
            <a:noFill/>
            <a:ln w="3175">
              <a:solidFill>
                <a:srgbClr val="0000FF"/>
              </a:solidFill>
            </a:ln>
            <a:effectLst/>
          </c:spPr>
          <c:invertIfNegative val="0"/>
          <c:cat>
            <c:multiLvlStrRef>
              <c:f>'14.10.2021'!$B$4:$C$23</c:f>
              <c:multiLvlStrCache>
                <c:ptCount val="20"/>
                <c:lvl>
                  <c:pt idx="0">
                    <c:v>14.10.2021 16:57:45</c:v>
                  </c:pt>
                  <c:pt idx="1">
                    <c:v>14.10.2021 17:01:16</c:v>
                  </c:pt>
                  <c:pt idx="2">
                    <c:v>14.10.2021 17:04:51</c:v>
                  </c:pt>
                  <c:pt idx="3">
                    <c:v>14.10.2021 17:14:37</c:v>
                  </c:pt>
                  <c:pt idx="4">
                    <c:v>14.10.2021 17:17:26</c:v>
                  </c:pt>
                  <c:pt idx="5">
                    <c:v>14.10.2021 17:20:12</c:v>
                  </c:pt>
                  <c:pt idx="6">
                    <c:v>14.10.2021 17:22:55</c:v>
                  </c:pt>
                  <c:pt idx="7">
                    <c:v>14.10.2021 17:25:38</c:v>
                  </c:pt>
                  <c:pt idx="8">
                    <c:v>14.10.2021 17:28:19</c:v>
                  </c:pt>
                  <c:pt idx="9">
                    <c:v>14.10.2021 17:33:44</c:v>
                  </c:pt>
                  <c:pt idx="10">
                    <c:v>14.10.2021 17:36:29</c:v>
                  </c:pt>
                  <c:pt idx="11">
                    <c:v>14.10.2021 17:39:12</c:v>
                  </c:pt>
                  <c:pt idx="12">
                    <c:v>14.10.2021 17:41:58</c:v>
                  </c:pt>
                  <c:pt idx="13">
                    <c:v>14.10.2021 17:44:47</c:v>
                  </c:pt>
                  <c:pt idx="14">
                    <c:v>14.10.2021 17:47:27</c:v>
                  </c:pt>
                  <c:pt idx="15">
                    <c:v>14.10.2021 17:50:14</c:v>
                  </c:pt>
                  <c:pt idx="16">
                    <c:v>14.10.2021 17:52:58</c:v>
                  </c:pt>
                  <c:pt idx="17">
                    <c:v>14.10.2021 17:55:44</c:v>
                  </c:pt>
                  <c:pt idx="18">
                    <c:v>14.10.2021 17:58:30</c:v>
                  </c:pt>
                  <c:pt idx="19">
                    <c:v>14.10.2021 18:01:33</c:v>
                  </c:pt>
                </c:lvl>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lvl>
              </c:multiLvlStrCache>
            </c:multiLvlStrRef>
          </c:cat>
          <c:val>
            <c:numRef>
              <c:f>'14.10.2021'!$K$4:$K$23</c:f>
              <c:numCache>
                <c:formatCode>0.00</c:formatCode>
                <c:ptCount val="20"/>
                <c:pt idx="0">
                  <c:v>1.71</c:v>
                </c:pt>
                <c:pt idx="1">
                  <c:v>1.59</c:v>
                </c:pt>
                <c:pt idx="2">
                  <c:v>1.67</c:v>
                </c:pt>
                <c:pt idx="3">
                  <c:v>1.61</c:v>
                </c:pt>
                <c:pt idx="4">
                  <c:v>1.69</c:v>
                </c:pt>
                <c:pt idx="5">
                  <c:v>1.74</c:v>
                </c:pt>
                <c:pt idx="6">
                  <c:v>1.71</c:v>
                </c:pt>
                <c:pt idx="7">
                  <c:v>1.75</c:v>
                </c:pt>
                <c:pt idx="8">
                  <c:v>1.64</c:v>
                </c:pt>
                <c:pt idx="9">
                  <c:v>1.61</c:v>
                </c:pt>
                <c:pt idx="10">
                  <c:v>1.71</c:v>
                </c:pt>
                <c:pt idx="11">
                  <c:v>1.67</c:v>
                </c:pt>
                <c:pt idx="12">
                  <c:v>1.54</c:v>
                </c:pt>
                <c:pt idx="13">
                  <c:v>1.55</c:v>
                </c:pt>
                <c:pt idx="14">
                  <c:v>1.66</c:v>
                </c:pt>
                <c:pt idx="15">
                  <c:v>1.53</c:v>
                </c:pt>
                <c:pt idx="16">
                  <c:v>1.54</c:v>
                </c:pt>
                <c:pt idx="17">
                  <c:v>1.66</c:v>
                </c:pt>
                <c:pt idx="18">
                  <c:v>1.65</c:v>
                </c:pt>
                <c:pt idx="19">
                  <c:v>1.53</c:v>
                </c:pt>
              </c:numCache>
            </c:numRef>
          </c:val>
          <c:extLst>
            <c:ext xmlns:c16="http://schemas.microsoft.com/office/drawing/2014/chart" uri="{C3380CC4-5D6E-409C-BE32-E72D297353CC}">
              <c16:uniqueId val="{00000000-0163-4189-A8C7-E0D80A69955E}"/>
            </c:ext>
          </c:extLst>
        </c:ser>
        <c:ser>
          <c:idx val="1"/>
          <c:order val="1"/>
          <c:tx>
            <c:strRef>
              <c:f>'14.10.2021'!$L$3</c:f>
              <c:strCache>
                <c:ptCount val="1"/>
                <c:pt idx="0">
                  <c:v>T2</c:v>
                </c:pt>
              </c:strCache>
            </c:strRef>
          </c:tx>
          <c:spPr>
            <a:noFill/>
            <a:ln w="3175">
              <a:solidFill>
                <a:srgbClr val="FFC000"/>
              </a:solidFill>
            </a:ln>
            <a:effectLst/>
          </c:spPr>
          <c:invertIfNegative val="0"/>
          <c:cat>
            <c:multiLvlStrRef>
              <c:f>'14.10.2021'!$B$4:$C$23</c:f>
              <c:multiLvlStrCache>
                <c:ptCount val="20"/>
                <c:lvl>
                  <c:pt idx="0">
                    <c:v>14.10.2021 16:57:45</c:v>
                  </c:pt>
                  <c:pt idx="1">
                    <c:v>14.10.2021 17:01:16</c:v>
                  </c:pt>
                  <c:pt idx="2">
                    <c:v>14.10.2021 17:04:51</c:v>
                  </c:pt>
                  <c:pt idx="3">
                    <c:v>14.10.2021 17:14:37</c:v>
                  </c:pt>
                  <c:pt idx="4">
                    <c:v>14.10.2021 17:17:26</c:v>
                  </c:pt>
                  <c:pt idx="5">
                    <c:v>14.10.2021 17:20:12</c:v>
                  </c:pt>
                  <c:pt idx="6">
                    <c:v>14.10.2021 17:22:55</c:v>
                  </c:pt>
                  <c:pt idx="7">
                    <c:v>14.10.2021 17:25:38</c:v>
                  </c:pt>
                  <c:pt idx="8">
                    <c:v>14.10.2021 17:28:19</c:v>
                  </c:pt>
                  <c:pt idx="9">
                    <c:v>14.10.2021 17:33:44</c:v>
                  </c:pt>
                  <c:pt idx="10">
                    <c:v>14.10.2021 17:36:29</c:v>
                  </c:pt>
                  <c:pt idx="11">
                    <c:v>14.10.2021 17:39:12</c:v>
                  </c:pt>
                  <c:pt idx="12">
                    <c:v>14.10.2021 17:41:58</c:v>
                  </c:pt>
                  <c:pt idx="13">
                    <c:v>14.10.2021 17:44:47</c:v>
                  </c:pt>
                  <c:pt idx="14">
                    <c:v>14.10.2021 17:47:27</c:v>
                  </c:pt>
                  <c:pt idx="15">
                    <c:v>14.10.2021 17:50:14</c:v>
                  </c:pt>
                  <c:pt idx="16">
                    <c:v>14.10.2021 17:52:58</c:v>
                  </c:pt>
                  <c:pt idx="17">
                    <c:v>14.10.2021 17:55:44</c:v>
                  </c:pt>
                  <c:pt idx="18">
                    <c:v>14.10.2021 17:58:30</c:v>
                  </c:pt>
                  <c:pt idx="19">
                    <c:v>14.10.2021 18:01:33</c:v>
                  </c:pt>
                </c:lvl>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lvl>
              </c:multiLvlStrCache>
            </c:multiLvlStrRef>
          </c:cat>
          <c:val>
            <c:numRef>
              <c:f>'14.10.2021'!$L$4:$L$23</c:f>
              <c:numCache>
                <c:formatCode>0.00</c:formatCode>
                <c:ptCount val="20"/>
                <c:pt idx="0">
                  <c:v>2.9400000000000004</c:v>
                </c:pt>
                <c:pt idx="1">
                  <c:v>3.2</c:v>
                </c:pt>
                <c:pt idx="2">
                  <c:v>2.8</c:v>
                </c:pt>
                <c:pt idx="3">
                  <c:v>2.88</c:v>
                </c:pt>
                <c:pt idx="4">
                  <c:v>2.9499999999999997</c:v>
                </c:pt>
                <c:pt idx="5">
                  <c:v>2.8899999999999997</c:v>
                </c:pt>
                <c:pt idx="6">
                  <c:v>2.88</c:v>
                </c:pt>
                <c:pt idx="7">
                  <c:v>2.71</c:v>
                </c:pt>
                <c:pt idx="8">
                  <c:v>2.8200000000000003</c:v>
                </c:pt>
                <c:pt idx="9">
                  <c:v>2.9099999999999993</c:v>
                </c:pt>
                <c:pt idx="10">
                  <c:v>2.8499999999999996</c:v>
                </c:pt>
                <c:pt idx="11">
                  <c:v>2.9699999999999998</c:v>
                </c:pt>
                <c:pt idx="12">
                  <c:v>2.88</c:v>
                </c:pt>
                <c:pt idx="13">
                  <c:v>2.9800000000000004</c:v>
                </c:pt>
                <c:pt idx="14">
                  <c:v>2.84</c:v>
                </c:pt>
                <c:pt idx="15">
                  <c:v>2.95</c:v>
                </c:pt>
                <c:pt idx="16">
                  <c:v>2.91</c:v>
                </c:pt>
                <c:pt idx="17">
                  <c:v>2.96</c:v>
                </c:pt>
                <c:pt idx="18">
                  <c:v>2.8800000000000003</c:v>
                </c:pt>
                <c:pt idx="19">
                  <c:v>2.9899999999999993</c:v>
                </c:pt>
              </c:numCache>
            </c:numRef>
          </c:val>
          <c:extLst>
            <c:ext xmlns:c16="http://schemas.microsoft.com/office/drawing/2014/chart" uri="{C3380CC4-5D6E-409C-BE32-E72D297353CC}">
              <c16:uniqueId val="{00000001-0163-4189-A8C7-E0D80A69955E}"/>
            </c:ext>
          </c:extLst>
        </c:ser>
        <c:ser>
          <c:idx val="2"/>
          <c:order val="2"/>
          <c:tx>
            <c:strRef>
              <c:f>'14.10.2021'!$M$3</c:f>
              <c:strCache>
                <c:ptCount val="1"/>
                <c:pt idx="0">
                  <c:v>T3</c:v>
                </c:pt>
              </c:strCache>
            </c:strRef>
          </c:tx>
          <c:spPr>
            <a:noFill/>
            <a:ln w="3175">
              <a:solidFill>
                <a:srgbClr val="00B050"/>
              </a:solidFill>
            </a:ln>
            <a:effectLst/>
          </c:spPr>
          <c:invertIfNegative val="0"/>
          <c:cat>
            <c:multiLvlStrRef>
              <c:f>'14.10.2021'!$B$4:$C$23</c:f>
              <c:multiLvlStrCache>
                <c:ptCount val="20"/>
                <c:lvl>
                  <c:pt idx="0">
                    <c:v>14.10.2021 16:57:45</c:v>
                  </c:pt>
                  <c:pt idx="1">
                    <c:v>14.10.2021 17:01:16</c:v>
                  </c:pt>
                  <c:pt idx="2">
                    <c:v>14.10.2021 17:04:51</c:v>
                  </c:pt>
                  <c:pt idx="3">
                    <c:v>14.10.2021 17:14:37</c:v>
                  </c:pt>
                  <c:pt idx="4">
                    <c:v>14.10.2021 17:17:26</c:v>
                  </c:pt>
                  <c:pt idx="5">
                    <c:v>14.10.2021 17:20:12</c:v>
                  </c:pt>
                  <c:pt idx="6">
                    <c:v>14.10.2021 17:22:55</c:v>
                  </c:pt>
                  <c:pt idx="7">
                    <c:v>14.10.2021 17:25:38</c:v>
                  </c:pt>
                  <c:pt idx="8">
                    <c:v>14.10.2021 17:28:19</c:v>
                  </c:pt>
                  <c:pt idx="9">
                    <c:v>14.10.2021 17:33:44</c:v>
                  </c:pt>
                  <c:pt idx="10">
                    <c:v>14.10.2021 17:36:29</c:v>
                  </c:pt>
                  <c:pt idx="11">
                    <c:v>14.10.2021 17:39:12</c:v>
                  </c:pt>
                  <c:pt idx="12">
                    <c:v>14.10.2021 17:41:58</c:v>
                  </c:pt>
                  <c:pt idx="13">
                    <c:v>14.10.2021 17:44:47</c:v>
                  </c:pt>
                  <c:pt idx="14">
                    <c:v>14.10.2021 17:47:27</c:v>
                  </c:pt>
                  <c:pt idx="15">
                    <c:v>14.10.2021 17:50:14</c:v>
                  </c:pt>
                  <c:pt idx="16">
                    <c:v>14.10.2021 17:52:58</c:v>
                  </c:pt>
                  <c:pt idx="17">
                    <c:v>14.10.2021 17:55:44</c:v>
                  </c:pt>
                  <c:pt idx="18">
                    <c:v>14.10.2021 17:58:30</c:v>
                  </c:pt>
                  <c:pt idx="19">
                    <c:v>14.10.2021 18:01:33</c:v>
                  </c:pt>
                </c:lvl>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lvl>
              </c:multiLvlStrCache>
            </c:multiLvlStrRef>
          </c:cat>
          <c:val>
            <c:numRef>
              <c:f>'14.10.2021'!$M$4:$M$23</c:f>
              <c:numCache>
                <c:formatCode>0.00</c:formatCode>
                <c:ptCount val="20"/>
                <c:pt idx="0">
                  <c:v>7.27</c:v>
                </c:pt>
                <c:pt idx="1">
                  <c:v>7.0200000000000005</c:v>
                </c:pt>
                <c:pt idx="2">
                  <c:v>8.0500000000000007</c:v>
                </c:pt>
                <c:pt idx="3">
                  <c:v>8.23</c:v>
                </c:pt>
                <c:pt idx="4">
                  <c:v>7.88</c:v>
                </c:pt>
                <c:pt idx="5">
                  <c:v>8.1499999999999986</c:v>
                </c:pt>
                <c:pt idx="6">
                  <c:v>7.65</c:v>
                </c:pt>
                <c:pt idx="7">
                  <c:v>8.0799999999999983</c:v>
                </c:pt>
                <c:pt idx="8">
                  <c:v>7.6499999999999995</c:v>
                </c:pt>
                <c:pt idx="9">
                  <c:v>7.6900000000000013</c:v>
                </c:pt>
                <c:pt idx="10">
                  <c:v>7.56</c:v>
                </c:pt>
                <c:pt idx="11">
                  <c:v>7.8999999999999995</c:v>
                </c:pt>
                <c:pt idx="12">
                  <c:v>7.3000000000000007</c:v>
                </c:pt>
                <c:pt idx="13">
                  <c:v>7.6499999999999995</c:v>
                </c:pt>
                <c:pt idx="14">
                  <c:v>7.99</c:v>
                </c:pt>
                <c:pt idx="15">
                  <c:v>7.4399999999999995</c:v>
                </c:pt>
                <c:pt idx="16">
                  <c:v>7.9099999999999993</c:v>
                </c:pt>
                <c:pt idx="17">
                  <c:v>7.9999999999999991</c:v>
                </c:pt>
                <c:pt idx="18">
                  <c:v>7.7700000000000005</c:v>
                </c:pt>
                <c:pt idx="19">
                  <c:v>8.1100000000000012</c:v>
                </c:pt>
              </c:numCache>
            </c:numRef>
          </c:val>
          <c:extLst>
            <c:ext xmlns:c16="http://schemas.microsoft.com/office/drawing/2014/chart" uri="{C3380CC4-5D6E-409C-BE32-E72D297353CC}">
              <c16:uniqueId val="{00000002-0163-4189-A8C7-E0D80A69955E}"/>
            </c:ext>
          </c:extLst>
        </c:ser>
        <c:ser>
          <c:idx val="3"/>
          <c:order val="3"/>
          <c:tx>
            <c:strRef>
              <c:f>'14.10.2021'!$N$3</c:f>
              <c:strCache>
                <c:ptCount val="1"/>
                <c:pt idx="0">
                  <c:v>T4</c:v>
                </c:pt>
              </c:strCache>
            </c:strRef>
          </c:tx>
          <c:spPr>
            <a:noFill/>
            <a:ln w="3175">
              <a:solidFill>
                <a:srgbClr val="002060"/>
              </a:solidFill>
            </a:ln>
            <a:effectLst/>
          </c:spPr>
          <c:invertIfNegative val="0"/>
          <c:cat>
            <c:multiLvlStrRef>
              <c:f>'14.10.2021'!$B$4:$C$23</c:f>
              <c:multiLvlStrCache>
                <c:ptCount val="20"/>
                <c:lvl>
                  <c:pt idx="0">
                    <c:v>14.10.2021 16:57:45</c:v>
                  </c:pt>
                  <c:pt idx="1">
                    <c:v>14.10.2021 17:01:16</c:v>
                  </c:pt>
                  <c:pt idx="2">
                    <c:v>14.10.2021 17:04:51</c:v>
                  </c:pt>
                  <c:pt idx="3">
                    <c:v>14.10.2021 17:14:37</c:v>
                  </c:pt>
                  <c:pt idx="4">
                    <c:v>14.10.2021 17:17:26</c:v>
                  </c:pt>
                  <c:pt idx="5">
                    <c:v>14.10.2021 17:20:12</c:v>
                  </c:pt>
                  <c:pt idx="6">
                    <c:v>14.10.2021 17:22:55</c:v>
                  </c:pt>
                  <c:pt idx="7">
                    <c:v>14.10.2021 17:25:38</c:v>
                  </c:pt>
                  <c:pt idx="8">
                    <c:v>14.10.2021 17:28:19</c:v>
                  </c:pt>
                  <c:pt idx="9">
                    <c:v>14.10.2021 17:33:44</c:v>
                  </c:pt>
                  <c:pt idx="10">
                    <c:v>14.10.2021 17:36:29</c:v>
                  </c:pt>
                  <c:pt idx="11">
                    <c:v>14.10.2021 17:39:12</c:v>
                  </c:pt>
                  <c:pt idx="12">
                    <c:v>14.10.2021 17:41:58</c:v>
                  </c:pt>
                  <c:pt idx="13">
                    <c:v>14.10.2021 17:44:47</c:v>
                  </c:pt>
                  <c:pt idx="14">
                    <c:v>14.10.2021 17:47:27</c:v>
                  </c:pt>
                  <c:pt idx="15">
                    <c:v>14.10.2021 17:50:14</c:v>
                  </c:pt>
                  <c:pt idx="16">
                    <c:v>14.10.2021 17:52:58</c:v>
                  </c:pt>
                  <c:pt idx="17">
                    <c:v>14.10.2021 17:55:44</c:v>
                  </c:pt>
                  <c:pt idx="18">
                    <c:v>14.10.2021 17:58:30</c:v>
                  </c:pt>
                  <c:pt idx="19">
                    <c:v>14.10.2021 18:01:33</c:v>
                  </c:pt>
                </c:lvl>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lvl>
              </c:multiLvlStrCache>
            </c:multiLvlStrRef>
          </c:cat>
          <c:val>
            <c:numRef>
              <c:f>'14.10.2021'!$N$4:$N$23</c:f>
              <c:numCache>
                <c:formatCode>0.00</c:formatCode>
                <c:ptCount val="20"/>
                <c:pt idx="0">
                  <c:v>1.8800000000000008</c:v>
                </c:pt>
                <c:pt idx="1">
                  <c:v>1.3899999999999988</c:v>
                </c:pt>
                <c:pt idx="2">
                  <c:v>1.4500000000000011</c:v>
                </c:pt>
                <c:pt idx="3">
                  <c:v>1.33</c:v>
                </c:pt>
                <c:pt idx="4">
                  <c:v>1.4000000000000004</c:v>
                </c:pt>
                <c:pt idx="5">
                  <c:v>1.5899999999999999</c:v>
                </c:pt>
                <c:pt idx="6">
                  <c:v>1.5499999999999989</c:v>
                </c:pt>
                <c:pt idx="7">
                  <c:v>1.5700000000000003</c:v>
                </c:pt>
                <c:pt idx="8">
                  <c:v>1.4100000000000001</c:v>
                </c:pt>
                <c:pt idx="9">
                  <c:v>1.4899999999999984</c:v>
                </c:pt>
                <c:pt idx="10">
                  <c:v>1.4600000000000009</c:v>
                </c:pt>
                <c:pt idx="11">
                  <c:v>1.5300000000000011</c:v>
                </c:pt>
                <c:pt idx="12">
                  <c:v>1.3499999999999996</c:v>
                </c:pt>
                <c:pt idx="13">
                  <c:v>1.7400000000000002</c:v>
                </c:pt>
                <c:pt idx="14">
                  <c:v>1.5899999999999999</c:v>
                </c:pt>
                <c:pt idx="15">
                  <c:v>1.5299999999999994</c:v>
                </c:pt>
                <c:pt idx="16">
                  <c:v>1.1799999999999997</c:v>
                </c:pt>
                <c:pt idx="17">
                  <c:v>1.4300000000000015</c:v>
                </c:pt>
                <c:pt idx="18">
                  <c:v>1.5899999999999999</c:v>
                </c:pt>
                <c:pt idx="19">
                  <c:v>1.3899999999999988</c:v>
                </c:pt>
              </c:numCache>
            </c:numRef>
          </c:val>
          <c:extLst>
            <c:ext xmlns:c16="http://schemas.microsoft.com/office/drawing/2014/chart" uri="{C3380CC4-5D6E-409C-BE32-E72D297353CC}">
              <c16:uniqueId val="{00000003-0163-4189-A8C7-E0D80A69955E}"/>
            </c:ext>
          </c:extLst>
        </c:ser>
        <c:ser>
          <c:idx val="4"/>
          <c:order val="4"/>
          <c:tx>
            <c:strRef>
              <c:f>'14.10.2021'!$O$3</c:f>
              <c:strCache>
                <c:ptCount val="1"/>
                <c:pt idx="0">
                  <c:v>T5</c:v>
                </c:pt>
              </c:strCache>
            </c:strRef>
          </c:tx>
          <c:spPr>
            <a:noFill/>
            <a:ln w="6350">
              <a:solidFill>
                <a:srgbClr val="FF3300"/>
              </a:solidFill>
            </a:ln>
            <a:effectLst/>
          </c:spPr>
          <c:invertIfNegative val="0"/>
          <c:cat>
            <c:multiLvlStrRef>
              <c:f>'14.10.2021'!$B$4:$C$23</c:f>
              <c:multiLvlStrCache>
                <c:ptCount val="20"/>
                <c:lvl>
                  <c:pt idx="0">
                    <c:v>14.10.2021 16:57:45</c:v>
                  </c:pt>
                  <c:pt idx="1">
                    <c:v>14.10.2021 17:01:16</c:v>
                  </c:pt>
                  <c:pt idx="2">
                    <c:v>14.10.2021 17:04:51</c:v>
                  </c:pt>
                  <c:pt idx="3">
                    <c:v>14.10.2021 17:14:37</c:v>
                  </c:pt>
                  <c:pt idx="4">
                    <c:v>14.10.2021 17:17:26</c:v>
                  </c:pt>
                  <c:pt idx="5">
                    <c:v>14.10.2021 17:20:12</c:v>
                  </c:pt>
                  <c:pt idx="6">
                    <c:v>14.10.2021 17:22:55</c:v>
                  </c:pt>
                  <c:pt idx="7">
                    <c:v>14.10.2021 17:25:38</c:v>
                  </c:pt>
                  <c:pt idx="8">
                    <c:v>14.10.2021 17:28:19</c:v>
                  </c:pt>
                  <c:pt idx="9">
                    <c:v>14.10.2021 17:33:44</c:v>
                  </c:pt>
                  <c:pt idx="10">
                    <c:v>14.10.2021 17:36:29</c:v>
                  </c:pt>
                  <c:pt idx="11">
                    <c:v>14.10.2021 17:39:12</c:v>
                  </c:pt>
                  <c:pt idx="12">
                    <c:v>14.10.2021 17:41:58</c:v>
                  </c:pt>
                  <c:pt idx="13">
                    <c:v>14.10.2021 17:44:47</c:v>
                  </c:pt>
                  <c:pt idx="14">
                    <c:v>14.10.2021 17:47:27</c:v>
                  </c:pt>
                  <c:pt idx="15">
                    <c:v>14.10.2021 17:50:14</c:v>
                  </c:pt>
                  <c:pt idx="16">
                    <c:v>14.10.2021 17:52:58</c:v>
                  </c:pt>
                  <c:pt idx="17">
                    <c:v>14.10.2021 17:55:44</c:v>
                  </c:pt>
                  <c:pt idx="18">
                    <c:v>14.10.2021 17:58:30</c:v>
                  </c:pt>
                  <c:pt idx="19">
                    <c:v>14.10.2021 18:01:33</c:v>
                  </c:pt>
                </c:lvl>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lvl>
              </c:multiLvlStrCache>
            </c:multiLvlStrRef>
          </c:cat>
          <c:val>
            <c:numRef>
              <c:f>'14.10.2021'!$O$4:$O$23</c:f>
              <c:numCache>
                <c:formatCode>0.00</c:formatCode>
                <c:ptCount val="20"/>
                <c:pt idx="0">
                  <c:v>2.16</c:v>
                </c:pt>
                <c:pt idx="1">
                  <c:v>2.2900000000000009</c:v>
                </c:pt>
                <c:pt idx="2">
                  <c:v>2.1899999999999995</c:v>
                </c:pt>
                <c:pt idx="3">
                  <c:v>2.2199999999999989</c:v>
                </c:pt>
                <c:pt idx="4">
                  <c:v>2.3199999999999985</c:v>
                </c:pt>
                <c:pt idx="5">
                  <c:v>1.9700000000000006</c:v>
                </c:pt>
                <c:pt idx="6">
                  <c:v>2.08</c:v>
                </c:pt>
                <c:pt idx="7">
                  <c:v>2</c:v>
                </c:pt>
                <c:pt idx="8">
                  <c:v>2.08</c:v>
                </c:pt>
                <c:pt idx="9">
                  <c:v>2.2800000000000011</c:v>
                </c:pt>
                <c:pt idx="10">
                  <c:v>2.3000000000000007</c:v>
                </c:pt>
                <c:pt idx="11">
                  <c:v>1.92</c:v>
                </c:pt>
                <c:pt idx="12">
                  <c:v>2.1400000000000006</c:v>
                </c:pt>
                <c:pt idx="13">
                  <c:v>2.0299999999999994</c:v>
                </c:pt>
                <c:pt idx="14">
                  <c:v>1.9500000000000011</c:v>
                </c:pt>
                <c:pt idx="15">
                  <c:v>2.0700000000000003</c:v>
                </c:pt>
                <c:pt idx="16">
                  <c:v>2.25</c:v>
                </c:pt>
                <c:pt idx="17">
                  <c:v>2.2100000000000009</c:v>
                </c:pt>
                <c:pt idx="18">
                  <c:v>1.7400000000000002</c:v>
                </c:pt>
                <c:pt idx="19">
                  <c:v>2.1400000000000006</c:v>
                </c:pt>
              </c:numCache>
            </c:numRef>
          </c:val>
          <c:extLst>
            <c:ext xmlns:c16="http://schemas.microsoft.com/office/drawing/2014/chart" uri="{C3380CC4-5D6E-409C-BE32-E72D297353CC}">
              <c16:uniqueId val="{00000004-0163-4189-A8C7-E0D80A69955E}"/>
            </c:ext>
          </c:extLst>
        </c:ser>
        <c:dLbls>
          <c:showLegendKey val="0"/>
          <c:showVal val="0"/>
          <c:showCatName val="0"/>
          <c:showSerName val="0"/>
          <c:showPercent val="0"/>
          <c:showBubbleSize val="0"/>
        </c:dLbls>
        <c:gapWidth val="182"/>
        <c:overlap val="100"/>
        <c:axId val="1385011455"/>
        <c:axId val="1384998975"/>
      </c:barChart>
      <c:catAx>
        <c:axId val="1385011455"/>
        <c:scaling>
          <c:orientation val="maxMin"/>
        </c:scaling>
        <c:delete val="0"/>
        <c:axPos val="l"/>
        <c:numFmt formatCode="General" sourceLinked="1"/>
        <c:majorTickMark val="none"/>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384998975"/>
        <c:crosses val="autoZero"/>
        <c:auto val="1"/>
        <c:lblAlgn val="ctr"/>
        <c:lblOffset val="100"/>
        <c:noMultiLvlLbl val="0"/>
      </c:catAx>
      <c:valAx>
        <c:axId val="1384998975"/>
        <c:scaling>
          <c:orientation val="minMax"/>
        </c:scaling>
        <c:delete val="0"/>
        <c:axPos val="t"/>
        <c:title>
          <c:tx>
            <c:rich>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r>
                  <a:rPr lang="en-GB"/>
                  <a:t>Time</a:t>
                </a:r>
                <a:r>
                  <a:rPr lang="en-GB" baseline="0"/>
                  <a:t> [sec]</a:t>
                </a:r>
                <a:endParaRPr lang="sr-Latn-RS"/>
              </a:p>
            </c:rich>
          </c:tx>
          <c:layout>
            <c:manualLayout>
              <c:xMode val="edge"/>
              <c:yMode val="edge"/>
              <c:x val="0.875661903179351"/>
              <c:y val="0.96073198627525735"/>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itle>
        <c:numFmt formatCode="0.00" sourceLinked="1"/>
        <c:majorTickMark val="out"/>
        <c:minorTickMark val="none"/>
        <c:tickLblPos val="nextTo"/>
        <c:spPr>
          <a:noFill/>
          <a:ln w="3175">
            <a:solidFill>
              <a:schemeClr val="tx1"/>
            </a:solidFill>
          </a:ln>
          <a:effectLst/>
        </c:spPr>
        <c:txPr>
          <a:bodyPr rot="-60000000" spcFirstLastPara="1" vertOverflow="ellipsis" vert="horz" wrap="square" anchor="t" anchorCtr="0"/>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385011455"/>
        <c:crosses val="autoZero"/>
        <c:crossBetween val="between"/>
      </c:valAx>
      <c:spPr>
        <a:noFill/>
        <a:ln w="3175">
          <a:solidFill>
            <a:schemeClr val="tx1"/>
          </a:solidFill>
        </a:ln>
        <a:effectLst/>
      </c:spPr>
    </c:plotArea>
    <c:legend>
      <c:legendPos val="b"/>
      <c:layout>
        <c:manualLayout>
          <c:xMode val="edge"/>
          <c:yMode val="edge"/>
          <c:x val="0.37535564784212533"/>
          <c:y val="0.95975316276468114"/>
          <c:w val="0.23644424826294125"/>
          <c:h val="3.8390381285356469E-2"/>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Garamond" panose="02020404030301010803" pitchFamily="18" charset="0"/>
        </a:defRPr>
      </a:pPr>
      <a:endParaRPr lang="sr-Latn-R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'Time and cycles'!$D$1</c:f>
              <c:strCache>
                <c:ptCount val="1"/>
                <c:pt idx="0">
                  <c:v>Time [sec]</c:v>
                </c:pt>
              </c:strCache>
            </c:strRef>
          </c:tx>
          <c:spPr>
            <a:ln w="3175" cap="rnd">
              <a:solidFill>
                <a:srgbClr val="0000FF"/>
              </a:solidFill>
              <a:round/>
            </a:ln>
            <a:effectLst/>
          </c:spPr>
          <c:marker>
            <c:symbol val="none"/>
          </c:marker>
          <c:cat>
            <c:numRef>
              <c:f>'Time and cycles'!$A$2:$A$900</c:f>
              <c:numCache>
                <c:formatCode>General</c:formatCode>
                <c:ptCount val="899"/>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432</c:v>
                </c:pt>
                <c:pt idx="20">
                  <c:v>433</c:v>
                </c:pt>
                <c:pt idx="21">
                  <c:v>434</c:v>
                </c:pt>
                <c:pt idx="22">
                  <c:v>435</c:v>
                </c:pt>
                <c:pt idx="23">
                  <c:v>436</c:v>
                </c:pt>
                <c:pt idx="24">
                  <c:v>437</c:v>
                </c:pt>
                <c:pt idx="25">
                  <c:v>438</c:v>
                </c:pt>
                <c:pt idx="26">
                  <c:v>439</c:v>
                </c:pt>
                <c:pt idx="27">
                  <c:v>440</c:v>
                </c:pt>
                <c:pt idx="28">
                  <c:v>441</c:v>
                </c:pt>
                <c:pt idx="29">
                  <c:v>442</c:v>
                </c:pt>
                <c:pt idx="30">
                  <c:v>443</c:v>
                </c:pt>
                <c:pt idx="31">
                  <c:v>444</c:v>
                </c:pt>
                <c:pt idx="32">
                  <c:v>445</c:v>
                </c:pt>
                <c:pt idx="33">
                  <c:v>446</c:v>
                </c:pt>
                <c:pt idx="34">
                  <c:v>447</c:v>
                </c:pt>
                <c:pt idx="35">
                  <c:v>448</c:v>
                </c:pt>
                <c:pt idx="36">
                  <c:v>449</c:v>
                </c:pt>
                <c:pt idx="37">
                  <c:v>450</c:v>
                </c:pt>
                <c:pt idx="38">
                  <c:v>451</c:v>
                </c:pt>
                <c:pt idx="39">
                  <c:v>818</c:v>
                </c:pt>
                <c:pt idx="40">
                  <c:v>819</c:v>
                </c:pt>
                <c:pt idx="41">
                  <c:v>820</c:v>
                </c:pt>
                <c:pt idx="42">
                  <c:v>821</c:v>
                </c:pt>
                <c:pt idx="43">
                  <c:v>822</c:v>
                </c:pt>
                <c:pt idx="44">
                  <c:v>823</c:v>
                </c:pt>
                <c:pt idx="45">
                  <c:v>824</c:v>
                </c:pt>
                <c:pt idx="46">
                  <c:v>825</c:v>
                </c:pt>
                <c:pt idx="47">
                  <c:v>826</c:v>
                </c:pt>
                <c:pt idx="48">
                  <c:v>827</c:v>
                </c:pt>
                <c:pt idx="49">
                  <c:v>828</c:v>
                </c:pt>
                <c:pt idx="50">
                  <c:v>829</c:v>
                </c:pt>
                <c:pt idx="51">
                  <c:v>830</c:v>
                </c:pt>
                <c:pt idx="52">
                  <c:v>831</c:v>
                </c:pt>
                <c:pt idx="53">
                  <c:v>832</c:v>
                </c:pt>
                <c:pt idx="54">
                  <c:v>833</c:v>
                </c:pt>
                <c:pt idx="55">
                  <c:v>834</c:v>
                </c:pt>
                <c:pt idx="56">
                  <c:v>835</c:v>
                </c:pt>
                <c:pt idx="57">
                  <c:v>836</c:v>
                </c:pt>
                <c:pt idx="58">
                  <c:v>837</c:v>
                </c:pt>
                <c:pt idx="59">
                  <c:v>2897</c:v>
                </c:pt>
                <c:pt idx="60">
                  <c:v>2898</c:v>
                </c:pt>
                <c:pt idx="61">
                  <c:v>2899</c:v>
                </c:pt>
                <c:pt idx="62">
                  <c:v>2900</c:v>
                </c:pt>
                <c:pt idx="63">
                  <c:v>2901</c:v>
                </c:pt>
                <c:pt idx="64">
                  <c:v>2902</c:v>
                </c:pt>
                <c:pt idx="65">
                  <c:v>2903</c:v>
                </c:pt>
                <c:pt idx="66">
                  <c:v>2904</c:v>
                </c:pt>
                <c:pt idx="67">
                  <c:v>2905</c:v>
                </c:pt>
                <c:pt idx="68">
                  <c:v>2906</c:v>
                </c:pt>
                <c:pt idx="69">
                  <c:v>2907</c:v>
                </c:pt>
                <c:pt idx="70">
                  <c:v>2908</c:v>
                </c:pt>
                <c:pt idx="71">
                  <c:v>2909</c:v>
                </c:pt>
                <c:pt idx="72">
                  <c:v>2910</c:v>
                </c:pt>
                <c:pt idx="73">
                  <c:v>2911</c:v>
                </c:pt>
                <c:pt idx="74">
                  <c:v>2912</c:v>
                </c:pt>
                <c:pt idx="75">
                  <c:v>2913</c:v>
                </c:pt>
                <c:pt idx="76">
                  <c:v>2914</c:v>
                </c:pt>
                <c:pt idx="77">
                  <c:v>2915</c:v>
                </c:pt>
                <c:pt idx="78">
                  <c:v>2916</c:v>
                </c:pt>
                <c:pt idx="79">
                  <c:v>3257</c:v>
                </c:pt>
                <c:pt idx="80">
                  <c:v>3258</c:v>
                </c:pt>
                <c:pt idx="81">
                  <c:v>3259</c:v>
                </c:pt>
                <c:pt idx="82">
                  <c:v>3260</c:v>
                </c:pt>
                <c:pt idx="83">
                  <c:v>3261</c:v>
                </c:pt>
                <c:pt idx="84">
                  <c:v>3262</c:v>
                </c:pt>
                <c:pt idx="85">
                  <c:v>3263</c:v>
                </c:pt>
                <c:pt idx="86">
                  <c:v>3264</c:v>
                </c:pt>
                <c:pt idx="87">
                  <c:v>3265</c:v>
                </c:pt>
                <c:pt idx="88">
                  <c:v>3266</c:v>
                </c:pt>
                <c:pt idx="89">
                  <c:v>3267</c:v>
                </c:pt>
                <c:pt idx="90">
                  <c:v>3268</c:v>
                </c:pt>
                <c:pt idx="91">
                  <c:v>3269</c:v>
                </c:pt>
                <c:pt idx="92">
                  <c:v>3270</c:v>
                </c:pt>
                <c:pt idx="93">
                  <c:v>3271</c:v>
                </c:pt>
                <c:pt idx="94">
                  <c:v>3272</c:v>
                </c:pt>
                <c:pt idx="95">
                  <c:v>3273</c:v>
                </c:pt>
                <c:pt idx="96">
                  <c:v>3274</c:v>
                </c:pt>
                <c:pt idx="97">
                  <c:v>3275</c:v>
                </c:pt>
                <c:pt idx="98">
                  <c:v>3276</c:v>
                </c:pt>
                <c:pt idx="99">
                  <c:v>4443</c:v>
                </c:pt>
                <c:pt idx="100">
                  <c:v>4445</c:v>
                </c:pt>
                <c:pt idx="101">
                  <c:v>4446</c:v>
                </c:pt>
                <c:pt idx="102">
                  <c:v>4447</c:v>
                </c:pt>
                <c:pt idx="103">
                  <c:v>4448</c:v>
                </c:pt>
                <c:pt idx="104">
                  <c:v>4449</c:v>
                </c:pt>
                <c:pt idx="105">
                  <c:v>4450</c:v>
                </c:pt>
                <c:pt idx="106">
                  <c:v>4451</c:v>
                </c:pt>
                <c:pt idx="107">
                  <c:v>4452</c:v>
                </c:pt>
                <c:pt idx="108">
                  <c:v>4453</c:v>
                </c:pt>
                <c:pt idx="109">
                  <c:v>4454</c:v>
                </c:pt>
                <c:pt idx="110">
                  <c:v>4455</c:v>
                </c:pt>
                <c:pt idx="111">
                  <c:v>4456</c:v>
                </c:pt>
                <c:pt idx="112">
                  <c:v>4457</c:v>
                </c:pt>
                <c:pt idx="113">
                  <c:v>4458</c:v>
                </c:pt>
                <c:pt idx="114">
                  <c:v>4459</c:v>
                </c:pt>
                <c:pt idx="115">
                  <c:v>4460</c:v>
                </c:pt>
                <c:pt idx="116">
                  <c:v>4461</c:v>
                </c:pt>
                <c:pt idx="117">
                  <c:v>4462</c:v>
                </c:pt>
                <c:pt idx="118">
                  <c:v>4463</c:v>
                </c:pt>
                <c:pt idx="119">
                  <c:v>4740</c:v>
                </c:pt>
                <c:pt idx="120">
                  <c:v>4741</c:v>
                </c:pt>
                <c:pt idx="121">
                  <c:v>4742</c:v>
                </c:pt>
                <c:pt idx="122">
                  <c:v>4743</c:v>
                </c:pt>
                <c:pt idx="123">
                  <c:v>4744</c:v>
                </c:pt>
                <c:pt idx="124">
                  <c:v>4745</c:v>
                </c:pt>
                <c:pt idx="125">
                  <c:v>4746</c:v>
                </c:pt>
                <c:pt idx="126">
                  <c:v>4747</c:v>
                </c:pt>
                <c:pt idx="127">
                  <c:v>4748</c:v>
                </c:pt>
                <c:pt idx="128">
                  <c:v>4749</c:v>
                </c:pt>
                <c:pt idx="129">
                  <c:v>4750</c:v>
                </c:pt>
                <c:pt idx="130">
                  <c:v>4751</c:v>
                </c:pt>
                <c:pt idx="131">
                  <c:v>4752</c:v>
                </c:pt>
                <c:pt idx="132">
                  <c:v>4753</c:v>
                </c:pt>
                <c:pt idx="133">
                  <c:v>4754</c:v>
                </c:pt>
                <c:pt idx="134">
                  <c:v>4755</c:v>
                </c:pt>
                <c:pt idx="135">
                  <c:v>4756</c:v>
                </c:pt>
                <c:pt idx="136">
                  <c:v>4757</c:v>
                </c:pt>
                <c:pt idx="137">
                  <c:v>4758</c:v>
                </c:pt>
                <c:pt idx="138">
                  <c:v>4759</c:v>
                </c:pt>
                <c:pt idx="139">
                  <c:v>5191</c:v>
                </c:pt>
                <c:pt idx="140">
                  <c:v>5192</c:v>
                </c:pt>
                <c:pt idx="141">
                  <c:v>5193</c:v>
                </c:pt>
                <c:pt idx="142">
                  <c:v>5194</c:v>
                </c:pt>
                <c:pt idx="143">
                  <c:v>5195</c:v>
                </c:pt>
                <c:pt idx="144">
                  <c:v>5196</c:v>
                </c:pt>
                <c:pt idx="145">
                  <c:v>5197</c:v>
                </c:pt>
                <c:pt idx="146">
                  <c:v>5198</c:v>
                </c:pt>
                <c:pt idx="147">
                  <c:v>5199</c:v>
                </c:pt>
                <c:pt idx="148">
                  <c:v>5200</c:v>
                </c:pt>
                <c:pt idx="149">
                  <c:v>5201</c:v>
                </c:pt>
                <c:pt idx="150">
                  <c:v>5202</c:v>
                </c:pt>
                <c:pt idx="151">
                  <c:v>5203</c:v>
                </c:pt>
                <c:pt idx="152">
                  <c:v>5204</c:v>
                </c:pt>
                <c:pt idx="153">
                  <c:v>5205</c:v>
                </c:pt>
                <c:pt idx="154">
                  <c:v>5206</c:v>
                </c:pt>
                <c:pt idx="155">
                  <c:v>5207</c:v>
                </c:pt>
                <c:pt idx="156">
                  <c:v>5208</c:v>
                </c:pt>
                <c:pt idx="157">
                  <c:v>5209</c:v>
                </c:pt>
                <c:pt idx="158">
                  <c:v>5210</c:v>
                </c:pt>
                <c:pt idx="159">
                  <c:v>5544</c:v>
                </c:pt>
                <c:pt idx="160">
                  <c:v>5545</c:v>
                </c:pt>
                <c:pt idx="161">
                  <c:v>5546</c:v>
                </c:pt>
                <c:pt idx="162">
                  <c:v>5547</c:v>
                </c:pt>
                <c:pt idx="163">
                  <c:v>5548</c:v>
                </c:pt>
                <c:pt idx="164">
                  <c:v>5549</c:v>
                </c:pt>
                <c:pt idx="165">
                  <c:v>5550</c:v>
                </c:pt>
                <c:pt idx="166">
                  <c:v>5551</c:v>
                </c:pt>
                <c:pt idx="167">
                  <c:v>5552</c:v>
                </c:pt>
                <c:pt idx="168">
                  <c:v>5553</c:v>
                </c:pt>
                <c:pt idx="169">
                  <c:v>5554</c:v>
                </c:pt>
                <c:pt idx="170">
                  <c:v>5555</c:v>
                </c:pt>
                <c:pt idx="171">
                  <c:v>5556</c:v>
                </c:pt>
                <c:pt idx="172">
                  <c:v>5557</c:v>
                </c:pt>
                <c:pt idx="173">
                  <c:v>5558</c:v>
                </c:pt>
                <c:pt idx="174">
                  <c:v>5559</c:v>
                </c:pt>
                <c:pt idx="175">
                  <c:v>5560</c:v>
                </c:pt>
                <c:pt idx="176">
                  <c:v>5561</c:v>
                </c:pt>
                <c:pt idx="177">
                  <c:v>5562</c:v>
                </c:pt>
                <c:pt idx="178">
                  <c:v>5563</c:v>
                </c:pt>
                <c:pt idx="179">
                  <c:v>5915</c:v>
                </c:pt>
                <c:pt idx="180">
                  <c:v>5916</c:v>
                </c:pt>
                <c:pt idx="181">
                  <c:v>5917</c:v>
                </c:pt>
                <c:pt idx="182">
                  <c:v>5918</c:v>
                </c:pt>
                <c:pt idx="183">
                  <c:v>5919</c:v>
                </c:pt>
                <c:pt idx="184">
                  <c:v>5920</c:v>
                </c:pt>
                <c:pt idx="185">
                  <c:v>5921</c:v>
                </c:pt>
                <c:pt idx="186">
                  <c:v>5922</c:v>
                </c:pt>
                <c:pt idx="187">
                  <c:v>5923</c:v>
                </c:pt>
                <c:pt idx="188">
                  <c:v>5924</c:v>
                </c:pt>
                <c:pt idx="189">
                  <c:v>5925</c:v>
                </c:pt>
                <c:pt idx="190">
                  <c:v>5926</c:v>
                </c:pt>
                <c:pt idx="191">
                  <c:v>5927</c:v>
                </c:pt>
                <c:pt idx="192">
                  <c:v>5928</c:v>
                </c:pt>
                <c:pt idx="193">
                  <c:v>5929</c:v>
                </c:pt>
                <c:pt idx="194">
                  <c:v>5930</c:v>
                </c:pt>
                <c:pt idx="195">
                  <c:v>5931</c:v>
                </c:pt>
                <c:pt idx="196">
                  <c:v>5932</c:v>
                </c:pt>
                <c:pt idx="197">
                  <c:v>5933</c:v>
                </c:pt>
                <c:pt idx="198">
                  <c:v>5934</c:v>
                </c:pt>
                <c:pt idx="199">
                  <c:v>6137</c:v>
                </c:pt>
                <c:pt idx="200">
                  <c:v>6138</c:v>
                </c:pt>
                <c:pt idx="201">
                  <c:v>6139</c:v>
                </c:pt>
                <c:pt idx="202">
                  <c:v>6140</c:v>
                </c:pt>
                <c:pt idx="203">
                  <c:v>6141</c:v>
                </c:pt>
                <c:pt idx="204">
                  <c:v>6142</c:v>
                </c:pt>
                <c:pt idx="205">
                  <c:v>6143</c:v>
                </c:pt>
                <c:pt idx="206">
                  <c:v>6144</c:v>
                </c:pt>
                <c:pt idx="207">
                  <c:v>6145</c:v>
                </c:pt>
                <c:pt idx="208">
                  <c:v>6146</c:v>
                </c:pt>
                <c:pt idx="209">
                  <c:v>6147</c:v>
                </c:pt>
                <c:pt idx="210">
                  <c:v>6148</c:v>
                </c:pt>
                <c:pt idx="211">
                  <c:v>6149</c:v>
                </c:pt>
                <c:pt idx="212">
                  <c:v>6150</c:v>
                </c:pt>
                <c:pt idx="213">
                  <c:v>6151</c:v>
                </c:pt>
                <c:pt idx="214">
                  <c:v>6152</c:v>
                </c:pt>
                <c:pt idx="215">
                  <c:v>6153</c:v>
                </c:pt>
                <c:pt idx="216">
                  <c:v>6154</c:v>
                </c:pt>
                <c:pt idx="217">
                  <c:v>6155</c:v>
                </c:pt>
                <c:pt idx="218">
                  <c:v>6156</c:v>
                </c:pt>
                <c:pt idx="219">
                  <c:v>6600</c:v>
                </c:pt>
                <c:pt idx="220">
                  <c:v>6601</c:v>
                </c:pt>
                <c:pt idx="221">
                  <c:v>6602</c:v>
                </c:pt>
                <c:pt idx="222">
                  <c:v>6603</c:v>
                </c:pt>
                <c:pt idx="223">
                  <c:v>6604</c:v>
                </c:pt>
                <c:pt idx="224">
                  <c:v>6605</c:v>
                </c:pt>
                <c:pt idx="225">
                  <c:v>6606</c:v>
                </c:pt>
                <c:pt idx="226">
                  <c:v>6607</c:v>
                </c:pt>
                <c:pt idx="227">
                  <c:v>6608</c:v>
                </c:pt>
                <c:pt idx="228">
                  <c:v>6609</c:v>
                </c:pt>
                <c:pt idx="229">
                  <c:v>6610</c:v>
                </c:pt>
                <c:pt idx="230">
                  <c:v>6611</c:v>
                </c:pt>
                <c:pt idx="231">
                  <c:v>6612</c:v>
                </c:pt>
                <c:pt idx="232">
                  <c:v>6613</c:v>
                </c:pt>
                <c:pt idx="233">
                  <c:v>6614</c:v>
                </c:pt>
                <c:pt idx="234">
                  <c:v>6615</c:v>
                </c:pt>
                <c:pt idx="235">
                  <c:v>6616</c:v>
                </c:pt>
                <c:pt idx="236">
                  <c:v>6617</c:v>
                </c:pt>
                <c:pt idx="237">
                  <c:v>6618</c:v>
                </c:pt>
                <c:pt idx="238">
                  <c:v>6619</c:v>
                </c:pt>
                <c:pt idx="239">
                  <c:v>6823</c:v>
                </c:pt>
                <c:pt idx="240">
                  <c:v>6824</c:v>
                </c:pt>
                <c:pt idx="241">
                  <c:v>6825</c:v>
                </c:pt>
                <c:pt idx="242">
                  <c:v>6826</c:v>
                </c:pt>
                <c:pt idx="243">
                  <c:v>6827</c:v>
                </c:pt>
                <c:pt idx="244">
                  <c:v>6828</c:v>
                </c:pt>
                <c:pt idx="245">
                  <c:v>6829</c:v>
                </c:pt>
                <c:pt idx="246">
                  <c:v>6830</c:v>
                </c:pt>
                <c:pt idx="247">
                  <c:v>6831</c:v>
                </c:pt>
                <c:pt idx="248">
                  <c:v>6832</c:v>
                </c:pt>
                <c:pt idx="249">
                  <c:v>6833</c:v>
                </c:pt>
                <c:pt idx="250">
                  <c:v>6834</c:v>
                </c:pt>
                <c:pt idx="251">
                  <c:v>6835</c:v>
                </c:pt>
                <c:pt idx="252">
                  <c:v>6836</c:v>
                </c:pt>
                <c:pt idx="253">
                  <c:v>6837</c:v>
                </c:pt>
                <c:pt idx="254">
                  <c:v>6838</c:v>
                </c:pt>
                <c:pt idx="255">
                  <c:v>6839</c:v>
                </c:pt>
                <c:pt idx="256">
                  <c:v>6840</c:v>
                </c:pt>
                <c:pt idx="257">
                  <c:v>6841</c:v>
                </c:pt>
                <c:pt idx="258">
                  <c:v>6842</c:v>
                </c:pt>
                <c:pt idx="259">
                  <c:v>7090</c:v>
                </c:pt>
                <c:pt idx="260">
                  <c:v>7091</c:v>
                </c:pt>
                <c:pt idx="261">
                  <c:v>7092</c:v>
                </c:pt>
                <c:pt idx="262">
                  <c:v>7093</c:v>
                </c:pt>
                <c:pt idx="263">
                  <c:v>7094</c:v>
                </c:pt>
                <c:pt idx="264">
                  <c:v>7095</c:v>
                </c:pt>
                <c:pt idx="265">
                  <c:v>7096</c:v>
                </c:pt>
                <c:pt idx="266">
                  <c:v>7097</c:v>
                </c:pt>
                <c:pt idx="267">
                  <c:v>7098</c:v>
                </c:pt>
                <c:pt idx="268">
                  <c:v>7099</c:v>
                </c:pt>
                <c:pt idx="269">
                  <c:v>7100</c:v>
                </c:pt>
                <c:pt idx="270">
                  <c:v>7101</c:v>
                </c:pt>
                <c:pt idx="271">
                  <c:v>7102</c:v>
                </c:pt>
                <c:pt idx="272">
                  <c:v>7103</c:v>
                </c:pt>
                <c:pt idx="273">
                  <c:v>7104</c:v>
                </c:pt>
                <c:pt idx="274">
                  <c:v>7105</c:v>
                </c:pt>
                <c:pt idx="275">
                  <c:v>7106</c:v>
                </c:pt>
                <c:pt idx="276">
                  <c:v>7107</c:v>
                </c:pt>
                <c:pt idx="277">
                  <c:v>7108</c:v>
                </c:pt>
                <c:pt idx="278">
                  <c:v>7109</c:v>
                </c:pt>
                <c:pt idx="279">
                  <c:v>7413</c:v>
                </c:pt>
                <c:pt idx="280">
                  <c:v>7414</c:v>
                </c:pt>
                <c:pt idx="281">
                  <c:v>7415</c:v>
                </c:pt>
                <c:pt idx="282">
                  <c:v>7416</c:v>
                </c:pt>
                <c:pt idx="283">
                  <c:v>7417</c:v>
                </c:pt>
                <c:pt idx="284">
                  <c:v>7418</c:v>
                </c:pt>
                <c:pt idx="285">
                  <c:v>7419</c:v>
                </c:pt>
                <c:pt idx="286">
                  <c:v>7420</c:v>
                </c:pt>
                <c:pt idx="287">
                  <c:v>7421</c:v>
                </c:pt>
                <c:pt idx="288">
                  <c:v>7422</c:v>
                </c:pt>
                <c:pt idx="289">
                  <c:v>7423</c:v>
                </c:pt>
                <c:pt idx="290">
                  <c:v>7424</c:v>
                </c:pt>
                <c:pt idx="291">
                  <c:v>7425</c:v>
                </c:pt>
                <c:pt idx="292">
                  <c:v>7426</c:v>
                </c:pt>
                <c:pt idx="293">
                  <c:v>7427</c:v>
                </c:pt>
                <c:pt idx="294">
                  <c:v>7428</c:v>
                </c:pt>
                <c:pt idx="295">
                  <c:v>7429</c:v>
                </c:pt>
                <c:pt idx="296">
                  <c:v>7430</c:v>
                </c:pt>
                <c:pt idx="297">
                  <c:v>7431</c:v>
                </c:pt>
                <c:pt idx="298">
                  <c:v>7432</c:v>
                </c:pt>
                <c:pt idx="299">
                  <c:v>7931</c:v>
                </c:pt>
                <c:pt idx="300">
                  <c:v>7932</c:v>
                </c:pt>
                <c:pt idx="301">
                  <c:v>7933</c:v>
                </c:pt>
                <c:pt idx="302">
                  <c:v>7934</c:v>
                </c:pt>
                <c:pt idx="303">
                  <c:v>7935</c:v>
                </c:pt>
                <c:pt idx="304">
                  <c:v>7936</c:v>
                </c:pt>
                <c:pt idx="305">
                  <c:v>7937</c:v>
                </c:pt>
                <c:pt idx="306">
                  <c:v>7938</c:v>
                </c:pt>
                <c:pt idx="307">
                  <c:v>7939</c:v>
                </c:pt>
                <c:pt idx="308">
                  <c:v>7940</c:v>
                </c:pt>
                <c:pt idx="309">
                  <c:v>7941</c:v>
                </c:pt>
                <c:pt idx="310">
                  <c:v>7942</c:v>
                </c:pt>
                <c:pt idx="311">
                  <c:v>7943</c:v>
                </c:pt>
                <c:pt idx="312">
                  <c:v>7944</c:v>
                </c:pt>
                <c:pt idx="313">
                  <c:v>7945</c:v>
                </c:pt>
                <c:pt idx="314">
                  <c:v>7946</c:v>
                </c:pt>
                <c:pt idx="315">
                  <c:v>7947</c:v>
                </c:pt>
                <c:pt idx="316">
                  <c:v>7948</c:v>
                </c:pt>
                <c:pt idx="317">
                  <c:v>7949</c:v>
                </c:pt>
                <c:pt idx="318">
                  <c:v>7950</c:v>
                </c:pt>
                <c:pt idx="319">
                  <c:v>8361</c:v>
                </c:pt>
                <c:pt idx="320">
                  <c:v>8362</c:v>
                </c:pt>
                <c:pt idx="321">
                  <c:v>8363</c:v>
                </c:pt>
                <c:pt idx="322">
                  <c:v>8364</c:v>
                </c:pt>
                <c:pt idx="323">
                  <c:v>8365</c:v>
                </c:pt>
                <c:pt idx="324">
                  <c:v>8366</c:v>
                </c:pt>
                <c:pt idx="325">
                  <c:v>8367</c:v>
                </c:pt>
                <c:pt idx="326">
                  <c:v>8368</c:v>
                </c:pt>
                <c:pt idx="327">
                  <c:v>8369</c:v>
                </c:pt>
                <c:pt idx="328">
                  <c:v>8370</c:v>
                </c:pt>
                <c:pt idx="329">
                  <c:v>8371</c:v>
                </c:pt>
                <c:pt idx="330">
                  <c:v>8372</c:v>
                </c:pt>
                <c:pt idx="331">
                  <c:v>8373</c:v>
                </c:pt>
                <c:pt idx="332">
                  <c:v>8374</c:v>
                </c:pt>
                <c:pt idx="333">
                  <c:v>8375</c:v>
                </c:pt>
                <c:pt idx="334">
                  <c:v>8376</c:v>
                </c:pt>
                <c:pt idx="335">
                  <c:v>8377</c:v>
                </c:pt>
                <c:pt idx="336">
                  <c:v>8378</c:v>
                </c:pt>
                <c:pt idx="337">
                  <c:v>8379</c:v>
                </c:pt>
                <c:pt idx="338">
                  <c:v>8380</c:v>
                </c:pt>
                <c:pt idx="339">
                  <c:v>8679</c:v>
                </c:pt>
                <c:pt idx="340">
                  <c:v>8680</c:v>
                </c:pt>
                <c:pt idx="341">
                  <c:v>8681</c:v>
                </c:pt>
                <c:pt idx="342">
                  <c:v>8682</c:v>
                </c:pt>
                <c:pt idx="343">
                  <c:v>8683</c:v>
                </c:pt>
                <c:pt idx="344">
                  <c:v>8684</c:v>
                </c:pt>
                <c:pt idx="345">
                  <c:v>8685</c:v>
                </c:pt>
                <c:pt idx="346">
                  <c:v>8686</c:v>
                </c:pt>
                <c:pt idx="347">
                  <c:v>8687</c:v>
                </c:pt>
                <c:pt idx="348">
                  <c:v>8688</c:v>
                </c:pt>
                <c:pt idx="349">
                  <c:v>8689</c:v>
                </c:pt>
                <c:pt idx="350">
                  <c:v>8690</c:v>
                </c:pt>
                <c:pt idx="351">
                  <c:v>8691</c:v>
                </c:pt>
                <c:pt idx="352">
                  <c:v>8692</c:v>
                </c:pt>
                <c:pt idx="353">
                  <c:v>8693</c:v>
                </c:pt>
                <c:pt idx="354">
                  <c:v>8694</c:v>
                </c:pt>
                <c:pt idx="355">
                  <c:v>8695</c:v>
                </c:pt>
                <c:pt idx="356">
                  <c:v>8696</c:v>
                </c:pt>
                <c:pt idx="357">
                  <c:v>8697</c:v>
                </c:pt>
                <c:pt idx="358">
                  <c:v>8698</c:v>
                </c:pt>
                <c:pt idx="359">
                  <c:v>9074</c:v>
                </c:pt>
                <c:pt idx="360">
                  <c:v>9075</c:v>
                </c:pt>
                <c:pt idx="361">
                  <c:v>9076</c:v>
                </c:pt>
                <c:pt idx="362">
                  <c:v>9077</c:v>
                </c:pt>
                <c:pt idx="363">
                  <c:v>9078</c:v>
                </c:pt>
                <c:pt idx="364">
                  <c:v>9079</c:v>
                </c:pt>
                <c:pt idx="365">
                  <c:v>9080</c:v>
                </c:pt>
                <c:pt idx="366">
                  <c:v>9081</c:v>
                </c:pt>
                <c:pt idx="367">
                  <c:v>9082</c:v>
                </c:pt>
                <c:pt idx="368">
                  <c:v>9083</c:v>
                </c:pt>
                <c:pt idx="369">
                  <c:v>9084</c:v>
                </c:pt>
                <c:pt idx="370">
                  <c:v>9085</c:v>
                </c:pt>
                <c:pt idx="371">
                  <c:v>9086</c:v>
                </c:pt>
                <c:pt idx="372">
                  <c:v>9087</c:v>
                </c:pt>
                <c:pt idx="373">
                  <c:v>9088</c:v>
                </c:pt>
                <c:pt idx="374">
                  <c:v>9089</c:v>
                </c:pt>
                <c:pt idx="375">
                  <c:v>9090</c:v>
                </c:pt>
                <c:pt idx="376">
                  <c:v>9091</c:v>
                </c:pt>
                <c:pt idx="377">
                  <c:v>9092</c:v>
                </c:pt>
                <c:pt idx="378">
                  <c:v>9093</c:v>
                </c:pt>
                <c:pt idx="379">
                  <c:v>9304</c:v>
                </c:pt>
                <c:pt idx="380">
                  <c:v>9305</c:v>
                </c:pt>
                <c:pt idx="381">
                  <c:v>9306</c:v>
                </c:pt>
                <c:pt idx="382">
                  <c:v>9307</c:v>
                </c:pt>
                <c:pt idx="383">
                  <c:v>9308</c:v>
                </c:pt>
                <c:pt idx="384">
                  <c:v>9309</c:v>
                </c:pt>
                <c:pt idx="385">
                  <c:v>9310</c:v>
                </c:pt>
                <c:pt idx="386">
                  <c:v>9311</c:v>
                </c:pt>
                <c:pt idx="387">
                  <c:v>9312</c:v>
                </c:pt>
                <c:pt idx="388">
                  <c:v>9313</c:v>
                </c:pt>
                <c:pt idx="389">
                  <c:v>9314</c:v>
                </c:pt>
                <c:pt idx="390">
                  <c:v>9315</c:v>
                </c:pt>
                <c:pt idx="391">
                  <c:v>9316</c:v>
                </c:pt>
                <c:pt idx="392">
                  <c:v>9317</c:v>
                </c:pt>
                <c:pt idx="393">
                  <c:v>9318</c:v>
                </c:pt>
                <c:pt idx="394">
                  <c:v>9319</c:v>
                </c:pt>
                <c:pt idx="395">
                  <c:v>9320</c:v>
                </c:pt>
                <c:pt idx="396">
                  <c:v>9321</c:v>
                </c:pt>
                <c:pt idx="397">
                  <c:v>9322</c:v>
                </c:pt>
                <c:pt idx="398">
                  <c:v>9323</c:v>
                </c:pt>
                <c:pt idx="399">
                  <c:v>9774</c:v>
                </c:pt>
                <c:pt idx="400">
                  <c:v>9775</c:v>
                </c:pt>
                <c:pt idx="401">
                  <c:v>9776</c:v>
                </c:pt>
                <c:pt idx="402">
                  <c:v>9777</c:v>
                </c:pt>
                <c:pt idx="403">
                  <c:v>9778</c:v>
                </c:pt>
                <c:pt idx="404">
                  <c:v>9779</c:v>
                </c:pt>
                <c:pt idx="405">
                  <c:v>9780</c:v>
                </c:pt>
                <c:pt idx="406">
                  <c:v>9781</c:v>
                </c:pt>
                <c:pt idx="407">
                  <c:v>9782</c:v>
                </c:pt>
                <c:pt idx="408">
                  <c:v>9783</c:v>
                </c:pt>
                <c:pt idx="409">
                  <c:v>9784</c:v>
                </c:pt>
                <c:pt idx="410">
                  <c:v>9785</c:v>
                </c:pt>
                <c:pt idx="411">
                  <c:v>9786</c:v>
                </c:pt>
                <c:pt idx="412">
                  <c:v>9787</c:v>
                </c:pt>
                <c:pt idx="413">
                  <c:v>9788</c:v>
                </c:pt>
                <c:pt idx="414">
                  <c:v>9789</c:v>
                </c:pt>
                <c:pt idx="415">
                  <c:v>9790</c:v>
                </c:pt>
                <c:pt idx="416">
                  <c:v>9791</c:v>
                </c:pt>
                <c:pt idx="417">
                  <c:v>9792</c:v>
                </c:pt>
                <c:pt idx="418">
                  <c:v>9793</c:v>
                </c:pt>
                <c:pt idx="419">
                  <c:v>10014</c:v>
                </c:pt>
                <c:pt idx="420">
                  <c:v>10015</c:v>
                </c:pt>
                <c:pt idx="421">
                  <c:v>10016</c:v>
                </c:pt>
                <c:pt idx="422">
                  <c:v>10017</c:v>
                </c:pt>
                <c:pt idx="423">
                  <c:v>10018</c:v>
                </c:pt>
                <c:pt idx="424">
                  <c:v>10019</c:v>
                </c:pt>
                <c:pt idx="425">
                  <c:v>10020</c:v>
                </c:pt>
                <c:pt idx="426">
                  <c:v>10021</c:v>
                </c:pt>
                <c:pt idx="427">
                  <c:v>10022</c:v>
                </c:pt>
                <c:pt idx="428">
                  <c:v>10023</c:v>
                </c:pt>
                <c:pt idx="429">
                  <c:v>10024</c:v>
                </c:pt>
                <c:pt idx="430">
                  <c:v>10025</c:v>
                </c:pt>
                <c:pt idx="431">
                  <c:v>10026</c:v>
                </c:pt>
                <c:pt idx="432">
                  <c:v>10027</c:v>
                </c:pt>
                <c:pt idx="433">
                  <c:v>10028</c:v>
                </c:pt>
                <c:pt idx="434">
                  <c:v>10029</c:v>
                </c:pt>
                <c:pt idx="435">
                  <c:v>10030</c:v>
                </c:pt>
                <c:pt idx="436">
                  <c:v>10031</c:v>
                </c:pt>
                <c:pt idx="437">
                  <c:v>10032</c:v>
                </c:pt>
                <c:pt idx="438">
                  <c:v>10033</c:v>
                </c:pt>
                <c:pt idx="439">
                  <c:v>11975</c:v>
                </c:pt>
                <c:pt idx="440">
                  <c:v>11976</c:v>
                </c:pt>
                <c:pt idx="441">
                  <c:v>11977</c:v>
                </c:pt>
                <c:pt idx="442">
                  <c:v>11978</c:v>
                </c:pt>
                <c:pt idx="443">
                  <c:v>11979</c:v>
                </c:pt>
                <c:pt idx="444">
                  <c:v>11980</c:v>
                </c:pt>
                <c:pt idx="445">
                  <c:v>11981</c:v>
                </c:pt>
                <c:pt idx="446">
                  <c:v>11982</c:v>
                </c:pt>
                <c:pt idx="447">
                  <c:v>11983</c:v>
                </c:pt>
                <c:pt idx="448">
                  <c:v>11984</c:v>
                </c:pt>
                <c:pt idx="449">
                  <c:v>11985</c:v>
                </c:pt>
                <c:pt idx="450">
                  <c:v>11986</c:v>
                </c:pt>
                <c:pt idx="451">
                  <c:v>11987</c:v>
                </c:pt>
                <c:pt idx="452">
                  <c:v>11988</c:v>
                </c:pt>
                <c:pt idx="453">
                  <c:v>11989</c:v>
                </c:pt>
                <c:pt idx="454">
                  <c:v>11990</c:v>
                </c:pt>
                <c:pt idx="455">
                  <c:v>11991</c:v>
                </c:pt>
                <c:pt idx="456">
                  <c:v>11992</c:v>
                </c:pt>
                <c:pt idx="457">
                  <c:v>11993</c:v>
                </c:pt>
                <c:pt idx="458">
                  <c:v>11994</c:v>
                </c:pt>
                <c:pt idx="459">
                  <c:v>12381</c:v>
                </c:pt>
                <c:pt idx="460">
                  <c:v>12382</c:v>
                </c:pt>
                <c:pt idx="461">
                  <c:v>12383</c:v>
                </c:pt>
                <c:pt idx="462">
                  <c:v>12384</c:v>
                </c:pt>
                <c:pt idx="463">
                  <c:v>12385</c:v>
                </c:pt>
                <c:pt idx="464">
                  <c:v>12386</c:v>
                </c:pt>
                <c:pt idx="465">
                  <c:v>12387</c:v>
                </c:pt>
                <c:pt idx="466">
                  <c:v>12388</c:v>
                </c:pt>
                <c:pt idx="467">
                  <c:v>12389</c:v>
                </c:pt>
                <c:pt idx="468">
                  <c:v>12390</c:v>
                </c:pt>
                <c:pt idx="469">
                  <c:v>12391</c:v>
                </c:pt>
                <c:pt idx="470">
                  <c:v>12392</c:v>
                </c:pt>
                <c:pt idx="471">
                  <c:v>12393</c:v>
                </c:pt>
                <c:pt idx="472">
                  <c:v>12394</c:v>
                </c:pt>
                <c:pt idx="473">
                  <c:v>12395</c:v>
                </c:pt>
                <c:pt idx="474">
                  <c:v>12396</c:v>
                </c:pt>
                <c:pt idx="475">
                  <c:v>12397</c:v>
                </c:pt>
                <c:pt idx="476">
                  <c:v>12398</c:v>
                </c:pt>
                <c:pt idx="477">
                  <c:v>12399</c:v>
                </c:pt>
                <c:pt idx="478">
                  <c:v>12400</c:v>
                </c:pt>
                <c:pt idx="479">
                  <c:v>12432</c:v>
                </c:pt>
                <c:pt idx="480">
                  <c:v>12433</c:v>
                </c:pt>
                <c:pt idx="481">
                  <c:v>12434</c:v>
                </c:pt>
                <c:pt idx="482">
                  <c:v>12435</c:v>
                </c:pt>
                <c:pt idx="483">
                  <c:v>12436</c:v>
                </c:pt>
                <c:pt idx="484">
                  <c:v>12437</c:v>
                </c:pt>
                <c:pt idx="485">
                  <c:v>12438</c:v>
                </c:pt>
                <c:pt idx="486">
                  <c:v>12439</c:v>
                </c:pt>
                <c:pt idx="487">
                  <c:v>12440</c:v>
                </c:pt>
                <c:pt idx="488">
                  <c:v>12441</c:v>
                </c:pt>
                <c:pt idx="489">
                  <c:v>12442</c:v>
                </c:pt>
                <c:pt idx="490">
                  <c:v>12443</c:v>
                </c:pt>
                <c:pt idx="491">
                  <c:v>12444</c:v>
                </c:pt>
                <c:pt idx="492">
                  <c:v>12445</c:v>
                </c:pt>
                <c:pt idx="493">
                  <c:v>12446</c:v>
                </c:pt>
                <c:pt idx="494">
                  <c:v>12447</c:v>
                </c:pt>
                <c:pt idx="495">
                  <c:v>12448</c:v>
                </c:pt>
                <c:pt idx="496">
                  <c:v>12449</c:v>
                </c:pt>
                <c:pt idx="497">
                  <c:v>12450</c:v>
                </c:pt>
                <c:pt idx="498">
                  <c:v>12451</c:v>
                </c:pt>
                <c:pt idx="499">
                  <c:v>12951</c:v>
                </c:pt>
                <c:pt idx="500">
                  <c:v>12952</c:v>
                </c:pt>
                <c:pt idx="501">
                  <c:v>12953</c:v>
                </c:pt>
                <c:pt idx="502">
                  <c:v>12954</c:v>
                </c:pt>
                <c:pt idx="503">
                  <c:v>12955</c:v>
                </c:pt>
                <c:pt idx="504">
                  <c:v>12956</c:v>
                </c:pt>
                <c:pt idx="505">
                  <c:v>12957</c:v>
                </c:pt>
                <c:pt idx="506">
                  <c:v>12958</c:v>
                </c:pt>
                <c:pt idx="507">
                  <c:v>12959</c:v>
                </c:pt>
                <c:pt idx="508">
                  <c:v>12960</c:v>
                </c:pt>
                <c:pt idx="509">
                  <c:v>12961</c:v>
                </c:pt>
                <c:pt idx="510">
                  <c:v>12962</c:v>
                </c:pt>
                <c:pt idx="511">
                  <c:v>12963</c:v>
                </c:pt>
                <c:pt idx="512">
                  <c:v>12964</c:v>
                </c:pt>
                <c:pt idx="513">
                  <c:v>12965</c:v>
                </c:pt>
                <c:pt idx="514">
                  <c:v>12966</c:v>
                </c:pt>
                <c:pt idx="515">
                  <c:v>12967</c:v>
                </c:pt>
                <c:pt idx="516">
                  <c:v>12968</c:v>
                </c:pt>
                <c:pt idx="517">
                  <c:v>12969</c:v>
                </c:pt>
                <c:pt idx="518">
                  <c:v>12970</c:v>
                </c:pt>
                <c:pt idx="519">
                  <c:v>13232</c:v>
                </c:pt>
                <c:pt idx="520">
                  <c:v>13233</c:v>
                </c:pt>
                <c:pt idx="521">
                  <c:v>13234</c:v>
                </c:pt>
                <c:pt idx="522">
                  <c:v>13235</c:v>
                </c:pt>
                <c:pt idx="523">
                  <c:v>13236</c:v>
                </c:pt>
                <c:pt idx="524">
                  <c:v>13237</c:v>
                </c:pt>
                <c:pt idx="525">
                  <c:v>13238</c:v>
                </c:pt>
                <c:pt idx="526">
                  <c:v>13239</c:v>
                </c:pt>
                <c:pt idx="527">
                  <c:v>13240</c:v>
                </c:pt>
                <c:pt idx="528">
                  <c:v>13241</c:v>
                </c:pt>
                <c:pt idx="529">
                  <c:v>13242</c:v>
                </c:pt>
                <c:pt idx="530">
                  <c:v>13243</c:v>
                </c:pt>
                <c:pt idx="531">
                  <c:v>13244</c:v>
                </c:pt>
                <c:pt idx="532">
                  <c:v>13245</c:v>
                </c:pt>
                <c:pt idx="533">
                  <c:v>13246</c:v>
                </c:pt>
                <c:pt idx="534">
                  <c:v>13247</c:v>
                </c:pt>
                <c:pt idx="535">
                  <c:v>13248</c:v>
                </c:pt>
                <c:pt idx="536">
                  <c:v>13249</c:v>
                </c:pt>
                <c:pt idx="537">
                  <c:v>13250</c:v>
                </c:pt>
                <c:pt idx="538">
                  <c:v>13251</c:v>
                </c:pt>
                <c:pt idx="539">
                  <c:v>13760</c:v>
                </c:pt>
                <c:pt idx="540">
                  <c:v>13761</c:v>
                </c:pt>
                <c:pt idx="541">
                  <c:v>13762</c:v>
                </c:pt>
                <c:pt idx="542">
                  <c:v>13763</c:v>
                </c:pt>
                <c:pt idx="543">
                  <c:v>13764</c:v>
                </c:pt>
                <c:pt idx="544">
                  <c:v>13765</c:v>
                </c:pt>
                <c:pt idx="545">
                  <c:v>13766</c:v>
                </c:pt>
                <c:pt idx="546">
                  <c:v>13767</c:v>
                </c:pt>
                <c:pt idx="547">
                  <c:v>13768</c:v>
                </c:pt>
                <c:pt idx="548">
                  <c:v>13769</c:v>
                </c:pt>
                <c:pt idx="549">
                  <c:v>13770</c:v>
                </c:pt>
                <c:pt idx="550">
                  <c:v>13771</c:v>
                </c:pt>
                <c:pt idx="551">
                  <c:v>13772</c:v>
                </c:pt>
                <c:pt idx="552">
                  <c:v>13773</c:v>
                </c:pt>
                <c:pt idx="553">
                  <c:v>13774</c:v>
                </c:pt>
                <c:pt idx="554">
                  <c:v>13775</c:v>
                </c:pt>
                <c:pt idx="555">
                  <c:v>13776</c:v>
                </c:pt>
                <c:pt idx="556">
                  <c:v>13777</c:v>
                </c:pt>
                <c:pt idx="557">
                  <c:v>13778</c:v>
                </c:pt>
                <c:pt idx="558">
                  <c:v>13779</c:v>
                </c:pt>
                <c:pt idx="559">
                  <c:v>14021</c:v>
                </c:pt>
                <c:pt idx="560">
                  <c:v>14022</c:v>
                </c:pt>
                <c:pt idx="561">
                  <c:v>14023</c:v>
                </c:pt>
                <c:pt idx="562">
                  <c:v>14024</c:v>
                </c:pt>
                <c:pt idx="563">
                  <c:v>14025</c:v>
                </c:pt>
                <c:pt idx="564">
                  <c:v>14026</c:v>
                </c:pt>
                <c:pt idx="565">
                  <c:v>14027</c:v>
                </c:pt>
                <c:pt idx="566">
                  <c:v>14028</c:v>
                </c:pt>
                <c:pt idx="567">
                  <c:v>14029</c:v>
                </c:pt>
                <c:pt idx="568">
                  <c:v>14030</c:v>
                </c:pt>
                <c:pt idx="569">
                  <c:v>14031</c:v>
                </c:pt>
                <c:pt idx="570">
                  <c:v>14032</c:v>
                </c:pt>
                <c:pt idx="571">
                  <c:v>14033</c:v>
                </c:pt>
                <c:pt idx="572">
                  <c:v>14034</c:v>
                </c:pt>
                <c:pt idx="573">
                  <c:v>14035</c:v>
                </c:pt>
                <c:pt idx="574">
                  <c:v>14036</c:v>
                </c:pt>
                <c:pt idx="575">
                  <c:v>14037</c:v>
                </c:pt>
                <c:pt idx="576">
                  <c:v>14038</c:v>
                </c:pt>
                <c:pt idx="577">
                  <c:v>14039</c:v>
                </c:pt>
                <c:pt idx="578">
                  <c:v>14040</c:v>
                </c:pt>
                <c:pt idx="579">
                  <c:v>14547</c:v>
                </c:pt>
                <c:pt idx="580">
                  <c:v>14548</c:v>
                </c:pt>
                <c:pt idx="581">
                  <c:v>14549</c:v>
                </c:pt>
                <c:pt idx="582">
                  <c:v>14550</c:v>
                </c:pt>
                <c:pt idx="583">
                  <c:v>14551</c:v>
                </c:pt>
                <c:pt idx="584">
                  <c:v>14552</c:v>
                </c:pt>
                <c:pt idx="585">
                  <c:v>14553</c:v>
                </c:pt>
                <c:pt idx="586">
                  <c:v>14554</c:v>
                </c:pt>
                <c:pt idx="587">
                  <c:v>14555</c:v>
                </c:pt>
                <c:pt idx="588">
                  <c:v>14556</c:v>
                </c:pt>
                <c:pt idx="589">
                  <c:v>14557</c:v>
                </c:pt>
                <c:pt idx="590">
                  <c:v>14558</c:v>
                </c:pt>
                <c:pt idx="591">
                  <c:v>14559</c:v>
                </c:pt>
                <c:pt idx="592">
                  <c:v>14560</c:v>
                </c:pt>
                <c:pt idx="593">
                  <c:v>14561</c:v>
                </c:pt>
                <c:pt idx="594">
                  <c:v>14562</c:v>
                </c:pt>
                <c:pt idx="595">
                  <c:v>14563</c:v>
                </c:pt>
                <c:pt idx="596">
                  <c:v>14564</c:v>
                </c:pt>
                <c:pt idx="597">
                  <c:v>14565</c:v>
                </c:pt>
                <c:pt idx="598">
                  <c:v>14566</c:v>
                </c:pt>
                <c:pt idx="599">
                  <c:v>14901</c:v>
                </c:pt>
                <c:pt idx="600">
                  <c:v>14902</c:v>
                </c:pt>
                <c:pt idx="601">
                  <c:v>14903</c:v>
                </c:pt>
                <c:pt idx="602">
                  <c:v>14904</c:v>
                </c:pt>
                <c:pt idx="603">
                  <c:v>14905</c:v>
                </c:pt>
                <c:pt idx="604">
                  <c:v>14906</c:v>
                </c:pt>
                <c:pt idx="605">
                  <c:v>14907</c:v>
                </c:pt>
                <c:pt idx="606">
                  <c:v>14908</c:v>
                </c:pt>
                <c:pt idx="607">
                  <c:v>14909</c:v>
                </c:pt>
                <c:pt idx="608">
                  <c:v>14910</c:v>
                </c:pt>
                <c:pt idx="609">
                  <c:v>14911</c:v>
                </c:pt>
                <c:pt idx="610">
                  <c:v>14912</c:v>
                </c:pt>
                <c:pt idx="611">
                  <c:v>14913</c:v>
                </c:pt>
                <c:pt idx="612">
                  <c:v>14914</c:v>
                </c:pt>
                <c:pt idx="613">
                  <c:v>14915</c:v>
                </c:pt>
                <c:pt idx="614">
                  <c:v>14916</c:v>
                </c:pt>
                <c:pt idx="615">
                  <c:v>14917</c:v>
                </c:pt>
                <c:pt idx="616">
                  <c:v>14918</c:v>
                </c:pt>
                <c:pt idx="617">
                  <c:v>14919</c:v>
                </c:pt>
                <c:pt idx="618">
                  <c:v>14920</c:v>
                </c:pt>
                <c:pt idx="619">
                  <c:v>15256</c:v>
                </c:pt>
                <c:pt idx="620">
                  <c:v>15257</c:v>
                </c:pt>
                <c:pt idx="621">
                  <c:v>15258</c:v>
                </c:pt>
                <c:pt idx="622">
                  <c:v>15259</c:v>
                </c:pt>
                <c:pt idx="623">
                  <c:v>15260</c:v>
                </c:pt>
                <c:pt idx="624">
                  <c:v>15261</c:v>
                </c:pt>
                <c:pt idx="625">
                  <c:v>15262</c:v>
                </c:pt>
                <c:pt idx="626">
                  <c:v>15263</c:v>
                </c:pt>
                <c:pt idx="627">
                  <c:v>15264</c:v>
                </c:pt>
                <c:pt idx="628">
                  <c:v>15265</c:v>
                </c:pt>
                <c:pt idx="629">
                  <c:v>15266</c:v>
                </c:pt>
                <c:pt idx="630">
                  <c:v>15267</c:v>
                </c:pt>
                <c:pt idx="631">
                  <c:v>15268</c:v>
                </c:pt>
                <c:pt idx="632">
                  <c:v>15269</c:v>
                </c:pt>
                <c:pt idx="633">
                  <c:v>15270</c:v>
                </c:pt>
                <c:pt idx="634">
                  <c:v>15271</c:v>
                </c:pt>
                <c:pt idx="635">
                  <c:v>15272</c:v>
                </c:pt>
                <c:pt idx="636">
                  <c:v>15273</c:v>
                </c:pt>
                <c:pt idx="637">
                  <c:v>15274</c:v>
                </c:pt>
                <c:pt idx="638">
                  <c:v>15275</c:v>
                </c:pt>
                <c:pt idx="639">
                  <c:v>15636</c:v>
                </c:pt>
                <c:pt idx="640">
                  <c:v>15637</c:v>
                </c:pt>
                <c:pt idx="641">
                  <c:v>15638</c:v>
                </c:pt>
                <c:pt idx="642">
                  <c:v>15639</c:v>
                </c:pt>
                <c:pt idx="643">
                  <c:v>15640</c:v>
                </c:pt>
                <c:pt idx="644">
                  <c:v>15641</c:v>
                </c:pt>
                <c:pt idx="645">
                  <c:v>15642</c:v>
                </c:pt>
                <c:pt idx="646">
                  <c:v>15643</c:v>
                </c:pt>
                <c:pt idx="647">
                  <c:v>15644</c:v>
                </c:pt>
                <c:pt idx="648">
                  <c:v>15645</c:v>
                </c:pt>
                <c:pt idx="649">
                  <c:v>15646</c:v>
                </c:pt>
                <c:pt idx="650">
                  <c:v>15647</c:v>
                </c:pt>
                <c:pt idx="651">
                  <c:v>15648</c:v>
                </c:pt>
                <c:pt idx="652">
                  <c:v>15649</c:v>
                </c:pt>
                <c:pt idx="653">
                  <c:v>15650</c:v>
                </c:pt>
                <c:pt idx="654">
                  <c:v>15651</c:v>
                </c:pt>
                <c:pt idx="655">
                  <c:v>15652</c:v>
                </c:pt>
                <c:pt idx="656">
                  <c:v>15653</c:v>
                </c:pt>
                <c:pt idx="657">
                  <c:v>15654</c:v>
                </c:pt>
                <c:pt idx="658">
                  <c:v>15655</c:v>
                </c:pt>
                <c:pt idx="659">
                  <c:v>16226</c:v>
                </c:pt>
                <c:pt idx="660">
                  <c:v>16227</c:v>
                </c:pt>
                <c:pt idx="661">
                  <c:v>16228</c:v>
                </c:pt>
                <c:pt idx="662">
                  <c:v>16229</c:v>
                </c:pt>
                <c:pt idx="663">
                  <c:v>16230</c:v>
                </c:pt>
                <c:pt idx="664">
                  <c:v>16231</c:v>
                </c:pt>
                <c:pt idx="665">
                  <c:v>16232</c:v>
                </c:pt>
                <c:pt idx="666">
                  <c:v>16233</c:v>
                </c:pt>
                <c:pt idx="667">
                  <c:v>16234</c:v>
                </c:pt>
                <c:pt idx="668">
                  <c:v>16235</c:v>
                </c:pt>
                <c:pt idx="669">
                  <c:v>16236</c:v>
                </c:pt>
                <c:pt idx="670">
                  <c:v>16237</c:v>
                </c:pt>
                <c:pt idx="671">
                  <c:v>16238</c:v>
                </c:pt>
                <c:pt idx="672">
                  <c:v>16239</c:v>
                </c:pt>
                <c:pt idx="673">
                  <c:v>16240</c:v>
                </c:pt>
                <c:pt idx="674">
                  <c:v>16241</c:v>
                </c:pt>
                <c:pt idx="675">
                  <c:v>16242</c:v>
                </c:pt>
                <c:pt idx="676">
                  <c:v>16243</c:v>
                </c:pt>
                <c:pt idx="677">
                  <c:v>16244</c:v>
                </c:pt>
                <c:pt idx="678">
                  <c:v>16245</c:v>
                </c:pt>
                <c:pt idx="679">
                  <c:v>19126</c:v>
                </c:pt>
                <c:pt idx="680">
                  <c:v>19127</c:v>
                </c:pt>
                <c:pt idx="681">
                  <c:v>19128</c:v>
                </c:pt>
                <c:pt idx="682">
                  <c:v>19129</c:v>
                </c:pt>
                <c:pt idx="683">
                  <c:v>19130</c:v>
                </c:pt>
                <c:pt idx="684">
                  <c:v>19131</c:v>
                </c:pt>
                <c:pt idx="685">
                  <c:v>19132</c:v>
                </c:pt>
                <c:pt idx="686">
                  <c:v>19133</c:v>
                </c:pt>
                <c:pt idx="687">
                  <c:v>19134</c:v>
                </c:pt>
                <c:pt idx="688">
                  <c:v>19135</c:v>
                </c:pt>
                <c:pt idx="689">
                  <c:v>19136</c:v>
                </c:pt>
                <c:pt idx="690">
                  <c:v>19137</c:v>
                </c:pt>
                <c:pt idx="691">
                  <c:v>19138</c:v>
                </c:pt>
                <c:pt idx="692">
                  <c:v>19139</c:v>
                </c:pt>
                <c:pt idx="693">
                  <c:v>19140</c:v>
                </c:pt>
                <c:pt idx="694">
                  <c:v>19141</c:v>
                </c:pt>
                <c:pt idx="695">
                  <c:v>19142</c:v>
                </c:pt>
                <c:pt idx="696">
                  <c:v>19143</c:v>
                </c:pt>
                <c:pt idx="697">
                  <c:v>19144</c:v>
                </c:pt>
                <c:pt idx="698">
                  <c:v>19145</c:v>
                </c:pt>
                <c:pt idx="699">
                  <c:v>19466</c:v>
                </c:pt>
                <c:pt idx="700">
                  <c:v>19467</c:v>
                </c:pt>
                <c:pt idx="701">
                  <c:v>19468</c:v>
                </c:pt>
                <c:pt idx="702">
                  <c:v>19469</c:v>
                </c:pt>
                <c:pt idx="703">
                  <c:v>19470</c:v>
                </c:pt>
                <c:pt idx="704">
                  <c:v>19471</c:v>
                </c:pt>
                <c:pt idx="705">
                  <c:v>19472</c:v>
                </c:pt>
                <c:pt idx="706">
                  <c:v>19473</c:v>
                </c:pt>
                <c:pt idx="707">
                  <c:v>19474</c:v>
                </c:pt>
                <c:pt idx="708">
                  <c:v>19475</c:v>
                </c:pt>
                <c:pt idx="709">
                  <c:v>19476</c:v>
                </c:pt>
                <c:pt idx="710">
                  <c:v>19477</c:v>
                </c:pt>
                <c:pt idx="711">
                  <c:v>19478</c:v>
                </c:pt>
                <c:pt idx="712">
                  <c:v>19479</c:v>
                </c:pt>
                <c:pt idx="713">
                  <c:v>19480</c:v>
                </c:pt>
                <c:pt idx="714">
                  <c:v>19481</c:v>
                </c:pt>
                <c:pt idx="715">
                  <c:v>19482</c:v>
                </c:pt>
                <c:pt idx="716">
                  <c:v>19483</c:v>
                </c:pt>
                <c:pt idx="717">
                  <c:v>19484</c:v>
                </c:pt>
                <c:pt idx="718">
                  <c:v>19485</c:v>
                </c:pt>
                <c:pt idx="719">
                  <c:v>19761</c:v>
                </c:pt>
                <c:pt idx="720">
                  <c:v>19762</c:v>
                </c:pt>
                <c:pt idx="721">
                  <c:v>19763</c:v>
                </c:pt>
                <c:pt idx="722">
                  <c:v>19764</c:v>
                </c:pt>
                <c:pt idx="723">
                  <c:v>19765</c:v>
                </c:pt>
                <c:pt idx="724">
                  <c:v>19766</c:v>
                </c:pt>
                <c:pt idx="725">
                  <c:v>19767</c:v>
                </c:pt>
                <c:pt idx="726">
                  <c:v>19768</c:v>
                </c:pt>
                <c:pt idx="727">
                  <c:v>19769</c:v>
                </c:pt>
                <c:pt idx="728">
                  <c:v>19770</c:v>
                </c:pt>
                <c:pt idx="729">
                  <c:v>19771</c:v>
                </c:pt>
                <c:pt idx="730">
                  <c:v>19772</c:v>
                </c:pt>
                <c:pt idx="731">
                  <c:v>19773</c:v>
                </c:pt>
                <c:pt idx="732">
                  <c:v>19774</c:v>
                </c:pt>
                <c:pt idx="733">
                  <c:v>19775</c:v>
                </c:pt>
                <c:pt idx="734">
                  <c:v>19776</c:v>
                </c:pt>
                <c:pt idx="735">
                  <c:v>19777</c:v>
                </c:pt>
                <c:pt idx="736">
                  <c:v>19778</c:v>
                </c:pt>
                <c:pt idx="737">
                  <c:v>19779</c:v>
                </c:pt>
                <c:pt idx="738">
                  <c:v>19780</c:v>
                </c:pt>
                <c:pt idx="739">
                  <c:v>20150</c:v>
                </c:pt>
                <c:pt idx="740">
                  <c:v>20151</c:v>
                </c:pt>
                <c:pt idx="741">
                  <c:v>20152</c:v>
                </c:pt>
                <c:pt idx="742">
                  <c:v>20153</c:v>
                </c:pt>
                <c:pt idx="743">
                  <c:v>20154</c:v>
                </c:pt>
                <c:pt idx="744">
                  <c:v>20155</c:v>
                </c:pt>
                <c:pt idx="745">
                  <c:v>20156</c:v>
                </c:pt>
                <c:pt idx="746">
                  <c:v>20157</c:v>
                </c:pt>
                <c:pt idx="747">
                  <c:v>20158</c:v>
                </c:pt>
                <c:pt idx="748">
                  <c:v>20159</c:v>
                </c:pt>
                <c:pt idx="749">
                  <c:v>20160</c:v>
                </c:pt>
                <c:pt idx="750">
                  <c:v>20161</c:v>
                </c:pt>
                <c:pt idx="751">
                  <c:v>20162</c:v>
                </c:pt>
                <c:pt idx="752">
                  <c:v>20163</c:v>
                </c:pt>
                <c:pt idx="753">
                  <c:v>20164</c:v>
                </c:pt>
                <c:pt idx="754">
                  <c:v>20165</c:v>
                </c:pt>
                <c:pt idx="755">
                  <c:v>20166</c:v>
                </c:pt>
                <c:pt idx="756">
                  <c:v>20167</c:v>
                </c:pt>
                <c:pt idx="757">
                  <c:v>20168</c:v>
                </c:pt>
                <c:pt idx="758">
                  <c:v>20169</c:v>
                </c:pt>
                <c:pt idx="759">
                  <c:v>20434</c:v>
                </c:pt>
                <c:pt idx="760">
                  <c:v>20435</c:v>
                </c:pt>
                <c:pt idx="761">
                  <c:v>20436</c:v>
                </c:pt>
                <c:pt idx="762">
                  <c:v>20437</c:v>
                </c:pt>
                <c:pt idx="763">
                  <c:v>20438</c:v>
                </c:pt>
                <c:pt idx="764">
                  <c:v>20439</c:v>
                </c:pt>
                <c:pt idx="765">
                  <c:v>20440</c:v>
                </c:pt>
                <c:pt idx="766">
                  <c:v>20441</c:v>
                </c:pt>
                <c:pt idx="767">
                  <c:v>20442</c:v>
                </c:pt>
                <c:pt idx="768">
                  <c:v>20443</c:v>
                </c:pt>
                <c:pt idx="769">
                  <c:v>20444</c:v>
                </c:pt>
                <c:pt idx="770">
                  <c:v>20445</c:v>
                </c:pt>
                <c:pt idx="771">
                  <c:v>20446</c:v>
                </c:pt>
                <c:pt idx="772">
                  <c:v>20447</c:v>
                </c:pt>
                <c:pt idx="773">
                  <c:v>20448</c:v>
                </c:pt>
                <c:pt idx="774">
                  <c:v>20449</c:v>
                </c:pt>
                <c:pt idx="775">
                  <c:v>20450</c:v>
                </c:pt>
                <c:pt idx="776">
                  <c:v>20451</c:v>
                </c:pt>
                <c:pt idx="777">
                  <c:v>20452</c:v>
                </c:pt>
                <c:pt idx="778">
                  <c:v>20453</c:v>
                </c:pt>
                <c:pt idx="779">
                  <c:v>20845</c:v>
                </c:pt>
                <c:pt idx="780">
                  <c:v>20846</c:v>
                </c:pt>
                <c:pt idx="781">
                  <c:v>20847</c:v>
                </c:pt>
                <c:pt idx="782">
                  <c:v>20848</c:v>
                </c:pt>
                <c:pt idx="783">
                  <c:v>20849</c:v>
                </c:pt>
                <c:pt idx="784">
                  <c:v>20850</c:v>
                </c:pt>
                <c:pt idx="785">
                  <c:v>20851</c:v>
                </c:pt>
                <c:pt idx="786">
                  <c:v>20852</c:v>
                </c:pt>
                <c:pt idx="787">
                  <c:v>20853</c:v>
                </c:pt>
                <c:pt idx="788">
                  <c:v>20854</c:v>
                </c:pt>
                <c:pt idx="789">
                  <c:v>20855</c:v>
                </c:pt>
                <c:pt idx="790">
                  <c:v>20856</c:v>
                </c:pt>
                <c:pt idx="791">
                  <c:v>20857</c:v>
                </c:pt>
                <c:pt idx="792">
                  <c:v>20858</c:v>
                </c:pt>
                <c:pt idx="793">
                  <c:v>20859</c:v>
                </c:pt>
                <c:pt idx="794">
                  <c:v>20860</c:v>
                </c:pt>
                <c:pt idx="795">
                  <c:v>20861</c:v>
                </c:pt>
                <c:pt idx="796">
                  <c:v>20862</c:v>
                </c:pt>
                <c:pt idx="797">
                  <c:v>20863</c:v>
                </c:pt>
                <c:pt idx="798">
                  <c:v>20864</c:v>
                </c:pt>
                <c:pt idx="799">
                  <c:v>21485</c:v>
                </c:pt>
                <c:pt idx="800">
                  <c:v>21486</c:v>
                </c:pt>
                <c:pt idx="801">
                  <c:v>21487</c:v>
                </c:pt>
                <c:pt idx="802">
                  <c:v>21488</c:v>
                </c:pt>
                <c:pt idx="803">
                  <c:v>21489</c:v>
                </c:pt>
                <c:pt idx="804">
                  <c:v>21490</c:v>
                </c:pt>
                <c:pt idx="805">
                  <c:v>21491</c:v>
                </c:pt>
                <c:pt idx="806">
                  <c:v>21492</c:v>
                </c:pt>
                <c:pt idx="807">
                  <c:v>21493</c:v>
                </c:pt>
                <c:pt idx="808">
                  <c:v>21494</c:v>
                </c:pt>
                <c:pt idx="809">
                  <c:v>21495</c:v>
                </c:pt>
                <c:pt idx="810">
                  <c:v>21496</c:v>
                </c:pt>
                <c:pt idx="811">
                  <c:v>21497</c:v>
                </c:pt>
                <c:pt idx="812">
                  <c:v>21498</c:v>
                </c:pt>
                <c:pt idx="813">
                  <c:v>21499</c:v>
                </c:pt>
                <c:pt idx="814">
                  <c:v>21500</c:v>
                </c:pt>
                <c:pt idx="815">
                  <c:v>21501</c:v>
                </c:pt>
                <c:pt idx="816">
                  <c:v>21502</c:v>
                </c:pt>
                <c:pt idx="817">
                  <c:v>21503</c:v>
                </c:pt>
                <c:pt idx="818">
                  <c:v>21504</c:v>
                </c:pt>
                <c:pt idx="819">
                  <c:v>21839</c:v>
                </c:pt>
                <c:pt idx="820">
                  <c:v>21840</c:v>
                </c:pt>
                <c:pt idx="821">
                  <c:v>21841</c:v>
                </c:pt>
                <c:pt idx="822">
                  <c:v>21842</c:v>
                </c:pt>
                <c:pt idx="823">
                  <c:v>21843</c:v>
                </c:pt>
                <c:pt idx="824">
                  <c:v>21844</c:v>
                </c:pt>
                <c:pt idx="825">
                  <c:v>21845</c:v>
                </c:pt>
                <c:pt idx="826">
                  <c:v>21846</c:v>
                </c:pt>
                <c:pt idx="827">
                  <c:v>21847</c:v>
                </c:pt>
                <c:pt idx="828">
                  <c:v>21848</c:v>
                </c:pt>
                <c:pt idx="829">
                  <c:v>21849</c:v>
                </c:pt>
                <c:pt idx="830">
                  <c:v>21850</c:v>
                </c:pt>
                <c:pt idx="831">
                  <c:v>21851</c:v>
                </c:pt>
                <c:pt idx="832">
                  <c:v>21852</c:v>
                </c:pt>
                <c:pt idx="833">
                  <c:v>21853</c:v>
                </c:pt>
                <c:pt idx="834">
                  <c:v>21854</c:v>
                </c:pt>
                <c:pt idx="835">
                  <c:v>21855</c:v>
                </c:pt>
                <c:pt idx="836">
                  <c:v>21856</c:v>
                </c:pt>
                <c:pt idx="837">
                  <c:v>21857</c:v>
                </c:pt>
                <c:pt idx="838">
                  <c:v>21858</c:v>
                </c:pt>
                <c:pt idx="839">
                  <c:v>22846</c:v>
                </c:pt>
                <c:pt idx="840">
                  <c:v>22847</c:v>
                </c:pt>
                <c:pt idx="841">
                  <c:v>22848</c:v>
                </c:pt>
                <c:pt idx="842">
                  <c:v>22849</c:v>
                </c:pt>
                <c:pt idx="843">
                  <c:v>22850</c:v>
                </c:pt>
                <c:pt idx="844">
                  <c:v>22851</c:v>
                </c:pt>
                <c:pt idx="845">
                  <c:v>22852</c:v>
                </c:pt>
                <c:pt idx="846">
                  <c:v>22853</c:v>
                </c:pt>
                <c:pt idx="847">
                  <c:v>22854</c:v>
                </c:pt>
                <c:pt idx="848">
                  <c:v>22855</c:v>
                </c:pt>
                <c:pt idx="849">
                  <c:v>22856</c:v>
                </c:pt>
                <c:pt idx="850">
                  <c:v>22857</c:v>
                </c:pt>
                <c:pt idx="851">
                  <c:v>22858</c:v>
                </c:pt>
                <c:pt idx="852">
                  <c:v>22859</c:v>
                </c:pt>
                <c:pt idx="853">
                  <c:v>22860</c:v>
                </c:pt>
                <c:pt idx="854">
                  <c:v>22861</c:v>
                </c:pt>
                <c:pt idx="855">
                  <c:v>22862</c:v>
                </c:pt>
                <c:pt idx="856">
                  <c:v>22863</c:v>
                </c:pt>
                <c:pt idx="857">
                  <c:v>22864</c:v>
                </c:pt>
                <c:pt idx="858">
                  <c:v>22865</c:v>
                </c:pt>
                <c:pt idx="859">
                  <c:v>23670</c:v>
                </c:pt>
                <c:pt idx="860">
                  <c:v>23671</c:v>
                </c:pt>
                <c:pt idx="861">
                  <c:v>23672</c:v>
                </c:pt>
                <c:pt idx="862">
                  <c:v>23673</c:v>
                </c:pt>
                <c:pt idx="863">
                  <c:v>23674</c:v>
                </c:pt>
                <c:pt idx="864">
                  <c:v>23675</c:v>
                </c:pt>
                <c:pt idx="865">
                  <c:v>23676</c:v>
                </c:pt>
                <c:pt idx="866">
                  <c:v>23677</c:v>
                </c:pt>
                <c:pt idx="867">
                  <c:v>23678</c:v>
                </c:pt>
                <c:pt idx="868">
                  <c:v>23679</c:v>
                </c:pt>
                <c:pt idx="869">
                  <c:v>23680</c:v>
                </c:pt>
                <c:pt idx="870">
                  <c:v>23681</c:v>
                </c:pt>
                <c:pt idx="871">
                  <c:v>23682</c:v>
                </c:pt>
                <c:pt idx="872">
                  <c:v>23683</c:v>
                </c:pt>
                <c:pt idx="873">
                  <c:v>23684</c:v>
                </c:pt>
                <c:pt idx="874">
                  <c:v>23685</c:v>
                </c:pt>
                <c:pt idx="875">
                  <c:v>23686</c:v>
                </c:pt>
                <c:pt idx="876">
                  <c:v>23687</c:v>
                </c:pt>
                <c:pt idx="877">
                  <c:v>23688</c:v>
                </c:pt>
                <c:pt idx="878">
                  <c:v>23689</c:v>
                </c:pt>
                <c:pt idx="879">
                  <c:v>23690</c:v>
                </c:pt>
                <c:pt idx="880">
                  <c:v>23691</c:v>
                </c:pt>
                <c:pt idx="881">
                  <c:v>23692</c:v>
                </c:pt>
                <c:pt idx="882">
                  <c:v>23693</c:v>
                </c:pt>
                <c:pt idx="883">
                  <c:v>23694</c:v>
                </c:pt>
                <c:pt idx="884">
                  <c:v>23695</c:v>
                </c:pt>
                <c:pt idx="885">
                  <c:v>23696</c:v>
                </c:pt>
                <c:pt idx="886">
                  <c:v>23697</c:v>
                </c:pt>
                <c:pt idx="887">
                  <c:v>23698</c:v>
                </c:pt>
                <c:pt idx="888">
                  <c:v>23699</c:v>
                </c:pt>
                <c:pt idx="889">
                  <c:v>23700</c:v>
                </c:pt>
                <c:pt idx="890">
                  <c:v>23701</c:v>
                </c:pt>
                <c:pt idx="891">
                  <c:v>23702</c:v>
                </c:pt>
                <c:pt idx="892">
                  <c:v>23703</c:v>
                </c:pt>
                <c:pt idx="893">
                  <c:v>23704</c:v>
                </c:pt>
                <c:pt idx="894">
                  <c:v>23705</c:v>
                </c:pt>
                <c:pt idx="895">
                  <c:v>23706</c:v>
                </c:pt>
                <c:pt idx="896">
                  <c:v>23707</c:v>
                </c:pt>
                <c:pt idx="897">
                  <c:v>23708</c:v>
                </c:pt>
                <c:pt idx="898">
                  <c:v>23709</c:v>
                </c:pt>
              </c:numCache>
            </c:numRef>
          </c:cat>
          <c:val>
            <c:numRef>
              <c:f>'Time and cycles'!$D$2:$D$900</c:f>
              <c:numCache>
                <c:formatCode>0.00</c:formatCode>
                <c:ptCount val="899"/>
                <c:pt idx="0">
                  <c:v>127.00000014156103</c:v>
                </c:pt>
                <c:pt idx="1">
                  <c:v>158.00000047311187</c:v>
                </c:pt>
                <c:pt idx="2">
                  <c:v>146.00000018253922</c:v>
                </c:pt>
                <c:pt idx="3">
                  <c:v>151.00000009406358</c:v>
                </c:pt>
                <c:pt idx="4">
                  <c:v>147.00000041630119</c:v>
                </c:pt>
                <c:pt idx="5">
                  <c:v>152.00000032782555</c:v>
                </c:pt>
                <c:pt idx="6">
                  <c:v>153.999999538064</c:v>
                </c:pt>
                <c:pt idx="7">
                  <c:v>165.00000022351742</c:v>
                </c:pt>
                <c:pt idx="8">
                  <c:v>202.00000007171184</c:v>
                </c:pt>
                <c:pt idx="9">
                  <c:v>154.00000016670674</c:v>
                </c:pt>
                <c:pt idx="10">
                  <c:v>157.99999984446913</c:v>
                </c:pt>
                <c:pt idx="11">
                  <c:v>171.99999997392297</c:v>
                </c:pt>
                <c:pt idx="12">
                  <c:v>146.00000018253922</c:v>
                </c:pt>
                <c:pt idx="13">
                  <c:v>144.99999994877726</c:v>
                </c:pt>
                <c:pt idx="14">
                  <c:v>146.00000018253922</c:v>
                </c:pt>
                <c:pt idx="15">
                  <c:v>150.99999946542084</c:v>
                </c:pt>
                <c:pt idx="16">
                  <c:v>143.00000010989606</c:v>
                </c:pt>
                <c:pt idx="17">
                  <c:v>153.999999538064</c:v>
                </c:pt>
                <c:pt idx="18">
                  <c:v>151.00000009406358</c:v>
                </c:pt>
                <c:pt idx="19">
                  <c:v>116.99999968986958</c:v>
                </c:pt>
                <c:pt idx="20">
                  <c:v>117.00000031851232</c:v>
                </c:pt>
                <c:pt idx="21">
                  <c:v>116.00000008475035</c:v>
                </c:pt>
                <c:pt idx="22">
                  <c:v>111.99999977834523</c:v>
                </c:pt>
                <c:pt idx="23">
                  <c:v>108.00000010058284</c:v>
                </c:pt>
                <c:pt idx="24">
                  <c:v>127.99999974668026</c:v>
                </c:pt>
                <c:pt idx="25">
                  <c:v>119.99999976251274</c:v>
                </c:pt>
                <c:pt idx="26">
                  <c:v>157.0000002393499</c:v>
                </c:pt>
                <c:pt idx="27">
                  <c:v>124.9999996740371</c:v>
                </c:pt>
                <c:pt idx="28">
                  <c:v>127.00000014156103</c:v>
                </c:pt>
                <c:pt idx="29">
                  <c:v>128.99999998044223</c:v>
                </c:pt>
                <c:pt idx="30">
                  <c:v>128.99999998044223</c:v>
                </c:pt>
                <c:pt idx="31">
                  <c:v>127.00000014156103</c:v>
                </c:pt>
                <c:pt idx="32">
                  <c:v>122.00000023003668</c:v>
                </c:pt>
                <c:pt idx="33">
                  <c:v>116.00000008475035</c:v>
                </c:pt>
                <c:pt idx="34">
                  <c:v>117.99999992363155</c:v>
                </c:pt>
                <c:pt idx="35">
                  <c:v>125.99999990779907</c:v>
                </c:pt>
                <c:pt idx="36">
                  <c:v>134.99999949708581</c:v>
                </c:pt>
                <c:pt idx="37">
                  <c:v>141.00000027101487</c:v>
                </c:pt>
                <c:pt idx="38">
                  <c:v>129.99999958556145</c:v>
                </c:pt>
                <c:pt idx="39">
                  <c:v>149.99999986030161</c:v>
                </c:pt>
                <c:pt idx="40">
                  <c:v>147.00000041630119</c:v>
                </c:pt>
                <c:pt idx="41">
                  <c:v>136.99999996460974</c:v>
                </c:pt>
                <c:pt idx="42">
                  <c:v>144.00000034365803</c:v>
                </c:pt>
                <c:pt idx="43">
                  <c:v>161.99999952223152</c:v>
                </c:pt>
                <c:pt idx="44">
                  <c:v>146.99999978765845</c:v>
                </c:pt>
                <c:pt idx="45">
                  <c:v>149.00000025518239</c:v>
                </c:pt>
                <c:pt idx="46">
                  <c:v>140.99999964237213</c:v>
                </c:pt>
                <c:pt idx="47">
                  <c:v>162.00000015087426</c:v>
                </c:pt>
                <c:pt idx="48">
                  <c:v>168.99999990127981</c:v>
                </c:pt>
                <c:pt idx="49">
                  <c:v>160.00000031199306</c:v>
                </c:pt>
                <c:pt idx="50">
                  <c:v>153.999999538064</c:v>
                </c:pt>
                <c:pt idx="51">
                  <c:v>135.00000012572855</c:v>
                </c:pt>
                <c:pt idx="52">
                  <c:v>137.99999956972897</c:v>
                </c:pt>
                <c:pt idx="53">
                  <c:v>135.00000012572855</c:v>
                </c:pt>
                <c:pt idx="54">
                  <c:v>138.99999980349094</c:v>
                </c:pt>
                <c:pt idx="55">
                  <c:v>162.00000015087426</c:v>
                </c:pt>
                <c:pt idx="56">
                  <c:v>146.99999978765845</c:v>
                </c:pt>
                <c:pt idx="57">
                  <c:v>138.00000019837171</c:v>
                </c:pt>
                <c:pt idx="58">
                  <c:v>168.00000029616058</c:v>
                </c:pt>
                <c:pt idx="59">
                  <c:v>167.00000006239861</c:v>
                </c:pt>
                <c:pt idx="60">
                  <c:v>159.99999968335032</c:v>
                </c:pt>
                <c:pt idx="61">
                  <c:v>156.99999961070716</c:v>
                </c:pt>
                <c:pt idx="62">
                  <c:v>579.00000018998981</c:v>
                </c:pt>
                <c:pt idx="63">
                  <c:v>160.99999991711229</c:v>
                </c:pt>
                <c:pt idx="64">
                  <c:v>157.99999984446913</c:v>
                </c:pt>
                <c:pt idx="65">
                  <c:v>154.99999977182597</c:v>
                </c:pt>
                <c:pt idx="66">
                  <c:v>155.00000040046871</c:v>
                </c:pt>
                <c:pt idx="67">
                  <c:v>152.99999993294477</c:v>
                </c:pt>
                <c:pt idx="68">
                  <c:v>159.0000000782311</c:v>
                </c:pt>
                <c:pt idx="69">
                  <c:v>157.0000002393499</c:v>
                </c:pt>
                <c:pt idx="70">
                  <c:v>154.99999977182597</c:v>
                </c:pt>
                <c:pt idx="71">
                  <c:v>159.0000000782311</c:v>
                </c:pt>
                <c:pt idx="72">
                  <c:v>161.00000054575503</c:v>
                </c:pt>
                <c:pt idx="73">
                  <c:v>154.00000016670674</c:v>
                </c:pt>
                <c:pt idx="74">
                  <c:v>159.0000000782311</c:v>
                </c:pt>
                <c:pt idx="75">
                  <c:v>156.00000000558794</c:v>
                </c:pt>
                <c:pt idx="76">
                  <c:v>159.0000000782311</c:v>
                </c:pt>
                <c:pt idx="77">
                  <c:v>157.99999984446913</c:v>
                </c:pt>
                <c:pt idx="78">
                  <c:v>154.99999977182597</c:v>
                </c:pt>
                <c:pt idx="79">
                  <c:v>159.99999968335032</c:v>
                </c:pt>
                <c:pt idx="80">
                  <c:v>165.00000022351742</c:v>
                </c:pt>
                <c:pt idx="81">
                  <c:v>160.99999991711229</c:v>
                </c:pt>
                <c:pt idx="82">
                  <c:v>160.99999991711229</c:v>
                </c:pt>
                <c:pt idx="83">
                  <c:v>163.99999998975545</c:v>
                </c:pt>
                <c:pt idx="84">
                  <c:v>157.0000002393499</c:v>
                </c:pt>
                <c:pt idx="85">
                  <c:v>160.99999991711229</c:v>
                </c:pt>
                <c:pt idx="86">
                  <c:v>156.00000000558794</c:v>
                </c:pt>
                <c:pt idx="87">
                  <c:v>157.99999984446913</c:v>
                </c:pt>
                <c:pt idx="88">
                  <c:v>158.00000047311187</c:v>
                </c:pt>
                <c:pt idx="89">
                  <c:v>160.99999991711229</c:v>
                </c:pt>
                <c:pt idx="90">
                  <c:v>157.0000002393499</c:v>
                </c:pt>
                <c:pt idx="91">
                  <c:v>152.99999993294477</c:v>
                </c:pt>
                <c:pt idx="92">
                  <c:v>159.0000000782311</c:v>
                </c:pt>
                <c:pt idx="93">
                  <c:v>159.99999968335032</c:v>
                </c:pt>
                <c:pt idx="94">
                  <c:v>163.00000038463622</c:v>
                </c:pt>
                <c:pt idx="95">
                  <c:v>157.0000002393499</c:v>
                </c:pt>
                <c:pt idx="96">
                  <c:v>154.00000016670674</c:v>
                </c:pt>
                <c:pt idx="97">
                  <c:v>154.99999977182597</c:v>
                </c:pt>
                <c:pt idx="98">
                  <c:v>160.00000031199306</c:v>
                </c:pt>
                <c:pt idx="99">
                  <c:v>121.99999960139394</c:v>
                </c:pt>
                <c:pt idx="100">
                  <c:v>165.99999982863665</c:v>
                </c:pt>
                <c:pt idx="101">
                  <c:v>156.00000000558794</c:v>
                </c:pt>
                <c:pt idx="102">
                  <c:v>154.99999977182597</c:v>
                </c:pt>
                <c:pt idx="103">
                  <c:v>154.99999977182597</c:v>
                </c:pt>
                <c:pt idx="104">
                  <c:v>154.99999977182597</c:v>
                </c:pt>
                <c:pt idx="105">
                  <c:v>156.99999961070716</c:v>
                </c:pt>
                <c:pt idx="106">
                  <c:v>157.0000002393499</c:v>
                </c:pt>
                <c:pt idx="107">
                  <c:v>159.0000000782311</c:v>
                </c:pt>
                <c:pt idx="108">
                  <c:v>146.99999978765845</c:v>
                </c:pt>
                <c:pt idx="109">
                  <c:v>148.00000002142042</c:v>
                </c:pt>
                <c:pt idx="110">
                  <c:v>127.99999974668026</c:v>
                </c:pt>
                <c:pt idx="111">
                  <c:v>127.00000014156103</c:v>
                </c:pt>
                <c:pt idx="112">
                  <c:v>125.00000030267984</c:v>
                </c:pt>
                <c:pt idx="113">
                  <c:v>124.9999996740371</c:v>
                </c:pt>
                <c:pt idx="114">
                  <c:v>131.99999942444265</c:v>
                </c:pt>
                <c:pt idx="115">
                  <c:v>125.99999990779907</c:v>
                </c:pt>
                <c:pt idx="116">
                  <c:v>127.00000014156103</c:v>
                </c:pt>
                <c:pt idx="117">
                  <c:v>127.99999974668026</c:v>
                </c:pt>
                <c:pt idx="118">
                  <c:v>123.00000046379864</c:v>
                </c:pt>
                <c:pt idx="119">
                  <c:v>167.00000006239861</c:v>
                </c:pt>
                <c:pt idx="120">
                  <c:v>156.00000000558794</c:v>
                </c:pt>
                <c:pt idx="121">
                  <c:v>154.99999977182597</c:v>
                </c:pt>
                <c:pt idx="122">
                  <c:v>157.0000002393499</c:v>
                </c:pt>
                <c:pt idx="123">
                  <c:v>409.00000005494803</c:v>
                </c:pt>
                <c:pt idx="124">
                  <c:v>159</c:v>
                </c:pt>
                <c:pt idx="125">
                  <c:v>150</c:v>
                </c:pt>
                <c:pt idx="126">
                  <c:v>149</c:v>
                </c:pt>
                <c:pt idx="127">
                  <c:v>146.00000000000003</c:v>
                </c:pt>
                <c:pt idx="128">
                  <c:v>143</c:v>
                </c:pt>
                <c:pt idx="129">
                  <c:v>138</c:v>
                </c:pt>
                <c:pt idx="130">
                  <c:v>150</c:v>
                </c:pt>
                <c:pt idx="131">
                  <c:v>138</c:v>
                </c:pt>
                <c:pt idx="132">
                  <c:v>142</c:v>
                </c:pt>
                <c:pt idx="133">
                  <c:v>140</c:v>
                </c:pt>
                <c:pt idx="134">
                  <c:v>170.00000000000003</c:v>
                </c:pt>
                <c:pt idx="135">
                  <c:v>162.00000000000003</c:v>
                </c:pt>
                <c:pt idx="136">
                  <c:v>140</c:v>
                </c:pt>
                <c:pt idx="137">
                  <c:v>136</c:v>
                </c:pt>
                <c:pt idx="138">
                  <c:v>139</c:v>
                </c:pt>
                <c:pt idx="139">
                  <c:v>200.00000023283064</c:v>
                </c:pt>
                <c:pt idx="140">
                  <c:v>119.99999976251274</c:v>
                </c:pt>
                <c:pt idx="141">
                  <c:v>139.00000043213367</c:v>
                </c:pt>
                <c:pt idx="142">
                  <c:v>106.99999986682087</c:v>
                </c:pt>
                <c:pt idx="143">
                  <c:v>124.00000006891787</c:v>
                </c:pt>
                <c:pt idx="144">
                  <c:v>138.00000019837171</c:v>
                </c:pt>
                <c:pt idx="145">
                  <c:v>76.999999769032001</c:v>
                </c:pt>
                <c:pt idx="146">
                  <c:v>154.00000016670674</c:v>
                </c:pt>
                <c:pt idx="147">
                  <c:v>194.99999969266355</c:v>
                </c:pt>
                <c:pt idx="148">
                  <c:v>157.99999984446913</c:v>
                </c:pt>
                <c:pt idx="149">
                  <c:v>162.00000015087426</c:v>
                </c:pt>
                <c:pt idx="150">
                  <c:v>171.99999997392297</c:v>
                </c:pt>
                <c:pt idx="151">
                  <c:v>180.99999956320971</c:v>
                </c:pt>
                <c:pt idx="152">
                  <c:v>359.00000031106174</c:v>
                </c:pt>
                <c:pt idx="153">
                  <c:v>138.00000019837171</c:v>
                </c:pt>
                <c:pt idx="154">
                  <c:v>151.00000009406358</c:v>
                </c:pt>
                <c:pt idx="155">
                  <c:v>137.99999956972897</c:v>
                </c:pt>
                <c:pt idx="156">
                  <c:v>165</c:v>
                </c:pt>
                <c:pt idx="157">
                  <c:v>164</c:v>
                </c:pt>
                <c:pt idx="158">
                  <c:v>161</c:v>
                </c:pt>
                <c:pt idx="159">
                  <c:v>167.99999999999997</c:v>
                </c:pt>
                <c:pt idx="160">
                  <c:v>153</c:v>
                </c:pt>
                <c:pt idx="161">
                  <c:v>149</c:v>
                </c:pt>
                <c:pt idx="162">
                  <c:v>149</c:v>
                </c:pt>
                <c:pt idx="163">
                  <c:v>146.00000000000003</c:v>
                </c:pt>
                <c:pt idx="164">
                  <c:v>144</c:v>
                </c:pt>
                <c:pt idx="165">
                  <c:v>141</c:v>
                </c:pt>
                <c:pt idx="166">
                  <c:v>136.99999999999997</c:v>
                </c:pt>
                <c:pt idx="167">
                  <c:v>143</c:v>
                </c:pt>
                <c:pt idx="168">
                  <c:v>147.00000000000003</c:v>
                </c:pt>
                <c:pt idx="169">
                  <c:v>152</c:v>
                </c:pt>
                <c:pt idx="170">
                  <c:v>144.99999999999997</c:v>
                </c:pt>
                <c:pt idx="171">
                  <c:v>154</c:v>
                </c:pt>
                <c:pt idx="172">
                  <c:v>150</c:v>
                </c:pt>
                <c:pt idx="173">
                  <c:v>149</c:v>
                </c:pt>
                <c:pt idx="174">
                  <c:v>140</c:v>
                </c:pt>
                <c:pt idx="175">
                  <c:v>152</c:v>
                </c:pt>
                <c:pt idx="176">
                  <c:v>148</c:v>
                </c:pt>
                <c:pt idx="177">
                  <c:v>150</c:v>
                </c:pt>
                <c:pt idx="178">
                  <c:v>153</c:v>
                </c:pt>
                <c:pt idx="179">
                  <c:v>174.99999999999997</c:v>
                </c:pt>
                <c:pt idx="180">
                  <c:v>319.99999999534339</c:v>
                </c:pt>
                <c:pt idx="181">
                  <c:v>153</c:v>
                </c:pt>
                <c:pt idx="182">
                  <c:v>135</c:v>
                </c:pt>
                <c:pt idx="183">
                  <c:v>136.99999999999997</c:v>
                </c:pt>
                <c:pt idx="184">
                  <c:v>142</c:v>
                </c:pt>
                <c:pt idx="185">
                  <c:v>142</c:v>
                </c:pt>
                <c:pt idx="186">
                  <c:v>141</c:v>
                </c:pt>
                <c:pt idx="187">
                  <c:v>136</c:v>
                </c:pt>
                <c:pt idx="188">
                  <c:v>136.99999999999997</c:v>
                </c:pt>
                <c:pt idx="189">
                  <c:v>142</c:v>
                </c:pt>
                <c:pt idx="190">
                  <c:v>144</c:v>
                </c:pt>
                <c:pt idx="191">
                  <c:v>141</c:v>
                </c:pt>
                <c:pt idx="192">
                  <c:v>151</c:v>
                </c:pt>
                <c:pt idx="193">
                  <c:v>144.99999999999997</c:v>
                </c:pt>
                <c:pt idx="194">
                  <c:v>159</c:v>
                </c:pt>
                <c:pt idx="195">
                  <c:v>147.00000000000003</c:v>
                </c:pt>
                <c:pt idx="196">
                  <c:v>138</c:v>
                </c:pt>
                <c:pt idx="197">
                  <c:v>143</c:v>
                </c:pt>
                <c:pt idx="198">
                  <c:v>143</c:v>
                </c:pt>
                <c:pt idx="199">
                  <c:v>167.99999999999997</c:v>
                </c:pt>
                <c:pt idx="200">
                  <c:v>159.99999999999997</c:v>
                </c:pt>
                <c:pt idx="201">
                  <c:v>159</c:v>
                </c:pt>
                <c:pt idx="202">
                  <c:v>163</c:v>
                </c:pt>
                <c:pt idx="203">
                  <c:v>174.99999999999997</c:v>
                </c:pt>
                <c:pt idx="204">
                  <c:v>173.00000000000003</c:v>
                </c:pt>
                <c:pt idx="205">
                  <c:v>165</c:v>
                </c:pt>
                <c:pt idx="206">
                  <c:v>170.00000000000003</c:v>
                </c:pt>
                <c:pt idx="207">
                  <c:v>162.00000000000003</c:v>
                </c:pt>
                <c:pt idx="208">
                  <c:v>171</c:v>
                </c:pt>
                <c:pt idx="209">
                  <c:v>174</c:v>
                </c:pt>
                <c:pt idx="210">
                  <c:v>165</c:v>
                </c:pt>
                <c:pt idx="211">
                  <c:v>164</c:v>
                </c:pt>
                <c:pt idx="212">
                  <c:v>164</c:v>
                </c:pt>
                <c:pt idx="213">
                  <c:v>167.99999999999997</c:v>
                </c:pt>
                <c:pt idx="214">
                  <c:v>167.99999999999997</c:v>
                </c:pt>
                <c:pt idx="215">
                  <c:v>177.00000000000003</c:v>
                </c:pt>
                <c:pt idx="216">
                  <c:v>162.00000000000003</c:v>
                </c:pt>
                <c:pt idx="217">
                  <c:v>164</c:v>
                </c:pt>
                <c:pt idx="218">
                  <c:v>157</c:v>
                </c:pt>
                <c:pt idx="219">
                  <c:v>136.00000035949051</c:v>
                </c:pt>
                <c:pt idx="220">
                  <c:v>138.99999980349094</c:v>
                </c:pt>
                <c:pt idx="221">
                  <c:v>140.0000000372529</c:v>
                </c:pt>
                <c:pt idx="222">
                  <c:v>141.9999998761341</c:v>
                </c:pt>
                <c:pt idx="223">
                  <c:v>140.99999964237213</c:v>
                </c:pt>
                <c:pt idx="224">
                  <c:v>122.9999998351559</c:v>
                </c:pt>
                <c:pt idx="225">
                  <c:v>119.00000015739352</c:v>
                </c:pt>
                <c:pt idx="226">
                  <c:v>113.99999961722642</c:v>
                </c:pt>
                <c:pt idx="227">
                  <c:v>113.00000001210719</c:v>
                </c:pt>
                <c:pt idx="228">
                  <c:v>123.00000046379864</c:v>
                </c:pt>
                <c:pt idx="229">
                  <c:v>112.00000040698797</c:v>
                </c:pt>
                <c:pt idx="230">
                  <c:v>118.99999952875078</c:v>
                </c:pt>
                <c:pt idx="231">
                  <c:v>122.00000023003668</c:v>
                </c:pt>
                <c:pt idx="232">
                  <c:v>127.99999974668026</c:v>
                </c:pt>
                <c:pt idx="233">
                  <c:v>116.00000008475035</c:v>
                </c:pt>
                <c:pt idx="234">
                  <c:v>119.99999976251274</c:v>
                </c:pt>
                <c:pt idx="235">
                  <c:v>127.00000014156103</c:v>
                </c:pt>
                <c:pt idx="236">
                  <c:v>116.00000008475035</c:v>
                </c:pt>
                <c:pt idx="237">
                  <c:v>138.00000019837171</c:v>
                </c:pt>
                <c:pt idx="238">
                  <c:v>114.00000024586916</c:v>
                </c:pt>
                <c:pt idx="239">
                  <c:v>380.00000000000006</c:v>
                </c:pt>
                <c:pt idx="240">
                  <c:v>159</c:v>
                </c:pt>
                <c:pt idx="241">
                  <c:v>141</c:v>
                </c:pt>
                <c:pt idx="242">
                  <c:v>144</c:v>
                </c:pt>
                <c:pt idx="243">
                  <c:v>146.00000000000003</c:v>
                </c:pt>
                <c:pt idx="244">
                  <c:v>157</c:v>
                </c:pt>
                <c:pt idx="245">
                  <c:v>148</c:v>
                </c:pt>
                <c:pt idx="246">
                  <c:v>151</c:v>
                </c:pt>
                <c:pt idx="247">
                  <c:v>153</c:v>
                </c:pt>
                <c:pt idx="248">
                  <c:v>172</c:v>
                </c:pt>
                <c:pt idx="249">
                  <c:v>156</c:v>
                </c:pt>
                <c:pt idx="250">
                  <c:v>164</c:v>
                </c:pt>
                <c:pt idx="251">
                  <c:v>165</c:v>
                </c:pt>
                <c:pt idx="252">
                  <c:v>173.00000000000003</c:v>
                </c:pt>
                <c:pt idx="253">
                  <c:v>159</c:v>
                </c:pt>
                <c:pt idx="254">
                  <c:v>155</c:v>
                </c:pt>
                <c:pt idx="255">
                  <c:v>156</c:v>
                </c:pt>
                <c:pt idx="256">
                  <c:v>165</c:v>
                </c:pt>
                <c:pt idx="257">
                  <c:v>166</c:v>
                </c:pt>
                <c:pt idx="258">
                  <c:v>158</c:v>
                </c:pt>
                <c:pt idx="259">
                  <c:v>155</c:v>
                </c:pt>
                <c:pt idx="260">
                  <c:v>127</c:v>
                </c:pt>
                <c:pt idx="261">
                  <c:v>127</c:v>
                </c:pt>
                <c:pt idx="262">
                  <c:v>130</c:v>
                </c:pt>
                <c:pt idx="263">
                  <c:v>129</c:v>
                </c:pt>
                <c:pt idx="264">
                  <c:v>121.99999999999999</c:v>
                </c:pt>
                <c:pt idx="265">
                  <c:v>131</c:v>
                </c:pt>
                <c:pt idx="266">
                  <c:v>135</c:v>
                </c:pt>
                <c:pt idx="267">
                  <c:v>126.00000000000001</c:v>
                </c:pt>
                <c:pt idx="268">
                  <c:v>124.00000000000003</c:v>
                </c:pt>
                <c:pt idx="269">
                  <c:v>128</c:v>
                </c:pt>
                <c:pt idx="270">
                  <c:v>113.99999999999999</c:v>
                </c:pt>
                <c:pt idx="271">
                  <c:v>118.99999999999999</c:v>
                </c:pt>
                <c:pt idx="272">
                  <c:v>125</c:v>
                </c:pt>
                <c:pt idx="273">
                  <c:v>121.99999999999999</c:v>
                </c:pt>
                <c:pt idx="274">
                  <c:v>121</c:v>
                </c:pt>
                <c:pt idx="275">
                  <c:v>127</c:v>
                </c:pt>
                <c:pt idx="276">
                  <c:v>130</c:v>
                </c:pt>
                <c:pt idx="277">
                  <c:v>128</c:v>
                </c:pt>
                <c:pt idx="278">
                  <c:v>127</c:v>
                </c:pt>
                <c:pt idx="279">
                  <c:v>172</c:v>
                </c:pt>
                <c:pt idx="280">
                  <c:v>163</c:v>
                </c:pt>
                <c:pt idx="281">
                  <c:v>156</c:v>
                </c:pt>
                <c:pt idx="282">
                  <c:v>182.99999999999997</c:v>
                </c:pt>
                <c:pt idx="283">
                  <c:v>149</c:v>
                </c:pt>
                <c:pt idx="284">
                  <c:v>153</c:v>
                </c:pt>
                <c:pt idx="285">
                  <c:v>159</c:v>
                </c:pt>
                <c:pt idx="286">
                  <c:v>159</c:v>
                </c:pt>
                <c:pt idx="287">
                  <c:v>165</c:v>
                </c:pt>
                <c:pt idx="288">
                  <c:v>156</c:v>
                </c:pt>
                <c:pt idx="289">
                  <c:v>319.99999999534339</c:v>
                </c:pt>
                <c:pt idx="290">
                  <c:v>170.00000013504177</c:v>
                </c:pt>
                <c:pt idx="291">
                  <c:v>160.99999991711229</c:v>
                </c:pt>
                <c:pt idx="292">
                  <c:v>154.99999977182597</c:v>
                </c:pt>
                <c:pt idx="293">
                  <c:v>152.00000032782555</c:v>
                </c:pt>
                <c:pt idx="294">
                  <c:v>163.00000038463622</c:v>
                </c:pt>
                <c:pt idx="295">
                  <c:v>163.99999998975545</c:v>
                </c:pt>
                <c:pt idx="296">
                  <c:v>162.99999975599349</c:v>
                </c:pt>
                <c:pt idx="297">
                  <c:v>160.99999991711229</c:v>
                </c:pt>
                <c:pt idx="298">
                  <c:v>164.99999959487468</c:v>
                </c:pt>
                <c:pt idx="299">
                  <c:v>144.99999999999997</c:v>
                </c:pt>
                <c:pt idx="300">
                  <c:v>179</c:v>
                </c:pt>
                <c:pt idx="301">
                  <c:v>87.999999825842679</c:v>
                </c:pt>
                <c:pt idx="302">
                  <c:v>82.000000309199095</c:v>
                </c:pt>
                <c:pt idx="303">
                  <c:v>78.000000002793968</c:v>
                </c:pt>
                <c:pt idx="304">
                  <c:v>49.000000138767064</c:v>
                </c:pt>
                <c:pt idx="305">
                  <c:v>92.999999737367034</c:v>
                </c:pt>
                <c:pt idx="306">
                  <c:v>89.999999664723873</c:v>
                </c:pt>
                <c:pt idx="307">
                  <c:v>81.000000075437129</c:v>
                </c:pt>
                <c:pt idx="308">
                  <c:v>82.000000309199095</c:v>
                </c:pt>
                <c:pt idx="309">
                  <c:v>82.999999914318323</c:v>
                </c:pt>
                <c:pt idx="310">
                  <c:v>82.999999914318323</c:v>
                </c:pt>
                <c:pt idx="311">
                  <c:v>82.000000309199095</c:v>
                </c:pt>
                <c:pt idx="312">
                  <c:v>90.000000293366611</c:v>
                </c:pt>
                <c:pt idx="313">
                  <c:v>82.999999914318323</c:v>
                </c:pt>
                <c:pt idx="314">
                  <c:v>82.999999914318323</c:v>
                </c:pt>
                <c:pt idx="315">
                  <c:v>79.999999841675162</c:v>
                </c:pt>
                <c:pt idx="316">
                  <c:v>84.999999753199518</c:v>
                </c:pt>
                <c:pt idx="317">
                  <c:v>129.99999958556145</c:v>
                </c:pt>
                <c:pt idx="318">
                  <c:v>119.99999976251274</c:v>
                </c:pt>
                <c:pt idx="319">
                  <c:v>144.00000034365803</c:v>
                </c:pt>
                <c:pt idx="320">
                  <c:v>128.99999998044223</c:v>
                </c:pt>
                <c:pt idx="321">
                  <c:v>140.0000000372529</c:v>
                </c:pt>
                <c:pt idx="322">
                  <c:v>132.99999965820462</c:v>
                </c:pt>
                <c:pt idx="323">
                  <c:v>133.99999989196658</c:v>
                </c:pt>
                <c:pt idx="324">
                  <c:v>129.00000060908496</c:v>
                </c:pt>
                <c:pt idx="325">
                  <c:v>120.00000039115548</c:v>
                </c:pt>
                <c:pt idx="326">
                  <c:v>127.99999974668026</c:v>
                </c:pt>
                <c:pt idx="327">
                  <c:v>124.9999996740371</c:v>
                </c:pt>
                <c:pt idx="328">
                  <c:v>127.99999974668026</c:v>
                </c:pt>
                <c:pt idx="329">
                  <c:v>133.99999989196658</c:v>
                </c:pt>
                <c:pt idx="330">
                  <c:v>136.00000035949051</c:v>
                </c:pt>
                <c:pt idx="331">
                  <c:v>119.99999976251274</c:v>
                </c:pt>
                <c:pt idx="332">
                  <c:v>165.99999982863665</c:v>
                </c:pt>
                <c:pt idx="333">
                  <c:v>143.99999971501529</c:v>
                </c:pt>
                <c:pt idx="334">
                  <c:v>120.99999999627471</c:v>
                </c:pt>
                <c:pt idx="335">
                  <c:v>149.00000025518239</c:v>
                </c:pt>
                <c:pt idx="336">
                  <c:v>186.99999970849603</c:v>
                </c:pt>
                <c:pt idx="337">
                  <c:v>187.999999942258</c:v>
                </c:pt>
                <c:pt idx="338">
                  <c:v>170.999999740161</c:v>
                </c:pt>
                <c:pt idx="339">
                  <c:v>111</c:v>
                </c:pt>
                <c:pt idx="340">
                  <c:v>83</c:v>
                </c:pt>
                <c:pt idx="341">
                  <c:v>118.00000000000001</c:v>
                </c:pt>
                <c:pt idx="342">
                  <c:v>106.99999999999999</c:v>
                </c:pt>
                <c:pt idx="343">
                  <c:v>97</c:v>
                </c:pt>
                <c:pt idx="344">
                  <c:v>81.000000000000014</c:v>
                </c:pt>
                <c:pt idx="345">
                  <c:v>101</c:v>
                </c:pt>
                <c:pt idx="346">
                  <c:v>101</c:v>
                </c:pt>
                <c:pt idx="347">
                  <c:v>128</c:v>
                </c:pt>
                <c:pt idx="348">
                  <c:v>118.99999999999999</c:v>
                </c:pt>
                <c:pt idx="349">
                  <c:v>131</c:v>
                </c:pt>
                <c:pt idx="350">
                  <c:v>147.00000000000003</c:v>
                </c:pt>
                <c:pt idx="351">
                  <c:v>132</c:v>
                </c:pt>
                <c:pt idx="352">
                  <c:v>128</c:v>
                </c:pt>
                <c:pt idx="353">
                  <c:v>125</c:v>
                </c:pt>
                <c:pt idx="354">
                  <c:v>126.00000000000001</c:v>
                </c:pt>
                <c:pt idx="355">
                  <c:v>129</c:v>
                </c:pt>
                <c:pt idx="356">
                  <c:v>162.00000000000003</c:v>
                </c:pt>
                <c:pt idx="357">
                  <c:v>161</c:v>
                </c:pt>
                <c:pt idx="358">
                  <c:v>141</c:v>
                </c:pt>
                <c:pt idx="359">
                  <c:v>137.99999956972897</c:v>
                </c:pt>
                <c:pt idx="360">
                  <c:v>136.99999996460974</c:v>
                </c:pt>
                <c:pt idx="361">
                  <c:v>132.00000005308539</c:v>
                </c:pt>
                <c:pt idx="362">
                  <c:v>146.00000018253922</c:v>
                </c:pt>
                <c:pt idx="363">
                  <c:v>143.00000010989606</c:v>
                </c:pt>
                <c:pt idx="364">
                  <c:v>139.00000043213367</c:v>
                </c:pt>
                <c:pt idx="365">
                  <c:v>130.99999981932342</c:v>
                </c:pt>
                <c:pt idx="366">
                  <c:v>113.00000001210719</c:v>
                </c:pt>
                <c:pt idx="367">
                  <c:v>82.999999914318323</c:v>
                </c:pt>
                <c:pt idx="368">
                  <c:v>103.00000018905848</c:v>
                </c:pt>
                <c:pt idx="369">
                  <c:v>122.00000023003668</c:v>
                </c:pt>
                <c:pt idx="370">
                  <c:v>87.00000022072345</c:v>
                </c:pt>
                <c:pt idx="371">
                  <c:v>74.999999930150807</c:v>
                </c:pt>
                <c:pt idx="372">
                  <c:v>100.00000011641532</c:v>
                </c:pt>
                <c:pt idx="373">
                  <c:v>54.000000050291419</c:v>
                </c:pt>
                <c:pt idx="374">
                  <c:v>135.00000012572855</c:v>
                </c:pt>
                <c:pt idx="375">
                  <c:v>126.0000005364418</c:v>
                </c:pt>
                <c:pt idx="376">
                  <c:v>78.000000002793968</c:v>
                </c:pt>
                <c:pt idx="377">
                  <c:v>116.99999968986958</c:v>
                </c:pt>
                <c:pt idx="378">
                  <c:v>100.99999972153455</c:v>
                </c:pt>
                <c:pt idx="379">
                  <c:v>152.00000032782555</c:v>
                </c:pt>
                <c:pt idx="380">
                  <c:v>150.00000048894435</c:v>
                </c:pt>
                <c:pt idx="381">
                  <c:v>154.00000016670674</c:v>
                </c:pt>
                <c:pt idx="382">
                  <c:v>152.99999993294477</c:v>
                </c:pt>
                <c:pt idx="383">
                  <c:v>256.99999972712249</c:v>
                </c:pt>
                <c:pt idx="384">
                  <c:v>160.99999991711229</c:v>
                </c:pt>
                <c:pt idx="385">
                  <c:v>155.00000040046871</c:v>
                </c:pt>
                <c:pt idx="386">
                  <c:v>152.99999993294477</c:v>
                </c:pt>
                <c:pt idx="387">
                  <c:v>154.00000016670674</c:v>
                </c:pt>
                <c:pt idx="388">
                  <c:v>149.99999986030161</c:v>
                </c:pt>
                <c:pt idx="389">
                  <c:v>149.99999986030161</c:v>
                </c:pt>
                <c:pt idx="390">
                  <c:v>149.00000025518239</c:v>
                </c:pt>
                <c:pt idx="391">
                  <c:v>156.99999961070716</c:v>
                </c:pt>
                <c:pt idx="392">
                  <c:v>158.00000047311187</c:v>
                </c:pt>
                <c:pt idx="393">
                  <c:v>152.99999993294477</c:v>
                </c:pt>
                <c:pt idx="394">
                  <c:v>157.0000002393499</c:v>
                </c:pt>
                <c:pt idx="395">
                  <c:v>151.00000009406358</c:v>
                </c:pt>
                <c:pt idx="396">
                  <c:v>154.00000016670674</c:v>
                </c:pt>
                <c:pt idx="397">
                  <c:v>150.00000048894435</c:v>
                </c:pt>
                <c:pt idx="398">
                  <c:v>148.99999962653965</c:v>
                </c:pt>
                <c:pt idx="399">
                  <c:v>129.00000060908496</c:v>
                </c:pt>
                <c:pt idx="400">
                  <c:v>128.000000375323</c:v>
                </c:pt>
                <c:pt idx="401">
                  <c:v>133.00000028684735</c:v>
                </c:pt>
                <c:pt idx="402">
                  <c:v>130.00000021420419</c:v>
                </c:pt>
                <c:pt idx="403">
                  <c:v>132.00000005308539</c:v>
                </c:pt>
                <c:pt idx="404">
                  <c:v>125.00000030267984</c:v>
                </c:pt>
                <c:pt idx="405">
                  <c:v>155.9999993769452</c:v>
                </c:pt>
                <c:pt idx="406">
                  <c:v>153.999999538064</c:v>
                </c:pt>
                <c:pt idx="407">
                  <c:v>180</c:v>
                </c:pt>
                <c:pt idx="408">
                  <c:v>182.99999999999997</c:v>
                </c:pt>
                <c:pt idx="409">
                  <c:v>181</c:v>
                </c:pt>
                <c:pt idx="410">
                  <c:v>181</c:v>
                </c:pt>
                <c:pt idx="411">
                  <c:v>210.00000005587935</c:v>
                </c:pt>
                <c:pt idx="412">
                  <c:v>195.00000032130629</c:v>
                </c:pt>
                <c:pt idx="413">
                  <c:v>323.00000006798655</c:v>
                </c:pt>
                <c:pt idx="414">
                  <c:v>128.000000375323</c:v>
                </c:pt>
                <c:pt idx="415">
                  <c:v>127.00000014156103</c:v>
                </c:pt>
                <c:pt idx="416">
                  <c:v>184.00000026449561</c:v>
                </c:pt>
                <c:pt idx="417">
                  <c:v>239.000000548549</c:v>
                </c:pt>
                <c:pt idx="418">
                  <c:v>194</c:v>
                </c:pt>
                <c:pt idx="419">
                  <c:v>175.00000004656613</c:v>
                </c:pt>
                <c:pt idx="420">
                  <c:v>169.99999950639904</c:v>
                </c:pt>
                <c:pt idx="421">
                  <c:v>171.00000036880374</c:v>
                </c:pt>
                <c:pt idx="422">
                  <c:v>181.00000019185245</c:v>
                </c:pt>
                <c:pt idx="423">
                  <c:v>167.99999966751784</c:v>
                </c:pt>
                <c:pt idx="424">
                  <c:v>173.00000020768493</c:v>
                </c:pt>
                <c:pt idx="425">
                  <c:v>162.00000015087426</c:v>
                </c:pt>
                <c:pt idx="426">
                  <c:v>241.00000038743019</c:v>
                </c:pt>
                <c:pt idx="427">
                  <c:v>167.00000006239861</c:v>
                </c:pt>
                <c:pt idx="428">
                  <c:v>178.00000011920929</c:v>
                </c:pt>
                <c:pt idx="429">
                  <c:v>173.00000020768493</c:v>
                </c:pt>
                <c:pt idx="430">
                  <c:v>174.0000004414469</c:v>
                </c:pt>
                <c:pt idx="431">
                  <c:v>183.00000003073364</c:v>
                </c:pt>
                <c:pt idx="432">
                  <c:v>169.00000052992254</c:v>
                </c:pt>
                <c:pt idx="433">
                  <c:v>168.00000029616058</c:v>
                </c:pt>
                <c:pt idx="434">
                  <c:v>167.00000006239861</c:v>
                </c:pt>
                <c:pt idx="435">
                  <c:v>168.99999990127981</c:v>
                </c:pt>
                <c:pt idx="436">
                  <c:v>175.99999965168536</c:v>
                </c:pt>
                <c:pt idx="437">
                  <c:v>178.99999972432852</c:v>
                </c:pt>
                <c:pt idx="438">
                  <c:v>179.00000035297126</c:v>
                </c:pt>
                <c:pt idx="439">
                  <c:v>146.00000018253922</c:v>
                </c:pt>
                <c:pt idx="440">
                  <c:v>132.99999965820462</c:v>
                </c:pt>
                <c:pt idx="441">
                  <c:v>153.999999538064</c:v>
                </c:pt>
                <c:pt idx="442">
                  <c:v>128</c:v>
                </c:pt>
                <c:pt idx="443">
                  <c:v>129</c:v>
                </c:pt>
                <c:pt idx="444">
                  <c:v>118.99999999999999</c:v>
                </c:pt>
                <c:pt idx="445">
                  <c:v>114.99999999999999</c:v>
                </c:pt>
                <c:pt idx="446">
                  <c:v>112</c:v>
                </c:pt>
                <c:pt idx="447">
                  <c:v>156</c:v>
                </c:pt>
                <c:pt idx="448">
                  <c:v>124.00000000000003</c:v>
                </c:pt>
                <c:pt idx="449">
                  <c:v>125</c:v>
                </c:pt>
                <c:pt idx="450">
                  <c:v>126.00000000000001</c:v>
                </c:pt>
                <c:pt idx="451">
                  <c:v>127</c:v>
                </c:pt>
                <c:pt idx="452">
                  <c:v>128</c:v>
                </c:pt>
                <c:pt idx="453">
                  <c:v>129</c:v>
                </c:pt>
                <c:pt idx="454">
                  <c:v>130</c:v>
                </c:pt>
                <c:pt idx="455">
                  <c:v>131</c:v>
                </c:pt>
                <c:pt idx="456">
                  <c:v>132</c:v>
                </c:pt>
                <c:pt idx="457">
                  <c:v>152</c:v>
                </c:pt>
                <c:pt idx="458">
                  <c:v>153</c:v>
                </c:pt>
                <c:pt idx="459">
                  <c:v>165</c:v>
                </c:pt>
                <c:pt idx="460">
                  <c:v>165</c:v>
                </c:pt>
                <c:pt idx="461">
                  <c:v>154</c:v>
                </c:pt>
                <c:pt idx="462">
                  <c:v>157</c:v>
                </c:pt>
                <c:pt idx="463">
                  <c:v>155</c:v>
                </c:pt>
                <c:pt idx="464">
                  <c:v>158</c:v>
                </c:pt>
                <c:pt idx="465">
                  <c:v>166</c:v>
                </c:pt>
                <c:pt idx="466">
                  <c:v>162.00000000000003</c:v>
                </c:pt>
                <c:pt idx="467">
                  <c:v>174</c:v>
                </c:pt>
                <c:pt idx="468">
                  <c:v>166</c:v>
                </c:pt>
                <c:pt idx="469">
                  <c:v>169</c:v>
                </c:pt>
                <c:pt idx="470">
                  <c:v>170.00000000000003</c:v>
                </c:pt>
                <c:pt idx="471">
                  <c:v>166</c:v>
                </c:pt>
                <c:pt idx="472">
                  <c:v>171</c:v>
                </c:pt>
                <c:pt idx="473">
                  <c:v>171</c:v>
                </c:pt>
                <c:pt idx="474">
                  <c:v>165</c:v>
                </c:pt>
                <c:pt idx="475">
                  <c:v>172</c:v>
                </c:pt>
                <c:pt idx="476">
                  <c:v>167.99999999999997</c:v>
                </c:pt>
                <c:pt idx="477">
                  <c:v>174</c:v>
                </c:pt>
                <c:pt idx="478">
                  <c:v>174.99999999999997</c:v>
                </c:pt>
                <c:pt idx="479">
                  <c:v>81.999999680556357</c:v>
                </c:pt>
                <c:pt idx="480">
                  <c:v>82.999999914318323</c:v>
                </c:pt>
                <c:pt idx="481">
                  <c:v>80.0000004703179</c:v>
                </c:pt>
                <c:pt idx="482">
                  <c:v>80.0000004703179</c:v>
                </c:pt>
                <c:pt idx="483">
                  <c:v>80.999999446794391</c:v>
                </c:pt>
                <c:pt idx="484">
                  <c:v>85.999999986961484</c:v>
                </c:pt>
                <c:pt idx="485">
                  <c:v>88.000000454485416</c:v>
                </c:pt>
                <c:pt idx="486">
                  <c:v>89.000000059604645</c:v>
                </c:pt>
                <c:pt idx="487">
                  <c:v>85.000000381842256</c:v>
                </c:pt>
                <c:pt idx="488">
                  <c:v>86.999999592080712</c:v>
                </c:pt>
                <c:pt idx="489">
                  <c:v>89.999999664723873</c:v>
                </c:pt>
                <c:pt idx="490">
                  <c:v>79.999999841675162</c:v>
                </c:pt>
                <c:pt idx="491">
                  <c:v>124.00000006891787</c:v>
                </c:pt>
                <c:pt idx="492">
                  <c:v>179.99999995809048</c:v>
                </c:pt>
                <c:pt idx="493">
                  <c:v>100.00000011641532</c:v>
                </c:pt>
                <c:pt idx="494">
                  <c:v>116.00000008475035</c:v>
                </c:pt>
                <c:pt idx="495">
                  <c:v>87.999999825842679</c:v>
                </c:pt>
                <c:pt idx="496">
                  <c:v>87.999999825842679</c:v>
                </c:pt>
                <c:pt idx="497">
                  <c:v>87.999999825842679</c:v>
                </c:pt>
                <c:pt idx="498">
                  <c:v>121.99999999999999</c:v>
                </c:pt>
                <c:pt idx="499">
                  <c:v>169.99999950639904</c:v>
                </c:pt>
                <c:pt idx="500">
                  <c:v>160.00000031199306</c:v>
                </c:pt>
                <c:pt idx="501">
                  <c:v>200.99999983794987</c:v>
                </c:pt>
                <c:pt idx="502">
                  <c:v>157.0000002393499</c:v>
                </c:pt>
                <c:pt idx="503">
                  <c:v>171.00000036880374</c:v>
                </c:pt>
                <c:pt idx="504">
                  <c:v>154.00000016670674</c:v>
                </c:pt>
                <c:pt idx="505">
                  <c:v>226.00000002421439</c:v>
                </c:pt>
                <c:pt idx="506">
                  <c:v>189.99999978113919</c:v>
                </c:pt>
                <c:pt idx="507">
                  <c:v>183.00000003073364</c:v>
                </c:pt>
                <c:pt idx="508">
                  <c:v>171.99999997392297</c:v>
                </c:pt>
                <c:pt idx="509">
                  <c:v>182.00000042561442</c:v>
                </c:pt>
                <c:pt idx="510">
                  <c:v>175.00000004656613</c:v>
                </c:pt>
                <c:pt idx="511">
                  <c:v>170.00000013504177</c:v>
                </c:pt>
                <c:pt idx="512">
                  <c:v>173.99999981280416</c:v>
                </c:pt>
                <c:pt idx="513">
                  <c:v>162.00000015087426</c:v>
                </c:pt>
                <c:pt idx="514">
                  <c:v>160.00000031199306</c:v>
                </c:pt>
                <c:pt idx="515">
                  <c:v>159.0000000782311</c:v>
                </c:pt>
                <c:pt idx="516">
                  <c:v>165.99999982863665</c:v>
                </c:pt>
                <c:pt idx="517">
                  <c:v>168.99999990127981</c:v>
                </c:pt>
                <c:pt idx="518">
                  <c:v>171.99999997392297</c:v>
                </c:pt>
                <c:pt idx="519">
                  <c:v>149.99999986030161</c:v>
                </c:pt>
                <c:pt idx="520">
                  <c:v>151.00000009406358</c:v>
                </c:pt>
                <c:pt idx="521">
                  <c:v>151.00000009406358</c:v>
                </c:pt>
                <c:pt idx="522">
                  <c:v>148.99999962653965</c:v>
                </c:pt>
                <c:pt idx="523">
                  <c:v>151.00000009406358</c:v>
                </c:pt>
                <c:pt idx="524">
                  <c:v>149.99999986030161</c:v>
                </c:pt>
                <c:pt idx="525">
                  <c:v>148.00000002142042</c:v>
                </c:pt>
                <c:pt idx="526">
                  <c:v>146.99999978765845</c:v>
                </c:pt>
                <c:pt idx="527">
                  <c:v>146.99999978765845</c:v>
                </c:pt>
                <c:pt idx="528">
                  <c:v>149.99999986030161</c:v>
                </c:pt>
                <c:pt idx="529">
                  <c:v>138.00000019837171</c:v>
                </c:pt>
                <c:pt idx="530">
                  <c:v>133.00000028684735</c:v>
                </c:pt>
                <c:pt idx="531">
                  <c:v>133.99999989196658</c:v>
                </c:pt>
                <c:pt idx="532">
                  <c:v>130.00000021420419</c:v>
                </c:pt>
                <c:pt idx="533">
                  <c:v>89.000000059604645</c:v>
                </c:pt>
                <c:pt idx="534">
                  <c:v>77.000000397674739</c:v>
                </c:pt>
                <c:pt idx="535">
                  <c:v>219.00000027380884</c:v>
                </c:pt>
                <c:pt idx="536">
                  <c:v>361.00499974563718</c:v>
                </c:pt>
                <c:pt idx="537">
                  <c:v>503.00499962177128</c:v>
                </c:pt>
                <c:pt idx="538">
                  <c:v>645.00500012654811</c:v>
                </c:pt>
                <c:pt idx="539">
                  <c:v>173.00000000000003</c:v>
                </c:pt>
                <c:pt idx="540">
                  <c:v>126.00000000000001</c:v>
                </c:pt>
                <c:pt idx="541">
                  <c:v>114.99999999999999</c:v>
                </c:pt>
                <c:pt idx="542">
                  <c:v>121</c:v>
                </c:pt>
                <c:pt idx="543">
                  <c:v>118.99999999999999</c:v>
                </c:pt>
                <c:pt idx="544">
                  <c:v>113</c:v>
                </c:pt>
                <c:pt idx="545">
                  <c:v>112</c:v>
                </c:pt>
                <c:pt idx="546">
                  <c:v>121</c:v>
                </c:pt>
                <c:pt idx="547">
                  <c:v>120</c:v>
                </c:pt>
                <c:pt idx="548">
                  <c:v>112</c:v>
                </c:pt>
                <c:pt idx="549">
                  <c:v>117</c:v>
                </c:pt>
                <c:pt idx="550">
                  <c:v>122.99999999999999</c:v>
                </c:pt>
                <c:pt idx="551">
                  <c:v>118.00000000000001</c:v>
                </c:pt>
                <c:pt idx="552">
                  <c:v>116</c:v>
                </c:pt>
                <c:pt idx="553">
                  <c:v>118.99999999999999</c:v>
                </c:pt>
                <c:pt idx="554">
                  <c:v>118.00000000000001</c:v>
                </c:pt>
                <c:pt idx="555">
                  <c:v>124.00000000000003</c:v>
                </c:pt>
                <c:pt idx="556">
                  <c:v>121</c:v>
                </c:pt>
                <c:pt idx="557">
                  <c:v>133</c:v>
                </c:pt>
                <c:pt idx="558">
                  <c:v>117</c:v>
                </c:pt>
                <c:pt idx="559">
                  <c:v>170.00000013504177</c:v>
                </c:pt>
                <c:pt idx="560">
                  <c:v>167.99999966751784</c:v>
                </c:pt>
                <c:pt idx="561">
                  <c:v>179.99999995809048</c:v>
                </c:pt>
                <c:pt idx="562">
                  <c:v>170.00000013504177</c:v>
                </c:pt>
                <c:pt idx="563">
                  <c:v>171.99999997392297</c:v>
                </c:pt>
                <c:pt idx="564">
                  <c:v>173.00000020768493</c:v>
                </c:pt>
                <c:pt idx="565">
                  <c:v>124.00000006891787</c:v>
                </c:pt>
                <c:pt idx="566">
                  <c:v>130.00000021420419</c:v>
                </c:pt>
                <c:pt idx="567">
                  <c:v>123.99999944027513</c:v>
                </c:pt>
                <c:pt idx="568">
                  <c:v>135.00000012572855</c:v>
                </c:pt>
                <c:pt idx="569">
                  <c:v>128.000000375323</c:v>
                </c:pt>
                <c:pt idx="570">
                  <c:v>144.99999994877726</c:v>
                </c:pt>
                <c:pt idx="571">
                  <c:v>126.0000005364418</c:v>
                </c:pt>
                <c:pt idx="572">
                  <c:v>132.00000005308539</c:v>
                </c:pt>
                <c:pt idx="573">
                  <c:v>127.00000014156103</c:v>
                </c:pt>
                <c:pt idx="574">
                  <c:v>129.99999958556145</c:v>
                </c:pt>
                <c:pt idx="575">
                  <c:v>122.00000023003668</c:v>
                </c:pt>
                <c:pt idx="576">
                  <c:v>123.00000046379864</c:v>
                </c:pt>
                <c:pt idx="577">
                  <c:v>179.99999995809048</c:v>
                </c:pt>
                <c:pt idx="578">
                  <c:v>132.00000005308539</c:v>
                </c:pt>
                <c:pt idx="579">
                  <c:v>135</c:v>
                </c:pt>
                <c:pt idx="580">
                  <c:v>121</c:v>
                </c:pt>
                <c:pt idx="581">
                  <c:v>131</c:v>
                </c:pt>
                <c:pt idx="582">
                  <c:v>113.99999999999999</c:v>
                </c:pt>
                <c:pt idx="583">
                  <c:v>121</c:v>
                </c:pt>
                <c:pt idx="584">
                  <c:v>177.00000000000003</c:v>
                </c:pt>
                <c:pt idx="585">
                  <c:v>116</c:v>
                </c:pt>
                <c:pt idx="586">
                  <c:v>117</c:v>
                </c:pt>
                <c:pt idx="587">
                  <c:v>118.00000000000001</c:v>
                </c:pt>
                <c:pt idx="588">
                  <c:v>112</c:v>
                </c:pt>
                <c:pt idx="589">
                  <c:v>112</c:v>
                </c:pt>
                <c:pt idx="590">
                  <c:v>116</c:v>
                </c:pt>
                <c:pt idx="591">
                  <c:v>121.99999999999999</c:v>
                </c:pt>
                <c:pt idx="592">
                  <c:v>125</c:v>
                </c:pt>
                <c:pt idx="593">
                  <c:v>128</c:v>
                </c:pt>
                <c:pt idx="594">
                  <c:v>146.00000000000003</c:v>
                </c:pt>
                <c:pt idx="595">
                  <c:v>129</c:v>
                </c:pt>
                <c:pt idx="596">
                  <c:v>144.99999999999997</c:v>
                </c:pt>
                <c:pt idx="597">
                  <c:v>144</c:v>
                </c:pt>
                <c:pt idx="598">
                  <c:v>164</c:v>
                </c:pt>
                <c:pt idx="599">
                  <c:v>150</c:v>
                </c:pt>
                <c:pt idx="600">
                  <c:v>150</c:v>
                </c:pt>
                <c:pt idx="601">
                  <c:v>149</c:v>
                </c:pt>
                <c:pt idx="602">
                  <c:v>148</c:v>
                </c:pt>
                <c:pt idx="603">
                  <c:v>142</c:v>
                </c:pt>
                <c:pt idx="604">
                  <c:v>147.00000041630119</c:v>
                </c:pt>
                <c:pt idx="605">
                  <c:v>241.00000038743019</c:v>
                </c:pt>
                <c:pt idx="606">
                  <c:v>146.00000018253922</c:v>
                </c:pt>
                <c:pt idx="607">
                  <c:v>130.99999981932342</c:v>
                </c:pt>
                <c:pt idx="608">
                  <c:v>136.99999996460974</c:v>
                </c:pt>
                <c:pt idx="609">
                  <c:v>132.00000005308539</c:v>
                </c:pt>
                <c:pt idx="610">
                  <c:v>129.99999958556145</c:v>
                </c:pt>
                <c:pt idx="611">
                  <c:v>126.99999951291829</c:v>
                </c:pt>
                <c:pt idx="612">
                  <c:v>131.00000044796616</c:v>
                </c:pt>
                <c:pt idx="613">
                  <c:v>130.00000021420419</c:v>
                </c:pt>
                <c:pt idx="614">
                  <c:v>131.00000044796616</c:v>
                </c:pt>
                <c:pt idx="615">
                  <c:v>135.00000012572855</c:v>
                </c:pt>
                <c:pt idx="616">
                  <c:v>171.00000036880374</c:v>
                </c:pt>
                <c:pt idx="617">
                  <c:v>171.00000036880374</c:v>
                </c:pt>
                <c:pt idx="618">
                  <c:v>154.00000016670674</c:v>
                </c:pt>
                <c:pt idx="619">
                  <c:v>155</c:v>
                </c:pt>
                <c:pt idx="620">
                  <c:v>154</c:v>
                </c:pt>
                <c:pt idx="621">
                  <c:v>162.00000000000003</c:v>
                </c:pt>
                <c:pt idx="622">
                  <c:v>150.00000048894435</c:v>
                </c:pt>
                <c:pt idx="623">
                  <c:v>162.99999975599349</c:v>
                </c:pt>
                <c:pt idx="624">
                  <c:v>164</c:v>
                </c:pt>
                <c:pt idx="625">
                  <c:v>170.00000000000003</c:v>
                </c:pt>
                <c:pt idx="626">
                  <c:v>155</c:v>
                </c:pt>
                <c:pt idx="627">
                  <c:v>156</c:v>
                </c:pt>
                <c:pt idx="628">
                  <c:v>119.99999976251274</c:v>
                </c:pt>
                <c:pt idx="629">
                  <c:v>101.99999995529652</c:v>
                </c:pt>
                <c:pt idx="630">
                  <c:v>90.999999898485839</c:v>
                </c:pt>
                <c:pt idx="631">
                  <c:v>232</c:v>
                </c:pt>
                <c:pt idx="632">
                  <c:v>237.99999999999997</c:v>
                </c:pt>
                <c:pt idx="633">
                  <c:v>224</c:v>
                </c:pt>
                <c:pt idx="634">
                  <c:v>227.99999999999997</c:v>
                </c:pt>
                <c:pt idx="635">
                  <c:v>212</c:v>
                </c:pt>
                <c:pt idx="636">
                  <c:v>217</c:v>
                </c:pt>
                <c:pt idx="637">
                  <c:v>233</c:v>
                </c:pt>
                <c:pt idx="638">
                  <c:v>198</c:v>
                </c:pt>
                <c:pt idx="639">
                  <c:v>205</c:v>
                </c:pt>
                <c:pt idx="640">
                  <c:v>155</c:v>
                </c:pt>
                <c:pt idx="641">
                  <c:v>157</c:v>
                </c:pt>
                <c:pt idx="642">
                  <c:v>157</c:v>
                </c:pt>
                <c:pt idx="643">
                  <c:v>158</c:v>
                </c:pt>
                <c:pt idx="644">
                  <c:v>161</c:v>
                </c:pt>
                <c:pt idx="645">
                  <c:v>158</c:v>
                </c:pt>
                <c:pt idx="646">
                  <c:v>157</c:v>
                </c:pt>
                <c:pt idx="647">
                  <c:v>156</c:v>
                </c:pt>
                <c:pt idx="648">
                  <c:v>159.99999999999997</c:v>
                </c:pt>
                <c:pt idx="649">
                  <c:v>147.00000000000003</c:v>
                </c:pt>
                <c:pt idx="650">
                  <c:v>184</c:v>
                </c:pt>
                <c:pt idx="651">
                  <c:v>159.99999999999997</c:v>
                </c:pt>
                <c:pt idx="652">
                  <c:v>172</c:v>
                </c:pt>
                <c:pt idx="653">
                  <c:v>184</c:v>
                </c:pt>
                <c:pt idx="654">
                  <c:v>174</c:v>
                </c:pt>
                <c:pt idx="655">
                  <c:v>171</c:v>
                </c:pt>
                <c:pt idx="656">
                  <c:v>170.00000000000003</c:v>
                </c:pt>
                <c:pt idx="657">
                  <c:v>172</c:v>
                </c:pt>
                <c:pt idx="658">
                  <c:v>174.99999999999997</c:v>
                </c:pt>
                <c:pt idx="659">
                  <c:v>136.99999999999997</c:v>
                </c:pt>
                <c:pt idx="660">
                  <c:v>140</c:v>
                </c:pt>
                <c:pt idx="661">
                  <c:v>143</c:v>
                </c:pt>
                <c:pt idx="662">
                  <c:v>146.00000000000003</c:v>
                </c:pt>
                <c:pt idx="663">
                  <c:v>141</c:v>
                </c:pt>
                <c:pt idx="664">
                  <c:v>136.99999999999997</c:v>
                </c:pt>
                <c:pt idx="665">
                  <c:v>135</c:v>
                </c:pt>
                <c:pt idx="666">
                  <c:v>146.00000000000003</c:v>
                </c:pt>
                <c:pt idx="667">
                  <c:v>138</c:v>
                </c:pt>
                <c:pt idx="668">
                  <c:v>143</c:v>
                </c:pt>
                <c:pt idx="669">
                  <c:v>143</c:v>
                </c:pt>
                <c:pt idx="670">
                  <c:v>136</c:v>
                </c:pt>
                <c:pt idx="671">
                  <c:v>138</c:v>
                </c:pt>
                <c:pt idx="672">
                  <c:v>150</c:v>
                </c:pt>
                <c:pt idx="673">
                  <c:v>146.00000000000003</c:v>
                </c:pt>
                <c:pt idx="674">
                  <c:v>149</c:v>
                </c:pt>
                <c:pt idx="675">
                  <c:v>144</c:v>
                </c:pt>
                <c:pt idx="676">
                  <c:v>139</c:v>
                </c:pt>
                <c:pt idx="677">
                  <c:v>133</c:v>
                </c:pt>
                <c:pt idx="678">
                  <c:v>135</c:v>
                </c:pt>
                <c:pt idx="679">
                  <c:v>173.00000000000003</c:v>
                </c:pt>
                <c:pt idx="680">
                  <c:v>175.00000004656613</c:v>
                </c:pt>
                <c:pt idx="681">
                  <c:v>227.00000025797635</c:v>
                </c:pt>
                <c:pt idx="682">
                  <c:v>186.00000010337681</c:v>
                </c:pt>
                <c:pt idx="683">
                  <c:v>185.99999947473407</c:v>
                </c:pt>
                <c:pt idx="684">
                  <c:v>184.00000026449561</c:v>
                </c:pt>
                <c:pt idx="685">
                  <c:v>173.99999981280416</c:v>
                </c:pt>
                <c:pt idx="686">
                  <c:v>164.99999959487468</c:v>
                </c:pt>
                <c:pt idx="687">
                  <c:v>173.00000020768493</c:v>
                </c:pt>
                <c:pt idx="688">
                  <c:v>160.99999991711229</c:v>
                </c:pt>
                <c:pt idx="689">
                  <c:v>180.99999956320971</c:v>
                </c:pt>
                <c:pt idx="690">
                  <c:v>189.00000017601997</c:v>
                </c:pt>
                <c:pt idx="691">
                  <c:v>207.00000061187893</c:v>
                </c:pt>
                <c:pt idx="692">
                  <c:v>187.00000033713877</c:v>
                </c:pt>
                <c:pt idx="693">
                  <c:v>168.00000029616058</c:v>
                </c:pt>
                <c:pt idx="694">
                  <c:v>176.99999988544732</c:v>
                </c:pt>
                <c:pt idx="695">
                  <c:v>189.99999978113919</c:v>
                </c:pt>
                <c:pt idx="696">
                  <c:v>160.99999991711229</c:v>
                </c:pt>
                <c:pt idx="697">
                  <c:v>168.00000029616058</c:v>
                </c:pt>
                <c:pt idx="698">
                  <c:v>154.00000016670674</c:v>
                </c:pt>
                <c:pt idx="699">
                  <c:v>149.99999986030161</c:v>
                </c:pt>
                <c:pt idx="700">
                  <c:v>173.00000020768493</c:v>
                </c:pt>
                <c:pt idx="701">
                  <c:v>130.00000021420419</c:v>
                </c:pt>
                <c:pt idx="702">
                  <c:v>148</c:v>
                </c:pt>
                <c:pt idx="703">
                  <c:v>151.00000009406358</c:v>
                </c:pt>
                <c:pt idx="704">
                  <c:v>153.999999538064</c:v>
                </c:pt>
                <c:pt idx="705">
                  <c:v>170.00000013504177</c:v>
                </c:pt>
                <c:pt idx="706">
                  <c:v>157.99999984446913</c:v>
                </c:pt>
                <c:pt idx="707">
                  <c:v>154.99999977182597</c:v>
                </c:pt>
                <c:pt idx="708">
                  <c:v>165.00000022351742</c:v>
                </c:pt>
                <c:pt idx="709">
                  <c:v>159.0000000782311</c:v>
                </c:pt>
                <c:pt idx="710">
                  <c:v>153.999999538064</c:v>
                </c:pt>
                <c:pt idx="711">
                  <c:v>146.99999978765845</c:v>
                </c:pt>
                <c:pt idx="712">
                  <c:v>146.00000018253922</c:v>
                </c:pt>
                <c:pt idx="713">
                  <c:v>159.0000000782311</c:v>
                </c:pt>
                <c:pt idx="714">
                  <c:v>157.99999984446913</c:v>
                </c:pt>
                <c:pt idx="715">
                  <c:v>144.00000034365803</c:v>
                </c:pt>
                <c:pt idx="716">
                  <c:v>155.00000040046871</c:v>
                </c:pt>
                <c:pt idx="717">
                  <c:v>149.99999986030161</c:v>
                </c:pt>
                <c:pt idx="718">
                  <c:v>178.99999972432852</c:v>
                </c:pt>
                <c:pt idx="719">
                  <c:v>136.99999996460974</c:v>
                </c:pt>
                <c:pt idx="720">
                  <c:v>136.00000035949051</c:v>
                </c:pt>
                <c:pt idx="721">
                  <c:v>133.00000028684735</c:v>
                </c:pt>
                <c:pt idx="722">
                  <c:v>124.00000006891787</c:v>
                </c:pt>
                <c:pt idx="723">
                  <c:v>123.99999944027513</c:v>
                </c:pt>
                <c:pt idx="724">
                  <c:v>124.00000006891787</c:v>
                </c:pt>
                <c:pt idx="725">
                  <c:v>127.99999974668026</c:v>
                </c:pt>
                <c:pt idx="726">
                  <c:v>128.000000375323</c:v>
                </c:pt>
                <c:pt idx="727">
                  <c:v>129.99999958556145</c:v>
                </c:pt>
                <c:pt idx="728">
                  <c:v>133.00000028684735</c:v>
                </c:pt>
                <c:pt idx="729">
                  <c:v>130.00000021420419</c:v>
                </c:pt>
                <c:pt idx="730">
                  <c:v>130.00000021420419</c:v>
                </c:pt>
                <c:pt idx="731">
                  <c:v>130.00000021420419</c:v>
                </c:pt>
                <c:pt idx="732">
                  <c:v>129.99999958556145</c:v>
                </c:pt>
                <c:pt idx="733">
                  <c:v>128.99999998044223</c:v>
                </c:pt>
                <c:pt idx="734">
                  <c:v>141.9999998761341</c:v>
                </c:pt>
                <c:pt idx="735">
                  <c:v>152.99999993294477</c:v>
                </c:pt>
                <c:pt idx="736">
                  <c:v>133.00000028684735</c:v>
                </c:pt>
                <c:pt idx="737">
                  <c:v>135.00000012572855</c:v>
                </c:pt>
                <c:pt idx="738">
                  <c:v>124.00000006891787</c:v>
                </c:pt>
                <c:pt idx="739">
                  <c:v>152.99999993294477</c:v>
                </c:pt>
                <c:pt idx="740">
                  <c:v>135.00000012572855</c:v>
                </c:pt>
                <c:pt idx="741">
                  <c:v>168.99999990127981</c:v>
                </c:pt>
                <c:pt idx="742">
                  <c:v>165.00000022351742</c:v>
                </c:pt>
                <c:pt idx="743">
                  <c:v>163.99999998975545</c:v>
                </c:pt>
                <c:pt idx="744">
                  <c:v>169.99999950639904</c:v>
                </c:pt>
                <c:pt idx="745">
                  <c:v>166.99999943375587</c:v>
                </c:pt>
                <c:pt idx="746">
                  <c:v>168.99999990127981</c:v>
                </c:pt>
                <c:pt idx="747">
                  <c:v>168.99999990127981</c:v>
                </c:pt>
                <c:pt idx="748">
                  <c:v>163.99999998975545</c:v>
                </c:pt>
                <c:pt idx="749">
                  <c:v>160.00000031199306</c:v>
                </c:pt>
                <c:pt idx="750">
                  <c:v>165.99999982863665</c:v>
                </c:pt>
                <c:pt idx="751">
                  <c:v>160.00000031199306</c:v>
                </c:pt>
                <c:pt idx="752">
                  <c:v>160.99999991711229</c:v>
                </c:pt>
                <c:pt idx="753">
                  <c:v>159.0000000782311</c:v>
                </c:pt>
                <c:pt idx="754">
                  <c:v>159.99999968335032</c:v>
                </c:pt>
                <c:pt idx="755">
                  <c:v>160.99999991711229</c:v>
                </c:pt>
                <c:pt idx="756">
                  <c:v>154.99999977182597</c:v>
                </c:pt>
                <c:pt idx="757">
                  <c:v>159.0000000782311</c:v>
                </c:pt>
                <c:pt idx="758">
                  <c:v>157.99999984446913</c:v>
                </c:pt>
                <c:pt idx="759">
                  <c:v>152.99999993294477</c:v>
                </c:pt>
                <c:pt idx="760">
                  <c:v>149.00000025518239</c:v>
                </c:pt>
                <c:pt idx="761">
                  <c:v>140.99999964237213</c:v>
                </c:pt>
                <c:pt idx="762">
                  <c:v>149.00000025518239</c:v>
                </c:pt>
                <c:pt idx="763">
                  <c:v>169.99999950639904</c:v>
                </c:pt>
                <c:pt idx="764">
                  <c:v>142.00000050477684</c:v>
                </c:pt>
                <c:pt idx="765">
                  <c:v>133.00000028684735</c:v>
                </c:pt>
                <c:pt idx="766">
                  <c:v>143.00000010989606</c:v>
                </c:pt>
                <c:pt idx="767">
                  <c:v>184.00000026449561</c:v>
                </c:pt>
                <c:pt idx="768">
                  <c:v>170.999999740161</c:v>
                </c:pt>
                <c:pt idx="769">
                  <c:v>149.00000025518239</c:v>
                </c:pt>
                <c:pt idx="770">
                  <c:v>141.00000027101487</c:v>
                </c:pt>
                <c:pt idx="771">
                  <c:v>139.99999940861017</c:v>
                </c:pt>
                <c:pt idx="772">
                  <c:v>146.00000018253922</c:v>
                </c:pt>
                <c:pt idx="773">
                  <c:v>136.99999996460974</c:v>
                </c:pt>
                <c:pt idx="774">
                  <c:v>132.00000005308539</c:v>
                </c:pt>
                <c:pt idx="775">
                  <c:v>146.99999978765845</c:v>
                </c:pt>
                <c:pt idx="776">
                  <c:v>143.99999971501529</c:v>
                </c:pt>
                <c:pt idx="777">
                  <c:v>143.99999971501529</c:v>
                </c:pt>
                <c:pt idx="778">
                  <c:v>139.00000043213367</c:v>
                </c:pt>
                <c:pt idx="779">
                  <c:v>142.00000050477684</c:v>
                </c:pt>
                <c:pt idx="780">
                  <c:v>140.0000000372529</c:v>
                </c:pt>
                <c:pt idx="781">
                  <c:v>146.00000018253922</c:v>
                </c:pt>
                <c:pt idx="782">
                  <c:v>144.99999994877726</c:v>
                </c:pt>
                <c:pt idx="783">
                  <c:v>144.99999994877726</c:v>
                </c:pt>
                <c:pt idx="784">
                  <c:v>162.99999975599349</c:v>
                </c:pt>
                <c:pt idx="785">
                  <c:v>146.00000018253922</c:v>
                </c:pt>
                <c:pt idx="786">
                  <c:v>172</c:v>
                </c:pt>
                <c:pt idx="787">
                  <c:v>171.00000000000003</c:v>
                </c:pt>
                <c:pt idx="788">
                  <c:v>178</c:v>
                </c:pt>
                <c:pt idx="789">
                  <c:v>166</c:v>
                </c:pt>
                <c:pt idx="790">
                  <c:v>167</c:v>
                </c:pt>
                <c:pt idx="791">
                  <c:v>167.99999999999997</c:v>
                </c:pt>
                <c:pt idx="792">
                  <c:v>163</c:v>
                </c:pt>
                <c:pt idx="793">
                  <c:v>181</c:v>
                </c:pt>
                <c:pt idx="794">
                  <c:v>163</c:v>
                </c:pt>
                <c:pt idx="795">
                  <c:v>167.99999999999997</c:v>
                </c:pt>
                <c:pt idx="796">
                  <c:v>173</c:v>
                </c:pt>
                <c:pt idx="797">
                  <c:v>173</c:v>
                </c:pt>
                <c:pt idx="798">
                  <c:v>181</c:v>
                </c:pt>
                <c:pt idx="799">
                  <c:v>157.99999984446913</c:v>
                </c:pt>
                <c:pt idx="800">
                  <c:v>127.00000014156103</c:v>
                </c:pt>
                <c:pt idx="801">
                  <c:v>157.99999984446913</c:v>
                </c:pt>
                <c:pt idx="802">
                  <c:v>141.00000027101487</c:v>
                </c:pt>
                <c:pt idx="803">
                  <c:v>149.00000025518239</c:v>
                </c:pt>
                <c:pt idx="804">
                  <c:v>135.00000012572855</c:v>
                </c:pt>
                <c:pt idx="805">
                  <c:v>125.99999990779907</c:v>
                </c:pt>
                <c:pt idx="806">
                  <c:v>159.99999968335032</c:v>
                </c:pt>
                <c:pt idx="807">
                  <c:v>140.0000000372529</c:v>
                </c:pt>
                <c:pt idx="808">
                  <c:v>127.99999974668026</c:v>
                </c:pt>
                <c:pt idx="809">
                  <c:v>136.99999996460974</c:v>
                </c:pt>
                <c:pt idx="810">
                  <c:v>162.00000015087426</c:v>
                </c:pt>
                <c:pt idx="811">
                  <c:v>135.99999973084778</c:v>
                </c:pt>
                <c:pt idx="812">
                  <c:v>179.99999995809048</c:v>
                </c:pt>
                <c:pt idx="813">
                  <c:v>130.99999981932342</c:v>
                </c:pt>
                <c:pt idx="814">
                  <c:v>124.00000006891787</c:v>
                </c:pt>
                <c:pt idx="815">
                  <c:v>355.00000000465661</c:v>
                </c:pt>
                <c:pt idx="816">
                  <c:v>119.00000015739352</c:v>
                </c:pt>
                <c:pt idx="817">
                  <c:v>117.99999992363155</c:v>
                </c:pt>
                <c:pt idx="818">
                  <c:v>136.99999996460974</c:v>
                </c:pt>
                <c:pt idx="819">
                  <c:v>165</c:v>
                </c:pt>
                <c:pt idx="820">
                  <c:v>181</c:v>
                </c:pt>
                <c:pt idx="821">
                  <c:v>164</c:v>
                </c:pt>
                <c:pt idx="822">
                  <c:v>167.99999999999997</c:v>
                </c:pt>
                <c:pt idx="823">
                  <c:v>167.99999999999997</c:v>
                </c:pt>
                <c:pt idx="824">
                  <c:v>169</c:v>
                </c:pt>
                <c:pt idx="825">
                  <c:v>164</c:v>
                </c:pt>
                <c:pt idx="826">
                  <c:v>67</c:v>
                </c:pt>
                <c:pt idx="827">
                  <c:v>88.000000000000014</c:v>
                </c:pt>
                <c:pt idx="828">
                  <c:v>95</c:v>
                </c:pt>
                <c:pt idx="829">
                  <c:v>77</c:v>
                </c:pt>
                <c:pt idx="830">
                  <c:v>181</c:v>
                </c:pt>
                <c:pt idx="831">
                  <c:v>101.00000000000001</c:v>
                </c:pt>
                <c:pt idx="832">
                  <c:v>167.99999999999997</c:v>
                </c:pt>
                <c:pt idx="833">
                  <c:v>147.00000000000003</c:v>
                </c:pt>
                <c:pt idx="834">
                  <c:v>157</c:v>
                </c:pt>
                <c:pt idx="835">
                  <c:v>122.99999999999999</c:v>
                </c:pt>
                <c:pt idx="836">
                  <c:v>128</c:v>
                </c:pt>
                <c:pt idx="837">
                  <c:v>79</c:v>
                </c:pt>
                <c:pt idx="838">
                  <c:v>127</c:v>
                </c:pt>
                <c:pt idx="839">
                  <c:v>144</c:v>
                </c:pt>
                <c:pt idx="840">
                  <c:v>146.00000000000003</c:v>
                </c:pt>
                <c:pt idx="841">
                  <c:v>148</c:v>
                </c:pt>
                <c:pt idx="842">
                  <c:v>140</c:v>
                </c:pt>
                <c:pt idx="843">
                  <c:v>144.99999999999997</c:v>
                </c:pt>
                <c:pt idx="844">
                  <c:v>136</c:v>
                </c:pt>
                <c:pt idx="845">
                  <c:v>136</c:v>
                </c:pt>
                <c:pt idx="846">
                  <c:v>138</c:v>
                </c:pt>
                <c:pt idx="847">
                  <c:v>144.99999999999997</c:v>
                </c:pt>
                <c:pt idx="848">
                  <c:v>146.00000000000003</c:v>
                </c:pt>
                <c:pt idx="849">
                  <c:v>141</c:v>
                </c:pt>
                <c:pt idx="850">
                  <c:v>143</c:v>
                </c:pt>
                <c:pt idx="851">
                  <c:v>144.99999999999997</c:v>
                </c:pt>
                <c:pt idx="852">
                  <c:v>143</c:v>
                </c:pt>
                <c:pt idx="853">
                  <c:v>141</c:v>
                </c:pt>
                <c:pt idx="854">
                  <c:v>141.99999999999997</c:v>
                </c:pt>
                <c:pt idx="855">
                  <c:v>136</c:v>
                </c:pt>
                <c:pt idx="856">
                  <c:v>134</c:v>
                </c:pt>
                <c:pt idx="857">
                  <c:v>144.99999999999997</c:v>
                </c:pt>
                <c:pt idx="858">
                  <c:v>144</c:v>
                </c:pt>
                <c:pt idx="859">
                  <c:v>152</c:v>
                </c:pt>
                <c:pt idx="860">
                  <c:v>152</c:v>
                </c:pt>
                <c:pt idx="861">
                  <c:v>152</c:v>
                </c:pt>
                <c:pt idx="862">
                  <c:v>152</c:v>
                </c:pt>
                <c:pt idx="863">
                  <c:v>136</c:v>
                </c:pt>
                <c:pt idx="864">
                  <c:v>128</c:v>
                </c:pt>
                <c:pt idx="865">
                  <c:v>381</c:v>
                </c:pt>
                <c:pt idx="866">
                  <c:v>151</c:v>
                </c:pt>
                <c:pt idx="867">
                  <c:v>152</c:v>
                </c:pt>
                <c:pt idx="868">
                  <c:v>155</c:v>
                </c:pt>
                <c:pt idx="869">
                  <c:v>146.00000000000003</c:v>
                </c:pt>
                <c:pt idx="870">
                  <c:v>136</c:v>
                </c:pt>
                <c:pt idx="871">
                  <c:v>129</c:v>
                </c:pt>
                <c:pt idx="872">
                  <c:v>138</c:v>
                </c:pt>
                <c:pt idx="873">
                  <c:v>147.00000000000003</c:v>
                </c:pt>
                <c:pt idx="874">
                  <c:v>271</c:v>
                </c:pt>
                <c:pt idx="875">
                  <c:v>139</c:v>
                </c:pt>
                <c:pt idx="876">
                  <c:v>141</c:v>
                </c:pt>
                <c:pt idx="877">
                  <c:v>141.99999999999997</c:v>
                </c:pt>
                <c:pt idx="878">
                  <c:v>140</c:v>
                </c:pt>
                <c:pt idx="879">
                  <c:v>122.99999999999999</c:v>
                </c:pt>
                <c:pt idx="880">
                  <c:v>129</c:v>
                </c:pt>
                <c:pt idx="881">
                  <c:v>131</c:v>
                </c:pt>
                <c:pt idx="882">
                  <c:v>140</c:v>
                </c:pt>
                <c:pt idx="883">
                  <c:v>127</c:v>
                </c:pt>
                <c:pt idx="884">
                  <c:v>140</c:v>
                </c:pt>
                <c:pt idx="885">
                  <c:v>129</c:v>
                </c:pt>
                <c:pt idx="886">
                  <c:v>127</c:v>
                </c:pt>
                <c:pt idx="887">
                  <c:v>136.99999999999997</c:v>
                </c:pt>
                <c:pt idx="888">
                  <c:v>136.99999999999997</c:v>
                </c:pt>
                <c:pt idx="889">
                  <c:v>125.00000000000001</c:v>
                </c:pt>
                <c:pt idx="890">
                  <c:v>129.99999999999997</c:v>
                </c:pt>
                <c:pt idx="891">
                  <c:v>139</c:v>
                </c:pt>
                <c:pt idx="892">
                  <c:v>133</c:v>
                </c:pt>
                <c:pt idx="893">
                  <c:v>146.00000018253922</c:v>
                </c:pt>
                <c:pt idx="894">
                  <c:v>141.00000027101487</c:v>
                </c:pt>
                <c:pt idx="895">
                  <c:v>128.000000375323</c:v>
                </c:pt>
                <c:pt idx="896">
                  <c:v>159.0000000782311</c:v>
                </c:pt>
                <c:pt idx="897">
                  <c:v>138.99999980349094</c:v>
                </c:pt>
                <c:pt idx="898">
                  <c:v>128.99999998044223</c:v>
                </c:pt>
              </c:numCache>
            </c:numRef>
          </c:val>
          <c:smooth val="0"/>
          <c:extLst>
            <c:ext xmlns:c16="http://schemas.microsoft.com/office/drawing/2014/chart" uri="{C3380CC4-5D6E-409C-BE32-E72D297353CC}">
              <c16:uniqueId val="{00000000-10C8-4F86-839E-5A6D13626ABB}"/>
            </c:ext>
          </c:extLst>
        </c:ser>
        <c:dLbls>
          <c:showLegendKey val="0"/>
          <c:showVal val="0"/>
          <c:showCatName val="0"/>
          <c:showSerName val="0"/>
          <c:showPercent val="0"/>
          <c:showBubbleSize val="0"/>
        </c:dLbls>
        <c:marker val="1"/>
        <c:smooth val="0"/>
        <c:axId val="965753039"/>
        <c:axId val="965761775"/>
      </c:lineChart>
      <c:lineChart>
        <c:grouping val="standard"/>
        <c:varyColors val="0"/>
        <c:ser>
          <c:idx val="1"/>
          <c:order val="1"/>
          <c:tx>
            <c:strRef>
              <c:f>'Time and cycles'!$G$1</c:f>
              <c:strCache>
                <c:ptCount val="1"/>
                <c:pt idx="0">
                  <c:v>HS_TIME</c:v>
                </c:pt>
              </c:strCache>
            </c:strRef>
          </c:tx>
          <c:spPr>
            <a:ln w="3175" cap="rnd">
              <a:solidFill>
                <a:srgbClr val="FF0000"/>
              </a:solidFill>
              <a:round/>
            </a:ln>
            <a:effectLst/>
          </c:spPr>
          <c:marker>
            <c:symbol val="none"/>
          </c:marker>
          <c:cat>
            <c:numRef>
              <c:f>'Time and cycles'!$A$2:$A$900</c:f>
              <c:numCache>
                <c:formatCode>General</c:formatCode>
                <c:ptCount val="899"/>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432</c:v>
                </c:pt>
                <c:pt idx="20">
                  <c:v>433</c:v>
                </c:pt>
                <c:pt idx="21">
                  <c:v>434</c:v>
                </c:pt>
                <c:pt idx="22">
                  <c:v>435</c:v>
                </c:pt>
                <c:pt idx="23">
                  <c:v>436</c:v>
                </c:pt>
                <c:pt idx="24">
                  <c:v>437</c:v>
                </c:pt>
                <c:pt idx="25">
                  <c:v>438</c:v>
                </c:pt>
                <c:pt idx="26">
                  <c:v>439</c:v>
                </c:pt>
                <c:pt idx="27">
                  <c:v>440</c:v>
                </c:pt>
                <c:pt idx="28">
                  <c:v>441</c:v>
                </c:pt>
                <c:pt idx="29">
                  <c:v>442</c:v>
                </c:pt>
                <c:pt idx="30">
                  <c:v>443</c:v>
                </c:pt>
                <c:pt idx="31">
                  <c:v>444</c:v>
                </c:pt>
                <c:pt idx="32">
                  <c:v>445</c:v>
                </c:pt>
                <c:pt idx="33">
                  <c:v>446</c:v>
                </c:pt>
                <c:pt idx="34">
                  <c:v>447</c:v>
                </c:pt>
                <c:pt idx="35">
                  <c:v>448</c:v>
                </c:pt>
                <c:pt idx="36">
                  <c:v>449</c:v>
                </c:pt>
                <c:pt idx="37">
                  <c:v>450</c:v>
                </c:pt>
                <c:pt idx="38">
                  <c:v>451</c:v>
                </c:pt>
                <c:pt idx="39">
                  <c:v>818</c:v>
                </c:pt>
                <c:pt idx="40">
                  <c:v>819</c:v>
                </c:pt>
                <c:pt idx="41">
                  <c:v>820</c:v>
                </c:pt>
                <c:pt idx="42">
                  <c:v>821</c:v>
                </c:pt>
                <c:pt idx="43">
                  <c:v>822</c:v>
                </c:pt>
                <c:pt idx="44">
                  <c:v>823</c:v>
                </c:pt>
                <c:pt idx="45">
                  <c:v>824</c:v>
                </c:pt>
                <c:pt idx="46">
                  <c:v>825</c:v>
                </c:pt>
                <c:pt idx="47">
                  <c:v>826</c:v>
                </c:pt>
                <c:pt idx="48">
                  <c:v>827</c:v>
                </c:pt>
                <c:pt idx="49">
                  <c:v>828</c:v>
                </c:pt>
                <c:pt idx="50">
                  <c:v>829</c:v>
                </c:pt>
                <c:pt idx="51">
                  <c:v>830</c:v>
                </c:pt>
                <c:pt idx="52">
                  <c:v>831</c:v>
                </c:pt>
                <c:pt idx="53">
                  <c:v>832</c:v>
                </c:pt>
                <c:pt idx="54">
                  <c:v>833</c:v>
                </c:pt>
                <c:pt idx="55">
                  <c:v>834</c:v>
                </c:pt>
                <c:pt idx="56">
                  <c:v>835</c:v>
                </c:pt>
                <c:pt idx="57">
                  <c:v>836</c:v>
                </c:pt>
                <c:pt idx="58">
                  <c:v>837</c:v>
                </c:pt>
                <c:pt idx="59">
                  <c:v>2897</c:v>
                </c:pt>
                <c:pt idx="60">
                  <c:v>2898</c:v>
                </c:pt>
                <c:pt idx="61">
                  <c:v>2899</c:v>
                </c:pt>
                <c:pt idx="62">
                  <c:v>2900</c:v>
                </c:pt>
                <c:pt idx="63">
                  <c:v>2901</c:v>
                </c:pt>
                <c:pt idx="64">
                  <c:v>2902</c:v>
                </c:pt>
                <c:pt idx="65">
                  <c:v>2903</c:v>
                </c:pt>
                <c:pt idx="66">
                  <c:v>2904</c:v>
                </c:pt>
                <c:pt idx="67">
                  <c:v>2905</c:v>
                </c:pt>
                <c:pt idx="68">
                  <c:v>2906</c:v>
                </c:pt>
                <c:pt idx="69">
                  <c:v>2907</c:v>
                </c:pt>
                <c:pt idx="70">
                  <c:v>2908</c:v>
                </c:pt>
                <c:pt idx="71">
                  <c:v>2909</c:v>
                </c:pt>
                <c:pt idx="72">
                  <c:v>2910</c:v>
                </c:pt>
                <c:pt idx="73">
                  <c:v>2911</c:v>
                </c:pt>
                <c:pt idx="74">
                  <c:v>2912</c:v>
                </c:pt>
                <c:pt idx="75">
                  <c:v>2913</c:v>
                </c:pt>
                <c:pt idx="76">
                  <c:v>2914</c:v>
                </c:pt>
                <c:pt idx="77">
                  <c:v>2915</c:v>
                </c:pt>
                <c:pt idx="78">
                  <c:v>2916</c:v>
                </c:pt>
                <c:pt idx="79">
                  <c:v>3257</c:v>
                </c:pt>
                <c:pt idx="80">
                  <c:v>3258</c:v>
                </c:pt>
                <c:pt idx="81">
                  <c:v>3259</c:v>
                </c:pt>
                <c:pt idx="82">
                  <c:v>3260</c:v>
                </c:pt>
                <c:pt idx="83">
                  <c:v>3261</c:v>
                </c:pt>
                <c:pt idx="84">
                  <c:v>3262</c:v>
                </c:pt>
                <c:pt idx="85">
                  <c:v>3263</c:v>
                </c:pt>
                <c:pt idx="86">
                  <c:v>3264</c:v>
                </c:pt>
                <c:pt idx="87">
                  <c:v>3265</c:v>
                </c:pt>
                <c:pt idx="88">
                  <c:v>3266</c:v>
                </c:pt>
                <c:pt idx="89">
                  <c:v>3267</c:v>
                </c:pt>
                <c:pt idx="90">
                  <c:v>3268</c:v>
                </c:pt>
                <c:pt idx="91">
                  <c:v>3269</c:v>
                </c:pt>
                <c:pt idx="92">
                  <c:v>3270</c:v>
                </c:pt>
                <c:pt idx="93">
                  <c:v>3271</c:v>
                </c:pt>
                <c:pt idx="94">
                  <c:v>3272</c:v>
                </c:pt>
                <c:pt idx="95">
                  <c:v>3273</c:v>
                </c:pt>
                <c:pt idx="96">
                  <c:v>3274</c:v>
                </c:pt>
                <c:pt idx="97">
                  <c:v>3275</c:v>
                </c:pt>
                <c:pt idx="98">
                  <c:v>3276</c:v>
                </c:pt>
                <c:pt idx="99">
                  <c:v>4443</c:v>
                </c:pt>
                <c:pt idx="100">
                  <c:v>4445</c:v>
                </c:pt>
                <c:pt idx="101">
                  <c:v>4446</c:v>
                </c:pt>
                <c:pt idx="102">
                  <c:v>4447</c:v>
                </c:pt>
                <c:pt idx="103">
                  <c:v>4448</c:v>
                </c:pt>
                <c:pt idx="104">
                  <c:v>4449</c:v>
                </c:pt>
                <c:pt idx="105">
                  <c:v>4450</c:v>
                </c:pt>
                <c:pt idx="106">
                  <c:v>4451</c:v>
                </c:pt>
                <c:pt idx="107">
                  <c:v>4452</c:v>
                </c:pt>
                <c:pt idx="108">
                  <c:v>4453</c:v>
                </c:pt>
                <c:pt idx="109">
                  <c:v>4454</c:v>
                </c:pt>
                <c:pt idx="110">
                  <c:v>4455</c:v>
                </c:pt>
                <c:pt idx="111">
                  <c:v>4456</c:v>
                </c:pt>
                <c:pt idx="112">
                  <c:v>4457</c:v>
                </c:pt>
                <c:pt idx="113">
                  <c:v>4458</c:v>
                </c:pt>
                <c:pt idx="114">
                  <c:v>4459</c:v>
                </c:pt>
                <c:pt idx="115">
                  <c:v>4460</c:v>
                </c:pt>
                <c:pt idx="116">
                  <c:v>4461</c:v>
                </c:pt>
                <c:pt idx="117">
                  <c:v>4462</c:v>
                </c:pt>
                <c:pt idx="118">
                  <c:v>4463</c:v>
                </c:pt>
                <c:pt idx="119">
                  <c:v>4740</c:v>
                </c:pt>
                <c:pt idx="120">
                  <c:v>4741</c:v>
                </c:pt>
                <c:pt idx="121">
                  <c:v>4742</c:v>
                </c:pt>
                <c:pt idx="122">
                  <c:v>4743</c:v>
                </c:pt>
                <c:pt idx="123">
                  <c:v>4744</c:v>
                </c:pt>
                <c:pt idx="124">
                  <c:v>4745</c:v>
                </c:pt>
                <c:pt idx="125">
                  <c:v>4746</c:v>
                </c:pt>
                <c:pt idx="126">
                  <c:v>4747</c:v>
                </c:pt>
                <c:pt idx="127">
                  <c:v>4748</c:v>
                </c:pt>
                <c:pt idx="128">
                  <c:v>4749</c:v>
                </c:pt>
                <c:pt idx="129">
                  <c:v>4750</c:v>
                </c:pt>
                <c:pt idx="130">
                  <c:v>4751</c:v>
                </c:pt>
                <c:pt idx="131">
                  <c:v>4752</c:v>
                </c:pt>
                <c:pt idx="132">
                  <c:v>4753</c:v>
                </c:pt>
                <c:pt idx="133">
                  <c:v>4754</c:v>
                </c:pt>
                <c:pt idx="134">
                  <c:v>4755</c:v>
                </c:pt>
                <c:pt idx="135">
                  <c:v>4756</c:v>
                </c:pt>
                <c:pt idx="136">
                  <c:v>4757</c:v>
                </c:pt>
                <c:pt idx="137">
                  <c:v>4758</c:v>
                </c:pt>
                <c:pt idx="138">
                  <c:v>4759</c:v>
                </c:pt>
                <c:pt idx="139">
                  <c:v>5191</c:v>
                </c:pt>
                <c:pt idx="140">
                  <c:v>5192</c:v>
                </c:pt>
                <c:pt idx="141">
                  <c:v>5193</c:v>
                </c:pt>
                <c:pt idx="142">
                  <c:v>5194</c:v>
                </c:pt>
                <c:pt idx="143">
                  <c:v>5195</c:v>
                </c:pt>
                <c:pt idx="144">
                  <c:v>5196</c:v>
                </c:pt>
                <c:pt idx="145">
                  <c:v>5197</c:v>
                </c:pt>
                <c:pt idx="146">
                  <c:v>5198</c:v>
                </c:pt>
                <c:pt idx="147">
                  <c:v>5199</c:v>
                </c:pt>
                <c:pt idx="148">
                  <c:v>5200</c:v>
                </c:pt>
                <c:pt idx="149">
                  <c:v>5201</c:v>
                </c:pt>
                <c:pt idx="150">
                  <c:v>5202</c:v>
                </c:pt>
                <c:pt idx="151">
                  <c:v>5203</c:v>
                </c:pt>
                <c:pt idx="152">
                  <c:v>5204</c:v>
                </c:pt>
                <c:pt idx="153">
                  <c:v>5205</c:v>
                </c:pt>
                <c:pt idx="154">
                  <c:v>5206</c:v>
                </c:pt>
                <c:pt idx="155">
                  <c:v>5207</c:v>
                </c:pt>
                <c:pt idx="156">
                  <c:v>5208</c:v>
                </c:pt>
                <c:pt idx="157">
                  <c:v>5209</c:v>
                </c:pt>
                <c:pt idx="158">
                  <c:v>5210</c:v>
                </c:pt>
                <c:pt idx="159">
                  <c:v>5544</c:v>
                </c:pt>
                <c:pt idx="160">
                  <c:v>5545</c:v>
                </c:pt>
                <c:pt idx="161">
                  <c:v>5546</c:v>
                </c:pt>
                <c:pt idx="162">
                  <c:v>5547</c:v>
                </c:pt>
                <c:pt idx="163">
                  <c:v>5548</c:v>
                </c:pt>
                <c:pt idx="164">
                  <c:v>5549</c:v>
                </c:pt>
                <c:pt idx="165">
                  <c:v>5550</c:v>
                </c:pt>
                <c:pt idx="166">
                  <c:v>5551</c:v>
                </c:pt>
                <c:pt idx="167">
                  <c:v>5552</c:v>
                </c:pt>
                <c:pt idx="168">
                  <c:v>5553</c:v>
                </c:pt>
                <c:pt idx="169">
                  <c:v>5554</c:v>
                </c:pt>
                <c:pt idx="170">
                  <c:v>5555</c:v>
                </c:pt>
                <c:pt idx="171">
                  <c:v>5556</c:v>
                </c:pt>
                <c:pt idx="172">
                  <c:v>5557</c:v>
                </c:pt>
                <c:pt idx="173">
                  <c:v>5558</c:v>
                </c:pt>
                <c:pt idx="174">
                  <c:v>5559</c:v>
                </c:pt>
                <c:pt idx="175">
                  <c:v>5560</c:v>
                </c:pt>
                <c:pt idx="176">
                  <c:v>5561</c:v>
                </c:pt>
                <c:pt idx="177">
                  <c:v>5562</c:v>
                </c:pt>
                <c:pt idx="178">
                  <c:v>5563</c:v>
                </c:pt>
                <c:pt idx="179">
                  <c:v>5915</c:v>
                </c:pt>
                <c:pt idx="180">
                  <c:v>5916</c:v>
                </c:pt>
                <c:pt idx="181">
                  <c:v>5917</c:v>
                </c:pt>
                <c:pt idx="182">
                  <c:v>5918</c:v>
                </c:pt>
                <c:pt idx="183">
                  <c:v>5919</c:v>
                </c:pt>
                <c:pt idx="184">
                  <c:v>5920</c:v>
                </c:pt>
                <c:pt idx="185">
                  <c:v>5921</c:v>
                </c:pt>
                <c:pt idx="186">
                  <c:v>5922</c:v>
                </c:pt>
                <c:pt idx="187">
                  <c:v>5923</c:v>
                </c:pt>
                <c:pt idx="188">
                  <c:v>5924</c:v>
                </c:pt>
                <c:pt idx="189">
                  <c:v>5925</c:v>
                </c:pt>
                <c:pt idx="190">
                  <c:v>5926</c:v>
                </c:pt>
                <c:pt idx="191">
                  <c:v>5927</c:v>
                </c:pt>
                <c:pt idx="192">
                  <c:v>5928</c:v>
                </c:pt>
                <c:pt idx="193">
                  <c:v>5929</c:v>
                </c:pt>
                <c:pt idx="194">
                  <c:v>5930</c:v>
                </c:pt>
                <c:pt idx="195">
                  <c:v>5931</c:v>
                </c:pt>
                <c:pt idx="196">
                  <c:v>5932</c:v>
                </c:pt>
                <c:pt idx="197">
                  <c:v>5933</c:v>
                </c:pt>
                <c:pt idx="198">
                  <c:v>5934</c:v>
                </c:pt>
                <c:pt idx="199">
                  <c:v>6137</c:v>
                </c:pt>
                <c:pt idx="200">
                  <c:v>6138</c:v>
                </c:pt>
                <c:pt idx="201">
                  <c:v>6139</c:v>
                </c:pt>
                <c:pt idx="202">
                  <c:v>6140</c:v>
                </c:pt>
                <c:pt idx="203">
                  <c:v>6141</c:v>
                </c:pt>
                <c:pt idx="204">
                  <c:v>6142</c:v>
                </c:pt>
                <c:pt idx="205">
                  <c:v>6143</c:v>
                </c:pt>
                <c:pt idx="206">
                  <c:v>6144</c:v>
                </c:pt>
                <c:pt idx="207">
                  <c:v>6145</c:v>
                </c:pt>
                <c:pt idx="208">
                  <c:v>6146</c:v>
                </c:pt>
                <c:pt idx="209">
                  <c:v>6147</c:v>
                </c:pt>
                <c:pt idx="210">
                  <c:v>6148</c:v>
                </c:pt>
                <c:pt idx="211">
                  <c:v>6149</c:v>
                </c:pt>
                <c:pt idx="212">
                  <c:v>6150</c:v>
                </c:pt>
                <c:pt idx="213">
                  <c:v>6151</c:v>
                </c:pt>
                <c:pt idx="214">
                  <c:v>6152</c:v>
                </c:pt>
                <c:pt idx="215">
                  <c:v>6153</c:v>
                </c:pt>
                <c:pt idx="216">
                  <c:v>6154</c:v>
                </c:pt>
                <c:pt idx="217">
                  <c:v>6155</c:v>
                </c:pt>
                <c:pt idx="218">
                  <c:v>6156</c:v>
                </c:pt>
                <c:pt idx="219">
                  <c:v>6600</c:v>
                </c:pt>
                <c:pt idx="220">
                  <c:v>6601</c:v>
                </c:pt>
                <c:pt idx="221">
                  <c:v>6602</c:v>
                </c:pt>
                <c:pt idx="222">
                  <c:v>6603</c:v>
                </c:pt>
                <c:pt idx="223">
                  <c:v>6604</c:v>
                </c:pt>
                <c:pt idx="224">
                  <c:v>6605</c:v>
                </c:pt>
                <c:pt idx="225">
                  <c:v>6606</c:v>
                </c:pt>
                <c:pt idx="226">
                  <c:v>6607</c:v>
                </c:pt>
                <c:pt idx="227">
                  <c:v>6608</c:v>
                </c:pt>
                <c:pt idx="228">
                  <c:v>6609</c:v>
                </c:pt>
                <c:pt idx="229">
                  <c:v>6610</c:v>
                </c:pt>
                <c:pt idx="230">
                  <c:v>6611</c:v>
                </c:pt>
                <c:pt idx="231">
                  <c:v>6612</c:v>
                </c:pt>
                <c:pt idx="232">
                  <c:v>6613</c:v>
                </c:pt>
                <c:pt idx="233">
                  <c:v>6614</c:v>
                </c:pt>
                <c:pt idx="234">
                  <c:v>6615</c:v>
                </c:pt>
                <c:pt idx="235">
                  <c:v>6616</c:v>
                </c:pt>
                <c:pt idx="236">
                  <c:v>6617</c:v>
                </c:pt>
                <c:pt idx="237">
                  <c:v>6618</c:v>
                </c:pt>
                <c:pt idx="238">
                  <c:v>6619</c:v>
                </c:pt>
                <c:pt idx="239">
                  <c:v>6823</c:v>
                </c:pt>
                <c:pt idx="240">
                  <c:v>6824</c:v>
                </c:pt>
                <c:pt idx="241">
                  <c:v>6825</c:v>
                </c:pt>
                <c:pt idx="242">
                  <c:v>6826</c:v>
                </c:pt>
                <c:pt idx="243">
                  <c:v>6827</c:v>
                </c:pt>
                <c:pt idx="244">
                  <c:v>6828</c:v>
                </c:pt>
                <c:pt idx="245">
                  <c:v>6829</c:v>
                </c:pt>
                <c:pt idx="246">
                  <c:v>6830</c:v>
                </c:pt>
                <c:pt idx="247">
                  <c:v>6831</c:v>
                </c:pt>
                <c:pt idx="248">
                  <c:v>6832</c:v>
                </c:pt>
                <c:pt idx="249">
                  <c:v>6833</c:v>
                </c:pt>
                <c:pt idx="250">
                  <c:v>6834</c:v>
                </c:pt>
                <c:pt idx="251">
                  <c:v>6835</c:v>
                </c:pt>
                <c:pt idx="252">
                  <c:v>6836</c:v>
                </c:pt>
                <c:pt idx="253">
                  <c:v>6837</c:v>
                </c:pt>
                <c:pt idx="254">
                  <c:v>6838</c:v>
                </c:pt>
                <c:pt idx="255">
                  <c:v>6839</c:v>
                </c:pt>
                <c:pt idx="256">
                  <c:v>6840</c:v>
                </c:pt>
                <c:pt idx="257">
                  <c:v>6841</c:v>
                </c:pt>
                <c:pt idx="258">
                  <c:v>6842</c:v>
                </c:pt>
                <c:pt idx="259">
                  <c:v>7090</c:v>
                </c:pt>
                <c:pt idx="260">
                  <c:v>7091</c:v>
                </c:pt>
                <c:pt idx="261">
                  <c:v>7092</c:v>
                </c:pt>
                <c:pt idx="262">
                  <c:v>7093</c:v>
                </c:pt>
                <c:pt idx="263">
                  <c:v>7094</c:v>
                </c:pt>
                <c:pt idx="264">
                  <c:v>7095</c:v>
                </c:pt>
                <c:pt idx="265">
                  <c:v>7096</c:v>
                </c:pt>
                <c:pt idx="266">
                  <c:v>7097</c:v>
                </c:pt>
                <c:pt idx="267">
                  <c:v>7098</c:v>
                </c:pt>
                <c:pt idx="268">
                  <c:v>7099</c:v>
                </c:pt>
                <c:pt idx="269">
                  <c:v>7100</c:v>
                </c:pt>
                <c:pt idx="270">
                  <c:v>7101</c:v>
                </c:pt>
                <c:pt idx="271">
                  <c:v>7102</c:v>
                </c:pt>
                <c:pt idx="272">
                  <c:v>7103</c:v>
                </c:pt>
                <c:pt idx="273">
                  <c:v>7104</c:v>
                </c:pt>
                <c:pt idx="274">
                  <c:v>7105</c:v>
                </c:pt>
                <c:pt idx="275">
                  <c:v>7106</c:v>
                </c:pt>
                <c:pt idx="276">
                  <c:v>7107</c:v>
                </c:pt>
                <c:pt idx="277">
                  <c:v>7108</c:v>
                </c:pt>
                <c:pt idx="278">
                  <c:v>7109</c:v>
                </c:pt>
                <c:pt idx="279">
                  <c:v>7413</c:v>
                </c:pt>
                <c:pt idx="280">
                  <c:v>7414</c:v>
                </c:pt>
                <c:pt idx="281">
                  <c:v>7415</c:v>
                </c:pt>
                <c:pt idx="282">
                  <c:v>7416</c:v>
                </c:pt>
                <c:pt idx="283">
                  <c:v>7417</c:v>
                </c:pt>
                <c:pt idx="284">
                  <c:v>7418</c:v>
                </c:pt>
                <c:pt idx="285">
                  <c:v>7419</c:v>
                </c:pt>
                <c:pt idx="286">
                  <c:v>7420</c:v>
                </c:pt>
                <c:pt idx="287">
                  <c:v>7421</c:v>
                </c:pt>
                <c:pt idx="288">
                  <c:v>7422</c:v>
                </c:pt>
                <c:pt idx="289">
                  <c:v>7423</c:v>
                </c:pt>
                <c:pt idx="290">
                  <c:v>7424</c:v>
                </c:pt>
                <c:pt idx="291">
                  <c:v>7425</c:v>
                </c:pt>
                <c:pt idx="292">
                  <c:v>7426</c:v>
                </c:pt>
                <c:pt idx="293">
                  <c:v>7427</c:v>
                </c:pt>
                <c:pt idx="294">
                  <c:v>7428</c:v>
                </c:pt>
                <c:pt idx="295">
                  <c:v>7429</c:v>
                </c:pt>
                <c:pt idx="296">
                  <c:v>7430</c:v>
                </c:pt>
                <c:pt idx="297">
                  <c:v>7431</c:v>
                </c:pt>
                <c:pt idx="298">
                  <c:v>7432</c:v>
                </c:pt>
                <c:pt idx="299">
                  <c:v>7931</c:v>
                </c:pt>
                <c:pt idx="300">
                  <c:v>7932</c:v>
                </c:pt>
                <c:pt idx="301">
                  <c:v>7933</c:v>
                </c:pt>
                <c:pt idx="302">
                  <c:v>7934</c:v>
                </c:pt>
                <c:pt idx="303">
                  <c:v>7935</c:v>
                </c:pt>
                <c:pt idx="304">
                  <c:v>7936</c:v>
                </c:pt>
                <c:pt idx="305">
                  <c:v>7937</c:v>
                </c:pt>
                <c:pt idx="306">
                  <c:v>7938</c:v>
                </c:pt>
                <c:pt idx="307">
                  <c:v>7939</c:v>
                </c:pt>
                <c:pt idx="308">
                  <c:v>7940</c:v>
                </c:pt>
                <c:pt idx="309">
                  <c:v>7941</c:v>
                </c:pt>
                <c:pt idx="310">
                  <c:v>7942</c:v>
                </c:pt>
                <c:pt idx="311">
                  <c:v>7943</c:v>
                </c:pt>
                <c:pt idx="312">
                  <c:v>7944</c:v>
                </c:pt>
                <c:pt idx="313">
                  <c:v>7945</c:v>
                </c:pt>
                <c:pt idx="314">
                  <c:v>7946</c:v>
                </c:pt>
                <c:pt idx="315">
                  <c:v>7947</c:v>
                </c:pt>
                <c:pt idx="316">
                  <c:v>7948</c:v>
                </c:pt>
                <c:pt idx="317">
                  <c:v>7949</c:v>
                </c:pt>
                <c:pt idx="318">
                  <c:v>7950</c:v>
                </c:pt>
                <c:pt idx="319">
                  <c:v>8361</c:v>
                </c:pt>
                <c:pt idx="320">
                  <c:v>8362</c:v>
                </c:pt>
                <c:pt idx="321">
                  <c:v>8363</c:v>
                </c:pt>
                <c:pt idx="322">
                  <c:v>8364</c:v>
                </c:pt>
                <c:pt idx="323">
                  <c:v>8365</c:v>
                </c:pt>
                <c:pt idx="324">
                  <c:v>8366</c:v>
                </c:pt>
                <c:pt idx="325">
                  <c:v>8367</c:v>
                </c:pt>
                <c:pt idx="326">
                  <c:v>8368</c:v>
                </c:pt>
                <c:pt idx="327">
                  <c:v>8369</c:v>
                </c:pt>
                <c:pt idx="328">
                  <c:v>8370</c:v>
                </c:pt>
                <c:pt idx="329">
                  <c:v>8371</c:v>
                </c:pt>
                <c:pt idx="330">
                  <c:v>8372</c:v>
                </c:pt>
                <c:pt idx="331">
                  <c:v>8373</c:v>
                </c:pt>
                <c:pt idx="332">
                  <c:v>8374</c:v>
                </c:pt>
                <c:pt idx="333">
                  <c:v>8375</c:v>
                </c:pt>
                <c:pt idx="334">
                  <c:v>8376</c:v>
                </c:pt>
                <c:pt idx="335">
                  <c:v>8377</c:v>
                </c:pt>
                <c:pt idx="336">
                  <c:v>8378</c:v>
                </c:pt>
                <c:pt idx="337">
                  <c:v>8379</c:v>
                </c:pt>
                <c:pt idx="338">
                  <c:v>8380</c:v>
                </c:pt>
                <c:pt idx="339">
                  <c:v>8679</c:v>
                </c:pt>
                <c:pt idx="340">
                  <c:v>8680</c:v>
                </c:pt>
                <c:pt idx="341">
                  <c:v>8681</c:v>
                </c:pt>
                <c:pt idx="342">
                  <c:v>8682</c:v>
                </c:pt>
                <c:pt idx="343">
                  <c:v>8683</c:v>
                </c:pt>
                <c:pt idx="344">
                  <c:v>8684</c:v>
                </c:pt>
                <c:pt idx="345">
                  <c:v>8685</c:v>
                </c:pt>
                <c:pt idx="346">
                  <c:v>8686</c:v>
                </c:pt>
                <c:pt idx="347">
                  <c:v>8687</c:v>
                </c:pt>
                <c:pt idx="348">
                  <c:v>8688</c:v>
                </c:pt>
                <c:pt idx="349">
                  <c:v>8689</c:v>
                </c:pt>
                <c:pt idx="350">
                  <c:v>8690</c:v>
                </c:pt>
                <c:pt idx="351">
                  <c:v>8691</c:v>
                </c:pt>
                <c:pt idx="352">
                  <c:v>8692</c:v>
                </c:pt>
                <c:pt idx="353">
                  <c:v>8693</c:v>
                </c:pt>
                <c:pt idx="354">
                  <c:v>8694</c:v>
                </c:pt>
                <c:pt idx="355">
                  <c:v>8695</c:v>
                </c:pt>
                <c:pt idx="356">
                  <c:v>8696</c:v>
                </c:pt>
                <c:pt idx="357">
                  <c:v>8697</c:v>
                </c:pt>
                <c:pt idx="358">
                  <c:v>8698</c:v>
                </c:pt>
                <c:pt idx="359">
                  <c:v>9074</c:v>
                </c:pt>
                <c:pt idx="360">
                  <c:v>9075</c:v>
                </c:pt>
                <c:pt idx="361">
                  <c:v>9076</c:v>
                </c:pt>
                <c:pt idx="362">
                  <c:v>9077</c:v>
                </c:pt>
                <c:pt idx="363">
                  <c:v>9078</c:v>
                </c:pt>
                <c:pt idx="364">
                  <c:v>9079</c:v>
                </c:pt>
                <c:pt idx="365">
                  <c:v>9080</c:v>
                </c:pt>
                <c:pt idx="366">
                  <c:v>9081</c:v>
                </c:pt>
                <c:pt idx="367">
                  <c:v>9082</c:v>
                </c:pt>
                <c:pt idx="368">
                  <c:v>9083</c:v>
                </c:pt>
                <c:pt idx="369">
                  <c:v>9084</c:v>
                </c:pt>
                <c:pt idx="370">
                  <c:v>9085</c:v>
                </c:pt>
                <c:pt idx="371">
                  <c:v>9086</c:v>
                </c:pt>
                <c:pt idx="372">
                  <c:v>9087</c:v>
                </c:pt>
                <c:pt idx="373">
                  <c:v>9088</c:v>
                </c:pt>
                <c:pt idx="374">
                  <c:v>9089</c:v>
                </c:pt>
                <c:pt idx="375">
                  <c:v>9090</c:v>
                </c:pt>
                <c:pt idx="376">
                  <c:v>9091</c:v>
                </c:pt>
                <c:pt idx="377">
                  <c:v>9092</c:v>
                </c:pt>
                <c:pt idx="378">
                  <c:v>9093</c:v>
                </c:pt>
                <c:pt idx="379">
                  <c:v>9304</c:v>
                </c:pt>
                <c:pt idx="380">
                  <c:v>9305</c:v>
                </c:pt>
                <c:pt idx="381">
                  <c:v>9306</c:v>
                </c:pt>
                <c:pt idx="382">
                  <c:v>9307</c:v>
                </c:pt>
                <c:pt idx="383">
                  <c:v>9308</c:v>
                </c:pt>
                <c:pt idx="384">
                  <c:v>9309</c:v>
                </c:pt>
                <c:pt idx="385">
                  <c:v>9310</c:v>
                </c:pt>
                <c:pt idx="386">
                  <c:v>9311</c:v>
                </c:pt>
                <c:pt idx="387">
                  <c:v>9312</c:v>
                </c:pt>
                <c:pt idx="388">
                  <c:v>9313</c:v>
                </c:pt>
                <c:pt idx="389">
                  <c:v>9314</c:v>
                </c:pt>
                <c:pt idx="390">
                  <c:v>9315</c:v>
                </c:pt>
                <c:pt idx="391">
                  <c:v>9316</c:v>
                </c:pt>
                <c:pt idx="392">
                  <c:v>9317</c:v>
                </c:pt>
                <c:pt idx="393">
                  <c:v>9318</c:v>
                </c:pt>
                <c:pt idx="394">
                  <c:v>9319</c:v>
                </c:pt>
                <c:pt idx="395">
                  <c:v>9320</c:v>
                </c:pt>
                <c:pt idx="396">
                  <c:v>9321</c:v>
                </c:pt>
                <c:pt idx="397">
                  <c:v>9322</c:v>
                </c:pt>
                <c:pt idx="398">
                  <c:v>9323</c:v>
                </c:pt>
                <c:pt idx="399">
                  <c:v>9774</c:v>
                </c:pt>
                <c:pt idx="400">
                  <c:v>9775</c:v>
                </c:pt>
                <c:pt idx="401">
                  <c:v>9776</c:v>
                </c:pt>
                <c:pt idx="402">
                  <c:v>9777</c:v>
                </c:pt>
                <c:pt idx="403">
                  <c:v>9778</c:v>
                </c:pt>
                <c:pt idx="404">
                  <c:v>9779</c:v>
                </c:pt>
                <c:pt idx="405">
                  <c:v>9780</c:v>
                </c:pt>
                <c:pt idx="406">
                  <c:v>9781</c:v>
                </c:pt>
                <c:pt idx="407">
                  <c:v>9782</c:v>
                </c:pt>
                <c:pt idx="408">
                  <c:v>9783</c:v>
                </c:pt>
                <c:pt idx="409">
                  <c:v>9784</c:v>
                </c:pt>
                <c:pt idx="410">
                  <c:v>9785</c:v>
                </c:pt>
                <c:pt idx="411">
                  <c:v>9786</c:v>
                </c:pt>
                <c:pt idx="412">
                  <c:v>9787</c:v>
                </c:pt>
                <c:pt idx="413">
                  <c:v>9788</c:v>
                </c:pt>
                <c:pt idx="414">
                  <c:v>9789</c:v>
                </c:pt>
                <c:pt idx="415">
                  <c:v>9790</c:v>
                </c:pt>
                <c:pt idx="416">
                  <c:v>9791</c:v>
                </c:pt>
                <c:pt idx="417">
                  <c:v>9792</c:v>
                </c:pt>
                <c:pt idx="418">
                  <c:v>9793</c:v>
                </c:pt>
                <c:pt idx="419">
                  <c:v>10014</c:v>
                </c:pt>
                <c:pt idx="420">
                  <c:v>10015</c:v>
                </c:pt>
                <c:pt idx="421">
                  <c:v>10016</c:v>
                </c:pt>
                <c:pt idx="422">
                  <c:v>10017</c:v>
                </c:pt>
                <c:pt idx="423">
                  <c:v>10018</c:v>
                </c:pt>
                <c:pt idx="424">
                  <c:v>10019</c:v>
                </c:pt>
                <c:pt idx="425">
                  <c:v>10020</c:v>
                </c:pt>
                <c:pt idx="426">
                  <c:v>10021</c:v>
                </c:pt>
                <c:pt idx="427">
                  <c:v>10022</c:v>
                </c:pt>
                <c:pt idx="428">
                  <c:v>10023</c:v>
                </c:pt>
                <c:pt idx="429">
                  <c:v>10024</c:v>
                </c:pt>
                <c:pt idx="430">
                  <c:v>10025</c:v>
                </c:pt>
                <c:pt idx="431">
                  <c:v>10026</c:v>
                </c:pt>
                <c:pt idx="432">
                  <c:v>10027</c:v>
                </c:pt>
                <c:pt idx="433">
                  <c:v>10028</c:v>
                </c:pt>
                <c:pt idx="434">
                  <c:v>10029</c:v>
                </c:pt>
                <c:pt idx="435">
                  <c:v>10030</c:v>
                </c:pt>
                <c:pt idx="436">
                  <c:v>10031</c:v>
                </c:pt>
                <c:pt idx="437">
                  <c:v>10032</c:v>
                </c:pt>
                <c:pt idx="438">
                  <c:v>10033</c:v>
                </c:pt>
                <c:pt idx="439">
                  <c:v>11975</c:v>
                </c:pt>
                <c:pt idx="440">
                  <c:v>11976</c:v>
                </c:pt>
                <c:pt idx="441">
                  <c:v>11977</c:v>
                </c:pt>
                <c:pt idx="442">
                  <c:v>11978</c:v>
                </c:pt>
                <c:pt idx="443">
                  <c:v>11979</c:v>
                </c:pt>
                <c:pt idx="444">
                  <c:v>11980</c:v>
                </c:pt>
                <c:pt idx="445">
                  <c:v>11981</c:v>
                </c:pt>
                <c:pt idx="446">
                  <c:v>11982</c:v>
                </c:pt>
                <c:pt idx="447">
                  <c:v>11983</c:v>
                </c:pt>
                <c:pt idx="448">
                  <c:v>11984</c:v>
                </c:pt>
                <c:pt idx="449">
                  <c:v>11985</c:v>
                </c:pt>
                <c:pt idx="450">
                  <c:v>11986</c:v>
                </c:pt>
                <c:pt idx="451">
                  <c:v>11987</c:v>
                </c:pt>
                <c:pt idx="452">
                  <c:v>11988</c:v>
                </c:pt>
                <c:pt idx="453">
                  <c:v>11989</c:v>
                </c:pt>
                <c:pt idx="454">
                  <c:v>11990</c:v>
                </c:pt>
                <c:pt idx="455">
                  <c:v>11991</c:v>
                </c:pt>
                <c:pt idx="456">
                  <c:v>11992</c:v>
                </c:pt>
                <c:pt idx="457">
                  <c:v>11993</c:v>
                </c:pt>
                <c:pt idx="458">
                  <c:v>11994</c:v>
                </c:pt>
                <c:pt idx="459">
                  <c:v>12381</c:v>
                </c:pt>
                <c:pt idx="460">
                  <c:v>12382</c:v>
                </c:pt>
                <c:pt idx="461">
                  <c:v>12383</c:v>
                </c:pt>
                <c:pt idx="462">
                  <c:v>12384</c:v>
                </c:pt>
                <c:pt idx="463">
                  <c:v>12385</c:v>
                </c:pt>
                <c:pt idx="464">
                  <c:v>12386</c:v>
                </c:pt>
                <c:pt idx="465">
                  <c:v>12387</c:v>
                </c:pt>
                <c:pt idx="466">
                  <c:v>12388</c:v>
                </c:pt>
                <c:pt idx="467">
                  <c:v>12389</c:v>
                </c:pt>
                <c:pt idx="468">
                  <c:v>12390</c:v>
                </c:pt>
                <c:pt idx="469">
                  <c:v>12391</c:v>
                </c:pt>
                <c:pt idx="470">
                  <c:v>12392</c:v>
                </c:pt>
                <c:pt idx="471">
                  <c:v>12393</c:v>
                </c:pt>
                <c:pt idx="472">
                  <c:v>12394</c:v>
                </c:pt>
                <c:pt idx="473">
                  <c:v>12395</c:v>
                </c:pt>
                <c:pt idx="474">
                  <c:v>12396</c:v>
                </c:pt>
                <c:pt idx="475">
                  <c:v>12397</c:v>
                </c:pt>
                <c:pt idx="476">
                  <c:v>12398</c:v>
                </c:pt>
                <c:pt idx="477">
                  <c:v>12399</c:v>
                </c:pt>
                <c:pt idx="478">
                  <c:v>12400</c:v>
                </c:pt>
                <c:pt idx="479">
                  <c:v>12432</c:v>
                </c:pt>
                <c:pt idx="480">
                  <c:v>12433</c:v>
                </c:pt>
                <c:pt idx="481">
                  <c:v>12434</c:v>
                </c:pt>
                <c:pt idx="482">
                  <c:v>12435</c:v>
                </c:pt>
                <c:pt idx="483">
                  <c:v>12436</c:v>
                </c:pt>
                <c:pt idx="484">
                  <c:v>12437</c:v>
                </c:pt>
                <c:pt idx="485">
                  <c:v>12438</c:v>
                </c:pt>
                <c:pt idx="486">
                  <c:v>12439</c:v>
                </c:pt>
                <c:pt idx="487">
                  <c:v>12440</c:v>
                </c:pt>
                <c:pt idx="488">
                  <c:v>12441</c:v>
                </c:pt>
                <c:pt idx="489">
                  <c:v>12442</c:v>
                </c:pt>
                <c:pt idx="490">
                  <c:v>12443</c:v>
                </c:pt>
                <c:pt idx="491">
                  <c:v>12444</c:v>
                </c:pt>
                <c:pt idx="492">
                  <c:v>12445</c:v>
                </c:pt>
                <c:pt idx="493">
                  <c:v>12446</c:v>
                </c:pt>
                <c:pt idx="494">
                  <c:v>12447</c:v>
                </c:pt>
                <c:pt idx="495">
                  <c:v>12448</c:v>
                </c:pt>
                <c:pt idx="496">
                  <c:v>12449</c:v>
                </c:pt>
                <c:pt idx="497">
                  <c:v>12450</c:v>
                </c:pt>
                <c:pt idx="498">
                  <c:v>12451</c:v>
                </c:pt>
                <c:pt idx="499">
                  <c:v>12951</c:v>
                </c:pt>
                <c:pt idx="500">
                  <c:v>12952</c:v>
                </c:pt>
                <c:pt idx="501">
                  <c:v>12953</c:v>
                </c:pt>
                <c:pt idx="502">
                  <c:v>12954</c:v>
                </c:pt>
                <c:pt idx="503">
                  <c:v>12955</c:v>
                </c:pt>
                <c:pt idx="504">
                  <c:v>12956</c:v>
                </c:pt>
                <c:pt idx="505">
                  <c:v>12957</c:v>
                </c:pt>
                <c:pt idx="506">
                  <c:v>12958</c:v>
                </c:pt>
                <c:pt idx="507">
                  <c:v>12959</c:v>
                </c:pt>
                <c:pt idx="508">
                  <c:v>12960</c:v>
                </c:pt>
                <c:pt idx="509">
                  <c:v>12961</c:v>
                </c:pt>
                <c:pt idx="510">
                  <c:v>12962</c:v>
                </c:pt>
                <c:pt idx="511">
                  <c:v>12963</c:v>
                </c:pt>
                <c:pt idx="512">
                  <c:v>12964</c:v>
                </c:pt>
                <c:pt idx="513">
                  <c:v>12965</c:v>
                </c:pt>
                <c:pt idx="514">
                  <c:v>12966</c:v>
                </c:pt>
                <c:pt idx="515">
                  <c:v>12967</c:v>
                </c:pt>
                <c:pt idx="516">
                  <c:v>12968</c:v>
                </c:pt>
                <c:pt idx="517">
                  <c:v>12969</c:v>
                </c:pt>
                <c:pt idx="518">
                  <c:v>12970</c:v>
                </c:pt>
                <c:pt idx="519">
                  <c:v>13232</c:v>
                </c:pt>
                <c:pt idx="520">
                  <c:v>13233</c:v>
                </c:pt>
                <c:pt idx="521">
                  <c:v>13234</c:v>
                </c:pt>
                <c:pt idx="522">
                  <c:v>13235</c:v>
                </c:pt>
                <c:pt idx="523">
                  <c:v>13236</c:v>
                </c:pt>
                <c:pt idx="524">
                  <c:v>13237</c:v>
                </c:pt>
                <c:pt idx="525">
                  <c:v>13238</c:v>
                </c:pt>
                <c:pt idx="526">
                  <c:v>13239</c:v>
                </c:pt>
                <c:pt idx="527">
                  <c:v>13240</c:v>
                </c:pt>
                <c:pt idx="528">
                  <c:v>13241</c:v>
                </c:pt>
                <c:pt idx="529">
                  <c:v>13242</c:v>
                </c:pt>
                <c:pt idx="530">
                  <c:v>13243</c:v>
                </c:pt>
                <c:pt idx="531">
                  <c:v>13244</c:v>
                </c:pt>
                <c:pt idx="532">
                  <c:v>13245</c:v>
                </c:pt>
                <c:pt idx="533">
                  <c:v>13246</c:v>
                </c:pt>
                <c:pt idx="534">
                  <c:v>13247</c:v>
                </c:pt>
                <c:pt idx="535">
                  <c:v>13248</c:v>
                </c:pt>
                <c:pt idx="536">
                  <c:v>13249</c:v>
                </c:pt>
                <c:pt idx="537">
                  <c:v>13250</c:v>
                </c:pt>
                <c:pt idx="538">
                  <c:v>13251</c:v>
                </c:pt>
                <c:pt idx="539">
                  <c:v>13760</c:v>
                </c:pt>
                <c:pt idx="540">
                  <c:v>13761</c:v>
                </c:pt>
                <c:pt idx="541">
                  <c:v>13762</c:v>
                </c:pt>
                <c:pt idx="542">
                  <c:v>13763</c:v>
                </c:pt>
                <c:pt idx="543">
                  <c:v>13764</c:v>
                </c:pt>
                <c:pt idx="544">
                  <c:v>13765</c:v>
                </c:pt>
                <c:pt idx="545">
                  <c:v>13766</c:v>
                </c:pt>
                <c:pt idx="546">
                  <c:v>13767</c:v>
                </c:pt>
                <c:pt idx="547">
                  <c:v>13768</c:v>
                </c:pt>
                <c:pt idx="548">
                  <c:v>13769</c:v>
                </c:pt>
                <c:pt idx="549">
                  <c:v>13770</c:v>
                </c:pt>
                <c:pt idx="550">
                  <c:v>13771</c:v>
                </c:pt>
                <c:pt idx="551">
                  <c:v>13772</c:v>
                </c:pt>
                <c:pt idx="552">
                  <c:v>13773</c:v>
                </c:pt>
                <c:pt idx="553">
                  <c:v>13774</c:v>
                </c:pt>
                <c:pt idx="554">
                  <c:v>13775</c:v>
                </c:pt>
                <c:pt idx="555">
                  <c:v>13776</c:v>
                </c:pt>
                <c:pt idx="556">
                  <c:v>13777</c:v>
                </c:pt>
                <c:pt idx="557">
                  <c:v>13778</c:v>
                </c:pt>
                <c:pt idx="558">
                  <c:v>13779</c:v>
                </c:pt>
                <c:pt idx="559">
                  <c:v>14021</c:v>
                </c:pt>
                <c:pt idx="560">
                  <c:v>14022</c:v>
                </c:pt>
                <c:pt idx="561">
                  <c:v>14023</c:v>
                </c:pt>
                <c:pt idx="562">
                  <c:v>14024</c:v>
                </c:pt>
                <c:pt idx="563">
                  <c:v>14025</c:v>
                </c:pt>
                <c:pt idx="564">
                  <c:v>14026</c:v>
                </c:pt>
                <c:pt idx="565">
                  <c:v>14027</c:v>
                </c:pt>
                <c:pt idx="566">
                  <c:v>14028</c:v>
                </c:pt>
                <c:pt idx="567">
                  <c:v>14029</c:v>
                </c:pt>
                <c:pt idx="568">
                  <c:v>14030</c:v>
                </c:pt>
                <c:pt idx="569">
                  <c:v>14031</c:v>
                </c:pt>
                <c:pt idx="570">
                  <c:v>14032</c:v>
                </c:pt>
                <c:pt idx="571">
                  <c:v>14033</c:v>
                </c:pt>
                <c:pt idx="572">
                  <c:v>14034</c:v>
                </c:pt>
                <c:pt idx="573">
                  <c:v>14035</c:v>
                </c:pt>
                <c:pt idx="574">
                  <c:v>14036</c:v>
                </c:pt>
                <c:pt idx="575">
                  <c:v>14037</c:v>
                </c:pt>
                <c:pt idx="576">
                  <c:v>14038</c:v>
                </c:pt>
                <c:pt idx="577">
                  <c:v>14039</c:v>
                </c:pt>
                <c:pt idx="578">
                  <c:v>14040</c:v>
                </c:pt>
                <c:pt idx="579">
                  <c:v>14547</c:v>
                </c:pt>
                <c:pt idx="580">
                  <c:v>14548</c:v>
                </c:pt>
                <c:pt idx="581">
                  <c:v>14549</c:v>
                </c:pt>
                <c:pt idx="582">
                  <c:v>14550</c:v>
                </c:pt>
                <c:pt idx="583">
                  <c:v>14551</c:v>
                </c:pt>
                <c:pt idx="584">
                  <c:v>14552</c:v>
                </c:pt>
                <c:pt idx="585">
                  <c:v>14553</c:v>
                </c:pt>
                <c:pt idx="586">
                  <c:v>14554</c:v>
                </c:pt>
                <c:pt idx="587">
                  <c:v>14555</c:v>
                </c:pt>
                <c:pt idx="588">
                  <c:v>14556</c:v>
                </c:pt>
                <c:pt idx="589">
                  <c:v>14557</c:v>
                </c:pt>
                <c:pt idx="590">
                  <c:v>14558</c:v>
                </c:pt>
                <c:pt idx="591">
                  <c:v>14559</c:v>
                </c:pt>
                <c:pt idx="592">
                  <c:v>14560</c:v>
                </c:pt>
                <c:pt idx="593">
                  <c:v>14561</c:v>
                </c:pt>
                <c:pt idx="594">
                  <c:v>14562</c:v>
                </c:pt>
                <c:pt idx="595">
                  <c:v>14563</c:v>
                </c:pt>
                <c:pt idx="596">
                  <c:v>14564</c:v>
                </c:pt>
                <c:pt idx="597">
                  <c:v>14565</c:v>
                </c:pt>
                <c:pt idx="598">
                  <c:v>14566</c:v>
                </c:pt>
                <c:pt idx="599">
                  <c:v>14901</c:v>
                </c:pt>
                <c:pt idx="600">
                  <c:v>14902</c:v>
                </c:pt>
                <c:pt idx="601">
                  <c:v>14903</c:v>
                </c:pt>
                <c:pt idx="602">
                  <c:v>14904</c:v>
                </c:pt>
                <c:pt idx="603">
                  <c:v>14905</c:v>
                </c:pt>
                <c:pt idx="604">
                  <c:v>14906</c:v>
                </c:pt>
                <c:pt idx="605">
                  <c:v>14907</c:v>
                </c:pt>
                <c:pt idx="606">
                  <c:v>14908</c:v>
                </c:pt>
                <c:pt idx="607">
                  <c:v>14909</c:v>
                </c:pt>
                <c:pt idx="608">
                  <c:v>14910</c:v>
                </c:pt>
                <c:pt idx="609">
                  <c:v>14911</c:v>
                </c:pt>
                <c:pt idx="610">
                  <c:v>14912</c:v>
                </c:pt>
                <c:pt idx="611">
                  <c:v>14913</c:v>
                </c:pt>
                <c:pt idx="612">
                  <c:v>14914</c:v>
                </c:pt>
                <c:pt idx="613">
                  <c:v>14915</c:v>
                </c:pt>
                <c:pt idx="614">
                  <c:v>14916</c:v>
                </c:pt>
                <c:pt idx="615">
                  <c:v>14917</c:v>
                </c:pt>
                <c:pt idx="616">
                  <c:v>14918</c:v>
                </c:pt>
                <c:pt idx="617">
                  <c:v>14919</c:v>
                </c:pt>
                <c:pt idx="618">
                  <c:v>14920</c:v>
                </c:pt>
                <c:pt idx="619">
                  <c:v>15256</c:v>
                </c:pt>
                <c:pt idx="620">
                  <c:v>15257</c:v>
                </c:pt>
                <c:pt idx="621">
                  <c:v>15258</c:v>
                </c:pt>
                <c:pt idx="622">
                  <c:v>15259</c:v>
                </c:pt>
                <c:pt idx="623">
                  <c:v>15260</c:v>
                </c:pt>
                <c:pt idx="624">
                  <c:v>15261</c:v>
                </c:pt>
                <c:pt idx="625">
                  <c:v>15262</c:v>
                </c:pt>
                <c:pt idx="626">
                  <c:v>15263</c:v>
                </c:pt>
                <c:pt idx="627">
                  <c:v>15264</c:v>
                </c:pt>
                <c:pt idx="628">
                  <c:v>15265</c:v>
                </c:pt>
                <c:pt idx="629">
                  <c:v>15266</c:v>
                </c:pt>
                <c:pt idx="630">
                  <c:v>15267</c:v>
                </c:pt>
                <c:pt idx="631">
                  <c:v>15268</c:v>
                </c:pt>
                <c:pt idx="632">
                  <c:v>15269</c:v>
                </c:pt>
                <c:pt idx="633">
                  <c:v>15270</c:v>
                </c:pt>
                <c:pt idx="634">
                  <c:v>15271</c:v>
                </c:pt>
                <c:pt idx="635">
                  <c:v>15272</c:v>
                </c:pt>
                <c:pt idx="636">
                  <c:v>15273</c:v>
                </c:pt>
                <c:pt idx="637">
                  <c:v>15274</c:v>
                </c:pt>
                <c:pt idx="638">
                  <c:v>15275</c:v>
                </c:pt>
                <c:pt idx="639">
                  <c:v>15636</c:v>
                </c:pt>
                <c:pt idx="640">
                  <c:v>15637</c:v>
                </c:pt>
                <c:pt idx="641">
                  <c:v>15638</c:v>
                </c:pt>
                <c:pt idx="642">
                  <c:v>15639</c:v>
                </c:pt>
                <c:pt idx="643">
                  <c:v>15640</c:v>
                </c:pt>
                <c:pt idx="644">
                  <c:v>15641</c:v>
                </c:pt>
                <c:pt idx="645">
                  <c:v>15642</c:v>
                </c:pt>
                <c:pt idx="646">
                  <c:v>15643</c:v>
                </c:pt>
                <c:pt idx="647">
                  <c:v>15644</c:v>
                </c:pt>
                <c:pt idx="648">
                  <c:v>15645</c:v>
                </c:pt>
                <c:pt idx="649">
                  <c:v>15646</c:v>
                </c:pt>
                <c:pt idx="650">
                  <c:v>15647</c:v>
                </c:pt>
                <c:pt idx="651">
                  <c:v>15648</c:v>
                </c:pt>
                <c:pt idx="652">
                  <c:v>15649</c:v>
                </c:pt>
                <c:pt idx="653">
                  <c:v>15650</c:v>
                </c:pt>
                <c:pt idx="654">
                  <c:v>15651</c:v>
                </c:pt>
                <c:pt idx="655">
                  <c:v>15652</c:v>
                </c:pt>
                <c:pt idx="656">
                  <c:v>15653</c:v>
                </c:pt>
                <c:pt idx="657">
                  <c:v>15654</c:v>
                </c:pt>
                <c:pt idx="658">
                  <c:v>15655</c:v>
                </c:pt>
                <c:pt idx="659">
                  <c:v>16226</c:v>
                </c:pt>
                <c:pt idx="660">
                  <c:v>16227</c:v>
                </c:pt>
                <c:pt idx="661">
                  <c:v>16228</c:v>
                </c:pt>
                <c:pt idx="662">
                  <c:v>16229</c:v>
                </c:pt>
                <c:pt idx="663">
                  <c:v>16230</c:v>
                </c:pt>
                <c:pt idx="664">
                  <c:v>16231</c:v>
                </c:pt>
                <c:pt idx="665">
                  <c:v>16232</c:v>
                </c:pt>
                <c:pt idx="666">
                  <c:v>16233</c:v>
                </c:pt>
                <c:pt idx="667">
                  <c:v>16234</c:v>
                </c:pt>
                <c:pt idx="668">
                  <c:v>16235</c:v>
                </c:pt>
                <c:pt idx="669">
                  <c:v>16236</c:v>
                </c:pt>
                <c:pt idx="670">
                  <c:v>16237</c:v>
                </c:pt>
                <c:pt idx="671">
                  <c:v>16238</c:v>
                </c:pt>
                <c:pt idx="672">
                  <c:v>16239</c:v>
                </c:pt>
                <c:pt idx="673">
                  <c:v>16240</c:v>
                </c:pt>
                <c:pt idx="674">
                  <c:v>16241</c:v>
                </c:pt>
                <c:pt idx="675">
                  <c:v>16242</c:v>
                </c:pt>
                <c:pt idx="676">
                  <c:v>16243</c:v>
                </c:pt>
                <c:pt idx="677">
                  <c:v>16244</c:v>
                </c:pt>
                <c:pt idx="678">
                  <c:v>16245</c:v>
                </c:pt>
                <c:pt idx="679">
                  <c:v>19126</c:v>
                </c:pt>
                <c:pt idx="680">
                  <c:v>19127</c:v>
                </c:pt>
                <c:pt idx="681">
                  <c:v>19128</c:v>
                </c:pt>
                <c:pt idx="682">
                  <c:v>19129</c:v>
                </c:pt>
                <c:pt idx="683">
                  <c:v>19130</c:v>
                </c:pt>
                <c:pt idx="684">
                  <c:v>19131</c:v>
                </c:pt>
                <c:pt idx="685">
                  <c:v>19132</c:v>
                </c:pt>
                <c:pt idx="686">
                  <c:v>19133</c:v>
                </c:pt>
                <c:pt idx="687">
                  <c:v>19134</c:v>
                </c:pt>
                <c:pt idx="688">
                  <c:v>19135</c:v>
                </c:pt>
                <c:pt idx="689">
                  <c:v>19136</c:v>
                </c:pt>
                <c:pt idx="690">
                  <c:v>19137</c:v>
                </c:pt>
                <c:pt idx="691">
                  <c:v>19138</c:v>
                </c:pt>
                <c:pt idx="692">
                  <c:v>19139</c:v>
                </c:pt>
                <c:pt idx="693">
                  <c:v>19140</c:v>
                </c:pt>
                <c:pt idx="694">
                  <c:v>19141</c:v>
                </c:pt>
                <c:pt idx="695">
                  <c:v>19142</c:v>
                </c:pt>
                <c:pt idx="696">
                  <c:v>19143</c:v>
                </c:pt>
                <c:pt idx="697">
                  <c:v>19144</c:v>
                </c:pt>
                <c:pt idx="698">
                  <c:v>19145</c:v>
                </c:pt>
                <c:pt idx="699">
                  <c:v>19466</c:v>
                </c:pt>
                <c:pt idx="700">
                  <c:v>19467</c:v>
                </c:pt>
                <c:pt idx="701">
                  <c:v>19468</c:v>
                </c:pt>
                <c:pt idx="702">
                  <c:v>19469</c:v>
                </c:pt>
                <c:pt idx="703">
                  <c:v>19470</c:v>
                </c:pt>
                <c:pt idx="704">
                  <c:v>19471</c:v>
                </c:pt>
                <c:pt idx="705">
                  <c:v>19472</c:v>
                </c:pt>
                <c:pt idx="706">
                  <c:v>19473</c:v>
                </c:pt>
                <c:pt idx="707">
                  <c:v>19474</c:v>
                </c:pt>
                <c:pt idx="708">
                  <c:v>19475</c:v>
                </c:pt>
                <c:pt idx="709">
                  <c:v>19476</c:v>
                </c:pt>
                <c:pt idx="710">
                  <c:v>19477</c:v>
                </c:pt>
                <c:pt idx="711">
                  <c:v>19478</c:v>
                </c:pt>
                <c:pt idx="712">
                  <c:v>19479</c:v>
                </c:pt>
                <c:pt idx="713">
                  <c:v>19480</c:v>
                </c:pt>
                <c:pt idx="714">
                  <c:v>19481</c:v>
                </c:pt>
                <c:pt idx="715">
                  <c:v>19482</c:v>
                </c:pt>
                <c:pt idx="716">
                  <c:v>19483</c:v>
                </c:pt>
                <c:pt idx="717">
                  <c:v>19484</c:v>
                </c:pt>
                <c:pt idx="718">
                  <c:v>19485</c:v>
                </c:pt>
                <c:pt idx="719">
                  <c:v>19761</c:v>
                </c:pt>
                <c:pt idx="720">
                  <c:v>19762</c:v>
                </c:pt>
                <c:pt idx="721">
                  <c:v>19763</c:v>
                </c:pt>
                <c:pt idx="722">
                  <c:v>19764</c:v>
                </c:pt>
                <c:pt idx="723">
                  <c:v>19765</c:v>
                </c:pt>
                <c:pt idx="724">
                  <c:v>19766</c:v>
                </c:pt>
                <c:pt idx="725">
                  <c:v>19767</c:v>
                </c:pt>
                <c:pt idx="726">
                  <c:v>19768</c:v>
                </c:pt>
                <c:pt idx="727">
                  <c:v>19769</c:v>
                </c:pt>
                <c:pt idx="728">
                  <c:v>19770</c:v>
                </c:pt>
                <c:pt idx="729">
                  <c:v>19771</c:v>
                </c:pt>
                <c:pt idx="730">
                  <c:v>19772</c:v>
                </c:pt>
                <c:pt idx="731">
                  <c:v>19773</c:v>
                </c:pt>
                <c:pt idx="732">
                  <c:v>19774</c:v>
                </c:pt>
                <c:pt idx="733">
                  <c:v>19775</c:v>
                </c:pt>
                <c:pt idx="734">
                  <c:v>19776</c:v>
                </c:pt>
                <c:pt idx="735">
                  <c:v>19777</c:v>
                </c:pt>
                <c:pt idx="736">
                  <c:v>19778</c:v>
                </c:pt>
                <c:pt idx="737">
                  <c:v>19779</c:v>
                </c:pt>
                <c:pt idx="738">
                  <c:v>19780</c:v>
                </c:pt>
                <c:pt idx="739">
                  <c:v>20150</c:v>
                </c:pt>
                <c:pt idx="740">
                  <c:v>20151</c:v>
                </c:pt>
                <c:pt idx="741">
                  <c:v>20152</c:v>
                </c:pt>
                <c:pt idx="742">
                  <c:v>20153</c:v>
                </c:pt>
                <c:pt idx="743">
                  <c:v>20154</c:v>
                </c:pt>
                <c:pt idx="744">
                  <c:v>20155</c:v>
                </c:pt>
                <c:pt idx="745">
                  <c:v>20156</c:v>
                </c:pt>
                <c:pt idx="746">
                  <c:v>20157</c:v>
                </c:pt>
                <c:pt idx="747">
                  <c:v>20158</c:v>
                </c:pt>
                <c:pt idx="748">
                  <c:v>20159</c:v>
                </c:pt>
                <c:pt idx="749">
                  <c:v>20160</c:v>
                </c:pt>
                <c:pt idx="750">
                  <c:v>20161</c:v>
                </c:pt>
                <c:pt idx="751">
                  <c:v>20162</c:v>
                </c:pt>
                <c:pt idx="752">
                  <c:v>20163</c:v>
                </c:pt>
                <c:pt idx="753">
                  <c:v>20164</c:v>
                </c:pt>
                <c:pt idx="754">
                  <c:v>20165</c:v>
                </c:pt>
                <c:pt idx="755">
                  <c:v>20166</c:v>
                </c:pt>
                <c:pt idx="756">
                  <c:v>20167</c:v>
                </c:pt>
                <c:pt idx="757">
                  <c:v>20168</c:v>
                </c:pt>
                <c:pt idx="758">
                  <c:v>20169</c:v>
                </c:pt>
                <c:pt idx="759">
                  <c:v>20434</c:v>
                </c:pt>
                <c:pt idx="760">
                  <c:v>20435</c:v>
                </c:pt>
                <c:pt idx="761">
                  <c:v>20436</c:v>
                </c:pt>
                <c:pt idx="762">
                  <c:v>20437</c:v>
                </c:pt>
                <c:pt idx="763">
                  <c:v>20438</c:v>
                </c:pt>
                <c:pt idx="764">
                  <c:v>20439</c:v>
                </c:pt>
                <c:pt idx="765">
                  <c:v>20440</c:v>
                </c:pt>
                <c:pt idx="766">
                  <c:v>20441</c:v>
                </c:pt>
                <c:pt idx="767">
                  <c:v>20442</c:v>
                </c:pt>
                <c:pt idx="768">
                  <c:v>20443</c:v>
                </c:pt>
                <c:pt idx="769">
                  <c:v>20444</c:v>
                </c:pt>
                <c:pt idx="770">
                  <c:v>20445</c:v>
                </c:pt>
                <c:pt idx="771">
                  <c:v>20446</c:v>
                </c:pt>
                <c:pt idx="772">
                  <c:v>20447</c:v>
                </c:pt>
                <c:pt idx="773">
                  <c:v>20448</c:v>
                </c:pt>
                <c:pt idx="774">
                  <c:v>20449</c:v>
                </c:pt>
                <c:pt idx="775">
                  <c:v>20450</c:v>
                </c:pt>
                <c:pt idx="776">
                  <c:v>20451</c:v>
                </c:pt>
                <c:pt idx="777">
                  <c:v>20452</c:v>
                </c:pt>
                <c:pt idx="778">
                  <c:v>20453</c:v>
                </c:pt>
                <c:pt idx="779">
                  <c:v>20845</c:v>
                </c:pt>
                <c:pt idx="780">
                  <c:v>20846</c:v>
                </c:pt>
                <c:pt idx="781">
                  <c:v>20847</c:v>
                </c:pt>
                <c:pt idx="782">
                  <c:v>20848</c:v>
                </c:pt>
                <c:pt idx="783">
                  <c:v>20849</c:v>
                </c:pt>
                <c:pt idx="784">
                  <c:v>20850</c:v>
                </c:pt>
                <c:pt idx="785">
                  <c:v>20851</c:v>
                </c:pt>
                <c:pt idx="786">
                  <c:v>20852</c:v>
                </c:pt>
                <c:pt idx="787">
                  <c:v>20853</c:v>
                </c:pt>
                <c:pt idx="788">
                  <c:v>20854</c:v>
                </c:pt>
                <c:pt idx="789">
                  <c:v>20855</c:v>
                </c:pt>
                <c:pt idx="790">
                  <c:v>20856</c:v>
                </c:pt>
                <c:pt idx="791">
                  <c:v>20857</c:v>
                </c:pt>
                <c:pt idx="792">
                  <c:v>20858</c:v>
                </c:pt>
                <c:pt idx="793">
                  <c:v>20859</c:v>
                </c:pt>
                <c:pt idx="794">
                  <c:v>20860</c:v>
                </c:pt>
                <c:pt idx="795">
                  <c:v>20861</c:v>
                </c:pt>
                <c:pt idx="796">
                  <c:v>20862</c:v>
                </c:pt>
                <c:pt idx="797">
                  <c:v>20863</c:v>
                </c:pt>
                <c:pt idx="798">
                  <c:v>20864</c:v>
                </c:pt>
                <c:pt idx="799">
                  <c:v>21485</c:v>
                </c:pt>
                <c:pt idx="800">
                  <c:v>21486</c:v>
                </c:pt>
                <c:pt idx="801">
                  <c:v>21487</c:v>
                </c:pt>
                <c:pt idx="802">
                  <c:v>21488</c:v>
                </c:pt>
                <c:pt idx="803">
                  <c:v>21489</c:v>
                </c:pt>
                <c:pt idx="804">
                  <c:v>21490</c:v>
                </c:pt>
                <c:pt idx="805">
                  <c:v>21491</c:v>
                </c:pt>
                <c:pt idx="806">
                  <c:v>21492</c:v>
                </c:pt>
                <c:pt idx="807">
                  <c:v>21493</c:v>
                </c:pt>
                <c:pt idx="808">
                  <c:v>21494</c:v>
                </c:pt>
                <c:pt idx="809">
                  <c:v>21495</c:v>
                </c:pt>
                <c:pt idx="810">
                  <c:v>21496</c:v>
                </c:pt>
                <c:pt idx="811">
                  <c:v>21497</c:v>
                </c:pt>
                <c:pt idx="812">
                  <c:v>21498</c:v>
                </c:pt>
                <c:pt idx="813">
                  <c:v>21499</c:v>
                </c:pt>
                <c:pt idx="814">
                  <c:v>21500</c:v>
                </c:pt>
                <c:pt idx="815">
                  <c:v>21501</c:v>
                </c:pt>
                <c:pt idx="816">
                  <c:v>21502</c:v>
                </c:pt>
                <c:pt idx="817">
                  <c:v>21503</c:v>
                </c:pt>
                <c:pt idx="818">
                  <c:v>21504</c:v>
                </c:pt>
                <c:pt idx="819">
                  <c:v>21839</c:v>
                </c:pt>
                <c:pt idx="820">
                  <c:v>21840</c:v>
                </c:pt>
                <c:pt idx="821">
                  <c:v>21841</c:v>
                </c:pt>
                <c:pt idx="822">
                  <c:v>21842</c:v>
                </c:pt>
                <c:pt idx="823">
                  <c:v>21843</c:v>
                </c:pt>
                <c:pt idx="824">
                  <c:v>21844</c:v>
                </c:pt>
                <c:pt idx="825">
                  <c:v>21845</c:v>
                </c:pt>
                <c:pt idx="826">
                  <c:v>21846</c:v>
                </c:pt>
                <c:pt idx="827">
                  <c:v>21847</c:v>
                </c:pt>
                <c:pt idx="828">
                  <c:v>21848</c:v>
                </c:pt>
                <c:pt idx="829">
                  <c:v>21849</c:v>
                </c:pt>
                <c:pt idx="830">
                  <c:v>21850</c:v>
                </c:pt>
                <c:pt idx="831">
                  <c:v>21851</c:v>
                </c:pt>
                <c:pt idx="832">
                  <c:v>21852</c:v>
                </c:pt>
                <c:pt idx="833">
                  <c:v>21853</c:v>
                </c:pt>
                <c:pt idx="834">
                  <c:v>21854</c:v>
                </c:pt>
                <c:pt idx="835">
                  <c:v>21855</c:v>
                </c:pt>
                <c:pt idx="836">
                  <c:v>21856</c:v>
                </c:pt>
                <c:pt idx="837">
                  <c:v>21857</c:v>
                </c:pt>
                <c:pt idx="838">
                  <c:v>21858</c:v>
                </c:pt>
                <c:pt idx="839">
                  <c:v>22846</c:v>
                </c:pt>
                <c:pt idx="840">
                  <c:v>22847</c:v>
                </c:pt>
                <c:pt idx="841">
                  <c:v>22848</c:v>
                </c:pt>
                <c:pt idx="842">
                  <c:v>22849</c:v>
                </c:pt>
                <c:pt idx="843">
                  <c:v>22850</c:v>
                </c:pt>
                <c:pt idx="844">
                  <c:v>22851</c:v>
                </c:pt>
                <c:pt idx="845">
                  <c:v>22852</c:v>
                </c:pt>
                <c:pt idx="846">
                  <c:v>22853</c:v>
                </c:pt>
                <c:pt idx="847">
                  <c:v>22854</c:v>
                </c:pt>
                <c:pt idx="848">
                  <c:v>22855</c:v>
                </c:pt>
                <c:pt idx="849">
                  <c:v>22856</c:v>
                </c:pt>
                <c:pt idx="850">
                  <c:v>22857</c:v>
                </c:pt>
                <c:pt idx="851">
                  <c:v>22858</c:v>
                </c:pt>
                <c:pt idx="852">
                  <c:v>22859</c:v>
                </c:pt>
                <c:pt idx="853">
                  <c:v>22860</c:v>
                </c:pt>
                <c:pt idx="854">
                  <c:v>22861</c:v>
                </c:pt>
                <c:pt idx="855">
                  <c:v>22862</c:v>
                </c:pt>
                <c:pt idx="856">
                  <c:v>22863</c:v>
                </c:pt>
                <c:pt idx="857">
                  <c:v>22864</c:v>
                </c:pt>
                <c:pt idx="858">
                  <c:v>22865</c:v>
                </c:pt>
                <c:pt idx="859">
                  <c:v>23670</c:v>
                </c:pt>
                <c:pt idx="860">
                  <c:v>23671</c:v>
                </c:pt>
                <c:pt idx="861">
                  <c:v>23672</c:v>
                </c:pt>
                <c:pt idx="862">
                  <c:v>23673</c:v>
                </c:pt>
                <c:pt idx="863">
                  <c:v>23674</c:v>
                </c:pt>
                <c:pt idx="864">
                  <c:v>23675</c:v>
                </c:pt>
                <c:pt idx="865">
                  <c:v>23676</c:v>
                </c:pt>
                <c:pt idx="866">
                  <c:v>23677</c:v>
                </c:pt>
                <c:pt idx="867">
                  <c:v>23678</c:v>
                </c:pt>
                <c:pt idx="868">
                  <c:v>23679</c:v>
                </c:pt>
                <c:pt idx="869">
                  <c:v>23680</c:v>
                </c:pt>
                <c:pt idx="870">
                  <c:v>23681</c:v>
                </c:pt>
                <c:pt idx="871">
                  <c:v>23682</c:v>
                </c:pt>
                <c:pt idx="872">
                  <c:v>23683</c:v>
                </c:pt>
                <c:pt idx="873">
                  <c:v>23684</c:v>
                </c:pt>
                <c:pt idx="874">
                  <c:v>23685</c:v>
                </c:pt>
                <c:pt idx="875">
                  <c:v>23686</c:v>
                </c:pt>
                <c:pt idx="876">
                  <c:v>23687</c:v>
                </c:pt>
                <c:pt idx="877">
                  <c:v>23688</c:v>
                </c:pt>
                <c:pt idx="878">
                  <c:v>23689</c:v>
                </c:pt>
                <c:pt idx="879">
                  <c:v>23690</c:v>
                </c:pt>
                <c:pt idx="880">
                  <c:v>23691</c:v>
                </c:pt>
                <c:pt idx="881">
                  <c:v>23692</c:v>
                </c:pt>
                <c:pt idx="882">
                  <c:v>23693</c:v>
                </c:pt>
                <c:pt idx="883">
                  <c:v>23694</c:v>
                </c:pt>
                <c:pt idx="884">
                  <c:v>23695</c:v>
                </c:pt>
                <c:pt idx="885">
                  <c:v>23696</c:v>
                </c:pt>
                <c:pt idx="886">
                  <c:v>23697</c:v>
                </c:pt>
                <c:pt idx="887">
                  <c:v>23698</c:v>
                </c:pt>
                <c:pt idx="888">
                  <c:v>23699</c:v>
                </c:pt>
                <c:pt idx="889">
                  <c:v>23700</c:v>
                </c:pt>
                <c:pt idx="890">
                  <c:v>23701</c:v>
                </c:pt>
                <c:pt idx="891">
                  <c:v>23702</c:v>
                </c:pt>
                <c:pt idx="892">
                  <c:v>23703</c:v>
                </c:pt>
                <c:pt idx="893">
                  <c:v>23704</c:v>
                </c:pt>
                <c:pt idx="894">
                  <c:v>23705</c:v>
                </c:pt>
                <c:pt idx="895">
                  <c:v>23706</c:v>
                </c:pt>
                <c:pt idx="896">
                  <c:v>23707</c:v>
                </c:pt>
                <c:pt idx="897">
                  <c:v>23708</c:v>
                </c:pt>
                <c:pt idx="898">
                  <c:v>23709</c:v>
                </c:pt>
              </c:numCache>
            </c:numRef>
          </c:cat>
          <c:val>
            <c:numRef>
              <c:f>'Time and cycles'!$G$2:$G$900</c:f>
              <c:numCache>
                <c:formatCode>0.00</c:formatCode>
                <c:ptCount val="899"/>
                <c:pt idx="0">
                  <c:v>20.714675231083994</c:v>
                </c:pt>
                <c:pt idx="1">
                  <c:v>20.862252961085588</c:v>
                </c:pt>
                <c:pt idx="2">
                  <c:v>22.527710615123091</c:v>
                </c:pt>
                <c:pt idx="3">
                  <c:v>21.732170285340267</c:v>
                </c:pt>
                <c:pt idx="4">
                  <c:v>21.484853043148217</c:v>
                </c:pt>
                <c:pt idx="5">
                  <c:v>21.471329709629916</c:v>
                </c:pt>
                <c:pt idx="6">
                  <c:v>21.971199176372714</c:v>
                </c:pt>
                <c:pt idx="7">
                  <c:v>22.023055898363523</c:v>
                </c:pt>
                <c:pt idx="8">
                  <c:v>21.892908740121591</c:v>
                </c:pt>
                <c:pt idx="9">
                  <c:v>20.765211471533668</c:v>
                </c:pt>
                <c:pt idx="10">
                  <c:v>21.371070722314215</c:v>
                </c:pt>
                <c:pt idx="11">
                  <c:v>20.355022049665568</c:v>
                </c:pt>
                <c:pt idx="12">
                  <c:v>20.206082963631133</c:v>
                </c:pt>
                <c:pt idx="13">
                  <c:v>19.522395475418325</c:v>
                </c:pt>
                <c:pt idx="14">
                  <c:v>20.234434753887971</c:v>
                </c:pt>
                <c:pt idx="15">
                  <c:v>19.663921964857487</c:v>
                </c:pt>
                <c:pt idx="16">
                  <c:v>20.30088855661144</c:v>
                </c:pt>
                <c:pt idx="17">
                  <c:v>20.081943998897298</c:v>
                </c:pt>
                <c:pt idx="18">
                  <c:v>20.1609748250278</c:v>
                </c:pt>
                <c:pt idx="19">
                  <c:v>20.501690555548816</c:v>
                </c:pt>
                <c:pt idx="20">
                  <c:v>20.006859634931637</c:v>
                </c:pt>
                <c:pt idx="21">
                  <c:v>20.344660985531732</c:v>
                </c:pt>
                <c:pt idx="22">
                  <c:v>20.492257783030979</c:v>
                </c:pt>
                <c:pt idx="23">
                  <c:v>19.999941865288434</c:v>
                </c:pt>
                <c:pt idx="24">
                  <c:v>35.226724679877847</c:v>
                </c:pt>
                <c:pt idx="25">
                  <c:v>35.079048504524025</c:v>
                </c:pt>
                <c:pt idx="26">
                  <c:v>35.511854025401163</c:v>
                </c:pt>
                <c:pt idx="27">
                  <c:v>34.905083536989501</c:v>
                </c:pt>
                <c:pt idx="28">
                  <c:v>34.955779086039065</c:v>
                </c:pt>
                <c:pt idx="29">
                  <c:v>35.782057077427297</c:v>
                </c:pt>
                <c:pt idx="30">
                  <c:v>35.229297428518024</c:v>
                </c:pt>
                <c:pt idx="31">
                  <c:v>35.061741690000709</c:v>
                </c:pt>
                <c:pt idx="32">
                  <c:v>35.479386923140503</c:v>
                </c:pt>
                <c:pt idx="33">
                  <c:v>35.031347441130123</c:v>
                </c:pt>
                <c:pt idx="34">
                  <c:v>34.892373165170078</c:v>
                </c:pt>
                <c:pt idx="35">
                  <c:v>35.789520400487859</c:v>
                </c:pt>
                <c:pt idx="36">
                  <c:v>34.763621087252879</c:v>
                </c:pt>
                <c:pt idx="37">
                  <c:v>35.871885555665955</c:v>
                </c:pt>
                <c:pt idx="38">
                  <c:v>36.741760286103286</c:v>
                </c:pt>
                <c:pt idx="39">
                  <c:v>20.668997034156632</c:v>
                </c:pt>
                <c:pt idx="40">
                  <c:v>20.576215409315427</c:v>
                </c:pt>
                <c:pt idx="41">
                  <c:v>20.476814608025791</c:v>
                </c:pt>
                <c:pt idx="42">
                  <c:v>20.633498364692247</c:v>
                </c:pt>
                <c:pt idx="43">
                  <c:v>20.039855559561033</c:v>
                </c:pt>
                <c:pt idx="44">
                  <c:v>20.309816295181271</c:v>
                </c:pt>
                <c:pt idx="45">
                  <c:v>20.016854563540505</c:v>
                </c:pt>
                <c:pt idx="46">
                  <c:v>20.570453511982159</c:v>
                </c:pt>
                <c:pt idx="47">
                  <c:v>20.484700990869626</c:v>
                </c:pt>
                <c:pt idx="48">
                  <c:v>20.033540279987054</c:v>
                </c:pt>
                <c:pt idx="49">
                  <c:v>20.075360166996056</c:v>
                </c:pt>
                <c:pt idx="50">
                  <c:v>20.358658727550051</c:v>
                </c:pt>
                <c:pt idx="51">
                  <c:v>19.768430622627271</c:v>
                </c:pt>
                <c:pt idx="52">
                  <c:v>20.076344049765193</c:v>
                </c:pt>
                <c:pt idx="53">
                  <c:v>19.905074307129148</c:v>
                </c:pt>
                <c:pt idx="54">
                  <c:v>19.886446669469713</c:v>
                </c:pt>
                <c:pt idx="55">
                  <c:v>77.694848859337441</c:v>
                </c:pt>
                <c:pt idx="56">
                  <c:v>20.413901087508279</c:v>
                </c:pt>
                <c:pt idx="57">
                  <c:v>20.021705446107774</c:v>
                </c:pt>
                <c:pt idx="58">
                  <c:v>35.330547129846721</c:v>
                </c:pt>
                <c:pt idx="59">
                  <c:v>20.040968747209014</c:v>
                </c:pt>
                <c:pt idx="60">
                  <c:v>19.622887701592738</c:v>
                </c:pt>
                <c:pt idx="61">
                  <c:v>20.219027001174013</c:v>
                </c:pt>
                <c:pt idx="62">
                  <c:v>20.320761887730043</c:v>
                </c:pt>
                <c:pt idx="63">
                  <c:v>20.386583430591362</c:v>
                </c:pt>
                <c:pt idx="64">
                  <c:v>20.475497685255434</c:v>
                </c:pt>
                <c:pt idx="65">
                  <c:v>19.938226108193053</c:v>
                </c:pt>
                <c:pt idx="66">
                  <c:v>20.168962580379823</c:v>
                </c:pt>
                <c:pt idx="67">
                  <c:v>19.554929677230355</c:v>
                </c:pt>
                <c:pt idx="68">
                  <c:v>20.018609803356139</c:v>
                </c:pt>
                <c:pt idx="69">
                  <c:v>19.899706157211675</c:v>
                </c:pt>
                <c:pt idx="70">
                  <c:v>19.97150714103152</c:v>
                </c:pt>
                <c:pt idx="71">
                  <c:v>19.265654927755101</c:v>
                </c:pt>
                <c:pt idx="72">
                  <c:v>19.927260717697109</c:v>
                </c:pt>
                <c:pt idx="73">
                  <c:v>20.044217701120441</c:v>
                </c:pt>
                <c:pt idx="74">
                  <c:v>19.648973340140607</c:v>
                </c:pt>
                <c:pt idx="75">
                  <c:v>19.862557330270356</c:v>
                </c:pt>
                <c:pt idx="76">
                  <c:v>20.312626643694617</c:v>
                </c:pt>
                <c:pt idx="77">
                  <c:v>19.686473633274815</c:v>
                </c:pt>
                <c:pt idx="78">
                  <c:v>20.282064738318066</c:v>
                </c:pt>
                <c:pt idx="79">
                  <c:v>19.40883235579691</c:v>
                </c:pt>
                <c:pt idx="80">
                  <c:v>19.289794757176722</c:v>
                </c:pt>
                <c:pt idx="81">
                  <c:v>19.320838767060348</c:v>
                </c:pt>
                <c:pt idx="82">
                  <c:v>19.735165277236469</c:v>
                </c:pt>
                <c:pt idx="83">
                  <c:v>19.762149240612267</c:v>
                </c:pt>
                <c:pt idx="84">
                  <c:v>19.403799380571645</c:v>
                </c:pt>
                <c:pt idx="85">
                  <c:v>19.678153698730807</c:v>
                </c:pt>
                <c:pt idx="86">
                  <c:v>19.438412278546661</c:v>
                </c:pt>
                <c:pt idx="87">
                  <c:v>19.780547588532354</c:v>
                </c:pt>
                <c:pt idx="88">
                  <c:v>19.544345525187367</c:v>
                </c:pt>
                <c:pt idx="89">
                  <c:v>19.598210832323858</c:v>
                </c:pt>
                <c:pt idx="90">
                  <c:v>19.926283346586626</c:v>
                </c:pt>
                <c:pt idx="91">
                  <c:v>19.225383060759338</c:v>
                </c:pt>
                <c:pt idx="92">
                  <c:v>20.072115101107535</c:v>
                </c:pt>
                <c:pt idx="93">
                  <c:v>19.339988196430319</c:v>
                </c:pt>
                <c:pt idx="94">
                  <c:v>19.107030071145928</c:v>
                </c:pt>
                <c:pt idx="95">
                  <c:v>20.260717281700003</c:v>
                </c:pt>
                <c:pt idx="96">
                  <c:v>19.952566719387107</c:v>
                </c:pt>
                <c:pt idx="97">
                  <c:v>19.922094435814529</c:v>
                </c:pt>
                <c:pt idx="98">
                  <c:v>18.919545654770108</c:v>
                </c:pt>
                <c:pt idx="99">
                  <c:v>19.413658848446524</c:v>
                </c:pt>
                <c:pt idx="100">
                  <c:v>19.469528245365662</c:v>
                </c:pt>
                <c:pt idx="101">
                  <c:v>19.361037192502614</c:v>
                </c:pt>
                <c:pt idx="102">
                  <c:v>19.787554386366143</c:v>
                </c:pt>
                <c:pt idx="103">
                  <c:v>19.750084401202223</c:v>
                </c:pt>
                <c:pt idx="104">
                  <c:v>19.44010095588968</c:v>
                </c:pt>
                <c:pt idx="105">
                  <c:v>19.607294054578936</c:v>
                </c:pt>
                <c:pt idx="106">
                  <c:v>19.39784496595626</c:v>
                </c:pt>
                <c:pt idx="107">
                  <c:v>19.954127284524887</c:v>
                </c:pt>
                <c:pt idx="108">
                  <c:v>19.564140170660778</c:v>
                </c:pt>
                <c:pt idx="109">
                  <c:v>19.532463500992733</c:v>
                </c:pt>
                <c:pt idx="110">
                  <c:v>19.918605102518093</c:v>
                </c:pt>
                <c:pt idx="111">
                  <c:v>19.265213204990165</c:v>
                </c:pt>
                <c:pt idx="112">
                  <c:v>19.973601663606882</c:v>
                </c:pt>
                <c:pt idx="113">
                  <c:v>19.19132677048005</c:v>
                </c:pt>
                <c:pt idx="114">
                  <c:v>19.226320685652613</c:v>
                </c:pt>
                <c:pt idx="115">
                  <c:v>20.237718782570703</c:v>
                </c:pt>
                <c:pt idx="116">
                  <c:v>19.855845354622474</c:v>
                </c:pt>
                <c:pt idx="117">
                  <c:v>20.04122901094193</c:v>
                </c:pt>
                <c:pt idx="118">
                  <c:v>18.974087132908796</c:v>
                </c:pt>
                <c:pt idx="119">
                  <c:v>19.492105434538445</c:v>
                </c:pt>
                <c:pt idx="120">
                  <c:v>19.392947472479101</c:v>
                </c:pt>
                <c:pt idx="121">
                  <c:v>19.29171192799252</c:v>
                </c:pt>
                <c:pt idx="122">
                  <c:v>19.704979421589957</c:v>
                </c:pt>
                <c:pt idx="123">
                  <c:v>19.731448874381755</c:v>
                </c:pt>
                <c:pt idx="124">
                  <c:v>19.346647190285182</c:v>
                </c:pt>
                <c:pt idx="125">
                  <c:v>19.580996335595536</c:v>
                </c:pt>
                <c:pt idx="126">
                  <c:v>19.475757646578387</c:v>
                </c:pt>
                <c:pt idx="127">
                  <c:v>19.929946238624904</c:v>
                </c:pt>
                <c:pt idx="128">
                  <c:v>19.496865894688053</c:v>
                </c:pt>
                <c:pt idx="129">
                  <c:v>19.48595269867187</c:v>
                </c:pt>
                <c:pt idx="130">
                  <c:v>19.932734981677882</c:v>
                </c:pt>
                <c:pt idx="131">
                  <c:v>19.241511329763071</c:v>
                </c:pt>
                <c:pt idx="132">
                  <c:v>19.943046399987537</c:v>
                </c:pt>
                <c:pt idx="133">
                  <c:v>19.331992221010029</c:v>
                </c:pt>
                <c:pt idx="134">
                  <c:v>19.176811877329236</c:v>
                </c:pt>
                <c:pt idx="135">
                  <c:v>20.228890512027579</c:v>
                </c:pt>
                <c:pt idx="136">
                  <c:v>19.899012801956879</c:v>
                </c:pt>
                <c:pt idx="137">
                  <c:v>20.103937716966499</c:v>
                </c:pt>
                <c:pt idx="138">
                  <c:v>19.011954312957222</c:v>
                </c:pt>
                <c:pt idx="139">
                  <c:v>20.061130098960454</c:v>
                </c:pt>
                <c:pt idx="140">
                  <c:v>19.362858874664713</c:v>
                </c:pt>
                <c:pt idx="141">
                  <c:v>19.342563158686438</c:v>
                </c:pt>
                <c:pt idx="142">
                  <c:v>19.512628047233441</c:v>
                </c:pt>
                <c:pt idx="143">
                  <c:v>19.68844661353878</c:v>
                </c:pt>
                <c:pt idx="144">
                  <c:v>19.649665903372952</c:v>
                </c:pt>
                <c:pt idx="145">
                  <c:v>20.054084579848077</c:v>
                </c:pt>
                <c:pt idx="146">
                  <c:v>20.21787082406129</c:v>
                </c:pt>
                <c:pt idx="147">
                  <c:v>49.190606505684201</c:v>
                </c:pt>
                <c:pt idx="148">
                  <c:v>20.398676233827359</c:v>
                </c:pt>
                <c:pt idx="149">
                  <c:v>24.476550787059324</c:v>
                </c:pt>
                <c:pt idx="150">
                  <c:v>20.288245342083645</c:v>
                </c:pt>
                <c:pt idx="151">
                  <c:v>19.307553917319257</c:v>
                </c:pt>
                <c:pt idx="152">
                  <c:v>267.08993603527614</c:v>
                </c:pt>
                <c:pt idx="153">
                  <c:v>20.171863897908981</c:v>
                </c:pt>
                <c:pt idx="154">
                  <c:v>242.30594173839171</c:v>
                </c:pt>
                <c:pt idx="155">
                  <c:v>20.378350967006959</c:v>
                </c:pt>
                <c:pt idx="156">
                  <c:v>20.237946278120155</c:v>
                </c:pt>
                <c:pt idx="157">
                  <c:v>20.280778246291138</c:v>
                </c:pt>
                <c:pt idx="158">
                  <c:v>19.496144147476613</c:v>
                </c:pt>
                <c:pt idx="159">
                  <c:v>18.93860634464696</c:v>
                </c:pt>
                <c:pt idx="160">
                  <c:v>18.95352175402278</c:v>
                </c:pt>
                <c:pt idx="161">
                  <c:v>19.592732778349976</c:v>
                </c:pt>
                <c:pt idx="162">
                  <c:v>19.992245005985133</c:v>
                </c:pt>
                <c:pt idx="163">
                  <c:v>20.08645338270227</c:v>
                </c:pt>
                <c:pt idx="164">
                  <c:v>19.841727494233389</c:v>
                </c:pt>
                <c:pt idx="165">
                  <c:v>19.747378356046347</c:v>
                </c:pt>
                <c:pt idx="166">
                  <c:v>19.389449460720755</c:v>
                </c:pt>
                <c:pt idx="167">
                  <c:v>19.910323995305113</c:v>
                </c:pt>
                <c:pt idx="168">
                  <c:v>19.81436792259575</c:v>
                </c:pt>
                <c:pt idx="169">
                  <c:v>19.498779481398593</c:v>
                </c:pt>
                <c:pt idx="170">
                  <c:v>20.185849667575148</c:v>
                </c:pt>
                <c:pt idx="171">
                  <c:v>20.229153166118135</c:v>
                </c:pt>
                <c:pt idx="172">
                  <c:v>19.505417676704653</c:v>
                </c:pt>
                <c:pt idx="173">
                  <c:v>20.369744309804933</c:v>
                </c:pt>
                <c:pt idx="174">
                  <c:v>20.086999666647376</c:v>
                </c:pt>
                <c:pt idx="175">
                  <c:v>19.8475308957659</c:v>
                </c:pt>
                <c:pt idx="176">
                  <c:v>19.675405613767854</c:v>
                </c:pt>
                <c:pt idx="177">
                  <c:v>19.207869728446855</c:v>
                </c:pt>
                <c:pt idx="178">
                  <c:v>34.645217297684766</c:v>
                </c:pt>
                <c:pt idx="179">
                  <c:v>24.750314342508666</c:v>
                </c:pt>
                <c:pt idx="180">
                  <c:v>320.58941137188441</c:v>
                </c:pt>
                <c:pt idx="181">
                  <c:v>20.040954147686158</c:v>
                </c:pt>
                <c:pt idx="182">
                  <c:v>19.743104015191008</c:v>
                </c:pt>
                <c:pt idx="183">
                  <c:v>19.829741814331992</c:v>
                </c:pt>
                <c:pt idx="184">
                  <c:v>19.393881755155682</c:v>
                </c:pt>
                <c:pt idx="185">
                  <c:v>19.292876516758106</c:v>
                </c:pt>
                <c:pt idx="186">
                  <c:v>19.892210609518216</c:v>
                </c:pt>
                <c:pt idx="187">
                  <c:v>19.214152350874535</c:v>
                </c:pt>
                <c:pt idx="188">
                  <c:v>19.467151396334636</c:v>
                </c:pt>
                <c:pt idx="189">
                  <c:v>18.970122013832992</c:v>
                </c:pt>
                <c:pt idx="190">
                  <c:v>19.883196587935334</c:v>
                </c:pt>
                <c:pt idx="191">
                  <c:v>19.256836873661026</c:v>
                </c:pt>
                <c:pt idx="192">
                  <c:v>19.46753754009876</c:v>
                </c:pt>
                <c:pt idx="193">
                  <c:v>19.13413250434871</c:v>
                </c:pt>
                <c:pt idx="194">
                  <c:v>18.671801632946266</c:v>
                </c:pt>
                <c:pt idx="195">
                  <c:v>19.541595868616263</c:v>
                </c:pt>
                <c:pt idx="196">
                  <c:v>19.720860986283078</c:v>
                </c:pt>
                <c:pt idx="197">
                  <c:v>19.831679494832862</c:v>
                </c:pt>
                <c:pt idx="198">
                  <c:v>19.526054975595279</c:v>
                </c:pt>
                <c:pt idx="199">
                  <c:v>19.484709926234004</c:v>
                </c:pt>
                <c:pt idx="200">
                  <c:v>19.719977174037702</c:v>
                </c:pt>
                <c:pt idx="201">
                  <c:v>19.218980323046864</c:v>
                </c:pt>
                <c:pt idx="202">
                  <c:v>19.800921860986584</c:v>
                </c:pt>
                <c:pt idx="203">
                  <c:v>19.324869803187841</c:v>
                </c:pt>
                <c:pt idx="204">
                  <c:v>20.275261790691843</c:v>
                </c:pt>
                <c:pt idx="205">
                  <c:v>19.480570105304299</c:v>
                </c:pt>
                <c:pt idx="206">
                  <c:v>19.486305344679657</c:v>
                </c:pt>
                <c:pt idx="207">
                  <c:v>20.059930693430331</c:v>
                </c:pt>
                <c:pt idx="208">
                  <c:v>19.437190030471704</c:v>
                </c:pt>
                <c:pt idx="209">
                  <c:v>20.041930184369118</c:v>
                </c:pt>
                <c:pt idx="210">
                  <c:v>19.62229660505681</c:v>
                </c:pt>
                <c:pt idx="211">
                  <c:v>19.126292385590411</c:v>
                </c:pt>
                <c:pt idx="212">
                  <c:v>19.167927044778693</c:v>
                </c:pt>
                <c:pt idx="213">
                  <c:v>19.034018018097889</c:v>
                </c:pt>
                <c:pt idx="214">
                  <c:v>19.863104886667529</c:v>
                </c:pt>
                <c:pt idx="215">
                  <c:v>20.075440411177638</c:v>
                </c:pt>
                <c:pt idx="216">
                  <c:v>19.66613961802916</c:v>
                </c:pt>
                <c:pt idx="217">
                  <c:v>19.717056080286156</c:v>
                </c:pt>
                <c:pt idx="218">
                  <c:v>19.60330770196488</c:v>
                </c:pt>
                <c:pt idx="219">
                  <c:v>19.269783683097401</c:v>
                </c:pt>
                <c:pt idx="220">
                  <c:v>19.169433101761854</c:v>
                </c:pt>
                <c:pt idx="221">
                  <c:v>20.086525729682059</c:v>
                </c:pt>
                <c:pt idx="222">
                  <c:v>19.362909216728273</c:v>
                </c:pt>
                <c:pt idx="223">
                  <c:v>19.247062662046893</c:v>
                </c:pt>
                <c:pt idx="224">
                  <c:v>20.110280028404176</c:v>
                </c:pt>
                <c:pt idx="225">
                  <c:v>19.967799433169816</c:v>
                </c:pt>
                <c:pt idx="226">
                  <c:v>19.450171659588811</c:v>
                </c:pt>
                <c:pt idx="227">
                  <c:v>19.407647613089431</c:v>
                </c:pt>
                <c:pt idx="228">
                  <c:v>19.236689108383818</c:v>
                </c:pt>
                <c:pt idx="229">
                  <c:v>19.972083853987758</c:v>
                </c:pt>
                <c:pt idx="230">
                  <c:v>19.467934229970478</c:v>
                </c:pt>
                <c:pt idx="231">
                  <c:v>19.252674475351974</c:v>
                </c:pt>
                <c:pt idx="232">
                  <c:v>19.603468333227873</c:v>
                </c:pt>
                <c:pt idx="233">
                  <c:v>20.20610536947834</c:v>
                </c:pt>
                <c:pt idx="234">
                  <c:v>19.501257436035729</c:v>
                </c:pt>
                <c:pt idx="235">
                  <c:v>19.133830154728422</c:v>
                </c:pt>
                <c:pt idx="236">
                  <c:v>19.327423218797716</c:v>
                </c:pt>
                <c:pt idx="237">
                  <c:v>20.076570034227803</c:v>
                </c:pt>
                <c:pt idx="238">
                  <c:v>20.014183528516398</c:v>
                </c:pt>
                <c:pt idx="239">
                  <c:v>43.587820861359148</c:v>
                </c:pt>
                <c:pt idx="240">
                  <c:v>19.071750844870799</c:v>
                </c:pt>
                <c:pt idx="241">
                  <c:v>18.798018658538197</c:v>
                </c:pt>
                <c:pt idx="242">
                  <c:v>19.664867238924511</c:v>
                </c:pt>
                <c:pt idx="243">
                  <c:v>19.732191084630429</c:v>
                </c:pt>
                <c:pt idx="244">
                  <c:v>19.757933230705309</c:v>
                </c:pt>
                <c:pt idx="245">
                  <c:v>19.795070414812379</c:v>
                </c:pt>
                <c:pt idx="246">
                  <c:v>19.986112287887366</c:v>
                </c:pt>
                <c:pt idx="247">
                  <c:v>19.726262075129</c:v>
                </c:pt>
                <c:pt idx="248">
                  <c:v>19.806046771024594</c:v>
                </c:pt>
                <c:pt idx="249">
                  <c:v>19.939426301691668</c:v>
                </c:pt>
                <c:pt idx="250">
                  <c:v>20.103326440443688</c:v>
                </c:pt>
                <c:pt idx="251">
                  <c:v>20.379509666401219</c:v>
                </c:pt>
                <c:pt idx="252">
                  <c:v>19.896918265364821</c:v>
                </c:pt>
                <c:pt idx="253">
                  <c:v>20.159762180658429</c:v>
                </c:pt>
                <c:pt idx="254">
                  <c:v>19.327807582428726</c:v>
                </c:pt>
                <c:pt idx="255">
                  <c:v>20.481543499810194</c:v>
                </c:pt>
                <c:pt idx="256">
                  <c:v>20.1669200420815</c:v>
                </c:pt>
                <c:pt idx="257">
                  <c:v>19.610213998509163</c:v>
                </c:pt>
                <c:pt idx="258">
                  <c:v>19.946697793502409</c:v>
                </c:pt>
                <c:pt idx="259">
                  <c:v>20.080182499286849</c:v>
                </c:pt>
                <c:pt idx="260">
                  <c:v>20.392146415859226</c:v>
                </c:pt>
                <c:pt idx="261">
                  <c:v>20.203345082803509</c:v>
                </c:pt>
                <c:pt idx="262">
                  <c:v>20.298427258873396</c:v>
                </c:pt>
                <c:pt idx="263">
                  <c:v>20.250700079218767</c:v>
                </c:pt>
                <c:pt idx="264">
                  <c:v>20.15710965450787</c:v>
                </c:pt>
                <c:pt idx="265">
                  <c:v>20.159805528926725</c:v>
                </c:pt>
                <c:pt idx="266">
                  <c:v>20.073075104925934</c:v>
                </c:pt>
                <c:pt idx="267">
                  <c:v>20.094525046615136</c:v>
                </c:pt>
                <c:pt idx="268">
                  <c:v>19.991880347277089</c:v>
                </c:pt>
                <c:pt idx="269">
                  <c:v>19.962292826364752</c:v>
                </c:pt>
                <c:pt idx="270">
                  <c:v>20.379860315586281</c:v>
                </c:pt>
                <c:pt idx="271">
                  <c:v>20.081749770149674</c:v>
                </c:pt>
                <c:pt idx="272">
                  <c:v>20.016495713688563</c:v>
                </c:pt>
                <c:pt idx="273">
                  <c:v>20.3632173134292</c:v>
                </c:pt>
                <c:pt idx="274">
                  <c:v>19.764130098758407</c:v>
                </c:pt>
                <c:pt idx="275">
                  <c:v>19.549922665167866</c:v>
                </c:pt>
                <c:pt idx="276">
                  <c:v>20.536544730273008</c:v>
                </c:pt>
                <c:pt idx="277">
                  <c:v>19.998829343526257</c:v>
                </c:pt>
                <c:pt idx="278">
                  <c:v>20.627654656997986</c:v>
                </c:pt>
                <c:pt idx="279">
                  <c:v>34.556711550567861</c:v>
                </c:pt>
                <c:pt idx="280">
                  <c:v>34.45945441625755</c:v>
                </c:pt>
                <c:pt idx="281">
                  <c:v>35.219972093780477</c:v>
                </c:pt>
                <c:pt idx="282">
                  <c:v>34.916518526813576</c:v>
                </c:pt>
                <c:pt idx="283">
                  <c:v>34.699526197945382</c:v>
                </c:pt>
                <c:pt idx="284">
                  <c:v>34.418855437342792</c:v>
                </c:pt>
                <c:pt idx="285">
                  <c:v>34.167310192504935</c:v>
                </c:pt>
                <c:pt idx="286">
                  <c:v>34.941474134318405</c:v>
                </c:pt>
                <c:pt idx="287">
                  <c:v>34.289109470482693</c:v>
                </c:pt>
                <c:pt idx="288">
                  <c:v>467.28272005470205</c:v>
                </c:pt>
                <c:pt idx="289">
                  <c:v>20.737089038096794</c:v>
                </c:pt>
                <c:pt idx="290">
                  <c:v>19.91102486815965</c:v>
                </c:pt>
                <c:pt idx="291">
                  <c:v>20.129875439621074</c:v>
                </c:pt>
                <c:pt idx="292">
                  <c:v>20.459138331335936</c:v>
                </c:pt>
                <c:pt idx="293">
                  <c:v>20.021663355005746</c:v>
                </c:pt>
                <c:pt idx="294">
                  <c:v>20.022731891514027</c:v>
                </c:pt>
                <c:pt idx="295">
                  <c:v>19.977166347227932</c:v>
                </c:pt>
                <c:pt idx="296">
                  <c:v>19.169249863061413</c:v>
                </c:pt>
                <c:pt idx="297">
                  <c:v>20.407525207197306</c:v>
                </c:pt>
                <c:pt idx="298">
                  <c:v>19.804057702347617</c:v>
                </c:pt>
                <c:pt idx="299">
                  <c:v>19.811377226302309</c:v>
                </c:pt>
                <c:pt idx="300">
                  <c:v>19.647760810598889</c:v>
                </c:pt>
                <c:pt idx="301">
                  <c:v>19.183942631158843</c:v>
                </c:pt>
                <c:pt idx="302">
                  <c:v>20.121747423847307</c:v>
                </c:pt>
                <c:pt idx="303">
                  <c:v>20.200734999464888</c:v>
                </c:pt>
                <c:pt idx="304">
                  <c:v>117.16184724305184</c:v>
                </c:pt>
                <c:pt idx="305">
                  <c:v>20.416835053615987</c:v>
                </c:pt>
                <c:pt idx="306">
                  <c:v>19.693875200982102</c:v>
                </c:pt>
                <c:pt idx="307">
                  <c:v>20.361097386207781</c:v>
                </c:pt>
                <c:pt idx="308">
                  <c:v>19.735304689748666</c:v>
                </c:pt>
                <c:pt idx="309">
                  <c:v>20.171511809689648</c:v>
                </c:pt>
                <c:pt idx="310">
                  <c:v>20.22287503310751</c:v>
                </c:pt>
                <c:pt idx="311">
                  <c:v>20.145173448796296</c:v>
                </c:pt>
                <c:pt idx="312">
                  <c:v>19.956285886741149</c:v>
                </c:pt>
                <c:pt idx="313">
                  <c:v>20.180019320163233</c:v>
                </c:pt>
                <c:pt idx="314">
                  <c:v>19.909972190147229</c:v>
                </c:pt>
                <c:pt idx="315">
                  <c:v>20.249421807039155</c:v>
                </c:pt>
                <c:pt idx="316">
                  <c:v>20.064995494863179</c:v>
                </c:pt>
                <c:pt idx="317">
                  <c:v>20.33222068279548</c:v>
                </c:pt>
                <c:pt idx="318">
                  <c:v>19.62287950421382</c:v>
                </c:pt>
                <c:pt idx="319">
                  <c:v>19.24052830918944</c:v>
                </c:pt>
                <c:pt idx="320">
                  <c:v>20.013611859125803</c:v>
                </c:pt>
                <c:pt idx="321">
                  <c:v>20.024030606468195</c:v>
                </c:pt>
                <c:pt idx="322">
                  <c:v>20.228311194019724</c:v>
                </c:pt>
                <c:pt idx="323">
                  <c:v>19.847393731945729</c:v>
                </c:pt>
                <c:pt idx="324">
                  <c:v>19.313409912811146</c:v>
                </c:pt>
                <c:pt idx="325">
                  <c:v>19.801726199877049</c:v>
                </c:pt>
                <c:pt idx="326">
                  <c:v>20.095248512641845</c:v>
                </c:pt>
                <c:pt idx="327">
                  <c:v>19.515103177415853</c:v>
                </c:pt>
                <c:pt idx="328">
                  <c:v>20.106929581758266</c:v>
                </c:pt>
                <c:pt idx="329">
                  <c:v>19.968506296323127</c:v>
                </c:pt>
                <c:pt idx="330">
                  <c:v>19.619380545088205</c:v>
                </c:pt>
                <c:pt idx="331">
                  <c:v>20.009834948612763</c:v>
                </c:pt>
                <c:pt idx="332">
                  <c:v>19.607122555093113</c:v>
                </c:pt>
                <c:pt idx="333">
                  <c:v>19.391372965489019</c:v>
                </c:pt>
                <c:pt idx="334">
                  <c:v>19.786563938791264</c:v>
                </c:pt>
                <c:pt idx="335">
                  <c:v>19.759381489732096</c:v>
                </c:pt>
                <c:pt idx="336">
                  <c:v>18.624209731844687</c:v>
                </c:pt>
                <c:pt idx="337">
                  <c:v>18.793832977465136</c:v>
                </c:pt>
                <c:pt idx="338">
                  <c:v>19.877712004089872</c:v>
                </c:pt>
                <c:pt idx="339">
                  <c:v>19.197268503789786</c:v>
                </c:pt>
                <c:pt idx="340">
                  <c:v>18.843210933142142</c:v>
                </c:pt>
                <c:pt idx="341">
                  <c:v>19.479260357438051</c:v>
                </c:pt>
                <c:pt idx="342">
                  <c:v>19.728484281579743</c:v>
                </c:pt>
                <c:pt idx="343">
                  <c:v>19.774809772772969</c:v>
                </c:pt>
                <c:pt idx="344">
                  <c:v>20.192248729457205</c:v>
                </c:pt>
                <c:pt idx="345">
                  <c:v>54.142532539741651</c:v>
                </c:pt>
                <c:pt idx="346">
                  <c:v>19.857812820132867</c:v>
                </c:pt>
                <c:pt idx="347">
                  <c:v>19.456444932963247</c:v>
                </c:pt>
                <c:pt idx="348">
                  <c:v>20.828968176337249</c:v>
                </c:pt>
                <c:pt idx="349">
                  <c:v>19.606491765296798</c:v>
                </c:pt>
                <c:pt idx="350">
                  <c:v>18.793786099582224</c:v>
                </c:pt>
                <c:pt idx="351">
                  <c:v>19.806701646702457</c:v>
                </c:pt>
                <c:pt idx="352">
                  <c:v>18.985046206639055</c:v>
                </c:pt>
                <c:pt idx="353">
                  <c:v>19.889691743473829</c:v>
                </c:pt>
                <c:pt idx="354">
                  <c:v>19.225760555184031</c:v>
                </c:pt>
                <c:pt idx="355">
                  <c:v>20.01719189519109</c:v>
                </c:pt>
                <c:pt idx="356">
                  <c:v>19.452991190233064</c:v>
                </c:pt>
                <c:pt idx="357">
                  <c:v>19.843737466579864</c:v>
                </c:pt>
                <c:pt idx="358">
                  <c:v>19.505179096598958</c:v>
                </c:pt>
                <c:pt idx="359">
                  <c:v>87.798089392736657</c:v>
                </c:pt>
                <c:pt idx="360">
                  <c:v>25.47957801698422</c:v>
                </c:pt>
                <c:pt idx="361">
                  <c:v>20.062322816464601</c:v>
                </c:pt>
                <c:pt idx="362">
                  <c:v>19.312667290490253</c:v>
                </c:pt>
                <c:pt idx="363">
                  <c:v>21.19045081389341</c:v>
                </c:pt>
                <c:pt idx="364">
                  <c:v>20.32123125943501</c:v>
                </c:pt>
                <c:pt idx="365">
                  <c:v>19.827895002154428</c:v>
                </c:pt>
                <c:pt idx="366">
                  <c:v>20.383428309511505</c:v>
                </c:pt>
                <c:pt idx="367">
                  <c:v>19.755924235915856</c:v>
                </c:pt>
                <c:pt idx="368">
                  <c:v>21.092799487755954</c:v>
                </c:pt>
                <c:pt idx="369">
                  <c:v>113.80464998183801</c:v>
                </c:pt>
                <c:pt idx="370">
                  <c:v>20.182966154129748</c:v>
                </c:pt>
                <c:pt idx="371">
                  <c:v>20.738904538820947</c:v>
                </c:pt>
                <c:pt idx="372">
                  <c:v>21.136465971106869</c:v>
                </c:pt>
                <c:pt idx="373">
                  <c:v>19.672956829281183</c:v>
                </c:pt>
                <c:pt idx="374">
                  <c:v>20.697470562021472</c:v>
                </c:pt>
                <c:pt idx="375">
                  <c:v>20.67369738694617</c:v>
                </c:pt>
                <c:pt idx="376">
                  <c:v>20.359903878567192</c:v>
                </c:pt>
                <c:pt idx="377">
                  <c:v>21.122994641017328</c:v>
                </c:pt>
                <c:pt idx="378">
                  <c:v>21.219800308091344</c:v>
                </c:pt>
                <c:pt idx="379">
                  <c:v>19.664592387942101</c:v>
                </c:pt>
                <c:pt idx="380">
                  <c:v>20.006985711362415</c:v>
                </c:pt>
                <c:pt idx="381">
                  <c:v>20.005935295736627</c:v>
                </c:pt>
                <c:pt idx="382">
                  <c:v>20.343007753130756</c:v>
                </c:pt>
                <c:pt idx="383">
                  <c:v>20.6366588170103</c:v>
                </c:pt>
                <c:pt idx="384">
                  <c:v>19.832714356123933</c:v>
                </c:pt>
                <c:pt idx="385">
                  <c:v>19.666712602398331</c:v>
                </c:pt>
                <c:pt idx="386">
                  <c:v>20.393382934892941</c:v>
                </c:pt>
                <c:pt idx="387">
                  <c:v>20.530902221466459</c:v>
                </c:pt>
                <c:pt idx="388">
                  <c:v>20.554337760941443</c:v>
                </c:pt>
                <c:pt idx="389">
                  <c:v>20.137829231052937</c:v>
                </c:pt>
                <c:pt idx="390">
                  <c:v>20.56386181472983</c:v>
                </c:pt>
                <c:pt idx="391">
                  <c:v>20.512657047265407</c:v>
                </c:pt>
                <c:pt idx="392">
                  <c:v>20.535992358477404</c:v>
                </c:pt>
                <c:pt idx="393">
                  <c:v>20.447695232442314</c:v>
                </c:pt>
                <c:pt idx="394">
                  <c:v>19.957647234640937</c:v>
                </c:pt>
                <c:pt idx="395">
                  <c:v>20.005328095392038</c:v>
                </c:pt>
                <c:pt idx="396">
                  <c:v>19.798377142838831</c:v>
                </c:pt>
                <c:pt idx="397">
                  <c:v>20.431182338463184</c:v>
                </c:pt>
                <c:pt idx="398">
                  <c:v>20.509510562554198</c:v>
                </c:pt>
                <c:pt idx="399">
                  <c:v>19.555264751138836</c:v>
                </c:pt>
                <c:pt idx="400">
                  <c:v>20.492872153695394</c:v>
                </c:pt>
                <c:pt idx="401">
                  <c:v>20.299735040011537</c:v>
                </c:pt>
                <c:pt idx="402">
                  <c:v>19.803308745757096</c:v>
                </c:pt>
                <c:pt idx="403">
                  <c:v>20.540617876314816</c:v>
                </c:pt>
                <c:pt idx="404">
                  <c:v>20.183666825412907</c:v>
                </c:pt>
                <c:pt idx="405">
                  <c:v>20.536093393015008</c:v>
                </c:pt>
                <c:pt idx="406">
                  <c:v>20.760978551927906</c:v>
                </c:pt>
                <c:pt idx="407">
                  <c:v>20.198793828188709</c:v>
                </c:pt>
                <c:pt idx="408">
                  <c:v>20.732974387072826</c:v>
                </c:pt>
                <c:pt idx="409">
                  <c:v>20.563337476120925</c:v>
                </c:pt>
                <c:pt idx="410">
                  <c:v>19.940195031363352</c:v>
                </c:pt>
                <c:pt idx="411">
                  <c:v>20.087392821865613</c:v>
                </c:pt>
                <c:pt idx="412">
                  <c:v>20.31626606246838</c:v>
                </c:pt>
                <c:pt idx="413">
                  <c:v>20.298112361271858</c:v>
                </c:pt>
                <c:pt idx="414">
                  <c:v>21.209958203165538</c:v>
                </c:pt>
                <c:pt idx="415">
                  <c:v>20.974178203288158</c:v>
                </c:pt>
                <c:pt idx="416">
                  <c:v>20.577902886176599</c:v>
                </c:pt>
                <c:pt idx="417">
                  <c:v>20.811013293001242</c:v>
                </c:pt>
                <c:pt idx="418">
                  <c:v>20.88124005005335</c:v>
                </c:pt>
                <c:pt idx="419">
                  <c:v>20.751240050053351</c:v>
                </c:pt>
                <c:pt idx="420">
                  <c:v>20.773633889602074</c:v>
                </c:pt>
                <c:pt idx="421">
                  <c:v>20.78752315240941</c:v>
                </c:pt>
                <c:pt idx="422">
                  <c:v>20.749106861291807</c:v>
                </c:pt>
                <c:pt idx="423">
                  <c:v>20.728978969192092</c:v>
                </c:pt>
                <c:pt idx="424">
                  <c:v>20.693558212906293</c:v>
                </c:pt>
                <c:pt idx="425">
                  <c:v>20.35790694574775</c:v>
                </c:pt>
                <c:pt idx="426">
                  <c:v>20.468153779935484</c:v>
                </c:pt>
                <c:pt idx="427">
                  <c:v>20.880599923448948</c:v>
                </c:pt>
                <c:pt idx="428">
                  <c:v>20.239930668718575</c:v>
                </c:pt>
                <c:pt idx="429">
                  <c:v>20.176518418591421</c:v>
                </c:pt>
                <c:pt idx="430">
                  <c:v>19.993392560424393</c:v>
                </c:pt>
                <c:pt idx="431">
                  <c:v>19.826018218707517</c:v>
                </c:pt>
                <c:pt idx="432">
                  <c:v>20.265552782878046</c:v>
                </c:pt>
                <c:pt idx="433">
                  <c:v>19.817876793494037</c:v>
                </c:pt>
                <c:pt idx="434">
                  <c:v>20.237619205824185</c:v>
                </c:pt>
                <c:pt idx="435">
                  <c:v>19.767370264610896</c:v>
                </c:pt>
                <c:pt idx="436">
                  <c:v>20.088268615800978</c:v>
                </c:pt>
                <c:pt idx="437">
                  <c:v>19.512258162133019</c:v>
                </c:pt>
                <c:pt idx="438">
                  <c:v>20.141484167633546</c:v>
                </c:pt>
                <c:pt idx="439">
                  <c:v>21.052152672256788</c:v>
                </c:pt>
                <c:pt idx="440">
                  <c:v>20.534184836806649</c:v>
                </c:pt>
                <c:pt idx="441">
                  <c:v>20.84562203203885</c:v>
                </c:pt>
                <c:pt idx="442">
                  <c:v>20.486741763913621</c:v>
                </c:pt>
                <c:pt idx="443">
                  <c:v>20.199399376796528</c:v>
                </c:pt>
                <c:pt idx="444">
                  <c:v>20.457549767006149</c:v>
                </c:pt>
                <c:pt idx="445">
                  <c:v>20.072360990984112</c:v>
                </c:pt>
                <c:pt idx="446">
                  <c:v>20.557425846163742</c:v>
                </c:pt>
                <c:pt idx="447">
                  <c:v>18.394711386943133</c:v>
                </c:pt>
                <c:pt idx="448">
                  <c:v>20.055545686665027</c:v>
                </c:pt>
                <c:pt idx="449">
                  <c:v>19.585069054751209</c:v>
                </c:pt>
                <c:pt idx="450">
                  <c:v>19.983238091552288</c:v>
                </c:pt>
                <c:pt idx="451">
                  <c:v>19.555897491202515</c:v>
                </c:pt>
                <c:pt idx="452">
                  <c:v>19.667546454109605</c:v>
                </c:pt>
                <c:pt idx="453">
                  <c:v>20.007874435599202</c:v>
                </c:pt>
                <c:pt idx="454">
                  <c:v>19.868309882763555</c:v>
                </c:pt>
                <c:pt idx="455">
                  <c:v>20.313917266580354</c:v>
                </c:pt>
                <c:pt idx="456">
                  <c:v>19.768543769228515</c:v>
                </c:pt>
                <c:pt idx="457">
                  <c:v>20.439083786869638</c:v>
                </c:pt>
                <c:pt idx="458">
                  <c:v>19.900636437279104</c:v>
                </c:pt>
                <c:pt idx="459">
                  <c:v>19.735670649744286</c:v>
                </c:pt>
                <c:pt idx="460">
                  <c:v>19.960138581094203</c:v>
                </c:pt>
                <c:pt idx="461">
                  <c:v>19.392756921520796</c:v>
                </c:pt>
                <c:pt idx="462">
                  <c:v>19.320632902065256</c:v>
                </c:pt>
                <c:pt idx="463">
                  <c:v>20.222757167797877</c:v>
                </c:pt>
                <c:pt idx="464">
                  <c:v>20.0574702810841</c:v>
                </c:pt>
                <c:pt idx="465">
                  <c:v>19.240122733337301</c:v>
                </c:pt>
                <c:pt idx="466">
                  <c:v>20.13838137793083</c:v>
                </c:pt>
                <c:pt idx="467">
                  <c:v>20.486354103519801</c:v>
                </c:pt>
                <c:pt idx="468">
                  <c:v>20.349177864911873</c:v>
                </c:pt>
                <c:pt idx="469">
                  <c:v>19.626046914408857</c:v>
                </c:pt>
                <c:pt idx="470">
                  <c:v>19.478429688579805</c:v>
                </c:pt>
                <c:pt idx="471">
                  <c:v>19.670957237622851</c:v>
                </c:pt>
                <c:pt idx="472">
                  <c:v>19.386575064443122</c:v>
                </c:pt>
                <c:pt idx="473">
                  <c:v>20.302460624436122</c:v>
                </c:pt>
                <c:pt idx="474">
                  <c:v>20.291789160481933</c:v>
                </c:pt>
                <c:pt idx="475">
                  <c:v>19.388586235668825</c:v>
                </c:pt>
                <c:pt idx="476">
                  <c:v>19.610978396787139</c:v>
                </c:pt>
                <c:pt idx="477">
                  <c:v>19.60625635619526</c:v>
                </c:pt>
                <c:pt idx="478">
                  <c:v>20.778502479973437</c:v>
                </c:pt>
                <c:pt idx="479">
                  <c:v>20.665670649744285</c:v>
                </c:pt>
                <c:pt idx="480">
                  <c:v>20.190138581094203</c:v>
                </c:pt>
                <c:pt idx="481">
                  <c:v>20.422756921520797</c:v>
                </c:pt>
                <c:pt idx="482">
                  <c:v>20.530632902065257</c:v>
                </c:pt>
                <c:pt idx="483">
                  <c:v>20.262757167797876</c:v>
                </c:pt>
                <c:pt idx="484">
                  <c:v>20.567470281084098</c:v>
                </c:pt>
                <c:pt idx="485">
                  <c:v>20.010122733337305</c:v>
                </c:pt>
                <c:pt idx="486">
                  <c:v>19.998381377930833</c:v>
                </c:pt>
                <c:pt idx="487">
                  <c:v>20.7763541035198</c:v>
                </c:pt>
                <c:pt idx="488">
                  <c:v>20.769177864911871</c:v>
                </c:pt>
                <c:pt idx="489">
                  <c:v>20.596046914408859</c:v>
                </c:pt>
                <c:pt idx="490">
                  <c:v>20.738429688579803</c:v>
                </c:pt>
                <c:pt idx="491">
                  <c:v>19.69095723762285</c:v>
                </c:pt>
                <c:pt idx="492">
                  <c:v>20.64657506444312</c:v>
                </c:pt>
                <c:pt idx="493">
                  <c:v>20.762460624436123</c:v>
                </c:pt>
                <c:pt idx="494">
                  <c:v>20.661789160481931</c:v>
                </c:pt>
                <c:pt idx="495">
                  <c:v>20.648586235668823</c:v>
                </c:pt>
                <c:pt idx="496">
                  <c:v>20.330978396787138</c:v>
                </c:pt>
                <c:pt idx="497">
                  <c:v>19.906256356195257</c:v>
                </c:pt>
                <c:pt idx="498">
                  <c:v>20.988502479973437</c:v>
                </c:pt>
                <c:pt idx="499">
                  <c:v>19.565670649744284</c:v>
                </c:pt>
                <c:pt idx="500">
                  <c:v>20.100138581094203</c:v>
                </c:pt>
                <c:pt idx="501">
                  <c:v>19.932756921520795</c:v>
                </c:pt>
                <c:pt idx="502">
                  <c:v>20.120632902065257</c:v>
                </c:pt>
                <c:pt idx="503">
                  <c:v>19.622757167797875</c:v>
                </c:pt>
                <c:pt idx="504">
                  <c:v>19.8074702810841</c:v>
                </c:pt>
                <c:pt idx="505">
                  <c:v>19.270122733337303</c:v>
                </c:pt>
                <c:pt idx="506">
                  <c:v>19.688381377930831</c:v>
                </c:pt>
                <c:pt idx="507">
                  <c:v>20.196354103519802</c:v>
                </c:pt>
                <c:pt idx="508">
                  <c:v>19.199177864911871</c:v>
                </c:pt>
                <c:pt idx="509">
                  <c:v>20.316046914408858</c:v>
                </c:pt>
                <c:pt idx="510">
                  <c:v>19.958429688579805</c:v>
                </c:pt>
                <c:pt idx="511">
                  <c:v>20.010957237622851</c:v>
                </c:pt>
                <c:pt idx="512">
                  <c:v>19.736575064443119</c:v>
                </c:pt>
                <c:pt idx="513">
                  <c:v>20.082460624436123</c:v>
                </c:pt>
                <c:pt idx="514">
                  <c:v>20.251789160481934</c:v>
                </c:pt>
                <c:pt idx="515">
                  <c:v>19.928586235668824</c:v>
                </c:pt>
                <c:pt idx="516">
                  <c:v>19.550978396787141</c:v>
                </c:pt>
                <c:pt idx="517">
                  <c:v>20.206256356195258</c:v>
                </c:pt>
                <c:pt idx="518">
                  <c:v>20.018502479973439</c:v>
                </c:pt>
                <c:pt idx="519">
                  <c:v>19.303788752152855</c:v>
                </c:pt>
                <c:pt idx="520">
                  <c:v>20.091835734952458</c:v>
                </c:pt>
                <c:pt idx="521">
                  <c:v>19.464769707909404</c:v>
                </c:pt>
                <c:pt idx="522">
                  <c:v>20.58808401261625</c:v>
                </c:pt>
                <c:pt idx="523">
                  <c:v>20.483483406583542</c:v>
                </c:pt>
                <c:pt idx="524">
                  <c:v>19.967373757640367</c:v>
                </c:pt>
                <c:pt idx="525">
                  <c:v>19.854350874137616</c:v>
                </c:pt>
                <c:pt idx="526">
                  <c:v>19.719084540942411</c:v>
                </c:pt>
                <c:pt idx="527">
                  <c:v>19.445571811866632</c:v>
                </c:pt>
                <c:pt idx="528">
                  <c:v>19.489768388956943</c:v>
                </c:pt>
                <c:pt idx="529">
                  <c:v>19.980942556656419</c:v>
                </c:pt>
                <c:pt idx="530">
                  <c:v>20.092958006953893</c:v>
                </c:pt>
                <c:pt idx="531">
                  <c:v>19.905525430070799</c:v>
                </c:pt>
                <c:pt idx="532">
                  <c:v>19.663253157305654</c:v>
                </c:pt>
                <c:pt idx="533">
                  <c:v>19.984719125054973</c:v>
                </c:pt>
                <c:pt idx="534">
                  <c:v>20.12225262956661</c:v>
                </c:pt>
                <c:pt idx="535">
                  <c:v>19.620245731828348</c:v>
                </c:pt>
                <c:pt idx="536">
                  <c:v>19.648616813245717</c:v>
                </c:pt>
                <c:pt idx="537">
                  <c:v>19.299135585426281</c:v>
                </c:pt>
                <c:pt idx="538">
                  <c:v>19.706205968973542</c:v>
                </c:pt>
                <c:pt idx="539">
                  <c:v>20.177536317464828</c:v>
                </c:pt>
                <c:pt idx="540">
                  <c:v>19.808622683049887</c:v>
                </c:pt>
                <c:pt idx="541">
                  <c:v>20.243412571223594</c:v>
                </c:pt>
                <c:pt idx="542">
                  <c:v>20.037389165515112</c:v>
                </c:pt>
                <c:pt idx="543">
                  <c:v>20.3106586232275</c:v>
                </c:pt>
                <c:pt idx="544">
                  <c:v>20.707326586655086</c:v>
                </c:pt>
                <c:pt idx="545">
                  <c:v>20.710017345054112</c:v>
                </c:pt>
                <c:pt idx="546">
                  <c:v>74.892546705270362</c:v>
                </c:pt>
                <c:pt idx="547">
                  <c:v>20.155627864942087</c:v>
                </c:pt>
                <c:pt idx="548">
                  <c:v>19.516217825691196</c:v>
                </c:pt>
                <c:pt idx="549">
                  <c:v>20.542997669486361</c:v>
                </c:pt>
                <c:pt idx="550">
                  <c:v>20.195455945825021</c:v>
                </c:pt>
                <c:pt idx="551">
                  <c:v>19.77485217264848</c:v>
                </c:pt>
                <c:pt idx="552">
                  <c:v>19.479239666081618</c:v>
                </c:pt>
                <c:pt idx="553">
                  <c:v>20.403220881190379</c:v>
                </c:pt>
                <c:pt idx="554">
                  <c:v>20.451141615512974</c:v>
                </c:pt>
                <c:pt idx="555">
                  <c:v>19.674163348289859</c:v>
                </c:pt>
                <c:pt idx="556">
                  <c:v>20.48091607123586</c:v>
                </c:pt>
                <c:pt idx="557">
                  <c:v>20.22100621683693</c:v>
                </c:pt>
                <c:pt idx="558">
                  <c:v>20.227883968161819</c:v>
                </c:pt>
                <c:pt idx="559">
                  <c:v>26.73107744357868</c:v>
                </c:pt>
                <c:pt idx="560">
                  <c:v>20.312832199406451</c:v>
                </c:pt>
                <c:pt idx="561">
                  <c:v>19.377091318173402</c:v>
                </c:pt>
                <c:pt idx="562">
                  <c:v>32.03873367637155</c:v>
                </c:pt>
                <c:pt idx="563">
                  <c:v>19.486325360381841</c:v>
                </c:pt>
                <c:pt idx="564">
                  <c:v>20.448464198029626</c:v>
                </c:pt>
                <c:pt idx="565">
                  <c:v>19.892782084223988</c:v>
                </c:pt>
                <c:pt idx="566">
                  <c:v>19.508669705445794</c:v>
                </c:pt>
                <c:pt idx="567">
                  <c:v>19.951955175547425</c:v>
                </c:pt>
                <c:pt idx="568">
                  <c:v>20.220487771524201</c:v>
                </c:pt>
                <c:pt idx="569">
                  <c:v>20.082523822319004</c:v>
                </c:pt>
                <c:pt idx="570">
                  <c:v>19.977446942502816</c:v>
                </c:pt>
                <c:pt idx="571">
                  <c:v>19.596543522607909</c:v>
                </c:pt>
                <c:pt idx="572">
                  <c:v>19.535936575517244</c:v>
                </c:pt>
                <c:pt idx="573">
                  <c:v>19.657834310230946</c:v>
                </c:pt>
                <c:pt idx="574">
                  <c:v>19.505435943026033</c:v>
                </c:pt>
                <c:pt idx="575">
                  <c:v>19.495160814017243</c:v>
                </c:pt>
                <c:pt idx="576">
                  <c:v>19.570836815234415</c:v>
                </c:pt>
                <c:pt idx="577">
                  <c:v>19.774378032539971</c:v>
                </c:pt>
                <c:pt idx="578">
                  <c:v>19.435855602422663</c:v>
                </c:pt>
                <c:pt idx="579">
                  <c:v>20.331401141392046</c:v>
                </c:pt>
                <c:pt idx="580">
                  <c:v>19.751158761875846</c:v>
                </c:pt>
                <c:pt idx="581">
                  <c:v>19.524984269772297</c:v>
                </c:pt>
                <c:pt idx="582">
                  <c:v>19.341894321041512</c:v>
                </c:pt>
                <c:pt idx="583">
                  <c:v>19.672831202493981</c:v>
                </c:pt>
                <c:pt idx="584">
                  <c:v>20.045582061446435</c:v>
                </c:pt>
                <c:pt idx="585">
                  <c:v>20.261591565022083</c:v>
                </c:pt>
                <c:pt idx="586">
                  <c:v>19.848800919298572</c:v>
                </c:pt>
                <c:pt idx="587">
                  <c:v>19.921587475721104</c:v>
                </c:pt>
                <c:pt idx="588">
                  <c:v>19.654560855163005</c:v>
                </c:pt>
                <c:pt idx="589">
                  <c:v>20.126000520564968</c:v>
                </c:pt>
                <c:pt idx="590">
                  <c:v>20.260287116267857</c:v>
                </c:pt>
                <c:pt idx="591">
                  <c:v>19.452503686019291</c:v>
                </c:pt>
                <c:pt idx="592">
                  <c:v>19.939878082130036</c:v>
                </c:pt>
                <c:pt idx="593">
                  <c:v>19.876089148539421</c:v>
                </c:pt>
                <c:pt idx="594">
                  <c:v>20.298066147922103</c:v>
                </c:pt>
                <c:pt idx="595">
                  <c:v>20.141594900618252</c:v>
                </c:pt>
                <c:pt idx="596">
                  <c:v>19.577385735140481</c:v>
                </c:pt>
                <c:pt idx="597">
                  <c:v>20.317042961094771</c:v>
                </c:pt>
                <c:pt idx="598">
                  <c:v>20.416471483396606</c:v>
                </c:pt>
                <c:pt idx="599">
                  <c:v>18.711401141392049</c:v>
                </c:pt>
                <c:pt idx="600">
                  <c:v>20.261158761875848</c:v>
                </c:pt>
                <c:pt idx="601">
                  <c:v>20.114984269772297</c:v>
                </c:pt>
                <c:pt idx="602">
                  <c:v>19.581894321041514</c:v>
                </c:pt>
                <c:pt idx="603">
                  <c:v>19.702831202493979</c:v>
                </c:pt>
                <c:pt idx="604">
                  <c:v>19.535582061446437</c:v>
                </c:pt>
                <c:pt idx="605">
                  <c:v>19.901591565022084</c:v>
                </c:pt>
                <c:pt idx="606">
                  <c:v>20.458800919298572</c:v>
                </c:pt>
                <c:pt idx="607">
                  <c:v>20.381587475721105</c:v>
                </c:pt>
                <c:pt idx="608">
                  <c:v>20.054560855163007</c:v>
                </c:pt>
                <c:pt idx="609">
                  <c:v>19.496000520564969</c:v>
                </c:pt>
                <c:pt idx="610">
                  <c:v>19.390287116267857</c:v>
                </c:pt>
                <c:pt idx="611">
                  <c:v>19.832503686019294</c:v>
                </c:pt>
                <c:pt idx="612">
                  <c:v>20.169878082130037</c:v>
                </c:pt>
                <c:pt idx="613">
                  <c:v>19.566089148539422</c:v>
                </c:pt>
                <c:pt idx="614">
                  <c:v>20.048066147922103</c:v>
                </c:pt>
                <c:pt idx="615">
                  <c:v>19.691594900618252</c:v>
                </c:pt>
                <c:pt idx="616">
                  <c:v>19.877385735140479</c:v>
                </c:pt>
                <c:pt idx="617">
                  <c:v>19.49704296109477</c:v>
                </c:pt>
                <c:pt idx="618">
                  <c:v>20.146471483396606</c:v>
                </c:pt>
                <c:pt idx="619">
                  <c:v>20.118676743602226</c:v>
                </c:pt>
                <c:pt idx="620">
                  <c:v>20.239174513769935</c:v>
                </c:pt>
                <c:pt idx="621">
                  <c:v>19.675253111009045</c:v>
                </c:pt>
                <c:pt idx="622">
                  <c:v>19.61276856604832</c:v>
                </c:pt>
                <c:pt idx="623">
                  <c:v>19.908286338237708</c:v>
                </c:pt>
                <c:pt idx="624">
                  <c:v>19.6056924233487</c:v>
                </c:pt>
                <c:pt idx="625">
                  <c:v>19.359166161518338</c:v>
                </c:pt>
                <c:pt idx="626">
                  <c:v>19.560765012283358</c:v>
                </c:pt>
                <c:pt idx="627">
                  <c:v>19.488034111073969</c:v>
                </c:pt>
                <c:pt idx="628">
                  <c:v>19.776803684516185</c:v>
                </c:pt>
                <c:pt idx="629">
                  <c:v>22.758939282605073</c:v>
                </c:pt>
                <c:pt idx="630">
                  <c:v>19.846839833695395</c:v>
                </c:pt>
                <c:pt idx="631">
                  <c:v>19.838541172297923</c:v>
                </c:pt>
                <c:pt idx="632">
                  <c:v>19.683957649660112</c:v>
                </c:pt>
                <c:pt idx="633">
                  <c:v>19.997181852063779</c:v>
                </c:pt>
                <c:pt idx="634">
                  <c:v>19.781948288127474</c:v>
                </c:pt>
                <c:pt idx="635">
                  <c:v>20.055706195603502</c:v>
                </c:pt>
                <c:pt idx="636">
                  <c:v>19.965505289332619</c:v>
                </c:pt>
                <c:pt idx="637">
                  <c:v>20.272340516519321</c:v>
                </c:pt>
                <c:pt idx="638">
                  <c:v>20.038229595879457</c:v>
                </c:pt>
                <c:pt idx="639">
                  <c:v>20.798630090568572</c:v>
                </c:pt>
                <c:pt idx="640">
                  <c:v>20.071629903384672</c:v>
                </c:pt>
                <c:pt idx="641">
                  <c:v>20.063049432176197</c:v>
                </c:pt>
                <c:pt idx="642">
                  <c:v>19.503486884794242</c:v>
                </c:pt>
                <c:pt idx="643">
                  <c:v>19.566447381510265</c:v>
                </c:pt>
                <c:pt idx="644">
                  <c:v>24.337271976041254</c:v>
                </c:pt>
                <c:pt idx="645">
                  <c:v>20.07955648503858</c:v>
                </c:pt>
                <c:pt idx="646">
                  <c:v>19.815567266778167</c:v>
                </c:pt>
                <c:pt idx="647">
                  <c:v>19.505890302616887</c:v>
                </c:pt>
                <c:pt idx="648">
                  <c:v>20.220566017696566</c:v>
                </c:pt>
                <c:pt idx="649">
                  <c:v>19.986829985737266</c:v>
                </c:pt>
                <c:pt idx="650">
                  <c:v>21.077725838173091</c:v>
                </c:pt>
                <c:pt idx="651">
                  <c:v>20.649603949774846</c:v>
                </c:pt>
                <c:pt idx="652">
                  <c:v>19.645869657452359</c:v>
                </c:pt>
                <c:pt idx="653">
                  <c:v>19.610033179031454</c:v>
                </c:pt>
                <c:pt idx="654">
                  <c:v>19.870783798763387</c:v>
                </c:pt>
                <c:pt idx="655">
                  <c:v>20.038684753040123</c:v>
                </c:pt>
                <c:pt idx="656">
                  <c:v>20.194677588698752</c:v>
                </c:pt>
                <c:pt idx="657">
                  <c:v>19.927155214875409</c:v>
                </c:pt>
                <c:pt idx="658">
                  <c:v>19.98235176620156</c:v>
                </c:pt>
                <c:pt idx="659">
                  <c:v>20.270811712255821</c:v>
                </c:pt>
                <c:pt idx="660">
                  <c:v>20.16512023466526</c:v>
                </c:pt>
                <c:pt idx="661">
                  <c:v>20.69927008656903</c:v>
                </c:pt>
                <c:pt idx="662">
                  <c:v>19.563970478676104</c:v>
                </c:pt>
                <c:pt idx="663">
                  <c:v>19.933446758193561</c:v>
                </c:pt>
                <c:pt idx="664">
                  <c:v>20.680185671988241</c:v>
                </c:pt>
                <c:pt idx="665">
                  <c:v>19.807076299340519</c:v>
                </c:pt>
                <c:pt idx="666">
                  <c:v>130.63927506213832</c:v>
                </c:pt>
                <c:pt idx="667">
                  <c:v>121.93142561091801</c:v>
                </c:pt>
                <c:pt idx="668">
                  <c:v>20.554409866640476</c:v>
                </c:pt>
                <c:pt idx="669">
                  <c:v>25.285578139993419</c:v>
                </c:pt>
                <c:pt idx="670">
                  <c:v>21.967279752267395</c:v>
                </c:pt>
                <c:pt idx="671">
                  <c:v>20.46524514392409</c:v>
                </c:pt>
                <c:pt idx="672">
                  <c:v>19.560154794785824</c:v>
                </c:pt>
                <c:pt idx="673">
                  <c:v>20.01106198604468</c:v>
                </c:pt>
                <c:pt idx="674">
                  <c:v>19.960830507306667</c:v>
                </c:pt>
                <c:pt idx="675">
                  <c:v>19.773787663846342</c:v>
                </c:pt>
                <c:pt idx="676">
                  <c:v>19.87811331777749</c:v>
                </c:pt>
                <c:pt idx="677">
                  <c:v>20.107899205554396</c:v>
                </c:pt>
                <c:pt idx="678">
                  <c:v>20.036646198347388</c:v>
                </c:pt>
                <c:pt idx="679">
                  <c:v>19.234671591056262</c:v>
                </c:pt>
                <c:pt idx="680">
                  <c:v>19.522149704441645</c:v>
                </c:pt>
                <c:pt idx="681">
                  <c:v>19.849412353058845</c:v>
                </c:pt>
                <c:pt idx="682">
                  <c:v>19.752556425705205</c:v>
                </c:pt>
                <c:pt idx="683">
                  <c:v>19.479505440189691</c:v>
                </c:pt>
                <c:pt idx="684">
                  <c:v>19.503457814390273</c:v>
                </c:pt>
                <c:pt idx="685">
                  <c:v>18.80742688355377</c:v>
                </c:pt>
                <c:pt idx="686">
                  <c:v>19.566876149492252</c:v>
                </c:pt>
                <c:pt idx="687">
                  <c:v>19.211500798464716</c:v>
                </c:pt>
                <c:pt idx="688">
                  <c:v>19.869145622270128</c:v>
                </c:pt>
                <c:pt idx="689">
                  <c:v>19.803013816411589</c:v>
                </c:pt>
                <c:pt idx="690">
                  <c:v>19.768871135177587</c:v>
                </c:pt>
                <c:pt idx="691">
                  <c:v>19.492184622998369</c:v>
                </c:pt>
                <c:pt idx="692">
                  <c:v>19.189090117825373</c:v>
                </c:pt>
                <c:pt idx="693">
                  <c:v>19.22760149996094</c:v>
                </c:pt>
                <c:pt idx="694">
                  <c:v>19.946101746979053</c:v>
                </c:pt>
                <c:pt idx="695">
                  <c:v>19.591872609990546</c:v>
                </c:pt>
                <c:pt idx="696">
                  <c:v>19.252702254903571</c:v>
                </c:pt>
                <c:pt idx="697">
                  <c:v>19.034352636800129</c:v>
                </c:pt>
                <c:pt idx="698">
                  <c:v>70.588405629297085</c:v>
                </c:pt>
                <c:pt idx="699">
                  <c:v>19.5671533783038</c:v>
                </c:pt>
                <c:pt idx="700">
                  <c:v>19.747991178632507</c:v>
                </c:pt>
                <c:pt idx="701">
                  <c:v>19.992226374665172</c:v>
                </c:pt>
                <c:pt idx="702">
                  <c:v>18.630434428648417</c:v>
                </c:pt>
                <c:pt idx="703">
                  <c:v>19.851819559857663</c:v>
                </c:pt>
                <c:pt idx="704">
                  <c:v>20.112354244547998</c:v>
                </c:pt>
                <c:pt idx="705">
                  <c:v>20.294557957844489</c:v>
                </c:pt>
                <c:pt idx="706">
                  <c:v>19.049821334108824</c:v>
                </c:pt>
                <c:pt idx="707">
                  <c:v>19.893388033955624</c:v>
                </c:pt>
                <c:pt idx="708">
                  <c:v>19.828481953377221</c:v>
                </c:pt>
                <c:pt idx="709">
                  <c:v>19.827705180744029</c:v>
                </c:pt>
                <c:pt idx="710">
                  <c:v>19.776897158764658</c:v>
                </c:pt>
                <c:pt idx="711">
                  <c:v>19.188260041561144</c:v>
                </c:pt>
                <c:pt idx="712">
                  <c:v>20.156525429236609</c:v>
                </c:pt>
                <c:pt idx="713">
                  <c:v>19.209267488501276</c:v>
                </c:pt>
                <c:pt idx="714">
                  <c:v>19.586048989351866</c:v>
                </c:pt>
                <c:pt idx="715">
                  <c:v>20.368046100108884</c:v>
                </c:pt>
                <c:pt idx="716">
                  <c:v>23.881088926565422</c:v>
                </c:pt>
                <c:pt idx="717">
                  <c:v>23.994036646709951</c:v>
                </c:pt>
                <c:pt idx="718">
                  <c:v>23.234968929115574</c:v>
                </c:pt>
                <c:pt idx="719">
                  <c:v>19.48143121861229</c:v>
                </c:pt>
                <c:pt idx="720">
                  <c:v>19.948419418778094</c:v>
                </c:pt>
                <c:pt idx="721">
                  <c:v>19.871186829945991</c:v>
                </c:pt>
                <c:pt idx="722">
                  <c:v>20.261774050104481</c:v>
                </c:pt>
                <c:pt idx="723">
                  <c:v>20.650810292602973</c:v>
                </c:pt>
                <c:pt idx="724">
                  <c:v>19.693887564895462</c:v>
                </c:pt>
                <c:pt idx="725">
                  <c:v>19.655603941307916</c:v>
                </c:pt>
                <c:pt idx="726">
                  <c:v>20.178164445840032</c:v>
                </c:pt>
                <c:pt idx="727">
                  <c:v>20.597798600290531</c:v>
                </c:pt>
                <c:pt idx="728">
                  <c:v>20.599742656846303</c:v>
                </c:pt>
                <c:pt idx="729">
                  <c:v>20.138111074825829</c:v>
                </c:pt>
                <c:pt idx="730">
                  <c:v>20.589803736686338</c:v>
                </c:pt>
                <c:pt idx="731">
                  <c:v>20.495771405379312</c:v>
                </c:pt>
                <c:pt idx="732">
                  <c:v>20.505038394914997</c:v>
                </c:pt>
                <c:pt idx="733">
                  <c:v>20.29444741433549</c:v>
                </c:pt>
                <c:pt idx="734">
                  <c:v>19.890262267168737</c:v>
                </c:pt>
                <c:pt idx="735">
                  <c:v>20.113737603169049</c:v>
                </c:pt>
                <c:pt idx="736">
                  <c:v>19.635509971200605</c:v>
                </c:pt>
                <c:pt idx="737">
                  <c:v>20.344523481414186</c:v>
                </c:pt>
                <c:pt idx="738">
                  <c:v>20.484897341876206</c:v>
                </c:pt>
                <c:pt idx="739">
                  <c:v>19.625447514416695</c:v>
                </c:pt>
                <c:pt idx="740">
                  <c:v>20.428194676915222</c:v>
                </c:pt>
                <c:pt idx="741">
                  <c:v>20.280243296592914</c:v>
                </c:pt>
                <c:pt idx="742">
                  <c:v>19.826983484350009</c:v>
                </c:pt>
                <c:pt idx="743">
                  <c:v>20.659854427340388</c:v>
                </c:pt>
                <c:pt idx="744">
                  <c:v>20.162175084000335</c:v>
                </c:pt>
                <c:pt idx="745">
                  <c:v>20.507093419128189</c:v>
                </c:pt>
                <c:pt idx="746">
                  <c:v>20.614926324593476</c:v>
                </c:pt>
                <c:pt idx="747">
                  <c:v>20.122529441342348</c:v>
                </c:pt>
                <c:pt idx="748">
                  <c:v>20.586774291636058</c:v>
                </c:pt>
                <c:pt idx="749">
                  <c:v>20.599510303864552</c:v>
                </c:pt>
                <c:pt idx="750">
                  <c:v>19.958505523325272</c:v>
                </c:pt>
                <c:pt idx="751">
                  <c:v>19.977982674809688</c:v>
                </c:pt>
                <c:pt idx="752">
                  <c:v>20.454410128878759</c:v>
                </c:pt>
                <c:pt idx="753">
                  <c:v>20.351881280262297</c:v>
                </c:pt>
                <c:pt idx="754">
                  <c:v>21.193509521223078</c:v>
                </c:pt>
                <c:pt idx="755">
                  <c:v>20.858259257609902</c:v>
                </c:pt>
                <c:pt idx="756">
                  <c:v>20.616322286585827</c:v>
                </c:pt>
                <c:pt idx="757">
                  <c:v>20.760097720273588</c:v>
                </c:pt>
                <c:pt idx="758">
                  <c:v>20.856761357522529</c:v>
                </c:pt>
                <c:pt idx="759">
                  <c:v>19.86726055362573</c:v>
                </c:pt>
                <c:pt idx="760">
                  <c:v>19.152442181202904</c:v>
                </c:pt>
                <c:pt idx="761">
                  <c:v>19.297596094582811</c:v>
                </c:pt>
                <c:pt idx="762">
                  <c:v>19.960278786240913</c:v>
                </c:pt>
                <c:pt idx="763">
                  <c:v>19.482485360617847</c:v>
                </c:pt>
                <c:pt idx="764">
                  <c:v>18.830218707306397</c:v>
                </c:pt>
                <c:pt idx="765">
                  <c:v>18.908748959241365</c:v>
                </c:pt>
                <c:pt idx="766">
                  <c:v>19.409090623367469</c:v>
                </c:pt>
                <c:pt idx="767">
                  <c:v>19.246975546520765</c:v>
                </c:pt>
                <c:pt idx="768">
                  <c:v>18.825356018748906</c:v>
                </c:pt>
                <c:pt idx="769">
                  <c:v>19.696167999293962</c:v>
                </c:pt>
                <c:pt idx="770">
                  <c:v>19.492673473368505</c:v>
                </c:pt>
                <c:pt idx="771">
                  <c:v>19.394742923053844</c:v>
                </c:pt>
                <c:pt idx="772">
                  <c:v>19.185534518462376</c:v>
                </c:pt>
                <c:pt idx="773">
                  <c:v>18.950893812988646</c:v>
                </c:pt>
                <c:pt idx="774">
                  <c:v>19.490632069308401</c:v>
                </c:pt>
                <c:pt idx="775">
                  <c:v>19.952663666986687</c:v>
                </c:pt>
                <c:pt idx="776">
                  <c:v>19.111489162722684</c:v>
                </c:pt>
                <c:pt idx="777">
                  <c:v>19.229284894936676</c:v>
                </c:pt>
                <c:pt idx="778">
                  <c:v>19.460742732774897</c:v>
                </c:pt>
                <c:pt idx="779">
                  <c:v>18.984245554489242</c:v>
                </c:pt>
                <c:pt idx="780">
                  <c:v>19.185508177001061</c:v>
                </c:pt>
                <c:pt idx="781">
                  <c:v>18.682843821393494</c:v>
                </c:pt>
                <c:pt idx="782">
                  <c:v>19.154945963843467</c:v>
                </c:pt>
                <c:pt idx="783">
                  <c:v>19.785970973876289</c:v>
                </c:pt>
                <c:pt idx="784">
                  <c:v>19.195364737058505</c:v>
                </c:pt>
                <c:pt idx="785">
                  <c:v>19.666002114340134</c:v>
                </c:pt>
                <c:pt idx="786">
                  <c:v>19.343099060285375</c:v>
                </c:pt>
                <c:pt idx="787">
                  <c:v>18.967251132250347</c:v>
                </c:pt>
                <c:pt idx="788">
                  <c:v>19.664017818856884</c:v>
                </c:pt>
                <c:pt idx="789">
                  <c:v>19.716828378985912</c:v>
                </c:pt>
                <c:pt idx="790">
                  <c:v>19.784738025780811</c:v>
                </c:pt>
                <c:pt idx="791">
                  <c:v>18.788896944840474</c:v>
                </c:pt>
                <c:pt idx="792">
                  <c:v>19.212066189795507</c:v>
                </c:pt>
                <c:pt idx="793">
                  <c:v>19.770536573202847</c:v>
                </c:pt>
                <c:pt idx="794">
                  <c:v>18.834514825102815</c:v>
                </c:pt>
                <c:pt idx="795">
                  <c:v>18.905519072125422</c:v>
                </c:pt>
                <c:pt idx="796">
                  <c:v>18.958052420770983</c:v>
                </c:pt>
                <c:pt idx="797">
                  <c:v>18.962622598430332</c:v>
                </c:pt>
                <c:pt idx="798">
                  <c:v>19.886882227632032</c:v>
                </c:pt>
                <c:pt idx="799">
                  <c:v>19.119022987457704</c:v>
                </c:pt>
                <c:pt idx="800">
                  <c:v>18.914883817853877</c:v>
                </c:pt>
                <c:pt idx="801">
                  <c:v>18.892932478916638</c:v>
                </c:pt>
                <c:pt idx="802">
                  <c:v>19.268549859085432</c:v>
                </c:pt>
                <c:pt idx="803">
                  <c:v>18.731468107502302</c:v>
                </c:pt>
                <c:pt idx="804">
                  <c:v>19.358391413016282</c:v>
                </c:pt>
                <c:pt idx="805">
                  <c:v>18.682509036947692</c:v>
                </c:pt>
                <c:pt idx="806">
                  <c:v>18.490305157002311</c:v>
                </c:pt>
                <c:pt idx="807">
                  <c:v>19.43875245657955</c:v>
                </c:pt>
                <c:pt idx="808">
                  <c:v>18.865123731520228</c:v>
                </c:pt>
                <c:pt idx="809">
                  <c:v>19.258983377357872</c:v>
                </c:pt>
                <c:pt idx="810">
                  <c:v>18.962055167912009</c:v>
                </c:pt>
                <c:pt idx="811">
                  <c:v>18.881122787182246</c:v>
                </c:pt>
                <c:pt idx="812">
                  <c:v>19.648143874809797</c:v>
                </c:pt>
                <c:pt idx="813">
                  <c:v>19.384224202958009</c:v>
                </c:pt>
                <c:pt idx="814">
                  <c:v>18.947190730885289</c:v>
                </c:pt>
                <c:pt idx="815">
                  <c:v>18.022790415460257</c:v>
                </c:pt>
                <c:pt idx="816">
                  <c:v>19.169356600041684</c:v>
                </c:pt>
                <c:pt idx="817">
                  <c:v>18.640404378840756</c:v>
                </c:pt>
                <c:pt idx="818">
                  <c:v>19.404789735954601</c:v>
                </c:pt>
                <c:pt idx="819">
                  <c:v>19.517717971357442</c:v>
                </c:pt>
                <c:pt idx="820">
                  <c:v>18.805047872034574</c:v>
                </c:pt>
                <c:pt idx="821">
                  <c:v>18.963448007452548</c:v>
                </c:pt>
                <c:pt idx="822">
                  <c:v>20.207027438069261</c:v>
                </c:pt>
                <c:pt idx="823">
                  <c:v>20.13995151319439</c:v>
                </c:pt>
                <c:pt idx="824">
                  <c:v>19.399867640593143</c:v>
                </c:pt>
                <c:pt idx="825">
                  <c:v>18.878032042751979</c:v>
                </c:pt>
                <c:pt idx="826">
                  <c:v>19.084023059827587</c:v>
                </c:pt>
                <c:pt idx="827">
                  <c:v>19.35857569964595</c:v>
                </c:pt>
                <c:pt idx="828">
                  <c:v>19.77208538264858</c:v>
                </c:pt>
                <c:pt idx="829">
                  <c:v>19.408879263021682</c:v>
                </c:pt>
                <c:pt idx="830">
                  <c:v>19.647334977833857</c:v>
                </c:pt>
                <c:pt idx="831">
                  <c:v>19.389531908727673</c:v>
                </c:pt>
                <c:pt idx="832">
                  <c:v>19.280619566598517</c:v>
                </c:pt>
                <c:pt idx="833">
                  <c:v>19.698794996262404</c:v>
                </c:pt>
                <c:pt idx="834">
                  <c:v>18.852639935214199</c:v>
                </c:pt>
                <c:pt idx="835">
                  <c:v>18.686239270639334</c:v>
                </c:pt>
                <c:pt idx="836">
                  <c:v>19.792214594490943</c:v>
                </c:pt>
                <c:pt idx="837">
                  <c:v>19.481055988021872</c:v>
                </c:pt>
                <c:pt idx="838">
                  <c:v>18.5584405268818</c:v>
                </c:pt>
                <c:pt idx="839">
                  <c:v>18.898577259232518</c:v>
                </c:pt>
                <c:pt idx="840">
                  <c:v>19.653712861976004</c:v>
                </c:pt>
                <c:pt idx="841">
                  <c:v>19.394928011275493</c:v>
                </c:pt>
                <c:pt idx="842">
                  <c:v>19.29362324741561</c:v>
                </c:pt>
                <c:pt idx="843">
                  <c:v>19.017758681855401</c:v>
                </c:pt>
                <c:pt idx="844">
                  <c:v>19.58847448609783</c:v>
                </c:pt>
                <c:pt idx="845">
                  <c:v>19.276581312207199</c:v>
                </c:pt>
                <c:pt idx="846">
                  <c:v>18.894338408701035</c:v>
                </c:pt>
                <c:pt idx="847">
                  <c:v>19.413849913115705</c:v>
                </c:pt>
                <c:pt idx="848">
                  <c:v>19.50522640577973</c:v>
                </c:pt>
                <c:pt idx="849">
                  <c:v>19.038143908419194</c:v>
                </c:pt>
                <c:pt idx="850">
                  <c:v>19.23441387865358</c:v>
                </c:pt>
                <c:pt idx="851">
                  <c:v>19.567000050755858</c:v>
                </c:pt>
                <c:pt idx="852">
                  <c:v>18.951571313513124</c:v>
                </c:pt>
                <c:pt idx="853">
                  <c:v>19.558047279096872</c:v>
                </c:pt>
                <c:pt idx="854">
                  <c:v>18.694528173579815</c:v>
                </c:pt>
                <c:pt idx="855">
                  <c:v>19.14979871286641</c:v>
                </c:pt>
                <c:pt idx="856">
                  <c:v>19.361188853745091</c:v>
                </c:pt>
                <c:pt idx="857">
                  <c:v>19.25756656271686</c:v>
                </c:pt>
                <c:pt idx="858">
                  <c:v>18.465809738888119</c:v>
                </c:pt>
                <c:pt idx="859">
                  <c:v>18.985206166255249</c:v>
                </c:pt>
                <c:pt idx="860">
                  <c:v>18.770678515474753</c:v>
                </c:pt>
                <c:pt idx="861">
                  <c:v>19.338633555825421</c:v>
                </c:pt>
                <c:pt idx="862">
                  <c:v>18.47256805090224</c:v>
                </c:pt>
                <c:pt idx="863">
                  <c:v>19.091130930589284</c:v>
                </c:pt>
                <c:pt idx="864">
                  <c:v>19.451367738315984</c:v>
                </c:pt>
                <c:pt idx="865">
                  <c:v>18.813002351596456</c:v>
                </c:pt>
                <c:pt idx="866">
                  <c:v>18.575535713492378</c:v>
                </c:pt>
                <c:pt idx="867">
                  <c:v>19.073468554523142</c:v>
                </c:pt>
                <c:pt idx="868">
                  <c:v>19.589436257793601</c:v>
                </c:pt>
                <c:pt idx="869">
                  <c:v>19.485749458313165</c:v>
                </c:pt>
                <c:pt idx="870">
                  <c:v>19.050627811090628</c:v>
                </c:pt>
                <c:pt idx="871">
                  <c:v>18.840262511682912</c:v>
                </c:pt>
                <c:pt idx="872">
                  <c:v>18.684839426063764</c:v>
                </c:pt>
                <c:pt idx="873">
                  <c:v>19.182685860113477</c:v>
                </c:pt>
                <c:pt idx="874">
                  <c:v>19.296544447749017</c:v>
                </c:pt>
                <c:pt idx="875">
                  <c:v>19.096817755082174</c:v>
                </c:pt>
                <c:pt idx="876">
                  <c:v>18.799461205230365</c:v>
                </c:pt>
                <c:pt idx="877">
                  <c:v>19.394947006100118</c:v>
                </c:pt>
                <c:pt idx="878">
                  <c:v>18.933688630056956</c:v>
                </c:pt>
                <c:pt idx="879">
                  <c:v>18.574769848982683</c:v>
                </c:pt>
                <c:pt idx="880">
                  <c:v>19.397300052231316</c:v>
                </c:pt>
                <c:pt idx="881">
                  <c:v>19.348040022023842</c:v>
                </c:pt>
                <c:pt idx="882">
                  <c:v>19.394864063027924</c:v>
                </c:pt>
                <c:pt idx="883">
                  <c:v>19.698045642921336</c:v>
                </c:pt>
                <c:pt idx="884">
                  <c:v>19.807485207850306</c:v>
                </c:pt>
                <c:pt idx="885">
                  <c:v>19.649292097723158</c:v>
                </c:pt>
                <c:pt idx="886">
                  <c:v>19.511261529095172</c:v>
                </c:pt>
                <c:pt idx="887">
                  <c:v>18.667915216551137</c:v>
                </c:pt>
                <c:pt idx="888">
                  <c:v>19.174980929251273</c:v>
                </c:pt>
                <c:pt idx="889">
                  <c:v>19.174272043220434</c:v>
                </c:pt>
                <c:pt idx="890">
                  <c:v>19.114469407859623</c:v>
                </c:pt>
                <c:pt idx="891">
                  <c:v>19.223146683700978</c:v>
                </c:pt>
                <c:pt idx="892">
                  <c:v>19.568571192050872</c:v>
                </c:pt>
                <c:pt idx="893">
                  <c:v>19.252486491396915</c:v>
                </c:pt>
                <c:pt idx="894">
                  <c:v>18.986542205137113</c:v>
                </c:pt>
                <c:pt idx="895">
                  <c:v>19.031816195837006</c:v>
                </c:pt>
                <c:pt idx="896">
                  <c:v>19.460410859971603</c:v>
                </c:pt>
                <c:pt idx="897">
                  <c:v>18.734576648929185</c:v>
                </c:pt>
                <c:pt idx="898">
                  <c:v>18.896370784338441</c:v>
                </c:pt>
              </c:numCache>
            </c:numRef>
          </c:val>
          <c:smooth val="0"/>
          <c:extLst>
            <c:ext xmlns:c16="http://schemas.microsoft.com/office/drawing/2014/chart" uri="{C3380CC4-5D6E-409C-BE32-E72D297353CC}">
              <c16:uniqueId val="{00000001-10C8-4F86-839E-5A6D13626ABB}"/>
            </c:ext>
          </c:extLst>
        </c:ser>
        <c:dLbls>
          <c:showLegendKey val="0"/>
          <c:showVal val="0"/>
          <c:showCatName val="0"/>
          <c:showSerName val="0"/>
          <c:showPercent val="0"/>
          <c:showBubbleSize val="0"/>
        </c:dLbls>
        <c:marker val="1"/>
        <c:smooth val="0"/>
        <c:axId val="1148392911"/>
        <c:axId val="1148403311"/>
      </c:lineChart>
      <c:catAx>
        <c:axId val="965753039"/>
        <c:scaling>
          <c:orientation val="minMax"/>
        </c:scaling>
        <c:delete val="0"/>
        <c:axPos val="b"/>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965761775"/>
        <c:crosses val="autoZero"/>
        <c:auto val="1"/>
        <c:lblAlgn val="ctr"/>
        <c:lblOffset val="100"/>
        <c:tickMarkSkip val="200"/>
        <c:noMultiLvlLbl val="0"/>
      </c:catAx>
      <c:valAx>
        <c:axId val="965761775"/>
        <c:scaling>
          <c:orientation val="minMax"/>
        </c:scaling>
        <c:delete val="0"/>
        <c:axPos val="l"/>
        <c:numFmt formatCode="0.00" sourceLinked="1"/>
        <c:majorTickMark val="out"/>
        <c:minorTickMark val="none"/>
        <c:tickLblPos val="nextTo"/>
        <c:spPr>
          <a:noFill/>
          <a:ln w="3175">
            <a:solidFill>
              <a:srgbClr val="0000FF"/>
            </a:solidFill>
          </a:ln>
          <a:effectLst/>
        </c:spPr>
        <c:txPr>
          <a:bodyPr rot="-60000000" spcFirstLastPara="1" vertOverflow="ellipsis" vert="horz" wrap="square" anchor="ctr" anchorCtr="1"/>
          <a:lstStyle/>
          <a:p>
            <a:pPr>
              <a:defRPr sz="1000" b="0" i="0" u="none" strike="noStrike" kern="1200" baseline="0">
                <a:solidFill>
                  <a:srgbClr val="0000FF"/>
                </a:solidFill>
                <a:latin typeface="Garamond" panose="02020404030301010803" pitchFamily="18" charset="0"/>
                <a:ea typeface="+mn-ea"/>
                <a:cs typeface="+mn-cs"/>
              </a:defRPr>
            </a:pPr>
            <a:endParaRPr lang="sr-Latn-RS"/>
          </a:p>
        </c:txPr>
        <c:crossAx val="965753039"/>
        <c:crosses val="autoZero"/>
        <c:crossBetween val="between"/>
      </c:valAx>
      <c:valAx>
        <c:axId val="1148403311"/>
        <c:scaling>
          <c:orientation val="minMax"/>
        </c:scaling>
        <c:delete val="0"/>
        <c:axPos val="r"/>
        <c:numFmt formatCode="0.00" sourceLinked="1"/>
        <c:majorTickMark val="out"/>
        <c:minorTickMark val="none"/>
        <c:tickLblPos val="nextTo"/>
        <c:spPr>
          <a:noFill/>
          <a:ln w="3175">
            <a:solidFill>
              <a:srgbClr val="FF0000"/>
            </a:solidFill>
          </a:ln>
          <a:effectLst/>
        </c:spPr>
        <c:txPr>
          <a:bodyPr rot="-60000000" spcFirstLastPara="1" vertOverflow="ellipsis" vert="horz" wrap="square" anchor="ctr" anchorCtr="1"/>
          <a:lstStyle/>
          <a:p>
            <a:pPr>
              <a:defRPr sz="1000" b="0" i="0" u="none" strike="noStrike" kern="1200" baseline="0">
                <a:solidFill>
                  <a:srgbClr val="FF0000"/>
                </a:solidFill>
                <a:latin typeface="Garamond" panose="02020404030301010803" pitchFamily="18" charset="0"/>
                <a:ea typeface="+mn-ea"/>
                <a:cs typeface="+mn-cs"/>
              </a:defRPr>
            </a:pPr>
            <a:endParaRPr lang="sr-Latn-RS"/>
          </a:p>
        </c:txPr>
        <c:crossAx val="1148392911"/>
        <c:crosses val="max"/>
        <c:crossBetween val="between"/>
      </c:valAx>
      <c:catAx>
        <c:axId val="1148392911"/>
        <c:scaling>
          <c:orientation val="minMax"/>
        </c:scaling>
        <c:delete val="1"/>
        <c:axPos val="b"/>
        <c:numFmt formatCode="General" sourceLinked="1"/>
        <c:majorTickMark val="out"/>
        <c:minorTickMark val="none"/>
        <c:tickLblPos val="nextTo"/>
        <c:crossAx val="1148403311"/>
        <c:crosses val="autoZero"/>
        <c:auto val="1"/>
        <c:lblAlgn val="ctr"/>
        <c:lblOffset val="100"/>
        <c:noMultiLvlLbl val="0"/>
      </c:catAx>
      <c:spPr>
        <a:noFill/>
        <a:ln w="3175">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Garamond" panose="02020404030301010803" pitchFamily="18" charset="0"/>
        </a:defRPr>
      </a:pPr>
      <a:endParaRPr lang="sr-Latn-R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diamond"/>
            <c:size val="5"/>
            <c:spPr>
              <a:solidFill>
                <a:schemeClr val="tx1"/>
              </a:solidFill>
              <a:ln w="9525">
                <a:solidFill>
                  <a:schemeClr val="tx1"/>
                </a:solidFill>
              </a:ln>
              <a:effectLst/>
            </c:spPr>
          </c:marker>
          <c:xVal>
            <c:numRef>
              <c:f>'Projects with PhD and PAT'!$C$182:$C$203</c:f>
              <c:numCache>
                <c:formatCode>0</c:formatCode>
                <c:ptCount val="22"/>
                <c:pt idx="0">
                  <c:v>29984905.829999998</c:v>
                </c:pt>
                <c:pt idx="1">
                  <c:v>3822753.44</c:v>
                </c:pt>
                <c:pt idx="2">
                  <c:v>39442910</c:v>
                </c:pt>
                <c:pt idx="3">
                  <c:v>2606029</c:v>
                </c:pt>
                <c:pt idx="4">
                  <c:v>4524690</c:v>
                </c:pt>
                <c:pt idx="5">
                  <c:v>2824550</c:v>
                </c:pt>
                <c:pt idx="6">
                  <c:v>4291441</c:v>
                </c:pt>
                <c:pt idx="7">
                  <c:v>33477227</c:v>
                </c:pt>
                <c:pt idx="8">
                  <c:v>1568204.78</c:v>
                </c:pt>
                <c:pt idx="9">
                  <c:v>2446877</c:v>
                </c:pt>
                <c:pt idx="10">
                  <c:v>4045171</c:v>
                </c:pt>
                <c:pt idx="11">
                  <c:v>100000</c:v>
                </c:pt>
                <c:pt idx="12">
                  <c:v>716025.19</c:v>
                </c:pt>
                <c:pt idx="13">
                  <c:v>5719602.5</c:v>
                </c:pt>
                <c:pt idx="14">
                  <c:v>2599957</c:v>
                </c:pt>
                <c:pt idx="15">
                  <c:v>3328320</c:v>
                </c:pt>
                <c:pt idx="16">
                  <c:v>7710869</c:v>
                </c:pt>
                <c:pt idx="17">
                  <c:v>2178721</c:v>
                </c:pt>
                <c:pt idx="18">
                  <c:v>2881083</c:v>
                </c:pt>
                <c:pt idx="19">
                  <c:v>2891829</c:v>
                </c:pt>
                <c:pt idx="20">
                  <c:v>4554035.5999999996</c:v>
                </c:pt>
                <c:pt idx="21">
                  <c:v>4634237.7300000004</c:v>
                </c:pt>
              </c:numCache>
            </c:numRef>
          </c:xVal>
          <c:yVal>
            <c:numRef>
              <c:f>'Projects with PhD and PAT'!$M$182:$M$203</c:f>
              <c:numCache>
                <c:formatCode>General</c:formatCode>
                <c:ptCount val="22"/>
                <c:pt idx="0">
                  <c:v>7.4234740997848405</c:v>
                </c:pt>
                <c:pt idx="1">
                  <c:v>4.623873462428449</c:v>
                </c:pt>
                <c:pt idx="2">
                  <c:v>5.2560391547923508</c:v>
                </c:pt>
                <c:pt idx="3">
                  <c:v>3.0437664921040879</c:v>
                </c:pt>
                <c:pt idx="4">
                  <c:v>2.4239302967563838</c:v>
                </c:pt>
                <c:pt idx="5">
                  <c:v>1.2837200097430275</c:v>
                </c:pt>
                <c:pt idx="6">
                  <c:v>1.2185320505013597</c:v>
                </c:pt>
                <c:pt idx="7">
                  <c:v>4.3051379247351109</c:v>
                </c:pt>
                <c:pt idx="8">
                  <c:v>1.3843340234644581</c:v>
                </c:pt>
                <c:pt idx="9">
                  <c:v>5.2993946129176308</c:v>
                </c:pt>
                <c:pt idx="10">
                  <c:v>1.5032720334510614</c:v>
                </c:pt>
                <c:pt idx="11">
                  <c:v>0.68125786546502654</c:v>
                </c:pt>
                <c:pt idx="12">
                  <c:v>1.9238293143344292</c:v>
                </c:pt>
                <c:pt idx="13">
                  <c:v>15.391886392238055</c:v>
                </c:pt>
                <c:pt idx="14">
                  <c:v>0.23146388990378758</c:v>
                </c:pt>
                <c:pt idx="15">
                  <c:v>0.68422695165022529</c:v>
                </c:pt>
                <c:pt idx="16">
                  <c:v>0.38238491048593348</c:v>
                </c:pt>
                <c:pt idx="17">
                  <c:v>0.44979397556123896</c:v>
                </c:pt>
                <c:pt idx="18">
                  <c:v>0.73109091462672016</c:v>
                </c:pt>
                <c:pt idx="19">
                  <c:v>1.1379891811797183</c:v>
                </c:pt>
                <c:pt idx="20">
                  <c:v>0.48299892420736407</c:v>
                </c:pt>
                <c:pt idx="21">
                  <c:v>0.76873807494012092</c:v>
                </c:pt>
              </c:numCache>
            </c:numRef>
          </c:yVal>
          <c:smooth val="0"/>
          <c:extLst>
            <c:ext xmlns:c16="http://schemas.microsoft.com/office/drawing/2014/chart" uri="{C3380CC4-5D6E-409C-BE32-E72D297353CC}">
              <c16:uniqueId val="{00000000-323E-4A70-9B92-1D3C488CCE2A}"/>
            </c:ext>
          </c:extLst>
        </c:ser>
        <c:dLbls>
          <c:showLegendKey val="0"/>
          <c:showVal val="0"/>
          <c:showCatName val="0"/>
          <c:showSerName val="0"/>
          <c:showPercent val="0"/>
          <c:showBubbleSize val="0"/>
        </c:dLbls>
        <c:axId val="658149552"/>
        <c:axId val="409272768"/>
      </c:scatterChart>
      <c:valAx>
        <c:axId val="658149552"/>
        <c:scaling>
          <c:orientation val="minMax"/>
        </c:scaling>
        <c:delete val="0"/>
        <c:axPos val="b"/>
        <c:majorGridlines>
          <c:spPr>
            <a:ln w="9525" cap="flat" cmpd="sng" algn="ctr">
              <a:noFill/>
              <a:round/>
            </a:ln>
            <a:effectLst/>
          </c:spPr>
        </c:majorGridlines>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crossAx val="409272768"/>
        <c:crosses val="autoZero"/>
        <c:crossBetween val="midCat"/>
        <c:dispUnits>
          <c:builtInUnit val="millions"/>
          <c:dispUnits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dispUnitsLbl>
        </c:dispUnits>
      </c:valAx>
      <c:valAx>
        <c:axId val="409272768"/>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sr-Latn-RS"/>
          </a:p>
        </c:txPr>
        <c:crossAx val="65814955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sr-Latn-R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5609925386083636E-2"/>
          <c:y val="3.7556994150034412E-2"/>
          <c:w val="0.88620489323267826"/>
          <c:h val="0.74734385753613219"/>
        </c:manualLayout>
      </c:layout>
      <c:barChart>
        <c:barDir val="col"/>
        <c:grouping val="clustered"/>
        <c:varyColors val="0"/>
        <c:ser>
          <c:idx val="0"/>
          <c:order val="0"/>
          <c:tx>
            <c:strRef>
              <c:f>'Oil Sampling results'!$P$2</c:f>
              <c:strCache>
                <c:ptCount val="1"/>
                <c:pt idx="0">
                  <c:v>Viscosity 40 [°C]</c:v>
                </c:pt>
              </c:strCache>
            </c:strRef>
          </c:tx>
          <c:spPr>
            <a:pattFill prst="pct5">
              <a:fgClr>
                <a:srgbClr val="0000FF"/>
              </a:fgClr>
              <a:bgClr>
                <a:schemeClr val="bg1"/>
              </a:bgClr>
            </a:pattFill>
            <a:ln w="3175">
              <a:solidFill>
                <a:srgbClr val="0000FF"/>
              </a:solidFill>
            </a:ln>
            <a:effectLst/>
          </c:spPr>
          <c:invertIfNegative val="0"/>
          <c:cat>
            <c:numRef>
              <c:f>'Oil Sampling results'!$N$3:$N$8</c:f>
              <c:numCache>
                <c:formatCode>0.0</c:formatCode>
                <c:ptCount val="6"/>
                <c:pt idx="0">
                  <c:v>0</c:v>
                </c:pt>
                <c:pt idx="1">
                  <c:v>391.95416666666279</c:v>
                </c:pt>
                <c:pt idx="2">
                  <c:v>819.34999999991851</c:v>
                </c:pt>
                <c:pt idx="3">
                  <c:v>1089.766666666721</c:v>
                </c:pt>
                <c:pt idx="4">
                  <c:v>1342.516666666721</c:v>
                </c:pt>
                <c:pt idx="5">
                  <c:v>1564.0999999999185</c:v>
                </c:pt>
              </c:numCache>
            </c:numRef>
          </c:cat>
          <c:val>
            <c:numRef>
              <c:f>'Oil Sampling results'!$P$3:$P$8</c:f>
              <c:numCache>
                <c:formatCode>0.00000</c:formatCode>
                <c:ptCount val="6"/>
                <c:pt idx="0">
                  <c:v>45.78</c:v>
                </c:pt>
                <c:pt idx="1">
                  <c:v>53.3</c:v>
                </c:pt>
                <c:pt idx="2">
                  <c:v>53.35</c:v>
                </c:pt>
                <c:pt idx="3">
                  <c:v>53.63</c:v>
                </c:pt>
                <c:pt idx="4">
                  <c:v>53.33</c:v>
                </c:pt>
                <c:pt idx="5">
                  <c:v>53.32</c:v>
                </c:pt>
              </c:numCache>
            </c:numRef>
          </c:val>
          <c:extLst>
            <c:ext xmlns:c16="http://schemas.microsoft.com/office/drawing/2014/chart" uri="{C3380CC4-5D6E-409C-BE32-E72D297353CC}">
              <c16:uniqueId val="{00000000-E3E6-4062-97F2-D89A557F8725}"/>
            </c:ext>
          </c:extLst>
        </c:ser>
        <c:ser>
          <c:idx val="1"/>
          <c:order val="1"/>
          <c:tx>
            <c:strRef>
              <c:f>'Oil Sampling results'!$Q$2</c:f>
              <c:strCache>
                <c:ptCount val="1"/>
                <c:pt idx="0">
                  <c:v>Viscosity 100  [°C]</c:v>
                </c:pt>
              </c:strCache>
            </c:strRef>
          </c:tx>
          <c:spPr>
            <a:pattFill prst="pct30">
              <a:fgClr>
                <a:srgbClr val="0000FF"/>
              </a:fgClr>
              <a:bgClr>
                <a:schemeClr val="bg1"/>
              </a:bgClr>
            </a:pattFill>
            <a:ln w="3175">
              <a:solidFill>
                <a:srgbClr val="0000FF"/>
              </a:solidFill>
            </a:ln>
            <a:effectLst/>
          </c:spPr>
          <c:invertIfNegative val="0"/>
          <c:cat>
            <c:numRef>
              <c:f>'Oil Sampling results'!$N$3:$N$8</c:f>
              <c:numCache>
                <c:formatCode>0.0</c:formatCode>
                <c:ptCount val="6"/>
                <c:pt idx="0">
                  <c:v>0</c:v>
                </c:pt>
                <c:pt idx="1">
                  <c:v>391.95416666666279</c:v>
                </c:pt>
                <c:pt idx="2">
                  <c:v>819.34999999991851</c:v>
                </c:pt>
                <c:pt idx="3">
                  <c:v>1089.766666666721</c:v>
                </c:pt>
                <c:pt idx="4">
                  <c:v>1342.516666666721</c:v>
                </c:pt>
                <c:pt idx="5">
                  <c:v>1564.0999999999185</c:v>
                </c:pt>
              </c:numCache>
            </c:numRef>
          </c:cat>
          <c:val>
            <c:numRef>
              <c:f>'Oil Sampling results'!$Q$3:$Q$8</c:f>
              <c:numCache>
                <c:formatCode>0.00000</c:formatCode>
                <c:ptCount val="6"/>
                <c:pt idx="0">
                  <c:v>6.9770000000000003</c:v>
                </c:pt>
                <c:pt idx="1">
                  <c:v>7.5330000000000004</c:v>
                </c:pt>
                <c:pt idx="2">
                  <c:v>7.57</c:v>
                </c:pt>
                <c:pt idx="3">
                  <c:v>7.57</c:v>
                </c:pt>
                <c:pt idx="4">
                  <c:v>7.55</c:v>
                </c:pt>
                <c:pt idx="5">
                  <c:v>7.55</c:v>
                </c:pt>
              </c:numCache>
            </c:numRef>
          </c:val>
          <c:extLst>
            <c:ext xmlns:c16="http://schemas.microsoft.com/office/drawing/2014/chart" uri="{C3380CC4-5D6E-409C-BE32-E72D297353CC}">
              <c16:uniqueId val="{00000001-E3E6-4062-97F2-D89A557F8725}"/>
            </c:ext>
          </c:extLst>
        </c:ser>
        <c:ser>
          <c:idx val="2"/>
          <c:order val="2"/>
          <c:tx>
            <c:strRef>
              <c:f>'Oil Sampling results'!$R$2</c:f>
              <c:strCache>
                <c:ptCount val="1"/>
                <c:pt idx="0">
                  <c:v>Viscosity index</c:v>
                </c:pt>
              </c:strCache>
            </c:strRef>
          </c:tx>
          <c:spPr>
            <a:pattFill prst="ltVert">
              <a:fgClr>
                <a:srgbClr val="0000FF"/>
              </a:fgClr>
              <a:bgClr>
                <a:schemeClr val="bg1"/>
              </a:bgClr>
            </a:pattFill>
            <a:ln w="3175">
              <a:solidFill>
                <a:srgbClr val="0000FF"/>
              </a:solidFill>
            </a:ln>
            <a:effectLst/>
          </c:spPr>
          <c:invertIfNegative val="0"/>
          <c:cat>
            <c:numRef>
              <c:f>'Oil Sampling results'!$N$3:$N$8</c:f>
              <c:numCache>
                <c:formatCode>0.0</c:formatCode>
                <c:ptCount val="6"/>
                <c:pt idx="0">
                  <c:v>0</c:v>
                </c:pt>
                <c:pt idx="1">
                  <c:v>391.95416666666279</c:v>
                </c:pt>
                <c:pt idx="2">
                  <c:v>819.34999999991851</c:v>
                </c:pt>
                <c:pt idx="3">
                  <c:v>1089.766666666721</c:v>
                </c:pt>
                <c:pt idx="4">
                  <c:v>1342.516666666721</c:v>
                </c:pt>
                <c:pt idx="5">
                  <c:v>1564.0999999999185</c:v>
                </c:pt>
              </c:numCache>
            </c:numRef>
          </c:cat>
          <c:val>
            <c:numRef>
              <c:f>'Oil Sampling results'!$R$3:$R$8</c:f>
              <c:numCache>
                <c:formatCode>0</c:formatCode>
                <c:ptCount val="6"/>
                <c:pt idx="0">
                  <c:v>109</c:v>
                </c:pt>
                <c:pt idx="1">
                  <c:v>103</c:v>
                </c:pt>
                <c:pt idx="2">
                  <c:v>103</c:v>
                </c:pt>
                <c:pt idx="3" formatCode="General">
                  <c:v>103</c:v>
                </c:pt>
                <c:pt idx="4" formatCode="General">
                  <c:v>104</c:v>
                </c:pt>
                <c:pt idx="5" formatCode="General">
                  <c:v>104</c:v>
                </c:pt>
              </c:numCache>
            </c:numRef>
          </c:val>
          <c:extLst>
            <c:ext xmlns:c16="http://schemas.microsoft.com/office/drawing/2014/chart" uri="{C3380CC4-5D6E-409C-BE32-E72D297353CC}">
              <c16:uniqueId val="{00000002-E3E6-4062-97F2-D89A557F8725}"/>
            </c:ext>
          </c:extLst>
        </c:ser>
        <c:ser>
          <c:idx val="3"/>
          <c:order val="3"/>
          <c:tx>
            <c:strRef>
              <c:f>'Oil Sampling results'!$S$2</c:f>
              <c:strCache>
                <c:ptCount val="1"/>
                <c:pt idx="0">
                  <c:v>Water content [ppm]</c:v>
                </c:pt>
              </c:strCache>
            </c:strRef>
          </c:tx>
          <c:spPr>
            <a:pattFill prst="ltUpDiag">
              <a:fgClr>
                <a:srgbClr val="0000FF"/>
              </a:fgClr>
              <a:bgClr>
                <a:schemeClr val="bg1"/>
              </a:bgClr>
            </a:pattFill>
            <a:ln w="3175">
              <a:solidFill>
                <a:srgbClr val="0000FF"/>
              </a:solidFill>
            </a:ln>
            <a:effectLst/>
          </c:spPr>
          <c:invertIfNegative val="0"/>
          <c:cat>
            <c:numRef>
              <c:f>'Oil Sampling results'!$N$3:$N$8</c:f>
              <c:numCache>
                <c:formatCode>0.0</c:formatCode>
                <c:ptCount val="6"/>
                <c:pt idx="0">
                  <c:v>0</c:v>
                </c:pt>
                <c:pt idx="1">
                  <c:v>391.95416666666279</c:v>
                </c:pt>
                <c:pt idx="2">
                  <c:v>819.34999999991851</c:v>
                </c:pt>
                <c:pt idx="3">
                  <c:v>1089.766666666721</c:v>
                </c:pt>
                <c:pt idx="4">
                  <c:v>1342.516666666721</c:v>
                </c:pt>
                <c:pt idx="5">
                  <c:v>1564.0999999999185</c:v>
                </c:pt>
              </c:numCache>
            </c:numRef>
          </c:cat>
          <c:val>
            <c:numRef>
              <c:f>'Oil Sampling results'!$S$3:$S$8</c:f>
              <c:numCache>
                <c:formatCode>General</c:formatCode>
                <c:ptCount val="6"/>
                <c:pt idx="0">
                  <c:v>13</c:v>
                </c:pt>
                <c:pt idx="1">
                  <c:v>24</c:v>
                </c:pt>
                <c:pt idx="2">
                  <c:v>19</c:v>
                </c:pt>
                <c:pt idx="3">
                  <c:v>17</c:v>
                </c:pt>
                <c:pt idx="4">
                  <c:v>16</c:v>
                </c:pt>
                <c:pt idx="5">
                  <c:v>25</c:v>
                </c:pt>
              </c:numCache>
            </c:numRef>
          </c:val>
          <c:extLst>
            <c:ext xmlns:c16="http://schemas.microsoft.com/office/drawing/2014/chart" uri="{C3380CC4-5D6E-409C-BE32-E72D297353CC}">
              <c16:uniqueId val="{00000003-E3E6-4062-97F2-D89A557F8725}"/>
            </c:ext>
          </c:extLst>
        </c:ser>
        <c:ser>
          <c:idx val="5"/>
          <c:order val="5"/>
          <c:tx>
            <c:strRef>
              <c:f>'Oil Sampling results'!$F$2</c:f>
              <c:strCache>
                <c:ptCount val="1"/>
                <c:pt idx="0">
                  <c:v>Viscosity 40 [°C]</c:v>
                </c:pt>
              </c:strCache>
            </c:strRef>
          </c:tx>
          <c:spPr>
            <a:pattFill prst="ltDnDiag">
              <a:fgClr>
                <a:srgbClr val="0000FF"/>
              </a:fgClr>
              <a:bgClr>
                <a:schemeClr val="bg1"/>
              </a:bgClr>
            </a:pattFill>
            <a:ln w="3175">
              <a:solidFill>
                <a:srgbClr val="0000FF"/>
              </a:solidFill>
            </a:ln>
            <a:effectLst/>
          </c:spPr>
          <c:invertIfNegative val="0"/>
          <c:val>
            <c:numRef>
              <c:f>'Oil Sampling results'!$F$3:$F$8</c:f>
              <c:numCache>
                <c:formatCode>General</c:formatCode>
                <c:ptCount val="6"/>
                <c:pt idx="0">
                  <c:v>44.86</c:v>
                </c:pt>
                <c:pt idx="1">
                  <c:v>53.28</c:v>
                </c:pt>
                <c:pt idx="2">
                  <c:v>51.82</c:v>
                </c:pt>
                <c:pt idx="3">
                  <c:v>53.01</c:v>
                </c:pt>
              </c:numCache>
            </c:numRef>
          </c:val>
          <c:extLst>
            <c:ext xmlns:c16="http://schemas.microsoft.com/office/drawing/2014/chart" uri="{C3380CC4-5D6E-409C-BE32-E72D297353CC}">
              <c16:uniqueId val="{00000004-E3E6-4062-97F2-D89A557F8725}"/>
            </c:ext>
          </c:extLst>
        </c:ser>
        <c:ser>
          <c:idx val="6"/>
          <c:order val="6"/>
          <c:tx>
            <c:strRef>
              <c:f>'Oil Sampling results'!$G$2</c:f>
              <c:strCache>
                <c:ptCount val="1"/>
                <c:pt idx="0">
                  <c:v>Viscosity 100  [°C]</c:v>
                </c:pt>
              </c:strCache>
            </c:strRef>
          </c:tx>
          <c:spPr>
            <a:pattFill prst="dkHorz">
              <a:fgClr>
                <a:srgbClr val="0000FF"/>
              </a:fgClr>
              <a:bgClr>
                <a:schemeClr val="bg1"/>
              </a:bgClr>
            </a:pattFill>
            <a:ln w="3175">
              <a:solidFill>
                <a:srgbClr val="0000FF"/>
              </a:solidFill>
            </a:ln>
            <a:effectLst/>
          </c:spPr>
          <c:invertIfNegative val="0"/>
          <c:val>
            <c:numRef>
              <c:f>'Oil Sampling results'!$G$3:$G$8</c:f>
              <c:numCache>
                <c:formatCode>General</c:formatCode>
                <c:ptCount val="6"/>
                <c:pt idx="0">
                  <c:v>6.92</c:v>
                </c:pt>
                <c:pt idx="1">
                  <c:v>7.51</c:v>
                </c:pt>
                <c:pt idx="2">
                  <c:v>7.35</c:v>
                </c:pt>
                <c:pt idx="3">
                  <c:v>7.57</c:v>
                </c:pt>
              </c:numCache>
            </c:numRef>
          </c:val>
          <c:extLst>
            <c:ext xmlns:c16="http://schemas.microsoft.com/office/drawing/2014/chart" uri="{C3380CC4-5D6E-409C-BE32-E72D297353CC}">
              <c16:uniqueId val="{00000005-E3E6-4062-97F2-D89A557F8725}"/>
            </c:ext>
          </c:extLst>
        </c:ser>
        <c:ser>
          <c:idx val="7"/>
          <c:order val="7"/>
          <c:tx>
            <c:strRef>
              <c:f>'Oil Sampling results'!$H$2</c:f>
              <c:strCache>
                <c:ptCount val="1"/>
                <c:pt idx="0">
                  <c:v>Viscosity index</c:v>
                </c:pt>
              </c:strCache>
            </c:strRef>
          </c:tx>
          <c:spPr>
            <a:pattFill prst="zigZag">
              <a:fgClr>
                <a:srgbClr val="0000FF"/>
              </a:fgClr>
              <a:bgClr>
                <a:schemeClr val="bg1"/>
              </a:bgClr>
            </a:pattFill>
            <a:ln w="3175">
              <a:solidFill>
                <a:srgbClr val="0000FF"/>
              </a:solidFill>
            </a:ln>
            <a:effectLst/>
          </c:spPr>
          <c:invertIfNegative val="0"/>
          <c:val>
            <c:numRef>
              <c:f>'Oil Sampling results'!$H$3:$H$8</c:f>
              <c:numCache>
                <c:formatCode>General</c:formatCode>
                <c:ptCount val="6"/>
                <c:pt idx="0">
                  <c:v>110</c:v>
                </c:pt>
                <c:pt idx="1">
                  <c:v>102</c:v>
                </c:pt>
                <c:pt idx="2">
                  <c:v>101</c:v>
                </c:pt>
                <c:pt idx="3">
                  <c:v>105</c:v>
                </c:pt>
              </c:numCache>
            </c:numRef>
          </c:val>
          <c:extLst>
            <c:ext xmlns:c16="http://schemas.microsoft.com/office/drawing/2014/chart" uri="{C3380CC4-5D6E-409C-BE32-E72D297353CC}">
              <c16:uniqueId val="{00000006-E3E6-4062-97F2-D89A557F8725}"/>
            </c:ext>
          </c:extLst>
        </c:ser>
        <c:ser>
          <c:idx val="9"/>
          <c:order val="9"/>
          <c:tx>
            <c:strRef>
              <c:f>'Oil Sampling results'!$I$2</c:f>
              <c:strCache>
                <c:ptCount val="1"/>
                <c:pt idx="0">
                  <c:v>Flame point  [°C]</c:v>
                </c:pt>
              </c:strCache>
            </c:strRef>
          </c:tx>
          <c:spPr>
            <a:pattFill prst="openDmnd">
              <a:fgClr>
                <a:srgbClr val="0000FF"/>
              </a:fgClr>
              <a:bgClr>
                <a:schemeClr val="bg1"/>
              </a:bgClr>
            </a:pattFill>
            <a:ln w="3175">
              <a:solidFill>
                <a:srgbClr val="0000FF"/>
              </a:solidFill>
            </a:ln>
            <a:effectLst/>
          </c:spPr>
          <c:invertIfNegative val="0"/>
          <c:val>
            <c:numRef>
              <c:f>'Oil Sampling results'!$I$3:$I$8</c:f>
              <c:numCache>
                <c:formatCode>General</c:formatCode>
                <c:ptCount val="6"/>
                <c:pt idx="0">
                  <c:v>230</c:v>
                </c:pt>
                <c:pt idx="1">
                  <c:v>218</c:v>
                </c:pt>
                <c:pt idx="2">
                  <c:v>216</c:v>
                </c:pt>
                <c:pt idx="3">
                  <c:v>216</c:v>
                </c:pt>
              </c:numCache>
            </c:numRef>
          </c:val>
          <c:extLst>
            <c:ext xmlns:c16="http://schemas.microsoft.com/office/drawing/2014/chart" uri="{C3380CC4-5D6E-409C-BE32-E72D297353CC}">
              <c16:uniqueId val="{00000007-E3E6-4062-97F2-D89A557F8725}"/>
            </c:ext>
          </c:extLst>
        </c:ser>
        <c:ser>
          <c:idx val="10"/>
          <c:order val="10"/>
          <c:tx>
            <c:strRef>
              <c:f>'Oil Sampling results'!$J$2</c:f>
              <c:strCache>
                <c:ptCount val="1"/>
                <c:pt idx="0">
                  <c:v>Flow point [°C]</c:v>
                </c:pt>
              </c:strCache>
            </c:strRef>
          </c:tx>
          <c:spPr>
            <a:pattFill prst="wdUpDiag">
              <a:fgClr>
                <a:srgbClr val="0000FF"/>
              </a:fgClr>
              <a:bgClr>
                <a:schemeClr val="bg1"/>
              </a:bgClr>
            </a:pattFill>
            <a:ln w="3175">
              <a:solidFill>
                <a:srgbClr val="0000FF"/>
              </a:solidFill>
            </a:ln>
            <a:effectLst/>
          </c:spPr>
          <c:invertIfNegative val="0"/>
          <c:val>
            <c:numRef>
              <c:f>'Oil Sampling results'!$J$3:$J$8</c:f>
              <c:numCache>
                <c:formatCode>General</c:formatCode>
                <c:ptCount val="6"/>
                <c:pt idx="0">
                  <c:v>-32</c:v>
                </c:pt>
                <c:pt idx="1">
                  <c:v>-39</c:v>
                </c:pt>
                <c:pt idx="2">
                  <c:v>-38</c:v>
                </c:pt>
                <c:pt idx="3">
                  <c:v>-39</c:v>
                </c:pt>
              </c:numCache>
            </c:numRef>
          </c:val>
          <c:extLst>
            <c:ext xmlns:c16="http://schemas.microsoft.com/office/drawing/2014/chart" uri="{C3380CC4-5D6E-409C-BE32-E72D297353CC}">
              <c16:uniqueId val="{00000008-E3E6-4062-97F2-D89A557F8725}"/>
            </c:ext>
          </c:extLst>
        </c:ser>
        <c:dLbls>
          <c:showLegendKey val="0"/>
          <c:showVal val="0"/>
          <c:showCatName val="0"/>
          <c:showSerName val="0"/>
          <c:showPercent val="0"/>
          <c:showBubbleSize val="0"/>
        </c:dLbls>
        <c:gapWidth val="150"/>
        <c:axId val="1619224048"/>
        <c:axId val="1619222800"/>
        <c:extLst>
          <c:ext xmlns:c15="http://schemas.microsoft.com/office/drawing/2012/chart" uri="{02D57815-91ED-43cb-92C2-25804820EDAC}">
            <c15:filteredBarSeries>
              <c15:ser>
                <c:idx val="4"/>
                <c:order val="4"/>
                <c:tx>
                  <c:strRef>
                    <c:extLst>
                      <c:ext uri="{02D57815-91ED-43cb-92C2-25804820EDAC}">
                        <c15:formulaRef>
                          <c15:sqref>'Oil Sampling results'!$V$2</c15:sqref>
                        </c15:formulaRef>
                      </c:ext>
                    </c:extLst>
                    <c:strCache>
                      <c:ptCount val="1"/>
                      <c:pt idx="0">
                        <c:v>Zn</c:v>
                      </c:pt>
                    </c:strCache>
                  </c:strRef>
                </c:tx>
                <c:spPr>
                  <a:solidFill>
                    <a:schemeClr val="accent5"/>
                  </a:solidFill>
                  <a:ln>
                    <a:noFill/>
                  </a:ln>
                  <a:effectLst/>
                </c:spPr>
                <c:invertIfNegative val="0"/>
                <c:cat>
                  <c:numRef>
                    <c:extLst>
                      <c:ext uri="{02D57815-91ED-43cb-92C2-25804820EDAC}">
                        <c15:formulaRef>
                          <c15:sqref>'Oil Sampling results'!$N$3:$N$8</c15:sqref>
                        </c15:formulaRef>
                      </c:ext>
                    </c:extLst>
                    <c:numCache>
                      <c:formatCode>0.0</c:formatCode>
                      <c:ptCount val="6"/>
                      <c:pt idx="0">
                        <c:v>0</c:v>
                      </c:pt>
                      <c:pt idx="1">
                        <c:v>391.95416666666279</c:v>
                      </c:pt>
                      <c:pt idx="2">
                        <c:v>819.34999999991851</c:v>
                      </c:pt>
                      <c:pt idx="3">
                        <c:v>1089.766666666721</c:v>
                      </c:pt>
                      <c:pt idx="4">
                        <c:v>1342.516666666721</c:v>
                      </c:pt>
                      <c:pt idx="5">
                        <c:v>1564.0999999999185</c:v>
                      </c:pt>
                    </c:numCache>
                  </c:numRef>
                </c:cat>
                <c:val>
                  <c:numRef>
                    <c:extLst>
                      <c:ext uri="{02D57815-91ED-43cb-92C2-25804820EDAC}">
                        <c15:formulaRef>
                          <c15:sqref>'Oil Sampling results'!$V$3:$V$8</c15:sqref>
                        </c15:formulaRef>
                      </c:ext>
                    </c:extLst>
                    <c:numCache>
                      <c:formatCode>General</c:formatCode>
                      <c:ptCount val="6"/>
                      <c:pt idx="0">
                        <c:v>370</c:v>
                      </c:pt>
                      <c:pt idx="1">
                        <c:v>340</c:v>
                      </c:pt>
                      <c:pt idx="2">
                        <c:v>340</c:v>
                      </c:pt>
                      <c:pt idx="3">
                        <c:v>340</c:v>
                      </c:pt>
                      <c:pt idx="4">
                        <c:v>340</c:v>
                      </c:pt>
                      <c:pt idx="5">
                        <c:v>340</c:v>
                      </c:pt>
                    </c:numCache>
                  </c:numRef>
                </c:val>
                <c:extLst>
                  <c:ext xmlns:c16="http://schemas.microsoft.com/office/drawing/2014/chart" uri="{C3380CC4-5D6E-409C-BE32-E72D297353CC}">
                    <c16:uniqueId val="{0000000B-E3E6-4062-97F2-D89A557F8725}"/>
                  </c:ext>
                </c:extLst>
              </c15:ser>
            </c15:filteredBarSeries>
          </c:ext>
        </c:extLst>
      </c:barChart>
      <c:lineChart>
        <c:grouping val="standard"/>
        <c:varyColors val="0"/>
        <c:ser>
          <c:idx val="8"/>
          <c:order val="8"/>
          <c:tx>
            <c:strRef>
              <c:f>'Oil Sampling results'!$E$2</c:f>
              <c:strCache>
                <c:ptCount val="1"/>
                <c:pt idx="0">
                  <c:v>Density [kg/m^3 at 15°C]</c:v>
                </c:pt>
              </c:strCache>
            </c:strRef>
          </c:tx>
          <c:spPr>
            <a:ln w="3175" cap="rnd">
              <a:solidFill>
                <a:srgbClr val="FF0000"/>
              </a:solidFill>
              <a:round/>
            </a:ln>
            <a:effectLst/>
          </c:spPr>
          <c:marker>
            <c:symbol val="diamond"/>
            <c:size val="10"/>
            <c:spPr>
              <a:noFill/>
              <a:ln w="3175">
                <a:solidFill>
                  <a:srgbClr val="FF0000"/>
                </a:solidFill>
              </a:ln>
              <a:effectLst/>
            </c:spPr>
          </c:marker>
          <c:val>
            <c:numRef>
              <c:f>'Oil Sampling results'!$E$3:$E$8</c:f>
              <c:numCache>
                <c:formatCode>0.0000</c:formatCode>
                <c:ptCount val="6"/>
                <c:pt idx="0">
                  <c:v>863.5</c:v>
                </c:pt>
                <c:pt idx="1">
                  <c:v>880.7</c:v>
                </c:pt>
                <c:pt idx="2">
                  <c:v>880.4</c:v>
                </c:pt>
                <c:pt idx="3">
                  <c:v>880</c:v>
                </c:pt>
                <c:pt idx="4">
                  <c:v>880</c:v>
                </c:pt>
                <c:pt idx="5">
                  <c:v>880.23</c:v>
                </c:pt>
              </c:numCache>
            </c:numRef>
          </c:val>
          <c:smooth val="0"/>
          <c:extLst>
            <c:ext xmlns:c16="http://schemas.microsoft.com/office/drawing/2014/chart" uri="{C3380CC4-5D6E-409C-BE32-E72D297353CC}">
              <c16:uniqueId val="{00000009-E3E6-4062-97F2-D89A557F8725}"/>
            </c:ext>
          </c:extLst>
        </c:ser>
        <c:ser>
          <c:idx val="11"/>
          <c:order val="11"/>
          <c:tx>
            <c:strRef>
              <c:f>'Oil Sampling results'!$T$2</c:f>
              <c:strCache>
                <c:ptCount val="1"/>
                <c:pt idx="0">
                  <c:v>TAN [mgKOH/g] *10^-3</c:v>
                </c:pt>
              </c:strCache>
            </c:strRef>
          </c:tx>
          <c:spPr>
            <a:ln w="3175" cap="rnd">
              <a:solidFill>
                <a:srgbClr val="FF0000"/>
              </a:solidFill>
              <a:round/>
            </a:ln>
            <a:effectLst/>
          </c:spPr>
          <c:marker>
            <c:symbol val="star"/>
            <c:size val="10"/>
            <c:spPr>
              <a:noFill/>
              <a:ln w="3175">
                <a:solidFill>
                  <a:srgbClr val="FF0000"/>
                </a:solidFill>
              </a:ln>
              <a:effectLst/>
            </c:spPr>
          </c:marker>
          <c:val>
            <c:numRef>
              <c:f>'Oil Sampling results'!$T$3:$T$8</c:f>
              <c:numCache>
                <c:formatCode>General</c:formatCode>
                <c:ptCount val="6"/>
                <c:pt idx="0">
                  <c:v>420</c:v>
                </c:pt>
                <c:pt idx="1">
                  <c:v>430</c:v>
                </c:pt>
                <c:pt idx="2">
                  <c:v>450</c:v>
                </c:pt>
                <c:pt idx="3">
                  <c:v>530</c:v>
                </c:pt>
                <c:pt idx="4">
                  <c:v>480</c:v>
                </c:pt>
                <c:pt idx="5">
                  <c:v>460</c:v>
                </c:pt>
              </c:numCache>
            </c:numRef>
          </c:val>
          <c:smooth val="0"/>
          <c:extLst>
            <c:ext xmlns:c16="http://schemas.microsoft.com/office/drawing/2014/chart" uri="{C3380CC4-5D6E-409C-BE32-E72D297353CC}">
              <c16:uniqueId val="{0000000A-E3E6-4062-97F2-D89A557F8725}"/>
            </c:ext>
          </c:extLst>
        </c:ser>
        <c:dLbls>
          <c:showLegendKey val="0"/>
          <c:showVal val="0"/>
          <c:showCatName val="0"/>
          <c:showSerName val="0"/>
          <c:showPercent val="0"/>
          <c:showBubbleSize val="0"/>
        </c:dLbls>
        <c:marker val="1"/>
        <c:smooth val="0"/>
        <c:axId val="1300640432"/>
        <c:axId val="1300640016"/>
      </c:lineChart>
      <c:catAx>
        <c:axId val="1619224048"/>
        <c:scaling>
          <c:orientation val="minMax"/>
        </c:scaling>
        <c:delete val="0"/>
        <c:axPos val="b"/>
        <c:numFmt formatCode="0.0"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619222800"/>
        <c:crosses val="autoZero"/>
        <c:auto val="1"/>
        <c:lblAlgn val="ctr"/>
        <c:lblOffset val="100"/>
        <c:noMultiLvlLbl val="0"/>
      </c:catAx>
      <c:valAx>
        <c:axId val="1619222800"/>
        <c:scaling>
          <c:orientation val="minMax"/>
        </c:scaling>
        <c:delete val="0"/>
        <c:axPos val="l"/>
        <c:numFmt formatCode="0.00000" sourceLinked="1"/>
        <c:majorTickMark val="out"/>
        <c:minorTickMark val="none"/>
        <c:tickLblPos val="nextTo"/>
        <c:spPr>
          <a:noFill/>
          <a:ln w="3175" cap="flat" cmpd="sng" algn="ctr">
            <a:solidFill>
              <a:srgbClr val="0000FF"/>
            </a:solidFill>
            <a:round/>
          </a:ln>
          <a:effectLst/>
        </c:spPr>
        <c:txPr>
          <a:bodyPr rot="-60000000" spcFirstLastPara="1" vertOverflow="ellipsis" vert="horz" wrap="square" anchor="ctr" anchorCtr="1"/>
          <a:lstStyle/>
          <a:p>
            <a:pPr>
              <a:defRPr sz="1000" b="0" i="0" u="none" strike="noStrike" kern="1200" baseline="0">
                <a:solidFill>
                  <a:srgbClr val="0000FF"/>
                </a:solidFill>
                <a:latin typeface="Garamond" panose="02020404030301010803" pitchFamily="18" charset="0"/>
                <a:ea typeface="+mn-ea"/>
                <a:cs typeface="+mn-cs"/>
              </a:defRPr>
            </a:pPr>
            <a:endParaRPr lang="sr-Latn-RS"/>
          </a:p>
        </c:txPr>
        <c:crossAx val="1619224048"/>
        <c:crosses val="autoZero"/>
        <c:crossBetween val="between"/>
      </c:valAx>
      <c:valAx>
        <c:axId val="1300640016"/>
        <c:scaling>
          <c:orientation val="minMax"/>
        </c:scaling>
        <c:delete val="0"/>
        <c:axPos val="r"/>
        <c:numFmt formatCode="0.0000" sourceLinked="1"/>
        <c:majorTickMark val="out"/>
        <c:minorTickMark val="none"/>
        <c:tickLblPos val="nextTo"/>
        <c:spPr>
          <a:noFill/>
          <a:ln w="3175" cap="flat" cmpd="sng" algn="ctr">
            <a:solidFill>
              <a:srgbClr val="FF0000"/>
            </a:solidFill>
            <a:round/>
          </a:ln>
          <a:effectLst/>
        </c:spPr>
        <c:txPr>
          <a:bodyPr rot="-60000000" spcFirstLastPara="1" vertOverflow="ellipsis" vert="horz" wrap="square" anchor="ctr" anchorCtr="1"/>
          <a:lstStyle/>
          <a:p>
            <a:pPr>
              <a:defRPr sz="1000" b="0" i="0" u="none" strike="noStrike" kern="1200" baseline="0">
                <a:solidFill>
                  <a:srgbClr val="FF0000"/>
                </a:solidFill>
                <a:latin typeface="Garamond" panose="02020404030301010803" pitchFamily="18" charset="0"/>
                <a:ea typeface="+mn-ea"/>
                <a:cs typeface="+mn-cs"/>
              </a:defRPr>
            </a:pPr>
            <a:endParaRPr lang="sr-Latn-RS"/>
          </a:p>
        </c:txPr>
        <c:crossAx val="1300640432"/>
        <c:crosses val="max"/>
        <c:crossBetween val="between"/>
      </c:valAx>
      <c:catAx>
        <c:axId val="1300640432"/>
        <c:scaling>
          <c:orientation val="minMax"/>
        </c:scaling>
        <c:delete val="1"/>
        <c:axPos val="b"/>
        <c:majorTickMark val="out"/>
        <c:minorTickMark val="none"/>
        <c:tickLblPos val="nextTo"/>
        <c:crossAx val="1300640016"/>
        <c:crosses val="autoZero"/>
        <c:auto val="1"/>
        <c:lblAlgn val="ctr"/>
        <c:lblOffset val="100"/>
        <c:noMultiLvlLbl val="0"/>
      </c:catAx>
      <c:spPr>
        <a:noFill/>
        <a:ln w="3175">
          <a:noFill/>
        </a:ln>
        <a:effectLst/>
      </c:spPr>
    </c:plotArea>
    <c:legend>
      <c:legendPos val="r"/>
      <c:layout>
        <c:manualLayout>
          <c:xMode val="edge"/>
          <c:yMode val="edge"/>
          <c:x val="7.6038864233118703E-2"/>
          <c:y val="0.8141993263622892"/>
          <c:w val="0.8470793180330507"/>
          <c:h val="0.18580068416775339"/>
        </c:manualLayout>
      </c:layout>
      <c:overlay val="1"/>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Garamond" panose="02020404030301010803" pitchFamily="18" charset="0"/>
        </a:defRPr>
      </a:pPr>
      <a:endParaRPr lang="sr-Latn-R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2157455891293742E-2"/>
          <c:y val="5.2556139512661249E-2"/>
          <c:w val="0.87383065152748229"/>
          <c:h val="0.83518101207248763"/>
        </c:manualLayout>
      </c:layout>
      <c:barChart>
        <c:barDir val="col"/>
        <c:grouping val="clustered"/>
        <c:varyColors val="0"/>
        <c:ser>
          <c:idx val="5"/>
          <c:order val="5"/>
          <c:tx>
            <c:strRef>
              <c:f>'Oil Sampling results'!$AB$2</c:f>
              <c:strCache>
                <c:ptCount val="1"/>
                <c:pt idx="0">
                  <c:v>Cr</c:v>
                </c:pt>
              </c:strCache>
            </c:strRef>
          </c:tx>
          <c:spPr>
            <a:pattFill prst="pct20">
              <a:fgClr>
                <a:srgbClr val="0000FF"/>
              </a:fgClr>
              <a:bgClr>
                <a:schemeClr val="bg1"/>
              </a:bgClr>
            </a:pattFill>
            <a:ln w="3175">
              <a:solidFill>
                <a:srgbClr val="0000FF"/>
              </a:solidFill>
            </a:ln>
            <a:effectLst/>
          </c:spPr>
          <c:invertIfNegative val="0"/>
          <c:cat>
            <c:strRef>
              <c:f>'Oil Sampling results'!$O$3:$O$8</c:f>
              <c:strCache>
                <c:ptCount val="6"/>
                <c:pt idx="0">
                  <c:v>Clear oil</c:v>
                </c:pt>
                <c:pt idx="1">
                  <c:v>Clear oil</c:v>
                </c:pt>
                <c:pt idx="2">
                  <c:v>Clear oil</c:v>
                </c:pt>
                <c:pt idx="3">
                  <c:v>Clear oil</c:v>
                </c:pt>
                <c:pt idx="4">
                  <c:v>Clear oil</c:v>
                </c:pt>
                <c:pt idx="5">
                  <c:v>Clear oil</c:v>
                </c:pt>
              </c:strCache>
            </c:strRef>
          </c:cat>
          <c:val>
            <c:numRef>
              <c:f>'Oil Sampling results'!$AB$3:$AB$8</c:f>
              <c:numCache>
                <c:formatCode>General</c:formatCode>
                <c:ptCount val="6"/>
                <c:pt idx="0">
                  <c:v>1</c:v>
                </c:pt>
                <c:pt idx="1">
                  <c:v>1</c:v>
                </c:pt>
                <c:pt idx="2">
                  <c:v>1</c:v>
                </c:pt>
                <c:pt idx="3">
                  <c:v>1</c:v>
                </c:pt>
                <c:pt idx="4">
                  <c:v>2</c:v>
                </c:pt>
                <c:pt idx="5">
                  <c:v>2</c:v>
                </c:pt>
              </c:numCache>
            </c:numRef>
          </c:val>
          <c:extLst>
            <c:ext xmlns:c16="http://schemas.microsoft.com/office/drawing/2014/chart" uri="{C3380CC4-5D6E-409C-BE32-E72D297353CC}">
              <c16:uniqueId val="{00000000-0AA5-49FD-A610-6FBCF24DA7BD}"/>
            </c:ext>
          </c:extLst>
        </c:ser>
        <c:ser>
          <c:idx val="8"/>
          <c:order val="8"/>
          <c:tx>
            <c:strRef>
              <c:f>'Oil Sampling results'!$AE$2</c:f>
              <c:strCache>
                <c:ptCount val="1"/>
                <c:pt idx="0">
                  <c:v>Ni</c:v>
                </c:pt>
              </c:strCache>
            </c:strRef>
          </c:tx>
          <c:spPr>
            <a:pattFill prst="narVert">
              <a:fgClr>
                <a:srgbClr val="0000FF"/>
              </a:fgClr>
              <a:bgClr>
                <a:schemeClr val="bg1"/>
              </a:bgClr>
            </a:pattFill>
            <a:ln w="3175">
              <a:solidFill>
                <a:srgbClr val="0000FF"/>
              </a:solidFill>
            </a:ln>
            <a:effectLst/>
          </c:spPr>
          <c:invertIfNegative val="0"/>
          <c:cat>
            <c:strRef>
              <c:f>'Oil Sampling results'!$O$3:$O$8</c:f>
              <c:strCache>
                <c:ptCount val="6"/>
                <c:pt idx="0">
                  <c:v>Clear oil</c:v>
                </c:pt>
                <c:pt idx="1">
                  <c:v>Clear oil</c:v>
                </c:pt>
                <c:pt idx="2">
                  <c:v>Clear oil</c:v>
                </c:pt>
                <c:pt idx="3">
                  <c:v>Clear oil</c:v>
                </c:pt>
                <c:pt idx="4">
                  <c:v>Clear oil</c:v>
                </c:pt>
                <c:pt idx="5">
                  <c:v>Clear oil</c:v>
                </c:pt>
              </c:strCache>
            </c:strRef>
          </c:cat>
          <c:val>
            <c:numRef>
              <c:f>'Oil Sampling results'!$AE$3:$AE$8</c:f>
              <c:numCache>
                <c:formatCode>General</c:formatCode>
                <c:ptCount val="6"/>
                <c:pt idx="0">
                  <c:v>3</c:v>
                </c:pt>
                <c:pt idx="1">
                  <c:v>0</c:v>
                </c:pt>
                <c:pt idx="2">
                  <c:v>0</c:v>
                </c:pt>
                <c:pt idx="3">
                  <c:v>0</c:v>
                </c:pt>
                <c:pt idx="4">
                  <c:v>0</c:v>
                </c:pt>
                <c:pt idx="5">
                  <c:v>0</c:v>
                </c:pt>
              </c:numCache>
            </c:numRef>
          </c:val>
          <c:extLst>
            <c:ext xmlns:c16="http://schemas.microsoft.com/office/drawing/2014/chart" uri="{C3380CC4-5D6E-409C-BE32-E72D297353CC}">
              <c16:uniqueId val="{00000001-0AA5-49FD-A610-6FBCF24DA7BD}"/>
            </c:ext>
          </c:extLst>
        </c:ser>
        <c:ser>
          <c:idx val="10"/>
          <c:order val="10"/>
          <c:tx>
            <c:strRef>
              <c:f>'Oil Sampling results'!$AG$2</c:f>
              <c:strCache>
                <c:ptCount val="1"/>
                <c:pt idx="0">
                  <c:v>Cd</c:v>
                </c:pt>
              </c:strCache>
            </c:strRef>
          </c:tx>
          <c:spPr>
            <a:pattFill prst="lgCheck">
              <a:fgClr>
                <a:srgbClr val="0000FF"/>
              </a:fgClr>
              <a:bgClr>
                <a:schemeClr val="bg1"/>
              </a:bgClr>
            </a:pattFill>
            <a:ln w="3175">
              <a:solidFill>
                <a:srgbClr val="0000FF"/>
              </a:solidFill>
            </a:ln>
            <a:effectLst/>
          </c:spPr>
          <c:invertIfNegative val="0"/>
          <c:cat>
            <c:strRef>
              <c:f>'Oil Sampling results'!$O$3:$O$8</c:f>
              <c:strCache>
                <c:ptCount val="6"/>
                <c:pt idx="0">
                  <c:v>Clear oil</c:v>
                </c:pt>
                <c:pt idx="1">
                  <c:v>Clear oil</c:v>
                </c:pt>
                <c:pt idx="2">
                  <c:v>Clear oil</c:v>
                </c:pt>
                <c:pt idx="3">
                  <c:v>Clear oil</c:v>
                </c:pt>
                <c:pt idx="4">
                  <c:v>Clear oil</c:v>
                </c:pt>
                <c:pt idx="5">
                  <c:v>Clear oil</c:v>
                </c:pt>
              </c:strCache>
            </c:strRef>
          </c:cat>
          <c:val>
            <c:numRef>
              <c:f>'Oil Sampling results'!$AG$3:$AG$8</c:f>
              <c:numCache>
                <c:formatCode>General</c:formatCode>
                <c:ptCount val="6"/>
                <c:pt idx="0">
                  <c:v>0</c:v>
                </c:pt>
                <c:pt idx="1">
                  <c:v>0</c:v>
                </c:pt>
                <c:pt idx="2">
                  <c:v>0</c:v>
                </c:pt>
                <c:pt idx="3">
                  <c:v>0</c:v>
                </c:pt>
                <c:pt idx="4">
                  <c:v>0</c:v>
                </c:pt>
                <c:pt idx="5">
                  <c:v>1</c:v>
                </c:pt>
              </c:numCache>
            </c:numRef>
          </c:val>
          <c:extLst>
            <c:ext xmlns:c16="http://schemas.microsoft.com/office/drawing/2014/chart" uri="{C3380CC4-5D6E-409C-BE32-E72D297353CC}">
              <c16:uniqueId val="{00000002-0AA5-49FD-A610-6FBCF24DA7BD}"/>
            </c:ext>
          </c:extLst>
        </c:ser>
        <c:dLbls>
          <c:showLegendKey val="0"/>
          <c:showVal val="0"/>
          <c:showCatName val="0"/>
          <c:showSerName val="0"/>
          <c:showPercent val="0"/>
          <c:showBubbleSize val="0"/>
        </c:dLbls>
        <c:gapWidth val="150"/>
        <c:axId val="1619224048"/>
        <c:axId val="1619222800"/>
        <c:extLst>
          <c:ext xmlns:c15="http://schemas.microsoft.com/office/drawing/2012/chart" uri="{02D57815-91ED-43cb-92C2-25804820EDAC}">
            <c15:filteredBarSeries>
              <c15:ser>
                <c:idx val="1"/>
                <c:order val="1"/>
                <c:tx>
                  <c:strRef>
                    <c:extLst>
                      <c:ext uri="{02D57815-91ED-43cb-92C2-25804820EDAC}">
                        <c15:formulaRef>
                          <c15:sqref>'Oil Sampling results'!$X$2</c15:sqref>
                        </c15:formulaRef>
                      </c:ext>
                    </c:extLst>
                    <c:strCache>
                      <c:ptCount val="1"/>
                      <c:pt idx="0">
                        <c:v>Pb</c:v>
                      </c:pt>
                    </c:strCache>
                  </c:strRef>
                </c:tx>
                <c:spPr>
                  <a:solidFill>
                    <a:schemeClr val="accent2"/>
                  </a:solidFill>
                  <a:ln>
                    <a:noFill/>
                  </a:ln>
                  <a:effectLst/>
                </c:spPr>
                <c:invertIfNegative val="0"/>
                <c:cat>
                  <c:strRef>
                    <c:extLst>
                      <c:ext uri="{02D57815-91ED-43cb-92C2-25804820EDAC}">
                        <c15:formulaRef>
                          <c15:sqref>'Oil Sampling results'!$O$3:$O$8</c15:sqref>
                        </c15:formulaRef>
                      </c:ext>
                    </c:extLst>
                    <c:strCache>
                      <c:ptCount val="6"/>
                      <c:pt idx="0">
                        <c:v>Clear oil</c:v>
                      </c:pt>
                      <c:pt idx="1">
                        <c:v>Clear oil</c:v>
                      </c:pt>
                      <c:pt idx="2">
                        <c:v>Clear oil</c:v>
                      </c:pt>
                      <c:pt idx="3">
                        <c:v>Clear oil</c:v>
                      </c:pt>
                      <c:pt idx="4">
                        <c:v>Clear oil</c:v>
                      </c:pt>
                      <c:pt idx="5">
                        <c:v>Clear oil</c:v>
                      </c:pt>
                    </c:strCache>
                  </c:strRef>
                </c:cat>
                <c:val>
                  <c:numRef>
                    <c:extLst>
                      <c:ext uri="{02D57815-91ED-43cb-92C2-25804820EDAC}">
                        <c15:formulaRef>
                          <c15:sqref>'Oil Sampling results'!$X$3:$X$8</c15:sqref>
                        </c15:formulaRef>
                      </c:ext>
                    </c:extLst>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5-0AA5-49FD-A610-6FBCF24DA7BD}"/>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'Oil Sampling results'!$Y$2</c15:sqref>
                        </c15:formulaRef>
                      </c:ext>
                    </c:extLst>
                    <c:strCache>
                      <c:ptCount val="1"/>
                      <c:pt idx="0">
                        <c:v>Cu</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'Oil Sampling results'!$O$3:$O$8</c15:sqref>
                        </c15:formulaRef>
                      </c:ext>
                    </c:extLst>
                    <c:strCache>
                      <c:ptCount val="6"/>
                      <c:pt idx="0">
                        <c:v>Clear oil</c:v>
                      </c:pt>
                      <c:pt idx="1">
                        <c:v>Clear oil</c:v>
                      </c:pt>
                      <c:pt idx="2">
                        <c:v>Clear oil</c:v>
                      </c:pt>
                      <c:pt idx="3">
                        <c:v>Clear oil</c:v>
                      </c:pt>
                      <c:pt idx="4">
                        <c:v>Clear oil</c:v>
                      </c:pt>
                      <c:pt idx="5">
                        <c:v>Clear oil</c:v>
                      </c:pt>
                    </c:strCache>
                  </c:strRef>
                </c:cat>
                <c:val>
                  <c:numRef>
                    <c:extLst xmlns:c15="http://schemas.microsoft.com/office/drawing/2012/chart">
                      <c:ext xmlns:c15="http://schemas.microsoft.com/office/drawing/2012/chart" uri="{02D57815-91ED-43cb-92C2-25804820EDAC}">
                        <c15:formulaRef>
                          <c15:sqref>'Oil Sampling results'!$Y$3:$Y$8</c15:sqref>
                        </c15:formulaRef>
                      </c:ext>
                    </c:extLst>
                    <c:numCache>
                      <c:formatCode>General</c:formatCode>
                      <c:ptCount val="6"/>
                      <c:pt idx="0">
                        <c:v>0</c:v>
                      </c:pt>
                      <c:pt idx="1">
                        <c:v>0</c:v>
                      </c:pt>
                      <c:pt idx="2">
                        <c:v>0</c:v>
                      </c:pt>
                      <c:pt idx="3">
                        <c:v>0</c:v>
                      </c:pt>
                      <c:pt idx="4">
                        <c:v>0</c:v>
                      </c:pt>
                      <c:pt idx="5">
                        <c:v>0</c:v>
                      </c:pt>
                    </c:numCache>
                  </c:numRef>
                </c:val>
                <c:extLst xmlns:c15="http://schemas.microsoft.com/office/drawing/2012/chart">
                  <c:ext xmlns:c16="http://schemas.microsoft.com/office/drawing/2014/chart" uri="{C3380CC4-5D6E-409C-BE32-E72D297353CC}">
                    <c16:uniqueId val="{00000006-0AA5-49FD-A610-6FBCF24DA7BD}"/>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'Oil Sampling results'!$AA$2</c15:sqref>
                        </c15:formulaRef>
                      </c:ext>
                    </c:extLst>
                    <c:strCache>
                      <c:ptCount val="1"/>
                      <c:pt idx="0">
                        <c:v>Sn</c:v>
                      </c:pt>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'Oil Sampling results'!$O$3:$O$8</c15:sqref>
                        </c15:formulaRef>
                      </c:ext>
                    </c:extLst>
                    <c:strCache>
                      <c:ptCount val="6"/>
                      <c:pt idx="0">
                        <c:v>Clear oil</c:v>
                      </c:pt>
                      <c:pt idx="1">
                        <c:v>Clear oil</c:v>
                      </c:pt>
                      <c:pt idx="2">
                        <c:v>Clear oil</c:v>
                      </c:pt>
                      <c:pt idx="3">
                        <c:v>Clear oil</c:v>
                      </c:pt>
                      <c:pt idx="4">
                        <c:v>Clear oil</c:v>
                      </c:pt>
                      <c:pt idx="5">
                        <c:v>Clear oil</c:v>
                      </c:pt>
                    </c:strCache>
                  </c:strRef>
                </c:cat>
                <c:val>
                  <c:numRef>
                    <c:extLst xmlns:c15="http://schemas.microsoft.com/office/drawing/2012/chart">
                      <c:ext xmlns:c15="http://schemas.microsoft.com/office/drawing/2012/chart" uri="{02D57815-91ED-43cb-92C2-25804820EDAC}">
                        <c15:formulaRef>
                          <c15:sqref>'Oil Sampling results'!$AA$3:$AA$8</c15:sqref>
                        </c15:formulaRef>
                      </c:ext>
                    </c:extLst>
                    <c:numCache>
                      <c:formatCode>General</c:formatCode>
                      <c:ptCount val="6"/>
                      <c:pt idx="0">
                        <c:v>0</c:v>
                      </c:pt>
                      <c:pt idx="1">
                        <c:v>0</c:v>
                      </c:pt>
                      <c:pt idx="2">
                        <c:v>0</c:v>
                      </c:pt>
                      <c:pt idx="3">
                        <c:v>0</c:v>
                      </c:pt>
                      <c:pt idx="4">
                        <c:v>0</c:v>
                      </c:pt>
                      <c:pt idx="5">
                        <c:v>0</c:v>
                      </c:pt>
                    </c:numCache>
                  </c:numRef>
                </c:val>
                <c:extLst xmlns:c15="http://schemas.microsoft.com/office/drawing/2012/chart">
                  <c:ext xmlns:c16="http://schemas.microsoft.com/office/drawing/2014/chart" uri="{C3380CC4-5D6E-409C-BE32-E72D297353CC}">
                    <c16:uniqueId val="{00000007-0AA5-49FD-A610-6FBCF24DA7BD}"/>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'Oil Sampling results'!$AC$2</c15:sqref>
                        </c15:formulaRef>
                      </c:ext>
                    </c:extLst>
                    <c:strCache>
                      <c:ptCount val="1"/>
                      <c:pt idx="0">
                        <c:v>Al</c:v>
                      </c:pt>
                    </c:strCache>
                  </c:strRef>
                </c:tx>
                <c:spPr>
                  <a:solidFill>
                    <a:schemeClr val="accent1">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'Oil Sampling results'!$O$3:$O$8</c15:sqref>
                        </c15:formulaRef>
                      </c:ext>
                    </c:extLst>
                    <c:strCache>
                      <c:ptCount val="6"/>
                      <c:pt idx="0">
                        <c:v>Clear oil</c:v>
                      </c:pt>
                      <c:pt idx="1">
                        <c:v>Clear oil</c:v>
                      </c:pt>
                      <c:pt idx="2">
                        <c:v>Clear oil</c:v>
                      </c:pt>
                      <c:pt idx="3">
                        <c:v>Clear oil</c:v>
                      </c:pt>
                      <c:pt idx="4">
                        <c:v>Clear oil</c:v>
                      </c:pt>
                      <c:pt idx="5">
                        <c:v>Clear oil</c:v>
                      </c:pt>
                    </c:strCache>
                  </c:strRef>
                </c:cat>
                <c:val>
                  <c:numRef>
                    <c:extLst xmlns:c15="http://schemas.microsoft.com/office/drawing/2012/chart">
                      <c:ext xmlns:c15="http://schemas.microsoft.com/office/drawing/2012/chart" uri="{02D57815-91ED-43cb-92C2-25804820EDAC}">
                        <c15:formulaRef>
                          <c15:sqref>'Oil Sampling results'!$AC$3:$AC$8</c15:sqref>
                        </c15:formulaRef>
                      </c:ext>
                    </c:extLst>
                    <c:numCache>
                      <c:formatCode>General</c:formatCode>
                      <c:ptCount val="6"/>
                      <c:pt idx="0">
                        <c:v>0</c:v>
                      </c:pt>
                      <c:pt idx="1">
                        <c:v>0</c:v>
                      </c:pt>
                      <c:pt idx="2">
                        <c:v>0</c:v>
                      </c:pt>
                      <c:pt idx="3">
                        <c:v>0</c:v>
                      </c:pt>
                      <c:pt idx="4">
                        <c:v>0</c:v>
                      </c:pt>
                      <c:pt idx="5">
                        <c:v>0</c:v>
                      </c:pt>
                    </c:numCache>
                  </c:numRef>
                </c:val>
                <c:extLst xmlns:c15="http://schemas.microsoft.com/office/drawing/2012/chart">
                  <c:ext xmlns:c16="http://schemas.microsoft.com/office/drawing/2014/chart" uri="{C3380CC4-5D6E-409C-BE32-E72D297353CC}">
                    <c16:uniqueId val="{00000008-0AA5-49FD-A610-6FBCF24DA7BD}"/>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'Oil Sampling results'!$AD$2</c15:sqref>
                        </c15:formulaRef>
                      </c:ext>
                    </c:extLst>
                    <c:strCache>
                      <c:ptCount val="1"/>
                      <c:pt idx="0">
                        <c:v>Ag</c:v>
                      </c:pt>
                    </c:strCache>
                  </c:strRef>
                </c:tx>
                <c:spPr>
                  <a:solidFill>
                    <a:schemeClr val="accent2">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'Oil Sampling results'!$O$3:$O$8</c15:sqref>
                        </c15:formulaRef>
                      </c:ext>
                    </c:extLst>
                    <c:strCache>
                      <c:ptCount val="6"/>
                      <c:pt idx="0">
                        <c:v>Clear oil</c:v>
                      </c:pt>
                      <c:pt idx="1">
                        <c:v>Clear oil</c:v>
                      </c:pt>
                      <c:pt idx="2">
                        <c:v>Clear oil</c:v>
                      </c:pt>
                      <c:pt idx="3">
                        <c:v>Clear oil</c:v>
                      </c:pt>
                      <c:pt idx="4">
                        <c:v>Clear oil</c:v>
                      </c:pt>
                      <c:pt idx="5">
                        <c:v>Clear oil</c:v>
                      </c:pt>
                    </c:strCache>
                  </c:strRef>
                </c:cat>
                <c:val>
                  <c:numRef>
                    <c:extLst xmlns:c15="http://schemas.microsoft.com/office/drawing/2012/chart">
                      <c:ext xmlns:c15="http://schemas.microsoft.com/office/drawing/2012/chart" uri="{02D57815-91ED-43cb-92C2-25804820EDAC}">
                        <c15:formulaRef>
                          <c15:sqref>'Oil Sampling results'!$AD$3:$AD$8</c15:sqref>
                        </c15:formulaRef>
                      </c:ext>
                    </c:extLst>
                    <c:numCache>
                      <c:formatCode>General</c:formatCode>
                      <c:ptCount val="6"/>
                      <c:pt idx="0">
                        <c:v>0</c:v>
                      </c:pt>
                      <c:pt idx="1">
                        <c:v>0</c:v>
                      </c:pt>
                      <c:pt idx="2">
                        <c:v>0</c:v>
                      </c:pt>
                      <c:pt idx="3">
                        <c:v>0</c:v>
                      </c:pt>
                      <c:pt idx="4">
                        <c:v>0</c:v>
                      </c:pt>
                      <c:pt idx="5">
                        <c:v>0</c:v>
                      </c:pt>
                    </c:numCache>
                  </c:numRef>
                </c:val>
                <c:extLst xmlns:c15="http://schemas.microsoft.com/office/drawing/2012/chart">
                  <c:ext xmlns:c16="http://schemas.microsoft.com/office/drawing/2014/chart" uri="{C3380CC4-5D6E-409C-BE32-E72D297353CC}">
                    <c16:uniqueId val="{00000009-0AA5-49FD-A610-6FBCF24DA7BD}"/>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'Oil Sampling results'!$AF$2</c15:sqref>
                        </c15:formulaRef>
                      </c:ext>
                    </c:extLst>
                    <c:strCache>
                      <c:ptCount val="1"/>
                      <c:pt idx="0">
                        <c:v>Mn</c:v>
                      </c:pt>
                    </c:strCache>
                  </c:strRef>
                </c:tx>
                <c:spPr>
                  <a:solidFill>
                    <a:schemeClr val="accent4">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'Oil Sampling results'!$O$3:$O$8</c15:sqref>
                        </c15:formulaRef>
                      </c:ext>
                    </c:extLst>
                    <c:strCache>
                      <c:ptCount val="6"/>
                      <c:pt idx="0">
                        <c:v>Clear oil</c:v>
                      </c:pt>
                      <c:pt idx="1">
                        <c:v>Clear oil</c:v>
                      </c:pt>
                      <c:pt idx="2">
                        <c:v>Clear oil</c:v>
                      </c:pt>
                      <c:pt idx="3">
                        <c:v>Clear oil</c:v>
                      </c:pt>
                      <c:pt idx="4">
                        <c:v>Clear oil</c:v>
                      </c:pt>
                      <c:pt idx="5">
                        <c:v>Clear oil</c:v>
                      </c:pt>
                    </c:strCache>
                  </c:strRef>
                </c:cat>
                <c:val>
                  <c:numRef>
                    <c:extLst xmlns:c15="http://schemas.microsoft.com/office/drawing/2012/chart">
                      <c:ext xmlns:c15="http://schemas.microsoft.com/office/drawing/2012/chart" uri="{02D57815-91ED-43cb-92C2-25804820EDAC}">
                        <c15:formulaRef>
                          <c15:sqref>'Oil Sampling results'!$AF$3:$AF$8</c15:sqref>
                        </c15:formulaRef>
                      </c:ext>
                    </c:extLst>
                    <c:numCache>
                      <c:formatCode>General</c:formatCode>
                      <c:ptCount val="6"/>
                      <c:pt idx="0">
                        <c:v>0</c:v>
                      </c:pt>
                      <c:pt idx="1">
                        <c:v>0</c:v>
                      </c:pt>
                      <c:pt idx="2">
                        <c:v>0</c:v>
                      </c:pt>
                      <c:pt idx="3">
                        <c:v>0</c:v>
                      </c:pt>
                      <c:pt idx="4">
                        <c:v>0</c:v>
                      </c:pt>
                      <c:pt idx="5">
                        <c:v>0</c:v>
                      </c:pt>
                    </c:numCache>
                  </c:numRef>
                </c:val>
                <c:extLst xmlns:c15="http://schemas.microsoft.com/office/drawing/2012/chart">
                  <c:ext xmlns:c16="http://schemas.microsoft.com/office/drawing/2014/chart" uri="{C3380CC4-5D6E-409C-BE32-E72D297353CC}">
                    <c16:uniqueId val="{0000000A-0AA5-49FD-A610-6FBCF24DA7BD}"/>
                  </c:ext>
                </c:extLst>
              </c15:ser>
            </c15:filteredBarSeries>
          </c:ext>
        </c:extLst>
      </c:barChart>
      <c:lineChart>
        <c:grouping val="standard"/>
        <c:varyColors val="0"/>
        <c:ser>
          <c:idx val="0"/>
          <c:order val="0"/>
          <c:tx>
            <c:strRef>
              <c:f>'Oil Sampling results'!$W$2</c:f>
              <c:strCache>
                <c:ptCount val="1"/>
                <c:pt idx="0">
                  <c:v>Fe</c:v>
                </c:pt>
              </c:strCache>
            </c:strRef>
          </c:tx>
          <c:spPr>
            <a:ln w="3175" cap="rnd">
              <a:solidFill>
                <a:srgbClr val="FF0000"/>
              </a:solidFill>
              <a:round/>
            </a:ln>
            <a:effectLst/>
          </c:spPr>
          <c:marker>
            <c:symbol val="diamond"/>
            <c:size val="5"/>
            <c:spPr>
              <a:noFill/>
              <a:ln w="3175">
                <a:solidFill>
                  <a:srgbClr val="FF0000"/>
                </a:solidFill>
              </a:ln>
              <a:effectLst/>
            </c:spPr>
          </c:marker>
          <c:cat>
            <c:strRef>
              <c:f>'Oil Sampling results'!$O$3:$O$8</c:f>
              <c:strCache>
                <c:ptCount val="6"/>
                <c:pt idx="0">
                  <c:v>Clear oil</c:v>
                </c:pt>
                <c:pt idx="1">
                  <c:v>Clear oil</c:v>
                </c:pt>
                <c:pt idx="2">
                  <c:v>Clear oil</c:v>
                </c:pt>
                <c:pt idx="3">
                  <c:v>Clear oil</c:v>
                </c:pt>
                <c:pt idx="4">
                  <c:v>Clear oil</c:v>
                </c:pt>
                <c:pt idx="5">
                  <c:v>Clear oil</c:v>
                </c:pt>
              </c:strCache>
            </c:strRef>
          </c:cat>
          <c:val>
            <c:numRef>
              <c:f>'Oil Sampling results'!$W$3:$W$8</c:f>
              <c:numCache>
                <c:formatCode>General</c:formatCode>
                <c:ptCount val="6"/>
                <c:pt idx="0">
                  <c:v>2</c:v>
                </c:pt>
                <c:pt idx="1">
                  <c:v>5</c:v>
                </c:pt>
                <c:pt idx="2">
                  <c:v>4</c:v>
                </c:pt>
                <c:pt idx="3">
                  <c:v>4</c:v>
                </c:pt>
                <c:pt idx="4">
                  <c:v>3</c:v>
                </c:pt>
                <c:pt idx="5">
                  <c:v>5</c:v>
                </c:pt>
              </c:numCache>
            </c:numRef>
          </c:val>
          <c:smooth val="0"/>
          <c:extLst>
            <c:ext xmlns:c16="http://schemas.microsoft.com/office/drawing/2014/chart" uri="{C3380CC4-5D6E-409C-BE32-E72D297353CC}">
              <c16:uniqueId val="{00000003-0AA5-49FD-A610-6FBCF24DA7BD}"/>
            </c:ext>
          </c:extLst>
        </c:ser>
        <c:ser>
          <c:idx val="3"/>
          <c:order val="3"/>
          <c:tx>
            <c:strRef>
              <c:f>'Oil Sampling results'!$Z$2</c:f>
              <c:strCache>
                <c:ptCount val="1"/>
                <c:pt idx="0">
                  <c:v>Si</c:v>
                </c:pt>
              </c:strCache>
            </c:strRef>
          </c:tx>
          <c:spPr>
            <a:ln w="3175" cap="rnd">
              <a:solidFill>
                <a:srgbClr val="FF0000"/>
              </a:solidFill>
              <a:round/>
            </a:ln>
            <a:effectLst/>
          </c:spPr>
          <c:marker>
            <c:symbol val="star"/>
            <c:size val="5"/>
            <c:spPr>
              <a:noFill/>
              <a:ln w="3175">
                <a:solidFill>
                  <a:srgbClr val="FF0000"/>
                </a:solidFill>
              </a:ln>
              <a:effectLst/>
            </c:spPr>
          </c:marker>
          <c:cat>
            <c:strRef>
              <c:f>'Oil Sampling results'!$O$3:$O$8</c:f>
              <c:strCache>
                <c:ptCount val="6"/>
                <c:pt idx="0">
                  <c:v>Clear oil</c:v>
                </c:pt>
                <c:pt idx="1">
                  <c:v>Clear oil</c:v>
                </c:pt>
                <c:pt idx="2">
                  <c:v>Clear oil</c:v>
                </c:pt>
                <c:pt idx="3">
                  <c:v>Clear oil</c:v>
                </c:pt>
                <c:pt idx="4">
                  <c:v>Clear oil</c:v>
                </c:pt>
                <c:pt idx="5">
                  <c:v>Clear oil</c:v>
                </c:pt>
              </c:strCache>
            </c:strRef>
          </c:cat>
          <c:val>
            <c:numRef>
              <c:f>'Oil Sampling results'!$Z$3:$Z$8</c:f>
              <c:numCache>
                <c:formatCode>General</c:formatCode>
                <c:ptCount val="6"/>
                <c:pt idx="0">
                  <c:v>27</c:v>
                </c:pt>
                <c:pt idx="1">
                  <c:v>24</c:v>
                </c:pt>
                <c:pt idx="2">
                  <c:v>29</c:v>
                </c:pt>
                <c:pt idx="3">
                  <c:v>18</c:v>
                </c:pt>
                <c:pt idx="4">
                  <c:v>20</c:v>
                </c:pt>
                <c:pt idx="5">
                  <c:v>27</c:v>
                </c:pt>
              </c:numCache>
            </c:numRef>
          </c:val>
          <c:smooth val="0"/>
          <c:extLst>
            <c:ext xmlns:c16="http://schemas.microsoft.com/office/drawing/2014/chart" uri="{C3380CC4-5D6E-409C-BE32-E72D297353CC}">
              <c16:uniqueId val="{00000004-0AA5-49FD-A610-6FBCF24DA7BD}"/>
            </c:ext>
          </c:extLst>
        </c:ser>
        <c:dLbls>
          <c:showLegendKey val="0"/>
          <c:showVal val="0"/>
          <c:showCatName val="0"/>
          <c:showSerName val="0"/>
          <c:showPercent val="0"/>
          <c:showBubbleSize val="0"/>
        </c:dLbls>
        <c:marker val="1"/>
        <c:smooth val="0"/>
        <c:axId val="2063505968"/>
        <c:axId val="2063506800"/>
      </c:lineChart>
      <c:catAx>
        <c:axId val="1619224048"/>
        <c:scaling>
          <c:orientation val="minMax"/>
        </c:scaling>
        <c:delete val="0"/>
        <c:axPos val="b"/>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619222800"/>
        <c:crosses val="autoZero"/>
        <c:auto val="1"/>
        <c:lblAlgn val="ctr"/>
        <c:lblOffset val="100"/>
        <c:noMultiLvlLbl val="0"/>
      </c:catAx>
      <c:valAx>
        <c:axId val="1619222800"/>
        <c:scaling>
          <c:orientation val="minMax"/>
        </c:scaling>
        <c:delete val="0"/>
        <c:axPos val="l"/>
        <c:numFmt formatCode="General" sourceLinked="1"/>
        <c:majorTickMark val="out"/>
        <c:minorTickMark val="none"/>
        <c:tickLblPos val="nextTo"/>
        <c:spPr>
          <a:noFill/>
          <a:ln w="3175" cap="flat" cmpd="sng" algn="ctr">
            <a:solidFill>
              <a:srgbClr val="0000FF"/>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619224048"/>
        <c:crosses val="autoZero"/>
        <c:crossBetween val="between"/>
      </c:valAx>
      <c:valAx>
        <c:axId val="2063506800"/>
        <c:scaling>
          <c:orientation val="minMax"/>
        </c:scaling>
        <c:delete val="0"/>
        <c:axPos val="r"/>
        <c:numFmt formatCode="General" sourceLinked="1"/>
        <c:majorTickMark val="out"/>
        <c:minorTickMark val="none"/>
        <c:tickLblPos val="nextTo"/>
        <c:spPr>
          <a:noFill/>
          <a:ln w="3175" cap="flat" cmpd="sng" algn="ctr">
            <a:solidFill>
              <a:srgbClr val="FF0000"/>
            </a:solidFill>
            <a:round/>
          </a:ln>
          <a:effectLst/>
        </c:spPr>
        <c:txPr>
          <a:bodyPr rot="-60000000" spcFirstLastPara="1" vertOverflow="ellipsis" vert="horz" wrap="square" anchor="ctr" anchorCtr="1"/>
          <a:lstStyle/>
          <a:p>
            <a:pPr>
              <a:defRPr sz="1000" b="0" i="0" u="none" strike="noStrike" kern="1200" baseline="0">
                <a:solidFill>
                  <a:srgbClr val="FF0000"/>
                </a:solidFill>
                <a:latin typeface="Garamond" panose="02020404030301010803" pitchFamily="18" charset="0"/>
                <a:ea typeface="+mn-ea"/>
                <a:cs typeface="+mn-cs"/>
              </a:defRPr>
            </a:pPr>
            <a:endParaRPr lang="sr-Latn-RS"/>
          </a:p>
        </c:txPr>
        <c:crossAx val="2063505968"/>
        <c:crosses val="max"/>
        <c:crossBetween val="between"/>
      </c:valAx>
      <c:catAx>
        <c:axId val="2063505968"/>
        <c:scaling>
          <c:orientation val="minMax"/>
        </c:scaling>
        <c:delete val="1"/>
        <c:axPos val="b"/>
        <c:numFmt formatCode="General" sourceLinked="1"/>
        <c:majorTickMark val="out"/>
        <c:minorTickMark val="none"/>
        <c:tickLblPos val="nextTo"/>
        <c:crossAx val="2063506800"/>
        <c:crosses val="autoZero"/>
        <c:auto val="1"/>
        <c:lblAlgn val="ctr"/>
        <c:lblOffset val="100"/>
        <c:noMultiLvlLbl val="0"/>
      </c:catAx>
      <c:spPr>
        <a:noFill/>
        <a:ln w="3175">
          <a:noFill/>
        </a:ln>
        <a:effectLst/>
      </c:spPr>
    </c:plotArea>
    <c:legend>
      <c:legendPos val="r"/>
      <c:layout>
        <c:manualLayout>
          <c:xMode val="edge"/>
          <c:yMode val="edge"/>
          <c:x val="0.54824502869344727"/>
          <c:y val="8.702198178404956E-2"/>
          <c:w val="0.36370772317802963"/>
          <c:h val="9.823741303329718E-2"/>
        </c:manualLayout>
      </c:layout>
      <c:overlay val="1"/>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Garamond" panose="02020404030301010803" pitchFamily="18" charset="0"/>
        </a:defRPr>
      </a:pPr>
      <a:endParaRPr lang="sr-Latn-R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v>Hydraulic power 15.10.2021</c:v>
          </c:tx>
          <c:spPr>
            <a:ln w="3175" cap="rnd">
              <a:solidFill>
                <a:srgbClr val="0000FF"/>
              </a:solidFill>
              <a:round/>
            </a:ln>
            <a:effectLst/>
          </c:spPr>
          <c:marker>
            <c:symbol val="none"/>
          </c:marker>
          <c:cat>
            <c:numRef>
              <c:f>'15-10-2021'!$A$2:$A$420</c:f>
              <c:numCache>
                <c:formatCode>0.00</c:formatCode>
                <c:ptCount val="419"/>
                <c:pt idx="0">
                  <c:v>0</c:v>
                </c:pt>
                <c:pt idx="1">
                  <c:v>5.5550000000000002E-2</c:v>
                </c:pt>
                <c:pt idx="2">
                  <c:v>0.1111</c:v>
                </c:pt>
                <c:pt idx="3">
                  <c:v>0.16664999999999999</c:v>
                </c:pt>
                <c:pt idx="4">
                  <c:v>0.22220000000000001</c:v>
                </c:pt>
                <c:pt idx="5">
                  <c:v>0.27775</c:v>
                </c:pt>
                <c:pt idx="6">
                  <c:v>0.33329999999999999</c:v>
                </c:pt>
                <c:pt idx="7">
                  <c:v>0.38884999999999997</c:v>
                </c:pt>
                <c:pt idx="8">
                  <c:v>0.44440000000000002</c:v>
                </c:pt>
                <c:pt idx="9">
                  <c:v>0.49995000000000001</c:v>
                </c:pt>
                <c:pt idx="10">
                  <c:v>0.55549999999999999</c:v>
                </c:pt>
                <c:pt idx="11">
                  <c:v>0.61104999999999998</c:v>
                </c:pt>
                <c:pt idx="12">
                  <c:v>0.66659999999999997</c:v>
                </c:pt>
                <c:pt idx="13">
                  <c:v>0.72214999999999996</c:v>
                </c:pt>
                <c:pt idx="14">
                  <c:v>0.77769999999999995</c:v>
                </c:pt>
                <c:pt idx="15">
                  <c:v>0.83325000000000005</c:v>
                </c:pt>
                <c:pt idx="16">
                  <c:v>0.88880000000000003</c:v>
                </c:pt>
                <c:pt idx="17">
                  <c:v>0.94435000000000002</c:v>
                </c:pt>
                <c:pt idx="18">
                  <c:v>0.99990000000000001</c:v>
                </c:pt>
                <c:pt idx="19">
                  <c:v>1.05545</c:v>
                </c:pt>
                <c:pt idx="20">
                  <c:v>1.111</c:v>
                </c:pt>
                <c:pt idx="21">
                  <c:v>1.16655</c:v>
                </c:pt>
                <c:pt idx="22">
                  <c:v>1.2221</c:v>
                </c:pt>
                <c:pt idx="23">
                  <c:v>1.27765</c:v>
                </c:pt>
                <c:pt idx="24">
                  <c:v>1.3331999999999999</c:v>
                </c:pt>
                <c:pt idx="25">
                  <c:v>1.3887499999999999</c:v>
                </c:pt>
                <c:pt idx="26">
                  <c:v>1.4442999999999999</c:v>
                </c:pt>
                <c:pt idx="27">
                  <c:v>1.4998499999999999</c:v>
                </c:pt>
                <c:pt idx="28">
                  <c:v>1.5553999999999999</c:v>
                </c:pt>
                <c:pt idx="29">
                  <c:v>1.6109500000000001</c:v>
                </c:pt>
                <c:pt idx="30">
                  <c:v>1.6665000000000001</c:v>
                </c:pt>
                <c:pt idx="31">
                  <c:v>1.7220500000000001</c:v>
                </c:pt>
                <c:pt idx="32">
                  <c:v>1.7776000000000001</c:v>
                </c:pt>
                <c:pt idx="33">
                  <c:v>1.8331500000000001</c:v>
                </c:pt>
                <c:pt idx="34">
                  <c:v>1.8887</c:v>
                </c:pt>
                <c:pt idx="35">
                  <c:v>1.94425</c:v>
                </c:pt>
                <c:pt idx="36">
                  <c:v>1.9998</c:v>
                </c:pt>
                <c:pt idx="37">
                  <c:v>2.0553499999999998</c:v>
                </c:pt>
                <c:pt idx="38">
                  <c:v>2.1109</c:v>
                </c:pt>
                <c:pt idx="39">
                  <c:v>2.1664500000000002</c:v>
                </c:pt>
                <c:pt idx="40">
                  <c:v>2.222</c:v>
                </c:pt>
                <c:pt idx="41">
                  <c:v>2.2775500000000002</c:v>
                </c:pt>
                <c:pt idx="42">
                  <c:v>2.3331</c:v>
                </c:pt>
                <c:pt idx="43">
                  <c:v>2.3886500000000002</c:v>
                </c:pt>
                <c:pt idx="44">
                  <c:v>2.4441999999999999</c:v>
                </c:pt>
                <c:pt idx="45">
                  <c:v>2.4997500000000001</c:v>
                </c:pt>
                <c:pt idx="46">
                  <c:v>2.5552999999999999</c:v>
                </c:pt>
                <c:pt idx="47">
                  <c:v>2.6108500000000001</c:v>
                </c:pt>
                <c:pt idx="48">
                  <c:v>2.6663999999999999</c:v>
                </c:pt>
                <c:pt idx="49">
                  <c:v>2.7219500000000001</c:v>
                </c:pt>
                <c:pt idx="50">
                  <c:v>2.7774999999999999</c:v>
                </c:pt>
                <c:pt idx="51">
                  <c:v>2.8330500000000001</c:v>
                </c:pt>
                <c:pt idx="52">
                  <c:v>2.8885999999999998</c:v>
                </c:pt>
                <c:pt idx="53">
                  <c:v>2.94415</c:v>
                </c:pt>
                <c:pt idx="54">
                  <c:v>2.9996999999999998</c:v>
                </c:pt>
                <c:pt idx="55">
                  <c:v>3.05525</c:v>
                </c:pt>
                <c:pt idx="56">
                  <c:v>3.1107999999999998</c:v>
                </c:pt>
                <c:pt idx="57">
                  <c:v>3.16635</c:v>
                </c:pt>
                <c:pt idx="58">
                  <c:v>3.2219000000000002</c:v>
                </c:pt>
                <c:pt idx="59">
                  <c:v>3.27745</c:v>
                </c:pt>
                <c:pt idx="60">
                  <c:v>3.3330000000000002</c:v>
                </c:pt>
                <c:pt idx="61">
                  <c:v>3.38855</c:v>
                </c:pt>
                <c:pt idx="62">
                  <c:v>3.4441000000000002</c:v>
                </c:pt>
                <c:pt idx="63">
                  <c:v>3.4996499999999999</c:v>
                </c:pt>
                <c:pt idx="64">
                  <c:v>3.5552000000000001</c:v>
                </c:pt>
                <c:pt idx="65">
                  <c:v>3.6107499999999999</c:v>
                </c:pt>
                <c:pt idx="66">
                  <c:v>3.6663000000000001</c:v>
                </c:pt>
                <c:pt idx="67">
                  <c:v>3.7218499999999999</c:v>
                </c:pt>
                <c:pt idx="68">
                  <c:v>3.7774000000000001</c:v>
                </c:pt>
                <c:pt idx="69">
                  <c:v>3.8329499999999999</c:v>
                </c:pt>
                <c:pt idx="70">
                  <c:v>3.8885000000000001</c:v>
                </c:pt>
                <c:pt idx="71">
                  <c:v>3.9440499999999998</c:v>
                </c:pt>
                <c:pt idx="72">
                  <c:v>3.9996</c:v>
                </c:pt>
                <c:pt idx="73">
                  <c:v>4.0551500000000003</c:v>
                </c:pt>
                <c:pt idx="74">
                  <c:v>4.1106999999999996</c:v>
                </c:pt>
                <c:pt idx="75">
                  <c:v>4.1662499999999998</c:v>
                </c:pt>
                <c:pt idx="76">
                  <c:v>4.2218</c:v>
                </c:pt>
                <c:pt idx="77">
                  <c:v>4.2773500000000002</c:v>
                </c:pt>
                <c:pt idx="78">
                  <c:v>4.3329000000000004</c:v>
                </c:pt>
                <c:pt idx="79">
                  <c:v>4.3884499999999997</c:v>
                </c:pt>
                <c:pt idx="80">
                  <c:v>4.444</c:v>
                </c:pt>
                <c:pt idx="81">
                  <c:v>4.4995500000000002</c:v>
                </c:pt>
                <c:pt idx="82">
                  <c:v>4.5551000000000004</c:v>
                </c:pt>
                <c:pt idx="83">
                  <c:v>4.6106499999999997</c:v>
                </c:pt>
                <c:pt idx="84">
                  <c:v>4.6661999999999999</c:v>
                </c:pt>
                <c:pt idx="85">
                  <c:v>4.7217500000000001</c:v>
                </c:pt>
                <c:pt idx="86">
                  <c:v>4.7773000000000003</c:v>
                </c:pt>
                <c:pt idx="87">
                  <c:v>4.8328499999999996</c:v>
                </c:pt>
                <c:pt idx="88">
                  <c:v>4.8883999999999999</c:v>
                </c:pt>
                <c:pt idx="89">
                  <c:v>4.9439500000000001</c:v>
                </c:pt>
                <c:pt idx="90">
                  <c:v>4.9995000000000003</c:v>
                </c:pt>
                <c:pt idx="91">
                  <c:v>5.0550499999999996</c:v>
                </c:pt>
                <c:pt idx="92">
                  <c:v>5.1105999999999998</c:v>
                </c:pt>
                <c:pt idx="93">
                  <c:v>5.16615</c:v>
                </c:pt>
                <c:pt idx="94">
                  <c:v>5.2217000000000002</c:v>
                </c:pt>
                <c:pt idx="95">
                  <c:v>5.2772500000000004</c:v>
                </c:pt>
                <c:pt idx="96">
                  <c:v>5.3327999999999998</c:v>
                </c:pt>
                <c:pt idx="97">
                  <c:v>5.38835</c:v>
                </c:pt>
                <c:pt idx="98">
                  <c:v>5.4439000000000002</c:v>
                </c:pt>
                <c:pt idx="99">
                  <c:v>5.4994500000000004</c:v>
                </c:pt>
                <c:pt idx="100">
                  <c:v>5.5549999999999997</c:v>
                </c:pt>
                <c:pt idx="101">
                  <c:v>5.6105499999999999</c:v>
                </c:pt>
                <c:pt idx="102">
                  <c:v>5.6661000000000001</c:v>
                </c:pt>
                <c:pt idx="103">
                  <c:v>5.7216500000000003</c:v>
                </c:pt>
                <c:pt idx="104">
                  <c:v>5.7771999999999997</c:v>
                </c:pt>
                <c:pt idx="105">
                  <c:v>5.8327499999999999</c:v>
                </c:pt>
                <c:pt idx="106">
                  <c:v>5.8883000000000001</c:v>
                </c:pt>
                <c:pt idx="107">
                  <c:v>5.9438500000000003</c:v>
                </c:pt>
                <c:pt idx="108">
                  <c:v>5.9993999999999996</c:v>
                </c:pt>
                <c:pt idx="109">
                  <c:v>6.0549499999999998</c:v>
                </c:pt>
                <c:pt idx="110">
                  <c:v>6.1105</c:v>
                </c:pt>
                <c:pt idx="111">
                  <c:v>6.1660500000000003</c:v>
                </c:pt>
                <c:pt idx="112">
                  <c:v>6.2215999999999996</c:v>
                </c:pt>
                <c:pt idx="113">
                  <c:v>6.2771499999999998</c:v>
                </c:pt>
                <c:pt idx="114">
                  <c:v>6.3327</c:v>
                </c:pt>
                <c:pt idx="115">
                  <c:v>6.3882500000000002</c:v>
                </c:pt>
                <c:pt idx="116">
                  <c:v>6.4438000000000004</c:v>
                </c:pt>
                <c:pt idx="117">
                  <c:v>6.4993499999999997</c:v>
                </c:pt>
                <c:pt idx="118">
                  <c:v>6.5548999999999999</c:v>
                </c:pt>
                <c:pt idx="119">
                  <c:v>6.6104500000000002</c:v>
                </c:pt>
                <c:pt idx="120">
                  <c:v>6.6660000000000004</c:v>
                </c:pt>
                <c:pt idx="121">
                  <c:v>6.7215499999999997</c:v>
                </c:pt>
                <c:pt idx="122">
                  <c:v>6.7770999999999999</c:v>
                </c:pt>
                <c:pt idx="123">
                  <c:v>6.8326500000000001</c:v>
                </c:pt>
                <c:pt idx="124">
                  <c:v>6.8882000000000003</c:v>
                </c:pt>
                <c:pt idx="125">
                  <c:v>6.9437499999999996</c:v>
                </c:pt>
                <c:pt idx="126">
                  <c:v>6.9992999999999999</c:v>
                </c:pt>
                <c:pt idx="127">
                  <c:v>7.0548500000000001</c:v>
                </c:pt>
                <c:pt idx="128">
                  <c:v>7.1104000000000003</c:v>
                </c:pt>
                <c:pt idx="129">
                  <c:v>7.1659499999999996</c:v>
                </c:pt>
                <c:pt idx="130">
                  <c:v>7.2214999999999998</c:v>
                </c:pt>
                <c:pt idx="131">
                  <c:v>7.27705</c:v>
                </c:pt>
                <c:pt idx="132">
                  <c:v>7.3326000000000002</c:v>
                </c:pt>
                <c:pt idx="133">
                  <c:v>7.3881500000000004</c:v>
                </c:pt>
                <c:pt idx="134">
                  <c:v>7.4436999999999998</c:v>
                </c:pt>
                <c:pt idx="135">
                  <c:v>7.49925</c:v>
                </c:pt>
                <c:pt idx="136">
                  <c:v>7.5548000000000002</c:v>
                </c:pt>
                <c:pt idx="137">
                  <c:v>7.6103500000000004</c:v>
                </c:pt>
                <c:pt idx="138">
                  <c:v>7.6658999999999997</c:v>
                </c:pt>
                <c:pt idx="139">
                  <c:v>7.7214499999999999</c:v>
                </c:pt>
                <c:pt idx="140">
                  <c:v>7.7770000000000001</c:v>
                </c:pt>
                <c:pt idx="141">
                  <c:v>7.8325500000000003</c:v>
                </c:pt>
                <c:pt idx="142">
                  <c:v>7.8880999999999997</c:v>
                </c:pt>
                <c:pt idx="143">
                  <c:v>7.9436499999999999</c:v>
                </c:pt>
                <c:pt idx="144">
                  <c:v>7.9992000000000001</c:v>
                </c:pt>
                <c:pt idx="145">
                  <c:v>8.0547500000000003</c:v>
                </c:pt>
                <c:pt idx="146">
                  <c:v>8.1103000000000005</c:v>
                </c:pt>
                <c:pt idx="147">
                  <c:v>8.1658500000000007</c:v>
                </c:pt>
                <c:pt idx="148">
                  <c:v>8.2213999999999992</c:v>
                </c:pt>
                <c:pt idx="149">
                  <c:v>8.2769499999999994</c:v>
                </c:pt>
                <c:pt idx="150">
                  <c:v>8.3324999999999996</c:v>
                </c:pt>
                <c:pt idx="151">
                  <c:v>8.3880499999999998</c:v>
                </c:pt>
                <c:pt idx="152">
                  <c:v>8.4436</c:v>
                </c:pt>
                <c:pt idx="153">
                  <c:v>8.4991500000000002</c:v>
                </c:pt>
                <c:pt idx="154">
                  <c:v>8.5547000000000004</c:v>
                </c:pt>
                <c:pt idx="155">
                  <c:v>8.6102500000000006</c:v>
                </c:pt>
                <c:pt idx="156">
                  <c:v>8.6658000000000008</c:v>
                </c:pt>
                <c:pt idx="157">
                  <c:v>8.7213499999999993</c:v>
                </c:pt>
                <c:pt idx="158">
                  <c:v>8.7768999999999995</c:v>
                </c:pt>
                <c:pt idx="159">
                  <c:v>8.8324499999999997</c:v>
                </c:pt>
                <c:pt idx="160">
                  <c:v>8.8879999999999999</c:v>
                </c:pt>
                <c:pt idx="161">
                  <c:v>8.9435500000000001</c:v>
                </c:pt>
                <c:pt idx="162">
                  <c:v>8.9991000000000003</c:v>
                </c:pt>
                <c:pt idx="163">
                  <c:v>9.0546500000000005</c:v>
                </c:pt>
                <c:pt idx="164">
                  <c:v>9.1102000000000007</c:v>
                </c:pt>
                <c:pt idx="165">
                  <c:v>9.1657499999999992</c:v>
                </c:pt>
                <c:pt idx="166">
                  <c:v>9.2212999999999994</c:v>
                </c:pt>
                <c:pt idx="167">
                  <c:v>9.2768499999999996</c:v>
                </c:pt>
                <c:pt idx="168">
                  <c:v>9.3323999999999998</c:v>
                </c:pt>
                <c:pt idx="169">
                  <c:v>9.38795</c:v>
                </c:pt>
                <c:pt idx="170">
                  <c:v>9.4435000000000002</c:v>
                </c:pt>
                <c:pt idx="171">
                  <c:v>9.4990500000000004</c:v>
                </c:pt>
                <c:pt idx="172">
                  <c:v>9.5546000000000006</c:v>
                </c:pt>
                <c:pt idx="173">
                  <c:v>9.6101500000000009</c:v>
                </c:pt>
                <c:pt idx="174">
                  <c:v>9.6656999999999993</c:v>
                </c:pt>
                <c:pt idx="175">
                  <c:v>9.7212499999999995</c:v>
                </c:pt>
                <c:pt idx="176">
                  <c:v>9.7767999999999997</c:v>
                </c:pt>
                <c:pt idx="177">
                  <c:v>9.8323499999999999</c:v>
                </c:pt>
                <c:pt idx="178">
                  <c:v>9.8879000000000001</c:v>
                </c:pt>
                <c:pt idx="179">
                  <c:v>9.9434500000000003</c:v>
                </c:pt>
                <c:pt idx="180">
                  <c:v>9.9990000000000006</c:v>
                </c:pt>
                <c:pt idx="181">
                  <c:v>10.054550000000001</c:v>
                </c:pt>
                <c:pt idx="182">
                  <c:v>10.110099999999999</c:v>
                </c:pt>
                <c:pt idx="183">
                  <c:v>10.165649999999999</c:v>
                </c:pt>
                <c:pt idx="184">
                  <c:v>10.2212</c:v>
                </c:pt>
                <c:pt idx="185">
                  <c:v>10.27675</c:v>
                </c:pt>
                <c:pt idx="186">
                  <c:v>10.3323</c:v>
                </c:pt>
                <c:pt idx="187">
                  <c:v>10.38785</c:v>
                </c:pt>
                <c:pt idx="188">
                  <c:v>10.4434</c:v>
                </c:pt>
                <c:pt idx="189">
                  <c:v>10.498950000000001</c:v>
                </c:pt>
                <c:pt idx="190">
                  <c:v>10.554500000000001</c:v>
                </c:pt>
                <c:pt idx="191">
                  <c:v>10.610049999999999</c:v>
                </c:pt>
                <c:pt idx="192">
                  <c:v>10.6656</c:v>
                </c:pt>
                <c:pt idx="193">
                  <c:v>10.72115</c:v>
                </c:pt>
                <c:pt idx="194">
                  <c:v>10.7767</c:v>
                </c:pt>
                <c:pt idx="195">
                  <c:v>10.83225</c:v>
                </c:pt>
                <c:pt idx="196">
                  <c:v>10.8878</c:v>
                </c:pt>
                <c:pt idx="197">
                  <c:v>10.943350000000001</c:v>
                </c:pt>
                <c:pt idx="198">
                  <c:v>10.998900000000001</c:v>
                </c:pt>
                <c:pt idx="199">
                  <c:v>11.054449999999999</c:v>
                </c:pt>
                <c:pt idx="200">
                  <c:v>11.11</c:v>
                </c:pt>
                <c:pt idx="201">
                  <c:v>11.16555</c:v>
                </c:pt>
                <c:pt idx="202">
                  <c:v>11.2211</c:v>
                </c:pt>
                <c:pt idx="203">
                  <c:v>11.27665</c:v>
                </c:pt>
                <c:pt idx="204">
                  <c:v>11.3322</c:v>
                </c:pt>
                <c:pt idx="205">
                  <c:v>11.38775</c:v>
                </c:pt>
                <c:pt idx="206">
                  <c:v>11.443300000000001</c:v>
                </c:pt>
                <c:pt idx="207">
                  <c:v>11.498849999999999</c:v>
                </c:pt>
                <c:pt idx="208">
                  <c:v>11.554399999999999</c:v>
                </c:pt>
                <c:pt idx="209">
                  <c:v>11.60995</c:v>
                </c:pt>
                <c:pt idx="210">
                  <c:v>11.6655</c:v>
                </c:pt>
                <c:pt idx="211">
                  <c:v>11.72105</c:v>
                </c:pt>
                <c:pt idx="212">
                  <c:v>11.7766</c:v>
                </c:pt>
                <c:pt idx="213">
                  <c:v>11.83215</c:v>
                </c:pt>
                <c:pt idx="214">
                  <c:v>11.887700000000001</c:v>
                </c:pt>
                <c:pt idx="215">
                  <c:v>11.943250000000001</c:v>
                </c:pt>
                <c:pt idx="216">
                  <c:v>11.998799999999999</c:v>
                </c:pt>
                <c:pt idx="217">
                  <c:v>12.054349999999999</c:v>
                </c:pt>
                <c:pt idx="218">
                  <c:v>12.1099</c:v>
                </c:pt>
                <c:pt idx="219">
                  <c:v>12.16545</c:v>
                </c:pt>
                <c:pt idx="220">
                  <c:v>12.221</c:v>
                </c:pt>
                <c:pt idx="221">
                  <c:v>12.27655</c:v>
                </c:pt>
                <c:pt idx="222">
                  <c:v>12.332100000000001</c:v>
                </c:pt>
                <c:pt idx="223">
                  <c:v>12.387650000000001</c:v>
                </c:pt>
                <c:pt idx="224">
                  <c:v>12.443199999999999</c:v>
                </c:pt>
                <c:pt idx="225">
                  <c:v>12.498749999999999</c:v>
                </c:pt>
                <c:pt idx="226">
                  <c:v>12.5543</c:v>
                </c:pt>
                <c:pt idx="227">
                  <c:v>12.60985</c:v>
                </c:pt>
                <c:pt idx="228">
                  <c:v>12.6654</c:v>
                </c:pt>
                <c:pt idx="229">
                  <c:v>12.72095</c:v>
                </c:pt>
                <c:pt idx="230">
                  <c:v>12.7765</c:v>
                </c:pt>
                <c:pt idx="231">
                  <c:v>12.832050000000001</c:v>
                </c:pt>
                <c:pt idx="232">
                  <c:v>12.887600000000001</c:v>
                </c:pt>
                <c:pt idx="233">
                  <c:v>12.943149999999999</c:v>
                </c:pt>
                <c:pt idx="234">
                  <c:v>12.998699999999999</c:v>
                </c:pt>
                <c:pt idx="235">
                  <c:v>13.05425</c:v>
                </c:pt>
                <c:pt idx="236">
                  <c:v>13.1098</c:v>
                </c:pt>
                <c:pt idx="237">
                  <c:v>13.16535</c:v>
                </c:pt>
                <c:pt idx="238">
                  <c:v>13.2209</c:v>
                </c:pt>
                <c:pt idx="239">
                  <c:v>13.276450000000001</c:v>
                </c:pt>
                <c:pt idx="240">
                  <c:v>13.332000000000001</c:v>
                </c:pt>
                <c:pt idx="241">
                  <c:v>13.387549999999999</c:v>
                </c:pt>
                <c:pt idx="242">
                  <c:v>13.443099999999999</c:v>
                </c:pt>
                <c:pt idx="243">
                  <c:v>13.49865</c:v>
                </c:pt>
                <c:pt idx="244">
                  <c:v>13.5542</c:v>
                </c:pt>
                <c:pt idx="245">
                  <c:v>13.60975</c:v>
                </c:pt>
                <c:pt idx="246">
                  <c:v>13.6653</c:v>
                </c:pt>
                <c:pt idx="247">
                  <c:v>13.72085</c:v>
                </c:pt>
                <c:pt idx="248">
                  <c:v>13.776400000000001</c:v>
                </c:pt>
                <c:pt idx="249">
                  <c:v>13.831950000000001</c:v>
                </c:pt>
                <c:pt idx="250">
                  <c:v>13.887499999999999</c:v>
                </c:pt>
                <c:pt idx="251">
                  <c:v>13.943049999999999</c:v>
                </c:pt>
                <c:pt idx="252">
                  <c:v>13.9986</c:v>
                </c:pt>
                <c:pt idx="253">
                  <c:v>14.05415</c:v>
                </c:pt>
                <c:pt idx="254">
                  <c:v>14.1097</c:v>
                </c:pt>
                <c:pt idx="255">
                  <c:v>14.16525</c:v>
                </c:pt>
                <c:pt idx="256">
                  <c:v>14.220800000000001</c:v>
                </c:pt>
                <c:pt idx="257">
                  <c:v>14.276350000000001</c:v>
                </c:pt>
                <c:pt idx="258">
                  <c:v>14.331899999999999</c:v>
                </c:pt>
                <c:pt idx="259">
                  <c:v>14.387449999999999</c:v>
                </c:pt>
                <c:pt idx="260">
                  <c:v>14.443</c:v>
                </c:pt>
                <c:pt idx="261">
                  <c:v>14.49855</c:v>
                </c:pt>
                <c:pt idx="262">
                  <c:v>14.5541</c:v>
                </c:pt>
                <c:pt idx="263">
                  <c:v>14.60965</c:v>
                </c:pt>
                <c:pt idx="264">
                  <c:v>14.6652</c:v>
                </c:pt>
                <c:pt idx="265">
                  <c:v>14.720750000000001</c:v>
                </c:pt>
                <c:pt idx="266">
                  <c:v>14.776300000000001</c:v>
                </c:pt>
                <c:pt idx="267">
                  <c:v>14.831849999999999</c:v>
                </c:pt>
                <c:pt idx="268">
                  <c:v>14.8874</c:v>
                </c:pt>
                <c:pt idx="269">
                  <c:v>14.94295</c:v>
                </c:pt>
                <c:pt idx="270">
                  <c:v>14.9985</c:v>
                </c:pt>
                <c:pt idx="271">
                  <c:v>15.05405</c:v>
                </c:pt>
                <c:pt idx="272">
                  <c:v>15.1096</c:v>
                </c:pt>
                <c:pt idx="273">
                  <c:v>15.165150000000001</c:v>
                </c:pt>
                <c:pt idx="274">
                  <c:v>15.220700000000001</c:v>
                </c:pt>
                <c:pt idx="275">
                  <c:v>15.276249999999999</c:v>
                </c:pt>
                <c:pt idx="276">
                  <c:v>15.331799999999999</c:v>
                </c:pt>
                <c:pt idx="277">
                  <c:v>15.38735</c:v>
                </c:pt>
                <c:pt idx="278">
                  <c:v>15.4429</c:v>
                </c:pt>
                <c:pt idx="279">
                  <c:v>15.49845</c:v>
                </c:pt>
                <c:pt idx="280">
                  <c:v>15.554</c:v>
                </c:pt>
                <c:pt idx="281">
                  <c:v>15.60955</c:v>
                </c:pt>
                <c:pt idx="282">
                  <c:v>15.665100000000001</c:v>
                </c:pt>
                <c:pt idx="283">
                  <c:v>15.720649999999999</c:v>
                </c:pt>
                <c:pt idx="284">
                  <c:v>15.776199999999999</c:v>
                </c:pt>
                <c:pt idx="285">
                  <c:v>15.83175</c:v>
                </c:pt>
                <c:pt idx="286">
                  <c:v>15.8873</c:v>
                </c:pt>
                <c:pt idx="287">
                  <c:v>15.94285</c:v>
                </c:pt>
                <c:pt idx="288">
                  <c:v>15.9984</c:v>
                </c:pt>
                <c:pt idx="289">
                  <c:v>16.05395</c:v>
                </c:pt>
                <c:pt idx="290">
                  <c:v>16.109500000000001</c:v>
                </c:pt>
                <c:pt idx="291">
                  <c:v>16.165050000000001</c:v>
                </c:pt>
                <c:pt idx="292">
                  <c:v>16.220600000000001</c:v>
                </c:pt>
                <c:pt idx="293">
                  <c:v>16.276150000000001</c:v>
                </c:pt>
                <c:pt idx="294">
                  <c:v>16.331700000000001</c:v>
                </c:pt>
                <c:pt idx="295">
                  <c:v>16.387250000000002</c:v>
                </c:pt>
                <c:pt idx="296">
                  <c:v>16.442799999999998</c:v>
                </c:pt>
                <c:pt idx="297">
                  <c:v>16.498349999999999</c:v>
                </c:pt>
                <c:pt idx="298">
                  <c:v>16.553899999999999</c:v>
                </c:pt>
                <c:pt idx="299">
                  <c:v>16.609449999999999</c:v>
                </c:pt>
                <c:pt idx="300">
                  <c:v>16.664999999999999</c:v>
                </c:pt>
                <c:pt idx="301">
                  <c:v>16.720549999999999</c:v>
                </c:pt>
                <c:pt idx="302">
                  <c:v>16.7761</c:v>
                </c:pt>
                <c:pt idx="303">
                  <c:v>16.83165</c:v>
                </c:pt>
                <c:pt idx="304">
                  <c:v>16.8872</c:v>
                </c:pt>
                <c:pt idx="305">
                  <c:v>16.94275</c:v>
                </c:pt>
                <c:pt idx="306">
                  <c:v>16.9983</c:v>
                </c:pt>
                <c:pt idx="307">
                  <c:v>17.053850000000001</c:v>
                </c:pt>
                <c:pt idx="308">
                  <c:v>17.109400000000001</c:v>
                </c:pt>
                <c:pt idx="309">
                  <c:v>17.164950000000001</c:v>
                </c:pt>
                <c:pt idx="310">
                  <c:v>17.220500000000001</c:v>
                </c:pt>
                <c:pt idx="311">
                  <c:v>17.276050000000001</c:v>
                </c:pt>
                <c:pt idx="312">
                  <c:v>17.331600000000002</c:v>
                </c:pt>
                <c:pt idx="313">
                  <c:v>17.387149999999998</c:v>
                </c:pt>
                <c:pt idx="314">
                  <c:v>17.442699999999999</c:v>
                </c:pt>
                <c:pt idx="315">
                  <c:v>17.498249999999999</c:v>
                </c:pt>
                <c:pt idx="316">
                  <c:v>17.553799999999999</c:v>
                </c:pt>
                <c:pt idx="317">
                  <c:v>17.609349999999999</c:v>
                </c:pt>
                <c:pt idx="318">
                  <c:v>17.664899999999999</c:v>
                </c:pt>
                <c:pt idx="319">
                  <c:v>17.72045</c:v>
                </c:pt>
                <c:pt idx="320">
                  <c:v>17.776</c:v>
                </c:pt>
                <c:pt idx="321">
                  <c:v>17.83155</c:v>
                </c:pt>
                <c:pt idx="322">
                  <c:v>17.8871</c:v>
                </c:pt>
                <c:pt idx="323">
                  <c:v>17.94265</c:v>
                </c:pt>
                <c:pt idx="324">
                  <c:v>17.998200000000001</c:v>
                </c:pt>
                <c:pt idx="325">
                  <c:v>18.053750000000001</c:v>
                </c:pt>
                <c:pt idx="326">
                  <c:v>18.109300000000001</c:v>
                </c:pt>
                <c:pt idx="327">
                  <c:v>18.164850000000001</c:v>
                </c:pt>
                <c:pt idx="328">
                  <c:v>18.220400000000001</c:v>
                </c:pt>
                <c:pt idx="329">
                  <c:v>18.275950000000002</c:v>
                </c:pt>
                <c:pt idx="330">
                  <c:v>18.331499999999998</c:v>
                </c:pt>
                <c:pt idx="331">
                  <c:v>18.387049999999999</c:v>
                </c:pt>
                <c:pt idx="332">
                  <c:v>18.442599999999999</c:v>
                </c:pt>
                <c:pt idx="333">
                  <c:v>18.498149999999999</c:v>
                </c:pt>
                <c:pt idx="334">
                  <c:v>18.553699999999999</c:v>
                </c:pt>
                <c:pt idx="335">
                  <c:v>18.609249999999999</c:v>
                </c:pt>
                <c:pt idx="336">
                  <c:v>18.6648</c:v>
                </c:pt>
                <c:pt idx="337">
                  <c:v>18.72035</c:v>
                </c:pt>
                <c:pt idx="338">
                  <c:v>18.7759</c:v>
                </c:pt>
                <c:pt idx="339">
                  <c:v>18.83145</c:v>
                </c:pt>
                <c:pt idx="340">
                  <c:v>18.887</c:v>
                </c:pt>
                <c:pt idx="341">
                  <c:v>18.942550000000001</c:v>
                </c:pt>
                <c:pt idx="342">
                  <c:v>18.998100000000001</c:v>
                </c:pt>
                <c:pt idx="343">
                  <c:v>19.053650000000001</c:v>
                </c:pt>
                <c:pt idx="344">
                  <c:v>19.109200000000001</c:v>
                </c:pt>
                <c:pt idx="345">
                  <c:v>19.164750000000002</c:v>
                </c:pt>
                <c:pt idx="346">
                  <c:v>19.220300000000002</c:v>
                </c:pt>
                <c:pt idx="347">
                  <c:v>19.275849999999998</c:v>
                </c:pt>
                <c:pt idx="348">
                  <c:v>19.331399999999999</c:v>
                </c:pt>
                <c:pt idx="349">
                  <c:v>19.386949999999999</c:v>
                </c:pt>
                <c:pt idx="350">
                  <c:v>19.442499999999999</c:v>
                </c:pt>
                <c:pt idx="351">
                  <c:v>19.498049999999999</c:v>
                </c:pt>
                <c:pt idx="352">
                  <c:v>19.553599999999999</c:v>
                </c:pt>
                <c:pt idx="353">
                  <c:v>19.60915</c:v>
                </c:pt>
                <c:pt idx="354">
                  <c:v>19.6647</c:v>
                </c:pt>
                <c:pt idx="355">
                  <c:v>19.72025</c:v>
                </c:pt>
                <c:pt idx="356">
                  <c:v>19.7758</c:v>
                </c:pt>
                <c:pt idx="357">
                  <c:v>19.83135</c:v>
                </c:pt>
                <c:pt idx="358">
                  <c:v>19.886900000000001</c:v>
                </c:pt>
                <c:pt idx="359">
                  <c:v>19.942450000000001</c:v>
                </c:pt>
                <c:pt idx="360">
                  <c:v>19.998000000000001</c:v>
                </c:pt>
                <c:pt idx="361">
                  <c:v>20.053550000000001</c:v>
                </c:pt>
                <c:pt idx="362">
                  <c:v>20.109100000000002</c:v>
                </c:pt>
                <c:pt idx="363">
                  <c:v>20.164650000000002</c:v>
                </c:pt>
                <c:pt idx="364">
                  <c:v>20.220199999999998</c:v>
                </c:pt>
                <c:pt idx="365">
                  <c:v>20.275749999999999</c:v>
                </c:pt>
                <c:pt idx="366">
                  <c:v>20.331299999999999</c:v>
                </c:pt>
                <c:pt idx="367">
                  <c:v>20.386849999999999</c:v>
                </c:pt>
                <c:pt idx="368">
                  <c:v>20.442399999999999</c:v>
                </c:pt>
                <c:pt idx="369">
                  <c:v>20.497949999999999</c:v>
                </c:pt>
                <c:pt idx="370">
                  <c:v>20.5535</c:v>
                </c:pt>
                <c:pt idx="371">
                  <c:v>20.60905</c:v>
                </c:pt>
                <c:pt idx="372">
                  <c:v>20.6646</c:v>
                </c:pt>
                <c:pt idx="373">
                  <c:v>20.72015</c:v>
                </c:pt>
                <c:pt idx="374">
                  <c:v>20.775700000000001</c:v>
                </c:pt>
                <c:pt idx="375">
                  <c:v>20.831250000000001</c:v>
                </c:pt>
                <c:pt idx="376">
                  <c:v>20.886800000000001</c:v>
                </c:pt>
                <c:pt idx="377">
                  <c:v>20.942350000000001</c:v>
                </c:pt>
                <c:pt idx="378">
                  <c:v>20.997900000000001</c:v>
                </c:pt>
                <c:pt idx="379">
                  <c:v>21.053450000000002</c:v>
                </c:pt>
                <c:pt idx="380">
                  <c:v>21.109000000000002</c:v>
                </c:pt>
                <c:pt idx="381">
                  <c:v>21.164549999999998</c:v>
                </c:pt>
                <c:pt idx="382">
                  <c:v>21.220099999999999</c:v>
                </c:pt>
                <c:pt idx="383">
                  <c:v>21.275649999999999</c:v>
                </c:pt>
                <c:pt idx="384">
                  <c:v>21.331199999999999</c:v>
                </c:pt>
                <c:pt idx="385">
                  <c:v>21.386749999999999</c:v>
                </c:pt>
                <c:pt idx="386">
                  <c:v>21.442299999999999</c:v>
                </c:pt>
                <c:pt idx="387">
                  <c:v>21.49785</c:v>
                </c:pt>
                <c:pt idx="388">
                  <c:v>21.5534</c:v>
                </c:pt>
                <c:pt idx="389">
                  <c:v>21.60895</c:v>
                </c:pt>
                <c:pt idx="390">
                  <c:v>21.6645</c:v>
                </c:pt>
                <c:pt idx="391">
                  <c:v>21.720050000000001</c:v>
                </c:pt>
                <c:pt idx="392">
                  <c:v>21.775600000000001</c:v>
                </c:pt>
                <c:pt idx="393">
                  <c:v>21.831150000000001</c:v>
                </c:pt>
                <c:pt idx="394">
                  <c:v>21.886700000000001</c:v>
                </c:pt>
                <c:pt idx="395">
                  <c:v>21.942250000000001</c:v>
                </c:pt>
                <c:pt idx="396">
                  <c:v>21.997800000000002</c:v>
                </c:pt>
                <c:pt idx="397">
                  <c:v>22.053349999999998</c:v>
                </c:pt>
                <c:pt idx="398">
                  <c:v>22.108899999999998</c:v>
                </c:pt>
                <c:pt idx="399">
                  <c:v>22.164449999999999</c:v>
                </c:pt>
                <c:pt idx="400">
                  <c:v>22.22</c:v>
                </c:pt>
                <c:pt idx="401">
                  <c:v>22.275549999999999</c:v>
                </c:pt>
                <c:pt idx="402">
                  <c:v>22.331099999999999</c:v>
                </c:pt>
                <c:pt idx="403">
                  <c:v>22.386649999999999</c:v>
                </c:pt>
                <c:pt idx="404">
                  <c:v>22.4422</c:v>
                </c:pt>
                <c:pt idx="405">
                  <c:v>22.49775</c:v>
                </c:pt>
                <c:pt idx="406">
                  <c:v>22.5533</c:v>
                </c:pt>
                <c:pt idx="407">
                  <c:v>22.60885</c:v>
                </c:pt>
                <c:pt idx="408">
                  <c:v>22.664400000000001</c:v>
                </c:pt>
                <c:pt idx="409">
                  <c:v>22.719950000000001</c:v>
                </c:pt>
                <c:pt idx="410">
                  <c:v>22.775500000000001</c:v>
                </c:pt>
                <c:pt idx="411">
                  <c:v>22.831050000000001</c:v>
                </c:pt>
                <c:pt idx="412">
                  <c:v>22.886600000000001</c:v>
                </c:pt>
                <c:pt idx="413">
                  <c:v>22.942150000000002</c:v>
                </c:pt>
                <c:pt idx="414">
                  <c:v>22.997699999999998</c:v>
                </c:pt>
                <c:pt idx="415">
                  <c:v>23.053249999999998</c:v>
                </c:pt>
                <c:pt idx="416">
                  <c:v>23.108799999999999</c:v>
                </c:pt>
                <c:pt idx="417">
                  <c:v>23.164349999999999</c:v>
                </c:pt>
                <c:pt idx="418">
                  <c:v>23.219899999999999</c:v>
                </c:pt>
              </c:numCache>
            </c:numRef>
          </c:cat>
          <c:val>
            <c:numRef>
              <c:f>'15-10-2021'!$AV$2:$AV$420</c:f>
              <c:numCache>
                <c:formatCode>General</c:formatCode>
                <c:ptCount val="419"/>
                <c:pt idx="18" formatCode="0.00">
                  <c:v>1.7315302058036667E-2</c:v>
                </c:pt>
                <c:pt idx="19" formatCode="0.00">
                  <c:v>7.4114163318835011E-2</c:v>
                </c:pt>
                <c:pt idx="20" formatCode="0.00">
                  <c:v>0.18144334372014179</c:v>
                </c:pt>
                <c:pt idx="21" formatCode="0.00">
                  <c:v>0.43450500678369947</c:v>
                </c:pt>
                <c:pt idx="22" formatCode="0.00">
                  <c:v>0.69432864651084969</c:v>
                </c:pt>
                <c:pt idx="23" formatCode="0.00">
                  <c:v>0.97630295389205368</c:v>
                </c:pt>
                <c:pt idx="24" formatCode="0.00">
                  <c:v>1.3465779660877972</c:v>
                </c:pt>
                <c:pt idx="25" formatCode="0.00">
                  <c:v>1.9343925035238831</c:v>
                </c:pt>
                <c:pt idx="26" formatCode="0.00">
                  <c:v>2.6156902491402718</c:v>
                </c:pt>
                <c:pt idx="27" formatCode="0.00">
                  <c:v>3.3135129589276957</c:v>
                </c:pt>
                <c:pt idx="28" formatCode="0.00">
                  <c:v>4.0378419225282496</c:v>
                </c:pt>
                <c:pt idx="29" formatCode="0.00">
                  <c:v>4.888070910811666</c:v>
                </c:pt>
                <c:pt idx="30" formatCode="0.00">
                  <c:v>5.3035072197952937</c:v>
                </c:pt>
                <c:pt idx="31" formatCode="0.00">
                  <c:v>4.9520037800981633</c:v>
                </c:pt>
                <c:pt idx="32" formatCode="0.00">
                  <c:v>5.1191419714613584</c:v>
                </c:pt>
                <c:pt idx="33" formatCode="0.00">
                  <c:v>5.785920082979632</c:v>
                </c:pt>
                <c:pt idx="34" formatCode="0.00">
                  <c:v>6.5324565100876439</c:v>
                </c:pt>
                <c:pt idx="35" formatCode="0.00">
                  <c:v>6.9417309007881549</c:v>
                </c:pt>
                <c:pt idx="36" formatCode="0.00">
                  <c:v>7.3720924741307092</c:v>
                </c:pt>
                <c:pt idx="37" formatCode="0.00">
                  <c:v>7.6017830801797084</c:v>
                </c:pt>
                <c:pt idx="38" formatCode="0.00">
                  <c:v>7.806009090661596</c:v>
                </c:pt>
                <c:pt idx="39" formatCode="0.00">
                  <c:v>7.8819668628848252</c:v>
                </c:pt>
                <c:pt idx="40" formatCode="0.00">
                  <c:v>8.0985315680613947</c:v>
                </c:pt>
                <c:pt idx="41" formatCode="0.00">
                  <c:v>8.2897573403938853</c:v>
                </c:pt>
                <c:pt idx="42" formatCode="0.00">
                  <c:v>8.6963671906412507</c:v>
                </c:pt>
                <c:pt idx="43" formatCode="0.00">
                  <c:v>8.595279217515948</c:v>
                </c:pt>
                <c:pt idx="44" formatCode="0.00">
                  <c:v>8.9392667668915493</c:v>
                </c:pt>
                <c:pt idx="45" formatCode="0.00">
                  <c:v>9.3905586066977911</c:v>
                </c:pt>
                <c:pt idx="46" formatCode="0.00">
                  <c:v>9.5662880883501913</c:v>
                </c:pt>
                <c:pt idx="47" formatCode="0.00">
                  <c:v>10.092186576769389</c:v>
                </c:pt>
                <c:pt idx="48" formatCode="0.00">
                  <c:v>10.553606003339771</c:v>
                </c:pt>
                <c:pt idx="49" formatCode="0.00">
                  <c:v>10.505341824865299</c:v>
                </c:pt>
                <c:pt idx="50" formatCode="0.00">
                  <c:v>10.155127801518935</c:v>
                </c:pt>
                <c:pt idx="51" formatCode="0.00">
                  <c:v>9.2803204770716921</c:v>
                </c:pt>
                <c:pt idx="52" formatCode="0.00">
                  <c:v>9.1263308633214795</c:v>
                </c:pt>
                <c:pt idx="53" formatCode="0.00">
                  <c:v>9.3746966631465956</c:v>
                </c:pt>
                <c:pt idx="54" formatCode="0.00">
                  <c:v>9.2976386621168619</c:v>
                </c:pt>
                <c:pt idx="55" formatCode="0.00">
                  <c:v>8.8424697437312982</c:v>
                </c:pt>
                <c:pt idx="56" formatCode="0.00">
                  <c:v>8.3563870206223001</c:v>
                </c:pt>
                <c:pt idx="57" formatCode="0.00">
                  <c:v>8.2387793639923448</c:v>
                </c:pt>
                <c:pt idx="58" formatCode="0.00">
                  <c:v>16.539130289987522</c:v>
                </c:pt>
                <c:pt idx="59" formatCode="0.00">
                  <c:v>16.318030133066511</c:v>
                </c:pt>
                <c:pt idx="60" formatCode="0.00">
                  <c:v>16.944110383580696</c:v>
                </c:pt>
                <c:pt idx="61" formatCode="0.00">
                  <c:v>16.996576247833726</c:v>
                </c:pt>
                <c:pt idx="62" formatCode="0.00">
                  <c:v>16.87400039676</c:v>
                </c:pt>
                <c:pt idx="63" formatCode="0.00">
                  <c:v>16.920988242996859</c:v>
                </c:pt>
                <c:pt idx="64" formatCode="0.00">
                  <c:v>16.888592912973724</c:v>
                </c:pt>
                <c:pt idx="65" formatCode="0.00">
                  <c:v>16.949716735082326</c:v>
                </c:pt>
                <c:pt idx="66" formatCode="0.00">
                  <c:v>16.824166997299997</c:v>
                </c:pt>
                <c:pt idx="67" formatCode="0.00">
                  <c:v>16.596666336033334</c:v>
                </c:pt>
                <c:pt idx="68" formatCode="0.00">
                  <c:v>16.4932999229875</c:v>
                </c:pt>
                <c:pt idx="69" formatCode="0.00">
                  <c:v>16.104222549832443</c:v>
                </c:pt>
                <c:pt idx="70" formatCode="0.00">
                  <c:v>15.433988355006337</c:v>
                </c:pt>
                <c:pt idx="71" formatCode="0.00">
                  <c:v>14.846284573835835</c:v>
                </c:pt>
                <c:pt idx="72" formatCode="0.00">
                  <c:v>14.188521189794653</c:v>
                </c:pt>
                <c:pt idx="73" formatCode="0.00">
                  <c:v>13.671560673808074</c:v>
                </c:pt>
                <c:pt idx="74" formatCode="0.00">
                  <c:v>13.772221243388536</c:v>
                </c:pt>
                <c:pt idx="75" formatCode="0.00">
                  <c:v>13.619317746239574</c:v>
                </c:pt>
                <c:pt idx="76" formatCode="0.00">
                  <c:v>9.0486834708275872</c:v>
                </c:pt>
                <c:pt idx="77" formatCode="0.00">
                  <c:v>2.4696825345307003</c:v>
                </c:pt>
                <c:pt idx="78" formatCode="0.00">
                  <c:v>2.3674083646299997</c:v>
                </c:pt>
                <c:pt idx="79" formatCode="0.00">
                  <c:v>2.6382898355748594</c:v>
                </c:pt>
                <c:pt idx="80" formatCode="0.00">
                  <c:v>2.5612510567202373</c:v>
                </c:pt>
                <c:pt idx="81" formatCode="0.00">
                  <c:v>2.5221737238939013</c:v>
                </c:pt>
                <c:pt idx="82" formatCode="0.00">
                  <c:v>2.5184084940904494</c:v>
                </c:pt>
                <c:pt idx="83" formatCode="0.00">
                  <c:v>2.4793892851929837</c:v>
                </c:pt>
                <c:pt idx="84" formatCode="0.00">
                  <c:v>2.5574274902777181</c:v>
                </c:pt>
                <c:pt idx="85" formatCode="0.00">
                  <c:v>2.8236808295036524</c:v>
                </c:pt>
                <c:pt idx="86" formatCode="0.00">
                  <c:v>3.1232424434184671</c:v>
                </c:pt>
                <c:pt idx="87" formatCode="0.00">
                  <c:v>3.0613324160071325</c:v>
                </c:pt>
                <c:pt idx="88" formatCode="0.00">
                  <c:v>4.3443679048920654</c:v>
                </c:pt>
                <c:pt idx="89" formatCode="0.00">
                  <c:v>8.2427856155659356</c:v>
                </c:pt>
                <c:pt idx="90" formatCode="0.00">
                  <c:v>14.531964971103761</c:v>
                </c:pt>
                <c:pt idx="91" formatCode="0.00">
                  <c:v>16.000000635833334</c:v>
                </c:pt>
                <c:pt idx="92" formatCode="0.00">
                  <c:v>16.538683061959652</c:v>
                </c:pt>
                <c:pt idx="93" formatCode="0.00">
                  <c:v>16.483681158712596</c:v>
                </c:pt>
                <c:pt idx="94" formatCode="0.00">
                  <c:v>16.538683061959652</c:v>
                </c:pt>
                <c:pt idx="95" formatCode="0.00">
                  <c:v>16.596666336033334</c:v>
                </c:pt>
                <c:pt idx="96" formatCode="0.00">
                  <c:v>16.672499338733335</c:v>
                </c:pt>
                <c:pt idx="97" formatCode="0.00">
                  <c:v>16.672499338733335</c:v>
                </c:pt>
                <c:pt idx="98" formatCode="0.00">
                  <c:v>16.76583372755</c:v>
                </c:pt>
                <c:pt idx="99" formatCode="0.00">
                  <c:v>16.899999999999999</c:v>
                </c:pt>
                <c:pt idx="100" formatCode="0.00">
                  <c:v>16.84540023816</c:v>
                </c:pt>
                <c:pt idx="101" formatCode="0.00">
                  <c:v>16.964182565636275</c:v>
                </c:pt>
                <c:pt idx="102" formatCode="0.00">
                  <c:v>16.996576247833726</c:v>
                </c:pt>
                <c:pt idx="103" formatCode="0.00">
                  <c:v>17.013470971039478</c:v>
                </c:pt>
                <c:pt idx="104" formatCode="0.00">
                  <c:v>17.088942311497501</c:v>
                </c:pt>
                <c:pt idx="105" formatCode="0.00">
                  <c:v>17.239884992413543</c:v>
                </c:pt>
                <c:pt idx="106" formatCode="0.00">
                  <c:v>17.272230322690522</c:v>
                </c:pt>
                <c:pt idx="107" formatCode="0.00">
                  <c:v>17.277826061172501</c:v>
                </c:pt>
                <c:pt idx="108" formatCode="0.00">
                  <c:v>17.396241725540975</c:v>
                </c:pt>
                <c:pt idx="109" formatCode="0.00">
                  <c:v>17.428535413333197</c:v>
                </c:pt>
                <c:pt idx="110" formatCode="0.00">
                  <c:v>17.517065506106668</c:v>
                </c:pt>
                <c:pt idx="111" formatCode="0.00">
                  <c:v>17.522089579837751</c:v>
                </c:pt>
                <c:pt idx="112" formatCode="0.00">
                  <c:v>17.592291839801092</c:v>
                </c:pt>
                <c:pt idx="113" formatCode="0.00">
                  <c:v>17.667518173495512</c:v>
                </c:pt>
                <c:pt idx="114" formatCode="0.00">
                  <c:v>17.672308918468914</c:v>
                </c:pt>
                <c:pt idx="115" formatCode="0.00">
                  <c:v>17.790339568391918</c:v>
                </c:pt>
                <c:pt idx="116" formatCode="0.00">
                  <c:v>17.834926185480001</c:v>
                </c:pt>
                <c:pt idx="117" formatCode="0.00">
                  <c:v>17.940558907023082</c:v>
                </c:pt>
                <c:pt idx="118" formatCode="0.00">
                  <c:v>17.942042859266664</c:v>
                </c:pt>
                <c:pt idx="119" formatCode="0.00">
                  <c:v>18.092005548727823</c:v>
                </c:pt>
                <c:pt idx="120" formatCode="0.00">
                  <c:v>18.124140877783912</c:v>
                </c:pt>
                <c:pt idx="121" formatCode="0.00">
                  <c:v>18.19912222251449</c:v>
                </c:pt>
                <c:pt idx="122" formatCode="0.00">
                  <c:v>18.31695121752</c:v>
                </c:pt>
                <c:pt idx="123" formatCode="0.00">
                  <c:v>18.288449478164999</c:v>
                </c:pt>
                <c:pt idx="124" formatCode="0.00">
                  <c:v>18.363314149617441</c:v>
                </c:pt>
                <c:pt idx="125" formatCode="0.00">
                  <c:v>18.395399475113333</c:v>
                </c:pt>
                <c:pt idx="126" formatCode="0.00">
                  <c:v>18.513045124579278</c:v>
                </c:pt>
                <c:pt idx="127" formatCode="0.00">
                  <c:v>18.513338642847291</c:v>
                </c:pt>
                <c:pt idx="128" formatCode="0.00">
                  <c:v>18.620105305445627</c:v>
                </c:pt>
                <c:pt idx="129" formatCode="0.00">
                  <c:v>18.694843272671871</c:v>
                </c:pt>
                <c:pt idx="130" formatCode="0.00">
                  <c:v>18.70829973207</c:v>
                </c:pt>
                <c:pt idx="131" formatCode="0.00">
                  <c:v>18.812285623974478</c:v>
                </c:pt>
                <c:pt idx="132" formatCode="0.00">
                  <c:v>18.857539079246276</c:v>
                </c:pt>
                <c:pt idx="133" formatCode="0.00">
                  <c:v>18.964139077719611</c:v>
                </c:pt>
                <c:pt idx="134" formatCode="0.00">
                  <c:v>19.006016861994652</c:v>
                </c:pt>
                <c:pt idx="135" formatCode="0.00">
                  <c:v>19.093124675725001</c:v>
                </c:pt>
                <c:pt idx="136" formatCode="0.00">
                  <c:v>19.243516480494652</c:v>
                </c:pt>
                <c:pt idx="137" formatCode="0.00">
                  <c:v>19.31615963205039</c:v>
                </c:pt>
                <c:pt idx="138" formatCode="0.00">
                  <c:v>19.400089714373255</c:v>
                </c:pt>
                <c:pt idx="139" formatCode="0.00">
                  <c:v>19.485377548933137</c:v>
                </c:pt>
                <c:pt idx="140" formatCode="0.00">
                  <c:v>19.451480204393008</c:v>
                </c:pt>
                <c:pt idx="141" formatCode="0.00">
                  <c:v>19.533554088248678</c:v>
                </c:pt>
                <c:pt idx="142" formatCode="0.00">
                  <c:v>19.460630271376463</c:v>
                </c:pt>
                <c:pt idx="143" formatCode="0.00">
                  <c:v>19.479166666666668</c:v>
                </c:pt>
                <c:pt idx="144" formatCode="0.00">
                  <c:v>19.621350288539997</c:v>
                </c:pt>
                <c:pt idx="145" formatCode="0.00">
                  <c:v>19.669013336296512</c:v>
                </c:pt>
                <c:pt idx="146" formatCode="0.00">
                  <c:v>19.567626763325382</c:v>
                </c:pt>
                <c:pt idx="147" formatCode="0.00">
                  <c:v>19.644708089809168</c:v>
                </c:pt>
                <c:pt idx="148" formatCode="0.00">
                  <c:v>19.549942631767074</c:v>
                </c:pt>
                <c:pt idx="149" formatCode="0.00">
                  <c:v>19.522496436760143</c:v>
                </c:pt>
                <c:pt idx="150" formatCode="0.00">
                  <c:v>19.083775218562639</c:v>
                </c:pt>
                <c:pt idx="151" formatCode="0.00">
                  <c:v>18.608835936596744</c:v>
                </c:pt>
                <c:pt idx="152" formatCode="0.00">
                  <c:v>18.186384385313335</c:v>
                </c:pt>
                <c:pt idx="153" formatCode="0.00">
                  <c:v>17.657599961341319</c:v>
                </c:pt>
                <c:pt idx="154" formatCode="0.00">
                  <c:v>17.00288013292985</c:v>
                </c:pt>
                <c:pt idx="155" formatCode="0.00">
                  <c:v>16.4354751014125</c:v>
                </c:pt>
                <c:pt idx="156" formatCode="0.00">
                  <c:v>15.817525470874426</c:v>
                </c:pt>
                <c:pt idx="157" formatCode="0.00">
                  <c:v>15.151207872990001</c:v>
                </c:pt>
                <c:pt idx="158" formatCode="0.00">
                  <c:v>14.481308809063837</c:v>
                </c:pt>
                <c:pt idx="159" formatCode="0.00">
                  <c:v>13.797060621659073</c:v>
                </c:pt>
                <c:pt idx="160" formatCode="0.00">
                  <c:v>13.155953883168138</c:v>
                </c:pt>
                <c:pt idx="161" formatCode="0.00">
                  <c:v>12.462289773372095</c:v>
                </c:pt>
                <c:pt idx="162" formatCode="0.00">
                  <c:v>11.872599562673837</c:v>
                </c:pt>
                <c:pt idx="163" formatCode="0.00">
                  <c:v>11.175916353700002</c:v>
                </c:pt>
                <c:pt idx="164" formatCode="0.00">
                  <c:v>10.603834293450408</c:v>
                </c:pt>
                <c:pt idx="165" formatCode="0.00">
                  <c:v>9.9254164059749996</c:v>
                </c:pt>
                <c:pt idx="166" formatCode="0.00">
                  <c:v>9.4187194328381434</c:v>
                </c:pt>
                <c:pt idx="167" formatCode="0.00">
                  <c:v>8.8786402097382524</c:v>
                </c:pt>
                <c:pt idx="168" formatCode="0.00">
                  <c:v>8.3926335885116679</c:v>
                </c:pt>
                <c:pt idx="169" formatCode="0.00">
                  <c:v>7.8780835709208334</c:v>
                </c:pt>
                <c:pt idx="170" formatCode="0.00">
                  <c:v>7.3351253430666672</c:v>
                </c:pt>
                <c:pt idx="171" formatCode="0.00">
                  <c:v>6.8879500312366657</c:v>
                </c:pt>
                <c:pt idx="172" formatCode="0.00">
                  <c:v>6.416029826484535</c:v>
                </c:pt>
                <c:pt idx="173" formatCode="0.00">
                  <c:v>5.9908999204225006</c:v>
                </c:pt>
                <c:pt idx="174" formatCode="0.00">
                  <c:v>5.5938347572165696</c:v>
                </c:pt>
                <c:pt idx="175" formatCode="0.00">
                  <c:v>5.1358600980120643</c:v>
                </c:pt>
                <c:pt idx="176" formatCode="0.00">
                  <c:v>4.7732464505902019</c:v>
                </c:pt>
                <c:pt idx="177" formatCode="0.00">
                  <c:v>4.415573581745603</c:v>
                </c:pt>
                <c:pt idx="178" formatCode="0.00">
                  <c:v>4.1177530870718035</c:v>
                </c:pt>
                <c:pt idx="179" formatCode="0.00">
                  <c:v>3.7416600547447314</c:v>
                </c:pt>
                <c:pt idx="180" formatCode="0.00">
                  <c:v>3.4900433641904747</c:v>
                </c:pt>
                <c:pt idx="181" formatCode="0.00">
                  <c:v>3.2388770576074091</c:v>
                </c:pt>
                <c:pt idx="182" formatCode="0.00">
                  <c:v>2.9980714727820366</c:v>
                </c:pt>
                <c:pt idx="183" formatCode="0.00">
                  <c:v>2.7879930246467848</c:v>
                </c:pt>
                <c:pt idx="184" formatCode="0.00">
                  <c:v>2.6450374568381663</c:v>
                </c:pt>
                <c:pt idx="185" formatCode="0.00">
                  <c:v>2.4910034919879394</c:v>
                </c:pt>
                <c:pt idx="186" formatCode="0.00">
                  <c:v>2.3922682790492278</c:v>
                </c:pt>
                <c:pt idx="187" formatCode="0.00">
                  <c:v>2.2408124351450001</c:v>
                </c:pt>
                <c:pt idx="188" formatCode="0.00">
                  <c:v>2.1307930349917505</c:v>
                </c:pt>
                <c:pt idx="189" formatCode="0.00">
                  <c:v>1.9942133520600003</c:v>
                </c:pt>
                <c:pt idx="190" formatCode="0.00">
                  <c:v>1.9571135138866669</c:v>
                </c:pt>
                <c:pt idx="191" formatCode="0.00">
                  <c:v>1.836938887782162</c:v>
                </c:pt>
                <c:pt idx="192" formatCode="0.00">
                  <c:v>1.7609671205376152</c:v>
                </c:pt>
                <c:pt idx="193" formatCode="0.00">
                  <c:v>1.6932172207971912</c:v>
                </c:pt>
                <c:pt idx="194" formatCode="0.00">
                  <c:v>1.5796409395180404</c:v>
                </c:pt>
                <c:pt idx="195" formatCode="0.00">
                  <c:v>1.5040349898897316</c:v>
                </c:pt>
                <c:pt idx="196" formatCode="0.00">
                  <c:v>1.4744994580393755</c:v>
                </c:pt>
                <c:pt idx="197" formatCode="0.00">
                  <c:v>1.4034400431066667</c:v>
                </c:pt>
                <c:pt idx="198" formatCode="0.00">
                  <c:v>1.3618285559433072</c:v>
                </c:pt>
                <c:pt idx="199" formatCode="0.00">
                  <c:v>1.2882255986406921</c:v>
                </c:pt>
                <c:pt idx="200" formatCode="0.00">
                  <c:v>1.2516004003625141</c:v>
                </c:pt>
                <c:pt idx="201" formatCode="0.00">
                  <c:v>1.1793173190376254</c:v>
                </c:pt>
                <c:pt idx="202" formatCode="0.00">
                  <c:v>1.1426401204229357</c:v>
                </c:pt>
                <c:pt idx="203" formatCode="0.00">
                  <c:v>1.1113574805083</c:v>
                </c:pt>
                <c:pt idx="204" formatCode="0.00">
                  <c:v>1.0724688972261873</c:v>
                </c:pt>
                <c:pt idx="205" formatCode="0.00">
                  <c:v>1.031902738048508</c:v>
                </c:pt>
                <c:pt idx="206" formatCode="0.00">
                  <c:v>0.99851769057474016</c:v>
                </c:pt>
                <c:pt idx="207" formatCode="0.00">
                  <c:v>0.95683693378680779</c:v>
                </c:pt>
                <c:pt idx="208" formatCode="0.00">
                  <c:v>0.88448798919005223</c:v>
                </c:pt>
                <c:pt idx="209" formatCode="0.00">
                  <c:v>0.84941326443333343</c:v>
                </c:pt>
                <c:pt idx="210" formatCode="0.00">
                  <c:v>0.84941326443333343</c:v>
                </c:pt>
                <c:pt idx="211" formatCode="0.00">
                  <c:v>0.81499549716825315</c:v>
                </c:pt>
                <c:pt idx="212" formatCode="0.00">
                  <c:v>0.81346285387341344</c:v>
                </c:pt>
                <c:pt idx="213" formatCode="0.00">
                  <c:v>0.77666423869123413</c:v>
                </c:pt>
                <c:pt idx="214" formatCode="0.00">
                  <c:v>0.70172002155333335</c:v>
                </c:pt>
                <c:pt idx="215" formatCode="0.00">
                  <c:v>0.70403701152237974</c:v>
                </c:pt>
                <c:pt idx="216" formatCode="0.00">
                  <c:v>0.70503002165499995</c:v>
                </c:pt>
                <c:pt idx="217" formatCode="0.00">
                  <c:v>0.66242556626685423</c:v>
                </c:pt>
                <c:pt idx="218" formatCode="0.00">
                  <c:v>0.66556056653518747</c:v>
                </c:pt>
                <c:pt idx="219" formatCode="0.00">
                  <c:v>0.62876186714067372</c:v>
                </c:pt>
                <c:pt idx="220" formatCode="0.00">
                  <c:v>0.62876186714067372</c:v>
                </c:pt>
                <c:pt idx="221" formatCode="0.00">
                  <c:v>0.59160931742373968</c:v>
                </c:pt>
                <c:pt idx="222" formatCode="0.00">
                  <c:v>0.5896586593424793</c:v>
                </c:pt>
                <c:pt idx="223" formatCode="0.00">
                  <c:v>0.66336607591537489</c:v>
                </c:pt>
                <c:pt idx="224" formatCode="0.00">
                  <c:v>0.55298137679312076</c:v>
                </c:pt>
                <c:pt idx="225" formatCode="0.00">
                  <c:v>0.55298137679312076</c:v>
                </c:pt>
                <c:pt idx="226" formatCode="0.00">
                  <c:v>0.51765819498462695</c:v>
                </c:pt>
                <c:pt idx="227" formatCode="0.00">
                  <c:v>0.51863351347370634</c:v>
                </c:pt>
                <c:pt idx="228" formatCode="0.00">
                  <c:v>0.51595136902425398</c:v>
                </c:pt>
                <c:pt idx="229" formatCode="0.00">
                  <c:v>0.44370698833317967</c:v>
                </c:pt>
                <c:pt idx="230" formatCode="0.00">
                  <c:v>0.4808594955901131</c:v>
                </c:pt>
                <c:pt idx="231" formatCode="0.00">
                  <c:v>0.44370698833317967</c:v>
                </c:pt>
                <c:pt idx="232" formatCode="0.00">
                  <c:v>0.44307998197999998</c:v>
                </c:pt>
                <c:pt idx="233" formatCode="0.00">
                  <c:v>0.44224399477135939</c:v>
                </c:pt>
                <c:pt idx="234" formatCode="0.00">
                  <c:v>0.44307998197999998</c:v>
                </c:pt>
                <c:pt idx="235" formatCode="0.00">
                  <c:v>0.44370698833317967</c:v>
                </c:pt>
                <c:pt idx="236" formatCode="0.00">
                  <c:v>0.44307998197999998</c:v>
                </c:pt>
                <c:pt idx="237" formatCode="0.00">
                  <c:v>0.40767498564233345</c:v>
                </c:pt>
                <c:pt idx="238" formatCode="0.00">
                  <c:v>0.40690833069099985</c:v>
                </c:pt>
                <c:pt idx="239" formatCode="0.00">
                  <c:v>0.55402669422666673</c:v>
                </c:pt>
                <c:pt idx="240" formatCode="0.00">
                  <c:v>0.62668870943134725</c:v>
                </c:pt>
                <c:pt idx="241" formatCode="0.00">
                  <c:v>0.44224399477135939</c:v>
                </c:pt>
                <c:pt idx="242" formatCode="0.00">
                  <c:v>0.4808594955901131</c:v>
                </c:pt>
                <c:pt idx="243" formatCode="0.00">
                  <c:v>0.44454297554182026</c:v>
                </c:pt>
                <c:pt idx="244" formatCode="0.00">
                  <c:v>0.40633332485333329</c:v>
                </c:pt>
                <c:pt idx="245" formatCode="0.00">
                  <c:v>0.47927400254022634</c:v>
                </c:pt>
                <c:pt idx="246" formatCode="0.00">
                  <c:v>0.48017998869333334</c:v>
                </c:pt>
                <c:pt idx="247" formatCode="0.00">
                  <c:v>0.47927400254022634</c:v>
                </c:pt>
                <c:pt idx="248" formatCode="0.00">
                  <c:v>0.40690833069099985</c:v>
                </c:pt>
                <c:pt idx="249" formatCode="0.00">
                  <c:v>0.44307998197999998</c:v>
                </c:pt>
                <c:pt idx="250" formatCode="0.00">
                  <c:v>0.51765819498462695</c:v>
                </c:pt>
                <c:pt idx="251" formatCode="0.00">
                  <c:v>0.36975582343406643</c:v>
                </c:pt>
                <c:pt idx="252" formatCode="0.00">
                  <c:v>0.36923331813999999</c:v>
                </c:pt>
                <c:pt idx="253" formatCode="0.00">
                  <c:v>0.40039164661133353</c:v>
                </c:pt>
                <c:pt idx="254" formatCode="0.00">
                  <c:v>0.49498168662833336</c:v>
                </c:pt>
                <c:pt idx="255" formatCode="0.00">
                  <c:v>0.8875534136933334</c:v>
                </c:pt>
                <c:pt idx="256" formatCode="0.00">
                  <c:v>1.2835670502636454</c:v>
                </c:pt>
                <c:pt idx="257" formatCode="0.00">
                  <c:v>1.5003949243821342</c:v>
                </c:pt>
                <c:pt idx="258" formatCode="0.00">
                  <c:v>1.5217799186200001</c:v>
                </c:pt>
                <c:pt idx="259" formatCode="0.00">
                  <c:v>1.4142914356336176</c:v>
                </c:pt>
                <c:pt idx="260" formatCode="0.00">
                  <c:v>1.3792110708889018</c:v>
                </c:pt>
                <c:pt idx="261" formatCode="0.00">
                  <c:v>1.3792110708889018</c:v>
                </c:pt>
                <c:pt idx="262" formatCode="0.00">
                  <c:v>1.3893646510043531</c:v>
                </c:pt>
                <c:pt idx="263" formatCode="0.00">
                  <c:v>1.4283780945088211</c:v>
                </c:pt>
                <c:pt idx="264" formatCode="0.00">
                  <c:v>1.3769166470333332</c:v>
                </c:pt>
                <c:pt idx="265" formatCode="0.00">
                  <c:v>1.4811487955290827</c:v>
                </c:pt>
                <c:pt idx="266" formatCode="0.00">
                  <c:v>1.5217627081383056</c:v>
                </c:pt>
                <c:pt idx="267" formatCode="0.00">
                  <c:v>1.478117764556208</c:v>
                </c:pt>
                <c:pt idx="268" formatCode="0.00">
                  <c:v>1.5113110416249724</c:v>
                </c:pt>
                <c:pt idx="269" formatCode="0.00">
                  <c:v>1.5541200530341284</c:v>
                </c:pt>
                <c:pt idx="270" formatCode="0.00">
                  <c:v>1.5465600854170642</c:v>
                </c:pt>
                <c:pt idx="271" formatCode="0.00">
                  <c:v>1.5841782655044279</c:v>
                </c:pt>
                <c:pt idx="272" formatCode="0.00">
                  <c:v>1.6463225750148411</c:v>
                </c:pt>
                <c:pt idx="273" formatCode="0.00">
                  <c:v>1.6624180130586508</c:v>
                </c:pt>
                <c:pt idx="274" formatCode="0.00">
                  <c:v>1.7110663515568509</c:v>
                </c:pt>
                <c:pt idx="275" formatCode="0.00">
                  <c:v>1.7437468747231493</c:v>
                </c:pt>
                <c:pt idx="276" formatCode="0.00">
                  <c:v>1.7880992423040742</c:v>
                </c:pt>
                <c:pt idx="277" formatCode="0.00">
                  <c:v>1.8774324667150002</c:v>
                </c:pt>
                <c:pt idx="278" formatCode="0.00">
                  <c:v>1.950846136770042</c:v>
                </c:pt>
                <c:pt idx="279" formatCode="0.00">
                  <c:v>2.0045837907638986</c:v>
                </c:pt>
                <c:pt idx="280" formatCode="0.00">
                  <c:v>2.0420119099303067</c:v>
                </c:pt>
                <c:pt idx="281" formatCode="0.00">
                  <c:v>2.1033366204701323</c:v>
                </c:pt>
                <c:pt idx="282" formatCode="0.00">
                  <c:v>2.1570315104067572</c:v>
                </c:pt>
                <c:pt idx="283" formatCode="0.00">
                  <c:v>2.1661769702383786</c:v>
                </c:pt>
                <c:pt idx="284" formatCode="0.00">
                  <c:v>2.1570315104067572</c:v>
                </c:pt>
                <c:pt idx="285" formatCode="0.00">
                  <c:v>2.1856488701134515</c:v>
                </c:pt>
                <c:pt idx="286" formatCode="0.00">
                  <c:v>2.1763818753532149</c:v>
                </c:pt>
                <c:pt idx="287" formatCode="0.00">
                  <c:v>2.20917578942151</c:v>
                </c:pt>
                <c:pt idx="288" formatCode="0.00">
                  <c:v>2.20917578942151</c:v>
                </c:pt>
                <c:pt idx="289" formatCode="0.00">
                  <c:v>2.2569133248600002</c:v>
                </c:pt>
                <c:pt idx="290" formatCode="0.00">
                  <c:v>2.2624179075047874</c:v>
                </c:pt>
                <c:pt idx="291" formatCode="0.00">
                  <c:v>2.2909139316547598</c:v>
                </c:pt>
                <c:pt idx="292" formatCode="0.00">
                  <c:v>2.2909139316547598</c:v>
                </c:pt>
                <c:pt idx="293" formatCode="0.00">
                  <c:v>2.3196838050945643</c:v>
                </c:pt>
                <c:pt idx="294" formatCode="0.00">
                  <c:v>2.3381815398597681</c:v>
                </c:pt>
                <c:pt idx="295" formatCode="0.00">
                  <c:v>2.3424665832999998</c:v>
                </c:pt>
                <c:pt idx="296" formatCode="0.00">
                  <c:v>2.3668291746509991</c:v>
                </c:pt>
                <c:pt idx="297" formatCode="0.00">
                  <c:v>2.3893512880735148</c:v>
                </c:pt>
                <c:pt idx="298" formatCode="0.00">
                  <c:v>2.3893512880735148</c:v>
                </c:pt>
                <c:pt idx="299" formatCode="0.00">
                  <c:v>2.4179289236022838</c:v>
                </c:pt>
                <c:pt idx="300" formatCode="0.00">
                  <c:v>2.4179289236022838</c:v>
                </c:pt>
                <c:pt idx="301" formatCode="0.00">
                  <c:v>2.4417399771800001</c:v>
                </c:pt>
                <c:pt idx="302" formatCode="0.00">
                  <c:v>2.4702651119266665</c:v>
                </c:pt>
                <c:pt idx="303" formatCode="0.00">
                  <c:v>2.4702651119266665</c:v>
                </c:pt>
                <c:pt idx="304" formatCode="0.00">
                  <c:v>2.4642032041581241</c:v>
                </c:pt>
                <c:pt idx="305" formatCode="0.00">
                  <c:v>2.4877886831140756</c:v>
                </c:pt>
                <c:pt idx="306" formatCode="0.00">
                  <c:v>2.5099895844466533</c:v>
                </c:pt>
                <c:pt idx="307" formatCode="0.00">
                  <c:v>2.5208421070983467</c:v>
                </c:pt>
                <c:pt idx="308" formatCode="0.00">
                  <c:v>2.5443230849036875</c:v>
                </c:pt>
                <c:pt idx="309" formatCode="0.00">
                  <c:v>2.5774810100385697</c:v>
                </c:pt>
                <c:pt idx="310" formatCode="0.00">
                  <c:v>2.5774810100385697</c:v>
                </c:pt>
                <c:pt idx="311" formatCode="0.00">
                  <c:v>2.5838215797333333</c:v>
                </c:pt>
                <c:pt idx="312" formatCode="0.00">
                  <c:v>2.6120749377883334</c:v>
                </c:pt>
                <c:pt idx="313" formatCode="0.00">
                  <c:v>2.6454598624638965</c:v>
                </c:pt>
                <c:pt idx="314" formatCode="0.00">
                  <c:v>2.6454598624638965</c:v>
                </c:pt>
                <c:pt idx="315" formatCode="0.00">
                  <c:v>2.6917759984231697</c:v>
                </c:pt>
                <c:pt idx="316" formatCode="0.00">
                  <c:v>2.7255104223189868</c:v>
                </c:pt>
                <c:pt idx="317" formatCode="0.00">
                  <c:v>2.7205458718629743</c:v>
                </c:pt>
                <c:pt idx="318" formatCode="0.00">
                  <c:v>2.7532351375622297</c:v>
                </c:pt>
                <c:pt idx="319" formatCode="0.00">
                  <c:v>2.7482200861994599</c:v>
                </c:pt>
                <c:pt idx="320" formatCode="0.00">
                  <c:v>2.7688666978266667</c:v>
                </c:pt>
                <c:pt idx="321" formatCode="0.00">
                  <c:v>2.7756199281801321</c:v>
                </c:pt>
                <c:pt idx="322" formatCode="0.00">
                  <c:v>2.8228264993640693</c:v>
                </c:pt>
                <c:pt idx="323" formatCode="0.00">
                  <c:v>2.8572867615418005</c:v>
                </c:pt>
                <c:pt idx="324" formatCode="0.00">
                  <c:v>2.8624568142144344</c:v>
                </c:pt>
                <c:pt idx="325" formatCode="0.00">
                  <c:v>2.8503932703180652</c:v>
                </c:pt>
                <c:pt idx="326" formatCode="0.00">
                  <c:v>2.8754917204211643</c:v>
                </c:pt>
                <c:pt idx="327" formatCode="0.00">
                  <c:v>2.8998749469975</c:v>
                </c:pt>
                <c:pt idx="328" formatCode="0.00">
                  <c:v>2.9276250530025001</c:v>
                </c:pt>
                <c:pt idx="329" formatCode="0.00">
                  <c:v>2.9276250530025001</c:v>
                </c:pt>
                <c:pt idx="330" formatCode="0.00">
                  <c:v>2.9457133452781994</c:v>
                </c:pt>
                <c:pt idx="331" formatCode="0.00">
                  <c:v>2.9510433994255649</c:v>
                </c:pt>
                <c:pt idx="332" formatCode="0.00">
                  <c:v>2.966173286995931</c:v>
                </c:pt>
                <c:pt idx="333" formatCode="0.00">
                  <c:v>2.9787268395265687</c:v>
                </c:pt>
                <c:pt idx="334" formatCode="0.00">
                  <c:v>2.9984533424154654</c:v>
                </c:pt>
                <c:pt idx="335" formatCode="0.00">
                  <c:v>3.0038333972625</c:v>
                </c:pt>
                <c:pt idx="336" formatCode="0.00">
                  <c:v>3.0345416348416667</c:v>
                </c:pt>
                <c:pt idx="337" formatCode="0.00">
                  <c:v>3.0399766900767329</c:v>
                </c:pt>
                <c:pt idx="338" formatCode="0.00">
                  <c:v>3.0679431970030633</c:v>
                </c:pt>
                <c:pt idx="339" formatCode="0.00">
                  <c:v>3.056973086088604</c:v>
                </c:pt>
                <c:pt idx="340" formatCode="0.00">
                  <c:v>3.4729268482440685</c:v>
                </c:pt>
                <c:pt idx="341" formatCode="0.00">
                  <c:v>2.3725707085159007</c:v>
                </c:pt>
                <c:pt idx="342" formatCode="0.00">
                  <c:v>2.0889309142918737</c:v>
                </c:pt>
                <c:pt idx="343" formatCode="0.00">
                  <c:v>2.1241382869072001</c:v>
                </c:pt>
                <c:pt idx="344" formatCode="0.00">
                  <c:v>2.1661202746570005</c:v>
                </c:pt>
                <c:pt idx="345" formatCode="0.00">
                  <c:v>2.2589279668988995</c:v>
                </c:pt>
                <c:pt idx="346" formatCode="0.00">
                  <c:v>2.3550039038405997</c:v>
                </c:pt>
                <c:pt idx="347" formatCode="0.00">
                  <c:v>0.30603168124864105</c:v>
                </c:pt>
                <c:pt idx="348" formatCode="0.00">
                  <c:v>0.32579625552147484</c:v>
                </c:pt>
                <c:pt idx="349" formatCode="0.00">
                  <c:v>0.35023260849818982</c:v>
                </c:pt>
                <c:pt idx="350" formatCode="0.00">
                  <c:v>0.57960548974913251</c:v>
                </c:pt>
                <c:pt idx="351" formatCode="0.00">
                  <c:v>0.74875398417433248</c:v>
                </c:pt>
                <c:pt idx="352" formatCode="0.00">
                  <c:v>0.88322128201136707</c:v>
                </c:pt>
                <c:pt idx="353" formatCode="0.00">
                  <c:v>1.2074009128706016</c:v>
                </c:pt>
                <c:pt idx="354" formatCode="0.00">
                  <c:v>1.1794199124461509</c:v>
                </c:pt>
                <c:pt idx="355" formatCode="0.00">
                  <c:v>1.4140099589358479</c:v>
                </c:pt>
                <c:pt idx="356" formatCode="0.00">
                  <c:v>1.6182185518357353</c:v>
                </c:pt>
                <c:pt idx="357" formatCode="0.00">
                  <c:v>1.8217339993672825</c:v>
                </c:pt>
                <c:pt idx="358" formatCode="0.00">
                  <c:v>1.9254144870182355</c:v>
                </c:pt>
                <c:pt idx="359" formatCode="0.00">
                  <c:v>1.8954390418070484</c:v>
                </c:pt>
                <c:pt idx="360" formatCode="0.00">
                  <c:v>1.8926007516721837</c:v>
                </c:pt>
                <c:pt idx="361" formatCode="0.00">
                  <c:v>1.8148073331882832</c:v>
                </c:pt>
                <c:pt idx="362" formatCode="0.00">
                  <c:v>1.8175289583096499</c:v>
                </c:pt>
                <c:pt idx="363" formatCode="0.00">
                  <c:v>1.8175289583096499</c:v>
                </c:pt>
                <c:pt idx="364" formatCode="0.00">
                  <c:v>1.8175289583096499</c:v>
                </c:pt>
                <c:pt idx="365" formatCode="0.00">
                  <c:v>1.8175289583096499</c:v>
                </c:pt>
                <c:pt idx="366" formatCode="0.00">
                  <c:v>1.8205228082584333</c:v>
                </c:pt>
                <c:pt idx="367" formatCode="0.00">
                  <c:v>1.8564840000026992</c:v>
                </c:pt>
                <c:pt idx="368" formatCode="0.00">
                  <c:v>1.8985612259418827</c:v>
                </c:pt>
                <c:pt idx="369" formatCode="0.00">
                  <c:v>1.8985612259418827</c:v>
                </c:pt>
                <c:pt idx="370" formatCode="0.00">
                  <c:v>2.0145037809597501</c:v>
                </c:pt>
                <c:pt idx="371" formatCode="0.00">
                  <c:v>2.0535229897457334</c:v>
                </c:pt>
                <c:pt idx="372" formatCode="0.00">
                  <c:v>2.2048531125015467</c:v>
                </c:pt>
                <c:pt idx="373" formatCode="0.00">
                  <c:v>2.2816499582824998</c:v>
                </c:pt>
                <c:pt idx="374" formatCode="0.00">
                  <c:v>2.8924666644896497</c:v>
                </c:pt>
                <c:pt idx="375" formatCode="0.00">
                  <c:v>5.3909346328412315</c:v>
                </c:pt>
                <c:pt idx="376" formatCode="0.00">
                  <c:v>8.1468749045833349</c:v>
                </c:pt>
                <c:pt idx="377" formatCode="0.00">
                  <c:v>2.7106668911445291</c:v>
                </c:pt>
                <c:pt idx="378" formatCode="0.00">
                  <c:v>0.86447314593260061</c:v>
                </c:pt>
                <c:pt idx="379" formatCode="0.00">
                  <c:v>0.18659068938444515</c:v>
                </c:pt>
                <c:pt idx="380" formatCode="0.00">
                  <c:v>5.6179197290233358E-2</c:v>
                </c:pt>
                <c:pt idx="381" formatCode="0.00">
                  <c:v>2.7483499348056644E-2</c:v>
                </c:pt>
                <c:pt idx="382" formatCode="0.00">
                  <c:v>2.6877397460761728E-2</c:v>
                </c:pt>
                <c:pt idx="383" formatCode="0.00">
                  <c:v>1.3138999945024992E-2</c:v>
                </c:pt>
                <c:pt idx="384" formatCode="0.00">
                  <c:v>1.2895750058724988E-2</c:v>
                </c:pt>
                <c:pt idx="385" formatCode="0.00">
                  <c:v>1.2652500172599983E-2</c:v>
                </c:pt>
                <c:pt idx="386" formatCode="0.00">
                  <c:v>1.2409248951225018E-2</c:v>
                </c:pt>
                <c:pt idx="387" formatCode="0.00">
                  <c:v>1.2166000399999977E-2</c:v>
                </c:pt>
                <c:pt idx="388" formatCode="0.00">
                  <c:v>1.1922749178625014E-2</c:v>
                </c:pt>
                <c:pt idx="389" formatCode="0.00">
                  <c:v>1.1679500627574972E-2</c:v>
                </c:pt>
                <c:pt idx="390" formatCode="0.00">
                  <c:v>1.1436249406200008E-2</c:v>
                </c:pt>
                <c:pt idx="391" formatCode="0.00">
                  <c:v>1.1252500212599983E-2</c:v>
                </c:pt>
                <c:pt idx="392" formatCode="0.00">
                  <c:v>1.100924899122502E-2</c:v>
                </c:pt>
                <c:pt idx="393" formatCode="0.00">
                  <c:v>0</c:v>
                </c:pt>
                <c:pt idx="394" formatCode="0.00">
                  <c:v>0</c:v>
                </c:pt>
                <c:pt idx="395" formatCode="0.00">
                  <c:v>0</c:v>
                </c:pt>
                <c:pt idx="396" formatCode="0.00">
                  <c:v>1.0218250268749984E-2</c:v>
                </c:pt>
                <c:pt idx="397" formatCode="0.00">
                  <c:v>0</c:v>
                </c:pt>
                <c:pt idx="398" formatCode="0.00">
                  <c:v>0</c:v>
                </c:pt>
                <c:pt idx="399" formatCode="0.00">
                  <c:v>0</c:v>
                </c:pt>
                <c:pt idx="400" formatCode="0.00">
                  <c:v>0</c:v>
                </c:pt>
                <c:pt idx="401" formatCode="0.00">
                  <c:v>0</c:v>
                </c:pt>
                <c:pt idx="402" formatCode="0.00">
                  <c:v>0</c:v>
                </c:pt>
                <c:pt idx="403" formatCode="0.00">
                  <c:v>0</c:v>
                </c:pt>
                <c:pt idx="404" formatCode="0.00">
                  <c:v>0</c:v>
                </c:pt>
                <c:pt idx="405" formatCode="0.00">
                  <c:v>0</c:v>
                </c:pt>
                <c:pt idx="406" formatCode="0.00">
                  <c:v>0</c:v>
                </c:pt>
                <c:pt idx="407" formatCode="0.00">
                  <c:v>0</c:v>
                </c:pt>
                <c:pt idx="408" formatCode="0.00">
                  <c:v>0</c:v>
                </c:pt>
                <c:pt idx="409" formatCode="0.00">
                  <c:v>0</c:v>
                </c:pt>
                <c:pt idx="410" formatCode="0.00">
                  <c:v>0</c:v>
                </c:pt>
                <c:pt idx="411" formatCode="0.00">
                  <c:v>0</c:v>
                </c:pt>
                <c:pt idx="412" formatCode="0.00">
                  <c:v>0</c:v>
                </c:pt>
                <c:pt idx="413" formatCode="0.00">
                  <c:v>0</c:v>
                </c:pt>
                <c:pt idx="414" formatCode="0.00">
                  <c:v>0</c:v>
                </c:pt>
                <c:pt idx="415" formatCode="0.00">
                  <c:v>0</c:v>
                </c:pt>
                <c:pt idx="416" formatCode="0.00">
                  <c:v>0</c:v>
                </c:pt>
                <c:pt idx="417" formatCode="0.00">
                  <c:v>0</c:v>
                </c:pt>
                <c:pt idx="418" formatCode="0.00">
                  <c:v>0</c:v>
                </c:pt>
              </c:numCache>
            </c:numRef>
          </c:val>
          <c:smooth val="0"/>
          <c:extLst>
            <c:ext xmlns:c16="http://schemas.microsoft.com/office/drawing/2014/chart" uri="{C3380CC4-5D6E-409C-BE32-E72D297353CC}">
              <c16:uniqueId val="{00000000-6977-451F-81E3-CD10ED03A4EB}"/>
            </c:ext>
          </c:extLst>
        </c:ser>
        <c:dLbls>
          <c:showLegendKey val="0"/>
          <c:showVal val="0"/>
          <c:showCatName val="0"/>
          <c:showSerName val="0"/>
          <c:showPercent val="0"/>
          <c:showBubbleSize val="0"/>
        </c:dLbls>
        <c:smooth val="0"/>
        <c:axId val="770219024"/>
        <c:axId val="770218192"/>
      </c:lineChart>
      <c:catAx>
        <c:axId val="770219024"/>
        <c:scaling>
          <c:orientation val="minMax"/>
        </c:scaling>
        <c:delete val="0"/>
        <c:axPos val="b"/>
        <c:numFmt formatCode="0" sourceLinked="0"/>
        <c:majorTickMark val="out"/>
        <c:minorTickMark val="none"/>
        <c:tickLblPos val="nextTo"/>
        <c:spPr>
          <a:noFill/>
          <a:ln w="3175" cap="flat" cmpd="sng" algn="ctr">
            <a:solidFill>
              <a:schemeClr val="tx1"/>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770218192"/>
        <c:crosses val="autoZero"/>
        <c:auto val="1"/>
        <c:lblAlgn val="ctr"/>
        <c:lblOffset val="100"/>
        <c:tickLblSkip val="20"/>
        <c:tickMarkSkip val="10"/>
        <c:noMultiLvlLbl val="0"/>
      </c:catAx>
      <c:valAx>
        <c:axId val="770218192"/>
        <c:scaling>
          <c:orientation val="minMax"/>
        </c:scaling>
        <c:delete val="0"/>
        <c:axPos val="l"/>
        <c:numFmt formatCode="0" sourceLinked="0"/>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770219024"/>
        <c:crossesAt val="1"/>
        <c:crossBetween val="between"/>
      </c:valAx>
      <c:spPr>
        <a:noFill/>
        <a:ln w="3175">
          <a:solidFill>
            <a:schemeClr val="tx1"/>
          </a:solidFill>
        </a:ln>
        <a:effectLst/>
      </c:spPr>
    </c:plotArea>
    <c:legend>
      <c:legendPos val="r"/>
      <c:layout>
        <c:manualLayout>
          <c:xMode val="edge"/>
          <c:yMode val="edge"/>
          <c:x val="0.64446066873744468"/>
          <c:y val="0.11306464250190321"/>
          <c:w val="0.31752598721769942"/>
          <c:h val="0.13204785534482855"/>
        </c:manualLayout>
      </c:layout>
      <c:overlay val="1"/>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Garamond" panose="02020404030301010803" pitchFamily="18" charset="0"/>
        </a:defRPr>
      </a:pPr>
      <a:endParaRPr lang="sr-Latn-R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0044267896223842E-2"/>
          <c:y val="7.7628793225123505E-2"/>
          <c:w val="0.91229094867628091"/>
          <c:h val="0.78045221411543741"/>
        </c:manualLayout>
      </c:layout>
      <c:lineChart>
        <c:grouping val="standard"/>
        <c:varyColors val="0"/>
        <c:ser>
          <c:idx val="0"/>
          <c:order val="0"/>
          <c:tx>
            <c:v>Hydraulic power 01.11.2021</c:v>
          </c:tx>
          <c:spPr>
            <a:ln w="3175" cap="rnd">
              <a:solidFill>
                <a:srgbClr val="0000FF"/>
              </a:solidFill>
              <a:round/>
            </a:ln>
            <a:effectLst/>
          </c:spPr>
          <c:marker>
            <c:symbol val="none"/>
          </c:marker>
          <c:cat>
            <c:numRef>
              <c:f>'01-11-2021'!$A$2:$A$420</c:f>
              <c:numCache>
                <c:formatCode>0.00</c:formatCode>
                <c:ptCount val="419"/>
                <c:pt idx="0">
                  <c:v>0</c:v>
                </c:pt>
                <c:pt idx="1">
                  <c:v>5.5550000000000002E-2</c:v>
                </c:pt>
                <c:pt idx="2">
                  <c:v>0.1111</c:v>
                </c:pt>
                <c:pt idx="3">
                  <c:v>0.16664999999999999</c:v>
                </c:pt>
                <c:pt idx="4">
                  <c:v>0.22220000000000001</c:v>
                </c:pt>
                <c:pt idx="5">
                  <c:v>0.27775</c:v>
                </c:pt>
                <c:pt idx="6">
                  <c:v>0.33329999999999999</c:v>
                </c:pt>
                <c:pt idx="7">
                  <c:v>0.38884999999999997</c:v>
                </c:pt>
                <c:pt idx="8">
                  <c:v>0.44440000000000002</c:v>
                </c:pt>
                <c:pt idx="9">
                  <c:v>0.49995000000000001</c:v>
                </c:pt>
                <c:pt idx="10">
                  <c:v>0.55549999999999999</c:v>
                </c:pt>
                <c:pt idx="11">
                  <c:v>0.61104999999999998</c:v>
                </c:pt>
                <c:pt idx="12">
                  <c:v>0.66659999999999997</c:v>
                </c:pt>
                <c:pt idx="13">
                  <c:v>0.72214999999999996</c:v>
                </c:pt>
                <c:pt idx="14">
                  <c:v>0.77769999999999995</c:v>
                </c:pt>
                <c:pt idx="15">
                  <c:v>0.83325000000000005</c:v>
                </c:pt>
                <c:pt idx="16">
                  <c:v>0.88880000000000003</c:v>
                </c:pt>
                <c:pt idx="17">
                  <c:v>0.94435000000000002</c:v>
                </c:pt>
                <c:pt idx="18">
                  <c:v>0.99990000000000001</c:v>
                </c:pt>
                <c:pt idx="19">
                  <c:v>1.05545</c:v>
                </c:pt>
                <c:pt idx="20">
                  <c:v>1.111</c:v>
                </c:pt>
                <c:pt idx="21">
                  <c:v>1.16655</c:v>
                </c:pt>
                <c:pt idx="22">
                  <c:v>1.2221</c:v>
                </c:pt>
                <c:pt idx="23">
                  <c:v>1.27765</c:v>
                </c:pt>
                <c:pt idx="24">
                  <c:v>1.3331999999999999</c:v>
                </c:pt>
                <c:pt idx="25">
                  <c:v>1.3887499999999999</c:v>
                </c:pt>
                <c:pt idx="26">
                  <c:v>1.4442999999999999</c:v>
                </c:pt>
                <c:pt idx="27">
                  <c:v>1.4998499999999999</c:v>
                </c:pt>
                <c:pt idx="28">
                  <c:v>1.5553999999999999</c:v>
                </c:pt>
                <c:pt idx="29">
                  <c:v>1.6109500000000001</c:v>
                </c:pt>
                <c:pt idx="30">
                  <c:v>1.6665000000000001</c:v>
                </c:pt>
                <c:pt idx="31">
                  <c:v>1.7220500000000001</c:v>
                </c:pt>
                <c:pt idx="32">
                  <c:v>1.7776000000000001</c:v>
                </c:pt>
                <c:pt idx="33">
                  <c:v>1.8331500000000001</c:v>
                </c:pt>
                <c:pt idx="34">
                  <c:v>1.8887</c:v>
                </c:pt>
                <c:pt idx="35">
                  <c:v>1.94425</c:v>
                </c:pt>
                <c:pt idx="36">
                  <c:v>1.9998</c:v>
                </c:pt>
                <c:pt idx="37">
                  <c:v>2.0553499999999998</c:v>
                </c:pt>
                <c:pt idx="38">
                  <c:v>2.1109</c:v>
                </c:pt>
                <c:pt idx="39">
                  <c:v>2.1664500000000002</c:v>
                </c:pt>
                <c:pt idx="40">
                  <c:v>2.222</c:v>
                </c:pt>
                <c:pt idx="41">
                  <c:v>2.2775500000000002</c:v>
                </c:pt>
                <c:pt idx="42">
                  <c:v>2.3331</c:v>
                </c:pt>
                <c:pt idx="43">
                  <c:v>2.3886500000000002</c:v>
                </c:pt>
                <c:pt idx="44">
                  <c:v>2.4441999999999999</c:v>
                </c:pt>
                <c:pt idx="45">
                  <c:v>2.4997500000000001</c:v>
                </c:pt>
                <c:pt idx="46">
                  <c:v>2.5552999999999999</c:v>
                </c:pt>
                <c:pt idx="47">
                  <c:v>2.6108500000000001</c:v>
                </c:pt>
                <c:pt idx="48">
                  <c:v>2.6663999999999999</c:v>
                </c:pt>
                <c:pt idx="49">
                  <c:v>2.7219500000000001</c:v>
                </c:pt>
                <c:pt idx="50">
                  <c:v>2.7774999999999999</c:v>
                </c:pt>
                <c:pt idx="51">
                  <c:v>2.8330500000000001</c:v>
                </c:pt>
                <c:pt idx="52">
                  <c:v>2.8885999999999998</c:v>
                </c:pt>
                <c:pt idx="53">
                  <c:v>2.94415</c:v>
                </c:pt>
                <c:pt idx="54">
                  <c:v>2.9996999999999998</c:v>
                </c:pt>
                <c:pt idx="55">
                  <c:v>3.05525</c:v>
                </c:pt>
                <c:pt idx="56">
                  <c:v>3.1107999999999998</c:v>
                </c:pt>
                <c:pt idx="57">
                  <c:v>3.16635</c:v>
                </c:pt>
                <c:pt idx="58">
                  <c:v>3.2219000000000002</c:v>
                </c:pt>
                <c:pt idx="59">
                  <c:v>3.27745</c:v>
                </c:pt>
                <c:pt idx="60">
                  <c:v>3.3330000000000002</c:v>
                </c:pt>
                <c:pt idx="61">
                  <c:v>3.38855</c:v>
                </c:pt>
                <c:pt idx="62">
                  <c:v>3.4441000000000002</c:v>
                </c:pt>
                <c:pt idx="63">
                  <c:v>3.4996499999999999</c:v>
                </c:pt>
                <c:pt idx="64">
                  <c:v>3.5552000000000001</c:v>
                </c:pt>
                <c:pt idx="65">
                  <c:v>3.6107499999999999</c:v>
                </c:pt>
                <c:pt idx="66">
                  <c:v>3.6663000000000001</c:v>
                </c:pt>
                <c:pt idx="67">
                  <c:v>3.7218499999999999</c:v>
                </c:pt>
                <c:pt idx="68">
                  <c:v>3.7774000000000001</c:v>
                </c:pt>
                <c:pt idx="69">
                  <c:v>3.8329499999999999</c:v>
                </c:pt>
                <c:pt idx="70">
                  <c:v>3.8885000000000001</c:v>
                </c:pt>
                <c:pt idx="71">
                  <c:v>3.9440499999999998</c:v>
                </c:pt>
                <c:pt idx="72">
                  <c:v>3.9996</c:v>
                </c:pt>
                <c:pt idx="73">
                  <c:v>4.0551500000000003</c:v>
                </c:pt>
                <c:pt idx="74">
                  <c:v>4.1106999999999996</c:v>
                </c:pt>
                <c:pt idx="75">
                  <c:v>4.1662499999999998</c:v>
                </c:pt>
                <c:pt idx="76">
                  <c:v>4.2218</c:v>
                </c:pt>
                <c:pt idx="77">
                  <c:v>4.2773500000000002</c:v>
                </c:pt>
                <c:pt idx="78">
                  <c:v>4.3329000000000004</c:v>
                </c:pt>
                <c:pt idx="79">
                  <c:v>4.3884499999999997</c:v>
                </c:pt>
                <c:pt idx="80">
                  <c:v>4.444</c:v>
                </c:pt>
                <c:pt idx="81">
                  <c:v>4.4995500000000002</c:v>
                </c:pt>
                <c:pt idx="82">
                  <c:v>4.5551000000000004</c:v>
                </c:pt>
                <c:pt idx="83">
                  <c:v>4.6106499999999997</c:v>
                </c:pt>
                <c:pt idx="84">
                  <c:v>4.6661999999999999</c:v>
                </c:pt>
                <c:pt idx="85">
                  <c:v>4.7217500000000001</c:v>
                </c:pt>
                <c:pt idx="86">
                  <c:v>4.7773000000000003</c:v>
                </c:pt>
                <c:pt idx="87">
                  <c:v>4.8328499999999996</c:v>
                </c:pt>
                <c:pt idx="88">
                  <c:v>4.8883999999999999</c:v>
                </c:pt>
                <c:pt idx="89">
                  <c:v>4.9439500000000001</c:v>
                </c:pt>
                <c:pt idx="90">
                  <c:v>4.9995000000000003</c:v>
                </c:pt>
                <c:pt idx="91">
                  <c:v>5.0550499999999996</c:v>
                </c:pt>
                <c:pt idx="92">
                  <c:v>5.1105999999999998</c:v>
                </c:pt>
                <c:pt idx="93">
                  <c:v>5.16615</c:v>
                </c:pt>
                <c:pt idx="94">
                  <c:v>5.2217000000000002</c:v>
                </c:pt>
                <c:pt idx="95">
                  <c:v>5.2772500000000004</c:v>
                </c:pt>
                <c:pt idx="96">
                  <c:v>5.3327999999999998</c:v>
                </c:pt>
                <c:pt idx="97">
                  <c:v>5.38835</c:v>
                </c:pt>
                <c:pt idx="98">
                  <c:v>5.4439000000000002</c:v>
                </c:pt>
                <c:pt idx="99">
                  <c:v>5.4994500000000004</c:v>
                </c:pt>
                <c:pt idx="100">
                  <c:v>5.5549999999999997</c:v>
                </c:pt>
                <c:pt idx="101">
                  <c:v>5.6105499999999999</c:v>
                </c:pt>
                <c:pt idx="102">
                  <c:v>5.6661000000000001</c:v>
                </c:pt>
                <c:pt idx="103">
                  <c:v>5.7216500000000003</c:v>
                </c:pt>
                <c:pt idx="104">
                  <c:v>5.7771999999999997</c:v>
                </c:pt>
                <c:pt idx="105">
                  <c:v>5.8327499999999999</c:v>
                </c:pt>
                <c:pt idx="106">
                  <c:v>5.8883000000000001</c:v>
                </c:pt>
                <c:pt idx="107">
                  <c:v>5.9438500000000003</c:v>
                </c:pt>
                <c:pt idx="108">
                  <c:v>5.9993999999999996</c:v>
                </c:pt>
                <c:pt idx="109">
                  <c:v>6.0549499999999998</c:v>
                </c:pt>
                <c:pt idx="110">
                  <c:v>6.1105</c:v>
                </c:pt>
                <c:pt idx="111">
                  <c:v>6.1660500000000003</c:v>
                </c:pt>
                <c:pt idx="112">
                  <c:v>6.2215999999999996</c:v>
                </c:pt>
                <c:pt idx="113">
                  <c:v>6.2771499999999998</c:v>
                </c:pt>
                <c:pt idx="114">
                  <c:v>6.3327</c:v>
                </c:pt>
                <c:pt idx="115">
                  <c:v>6.3882500000000002</c:v>
                </c:pt>
                <c:pt idx="116">
                  <c:v>6.4438000000000004</c:v>
                </c:pt>
                <c:pt idx="117">
                  <c:v>6.4993499999999997</c:v>
                </c:pt>
                <c:pt idx="118">
                  <c:v>6.5548999999999999</c:v>
                </c:pt>
                <c:pt idx="119">
                  <c:v>6.6104500000000002</c:v>
                </c:pt>
                <c:pt idx="120">
                  <c:v>6.6660000000000004</c:v>
                </c:pt>
                <c:pt idx="121">
                  <c:v>6.7215499999999997</c:v>
                </c:pt>
                <c:pt idx="122">
                  <c:v>6.7770999999999999</c:v>
                </c:pt>
                <c:pt idx="123">
                  <c:v>6.8326500000000001</c:v>
                </c:pt>
                <c:pt idx="124">
                  <c:v>6.8882000000000003</c:v>
                </c:pt>
                <c:pt idx="125">
                  <c:v>6.9437499999999996</c:v>
                </c:pt>
                <c:pt idx="126">
                  <c:v>6.9992999999999999</c:v>
                </c:pt>
                <c:pt idx="127">
                  <c:v>7.0548500000000001</c:v>
                </c:pt>
                <c:pt idx="128">
                  <c:v>7.1104000000000003</c:v>
                </c:pt>
                <c:pt idx="129">
                  <c:v>7.1659499999999996</c:v>
                </c:pt>
                <c:pt idx="130">
                  <c:v>7.2214999999999998</c:v>
                </c:pt>
                <c:pt idx="131">
                  <c:v>7.27705</c:v>
                </c:pt>
                <c:pt idx="132">
                  <c:v>7.3326000000000002</c:v>
                </c:pt>
                <c:pt idx="133">
                  <c:v>7.3881500000000004</c:v>
                </c:pt>
                <c:pt idx="134">
                  <c:v>7.4436999999999998</c:v>
                </c:pt>
                <c:pt idx="135">
                  <c:v>7.49925</c:v>
                </c:pt>
                <c:pt idx="136">
                  <c:v>7.5548000000000002</c:v>
                </c:pt>
                <c:pt idx="137">
                  <c:v>7.6103500000000004</c:v>
                </c:pt>
                <c:pt idx="138">
                  <c:v>7.6658999999999997</c:v>
                </c:pt>
                <c:pt idx="139">
                  <c:v>7.7214499999999999</c:v>
                </c:pt>
                <c:pt idx="140">
                  <c:v>7.7770000000000001</c:v>
                </c:pt>
                <c:pt idx="141">
                  <c:v>7.8325500000000003</c:v>
                </c:pt>
                <c:pt idx="142">
                  <c:v>7.8880999999999997</c:v>
                </c:pt>
                <c:pt idx="143">
                  <c:v>7.9436499999999999</c:v>
                </c:pt>
                <c:pt idx="144">
                  <c:v>7.9992000000000001</c:v>
                </c:pt>
                <c:pt idx="145">
                  <c:v>8.0547500000000003</c:v>
                </c:pt>
                <c:pt idx="146">
                  <c:v>8.1103000000000005</c:v>
                </c:pt>
                <c:pt idx="147">
                  <c:v>8.1658500000000007</c:v>
                </c:pt>
                <c:pt idx="148">
                  <c:v>8.2213999999999992</c:v>
                </c:pt>
                <c:pt idx="149">
                  <c:v>8.2769499999999994</c:v>
                </c:pt>
                <c:pt idx="150">
                  <c:v>8.3324999999999996</c:v>
                </c:pt>
                <c:pt idx="151">
                  <c:v>8.3880499999999998</c:v>
                </c:pt>
                <c:pt idx="152">
                  <c:v>8.4436</c:v>
                </c:pt>
                <c:pt idx="153">
                  <c:v>8.4991500000000002</c:v>
                </c:pt>
                <c:pt idx="154">
                  <c:v>8.5547000000000004</c:v>
                </c:pt>
                <c:pt idx="155">
                  <c:v>8.6102500000000006</c:v>
                </c:pt>
                <c:pt idx="156">
                  <c:v>8.6658000000000008</c:v>
                </c:pt>
                <c:pt idx="157">
                  <c:v>8.7213499999999993</c:v>
                </c:pt>
                <c:pt idx="158">
                  <c:v>8.7768999999999995</c:v>
                </c:pt>
                <c:pt idx="159">
                  <c:v>8.8324499999999997</c:v>
                </c:pt>
                <c:pt idx="160">
                  <c:v>8.8879999999999999</c:v>
                </c:pt>
                <c:pt idx="161">
                  <c:v>8.9435500000000001</c:v>
                </c:pt>
                <c:pt idx="162">
                  <c:v>8.9991000000000003</c:v>
                </c:pt>
                <c:pt idx="163">
                  <c:v>9.0546500000000005</c:v>
                </c:pt>
                <c:pt idx="164">
                  <c:v>9.1102000000000007</c:v>
                </c:pt>
                <c:pt idx="165">
                  <c:v>9.1657499999999992</c:v>
                </c:pt>
                <c:pt idx="166">
                  <c:v>9.2212999999999994</c:v>
                </c:pt>
                <c:pt idx="167">
                  <c:v>9.2768499999999996</c:v>
                </c:pt>
                <c:pt idx="168">
                  <c:v>9.3323999999999998</c:v>
                </c:pt>
                <c:pt idx="169">
                  <c:v>9.38795</c:v>
                </c:pt>
                <c:pt idx="170">
                  <c:v>9.4435000000000002</c:v>
                </c:pt>
                <c:pt idx="171">
                  <c:v>9.4990500000000004</c:v>
                </c:pt>
                <c:pt idx="172">
                  <c:v>9.5546000000000006</c:v>
                </c:pt>
                <c:pt idx="173">
                  <c:v>9.6101500000000009</c:v>
                </c:pt>
                <c:pt idx="174">
                  <c:v>9.6656999999999993</c:v>
                </c:pt>
                <c:pt idx="175">
                  <c:v>9.7212499999999995</c:v>
                </c:pt>
                <c:pt idx="176">
                  <c:v>9.7767999999999997</c:v>
                </c:pt>
                <c:pt idx="177">
                  <c:v>9.8323499999999999</c:v>
                </c:pt>
                <c:pt idx="178">
                  <c:v>9.8879000000000001</c:v>
                </c:pt>
                <c:pt idx="179">
                  <c:v>9.9434500000000003</c:v>
                </c:pt>
                <c:pt idx="180">
                  <c:v>9.9990000000000006</c:v>
                </c:pt>
                <c:pt idx="181">
                  <c:v>10.054550000000001</c:v>
                </c:pt>
                <c:pt idx="182">
                  <c:v>10.110099999999999</c:v>
                </c:pt>
                <c:pt idx="183">
                  <c:v>10.165649999999999</c:v>
                </c:pt>
                <c:pt idx="184">
                  <c:v>10.2212</c:v>
                </c:pt>
                <c:pt idx="185">
                  <c:v>10.27675</c:v>
                </c:pt>
                <c:pt idx="186">
                  <c:v>10.3323</c:v>
                </c:pt>
                <c:pt idx="187">
                  <c:v>10.38785</c:v>
                </c:pt>
                <c:pt idx="188">
                  <c:v>10.4434</c:v>
                </c:pt>
                <c:pt idx="189">
                  <c:v>10.498950000000001</c:v>
                </c:pt>
                <c:pt idx="190">
                  <c:v>10.554500000000001</c:v>
                </c:pt>
                <c:pt idx="191">
                  <c:v>10.610049999999999</c:v>
                </c:pt>
                <c:pt idx="192">
                  <c:v>10.6656</c:v>
                </c:pt>
                <c:pt idx="193">
                  <c:v>10.72115</c:v>
                </c:pt>
                <c:pt idx="194">
                  <c:v>10.7767</c:v>
                </c:pt>
                <c:pt idx="195">
                  <c:v>10.83225</c:v>
                </c:pt>
                <c:pt idx="196">
                  <c:v>10.8878</c:v>
                </c:pt>
                <c:pt idx="197">
                  <c:v>10.943350000000001</c:v>
                </c:pt>
                <c:pt idx="198">
                  <c:v>10.998900000000001</c:v>
                </c:pt>
                <c:pt idx="199">
                  <c:v>11.054449999999999</c:v>
                </c:pt>
                <c:pt idx="200">
                  <c:v>11.11</c:v>
                </c:pt>
                <c:pt idx="201">
                  <c:v>11.16555</c:v>
                </c:pt>
                <c:pt idx="202">
                  <c:v>11.2211</c:v>
                </c:pt>
                <c:pt idx="203">
                  <c:v>11.27665</c:v>
                </c:pt>
                <c:pt idx="204">
                  <c:v>11.3322</c:v>
                </c:pt>
                <c:pt idx="205">
                  <c:v>11.38775</c:v>
                </c:pt>
                <c:pt idx="206">
                  <c:v>11.443300000000001</c:v>
                </c:pt>
                <c:pt idx="207">
                  <c:v>11.498849999999999</c:v>
                </c:pt>
                <c:pt idx="208">
                  <c:v>11.554399999999999</c:v>
                </c:pt>
                <c:pt idx="209">
                  <c:v>11.60995</c:v>
                </c:pt>
                <c:pt idx="210">
                  <c:v>11.6655</c:v>
                </c:pt>
                <c:pt idx="211">
                  <c:v>11.72105</c:v>
                </c:pt>
                <c:pt idx="212">
                  <c:v>11.7766</c:v>
                </c:pt>
                <c:pt idx="213">
                  <c:v>11.83215</c:v>
                </c:pt>
                <c:pt idx="214">
                  <c:v>11.887700000000001</c:v>
                </c:pt>
                <c:pt idx="215">
                  <c:v>11.943250000000001</c:v>
                </c:pt>
                <c:pt idx="216">
                  <c:v>11.998799999999999</c:v>
                </c:pt>
                <c:pt idx="217">
                  <c:v>12.054349999999999</c:v>
                </c:pt>
                <c:pt idx="218">
                  <c:v>12.1099</c:v>
                </c:pt>
                <c:pt idx="219">
                  <c:v>12.16545</c:v>
                </c:pt>
                <c:pt idx="220">
                  <c:v>12.221</c:v>
                </c:pt>
                <c:pt idx="221">
                  <c:v>12.27655</c:v>
                </c:pt>
                <c:pt idx="222">
                  <c:v>12.332100000000001</c:v>
                </c:pt>
                <c:pt idx="223">
                  <c:v>12.387650000000001</c:v>
                </c:pt>
                <c:pt idx="224">
                  <c:v>12.443199999999999</c:v>
                </c:pt>
                <c:pt idx="225">
                  <c:v>12.498749999999999</c:v>
                </c:pt>
                <c:pt idx="226">
                  <c:v>12.5543</c:v>
                </c:pt>
                <c:pt idx="227">
                  <c:v>12.60985</c:v>
                </c:pt>
                <c:pt idx="228">
                  <c:v>12.6654</c:v>
                </c:pt>
                <c:pt idx="229">
                  <c:v>12.72095</c:v>
                </c:pt>
                <c:pt idx="230">
                  <c:v>12.7765</c:v>
                </c:pt>
                <c:pt idx="231">
                  <c:v>12.832050000000001</c:v>
                </c:pt>
                <c:pt idx="232">
                  <c:v>12.887600000000001</c:v>
                </c:pt>
                <c:pt idx="233">
                  <c:v>12.943149999999999</c:v>
                </c:pt>
                <c:pt idx="234">
                  <c:v>12.998699999999999</c:v>
                </c:pt>
                <c:pt idx="235">
                  <c:v>13.05425</c:v>
                </c:pt>
                <c:pt idx="236">
                  <c:v>13.1098</c:v>
                </c:pt>
                <c:pt idx="237">
                  <c:v>13.16535</c:v>
                </c:pt>
                <c:pt idx="238">
                  <c:v>13.2209</c:v>
                </c:pt>
                <c:pt idx="239">
                  <c:v>13.276450000000001</c:v>
                </c:pt>
                <c:pt idx="240">
                  <c:v>13.332000000000001</c:v>
                </c:pt>
                <c:pt idx="241">
                  <c:v>13.387549999999999</c:v>
                </c:pt>
                <c:pt idx="242">
                  <c:v>13.443099999999999</c:v>
                </c:pt>
                <c:pt idx="243">
                  <c:v>13.49865</c:v>
                </c:pt>
                <c:pt idx="244">
                  <c:v>13.5542</c:v>
                </c:pt>
                <c:pt idx="245">
                  <c:v>13.60975</c:v>
                </c:pt>
                <c:pt idx="246">
                  <c:v>13.6653</c:v>
                </c:pt>
                <c:pt idx="247">
                  <c:v>13.72085</c:v>
                </c:pt>
                <c:pt idx="248">
                  <c:v>13.776400000000001</c:v>
                </c:pt>
                <c:pt idx="249">
                  <c:v>13.831950000000001</c:v>
                </c:pt>
                <c:pt idx="250">
                  <c:v>13.887499999999999</c:v>
                </c:pt>
                <c:pt idx="251">
                  <c:v>13.943049999999999</c:v>
                </c:pt>
                <c:pt idx="252">
                  <c:v>13.9986</c:v>
                </c:pt>
                <c:pt idx="253">
                  <c:v>14.05415</c:v>
                </c:pt>
                <c:pt idx="254">
                  <c:v>14.1097</c:v>
                </c:pt>
                <c:pt idx="255">
                  <c:v>14.16525</c:v>
                </c:pt>
                <c:pt idx="256">
                  <c:v>14.220800000000001</c:v>
                </c:pt>
                <c:pt idx="257">
                  <c:v>14.276350000000001</c:v>
                </c:pt>
                <c:pt idx="258">
                  <c:v>14.331899999999999</c:v>
                </c:pt>
                <c:pt idx="259">
                  <c:v>14.387449999999999</c:v>
                </c:pt>
                <c:pt idx="260">
                  <c:v>14.443</c:v>
                </c:pt>
                <c:pt idx="261">
                  <c:v>14.49855</c:v>
                </c:pt>
                <c:pt idx="262">
                  <c:v>14.5541</c:v>
                </c:pt>
                <c:pt idx="263">
                  <c:v>14.60965</c:v>
                </c:pt>
                <c:pt idx="264">
                  <c:v>14.6652</c:v>
                </c:pt>
                <c:pt idx="265">
                  <c:v>14.720750000000001</c:v>
                </c:pt>
                <c:pt idx="266">
                  <c:v>14.776300000000001</c:v>
                </c:pt>
                <c:pt idx="267">
                  <c:v>14.831849999999999</c:v>
                </c:pt>
                <c:pt idx="268">
                  <c:v>14.8874</c:v>
                </c:pt>
                <c:pt idx="269">
                  <c:v>14.94295</c:v>
                </c:pt>
                <c:pt idx="270">
                  <c:v>14.9985</c:v>
                </c:pt>
                <c:pt idx="271">
                  <c:v>15.05405</c:v>
                </c:pt>
                <c:pt idx="272">
                  <c:v>15.1096</c:v>
                </c:pt>
                <c:pt idx="273">
                  <c:v>15.165150000000001</c:v>
                </c:pt>
                <c:pt idx="274">
                  <c:v>15.220700000000001</c:v>
                </c:pt>
                <c:pt idx="275">
                  <c:v>15.276249999999999</c:v>
                </c:pt>
                <c:pt idx="276">
                  <c:v>15.331799999999999</c:v>
                </c:pt>
                <c:pt idx="277">
                  <c:v>15.38735</c:v>
                </c:pt>
                <c:pt idx="278">
                  <c:v>15.4429</c:v>
                </c:pt>
                <c:pt idx="279">
                  <c:v>15.49845</c:v>
                </c:pt>
                <c:pt idx="280">
                  <c:v>15.554</c:v>
                </c:pt>
                <c:pt idx="281">
                  <c:v>15.60955</c:v>
                </c:pt>
                <c:pt idx="282">
                  <c:v>15.665100000000001</c:v>
                </c:pt>
                <c:pt idx="283">
                  <c:v>15.720649999999999</c:v>
                </c:pt>
                <c:pt idx="284">
                  <c:v>15.776199999999999</c:v>
                </c:pt>
                <c:pt idx="285">
                  <c:v>15.83175</c:v>
                </c:pt>
                <c:pt idx="286">
                  <c:v>15.8873</c:v>
                </c:pt>
                <c:pt idx="287">
                  <c:v>15.94285</c:v>
                </c:pt>
                <c:pt idx="288">
                  <c:v>15.9984</c:v>
                </c:pt>
                <c:pt idx="289">
                  <c:v>16.05395</c:v>
                </c:pt>
                <c:pt idx="290">
                  <c:v>16.109500000000001</c:v>
                </c:pt>
                <c:pt idx="291">
                  <c:v>16.165050000000001</c:v>
                </c:pt>
                <c:pt idx="292">
                  <c:v>16.220600000000001</c:v>
                </c:pt>
                <c:pt idx="293">
                  <c:v>16.276150000000001</c:v>
                </c:pt>
                <c:pt idx="294">
                  <c:v>16.331700000000001</c:v>
                </c:pt>
                <c:pt idx="295">
                  <c:v>16.387250000000002</c:v>
                </c:pt>
                <c:pt idx="296">
                  <c:v>16.442799999999998</c:v>
                </c:pt>
                <c:pt idx="297">
                  <c:v>16.498349999999999</c:v>
                </c:pt>
                <c:pt idx="298">
                  <c:v>16.553899999999999</c:v>
                </c:pt>
                <c:pt idx="299">
                  <c:v>16.609449999999999</c:v>
                </c:pt>
                <c:pt idx="300">
                  <c:v>16.664999999999999</c:v>
                </c:pt>
                <c:pt idx="301">
                  <c:v>16.720549999999999</c:v>
                </c:pt>
                <c:pt idx="302">
                  <c:v>16.7761</c:v>
                </c:pt>
                <c:pt idx="303">
                  <c:v>16.83165</c:v>
                </c:pt>
                <c:pt idx="304">
                  <c:v>16.8872</c:v>
                </c:pt>
                <c:pt idx="305">
                  <c:v>16.94275</c:v>
                </c:pt>
                <c:pt idx="306">
                  <c:v>16.9983</c:v>
                </c:pt>
                <c:pt idx="307">
                  <c:v>17.053850000000001</c:v>
                </c:pt>
                <c:pt idx="308">
                  <c:v>17.109400000000001</c:v>
                </c:pt>
                <c:pt idx="309">
                  <c:v>17.164950000000001</c:v>
                </c:pt>
                <c:pt idx="310">
                  <c:v>17.220500000000001</c:v>
                </c:pt>
                <c:pt idx="311">
                  <c:v>17.276050000000001</c:v>
                </c:pt>
                <c:pt idx="312">
                  <c:v>17.331600000000002</c:v>
                </c:pt>
                <c:pt idx="313">
                  <c:v>17.387149999999998</c:v>
                </c:pt>
                <c:pt idx="314">
                  <c:v>17.442699999999999</c:v>
                </c:pt>
                <c:pt idx="315">
                  <c:v>17.498249999999999</c:v>
                </c:pt>
                <c:pt idx="316">
                  <c:v>17.553799999999999</c:v>
                </c:pt>
                <c:pt idx="317">
                  <c:v>17.609349999999999</c:v>
                </c:pt>
                <c:pt idx="318">
                  <c:v>17.664899999999999</c:v>
                </c:pt>
                <c:pt idx="319">
                  <c:v>17.72045</c:v>
                </c:pt>
                <c:pt idx="320">
                  <c:v>17.776</c:v>
                </c:pt>
                <c:pt idx="321">
                  <c:v>17.83155</c:v>
                </c:pt>
                <c:pt idx="322">
                  <c:v>17.8871</c:v>
                </c:pt>
                <c:pt idx="323">
                  <c:v>17.94265</c:v>
                </c:pt>
                <c:pt idx="324">
                  <c:v>17.998200000000001</c:v>
                </c:pt>
                <c:pt idx="325">
                  <c:v>18.053750000000001</c:v>
                </c:pt>
                <c:pt idx="326">
                  <c:v>18.109300000000001</c:v>
                </c:pt>
                <c:pt idx="327">
                  <c:v>18.164850000000001</c:v>
                </c:pt>
                <c:pt idx="328">
                  <c:v>18.220400000000001</c:v>
                </c:pt>
                <c:pt idx="329">
                  <c:v>18.275950000000002</c:v>
                </c:pt>
                <c:pt idx="330">
                  <c:v>18.331499999999998</c:v>
                </c:pt>
                <c:pt idx="331">
                  <c:v>18.387049999999999</c:v>
                </c:pt>
                <c:pt idx="332">
                  <c:v>18.442599999999999</c:v>
                </c:pt>
                <c:pt idx="333">
                  <c:v>18.498149999999999</c:v>
                </c:pt>
                <c:pt idx="334">
                  <c:v>18.553699999999999</c:v>
                </c:pt>
                <c:pt idx="335">
                  <c:v>18.609249999999999</c:v>
                </c:pt>
                <c:pt idx="336">
                  <c:v>18.6648</c:v>
                </c:pt>
                <c:pt idx="337">
                  <c:v>18.72035</c:v>
                </c:pt>
                <c:pt idx="338">
                  <c:v>18.7759</c:v>
                </c:pt>
                <c:pt idx="339">
                  <c:v>18.83145</c:v>
                </c:pt>
                <c:pt idx="340">
                  <c:v>18.887</c:v>
                </c:pt>
                <c:pt idx="341">
                  <c:v>18.942550000000001</c:v>
                </c:pt>
                <c:pt idx="342">
                  <c:v>18.998100000000001</c:v>
                </c:pt>
                <c:pt idx="343">
                  <c:v>19.053650000000001</c:v>
                </c:pt>
                <c:pt idx="344">
                  <c:v>19.109200000000001</c:v>
                </c:pt>
                <c:pt idx="345">
                  <c:v>19.164750000000002</c:v>
                </c:pt>
                <c:pt idx="346">
                  <c:v>19.220300000000002</c:v>
                </c:pt>
                <c:pt idx="347">
                  <c:v>19.275849999999998</c:v>
                </c:pt>
                <c:pt idx="348">
                  <c:v>19.331399999999999</c:v>
                </c:pt>
                <c:pt idx="349">
                  <c:v>19.386949999999999</c:v>
                </c:pt>
                <c:pt idx="350">
                  <c:v>19.442499999999999</c:v>
                </c:pt>
                <c:pt idx="351">
                  <c:v>19.498049999999999</c:v>
                </c:pt>
                <c:pt idx="352">
                  <c:v>19.553599999999999</c:v>
                </c:pt>
                <c:pt idx="353">
                  <c:v>19.60915</c:v>
                </c:pt>
                <c:pt idx="354">
                  <c:v>19.6647</c:v>
                </c:pt>
                <c:pt idx="355">
                  <c:v>19.72025</c:v>
                </c:pt>
                <c:pt idx="356">
                  <c:v>19.7758</c:v>
                </c:pt>
                <c:pt idx="357">
                  <c:v>19.83135</c:v>
                </c:pt>
                <c:pt idx="358">
                  <c:v>19.886900000000001</c:v>
                </c:pt>
                <c:pt idx="359">
                  <c:v>19.942450000000001</c:v>
                </c:pt>
                <c:pt idx="360">
                  <c:v>19.998000000000001</c:v>
                </c:pt>
                <c:pt idx="361">
                  <c:v>20.053550000000001</c:v>
                </c:pt>
                <c:pt idx="362">
                  <c:v>20.109100000000002</c:v>
                </c:pt>
                <c:pt idx="363">
                  <c:v>20.164650000000002</c:v>
                </c:pt>
                <c:pt idx="364">
                  <c:v>20.220199999999998</c:v>
                </c:pt>
                <c:pt idx="365">
                  <c:v>20.275749999999999</c:v>
                </c:pt>
                <c:pt idx="366">
                  <c:v>20.331299999999999</c:v>
                </c:pt>
                <c:pt idx="367">
                  <c:v>20.386849999999999</c:v>
                </c:pt>
                <c:pt idx="368">
                  <c:v>20.442399999999999</c:v>
                </c:pt>
                <c:pt idx="369">
                  <c:v>20.497949999999999</c:v>
                </c:pt>
                <c:pt idx="370">
                  <c:v>20.5535</c:v>
                </c:pt>
                <c:pt idx="371">
                  <c:v>20.60905</c:v>
                </c:pt>
                <c:pt idx="372">
                  <c:v>20.6646</c:v>
                </c:pt>
                <c:pt idx="373">
                  <c:v>20.72015</c:v>
                </c:pt>
                <c:pt idx="374">
                  <c:v>20.775700000000001</c:v>
                </c:pt>
                <c:pt idx="375">
                  <c:v>20.831250000000001</c:v>
                </c:pt>
                <c:pt idx="376">
                  <c:v>20.886800000000001</c:v>
                </c:pt>
                <c:pt idx="377">
                  <c:v>20.942350000000001</c:v>
                </c:pt>
                <c:pt idx="378">
                  <c:v>20.997900000000001</c:v>
                </c:pt>
                <c:pt idx="379">
                  <c:v>21.053450000000002</c:v>
                </c:pt>
                <c:pt idx="380">
                  <c:v>21.109000000000002</c:v>
                </c:pt>
                <c:pt idx="381">
                  <c:v>21.164549999999998</c:v>
                </c:pt>
                <c:pt idx="382">
                  <c:v>21.220099999999999</c:v>
                </c:pt>
                <c:pt idx="383">
                  <c:v>21.275649999999999</c:v>
                </c:pt>
                <c:pt idx="384">
                  <c:v>21.331199999999999</c:v>
                </c:pt>
                <c:pt idx="385">
                  <c:v>21.386749999999999</c:v>
                </c:pt>
                <c:pt idx="386">
                  <c:v>21.442299999999999</c:v>
                </c:pt>
                <c:pt idx="387">
                  <c:v>21.49785</c:v>
                </c:pt>
                <c:pt idx="388">
                  <c:v>21.5534</c:v>
                </c:pt>
                <c:pt idx="389">
                  <c:v>21.60895</c:v>
                </c:pt>
                <c:pt idx="390">
                  <c:v>21.6645</c:v>
                </c:pt>
                <c:pt idx="391">
                  <c:v>21.720050000000001</c:v>
                </c:pt>
                <c:pt idx="392">
                  <c:v>21.775600000000001</c:v>
                </c:pt>
                <c:pt idx="393">
                  <c:v>21.831150000000001</c:v>
                </c:pt>
                <c:pt idx="394">
                  <c:v>21.886700000000001</c:v>
                </c:pt>
                <c:pt idx="395">
                  <c:v>21.942250000000001</c:v>
                </c:pt>
                <c:pt idx="396">
                  <c:v>21.997800000000002</c:v>
                </c:pt>
                <c:pt idx="397">
                  <c:v>22.053349999999998</c:v>
                </c:pt>
                <c:pt idx="398">
                  <c:v>22.108899999999998</c:v>
                </c:pt>
                <c:pt idx="399">
                  <c:v>22.164449999999999</c:v>
                </c:pt>
                <c:pt idx="400">
                  <c:v>22.22</c:v>
                </c:pt>
                <c:pt idx="401">
                  <c:v>22.275549999999999</c:v>
                </c:pt>
                <c:pt idx="402">
                  <c:v>22.331099999999999</c:v>
                </c:pt>
                <c:pt idx="403">
                  <c:v>22.386649999999999</c:v>
                </c:pt>
                <c:pt idx="404">
                  <c:v>22.4422</c:v>
                </c:pt>
                <c:pt idx="405">
                  <c:v>22.49775</c:v>
                </c:pt>
                <c:pt idx="406">
                  <c:v>22.5533</c:v>
                </c:pt>
                <c:pt idx="407">
                  <c:v>22.60885</c:v>
                </c:pt>
                <c:pt idx="408">
                  <c:v>22.664400000000001</c:v>
                </c:pt>
                <c:pt idx="409">
                  <c:v>22.719950000000001</c:v>
                </c:pt>
                <c:pt idx="410">
                  <c:v>22.775500000000001</c:v>
                </c:pt>
                <c:pt idx="411">
                  <c:v>22.831050000000001</c:v>
                </c:pt>
                <c:pt idx="412">
                  <c:v>22.886600000000001</c:v>
                </c:pt>
                <c:pt idx="413">
                  <c:v>22.942150000000002</c:v>
                </c:pt>
                <c:pt idx="414">
                  <c:v>22.997699999999998</c:v>
                </c:pt>
                <c:pt idx="415">
                  <c:v>23.053249999999998</c:v>
                </c:pt>
                <c:pt idx="416">
                  <c:v>23.108799999999999</c:v>
                </c:pt>
                <c:pt idx="417">
                  <c:v>23.164349999999999</c:v>
                </c:pt>
                <c:pt idx="418">
                  <c:v>23.219899999999999</c:v>
                </c:pt>
              </c:numCache>
            </c:numRef>
          </c:cat>
          <c:val>
            <c:numRef>
              <c:f>'01-11-2021'!$AR$2:$AR$420</c:f>
              <c:numCache>
                <c:formatCode>General</c:formatCode>
                <c:ptCount val="419"/>
                <c:pt idx="9" formatCode="0.00">
                  <c:v>0</c:v>
                </c:pt>
                <c:pt idx="10" formatCode="0.00">
                  <c:v>0</c:v>
                </c:pt>
                <c:pt idx="11" formatCode="0.00">
                  <c:v>0</c:v>
                </c:pt>
                <c:pt idx="12" formatCode="0.00">
                  <c:v>0</c:v>
                </c:pt>
                <c:pt idx="13" formatCode="0.00">
                  <c:v>0</c:v>
                </c:pt>
                <c:pt idx="14" formatCode="0.00">
                  <c:v>0</c:v>
                </c:pt>
                <c:pt idx="15" formatCode="0.00">
                  <c:v>0</c:v>
                </c:pt>
                <c:pt idx="16" formatCode="0.00">
                  <c:v>0</c:v>
                </c:pt>
                <c:pt idx="17" formatCode="0.00">
                  <c:v>0</c:v>
                </c:pt>
                <c:pt idx="18" formatCode="0.000">
                  <c:v>4.0144999999999998E-3</c:v>
                </c:pt>
                <c:pt idx="19" formatCode="0.000">
                  <c:v>3.9041166666666662E-2</c:v>
                </c:pt>
                <c:pt idx="20" formatCode="0.000">
                  <c:v>0.10286000000000001</c:v>
                </c:pt>
                <c:pt idx="21" formatCode="0.000">
                  <c:v>0.21029799999999998</c:v>
                </c:pt>
                <c:pt idx="22" formatCode="0.000">
                  <c:v>0.36992533333333333</c:v>
                </c:pt>
                <c:pt idx="23" formatCode="0.000">
                  <c:v>0.54043200000000002</c:v>
                </c:pt>
                <c:pt idx="24" formatCode="0.000">
                  <c:v>0.80960549999999998</c:v>
                </c:pt>
                <c:pt idx="25" formatCode="0.000">
                  <c:v>1.3495185000000001</c:v>
                </c:pt>
                <c:pt idx="26" formatCode="0.000">
                  <c:v>1.8253344999999999</c:v>
                </c:pt>
                <c:pt idx="27" formatCode="0.000">
                  <c:v>2.6305036666666668</c:v>
                </c:pt>
                <c:pt idx="28" formatCode="0.000">
                  <c:v>3.4063680000000001</c:v>
                </c:pt>
                <c:pt idx="29" formatCode="0.000">
                  <c:v>3.9989806666666672</c:v>
                </c:pt>
                <c:pt idx="30" formatCode="0.000">
                  <c:v>4.6111895000000001</c:v>
                </c:pt>
                <c:pt idx="31" formatCode="0.000">
                  <c:v>5.5754813333333342</c:v>
                </c:pt>
                <c:pt idx="32" formatCode="0.000">
                  <c:v>6.0851560000000005</c:v>
                </c:pt>
                <c:pt idx="33" formatCode="0.000">
                  <c:v>6.4951379999999999</c:v>
                </c:pt>
                <c:pt idx="34" formatCode="0.000">
                  <c:v>6.6591649999999998</c:v>
                </c:pt>
                <c:pt idx="35" formatCode="0.000">
                  <c:v>6.7047593333333335</c:v>
                </c:pt>
                <c:pt idx="36" formatCode="0.000">
                  <c:v>6.7883775000000002</c:v>
                </c:pt>
                <c:pt idx="37" formatCode="0.000">
                  <c:v>6.7883775000000002</c:v>
                </c:pt>
                <c:pt idx="38" formatCode="0.000">
                  <c:v>6.5253258333333326</c:v>
                </c:pt>
                <c:pt idx="39" formatCode="0.000">
                  <c:v>6.5010193333333328</c:v>
                </c:pt>
                <c:pt idx="40" formatCode="0.000">
                  <c:v>6.5147241666666664</c:v>
                </c:pt>
                <c:pt idx="41" formatCode="0.000">
                  <c:v>6.5147241666666664</c:v>
                </c:pt>
                <c:pt idx="42" formatCode="0.000">
                  <c:v>6.6820374999999999</c:v>
                </c:pt>
                <c:pt idx="43" formatCode="0.000">
                  <c:v>7.0840880000000004</c:v>
                </c:pt>
                <c:pt idx="44" formatCode="0.000">
                  <c:v>7.2613940000000001</c:v>
                </c:pt>
                <c:pt idx="45" formatCode="0.000">
                  <c:v>7.214760000000001</c:v>
                </c:pt>
                <c:pt idx="46" formatCode="0.000">
                  <c:v>7.6274420000000012</c:v>
                </c:pt>
                <c:pt idx="47" formatCode="0.000">
                  <c:v>9.0905626666666688</c:v>
                </c:pt>
                <c:pt idx="48" formatCode="0.000">
                  <c:v>9.5206300000000006</c:v>
                </c:pt>
                <c:pt idx="49" formatCode="0.000">
                  <c:v>9.8853170000000006</c:v>
                </c:pt>
                <c:pt idx="50" formatCode="0.000">
                  <c:v>10.632159999999999</c:v>
                </c:pt>
                <c:pt idx="51" formatCode="0.000">
                  <c:v>11.328111666666667</c:v>
                </c:pt>
                <c:pt idx="52" formatCode="0.000">
                  <c:v>11.827715</c:v>
                </c:pt>
                <c:pt idx="53" formatCode="0.000">
                  <c:v>11.508104999999999</c:v>
                </c:pt>
                <c:pt idx="54" formatCode="0.000">
                  <c:v>10.439724999999999</c:v>
                </c:pt>
                <c:pt idx="55" formatCode="0.000">
                  <c:v>9.211411833333333</c:v>
                </c:pt>
                <c:pt idx="56" formatCode="0.000">
                  <c:v>13.215793333333332</c:v>
                </c:pt>
                <c:pt idx="57" formatCode="0.000">
                  <c:v>14.798616666666668</c:v>
                </c:pt>
                <c:pt idx="58" formatCode="0.000">
                  <c:v>15.156586666666666</c:v>
                </c:pt>
                <c:pt idx="59" formatCode="0.000">
                  <c:v>15.083019999999999</c:v>
                </c:pt>
                <c:pt idx="60" formatCode="0.000">
                  <c:v>15.25149</c:v>
                </c:pt>
                <c:pt idx="61" formatCode="0.000">
                  <c:v>15.279705</c:v>
                </c:pt>
                <c:pt idx="62" formatCode="0.000">
                  <c:v>15.279705</c:v>
                </c:pt>
                <c:pt idx="63" formatCode="0.000">
                  <c:v>15.279705</c:v>
                </c:pt>
                <c:pt idx="64" formatCode="0.000">
                  <c:v>15.221760000000002</c:v>
                </c:pt>
                <c:pt idx="65" formatCode="0.000">
                  <c:v>15.279705</c:v>
                </c:pt>
                <c:pt idx="66" formatCode="0.000">
                  <c:v>15.176069999999999</c:v>
                </c:pt>
                <c:pt idx="67" formatCode="0.000">
                  <c:v>14.954963333333332</c:v>
                </c:pt>
                <c:pt idx="68" formatCode="0.000">
                  <c:v>14.697550000000001</c:v>
                </c:pt>
                <c:pt idx="69" formatCode="0.000">
                  <c:v>14.095666666666666</c:v>
                </c:pt>
                <c:pt idx="70" formatCode="0.000">
                  <c:v>13.11552</c:v>
                </c:pt>
                <c:pt idx="71" formatCode="0.000">
                  <c:v>12.054073333333333</c:v>
                </c:pt>
                <c:pt idx="72" formatCode="0.000">
                  <c:v>12.012738333333333</c:v>
                </c:pt>
                <c:pt idx="73" formatCode="0.000">
                  <c:v>12.48498</c:v>
                </c:pt>
                <c:pt idx="74" formatCode="0.000">
                  <c:v>12.374295</c:v>
                </c:pt>
                <c:pt idx="75" formatCode="0.000">
                  <c:v>12.384049999999998</c:v>
                </c:pt>
                <c:pt idx="76" formatCode="0.000">
                  <c:v>8.6295559999999991</c:v>
                </c:pt>
                <c:pt idx="77" formatCode="0.000">
                  <c:v>2.1522760000000001</c:v>
                </c:pt>
                <c:pt idx="78" formatCode="0.000">
                  <c:v>2.1815416666666665</c:v>
                </c:pt>
                <c:pt idx="79" formatCode="0.000">
                  <c:v>2.3166666666666669</c:v>
                </c:pt>
                <c:pt idx="80" formatCode="0.000">
                  <c:v>2.4260416666666669</c:v>
                </c:pt>
                <c:pt idx="81" formatCode="0.000">
                  <c:v>2.2447916666666665</c:v>
                </c:pt>
                <c:pt idx="82" formatCode="0.000">
                  <c:v>2.4895236666666669</c:v>
                </c:pt>
                <c:pt idx="83" formatCode="0.000">
                  <c:v>2.6291776666666671</c:v>
                </c:pt>
                <c:pt idx="84" formatCode="0.000">
                  <c:v>2.6380571666666666</c:v>
                </c:pt>
                <c:pt idx="85" formatCode="0.000">
                  <c:v>2.7461998333333333</c:v>
                </c:pt>
                <c:pt idx="86" formatCode="0.000">
                  <c:v>3.4816811666666663</c:v>
                </c:pt>
                <c:pt idx="87" formatCode="0.000">
                  <c:v>6.5567833333333327</c:v>
                </c:pt>
                <c:pt idx="88" formatCode="0.000">
                  <c:v>11.77511</c:v>
                </c:pt>
                <c:pt idx="89" formatCode="0.000">
                  <c:v>13.868785000000001</c:v>
                </c:pt>
                <c:pt idx="90" formatCode="0.000">
                  <c:v>14.827995000000001</c:v>
                </c:pt>
                <c:pt idx="91" formatCode="0.000">
                  <c:v>14.715843333333332</c:v>
                </c:pt>
                <c:pt idx="92" formatCode="0.000">
                  <c:v>14.85533</c:v>
                </c:pt>
                <c:pt idx="93" formatCode="0.000">
                  <c:v>14.954963333333332</c:v>
                </c:pt>
                <c:pt idx="94" formatCode="0.000">
                  <c:v>14.925073333333335</c:v>
                </c:pt>
                <c:pt idx="95" formatCode="0.000">
                  <c:v>15.024706666666667</c:v>
                </c:pt>
                <c:pt idx="96" formatCode="0.000">
                  <c:v>15.066675000000002</c:v>
                </c:pt>
                <c:pt idx="97" formatCode="0.000">
                  <c:v>15.136289999999999</c:v>
                </c:pt>
                <c:pt idx="98" formatCode="0.000">
                  <c:v>15.205905000000003</c:v>
                </c:pt>
                <c:pt idx="99" formatCode="0.000">
                  <c:v>15.263826666666667</c:v>
                </c:pt>
                <c:pt idx="100" formatCode="0.000">
                  <c:v>15.305354999999999</c:v>
                </c:pt>
                <c:pt idx="101" formatCode="0.000">
                  <c:v>15.345135000000001</c:v>
                </c:pt>
                <c:pt idx="102" formatCode="0.000">
                  <c:v>15.388916666666667</c:v>
                </c:pt>
                <c:pt idx="103" formatCode="0.000">
                  <c:v>15.458414999999999</c:v>
                </c:pt>
                <c:pt idx="104" formatCode="0.000">
                  <c:v>15.488200000000001</c:v>
                </c:pt>
                <c:pt idx="105" formatCode="0.000">
                  <c:v>15.583814999999998</c:v>
                </c:pt>
                <c:pt idx="106" formatCode="0.000">
                  <c:v>15.627196666666668</c:v>
                </c:pt>
                <c:pt idx="107" formatCode="0.000">
                  <c:v>15.637980000000001</c:v>
                </c:pt>
                <c:pt idx="108" formatCode="0.000">
                  <c:v>15.66771</c:v>
                </c:pt>
                <c:pt idx="109" formatCode="0.000">
                  <c:v>15.710613333333335</c:v>
                </c:pt>
                <c:pt idx="110" formatCode="0.000">
                  <c:v>15.710613333333335</c:v>
                </c:pt>
                <c:pt idx="111" formatCode="0.000">
                  <c:v>15.819440000000002</c:v>
                </c:pt>
                <c:pt idx="112" formatCode="0.000">
                  <c:v>15.822419999999999</c:v>
                </c:pt>
                <c:pt idx="113" formatCode="0.000">
                  <c:v>15.921186666666665</c:v>
                </c:pt>
                <c:pt idx="114" formatCode="0.000">
                  <c:v>15.891633333333333</c:v>
                </c:pt>
                <c:pt idx="115" formatCode="0.000">
                  <c:v>16.000074999999999</c:v>
                </c:pt>
                <c:pt idx="116" formatCode="0.000">
                  <c:v>16.000074999999999</c:v>
                </c:pt>
                <c:pt idx="117" formatCode="0.000">
                  <c:v>16.041916666666665</c:v>
                </c:pt>
                <c:pt idx="118" formatCode="0.000">
                  <c:v>16.110808333333331</c:v>
                </c:pt>
                <c:pt idx="119" formatCode="0.000">
                  <c:v>16.1797</c:v>
                </c:pt>
                <c:pt idx="120" formatCode="0.000">
                  <c:v>16.209224999999996</c:v>
                </c:pt>
                <c:pt idx="121" formatCode="0.000">
                  <c:v>16.287086666666667</c:v>
                </c:pt>
                <c:pt idx="122" formatCode="0.000">
                  <c:v>16.357520000000001</c:v>
                </c:pt>
                <c:pt idx="123" formatCode="0.000">
                  <c:v>16.357520000000001</c:v>
                </c:pt>
                <c:pt idx="124" formatCode="0.000">
                  <c:v>16.455586666666669</c:v>
                </c:pt>
                <c:pt idx="125" formatCode="0.000">
                  <c:v>16.494813333333333</c:v>
                </c:pt>
                <c:pt idx="126" formatCode="0.000">
                  <c:v>16.524233333333335</c:v>
                </c:pt>
                <c:pt idx="127" formatCode="0.000">
                  <c:v>16.601013333333331</c:v>
                </c:pt>
                <c:pt idx="128" formatCode="0.000">
                  <c:v>16.630378333333333</c:v>
                </c:pt>
                <c:pt idx="129" formatCode="0.000">
                  <c:v>16.738865000000001</c:v>
                </c:pt>
                <c:pt idx="130" formatCode="0.000">
                  <c:v>16.738865000000001</c:v>
                </c:pt>
                <c:pt idx="131" formatCode="0.000">
                  <c:v>16.875668333333333</c:v>
                </c:pt>
                <c:pt idx="132" formatCode="0.000">
                  <c:v>16.875668333333333</c:v>
                </c:pt>
                <c:pt idx="133" formatCode="0.000">
                  <c:v>17.009813333333334</c:v>
                </c:pt>
                <c:pt idx="134" formatCode="0.000">
                  <c:v>17.117100000000001</c:v>
                </c:pt>
                <c:pt idx="135" formatCode="0.000">
                  <c:v>17.224163333333337</c:v>
                </c:pt>
                <c:pt idx="136" formatCode="0.000">
                  <c:v>17.29232</c:v>
                </c:pt>
                <c:pt idx="137" formatCode="0.000">
                  <c:v>17.395816666666665</c:v>
                </c:pt>
                <c:pt idx="138" formatCode="0.000">
                  <c:v>17.395816666666665</c:v>
                </c:pt>
                <c:pt idx="139" formatCode="0.000">
                  <c:v>17.501806666666667</c:v>
                </c:pt>
                <c:pt idx="140" formatCode="0.000">
                  <c:v>17.47174</c:v>
                </c:pt>
                <c:pt idx="141" formatCode="0.000">
                  <c:v>17.535333333333334</c:v>
                </c:pt>
                <c:pt idx="142" formatCode="0.000">
                  <c:v>17.539265</c:v>
                </c:pt>
                <c:pt idx="143" formatCode="0.000">
                  <c:v>17.605065</c:v>
                </c:pt>
                <c:pt idx="144" formatCode="0.000">
                  <c:v>17.646359999999998</c:v>
                </c:pt>
                <c:pt idx="145" formatCode="0.000">
                  <c:v>17.677340000000001</c:v>
                </c:pt>
                <c:pt idx="146" formatCode="0.000">
                  <c:v>17.717130000000001</c:v>
                </c:pt>
                <c:pt idx="147" formatCode="0.000">
                  <c:v>17.784574999999997</c:v>
                </c:pt>
                <c:pt idx="148" formatCode="0.000">
                  <c:v>17.781666666666666</c:v>
                </c:pt>
                <c:pt idx="149" formatCode="0.000">
                  <c:v>17.847793333333332</c:v>
                </c:pt>
                <c:pt idx="150" formatCode="0.000">
                  <c:v>17.978658333333332</c:v>
                </c:pt>
                <c:pt idx="151" formatCode="0.000">
                  <c:v>17.909836666666664</c:v>
                </c:pt>
                <c:pt idx="152" formatCode="0.000">
                  <c:v>17.803041666666669</c:v>
                </c:pt>
                <c:pt idx="153" formatCode="0.000">
                  <c:v>17.832750000000001</c:v>
                </c:pt>
                <c:pt idx="154" formatCode="0.000">
                  <c:v>17.521673333333332</c:v>
                </c:pt>
                <c:pt idx="155" formatCode="0.000">
                  <c:v>17.035666666666668</c:v>
                </c:pt>
                <c:pt idx="156" formatCode="0.000">
                  <c:v>16.574266666666666</c:v>
                </c:pt>
                <c:pt idx="157" formatCode="0.000">
                  <c:v>16.034328333333331</c:v>
                </c:pt>
                <c:pt idx="158" formatCode="0.000">
                  <c:v>15.536436666666665</c:v>
                </c:pt>
                <c:pt idx="159" formatCode="0.000">
                  <c:v>14.806403333333332</c:v>
                </c:pt>
                <c:pt idx="160" formatCode="0.000">
                  <c:v>14.079688333333333</c:v>
                </c:pt>
                <c:pt idx="161" formatCode="0.000">
                  <c:v>13.436861666666669</c:v>
                </c:pt>
                <c:pt idx="162" formatCode="0.000">
                  <c:v>12.700228333333333</c:v>
                </c:pt>
                <c:pt idx="163" formatCode="0.000">
                  <c:v>11.938079999999999</c:v>
                </c:pt>
                <c:pt idx="164" formatCode="0.000">
                  <c:v>11.257806666666667</c:v>
                </c:pt>
                <c:pt idx="165" formatCode="0.000">
                  <c:v>10.56912</c:v>
                </c:pt>
                <c:pt idx="166" formatCode="0.000">
                  <c:v>9.8574750000000009</c:v>
                </c:pt>
                <c:pt idx="167" formatCode="0.000">
                  <c:v>9.1978533333333328</c:v>
                </c:pt>
                <c:pt idx="168" formatCode="0.000">
                  <c:v>8.6749166666666664</c:v>
                </c:pt>
                <c:pt idx="169" formatCode="0.000">
                  <c:v>8.0600116666666661</c:v>
                </c:pt>
                <c:pt idx="170" formatCode="0.000">
                  <c:v>7.50204</c:v>
                </c:pt>
                <c:pt idx="171" formatCode="0.000">
                  <c:v>7.1552916666666668</c:v>
                </c:pt>
                <c:pt idx="172" formatCode="0.000">
                  <c:v>7.7821099999999994</c:v>
                </c:pt>
                <c:pt idx="173" formatCode="0.000">
                  <c:v>7.5784799999999999</c:v>
                </c:pt>
                <c:pt idx="174" formatCode="0.000">
                  <c:v>7.1656366666666678</c:v>
                </c:pt>
                <c:pt idx="175" formatCode="0.000">
                  <c:v>6.6599900000000005</c:v>
                </c:pt>
                <c:pt idx="176" formatCode="0.000">
                  <c:v>6.2008900000000002</c:v>
                </c:pt>
                <c:pt idx="177" formatCode="0.000">
                  <c:v>5.7719750000000003</c:v>
                </c:pt>
                <c:pt idx="178" formatCode="0.000">
                  <c:v>5.3171666666666662</c:v>
                </c:pt>
                <c:pt idx="179" formatCode="0.000">
                  <c:v>4.9196866666666663</c:v>
                </c:pt>
                <c:pt idx="180" formatCode="0.000">
                  <c:v>4.5424800000000003</c:v>
                </c:pt>
                <c:pt idx="181" formatCode="0.000">
                  <c:v>4.2014983333333333</c:v>
                </c:pt>
                <c:pt idx="182" formatCode="0.000">
                  <c:v>3.8376716666666666</c:v>
                </c:pt>
                <c:pt idx="183" formatCode="0.000">
                  <c:v>3.4804650000000001</c:v>
                </c:pt>
                <c:pt idx="184" formatCode="0.000">
                  <c:v>3.2184666666666666</c:v>
                </c:pt>
                <c:pt idx="185" formatCode="0.000">
                  <c:v>2.9980716666666667</c:v>
                </c:pt>
                <c:pt idx="186" formatCode="0.000">
                  <c:v>2.7518399999999996</c:v>
                </c:pt>
                <c:pt idx="187" formatCode="0.000">
                  <c:v>2.5815200000000003</c:v>
                </c:pt>
                <c:pt idx="188" formatCode="0.000">
                  <c:v>2.3559950000000005</c:v>
                </c:pt>
                <c:pt idx="189" formatCode="0.000">
                  <c:v>2.2820400000000003</c:v>
                </c:pt>
                <c:pt idx="190" formatCode="0.000">
                  <c:v>2.1728683333333332</c:v>
                </c:pt>
                <c:pt idx="191" formatCode="0.000">
                  <c:v>2.0211250000000001</c:v>
                </c:pt>
                <c:pt idx="192" formatCode="0.000">
                  <c:v>1.8734949999999999</c:v>
                </c:pt>
                <c:pt idx="193" formatCode="0.000">
                  <c:v>1.7945600000000002</c:v>
                </c:pt>
                <c:pt idx="194" formatCode="0.000">
                  <c:v>1.6551833333333335</c:v>
                </c:pt>
                <c:pt idx="195" formatCode="0.000">
                  <c:v>1.5812283333333335</c:v>
                </c:pt>
                <c:pt idx="196" formatCode="0.000">
                  <c:v>1.4720566666666668</c:v>
                </c:pt>
                <c:pt idx="197" formatCode="0.000">
                  <c:v>1.4741466666666665</c:v>
                </c:pt>
                <c:pt idx="198" formatCode="0.000">
                  <c:v>1.3260266666666667</c:v>
                </c:pt>
                <c:pt idx="199" formatCode="0.000">
                  <c:v>1.2864899999999999</c:v>
                </c:pt>
                <c:pt idx="200" formatCode="0.000">
                  <c:v>1.2149750000000001</c:v>
                </c:pt>
                <c:pt idx="201" formatCode="0.000">
                  <c:v>1.2126749999999999</c:v>
                </c:pt>
                <c:pt idx="202" formatCode="0.000">
                  <c:v>1.1410200000000001</c:v>
                </c:pt>
                <c:pt idx="203" formatCode="0.000">
                  <c:v>1.1426400000000001</c:v>
                </c:pt>
                <c:pt idx="204" formatCode="0.000">
                  <c:v>1.0650449999999998</c:v>
                </c:pt>
                <c:pt idx="205" formatCode="0.000">
                  <c:v>1.0333133333333335</c:v>
                </c:pt>
                <c:pt idx="206" formatCode="0.000">
                  <c:v>1.0333133333333335</c:v>
                </c:pt>
                <c:pt idx="207" formatCode="0.000">
                  <c:v>0.96242666666666665</c:v>
                </c:pt>
                <c:pt idx="208" formatCode="0.000">
                  <c:v>0.88226499999999985</c:v>
                </c:pt>
                <c:pt idx="209" formatCode="0.000">
                  <c:v>0.84520000000000006</c:v>
                </c:pt>
                <c:pt idx="210" formatCode="0.000">
                  <c:v>0.84639999999999993</c:v>
                </c:pt>
                <c:pt idx="211" formatCode="0.000">
                  <c:v>0.80998333333333339</c:v>
                </c:pt>
                <c:pt idx="212" formatCode="0.000">
                  <c:v>0.7758666666666667</c:v>
                </c:pt>
                <c:pt idx="213" formatCode="0.000">
                  <c:v>0.80998333333333339</c:v>
                </c:pt>
                <c:pt idx="214" formatCode="0.000">
                  <c:v>0.7384666666666666</c:v>
                </c:pt>
                <c:pt idx="215" formatCode="0.000">
                  <c:v>0.7384666666666666</c:v>
                </c:pt>
                <c:pt idx="216" formatCode="0.000">
                  <c:v>0.66426666666666667</c:v>
                </c:pt>
                <c:pt idx="217" formatCode="0.000">
                  <c:v>0.66301333333333334</c:v>
                </c:pt>
                <c:pt idx="218" formatCode="0.000">
                  <c:v>0.62774666666666656</c:v>
                </c:pt>
                <c:pt idx="219" formatCode="0.000">
                  <c:v>0.66207333333333329</c:v>
                </c:pt>
                <c:pt idx="220" formatCode="0.000">
                  <c:v>0.66426666666666667</c:v>
                </c:pt>
                <c:pt idx="221" formatCode="0.000">
                  <c:v>0.62893333333333334</c:v>
                </c:pt>
                <c:pt idx="222" formatCode="0.000">
                  <c:v>0.59090166666666666</c:v>
                </c:pt>
                <c:pt idx="223" formatCode="0.000">
                  <c:v>0.55551833333333345</c:v>
                </c:pt>
                <c:pt idx="224" formatCode="0.000">
                  <c:v>0.48121333333333333</c:v>
                </c:pt>
                <c:pt idx="225" formatCode="0.000">
                  <c:v>0.51489333333333331</c:v>
                </c:pt>
                <c:pt idx="226" formatCode="0.000">
                  <c:v>0.4796266666666667</c:v>
                </c:pt>
                <c:pt idx="227" formatCode="0.000">
                  <c:v>0.40499166666666669</c:v>
                </c:pt>
                <c:pt idx="228" formatCode="0.000">
                  <c:v>0.44229166666666669</c:v>
                </c:pt>
                <c:pt idx="229" formatCode="0.000">
                  <c:v>0.37030000000000002</c:v>
                </c:pt>
                <c:pt idx="230" formatCode="0.000">
                  <c:v>0.40690833333333332</c:v>
                </c:pt>
                <c:pt idx="231" formatCode="0.000">
                  <c:v>0.40633333333333332</c:v>
                </c:pt>
                <c:pt idx="232" formatCode="0.000">
                  <c:v>0.44083333333333335</c:v>
                </c:pt>
                <c:pt idx="233" formatCode="0.000">
                  <c:v>0.44083333333333335</c:v>
                </c:pt>
                <c:pt idx="234" formatCode="0.000">
                  <c:v>0.40499166666666669</c:v>
                </c:pt>
                <c:pt idx="235" formatCode="0.000">
                  <c:v>0.40690833333333332</c:v>
                </c:pt>
                <c:pt idx="236" formatCode="0.000">
                  <c:v>0.37100000000000005</c:v>
                </c:pt>
                <c:pt idx="237" formatCode="0.000">
                  <c:v>0.40633333333333332</c:v>
                </c:pt>
                <c:pt idx="238" formatCode="0.000">
                  <c:v>0.36977500000000002</c:v>
                </c:pt>
                <c:pt idx="239" formatCode="0.000">
                  <c:v>0.40499166666666669</c:v>
                </c:pt>
                <c:pt idx="240" formatCode="0.000">
                  <c:v>0.40499166666666669</c:v>
                </c:pt>
                <c:pt idx="241" formatCode="0.000">
                  <c:v>0.37152500000000005</c:v>
                </c:pt>
                <c:pt idx="242" formatCode="0.000">
                  <c:v>0.37152500000000005</c:v>
                </c:pt>
                <c:pt idx="243" formatCode="0.000">
                  <c:v>0.37030000000000002</c:v>
                </c:pt>
                <c:pt idx="244" formatCode="0.000">
                  <c:v>0.37030000000000002</c:v>
                </c:pt>
                <c:pt idx="245" formatCode="0.000">
                  <c:v>0.36977500000000002</c:v>
                </c:pt>
                <c:pt idx="246" formatCode="0.000">
                  <c:v>0.37030000000000002</c:v>
                </c:pt>
                <c:pt idx="247" formatCode="0.000">
                  <c:v>0.33150666666666667</c:v>
                </c:pt>
                <c:pt idx="248" formatCode="0.000">
                  <c:v>0.25793333333333329</c:v>
                </c:pt>
                <c:pt idx="249" formatCode="0.000">
                  <c:v>0.29624</c:v>
                </c:pt>
                <c:pt idx="250" formatCode="0.000">
                  <c:v>0.29679999999999995</c:v>
                </c:pt>
                <c:pt idx="251" formatCode="0.000">
                  <c:v>0.33103666666666665</c:v>
                </c:pt>
                <c:pt idx="252" formatCode="0.000">
                  <c:v>0.33150666666666667</c:v>
                </c:pt>
                <c:pt idx="253" formatCode="0.000">
                  <c:v>0.29581999999999997</c:v>
                </c:pt>
                <c:pt idx="254" formatCode="0.000">
                  <c:v>0.33213333333333334</c:v>
                </c:pt>
                <c:pt idx="255" formatCode="0.000">
                  <c:v>0.21965999999999999</c:v>
                </c:pt>
                <c:pt idx="256" formatCode="0.000">
                  <c:v>0.39828333333333332</c:v>
                </c:pt>
                <c:pt idx="257" formatCode="0.000">
                  <c:v>0.69353166666666666</c:v>
                </c:pt>
                <c:pt idx="258" formatCode="0.000">
                  <c:v>1.01898</c:v>
                </c:pt>
                <c:pt idx="259" formatCode="0.000">
                  <c:v>1.2498200000000002</c:v>
                </c:pt>
                <c:pt idx="260" formatCode="0.000">
                  <c:v>1.3520533333333331</c:v>
                </c:pt>
                <c:pt idx="261" formatCode="0.000">
                  <c:v>1.3536983333333337</c:v>
                </c:pt>
                <c:pt idx="262" formatCode="0.000">
                  <c:v>1.2569600000000001</c:v>
                </c:pt>
                <c:pt idx="263" formatCode="0.000">
                  <c:v>1.234046666666667</c:v>
                </c:pt>
                <c:pt idx="264" formatCode="0.000">
                  <c:v>1.140033333333333</c:v>
                </c:pt>
                <c:pt idx="265" formatCode="0.000">
                  <c:v>1.2450133333333333</c:v>
                </c:pt>
                <c:pt idx="266" formatCode="0.000">
                  <c:v>1.2752483333333335</c:v>
                </c:pt>
                <c:pt idx="267" formatCode="0.000">
                  <c:v>1.2626883333333334</c:v>
                </c:pt>
                <c:pt idx="268" formatCode="0.000">
                  <c:v>1.2629333333333332</c:v>
                </c:pt>
                <c:pt idx="269" formatCode="0.000">
                  <c:v>1.3924583333333334</c:v>
                </c:pt>
                <c:pt idx="270" formatCode="0.000">
                  <c:v>1.3846200000000002</c:v>
                </c:pt>
                <c:pt idx="271" formatCode="0.000">
                  <c:v>1.3953333333333333</c:v>
                </c:pt>
                <c:pt idx="272" formatCode="0.000">
                  <c:v>1.46349</c:v>
                </c:pt>
                <c:pt idx="273" formatCode="0.000">
                  <c:v>1.4900550000000001</c:v>
                </c:pt>
                <c:pt idx="274" formatCode="0.000">
                  <c:v>1.5301366666666667</c:v>
                </c:pt>
                <c:pt idx="275" formatCode="0.000">
                  <c:v>1.56168</c:v>
                </c:pt>
                <c:pt idx="276" formatCode="0.000">
                  <c:v>1.6312450000000003</c:v>
                </c:pt>
                <c:pt idx="277" formatCode="0.000">
                  <c:v>1.6307433333333332</c:v>
                </c:pt>
                <c:pt idx="278" formatCode="0.000">
                  <c:v>1.6814200000000001</c:v>
                </c:pt>
                <c:pt idx="279" formatCode="0.000">
                  <c:v>1.7664</c:v>
                </c:pt>
                <c:pt idx="280" formatCode="0.000">
                  <c:v>1.8066500000000001</c:v>
                </c:pt>
                <c:pt idx="281" formatCode="0.000">
                  <c:v>1.91022</c:v>
                </c:pt>
                <c:pt idx="282" formatCode="0.000">
                  <c:v>1.7908566666666668</c:v>
                </c:pt>
                <c:pt idx="283" formatCode="0.000">
                  <c:v>1.7787600000000001</c:v>
                </c:pt>
                <c:pt idx="284" formatCode="0.000">
                  <c:v>2.0503933333333335</c:v>
                </c:pt>
                <c:pt idx="285" formatCode="0.000">
                  <c:v>2.0995216666666665</c:v>
                </c:pt>
                <c:pt idx="286" formatCode="0.000">
                  <c:v>2.1270383333333331</c:v>
                </c:pt>
                <c:pt idx="287" formatCode="0.000">
                  <c:v>2.1573066666666665</c:v>
                </c:pt>
                <c:pt idx="288" formatCode="0.000">
                  <c:v>2.1481599999999998</c:v>
                </c:pt>
                <c:pt idx="289" formatCode="0.000">
                  <c:v>2.2150916666666669</c:v>
                </c:pt>
                <c:pt idx="290" formatCode="0.000">
                  <c:v>2.2097250000000002</c:v>
                </c:pt>
                <c:pt idx="291" formatCode="0.000">
                  <c:v>2.2331000000000003</c:v>
                </c:pt>
                <c:pt idx="292" formatCode="0.000">
                  <c:v>2.2673699999999997</c:v>
                </c:pt>
                <c:pt idx="293" formatCode="0.000">
                  <c:v>2.2850666666666668</c:v>
                </c:pt>
                <c:pt idx="294" formatCode="0.000">
                  <c:v>2.3250150000000001</c:v>
                </c:pt>
                <c:pt idx="295" formatCode="0.000">
                  <c:v>2.352465</c:v>
                </c:pt>
                <c:pt idx="296" formatCode="0.000">
                  <c:v>2.3424666666666667</c:v>
                </c:pt>
                <c:pt idx="297" formatCode="0.000">
                  <c:v>2.3681933333333332</c:v>
                </c:pt>
                <c:pt idx="298" formatCode="0.000">
                  <c:v>2.3681933333333332</c:v>
                </c:pt>
                <c:pt idx="299" formatCode="0.000">
                  <c:v>2.4168400000000005</c:v>
                </c:pt>
                <c:pt idx="300" formatCode="0.000">
                  <c:v>2.3381816666666664</c:v>
                </c:pt>
                <c:pt idx="301" formatCode="0.000">
                  <c:v>2.4527716666666666</c:v>
                </c:pt>
                <c:pt idx="302" formatCode="0.000">
                  <c:v>2.4800549999999997</c:v>
                </c:pt>
                <c:pt idx="303" formatCode="0.000">
                  <c:v>2.499333333333333</c:v>
                </c:pt>
                <c:pt idx="304" formatCode="0.000">
                  <c:v>2.499333333333333</c:v>
                </c:pt>
                <c:pt idx="305" formatCode="0.000">
                  <c:v>2.5265</c:v>
                </c:pt>
                <c:pt idx="306" formatCode="0.000">
                  <c:v>2.5265</c:v>
                </c:pt>
                <c:pt idx="307" formatCode="0.000">
                  <c:v>2.5265</c:v>
                </c:pt>
                <c:pt idx="308" formatCode="0.000">
                  <c:v>2.5883050000000001</c:v>
                </c:pt>
                <c:pt idx="309" formatCode="0.000">
                  <c:v>2.6022099999999999</c:v>
                </c:pt>
                <c:pt idx="310" formatCode="0.000">
                  <c:v>2.6406000000000001</c:v>
                </c:pt>
                <c:pt idx="311" formatCode="0.000">
                  <c:v>2.6406000000000001</c:v>
                </c:pt>
                <c:pt idx="312" formatCode="0.000">
                  <c:v>2.6454600000000004</c:v>
                </c:pt>
                <c:pt idx="313" formatCode="0.000">
                  <c:v>2.6726766666666673</c:v>
                </c:pt>
                <c:pt idx="314" formatCode="0.000">
                  <c:v>2.69103</c:v>
                </c:pt>
                <c:pt idx="315" formatCode="0.000">
                  <c:v>2.7298316666666667</c:v>
                </c:pt>
                <c:pt idx="316" formatCode="0.000">
                  <c:v>2.7298316666666667</c:v>
                </c:pt>
                <c:pt idx="317" formatCode="0.000">
                  <c:v>2.7806850000000001</c:v>
                </c:pt>
                <c:pt idx="318" formatCode="0.000">
                  <c:v>2.8177066666666666</c:v>
                </c:pt>
                <c:pt idx="319" formatCode="0.000">
                  <c:v>2.81088</c:v>
                </c:pt>
                <c:pt idx="320" formatCode="0.000">
                  <c:v>2.8331599999999999</c:v>
                </c:pt>
                <c:pt idx="321" formatCode="0.000">
                  <c:v>2.8262666666666667</c:v>
                </c:pt>
                <c:pt idx="322" formatCode="0.000">
                  <c:v>2.8633000000000002</c:v>
                </c:pt>
                <c:pt idx="323" formatCode="0.000">
                  <c:v>2.8511083333333329</c:v>
                </c:pt>
                <c:pt idx="324" formatCode="0.000">
                  <c:v>2.9082833333333338</c:v>
                </c:pt>
                <c:pt idx="325" formatCode="0.000">
                  <c:v>2.9457133333333334</c:v>
                </c:pt>
                <c:pt idx="326" formatCode="0.000">
                  <c:v>2.9457133333333334</c:v>
                </c:pt>
                <c:pt idx="327" formatCode="0.000">
                  <c:v>2.9510433333333332</c:v>
                </c:pt>
                <c:pt idx="328" formatCode="0.000">
                  <c:v>2.9661733333333333</c:v>
                </c:pt>
                <c:pt idx="329" formatCode="0.000">
                  <c:v>2.9607933333333332</c:v>
                </c:pt>
                <c:pt idx="330" formatCode="0.000">
                  <c:v>3.0590100000000002</c:v>
                </c:pt>
                <c:pt idx="331" formatCode="0.000">
                  <c:v>3.0774600000000003</c:v>
                </c:pt>
                <c:pt idx="332" formatCode="0.000">
                  <c:v>3.0848399999999998</c:v>
                </c:pt>
                <c:pt idx="333" formatCode="0.000">
                  <c:v>3.1024500000000002</c:v>
                </c:pt>
                <c:pt idx="334" formatCode="0.000">
                  <c:v>3.1080399999999999</c:v>
                </c:pt>
                <c:pt idx="335" formatCode="0.000">
                  <c:v>3.1080399999999999</c:v>
                </c:pt>
                <c:pt idx="336" formatCode="0.000">
                  <c:v>3.1607250000000002</c:v>
                </c:pt>
                <c:pt idx="337" formatCode="0.000">
                  <c:v>3.1797083333333336</c:v>
                </c:pt>
                <c:pt idx="338" formatCode="0.000">
                  <c:v>3.1797083333333336</c:v>
                </c:pt>
                <c:pt idx="339" formatCode="0.000">
                  <c:v>3.2076250000000002</c:v>
                </c:pt>
                <c:pt idx="340" formatCode="0.000">
                  <c:v>3.2210299999999998</c:v>
                </c:pt>
                <c:pt idx="341" formatCode="0.000">
                  <c:v>3.2267749999999999</c:v>
                </c:pt>
                <c:pt idx="342" formatCode="0.000">
                  <c:v>3.2383333333333333</c:v>
                </c:pt>
                <c:pt idx="343" formatCode="0.000">
                  <c:v>3.2076250000000002</c:v>
                </c:pt>
                <c:pt idx="344" formatCode="0.000">
                  <c:v>3.2576666666666667</c:v>
                </c:pt>
                <c:pt idx="345" formatCode="0.000">
                  <c:v>3.3524000000000003</c:v>
                </c:pt>
                <c:pt idx="346" formatCode="0.000">
                  <c:v>3.3307199999999999</c:v>
                </c:pt>
                <c:pt idx="347" formatCode="0.000">
                  <c:v>2.4324813333333335</c:v>
                </c:pt>
                <c:pt idx="348" formatCode="0.000">
                  <c:v>2.2208794999999997</c:v>
                </c:pt>
                <c:pt idx="349" formatCode="0.000">
                  <c:v>2.2550175000000001</c:v>
                </c:pt>
                <c:pt idx="350" formatCode="0.000">
                  <c:v>2.3022539999999996</c:v>
                </c:pt>
                <c:pt idx="351" formatCode="0.000">
                  <c:v>2.4043459999999999</c:v>
                </c:pt>
                <c:pt idx="352" formatCode="0.000">
                  <c:v>2.5114319999999997</c:v>
                </c:pt>
                <c:pt idx="353" formatCode="0.000">
                  <c:v>2.6183725</c:v>
                </c:pt>
                <c:pt idx="354" formatCode="0.000">
                  <c:v>2.6812640000000001</c:v>
                </c:pt>
                <c:pt idx="355" formatCode="0.000">
                  <c:v>2.7569189999999995</c:v>
                </c:pt>
                <c:pt idx="356" formatCode="0.000">
                  <c:v>0.827658</c:v>
                </c:pt>
                <c:pt idx="357" formatCode="0.000">
                  <c:v>0.44222850000000002</c:v>
                </c:pt>
                <c:pt idx="358" formatCode="0.000">
                  <c:v>0.33733033333333334</c:v>
                </c:pt>
                <c:pt idx="359" formatCode="0.000">
                  <c:v>0.495396</c:v>
                </c:pt>
                <c:pt idx="360" formatCode="0.000">
                  <c:v>0.66062799999999999</c:v>
                </c:pt>
                <c:pt idx="361" formatCode="0.000">
                  <c:v>0.718032</c:v>
                </c:pt>
                <c:pt idx="362" formatCode="0.000">
                  <c:v>0.921041</c:v>
                </c:pt>
                <c:pt idx="363" formatCode="0.000">
                  <c:v>1.0960845000000001</c:v>
                </c:pt>
                <c:pt idx="364" formatCode="0.000">
                  <c:v>1.3528</c:v>
                </c:pt>
                <c:pt idx="365" formatCode="0.000">
                  <c:v>1.4394875</c:v>
                </c:pt>
                <c:pt idx="366" formatCode="0.000">
                  <c:v>1.5028266666666665</c:v>
                </c:pt>
                <c:pt idx="367" formatCode="0.000">
                  <c:v>1.5766538333333331</c:v>
                </c:pt>
                <c:pt idx="368" formatCode="0.000">
                  <c:v>1.6127446666666667</c:v>
                </c:pt>
                <c:pt idx="369" formatCode="0.000">
                  <c:v>1.7560768333333332</c:v>
                </c:pt>
                <c:pt idx="370" formatCode="0.000">
                  <c:v>1.9705594999999998</c:v>
                </c:pt>
                <c:pt idx="371" formatCode="0.000">
                  <c:v>2.0460428333333329</c:v>
                </c:pt>
                <c:pt idx="372" formatCode="0.000">
                  <c:v>2.2221641666666665</c:v>
                </c:pt>
                <c:pt idx="373" formatCode="0.000">
                  <c:v>2.3973173333333335</c:v>
                </c:pt>
                <c:pt idx="374" formatCode="0.000">
                  <c:v>2.9595291666666665</c:v>
                </c:pt>
                <c:pt idx="375" formatCode="0.000">
                  <c:v>3.8662853333333334</c:v>
                </c:pt>
                <c:pt idx="376" formatCode="0.000">
                  <c:v>5.3463959999999995</c:v>
                </c:pt>
                <c:pt idx="377" formatCode="0.000">
                  <c:v>7.5701340000000013</c:v>
                </c:pt>
                <c:pt idx="378" formatCode="0.000">
                  <c:v>9.8626266666666673</c:v>
                </c:pt>
                <c:pt idx="379" formatCode="0.000">
                  <c:v>10.800244999999999</c:v>
                </c:pt>
                <c:pt idx="380" formatCode="0.000">
                  <c:v>2.8411249999999999</c:v>
                </c:pt>
                <c:pt idx="381" formatCode="0.000">
                  <c:v>0.62619999999999998</c:v>
                </c:pt>
                <c:pt idx="382" formatCode="0.000">
                  <c:v>0.14758166666666667</c:v>
                </c:pt>
                <c:pt idx="383" formatCode="0.000">
                  <c:v>6.1018333333333327E-2</c:v>
                </c:pt>
                <c:pt idx="384" formatCode="0.000">
                  <c:v>4.0390000000000002E-2</c:v>
                </c:pt>
                <c:pt idx="385" formatCode="0.000">
                  <c:v>2.0698333333333332E-2</c:v>
                </c:pt>
                <c:pt idx="386" formatCode="0.000">
                  <c:v>2.0184999999999998E-2</c:v>
                </c:pt>
                <c:pt idx="387" formatCode="0.000">
                  <c:v>1.9689999999999999E-2</c:v>
                </c:pt>
                <c:pt idx="388" formatCode="0.000">
                  <c:v>1.9231666666666668E-2</c:v>
                </c:pt>
                <c:pt idx="389" formatCode="0.000">
                  <c:v>1.8791666666666668E-2</c:v>
                </c:pt>
                <c:pt idx="390" formatCode="0.000">
                  <c:v>1.8406666666666668E-2</c:v>
                </c:pt>
                <c:pt idx="391" formatCode="0.000">
                  <c:v>1.8034500000000002E-2</c:v>
                </c:pt>
                <c:pt idx="392" formatCode="0.000">
                  <c:v>1.7589E-2</c:v>
                </c:pt>
                <c:pt idx="393" formatCode="0.000">
                  <c:v>1.7205833333333333E-2</c:v>
                </c:pt>
                <c:pt idx="394" formatCode="0.000">
                  <c:v>1.6886833333333334E-2</c:v>
                </c:pt>
                <c:pt idx="395" formatCode="0.000">
                  <c:v>0</c:v>
                </c:pt>
                <c:pt idx="396" formatCode="0.000">
                  <c:v>1.6122333333333332E-2</c:v>
                </c:pt>
                <c:pt idx="397" formatCode="0.000">
                  <c:v>1.58675E-2</c:v>
                </c:pt>
                <c:pt idx="398" formatCode="0.000">
                  <c:v>1.5484333333333333E-2</c:v>
                </c:pt>
                <c:pt idx="399" formatCode="0.000">
                  <c:v>0</c:v>
                </c:pt>
                <c:pt idx="400" formatCode="0.000">
                  <c:v>0</c:v>
                </c:pt>
                <c:pt idx="401" formatCode="0.000">
                  <c:v>0</c:v>
                </c:pt>
                <c:pt idx="402" formatCode="0.000">
                  <c:v>0</c:v>
                </c:pt>
                <c:pt idx="403" formatCode="0.000">
                  <c:v>1.4019499999999999E-2</c:v>
                </c:pt>
                <c:pt idx="404" formatCode="0.000">
                  <c:v>0</c:v>
                </c:pt>
                <c:pt idx="405" formatCode="0.000">
                  <c:v>0</c:v>
                </c:pt>
                <c:pt idx="406" formatCode="0.000">
                  <c:v>0</c:v>
                </c:pt>
                <c:pt idx="407" formatCode="0.000">
                  <c:v>0</c:v>
                </c:pt>
                <c:pt idx="408" formatCode="0.000">
                  <c:v>0</c:v>
                </c:pt>
                <c:pt idx="409" formatCode="0.000">
                  <c:v>0</c:v>
                </c:pt>
                <c:pt idx="410" formatCode="0.000">
                  <c:v>0</c:v>
                </c:pt>
                <c:pt idx="411" formatCode="0.000">
                  <c:v>0</c:v>
                </c:pt>
                <c:pt idx="412" formatCode="0.000">
                  <c:v>0</c:v>
                </c:pt>
                <c:pt idx="413" formatCode="0.000">
                  <c:v>0</c:v>
                </c:pt>
                <c:pt idx="414" formatCode="0.000">
                  <c:v>0</c:v>
                </c:pt>
                <c:pt idx="415" formatCode="0.000">
                  <c:v>0</c:v>
                </c:pt>
                <c:pt idx="416" formatCode="0.000">
                  <c:v>0</c:v>
                </c:pt>
                <c:pt idx="417" formatCode="0.000">
                  <c:v>0</c:v>
                </c:pt>
                <c:pt idx="418" formatCode="0.000">
                  <c:v>0</c:v>
                </c:pt>
              </c:numCache>
            </c:numRef>
          </c:val>
          <c:smooth val="0"/>
          <c:extLst>
            <c:ext xmlns:c16="http://schemas.microsoft.com/office/drawing/2014/chart" uri="{C3380CC4-5D6E-409C-BE32-E72D297353CC}">
              <c16:uniqueId val="{00000000-7472-4E71-8545-5C9183382B7C}"/>
            </c:ext>
          </c:extLst>
        </c:ser>
        <c:dLbls>
          <c:showLegendKey val="0"/>
          <c:showVal val="0"/>
          <c:showCatName val="0"/>
          <c:showSerName val="0"/>
          <c:showPercent val="0"/>
          <c:showBubbleSize val="0"/>
        </c:dLbls>
        <c:smooth val="0"/>
        <c:axId val="563037935"/>
        <c:axId val="563039599"/>
      </c:lineChart>
      <c:catAx>
        <c:axId val="563037935"/>
        <c:scaling>
          <c:orientation val="minMax"/>
        </c:scaling>
        <c:delete val="0"/>
        <c:axPos val="b"/>
        <c:numFmt formatCode="0" sourceLinked="0"/>
        <c:majorTickMark val="out"/>
        <c:minorTickMark val="none"/>
        <c:tickLblPos val="nextTo"/>
        <c:spPr>
          <a:noFill/>
          <a:ln w="3175" cap="flat" cmpd="sng" algn="ctr">
            <a:solidFill>
              <a:schemeClr val="tx1"/>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563039599"/>
        <c:crosses val="autoZero"/>
        <c:auto val="1"/>
        <c:lblAlgn val="ctr"/>
        <c:lblOffset val="100"/>
        <c:tickLblSkip val="20"/>
        <c:tickMarkSkip val="20"/>
        <c:noMultiLvlLbl val="0"/>
      </c:catAx>
      <c:valAx>
        <c:axId val="563039599"/>
        <c:scaling>
          <c:orientation val="minMax"/>
        </c:scaling>
        <c:delete val="0"/>
        <c:axPos val="l"/>
        <c:numFmt formatCode="General" sourceLinked="1"/>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563037935"/>
        <c:crosses val="autoZero"/>
        <c:crossBetween val="between"/>
      </c:valAx>
      <c:spPr>
        <a:noFill/>
        <a:ln w="3175">
          <a:solidFill>
            <a:schemeClr val="tx1"/>
          </a:solidFill>
        </a:ln>
        <a:effectLst/>
      </c:spPr>
    </c:plotArea>
    <c:legend>
      <c:legendPos val="b"/>
      <c:layout>
        <c:manualLayout>
          <c:xMode val="edge"/>
          <c:yMode val="edge"/>
          <c:x val="0.62014847844916698"/>
          <c:y val="9.2412716229807901E-2"/>
          <c:w val="0.33997534954192543"/>
          <c:h val="0.13669280224940125"/>
        </c:manualLayout>
      </c:layout>
      <c:overlay val="1"/>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Garamond" panose="02020404030301010803" pitchFamily="18" charset="0"/>
        </a:defRPr>
      </a:pPr>
      <a:endParaRPr lang="sr-Latn-R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2"/>
          <c:order val="0"/>
          <c:tx>
            <c:v>Hydraulic power 09.11.2021</c:v>
          </c:tx>
          <c:spPr>
            <a:ln w="3175" cap="rnd">
              <a:solidFill>
                <a:srgbClr val="0000FF"/>
              </a:solidFill>
              <a:round/>
            </a:ln>
            <a:effectLst/>
          </c:spPr>
          <c:marker>
            <c:symbol val="none"/>
          </c:marker>
          <c:cat>
            <c:numRef>
              <c:f>'9-11-2021'!$A$2:$A$422</c:f>
              <c:numCache>
                <c:formatCode>0.00</c:formatCode>
                <c:ptCount val="421"/>
                <c:pt idx="0">
                  <c:v>0</c:v>
                </c:pt>
                <c:pt idx="1">
                  <c:v>5.5550000000000002E-2</c:v>
                </c:pt>
                <c:pt idx="2">
                  <c:v>0.1111</c:v>
                </c:pt>
                <c:pt idx="3">
                  <c:v>0.16664999999999999</c:v>
                </c:pt>
                <c:pt idx="4">
                  <c:v>0.22220000000000001</c:v>
                </c:pt>
                <c:pt idx="5">
                  <c:v>0.27775</c:v>
                </c:pt>
                <c:pt idx="6">
                  <c:v>0.33329999999999999</c:v>
                </c:pt>
                <c:pt idx="7">
                  <c:v>0.38884999999999997</c:v>
                </c:pt>
                <c:pt idx="8">
                  <c:v>0.44440000000000002</c:v>
                </c:pt>
                <c:pt idx="9">
                  <c:v>0.49995000000000001</c:v>
                </c:pt>
                <c:pt idx="10">
                  <c:v>0.55549999999999999</c:v>
                </c:pt>
                <c:pt idx="11">
                  <c:v>0.61104999999999998</c:v>
                </c:pt>
                <c:pt idx="12">
                  <c:v>0.66659999999999997</c:v>
                </c:pt>
                <c:pt idx="13">
                  <c:v>0.72214999999999996</c:v>
                </c:pt>
                <c:pt idx="14">
                  <c:v>0.77769999999999995</c:v>
                </c:pt>
                <c:pt idx="15">
                  <c:v>0.83325000000000005</c:v>
                </c:pt>
                <c:pt idx="16">
                  <c:v>0.88880000000000003</c:v>
                </c:pt>
                <c:pt idx="17">
                  <c:v>0.94435000000000002</c:v>
                </c:pt>
                <c:pt idx="18">
                  <c:v>0.99990000000000001</c:v>
                </c:pt>
                <c:pt idx="19">
                  <c:v>1.05545</c:v>
                </c:pt>
                <c:pt idx="20">
                  <c:v>1.111</c:v>
                </c:pt>
                <c:pt idx="21">
                  <c:v>1.16655</c:v>
                </c:pt>
                <c:pt idx="22">
                  <c:v>1.2221</c:v>
                </c:pt>
                <c:pt idx="23">
                  <c:v>1.27765</c:v>
                </c:pt>
                <c:pt idx="24">
                  <c:v>1.3331999999999999</c:v>
                </c:pt>
                <c:pt idx="25">
                  <c:v>1.3887499999999999</c:v>
                </c:pt>
                <c:pt idx="26">
                  <c:v>1.4442999999999999</c:v>
                </c:pt>
                <c:pt idx="27">
                  <c:v>1.4998499999999999</c:v>
                </c:pt>
                <c:pt idx="28">
                  <c:v>1.5553999999999999</c:v>
                </c:pt>
                <c:pt idx="29">
                  <c:v>1.6109500000000001</c:v>
                </c:pt>
                <c:pt idx="30">
                  <c:v>1.6665000000000001</c:v>
                </c:pt>
                <c:pt idx="31">
                  <c:v>1.7220500000000001</c:v>
                </c:pt>
                <c:pt idx="32">
                  <c:v>1.7776000000000001</c:v>
                </c:pt>
                <c:pt idx="33">
                  <c:v>1.8331500000000001</c:v>
                </c:pt>
                <c:pt idx="34">
                  <c:v>1.8887</c:v>
                </c:pt>
                <c:pt idx="35">
                  <c:v>1.94425</c:v>
                </c:pt>
                <c:pt idx="36">
                  <c:v>1.9998</c:v>
                </c:pt>
                <c:pt idx="37">
                  <c:v>2.0553499999999998</c:v>
                </c:pt>
                <c:pt idx="38">
                  <c:v>2.1109</c:v>
                </c:pt>
                <c:pt idx="39">
                  <c:v>2.1664500000000002</c:v>
                </c:pt>
                <c:pt idx="40">
                  <c:v>2.222</c:v>
                </c:pt>
                <c:pt idx="41">
                  <c:v>2.2775500000000002</c:v>
                </c:pt>
                <c:pt idx="42">
                  <c:v>2.3331</c:v>
                </c:pt>
                <c:pt idx="43">
                  <c:v>2.3886500000000002</c:v>
                </c:pt>
                <c:pt idx="44">
                  <c:v>2.4441999999999999</c:v>
                </c:pt>
                <c:pt idx="45">
                  <c:v>2.4997500000000001</c:v>
                </c:pt>
                <c:pt idx="46">
                  <c:v>2.5552999999999999</c:v>
                </c:pt>
                <c:pt idx="47">
                  <c:v>2.6108500000000001</c:v>
                </c:pt>
                <c:pt idx="48">
                  <c:v>2.6663999999999999</c:v>
                </c:pt>
                <c:pt idx="49">
                  <c:v>2.7219500000000001</c:v>
                </c:pt>
                <c:pt idx="50">
                  <c:v>2.7774999999999999</c:v>
                </c:pt>
                <c:pt idx="51">
                  <c:v>2.8330500000000001</c:v>
                </c:pt>
                <c:pt idx="52">
                  <c:v>2.8885999999999998</c:v>
                </c:pt>
                <c:pt idx="53">
                  <c:v>2.94415</c:v>
                </c:pt>
                <c:pt idx="54">
                  <c:v>2.9996999999999998</c:v>
                </c:pt>
                <c:pt idx="55">
                  <c:v>3.05525</c:v>
                </c:pt>
                <c:pt idx="56">
                  <c:v>3.1107999999999998</c:v>
                </c:pt>
                <c:pt idx="57">
                  <c:v>3.16635</c:v>
                </c:pt>
                <c:pt idx="58">
                  <c:v>3.2219000000000002</c:v>
                </c:pt>
                <c:pt idx="59">
                  <c:v>3.27745</c:v>
                </c:pt>
                <c:pt idx="60">
                  <c:v>3.3330000000000002</c:v>
                </c:pt>
                <c:pt idx="61">
                  <c:v>3.38855</c:v>
                </c:pt>
                <c:pt idx="62">
                  <c:v>3.4441000000000002</c:v>
                </c:pt>
                <c:pt idx="63">
                  <c:v>3.4996499999999999</c:v>
                </c:pt>
                <c:pt idx="64">
                  <c:v>3.5552000000000001</c:v>
                </c:pt>
                <c:pt idx="65">
                  <c:v>3.6107499999999999</c:v>
                </c:pt>
                <c:pt idx="66">
                  <c:v>3.6663000000000001</c:v>
                </c:pt>
                <c:pt idx="67">
                  <c:v>3.7218499999999999</c:v>
                </c:pt>
                <c:pt idx="68">
                  <c:v>3.7774000000000001</c:v>
                </c:pt>
                <c:pt idx="69">
                  <c:v>3.8329499999999999</c:v>
                </c:pt>
                <c:pt idx="70">
                  <c:v>3.8885000000000001</c:v>
                </c:pt>
                <c:pt idx="71">
                  <c:v>3.9440499999999998</c:v>
                </c:pt>
                <c:pt idx="72">
                  <c:v>3.9996</c:v>
                </c:pt>
                <c:pt idx="73">
                  <c:v>4.0551500000000003</c:v>
                </c:pt>
                <c:pt idx="74">
                  <c:v>4.1106999999999996</c:v>
                </c:pt>
                <c:pt idx="75">
                  <c:v>4.1662499999999998</c:v>
                </c:pt>
                <c:pt idx="76">
                  <c:v>4.2218</c:v>
                </c:pt>
                <c:pt idx="77">
                  <c:v>4.2773500000000002</c:v>
                </c:pt>
                <c:pt idx="78">
                  <c:v>4.3329000000000004</c:v>
                </c:pt>
                <c:pt idx="79">
                  <c:v>4.3884499999999997</c:v>
                </c:pt>
                <c:pt idx="80">
                  <c:v>4.444</c:v>
                </c:pt>
                <c:pt idx="81">
                  <c:v>4.4995500000000002</c:v>
                </c:pt>
                <c:pt idx="82">
                  <c:v>4.5551000000000004</c:v>
                </c:pt>
                <c:pt idx="83">
                  <c:v>4.6106499999999997</c:v>
                </c:pt>
                <c:pt idx="84">
                  <c:v>4.6661999999999999</c:v>
                </c:pt>
                <c:pt idx="85">
                  <c:v>4.7217500000000001</c:v>
                </c:pt>
                <c:pt idx="86">
                  <c:v>4.7773000000000003</c:v>
                </c:pt>
                <c:pt idx="87">
                  <c:v>4.8328499999999996</c:v>
                </c:pt>
                <c:pt idx="88">
                  <c:v>4.8883999999999999</c:v>
                </c:pt>
                <c:pt idx="89">
                  <c:v>4.9439500000000001</c:v>
                </c:pt>
                <c:pt idx="90">
                  <c:v>4.9995000000000003</c:v>
                </c:pt>
                <c:pt idx="91">
                  <c:v>5.0550499999999996</c:v>
                </c:pt>
                <c:pt idx="92">
                  <c:v>5.1105999999999998</c:v>
                </c:pt>
                <c:pt idx="93">
                  <c:v>5.16615</c:v>
                </c:pt>
                <c:pt idx="94">
                  <c:v>5.2217000000000002</c:v>
                </c:pt>
                <c:pt idx="95">
                  <c:v>5.2772500000000004</c:v>
                </c:pt>
                <c:pt idx="96">
                  <c:v>5.3327999999999998</c:v>
                </c:pt>
                <c:pt idx="97">
                  <c:v>5.38835</c:v>
                </c:pt>
                <c:pt idx="98">
                  <c:v>5.4439000000000002</c:v>
                </c:pt>
                <c:pt idx="99">
                  <c:v>5.4994500000000004</c:v>
                </c:pt>
                <c:pt idx="100">
                  <c:v>5.5549999999999997</c:v>
                </c:pt>
                <c:pt idx="101">
                  <c:v>5.6105499999999999</c:v>
                </c:pt>
                <c:pt idx="102">
                  <c:v>5.6661000000000001</c:v>
                </c:pt>
                <c:pt idx="103">
                  <c:v>5.7216500000000003</c:v>
                </c:pt>
                <c:pt idx="104">
                  <c:v>5.7771999999999997</c:v>
                </c:pt>
                <c:pt idx="105">
                  <c:v>5.8327499999999999</c:v>
                </c:pt>
                <c:pt idx="106">
                  <c:v>5.8883000000000001</c:v>
                </c:pt>
                <c:pt idx="107">
                  <c:v>5.9438500000000003</c:v>
                </c:pt>
                <c:pt idx="108">
                  <c:v>5.9993999999999996</c:v>
                </c:pt>
                <c:pt idx="109">
                  <c:v>6.0549499999999998</c:v>
                </c:pt>
                <c:pt idx="110">
                  <c:v>6.1105</c:v>
                </c:pt>
                <c:pt idx="111">
                  <c:v>6.1660500000000003</c:v>
                </c:pt>
                <c:pt idx="112">
                  <c:v>6.2215999999999996</c:v>
                </c:pt>
                <c:pt idx="113">
                  <c:v>6.2771499999999998</c:v>
                </c:pt>
                <c:pt idx="114">
                  <c:v>6.3327</c:v>
                </c:pt>
                <c:pt idx="115">
                  <c:v>6.3882500000000002</c:v>
                </c:pt>
                <c:pt idx="116">
                  <c:v>6.4438000000000004</c:v>
                </c:pt>
                <c:pt idx="117">
                  <c:v>6.4993499999999997</c:v>
                </c:pt>
                <c:pt idx="118">
                  <c:v>6.5548999999999999</c:v>
                </c:pt>
                <c:pt idx="119">
                  <c:v>6.6104500000000002</c:v>
                </c:pt>
                <c:pt idx="120">
                  <c:v>6.6660000000000004</c:v>
                </c:pt>
                <c:pt idx="121">
                  <c:v>6.7215499999999997</c:v>
                </c:pt>
                <c:pt idx="122">
                  <c:v>6.7770999999999999</c:v>
                </c:pt>
                <c:pt idx="123">
                  <c:v>6.8326500000000001</c:v>
                </c:pt>
                <c:pt idx="124">
                  <c:v>6.8882000000000003</c:v>
                </c:pt>
                <c:pt idx="125">
                  <c:v>6.9437499999999996</c:v>
                </c:pt>
                <c:pt idx="126">
                  <c:v>6.9992999999999999</c:v>
                </c:pt>
                <c:pt idx="127">
                  <c:v>7.0548500000000001</c:v>
                </c:pt>
                <c:pt idx="128">
                  <c:v>7.1104000000000003</c:v>
                </c:pt>
                <c:pt idx="129">
                  <c:v>7.1659499999999996</c:v>
                </c:pt>
                <c:pt idx="130">
                  <c:v>7.2214999999999998</c:v>
                </c:pt>
                <c:pt idx="131">
                  <c:v>7.27705</c:v>
                </c:pt>
                <c:pt idx="132">
                  <c:v>7.3326000000000002</c:v>
                </c:pt>
                <c:pt idx="133">
                  <c:v>7.3881500000000004</c:v>
                </c:pt>
                <c:pt idx="134">
                  <c:v>7.4436999999999998</c:v>
                </c:pt>
                <c:pt idx="135">
                  <c:v>7.49925</c:v>
                </c:pt>
                <c:pt idx="136">
                  <c:v>7.5548000000000002</c:v>
                </c:pt>
                <c:pt idx="137">
                  <c:v>7.6103500000000004</c:v>
                </c:pt>
                <c:pt idx="138">
                  <c:v>7.6658999999999997</c:v>
                </c:pt>
                <c:pt idx="139">
                  <c:v>7.7214499999999999</c:v>
                </c:pt>
                <c:pt idx="140">
                  <c:v>7.7770000000000001</c:v>
                </c:pt>
                <c:pt idx="141">
                  <c:v>7.8325500000000003</c:v>
                </c:pt>
                <c:pt idx="142">
                  <c:v>7.8880999999999997</c:v>
                </c:pt>
                <c:pt idx="143">
                  <c:v>7.9436499999999999</c:v>
                </c:pt>
                <c:pt idx="144">
                  <c:v>7.9992000000000001</c:v>
                </c:pt>
                <c:pt idx="145">
                  <c:v>8.0547500000000003</c:v>
                </c:pt>
                <c:pt idx="146">
                  <c:v>8.1103000000000005</c:v>
                </c:pt>
                <c:pt idx="147">
                  <c:v>8.1658500000000007</c:v>
                </c:pt>
                <c:pt idx="148">
                  <c:v>8.2213999999999992</c:v>
                </c:pt>
                <c:pt idx="149">
                  <c:v>8.2769499999999994</c:v>
                </c:pt>
                <c:pt idx="150">
                  <c:v>8.3324999999999996</c:v>
                </c:pt>
                <c:pt idx="151">
                  <c:v>8.3880499999999998</c:v>
                </c:pt>
                <c:pt idx="152">
                  <c:v>8.4436</c:v>
                </c:pt>
                <c:pt idx="153">
                  <c:v>8.4991500000000002</c:v>
                </c:pt>
                <c:pt idx="154">
                  <c:v>8.5547000000000004</c:v>
                </c:pt>
                <c:pt idx="155">
                  <c:v>8.6102500000000006</c:v>
                </c:pt>
                <c:pt idx="156">
                  <c:v>8.6658000000000008</c:v>
                </c:pt>
                <c:pt idx="157">
                  <c:v>8.7213499999999993</c:v>
                </c:pt>
                <c:pt idx="158">
                  <c:v>8.7768999999999995</c:v>
                </c:pt>
                <c:pt idx="159">
                  <c:v>8.8324499999999997</c:v>
                </c:pt>
                <c:pt idx="160">
                  <c:v>8.8879999999999999</c:v>
                </c:pt>
                <c:pt idx="161">
                  <c:v>8.9435500000000001</c:v>
                </c:pt>
                <c:pt idx="162">
                  <c:v>8.9991000000000003</c:v>
                </c:pt>
                <c:pt idx="163">
                  <c:v>9.0546500000000005</c:v>
                </c:pt>
                <c:pt idx="164">
                  <c:v>9.1102000000000007</c:v>
                </c:pt>
                <c:pt idx="165">
                  <c:v>9.1657499999999992</c:v>
                </c:pt>
                <c:pt idx="166">
                  <c:v>9.2212999999999994</c:v>
                </c:pt>
                <c:pt idx="167">
                  <c:v>9.2768499999999996</c:v>
                </c:pt>
                <c:pt idx="168">
                  <c:v>9.3323999999999998</c:v>
                </c:pt>
                <c:pt idx="169">
                  <c:v>9.38795</c:v>
                </c:pt>
                <c:pt idx="170">
                  <c:v>9.4435000000000002</c:v>
                </c:pt>
                <c:pt idx="171">
                  <c:v>9.4990500000000004</c:v>
                </c:pt>
                <c:pt idx="172">
                  <c:v>9.5546000000000006</c:v>
                </c:pt>
                <c:pt idx="173">
                  <c:v>9.6101500000000009</c:v>
                </c:pt>
                <c:pt idx="174">
                  <c:v>9.6656999999999993</c:v>
                </c:pt>
                <c:pt idx="175">
                  <c:v>9.7212499999999995</c:v>
                </c:pt>
                <c:pt idx="176">
                  <c:v>9.7767999999999997</c:v>
                </c:pt>
                <c:pt idx="177">
                  <c:v>9.8323499999999999</c:v>
                </c:pt>
                <c:pt idx="178">
                  <c:v>9.8879000000000001</c:v>
                </c:pt>
                <c:pt idx="179">
                  <c:v>9.9434500000000003</c:v>
                </c:pt>
                <c:pt idx="180">
                  <c:v>9.9990000000000006</c:v>
                </c:pt>
                <c:pt idx="181">
                  <c:v>10.054550000000001</c:v>
                </c:pt>
                <c:pt idx="182">
                  <c:v>10.110099999999999</c:v>
                </c:pt>
                <c:pt idx="183">
                  <c:v>10.165649999999999</c:v>
                </c:pt>
                <c:pt idx="184">
                  <c:v>10.2212</c:v>
                </c:pt>
                <c:pt idx="185">
                  <c:v>10.27675</c:v>
                </c:pt>
                <c:pt idx="186">
                  <c:v>10.3323</c:v>
                </c:pt>
                <c:pt idx="187">
                  <c:v>10.38785</c:v>
                </c:pt>
                <c:pt idx="188">
                  <c:v>10.4434</c:v>
                </c:pt>
                <c:pt idx="189">
                  <c:v>10.498950000000001</c:v>
                </c:pt>
                <c:pt idx="190">
                  <c:v>10.554500000000001</c:v>
                </c:pt>
                <c:pt idx="191">
                  <c:v>10.610049999999999</c:v>
                </c:pt>
                <c:pt idx="192">
                  <c:v>10.6656</c:v>
                </c:pt>
                <c:pt idx="193">
                  <c:v>10.72115</c:v>
                </c:pt>
                <c:pt idx="194">
                  <c:v>10.7767</c:v>
                </c:pt>
                <c:pt idx="195">
                  <c:v>10.83225</c:v>
                </c:pt>
                <c:pt idx="196">
                  <c:v>10.8878</c:v>
                </c:pt>
                <c:pt idx="197">
                  <c:v>10.943350000000001</c:v>
                </c:pt>
                <c:pt idx="198">
                  <c:v>10.998900000000001</c:v>
                </c:pt>
                <c:pt idx="199">
                  <c:v>11.054449999999999</c:v>
                </c:pt>
                <c:pt idx="200">
                  <c:v>11.11</c:v>
                </c:pt>
                <c:pt idx="201">
                  <c:v>11.16555</c:v>
                </c:pt>
                <c:pt idx="202">
                  <c:v>11.2211</c:v>
                </c:pt>
                <c:pt idx="203">
                  <c:v>11.27665</c:v>
                </c:pt>
                <c:pt idx="204">
                  <c:v>11.3322</c:v>
                </c:pt>
                <c:pt idx="205">
                  <c:v>11.38775</c:v>
                </c:pt>
                <c:pt idx="206">
                  <c:v>11.443300000000001</c:v>
                </c:pt>
                <c:pt idx="207">
                  <c:v>11.498849999999999</c:v>
                </c:pt>
                <c:pt idx="208">
                  <c:v>11.554399999999999</c:v>
                </c:pt>
                <c:pt idx="209">
                  <c:v>11.60995</c:v>
                </c:pt>
                <c:pt idx="210">
                  <c:v>11.6655</c:v>
                </c:pt>
                <c:pt idx="211">
                  <c:v>11.72105</c:v>
                </c:pt>
                <c:pt idx="212">
                  <c:v>11.7766</c:v>
                </c:pt>
                <c:pt idx="213">
                  <c:v>11.83215</c:v>
                </c:pt>
                <c:pt idx="214">
                  <c:v>11.887700000000001</c:v>
                </c:pt>
                <c:pt idx="215">
                  <c:v>11.943250000000001</c:v>
                </c:pt>
                <c:pt idx="216">
                  <c:v>11.998799999999999</c:v>
                </c:pt>
                <c:pt idx="217">
                  <c:v>12.054349999999999</c:v>
                </c:pt>
                <c:pt idx="218">
                  <c:v>12.1099</c:v>
                </c:pt>
                <c:pt idx="219">
                  <c:v>12.16545</c:v>
                </c:pt>
                <c:pt idx="220">
                  <c:v>12.221</c:v>
                </c:pt>
                <c:pt idx="221">
                  <c:v>12.27655</c:v>
                </c:pt>
                <c:pt idx="222">
                  <c:v>12.332100000000001</c:v>
                </c:pt>
                <c:pt idx="223">
                  <c:v>12.387650000000001</c:v>
                </c:pt>
                <c:pt idx="224">
                  <c:v>12.443199999999999</c:v>
                </c:pt>
                <c:pt idx="225">
                  <c:v>12.498749999999999</c:v>
                </c:pt>
                <c:pt idx="226">
                  <c:v>12.5543</c:v>
                </c:pt>
                <c:pt idx="227">
                  <c:v>12.60985</c:v>
                </c:pt>
                <c:pt idx="228">
                  <c:v>12.6654</c:v>
                </c:pt>
                <c:pt idx="229">
                  <c:v>12.72095</c:v>
                </c:pt>
                <c:pt idx="230">
                  <c:v>12.7765</c:v>
                </c:pt>
                <c:pt idx="231">
                  <c:v>12.832050000000001</c:v>
                </c:pt>
                <c:pt idx="232">
                  <c:v>12.887600000000001</c:v>
                </c:pt>
                <c:pt idx="233">
                  <c:v>12.943149999999999</c:v>
                </c:pt>
                <c:pt idx="234">
                  <c:v>12.998699999999999</c:v>
                </c:pt>
                <c:pt idx="235">
                  <c:v>13.05425</c:v>
                </c:pt>
                <c:pt idx="236">
                  <c:v>13.1098</c:v>
                </c:pt>
                <c:pt idx="237">
                  <c:v>13.16535</c:v>
                </c:pt>
                <c:pt idx="238">
                  <c:v>13.2209</c:v>
                </c:pt>
                <c:pt idx="239">
                  <c:v>13.276450000000001</c:v>
                </c:pt>
                <c:pt idx="240">
                  <c:v>13.332000000000001</c:v>
                </c:pt>
                <c:pt idx="241">
                  <c:v>13.387549999999999</c:v>
                </c:pt>
                <c:pt idx="242">
                  <c:v>13.443099999999999</c:v>
                </c:pt>
                <c:pt idx="243">
                  <c:v>13.49865</c:v>
                </c:pt>
                <c:pt idx="244">
                  <c:v>13.5542</c:v>
                </c:pt>
                <c:pt idx="245">
                  <c:v>13.60975</c:v>
                </c:pt>
                <c:pt idx="246">
                  <c:v>13.6653</c:v>
                </c:pt>
                <c:pt idx="247">
                  <c:v>13.72085</c:v>
                </c:pt>
                <c:pt idx="248">
                  <c:v>13.776400000000001</c:v>
                </c:pt>
                <c:pt idx="249">
                  <c:v>13.831950000000001</c:v>
                </c:pt>
                <c:pt idx="250">
                  <c:v>13.887499999999999</c:v>
                </c:pt>
                <c:pt idx="251">
                  <c:v>13.943049999999999</c:v>
                </c:pt>
                <c:pt idx="252">
                  <c:v>13.9986</c:v>
                </c:pt>
                <c:pt idx="253">
                  <c:v>14.05415</c:v>
                </c:pt>
                <c:pt idx="254">
                  <c:v>14.1097</c:v>
                </c:pt>
                <c:pt idx="255">
                  <c:v>14.16525</c:v>
                </c:pt>
                <c:pt idx="256">
                  <c:v>14.220800000000001</c:v>
                </c:pt>
                <c:pt idx="257">
                  <c:v>14.276350000000001</c:v>
                </c:pt>
                <c:pt idx="258">
                  <c:v>14.331899999999999</c:v>
                </c:pt>
                <c:pt idx="259">
                  <c:v>14.387449999999999</c:v>
                </c:pt>
                <c:pt idx="260">
                  <c:v>14.443</c:v>
                </c:pt>
                <c:pt idx="261">
                  <c:v>14.49855</c:v>
                </c:pt>
                <c:pt idx="262">
                  <c:v>14.5541</c:v>
                </c:pt>
                <c:pt idx="263">
                  <c:v>14.60965</c:v>
                </c:pt>
                <c:pt idx="264">
                  <c:v>14.6652</c:v>
                </c:pt>
                <c:pt idx="265">
                  <c:v>14.720750000000001</c:v>
                </c:pt>
                <c:pt idx="266">
                  <c:v>14.776300000000001</c:v>
                </c:pt>
                <c:pt idx="267">
                  <c:v>14.831849999999999</c:v>
                </c:pt>
                <c:pt idx="268">
                  <c:v>14.8874</c:v>
                </c:pt>
                <c:pt idx="269">
                  <c:v>14.94295</c:v>
                </c:pt>
                <c:pt idx="270">
                  <c:v>14.9985</c:v>
                </c:pt>
                <c:pt idx="271">
                  <c:v>15.05405</c:v>
                </c:pt>
                <c:pt idx="272">
                  <c:v>15.1096</c:v>
                </c:pt>
                <c:pt idx="273">
                  <c:v>15.165150000000001</c:v>
                </c:pt>
                <c:pt idx="274">
                  <c:v>15.220700000000001</c:v>
                </c:pt>
                <c:pt idx="275">
                  <c:v>15.276249999999999</c:v>
                </c:pt>
                <c:pt idx="276">
                  <c:v>15.331799999999999</c:v>
                </c:pt>
                <c:pt idx="277">
                  <c:v>15.38735</c:v>
                </c:pt>
                <c:pt idx="278">
                  <c:v>15.4429</c:v>
                </c:pt>
                <c:pt idx="279">
                  <c:v>15.49845</c:v>
                </c:pt>
                <c:pt idx="280">
                  <c:v>15.554</c:v>
                </c:pt>
                <c:pt idx="281">
                  <c:v>15.60955</c:v>
                </c:pt>
                <c:pt idx="282">
                  <c:v>15.665100000000001</c:v>
                </c:pt>
                <c:pt idx="283">
                  <c:v>15.720649999999999</c:v>
                </c:pt>
                <c:pt idx="284">
                  <c:v>15.776199999999999</c:v>
                </c:pt>
                <c:pt idx="285">
                  <c:v>15.83175</c:v>
                </c:pt>
                <c:pt idx="286">
                  <c:v>15.8873</c:v>
                </c:pt>
                <c:pt idx="287">
                  <c:v>15.94285</c:v>
                </c:pt>
                <c:pt idx="288">
                  <c:v>15.9984</c:v>
                </c:pt>
                <c:pt idx="289">
                  <c:v>16.05395</c:v>
                </c:pt>
                <c:pt idx="290">
                  <c:v>16.109500000000001</c:v>
                </c:pt>
                <c:pt idx="291">
                  <c:v>16.165050000000001</c:v>
                </c:pt>
                <c:pt idx="292">
                  <c:v>16.220600000000001</c:v>
                </c:pt>
                <c:pt idx="293">
                  <c:v>16.276150000000001</c:v>
                </c:pt>
                <c:pt idx="294">
                  <c:v>16.331700000000001</c:v>
                </c:pt>
                <c:pt idx="295">
                  <c:v>16.387250000000002</c:v>
                </c:pt>
                <c:pt idx="296">
                  <c:v>16.442799999999998</c:v>
                </c:pt>
                <c:pt idx="297">
                  <c:v>16.498349999999999</c:v>
                </c:pt>
                <c:pt idx="298">
                  <c:v>16.553899999999999</c:v>
                </c:pt>
                <c:pt idx="299">
                  <c:v>16.609449999999999</c:v>
                </c:pt>
                <c:pt idx="300">
                  <c:v>16.664999999999999</c:v>
                </c:pt>
                <c:pt idx="301">
                  <c:v>16.720549999999999</c:v>
                </c:pt>
                <c:pt idx="302">
                  <c:v>16.7761</c:v>
                </c:pt>
                <c:pt idx="303">
                  <c:v>16.83165</c:v>
                </c:pt>
                <c:pt idx="304">
                  <c:v>16.8872</c:v>
                </c:pt>
                <c:pt idx="305">
                  <c:v>16.94275</c:v>
                </c:pt>
                <c:pt idx="306">
                  <c:v>16.9983</c:v>
                </c:pt>
                <c:pt idx="307">
                  <c:v>17.053850000000001</c:v>
                </c:pt>
                <c:pt idx="308">
                  <c:v>17.109400000000001</c:v>
                </c:pt>
                <c:pt idx="309">
                  <c:v>17.164950000000001</c:v>
                </c:pt>
                <c:pt idx="310">
                  <c:v>17.220500000000001</c:v>
                </c:pt>
                <c:pt idx="311">
                  <c:v>17.276050000000001</c:v>
                </c:pt>
                <c:pt idx="312">
                  <c:v>17.331600000000002</c:v>
                </c:pt>
                <c:pt idx="313">
                  <c:v>17.387149999999998</c:v>
                </c:pt>
                <c:pt idx="314">
                  <c:v>17.442699999999999</c:v>
                </c:pt>
                <c:pt idx="315">
                  <c:v>17.498249999999999</c:v>
                </c:pt>
                <c:pt idx="316">
                  <c:v>17.553799999999999</c:v>
                </c:pt>
                <c:pt idx="317">
                  <c:v>17.609349999999999</c:v>
                </c:pt>
                <c:pt idx="318">
                  <c:v>17.664899999999999</c:v>
                </c:pt>
                <c:pt idx="319">
                  <c:v>17.72045</c:v>
                </c:pt>
                <c:pt idx="320">
                  <c:v>17.776</c:v>
                </c:pt>
                <c:pt idx="321">
                  <c:v>17.83155</c:v>
                </c:pt>
                <c:pt idx="322">
                  <c:v>17.8871</c:v>
                </c:pt>
                <c:pt idx="323">
                  <c:v>17.94265</c:v>
                </c:pt>
                <c:pt idx="324">
                  <c:v>17.998200000000001</c:v>
                </c:pt>
                <c:pt idx="325">
                  <c:v>18.053750000000001</c:v>
                </c:pt>
                <c:pt idx="326">
                  <c:v>18.109300000000001</c:v>
                </c:pt>
                <c:pt idx="327">
                  <c:v>18.164850000000001</c:v>
                </c:pt>
                <c:pt idx="328">
                  <c:v>18.220400000000001</c:v>
                </c:pt>
                <c:pt idx="329">
                  <c:v>18.275950000000002</c:v>
                </c:pt>
                <c:pt idx="330">
                  <c:v>18.331499999999998</c:v>
                </c:pt>
                <c:pt idx="331">
                  <c:v>18.387049999999999</c:v>
                </c:pt>
                <c:pt idx="332">
                  <c:v>18.442599999999999</c:v>
                </c:pt>
                <c:pt idx="333">
                  <c:v>18.498149999999999</c:v>
                </c:pt>
                <c:pt idx="334">
                  <c:v>18.553699999999999</c:v>
                </c:pt>
                <c:pt idx="335">
                  <c:v>18.609249999999999</c:v>
                </c:pt>
                <c:pt idx="336">
                  <c:v>18.6648</c:v>
                </c:pt>
                <c:pt idx="337">
                  <c:v>18.72035</c:v>
                </c:pt>
                <c:pt idx="338">
                  <c:v>18.7759</c:v>
                </c:pt>
                <c:pt idx="339">
                  <c:v>18.83145</c:v>
                </c:pt>
                <c:pt idx="340">
                  <c:v>18.887</c:v>
                </c:pt>
                <c:pt idx="341">
                  <c:v>18.942550000000001</c:v>
                </c:pt>
                <c:pt idx="342">
                  <c:v>18.998100000000001</c:v>
                </c:pt>
                <c:pt idx="343">
                  <c:v>19.053650000000001</c:v>
                </c:pt>
                <c:pt idx="344">
                  <c:v>19.109200000000001</c:v>
                </c:pt>
                <c:pt idx="345">
                  <c:v>19.164750000000002</c:v>
                </c:pt>
                <c:pt idx="346">
                  <c:v>19.220300000000002</c:v>
                </c:pt>
                <c:pt idx="347">
                  <c:v>19.275849999999998</c:v>
                </c:pt>
                <c:pt idx="348">
                  <c:v>19.331399999999999</c:v>
                </c:pt>
                <c:pt idx="349">
                  <c:v>19.386949999999999</c:v>
                </c:pt>
                <c:pt idx="350">
                  <c:v>19.442499999999999</c:v>
                </c:pt>
                <c:pt idx="351">
                  <c:v>19.498049999999999</c:v>
                </c:pt>
                <c:pt idx="352">
                  <c:v>19.553599999999999</c:v>
                </c:pt>
                <c:pt idx="353">
                  <c:v>19.60915</c:v>
                </c:pt>
                <c:pt idx="354">
                  <c:v>19.6647</c:v>
                </c:pt>
                <c:pt idx="355">
                  <c:v>19.72025</c:v>
                </c:pt>
                <c:pt idx="356">
                  <c:v>19.7758</c:v>
                </c:pt>
                <c:pt idx="357">
                  <c:v>19.83135</c:v>
                </c:pt>
                <c:pt idx="358">
                  <c:v>19.886900000000001</c:v>
                </c:pt>
                <c:pt idx="359">
                  <c:v>19.942450000000001</c:v>
                </c:pt>
                <c:pt idx="360">
                  <c:v>19.998000000000001</c:v>
                </c:pt>
                <c:pt idx="361">
                  <c:v>20.053550000000001</c:v>
                </c:pt>
                <c:pt idx="362">
                  <c:v>20.109100000000002</c:v>
                </c:pt>
                <c:pt idx="363">
                  <c:v>20.164650000000002</c:v>
                </c:pt>
                <c:pt idx="364">
                  <c:v>20.220199999999998</c:v>
                </c:pt>
                <c:pt idx="365">
                  <c:v>20.275749999999999</c:v>
                </c:pt>
                <c:pt idx="366">
                  <c:v>20.331299999999999</c:v>
                </c:pt>
                <c:pt idx="367">
                  <c:v>20.386849999999999</c:v>
                </c:pt>
                <c:pt idx="368">
                  <c:v>20.442399999999999</c:v>
                </c:pt>
                <c:pt idx="369">
                  <c:v>20.497949999999999</c:v>
                </c:pt>
                <c:pt idx="370">
                  <c:v>20.5535</c:v>
                </c:pt>
                <c:pt idx="371">
                  <c:v>20.60905</c:v>
                </c:pt>
                <c:pt idx="372">
                  <c:v>20.6646</c:v>
                </c:pt>
                <c:pt idx="373">
                  <c:v>20.72015</c:v>
                </c:pt>
                <c:pt idx="374">
                  <c:v>20.775700000000001</c:v>
                </c:pt>
                <c:pt idx="375">
                  <c:v>20.831250000000001</c:v>
                </c:pt>
                <c:pt idx="376">
                  <c:v>20.886800000000001</c:v>
                </c:pt>
                <c:pt idx="377">
                  <c:v>20.942350000000001</c:v>
                </c:pt>
                <c:pt idx="378">
                  <c:v>20.997900000000001</c:v>
                </c:pt>
                <c:pt idx="379">
                  <c:v>21.053450000000002</c:v>
                </c:pt>
                <c:pt idx="380">
                  <c:v>21.109000000000002</c:v>
                </c:pt>
                <c:pt idx="381">
                  <c:v>21.164549999999998</c:v>
                </c:pt>
                <c:pt idx="382">
                  <c:v>21.220099999999999</c:v>
                </c:pt>
                <c:pt idx="383">
                  <c:v>21.275649999999999</c:v>
                </c:pt>
                <c:pt idx="384">
                  <c:v>21.331199999999999</c:v>
                </c:pt>
                <c:pt idx="385">
                  <c:v>21.386749999999999</c:v>
                </c:pt>
                <c:pt idx="386">
                  <c:v>21.442299999999999</c:v>
                </c:pt>
                <c:pt idx="387">
                  <c:v>21.49785</c:v>
                </c:pt>
                <c:pt idx="388">
                  <c:v>21.5534</c:v>
                </c:pt>
                <c:pt idx="389">
                  <c:v>21.60895</c:v>
                </c:pt>
                <c:pt idx="390">
                  <c:v>21.6645</c:v>
                </c:pt>
                <c:pt idx="391">
                  <c:v>21.720050000000001</c:v>
                </c:pt>
                <c:pt idx="392">
                  <c:v>21.775600000000001</c:v>
                </c:pt>
                <c:pt idx="393">
                  <c:v>21.831150000000001</c:v>
                </c:pt>
                <c:pt idx="394">
                  <c:v>21.886700000000001</c:v>
                </c:pt>
                <c:pt idx="395">
                  <c:v>21.942250000000001</c:v>
                </c:pt>
                <c:pt idx="396">
                  <c:v>21.997800000000002</c:v>
                </c:pt>
                <c:pt idx="397">
                  <c:v>22.053349999999998</c:v>
                </c:pt>
                <c:pt idx="398">
                  <c:v>22.108899999999998</c:v>
                </c:pt>
                <c:pt idx="399">
                  <c:v>22.164449999999999</c:v>
                </c:pt>
                <c:pt idx="400">
                  <c:v>22.22</c:v>
                </c:pt>
                <c:pt idx="401">
                  <c:v>22.275549999999999</c:v>
                </c:pt>
                <c:pt idx="402">
                  <c:v>22.331099999999999</c:v>
                </c:pt>
                <c:pt idx="403">
                  <c:v>22.386649999999999</c:v>
                </c:pt>
                <c:pt idx="404">
                  <c:v>22.4422</c:v>
                </c:pt>
                <c:pt idx="405">
                  <c:v>22.49775</c:v>
                </c:pt>
                <c:pt idx="406">
                  <c:v>22.5533</c:v>
                </c:pt>
                <c:pt idx="407">
                  <c:v>22.60885</c:v>
                </c:pt>
                <c:pt idx="408">
                  <c:v>22.664400000000001</c:v>
                </c:pt>
                <c:pt idx="409">
                  <c:v>22.719950000000001</c:v>
                </c:pt>
                <c:pt idx="410">
                  <c:v>22.775500000000001</c:v>
                </c:pt>
                <c:pt idx="411">
                  <c:v>22.831050000000001</c:v>
                </c:pt>
                <c:pt idx="412">
                  <c:v>22.886600000000001</c:v>
                </c:pt>
                <c:pt idx="413">
                  <c:v>22.942150000000002</c:v>
                </c:pt>
                <c:pt idx="414">
                  <c:v>22.997699999999998</c:v>
                </c:pt>
                <c:pt idx="415">
                  <c:v>23.053249999999998</c:v>
                </c:pt>
                <c:pt idx="416">
                  <c:v>23.108799999999999</c:v>
                </c:pt>
                <c:pt idx="417">
                  <c:v>23.164349999999999</c:v>
                </c:pt>
                <c:pt idx="418">
                  <c:v>23.219899999999999</c:v>
                </c:pt>
                <c:pt idx="419">
                  <c:v>23.275449999999999</c:v>
                </c:pt>
                <c:pt idx="420">
                  <c:v>23.219899999999999</c:v>
                </c:pt>
              </c:numCache>
            </c:numRef>
          </c:cat>
          <c:val>
            <c:numRef>
              <c:f>'9-11-2021'!$AU$2:$AU$423</c:f>
              <c:numCache>
                <c:formatCode>General</c:formatCode>
                <c:ptCount val="422"/>
                <c:pt idx="9" formatCode="0.00">
                  <c:v>0</c:v>
                </c:pt>
                <c:pt idx="10" formatCode="0.00">
                  <c:v>0</c:v>
                </c:pt>
                <c:pt idx="11" formatCode="0.00">
                  <c:v>0</c:v>
                </c:pt>
                <c:pt idx="12" formatCode="0.00">
                  <c:v>0</c:v>
                </c:pt>
                <c:pt idx="13" formatCode="0.00">
                  <c:v>0</c:v>
                </c:pt>
                <c:pt idx="14" formatCode="0.00">
                  <c:v>0</c:v>
                </c:pt>
                <c:pt idx="15" formatCode="0.00">
                  <c:v>0</c:v>
                </c:pt>
                <c:pt idx="16" formatCode="0.00">
                  <c:v>0</c:v>
                </c:pt>
                <c:pt idx="17" formatCode="0.00">
                  <c:v>0</c:v>
                </c:pt>
                <c:pt idx="18" formatCode="0.000">
                  <c:v>3.8087033333333332E-2</c:v>
                </c:pt>
                <c:pt idx="19" formatCode="0.000">
                  <c:v>9.3010545E-2</c:v>
                </c:pt>
                <c:pt idx="20" formatCode="0.000">
                  <c:v>0.26132</c:v>
                </c:pt>
                <c:pt idx="21" formatCode="0.000">
                  <c:v>0.411825</c:v>
                </c:pt>
                <c:pt idx="22" formatCode="0.000">
                  <c:v>0.67897133333333315</c:v>
                </c:pt>
                <c:pt idx="23" formatCode="0.000">
                  <c:v>0.85174133333333324</c:v>
                </c:pt>
                <c:pt idx="24" formatCode="0.000">
                  <c:v>1.3547016666666665</c:v>
                </c:pt>
                <c:pt idx="25" formatCode="0.000">
                  <c:v>1.8492850000000003</c:v>
                </c:pt>
                <c:pt idx="26" formatCode="0.000">
                  <c:v>2.4354538333333333</c:v>
                </c:pt>
                <c:pt idx="27" formatCode="0.000">
                  <c:v>3.0579480000000001</c:v>
                </c:pt>
                <c:pt idx="28" formatCode="0.000">
                  <c:v>3.5911609999999996</c:v>
                </c:pt>
                <c:pt idx="29" formatCode="0.000">
                  <c:v>4.3551426666666675</c:v>
                </c:pt>
                <c:pt idx="30" formatCode="0.000">
                  <c:v>5.3032945000000007</c:v>
                </c:pt>
                <c:pt idx="31" formatCode="0.000">
                  <c:v>5.9042713333333339</c:v>
                </c:pt>
                <c:pt idx="32" formatCode="0.000">
                  <c:v>6.3626374999999999</c:v>
                </c:pt>
                <c:pt idx="33" formatCode="0.000">
                  <c:v>6.441101333333334</c:v>
                </c:pt>
                <c:pt idx="34" formatCode="0.000">
                  <c:v>6.5676749999999995</c:v>
                </c:pt>
                <c:pt idx="35" formatCode="0.000">
                  <c:v>6.5071599999999998</c:v>
                </c:pt>
                <c:pt idx="36" formatCode="0.000">
                  <c:v>6.5736874999999992</c:v>
                </c:pt>
                <c:pt idx="37" formatCode="0.000">
                  <c:v>6.5740949999999998</c:v>
                </c:pt>
                <c:pt idx="38" formatCode="0.000">
                  <c:v>5.8172670000000002</c:v>
                </c:pt>
                <c:pt idx="39" formatCode="0.000">
                  <c:v>5.9090679999999995</c:v>
                </c:pt>
                <c:pt idx="40" formatCode="0.000">
                  <c:v>6.1271774999999993</c:v>
                </c:pt>
                <c:pt idx="41" formatCode="0.000">
                  <c:v>6.2989940000000004</c:v>
                </c:pt>
                <c:pt idx="42" formatCode="0.000">
                  <c:v>6.3735839999999993</c:v>
                </c:pt>
                <c:pt idx="43" formatCode="0.000">
                  <c:v>6.6832479999999999</c:v>
                </c:pt>
                <c:pt idx="44" formatCode="0.000">
                  <c:v>7.6668066666666661</c:v>
                </c:pt>
                <c:pt idx="45" formatCode="0.000">
                  <c:v>8.4978833333333341</c:v>
                </c:pt>
                <c:pt idx="46" formatCode="0.000">
                  <c:v>9.4368105</c:v>
                </c:pt>
                <c:pt idx="47" formatCode="0.000">
                  <c:v>10.362690000000001</c:v>
                </c:pt>
                <c:pt idx="48" formatCode="0.000">
                  <c:v>11.05199</c:v>
                </c:pt>
                <c:pt idx="49" formatCode="0.000">
                  <c:v>11.595206666666666</c:v>
                </c:pt>
                <c:pt idx="50" formatCode="0.000">
                  <c:v>10.138670000000001</c:v>
                </c:pt>
                <c:pt idx="51" formatCode="0.000">
                  <c:v>11.012323333333335</c:v>
                </c:pt>
                <c:pt idx="52" formatCode="0.000">
                  <c:v>10.767720000000001</c:v>
                </c:pt>
                <c:pt idx="53" formatCode="0.000">
                  <c:v>9.9859139999999993</c:v>
                </c:pt>
                <c:pt idx="54" formatCode="0.000">
                  <c:v>8.7683556666666664</c:v>
                </c:pt>
                <c:pt idx="55" formatCode="0.000">
                  <c:v>15.286093333333335</c:v>
                </c:pt>
                <c:pt idx="56" formatCode="0.000">
                  <c:v>13.038199999999998</c:v>
                </c:pt>
                <c:pt idx="57" formatCode="0.000">
                  <c:v>13.32793</c:v>
                </c:pt>
                <c:pt idx="58" formatCode="0.000">
                  <c:v>14.001536666666668</c:v>
                </c:pt>
                <c:pt idx="59" formatCode="0.000">
                  <c:v>14.479919999999998</c:v>
                </c:pt>
                <c:pt idx="60" formatCode="0.000">
                  <c:v>14.734720000000001</c:v>
                </c:pt>
                <c:pt idx="61" formatCode="0.000">
                  <c:v>14.608533333333334</c:v>
                </c:pt>
                <c:pt idx="62" formatCode="0.000">
                  <c:v>14.867210000000002</c:v>
                </c:pt>
                <c:pt idx="63" formatCode="0.000">
                  <c:v>14.147376666666668</c:v>
                </c:pt>
                <c:pt idx="64" formatCode="0.000">
                  <c:v>14.830286666666668</c:v>
                </c:pt>
                <c:pt idx="65" formatCode="0.000">
                  <c:v>13.966773333333334</c:v>
                </c:pt>
                <c:pt idx="66" formatCode="0.000">
                  <c:v>12.871026666666666</c:v>
                </c:pt>
                <c:pt idx="67" formatCode="0.000">
                  <c:v>11.641373333333334</c:v>
                </c:pt>
                <c:pt idx="68" formatCode="0.000">
                  <c:v>11.48873</c:v>
                </c:pt>
                <c:pt idx="69" formatCode="0.000">
                  <c:v>10.564</c:v>
                </c:pt>
                <c:pt idx="70" formatCode="0.000">
                  <c:v>5.3335550000000005</c:v>
                </c:pt>
                <c:pt idx="71" formatCode="0.000">
                  <c:v>1.8929544999999999</c:v>
                </c:pt>
                <c:pt idx="72" formatCode="0.000">
                  <c:v>2.3452185000000001</c:v>
                </c:pt>
                <c:pt idx="73" formatCode="0.000">
                  <c:v>2.3822746666666665</c:v>
                </c:pt>
                <c:pt idx="74" formatCode="0.000">
                  <c:v>2.3895833333333334</c:v>
                </c:pt>
                <c:pt idx="75" formatCode="0.000">
                  <c:v>2.4260416666666669</c:v>
                </c:pt>
                <c:pt idx="76" formatCode="0.000">
                  <c:v>2.0182800000000003</c:v>
                </c:pt>
                <c:pt idx="77" formatCode="0.000">
                  <c:v>2.1953714999999998</c:v>
                </c:pt>
                <c:pt idx="78" formatCode="0.000">
                  <c:v>2.363</c:v>
                </c:pt>
                <c:pt idx="79" formatCode="0.000">
                  <c:v>2.3885160000000001</c:v>
                </c:pt>
                <c:pt idx="80" formatCode="0.000">
                  <c:v>2.2744364999999998</c:v>
                </c:pt>
                <c:pt idx="81" formatCode="0.000">
                  <c:v>2.3531249999999999</c:v>
                </c:pt>
                <c:pt idx="82" formatCode="0.000">
                  <c:v>2.3104895000000001</c:v>
                </c:pt>
                <c:pt idx="83" formatCode="0.000">
                  <c:v>2.2232324999999999</c:v>
                </c:pt>
                <c:pt idx="84" formatCode="0.000">
                  <c:v>2.351509333333333</c:v>
                </c:pt>
                <c:pt idx="85" formatCode="0.000">
                  <c:v>2.1886351666666668</c:v>
                </c:pt>
                <c:pt idx="86" formatCode="0.000">
                  <c:v>2.3373119999999998</c:v>
                </c:pt>
                <c:pt idx="87" formatCode="0.000">
                  <c:v>2.3647964999999997</c:v>
                </c:pt>
                <c:pt idx="88" formatCode="0.000">
                  <c:v>2.2878543333333332</c:v>
                </c:pt>
                <c:pt idx="89" formatCode="0.000">
                  <c:v>3.2760501666666668</c:v>
                </c:pt>
                <c:pt idx="90" formatCode="0.000">
                  <c:v>7.8456711666666674</c:v>
                </c:pt>
                <c:pt idx="91" formatCode="0.000">
                  <c:v>13.591113333333332</c:v>
                </c:pt>
                <c:pt idx="92" formatCode="0.000">
                  <c:v>12.819788333333333</c:v>
                </c:pt>
                <c:pt idx="93" formatCode="0.000">
                  <c:v>13.315119999999999</c:v>
                </c:pt>
                <c:pt idx="94" formatCode="0.000">
                  <c:v>14.383308333333334</c:v>
                </c:pt>
                <c:pt idx="95" formatCode="0.000">
                  <c:v>13.818030000000002</c:v>
                </c:pt>
                <c:pt idx="96" formatCode="0.000">
                  <c:v>14.918275</c:v>
                </c:pt>
                <c:pt idx="97" formatCode="0.000">
                  <c:v>14.055649999999998</c:v>
                </c:pt>
                <c:pt idx="98" formatCode="0.000">
                  <c:v>14.752095000000002</c:v>
                </c:pt>
                <c:pt idx="99" formatCode="0.000">
                  <c:v>14.073348333333334</c:v>
                </c:pt>
                <c:pt idx="100" formatCode="0.000">
                  <c:v>14.681706666666665</c:v>
                </c:pt>
                <c:pt idx="101" formatCode="0.000">
                  <c:v>15.245474999999999</c:v>
                </c:pt>
                <c:pt idx="102" formatCode="0.000">
                  <c:v>15.37824</c:v>
                </c:pt>
                <c:pt idx="103" formatCode="0.000">
                  <c:v>14.902428333333335</c:v>
                </c:pt>
                <c:pt idx="104" formatCode="0.000">
                  <c:v>14.234791666666666</c:v>
                </c:pt>
                <c:pt idx="105" formatCode="0.000">
                  <c:v>13.352200000000002</c:v>
                </c:pt>
                <c:pt idx="106" formatCode="0.000">
                  <c:v>15.002656666666665</c:v>
                </c:pt>
                <c:pt idx="107" formatCode="0.000">
                  <c:v>14.644513333333331</c:v>
                </c:pt>
                <c:pt idx="108" formatCode="0.000">
                  <c:v>14.995726666666666</c:v>
                </c:pt>
                <c:pt idx="109" formatCode="0.000">
                  <c:v>14.956515000000003</c:v>
                </c:pt>
                <c:pt idx="110" formatCode="0.000">
                  <c:v>15.175398333333336</c:v>
                </c:pt>
                <c:pt idx="111" formatCode="0.000">
                  <c:v>15.498940000000003</c:v>
                </c:pt>
                <c:pt idx="112" formatCode="0.000">
                  <c:v>14.628613333333332</c:v>
                </c:pt>
                <c:pt idx="113" formatCode="0.000">
                  <c:v>15.777078333333332</c:v>
                </c:pt>
                <c:pt idx="114" formatCode="0.000">
                  <c:v>15.955113333333335</c:v>
                </c:pt>
                <c:pt idx="115" formatCode="0.000">
                  <c:v>15.696695</c:v>
                </c:pt>
                <c:pt idx="116" formatCode="0.000">
                  <c:v>16.343991666666668</c:v>
                </c:pt>
                <c:pt idx="117" formatCode="0.000">
                  <c:v>15.113386666666665</c:v>
                </c:pt>
                <c:pt idx="118" formatCode="0.000">
                  <c:v>13.807383333333334</c:v>
                </c:pt>
                <c:pt idx="119" formatCode="0.000">
                  <c:v>15.040109999999999</c:v>
                </c:pt>
                <c:pt idx="120" formatCode="0.000">
                  <c:v>15.878800000000002</c:v>
                </c:pt>
                <c:pt idx="121" formatCode="0.000">
                  <c:v>16.324293333333333</c:v>
                </c:pt>
                <c:pt idx="122" formatCode="0.000">
                  <c:v>16.592853333333334</c:v>
                </c:pt>
                <c:pt idx="123" formatCode="0.000">
                  <c:v>16.807918333333333</c:v>
                </c:pt>
                <c:pt idx="124" formatCode="0.000">
                  <c:v>16.679030000000001</c:v>
                </c:pt>
                <c:pt idx="125" formatCode="0.000">
                  <c:v>16.721083333333333</c:v>
                </c:pt>
                <c:pt idx="126" formatCode="0.000">
                  <c:v>16.080796666666664</c:v>
                </c:pt>
                <c:pt idx="127" formatCode="0.000">
                  <c:v>15.922139999999999</c:v>
                </c:pt>
                <c:pt idx="128" formatCode="0.000">
                  <c:v>16.017451666666666</c:v>
                </c:pt>
                <c:pt idx="129" formatCode="0.000">
                  <c:v>14.438416666666669</c:v>
                </c:pt>
                <c:pt idx="130" formatCode="0.000">
                  <c:v>15.281660000000002</c:v>
                </c:pt>
                <c:pt idx="131" formatCode="0.000">
                  <c:v>15.929250000000001</c:v>
                </c:pt>
                <c:pt idx="132" formatCode="0.000">
                  <c:v>15.145341666666667</c:v>
                </c:pt>
                <c:pt idx="133" formatCode="0.000">
                  <c:v>15.944160000000002</c:v>
                </c:pt>
                <c:pt idx="134" formatCode="0.000">
                  <c:v>16.395350000000001</c:v>
                </c:pt>
                <c:pt idx="135" formatCode="0.000">
                  <c:v>14.801908333333333</c:v>
                </c:pt>
                <c:pt idx="136" formatCode="0.000">
                  <c:v>15.902350000000002</c:v>
                </c:pt>
                <c:pt idx="137" formatCode="0.000">
                  <c:v>17.275605000000002</c:v>
                </c:pt>
                <c:pt idx="138" formatCode="0.000">
                  <c:v>16.125146666666666</c:v>
                </c:pt>
                <c:pt idx="139" formatCode="0.000">
                  <c:v>16.636600000000001</c:v>
                </c:pt>
                <c:pt idx="140" formatCode="0.000">
                  <c:v>15.708825000000001</c:v>
                </c:pt>
                <c:pt idx="141" formatCode="0.000">
                  <c:v>16.707796666666667</c:v>
                </c:pt>
                <c:pt idx="142" formatCode="0.000">
                  <c:v>17.75094</c:v>
                </c:pt>
                <c:pt idx="143" formatCode="0.000">
                  <c:v>18.03415</c:v>
                </c:pt>
                <c:pt idx="144" formatCode="0.000">
                  <c:v>17.162248333333334</c:v>
                </c:pt>
                <c:pt idx="145" formatCode="0.000">
                  <c:v>17.268355</c:v>
                </c:pt>
                <c:pt idx="146" formatCode="0.000">
                  <c:v>17.356943333333334</c:v>
                </c:pt>
                <c:pt idx="147" formatCode="0.000">
                  <c:v>17.628086666666668</c:v>
                </c:pt>
                <c:pt idx="148" formatCode="0.000">
                  <c:v>17.535333333333334</c:v>
                </c:pt>
                <c:pt idx="149" formatCode="0.000">
                  <c:v>16.616464999999998</c:v>
                </c:pt>
                <c:pt idx="150" formatCode="0.000">
                  <c:v>16.011679999999998</c:v>
                </c:pt>
                <c:pt idx="151" formatCode="0.000">
                  <c:v>17.293309999999998</c:v>
                </c:pt>
                <c:pt idx="152" formatCode="0.000">
                  <c:v>17.35324</c:v>
                </c:pt>
                <c:pt idx="153" formatCode="0.000">
                  <c:v>18.008894999999999</c:v>
                </c:pt>
                <c:pt idx="154" formatCode="0.000">
                  <c:v>16.537733333333332</c:v>
                </c:pt>
                <c:pt idx="155" formatCode="0.000">
                  <c:v>16.586103333333334</c:v>
                </c:pt>
                <c:pt idx="156" formatCode="0.000">
                  <c:v>16.084440000000001</c:v>
                </c:pt>
                <c:pt idx="157" formatCode="0.000">
                  <c:v>17.338720000000002</c:v>
                </c:pt>
                <c:pt idx="158" formatCode="0.000">
                  <c:v>17.573189999999997</c:v>
                </c:pt>
                <c:pt idx="159" formatCode="0.000">
                  <c:v>16.060916666666667</c:v>
                </c:pt>
                <c:pt idx="160" formatCode="0.000">
                  <c:v>14.993483333333334</c:v>
                </c:pt>
                <c:pt idx="161" formatCode="0.000">
                  <c:v>16.075086666666667</c:v>
                </c:pt>
                <c:pt idx="162" formatCode="0.000">
                  <c:v>15.271123333333332</c:v>
                </c:pt>
                <c:pt idx="163" formatCode="0.000">
                  <c:v>15.952811666666664</c:v>
                </c:pt>
                <c:pt idx="164" formatCode="0.000">
                  <c:v>15.953716666666669</c:v>
                </c:pt>
                <c:pt idx="165" formatCode="0.000">
                  <c:v>15.505770000000002</c:v>
                </c:pt>
                <c:pt idx="166" formatCode="0.000">
                  <c:v>15.148046666666666</c:v>
                </c:pt>
                <c:pt idx="167" formatCode="0.000">
                  <c:v>14.391611666666664</c:v>
                </c:pt>
                <c:pt idx="168" formatCode="0.000">
                  <c:v>13.849470000000002</c:v>
                </c:pt>
                <c:pt idx="169" formatCode="0.000">
                  <c:v>13.122118333333333</c:v>
                </c:pt>
                <c:pt idx="170" formatCode="0.000">
                  <c:v>12.623216666666668</c:v>
                </c:pt>
                <c:pt idx="171" formatCode="0.000">
                  <c:v>11.926386666666666</c:v>
                </c:pt>
                <c:pt idx="172" formatCode="0.000">
                  <c:v>11.296703333333335</c:v>
                </c:pt>
                <c:pt idx="173" formatCode="0.000">
                  <c:v>10.6381</c:v>
                </c:pt>
                <c:pt idx="174" formatCode="0.000">
                  <c:v>9.9484199999999987</c:v>
                </c:pt>
                <c:pt idx="175" formatCode="0.000">
                  <c:v>9.2854350000000014</c:v>
                </c:pt>
                <c:pt idx="176" formatCode="0.000">
                  <c:v>8.7294999999999998</c:v>
                </c:pt>
                <c:pt idx="177" formatCode="0.000">
                  <c:v>8.1920366666666666</c:v>
                </c:pt>
                <c:pt idx="178" formatCode="0.000">
                  <c:v>7.718445</c:v>
                </c:pt>
                <c:pt idx="179" formatCode="0.000">
                  <c:v>7.2864683333333327</c:v>
                </c:pt>
                <c:pt idx="180" formatCode="0.000">
                  <c:v>6.8647916666666671</c:v>
                </c:pt>
                <c:pt idx="181" formatCode="0.000">
                  <c:v>6.432500000000001</c:v>
                </c:pt>
                <c:pt idx="182" formatCode="0.000">
                  <c:v>6.03721</c:v>
                </c:pt>
                <c:pt idx="183" formatCode="0.000">
                  <c:v>5.6020016666666663</c:v>
                </c:pt>
                <c:pt idx="184" formatCode="0.000">
                  <c:v>5.2747250000000001</c:v>
                </c:pt>
                <c:pt idx="185" formatCode="0.000">
                  <c:v>4.8906666666666672</c:v>
                </c:pt>
                <c:pt idx="186" formatCode="0.000">
                  <c:v>4.4218933333333332</c:v>
                </c:pt>
                <c:pt idx="187" formatCode="0.000">
                  <c:v>4.0445333333333329</c:v>
                </c:pt>
                <c:pt idx="188" formatCode="0.000">
                  <c:v>3.7238933333333328</c:v>
                </c:pt>
                <c:pt idx="189" formatCode="0.000">
                  <c:v>3.3841800000000006</c:v>
                </c:pt>
                <c:pt idx="190" formatCode="0.000">
                  <c:v>3.0304666666666669</c:v>
                </c:pt>
                <c:pt idx="191" formatCode="0.000">
                  <c:v>2.820824</c:v>
                </c:pt>
                <c:pt idx="192" formatCode="0.000">
                  <c:v>2.6010605</c:v>
                </c:pt>
                <c:pt idx="193" formatCode="0.000">
                  <c:v>2.3186653333333336</c:v>
                </c:pt>
                <c:pt idx="194" formatCode="0.000">
                  <c:v>2.0612314999999999</c:v>
                </c:pt>
                <c:pt idx="195" formatCode="0.000">
                  <c:v>1.87083</c:v>
                </c:pt>
                <c:pt idx="196" formatCode="0.000">
                  <c:v>1.6562398333333337</c:v>
                </c:pt>
                <c:pt idx="197" formatCode="0.000">
                  <c:v>1.5111766666666666</c:v>
                </c:pt>
                <c:pt idx="198" formatCode="0.000">
                  <c:v>1.3618285000000001</c:v>
                </c:pt>
                <c:pt idx="199" formatCode="0.000">
                  <c:v>1.249231</c:v>
                </c:pt>
                <c:pt idx="200" formatCode="0.000">
                  <c:v>1.13886</c:v>
                </c:pt>
                <c:pt idx="201" formatCode="0.000">
                  <c:v>1.0653965000000001</c:v>
                </c:pt>
                <c:pt idx="202" formatCode="0.000">
                  <c:v>0.99522533333333318</c:v>
                </c:pt>
                <c:pt idx="203" formatCode="0.000">
                  <c:v>0.92326000000000008</c:v>
                </c:pt>
                <c:pt idx="204" formatCode="0.000">
                  <c:v>0.843804</c:v>
                </c:pt>
                <c:pt idx="205" formatCode="0.000">
                  <c:v>0.80963116666666668</c:v>
                </c:pt>
                <c:pt idx="206" formatCode="0.000">
                  <c:v>0.73463500000000004</c:v>
                </c:pt>
                <c:pt idx="207" formatCode="0.000">
                  <c:v>0.69807900000000001</c:v>
                </c:pt>
                <c:pt idx="208" formatCode="0.000">
                  <c:v>0.66461999999999999</c:v>
                </c:pt>
                <c:pt idx="209" formatCode="0.000">
                  <c:v>0.62787333333333328</c:v>
                </c:pt>
                <c:pt idx="210" formatCode="0.000">
                  <c:v>0.58965866666666666</c:v>
                </c:pt>
                <c:pt idx="211" formatCode="0.000">
                  <c:v>0.55298133333333332</c:v>
                </c:pt>
                <c:pt idx="212" formatCode="0.000">
                  <c:v>0.55115200000000009</c:v>
                </c:pt>
                <c:pt idx="213" formatCode="0.000">
                  <c:v>0.47632950000000002</c:v>
                </c:pt>
                <c:pt idx="214" formatCode="0.000">
                  <c:v>0.47927399999999998</c:v>
                </c:pt>
                <c:pt idx="215" formatCode="0.000">
                  <c:v>0.44224400000000003</c:v>
                </c:pt>
                <c:pt idx="216" formatCode="0.000">
                  <c:v>0.40633333333333332</c:v>
                </c:pt>
                <c:pt idx="217" formatCode="0.000">
                  <c:v>0.3692333333333333</c:v>
                </c:pt>
                <c:pt idx="218" formatCode="0.000">
                  <c:v>0.36975583333333334</c:v>
                </c:pt>
                <c:pt idx="219" formatCode="0.000">
                  <c:v>0.33185933333333328</c:v>
                </c:pt>
                <c:pt idx="220" formatCode="0.000">
                  <c:v>0.29482933333333333</c:v>
                </c:pt>
                <c:pt idx="221" formatCode="0.000">
                  <c:v>0.25863999999999998</c:v>
                </c:pt>
                <c:pt idx="222" formatCode="0.000">
                  <c:v>0.29343599999999997</c:v>
                </c:pt>
                <c:pt idx="223" formatCode="0.000">
                  <c:v>0.25778600000000002</c:v>
                </c:pt>
                <c:pt idx="224" formatCode="0.000">
                  <c:v>0.22154000000000001</c:v>
                </c:pt>
                <c:pt idx="225" formatCode="0.000">
                  <c:v>0.11094666666666667</c:v>
                </c:pt>
                <c:pt idx="226" formatCode="0.000">
                  <c:v>0.14741466666666667</c:v>
                </c:pt>
                <c:pt idx="227" formatCode="0.000">
                  <c:v>0.14769333333333334</c:v>
                </c:pt>
                <c:pt idx="228" formatCode="0.000">
                  <c:v>0.18383450000000001</c:v>
                </c:pt>
                <c:pt idx="229" formatCode="0.000">
                  <c:v>0.1841831666666667</c:v>
                </c:pt>
                <c:pt idx="230" formatCode="0.000">
                  <c:v>0.14769333333333334</c:v>
                </c:pt>
                <c:pt idx="231" formatCode="0.000">
                  <c:v>3.7099999999999994E-2</c:v>
                </c:pt>
                <c:pt idx="232" formatCode="0.000">
                  <c:v>0</c:v>
                </c:pt>
                <c:pt idx="233" formatCode="0.000">
                  <c:v>0</c:v>
                </c:pt>
                <c:pt idx="234" formatCode="0.000">
                  <c:v>0</c:v>
                </c:pt>
                <c:pt idx="235" formatCode="0.000">
                  <c:v>0</c:v>
                </c:pt>
                <c:pt idx="236" formatCode="0.000">
                  <c:v>0</c:v>
                </c:pt>
                <c:pt idx="237" formatCode="0.000">
                  <c:v>0</c:v>
                </c:pt>
                <c:pt idx="238" formatCode="0.000">
                  <c:v>0</c:v>
                </c:pt>
                <c:pt idx="239" formatCode="0.000">
                  <c:v>0</c:v>
                </c:pt>
                <c:pt idx="240" formatCode="0.000">
                  <c:v>0</c:v>
                </c:pt>
                <c:pt idx="241" formatCode="0.000">
                  <c:v>0</c:v>
                </c:pt>
                <c:pt idx="242" formatCode="0.000">
                  <c:v>0</c:v>
                </c:pt>
                <c:pt idx="243" formatCode="0.000">
                  <c:v>0</c:v>
                </c:pt>
                <c:pt idx="244" formatCode="0.000">
                  <c:v>0</c:v>
                </c:pt>
                <c:pt idx="245" formatCode="0.000">
                  <c:v>0</c:v>
                </c:pt>
                <c:pt idx="246" formatCode="0.000">
                  <c:v>0</c:v>
                </c:pt>
                <c:pt idx="247" formatCode="0.000">
                  <c:v>0</c:v>
                </c:pt>
                <c:pt idx="248" formatCode="0.000">
                  <c:v>0</c:v>
                </c:pt>
                <c:pt idx="249" formatCode="0.000">
                  <c:v>0</c:v>
                </c:pt>
                <c:pt idx="250" formatCode="0.000">
                  <c:v>0</c:v>
                </c:pt>
                <c:pt idx="251" formatCode="0.000">
                  <c:v>0</c:v>
                </c:pt>
                <c:pt idx="252" formatCode="0.000">
                  <c:v>0</c:v>
                </c:pt>
                <c:pt idx="253" formatCode="0.000">
                  <c:v>0</c:v>
                </c:pt>
                <c:pt idx="254" formatCode="0.000">
                  <c:v>0</c:v>
                </c:pt>
                <c:pt idx="255" formatCode="0.000">
                  <c:v>0</c:v>
                </c:pt>
                <c:pt idx="256" formatCode="0.000">
                  <c:v>0</c:v>
                </c:pt>
                <c:pt idx="257" formatCode="0.000">
                  <c:v>0</c:v>
                </c:pt>
                <c:pt idx="258" formatCode="0.000">
                  <c:v>0</c:v>
                </c:pt>
                <c:pt idx="259" formatCode="0.000">
                  <c:v>0</c:v>
                </c:pt>
                <c:pt idx="260" formatCode="0.000">
                  <c:v>0</c:v>
                </c:pt>
                <c:pt idx="261" formatCode="0.000">
                  <c:v>0</c:v>
                </c:pt>
                <c:pt idx="262" formatCode="0.000">
                  <c:v>0</c:v>
                </c:pt>
                <c:pt idx="263" formatCode="0.000">
                  <c:v>0</c:v>
                </c:pt>
                <c:pt idx="264" formatCode="0.000">
                  <c:v>0</c:v>
                </c:pt>
                <c:pt idx="265" formatCode="0.000">
                  <c:v>0.21244850000000001</c:v>
                </c:pt>
                <c:pt idx="266" formatCode="0.000">
                  <c:v>0.53559733333333326</c:v>
                </c:pt>
                <c:pt idx="267" formatCode="0.000">
                  <c:v>0.77649650000000003</c:v>
                </c:pt>
                <c:pt idx="268" formatCode="0.000">
                  <c:v>0.91012533333333334</c:v>
                </c:pt>
                <c:pt idx="269" formatCode="0.000">
                  <c:v>0.94681233333333337</c:v>
                </c:pt>
                <c:pt idx="270" formatCode="0.000">
                  <c:v>0.87087250000000005</c:v>
                </c:pt>
                <c:pt idx="271" formatCode="0.000">
                  <c:v>0.83488533333333337</c:v>
                </c:pt>
                <c:pt idx="272" formatCode="0.000">
                  <c:v>0.87250699999999992</c:v>
                </c:pt>
                <c:pt idx="273" formatCode="0.000">
                  <c:v>0.89194233333333328</c:v>
                </c:pt>
                <c:pt idx="274" formatCode="0.000">
                  <c:v>0.91127316666666669</c:v>
                </c:pt>
                <c:pt idx="275" formatCode="0.000">
                  <c:v>0.8886923333333332</c:v>
                </c:pt>
                <c:pt idx="276" formatCode="0.000">
                  <c:v>0.97049200000000002</c:v>
                </c:pt>
                <c:pt idx="277" formatCode="0.000">
                  <c:v>1.0999274999999999</c:v>
                </c:pt>
                <c:pt idx="278" formatCode="0.000">
                  <c:v>1.0448258333333336</c:v>
                </c:pt>
                <c:pt idx="279" formatCode="0.000">
                  <c:v>1.0853010000000001</c:v>
                </c:pt>
                <c:pt idx="280" formatCode="0.000">
                  <c:v>1.1302876666666666</c:v>
                </c:pt>
                <c:pt idx="281" formatCode="0.000">
                  <c:v>1.1780613333333334</c:v>
                </c:pt>
                <c:pt idx="282" formatCode="0.000">
                  <c:v>1.2222120000000001</c:v>
                </c:pt>
                <c:pt idx="283" formatCode="0.000">
                  <c:v>1.2658749999999999</c:v>
                </c:pt>
                <c:pt idx="284" formatCode="0.000">
                  <c:v>1.2809766666666664</c:v>
                </c:pt>
                <c:pt idx="285" formatCode="0.000">
                  <c:v>1.3406333333333333</c:v>
                </c:pt>
                <c:pt idx="286" formatCode="0.000">
                  <c:v>1.3958279999999998</c:v>
                </c:pt>
                <c:pt idx="287" formatCode="0.000">
                  <c:v>1.474362</c:v>
                </c:pt>
                <c:pt idx="288" formatCode="0.000">
                  <c:v>1.5184299999999999</c:v>
                </c:pt>
                <c:pt idx="289" formatCode="0.000">
                  <c:v>1.5974688333333333</c:v>
                </c:pt>
                <c:pt idx="290" formatCode="0.000">
                  <c:v>1.6781796666666671</c:v>
                </c:pt>
                <c:pt idx="291" formatCode="0.000">
                  <c:v>1.7287056666666667</c:v>
                </c:pt>
                <c:pt idx="292" formatCode="0.000">
                  <c:v>1.7906400000000005</c:v>
                </c:pt>
                <c:pt idx="293" formatCode="0.000">
                  <c:v>1.8116973333333333</c:v>
                </c:pt>
                <c:pt idx="294" formatCode="0.000">
                  <c:v>1.8405898333333335</c:v>
                </c:pt>
                <c:pt idx="295" formatCode="0.000">
                  <c:v>1.8567533333333335</c:v>
                </c:pt>
                <c:pt idx="296" formatCode="0.000">
                  <c:v>1.9223235000000001</c:v>
                </c:pt>
                <c:pt idx="297" formatCode="0.000">
                  <c:v>1.9508714999999999</c:v>
                </c:pt>
                <c:pt idx="298" formatCode="0.000">
                  <c:v>1.9508714999999999</c:v>
                </c:pt>
                <c:pt idx="299" formatCode="0.000">
                  <c:v>2.0045840000000004</c:v>
                </c:pt>
                <c:pt idx="300" formatCode="0.000">
                  <c:v>2.013119333333333</c:v>
                </c:pt>
                <c:pt idx="301" formatCode="0.000">
                  <c:v>2.0333540000000001</c:v>
                </c:pt>
                <c:pt idx="302" formatCode="0.000">
                  <c:v>2.0618500000000002</c:v>
                </c:pt>
                <c:pt idx="303" formatCode="0.000">
                  <c:v>2.0855333333333332</c:v>
                </c:pt>
                <c:pt idx="304" formatCode="0.000">
                  <c:v>2.1139600000000001</c:v>
                </c:pt>
                <c:pt idx="305" formatCode="0.000">
                  <c:v>2.1295950000000001</c:v>
                </c:pt>
                <c:pt idx="306" formatCode="0.000">
                  <c:v>2.1335145000000004</c:v>
                </c:pt>
                <c:pt idx="307" formatCode="0.000">
                  <c:v>2.1710866666666666</c:v>
                </c:pt>
                <c:pt idx="308" formatCode="0.000">
                  <c:v>2.2282133333333332</c:v>
                </c:pt>
                <c:pt idx="309" formatCode="0.000">
                  <c:v>2.2146266666666663</c:v>
                </c:pt>
                <c:pt idx="310" formatCode="0.000">
                  <c:v>2.2187026666666667</c:v>
                </c:pt>
                <c:pt idx="311" formatCode="0.000">
                  <c:v>2.2431516666666664</c:v>
                </c:pt>
                <c:pt idx="312" formatCode="0.000">
                  <c:v>2.2714050000000001</c:v>
                </c:pt>
                <c:pt idx="313" formatCode="0.000">
                  <c:v>2.304163</c:v>
                </c:pt>
                <c:pt idx="314" formatCode="0.000">
                  <c:v>2.3098069999999997</c:v>
                </c:pt>
                <c:pt idx="315" formatCode="0.000">
                  <c:v>2.32247</c:v>
                </c:pt>
                <c:pt idx="316" formatCode="0.000">
                  <c:v>2.2999299999999998</c:v>
                </c:pt>
                <c:pt idx="317" formatCode="0.000">
                  <c:v>2.3509250000000002</c:v>
                </c:pt>
                <c:pt idx="318" formatCode="0.000">
                  <c:v>2.3509250000000002</c:v>
                </c:pt>
                <c:pt idx="319" formatCode="0.000">
                  <c:v>2.3849616666666669</c:v>
                </c:pt>
                <c:pt idx="320" formatCode="0.000">
                  <c:v>2.4179286666666671</c:v>
                </c:pt>
                <c:pt idx="321" formatCode="0.000">
                  <c:v>2.413486666666667</c:v>
                </c:pt>
                <c:pt idx="322" formatCode="0.000">
                  <c:v>2.4808735</c:v>
                </c:pt>
                <c:pt idx="323" formatCode="0.000">
                  <c:v>2.5092481666666662</c:v>
                </c:pt>
                <c:pt idx="324" formatCode="0.000">
                  <c:v>2.5270433333333333</c:v>
                </c:pt>
                <c:pt idx="325" formatCode="0.000">
                  <c:v>2.491482</c:v>
                </c:pt>
                <c:pt idx="326" formatCode="0.000">
                  <c:v>2.5487480000000002</c:v>
                </c:pt>
                <c:pt idx="327" formatCode="0.000">
                  <c:v>2.5709733333333333</c:v>
                </c:pt>
                <c:pt idx="328" formatCode="0.000">
                  <c:v>2.5929206666666667</c:v>
                </c:pt>
                <c:pt idx="329" formatCode="0.000">
                  <c:v>2.6569450000000003</c:v>
                </c:pt>
                <c:pt idx="330" formatCode="0.000">
                  <c:v>2.6107694999999995</c:v>
                </c:pt>
                <c:pt idx="331" formatCode="0.000">
                  <c:v>2.6681400000000002</c:v>
                </c:pt>
                <c:pt idx="332" formatCode="0.000">
                  <c:v>2.6746200000000004</c:v>
                </c:pt>
                <c:pt idx="333" formatCode="0.000">
                  <c:v>2.69082</c:v>
                </c:pt>
                <c:pt idx="334" formatCode="0.000">
                  <c:v>2.7261599999999997</c:v>
                </c:pt>
                <c:pt idx="335" formatCode="0.000">
                  <c:v>2.7437136666666673</c:v>
                </c:pt>
                <c:pt idx="336" formatCode="0.000">
                  <c:v>2.7649366666666668</c:v>
                </c:pt>
                <c:pt idx="337" formatCode="0.000">
                  <c:v>2.8043216666666666</c:v>
                </c:pt>
                <c:pt idx="338" formatCode="0.000">
                  <c:v>2.7950266666666663</c:v>
                </c:pt>
                <c:pt idx="339" formatCode="0.000">
                  <c:v>2.7950266666666663</c:v>
                </c:pt>
                <c:pt idx="340" formatCode="0.000">
                  <c:v>2.8467200000000004</c:v>
                </c:pt>
                <c:pt idx="341" formatCode="0.000">
                  <c:v>2.8814133333333332</c:v>
                </c:pt>
                <c:pt idx="342" formatCode="0.000">
                  <c:v>2.8624566666666666</c:v>
                </c:pt>
                <c:pt idx="343" formatCode="0.000">
                  <c:v>2.9120666666666661</c:v>
                </c:pt>
                <c:pt idx="344" formatCode="0.000">
                  <c:v>2.8865833333333333</c:v>
                </c:pt>
                <c:pt idx="345" formatCode="0.000">
                  <c:v>2.9575166666666668</c:v>
                </c:pt>
                <c:pt idx="346" formatCode="0.000">
                  <c:v>2.9698250000000002</c:v>
                </c:pt>
                <c:pt idx="347" formatCode="0.000">
                  <c:v>3.0007900000000003</c:v>
                </c:pt>
                <c:pt idx="348" formatCode="0.000">
                  <c:v>3.0163866666666665</c:v>
                </c:pt>
                <c:pt idx="349" formatCode="0.000">
                  <c:v>3.0217666666666667</c:v>
                </c:pt>
                <c:pt idx="350" formatCode="0.000">
                  <c:v>3.02894</c:v>
                </c:pt>
                <c:pt idx="351" formatCode="0.000">
                  <c:v>3.1160666666666663</c:v>
                </c:pt>
                <c:pt idx="352" formatCode="0.000">
                  <c:v>2.4433816666666668</c:v>
                </c:pt>
                <c:pt idx="353" formatCode="0.000">
                  <c:v>2.3236149999999998</c:v>
                </c:pt>
                <c:pt idx="354" formatCode="0.000">
                  <c:v>2.1259503333333334</c:v>
                </c:pt>
                <c:pt idx="355" formatCode="0.000">
                  <c:v>2.1241383333333332</c:v>
                </c:pt>
                <c:pt idx="356" formatCode="0.000">
                  <c:v>2.2216275000000003</c:v>
                </c:pt>
                <c:pt idx="357" formatCode="0.000">
                  <c:v>2.3016466666666666</c:v>
                </c:pt>
                <c:pt idx="358" formatCode="0.000">
                  <c:v>2.3859360000000001</c:v>
                </c:pt>
                <c:pt idx="359" formatCode="0.000">
                  <c:v>2.5431840000000001</c:v>
                </c:pt>
                <c:pt idx="360" formatCode="0.000">
                  <c:v>2.6292796666666667</c:v>
                </c:pt>
                <c:pt idx="361" formatCode="0.000">
                  <c:v>2.7517050000000003</c:v>
                </c:pt>
                <c:pt idx="362" formatCode="0.000">
                  <c:v>2.8604583333333333</c:v>
                </c:pt>
                <c:pt idx="363" formatCode="0.000">
                  <c:v>2.9989574999999999</c:v>
                </c:pt>
                <c:pt idx="364" formatCode="0.000">
                  <c:v>0.13376806666666666</c:v>
                </c:pt>
                <c:pt idx="365" formatCode="0.000">
                  <c:v>0</c:v>
                </c:pt>
                <c:pt idx="366" formatCode="0.000">
                  <c:v>0.47856210000000005</c:v>
                </c:pt>
                <c:pt idx="367" formatCode="0.000">
                  <c:v>0.65698099999999993</c:v>
                </c:pt>
                <c:pt idx="368" formatCode="0.000">
                  <c:v>0.72861600000000004</c:v>
                </c:pt>
                <c:pt idx="369" formatCode="0.000">
                  <c:v>0.93397416666666666</c:v>
                </c:pt>
                <c:pt idx="370" formatCode="0.000">
                  <c:v>1.17177</c:v>
                </c:pt>
                <c:pt idx="371" formatCode="0.000">
                  <c:v>1.3975059999999999</c:v>
                </c:pt>
                <c:pt idx="372" formatCode="0.000">
                  <c:v>1.6264006666666666</c:v>
                </c:pt>
                <c:pt idx="373" formatCode="0.000">
                  <c:v>1.847280833333333</c:v>
                </c:pt>
                <c:pt idx="374" formatCode="0.000">
                  <c:v>1.7251208333333332</c:v>
                </c:pt>
                <c:pt idx="375" formatCode="0.000">
                  <c:v>2.2472129999999999</c:v>
                </c:pt>
                <c:pt idx="376" formatCode="0.000">
                  <c:v>3.0193881666666669</c:v>
                </c:pt>
                <c:pt idx="377" formatCode="0.000">
                  <c:v>3.9818099999999998</c:v>
                </c:pt>
                <c:pt idx="378" formatCode="0.000">
                  <c:v>5.8796300000000006</c:v>
                </c:pt>
                <c:pt idx="379" formatCode="0.000">
                  <c:v>8.5287740000000003</c:v>
                </c:pt>
                <c:pt idx="380" formatCode="0.000">
                  <c:v>11.564159999999999</c:v>
                </c:pt>
                <c:pt idx="381" formatCode="0.000">
                  <c:v>3.8557666666666668</c:v>
                </c:pt>
                <c:pt idx="382" formatCode="0.000">
                  <c:v>0.96321399999999979</c:v>
                </c:pt>
                <c:pt idx="383" formatCode="0.000">
                  <c:v>0.19729633333333332</c:v>
                </c:pt>
                <c:pt idx="384" formatCode="0.000">
                  <c:v>6.4736333333333326E-2</c:v>
                </c:pt>
                <c:pt idx="385" formatCode="0.000">
                  <c:v>4.225283333333333E-2</c:v>
                </c:pt>
                <c:pt idx="386" formatCode="0.000">
                  <c:v>2.086E-2</c:v>
                </c:pt>
                <c:pt idx="387" formatCode="0.000">
                  <c:v>2.0545000000000001E-2</c:v>
                </c:pt>
                <c:pt idx="388" formatCode="0.000">
                  <c:v>2.0195000000000001E-2</c:v>
                </c:pt>
                <c:pt idx="389" formatCode="0.000">
                  <c:v>1.9827499999999998E-2</c:v>
                </c:pt>
                <c:pt idx="390" formatCode="0.000">
                  <c:v>1.9512499999999999E-2</c:v>
                </c:pt>
                <c:pt idx="391" formatCode="0.000">
                  <c:v>1.9214999999999999E-2</c:v>
                </c:pt>
                <c:pt idx="392" formatCode="0.000">
                  <c:v>0</c:v>
                </c:pt>
                <c:pt idx="393" formatCode="0.000">
                  <c:v>1.8672500000000002E-2</c:v>
                </c:pt>
                <c:pt idx="394" formatCode="0.000">
                  <c:v>0</c:v>
                </c:pt>
                <c:pt idx="395" formatCode="0.000">
                  <c:v>0</c:v>
                </c:pt>
                <c:pt idx="396" formatCode="0.000">
                  <c:v>0</c:v>
                </c:pt>
                <c:pt idx="397" formatCode="0.000">
                  <c:v>0</c:v>
                </c:pt>
                <c:pt idx="398" formatCode="0.000">
                  <c:v>0</c:v>
                </c:pt>
                <c:pt idx="399" formatCode="0.000">
                  <c:v>0</c:v>
                </c:pt>
                <c:pt idx="400" formatCode="0.000">
                  <c:v>0</c:v>
                </c:pt>
                <c:pt idx="401" formatCode="0.000">
                  <c:v>0</c:v>
                </c:pt>
                <c:pt idx="402" formatCode="0.000">
                  <c:v>0</c:v>
                </c:pt>
                <c:pt idx="403" formatCode="0.000">
                  <c:v>0</c:v>
                </c:pt>
                <c:pt idx="404" formatCode="0.000">
                  <c:v>0</c:v>
                </c:pt>
                <c:pt idx="405" formatCode="0.000">
                  <c:v>0</c:v>
                </c:pt>
                <c:pt idx="406" formatCode="0.000">
                  <c:v>0</c:v>
                </c:pt>
                <c:pt idx="407" formatCode="0.000">
                  <c:v>0</c:v>
                </c:pt>
                <c:pt idx="408" formatCode="0.000">
                  <c:v>0</c:v>
                </c:pt>
                <c:pt idx="409" formatCode="0.000">
                  <c:v>0</c:v>
                </c:pt>
                <c:pt idx="410" formatCode="0.000">
                  <c:v>0</c:v>
                </c:pt>
                <c:pt idx="411" formatCode="0.000">
                  <c:v>0</c:v>
                </c:pt>
                <c:pt idx="412" formatCode="0.000">
                  <c:v>0</c:v>
                </c:pt>
                <c:pt idx="413" formatCode="0.000">
                  <c:v>0</c:v>
                </c:pt>
                <c:pt idx="414" formatCode="0.000">
                  <c:v>0</c:v>
                </c:pt>
                <c:pt idx="415" formatCode="0.000">
                  <c:v>0</c:v>
                </c:pt>
                <c:pt idx="416" formatCode="0.000">
                  <c:v>0</c:v>
                </c:pt>
                <c:pt idx="417" formatCode="0.000">
                  <c:v>0</c:v>
                </c:pt>
                <c:pt idx="418" formatCode="0.000">
                  <c:v>0</c:v>
                </c:pt>
                <c:pt idx="419" formatCode="0.000">
                  <c:v>0</c:v>
                </c:pt>
                <c:pt idx="420" formatCode="0.000">
                  <c:v>0</c:v>
                </c:pt>
                <c:pt idx="421" formatCode="0.000">
                  <c:v>0</c:v>
                </c:pt>
              </c:numCache>
            </c:numRef>
          </c:val>
          <c:smooth val="0"/>
          <c:extLst>
            <c:ext xmlns:c16="http://schemas.microsoft.com/office/drawing/2014/chart" uri="{C3380CC4-5D6E-409C-BE32-E72D297353CC}">
              <c16:uniqueId val="{00000000-91F0-428E-B68F-723334106B90}"/>
            </c:ext>
          </c:extLst>
        </c:ser>
        <c:dLbls>
          <c:showLegendKey val="0"/>
          <c:showVal val="0"/>
          <c:showCatName val="0"/>
          <c:showSerName val="0"/>
          <c:showPercent val="0"/>
          <c:showBubbleSize val="0"/>
        </c:dLbls>
        <c:smooth val="0"/>
        <c:axId val="563037935"/>
        <c:axId val="563039599"/>
      </c:lineChart>
      <c:catAx>
        <c:axId val="563037935"/>
        <c:scaling>
          <c:orientation val="minMax"/>
        </c:scaling>
        <c:delete val="0"/>
        <c:axPos val="b"/>
        <c:numFmt formatCode="0" sourceLinked="0"/>
        <c:majorTickMark val="out"/>
        <c:minorTickMark val="none"/>
        <c:tickLblPos val="nextTo"/>
        <c:spPr>
          <a:noFill/>
          <a:ln w="3175" cap="flat" cmpd="sng" algn="ctr">
            <a:solidFill>
              <a:schemeClr val="tx1"/>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563039599"/>
        <c:crosses val="autoZero"/>
        <c:auto val="1"/>
        <c:lblAlgn val="ctr"/>
        <c:lblOffset val="100"/>
        <c:tickLblSkip val="20"/>
        <c:tickMarkSkip val="20"/>
        <c:noMultiLvlLbl val="0"/>
      </c:catAx>
      <c:valAx>
        <c:axId val="563039599"/>
        <c:scaling>
          <c:orientation val="minMax"/>
        </c:scaling>
        <c:delete val="0"/>
        <c:axPos val="l"/>
        <c:numFmt formatCode="General" sourceLinked="1"/>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563037935"/>
        <c:crosses val="autoZero"/>
        <c:crossBetween val="between"/>
      </c:valAx>
      <c:spPr>
        <a:noFill/>
        <a:ln w="3175">
          <a:solidFill>
            <a:schemeClr val="tx1"/>
          </a:solidFill>
        </a:ln>
        <a:effectLst/>
      </c:spPr>
    </c:plotArea>
    <c:legend>
      <c:legendPos val="b"/>
      <c:layout>
        <c:manualLayout>
          <c:xMode val="edge"/>
          <c:yMode val="edge"/>
          <c:x val="0.63122635592784204"/>
          <c:y val="6.4184064147944808E-2"/>
          <c:w val="0.34661788911480779"/>
          <c:h val="0.17197861735173012"/>
        </c:manualLayout>
      </c:layout>
      <c:overlay val="1"/>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Garamond" panose="02020404030301010803" pitchFamily="18" charset="0"/>
        </a:defRPr>
      </a:pPr>
      <a:endParaRPr lang="sr-Latn-R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v>Hydraulic power 16.11.2021</c:v>
          </c:tx>
          <c:spPr>
            <a:ln w="3175" cap="rnd">
              <a:solidFill>
                <a:srgbClr val="0000FF"/>
              </a:solidFill>
              <a:round/>
            </a:ln>
            <a:effectLst/>
          </c:spPr>
          <c:marker>
            <c:symbol val="none"/>
          </c:marker>
          <c:cat>
            <c:numRef>
              <c:f>'16.11.2021'!$A$2:$A$421</c:f>
              <c:numCache>
                <c:formatCode>0.00</c:formatCode>
                <c:ptCount val="420"/>
                <c:pt idx="0">
                  <c:v>0</c:v>
                </c:pt>
                <c:pt idx="1">
                  <c:v>5.5550000000000002E-2</c:v>
                </c:pt>
                <c:pt idx="2">
                  <c:v>0.1111</c:v>
                </c:pt>
                <c:pt idx="3">
                  <c:v>0.16664999999999999</c:v>
                </c:pt>
                <c:pt idx="4">
                  <c:v>0.22220000000000001</c:v>
                </c:pt>
                <c:pt idx="5">
                  <c:v>0.27775</c:v>
                </c:pt>
                <c:pt idx="6">
                  <c:v>0.33329999999999999</c:v>
                </c:pt>
                <c:pt idx="7">
                  <c:v>0.38884999999999997</c:v>
                </c:pt>
                <c:pt idx="8">
                  <c:v>0.44440000000000002</c:v>
                </c:pt>
                <c:pt idx="9">
                  <c:v>0.49995000000000001</c:v>
                </c:pt>
                <c:pt idx="10">
                  <c:v>0.55549999999999999</c:v>
                </c:pt>
                <c:pt idx="11">
                  <c:v>0.61104999999999998</c:v>
                </c:pt>
                <c:pt idx="12">
                  <c:v>0.66659999999999997</c:v>
                </c:pt>
                <c:pt idx="13">
                  <c:v>0.72214999999999996</c:v>
                </c:pt>
                <c:pt idx="14">
                  <c:v>0.77769999999999995</c:v>
                </c:pt>
                <c:pt idx="15">
                  <c:v>0.83325000000000005</c:v>
                </c:pt>
                <c:pt idx="16">
                  <c:v>0.88880000000000003</c:v>
                </c:pt>
                <c:pt idx="17">
                  <c:v>0.94435000000000002</c:v>
                </c:pt>
                <c:pt idx="18">
                  <c:v>0.99990000000000001</c:v>
                </c:pt>
                <c:pt idx="19">
                  <c:v>1.05545</c:v>
                </c:pt>
                <c:pt idx="20">
                  <c:v>1.111</c:v>
                </c:pt>
                <c:pt idx="21">
                  <c:v>1.16655</c:v>
                </c:pt>
                <c:pt idx="22">
                  <c:v>1.2221</c:v>
                </c:pt>
                <c:pt idx="23">
                  <c:v>1.27765</c:v>
                </c:pt>
                <c:pt idx="24">
                  <c:v>1.3331999999999999</c:v>
                </c:pt>
                <c:pt idx="25">
                  <c:v>1.3887499999999999</c:v>
                </c:pt>
                <c:pt idx="26">
                  <c:v>1.4442999999999999</c:v>
                </c:pt>
                <c:pt idx="27">
                  <c:v>1.4998499999999999</c:v>
                </c:pt>
                <c:pt idx="28">
                  <c:v>1.5553999999999999</c:v>
                </c:pt>
                <c:pt idx="29">
                  <c:v>1.6109500000000001</c:v>
                </c:pt>
                <c:pt idx="30">
                  <c:v>1.6665000000000001</c:v>
                </c:pt>
                <c:pt idx="31">
                  <c:v>1.7220500000000001</c:v>
                </c:pt>
                <c:pt idx="32">
                  <c:v>1.7776000000000001</c:v>
                </c:pt>
                <c:pt idx="33">
                  <c:v>1.8331500000000001</c:v>
                </c:pt>
                <c:pt idx="34">
                  <c:v>1.8887</c:v>
                </c:pt>
                <c:pt idx="35">
                  <c:v>1.94425</c:v>
                </c:pt>
                <c:pt idx="36">
                  <c:v>1.9998</c:v>
                </c:pt>
                <c:pt idx="37">
                  <c:v>2.0553499999999998</c:v>
                </c:pt>
                <c:pt idx="38">
                  <c:v>2.1109</c:v>
                </c:pt>
                <c:pt idx="39">
                  <c:v>2.1664500000000002</c:v>
                </c:pt>
                <c:pt idx="40">
                  <c:v>2.222</c:v>
                </c:pt>
                <c:pt idx="41">
                  <c:v>2.2775500000000002</c:v>
                </c:pt>
                <c:pt idx="42">
                  <c:v>2.3331</c:v>
                </c:pt>
                <c:pt idx="43">
                  <c:v>2.3886500000000002</c:v>
                </c:pt>
                <c:pt idx="44">
                  <c:v>2.4441999999999999</c:v>
                </c:pt>
                <c:pt idx="45">
                  <c:v>2.4997500000000001</c:v>
                </c:pt>
                <c:pt idx="46">
                  <c:v>2.5552999999999999</c:v>
                </c:pt>
                <c:pt idx="47">
                  <c:v>2.6108500000000001</c:v>
                </c:pt>
                <c:pt idx="48">
                  <c:v>2.6663999999999999</c:v>
                </c:pt>
                <c:pt idx="49">
                  <c:v>2.7219500000000001</c:v>
                </c:pt>
                <c:pt idx="50">
                  <c:v>2.7774999999999999</c:v>
                </c:pt>
                <c:pt idx="51">
                  <c:v>2.8330500000000001</c:v>
                </c:pt>
                <c:pt idx="52">
                  <c:v>2.8885999999999998</c:v>
                </c:pt>
                <c:pt idx="53">
                  <c:v>2.94415</c:v>
                </c:pt>
                <c:pt idx="54">
                  <c:v>2.9996999999999998</c:v>
                </c:pt>
                <c:pt idx="55">
                  <c:v>3.05525</c:v>
                </c:pt>
                <c:pt idx="56">
                  <c:v>3.1107999999999998</c:v>
                </c:pt>
                <c:pt idx="57">
                  <c:v>3.16635</c:v>
                </c:pt>
                <c:pt idx="58">
                  <c:v>3.2219000000000002</c:v>
                </c:pt>
                <c:pt idx="59">
                  <c:v>3.27745</c:v>
                </c:pt>
                <c:pt idx="60">
                  <c:v>3.3330000000000002</c:v>
                </c:pt>
                <c:pt idx="61">
                  <c:v>3.38855</c:v>
                </c:pt>
                <c:pt idx="62">
                  <c:v>3.4441000000000002</c:v>
                </c:pt>
                <c:pt idx="63">
                  <c:v>3.4996499999999999</c:v>
                </c:pt>
                <c:pt idx="64">
                  <c:v>3.5552000000000001</c:v>
                </c:pt>
                <c:pt idx="65">
                  <c:v>3.6107499999999999</c:v>
                </c:pt>
                <c:pt idx="66">
                  <c:v>3.6663000000000001</c:v>
                </c:pt>
                <c:pt idx="67">
                  <c:v>3.7218499999999999</c:v>
                </c:pt>
                <c:pt idx="68">
                  <c:v>3.7774000000000001</c:v>
                </c:pt>
                <c:pt idx="69">
                  <c:v>3.8329499999999999</c:v>
                </c:pt>
                <c:pt idx="70">
                  <c:v>3.8885000000000001</c:v>
                </c:pt>
                <c:pt idx="71">
                  <c:v>3.9440499999999998</c:v>
                </c:pt>
                <c:pt idx="72">
                  <c:v>3.9996</c:v>
                </c:pt>
                <c:pt idx="73">
                  <c:v>4.0551500000000003</c:v>
                </c:pt>
                <c:pt idx="74">
                  <c:v>4.1106999999999996</c:v>
                </c:pt>
                <c:pt idx="75">
                  <c:v>4.1662499999999998</c:v>
                </c:pt>
                <c:pt idx="76">
                  <c:v>4.2218</c:v>
                </c:pt>
                <c:pt idx="77">
                  <c:v>4.2773500000000002</c:v>
                </c:pt>
                <c:pt idx="78">
                  <c:v>4.3329000000000004</c:v>
                </c:pt>
                <c:pt idx="79">
                  <c:v>4.3884499999999997</c:v>
                </c:pt>
                <c:pt idx="80">
                  <c:v>4.444</c:v>
                </c:pt>
                <c:pt idx="81">
                  <c:v>4.4995500000000002</c:v>
                </c:pt>
                <c:pt idx="82">
                  <c:v>4.5551000000000004</c:v>
                </c:pt>
                <c:pt idx="83">
                  <c:v>4.6106499999999997</c:v>
                </c:pt>
                <c:pt idx="84">
                  <c:v>4.6661999999999999</c:v>
                </c:pt>
                <c:pt idx="85">
                  <c:v>4.7217500000000001</c:v>
                </c:pt>
                <c:pt idx="86">
                  <c:v>4.7773000000000003</c:v>
                </c:pt>
                <c:pt idx="87">
                  <c:v>4.8328499999999996</c:v>
                </c:pt>
                <c:pt idx="88">
                  <c:v>4.8883999999999999</c:v>
                </c:pt>
                <c:pt idx="89">
                  <c:v>4.9439500000000001</c:v>
                </c:pt>
                <c:pt idx="90">
                  <c:v>4.9995000000000003</c:v>
                </c:pt>
                <c:pt idx="91">
                  <c:v>5.0550499999999996</c:v>
                </c:pt>
                <c:pt idx="92">
                  <c:v>5.1105999999999998</c:v>
                </c:pt>
                <c:pt idx="93">
                  <c:v>5.16615</c:v>
                </c:pt>
                <c:pt idx="94">
                  <c:v>5.2217000000000002</c:v>
                </c:pt>
                <c:pt idx="95">
                  <c:v>5.2772500000000004</c:v>
                </c:pt>
                <c:pt idx="96">
                  <c:v>5.3327999999999998</c:v>
                </c:pt>
                <c:pt idx="97">
                  <c:v>5.38835</c:v>
                </c:pt>
                <c:pt idx="98">
                  <c:v>5.4439000000000002</c:v>
                </c:pt>
                <c:pt idx="99">
                  <c:v>5.4994500000000004</c:v>
                </c:pt>
                <c:pt idx="100">
                  <c:v>5.5549999999999997</c:v>
                </c:pt>
                <c:pt idx="101">
                  <c:v>5.6105499999999999</c:v>
                </c:pt>
                <c:pt idx="102">
                  <c:v>5.6661000000000001</c:v>
                </c:pt>
                <c:pt idx="103">
                  <c:v>5.7216500000000003</c:v>
                </c:pt>
                <c:pt idx="104">
                  <c:v>5.7771999999999997</c:v>
                </c:pt>
                <c:pt idx="105">
                  <c:v>5.8327499999999999</c:v>
                </c:pt>
                <c:pt idx="106">
                  <c:v>5.8883000000000001</c:v>
                </c:pt>
                <c:pt idx="107">
                  <c:v>5.9438500000000003</c:v>
                </c:pt>
                <c:pt idx="108">
                  <c:v>5.9993999999999996</c:v>
                </c:pt>
                <c:pt idx="109">
                  <c:v>6.0549499999999998</c:v>
                </c:pt>
                <c:pt idx="110">
                  <c:v>6.1105</c:v>
                </c:pt>
                <c:pt idx="111">
                  <c:v>6.1660500000000003</c:v>
                </c:pt>
                <c:pt idx="112">
                  <c:v>6.2215999999999996</c:v>
                </c:pt>
                <c:pt idx="113">
                  <c:v>6.2771499999999998</c:v>
                </c:pt>
                <c:pt idx="114">
                  <c:v>6.3327</c:v>
                </c:pt>
                <c:pt idx="115">
                  <c:v>6.3882500000000002</c:v>
                </c:pt>
                <c:pt idx="116">
                  <c:v>6.4438000000000004</c:v>
                </c:pt>
                <c:pt idx="117">
                  <c:v>6.4993499999999997</c:v>
                </c:pt>
                <c:pt idx="118">
                  <c:v>6.5548999999999999</c:v>
                </c:pt>
                <c:pt idx="119">
                  <c:v>6.6104500000000002</c:v>
                </c:pt>
                <c:pt idx="120">
                  <c:v>6.6660000000000004</c:v>
                </c:pt>
                <c:pt idx="121">
                  <c:v>6.7215499999999997</c:v>
                </c:pt>
                <c:pt idx="122">
                  <c:v>6.7770999999999999</c:v>
                </c:pt>
                <c:pt idx="123">
                  <c:v>6.8326500000000001</c:v>
                </c:pt>
                <c:pt idx="124">
                  <c:v>6.8882000000000003</c:v>
                </c:pt>
                <c:pt idx="125">
                  <c:v>6.9437499999999996</c:v>
                </c:pt>
                <c:pt idx="126">
                  <c:v>6.9992999999999999</c:v>
                </c:pt>
                <c:pt idx="127">
                  <c:v>7.0548500000000001</c:v>
                </c:pt>
                <c:pt idx="128">
                  <c:v>7.1104000000000003</c:v>
                </c:pt>
                <c:pt idx="129">
                  <c:v>7.1659499999999996</c:v>
                </c:pt>
                <c:pt idx="130">
                  <c:v>7.2214999999999998</c:v>
                </c:pt>
                <c:pt idx="131">
                  <c:v>7.27705</c:v>
                </c:pt>
                <c:pt idx="132">
                  <c:v>7.3326000000000002</c:v>
                </c:pt>
                <c:pt idx="133">
                  <c:v>7.3881500000000004</c:v>
                </c:pt>
                <c:pt idx="134">
                  <c:v>7.4436999999999998</c:v>
                </c:pt>
                <c:pt idx="135">
                  <c:v>7.49925</c:v>
                </c:pt>
                <c:pt idx="136">
                  <c:v>7.5548000000000002</c:v>
                </c:pt>
                <c:pt idx="137">
                  <c:v>7.6103500000000004</c:v>
                </c:pt>
                <c:pt idx="138">
                  <c:v>7.6658999999999997</c:v>
                </c:pt>
                <c:pt idx="139">
                  <c:v>7.7214499999999999</c:v>
                </c:pt>
                <c:pt idx="140">
                  <c:v>7.7770000000000001</c:v>
                </c:pt>
                <c:pt idx="141">
                  <c:v>7.8325500000000003</c:v>
                </c:pt>
                <c:pt idx="142">
                  <c:v>7.8880999999999997</c:v>
                </c:pt>
                <c:pt idx="143">
                  <c:v>7.9436499999999999</c:v>
                </c:pt>
                <c:pt idx="144">
                  <c:v>7.9992000000000001</c:v>
                </c:pt>
                <c:pt idx="145">
                  <c:v>8.0547500000000003</c:v>
                </c:pt>
                <c:pt idx="146">
                  <c:v>8.1103000000000005</c:v>
                </c:pt>
                <c:pt idx="147">
                  <c:v>8.1658500000000007</c:v>
                </c:pt>
                <c:pt idx="148">
                  <c:v>8.2213999999999992</c:v>
                </c:pt>
                <c:pt idx="149">
                  <c:v>8.2769499999999994</c:v>
                </c:pt>
                <c:pt idx="150">
                  <c:v>8.3324999999999996</c:v>
                </c:pt>
                <c:pt idx="151">
                  <c:v>8.3880499999999998</c:v>
                </c:pt>
                <c:pt idx="152">
                  <c:v>8.4436</c:v>
                </c:pt>
                <c:pt idx="153">
                  <c:v>8.4991500000000002</c:v>
                </c:pt>
                <c:pt idx="154">
                  <c:v>8.5547000000000004</c:v>
                </c:pt>
                <c:pt idx="155">
                  <c:v>8.6102500000000006</c:v>
                </c:pt>
                <c:pt idx="156">
                  <c:v>8.6658000000000008</c:v>
                </c:pt>
                <c:pt idx="157">
                  <c:v>8.7213499999999993</c:v>
                </c:pt>
                <c:pt idx="158">
                  <c:v>8.7768999999999995</c:v>
                </c:pt>
                <c:pt idx="159">
                  <c:v>8.8324499999999997</c:v>
                </c:pt>
                <c:pt idx="160">
                  <c:v>8.8879999999999999</c:v>
                </c:pt>
                <c:pt idx="161">
                  <c:v>8.9435500000000001</c:v>
                </c:pt>
                <c:pt idx="162">
                  <c:v>8.9991000000000003</c:v>
                </c:pt>
                <c:pt idx="163">
                  <c:v>9.0546500000000005</c:v>
                </c:pt>
                <c:pt idx="164">
                  <c:v>9.1102000000000007</c:v>
                </c:pt>
                <c:pt idx="165">
                  <c:v>9.1657499999999992</c:v>
                </c:pt>
                <c:pt idx="166">
                  <c:v>9.2212999999999994</c:v>
                </c:pt>
                <c:pt idx="167">
                  <c:v>9.2768499999999996</c:v>
                </c:pt>
                <c:pt idx="168">
                  <c:v>9.3323999999999998</c:v>
                </c:pt>
                <c:pt idx="169">
                  <c:v>9.38795</c:v>
                </c:pt>
                <c:pt idx="170">
                  <c:v>9.4435000000000002</c:v>
                </c:pt>
                <c:pt idx="171">
                  <c:v>9.4990500000000004</c:v>
                </c:pt>
                <c:pt idx="172">
                  <c:v>9.5546000000000006</c:v>
                </c:pt>
                <c:pt idx="173">
                  <c:v>9.6101500000000009</c:v>
                </c:pt>
                <c:pt idx="174">
                  <c:v>9.6656999999999993</c:v>
                </c:pt>
                <c:pt idx="175">
                  <c:v>9.7212499999999995</c:v>
                </c:pt>
                <c:pt idx="176">
                  <c:v>9.7767999999999997</c:v>
                </c:pt>
                <c:pt idx="177">
                  <c:v>9.8323499999999999</c:v>
                </c:pt>
                <c:pt idx="178">
                  <c:v>9.8879000000000001</c:v>
                </c:pt>
                <c:pt idx="179">
                  <c:v>9.9434500000000003</c:v>
                </c:pt>
                <c:pt idx="180">
                  <c:v>9.9990000000000006</c:v>
                </c:pt>
                <c:pt idx="181">
                  <c:v>10.054550000000001</c:v>
                </c:pt>
                <c:pt idx="182">
                  <c:v>10.110099999999999</c:v>
                </c:pt>
                <c:pt idx="183">
                  <c:v>10.165649999999999</c:v>
                </c:pt>
                <c:pt idx="184">
                  <c:v>10.2212</c:v>
                </c:pt>
                <c:pt idx="185">
                  <c:v>10.27675</c:v>
                </c:pt>
                <c:pt idx="186">
                  <c:v>10.3323</c:v>
                </c:pt>
                <c:pt idx="187">
                  <c:v>10.38785</c:v>
                </c:pt>
                <c:pt idx="188">
                  <c:v>10.4434</c:v>
                </c:pt>
                <c:pt idx="189">
                  <c:v>10.498950000000001</c:v>
                </c:pt>
                <c:pt idx="190">
                  <c:v>10.554500000000001</c:v>
                </c:pt>
                <c:pt idx="191">
                  <c:v>10.610049999999999</c:v>
                </c:pt>
                <c:pt idx="192">
                  <c:v>10.6656</c:v>
                </c:pt>
                <c:pt idx="193">
                  <c:v>10.72115</c:v>
                </c:pt>
                <c:pt idx="194">
                  <c:v>10.7767</c:v>
                </c:pt>
                <c:pt idx="195">
                  <c:v>10.83225</c:v>
                </c:pt>
                <c:pt idx="196">
                  <c:v>10.8878</c:v>
                </c:pt>
                <c:pt idx="197">
                  <c:v>10.943350000000001</c:v>
                </c:pt>
                <c:pt idx="198">
                  <c:v>10.998900000000001</c:v>
                </c:pt>
                <c:pt idx="199">
                  <c:v>11.054449999999999</c:v>
                </c:pt>
                <c:pt idx="200">
                  <c:v>11.11</c:v>
                </c:pt>
                <c:pt idx="201">
                  <c:v>11.16555</c:v>
                </c:pt>
                <c:pt idx="202">
                  <c:v>11.2211</c:v>
                </c:pt>
                <c:pt idx="203">
                  <c:v>11.27665</c:v>
                </c:pt>
                <c:pt idx="204">
                  <c:v>11.3322</c:v>
                </c:pt>
                <c:pt idx="205">
                  <c:v>11.38775</c:v>
                </c:pt>
                <c:pt idx="206">
                  <c:v>11.443300000000001</c:v>
                </c:pt>
                <c:pt idx="207">
                  <c:v>11.498849999999999</c:v>
                </c:pt>
                <c:pt idx="208">
                  <c:v>11.554399999999999</c:v>
                </c:pt>
                <c:pt idx="209">
                  <c:v>11.60995</c:v>
                </c:pt>
                <c:pt idx="210">
                  <c:v>11.6655</c:v>
                </c:pt>
                <c:pt idx="211">
                  <c:v>11.72105</c:v>
                </c:pt>
                <c:pt idx="212">
                  <c:v>11.7766</c:v>
                </c:pt>
                <c:pt idx="213">
                  <c:v>11.83215</c:v>
                </c:pt>
                <c:pt idx="214">
                  <c:v>11.887700000000001</c:v>
                </c:pt>
                <c:pt idx="215">
                  <c:v>11.943250000000001</c:v>
                </c:pt>
                <c:pt idx="216">
                  <c:v>11.998799999999999</c:v>
                </c:pt>
                <c:pt idx="217">
                  <c:v>12.054349999999999</c:v>
                </c:pt>
                <c:pt idx="218">
                  <c:v>12.1099</c:v>
                </c:pt>
                <c:pt idx="219">
                  <c:v>12.16545</c:v>
                </c:pt>
                <c:pt idx="220">
                  <c:v>12.221</c:v>
                </c:pt>
                <c:pt idx="221">
                  <c:v>12.27655</c:v>
                </c:pt>
                <c:pt idx="222">
                  <c:v>12.332100000000001</c:v>
                </c:pt>
                <c:pt idx="223">
                  <c:v>12.387650000000001</c:v>
                </c:pt>
                <c:pt idx="224">
                  <c:v>12.443199999999999</c:v>
                </c:pt>
                <c:pt idx="225">
                  <c:v>12.498749999999999</c:v>
                </c:pt>
                <c:pt idx="226">
                  <c:v>12.5543</c:v>
                </c:pt>
                <c:pt idx="227">
                  <c:v>12.60985</c:v>
                </c:pt>
                <c:pt idx="228">
                  <c:v>12.6654</c:v>
                </c:pt>
                <c:pt idx="229">
                  <c:v>12.72095</c:v>
                </c:pt>
                <c:pt idx="230">
                  <c:v>12.7765</c:v>
                </c:pt>
                <c:pt idx="231">
                  <c:v>12.832050000000001</c:v>
                </c:pt>
                <c:pt idx="232">
                  <c:v>12.887600000000001</c:v>
                </c:pt>
                <c:pt idx="233">
                  <c:v>12.943149999999999</c:v>
                </c:pt>
                <c:pt idx="234">
                  <c:v>12.998699999999999</c:v>
                </c:pt>
                <c:pt idx="235">
                  <c:v>13.05425</c:v>
                </c:pt>
                <c:pt idx="236">
                  <c:v>13.1098</c:v>
                </c:pt>
                <c:pt idx="237">
                  <c:v>13.16535</c:v>
                </c:pt>
                <c:pt idx="238">
                  <c:v>13.2209</c:v>
                </c:pt>
                <c:pt idx="239">
                  <c:v>13.276450000000001</c:v>
                </c:pt>
                <c:pt idx="240">
                  <c:v>13.332000000000001</c:v>
                </c:pt>
                <c:pt idx="241">
                  <c:v>13.387549999999999</c:v>
                </c:pt>
                <c:pt idx="242">
                  <c:v>13.443099999999999</c:v>
                </c:pt>
                <c:pt idx="243">
                  <c:v>13.49865</c:v>
                </c:pt>
                <c:pt idx="244">
                  <c:v>13.5542</c:v>
                </c:pt>
                <c:pt idx="245">
                  <c:v>13.60975</c:v>
                </c:pt>
                <c:pt idx="246">
                  <c:v>13.6653</c:v>
                </c:pt>
                <c:pt idx="247">
                  <c:v>13.72085</c:v>
                </c:pt>
                <c:pt idx="248">
                  <c:v>13.776400000000001</c:v>
                </c:pt>
                <c:pt idx="249">
                  <c:v>13.831950000000001</c:v>
                </c:pt>
                <c:pt idx="250">
                  <c:v>13.887499999999999</c:v>
                </c:pt>
                <c:pt idx="251">
                  <c:v>13.943049999999999</c:v>
                </c:pt>
                <c:pt idx="252">
                  <c:v>13.9986</c:v>
                </c:pt>
                <c:pt idx="253">
                  <c:v>14.05415</c:v>
                </c:pt>
                <c:pt idx="254">
                  <c:v>14.1097</c:v>
                </c:pt>
                <c:pt idx="255">
                  <c:v>14.16525</c:v>
                </c:pt>
                <c:pt idx="256">
                  <c:v>14.220800000000001</c:v>
                </c:pt>
                <c:pt idx="257">
                  <c:v>14.276350000000001</c:v>
                </c:pt>
                <c:pt idx="258">
                  <c:v>14.331899999999999</c:v>
                </c:pt>
                <c:pt idx="259">
                  <c:v>14.387449999999999</c:v>
                </c:pt>
                <c:pt idx="260">
                  <c:v>14.443</c:v>
                </c:pt>
                <c:pt idx="261">
                  <c:v>14.49855</c:v>
                </c:pt>
                <c:pt idx="262">
                  <c:v>14.5541</c:v>
                </c:pt>
                <c:pt idx="263">
                  <c:v>14.60965</c:v>
                </c:pt>
                <c:pt idx="264">
                  <c:v>14.6652</c:v>
                </c:pt>
                <c:pt idx="265">
                  <c:v>14.720750000000001</c:v>
                </c:pt>
                <c:pt idx="266">
                  <c:v>14.776300000000001</c:v>
                </c:pt>
                <c:pt idx="267">
                  <c:v>14.831849999999999</c:v>
                </c:pt>
                <c:pt idx="268">
                  <c:v>14.8874</c:v>
                </c:pt>
                <c:pt idx="269">
                  <c:v>14.94295</c:v>
                </c:pt>
                <c:pt idx="270">
                  <c:v>14.9985</c:v>
                </c:pt>
                <c:pt idx="271">
                  <c:v>15.05405</c:v>
                </c:pt>
                <c:pt idx="272">
                  <c:v>15.1096</c:v>
                </c:pt>
                <c:pt idx="273">
                  <c:v>15.165150000000001</c:v>
                </c:pt>
                <c:pt idx="274">
                  <c:v>15.220700000000001</c:v>
                </c:pt>
                <c:pt idx="275">
                  <c:v>15.276249999999999</c:v>
                </c:pt>
                <c:pt idx="276">
                  <c:v>15.331799999999999</c:v>
                </c:pt>
                <c:pt idx="277">
                  <c:v>15.38735</c:v>
                </c:pt>
                <c:pt idx="278">
                  <c:v>15.4429</c:v>
                </c:pt>
                <c:pt idx="279">
                  <c:v>15.49845</c:v>
                </c:pt>
                <c:pt idx="280">
                  <c:v>15.554</c:v>
                </c:pt>
                <c:pt idx="281">
                  <c:v>15.60955</c:v>
                </c:pt>
                <c:pt idx="282">
                  <c:v>15.665100000000001</c:v>
                </c:pt>
                <c:pt idx="283">
                  <c:v>15.720649999999999</c:v>
                </c:pt>
                <c:pt idx="284">
                  <c:v>15.776199999999999</c:v>
                </c:pt>
                <c:pt idx="285">
                  <c:v>15.83175</c:v>
                </c:pt>
                <c:pt idx="286">
                  <c:v>15.8873</c:v>
                </c:pt>
                <c:pt idx="287">
                  <c:v>15.94285</c:v>
                </c:pt>
                <c:pt idx="288">
                  <c:v>15.9984</c:v>
                </c:pt>
                <c:pt idx="289">
                  <c:v>16.05395</c:v>
                </c:pt>
                <c:pt idx="290">
                  <c:v>16.109500000000001</c:v>
                </c:pt>
                <c:pt idx="291">
                  <c:v>16.165050000000001</c:v>
                </c:pt>
                <c:pt idx="292">
                  <c:v>16.220600000000001</c:v>
                </c:pt>
                <c:pt idx="293">
                  <c:v>16.276150000000001</c:v>
                </c:pt>
                <c:pt idx="294">
                  <c:v>16.331700000000001</c:v>
                </c:pt>
                <c:pt idx="295">
                  <c:v>16.387250000000002</c:v>
                </c:pt>
                <c:pt idx="296">
                  <c:v>16.442799999999998</c:v>
                </c:pt>
                <c:pt idx="297">
                  <c:v>16.498349999999999</c:v>
                </c:pt>
                <c:pt idx="298">
                  <c:v>16.553899999999999</c:v>
                </c:pt>
                <c:pt idx="299">
                  <c:v>16.609449999999999</c:v>
                </c:pt>
                <c:pt idx="300">
                  <c:v>16.664999999999999</c:v>
                </c:pt>
                <c:pt idx="301">
                  <c:v>16.720549999999999</c:v>
                </c:pt>
                <c:pt idx="302">
                  <c:v>16.7761</c:v>
                </c:pt>
                <c:pt idx="303">
                  <c:v>16.83165</c:v>
                </c:pt>
                <c:pt idx="304">
                  <c:v>16.8872</c:v>
                </c:pt>
                <c:pt idx="305">
                  <c:v>16.94275</c:v>
                </c:pt>
                <c:pt idx="306">
                  <c:v>16.9983</c:v>
                </c:pt>
                <c:pt idx="307">
                  <c:v>17.053850000000001</c:v>
                </c:pt>
                <c:pt idx="308">
                  <c:v>17.109400000000001</c:v>
                </c:pt>
                <c:pt idx="309">
                  <c:v>17.164950000000001</c:v>
                </c:pt>
                <c:pt idx="310">
                  <c:v>17.220500000000001</c:v>
                </c:pt>
                <c:pt idx="311">
                  <c:v>17.276050000000001</c:v>
                </c:pt>
                <c:pt idx="312">
                  <c:v>17.331600000000002</c:v>
                </c:pt>
                <c:pt idx="313">
                  <c:v>17.387149999999998</c:v>
                </c:pt>
                <c:pt idx="314">
                  <c:v>17.442699999999999</c:v>
                </c:pt>
                <c:pt idx="315">
                  <c:v>17.498249999999999</c:v>
                </c:pt>
                <c:pt idx="316">
                  <c:v>17.553799999999999</c:v>
                </c:pt>
                <c:pt idx="317">
                  <c:v>17.609349999999999</c:v>
                </c:pt>
                <c:pt idx="318">
                  <c:v>17.664899999999999</c:v>
                </c:pt>
                <c:pt idx="319">
                  <c:v>17.72045</c:v>
                </c:pt>
                <c:pt idx="320">
                  <c:v>17.776</c:v>
                </c:pt>
                <c:pt idx="321">
                  <c:v>17.83155</c:v>
                </c:pt>
                <c:pt idx="322">
                  <c:v>17.8871</c:v>
                </c:pt>
                <c:pt idx="323">
                  <c:v>17.94265</c:v>
                </c:pt>
                <c:pt idx="324">
                  <c:v>17.998200000000001</c:v>
                </c:pt>
                <c:pt idx="325">
                  <c:v>18.053750000000001</c:v>
                </c:pt>
                <c:pt idx="326">
                  <c:v>18.109300000000001</c:v>
                </c:pt>
                <c:pt idx="327">
                  <c:v>18.164850000000001</c:v>
                </c:pt>
                <c:pt idx="328">
                  <c:v>18.220400000000001</c:v>
                </c:pt>
                <c:pt idx="329">
                  <c:v>18.275950000000002</c:v>
                </c:pt>
                <c:pt idx="330">
                  <c:v>18.331499999999998</c:v>
                </c:pt>
                <c:pt idx="331">
                  <c:v>18.387049999999999</c:v>
                </c:pt>
                <c:pt idx="332">
                  <c:v>18.442599999999999</c:v>
                </c:pt>
                <c:pt idx="333">
                  <c:v>18.498149999999999</c:v>
                </c:pt>
                <c:pt idx="334">
                  <c:v>18.553699999999999</c:v>
                </c:pt>
                <c:pt idx="335">
                  <c:v>18.609249999999999</c:v>
                </c:pt>
                <c:pt idx="336">
                  <c:v>18.6648</c:v>
                </c:pt>
                <c:pt idx="337">
                  <c:v>18.72035</c:v>
                </c:pt>
                <c:pt idx="338">
                  <c:v>18.7759</c:v>
                </c:pt>
                <c:pt idx="339">
                  <c:v>18.83145</c:v>
                </c:pt>
                <c:pt idx="340">
                  <c:v>18.887</c:v>
                </c:pt>
                <c:pt idx="341">
                  <c:v>18.942550000000001</c:v>
                </c:pt>
                <c:pt idx="342">
                  <c:v>18.998100000000001</c:v>
                </c:pt>
                <c:pt idx="343">
                  <c:v>19.053650000000001</c:v>
                </c:pt>
                <c:pt idx="344">
                  <c:v>19.109200000000001</c:v>
                </c:pt>
                <c:pt idx="345">
                  <c:v>19.164750000000002</c:v>
                </c:pt>
                <c:pt idx="346">
                  <c:v>19.220300000000002</c:v>
                </c:pt>
                <c:pt idx="347">
                  <c:v>19.275849999999998</c:v>
                </c:pt>
                <c:pt idx="348">
                  <c:v>19.331399999999999</c:v>
                </c:pt>
                <c:pt idx="349">
                  <c:v>19.386949999999999</c:v>
                </c:pt>
                <c:pt idx="350">
                  <c:v>19.442499999999999</c:v>
                </c:pt>
                <c:pt idx="351">
                  <c:v>19.498049999999999</c:v>
                </c:pt>
                <c:pt idx="352">
                  <c:v>19.553599999999999</c:v>
                </c:pt>
                <c:pt idx="353">
                  <c:v>19.60915</c:v>
                </c:pt>
                <c:pt idx="354">
                  <c:v>19.6647</c:v>
                </c:pt>
                <c:pt idx="355">
                  <c:v>19.72025</c:v>
                </c:pt>
                <c:pt idx="356">
                  <c:v>19.7758</c:v>
                </c:pt>
                <c:pt idx="357">
                  <c:v>19.83135</c:v>
                </c:pt>
                <c:pt idx="358">
                  <c:v>19.886900000000001</c:v>
                </c:pt>
                <c:pt idx="359">
                  <c:v>19.942450000000001</c:v>
                </c:pt>
                <c:pt idx="360">
                  <c:v>19.998000000000001</c:v>
                </c:pt>
                <c:pt idx="361">
                  <c:v>20.053550000000001</c:v>
                </c:pt>
                <c:pt idx="362">
                  <c:v>20.109100000000002</c:v>
                </c:pt>
                <c:pt idx="363">
                  <c:v>20.164650000000002</c:v>
                </c:pt>
                <c:pt idx="364">
                  <c:v>20.220199999999998</c:v>
                </c:pt>
                <c:pt idx="365">
                  <c:v>20.275749999999999</c:v>
                </c:pt>
                <c:pt idx="366">
                  <c:v>20.331299999999999</c:v>
                </c:pt>
                <c:pt idx="367">
                  <c:v>20.386849999999999</c:v>
                </c:pt>
                <c:pt idx="368">
                  <c:v>20.442399999999999</c:v>
                </c:pt>
                <c:pt idx="369">
                  <c:v>20.497949999999999</c:v>
                </c:pt>
                <c:pt idx="370">
                  <c:v>20.5535</c:v>
                </c:pt>
                <c:pt idx="371">
                  <c:v>20.60905</c:v>
                </c:pt>
                <c:pt idx="372">
                  <c:v>20.6646</c:v>
                </c:pt>
                <c:pt idx="373">
                  <c:v>20.72015</c:v>
                </c:pt>
                <c:pt idx="374">
                  <c:v>20.775700000000001</c:v>
                </c:pt>
                <c:pt idx="375">
                  <c:v>20.831250000000001</c:v>
                </c:pt>
                <c:pt idx="376">
                  <c:v>20.886800000000001</c:v>
                </c:pt>
                <c:pt idx="377">
                  <c:v>20.942350000000001</c:v>
                </c:pt>
                <c:pt idx="378">
                  <c:v>20.997900000000001</c:v>
                </c:pt>
                <c:pt idx="379">
                  <c:v>21.053450000000002</c:v>
                </c:pt>
                <c:pt idx="380">
                  <c:v>21.109000000000002</c:v>
                </c:pt>
                <c:pt idx="381">
                  <c:v>21.164549999999998</c:v>
                </c:pt>
                <c:pt idx="382">
                  <c:v>21.220099999999999</c:v>
                </c:pt>
                <c:pt idx="383">
                  <c:v>21.275649999999999</c:v>
                </c:pt>
                <c:pt idx="384">
                  <c:v>21.331199999999999</c:v>
                </c:pt>
                <c:pt idx="385">
                  <c:v>21.386749999999999</c:v>
                </c:pt>
                <c:pt idx="386">
                  <c:v>21.442299999999999</c:v>
                </c:pt>
                <c:pt idx="387">
                  <c:v>21.49785</c:v>
                </c:pt>
                <c:pt idx="388">
                  <c:v>21.5534</c:v>
                </c:pt>
                <c:pt idx="389">
                  <c:v>21.60895</c:v>
                </c:pt>
                <c:pt idx="390">
                  <c:v>21.6645</c:v>
                </c:pt>
                <c:pt idx="391">
                  <c:v>21.720050000000001</c:v>
                </c:pt>
                <c:pt idx="392">
                  <c:v>21.775600000000001</c:v>
                </c:pt>
                <c:pt idx="393">
                  <c:v>21.831150000000001</c:v>
                </c:pt>
                <c:pt idx="394">
                  <c:v>21.886700000000001</c:v>
                </c:pt>
                <c:pt idx="395">
                  <c:v>21.942250000000001</c:v>
                </c:pt>
                <c:pt idx="396">
                  <c:v>21.997800000000002</c:v>
                </c:pt>
                <c:pt idx="397">
                  <c:v>22.053349999999998</c:v>
                </c:pt>
                <c:pt idx="398">
                  <c:v>22.108899999999998</c:v>
                </c:pt>
                <c:pt idx="399">
                  <c:v>22.164449999999999</c:v>
                </c:pt>
                <c:pt idx="400">
                  <c:v>22.22</c:v>
                </c:pt>
                <c:pt idx="401">
                  <c:v>22.275549999999999</c:v>
                </c:pt>
                <c:pt idx="402">
                  <c:v>22.331099999999999</c:v>
                </c:pt>
                <c:pt idx="403">
                  <c:v>22.386649999999999</c:v>
                </c:pt>
                <c:pt idx="404">
                  <c:v>22.4422</c:v>
                </c:pt>
                <c:pt idx="405">
                  <c:v>22.49775</c:v>
                </c:pt>
                <c:pt idx="406">
                  <c:v>22.5533</c:v>
                </c:pt>
                <c:pt idx="407">
                  <c:v>22.60885</c:v>
                </c:pt>
                <c:pt idx="408">
                  <c:v>22.664400000000001</c:v>
                </c:pt>
                <c:pt idx="409">
                  <c:v>22.719950000000001</c:v>
                </c:pt>
                <c:pt idx="410">
                  <c:v>22.775500000000001</c:v>
                </c:pt>
                <c:pt idx="411">
                  <c:v>22.831050000000001</c:v>
                </c:pt>
                <c:pt idx="412">
                  <c:v>22.886600000000001</c:v>
                </c:pt>
                <c:pt idx="413">
                  <c:v>22.942150000000002</c:v>
                </c:pt>
                <c:pt idx="414">
                  <c:v>22.997699999999998</c:v>
                </c:pt>
                <c:pt idx="415">
                  <c:v>23.053249999999998</c:v>
                </c:pt>
                <c:pt idx="416">
                  <c:v>23.108799999999999</c:v>
                </c:pt>
                <c:pt idx="417">
                  <c:v>23.164349999999999</c:v>
                </c:pt>
                <c:pt idx="418">
                  <c:v>23.219899999999999</c:v>
                </c:pt>
                <c:pt idx="419">
                  <c:v>23.275449999999999</c:v>
                </c:pt>
              </c:numCache>
            </c:numRef>
          </c:cat>
          <c:val>
            <c:numRef>
              <c:f>'16.11.2021'!$BC$2:$BC$421</c:f>
              <c:numCache>
                <c:formatCode>General</c:formatCode>
                <c:ptCount val="420"/>
                <c:pt idx="9" formatCode="0.00">
                  <c:v>0</c:v>
                </c:pt>
                <c:pt idx="10" formatCode="0.00">
                  <c:v>0</c:v>
                </c:pt>
                <c:pt idx="11" formatCode="0.00">
                  <c:v>0</c:v>
                </c:pt>
                <c:pt idx="12" formatCode="0.00">
                  <c:v>0</c:v>
                </c:pt>
                <c:pt idx="13" formatCode="0.00">
                  <c:v>0</c:v>
                </c:pt>
                <c:pt idx="14" formatCode="0.00">
                  <c:v>0</c:v>
                </c:pt>
                <c:pt idx="15" formatCode="0.00">
                  <c:v>0</c:v>
                </c:pt>
                <c:pt idx="16" formatCode="0.00">
                  <c:v>0</c:v>
                </c:pt>
                <c:pt idx="17" formatCode="0.00">
                  <c:v>0</c:v>
                </c:pt>
                <c:pt idx="18" formatCode="0.000">
                  <c:v>4.8482100000000004E-3</c:v>
                </c:pt>
                <c:pt idx="19" formatCode="0.000">
                  <c:v>2.7978933333333334E-2</c:v>
                </c:pt>
                <c:pt idx="20" formatCode="0.000">
                  <c:v>0.13853747666666666</c:v>
                </c:pt>
                <c:pt idx="21" formatCode="0.000">
                  <c:v>0.30274199999999996</c:v>
                </c:pt>
                <c:pt idx="22" formatCode="0.000">
                  <c:v>0.45518000000000003</c:v>
                </c:pt>
                <c:pt idx="23" formatCode="0.000">
                  <c:v>0.79628466666666664</c:v>
                </c:pt>
                <c:pt idx="24" formatCode="0.000">
                  <c:v>1.2345543333333333</c:v>
                </c:pt>
                <c:pt idx="25" formatCode="0.000">
                  <c:v>1.7650049999999999</c:v>
                </c:pt>
                <c:pt idx="26" formatCode="0.000">
                  <c:v>2.3664419999999997</c:v>
                </c:pt>
                <c:pt idx="27" formatCode="0.000">
                  <c:v>3.1003559999999997</c:v>
                </c:pt>
                <c:pt idx="28" formatCode="0.000">
                  <c:v>3.8516260000000004</c:v>
                </c:pt>
                <c:pt idx="29" formatCode="0.000">
                  <c:v>4.0605171666666671</c:v>
                </c:pt>
                <c:pt idx="30" formatCode="0.000">
                  <c:v>5.0102260000000012</c:v>
                </c:pt>
                <c:pt idx="31" formatCode="0.000">
                  <c:v>5.5776666666666674</c:v>
                </c:pt>
                <c:pt idx="32" formatCode="0.000">
                  <c:v>5.9618781666666667</c:v>
                </c:pt>
                <c:pt idx="33" formatCode="0.000">
                  <c:v>6.0982216666666664</c:v>
                </c:pt>
                <c:pt idx="34" formatCode="0.000">
                  <c:v>6.1489786666666664</c:v>
                </c:pt>
                <c:pt idx="35" formatCode="0.000">
                  <c:v>6.3396893333333333</c:v>
                </c:pt>
                <c:pt idx="36" formatCode="0.000">
                  <c:v>5.9334309999999988</c:v>
                </c:pt>
                <c:pt idx="37" formatCode="0.000">
                  <c:v>6.0477636666666674</c:v>
                </c:pt>
                <c:pt idx="38" formatCode="0.000">
                  <c:v>6.826708</c:v>
                </c:pt>
                <c:pt idx="39" formatCode="0.000">
                  <c:v>6.7745099999999994</c:v>
                </c:pt>
                <c:pt idx="40" formatCode="0.000">
                  <c:v>6.892546666666667</c:v>
                </c:pt>
                <c:pt idx="41" formatCode="0.000">
                  <c:v>6.9791619999999996</c:v>
                </c:pt>
                <c:pt idx="42" formatCode="0.000">
                  <c:v>7.8750933333333331</c:v>
                </c:pt>
                <c:pt idx="43" formatCode="0.000">
                  <c:v>7.5659756666666667</c:v>
                </c:pt>
                <c:pt idx="44" formatCode="0.000">
                  <c:v>7.0735380000000001</c:v>
                </c:pt>
                <c:pt idx="45" formatCode="0.000">
                  <c:v>7.2018240000000002</c:v>
                </c:pt>
                <c:pt idx="46" formatCode="0.000">
                  <c:v>7.2089266666666667</c:v>
                </c:pt>
                <c:pt idx="47" formatCode="0.000">
                  <c:v>7.51424</c:v>
                </c:pt>
                <c:pt idx="48" formatCode="0.000">
                  <c:v>8.3426571666666671</c:v>
                </c:pt>
                <c:pt idx="49" formatCode="0.000">
                  <c:v>9.0906090000000006</c:v>
                </c:pt>
                <c:pt idx="50" formatCode="0.000">
                  <c:v>8.6967666666666652</c:v>
                </c:pt>
                <c:pt idx="51" formatCode="0.000">
                  <c:v>8.0293493333333341</c:v>
                </c:pt>
                <c:pt idx="52" formatCode="0.000">
                  <c:v>8.0625733333333329</c:v>
                </c:pt>
                <c:pt idx="53" formatCode="0.000">
                  <c:v>7.9446054999999998</c:v>
                </c:pt>
                <c:pt idx="54" formatCode="0.000">
                  <c:v>8.1490550000000006</c:v>
                </c:pt>
                <c:pt idx="55" formatCode="0.000">
                  <c:v>7.3546774999999993</c:v>
                </c:pt>
                <c:pt idx="56" formatCode="0.000">
                  <c:v>7.1753983333333338</c:v>
                </c:pt>
                <c:pt idx="57" formatCode="0.000">
                  <c:v>6.3886969999999996</c:v>
                </c:pt>
                <c:pt idx="58" formatCode="0.000">
                  <c:v>15.322339999999997</c:v>
                </c:pt>
                <c:pt idx="59" formatCode="0.000">
                  <c:v>12.654393333333333</c:v>
                </c:pt>
                <c:pt idx="60" formatCode="0.000">
                  <c:v>14.235330000000001</c:v>
                </c:pt>
                <c:pt idx="61" formatCode="0.000">
                  <c:v>15.301050000000002</c:v>
                </c:pt>
                <c:pt idx="62" formatCode="0.000">
                  <c:v>13.803673333333336</c:v>
                </c:pt>
                <c:pt idx="63" formatCode="0.000">
                  <c:v>14.634558333333331</c:v>
                </c:pt>
                <c:pt idx="64" formatCode="0.000">
                  <c:v>15.113769999999999</c:v>
                </c:pt>
                <c:pt idx="65" formatCode="0.000">
                  <c:v>14.85783</c:v>
                </c:pt>
                <c:pt idx="66" formatCode="0.000">
                  <c:v>13.443149999999999</c:v>
                </c:pt>
                <c:pt idx="67" formatCode="0.000">
                  <c:v>14.397833333333335</c:v>
                </c:pt>
                <c:pt idx="68" formatCode="0.000">
                  <c:v>12.79044</c:v>
                </c:pt>
                <c:pt idx="69" formatCode="0.000">
                  <c:v>10.975960000000002</c:v>
                </c:pt>
                <c:pt idx="70" formatCode="0.000">
                  <c:v>11.5344</c:v>
                </c:pt>
                <c:pt idx="71" formatCode="0.000">
                  <c:v>11.50963</c:v>
                </c:pt>
                <c:pt idx="72" formatCode="0.000">
                  <c:v>11.130716666666666</c:v>
                </c:pt>
                <c:pt idx="73" formatCode="0.000">
                  <c:v>11.595689999999999</c:v>
                </c:pt>
                <c:pt idx="74" formatCode="0.000">
                  <c:v>11.830793333333334</c:v>
                </c:pt>
                <c:pt idx="75" formatCode="0.000">
                  <c:v>7.166386000000001</c:v>
                </c:pt>
                <c:pt idx="76" formatCode="0.000">
                  <c:v>1.6677220000000001</c:v>
                </c:pt>
                <c:pt idx="77" formatCode="0.000">
                  <c:v>1.6359333333333332</c:v>
                </c:pt>
                <c:pt idx="78" formatCode="0.000">
                  <c:v>1.7547359999999999</c:v>
                </c:pt>
                <c:pt idx="79" formatCode="0.000">
                  <c:v>2.0500425</c:v>
                </c:pt>
                <c:pt idx="80" formatCode="0.000">
                  <c:v>1.9715759999999996</c:v>
                </c:pt>
                <c:pt idx="81" formatCode="0.000">
                  <c:v>1.9084785</c:v>
                </c:pt>
                <c:pt idx="82" formatCode="0.000">
                  <c:v>1.9068158333333334</c:v>
                </c:pt>
                <c:pt idx="83" formatCode="0.000">
                  <c:v>2.0737760000000005</c:v>
                </c:pt>
                <c:pt idx="84" formatCode="0.000">
                  <c:v>2.3002756666666664</c:v>
                </c:pt>
                <c:pt idx="85" formatCode="0.000">
                  <c:v>2.085836833333333</c:v>
                </c:pt>
                <c:pt idx="86" formatCode="0.000">
                  <c:v>2.4427590000000001</c:v>
                </c:pt>
                <c:pt idx="87" formatCode="0.000">
                  <c:v>2.2625811666666666</c:v>
                </c:pt>
                <c:pt idx="88" formatCode="0.000">
                  <c:v>2.8714884999999999</c:v>
                </c:pt>
                <c:pt idx="89" formatCode="0.000">
                  <c:v>5.6431499999999994</c:v>
                </c:pt>
                <c:pt idx="90" formatCode="0.000">
                  <c:v>10.604649999999999</c:v>
                </c:pt>
                <c:pt idx="91" formatCode="0.000">
                  <c:v>13.411434999999999</c:v>
                </c:pt>
                <c:pt idx="92" formatCode="0.000">
                  <c:v>13.786336666666665</c:v>
                </c:pt>
                <c:pt idx="93" formatCode="0.000">
                  <c:v>12.833799999999998</c:v>
                </c:pt>
                <c:pt idx="94" formatCode="0.000">
                  <c:v>13.03341</c:v>
                </c:pt>
                <c:pt idx="95" formatCode="0.000">
                  <c:v>14.729971666666668</c:v>
                </c:pt>
                <c:pt idx="96" formatCode="0.000">
                  <c:v>14.525151666666668</c:v>
                </c:pt>
                <c:pt idx="97" formatCode="0.000">
                  <c:v>14.312899999999999</c:v>
                </c:pt>
                <c:pt idx="98" formatCode="0.000">
                  <c:v>15.178636666666664</c:v>
                </c:pt>
                <c:pt idx="99" formatCode="0.000">
                  <c:v>14.473946666666667</c:v>
                </c:pt>
                <c:pt idx="100" formatCode="0.000">
                  <c:v>14.530468333333332</c:v>
                </c:pt>
                <c:pt idx="101" formatCode="0.000">
                  <c:v>14.078460000000002</c:v>
                </c:pt>
                <c:pt idx="102" formatCode="0.000">
                  <c:v>15.152841666666667</c:v>
                </c:pt>
                <c:pt idx="103" formatCode="0.000">
                  <c:v>14.235519999999999</c:v>
                </c:pt>
                <c:pt idx="104" formatCode="0.000">
                  <c:v>13.378679999999999</c:v>
                </c:pt>
                <c:pt idx="105" formatCode="0.000">
                  <c:v>14.765936666666667</c:v>
                </c:pt>
                <c:pt idx="106" formatCode="0.000">
                  <c:v>14.540236666666667</c:v>
                </c:pt>
                <c:pt idx="107" formatCode="0.000">
                  <c:v>14.436546666666667</c:v>
                </c:pt>
                <c:pt idx="108" formatCode="0.000">
                  <c:v>14.018559999999997</c:v>
                </c:pt>
                <c:pt idx="109" formatCode="0.000">
                  <c:v>13.598973333333335</c:v>
                </c:pt>
                <c:pt idx="110" formatCode="0.000">
                  <c:v>15.511533333333334</c:v>
                </c:pt>
                <c:pt idx="111" formatCode="0.000">
                  <c:v>14.634436666666668</c:v>
                </c:pt>
                <c:pt idx="112" formatCode="0.000">
                  <c:v>14.645799999999999</c:v>
                </c:pt>
                <c:pt idx="113" formatCode="0.000">
                  <c:v>14.60182833333333</c:v>
                </c:pt>
                <c:pt idx="114" formatCode="0.000">
                  <c:v>14.997596666666668</c:v>
                </c:pt>
                <c:pt idx="115" formatCode="0.000">
                  <c:v>15.543566666666669</c:v>
                </c:pt>
                <c:pt idx="116" formatCode="0.000">
                  <c:v>15.877353333333334</c:v>
                </c:pt>
                <c:pt idx="117" formatCode="0.000">
                  <c:v>15.697458333333334</c:v>
                </c:pt>
                <c:pt idx="118" formatCode="0.000">
                  <c:v>16.403074999999998</c:v>
                </c:pt>
                <c:pt idx="119" formatCode="0.000">
                  <c:v>15.515000000000001</c:v>
                </c:pt>
                <c:pt idx="120" formatCode="0.000">
                  <c:v>14.340675000000001</c:v>
                </c:pt>
                <c:pt idx="121" formatCode="0.000">
                  <c:v>15.537003333333333</c:v>
                </c:pt>
                <c:pt idx="122" formatCode="0.000">
                  <c:v>15.903976666666667</c:v>
                </c:pt>
                <c:pt idx="123" formatCode="0.000">
                  <c:v>14.812859999999997</c:v>
                </c:pt>
                <c:pt idx="124" formatCode="0.000">
                  <c:v>14.990566666666666</c:v>
                </c:pt>
                <c:pt idx="125" formatCode="0.000">
                  <c:v>15.282066666666667</c:v>
                </c:pt>
                <c:pt idx="126" formatCode="0.000">
                  <c:v>15.490034999999999</c:v>
                </c:pt>
                <c:pt idx="127" formatCode="0.000">
                  <c:v>15.004169999999998</c:v>
                </c:pt>
                <c:pt idx="128" formatCode="0.000">
                  <c:v>15.275706666666668</c:v>
                </c:pt>
                <c:pt idx="129" formatCode="0.000">
                  <c:v>16.200286666666667</c:v>
                </c:pt>
                <c:pt idx="130" formatCode="0.000">
                  <c:v>16.162666666666663</c:v>
                </c:pt>
                <c:pt idx="131" formatCode="0.000">
                  <c:v>15.317875000000001</c:v>
                </c:pt>
                <c:pt idx="132" formatCode="0.000">
                  <c:v>16.698350000000001</c:v>
                </c:pt>
                <c:pt idx="133" formatCode="0.000">
                  <c:v>16.414265</c:v>
                </c:pt>
                <c:pt idx="134" formatCode="0.000">
                  <c:v>15.91963</c:v>
                </c:pt>
                <c:pt idx="135" formatCode="0.000">
                  <c:v>17.057156666666668</c:v>
                </c:pt>
                <c:pt idx="136" formatCode="0.000">
                  <c:v>16.918730000000004</c:v>
                </c:pt>
                <c:pt idx="137" formatCode="0.000">
                  <c:v>16.34064</c:v>
                </c:pt>
                <c:pt idx="138" formatCode="0.000">
                  <c:v>16.133266666666664</c:v>
                </c:pt>
                <c:pt idx="139" formatCode="0.000">
                  <c:v>15.46454</c:v>
                </c:pt>
                <c:pt idx="140" formatCode="0.000">
                  <c:v>15.838446666666666</c:v>
                </c:pt>
                <c:pt idx="141" formatCode="0.000">
                  <c:v>17.4788</c:v>
                </c:pt>
                <c:pt idx="142" formatCode="0.000">
                  <c:v>17.616583333333331</c:v>
                </c:pt>
                <c:pt idx="143" formatCode="0.000">
                  <c:v>16.649983333333331</c:v>
                </c:pt>
                <c:pt idx="144" formatCode="0.000">
                  <c:v>16.27508666666667</c:v>
                </c:pt>
                <c:pt idx="145" formatCode="0.000">
                  <c:v>16.338226666666671</c:v>
                </c:pt>
                <c:pt idx="146" formatCode="0.000">
                  <c:v>15.930763333333335</c:v>
                </c:pt>
                <c:pt idx="147" formatCode="0.000">
                  <c:v>16.525575</c:v>
                </c:pt>
                <c:pt idx="148" formatCode="0.000">
                  <c:v>16.875206666666667</c:v>
                </c:pt>
                <c:pt idx="149" formatCode="0.000">
                  <c:v>16.809173333333334</c:v>
                </c:pt>
                <c:pt idx="150" formatCode="0.000">
                  <c:v>17.620875000000002</c:v>
                </c:pt>
                <c:pt idx="151" formatCode="0.000">
                  <c:v>16.933668333333333</c:v>
                </c:pt>
                <c:pt idx="152" formatCode="0.000">
                  <c:v>18.171221666666668</c:v>
                </c:pt>
                <c:pt idx="153" formatCode="0.000">
                  <c:v>18.343389999999999</c:v>
                </c:pt>
                <c:pt idx="154" formatCode="0.000">
                  <c:v>17.510453333333334</c:v>
                </c:pt>
                <c:pt idx="155" formatCode="0.000">
                  <c:v>18.205413333333333</c:v>
                </c:pt>
                <c:pt idx="156" formatCode="0.000">
                  <c:v>18.17361</c:v>
                </c:pt>
                <c:pt idx="157" formatCode="0.000">
                  <c:v>18.479119999999998</c:v>
                </c:pt>
                <c:pt idx="158" formatCode="0.000">
                  <c:v>17.257100000000001</c:v>
                </c:pt>
                <c:pt idx="159" formatCode="0.000">
                  <c:v>16.913983333333331</c:v>
                </c:pt>
                <c:pt idx="160" formatCode="0.000">
                  <c:v>16.926034999999999</c:v>
                </c:pt>
                <c:pt idx="161" formatCode="0.000">
                  <c:v>16.331300000000002</c:v>
                </c:pt>
                <c:pt idx="162" formatCode="0.000">
                  <c:v>16.65568</c:v>
                </c:pt>
                <c:pt idx="163" formatCode="0.000">
                  <c:v>15.778675</c:v>
                </c:pt>
                <c:pt idx="164" formatCode="0.000">
                  <c:v>15.065049999999998</c:v>
                </c:pt>
                <c:pt idx="165" formatCode="0.000">
                  <c:v>13.983400000000001</c:v>
                </c:pt>
                <c:pt idx="166" formatCode="0.000">
                  <c:v>14.044799999999999</c:v>
                </c:pt>
                <c:pt idx="167" formatCode="0.000">
                  <c:v>13.560879999999999</c:v>
                </c:pt>
                <c:pt idx="168" formatCode="0.000">
                  <c:v>12.949516666666666</c:v>
                </c:pt>
                <c:pt idx="169" formatCode="0.000">
                  <c:v>12.267966666666666</c:v>
                </c:pt>
                <c:pt idx="170" formatCode="0.000">
                  <c:v>11.6319</c:v>
                </c:pt>
                <c:pt idx="171" formatCode="0.000">
                  <c:v>10.923139999999998</c:v>
                </c:pt>
                <c:pt idx="172" formatCode="0.000">
                  <c:v>10.234000000000002</c:v>
                </c:pt>
                <c:pt idx="173" formatCode="0.000">
                  <c:v>9.6229899999999997</c:v>
                </c:pt>
                <c:pt idx="174" formatCode="0.000">
                  <c:v>8.9794033333333338</c:v>
                </c:pt>
                <c:pt idx="175" formatCode="0.000">
                  <c:v>8.448640000000001</c:v>
                </c:pt>
                <c:pt idx="176" formatCode="0.000">
                  <c:v>7.9507083333333322</c:v>
                </c:pt>
                <c:pt idx="177" formatCode="0.000">
                  <c:v>7.4457916666666675</c:v>
                </c:pt>
                <c:pt idx="178" formatCode="0.000">
                  <c:v>6.8879500000000009</c:v>
                </c:pt>
                <c:pt idx="179" formatCode="0.000">
                  <c:v>6.432500000000001</c:v>
                </c:pt>
                <c:pt idx="180" formatCode="0.000">
                  <c:v>5.9475799999999994</c:v>
                </c:pt>
                <c:pt idx="181" formatCode="0.000">
                  <c:v>5.4997733333333345</c:v>
                </c:pt>
                <c:pt idx="182" formatCode="0.000">
                  <c:v>5.0839249999999998</c:v>
                </c:pt>
                <c:pt idx="183" formatCode="0.000">
                  <c:v>4.6201716666666668</c:v>
                </c:pt>
                <c:pt idx="184" formatCode="0.000">
                  <c:v>4.1814816666666665</c:v>
                </c:pt>
                <c:pt idx="185" formatCode="0.000">
                  <c:v>3.8800350000000003</c:v>
                </c:pt>
                <c:pt idx="186" formatCode="0.000">
                  <c:v>3.4433120000000002</c:v>
                </c:pt>
                <c:pt idx="187" formatCode="0.000">
                  <c:v>3.2235484999999997</c:v>
                </c:pt>
                <c:pt idx="188" formatCode="0.000">
                  <c:v>2.8572759999999997</c:v>
                </c:pt>
                <c:pt idx="189" formatCode="0.000">
                  <c:v>2.4862655000000005</c:v>
                </c:pt>
                <c:pt idx="190" formatCode="0.000">
                  <c:v>2.340035166666667</c:v>
                </c:pt>
                <c:pt idx="191" formatCode="0.000">
                  <c:v>2.1277620000000002</c:v>
                </c:pt>
                <c:pt idx="192" formatCode="0.000">
                  <c:v>1.9076849999999999</c:v>
                </c:pt>
                <c:pt idx="193" formatCode="0.000">
                  <c:v>1.6900120000000001</c:v>
                </c:pt>
                <c:pt idx="194" formatCode="0.000">
                  <c:v>1.5460116666666666</c:v>
                </c:pt>
                <c:pt idx="195" formatCode="0.000">
                  <c:v>1.3988060000000002</c:v>
                </c:pt>
                <c:pt idx="196" formatCode="0.000">
                  <c:v>1.2882256666666667</c:v>
                </c:pt>
                <c:pt idx="197" formatCode="0.000">
                  <c:v>1.175416</c:v>
                </c:pt>
                <c:pt idx="198" formatCode="0.000">
                  <c:v>1.0638810000000001</c:v>
                </c:pt>
                <c:pt idx="199" formatCode="0.000">
                  <c:v>0.95366700000000004</c:v>
                </c:pt>
                <c:pt idx="200" formatCode="0.000">
                  <c:v>0.88448800000000005</c:v>
                </c:pt>
                <c:pt idx="201" formatCode="0.000">
                  <c:v>0.8478106666666666</c:v>
                </c:pt>
                <c:pt idx="202" formatCode="0.000">
                  <c:v>0.732545</c:v>
                </c:pt>
                <c:pt idx="203" formatCode="0.000">
                  <c:v>0.69807900000000001</c:v>
                </c:pt>
                <c:pt idx="204" formatCode="0.000">
                  <c:v>0.6258001666666666</c:v>
                </c:pt>
                <c:pt idx="205" formatCode="0.000">
                  <c:v>0.6258001666666666</c:v>
                </c:pt>
                <c:pt idx="206" formatCode="0.000">
                  <c:v>0.55298133333333332</c:v>
                </c:pt>
                <c:pt idx="207" formatCode="0.000">
                  <c:v>0.51595133333333332</c:v>
                </c:pt>
                <c:pt idx="208" formatCode="0.000">
                  <c:v>0.47700900000000002</c:v>
                </c:pt>
                <c:pt idx="209" formatCode="0.000">
                  <c:v>0.40499166666666669</c:v>
                </c:pt>
                <c:pt idx="210" formatCode="0.000">
                  <c:v>0.404225</c:v>
                </c:pt>
                <c:pt idx="211" formatCode="0.000">
                  <c:v>0.40364999999999995</c:v>
                </c:pt>
                <c:pt idx="212" formatCode="0.000">
                  <c:v>0.33248666666666665</c:v>
                </c:pt>
                <c:pt idx="213" formatCode="0.000">
                  <c:v>0.33248666666666665</c:v>
                </c:pt>
                <c:pt idx="214" formatCode="0.000">
                  <c:v>0.33185933333333328</c:v>
                </c:pt>
                <c:pt idx="215" formatCode="0.000">
                  <c:v>0.29482933333333333</c:v>
                </c:pt>
                <c:pt idx="216" formatCode="0.000">
                  <c:v>0.29441133333333336</c:v>
                </c:pt>
                <c:pt idx="217" formatCode="0.000">
                  <c:v>7.3846666666666672E-2</c:v>
                </c:pt>
                <c:pt idx="218" formatCode="0.000">
                  <c:v>0.14741466666666667</c:v>
                </c:pt>
                <c:pt idx="219" formatCode="0.000">
                  <c:v>3.703E-2</c:v>
                </c:pt>
                <c:pt idx="220" formatCode="0.000">
                  <c:v>0.14769333333333334</c:v>
                </c:pt>
                <c:pt idx="221" formatCode="0.000">
                  <c:v>0.14720566666666668</c:v>
                </c:pt>
                <c:pt idx="222" formatCode="0.000">
                  <c:v>3.6977499999999996E-2</c:v>
                </c:pt>
                <c:pt idx="223" formatCode="0.000">
                  <c:v>0.11073733333333333</c:v>
                </c:pt>
                <c:pt idx="224" formatCode="0.000">
                  <c:v>7.3707333333333333E-2</c:v>
                </c:pt>
                <c:pt idx="225" formatCode="0.000">
                  <c:v>3.7099999999999994E-2</c:v>
                </c:pt>
                <c:pt idx="226" formatCode="0.000">
                  <c:v>0</c:v>
                </c:pt>
                <c:pt idx="227" formatCode="0.000">
                  <c:v>0</c:v>
                </c:pt>
                <c:pt idx="228" formatCode="0.000">
                  <c:v>0</c:v>
                </c:pt>
                <c:pt idx="229" formatCode="0.000">
                  <c:v>0</c:v>
                </c:pt>
                <c:pt idx="230" formatCode="0.000">
                  <c:v>0</c:v>
                </c:pt>
                <c:pt idx="231" formatCode="0.000">
                  <c:v>0</c:v>
                </c:pt>
                <c:pt idx="232" formatCode="0.000">
                  <c:v>0</c:v>
                </c:pt>
                <c:pt idx="233" formatCode="0.000">
                  <c:v>0</c:v>
                </c:pt>
                <c:pt idx="234" formatCode="0.000">
                  <c:v>0</c:v>
                </c:pt>
                <c:pt idx="235" formatCode="0.000">
                  <c:v>0</c:v>
                </c:pt>
                <c:pt idx="236" formatCode="0.000">
                  <c:v>0</c:v>
                </c:pt>
                <c:pt idx="237" formatCode="0.000">
                  <c:v>0</c:v>
                </c:pt>
                <c:pt idx="238" formatCode="0.000">
                  <c:v>0</c:v>
                </c:pt>
                <c:pt idx="239" formatCode="0.000">
                  <c:v>0</c:v>
                </c:pt>
                <c:pt idx="240" formatCode="0.000">
                  <c:v>0</c:v>
                </c:pt>
                <c:pt idx="241" formatCode="0.000">
                  <c:v>0</c:v>
                </c:pt>
                <c:pt idx="242" formatCode="0.000">
                  <c:v>0</c:v>
                </c:pt>
                <c:pt idx="243" formatCode="0.000">
                  <c:v>0</c:v>
                </c:pt>
                <c:pt idx="244" formatCode="0.000">
                  <c:v>0</c:v>
                </c:pt>
                <c:pt idx="245" formatCode="0.000">
                  <c:v>0</c:v>
                </c:pt>
                <c:pt idx="246" formatCode="0.000">
                  <c:v>0</c:v>
                </c:pt>
                <c:pt idx="247" formatCode="0.000">
                  <c:v>0</c:v>
                </c:pt>
                <c:pt idx="248" formatCode="0.000">
                  <c:v>0</c:v>
                </c:pt>
                <c:pt idx="249" formatCode="0.000">
                  <c:v>0</c:v>
                </c:pt>
                <c:pt idx="250" formatCode="0.000">
                  <c:v>0</c:v>
                </c:pt>
                <c:pt idx="251" formatCode="0.000">
                  <c:v>0</c:v>
                </c:pt>
                <c:pt idx="252" formatCode="0.000">
                  <c:v>0</c:v>
                </c:pt>
                <c:pt idx="253" formatCode="0.000">
                  <c:v>0</c:v>
                </c:pt>
                <c:pt idx="254" formatCode="0.000">
                  <c:v>0</c:v>
                </c:pt>
                <c:pt idx="255" formatCode="0.000">
                  <c:v>0</c:v>
                </c:pt>
                <c:pt idx="256" formatCode="0.000">
                  <c:v>0</c:v>
                </c:pt>
                <c:pt idx="257" formatCode="0.000">
                  <c:v>0</c:v>
                </c:pt>
                <c:pt idx="258" formatCode="0.000">
                  <c:v>0</c:v>
                </c:pt>
                <c:pt idx="259" formatCode="0.000">
                  <c:v>0</c:v>
                </c:pt>
                <c:pt idx="260" formatCode="0.000">
                  <c:v>0</c:v>
                </c:pt>
                <c:pt idx="261" formatCode="0.000">
                  <c:v>0</c:v>
                </c:pt>
                <c:pt idx="262" formatCode="0.000">
                  <c:v>0</c:v>
                </c:pt>
                <c:pt idx="263" formatCode="0.000">
                  <c:v>0</c:v>
                </c:pt>
                <c:pt idx="264" formatCode="0.000">
                  <c:v>0</c:v>
                </c:pt>
                <c:pt idx="265" formatCode="0.000">
                  <c:v>0</c:v>
                </c:pt>
                <c:pt idx="266" formatCode="0.000">
                  <c:v>0</c:v>
                </c:pt>
                <c:pt idx="267" formatCode="0.000">
                  <c:v>0</c:v>
                </c:pt>
                <c:pt idx="268" formatCode="0.000">
                  <c:v>0.24546399999999996</c:v>
                </c:pt>
                <c:pt idx="269" formatCode="0.000">
                  <c:v>0.46864766666666668</c:v>
                </c:pt>
                <c:pt idx="270" formatCode="0.000">
                  <c:v>0.68701783333333344</c:v>
                </c:pt>
                <c:pt idx="271" formatCode="0.000">
                  <c:v>0.83554566666666674</c:v>
                </c:pt>
                <c:pt idx="272" formatCode="0.000">
                  <c:v>0.87334133333333319</c:v>
                </c:pt>
                <c:pt idx="273" formatCode="0.000">
                  <c:v>0.82566000000000017</c:v>
                </c:pt>
                <c:pt idx="274" formatCode="0.000">
                  <c:v>0.80136000000000007</c:v>
                </c:pt>
                <c:pt idx="275" formatCode="0.000">
                  <c:v>0.79757999999999996</c:v>
                </c:pt>
                <c:pt idx="276" formatCode="0.000">
                  <c:v>0.79002000000000006</c:v>
                </c:pt>
                <c:pt idx="277" formatCode="0.000">
                  <c:v>0.84268799999999988</c:v>
                </c:pt>
                <c:pt idx="278" formatCode="0.000">
                  <c:v>0.76886366666666661</c:v>
                </c:pt>
                <c:pt idx="279" formatCode="0.000">
                  <c:v>0.929369</c:v>
                </c:pt>
                <c:pt idx="280" formatCode="0.000">
                  <c:v>0.93645850000000019</c:v>
                </c:pt>
                <c:pt idx="281" formatCode="0.000">
                  <c:v>0.91503616666666665</c:v>
                </c:pt>
                <c:pt idx="282" formatCode="0.000">
                  <c:v>0.95923800000000015</c:v>
                </c:pt>
                <c:pt idx="283" formatCode="0.000">
                  <c:v>0.9795986666666664</c:v>
                </c:pt>
                <c:pt idx="284" formatCode="0.000">
                  <c:v>1.0076209999999999</c:v>
                </c:pt>
                <c:pt idx="285" formatCode="0.000">
                  <c:v>1.0426249999999999</c:v>
                </c:pt>
                <c:pt idx="286" formatCode="0.000">
                  <c:v>1.0673250000000001</c:v>
                </c:pt>
                <c:pt idx="287" formatCode="0.000">
                  <c:v>1.0830539999999997</c:v>
                </c:pt>
                <c:pt idx="288" formatCode="0.000">
                  <c:v>1.1032770000000001</c:v>
                </c:pt>
                <c:pt idx="289" formatCode="0.000">
                  <c:v>1.1324879999999997</c:v>
                </c:pt>
                <c:pt idx="290" formatCode="0.000">
                  <c:v>1.188075</c:v>
                </c:pt>
                <c:pt idx="291" formatCode="0.000">
                  <c:v>1.2423758333333335</c:v>
                </c:pt>
                <c:pt idx="292" formatCode="0.000">
                  <c:v>1.2893453333333333</c:v>
                </c:pt>
                <c:pt idx="293" formatCode="0.000">
                  <c:v>1.3368826666666669</c:v>
                </c:pt>
                <c:pt idx="294" formatCode="0.000">
                  <c:v>1.403154</c:v>
                </c:pt>
                <c:pt idx="295" formatCode="0.000">
                  <c:v>1.4604200000000001</c:v>
                </c:pt>
                <c:pt idx="296" formatCode="0.000">
                  <c:v>1.48919</c:v>
                </c:pt>
                <c:pt idx="297" formatCode="0.000">
                  <c:v>1.5464560000000001</c:v>
                </c:pt>
                <c:pt idx="298" formatCode="0.000">
                  <c:v>1.5464560000000001</c:v>
                </c:pt>
                <c:pt idx="299" formatCode="0.000">
                  <c:v>1.568246</c:v>
                </c:pt>
                <c:pt idx="300" formatCode="0.000">
                  <c:v>1.568246</c:v>
                </c:pt>
                <c:pt idx="301" formatCode="0.000">
                  <c:v>1.5968935</c:v>
                </c:pt>
                <c:pt idx="302" formatCode="0.000">
                  <c:v>1.6252681666666664</c:v>
                </c:pt>
                <c:pt idx="303" formatCode="0.000">
                  <c:v>1.6468433333333332</c:v>
                </c:pt>
                <c:pt idx="304" formatCode="0.000">
                  <c:v>1.6468433333333332</c:v>
                </c:pt>
                <c:pt idx="305" formatCode="0.000">
                  <c:v>1.6781796666666671</c:v>
                </c:pt>
                <c:pt idx="306" formatCode="0.000">
                  <c:v>1.6781796666666671</c:v>
                </c:pt>
                <c:pt idx="307" formatCode="0.000">
                  <c:v>1.699441</c:v>
                </c:pt>
                <c:pt idx="308" formatCode="0.000">
                  <c:v>1.7318750000000001</c:v>
                </c:pt>
                <c:pt idx="309" formatCode="0.000">
                  <c:v>1.7452800000000002</c:v>
                </c:pt>
                <c:pt idx="310" formatCode="0.000">
                  <c:v>1.780972</c:v>
                </c:pt>
                <c:pt idx="311" formatCode="0.000">
                  <c:v>1.780972</c:v>
                </c:pt>
                <c:pt idx="312" formatCode="0.000">
                  <c:v>1.8093745000000001</c:v>
                </c:pt>
                <c:pt idx="313" formatCode="0.000">
                  <c:v>1.8093745000000001</c:v>
                </c:pt>
                <c:pt idx="314" formatCode="0.000">
                  <c:v>1.8329778333333335</c:v>
                </c:pt>
                <c:pt idx="315" formatCode="0.000">
                  <c:v>1.8578613333333331</c:v>
                </c:pt>
                <c:pt idx="316" formatCode="0.000">
                  <c:v>1.8814726666666666</c:v>
                </c:pt>
                <c:pt idx="317" formatCode="0.000">
                  <c:v>1.8861413333333332</c:v>
                </c:pt>
                <c:pt idx="318" formatCode="0.000">
                  <c:v>1.9141519999999999</c:v>
                </c:pt>
                <c:pt idx="319" formatCode="0.000">
                  <c:v>1.9141519999999999</c:v>
                </c:pt>
                <c:pt idx="320" formatCode="0.000">
                  <c:v>1.9424319999999999</c:v>
                </c:pt>
                <c:pt idx="321" formatCode="0.000">
                  <c:v>1.9655653333333332</c:v>
                </c:pt>
                <c:pt idx="322" formatCode="0.000">
                  <c:v>1.9937753333333335</c:v>
                </c:pt>
                <c:pt idx="323" formatCode="0.000">
                  <c:v>1.9987226666666666</c:v>
                </c:pt>
                <c:pt idx="324" formatCode="0.000">
                  <c:v>1.9741006666666665</c:v>
                </c:pt>
                <c:pt idx="325" formatCode="0.000">
                  <c:v>1.9704426666666666</c:v>
                </c:pt>
                <c:pt idx="326" formatCode="0.000">
                  <c:v>2.0639150000000002</c:v>
                </c:pt>
                <c:pt idx="327" formatCode="0.000">
                  <c:v>2.0073805</c:v>
                </c:pt>
                <c:pt idx="328" formatCode="0.000">
                  <c:v>2.1100929999999996</c:v>
                </c:pt>
                <c:pt idx="329" formatCode="0.000">
                  <c:v>2.0246961666666667</c:v>
                </c:pt>
                <c:pt idx="330" formatCode="0.000">
                  <c:v>2.0766316666666667</c:v>
                </c:pt>
                <c:pt idx="331" formatCode="0.000">
                  <c:v>2.1049370000000001</c:v>
                </c:pt>
                <c:pt idx="332" formatCode="0.000">
                  <c:v>2.0677300000000001</c:v>
                </c:pt>
                <c:pt idx="333" formatCode="0.000">
                  <c:v>2.1525530000000002</c:v>
                </c:pt>
                <c:pt idx="334" formatCode="0.000">
                  <c:v>2.0817183333333333</c:v>
                </c:pt>
                <c:pt idx="335" formatCode="0.000">
                  <c:v>2.1997866666666668</c:v>
                </c:pt>
                <c:pt idx="336" formatCode="0.000">
                  <c:v>2.119116</c:v>
                </c:pt>
                <c:pt idx="337" formatCode="0.000">
                  <c:v>2.2377239999999996</c:v>
                </c:pt>
                <c:pt idx="338" formatCode="0.000">
                  <c:v>2.1426599999999998</c:v>
                </c:pt>
                <c:pt idx="339" formatCode="0.000">
                  <c:v>2.2569133333333333</c:v>
                </c:pt>
                <c:pt idx="340" formatCode="0.000">
                  <c:v>2.1997866666666668</c:v>
                </c:pt>
                <c:pt idx="341" formatCode="0.000">
                  <c:v>2.2909140000000003</c:v>
                </c:pt>
                <c:pt idx="342" formatCode="0.000">
                  <c:v>2.2472346666666665</c:v>
                </c:pt>
                <c:pt idx="343" formatCode="0.000">
                  <c:v>2.3104230000000001</c:v>
                </c:pt>
                <c:pt idx="344" formatCode="0.000">
                  <c:v>2.2526693333333334</c:v>
                </c:pt>
                <c:pt idx="345" formatCode="0.000">
                  <c:v>2.3971916666666671</c:v>
                </c:pt>
                <c:pt idx="346" formatCode="0.000">
                  <c:v>2.3146035</c:v>
                </c:pt>
                <c:pt idx="347" formatCode="0.000">
                  <c:v>2.3624633333333334</c:v>
                </c:pt>
                <c:pt idx="348" formatCode="0.000">
                  <c:v>2.2950945000000003</c:v>
                </c:pt>
                <c:pt idx="349" formatCode="0.000">
                  <c:v>2.3971916666666671</c:v>
                </c:pt>
                <c:pt idx="350" formatCode="0.000">
                  <c:v>2.3971916666666671</c:v>
                </c:pt>
                <c:pt idx="351" formatCode="0.000">
                  <c:v>2.1063749999999999</c:v>
                </c:pt>
                <c:pt idx="352" formatCode="0.000">
                  <c:v>1.8804890000000001</c:v>
                </c:pt>
                <c:pt idx="353" formatCode="0.000">
                  <c:v>1.7254313333333331</c:v>
                </c:pt>
                <c:pt idx="354" formatCode="0.000">
                  <c:v>1.7551990000000002</c:v>
                </c:pt>
                <c:pt idx="355" formatCode="0.000">
                  <c:v>1.8299236666666665</c:v>
                </c:pt>
                <c:pt idx="356" formatCode="0.000">
                  <c:v>1.9278000000000002</c:v>
                </c:pt>
                <c:pt idx="357" formatCode="0.000">
                  <c:v>2.0376790000000002</c:v>
                </c:pt>
                <c:pt idx="358" formatCode="0.000">
                  <c:v>2.1533160000000002</c:v>
                </c:pt>
                <c:pt idx="359" formatCode="0.000">
                  <c:v>2.2335999999999996</c:v>
                </c:pt>
                <c:pt idx="360" formatCode="0.000">
                  <c:v>2.3848333333333329</c:v>
                </c:pt>
                <c:pt idx="361" formatCode="0.000">
                  <c:v>2.4810649999999996</c:v>
                </c:pt>
                <c:pt idx="362" formatCode="0.000">
                  <c:v>1.1037015000000001</c:v>
                </c:pt>
                <c:pt idx="363" formatCode="0.000">
                  <c:v>0.307695</c:v>
                </c:pt>
                <c:pt idx="364" formatCode="0.000">
                  <c:v>0.41214224999999999</c:v>
                </c:pt>
                <c:pt idx="365" formatCode="0.000">
                  <c:v>0.58187</c:v>
                </c:pt>
                <c:pt idx="366" formatCode="0.000">
                  <c:v>0.65710641666666669</c:v>
                </c:pt>
                <c:pt idx="367" formatCode="0.000">
                  <c:v>0.77316400000000007</c:v>
                </c:pt>
                <c:pt idx="368" formatCode="0.000">
                  <c:v>0.99124266666666661</c:v>
                </c:pt>
                <c:pt idx="369" formatCode="0.000">
                  <c:v>1.1558996666666668</c:v>
                </c:pt>
                <c:pt idx="370" formatCode="0.000">
                  <c:v>1.2880666666666667</c:v>
                </c:pt>
                <c:pt idx="371" formatCode="0.000">
                  <c:v>1.1772199999999997</c:v>
                </c:pt>
                <c:pt idx="372" formatCode="0.000">
                  <c:v>1.1847216666666669</c:v>
                </c:pt>
                <c:pt idx="373" formatCode="0.000">
                  <c:v>1.00936</c:v>
                </c:pt>
                <c:pt idx="374" formatCode="0.000">
                  <c:v>1.3557133333333335</c:v>
                </c:pt>
                <c:pt idx="375" formatCode="0.000">
                  <c:v>1.1960950000000001</c:v>
                </c:pt>
                <c:pt idx="376" formatCode="0.000">
                  <c:v>1.2663066666666667</c:v>
                </c:pt>
                <c:pt idx="377" formatCode="0.000">
                  <c:v>1.3689646666666666</c:v>
                </c:pt>
                <c:pt idx="378" formatCode="0.000">
                  <c:v>1.5301209999999998</c:v>
                </c:pt>
                <c:pt idx="379" formatCode="0.000">
                  <c:v>1.8759730000000001</c:v>
                </c:pt>
                <c:pt idx="380" formatCode="0.000">
                  <c:v>2.8978351666666669</c:v>
                </c:pt>
                <c:pt idx="381" formatCode="0.000">
                  <c:v>5.5820683333333339</c:v>
                </c:pt>
                <c:pt idx="382" formatCode="0.000">
                  <c:v>7.6718000000000002</c:v>
                </c:pt>
                <c:pt idx="383" formatCode="0.000">
                  <c:v>2.1011363333333333</c:v>
                </c:pt>
                <c:pt idx="384" formatCode="0.000">
                  <c:v>0.42179493333333334</c:v>
                </c:pt>
                <c:pt idx="385" formatCode="0.000">
                  <c:v>9.1531550000000003E-2</c:v>
                </c:pt>
                <c:pt idx="386" formatCode="0.000">
                  <c:v>4.5111333333333337E-2</c:v>
                </c:pt>
                <c:pt idx="387" formatCode="0.000">
                  <c:v>2.9301799999999999E-2</c:v>
                </c:pt>
                <c:pt idx="388" formatCode="0.000">
                  <c:v>1.4477750000000001E-2</c:v>
                </c:pt>
                <c:pt idx="389" formatCode="0.000">
                  <c:v>1.417325E-2</c:v>
                </c:pt>
                <c:pt idx="390" formatCode="0.000">
                  <c:v>1.3929999999999998E-2</c:v>
                </c:pt>
                <c:pt idx="391" formatCode="0.000">
                  <c:v>1.36255E-2</c:v>
                </c:pt>
                <c:pt idx="392" formatCode="0.000">
                  <c:v>1.3382249999999998E-2</c:v>
                </c:pt>
                <c:pt idx="393" formatCode="0.000">
                  <c:v>1.3139E-2</c:v>
                </c:pt>
                <c:pt idx="394" formatCode="0.000">
                  <c:v>1.2895749999999999E-2</c:v>
                </c:pt>
                <c:pt idx="395" formatCode="0.000">
                  <c:v>1.2652499999999999E-2</c:v>
                </c:pt>
                <c:pt idx="396" formatCode="0.000">
                  <c:v>0</c:v>
                </c:pt>
                <c:pt idx="397" formatCode="0.000">
                  <c:v>0</c:v>
                </c:pt>
                <c:pt idx="398" formatCode="0.000">
                  <c:v>0</c:v>
                </c:pt>
                <c:pt idx="399" formatCode="0.000">
                  <c:v>1.1738999999999999E-2</c:v>
                </c:pt>
                <c:pt idx="400" formatCode="0.000">
                  <c:v>0</c:v>
                </c:pt>
                <c:pt idx="401" formatCode="0.000">
                  <c:v>0</c:v>
                </c:pt>
                <c:pt idx="402" formatCode="0.000">
                  <c:v>1.1193E-2</c:v>
                </c:pt>
                <c:pt idx="403" formatCode="0.000">
                  <c:v>0</c:v>
                </c:pt>
                <c:pt idx="404" formatCode="0.000">
                  <c:v>0</c:v>
                </c:pt>
                <c:pt idx="405" formatCode="0.000">
                  <c:v>1.0584E-2</c:v>
                </c:pt>
                <c:pt idx="406" formatCode="0.000">
                  <c:v>0</c:v>
                </c:pt>
                <c:pt idx="407" formatCode="0.000">
                  <c:v>0</c:v>
                </c:pt>
                <c:pt idx="408" formatCode="0.000">
                  <c:v>0</c:v>
                </c:pt>
                <c:pt idx="409" formatCode="0.000">
                  <c:v>0</c:v>
                </c:pt>
                <c:pt idx="410" formatCode="0.000">
                  <c:v>0</c:v>
                </c:pt>
                <c:pt idx="411" formatCode="0.000">
                  <c:v>0</c:v>
                </c:pt>
                <c:pt idx="412" formatCode="0.000">
                  <c:v>0</c:v>
                </c:pt>
                <c:pt idx="413" formatCode="0.000">
                  <c:v>0</c:v>
                </c:pt>
                <c:pt idx="414" formatCode="0.000">
                  <c:v>0</c:v>
                </c:pt>
                <c:pt idx="415" formatCode="0.000">
                  <c:v>0</c:v>
                </c:pt>
                <c:pt idx="416" formatCode="0.000">
                  <c:v>0</c:v>
                </c:pt>
                <c:pt idx="417" formatCode="0.000">
                  <c:v>0</c:v>
                </c:pt>
                <c:pt idx="418" formatCode="0.000">
                  <c:v>0</c:v>
                </c:pt>
                <c:pt idx="419" formatCode="0.000">
                  <c:v>0</c:v>
                </c:pt>
              </c:numCache>
            </c:numRef>
          </c:val>
          <c:smooth val="0"/>
          <c:extLst>
            <c:ext xmlns:c16="http://schemas.microsoft.com/office/drawing/2014/chart" uri="{C3380CC4-5D6E-409C-BE32-E72D297353CC}">
              <c16:uniqueId val="{00000000-B7B6-48D2-8897-30600FD869AA}"/>
            </c:ext>
          </c:extLst>
        </c:ser>
        <c:dLbls>
          <c:showLegendKey val="0"/>
          <c:showVal val="0"/>
          <c:showCatName val="0"/>
          <c:showSerName val="0"/>
          <c:showPercent val="0"/>
          <c:showBubbleSize val="0"/>
        </c:dLbls>
        <c:smooth val="0"/>
        <c:axId val="563037935"/>
        <c:axId val="563039599"/>
      </c:lineChart>
      <c:catAx>
        <c:axId val="563037935"/>
        <c:scaling>
          <c:orientation val="minMax"/>
        </c:scaling>
        <c:delete val="0"/>
        <c:axPos val="b"/>
        <c:numFmt formatCode="0" sourceLinked="0"/>
        <c:majorTickMark val="out"/>
        <c:minorTickMark val="none"/>
        <c:tickLblPos val="nextTo"/>
        <c:spPr>
          <a:noFill/>
          <a:ln w="3175" cap="flat" cmpd="sng" algn="ctr">
            <a:solidFill>
              <a:schemeClr val="tx1"/>
            </a:solidFill>
            <a:round/>
          </a:ln>
          <a:effectLst/>
        </c:spPr>
        <c:txPr>
          <a:bodyPr rot="-5400000" spcFirstLastPara="1" vertOverflow="ellipsis"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563039599"/>
        <c:crosses val="autoZero"/>
        <c:auto val="1"/>
        <c:lblAlgn val="ctr"/>
        <c:lblOffset val="100"/>
        <c:tickLblSkip val="20"/>
        <c:tickMarkSkip val="20"/>
        <c:noMultiLvlLbl val="0"/>
      </c:catAx>
      <c:valAx>
        <c:axId val="563039599"/>
        <c:scaling>
          <c:orientation val="minMax"/>
        </c:scaling>
        <c:delete val="0"/>
        <c:axPos val="l"/>
        <c:numFmt formatCode="General" sourceLinked="1"/>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563037935"/>
        <c:crosses val="autoZero"/>
        <c:crossBetween val="between"/>
      </c:valAx>
      <c:spPr>
        <a:noFill/>
        <a:ln w="3175">
          <a:solidFill>
            <a:schemeClr val="tx1"/>
          </a:solidFill>
        </a:ln>
        <a:effectLst/>
      </c:spPr>
    </c:plotArea>
    <c:legend>
      <c:legendPos val="b"/>
      <c:layout>
        <c:manualLayout>
          <c:xMode val="edge"/>
          <c:yMode val="edge"/>
          <c:x val="0.65559768638092708"/>
          <c:y val="9.5982973899610455E-2"/>
          <c:w val="0.30452195469584248"/>
          <c:h val="0.12053745575381057"/>
        </c:manualLayout>
      </c:layout>
      <c:overlay val="1"/>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Garamond" panose="02020404030301010803" pitchFamily="18" charset="0"/>
        </a:defRPr>
      </a:pPr>
      <a:endParaRPr lang="sr-Latn-R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Hydraulic power 30.11.2021</c:v>
          </c:tx>
          <c:spPr>
            <a:ln w="3175" cap="rnd">
              <a:solidFill>
                <a:srgbClr val="0000FF"/>
              </a:solidFill>
              <a:round/>
            </a:ln>
            <a:effectLst/>
          </c:spPr>
          <c:marker>
            <c:symbol val="none"/>
          </c:marker>
          <c:cat>
            <c:numRef>
              <c:f>'30-11-2021'!$A$2:$A$242</c:f>
              <c:numCache>
                <c:formatCode>0.00</c:formatCode>
                <c:ptCount val="241"/>
                <c:pt idx="0">
                  <c:v>0</c:v>
                </c:pt>
                <c:pt idx="1">
                  <c:v>0.1</c:v>
                </c:pt>
                <c:pt idx="2">
                  <c:v>0.2</c:v>
                </c:pt>
                <c:pt idx="3">
                  <c:v>0.3</c:v>
                </c:pt>
                <c:pt idx="4">
                  <c:v>0.4</c:v>
                </c:pt>
                <c:pt idx="5">
                  <c:v>0.5</c:v>
                </c:pt>
                <c:pt idx="6">
                  <c:v>0.6</c:v>
                </c:pt>
                <c:pt idx="7">
                  <c:v>0.7</c:v>
                </c:pt>
                <c:pt idx="8">
                  <c:v>0.8</c:v>
                </c:pt>
                <c:pt idx="9">
                  <c:v>0.9</c:v>
                </c:pt>
                <c:pt idx="10">
                  <c:v>1</c:v>
                </c:pt>
                <c:pt idx="11">
                  <c:v>1.1000000000000001</c:v>
                </c:pt>
                <c:pt idx="12">
                  <c:v>1.2</c:v>
                </c:pt>
                <c:pt idx="13">
                  <c:v>1.3</c:v>
                </c:pt>
                <c:pt idx="14">
                  <c:v>1.4</c:v>
                </c:pt>
                <c:pt idx="15">
                  <c:v>1.5</c:v>
                </c:pt>
                <c:pt idx="16">
                  <c:v>1.6</c:v>
                </c:pt>
                <c:pt idx="17">
                  <c:v>1.7</c:v>
                </c:pt>
                <c:pt idx="18">
                  <c:v>1.8</c:v>
                </c:pt>
                <c:pt idx="19">
                  <c:v>1.9</c:v>
                </c:pt>
                <c:pt idx="20">
                  <c:v>2</c:v>
                </c:pt>
                <c:pt idx="21">
                  <c:v>2.1</c:v>
                </c:pt>
                <c:pt idx="22">
                  <c:v>2.2000000000000002</c:v>
                </c:pt>
                <c:pt idx="23">
                  <c:v>2.2999999999999998</c:v>
                </c:pt>
                <c:pt idx="24">
                  <c:v>2.4</c:v>
                </c:pt>
                <c:pt idx="25">
                  <c:v>2.5</c:v>
                </c:pt>
                <c:pt idx="26">
                  <c:v>2.6</c:v>
                </c:pt>
                <c:pt idx="27">
                  <c:v>2.7</c:v>
                </c:pt>
                <c:pt idx="28">
                  <c:v>2.8</c:v>
                </c:pt>
                <c:pt idx="29">
                  <c:v>2.9</c:v>
                </c:pt>
                <c:pt idx="30">
                  <c:v>3</c:v>
                </c:pt>
                <c:pt idx="31">
                  <c:v>3.1</c:v>
                </c:pt>
                <c:pt idx="32">
                  <c:v>3.2</c:v>
                </c:pt>
                <c:pt idx="33">
                  <c:v>3.3</c:v>
                </c:pt>
                <c:pt idx="34">
                  <c:v>3.4</c:v>
                </c:pt>
                <c:pt idx="35">
                  <c:v>3.5</c:v>
                </c:pt>
                <c:pt idx="36">
                  <c:v>3.6</c:v>
                </c:pt>
                <c:pt idx="37">
                  <c:v>3.7</c:v>
                </c:pt>
                <c:pt idx="38">
                  <c:v>3.8</c:v>
                </c:pt>
                <c:pt idx="39">
                  <c:v>3.9</c:v>
                </c:pt>
                <c:pt idx="40">
                  <c:v>4</c:v>
                </c:pt>
                <c:pt idx="41">
                  <c:v>4.0999999999999996</c:v>
                </c:pt>
                <c:pt idx="42">
                  <c:v>4.2</c:v>
                </c:pt>
                <c:pt idx="43">
                  <c:v>4.3</c:v>
                </c:pt>
                <c:pt idx="44">
                  <c:v>4.4000000000000004</c:v>
                </c:pt>
                <c:pt idx="45">
                  <c:v>4.5</c:v>
                </c:pt>
                <c:pt idx="46">
                  <c:v>4.5999999999999996</c:v>
                </c:pt>
                <c:pt idx="47">
                  <c:v>4.7</c:v>
                </c:pt>
                <c:pt idx="48">
                  <c:v>4.8</c:v>
                </c:pt>
                <c:pt idx="49">
                  <c:v>4.9000000000000004</c:v>
                </c:pt>
                <c:pt idx="50">
                  <c:v>5</c:v>
                </c:pt>
                <c:pt idx="51">
                  <c:v>5.0999999999999996</c:v>
                </c:pt>
                <c:pt idx="52">
                  <c:v>5.2</c:v>
                </c:pt>
                <c:pt idx="53">
                  <c:v>5.3</c:v>
                </c:pt>
                <c:pt idx="54">
                  <c:v>5.4</c:v>
                </c:pt>
                <c:pt idx="55">
                  <c:v>5.5</c:v>
                </c:pt>
                <c:pt idx="56">
                  <c:v>5.6</c:v>
                </c:pt>
                <c:pt idx="57">
                  <c:v>5.7</c:v>
                </c:pt>
                <c:pt idx="58">
                  <c:v>5.8</c:v>
                </c:pt>
                <c:pt idx="59">
                  <c:v>5.9</c:v>
                </c:pt>
                <c:pt idx="60">
                  <c:v>6</c:v>
                </c:pt>
                <c:pt idx="61">
                  <c:v>6.1</c:v>
                </c:pt>
                <c:pt idx="62">
                  <c:v>6.2</c:v>
                </c:pt>
                <c:pt idx="63">
                  <c:v>6.3</c:v>
                </c:pt>
                <c:pt idx="64">
                  <c:v>6.4</c:v>
                </c:pt>
                <c:pt idx="65">
                  <c:v>6.5</c:v>
                </c:pt>
                <c:pt idx="66">
                  <c:v>6.6</c:v>
                </c:pt>
                <c:pt idx="67">
                  <c:v>6.7</c:v>
                </c:pt>
                <c:pt idx="68">
                  <c:v>6.8</c:v>
                </c:pt>
                <c:pt idx="69">
                  <c:v>6.9</c:v>
                </c:pt>
                <c:pt idx="70">
                  <c:v>7</c:v>
                </c:pt>
                <c:pt idx="71">
                  <c:v>7.1</c:v>
                </c:pt>
                <c:pt idx="72">
                  <c:v>7.2</c:v>
                </c:pt>
                <c:pt idx="73">
                  <c:v>7.3</c:v>
                </c:pt>
                <c:pt idx="74">
                  <c:v>7.4</c:v>
                </c:pt>
                <c:pt idx="75">
                  <c:v>7.5</c:v>
                </c:pt>
                <c:pt idx="76">
                  <c:v>7.6</c:v>
                </c:pt>
                <c:pt idx="77">
                  <c:v>7.7</c:v>
                </c:pt>
                <c:pt idx="78">
                  <c:v>7.8</c:v>
                </c:pt>
                <c:pt idx="79">
                  <c:v>7.9</c:v>
                </c:pt>
                <c:pt idx="80">
                  <c:v>8</c:v>
                </c:pt>
                <c:pt idx="81">
                  <c:v>8.1</c:v>
                </c:pt>
                <c:pt idx="82">
                  <c:v>8.1999999999999993</c:v>
                </c:pt>
                <c:pt idx="83">
                  <c:v>8.3000000000000007</c:v>
                </c:pt>
                <c:pt idx="84">
                  <c:v>8.4</c:v>
                </c:pt>
                <c:pt idx="85">
                  <c:v>8.5</c:v>
                </c:pt>
                <c:pt idx="86">
                  <c:v>8.6</c:v>
                </c:pt>
                <c:pt idx="87">
                  <c:v>8.6999999999999993</c:v>
                </c:pt>
                <c:pt idx="88">
                  <c:v>8.8000000000000007</c:v>
                </c:pt>
                <c:pt idx="89">
                  <c:v>8.9</c:v>
                </c:pt>
                <c:pt idx="90">
                  <c:v>9</c:v>
                </c:pt>
                <c:pt idx="91">
                  <c:v>9.1</c:v>
                </c:pt>
                <c:pt idx="92">
                  <c:v>9.1999999999999993</c:v>
                </c:pt>
                <c:pt idx="93">
                  <c:v>9.3000000000000007</c:v>
                </c:pt>
                <c:pt idx="94">
                  <c:v>9.4</c:v>
                </c:pt>
                <c:pt idx="95">
                  <c:v>9.5</c:v>
                </c:pt>
                <c:pt idx="96">
                  <c:v>9.6</c:v>
                </c:pt>
                <c:pt idx="97">
                  <c:v>9.6999999999999993</c:v>
                </c:pt>
                <c:pt idx="98">
                  <c:v>9.8000000000000007</c:v>
                </c:pt>
                <c:pt idx="99">
                  <c:v>9.9</c:v>
                </c:pt>
                <c:pt idx="100">
                  <c:v>10</c:v>
                </c:pt>
                <c:pt idx="101">
                  <c:v>10.1</c:v>
                </c:pt>
                <c:pt idx="102">
                  <c:v>10.199999999999999</c:v>
                </c:pt>
                <c:pt idx="103">
                  <c:v>10.3</c:v>
                </c:pt>
                <c:pt idx="104">
                  <c:v>10.4</c:v>
                </c:pt>
                <c:pt idx="105">
                  <c:v>10.5</c:v>
                </c:pt>
                <c:pt idx="106">
                  <c:v>10.6</c:v>
                </c:pt>
                <c:pt idx="107">
                  <c:v>10.7</c:v>
                </c:pt>
                <c:pt idx="108">
                  <c:v>10.8</c:v>
                </c:pt>
                <c:pt idx="109">
                  <c:v>10.9</c:v>
                </c:pt>
                <c:pt idx="110">
                  <c:v>11</c:v>
                </c:pt>
                <c:pt idx="111">
                  <c:v>11.1</c:v>
                </c:pt>
                <c:pt idx="112">
                  <c:v>11.2</c:v>
                </c:pt>
                <c:pt idx="113">
                  <c:v>11.3</c:v>
                </c:pt>
                <c:pt idx="114">
                  <c:v>11.4</c:v>
                </c:pt>
                <c:pt idx="115">
                  <c:v>11.5</c:v>
                </c:pt>
                <c:pt idx="116">
                  <c:v>11.6</c:v>
                </c:pt>
                <c:pt idx="117">
                  <c:v>11.7</c:v>
                </c:pt>
                <c:pt idx="118">
                  <c:v>11.8</c:v>
                </c:pt>
                <c:pt idx="119">
                  <c:v>11.9</c:v>
                </c:pt>
                <c:pt idx="120">
                  <c:v>12</c:v>
                </c:pt>
                <c:pt idx="121">
                  <c:v>12.1</c:v>
                </c:pt>
                <c:pt idx="122">
                  <c:v>12.2</c:v>
                </c:pt>
                <c:pt idx="123">
                  <c:v>12.3</c:v>
                </c:pt>
                <c:pt idx="124">
                  <c:v>12.4</c:v>
                </c:pt>
                <c:pt idx="125">
                  <c:v>12.5</c:v>
                </c:pt>
                <c:pt idx="126">
                  <c:v>12.6</c:v>
                </c:pt>
                <c:pt idx="127">
                  <c:v>12.7</c:v>
                </c:pt>
                <c:pt idx="128">
                  <c:v>12.8</c:v>
                </c:pt>
                <c:pt idx="129">
                  <c:v>12.9</c:v>
                </c:pt>
                <c:pt idx="130">
                  <c:v>13</c:v>
                </c:pt>
                <c:pt idx="131">
                  <c:v>13.1</c:v>
                </c:pt>
                <c:pt idx="132">
                  <c:v>13.2</c:v>
                </c:pt>
                <c:pt idx="133">
                  <c:v>13.3</c:v>
                </c:pt>
                <c:pt idx="134">
                  <c:v>13.4</c:v>
                </c:pt>
                <c:pt idx="135">
                  <c:v>13.5</c:v>
                </c:pt>
                <c:pt idx="136">
                  <c:v>13.6</c:v>
                </c:pt>
                <c:pt idx="137">
                  <c:v>13.7</c:v>
                </c:pt>
                <c:pt idx="138">
                  <c:v>13.8</c:v>
                </c:pt>
                <c:pt idx="139">
                  <c:v>13.9</c:v>
                </c:pt>
                <c:pt idx="140">
                  <c:v>14</c:v>
                </c:pt>
                <c:pt idx="141">
                  <c:v>14.1</c:v>
                </c:pt>
                <c:pt idx="142">
                  <c:v>14.2</c:v>
                </c:pt>
                <c:pt idx="143">
                  <c:v>14.3</c:v>
                </c:pt>
                <c:pt idx="144">
                  <c:v>14.4</c:v>
                </c:pt>
                <c:pt idx="145">
                  <c:v>14.5</c:v>
                </c:pt>
                <c:pt idx="146">
                  <c:v>14.6</c:v>
                </c:pt>
                <c:pt idx="147">
                  <c:v>14.7</c:v>
                </c:pt>
                <c:pt idx="148">
                  <c:v>14.8</c:v>
                </c:pt>
                <c:pt idx="149">
                  <c:v>14.9</c:v>
                </c:pt>
                <c:pt idx="150">
                  <c:v>15</c:v>
                </c:pt>
                <c:pt idx="151">
                  <c:v>15.1</c:v>
                </c:pt>
                <c:pt idx="152">
                  <c:v>15.2</c:v>
                </c:pt>
                <c:pt idx="153">
                  <c:v>15.3</c:v>
                </c:pt>
                <c:pt idx="154">
                  <c:v>15.4</c:v>
                </c:pt>
                <c:pt idx="155">
                  <c:v>15.5</c:v>
                </c:pt>
                <c:pt idx="156">
                  <c:v>15.6</c:v>
                </c:pt>
                <c:pt idx="157">
                  <c:v>15.7</c:v>
                </c:pt>
                <c:pt idx="158">
                  <c:v>15.8</c:v>
                </c:pt>
                <c:pt idx="159">
                  <c:v>15.9</c:v>
                </c:pt>
                <c:pt idx="160">
                  <c:v>16</c:v>
                </c:pt>
                <c:pt idx="161">
                  <c:v>16.100000000000001</c:v>
                </c:pt>
                <c:pt idx="162">
                  <c:v>16.2</c:v>
                </c:pt>
                <c:pt idx="163">
                  <c:v>16.3</c:v>
                </c:pt>
                <c:pt idx="164">
                  <c:v>16.399999999999999</c:v>
                </c:pt>
                <c:pt idx="165">
                  <c:v>16.5</c:v>
                </c:pt>
                <c:pt idx="166">
                  <c:v>16.600000000000001</c:v>
                </c:pt>
                <c:pt idx="167">
                  <c:v>16.7</c:v>
                </c:pt>
                <c:pt idx="168">
                  <c:v>16.8</c:v>
                </c:pt>
                <c:pt idx="169">
                  <c:v>16.899999999999999</c:v>
                </c:pt>
                <c:pt idx="170">
                  <c:v>17</c:v>
                </c:pt>
                <c:pt idx="171">
                  <c:v>17.100000000000001</c:v>
                </c:pt>
                <c:pt idx="172">
                  <c:v>17.2</c:v>
                </c:pt>
                <c:pt idx="173">
                  <c:v>17.3</c:v>
                </c:pt>
                <c:pt idx="174">
                  <c:v>17.399999999999999</c:v>
                </c:pt>
                <c:pt idx="175">
                  <c:v>17.5</c:v>
                </c:pt>
                <c:pt idx="176">
                  <c:v>17.600000000000001</c:v>
                </c:pt>
                <c:pt idx="177">
                  <c:v>17.7</c:v>
                </c:pt>
                <c:pt idx="178">
                  <c:v>17.8</c:v>
                </c:pt>
                <c:pt idx="179">
                  <c:v>17.899999999999999</c:v>
                </c:pt>
                <c:pt idx="180">
                  <c:v>18</c:v>
                </c:pt>
                <c:pt idx="181">
                  <c:v>18.100000000000001</c:v>
                </c:pt>
                <c:pt idx="182">
                  <c:v>18.2</c:v>
                </c:pt>
                <c:pt idx="183">
                  <c:v>18.3</c:v>
                </c:pt>
                <c:pt idx="184">
                  <c:v>18.399999999999999</c:v>
                </c:pt>
                <c:pt idx="185">
                  <c:v>18.5</c:v>
                </c:pt>
                <c:pt idx="186">
                  <c:v>18.600000000000001</c:v>
                </c:pt>
                <c:pt idx="187">
                  <c:v>18.7</c:v>
                </c:pt>
                <c:pt idx="188">
                  <c:v>18.8</c:v>
                </c:pt>
                <c:pt idx="189">
                  <c:v>18.899999999999999</c:v>
                </c:pt>
                <c:pt idx="190">
                  <c:v>19</c:v>
                </c:pt>
                <c:pt idx="191">
                  <c:v>19.100000000000001</c:v>
                </c:pt>
                <c:pt idx="192">
                  <c:v>19.2</c:v>
                </c:pt>
                <c:pt idx="193">
                  <c:v>19.3</c:v>
                </c:pt>
                <c:pt idx="194">
                  <c:v>19.399999999999999</c:v>
                </c:pt>
                <c:pt idx="195">
                  <c:v>19.5</c:v>
                </c:pt>
                <c:pt idx="196">
                  <c:v>19.600000000000001</c:v>
                </c:pt>
                <c:pt idx="197">
                  <c:v>19.7</c:v>
                </c:pt>
                <c:pt idx="198">
                  <c:v>19.8</c:v>
                </c:pt>
                <c:pt idx="199">
                  <c:v>19.899999999999999</c:v>
                </c:pt>
                <c:pt idx="200">
                  <c:v>20</c:v>
                </c:pt>
                <c:pt idx="201">
                  <c:v>20.100000000000001</c:v>
                </c:pt>
                <c:pt idx="202">
                  <c:v>20.2</c:v>
                </c:pt>
                <c:pt idx="203">
                  <c:v>20.3</c:v>
                </c:pt>
                <c:pt idx="204">
                  <c:v>20.399999999999999</c:v>
                </c:pt>
                <c:pt idx="205">
                  <c:v>20.5</c:v>
                </c:pt>
                <c:pt idx="206">
                  <c:v>20.6</c:v>
                </c:pt>
                <c:pt idx="207">
                  <c:v>20.7</c:v>
                </c:pt>
                <c:pt idx="208">
                  <c:v>20.8</c:v>
                </c:pt>
                <c:pt idx="209">
                  <c:v>20.9</c:v>
                </c:pt>
                <c:pt idx="210">
                  <c:v>21</c:v>
                </c:pt>
                <c:pt idx="211">
                  <c:v>21.1</c:v>
                </c:pt>
                <c:pt idx="212">
                  <c:v>21.2</c:v>
                </c:pt>
                <c:pt idx="213">
                  <c:v>21.3</c:v>
                </c:pt>
                <c:pt idx="214">
                  <c:v>21.4</c:v>
                </c:pt>
                <c:pt idx="215">
                  <c:v>21.5</c:v>
                </c:pt>
                <c:pt idx="216">
                  <c:v>21.6</c:v>
                </c:pt>
                <c:pt idx="217">
                  <c:v>21.7</c:v>
                </c:pt>
                <c:pt idx="218">
                  <c:v>21.8</c:v>
                </c:pt>
                <c:pt idx="219">
                  <c:v>21.9</c:v>
                </c:pt>
                <c:pt idx="220">
                  <c:v>22</c:v>
                </c:pt>
                <c:pt idx="221">
                  <c:v>22.1</c:v>
                </c:pt>
                <c:pt idx="222">
                  <c:v>22.2</c:v>
                </c:pt>
                <c:pt idx="223">
                  <c:v>22.3</c:v>
                </c:pt>
                <c:pt idx="224">
                  <c:v>22.4</c:v>
                </c:pt>
                <c:pt idx="225">
                  <c:v>22.5</c:v>
                </c:pt>
                <c:pt idx="226">
                  <c:v>22.6</c:v>
                </c:pt>
                <c:pt idx="227">
                  <c:v>22.7</c:v>
                </c:pt>
                <c:pt idx="228">
                  <c:v>22.8</c:v>
                </c:pt>
                <c:pt idx="229">
                  <c:v>22.9</c:v>
                </c:pt>
                <c:pt idx="230">
                  <c:v>23</c:v>
                </c:pt>
                <c:pt idx="231">
                  <c:v>23.1</c:v>
                </c:pt>
                <c:pt idx="232">
                  <c:v>23.2</c:v>
                </c:pt>
                <c:pt idx="233">
                  <c:v>23.3</c:v>
                </c:pt>
                <c:pt idx="234">
                  <c:v>23.4</c:v>
                </c:pt>
                <c:pt idx="235">
                  <c:v>23.5</c:v>
                </c:pt>
                <c:pt idx="236">
                  <c:v>23.6</c:v>
                </c:pt>
                <c:pt idx="237">
                  <c:v>23.7</c:v>
                </c:pt>
                <c:pt idx="238">
                  <c:v>23.8</c:v>
                </c:pt>
                <c:pt idx="239">
                  <c:v>23.9</c:v>
                </c:pt>
                <c:pt idx="240">
                  <c:v>24</c:v>
                </c:pt>
              </c:numCache>
            </c:numRef>
          </c:cat>
          <c:val>
            <c:numRef>
              <c:f>'30-11-2021'!$AR$2:$AR$242</c:f>
              <c:numCache>
                <c:formatCode>General</c:formatCode>
                <c:ptCount val="241"/>
                <c:pt idx="9" formatCode="0.00">
                  <c:v>0</c:v>
                </c:pt>
                <c:pt idx="10" formatCode="0.000">
                  <c:v>1.9372906666666669E-2</c:v>
                </c:pt>
                <c:pt idx="11" formatCode="0.000">
                  <c:v>7.8479819999999992E-2</c:v>
                </c:pt>
                <c:pt idx="12" formatCode="0.000">
                  <c:v>0.25577566666666662</c:v>
                </c:pt>
                <c:pt idx="13" formatCode="0.000">
                  <c:v>0.63531249999999995</c:v>
                </c:pt>
                <c:pt idx="14" formatCode="0.000">
                  <c:v>1.2317083333333334</c:v>
                </c:pt>
                <c:pt idx="15" formatCode="0.000">
                  <c:v>1.9321000000000004</c:v>
                </c:pt>
                <c:pt idx="16" formatCode="0.000">
                  <c:v>3.2117849999999999</c:v>
                </c:pt>
                <c:pt idx="17" formatCode="0.000">
                  <c:v>4.582122</c:v>
                </c:pt>
                <c:pt idx="18" formatCode="0.000">
                  <c:v>4.5202999999999998</c:v>
                </c:pt>
                <c:pt idx="19" formatCode="0.000">
                  <c:v>5.1671620000000003</c:v>
                </c:pt>
                <c:pt idx="20" formatCode="0.000">
                  <c:v>5.9366800000000008</c:v>
                </c:pt>
                <c:pt idx="21" formatCode="0.000">
                  <c:v>5.5704996666666666</c:v>
                </c:pt>
                <c:pt idx="22" formatCode="0.000">
                  <c:v>5.4776533333333335</c:v>
                </c:pt>
                <c:pt idx="23" formatCode="0.000">
                  <c:v>5.0729999999999995</c:v>
                </c:pt>
                <c:pt idx="24" formatCode="0.000">
                  <c:v>5.3624786666666671</c:v>
                </c:pt>
                <c:pt idx="25" formatCode="0.000">
                  <c:v>6.3889925000000005</c:v>
                </c:pt>
                <c:pt idx="26" formatCode="0.000">
                  <c:v>6.9048016666666676</c:v>
                </c:pt>
                <c:pt idx="27" formatCode="0.000">
                  <c:v>7.698926000000001</c:v>
                </c:pt>
                <c:pt idx="28" formatCode="0.000">
                  <c:v>7.7677680000000011</c:v>
                </c:pt>
                <c:pt idx="29" formatCode="0.000">
                  <c:v>10.224458333333333</c:v>
                </c:pt>
                <c:pt idx="30" formatCode="0.000">
                  <c:v>9.3622399999999999</c:v>
                </c:pt>
                <c:pt idx="31" formatCode="0.000">
                  <c:v>10.802026666666666</c:v>
                </c:pt>
                <c:pt idx="32" formatCode="0.000">
                  <c:v>10.233713333333334</c:v>
                </c:pt>
                <c:pt idx="33" formatCode="0.000">
                  <c:v>7.6885249999999994</c:v>
                </c:pt>
                <c:pt idx="34" formatCode="0.000">
                  <c:v>14.7682</c:v>
                </c:pt>
                <c:pt idx="35" formatCode="0.000">
                  <c:v>14.627561666666667</c:v>
                </c:pt>
                <c:pt idx="36" formatCode="0.000">
                  <c:v>14.587568333333335</c:v>
                </c:pt>
                <c:pt idx="37" formatCode="0.000">
                  <c:v>13.708310000000001</c:v>
                </c:pt>
                <c:pt idx="38" formatCode="0.000">
                  <c:v>14.927849999999999</c:v>
                </c:pt>
                <c:pt idx="39" formatCode="0.000">
                  <c:v>13.379135000000002</c:v>
                </c:pt>
                <c:pt idx="40" formatCode="0.000">
                  <c:v>13.932135000000001</c:v>
                </c:pt>
                <c:pt idx="41" formatCode="0.000">
                  <c:v>13.098783333333333</c:v>
                </c:pt>
                <c:pt idx="42" formatCode="0.000">
                  <c:v>12.296000000000001</c:v>
                </c:pt>
                <c:pt idx="43" formatCode="0.000">
                  <c:v>10.923546666666667</c:v>
                </c:pt>
                <c:pt idx="44" formatCode="0.000">
                  <c:v>11.535629999999999</c:v>
                </c:pt>
                <c:pt idx="45" formatCode="0.000">
                  <c:v>11.546860000000002</c:v>
                </c:pt>
                <c:pt idx="46" formatCode="0.000">
                  <c:v>11.197166666666668</c:v>
                </c:pt>
                <c:pt idx="47" formatCode="0.000">
                  <c:v>1.3593766666666667</c:v>
                </c:pt>
                <c:pt idx="48" formatCode="0.000">
                  <c:v>2.0936573333333333</c:v>
                </c:pt>
                <c:pt idx="49" formatCode="0.000">
                  <c:v>1.9901658333333334</c:v>
                </c:pt>
                <c:pt idx="50" formatCode="0.000">
                  <c:v>1.8885239999999999</c:v>
                </c:pt>
                <c:pt idx="51" formatCode="0.000">
                  <c:v>2.3384299999999998</c:v>
                </c:pt>
                <c:pt idx="52" formatCode="0.000">
                  <c:v>2.414679333333333</c:v>
                </c:pt>
                <c:pt idx="53" formatCode="0.000">
                  <c:v>4.6275659999999998</c:v>
                </c:pt>
                <c:pt idx="54" formatCode="0.000">
                  <c:v>12.822131666666666</c:v>
                </c:pt>
                <c:pt idx="55" formatCode="0.000">
                  <c:v>13.866839999999998</c:v>
                </c:pt>
                <c:pt idx="56" formatCode="0.000">
                  <c:v>14.111720000000002</c:v>
                </c:pt>
                <c:pt idx="57" formatCode="0.000">
                  <c:v>12.722686666666664</c:v>
                </c:pt>
                <c:pt idx="58" formatCode="0.000">
                  <c:v>14.747016666666665</c:v>
                </c:pt>
                <c:pt idx="59" formatCode="0.000">
                  <c:v>14.165246666666665</c:v>
                </c:pt>
                <c:pt idx="60" formatCode="0.000">
                  <c:v>13.881420000000002</c:v>
                </c:pt>
                <c:pt idx="61" formatCode="0.000">
                  <c:v>14.375013333333333</c:v>
                </c:pt>
                <c:pt idx="62" formatCode="0.000">
                  <c:v>14.320331666666668</c:v>
                </c:pt>
                <c:pt idx="63" formatCode="0.000">
                  <c:v>13.956675000000002</c:v>
                </c:pt>
                <c:pt idx="64" formatCode="0.000">
                  <c:v>14.490035000000001</c:v>
                </c:pt>
                <c:pt idx="65" formatCode="0.000">
                  <c:v>14.465184999999998</c:v>
                </c:pt>
                <c:pt idx="66" formatCode="0.000">
                  <c:v>14.273443333333335</c:v>
                </c:pt>
                <c:pt idx="67" formatCode="0.000">
                  <c:v>15.230600000000001</c:v>
                </c:pt>
                <c:pt idx="68" formatCode="0.000">
                  <c:v>13.281123333333333</c:v>
                </c:pt>
                <c:pt idx="69" formatCode="0.000">
                  <c:v>14.114826666666664</c:v>
                </c:pt>
                <c:pt idx="70" formatCode="0.000">
                  <c:v>14.270178333333336</c:v>
                </c:pt>
                <c:pt idx="71" formatCode="0.000">
                  <c:v>15.063416666666669</c:v>
                </c:pt>
                <c:pt idx="72" formatCode="0.000">
                  <c:v>16.055264999999999</c:v>
                </c:pt>
                <c:pt idx="73" formatCode="0.000">
                  <c:v>16.182186666666666</c:v>
                </c:pt>
                <c:pt idx="74" formatCode="0.000">
                  <c:v>15.953504999999998</c:v>
                </c:pt>
                <c:pt idx="75" formatCode="0.000">
                  <c:v>15.959399999999999</c:v>
                </c:pt>
                <c:pt idx="76" formatCode="0.000">
                  <c:v>15.849119999999999</c:v>
                </c:pt>
                <c:pt idx="77" formatCode="0.000">
                  <c:v>15.639086666666666</c:v>
                </c:pt>
                <c:pt idx="78" formatCode="0.000">
                  <c:v>15.921186666666665</c:v>
                </c:pt>
                <c:pt idx="79" formatCode="0.000">
                  <c:v>16.395005000000001</c:v>
                </c:pt>
                <c:pt idx="80" formatCode="0.000">
                  <c:v>15.33015</c:v>
                </c:pt>
                <c:pt idx="81" formatCode="0.000">
                  <c:v>16.149560000000001</c:v>
                </c:pt>
                <c:pt idx="82" formatCode="0.000">
                  <c:v>15.797976666666667</c:v>
                </c:pt>
                <c:pt idx="83" formatCode="0.000">
                  <c:v>17.577940000000002</c:v>
                </c:pt>
                <c:pt idx="84" formatCode="0.000">
                  <c:v>14.527508333333332</c:v>
                </c:pt>
                <c:pt idx="85" formatCode="0.000">
                  <c:v>15.685173333333331</c:v>
                </c:pt>
                <c:pt idx="86" formatCode="0.000">
                  <c:v>17.065799999999999</c:v>
                </c:pt>
                <c:pt idx="87" formatCode="0.000">
                  <c:v>16.883019999999998</c:v>
                </c:pt>
                <c:pt idx="88" formatCode="0.000">
                  <c:v>17.087850000000003</c:v>
                </c:pt>
                <c:pt idx="89" formatCode="0.000">
                  <c:v>17.622540000000001</c:v>
                </c:pt>
                <c:pt idx="90" formatCode="0.000">
                  <c:v>15.865633333333331</c:v>
                </c:pt>
                <c:pt idx="91" formatCode="0.000">
                  <c:v>17.956894999999999</c:v>
                </c:pt>
                <c:pt idx="92" formatCode="0.000">
                  <c:v>16.401366666666664</c:v>
                </c:pt>
                <c:pt idx="93" formatCode="0.000">
                  <c:v>17.721806666666669</c:v>
                </c:pt>
                <c:pt idx="94" formatCode="0.000">
                  <c:v>18.020091666666666</c:v>
                </c:pt>
                <c:pt idx="95" formatCode="0.000">
                  <c:v>17.646473333333333</c:v>
                </c:pt>
                <c:pt idx="96" formatCode="0.000">
                  <c:v>18.798155000000001</c:v>
                </c:pt>
                <c:pt idx="97" formatCode="0.000">
                  <c:v>17.150188333333332</c:v>
                </c:pt>
                <c:pt idx="98" formatCode="0.000">
                  <c:v>16.73774666666667</c:v>
                </c:pt>
                <c:pt idx="99" formatCode="0.000">
                  <c:v>16.659279999999999</c:v>
                </c:pt>
                <c:pt idx="100" formatCode="0.000">
                  <c:v>16.878306666666667</c:v>
                </c:pt>
                <c:pt idx="101" formatCode="0.000">
                  <c:v>16.870664999999999</c:v>
                </c:pt>
                <c:pt idx="102" formatCode="0.000">
                  <c:v>16.479385000000001</c:v>
                </c:pt>
                <c:pt idx="103" formatCode="0.000">
                  <c:v>14.323364999999997</c:v>
                </c:pt>
                <c:pt idx="104" formatCode="0.000">
                  <c:v>13.849470000000002</c:v>
                </c:pt>
                <c:pt idx="105" formatCode="0.000">
                  <c:v>13.74939</c:v>
                </c:pt>
                <c:pt idx="106" formatCode="0.000">
                  <c:v>12.68421</c:v>
                </c:pt>
                <c:pt idx="107" formatCode="0.000">
                  <c:v>11.538070000000001</c:v>
                </c:pt>
                <c:pt idx="108" formatCode="0.000">
                  <c:v>10.42611</c:v>
                </c:pt>
                <c:pt idx="109" formatCode="0.000">
                  <c:v>9.4393799999999999</c:v>
                </c:pt>
                <c:pt idx="110" formatCode="0.000">
                  <c:v>8.407706666666666</c:v>
                </c:pt>
                <c:pt idx="111" formatCode="0.000">
                  <c:v>7.6343666666666667</c:v>
                </c:pt>
                <c:pt idx="112" formatCode="0.000">
                  <c:v>7.0201766666666661</c:v>
                </c:pt>
                <c:pt idx="113" formatCode="0.000">
                  <c:v>6.3252916666666659</c:v>
                </c:pt>
                <c:pt idx="114" formatCode="0.000">
                  <c:v>5.5912749999999996</c:v>
                </c:pt>
                <c:pt idx="115" formatCode="0.000">
                  <c:v>4.947448333333333</c:v>
                </c:pt>
                <c:pt idx="116" formatCode="0.000">
                  <c:v>4.1466650000000005</c:v>
                </c:pt>
                <c:pt idx="117" formatCode="0.000">
                  <c:v>3.5505650000000006</c:v>
                </c:pt>
                <c:pt idx="118" formatCode="0.000">
                  <c:v>3.0304666666666669</c:v>
                </c:pt>
                <c:pt idx="119" formatCode="0.000">
                  <c:v>2.6010605</c:v>
                </c:pt>
                <c:pt idx="120" formatCode="0.000">
                  <c:v>2.3109839999999995</c:v>
                </c:pt>
                <c:pt idx="121" formatCode="0.000">
                  <c:v>1.8646116666666668</c:v>
                </c:pt>
                <c:pt idx="122" formatCode="0.000">
                  <c:v>1.6562398333333337</c:v>
                </c:pt>
                <c:pt idx="123" formatCode="0.000">
                  <c:v>1.3553835000000001</c:v>
                </c:pt>
                <c:pt idx="124" formatCode="0.000">
                  <c:v>1.2146228333333333</c:v>
                </c:pt>
                <c:pt idx="125" formatCode="0.000">
                  <c:v>1.0653965000000001</c:v>
                </c:pt>
                <c:pt idx="126" formatCode="0.000">
                  <c:v>1.0319026666666666</c:v>
                </c:pt>
                <c:pt idx="127" formatCode="0.000">
                  <c:v>0.84500600000000003</c:v>
                </c:pt>
                <c:pt idx="128" formatCode="0.000">
                  <c:v>0.69940300000000011</c:v>
                </c:pt>
                <c:pt idx="129" formatCode="0.000">
                  <c:v>0.58770800000000001</c:v>
                </c:pt>
                <c:pt idx="130" formatCode="0.000">
                  <c:v>0.55115200000000009</c:v>
                </c:pt>
                <c:pt idx="131" formatCode="0.000">
                  <c:v>0.44224400000000003</c:v>
                </c:pt>
                <c:pt idx="132" formatCode="0.000">
                  <c:v>0.44161700000000004</c:v>
                </c:pt>
                <c:pt idx="133" formatCode="0.000">
                  <c:v>0.40633333333333332</c:v>
                </c:pt>
                <c:pt idx="134" formatCode="0.000">
                  <c:v>0.3680141666666667</c:v>
                </c:pt>
                <c:pt idx="135" formatCode="0.000">
                  <c:v>0.33185933333333328</c:v>
                </c:pt>
                <c:pt idx="136" formatCode="0.000">
                  <c:v>0.29482933333333333</c:v>
                </c:pt>
                <c:pt idx="137" formatCode="0.000">
                  <c:v>0.25778600000000002</c:v>
                </c:pt>
                <c:pt idx="138" formatCode="0.000">
                  <c:v>0.14741466666666667</c:v>
                </c:pt>
                <c:pt idx="139" formatCode="0.000">
                  <c:v>0.146927</c:v>
                </c:pt>
                <c:pt idx="140" formatCode="0.000">
                  <c:v>3.7152499999999998E-2</c:v>
                </c:pt>
                <c:pt idx="141" formatCode="0.000">
                  <c:v>0</c:v>
                </c:pt>
                <c:pt idx="142" formatCode="0.000">
                  <c:v>3.7099999999999994E-2</c:v>
                </c:pt>
                <c:pt idx="143" formatCode="0.000">
                  <c:v>3.703E-2</c:v>
                </c:pt>
                <c:pt idx="144" formatCode="0.000">
                  <c:v>0</c:v>
                </c:pt>
                <c:pt idx="145" formatCode="0.000">
                  <c:v>3.703E-2</c:v>
                </c:pt>
                <c:pt idx="146" formatCode="0.000">
                  <c:v>0</c:v>
                </c:pt>
                <c:pt idx="147" formatCode="0.000">
                  <c:v>7.3846666666666672E-2</c:v>
                </c:pt>
                <c:pt idx="148" formatCode="0.000">
                  <c:v>0</c:v>
                </c:pt>
                <c:pt idx="149" formatCode="0.000">
                  <c:v>0</c:v>
                </c:pt>
                <c:pt idx="150" formatCode="0.000">
                  <c:v>0</c:v>
                </c:pt>
                <c:pt idx="151" formatCode="0.000">
                  <c:v>0</c:v>
                </c:pt>
                <c:pt idx="152" formatCode="0.000">
                  <c:v>0</c:v>
                </c:pt>
                <c:pt idx="153" formatCode="0.000">
                  <c:v>0</c:v>
                </c:pt>
                <c:pt idx="154" formatCode="0.000">
                  <c:v>3.7152499999999998E-2</c:v>
                </c:pt>
                <c:pt idx="155" formatCode="0.000">
                  <c:v>0</c:v>
                </c:pt>
                <c:pt idx="156" formatCode="0.000">
                  <c:v>0</c:v>
                </c:pt>
                <c:pt idx="157" formatCode="0.000">
                  <c:v>0</c:v>
                </c:pt>
                <c:pt idx="158" formatCode="0.000">
                  <c:v>0</c:v>
                </c:pt>
                <c:pt idx="159" formatCode="0.000">
                  <c:v>7.1059999999999998E-2</c:v>
                </c:pt>
                <c:pt idx="160" formatCode="0.000">
                  <c:v>0.59596349999999998</c:v>
                </c:pt>
                <c:pt idx="161" formatCode="0.000">
                  <c:v>0.84615416666666665</c:v>
                </c:pt>
                <c:pt idx="162" formatCode="0.000">
                  <c:v>0.83862000000000014</c:v>
                </c:pt>
                <c:pt idx="163" formatCode="0.000">
                  <c:v>0.78636249999999996</c:v>
                </c:pt>
                <c:pt idx="164" formatCode="0.000">
                  <c:v>0.79920000000000002</c:v>
                </c:pt>
                <c:pt idx="165" formatCode="0.000">
                  <c:v>0.86110033333333336</c:v>
                </c:pt>
                <c:pt idx="166" formatCode="0.000">
                  <c:v>0.91503616666666665</c:v>
                </c:pt>
                <c:pt idx="167" formatCode="0.000">
                  <c:v>1.0097115000000001</c:v>
                </c:pt>
                <c:pt idx="168" formatCode="0.000">
                  <c:v>1.0778110000000001</c:v>
                </c:pt>
                <c:pt idx="169" formatCode="0.000">
                  <c:v>1.1052929999999999</c:v>
                </c:pt>
                <c:pt idx="170" formatCode="0.000">
                  <c:v>1.1386946666666666</c:v>
                </c:pt>
                <c:pt idx="171" formatCode="0.000">
                  <c:v>1.3667886666666667</c:v>
                </c:pt>
                <c:pt idx="172" formatCode="0.000">
                  <c:v>1.2433798333333335</c:v>
                </c:pt>
                <c:pt idx="173" formatCode="0.000">
                  <c:v>1.3254855000000001</c:v>
                </c:pt>
                <c:pt idx="174" formatCode="0.000">
                  <c:v>1.3892450000000001</c:v>
                </c:pt>
                <c:pt idx="175" formatCode="0.000">
                  <c:v>1.5075311666666666</c:v>
                </c:pt>
                <c:pt idx="176" formatCode="0.000">
                  <c:v>1.5711200000000001</c:v>
                </c:pt>
                <c:pt idx="177" formatCode="0.000">
                  <c:v>1.6252681666666664</c:v>
                </c:pt>
                <c:pt idx="178" formatCode="0.000">
                  <c:v>1.6853733333333334</c:v>
                </c:pt>
                <c:pt idx="179" formatCode="0.000">
                  <c:v>1.6822903333333332</c:v>
                </c:pt>
                <c:pt idx="180" formatCode="0.000">
                  <c:v>1.7963346666666662</c:v>
                </c:pt>
                <c:pt idx="181" formatCode="0.000">
                  <c:v>1.7919453333333335</c:v>
                </c:pt>
                <c:pt idx="182" formatCode="0.000">
                  <c:v>1.7919453333333335</c:v>
                </c:pt>
                <c:pt idx="183" formatCode="0.000">
                  <c:v>1.8739566666666667</c:v>
                </c:pt>
                <c:pt idx="184" formatCode="0.000">
                  <c:v>1.9024816666666666</c:v>
                </c:pt>
                <c:pt idx="185" formatCode="0.000">
                  <c:v>1.9307350000000001</c:v>
                </c:pt>
                <c:pt idx="186" formatCode="0.000">
                  <c:v>1.9789779999999999</c:v>
                </c:pt>
                <c:pt idx="187" formatCode="0.000">
                  <c:v>1.9508460000000003</c:v>
                </c:pt>
                <c:pt idx="188" formatCode="0.000">
                  <c:v>2.0588283333333335</c:v>
                </c:pt>
                <c:pt idx="189" formatCode="0.000">
                  <c:v>2.1432861666666669</c:v>
                </c:pt>
                <c:pt idx="190" formatCode="0.000">
                  <c:v>2.1716186666666668</c:v>
                </c:pt>
                <c:pt idx="191" formatCode="0.000">
                  <c:v>2.1901706666666665</c:v>
                </c:pt>
                <c:pt idx="192" formatCode="0.000">
                  <c:v>2.2280138333333332</c:v>
                </c:pt>
                <c:pt idx="193" formatCode="0.000">
                  <c:v>2.2142521666666668</c:v>
                </c:pt>
                <c:pt idx="194" formatCode="0.000">
                  <c:v>2.3408041666666666</c:v>
                </c:pt>
                <c:pt idx="195" formatCode="0.000">
                  <c:v>2.280176</c:v>
                </c:pt>
                <c:pt idx="196" formatCode="0.000">
                  <c:v>2.3324683333333338</c:v>
                </c:pt>
                <c:pt idx="197" formatCode="0.000">
                  <c:v>2.3408041666666666</c:v>
                </c:pt>
                <c:pt idx="198" formatCode="0.000">
                  <c:v>2.3711666666666669</c:v>
                </c:pt>
                <c:pt idx="199" formatCode="0.000">
                  <c:v>2.3509250000000002</c:v>
                </c:pt>
                <c:pt idx="200" formatCode="0.000">
                  <c:v>2.3711666666666669</c:v>
                </c:pt>
                <c:pt idx="201" formatCode="0.000">
                  <c:v>2.4748115000000004</c:v>
                </c:pt>
                <c:pt idx="202" formatCode="0.000">
                  <c:v>2.48542</c:v>
                </c:pt>
                <c:pt idx="203" formatCode="0.000">
                  <c:v>2.559600333333333</c:v>
                </c:pt>
                <c:pt idx="204" formatCode="0.000">
                  <c:v>2.5487480000000002</c:v>
                </c:pt>
                <c:pt idx="205" formatCode="0.000">
                  <c:v>2.3971916666666671</c:v>
                </c:pt>
                <c:pt idx="206" formatCode="0.000">
                  <c:v>2.1998106666666666</c:v>
                </c:pt>
                <c:pt idx="207" formatCode="0.000">
                  <c:v>1.8437249999999998</c:v>
                </c:pt>
                <c:pt idx="208" formatCode="0.000">
                  <c:v>1.9177839999999999</c:v>
                </c:pt>
                <c:pt idx="209" formatCode="0.000">
                  <c:v>2.0925333333333334</c:v>
                </c:pt>
                <c:pt idx="210" formatCode="0.000">
                  <c:v>2.2512639999999999</c:v>
                </c:pt>
                <c:pt idx="211" formatCode="0.000">
                  <c:v>2.4459083333333336</c:v>
                </c:pt>
                <c:pt idx="212" formatCode="0.000">
                  <c:v>2.5505419999999996</c:v>
                </c:pt>
                <c:pt idx="213" formatCode="0.000">
                  <c:v>2.8160681666666667</c:v>
                </c:pt>
                <c:pt idx="214" formatCode="0.000">
                  <c:v>0.78890833333333332</c:v>
                </c:pt>
                <c:pt idx="215" formatCode="0.000">
                  <c:v>0.40429833333333332</c:v>
                </c:pt>
                <c:pt idx="216" formatCode="0.000">
                  <c:v>0.69672058333333342</c:v>
                </c:pt>
                <c:pt idx="217" formatCode="0.000">
                  <c:v>0.97294716666666681</c:v>
                </c:pt>
                <c:pt idx="218" formatCode="0.000">
                  <c:v>1.0918450000000002</c:v>
                </c:pt>
                <c:pt idx="219" formatCode="0.000">
                  <c:v>1.2608874999999999</c:v>
                </c:pt>
                <c:pt idx="220" formatCode="0.000">
                  <c:v>1.295758</c:v>
                </c:pt>
                <c:pt idx="221" formatCode="0.000">
                  <c:v>1.9104075</c:v>
                </c:pt>
                <c:pt idx="222" formatCode="0.000">
                  <c:v>3.7833186666666667</c:v>
                </c:pt>
                <c:pt idx="223" formatCode="0.000">
                  <c:v>6.6236550000000003</c:v>
                </c:pt>
                <c:pt idx="224" formatCode="0.000">
                  <c:v>0.80251659999999991</c:v>
                </c:pt>
                <c:pt idx="225" formatCode="0.000">
                  <c:v>7.1197733333333346E-2</c:v>
                </c:pt>
                <c:pt idx="226" formatCode="0.000">
                  <c:v>2.772733333333333E-2</c:v>
                </c:pt>
                <c:pt idx="227" formatCode="0.000">
                  <c:v>1.356425E-2</c:v>
                </c:pt>
                <c:pt idx="228" formatCode="0.000">
                  <c:v>1.3259749999999999E-2</c:v>
                </c:pt>
                <c:pt idx="229" formatCode="0.000">
                  <c:v>1.2957000000000002E-2</c:v>
                </c:pt>
                <c:pt idx="230" formatCode="0.000">
                  <c:v>1.2652499999999999E-2</c:v>
                </c:pt>
                <c:pt idx="231" formatCode="0.000">
                  <c:v>1.2409249999999998E-2</c:v>
                </c:pt>
                <c:pt idx="232" formatCode="0.000">
                  <c:v>0</c:v>
                </c:pt>
                <c:pt idx="233" formatCode="0.000">
                  <c:v>0</c:v>
                </c:pt>
                <c:pt idx="234" formatCode="0.000">
                  <c:v>0</c:v>
                </c:pt>
                <c:pt idx="235" formatCode="0.000">
                  <c:v>0</c:v>
                </c:pt>
                <c:pt idx="236" formatCode="0.000">
                  <c:v>0</c:v>
                </c:pt>
                <c:pt idx="237" formatCode="0.000">
                  <c:v>0</c:v>
                </c:pt>
                <c:pt idx="238" formatCode="0.000">
                  <c:v>0</c:v>
                </c:pt>
                <c:pt idx="239" formatCode="0.000">
                  <c:v>0</c:v>
                </c:pt>
                <c:pt idx="240" formatCode="0.000">
                  <c:v>0</c:v>
                </c:pt>
              </c:numCache>
            </c:numRef>
          </c:val>
          <c:smooth val="0"/>
          <c:extLst>
            <c:ext xmlns:c16="http://schemas.microsoft.com/office/drawing/2014/chart" uri="{C3380CC4-5D6E-409C-BE32-E72D297353CC}">
              <c16:uniqueId val="{00000000-9E4C-46EE-8349-AB9654A1C0B5}"/>
            </c:ext>
          </c:extLst>
        </c:ser>
        <c:dLbls>
          <c:showLegendKey val="0"/>
          <c:showVal val="0"/>
          <c:showCatName val="0"/>
          <c:showSerName val="0"/>
          <c:showPercent val="0"/>
          <c:showBubbleSize val="0"/>
        </c:dLbls>
        <c:smooth val="0"/>
        <c:axId val="563037935"/>
        <c:axId val="563039599"/>
      </c:lineChart>
      <c:catAx>
        <c:axId val="563037935"/>
        <c:scaling>
          <c:orientation val="minMax"/>
        </c:scaling>
        <c:delete val="0"/>
        <c:axPos val="b"/>
        <c:numFmt formatCode="0" sourceLinked="0"/>
        <c:majorTickMark val="out"/>
        <c:minorTickMark val="none"/>
        <c:tickLblPos val="nextTo"/>
        <c:spPr>
          <a:noFill/>
          <a:ln w="3175" cap="flat" cmpd="sng" algn="ctr">
            <a:solidFill>
              <a:schemeClr val="tx1"/>
            </a:solidFill>
            <a:round/>
          </a:ln>
          <a:effectLst/>
        </c:spPr>
        <c:txPr>
          <a:bodyPr rot="-5400000" spcFirstLastPara="1" vertOverflow="ellipsis"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563039599"/>
        <c:crosses val="autoZero"/>
        <c:auto val="1"/>
        <c:lblAlgn val="ctr"/>
        <c:lblOffset val="100"/>
        <c:tickLblSkip val="10"/>
        <c:tickMarkSkip val="10"/>
        <c:noMultiLvlLbl val="0"/>
      </c:catAx>
      <c:valAx>
        <c:axId val="563039599"/>
        <c:scaling>
          <c:orientation val="minMax"/>
        </c:scaling>
        <c:delete val="0"/>
        <c:axPos val="l"/>
        <c:numFmt formatCode="General" sourceLinked="1"/>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563037935"/>
        <c:crosses val="autoZero"/>
        <c:crossBetween val="between"/>
      </c:valAx>
      <c:spPr>
        <a:noFill/>
        <a:ln w="3175">
          <a:solidFill>
            <a:schemeClr val="tx1"/>
          </a:solidFill>
        </a:ln>
        <a:effectLst/>
      </c:spPr>
    </c:plotArea>
    <c:legend>
      <c:legendPos val="b"/>
      <c:layout>
        <c:manualLayout>
          <c:xMode val="edge"/>
          <c:yMode val="edge"/>
          <c:x val="0.63122635592784204"/>
          <c:y val="8.5355348001520753E-2"/>
          <c:w val="0.35221701474753347"/>
          <c:h val="0.15418456426185961"/>
        </c:manualLayout>
      </c:layout>
      <c:overlay val="1"/>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Garamond" panose="02020404030301010803" pitchFamily="18" charset="0"/>
        </a:defRPr>
      </a:pPr>
      <a:endParaRPr lang="sr-Latn-R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v>Hydraulic power 01.12.2021</c:v>
          </c:tx>
          <c:spPr>
            <a:ln w="3175" cap="rnd">
              <a:solidFill>
                <a:srgbClr val="0000FF"/>
              </a:solidFill>
              <a:round/>
            </a:ln>
            <a:effectLst/>
          </c:spPr>
          <c:marker>
            <c:symbol val="none"/>
          </c:marker>
          <c:cat>
            <c:numRef>
              <c:f>'12-12-2021b'!$A$2:$A$416</c:f>
              <c:numCache>
                <c:formatCode>0.00</c:formatCode>
                <c:ptCount val="415"/>
                <c:pt idx="0">
                  <c:v>0</c:v>
                </c:pt>
                <c:pt idx="1">
                  <c:v>5.5550000000000002E-2</c:v>
                </c:pt>
                <c:pt idx="2">
                  <c:v>0.1111</c:v>
                </c:pt>
                <c:pt idx="3">
                  <c:v>0.16664999999999999</c:v>
                </c:pt>
                <c:pt idx="4">
                  <c:v>0.22220000000000001</c:v>
                </c:pt>
                <c:pt idx="5">
                  <c:v>0.27775</c:v>
                </c:pt>
                <c:pt idx="6">
                  <c:v>0.33329999999999999</c:v>
                </c:pt>
                <c:pt idx="7">
                  <c:v>0.38884999999999997</c:v>
                </c:pt>
                <c:pt idx="8">
                  <c:v>0.44440000000000002</c:v>
                </c:pt>
                <c:pt idx="9">
                  <c:v>0.49995000000000001</c:v>
                </c:pt>
                <c:pt idx="10">
                  <c:v>0.55549999999999999</c:v>
                </c:pt>
                <c:pt idx="11">
                  <c:v>0.61104999999999998</c:v>
                </c:pt>
                <c:pt idx="12">
                  <c:v>0.66659999999999997</c:v>
                </c:pt>
                <c:pt idx="13">
                  <c:v>0.72214999999999996</c:v>
                </c:pt>
                <c:pt idx="14">
                  <c:v>0.77769999999999995</c:v>
                </c:pt>
                <c:pt idx="15">
                  <c:v>0.83325000000000005</c:v>
                </c:pt>
                <c:pt idx="16">
                  <c:v>0.88880000000000003</c:v>
                </c:pt>
                <c:pt idx="17">
                  <c:v>0.94435000000000002</c:v>
                </c:pt>
                <c:pt idx="18">
                  <c:v>0.99990000000000001</c:v>
                </c:pt>
                <c:pt idx="19">
                  <c:v>1.05545</c:v>
                </c:pt>
                <c:pt idx="20">
                  <c:v>1.111</c:v>
                </c:pt>
                <c:pt idx="21">
                  <c:v>1.16655</c:v>
                </c:pt>
                <c:pt idx="22">
                  <c:v>1.2221</c:v>
                </c:pt>
                <c:pt idx="23">
                  <c:v>1.27765</c:v>
                </c:pt>
                <c:pt idx="24">
                  <c:v>1.3331999999999999</c:v>
                </c:pt>
                <c:pt idx="25">
                  <c:v>1.3887499999999999</c:v>
                </c:pt>
                <c:pt idx="26">
                  <c:v>1.4442999999999999</c:v>
                </c:pt>
                <c:pt idx="27">
                  <c:v>1.4998499999999999</c:v>
                </c:pt>
                <c:pt idx="28">
                  <c:v>1.5553999999999999</c:v>
                </c:pt>
                <c:pt idx="29">
                  <c:v>1.6109500000000001</c:v>
                </c:pt>
                <c:pt idx="30">
                  <c:v>1.6665000000000001</c:v>
                </c:pt>
                <c:pt idx="31">
                  <c:v>1.7220500000000001</c:v>
                </c:pt>
                <c:pt idx="32">
                  <c:v>1.7776000000000001</c:v>
                </c:pt>
                <c:pt idx="33">
                  <c:v>1.8331500000000001</c:v>
                </c:pt>
                <c:pt idx="34">
                  <c:v>1.8887</c:v>
                </c:pt>
                <c:pt idx="35">
                  <c:v>1.94425</c:v>
                </c:pt>
                <c:pt idx="36">
                  <c:v>1.9998</c:v>
                </c:pt>
                <c:pt idx="37">
                  <c:v>2.0553499999999998</c:v>
                </c:pt>
                <c:pt idx="38">
                  <c:v>2.1109</c:v>
                </c:pt>
                <c:pt idx="39">
                  <c:v>2.1664500000000002</c:v>
                </c:pt>
                <c:pt idx="40">
                  <c:v>2.222</c:v>
                </c:pt>
                <c:pt idx="41">
                  <c:v>2.2775500000000002</c:v>
                </c:pt>
                <c:pt idx="42">
                  <c:v>2.3331</c:v>
                </c:pt>
                <c:pt idx="43">
                  <c:v>2.3886500000000002</c:v>
                </c:pt>
                <c:pt idx="44">
                  <c:v>2.4441999999999999</c:v>
                </c:pt>
                <c:pt idx="45">
                  <c:v>2.4997500000000001</c:v>
                </c:pt>
                <c:pt idx="46">
                  <c:v>2.5552999999999999</c:v>
                </c:pt>
                <c:pt idx="47">
                  <c:v>2.6108500000000001</c:v>
                </c:pt>
                <c:pt idx="48">
                  <c:v>2.6663999999999999</c:v>
                </c:pt>
                <c:pt idx="49">
                  <c:v>2.7219500000000001</c:v>
                </c:pt>
                <c:pt idx="50">
                  <c:v>2.7774999999999999</c:v>
                </c:pt>
                <c:pt idx="51">
                  <c:v>2.8330500000000001</c:v>
                </c:pt>
                <c:pt idx="52">
                  <c:v>2.8885999999999998</c:v>
                </c:pt>
                <c:pt idx="53">
                  <c:v>2.94415</c:v>
                </c:pt>
                <c:pt idx="54">
                  <c:v>2.9996999999999998</c:v>
                </c:pt>
                <c:pt idx="55">
                  <c:v>3.05525</c:v>
                </c:pt>
                <c:pt idx="56">
                  <c:v>3.1107999999999998</c:v>
                </c:pt>
                <c:pt idx="57">
                  <c:v>3.16635</c:v>
                </c:pt>
                <c:pt idx="58">
                  <c:v>3.2219000000000002</c:v>
                </c:pt>
                <c:pt idx="59">
                  <c:v>3.27745</c:v>
                </c:pt>
                <c:pt idx="60">
                  <c:v>3.3330000000000002</c:v>
                </c:pt>
                <c:pt idx="61">
                  <c:v>3.38855</c:v>
                </c:pt>
                <c:pt idx="62">
                  <c:v>3.4441000000000002</c:v>
                </c:pt>
                <c:pt idx="63">
                  <c:v>3.4996499999999999</c:v>
                </c:pt>
                <c:pt idx="64">
                  <c:v>3.5552000000000001</c:v>
                </c:pt>
                <c:pt idx="65">
                  <c:v>3.6107499999999999</c:v>
                </c:pt>
                <c:pt idx="66">
                  <c:v>3.6663000000000001</c:v>
                </c:pt>
                <c:pt idx="67">
                  <c:v>3.7218499999999999</c:v>
                </c:pt>
                <c:pt idx="68">
                  <c:v>3.7774000000000001</c:v>
                </c:pt>
                <c:pt idx="69">
                  <c:v>3.8329499999999999</c:v>
                </c:pt>
                <c:pt idx="70">
                  <c:v>3.8885000000000001</c:v>
                </c:pt>
                <c:pt idx="71">
                  <c:v>3.9440499999999998</c:v>
                </c:pt>
                <c:pt idx="72">
                  <c:v>3.9996</c:v>
                </c:pt>
                <c:pt idx="73">
                  <c:v>4.0551500000000003</c:v>
                </c:pt>
                <c:pt idx="74">
                  <c:v>4.1106999999999996</c:v>
                </c:pt>
                <c:pt idx="75">
                  <c:v>4.1662499999999998</c:v>
                </c:pt>
                <c:pt idx="76">
                  <c:v>4.2218</c:v>
                </c:pt>
                <c:pt idx="77">
                  <c:v>4.2773500000000002</c:v>
                </c:pt>
                <c:pt idx="78">
                  <c:v>4.3329000000000004</c:v>
                </c:pt>
                <c:pt idx="79">
                  <c:v>4.3884499999999997</c:v>
                </c:pt>
                <c:pt idx="80">
                  <c:v>4.444</c:v>
                </c:pt>
                <c:pt idx="81">
                  <c:v>4.4995500000000002</c:v>
                </c:pt>
                <c:pt idx="82">
                  <c:v>4.5551000000000004</c:v>
                </c:pt>
                <c:pt idx="83">
                  <c:v>4.6106499999999997</c:v>
                </c:pt>
                <c:pt idx="84">
                  <c:v>4.6661999999999999</c:v>
                </c:pt>
                <c:pt idx="85">
                  <c:v>4.7217500000000001</c:v>
                </c:pt>
                <c:pt idx="86">
                  <c:v>4.7773000000000003</c:v>
                </c:pt>
                <c:pt idx="87">
                  <c:v>4.8328499999999996</c:v>
                </c:pt>
                <c:pt idx="88">
                  <c:v>4.8883999999999999</c:v>
                </c:pt>
                <c:pt idx="89">
                  <c:v>4.9439500000000001</c:v>
                </c:pt>
                <c:pt idx="90">
                  <c:v>4.9995000000000003</c:v>
                </c:pt>
                <c:pt idx="91">
                  <c:v>5.0550499999999996</c:v>
                </c:pt>
                <c:pt idx="92">
                  <c:v>5.1105999999999998</c:v>
                </c:pt>
                <c:pt idx="93">
                  <c:v>5.16615</c:v>
                </c:pt>
                <c:pt idx="94">
                  <c:v>5.2217000000000002</c:v>
                </c:pt>
                <c:pt idx="95">
                  <c:v>5.2772500000000004</c:v>
                </c:pt>
                <c:pt idx="96">
                  <c:v>5.3327999999999998</c:v>
                </c:pt>
                <c:pt idx="97">
                  <c:v>5.38835</c:v>
                </c:pt>
                <c:pt idx="98">
                  <c:v>5.4439000000000002</c:v>
                </c:pt>
                <c:pt idx="99">
                  <c:v>5.4994500000000004</c:v>
                </c:pt>
                <c:pt idx="100">
                  <c:v>5.5549999999999997</c:v>
                </c:pt>
                <c:pt idx="101">
                  <c:v>5.6105499999999999</c:v>
                </c:pt>
                <c:pt idx="102">
                  <c:v>5.6661000000000001</c:v>
                </c:pt>
                <c:pt idx="103">
                  <c:v>5.7216500000000003</c:v>
                </c:pt>
                <c:pt idx="104">
                  <c:v>5.7771999999999997</c:v>
                </c:pt>
                <c:pt idx="105">
                  <c:v>5.8327499999999999</c:v>
                </c:pt>
                <c:pt idx="106">
                  <c:v>5.8883000000000001</c:v>
                </c:pt>
                <c:pt idx="107">
                  <c:v>5.9438500000000003</c:v>
                </c:pt>
                <c:pt idx="108">
                  <c:v>5.9993999999999996</c:v>
                </c:pt>
                <c:pt idx="109">
                  <c:v>6.0549499999999998</c:v>
                </c:pt>
                <c:pt idx="110">
                  <c:v>6.1105</c:v>
                </c:pt>
                <c:pt idx="111">
                  <c:v>6.1660500000000003</c:v>
                </c:pt>
                <c:pt idx="112">
                  <c:v>6.2215999999999996</c:v>
                </c:pt>
                <c:pt idx="113">
                  <c:v>6.2771499999999998</c:v>
                </c:pt>
                <c:pt idx="114">
                  <c:v>6.3327</c:v>
                </c:pt>
                <c:pt idx="115">
                  <c:v>6.3882500000000002</c:v>
                </c:pt>
                <c:pt idx="116">
                  <c:v>6.4438000000000004</c:v>
                </c:pt>
                <c:pt idx="117">
                  <c:v>6.4993499999999997</c:v>
                </c:pt>
                <c:pt idx="118">
                  <c:v>6.5548999999999999</c:v>
                </c:pt>
                <c:pt idx="119">
                  <c:v>6.6104500000000002</c:v>
                </c:pt>
                <c:pt idx="120">
                  <c:v>6.6660000000000004</c:v>
                </c:pt>
                <c:pt idx="121">
                  <c:v>6.7215499999999997</c:v>
                </c:pt>
                <c:pt idx="122">
                  <c:v>6.7770999999999999</c:v>
                </c:pt>
                <c:pt idx="123">
                  <c:v>6.8326500000000001</c:v>
                </c:pt>
                <c:pt idx="124">
                  <c:v>6.8882000000000003</c:v>
                </c:pt>
                <c:pt idx="125">
                  <c:v>6.9437499999999996</c:v>
                </c:pt>
                <c:pt idx="126">
                  <c:v>6.9992999999999999</c:v>
                </c:pt>
                <c:pt idx="127">
                  <c:v>7.0548500000000001</c:v>
                </c:pt>
                <c:pt idx="128">
                  <c:v>7.1104000000000003</c:v>
                </c:pt>
                <c:pt idx="129">
                  <c:v>7.1659499999999996</c:v>
                </c:pt>
                <c:pt idx="130">
                  <c:v>7.2214999999999998</c:v>
                </c:pt>
                <c:pt idx="131">
                  <c:v>7.27705</c:v>
                </c:pt>
                <c:pt idx="132">
                  <c:v>7.3326000000000002</c:v>
                </c:pt>
                <c:pt idx="133">
                  <c:v>7.3881500000000004</c:v>
                </c:pt>
                <c:pt idx="134">
                  <c:v>7.4436999999999998</c:v>
                </c:pt>
                <c:pt idx="135">
                  <c:v>7.49925</c:v>
                </c:pt>
                <c:pt idx="136">
                  <c:v>7.5548000000000002</c:v>
                </c:pt>
                <c:pt idx="137">
                  <c:v>7.6103500000000004</c:v>
                </c:pt>
                <c:pt idx="138">
                  <c:v>7.6658999999999997</c:v>
                </c:pt>
                <c:pt idx="139">
                  <c:v>7.7214499999999999</c:v>
                </c:pt>
                <c:pt idx="140">
                  <c:v>7.7770000000000001</c:v>
                </c:pt>
                <c:pt idx="141">
                  <c:v>7.8325500000000003</c:v>
                </c:pt>
                <c:pt idx="142">
                  <c:v>7.8880999999999997</c:v>
                </c:pt>
                <c:pt idx="143">
                  <c:v>7.9436499999999999</c:v>
                </c:pt>
                <c:pt idx="144">
                  <c:v>7.9992000000000001</c:v>
                </c:pt>
                <c:pt idx="145">
                  <c:v>8.0547500000000003</c:v>
                </c:pt>
                <c:pt idx="146">
                  <c:v>8.1103000000000005</c:v>
                </c:pt>
                <c:pt idx="147">
                  <c:v>8.1658500000000007</c:v>
                </c:pt>
                <c:pt idx="148">
                  <c:v>8.2213999999999992</c:v>
                </c:pt>
                <c:pt idx="149">
                  <c:v>8.2769499999999994</c:v>
                </c:pt>
                <c:pt idx="150">
                  <c:v>8.3324999999999996</c:v>
                </c:pt>
                <c:pt idx="151">
                  <c:v>8.3880499999999998</c:v>
                </c:pt>
                <c:pt idx="152">
                  <c:v>8.4436</c:v>
                </c:pt>
                <c:pt idx="153">
                  <c:v>8.4991500000000002</c:v>
                </c:pt>
                <c:pt idx="154">
                  <c:v>8.5547000000000004</c:v>
                </c:pt>
                <c:pt idx="155">
                  <c:v>8.6102500000000006</c:v>
                </c:pt>
                <c:pt idx="156">
                  <c:v>8.6658000000000008</c:v>
                </c:pt>
                <c:pt idx="157">
                  <c:v>8.7213499999999993</c:v>
                </c:pt>
                <c:pt idx="158">
                  <c:v>8.7768999999999995</c:v>
                </c:pt>
                <c:pt idx="159">
                  <c:v>8.8324499999999997</c:v>
                </c:pt>
                <c:pt idx="160">
                  <c:v>8.8879999999999999</c:v>
                </c:pt>
                <c:pt idx="161">
                  <c:v>8.9435500000000001</c:v>
                </c:pt>
                <c:pt idx="162">
                  <c:v>8.9991000000000003</c:v>
                </c:pt>
                <c:pt idx="163">
                  <c:v>9.0546500000000005</c:v>
                </c:pt>
                <c:pt idx="164">
                  <c:v>9.1102000000000007</c:v>
                </c:pt>
                <c:pt idx="165">
                  <c:v>9.1657499999999992</c:v>
                </c:pt>
                <c:pt idx="166">
                  <c:v>9.2212999999999994</c:v>
                </c:pt>
                <c:pt idx="167">
                  <c:v>9.2768499999999996</c:v>
                </c:pt>
                <c:pt idx="168">
                  <c:v>9.3323999999999998</c:v>
                </c:pt>
                <c:pt idx="169">
                  <c:v>9.38795</c:v>
                </c:pt>
                <c:pt idx="170">
                  <c:v>9.4435000000000002</c:v>
                </c:pt>
                <c:pt idx="171">
                  <c:v>9.4990500000000004</c:v>
                </c:pt>
                <c:pt idx="172">
                  <c:v>9.5546000000000006</c:v>
                </c:pt>
                <c:pt idx="173">
                  <c:v>9.6101500000000009</c:v>
                </c:pt>
                <c:pt idx="174">
                  <c:v>9.6656999999999993</c:v>
                </c:pt>
                <c:pt idx="175">
                  <c:v>9.7212499999999995</c:v>
                </c:pt>
                <c:pt idx="176">
                  <c:v>9.7767999999999997</c:v>
                </c:pt>
                <c:pt idx="177">
                  <c:v>9.8323499999999999</c:v>
                </c:pt>
                <c:pt idx="178">
                  <c:v>9.8879000000000001</c:v>
                </c:pt>
                <c:pt idx="179">
                  <c:v>9.9434500000000003</c:v>
                </c:pt>
                <c:pt idx="180">
                  <c:v>9.9990000000000006</c:v>
                </c:pt>
                <c:pt idx="181">
                  <c:v>10.054550000000001</c:v>
                </c:pt>
                <c:pt idx="182">
                  <c:v>10.110099999999999</c:v>
                </c:pt>
                <c:pt idx="183">
                  <c:v>10.165649999999999</c:v>
                </c:pt>
                <c:pt idx="184">
                  <c:v>10.2212</c:v>
                </c:pt>
                <c:pt idx="185">
                  <c:v>10.27675</c:v>
                </c:pt>
                <c:pt idx="186">
                  <c:v>10.3323</c:v>
                </c:pt>
                <c:pt idx="187">
                  <c:v>10.38785</c:v>
                </c:pt>
                <c:pt idx="188">
                  <c:v>10.4434</c:v>
                </c:pt>
                <c:pt idx="189">
                  <c:v>10.498950000000001</c:v>
                </c:pt>
                <c:pt idx="190">
                  <c:v>10.554500000000001</c:v>
                </c:pt>
                <c:pt idx="191">
                  <c:v>10.610049999999999</c:v>
                </c:pt>
                <c:pt idx="192">
                  <c:v>10.6656</c:v>
                </c:pt>
                <c:pt idx="193">
                  <c:v>10.72115</c:v>
                </c:pt>
                <c:pt idx="194">
                  <c:v>10.7767</c:v>
                </c:pt>
                <c:pt idx="195">
                  <c:v>10.83225</c:v>
                </c:pt>
                <c:pt idx="196">
                  <c:v>10.8878</c:v>
                </c:pt>
                <c:pt idx="197">
                  <c:v>10.943350000000001</c:v>
                </c:pt>
                <c:pt idx="198">
                  <c:v>10.998900000000001</c:v>
                </c:pt>
                <c:pt idx="199">
                  <c:v>11.054449999999999</c:v>
                </c:pt>
                <c:pt idx="200">
                  <c:v>11.11</c:v>
                </c:pt>
                <c:pt idx="201">
                  <c:v>11.16555</c:v>
                </c:pt>
                <c:pt idx="202">
                  <c:v>11.2211</c:v>
                </c:pt>
                <c:pt idx="203">
                  <c:v>11.27665</c:v>
                </c:pt>
                <c:pt idx="204">
                  <c:v>11.3322</c:v>
                </c:pt>
                <c:pt idx="205">
                  <c:v>11.38775</c:v>
                </c:pt>
                <c:pt idx="206">
                  <c:v>11.443300000000001</c:v>
                </c:pt>
                <c:pt idx="207">
                  <c:v>11.498849999999999</c:v>
                </c:pt>
                <c:pt idx="208">
                  <c:v>11.554399999999999</c:v>
                </c:pt>
                <c:pt idx="209">
                  <c:v>11.60995</c:v>
                </c:pt>
                <c:pt idx="210">
                  <c:v>11.6655</c:v>
                </c:pt>
                <c:pt idx="211">
                  <c:v>11.72105</c:v>
                </c:pt>
                <c:pt idx="212">
                  <c:v>11.7766</c:v>
                </c:pt>
                <c:pt idx="213">
                  <c:v>11.83215</c:v>
                </c:pt>
                <c:pt idx="214">
                  <c:v>11.887700000000001</c:v>
                </c:pt>
                <c:pt idx="215">
                  <c:v>11.943250000000001</c:v>
                </c:pt>
                <c:pt idx="216">
                  <c:v>11.998799999999999</c:v>
                </c:pt>
                <c:pt idx="217">
                  <c:v>12.054349999999999</c:v>
                </c:pt>
                <c:pt idx="218">
                  <c:v>12.1099</c:v>
                </c:pt>
                <c:pt idx="219">
                  <c:v>12.16545</c:v>
                </c:pt>
                <c:pt idx="220">
                  <c:v>12.221</c:v>
                </c:pt>
                <c:pt idx="221">
                  <c:v>12.27655</c:v>
                </c:pt>
                <c:pt idx="222">
                  <c:v>12.332100000000001</c:v>
                </c:pt>
                <c:pt idx="223">
                  <c:v>12.387650000000001</c:v>
                </c:pt>
                <c:pt idx="224">
                  <c:v>12.443199999999999</c:v>
                </c:pt>
                <c:pt idx="225">
                  <c:v>12.498749999999999</c:v>
                </c:pt>
                <c:pt idx="226">
                  <c:v>12.5543</c:v>
                </c:pt>
                <c:pt idx="227">
                  <c:v>12.60985</c:v>
                </c:pt>
                <c:pt idx="228">
                  <c:v>12.6654</c:v>
                </c:pt>
                <c:pt idx="229">
                  <c:v>12.72095</c:v>
                </c:pt>
                <c:pt idx="230">
                  <c:v>12.7765</c:v>
                </c:pt>
                <c:pt idx="231">
                  <c:v>12.832050000000001</c:v>
                </c:pt>
                <c:pt idx="232">
                  <c:v>12.887600000000001</c:v>
                </c:pt>
                <c:pt idx="233">
                  <c:v>12.943149999999999</c:v>
                </c:pt>
                <c:pt idx="234">
                  <c:v>12.998699999999999</c:v>
                </c:pt>
                <c:pt idx="235">
                  <c:v>13.05425</c:v>
                </c:pt>
                <c:pt idx="236">
                  <c:v>13.1098</c:v>
                </c:pt>
                <c:pt idx="237">
                  <c:v>13.16535</c:v>
                </c:pt>
                <c:pt idx="238">
                  <c:v>13.2209</c:v>
                </c:pt>
                <c:pt idx="239">
                  <c:v>13.276450000000001</c:v>
                </c:pt>
                <c:pt idx="240">
                  <c:v>13.332000000000001</c:v>
                </c:pt>
                <c:pt idx="241">
                  <c:v>13.387549999999999</c:v>
                </c:pt>
                <c:pt idx="242">
                  <c:v>13.443099999999999</c:v>
                </c:pt>
                <c:pt idx="243">
                  <c:v>13.49865</c:v>
                </c:pt>
                <c:pt idx="244">
                  <c:v>13.5542</c:v>
                </c:pt>
                <c:pt idx="245">
                  <c:v>13.60975</c:v>
                </c:pt>
                <c:pt idx="246">
                  <c:v>13.6653</c:v>
                </c:pt>
                <c:pt idx="247">
                  <c:v>13.72085</c:v>
                </c:pt>
                <c:pt idx="248">
                  <c:v>13.776400000000001</c:v>
                </c:pt>
                <c:pt idx="249">
                  <c:v>13.831950000000001</c:v>
                </c:pt>
                <c:pt idx="250">
                  <c:v>13.887499999999999</c:v>
                </c:pt>
                <c:pt idx="251">
                  <c:v>13.943049999999999</c:v>
                </c:pt>
                <c:pt idx="252">
                  <c:v>13.9986</c:v>
                </c:pt>
                <c:pt idx="253">
                  <c:v>14.05415</c:v>
                </c:pt>
                <c:pt idx="254">
                  <c:v>14.1097</c:v>
                </c:pt>
                <c:pt idx="255">
                  <c:v>14.16525</c:v>
                </c:pt>
                <c:pt idx="256">
                  <c:v>14.220800000000001</c:v>
                </c:pt>
                <c:pt idx="257">
                  <c:v>14.276350000000001</c:v>
                </c:pt>
                <c:pt idx="258">
                  <c:v>14.331899999999999</c:v>
                </c:pt>
                <c:pt idx="259">
                  <c:v>14.387449999999999</c:v>
                </c:pt>
                <c:pt idx="260">
                  <c:v>14.443</c:v>
                </c:pt>
                <c:pt idx="261">
                  <c:v>14.49855</c:v>
                </c:pt>
                <c:pt idx="262">
                  <c:v>14.5541</c:v>
                </c:pt>
                <c:pt idx="263">
                  <c:v>14.60965</c:v>
                </c:pt>
                <c:pt idx="264">
                  <c:v>14.6652</c:v>
                </c:pt>
                <c:pt idx="265">
                  <c:v>14.720750000000001</c:v>
                </c:pt>
                <c:pt idx="266">
                  <c:v>14.776300000000001</c:v>
                </c:pt>
                <c:pt idx="267">
                  <c:v>14.831849999999999</c:v>
                </c:pt>
                <c:pt idx="268">
                  <c:v>14.8874</c:v>
                </c:pt>
                <c:pt idx="269">
                  <c:v>14.94295</c:v>
                </c:pt>
                <c:pt idx="270">
                  <c:v>14.9985</c:v>
                </c:pt>
                <c:pt idx="271">
                  <c:v>15.05405</c:v>
                </c:pt>
                <c:pt idx="272">
                  <c:v>15.1096</c:v>
                </c:pt>
                <c:pt idx="273">
                  <c:v>15.165150000000001</c:v>
                </c:pt>
                <c:pt idx="274">
                  <c:v>15.220700000000001</c:v>
                </c:pt>
                <c:pt idx="275">
                  <c:v>15.276249999999999</c:v>
                </c:pt>
                <c:pt idx="276">
                  <c:v>15.331799999999999</c:v>
                </c:pt>
                <c:pt idx="277">
                  <c:v>15.38735</c:v>
                </c:pt>
                <c:pt idx="278">
                  <c:v>15.4429</c:v>
                </c:pt>
                <c:pt idx="279">
                  <c:v>15.49845</c:v>
                </c:pt>
                <c:pt idx="280">
                  <c:v>15.554</c:v>
                </c:pt>
                <c:pt idx="281">
                  <c:v>15.60955</c:v>
                </c:pt>
                <c:pt idx="282">
                  <c:v>15.665100000000001</c:v>
                </c:pt>
                <c:pt idx="283">
                  <c:v>15.720649999999999</c:v>
                </c:pt>
                <c:pt idx="284">
                  <c:v>15.776199999999999</c:v>
                </c:pt>
                <c:pt idx="285">
                  <c:v>15.83175</c:v>
                </c:pt>
                <c:pt idx="286">
                  <c:v>15.8873</c:v>
                </c:pt>
                <c:pt idx="287">
                  <c:v>15.94285</c:v>
                </c:pt>
                <c:pt idx="288">
                  <c:v>15.9984</c:v>
                </c:pt>
                <c:pt idx="289">
                  <c:v>16.05395</c:v>
                </c:pt>
                <c:pt idx="290">
                  <c:v>16.109500000000001</c:v>
                </c:pt>
                <c:pt idx="291">
                  <c:v>16.165050000000001</c:v>
                </c:pt>
                <c:pt idx="292">
                  <c:v>16.220600000000001</c:v>
                </c:pt>
                <c:pt idx="293">
                  <c:v>16.276150000000001</c:v>
                </c:pt>
                <c:pt idx="294">
                  <c:v>16.331700000000001</c:v>
                </c:pt>
                <c:pt idx="295">
                  <c:v>16.387250000000002</c:v>
                </c:pt>
                <c:pt idx="296">
                  <c:v>16.442799999999998</c:v>
                </c:pt>
                <c:pt idx="297">
                  <c:v>16.498349999999999</c:v>
                </c:pt>
                <c:pt idx="298">
                  <c:v>16.553899999999999</c:v>
                </c:pt>
                <c:pt idx="299">
                  <c:v>16.609449999999999</c:v>
                </c:pt>
                <c:pt idx="300">
                  <c:v>16.664999999999999</c:v>
                </c:pt>
                <c:pt idx="301">
                  <c:v>16.720549999999999</c:v>
                </c:pt>
                <c:pt idx="302">
                  <c:v>16.7761</c:v>
                </c:pt>
                <c:pt idx="303">
                  <c:v>16.83165</c:v>
                </c:pt>
                <c:pt idx="304">
                  <c:v>16.8872</c:v>
                </c:pt>
                <c:pt idx="305">
                  <c:v>16.94275</c:v>
                </c:pt>
                <c:pt idx="306">
                  <c:v>16.9983</c:v>
                </c:pt>
                <c:pt idx="307">
                  <c:v>17.053850000000001</c:v>
                </c:pt>
                <c:pt idx="308">
                  <c:v>17.109400000000001</c:v>
                </c:pt>
                <c:pt idx="309">
                  <c:v>17.164950000000001</c:v>
                </c:pt>
                <c:pt idx="310">
                  <c:v>17.220500000000001</c:v>
                </c:pt>
                <c:pt idx="311">
                  <c:v>17.276050000000001</c:v>
                </c:pt>
                <c:pt idx="312">
                  <c:v>17.331600000000002</c:v>
                </c:pt>
                <c:pt idx="313">
                  <c:v>17.387149999999998</c:v>
                </c:pt>
                <c:pt idx="314">
                  <c:v>17.442699999999999</c:v>
                </c:pt>
                <c:pt idx="315">
                  <c:v>17.498249999999999</c:v>
                </c:pt>
                <c:pt idx="316">
                  <c:v>17.553799999999999</c:v>
                </c:pt>
                <c:pt idx="317">
                  <c:v>17.609349999999999</c:v>
                </c:pt>
                <c:pt idx="318">
                  <c:v>17.664899999999999</c:v>
                </c:pt>
                <c:pt idx="319">
                  <c:v>17.72045</c:v>
                </c:pt>
                <c:pt idx="320">
                  <c:v>17.776</c:v>
                </c:pt>
                <c:pt idx="321">
                  <c:v>17.83155</c:v>
                </c:pt>
                <c:pt idx="322">
                  <c:v>17.8871</c:v>
                </c:pt>
                <c:pt idx="323">
                  <c:v>17.94265</c:v>
                </c:pt>
                <c:pt idx="324">
                  <c:v>17.998200000000001</c:v>
                </c:pt>
                <c:pt idx="325">
                  <c:v>18.053750000000001</c:v>
                </c:pt>
                <c:pt idx="326">
                  <c:v>18.109300000000001</c:v>
                </c:pt>
                <c:pt idx="327">
                  <c:v>18.164850000000001</c:v>
                </c:pt>
                <c:pt idx="328">
                  <c:v>18.220400000000001</c:v>
                </c:pt>
                <c:pt idx="329">
                  <c:v>18.275950000000002</c:v>
                </c:pt>
                <c:pt idx="330">
                  <c:v>18.331499999999998</c:v>
                </c:pt>
                <c:pt idx="331">
                  <c:v>18.387049999999999</c:v>
                </c:pt>
                <c:pt idx="332">
                  <c:v>18.442599999999999</c:v>
                </c:pt>
                <c:pt idx="333">
                  <c:v>18.498149999999999</c:v>
                </c:pt>
                <c:pt idx="334">
                  <c:v>18.553699999999999</c:v>
                </c:pt>
                <c:pt idx="335">
                  <c:v>18.609249999999999</c:v>
                </c:pt>
                <c:pt idx="336">
                  <c:v>18.6648</c:v>
                </c:pt>
                <c:pt idx="337">
                  <c:v>18.72035</c:v>
                </c:pt>
                <c:pt idx="338">
                  <c:v>18.7759</c:v>
                </c:pt>
                <c:pt idx="339">
                  <c:v>18.83145</c:v>
                </c:pt>
                <c:pt idx="340">
                  <c:v>18.887</c:v>
                </c:pt>
                <c:pt idx="341">
                  <c:v>18.942550000000001</c:v>
                </c:pt>
                <c:pt idx="342">
                  <c:v>18.998100000000001</c:v>
                </c:pt>
                <c:pt idx="343">
                  <c:v>19.053650000000001</c:v>
                </c:pt>
                <c:pt idx="344">
                  <c:v>19.109200000000001</c:v>
                </c:pt>
                <c:pt idx="345">
                  <c:v>19.164750000000002</c:v>
                </c:pt>
                <c:pt idx="346">
                  <c:v>19.220300000000002</c:v>
                </c:pt>
                <c:pt idx="347">
                  <c:v>19.275849999999998</c:v>
                </c:pt>
                <c:pt idx="348">
                  <c:v>19.331399999999999</c:v>
                </c:pt>
                <c:pt idx="349">
                  <c:v>19.386949999999999</c:v>
                </c:pt>
                <c:pt idx="350">
                  <c:v>19.442499999999999</c:v>
                </c:pt>
                <c:pt idx="351">
                  <c:v>19.498049999999999</c:v>
                </c:pt>
                <c:pt idx="352">
                  <c:v>19.553599999999999</c:v>
                </c:pt>
                <c:pt idx="353">
                  <c:v>19.60915</c:v>
                </c:pt>
                <c:pt idx="354">
                  <c:v>19.6647</c:v>
                </c:pt>
                <c:pt idx="355">
                  <c:v>19.72025</c:v>
                </c:pt>
                <c:pt idx="356">
                  <c:v>19.7758</c:v>
                </c:pt>
                <c:pt idx="357">
                  <c:v>19.83135</c:v>
                </c:pt>
                <c:pt idx="358">
                  <c:v>19.886900000000001</c:v>
                </c:pt>
                <c:pt idx="359">
                  <c:v>19.942450000000001</c:v>
                </c:pt>
                <c:pt idx="360">
                  <c:v>19.998000000000001</c:v>
                </c:pt>
                <c:pt idx="361">
                  <c:v>20.053550000000001</c:v>
                </c:pt>
                <c:pt idx="362">
                  <c:v>20.109100000000002</c:v>
                </c:pt>
                <c:pt idx="363">
                  <c:v>20.164650000000002</c:v>
                </c:pt>
                <c:pt idx="364">
                  <c:v>20.220199999999998</c:v>
                </c:pt>
                <c:pt idx="365">
                  <c:v>20.275749999999999</c:v>
                </c:pt>
                <c:pt idx="366">
                  <c:v>20.331299999999999</c:v>
                </c:pt>
                <c:pt idx="367">
                  <c:v>20.386849999999999</c:v>
                </c:pt>
                <c:pt idx="368">
                  <c:v>20.442399999999999</c:v>
                </c:pt>
                <c:pt idx="369">
                  <c:v>20.497949999999999</c:v>
                </c:pt>
                <c:pt idx="370">
                  <c:v>20.5535</c:v>
                </c:pt>
                <c:pt idx="371">
                  <c:v>20.60905</c:v>
                </c:pt>
                <c:pt idx="372">
                  <c:v>20.6646</c:v>
                </c:pt>
                <c:pt idx="373">
                  <c:v>20.72015</c:v>
                </c:pt>
                <c:pt idx="374">
                  <c:v>20.775700000000001</c:v>
                </c:pt>
                <c:pt idx="375">
                  <c:v>20.831250000000001</c:v>
                </c:pt>
                <c:pt idx="376">
                  <c:v>20.886800000000001</c:v>
                </c:pt>
                <c:pt idx="377">
                  <c:v>20.942350000000001</c:v>
                </c:pt>
                <c:pt idx="378">
                  <c:v>20.997900000000001</c:v>
                </c:pt>
                <c:pt idx="379">
                  <c:v>21.053450000000002</c:v>
                </c:pt>
                <c:pt idx="380">
                  <c:v>21.109000000000002</c:v>
                </c:pt>
                <c:pt idx="381">
                  <c:v>21.164549999999998</c:v>
                </c:pt>
                <c:pt idx="382">
                  <c:v>21.220099999999999</c:v>
                </c:pt>
                <c:pt idx="383">
                  <c:v>21.275649999999999</c:v>
                </c:pt>
                <c:pt idx="384">
                  <c:v>21.331199999999999</c:v>
                </c:pt>
                <c:pt idx="385">
                  <c:v>21.386749999999999</c:v>
                </c:pt>
                <c:pt idx="386">
                  <c:v>21.442299999999999</c:v>
                </c:pt>
                <c:pt idx="387">
                  <c:v>21.49785</c:v>
                </c:pt>
                <c:pt idx="388">
                  <c:v>21.5534</c:v>
                </c:pt>
                <c:pt idx="389">
                  <c:v>21.60895</c:v>
                </c:pt>
                <c:pt idx="390">
                  <c:v>21.6645</c:v>
                </c:pt>
                <c:pt idx="391">
                  <c:v>21.720050000000001</c:v>
                </c:pt>
                <c:pt idx="392">
                  <c:v>21.775600000000001</c:v>
                </c:pt>
                <c:pt idx="393">
                  <c:v>21.831150000000001</c:v>
                </c:pt>
                <c:pt idx="394">
                  <c:v>21.886700000000001</c:v>
                </c:pt>
                <c:pt idx="395">
                  <c:v>21.942250000000001</c:v>
                </c:pt>
                <c:pt idx="396">
                  <c:v>21.997800000000002</c:v>
                </c:pt>
                <c:pt idx="397">
                  <c:v>22.053349999999998</c:v>
                </c:pt>
                <c:pt idx="398">
                  <c:v>22.108899999999998</c:v>
                </c:pt>
                <c:pt idx="399">
                  <c:v>22.164449999999999</c:v>
                </c:pt>
                <c:pt idx="400">
                  <c:v>22.22</c:v>
                </c:pt>
                <c:pt idx="401">
                  <c:v>22.275549999999999</c:v>
                </c:pt>
                <c:pt idx="402">
                  <c:v>22.331099999999999</c:v>
                </c:pt>
                <c:pt idx="403">
                  <c:v>22.386649999999999</c:v>
                </c:pt>
                <c:pt idx="404">
                  <c:v>22.4422</c:v>
                </c:pt>
                <c:pt idx="405">
                  <c:v>22.49775</c:v>
                </c:pt>
                <c:pt idx="406">
                  <c:v>22.5533</c:v>
                </c:pt>
                <c:pt idx="407">
                  <c:v>22.60885</c:v>
                </c:pt>
                <c:pt idx="408">
                  <c:v>22.664400000000001</c:v>
                </c:pt>
                <c:pt idx="409">
                  <c:v>22.719950000000001</c:v>
                </c:pt>
                <c:pt idx="410">
                  <c:v>22.775500000000001</c:v>
                </c:pt>
                <c:pt idx="411">
                  <c:v>22.831050000000001</c:v>
                </c:pt>
                <c:pt idx="412">
                  <c:v>22.886600000000001</c:v>
                </c:pt>
                <c:pt idx="413">
                  <c:v>22.942150000000002</c:v>
                </c:pt>
                <c:pt idx="414">
                  <c:v>22.997699999999998</c:v>
                </c:pt>
              </c:numCache>
            </c:numRef>
          </c:cat>
          <c:val>
            <c:numRef>
              <c:f>'12-12-2021b'!$AR$2:$AR$416</c:f>
              <c:numCache>
                <c:formatCode>General</c:formatCode>
                <c:ptCount val="415"/>
                <c:pt idx="9" formatCode="0.00">
                  <c:v>0</c:v>
                </c:pt>
                <c:pt idx="10" formatCode="0.00">
                  <c:v>0</c:v>
                </c:pt>
                <c:pt idx="11" formatCode="0.00">
                  <c:v>0</c:v>
                </c:pt>
                <c:pt idx="12" formatCode="0.00">
                  <c:v>0</c:v>
                </c:pt>
                <c:pt idx="13" formatCode="0.00">
                  <c:v>0</c:v>
                </c:pt>
                <c:pt idx="14" formatCode="0.00">
                  <c:v>0</c:v>
                </c:pt>
                <c:pt idx="15" formatCode="0.00">
                  <c:v>0</c:v>
                </c:pt>
                <c:pt idx="16" formatCode="0.00">
                  <c:v>0</c:v>
                </c:pt>
                <c:pt idx="17" formatCode="0.00">
                  <c:v>0</c:v>
                </c:pt>
                <c:pt idx="18" formatCode="0.000">
                  <c:v>4.9114833333333326E-3</c:v>
                </c:pt>
                <c:pt idx="19" formatCode="0.000">
                  <c:v>3.7784519999999995E-2</c:v>
                </c:pt>
                <c:pt idx="20" formatCode="0.000">
                  <c:v>0.10789917</c:v>
                </c:pt>
                <c:pt idx="21" formatCode="0.000">
                  <c:v>0.24851699999999999</c:v>
                </c:pt>
                <c:pt idx="22" formatCode="0.000">
                  <c:v>0.55183000000000004</c:v>
                </c:pt>
                <c:pt idx="23" formatCode="0.000">
                  <c:v>0.77465933333333326</c:v>
                </c:pt>
                <c:pt idx="24" formatCode="0.000">
                  <c:v>1.0453076666666665</c:v>
                </c:pt>
                <c:pt idx="25" formatCode="0.000">
                  <c:v>1.4958894999999999</c:v>
                </c:pt>
                <c:pt idx="26" formatCode="0.000">
                  <c:v>1.9646850000000002</c:v>
                </c:pt>
                <c:pt idx="27" formatCode="0.000">
                  <c:v>2.4422895000000002</c:v>
                </c:pt>
                <c:pt idx="28" formatCode="0.000">
                  <c:v>2.9348706666666664</c:v>
                </c:pt>
                <c:pt idx="29" formatCode="0.000">
                  <c:v>3.7078686666666671</c:v>
                </c:pt>
                <c:pt idx="30" formatCode="0.000">
                  <c:v>4.3809733333333334</c:v>
                </c:pt>
                <c:pt idx="31" formatCode="0.000">
                  <c:v>5.1683195</c:v>
                </c:pt>
                <c:pt idx="32" formatCode="0.000">
                  <c:v>5.8624253333333343</c:v>
                </c:pt>
                <c:pt idx="33" formatCode="0.000">
                  <c:v>5.6210084999999994</c:v>
                </c:pt>
                <c:pt idx="34" formatCode="0.000">
                  <c:v>5.756993333333333</c:v>
                </c:pt>
                <c:pt idx="35" formatCode="0.000">
                  <c:v>5.9456449999999998</c:v>
                </c:pt>
                <c:pt idx="36" formatCode="0.000">
                  <c:v>6.169039999999999</c:v>
                </c:pt>
                <c:pt idx="37" formatCode="0.000">
                  <c:v>6.4642500000000007</c:v>
                </c:pt>
                <c:pt idx="38" formatCode="0.000">
                  <c:v>6.0016750000000005</c:v>
                </c:pt>
                <c:pt idx="39" formatCode="0.000">
                  <c:v>6.2156666666666665</c:v>
                </c:pt>
                <c:pt idx="40" formatCode="0.000">
                  <c:v>6.3482780000000005</c:v>
                </c:pt>
                <c:pt idx="41" formatCode="0.000">
                  <c:v>6.2479793333333324</c:v>
                </c:pt>
                <c:pt idx="42" formatCode="0.000">
                  <c:v>6.7361666666666666</c:v>
                </c:pt>
                <c:pt idx="43" formatCode="0.000">
                  <c:v>6.6611300000000009</c:v>
                </c:pt>
                <c:pt idx="44" formatCode="0.000">
                  <c:v>6.5240498333333337</c:v>
                </c:pt>
                <c:pt idx="45" formatCode="0.000">
                  <c:v>6.3316540000000012</c:v>
                </c:pt>
                <c:pt idx="46" formatCode="0.000">
                  <c:v>7.4302650000000012</c:v>
                </c:pt>
                <c:pt idx="47" formatCode="0.000">
                  <c:v>8.4732000000000003</c:v>
                </c:pt>
                <c:pt idx="48" formatCode="0.000">
                  <c:v>8.9816533333333339</c:v>
                </c:pt>
                <c:pt idx="49" formatCode="0.000">
                  <c:v>8.3867549999999991</c:v>
                </c:pt>
                <c:pt idx="50" formatCode="0.000">
                  <c:v>10.749446666666666</c:v>
                </c:pt>
                <c:pt idx="51" formatCode="0.000">
                  <c:v>10.882879999999998</c:v>
                </c:pt>
                <c:pt idx="52" formatCode="0.000">
                  <c:v>10.538403333333333</c:v>
                </c:pt>
                <c:pt idx="53" formatCode="0.000">
                  <c:v>9.3387574999999998</c:v>
                </c:pt>
                <c:pt idx="54" formatCode="0.000">
                  <c:v>7.9139019999999993</c:v>
                </c:pt>
                <c:pt idx="55" formatCode="0.000">
                  <c:v>12.128270000000001</c:v>
                </c:pt>
                <c:pt idx="56" formatCode="0.000">
                  <c:v>10.2143</c:v>
                </c:pt>
                <c:pt idx="57" formatCode="0.000">
                  <c:v>11.13279</c:v>
                </c:pt>
                <c:pt idx="58" formatCode="0.000">
                  <c:v>11.323259999999999</c:v>
                </c:pt>
                <c:pt idx="59" formatCode="0.000">
                  <c:v>10.733065</c:v>
                </c:pt>
                <c:pt idx="60" formatCode="0.000">
                  <c:v>13.33629</c:v>
                </c:pt>
                <c:pt idx="61" formatCode="0.000">
                  <c:v>12.62079</c:v>
                </c:pt>
                <c:pt idx="62" formatCode="0.000">
                  <c:v>14.166144999999997</c:v>
                </c:pt>
                <c:pt idx="63" formatCode="0.000">
                  <c:v>12.976496666666666</c:v>
                </c:pt>
                <c:pt idx="64" formatCode="0.000">
                  <c:v>11.664900000000001</c:v>
                </c:pt>
                <c:pt idx="65" formatCode="0.000">
                  <c:v>12.253756666666668</c:v>
                </c:pt>
                <c:pt idx="66" formatCode="0.000">
                  <c:v>12.2492</c:v>
                </c:pt>
                <c:pt idx="67" formatCode="0.000">
                  <c:v>11.800836666666669</c:v>
                </c:pt>
                <c:pt idx="68" formatCode="0.000">
                  <c:v>10.5616</c:v>
                </c:pt>
                <c:pt idx="69" formatCode="0.000">
                  <c:v>11.182364999999999</c:v>
                </c:pt>
                <c:pt idx="70" formatCode="0.000">
                  <c:v>11.367699999999999</c:v>
                </c:pt>
                <c:pt idx="71" formatCode="0.000">
                  <c:v>11.655863333333333</c:v>
                </c:pt>
                <c:pt idx="72" formatCode="0.000">
                  <c:v>11.753813333333333</c:v>
                </c:pt>
                <c:pt idx="73" formatCode="0.000">
                  <c:v>9.989768333333334</c:v>
                </c:pt>
                <c:pt idx="74" formatCode="0.000">
                  <c:v>11.02178</c:v>
                </c:pt>
                <c:pt idx="75" formatCode="0.000">
                  <c:v>9.4029974999999997</c:v>
                </c:pt>
                <c:pt idx="76" formatCode="0.000">
                  <c:v>3.3186464999999998</c:v>
                </c:pt>
                <c:pt idx="77" formatCode="0.000">
                  <c:v>1.8443446666666667</c:v>
                </c:pt>
                <c:pt idx="78" formatCode="0.000">
                  <c:v>2.3134990000000002</c:v>
                </c:pt>
                <c:pt idx="79" formatCode="0.000">
                  <c:v>2.2819665000000002</c:v>
                </c:pt>
                <c:pt idx="80" formatCode="0.000">
                  <c:v>2.3606549999999999</c:v>
                </c:pt>
                <c:pt idx="81" formatCode="0.000">
                  <c:v>2.5186993333333336</c:v>
                </c:pt>
                <c:pt idx="82" formatCode="0.000">
                  <c:v>2.8284766666666665</c:v>
                </c:pt>
                <c:pt idx="83" formatCode="0.000">
                  <c:v>2.7554158333333332</c:v>
                </c:pt>
                <c:pt idx="84" formatCode="0.000">
                  <c:v>2.4701923333333338</c:v>
                </c:pt>
                <c:pt idx="85" formatCode="0.000">
                  <c:v>3.4461614999999997</c:v>
                </c:pt>
                <c:pt idx="86" formatCode="0.000">
                  <c:v>6.079866</c:v>
                </c:pt>
                <c:pt idx="87" formatCode="0.000">
                  <c:v>13.009243333333332</c:v>
                </c:pt>
                <c:pt idx="88" formatCode="0.000">
                  <c:v>9.9481633333333352</c:v>
                </c:pt>
                <c:pt idx="89" formatCode="0.000">
                  <c:v>11.942066666666667</c:v>
                </c:pt>
                <c:pt idx="90" formatCode="0.000">
                  <c:v>13.086279999999999</c:v>
                </c:pt>
                <c:pt idx="91" formatCode="0.000">
                  <c:v>11.633766666666666</c:v>
                </c:pt>
                <c:pt idx="92" formatCode="0.000">
                  <c:v>12.244871666666668</c:v>
                </c:pt>
                <c:pt idx="93" formatCode="0.000">
                  <c:v>12.5718</c:v>
                </c:pt>
                <c:pt idx="94" formatCode="0.000">
                  <c:v>12.237245000000001</c:v>
                </c:pt>
                <c:pt idx="95" formatCode="0.000">
                  <c:v>12.838850000000003</c:v>
                </c:pt>
                <c:pt idx="96" formatCode="0.000">
                  <c:v>13.893165</c:v>
                </c:pt>
                <c:pt idx="97" formatCode="0.000">
                  <c:v>13.18122</c:v>
                </c:pt>
                <c:pt idx="98" formatCode="0.000">
                  <c:v>12.081420000000001</c:v>
                </c:pt>
                <c:pt idx="99" formatCode="0.000">
                  <c:v>12.313583333333334</c:v>
                </c:pt>
                <c:pt idx="100" formatCode="0.000">
                  <c:v>12.596566666666668</c:v>
                </c:pt>
                <c:pt idx="101" formatCode="0.000">
                  <c:v>13.948374999999999</c:v>
                </c:pt>
                <c:pt idx="102" formatCode="0.000">
                  <c:v>13.042411666666666</c:v>
                </c:pt>
                <c:pt idx="103" formatCode="0.000">
                  <c:v>11.89615</c:v>
                </c:pt>
                <c:pt idx="104" formatCode="0.000">
                  <c:v>11.446516666666666</c:v>
                </c:pt>
                <c:pt idx="105" formatCode="0.000">
                  <c:v>12.06446</c:v>
                </c:pt>
                <c:pt idx="106" formatCode="0.000">
                  <c:v>12.71998</c:v>
                </c:pt>
                <c:pt idx="107" formatCode="0.000">
                  <c:v>10.730405000000001</c:v>
                </c:pt>
                <c:pt idx="108" formatCode="0.000">
                  <c:v>12.486705000000002</c:v>
                </c:pt>
                <c:pt idx="109" formatCode="0.000">
                  <c:v>13.636243333333333</c:v>
                </c:pt>
                <c:pt idx="110" formatCode="0.000">
                  <c:v>13.725904999999999</c:v>
                </c:pt>
                <c:pt idx="111" formatCode="0.000">
                  <c:v>13.51924</c:v>
                </c:pt>
                <c:pt idx="112" formatCode="0.000">
                  <c:v>11.21904</c:v>
                </c:pt>
                <c:pt idx="113" formatCode="0.000">
                  <c:v>13.92159</c:v>
                </c:pt>
                <c:pt idx="114" formatCode="0.000">
                  <c:v>14.193550000000002</c:v>
                </c:pt>
                <c:pt idx="115" formatCode="0.000">
                  <c:v>13.106041666666666</c:v>
                </c:pt>
                <c:pt idx="116" formatCode="0.000">
                  <c:v>13.37745</c:v>
                </c:pt>
                <c:pt idx="117" formatCode="0.000">
                  <c:v>14.329375000000001</c:v>
                </c:pt>
                <c:pt idx="118" formatCode="0.000">
                  <c:v>14.698025000000001</c:v>
                </c:pt>
                <c:pt idx="119" formatCode="0.000">
                  <c:v>15.32400333333333</c:v>
                </c:pt>
                <c:pt idx="120" formatCode="0.000">
                  <c:v>13.901859999999999</c:v>
                </c:pt>
                <c:pt idx="121" formatCode="0.000">
                  <c:v>11.872999999999999</c:v>
                </c:pt>
                <c:pt idx="122" formatCode="0.000">
                  <c:v>12.517199999999999</c:v>
                </c:pt>
                <c:pt idx="123" formatCode="0.000">
                  <c:v>14.973009999999999</c:v>
                </c:pt>
                <c:pt idx="124" formatCode="0.000">
                  <c:v>15.553295000000002</c:v>
                </c:pt>
                <c:pt idx="125" formatCode="0.000">
                  <c:v>12.285220000000001</c:v>
                </c:pt>
                <c:pt idx="126" formatCode="0.000">
                  <c:v>13.048973333333334</c:v>
                </c:pt>
                <c:pt idx="127" formatCode="0.000">
                  <c:v>11.465681666666667</c:v>
                </c:pt>
                <c:pt idx="128" formatCode="0.000">
                  <c:v>13.024804999999999</c:v>
                </c:pt>
                <c:pt idx="129" formatCode="0.000">
                  <c:v>13.828833333333336</c:v>
                </c:pt>
                <c:pt idx="130" formatCode="0.000">
                  <c:v>15.141866666666669</c:v>
                </c:pt>
                <c:pt idx="131" formatCode="0.000">
                  <c:v>15.235805000000001</c:v>
                </c:pt>
                <c:pt idx="132" formatCode="0.000">
                  <c:v>15.319725000000002</c:v>
                </c:pt>
                <c:pt idx="133" formatCode="0.000">
                  <c:v>12.017459999999998</c:v>
                </c:pt>
                <c:pt idx="134" formatCode="0.000">
                  <c:v>15.074783333333334</c:v>
                </c:pt>
                <c:pt idx="135" formatCode="0.000">
                  <c:v>13.80138</c:v>
                </c:pt>
                <c:pt idx="136" formatCode="0.000">
                  <c:v>13.7104</c:v>
                </c:pt>
                <c:pt idx="137" formatCode="0.000">
                  <c:v>14.453866666666666</c:v>
                </c:pt>
                <c:pt idx="138" formatCode="0.000">
                  <c:v>14.635143333333335</c:v>
                </c:pt>
                <c:pt idx="139" formatCode="0.000">
                  <c:v>14.327325</c:v>
                </c:pt>
                <c:pt idx="140" formatCode="0.000">
                  <c:v>15.701391666666666</c:v>
                </c:pt>
                <c:pt idx="141" formatCode="0.000">
                  <c:v>15.679550000000003</c:v>
                </c:pt>
                <c:pt idx="142" formatCode="0.000">
                  <c:v>12.954226666666667</c:v>
                </c:pt>
                <c:pt idx="143" formatCode="0.000">
                  <c:v>11.485665000000001</c:v>
                </c:pt>
                <c:pt idx="144" formatCode="0.000">
                  <c:v>13.182853333333334</c:v>
                </c:pt>
                <c:pt idx="145" formatCode="0.000">
                  <c:v>12.652640000000002</c:v>
                </c:pt>
                <c:pt idx="146" formatCode="0.000">
                  <c:v>13.469500000000002</c:v>
                </c:pt>
                <c:pt idx="147" formatCode="0.000">
                  <c:v>16.292249999999999</c:v>
                </c:pt>
                <c:pt idx="148" formatCode="0.000">
                  <c:v>15.499388333333332</c:v>
                </c:pt>
                <c:pt idx="149" formatCode="0.000">
                  <c:v>15.833100000000002</c:v>
                </c:pt>
                <c:pt idx="150" formatCode="0.000">
                  <c:v>13.999263333333332</c:v>
                </c:pt>
                <c:pt idx="151" formatCode="0.000">
                  <c:v>14.804285</c:v>
                </c:pt>
                <c:pt idx="152" formatCode="0.000">
                  <c:v>13.848113333333334</c:v>
                </c:pt>
                <c:pt idx="153" formatCode="0.000">
                  <c:v>13.954929999999997</c:v>
                </c:pt>
                <c:pt idx="154" formatCode="0.000">
                  <c:v>14.670824999999999</c:v>
                </c:pt>
                <c:pt idx="155" formatCode="0.000">
                  <c:v>15.497359999999999</c:v>
                </c:pt>
                <c:pt idx="156" formatCode="0.000">
                  <c:v>15.976280000000001</c:v>
                </c:pt>
                <c:pt idx="157" formatCode="0.000">
                  <c:v>15.59976</c:v>
                </c:pt>
                <c:pt idx="158" formatCode="0.000">
                  <c:v>12.259938333333331</c:v>
                </c:pt>
                <c:pt idx="159" formatCode="0.000">
                  <c:v>13.598865</c:v>
                </c:pt>
                <c:pt idx="160" formatCode="0.000">
                  <c:v>12.310866666666666</c:v>
                </c:pt>
                <c:pt idx="161" formatCode="0.000">
                  <c:v>14.701749999999999</c:v>
                </c:pt>
                <c:pt idx="162" formatCode="0.000">
                  <c:v>15.744491666666667</c:v>
                </c:pt>
                <c:pt idx="163" formatCode="0.000">
                  <c:v>16.663345</c:v>
                </c:pt>
                <c:pt idx="164" formatCode="0.000">
                  <c:v>14.954041666666665</c:v>
                </c:pt>
                <c:pt idx="165" formatCode="0.000">
                  <c:v>14.69115666666667</c:v>
                </c:pt>
                <c:pt idx="166" formatCode="0.000">
                  <c:v>14.607973333333332</c:v>
                </c:pt>
                <c:pt idx="167" formatCode="0.000">
                  <c:v>15.916933333333331</c:v>
                </c:pt>
                <c:pt idx="168" formatCode="0.000">
                  <c:v>15.998266666666666</c:v>
                </c:pt>
                <c:pt idx="169" formatCode="0.000">
                  <c:v>14.88725</c:v>
                </c:pt>
                <c:pt idx="170" formatCode="0.000">
                  <c:v>13.62928</c:v>
                </c:pt>
                <c:pt idx="171" formatCode="0.000">
                  <c:v>13.731263333333333</c:v>
                </c:pt>
                <c:pt idx="172" formatCode="0.000">
                  <c:v>13.059233333333333</c:v>
                </c:pt>
                <c:pt idx="173" formatCode="0.000">
                  <c:v>12.223816666666666</c:v>
                </c:pt>
                <c:pt idx="174" formatCode="0.000">
                  <c:v>11.7102</c:v>
                </c:pt>
                <c:pt idx="175" formatCode="0.000">
                  <c:v>11.148245000000001</c:v>
                </c:pt>
                <c:pt idx="176" formatCode="0.000">
                  <c:v>10.551270000000001</c:v>
                </c:pt>
                <c:pt idx="177" formatCode="0.000">
                  <c:v>9.9628266666666665</c:v>
                </c:pt>
                <c:pt idx="178" formatCode="0.000">
                  <c:v>9.4607499999999991</c:v>
                </c:pt>
                <c:pt idx="179" formatCode="0.000">
                  <c:v>8.8559999999999999</c:v>
                </c:pt>
                <c:pt idx="180" formatCode="0.000">
                  <c:v>8.3041599999999995</c:v>
                </c:pt>
                <c:pt idx="181" formatCode="0.000">
                  <c:v>7.718445</c:v>
                </c:pt>
                <c:pt idx="182" formatCode="0.000">
                  <c:v>7.2512849999999993</c:v>
                </c:pt>
                <c:pt idx="183" formatCode="0.000">
                  <c:v>6.7921666666666667</c:v>
                </c:pt>
                <c:pt idx="184" formatCode="0.000">
                  <c:v>6.3252916666666659</c:v>
                </c:pt>
                <c:pt idx="185" formatCode="0.000">
                  <c:v>5.9179250000000003</c:v>
                </c:pt>
                <c:pt idx="186" formatCode="0.000">
                  <c:v>5.5288866666666676</c:v>
                </c:pt>
                <c:pt idx="187" formatCode="0.000">
                  <c:v>5.0723199999999995</c:v>
                </c:pt>
                <c:pt idx="188" formatCode="0.000">
                  <c:v>4.6775599999999997</c:v>
                </c:pt>
                <c:pt idx="189" formatCode="0.000">
                  <c:v>4.3339266666666667</c:v>
                </c:pt>
                <c:pt idx="190" formatCode="0.000">
                  <c:v>3.9656183333333335</c:v>
                </c:pt>
                <c:pt idx="191" formatCode="0.000">
                  <c:v>3.6435666666666666</c:v>
                </c:pt>
                <c:pt idx="192" formatCode="0.000">
                  <c:v>3.3272648333333334</c:v>
                </c:pt>
                <c:pt idx="193" formatCode="0.000">
                  <c:v>2.9937866666666664</c:v>
                </c:pt>
                <c:pt idx="194" formatCode="0.000">
                  <c:v>2.7185009999999998</c:v>
                </c:pt>
                <c:pt idx="195" formatCode="0.000">
                  <c:v>2.4981105000000001</c:v>
                </c:pt>
                <c:pt idx="196" formatCode="0.000">
                  <c:v>2.2450625000000004</c:v>
                </c:pt>
                <c:pt idx="197" formatCode="0.000">
                  <c:v>2.0271280000000003</c:v>
                </c:pt>
                <c:pt idx="198" formatCode="0.000">
                  <c:v>1.8343259999999999</c:v>
                </c:pt>
                <c:pt idx="199" formatCode="0.000">
                  <c:v>1.687608</c:v>
                </c:pt>
                <c:pt idx="200" formatCode="0.000">
                  <c:v>1.5408899999999999</c:v>
                </c:pt>
                <c:pt idx="201" formatCode="0.000">
                  <c:v>1.2474540000000001</c:v>
                </c:pt>
                <c:pt idx="202" formatCode="0.000">
                  <c:v>0.95366700000000004</c:v>
                </c:pt>
                <c:pt idx="203" formatCode="0.000">
                  <c:v>0.84260199999999996</c:v>
                </c:pt>
                <c:pt idx="204" formatCode="0.000">
                  <c:v>0.80809850000000005</c:v>
                </c:pt>
                <c:pt idx="205" formatCode="0.000">
                  <c:v>0.70039600000000002</c:v>
                </c:pt>
                <c:pt idx="206" formatCode="0.000">
                  <c:v>0.69940300000000011</c:v>
                </c:pt>
                <c:pt idx="207" formatCode="0.000">
                  <c:v>0.59160933333333332</c:v>
                </c:pt>
                <c:pt idx="208" formatCode="0.000">
                  <c:v>0.59077333333333337</c:v>
                </c:pt>
                <c:pt idx="209" formatCode="0.000">
                  <c:v>0.51765816666666675</c:v>
                </c:pt>
                <c:pt idx="210" formatCode="0.000">
                  <c:v>0.51595133333333332</c:v>
                </c:pt>
                <c:pt idx="211" formatCode="0.000">
                  <c:v>0.47927399999999998</c:v>
                </c:pt>
                <c:pt idx="212" formatCode="0.000">
                  <c:v>0.44224400000000003</c:v>
                </c:pt>
                <c:pt idx="213" formatCode="0.000">
                  <c:v>0.44078099999999998</c:v>
                </c:pt>
                <c:pt idx="214" formatCode="0.000">
                  <c:v>0.40633333333333332</c:v>
                </c:pt>
                <c:pt idx="215" formatCode="0.000">
                  <c:v>0.29482933333333333</c:v>
                </c:pt>
                <c:pt idx="216" formatCode="0.000">
                  <c:v>0.18505483333333336</c:v>
                </c:pt>
                <c:pt idx="217" formatCode="0.000">
                  <c:v>0.22112200000000001</c:v>
                </c:pt>
                <c:pt idx="218" formatCode="0.000">
                  <c:v>0.25815199999999999</c:v>
                </c:pt>
                <c:pt idx="219" formatCode="0.000">
                  <c:v>0.14741466666666667</c:v>
                </c:pt>
                <c:pt idx="220" formatCode="0.000">
                  <c:v>0.14741466666666667</c:v>
                </c:pt>
                <c:pt idx="221" formatCode="0.000">
                  <c:v>0.11131299999999998</c:v>
                </c:pt>
                <c:pt idx="222" formatCode="0.000">
                  <c:v>7.409049999999999E-2</c:v>
                </c:pt>
                <c:pt idx="223" formatCode="0.000">
                  <c:v>3.7099999999999994E-2</c:v>
                </c:pt>
                <c:pt idx="224" formatCode="0.000">
                  <c:v>3.7099999999999994E-2</c:v>
                </c:pt>
                <c:pt idx="225" formatCode="0.000">
                  <c:v>0.11094666666666667</c:v>
                </c:pt>
                <c:pt idx="226" formatCode="0.000">
                  <c:v>3.7222499999999999E-2</c:v>
                </c:pt>
                <c:pt idx="227" formatCode="0.000">
                  <c:v>3.7222499999999999E-2</c:v>
                </c:pt>
                <c:pt idx="228" formatCode="0.000">
                  <c:v>0</c:v>
                </c:pt>
                <c:pt idx="229" formatCode="0.000">
                  <c:v>0</c:v>
                </c:pt>
                <c:pt idx="230" formatCode="0.000">
                  <c:v>0</c:v>
                </c:pt>
                <c:pt idx="231" formatCode="0.000">
                  <c:v>0</c:v>
                </c:pt>
                <c:pt idx="232" formatCode="0.000">
                  <c:v>0</c:v>
                </c:pt>
                <c:pt idx="233" formatCode="0.000">
                  <c:v>0</c:v>
                </c:pt>
                <c:pt idx="234" formatCode="0.000">
                  <c:v>0</c:v>
                </c:pt>
                <c:pt idx="235" formatCode="0.000">
                  <c:v>0</c:v>
                </c:pt>
                <c:pt idx="236" formatCode="0.000">
                  <c:v>0</c:v>
                </c:pt>
                <c:pt idx="237" formatCode="0.000">
                  <c:v>0</c:v>
                </c:pt>
                <c:pt idx="238" formatCode="0.000">
                  <c:v>0</c:v>
                </c:pt>
                <c:pt idx="239" formatCode="0.000">
                  <c:v>0.10838233333333333</c:v>
                </c:pt>
                <c:pt idx="240" formatCode="0.000">
                  <c:v>0.208791</c:v>
                </c:pt>
                <c:pt idx="241" formatCode="0.000">
                  <c:v>0.49496533333333342</c:v>
                </c:pt>
                <c:pt idx="242" formatCode="0.000">
                  <c:v>0.64459833333333327</c:v>
                </c:pt>
                <c:pt idx="243" formatCode="0.000">
                  <c:v>0.74264666666666668</c:v>
                </c:pt>
                <c:pt idx="244" formatCode="0.000">
                  <c:v>0.78805999999999998</c:v>
                </c:pt>
                <c:pt idx="245" formatCode="0.000">
                  <c:v>0.711144</c:v>
                </c:pt>
                <c:pt idx="246" formatCode="0.000">
                  <c:v>0.73047099999999998</c:v>
                </c:pt>
                <c:pt idx="247" formatCode="0.000">
                  <c:v>0.73703816666666677</c:v>
                </c:pt>
                <c:pt idx="248" formatCode="0.000">
                  <c:v>0.74612999999999996</c:v>
                </c:pt>
                <c:pt idx="249" formatCode="0.000">
                  <c:v>0.82187999999999994</c:v>
                </c:pt>
                <c:pt idx="250" formatCode="0.000">
                  <c:v>0.72857400000000005</c:v>
                </c:pt>
                <c:pt idx="251" formatCode="0.000">
                  <c:v>0.92034600000000011</c:v>
                </c:pt>
                <c:pt idx="252" formatCode="0.000">
                  <c:v>0.90437433333333328</c:v>
                </c:pt>
                <c:pt idx="253" formatCode="0.000">
                  <c:v>0.8999841666666667</c:v>
                </c:pt>
                <c:pt idx="254" formatCode="0.000">
                  <c:v>0.96533266666666651</c:v>
                </c:pt>
                <c:pt idx="255" formatCode="0.000">
                  <c:v>0.99298750000000002</c:v>
                </c:pt>
                <c:pt idx="256" formatCode="0.000">
                  <c:v>1.0396983333333332</c:v>
                </c:pt>
                <c:pt idx="257" formatCode="0.000">
                  <c:v>1.0868970000000002</c:v>
                </c:pt>
                <c:pt idx="258" formatCode="0.000">
                  <c:v>1.1138271666666666</c:v>
                </c:pt>
                <c:pt idx="259" formatCode="0.000">
                  <c:v>1.1690560000000001</c:v>
                </c:pt>
                <c:pt idx="260" formatCode="0.000">
                  <c:v>1.2149501666666669</c:v>
                </c:pt>
                <c:pt idx="261" formatCode="0.000">
                  <c:v>1.26318</c:v>
                </c:pt>
                <c:pt idx="262" formatCode="0.000">
                  <c:v>1.3256619999999999</c:v>
                </c:pt>
                <c:pt idx="263" formatCode="0.000">
                  <c:v>1.364857</c:v>
                </c:pt>
                <c:pt idx="264" formatCode="0.000">
                  <c:v>1.4538624999999998</c:v>
                </c:pt>
                <c:pt idx="265" formatCode="0.000">
                  <c:v>1.4982994999999999</c:v>
                </c:pt>
                <c:pt idx="266" formatCode="0.000">
                  <c:v>1.5711200000000001</c:v>
                </c:pt>
                <c:pt idx="267" formatCode="0.000">
                  <c:v>1.7109378333333332</c:v>
                </c:pt>
                <c:pt idx="268" formatCode="0.000">
                  <c:v>1.812719</c:v>
                </c:pt>
                <c:pt idx="269" formatCode="0.000">
                  <c:v>1.8739566666666667</c:v>
                </c:pt>
                <c:pt idx="270" formatCode="0.000">
                  <c:v>1.9024816666666666</c:v>
                </c:pt>
                <c:pt idx="271" formatCode="0.000">
                  <c:v>1.9259969999999997</c:v>
                </c:pt>
                <c:pt idx="272" formatCode="0.000">
                  <c:v>1.9628660000000002</c:v>
                </c:pt>
                <c:pt idx="273" formatCode="0.000">
                  <c:v>1.9875133333333335</c:v>
                </c:pt>
                <c:pt idx="274" formatCode="0.000">
                  <c:v>1.9826360000000001</c:v>
                </c:pt>
                <c:pt idx="275" formatCode="0.000">
                  <c:v>2.011091</c:v>
                </c:pt>
                <c:pt idx="276" formatCode="0.000">
                  <c:v>2.0355125000000003</c:v>
                </c:pt>
                <c:pt idx="277" formatCode="0.000">
                  <c:v>2.0588283333333335</c:v>
                </c:pt>
                <c:pt idx="278" formatCode="0.000">
                  <c:v>2.0868910000000001</c:v>
                </c:pt>
                <c:pt idx="279" formatCode="0.000">
                  <c:v>2.1204494999999999</c:v>
                </c:pt>
                <c:pt idx="280" formatCode="0.000">
                  <c:v>2.1152235000000004</c:v>
                </c:pt>
                <c:pt idx="281" formatCode="0.000">
                  <c:v>2.1432861666666669</c:v>
                </c:pt>
                <c:pt idx="282" formatCode="0.000">
                  <c:v>2.1996813333333334</c:v>
                </c:pt>
                <c:pt idx="283" formatCode="0.000">
                  <c:v>2.195605333333333</c:v>
                </c:pt>
                <c:pt idx="284" formatCode="0.000">
                  <c:v>2.223885333333333</c:v>
                </c:pt>
                <c:pt idx="285" formatCode="0.000">
                  <c:v>2.223885333333333</c:v>
                </c:pt>
                <c:pt idx="286" formatCode="0.000">
                  <c:v>2.2518959999999999</c:v>
                </c:pt>
                <c:pt idx="287" formatCode="0.000">
                  <c:v>2.280176</c:v>
                </c:pt>
                <c:pt idx="288" formatCode="0.000">
                  <c:v>2.3081866666666668</c:v>
                </c:pt>
                <c:pt idx="289" formatCode="0.000">
                  <c:v>2.3364666666666669</c:v>
                </c:pt>
                <c:pt idx="290" formatCode="0.000">
                  <c:v>2.3586246666666661</c:v>
                </c:pt>
                <c:pt idx="291" formatCode="0.000">
                  <c:v>2.3644773333333333</c:v>
                </c:pt>
                <c:pt idx="292" formatCode="0.000">
                  <c:v>2.392757333333333</c:v>
                </c:pt>
                <c:pt idx="293" formatCode="0.000">
                  <c:v>2.392757333333333</c:v>
                </c:pt>
                <c:pt idx="294" formatCode="0.000">
                  <c:v>2.392757333333333</c:v>
                </c:pt>
                <c:pt idx="295" formatCode="0.000">
                  <c:v>2.4417399999999998</c:v>
                </c:pt>
                <c:pt idx="296" formatCode="0.000">
                  <c:v>2.4642029999999999</c:v>
                </c:pt>
                <c:pt idx="297" formatCode="0.000">
                  <c:v>2.5138466666666663</c:v>
                </c:pt>
                <c:pt idx="298" formatCode="0.000">
                  <c:v>2.4985183333333332</c:v>
                </c:pt>
                <c:pt idx="299" formatCode="0.000">
                  <c:v>2.5378956666666661</c:v>
                </c:pt>
                <c:pt idx="300" formatCode="0.000">
                  <c:v>2.5662703333333332</c:v>
                </c:pt>
                <c:pt idx="301" formatCode="0.000">
                  <c:v>2.555296666666667</c:v>
                </c:pt>
                <c:pt idx="302" formatCode="0.000">
                  <c:v>2.5599996666666671</c:v>
                </c:pt>
                <c:pt idx="303" formatCode="0.000">
                  <c:v>2.5949178333333331</c:v>
                </c:pt>
                <c:pt idx="304" formatCode="0.000">
                  <c:v>2.6107694999999995</c:v>
                </c:pt>
                <c:pt idx="305" formatCode="0.000">
                  <c:v>2.6171101666666665</c:v>
                </c:pt>
                <c:pt idx="306" formatCode="0.000">
                  <c:v>2.6457275</c:v>
                </c:pt>
                <c:pt idx="307" formatCode="0.000">
                  <c:v>2.6681400000000002</c:v>
                </c:pt>
                <c:pt idx="308" formatCode="0.000">
                  <c:v>2.696688</c:v>
                </c:pt>
                <c:pt idx="309" formatCode="0.000">
                  <c:v>2.696688</c:v>
                </c:pt>
                <c:pt idx="310" formatCode="0.000">
                  <c:v>2.7255104999999999</c:v>
                </c:pt>
                <c:pt idx="311" formatCode="0.000">
                  <c:v>2.2561633333333333</c:v>
                </c:pt>
                <c:pt idx="312" formatCode="0.000">
                  <c:v>2.117232</c:v>
                </c:pt>
                <c:pt idx="313" formatCode="0.000">
                  <c:v>1.9309179999999999</c:v>
                </c:pt>
                <c:pt idx="314" formatCode="0.000">
                  <c:v>1.9214249999999999</c:v>
                </c:pt>
                <c:pt idx="315" formatCode="0.000">
                  <c:v>1.9746720000000002</c:v>
                </c:pt>
                <c:pt idx="316" formatCode="0.000">
                  <c:v>2.0619421666666669</c:v>
                </c:pt>
                <c:pt idx="317" formatCode="0.000">
                  <c:v>2.1366179999999999</c:v>
                </c:pt>
                <c:pt idx="318" formatCode="0.000">
                  <c:v>2.2512639999999999</c:v>
                </c:pt>
                <c:pt idx="319" formatCode="0.000">
                  <c:v>2.3462999999999998</c:v>
                </c:pt>
                <c:pt idx="320" formatCode="0.000">
                  <c:v>2.4768133333333333</c:v>
                </c:pt>
                <c:pt idx="321" formatCode="0.000">
                  <c:v>2.6276633333333335</c:v>
                </c:pt>
                <c:pt idx="322" formatCode="0.000">
                  <c:v>2.7591840000000003</c:v>
                </c:pt>
                <c:pt idx="323" formatCode="0.000">
                  <c:v>2.8712960000000001</c:v>
                </c:pt>
                <c:pt idx="324" formatCode="0.000">
                  <c:v>2.9534610000000003</c:v>
                </c:pt>
                <c:pt idx="325" formatCode="0.000">
                  <c:v>3.0720234999999998</c:v>
                </c:pt>
                <c:pt idx="326" formatCode="0.000">
                  <c:v>3.2020846666666669</c:v>
                </c:pt>
                <c:pt idx="327" formatCode="0.000">
                  <c:v>3.3577613333333334</c:v>
                </c:pt>
                <c:pt idx="328" formatCode="0.000">
                  <c:v>1.4323118333333333</c:v>
                </c:pt>
                <c:pt idx="329" formatCode="0.000">
                  <c:v>0.95599800000000013</c:v>
                </c:pt>
                <c:pt idx="330" formatCode="0.000">
                  <c:v>1.5169754999999998</c:v>
                </c:pt>
                <c:pt idx="331" formatCode="0.000">
                  <c:v>2.3770563333333334</c:v>
                </c:pt>
                <c:pt idx="332" formatCode="0.000">
                  <c:v>4.2615100000000004</c:v>
                </c:pt>
                <c:pt idx="333" formatCode="0.000">
                  <c:v>4.916488666666667</c:v>
                </c:pt>
                <c:pt idx="334" formatCode="0.000">
                  <c:v>1.1660304666666668</c:v>
                </c:pt>
                <c:pt idx="335" formatCode="0.000">
                  <c:v>0.21720863333333332</c:v>
                </c:pt>
                <c:pt idx="336" formatCode="0.000">
                  <c:v>5.0368999999999997E-2</c:v>
                </c:pt>
                <c:pt idx="337" formatCode="0.000">
                  <c:v>2.4822233333333332E-2</c:v>
                </c:pt>
                <c:pt idx="338" formatCode="0.000">
                  <c:v>1.2286749999999997E-2</c:v>
                </c:pt>
                <c:pt idx="339" formatCode="0.000">
                  <c:v>1.2165999999999998E-2</c:v>
                </c:pt>
                <c:pt idx="340" formatCode="0.000">
                  <c:v>1.1982249999999998E-2</c:v>
                </c:pt>
                <c:pt idx="341" formatCode="0.000">
                  <c:v>1.1861500000000001E-2</c:v>
                </c:pt>
                <c:pt idx="342" formatCode="0.000">
                  <c:v>1.1679499999999999E-2</c:v>
                </c:pt>
                <c:pt idx="343" formatCode="0.000">
                  <c:v>0</c:v>
                </c:pt>
                <c:pt idx="344" formatCode="0.000">
                  <c:v>0</c:v>
                </c:pt>
                <c:pt idx="345" formatCode="0.000">
                  <c:v>0</c:v>
                </c:pt>
                <c:pt idx="346" formatCode="0.000">
                  <c:v>0</c:v>
                </c:pt>
                <c:pt idx="347" formatCode="0.000">
                  <c:v>0</c:v>
                </c:pt>
                <c:pt idx="348" formatCode="0.000">
                  <c:v>0</c:v>
                </c:pt>
                <c:pt idx="349" formatCode="0.000">
                  <c:v>0</c:v>
                </c:pt>
                <c:pt idx="350" formatCode="0.000">
                  <c:v>0</c:v>
                </c:pt>
                <c:pt idx="351" formatCode="0.000">
                  <c:v>0</c:v>
                </c:pt>
                <c:pt idx="352" formatCode="0.000">
                  <c:v>0</c:v>
                </c:pt>
                <c:pt idx="353" formatCode="0.000">
                  <c:v>0</c:v>
                </c:pt>
                <c:pt idx="354" formatCode="0.000">
                  <c:v>0</c:v>
                </c:pt>
                <c:pt idx="355" formatCode="0.000">
                  <c:v>0</c:v>
                </c:pt>
                <c:pt idx="356" formatCode="0.000">
                  <c:v>0</c:v>
                </c:pt>
                <c:pt idx="357" formatCode="0.000">
                  <c:v>0</c:v>
                </c:pt>
                <c:pt idx="358" formatCode="0.000">
                  <c:v>0</c:v>
                </c:pt>
                <c:pt idx="359" formatCode="0.000">
                  <c:v>0</c:v>
                </c:pt>
                <c:pt idx="360" formatCode="0.000">
                  <c:v>0</c:v>
                </c:pt>
                <c:pt idx="361" formatCode="0.000">
                  <c:v>0</c:v>
                </c:pt>
                <c:pt idx="362" formatCode="0.000">
                  <c:v>0</c:v>
                </c:pt>
                <c:pt idx="363" formatCode="0.000">
                  <c:v>0</c:v>
                </c:pt>
                <c:pt idx="364" formatCode="0.000">
                  <c:v>0</c:v>
                </c:pt>
                <c:pt idx="365" formatCode="0.000">
                  <c:v>0</c:v>
                </c:pt>
                <c:pt idx="366" formatCode="0.000">
                  <c:v>0</c:v>
                </c:pt>
                <c:pt idx="367" formatCode="0.000">
                  <c:v>0</c:v>
                </c:pt>
                <c:pt idx="368" formatCode="0.000">
                  <c:v>0</c:v>
                </c:pt>
                <c:pt idx="369" formatCode="0.000">
                  <c:v>0</c:v>
                </c:pt>
                <c:pt idx="370" formatCode="0.000">
                  <c:v>0</c:v>
                </c:pt>
                <c:pt idx="371" formatCode="0.000">
                  <c:v>0</c:v>
                </c:pt>
                <c:pt idx="372" formatCode="0.000">
                  <c:v>0</c:v>
                </c:pt>
                <c:pt idx="373" formatCode="0.000">
                  <c:v>0</c:v>
                </c:pt>
                <c:pt idx="374" formatCode="0.000">
                  <c:v>0</c:v>
                </c:pt>
                <c:pt idx="375" formatCode="0.000">
                  <c:v>0</c:v>
                </c:pt>
                <c:pt idx="376" formatCode="0.000">
                  <c:v>0</c:v>
                </c:pt>
                <c:pt idx="377" formatCode="0.000">
                  <c:v>0</c:v>
                </c:pt>
                <c:pt idx="378" formatCode="0.000">
                  <c:v>0</c:v>
                </c:pt>
                <c:pt idx="379" formatCode="0.000">
                  <c:v>0</c:v>
                </c:pt>
                <c:pt idx="380" formatCode="0.000">
                  <c:v>0</c:v>
                </c:pt>
                <c:pt idx="381" formatCode="0.000">
                  <c:v>0</c:v>
                </c:pt>
                <c:pt idx="382" formatCode="0.000">
                  <c:v>0</c:v>
                </c:pt>
                <c:pt idx="383" formatCode="0.000">
                  <c:v>0</c:v>
                </c:pt>
                <c:pt idx="384" formatCode="0.000">
                  <c:v>0</c:v>
                </c:pt>
                <c:pt idx="385" formatCode="0.000">
                  <c:v>0</c:v>
                </c:pt>
                <c:pt idx="386" formatCode="0.000">
                  <c:v>0</c:v>
                </c:pt>
                <c:pt idx="387" formatCode="0.000">
                  <c:v>0</c:v>
                </c:pt>
                <c:pt idx="388" formatCode="0.000">
                  <c:v>0</c:v>
                </c:pt>
                <c:pt idx="389" formatCode="0.000">
                  <c:v>0</c:v>
                </c:pt>
                <c:pt idx="390" formatCode="0.000">
                  <c:v>0</c:v>
                </c:pt>
                <c:pt idx="391" formatCode="0.000">
                  <c:v>0</c:v>
                </c:pt>
                <c:pt idx="392" formatCode="0.000">
                  <c:v>0</c:v>
                </c:pt>
                <c:pt idx="393" formatCode="0.000">
                  <c:v>0</c:v>
                </c:pt>
                <c:pt idx="394" formatCode="0.000">
                  <c:v>0</c:v>
                </c:pt>
                <c:pt idx="395" formatCode="0.000">
                  <c:v>0</c:v>
                </c:pt>
                <c:pt idx="396" formatCode="0.000">
                  <c:v>0</c:v>
                </c:pt>
                <c:pt idx="397" formatCode="0.000">
                  <c:v>0</c:v>
                </c:pt>
                <c:pt idx="398" formatCode="0.000">
                  <c:v>0</c:v>
                </c:pt>
                <c:pt idx="399" formatCode="0.000">
                  <c:v>0</c:v>
                </c:pt>
                <c:pt idx="400" formatCode="0.000">
                  <c:v>0</c:v>
                </c:pt>
                <c:pt idx="401" formatCode="0.000">
                  <c:v>0</c:v>
                </c:pt>
                <c:pt idx="402" formatCode="0.000">
                  <c:v>0</c:v>
                </c:pt>
                <c:pt idx="403" formatCode="0.000">
                  <c:v>0</c:v>
                </c:pt>
                <c:pt idx="404" formatCode="0.000">
                  <c:v>0</c:v>
                </c:pt>
                <c:pt idx="405" formatCode="0.000">
                  <c:v>0</c:v>
                </c:pt>
                <c:pt idx="406" formatCode="0.000">
                  <c:v>0</c:v>
                </c:pt>
                <c:pt idx="407" formatCode="0.000">
                  <c:v>0</c:v>
                </c:pt>
                <c:pt idx="408" formatCode="0.000">
                  <c:v>0</c:v>
                </c:pt>
                <c:pt idx="409" formatCode="0.000">
                  <c:v>0</c:v>
                </c:pt>
                <c:pt idx="410" formatCode="0.000">
                  <c:v>0</c:v>
                </c:pt>
                <c:pt idx="411" formatCode="0.000">
                  <c:v>0</c:v>
                </c:pt>
                <c:pt idx="412" formatCode="0.000">
                  <c:v>0</c:v>
                </c:pt>
                <c:pt idx="413" formatCode="0.000">
                  <c:v>0</c:v>
                </c:pt>
                <c:pt idx="414" formatCode="0.000">
                  <c:v>0</c:v>
                </c:pt>
              </c:numCache>
            </c:numRef>
          </c:val>
          <c:smooth val="0"/>
          <c:extLst>
            <c:ext xmlns:c16="http://schemas.microsoft.com/office/drawing/2014/chart" uri="{C3380CC4-5D6E-409C-BE32-E72D297353CC}">
              <c16:uniqueId val="{00000000-1E02-49AD-8F98-1007DCB1B8E8}"/>
            </c:ext>
          </c:extLst>
        </c:ser>
        <c:dLbls>
          <c:showLegendKey val="0"/>
          <c:showVal val="0"/>
          <c:showCatName val="0"/>
          <c:showSerName val="0"/>
          <c:showPercent val="0"/>
          <c:showBubbleSize val="0"/>
        </c:dLbls>
        <c:smooth val="0"/>
        <c:axId val="563037935"/>
        <c:axId val="563039599"/>
      </c:lineChart>
      <c:catAx>
        <c:axId val="563037935"/>
        <c:scaling>
          <c:orientation val="minMax"/>
        </c:scaling>
        <c:delete val="0"/>
        <c:axPos val="b"/>
        <c:numFmt formatCode="0" sourceLinked="0"/>
        <c:majorTickMark val="out"/>
        <c:minorTickMark val="none"/>
        <c:tickLblPos val="nextTo"/>
        <c:spPr>
          <a:noFill/>
          <a:ln w="3175" cap="flat" cmpd="sng" algn="ctr">
            <a:solidFill>
              <a:schemeClr val="tx1"/>
            </a:solidFill>
            <a:round/>
          </a:ln>
          <a:effectLst/>
        </c:spPr>
        <c:txPr>
          <a:bodyPr rot="-5400000" spcFirstLastPara="1" vertOverflow="ellipsis"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563039599"/>
        <c:crosses val="autoZero"/>
        <c:auto val="1"/>
        <c:lblAlgn val="ctr"/>
        <c:lblOffset val="100"/>
        <c:tickLblSkip val="20"/>
        <c:tickMarkSkip val="20"/>
        <c:noMultiLvlLbl val="0"/>
      </c:catAx>
      <c:valAx>
        <c:axId val="563039599"/>
        <c:scaling>
          <c:orientation val="minMax"/>
        </c:scaling>
        <c:delete val="0"/>
        <c:axPos val="l"/>
        <c:numFmt formatCode="General" sourceLinked="1"/>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563037935"/>
        <c:crosses val="autoZero"/>
        <c:crossBetween val="between"/>
      </c:valAx>
      <c:spPr>
        <a:noFill/>
        <a:ln w="3175">
          <a:solidFill>
            <a:schemeClr val="tx1"/>
          </a:solidFill>
        </a:ln>
        <a:effectLst/>
      </c:spPr>
    </c:plotArea>
    <c:legend>
      <c:legendPos val="b"/>
      <c:layout>
        <c:manualLayout>
          <c:xMode val="edge"/>
          <c:yMode val="edge"/>
          <c:x val="0.62063206705343288"/>
          <c:y val="8.5355348001520753E-2"/>
          <c:w val="0.35655954271917406"/>
          <c:h val="0.16379897643352101"/>
        </c:manualLayout>
      </c:layout>
      <c:overlay val="1"/>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Garamond" panose="02020404030301010803" pitchFamily="18" charset="0"/>
        </a:defRPr>
      </a:pPr>
      <a:endParaRPr lang="sr-Latn-R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v>Hydraulic power 12.12.2021</c:v>
          </c:tx>
          <c:spPr>
            <a:ln w="3175" cap="rnd">
              <a:solidFill>
                <a:srgbClr val="0000FF"/>
              </a:solidFill>
              <a:round/>
            </a:ln>
            <a:effectLst/>
          </c:spPr>
          <c:marker>
            <c:symbol val="none"/>
          </c:marker>
          <c:cat>
            <c:numRef>
              <c:f>'12-12-2021b'!$A$2:$A$416</c:f>
              <c:numCache>
                <c:formatCode>0.00</c:formatCode>
                <c:ptCount val="415"/>
                <c:pt idx="0">
                  <c:v>0</c:v>
                </c:pt>
                <c:pt idx="1">
                  <c:v>5.5550000000000002E-2</c:v>
                </c:pt>
                <c:pt idx="2">
                  <c:v>0.1111</c:v>
                </c:pt>
                <c:pt idx="3">
                  <c:v>0.16664999999999999</c:v>
                </c:pt>
                <c:pt idx="4">
                  <c:v>0.22220000000000001</c:v>
                </c:pt>
                <c:pt idx="5">
                  <c:v>0.27775</c:v>
                </c:pt>
                <c:pt idx="6">
                  <c:v>0.33329999999999999</c:v>
                </c:pt>
                <c:pt idx="7">
                  <c:v>0.38884999999999997</c:v>
                </c:pt>
                <c:pt idx="8">
                  <c:v>0.44440000000000002</c:v>
                </c:pt>
                <c:pt idx="9">
                  <c:v>0.49995000000000001</c:v>
                </c:pt>
                <c:pt idx="10">
                  <c:v>0.55549999999999999</c:v>
                </c:pt>
                <c:pt idx="11">
                  <c:v>0.61104999999999998</c:v>
                </c:pt>
                <c:pt idx="12">
                  <c:v>0.66659999999999997</c:v>
                </c:pt>
                <c:pt idx="13">
                  <c:v>0.72214999999999996</c:v>
                </c:pt>
                <c:pt idx="14">
                  <c:v>0.77769999999999995</c:v>
                </c:pt>
                <c:pt idx="15">
                  <c:v>0.83325000000000005</c:v>
                </c:pt>
                <c:pt idx="16">
                  <c:v>0.88880000000000003</c:v>
                </c:pt>
                <c:pt idx="17">
                  <c:v>0.94435000000000002</c:v>
                </c:pt>
                <c:pt idx="18">
                  <c:v>0.99990000000000001</c:v>
                </c:pt>
                <c:pt idx="19">
                  <c:v>1.05545</c:v>
                </c:pt>
                <c:pt idx="20">
                  <c:v>1.111</c:v>
                </c:pt>
                <c:pt idx="21">
                  <c:v>1.16655</c:v>
                </c:pt>
                <c:pt idx="22">
                  <c:v>1.2221</c:v>
                </c:pt>
                <c:pt idx="23">
                  <c:v>1.27765</c:v>
                </c:pt>
                <c:pt idx="24">
                  <c:v>1.3331999999999999</c:v>
                </c:pt>
                <c:pt idx="25">
                  <c:v>1.3887499999999999</c:v>
                </c:pt>
                <c:pt idx="26">
                  <c:v>1.4442999999999999</c:v>
                </c:pt>
                <c:pt idx="27">
                  <c:v>1.4998499999999999</c:v>
                </c:pt>
                <c:pt idx="28">
                  <c:v>1.5553999999999999</c:v>
                </c:pt>
                <c:pt idx="29">
                  <c:v>1.6109500000000001</c:v>
                </c:pt>
                <c:pt idx="30">
                  <c:v>1.6665000000000001</c:v>
                </c:pt>
                <c:pt idx="31">
                  <c:v>1.7220500000000001</c:v>
                </c:pt>
                <c:pt idx="32">
                  <c:v>1.7776000000000001</c:v>
                </c:pt>
                <c:pt idx="33">
                  <c:v>1.8331500000000001</c:v>
                </c:pt>
                <c:pt idx="34">
                  <c:v>1.8887</c:v>
                </c:pt>
                <c:pt idx="35">
                  <c:v>1.94425</c:v>
                </c:pt>
                <c:pt idx="36">
                  <c:v>1.9998</c:v>
                </c:pt>
                <c:pt idx="37">
                  <c:v>2.0553499999999998</c:v>
                </c:pt>
                <c:pt idx="38">
                  <c:v>2.1109</c:v>
                </c:pt>
                <c:pt idx="39">
                  <c:v>2.1664500000000002</c:v>
                </c:pt>
                <c:pt idx="40">
                  <c:v>2.222</c:v>
                </c:pt>
                <c:pt idx="41">
                  <c:v>2.2775500000000002</c:v>
                </c:pt>
                <c:pt idx="42">
                  <c:v>2.3331</c:v>
                </c:pt>
                <c:pt idx="43">
                  <c:v>2.3886500000000002</c:v>
                </c:pt>
                <c:pt idx="44">
                  <c:v>2.4441999999999999</c:v>
                </c:pt>
                <c:pt idx="45">
                  <c:v>2.4997500000000001</c:v>
                </c:pt>
                <c:pt idx="46">
                  <c:v>2.5552999999999999</c:v>
                </c:pt>
                <c:pt idx="47">
                  <c:v>2.6108500000000001</c:v>
                </c:pt>
                <c:pt idx="48">
                  <c:v>2.6663999999999999</c:v>
                </c:pt>
                <c:pt idx="49">
                  <c:v>2.7219500000000001</c:v>
                </c:pt>
                <c:pt idx="50">
                  <c:v>2.7774999999999999</c:v>
                </c:pt>
                <c:pt idx="51">
                  <c:v>2.8330500000000001</c:v>
                </c:pt>
                <c:pt idx="52">
                  <c:v>2.8885999999999998</c:v>
                </c:pt>
                <c:pt idx="53">
                  <c:v>2.94415</c:v>
                </c:pt>
                <c:pt idx="54">
                  <c:v>2.9996999999999998</c:v>
                </c:pt>
                <c:pt idx="55">
                  <c:v>3.05525</c:v>
                </c:pt>
                <c:pt idx="56">
                  <c:v>3.1107999999999998</c:v>
                </c:pt>
                <c:pt idx="57">
                  <c:v>3.16635</c:v>
                </c:pt>
                <c:pt idx="58">
                  <c:v>3.2219000000000002</c:v>
                </c:pt>
                <c:pt idx="59">
                  <c:v>3.27745</c:v>
                </c:pt>
                <c:pt idx="60">
                  <c:v>3.3330000000000002</c:v>
                </c:pt>
                <c:pt idx="61">
                  <c:v>3.38855</c:v>
                </c:pt>
                <c:pt idx="62">
                  <c:v>3.4441000000000002</c:v>
                </c:pt>
                <c:pt idx="63">
                  <c:v>3.4996499999999999</c:v>
                </c:pt>
                <c:pt idx="64">
                  <c:v>3.5552000000000001</c:v>
                </c:pt>
                <c:pt idx="65">
                  <c:v>3.6107499999999999</c:v>
                </c:pt>
                <c:pt idx="66">
                  <c:v>3.6663000000000001</c:v>
                </c:pt>
                <c:pt idx="67">
                  <c:v>3.7218499999999999</c:v>
                </c:pt>
                <c:pt idx="68">
                  <c:v>3.7774000000000001</c:v>
                </c:pt>
                <c:pt idx="69">
                  <c:v>3.8329499999999999</c:v>
                </c:pt>
                <c:pt idx="70">
                  <c:v>3.8885000000000001</c:v>
                </c:pt>
                <c:pt idx="71">
                  <c:v>3.9440499999999998</c:v>
                </c:pt>
                <c:pt idx="72">
                  <c:v>3.9996</c:v>
                </c:pt>
                <c:pt idx="73">
                  <c:v>4.0551500000000003</c:v>
                </c:pt>
                <c:pt idx="74">
                  <c:v>4.1106999999999996</c:v>
                </c:pt>
                <c:pt idx="75">
                  <c:v>4.1662499999999998</c:v>
                </c:pt>
                <c:pt idx="76">
                  <c:v>4.2218</c:v>
                </c:pt>
                <c:pt idx="77">
                  <c:v>4.2773500000000002</c:v>
                </c:pt>
                <c:pt idx="78">
                  <c:v>4.3329000000000004</c:v>
                </c:pt>
                <c:pt idx="79">
                  <c:v>4.3884499999999997</c:v>
                </c:pt>
                <c:pt idx="80">
                  <c:v>4.444</c:v>
                </c:pt>
                <c:pt idx="81">
                  <c:v>4.4995500000000002</c:v>
                </c:pt>
                <c:pt idx="82">
                  <c:v>4.5551000000000004</c:v>
                </c:pt>
                <c:pt idx="83">
                  <c:v>4.6106499999999997</c:v>
                </c:pt>
                <c:pt idx="84">
                  <c:v>4.6661999999999999</c:v>
                </c:pt>
                <c:pt idx="85">
                  <c:v>4.7217500000000001</c:v>
                </c:pt>
                <c:pt idx="86">
                  <c:v>4.7773000000000003</c:v>
                </c:pt>
                <c:pt idx="87">
                  <c:v>4.8328499999999996</c:v>
                </c:pt>
                <c:pt idx="88">
                  <c:v>4.8883999999999999</c:v>
                </c:pt>
                <c:pt idx="89">
                  <c:v>4.9439500000000001</c:v>
                </c:pt>
                <c:pt idx="90">
                  <c:v>4.9995000000000003</c:v>
                </c:pt>
                <c:pt idx="91">
                  <c:v>5.0550499999999996</c:v>
                </c:pt>
                <c:pt idx="92">
                  <c:v>5.1105999999999998</c:v>
                </c:pt>
                <c:pt idx="93">
                  <c:v>5.16615</c:v>
                </c:pt>
                <c:pt idx="94">
                  <c:v>5.2217000000000002</c:v>
                </c:pt>
                <c:pt idx="95">
                  <c:v>5.2772500000000004</c:v>
                </c:pt>
                <c:pt idx="96">
                  <c:v>5.3327999999999998</c:v>
                </c:pt>
                <c:pt idx="97">
                  <c:v>5.38835</c:v>
                </c:pt>
                <c:pt idx="98">
                  <c:v>5.4439000000000002</c:v>
                </c:pt>
                <c:pt idx="99">
                  <c:v>5.4994500000000004</c:v>
                </c:pt>
                <c:pt idx="100">
                  <c:v>5.5549999999999997</c:v>
                </c:pt>
                <c:pt idx="101">
                  <c:v>5.6105499999999999</c:v>
                </c:pt>
                <c:pt idx="102">
                  <c:v>5.6661000000000001</c:v>
                </c:pt>
                <c:pt idx="103">
                  <c:v>5.7216500000000003</c:v>
                </c:pt>
                <c:pt idx="104">
                  <c:v>5.7771999999999997</c:v>
                </c:pt>
                <c:pt idx="105">
                  <c:v>5.8327499999999999</c:v>
                </c:pt>
                <c:pt idx="106">
                  <c:v>5.8883000000000001</c:v>
                </c:pt>
                <c:pt idx="107">
                  <c:v>5.9438500000000003</c:v>
                </c:pt>
                <c:pt idx="108">
                  <c:v>5.9993999999999996</c:v>
                </c:pt>
                <c:pt idx="109">
                  <c:v>6.0549499999999998</c:v>
                </c:pt>
                <c:pt idx="110">
                  <c:v>6.1105</c:v>
                </c:pt>
                <c:pt idx="111">
                  <c:v>6.1660500000000003</c:v>
                </c:pt>
                <c:pt idx="112">
                  <c:v>6.2215999999999996</c:v>
                </c:pt>
                <c:pt idx="113">
                  <c:v>6.2771499999999998</c:v>
                </c:pt>
                <c:pt idx="114">
                  <c:v>6.3327</c:v>
                </c:pt>
                <c:pt idx="115">
                  <c:v>6.3882500000000002</c:v>
                </c:pt>
                <c:pt idx="116">
                  <c:v>6.4438000000000004</c:v>
                </c:pt>
                <c:pt idx="117">
                  <c:v>6.4993499999999997</c:v>
                </c:pt>
                <c:pt idx="118">
                  <c:v>6.5548999999999999</c:v>
                </c:pt>
                <c:pt idx="119">
                  <c:v>6.6104500000000002</c:v>
                </c:pt>
                <c:pt idx="120">
                  <c:v>6.6660000000000004</c:v>
                </c:pt>
                <c:pt idx="121">
                  <c:v>6.7215499999999997</c:v>
                </c:pt>
                <c:pt idx="122">
                  <c:v>6.7770999999999999</c:v>
                </c:pt>
                <c:pt idx="123">
                  <c:v>6.8326500000000001</c:v>
                </c:pt>
                <c:pt idx="124">
                  <c:v>6.8882000000000003</c:v>
                </c:pt>
                <c:pt idx="125">
                  <c:v>6.9437499999999996</c:v>
                </c:pt>
                <c:pt idx="126">
                  <c:v>6.9992999999999999</c:v>
                </c:pt>
                <c:pt idx="127">
                  <c:v>7.0548500000000001</c:v>
                </c:pt>
                <c:pt idx="128">
                  <c:v>7.1104000000000003</c:v>
                </c:pt>
                <c:pt idx="129">
                  <c:v>7.1659499999999996</c:v>
                </c:pt>
                <c:pt idx="130">
                  <c:v>7.2214999999999998</c:v>
                </c:pt>
                <c:pt idx="131">
                  <c:v>7.27705</c:v>
                </c:pt>
                <c:pt idx="132">
                  <c:v>7.3326000000000002</c:v>
                </c:pt>
                <c:pt idx="133">
                  <c:v>7.3881500000000004</c:v>
                </c:pt>
                <c:pt idx="134">
                  <c:v>7.4436999999999998</c:v>
                </c:pt>
                <c:pt idx="135">
                  <c:v>7.49925</c:v>
                </c:pt>
                <c:pt idx="136">
                  <c:v>7.5548000000000002</c:v>
                </c:pt>
                <c:pt idx="137">
                  <c:v>7.6103500000000004</c:v>
                </c:pt>
                <c:pt idx="138">
                  <c:v>7.6658999999999997</c:v>
                </c:pt>
                <c:pt idx="139">
                  <c:v>7.7214499999999999</c:v>
                </c:pt>
                <c:pt idx="140">
                  <c:v>7.7770000000000001</c:v>
                </c:pt>
                <c:pt idx="141">
                  <c:v>7.8325500000000003</c:v>
                </c:pt>
                <c:pt idx="142">
                  <c:v>7.8880999999999997</c:v>
                </c:pt>
                <c:pt idx="143">
                  <c:v>7.9436499999999999</c:v>
                </c:pt>
                <c:pt idx="144">
                  <c:v>7.9992000000000001</c:v>
                </c:pt>
                <c:pt idx="145">
                  <c:v>8.0547500000000003</c:v>
                </c:pt>
                <c:pt idx="146">
                  <c:v>8.1103000000000005</c:v>
                </c:pt>
                <c:pt idx="147">
                  <c:v>8.1658500000000007</c:v>
                </c:pt>
                <c:pt idx="148">
                  <c:v>8.2213999999999992</c:v>
                </c:pt>
                <c:pt idx="149">
                  <c:v>8.2769499999999994</c:v>
                </c:pt>
                <c:pt idx="150">
                  <c:v>8.3324999999999996</c:v>
                </c:pt>
                <c:pt idx="151">
                  <c:v>8.3880499999999998</c:v>
                </c:pt>
                <c:pt idx="152">
                  <c:v>8.4436</c:v>
                </c:pt>
                <c:pt idx="153">
                  <c:v>8.4991500000000002</c:v>
                </c:pt>
                <c:pt idx="154">
                  <c:v>8.5547000000000004</c:v>
                </c:pt>
                <c:pt idx="155">
                  <c:v>8.6102500000000006</c:v>
                </c:pt>
                <c:pt idx="156">
                  <c:v>8.6658000000000008</c:v>
                </c:pt>
                <c:pt idx="157">
                  <c:v>8.7213499999999993</c:v>
                </c:pt>
                <c:pt idx="158">
                  <c:v>8.7768999999999995</c:v>
                </c:pt>
                <c:pt idx="159">
                  <c:v>8.8324499999999997</c:v>
                </c:pt>
                <c:pt idx="160">
                  <c:v>8.8879999999999999</c:v>
                </c:pt>
                <c:pt idx="161">
                  <c:v>8.9435500000000001</c:v>
                </c:pt>
                <c:pt idx="162">
                  <c:v>8.9991000000000003</c:v>
                </c:pt>
                <c:pt idx="163">
                  <c:v>9.0546500000000005</c:v>
                </c:pt>
                <c:pt idx="164">
                  <c:v>9.1102000000000007</c:v>
                </c:pt>
                <c:pt idx="165">
                  <c:v>9.1657499999999992</c:v>
                </c:pt>
                <c:pt idx="166">
                  <c:v>9.2212999999999994</c:v>
                </c:pt>
                <c:pt idx="167">
                  <c:v>9.2768499999999996</c:v>
                </c:pt>
                <c:pt idx="168">
                  <c:v>9.3323999999999998</c:v>
                </c:pt>
                <c:pt idx="169">
                  <c:v>9.38795</c:v>
                </c:pt>
                <c:pt idx="170">
                  <c:v>9.4435000000000002</c:v>
                </c:pt>
                <c:pt idx="171">
                  <c:v>9.4990500000000004</c:v>
                </c:pt>
                <c:pt idx="172">
                  <c:v>9.5546000000000006</c:v>
                </c:pt>
                <c:pt idx="173">
                  <c:v>9.6101500000000009</c:v>
                </c:pt>
                <c:pt idx="174">
                  <c:v>9.6656999999999993</c:v>
                </c:pt>
                <c:pt idx="175">
                  <c:v>9.7212499999999995</c:v>
                </c:pt>
                <c:pt idx="176">
                  <c:v>9.7767999999999997</c:v>
                </c:pt>
                <c:pt idx="177">
                  <c:v>9.8323499999999999</c:v>
                </c:pt>
                <c:pt idx="178">
                  <c:v>9.8879000000000001</c:v>
                </c:pt>
                <c:pt idx="179">
                  <c:v>9.9434500000000003</c:v>
                </c:pt>
                <c:pt idx="180">
                  <c:v>9.9990000000000006</c:v>
                </c:pt>
                <c:pt idx="181">
                  <c:v>10.054550000000001</c:v>
                </c:pt>
                <c:pt idx="182">
                  <c:v>10.110099999999999</c:v>
                </c:pt>
                <c:pt idx="183">
                  <c:v>10.165649999999999</c:v>
                </c:pt>
                <c:pt idx="184">
                  <c:v>10.2212</c:v>
                </c:pt>
                <c:pt idx="185">
                  <c:v>10.27675</c:v>
                </c:pt>
                <c:pt idx="186">
                  <c:v>10.3323</c:v>
                </c:pt>
                <c:pt idx="187">
                  <c:v>10.38785</c:v>
                </c:pt>
                <c:pt idx="188">
                  <c:v>10.4434</c:v>
                </c:pt>
                <c:pt idx="189">
                  <c:v>10.498950000000001</c:v>
                </c:pt>
                <c:pt idx="190">
                  <c:v>10.554500000000001</c:v>
                </c:pt>
                <c:pt idx="191">
                  <c:v>10.610049999999999</c:v>
                </c:pt>
                <c:pt idx="192">
                  <c:v>10.6656</c:v>
                </c:pt>
                <c:pt idx="193">
                  <c:v>10.72115</c:v>
                </c:pt>
                <c:pt idx="194">
                  <c:v>10.7767</c:v>
                </c:pt>
                <c:pt idx="195">
                  <c:v>10.83225</c:v>
                </c:pt>
                <c:pt idx="196">
                  <c:v>10.8878</c:v>
                </c:pt>
                <c:pt idx="197">
                  <c:v>10.943350000000001</c:v>
                </c:pt>
                <c:pt idx="198">
                  <c:v>10.998900000000001</c:v>
                </c:pt>
                <c:pt idx="199">
                  <c:v>11.054449999999999</c:v>
                </c:pt>
                <c:pt idx="200">
                  <c:v>11.11</c:v>
                </c:pt>
                <c:pt idx="201">
                  <c:v>11.16555</c:v>
                </c:pt>
                <c:pt idx="202">
                  <c:v>11.2211</c:v>
                </c:pt>
                <c:pt idx="203">
                  <c:v>11.27665</c:v>
                </c:pt>
                <c:pt idx="204">
                  <c:v>11.3322</c:v>
                </c:pt>
                <c:pt idx="205">
                  <c:v>11.38775</c:v>
                </c:pt>
                <c:pt idx="206">
                  <c:v>11.443300000000001</c:v>
                </c:pt>
                <c:pt idx="207">
                  <c:v>11.498849999999999</c:v>
                </c:pt>
                <c:pt idx="208">
                  <c:v>11.554399999999999</c:v>
                </c:pt>
                <c:pt idx="209">
                  <c:v>11.60995</c:v>
                </c:pt>
                <c:pt idx="210">
                  <c:v>11.6655</c:v>
                </c:pt>
                <c:pt idx="211">
                  <c:v>11.72105</c:v>
                </c:pt>
                <c:pt idx="212">
                  <c:v>11.7766</c:v>
                </c:pt>
                <c:pt idx="213">
                  <c:v>11.83215</c:v>
                </c:pt>
                <c:pt idx="214">
                  <c:v>11.887700000000001</c:v>
                </c:pt>
                <c:pt idx="215">
                  <c:v>11.943250000000001</c:v>
                </c:pt>
                <c:pt idx="216">
                  <c:v>11.998799999999999</c:v>
                </c:pt>
                <c:pt idx="217">
                  <c:v>12.054349999999999</c:v>
                </c:pt>
                <c:pt idx="218">
                  <c:v>12.1099</c:v>
                </c:pt>
                <c:pt idx="219">
                  <c:v>12.16545</c:v>
                </c:pt>
                <c:pt idx="220">
                  <c:v>12.221</c:v>
                </c:pt>
                <c:pt idx="221">
                  <c:v>12.27655</c:v>
                </c:pt>
                <c:pt idx="222">
                  <c:v>12.332100000000001</c:v>
                </c:pt>
                <c:pt idx="223">
                  <c:v>12.387650000000001</c:v>
                </c:pt>
                <c:pt idx="224">
                  <c:v>12.443199999999999</c:v>
                </c:pt>
                <c:pt idx="225">
                  <c:v>12.498749999999999</c:v>
                </c:pt>
                <c:pt idx="226">
                  <c:v>12.5543</c:v>
                </c:pt>
                <c:pt idx="227">
                  <c:v>12.60985</c:v>
                </c:pt>
                <c:pt idx="228">
                  <c:v>12.6654</c:v>
                </c:pt>
                <c:pt idx="229">
                  <c:v>12.72095</c:v>
                </c:pt>
                <c:pt idx="230">
                  <c:v>12.7765</c:v>
                </c:pt>
                <c:pt idx="231">
                  <c:v>12.832050000000001</c:v>
                </c:pt>
                <c:pt idx="232">
                  <c:v>12.887600000000001</c:v>
                </c:pt>
                <c:pt idx="233">
                  <c:v>12.943149999999999</c:v>
                </c:pt>
                <c:pt idx="234">
                  <c:v>12.998699999999999</c:v>
                </c:pt>
                <c:pt idx="235">
                  <c:v>13.05425</c:v>
                </c:pt>
                <c:pt idx="236">
                  <c:v>13.1098</c:v>
                </c:pt>
                <c:pt idx="237">
                  <c:v>13.16535</c:v>
                </c:pt>
                <c:pt idx="238">
                  <c:v>13.2209</c:v>
                </c:pt>
                <c:pt idx="239">
                  <c:v>13.276450000000001</c:v>
                </c:pt>
                <c:pt idx="240">
                  <c:v>13.332000000000001</c:v>
                </c:pt>
                <c:pt idx="241">
                  <c:v>13.387549999999999</c:v>
                </c:pt>
                <c:pt idx="242">
                  <c:v>13.443099999999999</c:v>
                </c:pt>
                <c:pt idx="243">
                  <c:v>13.49865</c:v>
                </c:pt>
                <c:pt idx="244">
                  <c:v>13.5542</c:v>
                </c:pt>
                <c:pt idx="245">
                  <c:v>13.60975</c:v>
                </c:pt>
                <c:pt idx="246">
                  <c:v>13.6653</c:v>
                </c:pt>
                <c:pt idx="247">
                  <c:v>13.72085</c:v>
                </c:pt>
                <c:pt idx="248">
                  <c:v>13.776400000000001</c:v>
                </c:pt>
                <c:pt idx="249">
                  <c:v>13.831950000000001</c:v>
                </c:pt>
                <c:pt idx="250">
                  <c:v>13.887499999999999</c:v>
                </c:pt>
                <c:pt idx="251">
                  <c:v>13.943049999999999</c:v>
                </c:pt>
                <c:pt idx="252">
                  <c:v>13.9986</c:v>
                </c:pt>
                <c:pt idx="253">
                  <c:v>14.05415</c:v>
                </c:pt>
                <c:pt idx="254">
                  <c:v>14.1097</c:v>
                </c:pt>
                <c:pt idx="255">
                  <c:v>14.16525</c:v>
                </c:pt>
                <c:pt idx="256">
                  <c:v>14.220800000000001</c:v>
                </c:pt>
                <c:pt idx="257">
                  <c:v>14.276350000000001</c:v>
                </c:pt>
                <c:pt idx="258">
                  <c:v>14.331899999999999</c:v>
                </c:pt>
                <c:pt idx="259">
                  <c:v>14.387449999999999</c:v>
                </c:pt>
                <c:pt idx="260">
                  <c:v>14.443</c:v>
                </c:pt>
                <c:pt idx="261">
                  <c:v>14.49855</c:v>
                </c:pt>
                <c:pt idx="262">
                  <c:v>14.5541</c:v>
                </c:pt>
                <c:pt idx="263">
                  <c:v>14.60965</c:v>
                </c:pt>
                <c:pt idx="264">
                  <c:v>14.6652</c:v>
                </c:pt>
                <c:pt idx="265">
                  <c:v>14.720750000000001</c:v>
                </c:pt>
                <c:pt idx="266">
                  <c:v>14.776300000000001</c:v>
                </c:pt>
                <c:pt idx="267">
                  <c:v>14.831849999999999</c:v>
                </c:pt>
                <c:pt idx="268">
                  <c:v>14.8874</c:v>
                </c:pt>
                <c:pt idx="269">
                  <c:v>14.94295</c:v>
                </c:pt>
                <c:pt idx="270">
                  <c:v>14.9985</c:v>
                </c:pt>
                <c:pt idx="271">
                  <c:v>15.05405</c:v>
                </c:pt>
                <c:pt idx="272">
                  <c:v>15.1096</c:v>
                </c:pt>
                <c:pt idx="273">
                  <c:v>15.165150000000001</c:v>
                </c:pt>
                <c:pt idx="274">
                  <c:v>15.220700000000001</c:v>
                </c:pt>
                <c:pt idx="275">
                  <c:v>15.276249999999999</c:v>
                </c:pt>
                <c:pt idx="276">
                  <c:v>15.331799999999999</c:v>
                </c:pt>
                <c:pt idx="277">
                  <c:v>15.38735</c:v>
                </c:pt>
                <c:pt idx="278">
                  <c:v>15.4429</c:v>
                </c:pt>
                <c:pt idx="279">
                  <c:v>15.49845</c:v>
                </c:pt>
                <c:pt idx="280">
                  <c:v>15.554</c:v>
                </c:pt>
                <c:pt idx="281">
                  <c:v>15.60955</c:v>
                </c:pt>
                <c:pt idx="282">
                  <c:v>15.665100000000001</c:v>
                </c:pt>
                <c:pt idx="283">
                  <c:v>15.720649999999999</c:v>
                </c:pt>
                <c:pt idx="284">
                  <c:v>15.776199999999999</c:v>
                </c:pt>
                <c:pt idx="285">
                  <c:v>15.83175</c:v>
                </c:pt>
                <c:pt idx="286">
                  <c:v>15.8873</c:v>
                </c:pt>
                <c:pt idx="287">
                  <c:v>15.94285</c:v>
                </c:pt>
                <c:pt idx="288">
                  <c:v>15.9984</c:v>
                </c:pt>
                <c:pt idx="289">
                  <c:v>16.05395</c:v>
                </c:pt>
                <c:pt idx="290">
                  <c:v>16.109500000000001</c:v>
                </c:pt>
                <c:pt idx="291">
                  <c:v>16.165050000000001</c:v>
                </c:pt>
                <c:pt idx="292">
                  <c:v>16.220600000000001</c:v>
                </c:pt>
                <c:pt idx="293">
                  <c:v>16.276150000000001</c:v>
                </c:pt>
                <c:pt idx="294">
                  <c:v>16.331700000000001</c:v>
                </c:pt>
                <c:pt idx="295">
                  <c:v>16.387250000000002</c:v>
                </c:pt>
                <c:pt idx="296">
                  <c:v>16.442799999999998</c:v>
                </c:pt>
                <c:pt idx="297">
                  <c:v>16.498349999999999</c:v>
                </c:pt>
                <c:pt idx="298">
                  <c:v>16.553899999999999</c:v>
                </c:pt>
                <c:pt idx="299">
                  <c:v>16.609449999999999</c:v>
                </c:pt>
                <c:pt idx="300">
                  <c:v>16.664999999999999</c:v>
                </c:pt>
                <c:pt idx="301">
                  <c:v>16.720549999999999</c:v>
                </c:pt>
                <c:pt idx="302">
                  <c:v>16.7761</c:v>
                </c:pt>
                <c:pt idx="303">
                  <c:v>16.83165</c:v>
                </c:pt>
                <c:pt idx="304">
                  <c:v>16.8872</c:v>
                </c:pt>
                <c:pt idx="305">
                  <c:v>16.94275</c:v>
                </c:pt>
                <c:pt idx="306">
                  <c:v>16.9983</c:v>
                </c:pt>
                <c:pt idx="307">
                  <c:v>17.053850000000001</c:v>
                </c:pt>
                <c:pt idx="308">
                  <c:v>17.109400000000001</c:v>
                </c:pt>
                <c:pt idx="309">
                  <c:v>17.164950000000001</c:v>
                </c:pt>
                <c:pt idx="310">
                  <c:v>17.220500000000001</c:v>
                </c:pt>
                <c:pt idx="311">
                  <c:v>17.276050000000001</c:v>
                </c:pt>
                <c:pt idx="312">
                  <c:v>17.331600000000002</c:v>
                </c:pt>
                <c:pt idx="313">
                  <c:v>17.387149999999998</c:v>
                </c:pt>
                <c:pt idx="314">
                  <c:v>17.442699999999999</c:v>
                </c:pt>
                <c:pt idx="315">
                  <c:v>17.498249999999999</c:v>
                </c:pt>
                <c:pt idx="316">
                  <c:v>17.553799999999999</c:v>
                </c:pt>
                <c:pt idx="317">
                  <c:v>17.609349999999999</c:v>
                </c:pt>
                <c:pt idx="318">
                  <c:v>17.664899999999999</c:v>
                </c:pt>
                <c:pt idx="319">
                  <c:v>17.72045</c:v>
                </c:pt>
                <c:pt idx="320">
                  <c:v>17.776</c:v>
                </c:pt>
                <c:pt idx="321">
                  <c:v>17.83155</c:v>
                </c:pt>
                <c:pt idx="322">
                  <c:v>17.8871</c:v>
                </c:pt>
                <c:pt idx="323">
                  <c:v>17.94265</c:v>
                </c:pt>
                <c:pt idx="324">
                  <c:v>17.998200000000001</c:v>
                </c:pt>
                <c:pt idx="325">
                  <c:v>18.053750000000001</c:v>
                </c:pt>
                <c:pt idx="326">
                  <c:v>18.109300000000001</c:v>
                </c:pt>
                <c:pt idx="327">
                  <c:v>18.164850000000001</c:v>
                </c:pt>
                <c:pt idx="328">
                  <c:v>18.220400000000001</c:v>
                </c:pt>
                <c:pt idx="329">
                  <c:v>18.275950000000002</c:v>
                </c:pt>
                <c:pt idx="330">
                  <c:v>18.331499999999998</c:v>
                </c:pt>
                <c:pt idx="331">
                  <c:v>18.387049999999999</c:v>
                </c:pt>
                <c:pt idx="332">
                  <c:v>18.442599999999999</c:v>
                </c:pt>
                <c:pt idx="333">
                  <c:v>18.498149999999999</c:v>
                </c:pt>
                <c:pt idx="334">
                  <c:v>18.553699999999999</c:v>
                </c:pt>
                <c:pt idx="335">
                  <c:v>18.609249999999999</c:v>
                </c:pt>
                <c:pt idx="336">
                  <c:v>18.6648</c:v>
                </c:pt>
                <c:pt idx="337">
                  <c:v>18.72035</c:v>
                </c:pt>
                <c:pt idx="338">
                  <c:v>18.7759</c:v>
                </c:pt>
                <c:pt idx="339">
                  <c:v>18.83145</c:v>
                </c:pt>
                <c:pt idx="340">
                  <c:v>18.887</c:v>
                </c:pt>
                <c:pt idx="341">
                  <c:v>18.942550000000001</c:v>
                </c:pt>
                <c:pt idx="342">
                  <c:v>18.998100000000001</c:v>
                </c:pt>
                <c:pt idx="343">
                  <c:v>19.053650000000001</c:v>
                </c:pt>
                <c:pt idx="344">
                  <c:v>19.109200000000001</c:v>
                </c:pt>
                <c:pt idx="345">
                  <c:v>19.164750000000002</c:v>
                </c:pt>
                <c:pt idx="346">
                  <c:v>19.220300000000002</c:v>
                </c:pt>
                <c:pt idx="347">
                  <c:v>19.275849999999998</c:v>
                </c:pt>
                <c:pt idx="348">
                  <c:v>19.331399999999999</c:v>
                </c:pt>
                <c:pt idx="349">
                  <c:v>19.386949999999999</c:v>
                </c:pt>
                <c:pt idx="350">
                  <c:v>19.442499999999999</c:v>
                </c:pt>
                <c:pt idx="351">
                  <c:v>19.498049999999999</c:v>
                </c:pt>
                <c:pt idx="352">
                  <c:v>19.553599999999999</c:v>
                </c:pt>
                <c:pt idx="353">
                  <c:v>19.60915</c:v>
                </c:pt>
                <c:pt idx="354">
                  <c:v>19.6647</c:v>
                </c:pt>
                <c:pt idx="355">
                  <c:v>19.72025</c:v>
                </c:pt>
                <c:pt idx="356">
                  <c:v>19.7758</c:v>
                </c:pt>
                <c:pt idx="357">
                  <c:v>19.83135</c:v>
                </c:pt>
                <c:pt idx="358">
                  <c:v>19.886900000000001</c:v>
                </c:pt>
                <c:pt idx="359">
                  <c:v>19.942450000000001</c:v>
                </c:pt>
                <c:pt idx="360">
                  <c:v>19.998000000000001</c:v>
                </c:pt>
                <c:pt idx="361">
                  <c:v>20.053550000000001</c:v>
                </c:pt>
                <c:pt idx="362">
                  <c:v>20.109100000000002</c:v>
                </c:pt>
                <c:pt idx="363">
                  <c:v>20.164650000000002</c:v>
                </c:pt>
                <c:pt idx="364">
                  <c:v>20.220199999999998</c:v>
                </c:pt>
                <c:pt idx="365">
                  <c:v>20.275749999999999</c:v>
                </c:pt>
                <c:pt idx="366">
                  <c:v>20.331299999999999</c:v>
                </c:pt>
                <c:pt idx="367">
                  <c:v>20.386849999999999</c:v>
                </c:pt>
                <c:pt idx="368">
                  <c:v>20.442399999999999</c:v>
                </c:pt>
                <c:pt idx="369">
                  <c:v>20.497949999999999</c:v>
                </c:pt>
                <c:pt idx="370">
                  <c:v>20.5535</c:v>
                </c:pt>
                <c:pt idx="371">
                  <c:v>20.60905</c:v>
                </c:pt>
                <c:pt idx="372">
                  <c:v>20.6646</c:v>
                </c:pt>
                <c:pt idx="373">
                  <c:v>20.72015</c:v>
                </c:pt>
                <c:pt idx="374">
                  <c:v>20.775700000000001</c:v>
                </c:pt>
                <c:pt idx="375">
                  <c:v>20.831250000000001</c:v>
                </c:pt>
                <c:pt idx="376">
                  <c:v>20.886800000000001</c:v>
                </c:pt>
                <c:pt idx="377">
                  <c:v>20.942350000000001</c:v>
                </c:pt>
                <c:pt idx="378">
                  <c:v>20.997900000000001</c:v>
                </c:pt>
                <c:pt idx="379">
                  <c:v>21.053450000000002</c:v>
                </c:pt>
                <c:pt idx="380">
                  <c:v>21.109000000000002</c:v>
                </c:pt>
                <c:pt idx="381">
                  <c:v>21.164549999999998</c:v>
                </c:pt>
                <c:pt idx="382">
                  <c:v>21.220099999999999</c:v>
                </c:pt>
                <c:pt idx="383">
                  <c:v>21.275649999999999</c:v>
                </c:pt>
                <c:pt idx="384">
                  <c:v>21.331199999999999</c:v>
                </c:pt>
                <c:pt idx="385">
                  <c:v>21.386749999999999</c:v>
                </c:pt>
                <c:pt idx="386">
                  <c:v>21.442299999999999</c:v>
                </c:pt>
                <c:pt idx="387">
                  <c:v>21.49785</c:v>
                </c:pt>
                <c:pt idx="388">
                  <c:v>21.5534</c:v>
                </c:pt>
                <c:pt idx="389">
                  <c:v>21.60895</c:v>
                </c:pt>
                <c:pt idx="390">
                  <c:v>21.6645</c:v>
                </c:pt>
                <c:pt idx="391">
                  <c:v>21.720050000000001</c:v>
                </c:pt>
                <c:pt idx="392">
                  <c:v>21.775600000000001</c:v>
                </c:pt>
                <c:pt idx="393">
                  <c:v>21.831150000000001</c:v>
                </c:pt>
                <c:pt idx="394">
                  <c:v>21.886700000000001</c:v>
                </c:pt>
                <c:pt idx="395">
                  <c:v>21.942250000000001</c:v>
                </c:pt>
                <c:pt idx="396">
                  <c:v>21.997800000000002</c:v>
                </c:pt>
                <c:pt idx="397">
                  <c:v>22.053349999999998</c:v>
                </c:pt>
                <c:pt idx="398">
                  <c:v>22.108899999999998</c:v>
                </c:pt>
                <c:pt idx="399">
                  <c:v>22.164449999999999</c:v>
                </c:pt>
                <c:pt idx="400">
                  <c:v>22.22</c:v>
                </c:pt>
                <c:pt idx="401">
                  <c:v>22.275549999999999</c:v>
                </c:pt>
                <c:pt idx="402">
                  <c:v>22.331099999999999</c:v>
                </c:pt>
                <c:pt idx="403">
                  <c:v>22.386649999999999</c:v>
                </c:pt>
                <c:pt idx="404">
                  <c:v>22.4422</c:v>
                </c:pt>
                <c:pt idx="405">
                  <c:v>22.49775</c:v>
                </c:pt>
                <c:pt idx="406">
                  <c:v>22.5533</c:v>
                </c:pt>
                <c:pt idx="407">
                  <c:v>22.60885</c:v>
                </c:pt>
                <c:pt idx="408">
                  <c:v>22.664400000000001</c:v>
                </c:pt>
                <c:pt idx="409">
                  <c:v>22.719950000000001</c:v>
                </c:pt>
                <c:pt idx="410">
                  <c:v>22.775500000000001</c:v>
                </c:pt>
                <c:pt idx="411">
                  <c:v>22.831050000000001</c:v>
                </c:pt>
                <c:pt idx="412">
                  <c:v>22.886600000000001</c:v>
                </c:pt>
                <c:pt idx="413">
                  <c:v>22.942150000000002</c:v>
                </c:pt>
                <c:pt idx="414">
                  <c:v>22.997699999999998</c:v>
                </c:pt>
              </c:numCache>
            </c:numRef>
          </c:cat>
          <c:val>
            <c:numRef>
              <c:f>'12-12-2021b'!$AR$2:$AR$416</c:f>
              <c:numCache>
                <c:formatCode>General</c:formatCode>
                <c:ptCount val="415"/>
                <c:pt idx="9" formatCode="0.00">
                  <c:v>0</c:v>
                </c:pt>
                <c:pt idx="10" formatCode="0.00">
                  <c:v>0</c:v>
                </c:pt>
                <c:pt idx="11" formatCode="0.00">
                  <c:v>0</c:v>
                </c:pt>
                <c:pt idx="12" formatCode="0.00">
                  <c:v>0</c:v>
                </c:pt>
                <c:pt idx="13" formatCode="0.00">
                  <c:v>0</c:v>
                </c:pt>
                <c:pt idx="14" formatCode="0.00">
                  <c:v>0</c:v>
                </c:pt>
                <c:pt idx="15" formatCode="0.00">
                  <c:v>0</c:v>
                </c:pt>
                <c:pt idx="16" formatCode="0.00">
                  <c:v>0</c:v>
                </c:pt>
                <c:pt idx="17" formatCode="0.00">
                  <c:v>0</c:v>
                </c:pt>
                <c:pt idx="18" formatCode="0.000">
                  <c:v>4.9114833333333326E-3</c:v>
                </c:pt>
                <c:pt idx="19" formatCode="0.000">
                  <c:v>3.7784519999999995E-2</c:v>
                </c:pt>
                <c:pt idx="20" formatCode="0.000">
                  <c:v>0.10789917</c:v>
                </c:pt>
                <c:pt idx="21" formatCode="0.000">
                  <c:v>0.24851699999999999</c:v>
                </c:pt>
                <c:pt idx="22" formatCode="0.000">
                  <c:v>0.55183000000000004</c:v>
                </c:pt>
                <c:pt idx="23" formatCode="0.000">
                  <c:v>0.77465933333333326</c:v>
                </c:pt>
                <c:pt idx="24" formatCode="0.000">
                  <c:v>1.0453076666666665</c:v>
                </c:pt>
                <c:pt idx="25" formatCode="0.000">
                  <c:v>1.4958894999999999</c:v>
                </c:pt>
                <c:pt idx="26" formatCode="0.000">
                  <c:v>1.9646850000000002</c:v>
                </c:pt>
                <c:pt idx="27" formatCode="0.000">
                  <c:v>2.4422895000000002</c:v>
                </c:pt>
                <c:pt idx="28" formatCode="0.000">
                  <c:v>2.9348706666666664</c:v>
                </c:pt>
                <c:pt idx="29" formatCode="0.000">
                  <c:v>3.7078686666666671</c:v>
                </c:pt>
                <c:pt idx="30" formatCode="0.000">
                  <c:v>4.3809733333333334</c:v>
                </c:pt>
                <c:pt idx="31" formatCode="0.000">
                  <c:v>5.1683195</c:v>
                </c:pt>
                <c:pt idx="32" formatCode="0.000">
                  <c:v>5.8624253333333343</c:v>
                </c:pt>
                <c:pt idx="33" formatCode="0.000">
                  <c:v>5.6210084999999994</c:v>
                </c:pt>
                <c:pt idx="34" formatCode="0.000">
                  <c:v>5.756993333333333</c:v>
                </c:pt>
                <c:pt idx="35" formatCode="0.000">
                  <c:v>5.9456449999999998</c:v>
                </c:pt>
                <c:pt idx="36" formatCode="0.000">
                  <c:v>6.169039999999999</c:v>
                </c:pt>
                <c:pt idx="37" formatCode="0.000">
                  <c:v>6.4642500000000007</c:v>
                </c:pt>
                <c:pt idx="38" formatCode="0.000">
                  <c:v>6.0016750000000005</c:v>
                </c:pt>
                <c:pt idx="39" formatCode="0.000">
                  <c:v>6.2156666666666665</c:v>
                </c:pt>
                <c:pt idx="40" formatCode="0.000">
                  <c:v>6.3482780000000005</c:v>
                </c:pt>
                <c:pt idx="41" formatCode="0.000">
                  <c:v>6.2479793333333324</c:v>
                </c:pt>
                <c:pt idx="42" formatCode="0.000">
                  <c:v>6.7361666666666666</c:v>
                </c:pt>
                <c:pt idx="43" formatCode="0.000">
                  <c:v>6.6611300000000009</c:v>
                </c:pt>
                <c:pt idx="44" formatCode="0.000">
                  <c:v>6.5240498333333337</c:v>
                </c:pt>
                <c:pt idx="45" formatCode="0.000">
                  <c:v>6.3316540000000012</c:v>
                </c:pt>
                <c:pt idx="46" formatCode="0.000">
                  <c:v>7.4302650000000012</c:v>
                </c:pt>
                <c:pt idx="47" formatCode="0.000">
                  <c:v>8.4732000000000003</c:v>
                </c:pt>
                <c:pt idx="48" formatCode="0.000">
                  <c:v>8.9816533333333339</c:v>
                </c:pt>
                <c:pt idx="49" formatCode="0.000">
                  <c:v>8.3867549999999991</c:v>
                </c:pt>
                <c:pt idx="50" formatCode="0.000">
                  <c:v>10.749446666666666</c:v>
                </c:pt>
                <c:pt idx="51" formatCode="0.000">
                  <c:v>10.882879999999998</c:v>
                </c:pt>
                <c:pt idx="52" formatCode="0.000">
                  <c:v>10.538403333333333</c:v>
                </c:pt>
                <c:pt idx="53" formatCode="0.000">
                  <c:v>9.3387574999999998</c:v>
                </c:pt>
                <c:pt idx="54" formatCode="0.000">
                  <c:v>7.9139019999999993</c:v>
                </c:pt>
                <c:pt idx="55" formatCode="0.000">
                  <c:v>12.128270000000001</c:v>
                </c:pt>
                <c:pt idx="56" formatCode="0.000">
                  <c:v>10.2143</c:v>
                </c:pt>
                <c:pt idx="57" formatCode="0.000">
                  <c:v>11.13279</c:v>
                </c:pt>
                <c:pt idx="58" formatCode="0.000">
                  <c:v>11.323259999999999</c:v>
                </c:pt>
                <c:pt idx="59" formatCode="0.000">
                  <c:v>10.733065</c:v>
                </c:pt>
                <c:pt idx="60" formatCode="0.000">
                  <c:v>13.33629</c:v>
                </c:pt>
                <c:pt idx="61" formatCode="0.000">
                  <c:v>12.62079</c:v>
                </c:pt>
                <c:pt idx="62" formatCode="0.000">
                  <c:v>14.166144999999997</c:v>
                </c:pt>
                <c:pt idx="63" formatCode="0.000">
                  <c:v>12.976496666666666</c:v>
                </c:pt>
                <c:pt idx="64" formatCode="0.000">
                  <c:v>11.664900000000001</c:v>
                </c:pt>
                <c:pt idx="65" formatCode="0.000">
                  <c:v>12.253756666666668</c:v>
                </c:pt>
                <c:pt idx="66" formatCode="0.000">
                  <c:v>12.2492</c:v>
                </c:pt>
                <c:pt idx="67" formatCode="0.000">
                  <c:v>11.800836666666669</c:v>
                </c:pt>
                <c:pt idx="68" formatCode="0.000">
                  <c:v>10.5616</c:v>
                </c:pt>
                <c:pt idx="69" formatCode="0.000">
                  <c:v>11.182364999999999</c:v>
                </c:pt>
                <c:pt idx="70" formatCode="0.000">
                  <c:v>11.367699999999999</c:v>
                </c:pt>
                <c:pt idx="71" formatCode="0.000">
                  <c:v>11.655863333333333</c:v>
                </c:pt>
                <c:pt idx="72" formatCode="0.000">
                  <c:v>11.753813333333333</c:v>
                </c:pt>
                <c:pt idx="73" formatCode="0.000">
                  <c:v>9.989768333333334</c:v>
                </c:pt>
                <c:pt idx="74" formatCode="0.000">
                  <c:v>11.02178</c:v>
                </c:pt>
                <c:pt idx="75" formatCode="0.000">
                  <c:v>9.4029974999999997</c:v>
                </c:pt>
                <c:pt idx="76" formatCode="0.000">
                  <c:v>3.3186464999999998</c:v>
                </c:pt>
                <c:pt idx="77" formatCode="0.000">
                  <c:v>1.8443446666666667</c:v>
                </c:pt>
                <c:pt idx="78" formatCode="0.000">
                  <c:v>2.3134990000000002</c:v>
                </c:pt>
                <c:pt idx="79" formatCode="0.000">
                  <c:v>2.2819665000000002</c:v>
                </c:pt>
                <c:pt idx="80" formatCode="0.000">
                  <c:v>2.3606549999999999</c:v>
                </c:pt>
                <c:pt idx="81" formatCode="0.000">
                  <c:v>2.5186993333333336</c:v>
                </c:pt>
                <c:pt idx="82" formatCode="0.000">
                  <c:v>2.8284766666666665</c:v>
                </c:pt>
                <c:pt idx="83" formatCode="0.000">
                  <c:v>2.7554158333333332</c:v>
                </c:pt>
                <c:pt idx="84" formatCode="0.000">
                  <c:v>2.4701923333333338</c:v>
                </c:pt>
                <c:pt idx="85" formatCode="0.000">
                  <c:v>3.4461614999999997</c:v>
                </c:pt>
                <c:pt idx="86" formatCode="0.000">
                  <c:v>6.079866</c:v>
                </c:pt>
                <c:pt idx="87" formatCode="0.000">
                  <c:v>13.009243333333332</c:v>
                </c:pt>
                <c:pt idx="88" formatCode="0.000">
                  <c:v>9.9481633333333352</c:v>
                </c:pt>
                <c:pt idx="89" formatCode="0.000">
                  <c:v>11.942066666666667</c:v>
                </c:pt>
                <c:pt idx="90" formatCode="0.000">
                  <c:v>13.086279999999999</c:v>
                </c:pt>
                <c:pt idx="91" formatCode="0.000">
                  <c:v>11.633766666666666</c:v>
                </c:pt>
                <c:pt idx="92" formatCode="0.000">
                  <c:v>12.244871666666668</c:v>
                </c:pt>
                <c:pt idx="93" formatCode="0.000">
                  <c:v>12.5718</c:v>
                </c:pt>
                <c:pt idx="94" formatCode="0.000">
                  <c:v>12.237245000000001</c:v>
                </c:pt>
                <c:pt idx="95" formatCode="0.000">
                  <c:v>12.838850000000003</c:v>
                </c:pt>
                <c:pt idx="96" formatCode="0.000">
                  <c:v>13.893165</c:v>
                </c:pt>
                <c:pt idx="97" formatCode="0.000">
                  <c:v>13.18122</c:v>
                </c:pt>
                <c:pt idx="98" formatCode="0.000">
                  <c:v>12.081420000000001</c:v>
                </c:pt>
                <c:pt idx="99" formatCode="0.000">
                  <c:v>12.313583333333334</c:v>
                </c:pt>
                <c:pt idx="100" formatCode="0.000">
                  <c:v>12.596566666666668</c:v>
                </c:pt>
                <c:pt idx="101" formatCode="0.000">
                  <c:v>13.948374999999999</c:v>
                </c:pt>
                <c:pt idx="102" formatCode="0.000">
                  <c:v>13.042411666666666</c:v>
                </c:pt>
                <c:pt idx="103" formatCode="0.000">
                  <c:v>11.89615</c:v>
                </c:pt>
                <c:pt idx="104" formatCode="0.000">
                  <c:v>11.446516666666666</c:v>
                </c:pt>
                <c:pt idx="105" formatCode="0.000">
                  <c:v>12.06446</c:v>
                </c:pt>
                <c:pt idx="106" formatCode="0.000">
                  <c:v>12.71998</c:v>
                </c:pt>
                <c:pt idx="107" formatCode="0.000">
                  <c:v>10.730405000000001</c:v>
                </c:pt>
                <c:pt idx="108" formatCode="0.000">
                  <c:v>12.486705000000002</c:v>
                </c:pt>
                <c:pt idx="109" formatCode="0.000">
                  <c:v>13.636243333333333</c:v>
                </c:pt>
                <c:pt idx="110" formatCode="0.000">
                  <c:v>13.725904999999999</c:v>
                </c:pt>
                <c:pt idx="111" formatCode="0.000">
                  <c:v>13.51924</c:v>
                </c:pt>
                <c:pt idx="112" formatCode="0.000">
                  <c:v>11.21904</c:v>
                </c:pt>
                <c:pt idx="113" formatCode="0.000">
                  <c:v>13.92159</c:v>
                </c:pt>
                <c:pt idx="114" formatCode="0.000">
                  <c:v>14.193550000000002</c:v>
                </c:pt>
                <c:pt idx="115" formatCode="0.000">
                  <c:v>13.106041666666666</c:v>
                </c:pt>
                <c:pt idx="116" formatCode="0.000">
                  <c:v>13.37745</c:v>
                </c:pt>
                <c:pt idx="117" formatCode="0.000">
                  <c:v>14.329375000000001</c:v>
                </c:pt>
                <c:pt idx="118" formatCode="0.000">
                  <c:v>14.698025000000001</c:v>
                </c:pt>
                <c:pt idx="119" formatCode="0.000">
                  <c:v>15.32400333333333</c:v>
                </c:pt>
                <c:pt idx="120" formatCode="0.000">
                  <c:v>13.901859999999999</c:v>
                </c:pt>
                <c:pt idx="121" formatCode="0.000">
                  <c:v>11.872999999999999</c:v>
                </c:pt>
                <c:pt idx="122" formatCode="0.000">
                  <c:v>12.517199999999999</c:v>
                </c:pt>
                <c:pt idx="123" formatCode="0.000">
                  <c:v>14.973009999999999</c:v>
                </c:pt>
                <c:pt idx="124" formatCode="0.000">
                  <c:v>15.553295000000002</c:v>
                </c:pt>
                <c:pt idx="125" formatCode="0.000">
                  <c:v>12.285220000000001</c:v>
                </c:pt>
                <c:pt idx="126" formatCode="0.000">
                  <c:v>13.048973333333334</c:v>
                </c:pt>
                <c:pt idx="127" formatCode="0.000">
                  <c:v>11.465681666666667</c:v>
                </c:pt>
                <c:pt idx="128" formatCode="0.000">
                  <c:v>13.024804999999999</c:v>
                </c:pt>
                <c:pt idx="129" formatCode="0.000">
                  <c:v>13.828833333333336</c:v>
                </c:pt>
                <c:pt idx="130" formatCode="0.000">
                  <c:v>15.141866666666669</c:v>
                </c:pt>
                <c:pt idx="131" formatCode="0.000">
                  <c:v>15.235805000000001</c:v>
                </c:pt>
                <c:pt idx="132" formatCode="0.000">
                  <c:v>15.319725000000002</c:v>
                </c:pt>
                <c:pt idx="133" formatCode="0.000">
                  <c:v>12.017459999999998</c:v>
                </c:pt>
                <c:pt idx="134" formatCode="0.000">
                  <c:v>15.074783333333334</c:v>
                </c:pt>
                <c:pt idx="135" formatCode="0.000">
                  <c:v>13.80138</c:v>
                </c:pt>
                <c:pt idx="136" formatCode="0.000">
                  <c:v>13.7104</c:v>
                </c:pt>
                <c:pt idx="137" formatCode="0.000">
                  <c:v>14.453866666666666</c:v>
                </c:pt>
                <c:pt idx="138" formatCode="0.000">
                  <c:v>14.635143333333335</c:v>
                </c:pt>
                <c:pt idx="139" formatCode="0.000">
                  <c:v>14.327325</c:v>
                </c:pt>
                <c:pt idx="140" formatCode="0.000">
                  <c:v>15.701391666666666</c:v>
                </c:pt>
                <c:pt idx="141" formatCode="0.000">
                  <c:v>15.679550000000003</c:v>
                </c:pt>
                <c:pt idx="142" formatCode="0.000">
                  <c:v>12.954226666666667</c:v>
                </c:pt>
                <c:pt idx="143" formatCode="0.000">
                  <c:v>11.485665000000001</c:v>
                </c:pt>
                <c:pt idx="144" formatCode="0.000">
                  <c:v>13.182853333333334</c:v>
                </c:pt>
                <c:pt idx="145" formatCode="0.000">
                  <c:v>12.652640000000002</c:v>
                </c:pt>
                <c:pt idx="146" formatCode="0.000">
                  <c:v>13.469500000000002</c:v>
                </c:pt>
                <c:pt idx="147" formatCode="0.000">
                  <c:v>16.292249999999999</c:v>
                </c:pt>
                <c:pt idx="148" formatCode="0.000">
                  <c:v>15.499388333333332</c:v>
                </c:pt>
                <c:pt idx="149" formatCode="0.000">
                  <c:v>15.833100000000002</c:v>
                </c:pt>
                <c:pt idx="150" formatCode="0.000">
                  <c:v>13.999263333333332</c:v>
                </c:pt>
                <c:pt idx="151" formatCode="0.000">
                  <c:v>14.804285</c:v>
                </c:pt>
                <c:pt idx="152" formatCode="0.000">
                  <c:v>13.848113333333334</c:v>
                </c:pt>
                <c:pt idx="153" formatCode="0.000">
                  <c:v>13.954929999999997</c:v>
                </c:pt>
                <c:pt idx="154" formatCode="0.000">
                  <c:v>14.670824999999999</c:v>
                </c:pt>
                <c:pt idx="155" formatCode="0.000">
                  <c:v>15.497359999999999</c:v>
                </c:pt>
                <c:pt idx="156" formatCode="0.000">
                  <c:v>15.976280000000001</c:v>
                </c:pt>
                <c:pt idx="157" formatCode="0.000">
                  <c:v>15.59976</c:v>
                </c:pt>
                <c:pt idx="158" formatCode="0.000">
                  <c:v>12.259938333333331</c:v>
                </c:pt>
                <c:pt idx="159" formatCode="0.000">
                  <c:v>13.598865</c:v>
                </c:pt>
                <c:pt idx="160" formatCode="0.000">
                  <c:v>12.310866666666666</c:v>
                </c:pt>
                <c:pt idx="161" formatCode="0.000">
                  <c:v>14.701749999999999</c:v>
                </c:pt>
                <c:pt idx="162" formatCode="0.000">
                  <c:v>15.744491666666667</c:v>
                </c:pt>
                <c:pt idx="163" formatCode="0.000">
                  <c:v>16.663345</c:v>
                </c:pt>
                <c:pt idx="164" formatCode="0.000">
                  <c:v>14.954041666666665</c:v>
                </c:pt>
                <c:pt idx="165" formatCode="0.000">
                  <c:v>14.69115666666667</c:v>
                </c:pt>
                <c:pt idx="166" formatCode="0.000">
                  <c:v>14.607973333333332</c:v>
                </c:pt>
                <c:pt idx="167" formatCode="0.000">
                  <c:v>15.916933333333331</c:v>
                </c:pt>
                <c:pt idx="168" formatCode="0.000">
                  <c:v>15.998266666666666</c:v>
                </c:pt>
                <c:pt idx="169" formatCode="0.000">
                  <c:v>14.88725</c:v>
                </c:pt>
                <c:pt idx="170" formatCode="0.000">
                  <c:v>13.62928</c:v>
                </c:pt>
                <c:pt idx="171" formatCode="0.000">
                  <c:v>13.731263333333333</c:v>
                </c:pt>
                <c:pt idx="172" formatCode="0.000">
                  <c:v>13.059233333333333</c:v>
                </c:pt>
                <c:pt idx="173" formatCode="0.000">
                  <c:v>12.223816666666666</c:v>
                </c:pt>
                <c:pt idx="174" formatCode="0.000">
                  <c:v>11.7102</c:v>
                </c:pt>
                <c:pt idx="175" formatCode="0.000">
                  <c:v>11.148245000000001</c:v>
                </c:pt>
                <c:pt idx="176" formatCode="0.000">
                  <c:v>10.551270000000001</c:v>
                </c:pt>
                <c:pt idx="177" formatCode="0.000">
                  <c:v>9.9628266666666665</c:v>
                </c:pt>
                <c:pt idx="178" formatCode="0.000">
                  <c:v>9.4607499999999991</c:v>
                </c:pt>
                <c:pt idx="179" formatCode="0.000">
                  <c:v>8.8559999999999999</c:v>
                </c:pt>
                <c:pt idx="180" formatCode="0.000">
                  <c:v>8.3041599999999995</c:v>
                </c:pt>
                <c:pt idx="181" formatCode="0.000">
                  <c:v>7.718445</c:v>
                </c:pt>
                <c:pt idx="182" formatCode="0.000">
                  <c:v>7.2512849999999993</c:v>
                </c:pt>
                <c:pt idx="183" formatCode="0.000">
                  <c:v>6.7921666666666667</c:v>
                </c:pt>
                <c:pt idx="184" formatCode="0.000">
                  <c:v>6.3252916666666659</c:v>
                </c:pt>
                <c:pt idx="185" formatCode="0.000">
                  <c:v>5.9179250000000003</c:v>
                </c:pt>
                <c:pt idx="186" formatCode="0.000">
                  <c:v>5.5288866666666676</c:v>
                </c:pt>
                <c:pt idx="187" formatCode="0.000">
                  <c:v>5.0723199999999995</c:v>
                </c:pt>
                <c:pt idx="188" formatCode="0.000">
                  <c:v>4.6775599999999997</c:v>
                </c:pt>
                <c:pt idx="189" formatCode="0.000">
                  <c:v>4.3339266666666667</c:v>
                </c:pt>
                <c:pt idx="190" formatCode="0.000">
                  <c:v>3.9656183333333335</c:v>
                </c:pt>
                <c:pt idx="191" formatCode="0.000">
                  <c:v>3.6435666666666666</c:v>
                </c:pt>
                <c:pt idx="192" formatCode="0.000">
                  <c:v>3.3272648333333334</c:v>
                </c:pt>
                <c:pt idx="193" formatCode="0.000">
                  <c:v>2.9937866666666664</c:v>
                </c:pt>
                <c:pt idx="194" formatCode="0.000">
                  <c:v>2.7185009999999998</c:v>
                </c:pt>
                <c:pt idx="195" formatCode="0.000">
                  <c:v>2.4981105000000001</c:v>
                </c:pt>
                <c:pt idx="196" formatCode="0.000">
                  <c:v>2.2450625000000004</c:v>
                </c:pt>
                <c:pt idx="197" formatCode="0.000">
                  <c:v>2.0271280000000003</c:v>
                </c:pt>
                <c:pt idx="198" formatCode="0.000">
                  <c:v>1.8343259999999999</c:v>
                </c:pt>
                <c:pt idx="199" formatCode="0.000">
                  <c:v>1.687608</c:v>
                </c:pt>
                <c:pt idx="200" formatCode="0.000">
                  <c:v>1.5408899999999999</c:v>
                </c:pt>
                <c:pt idx="201" formatCode="0.000">
                  <c:v>1.2474540000000001</c:v>
                </c:pt>
                <c:pt idx="202" formatCode="0.000">
                  <c:v>0.95366700000000004</c:v>
                </c:pt>
                <c:pt idx="203" formatCode="0.000">
                  <c:v>0.84260199999999996</c:v>
                </c:pt>
                <c:pt idx="204" formatCode="0.000">
                  <c:v>0.80809850000000005</c:v>
                </c:pt>
                <c:pt idx="205" formatCode="0.000">
                  <c:v>0.70039600000000002</c:v>
                </c:pt>
                <c:pt idx="206" formatCode="0.000">
                  <c:v>0.69940300000000011</c:v>
                </c:pt>
                <c:pt idx="207" formatCode="0.000">
                  <c:v>0.59160933333333332</c:v>
                </c:pt>
                <c:pt idx="208" formatCode="0.000">
                  <c:v>0.59077333333333337</c:v>
                </c:pt>
                <c:pt idx="209" formatCode="0.000">
                  <c:v>0.51765816666666675</c:v>
                </c:pt>
                <c:pt idx="210" formatCode="0.000">
                  <c:v>0.51595133333333332</c:v>
                </c:pt>
                <c:pt idx="211" formatCode="0.000">
                  <c:v>0.47927399999999998</c:v>
                </c:pt>
                <c:pt idx="212" formatCode="0.000">
                  <c:v>0.44224400000000003</c:v>
                </c:pt>
                <c:pt idx="213" formatCode="0.000">
                  <c:v>0.44078099999999998</c:v>
                </c:pt>
                <c:pt idx="214" formatCode="0.000">
                  <c:v>0.40633333333333332</c:v>
                </c:pt>
                <c:pt idx="215" formatCode="0.000">
                  <c:v>0.29482933333333333</c:v>
                </c:pt>
                <c:pt idx="216" formatCode="0.000">
                  <c:v>0.18505483333333336</c:v>
                </c:pt>
                <c:pt idx="217" formatCode="0.000">
                  <c:v>0.22112200000000001</c:v>
                </c:pt>
                <c:pt idx="218" formatCode="0.000">
                  <c:v>0.25815199999999999</c:v>
                </c:pt>
                <c:pt idx="219" formatCode="0.000">
                  <c:v>0.14741466666666667</c:v>
                </c:pt>
                <c:pt idx="220" formatCode="0.000">
                  <c:v>0.14741466666666667</c:v>
                </c:pt>
                <c:pt idx="221" formatCode="0.000">
                  <c:v>0.11131299999999998</c:v>
                </c:pt>
                <c:pt idx="222" formatCode="0.000">
                  <c:v>7.409049999999999E-2</c:v>
                </c:pt>
                <c:pt idx="223" formatCode="0.000">
                  <c:v>3.7099999999999994E-2</c:v>
                </c:pt>
                <c:pt idx="224" formatCode="0.000">
                  <c:v>3.7099999999999994E-2</c:v>
                </c:pt>
                <c:pt idx="225" formatCode="0.000">
                  <c:v>0.11094666666666667</c:v>
                </c:pt>
                <c:pt idx="226" formatCode="0.000">
                  <c:v>3.7222499999999999E-2</c:v>
                </c:pt>
                <c:pt idx="227" formatCode="0.000">
                  <c:v>3.7222499999999999E-2</c:v>
                </c:pt>
                <c:pt idx="228" formatCode="0.000">
                  <c:v>0</c:v>
                </c:pt>
                <c:pt idx="229" formatCode="0.000">
                  <c:v>0</c:v>
                </c:pt>
                <c:pt idx="230" formatCode="0.000">
                  <c:v>0</c:v>
                </c:pt>
                <c:pt idx="231" formatCode="0.000">
                  <c:v>0</c:v>
                </c:pt>
                <c:pt idx="232" formatCode="0.000">
                  <c:v>0</c:v>
                </c:pt>
                <c:pt idx="233" formatCode="0.000">
                  <c:v>0</c:v>
                </c:pt>
                <c:pt idx="234" formatCode="0.000">
                  <c:v>0</c:v>
                </c:pt>
                <c:pt idx="235" formatCode="0.000">
                  <c:v>0</c:v>
                </c:pt>
                <c:pt idx="236" formatCode="0.000">
                  <c:v>0</c:v>
                </c:pt>
                <c:pt idx="237" formatCode="0.000">
                  <c:v>0</c:v>
                </c:pt>
                <c:pt idx="238" formatCode="0.000">
                  <c:v>0</c:v>
                </c:pt>
                <c:pt idx="239" formatCode="0.000">
                  <c:v>0.10838233333333333</c:v>
                </c:pt>
                <c:pt idx="240" formatCode="0.000">
                  <c:v>0.208791</c:v>
                </c:pt>
                <c:pt idx="241" formatCode="0.000">
                  <c:v>0.49496533333333342</c:v>
                </c:pt>
                <c:pt idx="242" formatCode="0.000">
                  <c:v>0.64459833333333327</c:v>
                </c:pt>
                <c:pt idx="243" formatCode="0.000">
                  <c:v>0.74264666666666668</c:v>
                </c:pt>
                <c:pt idx="244" formatCode="0.000">
                  <c:v>0.78805999999999998</c:v>
                </c:pt>
                <c:pt idx="245" formatCode="0.000">
                  <c:v>0.711144</c:v>
                </c:pt>
                <c:pt idx="246" formatCode="0.000">
                  <c:v>0.73047099999999998</c:v>
                </c:pt>
                <c:pt idx="247" formatCode="0.000">
                  <c:v>0.73703816666666677</c:v>
                </c:pt>
                <c:pt idx="248" formatCode="0.000">
                  <c:v>0.74612999999999996</c:v>
                </c:pt>
                <c:pt idx="249" formatCode="0.000">
                  <c:v>0.82187999999999994</c:v>
                </c:pt>
                <c:pt idx="250" formatCode="0.000">
                  <c:v>0.72857400000000005</c:v>
                </c:pt>
                <c:pt idx="251" formatCode="0.000">
                  <c:v>0.92034600000000011</c:v>
                </c:pt>
                <c:pt idx="252" formatCode="0.000">
                  <c:v>0.90437433333333328</c:v>
                </c:pt>
                <c:pt idx="253" formatCode="0.000">
                  <c:v>0.8999841666666667</c:v>
                </c:pt>
                <c:pt idx="254" formatCode="0.000">
                  <c:v>0.96533266666666651</c:v>
                </c:pt>
                <c:pt idx="255" formatCode="0.000">
                  <c:v>0.99298750000000002</c:v>
                </c:pt>
                <c:pt idx="256" formatCode="0.000">
                  <c:v>1.0396983333333332</c:v>
                </c:pt>
                <c:pt idx="257" formatCode="0.000">
                  <c:v>1.0868970000000002</c:v>
                </c:pt>
                <c:pt idx="258" formatCode="0.000">
                  <c:v>1.1138271666666666</c:v>
                </c:pt>
                <c:pt idx="259" formatCode="0.000">
                  <c:v>1.1690560000000001</c:v>
                </c:pt>
                <c:pt idx="260" formatCode="0.000">
                  <c:v>1.2149501666666669</c:v>
                </c:pt>
                <c:pt idx="261" formatCode="0.000">
                  <c:v>1.26318</c:v>
                </c:pt>
                <c:pt idx="262" formatCode="0.000">
                  <c:v>1.3256619999999999</c:v>
                </c:pt>
                <c:pt idx="263" formatCode="0.000">
                  <c:v>1.364857</c:v>
                </c:pt>
                <c:pt idx="264" formatCode="0.000">
                  <c:v>1.4538624999999998</c:v>
                </c:pt>
                <c:pt idx="265" formatCode="0.000">
                  <c:v>1.4982994999999999</c:v>
                </c:pt>
                <c:pt idx="266" formatCode="0.000">
                  <c:v>1.5711200000000001</c:v>
                </c:pt>
                <c:pt idx="267" formatCode="0.000">
                  <c:v>1.7109378333333332</c:v>
                </c:pt>
                <c:pt idx="268" formatCode="0.000">
                  <c:v>1.812719</c:v>
                </c:pt>
                <c:pt idx="269" formatCode="0.000">
                  <c:v>1.8739566666666667</c:v>
                </c:pt>
                <c:pt idx="270" formatCode="0.000">
                  <c:v>1.9024816666666666</c:v>
                </c:pt>
                <c:pt idx="271" formatCode="0.000">
                  <c:v>1.9259969999999997</c:v>
                </c:pt>
                <c:pt idx="272" formatCode="0.000">
                  <c:v>1.9628660000000002</c:v>
                </c:pt>
                <c:pt idx="273" formatCode="0.000">
                  <c:v>1.9875133333333335</c:v>
                </c:pt>
                <c:pt idx="274" formatCode="0.000">
                  <c:v>1.9826360000000001</c:v>
                </c:pt>
                <c:pt idx="275" formatCode="0.000">
                  <c:v>2.011091</c:v>
                </c:pt>
                <c:pt idx="276" formatCode="0.000">
                  <c:v>2.0355125000000003</c:v>
                </c:pt>
                <c:pt idx="277" formatCode="0.000">
                  <c:v>2.0588283333333335</c:v>
                </c:pt>
                <c:pt idx="278" formatCode="0.000">
                  <c:v>2.0868910000000001</c:v>
                </c:pt>
                <c:pt idx="279" formatCode="0.000">
                  <c:v>2.1204494999999999</c:v>
                </c:pt>
                <c:pt idx="280" formatCode="0.000">
                  <c:v>2.1152235000000004</c:v>
                </c:pt>
                <c:pt idx="281" formatCode="0.000">
                  <c:v>2.1432861666666669</c:v>
                </c:pt>
                <c:pt idx="282" formatCode="0.000">
                  <c:v>2.1996813333333334</c:v>
                </c:pt>
                <c:pt idx="283" formatCode="0.000">
                  <c:v>2.195605333333333</c:v>
                </c:pt>
                <c:pt idx="284" formatCode="0.000">
                  <c:v>2.223885333333333</c:v>
                </c:pt>
                <c:pt idx="285" formatCode="0.000">
                  <c:v>2.223885333333333</c:v>
                </c:pt>
                <c:pt idx="286" formatCode="0.000">
                  <c:v>2.2518959999999999</c:v>
                </c:pt>
                <c:pt idx="287" formatCode="0.000">
                  <c:v>2.280176</c:v>
                </c:pt>
                <c:pt idx="288" formatCode="0.000">
                  <c:v>2.3081866666666668</c:v>
                </c:pt>
                <c:pt idx="289" formatCode="0.000">
                  <c:v>2.3364666666666669</c:v>
                </c:pt>
                <c:pt idx="290" formatCode="0.000">
                  <c:v>2.3586246666666661</c:v>
                </c:pt>
                <c:pt idx="291" formatCode="0.000">
                  <c:v>2.3644773333333333</c:v>
                </c:pt>
                <c:pt idx="292" formatCode="0.000">
                  <c:v>2.392757333333333</c:v>
                </c:pt>
                <c:pt idx="293" formatCode="0.000">
                  <c:v>2.392757333333333</c:v>
                </c:pt>
                <c:pt idx="294" formatCode="0.000">
                  <c:v>2.392757333333333</c:v>
                </c:pt>
                <c:pt idx="295" formatCode="0.000">
                  <c:v>2.4417399999999998</c:v>
                </c:pt>
                <c:pt idx="296" formatCode="0.000">
                  <c:v>2.4642029999999999</c:v>
                </c:pt>
                <c:pt idx="297" formatCode="0.000">
                  <c:v>2.5138466666666663</c:v>
                </c:pt>
                <c:pt idx="298" formatCode="0.000">
                  <c:v>2.4985183333333332</c:v>
                </c:pt>
                <c:pt idx="299" formatCode="0.000">
                  <c:v>2.5378956666666661</c:v>
                </c:pt>
                <c:pt idx="300" formatCode="0.000">
                  <c:v>2.5662703333333332</c:v>
                </c:pt>
                <c:pt idx="301" formatCode="0.000">
                  <c:v>2.555296666666667</c:v>
                </c:pt>
                <c:pt idx="302" formatCode="0.000">
                  <c:v>2.5599996666666671</c:v>
                </c:pt>
                <c:pt idx="303" formatCode="0.000">
                  <c:v>2.5949178333333331</c:v>
                </c:pt>
                <c:pt idx="304" formatCode="0.000">
                  <c:v>2.6107694999999995</c:v>
                </c:pt>
                <c:pt idx="305" formatCode="0.000">
                  <c:v>2.6171101666666665</c:v>
                </c:pt>
                <c:pt idx="306" formatCode="0.000">
                  <c:v>2.6457275</c:v>
                </c:pt>
                <c:pt idx="307" formatCode="0.000">
                  <c:v>2.6681400000000002</c:v>
                </c:pt>
                <c:pt idx="308" formatCode="0.000">
                  <c:v>2.696688</c:v>
                </c:pt>
                <c:pt idx="309" formatCode="0.000">
                  <c:v>2.696688</c:v>
                </c:pt>
                <c:pt idx="310" formatCode="0.000">
                  <c:v>2.7255104999999999</c:v>
                </c:pt>
                <c:pt idx="311" formatCode="0.000">
                  <c:v>2.2561633333333333</c:v>
                </c:pt>
                <c:pt idx="312" formatCode="0.000">
                  <c:v>2.117232</c:v>
                </c:pt>
                <c:pt idx="313" formatCode="0.000">
                  <c:v>1.9309179999999999</c:v>
                </c:pt>
                <c:pt idx="314" formatCode="0.000">
                  <c:v>1.9214249999999999</c:v>
                </c:pt>
                <c:pt idx="315" formatCode="0.000">
                  <c:v>1.9746720000000002</c:v>
                </c:pt>
                <c:pt idx="316" formatCode="0.000">
                  <c:v>2.0619421666666669</c:v>
                </c:pt>
                <c:pt idx="317" formatCode="0.000">
                  <c:v>2.1366179999999999</c:v>
                </c:pt>
                <c:pt idx="318" formatCode="0.000">
                  <c:v>2.2512639999999999</c:v>
                </c:pt>
                <c:pt idx="319" formatCode="0.000">
                  <c:v>2.3462999999999998</c:v>
                </c:pt>
                <c:pt idx="320" formatCode="0.000">
                  <c:v>2.4768133333333333</c:v>
                </c:pt>
                <c:pt idx="321" formatCode="0.000">
                  <c:v>2.6276633333333335</c:v>
                </c:pt>
                <c:pt idx="322" formatCode="0.000">
                  <c:v>2.7591840000000003</c:v>
                </c:pt>
                <c:pt idx="323" formatCode="0.000">
                  <c:v>2.8712960000000001</c:v>
                </c:pt>
                <c:pt idx="324" formatCode="0.000">
                  <c:v>2.9534610000000003</c:v>
                </c:pt>
                <c:pt idx="325" formatCode="0.000">
                  <c:v>3.0720234999999998</c:v>
                </c:pt>
                <c:pt idx="326" formatCode="0.000">
                  <c:v>3.2020846666666669</c:v>
                </c:pt>
                <c:pt idx="327" formatCode="0.000">
                  <c:v>3.3577613333333334</c:v>
                </c:pt>
                <c:pt idx="328" formatCode="0.000">
                  <c:v>1.4323118333333333</c:v>
                </c:pt>
                <c:pt idx="329" formatCode="0.000">
                  <c:v>0.95599800000000013</c:v>
                </c:pt>
                <c:pt idx="330" formatCode="0.000">
                  <c:v>1.5169754999999998</c:v>
                </c:pt>
                <c:pt idx="331" formatCode="0.000">
                  <c:v>2.3770563333333334</c:v>
                </c:pt>
                <c:pt idx="332" formatCode="0.000">
                  <c:v>4.2615100000000004</c:v>
                </c:pt>
                <c:pt idx="333" formatCode="0.000">
                  <c:v>4.916488666666667</c:v>
                </c:pt>
                <c:pt idx="334" formatCode="0.000">
                  <c:v>1.1660304666666668</c:v>
                </c:pt>
                <c:pt idx="335" formatCode="0.000">
                  <c:v>0.21720863333333332</c:v>
                </c:pt>
                <c:pt idx="336" formatCode="0.000">
                  <c:v>5.0368999999999997E-2</c:v>
                </c:pt>
                <c:pt idx="337" formatCode="0.000">
                  <c:v>2.4822233333333332E-2</c:v>
                </c:pt>
                <c:pt idx="338" formatCode="0.000">
                  <c:v>1.2286749999999997E-2</c:v>
                </c:pt>
                <c:pt idx="339" formatCode="0.000">
                  <c:v>1.2165999999999998E-2</c:v>
                </c:pt>
                <c:pt idx="340" formatCode="0.000">
                  <c:v>1.1982249999999998E-2</c:v>
                </c:pt>
                <c:pt idx="341" formatCode="0.000">
                  <c:v>1.1861500000000001E-2</c:v>
                </c:pt>
                <c:pt idx="342" formatCode="0.000">
                  <c:v>1.1679499999999999E-2</c:v>
                </c:pt>
                <c:pt idx="343" formatCode="0.000">
                  <c:v>0</c:v>
                </c:pt>
                <c:pt idx="344" formatCode="0.000">
                  <c:v>0</c:v>
                </c:pt>
                <c:pt idx="345" formatCode="0.000">
                  <c:v>0</c:v>
                </c:pt>
                <c:pt idx="346" formatCode="0.000">
                  <c:v>0</c:v>
                </c:pt>
                <c:pt idx="347" formatCode="0.000">
                  <c:v>0</c:v>
                </c:pt>
                <c:pt idx="348" formatCode="0.000">
                  <c:v>0</c:v>
                </c:pt>
                <c:pt idx="349" formatCode="0.000">
                  <c:v>0</c:v>
                </c:pt>
                <c:pt idx="350" formatCode="0.000">
                  <c:v>0</c:v>
                </c:pt>
                <c:pt idx="351" formatCode="0.000">
                  <c:v>0</c:v>
                </c:pt>
                <c:pt idx="352" formatCode="0.000">
                  <c:v>0</c:v>
                </c:pt>
                <c:pt idx="353" formatCode="0.000">
                  <c:v>0</c:v>
                </c:pt>
                <c:pt idx="354" formatCode="0.000">
                  <c:v>0</c:v>
                </c:pt>
                <c:pt idx="355" formatCode="0.000">
                  <c:v>0</c:v>
                </c:pt>
                <c:pt idx="356" formatCode="0.000">
                  <c:v>0</c:v>
                </c:pt>
                <c:pt idx="357" formatCode="0.000">
                  <c:v>0</c:v>
                </c:pt>
                <c:pt idx="358" formatCode="0.000">
                  <c:v>0</c:v>
                </c:pt>
                <c:pt idx="359" formatCode="0.000">
                  <c:v>0</c:v>
                </c:pt>
                <c:pt idx="360" formatCode="0.000">
                  <c:v>0</c:v>
                </c:pt>
                <c:pt idx="361" formatCode="0.000">
                  <c:v>0</c:v>
                </c:pt>
                <c:pt idx="362" formatCode="0.000">
                  <c:v>0</c:v>
                </c:pt>
                <c:pt idx="363" formatCode="0.000">
                  <c:v>0</c:v>
                </c:pt>
                <c:pt idx="364" formatCode="0.000">
                  <c:v>0</c:v>
                </c:pt>
                <c:pt idx="365" formatCode="0.000">
                  <c:v>0</c:v>
                </c:pt>
                <c:pt idx="366" formatCode="0.000">
                  <c:v>0</c:v>
                </c:pt>
                <c:pt idx="367" formatCode="0.000">
                  <c:v>0</c:v>
                </c:pt>
                <c:pt idx="368" formatCode="0.000">
                  <c:v>0</c:v>
                </c:pt>
                <c:pt idx="369" formatCode="0.000">
                  <c:v>0</c:v>
                </c:pt>
                <c:pt idx="370" formatCode="0.000">
                  <c:v>0</c:v>
                </c:pt>
                <c:pt idx="371" formatCode="0.000">
                  <c:v>0</c:v>
                </c:pt>
                <c:pt idx="372" formatCode="0.000">
                  <c:v>0</c:v>
                </c:pt>
                <c:pt idx="373" formatCode="0.000">
                  <c:v>0</c:v>
                </c:pt>
                <c:pt idx="374" formatCode="0.000">
                  <c:v>0</c:v>
                </c:pt>
                <c:pt idx="375" formatCode="0.000">
                  <c:v>0</c:v>
                </c:pt>
                <c:pt idx="376" formatCode="0.000">
                  <c:v>0</c:v>
                </c:pt>
                <c:pt idx="377" formatCode="0.000">
                  <c:v>0</c:v>
                </c:pt>
                <c:pt idx="378" formatCode="0.000">
                  <c:v>0</c:v>
                </c:pt>
                <c:pt idx="379" formatCode="0.000">
                  <c:v>0</c:v>
                </c:pt>
                <c:pt idx="380" formatCode="0.000">
                  <c:v>0</c:v>
                </c:pt>
                <c:pt idx="381" formatCode="0.000">
                  <c:v>0</c:v>
                </c:pt>
                <c:pt idx="382" formatCode="0.000">
                  <c:v>0</c:v>
                </c:pt>
                <c:pt idx="383" formatCode="0.000">
                  <c:v>0</c:v>
                </c:pt>
                <c:pt idx="384" formatCode="0.000">
                  <c:v>0</c:v>
                </c:pt>
                <c:pt idx="385" formatCode="0.000">
                  <c:v>0</c:v>
                </c:pt>
                <c:pt idx="386" formatCode="0.000">
                  <c:v>0</c:v>
                </c:pt>
                <c:pt idx="387" formatCode="0.000">
                  <c:v>0</c:v>
                </c:pt>
                <c:pt idx="388" formatCode="0.000">
                  <c:v>0</c:v>
                </c:pt>
                <c:pt idx="389" formatCode="0.000">
                  <c:v>0</c:v>
                </c:pt>
                <c:pt idx="390" formatCode="0.000">
                  <c:v>0</c:v>
                </c:pt>
                <c:pt idx="391" formatCode="0.000">
                  <c:v>0</c:v>
                </c:pt>
                <c:pt idx="392" formatCode="0.000">
                  <c:v>0</c:v>
                </c:pt>
                <c:pt idx="393" formatCode="0.000">
                  <c:v>0</c:v>
                </c:pt>
                <c:pt idx="394" formatCode="0.000">
                  <c:v>0</c:v>
                </c:pt>
                <c:pt idx="395" formatCode="0.000">
                  <c:v>0</c:v>
                </c:pt>
                <c:pt idx="396" formatCode="0.000">
                  <c:v>0</c:v>
                </c:pt>
                <c:pt idx="397" formatCode="0.000">
                  <c:v>0</c:v>
                </c:pt>
                <c:pt idx="398" formatCode="0.000">
                  <c:v>0</c:v>
                </c:pt>
                <c:pt idx="399" formatCode="0.000">
                  <c:v>0</c:v>
                </c:pt>
                <c:pt idx="400" formatCode="0.000">
                  <c:v>0</c:v>
                </c:pt>
                <c:pt idx="401" formatCode="0.000">
                  <c:v>0</c:v>
                </c:pt>
                <c:pt idx="402" formatCode="0.000">
                  <c:v>0</c:v>
                </c:pt>
                <c:pt idx="403" formatCode="0.000">
                  <c:v>0</c:v>
                </c:pt>
                <c:pt idx="404" formatCode="0.000">
                  <c:v>0</c:v>
                </c:pt>
                <c:pt idx="405" formatCode="0.000">
                  <c:v>0</c:v>
                </c:pt>
                <c:pt idx="406" formatCode="0.000">
                  <c:v>0</c:v>
                </c:pt>
                <c:pt idx="407" formatCode="0.000">
                  <c:v>0</c:v>
                </c:pt>
                <c:pt idx="408" formatCode="0.000">
                  <c:v>0</c:v>
                </c:pt>
                <c:pt idx="409" formatCode="0.000">
                  <c:v>0</c:v>
                </c:pt>
                <c:pt idx="410" formatCode="0.000">
                  <c:v>0</c:v>
                </c:pt>
                <c:pt idx="411" formatCode="0.000">
                  <c:v>0</c:v>
                </c:pt>
                <c:pt idx="412" formatCode="0.000">
                  <c:v>0</c:v>
                </c:pt>
                <c:pt idx="413" formatCode="0.000">
                  <c:v>0</c:v>
                </c:pt>
                <c:pt idx="414" formatCode="0.000">
                  <c:v>0</c:v>
                </c:pt>
              </c:numCache>
            </c:numRef>
          </c:val>
          <c:smooth val="0"/>
          <c:extLst>
            <c:ext xmlns:c16="http://schemas.microsoft.com/office/drawing/2014/chart" uri="{C3380CC4-5D6E-409C-BE32-E72D297353CC}">
              <c16:uniqueId val="{00000000-45C0-4D52-845B-D7308163BA11}"/>
            </c:ext>
          </c:extLst>
        </c:ser>
        <c:dLbls>
          <c:showLegendKey val="0"/>
          <c:showVal val="0"/>
          <c:showCatName val="0"/>
          <c:showSerName val="0"/>
          <c:showPercent val="0"/>
          <c:showBubbleSize val="0"/>
        </c:dLbls>
        <c:smooth val="0"/>
        <c:axId val="563037935"/>
        <c:axId val="563039599"/>
      </c:lineChart>
      <c:catAx>
        <c:axId val="563037935"/>
        <c:scaling>
          <c:orientation val="minMax"/>
        </c:scaling>
        <c:delete val="0"/>
        <c:axPos val="b"/>
        <c:numFmt formatCode="0" sourceLinked="0"/>
        <c:majorTickMark val="out"/>
        <c:minorTickMark val="none"/>
        <c:tickLblPos val="nextTo"/>
        <c:spPr>
          <a:noFill/>
          <a:ln w="3175" cap="flat" cmpd="sng" algn="ctr">
            <a:solidFill>
              <a:schemeClr val="tx1"/>
            </a:solidFill>
            <a:round/>
          </a:ln>
          <a:effectLst/>
        </c:spPr>
        <c:txPr>
          <a:bodyPr rot="-5400000" spcFirstLastPara="1" vertOverflow="ellipsis"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563039599"/>
        <c:crosses val="autoZero"/>
        <c:auto val="1"/>
        <c:lblAlgn val="ctr"/>
        <c:lblOffset val="100"/>
        <c:tickLblSkip val="20"/>
        <c:tickMarkSkip val="20"/>
        <c:noMultiLvlLbl val="0"/>
      </c:catAx>
      <c:valAx>
        <c:axId val="563039599"/>
        <c:scaling>
          <c:orientation val="minMax"/>
        </c:scaling>
        <c:delete val="0"/>
        <c:axPos val="l"/>
        <c:numFmt formatCode="General" sourceLinked="1"/>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563037935"/>
        <c:crosses val="autoZero"/>
        <c:crossBetween val="between"/>
      </c:valAx>
      <c:spPr>
        <a:noFill/>
        <a:ln w="3175">
          <a:solidFill>
            <a:schemeClr val="tx1"/>
          </a:solidFill>
        </a:ln>
        <a:effectLst/>
      </c:spPr>
    </c:plotArea>
    <c:legend>
      <c:legendPos val="b"/>
      <c:layout>
        <c:manualLayout>
          <c:xMode val="edge"/>
          <c:yMode val="edge"/>
          <c:x val="0.63170994453210794"/>
          <c:y val="8.5355348001520753E-2"/>
          <c:w val="0.345481665240499"/>
          <c:h val="0.16578942981456887"/>
        </c:manualLayout>
      </c:layout>
      <c:overlay val="1"/>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Garamond" panose="02020404030301010803" pitchFamily="18" charset="0"/>
        </a:defRPr>
      </a:pPr>
      <a:endParaRPr lang="sr-Latn-R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Opening_Saddle!$I$18</c:f>
              <c:strCache>
                <c:ptCount val="1"/>
                <c:pt idx="0">
                  <c:v>None</c:v>
                </c:pt>
              </c:strCache>
            </c:strRef>
          </c:tx>
          <c:spPr>
            <a:noFill/>
            <a:ln w="3175">
              <a:solidFill>
                <a:srgbClr val="0000FF"/>
              </a:solidFill>
            </a:ln>
            <a:effectLst/>
          </c:spPr>
          <c:invertIfNegative val="0"/>
          <c:cat>
            <c:strRef>
              <c:f>Opening_Saddle!$C$17:$G$17</c:f>
              <c:strCache>
                <c:ptCount val="5"/>
                <c:pt idx="0">
                  <c:v>GNB</c:v>
                </c:pt>
                <c:pt idx="1">
                  <c:v>ANN</c:v>
                </c:pt>
                <c:pt idx="2">
                  <c:v>CART</c:v>
                </c:pt>
                <c:pt idx="3">
                  <c:v>LR</c:v>
                </c:pt>
                <c:pt idx="4">
                  <c:v>kNN</c:v>
                </c:pt>
              </c:strCache>
            </c:strRef>
          </c:cat>
          <c:val>
            <c:numRef>
              <c:f>Opening_Saddle!$J$18:$N$18</c:f>
              <c:numCache>
                <c:formatCode>0.00%</c:formatCode>
                <c:ptCount val="5"/>
                <c:pt idx="0">
                  <c:v>0.65408805031446537</c:v>
                </c:pt>
                <c:pt idx="1">
                  <c:v>0.94968553459119498</c:v>
                </c:pt>
                <c:pt idx="2">
                  <c:v>0.94339622641509435</c:v>
                </c:pt>
                <c:pt idx="3">
                  <c:v>0.91724137931034477</c:v>
                </c:pt>
                <c:pt idx="4">
                  <c:v>0.86792452830188682</c:v>
                </c:pt>
              </c:numCache>
            </c:numRef>
          </c:val>
          <c:extLst>
            <c:ext xmlns:c16="http://schemas.microsoft.com/office/drawing/2014/chart" uri="{C3380CC4-5D6E-409C-BE32-E72D297353CC}">
              <c16:uniqueId val="{00000000-CC48-44E4-9902-5B8E8B93D4A1}"/>
            </c:ext>
          </c:extLst>
        </c:ser>
        <c:ser>
          <c:idx val="1"/>
          <c:order val="1"/>
          <c:tx>
            <c:strRef>
              <c:f>Opening_Saddle!$I$19</c:f>
              <c:strCache>
                <c:ptCount val="1"/>
                <c:pt idx="0">
                  <c:v>Quasi-fault</c:v>
                </c:pt>
              </c:strCache>
            </c:strRef>
          </c:tx>
          <c:spPr>
            <a:noFill/>
            <a:ln w="3175">
              <a:solidFill>
                <a:srgbClr val="FF0000"/>
              </a:solidFill>
            </a:ln>
            <a:effectLst/>
          </c:spPr>
          <c:invertIfNegative val="0"/>
          <c:cat>
            <c:strRef>
              <c:f>Opening_Saddle!$C$17:$G$17</c:f>
              <c:strCache>
                <c:ptCount val="5"/>
                <c:pt idx="0">
                  <c:v>GNB</c:v>
                </c:pt>
                <c:pt idx="1">
                  <c:v>ANN</c:v>
                </c:pt>
                <c:pt idx="2">
                  <c:v>CART</c:v>
                </c:pt>
                <c:pt idx="3">
                  <c:v>LR</c:v>
                </c:pt>
                <c:pt idx="4">
                  <c:v>kNN</c:v>
                </c:pt>
              </c:strCache>
            </c:strRef>
          </c:cat>
          <c:val>
            <c:numRef>
              <c:f>Opening_Saddle!$J$19:$N$19</c:f>
              <c:numCache>
                <c:formatCode>0.00%</c:formatCode>
                <c:ptCount val="5"/>
                <c:pt idx="0">
                  <c:v>0.8666666666666667</c:v>
                </c:pt>
                <c:pt idx="1">
                  <c:v>0.94074074074074077</c:v>
                </c:pt>
                <c:pt idx="2">
                  <c:v>0.85925925925925928</c:v>
                </c:pt>
                <c:pt idx="3">
                  <c:v>0.82119205298013243</c:v>
                </c:pt>
                <c:pt idx="4">
                  <c:v>0.9555555555555556</c:v>
                </c:pt>
              </c:numCache>
            </c:numRef>
          </c:val>
          <c:extLst>
            <c:ext xmlns:c16="http://schemas.microsoft.com/office/drawing/2014/chart" uri="{C3380CC4-5D6E-409C-BE32-E72D297353CC}">
              <c16:uniqueId val="{00000001-CC48-44E4-9902-5B8E8B93D4A1}"/>
            </c:ext>
          </c:extLst>
        </c:ser>
        <c:ser>
          <c:idx val="2"/>
          <c:order val="2"/>
          <c:tx>
            <c:strRef>
              <c:f>Opening_Saddle!$I$20</c:f>
              <c:strCache>
                <c:ptCount val="1"/>
                <c:pt idx="0">
                  <c:v>Overall</c:v>
                </c:pt>
              </c:strCache>
            </c:strRef>
          </c:tx>
          <c:spPr>
            <a:noFill/>
            <a:ln w="3175">
              <a:solidFill>
                <a:srgbClr val="00B050"/>
              </a:solidFill>
            </a:ln>
            <a:effectLst/>
          </c:spPr>
          <c:invertIfNegative val="0"/>
          <c:cat>
            <c:strRef>
              <c:f>Opening_Saddle!$C$17:$G$17</c:f>
              <c:strCache>
                <c:ptCount val="5"/>
                <c:pt idx="0">
                  <c:v>GNB</c:v>
                </c:pt>
                <c:pt idx="1">
                  <c:v>ANN</c:v>
                </c:pt>
                <c:pt idx="2">
                  <c:v>CART</c:v>
                </c:pt>
                <c:pt idx="3">
                  <c:v>LR</c:v>
                </c:pt>
                <c:pt idx="4">
                  <c:v>kNN</c:v>
                </c:pt>
              </c:strCache>
            </c:strRef>
          </c:cat>
          <c:val>
            <c:numRef>
              <c:f>Opening_Saddle!$J$20:$N$20</c:f>
              <c:numCache>
                <c:formatCode>0.00%</c:formatCode>
                <c:ptCount val="5"/>
                <c:pt idx="0">
                  <c:v>0.75170068027210879</c:v>
                </c:pt>
                <c:pt idx="1">
                  <c:v>0.94557823129251706</c:v>
                </c:pt>
                <c:pt idx="2">
                  <c:v>0.90476190476190477</c:v>
                </c:pt>
                <c:pt idx="3">
                  <c:v>0.8682432432432432</c:v>
                </c:pt>
                <c:pt idx="4">
                  <c:v>0.90816326530612246</c:v>
                </c:pt>
              </c:numCache>
            </c:numRef>
          </c:val>
          <c:extLst>
            <c:ext xmlns:c16="http://schemas.microsoft.com/office/drawing/2014/chart" uri="{C3380CC4-5D6E-409C-BE32-E72D297353CC}">
              <c16:uniqueId val="{00000002-CC48-44E4-9902-5B8E8B93D4A1}"/>
            </c:ext>
          </c:extLst>
        </c:ser>
        <c:dLbls>
          <c:showLegendKey val="0"/>
          <c:showVal val="0"/>
          <c:showCatName val="0"/>
          <c:showSerName val="0"/>
          <c:showPercent val="0"/>
          <c:showBubbleSize val="0"/>
        </c:dLbls>
        <c:gapWidth val="219"/>
        <c:overlap val="-27"/>
        <c:axId val="1701126031"/>
        <c:axId val="1701124783"/>
      </c:barChart>
      <c:catAx>
        <c:axId val="1701126031"/>
        <c:scaling>
          <c:orientation val="minMax"/>
        </c:scaling>
        <c:delete val="0"/>
        <c:axPos val="b"/>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701124783"/>
        <c:crosses val="autoZero"/>
        <c:auto val="1"/>
        <c:lblAlgn val="ctr"/>
        <c:lblOffset val="100"/>
        <c:noMultiLvlLbl val="0"/>
      </c:catAx>
      <c:valAx>
        <c:axId val="1701124783"/>
        <c:scaling>
          <c:orientation val="minMax"/>
          <c:max val="1.2"/>
          <c:min val="0"/>
        </c:scaling>
        <c:delete val="0"/>
        <c:axPos val="l"/>
        <c:numFmt formatCode="0.00%" sourceLinked="1"/>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701126031"/>
        <c:crosses val="autoZero"/>
        <c:crossBetween val="between"/>
      </c:valAx>
      <c:spPr>
        <a:noFill/>
        <a:ln w="3175">
          <a:solidFill>
            <a:schemeClr val="tx1"/>
          </a:solidFill>
        </a:ln>
        <a:effectLst/>
      </c:spPr>
    </c:plotArea>
    <c:legend>
      <c:legendPos val="b"/>
      <c:layout>
        <c:manualLayout>
          <c:xMode val="edge"/>
          <c:yMode val="edge"/>
          <c:x val="0.59406700007093705"/>
          <c:y val="6.546621752174453E-2"/>
          <c:w val="0.36931811732992836"/>
          <c:h val="6.9429114099600633E-2"/>
        </c:manualLayout>
      </c:layout>
      <c:overlay val="1"/>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Garamond" panose="02020404030301010803" pitchFamily="18" charset="0"/>
        </a:defRPr>
      </a:pPr>
      <a:endParaRPr lang="sr-Latn-R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'Charts and Results'!$E$2</c:f>
              <c:strCache>
                <c:ptCount val="1"/>
                <c:pt idx="0">
                  <c:v>Mobile machines</c:v>
                </c:pt>
              </c:strCache>
            </c:strRef>
          </c:tx>
          <c:spPr>
            <a:noFill/>
            <a:ln w="3175">
              <a:solidFill>
                <a:srgbClr val="0000FF"/>
              </a:solidFill>
            </a:ln>
            <a:effectLst/>
          </c:spPr>
          <c:invertIfNegative val="0"/>
          <c:cat>
            <c:strRef>
              <c:f>'Charts and Results'!$E$3:$E$14</c:f>
              <c:strCache>
                <c:ptCount val="12"/>
                <c:pt idx="0">
                  <c:v>Other</c:v>
                </c:pt>
                <c:pt idx="1">
                  <c:v>Oil drilling rigs</c:v>
                </c:pt>
                <c:pt idx="2">
                  <c:v>Rail equipment</c:v>
                </c:pt>
                <c:pt idx="3">
                  <c:v>Tunnel borring</c:v>
                </c:pt>
                <c:pt idx="4">
                  <c:v>Paver</c:v>
                </c:pt>
                <c:pt idx="5">
                  <c:v>Cranes</c:v>
                </c:pt>
                <c:pt idx="6">
                  <c:v>Tractors</c:v>
                </c:pt>
                <c:pt idx="7">
                  <c:v>Mine drill machine</c:v>
                </c:pt>
                <c:pt idx="8">
                  <c:v>Bulldozers</c:v>
                </c:pt>
                <c:pt idx="9">
                  <c:v>Material handling</c:v>
                </c:pt>
                <c:pt idx="10">
                  <c:v>Dumpers</c:v>
                </c:pt>
                <c:pt idx="11">
                  <c:v>Excavators</c:v>
                </c:pt>
              </c:strCache>
            </c:strRef>
          </c:cat>
          <c:val>
            <c:numRef>
              <c:f>'Charts and Results'!$G$3:$G$14</c:f>
              <c:numCache>
                <c:formatCode>0%</c:formatCode>
                <c:ptCount val="12"/>
                <c:pt idx="0">
                  <c:v>1.0120796604635978E-2</c:v>
                </c:pt>
                <c:pt idx="1">
                  <c:v>1.4691478942213516E-2</c:v>
                </c:pt>
                <c:pt idx="2">
                  <c:v>1.7303297420829252E-2</c:v>
                </c:pt>
                <c:pt idx="3">
                  <c:v>2.5138752856676459E-2</c:v>
                </c:pt>
                <c:pt idx="4">
                  <c:v>2.5465230166503428E-2</c:v>
                </c:pt>
                <c:pt idx="5">
                  <c:v>3.0035912504080966E-2</c:v>
                </c:pt>
                <c:pt idx="6">
                  <c:v>4.080966372837088E-2</c:v>
                </c:pt>
                <c:pt idx="7">
                  <c:v>4.7339209924910218E-2</c:v>
                </c:pt>
                <c:pt idx="8">
                  <c:v>0.11198171727064969</c:v>
                </c:pt>
                <c:pt idx="9">
                  <c:v>0.11785830884753509</c:v>
                </c:pt>
                <c:pt idx="10">
                  <c:v>0.15540319947763631</c:v>
                </c:pt>
                <c:pt idx="11">
                  <c:v>0.40385243225595824</c:v>
                </c:pt>
              </c:numCache>
            </c:numRef>
          </c:val>
          <c:extLst>
            <c:ext xmlns:c16="http://schemas.microsoft.com/office/drawing/2014/chart" uri="{C3380CC4-5D6E-409C-BE32-E72D297353CC}">
              <c16:uniqueId val="{00000000-912A-4D84-8D4D-9B248C9B3A55}"/>
            </c:ext>
          </c:extLst>
        </c:ser>
        <c:dLbls>
          <c:showLegendKey val="0"/>
          <c:showVal val="0"/>
          <c:showCatName val="0"/>
          <c:showSerName val="0"/>
          <c:showPercent val="0"/>
          <c:showBubbleSize val="0"/>
        </c:dLbls>
        <c:gapWidth val="182"/>
        <c:axId val="1331600879"/>
        <c:axId val="1331584239"/>
      </c:barChart>
      <c:catAx>
        <c:axId val="1331600879"/>
        <c:scaling>
          <c:orientation val="minMax"/>
        </c:scaling>
        <c:delete val="0"/>
        <c:axPos val="l"/>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331584239"/>
        <c:crosses val="autoZero"/>
        <c:auto val="1"/>
        <c:lblAlgn val="ctr"/>
        <c:lblOffset val="100"/>
        <c:noMultiLvlLbl val="0"/>
      </c:catAx>
      <c:valAx>
        <c:axId val="1331584239"/>
        <c:scaling>
          <c:orientation val="minMax"/>
          <c:max val="0.42000000000000004"/>
          <c:min val="0"/>
        </c:scaling>
        <c:delete val="0"/>
        <c:axPos val="b"/>
        <c:numFmt formatCode="0%" sourceLinked="1"/>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331600879"/>
        <c:crosses val="autoZero"/>
        <c:crossBetween val="between"/>
      </c:valAx>
      <c:spPr>
        <a:noFill/>
        <a:ln w="3175">
          <a:solidFill>
            <a:schemeClr val="tx1"/>
          </a:solidFill>
        </a:ln>
        <a:effectLst/>
      </c:spPr>
    </c:plotArea>
    <c:legend>
      <c:legendPos val="b"/>
      <c:layout>
        <c:manualLayout>
          <c:xMode val="edge"/>
          <c:yMode val="edge"/>
          <c:x val="0.50407374315773412"/>
          <c:y val="0.78098332368648093"/>
          <c:w val="0.40893598007428694"/>
          <c:h val="8.635773560736594E-2"/>
        </c:manualLayout>
      </c:layout>
      <c:overlay val="1"/>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Garamond" panose="02020404030301010803" pitchFamily="18" charset="0"/>
        </a:defRPr>
      </a:pPr>
      <a:endParaRPr lang="sr-Latn-R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Idle_Saddle!$I$18</c:f>
              <c:strCache>
                <c:ptCount val="1"/>
                <c:pt idx="0">
                  <c:v>None</c:v>
                </c:pt>
              </c:strCache>
            </c:strRef>
          </c:tx>
          <c:spPr>
            <a:noFill/>
            <a:ln w="3175">
              <a:solidFill>
                <a:srgbClr val="0000FF"/>
              </a:solidFill>
            </a:ln>
            <a:effectLst/>
          </c:spPr>
          <c:invertIfNegative val="0"/>
          <c:cat>
            <c:strRef>
              <c:f>Idle_Saddle!$J$17:$N$17</c:f>
              <c:strCache>
                <c:ptCount val="5"/>
                <c:pt idx="0">
                  <c:v>GNB</c:v>
                </c:pt>
                <c:pt idx="1">
                  <c:v>ANN</c:v>
                </c:pt>
                <c:pt idx="2">
                  <c:v>CART</c:v>
                </c:pt>
                <c:pt idx="3">
                  <c:v>LR</c:v>
                </c:pt>
                <c:pt idx="4">
                  <c:v>kNN</c:v>
                </c:pt>
              </c:strCache>
            </c:strRef>
          </c:cat>
          <c:val>
            <c:numRef>
              <c:f>Idle_Saddle!$J$18:$N$18</c:f>
              <c:numCache>
                <c:formatCode>0.00%</c:formatCode>
                <c:ptCount val="5"/>
                <c:pt idx="0">
                  <c:v>0.65408805031446537</c:v>
                </c:pt>
                <c:pt idx="1">
                  <c:v>0.98648648648648651</c:v>
                </c:pt>
                <c:pt idx="2">
                  <c:v>0.96621621621621623</c:v>
                </c:pt>
                <c:pt idx="3">
                  <c:v>0.98648648648648651</c:v>
                </c:pt>
                <c:pt idx="4">
                  <c:v>0.97297297297297303</c:v>
                </c:pt>
              </c:numCache>
            </c:numRef>
          </c:val>
          <c:extLst>
            <c:ext xmlns:c16="http://schemas.microsoft.com/office/drawing/2014/chart" uri="{C3380CC4-5D6E-409C-BE32-E72D297353CC}">
              <c16:uniqueId val="{00000000-ADA1-4036-A07E-BD30902230B0}"/>
            </c:ext>
          </c:extLst>
        </c:ser>
        <c:ser>
          <c:idx val="1"/>
          <c:order val="1"/>
          <c:tx>
            <c:strRef>
              <c:f>Idle_Saddle!$I$19</c:f>
              <c:strCache>
                <c:ptCount val="1"/>
                <c:pt idx="0">
                  <c:v>Quasi-fault</c:v>
                </c:pt>
              </c:strCache>
            </c:strRef>
          </c:tx>
          <c:spPr>
            <a:noFill/>
            <a:ln w="3175">
              <a:solidFill>
                <a:srgbClr val="FF0000"/>
              </a:solidFill>
            </a:ln>
            <a:effectLst/>
          </c:spPr>
          <c:invertIfNegative val="0"/>
          <c:cat>
            <c:strRef>
              <c:f>Idle_Saddle!$J$17:$N$17</c:f>
              <c:strCache>
                <c:ptCount val="5"/>
                <c:pt idx="0">
                  <c:v>GNB</c:v>
                </c:pt>
                <c:pt idx="1">
                  <c:v>ANN</c:v>
                </c:pt>
                <c:pt idx="2">
                  <c:v>CART</c:v>
                </c:pt>
                <c:pt idx="3">
                  <c:v>LR</c:v>
                </c:pt>
                <c:pt idx="4">
                  <c:v>kNN</c:v>
                </c:pt>
              </c:strCache>
            </c:strRef>
          </c:cat>
          <c:val>
            <c:numRef>
              <c:f>Idle_Saddle!$J$19:$N$19</c:f>
              <c:numCache>
                <c:formatCode>0.00%</c:formatCode>
                <c:ptCount val="5"/>
                <c:pt idx="0">
                  <c:v>0.92097264437689974</c:v>
                </c:pt>
                <c:pt idx="1">
                  <c:v>0.97590361445783136</c:v>
                </c:pt>
                <c:pt idx="2">
                  <c:v>0.90476190476190477</c:v>
                </c:pt>
                <c:pt idx="3">
                  <c:v>0.9285714285714286</c:v>
                </c:pt>
                <c:pt idx="4">
                  <c:v>0.9642857142857143</c:v>
                </c:pt>
              </c:numCache>
            </c:numRef>
          </c:val>
          <c:extLst>
            <c:ext xmlns:c16="http://schemas.microsoft.com/office/drawing/2014/chart" uri="{C3380CC4-5D6E-409C-BE32-E72D297353CC}">
              <c16:uniqueId val="{00000001-ADA1-4036-A07E-BD30902230B0}"/>
            </c:ext>
          </c:extLst>
        </c:ser>
        <c:ser>
          <c:idx val="2"/>
          <c:order val="2"/>
          <c:tx>
            <c:strRef>
              <c:f>Idle_Saddle!$I$20</c:f>
              <c:strCache>
                <c:ptCount val="1"/>
                <c:pt idx="0">
                  <c:v>Overall</c:v>
                </c:pt>
              </c:strCache>
            </c:strRef>
          </c:tx>
          <c:spPr>
            <a:noFill/>
            <a:ln w="3175">
              <a:solidFill>
                <a:srgbClr val="00B050"/>
              </a:solidFill>
            </a:ln>
            <a:effectLst/>
          </c:spPr>
          <c:invertIfNegative val="0"/>
          <c:cat>
            <c:strRef>
              <c:f>Idle_Saddle!$J$17:$N$17</c:f>
              <c:strCache>
                <c:ptCount val="5"/>
                <c:pt idx="0">
                  <c:v>GNB</c:v>
                </c:pt>
                <c:pt idx="1">
                  <c:v>ANN</c:v>
                </c:pt>
                <c:pt idx="2">
                  <c:v>CART</c:v>
                </c:pt>
                <c:pt idx="3">
                  <c:v>LR</c:v>
                </c:pt>
                <c:pt idx="4">
                  <c:v>kNN</c:v>
                </c:pt>
              </c:strCache>
            </c:strRef>
          </c:cat>
          <c:val>
            <c:numRef>
              <c:f>Idle_Saddle!$J$20:$N$20</c:f>
              <c:numCache>
                <c:formatCode>0.00%</c:formatCode>
                <c:ptCount val="5"/>
                <c:pt idx="0">
                  <c:v>0.77551020408163263</c:v>
                </c:pt>
                <c:pt idx="1">
                  <c:v>0.98268398268398272</c:v>
                </c:pt>
                <c:pt idx="2">
                  <c:v>0.94396551724137934</c:v>
                </c:pt>
                <c:pt idx="3">
                  <c:v>0.96551724137931039</c:v>
                </c:pt>
                <c:pt idx="4">
                  <c:v>0.96982758620689657</c:v>
                </c:pt>
              </c:numCache>
            </c:numRef>
          </c:val>
          <c:extLst>
            <c:ext xmlns:c16="http://schemas.microsoft.com/office/drawing/2014/chart" uri="{C3380CC4-5D6E-409C-BE32-E72D297353CC}">
              <c16:uniqueId val="{00000002-ADA1-4036-A07E-BD30902230B0}"/>
            </c:ext>
          </c:extLst>
        </c:ser>
        <c:dLbls>
          <c:showLegendKey val="0"/>
          <c:showVal val="0"/>
          <c:showCatName val="0"/>
          <c:showSerName val="0"/>
          <c:showPercent val="0"/>
          <c:showBubbleSize val="0"/>
        </c:dLbls>
        <c:gapWidth val="219"/>
        <c:overlap val="-27"/>
        <c:axId val="1701126031"/>
        <c:axId val="1701124783"/>
      </c:barChart>
      <c:catAx>
        <c:axId val="1701126031"/>
        <c:scaling>
          <c:orientation val="minMax"/>
        </c:scaling>
        <c:delete val="0"/>
        <c:axPos val="b"/>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701124783"/>
        <c:crosses val="autoZero"/>
        <c:auto val="1"/>
        <c:lblAlgn val="ctr"/>
        <c:lblOffset val="100"/>
        <c:noMultiLvlLbl val="0"/>
      </c:catAx>
      <c:valAx>
        <c:axId val="1701124783"/>
        <c:scaling>
          <c:orientation val="minMax"/>
          <c:max val="1.2"/>
          <c:min val="0"/>
        </c:scaling>
        <c:delete val="0"/>
        <c:axPos val="l"/>
        <c:numFmt formatCode="0.00%" sourceLinked="1"/>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701126031"/>
        <c:crosses val="autoZero"/>
        <c:crossBetween val="between"/>
      </c:valAx>
      <c:spPr>
        <a:noFill/>
        <a:ln w="3175">
          <a:solidFill>
            <a:schemeClr val="tx1"/>
          </a:solidFill>
        </a:ln>
        <a:effectLst/>
      </c:spPr>
    </c:plotArea>
    <c:legend>
      <c:legendPos val="b"/>
      <c:layout>
        <c:manualLayout>
          <c:xMode val="edge"/>
          <c:yMode val="edge"/>
          <c:x val="0.59406700007093705"/>
          <c:y val="5.785731510591801E-2"/>
          <c:w val="0.36931811732992836"/>
          <c:h val="6.9429114099600633E-2"/>
        </c:manualLayout>
      </c:layout>
      <c:overlay val="1"/>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Garamond" panose="02020404030301010803" pitchFamily="18" charset="0"/>
        </a:defRPr>
      </a:pPr>
      <a:endParaRPr lang="sr-Latn-R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Closing_Saddle!$I$18</c:f>
              <c:strCache>
                <c:ptCount val="1"/>
                <c:pt idx="0">
                  <c:v>None</c:v>
                </c:pt>
              </c:strCache>
            </c:strRef>
          </c:tx>
          <c:spPr>
            <a:noFill/>
            <a:ln w="3175">
              <a:solidFill>
                <a:srgbClr val="0000FF"/>
              </a:solidFill>
            </a:ln>
            <a:effectLst/>
          </c:spPr>
          <c:invertIfNegative val="0"/>
          <c:cat>
            <c:strRef>
              <c:f>Closing_Saddle!$J$17:$N$17</c:f>
              <c:strCache>
                <c:ptCount val="5"/>
                <c:pt idx="0">
                  <c:v>GNB</c:v>
                </c:pt>
                <c:pt idx="1">
                  <c:v>ANN</c:v>
                </c:pt>
                <c:pt idx="2">
                  <c:v>CART</c:v>
                </c:pt>
                <c:pt idx="3">
                  <c:v>LR</c:v>
                </c:pt>
                <c:pt idx="4">
                  <c:v>kNN</c:v>
                </c:pt>
              </c:strCache>
            </c:strRef>
          </c:cat>
          <c:val>
            <c:numRef>
              <c:f>Closing_Saddle!$J$18:$N$18</c:f>
              <c:numCache>
                <c:formatCode>0.00%</c:formatCode>
                <c:ptCount val="5"/>
                <c:pt idx="0">
                  <c:v>0.65408805031446537</c:v>
                </c:pt>
                <c:pt idx="1">
                  <c:v>0.75342465753424659</c:v>
                </c:pt>
                <c:pt idx="2">
                  <c:v>0.60273972602739723</c:v>
                </c:pt>
                <c:pt idx="3">
                  <c:v>0.58904109589041098</c:v>
                </c:pt>
                <c:pt idx="4">
                  <c:v>0.73972602739726023</c:v>
                </c:pt>
              </c:numCache>
            </c:numRef>
          </c:val>
          <c:extLst>
            <c:ext xmlns:c16="http://schemas.microsoft.com/office/drawing/2014/chart" uri="{C3380CC4-5D6E-409C-BE32-E72D297353CC}">
              <c16:uniqueId val="{00000000-BC78-4043-84B0-08B5F7BF5013}"/>
            </c:ext>
          </c:extLst>
        </c:ser>
        <c:ser>
          <c:idx val="1"/>
          <c:order val="1"/>
          <c:tx>
            <c:strRef>
              <c:f>Closing_Saddle!$I$19</c:f>
              <c:strCache>
                <c:ptCount val="1"/>
                <c:pt idx="0">
                  <c:v>Quasi-fault</c:v>
                </c:pt>
              </c:strCache>
            </c:strRef>
          </c:tx>
          <c:spPr>
            <a:noFill/>
            <a:ln w="3175">
              <a:solidFill>
                <a:srgbClr val="FF0000"/>
              </a:solidFill>
            </a:ln>
            <a:effectLst/>
          </c:spPr>
          <c:invertIfNegative val="0"/>
          <c:cat>
            <c:strRef>
              <c:f>Closing_Saddle!$J$17:$N$17</c:f>
              <c:strCache>
                <c:ptCount val="5"/>
                <c:pt idx="0">
                  <c:v>GNB</c:v>
                </c:pt>
                <c:pt idx="1">
                  <c:v>ANN</c:v>
                </c:pt>
                <c:pt idx="2">
                  <c:v>CART</c:v>
                </c:pt>
                <c:pt idx="3">
                  <c:v>LR</c:v>
                </c:pt>
                <c:pt idx="4">
                  <c:v>kNN</c:v>
                </c:pt>
              </c:strCache>
            </c:strRef>
          </c:cat>
          <c:val>
            <c:numRef>
              <c:f>Closing_Saddle!$J$19:$N$19</c:f>
              <c:numCache>
                <c:formatCode>0.00%</c:formatCode>
                <c:ptCount val="5"/>
                <c:pt idx="0">
                  <c:v>0.92097264437689974</c:v>
                </c:pt>
                <c:pt idx="1">
                  <c:v>0.98029556650246308</c:v>
                </c:pt>
                <c:pt idx="2">
                  <c:v>0.99504950495049505</c:v>
                </c:pt>
                <c:pt idx="3">
                  <c:v>1</c:v>
                </c:pt>
                <c:pt idx="4">
                  <c:v>0.95566502463054193</c:v>
                </c:pt>
              </c:numCache>
            </c:numRef>
          </c:val>
          <c:extLst>
            <c:ext xmlns:c16="http://schemas.microsoft.com/office/drawing/2014/chart" uri="{C3380CC4-5D6E-409C-BE32-E72D297353CC}">
              <c16:uniqueId val="{00000001-BC78-4043-84B0-08B5F7BF5013}"/>
            </c:ext>
          </c:extLst>
        </c:ser>
        <c:ser>
          <c:idx val="2"/>
          <c:order val="2"/>
          <c:tx>
            <c:strRef>
              <c:f>Closing_Saddle!$I$20</c:f>
              <c:strCache>
                <c:ptCount val="1"/>
                <c:pt idx="0">
                  <c:v>Overall</c:v>
                </c:pt>
              </c:strCache>
            </c:strRef>
          </c:tx>
          <c:spPr>
            <a:noFill/>
            <a:ln w="3175">
              <a:solidFill>
                <a:srgbClr val="00B050"/>
              </a:solidFill>
            </a:ln>
            <a:effectLst/>
          </c:spPr>
          <c:invertIfNegative val="0"/>
          <c:cat>
            <c:strRef>
              <c:f>Closing_Saddle!$J$17:$N$17</c:f>
              <c:strCache>
                <c:ptCount val="5"/>
                <c:pt idx="0">
                  <c:v>GNB</c:v>
                </c:pt>
                <c:pt idx="1">
                  <c:v>ANN</c:v>
                </c:pt>
                <c:pt idx="2">
                  <c:v>CART</c:v>
                </c:pt>
                <c:pt idx="3">
                  <c:v>LR</c:v>
                </c:pt>
                <c:pt idx="4">
                  <c:v>kNN</c:v>
                </c:pt>
              </c:strCache>
            </c:strRef>
          </c:cat>
          <c:val>
            <c:numRef>
              <c:f>Closing_Saddle!$J$20:$N$20</c:f>
              <c:numCache>
                <c:formatCode>0.00%</c:formatCode>
                <c:ptCount val="5"/>
                <c:pt idx="0">
                  <c:v>0.77551020408163263</c:v>
                </c:pt>
                <c:pt idx="1">
                  <c:v>0.92028985507246375</c:v>
                </c:pt>
                <c:pt idx="2">
                  <c:v>0.89090909090909087</c:v>
                </c:pt>
                <c:pt idx="3">
                  <c:v>0.89130434782608692</c:v>
                </c:pt>
                <c:pt idx="4">
                  <c:v>0.89855072463768115</c:v>
                </c:pt>
              </c:numCache>
            </c:numRef>
          </c:val>
          <c:extLst>
            <c:ext xmlns:c16="http://schemas.microsoft.com/office/drawing/2014/chart" uri="{C3380CC4-5D6E-409C-BE32-E72D297353CC}">
              <c16:uniqueId val="{00000002-BC78-4043-84B0-08B5F7BF5013}"/>
            </c:ext>
          </c:extLst>
        </c:ser>
        <c:dLbls>
          <c:showLegendKey val="0"/>
          <c:showVal val="0"/>
          <c:showCatName val="0"/>
          <c:showSerName val="0"/>
          <c:showPercent val="0"/>
          <c:showBubbleSize val="0"/>
        </c:dLbls>
        <c:gapWidth val="219"/>
        <c:overlap val="-27"/>
        <c:axId val="1701126031"/>
        <c:axId val="1701124783"/>
      </c:barChart>
      <c:catAx>
        <c:axId val="1701126031"/>
        <c:scaling>
          <c:orientation val="minMax"/>
        </c:scaling>
        <c:delete val="0"/>
        <c:axPos val="b"/>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701124783"/>
        <c:crosses val="autoZero"/>
        <c:auto val="1"/>
        <c:lblAlgn val="ctr"/>
        <c:lblOffset val="100"/>
        <c:noMultiLvlLbl val="0"/>
      </c:catAx>
      <c:valAx>
        <c:axId val="1701124783"/>
        <c:scaling>
          <c:orientation val="minMax"/>
          <c:max val="1.2"/>
          <c:min val="0"/>
        </c:scaling>
        <c:delete val="0"/>
        <c:axPos val="l"/>
        <c:numFmt formatCode="0.00%" sourceLinked="1"/>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701126031"/>
        <c:crosses val="autoZero"/>
        <c:crossBetween val="between"/>
      </c:valAx>
      <c:spPr>
        <a:noFill/>
        <a:ln w="3175">
          <a:solidFill>
            <a:schemeClr val="tx1"/>
          </a:solidFill>
        </a:ln>
        <a:effectLst/>
      </c:spPr>
    </c:plotArea>
    <c:legend>
      <c:legendPos val="b"/>
      <c:layout>
        <c:manualLayout>
          <c:xMode val="edge"/>
          <c:yMode val="edge"/>
          <c:x val="0.59406700007093705"/>
          <c:y val="5.4052863898004753E-2"/>
          <c:w val="0.36931811732992836"/>
          <c:h val="6.9429114099600633E-2"/>
        </c:manualLayout>
      </c:layout>
      <c:overlay val="1"/>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Garamond" panose="02020404030301010803" pitchFamily="18" charset="0"/>
        </a:defRPr>
      </a:pPr>
      <a:endParaRPr lang="sr-Latn-R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880225451392289"/>
          <c:y val="5.8201058201058198E-2"/>
          <c:w val="0.81235227479335959"/>
          <c:h val="0.80689622130567007"/>
        </c:manualLayout>
      </c:layout>
      <c:lineChart>
        <c:grouping val="standard"/>
        <c:varyColors val="0"/>
        <c:ser>
          <c:idx val="0"/>
          <c:order val="0"/>
          <c:tx>
            <c:strRef>
              <c:f>SPC_HyPower!$F$1</c:f>
              <c:strCache>
                <c:ptCount val="1"/>
                <c:pt idx="0">
                  <c:v>N_Stdev_OS</c:v>
                </c:pt>
              </c:strCache>
            </c:strRef>
          </c:tx>
          <c:spPr>
            <a:ln w="3175" cap="rnd">
              <a:solidFill>
                <a:srgbClr val="0000FF"/>
              </a:solidFill>
              <a:round/>
            </a:ln>
            <a:effectLst/>
          </c:spPr>
          <c:marker>
            <c:symbol val="diamond"/>
            <c:size val="8"/>
            <c:spPr>
              <a:noFill/>
              <a:ln w="3175">
                <a:solidFill>
                  <a:srgbClr val="0000FF"/>
                </a:solidFill>
              </a:ln>
              <a:effectLst/>
            </c:spPr>
          </c:marker>
          <c:dPt>
            <c:idx val="0"/>
            <c:marker>
              <c:symbol val="diamond"/>
              <c:size val="8"/>
              <c:spPr>
                <a:noFill/>
                <a:ln w="3175">
                  <a:solidFill>
                    <a:srgbClr val="FF0000"/>
                  </a:solidFill>
                </a:ln>
                <a:effectLst/>
              </c:spPr>
            </c:marker>
            <c:bubble3D val="0"/>
            <c:spPr>
              <a:ln w="3175" cap="rnd">
                <a:solidFill>
                  <a:srgbClr val="FF0000"/>
                </a:solidFill>
                <a:round/>
              </a:ln>
              <a:effectLst/>
            </c:spPr>
            <c:extLst>
              <c:ext xmlns:c16="http://schemas.microsoft.com/office/drawing/2014/chart" uri="{C3380CC4-5D6E-409C-BE32-E72D297353CC}">
                <c16:uniqueId val="{00000001-8B9F-4E41-8E42-26F2DDBFD0C8}"/>
              </c:ext>
            </c:extLst>
          </c:dPt>
          <c:val>
            <c:numRef>
              <c:f>SPC_HyPower!$F$2:$F$21</c:f>
              <c:numCache>
                <c:formatCode>General</c:formatCode>
                <c:ptCount val="20"/>
                <c:pt idx="0">
                  <c:v>2.0030000000000001</c:v>
                </c:pt>
                <c:pt idx="1">
                  <c:v>5.5510000000000002</c:v>
                </c:pt>
                <c:pt idx="2">
                  <c:v>5.7069999999999999</c:v>
                </c:pt>
                <c:pt idx="3">
                  <c:v>5.5439999999999996</c:v>
                </c:pt>
                <c:pt idx="4">
                  <c:v>5.657</c:v>
                </c:pt>
                <c:pt idx="5">
                  <c:v>5.48</c:v>
                </c:pt>
                <c:pt idx="6">
                  <c:v>5.548</c:v>
                </c:pt>
                <c:pt idx="7">
                  <c:v>5.5049999999999999</c:v>
                </c:pt>
                <c:pt idx="8">
                  <c:v>5.5460000000000003</c:v>
                </c:pt>
                <c:pt idx="9">
                  <c:v>5.53</c:v>
                </c:pt>
                <c:pt idx="10">
                  <c:v>5.5309999999999997</c:v>
                </c:pt>
                <c:pt idx="11">
                  <c:v>5.5309999999999997</c:v>
                </c:pt>
                <c:pt idx="12">
                  <c:v>5.5270000000000001</c:v>
                </c:pt>
                <c:pt idx="13">
                  <c:v>5.5339999999999998</c:v>
                </c:pt>
                <c:pt idx="14">
                  <c:v>5.5339999999999998</c:v>
                </c:pt>
                <c:pt idx="15">
                  <c:v>5.5330000000000004</c:v>
                </c:pt>
                <c:pt idx="16">
                  <c:v>5.5359999999999996</c:v>
                </c:pt>
                <c:pt idx="17">
                  <c:v>5.5369999999999999</c:v>
                </c:pt>
                <c:pt idx="18">
                  <c:v>5.5389999999999997</c:v>
                </c:pt>
                <c:pt idx="19">
                  <c:v>5.5389999999999997</c:v>
                </c:pt>
              </c:numCache>
            </c:numRef>
          </c:val>
          <c:smooth val="0"/>
          <c:extLst>
            <c:ext xmlns:c16="http://schemas.microsoft.com/office/drawing/2014/chart" uri="{C3380CC4-5D6E-409C-BE32-E72D297353CC}">
              <c16:uniqueId val="{00000002-8B9F-4E41-8E42-26F2DDBFD0C8}"/>
            </c:ext>
          </c:extLst>
        </c:ser>
        <c:ser>
          <c:idx val="1"/>
          <c:order val="1"/>
          <c:tx>
            <c:strRef>
              <c:f>SPC_HyPower!$G$1</c:f>
              <c:strCache>
                <c:ptCount val="1"/>
                <c:pt idx="0">
                  <c:v>μstdev_os</c:v>
                </c:pt>
              </c:strCache>
            </c:strRef>
          </c:tx>
          <c:spPr>
            <a:ln w="3175" cap="rnd">
              <a:solidFill>
                <a:srgbClr val="00B050"/>
              </a:solidFill>
              <a:round/>
            </a:ln>
            <a:effectLst/>
          </c:spPr>
          <c:marker>
            <c:symbol val="none"/>
          </c:marker>
          <c:val>
            <c:numRef>
              <c:f>SPC_HyPower!$G$2:$G$21</c:f>
              <c:numCache>
                <c:formatCode>0.000</c:formatCode>
                <c:ptCount val="20"/>
                <c:pt idx="0">
                  <c:v>5.3706000000000014</c:v>
                </c:pt>
                <c:pt idx="1">
                  <c:v>5.3706000000000014</c:v>
                </c:pt>
                <c:pt idx="2">
                  <c:v>5.3706000000000014</c:v>
                </c:pt>
                <c:pt idx="3">
                  <c:v>5.3706000000000014</c:v>
                </c:pt>
                <c:pt idx="4">
                  <c:v>5.3706000000000014</c:v>
                </c:pt>
                <c:pt idx="5">
                  <c:v>5.3706000000000014</c:v>
                </c:pt>
                <c:pt idx="6">
                  <c:v>5.3706000000000014</c:v>
                </c:pt>
                <c:pt idx="7">
                  <c:v>5.3706000000000014</c:v>
                </c:pt>
                <c:pt idx="8">
                  <c:v>5.3706000000000014</c:v>
                </c:pt>
                <c:pt idx="9">
                  <c:v>5.3706000000000014</c:v>
                </c:pt>
                <c:pt idx="10">
                  <c:v>5.3706000000000014</c:v>
                </c:pt>
                <c:pt idx="11">
                  <c:v>5.3706000000000014</c:v>
                </c:pt>
                <c:pt idx="12">
                  <c:v>5.3706000000000014</c:v>
                </c:pt>
                <c:pt idx="13">
                  <c:v>5.3706000000000014</c:v>
                </c:pt>
                <c:pt idx="14">
                  <c:v>5.3706000000000014</c:v>
                </c:pt>
                <c:pt idx="15">
                  <c:v>5.3706000000000014</c:v>
                </c:pt>
                <c:pt idx="16">
                  <c:v>5.3706000000000014</c:v>
                </c:pt>
                <c:pt idx="17">
                  <c:v>5.3706000000000014</c:v>
                </c:pt>
                <c:pt idx="18">
                  <c:v>5.3706000000000014</c:v>
                </c:pt>
                <c:pt idx="19">
                  <c:v>5.3706000000000014</c:v>
                </c:pt>
              </c:numCache>
            </c:numRef>
          </c:val>
          <c:smooth val="0"/>
          <c:extLst>
            <c:ext xmlns:c16="http://schemas.microsoft.com/office/drawing/2014/chart" uri="{C3380CC4-5D6E-409C-BE32-E72D297353CC}">
              <c16:uniqueId val="{00000003-8B9F-4E41-8E42-26F2DDBFD0C8}"/>
            </c:ext>
          </c:extLst>
        </c:ser>
        <c:ser>
          <c:idx val="2"/>
          <c:order val="2"/>
          <c:tx>
            <c:strRef>
              <c:f>SPC_HyPower!$H$1</c:f>
              <c:strCache>
                <c:ptCount val="1"/>
                <c:pt idx="0">
                  <c:v>LCL</c:v>
                </c:pt>
              </c:strCache>
            </c:strRef>
          </c:tx>
          <c:spPr>
            <a:ln w="3175" cap="rnd">
              <a:solidFill>
                <a:srgbClr val="FF0000"/>
              </a:solidFill>
              <a:round/>
            </a:ln>
            <a:effectLst/>
          </c:spPr>
          <c:marker>
            <c:symbol val="none"/>
          </c:marker>
          <c:val>
            <c:numRef>
              <c:f>SPC_HyPower!$H$2:$H$21</c:f>
              <c:numCache>
                <c:formatCode>0.000</c:formatCode>
                <c:ptCount val="20"/>
                <c:pt idx="0">
                  <c:v>3.7822436300707905</c:v>
                </c:pt>
                <c:pt idx="1">
                  <c:v>3.7822436300707905</c:v>
                </c:pt>
                <c:pt idx="2">
                  <c:v>3.7822436300707905</c:v>
                </c:pt>
                <c:pt idx="3">
                  <c:v>3.7822436300707905</c:v>
                </c:pt>
                <c:pt idx="4">
                  <c:v>3.7822436300707905</c:v>
                </c:pt>
                <c:pt idx="5">
                  <c:v>3.7822436300707905</c:v>
                </c:pt>
                <c:pt idx="6">
                  <c:v>3.7822436300707905</c:v>
                </c:pt>
                <c:pt idx="7">
                  <c:v>3.7822436300707905</c:v>
                </c:pt>
                <c:pt idx="8">
                  <c:v>3.7822436300707905</c:v>
                </c:pt>
                <c:pt idx="9">
                  <c:v>3.7822436300707905</c:v>
                </c:pt>
                <c:pt idx="10">
                  <c:v>3.7822436300707905</c:v>
                </c:pt>
                <c:pt idx="11">
                  <c:v>3.7822436300707905</c:v>
                </c:pt>
                <c:pt idx="12">
                  <c:v>3.7822436300707905</c:v>
                </c:pt>
                <c:pt idx="13">
                  <c:v>3.7822436300707905</c:v>
                </c:pt>
                <c:pt idx="14">
                  <c:v>3.7822436300707905</c:v>
                </c:pt>
                <c:pt idx="15">
                  <c:v>3.7822436300707905</c:v>
                </c:pt>
                <c:pt idx="16">
                  <c:v>3.7822436300707905</c:v>
                </c:pt>
                <c:pt idx="17">
                  <c:v>3.7822436300707905</c:v>
                </c:pt>
                <c:pt idx="18">
                  <c:v>3.7822436300707905</c:v>
                </c:pt>
                <c:pt idx="19">
                  <c:v>3.7822436300707905</c:v>
                </c:pt>
              </c:numCache>
            </c:numRef>
          </c:val>
          <c:smooth val="0"/>
          <c:extLst>
            <c:ext xmlns:c16="http://schemas.microsoft.com/office/drawing/2014/chart" uri="{C3380CC4-5D6E-409C-BE32-E72D297353CC}">
              <c16:uniqueId val="{00000004-8B9F-4E41-8E42-26F2DDBFD0C8}"/>
            </c:ext>
          </c:extLst>
        </c:ser>
        <c:ser>
          <c:idx val="3"/>
          <c:order val="3"/>
          <c:tx>
            <c:strRef>
              <c:f>SPC_HyPower!$I$1</c:f>
              <c:strCache>
                <c:ptCount val="1"/>
                <c:pt idx="0">
                  <c:v>UCL</c:v>
                </c:pt>
              </c:strCache>
            </c:strRef>
          </c:tx>
          <c:spPr>
            <a:ln w="3175" cap="rnd">
              <a:solidFill>
                <a:srgbClr val="FF0000"/>
              </a:solidFill>
              <a:round/>
            </a:ln>
            <a:effectLst/>
          </c:spPr>
          <c:marker>
            <c:symbol val="none"/>
          </c:marker>
          <c:val>
            <c:numRef>
              <c:f>SPC_HyPower!$I$2:$I$21</c:f>
              <c:numCache>
                <c:formatCode>0.000</c:formatCode>
                <c:ptCount val="20"/>
                <c:pt idx="0">
                  <c:v>6.9589563699292123</c:v>
                </c:pt>
                <c:pt idx="1">
                  <c:v>6.9589563699292123</c:v>
                </c:pt>
                <c:pt idx="2">
                  <c:v>6.9589563699292123</c:v>
                </c:pt>
                <c:pt idx="3">
                  <c:v>6.9589563699292123</c:v>
                </c:pt>
                <c:pt idx="4">
                  <c:v>6.9589563699292123</c:v>
                </c:pt>
                <c:pt idx="5">
                  <c:v>6.9589563699292123</c:v>
                </c:pt>
                <c:pt idx="6">
                  <c:v>6.9589563699292123</c:v>
                </c:pt>
                <c:pt idx="7">
                  <c:v>6.9589563699292123</c:v>
                </c:pt>
                <c:pt idx="8">
                  <c:v>6.9589563699292123</c:v>
                </c:pt>
                <c:pt idx="9">
                  <c:v>6.9589563699292123</c:v>
                </c:pt>
                <c:pt idx="10">
                  <c:v>6.9589563699292123</c:v>
                </c:pt>
                <c:pt idx="11">
                  <c:v>6.9589563699292123</c:v>
                </c:pt>
                <c:pt idx="12">
                  <c:v>6.9589563699292123</c:v>
                </c:pt>
                <c:pt idx="13">
                  <c:v>6.9589563699292123</c:v>
                </c:pt>
                <c:pt idx="14">
                  <c:v>6.9589563699292123</c:v>
                </c:pt>
                <c:pt idx="15">
                  <c:v>6.9589563699292123</c:v>
                </c:pt>
                <c:pt idx="16">
                  <c:v>6.9589563699292123</c:v>
                </c:pt>
                <c:pt idx="17">
                  <c:v>6.9589563699292123</c:v>
                </c:pt>
                <c:pt idx="18">
                  <c:v>6.9589563699292123</c:v>
                </c:pt>
                <c:pt idx="19">
                  <c:v>6.9589563699292123</c:v>
                </c:pt>
              </c:numCache>
            </c:numRef>
          </c:val>
          <c:smooth val="0"/>
          <c:extLst>
            <c:ext xmlns:c16="http://schemas.microsoft.com/office/drawing/2014/chart" uri="{C3380CC4-5D6E-409C-BE32-E72D297353CC}">
              <c16:uniqueId val="{00000005-8B9F-4E41-8E42-26F2DDBFD0C8}"/>
            </c:ext>
          </c:extLst>
        </c:ser>
        <c:dLbls>
          <c:showLegendKey val="0"/>
          <c:showVal val="0"/>
          <c:showCatName val="0"/>
          <c:showSerName val="0"/>
          <c:showPercent val="0"/>
          <c:showBubbleSize val="0"/>
        </c:dLbls>
        <c:marker val="1"/>
        <c:smooth val="0"/>
        <c:axId val="1869949615"/>
        <c:axId val="1869951279"/>
      </c:lineChart>
      <c:catAx>
        <c:axId val="1869949615"/>
        <c:scaling>
          <c:orientation val="minMax"/>
        </c:scaling>
        <c:delete val="0"/>
        <c:axPos val="b"/>
        <c:numFmt formatCode="General" sourceLinked="1"/>
        <c:majorTickMark val="none"/>
        <c:minorTickMark val="out"/>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869951279"/>
        <c:crosses val="autoZero"/>
        <c:auto val="1"/>
        <c:lblAlgn val="ctr"/>
        <c:lblOffset val="100"/>
        <c:tickLblSkip val="2"/>
        <c:noMultiLvlLbl val="0"/>
      </c:catAx>
      <c:valAx>
        <c:axId val="1869951279"/>
        <c:scaling>
          <c:orientation val="minMax"/>
        </c:scaling>
        <c:delete val="0"/>
        <c:axPos val="l"/>
        <c:numFmt formatCode="#,##0.00" sourceLinked="0"/>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869949615"/>
        <c:crosses val="autoZero"/>
        <c:crossBetween val="between"/>
      </c:valAx>
      <c:spPr>
        <a:noFill/>
        <a:ln>
          <a:noFill/>
        </a:ln>
        <a:effectLst/>
      </c:spPr>
    </c:plotArea>
    <c:legend>
      <c:legendPos val="b"/>
      <c:layout>
        <c:manualLayout>
          <c:xMode val="edge"/>
          <c:yMode val="edge"/>
          <c:x val="0.53215444539237211"/>
          <c:y val="0.57760896350932411"/>
          <c:w val="0.43013943860925025"/>
          <c:h val="0.252342207224097"/>
        </c:manualLayout>
      </c:layout>
      <c:overlay val="1"/>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Garamond" panose="02020404030301010803" pitchFamily="18" charset="0"/>
        </a:defRPr>
      </a:pPr>
      <a:endParaRPr lang="sr-Latn-RS"/>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SPC_HyPower!$F$1</c:f>
              <c:strCache>
                <c:ptCount val="1"/>
                <c:pt idx="0">
                  <c:v>N_Stdev_OS</c:v>
                </c:pt>
              </c:strCache>
            </c:strRef>
          </c:tx>
          <c:spPr>
            <a:ln w="3175" cap="rnd">
              <a:solidFill>
                <a:srgbClr val="0000FF"/>
              </a:solidFill>
              <a:round/>
            </a:ln>
            <a:effectLst/>
          </c:spPr>
          <c:marker>
            <c:symbol val="diamond"/>
            <c:size val="8"/>
            <c:spPr>
              <a:noFill/>
              <a:ln w="3175">
                <a:solidFill>
                  <a:srgbClr val="0000FF"/>
                </a:solidFill>
              </a:ln>
              <a:effectLst/>
            </c:spPr>
          </c:marker>
          <c:dPt>
            <c:idx val="3"/>
            <c:marker>
              <c:symbol val="diamond"/>
              <c:size val="8"/>
              <c:spPr>
                <a:noFill/>
                <a:ln w="3175">
                  <a:solidFill>
                    <a:srgbClr val="FF0000"/>
                  </a:solidFill>
                </a:ln>
                <a:effectLst/>
              </c:spPr>
            </c:marker>
            <c:bubble3D val="0"/>
            <c:extLst>
              <c:ext xmlns:c16="http://schemas.microsoft.com/office/drawing/2014/chart" uri="{C3380CC4-5D6E-409C-BE32-E72D297353CC}">
                <c16:uniqueId val="{00000000-68D3-44CC-B5FC-C2CB4D4388E2}"/>
              </c:ext>
            </c:extLst>
          </c:dPt>
          <c:val>
            <c:numRef>
              <c:f>SPC_HyPower!$F$22:$F$41</c:f>
              <c:numCache>
                <c:formatCode>General</c:formatCode>
                <c:ptCount val="20"/>
                <c:pt idx="0">
                  <c:v>3.573</c:v>
                </c:pt>
                <c:pt idx="1">
                  <c:v>3.8330000000000002</c:v>
                </c:pt>
                <c:pt idx="2">
                  <c:v>3.742</c:v>
                </c:pt>
                <c:pt idx="3">
                  <c:v>3.5339999999999998</c:v>
                </c:pt>
                <c:pt idx="4">
                  <c:v>3.8290000000000002</c:v>
                </c:pt>
                <c:pt idx="5">
                  <c:v>3.6909999999999998</c:v>
                </c:pt>
                <c:pt idx="6">
                  <c:v>3.8610000000000002</c:v>
                </c:pt>
                <c:pt idx="7">
                  <c:v>3.91</c:v>
                </c:pt>
                <c:pt idx="8">
                  <c:v>3.7919999999999998</c:v>
                </c:pt>
                <c:pt idx="9">
                  <c:v>3.8079999999999998</c:v>
                </c:pt>
                <c:pt idx="10">
                  <c:v>3.8460000000000001</c:v>
                </c:pt>
                <c:pt idx="11">
                  <c:v>4.109</c:v>
                </c:pt>
                <c:pt idx="12">
                  <c:v>3.915</c:v>
                </c:pt>
                <c:pt idx="13">
                  <c:v>4.0250000000000004</c:v>
                </c:pt>
                <c:pt idx="14">
                  <c:v>4.077</c:v>
                </c:pt>
                <c:pt idx="15">
                  <c:v>3.7690000000000001</c:v>
                </c:pt>
                <c:pt idx="16">
                  <c:v>3.984</c:v>
                </c:pt>
                <c:pt idx="17">
                  <c:v>3.875</c:v>
                </c:pt>
                <c:pt idx="18">
                  <c:v>3.984</c:v>
                </c:pt>
                <c:pt idx="19">
                  <c:v>3.875</c:v>
                </c:pt>
              </c:numCache>
            </c:numRef>
          </c:val>
          <c:smooth val="0"/>
          <c:extLst>
            <c:ext xmlns:c16="http://schemas.microsoft.com/office/drawing/2014/chart" uri="{C3380CC4-5D6E-409C-BE32-E72D297353CC}">
              <c16:uniqueId val="{00000001-68D3-44CC-B5FC-C2CB4D4388E2}"/>
            </c:ext>
          </c:extLst>
        </c:ser>
        <c:ser>
          <c:idx val="1"/>
          <c:order val="1"/>
          <c:tx>
            <c:strRef>
              <c:f>SPC_HyPower!$G$1</c:f>
              <c:strCache>
                <c:ptCount val="1"/>
                <c:pt idx="0">
                  <c:v>μstdev_os</c:v>
                </c:pt>
              </c:strCache>
            </c:strRef>
          </c:tx>
          <c:spPr>
            <a:ln w="3175" cap="rnd">
              <a:solidFill>
                <a:srgbClr val="00B050"/>
              </a:solidFill>
              <a:round/>
            </a:ln>
            <a:effectLst/>
          </c:spPr>
          <c:marker>
            <c:symbol val="none"/>
          </c:marker>
          <c:val>
            <c:numRef>
              <c:f>SPC_HyPower!$G$22:$G$41</c:f>
              <c:numCache>
                <c:formatCode>0.000</c:formatCode>
                <c:ptCount val="20"/>
                <c:pt idx="0">
                  <c:v>3.851599999999999</c:v>
                </c:pt>
                <c:pt idx="1">
                  <c:v>3.851599999999999</c:v>
                </c:pt>
                <c:pt idx="2">
                  <c:v>3.851599999999999</c:v>
                </c:pt>
                <c:pt idx="3">
                  <c:v>3.851599999999999</c:v>
                </c:pt>
                <c:pt idx="4">
                  <c:v>3.851599999999999</c:v>
                </c:pt>
                <c:pt idx="5">
                  <c:v>3.851599999999999</c:v>
                </c:pt>
                <c:pt idx="6">
                  <c:v>3.851599999999999</c:v>
                </c:pt>
                <c:pt idx="7">
                  <c:v>3.851599999999999</c:v>
                </c:pt>
                <c:pt idx="8">
                  <c:v>3.851599999999999</c:v>
                </c:pt>
                <c:pt idx="9">
                  <c:v>3.851599999999999</c:v>
                </c:pt>
                <c:pt idx="10">
                  <c:v>3.851599999999999</c:v>
                </c:pt>
                <c:pt idx="11">
                  <c:v>3.851599999999999</c:v>
                </c:pt>
                <c:pt idx="12">
                  <c:v>3.851599999999999</c:v>
                </c:pt>
                <c:pt idx="13">
                  <c:v>3.851599999999999</c:v>
                </c:pt>
                <c:pt idx="14">
                  <c:v>3.851599999999999</c:v>
                </c:pt>
                <c:pt idx="15">
                  <c:v>3.851599999999999</c:v>
                </c:pt>
                <c:pt idx="16">
                  <c:v>3.851599999999999</c:v>
                </c:pt>
                <c:pt idx="17">
                  <c:v>3.851599999999999</c:v>
                </c:pt>
                <c:pt idx="18">
                  <c:v>3.851599999999999</c:v>
                </c:pt>
                <c:pt idx="19">
                  <c:v>3.851599999999999</c:v>
                </c:pt>
              </c:numCache>
            </c:numRef>
          </c:val>
          <c:smooth val="0"/>
          <c:extLst>
            <c:ext xmlns:c16="http://schemas.microsoft.com/office/drawing/2014/chart" uri="{C3380CC4-5D6E-409C-BE32-E72D297353CC}">
              <c16:uniqueId val="{00000002-68D3-44CC-B5FC-C2CB4D4388E2}"/>
            </c:ext>
          </c:extLst>
        </c:ser>
        <c:ser>
          <c:idx val="2"/>
          <c:order val="2"/>
          <c:tx>
            <c:strRef>
              <c:f>SPC_HyPower!$H$1</c:f>
              <c:strCache>
                <c:ptCount val="1"/>
                <c:pt idx="0">
                  <c:v>LCL</c:v>
                </c:pt>
              </c:strCache>
            </c:strRef>
          </c:tx>
          <c:spPr>
            <a:ln w="3175" cap="rnd">
              <a:solidFill>
                <a:srgbClr val="FF0000"/>
              </a:solidFill>
              <a:round/>
            </a:ln>
            <a:effectLst/>
          </c:spPr>
          <c:marker>
            <c:symbol val="none"/>
          </c:marker>
          <c:val>
            <c:numRef>
              <c:f>SPC_HyPower!$H$22:$H$41</c:f>
              <c:numCache>
                <c:formatCode>0.000</c:formatCode>
                <c:ptCount val="20"/>
                <c:pt idx="0">
                  <c:v>3.5541523310068235</c:v>
                </c:pt>
                <c:pt idx="1">
                  <c:v>3.5541523310068235</c:v>
                </c:pt>
                <c:pt idx="2">
                  <c:v>3.5541523310068235</c:v>
                </c:pt>
                <c:pt idx="3">
                  <c:v>3.5541523310068235</c:v>
                </c:pt>
                <c:pt idx="4">
                  <c:v>3.5541523310068235</c:v>
                </c:pt>
                <c:pt idx="5">
                  <c:v>3.5541523310068235</c:v>
                </c:pt>
                <c:pt idx="6">
                  <c:v>3.5541523310068235</c:v>
                </c:pt>
                <c:pt idx="7">
                  <c:v>3.5541523310068235</c:v>
                </c:pt>
                <c:pt idx="8">
                  <c:v>3.5541523310068235</c:v>
                </c:pt>
                <c:pt idx="9">
                  <c:v>3.5541523310068235</c:v>
                </c:pt>
                <c:pt idx="10">
                  <c:v>3.5541523310068235</c:v>
                </c:pt>
                <c:pt idx="11">
                  <c:v>3.5541523310068235</c:v>
                </c:pt>
                <c:pt idx="12">
                  <c:v>3.5541523310068235</c:v>
                </c:pt>
                <c:pt idx="13">
                  <c:v>3.5541523310068235</c:v>
                </c:pt>
                <c:pt idx="14">
                  <c:v>3.5541523310068235</c:v>
                </c:pt>
                <c:pt idx="15">
                  <c:v>3.5541523310068235</c:v>
                </c:pt>
                <c:pt idx="16">
                  <c:v>3.5541523310068235</c:v>
                </c:pt>
                <c:pt idx="17">
                  <c:v>3.5541523310068235</c:v>
                </c:pt>
                <c:pt idx="18">
                  <c:v>3.5541523310068235</c:v>
                </c:pt>
                <c:pt idx="19">
                  <c:v>3.5541523310068235</c:v>
                </c:pt>
              </c:numCache>
            </c:numRef>
          </c:val>
          <c:smooth val="0"/>
          <c:extLst>
            <c:ext xmlns:c16="http://schemas.microsoft.com/office/drawing/2014/chart" uri="{C3380CC4-5D6E-409C-BE32-E72D297353CC}">
              <c16:uniqueId val="{00000003-68D3-44CC-B5FC-C2CB4D4388E2}"/>
            </c:ext>
          </c:extLst>
        </c:ser>
        <c:ser>
          <c:idx val="3"/>
          <c:order val="3"/>
          <c:tx>
            <c:strRef>
              <c:f>SPC_HyPower!$I$1</c:f>
              <c:strCache>
                <c:ptCount val="1"/>
                <c:pt idx="0">
                  <c:v>UCL</c:v>
                </c:pt>
              </c:strCache>
            </c:strRef>
          </c:tx>
          <c:spPr>
            <a:ln w="3175" cap="rnd">
              <a:solidFill>
                <a:srgbClr val="FF0000"/>
              </a:solidFill>
              <a:round/>
            </a:ln>
            <a:effectLst/>
          </c:spPr>
          <c:marker>
            <c:symbol val="none"/>
          </c:marker>
          <c:val>
            <c:numRef>
              <c:f>SPC_HyPower!$I$22:$I$41</c:f>
              <c:numCache>
                <c:formatCode>0.000</c:formatCode>
                <c:ptCount val="20"/>
                <c:pt idx="0">
                  <c:v>4.149047668993175</c:v>
                </c:pt>
                <c:pt idx="1">
                  <c:v>4.149047668993175</c:v>
                </c:pt>
                <c:pt idx="2">
                  <c:v>4.149047668993175</c:v>
                </c:pt>
                <c:pt idx="3">
                  <c:v>4.149047668993175</c:v>
                </c:pt>
                <c:pt idx="4">
                  <c:v>4.149047668993175</c:v>
                </c:pt>
                <c:pt idx="5">
                  <c:v>4.149047668993175</c:v>
                </c:pt>
                <c:pt idx="6">
                  <c:v>4.149047668993175</c:v>
                </c:pt>
                <c:pt idx="7">
                  <c:v>4.149047668993175</c:v>
                </c:pt>
                <c:pt idx="8">
                  <c:v>4.149047668993175</c:v>
                </c:pt>
                <c:pt idx="9">
                  <c:v>4.149047668993175</c:v>
                </c:pt>
                <c:pt idx="10">
                  <c:v>4.149047668993175</c:v>
                </c:pt>
                <c:pt idx="11">
                  <c:v>4.149047668993175</c:v>
                </c:pt>
                <c:pt idx="12">
                  <c:v>4.149047668993175</c:v>
                </c:pt>
                <c:pt idx="13">
                  <c:v>4.149047668993175</c:v>
                </c:pt>
                <c:pt idx="14">
                  <c:v>4.149047668993175</c:v>
                </c:pt>
                <c:pt idx="15">
                  <c:v>4.149047668993175</c:v>
                </c:pt>
                <c:pt idx="16">
                  <c:v>4.149047668993175</c:v>
                </c:pt>
                <c:pt idx="17">
                  <c:v>4.149047668993175</c:v>
                </c:pt>
                <c:pt idx="18">
                  <c:v>4.149047668993175</c:v>
                </c:pt>
                <c:pt idx="19">
                  <c:v>4.149047668993175</c:v>
                </c:pt>
              </c:numCache>
            </c:numRef>
          </c:val>
          <c:smooth val="0"/>
          <c:extLst>
            <c:ext xmlns:c16="http://schemas.microsoft.com/office/drawing/2014/chart" uri="{C3380CC4-5D6E-409C-BE32-E72D297353CC}">
              <c16:uniqueId val="{00000004-68D3-44CC-B5FC-C2CB4D4388E2}"/>
            </c:ext>
          </c:extLst>
        </c:ser>
        <c:dLbls>
          <c:showLegendKey val="0"/>
          <c:showVal val="0"/>
          <c:showCatName val="0"/>
          <c:showSerName val="0"/>
          <c:showPercent val="0"/>
          <c:showBubbleSize val="0"/>
        </c:dLbls>
        <c:marker val="1"/>
        <c:smooth val="0"/>
        <c:axId val="1869949615"/>
        <c:axId val="1869951279"/>
      </c:lineChart>
      <c:catAx>
        <c:axId val="1869949615"/>
        <c:scaling>
          <c:orientation val="minMax"/>
        </c:scaling>
        <c:delete val="0"/>
        <c:axPos val="b"/>
        <c:numFmt formatCode="General" sourceLinked="1"/>
        <c:majorTickMark val="none"/>
        <c:minorTickMark val="out"/>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869951279"/>
        <c:crosses val="autoZero"/>
        <c:auto val="1"/>
        <c:lblAlgn val="ctr"/>
        <c:lblOffset val="100"/>
        <c:tickLblSkip val="2"/>
        <c:tickMarkSkip val="2"/>
        <c:noMultiLvlLbl val="0"/>
      </c:catAx>
      <c:valAx>
        <c:axId val="1869951279"/>
        <c:scaling>
          <c:orientation val="minMax"/>
        </c:scaling>
        <c:delete val="0"/>
        <c:axPos val="l"/>
        <c:numFmt formatCode="General" sourceLinked="1"/>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869949615"/>
        <c:crossesAt val="1"/>
        <c:crossBetween val="between"/>
      </c:valAx>
      <c:spPr>
        <a:noFill/>
        <a:ln>
          <a:noFill/>
        </a:ln>
        <a:effectLst/>
      </c:spPr>
    </c:plotArea>
    <c:legend>
      <c:legendPos val="b"/>
      <c:layout>
        <c:manualLayout>
          <c:xMode val="edge"/>
          <c:yMode val="edge"/>
          <c:x val="0.51269957289094137"/>
          <c:y val="0.63889148500354376"/>
          <c:w val="0.4393665791776028"/>
          <c:h val="0.226199210261922"/>
        </c:manualLayout>
      </c:layout>
      <c:overlay val="1"/>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Garamond" panose="02020404030301010803" pitchFamily="18" charset="0"/>
        </a:defRPr>
      </a:pPr>
      <a:endParaRPr lang="sr-Latn-RS"/>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Reliability_HyPower_Analysis!$G$1</c:f>
              <c:strCache>
                <c:ptCount val="1"/>
                <c:pt idx="0">
                  <c:v>TBQFi-1 [min]</c:v>
                </c:pt>
              </c:strCache>
            </c:strRef>
          </c:tx>
          <c:spPr>
            <a:ln w="25400" cap="rnd">
              <a:noFill/>
              <a:round/>
            </a:ln>
            <a:effectLst/>
          </c:spPr>
          <c:marker>
            <c:symbol val="diamond"/>
            <c:size val="5"/>
            <c:spPr>
              <a:noFill/>
              <a:ln w="9525">
                <a:solidFill>
                  <a:srgbClr val="0000FF"/>
                </a:solidFill>
              </a:ln>
              <a:effectLst/>
            </c:spPr>
          </c:marker>
          <c:xVal>
            <c:numRef>
              <c:f>Reliability_HyPower_Analysis!$G$2:$G$101</c:f>
              <c:numCache>
                <c:formatCode>General</c:formatCode>
                <c:ptCount val="100"/>
                <c:pt idx="0">
                  <c:v>1031.5500000002794</c:v>
                </c:pt>
                <c:pt idx="1">
                  <c:v>2877.7166666672565</c:v>
                </c:pt>
                <c:pt idx="2">
                  <c:v>8.2833333313465118</c:v>
                </c:pt>
                <c:pt idx="3">
                  <c:v>16.116666662273929</c:v>
                </c:pt>
                <c:pt idx="4">
                  <c:v>1345.6333333393559</c:v>
                </c:pt>
                <c:pt idx="5">
                  <c:v>4524.1333333274815</c:v>
                </c:pt>
                <c:pt idx="6">
                  <c:v>5.9333333373069763</c:v>
                </c:pt>
                <c:pt idx="7">
                  <c:v>13.11666666297242</c:v>
                </c:pt>
                <c:pt idx="8">
                  <c:v>4574.2666666663717</c:v>
                </c:pt>
                <c:pt idx="9">
                  <c:v>15.833333336049691</c:v>
                </c:pt>
                <c:pt idx="10">
                  <c:v>2.6500000013038516</c:v>
                </c:pt>
                <c:pt idx="11">
                  <c:v>2.6333333307411522</c:v>
                </c:pt>
                <c:pt idx="12">
                  <c:v>63.350000004284084</c:v>
                </c:pt>
                <c:pt idx="13">
                  <c:v>837.66666665906087</c:v>
                </c:pt>
                <c:pt idx="14">
                  <c:v>2.6500000013038516</c:v>
                </c:pt>
                <c:pt idx="15">
                  <c:v>2.6333333307411522</c:v>
                </c:pt>
                <c:pt idx="16">
                  <c:v>2.666666671866551</c:v>
                </c:pt>
                <c:pt idx="17">
                  <c:v>1734.5499999972526</c:v>
                </c:pt>
                <c:pt idx="18">
                  <c:v>24.666666670236737</c:v>
                </c:pt>
                <c:pt idx="19">
                  <c:v>11.949999995995313</c:v>
                </c:pt>
                <c:pt idx="20">
                  <c:v>1578.3500000077765</c:v>
                </c:pt>
                <c:pt idx="21">
                  <c:v>1464.8499999940395</c:v>
                </c:pt>
                <c:pt idx="22">
                  <c:v>3054.9166666623205</c:v>
                </c:pt>
                <c:pt idx="23">
                  <c:v>4.8000000009778887</c:v>
                </c:pt>
                <c:pt idx="24">
                  <c:v>11.950000006472692</c:v>
                </c:pt>
                <c:pt idx="25">
                  <c:v>7.9333333333488554</c:v>
                </c:pt>
                <c:pt idx="26">
                  <c:v>1024.4166666653473</c:v>
                </c:pt>
                <c:pt idx="27">
                  <c:v>1416.4666666660924</c:v>
                </c:pt>
                <c:pt idx="28">
                  <c:v>1082.5666666694451</c:v>
                </c:pt>
                <c:pt idx="29">
                  <c:v>2.7833333343733102</c:v>
                </c:pt>
                <c:pt idx="30">
                  <c:v>2.6833333319518715</c:v>
                </c:pt>
                <c:pt idx="31">
                  <c:v>3.1166666618082672</c:v>
                </c:pt>
                <c:pt idx="32">
                  <c:v>2.5333333387970924</c:v>
                </c:pt>
                <c:pt idx="33">
                  <c:v>2.6166666601784527</c:v>
                </c:pt>
                <c:pt idx="34">
                  <c:v>2.6833333319518715</c:v>
                </c:pt>
                <c:pt idx="35">
                  <c:v>2.7166666730772704</c:v>
                </c:pt>
                <c:pt idx="36">
                  <c:v>2.8333333355840296</c:v>
                </c:pt>
                <c:pt idx="37">
                  <c:v>2.6666666613891721</c:v>
                </c:pt>
                <c:pt idx="38">
                  <c:v>1908.1499999994412</c:v>
                </c:pt>
                <c:pt idx="39">
                  <c:v>1624.0500000037719</c:v>
                </c:pt>
                <c:pt idx="40">
                  <c:v>3.033333329949528</c:v>
                </c:pt>
                <c:pt idx="41">
                  <c:v>4.3333333299960941</c:v>
                </c:pt>
                <c:pt idx="42">
                  <c:v>66.666666670935228</c:v>
                </c:pt>
                <c:pt idx="43">
                  <c:v>6.6833333345130086</c:v>
                </c:pt>
                <c:pt idx="44">
                  <c:v>1126.0333333339076</c:v>
                </c:pt>
                <c:pt idx="45">
                  <c:v>1982.5833333295304</c:v>
                </c:pt>
                <c:pt idx="46">
                  <c:v>28.216666672378778</c:v>
                </c:pt>
                <c:pt idx="47">
                  <c:v>3603.916666660225</c:v>
                </c:pt>
                <c:pt idx="48">
                  <c:v>15.233333331998438</c:v>
                </c:pt>
                <c:pt idx="49">
                  <c:v>2.9500000085681677</c:v>
                </c:pt>
                <c:pt idx="50">
                  <c:v>2.7499999932479113</c:v>
                </c:pt>
                <c:pt idx="51">
                  <c:v>18.900000007124618</c:v>
                </c:pt>
                <c:pt idx="52">
                  <c:v>8.549999997485429</c:v>
                </c:pt>
                <c:pt idx="53">
                  <c:v>11.916666665347293</c:v>
                </c:pt>
                <c:pt idx="54">
                  <c:v>8922.5833333306946</c:v>
                </c:pt>
                <c:pt idx="55">
                  <c:v>14.00000000372529</c:v>
                </c:pt>
                <c:pt idx="56">
                  <c:v>2.5333333283197135</c:v>
                </c:pt>
                <c:pt idx="57">
                  <c:v>56.916666665347293</c:v>
                </c:pt>
                <c:pt idx="58">
                  <c:v>1.9833333359565586</c:v>
                </c:pt>
                <c:pt idx="59">
                  <c:v>2.1499999996740371</c:v>
                </c:pt>
                <c:pt idx="60">
                  <c:v>7.2833333385642618</c:v>
                </c:pt>
                <c:pt idx="61">
                  <c:v>3.4833333303686231</c:v>
                </c:pt>
                <c:pt idx="62">
                  <c:v>1672.6166666659992</c:v>
                </c:pt>
                <c:pt idx="63">
                  <c:v>5.216666670748964</c:v>
                </c:pt>
                <c:pt idx="64">
                  <c:v>2.6333333307411522</c:v>
                </c:pt>
                <c:pt idx="65">
                  <c:v>39.299999998183921</c:v>
                </c:pt>
                <c:pt idx="66">
                  <c:v>4.7833333304151893</c:v>
                </c:pt>
                <c:pt idx="67">
                  <c:v>5.4000000050291419</c:v>
                </c:pt>
                <c:pt idx="68">
                  <c:v>2397.7999999956228</c:v>
                </c:pt>
                <c:pt idx="69">
                  <c:v>2.9333333380054682</c:v>
                </c:pt>
                <c:pt idx="70">
                  <c:v>5.0166666659060866</c:v>
                </c:pt>
                <c:pt idx="71">
                  <c:v>6.5000000002328306</c:v>
                </c:pt>
                <c:pt idx="72">
                  <c:v>4.7166666691191494</c:v>
                </c:pt>
                <c:pt idx="73">
                  <c:v>4.69999999855645</c:v>
                </c:pt>
                <c:pt idx="74">
                  <c:v>32.416666669305414</c:v>
                </c:pt>
                <c:pt idx="75">
                  <c:v>4.4166666618548334</c:v>
                </c:pt>
                <c:pt idx="76">
                  <c:v>1033.4833333350252</c:v>
                </c:pt>
                <c:pt idx="77">
                  <c:v>5.1499999989755452</c:v>
                </c:pt>
                <c:pt idx="78">
                  <c:v>7.8500000014901161</c:v>
                </c:pt>
                <c:pt idx="79">
                  <c:v>2.516666668234393</c:v>
                </c:pt>
                <c:pt idx="80">
                  <c:v>2014.2500000016298</c:v>
                </c:pt>
                <c:pt idx="81">
                  <c:v>1192.5166666600853</c:v>
                </c:pt>
                <c:pt idx="82">
                  <c:v>3036.3666666636709</c:v>
                </c:pt>
                <c:pt idx="83">
                  <c:v>1278.9500000083353</c:v>
                </c:pt>
                <c:pt idx="84">
                  <c:v>3293.5499999974854</c:v>
                </c:pt>
                <c:pt idx="85">
                  <c:v>14.766666661016643</c:v>
                </c:pt>
                <c:pt idx="86">
                  <c:v>12442.150000002002</c:v>
                </c:pt>
                <c:pt idx="87">
                  <c:v>1226.4500000048429</c:v>
                </c:pt>
                <c:pt idx="88">
                  <c:v>3.033333329949528</c:v>
                </c:pt>
                <c:pt idx="89">
                  <c:v>1441.5499999956228</c:v>
                </c:pt>
                <c:pt idx="90">
                  <c:v>2.3166666738688946</c:v>
                </c:pt>
                <c:pt idx="91">
                  <c:v>2.2833333327434957</c:v>
                </c:pt>
                <c:pt idx="92">
                  <c:v>2.1166666690260172</c:v>
                </c:pt>
                <c:pt idx="93">
                  <c:v>1647.0166666642763</c:v>
                </c:pt>
                <c:pt idx="94">
                  <c:v>6107.016666670097</c:v>
                </c:pt>
                <c:pt idx="95">
                  <c:v>1160.6166666629724</c:v>
                </c:pt>
                <c:pt idx="96">
                  <c:v>7286.449999997858</c:v>
                </c:pt>
                <c:pt idx="97">
                  <c:v>29.733333337353542</c:v>
                </c:pt>
                <c:pt idx="98">
                  <c:v>14.800000002142042</c:v>
                </c:pt>
                <c:pt idx="99">
                  <c:v>10.849999990314245</c:v>
                </c:pt>
              </c:numCache>
            </c:numRef>
          </c:xVal>
          <c:yVal>
            <c:numRef>
              <c:f>Reliability_HyPower_Analysis!$F$2:$F$102</c:f>
              <c:numCache>
                <c:formatCode>General</c:formatCode>
                <c:ptCount val="101"/>
                <c:pt idx="0">
                  <c:v>3083.8166666706093</c:v>
                </c:pt>
                <c:pt idx="1">
                  <c:v>1031.5500000002794</c:v>
                </c:pt>
                <c:pt idx="2">
                  <c:v>2877.7166666672565</c:v>
                </c:pt>
                <c:pt idx="3">
                  <c:v>8.2833333313465118</c:v>
                </c:pt>
                <c:pt idx="4">
                  <c:v>16.116666662273929</c:v>
                </c:pt>
                <c:pt idx="5">
                  <c:v>1345.6333333393559</c:v>
                </c:pt>
                <c:pt idx="6">
                  <c:v>4524.1333333274815</c:v>
                </c:pt>
                <c:pt idx="7">
                  <c:v>5.9333333373069763</c:v>
                </c:pt>
                <c:pt idx="8">
                  <c:v>13.11666666297242</c:v>
                </c:pt>
                <c:pt idx="9">
                  <c:v>4574.2666666663717</c:v>
                </c:pt>
                <c:pt idx="10">
                  <c:v>15.833333336049691</c:v>
                </c:pt>
                <c:pt idx="11">
                  <c:v>2.6500000013038516</c:v>
                </c:pt>
                <c:pt idx="12">
                  <c:v>2.6333333307411522</c:v>
                </c:pt>
                <c:pt idx="13">
                  <c:v>63.350000004284084</c:v>
                </c:pt>
                <c:pt idx="14">
                  <c:v>837.66666665906087</c:v>
                </c:pt>
                <c:pt idx="15">
                  <c:v>2.6500000013038516</c:v>
                </c:pt>
                <c:pt idx="16">
                  <c:v>2.6333333307411522</c:v>
                </c:pt>
                <c:pt idx="17">
                  <c:v>2.666666671866551</c:v>
                </c:pt>
                <c:pt idx="18">
                  <c:v>1734.5499999972526</c:v>
                </c:pt>
                <c:pt idx="19">
                  <c:v>24.666666670236737</c:v>
                </c:pt>
                <c:pt idx="20">
                  <c:v>11.949999995995313</c:v>
                </c:pt>
                <c:pt idx="21">
                  <c:v>1578.3500000077765</c:v>
                </c:pt>
                <c:pt idx="22">
                  <c:v>1464.8499999940395</c:v>
                </c:pt>
                <c:pt idx="23">
                  <c:v>3054.9166666623205</c:v>
                </c:pt>
                <c:pt idx="24">
                  <c:v>4.8000000009778887</c:v>
                </c:pt>
                <c:pt idx="25">
                  <c:v>11.950000006472692</c:v>
                </c:pt>
                <c:pt idx="26">
                  <c:v>7.9333333333488554</c:v>
                </c:pt>
                <c:pt idx="27">
                  <c:v>1024.4166666653473</c:v>
                </c:pt>
                <c:pt idx="28">
                  <c:v>1416.4666666660924</c:v>
                </c:pt>
                <c:pt idx="29">
                  <c:v>1082.5666666694451</c:v>
                </c:pt>
                <c:pt idx="30">
                  <c:v>2.7833333343733102</c:v>
                </c:pt>
                <c:pt idx="31">
                  <c:v>2.6833333319518715</c:v>
                </c:pt>
                <c:pt idx="32">
                  <c:v>3.1166666618082672</c:v>
                </c:pt>
                <c:pt idx="33">
                  <c:v>2.5333333387970924</c:v>
                </c:pt>
                <c:pt idx="34">
                  <c:v>2.6166666601784527</c:v>
                </c:pt>
                <c:pt idx="35">
                  <c:v>2.6833333319518715</c:v>
                </c:pt>
                <c:pt idx="36">
                  <c:v>2.7166666730772704</c:v>
                </c:pt>
                <c:pt idx="37">
                  <c:v>2.8333333355840296</c:v>
                </c:pt>
                <c:pt idx="38">
                  <c:v>2.6666666613891721</c:v>
                </c:pt>
                <c:pt idx="39">
                  <c:v>1908.1499999994412</c:v>
                </c:pt>
                <c:pt idx="40">
                  <c:v>1624.0500000037719</c:v>
                </c:pt>
                <c:pt idx="41">
                  <c:v>3.033333329949528</c:v>
                </c:pt>
                <c:pt idx="42">
                  <c:v>4.3333333299960941</c:v>
                </c:pt>
                <c:pt idx="43">
                  <c:v>66.666666670935228</c:v>
                </c:pt>
                <c:pt idx="44">
                  <c:v>6.6833333345130086</c:v>
                </c:pt>
                <c:pt idx="45">
                  <c:v>1126.0333333339076</c:v>
                </c:pt>
                <c:pt idx="46">
                  <c:v>1982.5833333295304</c:v>
                </c:pt>
                <c:pt idx="47">
                  <c:v>28.216666672378778</c:v>
                </c:pt>
                <c:pt idx="48">
                  <c:v>3603.916666660225</c:v>
                </c:pt>
                <c:pt idx="49">
                  <c:v>15.233333331998438</c:v>
                </c:pt>
                <c:pt idx="50">
                  <c:v>2.9500000085681677</c:v>
                </c:pt>
                <c:pt idx="51">
                  <c:v>2.7499999932479113</c:v>
                </c:pt>
                <c:pt idx="52">
                  <c:v>18.900000007124618</c:v>
                </c:pt>
                <c:pt idx="53">
                  <c:v>8.549999997485429</c:v>
                </c:pt>
                <c:pt idx="54">
                  <c:v>11.916666665347293</c:v>
                </c:pt>
                <c:pt idx="55">
                  <c:v>8922.5833333306946</c:v>
                </c:pt>
                <c:pt idx="56">
                  <c:v>14.00000000372529</c:v>
                </c:pt>
                <c:pt idx="57">
                  <c:v>2.5333333283197135</c:v>
                </c:pt>
                <c:pt idx="58">
                  <c:v>56.916666665347293</c:v>
                </c:pt>
                <c:pt idx="59">
                  <c:v>1.9833333359565586</c:v>
                </c:pt>
                <c:pt idx="60">
                  <c:v>2.1499999996740371</c:v>
                </c:pt>
                <c:pt idx="61">
                  <c:v>7.2833333385642618</c:v>
                </c:pt>
                <c:pt idx="62">
                  <c:v>3.4833333303686231</c:v>
                </c:pt>
                <c:pt idx="63">
                  <c:v>1672.6166666659992</c:v>
                </c:pt>
                <c:pt idx="64">
                  <c:v>5.216666670748964</c:v>
                </c:pt>
                <c:pt idx="65">
                  <c:v>2.6333333307411522</c:v>
                </c:pt>
                <c:pt idx="66">
                  <c:v>39.299999998183921</c:v>
                </c:pt>
                <c:pt idx="67">
                  <c:v>4.7833333304151893</c:v>
                </c:pt>
                <c:pt idx="68">
                  <c:v>5.4000000050291419</c:v>
                </c:pt>
                <c:pt idx="69">
                  <c:v>2397.7999999956228</c:v>
                </c:pt>
                <c:pt idx="70">
                  <c:v>2.9333333380054682</c:v>
                </c:pt>
                <c:pt idx="71">
                  <c:v>5.0166666659060866</c:v>
                </c:pt>
                <c:pt idx="72">
                  <c:v>6.5000000002328306</c:v>
                </c:pt>
                <c:pt idx="73">
                  <c:v>4.7166666691191494</c:v>
                </c:pt>
                <c:pt idx="74">
                  <c:v>4.69999999855645</c:v>
                </c:pt>
                <c:pt idx="75">
                  <c:v>32.416666669305414</c:v>
                </c:pt>
                <c:pt idx="76">
                  <c:v>4.4166666618548334</c:v>
                </c:pt>
                <c:pt idx="77">
                  <c:v>1033.4833333350252</c:v>
                </c:pt>
                <c:pt idx="78">
                  <c:v>5.1499999989755452</c:v>
                </c:pt>
                <c:pt idx="79">
                  <c:v>7.8500000014901161</c:v>
                </c:pt>
                <c:pt idx="80">
                  <c:v>2.516666668234393</c:v>
                </c:pt>
                <c:pt idx="81">
                  <c:v>2014.2500000016298</c:v>
                </c:pt>
                <c:pt idx="82">
                  <c:v>1192.5166666600853</c:v>
                </c:pt>
                <c:pt idx="83">
                  <c:v>3036.3666666636709</c:v>
                </c:pt>
                <c:pt idx="84">
                  <c:v>1278.9500000083353</c:v>
                </c:pt>
                <c:pt idx="85">
                  <c:v>3293.5499999974854</c:v>
                </c:pt>
                <c:pt idx="86">
                  <c:v>14.766666661016643</c:v>
                </c:pt>
                <c:pt idx="87">
                  <c:v>12442.150000002002</c:v>
                </c:pt>
                <c:pt idx="88">
                  <c:v>1226.4500000048429</c:v>
                </c:pt>
                <c:pt idx="89">
                  <c:v>3.033333329949528</c:v>
                </c:pt>
                <c:pt idx="90">
                  <c:v>1441.5499999956228</c:v>
                </c:pt>
                <c:pt idx="91">
                  <c:v>2.3166666738688946</c:v>
                </c:pt>
                <c:pt idx="92">
                  <c:v>2.2833333327434957</c:v>
                </c:pt>
                <c:pt idx="93">
                  <c:v>2.1166666690260172</c:v>
                </c:pt>
                <c:pt idx="94">
                  <c:v>1647.0166666642763</c:v>
                </c:pt>
                <c:pt idx="95">
                  <c:v>6107.016666670097</c:v>
                </c:pt>
                <c:pt idx="96">
                  <c:v>1160.6166666629724</c:v>
                </c:pt>
                <c:pt idx="97">
                  <c:v>7286.449999997858</c:v>
                </c:pt>
                <c:pt idx="98">
                  <c:v>29.733333337353542</c:v>
                </c:pt>
                <c:pt idx="99">
                  <c:v>14.800000002142042</c:v>
                </c:pt>
                <c:pt idx="100">
                  <c:v>10.849999990314245</c:v>
                </c:pt>
              </c:numCache>
            </c:numRef>
          </c:yVal>
          <c:smooth val="0"/>
          <c:extLst>
            <c:ext xmlns:c16="http://schemas.microsoft.com/office/drawing/2014/chart" uri="{C3380CC4-5D6E-409C-BE32-E72D297353CC}">
              <c16:uniqueId val="{00000000-561A-4CCF-999E-048BA8466021}"/>
            </c:ext>
          </c:extLst>
        </c:ser>
        <c:dLbls>
          <c:showLegendKey val="0"/>
          <c:showVal val="0"/>
          <c:showCatName val="0"/>
          <c:showSerName val="0"/>
          <c:showPercent val="0"/>
          <c:showBubbleSize val="0"/>
        </c:dLbls>
        <c:axId val="1905450031"/>
        <c:axId val="1905451279"/>
      </c:scatterChart>
      <c:valAx>
        <c:axId val="1905450031"/>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r>
                  <a:rPr lang="en-GB" sz="1000" b="0" i="0" u="none" strike="noStrike" baseline="0">
                    <a:effectLst/>
                  </a:rPr>
                  <a:t>TBQF</a:t>
                </a:r>
                <a:r>
                  <a:rPr lang="en-GB" sz="1000" b="0" i="0" u="none" strike="noStrike" baseline="-25000">
                    <a:effectLst/>
                  </a:rPr>
                  <a:t>i-1</a:t>
                </a:r>
                <a:endParaRPr lang="sr-Latn-RS" baseline="-25000"/>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itle>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905451279"/>
        <c:crosses val="autoZero"/>
        <c:crossBetween val="midCat"/>
      </c:valAx>
      <c:valAx>
        <c:axId val="1905451279"/>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r>
                  <a:rPr lang="en-GB"/>
                  <a:t>TBQFi</a:t>
                </a:r>
                <a:endParaRPr lang="sr-Latn-RS"/>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itle>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905450031"/>
        <c:crosses val="autoZero"/>
        <c:crossBetween val="midCat"/>
      </c:valAx>
      <c:spPr>
        <a:noFill/>
        <a:ln w="3175">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Garamond" panose="02020404030301010803" pitchFamily="18" charset="0"/>
        </a:defRPr>
      </a:pPr>
      <a:endParaRPr lang="sr-Latn-RS"/>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Reliability_HyPower_Analysis!$G$1</c:f>
              <c:strCache>
                <c:ptCount val="1"/>
                <c:pt idx="0">
                  <c:v>TBQFi-1 [min]</c:v>
                </c:pt>
              </c:strCache>
            </c:strRef>
          </c:tx>
          <c:spPr>
            <a:ln w="25400" cap="rnd">
              <a:noFill/>
              <a:round/>
            </a:ln>
            <a:effectLst/>
          </c:spPr>
          <c:marker>
            <c:symbol val="diamond"/>
            <c:size val="5"/>
            <c:spPr>
              <a:noFill/>
              <a:ln w="9525">
                <a:solidFill>
                  <a:srgbClr val="0000FF"/>
                </a:solidFill>
              </a:ln>
              <a:effectLst/>
            </c:spPr>
          </c:marker>
          <c:xVal>
            <c:numRef>
              <c:f>Reliability_HyPower_Analysis!$H$2:$H$101</c:f>
              <c:numCache>
                <c:formatCode>General</c:formatCode>
                <c:ptCount val="100"/>
                <c:pt idx="0">
                  <c:v>2877.7166666672565</c:v>
                </c:pt>
                <c:pt idx="1">
                  <c:v>8.2833333313465118</c:v>
                </c:pt>
                <c:pt idx="2">
                  <c:v>16.116666662273929</c:v>
                </c:pt>
                <c:pt idx="3">
                  <c:v>1345.6333333393559</c:v>
                </c:pt>
                <c:pt idx="4">
                  <c:v>4524.1333333274815</c:v>
                </c:pt>
                <c:pt idx="5">
                  <c:v>5.9333333373069763</c:v>
                </c:pt>
                <c:pt idx="6">
                  <c:v>13.11666666297242</c:v>
                </c:pt>
                <c:pt idx="7">
                  <c:v>4574.2666666663717</c:v>
                </c:pt>
                <c:pt idx="8">
                  <c:v>15.833333336049691</c:v>
                </c:pt>
                <c:pt idx="9">
                  <c:v>2.6500000013038516</c:v>
                </c:pt>
                <c:pt idx="10">
                  <c:v>2.6333333307411522</c:v>
                </c:pt>
                <c:pt idx="11">
                  <c:v>63.350000004284084</c:v>
                </c:pt>
                <c:pt idx="12">
                  <c:v>837.66666665906087</c:v>
                </c:pt>
                <c:pt idx="13">
                  <c:v>2.6500000013038516</c:v>
                </c:pt>
                <c:pt idx="14">
                  <c:v>2.6333333307411522</c:v>
                </c:pt>
                <c:pt idx="15">
                  <c:v>2.666666671866551</c:v>
                </c:pt>
                <c:pt idx="16">
                  <c:v>1734.5499999972526</c:v>
                </c:pt>
                <c:pt idx="17">
                  <c:v>24.666666670236737</c:v>
                </c:pt>
                <c:pt idx="18">
                  <c:v>11.949999995995313</c:v>
                </c:pt>
                <c:pt idx="19">
                  <c:v>1578.3500000077765</c:v>
                </c:pt>
                <c:pt idx="20">
                  <c:v>1464.8499999940395</c:v>
                </c:pt>
                <c:pt idx="21">
                  <c:v>3054.9166666623205</c:v>
                </c:pt>
                <c:pt idx="22">
                  <c:v>4.8000000009778887</c:v>
                </c:pt>
                <c:pt idx="23">
                  <c:v>11.950000006472692</c:v>
                </c:pt>
                <c:pt idx="24">
                  <c:v>7.9333333333488554</c:v>
                </c:pt>
                <c:pt idx="25">
                  <c:v>1024.4166666653473</c:v>
                </c:pt>
                <c:pt idx="26">
                  <c:v>1416.4666666660924</c:v>
                </c:pt>
                <c:pt idx="27">
                  <c:v>1082.5666666694451</c:v>
                </c:pt>
                <c:pt idx="28">
                  <c:v>2.7833333343733102</c:v>
                </c:pt>
                <c:pt idx="29">
                  <c:v>2.6833333319518715</c:v>
                </c:pt>
                <c:pt idx="30">
                  <c:v>3.1166666618082672</c:v>
                </c:pt>
                <c:pt idx="31">
                  <c:v>2.5333333387970924</c:v>
                </c:pt>
                <c:pt idx="32">
                  <c:v>2.6166666601784527</c:v>
                </c:pt>
                <c:pt idx="33">
                  <c:v>2.6833333319518715</c:v>
                </c:pt>
                <c:pt idx="34">
                  <c:v>2.7166666730772704</c:v>
                </c:pt>
                <c:pt idx="35">
                  <c:v>2.8333333355840296</c:v>
                </c:pt>
                <c:pt idx="36">
                  <c:v>2.6666666613891721</c:v>
                </c:pt>
                <c:pt idx="37">
                  <c:v>1908.1499999994412</c:v>
                </c:pt>
                <c:pt idx="38">
                  <c:v>1624.0500000037719</c:v>
                </c:pt>
                <c:pt idx="39">
                  <c:v>3.033333329949528</c:v>
                </c:pt>
                <c:pt idx="40">
                  <c:v>4.3333333299960941</c:v>
                </c:pt>
                <c:pt idx="41">
                  <c:v>66.666666670935228</c:v>
                </c:pt>
                <c:pt idx="42">
                  <c:v>6.6833333345130086</c:v>
                </c:pt>
                <c:pt idx="43">
                  <c:v>1126.0333333339076</c:v>
                </c:pt>
                <c:pt idx="44">
                  <c:v>1982.5833333295304</c:v>
                </c:pt>
                <c:pt idx="45">
                  <c:v>28.216666672378778</c:v>
                </c:pt>
                <c:pt idx="46">
                  <c:v>3603.916666660225</c:v>
                </c:pt>
                <c:pt idx="47">
                  <c:v>15.233333331998438</c:v>
                </c:pt>
                <c:pt idx="48">
                  <c:v>2.9500000085681677</c:v>
                </c:pt>
                <c:pt idx="49">
                  <c:v>2.7499999932479113</c:v>
                </c:pt>
                <c:pt idx="50">
                  <c:v>18.900000007124618</c:v>
                </c:pt>
                <c:pt idx="51">
                  <c:v>8.549999997485429</c:v>
                </c:pt>
                <c:pt idx="52">
                  <c:v>11.916666665347293</c:v>
                </c:pt>
                <c:pt idx="53">
                  <c:v>8922.5833333306946</c:v>
                </c:pt>
                <c:pt idx="54">
                  <c:v>14.00000000372529</c:v>
                </c:pt>
                <c:pt idx="55">
                  <c:v>2.5333333283197135</c:v>
                </c:pt>
                <c:pt idx="56">
                  <c:v>56.916666665347293</c:v>
                </c:pt>
                <c:pt idx="57">
                  <c:v>1.9833333359565586</c:v>
                </c:pt>
                <c:pt idx="58">
                  <c:v>2.1499999996740371</c:v>
                </c:pt>
                <c:pt idx="59">
                  <c:v>7.2833333385642618</c:v>
                </c:pt>
                <c:pt idx="60">
                  <c:v>3.4833333303686231</c:v>
                </c:pt>
                <c:pt idx="61">
                  <c:v>1672.6166666659992</c:v>
                </c:pt>
                <c:pt idx="62">
                  <c:v>5.216666670748964</c:v>
                </c:pt>
                <c:pt idx="63">
                  <c:v>2.6333333307411522</c:v>
                </c:pt>
                <c:pt idx="64">
                  <c:v>39.299999998183921</c:v>
                </c:pt>
                <c:pt idx="65">
                  <c:v>4.7833333304151893</c:v>
                </c:pt>
                <c:pt idx="66">
                  <c:v>5.4000000050291419</c:v>
                </c:pt>
                <c:pt idx="67">
                  <c:v>2397.7999999956228</c:v>
                </c:pt>
                <c:pt idx="68">
                  <c:v>2.9333333380054682</c:v>
                </c:pt>
                <c:pt idx="69">
                  <c:v>5.0166666659060866</c:v>
                </c:pt>
                <c:pt idx="70">
                  <c:v>6.5000000002328306</c:v>
                </c:pt>
                <c:pt idx="71">
                  <c:v>4.7166666691191494</c:v>
                </c:pt>
                <c:pt idx="72">
                  <c:v>4.69999999855645</c:v>
                </c:pt>
                <c:pt idx="73">
                  <c:v>32.416666669305414</c:v>
                </c:pt>
                <c:pt idx="74">
                  <c:v>4.4166666618548334</c:v>
                </c:pt>
                <c:pt idx="75">
                  <c:v>1033.4833333350252</c:v>
                </c:pt>
                <c:pt idx="76">
                  <c:v>5.1499999989755452</c:v>
                </c:pt>
                <c:pt idx="77">
                  <c:v>7.8500000014901161</c:v>
                </c:pt>
                <c:pt idx="78">
                  <c:v>2.516666668234393</c:v>
                </c:pt>
                <c:pt idx="79">
                  <c:v>2014.2500000016298</c:v>
                </c:pt>
                <c:pt idx="80">
                  <c:v>1192.5166666600853</c:v>
                </c:pt>
                <c:pt idx="81">
                  <c:v>3036.3666666636709</c:v>
                </c:pt>
                <c:pt idx="82">
                  <c:v>1278.9500000083353</c:v>
                </c:pt>
                <c:pt idx="83">
                  <c:v>3293.5499999974854</c:v>
                </c:pt>
                <c:pt idx="84">
                  <c:v>14.766666661016643</c:v>
                </c:pt>
                <c:pt idx="85">
                  <c:v>12442.150000002002</c:v>
                </c:pt>
                <c:pt idx="86">
                  <c:v>1226.4500000048429</c:v>
                </c:pt>
                <c:pt idx="87">
                  <c:v>3.033333329949528</c:v>
                </c:pt>
                <c:pt idx="88">
                  <c:v>1441.5499999956228</c:v>
                </c:pt>
                <c:pt idx="89">
                  <c:v>2.3166666738688946</c:v>
                </c:pt>
                <c:pt idx="90">
                  <c:v>2.2833333327434957</c:v>
                </c:pt>
                <c:pt idx="91">
                  <c:v>2.1166666690260172</c:v>
                </c:pt>
                <c:pt idx="92">
                  <c:v>1647.0166666642763</c:v>
                </c:pt>
                <c:pt idx="93">
                  <c:v>6107.016666670097</c:v>
                </c:pt>
                <c:pt idx="94">
                  <c:v>1160.6166666629724</c:v>
                </c:pt>
                <c:pt idx="95">
                  <c:v>7286.449999997858</c:v>
                </c:pt>
                <c:pt idx="96">
                  <c:v>29.733333337353542</c:v>
                </c:pt>
                <c:pt idx="97">
                  <c:v>14.800000002142042</c:v>
                </c:pt>
                <c:pt idx="98">
                  <c:v>10.849999990314245</c:v>
                </c:pt>
              </c:numCache>
            </c:numRef>
          </c:xVal>
          <c:yVal>
            <c:numRef>
              <c:f>Reliability_HyPower_Analysis!$F$2:$F$102</c:f>
              <c:numCache>
                <c:formatCode>General</c:formatCode>
                <c:ptCount val="101"/>
                <c:pt idx="0">
                  <c:v>3083.8166666706093</c:v>
                </c:pt>
                <c:pt idx="1">
                  <c:v>1031.5500000002794</c:v>
                </c:pt>
                <c:pt idx="2">
                  <c:v>2877.7166666672565</c:v>
                </c:pt>
                <c:pt idx="3">
                  <c:v>8.2833333313465118</c:v>
                </c:pt>
                <c:pt idx="4">
                  <c:v>16.116666662273929</c:v>
                </c:pt>
                <c:pt idx="5">
                  <c:v>1345.6333333393559</c:v>
                </c:pt>
                <c:pt idx="6">
                  <c:v>4524.1333333274815</c:v>
                </c:pt>
                <c:pt idx="7">
                  <c:v>5.9333333373069763</c:v>
                </c:pt>
                <c:pt idx="8">
                  <c:v>13.11666666297242</c:v>
                </c:pt>
                <c:pt idx="9">
                  <c:v>4574.2666666663717</c:v>
                </c:pt>
                <c:pt idx="10">
                  <c:v>15.833333336049691</c:v>
                </c:pt>
                <c:pt idx="11">
                  <c:v>2.6500000013038516</c:v>
                </c:pt>
                <c:pt idx="12">
                  <c:v>2.6333333307411522</c:v>
                </c:pt>
                <c:pt idx="13">
                  <c:v>63.350000004284084</c:v>
                </c:pt>
                <c:pt idx="14">
                  <c:v>837.66666665906087</c:v>
                </c:pt>
                <c:pt idx="15">
                  <c:v>2.6500000013038516</c:v>
                </c:pt>
                <c:pt idx="16">
                  <c:v>2.6333333307411522</c:v>
                </c:pt>
                <c:pt idx="17">
                  <c:v>2.666666671866551</c:v>
                </c:pt>
                <c:pt idx="18">
                  <c:v>1734.5499999972526</c:v>
                </c:pt>
                <c:pt idx="19">
                  <c:v>24.666666670236737</c:v>
                </c:pt>
                <c:pt idx="20">
                  <c:v>11.949999995995313</c:v>
                </c:pt>
                <c:pt idx="21">
                  <c:v>1578.3500000077765</c:v>
                </c:pt>
                <c:pt idx="22">
                  <c:v>1464.8499999940395</c:v>
                </c:pt>
                <c:pt idx="23">
                  <c:v>3054.9166666623205</c:v>
                </c:pt>
                <c:pt idx="24">
                  <c:v>4.8000000009778887</c:v>
                </c:pt>
                <c:pt idx="25">
                  <c:v>11.950000006472692</c:v>
                </c:pt>
                <c:pt idx="26">
                  <c:v>7.9333333333488554</c:v>
                </c:pt>
                <c:pt idx="27">
                  <c:v>1024.4166666653473</c:v>
                </c:pt>
                <c:pt idx="28">
                  <c:v>1416.4666666660924</c:v>
                </c:pt>
                <c:pt idx="29">
                  <c:v>1082.5666666694451</c:v>
                </c:pt>
                <c:pt idx="30">
                  <c:v>2.7833333343733102</c:v>
                </c:pt>
                <c:pt idx="31">
                  <c:v>2.6833333319518715</c:v>
                </c:pt>
                <c:pt idx="32">
                  <c:v>3.1166666618082672</c:v>
                </c:pt>
                <c:pt idx="33">
                  <c:v>2.5333333387970924</c:v>
                </c:pt>
                <c:pt idx="34">
                  <c:v>2.6166666601784527</c:v>
                </c:pt>
                <c:pt idx="35">
                  <c:v>2.6833333319518715</c:v>
                </c:pt>
                <c:pt idx="36">
                  <c:v>2.7166666730772704</c:v>
                </c:pt>
                <c:pt idx="37">
                  <c:v>2.8333333355840296</c:v>
                </c:pt>
                <c:pt idx="38">
                  <c:v>2.6666666613891721</c:v>
                </c:pt>
                <c:pt idx="39">
                  <c:v>1908.1499999994412</c:v>
                </c:pt>
                <c:pt idx="40">
                  <c:v>1624.0500000037719</c:v>
                </c:pt>
                <c:pt idx="41">
                  <c:v>3.033333329949528</c:v>
                </c:pt>
                <c:pt idx="42">
                  <c:v>4.3333333299960941</c:v>
                </c:pt>
                <c:pt idx="43">
                  <c:v>66.666666670935228</c:v>
                </c:pt>
                <c:pt idx="44">
                  <c:v>6.6833333345130086</c:v>
                </c:pt>
                <c:pt idx="45">
                  <c:v>1126.0333333339076</c:v>
                </c:pt>
                <c:pt idx="46">
                  <c:v>1982.5833333295304</c:v>
                </c:pt>
                <c:pt idx="47">
                  <c:v>28.216666672378778</c:v>
                </c:pt>
                <c:pt idx="48">
                  <c:v>3603.916666660225</c:v>
                </c:pt>
                <c:pt idx="49">
                  <c:v>15.233333331998438</c:v>
                </c:pt>
                <c:pt idx="50">
                  <c:v>2.9500000085681677</c:v>
                </c:pt>
                <c:pt idx="51">
                  <c:v>2.7499999932479113</c:v>
                </c:pt>
                <c:pt idx="52">
                  <c:v>18.900000007124618</c:v>
                </c:pt>
                <c:pt idx="53">
                  <c:v>8.549999997485429</c:v>
                </c:pt>
                <c:pt idx="54">
                  <c:v>11.916666665347293</c:v>
                </c:pt>
                <c:pt idx="55">
                  <c:v>8922.5833333306946</c:v>
                </c:pt>
                <c:pt idx="56">
                  <c:v>14.00000000372529</c:v>
                </c:pt>
                <c:pt idx="57">
                  <c:v>2.5333333283197135</c:v>
                </c:pt>
                <c:pt idx="58">
                  <c:v>56.916666665347293</c:v>
                </c:pt>
                <c:pt idx="59">
                  <c:v>1.9833333359565586</c:v>
                </c:pt>
                <c:pt idx="60">
                  <c:v>2.1499999996740371</c:v>
                </c:pt>
                <c:pt idx="61">
                  <c:v>7.2833333385642618</c:v>
                </c:pt>
                <c:pt idx="62">
                  <c:v>3.4833333303686231</c:v>
                </c:pt>
                <c:pt idx="63">
                  <c:v>1672.6166666659992</c:v>
                </c:pt>
                <c:pt idx="64">
                  <c:v>5.216666670748964</c:v>
                </c:pt>
                <c:pt idx="65">
                  <c:v>2.6333333307411522</c:v>
                </c:pt>
                <c:pt idx="66">
                  <c:v>39.299999998183921</c:v>
                </c:pt>
                <c:pt idx="67">
                  <c:v>4.7833333304151893</c:v>
                </c:pt>
                <c:pt idx="68">
                  <c:v>5.4000000050291419</c:v>
                </c:pt>
                <c:pt idx="69">
                  <c:v>2397.7999999956228</c:v>
                </c:pt>
                <c:pt idx="70">
                  <c:v>2.9333333380054682</c:v>
                </c:pt>
                <c:pt idx="71">
                  <c:v>5.0166666659060866</c:v>
                </c:pt>
                <c:pt idx="72">
                  <c:v>6.5000000002328306</c:v>
                </c:pt>
                <c:pt idx="73">
                  <c:v>4.7166666691191494</c:v>
                </c:pt>
                <c:pt idx="74">
                  <c:v>4.69999999855645</c:v>
                </c:pt>
                <c:pt idx="75">
                  <c:v>32.416666669305414</c:v>
                </c:pt>
                <c:pt idx="76">
                  <c:v>4.4166666618548334</c:v>
                </c:pt>
                <c:pt idx="77">
                  <c:v>1033.4833333350252</c:v>
                </c:pt>
                <c:pt idx="78">
                  <c:v>5.1499999989755452</c:v>
                </c:pt>
                <c:pt idx="79">
                  <c:v>7.8500000014901161</c:v>
                </c:pt>
                <c:pt idx="80">
                  <c:v>2.516666668234393</c:v>
                </c:pt>
                <c:pt idx="81">
                  <c:v>2014.2500000016298</c:v>
                </c:pt>
                <c:pt idx="82">
                  <c:v>1192.5166666600853</c:v>
                </c:pt>
                <c:pt idx="83">
                  <c:v>3036.3666666636709</c:v>
                </c:pt>
                <c:pt idx="84">
                  <c:v>1278.9500000083353</c:v>
                </c:pt>
                <c:pt idx="85">
                  <c:v>3293.5499999974854</c:v>
                </c:pt>
                <c:pt idx="86">
                  <c:v>14.766666661016643</c:v>
                </c:pt>
                <c:pt idx="87">
                  <c:v>12442.150000002002</c:v>
                </c:pt>
                <c:pt idx="88">
                  <c:v>1226.4500000048429</c:v>
                </c:pt>
                <c:pt idx="89">
                  <c:v>3.033333329949528</c:v>
                </c:pt>
                <c:pt idx="90">
                  <c:v>1441.5499999956228</c:v>
                </c:pt>
                <c:pt idx="91">
                  <c:v>2.3166666738688946</c:v>
                </c:pt>
                <c:pt idx="92">
                  <c:v>2.2833333327434957</c:v>
                </c:pt>
                <c:pt idx="93">
                  <c:v>2.1166666690260172</c:v>
                </c:pt>
                <c:pt idx="94">
                  <c:v>1647.0166666642763</c:v>
                </c:pt>
                <c:pt idx="95">
                  <c:v>6107.016666670097</c:v>
                </c:pt>
                <c:pt idx="96">
                  <c:v>1160.6166666629724</c:v>
                </c:pt>
                <c:pt idx="97">
                  <c:v>7286.449999997858</c:v>
                </c:pt>
                <c:pt idx="98">
                  <c:v>29.733333337353542</c:v>
                </c:pt>
                <c:pt idx="99">
                  <c:v>14.800000002142042</c:v>
                </c:pt>
                <c:pt idx="100">
                  <c:v>10.849999990314245</c:v>
                </c:pt>
              </c:numCache>
            </c:numRef>
          </c:yVal>
          <c:smooth val="0"/>
          <c:extLst>
            <c:ext xmlns:c16="http://schemas.microsoft.com/office/drawing/2014/chart" uri="{C3380CC4-5D6E-409C-BE32-E72D297353CC}">
              <c16:uniqueId val="{00000000-7C65-4F54-A60D-6F0B58D759E6}"/>
            </c:ext>
          </c:extLst>
        </c:ser>
        <c:dLbls>
          <c:showLegendKey val="0"/>
          <c:showVal val="0"/>
          <c:showCatName val="0"/>
          <c:showSerName val="0"/>
          <c:showPercent val="0"/>
          <c:showBubbleSize val="0"/>
        </c:dLbls>
        <c:axId val="1905450031"/>
        <c:axId val="1905451279"/>
      </c:scatterChart>
      <c:valAx>
        <c:axId val="1905450031"/>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r>
                  <a:rPr lang="en-GB" sz="1000" b="0" i="0" u="none" strike="noStrike" baseline="0">
                    <a:effectLst/>
                  </a:rPr>
                  <a:t>TBQF</a:t>
                </a:r>
                <a:r>
                  <a:rPr lang="en-GB" sz="1000" b="0" i="0" u="none" strike="noStrike" baseline="-25000">
                    <a:effectLst/>
                  </a:rPr>
                  <a:t>i-2</a:t>
                </a:r>
                <a:endParaRPr lang="sr-Latn-RS" baseline="-25000"/>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itle>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905451279"/>
        <c:crosses val="autoZero"/>
        <c:crossBetween val="midCat"/>
      </c:valAx>
      <c:valAx>
        <c:axId val="1905451279"/>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r>
                  <a:rPr lang="en-GB"/>
                  <a:t>TBQFi</a:t>
                </a:r>
                <a:endParaRPr lang="sr-Latn-RS"/>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itle>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905450031"/>
        <c:crosses val="autoZero"/>
        <c:crossBetween val="midCat"/>
      </c:valAx>
      <c:spPr>
        <a:noFill/>
        <a:ln w="3175">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Garamond" panose="02020404030301010803" pitchFamily="18" charset="0"/>
        </a:defRPr>
      </a:pPr>
      <a:endParaRPr lang="sr-Latn-RS"/>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Reliability_HyPower_Analysis!$G$1</c:f>
              <c:strCache>
                <c:ptCount val="1"/>
                <c:pt idx="0">
                  <c:v>TBQFi-1 [min]</c:v>
                </c:pt>
              </c:strCache>
            </c:strRef>
          </c:tx>
          <c:spPr>
            <a:ln w="25400" cap="rnd">
              <a:noFill/>
              <a:round/>
            </a:ln>
            <a:effectLst/>
          </c:spPr>
          <c:marker>
            <c:symbol val="diamond"/>
            <c:size val="5"/>
            <c:spPr>
              <a:noFill/>
              <a:ln w="9525">
                <a:solidFill>
                  <a:srgbClr val="0000FF"/>
                </a:solidFill>
              </a:ln>
              <a:effectLst/>
            </c:spPr>
          </c:marker>
          <c:xVal>
            <c:numRef>
              <c:f>Reliability_HyPower_Analysis!$I$2:$I$101</c:f>
              <c:numCache>
                <c:formatCode>General</c:formatCode>
                <c:ptCount val="100"/>
                <c:pt idx="0">
                  <c:v>8.2833333313465118</c:v>
                </c:pt>
                <c:pt idx="1">
                  <c:v>16.116666662273929</c:v>
                </c:pt>
                <c:pt idx="2">
                  <c:v>1345.6333333393559</c:v>
                </c:pt>
                <c:pt idx="3">
                  <c:v>4524.1333333274815</c:v>
                </c:pt>
                <c:pt idx="4">
                  <c:v>5.9333333373069763</c:v>
                </c:pt>
                <c:pt idx="5">
                  <c:v>13.11666666297242</c:v>
                </c:pt>
                <c:pt idx="6">
                  <c:v>4574.2666666663717</c:v>
                </c:pt>
                <c:pt idx="7">
                  <c:v>15.833333336049691</c:v>
                </c:pt>
                <c:pt idx="8">
                  <c:v>2.6500000013038516</c:v>
                </c:pt>
                <c:pt idx="9">
                  <c:v>2.6333333307411522</c:v>
                </c:pt>
                <c:pt idx="10">
                  <c:v>63.350000004284084</c:v>
                </c:pt>
                <c:pt idx="11">
                  <c:v>837.66666665906087</c:v>
                </c:pt>
                <c:pt idx="12">
                  <c:v>2.6500000013038516</c:v>
                </c:pt>
                <c:pt idx="13">
                  <c:v>2.6333333307411522</c:v>
                </c:pt>
                <c:pt idx="14">
                  <c:v>2.666666671866551</c:v>
                </c:pt>
                <c:pt idx="15">
                  <c:v>1734.5499999972526</c:v>
                </c:pt>
                <c:pt idx="16">
                  <c:v>24.666666670236737</c:v>
                </c:pt>
                <c:pt idx="17">
                  <c:v>11.949999995995313</c:v>
                </c:pt>
                <c:pt idx="18">
                  <c:v>1578.3500000077765</c:v>
                </c:pt>
                <c:pt idx="19">
                  <c:v>1464.8499999940395</c:v>
                </c:pt>
                <c:pt idx="20">
                  <c:v>3054.9166666623205</c:v>
                </c:pt>
                <c:pt idx="21">
                  <c:v>4.8000000009778887</c:v>
                </c:pt>
                <c:pt idx="22">
                  <c:v>11.950000006472692</c:v>
                </c:pt>
                <c:pt idx="23">
                  <c:v>7.9333333333488554</c:v>
                </c:pt>
                <c:pt idx="24">
                  <c:v>1024.4166666653473</c:v>
                </c:pt>
                <c:pt idx="25">
                  <c:v>1416.4666666660924</c:v>
                </c:pt>
                <c:pt idx="26">
                  <c:v>1082.5666666694451</c:v>
                </c:pt>
                <c:pt idx="27">
                  <c:v>2.7833333343733102</c:v>
                </c:pt>
                <c:pt idx="28">
                  <c:v>2.6833333319518715</c:v>
                </c:pt>
                <c:pt idx="29">
                  <c:v>3.1166666618082672</c:v>
                </c:pt>
                <c:pt idx="30">
                  <c:v>2.5333333387970924</c:v>
                </c:pt>
                <c:pt idx="31">
                  <c:v>2.6166666601784527</c:v>
                </c:pt>
                <c:pt idx="32">
                  <c:v>2.6833333319518715</c:v>
                </c:pt>
                <c:pt idx="33">
                  <c:v>2.7166666730772704</c:v>
                </c:pt>
                <c:pt idx="34">
                  <c:v>2.8333333355840296</c:v>
                </c:pt>
                <c:pt idx="35">
                  <c:v>2.6666666613891721</c:v>
                </c:pt>
                <c:pt idx="36">
                  <c:v>1908.1499999994412</c:v>
                </c:pt>
                <c:pt idx="37">
                  <c:v>1624.0500000037719</c:v>
                </c:pt>
                <c:pt idx="38">
                  <c:v>3.033333329949528</c:v>
                </c:pt>
                <c:pt idx="39">
                  <c:v>4.3333333299960941</c:v>
                </c:pt>
                <c:pt idx="40">
                  <c:v>66.666666670935228</c:v>
                </c:pt>
                <c:pt idx="41">
                  <c:v>6.6833333345130086</c:v>
                </c:pt>
                <c:pt idx="42">
                  <c:v>1126.0333333339076</c:v>
                </c:pt>
                <c:pt idx="43">
                  <c:v>1982.5833333295304</c:v>
                </c:pt>
                <c:pt idx="44">
                  <c:v>28.216666672378778</c:v>
                </c:pt>
                <c:pt idx="45">
                  <c:v>3603.916666660225</c:v>
                </c:pt>
                <c:pt idx="46">
                  <c:v>15.233333331998438</c:v>
                </c:pt>
                <c:pt idx="47">
                  <c:v>2.9500000085681677</c:v>
                </c:pt>
                <c:pt idx="48">
                  <c:v>2.7499999932479113</c:v>
                </c:pt>
                <c:pt idx="49">
                  <c:v>18.900000007124618</c:v>
                </c:pt>
                <c:pt idx="50">
                  <c:v>8.549999997485429</c:v>
                </c:pt>
                <c:pt idx="51">
                  <c:v>11.916666665347293</c:v>
                </c:pt>
                <c:pt idx="52">
                  <c:v>8922.5833333306946</c:v>
                </c:pt>
                <c:pt idx="53">
                  <c:v>14.00000000372529</c:v>
                </c:pt>
                <c:pt idx="54">
                  <c:v>2.5333333283197135</c:v>
                </c:pt>
                <c:pt idx="55">
                  <c:v>56.916666665347293</c:v>
                </c:pt>
                <c:pt idx="56">
                  <c:v>1.9833333359565586</c:v>
                </c:pt>
                <c:pt idx="57">
                  <c:v>2.1499999996740371</c:v>
                </c:pt>
                <c:pt idx="58">
                  <c:v>7.2833333385642618</c:v>
                </c:pt>
                <c:pt idx="59">
                  <c:v>3.4833333303686231</c:v>
                </c:pt>
                <c:pt idx="60">
                  <c:v>1672.6166666659992</c:v>
                </c:pt>
                <c:pt idx="61">
                  <c:v>5.216666670748964</c:v>
                </c:pt>
                <c:pt idx="62">
                  <c:v>2.6333333307411522</c:v>
                </c:pt>
                <c:pt idx="63">
                  <c:v>39.299999998183921</c:v>
                </c:pt>
                <c:pt idx="64">
                  <c:v>4.7833333304151893</c:v>
                </c:pt>
                <c:pt idx="65">
                  <c:v>5.4000000050291419</c:v>
                </c:pt>
                <c:pt idx="66">
                  <c:v>2397.7999999956228</c:v>
                </c:pt>
                <c:pt idx="67">
                  <c:v>2.9333333380054682</c:v>
                </c:pt>
                <c:pt idx="68">
                  <c:v>5.0166666659060866</c:v>
                </c:pt>
                <c:pt idx="69">
                  <c:v>6.5000000002328306</c:v>
                </c:pt>
                <c:pt idx="70">
                  <c:v>4.7166666691191494</c:v>
                </c:pt>
                <c:pt idx="71">
                  <c:v>4.69999999855645</c:v>
                </c:pt>
                <c:pt idx="72">
                  <c:v>32.416666669305414</c:v>
                </c:pt>
                <c:pt idx="73">
                  <c:v>4.4166666618548334</c:v>
                </c:pt>
                <c:pt idx="74">
                  <c:v>1033.4833333350252</c:v>
                </c:pt>
                <c:pt idx="75">
                  <c:v>5.1499999989755452</c:v>
                </c:pt>
                <c:pt idx="76">
                  <c:v>7.8500000014901161</c:v>
                </c:pt>
                <c:pt idx="77">
                  <c:v>2.516666668234393</c:v>
                </c:pt>
                <c:pt idx="78">
                  <c:v>2014.2500000016298</c:v>
                </c:pt>
                <c:pt idx="79">
                  <c:v>1192.5166666600853</c:v>
                </c:pt>
                <c:pt idx="80">
                  <c:v>3036.3666666636709</c:v>
                </c:pt>
                <c:pt idx="81">
                  <c:v>1278.9500000083353</c:v>
                </c:pt>
                <c:pt idx="82">
                  <c:v>3293.5499999974854</c:v>
                </c:pt>
                <c:pt idx="83">
                  <c:v>14.766666661016643</c:v>
                </c:pt>
                <c:pt idx="84">
                  <c:v>12442.150000002002</c:v>
                </c:pt>
                <c:pt idx="85">
                  <c:v>1226.4500000048429</c:v>
                </c:pt>
                <c:pt idx="86">
                  <c:v>3.033333329949528</c:v>
                </c:pt>
                <c:pt idx="87">
                  <c:v>1441.5499999956228</c:v>
                </c:pt>
                <c:pt idx="88">
                  <c:v>2.3166666738688946</c:v>
                </c:pt>
                <c:pt idx="89">
                  <c:v>2.2833333327434957</c:v>
                </c:pt>
                <c:pt idx="90">
                  <c:v>2.1166666690260172</c:v>
                </c:pt>
                <c:pt idx="91">
                  <c:v>1647.0166666642763</c:v>
                </c:pt>
                <c:pt idx="92">
                  <c:v>6107.016666670097</c:v>
                </c:pt>
                <c:pt idx="93">
                  <c:v>1160.6166666629724</c:v>
                </c:pt>
                <c:pt idx="94">
                  <c:v>7286.449999997858</c:v>
                </c:pt>
                <c:pt idx="95">
                  <c:v>29.733333337353542</c:v>
                </c:pt>
                <c:pt idx="96">
                  <c:v>14.800000002142042</c:v>
                </c:pt>
                <c:pt idx="97">
                  <c:v>10.849999990314245</c:v>
                </c:pt>
              </c:numCache>
            </c:numRef>
          </c:xVal>
          <c:yVal>
            <c:numRef>
              <c:f>Reliability_HyPower_Analysis!$F$2:$F$102</c:f>
              <c:numCache>
                <c:formatCode>General</c:formatCode>
                <c:ptCount val="101"/>
                <c:pt idx="0">
                  <c:v>3083.8166666706093</c:v>
                </c:pt>
                <c:pt idx="1">
                  <c:v>1031.5500000002794</c:v>
                </c:pt>
                <c:pt idx="2">
                  <c:v>2877.7166666672565</c:v>
                </c:pt>
                <c:pt idx="3">
                  <c:v>8.2833333313465118</c:v>
                </c:pt>
                <c:pt idx="4">
                  <c:v>16.116666662273929</c:v>
                </c:pt>
                <c:pt idx="5">
                  <c:v>1345.6333333393559</c:v>
                </c:pt>
                <c:pt idx="6">
                  <c:v>4524.1333333274815</c:v>
                </c:pt>
                <c:pt idx="7">
                  <c:v>5.9333333373069763</c:v>
                </c:pt>
                <c:pt idx="8">
                  <c:v>13.11666666297242</c:v>
                </c:pt>
                <c:pt idx="9">
                  <c:v>4574.2666666663717</c:v>
                </c:pt>
                <c:pt idx="10">
                  <c:v>15.833333336049691</c:v>
                </c:pt>
                <c:pt idx="11">
                  <c:v>2.6500000013038516</c:v>
                </c:pt>
                <c:pt idx="12">
                  <c:v>2.6333333307411522</c:v>
                </c:pt>
                <c:pt idx="13">
                  <c:v>63.350000004284084</c:v>
                </c:pt>
                <c:pt idx="14">
                  <c:v>837.66666665906087</c:v>
                </c:pt>
                <c:pt idx="15">
                  <c:v>2.6500000013038516</c:v>
                </c:pt>
                <c:pt idx="16">
                  <c:v>2.6333333307411522</c:v>
                </c:pt>
                <c:pt idx="17">
                  <c:v>2.666666671866551</c:v>
                </c:pt>
                <c:pt idx="18">
                  <c:v>1734.5499999972526</c:v>
                </c:pt>
                <c:pt idx="19">
                  <c:v>24.666666670236737</c:v>
                </c:pt>
                <c:pt idx="20">
                  <c:v>11.949999995995313</c:v>
                </c:pt>
                <c:pt idx="21">
                  <c:v>1578.3500000077765</c:v>
                </c:pt>
                <c:pt idx="22">
                  <c:v>1464.8499999940395</c:v>
                </c:pt>
                <c:pt idx="23">
                  <c:v>3054.9166666623205</c:v>
                </c:pt>
                <c:pt idx="24">
                  <c:v>4.8000000009778887</c:v>
                </c:pt>
                <c:pt idx="25">
                  <c:v>11.950000006472692</c:v>
                </c:pt>
                <c:pt idx="26">
                  <c:v>7.9333333333488554</c:v>
                </c:pt>
                <c:pt idx="27">
                  <c:v>1024.4166666653473</c:v>
                </c:pt>
                <c:pt idx="28">
                  <c:v>1416.4666666660924</c:v>
                </c:pt>
                <c:pt idx="29">
                  <c:v>1082.5666666694451</c:v>
                </c:pt>
                <c:pt idx="30">
                  <c:v>2.7833333343733102</c:v>
                </c:pt>
                <c:pt idx="31">
                  <c:v>2.6833333319518715</c:v>
                </c:pt>
                <c:pt idx="32">
                  <c:v>3.1166666618082672</c:v>
                </c:pt>
                <c:pt idx="33">
                  <c:v>2.5333333387970924</c:v>
                </c:pt>
                <c:pt idx="34">
                  <c:v>2.6166666601784527</c:v>
                </c:pt>
                <c:pt idx="35">
                  <c:v>2.6833333319518715</c:v>
                </c:pt>
                <c:pt idx="36">
                  <c:v>2.7166666730772704</c:v>
                </c:pt>
                <c:pt idx="37">
                  <c:v>2.8333333355840296</c:v>
                </c:pt>
                <c:pt idx="38">
                  <c:v>2.6666666613891721</c:v>
                </c:pt>
                <c:pt idx="39">
                  <c:v>1908.1499999994412</c:v>
                </c:pt>
                <c:pt idx="40">
                  <c:v>1624.0500000037719</c:v>
                </c:pt>
                <c:pt idx="41">
                  <c:v>3.033333329949528</c:v>
                </c:pt>
                <c:pt idx="42">
                  <c:v>4.3333333299960941</c:v>
                </c:pt>
                <c:pt idx="43">
                  <c:v>66.666666670935228</c:v>
                </c:pt>
                <c:pt idx="44">
                  <c:v>6.6833333345130086</c:v>
                </c:pt>
                <c:pt idx="45">
                  <c:v>1126.0333333339076</c:v>
                </c:pt>
                <c:pt idx="46">
                  <c:v>1982.5833333295304</c:v>
                </c:pt>
                <c:pt idx="47">
                  <c:v>28.216666672378778</c:v>
                </c:pt>
                <c:pt idx="48">
                  <c:v>3603.916666660225</c:v>
                </c:pt>
                <c:pt idx="49">
                  <c:v>15.233333331998438</c:v>
                </c:pt>
                <c:pt idx="50">
                  <c:v>2.9500000085681677</c:v>
                </c:pt>
                <c:pt idx="51">
                  <c:v>2.7499999932479113</c:v>
                </c:pt>
                <c:pt idx="52">
                  <c:v>18.900000007124618</c:v>
                </c:pt>
                <c:pt idx="53">
                  <c:v>8.549999997485429</c:v>
                </c:pt>
                <c:pt idx="54">
                  <c:v>11.916666665347293</c:v>
                </c:pt>
                <c:pt idx="55">
                  <c:v>8922.5833333306946</c:v>
                </c:pt>
                <c:pt idx="56">
                  <c:v>14.00000000372529</c:v>
                </c:pt>
                <c:pt idx="57">
                  <c:v>2.5333333283197135</c:v>
                </c:pt>
                <c:pt idx="58">
                  <c:v>56.916666665347293</c:v>
                </c:pt>
                <c:pt idx="59">
                  <c:v>1.9833333359565586</c:v>
                </c:pt>
                <c:pt idx="60">
                  <c:v>2.1499999996740371</c:v>
                </c:pt>
                <c:pt idx="61">
                  <c:v>7.2833333385642618</c:v>
                </c:pt>
                <c:pt idx="62">
                  <c:v>3.4833333303686231</c:v>
                </c:pt>
                <c:pt idx="63">
                  <c:v>1672.6166666659992</c:v>
                </c:pt>
                <c:pt idx="64">
                  <c:v>5.216666670748964</c:v>
                </c:pt>
                <c:pt idx="65">
                  <c:v>2.6333333307411522</c:v>
                </c:pt>
                <c:pt idx="66">
                  <c:v>39.299999998183921</c:v>
                </c:pt>
                <c:pt idx="67">
                  <c:v>4.7833333304151893</c:v>
                </c:pt>
                <c:pt idx="68">
                  <c:v>5.4000000050291419</c:v>
                </c:pt>
                <c:pt idx="69">
                  <c:v>2397.7999999956228</c:v>
                </c:pt>
                <c:pt idx="70">
                  <c:v>2.9333333380054682</c:v>
                </c:pt>
                <c:pt idx="71">
                  <c:v>5.0166666659060866</c:v>
                </c:pt>
                <c:pt idx="72">
                  <c:v>6.5000000002328306</c:v>
                </c:pt>
                <c:pt idx="73">
                  <c:v>4.7166666691191494</c:v>
                </c:pt>
                <c:pt idx="74">
                  <c:v>4.69999999855645</c:v>
                </c:pt>
                <c:pt idx="75">
                  <c:v>32.416666669305414</c:v>
                </c:pt>
                <c:pt idx="76">
                  <c:v>4.4166666618548334</c:v>
                </c:pt>
                <c:pt idx="77">
                  <c:v>1033.4833333350252</c:v>
                </c:pt>
                <c:pt idx="78">
                  <c:v>5.1499999989755452</c:v>
                </c:pt>
                <c:pt idx="79">
                  <c:v>7.8500000014901161</c:v>
                </c:pt>
                <c:pt idx="80">
                  <c:v>2.516666668234393</c:v>
                </c:pt>
                <c:pt idx="81">
                  <c:v>2014.2500000016298</c:v>
                </c:pt>
                <c:pt idx="82">
                  <c:v>1192.5166666600853</c:v>
                </c:pt>
                <c:pt idx="83">
                  <c:v>3036.3666666636709</c:v>
                </c:pt>
                <c:pt idx="84">
                  <c:v>1278.9500000083353</c:v>
                </c:pt>
                <c:pt idx="85">
                  <c:v>3293.5499999974854</c:v>
                </c:pt>
                <c:pt idx="86">
                  <c:v>14.766666661016643</c:v>
                </c:pt>
                <c:pt idx="87">
                  <c:v>12442.150000002002</c:v>
                </c:pt>
                <c:pt idx="88">
                  <c:v>1226.4500000048429</c:v>
                </c:pt>
                <c:pt idx="89">
                  <c:v>3.033333329949528</c:v>
                </c:pt>
                <c:pt idx="90">
                  <c:v>1441.5499999956228</c:v>
                </c:pt>
                <c:pt idx="91">
                  <c:v>2.3166666738688946</c:v>
                </c:pt>
                <c:pt idx="92">
                  <c:v>2.2833333327434957</c:v>
                </c:pt>
                <c:pt idx="93">
                  <c:v>2.1166666690260172</c:v>
                </c:pt>
                <c:pt idx="94">
                  <c:v>1647.0166666642763</c:v>
                </c:pt>
                <c:pt idx="95">
                  <c:v>6107.016666670097</c:v>
                </c:pt>
                <c:pt idx="96">
                  <c:v>1160.6166666629724</c:v>
                </c:pt>
                <c:pt idx="97">
                  <c:v>7286.449999997858</c:v>
                </c:pt>
                <c:pt idx="98">
                  <c:v>29.733333337353542</c:v>
                </c:pt>
                <c:pt idx="99">
                  <c:v>14.800000002142042</c:v>
                </c:pt>
                <c:pt idx="100">
                  <c:v>10.849999990314245</c:v>
                </c:pt>
              </c:numCache>
            </c:numRef>
          </c:yVal>
          <c:smooth val="0"/>
          <c:extLst>
            <c:ext xmlns:c16="http://schemas.microsoft.com/office/drawing/2014/chart" uri="{C3380CC4-5D6E-409C-BE32-E72D297353CC}">
              <c16:uniqueId val="{00000000-E259-4054-AEB2-7C378AA06DD7}"/>
            </c:ext>
          </c:extLst>
        </c:ser>
        <c:dLbls>
          <c:showLegendKey val="0"/>
          <c:showVal val="0"/>
          <c:showCatName val="0"/>
          <c:showSerName val="0"/>
          <c:showPercent val="0"/>
          <c:showBubbleSize val="0"/>
        </c:dLbls>
        <c:axId val="1905450031"/>
        <c:axId val="1905451279"/>
      </c:scatterChart>
      <c:valAx>
        <c:axId val="1905450031"/>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r>
                  <a:rPr lang="en-GB" sz="1000" b="0" i="0" u="none" strike="noStrike" baseline="0">
                    <a:effectLst/>
                  </a:rPr>
                  <a:t>TBQF</a:t>
                </a:r>
                <a:r>
                  <a:rPr lang="en-GB" sz="1000" b="0" i="0" u="none" strike="noStrike" baseline="-25000">
                    <a:effectLst/>
                  </a:rPr>
                  <a:t>i-3</a:t>
                </a:r>
                <a:endParaRPr lang="sr-Latn-RS" baseline="-25000"/>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itle>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905451279"/>
        <c:crosses val="autoZero"/>
        <c:crossBetween val="midCat"/>
      </c:valAx>
      <c:valAx>
        <c:axId val="1905451279"/>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r>
                  <a:rPr lang="en-GB"/>
                  <a:t>TBQFi</a:t>
                </a:r>
                <a:endParaRPr lang="sr-Latn-RS"/>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itle>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905450031"/>
        <c:crosses val="autoZero"/>
        <c:crossBetween val="midCat"/>
      </c:valAx>
      <c:spPr>
        <a:noFill/>
        <a:ln w="3175">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Garamond" panose="02020404030301010803" pitchFamily="18" charset="0"/>
        </a:defRPr>
      </a:pPr>
      <a:endParaRPr lang="sr-Latn-RS"/>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Reliability_HyPower_Analysis!$G$1</c:f>
              <c:strCache>
                <c:ptCount val="1"/>
                <c:pt idx="0">
                  <c:v>TBQFi-1 [min]</c:v>
                </c:pt>
              </c:strCache>
            </c:strRef>
          </c:tx>
          <c:spPr>
            <a:ln w="25400" cap="rnd">
              <a:noFill/>
              <a:round/>
            </a:ln>
            <a:effectLst/>
          </c:spPr>
          <c:marker>
            <c:symbol val="diamond"/>
            <c:size val="5"/>
            <c:spPr>
              <a:noFill/>
              <a:ln w="9525">
                <a:solidFill>
                  <a:srgbClr val="0000FF"/>
                </a:solidFill>
              </a:ln>
              <a:effectLst/>
            </c:spPr>
          </c:marker>
          <c:xVal>
            <c:numRef>
              <c:f>Reliability_HyPower_Analysis!$J$2:$J$101</c:f>
              <c:numCache>
                <c:formatCode>General</c:formatCode>
                <c:ptCount val="100"/>
                <c:pt idx="0">
                  <c:v>16.116666662273929</c:v>
                </c:pt>
                <c:pt idx="1">
                  <c:v>1345.6333333393559</c:v>
                </c:pt>
                <c:pt idx="2">
                  <c:v>4524.1333333274815</c:v>
                </c:pt>
                <c:pt idx="3">
                  <c:v>5.9333333373069763</c:v>
                </c:pt>
                <c:pt idx="4">
                  <c:v>13.11666666297242</c:v>
                </c:pt>
                <c:pt idx="5">
                  <c:v>4574.2666666663717</c:v>
                </c:pt>
                <c:pt idx="6">
                  <c:v>15.833333336049691</c:v>
                </c:pt>
                <c:pt idx="7">
                  <c:v>2.6500000013038516</c:v>
                </c:pt>
                <c:pt idx="8">
                  <c:v>2.6333333307411522</c:v>
                </c:pt>
                <c:pt idx="9">
                  <c:v>63.350000004284084</c:v>
                </c:pt>
                <c:pt idx="10">
                  <c:v>837.66666665906087</c:v>
                </c:pt>
                <c:pt idx="11">
                  <c:v>2.6500000013038516</c:v>
                </c:pt>
                <c:pt idx="12">
                  <c:v>2.6333333307411522</c:v>
                </c:pt>
                <c:pt idx="13">
                  <c:v>2.666666671866551</c:v>
                </c:pt>
                <c:pt idx="14">
                  <c:v>1734.5499999972526</c:v>
                </c:pt>
                <c:pt idx="15">
                  <c:v>24.666666670236737</c:v>
                </c:pt>
                <c:pt idx="16">
                  <c:v>11.949999995995313</c:v>
                </c:pt>
                <c:pt idx="17">
                  <c:v>1578.3500000077765</c:v>
                </c:pt>
                <c:pt idx="18">
                  <c:v>1464.8499999940395</c:v>
                </c:pt>
                <c:pt idx="19">
                  <c:v>3054.9166666623205</c:v>
                </c:pt>
                <c:pt idx="20">
                  <c:v>4.8000000009778887</c:v>
                </c:pt>
                <c:pt idx="21">
                  <c:v>11.950000006472692</c:v>
                </c:pt>
                <c:pt idx="22">
                  <c:v>7.9333333333488554</c:v>
                </c:pt>
                <c:pt idx="23">
                  <c:v>1024.4166666653473</c:v>
                </c:pt>
                <c:pt idx="24">
                  <c:v>1416.4666666660924</c:v>
                </c:pt>
                <c:pt idx="25">
                  <c:v>1082.5666666694451</c:v>
                </c:pt>
                <c:pt idx="26">
                  <c:v>2.7833333343733102</c:v>
                </c:pt>
                <c:pt idx="27">
                  <c:v>2.6833333319518715</c:v>
                </c:pt>
                <c:pt idx="28">
                  <c:v>3.1166666618082672</c:v>
                </c:pt>
                <c:pt idx="29">
                  <c:v>2.5333333387970924</c:v>
                </c:pt>
                <c:pt idx="30">
                  <c:v>2.6166666601784527</c:v>
                </c:pt>
                <c:pt idx="31">
                  <c:v>2.6833333319518715</c:v>
                </c:pt>
                <c:pt idx="32">
                  <c:v>2.7166666730772704</c:v>
                </c:pt>
                <c:pt idx="33">
                  <c:v>2.8333333355840296</c:v>
                </c:pt>
                <c:pt idx="34">
                  <c:v>2.6666666613891721</c:v>
                </c:pt>
                <c:pt idx="35">
                  <c:v>1908.1499999994412</c:v>
                </c:pt>
                <c:pt idx="36">
                  <c:v>1624.0500000037719</c:v>
                </c:pt>
                <c:pt idx="37">
                  <c:v>3.033333329949528</c:v>
                </c:pt>
                <c:pt idx="38">
                  <c:v>4.3333333299960941</c:v>
                </c:pt>
                <c:pt idx="39">
                  <c:v>66.666666670935228</c:v>
                </c:pt>
                <c:pt idx="40">
                  <c:v>6.6833333345130086</c:v>
                </c:pt>
                <c:pt idx="41">
                  <c:v>1126.0333333339076</c:v>
                </c:pt>
                <c:pt idx="42">
                  <c:v>1982.5833333295304</c:v>
                </c:pt>
                <c:pt idx="43">
                  <c:v>28.216666672378778</c:v>
                </c:pt>
                <c:pt idx="44">
                  <c:v>3603.916666660225</c:v>
                </c:pt>
                <c:pt idx="45">
                  <c:v>15.233333331998438</c:v>
                </c:pt>
                <c:pt idx="46">
                  <c:v>2.9500000085681677</c:v>
                </c:pt>
                <c:pt idx="47">
                  <c:v>2.7499999932479113</c:v>
                </c:pt>
                <c:pt idx="48">
                  <c:v>18.900000007124618</c:v>
                </c:pt>
                <c:pt idx="49">
                  <c:v>8.549999997485429</c:v>
                </c:pt>
                <c:pt idx="50">
                  <c:v>11.916666665347293</c:v>
                </c:pt>
                <c:pt idx="51">
                  <c:v>8922.5833333306946</c:v>
                </c:pt>
                <c:pt idx="52">
                  <c:v>14.00000000372529</c:v>
                </c:pt>
                <c:pt idx="53">
                  <c:v>2.5333333283197135</c:v>
                </c:pt>
                <c:pt idx="54">
                  <c:v>56.916666665347293</c:v>
                </c:pt>
                <c:pt idx="55">
                  <c:v>1.9833333359565586</c:v>
                </c:pt>
                <c:pt idx="56">
                  <c:v>2.1499999996740371</c:v>
                </c:pt>
                <c:pt idx="57">
                  <c:v>7.2833333385642618</c:v>
                </c:pt>
                <c:pt idx="58">
                  <c:v>3.4833333303686231</c:v>
                </c:pt>
                <c:pt idx="59">
                  <c:v>1672.6166666659992</c:v>
                </c:pt>
                <c:pt idx="60">
                  <c:v>5.216666670748964</c:v>
                </c:pt>
                <c:pt idx="61">
                  <c:v>2.6333333307411522</c:v>
                </c:pt>
                <c:pt idx="62">
                  <c:v>39.299999998183921</c:v>
                </c:pt>
                <c:pt idx="63">
                  <c:v>4.7833333304151893</c:v>
                </c:pt>
                <c:pt idx="64">
                  <c:v>5.4000000050291419</c:v>
                </c:pt>
                <c:pt idx="65">
                  <c:v>2397.7999999956228</c:v>
                </c:pt>
                <c:pt idx="66">
                  <c:v>2.9333333380054682</c:v>
                </c:pt>
                <c:pt idx="67">
                  <c:v>5.0166666659060866</c:v>
                </c:pt>
                <c:pt idx="68">
                  <c:v>6.5000000002328306</c:v>
                </c:pt>
                <c:pt idx="69">
                  <c:v>4.7166666691191494</c:v>
                </c:pt>
                <c:pt idx="70">
                  <c:v>4.69999999855645</c:v>
                </c:pt>
                <c:pt idx="71">
                  <c:v>32.416666669305414</c:v>
                </c:pt>
                <c:pt idx="72">
                  <c:v>4.4166666618548334</c:v>
                </c:pt>
                <c:pt idx="73">
                  <c:v>1033.4833333350252</c:v>
                </c:pt>
                <c:pt idx="74">
                  <c:v>5.1499999989755452</c:v>
                </c:pt>
                <c:pt idx="75">
                  <c:v>7.8500000014901161</c:v>
                </c:pt>
                <c:pt idx="76">
                  <c:v>2.516666668234393</c:v>
                </c:pt>
                <c:pt idx="77">
                  <c:v>2014.2500000016298</c:v>
                </c:pt>
                <c:pt idx="78">
                  <c:v>1192.5166666600853</c:v>
                </c:pt>
                <c:pt idx="79">
                  <c:v>3036.3666666636709</c:v>
                </c:pt>
                <c:pt idx="80">
                  <c:v>1278.9500000083353</c:v>
                </c:pt>
                <c:pt idx="81">
                  <c:v>3293.5499999974854</c:v>
                </c:pt>
                <c:pt idx="82">
                  <c:v>14.766666661016643</c:v>
                </c:pt>
                <c:pt idx="83">
                  <c:v>12442.150000002002</c:v>
                </c:pt>
                <c:pt idx="84">
                  <c:v>1226.4500000048429</c:v>
                </c:pt>
                <c:pt idx="85">
                  <c:v>3.033333329949528</c:v>
                </c:pt>
                <c:pt idx="86">
                  <c:v>1441.5499999956228</c:v>
                </c:pt>
                <c:pt idx="87">
                  <c:v>2.3166666738688946</c:v>
                </c:pt>
                <c:pt idx="88">
                  <c:v>2.2833333327434957</c:v>
                </c:pt>
                <c:pt idx="89">
                  <c:v>2.1166666690260172</c:v>
                </c:pt>
                <c:pt idx="90">
                  <c:v>1647.0166666642763</c:v>
                </c:pt>
                <c:pt idx="91">
                  <c:v>6107.016666670097</c:v>
                </c:pt>
                <c:pt idx="92">
                  <c:v>1160.6166666629724</c:v>
                </c:pt>
                <c:pt idx="93">
                  <c:v>7286.449999997858</c:v>
                </c:pt>
                <c:pt idx="94">
                  <c:v>29.733333337353542</c:v>
                </c:pt>
                <c:pt idx="95">
                  <c:v>14.800000002142042</c:v>
                </c:pt>
                <c:pt idx="96">
                  <c:v>10.849999990314245</c:v>
                </c:pt>
              </c:numCache>
            </c:numRef>
          </c:xVal>
          <c:yVal>
            <c:numRef>
              <c:f>Reliability_HyPower_Analysis!$F$2:$F$102</c:f>
              <c:numCache>
                <c:formatCode>General</c:formatCode>
                <c:ptCount val="101"/>
                <c:pt idx="0">
                  <c:v>3083.8166666706093</c:v>
                </c:pt>
                <c:pt idx="1">
                  <c:v>1031.5500000002794</c:v>
                </c:pt>
                <c:pt idx="2">
                  <c:v>2877.7166666672565</c:v>
                </c:pt>
                <c:pt idx="3">
                  <c:v>8.2833333313465118</c:v>
                </c:pt>
                <c:pt idx="4">
                  <c:v>16.116666662273929</c:v>
                </c:pt>
                <c:pt idx="5">
                  <c:v>1345.6333333393559</c:v>
                </c:pt>
                <c:pt idx="6">
                  <c:v>4524.1333333274815</c:v>
                </c:pt>
                <c:pt idx="7">
                  <c:v>5.9333333373069763</c:v>
                </c:pt>
                <c:pt idx="8">
                  <c:v>13.11666666297242</c:v>
                </c:pt>
                <c:pt idx="9">
                  <c:v>4574.2666666663717</c:v>
                </c:pt>
                <c:pt idx="10">
                  <c:v>15.833333336049691</c:v>
                </c:pt>
                <c:pt idx="11">
                  <c:v>2.6500000013038516</c:v>
                </c:pt>
                <c:pt idx="12">
                  <c:v>2.6333333307411522</c:v>
                </c:pt>
                <c:pt idx="13">
                  <c:v>63.350000004284084</c:v>
                </c:pt>
                <c:pt idx="14">
                  <c:v>837.66666665906087</c:v>
                </c:pt>
                <c:pt idx="15">
                  <c:v>2.6500000013038516</c:v>
                </c:pt>
                <c:pt idx="16">
                  <c:v>2.6333333307411522</c:v>
                </c:pt>
                <c:pt idx="17">
                  <c:v>2.666666671866551</c:v>
                </c:pt>
                <c:pt idx="18">
                  <c:v>1734.5499999972526</c:v>
                </c:pt>
                <c:pt idx="19">
                  <c:v>24.666666670236737</c:v>
                </c:pt>
                <c:pt idx="20">
                  <c:v>11.949999995995313</c:v>
                </c:pt>
                <c:pt idx="21">
                  <c:v>1578.3500000077765</c:v>
                </c:pt>
                <c:pt idx="22">
                  <c:v>1464.8499999940395</c:v>
                </c:pt>
                <c:pt idx="23">
                  <c:v>3054.9166666623205</c:v>
                </c:pt>
                <c:pt idx="24">
                  <c:v>4.8000000009778887</c:v>
                </c:pt>
                <c:pt idx="25">
                  <c:v>11.950000006472692</c:v>
                </c:pt>
                <c:pt idx="26">
                  <c:v>7.9333333333488554</c:v>
                </c:pt>
                <c:pt idx="27">
                  <c:v>1024.4166666653473</c:v>
                </c:pt>
                <c:pt idx="28">
                  <c:v>1416.4666666660924</c:v>
                </c:pt>
                <c:pt idx="29">
                  <c:v>1082.5666666694451</c:v>
                </c:pt>
                <c:pt idx="30">
                  <c:v>2.7833333343733102</c:v>
                </c:pt>
                <c:pt idx="31">
                  <c:v>2.6833333319518715</c:v>
                </c:pt>
                <c:pt idx="32">
                  <c:v>3.1166666618082672</c:v>
                </c:pt>
                <c:pt idx="33">
                  <c:v>2.5333333387970924</c:v>
                </c:pt>
                <c:pt idx="34">
                  <c:v>2.6166666601784527</c:v>
                </c:pt>
                <c:pt idx="35">
                  <c:v>2.6833333319518715</c:v>
                </c:pt>
                <c:pt idx="36">
                  <c:v>2.7166666730772704</c:v>
                </c:pt>
                <c:pt idx="37">
                  <c:v>2.8333333355840296</c:v>
                </c:pt>
                <c:pt idx="38">
                  <c:v>2.6666666613891721</c:v>
                </c:pt>
                <c:pt idx="39">
                  <c:v>1908.1499999994412</c:v>
                </c:pt>
                <c:pt idx="40">
                  <c:v>1624.0500000037719</c:v>
                </c:pt>
                <c:pt idx="41">
                  <c:v>3.033333329949528</c:v>
                </c:pt>
                <c:pt idx="42">
                  <c:v>4.3333333299960941</c:v>
                </c:pt>
                <c:pt idx="43">
                  <c:v>66.666666670935228</c:v>
                </c:pt>
                <c:pt idx="44">
                  <c:v>6.6833333345130086</c:v>
                </c:pt>
                <c:pt idx="45">
                  <c:v>1126.0333333339076</c:v>
                </c:pt>
                <c:pt idx="46">
                  <c:v>1982.5833333295304</c:v>
                </c:pt>
                <c:pt idx="47">
                  <c:v>28.216666672378778</c:v>
                </c:pt>
                <c:pt idx="48">
                  <c:v>3603.916666660225</c:v>
                </c:pt>
                <c:pt idx="49">
                  <c:v>15.233333331998438</c:v>
                </c:pt>
                <c:pt idx="50">
                  <c:v>2.9500000085681677</c:v>
                </c:pt>
                <c:pt idx="51">
                  <c:v>2.7499999932479113</c:v>
                </c:pt>
                <c:pt idx="52">
                  <c:v>18.900000007124618</c:v>
                </c:pt>
                <c:pt idx="53">
                  <c:v>8.549999997485429</c:v>
                </c:pt>
                <c:pt idx="54">
                  <c:v>11.916666665347293</c:v>
                </c:pt>
                <c:pt idx="55">
                  <c:v>8922.5833333306946</c:v>
                </c:pt>
                <c:pt idx="56">
                  <c:v>14.00000000372529</c:v>
                </c:pt>
                <c:pt idx="57">
                  <c:v>2.5333333283197135</c:v>
                </c:pt>
                <c:pt idx="58">
                  <c:v>56.916666665347293</c:v>
                </c:pt>
                <c:pt idx="59">
                  <c:v>1.9833333359565586</c:v>
                </c:pt>
                <c:pt idx="60">
                  <c:v>2.1499999996740371</c:v>
                </c:pt>
                <c:pt idx="61">
                  <c:v>7.2833333385642618</c:v>
                </c:pt>
                <c:pt idx="62">
                  <c:v>3.4833333303686231</c:v>
                </c:pt>
                <c:pt idx="63">
                  <c:v>1672.6166666659992</c:v>
                </c:pt>
                <c:pt idx="64">
                  <c:v>5.216666670748964</c:v>
                </c:pt>
                <c:pt idx="65">
                  <c:v>2.6333333307411522</c:v>
                </c:pt>
                <c:pt idx="66">
                  <c:v>39.299999998183921</c:v>
                </c:pt>
                <c:pt idx="67">
                  <c:v>4.7833333304151893</c:v>
                </c:pt>
                <c:pt idx="68">
                  <c:v>5.4000000050291419</c:v>
                </c:pt>
                <c:pt idx="69">
                  <c:v>2397.7999999956228</c:v>
                </c:pt>
                <c:pt idx="70">
                  <c:v>2.9333333380054682</c:v>
                </c:pt>
                <c:pt idx="71">
                  <c:v>5.0166666659060866</c:v>
                </c:pt>
                <c:pt idx="72">
                  <c:v>6.5000000002328306</c:v>
                </c:pt>
                <c:pt idx="73">
                  <c:v>4.7166666691191494</c:v>
                </c:pt>
                <c:pt idx="74">
                  <c:v>4.69999999855645</c:v>
                </c:pt>
                <c:pt idx="75">
                  <c:v>32.416666669305414</c:v>
                </c:pt>
                <c:pt idx="76">
                  <c:v>4.4166666618548334</c:v>
                </c:pt>
                <c:pt idx="77">
                  <c:v>1033.4833333350252</c:v>
                </c:pt>
                <c:pt idx="78">
                  <c:v>5.1499999989755452</c:v>
                </c:pt>
                <c:pt idx="79">
                  <c:v>7.8500000014901161</c:v>
                </c:pt>
                <c:pt idx="80">
                  <c:v>2.516666668234393</c:v>
                </c:pt>
                <c:pt idx="81">
                  <c:v>2014.2500000016298</c:v>
                </c:pt>
                <c:pt idx="82">
                  <c:v>1192.5166666600853</c:v>
                </c:pt>
                <c:pt idx="83">
                  <c:v>3036.3666666636709</c:v>
                </c:pt>
                <c:pt idx="84">
                  <c:v>1278.9500000083353</c:v>
                </c:pt>
                <c:pt idx="85">
                  <c:v>3293.5499999974854</c:v>
                </c:pt>
                <c:pt idx="86">
                  <c:v>14.766666661016643</c:v>
                </c:pt>
                <c:pt idx="87">
                  <c:v>12442.150000002002</c:v>
                </c:pt>
                <c:pt idx="88">
                  <c:v>1226.4500000048429</c:v>
                </c:pt>
                <c:pt idx="89">
                  <c:v>3.033333329949528</c:v>
                </c:pt>
                <c:pt idx="90">
                  <c:v>1441.5499999956228</c:v>
                </c:pt>
                <c:pt idx="91">
                  <c:v>2.3166666738688946</c:v>
                </c:pt>
                <c:pt idx="92">
                  <c:v>2.2833333327434957</c:v>
                </c:pt>
                <c:pt idx="93">
                  <c:v>2.1166666690260172</c:v>
                </c:pt>
                <c:pt idx="94">
                  <c:v>1647.0166666642763</c:v>
                </c:pt>
                <c:pt idx="95">
                  <c:v>6107.016666670097</c:v>
                </c:pt>
                <c:pt idx="96">
                  <c:v>1160.6166666629724</c:v>
                </c:pt>
                <c:pt idx="97">
                  <c:v>7286.449999997858</c:v>
                </c:pt>
                <c:pt idx="98">
                  <c:v>29.733333337353542</c:v>
                </c:pt>
                <c:pt idx="99">
                  <c:v>14.800000002142042</c:v>
                </c:pt>
                <c:pt idx="100">
                  <c:v>10.849999990314245</c:v>
                </c:pt>
              </c:numCache>
            </c:numRef>
          </c:yVal>
          <c:smooth val="0"/>
          <c:extLst>
            <c:ext xmlns:c16="http://schemas.microsoft.com/office/drawing/2014/chart" uri="{C3380CC4-5D6E-409C-BE32-E72D297353CC}">
              <c16:uniqueId val="{00000000-DA39-40D6-94AA-B0C3F4692638}"/>
            </c:ext>
          </c:extLst>
        </c:ser>
        <c:dLbls>
          <c:showLegendKey val="0"/>
          <c:showVal val="0"/>
          <c:showCatName val="0"/>
          <c:showSerName val="0"/>
          <c:showPercent val="0"/>
          <c:showBubbleSize val="0"/>
        </c:dLbls>
        <c:axId val="1905450031"/>
        <c:axId val="1905451279"/>
      </c:scatterChart>
      <c:valAx>
        <c:axId val="1905450031"/>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r>
                  <a:rPr lang="en-GB" sz="1000" b="0" i="0" u="none" strike="noStrike" baseline="0">
                    <a:effectLst/>
                  </a:rPr>
                  <a:t>TBQF</a:t>
                </a:r>
                <a:r>
                  <a:rPr lang="en-GB" sz="1000" b="0" i="0" u="none" strike="noStrike" baseline="-25000">
                    <a:effectLst/>
                  </a:rPr>
                  <a:t>i-4</a:t>
                </a:r>
                <a:endParaRPr lang="sr-Latn-RS" baseline="-25000"/>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itle>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905451279"/>
        <c:crosses val="autoZero"/>
        <c:crossBetween val="midCat"/>
      </c:valAx>
      <c:valAx>
        <c:axId val="1905451279"/>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r>
                  <a:rPr lang="en-GB"/>
                  <a:t>TBQFi</a:t>
                </a:r>
                <a:endParaRPr lang="sr-Latn-RS"/>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itle>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905450031"/>
        <c:crosses val="autoZero"/>
        <c:crossBetween val="midCat"/>
      </c:valAx>
      <c:spPr>
        <a:noFill/>
        <a:ln w="3175">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Garamond" panose="02020404030301010803" pitchFamily="18" charset="0"/>
        </a:defRPr>
      </a:pPr>
      <a:endParaRPr lang="sr-Latn-RS"/>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Reliability_HyPower_Analysis!$AA$1</c:f>
              <c:strCache>
                <c:ptCount val="1"/>
                <c:pt idx="0">
                  <c:v>R(t)Weib</c:v>
                </c:pt>
              </c:strCache>
            </c:strRef>
          </c:tx>
          <c:spPr>
            <a:ln w="25400" cap="rnd">
              <a:noFill/>
              <a:round/>
            </a:ln>
            <a:effectLst/>
          </c:spPr>
          <c:marker>
            <c:symbol val="diamond"/>
            <c:size val="5"/>
            <c:spPr>
              <a:noFill/>
              <a:ln w="3175">
                <a:solidFill>
                  <a:srgbClr val="0000FF"/>
                </a:solidFill>
              </a:ln>
              <a:effectLst/>
            </c:spPr>
          </c:marker>
          <c:xVal>
            <c:numRef>
              <c:f>Reliability_HyPower_Analysis!$AB$2:$AB$252</c:f>
              <c:numCache>
                <c:formatCode>0</c:formatCode>
                <c:ptCount val="251"/>
                <c:pt idx="0">
                  <c:v>0.01</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210</c:v>
                </c:pt>
                <c:pt idx="22">
                  <c:v>220</c:v>
                </c:pt>
                <c:pt idx="23">
                  <c:v>230</c:v>
                </c:pt>
                <c:pt idx="24">
                  <c:v>240</c:v>
                </c:pt>
                <c:pt idx="25">
                  <c:v>250</c:v>
                </c:pt>
                <c:pt idx="26">
                  <c:v>260</c:v>
                </c:pt>
                <c:pt idx="27">
                  <c:v>270</c:v>
                </c:pt>
                <c:pt idx="28">
                  <c:v>280</c:v>
                </c:pt>
                <c:pt idx="29">
                  <c:v>290</c:v>
                </c:pt>
                <c:pt idx="30">
                  <c:v>300</c:v>
                </c:pt>
                <c:pt idx="31">
                  <c:v>310</c:v>
                </c:pt>
                <c:pt idx="32">
                  <c:v>320</c:v>
                </c:pt>
                <c:pt idx="33">
                  <c:v>330</c:v>
                </c:pt>
                <c:pt idx="34">
                  <c:v>340</c:v>
                </c:pt>
                <c:pt idx="35">
                  <c:v>350</c:v>
                </c:pt>
                <c:pt idx="36">
                  <c:v>360</c:v>
                </c:pt>
                <c:pt idx="37">
                  <c:v>370</c:v>
                </c:pt>
                <c:pt idx="38">
                  <c:v>380</c:v>
                </c:pt>
                <c:pt idx="39">
                  <c:v>390</c:v>
                </c:pt>
                <c:pt idx="40">
                  <c:v>400</c:v>
                </c:pt>
                <c:pt idx="41">
                  <c:v>410</c:v>
                </c:pt>
                <c:pt idx="42">
                  <c:v>420</c:v>
                </c:pt>
                <c:pt idx="43">
                  <c:v>430</c:v>
                </c:pt>
                <c:pt idx="44">
                  <c:v>440</c:v>
                </c:pt>
                <c:pt idx="45">
                  <c:v>450</c:v>
                </c:pt>
                <c:pt idx="46">
                  <c:v>460</c:v>
                </c:pt>
                <c:pt idx="47">
                  <c:v>470</c:v>
                </c:pt>
                <c:pt idx="48">
                  <c:v>480</c:v>
                </c:pt>
                <c:pt idx="49">
                  <c:v>490</c:v>
                </c:pt>
                <c:pt idx="50">
                  <c:v>500</c:v>
                </c:pt>
                <c:pt idx="51">
                  <c:v>510</c:v>
                </c:pt>
                <c:pt idx="52">
                  <c:v>520</c:v>
                </c:pt>
                <c:pt idx="53">
                  <c:v>530</c:v>
                </c:pt>
                <c:pt idx="54">
                  <c:v>540</c:v>
                </c:pt>
                <c:pt idx="55">
                  <c:v>550</c:v>
                </c:pt>
                <c:pt idx="56">
                  <c:v>560</c:v>
                </c:pt>
                <c:pt idx="57">
                  <c:v>570</c:v>
                </c:pt>
                <c:pt idx="58">
                  <c:v>580</c:v>
                </c:pt>
                <c:pt idx="59">
                  <c:v>590</c:v>
                </c:pt>
                <c:pt idx="60">
                  <c:v>600</c:v>
                </c:pt>
                <c:pt idx="61">
                  <c:v>610</c:v>
                </c:pt>
                <c:pt idx="62">
                  <c:v>620</c:v>
                </c:pt>
                <c:pt idx="63">
                  <c:v>630</c:v>
                </c:pt>
                <c:pt idx="64">
                  <c:v>640</c:v>
                </c:pt>
                <c:pt idx="65">
                  <c:v>650</c:v>
                </c:pt>
                <c:pt idx="66">
                  <c:v>660</c:v>
                </c:pt>
                <c:pt idx="67">
                  <c:v>670</c:v>
                </c:pt>
                <c:pt idx="68">
                  <c:v>680</c:v>
                </c:pt>
                <c:pt idx="69">
                  <c:v>690</c:v>
                </c:pt>
                <c:pt idx="70">
                  <c:v>700</c:v>
                </c:pt>
                <c:pt idx="71">
                  <c:v>710</c:v>
                </c:pt>
                <c:pt idx="72">
                  <c:v>720</c:v>
                </c:pt>
                <c:pt idx="73">
                  <c:v>730</c:v>
                </c:pt>
                <c:pt idx="74">
                  <c:v>740</c:v>
                </c:pt>
                <c:pt idx="75">
                  <c:v>750</c:v>
                </c:pt>
                <c:pt idx="76">
                  <c:v>760</c:v>
                </c:pt>
                <c:pt idx="77">
                  <c:v>770</c:v>
                </c:pt>
                <c:pt idx="78">
                  <c:v>780</c:v>
                </c:pt>
                <c:pt idx="79">
                  <c:v>790</c:v>
                </c:pt>
                <c:pt idx="80">
                  <c:v>800</c:v>
                </c:pt>
                <c:pt idx="81">
                  <c:v>810</c:v>
                </c:pt>
                <c:pt idx="82">
                  <c:v>820</c:v>
                </c:pt>
                <c:pt idx="83">
                  <c:v>830</c:v>
                </c:pt>
                <c:pt idx="84">
                  <c:v>840</c:v>
                </c:pt>
                <c:pt idx="85">
                  <c:v>850</c:v>
                </c:pt>
                <c:pt idx="86">
                  <c:v>860</c:v>
                </c:pt>
                <c:pt idx="87">
                  <c:v>870</c:v>
                </c:pt>
                <c:pt idx="88">
                  <c:v>880</c:v>
                </c:pt>
                <c:pt idx="89">
                  <c:v>890</c:v>
                </c:pt>
                <c:pt idx="90">
                  <c:v>900</c:v>
                </c:pt>
                <c:pt idx="91">
                  <c:v>910</c:v>
                </c:pt>
                <c:pt idx="92">
                  <c:v>920</c:v>
                </c:pt>
                <c:pt idx="93">
                  <c:v>930</c:v>
                </c:pt>
                <c:pt idx="94">
                  <c:v>940</c:v>
                </c:pt>
                <c:pt idx="95">
                  <c:v>950</c:v>
                </c:pt>
                <c:pt idx="96">
                  <c:v>960</c:v>
                </c:pt>
                <c:pt idx="97">
                  <c:v>970</c:v>
                </c:pt>
                <c:pt idx="98">
                  <c:v>980</c:v>
                </c:pt>
                <c:pt idx="99">
                  <c:v>990</c:v>
                </c:pt>
                <c:pt idx="100">
                  <c:v>1000</c:v>
                </c:pt>
                <c:pt idx="101">
                  <c:v>1010</c:v>
                </c:pt>
                <c:pt idx="102">
                  <c:v>1020</c:v>
                </c:pt>
                <c:pt idx="103">
                  <c:v>1030</c:v>
                </c:pt>
                <c:pt idx="104">
                  <c:v>1040</c:v>
                </c:pt>
                <c:pt idx="105">
                  <c:v>1050</c:v>
                </c:pt>
                <c:pt idx="106">
                  <c:v>1060</c:v>
                </c:pt>
                <c:pt idx="107">
                  <c:v>1070</c:v>
                </c:pt>
                <c:pt idx="108">
                  <c:v>1080</c:v>
                </c:pt>
                <c:pt idx="109">
                  <c:v>1090</c:v>
                </c:pt>
                <c:pt idx="110">
                  <c:v>1100</c:v>
                </c:pt>
                <c:pt idx="111">
                  <c:v>1110</c:v>
                </c:pt>
                <c:pt idx="112">
                  <c:v>1120</c:v>
                </c:pt>
                <c:pt idx="113">
                  <c:v>1130</c:v>
                </c:pt>
                <c:pt idx="114">
                  <c:v>1140</c:v>
                </c:pt>
                <c:pt idx="115">
                  <c:v>1150</c:v>
                </c:pt>
                <c:pt idx="116">
                  <c:v>1160</c:v>
                </c:pt>
                <c:pt idx="117">
                  <c:v>1170</c:v>
                </c:pt>
                <c:pt idx="118">
                  <c:v>1180</c:v>
                </c:pt>
                <c:pt idx="119">
                  <c:v>1190</c:v>
                </c:pt>
                <c:pt idx="120">
                  <c:v>1200</c:v>
                </c:pt>
                <c:pt idx="121">
                  <c:v>1210</c:v>
                </c:pt>
                <c:pt idx="122">
                  <c:v>1220</c:v>
                </c:pt>
                <c:pt idx="123">
                  <c:v>1230</c:v>
                </c:pt>
                <c:pt idx="124">
                  <c:v>1240</c:v>
                </c:pt>
                <c:pt idx="125">
                  <c:v>1250</c:v>
                </c:pt>
                <c:pt idx="126">
                  <c:v>1260</c:v>
                </c:pt>
                <c:pt idx="127">
                  <c:v>1270</c:v>
                </c:pt>
                <c:pt idx="128">
                  <c:v>1280</c:v>
                </c:pt>
                <c:pt idx="129">
                  <c:v>1290</c:v>
                </c:pt>
                <c:pt idx="130">
                  <c:v>1300</c:v>
                </c:pt>
                <c:pt idx="131">
                  <c:v>1310</c:v>
                </c:pt>
                <c:pt idx="132">
                  <c:v>1320</c:v>
                </c:pt>
                <c:pt idx="133">
                  <c:v>1330</c:v>
                </c:pt>
                <c:pt idx="134">
                  <c:v>1340</c:v>
                </c:pt>
                <c:pt idx="135">
                  <c:v>1350</c:v>
                </c:pt>
                <c:pt idx="136">
                  <c:v>1360</c:v>
                </c:pt>
                <c:pt idx="137">
                  <c:v>1370</c:v>
                </c:pt>
                <c:pt idx="138">
                  <c:v>1380</c:v>
                </c:pt>
                <c:pt idx="139">
                  <c:v>1390</c:v>
                </c:pt>
                <c:pt idx="140">
                  <c:v>1400</c:v>
                </c:pt>
                <c:pt idx="141">
                  <c:v>1410</c:v>
                </c:pt>
                <c:pt idx="142">
                  <c:v>1420</c:v>
                </c:pt>
                <c:pt idx="143">
                  <c:v>1430</c:v>
                </c:pt>
                <c:pt idx="144">
                  <c:v>1440</c:v>
                </c:pt>
                <c:pt idx="145">
                  <c:v>1450</c:v>
                </c:pt>
                <c:pt idx="146">
                  <c:v>1460</c:v>
                </c:pt>
                <c:pt idx="147">
                  <c:v>1470</c:v>
                </c:pt>
                <c:pt idx="148">
                  <c:v>1480</c:v>
                </c:pt>
                <c:pt idx="149">
                  <c:v>1490</c:v>
                </c:pt>
                <c:pt idx="150">
                  <c:v>1500</c:v>
                </c:pt>
                <c:pt idx="151">
                  <c:v>1510</c:v>
                </c:pt>
                <c:pt idx="152">
                  <c:v>1520</c:v>
                </c:pt>
                <c:pt idx="153">
                  <c:v>1530</c:v>
                </c:pt>
                <c:pt idx="154">
                  <c:v>1540</c:v>
                </c:pt>
                <c:pt idx="155">
                  <c:v>1550</c:v>
                </c:pt>
                <c:pt idx="156">
                  <c:v>1560</c:v>
                </c:pt>
                <c:pt idx="157">
                  <c:v>1570</c:v>
                </c:pt>
                <c:pt idx="158">
                  <c:v>1580</c:v>
                </c:pt>
                <c:pt idx="159">
                  <c:v>1590</c:v>
                </c:pt>
                <c:pt idx="160">
                  <c:v>1600</c:v>
                </c:pt>
                <c:pt idx="161">
                  <c:v>1610</c:v>
                </c:pt>
                <c:pt idx="162">
                  <c:v>1620</c:v>
                </c:pt>
                <c:pt idx="163">
                  <c:v>1630</c:v>
                </c:pt>
                <c:pt idx="164">
                  <c:v>1640</c:v>
                </c:pt>
                <c:pt idx="165">
                  <c:v>1650</c:v>
                </c:pt>
                <c:pt idx="166">
                  <c:v>1660</c:v>
                </c:pt>
                <c:pt idx="167">
                  <c:v>1670</c:v>
                </c:pt>
                <c:pt idx="168">
                  <c:v>1680</c:v>
                </c:pt>
                <c:pt idx="169">
                  <c:v>1690</c:v>
                </c:pt>
                <c:pt idx="170">
                  <c:v>1700</c:v>
                </c:pt>
                <c:pt idx="171">
                  <c:v>1710</c:v>
                </c:pt>
                <c:pt idx="172">
                  <c:v>1720</c:v>
                </c:pt>
                <c:pt idx="173">
                  <c:v>1730</c:v>
                </c:pt>
                <c:pt idx="174">
                  <c:v>1740</c:v>
                </c:pt>
                <c:pt idx="175">
                  <c:v>1750</c:v>
                </c:pt>
                <c:pt idx="176">
                  <c:v>1760</c:v>
                </c:pt>
                <c:pt idx="177">
                  <c:v>1770</c:v>
                </c:pt>
                <c:pt idx="178">
                  <c:v>1780</c:v>
                </c:pt>
                <c:pt idx="179">
                  <c:v>1790</c:v>
                </c:pt>
                <c:pt idx="180">
                  <c:v>1800</c:v>
                </c:pt>
                <c:pt idx="181">
                  <c:v>1810</c:v>
                </c:pt>
                <c:pt idx="182">
                  <c:v>1820</c:v>
                </c:pt>
                <c:pt idx="183">
                  <c:v>1830</c:v>
                </c:pt>
                <c:pt idx="184">
                  <c:v>1840</c:v>
                </c:pt>
                <c:pt idx="185">
                  <c:v>1850</c:v>
                </c:pt>
                <c:pt idx="186">
                  <c:v>1860</c:v>
                </c:pt>
                <c:pt idx="187">
                  <c:v>1870</c:v>
                </c:pt>
                <c:pt idx="188">
                  <c:v>1880</c:v>
                </c:pt>
                <c:pt idx="189">
                  <c:v>1890</c:v>
                </c:pt>
                <c:pt idx="190">
                  <c:v>1900</c:v>
                </c:pt>
                <c:pt idx="191">
                  <c:v>1910</c:v>
                </c:pt>
                <c:pt idx="192">
                  <c:v>1920</c:v>
                </c:pt>
                <c:pt idx="193">
                  <c:v>1930</c:v>
                </c:pt>
                <c:pt idx="194">
                  <c:v>1940</c:v>
                </c:pt>
                <c:pt idx="195">
                  <c:v>1950</c:v>
                </c:pt>
                <c:pt idx="196">
                  <c:v>1960</c:v>
                </c:pt>
                <c:pt idx="197">
                  <c:v>1970</c:v>
                </c:pt>
                <c:pt idx="198">
                  <c:v>1980</c:v>
                </c:pt>
                <c:pt idx="199">
                  <c:v>1990</c:v>
                </c:pt>
                <c:pt idx="200">
                  <c:v>2000</c:v>
                </c:pt>
                <c:pt idx="201">
                  <c:v>2010</c:v>
                </c:pt>
                <c:pt idx="202">
                  <c:v>2020</c:v>
                </c:pt>
                <c:pt idx="203">
                  <c:v>2030</c:v>
                </c:pt>
                <c:pt idx="204">
                  <c:v>2040</c:v>
                </c:pt>
                <c:pt idx="205">
                  <c:v>2050</c:v>
                </c:pt>
                <c:pt idx="206">
                  <c:v>2060</c:v>
                </c:pt>
                <c:pt idx="207">
                  <c:v>2070</c:v>
                </c:pt>
                <c:pt idx="208">
                  <c:v>2080</c:v>
                </c:pt>
                <c:pt idx="209">
                  <c:v>2090</c:v>
                </c:pt>
                <c:pt idx="210">
                  <c:v>2100</c:v>
                </c:pt>
                <c:pt idx="211">
                  <c:v>2110</c:v>
                </c:pt>
                <c:pt idx="212">
                  <c:v>2120</c:v>
                </c:pt>
                <c:pt idx="213">
                  <c:v>2130</c:v>
                </c:pt>
                <c:pt idx="214">
                  <c:v>2140</c:v>
                </c:pt>
                <c:pt idx="215">
                  <c:v>2150</c:v>
                </c:pt>
                <c:pt idx="216">
                  <c:v>2160</c:v>
                </c:pt>
                <c:pt idx="217">
                  <c:v>2170</c:v>
                </c:pt>
                <c:pt idx="218">
                  <c:v>2180</c:v>
                </c:pt>
                <c:pt idx="219">
                  <c:v>2190</c:v>
                </c:pt>
                <c:pt idx="220">
                  <c:v>2200</c:v>
                </c:pt>
                <c:pt idx="221">
                  <c:v>2210</c:v>
                </c:pt>
                <c:pt idx="222">
                  <c:v>2220</c:v>
                </c:pt>
                <c:pt idx="223">
                  <c:v>2230</c:v>
                </c:pt>
                <c:pt idx="224">
                  <c:v>2240</c:v>
                </c:pt>
                <c:pt idx="225">
                  <c:v>2250</c:v>
                </c:pt>
                <c:pt idx="226">
                  <c:v>2260</c:v>
                </c:pt>
                <c:pt idx="227">
                  <c:v>2270</c:v>
                </c:pt>
                <c:pt idx="228">
                  <c:v>2280</c:v>
                </c:pt>
                <c:pt idx="229">
                  <c:v>2290</c:v>
                </c:pt>
                <c:pt idx="230">
                  <c:v>2300</c:v>
                </c:pt>
                <c:pt idx="231">
                  <c:v>2310</c:v>
                </c:pt>
                <c:pt idx="232">
                  <c:v>2320</c:v>
                </c:pt>
                <c:pt idx="233">
                  <c:v>2330</c:v>
                </c:pt>
                <c:pt idx="234">
                  <c:v>2340</c:v>
                </c:pt>
                <c:pt idx="235">
                  <c:v>2350</c:v>
                </c:pt>
                <c:pt idx="236">
                  <c:v>2360</c:v>
                </c:pt>
                <c:pt idx="237">
                  <c:v>2370</c:v>
                </c:pt>
                <c:pt idx="238">
                  <c:v>2380</c:v>
                </c:pt>
                <c:pt idx="239">
                  <c:v>2390</c:v>
                </c:pt>
                <c:pt idx="240">
                  <c:v>2400</c:v>
                </c:pt>
                <c:pt idx="241">
                  <c:v>2410</c:v>
                </c:pt>
                <c:pt idx="242">
                  <c:v>2420</c:v>
                </c:pt>
                <c:pt idx="243">
                  <c:v>2430</c:v>
                </c:pt>
                <c:pt idx="244">
                  <c:v>2440</c:v>
                </c:pt>
                <c:pt idx="245">
                  <c:v>2450</c:v>
                </c:pt>
                <c:pt idx="246">
                  <c:v>2460</c:v>
                </c:pt>
                <c:pt idx="247">
                  <c:v>2470</c:v>
                </c:pt>
                <c:pt idx="248">
                  <c:v>2480</c:v>
                </c:pt>
                <c:pt idx="249">
                  <c:v>2490</c:v>
                </c:pt>
                <c:pt idx="250">
                  <c:v>2500</c:v>
                </c:pt>
              </c:numCache>
            </c:numRef>
          </c:xVal>
          <c:yVal>
            <c:numRef>
              <c:f>Reliability_HyPower_Analysis!$AA$2:$AA$252</c:f>
              <c:numCache>
                <c:formatCode>0.000</c:formatCode>
                <c:ptCount val="251"/>
                <c:pt idx="0">
                  <c:v>0.9391378765688122</c:v>
                </c:pt>
                <c:pt idx="1">
                  <c:v>0.64623891732895622</c:v>
                </c:pt>
                <c:pt idx="2">
                  <c:v>0.57571083292078706</c:v>
                </c:pt>
                <c:pt idx="3">
                  <c:v>0.53388770871112912</c:v>
                </c:pt>
                <c:pt idx="4">
                  <c:v>0.50376174323603429</c:v>
                </c:pt>
                <c:pt idx="5">
                  <c:v>0.48013220233987597</c:v>
                </c:pt>
                <c:pt idx="6">
                  <c:v>0.46067110245014981</c:v>
                </c:pt>
                <c:pt idx="7">
                  <c:v>0.44412399746756076</c:v>
                </c:pt>
                <c:pt idx="8">
                  <c:v>0.42973390024531305</c:v>
                </c:pt>
                <c:pt idx="9">
                  <c:v>0.41700740309695461</c:v>
                </c:pt>
                <c:pt idx="10">
                  <c:v>0.40560432456929846</c:v>
                </c:pt>
                <c:pt idx="11">
                  <c:v>0.39527986018024247</c:v>
                </c:pt>
                <c:pt idx="12">
                  <c:v>0.3858517837026742</c:v>
                </c:pt>
                <c:pt idx="13">
                  <c:v>0.37718068398077348</c:v>
                </c:pt>
                <c:pt idx="14">
                  <c:v>0.36915746132117644</c:v>
                </c:pt>
                <c:pt idx="15">
                  <c:v>0.36169509397788147</c:v>
                </c:pt>
                <c:pt idx="16">
                  <c:v>0.35472303210568046</c:v>
                </c:pt>
                <c:pt idx="17">
                  <c:v>0.34818327079543454</c:v>
                </c:pt>
                <c:pt idx="18">
                  <c:v>0.34202753129489377</c:v>
                </c:pt>
                <c:pt idx="19">
                  <c:v>0.33621519426837632</c:v>
                </c:pt>
                <c:pt idx="20">
                  <c:v>0.33071175594660324</c:v>
                </c:pt>
                <c:pt idx="21">
                  <c:v>0.32548765569207144</c:v>
                </c:pt>
                <c:pt idx="22">
                  <c:v>0.32051737243463146</c:v>
                </c:pt>
                <c:pt idx="23">
                  <c:v>0.31577871906876459</c:v>
                </c:pt>
                <c:pt idx="24">
                  <c:v>0.31125228484098799</c:v>
                </c:pt>
                <c:pt idx="25">
                  <c:v>0.30692098990363109</c:v>
                </c:pt>
                <c:pt idx="26">
                  <c:v>0.3027697259529325</c:v>
                </c:pt>
                <c:pt idx="27">
                  <c:v>0.29878506369266333</c:v>
                </c:pt>
                <c:pt idx="28">
                  <c:v>0.29495501271848112</c:v>
                </c:pt>
                <c:pt idx="29">
                  <c:v>0.29126882292080092</c:v>
                </c:pt>
                <c:pt idx="30">
                  <c:v>0.28771681906463858</c:v>
                </c:pt>
                <c:pt idx="31">
                  <c:v>0.28429026209963748</c:v>
                </c:pt>
                <c:pt idx="32">
                  <c:v>0.28098123217122511</c:v>
                </c:pt>
                <c:pt idx="33">
                  <c:v>0.27778252937568637</c:v>
                </c:pt>
                <c:pt idx="34">
                  <c:v>0.27468758912010705</c:v>
                </c:pt>
                <c:pt idx="35">
                  <c:v>0.27169040957831053</c:v>
                </c:pt>
                <c:pt idx="36">
                  <c:v>0.26878548922336326</c:v>
                </c:pt>
                <c:pt idx="37">
                  <c:v>0.26596777280038969</c:v>
                </c:pt>
                <c:pt idx="38">
                  <c:v>0.26323260440562041</c:v>
                </c:pt>
                <c:pt idx="39">
                  <c:v>0.2605756865775698</c:v>
                </c:pt>
                <c:pt idx="40">
                  <c:v>0.25799304449806526</c:v>
                </c:pt>
                <c:pt idx="41">
                  <c:v>0.25548099455514478</c:v>
                </c:pt>
                <c:pt idx="42">
                  <c:v>0.25303611664466175</c:v>
                </c:pt>
                <c:pt idx="43">
                  <c:v>0.25065522968899018</c:v>
                </c:pt>
                <c:pt idx="44">
                  <c:v>0.2483353699342758</c:v>
                </c:pt>
                <c:pt idx="45">
                  <c:v>0.2460737716559358</c:v>
                </c:pt>
                <c:pt idx="46">
                  <c:v>0.24386784995848582</c:v>
                </c:pt>
                <c:pt idx="47">
                  <c:v>0.241715185402536</c:v>
                </c:pt>
                <c:pt idx="48">
                  <c:v>0.23961351023076108</c:v>
                </c:pt>
                <c:pt idx="49">
                  <c:v>0.237560695997244</c:v>
                </c:pt>
                <c:pt idx="50">
                  <c:v>0.23555474243197186</c:v>
                </c:pt>
                <c:pt idx="51">
                  <c:v>0.23359376739534141</c:v>
                </c:pt>
                <c:pt idx="52">
                  <c:v>0.23167599779706111</c:v>
                </c:pt>
                <c:pt idx="53">
                  <c:v>0.22979976137041519</c:v>
                </c:pt>
                <c:pt idx="54">
                  <c:v>0.22796347920698171</c:v>
                </c:pt>
                <c:pt idx="55">
                  <c:v>0.22616565896896224</c:v>
                </c:pt>
                <c:pt idx="56">
                  <c:v>0.22440488870663014</c:v>
                </c:pt>
                <c:pt idx="57">
                  <c:v>0.22267983121729551</c:v>
                </c:pt>
                <c:pt idx="58">
                  <c:v>0.2209892188898544</c:v>
                </c:pt>
                <c:pt idx="59">
                  <c:v>0.21933184898561792</c:v>
                </c:pt>
                <c:pt idx="60">
                  <c:v>0.2177065793118616</c:v>
                </c:pt>
                <c:pt idx="61">
                  <c:v>0.21611232424952906</c:v>
                </c:pt>
                <c:pt idx="62">
                  <c:v>0.21454805110087105</c:v>
                </c:pt>
                <c:pt idx="63">
                  <c:v>0.21301277672659932</c:v>
                </c:pt>
                <c:pt idx="64">
                  <c:v>0.21150556444545635</c:v>
                </c:pt>
                <c:pt idx="65">
                  <c:v>0.21002552117201681</c:v>
                </c:pt>
                <c:pt idx="66">
                  <c:v>0.20857179477109797</c:v>
                </c:pt>
                <c:pt idx="67">
                  <c:v>0.20714357160941116</c:v>
                </c:pt>
                <c:pt idx="68">
                  <c:v>0.20574007428707844</c:v>
                </c:pt>
                <c:pt idx="69">
                  <c:v>0.20436055953339785</c:v>
                </c:pt>
                <c:pt idx="70">
                  <c:v>0.20300431625279988</c:v>
                </c:pt>
                <c:pt idx="71">
                  <c:v>0.20167066370832248</c:v>
                </c:pt>
                <c:pt idx="72">
                  <c:v>0.20035894983116051</c:v>
                </c:pt>
                <c:pt idx="73">
                  <c:v>0.19906854964594339</c:v>
                </c:pt>
                <c:pt idx="74">
                  <c:v>0.19779886380236938</c:v>
                </c:pt>
                <c:pt idx="75">
                  <c:v>0.19654931720470087</c:v>
                </c:pt>
                <c:pt idx="76">
                  <c:v>0.19531935773140366</c:v>
                </c:pt>
                <c:pt idx="77">
                  <c:v>0.19410845503791582</c:v>
                </c:pt>
                <c:pt idx="78">
                  <c:v>0.1929160994361597</c:v>
                </c:pt>
                <c:pt idx="79">
                  <c:v>0.19174180084497455</c:v>
                </c:pt>
                <c:pt idx="80">
                  <c:v>0.19058508780615749</c:v>
                </c:pt>
                <c:pt idx="81">
                  <c:v>0.18944550656125814</c:v>
                </c:pt>
                <c:pt idx="82">
                  <c:v>0.18832262018468571</c:v>
                </c:pt>
                <c:pt idx="83">
                  <c:v>0.18721600776906303</c:v>
                </c:pt>
                <c:pt idx="84">
                  <c:v>0.18612526365909732</c:v>
                </c:pt>
                <c:pt idx="85">
                  <c:v>0.18504999673054776</c:v>
                </c:pt>
                <c:pt idx="86">
                  <c:v>0.18398982971114503</c:v>
                </c:pt>
                <c:pt idx="87">
                  <c:v>0.18294439854057237</c:v>
                </c:pt>
                <c:pt idx="88">
                  <c:v>0.18191335176684661</c:v>
                </c:pt>
                <c:pt idx="89">
                  <c:v>0.18089634997664689</c:v>
                </c:pt>
                <c:pt idx="90">
                  <c:v>0.17989306525732912</c:v>
                </c:pt>
                <c:pt idx="91">
                  <c:v>0.17890318068853855</c:v>
                </c:pt>
                <c:pt idx="92">
                  <c:v>0.17792638986149012</c:v>
                </c:pt>
                <c:pt idx="93">
                  <c:v>0.17696239642413367</c:v>
                </c:pt>
                <c:pt idx="94">
                  <c:v>0.17601091365055091</c:v>
                </c:pt>
                <c:pt idx="95">
                  <c:v>0.17507166403305541</c:v>
                </c:pt>
                <c:pt idx="96">
                  <c:v>0.17414437889557569</c:v>
                </c:pt>
                <c:pt idx="97">
                  <c:v>0.17322879802700661</c:v>
                </c:pt>
                <c:pt idx="98">
                  <c:v>0.17232466933330523</c:v>
                </c:pt>
                <c:pt idx="99">
                  <c:v>0.17143174850719614</c:v>
                </c:pt>
                <c:pt idx="100">
                  <c:v>0.17054979871442852</c:v>
                </c:pt>
                <c:pt idx="101">
                  <c:v>0.16967859029560323</c:v>
                </c:pt>
                <c:pt idx="102">
                  <c:v>0.16881790048265163</c:v>
                </c:pt>
                <c:pt idx="103">
                  <c:v>0.16796751312911495</c:v>
                </c:pt>
                <c:pt idx="104">
                  <c:v>0.16712721845342504</c:v>
                </c:pt>
                <c:pt idx="105">
                  <c:v>0.16629681279444572</c:v>
                </c:pt>
                <c:pt idx="106">
                  <c:v>0.16547609837857866</c:v>
                </c:pt>
                <c:pt idx="107">
                  <c:v>0.16466488309778599</c:v>
                </c:pt>
                <c:pt idx="108">
                  <c:v>0.16386298029792201</c:v>
                </c:pt>
                <c:pt idx="109">
                  <c:v>0.16307020857680685</c:v>
                </c:pt>
                <c:pt idx="110">
                  <c:v>0.16228639159150954</c:v>
                </c:pt>
                <c:pt idx="111">
                  <c:v>0.16151135787434309</c:v>
                </c:pt>
                <c:pt idx="112">
                  <c:v>0.16074494065710354</c:v>
                </c:pt>
                <c:pt idx="113">
                  <c:v>0.1599869777031159</c:v>
                </c:pt>
                <c:pt idx="114">
                  <c:v>0.15923731114667383</c:v>
                </c:pt>
                <c:pt idx="115">
                  <c:v>0.15849578733948966</c:v>
                </c:pt>
                <c:pt idx="116">
                  <c:v>0.15776225670378852</c:v>
                </c:pt>
                <c:pt idx="117">
                  <c:v>0.15703657359170792</c:v>
                </c:pt>
                <c:pt idx="118">
                  <c:v>0.15631859615068058</c:v>
                </c:pt>
                <c:pt idx="119">
                  <c:v>0.15560818619449812</c:v>
                </c:pt>
                <c:pt idx="120">
                  <c:v>0.1549052090797724</c:v>
                </c:pt>
                <c:pt idx="121">
                  <c:v>0.15420953358752457</c:v>
                </c:pt>
                <c:pt idx="122">
                  <c:v>0.15352103180965146</c:v>
                </c:pt>
                <c:pt idx="123">
                  <c:v>0.15283957904002876</c:v>
                </c:pt>
                <c:pt idx="124">
                  <c:v>0.15216505367002756</c:v>
                </c:pt>
                <c:pt idx="125">
                  <c:v>0.1514973370882321</c:v>
                </c:pt>
                <c:pt idx="126">
                  <c:v>0.15083631358415714</c:v>
                </c:pt>
                <c:pt idx="127">
                  <c:v>0.15018187025577678</c:v>
                </c:pt>
                <c:pt idx="128">
                  <c:v>0.14953389692068506</c:v>
                </c:pt>
                <c:pt idx="129">
                  <c:v>0.14889228603071908</c:v>
                </c:pt>
                <c:pt idx="130">
                  <c:v>0.14825693258988484</c:v>
                </c:pt>
                <c:pt idx="131">
                  <c:v>0.14762773407543356</c:v>
                </c:pt>
                <c:pt idx="132">
                  <c:v>0.14700459036194546</c:v>
                </c:pt>
                <c:pt idx="133">
                  <c:v>0.14638740364828501</c:v>
                </c:pt>
                <c:pt idx="134">
                  <c:v>0.14577607838729773</c:v>
                </c:pt>
                <c:pt idx="135">
                  <c:v>0.14517052121812821</c:v>
                </c:pt>
                <c:pt idx="136">
                  <c:v>0.14457064090104133</c:v>
                </c:pt>
                <c:pt idx="137">
                  <c:v>0.14397634825463843</c:v>
                </c:pt>
                <c:pt idx="138">
                  <c:v>0.14338755609536283</c:v>
                </c:pt>
                <c:pt idx="139">
                  <c:v>0.14280417917919649</c:v>
                </c:pt>
                <c:pt idx="140">
                  <c:v>0.14222613414545254</c:v>
                </c:pt>
                <c:pt idx="141">
                  <c:v>0.14165333946257549</c:v>
                </c:pt>
                <c:pt idx="142">
                  <c:v>0.14108571537586295</c:v>
                </c:pt>
                <c:pt idx="143">
                  <c:v>0.14052318385702856</c:v>
                </c:pt>
                <c:pt idx="144">
                  <c:v>0.13996566855552869</c:v>
                </c:pt>
                <c:pt idx="145">
                  <c:v>0.13941309475158037</c:v>
                </c:pt>
                <c:pt idx="146">
                  <c:v>0.13886538931080003</c:v>
                </c:pt>
                <c:pt idx="147">
                  <c:v>0.13832248064039673</c:v>
                </c:pt>
                <c:pt idx="148">
                  <c:v>0.13778429864685729</c:v>
                </c:pt>
                <c:pt idx="149">
                  <c:v>0.13725077469506189</c:v>
                </c:pt>
                <c:pt idx="150">
                  <c:v>0.13672184156877396</c:v>
                </c:pt>
                <c:pt idx="151">
                  <c:v>0.13619743343244833</c:v>
                </c:pt>
                <c:pt idx="152">
                  <c:v>0.13567748579430647</c:v>
                </c:pt>
                <c:pt idx="153">
                  <c:v>0.13516193547062794</c:v>
                </c:pt>
                <c:pt idx="154">
                  <c:v>0.13465072055121141</c:v>
                </c:pt>
                <c:pt idx="155">
                  <c:v>0.134143780365959</c:v>
                </c:pt>
                <c:pt idx="156">
                  <c:v>0.13364105545254093</c:v>
                </c:pt>
                <c:pt idx="157">
                  <c:v>0.13314248752509911</c:v>
                </c:pt>
                <c:pt idx="158">
                  <c:v>0.13264801944394955</c:v>
                </c:pt>
                <c:pt idx="159">
                  <c:v>0.13215759518624662</c:v>
                </c:pt>
                <c:pt idx="160">
                  <c:v>0.13167115981757144</c:v>
                </c:pt>
                <c:pt idx="161">
                  <c:v>0.13118865946441177</c:v>
                </c:pt>
                <c:pt idx="162">
                  <c:v>0.13071004128749836</c:v>
                </c:pt>
                <c:pt idx="163">
                  <c:v>0.13023525345596737</c:v>
                </c:pt>
                <c:pt idx="164">
                  <c:v>0.12976424512231755</c:v>
                </c:pt>
                <c:pt idx="165">
                  <c:v>0.12929696639813398</c:v>
                </c:pt>
                <c:pt idx="166">
                  <c:v>0.12883336833055012</c:v>
                </c:pt>
                <c:pt idx="167">
                  <c:v>0.12837340287942101</c:v>
                </c:pt>
                <c:pt idx="168">
                  <c:v>0.12791702289518331</c:v>
                </c:pt>
                <c:pt idx="169">
                  <c:v>0.12746418209737631</c:v>
                </c:pt>
                <c:pt idx="170">
                  <c:v>0.12701483505380143</c:v>
                </c:pt>
                <c:pt idx="171">
                  <c:v>0.12656893716029727</c:v>
                </c:pt>
                <c:pt idx="172">
                  <c:v>0.1261264446211087</c:v>
                </c:pt>
                <c:pt idx="173">
                  <c:v>0.12568731442982903</c:v>
                </c:pt>
                <c:pt idx="174">
                  <c:v>0.12525150435089591</c:v>
                </c:pt>
                <c:pt idx="175">
                  <c:v>0.12481897290162172</c:v>
                </c:pt>
                <c:pt idx="176">
                  <c:v>0.12438967933473921</c:v>
                </c:pt>
                <c:pt idx="177">
                  <c:v>0.12396358362144615</c:v>
                </c:pt>
                <c:pt idx="178">
                  <c:v>0.1235406464349319</c:v>
                </c:pt>
                <c:pt idx="179">
                  <c:v>0.12312082913436806</c:v>
                </c:pt>
                <c:pt idx="180">
                  <c:v>0.12270409374934978</c:v>
                </c:pt>
                <c:pt idx="181">
                  <c:v>0.12229040296477155</c:v>
                </c:pt>
                <c:pt idx="182">
                  <c:v>0.12187972010612297</c:v>
                </c:pt>
                <c:pt idx="183">
                  <c:v>0.12147200912519088</c:v>
                </c:pt>
                <c:pt idx="184">
                  <c:v>0.12106723458615515</c:v>
                </c:pt>
                <c:pt idx="185">
                  <c:v>0.12066536165206382</c:v>
                </c:pt>
                <c:pt idx="186">
                  <c:v>0.12026635607167661</c:v>
                </c:pt>
                <c:pt idx="187">
                  <c:v>0.1198701841666646</c:v>
                </c:pt>
                <c:pt idx="188">
                  <c:v>0.11947681281915355</c:v>
                </c:pt>
                <c:pt idx="189">
                  <c:v>0.11908620945960209</c:v>
                </c:pt>
                <c:pt idx="190">
                  <c:v>0.11869834205500157</c:v>
                </c:pt>
                <c:pt idx="191">
                  <c:v>0.11831317909738941</c:v>
                </c:pt>
                <c:pt idx="192">
                  <c:v>0.11793068959266492</c:v>
                </c:pt>
                <c:pt idx="193">
                  <c:v>0.11755084304969876</c:v>
                </c:pt>
                <c:pt idx="194">
                  <c:v>0.11717360946972653</c:v>
                </c:pt>
                <c:pt idx="195">
                  <c:v>0.1167989593360175</c:v>
                </c:pt>
                <c:pt idx="196">
                  <c:v>0.11642686360381099</c:v>
                </c:pt>
                <c:pt idx="197">
                  <c:v>0.11605729369051065</c:v>
                </c:pt>
                <c:pt idx="198">
                  <c:v>0.11569022146613042</c:v>
                </c:pt>
                <c:pt idx="199">
                  <c:v>0.11532561924398284</c:v>
                </c:pt>
                <c:pt idx="200">
                  <c:v>0.11496345977160394</c:v>
                </c:pt>
                <c:pt idx="201">
                  <c:v>0.11460371622190678</c:v>
                </c:pt>
                <c:pt idx="202">
                  <c:v>0.1142463621845565</c:v>
                </c:pt>
                <c:pt idx="203">
                  <c:v>0.11389137165756105</c:v>
                </c:pt>
                <c:pt idx="204">
                  <c:v>0.11353871903907077</c:v>
                </c:pt>
                <c:pt idx="205">
                  <c:v>0.11318837911938093</c:v>
                </c:pt>
                <c:pt idx="206">
                  <c:v>0.11284032707313064</c:v>
                </c:pt>
                <c:pt idx="207">
                  <c:v>0.11249453845169316</c:v>
                </c:pt>
                <c:pt idx="208">
                  <c:v>0.11215098917575156</c:v>
                </c:pt>
                <c:pt idx="209">
                  <c:v>0.11180965552805465</c:v>
                </c:pt>
                <c:pt idx="210">
                  <c:v>0.1114705141463479</c:v>
                </c:pt>
                <c:pt idx="211">
                  <c:v>0.11113354201647381</c:v>
                </c:pt>
                <c:pt idx="212">
                  <c:v>0.11079871646563806</c:v>
                </c:pt>
                <c:pt idx="213">
                  <c:v>0.1104660151558355</c:v>
                </c:pt>
                <c:pt idx="214">
                  <c:v>0.11013541607743213</c:v>
                </c:pt>
                <c:pt idx="215">
                  <c:v>0.10980689754289873</c:v>
                </c:pt>
                <c:pt idx="216">
                  <c:v>0.10948043818069167</c:v>
                </c:pt>
                <c:pt idx="217">
                  <c:v>0.10915601692927632</c:v>
                </c:pt>
                <c:pt idx="218">
                  <c:v>0.10883361303129033</c:v>
                </c:pt>
                <c:pt idx="219">
                  <c:v>0.10851320602784184</c:v>
                </c:pt>
                <c:pt idx="220">
                  <c:v>0.10819477575293908</c:v>
                </c:pt>
                <c:pt idx="221">
                  <c:v>0.10787830232804835</c:v>
                </c:pt>
                <c:pt idx="222">
                  <c:v>0.10756376615677601</c:v>
                </c:pt>
                <c:pt idx="223">
                  <c:v>0.10725114791967211</c:v>
                </c:pt>
                <c:pt idx="224">
                  <c:v>0.10694042856915116</c:v>
                </c:pt>
                <c:pt idx="225">
                  <c:v>0.10663158932452813</c:v>
                </c:pt>
                <c:pt idx="226">
                  <c:v>0.10632461166716572</c:v>
                </c:pt>
                <c:pt idx="227">
                  <c:v>0.10601947733573021</c:v>
                </c:pt>
                <c:pt idx="228">
                  <c:v>0.10571616832155313</c:v>
                </c:pt>
                <c:pt idx="229">
                  <c:v>0.10541466686409585</c:v>
                </c:pt>
                <c:pt idx="230">
                  <c:v>0.10511495544651446</c:v>
                </c:pt>
                <c:pt idx="231">
                  <c:v>0.10481701679132154</c:v>
                </c:pt>
                <c:pt idx="232">
                  <c:v>0.10452083385614405</c:v>
                </c:pt>
                <c:pt idx="233">
                  <c:v>0.10422638982957302</c:v>
                </c:pt>
                <c:pt idx="234">
                  <c:v>0.10393366812710343</c:v>
                </c:pt>
                <c:pt idx="235">
                  <c:v>0.10364265238716212</c:v>
                </c:pt>
                <c:pt idx="236">
                  <c:v>0.10335332646722137</c:v>
                </c:pt>
                <c:pt idx="237">
                  <c:v>0.10306567443999551</c:v>
                </c:pt>
                <c:pt idx="238">
                  <c:v>0.10277968058971904</c:v>
                </c:pt>
                <c:pt idx="239">
                  <c:v>0.10249532940850391</c:v>
                </c:pt>
                <c:pt idx="240">
                  <c:v>0.10221260559277384</c:v>
                </c:pt>
                <c:pt idx="241">
                  <c:v>0.10193149403977418</c:v>
                </c:pt>
                <c:pt idx="242">
                  <c:v>0.10165197984415489</c:v>
                </c:pt>
                <c:pt idx="243">
                  <c:v>0.10137404829462512</c:v>
                </c:pt>
                <c:pt idx="244">
                  <c:v>0.10109768487067752</c:v>
                </c:pt>
                <c:pt idx="245">
                  <c:v>0.1008228752393808</c:v>
                </c:pt>
                <c:pt idx="246">
                  <c:v>0.10054960525223815</c:v>
                </c:pt>
                <c:pt idx="247">
                  <c:v>0.10027786094211114</c:v>
                </c:pt>
                <c:pt idx="248">
                  <c:v>0.10000762852020581</c:v>
                </c:pt>
                <c:pt idx="249">
                  <c:v>9.9738894373121292E-2</c:v>
                </c:pt>
                <c:pt idx="250">
                  <c:v>9.9471645059957856E-2</c:v>
                </c:pt>
              </c:numCache>
            </c:numRef>
          </c:yVal>
          <c:smooth val="0"/>
          <c:extLst>
            <c:ext xmlns:c16="http://schemas.microsoft.com/office/drawing/2014/chart" uri="{C3380CC4-5D6E-409C-BE32-E72D297353CC}">
              <c16:uniqueId val="{00000000-13BA-472C-93B3-E99FFF5DE32B}"/>
            </c:ext>
          </c:extLst>
        </c:ser>
        <c:dLbls>
          <c:showLegendKey val="0"/>
          <c:showVal val="0"/>
          <c:showCatName val="0"/>
          <c:showSerName val="0"/>
          <c:showPercent val="0"/>
          <c:showBubbleSize val="0"/>
        </c:dLbls>
        <c:axId val="1595666911"/>
        <c:axId val="1595661087"/>
      </c:scatterChart>
      <c:valAx>
        <c:axId val="1595666911"/>
        <c:scaling>
          <c:orientation val="minMax"/>
          <c:max val="250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r>
                  <a:rPr lang="en-GB"/>
                  <a:t>Time [min]</a:t>
                </a:r>
                <a:endParaRPr lang="sr-Latn-RS"/>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itle>
        <c:numFmt formatCode="0"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595661087"/>
        <c:crosses val="autoZero"/>
        <c:crossBetween val="midCat"/>
      </c:valAx>
      <c:valAx>
        <c:axId val="1595661087"/>
        <c:scaling>
          <c:orientation val="minMax"/>
          <c:max val="1"/>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r>
                  <a:rPr lang="en-GB"/>
                  <a:t>R</a:t>
                </a:r>
                <a:r>
                  <a:rPr lang="en-GB" baseline="-25000"/>
                  <a:t>weibull-3P</a:t>
                </a:r>
                <a:r>
                  <a:rPr lang="en-GB"/>
                  <a:t> (t)</a:t>
                </a:r>
                <a:endParaRPr lang="sr-Latn-RS"/>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itle>
        <c:numFmt formatCode="0.000"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595666911"/>
        <c:crosses val="autoZero"/>
        <c:crossBetween val="midCat"/>
      </c:valAx>
      <c:spPr>
        <a:noFill/>
        <a:ln w="3175">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Garamond" panose="02020404030301010803" pitchFamily="18" charset="0"/>
        </a:defRPr>
      </a:pPr>
      <a:endParaRPr lang="sr-Latn-RS"/>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Reliability_HyPower_Analysis!$AF$1</c:f>
              <c:strCache>
                <c:ptCount val="1"/>
                <c:pt idx="0">
                  <c:v>Rgama(t)</c:v>
                </c:pt>
              </c:strCache>
            </c:strRef>
          </c:tx>
          <c:spPr>
            <a:ln w="25400" cap="rnd">
              <a:noFill/>
              <a:round/>
            </a:ln>
            <a:effectLst/>
          </c:spPr>
          <c:marker>
            <c:symbol val="diamond"/>
            <c:size val="5"/>
            <c:spPr>
              <a:noFill/>
              <a:ln w="3175">
                <a:solidFill>
                  <a:srgbClr val="0000FF"/>
                </a:solidFill>
              </a:ln>
              <a:effectLst/>
            </c:spPr>
          </c:marker>
          <c:xVal>
            <c:numRef>
              <c:f>Reliability_HyPower_Analysis!$AB$2:$AB$252</c:f>
              <c:numCache>
                <c:formatCode>0</c:formatCode>
                <c:ptCount val="251"/>
                <c:pt idx="0">
                  <c:v>0.01</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210</c:v>
                </c:pt>
                <c:pt idx="22">
                  <c:v>220</c:v>
                </c:pt>
                <c:pt idx="23">
                  <c:v>230</c:v>
                </c:pt>
                <c:pt idx="24">
                  <c:v>240</c:v>
                </c:pt>
                <c:pt idx="25">
                  <c:v>250</c:v>
                </c:pt>
                <c:pt idx="26">
                  <c:v>260</c:v>
                </c:pt>
                <c:pt idx="27">
                  <c:v>270</c:v>
                </c:pt>
                <c:pt idx="28">
                  <c:v>280</c:v>
                </c:pt>
                <c:pt idx="29">
                  <c:v>290</c:v>
                </c:pt>
                <c:pt idx="30">
                  <c:v>300</c:v>
                </c:pt>
                <c:pt idx="31">
                  <c:v>310</c:v>
                </c:pt>
                <c:pt idx="32">
                  <c:v>320</c:v>
                </c:pt>
                <c:pt idx="33">
                  <c:v>330</c:v>
                </c:pt>
                <c:pt idx="34">
                  <c:v>340</c:v>
                </c:pt>
                <c:pt idx="35">
                  <c:v>350</c:v>
                </c:pt>
                <c:pt idx="36">
                  <c:v>360</c:v>
                </c:pt>
                <c:pt idx="37">
                  <c:v>370</c:v>
                </c:pt>
                <c:pt idx="38">
                  <c:v>380</c:v>
                </c:pt>
                <c:pt idx="39">
                  <c:v>390</c:v>
                </c:pt>
                <c:pt idx="40">
                  <c:v>400</c:v>
                </c:pt>
                <c:pt idx="41">
                  <c:v>410</c:v>
                </c:pt>
                <c:pt idx="42">
                  <c:v>420</c:v>
                </c:pt>
                <c:pt idx="43">
                  <c:v>430</c:v>
                </c:pt>
                <c:pt idx="44">
                  <c:v>440</c:v>
                </c:pt>
                <c:pt idx="45">
                  <c:v>450</c:v>
                </c:pt>
                <c:pt idx="46">
                  <c:v>460</c:v>
                </c:pt>
                <c:pt idx="47">
                  <c:v>470</c:v>
                </c:pt>
                <c:pt idx="48">
                  <c:v>480</c:v>
                </c:pt>
                <c:pt idx="49">
                  <c:v>490</c:v>
                </c:pt>
                <c:pt idx="50">
                  <c:v>500</c:v>
                </c:pt>
                <c:pt idx="51">
                  <c:v>510</c:v>
                </c:pt>
                <c:pt idx="52">
                  <c:v>520</c:v>
                </c:pt>
                <c:pt idx="53">
                  <c:v>530</c:v>
                </c:pt>
                <c:pt idx="54">
                  <c:v>540</c:v>
                </c:pt>
                <c:pt idx="55">
                  <c:v>550</c:v>
                </c:pt>
                <c:pt idx="56">
                  <c:v>560</c:v>
                </c:pt>
                <c:pt idx="57">
                  <c:v>570</c:v>
                </c:pt>
                <c:pt idx="58">
                  <c:v>580</c:v>
                </c:pt>
                <c:pt idx="59">
                  <c:v>590</c:v>
                </c:pt>
                <c:pt idx="60">
                  <c:v>600</c:v>
                </c:pt>
                <c:pt idx="61">
                  <c:v>610</c:v>
                </c:pt>
                <c:pt idx="62">
                  <c:v>620</c:v>
                </c:pt>
                <c:pt idx="63">
                  <c:v>630</c:v>
                </c:pt>
                <c:pt idx="64">
                  <c:v>640</c:v>
                </c:pt>
                <c:pt idx="65">
                  <c:v>650</c:v>
                </c:pt>
                <c:pt idx="66">
                  <c:v>660</c:v>
                </c:pt>
                <c:pt idx="67">
                  <c:v>670</c:v>
                </c:pt>
                <c:pt idx="68">
                  <c:v>680</c:v>
                </c:pt>
                <c:pt idx="69">
                  <c:v>690</c:v>
                </c:pt>
                <c:pt idx="70">
                  <c:v>700</c:v>
                </c:pt>
                <c:pt idx="71">
                  <c:v>710</c:v>
                </c:pt>
                <c:pt idx="72">
                  <c:v>720</c:v>
                </c:pt>
                <c:pt idx="73">
                  <c:v>730</c:v>
                </c:pt>
                <c:pt idx="74">
                  <c:v>740</c:v>
                </c:pt>
                <c:pt idx="75">
                  <c:v>750</c:v>
                </c:pt>
                <c:pt idx="76">
                  <c:v>760</c:v>
                </c:pt>
                <c:pt idx="77">
                  <c:v>770</c:v>
                </c:pt>
                <c:pt idx="78">
                  <c:v>780</c:v>
                </c:pt>
                <c:pt idx="79">
                  <c:v>790</c:v>
                </c:pt>
                <c:pt idx="80">
                  <c:v>800</c:v>
                </c:pt>
                <c:pt idx="81">
                  <c:v>810</c:v>
                </c:pt>
                <c:pt idx="82">
                  <c:v>820</c:v>
                </c:pt>
                <c:pt idx="83">
                  <c:v>830</c:v>
                </c:pt>
                <c:pt idx="84">
                  <c:v>840</c:v>
                </c:pt>
                <c:pt idx="85">
                  <c:v>850</c:v>
                </c:pt>
                <c:pt idx="86">
                  <c:v>860</c:v>
                </c:pt>
                <c:pt idx="87">
                  <c:v>870</c:v>
                </c:pt>
                <c:pt idx="88">
                  <c:v>880</c:v>
                </c:pt>
                <c:pt idx="89">
                  <c:v>890</c:v>
                </c:pt>
                <c:pt idx="90">
                  <c:v>900</c:v>
                </c:pt>
                <c:pt idx="91">
                  <c:v>910</c:v>
                </c:pt>
                <c:pt idx="92">
                  <c:v>920</c:v>
                </c:pt>
                <c:pt idx="93">
                  <c:v>930</c:v>
                </c:pt>
                <c:pt idx="94">
                  <c:v>940</c:v>
                </c:pt>
                <c:pt idx="95">
                  <c:v>950</c:v>
                </c:pt>
                <c:pt idx="96">
                  <c:v>960</c:v>
                </c:pt>
                <c:pt idx="97">
                  <c:v>970</c:v>
                </c:pt>
                <c:pt idx="98">
                  <c:v>980</c:v>
                </c:pt>
                <c:pt idx="99">
                  <c:v>990</c:v>
                </c:pt>
                <c:pt idx="100">
                  <c:v>1000</c:v>
                </c:pt>
                <c:pt idx="101">
                  <c:v>1010</c:v>
                </c:pt>
                <c:pt idx="102">
                  <c:v>1020</c:v>
                </c:pt>
                <c:pt idx="103">
                  <c:v>1030</c:v>
                </c:pt>
                <c:pt idx="104">
                  <c:v>1040</c:v>
                </c:pt>
                <c:pt idx="105">
                  <c:v>1050</c:v>
                </c:pt>
                <c:pt idx="106">
                  <c:v>1060</c:v>
                </c:pt>
                <c:pt idx="107">
                  <c:v>1070</c:v>
                </c:pt>
                <c:pt idx="108">
                  <c:v>1080</c:v>
                </c:pt>
                <c:pt idx="109">
                  <c:v>1090</c:v>
                </c:pt>
                <c:pt idx="110">
                  <c:v>1100</c:v>
                </c:pt>
                <c:pt idx="111">
                  <c:v>1110</c:v>
                </c:pt>
                <c:pt idx="112">
                  <c:v>1120</c:v>
                </c:pt>
                <c:pt idx="113">
                  <c:v>1130</c:v>
                </c:pt>
                <c:pt idx="114">
                  <c:v>1140</c:v>
                </c:pt>
                <c:pt idx="115">
                  <c:v>1150</c:v>
                </c:pt>
                <c:pt idx="116">
                  <c:v>1160</c:v>
                </c:pt>
                <c:pt idx="117">
                  <c:v>1170</c:v>
                </c:pt>
                <c:pt idx="118">
                  <c:v>1180</c:v>
                </c:pt>
                <c:pt idx="119">
                  <c:v>1190</c:v>
                </c:pt>
                <c:pt idx="120">
                  <c:v>1200</c:v>
                </c:pt>
                <c:pt idx="121">
                  <c:v>1210</c:v>
                </c:pt>
                <c:pt idx="122">
                  <c:v>1220</c:v>
                </c:pt>
                <c:pt idx="123">
                  <c:v>1230</c:v>
                </c:pt>
                <c:pt idx="124">
                  <c:v>1240</c:v>
                </c:pt>
                <c:pt idx="125">
                  <c:v>1250</c:v>
                </c:pt>
                <c:pt idx="126">
                  <c:v>1260</c:v>
                </c:pt>
                <c:pt idx="127">
                  <c:v>1270</c:v>
                </c:pt>
                <c:pt idx="128">
                  <c:v>1280</c:v>
                </c:pt>
                <c:pt idx="129">
                  <c:v>1290</c:v>
                </c:pt>
                <c:pt idx="130">
                  <c:v>1300</c:v>
                </c:pt>
                <c:pt idx="131">
                  <c:v>1310</c:v>
                </c:pt>
                <c:pt idx="132">
                  <c:v>1320</c:v>
                </c:pt>
                <c:pt idx="133">
                  <c:v>1330</c:v>
                </c:pt>
                <c:pt idx="134">
                  <c:v>1340</c:v>
                </c:pt>
                <c:pt idx="135">
                  <c:v>1350</c:v>
                </c:pt>
                <c:pt idx="136">
                  <c:v>1360</c:v>
                </c:pt>
                <c:pt idx="137">
                  <c:v>1370</c:v>
                </c:pt>
                <c:pt idx="138">
                  <c:v>1380</c:v>
                </c:pt>
                <c:pt idx="139">
                  <c:v>1390</c:v>
                </c:pt>
                <c:pt idx="140">
                  <c:v>1400</c:v>
                </c:pt>
                <c:pt idx="141">
                  <c:v>1410</c:v>
                </c:pt>
                <c:pt idx="142">
                  <c:v>1420</c:v>
                </c:pt>
                <c:pt idx="143">
                  <c:v>1430</c:v>
                </c:pt>
                <c:pt idx="144">
                  <c:v>1440</c:v>
                </c:pt>
                <c:pt idx="145">
                  <c:v>1450</c:v>
                </c:pt>
                <c:pt idx="146">
                  <c:v>1460</c:v>
                </c:pt>
                <c:pt idx="147">
                  <c:v>1470</c:v>
                </c:pt>
                <c:pt idx="148">
                  <c:v>1480</c:v>
                </c:pt>
                <c:pt idx="149">
                  <c:v>1490</c:v>
                </c:pt>
                <c:pt idx="150">
                  <c:v>1500</c:v>
                </c:pt>
                <c:pt idx="151">
                  <c:v>1510</c:v>
                </c:pt>
                <c:pt idx="152">
                  <c:v>1520</c:v>
                </c:pt>
                <c:pt idx="153">
                  <c:v>1530</c:v>
                </c:pt>
                <c:pt idx="154">
                  <c:v>1540</c:v>
                </c:pt>
                <c:pt idx="155">
                  <c:v>1550</c:v>
                </c:pt>
                <c:pt idx="156">
                  <c:v>1560</c:v>
                </c:pt>
                <c:pt idx="157">
                  <c:v>1570</c:v>
                </c:pt>
                <c:pt idx="158">
                  <c:v>1580</c:v>
                </c:pt>
                <c:pt idx="159">
                  <c:v>1590</c:v>
                </c:pt>
                <c:pt idx="160">
                  <c:v>1600</c:v>
                </c:pt>
                <c:pt idx="161">
                  <c:v>1610</c:v>
                </c:pt>
                <c:pt idx="162">
                  <c:v>1620</c:v>
                </c:pt>
                <c:pt idx="163">
                  <c:v>1630</c:v>
                </c:pt>
                <c:pt idx="164">
                  <c:v>1640</c:v>
                </c:pt>
                <c:pt idx="165">
                  <c:v>1650</c:v>
                </c:pt>
                <c:pt idx="166">
                  <c:v>1660</c:v>
                </c:pt>
                <c:pt idx="167">
                  <c:v>1670</c:v>
                </c:pt>
                <c:pt idx="168">
                  <c:v>1680</c:v>
                </c:pt>
                <c:pt idx="169">
                  <c:v>1690</c:v>
                </c:pt>
                <c:pt idx="170">
                  <c:v>1700</c:v>
                </c:pt>
                <c:pt idx="171">
                  <c:v>1710</c:v>
                </c:pt>
                <c:pt idx="172">
                  <c:v>1720</c:v>
                </c:pt>
                <c:pt idx="173">
                  <c:v>1730</c:v>
                </c:pt>
                <c:pt idx="174">
                  <c:v>1740</c:v>
                </c:pt>
                <c:pt idx="175">
                  <c:v>1750</c:v>
                </c:pt>
                <c:pt idx="176">
                  <c:v>1760</c:v>
                </c:pt>
                <c:pt idx="177">
                  <c:v>1770</c:v>
                </c:pt>
                <c:pt idx="178">
                  <c:v>1780</c:v>
                </c:pt>
                <c:pt idx="179">
                  <c:v>1790</c:v>
                </c:pt>
                <c:pt idx="180">
                  <c:v>1800</c:v>
                </c:pt>
                <c:pt idx="181">
                  <c:v>1810</c:v>
                </c:pt>
                <c:pt idx="182">
                  <c:v>1820</c:v>
                </c:pt>
                <c:pt idx="183">
                  <c:v>1830</c:v>
                </c:pt>
                <c:pt idx="184">
                  <c:v>1840</c:v>
                </c:pt>
                <c:pt idx="185">
                  <c:v>1850</c:v>
                </c:pt>
                <c:pt idx="186">
                  <c:v>1860</c:v>
                </c:pt>
                <c:pt idx="187">
                  <c:v>1870</c:v>
                </c:pt>
                <c:pt idx="188">
                  <c:v>1880</c:v>
                </c:pt>
                <c:pt idx="189">
                  <c:v>1890</c:v>
                </c:pt>
                <c:pt idx="190">
                  <c:v>1900</c:v>
                </c:pt>
                <c:pt idx="191">
                  <c:v>1910</c:v>
                </c:pt>
                <c:pt idx="192">
                  <c:v>1920</c:v>
                </c:pt>
                <c:pt idx="193">
                  <c:v>1930</c:v>
                </c:pt>
                <c:pt idx="194">
                  <c:v>1940</c:v>
                </c:pt>
                <c:pt idx="195">
                  <c:v>1950</c:v>
                </c:pt>
                <c:pt idx="196">
                  <c:v>1960</c:v>
                </c:pt>
                <c:pt idx="197">
                  <c:v>1970</c:v>
                </c:pt>
                <c:pt idx="198">
                  <c:v>1980</c:v>
                </c:pt>
                <c:pt idx="199">
                  <c:v>1990</c:v>
                </c:pt>
                <c:pt idx="200">
                  <c:v>2000</c:v>
                </c:pt>
                <c:pt idx="201">
                  <c:v>2010</c:v>
                </c:pt>
                <c:pt idx="202">
                  <c:v>2020</c:v>
                </c:pt>
                <c:pt idx="203">
                  <c:v>2030</c:v>
                </c:pt>
                <c:pt idx="204">
                  <c:v>2040</c:v>
                </c:pt>
                <c:pt idx="205">
                  <c:v>2050</c:v>
                </c:pt>
                <c:pt idx="206">
                  <c:v>2060</c:v>
                </c:pt>
                <c:pt idx="207">
                  <c:v>2070</c:v>
                </c:pt>
                <c:pt idx="208">
                  <c:v>2080</c:v>
                </c:pt>
                <c:pt idx="209">
                  <c:v>2090</c:v>
                </c:pt>
                <c:pt idx="210">
                  <c:v>2100</c:v>
                </c:pt>
                <c:pt idx="211">
                  <c:v>2110</c:v>
                </c:pt>
                <c:pt idx="212">
                  <c:v>2120</c:v>
                </c:pt>
                <c:pt idx="213">
                  <c:v>2130</c:v>
                </c:pt>
                <c:pt idx="214">
                  <c:v>2140</c:v>
                </c:pt>
                <c:pt idx="215">
                  <c:v>2150</c:v>
                </c:pt>
                <c:pt idx="216">
                  <c:v>2160</c:v>
                </c:pt>
                <c:pt idx="217">
                  <c:v>2170</c:v>
                </c:pt>
                <c:pt idx="218">
                  <c:v>2180</c:v>
                </c:pt>
                <c:pt idx="219">
                  <c:v>2190</c:v>
                </c:pt>
                <c:pt idx="220">
                  <c:v>2200</c:v>
                </c:pt>
                <c:pt idx="221">
                  <c:v>2210</c:v>
                </c:pt>
                <c:pt idx="222">
                  <c:v>2220</c:v>
                </c:pt>
                <c:pt idx="223">
                  <c:v>2230</c:v>
                </c:pt>
                <c:pt idx="224">
                  <c:v>2240</c:v>
                </c:pt>
                <c:pt idx="225">
                  <c:v>2250</c:v>
                </c:pt>
                <c:pt idx="226">
                  <c:v>2260</c:v>
                </c:pt>
                <c:pt idx="227">
                  <c:v>2270</c:v>
                </c:pt>
                <c:pt idx="228">
                  <c:v>2280</c:v>
                </c:pt>
                <c:pt idx="229">
                  <c:v>2290</c:v>
                </c:pt>
                <c:pt idx="230">
                  <c:v>2300</c:v>
                </c:pt>
                <c:pt idx="231">
                  <c:v>2310</c:v>
                </c:pt>
                <c:pt idx="232">
                  <c:v>2320</c:v>
                </c:pt>
                <c:pt idx="233">
                  <c:v>2330</c:v>
                </c:pt>
                <c:pt idx="234">
                  <c:v>2340</c:v>
                </c:pt>
                <c:pt idx="235">
                  <c:v>2350</c:v>
                </c:pt>
                <c:pt idx="236">
                  <c:v>2360</c:v>
                </c:pt>
                <c:pt idx="237">
                  <c:v>2370</c:v>
                </c:pt>
                <c:pt idx="238">
                  <c:v>2380</c:v>
                </c:pt>
                <c:pt idx="239">
                  <c:v>2390</c:v>
                </c:pt>
                <c:pt idx="240">
                  <c:v>2400</c:v>
                </c:pt>
                <c:pt idx="241">
                  <c:v>2410</c:v>
                </c:pt>
                <c:pt idx="242">
                  <c:v>2420</c:v>
                </c:pt>
                <c:pt idx="243">
                  <c:v>2430</c:v>
                </c:pt>
                <c:pt idx="244">
                  <c:v>2440</c:v>
                </c:pt>
                <c:pt idx="245">
                  <c:v>2450</c:v>
                </c:pt>
                <c:pt idx="246">
                  <c:v>2460</c:v>
                </c:pt>
                <c:pt idx="247">
                  <c:v>2470</c:v>
                </c:pt>
                <c:pt idx="248">
                  <c:v>2480</c:v>
                </c:pt>
                <c:pt idx="249">
                  <c:v>2490</c:v>
                </c:pt>
                <c:pt idx="250">
                  <c:v>2500</c:v>
                </c:pt>
              </c:numCache>
            </c:numRef>
          </c:xVal>
          <c:yVal>
            <c:numRef>
              <c:f>Reliability_HyPower_Analysis!$AF$2:$AF$252</c:f>
              <c:numCache>
                <c:formatCode>0.000</c:formatCode>
                <c:ptCount val="251"/>
                <c:pt idx="0">
                  <c:v>0.89921302265329406</c:v>
                </c:pt>
                <c:pt idx="1">
                  <c:v>0.64880095157323425</c:v>
                </c:pt>
                <c:pt idx="2">
                  <c:v>0.60204277697580988</c:v>
                </c:pt>
                <c:pt idx="3">
                  <c:v>0.57190946352556549</c:v>
                </c:pt>
                <c:pt idx="4">
                  <c:v>0.5491950944237135</c:v>
                </c:pt>
                <c:pt idx="5">
                  <c:v>0.5307813479120238</c:v>
                </c:pt>
                <c:pt idx="6">
                  <c:v>0.51520587276108087</c:v>
                </c:pt>
                <c:pt idx="7">
                  <c:v>0.50165737836712809</c:v>
                </c:pt>
                <c:pt idx="8">
                  <c:v>0.48963587653366958</c:v>
                </c:pt>
                <c:pt idx="9">
                  <c:v>0.47881003128122901</c:v>
                </c:pt>
                <c:pt idx="10">
                  <c:v>0.4689482395326956</c:v>
                </c:pt>
                <c:pt idx="11">
                  <c:v>0.45988184553934963</c:v>
                </c:pt>
                <c:pt idx="12">
                  <c:v>0.45148398093143349</c:v>
                </c:pt>
                <c:pt idx="13">
                  <c:v>0.44365666004071125</c:v>
                </c:pt>
                <c:pt idx="14">
                  <c:v>0.43632253067032201</c:v>
                </c:pt>
                <c:pt idx="15">
                  <c:v>0.42941939259562023</c:v>
                </c:pt>
                <c:pt idx="16">
                  <c:v>0.42289643499216067</c:v>
                </c:pt>
                <c:pt idx="17">
                  <c:v>0.4167115814144704</c:v>
                </c:pt>
                <c:pt idx="18">
                  <c:v>0.41082957117454455</c:v>
                </c:pt>
                <c:pt idx="19">
                  <c:v>0.40522054382709805</c:v>
                </c:pt>
                <c:pt idx="20">
                  <c:v>0.39985897562986905</c:v>
                </c:pt>
                <c:pt idx="21">
                  <c:v>0.39472286745093588</c:v>
                </c:pt>
                <c:pt idx="22">
                  <c:v>0.38979311567516017</c:v>
                </c:pt>
                <c:pt idx="23">
                  <c:v>0.38505301852574214</c:v>
                </c:pt>
                <c:pt idx="24">
                  <c:v>0.38048788409910816</c:v>
                </c:pt>
                <c:pt idx="25">
                  <c:v>0.3760847158392856</c:v>
                </c:pt>
                <c:pt idx="26">
                  <c:v>0.37183195770031641</c:v>
                </c:pt>
                <c:pt idx="27">
                  <c:v>0.36771928583389779</c:v>
                </c:pt>
                <c:pt idx="28">
                  <c:v>0.3637374369174764</c:v>
                </c:pt>
                <c:pt idx="29">
                  <c:v>0.35987806561280233</c:v>
                </c:pt>
                <c:pt idx="30">
                  <c:v>0.35613362538771487</c:v>
                </c:pt>
                <c:pt idx="31">
                  <c:v>0.35249726822814886</c:v>
                </c:pt>
                <c:pt idx="32">
                  <c:v>0.34896275973910484</c:v>
                </c:pt>
                <c:pt idx="33">
                  <c:v>0.34552440687045882</c:v>
                </c:pt>
                <c:pt idx="34">
                  <c:v>0.34217699606796548</c:v>
                </c:pt>
                <c:pt idx="35">
                  <c:v>0.33891574008594205</c:v>
                </c:pt>
                <c:pt idx="36">
                  <c:v>0.33573623203787817</c:v>
                </c:pt>
                <c:pt idx="37">
                  <c:v>0.33263440552797807</c:v>
                </c:pt>
                <c:pt idx="38">
                  <c:v>0.32960649991761315</c:v>
                </c:pt>
                <c:pt idx="39">
                  <c:v>0.32664902994866685</c:v>
                </c:pt>
                <c:pt idx="40">
                  <c:v>0.3237587590804103</c:v>
                </c:pt>
                <c:pt idx="41">
                  <c:v>0.32093267600514364</c:v>
                </c:pt>
                <c:pt idx="42">
                  <c:v>0.31816797389590845</c:v>
                </c:pt>
                <c:pt idx="43">
                  <c:v>0.31546203201142442</c:v>
                </c:pt>
                <c:pt idx="44">
                  <c:v>0.312812399342282</c:v>
                </c:pt>
                <c:pt idx="45">
                  <c:v>0.31021678003095632</c:v>
                </c:pt>
                <c:pt idx="46">
                  <c:v>0.30767302033836175</c:v>
                </c:pt>
                <c:pt idx="47">
                  <c:v>0.30517909696306855</c:v>
                </c:pt>
                <c:pt idx="48">
                  <c:v>0.30273310654718777</c:v>
                </c:pt>
                <c:pt idx="49">
                  <c:v>0.30033325622631102</c:v>
                </c:pt>
                <c:pt idx="50">
                  <c:v>0.29797785510057884</c:v>
                </c:pt>
                <c:pt idx="51">
                  <c:v>0.29566530652057055</c:v>
                </c:pt>
                <c:pt idx="52">
                  <c:v>0.29339410109581876</c:v>
                </c:pt>
                <c:pt idx="53">
                  <c:v>0.29116281034573555</c:v>
                </c:pt>
                <c:pt idx="54">
                  <c:v>0.28897008092298748</c:v>
                </c:pt>
                <c:pt idx="55">
                  <c:v>0.28681462934811464</c:v>
                </c:pt>
                <c:pt idx="56">
                  <c:v>0.28469523720172762</c:v>
                </c:pt>
                <c:pt idx="57">
                  <c:v>0.28261074672709796</c:v>
                </c:pt>
                <c:pt idx="58">
                  <c:v>0.28056005680156071</c:v>
                </c:pt>
                <c:pt idx="59">
                  <c:v>0.27854211924000771</c:v>
                </c:pt>
                <c:pt idx="60">
                  <c:v>0.27655593539795198</c:v>
                </c:pt>
                <c:pt idx="61">
                  <c:v>0.27460055304532904</c:v>
                </c:pt>
                <c:pt idx="62">
                  <c:v>0.2726750634853865</c:v>
                </c:pt>
                <c:pt idx="63">
                  <c:v>0.27077859889582734</c:v>
                </c:pt>
                <c:pt idx="64">
                  <c:v>0.26891032987181862</c:v>
                </c:pt>
                <c:pt idx="65">
                  <c:v>0.26706946315264068</c:v>
                </c:pt>
                <c:pt idx="66">
                  <c:v>0.265255239515649</c:v>
                </c:pt>
                <c:pt idx="67">
                  <c:v>0.26346693182289516</c:v>
                </c:pt>
                <c:pt idx="68">
                  <c:v>0.26170384320724005</c:v>
                </c:pt>
                <c:pt idx="69">
                  <c:v>0.25996530538609908</c:v>
                </c:pt>
                <c:pt idx="70">
                  <c:v>0.2582506770921269</c:v>
                </c:pt>
                <c:pt idx="71">
                  <c:v>0.25655934261118518</c:v>
                </c:pt>
                <c:pt idx="72">
                  <c:v>0.25489071041885381</c:v>
                </c:pt>
                <c:pt idx="73">
                  <c:v>0.2532442119075764</c:v>
                </c:pt>
                <c:pt idx="74">
                  <c:v>0.25161930019725698</c:v>
                </c:pt>
                <c:pt idx="75">
                  <c:v>0.25001544902278927</c:v>
                </c:pt>
                <c:pt idx="76">
                  <c:v>0.24843215169258448</c:v>
                </c:pt>
                <c:pt idx="77">
                  <c:v>0.24686892011269701</c:v>
                </c:pt>
                <c:pt idx="78">
                  <c:v>0.24532528387161956</c:v>
                </c:pt>
                <c:pt idx="79">
                  <c:v>0.24380078938124783</c:v>
                </c:pt>
                <c:pt idx="80">
                  <c:v>0.24229499906990615</c:v>
                </c:pt>
                <c:pt idx="81">
                  <c:v>0.24080749062366458</c:v>
                </c:pt>
                <c:pt idx="82">
                  <c:v>0.23933785627250148</c:v>
                </c:pt>
                <c:pt idx="83">
                  <c:v>0.23788570211814908</c:v>
                </c:pt>
                <c:pt idx="84">
                  <c:v>0.2364506475007131</c:v>
                </c:pt>
                <c:pt idx="85">
                  <c:v>0.23503232440139876</c:v>
                </c:pt>
                <c:pt idx="86">
                  <c:v>0.23363037687888388</c:v>
                </c:pt>
                <c:pt idx="87">
                  <c:v>0.23224446053707704</c:v>
                </c:pt>
                <c:pt idx="88">
                  <c:v>0.23087424202217055</c:v>
                </c:pt>
                <c:pt idx="89">
                  <c:v>0.22951939854706571</c:v>
                </c:pt>
                <c:pt idx="90">
                  <c:v>0.22817961744138771</c:v>
                </c:pt>
                <c:pt idx="91">
                  <c:v>0.22685459572544553</c:v>
                </c:pt>
                <c:pt idx="92">
                  <c:v>0.2255440397066153</c:v>
                </c:pt>
                <c:pt idx="93">
                  <c:v>0.22424766459673506</c:v>
                </c:pt>
                <c:pt idx="94">
                  <c:v>0.22296519414920413</c:v>
                </c:pt>
                <c:pt idx="95">
                  <c:v>0.22169636031457363</c:v>
                </c:pt>
                <c:pt idx="96">
                  <c:v>0.22044090291350227</c:v>
                </c:pt>
                <c:pt idx="97">
                  <c:v>0.21919856932602899</c:v>
                </c:pt>
                <c:pt idx="98">
                  <c:v>0.21796911419619058</c:v>
                </c:pt>
                <c:pt idx="99">
                  <c:v>0.21675229915107663</c:v>
                </c:pt>
                <c:pt idx="100">
                  <c:v>0.21554789253347817</c:v>
                </c:pt>
                <c:pt idx="101">
                  <c:v>0.21435566914734361</c:v>
                </c:pt>
                <c:pt idx="102">
                  <c:v>0.21317541001530627</c:v>
                </c:pt>
                <c:pt idx="103">
                  <c:v>0.21200690214760098</c:v>
                </c:pt>
                <c:pt idx="104">
                  <c:v>0.21084993832172727</c:v>
                </c:pt>
                <c:pt idx="105">
                  <c:v>0.2097043168722621</c:v>
                </c:pt>
                <c:pt idx="106">
                  <c:v>0.20856984149026281</c:v>
                </c:pt>
                <c:pt idx="107">
                  <c:v>0.20744632103173566</c:v>
                </c:pt>
                <c:pt idx="108">
                  <c:v>0.20633356933467939</c:v>
                </c:pt>
                <c:pt idx="109">
                  <c:v>0.20523140504424575</c:v>
                </c:pt>
                <c:pt idx="110">
                  <c:v>0.20413965144558355</c:v>
                </c:pt>
                <c:pt idx="111">
                  <c:v>0.20305813630396341</c:v>
                </c:pt>
                <c:pt idx="112">
                  <c:v>0.20198669171180295</c:v>
                </c:pt>
                <c:pt idx="113">
                  <c:v>0.2009251539422362</c:v>
                </c:pt>
                <c:pt idx="114">
                  <c:v>0.19987336330888983</c:v>
                </c:pt>
                <c:pt idx="115">
                  <c:v>0.19883116403155443</c:v>
                </c:pt>
                <c:pt idx="116">
                  <c:v>0.19779840410745109</c:v>
                </c:pt>
                <c:pt idx="117">
                  <c:v>0.19677493518781541</c:v>
                </c:pt>
                <c:pt idx="118">
                  <c:v>0.1957606124595348</c:v>
                </c:pt>
                <c:pt idx="119">
                  <c:v>0.19475529453159268</c:v>
                </c:pt>
                <c:pt idx="120">
                  <c:v>0.19375884332608351</c:v>
                </c:pt>
                <c:pt idx="121">
                  <c:v>0.19277112397358009</c:v>
                </c:pt>
                <c:pt idx="122">
                  <c:v>0.19179200471264368</c:v>
                </c:pt>
                <c:pt idx="123">
                  <c:v>0.19082135679328116</c:v>
                </c:pt>
                <c:pt idx="124">
                  <c:v>0.1898590543841614</c:v>
                </c:pt>
                <c:pt idx="125">
                  <c:v>0.18890497448341881</c:v>
                </c:pt>
                <c:pt idx="126">
                  <c:v>0.18795899683287365</c:v>
                </c:pt>
                <c:pt idx="127">
                  <c:v>0.18702100383551601</c:v>
                </c:pt>
                <c:pt idx="128">
                  <c:v>0.18609088047610189</c:v>
                </c:pt>
                <c:pt idx="129">
                  <c:v>0.18516851424472214</c:v>
                </c:pt>
                <c:pt idx="130">
                  <c:v>0.18425379506320894</c:v>
                </c:pt>
                <c:pt idx="131">
                  <c:v>0.18334661521425621</c:v>
                </c:pt>
                <c:pt idx="132">
                  <c:v>0.18244686927313247</c:v>
                </c:pt>
                <c:pt idx="133">
                  <c:v>0.18155445404186965</c:v>
                </c:pt>
                <c:pt idx="134">
                  <c:v>0.18066926848582698</c:v>
                </c:pt>
                <c:pt idx="135">
                  <c:v>0.17979121367251971</c:v>
                </c:pt>
                <c:pt idx="136">
                  <c:v>0.17892019271262005</c:v>
                </c:pt>
                <c:pt idx="137">
                  <c:v>0.1780561107030374</c:v>
                </c:pt>
                <c:pt idx="138">
                  <c:v>0.17719887467198725</c:v>
                </c:pt>
                <c:pt idx="139">
                  <c:v>0.17634839352596965</c:v>
                </c:pt>
                <c:pt idx="140">
                  <c:v>0.17550457799857355</c:v>
                </c:pt>
                <c:pt idx="141">
                  <c:v>0.17466734060103373</c:v>
                </c:pt>
                <c:pt idx="142">
                  <c:v>0.17383659557446796</c:v>
                </c:pt>
                <c:pt idx="143">
                  <c:v>0.17301225884372573</c:v>
                </c:pt>
                <c:pt idx="144">
                  <c:v>0.17219424797278293</c:v>
                </c:pt>
                <c:pt idx="145">
                  <c:v>0.17138248212162088</c:v>
                </c:pt>
                <c:pt idx="146">
                  <c:v>0.17057688200453036</c:v>
                </c:pt>
                <c:pt idx="147">
                  <c:v>0.1697773698497832</c:v>
                </c:pt>
                <c:pt idx="148">
                  <c:v>0.16898386936061938</c:v>
                </c:pt>
                <c:pt idx="149">
                  <c:v>0.16819630567749588</c:v>
                </c:pt>
                <c:pt idx="150">
                  <c:v>0.16741460534155039</c:v>
                </c:pt>
                <c:pt idx="151">
                  <c:v>0.16663869625923122</c:v>
                </c:pt>
                <c:pt idx="152">
                  <c:v>0.16586850766804995</c:v>
                </c:pt>
                <c:pt idx="153">
                  <c:v>0.16510397010341293</c:v>
                </c:pt>
                <c:pt idx="154">
                  <c:v>0.16434501536649249</c:v>
                </c:pt>
                <c:pt idx="155">
                  <c:v>0.16359157649309641</c:v>
                </c:pt>
                <c:pt idx="156">
                  <c:v>0.16284358772350038</c:v>
                </c:pt>
                <c:pt idx="157">
                  <c:v>0.1621009844732062</c:v>
                </c:pt>
                <c:pt idx="158">
                  <c:v>0.1613637033045936</c:v>
                </c:pt>
                <c:pt idx="159">
                  <c:v>0.16063168189943</c:v>
                </c:pt>
                <c:pt idx="160">
                  <c:v>0.15990485903220897</c:v>
                </c:pt>
                <c:pt idx="161">
                  <c:v>0.15918317454428865</c:v>
                </c:pt>
                <c:pt idx="162">
                  <c:v>0.15846656931879677</c:v>
                </c:pt>
                <c:pt idx="163">
                  <c:v>0.15775498525628018</c:v>
                </c:pt>
                <c:pt idx="164">
                  <c:v>0.1570483652510688</c:v>
                </c:pt>
                <c:pt idx="165">
                  <c:v>0.15634665316833041</c:v>
                </c:pt>
                <c:pt idx="166">
                  <c:v>0.15564979382179156</c:v>
                </c:pt>
                <c:pt idx="167">
                  <c:v>0.15495773295210125</c:v>
                </c:pt>
                <c:pt idx="168">
                  <c:v>0.15427041720581514</c:v>
                </c:pt>
                <c:pt idx="169">
                  <c:v>0.15358779411497958</c:v>
                </c:pt>
                <c:pt idx="170">
                  <c:v>0.15290981207729359</c:v>
                </c:pt>
                <c:pt idx="171">
                  <c:v>0.15223642033683005</c:v>
                </c:pt>
                <c:pt idx="172">
                  <c:v>0.15156756896529733</c:v>
                </c:pt>
                <c:pt idx="173">
                  <c:v>0.15090320884382225</c:v>
                </c:pt>
                <c:pt idx="174">
                  <c:v>0.15024329164523764</c:v>
                </c:pt>
                <c:pt idx="175">
                  <c:v>0.14958776981685729</c:v>
                </c:pt>
                <c:pt idx="176">
                  <c:v>0.14893659656372282</c:v>
                </c:pt>
                <c:pt idx="177">
                  <c:v>0.14828972583230615</c:v>
                </c:pt>
                <c:pt idx="178">
                  <c:v>0.14764711229465333</c:v>
                </c:pt>
                <c:pt idx="179">
                  <c:v>0.14700871133295346</c:v>
                </c:pt>
                <c:pt idx="180">
                  <c:v>0.14637447902452361</c:v>
                </c:pt>
                <c:pt idx="181">
                  <c:v>0.14574437212719016</c:v>
                </c:pt>
                <c:pt idx="182">
                  <c:v>0.14511834806505863</c:v>
                </c:pt>
                <c:pt idx="183">
                  <c:v>0.14449636491465778</c:v>
                </c:pt>
                <c:pt idx="184">
                  <c:v>0.14387838139144615</c:v>
                </c:pt>
                <c:pt idx="185">
                  <c:v>0.14326435683666938</c:v>
                </c:pt>
                <c:pt idx="186">
                  <c:v>0.14265425120455866</c:v>
                </c:pt>
                <c:pt idx="187">
                  <c:v>0.14204802504985847</c:v>
                </c:pt>
                <c:pt idx="188">
                  <c:v>0.14144563951567346</c:v>
                </c:pt>
                <c:pt idx="189">
                  <c:v>0.14084705632162464</c:v>
                </c:pt>
                <c:pt idx="190">
                  <c:v>0.14025223775230677</c:v>
                </c:pt>
                <c:pt idx="191">
                  <c:v>0.13966114664603579</c:v>
                </c:pt>
                <c:pt idx="192">
                  <c:v>0.13907374638387859</c:v>
                </c:pt>
                <c:pt idx="193">
                  <c:v>0.13849000087895624</c:v>
                </c:pt>
                <c:pt idx="194">
                  <c:v>0.13790987456601311</c:v>
                </c:pt>
                <c:pt idx="195">
                  <c:v>0.13733333239124301</c:v>
                </c:pt>
                <c:pt idx="196">
                  <c:v>0.13676033980236513</c:v>
                </c:pt>
                <c:pt idx="197">
                  <c:v>0.13619086273894321</c:v>
                </c:pt>
                <c:pt idx="198">
                  <c:v>0.13562486762293835</c:v>
                </c:pt>
                <c:pt idx="199">
                  <c:v>0.13506232134949259</c:v>
                </c:pt>
                <c:pt idx="200">
                  <c:v>0.1345031912779322</c:v>
                </c:pt>
                <c:pt idx="201">
                  <c:v>0.13394744522298718</c:v>
                </c:pt>
                <c:pt idx="202">
                  <c:v>0.13339505144622066</c:v>
                </c:pt>
                <c:pt idx="203">
                  <c:v>0.13284597864765979</c:v>
                </c:pt>
                <c:pt idx="204">
                  <c:v>0.13230019595762532</c:v>
                </c:pt>
                <c:pt idx="205">
                  <c:v>0.13175767292875307</c:v>
                </c:pt>
                <c:pt idx="206">
                  <c:v>0.13121837952820004</c:v>
                </c:pt>
                <c:pt idx="207">
                  <c:v>0.1306822861300343</c:v>
                </c:pt>
                <c:pt idx="208">
                  <c:v>0.13014936350779804</c:v>
                </c:pt>
                <c:pt idx="209">
                  <c:v>0.1296195828272444</c:v>
                </c:pt>
                <c:pt idx="210">
                  <c:v>0.12909291563923886</c:v>
                </c:pt>
                <c:pt idx="211">
                  <c:v>0.12856933387282266</c:v>
                </c:pt>
                <c:pt idx="212">
                  <c:v>0.12804880982843536</c:v>
                </c:pt>
                <c:pt idx="213">
                  <c:v>0.12753131617128766</c:v>
                </c:pt>
                <c:pt idx="214">
                  <c:v>0.12701682592488528</c:v>
                </c:pt>
                <c:pt idx="215">
                  <c:v>0.12650531246469721</c:v>
                </c:pt>
                <c:pt idx="216">
                  <c:v>0.12599674951196427</c:v>
                </c:pt>
                <c:pt idx="217">
                  <c:v>0.12549111112764577</c:v>
                </c:pt>
                <c:pt idx="218">
                  <c:v>0.12498837170649912</c:v>
                </c:pt>
                <c:pt idx="219">
                  <c:v>0.12448850597128958</c:v>
                </c:pt>
                <c:pt idx="220">
                  <c:v>0.12399148896712675</c:v>
                </c:pt>
                <c:pt idx="221">
                  <c:v>0.12349729605592397</c:v>
                </c:pt>
                <c:pt idx="222">
                  <c:v>0.12300590291097824</c:v>
                </c:pt>
                <c:pt idx="223">
                  <c:v>0.12251728551166607</c:v>
                </c:pt>
                <c:pt idx="224">
                  <c:v>0.12203142013825441</c:v>
                </c:pt>
                <c:pt idx="225">
                  <c:v>0.12154828336682111</c:v>
                </c:pt>
                <c:pt idx="226">
                  <c:v>0.12106785206428494</c:v>
                </c:pt>
                <c:pt idx="227">
                  <c:v>0.12059010338353915</c:v>
                </c:pt>
                <c:pt idx="228">
                  <c:v>0.12011501475868935</c:v>
                </c:pt>
                <c:pt idx="229">
                  <c:v>0.11964256390038963</c:v>
                </c:pt>
                <c:pt idx="230">
                  <c:v>0.11917272879127816</c:v>
                </c:pt>
                <c:pt idx="231">
                  <c:v>0.11870548768150546</c:v>
                </c:pt>
                <c:pt idx="232">
                  <c:v>0.11824081908435757</c:v>
                </c:pt>
                <c:pt idx="233">
                  <c:v>0.1177787017719677</c:v>
                </c:pt>
                <c:pt idx="234">
                  <c:v>0.11731911477111656</c:v>
                </c:pt>
                <c:pt idx="235">
                  <c:v>0.11686203735911982</c:v>
                </c:pt>
                <c:pt idx="236">
                  <c:v>0.11640744905979661</c:v>
                </c:pt>
                <c:pt idx="237">
                  <c:v>0.1159553296395226</c:v>
                </c:pt>
                <c:pt idx="238">
                  <c:v>0.11550565910336119</c:v>
                </c:pt>
                <c:pt idx="239">
                  <c:v>0.11505841769127234</c:v>
                </c:pt>
                <c:pt idx="240">
                  <c:v>0.1146135858743984</c:v>
                </c:pt>
                <c:pt idx="241">
                  <c:v>0.11417114435142262</c:v>
                </c:pt>
                <c:pt idx="242">
                  <c:v>0.11373107404500171</c:v>
                </c:pt>
                <c:pt idx="243">
                  <c:v>0.11329335609826696</c:v>
                </c:pt>
                <c:pt idx="244">
                  <c:v>0.11285797187139568</c:v>
                </c:pt>
                <c:pt idx="245">
                  <c:v>0.11242490293824936</c:v>
                </c:pt>
                <c:pt idx="246">
                  <c:v>0.11199413108307754</c:v>
                </c:pt>
                <c:pt idx="247">
                  <c:v>0.11156563829728539</c:v>
                </c:pt>
                <c:pt idx="248">
                  <c:v>0.11113940677626455</c:v>
                </c:pt>
                <c:pt idx="249">
                  <c:v>0.11071541891628522</c:v>
                </c:pt>
                <c:pt idx="250">
                  <c:v>0.1102936573114468</c:v>
                </c:pt>
              </c:numCache>
            </c:numRef>
          </c:yVal>
          <c:smooth val="0"/>
          <c:extLst>
            <c:ext xmlns:c16="http://schemas.microsoft.com/office/drawing/2014/chart" uri="{C3380CC4-5D6E-409C-BE32-E72D297353CC}">
              <c16:uniqueId val="{00000000-5BC1-4D4C-A193-64D687C5E940}"/>
            </c:ext>
          </c:extLst>
        </c:ser>
        <c:dLbls>
          <c:showLegendKey val="0"/>
          <c:showVal val="0"/>
          <c:showCatName val="0"/>
          <c:showSerName val="0"/>
          <c:showPercent val="0"/>
          <c:showBubbleSize val="0"/>
        </c:dLbls>
        <c:axId val="1595666911"/>
        <c:axId val="1595661087"/>
      </c:scatterChart>
      <c:valAx>
        <c:axId val="1595666911"/>
        <c:scaling>
          <c:orientation val="minMax"/>
          <c:max val="250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r>
                  <a:rPr lang="en-GB"/>
                  <a:t>Time [min]</a:t>
                </a:r>
                <a:endParaRPr lang="sr-Latn-RS"/>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itle>
        <c:numFmt formatCode="0"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595661087"/>
        <c:crosses val="autoZero"/>
        <c:crossBetween val="midCat"/>
      </c:valAx>
      <c:valAx>
        <c:axId val="1595661087"/>
        <c:scaling>
          <c:orientation val="minMax"/>
          <c:max val="1"/>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r>
                  <a:rPr lang="en-GB"/>
                  <a:t>R</a:t>
                </a:r>
                <a:r>
                  <a:rPr lang="en-GB" baseline="-25000"/>
                  <a:t>Gamma</a:t>
                </a:r>
                <a:r>
                  <a:rPr lang="en-GB"/>
                  <a:t> (t)</a:t>
                </a:r>
                <a:endParaRPr lang="sr-Latn-RS"/>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itle>
        <c:numFmt formatCode="0.000"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595666911"/>
        <c:crosses val="autoZero"/>
        <c:crossBetween val="midCat"/>
      </c:valAx>
      <c:spPr>
        <a:noFill/>
        <a:ln w="3175">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Garamond" panose="02020404030301010803" pitchFamily="18" charset="0"/>
        </a:defRPr>
      </a:pPr>
      <a:endParaRPr lang="sr-Latn-R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0"/>
          <c:tx>
            <c:strRef>
              <c:f>'Charts and Results'!$A$2</c:f>
              <c:strCache>
                <c:ptCount val="1"/>
                <c:pt idx="0">
                  <c:v>Industrial Machines</c:v>
                </c:pt>
              </c:strCache>
            </c:strRef>
          </c:tx>
          <c:spPr>
            <a:noFill/>
            <a:ln w="3175">
              <a:solidFill>
                <a:srgbClr val="0000FF"/>
              </a:solidFill>
            </a:ln>
            <a:effectLst/>
          </c:spPr>
          <c:invertIfNegative val="0"/>
          <c:cat>
            <c:strRef>
              <c:f>'Charts and Results'!$A$4:$A$12</c:f>
              <c:strCache>
                <c:ptCount val="9"/>
                <c:pt idx="0">
                  <c:v>Paper mach.</c:v>
                </c:pt>
                <c:pt idx="1">
                  <c:v>Robots</c:v>
                </c:pt>
                <c:pt idx="2">
                  <c:v>Auto. Manuf.</c:v>
                </c:pt>
                <c:pt idx="3">
                  <c:v>Extrusion line</c:v>
                </c:pt>
                <c:pt idx="4">
                  <c:v>Injection molding</c:v>
                </c:pt>
                <c:pt idx="5">
                  <c:v>Other:</c:v>
                </c:pt>
                <c:pt idx="6">
                  <c:v>Autom. Line</c:v>
                </c:pt>
                <c:pt idx="7">
                  <c:v>CNC</c:v>
                </c:pt>
                <c:pt idx="8">
                  <c:v>Presses</c:v>
                </c:pt>
              </c:strCache>
              <c:extLst/>
            </c:strRef>
          </c:cat>
          <c:val>
            <c:numRef>
              <c:f>'Charts and Results'!$C$4:$C$12</c:f>
              <c:numCache>
                <c:formatCode>0%</c:formatCode>
                <c:ptCount val="9"/>
                <c:pt idx="0">
                  <c:v>8.1537565521258015E-3</c:v>
                </c:pt>
                <c:pt idx="1">
                  <c:v>1.4560279557367502E-2</c:v>
                </c:pt>
                <c:pt idx="2">
                  <c:v>4.1351193942923706E-2</c:v>
                </c:pt>
                <c:pt idx="3">
                  <c:v>4.8340128130460104E-2</c:v>
                </c:pt>
                <c:pt idx="4">
                  <c:v>5.5329062317996502E-2</c:v>
                </c:pt>
                <c:pt idx="5">
                  <c:v>0.10366919044845661</c:v>
                </c:pt>
                <c:pt idx="6">
                  <c:v>0.15433896330809552</c:v>
                </c:pt>
                <c:pt idx="7">
                  <c:v>0.23995340710541643</c:v>
                </c:pt>
                <c:pt idx="8">
                  <c:v>0.32673267326732675</c:v>
                </c:pt>
              </c:numCache>
              <c:extLst/>
            </c:numRef>
          </c:val>
          <c:extLst>
            <c:ext xmlns:c16="http://schemas.microsoft.com/office/drawing/2014/chart" uri="{C3380CC4-5D6E-409C-BE32-E72D297353CC}">
              <c16:uniqueId val="{00000000-4AC9-4FC5-9326-BBAF8468E886}"/>
            </c:ext>
          </c:extLst>
        </c:ser>
        <c:dLbls>
          <c:showLegendKey val="0"/>
          <c:showVal val="0"/>
          <c:showCatName val="0"/>
          <c:showSerName val="0"/>
          <c:showPercent val="0"/>
          <c:showBubbleSize val="0"/>
        </c:dLbls>
        <c:gapWidth val="182"/>
        <c:axId val="1331600879"/>
        <c:axId val="1331584239"/>
      </c:barChart>
      <c:catAx>
        <c:axId val="1331600879"/>
        <c:scaling>
          <c:orientation val="minMax"/>
        </c:scaling>
        <c:delete val="0"/>
        <c:axPos val="l"/>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331584239"/>
        <c:crosses val="autoZero"/>
        <c:auto val="1"/>
        <c:lblAlgn val="ctr"/>
        <c:lblOffset val="100"/>
        <c:noMultiLvlLbl val="0"/>
      </c:catAx>
      <c:valAx>
        <c:axId val="1331584239"/>
        <c:scaling>
          <c:orientation val="minMax"/>
          <c:max val="0.35000000000000003"/>
          <c:min val="0"/>
        </c:scaling>
        <c:delete val="0"/>
        <c:axPos val="b"/>
        <c:numFmt formatCode="0%" sourceLinked="1"/>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331600879"/>
        <c:crosses val="autoZero"/>
        <c:crossBetween val="between"/>
      </c:valAx>
      <c:spPr>
        <a:noFill/>
        <a:ln w="3175">
          <a:solidFill>
            <a:schemeClr val="tx1"/>
          </a:solidFill>
        </a:ln>
        <a:effectLst/>
      </c:spPr>
    </c:plotArea>
    <c:legend>
      <c:legendPos val="b"/>
      <c:layout>
        <c:manualLayout>
          <c:xMode val="edge"/>
          <c:yMode val="edge"/>
          <c:x val="0.44445021187993961"/>
          <c:y val="0.78098348855977495"/>
          <c:w val="0.46460300977918562"/>
          <c:h val="9.6716701293318219E-2"/>
        </c:manualLayout>
      </c:layout>
      <c:overlay val="1"/>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Garamond" panose="02020404030301010803" pitchFamily="18" charset="0"/>
        </a:defRPr>
      </a:pPr>
      <a:endParaRPr lang="sr-Latn-RS"/>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Reliability_HyPower_Analysis!$AC$1</c:f>
              <c:strCache>
                <c:ptCount val="1"/>
                <c:pt idx="0">
                  <c:v>R(t)Logno</c:v>
                </c:pt>
              </c:strCache>
            </c:strRef>
          </c:tx>
          <c:spPr>
            <a:ln w="25400" cap="rnd">
              <a:noFill/>
              <a:round/>
            </a:ln>
            <a:effectLst/>
          </c:spPr>
          <c:marker>
            <c:symbol val="diamond"/>
            <c:size val="5"/>
            <c:spPr>
              <a:noFill/>
              <a:ln w="3175">
                <a:solidFill>
                  <a:srgbClr val="0000FF"/>
                </a:solidFill>
              </a:ln>
              <a:effectLst/>
            </c:spPr>
          </c:marker>
          <c:xVal>
            <c:numRef>
              <c:f>Reliability_HyPower_Analysis!$AB$2:$AB$252</c:f>
              <c:numCache>
                <c:formatCode>0</c:formatCode>
                <c:ptCount val="251"/>
                <c:pt idx="0">
                  <c:v>0.01</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210</c:v>
                </c:pt>
                <c:pt idx="22">
                  <c:v>220</c:v>
                </c:pt>
                <c:pt idx="23">
                  <c:v>230</c:v>
                </c:pt>
                <c:pt idx="24">
                  <c:v>240</c:v>
                </c:pt>
                <c:pt idx="25">
                  <c:v>250</c:v>
                </c:pt>
                <c:pt idx="26">
                  <c:v>260</c:v>
                </c:pt>
                <c:pt idx="27">
                  <c:v>270</c:v>
                </c:pt>
                <c:pt idx="28">
                  <c:v>280</c:v>
                </c:pt>
                <c:pt idx="29">
                  <c:v>290</c:v>
                </c:pt>
                <c:pt idx="30">
                  <c:v>300</c:v>
                </c:pt>
                <c:pt idx="31">
                  <c:v>310</c:v>
                </c:pt>
                <c:pt idx="32">
                  <c:v>320</c:v>
                </c:pt>
                <c:pt idx="33">
                  <c:v>330</c:v>
                </c:pt>
                <c:pt idx="34">
                  <c:v>340</c:v>
                </c:pt>
                <c:pt idx="35">
                  <c:v>350</c:v>
                </c:pt>
                <c:pt idx="36">
                  <c:v>360</c:v>
                </c:pt>
                <c:pt idx="37">
                  <c:v>370</c:v>
                </c:pt>
                <c:pt idx="38">
                  <c:v>380</c:v>
                </c:pt>
                <c:pt idx="39">
                  <c:v>390</c:v>
                </c:pt>
                <c:pt idx="40">
                  <c:v>400</c:v>
                </c:pt>
                <c:pt idx="41">
                  <c:v>410</c:v>
                </c:pt>
                <c:pt idx="42">
                  <c:v>420</c:v>
                </c:pt>
                <c:pt idx="43">
                  <c:v>430</c:v>
                </c:pt>
                <c:pt idx="44">
                  <c:v>440</c:v>
                </c:pt>
                <c:pt idx="45">
                  <c:v>450</c:v>
                </c:pt>
                <c:pt idx="46">
                  <c:v>460</c:v>
                </c:pt>
                <c:pt idx="47">
                  <c:v>470</c:v>
                </c:pt>
                <c:pt idx="48">
                  <c:v>480</c:v>
                </c:pt>
                <c:pt idx="49">
                  <c:v>490</c:v>
                </c:pt>
                <c:pt idx="50">
                  <c:v>500</c:v>
                </c:pt>
                <c:pt idx="51">
                  <c:v>510</c:v>
                </c:pt>
                <c:pt idx="52">
                  <c:v>520</c:v>
                </c:pt>
                <c:pt idx="53">
                  <c:v>530</c:v>
                </c:pt>
                <c:pt idx="54">
                  <c:v>540</c:v>
                </c:pt>
                <c:pt idx="55">
                  <c:v>550</c:v>
                </c:pt>
                <c:pt idx="56">
                  <c:v>560</c:v>
                </c:pt>
                <c:pt idx="57">
                  <c:v>570</c:v>
                </c:pt>
                <c:pt idx="58">
                  <c:v>580</c:v>
                </c:pt>
                <c:pt idx="59">
                  <c:v>590</c:v>
                </c:pt>
                <c:pt idx="60">
                  <c:v>600</c:v>
                </c:pt>
                <c:pt idx="61">
                  <c:v>610</c:v>
                </c:pt>
                <c:pt idx="62">
                  <c:v>620</c:v>
                </c:pt>
                <c:pt idx="63">
                  <c:v>630</c:v>
                </c:pt>
                <c:pt idx="64">
                  <c:v>640</c:v>
                </c:pt>
                <c:pt idx="65">
                  <c:v>650</c:v>
                </c:pt>
                <c:pt idx="66">
                  <c:v>660</c:v>
                </c:pt>
                <c:pt idx="67">
                  <c:v>670</c:v>
                </c:pt>
                <c:pt idx="68">
                  <c:v>680</c:v>
                </c:pt>
                <c:pt idx="69">
                  <c:v>690</c:v>
                </c:pt>
                <c:pt idx="70">
                  <c:v>700</c:v>
                </c:pt>
                <c:pt idx="71">
                  <c:v>710</c:v>
                </c:pt>
                <c:pt idx="72">
                  <c:v>720</c:v>
                </c:pt>
                <c:pt idx="73">
                  <c:v>730</c:v>
                </c:pt>
                <c:pt idx="74">
                  <c:v>740</c:v>
                </c:pt>
                <c:pt idx="75">
                  <c:v>750</c:v>
                </c:pt>
                <c:pt idx="76">
                  <c:v>760</c:v>
                </c:pt>
                <c:pt idx="77">
                  <c:v>770</c:v>
                </c:pt>
                <c:pt idx="78">
                  <c:v>780</c:v>
                </c:pt>
                <c:pt idx="79">
                  <c:v>790</c:v>
                </c:pt>
                <c:pt idx="80">
                  <c:v>800</c:v>
                </c:pt>
                <c:pt idx="81">
                  <c:v>810</c:v>
                </c:pt>
                <c:pt idx="82">
                  <c:v>820</c:v>
                </c:pt>
                <c:pt idx="83">
                  <c:v>830</c:v>
                </c:pt>
                <c:pt idx="84">
                  <c:v>840</c:v>
                </c:pt>
                <c:pt idx="85">
                  <c:v>850</c:v>
                </c:pt>
                <c:pt idx="86">
                  <c:v>860</c:v>
                </c:pt>
                <c:pt idx="87">
                  <c:v>870</c:v>
                </c:pt>
                <c:pt idx="88">
                  <c:v>880</c:v>
                </c:pt>
                <c:pt idx="89">
                  <c:v>890</c:v>
                </c:pt>
                <c:pt idx="90">
                  <c:v>900</c:v>
                </c:pt>
                <c:pt idx="91">
                  <c:v>910</c:v>
                </c:pt>
                <c:pt idx="92">
                  <c:v>920</c:v>
                </c:pt>
                <c:pt idx="93">
                  <c:v>930</c:v>
                </c:pt>
                <c:pt idx="94">
                  <c:v>940</c:v>
                </c:pt>
                <c:pt idx="95">
                  <c:v>950</c:v>
                </c:pt>
                <c:pt idx="96">
                  <c:v>960</c:v>
                </c:pt>
                <c:pt idx="97">
                  <c:v>970</c:v>
                </c:pt>
                <c:pt idx="98">
                  <c:v>980</c:v>
                </c:pt>
                <c:pt idx="99">
                  <c:v>990</c:v>
                </c:pt>
                <c:pt idx="100">
                  <c:v>1000</c:v>
                </c:pt>
                <c:pt idx="101">
                  <c:v>1010</c:v>
                </c:pt>
                <c:pt idx="102">
                  <c:v>1020</c:v>
                </c:pt>
                <c:pt idx="103">
                  <c:v>1030</c:v>
                </c:pt>
                <c:pt idx="104">
                  <c:v>1040</c:v>
                </c:pt>
                <c:pt idx="105">
                  <c:v>1050</c:v>
                </c:pt>
                <c:pt idx="106">
                  <c:v>1060</c:v>
                </c:pt>
                <c:pt idx="107">
                  <c:v>1070</c:v>
                </c:pt>
                <c:pt idx="108">
                  <c:v>1080</c:v>
                </c:pt>
                <c:pt idx="109">
                  <c:v>1090</c:v>
                </c:pt>
                <c:pt idx="110">
                  <c:v>1100</c:v>
                </c:pt>
                <c:pt idx="111">
                  <c:v>1110</c:v>
                </c:pt>
                <c:pt idx="112">
                  <c:v>1120</c:v>
                </c:pt>
                <c:pt idx="113">
                  <c:v>1130</c:v>
                </c:pt>
                <c:pt idx="114">
                  <c:v>1140</c:v>
                </c:pt>
                <c:pt idx="115">
                  <c:v>1150</c:v>
                </c:pt>
                <c:pt idx="116">
                  <c:v>1160</c:v>
                </c:pt>
                <c:pt idx="117">
                  <c:v>1170</c:v>
                </c:pt>
                <c:pt idx="118">
                  <c:v>1180</c:v>
                </c:pt>
                <c:pt idx="119">
                  <c:v>1190</c:v>
                </c:pt>
                <c:pt idx="120">
                  <c:v>1200</c:v>
                </c:pt>
                <c:pt idx="121">
                  <c:v>1210</c:v>
                </c:pt>
                <c:pt idx="122">
                  <c:v>1220</c:v>
                </c:pt>
                <c:pt idx="123">
                  <c:v>1230</c:v>
                </c:pt>
                <c:pt idx="124">
                  <c:v>1240</c:v>
                </c:pt>
                <c:pt idx="125">
                  <c:v>1250</c:v>
                </c:pt>
                <c:pt idx="126">
                  <c:v>1260</c:v>
                </c:pt>
                <c:pt idx="127">
                  <c:v>1270</c:v>
                </c:pt>
                <c:pt idx="128">
                  <c:v>1280</c:v>
                </c:pt>
                <c:pt idx="129">
                  <c:v>1290</c:v>
                </c:pt>
                <c:pt idx="130">
                  <c:v>1300</c:v>
                </c:pt>
                <c:pt idx="131">
                  <c:v>1310</c:v>
                </c:pt>
                <c:pt idx="132">
                  <c:v>1320</c:v>
                </c:pt>
                <c:pt idx="133">
                  <c:v>1330</c:v>
                </c:pt>
                <c:pt idx="134">
                  <c:v>1340</c:v>
                </c:pt>
                <c:pt idx="135">
                  <c:v>1350</c:v>
                </c:pt>
                <c:pt idx="136">
                  <c:v>1360</c:v>
                </c:pt>
                <c:pt idx="137">
                  <c:v>1370</c:v>
                </c:pt>
                <c:pt idx="138">
                  <c:v>1380</c:v>
                </c:pt>
                <c:pt idx="139">
                  <c:v>1390</c:v>
                </c:pt>
                <c:pt idx="140">
                  <c:v>1400</c:v>
                </c:pt>
                <c:pt idx="141">
                  <c:v>1410</c:v>
                </c:pt>
                <c:pt idx="142">
                  <c:v>1420</c:v>
                </c:pt>
                <c:pt idx="143">
                  <c:v>1430</c:v>
                </c:pt>
                <c:pt idx="144">
                  <c:v>1440</c:v>
                </c:pt>
                <c:pt idx="145">
                  <c:v>1450</c:v>
                </c:pt>
                <c:pt idx="146">
                  <c:v>1460</c:v>
                </c:pt>
                <c:pt idx="147">
                  <c:v>1470</c:v>
                </c:pt>
                <c:pt idx="148">
                  <c:v>1480</c:v>
                </c:pt>
                <c:pt idx="149">
                  <c:v>1490</c:v>
                </c:pt>
                <c:pt idx="150">
                  <c:v>1500</c:v>
                </c:pt>
                <c:pt idx="151">
                  <c:v>1510</c:v>
                </c:pt>
                <c:pt idx="152">
                  <c:v>1520</c:v>
                </c:pt>
                <c:pt idx="153">
                  <c:v>1530</c:v>
                </c:pt>
                <c:pt idx="154">
                  <c:v>1540</c:v>
                </c:pt>
                <c:pt idx="155">
                  <c:v>1550</c:v>
                </c:pt>
                <c:pt idx="156">
                  <c:v>1560</c:v>
                </c:pt>
                <c:pt idx="157">
                  <c:v>1570</c:v>
                </c:pt>
                <c:pt idx="158">
                  <c:v>1580</c:v>
                </c:pt>
                <c:pt idx="159">
                  <c:v>1590</c:v>
                </c:pt>
                <c:pt idx="160">
                  <c:v>1600</c:v>
                </c:pt>
                <c:pt idx="161">
                  <c:v>1610</c:v>
                </c:pt>
                <c:pt idx="162">
                  <c:v>1620</c:v>
                </c:pt>
                <c:pt idx="163">
                  <c:v>1630</c:v>
                </c:pt>
                <c:pt idx="164">
                  <c:v>1640</c:v>
                </c:pt>
                <c:pt idx="165">
                  <c:v>1650</c:v>
                </c:pt>
                <c:pt idx="166">
                  <c:v>1660</c:v>
                </c:pt>
                <c:pt idx="167">
                  <c:v>1670</c:v>
                </c:pt>
                <c:pt idx="168">
                  <c:v>1680</c:v>
                </c:pt>
                <c:pt idx="169">
                  <c:v>1690</c:v>
                </c:pt>
                <c:pt idx="170">
                  <c:v>1700</c:v>
                </c:pt>
                <c:pt idx="171">
                  <c:v>1710</c:v>
                </c:pt>
                <c:pt idx="172">
                  <c:v>1720</c:v>
                </c:pt>
                <c:pt idx="173">
                  <c:v>1730</c:v>
                </c:pt>
                <c:pt idx="174">
                  <c:v>1740</c:v>
                </c:pt>
                <c:pt idx="175">
                  <c:v>1750</c:v>
                </c:pt>
                <c:pt idx="176">
                  <c:v>1760</c:v>
                </c:pt>
                <c:pt idx="177">
                  <c:v>1770</c:v>
                </c:pt>
                <c:pt idx="178">
                  <c:v>1780</c:v>
                </c:pt>
                <c:pt idx="179">
                  <c:v>1790</c:v>
                </c:pt>
                <c:pt idx="180">
                  <c:v>1800</c:v>
                </c:pt>
                <c:pt idx="181">
                  <c:v>1810</c:v>
                </c:pt>
                <c:pt idx="182">
                  <c:v>1820</c:v>
                </c:pt>
                <c:pt idx="183">
                  <c:v>1830</c:v>
                </c:pt>
                <c:pt idx="184">
                  <c:v>1840</c:v>
                </c:pt>
                <c:pt idx="185">
                  <c:v>1850</c:v>
                </c:pt>
                <c:pt idx="186">
                  <c:v>1860</c:v>
                </c:pt>
                <c:pt idx="187">
                  <c:v>1870</c:v>
                </c:pt>
                <c:pt idx="188">
                  <c:v>1880</c:v>
                </c:pt>
                <c:pt idx="189">
                  <c:v>1890</c:v>
                </c:pt>
                <c:pt idx="190">
                  <c:v>1900</c:v>
                </c:pt>
                <c:pt idx="191">
                  <c:v>1910</c:v>
                </c:pt>
                <c:pt idx="192">
                  <c:v>1920</c:v>
                </c:pt>
                <c:pt idx="193">
                  <c:v>1930</c:v>
                </c:pt>
                <c:pt idx="194">
                  <c:v>1940</c:v>
                </c:pt>
                <c:pt idx="195">
                  <c:v>1950</c:v>
                </c:pt>
                <c:pt idx="196">
                  <c:v>1960</c:v>
                </c:pt>
                <c:pt idx="197">
                  <c:v>1970</c:v>
                </c:pt>
                <c:pt idx="198">
                  <c:v>1980</c:v>
                </c:pt>
                <c:pt idx="199">
                  <c:v>1990</c:v>
                </c:pt>
                <c:pt idx="200">
                  <c:v>2000</c:v>
                </c:pt>
                <c:pt idx="201">
                  <c:v>2010</c:v>
                </c:pt>
                <c:pt idx="202">
                  <c:v>2020</c:v>
                </c:pt>
                <c:pt idx="203">
                  <c:v>2030</c:v>
                </c:pt>
                <c:pt idx="204">
                  <c:v>2040</c:v>
                </c:pt>
                <c:pt idx="205">
                  <c:v>2050</c:v>
                </c:pt>
                <c:pt idx="206">
                  <c:v>2060</c:v>
                </c:pt>
                <c:pt idx="207">
                  <c:v>2070</c:v>
                </c:pt>
                <c:pt idx="208">
                  <c:v>2080</c:v>
                </c:pt>
                <c:pt idx="209">
                  <c:v>2090</c:v>
                </c:pt>
                <c:pt idx="210">
                  <c:v>2100</c:v>
                </c:pt>
                <c:pt idx="211">
                  <c:v>2110</c:v>
                </c:pt>
                <c:pt idx="212">
                  <c:v>2120</c:v>
                </c:pt>
                <c:pt idx="213">
                  <c:v>2130</c:v>
                </c:pt>
                <c:pt idx="214">
                  <c:v>2140</c:v>
                </c:pt>
                <c:pt idx="215">
                  <c:v>2150</c:v>
                </c:pt>
                <c:pt idx="216">
                  <c:v>2160</c:v>
                </c:pt>
                <c:pt idx="217">
                  <c:v>2170</c:v>
                </c:pt>
                <c:pt idx="218">
                  <c:v>2180</c:v>
                </c:pt>
                <c:pt idx="219">
                  <c:v>2190</c:v>
                </c:pt>
                <c:pt idx="220">
                  <c:v>2200</c:v>
                </c:pt>
                <c:pt idx="221">
                  <c:v>2210</c:v>
                </c:pt>
                <c:pt idx="222">
                  <c:v>2220</c:v>
                </c:pt>
                <c:pt idx="223">
                  <c:v>2230</c:v>
                </c:pt>
                <c:pt idx="224">
                  <c:v>2240</c:v>
                </c:pt>
                <c:pt idx="225">
                  <c:v>2250</c:v>
                </c:pt>
                <c:pt idx="226">
                  <c:v>2260</c:v>
                </c:pt>
                <c:pt idx="227">
                  <c:v>2270</c:v>
                </c:pt>
                <c:pt idx="228">
                  <c:v>2280</c:v>
                </c:pt>
                <c:pt idx="229">
                  <c:v>2290</c:v>
                </c:pt>
                <c:pt idx="230">
                  <c:v>2300</c:v>
                </c:pt>
                <c:pt idx="231">
                  <c:v>2310</c:v>
                </c:pt>
                <c:pt idx="232">
                  <c:v>2320</c:v>
                </c:pt>
                <c:pt idx="233">
                  <c:v>2330</c:v>
                </c:pt>
                <c:pt idx="234">
                  <c:v>2340</c:v>
                </c:pt>
                <c:pt idx="235">
                  <c:v>2350</c:v>
                </c:pt>
                <c:pt idx="236">
                  <c:v>2360</c:v>
                </c:pt>
                <c:pt idx="237">
                  <c:v>2370</c:v>
                </c:pt>
                <c:pt idx="238">
                  <c:v>2380</c:v>
                </c:pt>
                <c:pt idx="239">
                  <c:v>2390</c:v>
                </c:pt>
                <c:pt idx="240">
                  <c:v>2400</c:v>
                </c:pt>
                <c:pt idx="241">
                  <c:v>2410</c:v>
                </c:pt>
                <c:pt idx="242">
                  <c:v>2420</c:v>
                </c:pt>
                <c:pt idx="243">
                  <c:v>2430</c:v>
                </c:pt>
                <c:pt idx="244">
                  <c:v>2440</c:v>
                </c:pt>
                <c:pt idx="245">
                  <c:v>2450</c:v>
                </c:pt>
                <c:pt idx="246">
                  <c:v>2460</c:v>
                </c:pt>
                <c:pt idx="247">
                  <c:v>2470</c:v>
                </c:pt>
                <c:pt idx="248">
                  <c:v>2480</c:v>
                </c:pt>
                <c:pt idx="249">
                  <c:v>2490</c:v>
                </c:pt>
                <c:pt idx="250">
                  <c:v>2500</c:v>
                </c:pt>
              </c:numCache>
            </c:numRef>
          </c:xVal>
          <c:yVal>
            <c:numRef>
              <c:f>Reliability_HyPower_Analysis!$AC$2:$AC$252</c:f>
              <c:numCache>
                <c:formatCode>0.000</c:formatCode>
                <c:ptCount val="251"/>
                <c:pt idx="0">
                  <c:v>0.98497967458048696</c:v>
                </c:pt>
                <c:pt idx="1">
                  <c:v>0.60318423752003925</c:v>
                </c:pt>
                <c:pt idx="2">
                  <c:v>0.52796172727388824</c:v>
                </c:pt>
                <c:pt idx="3">
                  <c:v>0.48331139951833868</c:v>
                </c:pt>
                <c:pt idx="4">
                  <c:v>0.4517253094682645</c:v>
                </c:pt>
                <c:pt idx="5">
                  <c:v>0.42742376915046543</c:v>
                </c:pt>
                <c:pt idx="6">
                  <c:v>0.40776616888381734</c:v>
                </c:pt>
                <c:pt idx="7">
                  <c:v>0.39132311956991561</c:v>
                </c:pt>
                <c:pt idx="8">
                  <c:v>0.37723370138513013</c:v>
                </c:pt>
                <c:pt idx="9">
                  <c:v>0.36493950805980468</c:v>
                </c:pt>
                <c:pt idx="10">
                  <c:v>0.35405799583143382</c:v>
                </c:pt>
                <c:pt idx="11">
                  <c:v>0.34431582608715916</c:v>
                </c:pt>
                <c:pt idx="12">
                  <c:v>0.33551103911137914</c:v>
                </c:pt>
                <c:pt idx="13">
                  <c:v>0.32749028500054567</c:v>
                </c:pt>
                <c:pt idx="14">
                  <c:v>0.32013445097199644</c:v>
                </c:pt>
                <c:pt idx="15">
                  <c:v>0.31334922625228079</c:v>
                </c:pt>
                <c:pt idx="16">
                  <c:v>0.30705870117892653</c:v>
                </c:pt>
                <c:pt idx="17">
                  <c:v>0.30120090132876953</c:v>
                </c:pt>
                <c:pt idx="18">
                  <c:v>0.29572459544991614</c:v>
                </c:pt>
                <c:pt idx="19">
                  <c:v>0.2905869652593196</c:v>
                </c:pt>
                <c:pt idx="20">
                  <c:v>0.28575187255137879</c:v>
                </c:pt>
                <c:pt idx="21">
                  <c:v>0.28118854912785807</c:v>
                </c:pt>
                <c:pt idx="22">
                  <c:v>0.27687059171927897</c:v>
                </c:pt>
                <c:pt idx="23">
                  <c:v>0.27277518064184403</c:v>
                </c:pt>
                <c:pt idx="24">
                  <c:v>0.26888246509093694</c:v>
                </c:pt>
                <c:pt idx="25">
                  <c:v>0.26517507426053888</c:v>
                </c:pt>
                <c:pt idx="26">
                  <c:v>0.26163772466724744</c:v>
                </c:pt>
                <c:pt idx="27">
                  <c:v>0.25825690187542794</c:v>
                </c:pt>
                <c:pt idx="28">
                  <c:v>0.25502060036726659</c:v>
                </c:pt>
                <c:pt idx="29">
                  <c:v>0.25191810929369995</c:v>
                </c:pt>
                <c:pt idx="30">
                  <c:v>0.24893983475291803</c:v>
                </c:pt>
                <c:pt idx="31">
                  <c:v>0.24607715139098518</c:v>
                </c:pt>
                <c:pt idx="32">
                  <c:v>0.24332227772176951</c:v>
                </c:pt>
                <c:pt idx="33">
                  <c:v>0.24066817077160696</c:v>
                </c:pt>
                <c:pt idx="34">
                  <c:v>0.23810843657382219</c:v>
                </c:pt>
                <c:pt idx="35">
                  <c:v>0.23563725374459543</c:v>
                </c:pt>
                <c:pt idx="36">
                  <c:v>0.23324930791876386</c:v>
                </c:pt>
                <c:pt idx="37">
                  <c:v>0.23093973525123568</c:v>
                </c:pt>
                <c:pt idx="38">
                  <c:v>0.22870407352556565</c:v>
                </c:pt>
                <c:pt idx="39">
                  <c:v>0.22653821967724541</c:v>
                </c:pt>
                <c:pt idx="40">
                  <c:v>0.22443839275128896</c:v>
                </c:pt>
                <c:pt idx="41">
                  <c:v>0.22240110148377679</c:v>
                </c:pt>
                <c:pt idx="42">
                  <c:v>0.22042311583424334</c:v>
                </c:pt>
                <c:pt idx="43">
                  <c:v>0.21850144190712895</c:v>
                </c:pt>
                <c:pt idx="44">
                  <c:v>0.21663329979132617</c:v>
                </c:pt>
                <c:pt idx="45">
                  <c:v>0.21481610392128492</c:v>
                </c:pt>
                <c:pt idx="46">
                  <c:v>0.21304744562445965</c:v>
                </c:pt>
                <c:pt idx="47">
                  <c:v>0.21132507757060304</c:v>
                </c:pt>
                <c:pt idx="48">
                  <c:v>0.20964689988057639</c:v>
                </c:pt>
                <c:pt idx="49">
                  <c:v>0.20801094768751727</c:v>
                </c:pt>
                <c:pt idx="50">
                  <c:v>0.20641537997268178</c:v>
                </c:pt>
                <c:pt idx="51">
                  <c:v>0.2048584695230613</c:v>
                </c:pt>
                <c:pt idx="52">
                  <c:v>0.20333859387878639</c:v>
                </c:pt>
                <c:pt idx="53">
                  <c:v>0.20185422715605672</c:v>
                </c:pt>
                <c:pt idx="54">
                  <c:v>0.2004039326463789</c:v>
                </c:pt>
                <c:pt idx="55">
                  <c:v>0.19898635610573756</c:v>
                </c:pt>
                <c:pt idx="56">
                  <c:v>0.19760021965829511</c:v>
                </c:pt>
                <c:pt idx="57">
                  <c:v>0.19624431624863048</c:v>
                </c:pt>
                <c:pt idx="58">
                  <c:v>0.19491750458462398</c:v>
                </c:pt>
                <c:pt idx="59">
                  <c:v>0.19361870452007524</c:v>
                </c:pt>
                <c:pt idx="60">
                  <c:v>0.19234689283218553</c:v>
                </c:pt>
                <c:pt idx="61">
                  <c:v>0.191101099354266</c:v>
                </c:pt>
                <c:pt idx="62">
                  <c:v>0.1898804034285867</c:v>
                </c:pt>
                <c:pt idx="63">
                  <c:v>0.1886839306482444</c:v>
                </c:pt>
                <c:pt idx="64">
                  <c:v>0.18751084986039035</c:v>
                </c:pt>
                <c:pt idx="65">
                  <c:v>0.18636037040618625</c:v>
                </c:pt>
                <c:pt idx="66">
                  <c:v>0.18523173957551575</c:v>
                </c:pt>
                <c:pt idx="67">
                  <c:v>0.18412424025681373</c:v>
                </c:pt>
                <c:pt idx="68">
                  <c:v>0.18303718876442976</c:v>
                </c:pt>
                <c:pt idx="69">
                  <c:v>0.18196993282776108</c:v>
                </c:pt>
                <c:pt idx="70">
                  <c:v>0.18092184972798941</c:v>
                </c:pt>
                <c:pt idx="71">
                  <c:v>0.17989234456968106</c:v>
                </c:pt>
                <c:pt idx="72">
                  <c:v>0.17888084867576848</c:v>
                </c:pt>
                <c:pt idx="73">
                  <c:v>0.17788681809554929</c:v>
                </c:pt>
                <c:pt idx="74">
                  <c:v>0.17690973221634332</c:v>
                </c:pt>
                <c:pt idx="75">
                  <c:v>0.17594909247032875</c:v>
                </c:pt>
                <c:pt idx="76">
                  <c:v>0.17500442112888015</c:v>
                </c:pt>
                <c:pt idx="77">
                  <c:v>0.17407526017743846</c:v>
                </c:pt>
                <c:pt idx="78">
                  <c:v>0.17316117026457933</c:v>
                </c:pt>
                <c:pt idx="79">
                  <c:v>0.17226172971951981</c:v>
                </c:pt>
                <c:pt idx="80">
                  <c:v>0.17137653363281447</c:v>
                </c:pt>
                <c:pt idx="81">
                  <c:v>0.17050519299545486</c:v>
                </c:pt>
                <c:pt idx="82">
                  <c:v>0.16964733389200193</c:v>
                </c:pt>
                <c:pt idx="83">
                  <c:v>0.16880259674375697</c:v>
                </c:pt>
                <c:pt idx="84">
                  <c:v>0.16797063559831471</c:v>
                </c:pt>
                <c:pt idx="85">
                  <c:v>0.16715111746214872</c:v>
                </c:pt>
                <c:pt idx="86">
                  <c:v>0.16634372167316047</c:v>
                </c:pt>
                <c:pt idx="87">
                  <c:v>0.16554813931036727</c:v>
                </c:pt>
                <c:pt idx="88">
                  <c:v>0.16476407263814319</c:v>
                </c:pt>
                <c:pt idx="89">
                  <c:v>0.16399123458262521</c:v>
                </c:pt>
                <c:pt idx="90">
                  <c:v>0.16322934823809276</c:v>
                </c:pt>
                <c:pt idx="91">
                  <c:v>0.16247814640129499</c:v>
                </c:pt>
                <c:pt idx="92">
                  <c:v>0.16173737113186315</c:v>
                </c:pt>
                <c:pt idx="93">
                  <c:v>0.16100677333708246</c:v>
                </c:pt>
                <c:pt idx="94">
                  <c:v>0.16028611237943358</c:v>
                </c:pt>
                <c:pt idx="95">
                  <c:v>0.15957515570542946</c:v>
                </c:pt>
                <c:pt idx="96">
                  <c:v>0.15887367849438638</c:v>
                </c:pt>
                <c:pt idx="97">
                  <c:v>0.15818146332586436</c:v>
                </c:pt>
                <c:pt idx="98">
                  <c:v>0.15749829986460884</c:v>
                </c:pt>
                <c:pt idx="99">
                  <c:v>0.15682398456190394</c:v>
                </c:pt>
                <c:pt idx="100">
                  <c:v>0.15615832037233202</c:v>
                </c:pt>
                <c:pt idx="101">
                  <c:v>0.15550111648499843</c:v>
                </c:pt>
                <c:pt idx="102">
                  <c:v>0.1548521880683531</c:v>
                </c:pt>
                <c:pt idx="103">
                  <c:v>0.15421135602779434</c:v>
                </c:pt>
                <c:pt idx="104">
                  <c:v>0.15357844677530086</c:v>
                </c:pt>
                <c:pt idx="105">
                  <c:v>0.15295329201038732</c:v>
                </c:pt>
                <c:pt idx="106">
                  <c:v>0.15233572851172628</c:v>
                </c:pt>
                <c:pt idx="107">
                  <c:v>0.15172559793882323</c:v>
                </c:pt>
                <c:pt idx="108">
                  <c:v>0.15112274664317216</c:v>
                </c:pt>
                <c:pt idx="109">
                  <c:v>0.15052702548835806</c:v>
                </c:pt>
                <c:pt idx="110">
                  <c:v>0.14993828967860323</c:v>
                </c:pt>
                <c:pt idx="111">
                  <c:v>0.14935639859529226</c:v>
                </c:pt>
                <c:pt idx="112">
                  <c:v>0.14878121564103475</c:v>
                </c:pt>
                <c:pt idx="113">
                  <c:v>0.1482126080908579</c:v>
                </c:pt>
                <c:pt idx="114">
                  <c:v>0.14765044695014184</c:v>
                </c:pt>
                <c:pt idx="115">
                  <c:v>0.1470946068189386</c:v>
                </c:pt>
                <c:pt idx="116">
                  <c:v>0.14654496576233367</c:v>
                </c:pt>
                <c:pt idx="117">
                  <c:v>0.14600140518653526</c:v>
                </c:pt>
                <c:pt idx="118">
                  <c:v>0.14546380972039075</c:v>
                </c:pt>
                <c:pt idx="119">
                  <c:v>0.14493206710204842</c:v>
                </c:pt>
                <c:pt idx="120">
                  <c:v>0.14440606807050327</c:v>
                </c:pt>
                <c:pt idx="121">
                  <c:v>0.14388570626177599</c:v>
                </c:pt>
                <c:pt idx="122">
                  <c:v>0.14337087810949201</c:v>
                </c:pt>
                <c:pt idx="123">
                  <c:v>0.14286148274964172</c:v>
                </c:pt>
                <c:pt idx="124">
                  <c:v>0.14235742192931067</c:v>
                </c:pt>
                <c:pt idx="125">
                  <c:v>0.14185859991918792</c:v>
                </c:pt>
                <c:pt idx="126">
                  <c:v>0.14136492342966567</c:v>
                </c:pt>
                <c:pt idx="127">
                  <c:v>0.1408763015303568</c:v>
                </c:pt>
                <c:pt idx="128">
                  <c:v>0.14039264557286535</c:v>
                </c:pt>
                <c:pt idx="129">
                  <c:v>0.13991386911665371</c:v>
                </c:pt>
                <c:pt idx="130">
                  <c:v>0.1394398878578631</c:v>
                </c:pt>
                <c:pt idx="131">
                  <c:v>0.13897061956094348</c:v>
                </c:pt>
                <c:pt idx="132">
                  <c:v>0.13850598399296588</c:v>
                </c:pt>
                <c:pt idx="133">
                  <c:v>0.13804590286049112</c:v>
                </c:pt>
                <c:pt idx="134">
                  <c:v>0.1375902997488766</c:v>
                </c:pt>
                <c:pt idx="135">
                  <c:v>0.13713910006391128</c:v>
                </c:pt>
                <c:pt idx="136">
                  <c:v>0.13669223097567329</c:v>
                </c:pt>
                <c:pt idx="137">
                  <c:v>0.13624962136450813</c:v>
                </c:pt>
                <c:pt idx="138">
                  <c:v>0.13581120176903572</c:v>
                </c:pt>
                <c:pt idx="139">
                  <c:v>0.13537690433609373</c:v>
                </c:pt>
                <c:pt idx="140">
                  <c:v>0.13494666277253309</c:v>
                </c:pt>
                <c:pt idx="141">
                  <c:v>0.13452041229878453</c:v>
                </c:pt>
                <c:pt idx="142">
                  <c:v>0.13409808960411962</c:v>
                </c:pt>
                <c:pt idx="143">
                  <c:v>0.13367963280353212</c:v>
                </c:pt>
                <c:pt idx="144">
                  <c:v>0.13326498139617082</c:v>
                </c:pt>
                <c:pt idx="145">
                  <c:v>0.13285407622525924</c:v>
                </c:pt>
                <c:pt idx="146">
                  <c:v>0.13244685943943602</c:v>
                </c:pt>
                <c:pt idx="147">
                  <c:v>0.13204327445545994</c:v>
                </c:pt>
                <c:pt idx="148">
                  <c:v>0.13164326592222075</c:v>
                </c:pt>
                <c:pt idx="149">
                  <c:v>0.13124677968600185</c:v>
                </c:pt>
                <c:pt idx="150">
                  <c:v>0.13085376275694383</c:v>
                </c:pt>
                <c:pt idx="151">
                  <c:v>0.13046416327665922</c:v>
                </c:pt>
                <c:pt idx="152">
                  <c:v>0.1300779304869526</c:v>
                </c:pt>
                <c:pt idx="153">
                  <c:v>0.12969501469960054</c:v>
                </c:pt>
                <c:pt idx="154">
                  <c:v>0.1293153672671491</c:v>
                </c:pt>
                <c:pt idx="155">
                  <c:v>0.12893894055468857</c:v>
                </c:pt>
                <c:pt idx="156">
                  <c:v>0.12856568791256717</c:v>
                </c:pt>
                <c:pt idx="157">
                  <c:v>0.12819556365000606</c:v>
                </c:pt>
                <c:pt idx="158">
                  <c:v>0.12782852300957992</c:v>
                </c:pt>
                <c:pt idx="159">
                  <c:v>0.1274645221425319</c:v>
                </c:pt>
                <c:pt idx="160">
                  <c:v>0.12710351808488762</c:v>
                </c:pt>
                <c:pt idx="161">
                  <c:v>0.12674546873433989</c:v>
                </c:pt>
                <c:pt idx="162">
                  <c:v>0.12639033282787338</c:v>
                </c:pt>
                <c:pt idx="163">
                  <c:v>0.12603806992010202</c:v>
                </c:pt>
                <c:pt idx="164">
                  <c:v>0.12568864036229288</c:v>
                </c:pt>
                <c:pt idx="165">
                  <c:v>0.12534200528204786</c:v>
                </c:pt>
                <c:pt idx="166">
                  <c:v>0.12499812656362275</c:v>
                </c:pt>
                <c:pt idx="167">
                  <c:v>0.12465696682885741</c:v>
                </c:pt>
                <c:pt idx="168">
                  <c:v>0.12431848941869528</c:v>
                </c:pt>
                <c:pt idx="169">
                  <c:v>0.12398265837527089</c:v>
                </c:pt>
                <c:pt idx="170">
                  <c:v>0.12364943842454423</c:v>
                </c:pt>
                <c:pt idx="171">
                  <c:v>0.12331879495946296</c:v>
                </c:pt>
                <c:pt idx="172">
                  <c:v>0.12299069402363294</c:v>
                </c:pt>
                <c:pt idx="173">
                  <c:v>0.12266510229547856</c:v>
                </c:pt>
                <c:pt idx="174">
                  <c:v>0.12234198707287713</c:v>
                </c:pt>
                <c:pt idx="175">
                  <c:v>0.12202131625824797</c:v>
                </c:pt>
                <c:pt idx="176">
                  <c:v>0.12170305834408246</c:v>
                </c:pt>
                <c:pt idx="177">
                  <c:v>0.12138718239889912</c:v>
                </c:pt>
                <c:pt idx="178">
                  <c:v>0.12107365805360815</c:v>
                </c:pt>
                <c:pt idx="179">
                  <c:v>0.1207624554882718</c:v>
                </c:pt>
                <c:pt idx="180">
                  <c:v>0.12045354541924769</c:v>
                </c:pt>
                <c:pt idx="181">
                  <c:v>0.12014689908670029</c:v>
                </c:pt>
                <c:pt idx="182">
                  <c:v>0.11984248824247012</c:v>
                </c:pt>
                <c:pt idx="183">
                  <c:v>0.11954028513828674</c:v>
                </c:pt>
                <c:pt idx="184">
                  <c:v>0.11924026251431519</c:v>
                </c:pt>
                <c:pt idx="185">
                  <c:v>0.11894239358802416</c:v>
                </c:pt>
                <c:pt idx="186">
                  <c:v>0.11864665204336522</c:v>
                </c:pt>
                <c:pt idx="187">
                  <c:v>0.11835301202025339</c:v>
                </c:pt>
                <c:pt idx="188">
                  <c:v>0.11806144810433805</c:v>
                </c:pt>
                <c:pt idx="189">
                  <c:v>0.11777193531705588</c:v>
                </c:pt>
                <c:pt idx="190">
                  <c:v>0.11748444910595546</c:v>
                </c:pt>
                <c:pt idx="191">
                  <c:v>0.11719896533528618</c:v>
                </c:pt>
                <c:pt idx="192">
                  <c:v>0.11691546027684152</c:v>
                </c:pt>
                <c:pt idx="193">
                  <c:v>0.116633910601049</c:v>
                </c:pt>
                <c:pt idx="194">
                  <c:v>0.11635429336829972</c:v>
                </c:pt>
                <c:pt idx="195">
                  <c:v>0.11607658602050863</c:v>
                </c:pt>
                <c:pt idx="196">
                  <c:v>0.11580076637289927</c:v>
                </c:pt>
                <c:pt idx="197">
                  <c:v>0.11552681260600473</c:v>
                </c:pt>
                <c:pt idx="198">
                  <c:v>0.11525470325788045</c:v>
                </c:pt>
                <c:pt idx="199">
                  <c:v>0.11498441721651886</c:v>
                </c:pt>
                <c:pt idx="200">
                  <c:v>0.11471593371246247</c:v>
                </c:pt>
                <c:pt idx="201">
                  <c:v>0.11444923231160753</c:v>
                </c:pt>
                <c:pt idx="202">
                  <c:v>0.11418429290819465</c:v>
                </c:pt>
                <c:pt idx="203">
                  <c:v>0.11392109571797682</c:v>
                </c:pt>
                <c:pt idx="204">
                  <c:v>0.11365962127156404</c:v>
                </c:pt>
                <c:pt idx="205">
                  <c:v>0.11339985040793532</c:v>
                </c:pt>
                <c:pt idx="206">
                  <c:v>0.11314176426811562</c:v>
                </c:pt>
                <c:pt idx="207">
                  <c:v>0.11288534428901198</c:v>
                </c:pt>
                <c:pt idx="208">
                  <c:v>0.11263057219740269</c:v>
                </c:pt>
                <c:pt idx="209">
                  <c:v>0.11237743000407752</c:v>
                </c:pt>
                <c:pt idx="210">
                  <c:v>0.11212589999812328</c:v>
                </c:pt>
                <c:pt idx="211">
                  <c:v>0.11187596474134909</c:v>
                </c:pt>
                <c:pt idx="212">
                  <c:v>0.11162760706285058</c:v>
                </c:pt>
                <c:pt idx="213">
                  <c:v>0.11138081005370493</c:v>
                </c:pt>
                <c:pt idx="214">
                  <c:v>0.11113555706179712</c:v>
                </c:pt>
                <c:pt idx="215">
                  <c:v>0.11089183168676975</c:v>
                </c:pt>
                <c:pt idx="216">
                  <c:v>0.11064961777509597</c:v>
                </c:pt>
                <c:pt idx="217">
                  <c:v>0.11040889941526988</c:v>
                </c:pt>
                <c:pt idx="218">
                  <c:v>0.11016966093311253</c:v>
                </c:pt>
                <c:pt idx="219">
                  <c:v>0.10993188688718902</c:v>
                </c:pt>
                <c:pt idx="220">
                  <c:v>0.10969556206433484</c:v>
                </c:pt>
                <c:pt idx="221">
                  <c:v>0.1094606714752866</c:v>
                </c:pt>
                <c:pt idx="222">
                  <c:v>0.10922720035041722</c:v>
                </c:pt>
                <c:pt idx="223">
                  <c:v>0.10899513413556827</c:v>
                </c:pt>
                <c:pt idx="224">
                  <c:v>0.10876445848798189</c:v>
                </c:pt>
                <c:pt idx="225">
                  <c:v>0.10853515927232527</c:v>
                </c:pt>
                <c:pt idx="226">
                  <c:v>0.10830722255680725</c:v>
                </c:pt>
                <c:pt idx="227">
                  <c:v>0.108080634609384</c:v>
                </c:pt>
                <c:pt idx="228">
                  <c:v>0.10785538189405242</c:v>
                </c:pt>
                <c:pt idx="229">
                  <c:v>0.10763145106722649</c:v>
                </c:pt>
                <c:pt idx="230">
                  <c:v>0.10740882897419679</c:v>
                </c:pt>
                <c:pt idx="231">
                  <c:v>0.10718750264566934</c:v>
                </c:pt>
                <c:pt idx="232">
                  <c:v>0.106967459294383</c:v>
                </c:pt>
                <c:pt idx="233">
                  <c:v>0.1067486863118019</c:v>
                </c:pt>
                <c:pt idx="234">
                  <c:v>0.10653117126488176</c:v>
                </c:pt>
                <c:pt idx="235">
                  <c:v>0.10631490189290793</c:v>
                </c:pt>
                <c:pt idx="236">
                  <c:v>0.10609986610440403</c:v>
                </c:pt>
                <c:pt idx="237">
                  <c:v>0.1058860519741075</c:v>
                </c:pt>
                <c:pt idx="238">
                  <c:v>0.10567344774001208</c:v>
                </c:pt>
                <c:pt idx="239">
                  <c:v>0.10546204180047525</c:v>
                </c:pt>
                <c:pt idx="240">
                  <c:v>0.10525182271138744</c:v>
                </c:pt>
                <c:pt idx="241">
                  <c:v>0.10504277918340355</c:v>
                </c:pt>
                <c:pt idx="242">
                  <c:v>0.10483490007923402</c:v>
                </c:pt>
                <c:pt idx="243">
                  <c:v>0.10462817441099315</c:v>
                </c:pt>
                <c:pt idx="244">
                  <c:v>0.10442259133760601</c:v>
                </c:pt>
                <c:pt idx="245">
                  <c:v>0.10421814016226805</c:v>
                </c:pt>
                <c:pt idx="246">
                  <c:v>0.10401481032996096</c:v>
                </c:pt>
                <c:pt idx="247">
                  <c:v>0.10381259142502008</c:v>
                </c:pt>
                <c:pt idx="248">
                  <c:v>0.10361147316875241</c:v>
                </c:pt>
                <c:pt idx="249">
                  <c:v>0.10341144541710545</c:v>
                </c:pt>
                <c:pt idx="250">
                  <c:v>0.10321249815838474</c:v>
                </c:pt>
              </c:numCache>
            </c:numRef>
          </c:yVal>
          <c:smooth val="0"/>
          <c:extLst>
            <c:ext xmlns:c16="http://schemas.microsoft.com/office/drawing/2014/chart" uri="{C3380CC4-5D6E-409C-BE32-E72D297353CC}">
              <c16:uniqueId val="{00000000-D07E-4FF5-827A-0244361144A6}"/>
            </c:ext>
          </c:extLst>
        </c:ser>
        <c:dLbls>
          <c:showLegendKey val="0"/>
          <c:showVal val="0"/>
          <c:showCatName val="0"/>
          <c:showSerName val="0"/>
          <c:showPercent val="0"/>
          <c:showBubbleSize val="0"/>
        </c:dLbls>
        <c:axId val="1595666911"/>
        <c:axId val="1595661087"/>
      </c:scatterChart>
      <c:valAx>
        <c:axId val="1595666911"/>
        <c:scaling>
          <c:orientation val="minMax"/>
          <c:max val="250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r>
                  <a:rPr lang="en-GB"/>
                  <a:t>Time [min]</a:t>
                </a:r>
                <a:endParaRPr lang="sr-Latn-RS"/>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itle>
        <c:numFmt formatCode="0"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595661087"/>
        <c:crosses val="autoZero"/>
        <c:crossBetween val="midCat"/>
      </c:valAx>
      <c:valAx>
        <c:axId val="1595661087"/>
        <c:scaling>
          <c:orientation val="minMax"/>
          <c:max val="1"/>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r>
                  <a:rPr lang="en-GB"/>
                  <a:t>R</a:t>
                </a:r>
                <a:r>
                  <a:rPr lang="en-GB" baseline="-25000"/>
                  <a:t>lognormal</a:t>
                </a:r>
                <a:r>
                  <a:rPr lang="en-GB"/>
                  <a:t> (t)</a:t>
                </a:r>
                <a:endParaRPr lang="sr-Latn-RS"/>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itle>
        <c:numFmt formatCode="0.000"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595666911"/>
        <c:crosses val="autoZero"/>
        <c:crossBetween val="midCat"/>
      </c:valAx>
      <c:spPr>
        <a:noFill/>
        <a:ln w="3175">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Garamond" panose="02020404030301010803" pitchFamily="18" charset="0"/>
        </a:defRPr>
      </a:pPr>
      <a:endParaRPr lang="sr-Latn-RS"/>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Reliability_HyPower_Analysis!$AD$1</c:f>
              <c:strCache>
                <c:ptCount val="1"/>
                <c:pt idx="0">
                  <c:v>R(t)pareto</c:v>
                </c:pt>
              </c:strCache>
            </c:strRef>
          </c:tx>
          <c:spPr>
            <a:ln w="25400" cap="rnd">
              <a:noFill/>
              <a:round/>
            </a:ln>
            <a:effectLst/>
          </c:spPr>
          <c:marker>
            <c:symbol val="diamond"/>
            <c:size val="5"/>
            <c:spPr>
              <a:noFill/>
              <a:ln w="3175">
                <a:solidFill>
                  <a:srgbClr val="0000FF"/>
                </a:solidFill>
              </a:ln>
              <a:effectLst/>
            </c:spPr>
          </c:marker>
          <c:xVal>
            <c:numRef>
              <c:f>Reliability_HyPower_Analysis!$AB$2:$AB$252</c:f>
              <c:numCache>
                <c:formatCode>0</c:formatCode>
                <c:ptCount val="251"/>
                <c:pt idx="0">
                  <c:v>0.01</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210</c:v>
                </c:pt>
                <c:pt idx="22">
                  <c:v>220</c:v>
                </c:pt>
                <c:pt idx="23">
                  <c:v>230</c:v>
                </c:pt>
                <c:pt idx="24">
                  <c:v>240</c:v>
                </c:pt>
                <c:pt idx="25">
                  <c:v>250</c:v>
                </c:pt>
                <c:pt idx="26">
                  <c:v>260</c:v>
                </c:pt>
                <c:pt idx="27">
                  <c:v>270</c:v>
                </c:pt>
                <c:pt idx="28">
                  <c:v>280</c:v>
                </c:pt>
                <c:pt idx="29">
                  <c:v>290</c:v>
                </c:pt>
                <c:pt idx="30">
                  <c:v>300</c:v>
                </c:pt>
                <c:pt idx="31">
                  <c:v>310</c:v>
                </c:pt>
                <c:pt idx="32">
                  <c:v>320</c:v>
                </c:pt>
                <c:pt idx="33">
                  <c:v>330</c:v>
                </c:pt>
                <c:pt idx="34">
                  <c:v>340</c:v>
                </c:pt>
                <c:pt idx="35">
                  <c:v>350</c:v>
                </c:pt>
                <c:pt idx="36">
                  <c:v>360</c:v>
                </c:pt>
                <c:pt idx="37">
                  <c:v>370</c:v>
                </c:pt>
                <c:pt idx="38">
                  <c:v>380</c:v>
                </c:pt>
                <c:pt idx="39">
                  <c:v>390</c:v>
                </c:pt>
                <c:pt idx="40">
                  <c:v>400</c:v>
                </c:pt>
                <c:pt idx="41">
                  <c:v>410</c:v>
                </c:pt>
                <c:pt idx="42">
                  <c:v>420</c:v>
                </c:pt>
                <c:pt idx="43">
                  <c:v>430</c:v>
                </c:pt>
                <c:pt idx="44">
                  <c:v>440</c:v>
                </c:pt>
                <c:pt idx="45">
                  <c:v>450</c:v>
                </c:pt>
                <c:pt idx="46">
                  <c:v>460</c:v>
                </c:pt>
                <c:pt idx="47">
                  <c:v>470</c:v>
                </c:pt>
                <c:pt idx="48">
                  <c:v>480</c:v>
                </c:pt>
                <c:pt idx="49">
                  <c:v>490</c:v>
                </c:pt>
                <c:pt idx="50">
                  <c:v>500</c:v>
                </c:pt>
                <c:pt idx="51">
                  <c:v>510</c:v>
                </c:pt>
                <c:pt idx="52">
                  <c:v>520</c:v>
                </c:pt>
                <c:pt idx="53">
                  <c:v>530</c:v>
                </c:pt>
                <c:pt idx="54">
                  <c:v>540</c:v>
                </c:pt>
                <c:pt idx="55">
                  <c:v>550</c:v>
                </c:pt>
                <c:pt idx="56">
                  <c:v>560</c:v>
                </c:pt>
                <c:pt idx="57">
                  <c:v>570</c:v>
                </c:pt>
                <c:pt idx="58">
                  <c:v>580</c:v>
                </c:pt>
                <c:pt idx="59">
                  <c:v>590</c:v>
                </c:pt>
                <c:pt idx="60">
                  <c:v>600</c:v>
                </c:pt>
                <c:pt idx="61">
                  <c:v>610</c:v>
                </c:pt>
                <c:pt idx="62">
                  <c:v>620</c:v>
                </c:pt>
                <c:pt idx="63">
                  <c:v>630</c:v>
                </c:pt>
                <c:pt idx="64">
                  <c:v>640</c:v>
                </c:pt>
                <c:pt idx="65">
                  <c:v>650</c:v>
                </c:pt>
                <c:pt idx="66">
                  <c:v>660</c:v>
                </c:pt>
                <c:pt idx="67">
                  <c:v>670</c:v>
                </c:pt>
                <c:pt idx="68">
                  <c:v>680</c:v>
                </c:pt>
                <c:pt idx="69">
                  <c:v>690</c:v>
                </c:pt>
                <c:pt idx="70">
                  <c:v>700</c:v>
                </c:pt>
                <c:pt idx="71">
                  <c:v>710</c:v>
                </c:pt>
                <c:pt idx="72">
                  <c:v>720</c:v>
                </c:pt>
                <c:pt idx="73">
                  <c:v>730</c:v>
                </c:pt>
                <c:pt idx="74">
                  <c:v>740</c:v>
                </c:pt>
                <c:pt idx="75">
                  <c:v>750</c:v>
                </c:pt>
                <c:pt idx="76">
                  <c:v>760</c:v>
                </c:pt>
                <c:pt idx="77">
                  <c:v>770</c:v>
                </c:pt>
                <c:pt idx="78">
                  <c:v>780</c:v>
                </c:pt>
                <c:pt idx="79">
                  <c:v>790</c:v>
                </c:pt>
                <c:pt idx="80">
                  <c:v>800</c:v>
                </c:pt>
                <c:pt idx="81">
                  <c:v>810</c:v>
                </c:pt>
                <c:pt idx="82">
                  <c:v>820</c:v>
                </c:pt>
                <c:pt idx="83">
                  <c:v>830</c:v>
                </c:pt>
                <c:pt idx="84">
                  <c:v>840</c:v>
                </c:pt>
                <c:pt idx="85">
                  <c:v>850</c:v>
                </c:pt>
                <c:pt idx="86">
                  <c:v>860</c:v>
                </c:pt>
                <c:pt idx="87">
                  <c:v>870</c:v>
                </c:pt>
                <c:pt idx="88">
                  <c:v>880</c:v>
                </c:pt>
                <c:pt idx="89">
                  <c:v>890</c:v>
                </c:pt>
                <c:pt idx="90">
                  <c:v>900</c:v>
                </c:pt>
                <c:pt idx="91">
                  <c:v>910</c:v>
                </c:pt>
                <c:pt idx="92">
                  <c:v>920</c:v>
                </c:pt>
                <c:pt idx="93">
                  <c:v>930</c:v>
                </c:pt>
                <c:pt idx="94">
                  <c:v>940</c:v>
                </c:pt>
                <c:pt idx="95">
                  <c:v>950</c:v>
                </c:pt>
                <c:pt idx="96">
                  <c:v>960</c:v>
                </c:pt>
                <c:pt idx="97">
                  <c:v>970</c:v>
                </c:pt>
                <c:pt idx="98">
                  <c:v>980</c:v>
                </c:pt>
                <c:pt idx="99">
                  <c:v>990</c:v>
                </c:pt>
                <c:pt idx="100">
                  <c:v>1000</c:v>
                </c:pt>
                <c:pt idx="101">
                  <c:v>1010</c:v>
                </c:pt>
                <c:pt idx="102">
                  <c:v>1020</c:v>
                </c:pt>
                <c:pt idx="103">
                  <c:v>1030</c:v>
                </c:pt>
                <c:pt idx="104">
                  <c:v>1040</c:v>
                </c:pt>
                <c:pt idx="105">
                  <c:v>1050</c:v>
                </c:pt>
                <c:pt idx="106">
                  <c:v>1060</c:v>
                </c:pt>
                <c:pt idx="107">
                  <c:v>1070</c:v>
                </c:pt>
                <c:pt idx="108">
                  <c:v>1080</c:v>
                </c:pt>
                <c:pt idx="109">
                  <c:v>1090</c:v>
                </c:pt>
                <c:pt idx="110">
                  <c:v>1100</c:v>
                </c:pt>
                <c:pt idx="111">
                  <c:v>1110</c:v>
                </c:pt>
                <c:pt idx="112">
                  <c:v>1120</c:v>
                </c:pt>
                <c:pt idx="113">
                  <c:v>1130</c:v>
                </c:pt>
                <c:pt idx="114">
                  <c:v>1140</c:v>
                </c:pt>
                <c:pt idx="115">
                  <c:v>1150</c:v>
                </c:pt>
                <c:pt idx="116">
                  <c:v>1160</c:v>
                </c:pt>
                <c:pt idx="117">
                  <c:v>1170</c:v>
                </c:pt>
                <c:pt idx="118">
                  <c:v>1180</c:v>
                </c:pt>
                <c:pt idx="119">
                  <c:v>1190</c:v>
                </c:pt>
                <c:pt idx="120">
                  <c:v>1200</c:v>
                </c:pt>
                <c:pt idx="121">
                  <c:v>1210</c:v>
                </c:pt>
                <c:pt idx="122">
                  <c:v>1220</c:v>
                </c:pt>
                <c:pt idx="123">
                  <c:v>1230</c:v>
                </c:pt>
                <c:pt idx="124">
                  <c:v>1240</c:v>
                </c:pt>
                <c:pt idx="125">
                  <c:v>1250</c:v>
                </c:pt>
                <c:pt idx="126">
                  <c:v>1260</c:v>
                </c:pt>
                <c:pt idx="127">
                  <c:v>1270</c:v>
                </c:pt>
                <c:pt idx="128">
                  <c:v>1280</c:v>
                </c:pt>
                <c:pt idx="129">
                  <c:v>1290</c:v>
                </c:pt>
                <c:pt idx="130">
                  <c:v>1300</c:v>
                </c:pt>
                <c:pt idx="131">
                  <c:v>1310</c:v>
                </c:pt>
                <c:pt idx="132">
                  <c:v>1320</c:v>
                </c:pt>
                <c:pt idx="133">
                  <c:v>1330</c:v>
                </c:pt>
                <c:pt idx="134">
                  <c:v>1340</c:v>
                </c:pt>
                <c:pt idx="135">
                  <c:v>1350</c:v>
                </c:pt>
                <c:pt idx="136">
                  <c:v>1360</c:v>
                </c:pt>
                <c:pt idx="137">
                  <c:v>1370</c:v>
                </c:pt>
                <c:pt idx="138">
                  <c:v>1380</c:v>
                </c:pt>
                <c:pt idx="139">
                  <c:v>1390</c:v>
                </c:pt>
                <c:pt idx="140">
                  <c:v>1400</c:v>
                </c:pt>
                <c:pt idx="141">
                  <c:v>1410</c:v>
                </c:pt>
                <c:pt idx="142">
                  <c:v>1420</c:v>
                </c:pt>
                <c:pt idx="143">
                  <c:v>1430</c:v>
                </c:pt>
                <c:pt idx="144">
                  <c:v>1440</c:v>
                </c:pt>
                <c:pt idx="145">
                  <c:v>1450</c:v>
                </c:pt>
                <c:pt idx="146">
                  <c:v>1460</c:v>
                </c:pt>
                <c:pt idx="147">
                  <c:v>1470</c:v>
                </c:pt>
                <c:pt idx="148">
                  <c:v>1480</c:v>
                </c:pt>
                <c:pt idx="149">
                  <c:v>1490</c:v>
                </c:pt>
                <c:pt idx="150">
                  <c:v>1500</c:v>
                </c:pt>
                <c:pt idx="151">
                  <c:v>1510</c:v>
                </c:pt>
                <c:pt idx="152">
                  <c:v>1520</c:v>
                </c:pt>
                <c:pt idx="153">
                  <c:v>1530</c:v>
                </c:pt>
                <c:pt idx="154">
                  <c:v>1540</c:v>
                </c:pt>
                <c:pt idx="155">
                  <c:v>1550</c:v>
                </c:pt>
                <c:pt idx="156">
                  <c:v>1560</c:v>
                </c:pt>
                <c:pt idx="157">
                  <c:v>1570</c:v>
                </c:pt>
                <c:pt idx="158">
                  <c:v>1580</c:v>
                </c:pt>
                <c:pt idx="159">
                  <c:v>1590</c:v>
                </c:pt>
                <c:pt idx="160">
                  <c:v>1600</c:v>
                </c:pt>
                <c:pt idx="161">
                  <c:v>1610</c:v>
                </c:pt>
                <c:pt idx="162">
                  <c:v>1620</c:v>
                </c:pt>
                <c:pt idx="163">
                  <c:v>1630</c:v>
                </c:pt>
                <c:pt idx="164">
                  <c:v>1640</c:v>
                </c:pt>
                <c:pt idx="165">
                  <c:v>1650</c:v>
                </c:pt>
                <c:pt idx="166">
                  <c:v>1660</c:v>
                </c:pt>
                <c:pt idx="167">
                  <c:v>1670</c:v>
                </c:pt>
                <c:pt idx="168">
                  <c:v>1680</c:v>
                </c:pt>
                <c:pt idx="169">
                  <c:v>1690</c:v>
                </c:pt>
                <c:pt idx="170">
                  <c:v>1700</c:v>
                </c:pt>
                <c:pt idx="171">
                  <c:v>1710</c:v>
                </c:pt>
                <c:pt idx="172">
                  <c:v>1720</c:v>
                </c:pt>
                <c:pt idx="173">
                  <c:v>1730</c:v>
                </c:pt>
                <c:pt idx="174">
                  <c:v>1740</c:v>
                </c:pt>
                <c:pt idx="175">
                  <c:v>1750</c:v>
                </c:pt>
                <c:pt idx="176">
                  <c:v>1760</c:v>
                </c:pt>
                <c:pt idx="177">
                  <c:v>1770</c:v>
                </c:pt>
                <c:pt idx="178">
                  <c:v>1780</c:v>
                </c:pt>
                <c:pt idx="179">
                  <c:v>1790</c:v>
                </c:pt>
                <c:pt idx="180">
                  <c:v>1800</c:v>
                </c:pt>
                <c:pt idx="181">
                  <c:v>1810</c:v>
                </c:pt>
                <c:pt idx="182">
                  <c:v>1820</c:v>
                </c:pt>
                <c:pt idx="183">
                  <c:v>1830</c:v>
                </c:pt>
                <c:pt idx="184">
                  <c:v>1840</c:v>
                </c:pt>
                <c:pt idx="185">
                  <c:v>1850</c:v>
                </c:pt>
                <c:pt idx="186">
                  <c:v>1860</c:v>
                </c:pt>
                <c:pt idx="187">
                  <c:v>1870</c:v>
                </c:pt>
                <c:pt idx="188">
                  <c:v>1880</c:v>
                </c:pt>
                <c:pt idx="189">
                  <c:v>1890</c:v>
                </c:pt>
                <c:pt idx="190">
                  <c:v>1900</c:v>
                </c:pt>
                <c:pt idx="191">
                  <c:v>1910</c:v>
                </c:pt>
                <c:pt idx="192">
                  <c:v>1920</c:v>
                </c:pt>
                <c:pt idx="193">
                  <c:v>1930</c:v>
                </c:pt>
                <c:pt idx="194">
                  <c:v>1940</c:v>
                </c:pt>
                <c:pt idx="195">
                  <c:v>1950</c:v>
                </c:pt>
                <c:pt idx="196">
                  <c:v>1960</c:v>
                </c:pt>
                <c:pt idx="197">
                  <c:v>1970</c:v>
                </c:pt>
                <c:pt idx="198">
                  <c:v>1980</c:v>
                </c:pt>
                <c:pt idx="199">
                  <c:v>1990</c:v>
                </c:pt>
                <c:pt idx="200">
                  <c:v>2000</c:v>
                </c:pt>
                <c:pt idx="201">
                  <c:v>2010</c:v>
                </c:pt>
                <c:pt idx="202">
                  <c:v>2020</c:v>
                </c:pt>
                <c:pt idx="203">
                  <c:v>2030</c:v>
                </c:pt>
                <c:pt idx="204">
                  <c:v>2040</c:v>
                </c:pt>
                <c:pt idx="205">
                  <c:v>2050</c:v>
                </c:pt>
                <c:pt idx="206">
                  <c:v>2060</c:v>
                </c:pt>
                <c:pt idx="207">
                  <c:v>2070</c:v>
                </c:pt>
                <c:pt idx="208">
                  <c:v>2080</c:v>
                </c:pt>
                <c:pt idx="209">
                  <c:v>2090</c:v>
                </c:pt>
                <c:pt idx="210">
                  <c:v>2100</c:v>
                </c:pt>
                <c:pt idx="211">
                  <c:v>2110</c:v>
                </c:pt>
                <c:pt idx="212">
                  <c:v>2120</c:v>
                </c:pt>
                <c:pt idx="213">
                  <c:v>2130</c:v>
                </c:pt>
                <c:pt idx="214">
                  <c:v>2140</c:v>
                </c:pt>
                <c:pt idx="215">
                  <c:v>2150</c:v>
                </c:pt>
                <c:pt idx="216">
                  <c:v>2160</c:v>
                </c:pt>
                <c:pt idx="217">
                  <c:v>2170</c:v>
                </c:pt>
                <c:pt idx="218">
                  <c:v>2180</c:v>
                </c:pt>
                <c:pt idx="219">
                  <c:v>2190</c:v>
                </c:pt>
                <c:pt idx="220">
                  <c:v>2200</c:v>
                </c:pt>
                <c:pt idx="221">
                  <c:v>2210</c:v>
                </c:pt>
                <c:pt idx="222">
                  <c:v>2220</c:v>
                </c:pt>
                <c:pt idx="223">
                  <c:v>2230</c:v>
                </c:pt>
                <c:pt idx="224">
                  <c:v>2240</c:v>
                </c:pt>
                <c:pt idx="225">
                  <c:v>2250</c:v>
                </c:pt>
                <c:pt idx="226">
                  <c:v>2260</c:v>
                </c:pt>
                <c:pt idx="227">
                  <c:v>2270</c:v>
                </c:pt>
                <c:pt idx="228">
                  <c:v>2280</c:v>
                </c:pt>
                <c:pt idx="229">
                  <c:v>2290</c:v>
                </c:pt>
                <c:pt idx="230">
                  <c:v>2300</c:v>
                </c:pt>
                <c:pt idx="231">
                  <c:v>2310</c:v>
                </c:pt>
                <c:pt idx="232">
                  <c:v>2320</c:v>
                </c:pt>
                <c:pt idx="233">
                  <c:v>2330</c:v>
                </c:pt>
                <c:pt idx="234">
                  <c:v>2340</c:v>
                </c:pt>
                <c:pt idx="235">
                  <c:v>2350</c:v>
                </c:pt>
                <c:pt idx="236">
                  <c:v>2360</c:v>
                </c:pt>
                <c:pt idx="237">
                  <c:v>2370</c:v>
                </c:pt>
                <c:pt idx="238">
                  <c:v>2380</c:v>
                </c:pt>
                <c:pt idx="239">
                  <c:v>2390</c:v>
                </c:pt>
                <c:pt idx="240">
                  <c:v>2400</c:v>
                </c:pt>
                <c:pt idx="241">
                  <c:v>2410</c:v>
                </c:pt>
                <c:pt idx="242">
                  <c:v>2420</c:v>
                </c:pt>
                <c:pt idx="243">
                  <c:v>2430</c:v>
                </c:pt>
                <c:pt idx="244">
                  <c:v>2440</c:v>
                </c:pt>
                <c:pt idx="245">
                  <c:v>2450</c:v>
                </c:pt>
                <c:pt idx="246">
                  <c:v>2460</c:v>
                </c:pt>
                <c:pt idx="247">
                  <c:v>2470</c:v>
                </c:pt>
                <c:pt idx="248">
                  <c:v>2480</c:v>
                </c:pt>
                <c:pt idx="249">
                  <c:v>2490</c:v>
                </c:pt>
                <c:pt idx="250">
                  <c:v>2500</c:v>
                </c:pt>
              </c:numCache>
            </c:numRef>
          </c:xVal>
          <c:yVal>
            <c:numRef>
              <c:f>Reliability_HyPower_Analysis!$AD$2:$AD$252</c:f>
              <c:numCache>
                <c:formatCode>0.000</c:formatCode>
                <c:ptCount val="251"/>
                <c:pt idx="0">
                  <c:v>5.3447515057735711</c:v>
                </c:pt>
                <c:pt idx="1">
                  <c:v>0.59893200127616786</c:v>
                </c:pt>
                <c:pt idx="2">
                  <c:v>0.48083510154822395</c:v>
                </c:pt>
                <c:pt idx="3">
                  <c:v>0.42286491053391873</c:v>
                </c:pt>
                <c:pt idx="4">
                  <c:v>0.38602444749697601</c:v>
                </c:pt>
                <c:pt idx="5">
                  <c:v>0.35967385723759066</c:v>
                </c:pt>
                <c:pt idx="6">
                  <c:v>0.33948476916330717</c:v>
                </c:pt>
                <c:pt idx="7">
                  <c:v>0.32330186085707674</c:v>
                </c:pt>
                <c:pt idx="8">
                  <c:v>0.30990847711728586</c:v>
                </c:pt>
                <c:pt idx="9">
                  <c:v>0.29855598328333027</c:v>
                </c:pt>
                <c:pt idx="10">
                  <c:v>0.28875367370683164</c:v>
                </c:pt>
                <c:pt idx="11">
                  <c:v>0.28016394623288871</c:v>
                </c:pt>
                <c:pt idx="12">
                  <c:v>0.27254545275073028</c:v>
                </c:pt>
                <c:pt idx="13">
                  <c:v>0.26572019784342127</c:v>
                </c:pt>
                <c:pt idx="14">
                  <c:v>0.25955347646261756</c:v>
                </c:pt>
                <c:pt idx="15">
                  <c:v>0.25394110372812229</c:v>
                </c:pt>
                <c:pt idx="16">
                  <c:v>0.24880098867289402</c:v>
                </c:pt>
                <c:pt idx="17">
                  <c:v>0.24406740159697954</c:v>
                </c:pt>
                <c:pt idx="18">
                  <c:v>0.23968696986300475</c:v>
                </c:pt>
                <c:pt idx="19">
                  <c:v>0.23561581610867835</c:v>
                </c:pt>
                <c:pt idx="20">
                  <c:v>0.23181747130460406</c:v>
                </c:pt>
                <c:pt idx="21">
                  <c:v>0.22826132545176656</c:v>
                </c:pt>
                <c:pt idx="22">
                  <c:v>0.2249214589469333</c:v>
                </c:pt>
                <c:pt idx="23">
                  <c:v>0.22177574839001613</c:v>
                </c:pt>
                <c:pt idx="24">
                  <c:v>0.21880517349327125</c:v>
                </c:pt>
                <c:pt idx="25">
                  <c:v>0.21599327353442968</c:v>
                </c:pt>
                <c:pt idx="26">
                  <c:v>0.21332571651074947</c:v>
                </c:pt>
                <c:pt idx="27">
                  <c:v>0.21078995427104949</c:v>
                </c:pt>
                <c:pt idx="28">
                  <c:v>0.20837494397723927</c:v>
                </c:pt>
                <c:pt idx="29">
                  <c:v>0.2060709212667082</c:v>
                </c:pt>
                <c:pt idx="30">
                  <c:v>0.20386921409810863</c:v>
                </c:pt>
                <c:pt idx="31">
                  <c:v>0.2017620888939787</c:v>
                </c:pt>
                <c:pt idx="32">
                  <c:v>0.19974262253298269</c:v>
                </c:pt>
                <c:pt idx="33">
                  <c:v>0.19780459518971807</c:v>
                </c:pt>
                <c:pt idx="34">
                  <c:v>0.19594240010792446</c:v>
                </c:pt>
                <c:pt idx="35">
                  <c:v>0.19415096721962821</c:v>
                </c:pt>
                <c:pt idx="36">
                  <c:v>0.19242569815654612</c:v>
                </c:pt>
                <c:pt idx="37">
                  <c:v>0.19076241069000477</c:v>
                </c:pt>
                <c:pt idx="38">
                  <c:v>0.18915729101732343</c:v>
                </c:pt>
                <c:pt idx="39">
                  <c:v>0.18760685261214247</c:v>
                </c:pt>
                <c:pt idx="40">
                  <c:v>0.18610790059288343</c:v>
                </c:pt>
                <c:pt idx="41">
                  <c:v>0.18465750075178608</c:v>
                </c:pt>
                <c:pt idx="42">
                  <c:v>0.18325295253763502</c:v>
                </c:pt>
                <c:pt idx="43">
                  <c:v>0.18189176540656979</c:v>
                </c:pt>
                <c:pt idx="44">
                  <c:v>0.18057163805354137</c:v>
                </c:pt>
                <c:pt idx="45">
                  <c:v>0.17929044011686188</c:v>
                </c:pt>
                <c:pt idx="46">
                  <c:v>0.17804619601362076</c:v>
                </c:pt>
                <c:pt idx="47">
                  <c:v>0.1768370706174211</c:v>
                </c:pt>
                <c:pt idx="48">
                  <c:v>0.17566135653419834</c:v>
                </c:pt>
                <c:pt idx="49">
                  <c:v>0.17451746276861987</c:v>
                </c:pt>
                <c:pt idx="50">
                  <c:v>0.17340390460414251</c:v>
                </c:pt>
                <c:pt idx="51">
                  <c:v>0.17231929454536477</c:v>
                </c:pt>
                <c:pt idx="52">
                  <c:v>0.17126233419275372</c:v>
                </c:pt>
                <c:pt idx="53">
                  <c:v>0.17023180693788223</c:v>
                </c:pt>
                <c:pt idx="54">
                  <c:v>0.16922657138256772</c:v>
                </c:pt>
                <c:pt idx="55">
                  <c:v>0.1682455553982396</c:v>
                </c:pt>
                <c:pt idx="56">
                  <c:v>0.16728775075286353</c:v>
                </c:pt>
                <c:pt idx="57">
                  <c:v>0.16635220824213628</c:v>
                </c:pt>
                <c:pt idx="58">
                  <c:v>0.16543803326969844</c:v>
                </c:pt>
                <c:pt idx="59">
                  <c:v>0.16454438182800418</c:v>
                </c:pt>
                <c:pt idx="60">
                  <c:v>0.16367045683742015</c:v>
                </c:pt>
                <c:pt idx="61">
                  <c:v>0.16281550480624313</c:v>
                </c:pt>
                <c:pt idx="62">
                  <c:v>0.16197881277875595</c:v>
                </c:pt>
                <c:pt idx="63">
                  <c:v>0.16115970554227882</c:v>
                </c:pt>
                <c:pt idx="64">
                  <c:v>0.16035754306751374</c:v>
                </c:pt>
                <c:pt idx="65">
                  <c:v>0.15957171815938825</c:v>
                </c:pt>
                <c:pt idx="66">
                  <c:v>0.15880165429814377</c:v>
                </c:pt>
                <c:pt idx="67">
                  <c:v>0.15804680365263923</c:v>
                </c:pt>
                <c:pt idx="68">
                  <c:v>0.15730664524978943</c:v>
                </c:pt>
                <c:pt idx="69">
                  <c:v>0.15658068328577165</c:v>
                </c:pt>
                <c:pt idx="70">
                  <c:v>0.15586844556614363</c:v>
                </c:pt>
                <c:pt idx="71">
                  <c:v>0.15516948206334708</c:v>
                </c:pt>
                <c:pt idx="72">
                  <c:v>0.15448336358124803</c:v>
                </c:pt>
                <c:pt idx="73">
                  <c:v>0.15380968051740768</c:v>
                </c:pt>
                <c:pt idx="74">
                  <c:v>0.15314804171470189</c:v>
                </c:pt>
                <c:pt idx="75">
                  <c:v>0.15249807339472876</c:v>
                </c:pt>
                <c:pt idx="76">
                  <c:v>0.15185941816617504</c:v>
                </c:pt>
                <c:pt idx="77">
                  <c:v>0.15123173410196458</c:v>
                </c:pt>
                <c:pt idx="78">
                  <c:v>0.15061469387959331</c:v>
                </c:pt>
                <c:pt idx="79">
                  <c:v>0.15000798397957571</c:v>
                </c:pt>
                <c:pt idx="80">
                  <c:v>0.14941130393739518</c:v>
                </c:pt>
                <c:pt idx="81">
                  <c:v>0.14882436564476648</c:v>
                </c:pt>
                <c:pt idx="82">
                  <c:v>0.14824689269639688</c:v>
                </c:pt>
                <c:pt idx="83">
                  <c:v>0.14767861977876734</c:v>
                </c:pt>
                <c:pt idx="84">
                  <c:v>0.14711929209776181</c:v>
                </c:pt>
                <c:pt idx="85">
                  <c:v>0.14656866484224501</c:v>
                </c:pt>
                <c:pt idx="86">
                  <c:v>0.1460265026809377</c:v>
                </c:pt>
                <c:pt idx="87">
                  <c:v>0.1454925792901629</c:v>
                </c:pt>
                <c:pt idx="88">
                  <c:v>0.14496667691023671</c:v>
                </c:pt>
                <c:pt idx="89">
                  <c:v>0.14444858592846446</c:v>
                </c:pt>
                <c:pt idx="90">
                  <c:v>0.14393810448686639</c:v>
                </c:pt>
                <c:pt idx="91">
                  <c:v>0.1434350381129102</c:v>
                </c:pt>
                <c:pt idx="92">
                  <c:v>0.14293919937166474</c:v>
                </c:pt>
                <c:pt idx="93">
                  <c:v>0.14245040753791452</c:v>
                </c:pt>
                <c:pt idx="94">
                  <c:v>0.14196848828688818</c:v>
                </c:pt>
                <c:pt idx="95">
                  <c:v>0.14149327340235954</c:v>
                </c:pt>
                <c:pt idx="96">
                  <c:v>0.14102460050097335</c:v>
                </c:pt>
                <c:pt idx="97">
                  <c:v>0.14056231277173545</c:v>
                </c:pt>
                <c:pt idx="98">
                  <c:v>0.14010625872968657</c:v>
                </c:pt>
                <c:pt idx="99">
                  <c:v>0.13965629198285162</c:v>
                </c:pt>
                <c:pt idx="100">
                  <c:v>0.13921227101162265</c:v>
                </c:pt>
                <c:pt idx="101">
                  <c:v>0.13877405895979569</c:v>
                </c:pt>
                <c:pt idx="102">
                  <c:v>0.13834152343653666</c:v>
                </c:pt>
                <c:pt idx="103">
                  <c:v>0.13791453632860429</c:v>
                </c:pt>
                <c:pt idx="104">
                  <c:v>0.13749297362220503</c:v>
                </c:pt>
                <c:pt idx="105">
                  <c:v>0.13707671523389797</c:v>
                </c:pt>
                <c:pt idx="106">
                  <c:v>0.13666564485000962</c:v>
                </c:pt>
                <c:pt idx="107">
                  <c:v>0.13625964977405336</c:v>
                </c:pt>
                <c:pt idx="108">
                  <c:v>0.13585862078168526</c:v>
                </c:pt>
                <c:pt idx="109">
                  <c:v>0.13546245198275661</c:v>
                </c:pt>
                <c:pt idx="110">
                  <c:v>0.13507104069005588</c:v>
                </c:pt>
                <c:pt idx="111">
                  <c:v>0.13468428729435694</c:v>
                </c:pt>
                <c:pt idx="112">
                  <c:v>0.1343020951454173</c:v>
                </c:pt>
                <c:pt idx="113">
                  <c:v>0.1339243704385934</c:v>
                </c:pt>
                <c:pt idx="114">
                  <c:v>0.13355102210675901</c:v>
                </c:pt>
                <c:pt idx="115">
                  <c:v>0.13318196171723656</c:v>
                </c:pt>
                <c:pt idx="116">
                  <c:v>0.13281710337346644</c:v>
                </c:pt>
                <c:pt idx="117">
                  <c:v>0.13245636362115756</c:v>
                </c:pt>
                <c:pt idx="118">
                  <c:v>0.13209966135867973</c:v>
                </c:pt>
                <c:pt idx="119">
                  <c:v>0.13174691775147054</c:v>
                </c:pt>
                <c:pt idx="120">
                  <c:v>0.131398056150246</c:v>
                </c:pt>
                <c:pt idx="121">
                  <c:v>0.13105300201281503</c:v>
                </c:pt>
                <c:pt idx="122">
                  <c:v>0.1307116828293115</c:v>
                </c:pt>
                <c:pt idx="123">
                  <c:v>0.1303740280506667</c:v>
                </c:pt>
                <c:pt idx="124">
                  <c:v>0.1300399690201576</c:v>
                </c:pt>
                <c:pt idx="125">
                  <c:v>0.12970943890787484</c:v>
                </c:pt>
                <c:pt idx="126">
                  <c:v>0.12938237264796318</c:v>
                </c:pt>
                <c:pt idx="127">
                  <c:v>0.12905870687849705</c:v>
                </c:pt>
                <c:pt idx="128">
                  <c:v>0.12873837988385975</c:v>
                </c:pt>
                <c:pt idx="129">
                  <c:v>0.12842133153950447</c:v>
                </c:pt>
                <c:pt idx="130">
                  <c:v>0.12810750325897988</c:v>
                </c:pt>
                <c:pt idx="131">
                  <c:v>0.12779683794311197</c:v>
                </c:pt>
                <c:pt idx="132">
                  <c:v>0.12748927993123796</c:v>
                </c:pt>
                <c:pt idx="133">
                  <c:v>0.12718477495439445</c:v>
                </c:pt>
                <c:pt idx="134">
                  <c:v>0.12688327009036862</c:v>
                </c:pt>
                <c:pt idx="135">
                  <c:v>0.12658471372052316</c:v>
                </c:pt>
                <c:pt idx="136">
                  <c:v>0.12628905548831404</c:v>
                </c:pt>
                <c:pt idx="137">
                  <c:v>0.12599624625942235</c:v>
                </c:pt>
                <c:pt idx="138">
                  <c:v>0.12570623808342524</c:v>
                </c:pt>
                <c:pt idx="139">
                  <c:v>0.12541898415693761</c:v>
                </c:pt>
                <c:pt idx="140">
                  <c:v>0.12513443878815614</c:v>
                </c:pt>
                <c:pt idx="141">
                  <c:v>0.12485255736274441</c:v>
                </c:pt>
                <c:pt idx="142">
                  <c:v>0.12457329631099749</c:v>
                </c:pt>
                <c:pt idx="143">
                  <c:v>0.12429661307623154</c:v>
                </c:pt>
                <c:pt idx="144">
                  <c:v>0.12402246608434198</c:v>
                </c:pt>
                <c:pt idx="145">
                  <c:v>0.12375081471448174</c:v>
                </c:pt>
                <c:pt idx="146">
                  <c:v>0.12348161927080926</c:v>
                </c:pt>
                <c:pt idx="147">
                  <c:v>0.12321484095526056</c:v>
                </c:pt>
                <c:pt idx="148">
                  <c:v>0.1229504418413024</c:v>
                </c:pt>
                <c:pt idx="149">
                  <c:v>0.12268838484862339</c:v>
                </c:pt>
                <c:pt idx="150">
                  <c:v>0.12242863371872503</c:v>
                </c:pt>
                <c:pt idx="151">
                  <c:v>0.12217115299137353</c:v>
                </c:pt>
                <c:pt idx="152">
                  <c:v>0.12191590798187742</c:v>
                </c:pt>
                <c:pt idx="153">
                  <c:v>0.12166286475915704</c:v>
                </c:pt>
                <c:pt idx="154">
                  <c:v>0.12141199012457181</c:v>
                </c:pt>
                <c:pt idx="155">
                  <c:v>0.12116325159147667</c:v>
                </c:pt>
                <c:pt idx="156">
                  <c:v>0.12091661736547556</c:v>
                </c:pt>
                <c:pt idx="157">
                  <c:v>0.1206720563253461</c:v>
                </c:pt>
                <c:pt idx="158">
                  <c:v>0.12042953800460712</c:v>
                </c:pt>
                <c:pt idx="159">
                  <c:v>0.12018903257370375</c:v>
                </c:pt>
                <c:pt idx="160">
                  <c:v>0.11995051082278618</c:v>
                </c:pt>
                <c:pt idx="161">
                  <c:v>0.11971394414505816</c:v>
                </c:pt>
                <c:pt idx="162">
                  <c:v>0.11947930452067292</c:v>
                </c:pt>
                <c:pt idx="163">
                  <c:v>0.11924656450115596</c:v>
                </c:pt>
                <c:pt idx="164">
                  <c:v>0.11901569719433368</c:v>
                </c:pt>
                <c:pt idx="165">
                  <c:v>0.11878667624974841</c:v>
                </c:pt>
                <c:pt idx="166">
                  <c:v>0.11855947584454221</c:v>
                </c:pt>
                <c:pt idx="167">
                  <c:v>0.11833407066979033</c:v>
                </c:pt>
                <c:pt idx="168">
                  <c:v>0.11811043591726843</c:v>
                </c:pt>
                <c:pt idx="169">
                  <c:v>0.11788854726663694</c:v>
                </c:pt>
                <c:pt idx="170">
                  <c:v>0.1176683808730271</c:v>
                </c:pt>
                <c:pt idx="171">
                  <c:v>0.11744991335501352</c:v>
                </c:pt>
                <c:pt idx="172">
                  <c:v>0.11723312178295954</c:v>
                </c:pt>
                <c:pt idx="173">
                  <c:v>0.11701798366772133</c:v>
                </c:pt>
                <c:pt idx="174">
                  <c:v>0.11680447694969774</c:v>
                </c:pt>
                <c:pt idx="175">
                  <c:v>0.11659257998821403</c:v>
                </c:pt>
                <c:pt idx="176">
                  <c:v>0.11638227155122603</c:v>
                </c:pt>
                <c:pt idx="177">
                  <c:v>0.1161735308053352</c:v>
                </c:pt>
                <c:pt idx="178">
                  <c:v>0.11596633730610162</c:v>
                </c:pt>
                <c:pt idx="179">
                  <c:v>0.11576067098864574</c:v>
                </c:pt>
                <c:pt idx="180">
                  <c:v>0.11555651215852843</c:v>
                </c:pt>
                <c:pt idx="181">
                  <c:v>0.11535384148289883</c:v>
                </c:pt>
                <c:pt idx="182">
                  <c:v>0.11515263998190188</c:v>
                </c:pt>
                <c:pt idx="183">
                  <c:v>0.11495288902033557</c:v>
                </c:pt>
                <c:pt idx="184">
                  <c:v>0.11475457029955011</c:v>
                </c:pt>
                <c:pt idx="185">
                  <c:v>0.11455766584957992</c:v>
                </c:pt>
                <c:pt idx="186">
                  <c:v>0.11436215802150111</c:v>
                </c:pt>
                <c:pt idx="187">
                  <c:v>0.11416802948000683</c:v>
                </c:pt>
                <c:pt idx="188">
                  <c:v>0.11397526319619278</c:v>
                </c:pt>
                <c:pt idx="189">
                  <c:v>0.11378384244054608</c:v>
                </c:pt>
                <c:pt idx="190">
                  <c:v>0.11359375077613063</c:v>
                </c:pt>
                <c:pt idx="191">
                  <c:v>0.1134049720519628</c:v>
                </c:pt>
                <c:pt idx="192">
                  <c:v>0.11321749039657039</c:v>
                </c:pt>
                <c:pt idx="193">
                  <c:v>0.11303129021173003</c:v>
                </c:pt>
                <c:pt idx="194">
                  <c:v>0.11284635616637569</c:v>
                </c:pt>
                <c:pt idx="195">
                  <c:v>0.11266267319067429</c:v>
                </c:pt>
                <c:pt idx="196">
                  <c:v>0.11248022647026194</c:v>
                </c:pt>
                <c:pt idx="197">
                  <c:v>0.11229900144063606</c:v>
                </c:pt>
                <c:pt idx="198">
                  <c:v>0.11211898378169849</c:v>
                </c:pt>
                <c:pt idx="199">
                  <c:v>0.1119401594124443</c:v>
                </c:pt>
                <c:pt idx="200">
                  <c:v>0.11176251448579255</c:v>
                </c:pt>
                <c:pt idx="201">
                  <c:v>0.11158603538355374</c:v>
                </c:pt>
                <c:pt idx="202">
                  <c:v>0.11141070871152955</c:v>
                </c:pt>
                <c:pt idx="203">
                  <c:v>0.11123652129474207</c:v>
                </c:pt>
                <c:pt idx="204">
                  <c:v>0.1110634601727867</c:v>
                </c:pt>
                <c:pt idx="205">
                  <c:v>0.1108915125953063</c:v>
                </c:pt>
                <c:pt idx="206">
                  <c:v>0.11072066601758217</c:v>
                </c:pt>
                <c:pt idx="207">
                  <c:v>0.11055090809623828</c:v>
                </c:pt>
                <c:pt idx="208">
                  <c:v>0.11038222668505601</c:v>
                </c:pt>
                <c:pt idx="209">
                  <c:v>0.110214609830895</c:v>
                </c:pt>
                <c:pt idx="210">
                  <c:v>0.11004804576971765</c:v>
                </c:pt>
                <c:pt idx="211">
                  <c:v>0.10988252292271404</c:v>
                </c:pt>
                <c:pt idx="212">
                  <c:v>0.1097180298925241</c:v>
                </c:pt>
                <c:pt idx="213">
                  <c:v>0.10955455545955427</c:v>
                </c:pt>
                <c:pt idx="214">
                  <c:v>0.10939208857838571</c:v>
                </c:pt>
                <c:pt idx="215">
                  <c:v>0.10923061837427168</c:v>
                </c:pt>
                <c:pt idx="216">
                  <c:v>0.10907013413972114</c:v>
                </c:pt>
                <c:pt idx="217">
                  <c:v>0.10891062533116617</c:v>
                </c:pt>
                <c:pt idx="218">
                  <c:v>0.10875208156571077</c:v>
                </c:pt>
                <c:pt idx="219">
                  <c:v>0.10859449261795896</c:v>
                </c:pt>
                <c:pt idx="220">
                  <c:v>0.10843784841691947</c:v>
                </c:pt>
                <c:pt idx="221">
                  <c:v>0.1082821390429848</c:v>
                </c:pt>
                <c:pt idx="222">
                  <c:v>0.10812735472498318</c:v>
                </c:pt>
                <c:pt idx="223">
                  <c:v>0.10797348583730065</c:v>
                </c:pt>
                <c:pt idx="224">
                  <c:v>0.10782052289707161</c:v>
                </c:pt>
                <c:pt idx="225">
                  <c:v>0.10766845656143591</c:v>
                </c:pt>
                <c:pt idx="226">
                  <c:v>0.10751727762486048</c:v>
                </c:pt>
                <c:pt idx="227">
                  <c:v>0.1073669770165238</c:v>
                </c:pt>
                <c:pt idx="228">
                  <c:v>0.10721754579776163</c:v>
                </c:pt>
                <c:pt idx="229">
                  <c:v>0.10706897515957184</c:v>
                </c:pt>
                <c:pt idx="230">
                  <c:v>0.1069212564201773</c:v>
                </c:pt>
                <c:pt idx="231">
                  <c:v>0.10677438102264462</c:v>
                </c:pt>
                <c:pt idx="232">
                  <c:v>0.10662834053255797</c:v>
                </c:pt>
                <c:pt idx="233">
                  <c:v>0.10648312663574555</c:v>
                </c:pt>
                <c:pt idx="234">
                  <c:v>0.10633873113605832</c:v>
                </c:pt>
                <c:pt idx="235">
                  <c:v>0.10619514595319871</c:v>
                </c:pt>
                <c:pt idx="236">
                  <c:v>0.10605236312059826</c:v>
                </c:pt>
                <c:pt idx="237">
                  <c:v>0.10591037478334331</c:v>
                </c:pt>
                <c:pt idx="238">
                  <c:v>0.10576917319614687</c:v>
                </c:pt>
                <c:pt idx="239">
                  <c:v>0.10562875072136543</c:v>
                </c:pt>
                <c:pt idx="240">
                  <c:v>0.10548909982706044</c:v>
                </c:pt>
                <c:pt idx="241">
                  <c:v>0.1053502130851017</c:v>
                </c:pt>
                <c:pt idx="242">
                  <c:v>0.10521208316931341</c:v>
                </c:pt>
                <c:pt idx="243">
                  <c:v>0.10507470285366026</c:v>
                </c:pt>
                <c:pt idx="244">
                  <c:v>0.10493806501047308</c:v>
                </c:pt>
                <c:pt idx="245">
                  <c:v>0.10480216260871347</c:v>
                </c:pt>
                <c:pt idx="246">
                  <c:v>0.10466698871227562</c:v>
                </c:pt>
                <c:pt idx="247">
                  <c:v>0.10453253647832494</c:v>
                </c:pt>
                <c:pt idx="248">
                  <c:v>0.10439879915567206</c:v>
                </c:pt>
                <c:pt idx="249">
                  <c:v>0.10426577008318212</c:v>
                </c:pt>
                <c:pt idx="250">
                  <c:v>0.10413344268821732</c:v>
                </c:pt>
              </c:numCache>
            </c:numRef>
          </c:yVal>
          <c:smooth val="0"/>
          <c:extLst>
            <c:ext xmlns:c16="http://schemas.microsoft.com/office/drawing/2014/chart" uri="{C3380CC4-5D6E-409C-BE32-E72D297353CC}">
              <c16:uniqueId val="{00000000-9C9B-4729-9328-834ECFCD77C2}"/>
            </c:ext>
          </c:extLst>
        </c:ser>
        <c:dLbls>
          <c:showLegendKey val="0"/>
          <c:showVal val="0"/>
          <c:showCatName val="0"/>
          <c:showSerName val="0"/>
          <c:showPercent val="0"/>
          <c:showBubbleSize val="0"/>
        </c:dLbls>
        <c:axId val="1595666911"/>
        <c:axId val="1595661087"/>
      </c:scatterChart>
      <c:valAx>
        <c:axId val="1595666911"/>
        <c:scaling>
          <c:orientation val="minMax"/>
          <c:max val="250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r>
                  <a:rPr lang="en-GB"/>
                  <a:t>Time [min]</a:t>
                </a:r>
                <a:endParaRPr lang="sr-Latn-RS"/>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itle>
        <c:numFmt formatCode="0"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595661087"/>
        <c:crosses val="autoZero"/>
        <c:crossBetween val="midCat"/>
      </c:valAx>
      <c:valAx>
        <c:axId val="1595661087"/>
        <c:scaling>
          <c:orientation val="minMax"/>
          <c:max val="1"/>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r>
                  <a:rPr lang="en-GB"/>
                  <a:t>R</a:t>
                </a:r>
                <a:r>
                  <a:rPr lang="en-GB" baseline="-25000"/>
                  <a:t>pareto</a:t>
                </a:r>
                <a:r>
                  <a:rPr lang="en-GB"/>
                  <a:t> (t)</a:t>
                </a:r>
                <a:endParaRPr lang="sr-Latn-RS"/>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itle>
        <c:numFmt formatCode="0.000"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595666911"/>
        <c:crosses val="autoZero"/>
        <c:crossBetween val="midCat"/>
      </c:valAx>
      <c:spPr>
        <a:noFill/>
        <a:ln w="3175">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Garamond" panose="02020404030301010803" pitchFamily="18" charset="0"/>
        </a:defRPr>
      </a:pPr>
      <a:endParaRPr lang="sr-Latn-RS"/>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Reliability_HyPower_Analysis!$AE$1</c:f>
              <c:strCache>
                <c:ptCount val="1"/>
                <c:pt idx="0">
                  <c:v>Rbeta(t)</c:v>
                </c:pt>
              </c:strCache>
            </c:strRef>
          </c:tx>
          <c:spPr>
            <a:ln w="25400" cap="rnd">
              <a:noFill/>
              <a:round/>
            </a:ln>
            <a:effectLst/>
          </c:spPr>
          <c:marker>
            <c:symbol val="diamond"/>
            <c:size val="5"/>
            <c:spPr>
              <a:noFill/>
              <a:ln w="3175">
                <a:solidFill>
                  <a:srgbClr val="0000FF"/>
                </a:solidFill>
              </a:ln>
              <a:effectLst/>
            </c:spPr>
          </c:marker>
          <c:xVal>
            <c:numRef>
              <c:f>Reliability_HyPower_Analysis!$AB$2:$AB$252</c:f>
              <c:numCache>
                <c:formatCode>0</c:formatCode>
                <c:ptCount val="251"/>
                <c:pt idx="0">
                  <c:v>0.01</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210</c:v>
                </c:pt>
                <c:pt idx="22">
                  <c:v>220</c:v>
                </c:pt>
                <c:pt idx="23">
                  <c:v>230</c:v>
                </c:pt>
                <c:pt idx="24">
                  <c:v>240</c:v>
                </c:pt>
                <c:pt idx="25">
                  <c:v>250</c:v>
                </c:pt>
                <c:pt idx="26">
                  <c:v>260</c:v>
                </c:pt>
                <c:pt idx="27">
                  <c:v>270</c:v>
                </c:pt>
                <c:pt idx="28">
                  <c:v>280</c:v>
                </c:pt>
                <c:pt idx="29">
                  <c:v>290</c:v>
                </c:pt>
                <c:pt idx="30">
                  <c:v>300</c:v>
                </c:pt>
                <c:pt idx="31">
                  <c:v>310</c:v>
                </c:pt>
                <c:pt idx="32">
                  <c:v>320</c:v>
                </c:pt>
                <c:pt idx="33">
                  <c:v>330</c:v>
                </c:pt>
                <c:pt idx="34">
                  <c:v>340</c:v>
                </c:pt>
                <c:pt idx="35">
                  <c:v>350</c:v>
                </c:pt>
                <c:pt idx="36">
                  <c:v>360</c:v>
                </c:pt>
                <c:pt idx="37">
                  <c:v>370</c:v>
                </c:pt>
                <c:pt idx="38">
                  <c:v>380</c:v>
                </c:pt>
                <c:pt idx="39">
                  <c:v>390</c:v>
                </c:pt>
                <c:pt idx="40">
                  <c:v>400</c:v>
                </c:pt>
                <c:pt idx="41">
                  <c:v>410</c:v>
                </c:pt>
                <c:pt idx="42">
                  <c:v>420</c:v>
                </c:pt>
                <c:pt idx="43">
                  <c:v>430</c:v>
                </c:pt>
                <c:pt idx="44">
                  <c:v>440</c:v>
                </c:pt>
                <c:pt idx="45">
                  <c:v>450</c:v>
                </c:pt>
                <c:pt idx="46">
                  <c:v>460</c:v>
                </c:pt>
                <c:pt idx="47">
                  <c:v>470</c:v>
                </c:pt>
                <c:pt idx="48">
                  <c:v>480</c:v>
                </c:pt>
                <c:pt idx="49">
                  <c:v>490</c:v>
                </c:pt>
                <c:pt idx="50">
                  <c:v>500</c:v>
                </c:pt>
                <c:pt idx="51">
                  <c:v>510</c:v>
                </c:pt>
                <c:pt idx="52">
                  <c:v>520</c:v>
                </c:pt>
                <c:pt idx="53">
                  <c:v>530</c:v>
                </c:pt>
                <c:pt idx="54">
                  <c:v>540</c:v>
                </c:pt>
                <c:pt idx="55">
                  <c:v>550</c:v>
                </c:pt>
                <c:pt idx="56">
                  <c:v>560</c:v>
                </c:pt>
                <c:pt idx="57">
                  <c:v>570</c:v>
                </c:pt>
                <c:pt idx="58">
                  <c:v>580</c:v>
                </c:pt>
                <c:pt idx="59">
                  <c:v>590</c:v>
                </c:pt>
                <c:pt idx="60">
                  <c:v>600</c:v>
                </c:pt>
                <c:pt idx="61">
                  <c:v>610</c:v>
                </c:pt>
                <c:pt idx="62">
                  <c:v>620</c:v>
                </c:pt>
                <c:pt idx="63">
                  <c:v>630</c:v>
                </c:pt>
                <c:pt idx="64">
                  <c:v>640</c:v>
                </c:pt>
                <c:pt idx="65">
                  <c:v>650</c:v>
                </c:pt>
                <c:pt idx="66">
                  <c:v>660</c:v>
                </c:pt>
                <c:pt idx="67">
                  <c:v>670</c:v>
                </c:pt>
                <c:pt idx="68">
                  <c:v>680</c:v>
                </c:pt>
                <c:pt idx="69">
                  <c:v>690</c:v>
                </c:pt>
                <c:pt idx="70">
                  <c:v>700</c:v>
                </c:pt>
                <c:pt idx="71">
                  <c:v>710</c:v>
                </c:pt>
                <c:pt idx="72">
                  <c:v>720</c:v>
                </c:pt>
                <c:pt idx="73">
                  <c:v>730</c:v>
                </c:pt>
                <c:pt idx="74">
                  <c:v>740</c:v>
                </c:pt>
                <c:pt idx="75">
                  <c:v>750</c:v>
                </c:pt>
                <c:pt idx="76">
                  <c:v>760</c:v>
                </c:pt>
                <c:pt idx="77">
                  <c:v>770</c:v>
                </c:pt>
                <c:pt idx="78">
                  <c:v>780</c:v>
                </c:pt>
                <c:pt idx="79">
                  <c:v>790</c:v>
                </c:pt>
                <c:pt idx="80">
                  <c:v>800</c:v>
                </c:pt>
                <c:pt idx="81">
                  <c:v>810</c:v>
                </c:pt>
                <c:pt idx="82">
                  <c:v>820</c:v>
                </c:pt>
                <c:pt idx="83">
                  <c:v>830</c:v>
                </c:pt>
                <c:pt idx="84">
                  <c:v>840</c:v>
                </c:pt>
                <c:pt idx="85">
                  <c:v>850</c:v>
                </c:pt>
                <c:pt idx="86">
                  <c:v>860</c:v>
                </c:pt>
                <c:pt idx="87">
                  <c:v>870</c:v>
                </c:pt>
                <c:pt idx="88">
                  <c:v>880</c:v>
                </c:pt>
                <c:pt idx="89">
                  <c:v>890</c:v>
                </c:pt>
                <c:pt idx="90">
                  <c:v>900</c:v>
                </c:pt>
                <c:pt idx="91">
                  <c:v>910</c:v>
                </c:pt>
                <c:pt idx="92">
                  <c:v>920</c:v>
                </c:pt>
                <c:pt idx="93">
                  <c:v>930</c:v>
                </c:pt>
                <c:pt idx="94">
                  <c:v>940</c:v>
                </c:pt>
                <c:pt idx="95">
                  <c:v>950</c:v>
                </c:pt>
                <c:pt idx="96">
                  <c:v>960</c:v>
                </c:pt>
                <c:pt idx="97">
                  <c:v>970</c:v>
                </c:pt>
                <c:pt idx="98">
                  <c:v>980</c:v>
                </c:pt>
                <c:pt idx="99">
                  <c:v>990</c:v>
                </c:pt>
                <c:pt idx="100">
                  <c:v>1000</c:v>
                </c:pt>
                <c:pt idx="101">
                  <c:v>1010</c:v>
                </c:pt>
                <c:pt idx="102">
                  <c:v>1020</c:v>
                </c:pt>
                <c:pt idx="103">
                  <c:v>1030</c:v>
                </c:pt>
                <c:pt idx="104">
                  <c:v>1040</c:v>
                </c:pt>
                <c:pt idx="105">
                  <c:v>1050</c:v>
                </c:pt>
                <c:pt idx="106">
                  <c:v>1060</c:v>
                </c:pt>
                <c:pt idx="107">
                  <c:v>1070</c:v>
                </c:pt>
                <c:pt idx="108">
                  <c:v>1080</c:v>
                </c:pt>
                <c:pt idx="109">
                  <c:v>1090</c:v>
                </c:pt>
                <c:pt idx="110">
                  <c:v>1100</c:v>
                </c:pt>
                <c:pt idx="111">
                  <c:v>1110</c:v>
                </c:pt>
                <c:pt idx="112">
                  <c:v>1120</c:v>
                </c:pt>
                <c:pt idx="113">
                  <c:v>1130</c:v>
                </c:pt>
                <c:pt idx="114">
                  <c:v>1140</c:v>
                </c:pt>
                <c:pt idx="115">
                  <c:v>1150</c:v>
                </c:pt>
                <c:pt idx="116">
                  <c:v>1160</c:v>
                </c:pt>
                <c:pt idx="117">
                  <c:v>1170</c:v>
                </c:pt>
                <c:pt idx="118">
                  <c:v>1180</c:v>
                </c:pt>
                <c:pt idx="119">
                  <c:v>1190</c:v>
                </c:pt>
                <c:pt idx="120">
                  <c:v>1200</c:v>
                </c:pt>
                <c:pt idx="121">
                  <c:v>1210</c:v>
                </c:pt>
                <c:pt idx="122">
                  <c:v>1220</c:v>
                </c:pt>
                <c:pt idx="123">
                  <c:v>1230</c:v>
                </c:pt>
                <c:pt idx="124">
                  <c:v>1240</c:v>
                </c:pt>
                <c:pt idx="125">
                  <c:v>1250</c:v>
                </c:pt>
                <c:pt idx="126">
                  <c:v>1260</c:v>
                </c:pt>
                <c:pt idx="127">
                  <c:v>1270</c:v>
                </c:pt>
                <c:pt idx="128">
                  <c:v>1280</c:v>
                </c:pt>
                <c:pt idx="129">
                  <c:v>1290</c:v>
                </c:pt>
                <c:pt idx="130">
                  <c:v>1300</c:v>
                </c:pt>
                <c:pt idx="131">
                  <c:v>1310</c:v>
                </c:pt>
                <c:pt idx="132">
                  <c:v>1320</c:v>
                </c:pt>
                <c:pt idx="133">
                  <c:v>1330</c:v>
                </c:pt>
                <c:pt idx="134">
                  <c:v>1340</c:v>
                </c:pt>
                <c:pt idx="135">
                  <c:v>1350</c:v>
                </c:pt>
                <c:pt idx="136">
                  <c:v>1360</c:v>
                </c:pt>
                <c:pt idx="137">
                  <c:v>1370</c:v>
                </c:pt>
                <c:pt idx="138">
                  <c:v>1380</c:v>
                </c:pt>
                <c:pt idx="139">
                  <c:v>1390</c:v>
                </c:pt>
                <c:pt idx="140">
                  <c:v>1400</c:v>
                </c:pt>
                <c:pt idx="141">
                  <c:v>1410</c:v>
                </c:pt>
                <c:pt idx="142">
                  <c:v>1420</c:v>
                </c:pt>
                <c:pt idx="143">
                  <c:v>1430</c:v>
                </c:pt>
                <c:pt idx="144">
                  <c:v>1440</c:v>
                </c:pt>
                <c:pt idx="145">
                  <c:v>1450</c:v>
                </c:pt>
                <c:pt idx="146">
                  <c:v>1460</c:v>
                </c:pt>
                <c:pt idx="147">
                  <c:v>1470</c:v>
                </c:pt>
                <c:pt idx="148">
                  <c:v>1480</c:v>
                </c:pt>
                <c:pt idx="149">
                  <c:v>1490</c:v>
                </c:pt>
                <c:pt idx="150">
                  <c:v>1500</c:v>
                </c:pt>
                <c:pt idx="151">
                  <c:v>1510</c:v>
                </c:pt>
                <c:pt idx="152">
                  <c:v>1520</c:v>
                </c:pt>
                <c:pt idx="153">
                  <c:v>1530</c:v>
                </c:pt>
                <c:pt idx="154">
                  <c:v>1540</c:v>
                </c:pt>
                <c:pt idx="155">
                  <c:v>1550</c:v>
                </c:pt>
                <c:pt idx="156">
                  <c:v>1560</c:v>
                </c:pt>
                <c:pt idx="157">
                  <c:v>1570</c:v>
                </c:pt>
                <c:pt idx="158">
                  <c:v>1580</c:v>
                </c:pt>
                <c:pt idx="159">
                  <c:v>1590</c:v>
                </c:pt>
                <c:pt idx="160">
                  <c:v>1600</c:v>
                </c:pt>
                <c:pt idx="161">
                  <c:v>1610</c:v>
                </c:pt>
                <c:pt idx="162">
                  <c:v>1620</c:v>
                </c:pt>
                <c:pt idx="163">
                  <c:v>1630</c:v>
                </c:pt>
                <c:pt idx="164">
                  <c:v>1640</c:v>
                </c:pt>
                <c:pt idx="165">
                  <c:v>1650</c:v>
                </c:pt>
                <c:pt idx="166">
                  <c:v>1660</c:v>
                </c:pt>
                <c:pt idx="167">
                  <c:v>1670</c:v>
                </c:pt>
                <c:pt idx="168">
                  <c:v>1680</c:v>
                </c:pt>
                <c:pt idx="169">
                  <c:v>1690</c:v>
                </c:pt>
                <c:pt idx="170">
                  <c:v>1700</c:v>
                </c:pt>
                <c:pt idx="171">
                  <c:v>1710</c:v>
                </c:pt>
                <c:pt idx="172">
                  <c:v>1720</c:v>
                </c:pt>
                <c:pt idx="173">
                  <c:v>1730</c:v>
                </c:pt>
                <c:pt idx="174">
                  <c:v>1740</c:v>
                </c:pt>
                <c:pt idx="175">
                  <c:v>1750</c:v>
                </c:pt>
                <c:pt idx="176">
                  <c:v>1760</c:v>
                </c:pt>
                <c:pt idx="177">
                  <c:v>1770</c:v>
                </c:pt>
                <c:pt idx="178">
                  <c:v>1780</c:v>
                </c:pt>
                <c:pt idx="179">
                  <c:v>1790</c:v>
                </c:pt>
                <c:pt idx="180">
                  <c:v>1800</c:v>
                </c:pt>
                <c:pt idx="181">
                  <c:v>1810</c:v>
                </c:pt>
                <c:pt idx="182">
                  <c:v>1820</c:v>
                </c:pt>
                <c:pt idx="183">
                  <c:v>1830</c:v>
                </c:pt>
                <c:pt idx="184">
                  <c:v>1840</c:v>
                </c:pt>
                <c:pt idx="185">
                  <c:v>1850</c:v>
                </c:pt>
                <c:pt idx="186">
                  <c:v>1860</c:v>
                </c:pt>
                <c:pt idx="187">
                  <c:v>1870</c:v>
                </c:pt>
                <c:pt idx="188">
                  <c:v>1880</c:v>
                </c:pt>
                <c:pt idx="189">
                  <c:v>1890</c:v>
                </c:pt>
                <c:pt idx="190">
                  <c:v>1900</c:v>
                </c:pt>
                <c:pt idx="191">
                  <c:v>1910</c:v>
                </c:pt>
                <c:pt idx="192">
                  <c:v>1920</c:v>
                </c:pt>
                <c:pt idx="193">
                  <c:v>1930</c:v>
                </c:pt>
                <c:pt idx="194">
                  <c:v>1940</c:v>
                </c:pt>
                <c:pt idx="195">
                  <c:v>1950</c:v>
                </c:pt>
                <c:pt idx="196">
                  <c:v>1960</c:v>
                </c:pt>
                <c:pt idx="197">
                  <c:v>1970</c:v>
                </c:pt>
                <c:pt idx="198">
                  <c:v>1980</c:v>
                </c:pt>
                <c:pt idx="199">
                  <c:v>1990</c:v>
                </c:pt>
                <c:pt idx="200">
                  <c:v>2000</c:v>
                </c:pt>
                <c:pt idx="201">
                  <c:v>2010</c:v>
                </c:pt>
                <c:pt idx="202">
                  <c:v>2020</c:v>
                </c:pt>
                <c:pt idx="203">
                  <c:v>2030</c:v>
                </c:pt>
                <c:pt idx="204">
                  <c:v>2040</c:v>
                </c:pt>
                <c:pt idx="205">
                  <c:v>2050</c:v>
                </c:pt>
                <c:pt idx="206">
                  <c:v>2060</c:v>
                </c:pt>
                <c:pt idx="207">
                  <c:v>2070</c:v>
                </c:pt>
                <c:pt idx="208">
                  <c:v>2080</c:v>
                </c:pt>
                <c:pt idx="209">
                  <c:v>2090</c:v>
                </c:pt>
                <c:pt idx="210">
                  <c:v>2100</c:v>
                </c:pt>
                <c:pt idx="211">
                  <c:v>2110</c:v>
                </c:pt>
                <c:pt idx="212">
                  <c:v>2120</c:v>
                </c:pt>
                <c:pt idx="213">
                  <c:v>2130</c:v>
                </c:pt>
                <c:pt idx="214">
                  <c:v>2140</c:v>
                </c:pt>
                <c:pt idx="215">
                  <c:v>2150</c:v>
                </c:pt>
                <c:pt idx="216">
                  <c:v>2160</c:v>
                </c:pt>
                <c:pt idx="217">
                  <c:v>2170</c:v>
                </c:pt>
                <c:pt idx="218">
                  <c:v>2180</c:v>
                </c:pt>
                <c:pt idx="219">
                  <c:v>2190</c:v>
                </c:pt>
                <c:pt idx="220">
                  <c:v>2200</c:v>
                </c:pt>
                <c:pt idx="221">
                  <c:v>2210</c:v>
                </c:pt>
                <c:pt idx="222">
                  <c:v>2220</c:v>
                </c:pt>
                <c:pt idx="223">
                  <c:v>2230</c:v>
                </c:pt>
                <c:pt idx="224">
                  <c:v>2240</c:v>
                </c:pt>
                <c:pt idx="225">
                  <c:v>2250</c:v>
                </c:pt>
                <c:pt idx="226">
                  <c:v>2260</c:v>
                </c:pt>
                <c:pt idx="227">
                  <c:v>2270</c:v>
                </c:pt>
                <c:pt idx="228">
                  <c:v>2280</c:v>
                </c:pt>
                <c:pt idx="229">
                  <c:v>2290</c:v>
                </c:pt>
                <c:pt idx="230">
                  <c:v>2300</c:v>
                </c:pt>
                <c:pt idx="231">
                  <c:v>2310</c:v>
                </c:pt>
                <c:pt idx="232">
                  <c:v>2320</c:v>
                </c:pt>
                <c:pt idx="233">
                  <c:v>2330</c:v>
                </c:pt>
                <c:pt idx="234">
                  <c:v>2340</c:v>
                </c:pt>
                <c:pt idx="235">
                  <c:v>2350</c:v>
                </c:pt>
                <c:pt idx="236">
                  <c:v>2360</c:v>
                </c:pt>
                <c:pt idx="237">
                  <c:v>2370</c:v>
                </c:pt>
                <c:pt idx="238">
                  <c:v>2380</c:v>
                </c:pt>
                <c:pt idx="239">
                  <c:v>2390</c:v>
                </c:pt>
                <c:pt idx="240">
                  <c:v>2400</c:v>
                </c:pt>
                <c:pt idx="241">
                  <c:v>2410</c:v>
                </c:pt>
                <c:pt idx="242">
                  <c:v>2420</c:v>
                </c:pt>
                <c:pt idx="243">
                  <c:v>2430</c:v>
                </c:pt>
                <c:pt idx="244">
                  <c:v>2440</c:v>
                </c:pt>
                <c:pt idx="245">
                  <c:v>2450</c:v>
                </c:pt>
                <c:pt idx="246">
                  <c:v>2460</c:v>
                </c:pt>
                <c:pt idx="247">
                  <c:v>2470</c:v>
                </c:pt>
                <c:pt idx="248">
                  <c:v>2480</c:v>
                </c:pt>
                <c:pt idx="249">
                  <c:v>2490</c:v>
                </c:pt>
                <c:pt idx="250">
                  <c:v>2500</c:v>
                </c:pt>
              </c:numCache>
            </c:numRef>
          </c:xVal>
          <c:yVal>
            <c:numRef>
              <c:f>Reliability_HyPower_Analysis!$AE$2:$AE$252</c:f>
              <c:numCache>
                <c:formatCode>0.000</c:formatCode>
                <c:ptCount val="251"/>
                <c:pt idx="0">
                  <c:v>0</c:v>
                </c:pt>
                <c:pt idx="1">
                  <c:v>0.65825391894767327</c:v>
                </c:pt>
                <c:pt idx="2">
                  <c:v>0.60984725628116532</c:v>
                </c:pt>
                <c:pt idx="3">
                  <c:v>0.58064294915944903</c:v>
                </c:pt>
                <c:pt idx="4">
                  <c:v>0.55919678130200889</c:v>
                </c:pt>
                <c:pt idx="5">
                  <c:v>0.54206059599035616</c:v>
                </c:pt>
                <c:pt idx="6">
                  <c:v>0.52769900047972063</c:v>
                </c:pt>
                <c:pt idx="7">
                  <c:v>0.51528603089085312</c:v>
                </c:pt>
                <c:pt idx="8">
                  <c:v>0.50432318807023147</c:v>
                </c:pt>
                <c:pt idx="9">
                  <c:v>0.49448514674301136</c:v>
                </c:pt>
                <c:pt idx="10">
                  <c:v>0.48554717932644575</c:v>
                </c:pt>
                <c:pt idx="11">
                  <c:v>0.47734718045689228</c:v>
                </c:pt>
                <c:pt idx="12">
                  <c:v>0.46976415789912285</c:v>
                </c:pt>
                <c:pt idx="13">
                  <c:v>0.46270527740136136</c:v>
                </c:pt>
                <c:pt idx="14">
                  <c:v>0.45609766608424906</c:v>
                </c:pt>
                <c:pt idx="15">
                  <c:v>0.44988301304069356</c:v>
                </c:pt>
                <c:pt idx="16">
                  <c:v>0.44401389064405328</c:v>
                </c:pt>
                <c:pt idx="17">
                  <c:v>0.43845117548765389</c:v>
                </c:pt>
                <c:pt idx="18">
                  <c:v>0.43316219525086663</c:v>
                </c:pt>
                <c:pt idx="19">
                  <c:v>0.42811936840599818</c:v>
                </c:pt>
                <c:pt idx="20">
                  <c:v>0.42329918679562351</c:v>
                </c:pt>
                <c:pt idx="21">
                  <c:v>0.41868144192856338</c:v>
                </c:pt>
                <c:pt idx="22">
                  <c:v>0.41424862785012451</c:v>
                </c:pt>
                <c:pt idx="23">
                  <c:v>0.40998547413761988</c:v>
                </c:pt>
                <c:pt idx="24">
                  <c:v>0.40587857626984047</c:v>
                </c:pt>
                <c:pt idx="25">
                  <c:v>0.40191609987725929</c:v>
                </c:pt>
                <c:pt idx="26">
                  <c:v>0.39808754175659544</c:v>
                </c:pt>
                <c:pt idx="27">
                  <c:v>0.39438353500164347</c:v>
                </c:pt>
                <c:pt idx="28">
                  <c:v>0.39079568878243542</c:v>
                </c:pt>
                <c:pt idx="29">
                  <c:v>0.38731645560081962</c:v>
                </c:pt>
                <c:pt idx="30">
                  <c:v>0.38393902053008988</c:v>
                </c:pt>
                <c:pt idx="31">
                  <c:v>0.38065720818987836</c:v>
                </c:pt>
                <c:pt idx="32">
                  <c:v>0.37746540413865015</c:v>
                </c:pt>
                <c:pt idx="33">
                  <c:v>0.37435848807061456</c:v>
                </c:pt>
                <c:pt idx="34">
                  <c:v>0.37133177674199336</c:v>
                </c:pt>
                <c:pt idx="35">
                  <c:v>0.36838097496642608</c:v>
                </c:pt>
                <c:pt idx="36">
                  <c:v>0.36550213334172521</c:v>
                </c:pt>
                <c:pt idx="37">
                  <c:v>0.36269161162285113</c:v>
                </c:pt>
                <c:pt idx="38">
                  <c:v>0.35994604685537746</c:v>
                </c:pt>
                <c:pt idx="39">
                  <c:v>0.35726232554224102</c:v>
                </c:pt>
                <c:pt idx="40">
                  <c:v>0.35463755924336815</c:v>
                </c:pt>
                <c:pt idx="41">
                  <c:v>0.35206906310988251</c:v>
                </c:pt>
                <c:pt idx="42">
                  <c:v>0.34955433693725979</c:v>
                </c:pt>
                <c:pt idx="43">
                  <c:v>0.34709104838913507</c:v>
                </c:pt>
                <c:pt idx="44">
                  <c:v>0.34467701809856455</c:v>
                </c:pt>
                <c:pt idx="45">
                  <c:v>0.34231020639889698</c:v>
                </c:pt>
                <c:pt idx="46">
                  <c:v>0.33998870147388605</c:v>
                </c:pt>
                <c:pt idx="47">
                  <c:v>0.33771070874779818</c:v>
                </c:pt>
                <c:pt idx="48">
                  <c:v>0.33547454136223043</c:v>
                </c:pt>
                <c:pt idx="49">
                  <c:v>0.33327861160808714</c:v>
                </c:pt>
                <c:pt idx="50">
                  <c:v>0.3311214231994426</c:v>
                </c:pt>
                <c:pt idx="51">
                  <c:v>0.32900156429143756</c:v>
                </c:pt>
                <c:pt idx="52">
                  <c:v>0.32691770115742225</c:v>
                </c:pt>
                <c:pt idx="53">
                  <c:v>0.32486857245165746</c:v>
                </c:pt>
                <c:pt idx="54">
                  <c:v>0.32285298399335793</c:v>
                </c:pt>
                <c:pt idx="55">
                  <c:v>0.32086980401595122</c:v>
                </c:pt>
                <c:pt idx="56">
                  <c:v>0.31891795883238538</c:v>
                </c:pt>
                <c:pt idx="57">
                  <c:v>0.3169964288732896</c:v>
                </c:pt>
                <c:pt idx="58">
                  <c:v>0.31510424505995827</c:v>
                </c:pt>
                <c:pt idx="59">
                  <c:v>0.31324048547859262</c:v>
                </c:pt>
                <c:pt idx="60">
                  <c:v>0.31140427232610834</c:v>
                </c:pt>
                <c:pt idx="61">
                  <c:v>0.30959476910119654</c:v>
                </c:pt>
                <c:pt idx="62">
                  <c:v>0.307811178017247</c:v>
                </c:pt>
                <c:pt idx="63">
                  <c:v>0.30605273761633345</c:v>
                </c:pt>
                <c:pt idx="64">
                  <c:v>0.30431872056569464</c:v>
                </c:pt>
                <c:pt idx="65">
                  <c:v>0.30260843162012685</c:v>
                </c:pt>
                <c:pt idx="66">
                  <c:v>0.30092120573544523</c:v>
                </c:pt>
                <c:pt idx="67">
                  <c:v>0.29925640631969508</c:v>
                </c:pt>
                <c:pt idx="68">
                  <c:v>0.29761342361015897</c:v>
                </c:pt>
                <c:pt idx="69">
                  <c:v>0.29599167316539476</c:v>
                </c:pt>
                <c:pt idx="70">
                  <c:v>0.29439059446261018</c:v>
                </c:pt>
                <c:pt idx="71">
                  <c:v>0.29280964959161482</c:v>
                </c:pt>
                <c:pt idx="72">
                  <c:v>0.29124832203744233</c:v>
                </c:pt>
                <c:pt idx="73">
                  <c:v>0.28970611554447179</c:v>
                </c:pt>
                <c:pt idx="74">
                  <c:v>0.2881825530555554</c:v>
                </c:pt>
                <c:pt idx="75">
                  <c:v>0.2866771757202583</c:v>
                </c:pt>
                <c:pt idx="76">
                  <c:v>0.28518954196684299</c:v>
                </c:pt>
                <c:pt idx="77">
                  <c:v>0.28371922663312077</c:v>
                </c:pt>
                <c:pt idx="78">
                  <c:v>0.2822658201517223</c:v>
                </c:pt>
                <c:pt idx="79">
                  <c:v>0.2808289277857281</c:v>
                </c:pt>
                <c:pt idx="80">
                  <c:v>0.27940816891094589</c:v>
                </c:pt>
                <c:pt idx="81">
                  <c:v>0.27800317634144389</c:v>
                </c:pt>
                <c:pt idx="82">
                  <c:v>0.27661359569523492</c:v>
                </c:pt>
                <c:pt idx="83">
                  <c:v>0.27523908479725545</c:v>
                </c:pt>
                <c:pt idx="84">
                  <c:v>0.27387931311703051</c:v>
                </c:pt>
                <c:pt idx="85">
                  <c:v>0.27253396123862084</c:v>
                </c:pt>
                <c:pt idx="86">
                  <c:v>0.27120272036063386</c:v>
                </c:pt>
                <c:pt idx="87">
                  <c:v>0.26988529182427556</c:v>
                </c:pt>
                <c:pt idx="88">
                  <c:v>0.26858138666755915</c:v>
                </c:pt>
                <c:pt idx="89">
                  <c:v>0.2672907252039437</c:v>
                </c:pt>
                <c:pt idx="90">
                  <c:v>0.26601303662380538</c:v>
                </c:pt>
                <c:pt idx="91">
                  <c:v>0.26474805861725925</c:v>
                </c:pt>
                <c:pt idx="92">
                  <c:v>0.26349553701697537</c:v>
                </c:pt>
                <c:pt idx="93">
                  <c:v>0.26225522545971613</c:v>
                </c:pt>
                <c:pt idx="94">
                  <c:v>0.2610268850654256</c:v>
                </c:pt>
                <c:pt idx="95">
                  <c:v>0.25981028413278617</c:v>
                </c:pt>
                <c:pt idx="96">
                  <c:v>0.25860519785022751</c:v>
                </c:pt>
                <c:pt idx="97">
                  <c:v>0.25741140802146134</c:v>
                </c:pt>
                <c:pt idx="98">
                  <c:v>0.25622870280465437</c:v>
                </c:pt>
                <c:pt idx="99">
                  <c:v>0.25505687646444652</c:v>
                </c:pt>
                <c:pt idx="100">
                  <c:v>0.25389572913604708</c:v>
                </c:pt>
                <c:pt idx="101">
                  <c:v>0.25274506660070872</c:v>
                </c:pt>
                <c:pt idx="102">
                  <c:v>0.25160470007192948</c:v>
                </c:pt>
                <c:pt idx="103">
                  <c:v>0.2504744459917565</c:v>
                </c:pt>
                <c:pt idx="104">
                  <c:v>0.24935412583663763</c:v>
                </c:pt>
                <c:pt idx="105">
                  <c:v>0.24824356593227315</c:v>
                </c:pt>
                <c:pt idx="106">
                  <c:v>0.24714259727697452</c:v>
                </c:pt>
                <c:pt idx="107">
                  <c:v>0.24605105537306204</c:v>
                </c:pt>
                <c:pt idx="108">
                  <c:v>0.2449687800658622</c:v>
                </c:pt>
                <c:pt idx="109">
                  <c:v>0.24389561538990034</c:v>
                </c:pt>
                <c:pt idx="110">
                  <c:v>0.24283140942189363</c:v>
                </c:pt>
                <c:pt idx="111">
                  <c:v>0.24177601414019767</c:v>
                </c:pt>
                <c:pt idx="112">
                  <c:v>0.24072928529035731</c:v>
                </c:pt>
                <c:pt idx="113">
                  <c:v>0.23969108225645153</c:v>
                </c:pt>
                <c:pt idx="114">
                  <c:v>0.23866126793792919</c:v>
                </c:pt>
                <c:pt idx="115">
                  <c:v>0.23763970863165584</c:v>
                </c:pt>
                <c:pt idx="116">
                  <c:v>0.23662627391891156</c:v>
                </c:pt>
                <c:pt idx="117">
                  <c:v>0.23562083655708643</c:v>
                </c:pt>
                <c:pt idx="118">
                  <c:v>0.23462327237584268</c:v>
                </c:pt>
                <c:pt idx="119">
                  <c:v>0.23363346017752173</c:v>
                </c:pt>
                <c:pt idx="120">
                  <c:v>0.23265128164159077</c:v>
                </c:pt>
                <c:pt idx="121">
                  <c:v>0.23167662123292709</c:v>
                </c:pt>
                <c:pt idx="122">
                  <c:v>0.23070936611376347</c:v>
                </c:pt>
                <c:pt idx="123">
                  <c:v>0.22974940605911442</c:v>
                </c:pt>
                <c:pt idx="124">
                  <c:v>0.22879663337551848</c:v>
                </c:pt>
                <c:pt idx="125">
                  <c:v>0.22785094282294349</c:v>
                </c:pt>
                <c:pt idx="126">
                  <c:v>0.22691223153970785</c:v>
                </c:pt>
                <c:pt idx="127">
                  <c:v>0.225980398970272</c:v>
                </c:pt>
                <c:pt idx="128">
                  <c:v>0.22505534679577766</c:v>
                </c:pt>
                <c:pt idx="129">
                  <c:v>0.22413697886720341</c:v>
                </c:pt>
                <c:pt idx="130">
                  <c:v>0.22322520114102029</c:v>
                </c:pt>
                <c:pt idx="131">
                  <c:v>0.22231992161723735</c:v>
                </c:pt>
                <c:pt idx="132">
                  <c:v>0.22142105027972581</c:v>
                </c:pt>
                <c:pt idx="133">
                  <c:v>0.22052849903872684</c:v>
                </c:pt>
                <c:pt idx="134">
                  <c:v>0.21964218167544636</c:v>
                </c:pt>
                <c:pt idx="135">
                  <c:v>0.21876201378864057</c:v>
                </c:pt>
                <c:pt idx="136">
                  <c:v>0.21788791274311547</c:v>
                </c:pt>
                <c:pt idx="137">
                  <c:v>0.21701979762004986</c:v>
                </c:pt>
                <c:pt idx="138">
                  <c:v>0.2161575891690708</c:v>
                </c:pt>
                <c:pt idx="139">
                  <c:v>0.21530120976200173</c:v>
                </c:pt>
                <c:pt idx="140">
                  <c:v>0.21445058334821876</c:v>
                </c:pt>
                <c:pt idx="141">
                  <c:v>0.21360563541154487</c:v>
                </c:pt>
                <c:pt idx="142">
                  <c:v>0.21276629292861793</c:v>
                </c:pt>
                <c:pt idx="143">
                  <c:v>0.21193248432867684</c:v>
                </c:pt>
                <c:pt idx="144">
                  <c:v>0.21110413945470008</c:v>
                </c:pt>
                <c:pt idx="145">
                  <c:v>0.21028118952584962</c:v>
                </c:pt>
                <c:pt idx="146">
                  <c:v>0.20946356710116398</c:v>
                </c:pt>
                <c:pt idx="147">
                  <c:v>0.20865120604445075</c:v>
                </c:pt>
                <c:pt idx="148">
                  <c:v>0.20784404149033264</c:v>
                </c:pt>
                <c:pt idx="149">
                  <c:v>0.20704200981139864</c:v>
                </c:pt>
                <c:pt idx="150">
                  <c:v>0.20624504858642068</c:v>
                </c:pt>
                <c:pt idx="151">
                  <c:v>0.20545309656959232</c:v>
                </c:pt>
                <c:pt idx="152">
                  <c:v>0.20466609366075028</c:v>
                </c:pt>
                <c:pt idx="153">
                  <c:v>0.20388398087654136</c:v>
                </c:pt>
                <c:pt idx="154">
                  <c:v>0.20310670032249889</c:v>
                </c:pt>
                <c:pt idx="155">
                  <c:v>0.20233419516599493</c:v>
                </c:pt>
                <c:pt idx="156">
                  <c:v>0.20156640961003158</c:v>
                </c:pt>
                <c:pt idx="157">
                  <c:v>0.20080328886784737</c:v>
                </c:pt>
                <c:pt idx="158">
                  <c:v>0.20004477913830032</c:v>
                </c:pt>
                <c:pt idx="159">
                  <c:v>0.19929082758200534</c:v>
                </c:pt>
                <c:pt idx="160">
                  <c:v>0.19854138229819496</c:v>
                </c:pt>
                <c:pt idx="161">
                  <c:v>0.19779639230227741</c:v>
                </c:pt>
                <c:pt idx="162">
                  <c:v>0.19705580750406781</c:v>
                </c:pt>
                <c:pt idx="163">
                  <c:v>0.19631957868666872</c:v>
                </c:pt>
                <c:pt idx="164">
                  <c:v>0.19558765748597373</c:v>
                </c:pt>
                <c:pt idx="165">
                  <c:v>0.19485999637077778</c:v>
                </c:pt>
                <c:pt idx="166">
                  <c:v>0.19413654862346352</c:v>
                </c:pt>
                <c:pt idx="167">
                  <c:v>0.19341726832125627</c:v>
                </c:pt>
                <c:pt idx="168">
                  <c:v>0.19270211031801399</c:v>
                </c:pt>
                <c:pt idx="169">
                  <c:v>0.19199103022654462</c:v>
                </c:pt>
                <c:pt idx="170">
                  <c:v>0.19128398440142702</c:v>
                </c:pt>
                <c:pt idx="171">
                  <c:v>0.19058092992231856</c:v>
                </c:pt>
                <c:pt idx="172">
                  <c:v>0.18988182457773639</c:v>
                </c:pt>
                <c:pt idx="173">
                  <c:v>0.18918662684929011</c:v>
                </c:pt>
                <c:pt idx="174">
                  <c:v>0.18849529589635761</c:v>
                </c:pt>
                <c:pt idx="175">
                  <c:v>0.18780779154118421</c:v>
                </c:pt>
                <c:pt idx="176">
                  <c:v>0.18712407425439259</c:v>
                </c:pt>
                <c:pt idx="177">
                  <c:v>0.18644410514089205</c:v>
                </c:pt>
                <c:pt idx="178">
                  <c:v>0.18576784592616802</c:v>
                </c:pt>
                <c:pt idx="179">
                  <c:v>0.18509525894294754</c:v>
                </c:pt>
                <c:pt idx="180">
                  <c:v>0.1844263071182215</c:v>
                </c:pt>
                <c:pt idx="181">
                  <c:v>0.18376095396061576</c:v>
                </c:pt>
                <c:pt idx="182">
                  <c:v>0.18309916354809974</c:v>
                </c:pt>
                <c:pt idx="183">
                  <c:v>0.18244090051601791</c:v>
                </c:pt>
                <c:pt idx="184">
                  <c:v>0.18178613004544197</c:v>
                </c:pt>
                <c:pt idx="185">
                  <c:v>0.18113481785182306</c:v>
                </c:pt>
                <c:pt idx="186">
                  <c:v>0.18048693017394402</c:v>
                </c:pt>
                <c:pt idx="187">
                  <c:v>0.17984243376315645</c:v>
                </c:pt>
                <c:pt idx="188">
                  <c:v>0.17920129587289502</c:v>
                </c:pt>
                <c:pt idx="189">
                  <c:v>0.1785634842484638</c:v>
                </c:pt>
                <c:pt idx="190">
                  <c:v>0.1779289671170794</c:v>
                </c:pt>
                <c:pt idx="191">
                  <c:v>0.17729771317816956</c:v>
                </c:pt>
                <c:pt idx="192">
                  <c:v>0.17666969159391688</c:v>
                </c:pt>
                <c:pt idx="193">
                  <c:v>0.17604487198003893</c:v>
                </c:pt>
                <c:pt idx="194">
                  <c:v>0.17542322439680036</c:v>
                </c:pt>
                <c:pt idx="195">
                  <c:v>0.17480471934024699</c:v>
                </c:pt>
                <c:pt idx="196">
                  <c:v>0.17418932773365836</c:v>
                </c:pt>
                <c:pt idx="197">
                  <c:v>0.17357702091920935</c:v>
                </c:pt>
                <c:pt idx="198">
                  <c:v>0.17296777064983782</c:v>
                </c:pt>
                <c:pt idx="199">
                  <c:v>0.17236154908130807</c:v>
                </c:pt>
                <c:pt idx="200">
                  <c:v>0.1717583287644695</c:v>
                </c:pt>
                <c:pt idx="201">
                  <c:v>0.17115808263770016</c:v>
                </c:pt>
                <c:pt idx="202">
                  <c:v>0.17056078401953156</c:v>
                </c:pt>
                <c:pt idx="203">
                  <c:v>0.16996640660145124</c:v>
                </c:pt>
                <c:pt idx="204">
                  <c:v>0.16937492444087521</c:v>
                </c:pt>
                <c:pt idx="205">
                  <c:v>0.16878631195428673</c:v>
                </c:pt>
                <c:pt idx="206">
                  <c:v>0.16820054391053807</c:v>
                </c:pt>
                <c:pt idx="207">
                  <c:v>0.16761759542430599</c:v>
                </c:pt>
                <c:pt idx="208">
                  <c:v>0.16703744194970371</c:v>
                </c:pt>
                <c:pt idx="209">
                  <c:v>0.16646005927403795</c:v>
                </c:pt>
                <c:pt idx="210">
                  <c:v>0.16588542351171176</c:v>
                </c:pt>
                <c:pt idx="211">
                  <c:v>0.16531351109826764</c:v>
                </c:pt>
                <c:pt idx="212">
                  <c:v>0.16474429878456487</c:v>
                </c:pt>
                <c:pt idx="213">
                  <c:v>0.16417776363109216</c:v>
                </c:pt>
                <c:pt idx="214">
                  <c:v>0.16361388300240731</c:v>
                </c:pt>
                <c:pt idx="215">
                  <c:v>0.16305263456170249</c:v>
                </c:pt>
                <c:pt idx="216">
                  <c:v>0.16249399626549277</c:v>
                </c:pt>
                <c:pt idx="217">
                  <c:v>0.16193794635842118</c:v>
                </c:pt>
                <c:pt idx="218">
                  <c:v>0.16138446336818102</c:v>
                </c:pt>
                <c:pt idx="219">
                  <c:v>0.16083352610055013</c:v>
                </c:pt>
                <c:pt idx="220">
                  <c:v>0.16028511363453413</c:v>
                </c:pt>
                <c:pt idx="221">
                  <c:v>0.15973920531761676</c:v>
                </c:pt>
                <c:pt idx="222">
                  <c:v>0.15919578076111363</c:v>
                </c:pt>
                <c:pt idx="223">
                  <c:v>0.15865481983562724</c:v>
                </c:pt>
                <c:pt idx="224">
                  <c:v>0.15811630266659993</c:v>
                </c:pt>
                <c:pt idx="225">
                  <c:v>0.15758020962996289</c:v>
                </c:pt>
                <c:pt idx="226">
                  <c:v>0.15704652134787844</c:v>
                </c:pt>
                <c:pt idx="227">
                  <c:v>0.15651521868457352</c:v>
                </c:pt>
                <c:pt idx="228">
                  <c:v>0.15598628274226145</c:v>
                </c:pt>
                <c:pt idx="229">
                  <c:v>0.15545969485714972</c:v>
                </c:pt>
                <c:pt idx="230">
                  <c:v>0.15493543659553233</c:v>
                </c:pt>
                <c:pt idx="231">
                  <c:v>0.15441348974996472</c:v>
                </c:pt>
                <c:pt idx="232">
                  <c:v>0.15389383633551657</c:v>
                </c:pt>
                <c:pt idx="233">
                  <c:v>0.15337645858610582</c:v>
                </c:pt>
                <c:pt idx="234">
                  <c:v>0.15286133895090437</c:v>
                </c:pt>
                <c:pt idx="235">
                  <c:v>0.15234846009082226</c:v>
                </c:pt>
                <c:pt idx="236">
                  <c:v>0.15183780487506104</c:v>
                </c:pt>
                <c:pt idx="237">
                  <c:v>0.15132935637773859</c:v>
                </c:pt>
                <c:pt idx="238">
                  <c:v>0.15082309787458303</c:v>
                </c:pt>
                <c:pt idx="239">
                  <c:v>0.15031901283969284</c:v>
                </c:pt>
                <c:pt idx="240">
                  <c:v>0.14981708494236368</c:v>
                </c:pt>
                <c:pt idx="241">
                  <c:v>0.14931729804397731</c:v>
                </c:pt>
                <c:pt idx="242">
                  <c:v>0.14881963619495409</c:v>
                </c:pt>
                <c:pt idx="243">
                  <c:v>0.14832408363176608</c:v>
                </c:pt>
                <c:pt idx="244">
                  <c:v>0.14783062477400843</c:v>
                </c:pt>
                <c:pt idx="245">
                  <c:v>0.14733924422153089</c:v>
                </c:pt>
                <c:pt idx="246">
                  <c:v>0.14684992675162278</c:v>
                </c:pt>
                <c:pt idx="247">
                  <c:v>0.1463626573162562</c:v>
                </c:pt>
                <c:pt idx="248">
                  <c:v>0.14587742103938073</c:v>
                </c:pt>
                <c:pt idx="249">
                  <c:v>0.14539420321427254</c:v>
                </c:pt>
                <c:pt idx="250">
                  <c:v>0.14491298930093388</c:v>
                </c:pt>
              </c:numCache>
            </c:numRef>
          </c:yVal>
          <c:smooth val="0"/>
          <c:extLst>
            <c:ext xmlns:c16="http://schemas.microsoft.com/office/drawing/2014/chart" uri="{C3380CC4-5D6E-409C-BE32-E72D297353CC}">
              <c16:uniqueId val="{00000000-2856-4D2A-87E2-E4A45B7E6E1D}"/>
            </c:ext>
          </c:extLst>
        </c:ser>
        <c:dLbls>
          <c:showLegendKey val="0"/>
          <c:showVal val="0"/>
          <c:showCatName val="0"/>
          <c:showSerName val="0"/>
          <c:showPercent val="0"/>
          <c:showBubbleSize val="0"/>
        </c:dLbls>
        <c:axId val="1595666911"/>
        <c:axId val="1595661087"/>
      </c:scatterChart>
      <c:valAx>
        <c:axId val="1595666911"/>
        <c:scaling>
          <c:orientation val="minMax"/>
          <c:max val="250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r>
                  <a:rPr lang="en-GB"/>
                  <a:t>Time [min]</a:t>
                </a:r>
                <a:endParaRPr lang="sr-Latn-RS"/>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itle>
        <c:numFmt formatCode="0"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595661087"/>
        <c:crosses val="autoZero"/>
        <c:crossBetween val="midCat"/>
      </c:valAx>
      <c:valAx>
        <c:axId val="1595661087"/>
        <c:scaling>
          <c:orientation val="minMax"/>
          <c:max val="1"/>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r>
                  <a:rPr lang="en-GB"/>
                  <a:t>R</a:t>
                </a:r>
                <a:r>
                  <a:rPr lang="en-GB" baseline="-25000"/>
                  <a:t>Beta</a:t>
                </a:r>
                <a:r>
                  <a:rPr lang="en-GB"/>
                  <a:t> (t)</a:t>
                </a:r>
                <a:endParaRPr lang="sr-Latn-RS"/>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itle>
        <c:numFmt formatCode="0.000"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595666911"/>
        <c:crosses val="autoZero"/>
        <c:crossBetween val="midCat"/>
      </c:valAx>
      <c:spPr>
        <a:noFill/>
        <a:ln w="3175">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Garamond" panose="02020404030301010803" pitchFamily="18" charset="0"/>
        </a:defRPr>
      </a:pPr>
      <a:endParaRPr lang="sr-Latn-RS"/>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'Interpolated Physical'!$B$1</c:f>
              <c:strCache>
                <c:ptCount val="1"/>
                <c:pt idx="0">
                  <c:v>TAN</c:v>
                </c:pt>
              </c:strCache>
            </c:strRef>
          </c:tx>
          <c:spPr>
            <a:ln w="19050" cap="rnd">
              <a:noFill/>
              <a:round/>
            </a:ln>
            <a:effectLst/>
          </c:spPr>
          <c:marker>
            <c:symbol val="square"/>
            <c:size val="10"/>
            <c:spPr>
              <a:noFill/>
              <a:ln w="3175">
                <a:solidFill>
                  <a:srgbClr val="0000FF"/>
                </a:solidFill>
              </a:ln>
              <a:effectLst/>
            </c:spPr>
          </c:marker>
          <c:trendline>
            <c:spPr>
              <a:ln w="3175" cap="rnd">
                <a:solidFill>
                  <a:srgbClr val="FF0000"/>
                </a:solidFill>
                <a:prstDash val="lgDash"/>
              </a:ln>
              <a:effectLst/>
            </c:spPr>
            <c:trendlineType val="poly"/>
            <c:order val="3"/>
            <c:dispRSqr val="1"/>
            <c:dispEq val="1"/>
            <c:trendlineLbl>
              <c:layout>
                <c:manualLayout>
                  <c:x val="9.3071302375291737E-3"/>
                  <c:y val="8.4691018844023927E-2"/>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rendlineLbl>
          </c:trendline>
          <c:xVal>
            <c:numRef>
              <c:f>'Interpolated Physical'!$A$2:$A$981</c:f>
              <c:numCache>
                <c:formatCode>General</c:formatCode>
                <c:ptCount val="98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432</c:v>
                </c:pt>
                <c:pt idx="21">
                  <c:v>433</c:v>
                </c:pt>
                <c:pt idx="22">
                  <c:v>434</c:v>
                </c:pt>
                <c:pt idx="23">
                  <c:v>435</c:v>
                </c:pt>
                <c:pt idx="24">
                  <c:v>436</c:v>
                </c:pt>
                <c:pt idx="25">
                  <c:v>437</c:v>
                </c:pt>
                <c:pt idx="26">
                  <c:v>438</c:v>
                </c:pt>
                <c:pt idx="27">
                  <c:v>439</c:v>
                </c:pt>
                <c:pt idx="28">
                  <c:v>440</c:v>
                </c:pt>
                <c:pt idx="29">
                  <c:v>441</c:v>
                </c:pt>
                <c:pt idx="30">
                  <c:v>442</c:v>
                </c:pt>
                <c:pt idx="31">
                  <c:v>443</c:v>
                </c:pt>
                <c:pt idx="32">
                  <c:v>444</c:v>
                </c:pt>
                <c:pt idx="33">
                  <c:v>445</c:v>
                </c:pt>
                <c:pt idx="34">
                  <c:v>446</c:v>
                </c:pt>
                <c:pt idx="35">
                  <c:v>447</c:v>
                </c:pt>
                <c:pt idx="36">
                  <c:v>448</c:v>
                </c:pt>
                <c:pt idx="37">
                  <c:v>449</c:v>
                </c:pt>
                <c:pt idx="38">
                  <c:v>450</c:v>
                </c:pt>
                <c:pt idx="39">
                  <c:v>451</c:v>
                </c:pt>
                <c:pt idx="40">
                  <c:v>818</c:v>
                </c:pt>
                <c:pt idx="41">
                  <c:v>819</c:v>
                </c:pt>
                <c:pt idx="42">
                  <c:v>820</c:v>
                </c:pt>
                <c:pt idx="43">
                  <c:v>821</c:v>
                </c:pt>
                <c:pt idx="44">
                  <c:v>822</c:v>
                </c:pt>
                <c:pt idx="45">
                  <c:v>823</c:v>
                </c:pt>
                <c:pt idx="46">
                  <c:v>824</c:v>
                </c:pt>
                <c:pt idx="47">
                  <c:v>825</c:v>
                </c:pt>
                <c:pt idx="48">
                  <c:v>826</c:v>
                </c:pt>
                <c:pt idx="49">
                  <c:v>827</c:v>
                </c:pt>
                <c:pt idx="50">
                  <c:v>828</c:v>
                </c:pt>
                <c:pt idx="51">
                  <c:v>829</c:v>
                </c:pt>
                <c:pt idx="52">
                  <c:v>830</c:v>
                </c:pt>
                <c:pt idx="53">
                  <c:v>831</c:v>
                </c:pt>
                <c:pt idx="54">
                  <c:v>832</c:v>
                </c:pt>
                <c:pt idx="55">
                  <c:v>833</c:v>
                </c:pt>
                <c:pt idx="56">
                  <c:v>834</c:v>
                </c:pt>
                <c:pt idx="57">
                  <c:v>835</c:v>
                </c:pt>
                <c:pt idx="58">
                  <c:v>836</c:v>
                </c:pt>
                <c:pt idx="59">
                  <c:v>837</c:v>
                </c:pt>
                <c:pt idx="60">
                  <c:v>1057</c:v>
                </c:pt>
                <c:pt idx="61">
                  <c:v>1058</c:v>
                </c:pt>
                <c:pt idx="62">
                  <c:v>1059</c:v>
                </c:pt>
                <c:pt idx="63">
                  <c:v>1060</c:v>
                </c:pt>
                <c:pt idx="64">
                  <c:v>1061</c:v>
                </c:pt>
                <c:pt idx="65">
                  <c:v>1062</c:v>
                </c:pt>
                <c:pt idx="66">
                  <c:v>1063</c:v>
                </c:pt>
                <c:pt idx="67">
                  <c:v>1064</c:v>
                </c:pt>
                <c:pt idx="68">
                  <c:v>1065</c:v>
                </c:pt>
                <c:pt idx="69">
                  <c:v>1066</c:v>
                </c:pt>
                <c:pt idx="70">
                  <c:v>1067</c:v>
                </c:pt>
                <c:pt idx="71">
                  <c:v>1068</c:v>
                </c:pt>
                <c:pt idx="72">
                  <c:v>1069</c:v>
                </c:pt>
                <c:pt idx="73">
                  <c:v>1070</c:v>
                </c:pt>
                <c:pt idx="74">
                  <c:v>1071</c:v>
                </c:pt>
                <c:pt idx="75">
                  <c:v>1072</c:v>
                </c:pt>
                <c:pt idx="76">
                  <c:v>1073</c:v>
                </c:pt>
                <c:pt idx="77">
                  <c:v>1074</c:v>
                </c:pt>
                <c:pt idx="78">
                  <c:v>1075</c:v>
                </c:pt>
                <c:pt idx="79">
                  <c:v>1076</c:v>
                </c:pt>
                <c:pt idx="80">
                  <c:v>1407</c:v>
                </c:pt>
                <c:pt idx="81">
                  <c:v>1408</c:v>
                </c:pt>
                <c:pt idx="82">
                  <c:v>1409</c:v>
                </c:pt>
                <c:pt idx="83">
                  <c:v>1410</c:v>
                </c:pt>
                <c:pt idx="84">
                  <c:v>1411</c:v>
                </c:pt>
                <c:pt idx="85">
                  <c:v>1412</c:v>
                </c:pt>
                <c:pt idx="86">
                  <c:v>1413</c:v>
                </c:pt>
                <c:pt idx="87">
                  <c:v>1414</c:v>
                </c:pt>
                <c:pt idx="88">
                  <c:v>1415</c:v>
                </c:pt>
                <c:pt idx="89">
                  <c:v>1416</c:v>
                </c:pt>
                <c:pt idx="90">
                  <c:v>1417</c:v>
                </c:pt>
                <c:pt idx="91">
                  <c:v>1418</c:v>
                </c:pt>
                <c:pt idx="92">
                  <c:v>1419</c:v>
                </c:pt>
                <c:pt idx="93">
                  <c:v>1420</c:v>
                </c:pt>
                <c:pt idx="94">
                  <c:v>1421</c:v>
                </c:pt>
                <c:pt idx="95">
                  <c:v>1422</c:v>
                </c:pt>
                <c:pt idx="96">
                  <c:v>1423</c:v>
                </c:pt>
                <c:pt idx="97">
                  <c:v>1424</c:v>
                </c:pt>
                <c:pt idx="98">
                  <c:v>1425</c:v>
                </c:pt>
                <c:pt idx="99">
                  <c:v>1426</c:v>
                </c:pt>
                <c:pt idx="100">
                  <c:v>1618</c:v>
                </c:pt>
                <c:pt idx="101">
                  <c:v>1619</c:v>
                </c:pt>
                <c:pt idx="102">
                  <c:v>1620</c:v>
                </c:pt>
                <c:pt idx="103">
                  <c:v>1621</c:v>
                </c:pt>
                <c:pt idx="104">
                  <c:v>1622</c:v>
                </c:pt>
                <c:pt idx="105">
                  <c:v>1623</c:v>
                </c:pt>
                <c:pt idx="106">
                  <c:v>1624</c:v>
                </c:pt>
                <c:pt idx="107">
                  <c:v>1625</c:v>
                </c:pt>
                <c:pt idx="108">
                  <c:v>1626</c:v>
                </c:pt>
                <c:pt idx="109">
                  <c:v>1627</c:v>
                </c:pt>
                <c:pt idx="110">
                  <c:v>1628</c:v>
                </c:pt>
                <c:pt idx="111">
                  <c:v>1629</c:v>
                </c:pt>
                <c:pt idx="112">
                  <c:v>1630</c:v>
                </c:pt>
                <c:pt idx="113">
                  <c:v>1631</c:v>
                </c:pt>
                <c:pt idx="114">
                  <c:v>1632</c:v>
                </c:pt>
                <c:pt idx="115">
                  <c:v>1633</c:v>
                </c:pt>
                <c:pt idx="116">
                  <c:v>1634</c:v>
                </c:pt>
                <c:pt idx="117">
                  <c:v>1635</c:v>
                </c:pt>
                <c:pt idx="118">
                  <c:v>1636</c:v>
                </c:pt>
                <c:pt idx="119">
                  <c:v>1637</c:v>
                </c:pt>
                <c:pt idx="120">
                  <c:v>2039</c:v>
                </c:pt>
                <c:pt idx="121">
                  <c:v>2040</c:v>
                </c:pt>
                <c:pt idx="122">
                  <c:v>2041</c:v>
                </c:pt>
                <c:pt idx="123">
                  <c:v>2042</c:v>
                </c:pt>
                <c:pt idx="124">
                  <c:v>2043</c:v>
                </c:pt>
                <c:pt idx="125">
                  <c:v>2044</c:v>
                </c:pt>
                <c:pt idx="126">
                  <c:v>2045</c:v>
                </c:pt>
                <c:pt idx="127">
                  <c:v>2046</c:v>
                </c:pt>
                <c:pt idx="128">
                  <c:v>2047</c:v>
                </c:pt>
                <c:pt idx="129">
                  <c:v>2048</c:v>
                </c:pt>
                <c:pt idx="130">
                  <c:v>2049</c:v>
                </c:pt>
                <c:pt idx="131">
                  <c:v>2050</c:v>
                </c:pt>
                <c:pt idx="132">
                  <c:v>2051</c:v>
                </c:pt>
                <c:pt idx="133">
                  <c:v>2052</c:v>
                </c:pt>
                <c:pt idx="134">
                  <c:v>2053</c:v>
                </c:pt>
                <c:pt idx="135">
                  <c:v>2054</c:v>
                </c:pt>
                <c:pt idx="136">
                  <c:v>2055</c:v>
                </c:pt>
                <c:pt idx="137">
                  <c:v>2056</c:v>
                </c:pt>
                <c:pt idx="138">
                  <c:v>2057</c:v>
                </c:pt>
                <c:pt idx="139">
                  <c:v>2058</c:v>
                </c:pt>
                <c:pt idx="140">
                  <c:v>2897</c:v>
                </c:pt>
                <c:pt idx="141">
                  <c:v>2898</c:v>
                </c:pt>
                <c:pt idx="142">
                  <c:v>2899</c:v>
                </c:pt>
                <c:pt idx="143">
                  <c:v>2900</c:v>
                </c:pt>
                <c:pt idx="144">
                  <c:v>2901</c:v>
                </c:pt>
                <c:pt idx="145">
                  <c:v>2902</c:v>
                </c:pt>
                <c:pt idx="146">
                  <c:v>2903</c:v>
                </c:pt>
                <c:pt idx="147">
                  <c:v>2904</c:v>
                </c:pt>
                <c:pt idx="148">
                  <c:v>2905</c:v>
                </c:pt>
                <c:pt idx="149">
                  <c:v>2906</c:v>
                </c:pt>
                <c:pt idx="150">
                  <c:v>2907</c:v>
                </c:pt>
                <c:pt idx="151">
                  <c:v>2908</c:v>
                </c:pt>
                <c:pt idx="152">
                  <c:v>2909</c:v>
                </c:pt>
                <c:pt idx="153">
                  <c:v>2910</c:v>
                </c:pt>
                <c:pt idx="154">
                  <c:v>2911</c:v>
                </c:pt>
                <c:pt idx="155">
                  <c:v>2912</c:v>
                </c:pt>
                <c:pt idx="156">
                  <c:v>2913</c:v>
                </c:pt>
                <c:pt idx="157">
                  <c:v>2914</c:v>
                </c:pt>
                <c:pt idx="158">
                  <c:v>2915</c:v>
                </c:pt>
                <c:pt idx="159">
                  <c:v>2916</c:v>
                </c:pt>
                <c:pt idx="160">
                  <c:v>3257</c:v>
                </c:pt>
                <c:pt idx="161">
                  <c:v>3258</c:v>
                </c:pt>
                <c:pt idx="162">
                  <c:v>3259</c:v>
                </c:pt>
                <c:pt idx="163">
                  <c:v>3260</c:v>
                </c:pt>
                <c:pt idx="164">
                  <c:v>3261</c:v>
                </c:pt>
                <c:pt idx="165">
                  <c:v>3262</c:v>
                </c:pt>
                <c:pt idx="166">
                  <c:v>3263</c:v>
                </c:pt>
                <c:pt idx="167">
                  <c:v>3264</c:v>
                </c:pt>
                <c:pt idx="168">
                  <c:v>3265</c:v>
                </c:pt>
                <c:pt idx="169">
                  <c:v>3266</c:v>
                </c:pt>
                <c:pt idx="170">
                  <c:v>3267</c:v>
                </c:pt>
                <c:pt idx="171">
                  <c:v>3268</c:v>
                </c:pt>
                <c:pt idx="172">
                  <c:v>3269</c:v>
                </c:pt>
                <c:pt idx="173">
                  <c:v>3270</c:v>
                </c:pt>
                <c:pt idx="174">
                  <c:v>3271</c:v>
                </c:pt>
                <c:pt idx="175">
                  <c:v>3272</c:v>
                </c:pt>
                <c:pt idx="176">
                  <c:v>3273</c:v>
                </c:pt>
                <c:pt idx="177">
                  <c:v>3274</c:v>
                </c:pt>
                <c:pt idx="178">
                  <c:v>3275</c:v>
                </c:pt>
                <c:pt idx="179">
                  <c:v>3276</c:v>
                </c:pt>
                <c:pt idx="180">
                  <c:v>4443</c:v>
                </c:pt>
                <c:pt idx="181">
                  <c:v>4445</c:v>
                </c:pt>
                <c:pt idx="182">
                  <c:v>4446</c:v>
                </c:pt>
                <c:pt idx="183">
                  <c:v>4447</c:v>
                </c:pt>
                <c:pt idx="184">
                  <c:v>4448</c:v>
                </c:pt>
                <c:pt idx="185">
                  <c:v>4449</c:v>
                </c:pt>
                <c:pt idx="186">
                  <c:v>4450</c:v>
                </c:pt>
                <c:pt idx="187">
                  <c:v>4451</c:v>
                </c:pt>
                <c:pt idx="188">
                  <c:v>4452</c:v>
                </c:pt>
                <c:pt idx="189">
                  <c:v>4453</c:v>
                </c:pt>
                <c:pt idx="190">
                  <c:v>4454</c:v>
                </c:pt>
                <c:pt idx="191">
                  <c:v>4455</c:v>
                </c:pt>
                <c:pt idx="192">
                  <c:v>4456</c:v>
                </c:pt>
                <c:pt idx="193">
                  <c:v>4457</c:v>
                </c:pt>
                <c:pt idx="194">
                  <c:v>4458</c:v>
                </c:pt>
                <c:pt idx="195">
                  <c:v>4459</c:v>
                </c:pt>
                <c:pt idx="196">
                  <c:v>4460</c:v>
                </c:pt>
                <c:pt idx="197">
                  <c:v>4461</c:v>
                </c:pt>
                <c:pt idx="198">
                  <c:v>4462</c:v>
                </c:pt>
                <c:pt idx="199">
                  <c:v>4463</c:v>
                </c:pt>
                <c:pt idx="200">
                  <c:v>4740</c:v>
                </c:pt>
                <c:pt idx="201">
                  <c:v>4741</c:v>
                </c:pt>
                <c:pt idx="202">
                  <c:v>4742</c:v>
                </c:pt>
                <c:pt idx="203">
                  <c:v>4743</c:v>
                </c:pt>
                <c:pt idx="204">
                  <c:v>4744</c:v>
                </c:pt>
                <c:pt idx="205">
                  <c:v>4745</c:v>
                </c:pt>
                <c:pt idx="206">
                  <c:v>4746</c:v>
                </c:pt>
                <c:pt idx="207">
                  <c:v>4747</c:v>
                </c:pt>
                <c:pt idx="208">
                  <c:v>4748</c:v>
                </c:pt>
                <c:pt idx="209">
                  <c:v>4749</c:v>
                </c:pt>
                <c:pt idx="210">
                  <c:v>4750</c:v>
                </c:pt>
                <c:pt idx="211">
                  <c:v>4751</c:v>
                </c:pt>
                <c:pt idx="212">
                  <c:v>4752</c:v>
                </c:pt>
                <c:pt idx="213">
                  <c:v>4753</c:v>
                </c:pt>
                <c:pt idx="214">
                  <c:v>4754</c:v>
                </c:pt>
                <c:pt idx="215">
                  <c:v>4755</c:v>
                </c:pt>
                <c:pt idx="216">
                  <c:v>4756</c:v>
                </c:pt>
                <c:pt idx="217">
                  <c:v>4757</c:v>
                </c:pt>
                <c:pt idx="218">
                  <c:v>4758</c:v>
                </c:pt>
                <c:pt idx="219">
                  <c:v>4759</c:v>
                </c:pt>
                <c:pt idx="220">
                  <c:v>5191</c:v>
                </c:pt>
                <c:pt idx="221">
                  <c:v>5192</c:v>
                </c:pt>
                <c:pt idx="222">
                  <c:v>5193</c:v>
                </c:pt>
                <c:pt idx="223">
                  <c:v>5194</c:v>
                </c:pt>
                <c:pt idx="224">
                  <c:v>5195</c:v>
                </c:pt>
                <c:pt idx="225">
                  <c:v>5196</c:v>
                </c:pt>
                <c:pt idx="226">
                  <c:v>5197</c:v>
                </c:pt>
                <c:pt idx="227">
                  <c:v>5198</c:v>
                </c:pt>
                <c:pt idx="228">
                  <c:v>5199</c:v>
                </c:pt>
                <c:pt idx="229">
                  <c:v>5200</c:v>
                </c:pt>
                <c:pt idx="230">
                  <c:v>5201</c:v>
                </c:pt>
                <c:pt idx="231">
                  <c:v>5202</c:v>
                </c:pt>
                <c:pt idx="232">
                  <c:v>5203</c:v>
                </c:pt>
                <c:pt idx="233">
                  <c:v>5204</c:v>
                </c:pt>
                <c:pt idx="234">
                  <c:v>5205</c:v>
                </c:pt>
                <c:pt idx="235">
                  <c:v>5206</c:v>
                </c:pt>
                <c:pt idx="236">
                  <c:v>5207</c:v>
                </c:pt>
                <c:pt idx="237">
                  <c:v>5208</c:v>
                </c:pt>
                <c:pt idx="238">
                  <c:v>5209</c:v>
                </c:pt>
                <c:pt idx="239">
                  <c:v>5210</c:v>
                </c:pt>
                <c:pt idx="240">
                  <c:v>5544</c:v>
                </c:pt>
                <c:pt idx="241">
                  <c:v>5545</c:v>
                </c:pt>
                <c:pt idx="242">
                  <c:v>5546</c:v>
                </c:pt>
                <c:pt idx="243">
                  <c:v>5547</c:v>
                </c:pt>
                <c:pt idx="244">
                  <c:v>5548</c:v>
                </c:pt>
                <c:pt idx="245">
                  <c:v>5549</c:v>
                </c:pt>
                <c:pt idx="246">
                  <c:v>5550</c:v>
                </c:pt>
                <c:pt idx="247">
                  <c:v>5551</c:v>
                </c:pt>
                <c:pt idx="248">
                  <c:v>5552</c:v>
                </c:pt>
                <c:pt idx="249">
                  <c:v>5553</c:v>
                </c:pt>
                <c:pt idx="250">
                  <c:v>5554</c:v>
                </c:pt>
                <c:pt idx="251">
                  <c:v>5555</c:v>
                </c:pt>
                <c:pt idx="252">
                  <c:v>5556</c:v>
                </c:pt>
                <c:pt idx="253">
                  <c:v>5557</c:v>
                </c:pt>
                <c:pt idx="254">
                  <c:v>5558</c:v>
                </c:pt>
                <c:pt idx="255">
                  <c:v>5559</c:v>
                </c:pt>
                <c:pt idx="256">
                  <c:v>5560</c:v>
                </c:pt>
                <c:pt idx="257">
                  <c:v>5561</c:v>
                </c:pt>
                <c:pt idx="258">
                  <c:v>5562</c:v>
                </c:pt>
                <c:pt idx="259">
                  <c:v>5563</c:v>
                </c:pt>
                <c:pt idx="260">
                  <c:v>5915</c:v>
                </c:pt>
                <c:pt idx="261">
                  <c:v>5916</c:v>
                </c:pt>
                <c:pt idx="262">
                  <c:v>5917</c:v>
                </c:pt>
                <c:pt idx="263">
                  <c:v>5918</c:v>
                </c:pt>
                <c:pt idx="264">
                  <c:v>5919</c:v>
                </c:pt>
                <c:pt idx="265">
                  <c:v>5920</c:v>
                </c:pt>
                <c:pt idx="266">
                  <c:v>5921</c:v>
                </c:pt>
                <c:pt idx="267">
                  <c:v>5922</c:v>
                </c:pt>
                <c:pt idx="268">
                  <c:v>5923</c:v>
                </c:pt>
                <c:pt idx="269">
                  <c:v>5924</c:v>
                </c:pt>
                <c:pt idx="270">
                  <c:v>5925</c:v>
                </c:pt>
                <c:pt idx="271">
                  <c:v>5926</c:v>
                </c:pt>
                <c:pt idx="272">
                  <c:v>5927</c:v>
                </c:pt>
                <c:pt idx="273">
                  <c:v>5928</c:v>
                </c:pt>
                <c:pt idx="274">
                  <c:v>5929</c:v>
                </c:pt>
                <c:pt idx="275">
                  <c:v>5930</c:v>
                </c:pt>
                <c:pt idx="276">
                  <c:v>5931</c:v>
                </c:pt>
                <c:pt idx="277">
                  <c:v>5932</c:v>
                </c:pt>
                <c:pt idx="278">
                  <c:v>5933</c:v>
                </c:pt>
                <c:pt idx="279">
                  <c:v>5934</c:v>
                </c:pt>
                <c:pt idx="280">
                  <c:v>6137</c:v>
                </c:pt>
                <c:pt idx="281">
                  <c:v>6138</c:v>
                </c:pt>
                <c:pt idx="282">
                  <c:v>6139</c:v>
                </c:pt>
                <c:pt idx="283">
                  <c:v>6140</c:v>
                </c:pt>
                <c:pt idx="284">
                  <c:v>6141</c:v>
                </c:pt>
                <c:pt idx="285">
                  <c:v>6142</c:v>
                </c:pt>
                <c:pt idx="286">
                  <c:v>6143</c:v>
                </c:pt>
                <c:pt idx="287">
                  <c:v>6144</c:v>
                </c:pt>
                <c:pt idx="288">
                  <c:v>6145</c:v>
                </c:pt>
                <c:pt idx="289">
                  <c:v>6146</c:v>
                </c:pt>
                <c:pt idx="290">
                  <c:v>6147</c:v>
                </c:pt>
                <c:pt idx="291">
                  <c:v>6148</c:v>
                </c:pt>
                <c:pt idx="292">
                  <c:v>6149</c:v>
                </c:pt>
                <c:pt idx="293">
                  <c:v>6150</c:v>
                </c:pt>
                <c:pt idx="294">
                  <c:v>6151</c:v>
                </c:pt>
                <c:pt idx="295">
                  <c:v>6152</c:v>
                </c:pt>
                <c:pt idx="296">
                  <c:v>6153</c:v>
                </c:pt>
                <c:pt idx="297">
                  <c:v>6154</c:v>
                </c:pt>
                <c:pt idx="298">
                  <c:v>6155</c:v>
                </c:pt>
                <c:pt idx="299">
                  <c:v>6156</c:v>
                </c:pt>
                <c:pt idx="300">
                  <c:v>6600</c:v>
                </c:pt>
                <c:pt idx="301">
                  <c:v>6601</c:v>
                </c:pt>
                <c:pt idx="302">
                  <c:v>6602</c:v>
                </c:pt>
                <c:pt idx="303">
                  <c:v>6603</c:v>
                </c:pt>
                <c:pt idx="304">
                  <c:v>6604</c:v>
                </c:pt>
                <c:pt idx="305">
                  <c:v>6605</c:v>
                </c:pt>
                <c:pt idx="306">
                  <c:v>6606</c:v>
                </c:pt>
                <c:pt idx="307">
                  <c:v>6607</c:v>
                </c:pt>
                <c:pt idx="308">
                  <c:v>6608</c:v>
                </c:pt>
                <c:pt idx="309">
                  <c:v>6609</c:v>
                </c:pt>
                <c:pt idx="310">
                  <c:v>6610</c:v>
                </c:pt>
                <c:pt idx="311">
                  <c:v>6611</c:v>
                </c:pt>
                <c:pt idx="312">
                  <c:v>6612</c:v>
                </c:pt>
                <c:pt idx="313">
                  <c:v>6613</c:v>
                </c:pt>
                <c:pt idx="314">
                  <c:v>6614</c:v>
                </c:pt>
                <c:pt idx="315">
                  <c:v>6615</c:v>
                </c:pt>
                <c:pt idx="316">
                  <c:v>6616</c:v>
                </c:pt>
                <c:pt idx="317">
                  <c:v>6617</c:v>
                </c:pt>
                <c:pt idx="318">
                  <c:v>6618</c:v>
                </c:pt>
                <c:pt idx="319">
                  <c:v>6619</c:v>
                </c:pt>
                <c:pt idx="320">
                  <c:v>6823</c:v>
                </c:pt>
                <c:pt idx="321">
                  <c:v>6824</c:v>
                </c:pt>
                <c:pt idx="322">
                  <c:v>6825</c:v>
                </c:pt>
                <c:pt idx="323">
                  <c:v>6826</c:v>
                </c:pt>
                <c:pt idx="324">
                  <c:v>6827</c:v>
                </c:pt>
                <c:pt idx="325">
                  <c:v>6828</c:v>
                </c:pt>
                <c:pt idx="326">
                  <c:v>6829</c:v>
                </c:pt>
                <c:pt idx="327">
                  <c:v>6830</c:v>
                </c:pt>
                <c:pt idx="328">
                  <c:v>6831</c:v>
                </c:pt>
                <c:pt idx="329">
                  <c:v>6832</c:v>
                </c:pt>
                <c:pt idx="330">
                  <c:v>6833</c:v>
                </c:pt>
                <c:pt idx="331">
                  <c:v>6834</c:v>
                </c:pt>
                <c:pt idx="332">
                  <c:v>6835</c:v>
                </c:pt>
                <c:pt idx="333">
                  <c:v>6836</c:v>
                </c:pt>
                <c:pt idx="334">
                  <c:v>6837</c:v>
                </c:pt>
                <c:pt idx="335">
                  <c:v>6838</c:v>
                </c:pt>
                <c:pt idx="336">
                  <c:v>6839</c:v>
                </c:pt>
                <c:pt idx="337">
                  <c:v>6840</c:v>
                </c:pt>
                <c:pt idx="338">
                  <c:v>6841</c:v>
                </c:pt>
                <c:pt idx="339">
                  <c:v>6842</c:v>
                </c:pt>
                <c:pt idx="340">
                  <c:v>7090</c:v>
                </c:pt>
                <c:pt idx="341">
                  <c:v>7091</c:v>
                </c:pt>
                <c:pt idx="342">
                  <c:v>7092</c:v>
                </c:pt>
                <c:pt idx="343">
                  <c:v>7093</c:v>
                </c:pt>
                <c:pt idx="344">
                  <c:v>7094</c:v>
                </c:pt>
                <c:pt idx="345">
                  <c:v>7095</c:v>
                </c:pt>
                <c:pt idx="346">
                  <c:v>7096</c:v>
                </c:pt>
                <c:pt idx="347">
                  <c:v>7097</c:v>
                </c:pt>
                <c:pt idx="348">
                  <c:v>7098</c:v>
                </c:pt>
                <c:pt idx="349">
                  <c:v>7099</c:v>
                </c:pt>
                <c:pt idx="350">
                  <c:v>7100</c:v>
                </c:pt>
                <c:pt idx="351">
                  <c:v>7101</c:v>
                </c:pt>
                <c:pt idx="352">
                  <c:v>7102</c:v>
                </c:pt>
                <c:pt idx="353">
                  <c:v>7103</c:v>
                </c:pt>
                <c:pt idx="354">
                  <c:v>7104</c:v>
                </c:pt>
                <c:pt idx="355">
                  <c:v>7105</c:v>
                </c:pt>
                <c:pt idx="356">
                  <c:v>7106</c:v>
                </c:pt>
                <c:pt idx="357">
                  <c:v>7107</c:v>
                </c:pt>
                <c:pt idx="358">
                  <c:v>7108</c:v>
                </c:pt>
                <c:pt idx="359">
                  <c:v>7109</c:v>
                </c:pt>
                <c:pt idx="360">
                  <c:v>7413</c:v>
                </c:pt>
                <c:pt idx="361">
                  <c:v>7414</c:v>
                </c:pt>
                <c:pt idx="362">
                  <c:v>7415</c:v>
                </c:pt>
                <c:pt idx="363">
                  <c:v>7416</c:v>
                </c:pt>
                <c:pt idx="364">
                  <c:v>7417</c:v>
                </c:pt>
                <c:pt idx="365">
                  <c:v>7418</c:v>
                </c:pt>
                <c:pt idx="366">
                  <c:v>7419</c:v>
                </c:pt>
                <c:pt idx="367">
                  <c:v>7420</c:v>
                </c:pt>
                <c:pt idx="368">
                  <c:v>7421</c:v>
                </c:pt>
                <c:pt idx="369">
                  <c:v>7422</c:v>
                </c:pt>
                <c:pt idx="370">
                  <c:v>7423</c:v>
                </c:pt>
                <c:pt idx="371">
                  <c:v>7424</c:v>
                </c:pt>
                <c:pt idx="372">
                  <c:v>7425</c:v>
                </c:pt>
                <c:pt idx="373">
                  <c:v>7426</c:v>
                </c:pt>
                <c:pt idx="374">
                  <c:v>7427</c:v>
                </c:pt>
                <c:pt idx="375">
                  <c:v>7428</c:v>
                </c:pt>
                <c:pt idx="376">
                  <c:v>7429</c:v>
                </c:pt>
                <c:pt idx="377">
                  <c:v>7430</c:v>
                </c:pt>
                <c:pt idx="378">
                  <c:v>7431</c:v>
                </c:pt>
                <c:pt idx="379">
                  <c:v>7432</c:v>
                </c:pt>
                <c:pt idx="380">
                  <c:v>7931</c:v>
                </c:pt>
                <c:pt idx="381">
                  <c:v>7932</c:v>
                </c:pt>
                <c:pt idx="382">
                  <c:v>7933</c:v>
                </c:pt>
                <c:pt idx="383">
                  <c:v>7934</c:v>
                </c:pt>
                <c:pt idx="384">
                  <c:v>7935</c:v>
                </c:pt>
                <c:pt idx="385">
                  <c:v>7936</c:v>
                </c:pt>
                <c:pt idx="386">
                  <c:v>7937</c:v>
                </c:pt>
                <c:pt idx="387">
                  <c:v>7938</c:v>
                </c:pt>
                <c:pt idx="388">
                  <c:v>7939</c:v>
                </c:pt>
                <c:pt idx="389">
                  <c:v>7940</c:v>
                </c:pt>
                <c:pt idx="390">
                  <c:v>7941</c:v>
                </c:pt>
                <c:pt idx="391">
                  <c:v>7942</c:v>
                </c:pt>
                <c:pt idx="392">
                  <c:v>7943</c:v>
                </c:pt>
                <c:pt idx="393">
                  <c:v>7944</c:v>
                </c:pt>
                <c:pt idx="394">
                  <c:v>7945</c:v>
                </c:pt>
                <c:pt idx="395">
                  <c:v>7946</c:v>
                </c:pt>
                <c:pt idx="396">
                  <c:v>7947</c:v>
                </c:pt>
                <c:pt idx="397">
                  <c:v>7948</c:v>
                </c:pt>
                <c:pt idx="398">
                  <c:v>7949</c:v>
                </c:pt>
                <c:pt idx="399">
                  <c:v>7950</c:v>
                </c:pt>
                <c:pt idx="400">
                  <c:v>8361</c:v>
                </c:pt>
                <c:pt idx="401">
                  <c:v>8362</c:v>
                </c:pt>
                <c:pt idx="402">
                  <c:v>8363</c:v>
                </c:pt>
                <c:pt idx="403">
                  <c:v>8364</c:v>
                </c:pt>
                <c:pt idx="404">
                  <c:v>8365</c:v>
                </c:pt>
                <c:pt idx="405">
                  <c:v>8366</c:v>
                </c:pt>
                <c:pt idx="406">
                  <c:v>8367</c:v>
                </c:pt>
                <c:pt idx="407">
                  <c:v>8368</c:v>
                </c:pt>
                <c:pt idx="408">
                  <c:v>8369</c:v>
                </c:pt>
                <c:pt idx="409">
                  <c:v>8370</c:v>
                </c:pt>
                <c:pt idx="410">
                  <c:v>8371</c:v>
                </c:pt>
                <c:pt idx="411">
                  <c:v>8372</c:v>
                </c:pt>
                <c:pt idx="412">
                  <c:v>8373</c:v>
                </c:pt>
                <c:pt idx="413">
                  <c:v>8374</c:v>
                </c:pt>
                <c:pt idx="414">
                  <c:v>8375</c:v>
                </c:pt>
                <c:pt idx="415">
                  <c:v>8376</c:v>
                </c:pt>
                <c:pt idx="416">
                  <c:v>8377</c:v>
                </c:pt>
                <c:pt idx="417">
                  <c:v>8378</c:v>
                </c:pt>
                <c:pt idx="418">
                  <c:v>8379</c:v>
                </c:pt>
                <c:pt idx="419">
                  <c:v>8380</c:v>
                </c:pt>
                <c:pt idx="420">
                  <c:v>8679</c:v>
                </c:pt>
                <c:pt idx="421">
                  <c:v>8680</c:v>
                </c:pt>
                <c:pt idx="422">
                  <c:v>8681</c:v>
                </c:pt>
                <c:pt idx="423">
                  <c:v>8682</c:v>
                </c:pt>
                <c:pt idx="424">
                  <c:v>8683</c:v>
                </c:pt>
                <c:pt idx="425">
                  <c:v>8684</c:v>
                </c:pt>
                <c:pt idx="426">
                  <c:v>8685</c:v>
                </c:pt>
                <c:pt idx="427">
                  <c:v>8686</c:v>
                </c:pt>
                <c:pt idx="428">
                  <c:v>8687</c:v>
                </c:pt>
                <c:pt idx="429">
                  <c:v>8688</c:v>
                </c:pt>
                <c:pt idx="430">
                  <c:v>8689</c:v>
                </c:pt>
                <c:pt idx="431">
                  <c:v>8690</c:v>
                </c:pt>
                <c:pt idx="432">
                  <c:v>8691</c:v>
                </c:pt>
                <c:pt idx="433">
                  <c:v>8692</c:v>
                </c:pt>
                <c:pt idx="434">
                  <c:v>8693</c:v>
                </c:pt>
                <c:pt idx="435">
                  <c:v>8694</c:v>
                </c:pt>
                <c:pt idx="436">
                  <c:v>8695</c:v>
                </c:pt>
                <c:pt idx="437">
                  <c:v>8696</c:v>
                </c:pt>
                <c:pt idx="438">
                  <c:v>8697</c:v>
                </c:pt>
                <c:pt idx="439">
                  <c:v>8698</c:v>
                </c:pt>
                <c:pt idx="440">
                  <c:v>9074</c:v>
                </c:pt>
                <c:pt idx="441">
                  <c:v>9075</c:v>
                </c:pt>
                <c:pt idx="442">
                  <c:v>9076</c:v>
                </c:pt>
                <c:pt idx="443">
                  <c:v>9077</c:v>
                </c:pt>
                <c:pt idx="444">
                  <c:v>9078</c:v>
                </c:pt>
                <c:pt idx="445">
                  <c:v>9079</c:v>
                </c:pt>
                <c:pt idx="446">
                  <c:v>9080</c:v>
                </c:pt>
                <c:pt idx="447">
                  <c:v>9081</c:v>
                </c:pt>
                <c:pt idx="448">
                  <c:v>9082</c:v>
                </c:pt>
                <c:pt idx="449">
                  <c:v>9083</c:v>
                </c:pt>
                <c:pt idx="450">
                  <c:v>9084</c:v>
                </c:pt>
                <c:pt idx="451">
                  <c:v>9085</c:v>
                </c:pt>
                <c:pt idx="452">
                  <c:v>9086</c:v>
                </c:pt>
                <c:pt idx="453">
                  <c:v>9087</c:v>
                </c:pt>
                <c:pt idx="454">
                  <c:v>9088</c:v>
                </c:pt>
                <c:pt idx="455">
                  <c:v>9089</c:v>
                </c:pt>
                <c:pt idx="456">
                  <c:v>9090</c:v>
                </c:pt>
                <c:pt idx="457">
                  <c:v>9091</c:v>
                </c:pt>
                <c:pt idx="458">
                  <c:v>9092</c:v>
                </c:pt>
                <c:pt idx="459">
                  <c:v>9093</c:v>
                </c:pt>
                <c:pt idx="460">
                  <c:v>9304</c:v>
                </c:pt>
                <c:pt idx="461">
                  <c:v>9305</c:v>
                </c:pt>
                <c:pt idx="462">
                  <c:v>9306</c:v>
                </c:pt>
                <c:pt idx="463">
                  <c:v>9307</c:v>
                </c:pt>
                <c:pt idx="464">
                  <c:v>9308</c:v>
                </c:pt>
                <c:pt idx="465">
                  <c:v>9309</c:v>
                </c:pt>
                <c:pt idx="466">
                  <c:v>9310</c:v>
                </c:pt>
                <c:pt idx="467">
                  <c:v>9311</c:v>
                </c:pt>
                <c:pt idx="468">
                  <c:v>9312</c:v>
                </c:pt>
                <c:pt idx="469">
                  <c:v>9313</c:v>
                </c:pt>
                <c:pt idx="470">
                  <c:v>9314</c:v>
                </c:pt>
                <c:pt idx="471">
                  <c:v>9315</c:v>
                </c:pt>
                <c:pt idx="472">
                  <c:v>9316</c:v>
                </c:pt>
                <c:pt idx="473">
                  <c:v>9317</c:v>
                </c:pt>
                <c:pt idx="474">
                  <c:v>9318</c:v>
                </c:pt>
                <c:pt idx="475">
                  <c:v>9319</c:v>
                </c:pt>
                <c:pt idx="476">
                  <c:v>9320</c:v>
                </c:pt>
                <c:pt idx="477">
                  <c:v>9321</c:v>
                </c:pt>
                <c:pt idx="478">
                  <c:v>9322</c:v>
                </c:pt>
                <c:pt idx="479">
                  <c:v>9323</c:v>
                </c:pt>
                <c:pt idx="480">
                  <c:v>9774</c:v>
                </c:pt>
                <c:pt idx="481">
                  <c:v>9775</c:v>
                </c:pt>
                <c:pt idx="482">
                  <c:v>9776</c:v>
                </c:pt>
                <c:pt idx="483">
                  <c:v>9777</c:v>
                </c:pt>
                <c:pt idx="484">
                  <c:v>9778</c:v>
                </c:pt>
                <c:pt idx="485">
                  <c:v>9779</c:v>
                </c:pt>
                <c:pt idx="486">
                  <c:v>9780</c:v>
                </c:pt>
                <c:pt idx="487">
                  <c:v>9781</c:v>
                </c:pt>
                <c:pt idx="488">
                  <c:v>9782</c:v>
                </c:pt>
                <c:pt idx="489">
                  <c:v>9783</c:v>
                </c:pt>
                <c:pt idx="490">
                  <c:v>9784</c:v>
                </c:pt>
                <c:pt idx="491">
                  <c:v>9785</c:v>
                </c:pt>
                <c:pt idx="492">
                  <c:v>9786</c:v>
                </c:pt>
                <c:pt idx="493">
                  <c:v>9787</c:v>
                </c:pt>
                <c:pt idx="494">
                  <c:v>9788</c:v>
                </c:pt>
                <c:pt idx="495">
                  <c:v>9789</c:v>
                </c:pt>
                <c:pt idx="496">
                  <c:v>9790</c:v>
                </c:pt>
                <c:pt idx="497">
                  <c:v>9791</c:v>
                </c:pt>
                <c:pt idx="498">
                  <c:v>9792</c:v>
                </c:pt>
                <c:pt idx="499">
                  <c:v>9793</c:v>
                </c:pt>
                <c:pt idx="500">
                  <c:v>10014</c:v>
                </c:pt>
                <c:pt idx="501">
                  <c:v>10015</c:v>
                </c:pt>
                <c:pt idx="502">
                  <c:v>10016</c:v>
                </c:pt>
                <c:pt idx="503">
                  <c:v>10017</c:v>
                </c:pt>
                <c:pt idx="504">
                  <c:v>10018</c:v>
                </c:pt>
                <c:pt idx="505">
                  <c:v>10019</c:v>
                </c:pt>
                <c:pt idx="506">
                  <c:v>10020</c:v>
                </c:pt>
                <c:pt idx="507">
                  <c:v>10021</c:v>
                </c:pt>
                <c:pt idx="508">
                  <c:v>10022</c:v>
                </c:pt>
                <c:pt idx="509">
                  <c:v>10023</c:v>
                </c:pt>
                <c:pt idx="510">
                  <c:v>10024</c:v>
                </c:pt>
                <c:pt idx="511">
                  <c:v>10025</c:v>
                </c:pt>
                <c:pt idx="512">
                  <c:v>10026</c:v>
                </c:pt>
                <c:pt idx="513">
                  <c:v>10027</c:v>
                </c:pt>
                <c:pt idx="514">
                  <c:v>10028</c:v>
                </c:pt>
                <c:pt idx="515">
                  <c:v>10029</c:v>
                </c:pt>
                <c:pt idx="516">
                  <c:v>10030</c:v>
                </c:pt>
                <c:pt idx="517">
                  <c:v>10031</c:v>
                </c:pt>
                <c:pt idx="518">
                  <c:v>10032</c:v>
                </c:pt>
                <c:pt idx="519">
                  <c:v>10033</c:v>
                </c:pt>
                <c:pt idx="520">
                  <c:v>11975</c:v>
                </c:pt>
                <c:pt idx="521">
                  <c:v>11976</c:v>
                </c:pt>
                <c:pt idx="522">
                  <c:v>11977</c:v>
                </c:pt>
                <c:pt idx="523">
                  <c:v>11978</c:v>
                </c:pt>
                <c:pt idx="524">
                  <c:v>11979</c:v>
                </c:pt>
                <c:pt idx="525">
                  <c:v>11980</c:v>
                </c:pt>
                <c:pt idx="526">
                  <c:v>11981</c:v>
                </c:pt>
                <c:pt idx="527">
                  <c:v>11982</c:v>
                </c:pt>
                <c:pt idx="528">
                  <c:v>11983</c:v>
                </c:pt>
                <c:pt idx="529">
                  <c:v>11984</c:v>
                </c:pt>
                <c:pt idx="530">
                  <c:v>11985</c:v>
                </c:pt>
                <c:pt idx="531">
                  <c:v>11986</c:v>
                </c:pt>
                <c:pt idx="532">
                  <c:v>11987</c:v>
                </c:pt>
                <c:pt idx="533">
                  <c:v>11988</c:v>
                </c:pt>
                <c:pt idx="534">
                  <c:v>11989</c:v>
                </c:pt>
                <c:pt idx="535">
                  <c:v>11990</c:v>
                </c:pt>
                <c:pt idx="536">
                  <c:v>11991</c:v>
                </c:pt>
                <c:pt idx="537">
                  <c:v>11992</c:v>
                </c:pt>
                <c:pt idx="538">
                  <c:v>11993</c:v>
                </c:pt>
                <c:pt idx="539">
                  <c:v>11994</c:v>
                </c:pt>
                <c:pt idx="540">
                  <c:v>12381</c:v>
                </c:pt>
                <c:pt idx="541">
                  <c:v>12382</c:v>
                </c:pt>
                <c:pt idx="542">
                  <c:v>12383</c:v>
                </c:pt>
                <c:pt idx="543">
                  <c:v>12384</c:v>
                </c:pt>
                <c:pt idx="544">
                  <c:v>12385</c:v>
                </c:pt>
                <c:pt idx="545">
                  <c:v>12386</c:v>
                </c:pt>
                <c:pt idx="546">
                  <c:v>12387</c:v>
                </c:pt>
                <c:pt idx="547">
                  <c:v>12388</c:v>
                </c:pt>
                <c:pt idx="548">
                  <c:v>12389</c:v>
                </c:pt>
                <c:pt idx="549">
                  <c:v>12390</c:v>
                </c:pt>
                <c:pt idx="550">
                  <c:v>12391</c:v>
                </c:pt>
                <c:pt idx="551">
                  <c:v>12392</c:v>
                </c:pt>
                <c:pt idx="552">
                  <c:v>12393</c:v>
                </c:pt>
                <c:pt idx="553">
                  <c:v>12394</c:v>
                </c:pt>
                <c:pt idx="554">
                  <c:v>12395</c:v>
                </c:pt>
                <c:pt idx="555">
                  <c:v>12396</c:v>
                </c:pt>
                <c:pt idx="556">
                  <c:v>12397</c:v>
                </c:pt>
                <c:pt idx="557">
                  <c:v>12398</c:v>
                </c:pt>
                <c:pt idx="558">
                  <c:v>12399</c:v>
                </c:pt>
                <c:pt idx="559">
                  <c:v>12400</c:v>
                </c:pt>
                <c:pt idx="560">
                  <c:v>12432</c:v>
                </c:pt>
                <c:pt idx="561">
                  <c:v>12433</c:v>
                </c:pt>
                <c:pt idx="562">
                  <c:v>12434</c:v>
                </c:pt>
                <c:pt idx="563">
                  <c:v>12435</c:v>
                </c:pt>
                <c:pt idx="564">
                  <c:v>12436</c:v>
                </c:pt>
                <c:pt idx="565">
                  <c:v>12437</c:v>
                </c:pt>
                <c:pt idx="566">
                  <c:v>12438</c:v>
                </c:pt>
                <c:pt idx="567">
                  <c:v>12439</c:v>
                </c:pt>
                <c:pt idx="568">
                  <c:v>12440</c:v>
                </c:pt>
                <c:pt idx="569">
                  <c:v>12441</c:v>
                </c:pt>
                <c:pt idx="570">
                  <c:v>12442</c:v>
                </c:pt>
                <c:pt idx="571">
                  <c:v>12443</c:v>
                </c:pt>
                <c:pt idx="572">
                  <c:v>12444</c:v>
                </c:pt>
                <c:pt idx="573">
                  <c:v>12445</c:v>
                </c:pt>
                <c:pt idx="574">
                  <c:v>12446</c:v>
                </c:pt>
                <c:pt idx="575">
                  <c:v>12447</c:v>
                </c:pt>
                <c:pt idx="576">
                  <c:v>12448</c:v>
                </c:pt>
                <c:pt idx="577">
                  <c:v>12449</c:v>
                </c:pt>
                <c:pt idx="578">
                  <c:v>12450</c:v>
                </c:pt>
                <c:pt idx="579">
                  <c:v>12451</c:v>
                </c:pt>
                <c:pt idx="580">
                  <c:v>12951</c:v>
                </c:pt>
                <c:pt idx="581">
                  <c:v>12952</c:v>
                </c:pt>
                <c:pt idx="582">
                  <c:v>12953</c:v>
                </c:pt>
                <c:pt idx="583">
                  <c:v>12954</c:v>
                </c:pt>
                <c:pt idx="584">
                  <c:v>12955</c:v>
                </c:pt>
                <c:pt idx="585">
                  <c:v>12956</c:v>
                </c:pt>
                <c:pt idx="586">
                  <c:v>12957</c:v>
                </c:pt>
                <c:pt idx="587">
                  <c:v>12958</c:v>
                </c:pt>
                <c:pt idx="588">
                  <c:v>12959</c:v>
                </c:pt>
                <c:pt idx="589">
                  <c:v>12960</c:v>
                </c:pt>
                <c:pt idx="590">
                  <c:v>12961</c:v>
                </c:pt>
                <c:pt idx="591">
                  <c:v>12962</c:v>
                </c:pt>
                <c:pt idx="592">
                  <c:v>12963</c:v>
                </c:pt>
                <c:pt idx="593">
                  <c:v>12964</c:v>
                </c:pt>
                <c:pt idx="594">
                  <c:v>12965</c:v>
                </c:pt>
                <c:pt idx="595">
                  <c:v>12966</c:v>
                </c:pt>
                <c:pt idx="596">
                  <c:v>12967</c:v>
                </c:pt>
                <c:pt idx="597">
                  <c:v>12968</c:v>
                </c:pt>
                <c:pt idx="598">
                  <c:v>12969</c:v>
                </c:pt>
                <c:pt idx="599">
                  <c:v>12970</c:v>
                </c:pt>
                <c:pt idx="600">
                  <c:v>13232</c:v>
                </c:pt>
                <c:pt idx="601">
                  <c:v>13233</c:v>
                </c:pt>
                <c:pt idx="602">
                  <c:v>13234</c:v>
                </c:pt>
                <c:pt idx="603">
                  <c:v>13235</c:v>
                </c:pt>
                <c:pt idx="604">
                  <c:v>13236</c:v>
                </c:pt>
                <c:pt idx="605">
                  <c:v>13237</c:v>
                </c:pt>
                <c:pt idx="606">
                  <c:v>13238</c:v>
                </c:pt>
                <c:pt idx="607">
                  <c:v>13239</c:v>
                </c:pt>
                <c:pt idx="608">
                  <c:v>13240</c:v>
                </c:pt>
                <c:pt idx="609">
                  <c:v>13241</c:v>
                </c:pt>
                <c:pt idx="610">
                  <c:v>13242</c:v>
                </c:pt>
                <c:pt idx="611">
                  <c:v>13243</c:v>
                </c:pt>
                <c:pt idx="612">
                  <c:v>13244</c:v>
                </c:pt>
                <c:pt idx="613">
                  <c:v>13245</c:v>
                </c:pt>
                <c:pt idx="614">
                  <c:v>13246</c:v>
                </c:pt>
                <c:pt idx="615">
                  <c:v>13247</c:v>
                </c:pt>
                <c:pt idx="616">
                  <c:v>13248</c:v>
                </c:pt>
                <c:pt idx="617">
                  <c:v>13249</c:v>
                </c:pt>
                <c:pt idx="618">
                  <c:v>13250</c:v>
                </c:pt>
                <c:pt idx="619">
                  <c:v>13251</c:v>
                </c:pt>
                <c:pt idx="620">
                  <c:v>13760</c:v>
                </c:pt>
                <c:pt idx="621">
                  <c:v>13761</c:v>
                </c:pt>
                <c:pt idx="622">
                  <c:v>13762</c:v>
                </c:pt>
                <c:pt idx="623">
                  <c:v>13763</c:v>
                </c:pt>
                <c:pt idx="624">
                  <c:v>13764</c:v>
                </c:pt>
                <c:pt idx="625">
                  <c:v>13765</c:v>
                </c:pt>
                <c:pt idx="626">
                  <c:v>13766</c:v>
                </c:pt>
                <c:pt idx="627">
                  <c:v>13767</c:v>
                </c:pt>
                <c:pt idx="628">
                  <c:v>13768</c:v>
                </c:pt>
                <c:pt idx="629">
                  <c:v>13769</c:v>
                </c:pt>
                <c:pt idx="630">
                  <c:v>13770</c:v>
                </c:pt>
                <c:pt idx="631">
                  <c:v>13771</c:v>
                </c:pt>
                <c:pt idx="632">
                  <c:v>13772</c:v>
                </c:pt>
                <c:pt idx="633">
                  <c:v>13773</c:v>
                </c:pt>
                <c:pt idx="634">
                  <c:v>13774</c:v>
                </c:pt>
                <c:pt idx="635">
                  <c:v>13775</c:v>
                </c:pt>
                <c:pt idx="636">
                  <c:v>13776</c:v>
                </c:pt>
                <c:pt idx="637">
                  <c:v>13777</c:v>
                </c:pt>
                <c:pt idx="638">
                  <c:v>13778</c:v>
                </c:pt>
                <c:pt idx="639">
                  <c:v>13779</c:v>
                </c:pt>
                <c:pt idx="640">
                  <c:v>14021</c:v>
                </c:pt>
                <c:pt idx="641">
                  <c:v>14022</c:v>
                </c:pt>
                <c:pt idx="642">
                  <c:v>14023</c:v>
                </c:pt>
                <c:pt idx="643">
                  <c:v>14024</c:v>
                </c:pt>
                <c:pt idx="644">
                  <c:v>14025</c:v>
                </c:pt>
                <c:pt idx="645">
                  <c:v>14026</c:v>
                </c:pt>
                <c:pt idx="646">
                  <c:v>14027</c:v>
                </c:pt>
                <c:pt idx="647">
                  <c:v>14028</c:v>
                </c:pt>
                <c:pt idx="648">
                  <c:v>14029</c:v>
                </c:pt>
                <c:pt idx="649">
                  <c:v>14030</c:v>
                </c:pt>
                <c:pt idx="650">
                  <c:v>14031</c:v>
                </c:pt>
                <c:pt idx="651">
                  <c:v>14032</c:v>
                </c:pt>
                <c:pt idx="652">
                  <c:v>14033</c:v>
                </c:pt>
                <c:pt idx="653">
                  <c:v>14034</c:v>
                </c:pt>
                <c:pt idx="654">
                  <c:v>14035</c:v>
                </c:pt>
                <c:pt idx="655">
                  <c:v>14036</c:v>
                </c:pt>
                <c:pt idx="656">
                  <c:v>14037</c:v>
                </c:pt>
                <c:pt idx="657">
                  <c:v>14038</c:v>
                </c:pt>
                <c:pt idx="658">
                  <c:v>14039</c:v>
                </c:pt>
                <c:pt idx="659">
                  <c:v>14040</c:v>
                </c:pt>
                <c:pt idx="660">
                  <c:v>14547</c:v>
                </c:pt>
                <c:pt idx="661">
                  <c:v>14548</c:v>
                </c:pt>
                <c:pt idx="662">
                  <c:v>14549</c:v>
                </c:pt>
                <c:pt idx="663">
                  <c:v>14550</c:v>
                </c:pt>
                <c:pt idx="664">
                  <c:v>14551</c:v>
                </c:pt>
                <c:pt idx="665">
                  <c:v>14552</c:v>
                </c:pt>
                <c:pt idx="666">
                  <c:v>14553</c:v>
                </c:pt>
                <c:pt idx="667">
                  <c:v>14554</c:v>
                </c:pt>
                <c:pt idx="668">
                  <c:v>14555</c:v>
                </c:pt>
                <c:pt idx="669">
                  <c:v>14556</c:v>
                </c:pt>
                <c:pt idx="670">
                  <c:v>14557</c:v>
                </c:pt>
                <c:pt idx="671">
                  <c:v>14558</c:v>
                </c:pt>
                <c:pt idx="672">
                  <c:v>14559</c:v>
                </c:pt>
                <c:pt idx="673">
                  <c:v>14560</c:v>
                </c:pt>
                <c:pt idx="674">
                  <c:v>14561</c:v>
                </c:pt>
                <c:pt idx="675">
                  <c:v>14562</c:v>
                </c:pt>
                <c:pt idx="676">
                  <c:v>14563</c:v>
                </c:pt>
                <c:pt idx="677">
                  <c:v>14564</c:v>
                </c:pt>
                <c:pt idx="678">
                  <c:v>14565</c:v>
                </c:pt>
                <c:pt idx="679">
                  <c:v>14566</c:v>
                </c:pt>
                <c:pt idx="680">
                  <c:v>14901</c:v>
                </c:pt>
                <c:pt idx="681">
                  <c:v>14902</c:v>
                </c:pt>
                <c:pt idx="682">
                  <c:v>14903</c:v>
                </c:pt>
                <c:pt idx="683">
                  <c:v>14904</c:v>
                </c:pt>
                <c:pt idx="684">
                  <c:v>14905</c:v>
                </c:pt>
                <c:pt idx="685">
                  <c:v>14906</c:v>
                </c:pt>
                <c:pt idx="686">
                  <c:v>14907</c:v>
                </c:pt>
                <c:pt idx="687">
                  <c:v>14908</c:v>
                </c:pt>
                <c:pt idx="688">
                  <c:v>14909</c:v>
                </c:pt>
                <c:pt idx="689">
                  <c:v>14910</c:v>
                </c:pt>
                <c:pt idx="690">
                  <c:v>14911</c:v>
                </c:pt>
                <c:pt idx="691">
                  <c:v>14912</c:v>
                </c:pt>
                <c:pt idx="692">
                  <c:v>14913</c:v>
                </c:pt>
                <c:pt idx="693">
                  <c:v>14914</c:v>
                </c:pt>
                <c:pt idx="694">
                  <c:v>14915</c:v>
                </c:pt>
                <c:pt idx="695">
                  <c:v>14916</c:v>
                </c:pt>
                <c:pt idx="696">
                  <c:v>14917</c:v>
                </c:pt>
                <c:pt idx="697">
                  <c:v>14918</c:v>
                </c:pt>
                <c:pt idx="698">
                  <c:v>14919</c:v>
                </c:pt>
                <c:pt idx="699">
                  <c:v>14920</c:v>
                </c:pt>
                <c:pt idx="700">
                  <c:v>15256</c:v>
                </c:pt>
                <c:pt idx="701">
                  <c:v>15257</c:v>
                </c:pt>
                <c:pt idx="702">
                  <c:v>15258</c:v>
                </c:pt>
                <c:pt idx="703">
                  <c:v>15259</c:v>
                </c:pt>
                <c:pt idx="704">
                  <c:v>15260</c:v>
                </c:pt>
                <c:pt idx="705">
                  <c:v>15261</c:v>
                </c:pt>
                <c:pt idx="706">
                  <c:v>15262</c:v>
                </c:pt>
                <c:pt idx="707">
                  <c:v>15263</c:v>
                </c:pt>
                <c:pt idx="708">
                  <c:v>15264</c:v>
                </c:pt>
                <c:pt idx="709">
                  <c:v>15265</c:v>
                </c:pt>
                <c:pt idx="710">
                  <c:v>15266</c:v>
                </c:pt>
                <c:pt idx="711">
                  <c:v>15267</c:v>
                </c:pt>
                <c:pt idx="712">
                  <c:v>15268</c:v>
                </c:pt>
                <c:pt idx="713">
                  <c:v>15269</c:v>
                </c:pt>
                <c:pt idx="714">
                  <c:v>15270</c:v>
                </c:pt>
                <c:pt idx="715">
                  <c:v>15271</c:v>
                </c:pt>
                <c:pt idx="716">
                  <c:v>15272</c:v>
                </c:pt>
                <c:pt idx="717">
                  <c:v>15273</c:v>
                </c:pt>
                <c:pt idx="718">
                  <c:v>15274</c:v>
                </c:pt>
                <c:pt idx="719">
                  <c:v>15275</c:v>
                </c:pt>
                <c:pt idx="720">
                  <c:v>15636</c:v>
                </c:pt>
                <c:pt idx="721">
                  <c:v>15637</c:v>
                </c:pt>
                <c:pt idx="722">
                  <c:v>15638</c:v>
                </c:pt>
                <c:pt idx="723">
                  <c:v>15639</c:v>
                </c:pt>
                <c:pt idx="724">
                  <c:v>15640</c:v>
                </c:pt>
                <c:pt idx="725">
                  <c:v>15641</c:v>
                </c:pt>
                <c:pt idx="726">
                  <c:v>15642</c:v>
                </c:pt>
                <c:pt idx="727">
                  <c:v>15643</c:v>
                </c:pt>
                <c:pt idx="728">
                  <c:v>15644</c:v>
                </c:pt>
                <c:pt idx="729">
                  <c:v>15645</c:v>
                </c:pt>
                <c:pt idx="730">
                  <c:v>15646</c:v>
                </c:pt>
                <c:pt idx="731">
                  <c:v>15647</c:v>
                </c:pt>
                <c:pt idx="732">
                  <c:v>15648</c:v>
                </c:pt>
                <c:pt idx="733">
                  <c:v>15649</c:v>
                </c:pt>
                <c:pt idx="734">
                  <c:v>15650</c:v>
                </c:pt>
                <c:pt idx="735">
                  <c:v>15651</c:v>
                </c:pt>
                <c:pt idx="736">
                  <c:v>15652</c:v>
                </c:pt>
                <c:pt idx="737">
                  <c:v>15653</c:v>
                </c:pt>
                <c:pt idx="738">
                  <c:v>15654</c:v>
                </c:pt>
                <c:pt idx="739">
                  <c:v>15655</c:v>
                </c:pt>
                <c:pt idx="740">
                  <c:v>16226</c:v>
                </c:pt>
                <c:pt idx="741">
                  <c:v>16227</c:v>
                </c:pt>
                <c:pt idx="742">
                  <c:v>16228</c:v>
                </c:pt>
                <c:pt idx="743">
                  <c:v>16229</c:v>
                </c:pt>
                <c:pt idx="744">
                  <c:v>16230</c:v>
                </c:pt>
                <c:pt idx="745">
                  <c:v>16231</c:v>
                </c:pt>
                <c:pt idx="746">
                  <c:v>16232</c:v>
                </c:pt>
                <c:pt idx="747">
                  <c:v>16233</c:v>
                </c:pt>
                <c:pt idx="748">
                  <c:v>16234</c:v>
                </c:pt>
                <c:pt idx="749">
                  <c:v>16235</c:v>
                </c:pt>
                <c:pt idx="750">
                  <c:v>16236</c:v>
                </c:pt>
                <c:pt idx="751">
                  <c:v>16237</c:v>
                </c:pt>
                <c:pt idx="752">
                  <c:v>16238</c:v>
                </c:pt>
                <c:pt idx="753">
                  <c:v>16239</c:v>
                </c:pt>
                <c:pt idx="754">
                  <c:v>16240</c:v>
                </c:pt>
                <c:pt idx="755">
                  <c:v>16241</c:v>
                </c:pt>
                <c:pt idx="756">
                  <c:v>16242</c:v>
                </c:pt>
                <c:pt idx="757">
                  <c:v>16243</c:v>
                </c:pt>
                <c:pt idx="758">
                  <c:v>16244</c:v>
                </c:pt>
                <c:pt idx="759">
                  <c:v>16245</c:v>
                </c:pt>
                <c:pt idx="760">
                  <c:v>19126</c:v>
                </c:pt>
                <c:pt idx="761">
                  <c:v>19127</c:v>
                </c:pt>
                <c:pt idx="762">
                  <c:v>19128</c:v>
                </c:pt>
                <c:pt idx="763">
                  <c:v>19129</c:v>
                </c:pt>
                <c:pt idx="764">
                  <c:v>19130</c:v>
                </c:pt>
                <c:pt idx="765">
                  <c:v>19131</c:v>
                </c:pt>
                <c:pt idx="766">
                  <c:v>19132</c:v>
                </c:pt>
                <c:pt idx="767">
                  <c:v>19133</c:v>
                </c:pt>
                <c:pt idx="768">
                  <c:v>19134</c:v>
                </c:pt>
                <c:pt idx="769">
                  <c:v>19135</c:v>
                </c:pt>
                <c:pt idx="770">
                  <c:v>19136</c:v>
                </c:pt>
                <c:pt idx="771">
                  <c:v>19137</c:v>
                </c:pt>
                <c:pt idx="772">
                  <c:v>19138</c:v>
                </c:pt>
                <c:pt idx="773">
                  <c:v>19139</c:v>
                </c:pt>
                <c:pt idx="774">
                  <c:v>19140</c:v>
                </c:pt>
                <c:pt idx="775">
                  <c:v>19141</c:v>
                </c:pt>
                <c:pt idx="776">
                  <c:v>19142</c:v>
                </c:pt>
                <c:pt idx="777">
                  <c:v>19143</c:v>
                </c:pt>
                <c:pt idx="778">
                  <c:v>19144</c:v>
                </c:pt>
                <c:pt idx="779">
                  <c:v>19145</c:v>
                </c:pt>
                <c:pt idx="780">
                  <c:v>19466</c:v>
                </c:pt>
                <c:pt idx="781">
                  <c:v>19467</c:v>
                </c:pt>
                <c:pt idx="782">
                  <c:v>19468</c:v>
                </c:pt>
                <c:pt idx="783">
                  <c:v>19469</c:v>
                </c:pt>
                <c:pt idx="784">
                  <c:v>19470</c:v>
                </c:pt>
                <c:pt idx="785">
                  <c:v>19471</c:v>
                </c:pt>
                <c:pt idx="786">
                  <c:v>19472</c:v>
                </c:pt>
                <c:pt idx="787">
                  <c:v>19473</c:v>
                </c:pt>
                <c:pt idx="788">
                  <c:v>19474</c:v>
                </c:pt>
                <c:pt idx="789">
                  <c:v>19475</c:v>
                </c:pt>
                <c:pt idx="790">
                  <c:v>19476</c:v>
                </c:pt>
                <c:pt idx="791">
                  <c:v>19477</c:v>
                </c:pt>
                <c:pt idx="792">
                  <c:v>19478</c:v>
                </c:pt>
                <c:pt idx="793">
                  <c:v>19479</c:v>
                </c:pt>
                <c:pt idx="794">
                  <c:v>19480</c:v>
                </c:pt>
                <c:pt idx="795">
                  <c:v>19481</c:v>
                </c:pt>
                <c:pt idx="796">
                  <c:v>19482</c:v>
                </c:pt>
                <c:pt idx="797">
                  <c:v>19483</c:v>
                </c:pt>
                <c:pt idx="798">
                  <c:v>19484</c:v>
                </c:pt>
                <c:pt idx="799">
                  <c:v>19485</c:v>
                </c:pt>
                <c:pt idx="800">
                  <c:v>19761</c:v>
                </c:pt>
                <c:pt idx="801">
                  <c:v>19762</c:v>
                </c:pt>
                <c:pt idx="802">
                  <c:v>19763</c:v>
                </c:pt>
                <c:pt idx="803">
                  <c:v>19764</c:v>
                </c:pt>
                <c:pt idx="804">
                  <c:v>19765</c:v>
                </c:pt>
                <c:pt idx="805">
                  <c:v>19766</c:v>
                </c:pt>
                <c:pt idx="806">
                  <c:v>19767</c:v>
                </c:pt>
                <c:pt idx="807">
                  <c:v>19768</c:v>
                </c:pt>
                <c:pt idx="808">
                  <c:v>19769</c:v>
                </c:pt>
                <c:pt idx="809">
                  <c:v>19770</c:v>
                </c:pt>
                <c:pt idx="810">
                  <c:v>19771</c:v>
                </c:pt>
                <c:pt idx="811">
                  <c:v>19772</c:v>
                </c:pt>
                <c:pt idx="812">
                  <c:v>19773</c:v>
                </c:pt>
                <c:pt idx="813">
                  <c:v>19774</c:v>
                </c:pt>
                <c:pt idx="814">
                  <c:v>19775</c:v>
                </c:pt>
                <c:pt idx="815">
                  <c:v>19776</c:v>
                </c:pt>
                <c:pt idx="816">
                  <c:v>19777</c:v>
                </c:pt>
                <c:pt idx="817">
                  <c:v>19778</c:v>
                </c:pt>
                <c:pt idx="818">
                  <c:v>19779</c:v>
                </c:pt>
                <c:pt idx="819">
                  <c:v>19780</c:v>
                </c:pt>
                <c:pt idx="820">
                  <c:v>20150</c:v>
                </c:pt>
                <c:pt idx="821">
                  <c:v>20151</c:v>
                </c:pt>
                <c:pt idx="822">
                  <c:v>20152</c:v>
                </c:pt>
                <c:pt idx="823">
                  <c:v>20153</c:v>
                </c:pt>
                <c:pt idx="824">
                  <c:v>20154</c:v>
                </c:pt>
                <c:pt idx="825">
                  <c:v>20155</c:v>
                </c:pt>
                <c:pt idx="826">
                  <c:v>20156</c:v>
                </c:pt>
                <c:pt idx="827">
                  <c:v>20157</c:v>
                </c:pt>
                <c:pt idx="828">
                  <c:v>20158</c:v>
                </c:pt>
                <c:pt idx="829">
                  <c:v>20159</c:v>
                </c:pt>
                <c:pt idx="830">
                  <c:v>20160</c:v>
                </c:pt>
                <c:pt idx="831">
                  <c:v>20161</c:v>
                </c:pt>
                <c:pt idx="832">
                  <c:v>20162</c:v>
                </c:pt>
                <c:pt idx="833">
                  <c:v>20163</c:v>
                </c:pt>
                <c:pt idx="834">
                  <c:v>20164</c:v>
                </c:pt>
                <c:pt idx="835">
                  <c:v>20165</c:v>
                </c:pt>
                <c:pt idx="836">
                  <c:v>20166</c:v>
                </c:pt>
                <c:pt idx="837">
                  <c:v>20167</c:v>
                </c:pt>
                <c:pt idx="838">
                  <c:v>20168</c:v>
                </c:pt>
                <c:pt idx="839">
                  <c:v>20169</c:v>
                </c:pt>
                <c:pt idx="840">
                  <c:v>20434</c:v>
                </c:pt>
                <c:pt idx="841">
                  <c:v>20435</c:v>
                </c:pt>
                <c:pt idx="842">
                  <c:v>20436</c:v>
                </c:pt>
                <c:pt idx="843">
                  <c:v>20437</c:v>
                </c:pt>
                <c:pt idx="844">
                  <c:v>20438</c:v>
                </c:pt>
                <c:pt idx="845">
                  <c:v>20439</c:v>
                </c:pt>
                <c:pt idx="846">
                  <c:v>20440</c:v>
                </c:pt>
                <c:pt idx="847">
                  <c:v>20441</c:v>
                </c:pt>
                <c:pt idx="848">
                  <c:v>20442</c:v>
                </c:pt>
                <c:pt idx="849">
                  <c:v>20443</c:v>
                </c:pt>
                <c:pt idx="850">
                  <c:v>20444</c:v>
                </c:pt>
                <c:pt idx="851">
                  <c:v>20445</c:v>
                </c:pt>
                <c:pt idx="852">
                  <c:v>20446</c:v>
                </c:pt>
                <c:pt idx="853">
                  <c:v>20447</c:v>
                </c:pt>
                <c:pt idx="854">
                  <c:v>20448</c:v>
                </c:pt>
                <c:pt idx="855">
                  <c:v>20449</c:v>
                </c:pt>
                <c:pt idx="856">
                  <c:v>20450</c:v>
                </c:pt>
                <c:pt idx="857">
                  <c:v>20451</c:v>
                </c:pt>
                <c:pt idx="858">
                  <c:v>20452</c:v>
                </c:pt>
                <c:pt idx="859">
                  <c:v>20453</c:v>
                </c:pt>
                <c:pt idx="860">
                  <c:v>20845</c:v>
                </c:pt>
                <c:pt idx="861">
                  <c:v>20846</c:v>
                </c:pt>
                <c:pt idx="862">
                  <c:v>20847</c:v>
                </c:pt>
                <c:pt idx="863">
                  <c:v>20848</c:v>
                </c:pt>
                <c:pt idx="864">
                  <c:v>20849</c:v>
                </c:pt>
                <c:pt idx="865">
                  <c:v>20850</c:v>
                </c:pt>
                <c:pt idx="866">
                  <c:v>20851</c:v>
                </c:pt>
                <c:pt idx="867">
                  <c:v>20852</c:v>
                </c:pt>
                <c:pt idx="868">
                  <c:v>20853</c:v>
                </c:pt>
                <c:pt idx="869">
                  <c:v>20854</c:v>
                </c:pt>
                <c:pt idx="870">
                  <c:v>20855</c:v>
                </c:pt>
                <c:pt idx="871">
                  <c:v>20856</c:v>
                </c:pt>
                <c:pt idx="872">
                  <c:v>20857</c:v>
                </c:pt>
                <c:pt idx="873">
                  <c:v>20858</c:v>
                </c:pt>
                <c:pt idx="874">
                  <c:v>20859</c:v>
                </c:pt>
                <c:pt idx="875">
                  <c:v>20860</c:v>
                </c:pt>
                <c:pt idx="876">
                  <c:v>20861</c:v>
                </c:pt>
                <c:pt idx="877">
                  <c:v>20862</c:v>
                </c:pt>
                <c:pt idx="878">
                  <c:v>20863</c:v>
                </c:pt>
                <c:pt idx="879">
                  <c:v>20864</c:v>
                </c:pt>
                <c:pt idx="880">
                  <c:v>21485</c:v>
                </c:pt>
                <c:pt idx="881">
                  <c:v>21486</c:v>
                </c:pt>
                <c:pt idx="882">
                  <c:v>21487</c:v>
                </c:pt>
                <c:pt idx="883">
                  <c:v>21488</c:v>
                </c:pt>
                <c:pt idx="884">
                  <c:v>21489</c:v>
                </c:pt>
                <c:pt idx="885">
                  <c:v>21490</c:v>
                </c:pt>
                <c:pt idx="886">
                  <c:v>21491</c:v>
                </c:pt>
                <c:pt idx="887">
                  <c:v>21492</c:v>
                </c:pt>
                <c:pt idx="888">
                  <c:v>21493</c:v>
                </c:pt>
                <c:pt idx="889">
                  <c:v>21494</c:v>
                </c:pt>
                <c:pt idx="890">
                  <c:v>21495</c:v>
                </c:pt>
                <c:pt idx="891">
                  <c:v>21496</c:v>
                </c:pt>
                <c:pt idx="892">
                  <c:v>21497</c:v>
                </c:pt>
                <c:pt idx="893">
                  <c:v>21498</c:v>
                </c:pt>
                <c:pt idx="894">
                  <c:v>21499</c:v>
                </c:pt>
                <c:pt idx="895">
                  <c:v>21500</c:v>
                </c:pt>
                <c:pt idx="896">
                  <c:v>21501</c:v>
                </c:pt>
                <c:pt idx="897">
                  <c:v>21502</c:v>
                </c:pt>
                <c:pt idx="898">
                  <c:v>21503</c:v>
                </c:pt>
                <c:pt idx="899">
                  <c:v>21504</c:v>
                </c:pt>
                <c:pt idx="900">
                  <c:v>21839</c:v>
                </c:pt>
                <c:pt idx="901">
                  <c:v>21840</c:v>
                </c:pt>
                <c:pt idx="902">
                  <c:v>21841</c:v>
                </c:pt>
                <c:pt idx="903">
                  <c:v>21842</c:v>
                </c:pt>
                <c:pt idx="904">
                  <c:v>21843</c:v>
                </c:pt>
                <c:pt idx="905">
                  <c:v>21844</c:v>
                </c:pt>
                <c:pt idx="906">
                  <c:v>21845</c:v>
                </c:pt>
                <c:pt idx="907">
                  <c:v>21846</c:v>
                </c:pt>
                <c:pt idx="908">
                  <c:v>21847</c:v>
                </c:pt>
                <c:pt idx="909">
                  <c:v>21848</c:v>
                </c:pt>
                <c:pt idx="910">
                  <c:v>21849</c:v>
                </c:pt>
                <c:pt idx="911">
                  <c:v>21850</c:v>
                </c:pt>
                <c:pt idx="912">
                  <c:v>21851</c:v>
                </c:pt>
                <c:pt idx="913">
                  <c:v>21852</c:v>
                </c:pt>
                <c:pt idx="914">
                  <c:v>21853</c:v>
                </c:pt>
                <c:pt idx="915">
                  <c:v>21854</c:v>
                </c:pt>
                <c:pt idx="916">
                  <c:v>21855</c:v>
                </c:pt>
                <c:pt idx="917">
                  <c:v>21856</c:v>
                </c:pt>
                <c:pt idx="918">
                  <c:v>21857</c:v>
                </c:pt>
                <c:pt idx="919">
                  <c:v>21858</c:v>
                </c:pt>
                <c:pt idx="920">
                  <c:v>22846</c:v>
                </c:pt>
                <c:pt idx="921">
                  <c:v>22847</c:v>
                </c:pt>
                <c:pt idx="922">
                  <c:v>22848</c:v>
                </c:pt>
                <c:pt idx="923">
                  <c:v>22849</c:v>
                </c:pt>
                <c:pt idx="924">
                  <c:v>22850</c:v>
                </c:pt>
                <c:pt idx="925">
                  <c:v>22851</c:v>
                </c:pt>
                <c:pt idx="926">
                  <c:v>22852</c:v>
                </c:pt>
                <c:pt idx="927">
                  <c:v>22853</c:v>
                </c:pt>
                <c:pt idx="928">
                  <c:v>22854</c:v>
                </c:pt>
                <c:pt idx="929">
                  <c:v>22855</c:v>
                </c:pt>
                <c:pt idx="930">
                  <c:v>22856</c:v>
                </c:pt>
                <c:pt idx="931">
                  <c:v>22857</c:v>
                </c:pt>
                <c:pt idx="932">
                  <c:v>22858</c:v>
                </c:pt>
                <c:pt idx="933">
                  <c:v>22859</c:v>
                </c:pt>
                <c:pt idx="934">
                  <c:v>22860</c:v>
                </c:pt>
                <c:pt idx="935">
                  <c:v>22861</c:v>
                </c:pt>
                <c:pt idx="936">
                  <c:v>22862</c:v>
                </c:pt>
                <c:pt idx="937">
                  <c:v>22863</c:v>
                </c:pt>
                <c:pt idx="938">
                  <c:v>22864</c:v>
                </c:pt>
                <c:pt idx="939">
                  <c:v>22865</c:v>
                </c:pt>
                <c:pt idx="940">
                  <c:v>23670</c:v>
                </c:pt>
                <c:pt idx="941">
                  <c:v>23671</c:v>
                </c:pt>
                <c:pt idx="942">
                  <c:v>23672</c:v>
                </c:pt>
                <c:pt idx="943">
                  <c:v>23673</c:v>
                </c:pt>
                <c:pt idx="944">
                  <c:v>23674</c:v>
                </c:pt>
                <c:pt idx="945">
                  <c:v>23675</c:v>
                </c:pt>
                <c:pt idx="946">
                  <c:v>23676</c:v>
                </c:pt>
                <c:pt idx="947">
                  <c:v>23677</c:v>
                </c:pt>
                <c:pt idx="948">
                  <c:v>23678</c:v>
                </c:pt>
                <c:pt idx="949">
                  <c:v>23679</c:v>
                </c:pt>
                <c:pt idx="950">
                  <c:v>23680</c:v>
                </c:pt>
                <c:pt idx="951">
                  <c:v>23681</c:v>
                </c:pt>
                <c:pt idx="952">
                  <c:v>23682</c:v>
                </c:pt>
                <c:pt idx="953">
                  <c:v>23683</c:v>
                </c:pt>
                <c:pt idx="954">
                  <c:v>23684</c:v>
                </c:pt>
                <c:pt idx="955">
                  <c:v>23685</c:v>
                </c:pt>
                <c:pt idx="956">
                  <c:v>23686</c:v>
                </c:pt>
                <c:pt idx="957">
                  <c:v>23687</c:v>
                </c:pt>
                <c:pt idx="958">
                  <c:v>23688</c:v>
                </c:pt>
                <c:pt idx="959">
                  <c:v>23689</c:v>
                </c:pt>
                <c:pt idx="960">
                  <c:v>23690</c:v>
                </c:pt>
                <c:pt idx="961">
                  <c:v>23691</c:v>
                </c:pt>
                <c:pt idx="962">
                  <c:v>23692</c:v>
                </c:pt>
                <c:pt idx="963">
                  <c:v>23693</c:v>
                </c:pt>
                <c:pt idx="964">
                  <c:v>23694</c:v>
                </c:pt>
                <c:pt idx="965">
                  <c:v>23695</c:v>
                </c:pt>
                <c:pt idx="966">
                  <c:v>23696</c:v>
                </c:pt>
                <c:pt idx="967">
                  <c:v>23697</c:v>
                </c:pt>
                <c:pt idx="968">
                  <c:v>23698</c:v>
                </c:pt>
                <c:pt idx="969">
                  <c:v>23699</c:v>
                </c:pt>
                <c:pt idx="970">
                  <c:v>23700</c:v>
                </c:pt>
                <c:pt idx="971">
                  <c:v>23701</c:v>
                </c:pt>
                <c:pt idx="972">
                  <c:v>23702</c:v>
                </c:pt>
                <c:pt idx="973">
                  <c:v>23703</c:v>
                </c:pt>
                <c:pt idx="974">
                  <c:v>23704</c:v>
                </c:pt>
                <c:pt idx="975">
                  <c:v>23705</c:v>
                </c:pt>
                <c:pt idx="976">
                  <c:v>23706</c:v>
                </c:pt>
                <c:pt idx="977">
                  <c:v>23707</c:v>
                </c:pt>
                <c:pt idx="978">
                  <c:v>23708</c:v>
                </c:pt>
                <c:pt idx="979">
                  <c:v>23709</c:v>
                </c:pt>
              </c:numCache>
            </c:numRef>
          </c:xVal>
          <c:yVal>
            <c:numRef>
              <c:f>'Interpolated Physical'!$B$2:$B$981</c:f>
              <c:numCache>
                <c:formatCode>General</c:formatCode>
                <c:ptCount val="980"/>
                <c:pt idx="0" formatCode="0.00000">
                  <c:v>0.42</c:v>
                </c:pt>
                <c:pt idx="140" formatCode="0.00000">
                  <c:v>0.43</c:v>
                </c:pt>
                <c:pt idx="280" formatCode="0.00000">
                  <c:v>0.45</c:v>
                </c:pt>
                <c:pt idx="500" formatCode="0.00000">
                  <c:v>0.53</c:v>
                </c:pt>
                <c:pt idx="760" formatCode="0.00000">
                  <c:v>0.48</c:v>
                </c:pt>
                <c:pt idx="979" formatCode="0.00000">
                  <c:v>0.46</c:v>
                </c:pt>
              </c:numCache>
            </c:numRef>
          </c:yVal>
          <c:smooth val="0"/>
          <c:extLst>
            <c:ext xmlns:c16="http://schemas.microsoft.com/office/drawing/2014/chart" uri="{C3380CC4-5D6E-409C-BE32-E72D297353CC}">
              <c16:uniqueId val="{00000001-235E-481A-8334-347E6F19BFD8}"/>
            </c:ext>
          </c:extLst>
        </c:ser>
        <c:dLbls>
          <c:showLegendKey val="0"/>
          <c:showVal val="0"/>
          <c:showCatName val="0"/>
          <c:showSerName val="0"/>
          <c:showPercent val="0"/>
          <c:showBubbleSize val="0"/>
        </c:dLbls>
        <c:axId val="106302463"/>
        <c:axId val="106302047"/>
      </c:scatterChart>
      <c:valAx>
        <c:axId val="106302463"/>
        <c:scaling>
          <c:orientation val="minMax"/>
        </c:scaling>
        <c:delete val="0"/>
        <c:axPos val="b"/>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06302047"/>
        <c:crosses val="autoZero"/>
        <c:crossBetween val="midCat"/>
      </c:valAx>
      <c:valAx>
        <c:axId val="106302047"/>
        <c:scaling>
          <c:orientation val="minMax"/>
        </c:scaling>
        <c:delete val="0"/>
        <c:axPos val="l"/>
        <c:numFmt formatCode="0.00" sourceLinked="0"/>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06302463"/>
        <c:crosses val="autoZero"/>
        <c:crossBetween val="midCat"/>
      </c:valAx>
      <c:spPr>
        <a:noFill/>
        <a:ln w="3175">
          <a:solidFill>
            <a:schemeClr val="tx1"/>
          </a:solidFill>
        </a:ln>
        <a:effectLst/>
      </c:spPr>
    </c:plotArea>
    <c:legend>
      <c:legendPos val="r"/>
      <c:layout>
        <c:manualLayout>
          <c:xMode val="edge"/>
          <c:yMode val="edge"/>
          <c:x val="0.61434623797025367"/>
          <c:y val="0.6996522309711285"/>
          <c:w val="0.25009383131610563"/>
          <c:h val="0.11849530104840671"/>
        </c:manualLayout>
      </c:layout>
      <c:overlay val="1"/>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Garamond" panose="02020404030301010803" pitchFamily="18" charset="0"/>
        </a:defRPr>
      </a:pPr>
      <a:endParaRPr lang="sr-Latn-RS"/>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'Interpolated Physical'!$C$1</c:f>
              <c:strCache>
                <c:ptCount val="1"/>
                <c:pt idx="0">
                  <c:v>DensityIMP</c:v>
                </c:pt>
              </c:strCache>
            </c:strRef>
          </c:tx>
          <c:spPr>
            <a:ln w="25400" cap="rnd">
              <a:noFill/>
              <a:round/>
            </a:ln>
            <a:effectLst/>
          </c:spPr>
          <c:marker>
            <c:symbol val="square"/>
            <c:size val="10"/>
            <c:spPr>
              <a:noFill/>
              <a:ln w="3175">
                <a:solidFill>
                  <a:srgbClr val="0000FF"/>
                </a:solidFill>
              </a:ln>
              <a:effectLst/>
            </c:spPr>
          </c:marker>
          <c:trendline>
            <c:spPr>
              <a:ln w="3175" cap="rnd">
                <a:solidFill>
                  <a:srgbClr val="FF0000"/>
                </a:solidFill>
                <a:prstDash val="lgDash"/>
              </a:ln>
              <a:effectLst/>
            </c:spPr>
            <c:trendlineType val="poly"/>
            <c:order val="3"/>
            <c:dispRSqr val="1"/>
            <c:dispEq val="1"/>
            <c:trendlineLbl>
              <c:layout>
                <c:manualLayout>
                  <c:x val="2.7638913644449571E-2"/>
                  <c:y val="0.17233857851028458"/>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rendlineLbl>
          </c:trendline>
          <c:xVal>
            <c:numRef>
              <c:f>'Interpolated Physical'!$A$2:$A$981</c:f>
              <c:numCache>
                <c:formatCode>General</c:formatCode>
                <c:ptCount val="98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432</c:v>
                </c:pt>
                <c:pt idx="21">
                  <c:v>433</c:v>
                </c:pt>
                <c:pt idx="22">
                  <c:v>434</c:v>
                </c:pt>
                <c:pt idx="23">
                  <c:v>435</c:v>
                </c:pt>
                <c:pt idx="24">
                  <c:v>436</c:v>
                </c:pt>
                <c:pt idx="25">
                  <c:v>437</c:v>
                </c:pt>
                <c:pt idx="26">
                  <c:v>438</c:v>
                </c:pt>
                <c:pt idx="27">
                  <c:v>439</c:v>
                </c:pt>
                <c:pt idx="28">
                  <c:v>440</c:v>
                </c:pt>
                <c:pt idx="29">
                  <c:v>441</c:v>
                </c:pt>
                <c:pt idx="30">
                  <c:v>442</c:v>
                </c:pt>
                <c:pt idx="31">
                  <c:v>443</c:v>
                </c:pt>
                <c:pt idx="32">
                  <c:v>444</c:v>
                </c:pt>
                <c:pt idx="33">
                  <c:v>445</c:v>
                </c:pt>
                <c:pt idx="34">
                  <c:v>446</c:v>
                </c:pt>
                <c:pt idx="35">
                  <c:v>447</c:v>
                </c:pt>
                <c:pt idx="36">
                  <c:v>448</c:v>
                </c:pt>
                <c:pt idx="37">
                  <c:v>449</c:v>
                </c:pt>
                <c:pt idx="38">
                  <c:v>450</c:v>
                </c:pt>
                <c:pt idx="39">
                  <c:v>451</c:v>
                </c:pt>
                <c:pt idx="40">
                  <c:v>818</c:v>
                </c:pt>
                <c:pt idx="41">
                  <c:v>819</c:v>
                </c:pt>
                <c:pt idx="42">
                  <c:v>820</c:v>
                </c:pt>
                <c:pt idx="43">
                  <c:v>821</c:v>
                </c:pt>
                <c:pt idx="44">
                  <c:v>822</c:v>
                </c:pt>
                <c:pt idx="45">
                  <c:v>823</c:v>
                </c:pt>
                <c:pt idx="46">
                  <c:v>824</c:v>
                </c:pt>
                <c:pt idx="47">
                  <c:v>825</c:v>
                </c:pt>
                <c:pt idx="48">
                  <c:v>826</c:v>
                </c:pt>
                <c:pt idx="49">
                  <c:v>827</c:v>
                </c:pt>
                <c:pt idx="50">
                  <c:v>828</c:v>
                </c:pt>
                <c:pt idx="51">
                  <c:v>829</c:v>
                </c:pt>
                <c:pt idx="52">
                  <c:v>830</c:v>
                </c:pt>
                <c:pt idx="53">
                  <c:v>831</c:v>
                </c:pt>
                <c:pt idx="54">
                  <c:v>832</c:v>
                </c:pt>
                <c:pt idx="55">
                  <c:v>833</c:v>
                </c:pt>
                <c:pt idx="56">
                  <c:v>834</c:v>
                </c:pt>
                <c:pt idx="57">
                  <c:v>835</c:v>
                </c:pt>
                <c:pt idx="58">
                  <c:v>836</c:v>
                </c:pt>
                <c:pt idx="59">
                  <c:v>837</c:v>
                </c:pt>
                <c:pt idx="60">
                  <c:v>1057</c:v>
                </c:pt>
                <c:pt idx="61">
                  <c:v>1058</c:v>
                </c:pt>
                <c:pt idx="62">
                  <c:v>1059</c:v>
                </c:pt>
                <c:pt idx="63">
                  <c:v>1060</c:v>
                </c:pt>
                <c:pt idx="64">
                  <c:v>1061</c:v>
                </c:pt>
                <c:pt idx="65">
                  <c:v>1062</c:v>
                </c:pt>
                <c:pt idx="66">
                  <c:v>1063</c:v>
                </c:pt>
                <c:pt idx="67">
                  <c:v>1064</c:v>
                </c:pt>
                <c:pt idx="68">
                  <c:v>1065</c:v>
                </c:pt>
                <c:pt idx="69">
                  <c:v>1066</c:v>
                </c:pt>
                <c:pt idx="70">
                  <c:v>1067</c:v>
                </c:pt>
                <c:pt idx="71">
                  <c:v>1068</c:v>
                </c:pt>
                <c:pt idx="72">
                  <c:v>1069</c:v>
                </c:pt>
                <c:pt idx="73">
                  <c:v>1070</c:v>
                </c:pt>
                <c:pt idx="74">
                  <c:v>1071</c:v>
                </c:pt>
                <c:pt idx="75">
                  <c:v>1072</c:v>
                </c:pt>
                <c:pt idx="76">
                  <c:v>1073</c:v>
                </c:pt>
                <c:pt idx="77">
                  <c:v>1074</c:v>
                </c:pt>
                <c:pt idx="78">
                  <c:v>1075</c:v>
                </c:pt>
                <c:pt idx="79">
                  <c:v>1076</c:v>
                </c:pt>
                <c:pt idx="80">
                  <c:v>1407</c:v>
                </c:pt>
                <c:pt idx="81">
                  <c:v>1408</c:v>
                </c:pt>
                <c:pt idx="82">
                  <c:v>1409</c:v>
                </c:pt>
                <c:pt idx="83">
                  <c:v>1410</c:v>
                </c:pt>
                <c:pt idx="84">
                  <c:v>1411</c:v>
                </c:pt>
                <c:pt idx="85">
                  <c:v>1412</c:v>
                </c:pt>
                <c:pt idx="86">
                  <c:v>1413</c:v>
                </c:pt>
                <c:pt idx="87">
                  <c:v>1414</c:v>
                </c:pt>
                <c:pt idx="88">
                  <c:v>1415</c:v>
                </c:pt>
                <c:pt idx="89">
                  <c:v>1416</c:v>
                </c:pt>
                <c:pt idx="90">
                  <c:v>1417</c:v>
                </c:pt>
                <c:pt idx="91">
                  <c:v>1418</c:v>
                </c:pt>
                <c:pt idx="92">
                  <c:v>1419</c:v>
                </c:pt>
                <c:pt idx="93">
                  <c:v>1420</c:v>
                </c:pt>
                <c:pt idx="94">
                  <c:v>1421</c:v>
                </c:pt>
                <c:pt idx="95">
                  <c:v>1422</c:v>
                </c:pt>
                <c:pt idx="96">
                  <c:v>1423</c:v>
                </c:pt>
                <c:pt idx="97">
                  <c:v>1424</c:v>
                </c:pt>
                <c:pt idx="98">
                  <c:v>1425</c:v>
                </c:pt>
                <c:pt idx="99">
                  <c:v>1426</c:v>
                </c:pt>
                <c:pt idx="100">
                  <c:v>1618</c:v>
                </c:pt>
                <c:pt idx="101">
                  <c:v>1619</c:v>
                </c:pt>
                <c:pt idx="102">
                  <c:v>1620</c:v>
                </c:pt>
                <c:pt idx="103">
                  <c:v>1621</c:v>
                </c:pt>
                <c:pt idx="104">
                  <c:v>1622</c:v>
                </c:pt>
                <c:pt idx="105">
                  <c:v>1623</c:v>
                </c:pt>
                <c:pt idx="106">
                  <c:v>1624</c:v>
                </c:pt>
                <c:pt idx="107">
                  <c:v>1625</c:v>
                </c:pt>
                <c:pt idx="108">
                  <c:v>1626</c:v>
                </c:pt>
                <c:pt idx="109">
                  <c:v>1627</c:v>
                </c:pt>
                <c:pt idx="110">
                  <c:v>1628</c:v>
                </c:pt>
                <c:pt idx="111">
                  <c:v>1629</c:v>
                </c:pt>
                <c:pt idx="112">
                  <c:v>1630</c:v>
                </c:pt>
                <c:pt idx="113">
                  <c:v>1631</c:v>
                </c:pt>
                <c:pt idx="114">
                  <c:v>1632</c:v>
                </c:pt>
                <c:pt idx="115">
                  <c:v>1633</c:v>
                </c:pt>
                <c:pt idx="116">
                  <c:v>1634</c:v>
                </c:pt>
                <c:pt idx="117">
                  <c:v>1635</c:v>
                </c:pt>
                <c:pt idx="118">
                  <c:v>1636</c:v>
                </c:pt>
                <c:pt idx="119">
                  <c:v>1637</c:v>
                </c:pt>
                <c:pt idx="120">
                  <c:v>2039</c:v>
                </c:pt>
                <c:pt idx="121">
                  <c:v>2040</c:v>
                </c:pt>
                <c:pt idx="122">
                  <c:v>2041</c:v>
                </c:pt>
                <c:pt idx="123">
                  <c:v>2042</c:v>
                </c:pt>
                <c:pt idx="124">
                  <c:v>2043</c:v>
                </c:pt>
                <c:pt idx="125">
                  <c:v>2044</c:v>
                </c:pt>
                <c:pt idx="126">
                  <c:v>2045</c:v>
                </c:pt>
                <c:pt idx="127">
                  <c:v>2046</c:v>
                </c:pt>
                <c:pt idx="128">
                  <c:v>2047</c:v>
                </c:pt>
                <c:pt idx="129">
                  <c:v>2048</c:v>
                </c:pt>
                <c:pt idx="130">
                  <c:v>2049</c:v>
                </c:pt>
                <c:pt idx="131">
                  <c:v>2050</c:v>
                </c:pt>
                <c:pt idx="132">
                  <c:v>2051</c:v>
                </c:pt>
                <c:pt idx="133">
                  <c:v>2052</c:v>
                </c:pt>
                <c:pt idx="134">
                  <c:v>2053</c:v>
                </c:pt>
                <c:pt idx="135">
                  <c:v>2054</c:v>
                </c:pt>
                <c:pt idx="136">
                  <c:v>2055</c:v>
                </c:pt>
                <c:pt idx="137">
                  <c:v>2056</c:v>
                </c:pt>
                <c:pt idx="138">
                  <c:v>2057</c:v>
                </c:pt>
                <c:pt idx="139">
                  <c:v>2058</c:v>
                </c:pt>
                <c:pt idx="140">
                  <c:v>2897</c:v>
                </c:pt>
                <c:pt idx="141">
                  <c:v>2898</c:v>
                </c:pt>
                <c:pt idx="142">
                  <c:v>2899</c:v>
                </c:pt>
                <c:pt idx="143">
                  <c:v>2900</c:v>
                </c:pt>
                <c:pt idx="144">
                  <c:v>2901</c:v>
                </c:pt>
                <c:pt idx="145">
                  <c:v>2902</c:v>
                </c:pt>
                <c:pt idx="146">
                  <c:v>2903</c:v>
                </c:pt>
                <c:pt idx="147">
                  <c:v>2904</c:v>
                </c:pt>
                <c:pt idx="148">
                  <c:v>2905</c:v>
                </c:pt>
                <c:pt idx="149">
                  <c:v>2906</c:v>
                </c:pt>
                <c:pt idx="150">
                  <c:v>2907</c:v>
                </c:pt>
                <c:pt idx="151">
                  <c:v>2908</c:v>
                </c:pt>
                <c:pt idx="152">
                  <c:v>2909</c:v>
                </c:pt>
                <c:pt idx="153">
                  <c:v>2910</c:v>
                </c:pt>
                <c:pt idx="154">
                  <c:v>2911</c:v>
                </c:pt>
                <c:pt idx="155">
                  <c:v>2912</c:v>
                </c:pt>
                <c:pt idx="156">
                  <c:v>2913</c:v>
                </c:pt>
                <c:pt idx="157">
                  <c:v>2914</c:v>
                </c:pt>
                <c:pt idx="158">
                  <c:v>2915</c:v>
                </c:pt>
                <c:pt idx="159">
                  <c:v>2916</c:v>
                </c:pt>
                <c:pt idx="160">
                  <c:v>3257</c:v>
                </c:pt>
                <c:pt idx="161">
                  <c:v>3258</c:v>
                </c:pt>
                <c:pt idx="162">
                  <c:v>3259</c:v>
                </c:pt>
                <c:pt idx="163">
                  <c:v>3260</c:v>
                </c:pt>
                <c:pt idx="164">
                  <c:v>3261</c:v>
                </c:pt>
                <c:pt idx="165">
                  <c:v>3262</c:v>
                </c:pt>
                <c:pt idx="166">
                  <c:v>3263</c:v>
                </c:pt>
                <c:pt idx="167">
                  <c:v>3264</c:v>
                </c:pt>
                <c:pt idx="168">
                  <c:v>3265</c:v>
                </c:pt>
                <c:pt idx="169">
                  <c:v>3266</c:v>
                </c:pt>
                <c:pt idx="170">
                  <c:v>3267</c:v>
                </c:pt>
                <c:pt idx="171">
                  <c:v>3268</c:v>
                </c:pt>
                <c:pt idx="172">
                  <c:v>3269</c:v>
                </c:pt>
                <c:pt idx="173">
                  <c:v>3270</c:v>
                </c:pt>
                <c:pt idx="174">
                  <c:v>3271</c:v>
                </c:pt>
                <c:pt idx="175">
                  <c:v>3272</c:v>
                </c:pt>
                <c:pt idx="176">
                  <c:v>3273</c:v>
                </c:pt>
                <c:pt idx="177">
                  <c:v>3274</c:v>
                </c:pt>
                <c:pt idx="178">
                  <c:v>3275</c:v>
                </c:pt>
                <c:pt idx="179">
                  <c:v>3276</c:v>
                </c:pt>
                <c:pt idx="180">
                  <c:v>4443</c:v>
                </c:pt>
                <c:pt idx="181">
                  <c:v>4445</c:v>
                </c:pt>
                <c:pt idx="182">
                  <c:v>4446</c:v>
                </c:pt>
                <c:pt idx="183">
                  <c:v>4447</c:v>
                </c:pt>
                <c:pt idx="184">
                  <c:v>4448</c:v>
                </c:pt>
                <c:pt idx="185">
                  <c:v>4449</c:v>
                </c:pt>
                <c:pt idx="186">
                  <c:v>4450</c:v>
                </c:pt>
                <c:pt idx="187">
                  <c:v>4451</c:v>
                </c:pt>
                <c:pt idx="188">
                  <c:v>4452</c:v>
                </c:pt>
                <c:pt idx="189">
                  <c:v>4453</c:v>
                </c:pt>
                <c:pt idx="190">
                  <c:v>4454</c:v>
                </c:pt>
                <c:pt idx="191">
                  <c:v>4455</c:v>
                </c:pt>
                <c:pt idx="192">
                  <c:v>4456</c:v>
                </c:pt>
                <c:pt idx="193">
                  <c:v>4457</c:v>
                </c:pt>
                <c:pt idx="194">
                  <c:v>4458</c:v>
                </c:pt>
                <c:pt idx="195">
                  <c:v>4459</c:v>
                </c:pt>
                <c:pt idx="196">
                  <c:v>4460</c:v>
                </c:pt>
                <c:pt idx="197">
                  <c:v>4461</c:v>
                </c:pt>
                <c:pt idx="198">
                  <c:v>4462</c:v>
                </c:pt>
                <c:pt idx="199">
                  <c:v>4463</c:v>
                </c:pt>
                <c:pt idx="200">
                  <c:v>4740</c:v>
                </c:pt>
                <c:pt idx="201">
                  <c:v>4741</c:v>
                </c:pt>
                <c:pt idx="202">
                  <c:v>4742</c:v>
                </c:pt>
                <c:pt idx="203">
                  <c:v>4743</c:v>
                </c:pt>
                <c:pt idx="204">
                  <c:v>4744</c:v>
                </c:pt>
                <c:pt idx="205">
                  <c:v>4745</c:v>
                </c:pt>
                <c:pt idx="206">
                  <c:v>4746</c:v>
                </c:pt>
                <c:pt idx="207">
                  <c:v>4747</c:v>
                </c:pt>
                <c:pt idx="208">
                  <c:v>4748</c:v>
                </c:pt>
                <c:pt idx="209">
                  <c:v>4749</c:v>
                </c:pt>
                <c:pt idx="210">
                  <c:v>4750</c:v>
                </c:pt>
                <c:pt idx="211">
                  <c:v>4751</c:v>
                </c:pt>
                <c:pt idx="212">
                  <c:v>4752</c:v>
                </c:pt>
                <c:pt idx="213">
                  <c:v>4753</c:v>
                </c:pt>
                <c:pt idx="214">
                  <c:v>4754</c:v>
                </c:pt>
                <c:pt idx="215">
                  <c:v>4755</c:v>
                </c:pt>
                <c:pt idx="216">
                  <c:v>4756</c:v>
                </c:pt>
                <c:pt idx="217">
                  <c:v>4757</c:v>
                </c:pt>
                <c:pt idx="218">
                  <c:v>4758</c:v>
                </c:pt>
                <c:pt idx="219">
                  <c:v>4759</c:v>
                </c:pt>
                <c:pt idx="220">
                  <c:v>5191</c:v>
                </c:pt>
                <c:pt idx="221">
                  <c:v>5192</c:v>
                </c:pt>
                <c:pt idx="222">
                  <c:v>5193</c:v>
                </c:pt>
                <c:pt idx="223">
                  <c:v>5194</c:v>
                </c:pt>
                <c:pt idx="224">
                  <c:v>5195</c:v>
                </c:pt>
                <c:pt idx="225">
                  <c:v>5196</c:v>
                </c:pt>
                <c:pt idx="226">
                  <c:v>5197</c:v>
                </c:pt>
                <c:pt idx="227">
                  <c:v>5198</c:v>
                </c:pt>
                <c:pt idx="228">
                  <c:v>5199</c:v>
                </c:pt>
                <c:pt idx="229">
                  <c:v>5200</c:v>
                </c:pt>
                <c:pt idx="230">
                  <c:v>5201</c:v>
                </c:pt>
                <c:pt idx="231">
                  <c:v>5202</c:v>
                </c:pt>
                <c:pt idx="232">
                  <c:v>5203</c:v>
                </c:pt>
                <c:pt idx="233">
                  <c:v>5204</c:v>
                </c:pt>
                <c:pt idx="234">
                  <c:v>5205</c:v>
                </c:pt>
                <c:pt idx="235">
                  <c:v>5206</c:v>
                </c:pt>
                <c:pt idx="236">
                  <c:v>5207</c:v>
                </c:pt>
                <c:pt idx="237">
                  <c:v>5208</c:v>
                </c:pt>
                <c:pt idx="238">
                  <c:v>5209</c:v>
                </c:pt>
                <c:pt idx="239">
                  <c:v>5210</c:v>
                </c:pt>
                <c:pt idx="240">
                  <c:v>5544</c:v>
                </c:pt>
                <c:pt idx="241">
                  <c:v>5545</c:v>
                </c:pt>
                <c:pt idx="242">
                  <c:v>5546</c:v>
                </c:pt>
                <c:pt idx="243">
                  <c:v>5547</c:v>
                </c:pt>
                <c:pt idx="244">
                  <c:v>5548</c:v>
                </c:pt>
                <c:pt idx="245">
                  <c:v>5549</c:v>
                </c:pt>
                <c:pt idx="246">
                  <c:v>5550</c:v>
                </c:pt>
                <c:pt idx="247">
                  <c:v>5551</c:v>
                </c:pt>
                <c:pt idx="248">
                  <c:v>5552</c:v>
                </c:pt>
                <c:pt idx="249">
                  <c:v>5553</c:v>
                </c:pt>
                <c:pt idx="250">
                  <c:v>5554</c:v>
                </c:pt>
                <c:pt idx="251">
                  <c:v>5555</c:v>
                </c:pt>
                <c:pt idx="252">
                  <c:v>5556</c:v>
                </c:pt>
                <c:pt idx="253">
                  <c:v>5557</c:v>
                </c:pt>
                <c:pt idx="254">
                  <c:v>5558</c:v>
                </c:pt>
                <c:pt idx="255">
                  <c:v>5559</c:v>
                </c:pt>
                <c:pt idx="256">
                  <c:v>5560</c:v>
                </c:pt>
                <c:pt idx="257">
                  <c:v>5561</c:v>
                </c:pt>
                <c:pt idx="258">
                  <c:v>5562</c:v>
                </c:pt>
                <c:pt idx="259">
                  <c:v>5563</c:v>
                </c:pt>
                <c:pt idx="260">
                  <c:v>5915</c:v>
                </c:pt>
                <c:pt idx="261">
                  <c:v>5916</c:v>
                </c:pt>
                <c:pt idx="262">
                  <c:v>5917</c:v>
                </c:pt>
                <c:pt idx="263">
                  <c:v>5918</c:v>
                </c:pt>
                <c:pt idx="264">
                  <c:v>5919</c:v>
                </c:pt>
                <c:pt idx="265">
                  <c:v>5920</c:v>
                </c:pt>
                <c:pt idx="266">
                  <c:v>5921</c:v>
                </c:pt>
                <c:pt idx="267">
                  <c:v>5922</c:v>
                </c:pt>
                <c:pt idx="268">
                  <c:v>5923</c:v>
                </c:pt>
                <c:pt idx="269">
                  <c:v>5924</c:v>
                </c:pt>
                <c:pt idx="270">
                  <c:v>5925</c:v>
                </c:pt>
                <c:pt idx="271">
                  <c:v>5926</c:v>
                </c:pt>
                <c:pt idx="272">
                  <c:v>5927</c:v>
                </c:pt>
                <c:pt idx="273">
                  <c:v>5928</c:v>
                </c:pt>
                <c:pt idx="274">
                  <c:v>5929</c:v>
                </c:pt>
                <c:pt idx="275">
                  <c:v>5930</c:v>
                </c:pt>
                <c:pt idx="276">
                  <c:v>5931</c:v>
                </c:pt>
                <c:pt idx="277">
                  <c:v>5932</c:v>
                </c:pt>
                <c:pt idx="278">
                  <c:v>5933</c:v>
                </c:pt>
                <c:pt idx="279">
                  <c:v>5934</c:v>
                </c:pt>
                <c:pt idx="280">
                  <c:v>6137</c:v>
                </c:pt>
                <c:pt idx="281">
                  <c:v>6138</c:v>
                </c:pt>
                <c:pt idx="282">
                  <c:v>6139</c:v>
                </c:pt>
                <c:pt idx="283">
                  <c:v>6140</c:v>
                </c:pt>
                <c:pt idx="284">
                  <c:v>6141</c:v>
                </c:pt>
                <c:pt idx="285">
                  <c:v>6142</c:v>
                </c:pt>
                <c:pt idx="286">
                  <c:v>6143</c:v>
                </c:pt>
                <c:pt idx="287">
                  <c:v>6144</c:v>
                </c:pt>
                <c:pt idx="288">
                  <c:v>6145</c:v>
                </c:pt>
                <c:pt idx="289">
                  <c:v>6146</c:v>
                </c:pt>
                <c:pt idx="290">
                  <c:v>6147</c:v>
                </c:pt>
                <c:pt idx="291">
                  <c:v>6148</c:v>
                </c:pt>
                <c:pt idx="292">
                  <c:v>6149</c:v>
                </c:pt>
                <c:pt idx="293">
                  <c:v>6150</c:v>
                </c:pt>
                <c:pt idx="294">
                  <c:v>6151</c:v>
                </c:pt>
                <c:pt idx="295">
                  <c:v>6152</c:v>
                </c:pt>
                <c:pt idx="296">
                  <c:v>6153</c:v>
                </c:pt>
                <c:pt idx="297">
                  <c:v>6154</c:v>
                </c:pt>
                <c:pt idx="298">
                  <c:v>6155</c:v>
                </c:pt>
                <c:pt idx="299">
                  <c:v>6156</c:v>
                </c:pt>
                <c:pt idx="300">
                  <c:v>6600</c:v>
                </c:pt>
                <c:pt idx="301">
                  <c:v>6601</c:v>
                </c:pt>
                <c:pt idx="302">
                  <c:v>6602</c:v>
                </c:pt>
                <c:pt idx="303">
                  <c:v>6603</c:v>
                </c:pt>
                <c:pt idx="304">
                  <c:v>6604</c:v>
                </c:pt>
                <c:pt idx="305">
                  <c:v>6605</c:v>
                </c:pt>
                <c:pt idx="306">
                  <c:v>6606</c:v>
                </c:pt>
                <c:pt idx="307">
                  <c:v>6607</c:v>
                </c:pt>
                <c:pt idx="308">
                  <c:v>6608</c:v>
                </c:pt>
                <c:pt idx="309">
                  <c:v>6609</c:v>
                </c:pt>
                <c:pt idx="310">
                  <c:v>6610</c:v>
                </c:pt>
                <c:pt idx="311">
                  <c:v>6611</c:v>
                </c:pt>
                <c:pt idx="312">
                  <c:v>6612</c:v>
                </c:pt>
                <c:pt idx="313">
                  <c:v>6613</c:v>
                </c:pt>
                <c:pt idx="314">
                  <c:v>6614</c:v>
                </c:pt>
                <c:pt idx="315">
                  <c:v>6615</c:v>
                </c:pt>
                <c:pt idx="316">
                  <c:v>6616</c:v>
                </c:pt>
                <c:pt idx="317">
                  <c:v>6617</c:v>
                </c:pt>
                <c:pt idx="318">
                  <c:v>6618</c:v>
                </c:pt>
                <c:pt idx="319">
                  <c:v>6619</c:v>
                </c:pt>
                <c:pt idx="320">
                  <c:v>6823</c:v>
                </c:pt>
                <c:pt idx="321">
                  <c:v>6824</c:v>
                </c:pt>
                <c:pt idx="322">
                  <c:v>6825</c:v>
                </c:pt>
                <c:pt idx="323">
                  <c:v>6826</c:v>
                </c:pt>
                <c:pt idx="324">
                  <c:v>6827</c:v>
                </c:pt>
                <c:pt idx="325">
                  <c:v>6828</c:v>
                </c:pt>
                <c:pt idx="326">
                  <c:v>6829</c:v>
                </c:pt>
                <c:pt idx="327">
                  <c:v>6830</c:v>
                </c:pt>
                <c:pt idx="328">
                  <c:v>6831</c:v>
                </c:pt>
                <c:pt idx="329">
                  <c:v>6832</c:v>
                </c:pt>
                <c:pt idx="330">
                  <c:v>6833</c:v>
                </c:pt>
                <c:pt idx="331">
                  <c:v>6834</c:v>
                </c:pt>
                <c:pt idx="332">
                  <c:v>6835</c:v>
                </c:pt>
                <c:pt idx="333">
                  <c:v>6836</c:v>
                </c:pt>
                <c:pt idx="334">
                  <c:v>6837</c:v>
                </c:pt>
                <c:pt idx="335">
                  <c:v>6838</c:v>
                </c:pt>
                <c:pt idx="336">
                  <c:v>6839</c:v>
                </c:pt>
                <c:pt idx="337">
                  <c:v>6840</c:v>
                </c:pt>
                <c:pt idx="338">
                  <c:v>6841</c:v>
                </c:pt>
                <c:pt idx="339">
                  <c:v>6842</c:v>
                </c:pt>
                <c:pt idx="340">
                  <c:v>7090</c:v>
                </c:pt>
                <c:pt idx="341">
                  <c:v>7091</c:v>
                </c:pt>
                <c:pt idx="342">
                  <c:v>7092</c:v>
                </c:pt>
                <c:pt idx="343">
                  <c:v>7093</c:v>
                </c:pt>
                <c:pt idx="344">
                  <c:v>7094</c:v>
                </c:pt>
                <c:pt idx="345">
                  <c:v>7095</c:v>
                </c:pt>
                <c:pt idx="346">
                  <c:v>7096</c:v>
                </c:pt>
                <c:pt idx="347">
                  <c:v>7097</c:v>
                </c:pt>
                <c:pt idx="348">
                  <c:v>7098</c:v>
                </c:pt>
                <c:pt idx="349">
                  <c:v>7099</c:v>
                </c:pt>
                <c:pt idx="350">
                  <c:v>7100</c:v>
                </c:pt>
                <c:pt idx="351">
                  <c:v>7101</c:v>
                </c:pt>
                <c:pt idx="352">
                  <c:v>7102</c:v>
                </c:pt>
                <c:pt idx="353">
                  <c:v>7103</c:v>
                </c:pt>
                <c:pt idx="354">
                  <c:v>7104</c:v>
                </c:pt>
                <c:pt idx="355">
                  <c:v>7105</c:v>
                </c:pt>
                <c:pt idx="356">
                  <c:v>7106</c:v>
                </c:pt>
                <c:pt idx="357">
                  <c:v>7107</c:v>
                </c:pt>
                <c:pt idx="358">
                  <c:v>7108</c:v>
                </c:pt>
                <c:pt idx="359">
                  <c:v>7109</c:v>
                </c:pt>
                <c:pt idx="360">
                  <c:v>7413</c:v>
                </c:pt>
                <c:pt idx="361">
                  <c:v>7414</c:v>
                </c:pt>
                <c:pt idx="362">
                  <c:v>7415</c:v>
                </c:pt>
                <c:pt idx="363">
                  <c:v>7416</c:v>
                </c:pt>
                <c:pt idx="364">
                  <c:v>7417</c:v>
                </c:pt>
                <c:pt idx="365">
                  <c:v>7418</c:v>
                </c:pt>
                <c:pt idx="366">
                  <c:v>7419</c:v>
                </c:pt>
                <c:pt idx="367">
                  <c:v>7420</c:v>
                </c:pt>
                <c:pt idx="368">
                  <c:v>7421</c:v>
                </c:pt>
                <c:pt idx="369">
                  <c:v>7422</c:v>
                </c:pt>
                <c:pt idx="370">
                  <c:v>7423</c:v>
                </c:pt>
                <c:pt idx="371">
                  <c:v>7424</c:v>
                </c:pt>
                <c:pt idx="372">
                  <c:v>7425</c:v>
                </c:pt>
                <c:pt idx="373">
                  <c:v>7426</c:v>
                </c:pt>
                <c:pt idx="374">
                  <c:v>7427</c:v>
                </c:pt>
                <c:pt idx="375">
                  <c:v>7428</c:v>
                </c:pt>
                <c:pt idx="376">
                  <c:v>7429</c:v>
                </c:pt>
                <c:pt idx="377">
                  <c:v>7430</c:v>
                </c:pt>
                <c:pt idx="378">
                  <c:v>7431</c:v>
                </c:pt>
                <c:pt idx="379">
                  <c:v>7432</c:v>
                </c:pt>
                <c:pt idx="380">
                  <c:v>7931</c:v>
                </c:pt>
                <c:pt idx="381">
                  <c:v>7932</c:v>
                </c:pt>
                <c:pt idx="382">
                  <c:v>7933</c:v>
                </c:pt>
                <c:pt idx="383">
                  <c:v>7934</c:v>
                </c:pt>
                <c:pt idx="384">
                  <c:v>7935</c:v>
                </c:pt>
                <c:pt idx="385">
                  <c:v>7936</c:v>
                </c:pt>
                <c:pt idx="386">
                  <c:v>7937</c:v>
                </c:pt>
                <c:pt idx="387">
                  <c:v>7938</c:v>
                </c:pt>
                <c:pt idx="388">
                  <c:v>7939</c:v>
                </c:pt>
                <c:pt idx="389">
                  <c:v>7940</c:v>
                </c:pt>
                <c:pt idx="390">
                  <c:v>7941</c:v>
                </c:pt>
                <c:pt idx="391">
                  <c:v>7942</c:v>
                </c:pt>
                <c:pt idx="392">
                  <c:v>7943</c:v>
                </c:pt>
                <c:pt idx="393">
                  <c:v>7944</c:v>
                </c:pt>
                <c:pt idx="394">
                  <c:v>7945</c:v>
                </c:pt>
                <c:pt idx="395">
                  <c:v>7946</c:v>
                </c:pt>
                <c:pt idx="396">
                  <c:v>7947</c:v>
                </c:pt>
                <c:pt idx="397">
                  <c:v>7948</c:v>
                </c:pt>
                <c:pt idx="398">
                  <c:v>7949</c:v>
                </c:pt>
                <c:pt idx="399">
                  <c:v>7950</c:v>
                </c:pt>
                <c:pt idx="400">
                  <c:v>8361</c:v>
                </c:pt>
                <c:pt idx="401">
                  <c:v>8362</c:v>
                </c:pt>
                <c:pt idx="402">
                  <c:v>8363</c:v>
                </c:pt>
                <c:pt idx="403">
                  <c:v>8364</c:v>
                </c:pt>
                <c:pt idx="404">
                  <c:v>8365</c:v>
                </c:pt>
                <c:pt idx="405">
                  <c:v>8366</c:v>
                </c:pt>
                <c:pt idx="406">
                  <c:v>8367</c:v>
                </c:pt>
                <c:pt idx="407">
                  <c:v>8368</c:v>
                </c:pt>
                <c:pt idx="408">
                  <c:v>8369</c:v>
                </c:pt>
                <c:pt idx="409">
                  <c:v>8370</c:v>
                </c:pt>
                <c:pt idx="410">
                  <c:v>8371</c:v>
                </c:pt>
                <c:pt idx="411">
                  <c:v>8372</c:v>
                </c:pt>
                <c:pt idx="412">
                  <c:v>8373</c:v>
                </c:pt>
                <c:pt idx="413">
                  <c:v>8374</c:v>
                </c:pt>
                <c:pt idx="414">
                  <c:v>8375</c:v>
                </c:pt>
                <c:pt idx="415">
                  <c:v>8376</c:v>
                </c:pt>
                <c:pt idx="416">
                  <c:v>8377</c:v>
                </c:pt>
                <c:pt idx="417">
                  <c:v>8378</c:v>
                </c:pt>
                <c:pt idx="418">
                  <c:v>8379</c:v>
                </c:pt>
                <c:pt idx="419">
                  <c:v>8380</c:v>
                </c:pt>
                <c:pt idx="420">
                  <c:v>8679</c:v>
                </c:pt>
                <c:pt idx="421">
                  <c:v>8680</c:v>
                </c:pt>
                <c:pt idx="422">
                  <c:v>8681</c:v>
                </c:pt>
                <c:pt idx="423">
                  <c:v>8682</c:v>
                </c:pt>
                <c:pt idx="424">
                  <c:v>8683</c:v>
                </c:pt>
                <c:pt idx="425">
                  <c:v>8684</c:v>
                </c:pt>
                <c:pt idx="426">
                  <c:v>8685</c:v>
                </c:pt>
                <c:pt idx="427">
                  <c:v>8686</c:v>
                </c:pt>
                <c:pt idx="428">
                  <c:v>8687</c:v>
                </c:pt>
                <c:pt idx="429">
                  <c:v>8688</c:v>
                </c:pt>
                <c:pt idx="430">
                  <c:v>8689</c:v>
                </c:pt>
                <c:pt idx="431">
                  <c:v>8690</c:v>
                </c:pt>
                <c:pt idx="432">
                  <c:v>8691</c:v>
                </c:pt>
                <c:pt idx="433">
                  <c:v>8692</c:v>
                </c:pt>
                <c:pt idx="434">
                  <c:v>8693</c:v>
                </c:pt>
                <c:pt idx="435">
                  <c:v>8694</c:v>
                </c:pt>
                <c:pt idx="436">
                  <c:v>8695</c:v>
                </c:pt>
                <c:pt idx="437">
                  <c:v>8696</c:v>
                </c:pt>
                <c:pt idx="438">
                  <c:v>8697</c:v>
                </c:pt>
                <c:pt idx="439">
                  <c:v>8698</c:v>
                </c:pt>
                <c:pt idx="440">
                  <c:v>9074</c:v>
                </c:pt>
                <c:pt idx="441">
                  <c:v>9075</c:v>
                </c:pt>
                <c:pt idx="442">
                  <c:v>9076</c:v>
                </c:pt>
                <c:pt idx="443">
                  <c:v>9077</c:v>
                </c:pt>
                <c:pt idx="444">
                  <c:v>9078</c:v>
                </c:pt>
                <c:pt idx="445">
                  <c:v>9079</c:v>
                </c:pt>
                <c:pt idx="446">
                  <c:v>9080</c:v>
                </c:pt>
                <c:pt idx="447">
                  <c:v>9081</c:v>
                </c:pt>
                <c:pt idx="448">
                  <c:v>9082</c:v>
                </c:pt>
                <c:pt idx="449">
                  <c:v>9083</c:v>
                </c:pt>
                <c:pt idx="450">
                  <c:v>9084</c:v>
                </c:pt>
                <c:pt idx="451">
                  <c:v>9085</c:v>
                </c:pt>
                <c:pt idx="452">
                  <c:v>9086</c:v>
                </c:pt>
                <c:pt idx="453">
                  <c:v>9087</c:v>
                </c:pt>
                <c:pt idx="454">
                  <c:v>9088</c:v>
                </c:pt>
                <c:pt idx="455">
                  <c:v>9089</c:v>
                </c:pt>
                <c:pt idx="456">
                  <c:v>9090</c:v>
                </c:pt>
                <c:pt idx="457">
                  <c:v>9091</c:v>
                </c:pt>
                <c:pt idx="458">
                  <c:v>9092</c:v>
                </c:pt>
                <c:pt idx="459">
                  <c:v>9093</c:v>
                </c:pt>
                <c:pt idx="460">
                  <c:v>9304</c:v>
                </c:pt>
                <c:pt idx="461">
                  <c:v>9305</c:v>
                </c:pt>
                <c:pt idx="462">
                  <c:v>9306</c:v>
                </c:pt>
                <c:pt idx="463">
                  <c:v>9307</c:v>
                </c:pt>
                <c:pt idx="464">
                  <c:v>9308</c:v>
                </c:pt>
                <c:pt idx="465">
                  <c:v>9309</c:v>
                </c:pt>
                <c:pt idx="466">
                  <c:v>9310</c:v>
                </c:pt>
                <c:pt idx="467">
                  <c:v>9311</c:v>
                </c:pt>
                <c:pt idx="468">
                  <c:v>9312</c:v>
                </c:pt>
                <c:pt idx="469">
                  <c:v>9313</c:v>
                </c:pt>
                <c:pt idx="470">
                  <c:v>9314</c:v>
                </c:pt>
                <c:pt idx="471">
                  <c:v>9315</c:v>
                </c:pt>
                <c:pt idx="472">
                  <c:v>9316</c:v>
                </c:pt>
                <c:pt idx="473">
                  <c:v>9317</c:v>
                </c:pt>
                <c:pt idx="474">
                  <c:v>9318</c:v>
                </c:pt>
                <c:pt idx="475">
                  <c:v>9319</c:v>
                </c:pt>
                <c:pt idx="476">
                  <c:v>9320</c:v>
                </c:pt>
                <c:pt idx="477">
                  <c:v>9321</c:v>
                </c:pt>
                <c:pt idx="478">
                  <c:v>9322</c:v>
                </c:pt>
                <c:pt idx="479">
                  <c:v>9323</c:v>
                </c:pt>
                <c:pt idx="480">
                  <c:v>9774</c:v>
                </c:pt>
                <c:pt idx="481">
                  <c:v>9775</c:v>
                </c:pt>
                <c:pt idx="482">
                  <c:v>9776</c:v>
                </c:pt>
                <c:pt idx="483">
                  <c:v>9777</c:v>
                </c:pt>
                <c:pt idx="484">
                  <c:v>9778</c:v>
                </c:pt>
                <c:pt idx="485">
                  <c:v>9779</c:v>
                </c:pt>
                <c:pt idx="486">
                  <c:v>9780</c:v>
                </c:pt>
                <c:pt idx="487">
                  <c:v>9781</c:v>
                </c:pt>
                <c:pt idx="488">
                  <c:v>9782</c:v>
                </c:pt>
                <c:pt idx="489">
                  <c:v>9783</c:v>
                </c:pt>
                <c:pt idx="490">
                  <c:v>9784</c:v>
                </c:pt>
                <c:pt idx="491">
                  <c:v>9785</c:v>
                </c:pt>
                <c:pt idx="492">
                  <c:v>9786</c:v>
                </c:pt>
                <c:pt idx="493">
                  <c:v>9787</c:v>
                </c:pt>
                <c:pt idx="494">
                  <c:v>9788</c:v>
                </c:pt>
                <c:pt idx="495">
                  <c:v>9789</c:v>
                </c:pt>
                <c:pt idx="496">
                  <c:v>9790</c:v>
                </c:pt>
                <c:pt idx="497">
                  <c:v>9791</c:v>
                </c:pt>
                <c:pt idx="498">
                  <c:v>9792</c:v>
                </c:pt>
                <c:pt idx="499">
                  <c:v>9793</c:v>
                </c:pt>
                <c:pt idx="500">
                  <c:v>10014</c:v>
                </c:pt>
                <c:pt idx="501">
                  <c:v>10015</c:v>
                </c:pt>
                <c:pt idx="502">
                  <c:v>10016</c:v>
                </c:pt>
                <c:pt idx="503">
                  <c:v>10017</c:v>
                </c:pt>
                <c:pt idx="504">
                  <c:v>10018</c:v>
                </c:pt>
                <c:pt idx="505">
                  <c:v>10019</c:v>
                </c:pt>
                <c:pt idx="506">
                  <c:v>10020</c:v>
                </c:pt>
                <c:pt idx="507">
                  <c:v>10021</c:v>
                </c:pt>
                <c:pt idx="508">
                  <c:v>10022</c:v>
                </c:pt>
                <c:pt idx="509">
                  <c:v>10023</c:v>
                </c:pt>
                <c:pt idx="510">
                  <c:v>10024</c:v>
                </c:pt>
                <c:pt idx="511">
                  <c:v>10025</c:v>
                </c:pt>
                <c:pt idx="512">
                  <c:v>10026</c:v>
                </c:pt>
                <c:pt idx="513">
                  <c:v>10027</c:v>
                </c:pt>
                <c:pt idx="514">
                  <c:v>10028</c:v>
                </c:pt>
                <c:pt idx="515">
                  <c:v>10029</c:v>
                </c:pt>
                <c:pt idx="516">
                  <c:v>10030</c:v>
                </c:pt>
                <c:pt idx="517">
                  <c:v>10031</c:v>
                </c:pt>
                <c:pt idx="518">
                  <c:v>10032</c:v>
                </c:pt>
                <c:pt idx="519">
                  <c:v>10033</c:v>
                </c:pt>
                <c:pt idx="520">
                  <c:v>11975</c:v>
                </c:pt>
                <c:pt idx="521">
                  <c:v>11976</c:v>
                </c:pt>
                <c:pt idx="522">
                  <c:v>11977</c:v>
                </c:pt>
                <c:pt idx="523">
                  <c:v>11978</c:v>
                </c:pt>
                <c:pt idx="524">
                  <c:v>11979</c:v>
                </c:pt>
                <c:pt idx="525">
                  <c:v>11980</c:v>
                </c:pt>
                <c:pt idx="526">
                  <c:v>11981</c:v>
                </c:pt>
                <c:pt idx="527">
                  <c:v>11982</c:v>
                </c:pt>
                <c:pt idx="528">
                  <c:v>11983</c:v>
                </c:pt>
                <c:pt idx="529">
                  <c:v>11984</c:v>
                </c:pt>
                <c:pt idx="530">
                  <c:v>11985</c:v>
                </c:pt>
                <c:pt idx="531">
                  <c:v>11986</c:v>
                </c:pt>
                <c:pt idx="532">
                  <c:v>11987</c:v>
                </c:pt>
                <c:pt idx="533">
                  <c:v>11988</c:v>
                </c:pt>
                <c:pt idx="534">
                  <c:v>11989</c:v>
                </c:pt>
                <c:pt idx="535">
                  <c:v>11990</c:v>
                </c:pt>
                <c:pt idx="536">
                  <c:v>11991</c:v>
                </c:pt>
                <c:pt idx="537">
                  <c:v>11992</c:v>
                </c:pt>
                <c:pt idx="538">
                  <c:v>11993</c:v>
                </c:pt>
                <c:pt idx="539">
                  <c:v>11994</c:v>
                </c:pt>
                <c:pt idx="540">
                  <c:v>12381</c:v>
                </c:pt>
                <c:pt idx="541">
                  <c:v>12382</c:v>
                </c:pt>
                <c:pt idx="542">
                  <c:v>12383</c:v>
                </c:pt>
                <c:pt idx="543">
                  <c:v>12384</c:v>
                </c:pt>
                <c:pt idx="544">
                  <c:v>12385</c:v>
                </c:pt>
                <c:pt idx="545">
                  <c:v>12386</c:v>
                </c:pt>
                <c:pt idx="546">
                  <c:v>12387</c:v>
                </c:pt>
                <c:pt idx="547">
                  <c:v>12388</c:v>
                </c:pt>
                <c:pt idx="548">
                  <c:v>12389</c:v>
                </c:pt>
                <c:pt idx="549">
                  <c:v>12390</c:v>
                </c:pt>
                <c:pt idx="550">
                  <c:v>12391</c:v>
                </c:pt>
                <c:pt idx="551">
                  <c:v>12392</c:v>
                </c:pt>
                <c:pt idx="552">
                  <c:v>12393</c:v>
                </c:pt>
                <c:pt idx="553">
                  <c:v>12394</c:v>
                </c:pt>
                <c:pt idx="554">
                  <c:v>12395</c:v>
                </c:pt>
                <c:pt idx="555">
                  <c:v>12396</c:v>
                </c:pt>
                <c:pt idx="556">
                  <c:v>12397</c:v>
                </c:pt>
                <c:pt idx="557">
                  <c:v>12398</c:v>
                </c:pt>
                <c:pt idx="558">
                  <c:v>12399</c:v>
                </c:pt>
                <c:pt idx="559">
                  <c:v>12400</c:v>
                </c:pt>
                <c:pt idx="560">
                  <c:v>12432</c:v>
                </c:pt>
                <c:pt idx="561">
                  <c:v>12433</c:v>
                </c:pt>
                <c:pt idx="562">
                  <c:v>12434</c:v>
                </c:pt>
                <c:pt idx="563">
                  <c:v>12435</c:v>
                </c:pt>
                <c:pt idx="564">
                  <c:v>12436</c:v>
                </c:pt>
                <c:pt idx="565">
                  <c:v>12437</c:v>
                </c:pt>
                <c:pt idx="566">
                  <c:v>12438</c:v>
                </c:pt>
                <c:pt idx="567">
                  <c:v>12439</c:v>
                </c:pt>
                <c:pt idx="568">
                  <c:v>12440</c:v>
                </c:pt>
                <c:pt idx="569">
                  <c:v>12441</c:v>
                </c:pt>
                <c:pt idx="570">
                  <c:v>12442</c:v>
                </c:pt>
                <c:pt idx="571">
                  <c:v>12443</c:v>
                </c:pt>
                <c:pt idx="572">
                  <c:v>12444</c:v>
                </c:pt>
                <c:pt idx="573">
                  <c:v>12445</c:v>
                </c:pt>
                <c:pt idx="574">
                  <c:v>12446</c:v>
                </c:pt>
                <c:pt idx="575">
                  <c:v>12447</c:v>
                </c:pt>
                <c:pt idx="576">
                  <c:v>12448</c:v>
                </c:pt>
                <c:pt idx="577">
                  <c:v>12449</c:v>
                </c:pt>
                <c:pt idx="578">
                  <c:v>12450</c:v>
                </c:pt>
                <c:pt idx="579">
                  <c:v>12451</c:v>
                </c:pt>
                <c:pt idx="580">
                  <c:v>12951</c:v>
                </c:pt>
                <c:pt idx="581">
                  <c:v>12952</c:v>
                </c:pt>
                <c:pt idx="582">
                  <c:v>12953</c:v>
                </c:pt>
                <c:pt idx="583">
                  <c:v>12954</c:v>
                </c:pt>
                <c:pt idx="584">
                  <c:v>12955</c:v>
                </c:pt>
                <c:pt idx="585">
                  <c:v>12956</c:v>
                </c:pt>
                <c:pt idx="586">
                  <c:v>12957</c:v>
                </c:pt>
                <c:pt idx="587">
                  <c:v>12958</c:v>
                </c:pt>
                <c:pt idx="588">
                  <c:v>12959</c:v>
                </c:pt>
                <c:pt idx="589">
                  <c:v>12960</c:v>
                </c:pt>
                <c:pt idx="590">
                  <c:v>12961</c:v>
                </c:pt>
                <c:pt idx="591">
                  <c:v>12962</c:v>
                </c:pt>
                <c:pt idx="592">
                  <c:v>12963</c:v>
                </c:pt>
                <c:pt idx="593">
                  <c:v>12964</c:v>
                </c:pt>
                <c:pt idx="594">
                  <c:v>12965</c:v>
                </c:pt>
                <c:pt idx="595">
                  <c:v>12966</c:v>
                </c:pt>
                <c:pt idx="596">
                  <c:v>12967</c:v>
                </c:pt>
                <c:pt idx="597">
                  <c:v>12968</c:v>
                </c:pt>
                <c:pt idx="598">
                  <c:v>12969</c:v>
                </c:pt>
                <c:pt idx="599">
                  <c:v>12970</c:v>
                </c:pt>
                <c:pt idx="600">
                  <c:v>13232</c:v>
                </c:pt>
                <c:pt idx="601">
                  <c:v>13233</c:v>
                </c:pt>
                <c:pt idx="602">
                  <c:v>13234</c:v>
                </c:pt>
                <c:pt idx="603">
                  <c:v>13235</c:v>
                </c:pt>
                <c:pt idx="604">
                  <c:v>13236</c:v>
                </c:pt>
                <c:pt idx="605">
                  <c:v>13237</c:v>
                </c:pt>
                <c:pt idx="606">
                  <c:v>13238</c:v>
                </c:pt>
                <c:pt idx="607">
                  <c:v>13239</c:v>
                </c:pt>
                <c:pt idx="608">
                  <c:v>13240</c:v>
                </c:pt>
                <c:pt idx="609">
                  <c:v>13241</c:v>
                </c:pt>
                <c:pt idx="610">
                  <c:v>13242</c:v>
                </c:pt>
                <c:pt idx="611">
                  <c:v>13243</c:v>
                </c:pt>
                <c:pt idx="612">
                  <c:v>13244</c:v>
                </c:pt>
                <c:pt idx="613">
                  <c:v>13245</c:v>
                </c:pt>
                <c:pt idx="614">
                  <c:v>13246</c:v>
                </c:pt>
                <c:pt idx="615">
                  <c:v>13247</c:v>
                </c:pt>
                <c:pt idx="616">
                  <c:v>13248</c:v>
                </c:pt>
                <c:pt idx="617">
                  <c:v>13249</c:v>
                </c:pt>
                <c:pt idx="618">
                  <c:v>13250</c:v>
                </c:pt>
                <c:pt idx="619">
                  <c:v>13251</c:v>
                </c:pt>
                <c:pt idx="620">
                  <c:v>13760</c:v>
                </c:pt>
                <c:pt idx="621">
                  <c:v>13761</c:v>
                </c:pt>
                <c:pt idx="622">
                  <c:v>13762</c:v>
                </c:pt>
                <c:pt idx="623">
                  <c:v>13763</c:v>
                </c:pt>
                <c:pt idx="624">
                  <c:v>13764</c:v>
                </c:pt>
                <c:pt idx="625">
                  <c:v>13765</c:v>
                </c:pt>
                <c:pt idx="626">
                  <c:v>13766</c:v>
                </c:pt>
                <c:pt idx="627">
                  <c:v>13767</c:v>
                </c:pt>
                <c:pt idx="628">
                  <c:v>13768</c:v>
                </c:pt>
                <c:pt idx="629">
                  <c:v>13769</c:v>
                </c:pt>
                <c:pt idx="630">
                  <c:v>13770</c:v>
                </c:pt>
                <c:pt idx="631">
                  <c:v>13771</c:v>
                </c:pt>
                <c:pt idx="632">
                  <c:v>13772</c:v>
                </c:pt>
                <c:pt idx="633">
                  <c:v>13773</c:v>
                </c:pt>
                <c:pt idx="634">
                  <c:v>13774</c:v>
                </c:pt>
                <c:pt idx="635">
                  <c:v>13775</c:v>
                </c:pt>
                <c:pt idx="636">
                  <c:v>13776</c:v>
                </c:pt>
                <c:pt idx="637">
                  <c:v>13777</c:v>
                </c:pt>
                <c:pt idx="638">
                  <c:v>13778</c:v>
                </c:pt>
                <c:pt idx="639">
                  <c:v>13779</c:v>
                </c:pt>
                <c:pt idx="640">
                  <c:v>14021</c:v>
                </c:pt>
                <c:pt idx="641">
                  <c:v>14022</c:v>
                </c:pt>
                <c:pt idx="642">
                  <c:v>14023</c:v>
                </c:pt>
                <c:pt idx="643">
                  <c:v>14024</c:v>
                </c:pt>
                <c:pt idx="644">
                  <c:v>14025</c:v>
                </c:pt>
                <c:pt idx="645">
                  <c:v>14026</c:v>
                </c:pt>
                <c:pt idx="646">
                  <c:v>14027</c:v>
                </c:pt>
                <c:pt idx="647">
                  <c:v>14028</c:v>
                </c:pt>
                <c:pt idx="648">
                  <c:v>14029</c:v>
                </c:pt>
                <c:pt idx="649">
                  <c:v>14030</c:v>
                </c:pt>
                <c:pt idx="650">
                  <c:v>14031</c:v>
                </c:pt>
                <c:pt idx="651">
                  <c:v>14032</c:v>
                </c:pt>
                <c:pt idx="652">
                  <c:v>14033</c:v>
                </c:pt>
                <c:pt idx="653">
                  <c:v>14034</c:v>
                </c:pt>
                <c:pt idx="654">
                  <c:v>14035</c:v>
                </c:pt>
                <c:pt idx="655">
                  <c:v>14036</c:v>
                </c:pt>
                <c:pt idx="656">
                  <c:v>14037</c:v>
                </c:pt>
                <c:pt idx="657">
                  <c:v>14038</c:v>
                </c:pt>
                <c:pt idx="658">
                  <c:v>14039</c:v>
                </c:pt>
                <c:pt idx="659">
                  <c:v>14040</c:v>
                </c:pt>
                <c:pt idx="660">
                  <c:v>14547</c:v>
                </c:pt>
                <c:pt idx="661">
                  <c:v>14548</c:v>
                </c:pt>
                <c:pt idx="662">
                  <c:v>14549</c:v>
                </c:pt>
                <c:pt idx="663">
                  <c:v>14550</c:v>
                </c:pt>
                <c:pt idx="664">
                  <c:v>14551</c:v>
                </c:pt>
                <c:pt idx="665">
                  <c:v>14552</c:v>
                </c:pt>
                <c:pt idx="666">
                  <c:v>14553</c:v>
                </c:pt>
                <c:pt idx="667">
                  <c:v>14554</c:v>
                </c:pt>
                <c:pt idx="668">
                  <c:v>14555</c:v>
                </c:pt>
                <c:pt idx="669">
                  <c:v>14556</c:v>
                </c:pt>
                <c:pt idx="670">
                  <c:v>14557</c:v>
                </c:pt>
                <c:pt idx="671">
                  <c:v>14558</c:v>
                </c:pt>
                <c:pt idx="672">
                  <c:v>14559</c:v>
                </c:pt>
                <c:pt idx="673">
                  <c:v>14560</c:v>
                </c:pt>
                <c:pt idx="674">
                  <c:v>14561</c:v>
                </c:pt>
                <c:pt idx="675">
                  <c:v>14562</c:v>
                </c:pt>
                <c:pt idx="676">
                  <c:v>14563</c:v>
                </c:pt>
                <c:pt idx="677">
                  <c:v>14564</c:v>
                </c:pt>
                <c:pt idx="678">
                  <c:v>14565</c:v>
                </c:pt>
                <c:pt idx="679">
                  <c:v>14566</c:v>
                </c:pt>
                <c:pt idx="680">
                  <c:v>14901</c:v>
                </c:pt>
                <c:pt idx="681">
                  <c:v>14902</c:v>
                </c:pt>
                <c:pt idx="682">
                  <c:v>14903</c:v>
                </c:pt>
                <c:pt idx="683">
                  <c:v>14904</c:v>
                </c:pt>
                <c:pt idx="684">
                  <c:v>14905</c:v>
                </c:pt>
                <c:pt idx="685">
                  <c:v>14906</c:v>
                </c:pt>
                <c:pt idx="686">
                  <c:v>14907</c:v>
                </c:pt>
                <c:pt idx="687">
                  <c:v>14908</c:v>
                </c:pt>
                <c:pt idx="688">
                  <c:v>14909</c:v>
                </c:pt>
                <c:pt idx="689">
                  <c:v>14910</c:v>
                </c:pt>
                <c:pt idx="690">
                  <c:v>14911</c:v>
                </c:pt>
                <c:pt idx="691">
                  <c:v>14912</c:v>
                </c:pt>
                <c:pt idx="692">
                  <c:v>14913</c:v>
                </c:pt>
                <c:pt idx="693">
                  <c:v>14914</c:v>
                </c:pt>
                <c:pt idx="694">
                  <c:v>14915</c:v>
                </c:pt>
                <c:pt idx="695">
                  <c:v>14916</c:v>
                </c:pt>
                <c:pt idx="696">
                  <c:v>14917</c:v>
                </c:pt>
                <c:pt idx="697">
                  <c:v>14918</c:v>
                </c:pt>
                <c:pt idx="698">
                  <c:v>14919</c:v>
                </c:pt>
                <c:pt idx="699">
                  <c:v>14920</c:v>
                </c:pt>
                <c:pt idx="700">
                  <c:v>15256</c:v>
                </c:pt>
                <c:pt idx="701">
                  <c:v>15257</c:v>
                </c:pt>
                <c:pt idx="702">
                  <c:v>15258</c:v>
                </c:pt>
                <c:pt idx="703">
                  <c:v>15259</c:v>
                </c:pt>
                <c:pt idx="704">
                  <c:v>15260</c:v>
                </c:pt>
                <c:pt idx="705">
                  <c:v>15261</c:v>
                </c:pt>
                <c:pt idx="706">
                  <c:v>15262</c:v>
                </c:pt>
                <c:pt idx="707">
                  <c:v>15263</c:v>
                </c:pt>
                <c:pt idx="708">
                  <c:v>15264</c:v>
                </c:pt>
                <c:pt idx="709">
                  <c:v>15265</c:v>
                </c:pt>
                <c:pt idx="710">
                  <c:v>15266</c:v>
                </c:pt>
                <c:pt idx="711">
                  <c:v>15267</c:v>
                </c:pt>
                <c:pt idx="712">
                  <c:v>15268</c:v>
                </c:pt>
                <c:pt idx="713">
                  <c:v>15269</c:v>
                </c:pt>
                <c:pt idx="714">
                  <c:v>15270</c:v>
                </c:pt>
                <c:pt idx="715">
                  <c:v>15271</c:v>
                </c:pt>
                <c:pt idx="716">
                  <c:v>15272</c:v>
                </c:pt>
                <c:pt idx="717">
                  <c:v>15273</c:v>
                </c:pt>
                <c:pt idx="718">
                  <c:v>15274</c:v>
                </c:pt>
                <c:pt idx="719">
                  <c:v>15275</c:v>
                </c:pt>
                <c:pt idx="720">
                  <c:v>15636</c:v>
                </c:pt>
                <c:pt idx="721">
                  <c:v>15637</c:v>
                </c:pt>
                <c:pt idx="722">
                  <c:v>15638</c:v>
                </c:pt>
                <c:pt idx="723">
                  <c:v>15639</c:v>
                </c:pt>
                <c:pt idx="724">
                  <c:v>15640</c:v>
                </c:pt>
                <c:pt idx="725">
                  <c:v>15641</c:v>
                </c:pt>
                <c:pt idx="726">
                  <c:v>15642</c:v>
                </c:pt>
                <c:pt idx="727">
                  <c:v>15643</c:v>
                </c:pt>
                <c:pt idx="728">
                  <c:v>15644</c:v>
                </c:pt>
                <c:pt idx="729">
                  <c:v>15645</c:v>
                </c:pt>
                <c:pt idx="730">
                  <c:v>15646</c:v>
                </c:pt>
                <c:pt idx="731">
                  <c:v>15647</c:v>
                </c:pt>
                <c:pt idx="732">
                  <c:v>15648</c:v>
                </c:pt>
                <c:pt idx="733">
                  <c:v>15649</c:v>
                </c:pt>
                <c:pt idx="734">
                  <c:v>15650</c:v>
                </c:pt>
                <c:pt idx="735">
                  <c:v>15651</c:v>
                </c:pt>
                <c:pt idx="736">
                  <c:v>15652</c:v>
                </c:pt>
                <c:pt idx="737">
                  <c:v>15653</c:v>
                </c:pt>
                <c:pt idx="738">
                  <c:v>15654</c:v>
                </c:pt>
                <c:pt idx="739">
                  <c:v>15655</c:v>
                </c:pt>
                <c:pt idx="740">
                  <c:v>16226</c:v>
                </c:pt>
                <c:pt idx="741">
                  <c:v>16227</c:v>
                </c:pt>
                <c:pt idx="742">
                  <c:v>16228</c:v>
                </c:pt>
                <c:pt idx="743">
                  <c:v>16229</c:v>
                </c:pt>
                <c:pt idx="744">
                  <c:v>16230</c:v>
                </c:pt>
                <c:pt idx="745">
                  <c:v>16231</c:v>
                </c:pt>
                <c:pt idx="746">
                  <c:v>16232</c:v>
                </c:pt>
                <c:pt idx="747">
                  <c:v>16233</c:v>
                </c:pt>
                <c:pt idx="748">
                  <c:v>16234</c:v>
                </c:pt>
                <c:pt idx="749">
                  <c:v>16235</c:v>
                </c:pt>
                <c:pt idx="750">
                  <c:v>16236</c:v>
                </c:pt>
                <c:pt idx="751">
                  <c:v>16237</c:v>
                </c:pt>
                <c:pt idx="752">
                  <c:v>16238</c:v>
                </c:pt>
                <c:pt idx="753">
                  <c:v>16239</c:v>
                </c:pt>
                <c:pt idx="754">
                  <c:v>16240</c:v>
                </c:pt>
                <c:pt idx="755">
                  <c:v>16241</c:v>
                </c:pt>
                <c:pt idx="756">
                  <c:v>16242</c:v>
                </c:pt>
                <c:pt idx="757">
                  <c:v>16243</c:v>
                </c:pt>
                <c:pt idx="758">
                  <c:v>16244</c:v>
                </c:pt>
                <c:pt idx="759">
                  <c:v>16245</c:v>
                </c:pt>
                <c:pt idx="760">
                  <c:v>19126</c:v>
                </c:pt>
                <c:pt idx="761">
                  <c:v>19127</c:v>
                </c:pt>
                <c:pt idx="762">
                  <c:v>19128</c:v>
                </c:pt>
                <c:pt idx="763">
                  <c:v>19129</c:v>
                </c:pt>
                <c:pt idx="764">
                  <c:v>19130</c:v>
                </c:pt>
                <c:pt idx="765">
                  <c:v>19131</c:v>
                </c:pt>
                <c:pt idx="766">
                  <c:v>19132</c:v>
                </c:pt>
                <c:pt idx="767">
                  <c:v>19133</c:v>
                </c:pt>
                <c:pt idx="768">
                  <c:v>19134</c:v>
                </c:pt>
                <c:pt idx="769">
                  <c:v>19135</c:v>
                </c:pt>
                <c:pt idx="770">
                  <c:v>19136</c:v>
                </c:pt>
                <c:pt idx="771">
                  <c:v>19137</c:v>
                </c:pt>
                <c:pt idx="772">
                  <c:v>19138</c:v>
                </c:pt>
                <c:pt idx="773">
                  <c:v>19139</c:v>
                </c:pt>
                <c:pt idx="774">
                  <c:v>19140</c:v>
                </c:pt>
                <c:pt idx="775">
                  <c:v>19141</c:v>
                </c:pt>
                <c:pt idx="776">
                  <c:v>19142</c:v>
                </c:pt>
                <c:pt idx="777">
                  <c:v>19143</c:v>
                </c:pt>
                <c:pt idx="778">
                  <c:v>19144</c:v>
                </c:pt>
                <c:pt idx="779">
                  <c:v>19145</c:v>
                </c:pt>
                <c:pt idx="780">
                  <c:v>19466</c:v>
                </c:pt>
                <c:pt idx="781">
                  <c:v>19467</c:v>
                </c:pt>
                <c:pt idx="782">
                  <c:v>19468</c:v>
                </c:pt>
                <c:pt idx="783">
                  <c:v>19469</c:v>
                </c:pt>
                <c:pt idx="784">
                  <c:v>19470</c:v>
                </c:pt>
                <c:pt idx="785">
                  <c:v>19471</c:v>
                </c:pt>
                <c:pt idx="786">
                  <c:v>19472</c:v>
                </c:pt>
                <c:pt idx="787">
                  <c:v>19473</c:v>
                </c:pt>
                <c:pt idx="788">
                  <c:v>19474</c:v>
                </c:pt>
                <c:pt idx="789">
                  <c:v>19475</c:v>
                </c:pt>
                <c:pt idx="790">
                  <c:v>19476</c:v>
                </c:pt>
                <c:pt idx="791">
                  <c:v>19477</c:v>
                </c:pt>
                <c:pt idx="792">
                  <c:v>19478</c:v>
                </c:pt>
                <c:pt idx="793">
                  <c:v>19479</c:v>
                </c:pt>
                <c:pt idx="794">
                  <c:v>19480</c:v>
                </c:pt>
                <c:pt idx="795">
                  <c:v>19481</c:v>
                </c:pt>
                <c:pt idx="796">
                  <c:v>19482</c:v>
                </c:pt>
                <c:pt idx="797">
                  <c:v>19483</c:v>
                </c:pt>
                <c:pt idx="798">
                  <c:v>19484</c:v>
                </c:pt>
                <c:pt idx="799">
                  <c:v>19485</c:v>
                </c:pt>
                <c:pt idx="800">
                  <c:v>19761</c:v>
                </c:pt>
                <c:pt idx="801">
                  <c:v>19762</c:v>
                </c:pt>
                <c:pt idx="802">
                  <c:v>19763</c:v>
                </c:pt>
                <c:pt idx="803">
                  <c:v>19764</c:v>
                </c:pt>
                <c:pt idx="804">
                  <c:v>19765</c:v>
                </c:pt>
                <c:pt idx="805">
                  <c:v>19766</c:v>
                </c:pt>
                <c:pt idx="806">
                  <c:v>19767</c:v>
                </c:pt>
                <c:pt idx="807">
                  <c:v>19768</c:v>
                </c:pt>
                <c:pt idx="808">
                  <c:v>19769</c:v>
                </c:pt>
                <c:pt idx="809">
                  <c:v>19770</c:v>
                </c:pt>
                <c:pt idx="810">
                  <c:v>19771</c:v>
                </c:pt>
                <c:pt idx="811">
                  <c:v>19772</c:v>
                </c:pt>
                <c:pt idx="812">
                  <c:v>19773</c:v>
                </c:pt>
                <c:pt idx="813">
                  <c:v>19774</c:v>
                </c:pt>
                <c:pt idx="814">
                  <c:v>19775</c:v>
                </c:pt>
                <c:pt idx="815">
                  <c:v>19776</c:v>
                </c:pt>
                <c:pt idx="816">
                  <c:v>19777</c:v>
                </c:pt>
                <c:pt idx="817">
                  <c:v>19778</c:v>
                </c:pt>
                <c:pt idx="818">
                  <c:v>19779</c:v>
                </c:pt>
                <c:pt idx="819">
                  <c:v>19780</c:v>
                </c:pt>
                <c:pt idx="820">
                  <c:v>20150</c:v>
                </c:pt>
                <c:pt idx="821">
                  <c:v>20151</c:v>
                </c:pt>
                <c:pt idx="822">
                  <c:v>20152</c:v>
                </c:pt>
                <c:pt idx="823">
                  <c:v>20153</c:v>
                </c:pt>
                <c:pt idx="824">
                  <c:v>20154</c:v>
                </c:pt>
                <c:pt idx="825">
                  <c:v>20155</c:v>
                </c:pt>
                <c:pt idx="826">
                  <c:v>20156</c:v>
                </c:pt>
                <c:pt idx="827">
                  <c:v>20157</c:v>
                </c:pt>
                <c:pt idx="828">
                  <c:v>20158</c:v>
                </c:pt>
                <c:pt idx="829">
                  <c:v>20159</c:v>
                </c:pt>
                <c:pt idx="830">
                  <c:v>20160</c:v>
                </c:pt>
                <c:pt idx="831">
                  <c:v>20161</c:v>
                </c:pt>
                <c:pt idx="832">
                  <c:v>20162</c:v>
                </c:pt>
                <c:pt idx="833">
                  <c:v>20163</c:v>
                </c:pt>
                <c:pt idx="834">
                  <c:v>20164</c:v>
                </c:pt>
                <c:pt idx="835">
                  <c:v>20165</c:v>
                </c:pt>
                <c:pt idx="836">
                  <c:v>20166</c:v>
                </c:pt>
                <c:pt idx="837">
                  <c:v>20167</c:v>
                </c:pt>
                <c:pt idx="838">
                  <c:v>20168</c:v>
                </c:pt>
                <c:pt idx="839">
                  <c:v>20169</c:v>
                </c:pt>
                <c:pt idx="840">
                  <c:v>20434</c:v>
                </c:pt>
                <c:pt idx="841">
                  <c:v>20435</c:v>
                </c:pt>
                <c:pt idx="842">
                  <c:v>20436</c:v>
                </c:pt>
                <c:pt idx="843">
                  <c:v>20437</c:v>
                </c:pt>
                <c:pt idx="844">
                  <c:v>20438</c:v>
                </c:pt>
                <c:pt idx="845">
                  <c:v>20439</c:v>
                </c:pt>
                <c:pt idx="846">
                  <c:v>20440</c:v>
                </c:pt>
                <c:pt idx="847">
                  <c:v>20441</c:v>
                </c:pt>
                <c:pt idx="848">
                  <c:v>20442</c:v>
                </c:pt>
                <c:pt idx="849">
                  <c:v>20443</c:v>
                </c:pt>
                <c:pt idx="850">
                  <c:v>20444</c:v>
                </c:pt>
                <c:pt idx="851">
                  <c:v>20445</c:v>
                </c:pt>
                <c:pt idx="852">
                  <c:v>20446</c:v>
                </c:pt>
                <c:pt idx="853">
                  <c:v>20447</c:v>
                </c:pt>
                <c:pt idx="854">
                  <c:v>20448</c:v>
                </c:pt>
                <c:pt idx="855">
                  <c:v>20449</c:v>
                </c:pt>
                <c:pt idx="856">
                  <c:v>20450</c:v>
                </c:pt>
                <c:pt idx="857">
                  <c:v>20451</c:v>
                </c:pt>
                <c:pt idx="858">
                  <c:v>20452</c:v>
                </c:pt>
                <c:pt idx="859">
                  <c:v>20453</c:v>
                </c:pt>
                <c:pt idx="860">
                  <c:v>20845</c:v>
                </c:pt>
                <c:pt idx="861">
                  <c:v>20846</c:v>
                </c:pt>
                <c:pt idx="862">
                  <c:v>20847</c:v>
                </c:pt>
                <c:pt idx="863">
                  <c:v>20848</c:v>
                </c:pt>
                <c:pt idx="864">
                  <c:v>20849</c:v>
                </c:pt>
                <c:pt idx="865">
                  <c:v>20850</c:v>
                </c:pt>
                <c:pt idx="866">
                  <c:v>20851</c:v>
                </c:pt>
                <c:pt idx="867">
                  <c:v>20852</c:v>
                </c:pt>
                <c:pt idx="868">
                  <c:v>20853</c:v>
                </c:pt>
                <c:pt idx="869">
                  <c:v>20854</c:v>
                </c:pt>
                <c:pt idx="870">
                  <c:v>20855</c:v>
                </c:pt>
                <c:pt idx="871">
                  <c:v>20856</c:v>
                </c:pt>
                <c:pt idx="872">
                  <c:v>20857</c:v>
                </c:pt>
                <c:pt idx="873">
                  <c:v>20858</c:v>
                </c:pt>
                <c:pt idx="874">
                  <c:v>20859</c:v>
                </c:pt>
                <c:pt idx="875">
                  <c:v>20860</c:v>
                </c:pt>
                <c:pt idx="876">
                  <c:v>20861</c:v>
                </c:pt>
                <c:pt idx="877">
                  <c:v>20862</c:v>
                </c:pt>
                <c:pt idx="878">
                  <c:v>20863</c:v>
                </c:pt>
                <c:pt idx="879">
                  <c:v>20864</c:v>
                </c:pt>
                <c:pt idx="880">
                  <c:v>21485</c:v>
                </c:pt>
                <c:pt idx="881">
                  <c:v>21486</c:v>
                </c:pt>
                <c:pt idx="882">
                  <c:v>21487</c:v>
                </c:pt>
                <c:pt idx="883">
                  <c:v>21488</c:v>
                </c:pt>
                <c:pt idx="884">
                  <c:v>21489</c:v>
                </c:pt>
                <c:pt idx="885">
                  <c:v>21490</c:v>
                </c:pt>
                <c:pt idx="886">
                  <c:v>21491</c:v>
                </c:pt>
                <c:pt idx="887">
                  <c:v>21492</c:v>
                </c:pt>
                <c:pt idx="888">
                  <c:v>21493</c:v>
                </c:pt>
                <c:pt idx="889">
                  <c:v>21494</c:v>
                </c:pt>
                <c:pt idx="890">
                  <c:v>21495</c:v>
                </c:pt>
                <c:pt idx="891">
                  <c:v>21496</c:v>
                </c:pt>
                <c:pt idx="892">
                  <c:v>21497</c:v>
                </c:pt>
                <c:pt idx="893">
                  <c:v>21498</c:v>
                </c:pt>
                <c:pt idx="894">
                  <c:v>21499</c:v>
                </c:pt>
                <c:pt idx="895">
                  <c:v>21500</c:v>
                </c:pt>
                <c:pt idx="896">
                  <c:v>21501</c:v>
                </c:pt>
                <c:pt idx="897">
                  <c:v>21502</c:v>
                </c:pt>
                <c:pt idx="898">
                  <c:v>21503</c:v>
                </c:pt>
                <c:pt idx="899">
                  <c:v>21504</c:v>
                </c:pt>
                <c:pt idx="900">
                  <c:v>21839</c:v>
                </c:pt>
                <c:pt idx="901">
                  <c:v>21840</c:v>
                </c:pt>
                <c:pt idx="902">
                  <c:v>21841</c:v>
                </c:pt>
                <c:pt idx="903">
                  <c:v>21842</c:v>
                </c:pt>
                <c:pt idx="904">
                  <c:v>21843</c:v>
                </c:pt>
                <c:pt idx="905">
                  <c:v>21844</c:v>
                </c:pt>
                <c:pt idx="906">
                  <c:v>21845</c:v>
                </c:pt>
                <c:pt idx="907">
                  <c:v>21846</c:v>
                </c:pt>
                <c:pt idx="908">
                  <c:v>21847</c:v>
                </c:pt>
                <c:pt idx="909">
                  <c:v>21848</c:v>
                </c:pt>
                <c:pt idx="910">
                  <c:v>21849</c:v>
                </c:pt>
                <c:pt idx="911">
                  <c:v>21850</c:v>
                </c:pt>
                <c:pt idx="912">
                  <c:v>21851</c:v>
                </c:pt>
                <c:pt idx="913">
                  <c:v>21852</c:v>
                </c:pt>
                <c:pt idx="914">
                  <c:v>21853</c:v>
                </c:pt>
                <c:pt idx="915">
                  <c:v>21854</c:v>
                </c:pt>
                <c:pt idx="916">
                  <c:v>21855</c:v>
                </c:pt>
                <c:pt idx="917">
                  <c:v>21856</c:v>
                </c:pt>
                <c:pt idx="918">
                  <c:v>21857</c:v>
                </c:pt>
                <c:pt idx="919">
                  <c:v>21858</c:v>
                </c:pt>
                <c:pt idx="920">
                  <c:v>22846</c:v>
                </c:pt>
                <c:pt idx="921">
                  <c:v>22847</c:v>
                </c:pt>
                <c:pt idx="922">
                  <c:v>22848</c:v>
                </c:pt>
                <c:pt idx="923">
                  <c:v>22849</c:v>
                </c:pt>
                <c:pt idx="924">
                  <c:v>22850</c:v>
                </c:pt>
                <c:pt idx="925">
                  <c:v>22851</c:v>
                </c:pt>
                <c:pt idx="926">
                  <c:v>22852</c:v>
                </c:pt>
                <c:pt idx="927">
                  <c:v>22853</c:v>
                </c:pt>
                <c:pt idx="928">
                  <c:v>22854</c:v>
                </c:pt>
                <c:pt idx="929">
                  <c:v>22855</c:v>
                </c:pt>
                <c:pt idx="930">
                  <c:v>22856</c:v>
                </c:pt>
                <c:pt idx="931">
                  <c:v>22857</c:v>
                </c:pt>
                <c:pt idx="932">
                  <c:v>22858</c:v>
                </c:pt>
                <c:pt idx="933">
                  <c:v>22859</c:v>
                </c:pt>
                <c:pt idx="934">
                  <c:v>22860</c:v>
                </c:pt>
                <c:pt idx="935">
                  <c:v>22861</c:v>
                </c:pt>
                <c:pt idx="936">
                  <c:v>22862</c:v>
                </c:pt>
                <c:pt idx="937">
                  <c:v>22863</c:v>
                </c:pt>
                <c:pt idx="938">
                  <c:v>22864</c:v>
                </c:pt>
                <c:pt idx="939">
                  <c:v>22865</c:v>
                </c:pt>
                <c:pt idx="940">
                  <c:v>23670</c:v>
                </c:pt>
                <c:pt idx="941">
                  <c:v>23671</c:v>
                </c:pt>
                <c:pt idx="942">
                  <c:v>23672</c:v>
                </c:pt>
                <c:pt idx="943">
                  <c:v>23673</c:v>
                </c:pt>
                <c:pt idx="944">
                  <c:v>23674</c:v>
                </c:pt>
                <c:pt idx="945">
                  <c:v>23675</c:v>
                </c:pt>
                <c:pt idx="946">
                  <c:v>23676</c:v>
                </c:pt>
                <c:pt idx="947">
                  <c:v>23677</c:v>
                </c:pt>
                <c:pt idx="948">
                  <c:v>23678</c:v>
                </c:pt>
                <c:pt idx="949">
                  <c:v>23679</c:v>
                </c:pt>
                <c:pt idx="950">
                  <c:v>23680</c:v>
                </c:pt>
                <c:pt idx="951">
                  <c:v>23681</c:v>
                </c:pt>
                <c:pt idx="952">
                  <c:v>23682</c:v>
                </c:pt>
                <c:pt idx="953">
                  <c:v>23683</c:v>
                </c:pt>
                <c:pt idx="954">
                  <c:v>23684</c:v>
                </c:pt>
                <c:pt idx="955">
                  <c:v>23685</c:v>
                </c:pt>
                <c:pt idx="956">
                  <c:v>23686</c:v>
                </c:pt>
                <c:pt idx="957">
                  <c:v>23687</c:v>
                </c:pt>
                <c:pt idx="958">
                  <c:v>23688</c:v>
                </c:pt>
                <c:pt idx="959">
                  <c:v>23689</c:v>
                </c:pt>
                <c:pt idx="960">
                  <c:v>23690</c:v>
                </c:pt>
                <c:pt idx="961">
                  <c:v>23691</c:v>
                </c:pt>
                <c:pt idx="962">
                  <c:v>23692</c:v>
                </c:pt>
                <c:pt idx="963">
                  <c:v>23693</c:v>
                </c:pt>
                <c:pt idx="964">
                  <c:v>23694</c:v>
                </c:pt>
                <c:pt idx="965">
                  <c:v>23695</c:v>
                </c:pt>
                <c:pt idx="966">
                  <c:v>23696</c:v>
                </c:pt>
                <c:pt idx="967">
                  <c:v>23697</c:v>
                </c:pt>
                <c:pt idx="968">
                  <c:v>23698</c:v>
                </c:pt>
                <c:pt idx="969">
                  <c:v>23699</c:v>
                </c:pt>
                <c:pt idx="970">
                  <c:v>23700</c:v>
                </c:pt>
                <c:pt idx="971">
                  <c:v>23701</c:v>
                </c:pt>
                <c:pt idx="972">
                  <c:v>23702</c:v>
                </c:pt>
                <c:pt idx="973">
                  <c:v>23703</c:v>
                </c:pt>
                <c:pt idx="974">
                  <c:v>23704</c:v>
                </c:pt>
                <c:pt idx="975">
                  <c:v>23705</c:v>
                </c:pt>
                <c:pt idx="976">
                  <c:v>23706</c:v>
                </c:pt>
                <c:pt idx="977">
                  <c:v>23707</c:v>
                </c:pt>
                <c:pt idx="978">
                  <c:v>23708</c:v>
                </c:pt>
                <c:pt idx="979">
                  <c:v>23709</c:v>
                </c:pt>
              </c:numCache>
            </c:numRef>
          </c:xVal>
          <c:yVal>
            <c:numRef>
              <c:f>'Interpolated Physical'!$C$2:$C$981</c:f>
              <c:numCache>
                <c:formatCode>General</c:formatCode>
                <c:ptCount val="980"/>
                <c:pt idx="0" formatCode="0.0000000">
                  <c:v>0.86370000000000002</c:v>
                </c:pt>
                <c:pt idx="260" formatCode="0.000000">
                  <c:v>0.88039999999999996</c:v>
                </c:pt>
                <c:pt idx="520" formatCode="0.000000">
                  <c:v>0.88039999999999996</c:v>
                </c:pt>
                <c:pt idx="740" formatCode="0.000000">
                  <c:v>0.88</c:v>
                </c:pt>
                <c:pt idx="800" formatCode="0.000000">
                  <c:v>0.87719999999999998</c:v>
                </c:pt>
                <c:pt idx="920" formatCode="0.000000">
                  <c:v>0.87639999999999996</c:v>
                </c:pt>
                <c:pt idx="979" formatCode="0.000000">
                  <c:v>0.87639999999999996</c:v>
                </c:pt>
              </c:numCache>
            </c:numRef>
          </c:yVal>
          <c:smooth val="0"/>
          <c:extLst>
            <c:ext xmlns:c16="http://schemas.microsoft.com/office/drawing/2014/chart" uri="{C3380CC4-5D6E-409C-BE32-E72D297353CC}">
              <c16:uniqueId val="{00000001-1A91-43D1-B115-2F2671311B1F}"/>
            </c:ext>
          </c:extLst>
        </c:ser>
        <c:dLbls>
          <c:showLegendKey val="0"/>
          <c:showVal val="0"/>
          <c:showCatName val="0"/>
          <c:showSerName val="0"/>
          <c:showPercent val="0"/>
          <c:showBubbleSize val="0"/>
        </c:dLbls>
        <c:axId val="106302463"/>
        <c:axId val="106302047"/>
      </c:scatterChart>
      <c:valAx>
        <c:axId val="106302463"/>
        <c:scaling>
          <c:orientation val="minMax"/>
        </c:scaling>
        <c:delete val="0"/>
        <c:axPos val="b"/>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06302047"/>
        <c:crosses val="autoZero"/>
        <c:crossBetween val="midCat"/>
      </c:valAx>
      <c:valAx>
        <c:axId val="106302047"/>
        <c:scaling>
          <c:orientation val="minMax"/>
        </c:scaling>
        <c:delete val="0"/>
        <c:axPos val="l"/>
        <c:numFmt formatCode="0.00" sourceLinked="0"/>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06302463"/>
        <c:crosses val="autoZero"/>
        <c:crossBetween val="midCat"/>
      </c:valAx>
      <c:spPr>
        <a:noFill/>
        <a:ln w="3175">
          <a:solidFill>
            <a:schemeClr val="tx1"/>
          </a:solidFill>
        </a:ln>
        <a:effectLst/>
      </c:spPr>
    </c:plotArea>
    <c:legend>
      <c:legendPos val="r"/>
      <c:layout>
        <c:manualLayout>
          <c:xMode val="edge"/>
          <c:yMode val="edge"/>
          <c:x val="0.68091935818680849"/>
          <c:y val="0.7618821286306523"/>
          <c:w val="0.25009383131610563"/>
          <c:h val="0.11849530104840671"/>
        </c:manualLayout>
      </c:layout>
      <c:overlay val="1"/>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Garamond" panose="02020404030301010803" pitchFamily="18" charset="0"/>
        </a:defRPr>
      </a:pPr>
      <a:endParaRPr lang="sr-Latn-RS"/>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'Interpolated Physical'!$D$1</c:f>
              <c:strCache>
                <c:ptCount val="1"/>
                <c:pt idx="0">
                  <c:v>VISC40</c:v>
                </c:pt>
              </c:strCache>
            </c:strRef>
          </c:tx>
          <c:spPr>
            <a:ln w="25400" cap="rnd">
              <a:noFill/>
              <a:round/>
            </a:ln>
            <a:effectLst/>
          </c:spPr>
          <c:marker>
            <c:symbol val="square"/>
            <c:size val="10"/>
            <c:spPr>
              <a:noFill/>
              <a:ln w="3175">
                <a:solidFill>
                  <a:srgbClr val="0000FF"/>
                </a:solidFill>
              </a:ln>
              <a:effectLst/>
            </c:spPr>
          </c:marker>
          <c:trendline>
            <c:spPr>
              <a:ln w="3175" cap="rnd">
                <a:solidFill>
                  <a:srgbClr val="FF0000"/>
                </a:solidFill>
                <a:prstDash val="lgDash"/>
              </a:ln>
              <a:effectLst/>
            </c:spPr>
            <c:trendlineType val="poly"/>
            <c:order val="3"/>
            <c:dispRSqr val="1"/>
            <c:dispEq val="1"/>
            <c:trendlineLbl>
              <c:layout>
                <c:manualLayout>
                  <c:x val="3.5100356130583543E-2"/>
                  <c:y val="0.15373623366756348"/>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rendlineLbl>
          </c:trendline>
          <c:xVal>
            <c:numRef>
              <c:f>'Interpolated Physical'!$A$2:$A$981</c:f>
              <c:numCache>
                <c:formatCode>General</c:formatCode>
                <c:ptCount val="98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432</c:v>
                </c:pt>
                <c:pt idx="21">
                  <c:v>433</c:v>
                </c:pt>
                <c:pt idx="22">
                  <c:v>434</c:v>
                </c:pt>
                <c:pt idx="23">
                  <c:v>435</c:v>
                </c:pt>
                <c:pt idx="24">
                  <c:v>436</c:v>
                </c:pt>
                <c:pt idx="25">
                  <c:v>437</c:v>
                </c:pt>
                <c:pt idx="26">
                  <c:v>438</c:v>
                </c:pt>
                <c:pt idx="27">
                  <c:v>439</c:v>
                </c:pt>
                <c:pt idx="28">
                  <c:v>440</c:v>
                </c:pt>
                <c:pt idx="29">
                  <c:v>441</c:v>
                </c:pt>
                <c:pt idx="30">
                  <c:v>442</c:v>
                </c:pt>
                <c:pt idx="31">
                  <c:v>443</c:v>
                </c:pt>
                <c:pt idx="32">
                  <c:v>444</c:v>
                </c:pt>
                <c:pt idx="33">
                  <c:v>445</c:v>
                </c:pt>
                <c:pt idx="34">
                  <c:v>446</c:v>
                </c:pt>
                <c:pt idx="35">
                  <c:v>447</c:v>
                </c:pt>
                <c:pt idx="36">
                  <c:v>448</c:v>
                </c:pt>
                <c:pt idx="37">
                  <c:v>449</c:v>
                </c:pt>
                <c:pt idx="38">
                  <c:v>450</c:v>
                </c:pt>
                <c:pt idx="39">
                  <c:v>451</c:v>
                </c:pt>
                <c:pt idx="40">
                  <c:v>818</c:v>
                </c:pt>
                <c:pt idx="41">
                  <c:v>819</c:v>
                </c:pt>
                <c:pt idx="42">
                  <c:v>820</c:v>
                </c:pt>
                <c:pt idx="43">
                  <c:v>821</c:v>
                </c:pt>
                <c:pt idx="44">
                  <c:v>822</c:v>
                </c:pt>
                <c:pt idx="45">
                  <c:v>823</c:v>
                </c:pt>
                <c:pt idx="46">
                  <c:v>824</c:v>
                </c:pt>
                <c:pt idx="47">
                  <c:v>825</c:v>
                </c:pt>
                <c:pt idx="48">
                  <c:v>826</c:v>
                </c:pt>
                <c:pt idx="49">
                  <c:v>827</c:v>
                </c:pt>
                <c:pt idx="50">
                  <c:v>828</c:v>
                </c:pt>
                <c:pt idx="51">
                  <c:v>829</c:v>
                </c:pt>
                <c:pt idx="52">
                  <c:v>830</c:v>
                </c:pt>
                <c:pt idx="53">
                  <c:v>831</c:v>
                </c:pt>
                <c:pt idx="54">
                  <c:v>832</c:v>
                </c:pt>
                <c:pt idx="55">
                  <c:v>833</c:v>
                </c:pt>
                <c:pt idx="56">
                  <c:v>834</c:v>
                </c:pt>
                <c:pt idx="57">
                  <c:v>835</c:v>
                </c:pt>
                <c:pt idx="58">
                  <c:v>836</c:v>
                </c:pt>
                <c:pt idx="59">
                  <c:v>837</c:v>
                </c:pt>
                <c:pt idx="60">
                  <c:v>1057</c:v>
                </c:pt>
                <c:pt idx="61">
                  <c:v>1058</c:v>
                </c:pt>
                <c:pt idx="62">
                  <c:v>1059</c:v>
                </c:pt>
                <c:pt idx="63">
                  <c:v>1060</c:v>
                </c:pt>
                <c:pt idx="64">
                  <c:v>1061</c:v>
                </c:pt>
                <c:pt idx="65">
                  <c:v>1062</c:v>
                </c:pt>
                <c:pt idx="66">
                  <c:v>1063</c:v>
                </c:pt>
                <c:pt idx="67">
                  <c:v>1064</c:v>
                </c:pt>
                <c:pt idx="68">
                  <c:v>1065</c:v>
                </c:pt>
                <c:pt idx="69">
                  <c:v>1066</c:v>
                </c:pt>
                <c:pt idx="70">
                  <c:v>1067</c:v>
                </c:pt>
                <c:pt idx="71">
                  <c:v>1068</c:v>
                </c:pt>
                <c:pt idx="72">
                  <c:v>1069</c:v>
                </c:pt>
                <c:pt idx="73">
                  <c:v>1070</c:v>
                </c:pt>
                <c:pt idx="74">
                  <c:v>1071</c:v>
                </c:pt>
                <c:pt idx="75">
                  <c:v>1072</c:v>
                </c:pt>
                <c:pt idx="76">
                  <c:v>1073</c:v>
                </c:pt>
                <c:pt idx="77">
                  <c:v>1074</c:v>
                </c:pt>
                <c:pt idx="78">
                  <c:v>1075</c:v>
                </c:pt>
                <c:pt idx="79">
                  <c:v>1076</c:v>
                </c:pt>
                <c:pt idx="80">
                  <c:v>1407</c:v>
                </c:pt>
                <c:pt idx="81">
                  <c:v>1408</c:v>
                </c:pt>
                <c:pt idx="82">
                  <c:v>1409</c:v>
                </c:pt>
                <c:pt idx="83">
                  <c:v>1410</c:v>
                </c:pt>
                <c:pt idx="84">
                  <c:v>1411</c:v>
                </c:pt>
                <c:pt idx="85">
                  <c:v>1412</c:v>
                </c:pt>
                <c:pt idx="86">
                  <c:v>1413</c:v>
                </c:pt>
                <c:pt idx="87">
                  <c:v>1414</c:v>
                </c:pt>
                <c:pt idx="88">
                  <c:v>1415</c:v>
                </c:pt>
                <c:pt idx="89">
                  <c:v>1416</c:v>
                </c:pt>
                <c:pt idx="90">
                  <c:v>1417</c:v>
                </c:pt>
                <c:pt idx="91">
                  <c:v>1418</c:v>
                </c:pt>
                <c:pt idx="92">
                  <c:v>1419</c:v>
                </c:pt>
                <c:pt idx="93">
                  <c:v>1420</c:v>
                </c:pt>
                <c:pt idx="94">
                  <c:v>1421</c:v>
                </c:pt>
                <c:pt idx="95">
                  <c:v>1422</c:v>
                </c:pt>
                <c:pt idx="96">
                  <c:v>1423</c:v>
                </c:pt>
                <c:pt idx="97">
                  <c:v>1424</c:v>
                </c:pt>
                <c:pt idx="98">
                  <c:v>1425</c:v>
                </c:pt>
                <c:pt idx="99">
                  <c:v>1426</c:v>
                </c:pt>
                <c:pt idx="100">
                  <c:v>1618</c:v>
                </c:pt>
                <c:pt idx="101">
                  <c:v>1619</c:v>
                </c:pt>
                <c:pt idx="102">
                  <c:v>1620</c:v>
                </c:pt>
                <c:pt idx="103">
                  <c:v>1621</c:v>
                </c:pt>
                <c:pt idx="104">
                  <c:v>1622</c:v>
                </c:pt>
                <c:pt idx="105">
                  <c:v>1623</c:v>
                </c:pt>
                <c:pt idx="106">
                  <c:v>1624</c:v>
                </c:pt>
                <c:pt idx="107">
                  <c:v>1625</c:v>
                </c:pt>
                <c:pt idx="108">
                  <c:v>1626</c:v>
                </c:pt>
                <c:pt idx="109">
                  <c:v>1627</c:v>
                </c:pt>
                <c:pt idx="110">
                  <c:v>1628</c:v>
                </c:pt>
                <c:pt idx="111">
                  <c:v>1629</c:v>
                </c:pt>
                <c:pt idx="112">
                  <c:v>1630</c:v>
                </c:pt>
                <c:pt idx="113">
                  <c:v>1631</c:v>
                </c:pt>
                <c:pt idx="114">
                  <c:v>1632</c:v>
                </c:pt>
                <c:pt idx="115">
                  <c:v>1633</c:v>
                </c:pt>
                <c:pt idx="116">
                  <c:v>1634</c:v>
                </c:pt>
                <c:pt idx="117">
                  <c:v>1635</c:v>
                </c:pt>
                <c:pt idx="118">
                  <c:v>1636</c:v>
                </c:pt>
                <c:pt idx="119">
                  <c:v>1637</c:v>
                </c:pt>
                <c:pt idx="120">
                  <c:v>2039</c:v>
                </c:pt>
                <c:pt idx="121">
                  <c:v>2040</c:v>
                </c:pt>
                <c:pt idx="122">
                  <c:v>2041</c:v>
                </c:pt>
                <c:pt idx="123">
                  <c:v>2042</c:v>
                </c:pt>
                <c:pt idx="124">
                  <c:v>2043</c:v>
                </c:pt>
                <c:pt idx="125">
                  <c:v>2044</c:v>
                </c:pt>
                <c:pt idx="126">
                  <c:v>2045</c:v>
                </c:pt>
                <c:pt idx="127">
                  <c:v>2046</c:v>
                </c:pt>
                <c:pt idx="128">
                  <c:v>2047</c:v>
                </c:pt>
                <c:pt idx="129">
                  <c:v>2048</c:v>
                </c:pt>
                <c:pt idx="130">
                  <c:v>2049</c:v>
                </c:pt>
                <c:pt idx="131">
                  <c:v>2050</c:v>
                </c:pt>
                <c:pt idx="132">
                  <c:v>2051</c:v>
                </c:pt>
                <c:pt idx="133">
                  <c:v>2052</c:v>
                </c:pt>
                <c:pt idx="134">
                  <c:v>2053</c:v>
                </c:pt>
                <c:pt idx="135">
                  <c:v>2054</c:v>
                </c:pt>
                <c:pt idx="136">
                  <c:v>2055</c:v>
                </c:pt>
                <c:pt idx="137">
                  <c:v>2056</c:v>
                </c:pt>
                <c:pt idx="138">
                  <c:v>2057</c:v>
                </c:pt>
                <c:pt idx="139">
                  <c:v>2058</c:v>
                </c:pt>
                <c:pt idx="140">
                  <c:v>2897</c:v>
                </c:pt>
                <c:pt idx="141">
                  <c:v>2898</c:v>
                </c:pt>
                <c:pt idx="142">
                  <c:v>2899</c:v>
                </c:pt>
                <c:pt idx="143">
                  <c:v>2900</c:v>
                </c:pt>
                <c:pt idx="144">
                  <c:v>2901</c:v>
                </c:pt>
                <c:pt idx="145">
                  <c:v>2902</c:v>
                </c:pt>
                <c:pt idx="146">
                  <c:v>2903</c:v>
                </c:pt>
                <c:pt idx="147">
                  <c:v>2904</c:v>
                </c:pt>
                <c:pt idx="148">
                  <c:v>2905</c:v>
                </c:pt>
                <c:pt idx="149">
                  <c:v>2906</c:v>
                </c:pt>
                <c:pt idx="150">
                  <c:v>2907</c:v>
                </c:pt>
                <c:pt idx="151">
                  <c:v>2908</c:v>
                </c:pt>
                <c:pt idx="152">
                  <c:v>2909</c:v>
                </c:pt>
                <c:pt idx="153">
                  <c:v>2910</c:v>
                </c:pt>
                <c:pt idx="154">
                  <c:v>2911</c:v>
                </c:pt>
                <c:pt idx="155">
                  <c:v>2912</c:v>
                </c:pt>
                <c:pt idx="156">
                  <c:v>2913</c:v>
                </c:pt>
                <c:pt idx="157">
                  <c:v>2914</c:v>
                </c:pt>
                <c:pt idx="158">
                  <c:v>2915</c:v>
                </c:pt>
                <c:pt idx="159">
                  <c:v>2916</c:v>
                </c:pt>
                <c:pt idx="160">
                  <c:v>3257</c:v>
                </c:pt>
                <c:pt idx="161">
                  <c:v>3258</c:v>
                </c:pt>
                <c:pt idx="162">
                  <c:v>3259</c:v>
                </c:pt>
                <c:pt idx="163">
                  <c:v>3260</c:v>
                </c:pt>
                <c:pt idx="164">
                  <c:v>3261</c:v>
                </c:pt>
                <c:pt idx="165">
                  <c:v>3262</c:v>
                </c:pt>
                <c:pt idx="166">
                  <c:v>3263</c:v>
                </c:pt>
                <c:pt idx="167">
                  <c:v>3264</c:v>
                </c:pt>
                <c:pt idx="168">
                  <c:v>3265</c:v>
                </c:pt>
                <c:pt idx="169">
                  <c:v>3266</c:v>
                </c:pt>
                <c:pt idx="170">
                  <c:v>3267</c:v>
                </c:pt>
                <c:pt idx="171">
                  <c:v>3268</c:v>
                </c:pt>
                <c:pt idx="172">
                  <c:v>3269</c:v>
                </c:pt>
                <c:pt idx="173">
                  <c:v>3270</c:v>
                </c:pt>
                <c:pt idx="174">
                  <c:v>3271</c:v>
                </c:pt>
                <c:pt idx="175">
                  <c:v>3272</c:v>
                </c:pt>
                <c:pt idx="176">
                  <c:v>3273</c:v>
                </c:pt>
                <c:pt idx="177">
                  <c:v>3274</c:v>
                </c:pt>
                <c:pt idx="178">
                  <c:v>3275</c:v>
                </c:pt>
                <c:pt idx="179">
                  <c:v>3276</c:v>
                </c:pt>
                <c:pt idx="180">
                  <c:v>4443</c:v>
                </c:pt>
                <c:pt idx="181">
                  <c:v>4445</c:v>
                </c:pt>
                <c:pt idx="182">
                  <c:v>4446</c:v>
                </c:pt>
                <c:pt idx="183">
                  <c:v>4447</c:v>
                </c:pt>
                <c:pt idx="184">
                  <c:v>4448</c:v>
                </c:pt>
                <c:pt idx="185">
                  <c:v>4449</c:v>
                </c:pt>
                <c:pt idx="186">
                  <c:v>4450</c:v>
                </c:pt>
                <c:pt idx="187">
                  <c:v>4451</c:v>
                </c:pt>
                <c:pt idx="188">
                  <c:v>4452</c:v>
                </c:pt>
                <c:pt idx="189">
                  <c:v>4453</c:v>
                </c:pt>
                <c:pt idx="190">
                  <c:v>4454</c:v>
                </c:pt>
                <c:pt idx="191">
                  <c:v>4455</c:v>
                </c:pt>
                <c:pt idx="192">
                  <c:v>4456</c:v>
                </c:pt>
                <c:pt idx="193">
                  <c:v>4457</c:v>
                </c:pt>
                <c:pt idx="194">
                  <c:v>4458</c:v>
                </c:pt>
                <c:pt idx="195">
                  <c:v>4459</c:v>
                </c:pt>
                <c:pt idx="196">
                  <c:v>4460</c:v>
                </c:pt>
                <c:pt idx="197">
                  <c:v>4461</c:v>
                </c:pt>
                <c:pt idx="198">
                  <c:v>4462</c:v>
                </c:pt>
                <c:pt idx="199">
                  <c:v>4463</c:v>
                </c:pt>
                <c:pt idx="200">
                  <c:v>4740</c:v>
                </c:pt>
                <c:pt idx="201">
                  <c:v>4741</c:v>
                </c:pt>
                <c:pt idx="202">
                  <c:v>4742</c:v>
                </c:pt>
                <c:pt idx="203">
                  <c:v>4743</c:v>
                </c:pt>
                <c:pt idx="204">
                  <c:v>4744</c:v>
                </c:pt>
                <c:pt idx="205">
                  <c:v>4745</c:v>
                </c:pt>
                <c:pt idx="206">
                  <c:v>4746</c:v>
                </c:pt>
                <c:pt idx="207">
                  <c:v>4747</c:v>
                </c:pt>
                <c:pt idx="208">
                  <c:v>4748</c:v>
                </c:pt>
                <c:pt idx="209">
                  <c:v>4749</c:v>
                </c:pt>
                <c:pt idx="210">
                  <c:v>4750</c:v>
                </c:pt>
                <c:pt idx="211">
                  <c:v>4751</c:v>
                </c:pt>
                <c:pt idx="212">
                  <c:v>4752</c:v>
                </c:pt>
                <c:pt idx="213">
                  <c:v>4753</c:v>
                </c:pt>
                <c:pt idx="214">
                  <c:v>4754</c:v>
                </c:pt>
                <c:pt idx="215">
                  <c:v>4755</c:v>
                </c:pt>
                <c:pt idx="216">
                  <c:v>4756</c:v>
                </c:pt>
                <c:pt idx="217">
                  <c:v>4757</c:v>
                </c:pt>
                <c:pt idx="218">
                  <c:v>4758</c:v>
                </c:pt>
                <c:pt idx="219">
                  <c:v>4759</c:v>
                </c:pt>
                <c:pt idx="220">
                  <c:v>5191</c:v>
                </c:pt>
                <c:pt idx="221">
                  <c:v>5192</c:v>
                </c:pt>
                <c:pt idx="222">
                  <c:v>5193</c:v>
                </c:pt>
                <c:pt idx="223">
                  <c:v>5194</c:v>
                </c:pt>
                <c:pt idx="224">
                  <c:v>5195</c:v>
                </c:pt>
                <c:pt idx="225">
                  <c:v>5196</c:v>
                </c:pt>
                <c:pt idx="226">
                  <c:v>5197</c:v>
                </c:pt>
                <c:pt idx="227">
                  <c:v>5198</c:v>
                </c:pt>
                <c:pt idx="228">
                  <c:v>5199</c:v>
                </c:pt>
                <c:pt idx="229">
                  <c:v>5200</c:v>
                </c:pt>
                <c:pt idx="230">
                  <c:v>5201</c:v>
                </c:pt>
                <c:pt idx="231">
                  <c:v>5202</c:v>
                </c:pt>
                <c:pt idx="232">
                  <c:v>5203</c:v>
                </c:pt>
                <c:pt idx="233">
                  <c:v>5204</c:v>
                </c:pt>
                <c:pt idx="234">
                  <c:v>5205</c:v>
                </c:pt>
                <c:pt idx="235">
                  <c:v>5206</c:v>
                </c:pt>
                <c:pt idx="236">
                  <c:v>5207</c:v>
                </c:pt>
                <c:pt idx="237">
                  <c:v>5208</c:v>
                </c:pt>
                <c:pt idx="238">
                  <c:v>5209</c:v>
                </c:pt>
                <c:pt idx="239">
                  <c:v>5210</c:v>
                </c:pt>
                <c:pt idx="240">
                  <c:v>5544</c:v>
                </c:pt>
                <c:pt idx="241">
                  <c:v>5545</c:v>
                </c:pt>
                <c:pt idx="242">
                  <c:v>5546</c:v>
                </c:pt>
                <c:pt idx="243">
                  <c:v>5547</c:v>
                </c:pt>
                <c:pt idx="244">
                  <c:v>5548</c:v>
                </c:pt>
                <c:pt idx="245">
                  <c:v>5549</c:v>
                </c:pt>
                <c:pt idx="246">
                  <c:v>5550</c:v>
                </c:pt>
                <c:pt idx="247">
                  <c:v>5551</c:v>
                </c:pt>
                <c:pt idx="248">
                  <c:v>5552</c:v>
                </c:pt>
                <c:pt idx="249">
                  <c:v>5553</c:v>
                </c:pt>
                <c:pt idx="250">
                  <c:v>5554</c:v>
                </c:pt>
                <c:pt idx="251">
                  <c:v>5555</c:v>
                </c:pt>
                <c:pt idx="252">
                  <c:v>5556</c:v>
                </c:pt>
                <c:pt idx="253">
                  <c:v>5557</c:v>
                </c:pt>
                <c:pt idx="254">
                  <c:v>5558</c:v>
                </c:pt>
                <c:pt idx="255">
                  <c:v>5559</c:v>
                </c:pt>
                <c:pt idx="256">
                  <c:v>5560</c:v>
                </c:pt>
                <c:pt idx="257">
                  <c:v>5561</c:v>
                </c:pt>
                <c:pt idx="258">
                  <c:v>5562</c:v>
                </c:pt>
                <c:pt idx="259">
                  <c:v>5563</c:v>
                </c:pt>
                <c:pt idx="260">
                  <c:v>5915</c:v>
                </c:pt>
                <c:pt idx="261">
                  <c:v>5916</c:v>
                </c:pt>
                <c:pt idx="262">
                  <c:v>5917</c:v>
                </c:pt>
                <c:pt idx="263">
                  <c:v>5918</c:v>
                </c:pt>
                <c:pt idx="264">
                  <c:v>5919</c:v>
                </c:pt>
                <c:pt idx="265">
                  <c:v>5920</c:v>
                </c:pt>
                <c:pt idx="266">
                  <c:v>5921</c:v>
                </c:pt>
                <c:pt idx="267">
                  <c:v>5922</c:v>
                </c:pt>
                <c:pt idx="268">
                  <c:v>5923</c:v>
                </c:pt>
                <c:pt idx="269">
                  <c:v>5924</c:v>
                </c:pt>
                <c:pt idx="270">
                  <c:v>5925</c:v>
                </c:pt>
                <c:pt idx="271">
                  <c:v>5926</c:v>
                </c:pt>
                <c:pt idx="272">
                  <c:v>5927</c:v>
                </c:pt>
                <c:pt idx="273">
                  <c:v>5928</c:v>
                </c:pt>
                <c:pt idx="274">
                  <c:v>5929</c:v>
                </c:pt>
                <c:pt idx="275">
                  <c:v>5930</c:v>
                </c:pt>
                <c:pt idx="276">
                  <c:v>5931</c:v>
                </c:pt>
                <c:pt idx="277">
                  <c:v>5932</c:v>
                </c:pt>
                <c:pt idx="278">
                  <c:v>5933</c:v>
                </c:pt>
                <c:pt idx="279">
                  <c:v>5934</c:v>
                </c:pt>
                <c:pt idx="280">
                  <c:v>6137</c:v>
                </c:pt>
                <c:pt idx="281">
                  <c:v>6138</c:v>
                </c:pt>
                <c:pt idx="282">
                  <c:v>6139</c:v>
                </c:pt>
                <c:pt idx="283">
                  <c:v>6140</c:v>
                </c:pt>
                <c:pt idx="284">
                  <c:v>6141</c:v>
                </c:pt>
                <c:pt idx="285">
                  <c:v>6142</c:v>
                </c:pt>
                <c:pt idx="286">
                  <c:v>6143</c:v>
                </c:pt>
                <c:pt idx="287">
                  <c:v>6144</c:v>
                </c:pt>
                <c:pt idx="288">
                  <c:v>6145</c:v>
                </c:pt>
                <c:pt idx="289">
                  <c:v>6146</c:v>
                </c:pt>
                <c:pt idx="290">
                  <c:v>6147</c:v>
                </c:pt>
                <c:pt idx="291">
                  <c:v>6148</c:v>
                </c:pt>
                <c:pt idx="292">
                  <c:v>6149</c:v>
                </c:pt>
                <c:pt idx="293">
                  <c:v>6150</c:v>
                </c:pt>
                <c:pt idx="294">
                  <c:v>6151</c:v>
                </c:pt>
                <c:pt idx="295">
                  <c:v>6152</c:v>
                </c:pt>
                <c:pt idx="296">
                  <c:v>6153</c:v>
                </c:pt>
                <c:pt idx="297">
                  <c:v>6154</c:v>
                </c:pt>
                <c:pt idx="298">
                  <c:v>6155</c:v>
                </c:pt>
                <c:pt idx="299">
                  <c:v>6156</c:v>
                </c:pt>
                <c:pt idx="300">
                  <c:v>6600</c:v>
                </c:pt>
                <c:pt idx="301">
                  <c:v>6601</c:v>
                </c:pt>
                <c:pt idx="302">
                  <c:v>6602</c:v>
                </c:pt>
                <c:pt idx="303">
                  <c:v>6603</c:v>
                </c:pt>
                <c:pt idx="304">
                  <c:v>6604</c:v>
                </c:pt>
                <c:pt idx="305">
                  <c:v>6605</c:v>
                </c:pt>
                <c:pt idx="306">
                  <c:v>6606</c:v>
                </c:pt>
                <c:pt idx="307">
                  <c:v>6607</c:v>
                </c:pt>
                <c:pt idx="308">
                  <c:v>6608</c:v>
                </c:pt>
                <c:pt idx="309">
                  <c:v>6609</c:v>
                </c:pt>
                <c:pt idx="310">
                  <c:v>6610</c:v>
                </c:pt>
                <c:pt idx="311">
                  <c:v>6611</c:v>
                </c:pt>
                <c:pt idx="312">
                  <c:v>6612</c:v>
                </c:pt>
                <c:pt idx="313">
                  <c:v>6613</c:v>
                </c:pt>
                <c:pt idx="314">
                  <c:v>6614</c:v>
                </c:pt>
                <c:pt idx="315">
                  <c:v>6615</c:v>
                </c:pt>
                <c:pt idx="316">
                  <c:v>6616</c:v>
                </c:pt>
                <c:pt idx="317">
                  <c:v>6617</c:v>
                </c:pt>
                <c:pt idx="318">
                  <c:v>6618</c:v>
                </c:pt>
                <c:pt idx="319">
                  <c:v>6619</c:v>
                </c:pt>
                <c:pt idx="320">
                  <c:v>6823</c:v>
                </c:pt>
                <c:pt idx="321">
                  <c:v>6824</c:v>
                </c:pt>
                <c:pt idx="322">
                  <c:v>6825</c:v>
                </c:pt>
                <c:pt idx="323">
                  <c:v>6826</c:v>
                </c:pt>
                <c:pt idx="324">
                  <c:v>6827</c:v>
                </c:pt>
                <c:pt idx="325">
                  <c:v>6828</c:v>
                </c:pt>
                <c:pt idx="326">
                  <c:v>6829</c:v>
                </c:pt>
                <c:pt idx="327">
                  <c:v>6830</c:v>
                </c:pt>
                <c:pt idx="328">
                  <c:v>6831</c:v>
                </c:pt>
                <c:pt idx="329">
                  <c:v>6832</c:v>
                </c:pt>
                <c:pt idx="330">
                  <c:v>6833</c:v>
                </c:pt>
                <c:pt idx="331">
                  <c:v>6834</c:v>
                </c:pt>
                <c:pt idx="332">
                  <c:v>6835</c:v>
                </c:pt>
                <c:pt idx="333">
                  <c:v>6836</c:v>
                </c:pt>
                <c:pt idx="334">
                  <c:v>6837</c:v>
                </c:pt>
                <c:pt idx="335">
                  <c:v>6838</c:v>
                </c:pt>
                <c:pt idx="336">
                  <c:v>6839</c:v>
                </c:pt>
                <c:pt idx="337">
                  <c:v>6840</c:v>
                </c:pt>
                <c:pt idx="338">
                  <c:v>6841</c:v>
                </c:pt>
                <c:pt idx="339">
                  <c:v>6842</c:v>
                </c:pt>
                <c:pt idx="340">
                  <c:v>7090</c:v>
                </c:pt>
                <c:pt idx="341">
                  <c:v>7091</c:v>
                </c:pt>
                <c:pt idx="342">
                  <c:v>7092</c:v>
                </c:pt>
                <c:pt idx="343">
                  <c:v>7093</c:v>
                </c:pt>
                <c:pt idx="344">
                  <c:v>7094</c:v>
                </c:pt>
                <c:pt idx="345">
                  <c:v>7095</c:v>
                </c:pt>
                <c:pt idx="346">
                  <c:v>7096</c:v>
                </c:pt>
                <c:pt idx="347">
                  <c:v>7097</c:v>
                </c:pt>
                <c:pt idx="348">
                  <c:v>7098</c:v>
                </c:pt>
                <c:pt idx="349">
                  <c:v>7099</c:v>
                </c:pt>
                <c:pt idx="350">
                  <c:v>7100</c:v>
                </c:pt>
                <c:pt idx="351">
                  <c:v>7101</c:v>
                </c:pt>
                <c:pt idx="352">
                  <c:v>7102</c:v>
                </c:pt>
                <c:pt idx="353">
                  <c:v>7103</c:v>
                </c:pt>
                <c:pt idx="354">
                  <c:v>7104</c:v>
                </c:pt>
                <c:pt idx="355">
                  <c:v>7105</c:v>
                </c:pt>
                <c:pt idx="356">
                  <c:v>7106</c:v>
                </c:pt>
                <c:pt idx="357">
                  <c:v>7107</c:v>
                </c:pt>
                <c:pt idx="358">
                  <c:v>7108</c:v>
                </c:pt>
                <c:pt idx="359">
                  <c:v>7109</c:v>
                </c:pt>
                <c:pt idx="360">
                  <c:v>7413</c:v>
                </c:pt>
                <c:pt idx="361">
                  <c:v>7414</c:v>
                </c:pt>
                <c:pt idx="362">
                  <c:v>7415</c:v>
                </c:pt>
                <c:pt idx="363">
                  <c:v>7416</c:v>
                </c:pt>
                <c:pt idx="364">
                  <c:v>7417</c:v>
                </c:pt>
                <c:pt idx="365">
                  <c:v>7418</c:v>
                </c:pt>
                <c:pt idx="366">
                  <c:v>7419</c:v>
                </c:pt>
                <c:pt idx="367">
                  <c:v>7420</c:v>
                </c:pt>
                <c:pt idx="368">
                  <c:v>7421</c:v>
                </c:pt>
                <c:pt idx="369">
                  <c:v>7422</c:v>
                </c:pt>
                <c:pt idx="370">
                  <c:v>7423</c:v>
                </c:pt>
                <c:pt idx="371">
                  <c:v>7424</c:v>
                </c:pt>
                <c:pt idx="372">
                  <c:v>7425</c:v>
                </c:pt>
                <c:pt idx="373">
                  <c:v>7426</c:v>
                </c:pt>
                <c:pt idx="374">
                  <c:v>7427</c:v>
                </c:pt>
                <c:pt idx="375">
                  <c:v>7428</c:v>
                </c:pt>
                <c:pt idx="376">
                  <c:v>7429</c:v>
                </c:pt>
                <c:pt idx="377">
                  <c:v>7430</c:v>
                </c:pt>
                <c:pt idx="378">
                  <c:v>7431</c:v>
                </c:pt>
                <c:pt idx="379">
                  <c:v>7432</c:v>
                </c:pt>
                <c:pt idx="380">
                  <c:v>7931</c:v>
                </c:pt>
                <c:pt idx="381">
                  <c:v>7932</c:v>
                </c:pt>
                <c:pt idx="382">
                  <c:v>7933</c:v>
                </c:pt>
                <c:pt idx="383">
                  <c:v>7934</c:v>
                </c:pt>
                <c:pt idx="384">
                  <c:v>7935</c:v>
                </c:pt>
                <c:pt idx="385">
                  <c:v>7936</c:v>
                </c:pt>
                <c:pt idx="386">
                  <c:v>7937</c:v>
                </c:pt>
                <c:pt idx="387">
                  <c:v>7938</c:v>
                </c:pt>
                <c:pt idx="388">
                  <c:v>7939</c:v>
                </c:pt>
                <c:pt idx="389">
                  <c:v>7940</c:v>
                </c:pt>
                <c:pt idx="390">
                  <c:v>7941</c:v>
                </c:pt>
                <c:pt idx="391">
                  <c:v>7942</c:v>
                </c:pt>
                <c:pt idx="392">
                  <c:v>7943</c:v>
                </c:pt>
                <c:pt idx="393">
                  <c:v>7944</c:v>
                </c:pt>
                <c:pt idx="394">
                  <c:v>7945</c:v>
                </c:pt>
                <c:pt idx="395">
                  <c:v>7946</c:v>
                </c:pt>
                <c:pt idx="396">
                  <c:v>7947</c:v>
                </c:pt>
                <c:pt idx="397">
                  <c:v>7948</c:v>
                </c:pt>
                <c:pt idx="398">
                  <c:v>7949</c:v>
                </c:pt>
                <c:pt idx="399">
                  <c:v>7950</c:v>
                </c:pt>
                <c:pt idx="400">
                  <c:v>8361</c:v>
                </c:pt>
                <c:pt idx="401">
                  <c:v>8362</c:v>
                </c:pt>
                <c:pt idx="402">
                  <c:v>8363</c:v>
                </c:pt>
                <c:pt idx="403">
                  <c:v>8364</c:v>
                </c:pt>
                <c:pt idx="404">
                  <c:v>8365</c:v>
                </c:pt>
                <c:pt idx="405">
                  <c:v>8366</c:v>
                </c:pt>
                <c:pt idx="406">
                  <c:v>8367</c:v>
                </c:pt>
                <c:pt idx="407">
                  <c:v>8368</c:v>
                </c:pt>
                <c:pt idx="408">
                  <c:v>8369</c:v>
                </c:pt>
                <c:pt idx="409">
                  <c:v>8370</c:v>
                </c:pt>
                <c:pt idx="410">
                  <c:v>8371</c:v>
                </c:pt>
                <c:pt idx="411">
                  <c:v>8372</c:v>
                </c:pt>
                <c:pt idx="412">
                  <c:v>8373</c:v>
                </c:pt>
                <c:pt idx="413">
                  <c:v>8374</c:v>
                </c:pt>
                <c:pt idx="414">
                  <c:v>8375</c:v>
                </c:pt>
                <c:pt idx="415">
                  <c:v>8376</c:v>
                </c:pt>
                <c:pt idx="416">
                  <c:v>8377</c:v>
                </c:pt>
                <c:pt idx="417">
                  <c:v>8378</c:v>
                </c:pt>
                <c:pt idx="418">
                  <c:v>8379</c:v>
                </c:pt>
                <c:pt idx="419">
                  <c:v>8380</c:v>
                </c:pt>
                <c:pt idx="420">
                  <c:v>8679</c:v>
                </c:pt>
                <c:pt idx="421">
                  <c:v>8680</c:v>
                </c:pt>
                <c:pt idx="422">
                  <c:v>8681</c:v>
                </c:pt>
                <c:pt idx="423">
                  <c:v>8682</c:v>
                </c:pt>
                <c:pt idx="424">
                  <c:v>8683</c:v>
                </c:pt>
                <c:pt idx="425">
                  <c:v>8684</c:v>
                </c:pt>
                <c:pt idx="426">
                  <c:v>8685</c:v>
                </c:pt>
                <c:pt idx="427">
                  <c:v>8686</c:v>
                </c:pt>
                <c:pt idx="428">
                  <c:v>8687</c:v>
                </c:pt>
                <c:pt idx="429">
                  <c:v>8688</c:v>
                </c:pt>
                <c:pt idx="430">
                  <c:v>8689</c:v>
                </c:pt>
                <c:pt idx="431">
                  <c:v>8690</c:v>
                </c:pt>
                <c:pt idx="432">
                  <c:v>8691</c:v>
                </c:pt>
                <c:pt idx="433">
                  <c:v>8692</c:v>
                </c:pt>
                <c:pt idx="434">
                  <c:v>8693</c:v>
                </c:pt>
                <c:pt idx="435">
                  <c:v>8694</c:v>
                </c:pt>
                <c:pt idx="436">
                  <c:v>8695</c:v>
                </c:pt>
                <c:pt idx="437">
                  <c:v>8696</c:v>
                </c:pt>
                <c:pt idx="438">
                  <c:v>8697</c:v>
                </c:pt>
                <c:pt idx="439">
                  <c:v>8698</c:v>
                </c:pt>
                <c:pt idx="440">
                  <c:v>9074</c:v>
                </c:pt>
                <c:pt idx="441">
                  <c:v>9075</c:v>
                </c:pt>
                <c:pt idx="442">
                  <c:v>9076</c:v>
                </c:pt>
                <c:pt idx="443">
                  <c:v>9077</c:v>
                </c:pt>
                <c:pt idx="444">
                  <c:v>9078</c:v>
                </c:pt>
                <c:pt idx="445">
                  <c:v>9079</c:v>
                </c:pt>
                <c:pt idx="446">
                  <c:v>9080</c:v>
                </c:pt>
                <c:pt idx="447">
                  <c:v>9081</c:v>
                </c:pt>
                <c:pt idx="448">
                  <c:v>9082</c:v>
                </c:pt>
                <c:pt idx="449">
                  <c:v>9083</c:v>
                </c:pt>
                <c:pt idx="450">
                  <c:v>9084</c:v>
                </c:pt>
                <c:pt idx="451">
                  <c:v>9085</c:v>
                </c:pt>
                <c:pt idx="452">
                  <c:v>9086</c:v>
                </c:pt>
                <c:pt idx="453">
                  <c:v>9087</c:v>
                </c:pt>
                <c:pt idx="454">
                  <c:v>9088</c:v>
                </c:pt>
                <c:pt idx="455">
                  <c:v>9089</c:v>
                </c:pt>
                <c:pt idx="456">
                  <c:v>9090</c:v>
                </c:pt>
                <c:pt idx="457">
                  <c:v>9091</c:v>
                </c:pt>
                <c:pt idx="458">
                  <c:v>9092</c:v>
                </c:pt>
                <c:pt idx="459">
                  <c:v>9093</c:v>
                </c:pt>
                <c:pt idx="460">
                  <c:v>9304</c:v>
                </c:pt>
                <c:pt idx="461">
                  <c:v>9305</c:v>
                </c:pt>
                <c:pt idx="462">
                  <c:v>9306</c:v>
                </c:pt>
                <c:pt idx="463">
                  <c:v>9307</c:v>
                </c:pt>
                <c:pt idx="464">
                  <c:v>9308</c:v>
                </c:pt>
                <c:pt idx="465">
                  <c:v>9309</c:v>
                </c:pt>
                <c:pt idx="466">
                  <c:v>9310</c:v>
                </c:pt>
                <c:pt idx="467">
                  <c:v>9311</c:v>
                </c:pt>
                <c:pt idx="468">
                  <c:v>9312</c:v>
                </c:pt>
                <c:pt idx="469">
                  <c:v>9313</c:v>
                </c:pt>
                <c:pt idx="470">
                  <c:v>9314</c:v>
                </c:pt>
                <c:pt idx="471">
                  <c:v>9315</c:v>
                </c:pt>
                <c:pt idx="472">
                  <c:v>9316</c:v>
                </c:pt>
                <c:pt idx="473">
                  <c:v>9317</c:v>
                </c:pt>
                <c:pt idx="474">
                  <c:v>9318</c:v>
                </c:pt>
                <c:pt idx="475">
                  <c:v>9319</c:v>
                </c:pt>
                <c:pt idx="476">
                  <c:v>9320</c:v>
                </c:pt>
                <c:pt idx="477">
                  <c:v>9321</c:v>
                </c:pt>
                <c:pt idx="478">
                  <c:v>9322</c:v>
                </c:pt>
                <c:pt idx="479">
                  <c:v>9323</c:v>
                </c:pt>
                <c:pt idx="480">
                  <c:v>9774</c:v>
                </c:pt>
                <c:pt idx="481">
                  <c:v>9775</c:v>
                </c:pt>
                <c:pt idx="482">
                  <c:v>9776</c:v>
                </c:pt>
                <c:pt idx="483">
                  <c:v>9777</c:v>
                </c:pt>
                <c:pt idx="484">
                  <c:v>9778</c:v>
                </c:pt>
                <c:pt idx="485">
                  <c:v>9779</c:v>
                </c:pt>
                <c:pt idx="486">
                  <c:v>9780</c:v>
                </c:pt>
                <c:pt idx="487">
                  <c:v>9781</c:v>
                </c:pt>
                <c:pt idx="488">
                  <c:v>9782</c:v>
                </c:pt>
                <c:pt idx="489">
                  <c:v>9783</c:v>
                </c:pt>
                <c:pt idx="490">
                  <c:v>9784</c:v>
                </c:pt>
                <c:pt idx="491">
                  <c:v>9785</c:v>
                </c:pt>
                <c:pt idx="492">
                  <c:v>9786</c:v>
                </c:pt>
                <c:pt idx="493">
                  <c:v>9787</c:v>
                </c:pt>
                <c:pt idx="494">
                  <c:v>9788</c:v>
                </c:pt>
                <c:pt idx="495">
                  <c:v>9789</c:v>
                </c:pt>
                <c:pt idx="496">
                  <c:v>9790</c:v>
                </c:pt>
                <c:pt idx="497">
                  <c:v>9791</c:v>
                </c:pt>
                <c:pt idx="498">
                  <c:v>9792</c:v>
                </c:pt>
                <c:pt idx="499">
                  <c:v>9793</c:v>
                </c:pt>
                <c:pt idx="500">
                  <c:v>10014</c:v>
                </c:pt>
                <c:pt idx="501">
                  <c:v>10015</c:v>
                </c:pt>
                <c:pt idx="502">
                  <c:v>10016</c:v>
                </c:pt>
                <c:pt idx="503">
                  <c:v>10017</c:v>
                </c:pt>
                <c:pt idx="504">
                  <c:v>10018</c:v>
                </c:pt>
                <c:pt idx="505">
                  <c:v>10019</c:v>
                </c:pt>
                <c:pt idx="506">
                  <c:v>10020</c:v>
                </c:pt>
                <c:pt idx="507">
                  <c:v>10021</c:v>
                </c:pt>
                <c:pt idx="508">
                  <c:v>10022</c:v>
                </c:pt>
                <c:pt idx="509">
                  <c:v>10023</c:v>
                </c:pt>
                <c:pt idx="510">
                  <c:v>10024</c:v>
                </c:pt>
                <c:pt idx="511">
                  <c:v>10025</c:v>
                </c:pt>
                <c:pt idx="512">
                  <c:v>10026</c:v>
                </c:pt>
                <c:pt idx="513">
                  <c:v>10027</c:v>
                </c:pt>
                <c:pt idx="514">
                  <c:v>10028</c:v>
                </c:pt>
                <c:pt idx="515">
                  <c:v>10029</c:v>
                </c:pt>
                <c:pt idx="516">
                  <c:v>10030</c:v>
                </c:pt>
                <c:pt idx="517">
                  <c:v>10031</c:v>
                </c:pt>
                <c:pt idx="518">
                  <c:v>10032</c:v>
                </c:pt>
                <c:pt idx="519">
                  <c:v>10033</c:v>
                </c:pt>
                <c:pt idx="520">
                  <c:v>11975</c:v>
                </c:pt>
                <c:pt idx="521">
                  <c:v>11976</c:v>
                </c:pt>
                <c:pt idx="522">
                  <c:v>11977</c:v>
                </c:pt>
                <c:pt idx="523">
                  <c:v>11978</c:v>
                </c:pt>
                <c:pt idx="524">
                  <c:v>11979</c:v>
                </c:pt>
                <c:pt idx="525">
                  <c:v>11980</c:v>
                </c:pt>
                <c:pt idx="526">
                  <c:v>11981</c:v>
                </c:pt>
                <c:pt idx="527">
                  <c:v>11982</c:v>
                </c:pt>
                <c:pt idx="528">
                  <c:v>11983</c:v>
                </c:pt>
                <c:pt idx="529">
                  <c:v>11984</c:v>
                </c:pt>
                <c:pt idx="530">
                  <c:v>11985</c:v>
                </c:pt>
                <c:pt idx="531">
                  <c:v>11986</c:v>
                </c:pt>
                <c:pt idx="532">
                  <c:v>11987</c:v>
                </c:pt>
                <c:pt idx="533">
                  <c:v>11988</c:v>
                </c:pt>
                <c:pt idx="534">
                  <c:v>11989</c:v>
                </c:pt>
                <c:pt idx="535">
                  <c:v>11990</c:v>
                </c:pt>
                <c:pt idx="536">
                  <c:v>11991</c:v>
                </c:pt>
                <c:pt idx="537">
                  <c:v>11992</c:v>
                </c:pt>
                <c:pt idx="538">
                  <c:v>11993</c:v>
                </c:pt>
                <c:pt idx="539">
                  <c:v>11994</c:v>
                </c:pt>
                <c:pt idx="540">
                  <c:v>12381</c:v>
                </c:pt>
                <c:pt idx="541">
                  <c:v>12382</c:v>
                </c:pt>
                <c:pt idx="542">
                  <c:v>12383</c:v>
                </c:pt>
                <c:pt idx="543">
                  <c:v>12384</c:v>
                </c:pt>
                <c:pt idx="544">
                  <c:v>12385</c:v>
                </c:pt>
                <c:pt idx="545">
                  <c:v>12386</c:v>
                </c:pt>
                <c:pt idx="546">
                  <c:v>12387</c:v>
                </c:pt>
                <c:pt idx="547">
                  <c:v>12388</c:v>
                </c:pt>
                <c:pt idx="548">
                  <c:v>12389</c:v>
                </c:pt>
                <c:pt idx="549">
                  <c:v>12390</c:v>
                </c:pt>
                <c:pt idx="550">
                  <c:v>12391</c:v>
                </c:pt>
                <c:pt idx="551">
                  <c:v>12392</c:v>
                </c:pt>
                <c:pt idx="552">
                  <c:v>12393</c:v>
                </c:pt>
                <c:pt idx="553">
                  <c:v>12394</c:v>
                </c:pt>
                <c:pt idx="554">
                  <c:v>12395</c:v>
                </c:pt>
                <c:pt idx="555">
                  <c:v>12396</c:v>
                </c:pt>
                <c:pt idx="556">
                  <c:v>12397</c:v>
                </c:pt>
                <c:pt idx="557">
                  <c:v>12398</c:v>
                </c:pt>
                <c:pt idx="558">
                  <c:v>12399</c:v>
                </c:pt>
                <c:pt idx="559">
                  <c:v>12400</c:v>
                </c:pt>
                <c:pt idx="560">
                  <c:v>12432</c:v>
                </c:pt>
                <c:pt idx="561">
                  <c:v>12433</c:v>
                </c:pt>
                <c:pt idx="562">
                  <c:v>12434</c:v>
                </c:pt>
                <c:pt idx="563">
                  <c:v>12435</c:v>
                </c:pt>
                <c:pt idx="564">
                  <c:v>12436</c:v>
                </c:pt>
                <c:pt idx="565">
                  <c:v>12437</c:v>
                </c:pt>
                <c:pt idx="566">
                  <c:v>12438</c:v>
                </c:pt>
                <c:pt idx="567">
                  <c:v>12439</c:v>
                </c:pt>
                <c:pt idx="568">
                  <c:v>12440</c:v>
                </c:pt>
                <c:pt idx="569">
                  <c:v>12441</c:v>
                </c:pt>
                <c:pt idx="570">
                  <c:v>12442</c:v>
                </c:pt>
                <c:pt idx="571">
                  <c:v>12443</c:v>
                </c:pt>
                <c:pt idx="572">
                  <c:v>12444</c:v>
                </c:pt>
                <c:pt idx="573">
                  <c:v>12445</c:v>
                </c:pt>
                <c:pt idx="574">
                  <c:v>12446</c:v>
                </c:pt>
                <c:pt idx="575">
                  <c:v>12447</c:v>
                </c:pt>
                <c:pt idx="576">
                  <c:v>12448</c:v>
                </c:pt>
                <c:pt idx="577">
                  <c:v>12449</c:v>
                </c:pt>
                <c:pt idx="578">
                  <c:v>12450</c:v>
                </c:pt>
                <c:pt idx="579">
                  <c:v>12451</c:v>
                </c:pt>
                <c:pt idx="580">
                  <c:v>12951</c:v>
                </c:pt>
                <c:pt idx="581">
                  <c:v>12952</c:v>
                </c:pt>
                <c:pt idx="582">
                  <c:v>12953</c:v>
                </c:pt>
                <c:pt idx="583">
                  <c:v>12954</c:v>
                </c:pt>
                <c:pt idx="584">
                  <c:v>12955</c:v>
                </c:pt>
                <c:pt idx="585">
                  <c:v>12956</c:v>
                </c:pt>
                <c:pt idx="586">
                  <c:v>12957</c:v>
                </c:pt>
                <c:pt idx="587">
                  <c:v>12958</c:v>
                </c:pt>
                <c:pt idx="588">
                  <c:v>12959</c:v>
                </c:pt>
                <c:pt idx="589">
                  <c:v>12960</c:v>
                </c:pt>
                <c:pt idx="590">
                  <c:v>12961</c:v>
                </c:pt>
                <c:pt idx="591">
                  <c:v>12962</c:v>
                </c:pt>
                <c:pt idx="592">
                  <c:v>12963</c:v>
                </c:pt>
                <c:pt idx="593">
                  <c:v>12964</c:v>
                </c:pt>
                <c:pt idx="594">
                  <c:v>12965</c:v>
                </c:pt>
                <c:pt idx="595">
                  <c:v>12966</c:v>
                </c:pt>
                <c:pt idx="596">
                  <c:v>12967</c:v>
                </c:pt>
                <c:pt idx="597">
                  <c:v>12968</c:v>
                </c:pt>
                <c:pt idx="598">
                  <c:v>12969</c:v>
                </c:pt>
                <c:pt idx="599">
                  <c:v>12970</c:v>
                </c:pt>
                <c:pt idx="600">
                  <c:v>13232</c:v>
                </c:pt>
                <c:pt idx="601">
                  <c:v>13233</c:v>
                </c:pt>
                <c:pt idx="602">
                  <c:v>13234</c:v>
                </c:pt>
                <c:pt idx="603">
                  <c:v>13235</c:v>
                </c:pt>
                <c:pt idx="604">
                  <c:v>13236</c:v>
                </c:pt>
                <c:pt idx="605">
                  <c:v>13237</c:v>
                </c:pt>
                <c:pt idx="606">
                  <c:v>13238</c:v>
                </c:pt>
                <c:pt idx="607">
                  <c:v>13239</c:v>
                </c:pt>
                <c:pt idx="608">
                  <c:v>13240</c:v>
                </c:pt>
                <c:pt idx="609">
                  <c:v>13241</c:v>
                </c:pt>
                <c:pt idx="610">
                  <c:v>13242</c:v>
                </c:pt>
                <c:pt idx="611">
                  <c:v>13243</c:v>
                </c:pt>
                <c:pt idx="612">
                  <c:v>13244</c:v>
                </c:pt>
                <c:pt idx="613">
                  <c:v>13245</c:v>
                </c:pt>
                <c:pt idx="614">
                  <c:v>13246</c:v>
                </c:pt>
                <c:pt idx="615">
                  <c:v>13247</c:v>
                </c:pt>
                <c:pt idx="616">
                  <c:v>13248</c:v>
                </c:pt>
                <c:pt idx="617">
                  <c:v>13249</c:v>
                </c:pt>
                <c:pt idx="618">
                  <c:v>13250</c:v>
                </c:pt>
                <c:pt idx="619">
                  <c:v>13251</c:v>
                </c:pt>
                <c:pt idx="620">
                  <c:v>13760</c:v>
                </c:pt>
                <c:pt idx="621">
                  <c:v>13761</c:v>
                </c:pt>
                <c:pt idx="622">
                  <c:v>13762</c:v>
                </c:pt>
                <c:pt idx="623">
                  <c:v>13763</c:v>
                </c:pt>
                <c:pt idx="624">
                  <c:v>13764</c:v>
                </c:pt>
                <c:pt idx="625">
                  <c:v>13765</c:v>
                </c:pt>
                <c:pt idx="626">
                  <c:v>13766</c:v>
                </c:pt>
                <c:pt idx="627">
                  <c:v>13767</c:v>
                </c:pt>
                <c:pt idx="628">
                  <c:v>13768</c:v>
                </c:pt>
                <c:pt idx="629">
                  <c:v>13769</c:v>
                </c:pt>
                <c:pt idx="630">
                  <c:v>13770</c:v>
                </c:pt>
                <c:pt idx="631">
                  <c:v>13771</c:v>
                </c:pt>
                <c:pt idx="632">
                  <c:v>13772</c:v>
                </c:pt>
                <c:pt idx="633">
                  <c:v>13773</c:v>
                </c:pt>
                <c:pt idx="634">
                  <c:v>13774</c:v>
                </c:pt>
                <c:pt idx="635">
                  <c:v>13775</c:v>
                </c:pt>
                <c:pt idx="636">
                  <c:v>13776</c:v>
                </c:pt>
                <c:pt idx="637">
                  <c:v>13777</c:v>
                </c:pt>
                <c:pt idx="638">
                  <c:v>13778</c:v>
                </c:pt>
                <c:pt idx="639">
                  <c:v>13779</c:v>
                </c:pt>
                <c:pt idx="640">
                  <c:v>14021</c:v>
                </c:pt>
                <c:pt idx="641">
                  <c:v>14022</c:v>
                </c:pt>
                <c:pt idx="642">
                  <c:v>14023</c:v>
                </c:pt>
                <c:pt idx="643">
                  <c:v>14024</c:v>
                </c:pt>
                <c:pt idx="644">
                  <c:v>14025</c:v>
                </c:pt>
                <c:pt idx="645">
                  <c:v>14026</c:v>
                </c:pt>
                <c:pt idx="646">
                  <c:v>14027</c:v>
                </c:pt>
                <c:pt idx="647">
                  <c:v>14028</c:v>
                </c:pt>
                <c:pt idx="648">
                  <c:v>14029</c:v>
                </c:pt>
                <c:pt idx="649">
                  <c:v>14030</c:v>
                </c:pt>
                <c:pt idx="650">
                  <c:v>14031</c:v>
                </c:pt>
                <c:pt idx="651">
                  <c:v>14032</c:v>
                </c:pt>
                <c:pt idx="652">
                  <c:v>14033</c:v>
                </c:pt>
                <c:pt idx="653">
                  <c:v>14034</c:v>
                </c:pt>
                <c:pt idx="654">
                  <c:v>14035</c:v>
                </c:pt>
                <c:pt idx="655">
                  <c:v>14036</c:v>
                </c:pt>
                <c:pt idx="656">
                  <c:v>14037</c:v>
                </c:pt>
                <c:pt idx="657">
                  <c:v>14038</c:v>
                </c:pt>
                <c:pt idx="658">
                  <c:v>14039</c:v>
                </c:pt>
                <c:pt idx="659">
                  <c:v>14040</c:v>
                </c:pt>
                <c:pt idx="660">
                  <c:v>14547</c:v>
                </c:pt>
                <c:pt idx="661">
                  <c:v>14548</c:v>
                </c:pt>
                <c:pt idx="662">
                  <c:v>14549</c:v>
                </c:pt>
                <c:pt idx="663">
                  <c:v>14550</c:v>
                </c:pt>
                <c:pt idx="664">
                  <c:v>14551</c:v>
                </c:pt>
                <c:pt idx="665">
                  <c:v>14552</c:v>
                </c:pt>
                <c:pt idx="666">
                  <c:v>14553</c:v>
                </c:pt>
                <c:pt idx="667">
                  <c:v>14554</c:v>
                </c:pt>
                <c:pt idx="668">
                  <c:v>14555</c:v>
                </c:pt>
                <c:pt idx="669">
                  <c:v>14556</c:v>
                </c:pt>
                <c:pt idx="670">
                  <c:v>14557</c:v>
                </c:pt>
                <c:pt idx="671">
                  <c:v>14558</c:v>
                </c:pt>
                <c:pt idx="672">
                  <c:v>14559</c:v>
                </c:pt>
                <c:pt idx="673">
                  <c:v>14560</c:v>
                </c:pt>
                <c:pt idx="674">
                  <c:v>14561</c:v>
                </c:pt>
                <c:pt idx="675">
                  <c:v>14562</c:v>
                </c:pt>
                <c:pt idx="676">
                  <c:v>14563</c:v>
                </c:pt>
                <c:pt idx="677">
                  <c:v>14564</c:v>
                </c:pt>
                <c:pt idx="678">
                  <c:v>14565</c:v>
                </c:pt>
                <c:pt idx="679">
                  <c:v>14566</c:v>
                </c:pt>
                <c:pt idx="680">
                  <c:v>14901</c:v>
                </c:pt>
                <c:pt idx="681">
                  <c:v>14902</c:v>
                </c:pt>
                <c:pt idx="682">
                  <c:v>14903</c:v>
                </c:pt>
                <c:pt idx="683">
                  <c:v>14904</c:v>
                </c:pt>
                <c:pt idx="684">
                  <c:v>14905</c:v>
                </c:pt>
                <c:pt idx="685">
                  <c:v>14906</c:v>
                </c:pt>
                <c:pt idx="686">
                  <c:v>14907</c:v>
                </c:pt>
                <c:pt idx="687">
                  <c:v>14908</c:v>
                </c:pt>
                <c:pt idx="688">
                  <c:v>14909</c:v>
                </c:pt>
                <c:pt idx="689">
                  <c:v>14910</c:v>
                </c:pt>
                <c:pt idx="690">
                  <c:v>14911</c:v>
                </c:pt>
                <c:pt idx="691">
                  <c:v>14912</c:v>
                </c:pt>
                <c:pt idx="692">
                  <c:v>14913</c:v>
                </c:pt>
                <c:pt idx="693">
                  <c:v>14914</c:v>
                </c:pt>
                <c:pt idx="694">
                  <c:v>14915</c:v>
                </c:pt>
                <c:pt idx="695">
                  <c:v>14916</c:v>
                </c:pt>
                <c:pt idx="696">
                  <c:v>14917</c:v>
                </c:pt>
                <c:pt idx="697">
                  <c:v>14918</c:v>
                </c:pt>
                <c:pt idx="698">
                  <c:v>14919</c:v>
                </c:pt>
                <c:pt idx="699">
                  <c:v>14920</c:v>
                </c:pt>
                <c:pt idx="700">
                  <c:v>15256</c:v>
                </c:pt>
                <c:pt idx="701">
                  <c:v>15257</c:v>
                </c:pt>
                <c:pt idx="702">
                  <c:v>15258</c:v>
                </c:pt>
                <c:pt idx="703">
                  <c:v>15259</c:v>
                </c:pt>
                <c:pt idx="704">
                  <c:v>15260</c:v>
                </c:pt>
                <c:pt idx="705">
                  <c:v>15261</c:v>
                </c:pt>
                <c:pt idx="706">
                  <c:v>15262</c:v>
                </c:pt>
                <c:pt idx="707">
                  <c:v>15263</c:v>
                </c:pt>
                <c:pt idx="708">
                  <c:v>15264</c:v>
                </c:pt>
                <c:pt idx="709">
                  <c:v>15265</c:v>
                </c:pt>
                <c:pt idx="710">
                  <c:v>15266</c:v>
                </c:pt>
                <c:pt idx="711">
                  <c:v>15267</c:v>
                </c:pt>
                <c:pt idx="712">
                  <c:v>15268</c:v>
                </c:pt>
                <c:pt idx="713">
                  <c:v>15269</c:v>
                </c:pt>
                <c:pt idx="714">
                  <c:v>15270</c:v>
                </c:pt>
                <c:pt idx="715">
                  <c:v>15271</c:v>
                </c:pt>
                <c:pt idx="716">
                  <c:v>15272</c:v>
                </c:pt>
                <c:pt idx="717">
                  <c:v>15273</c:v>
                </c:pt>
                <c:pt idx="718">
                  <c:v>15274</c:v>
                </c:pt>
                <c:pt idx="719">
                  <c:v>15275</c:v>
                </c:pt>
                <c:pt idx="720">
                  <c:v>15636</c:v>
                </c:pt>
                <c:pt idx="721">
                  <c:v>15637</c:v>
                </c:pt>
                <c:pt idx="722">
                  <c:v>15638</c:v>
                </c:pt>
                <c:pt idx="723">
                  <c:v>15639</c:v>
                </c:pt>
                <c:pt idx="724">
                  <c:v>15640</c:v>
                </c:pt>
                <c:pt idx="725">
                  <c:v>15641</c:v>
                </c:pt>
                <c:pt idx="726">
                  <c:v>15642</c:v>
                </c:pt>
                <c:pt idx="727">
                  <c:v>15643</c:v>
                </c:pt>
                <c:pt idx="728">
                  <c:v>15644</c:v>
                </c:pt>
                <c:pt idx="729">
                  <c:v>15645</c:v>
                </c:pt>
                <c:pt idx="730">
                  <c:v>15646</c:v>
                </c:pt>
                <c:pt idx="731">
                  <c:v>15647</c:v>
                </c:pt>
                <c:pt idx="732">
                  <c:v>15648</c:v>
                </c:pt>
                <c:pt idx="733">
                  <c:v>15649</c:v>
                </c:pt>
                <c:pt idx="734">
                  <c:v>15650</c:v>
                </c:pt>
                <c:pt idx="735">
                  <c:v>15651</c:v>
                </c:pt>
                <c:pt idx="736">
                  <c:v>15652</c:v>
                </c:pt>
                <c:pt idx="737">
                  <c:v>15653</c:v>
                </c:pt>
                <c:pt idx="738">
                  <c:v>15654</c:v>
                </c:pt>
                <c:pt idx="739">
                  <c:v>15655</c:v>
                </c:pt>
                <c:pt idx="740">
                  <c:v>16226</c:v>
                </c:pt>
                <c:pt idx="741">
                  <c:v>16227</c:v>
                </c:pt>
                <c:pt idx="742">
                  <c:v>16228</c:v>
                </c:pt>
                <c:pt idx="743">
                  <c:v>16229</c:v>
                </c:pt>
                <c:pt idx="744">
                  <c:v>16230</c:v>
                </c:pt>
                <c:pt idx="745">
                  <c:v>16231</c:v>
                </c:pt>
                <c:pt idx="746">
                  <c:v>16232</c:v>
                </c:pt>
                <c:pt idx="747">
                  <c:v>16233</c:v>
                </c:pt>
                <c:pt idx="748">
                  <c:v>16234</c:v>
                </c:pt>
                <c:pt idx="749">
                  <c:v>16235</c:v>
                </c:pt>
                <c:pt idx="750">
                  <c:v>16236</c:v>
                </c:pt>
                <c:pt idx="751">
                  <c:v>16237</c:v>
                </c:pt>
                <c:pt idx="752">
                  <c:v>16238</c:v>
                </c:pt>
                <c:pt idx="753">
                  <c:v>16239</c:v>
                </c:pt>
                <c:pt idx="754">
                  <c:v>16240</c:v>
                </c:pt>
                <c:pt idx="755">
                  <c:v>16241</c:v>
                </c:pt>
                <c:pt idx="756">
                  <c:v>16242</c:v>
                </c:pt>
                <c:pt idx="757">
                  <c:v>16243</c:v>
                </c:pt>
                <c:pt idx="758">
                  <c:v>16244</c:v>
                </c:pt>
                <c:pt idx="759">
                  <c:v>16245</c:v>
                </c:pt>
                <c:pt idx="760">
                  <c:v>19126</c:v>
                </c:pt>
                <c:pt idx="761">
                  <c:v>19127</c:v>
                </c:pt>
                <c:pt idx="762">
                  <c:v>19128</c:v>
                </c:pt>
                <c:pt idx="763">
                  <c:v>19129</c:v>
                </c:pt>
                <c:pt idx="764">
                  <c:v>19130</c:v>
                </c:pt>
                <c:pt idx="765">
                  <c:v>19131</c:v>
                </c:pt>
                <c:pt idx="766">
                  <c:v>19132</c:v>
                </c:pt>
                <c:pt idx="767">
                  <c:v>19133</c:v>
                </c:pt>
                <c:pt idx="768">
                  <c:v>19134</c:v>
                </c:pt>
                <c:pt idx="769">
                  <c:v>19135</c:v>
                </c:pt>
                <c:pt idx="770">
                  <c:v>19136</c:v>
                </c:pt>
                <c:pt idx="771">
                  <c:v>19137</c:v>
                </c:pt>
                <c:pt idx="772">
                  <c:v>19138</c:v>
                </c:pt>
                <c:pt idx="773">
                  <c:v>19139</c:v>
                </c:pt>
                <c:pt idx="774">
                  <c:v>19140</c:v>
                </c:pt>
                <c:pt idx="775">
                  <c:v>19141</c:v>
                </c:pt>
                <c:pt idx="776">
                  <c:v>19142</c:v>
                </c:pt>
                <c:pt idx="777">
                  <c:v>19143</c:v>
                </c:pt>
                <c:pt idx="778">
                  <c:v>19144</c:v>
                </c:pt>
                <c:pt idx="779">
                  <c:v>19145</c:v>
                </c:pt>
                <c:pt idx="780">
                  <c:v>19466</c:v>
                </c:pt>
                <c:pt idx="781">
                  <c:v>19467</c:v>
                </c:pt>
                <c:pt idx="782">
                  <c:v>19468</c:v>
                </c:pt>
                <c:pt idx="783">
                  <c:v>19469</c:v>
                </c:pt>
                <c:pt idx="784">
                  <c:v>19470</c:v>
                </c:pt>
                <c:pt idx="785">
                  <c:v>19471</c:v>
                </c:pt>
                <c:pt idx="786">
                  <c:v>19472</c:v>
                </c:pt>
                <c:pt idx="787">
                  <c:v>19473</c:v>
                </c:pt>
                <c:pt idx="788">
                  <c:v>19474</c:v>
                </c:pt>
                <c:pt idx="789">
                  <c:v>19475</c:v>
                </c:pt>
                <c:pt idx="790">
                  <c:v>19476</c:v>
                </c:pt>
                <c:pt idx="791">
                  <c:v>19477</c:v>
                </c:pt>
                <c:pt idx="792">
                  <c:v>19478</c:v>
                </c:pt>
                <c:pt idx="793">
                  <c:v>19479</c:v>
                </c:pt>
                <c:pt idx="794">
                  <c:v>19480</c:v>
                </c:pt>
                <c:pt idx="795">
                  <c:v>19481</c:v>
                </c:pt>
                <c:pt idx="796">
                  <c:v>19482</c:v>
                </c:pt>
                <c:pt idx="797">
                  <c:v>19483</c:v>
                </c:pt>
                <c:pt idx="798">
                  <c:v>19484</c:v>
                </c:pt>
                <c:pt idx="799">
                  <c:v>19485</c:v>
                </c:pt>
                <c:pt idx="800">
                  <c:v>19761</c:v>
                </c:pt>
                <c:pt idx="801">
                  <c:v>19762</c:v>
                </c:pt>
                <c:pt idx="802">
                  <c:v>19763</c:v>
                </c:pt>
                <c:pt idx="803">
                  <c:v>19764</c:v>
                </c:pt>
                <c:pt idx="804">
                  <c:v>19765</c:v>
                </c:pt>
                <c:pt idx="805">
                  <c:v>19766</c:v>
                </c:pt>
                <c:pt idx="806">
                  <c:v>19767</c:v>
                </c:pt>
                <c:pt idx="807">
                  <c:v>19768</c:v>
                </c:pt>
                <c:pt idx="808">
                  <c:v>19769</c:v>
                </c:pt>
                <c:pt idx="809">
                  <c:v>19770</c:v>
                </c:pt>
                <c:pt idx="810">
                  <c:v>19771</c:v>
                </c:pt>
                <c:pt idx="811">
                  <c:v>19772</c:v>
                </c:pt>
                <c:pt idx="812">
                  <c:v>19773</c:v>
                </c:pt>
                <c:pt idx="813">
                  <c:v>19774</c:v>
                </c:pt>
                <c:pt idx="814">
                  <c:v>19775</c:v>
                </c:pt>
                <c:pt idx="815">
                  <c:v>19776</c:v>
                </c:pt>
                <c:pt idx="816">
                  <c:v>19777</c:v>
                </c:pt>
                <c:pt idx="817">
                  <c:v>19778</c:v>
                </c:pt>
                <c:pt idx="818">
                  <c:v>19779</c:v>
                </c:pt>
                <c:pt idx="819">
                  <c:v>19780</c:v>
                </c:pt>
                <c:pt idx="820">
                  <c:v>20150</c:v>
                </c:pt>
                <c:pt idx="821">
                  <c:v>20151</c:v>
                </c:pt>
                <c:pt idx="822">
                  <c:v>20152</c:v>
                </c:pt>
                <c:pt idx="823">
                  <c:v>20153</c:v>
                </c:pt>
                <c:pt idx="824">
                  <c:v>20154</c:v>
                </c:pt>
                <c:pt idx="825">
                  <c:v>20155</c:v>
                </c:pt>
                <c:pt idx="826">
                  <c:v>20156</c:v>
                </c:pt>
                <c:pt idx="827">
                  <c:v>20157</c:v>
                </c:pt>
                <c:pt idx="828">
                  <c:v>20158</c:v>
                </c:pt>
                <c:pt idx="829">
                  <c:v>20159</c:v>
                </c:pt>
                <c:pt idx="830">
                  <c:v>20160</c:v>
                </c:pt>
                <c:pt idx="831">
                  <c:v>20161</c:v>
                </c:pt>
                <c:pt idx="832">
                  <c:v>20162</c:v>
                </c:pt>
                <c:pt idx="833">
                  <c:v>20163</c:v>
                </c:pt>
                <c:pt idx="834">
                  <c:v>20164</c:v>
                </c:pt>
                <c:pt idx="835">
                  <c:v>20165</c:v>
                </c:pt>
                <c:pt idx="836">
                  <c:v>20166</c:v>
                </c:pt>
                <c:pt idx="837">
                  <c:v>20167</c:v>
                </c:pt>
                <c:pt idx="838">
                  <c:v>20168</c:v>
                </c:pt>
                <c:pt idx="839">
                  <c:v>20169</c:v>
                </c:pt>
                <c:pt idx="840">
                  <c:v>20434</c:v>
                </c:pt>
                <c:pt idx="841">
                  <c:v>20435</c:v>
                </c:pt>
                <c:pt idx="842">
                  <c:v>20436</c:v>
                </c:pt>
                <c:pt idx="843">
                  <c:v>20437</c:v>
                </c:pt>
                <c:pt idx="844">
                  <c:v>20438</c:v>
                </c:pt>
                <c:pt idx="845">
                  <c:v>20439</c:v>
                </c:pt>
                <c:pt idx="846">
                  <c:v>20440</c:v>
                </c:pt>
                <c:pt idx="847">
                  <c:v>20441</c:v>
                </c:pt>
                <c:pt idx="848">
                  <c:v>20442</c:v>
                </c:pt>
                <c:pt idx="849">
                  <c:v>20443</c:v>
                </c:pt>
                <c:pt idx="850">
                  <c:v>20444</c:v>
                </c:pt>
                <c:pt idx="851">
                  <c:v>20445</c:v>
                </c:pt>
                <c:pt idx="852">
                  <c:v>20446</c:v>
                </c:pt>
                <c:pt idx="853">
                  <c:v>20447</c:v>
                </c:pt>
                <c:pt idx="854">
                  <c:v>20448</c:v>
                </c:pt>
                <c:pt idx="855">
                  <c:v>20449</c:v>
                </c:pt>
                <c:pt idx="856">
                  <c:v>20450</c:v>
                </c:pt>
                <c:pt idx="857">
                  <c:v>20451</c:v>
                </c:pt>
                <c:pt idx="858">
                  <c:v>20452</c:v>
                </c:pt>
                <c:pt idx="859">
                  <c:v>20453</c:v>
                </c:pt>
                <c:pt idx="860">
                  <c:v>20845</c:v>
                </c:pt>
                <c:pt idx="861">
                  <c:v>20846</c:v>
                </c:pt>
                <c:pt idx="862">
                  <c:v>20847</c:v>
                </c:pt>
                <c:pt idx="863">
                  <c:v>20848</c:v>
                </c:pt>
                <c:pt idx="864">
                  <c:v>20849</c:v>
                </c:pt>
                <c:pt idx="865">
                  <c:v>20850</c:v>
                </c:pt>
                <c:pt idx="866">
                  <c:v>20851</c:v>
                </c:pt>
                <c:pt idx="867">
                  <c:v>20852</c:v>
                </c:pt>
                <c:pt idx="868">
                  <c:v>20853</c:v>
                </c:pt>
                <c:pt idx="869">
                  <c:v>20854</c:v>
                </c:pt>
                <c:pt idx="870">
                  <c:v>20855</c:v>
                </c:pt>
                <c:pt idx="871">
                  <c:v>20856</c:v>
                </c:pt>
                <c:pt idx="872">
                  <c:v>20857</c:v>
                </c:pt>
                <c:pt idx="873">
                  <c:v>20858</c:v>
                </c:pt>
                <c:pt idx="874">
                  <c:v>20859</c:v>
                </c:pt>
                <c:pt idx="875">
                  <c:v>20860</c:v>
                </c:pt>
                <c:pt idx="876">
                  <c:v>20861</c:v>
                </c:pt>
                <c:pt idx="877">
                  <c:v>20862</c:v>
                </c:pt>
                <c:pt idx="878">
                  <c:v>20863</c:v>
                </c:pt>
                <c:pt idx="879">
                  <c:v>20864</c:v>
                </c:pt>
                <c:pt idx="880">
                  <c:v>21485</c:v>
                </c:pt>
                <c:pt idx="881">
                  <c:v>21486</c:v>
                </c:pt>
                <c:pt idx="882">
                  <c:v>21487</c:v>
                </c:pt>
                <c:pt idx="883">
                  <c:v>21488</c:v>
                </c:pt>
                <c:pt idx="884">
                  <c:v>21489</c:v>
                </c:pt>
                <c:pt idx="885">
                  <c:v>21490</c:v>
                </c:pt>
                <c:pt idx="886">
                  <c:v>21491</c:v>
                </c:pt>
                <c:pt idx="887">
                  <c:v>21492</c:v>
                </c:pt>
                <c:pt idx="888">
                  <c:v>21493</c:v>
                </c:pt>
                <c:pt idx="889">
                  <c:v>21494</c:v>
                </c:pt>
                <c:pt idx="890">
                  <c:v>21495</c:v>
                </c:pt>
                <c:pt idx="891">
                  <c:v>21496</c:v>
                </c:pt>
                <c:pt idx="892">
                  <c:v>21497</c:v>
                </c:pt>
                <c:pt idx="893">
                  <c:v>21498</c:v>
                </c:pt>
                <c:pt idx="894">
                  <c:v>21499</c:v>
                </c:pt>
                <c:pt idx="895">
                  <c:v>21500</c:v>
                </c:pt>
                <c:pt idx="896">
                  <c:v>21501</c:v>
                </c:pt>
                <c:pt idx="897">
                  <c:v>21502</c:v>
                </c:pt>
                <c:pt idx="898">
                  <c:v>21503</c:v>
                </c:pt>
                <c:pt idx="899">
                  <c:v>21504</c:v>
                </c:pt>
                <c:pt idx="900">
                  <c:v>21839</c:v>
                </c:pt>
                <c:pt idx="901">
                  <c:v>21840</c:v>
                </c:pt>
                <c:pt idx="902">
                  <c:v>21841</c:v>
                </c:pt>
                <c:pt idx="903">
                  <c:v>21842</c:v>
                </c:pt>
                <c:pt idx="904">
                  <c:v>21843</c:v>
                </c:pt>
                <c:pt idx="905">
                  <c:v>21844</c:v>
                </c:pt>
                <c:pt idx="906">
                  <c:v>21845</c:v>
                </c:pt>
                <c:pt idx="907">
                  <c:v>21846</c:v>
                </c:pt>
                <c:pt idx="908">
                  <c:v>21847</c:v>
                </c:pt>
                <c:pt idx="909">
                  <c:v>21848</c:v>
                </c:pt>
                <c:pt idx="910">
                  <c:v>21849</c:v>
                </c:pt>
                <c:pt idx="911">
                  <c:v>21850</c:v>
                </c:pt>
                <c:pt idx="912">
                  <c:v>21851</c:v>
                </c:pt>
                <c:pt idx="913">
                  <c:v>21852</c:v>
                </c:pt>
                <c:pt idx="914">
                  <c:v>21853</c:v>
                </c:pt>
                <c:pt idx="915">
                  <c:v>21854</c:v>
                </c:pt>
                <c:pt idx="916">
                  <c:v>21855</c:v>
                </c:pt>
                <c:pt idx="917">
                  <c:v>21856</c:v>
                </c:pt>
                <c:pt idx="918">
                  <c:v>21857</c:v>
                </c:pt>
                <c:pt idx="919">
                  <c:v>21858</c:v>
                </c:pt>
                <c:pt idx="920">
                  <c:v>22846</c:v>
                </c:pt>
                <c:pt idx="921">
                  <c:v>22847</c:v>
                </c:pt>
                <c:pt idx="922">
                  <c:v>22848</c:v>
                </c:pt>
                <c:pt idx="923">
                  <c:v>22849</c:v>
                </c:pt>
                <c:pt idx="924">
                  <c:v>22850</c:v>
                </c:pt>
                <c:pt idx="925">
                  <c:v>22851</c:v>
                </c:pt>
                <c:pt idx="926">
                  <c:v>22852</c:v>
                </c:pt>
                <c:pt idx="927">
                  <c:v>22853</c:v>
                </c:pt>
                <c:pt idx="928">
                  <c:v>22854</c:v>
                </c:pt>
                <c:pt idx="929">
                  <c:v>22855</c:v>
                </c:pt>
                <c:pt idx="930">
                  <c:v>22856</c:v>
                </c:pt>
                <c:pt idx="931">
                  <c:v>22857</c:v>
                </c:pt>
                <c:pt idx="932">
                  <c:v>22858</c:v>
                </c:pt>
                <c:pt idx="933">
                  <c:v>22859</c:v>
                </c:pt>
                <c:pt idx="934">
                  <c:v>22860</c:v>
                </c:pt>
                <c:pt idx="935">
                  <c:v>22861</c:v>
                </c:pt>
                <c:pt idx="936">
                  <c:v>22862</c:v>
                </c:pt>
                <c:pt idx="937">
                  <c:v>22863</c:v>
                </c:pt>
                <c:pt idx="938">
                  <c:v>22864</c:v>
                </c:pt>
                <c:pt idx="939">
                  <c:v>22865</c:v>
                </c:pt>
                <c:pt idx="940">
                  <c:v>23670</c:v>
                </c:pt>
                <c:pt idx="941">
                  <c:v>23671</c:v>
                </c:pt>
                <c:pt idx="942">
                  <c:v>23672</c:v>
                </c:pt>
                <c:pt idx="943">
                  <c:v>23673</c:v>
                </c:pt>
                <c:pt idx="944">
                  <c:v>23674</c:v>
                </c:pt>
                <c:pt idx="945">
                  <c:v>23675</c:v>
                </c:pt>
                <c:pt idx="946">
                  <c:v>23676</c:v>
                </c:pt>
                <c:pt idx="947">
                  <c:v>23677</c:v>
                </c:pt>
                <c:pt idx="948">
                  <c:v>23678</c:v>
                </c:pt>
                <c:pt idx="949">
                  <c:v>23679</c:v>
                </c:pt>
                <c:pt idx="950">
                  <c:v>23680</c:v>
                </c:pt>
                <c:pt idx="951">
                  <c:v>23681</c:v>
                </c:pt>
                <c:pt idx="952">
                  <c:v>23682</c:v>
                </c:pt>
                <c:pt idx="953">
                  <c:v>23683</c:v>
                </c:pt>
                <c:pt idx="954">
                  <c:v>23684</c:v>
                </c:pt>
                <c:pt idx="955">
                  <c:v>23685</c:v>
                </c:pt>
                <c:pt idx="956">
                  <c:v>23686</c:v>
                </c:pt>
                <c:pt idx="957">
                  <c:v>23687</c:v>
                </c:pt>
                <c:pt idx="958">
                  <c:v>23688</c:v>
                </c:pt>
                <c:pt idx="959">
                  <c:v>23689</c:v>
                </c:pt>
                <c:pt idx="960">
                  <c:v>23690</c:v>
                </c:pt>
                <c:pt idx="961">
                  <c:v>23691</c:v>
                </c:pt>
                <c:pt idx="962">
                  <c:v>23692</c:v>
                </c:pt>
                <c:pt idx="963">
                  <c:v>23693</c:v>
                </c:pt>
                <c:pt idx="964">
                  <c:v>23694</c:v>
                </c:pt>
                <c:pt idx="965">
                  <c:v>23695</c:v>
                </c:pt>
                <c:pt idx="966">
                  <c:v>23696</c:v>
                </c:pt>
                <c:pt idx="967">
                  <c:v>23697</c:v>
                </c:pt>
                <c:pt idx="968">
                  <c:v>23698</c:v>
                </c:pt>
                <c:pt idx="969">
                  <c:v>23699</c:v>
                </c:pt>
                <c:pt idx="970">
                  <c:v>23700</c:v>
                </c:pt>
                <c:pt idx="971">
                  <c:v>23701</c:v>
                </c:pt>
                <c:pt idx="972">
                  <c:v>23702</c:v>
                </c:pt>
                <c:pt idx="973">
                  <c:v>23703</c:v>
                </c:pt>
                <c:pt idx="974">
                  <c:v>23704</c:v>
                </c:pt>
                <c:pt idx="975">
                  <c:v>23705</c:v>
                </c:pt>
                <c:pt idx="976">
                  <c:v>23706</c:v>
                </c:pt>
                <c:pt idx="977">
                  <c:v>23707</c:v>
                </c:pt>
                <c:pt idx="978">
                  <c:v>23708</c:v>
                </c:pt>
                <c:pt idx="979">
                  <c:v>23709</c:v>
                </c:pt>
              </c:numCache>
            </c:numRef>
          </c:xVal>
          <c:yVal>
            <c:numRef>
              <c:f>'Interpolated Physical'!$D$2:$D$981</c:f>
              <c:numCache>
                <c:formatCode>General</c:formatCode>
                <c:ptCount val="980"/>
                <c:pt idx="0" formatCode="0.0000">
                  <c:v>44.86</c:v>
                </c:pt>
                <c:pt idx="260" formatCode="0.000000">
                  <c:v>51.82</c:v>
                </c:pt>
                <c:pt idx="520" formatCode="0.000000">
                  <c:v>51.82</c:v>
                </c:pt>
                <c:pt idx="740" formatCode="0.000000">
                  <c:v>53.01</c:v>
                </c:pt>
                <c:pt idx="800" formatCode="0.000000">
                  <c:v>53.33</c:v>
                </c:pt>
                <c:pt idx="920" formatCode="0.000000">
                  <c:v>53.32</c:v>
                </c:pt>
                <c:pt idx="979" formatCode="0.000000">
                  <c:v>53.32</c:v>
                </c:pt>
              </c:numCache>
            </c:numRef>
          </c:yVal>
          <c:smooth val="0"/>
          <c:extLst>
            <c:ext xmlns:c16="http://schemas.microsoft.com/office/drawing/2014/chart" uri="{C3380CC4-5D6E-409C-BE32-E72D297353CC}">
              <c16:uniqueId val="{00000001-76C0-430A-AD50-63C6E6A331C8}"/>
            </c:ext>
          </c:extLst>
        </c:ser>
        <c:dLbls>
          <c:showLegendKey val="0"/>
          <c:showVal val="0"/>
          <c:showCatName val="0"/>
          <c:showSerName val="0"/>
          <c:showPercent val="0"/>
          <c:showBubbleSize val="0"/>
        </c:dLbls>
        <c:axId val="106302463"/>
        <c:axId val="106302047"/>
      </c:scatterChart>
      <c:valAx>
        <c:axId val="106302463"/>
        <c:scaling>
          <c:orientation val="minMax"/>
        </c:scaling>
        <c:delete val="0"/>
        <c:axPos val="b"/>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06302047"/>
        <c:crosses val="autoZero"/>
        <c:crossBetween val="midCat"/>
      </c:valAx>
      <c:valAx>
        <c:axId val="106302047"/>
        <c:scaling>
          <c:orientation val="minMax"/>
        </c:scaling>
        <c:delete val="0"/>
        <c:axPos val="l"/>
        <c:numFmt formatCode="0.00" sourceLinked="0"/>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06302463"/>
        <c:crosses val="autoZero"/>
        <c:crossBetween val="midCat"/>
      </c:valAx>
      <c:spPr>
        <a:noFill/>
        <a:ln w="3175">
          <a:solidFill>
            <a:schemeClr val="tx1"/>
          </a:solidFill>
        </a:ln>
        <a:effectLst/>
      </c:spPr>
    </c:plotArea>
    <c:legend>
      <c:legendPos val="r"/>
      <c:layout>
        <c:manualLayout>
          <c:xMode val="edge"/>
          <c:yMode val="edge"/>
          <c:x val="0.68091935818680849"/>
          <c:y val="0.7618821286306523"/>
          <c:w val="0.25009383131610563"/>
          <c:h val="0.11849530104840671"/>
        </c:manualLayout>
      </c:layout>
      <c:overlay val="1"/>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Garamond" panose="02020404030301010803" pitchFamily="18" charset="0"/>
        </a:defRPr>
      </a:pPr>
      <a:endParaRPr lang="sr-Latn-RS"/>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'Interpolated Physical'!$F$1</c:f>
              <c:strCache>
                <c:ptCount val="1"/>
                <c:pt idx="0">
                  <c:v>Viscosity index</c:v>
                </c:pt>
              </c:strCache>
            </c:strRef>
          </c:tx>
          <c:spPr>
            <a:ln w="25400" cap="rnd">
              <a:noFill/>
              <a:round/>
            </a:ln>
            <a:effectLst/>
          </c:spPr>
          <c:marker>
            <c:symbol val="square"/>
            <c:size val="10"/>
            <c:spPr>
              <a:noFill/>
              <a:ln w="3175">
                <a:solidFill>
                  <a:srgbClr val="0000FF"/>
                </a:solidFill>
              </a:ln>
              <a:effectLst/>
            </c:spPr>
          </c:marker>
          <c:trendline>
            <c:spPr>
              <a:ln w="3175" cap="rnd">
                <a:solidFill>
                  <a:srgbClr val="FF0000"/>
                </a:solidFill>
                <a:prstDash val="lgDash"/>
              </a:ln>
              <a:effectLst/>
            </c:spPr>
            <c:trendlineType val="poly"/>
            <c:order val="3"/>
            <c:dispRSqr val="1"/>
            <c:dispEq val="1"/>
            <c:trendlineLbl>
              <c:layout>
                <c:manualLayout>
                  <c:x val="7.3357917021664729E-3"/>
                  <c:y val="-0.17469515954766585"/>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rendlineLbl>
          </c:trendline>
          <c:xVal>
            <c:numRef>
              <c:f>'Interpolated Physical'!$A$2:$A$981</c:f>
              <c:numCache>
                <c:formatCode>General</c:formatCode>
                <c:ptCount val="98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432</c:v>
                </c:pt>
                <c:pt idx="21">
                  <c:v>433</c:v>
                </c:pt>
                <c:pt idx="22">
                  <c:v>434</c:v>
                </c:pt>
                <c:pt idx="23">
                  <c:v>435</c:v>
                </c:pt>
                <c:pt idx="24">
                  <c:v>436</c:v>
                </c:pt>
                <c:pt idx="25">
                  <c:v>437</c:v>
                </c:pt>
                <c:pt idx="26">
                  <c:v>438</c:v>
                </c:pt>
                <c:pt idx="27">
                  <c:v>439</c:v>
                </c:pt>
                <c:pt idx="28">
                  <c:v>440</c:v>
                </c:pt>
                <c:pt idx="29">
                  <c:v>441</c:v>
                </c:pt>
                <c:pt idx="30">
                  <c:v>442</c:v>
                </c:pt>
                <c:pt idx="31">
                  <c:v>443</c:v>
                </c:pt>
                <c:pt idx="32">
                  <c:v>444</c:v>
                </c:pt>
                <c:pt idx="33">
                  <c:v>445</c:v>
                </c:pt>
                <c:pt idx="34">
                  <c:v>446</c:v>
                </c:pt>
                <c:pt idx="35">
                  <c:v>447</c:v>
                </c:pt>
                <c:pt idx="36">
                  <c:v>448</c:v>
                </c:pt>
                <c:pt idx="37">
                  <c:v>449</c:v>
                </c:pt>
                <c:pt idx="38">
                  <c:v>450</c:v>
                </c:pt>
                <c:pt idx="39">
                  <c:v>451</c:v>
                </c:pt>
                <c:pt idx="40">
                  <c:v>818</c:v>
                </c:pt>
                <c:pt idx="41">
                  <c:v>819</c:v>
                </c:pt>
                <c:pt idx="42">
                  <c:v>820</c:v>
                </c:pt>
                <c:pt idx="43">
                  <c:v>821</c:v>
                </c:pt>
                <c:pt idx="44">
                  <c:v>822</c:v>
                </c:pt>
                <c:pt idx="45">
                  <c:v>823</c:v>
                </c:pt>
                <c:pt idx="46">
                  <c:v>824</c:v>
                </c:pt>
                <c:pt idx="47">
                  <c:v>825</c:v>
                </c:pt>
                <c:pt idx="48">
                  <c:v>826</c:v>
                </c:pt>
                <c:pt idx="49">
                  <c:v>827</c:v>
                </c:pt>
                <c:pt idx="50">
                  <c:v>828</c:v>
                </c:pt>
                <c:pt idx="51">
                  <c:v>829</c:v>
                </c:pt>
                <c:pt idx="52">
                  <c:v>830</c:v>
                </c:pt>
                <c:pt idx="53">
                  <c:v>831</c:v>
                </c:pt>
                <c:pt idx="54">
                  <c:v>832</c:v>
                </c:pt>
                <c:pt idx="55">
                  <c:v>833</c:v>
                </c:pt>
                <c:pt idx="56">
                  <c:v>834</c:v>
                </c:pt>
                <c:pt idx="57">
                  <c:v>835</c:v>
                </c:pt>
                <c:pt idx="58">
                  <c:v>836</c:v>
                </c:pt>
                <c:pt idx="59">
                  <c:v>837</c:v>
                </c:pt>
                <c:pt idx="60">
                  <c:v>1057</c:v>
                </c:pt>
                <c:pt idx="61">
                  <c:v>1058</c:v>
                </c:pt>
                <c:pt idx="62">
                  <c:v>1059</c:v>
                </c:pt>
                <c:pt idx="63">
                  <c:v>1060</c:v>
                </c:pt>
                <c:pt idx="64">
                  <c:v>1061</c:v>
                </c:pt>
                <c:pt idx="65">
                  <c:v>1062</c:v>
                </c:pt>
                <c:pt idx="66">
                  <c:v>1063</c:v>
                </c:pt>
                <c:pt idx="67">
                  <c:v>1064</c:v>
                </c:pt>
                <c:pt idx="68">
                  <c:v>1065</c:v>
                </c:pt>
                <c:pt idx="69">
                  <c:v>1066</c:v>
                </c:pt>
                <c:pt idx="70">
                  <c:v>1067</c:v>
                </c:pt>
                <c:pt idx="71">
                  <c:v>1068</c:v>
                </c:pt>
                <c:pt idx="72">
                  <c:v>1069</c:v>
                </c:pt>
                <c:pt idx="73">
                  <c:v>1070</c:v>
                </c:pt>
                <c:pt idx="74">
                  <c:v>1071</c:v>
                </c:pt>
                <c:pt idx="75">
                  <c:v>1072</c:v>
                </c:pt>
                <c:pt idx="76">
                  <c:v>1073</c:v>
                </c:pt>
                <c:pt idx="77">
                  <c:v>1074</c:v>
                </c:pt>
                <c:pt idx="78">
                  <c:v>1075</c:v>
                </c:pt>
                <c:pt idx="79">
                  <c:v>1076</c:v>
                </c:pt>
                <c:pt idx="80">
                  <c:v>1407</c:v>
                </c:pt>
                <c:pt idx="81">
                  <c:v>1408</c:v>
                </c:pt>
                <c:pt idx="82">
                  <c:v>1409</c:v>
                </c:pt>
                <c:pt idx="83">
                  <c:v>1410</c:v>
                </c:pt>
                <c:pt idx="84">
                  <c:v>1411</c:v>
                </c:pt>
                <c:pt idx="85">
                  <c:v>1412</c:v>
                </c:pt>
                <c:pt idx="86">
                  <c:v>1413</c:v>
                </c:pt>
                <c:pt idx="87">
                  <c:v>1414</c:v>
                </c:pt>
                <c:pt idx="88">
                  <c:v>1415</c:v>
                </c:pt>
                <c:pt idx="89">
                  <c:v>1416</c:v>
                </c:pt>
                <c:pt idx="90">
                  <c:v>1417</c:v>
                </c:pt>
                <c:pt idx="91">
                  <c:v>1418</c:v>
                </c:pt>
                <c:pt idx="92">
                  <c:v>1419</c:v>
                </c:pt>
                <c:pt idx="93">
                  <c:v>1420</c:v>
                </c:pt>
                <c:pt idx="94">
                  <c:v>1421</c:v>
                </c:pt>
                <c:pt idx="95">
                  <c:v>1422</c:v>
                </c:pt>
                <c:pt idx="96">
                  <c:v>1423</c:v>
                </c:pt>
                <c:pt idx="97">
                  <c:v>1424</c:v>
                </c:pt>
                <c:pt idx="98">
                  <c:v>1425</c:v>
                </c:pt>
                <c:pt idx="99">
                  <c:v>1426</c:v>
                </c:pt>
                <c:pt idx="100">
                  <c:v>1618</c:v>
                </c:pt>
                <c:pt idx="101">
                  <c:v>1619</c:v>
                </c:pt>
                <c:pt idx="102">
                  <c:v>1620</c:v>
                </c:pt>
                <c:pt idx="103">
                  <c:v>1621</c:v>
                </c:pt>
                <c:pt idx="104">
                  <c:v>1622</c:v>
                </c:pt>
                <c:pt idx="105">
                  <c:v>1623</c:v>
                </c:pt>
                <c:pt idx="106">
                  <c:v>1624</c:v>
                </c:pt>
                <c:pt idx="107">
                  <c:v>1625</c:v>
                </c:pt>
                <c:pt idx="108">
                  <c:v>1626</c:v>
                </c:pt>
                <c:pt idx="109">
                  <c:v>1627</c:v>
                </c:pt>
                <c:pt idx="110">
                  <c:v>1628</c:v>
                </c:pt>
                <c:pt idx="111">
                  <c:v>1629</c:v>
                </c:pt>
                <c:pt idx="112">
                  <c:v>1630</c:v>
                </c:pt>
                <c:pt idx="113">
                  <c:v>1631</c:v>
                </c:pt>
                <c:pt idx="114">
                  <c:v>1632</c:v>
                </c:pt>
                <c:pt idx="115">
                  <c:v>1633</c:v>
                </c:pt>
                <c:pt idx="116">
                  <c:v>1634</c:v>
                </c:pt>
                <c:pt idx="117">
                  <c:v>1635</c:v>
                </c:pt>
                <c:pt idx="118">
                  <c:v>1636</c:v>
                </c:pt>
                <c:pt idx="119">
                  <c:v>1637</c:v>
                </c:pt>
                <c:pt idx="120">
                  <c:v>2039</c:v>
                </c:pt>
                <c:pt idx="121">
                  <c:v>2040</c:v>
                </c:pt>
                <c:pt idx="122">
                  <c:v>2041</c:v>
                </c:pt>
                <c:pt idx="123">
                  <c:v>2042</c:v>
                </c:pt>
                <c:pt idx="124">
                  <c:v>2043</c:v>
                </c:pt>
                <c:pt idx="125">
                  <c:v>2044</c:v>
                </c:pt>
                <c:pt idx="126">
                  <c:v>2045</c:v>
                </c:pt>
                <c:pt idx="127">
                  <c:v>2046</c:v>
                </c:pt>
                <c:pt idx="128">
                  <c:v>2047</c:v>
                </c:pt>
                <c:pt idx="129">
                  <c:v>2048</c:v>
                </c:pt>
                <c:pt idx="130">
                  <c:v>2049</c:v>
                </c:pt>
                <c:pt idx="131">
                  <c:v>2050</c:v>
                </c:pt>
                <c:pt idx="132">
                  <c:v>2051</c:v>
                </c:pt>
                <c:pt idx="133">
                  <c:v>2052</c:v>
                </c:pt>
                <c:pt idx="134">
                  <c:v>2053</c:v>
                </c:pt>
                <c:pt idx="135">
                  <c:v>2054</c:v>
                </c:pt>
                <c:pt idx="136">
                  <c:v>2055</c:v>
                </c:pt>
                <c:pt idx="137">
                  <c:v>2056</c:v>
                </c:pt>
                <c:pt idx="138">
                  <c:v>2057</c:v>
                </c:pt>
                <c:pt idx="139">
                  <c:v>2058</c:v>
                </c:pt>
                <c:pt idx="140">
                  <c:v>2897</c:v>
                </c:pt>
                <c:pt idx="141">
                  <c:v>2898</c:v>
                </c:pt>
                <c:pt idx="142">
                  <c:v>2899</c:v>
                </c:pt>
                <c:pt idx="143">
                  <c:v>2900</c:v>
                </c:pt>
                <c:pt idx="144">
                  <c:v>2901</c:v>
                </c:pt>
                <c:pt idx="145">
                  <c:v>2902</c:v>
                </c:pt>
                <c:pt idx="146">
                  <c:v>2903</c:v>
                </c:pt>
                <c:pt idx="147">
                  <c:v>2904</c:v>
                </c:pt>
                <c:pt idx="148">
                  <c:v>2905</c:v>
                </c:pt>
                <c:pt idx="149">
                  <c:v>2906</c:v>
                </c:pt>
                <c:pt idx="150">
                  <c:v>2907</c:v>
                </c:pt>
                <c:pt idx="151">
                  <c:v>2908</c:v>
                </c:pt>
                <c:pt idx="152">
                  <c:v>2909</c:v>
                </c:pt>
                <c:pt idx="153">
                  <c:v>2910</c:v>
                </c:pt>
                <c:pt idx="154">
                  <c:v>2911</c:v>
                </c:pt>
                <c:pt idx="155">
                  <c:v>2912</c:v>
                </c:pt>
                <c:pt idx="156">
                  <c:v>2913</c:v>
                </c:pt>
                <c:pt idx="157">
                  <c:v>2914</c:v>
                </c:pt>
                <c:pt idx="158">
                  <c:v>2915</c:v>
                </c:pt>
                <c:pt idx="159">
                  <c:v>2916</c:v>
                </c:pt>
                <c:pt idx="160">
                  <c:v>3257</c:v>
                </c:pt>
                <c:pt idx="161">
                  <c:v>3258</c:v>
                </c:pt>
                <c:pt idx="162">
                  <c:v>3259</c:v>
                </c:pt>
                <c:pt idx="163">
                  <c:v>3260</c:v>
                </c:pt>
                <c:pt idx="164">
                  <c:v>3261</c:v>
                </c:pt>
                <c:pt idx="165">
                  <c:v>3262</c:v>
                </c:pt>
                <c:pt idx="166">
                  <c:v>3263</c:v>
                </c:pt>
                <c:pt idx="167">
                  <c:v>3264</c:v>
                </c:pt>
                <c:pt idx="168">
                  <c:v>3265</c:v>
                </c:pt>
                <c:pt idx="169">
                  <c:v>3266</c:v>
                </c:pt>
                <c:pt idx="170">
                  <c:v>3267</c:v>
                </c:pt>
                <c:pt idx="171">
                  <c:v>3268</c:v>
                </c:pt>
                <c:pt idx="172">
                  <c:v>3269</c:v>
                </c:pt>
                <c:pt idx="173">
                  <c:v>3270</c:v>
                </c:pt>
                <c:pt idx="174">
                  <c:v>3271</c:v>
                </c:pt>
                <c:pt idx="175">
                  <c:v>3272</c:v>
                </c:pt>
                <c:pt idx="176">
                  <c:v>3273</c:v>
                </c:pt>
                <c:pt idx="177">
                  <c:v>3274</c:v>
                </c:pt>
                <c:pt idx="178">
                  <c:v>3275</c:v>
                </c:pt>
                <c:pt idx="179">
                  <c:v>3276</c:v>
                </c:pt>
                <c:pt idx="180">
                  <c:v>4443</c:v>
                </c:pt>
                <c:pt idx="181">
                  <c:v>4445</c:v>
                </c:pt>
                <c:pt idx="182">
                  <c:v>4446</c:v>
                </c:pt>
                <c:pt idx="183">
                  <c:v>4447</c:v>
                </c:pt>
                <c:pt idx="184">
                  <c:v>4448</c:v>
                </c:pt>
                <c:pt idx="185">
                  <c:v>4449</c:v>
                </c:pt>
                <c:pt idx="186">
                  <c:v>4450</c:v>
                </c:pt>
                <c:pt idx="187">
                  <c:v>4451</c:v>
                </c:pt>
                <c:pt idx="188">
                  <c:v>4452</c:v>
                </c:pt>
                <c:pt idx="189">
                  <c:v>4453</c:v>
                </c:pt>
                <c:pt idx="190">
                  <c:v>4454</c:v>
                </c:pt>
                <c:pt idx="191">
                  <c:v>4455</c:v>
                </c:pt>
                <c:pt idx="192">
                  <c:v>4456</c:v>
                </c:pt>
                <c:pt idx="193">
                  <c:v>4457</c:v>
                </c:pt>
                <c:pt idx="194">
                  <c:v>4458</c:v>
                </c:pt>
                <c:pt idx="195">
                  <c:v>4459</c:v>
                </c:pt>
                <c:pt idx="196">
                  <c:v>4460</c:v>
                </c:pt>
                <c:pt idx="197">
                  <c:v>4461</c:v>
                </c:pt>
                <c:pt idx="198">
                  <c:v>4462</c:v>
                </c:pt>
                <c:pt idx="199">
                  <c:v>4463</c:v>
                </c:pt>
                <c:pt idx="200">
                  <c:v>4740</c:v>
                </c:pt>
                <c:pt idx="201">
                  <c:v>4741</c:v>
                </c:pt>
                <c:pt idx="202">
                  <c:v>4742</c:v>
                </c:pt>
                <c:pt idx="203">
                  <c:v>4743</c:v>
                </c:pt>
                <c:pt idx="204">
                  <c:v>4744</c:v>
                </c:pt>
                <c:pt idx="205">
                  <c:v>4745</c:v>
                </c:pt>
                <c:pt idx="206">
                  <c:v>4746</c:v>
                </c:pt>
                <c:pt idx="207">
                  <c:v>4747</c:v>
                </c:pt>
                <c:pt idx="208">
                  <c:v>4748</c:v>
                </c:pt>
                <c:pt idx="209">
                  <c:v>4749</c:v>
                </c:pt>
                <c:pt idx="210">
                  <c:v>4750</c:v>
                </c:pt>
                <c:pt idx="211">
                  <c:v>4751</c:v>
                </c:pt>
                <c:pt idx="212">
                  <c:v>4752</c:v>
                </c:pt>
                <c:pt idx="213">
                  <c:v>4753</c:v>
                </c:pt>
                <c:pt idx="214">
                  <c:v>4754</c:v>
                </c:pt>
                <c:pt idx="215">
                  <c:v>4755</c:v>
                </c:pt>
                <c:pt idx="216">
                  <c:v>4756</c:v>
                </c:pt>
                <c:pt idx="217">
                  <c:v>4757</c:v>
                </c:pt>
                <c:pt idx="218">
                  <c:v>4758</c:v>
                </c:pt>
                <c:pt idx="219">
                  <c:v>4759</c:v>
                </c:pt>
                <c:pt idx="220">
                  <c:v>5191</c:v>
                </c:pt>
                <c:pt idx="221">
                  <c:v>5192</c:v>
                </c:pt>
                <c:pt idx="222">
                  <c:v>5193</c:v>
                </c:pt>
                <c:pt idx="223">
                  <c:v>5194</c:v>
                </c:pt>
                <c:pt idx="224">
                  <c:v>5195</c:v>
                </c:pt>
                <c:pt idx="225">
                  <c:v>5196</c:v>
                </c:pt>
                <c:pt idx="226">
                  <c:v>5197</c:v>
                </c:pt>
                <c:pt idx="227">
                  <c:v>5198</c:v>
                </c:pt>
                <c:pt idx="228">
                  <c:v>5199</c:v>
                </c:pt>
                <c:pt idx="229">
                  <c:v>5200</c:v>
                </c:pt>
                <c:pt idx="230">
                  <c:v>5201</c:v>
                </c:pt>
                <c:pt idx="231">
                  <c:v>5202</c:v>
                </c:pt>
                <c:pt idx="232">
                  <c:v>5203</c:v>
                </c:pt>
                <c:pt idx="233">
                  <c:v>5204</c:v>
                </c:pt>
                <c:pt idx="234">
                  <c:v>5205</c:v>
                </c:pt>
                <c:pt idx="235">
                  <c:v>5206</c:v>
                </c:pt>
                <c:pt idx="236">
                  <c:v>5207</c:v>
                </c:pt>
                <c:pt idx="237">
                  <c:v>5208</c:v>
                </c:pt>
                <c:pt idx="238">
                  <c:v>5209</c:v>
                </c:pt>
                <c:pt idx="239">
                  <c:v>5210</c:v>
                </c:pt>
                <c:pt idx="240">
                  <c:v>5544</c:v>
                </c:pt>
                <c:pt idx="241">
                  <c:v>5545</c:v>
                </c:pt>
                <c:pt idx="242">
                  <c:v>5546</c:v>
                </c:pt>
                <c:pt idx="243">
                  <c:v>5547</c:v>
                </c:pt>
                <c:pt idx="244">
                  <c:v>5548</c:v>
                </c:pt>
                <c:pt idx="245">
                  <c:v>5549</c:v>
                </c:pt>
                <c:pt idx="246">
                  <c:v>5550</c:v>
                </c:pt>
                <c:pt idx="247">
                  <c:v>5551</c:v>
                </c:pt>
                <c:pt idx="248">
                  <c:v>5552</c:v>
                </c:pt>
                <c:pt idx="249">
                  <c:v>5553</c:v>
                </c:pt>
                <c:pt idx="250">
                  <c:v>5554</c:v>
                </c:pt>
                <c:pt idx="251">
                  <c:v>5555</c:v>
                </c:pt>
                <c:pt idx="252">
                  <c:v>5556</c:v>
                </c:pt>
                <c:pt idx="253">
                  <c:v>5557</c:v>
                </c:pt>
                <c:pt idx="254">
                  <c:v>5558</c:v>
                </c:pt>
                <c:pt idx="255">
                  <c:v>5559</c:v>
                </c:pt>
                <c:pt idx="256">
                  <c:v>5560</c:v>
                </c:pt>
                <c:pt idx="257">
                  <c:v>5561</c:v>
                </c:pt>
                <c:pt idx="258">
                  <c:v>5562</c:v>
                </c:pt>
                <c:pt idx="259">
                  <c:v>5563</c:v>
                </c:pt>
                <c:pt idx="260">
                  <c:v>5915</c:v>
                </c:pt>
                <c:pt idx="261">
                  <c:v>5916</c:v>
                </c:pt>
                <c:pt idx="262">
                  <c:v>5917</c:v>
                </c:pt>
                <c:pt idx="263">
                  <c:v>5918</c:v>
                </c:pt>
                <c:pt idx="264">
                  <c:v>5919</c:v>
                </c:pt>
                <c:pt idx="265">
                  <c:v>5920</c:v>
                </c:pt>
                <c:pt idx="266">
                  <c:v>5921</c:v>
                </c:pt>
                <c:pt idx="267">
                  <c:v>5922</c:v>
                </c:pt>
                <c:pt idx="268">
                  <c:v>5923</c:v>
                </c:pt>
                <c:pt idx="269">
                  <c:v>5924</c:v>
                </c:pt>
                <c:pt idx="270">
                  <c:v>5925</c:v>
                </c:pt>
                <c:pt idx="271">
                  <c:v>5926</c:v>
                </c:pt>
                <c:pt idx="272">
                  <c:v>5927</c:v>
                </c:pt>
                <c:pt idx="273">
                  <c:v>5928</c:v>
                </c:pt>
                <c:pt idx="274">
                  <c:v>5929</c:v>
                </c:pt>
                <c:pt idx="275">
                  <c:v>5930</c:v>
                </c:pt>
                <c:pt idx="276">
                  <c:v>5931</c:v>
                </c:pt>
                <c:pt idx="277">
                  <c:v>5932</c:v>
                </c:pt>
                <c:pt idx="278">
                  <c:v>5933</c:v>
                </c:pt>
                <c:pt idx="279">
                  <c:v>5934</c:v>
                </c:pt>
                <c:pt idx="280">
                  <c:v>6137</c:v>
                </c:pt>
                <c:pt idx="281">
                  <c:v>6138</c:v>
                </c:pt>
                <c:pt idx="282">
                  <c:v>6139</c:v>
                </c:pt>
                <c:pt idx="283">
                  <c:v>6140</c:v>
                </c:pt>
                <c:pt idx="284">
                  <c:v>6141</c:v>
                </c:pt>
                <c:pt idx="285">
                  <c:v>6142</c:v>
                </c:pt>
                <c:pt idx="286">
                  <c:v>6143</c:v>
                </c:pt>
                <c:pt idx="287">
                  <c:v>6144</c:v>
                </c:pt>
                <c:pt idx="288">
                  <c:v>6145</c:v>
                </c:pt>
                <c:pt idx="289">
                  <c:v>6146</c:v>
                </c:pt>
                <c:pt idx="290">
                  <c:v>6147</c:v>
                </c:pt>
                <c:pt idx="291">
                  <c:v>6148</c:v>
                </c:pt>
                <c:pt idx="292">
                  <c:v>6149</c:v>
                </c:pt>
                <c:pt idx="293">
                  <c:v>6150</c:v>
                </c:pt>
                <c:pt idx="294">
                  <c:v>6151</c:v>
                </c:pt>
                <c:pt idx="295">
                  <c:v>6152</c:v>
                </c:pt>
                <c:pt idx="296">
                  <c:v>6153</c:v>
                </c:pt>
                <c:pt idx="297">
                  <c:v>6154</c:v>
                </c:pt>
                <c:pt idx="298">
                  <c:v>6155</c:v>
                </c:pt>
                <c:pt idx="299">
                  <c:v>6156</c:v>
                </c:pt>
                <c:pt idx="300">
                  <c:v>6600</c:v>
                </c:pt>
                <c:pt idx="301">
                  <c:v>6601</c:v>
                </c:pt>
                <c:pt idx="302">
                  <c:v>6602</c:v>
                </c:pt>
                <c:pt idx="303">
                  <c:v>6603</c:v>
                </c:pt>
                <c:pt idx="304">
                  <c:v>6604</c:v>
                </c:pt>
                <c:pt idx="305">
                  <c:v>6605</c:v>
                </c:pt>
                <c:pt idx="306">
                  <c:v>6606</c:v>
                </c:pt>
                <c:pt idx="307">
                  <c:v>6607</c:v>
                </c:pt>
                <c:pt idx="308">
                  <c:v>6608</c:v>
                </c:pt>
                <c:pt idx="309">
                  <c:v>6609</c:v>
                </c:pt>
                <c:pt idx="310">
                  <c:v>6610</c:v>
                </c:pt>
                <c:pt idx="311">
                  <c:v>6611</c:v>
                </c:pt>
                <c:pt idx="312">
                  <c:v>6612</c:v>
                </c:pt>
                <c:pt idx="313">
                  <c:v>6613</c:v>
                </c:pt>
                <c:pt idx="314">
                  <c:v>6614</c:v>
                </c:pt>
                <c:pt idx="315">
                  <c:v>6615</c:v>
                </c:pt>
                <c:pt idx="316">
                  <c:v>6616</c:v>
                </c:pt>
                <c:pt idx="317">
                  <c:v>6617</c:v>
                </c:pt>
                <c:pt idx="318">
                  <c:v>6618</c:v>
                </c:pt>
                <c:pt idx="319">
                  <c:v>6619</c:v>
                </c:pt>
                <c:pt idx="320">
                  <c:v>6823</c:v>
                </c:pt>
                <c:pt idx="321">
                  <c:v>6824</c:v>
                </c:pt>
                <c:pt idx="322">
                  <c:v>6825</c:v>
                </c:pt>
                <c:pt idx="323">
                  <c:v>6826</c:v>
                </c:pt>
                <c:pt idx="324">
                  <c:v>6827</c:v>
                </c:pt>
                <c:pt idx="325">
                  <c:v>6828</c:v>
                </c:pt>
                <c:pt idx="326">
                  <c:v>6829</c:v>
                </c:pt>
                <c:pt idx="327">
                  <c:v>6830</c:v>
                </c:pt>
                <c:pt idx="328">
                  <c:v>6831</c:v>
                </c:pt>
                <c:pt idx="329">
                  <c:v>6832</c:v>
                </c:pt>
                <c:pt idx="330">
                  <c:v>6833</c:v>
                </c:pt>
                <c:pt idx="331">
                  <c:v>6834</c:v>
                </c:pt>
                <c:pt idx="332">
                  <c:v>6835</c:v>
                </c:pt>
                <c:pt idx="333">
                  <c:v>6836</c:v>
                </c:pt>
                <c:pt idx="334">
                  <c:v>6837</c:v>
                </c:pt>
                <c:pt idx="335">
                  <c:v>6838</c:v>
                </c:pt>
                <c:pt idx="336">
                  <c:v>6839</c:v>
                </c:pt>
                <c:pt idx="337">
                  <c:v>6840</c:v>
                </c:pt>
                <c:pt idx="338">
                  <c:v>6841</c:v>
                </c:pt>
                <c:pt idx="339">
                  <c:v>6842</c:v>
                </c:pt>
                <c:pt idx="340">
                  <c:v>7090</c:v>
                </c:pt>
                <c:pt idx="341">
                  <c:v>7091</c:v>
                </c:pt>
                <c:pt idx="342">
                  <c:v>7092</c:v>
                </c:pt>
                <c:pt idx="343">
                  <c:v>7093</c:v>
                </c:pt>
                <c:pt idx="344">
                  <c:v>7094</c:v>
                </c:pt>
                <c:pt idx="345">
                  <c:v>7095</c:v>
                </c:pt>
                <c:pt idx="346">
                  <c:v>7096</c:v>
                </c:pt>
                <c:pt idx="347">
                  <c:v>7097</c:v>
                </c:pt>
                <c:pt idx="348">
                  <c:v>7098</c:v>
                </c:pt>
                <c:pt idx="349">
                  <c:v>7099</c:v>
                </c:pt>
                <c:pt idx="350">
                  <c:v>7100</c:v>
                </c:pt>
                <c:pt idx="351">
                  <c:v>7101</c:v>
                </c:pt>
                <c:pt idx="352">
                  <c:v>7102</c:v>
                </c:pt>
                <c:pt idx="353">
                  <c:v>7103</c:v>
                </c:pt>
                <c:pt idx="354">
                  <c:v>7104</c:v>
                </c:pt>
                <c:pt idx="355">
                  <c:v>7105</c:v>
                </c:pt>
                <c:pt idx="356">
                  <c:v>7106</c:v>
                </c:pt>
                <c:pt idx="357">
                  <c:v>7107</c:v>
                </c:pt>
                <c:pt idx="358">
                  <c:v>7108</c:v>
                </c:pt>
                <c:pt idx="359">
                  <c:v>7109</c:v>
                </c:pt>
                <c:pt idx="360">
                  <c:v>7413</c:v>
                </c:pt>
                <c:pt idx="361">
                  <c:v>7414</c:v>
                </c:pt>
                <c:pt idx="362">
                  <c:v>7415</c:v>
                </c:pt>
                <c:pt idx="363">
                  <c:v>7416</c:v>
                </c:pt>
                <c:pt idx="364">
                  <c:v>7417</c:v>
                </c:pt>
                <c:pt idx="365">
                  <c:v>7418</c:v>
                </c:pt>
                <c:pt idx="366">
                  <c:v>7419</c:v>
                </c:pt>
                <c:pt idx="367">
                  <c:v>7420</c:v>
                </c:pt>
                <c:pt idx="368">
                  <c:v>7421</c:v>
                </c:pt>
                <c:pt idx="369">
                  <c:v>7422</c:v>
                </c:pt>
                <c:pt idx="370">
                  <c:v>7423</c:v>
                </c:pt>
                <c:pt idx="371">
                  <c:v>7424</c:v>
                </c:pt>
                <c:pt idx="372">
                  <c:v>7425</c:v>
                </c:pt>
                <c:pt idx="373">
                  <c:v>7426</c:v>
                </c:pt>
                <c:pt idx="374">
                  <c:v>7427</c:v>
                </c:pt>
                <c:pt idx="375">
                  <c:v>7428</c:v>
                </c:pt>
                <c:pt idx="376">
                  <c:v>7429</c:v>
                </c:pt>
                <c:pt idx="377">
                  <c:v>7430</c:v>
                </c:pt>
                <c:pt idx="378">
                  <c:v>7431</c:v>
                </c:pt>
                <c:pt idx="379">
                  <c:v>7432</c:v>
                </c:pt>
                <c:pt idx="380">
                  <c:v>7931</c:v>
                </c:pt>
                <c:pt idx="381">
                  <c:v>7932</c:v>
                </c:pt>
                <c:pt idx="382">
                  <c:v>7933</c:v>
                </c:pt>
                <c:pt idx="383">
                  <c:v>7934</c:v>
                </c:pt>
                <c:pt idx="384">
                  <c:v>7935</c:v>
                </c:pt>
                <c:pt idx="385">
                  <c:v>7936</c:v>
                </c:pt>
                <c:pt idx="386">
                  <c:v>7937</c:v>
                </c:pt>
                <c:pt idx="387">
                  <c:v>7938</c:v>
                </c:pt>
                <c:pt idx="388">
                  <c:v>7939</c:v>
                </c:pt>
                <c:pt idx="389">
                  <c:v>7940</c:v>
                </c:pt>
                <c:pt idx="390">
                  <c:v>7941</c:v>
                </c:pt>
                <c:pt idx="391">
                  <c:v>7942</c:v>
                </c:pt>
                <c:pt idx="392">
                  <c:v>7943</c:v>
                </c:pt>
                <c:pt idx="393">
                  <c:v>7944</c:v>
                </c:pt>
                <c:pt idx="394">
                  <c:v>7945</c:v>
                </c:pt>
                <c:pt idx="395">
                  <c:v>7946</c:v>
                </c:pt>
                <c:pt idx="396">
                  <c:v>7947</c:v>
                </c:pt>
                <c:pt idx="397">
                  <c:v>7948</c:v>
                </c:pt>
                <c:pt idx="398">
                  <c:v>7949</c:v>
                </c:pt>
                <c:pt idx="399">
                  <c:v>7950</c:v>
                </c:pt>
                <c:pt idx="400">
                  <c:v>8361</c:v>
                </c:pt>
                <c:pt idx="401">
                  <c:v>8362</c:v>
                </c:pt>
                <c:pt idx="402">
                  <c:v>8363</c:v>
                </c:pt>
                <c:pt idx="403">
                  <c:v>8364</c:v>
                </c:pt>
                <c:pt idx="404">
                  <c:v>8365</c:v>
                </c:pt>
                <c:pt idx="405">
                  <c:v>8366</c:v>
                </c:pt>
                <c:pt idx="406">
                  <c:v>8367</c:v>
                </c:pt>
                <c:pt idx="407">
                  <c:v>8368</c:v>
                </c:pt>
                <c:pt idx="408">
                  <c:v>8369</c:v>
                </c:pt>
                <c:pt idx="409">
                  <c:v>8370</c:v>
                </c:pt>
                <c:pt idx="410">
                  <c:v>8371</c:v>
                </c:pt>
                <c:pt idx="411">
                  <c:v>8372</c:v>
                </c:pt>
                <c:pt idx="412">
                  <c:v>8373</c:v>
                </c:pt>
                <c:pt idx="413">
                  <c:v>8374</c:v>
                </c:pt>
                <c:pt idx="414">
                  <c:v>8375</c:v>
                </c:pt>
                <c:pt idx="415">
                  <c:v>8376</c:v>
                </c:pt>
                <c:pt idx="416">
                  <c:v>8377</c:v>
                </c:pt>
                <c:pt idx="417">
                  <c:v>8378</c:v>
                </c:pt>
                <c:pt idx="418">
                  <c:v>8379</c:v>
                </c:pt>
                <c:pt idx="419">
                  <c:v>8380</c:v>
                </c:pt>
                <c:pt idx="420">
                  <c:v>8679</c:v>
                </c:pt>
                <c:pt idx="421">
                  <c:v>8680</c:v>
                </c:pt>
                <c:pt idx="422">
                  <c:v>8681</c:v>
                </c:pt>
                <c:pt idx="423">
                  <c:v>8682</c:v>
                </c:pt>
                <c:pt idx="424">
                  <c:v>8683</c:v>
                </c:pt>
                <c:pt idx="425">
                  <c:v>8684</c:v>
                </c:pt>
                <c:pt idx="426">
                  <c:v>8685</c:v>
                </c:pt>
                <c:pt idx="427">
                  <c:v>8686</c:v>
                </c:pt>
                <c:pt idx="428">
                  <c:v>8687</c:v>
                </c:pt>
                <c:pt idx="429">
                  <c:v>8688</c:v>
                </c:pt>
                <c:pt idx="430">
                  <c:v>8689</c:v>
                </c:pt>
                <c:pt idx="431">
                  <c:v>8690</c:v>
                </c:pt>
                <c:pt idx="432">
                  <c:v>8691</c:v>
                </c:pt>
                <c:pt idx="433">
                  <c:v>8692</c:v>
                </c:pt>
                <c:pt idx="434">
                  <c:v>8693</c:v>
                </c:pt>
                <c:pt idx="435">
                  <c:v>8694</c:v>
                </c:pt>
                <c:pt idx="436">
                  <c:v>8695</c:v>
                </c:pt>
                <c:pt idx="437">
                  <c:v>8696</c:v>
                </c:pt>
                <c:pt idx="438">
                  <c:v>8697</c:v>
                </c:pt>
                <c:pt idx="439">
                  <c:v>8698</c:v>
                </c:pt>
                <c:pt idx="440">
                  <c:v>9074</c:v>
                </c:pt>
                <c:pt idx="441">
                  <c:v>9075</c:v>
                </c:pt>
                <c:pt idx="442">
                  <c:v>9076</c:v>
                </c:pt>
                <c:pt idx="443">
                  <c:v>9077</c:v>
                </c:pt>
                <c:pt idx="444">
                  <c:v>9078</c:v>
                </c:pt>
                <c:pt idx="445">
                  <c:v>9079</c:v>
                </c:pt>
                <c:pt idx="446">
                  <c:v>9080</c:v>
                </c:pt>
                <c:pt idx="447">
                  <c:v>9081</c:v>
                </c:pt>
                <c:pt idx="448">
                  <c:v>9082</c:v>
                </c:pt>
                <c:pt idx="449">
                  <c:v>9083</c:v>
                </c:pt>
                <c:pt idx="450">
                  <c:v>9084</c:v>
                </c:pt>
                <c:pt idx="451">
                  <c:v>9085</c:v>
                </c:pt>
                <c:pt idx="452">
                  <c:v>9086</c:v>
                </c:pt>
                <c:pt idx="453">
                  <c:v>9087</c:v>
                </c:pt>
                <c:pt idx="454">
                  <c:v>9088</c:v>
                </c:pt>
                <c:pt idx="455">
                  <c:v>9089</c:v>
                </c:pt>
                <c:pt idx="456">
                  <c:v>9090</c:v>
                </c:pt>
                <c:pt idx="457">
                  <c:v>9091</c:v>
                </c:pt>
                <c:pt idx="458">
                  <c:v>9092</c:v>
                </c:pt>
                <c:pt idx="459">
                  <c:v>9093</c:v>
                </c:pt>
                <c:pt idx="460">
                  <c:v>9304</c:v>
                </c:pt>
                <c:pt idx="461">
                  <c:v>9305</c:v>
                </c:pt>
                <c:pt idx="462">
                  <c:v>9306</c:v>
                </c:pt>
                <c:pt idx="463">
                  <c:v>9307</c:v>
                </c:pt>
                <c:pt idx="464">
                  <c:v>9308</c:v>
                </c:pt>
                <c:pt idx="465">
                  <c:v>9309</c:v>
                </c:pt>
                <c:pt idx="466">
                  <c:v>9310</c:v>
                </c:pt>
                <c:pt idx="467">
                  <c:v>9311</c:v>
                </c:pt>
                <c:pt idx="468">
                  <c:v>9312</c:v>
                </c:pt>
                <c:pt idx="469">
                  <c:v>9313</c:v>
                </c:pt>
                <c:pt idx="470">
                  <c:v>9314</c:v>
                </c:pt>
                <c:pt idx="471">
                  <c:v>9315</c:v>
                </c:pt>
                <c:pt idx="472">
                  <c:v>9316</c:v>
                </c:pt>
                <c:pt idx="473">
                  <c:v>9317</c:v>
                </c:pt>
                <c:pt idx="474">
                  <c:v>9318</c:v>
                </c:pt>
                <c:pt idx="475">
                  <c:v>9319</c:v>
                </c:pt>
                <c:pt idx="476">
                  <c:v>9320</c:v>
                </c:pt>
                <c:pt idx="477">
                  <c:v>9321</c:v>
                </c:pt>
                <c:pt idx="478">
                  <c:v>9322</c:v>
                </c:pt>
                <c:pt idx="479">
                  <c:v>9323</c:v>
                </c:pt>
                <c:pt idx="480">
                  <c:v>9774</c:v>
                </c:pt>
                <c:pt idx="481">
                  <c:v>9775</c:v>
                </c:pt>
                <c:pt idx="482">
                  <c:v>9776</c:v>
                </c:pt>
                <c:pt idx="483">
                  <c:v>9777</c:v>
                </c:pt>
                <c:pt idx="484">
                  <c:v>9778</c:v>
                </c:pt>
                <c:pt idx="485">
                  <c:v>9779</c:v>
                </c:pt>
                <c:pt idx="486">
                  <c:v>9780</c:v>
                </c:pt>
                <c:pt idx="487">
                  <c:v>9781</c:v>
                </c:pt>
                <c:pt idx="488">
                  <c:v>9782</c:v>
                </c:pt>
                <c:pt idx="489">
                  <c:v>9783</c:v>
                </c:pt>
                <c:pt idx="490">
                  <c:v>9784</c:v>
                </c:pt>
                <c:pt idx="491">
                  <c:v>9785</c:v>
                </c:pt>
                <c:pt idx="492">
                  <c:v>9786</c:v>
                </c:pt>
                <c:pt idx="493">
                  <c:v>9787</c:v>
                </c:pt>
                <c:pt idx="494">
                  <c:v>9788</c:v>
                </c:pt>
                <c:pt idx="495">
                  <c:v>9789</c:v>
                </c:pt>
                <c:pt idx="496">
                  <c:v>9790</c:v>
                </c:pt>
                <c:pt idx="497">
                  <c:v>9791</c:v>
                </c:pt>
                <c:pt idx="498">
                  <c:v>9792</c:v>
                </c:pt>
                <c:pt idx="499">
                  <c:v>9793</c:v>
                </c:pt>
                <c:pt idx="500">
                  <c:v>10014</c:v>
                </c:pt>
                <c:pt idx="501">
                  <c:v>10015</c:v>
                </c:pt>
                <c:pt idx="502">
                  <c:v>10016</c:v>
                </c:pt>
                <c:pt idx="503">
                  <c:v>10017</c:v>
                </c:pt>
                <c:pt idx="504">
                  <c:v>10018</c:v>
                </c:pt>
                <c:pt idx="505">
                  <c:v>10019</c:v>
                </c:pt>
                <c:pt idx="506">
                  <c:v>10020</c:v>
                </c:pt>
                <c:pt idx="507">
                  <c:v>10021</c:v>
                </c:pt>
                <c:pt idx="508">
                  <c:v>10022</c:v>
                </c:pt>
                <c:pt idx="509">
                  <c:v>10023</c:v>
                </c:pt>
                <c:pt idx="510">
                  <c:v>10024</c:v>
                </c:pt>
                <c:pt idx="511">
                  <c:v>10025</c:v>
                </c:pt>
                <c:pt idx="512">
                  <c:v>10026</c:v>
                </c:pt>
                <c:pt idx="513">
                  <c:v>10027</c:v>
                </c:pt>
                <c:pt idx="514">
                  <c:v>10028</c:v>
                </c:pt>
                <c:pt idx="515">
                  <c:v>10029</c:v>
                </c:pt>
                <c:pt idx="516">
                  <c:v>10030</c:v>
                </c:pt>
                <c:pt idx="517">
                  <c:v>10031</c:v>
                </c:pt>
                <c:pt idx="518">
                  <c:v>10032</c:v>
                </c:pt>
                <c:pt idx="519">
                  <c:v>10033</c:v>
                </c:pt>
                <c:pt idx="520">
                  <c:v>11975</c:v>
                </c:pt>
                <c:pt idx="521">
                  <c:v>11976</c:v>
                </c:pt>
                <c:pt idx="522">
                  <c:v>11977</c:v>
                </c:pt>
                <c:pt idx="523">
                  <c:v>11978</c:v>
                </c:pt>
                <c:pt idx="524">
                  <c:v>11979</c:v>
                </c:pt>
                <c:pt idx="525">
                  <c:v>11980</c:v>
                </c:pt>
                <c:pt idx="526">
                  <c:v>11981</c:v>
                </c:pt>
                <c:pt idx="527">
                  <c:v>11982</c:v>
                </c:pt>
                <c:pt idx="528">
                  <c:v>11983</c:v>
                </c:pt>
                <c:pt idx="529">
                  <c:v>11984</c:v>
                </c:pt>
                <c:pt idx="530">
                  <c:v>11985</c:v>
                </c:pt>
                <c:pt idx="531">
                  <c:v>11986</c:v>
                </c:pt>
                <c:pt idx="532">
                  <c:v>11987</c:v>
                </c:pt>
                <c:pt idx="533">
                  <c:v>11988</c:v>
                </c:pt>
                <c:pt idx="534">
                  <c:v>11989</c:v>
                </c:pt>
                <c:pt idx="535">
                  <c:v>11990</c:v>
                </c:pt>
                <c:pt idx="536">
                  <c:v>11991</c:v>
                </c:pt>
                <c:pt idx="537">
                  <c:v>11992</c:v>
                </c:pt>
                <c:pt idx="538">
                  <c:v>11993</c:v>
                </c:pt>
                <c:pt idx="539">
                  <c:v>11994</c:v>
                </c:pt>
                <c:pt idx="540">
                  <c:v>12381</c:v>
                </c:pt>
                <c:pt idx="541">
                  <c:v>12382</c:v>
                </c:pt>
                <c:pt idx="542">
                  <c:v>12383</c:v>
                </c:pt>
                <c:pt idx="543">
                  <c:v>12384</c:v>
                </c:pt>
                <c:pt idx="544">
                  <c:v>12385</c:v>
                </c:pt>
                <c:pt idx="545">
                  <c:v>12386</c:v>
                </c:pt>
                <c:pt idx="546">
                  <c:v>12387</c:v>
                </c:pt>
                <c:pt idx="547">
                  <c:v>12388</c:v>
                </c:pt>
                <c:pt idx="548">
                  <c:v>12389</c:v>
                </c:pt>
                <c:pt idx="549">
                  <c:v>12390</c:v>
                </c:pt>
                <c:pt idx="550">
                  <c:v>12391</c:v>
                </c:pt>
                <c:pt idx="551">
                  <c:v>12392</c:v>
                </c:pt>
                <c:pt idx="552">
                  <c:v>12393</c:v>
                </c:pt>
                <c:pt idx="553">
                  <c:v>12394</c:v>
                </c:pt>
                <c:pt idx="554">
                  <c:v>12395</c:v>
                </c:pt>
                <c:pt idx="555">
                  <c:v>12396</c:v>
                </c:pt>
                <c:pt idx="556">
                  <c:v>12397</c:v>
                </c:pt>
                <c:pt idx="557">
                  <c:v>12398</c:v>
                </c:pt>
                <c:pt idx="558">
                  <c:v>12399</c:v>
                </c:pt>
                <c:pt idx="559">
                  <c:v>12400</c:v>
                </c:pt>
                <c:pt idx="560">
                  <c:v>12432</c:v>
                </c:pt>
                <c:pt idx="561">
                  <c:v>12433</c:v>
                </c:pt>
                <c:pt idx="562">
                  <c:v>12434</c:v>
                </c:pt>
                <c:pt idx="563">
                  <c:v>12435</c:v>
                </c:pt>
                <c:pt idx="564">
                  <c:v>12436</c:v>
                </c:pt>
                <c:pt idx="565">
                  <c:v>12437</c:v>
                </c:pt>
                <c:pt idx="566">
                  <c:v>12438</c:v>
                </c:pt>
                <c:pt idx="567">
                  <c:v>12439</c:v>
                </c:pt>
                <c:pt idx="568">
                  <c:v>12440</c:v>
                </c:pt>
                <c:pt idx="569">
                  <c:v>12441</c:v>
                </c:pt>
                <c:pt idx="570">
                  <c:v>12442</c:v>
                </c:pt>
                <c:pt idx="571">
                  <c:v>12443</c:v>
                </c:pt>
                <c:pt idx="572">
                  <c:v>12444</c:v>
                </c:pt>
                <c:pt idx="573">
                  <c:v>12445</c:v>
                </c:pt>
                <c:pt idx="574">
                  <c:v>12446</c:v>
                </c:pt>
                <c:pt idx="575">
                  <c:v>12447</c:v>
                </c:pt>
                <c:pt idx="576">
                  <c:v>12448</c:v>
                </c:pt>
                <c:pt idx="577">
                  <c:v>12449</c:v>
                </c:pt>
                <c:pt idx="578">
                  <c:v>12450</c:v>
                </c:pt>
                <c:pt idx="579">
                  <c:v>12451</c:v>
                </c:pt>
                <c:pt idx="580">
                  <c:v>12951</c:v>
                </c:pt>
                <c:pt idx="581">
                  <c:v>12952</c:v>
                </c:pt>
                <c:pt idx="582">
                  <c:v>12953</c:v>
                </c:pt>
                <c:pt idx="583">
                  <c:v>12954</c:v>
                </c:pt>
                <c:pt idx="584">
                  <c:v>12955</c:v>
                </c:pt>
                <c:pt idx="585">
                  <c:v>12956</c:v>
                </c:pt>
                <c:pt idx="586">
                  <c:v>12957</c:v>
                </c:pt>
                <c:pt idx="587">
                  <c:v>12958</c:v>
                </c:pt>
                <c:pt idx="588">
                  <c:v>12959</c:v>
                </c:pt>
                <c:pt idx="589">
                  <c:v>12960</c:v>
                </c:pt>
                <c:pt idx="590">
                  <c:v>12961</c:v>
                </c:pt>
                <c:pt idx="591">
                  <c:v>12962</c:v>
                </c:pt>
                <c:pt idx="592">
                  <c:v>12963</c:v>
                </c:pt>
                <c:pt idx="593">
                  <c:v>12964</c:v>
                </c:pt>
                <c:pt idx="594">
                  <c:v>12965</c:v>
                </c:pt>
                <c:pt idx="595">
                  <c:v>12966</c:v>
                </c:pt>
                <c:pt idx="596">
                  <c:v>12967</c:v>
                </c:pt>
                <c:pt idx="597">
                  <c:v>12968</c:v>
                </c:pt>
                <c:pt idx="598">
                  <c:v>12969</c:v>
                </c:pt>
                <c:pt idx="599">
                  <c:v>12970</c:v>
                </c:pt>
                <c:pt idx="600">
                  <c:v>13232</c:v>
                </c:pt>
                <c:pt idx="601">
                  <c:v>13233</c:v>
                </c:pt>
                <c:pt idx="602">
                  <c:v>13234</c:v>
                </c:pt>
                <c:pt idx="603">
                  <c:v>13235</c:v>
                </c:pt>
                <c:pt idx="604">
                  <c:v>13236</c:v>
                </c:pt>
                <c:pt idx="605">
                  <c:v>13237</c:v>
                </c:pt>
                <c:pt idx="606">
                  <c:v>13238</c:v>
                </c:pt>
                <c:pt idx="607">
                  <c:v>13239</c:v>
                </c:pt>
                <c:pt idx="608">
                  <c:v>13240</c:v>
                </c:pt>
                <c:pt idx="609">
                  <c:v>13241</c:v>
                </c:pt>
                <c:pt idx="610">
                  <c:v>13242</c:v>
                </c:pt>
                <c:pt idx="611">
                  <c:v>13243</c:v>
                </c:pt>
                <c:pt idx="612">
                  <c:v>13244</c:v>
                </c:pt>
                <c:pt idx="613">
                  <c:v>13245</c:v>
                </c:pt>
                <c:pt idx="614">
                  <c:v>13246</c:v>
                </c:pt>
                <c:pt idx="615">
                  <c:v>13247</c:v>
                </c:pt>
                <c:pt idx="616">
                  <c:v>13248</c:v>
                </c:pt>
                <c:pt idx="617">
                  <c:v>13249</c:v>
                </c:pt>
                <c:pt idx="618">
                  <c:v>13250</c:v>
                </c:pt>
                <c:pt idx="619">
                  <c:v>13251</c:v>
                </c:pt>
                <c:pt idx="620">
                  <c:v>13760</c:v>
                </c:pt>
                <c:pt idx="621">
                  <c:v>13761</c:v>
                </c:pt>
                <c:pt idx="622">
                  <c:v>13762</c:v>
                </c:pt>
                <c:pt idx="623">
                  <c:v>13763</c:v>
                </c:pt>
                <c:pt idx="624">
                  <c:v>13764</c:v>
                </c:pt>
                <c:pt idx="625">
                  <c:v>13765</c:v>
                </c:pt>
                <c:pt idx="626">
                  <c:v>13766</c:v>
                </c:pt>
                <c:pt idx="627">
                  <c:v>13767</c:v>
                </c:pt>
                <c:pt idx="628">
                  <c:v>13768</c:v>
                </c:pt>
                <c:pt idx="629">
                  <c:v>13769</c:v>
                </c:pt>
                <c:pt idx="630">
                  <c:v>13770</c:v>
                </c:pt>
                <c:pt idx="631">
                  <c:v>13771</c:v>
                </c:pt>
                <c:pt idx="632">
                  <c:v>13772</c:v>
                </c:pt>
                <c:pt idx="633">
                  <c:v>13773</c:v>
                </c:pt>
                <c:pt idx="634">
                  <c:v>13774</c:v>
                </c:pt>
                <c:pt idx="635">
                  <c:v>13775</c:v>
                </c:pt>
                <c:pt idx="636">
                  <c:v>13776</c:v>
                </c:pt>
                <c:pt idx="637">
                  <c:v>13777</c:v>
                </c:pt>
                <c:pt idx="638">
                  <c:v>13778</c:v>
                </c:pt>
                <c:pt idx="639">
                  <c:v>13779</c:v>
                </c:pt>
                <c:pt idx="640">
                  <c:v>14021</c:v>
                </c:pt>
                <c:pt idx="641">
                  <c:v>14022</c:v>
                </c:pt>
                <c:pt idx="642">
                  <c:v>14023</c:v>
                </c:pt>
                <c:pt idx="643">
                  <c:v>14024</c:v>
                </c:pt>
                <c:pt idx="644">
                  <c:v>14025</c:v>
                </c:pt>
                <c:pt idx="645">
                  <c:v>14026</c:v>
                </c:pt>
                <c:pt idx="646">
                  <c:v>14027</c:v>
                </c:pt>
                <c:pt idx="647">
                  <c:v>14028</c:v>
                </c:pt>
                <c:pt idx="648">
                  <c:v>14029</c:v>
                </c:pt>
                <c:pt idx="649">
                  <c:v>14030</c:v>
                </c:pt>
                <c:pt idx="650">
                  <c:v>14031</c:v>
                </c:pt>
                <c:pt idx="651">
                  <c:v>14032</c:v>
                </c:pt>
                <c:pt idx="652">
                  <c:v>14033</c:v>
                </c:pt>
                <c:pt idx="653">
                  <c:v>14034</c:v>
                </c:pt>
                <c:pt idx="654">
                  <c:v>14035</c:v>
                </c:pt>
                <c:pt idx="655">
                  <c:v>14036</c:v>
                </c:pt>
                <c:pt idx="656">
                  <c:v>14037</c:v>
                </c:pt>
                <c:pt idx="657">
                  <c:v>14038</c:v>
                </c:pt>
                <c:pt idx="658">
                  <c:v>14039</c:v>
                </c:pt>
                <c:pt idx="659">
                  <c:v>14040</c:v>
                </c:pt>
                <c:pt idx="660">
                  <c:v>14547</c:v>
                </c:pt>
                <c:pt idx="661">
                  <c:v>14548</c:v>
                </c:pt>
                <c:pt idx="662">
                  <c:v>14549</c:v>
                </c:pt>
                <c:pt idx="663">
                  <c:v>14550</c:v>
                </c:pt>
                <c:pt idx="664">
                  <c:v>14551</c:v>
                </c:pt>
                <c:pt idx="665">
                  <c:v>14552</c:v>
                </c:pt>
                <c:pt idx="666">
                  <c:v>14553</c:v>
                </c:pt>
                <c:pt idx="667">
                  <c:v>14554</c:v>
                </c:pt>
                <c:pt idx="668">
                  <c:v>14555</c:v>
                </c:pt>
                <c:pt idx="669">
                  <c:v>14556</c:v>
                </c:pt>
                <c:pt idx="670">
                  <c:v>14557</c:v>
                </c:pt>
                <c:pt idx="671">
                  <c:v>14558</c:v>
                </c:pt>
                <c:pt idx="672">
                  <c:v>14559</c:v>
                </c:pt>
                <c:pt idx="673">
                  <c:v>14560</c:v>
                </c:pt>
                <c:pt idx="674">
                  <c:v>14561</c:v>
                </c:pt>
                <c:pt idx="675">
                  <c:v>14562</c:v>
                </c:pt>
                <c:pt idx="676">
                  <c:v>14563</c:v>
                </c:pt>
                <c:pt idx="677">
                  <c:v>14564</c:v>
                </c:pt>
                <c:pt idx="678">
                  <c:v>14565</c:v>
                </c:pt>
                <c:pt idx="679">
                  <c:v>14566</c:v>
                </c:pt>
                <c:pt idx="680">
                  <c:v>14901</c:v>
                </c:pt>
                <c:pt idx="681">
                  <c:v>14902</c:v>
                </c:pt>
                <c:pt idx="682">
                  <c:v>14903</c:v>
                </c:pt>
                <c:pt idx="683">
                  <c:v>14904</c:v>
                </c:pt>
                <c:pt idx="684">
                  <c:v>14905</c:v>
                </c:pt>
                <c:pt idx="685">
                  <c:v>14906</c:v>
                </c:pt>
                <c:pt idx="686">
                  <c:v>14907</c:v>
                </c:pt>
                <c:pt idx="687">
                  <c:v>14908</c:v>
                </c:pt>
                <c:pt idx="688">
                  <c:v>14909</c:v>
                </c:pt>
                <c:pt idx="689">
                  <c:v>14910</c:v>
                </c:pt>
                <c:pt idx="690">
                  <c:v>14911</c:v>
                </c:pt>
                <c:pt idx="691">
                  <c:v>14912</c:v>
                </c:pt>
                <c:pt idx="692">
                  <c:v>14913</c:v>
                </c:pt>
                <c:pt idx="693">
                  <c:v>14914</c:v>
                </c:pt>
                <c:pt idx="694">
                  <c:v>14915</c:v>
                </c:pt>
                <c:pt idx="695">
                  <c:v>14916</c:v>
                </c:pt>
                <c:pt idx="696">
                  <c:v>14917</c:v>
                </c:pt>
                <c:pt idx="697">
                  <c:v>14918</c:v>
                </c:pt>
                <c:pt idx="698">
                  <c:v>14919</c:v>
                </c:pt>
                <c:pt idx="699">
                  <c:v>14920</c:v>
                </c:pt>
                <c:pt idx="700">
                  <c:v>15256</c:v>
                </c:pt>
                <c:pt idx="701">
                  <c:v>15257</c:v>
                </c:pt>
                <c:pt idx="702">
                  <c:v>15258</c:v>
                </c:pt>
                <c:pt idx="703">
                  <c:v>15259</c:v>
                </c:pt>
                <c:pt idx="704">
                  <c:v>15260</c:v>
                </c:pt>
                <c:pt idx="705">
                  <c:v>15261</c:v>
                </c:pt>
                <c:pt idx="706">
                  <c:v>15262</c:v>
                </c:pt>
                <c:pt idx="707">
                  <c:v>15263</c:v>
                </c:pt>
                <c:pt idx="708">
                  <c:v>15264</c:v>
                </c:pt>
                <c:pt idx="709">
                  <c:v>15265</c:v>
                </c:pt>
                <c:pt idx="710">
                  <c:v>15266</c:v>
                </c:pt>
                <c:pt idx="711">
                  <c:v>15267</c:v>
                </c:pt>
                <c:pt idx="712">
                  <c:v>15268</c:v>
                </c:pt>
                <c:pt idx="713">
                  <c:v>15269</c:v>
                </c:pt>
                <c:pt idx="714">
                  <c:v>15270</c:v>
                </c:pt>
                <c:pt idx="715">
                  <c:v>15271</c:v>
                </c:pt>
                <c:pt idx="716">
                  <c:v>15272</c:v>
                </c:pt>
                <c:pt idx="717">
                  <c:v>15273</c:v>
                </c:pt>
                <c:pt idx="718">
                  <c:v>15274</c:v>
                </c:pt>
                <c:pt idx="719">
                  <c:v>15275</c:v>
                </c:pt>
                <c:pt idx="720">
                  <c:v>15636</c:v>
                </c:pt>
                <c:pt idx="721">
                  <c:v>15637</c:v>
                </c:pt>
                <c:pt idx="722">
                  <c:v>15638</c:v>
                </c:pt>
                <c:pt idx="723">
                  <c:v>15639</c:v>
                </c:pt>
                <c:pt idx="724">
                  <c:v>15640</c:v>
                </c:pt>
                <c:pt idx="725">
                  <c:v>15641</c:v>
                </c:pt>
                <c:pt idx="726">
                  <c:v>15642</c:v>
                </c:pt>
                <c:pt idx="727">
                  <c:v>15643</c:v>
                </c:pt>
                <c:pt idx="728">
                  <c:v>15644</c:v>
                </c:pt>
                <c:pt idx="729">
                  <c:v>15645</c:v>
                </c:pt>
                <c:pt idx="730">
                  <c:v>15646</c:v>
                </c:pt>
                <c:pt idx="731">
                  <c:v>15647</c:v>
                </c:pt>
                <c:pt idx="732">
                  <c:v>15648</c:v>
                </c:pt>
                <c:pt idx="733">
                  <c:v>15649</c:v>
                </c:pt>
                <c:pt idx="734">
                  <c:v>15650</c:v>
                </c:pt>
                <c:pt idx="735">
                  <c:v>15651</c:v>
                </c:pt>
                <c:pt idx="736">
                  <c:v>15652</c:v>
                </c:pt>
                <c:pt idx="737">
                  <c:v>15653</c:v>
                </c:pt>
                <c:pt idx="738">
                  <c:v>15654</c:v>
                </c:pt>
                <c:pt idx="739">
                  <c:v>15655</c:v>
                </c:pt>
                <c:pt idx="740">
                  <c:v>16226</c:v>
                </c:pt>
                <c:pt idx="741">
                  <c:v>16227</c:v>
                </c:pt>
                <c:pt idx="742">
                  <c:v>16228</c:v>
                </c:pt>
                <c:pt idx="743">
                  <c:v>16229</c:v>
                </c:pt>
                <c:pt idx="744">
                  <c:v>16230</c:v>
                </c:pt>
                <c:pt idx="745">
                  <c:v>16231</c:v>
                </c:pt>
                <c:pt idx="746">
                  <c:v>16232</c:v>
                </c:pt>
                <c:pt idx="747">
                  <c:v>16233</c:v>
                </c:pt>
                <c:pt idx="748">
                  <c:v>16234</c:v>
                </c:pt>
                <c:pt idx="749">
                  <c:v>16235</c:v>
                </c:pt>
                <c:pt idx="750">
                  <c:v>16236</c:v>
                </c:pt>
                <c:pt idx="751">
                  <c:v>16237</c:v>
                </c:pt>
                <c:pt idx="752">
                  <c:v>16238</c:v>
                </c:pt>
                <c:pt idx="753">
                  <c:v>16239</c:v>
                </c:pt>
                <c:pt idx="754">
                  <c:v>16240</c:v>
                </c:pt>
                <c:pt idx="755">
                  <c:v>16241</c:v>
                </c:pt>
                <c:pt idx="756">
                  <c:v>16242</c:v>
                </c:pt>
                <c:pt idx="757">
                  <c:v>16243</c:v>
                </c:pt>
                <c:pt idx="758">
                  <c:v>16244</c:v>
                </c:pt>
                <c:pt idx="759">
                  <c:v>16245</c:v>
                </c:pt>
                <c:pt idx="760">
                  <c:v>19126</c:v>
                </c:pt>
                <c:pt idx="761">
                  <c:v>19127</c:v>
                </c:pt>
                <c:pt idx="762">
                  <c:v>19128</c:v>
                </c:pt>
                <c:pt idx="763">
                  <c:v>19129</c:v>
                </c:pt>
                <c:pt idx="764">
                  <c:v>19130</c:v>
                </c:pt>
                <c:pt idx="765">
                  <c:v>19131</c:v>
                </c:pt>
                <c:pt idx="766">
                  <c:v>19132</c:v>
                </c:pt>
                <c:pt idx="767">
                  <c:v>19133</c:v>
                </c:pt>
                <c:pt idx="768">
                  <c:v>19134</c:v>
                </c:pt>
                <c:pt idx="769">
                  <c:v>19135</c:v>
                </c:pt>
                <c:pt idx="770">
                  <c:v>19136</c:v>
                </c:pt>
                <c:pt idx="771">
                  <c:v>19137</c:v>
                </c:pt>
                <c:pt idx="772">
                  <c:v>19138</c:v>
                </c:pt>
                <c:pt idx="773">
                  <c:v>19139</c:v>
                </c:pt>
                <c:pt idx="774">
                  <c:v>19140</c:v>
                </c:pt>
                <c:pt idx="775">
                  <c:v>19141</c:v>
                </c:pt>
                <c:pt idx="776">
                  <c:v>19142</c:v>
                </c:pt>
                <c:pt idx="777">
                  <c:v>19143</c:v>
                </c:pt>
                <c:pt idx="778">
                  <c:v>19144</c:v>
                </c:pt>
                <c:pt idx="779">
                  <c:v>19145</c:v>
                </c:pt>
                <c:pt idx="780">
                  <c:v>19466</c:v>
                </c:pt>
                <c:pt idx="781">
                  <c:v>19467</c:v>
                </c:pt>
                <c:pt idx="782">
                  <c:v>19468</c:v>
                </c:pt>
                <c:pt idx="783">
                  <c:v>19469</c:v>
                </c:pt>
                <c:pt idx="784">
                  <c:v>19470</c:v>
                </c:pt>
                <c:pt idx="785">
                  <c:v>19471</c:v>
                </c:pt>
                <c:pt idx="786">
                  <c:v>19472</c:v>
                </c:pt>
                <c:pt idx="787">
                  <c:v>19473</c:v>
                </c:pt>
                <c:pt idx="788">
                  <c:v>19474</c:v>
                </c:pt>
                <c:pt idx="789">
                  <c:v>19475</c:v>
                </c:pt>
                <c:pt idx="790">
                  <c:v>19476</c:v>
                </c:pt>
                <c:pt idx="791">
                  <c:v>19477</c:v>
                </c:pt>
                <c:pt idx="792">
                  <c:v>19478</c:v>
                </c:pt>
                <c:pt idx="793">
                  <c:v>19479</c:v>
                </c:pt>
                <c:pt idx="794">
                  <c:v>19480</c:v>
                </c:pt>
                <c:pt idx="795">
                  <c:v>19481</c:v>
                </c:pt>
                <c:pt idx="796">
                  <c:v>19482</c:v>
                </c:pt>
                <c:pt idx="797">
                  <c:v>19483</c:v>
                </c:pt>
                <c:pt idx="798">
                  <c:v>19484</c:v>
                </c:pt>
                <c:pt idx="799">
                  <c:v>19485</c:v>
                </c:pt>
                <c:pt idx="800">
                  <c:v>19761</c:v>
                </c:pt>
                <c:pt idx="801">
                  <c:v>19762</c:v>
                </c:pt>
                <c:pt idx="802">
                  <c:v>19763</c:v>
                </c:pt>
                <c:pt idx="803">
                  <c:v>19764</c:v>
                </c:pt>
                <c:pt idx="804">
                  <c:v>19765</c:v>
                </c:pt>
                <c:pt idx="805">
                  <c:v>19766</c:v>
                </c:pt>
                <c:pt idx="806">
                  <c:v>19767</c:v>
                </c:pt>
                <c:pt idx="807">
                  <c:v>19768</c:v>
                </c:pt>
                <c:pt idx="808">
                  <c:v>19769</c:v>
                </c:pt>
                <c:pt idx="809">
                  <c:v>19770</c:v>
                </c:pt>
                <c:pt idx="810">
                  <c:v>19771</c:v>
                </c:pt>
                <c:pt idx="811">
                  <c:v>19772</c:v>
                </c:pt>
                <c:pt idx="812">
                  <c:v>19773</c:v>
                </c:pt>
                <c:pt idx="813">
                  <c:v>19774</c:v>
                </c:pt>
                <c:pt idx="814">
                  <c:v>19775</c:v>
                </c:pt>
                <c:pt idx="815">
                  <c:v>19776</c:v>
                </c:pt>
                <c:pt idx="816">
                  <c:v>19777</c:v>
                </c:pt>
                <c:pt idx="817">
                  <c:v>19778</c:v>
                </c:pt>
                <c:pt idx="818">
                  <c:v>19779</c:v>
                </c:pt>
                <c:pt idx="819">
                  <c:v>19780</c:v>
                </c:pt>
                <c:pt idx="820">
                  <c:v>20150</c:v>
                </c:pt>
                <c:pt idx="821">
                  <c:v>20151</c:v>
                </c:pt>
                <c:pt idx="822">
                  <c:v>20152</c:v>
                </c:pt>
                <c:pt idx="823">
                  <c:v>20153</c:v>
                </c:pt>
                <c:pt idx="824">
                  <c:v>20154</c:v>
                </c:pt>
                <c:pt idx="825">
                  <c:v>20155</c:v>
                </c:pt>
                <c:pt idx="826">
                  <c:v>20156</c:v>
                </c:pt>
                <c:pt idx="827">
                  <c:v>20157</c:v>
                </c:pt>
                <c:pt idx="828">
                  <c:v>20158</c:v>
                </c:pt>
                <c:pt idx="829">
                  <c:v>20159</c:v>
                </c:pt>
                <c:pt idx="830">
                  <c:v>20160</c:v>
                </c:pt>
                <c:pt idx="831">
                  <c:v>20161</c:v>
                </c:pt>
                <c:pt idx="832">
                  <c:v>20162</c:v>
                </c:pt>
                <c:pt idx="833">
                  <c:v>20163</c:v>
                </c:pt>
                <c:pt idx="834">
                  <c:v>20164</c:v>
                </c:pt>
                <c:pt idx="835">
                  <c:v>20165</c:v>
                </c:pt>
                <c:pt idx="836">
                  <c:v>20166</c:v>
                </c:pt>
                <c:pt idx="837">
                  <c:v>20167</c:v>
                </c:pt>
                <c:pt idx="838">
                  <c:v>20168</c:v>
                </c:pt>
                <c:pt idx="839">
                  <c:v>20169</c:v>
                </c:pt>
                <c:pt idx="840">
                  <c:v>20434</c:v>
                </c:pt>
                <c:pt idx="841">
                  <c:v>20435</c:v>
                </c:pt>
                <c:pt idx="842">
                  <c:v>20436</c:v>
                </c:pt>
                <c:pt idx="843">
                  <c:v>20437</c:v>
                </c:pt>
                <c:pt idx="844">
                  <c:v>20438</c:v>
                </c:pt>
                <c:pt idx="845">
                  <c:v>20439</c:v>
                </c:pt>
                <c:pt idx="846">
                  <c:v>20440</c:v>
                </c:pt>
                <c:pt idx="847">
                  <c:v>20441</c:v>
                </c:pt>
                <c:pt idx="848">
                  <c:v>20442</c:v>
                </c:pt>
                <c:pt idx="849">
                  <c:v>20443</c:v>
                </c:pt>
                <c:pt idx="850">
                  <c:v>20444</c:v>
                </c:pt>
                <c:pt idx="851">
                  <c:v>20445</c:v>
                </c:pt>
                <c:pt idx="852">
                  <c:v>20446</c:v>
                </c:pt>
                <c:pt idx="853">
                  <c:v>20447</c:v>
                </c:pt>
                <c:pt idx="854">
                  <c:v>20448</c:v>
                </c:pt>
                <c:pt idx="855">
                  <c:v>20449</c:v>
                </c:pt>
                <c:pt idx="856">
                  <c:v>20450</c:v>
                </c:pt>
                <c:pt idx="857">
                  <c:v>20451</c:v>
                </c:pt>
                <c:pt idx="858">
                  <c:v>20452</c:v>
                </c:pt>
                <c:pt idx="859">
                  <c:v>20453</c:v>
                </c:pt>
                <c:pt idx="860">
                  <c:v>20845</c:v>
                </c:pt>
                <c:pt idx="861">
                  <c:v>20846</c:v>
                </c:pt>
                <c:pt idx="862">
                  <c:v>20847</c:v>
                </c:pt>
                <c:pt idx="863">
                  <c:v>20848</c:v>
                </c:pt>
                <c:pt idx="864">
                  <c:v>20849</c:v>
                </c:pt>
                <c:pt idx="865">
                  <c:v>20850</c:v>
                </c:pt>
                <c:pt idx="866">
                  <c:v>20851</c:v>
                </c:pt>
                <c:pt idx="867">
                  <c:v>20852</c:v>
                </c:pt>
                <c:pt idx="868">
                  <c:v>20853</c:v>
                </c:pt>
                <c:pt idx="869">
                  <c:v>20854</c:v>
                </c:pt>
                <c:pt idx="870">
                  <c:v>20855</c:v>
                </c:pt>
                <c:pt idx="871">
                  <c:v>20856</c:v>
                </c:pt>
                <c:pt idx="872">
                  <c:v>20857</c:v>
                </c:pt>
                <c:pt idx="873">
                  <c:v>20858</c:v>
                </c:pt>
                <c:pt idx="874">
                  <c:v>20859</c:v>
                </c:pt>
                <c:pt idx="875">
                  <c:v>20860</c:v>
                </c:pt>
                <c:pt idx="876">
                  <c:v>20861</c:v>
                </c:pt>
                <c:pt idx="877">
                  <c:v>20862</c:v>
                </c:pt>
                <c:pt idx="878">
                  <c:v>20863</c:v>
                </c:pt>
                <c:pt idx="879">
                  <c:v>20864</c:v>
                </c:pt>
                <c:pt idx="880">
                  <c:v>21485</c:v>
                </c:pt>
                <c:pt idx="881">
                  <c:v>21486</c:v>
                </c:pt>
                <c:pt idx="882">
                  <c:v>21487</c:v>
                </c:pt>
                <c:pt idx="883">
                  <c:v>21488</c:v>
                </c:pt>
                <c:pt idx="884">
                  <c:v>21489</c:v>
                </c:pt>
                <c:pt idx="885">
                  <c:v>21490</c:v>
                </c:pt>
                <c:pt idx="886">
                  <c:v>21491</c:v>
                </c:pt>
                <c:pt idx="887">
                  <c:v>21492</c:v>
                </c:pt>
                <c:pt idx="888">
                  <c:v>21493</c:v>
                </c:pt>
                <c:pt idx="889">
                  <c:v>21494</c:v>
                </c:pt>
                <c:pt idx="890">
                  <c:v>21495</c:v>
                </c:pt>
                <c:pt idx="891">
                  <c:v>21496</c:v>
                </c:pt>
                <c:pt idx="892">
                  <c:v>21497</c:v>
                </c:pt>
                <c:pt idx="893">
                  <c:v>21498</c:v>
                </c:pt>
                <c:pt idx="894">
                  <c:v>21499</c:v>
                </c:pt>
                <c:pt idx="895">
                  <c:v>21500</c:v>
                </c:pt>
                <c:pt idx="896">
                  <c:v>21501</c:v>
                </c:pt>
                <c:pt idx="897">
                  <c:v>21502</c:v>
                </c:pt>
                <c:pt idx="898">
                  <c:v>21503</c:v>
                </c:pt>
                <c:pt idx="899">
                  <c:v>21504</c:v>
                </c:pt>
                <c:pt idx="900">
                  <c:v>21839</c:v>
                </c:pt>
                <c:pt idx="901">
                  <c:v>21840</c:v>
                </c:pt>
                <c:pt idx="902">
                  <c:v>21841</c:v>
                </c:pt>
                <c:pt idx="903">
                  <c:v>21842</c:v>
                </c:pt>
                <c:pt idx="904">
                  <c:v>21843</c:v>
                </c:pt>
                <c:pt idx="905">
                  <c:v>21844</c:v>
                </c:pt>
                <c:pt idx="906">
                  <c:v>21845</c:v>
                </c:pt>
                <c:pt idx="907">
                  <c:v>21846</c:v>
                </c:pt>
                <c:pt idx="908">
                  <c:v>21847</c:v>
                </c:pt>
                <c:pt idx="909">
                  <c:v>21848</c:v>
                </c:pt>
                <c:pt idx="910">
                  <c:v>21849</c:v>
                </c:pt>
                <c:pt idx="911">
                  <c:v>21850</c:v>
                </c:pt>
                <c:pt idx="912">
                  <c:v>21851</c:v>
                </c:pt>
                <c:pt idx="913">
                  <c:v>21852</c:v>
                </c:pt>
                <c:pt idx="914">
                  <c:v>21853</c:v>
                </c:pt>
                <c:pt idx="915">
                  <c:v>21854</c:v>
                </c:pt>
                <c:pt idx="916">
                  <c:v>21855</c:v>
                </c:pt>
                <c:pt idx="917">
                  <c:v>21856</c:v>
                </c:pt>
                <c:pt idx="918">
                  <c:v>21857</c:v>
                </c:pt>
                <c:pt idx="919">
                  <c:v>21858</c:v>
                </c:pt>
                <c:pt idx="920">
                  <c:v>22846</c:v>
                </c:pt>
                <c:pt idx="921">
                  <c:v>22847</c:v>
                </c:pt>
                <c:pt idx="922">
                  <c:v>22848</c:v>
                </c:pt>
                <c:pt idx="923">
                  <c:v>22849</c:v>
                </c:pt>
                <c:pt idx="924">
                  <c:v>22850</c:v>
                </c:pt>
                <c:pt idx="925">
                  <c:v>22851</c:v>
                </c:pt>
                <c:pt idx="926">
                  <c:v>22852</c:v>
                </c:pt>
                <c:pt idx="927">
                  <c:v>22853</c:v>
                </c:pt>
                <c:pt idx="928">
                  <c:v>22854</c:v>
                </c:pt>
                <c:pt idx="929">
                  <c:v>22855</c:v>
                </c:pt>
                <c:pt idx="930">
                  <c:v>22856</c:v>
                </c:pt>
                <c:pt idx="931">
                  <c:v>22857</c:v>
                </c:pt>
                <c:pt idx="932">
                  <c:v>22858</c:v>
                </c:pt>
                <c:pt idx="933">
                  <c:v>22859</c:v>
                </c:pt>
                <c:pt idx="934">
                  <c:v>22860</c:v>
                </c:pt>
                <c:pt idx="935">
                  <c:v>22861</c:v>
                </c:pt>
                <c:pt idx="936">
                  <c:v>22862</c:v>
                </c:pt>
                <c:pt idx="937">
                  <c:v>22863</c:v>
                </c:pt>
                <c:pt idx="938">
                  <c:v>22864</c:v>
                </c:pt>
                <c:pt idx="939">
                  <c:v>22865</c:v>
                </c:pt>
                <c:pt idx="940">
                  <c:v>23670</c:v>
                </c:pt>
                <c:pt idx="941">
                  <c:v>23671</c:v>
                </c:pt>
                <c:pt idx="942">
                  <c:v>23672</c:v>
                </c:pt>
                <c:pt idx="943">
                  <c:v>23673</c:v>
                </c:pt>
                <c:pt idx="944">
                  <c:v>23674</c:v>
                </c:pt>
                <c:pt idx="945">
                  <c:v>23675</c:v>
                </c:pt>
                <c:pt idx="946">
                  <c:v>23676</c:v>
                </c:pt>
                <c:pt idx="947">
                  <c:v>23677</c:v>
                </c:pt>
                <c:pt idx="948">
                  <c:v>23678</c:v>
                </c:pt>
                <c:pt idx="949">
                  <c:v>23679</c:v>
                </c:pt>
                <c:pt idx="950">
                  <c:v>23680</c:v>
                </c:pt>
                <c:pt idx="951">
                  <c:v>23681</c:v>
                </c:pt>
                <c:pt idx="952">
                  <c:v>23682</c:v>
                </c:pt>
                <c:pt idx="953">
                  <c:v>23683</c:v>
                </c:pt>
                <c:pt idx="954">
                  <c:v>23684</c:v>
                </c:pt>
                <c:pt idx="955">
                  <c:v>23685</c:v>
                </c:pt>
                <c:pt idx="956">
                  <c:v>23686</c:v>
                </c:pt>
                <c:pt idx="957">
                  <c:v>23687</c:v>
                </c:pt>
                <c:pt idx="958">
                  <c:v>23688</c:v>
                </c:pt>
                <c:pt idx="959">
                  <c:v>23689</c:v>
                </c:pt>
                <c:pt idx="960">
                  <c:v>23690</c:v>
                </c:pt>
                <c:pt idx="961">
                  <c:v>23691</c:v>
                </c:pt>
                <c:pt idx="962">
                  <c:v>23692</c:v>
                </c:pt>
                <c:pt idx="963">
                  <c:v>23693</c:v>
                </c:pt>
                <c:pt idx="964">
                  <c:v>23694</c:v>
                </c:pt>
                <c:pt idx="965">
                  <c:v>23695</c:v>
                </c:pt>
                <c:pt idx="966">
                  <c:v>23696</c:v>
                </c:pt>
                <c:pt idx="967">
                  <c:v>23697</c:v>
                </c:pt>
                <c:pt idx="968">
                  <c:v>23698</c:v>
                </c:pt>
                <c:pt idx="969">
                  <c:v>23699</c:v>
                </c:pt>
                <c:pt idx="970">
                  <c:v>23700</c:v>
                </c:pt>
                <c:pt idx="971">
                  <c:v>23701</c:v>
                </c:pt>
                <c:pt idx="972">
                  <c:v>23702</c:v>
                </c:pt>
                <c:pt idx="973">
                  <c:v>23703</c:v>
                </c:pt>
                <c:pt idx="974">
                  <c:v>23704</c:v>
                </c:pt>
                <c:pt idx="975">
                  <c:v>23705</c:v>
                </c:pt>
                <c:pt idx="976">
                  <c:v>23706</c:v>
                </c:pt>
                <c:pt idx="977">
                  <c:v>23707</c:v>
                </c:pt>
                <c:pt idx="978">
                  <c:v>23708</c:v>
                </c:pt>
                <c:pt idx="979">
                  <c:v>23709</c:v>
                </c:pt>
              </c:numCache>
            </c:numRef>
          </c:xVal>
          <c:yVal>
            <c:numRef>
              <c:f>'Interpolated Physical'!$F$2:$F$981</c:f>
              <c:numCache>
                <c:formatCode>General</c:formatCode>
                <c:ptCount val="980"/>
                <c:pt idx="0" formatCode="0.0000">
                  <c:v>110</c:v>
                </c:pt>
                <c:pt idx="260" formatCode="0.000000">
                  <c:v>101</c:v>
                </c:pt>
                <c:pt idx="520" formatCode="0.000000">
                  <c:v>101</c:v>
                </c:pt>
                <c:pt idx="740" formatCode="0.000000">
                  <c:v>105</c:v>
                </c:pt>
                <c:pt idx="800" formatCode="0.000000">
                  <c:v>104</c:v>
                </c:pt>
                <c:pt idx="920" formatCode="0.000000">
                  <c:v>104</c:v>
                </c:pt>
                <c:pt idx="979" formatCode="0.000000">
                  <c:v>104</c:v>
                </c:pt>
              </c:numCache>
            </c:numRef>
          </c:yVal>
          <c:smooth val="0"/>
          <c:extLst>
            <c:ext xmlns:c16="http://schemas.microsoft.com/office/drawing/2014/chart" uri="{C3380CC4-5D6E-409C-BE32-E72D297353CC}">
              <c16:uniqueId val="{00000001-06AD-424F-B182-9906EA806EEB}"/>
            </c:ext>
          </c:extLst>
        </c:ser>
        <c:dLbls>
          <c:showLegendKey val="0"/>
          <c:showVal val="0"/>
          <c:showCatName val="0"/>
          <c:showSerName val="0"/>
          <c:showPercent val="0"/>
          <c:showBubbleSize val="0"/>
        </c:dLbls>
        <c:axId val="106302463"/>
        <c:axId val="106302047"/>
      </c:scatterChart>
      <c:valAx>
        <c:axId val="106302463"/>
        <c:scaling>
          <c:orientation val="minMax"/>
        </c:scaling>
        <c:delete val="0"/>
        <c:axPos val="b"/>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06302047"/>
        <c:crosses val="autoZero"/>
        <c:crossBetween val="midCat"/>
      </c:valAx>
      <c:valAx>
        <c:axId val="106302047"/>
        <c:scaling>
          <c:orientation val="minMax"/>
        </c:scaling>
        <c:delete val="0"/>
        <c:axPos val="l"/>
        <c:numFmt formatCode="0.00" sourceLinked="0"/>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06302463"/>
        <c:crosses val="autoZero"/>
        <c:crossBetween val="midCat"/>
      </c:valAx>
      <c:spPr>
        <a:noFill/>
        <a:ln w="3175">
          <a:solidFill>
            <a:schemeClr val="tx1"/>
          </a:solidFill>
        </a:ln>
        <a:effectLst/>
      </c:spPr>
    </c:plotArea>
    <c:legend>
      <c:legendPos val="r"/>
      <c:layout>
        <c:manualLayout>
          <c:xMode val="edge"/>
          <c:yMode val="edge"/>
          <c:x val="0.68091975353946266"/>
          <c:y val="6.398301023802612E-2"/>
          <c:w val="0.25453203509465955"/>
          <c:h val="0.14961021963103641"/>
        </c:manualLayout>
      </c:layout>
      <c:overlay val="1"/>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Garamond" panose="02020404030301010803" pitchFamily="18" charset="0"/>
        </a:defRPr>
      </a:pPr>
      <a:endParaRPr lang="sr-Latn-RS"/>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'Interpolated Physical'!$G$1</c:f>
              <c:strCache>
                <c:ptCount val="1"/>
                <c:pt idx="0">
                  <c:v>Flame point</c:v>
                </c:pt>
              </c:strCache>
            </c:strRef>
          </c:tx>
          <c:spPr>
            <a:ln w="25400" cap="rnd">
              <a:noFill/>
              <a:round/>
            </a:ln>
            <a:effectLst/>
          </c:spPr>
          <c:marker>
            <c:symbol val="square"/>
            <c:size val="10"/>
            <c:spPr>
              <a:noFill/>
              <a:ln w="3175">
                <a:solidFill>
                  <a:srgbClr val="0000FF"/>
                </a:solidFill>
              </a:ln>
              <a:effectLst/>
            </c:spPr>
          </c:marker>
          <c:trendline>
            <c:spPr>
              <a:ln w="3175" cap="rnd">
                <a:solidFill>
                  <a:srgbClr val="FF0000"/>
                </a:solidFill>
                <a:prstDash val="lgDash"/>
              </a:ln>
              <a:effectLst/>
            </c:spPr>
            <c:trendlineType val="poly"/>
            <c:order val="3"/>
            <c:dispRSqr val="1"/>
            <c:dispEq val="1"/>
            <c:trendlineLbl>
              <c:layout>
                <c:manualLayout>
                  <c:x val="7.3357917021664729E-3"/>
                  <c:y val="-0.17469515954766585"/>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rendlineLbl>
          </c:trendline>
          <c:xVal>
            <c:numRef>
              <c:f>'Interpolated Physical'!$A$2:$A$981</c:f>
              <c:numCache>
                <c:formatCode>General</c:formatCode>
                <c:ptCount val="98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432</c:v>
                </c:pt>
                <c:pt idx="21">
                  <c:v>433</c:v>
                </c:pt>
                <c:pt idx="22">
                  <c:v>434</c:v>
                </c:pt>
                <c:pt idx="23">
                  <c:v>435</c:v>
                </c:pt>
                <c:pt idx="24">
                  <c:v>436</c:v>
                </c:pt>
                <c:pt idx="25">
                  <c:v>437</c:v>
                </c:pt>
                <c:pt idx="26">
                  <c:v>438</c:v>
                </c:pt>
                <c:pt idx="27">
                  <c:v>439</c:v>
                </c:pt>
                <c:pt idx="28">
                  <c:v>440</c:v>
                </c:pt>
                <c:pt idx="29">
                  <c:v>441</c:v>
                </c:pt>
                <c:pt idx="30">
                  <c:v>442</c:v>
                </c:pt>
                <c:pt idx="31">
                  <c:v>443</c:v>
                </c:pt>
                <c:pt idx="32">
                  <c:v>444</c:v>
                </c:pt>
                <c:pt idx="33">
                  <c:v>445</c:v>
                </c:pt>
                <c:pt idx="34">
                  <c:v>446</c:v>
                </c:pt>
                <c:pt idx="35">
                  <c:v>447</c:v>
                </c:pt>
                <c:pt idx="36">
                  <c:v>448</c:v>
                </c:pt>
                <c:pt idx="37">
                  <c:v>449</c:v>
                </c:pt>
                <c:pt idx="38">
                  <c:v>450</c:v>
                </c:pt>
                <c:pt idx="39">
                  <c:v>451</c:v>
                </c:pt>
                <c:pt idx="40">
                  <c:v>818</c:v>
                </c:pt>
                <c:pt idx="41">
                  <c:v>819</c:v>
                </c:pt>
                <c:pt idx="42">
                  <c:v>820</c:v>
                </c:pt>
                <c:pt idx="43">
                  <c:v>821</c:v>
                </c:pt>
                <c:pt idx="44">
                  <c:v>822</c:v>
                </c:pt>
                <c:pt idx="45">
                  <c:v>823</c:v>
                </c:pt>
                <c:pt idx="46">
                  <c:v>824</c:v>
                </c:pt>
                <c:pt idx="47">
                  <c:v>825</c:v>
                </c:pt>
                <c:pt idx="48">
                  <c:v>826</c:v>
                </c:pt>
                <c:pt idx="49">
                  <c:v>827</c:v>
                </c:pt>
                <c:pt idx="50">
                  <c:v>828</c:v>
                </c:pt>
                <c:pt idx="51">
                  <c:v>829</c:v>
                </c:pt>
                <c:pt idx="52">
                  <c:v>830</c:v>
                </c:pt>
                <c:pt idx="53">
                  <c:v>831</c:v>
                </c:pt>
                <c:pt idx="54">
                  <c:v>832</c:v>
                </c:pt>
                <c:pt idx="55">
                  <c:v>833</c:v>
                </c:pt>
                <c:pt idx="56">
                  <c:v>834</c:v>
                </c:pt>
                <c:pt idx="57">
                  <c:v>835</c:v>
                </c:pt>
                <c:pt idx="58">
                  <c:v>836</c:v>
                </c:pt>
                <c:pt idx="59">
                  <c:v>837</c:v>
                </c:pt>
                <c:pt idx="60">
                  <c:v>1057</c:v>
                </c:pt>
                <c:pt idx="61">
                  <c:v>1058</c:v>
                </c:pt>
                <c:pt idx="62">
                  <c:v>1059</c:v>
                </c:pt>
                <c:pt idx="63">
                  <c:v>1060</c:v>
                </c:pt>
                <c:pt idx="64">
                  <c:v>1061</c:v>
                </c:pt>
                <c:pt idx="65">
                  <c:v>1062</c:v>
                </c:pt>
                <c:pt idx="66">
                  <c:v>1063</c:v>
                </c:pt>
                <c:pt idx="67">
                  <c:v>1064</c:v>
                </c:pt>
                <c:pt idx="68">
                  <c:v>1065</c:v>
                </c:pt>
                <c:pt idx="69">
                  <c:v>1066</c:v>
                </c:pt>
                <c:pt idx="70">
                  <c:v>1067</c:v>
                </c:pt>
                <c:pt idx="71">
                  <c:v>1068</c:v>
                </c:pt>
                <c:pt idx="72">
                  <c:v>1069</c:v>
                </c:pt>
                <c:pt idx="73">
                  <c:v>1070</c:v>
                </c:pt>
                <c:pt idx="74">
                  <c:v>1071</c:v>
                </c:pt>
                <c:pt idx="75">
                  <c:v>1072</c:v>
                </c:pt>
                <c:pt idx="76">
                  <c:v>1073</c:v>
                </c:pt>
                <c:pt idx="77">
                  <c:v>1074</c:v>
                </c:pt>
                <c:pt idx="78">
                  <c:v>1075</c:v>
                </c:pt>
                <c:pt idx="79">
                  <c:v>1076</c:v>
                </c:pt>
                <c:pt idx="80">
                  <c:v>1407</c:v>
                </c:pt>
                <c:pt idx="81">
                  <c:v>1408</c:v>
                </c:pt>
                <c:pt idx="82">
                  <c:v>1409</c:v>
                </c:pt>
                <c:pt idx="83">
                  <c:v>1410</c:v>
                </c:pt>
                <c:pt idx="84">
                  <c:v>1411</c:v>
                </c:pt>
                <c:pt idx="85">
                  <c:v>1412</c:v>
                </c:pt>
                <c:pt idx="86">
                  <c:v>1413</c:v>
                </c:pt>
                <c:pt idx="87">
                  <c:v>1414</c:v>
                </c:pt>
                <c:pt idx="88">
                  <c:v>1415</c:v>
                </c:pt>
                <c:pt idx="89">
                  <c:v>1416</c:v>
                </c:pt>
                <c:pt idx="90">
                  <c:v>1417</c:v>
                </c:pt>
                <c:pt idx="91">
                  <c:v>1418</c:v>
                </c:pt>
                <c:pt idx="92">
                  <c:v>1419</c:v>
                </c:pt>
                <c:pt idx="93">
                  <c:v>1420</c:v>
                </c:pt>
                <c:pt idx="94">
                  <c:v>1421</c:v>
                </c:pt>
                <c:pt idx="95">
                  <c:v>1422</c:v>
                </c:pt>
                <c:pt idx="96">
                  <c:v>1423</c:v>
                </c:pt>
                <c:pt idx="97">
                  <c:v>1424</c:v>
                </c:pt>
                <c:pt idx="98">
                  <c:v>1425</c:v>
                </c:pt>
                <c:pt idx="99">
                  <c:v>1426</c:v>
                </c:pt>
                <c:pt idx="100">
                  <c:v>1618</c:v>
                </c:pt>
                <c:pt idx="101">
                  <c:v>1619</c:v>
                </c:pt>
                <c:pt idx="102">
                  <c:v>1620</c:v>
                </c:pt>
                <c:pt idx="103">
                  <c:v>1621</c:v>
                </c:pt>
                <c:pt idx="104">
                  <c:v>1622</c:v>
                </c:pt>
                <c:pt idx="105">
                  <c:v>1623</c:v>
                </c:pt>
                <c:pt idx="106">
                  <c:v>1624</c:v>
                </c:pt>
                <c:pt idx="107">
                  <c:v>1625</c:v>
                </c:pt>
                <c:pt idx="108">
                  <c:v>1626</c:v>
                </c:pt>
                <c:pt idx="109">
                  <c:v>1627</c:v>
                </c:pt>
                <c:pt idx="110">
                  <c:v>1628</c:v>
                </c:pt>
                <c:pt idx="111">
                  <c:v>1629</c:v>
                </c:pt>
                <c:pt idx="112">
                  <c:v>1630</c:v>
                </c:pt>
                <c:pt idx="113">
                  <c:v>1631</c:v>
                </c:pt>
                <c:pt idx="114">
                  <c:v>1632</c:v>
                </c:pt>
                <c:pt idx="115">
                  <c:v>1633</c:v>
                </c:pt>
                <c:pt idx="116">
                  <c:v>1634</c:v>
                </c:pt>
                <c:pt idx="117">
                  <c:v>1635</c:v>
                </c:pt>
                <c:pt idx="118">
                  <c:v>1636</c:v>
                </c:pt>
                <c:pt idx="119">
                  <c:v>1637</c:v>
                </c:pt>
                <c:pt idx="120">
                  <c:v>2039</c:v>
                </c:pt>
                <c:pt idx="121">
                  <c:v>2040</c:v>
                </c:pt>
                <c:pt idx="122">
                  <c:v>2041</c:v>
                </c:pt>
                <c:pt idx="123">
                  <c:v>2042</c:v>
                </c:pt>
                <c:pt idx="124">
                  <c:v>2043</c:v>
                </c:pt>
                <c:pt idx="125">
                  <c:v>2044</c:v>
                </c:pt>
                <c:pt idx="126">
                  <c:v>2045</c:v>
                </c:pt>
                <c:pt idx="127">
                  <c:v>2046</c:v>
                </c:pt>
                <c:pt idx="128">
                  <c:v>2047</c:v>
                </c:pt>
                <c:pt idx="129">
                  <c:v>2048</c:v>
                </c:pt>
                <c:pt idx="130">
                  <c:v>2049</c:v>
                </c:pt>
                <c:pt idx="131">
                  <c:v>2050</c:v>
                </c:pt>
                <c:pt idx="132">
                  <c:v>2051</c:v>
                </c:pt>
                <c:pt idx="133">
                  <c:v>2052</c:v>
                </c:pt>
                <c:pt idx="134">
                  <c:v>2053</c:v>
                </c:pt>
                <c:pt idx="135">
                  <c:v>2054</c:v>
                </c:pt>
                <c:pt idx="136">
                  <c:v>2055</c:v>
                </c:pt>
                <c:pt idx="137">
                  <c:v>2056</c:v>
                </c:pt>
                <c:pt idx="138">
                  <c:v>2057</c:v>
                </c:pt>
                <c:pt idx="139">
                  <c:v>2058</c:v>
                </c:pt>
                <c:pt idx="140">
                  <c:v>2897</c:v>
                </c:pt>
                <c:pt idx="141">
                  <c:v>2898</c:v>
                </c:pt>
                <c:pt idx="142">
                  <c:v>2899</c:v>
                </c:pt>
                <c:pt idx="143">
                  <c:v>2900</c:v>
                </c:pt>
                <c:pt idx="144">
                  <c:v>2901</c:v>
                </c:pt>
                <c:pt idx="145">
                  <c:v>2902</c:v>
                </c:pt>
                <c:pt idx="146">
                  <c:v>2903</c:v>
                </c:pt>
                <c:pt idx="147">
                  <c:v>2904</c:v>
                </c:pt>
                <c:pt idx="148">
                  <c:v>2905</c:v>
                </c:pt>
                <c:pt idx="149">
                  <c:v>2906</c:v>
                </c:pt>
                <c:pt idx="150">
                  <c:v>2907</c:v>
                </c:pt>
                <c:pt idx="151">
                  <c:v>2908</c:v>
                </c:pt>
                <c:pt idx="152">
                  <c:v>2909</c:v>
                </c:pt>
                <c:pt idx="153">
                  <c:v>2910</c:v>
                </c:pt>
                <c:pt idx="154">
                  <c:v>2911</c:v>
                </c:pt>
                <c:pt idx="155">
                  <c:v>2912</c:v>
                </c:pt>
                <c:pt idx="156">
                  <c:v>2913</c:v>
                </c:pt>
                <c:pt idx="157">
                  <c:v>2914</c:v>
                </c:pt>
                <c:pt idx="158">
                  <c:v>2915</c:v>
                </c:pt>
                <c:pt idx="159">
                  <c:v>2916</c:v>
                </c:pt>
                <c:pt idx="160">
                  <c:v>3257</c:v>
                </c:pt>
                <c:pt idx="161">
                  <c:v>3258</c:v>
                </c:pt>
                <c:pt idx="162">
                  <c:v>3259</c:v>
                </c:pt>
                <c:pt idx="163">
                  <c:v>3260</c:v>
                </c:pt>
                <c:pt idx="164">
                  <c:v>3261</c:v>
                </c:pt>
                <c:pt idx="165">
                  <c:v>3262</c:v>
                </c:pt>
                <c:pt idx="166">
                  <c:v>3263</c:v>
                </c:pt>
                <c:pt idx="167">
                  <c:v>3264</c:v>
                </c:pt>
                <c:pt idx="168">
                  <c:v>3265</c:v>
                </c:pt>
                <c:pt idx="169">
                  <c:v>3266</c:v>
                </c:pt>
                <c:pt idx="170">
                  <c:v>3267</c:v>
                </c:pt>
                <c:pt idx="171">
                  <c:v>3268</c:v>
                </c:pt>
                <c:pt idx="172">
                  <c:v>3269</c:v>
                </c:pt>
                <c:pt idx="173">
                  <c:v>3270</c:v>
                </c:pt>
                <c:pt idx="174">
                  <c:v>3271</c:v>
                </c:pt>
                <c:pt idx="175">
                  <c:v>3272</c:v>
                </c:pt>
                <c:pt idx="176">
                  <c:v>3273</c:v>
                </c:pt>
                <c:pt idx="177">
                  <c:v>3274</c:v>
                </c:pt>
                <c:pt idx="178">
                  <c:v>3275</c:v>
                </c:pt>
                <c:pt idx="179">
                  <c:v>3276</c:v>
                </c:pt>
                <c:pt idx="180">
                  <c:v>4443</c:v>
                </c:pt>
                <c:pt idx="181">
                  <c:v>4445</c:v>
                </c:pt>
                <c:pt idx="182">
                  <c:v>4446</c:v>
                </c:pt>
                <c:pt idx="183">
                  <c:v>4447</c:v>
                </c:pt>
                <c:pt idx="184">
                  <c:v>4448</c:v>
                </c:pt>
                <c:pt idx="185">
                  <c:v>4449</c:v>
                </c:pt>
                <c:pt idx="186">
                  <c:v>4450</c:v>
                </c:pt>
                <c:pt idx="187">
                  <c:v>4451</c:v>
                </c:pt>
                <c:pt idx="188">
                  <c:v>4452</c:v>
                </c:pt>
                <c:pt idx="189">
                  <c:v>4453</c:v>
                </c:pt>
                <c:pt idx="190">
                  <c:v>4454</c:v>
                </c:pt>
                <c:pt idx="191">
                  <c:v>4455</c:v>
                </c:pt>
                <c:pt idx="192">
                  <c:v>4456</c:v>
                </c:pt>
                <c:pt idx="193">
                  <c:v>4457</c:v>
                </c:pt>
                <c:pt idx="194">
                  <c:v>4458</c:v>
                </c:pt>
                <c:pt idx="195">
                  <c:v>4459</c:v>
                </c:pt>
                <c:pt idx="196">
                  <c:v>4460</c:v>
                </c:pt>
                <c:pt idx="197">
                  <c:v>4461</c:v>
                </c:pt>
                <c:pt idx="198">
                  <c:v>4462</c:v>
                </c:pt>
                <c:pt idx="199">
                  <c:v>4463</c:v>
                </c:pt>
                <c:pt idx="200">
                  <c:v>4740</c:v>
                </c:pt>
                <c:pt idx="201">
                  <c:v>4741</c:v>
                </c:pt>
                <c:pt idx="202">
                  <c:v>4742</c:v>
                </c:pt>
                <c:pt idx="203">
                  <c:v>4743</c:v>
                </c:pt>
                <c:pt idx="204">
                  <c:v>4744</c:v>
                </c:pt>
                <c:pt idx="205">
                  <c:v>4745</c:v>
                </c:pt>
                <c:pt idx="206">
                  <c:v>4746</c:v>
                </c:pt>
                <c:pt idx="207">
                  <c:v>4747</c:v>
                </c:pt>
                <c:pt idx="208">
                  <c:v>4748</c:v>
                </c:pt>
                <c:pt idx="209">
                  <c:v>4749</c:v>
                </c:pt>
                <c:pt idx="210">
                  <c:v>4750</c:v>
                </c:pt>
                <c:pt idx="211">
                  <c:v>4751</c:v>
                </c:pt>
                <c:pt idx="212">
                  <c:v>4752</c:v>
                </c:pt>
                <c:pt idx="213">
                  <c:v>4753</c:v>
                </c:pt>
                <c:pt idx="214">
                  <c:v>4754</c:v>
                </c:pt>
                <c:pt idx="215">
                  <c:v>4755</c:v>
                </c:pt>
                <c:pt idx="216">
                  <c:v>4756</c:v>
                </c:pt>
                <c:pt idx="217">
                  <c:v>4757</c:v>
                </c:pt>
                <c:pt idx="218">
                  <c:v>4758</c:v>
                </c:pt>
                <c:pt idx="219">
                  <c:v>4759</c:v>
                </c:pt>
                <c:pt idx="220">
                  <c:v>5191</c:v>
                </c:pt>
                <c:pt idx="221">
                  <c:v>5192</c:v>
                </c:pt>
                <c:pt idx="222">
                  <c:v>5193</c:v>
                </c:pt>
                <c:pt idx="223">
                  <c:v>5194</c:v>
                </c:pt>
                <c:pt idx="224">
                  <c:v>5195</c:v>
                </c:pt>
                <c:pt idx="225">
                  <c:v>5196</c:v>
                </c:pt>
                <c:pt idx="226">
                  <c:v>5197</c:v>
                </c:pt>
                <c:pt idx="227">
                  <c:v>5198</c:v>
                </c:pt>
                <c:pt idx="228">
                  <c:v>5199</c:v>
                </c:pt>
                <c:pt idx="229">
                  <c:v>5200</c:v>
                </c:pt>
                <c:pt idx="230">
                  <c:v>5201</c:v>
                </c:pt>
                <c:pt idx="231">
                  <c:v>5202</c:v>
                </c:pt>
                <c:pt idx="232">
                  <c:v>5203</c:v>
                </c:pt>
                <c:pt idx="233">
                  <c:v>5204</c:v>
                </c:pt>
                <c:pt idx="234">
                  <c:v>5205</c:v>
                </c:pt>
                <c:pt idx="235">
                  <c:v>5206</c:v>
                </c:pt>
                <c:pt idx="236">
                  <c:v>5207</c:v>
                </c:pt>
                <c:pt idx="237">
                  <c:v>5208</c:v>
                </c:pt>
                <c:pt idx="238">
                  <c:v>5209</c:v>
                </c:pt>
                <c:pt idx="239">
                  <c:v>5210</c:v>
                </c:pt>
                <c:pt idx="240">
                  <c:v>5544</c:v>
                </c:pt>
                <c:pt idx="241">
                  <c:v>5545</c:v>
                </c:pt>
                <c:pt idx="242">
                  <c:v>5546</c:v>
                </c:pt>
                <c:pt idx="243">
                  <c:v>5547</c:v>
                </c:pt>
                <c:pt idx="244">
                  <c:v>5548</c:v>
                </c:pt>
                <c:pt idx="245">
                  <c:v>5549</c:v>
                </c:pt>
                <c:pt idx="246">
                  <c:v>5550</c:v>
                </c:pt>
                <c:pt idx="247">
                  <c:v>5551</c:v>
                </c:pt>
                <c:pt idx="248">
                  <c:v>5552</c:v>
                </c:pt>
                <c:pt idx="249">
                  <c:v>5553</c:v>
                </c:pt>
                <c:pt idx="250">
                  <c:v>5554</c:v>
                </c:pt>
                <c:pt idx="251">
                  <c:v>5555</c:v>
                </c:pt>
                <c:pt idx="252">
                  <c:v>5556</c:v>
                </c:pt>
                <c:pt idx="253">
                  <c:v>5557</c:v>
                </c:pt>
                <c:pt idx="254">
                  <c:v>5558</c:v>
                </c:pt>
                <c:pt idx="255">
                  <c:v>5559</c:v>
                </c:pt>
                <c:pt idx="256">
                  <c:v>5560</c:v>
                </c:pt>
                <c:pt idx="257">
                  <c:v>5561</c:v>
                </c:pt>
                <c:pt idx="258">
                  <c:v>5562</c:v>
                </c:pt>
                <c:pt idx="259">
                  <c:v>5563</c:v>
                </c:pt>
                <c:pt idx="260">
                  <c:v>5915</c:v>
                </c:pt>
                <c:pt idx="261">
                  <c:v>5916</c:v>
                </c:pt>
                <c:pt idx="262">
                  <c:v>5917</c:v>
                </c:pt>
                <c:pt idx="263">
                  <c:v>5918</c:v>
                </c:pt>
                <c:pt idx="264">
                  <c:v>5919</c:v>
                </c:pt>
                <c:pt idx="265">
                  <c:v>5920</c:v>
                </c:pt>
                <c:pt idx="266">
                  <c:v>5921</c:v>
                </c:pt>
                <c:pt idx="267">
                  <c:v>5922</c:v>
                </c:pt>
                <c:pt idx="268">
                  <c:v>5923</c:v>
                </c:pt>
                <c:pt idx="269">
                  <c:v>5924</c:v>
                </c:pt>
                <c:pt idx="270">
                  <c:v>5925</c:v>
                </c:pt>
                <c:pt idx="271">
                  <c:v>5926</c:v>
                </c:pt>
                <c:pt idx="272">
                  <c:v>5927</c:v>
                </c:pt>
                <c:pt idx="273">
                  <c:v>5928</c:v>
                </c:pt>
                <c:pt idx="274">
                  <c:v>5929</c:v>
                </c:pt>
                <c:pt idx="275">
                  <c:v>5930</c:v>
                </c:pt>
                <c:pt idx="276">
                  <c:v>5931</c:v>
                </c:pt>
                <c:pt idx="277">
                  <c:v>5932</c:v>
                </c:pt>
                <c:pt idx="278">
                  <c:v>5933</c:v>
                </c:pt>
                <c:pt idx="279">
                  <c:v>5934</c:v>
                </c:pt>
                <c:pt idx="280">
                  <c:v>6137</c:v>
                </c:pt>
                <c:pt idx="281">
                  <c:v>6138</c:v>
                </c:pt>
                <c:pt idx="282">
                  <c:v>6139</c:v>
                </c:pt>
                <c:pt idx="283">
                  <c:v>6140</c:v>
                </c:pt>
                <c:pt idx="284">
                  <c:v>6141</c:v>
                </c:pt>
                <c:pt idx="285">
                  <c:v>6142</c:v>
                </c:pt>
                <c:pt idx="286">
                  <c:v>6143</c:v>
                </c:pt>
                <c:pt idx="287">
                  <c:v>6144</c:v>
                </c:pt>
                <c:pt idx="288">
                  <c:v>6145</c:v>
                </c:pt>
                <c:pt idx="289">
                  <c:v>6146</c:v>
                </c:pt>
                <c:pt idx="290">
                  <c:v>6147</c:v>
                </c:pt>
                <c:pt idx="291">
                  <c:v>6148</c:v>
                </c:pt>
                <c:pt idx="292">
                  <c:v>6149</c:v>
                </c:pt>
                <c:pt idx="293">
                  <c:v>6150</c:v>
                </c:pt>
                <c:pt idx="294">
                  <c:v>6151</c:v>
                </c:pt>
                <c:pt idx="295">
                  <c:v>6152</c:v>
                </c:pt>
                <c:pt idx="296">
                  <c:v>6153</c:v>
                </c:pt>
                <c:pt idx="297">
                  <c:v>6154</c:v>
                </c:pt>
                <c:pt idx="298">
                  <c:v>6155</c:v>
                </c:pt>
                <c:pt idx="299">
                  <c:v>6156</c:v>
                </c:pt>
                <c:pt idx="300">
                  <c:v>6600</c:v>
                </c:pt>
                <c:pt idx="301">
                  <c:v>6601</c:v>
                </c:pt>
                <c:pt idx="302">
                  <c:v>6602</c:v>
                </c:pt>
                <c:pt idx="303">
                  <c:v>6603</c:v>
                </c:pt>
                <c:pt idx="304">
                  <c:v>6604</c:v>
                </c:pt>
                <c:pt idx="305">
                  <c:v>6605</c:v>
                </c:pt>
                <c:pt idx="306">
                  <c:v>6606</c:v>
                </c:pt>
                <c:pt idx="307">
                  <c:v>6607</c:v>
                </c:pt>
                <c:pt idx="308">
                  <c:v>6608</c:v>
                </c:pt>
                <c:pt idx="309">
                  <c:v>6609</c:v>
                </c:pt>
                <c:pt idx="310">
                  <c:v>6610</c:v>
                </c:pt>
                <c:pt idx="311">
                  <c:v>6611</c:v>
                </c:pt>
                <c:pt idx="312">
                  <c:v>6612</c:v>
                </c:pt>
                <c:pt idx="313">
                  <c:v>6613</c:v>
                </c:pt>
                <c:pt idx="314">
                  <c:v>6614</c:v>
                </c:pt>
                <c:pt idx="315">
                  <c:v>6615</c:v>
                </c:pt>
                <c:pt idx="316">
                  <c:v>6616</c:v>
                </c:pt>
                <c:pt idx="317">
                  <c:v>6617</c:v>
                </c:pt>
                <c:pt idx="318">
                  <c:v>6618</c:v>
                </c:pt>
                <c:pt idx="319">
                  <c:v>6619</c:v>
                </c:pt>
                <c:pt idx="320">
                  <c:v>6823</c:v>
                </c:pt>
                <c:pt idx="321">
                  <c:v>6824</c:v>
                </c:pt>
                <c:pt idx="322">
                  <c:v>6825</c:v>
                </c:pt>
                <c:pt idx="323">
                  <c:v>6826</c:v>
                </c:pt>
                <c:pt idx="324">
                  <c:v>6827</c:v>
                </c:pt>
                <c:pt idx="325">
                  <c:v>6828</c:v>
                </c:pt>
                <c:pt idx="326">
                  <c:v>6829</c:v>
                </c:pt>
                <c:pt idx="327">
                  <c:v>6830</c:v>
                </c:pt>
                <c:pt idx="328">
                  <c:v>6831</c:v>
                </c:pt>
                <c:pt idx="329">
                  <c:v>6832</c:v>
                </c:pt>
                <c:pt idx="330">
                  <c:v>6833</c:v>
                </c:pt>
                <c:pt idx="331">
                  <c:v>6834</c:v>
                </c:pt>
                <c:pt idx="332">
                  <c:v>6835</c:v>
                </c:pt>
                <c:pt idx="333">
                  <c:v>6836</c:v>
                </c:pt>
                <c:pt idx="334">
                  <c:v>6837</c:v>
                </c:pt>
                <c:pt idx="335">
                  <c:v>6838</c:v>
                </c:pt>
                <c:pt idx="336">
                  <c:v>6839</c:v>
                </c:pt>
                <c:pt idx="337">
                  <c:v>6840</c:v>
                </c:pt>
                <c:pt idx="338">
                  <c:v>6841</c:v>
                </c:pt>
                <c:pt idx="339">
                  <c:v>6842</c:v>
                </c:pt>
                <c:pt idx="340">
                  <c:v>7090</c:v>
                </c:pt>
                <c:pt idx="341">
                  <c:v>7091</c:v>
                </c:pt>
                <c:pt idx="342">
                  <c:v>7092</c:v>
                </c:pt>
                <c:pt idx="343">
                  <c:v>7093</c:v>
                </c:pt>
                <c:pt idx="344">
                  <c:v>7094</c:v>
                </c:pt>
                <c:pt idx="345">
                  <c:v>7095</c:v>
                </c:pt>
                <c:pt idx="346">
                  <c:v>7096</c:v>
                </c:pt>
                <c:pt idx="347">
                  <c:v>7097</c:v>
                </c:pt>
                <c:pt idx="348">
                  <c:v>7098</c:v>
                </c:pt>
                <c:pt idx="349">
                  <c:v>7099</c:v>
                </c:pt>
                <c:pt idx="350">
                  <c:v>7100</c:v>
                </c:pt>
                <c:pt idx="351">
                  <c:v>7101</c:v>
                </c:pt>
                <c:pt idx="352">
                  <c:v>7102</c:v>
                </c:pt>
                <c:pt idx="353">
                  <c:v>7103</c:v>
                </c:pt>
                <c:pt idx="354">
                  <c:v>7104</c:v>
                </c:pt>
                <c:pt idx="355">
                  <c:v>7105</c:v>
                </c:pt>
                <c:pt idx="356">
                  <c:v>7106</c:v>
                </c:pt>
                <c:pt idx="357">
                  <c:v>7107</c:v>
                </c:pt>
                <c:pt idx="358">
                  <c:v>7108</c:v>
                </c:pt>
                <c:pt idx="359">
                  <c:v>7109</c:v>
                </c:pt>
                <c:pt idx="360">
                  <c:v>7413</c:v>
                </c:pt>
                <c:pt idx="361">
                  <c:v>7414</c:v>
                </c:pt>
                <c:pt idx="362">
                  <c:v>7415</c:v>
                </c:pt>
                <c:pt idx="363">
                  <c:v>7416</c:v>
                </c:pt>
                <c:pt idx="364">
                  <c:v>7417</c:v>
                </c:pt>
                <c:pt idx="365">
                  <c:v>7418</c:v>
                </c:pt>
                <c:pt idx="366">
                  <c:v>7419</c:v>
                </c:pt>
                <c:pt idx="367">
                  <c:v>7420</c:v>
                </c:pt>
                <c:pt idx="368">
                  <c:v>7421</c:v>
                </c:pt>
                <c:pt idx="369">
                  <c:v>7422</c:v>
                </c:pt>
                <c:pt idx="370">
                  <c:v>7423</c:v>
                </c:pt>
                <c:pt idx="371">
                  <c:v>7424</c:v>
                </c:pt>
                <c:pt idx="372">
                  <c:v>7425</c:v>
                </c:pt>
                <c:pt idx="373">
                  <c:v>7426</c:v>
                </c:pt>
                <c:pt idx="374">
                  <c:v>7427</c:v>
                </c:pt>
                <c:pt idx="375">
                  <c:v>7428</c:v>
                </c:pt>
                <c:pt idx="376">
                  <c:v>7429</c:v>
                </c:pt>
                <c:pt idx="377">
                  <c:v>7430</c:v>
                </c:pt>
                <c:pt idx="378">
                  <c:v>7431</c:v>
                </c:pt>
                <c:pt idx="379">
                  <c:v>7432</c:v>
                </c:pt>
                <c:pt idx="380">
                  <c:v>7931</c:v>
                </c:pt>
                <c:pt idx="381">
                  <c:v>7932</c:v>
                </c:pt>
                <c:pt idx="382">
                  <c:v>7933</c:v>
                </c:pt>
                <c:pt idx="383">
                  <c:v>7934</c:v>
                </c:pt>
                <c:pt idx="384">
                  <c:v>7935</c:v>
                </c:pt>
                <c:pt idx="385">
                  <c:v>7936</c:v>
                </c:pt>
                <c:pt idx="386">
                  <c:v>7937</c:v>
                </c:pt>
                <c:pt idx="387">
                  <c:v>7938</c:v>
                </c:pt>
                <c:pt idx="388">
                  <c:v>7939</c:v>
                </c:pt>
                <c:pt idx="389">
                  <c:v>7940</c:v>
                </c:pt>
                <c:pt idx="390">
                  <c:v>7941</c:v>
                </c:pt>
                <c:pt idx="391">
                  <c:v>7942</c:v>
                </c:pt>
                <c:pt idx="392">
                  <c:v>7943</c:v>
                </c:pt>
                <c:pt idx="393">
                  <c:v>7944</c:v>
                </c:pt>
                <c:pt idx="394">
                  <c:v>7945</c:v>
                </c:pt>
                <c:pt idx="395">
                  <c:v>7946</c:v>
                </c:pt>
                <c:pt idx="396">
                  <c:v>7947</c:v>
                </c:pt>
                <c:pt idx="397">
                  <c:v>7948</c:v>
                </c:pt>
                <c:pt idx="398">
                  <c:v>7949</c:v>
                </c:pt>
                <c:pt idx="399">
                  <c:v>7950</c:v>
                </c:pt>
                <c:pt idx="400">
                  <c:v>8361</c:v>
                </c:pt>
                <c:pt idx="401">
                  <c:v>8362</c:v>
                </c:pt>
                <c:pt idx="402">
                  <c:v>8363</c:v>
                </c:pt>
                <c:pt idx="403">
                  <c:v>8364</c:v>
                </c:pt>
                <c:pt idx="404">
                  <c:v>8365</c:v>
                </c:pt>
                <c:pt idx="405">
                  <c:v>8366</c:v>
                </c:pt>
                <c:pt idx="406">
                  <c:v>8367</c:v>
                </c:pt>
                <c:pt idx="407">
                  <c:v>8368</c:v>
                </c:pt>
                <c:pt idx="408">
                  <c:v>8369</c:v>
                </c:pt>
                <c:pt idx="409">
                  <c:v>8370</c:v>
                </c:pt>
                <c:pt idx="410">
                  <c:v>8371</c:v>
                </c:pt>
                <c:pt idx="411">
                  <c:v>8372</c:v>
                </c:pt>
                <c:pt idx="412">
                  <c:v>8373</c:v>
                </c:pt>
                <c:pt idx="413">
                  <c:v>8374</c:v>
                </c:pt>
                <c:pt idx="414">
                  <c:v>8375</c:v>
                </c:pt>
                <c:pt idx="415">
                  <c:v>8376</c:v>
                </c:pt>
                <c:pt idx="416">
                  <c:v>8377</c:v>
                </c:pt>
                <c:pt idx="417">
                  <c:v>8378</c:v>
                </c:pt>
                <c:pt idx="418">
                  <c:v>8379</c:v>
                </c:pt>
                <c:pt idx="419">
                  <c:v>8380</c:v>
                </c:pt>
                <c:pt idx="420">
                  <c:v>8679</c:v>
                </c:pt>
                <c:pt idx="421">
                  <c:v>8680</c:v>
                </c:pt>
                <c:pt idx="422">
                  <c:v>8681</c:v>
                </c:pt>
                <c:pt idx="423">
                  <c:v>8682</c:v>
                </c:pt>
                <c:pt idx="424">
                  <c:v>8683</c:v>
                </c:pt>
                <c:pt idx="425">
                  <c:v>8684</c:v>
                </c:pt>
                <c:pt idx="426">
                  <c:v>8685</c:v>
                </c:pt>
                <c:pt idx="427">
                  <c:v>8686</c:v>
                </c:pt>
                <c:pt idx="428">
                  <c:v>8687</c:v>
                </c:pt>
                <c:pt idx="429">
                  <c:v>8688</c:v>
                </c:pt>
                <c:pt idx="430">
                  <c:v>8689</c:v>
                </c:pt>
                <c:pt idx="431">
                  <c:v>8690</c:v>
                </c:pt>
                <c:pt idx="432">
                  <c:v>8691</c:v>
                </c:pt>
                <c:pt idx="433">
                  <c:v>8692</c:v>
                </c:pt>
                <c:pt idx="434">
                  <c:v>8693</c:v>
                </c:pt>
                <c:pt idx="435">
                  <c:v>8694</c:v>
                </c:pt>
                <c:pt idx="436">
                  <c:v>8695</c:v>
                </c:pt>
                <c:pt idx="437">
                  <c:v>8696</c:v>
                </c:pt>
                <c:pt idx="438">
                  <c:v>8697</c:v>
                </c:pt>
                <c:pt idx="439">
                  <c:v>8698</c:v>
                </c:pt>
                <c:pt idx="440">
                  <c:v>9074</c:v>
                </c:pt>
                <c:pt idx="441">
                  <c:v>9075</c:v>
                </c:pt>
                <c:pt idx="442">
                  <c:v>9076</c:v>
                </c:pt>
                <c:pt idx="443">
                  <c:v>9077</c:v>
                </c:pt>
                <c:pt idx="444">
                  <c:v>9078</c:v>
                </c:pt>
                <c:pt idx="445">
                  <c:v>9079</c:v>
                </c:pt>
                <c:pt idx="446">
                  <c:v>9080</c:v>
                </c:pt>
                <c:pt idx="447">
                  <c:v>9081</c:v>
                </c:pt>
                <c:pt idx="448">
                  <c:v>9082</c:v>
                </c:pt>
                <c:pt idx="449">
                  <c:v>9083</c:v>
                </c:pt>
                <c:pt idx="450">
                  <c:v>9084</c:v>
                </c:pt>
                <c:pt idx="451">
                  <c:v>9085</c:v>
                </c:pt>
                <c:pt idx="452">
                  <c:v>9086</c:v>
                </c:pt>
                <c:pt idx="453">
                  <c:v>9087</c:v>
                </c:pt>
                <c:pt idx="454">
                  <c:v>9088</c:v>
                </c:pt>
                <c:pt idx="455">
                  <c:v>9089</c:v>
                </c:pt>
                <c:pt idx="456">
                  <c:v>9090</c:v>
                </c:pt>
                <c:pt idx="457">
                  <c:v>9091</c:v>
                </c:pt>
                <c:pt idx="458">
                  <c:v>9092</c:v>
                </c:pt>
                <c:pt idx="459">
                  <c:v>9093</c:v>
                </c:pt>
                <c:pt idx="460">
                  <c:v>9304</c:v>
                </c:pt>
                <c:pt idx="461">
                  <c:v>9305</c:v>
                </c:pt>
                <c:pt idx="462">
                  <c:v>9306</c:v>
                </c:pt>
                <c:pt idx="463">
                  <c:v>9307</c:v>
                </c:pt>
                <c:pt idx="464">
                  <c:v>9308</c:v>
                </c:pt>
                <c:pt idx="465">
                  <c:v>9309</c:v>
                </c:pt>
                <c:pt idx="466">
                  <c:v>9310</c:v>
                </c:pt>
                <c:pt idx="467">
                  <c:v>9311</c:v>
                </c:pt>
                <c:pt idx="468">
                  <c:v>9312</c:v>
                </c:pt>
                <c:pt idx="469">
                  <c:v>9313</c:v>
                </c:pt>
                <c:pt idx="470">
                  <c:v>9314</c:v>
                </c:pt>
                <c:pt idx="471">
                  <c:v>9315</c:v>
                </c:pt>
                <c:pt idx="472">
                  <c:v>9316</c:v>
                </c:pt>
                <c:pt idx="473">
                  <c:v>9317</c:v>
                </c:pt>
                <c:pt idx="474">
                  <c:v>9318</c:v>
                </c:pt>
                <c:pt idx="475">
                  <c:v>9319</c:v>
                </c:pt>
                <c:pt idx="476">
                  <c:v>9320</c:v>
                </c:pt>
                <c:pt idx="477">
                  <c:v>9321</c:v>
                </c:pt>
                <c:pt idx="478">
                  <c:v>9322</c:v>
                </c:pt>
                <c:pt idx="479">
                  <c:v>9323</c:v>
                </c:pt>
                <c:pt idx="480">
                  <c:v>9774</c:v>
                </c:pt>
                <c:pt idx="481">
                  <c:v>9775</c:v>
                </c:pt>
                <c:pt idx="482">
                  <c:v>9776</c:v>
                </c:pt>
                <c:pt idx="483">
                  <c:v>9777</c:v>
                </c:pt>
                <c:pt idx="484">
                  <c:v>9778</c:v>
                </c:pt>
                <c:pt idx="485">
                  <c:v>9779</c:v>
                </c:pt>
                <c:pt idx="486">
                  <c:v>9780</c:v>
                </c:pt>
                <c:pt idx="487">
                  <c:v>9781</c:v>
                </c:pt>
                <c:pt idx="488">
                  <c:v>9782</c:v>
                </c:pt>
                <c:pt idx="489">
                  <c:v>9783</c:v>
                </c:pt>
                <c:pt idx="490">
                  <c:v>9784</c:v>
                </c:pt>
                <c:pt idx="491">
                  <c:v>9785</c:v>
                </c:pt>
                <c:pt idx="492">
                  <c:v>9786</c:v>
                </c:pt>
                <c:pt idx="493">
                  <c:v>9787</c:v>
                </c:pt>
                <c:pt idx="494">
                  <c:v>9788</c:v>
                </c:pt>
                <c:pt idx="495">
                  <c:v>9789</c:v>
                </c:pt>
                <c:pt idx="496">
                  <c:v>9790</c:v>
                </c:pt>
                <c:pt idx="497">
                  <c:v>9791</c:v>
                </c:pt>
                <c:pt idx="498">
                  <c:v>9792</c:v>
                </c:pt>
                <c:pt idx="499">
                  <c:v>9793</c:v>
                </c:pt>
                <c:pt idx="500">
                  <c:v>10014</c:v>
                </c:pt>
                <c:pt idx="501">
                  <c:v>10015</c:v>
                </c:pt>
                <c:pt idx="502">
                  <c:v>10016</c:v>
                </c:pt>
                <c:pt idx="503">
                  <c:v>10017</c:v>
                </c:pt>
                <c:pt idx="504">
                  <c:v>10018</c:v>
                </c:pt>
                <c:pt idx="505">
                  <c:v>10019</c:v>
                </c:pt>
                <c:pt idx="506">
                  <c:v>10020</c:v>
                </c:pt>
                <c:pt idx="507">
                  <c:v>10021</c:v>
                </c:pt>
                <c:pt idx="508">
                  <c:v>10022</c:v>
                </c:pt>
                <c:pt idx="509">
                  <c:v>10023</c:v>
                </c:pt>
                <c:pt idx="510">
                  <c:v>10024</c:v>
                </c:pt>
                <c:pt idx="511">
                  <c:v>10025</c:v>
                </c:pt>
                <c:pt idx="512">
                  <c:v>10026</c:v>
                </c:pt>
                <c:pt idx="513">
                  <c:v>10027</c:v>
                </c:pt>
                <c:pt idx="514">
                  <c:v>10028</c:v>
                </c:pt>
                <c:pt idx="515">
                  <c:v>10029</c:v>
                </c:pt>
                <c:pt idx="516">
                  <c:v>10030</c:v>
                </c:pt>
                <c:pt idx="517">
                  <c:v>10031</c:v>
                </c:pt>
                <c:pt idx="518">
                  <c:v>10032</c:v>
                </c:pt>
                <c:pt idx="519">
                  <c:v>10033</c:v>
                </c:pt>
                <c:pt idx="520">
                  <c:v>11975</c:v>
                </c:pt>
                <c:pt idx="521">
                  <c:v>11976</c:v>
                </c:pt>
                <c:pt idx="522">
                  <c:v>11977</c:v>
                </c:pt>
                <c:pt idx="523">
                  <c:v>11978</c:v>
                </c:pt>
                <c:pt idx="524">
                  <c:v>11979</c:v>
                </c:pt>
                <c:pt idx="525">
                  <c:v>11980</c:v>
                </c:pt>
                <c:pt idx="526">
                  <c:v>11981</c:v>
                </c:pt>
                <c:pt idx="527">
                  <c:v>11982</c:v>
                </c:pt>
                <c:pt idx="528">
                  <c:v>11983</c:v>
                </c:pt>
                <c:pt idx="529">
                  <c:v>11984</c:v>
                </c:pt>
                <c:pt idx="530">
                  <c:v>11985</c:v>
                </c:pt>
                <c:pt idx="531">
                  <c:v>11986</c:v>
                </c:pt>
                <c:pt idx="532">
                  <c:v>11987</c:v>
                </c:pt>
                <c:pt idx="533">
                  <c:v>11988</c:v>
                </c:pt>
                <c:pt idx="534">
                  <c:v>11989</c:v>
                </c:pt>
                <c:pt idx="535">
                  <c:v>11990</c:v>
                </c:pt>
                <c:pt idx="536">
                  <c:v>11991</c:v>
                </c:pt>
                <c:pt idx="537">
                  <c:v>11992</c:v>
                </c:pt>
                <c:pt idx="538">
                  <c:v>11993</c:v>
                </c:pt>
                <c:pt idx="539">
                  <c:v>11994</c:v>
                </c:pt>
                <c:pt idx="540">
                  <c:v>12381</c:v>
                </c:pt>
                <c:pt idx="541">
                  <c:v>12382</c:v>
                </c:pt>
                <c:pt idx="542">
                  <c:v>12383</c:v>
                </c:pt>
                <c:pt idx="543">
                  <c:v>12384</c:v>
                </c:pt>
                <c:pt idx="544">
                  <c:v>12385</c:v>
                </c:pt>
                <c:pt idx="545">
                  <c:v>12386</c:v>
                </c:pt>
                <c:pt idx="546">
                  <c:v>12387</c:v>
                </c:pt>
                <c:pt idx="547">
                  <c:v>12388</c:v>
                </c:pt>
                <c:pt idx="548">
                  <c:v>12389</c:v>
                </c:pt>
                <c:pt idx="549">
                  <c:v>12390</c:v>
                </c:pt>
                <c:pt idx="550">
                  <c:v>12391</c:v>
                </c:pt>
                <c:pt idx="551">
                  <c:v>12392</c:v>
                </c:pt>
                <c:pt idx="552">
                  <c:v>12393</c:v>
                </c:pt>
                <c:pt idx="553">
                  <c:v>12394</c:v>
                </c:pt>
                <c:pt idx="554">
                  <c:v>12395</c:v>
                </c:pt>
                <c:pt idx="555">
                  <c:v>12396</c:v>
                </c:pt>
                <c:pt idx="556">
                  <c:v>12397</c:v>
                </c:pt>
                <c:pt idx="557">
                  <c:v>12398</c:v>
                </c:pt>
                <c:pt idx="558">
                  <c:v>12399</c:v>
                </c:pt>
                <c:pt idx="559">
                  <c:v>12400</c:v>
                </c:pt>
                <c:pt idx="560">
                  <c:v>12432</c:v>
                </c:pt>
                <c:pt idx="561">
                  <c:v>12433</c:v>
                </c:pt>
                <c:pt idx="562">
                  <c:v>12434</c:v>
                </c:pt>
                <c:pt idx="563">
                  <c:v>12435</c:v>
                </c:pt>
                <c:pt idx="564">
                  <c:v>12436</c:v>
                </c:pt>
                <c:pt idx="565">
                  <c:v>12437</c:v>
                </c:pt>
                <c:pt idx="566">
                  <c:v>12438</c:v>
                </c:pt>
                <c:pt idx="567">
                  <c:v>12439</c:v>
                </c:pt>
                <c:pt idx="568">
                  <c:v>12440</c:v>
                </c:pt>
                <c:pt idx="569">
                  <c:v>12441</c:v>
                </c:pt>
                <c:pt idx="570">
                  <c:v>12442</c:v>
                </c:pt>
                <c:pt idx="571">
                  <c:v>12443</c:v>
                </c:pt>
                <c:pt idx="572">
                  <c:v>12444</c:v>
                </c:pt>
                <c:pt idx="573">
                  <c:v>12445</c:v>
                </c:pt>
                <c:pt idx="574">
                  <c:v>12446</c:v>
                </c:pt>
                <c:pt idx="575">
                  <c:v>12447</c:v>
                </c:pt>
                <c:pt idx="576">
                  <c:v>12448</c:v>
                </c:pt>
                <c:pt idx="577">
                  <c:v>12449</c:v>
                </c:pt>
                <c:pt idx="578">
                  <c:v>12450</c:v>
                </c:pt>
                <c:pt idx="579">
                  <c:v>12451</c:v>
                </c:pt>
                <c:pt idx="580">
                  <c:v>12951</c:v>
                </c:pt>
                <c:pt idx="581">
                  <c:v>12952</c:v>
                </c:pt>
                <c:pt idx="582">
                  <c:v>12953</c:v>
                </c:pt>
                <c:pt idx="583">
                  <c:v>12954</c:v>
                </c:pt>
                <c:pt idx="584">
                  <c:v>12955</c:v>
                </c:pt>
                <c:pt idx="585">
                  <c:v>12956</c:v>
                </c:pt>
                <c:pt idx="586">
                  <c:v>12957</c:v>
                </c:pt>
                <c:pt idx="587">
                  <c:v>12958</c:v>
                </c:pt>
                <c:pt idx="588">
                  <c:v>12959</c:v>
                </c:pt>
                <c:pt idx="589">
                  <c:v>12960</c:v>
                </c:pt>
                <c:pt idx="590">
                  <c:v>12961</c:v>
                </c:pt>
                <c:pt idx="591">
                  <c:v>12962</c:v>
                </c:pt>
                <c:pt idx="592">
                  <c:v>12963</c:v>
                </c:pt>
                <c:pt idx="593">
                  <c:v>12964</c:v>
                </c:pt>
                <c:pt idx="594">
                  <c:v>12965</c:v>
                </c:pt>
                <c:pt idx="595">
                  <c:v>12966</c:v>
                </c:pt>
                <c:pt idx="596">
                  <c:v>12967</c:v>
                </c:pt>
                <c:pt idx="597">
                  <c:v>12968</c:v>
                </c:pt>
                <c:pt idx="598">
                  <c:v>12969</c:v>
                </c:pt>
                <c:pt idx="599">
                  <c:v>12970</c:v>
                </c:pt>
                <c:pt idx="600">
                  <c:v>13232</c:v>
                </c:pt>
                <c:pt idx="601">
                  <c:v>13233</c:v>
                </c:pt>
                <c:pt idx="602">
                  <c:v>13234</c:v>
                </c:pt>
                <c:pt idx="603">
                  <c:v>13235</c:v>
                </c:pt>
                <c:pt idx="604">
                  <c:v>13236</c:v>
                </c:pt>
                <c:pt idx="605">
                  <c:v>13237</c:v>
                </c:pt>
                <c:pt idx="606">
                  <c:v>13238</c:v>
                </c:pt>
                <c:pt idx="607">
                  <c:v>13239</c:v>
                </c:pt>
                <c:pt idx="608">
                  <c:v>13240</c:v>
                </c:pt>
                <c:pt idx="609">
                  <c:v>13241</c:v>
                </c:pt>
                <c:pt idx="610">
                  <c:v>13242</c:v>
                </c:pt>
                <c:pt idx="611">
                  <c:v>13243</c:v>
                </c:pt>
                <c:pt idx="612">
                  <c:v>13244</c:v>
                </c:pt>
                <c:pt idx="613">
                  <c:v>13245</c:v>
                </c:pt>
                <c:pt idx="614">
                  <c:v>13246</c:v>
                </c:pt>
                <c:pt idx="615">
                  <c:v>13247</c:v>
                </c:pt>
                <c:pt idx="616">
                  <c:v>13248</c:v>
                </c:pt>
                <c:pt idx="617">
                  <c:v>13249</c:v>
                </c:pt>
                <c:pt idx="618">
                  <c:v>13250</c:v>
                </c:pt>
                <c:pt idx="619">
                  <c:v>13251</c:v>
                </c:pt>
                <c:pt idx="620">
                  <c:v>13760</c:v>
                </c:pt>
                <c:pt idx="621">
                  <c:v>13761</c:v>
                </c:pt>
                <c:pt idx="622">
                  <c:v>13762</c:v>
                </c:pt>
                <c:pt idx="623">
                  <c:v>13763</c:v>
                </c:pt>
                <c:pt idx="624">
                  <c:v>13764</c:v>
                </c:pt>
                <c:pt idx="625">
                  <c:v>13765</c:v>
                </c:pt>
                <c:pt idx="626">
                  <c:v>13766</c:v>
                </c:pt>
                <c:pt idx="627">
                  <c:v>13767</c:v>
                </c:pt>
                <c:pt idx="628">
                  <c:v>13768</c:v>
                </c:pt>
                <c:pt idx="629">
                  <c:v>13769</c:v>
                </c:pt>
                <c:pt idx="630">
                  <c:v>13770</c:v>
                </c:pt>
                <c:pt idx="631">
                  <c:v>13771</c:v>
                </c:pt>
                <c:pt idx="632">
                  <c:v>13772</c:v>
                </c:pt>
                <c:pt idx="633">
                  <c:v>13773</c:v>
                </c:pt>
                <c:pt idx="634">
                  <c:v>13774</c:v>
                </c:pt>
                <c:pt idx="635">
                  <c:v>13775</c:v>
                </c:pt>
                <c:pt idx="636">
                  <c:v>13776</c:v>
                </c:pt>
                <c:pt idx="637">
                  <c:v>13777</c:v>
                </c:pt>
                <c:pt idx="638">
                  <c:v>13778</c:v>
                </c:pt>
                <c:pt idx="639">
                  <c:v>13779</c:v>
                </c:pt>
                <c:pt idx="640">
                  <c:v>14021</c:v>
                </c:pt>
                <c:pt idx="641">
                  <c:v>14022</c:v>
                </c:pt>
                <c:pt idx="642">
                  <c:v>14023</c:v>
                </c:pt>
                <c:pt idx="643">
                  <c:v>14024</c:v>
                </c:pt>
                <c:pt idx="644">
                  <c:v>14025</c:v>
                </c:pt>
                <c:pt idx="645">
                  <c:v>14026</c:v>
                </c:pt>
                <c:pt idx="646">
                  <c:v>14027</c:v>
                </c:pt>
                <c:pt idx="647">
                  <c:v>14028</c:v>
                </c:pt>
                <c:pt idx="648">
                  <c:v>14029</c:v>
                </c:pt>
                <c:pt idx="649">
                  <c:v>14030</c:v>
                </c:pt>
                <c:pt idx="650">
                  <c:v>14031</c:v>
                </c:pt>
                <c:pt idx="651">
                  <c:v>14032</c:v>
                </c:pt>
                <c:pt idx="652">
                  <c:v>14033</c:v>
                </c:pt>
                <c:pt idx="653">
                  <c:v>14034</c:v>
                </c:pt>
                <c:pt idx="654">
                  <c:v>14035</c:v>
                </c:pt>
                <c:pt idx="655">
                  <c:v>14036</c:v>
                </c:pt>
                <c:pt idx="656">
                  <c:v>14037</c:v>
                </c:pt>
                <c:pt idx="657">
                  <c:v>14038</c:v>
                </c:pt>
                <c:pt idx="658">
                  <c:v>14039</c:v>
                </c:pt>
                <c:pt idx="659">
                  <c:v>14040</c:v>
                </c:pt>
                <c:pt idx="660">
                  <c:v>14547</c:v>
                </c:pt>
                <c:pt idx="661">
                  <c:v>14548</c:v>
                </c:pt>
                <c:pt idx="662">
                  <c:v>14549</c:v>
                </c:pt>
                <c:pt idx="663">
                  <c:v>14550</c:v>
                </c:pt>
                <c:pt idx="664">
                  <c:v>14551</c:v>
                </c:pt>
                <c:pt idx="665">
                  <c:v>14552</c:v>
                </c:pt>
                <c:pt idx="666">
                  <c:v>14553</c:v>
                </c:pt>
                <c:pt idx="667">
                  <c:v>14554</c:v>
                </c:pt>
                <c:pt idx="668">
                  <c:v>14555</c:v>
                </c:pt>
                <c:pt idx="669">
                  <c:v>14556</c:v>
                </c:pt>
                <c:pt idx="670">
                  <c:v>14557</c:v>
                </c:pt>
                <c:pt idx="671">
                  <c:v>14558</c:v>
                </c:pt>
                <c:pt idx="672">
                  <c:v>14559</c:v>
                </c:pt>
                <c:pt idx="673">
                  <c:v>14560</c:v>
                </c:pt>
                <c:pt idx="674">
                  <c:v>14561</c:v>
                </c:pt>
                <c:pt idx="675">
                  <c:v>14562</c:v>
                </c:pt>
                <c:pt idx="676">
                  <c:v>14563</c:v>
                </c:pt>
                <c:pt idx="677">
                  <c:v>14564</c:v>
                </c:pt>
                <c:pt idx="678">
                  <c:v>14565</c:v>
                </c:pt>
                <c:pt idx="679">
                  <c:v>14566</c:v>
                </c:pt>
                <c:pt idx="680">
                  <c:v>14901</c:v>
                </c:pt>
                <c:pt idx="681">
                  <c:v>14902</c:v>
                </c:pt>
                <c:pt idx="682">
                  <c:v>14903</c:v>
                </c:pt>
                <c:pt idx="683">
                  <c:v>14904</c:v>
                </c:pt>
                <c:pt idx="684">
                  <c:v>14905</c:v>
                </c:pt>
                <c:pt idx="685">
                  <c:v>14906</c:v>
                </c:pt>
                <c:pt idx="686">
                  <c:v>14907</c:v>
                </c:pt>
                <c:pt idx="687">
                  <c:v>14908</c:v>
                </c:pt>
                <c:pt idx="688">
                  <c:v>14909</c:v>
                </c:pt>
                <c:pt idx="689">
                  <c:v>14910</c:v>
                </c:pt>
                <c:pt idx="690">
                  <c:v>14911</c:v>
                </c:pt>
                <c:pt idx="691">
                  <c:v>14912</c:v>
                </c:pt>
                <c:pt idx="692">
                  <c:v>14913</c:v>
                </c:pt>
                <c:pt idx="693">
                  <c:v>14914</c:v>
                </c:pt>
                <c:pt idx="694">
                  <c:v>14915</c:v>
                </c:pt>
                <c:pt idx="695">
                  <c:v>14916</c:v>
                </c:pt>
                <c:pt idx="696">
                  <c:v>14917</c:v>
                </c:pt>
                <c:pt idx="697">
                  <c:v>14918</c:v>
                </c:pt>
                <c:pt idx="698">
                  <c:v>14919</c:v>
                </c:pt>
                <c:pt idx="699">
                  <c:v>14920</c:v>
                </c:pt>
                <c:pt idx="700">
                  <c:v>15256</c:v>
                </c:pt>
                <c:pt idx="701">
                  <c:v>15257</c:v>
                </c:pt>
                <c:pt idx="702">
                  <c:v>15258</c:v>
                </c:pt>
                <c:pt idx="703">
                  <c:v>15259</c:v>
                </c:pt>
                <c:pt idx="704">
                  <c:v>15260</c:v>
                </c:pt>
                <c:pt idx="705">
                  <c:v>15261</c:v>
                </c:pt>
                <c:pt idx="706">
                  <c:v>15262</c:v>
                </c:pt>
                <c:pt idx="707">
                  <c:v>15263</c:v>
                </c:pt>
                <c:pt idx="708">
                  <c:v>15264</c:v>
                </c:pt>
                <c:pt idx="709">
                  <c:v>15265</c:v>
                </c:pt>
                <c:pt idx="710">
                  <c:v>15266</c:v>
                </c:pt>
                <c:pt idx="711">
                  <c:v>15267</c:v>
                </c:pt>
                <c:pt idx="712">
                  <c:v>15268</c:v>
                </c:pt>
                <c:pt idx="713">
                  <c:v>15269</c:v>
                </c:pt>
                <c:pt idx="714">
                  <c:v>15270</c:v>
                </c:pt>
                <c:pt idx="715">
                  <c:v>15271</c:v>
                </c:pt>
                <c:pt idx="716">
                  <c:v>15272</c:v>
                </c:pt>
                <c:pt idx="717">
                  <c:v>15273</c:v>
                </c:pt>
                <c:pt idx="718">
                  <c:v>15274</c:v>
                </c:pt>
                <c:pt idx="719">
                  <c:v>15275</c:v>
                </c:pt>
                <c:pt idx="720">
                  <c:v>15636</c:v>
                </c:pt>
                <c:pt idx="721">
                  <c:v>15637</c:v>
                </c:pt>
                <c:pt idx="722">
                  <c:v>15638</c:v>
                </c:pt>
                <c:pt idx="723">
                  <c:v>15639</c:v>
                </c:pt>
                <c:pt idx="724">
                  <c:v>15640</c:v>
                </c:pt>
                <c:pt idx="725">
                  <c:v>15641</c:v>
                </c:pt>
                <c:pt idx="726">
                  <c:v>15642</c:v>
                </c:pt>
                <c:pt idx="727">
                  <c:v>15643</c:v>
                </c:pt>
                <c:pt idx="728">
                  <c:v>15644</c:v>
                </c:pt>
                <c:pt idx="729">
                  <c:v>15645</c:v>
                </c:pt>
                <c:pt idx="730">
                  <c:v>15646</c:v>
                </c:pt>
                <c:pt idx="731">
                  <c:v>15647</c:v>
                </c:pt>
                <c:pt idx="732">
                  <c:v>15648</c:v>
                </c:pt>
                <c:pt idx="733">
                  <c:v>15649</c:v>
                </c:pt>
                <c:pt idx="734">
                  <c:v>15650</c:v>
                </c:pt>
                <c:pt idx="735">
                  <c:v>15651</c:v>
                </c:pt>
                <c:pt idx="736">
                  <c:v>15652</c:v>
                </c:pt>
                <c:pt idx="737">
                  <c:v>15653</c:v>
                </c:pt>
                <c:pt idx="738">
                  <c:v>15654</c:v>
                </c:pt>
                <c:pt idx="739">
                  <c:v>15655</c:v>
                </c:pt>
                <c:pt idx="740">
                  <c:v>16226</c:v>
                </c:pt>
                <c:pt idx="741">
                  <c:v>16227</c:v>
                </c:pt>
                <c:pt idx="742">
                  <c:v>16228</c:v>
                </c:pt>
                <c:pt idx="743">
                  <c:v>16229</c:v>
                </c:pt>
                <c:pt idx="744">
                  <c:v>16230</c:v>
                </c:pt>
                <c:pt idx="745">
                  <c:v>16231</c:v>
                </c:pt>
                <c:pt idx="746">
                  <c:v>16232</c:v>
                </c:pt>
                <c:pt idx="747">
                  <c:v>16233</c:v>
                </c:pt>
                <c:pt idx="748">
                  <c:v>16234</c:v>
                </c:pt>
                <c:pt idx="749">
                  <c:v>16235</c:v>
                </c:pt>
                <c:pt idx="750">
                  <c:v>16236</c:v>
                </c:pt>
                <c:pt idx="751">
                  <c:v>16237</c:v>
                </c:pt>
                <c:pt idx="752">
                  <c:v>16238</c:v>
                </c:pt>
                <c:pt idx="753">
                  <c:v>16239</c:v>
                </c:pt>
                <c:pt idx="754">
                  <c:v>16240</c:v>
                </c:pt>
                <c:pt idx="755">
                  <c:v>16241</c:v>
                </c:pt>
                <c:pt idx="756">
                  <c:v>16242</c:v>
                </c:pt>
                <c:pt idx="757">
                  <c:v>16243</c:v>
                </c:pt>
                <c:pt idx="758">
                  <c:v>16244</c:v>
                </c:pt>
                <c:pt idx="759">
                  <c:v>16245</c:v>
                </c:pt>
                <c:pt idx="760">
                  <c:v>19126</c:v>
                </c:pt>
                <c:pt idx="761">
                  <c:v>19127</c:v>
                </c:pt>
                <c:pt idx="762">
                  <c:v>19128</c:v>
                </c:pt>
                <c:pt idx="763">
                  <c:v>19129</c:v>
                </c:pt>
                <c:pt idx="764">
                  <c:v>19130</c:v>
                </c:pt>
                <c:pt idx="765">
                  <c:v>19131</c:v>
                </c:pt>
                <c:pt idx="766">
                  <c:v>19132</c:v>
                </c:pt>
                <c:pt idx="767">
                  <c:v>19133</c:v>
                </c:pt>
                <c:pt idx="768">
                  <c:v>19134</c:v>
                </c:pt>
                <c:pt idx="769">
                  <c:v>19135</c:v>
                </c:pt>
                <c:pt idx="770">
                  <c:v>19136</c:v>
                </c:pt>
                <c:pt idx="771">
                  <c:v>19137</c:v>
                </c:pt>
                <c:pt idx="772">
                  <c:v>19138</c:v>
                </c:pt>
                <c:pt idx="773">
                  <c:v>19139</c:v>
                </c:pt>
                <c:pt idx="774">
                  <c:v>19140</c:v>
                </c:pt>
                <c:pt idx="775">
                  <c:v>19141</c:v>
                </c:pt>
                <c:pt idx="776">
                  <c:v>19142</c:v>
                </c:pt>
                <c:pt idx="777">
                  <c:v>19143</c:v>
                </c:pt>
                <c:pt idx="778">
                  <c:v>19144</c:v>
                </c:pt>
                <c:pt idx="779">
                  <c:v>19145</c:v>
                </c:pt>
                <c:pt idx="780">
                  <c:v>19466</c:v>
                </c:pt>
                <c:pt idx="781">
                  <c:v>19467</c:v>
                </c:pt>
                <c:pt idx="782">
                  <c:v>19468</c:v>
                </c:pt>
                <c:pt idx="783">
                  <c:v>19469</c:v>
                </c:pt>
                <c:pt idx="784">
                  <c:v>19470</c:v>
                </c:pt>
                <c:pt idx="785">
                  <c:v>19471</c:v>
                </c:pt>
                <c:pt idx="786">
                  <c:v>19472</c:v>
                </c:pt>
                <c:pt idx="787">
                  <c:v>19473</c:v>
                </c:pt>
                <c:pt idx="788">
                  <c:v>19474</c:v>
                </c:pt>
                <c:pt idx="789">
                  <c:v>19475</c:v>
                </c:pt>
                <c:pt idx="790">
                  <c:v>19476</c:v>
                </c:pt>
                <c:pt idx="791">
                  <c:v>19477</c:v>
                </c:pt>
                <c:pt idx="792">
                  <c:v>19478</c:v>
                </c:pt>
                <c:pt idx="793">
                  <c:v>19479</c:v>
                </c:pt>
                <c:pt idx="794">
                  <c:v>19480</c:v>
                </c:pt>
                <c:pt idx="795">
                  <c:v>19481</c:v>
                </c:pt>
                <c:pt idx="796">
                  <c:v>19482</c:v>
                </c:pt>
                <c:pt idx="797">
                  <c:v>19483</c:v>
                </c:pt>
                <c:pt idx="798">
                  <c:v>19484</c:v>
                </c:pt>
                <c:pt idx="799">
                  <c:v>19485</c:v>
                </c:pt>
                <c:pt idx="800">
                  <c:v>19761</c:v>
                </c:pt>
                <c:pt idx="801">
                  <c:v>19762</c:v>
                </c:pt>
                <c:pt idx="802">
                  <c:v>19763</c:v>
                </c:pt>
                <c:pt idx="803">
                  <c:v>19764</c:v>
                </c:pt>
                <c:pt idx="804">
                  <c:v>19765</c:v>
                </c:pt>
                <c:pt idx="805">
                  <c:v>19766</c:v>
                </c:pt>
                <c:pt idx="806">
                  <c:v>19767</c:v>
                </c:pt>
                <c:pt idx="807">
                  <c:v>19768</c:v>
                </c:pt>
                <c:pt idx="808">
                  <c:v>19769</c:v>
                </c:pt>
                <c:pt idx="809">
                  <c:v>19770</c:v>
                </c:pt>
                <c:pt idx="810">
                  <c:v>19771</c:v>
                </c:pt>
                <c:pt idx="811">
                  <c:v>19772</c:v>
                </c:pt>
                <c:pt idx="812">
                  <c:v>19773</c:v>
                </c:pt>
                <c:pt idx="813">
                  <c:v>19774</c:v>
                </c:pt>
                <c:pt idx="814">
                  <c:v>19775</c:v>
                </c:pt>
                <c:pt idx="815">
                  <c:v>19776</c:v>
                </c:pt>
                <c:pt idx="816">
                  <c:v>19777</c:v>
                </c:pt>
                <c:pt idx="817">
                  <c:v>19778</c:v>
                </c:pt>
                <c:pt idx="818">
                  <c:v>19779</c:v>
                </c:pt>
                <c:pt idx="819">
                  <c:v>19780</c:v>
                </c:pt>
                <c:pt idx="820">
                  <c:v>20150</c:v>
                </c:pt>
                <c:pt idx="821">
                  <c:v>20151</c:v>
                </c:pt>
                <c:pt idx="822">
                  <c:v>20152</c:v>
                </c:pt>
                <c:pt idx="823">
                  <c:v>20153</c:v>
                </c:pt>
                <c:pt idx="824">
                  <c:v>20154</c:v>
                </c:pt>
                <c:pt idx="825">
                  <c:v>20155</c:v>
                </c:pt>
                <c:pt idx="826">
                  <c:v>20156</c:v>
                </c:pt>
                <c:pt idx="827">
                  <c:v>20157</c:v>
                </c:pt>
                <c:pt idx="828">
                  <c:v>20158</c:v>
                </c:pt>
                <c:pt idx="829">
                  <c:v>20159</c:v>
                </c:pt>
                <c:pt idx="830">
                  <c:v>20160</c:v>
                </c:pt>
                <c:pt idx="831">
                  <c:v>20161</c:v>
                </c:pt>
                <c:pt idx="832">
                  <c:v>20162</c:v>
                </c:pt>
                <c:pt idx="833">
                  <c:v>20163</c:v>
                </c:pt>
                <c:pt idx="834">
                  <c:v>20164</c:v>
                </c:pt>
                <c:pt idx="835">
                  <c:v>20165</c:v>
                </c:pt>
                <c:pt idx="836">
                  <c:v>20166</c:v>
                </c:pt>
                <c:pt idx="837">
                  <c:v>20167</c:v>
                </c:pt>
                <c:pt idx="838">
                  <c:v>20168</c:v>
                </c:pt>
                <c:pt idx="839">
                  <c:v>20169</c:v>
                </c:pt>
                <c:pt idx="840">
                  <c:v>20434</c:v>
                </c:pt>
                <c:pt idx="841">
                  <c:v>20435</c:v>
                </c:pt>
                <c:pt idx="842">
                  <c:v>20436</c:v>
                </c:pt>
                <c:pt idx="843">
                  <c:v>20437</c:v>
                </c:pt>
                <c:pt idx="844">
                  <c:v>20438</c:v>
                </c:pt>
                <c:pt idx="845">
                  <c:v>20439</c:v>
                </c:pt>
                <c:pt idx="846">
                  <c:v>20440</c:v>
                </c:pt>
                <c:pt idx="847">
                  <c:v>20441</c:v>
                </c:pt>
                <c:pt idx="848">
                  <c:v>20442</c:v>
                </c:pt>
                <c:pt idx="849">
                  <c:v>20443</c:v>
                </c:pt>
                <c:pt idx="850">
                  <c:v>20444</c:v>
                </c:pt>
                <c:pt idx="851">
                  <c:v>20445</c:v>
                </c:pt>
                <c:pt idx="852">
                  <c:v>20446</c:v>
                </c:pt>
                <c:pt idx="853">
                  <c:v>20447</c:v>
                </c:pt>
                <c:pt idx="854">
                  <c:v>20448</c:v>
                </c:pt>
                <c:pt idx="855">
                  <c:v>20449</c:v>
                </c:pt>
                <c:pt idx="856">
                  <c:v>20450</c:v>
                </c:pt>
                <c:pt idx="857">
                  <c:v>20451</c:v>
                </c:pt>
                <c:pt idx="858">
                  <c:v>20452</c:v>
                </c:pt>
                <c:pt idx="859">
                  <c:v>20453</c:v>
                </c:pt>
                <c:pt idx="860">
                  <c:v>20845</c:v>
                </c:pt>
                <c:pt idx="861">
                  <c:v>20846</c:v>
                </c:pt>
                <c:pt idx="862">
                  <c:v>20847</c:v>
                </c:pt>
                <c:pt idx="863">
                  <c:v>20848</c:v>
                </c:pt>
                <c:pt idx="864">
                  <c:v>20849</c:v>
                </c:pt>
                <c:pt idx="865">
                  <c:v>20850</c:v>
                </c:pt>
                <c:pt idx="866">
                  <c:v>20851</c:v>
                </c:pt>
                <c:pt idx="867">
                  <c:v>20852</c:v>
                </c:pt>
                <c:pt idx="868">
                  <c:v>20853</c:v>
                </c:pt>
                <c:pt idx="869">
                  <c:v>20854</c:v>
                </c:pt>
                <c:pt idx="870">
                  <c:v>20855</c:v>
                </c:pt>
                <c:pt idx="871">
                  <c:v>20856</c:v>
                </c:pt>
                <c:pt idx="872">
                  <c:v>20857</c:v>
                </c:pt>
                <c:pt idx="873">
                  <c:v>20858</c:v>
                </c:pt>
                <c:pt idx="874">
                  <c:v>20859</c:v>
                </c:pt>
                <c:pt idx="875">
                  <c:v>20860</c:v>
                </c:pt>
                <c:pt idx="876">
                  <c:v>20861</c:v>
                </c:pt>
                <c:pt idx="877">
                  <c:v>20862</c:v>
                </c:pt>
                <c:pt idx="878">
                  <c:v>20863</c:v>
                </c:pt>
                <c:pt idx="879">
                  <c:v>20864</c:v>
                </c:pt>
                <c:pt idx="880">
                  <c:v>21485</c:v>
                </c:pt>
                <c:pt idx="881">
                  <c:v>21486</c:v>
                </c:pt>
                <c:pt idx="882">
                  <c:v>21487</c:v>
                </c:pt>
                <c:pt idx="883">
                  <c:v>21488</c:v>
                </c:pt>
                <c:pt idx="884">
                  <c:v>21489</c:v>
                </c:pt>
                <c:pt idx="885">
                  <c:v>21490</c:v>
                </c:pt>
                <c:pt idx="886">
                  <c:v>21491</c:v>
                </c:pt>
                <c:pt idx="887">
                  <c:v>21492</c:v>
                </c:pt>
                <c:pt idx="888">
                  <c:v>21493</c:v>
                </c:pt>
                <c:pt idx="889">
                  <c:v>21494</c:v>
                </c:pt>
                <c:pt idx="890">
                  <c:v>21495</c:v>
                </c:pt>
                <c:pt idx="891">
                  <c:v>21496</c:v>
                </c:pt>
                <c:pt idx="892">
                  <c:v>21497</c:v>
                </c:pt>
                <c:pt idx="893">
                  <c:v>21498</c:v>
                </c:pt>
                <c:pt idx="894">
                  <c:v>21499</c:v>
                </c:pt>
                <c:pt idx="895">
                  <c:v>21500</c:v>
                </c:pt>
                <c:pt idx="896">
                  <c:v>21501</c:v>
                </c:pt>
                <c:pt idx="897">
                  <c:v>21502</c:v>
                </c:pt>
                <c:pt idx="898">
                  <c:v>21503</c:v>
                </c:pt>
                <c:pt idx="899">
                  <c:v>21504</c:v>
                </c:pt>
                <c:pt idx="900">
                  <c:v>21839</c:v>
                </c:pt>
                <c:pt idx="901">
                  <c:v>21840</c:v>
                </c:pt>
                <c:pt idx="902">
                  <c:v>21841</c:v>
                </c:pt>
                <c:pt idx="903">
                  <c:v>21842</c:v>
                </c:pt>
                <c:pt idx="904">
                  <c:v>21843</c:v>
                </c:pt>
                <c:pt idx="905">
                  <c:v>21844</c:v>
                </c:pt>
                <c:pt idx="906">
                  <c:v>21845</c:v>
                </c:pt>
                <c:pt idx="907">
                  <c:v>21846</c:v>
                </c:pt>
                <c:pt idx="908">
                  <c:v>21847</c:v>
                </c:pt>
                <c:pt idx="909">
                  <c:v>21848</c:v>
                </c:pt>
                <c:pt idx="910">
                  <c:v>21849</c:v>
                </c:pt>
                <c:pt idx="911">
                  <c:v>21850</c:v>
                </c:pt>
                <c:pt idx="912">
                  <c:v>21851</c:v>
                </c:pt>
                <c:pt idx="913">
                  <c:v>21852</c:v>
                </c:pt>
                <c:pt idx="914">
                  <c:v>21853</c:v>
                </c:pt>
                <c:pt idx="915">
                  <c:v>21854</c:v>
                </c:pt>
                <c:pt idx="916">
                  <c:v>21855</c:v>
                </c:pt>
                <c:pt idx="917">
                  <c:v>21856</c:v>
                </c:pt>
                <c:pt idx="918">
                  <c:v>21857</c:v>
                </c:pt>
                <c:pt idx="919">
                  <c:v>21858</c:v>
                </c:pt>
                <c:pt idx="920">
                  <c:v>22846</c:v>
                </c:pt>
                <c:pt idx="921">
                  <c:v>22847</c:v>
                </c:pt>
                <c:pt idx="922">
                  <c:v>22848</c:v>
                </c:pt>
                <c:pt idx="923">
                  <c:v>22849</c:v>
                </c:pt>
                <c:pt idx="924">
                  <c:v>22850</c:v>
                </c:pt>
                <c:pt idx="925">
                  <c:v>22851</c:v>
                </c:pt>
                <c:pt idx="926">
                  <c:v>22852</c:v>
                </c:pt>
                <c:pt idx="927">
                  <c:v>22853</c:v>
                </c:pt>
                <c:pt idx="928">
                  <c:v>22854</c:v>
                </c:pt>
                <c:pt idx="929">
                  <c:v>22855</c:v>
                </c:pt>
                <c:pt idx="930">
                  <c:v>22856</c:v>
                </c:pt>
                <c:pt idx="931">
                  <c:v>22857</c:v>
                </c:pt>
                <c:pt idx="932">
                  <c:v>22858</c:v>
                </c:pt>
                <c:pt idx="933">
                  <c:v>22859</c:v>
                </c:pt>
                <c:pt idx="934">
                  <c:v>22860</c:v>
                </c:pt>
                <c:pt idx="935">
                  <c:v>22861</c:v>
                </c:pt>
                <c:pt idx="936">
                  <c:v>22862</c:v>
                </c:pt>
                <c:pt idx="937">
                  <c:v>22863</c:v>
                </c:pt>
                <c:pt idx="938">
                  <c:v>22864</c:v>
                </c:pt>
                <c:pt idx="939">
                  <c:v>22865</c:v>
                </c:pt>
                <c:pt idx="940">
                  <c:v>23670</c:v>
                </c:pt>
                <c:pt idx="941">
                  <c:v>23671</c:v>
                </c:pt>
                <c:pt idx="942">
                  <c:v>23672</c:v>
                </c:pt>
                <c:pt idx="943">
                  <c:v>23673</c:v>
                </c:pt>
                <c:pt idx="944">
                  <c:v>23674</c:v>
                </c:pt>
                <c:pt idx="945">
                  <c:v>23675</c:v>
                </c:pt>
                <c:pt idx="946">
                  <c:v>23676</c:v>
                </c:pt>
                <c:pt idx="947">
                  <c:v>23677</c:v>
                </c:pt>
                <c:pt idx="948">
                  <c:v>23678</c:v>
                </c:pt>
                <c:pt idx="949">
                  <c:v>23679</c:v>
                </c:pt>
                <c:pt idx="950">
                  <c:v>23680</c:v>
                </c:pt>
                <c:pt idx="951">
                  <c:v>23681</c:v>
                </c:pt>
                <c:pt idx="952">
                  <c:v>23682</c:v>
                </c:pt>
                <c:pt idx="953">
                  <c:v>23683</c:v>
                </c:pt>
                <c:pt idx="954">
                  <c:v>23684</c:v>
                </c:pt>
                <c:pt idx="955">
                  <c:v>23685</c:v>
                </c:pt>
                <c:pt idx="956">
                  <c:v>23686</c:v>
                </c:pt>
                <c:pt idx="957">
                  <c:v>23687</c:v>
                </c:pt>
                <c:pt idx="958">
                  <c:v>23688</c:v>
                </c:pt>
                <c:pt idx="959">
                  <c:v>23689</c:v>
                </c:pt>
                <c:pt idx="960">
                  <c:v>23690</c:v>
                </c:pt>
                <c:pt idx="961">
                  <c:v>23691</c:v>
                </c:pt>
                <c:pt idx="962">
                  <c:v>23692</c:v>
                </c:pt>
                <c:pt idx="963">
                  <c:v>23693</c:v>
                </c:pt>
                <c:pt idx="964">
                  <c:v>23694</c:v>
                </c:pt>
                <c:pt idx="965">
                  <c:v>23695</c:v>
                </c:pt>
                <c:pt idx="966">
                  <c:v>23696</c:v>
                </c:pt>
                <c:pt idx="967">
                  <c:v>23697</c:v>
                </c:pt>
                <c:pt idx="968">
                  <c:v>23698</c:v>
                </c:pt>
                <c:pt idx="969">
                  <c:v>23699</c:v>
                </c:pt>
                <c:pt idx="970">
                  <c:v>23700</c:v>
                </c:pt>
                <c:pt idx="971">
                  <c:v>23701</c:v>
                </c:pt>
                <c:pt idx="972">
                  <c:v>23702</c:v>
                </c:pt>
                <c:pt idx="973">
                  <c:v>23703</c:v>
                </c:pt>
                <c:pt idx="974">
                  <c:v>23704</c:v>
                </c:pt>
                <c:pt idx="975">
                  <c:v>23705</c:v>
                </c:pt>
                <c:pt idx="976">
                  <c:v>23706</c:v>
                </c:pt>
                <c:pt idx="977">
                  <c:v>23707</c:v>
                </c:pt>
                <c:pt idx="978">
                  <c:v>23708</c:v>
                </c:pt>
                <c:pt idx="979">
                  <c:v>23709</c:v>
                </c:pt>
              </c:numCache>
            </c:numRef>
          </c:xVal>
          <c:yVal>
            <c:numRef>
              <c:f>'Interpolated Physical'!$G$2:$G$981</c:f>
              <c:numCache>
                <c:formatCode>General</c:formatCode>
                <c:ptCount val="980"/>
                <c:pt idx="0" formatCode="0.0000">
                  <c:v>230</c:v>
                </c:pt>
                <c:pt idx="260" formatCode="0.000000">
                  <c:v>216</c:v>
                </c:pt>
                <c:pt idx="520" formatCode="0.000000">
                  <c:v>216</c:v>
                </c:pt>
                <c:pt idx="740" formatCode="0.000000">
                  <c:v>216</c:v>
                </c:pt>
                <c:pt idx="800" formatCode="0.000000">
                  <c:v>216</c:v>
                </c:pt>
                <c:pt idx="920" formatCode="0.000000">
                  <c:v>216</c:v>
                </c:pt>
                <c:pt idx="979" formatCode="0.000000">
                  <c:v>216</c:v>
                </c:pt>
              </c:numCache>
            </c:numRef>
          </c:yVal>
          <c:smooth val="0"/>
          <c:extLst>
            <c:ext xmlns:c16="http://schemas.microsoft.com/office/drawing/2014/chart" uri="{C3380CC4-5D6E-409C-BE32-E72D297353CC}">
              <c16:uniqueId val="{00000001-30C4-4605-9D3F-436F1C05D86B}"/>
            </c:ext>
          </c:extLst>
        </c:ser>
        <c:dLbls>
          <c:showLegendKey val="0"/>
          <c:showVal val="0"/>
          <c:showCatName val="0"/>
          <c:showSerName val="0"/>
          <c:showPercent val="0"/>
          <c:showBubbleSize val="0"/>
        </c:dLbls>
        <c:axId val="106302463"/>
        <c:axId val="106302047"/>
      </c:scatterChart>
      <c:valAx>
        <c:axId val="106302463"/>
        <c:scaling>
          <c:orientation val="minMax"/>
        </c:scaling>
        <c:delete val="0"/>
        <c:axPos val="b"/>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06302047"/>
        <c:crosses val="autoZero"/>
        <c:crossBetween val="midCat"/>
      </c:valAx>
      <c:valAx>
        <c:axId val="106302047"/>
        <c:scaling>
          <c:orientation val="minMax"/>
        </c:scaling>
        <c:delete val="0"/>
        <c:axPos val="l"/>
        <c:numFmt formatCode="0.00" sourceLinked="0"/>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06302463"/>
        <c:crosses val="autoZero"/>
        <c:crossBetween val="midCat"/>
      </c:valAx>
      <c:spPr>
        <a:noFill/>
        <a:ln w="3175">
          <a:solidFill>
            <a:schemeClr val="tx1"/>
          </a:solidFill>
        </a:ln>
        <a:effectLst/>
      </c:spPr>
    </c:plotArea>
    <c:legend>
      <c:legendPos val="r"/>
      <c:layout>
        <c:manualLayout>
          <c:xMode val="edge"/>
          <c:yMode val="edge"/>
          <c:x val="0.66982343751638229"/>
          <c:y val="6.3524319615622798E-2"/>
          <c:w val="0.25453203509465955"/>
          <c:h val="0.14961021963103641"/>
        </c:manualLayout>
      </c:layout>
      <c:overlay val="1"/>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Garamond" panose="02020404030301010803" pitchFamily="18" charset="0"/>
        </a:defRPr>
      </a:pPr>
      <a:endParaRPr lang="sr-Latn-RS"/>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'Interpolated Physical'!$E$1</c:f>
              <c:strCache>
                <c:ptCount val="1"/>
                <c:pt idx="0">
                  <c:v>VISC100</c:v>
                </c:pt>
              </c:strCache>
            </c:strRef>
          </c:tx>
          <c:spPr>
            <a:ln w="25400" cap="rnd">
              <a:noFill/>
              <a:round/>
            </a:ln>
            <a:effectLst/>
          </c:spPr>
          <c:marker>
            <c:symbol val="square"/>
            <c:size val="10"/>
            <c:spPr>
              <a:noFill/>
              <a:ln w="3175">
                <a:solidFill>
                  <a:srgbClr val="0000FF"/>
                </a:solidFill>
              </a:ln>
              <a:effectLst/>
            </c:spPr>
          </c:marker>
          <c:trendline>
            <c:spPr>
              <a:ln w="3175" cap="rnd">
                <a:solidFill>
                  <a:srgbClr val="FF0000"/>
                </a:solidFill>
                <a:prstDash val="lgDash"/>
              </a:ln>
              <a:effectLst/>
            </c:spPr>
            <c:trendlineType val="poly"/>
            <c:order val="3"/>
            <c:dispRSqr val="1"/>
            <c:dispEq val="1"/>
            <c:trendlineLbl>
              <c:layout>
                <c:manualLayout>
                  <c:x val="-0.28003501892489802"/>
                  <c:y val="-5.9854225222711464E-2"/>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rendlineLbl>
          </c:trendline>
          <c:xVal>
            <c:numRef>
              <c:f>'Interpolated Physical'!$A$2:$A$981</c:f>
              <c:numCache>
                <c:formatCode>General</c:formatCode>
                <c:ptCount val="98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432</c:v>
                </c:pt>
                <c:pt idx="21">
                  <c:v>433</c:v>
                </c:pt>
                <c:pt idx="22">
                  <c:v>434</c:v>
                </c:pt>
                <c:pt idx="23">
                  <c:v>435</c:v>
                </c:pt>
                <c:pt idx="24">
                  <c:v>436</c:v>
                </c:pt>
                <c:pt idx="25">
                  <c:v>437</c:v>
                </c:pt>
                <c:pt idx="26">
                  <c:v>438</c:v>
                </c:pt>
                <c:pt idx="27">
                  <c:v>439</c:v>
                </c:pt>
                <c:pt idx="28">
                  <c:v>440</c:v>
                </c:pt>
                <c:pt idx="29">
                  <c:v>441</c:v>
                </c:pt>
                <c:pt idx="30">
                  <c:v>442</c:v>
                </c:pt>
                <c:pt idx="31">
                  <c:v>443</c:v>
                </c:pt>
                <c:pt idx="32">
                  <c:v>444</c:v>
                </c:pt>
                <c:pt idx="33">
                  <c:v>445</c:v>
                </c:pt>
                <c:pt idx="34">
                  <c:v>446</c:v>
                </c:pt>
                <c:pt idx="35">
                  <c:v>447</c:v>
                </c:pt>
                <c:pt idx="36">
                  <c:v>448</c:v>
                </c:pt>
                <c:pt idx="37">
                  <c:v>449</c:v>
                </c:pt>
                <c:pt idx="38">
                  <c:v>450</c:v>
                </c:pt>
                <c:pt idx="39">
                  <c:v>451</c:v>
                </c:pt>
                <c:pt idx="40">
                  <c:v>818</c:v>
                </c:pt>
                <c:pt idx="41">
                  <c:v>819</c:v>
                </c:pt>
                <c:pt idx="42">
                  <c:v>820</c:v>
                </c:pt>
                <c:pt idx="43">
                  <c:v>821</c:v>
                </c:pt>
                <c:pt idx="44">
                  <c:v>822</c:v>
                </c:pt>
                <c:pt idx="45">
                  <c:v>823</c:v>
                </c:pt>
                <c:pt idx="46">
                  <c:v>824</c:v>
                </c:pt>
                <c:pt idx="47">
                  <c:v>825</c:v>
                </c:pt>
                <c:pt idx="48">
                  <c:v>826</c:v>
                </c:pt>
                <c:pt idx="49">
                  <c:v>827</c:v>
                </c:pt>
                <c:pt idx="50">
                  <c:v>828</c:v>
                </c:pt>
                <c:pt idx="51">
                  <c:v>829</c:v>
                </c:pt>
                <c:pt idx="52">
                  <c:v>830</c:v>
                </c:pt>
                <c:pt idx="53">
                  <c:v>831</c:v>
                </c:pt>
                <c:pt idx="54">
                  <c:v>832</c:v>
                </c:pt>
                <c:pt idx="55">
                  <c:v>833</c:v>
                </c:pt>
                <c:pt idx="56">
                  <c:v>834</c:v>
                </c:pt>
                <c:pt idx="57">
                  <c:v>835</c:v>
                </c:pt>
                <c:pt idx="58">
                  <c:v>836</c:v>
                </c:pt>
                <c:pt idx="59">
                  <c:v>837</c:v>
                </c:pt>
                <c:pt idx="60">
                  <c:v>1057</c:v>
                </c:pt>
                <c:pt idx="61">
                  <c:v>1058</c:v>
                </c:pt>
                <c:pt idx="62">
                  <c:v>1059</c:v>
                </c:pt>
                <c:pt idx="63">
                  <c:v>1060</c:v>
                </c:pt>
                <c:pt idx="64">
                  <c:v>1061</c:v>
                </c:pt>
                <c:pt idx="65">
                  <c:v>1062</c:v>
                </c:pt>
                <c:pt idx="66">
                  <c:v>1063</c:v>
                </c:pt>
                <c:pt idx="67">
                  <c:v>1064</c:v>
                </c:pt>
                <c:pt idx="68">
                  <c:v>1065</c:v>
                </c:pt>
                <c:pt idx="69">
                  <c:v>1066</c:v>
                </c:pt>
                <c:pt idx="70">
                  <c:v>1067</c:v>
                </c:pt>
                <c:pt idx="71">
                  <c:v>1068</c:v>
                </c:pt>
                <c:pt idx="72">
                  <c:v>1069</c:v>
                </c:pt>
                <c:pt idx="73">
                  <c:v>1070</c:v>
                </c:pt>
                <c:pt idx="74">
                  <c:v>1071</c:v>
                </c:pt>
                <c:pt idx="75">
                  <c:v>1072</c:v>
                </c:pt>
                <c:pt idx="76">
                  <c:v>1073</c:v>
                </c:pt>
                <c:pt idx="77">
                  <c:v>1074</c:v>
                </c:pt>
                <c:pt idx="78">
                  <c:v>1075</c:v>
                </c:pt>
                <c:pt idx="79">
                  <c:v>1076</c:v>
                </c:pt>
                <c:pt idx="80">
                  <c:v>1407</c:v>
                </c:pt>
                <c:pt idx="81">
                  <c:v>1408</c:v>
                </c:pt>
                <c:pt idx="82">
                  <c:v>1409</c:v>
                </c:pt>
                <c:pt idx="83">
                  <c:v>1410</c:v>
                </c:pt>
                <c:pt idx="84">
                  <c:v>1411</c:v>
                </c:pt>
                <c:pt idx="85">
                  <c:v>1412</c:v>
                </c:pt>
                <c:pt idx="86">
                  <c:v>1413</c:v>
                </c:pt>
                <c:pt idx="87">
                  <c:v>1414</c:v>
                </c:pt>
                <c:pt idx="88">
                  <c:v>1415</c:v>
                </c:pt>
                <c:pt idx="89">
                  <c:v>1416</c:v>
                </c:pt>
                <c:pt idx="90">
                  <c:v>1417</c:v>
                </c:pt>
                <c:pt idx="91">
                  <c:v>1418</c:v>
                </c:pt>
                <c:pt idx="92">
                  <c:v>1419</c:v>
                </c:pt>
                <c:pt idx="93">
                  <c:v>1420</c:v>
                </c:pt>
                <c:pt idx="94">
                  <c:v>1421</c:v>
                </c:pt>
                <c:pt idx="95">
                  <c:v>1422</c:v>
                </c:pt>
                <c:pt idx="96">
                  <c:v>1423</c:v>
                </c:pt>
                <c:pt idx="97">
                  <c:v>1424</c:v>
                </c:pt>
                <c:pt idx="98">
                  <c:v>1425</c:v>
                </c:pt>
                <c:pt idx="99">
                  <c:v>1426</c:v>
                </c:pt>
                <c:pt idx="100">
                  <c:v>1618</c:v>
                </c:pt>
                <c:pt idx="101">
                  <c:v>1619</c:v>
                </c:pt>
                <c:pt idx="102">
                  <c:v>1620</c:v>
                </c:pt>
                <c:pt idx="103">
                  <c:v>1621</c:v>
                </c:pt>
                <c:pt idx="104">
                  <c:v>1622</c:v>
                </c:pt>
                <c:pt idx="105">
                  <c:v>1623</c:v>
                </c:pt>
                <c:pt idx="106">
                  <c:v>1624</c:v>
                </c:pt>
                <c:pt idx="107">
                  <c:v>1625</c:v>
                </c:pt>
                <c:pt idx="108">
                  <c:v>1626</c:v>
                </c:pt>
                <c:pt idx="109">
                  <c:v>1627</c:v>
                </c:pt>
                <c:pt idx="110">
                  <c:v>1628</c:v>
                </c:pt>
                <c:pt idx="111">
                  <c:v>1629</c:v>
                </c:pt>
                <c:pt idx="112">
                  <c:v>1630</c:v>
                </c:pt>
                <c:pt idx="113">
                  <c:v>1631</c:v>
                </c:pt>
                <c:pt idx="114">
                  <c:v>1632</c:v>
                </c:pt>
                <c:pt idx="115">
                  <c:v>1633</c:v>
                </c:pt>
                <c:pt idx="116">
                  <c:v>1634</c:v>
                </c:pt>
                <c:pt idx="117">
                  <c:v>1635</c:v>
                </c:pt>
                <c:pt idx="118">
                  <c:v>1636</c:v>
                </c:pt>
                <c:pt idx="119">
                  <c:v>1637</c:v>
                </c:pt>
                <c:pt idx="120">
                  <c:v>2039</c:v>
                </c:pt>
                <c:pt idx="121">
                  <c:v>2040</c:v>
                </c:pt>
                <c:pt idx="122">
                  <c:v>2041</c:v>
                </c:pt>
                <c:pt idx="123">
                  <c:v>2042</c:v>
                </c:pt>
                <c:pt idx="124">
                  <c:v>2043</c:v>
                </c:pt>
                <c:pt idx="125">
                  <c:v>2044</c:v>
                </c:pt>
                <c:pt idx="126">
                  <c:v>2045</c:v>
                </c:pt>
                <c:pt idx="127">
                  <c:v>2046</c:v>
                </c:pt>
                <c:pt idx="128">
                  <c:v>2047</c:v>
                </c:pt>
                <c:pt idx="129">
                  <c:v>2048</c:v>
                </c:pt>
                <c:pt idx="130">
                  <c:v>2049</c:v>
                </c:pt>
                <c:pt idx="131">
                  <c:v>2050</c:v>
                </c:pt>
                <c:pt idx="132">
                  <c:v>2051</c:v>
                </c:pt>
                <c:pt idx="133">
                  <c:v>2052</c:v>
                </c:pt>
                <c:pt idx="134">
                  <c:v>2053</c:v>
                </c:pt>
                <c:pt idx="135">
                  <c:v>2054</c:v>
                </c:pt>
                <c:pt idx="136">
                  <c:v>2055</c:v>
                </c:pt>
                <c:pt idx="137">
                  <c:v>2056</c:v>
                </c:pt>
                <c:pt idx="138">
                  <c:v>2057</c:v>
                </c:pt>
                <c:pt idx="139">
                  <c:v>2058</c:v>
                </c:pt>
                <c:pt idx="140">
                  <c:v>2897</c:v>
                </c:pt>
                <c:pt idx="141">
                  <c:v>2898</c:v>
                </c:pt>
                <c:pt idx="142">
                  <c:v>2899</c:v>
                </c:pt>
                <c:pt idx="143">
                  <c:v>2900</c:v>
                </c:pt>
                <c:pt idx="144">
                  <c:v>2901</c:v>
                </c:pt>
                <c:pt idx="145">
                  <c:v>2902</c:v>
                </c:pt>
                <c:pt idx="146">
                  <c:v>2903</c:v>
                </c:pt>
                <c:pt idx="147">
                  <c:v>2904</c:v>
                </c:pt>
                <c:pt idx="148">
                  <c:v>2905</c:v>
                </c:pt>
                <c:pt idx="149">
                  <c:v>2906</c:v>
                </c:pt>
                <c:pt idx="150">
                  <c:v>2907</c:v>
                </c:pt>
                <c:pt idx="151">
                  <c:v>2908</c:v>
                </c:pt>
                <c:pt idx="152">
                  <c:v>2909</c:v>
                </c:pt>
                <c:pt idx="153">
                  <c:v>2910</c:v>
                </c:pt>
                <c:pt idx="154">
                  <c:v>2911</c:v>
                </c:pt>
                <c:pt idx="155">
                  <c:v>2912</c:v>
                </c:pt>
                <c:pt idx="156">
                  <c:v>2913</c:v>
                </c:pt>
                <c:pt idx="157">
                  <c:v>2914</c:v>
                </c:pt>
                <c:pt idx="158">
                  <c:v>2915</c:v>
                </c:pt>
                <c:pt idx="159">
                  <c:v>2916</c:v>
                </c:pt>
                <c:pt idx="160">
                  <c:v>3257</c:v>
                </c:pt>
                <c:pt idx="161">
                  <c:v>3258</c:v>
                </c:pt>
                <c:pt idx="162">
                  <c:v>3259</c:v>
                </c:pt>
                <c:pt idx="163">
                  <c:v>3260</c:v>
                </c:pt>
                <c:pt idx="164">
                  <c:v>3261</c:v>
                </c:pt>
                <c:pt idx="165">
                  <c:v>3262</c:v>
                </c:pt>
                <c:pt idx="166">
                  <c:v>3263</c:v>
                </c:pt>
                <c:pt idx="167">
                  <c:v>3264</c:v>
                </c:pt>
                <c:pt idx="168">
                  <c:v>3265</c:v>
                </c:pt>
                <c:pt idx="169">
                  <c:v>3266</c:v>
                </c:pt>
                <c:pt idx="170">
                  <c:v>3267</c:v>
                </c:pt>
                <c:pt idx="171">
                  <c:v>3268</c:v>
                </c:pt>
                <c:pt idx="172">
                  <c:v>3269</c:v>
                </c:pt>
                <c:pt idx="173">
                  <c:v>3270</c:v>
                </c:pt>
                <c:pt idx="174">
                  <c:v>3271</c:v>
                </c:pt>
                <c:pt idx="175">
                  <c:v>3272</c:v>
                </c:pt>
                <c:pt idx="176">
                  <c:v>3273</c:v>
                </c:pt>
                <c:pt idx="177">
                  <c:v>3274</c:v>
                </c:pt>
                <c:pt idx="178">
                  <c:v>3275</c:v>
                </c:pt>
                <c:pt idx="179">
                  <c:v>3276</c:v>
                </c:pt>
                <c:pt idx="180">
                  <c:v>4443</c:v>
                </c:pt>
                <c:pt idx="181">
                  <c:v>4445</c:v>
                </c:pt>
                <c:pt idx="182">
                  <c:v>4446</c:v>
                </c:pt>
                <c:pt idx="183">
                  <c:v>4447</c:v>
                </c:pt>
                <c:pt idx="184">
                  <c:v>4448</c:v>
                </c:pt>
                <c:pt idx="185">
                  <c:v>4449</c:v>
                </c:pt>
                <c:pt idx="186">
                  <c:v>4450</c:v>
                </c:pt>
                <c:pt idx="187">
                  <c:v>4451</c:v>
                </c:pt>
                <c:pt idx="188">
                  <c:v>4452</c:v>
                </c:pt>
                <c:pt idx="189">
                  <c:v>4453</c:v>
                </c:pt>
                <c:pt idx="190">
                  <c:v>4454</c:v>
                </c:pt>
                <c:pt idx="191">
                  <c:v>4455</c:v>
                </c:pt>
                <c:pt idx="192">
                  <c:v>4456</c:v>
                </c:pt>
                <c:pt idx="193">
                  <c:v>4457</c:v>
                </c:pt>
                <c:pt idx="194">
                  <c:v>4458</c:v>
                </c:pt>
                <c:pt idx="195">
                  <c:v>4459</c:v>
                </c:pt>
                <c:pt idx="196">
                  <c:v>4460</c:v>
                </c:pt>
                <c:pt idx="197">
                  <c:v>4461</c:v>
                </c:pt>
                <c:pt idx="198">
                  <c:v>4462</c:v>
                </c:pt>
                <c:pt idx="199">
                  <c:v>4463</c:v>
                </c:pt>
                <c:pt idx="200">
                  <c:v>4740</c:v>
                </c:pt>
                <c:pt idx="201">
                  <c:v>4741</c:v>
                </c:pt>
                <c:pt idx="202">
                  <c:v>4742</c:v>
                </c:pt>
                <c:pt idx="203">
                  <c:v>4743</c:v>
                </c:pt>
                <c:pt idx="204">
                  <c:v>4744</c:v>
                </c:pt>
                <c:pt idx="205">
                  <c:v>4745</c:v>
                </c:pt>
                <c:pt idx="206">
                  <c:v>4746</c:v>
                </c:pt>
                <c:pt idx="207">
                  <c:v>4747</c:v>
                </c:pt>
                <c:pt idx="208">
                  <c:v>4748</c:v>
                </c:pt>
                <c:pt idx="209">
                  <c:v>4749</c:v>
                </c:pt>
                <c:pt idx="210">
                  <c:v>4750</c:v>
                </c:pt>
                <c:pt idx="211">
                  <c:v>4751</c:v>
                </c:pt>
                <c:pt idx="212">
                  <c:v>4752</c:v>
                </c:pt>
                <c:pt idx="213">
                  <c:v>4753</c:v>
                </c:pt>
                <c:pt idx="214">
                  <c:v>4754</c:v>
                </c:pt>
                <c:pt idx="215">
                  <c:v>4755</c:v>
                </c:pt>
                <c:pt idx="216">
                  <c:v>4756</c:v>
                </c:pt>
                <c:pt idx="217">
                  <c:v>4757</c:v>
                </c:pt>
                <c:pt idx="218">
                  <c:v>4758</c:v>
                </c:pt>
                <c:pt idx="219">
                  <c:v>4759</c:v>
                </c:pt>
                <c:pt idx="220">
                  <c:v>5191</c:v>
                </c:pt>
                <c:pt idx="221">
                  <c:v>5192</c:v>
                </c:pt>
                <c:pt idx="222">
                  <c:v>5193</c:v>
                </c:pt>
                <c:pt idx="223">
                  <c:v>5194</c:v>
                </c:pt>
                <c:pt idx="224">
                  <c:v>5195</c:v>
                </c:pt>
                <c:pt idx="225">
                  <c:v>5196</c:v>
                </c:pt>
                <c:pt idx="226">
                  <c:v>5197</c:v>
                </c:pt>
                <c:pt idx="227">
                  <c:v>5198</c:v>
                </c:pt>
                <c:pt idx="228">
                  <c:v>5199</c:v>
                </c:pt>
                <c:pt idx="229">
                  <c:v>5200</c:v>
                </c:pt>
                <c:pt idx="230">
                  <c:v>5201</c:v>
                </c:pt>
                <c:pt idx="231">
                  <c:v>5202</c:v>
                </c:pt>
                <c:pt idx="232">
                  <c:v>5203</c:v>
                </c:pt>
                <c:pt idx="233">
                  <c:v>5204</c:v>
                </c:pt>
                <c:pt idx="234">
                  <c:v>5205</c:v>
                </c:pt>
                <c:pt idx="235">
                  <c:v>5206</c:v>
                </c:pt>
                <c:pt idx="236">
                  <c:v>5207</c:v>
                </c:pt>
                <c:pt idx="237">
                  <c:v>5208</c:v>
                </c:pt>
                <c:pt idx="238">
                  <c:v>5209</c:v>
                </c:pt>
                <c:pt idx="239">
                  <c:v>5210</c:v>
                </c:pt>
                <c:pt idx="240">
                  <c:v>5544</c:v>
                </c:pt>
                <c:pt idx="241">
                  <c:v>5545</c:v>
                </c:pt>
                <c:pt idx="242">
                  <c:v>5546</c:v>
                </c:pt>
                <c:pt idx="243">
                  <c:v>5547</c:v>
                </c:pt>
                <c:pt idx="244">
                  <c:v>5548</c:v>
                </c:pt>
                <c:pt idx="245">
                  <c:v>5549</c:v>
                </c:pt>
                <c:pt idx="246">
                  <c:v>5550</c:v>
                </c:pt>
                <c:pt idx="247">
                  <c:v>5551</c:v>
                </c:pt>
                <c:pt idx="248">
                  <c:v>5552</c:v>
                </c:pt>
                <c:pt idx="249">
                  <c:v>5553</c:v>
                </c:pt>
                <c:pt idx="250">
                  <c:v>5554</c:v>
                </c:pt>
                <c:pt idx="251">
                  <c:v>5555</c:v>
                </c:pt>
                <c:pt idx="252">
                  <c:v>5556</c:v>
                </c:pt>
                <c:pt idx="253">
                  <c:v>5557</c:v>
                </c:pt>
                <c:pt idx="254">
                  <c:v>5558</c:v>
                </c:pt>
                <c:pt idx="255">
                  <c:v>5559</c:v>
                </c:pt>
                <c:pt idx="256">
                  <c:v>5560</c:v>
                </c:pt>
                <c:pt idx="257">
                  <c:v>5561</c:v>
                </c:pt>
                <c:pt idx="258">
                  <c:v>5562</c:v>
                </c:pt>
                <c:pt idx="259">
                  <c:v>5563</c:v>
                </c:pt>
                <c:pt idx="260">
                  <c:v>5915</c:v>
                </c:pt>
                <c:pt idx="261">
                  <c:v>5916</c:v>
                </c:pt>
                <c:pt idx="262">
                  <c:v>5917</c:v>
                </c:pt>
                <c:pt idx="263">
                  <c:v>5918</c:v>
                </c:pt>
                <c:pt idx="264">
                  <c:v>5919</c:v>
                </c:pt>
                <c:pt idx="265">
                  <c:v>5920</c:v>
                </c:pt>
                <c:pt idx="266">
                  <c:v>5921</c:v>
                </c:pt>
                <c:pt idx="267">
                  <c:v>5922</c:v>
                </c:pt>
                <c:pt idx="268">
                  <c:v>5923</c:v>
                </c:pt>
                <c:pt idx="269">
                  <c:v>5924</c:v>
                </c:pt>
                <c:pt idx="270">
                  <c:v>5925</c:v>
                </c:pt>
                <c:pt idx="271">
                  <c:v>5926</c:v>
                </c:pt>
                <c:pt idx="272">
                  <c:v>5927</c:v>
                </c:pt>
                <c:pt idx="273">
                  <c:v>5928</c:v>
                </c:pt>
                <c:pt idx="274">
                  <c:v>5929</c:v>
                </c:pt>
                <c:pt idx="275">
                  <c:v>5930</c:v>
                </c:pt>
                <c:pt idx="276">
                  <c:v>5931</c:v>
                </c:pt>
                <c:pt idx="277">
                  <c:v>5932</c:v>
                </c:pt>
                <c:pt idx="278">
                  <c:v>5933</c:v>
                </c:pt>
                <c:pt idx="279">
                  <c:v>5934</c:v>
                </c:pt>
                <c:pt idx="280">
                  <c:v>6137</c:v>
                </c:pt>
                <c:pt idx="281">
                  <c:v>6138</c:v>
                </c:pt>
                <c:pt idx="282">
                  <c:v>6139</c:v>
                </c:pt>
                <c:pt idx="283">
                  <c:v>6140</c:v>
                </c:pt>
                <c:pt idx="284">
                  <c:v>6141</c:v>
                </c:pt>
                <c:pt idx="285">
                  <c:v>6142</c:v>
                </c:pt>
                <c:pt idx="286">
                  <c:v>6143</c:v>
                </c:pt>
                <c:pt idx="287">
                  <c:v>6144</c:v>
                </c:pt>
                <c:pt idx="288">
                  <c:v>6145</c:v>
                </c:pt>
                <c:pt idx="289">
                  <c:v>6146</c:v>
                </c:pt>
                <c:pt idx="290">
                  <c:v>6147</c:v>
                </c:pt>
                <c:pt idx="291">
                  <c:v>6148</c:v>
                </c:pt>
                <c:pt idx="292">
                  <c:v>6149</c:v>
                </c:pt>
                <c:pt idx="293">
                  <c:v>6150</c:v>
                </c:pt>
                <c:pt idx="294">
                  <c:v>6151</c:v>
                </c:pt>
                <c:pt idx="295">
                  <c:v>6152</c:v>
                </c:pt>
                <c:pt idx="296">
                  <c:v>6153</c:v>
                </c:pt>
                <c:pt idx="297">
                  <c:v>6154</c:v>
                </c:pt>
                <c:pt idx="298">
                  <c:v>6155</c:v>
                </c:pt>
                <c:pt idx="299">
                  <c:v>6156</c:v>
                </c:pt>
                <c:pt idx="300">
                  <c:v>6600</c:v>
                </c:pt>
                <c:pt idx="301">
                  <c:v>6601</c:v>
                </c:pt>
                <c:pt idx="302">
                  <c:v>6602</c:v>
                </c:pt>
                <c:pt idx="303">
                  <c:v>6603</c:v>
                </c:pt>
                <c:pt idx="304">
                  <c:v>6604</c:v>
                </c:pt>
                <c:pt idx="305">
                  <c:v>6605</c:v>
                </c:pt>
                <c:pt idx="306">
                  <c:v>6606</c:v>
                </c:pt>
                <c:pt idx="307">
                  <c:v>6607</c:v>
                </c:pt>
                <c:pt idx="308">
                  <c:v>6608</c:v>
                </c:pt>
                <c:pt idx="309">
                  <c:v>6609</c:v>
                </c:pt>
                <c:pt idx="310">
                  <c:v>6610</c:v>
                </c:pt>
                <c:pt idx="311">
                  <c:v>6611</c:v>
                </c:pt>
                <c:pt idx="312">
                  <c:v>6612</c:v>
                </c:pt>
                <c:pt idx="313">
                  <c:v>6613</c:v>
                </c:pt>
                <c:pt idx="314">
                  <c:v>6614</c:v>
                </c:pt>
                <c:pt idx="315">
                  <c:v>6615</c:v>
                </c:pt>
                <c:pt idx="316">
                  <c:v>6616</c:v>
                </c:pt>
                <c:pt idx="317">
                  <c:v>6617</c:v>
                </c:pt>
                <c:pt idx="318">
                  <c:v>6618</c:v>
                </c:pt>
                <c:pt idx="319">
                  <c:v>6619</c:v>
                </c:pt>
                <c:pt idx="320">
                  <c:v>6823</c:v>
                </c:pt>
                <c:pt idx="321">
                  <c:v>6824</c:v>
                </c:pt>
                <c:pt idx="322">
                  <c:v>6825</c:v>
                </c:pt>
                <c:pt idx="323">
                  <c:v>6826</c:v>
                </c:pt>
                <c:pt idx="324">
                  <c:v>6827</c:v>
                </c:pt>
                <c:pt idx="325">
                  <c:v>6828</c:v>
                </c:pt>
                <c:pt idx="326">
                  <c:v>6829</c:v>
                </c:pt>
                <c:pt idx="327">
                  <c:v>6830</c:v>
                </c:pt>
                <c:pt idx="328">
                  <c:v>6831</c:v>
                </c:pt>
                <c:pt idx="329">
                  <c:v>6832</c:v>
                </c:pt>
                <c:pt idx="330">
                  <c:v>6833</c:v>
                </c:pt>
                <c:pt idx="331">
                  <c:v>6834</c:v>
                </c:pt>
                <c:pt idx="332">
                  <c:v>6835</c:v>
                </c:pt>
                <c:pt idx="333">
                  <c:v>6836</c:v>
                </c:pt>
                <c:pt idx="334">
                  <c:v>6837</c:v>
                </c:pt>
                <c:pt idx="335">
                  <c:v>6838</c:v>
                </c:pt>
                <c:pt idx="336">
                  <c:v>6839</c:v>
                </c:pt>
                <c:pt idx="337">
                  <c:v>6840</c:v>
                </c:pt>
                <c:pt idx="338">
                  <c:v>6841</c:v>
                </c:pt>
                <c:pt idx="339">
                  <c:v>6842</c:v>
                </c:pt>
                <c:pt idx="340">
                  <c:v>7090</c:v>
                </c:pt>
                <c:pt idx="341">
                  <c:v>7091</c:v>
                </c:pt>
                <c:pt idx="342">
                  <c:v>7092</c:v>
                </c:pt>
                <c:pt idx="343">
                  <c:v>7093</c:v>
                </c:pt>
                <c:pt idx="344">
                  <c:v>7094</c:v>
                </c:pt>
                <c:pt idx="345">
                  <c:v>7095</c:v>
                </c:pt>
                <c:pt idx="346">
                  <c:v>7096</c:v>
                </c:pt>
                <c:pt idx="347">
                  <c:v>7097</c:v>
                </c:pt>
                <c:pt idx="348">
                  <c:v>7098</c:v>
                </c:pt>
                <c:pt idx="349">
                  <c:v>7099</c:v>
                </c:pt>
                <c:pt idx="350">
                  <c:v>7100</c:v>
                </c:pt>
                <c:pt idx="351">
                  <c:v>7101</c:v>
                </c:pt>
                <c:pt idx="352">
                  <c:v>7102</c:v>
                </c:pt>
                <c:pt idx="353">
                  <c:v>7103</c:v>
                </c:pt>
                <c:pt idx="354">
                  <c:v>7104</c:v>
                </c:pt>
                <c:pt idx="355">
                  <c:v>7105</c:v>
                </c:pt>
                <c:pt idx="356">
                  <c:v>7106</c:v>
                </c:pt>
                <c:pt idx="357">
                  <c:v>7107</c:v>
                </c:pt>
                <c:pt idx="358">
                  <c:v>7108</c:v>
                </c:pt>
                <c:pt idx="359">
                  <c:v>7109</c:v>
                </c:pt>
                <c:pt idx="360">
                  <c:v>7413</c:v>
                </c:pt>
                <c:pt idx="361">
                  <c:v>7414</c:v>
                </c:pt>
                <c:pt idx="362">
                  <c:v>7415</c:v>
                </c:pt>
                <c:pt idx="363">
                  <c:v>7416</c:v>
                </c:pt>
                <c:pt idx="364">
                  <c:v>7417</c:v>
                </c:pt>
                <c:pt idx="365">
                  <c:v>7418</c:v>
                </c:pt>
                <c:pt idx="366">
                  <c:v>7419</c:v>
                </c:pt>
                <c:pt idx="367">
                  <c:v>7420</c:v>
                </c:pt>
                <c:pt idx="368">
                  <c:v>7421</c:v>
                </c:pt>
                <c:pt idx="369">
                  <c:v>7422</c:v>
                </c:pt>
                <c:pt idx="370">
                  <c:v>7423</c:v>
                </c:pt>
                <c:pt idx="371">
                  <c:v>7424</c:v>
                </c:pt>
                <c:pt idx="372">
                  <c:v>7425</c:v>
                </c:pt>
                <c:pt idx="373">
                  <c:v>7426</c:v>
                </c:pt>
                <c:pt idx="374">
                  <c:v>7427</c:v>
                </c:pt>
                <c:pt idx="375">
                  <c:v>7428</c:v>
                </c:pt>
                <c:pt idx="376">
                  <c:v>7429</c:v>
                </c:pt>
                <c:pt idx="377">
                  <c:v>7430</c:v>
                </c:pt>
                <c:pt idx="378">
                  <c:v>7431</c:v>
                </c:pt>
                <c:pt idx="379">
                  <c:v>7432</c:v>
                </c:pt>
                <c:pt idx="380">
                  <c:v>7931</c:v>
                </c:pt>
                <c:pt idx="381">
                  <c:v>7932</c:v>
                </c:pt>
                <c:pt idx="382">
                  <c:v>7933</c:v>
                </c:pt>
                <c:pt idx="383">
                  <c:v>7934</c:v>
                </c:pt>
                <c:pt idx="384">
                  <c:v>7935</c:v>
                </c:pt>
                <c:pt idx="385">
                  <c:v>7936</c:v>
                </c:pt>
                <c:pt idx="386">
                  <c:v>7937</c:v>
                </c:pt>
                <c:pt idx="387">
                  <c:v>7938</c:v>
                </c:pt>
                <c:pt idx="388">
                  <c:v>7939</c:v>
                </c:pt>
                <c:pt idx="389">
                  <c:v>7940</c:v>
                </c:pt>
                <c:pt idx="390">
                  <c:v>7941</c:v>
                </c:pt>
                <c:pt idx="391">
                  <c:v>7942</c:v>
                </c:pt>
                <c:pt idx="392">
                  <c:v>7943</c:v>
                </c:pt>
                <c:pt idx="393">
                  <c:v>7944</c:v>
                </c:pt>
                <c:pt idx="394">
                  <c:v>7945</c:v>
                </c:pt>
                <c:pt idx="395">
                  <c:v>7946</c:v>
                </c:pt>
                <c:pt idx="396">
                  <c:v>7947</c:v>
                </c:pt>
                <c:pt idx="397">
                  <c:v>7948</c:v>
                </c:pt>
                <c:pt idx="398">
                  <c:v>7949</c:v>
                </c:pt>
                <c:pt idx="399">
                  <c:v>7950</c:v>
                </c:pt>
                <c:pt idx="400">
                  <c:v>8361</c:v>
                </c:pt>
                <c:pt idx="401">
                  <c:v>8362</c:v>
                </c:pt>
                <c:pt idx="402">
                  <c:v>8363</c:v>
                </c:pt>
                <c:pt idx="403">
                  <c:v>8364</c:v>
                </c:pt>
                <c:pt idx="404">
                  <c:v>8365</c:v>
                </c:pt>
                <c:pt idx="405">
                  <c:v>8366</c:v>
                </c:pt>
                <c:pt idx="406">
                  <c:v>8367</c:v>
                </c:pt>
                <c:pt idx="407">
                  <c:v>8368</c:v>
                </c:pt>
                <c:pt idx="408">
                  <c:v>8369</c:v>
                </c:pt>
                <c:pt idx="409">
                  <c:v>8370</c:v>
                </c:pt>
                <c:pt idx="410">
                  <c:v>8371</c:v>
                </c:pt>
                <c:pt idx="411">
                  <c:v>8372</c:v>
                </c:pt>
                <c:pt idx="412">
                  <c:v>8373</c:v>
                </c:pt>
                <c:pt idx="413">
                  <c:v>8374</c:v>
                </c:pt>
                <c:pt idx="414">
                  <c:v>8375</c:v>
                </c:pt>
                <c:pt idx="415">
                  <c:v>8376</c:v>
                </c:pt>
                <c:pt idx="416">
                  <c:v>8377</c:v>
                </c:pt>
                <c:pt idx="417">
                  <c:v>8378</c:v>
                </c:pt>
                <c:pt idx="418">
                  <c:v>8379</c:v>
                </c:pt>
                <c:pt idx="419">
                  <c:v>8380</c:v>
                </c:pt>
                <c:pt idx="420">
                  <c:v>8679</c:v>
                </c:pt>
                <c:pt idx="421">
                  <c:v>8680</c:v>
                </c:pt>
                <c:pt idx="422">
                  <c:v>8681</c:v>
                </c:pt>
                <c:pt idx="423">
                  <c:v>8682</c:v>
                </c:pt>
                <c:pt idx="424">
                  <c:v>8683</c:v>
                </c:pt>
                <c:pt idx="425">
                  <c:v>8684</c:v>
                </c:pt>
                <c:pt idx="426">
                  <c:v>8685</c:v>
                </c:pt>
                <c:pt idx="427">
                  <c:v>8686</c:v>
                </c:pt>
                <c:pt idx="428">
                  <c:v>8687</c:v>
                </c:pt>
                <c:pt idx="429">
                  <c:v>8688</c:v>
                </c:pt>
                <c:pt idx="430">
                  <c:v>8689</c:v>
                </c:pt>
                <c:pt idx="431">
                  <c:v>8690</c:v>
                </c:pt>
                <c:pt idx="432">
                  <c:v>8691</c:v>
                </c:pt>
                <c:pt idx="433">
                  <c:v>8692</c:v>
                </c:pt>
                <c:pt idx="434">
                  <c:v>8693</c:v>
                </c:pt>
                <c:pt idx="435">
                  <c:v>8694</c:v>
                </c:pt>
                <c:pt idx="436">
                  <c:v>8695</c:v>
                </c:pt>
                <c:pt idx="437">
                  <c:v>8696</c:v>
                </c:pt>
                <c:pt idx="438">
                  <c:v>8697</c:v>
                </c:pt>
                <c:pt idx="439">
                  <c:v>8698</c:v>
                </c:pt>
                <c:pt idx="440">
                  <c:v>9074</c:v>
                </c:pt>
                <c:pt idx="441">
                  <c:v>9075</c:v>
                </c:pt>
                <c:pt idx="442">
                  <c:v>9076</c:v>
                </c:pt>
                <c:pt idx="443">
                  <c:v>9077</c:v>
                </c:pt>
                <c:pt idx="444">
                  <c:v>9078</c:v>
                </c:pt>
                <c:pt idx="445">
                  <c:v>9079</c:v>
                </c:pt>
                <c:pt idx="446">
                  <c:v>9080</c:v>
                </c:pt>
                <c:pt idx="447">
                  <c:v>9081</c:v>
                </c:pt>
                <c:pt idx="448">
                  <c:v>9082</c:v>
                </c:pt>
                <c:pt idx="449">
                  <c:v>9083</c:v>
                </c:pt>
                <c:pt idx="450">
                  <c:v>9084</c:v>
                </c:pt>
                <c:pt idx="451">
                  <c:v>9085</c:v>
                </c:pt>
                <c:pt idx="452">
                  <c:v>9086</c:v>
                </c:pt>
                <c:pt idx="453">
                  <c:v>9087</c:v>
                </c:pt>
                <c:pt idx="454">
                  <c:v>9088</c:v>
                </c:pt>
                <c:pt idx="455">
                  <c:v>9089</c:v>
                </c:pt>
                <c:pt idx="456">
                  <c:v>9090</c:v>
                </c:pt>
                <c:pt idx="457">
                  <c:v>9091</c:v>
                </c:pt>
                <c:pt idx="458">
                  <c:v>9092</c:v>
                </c:pt>
                <c:pt idx="459">
                  <c:v>9093</c:v>
                </c:pt>
                <c:pt idx="460">
                  <c:v>9304</c:v>
                </c:pt>
                <c:pt idx="461">
                  <c:v>9305</c:v>
                </c:pt>
                <c:pt idx="462">
                  <c:v>9306</c:v>
                </c:pt>
                <c:pt idx="463">
                  <c:v>9307</c:v>
                </c:pt>
                <c:pt idx="464">
                  <c:v>9308</c:v>
                </c:pt>
                <c:pt idx="465">
                  <c:v>9309</c:v>
                </c:pt>
                <c:pt idx="466">
                  <c:v>9310</c:v>
                </c:pt>
                <c:pt idx="467">
                  <c:v>9311</c:v>
                </c:pt>
                <c:pt idx="468">
                  <c:v>9312</c:v>
                </c:pt>
                <c:pt idx="469">
                  <c:v>9313</c:v>
                </c:pt>
                <c:pt idx="470">
                  <c:v>9314</c:v>
                </c:pt>
                <c:pt idx="471">
                  <c:v>9315</c:v>
                </c:pt>
                <c:pt idx="472">
                  <c:v>9316</c:v>
                </c:pt>
                <c:pt idx="473">
                  <c:v>9317</c:v>
                </c:pt>
                <c:pt idx="474">
                  <c:v>9318</c:v>
                </c:pt>
                <c:pt idx="475">
                  <c:v>9319</c:v>
                </c:pt>
                <c:pt idx="476">
                  <c:v>9320</c:v>
                </c:pt>
                <c:pt idx="477">
                  <c:v>9321</c:v>
                </c:pt>
                <c:pt idx="478">
                  <c:v>9322</c:v>
                </c:pt>
                <c:pt idx="479">
                  <c:v>9323</c:v>
                </c:pt>
                <c:pt idx="480">
                  <c:v>9774</c:v>
                </c:pt>
                <c:pt idx="481">
                  <c:v>9775</c:v>
                </c:pt>
                <c:pt idx="482">
                  <c:v>9776</c:v>
                </c:pt>
                <c:pt idx="483">
                  <c:v>9777</c:v>
                </c:pt>
                <c:pt idx="484">
                  <c:v>9778</c:v>
                </c:pt>
                <c:pt idx="485">
                  <c:v>9779</c:v>
                </c:pt>
                <c:pt idx="486">
                  <c:v>9780</c:v>
                </c:pt>
                <c:pt idx="487">
                  <c:v>9781</c:v>
                </c:pt>
                <c:pt idx="488">
                  <c:v>9782</c:v>
                </c:pt>
                <c:pt idx="489">
                  <c:v>9783</c:v>
                </c:pt>
                <c:pt idx="490">
                  <c:v>9784</c:v>
                </c:pt>
                <c:pt idx="491">
                  <c:v>9785</c:v>
                </c:pt>
                <c:pt idx="492">
                  <c:v>9786</c:v>
                </c:pt>
                <c:pt idx="493">
                  <c:v>9787</c:v>
                </c:pt>
                <c:pt idx="494">
                  <c:v>9788</c:v>
                </c:pt>
                <c:pt idx="495">
                  <c:v>9789</c:v>
                </c:pt>
                <c:pt idx="496">
                  <c:v>9790</c:v>
                </c:pt>
                <c:pt idx="497">
                  <c:v>9791</c:v>
                </c:pt>
                <c:pt idx="498">
                  <c:v>9792</c:v>
                </c:pt>
                <c:pt idx="499">
                  <c:v>9793</c:v>
                </c:pt>
                <c:pt idx="500">
                  <c:v>10014</c:v>
                </c:pt>
                <c:pt idx="501">
                  <c:v>10015</c:v>
                </c:pt>
                <c:pt idx="502">
                  <c:v>10016</c:v>
                </c:pt>
                <c:pt idx="503">
                  <c:v>10017</c:v>
                </c:pt>
                <c:pt idx="504">
                  <c:v>10018</c:v>
                </c:pt>
                <c:pt idx="505">
                  <c:v>10019</c:v>
                </c:pt>
                <c:pt idx="506">
                  <c:v>10020</c:v>
                </c:pt>
                <c:pt idx="507">
                  <c:v>10021</c:v>
                </c:pt>
                <c:pt idx="508">
                  <c:v>10022</c:v>
                </c:pt>
                <c:pt idx="509">
                  <c:v>10023</c:v>
                </c:pt>
                <c:pt idx="510">
                  <c:v>10024</c:v>
                </c:pt>
                <c:pt idx="511">
                  <c:v>10025</c:v>
                </c:pt>
                <c:pt idx="512">
                  <c:v>10026</c:v>
                </c:pt>
                <c:pt idx="513">
                  <c:v>10027</c:v>
                </c:pt>
                <c:pt idx="514">
                  <c:v>10028</c:v>
                </c:pt>
                <c:pt idx="515">
                  <c:v>10029</c:v>
                </c:pt>
                <c:pt idx="516">
                  <c:v>10030</c:v>
                </c:pt>
                <c:pt idx="517">
                  <c:v>10031</c:v>
                </c:pt>
                <c:pt idx="518">
                  <c:v>10032</c:v>
                </c:pt>
                <c:pt idx="519">
                  <c:v>10033</c:v>
                </c:pt>
                <c:pt idx="520">
                  <c:v>11975</c:v>
                </c:pt>
                <c:pt idx="521">
                  <c:v>11976</c:v>
                </c:pt>
                <c:pt idx="522">
                  <c:v>11977</c:v>
                </c:pt>
                <c:pt idx="523">
                  <c:v>11978</c:v>
                </c:pt>
                <c:pt idx="524">
                  <c:v>11979</c:v>
                </c:pt>
                <c:pt idx="525">
                  <c:v>11980</c:v>
                </c:pt>
                <c:pt idx="526">
                  <c:v>11981</c:v>
                </c:pt>
                <c:pt idx="527">
                  <c:v>11982</c:v>
                </c:pt>
                <c:pt idx="528">
                  <c:v>11983</c:v>
                </c:pt>
                <c:pt idx="529">
                  <c:v>11984</c:v>
                </c:pt>
                <c:pt idx="530">
                  <c:v>11985</c:v>
                </c:pt>
                <c:pt idx="531">
                  <c:v>11986</c:v>
                </c:pt>
                <c:pt idx="532">
                  <c:v>11987</c:v>
                </c:pt>
                <c:pt idx="533">
                  <c:v>11988</c:v>
                </c:pt>
                <c:pt idx="534">
                  <c:v>11989</c:v>
                </c:pt>
                <c:pt idx="535">
                  <c:v>11990</c:v>
                </c:pt>
                <c:pt idx="536">
                  <c:v>11991</c:v>
                </c:pt>
                <c:pt idx="537">
                  <c:v>11992</c:v>
                </c:pt>
                <c:pt idx="538">
                  <c:v>11993</c:v>
                </c:pt>
                <c:pt idx="539">
                  <c:v>11994</c:v>
                </c:pt>
                <c:pt idx="540">
                  <c:v>12381</c:v>
                </c:pt>
                <c:pt idx="541">
                  <c:v>12382</c:v>
                </c:pt>
                <c:pt idx="542">
                  <c:v>12383</c:v>
                </c:pt>
                <c:pt idx="543">
                  <c:v>12384</c:v>
                </c:pt>
                <c:pt idx="544">
                  <c:v>12385</c:v>
                </c:pt>
                <c:pt idx="545">
                  <c:v>12386</c:v>
                </c:pt>
                <c:pt idx="546">
                  <c:v>12387</c:v>
                </c:pt>
                <c:pt idx="547">
                  <c:v>12388</c:v>
                </c:pt>
                <c:pt idx="548">
                  <c:v>12389</c:v>
                </c:pt>
                <c:pt idx="549">
                  <c:v>12390</c:v>
                </c:pt>
                <c:pt idx="550">
                  <c:v>12391</c:v>
                </c:pt>
                <c:pt idx="551">
                  <c:v>12392</c:v>
                </c:pt>
                <c:pt idx="552">
                  <c:v>12393</c:v>
                </c:pt>
                <c:pt idx="553">
                  <c:v>12394</c:v>
                </c:pt>
                <c:pt idx="554">
                  <c:v>12395</c:v>
                </c:pt>
                <c:pt idx="555">
                  <c:v>12396</c:v>
                </c:pt>
                <c:pt idx="556">
                  <c:v>12397</c:v>
                </c:pt>
                <c:pt idx="557">
                  <c:v>12398</c:v>
                </c:pt>
                <c:pt idx="558">
                  <c:v>12399</c:v>
                </c:pt>
                <c:pt idx="559">
                  <c:v>12400</c:v>
                </c:pt>
                <c:pt idx="560">
                  <c:v>12432</c:v>
                </c:pt>
                <c:pt idx="561">
                  <c:v>12433</c:v>
                </c:pt>
                <c:pt idx="562">
                  <c:v>12434</c:v>
                </c:pt>
                <c:pt idx="563">
                  <c:v>12435</c:v>
                </c:pt>
                <c:pt idx="564">
                  <c:v>12436</c:v>
                </c:pt>
                <c:pt idx="565">
                  <c:v>12437</c:v>
                </c:pt>
                <c:pt idx="566">
                  <c:v>12438</c:v>
                </c:pt>
                <c:pt idx="567">
                  <c:v>12439</c:v>
                </c:pt>
                <c:pt idx="568">
                  <c:v>12440</c:v>
                </c:pt>
                <c:pt idx="569">
                  <c:v>12441</c:v>
                </c:pt>
                <c:pt idx="570">
                  <c:v>12442</c:v>
                </c:pt>
                <c:pt idx="571">
                  <c:v>12443</c:v>
                </c:pt>
                <c:pt idx="572">
                  <c:v>12444</c:v>
                </c:pt>
                <c:pt idx="573">
                  <c:v>12445</c:v>
                </c:pt>
                <c:pt idx="574">
                  <c:v>12446</c:v>
                </c:pt>
                <c:pt idx="575">
                  <c:v>12447</c:v>
                </c:pt>
                <c:pt idx="576">
                  <c:v>12448</c:v>
                </c:pt>
                <c:pt idx="577">
                  <c:v>12449</c:v>
                </c:pt>
                <c:pt idx="578">
                  <c:v>12450</c:v>
                </c:pt>
                <c:pt idx="579">
                  <c:v>12451</c:v>
                </c:pt>
                <c:pt idx="580">
                  <c:v>12951</c:v>
                </c:pt>
                <c:pt idx="581">
                  <c:v>12952</c:v>
                </c:pt>
                <c:pt idx="582">
                  <c:v>12953</c:v>
                </c:pt>
                <c:pt idx="583">
                  <c:v>12954</c:v>
                </c:pt>
                <c:pt idx="584">
                  <c:v>12955</c:v>
                </c:pt>
                <c:pt idx="585">
                  <c:v>12956</c:v>
                </c:pt>
                <c:pt idx="586">
                  <c:v>12957</c:v>
                </c:pt>
                <c:pt idx="587">
                  <c:v>12958</c:v>
                </c:pt>
                <c:pt idx="588">
                  <c:v>12959</c:v>
                </c:pt>
                <c:pt idx="589">
                  <c:v>12960</c:v>
                </c:pt>
                <c:pt idx="590">
                  <c:v>12961</c:v>
                </c:pt>
                <c:pt idx="591">
                  <c:v>12962</c:v>
                </c:pt>
                <c:pt idx="592">
                  <c:v>12963</c:v>
                </c:pt>
                <c:pt idx="593">
                  <c:v>12964</c:v>
                </c:pt>
                <c:pt idx="594">
                  <c:v>12965</c:v>
                </c:pt>
                <c:pt idx="595">
                  <c:v>12966</c:v>
                </c:pt>
                <c:pt idx="596">
                  <c:v>12967</c:v>
                </c:pt>
                <c:pt idx="597">
                  <c:v>12968</c:v>
                </c:pt>
                <c:pt idx="598">
                  <c:v>12969</c:v>
                </c:pt>
                <c:pt idx="599">
                  <c:v>12970</c:v>
                </c:pt>
                <c:pt idx="600">
                  <c:v>13232</c:v>
                </c:pt>
                <c:pt idx="601">
                  <c:v>13233</c:v>
                </c:pt>
                <c:pt idx="602">
                  <c:v>13234</c:v>
                </c:pt>
                <c:pt idx="603">
                  <c:v>13235</c:v>
                </c:pt>
                <c:pt idx="604">
                  <c:v>13236</c:v>
                </c:pt>
                <c:pt idx="605">
                  <c:v>13237</c:v>
                </c:pt>
                <c:pt idx="606">
                  <c:v>13238</c:v>
                </c:pt>
                <c:pt idx="607">
                  <c:v>13239</c:v>
                </c:pt>
                <c:pt idx="608">
                  <c:v>13240</c:v>
                </c:pt>
                <c:pt idx="609">
                  <c:v>13241</c:v>
                </c:pt>
                <c:pt idx="610">
                  <c:v>13242</c:v>
                </c:pt>
                <c:pt idx="611">
                  <c:v>13243</c:v>
                </c:pt>
                <c:pt idx="612">
                  <c:v>13244</c:v>
                </c:pt>
                <c:pt idx="613">
                  <c:v>13245</c:v>
                </c:pt>
                <c:pt idx="614">
                  <c:v>13246</c:v>
                </c:pt>
                <c:pt idx="615">
                  <c:v>13247</c:v>
                </c:pt>
                <c:pt idx="616">
                  <c:v>13248</c:v>
                </c:pt>
                <c:pt idx="617">
                  <c:v>13249</c:v>
                </c:pt>
                <c:pt idx="618">
                  <c:v>13250</c:v>
                </c:pt>
                <c:pt idx="619">
                  <c:v>13251</c:v>
                </c:pt>
                <c:pt idx="620">
                  <c:v>13760</c:v>
                </c:pt>
                <c:pt idx="621">
                  <c:v>13761</c:v>
                </c:pt>
                <c:pt idx="622">
                  <c:v>13762</c:v>
                </c:pt>
                <c:pt idx="623">
                  <c:v>13763</c:v>
                </c:pt>
                <c:pt idx="624">
                  <c:v>13764</c:v>
                </c:pt>
                <c:pt idx="625">
                  <c:v>13765</c:v>
                </c:pt>
                <c:pt idx="626">
                  <c:v>13766</c:v>
                </c:pt>
                <c:pt idx="627">
                  <c:v>13767</c:v>
                </c:pt>
                <c:pt idx="628">
                  <c:v>13768</c:v>
                </c:pt>
                <c:pt idx="629">
                  <c:v>13769</c:v>
                </c:pt>
                <c:pt idx="630">
                  <c:v>13770</c:v>
                </c:pt>
                <c:pt idx="631">
                  <c:v>13771</c:v>
                </c:pt>
                <c:pt idx="632">
                  <c:v>13772</c:v>
                </c:pt>
                <c:pt idx="633">
                  <c:v>13773</c:v>
                </c:pt>
                <c:pt idx="634">
                  <c:v>13774</c:v>
                </c:pt>
                <c:pt idx="635">
                  <c:v>13775</c:v>
                </c:pt>
                <c:pt idx="636">
                  <c:v>13776</c:v>
                </c:pt>
                <c:pt idx="637">
                  <c:v>13777</c:v>
                </c:pt>
                <c:pt idx="638">
                  <c:v>13778</c:v>
                </c:pt>
                <c:pt idx="639">
                  <c:v>13779</c:v>
                </c:pt>
                <c:pt idx="640">
                  <c:v>14021</c:v>
                </c:pt>
                <c:pt idx="641">
                  <c:v>14022</c:v>
                </c:pt>
                <c:pt idx="642">
                  <c:v>14023</c:v>
                </c:pt>
                <c:pt idx="643">
                  <c:v>14024</c:v>
                </c:pt>
                <c:pt idx="644">
                  <c:v>14025</c:v>
                </c:pt>
                <c:pt idx="645">
                  <c:v>14026</c:v>
                </c:pt>
                <c:pt idx="646">
                  <c:v>14027</c:v>
                </c:pt>
                <c:pt idx="647">
                  <c:v>14028</c:v>
                </c:pt>
                <c:pt idx="648">
                  <c:v>14029</c:v>
                </c:pt>
                <c:pt idx="649">
                  <c:v>14030</c:v>
                </c:pt>
                <c:pt idx="650">
                  <c:v>14031</c:v>
                </c:pt>
                <c:pt idx="651">
                  <c:v>14032</c:v>
                </c:pt>
                <c:pt idx="652">
                  <c:v>14033</c:v>
                </c:pt>
                <c:pt idx="653">
                  <c:v>14034</c:v>
                </c:pt>
                <c:pt idx="654">
                  <c:v>14035</c:v>
                </c:pt>
                <c:pt idx="655">
                  <c:v>14036</c:v>
                </c:pt>
                <c:pt idx="656">
                  <c:v>14037</c:v>
                </c:pt>
                <c:pt idx="657">
                  <c:v>14038</c:v>
                </c:pt>
                <c:pt idx="658">
                  <c:v>14039</c:v>
                </c:pt>
                <c:pt idx="659">
                  <c:v>14040</c:v>
                </c:pt>
                <c:pt idx="660">
                  <c:v>14547</c:v>
                </c:pt>
                <c:pt idx="661">
                  <c:v>14548</c:v>
                </c:pt>
                <c:pt idx="662">
                  <c:v>14549</c:v>
                </c:pt>
                <c:pt idx="663">
                  <c:v>14550</c:v>
                </c:pt>
                <c:pt idx="664">
                  <c:v>14551</c:v>
                </c:pt>
                <c:pt idx="665">
                  <c:v>14552</c:v>
                </c:pt>
                <c:pt idx="666">
                  <c:v>14553</c:v>
                </c:pt>
                <c:pt idx="667">
                  <c:v>14554</c:v>
                </c:pt>
                <c:pt idx="668">
                  <c:v>14555</c:v>
                </c:pt>
                <c:pt idx="669">
                  <c:v>14556</c:v>
                </c:pt>
                <c:pt idx="670">
                  <c:v>14557</c:v>
                </c:pt>
                <c:pt idx="671">
                  <c:v>14558</c:v>
                </c:pt>
                <c:pt idx="672">
                  <c:v>14559</c:v>
                </c:pt>
                <c:pt idx="673">
                  <c:v>14560</c:v>
                </c:pt>
                <c:pt idx="674">
                  <c:v>14561</c:v>
                </c:pt>
                <c:pt idx="675">
                  <c:v>14562</c:v>
                </c:pt>
                <c:pt idx="676">
                  <c:v>14563</c:v>
                </c:pt>
                <c:pt idx="677">
                  <c:v>14564</c:v>
                </c:pt>
                <c:pt idx="678">
                  <c:v>14565</c:v>
                </c:pt>
                <c:pt idx="679">
                  <c:v>14566</c:v>
                </c:pt>
                <c:pt idx="680">
                  <c:v>14901</c:v>
                </c:pt>
                <c:pt idx="681">
                  <c:v>14902</c:v>
                </c:pt>
                <c:pt idx="682">
                  <c:v>14903</c:v>
                </c:pt>
                <c:pt idx="683">
                  <c:v>14904</c:v>
                </c:pt>
                <c:pt idx="684">
                  <c:v>14905</c:v>
                </c:pt>
                <c:pt idx="685">
                  <c:v>14906</c:v>
                </c:pt>
                <c:pt idx="686">
                  <c:v>14907</c:v>
                </c:pt>
                <c:pt idx="687">
                  <c:v>14908</c:v>
                </c:pt>
                <c:pt idx="688">
                  <c:v>14909</c:v>
                </c:pt>
                <c:pt idx="689">
                  <c:v>14910</c:v>
                </c:pt>
                <c:pt idx="690">
                  <c:v>14911</c:v>
                </c:pt>
                <c:pt idx="691">
                  <c:v>14912</c:v>
                </c:pt>
                <c:pt idx="692">
                  <c:v>14913</c:v>
                </c:pt>
                <c:pt idx="693">
                  <c:v>14914</c:v>
                </c:pt>
                <c:pt idx="694">
                  <c:v>14915</c:v>
                </c:pt>
                <c:pt idx="695">
                  <c:v>14916</c:v>
                </c:pt>
                <c:pt idx="696">
                  <c:v>14917</c:v>
                </c:pt>
                <c:pt idx="697">
                  <c:v>14918</c:v>
                </c:pt>
                <c:pt idx="698">
                  <c:v>14919</c:v>
                </c:pt>
                <c:pt idx="699">
                  <c:v>14920</c:v>
                </c:pt>
                <c:pt idx="700">
                  <c:v>15256</c:v>
                </c:pt>
                <c:pt idx="701">
                  <c:v>15257</c:v>
                </c:pt>
                <c:pt idx="702">
                  <c:v>15258</c:v>
                </c:pt>
                <c:pt idx="703">
                  <c:v>15259</c:v>
                </c:pt>
                <c:pt idx="704">
                  <c:v>15260</c:v>
                </c:pt>
                <c:pt idx="705">
                  <c:v>15261</c:v>
                </c:pt>
                <c:pt idx="706">
                  <c:v>15262</c:v>
                </c:pt>
                <c:pt idx="707">
                  <c:v>15263</c:v>
                </c:pt>
                <c:pt idx="708">
                  <c:v>15264</c:v>
                </c:pt>
                <c:pt idx="709">
                  <c:v>15265</c:v>
                </c:pt>
                <c:pt idx="710">
                  <c:v>15266</c:v>
                </c:pt>
                <c:pt idx="711">
                  <c:v>15267</c:v>
                </c:pt>
                <c:pt idx="712">
                  <c:v>15268</c:v>
                </c:pt>
                <c:pt idx="713">
                  <c:v>15269</c:v>
                </c:pt>
                <c:pt idx="714">
                  <c:v>15270</c:v>
                </c:pt>
                <c:pt idx="715">
                  <c:v>15271</c:v>
                </c:pt>
                <c:pt idx="716">
                  <c:v>15272</c:v>
                </c:pt>
                <c:pt idx="717">
                  <c:v>15273</c:v>
                </c:pt>
                <c:pt idx="718">
                  <c:v>15274</c:v>
                </c:pt>
                <c:pt idx="719">
                  <c:v>15275</c:v>
                </c:pt>
                <c:pt idx="720">
                  <c:v>15636</c:v>
                </c:pt>
                <c:pt idx="721">
                  <c:v>15637</c:v>
                </c:pt>
                <c:pt idx="722">
                  <c:v>15638</c:v>
                </c:pt>
                <c:pt idx="723">
                  <c:v>15639</c:v>
                </c:pt>
                <c:pt idx="724">
                  <c:v>15640</c:v>
                </c:pt>
                <c:pt idx="725">
                  <c:v>15641</c:v>
                </c:pt>
                <c:pt idx="726">
                  <c:v>15642</c:v>
                </c:pt>
                <c:pt idx="727">
                  <c:v>15643</c:v>
                </c:pt>
                <c:pt idx="728">
                  <c:v>15644</c:v>
                </c:pt>
                <c:pt idx="729">
                  <c:v>15645</c:v>
                </c:pt>
                <c:pt idx="730">
                  <c:v>15646</c:v>
                </c:pt>
                <c:pt idx="731">
                  <c:v>15647</c:v>
                </c:pt>
                <c:pt idx="732">
                  <c:v>15648</c:v>
                </c:pt>
                <c:pt idx="733">
                  <c:v>15649</c:v>
                </c:pt>
                <c:pt idx="734">
                  <c:v>15650</c:v>
                </c:pt>
                <c:pt idx="735">
                  <c:v>15651</c:v>
                </c:pt>
                <c:pt idx="736">
                  <c:v>15652</c:v>
                </c:pt>
                <c:pt idx="737">
                  <c:v>15653</c:v>
                </c:pt>
                <c:pt idx="738">
                  <c:v>15654</c:v>
                </c:pt>
                <c:pt idx="739">
                  <c:v>15655</c:v>
                </c:pt>
                <c:pt idx="740">
                  <c:v>16226</c:v>
                </c:pt>
                <c:pt idx="741">
                  <c:v>16227</c:v>
                </c:pt>
                <c:pt idx="742">
                  <c:v>16228</c:v>
                </c:pt>
                <c:pt idx="743">
                  <c:v>16229</c:v>
                </c:pt>
                <c:pt idx="744">
                  <c:v>16230</c:v>
                </c:pt>
                <c:pt idx="745">
                  <c:v>16231</c:v>
                </c:pt>
                <c:pt idx="746">
                  <c:v>16232</c:v>
                </c:pt>
                <c:pt idx="747">
                  <c:v>16233</c:v>
                </c:pt>
                <c:pt idx="748">
                  <c:v>16234</c:v>
                </c:pt>
                <c:pt idx="749">
                  <c:v>16235</c:v>
                </c:pt>
                <c:pt idx="750">
                  <c:v>16236</c:v>
                </c:pt>
                <c:pt idx="751">
                  <c:v>16237</c:v>
                </c:pt>
                <c:pt idx="752">
                  <c:v>16238</c:v>
                </c:pt>
                <c:pt idx="753">
                  <c:v>16239</c:v>
                </c:pt>
                <c:pt idx="754">
                  <c:v>16240</c:v>
                </c:pt>
                <c:pt idx="755">
                  <c:v>16241</c:v>
                </c:pt>
                <c:pt idx="756">
                  <c:v>16242</c:v>
                </c:pt>
                <c:pt idx="757">
                  <c:v>16243</c:v>
                </c:pt>
                <c:pt idx="758">
                  <c:v>16244</c:v>
                </c:pt>
                <c:pt idx="759">
                  <c:v>16245</c:v>
                </c:pt>
                <c:pt idx="760">
                  <c:v>19126</c:v>
                </c:pt>
                <c:pt idx="761">
                  <c:v>19127</c:v>
                </c:pt>
                <c:pt idx="762">
                  <c:v>19128</c:v>
                </c:pt>
                <c:pt idx="763">
                  <c:v>19129</c:v>
                </c:pt>
                <c:pt idx="764">
                  <c:v>19130</c:v>
                </c:pt>
                <c:pt idx="765">
                  <c:v>19131</c:v>
                </c:pt>
                <c:pt idx="766">
                  <c:v>19132</c:v>
                </c:pt>
                <c:pt idx="767">
                  <c:v>19133</c:v>
                </c:pt>
                <c:pt idx="768">
                  <c:v>19134</c:v>
                </c:pt>
                <c:pt idx="769">
                  <c:v>19135</c:v>
                </c:pt>
                <c:pt idx="770">
                  <c:v>19136</c:v>
                </c:pt>
                <c:pt idx="771">
                  <c:v>19137</c:v>
                </c:pt>
                <c:pt idx="772">
                  <c:v>19138</c:v>
                </c:pt>
                <c:pt idx="773">
                  <c:v>19139</c:v>
                </c:pt>
                <c:pt idx="774">
                  <c:v>19140</c:v>
                </c:pt>
                <c:pt idx="775">
                  <c:v>19141</c:v>
                </c:pt>
                <c:pt idx="776">
                  <c:v>19142</c:v>
                </c:pt>
                <c:pt idx="777">
                  <c:v>19143</c:v>
                </c:pt>
                <c:pt idx="778">
                  <c:v>19144</c:v>
                </c:pt>
                <c:pt idx="779">
                  <c:v>19145</c:v>
                </c:pt>
                <c:pt idx="780">
                  <c:v>19466</c:v>
                </c:pt>
                <c:pt idx="781">
                  <c:v>19467</c:v>
                </c:pt>
                <c:pt idx="782">
                  <c:v>19468</c:v>
                </c:pt>
                <c:pt idx="783">
                  <c:v>19469</c:v>
                </c:pt>
                <c:pt idx="784">
                  <c:v>19470</c:v>
                </c:pt>
                <c:pt idx="785">
                  <c:v>19471</c:v>
                </c:pt>
                <c:pt idx="786">
                  <c:v>19472</c:v>
                </c:pt>
                <c:pt idx="787">
                  <c:v>19473</c:v>
                </c:pt>
                <c:pt idx="788">
                  <c:v>19474</c:v>
                </c:pt>
                <c:pt idx="789">
                  <c:v>19475</c:v>
                </c:pt>
                <c:pt idx="790">
                  <c:v>19476</c:v>
                </c:pt>
                <c:pt idx="791">
                  <c:v>19477</c:v>
                </c:pt>
                <c:pt idx="792">
                  <c:v>19478</c:v>
                </c:pt>
                <c:pt idx="793">
                  <c:v>19479</c:v>
                </c:pt>
                <c:pt idx="794">
                  <c:v>19480</c:v>
                </c:pt>
                <c:pt idx="795">
                  <c:v>19481</c:v>
                </c:pt>
                <c:pt idx="796">
                  <c:v>19482</c:v>
                </c:pt>
                <c:pt idx="797">
                  <c:v>19483</c:v>
                </c:pt>
                <c:pt idx="798">
                  <c:v>19484</c:v>
                </c:pt>
                <c:pt idx="799">
                  <c:v>19485</c:v>
                </c:pt>
                <c:pt idx="800">
                  <c:v>19761</c:v>
                </c:pt>
                <c:pt idx="801">
                  <c:v>19762</c:v>
                </c:pt>
                <c:pt idx="802">
                  <c:v>19763</c:v>
                </c:pt>
                <c:pt idx="803">
                  <c:v>19764</c:v>
                </c:pt>
                <c:pt idx="804">
                  <c:v>19765</c:v>
                </c:pt>
                <c:pt idx="805">
                  <c:v>19766</c:v>
                </c:pt>
                <c:pt idx="806">
                  <c:v>19767</c:v>
                </c:pt>
                <c:pt idx="807">
                  <c:v>19768</c:v>
                </c:pt>
                <c:pt idx="808">
                  <c:v>19769</c:v>
                </c:pt>
                <c:pt idx="809">
                  <c:v>19770</c:v>
                </c:pt>
                <c:pt idx="810">
                  <c:v>19771</c:v>
                </c:pt>
                <c:pt idx="811">
                  <c:v>19772</c:v>
                </c:pt>
                <c:pt idx="812">
                  <c:v>19773</c:v>
                </c:pt>
                <c:pt idx="813">
                  <c:v>19774</c:v>
                </c:pt>
                <c:pt idx="814">
                  <c:v>19775</c:v>
                </c:pt>
                <c:pt idx="815">
                  <c:v>19776</c:v>
                </c:pt>
                <c:pt idx="816">
                  <c:v>19777</c:v>
                </c:pt>
                <c:pt idx="817">
                  <c:v>19778</c:v>
                </c:pt>
                <c:pt idx="818">
                  <c:v>19779</c:v>
                </c:pt>
                <c:pt idx="819">
                  <c:v>19780</c:v>
                </c:pt>
                <c:pt idx="820">
                  <c:v>20150</c:v>
                </c:pt>
                <c:pt idx="821">
                  <c:v>20151</c:v>
                </c:pt>
                <c:pt idx="822">
                  <c:v>20152</c:v>
                </c:pt>
                <c:pt idx="823">
                  <c:v>20153</c:v>
                </c:pt>
                <c:pt idx="824">
                  <c:v>20154</c:v>
                </c:pt>
                <c:pt idx="825">
                  <c:v>20155</c:v>
                </c:pt>
                <c:pt idx="826">
                  <c:v>20156</c:v>
                </c:pt>
                <c:pt idx="827">
                  <c:v>20157</c:v>
                </c:pt>
                <c:pt idx="828">
                  <c:v>20158</c:v>
                </c:pt>
                <c:pt idx="829">
                  <c:v>20159</c:v>
                </c:pt>
                <c:pt idx="830">
                  <c:v>20160</c:v>
                </c:pt>
                <c:pt idx="831">
                  <c:v>20161</c:v>
                </c:pt>
                <c:pt idx="832">
                  <c:v>20162</c:v>
                </c:pt>
                <c:pt idx="833">
                  <c:v>20163</c:v>
                </c:pt>
                <c:pt idx="834">
                  <c:v>20164</c:v>
                </c:pt>
                <c:pt idx="835">
                  <c:v>20165</c:v>
                </c:pt>
                <c:pt idx="836">
                  <c:v>20166</c:v>
                </c:pt>
                <c:pt idx="837">
                  <c:v>20167</c:v>
                </c:pt>
                <c:pt idx="838">
                  <c:v>20168</c:v>
                </c:pt>
                <c:pt idx="839">
                  <c:v>20169</c:v>
                </c:pt>
                <c:pt idx="840">
                  <c:v>20434</c:v>
                </c:pt>
                <c:pt idx="841">
                  <c:v>20435</c:v>
                </c:pt>
                <c:pt idx="842">
                  <c:v>20436</c:v>
                </c:pt>
                <c:pt idx="843">
                  <c:v>20437</c:v>
                </c:pt>
                <c:pt idx="844">
                  <c:v>20438</c:v>
                </c:pt>
                <c:pt idx="845">
                  <c:v>20439</c:v>
                </c:pt>
                <c:pt idx="846">
                  <c:v>20440</c:v>
                </c:pt>
                <c:pt idx="847">
                  <c:v>20441</c:v>
                </c:pt>
                <c:pt idx="848">
                  <c:v>20442</c:v>
                </c:pt>
                <c:pt idx="849">
                  <c:v>20443</c:v>
                </c:pt>
                <c:pt idx="850">
                  <c:v>20444</c:v>
                </c:pt>
                <c:pt idx="851">
                  <c:v>20445</c:v>
                </c:pt>
                <c:pt idx="852">
                  <c:v>20446</c:v>
                </c:pt>
                <c:pt idx="853">
                  <c:v>20447</c:v>
                </c:pt>
                <c:pt idx="854">
                  <c:v>20448</c:v>
                </c:pt>
                <c:pt idx="855">
                  <c:v>20449</c:v>
                </c:pt>
                <c:pt idx="856">
                  <c:v>20450</c:v>
                </c:pt>
                <c:pt idx="857">
                  <c:v>20451</c:v>
                </c:pt>
                <c:pt idx="858">
                  <c:v>20452</c:v>
                </c:pt>
                <c:pt idx="859">
                  <c:v>20453</c:v>
                </c:pt>
                <c:pt idx="860">
                  <c:v>20845</c:v>
                </c:pt>
                <c:pt idx="861">
                  <c:v>20846</c:v>
                </c:pt>
                <c:pt idx="862">
                  <c:v>20847</c:v>
                </c:pt>
                <c:pt idx="863">
                  <c:v>20848</c:v>
                </c:pt>
                <c:pt idx="864">
                  <c:v>20849</c:v>
                </c:pt>
                <c:pt idx="865">
                  <c:v>20850</c:v>
                </c:pt>
                <c:pt idx="866">
                  <c:v>20851</c:v>
                </c:pt>
                <c:pt idx="867">
                  <c:v>20852</c:v>
                </c:pt>
                <c:pt idx="868">
                  <c:v>20853</c:v>
                </c:pt>
                <c:pt idx="869">
                  <c:v>20854</c:v>
                </c:pt>
                <c:pt idx="870">
                  <c:v>20855</c:v>
                </c:pt>
                <c:pt idx="871">
                  <c:v>20856</c:v>
                </c:pt>
                <c:pt idx="872">
                  <c:v>20857</c:v>
                </c:pt>
                <c:pt idx="873">
                  <c:v>20858</c:v>
                </c:pt>
                <c:pt idx="874">
                  <c:v>20859</c:v>
                </c:pt>
                <c:pt idx="875">
                  <c:v>20860</c:v>
                </c:pt>
                <c:pt idx="876">
                  <c:v>20861</c:v>
                </c:pt>
                <c:pt idx="877">
                  <c:v>20862</c:v>
                </c:pt>
                <c:pt idx="878">
                  <c:v>20863</c:v>
                </c:pt>
                <c:pt idx="879">
                  <c:v>20864</c:v>
                </c:pt>
                <c:pt idx="880">
                  <c:v>21485</c:v>
                </c:pt>
                <c:pt idx="881">
                  <c:v>21486</c:v>
                </c:pt>
                <c:pt idx="882">
                  <c:v>21487</c:v>
                </c:pt>
                <c:pt idx="883">
                  <c:v>21488</c:v>
                </c:pt>
                <c:pt idx="884">
                  <c:v>21489</c:v>
                </c:pt>
                <c:pt idx="885">
                  <c:v>21490</c:v>
                </c:pt>
                <c:pt idx="886">
                  <c:v>21491</c:v>
                </c:pt>
                <c:pt idx="887">
                  <c:v>21492</c:v>
                </c:pt>
                <c:pt idx="888">
                  <c:v>21493</c:v>
                </c:pt>
                <c:pt idx="889">
                  <c:v>21494</c:v>
                </c:pt>
                <c:pt idx="890">
                  <c:v>21495</c:v>
                </c:pt>
                <c:pt idx="891">
                  <c:v>21496</c:v>
                </c:pt>
                <c:pt idx="892">
                  <c:v>21497</c:v>
                </c:pt>
                <c:pt idx="893">
                  <c:v>21498</c:v>
                </c:pt>
                <c:pt idx="894">
                  <c:v>21499</c:v>
                </c:pt>
                <c:pt idx="895">
                  <c:v>21500</c:v>
                </c:pt>
                <c:pt idx="896">
                  <c:v>21501</c:v>
                </c:pt>
                <c:pt idx="897">
                  <c:v>21502</c:v>
                </c:pt>
                <c:pt idx="898">
                  <c:v>21503</c:v>
                </c:pt>
                <c:pt idx="899">
                  <c:v>21504</c:v>
                </c:pt>
                <c:pt idx="900">
                  <c:v>21839</c:v>
                </c:pt>
                <c:pt idx="901">
                  <c:v>21840</c:v>
                </c:pt>
                <c:pt idx="902">
                  <c:v>21841</c:v>
                </c:pt>
                <c:pt idx="903">
                  <c:v>21842</c:v>
                </c:pt>
                <c:pt idx="904">
                  <c:v>21843</c:v>
                </c:pt>
                <c:pt idx="905">
                  <c:v>21844</c:v>
                </c:pt>
                <c:pt idx="906">
                  <c:v>21845</c:v>
                </c:pt>
                <c:pt idx="907">
                  <c:v>21846</c:v>
                </c:pt>
                <c:pt idx="908">
                  <c:v>21847</c:v>
                </c:pt>
                <c:pt idx="909">
                  <c:v>21848</c:v>
                </c:pt>
                <c:pt idx="910">
                  <c:v>21849</c:v>
                </c:pt>
                <c:pt idx="911">
                  <c:v>21850</c:v>
                </c:pt>
                <c:pt idx="912">
                  <c:v>21851</c:v>
                </c:pt>
                <c:pt idx="913">
                  <c:v>21852</c:v>
                </c:pt>
                <c:pt idx="914">
                  <c:v>21853</c:v>
                </c:pt>
                <c:pt idx="915">
                  <c:v>21854</c:v>
                </c:pt>
                <c:pt idx="916">
                  <c:v>21855</c:v>
                </c:pt>
                <c:pt idx="917">
                  <c:v>21856</c:v>
                </c:pt>
                <c:pt idx="918">
                  <c:v>21857</c:v>
                </c:pt>
                <c:pt idx="919">
                  <c:v>21858</c:v>
                </c:pt>
                <c:pt idx="920">
                  <c:v>22846</c:v>
                </c:pt>
                <c:pt idx="921">
                  <c:v>22847</c:v>
                </c:pt>
                <c:pt idx="922">
                  <c:v>22848</c:v>
                </c:pt>
                <c:pt idx="923">
                  <c:v>22849</c:v>
                </c:pt>
                <c:pt idx="924">
                  <c:v>22850</c:v>
                </c:pt>
                <c:pt idx="925">
                  <c:v>22851</c:v>
                </c:pt>
                <c:pt idx="926">
                  <c:v>22852</c:v>
                </c:pt>
                <c:pt idx="927">
                  <c:v>22853</c:v>
                </c:pt>
                <c:pt idx="928">
                  <c:v>22854</c:v>
                </c:pt>
                <c:pt idx="929">
                  <c:v>22855</c:v>
                </c:pt>
                <c:pt idx="930">
                  <c:v>22856</c:v>
                </c:pt>
                <c:pt idx="931">
                  <c:v>22857</c:v>
                </c:pt>
                <c:pt idx="932">
                  <c:v>22858</c:v>
                </c:pt>
                <c:pt idx="933">
                  <c:v>22859</c:v>
                </c:pt>
                <c:pt idx="934">
                  <c:v>22860</c:v>
                </c:pt>
                <c:pt idx="935">
                  <c:v>22861</c:v>
                </c:pt>
                <c:pt idx="936">
                  <c:v>22862</c:v>
                </c:pt>
                <c:pt idx="937">
                  <c:v>22863</c:v>
                </c:pt>
                <c:pt idx="938">
                  <c:v>22864</c:v>
                </c:pt>
                <c:pt idx="939">
                  <c:v>22865</c:v>
                </c:pt>
                <c:pt idx="940">
                  <c:v>23670</c:v>
                </c:pt>
                <c:pt idx="941">
                  <c:v>23671</c:v>
                </c:pt>
                <c:pt idx="942">
                  <c:v>23672</c:v>
                </c:pt>
                <c:pt idx="943">
                  <c:v>23673</c:v>
                </c:pt>
                <c:pt idx="944">
                  <c:v>23674</c:v>
                </c:pt>
                <c:pt idx="945">
                  <c:v>23675</c:v>
                </c:pt>
                <c:pt idx="946">
                  <c:v>23676</c:v>
                </c:pt>
                <c:pt idx="947">
                  <c:v>23677</c:v>
                </c:pt>
                <c:pt idx="948">
                  <c:v>23678</c:v>
                </c:pt>
                <c:pt idx="949">
                  <c:v>23679</c:v>
                </c:pt>
                <c:pt idx="950">
                  <c:v>23680</c:v>
                </c:pt>
                <c:pt idx="951">
                  <c:v>23681</c:v>
                </c:pt>
                <c:pt idx="952">
                  <c:v>23682</c:v>
                </c:pt>
                <c:pt idx="953">
                  <c:v>23683</c:v>
                </c:pt>
                <c:pt idx="954">
                  <c:v>23684</c:v>
                </c:pt>
                <c:pt idx="955">
                  <c:v>23685</c:v>
                </c:pt>
                <c:pt idx="956">
                  <c:v>23686</c:v>
                </c:pt>
                <c:pt idx="957">
                  <c:v>23687</c:v>
                </c:pt>
                <c:pt idx="958">
                  <c:v>23688</c:v>
                </c:pt>
                <c:pt idx="959">
                  <c:v>23689</c:v>
                </c:pt>
                <c:pt idx="960">
                  <c:v>23690</c:v>
                </c:pt>
                <c:pt idx="961">
                  <c:v>23691</c:v>
                </c:pt>
                <c:pt idx="962">
                  <c:v>23692</c:v>
                </c:pt>
                <c:pt idx="963">
                  <c:v>23693</c:v>
                </c:pt>
                <c:pt idx="964">
                  <c:v>23694</c:v>
                </c:pt>
                <c:pt idx="965">
                  <c:v>23695</c:v>
                </c:pt>
                <c:pt idx="966">
                  <c:v>23696</c:v>
                </c:pt>
                <c:pt idx="967">
                  <c:v>23697</c:v>
                </c:pt>
                <c:pt idx="968">
                  <c:v>23698</c:v>
                </c:pt>
                <c:pt idx="969">
                  <c:v>23699</c:v>
                </c:pt>
                <c:pt idx="970">
                  <c:v>23700</c:v>
                </c:pt>
                <c:pt idx="971">
                  <c:v>23701</c:v>
                </c:pt>
                <c:pt idx="972">
                  <c:v>23702</c:v>
                </c:pt>
                <c:pt idx="973">
                  <c:v>23703</c:v>
                </c:pt>
                <c:pt idx="974">
                  <c:v>23704</c:v>
                </c:pt>
                <c:pt idx="975">
                  <c:v>23705</c:v>
                </c:pt>
                <c:pt idx="976">
                  <c:v>23706</c:v>
                </c:pt>
                <c:pt idx="977">
                  <c:v>23707</c:v>
                </c:pt>
                <c:pt idx="978">
                  <c:v>23708</c:v>
                </c:pt>
                <c:pt idx="979">
                  <c:v>23709</c:v>
                </c:pt>
              </c:numCache>
            </c:numRef>
          </c:xVal>
          <c:yVal>
            <c:numRef>
              <c:f>'Interpolated Physical'!$E$2:$E$981</c:f>
              <c:numCache>
                <c:formatCode>General</c:formatCode>
                <c:ptCount val="980"/>
                <c:pt idx="0" formatCode="0.0000">
                  <c:v>6.92</c:v>
                </c:pt>
                <c:pt idx="260" formatCode="0.000000">
                  <c:v>7.35</c:v>
                </c:pt>
                <c:pt idx="520" formatCode="0.000000">
                  <c:v>7.35</c:v>
                </c:pt>
                <c:pt idx="740" formatCode="0.000000">
                  <c:v>7.57</c:v>
                </c:pt>
                <c:pt idx="800" formatCode="0.000000">
                  <c:v>7.55</c:v>
                </c:pt>
                <c:pt idx="920" formatCode="0.000000">
                  <c:v>7.55</c:v>
                </c:pt>
                <c:pt idx="979" formatCode="0.000000">
                  <c:v>7.55</c:v>
                </c:pt>
              </c:numCache>
            </c:numRef>
          </c:yVal>
          <c:smooth val="0"/>
          <c:extLst>
            <c:ext xmlns:c16="http://schemas.microsoft.com/office/drawing/2014/chart" uri="{C3380CC4-5D6E-409C-BE32-E72D297353CC}">
              <c16:uniqueId val="{00000001-0553-41B2-A2D3-703163C97E8A}"/>
            </c:ext>
          </c:extLst>
        </c:ser>
        <c:dLbls>
          <c:showLegendKey val="0"/>
          <c:showVal val="0"/>
          <c:showCatName val="0"/>
          <c:showSerName val="0"/>
          <c:showPercent val="0"/>
          <c:showBubbleSize val="0"/>
        </c:dLbls>
        <c:axId val="106302463"/>
        <c:axId val="106302047"/>
      </c:scatterChart>
      <c:valAx>
        <c:axId val="106302463"/>
        <c:scaling>
          <c:orientation val="minMax"/>
        </c:scaling>
        <c:delete val="0"/>
        <c:axPos val="b"/>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06302047"/>
        <c:crosses val="autoZero"/>
        <c:crossBetween val="midCat"/>
      </c:valAx>
      <c:valAx>
        <c:axId val="106302047"/>
        <c:scaling>
          <c:orientation val="minMax"/>
        </c:scaling>
        <c:delete val="0"/>
        <c:axPos val="l"/>
        <c:numFmt formatCode="0.00" sourceLinked="0"/>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06302463"/>
        <c:crosses val="autoZero"/>
        <c:crossBetween val="midCat"/>
      </c:valAx>
      <c:spPr>
        <a:noFill/>
        <a:ln w="3175">
          <a:solidFill>
            <a:schemeClr val="tx1"/>
          </a:solidFill>
        </a:ln>
        <a:effectLst/>
      </c:spPr>
    </c:plotArea>
    <c:legend>
      <c:legendPos val="r"/>
      <c:layout>
        <c:manualLayout>
          <c:xMode val="edge"/>
          <c:yMode val="edge"/>
          <c:x val="0.67426205251897764"/>
          <c:y val="0.74113884957556586"/>
          <c:w val="0.25453203509465955"/>
          <c:h val="0.14961021963103641"/>
        </c:manualLayout>
      </c:layout>
      <c:overlay val="1"/>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Garamond" panose="02020404030301010803" pitchFamily="18" charset="0"/>
        </a:defRPr>
      </a:pPr>
      <a:endParaRPr lang="sr-Latn-RS"/>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'Interpolated Physical'!$H$1</c:f>
              <c:strCache>
                <c:ptCount val="1"/>
                <c:pt idx="0">
                  <c:v>Flow point</c:v>
                </c:pt>
              </c:strCache>
            </c:strRef>
          </c:tx>
          <c:spPr>
            <a:ln w="25400" cap="rnd">
              <a:noFill/>
              <a:round/>
            </a:ln>
            <a:effectLst/>
          </c:spPr>
          <c:marker>
            <c:symbol val="square"/>
            <c:size val="10"/>
            <c:spPr>
              <a:noFill/>
              <a:ln w="3175">
                <a:solidFill>
                  <a:srgbClr val="0000FF"/>
                </a:solidFill>
              </a:ln>
              <a:effectLst/>
            </c:spPr>
          </c:marker>
          <c:trendline>
            <c:spPr>
              <a:ln w="3175" cap="rnd">
                <a:solidFill>
                  <a:srgbClr val="FF0000"/>
                </a:solidFill>
                <a:prstDash val="lgDash"/>
              </a:ln>
              <a:effectLst/>
            </c:spPr>
            <c:trendlineType val="poly"/>
            <c:order val="3"/>
            <c:dispRSqr val="1"/>
            <c:dispEq val="1"/>
            <c:trendlineLbl>
              <c:layout>
                <c:manualLayout>
                  <c:x val="2.635977926194645E-2"/>
                  <c:y val="-0.13263027514819076"/>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rendlineLbl>
          </c:trendline>
          <c:xVal>
            <c:numRef>
              <c:f>'Interpolated Physical'!$A$2:$A$981</c:f>
              <c:numCache>
                <c:formatCode>General</c:formatCode>
                <c:ptCount val="98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432</c:v>
                </c:pt>
                <c:pt idx="21">
                  <c:v>433</c:v>
                </c:pt>
                <c:pt idx="22">
                  <c:v>434</c:v>
                </c:pt>
                <c:pt idx="23">
                  <c:v>435</c:v>
                </c:pt>
                <c:pt idx="24">
                  <c:v>436</c:v>
                </c:pt>
                <c:pt idx="25">
                  <c:v>437</c:v>
                </c:pt>
                <c:pt idx="26">
                  <c:v>438</c:v>
                </c:pt>
                <c:pt idx="27">
                  <c:v>439</c:v>
                </c:pt>
                <c:pt idx="28">
                  <c:v>440</c:v>
                </c:pt>
                <c:pt idx="29">
                  <c:v>441</c:v>
                </c:pt>
                <c:pt idx="30">
                  <c:v>442</c:v>
                </c:pt>
                <c:pt idx="31">
                  <c:v>443</c:v>
                </c:pt>
                <c:pt idx="32">
                  <c:v>444</c:v>
                </c:pt>
                <c:pt idx="33">
                  <c:v>445</c:v>
                </c:pt>
                <c:pt idx="34">
                  <c:v>446</c:v>
                </c:pt>
                <c:pt idx="35">
                  <c:v>447</c:v>
                </c:pt>
                <c:pt idx="36">
                  <c:v>448</c:v>
                </c:pt>
                <c:pt idx="37">
                  <c:v>449</c:v>
                </c:pt>
                <c:pt idx="38">
                  <c:v>450</c:v>
                </c:pt>
                <c:pt idx="39">
                  <c:v>451</c:v>
                </c:pt>
                <c:pt idx="40">
                  <c:v>818</c:v>
                </c:pt>
                <c:pt idx="41">
                  <c:v>819</c:v>
                </c:pt>
                <c:pt idx="42">
                  <c:v>820</c:v>
                </c:pt>
                <c:pt idx="43">
                  <c:v>821</c:v>
                </c:pt>
                <c:pt idx="44">
                  <c:v>822</c:v>
                </c:pt>
                <c:pt idx="45">
                  <c:v>823</c:v>
                </c:pt>
                <c:pt idx="46">
                  <c:v>824</c:v>
                </c:pt>
                <c:pt idx="47">
                  <c:v>825</c:v>
                </c:pt>
                <c:pt idx="48">
                  <c:v>826</c:v>
                </c:pt>
                <c:pt idx="49">
                  <c:v>827</c:v>
                </c:pt>
                <c:pt idx="50">
                  <c:v>828</c:v>
                </c:pt>
                <c:pt idx="51">
                  <c:v>829</c:v>
                </c:pt>
                <c:pt idx="52">
                  <c:v>830</c:v>
                </c:pt>
                <c:pt idx="53">
                  <c:v>831</c:v>
                </c:pt>
                <c:pt idx="54">
                  <c:v>832</c:v>
                </c:pt>
                <c:pt idx="55">
                  <c:v>833</c:v>
                </c:pt>
                <c:pt idx="56">
                  <c:v>834</c:v>
                </c:pt>
                <c:pt idx="57">
                  <c:v>835</c:v>
                </c:pt>
                <c:pt idx="58">
                  <c:v>836</c:v>
                </c:pt>
                <c:pt idx="59">
                  <c:v>837</c:v>
                </c:pt>
                <c:pt idx="60">
                  <c:v>1057</c:v>
                </c:pt>
                <c:pt idx="61">
                  <c:v>1058</c:v>
                </c:pt>
                <c:pt idx="62">
                  <c:v>1059</c:v>
                </c:pt>
                <c:pt idx="63">
                  <c:v>1060</c:v>
                </c:pt>
                <c:pt idx="64">
                  <c:v>1061</c:v>
                </c:pt>
                <c:pt idx="65">
                  <c:v>1062</c:v>
                </c:pt>
                <c:pt idx="66">
                  <c:v>1063</c:v>
                </c:pt>
                <c:pt idx="67">
                  <c:v>1064</c:v>
                </c:pt>
                <c:pt idx="68">
                  <c:v>1065</c:v>
                </c:pt>
                <c:pt idx="69">
                  <c:v>1066</c:v>
                </c:pt>
                <c:pt idx="70">
                  <c:v>1067</c:v>
                </c:pt>
                <c:pt idx="71">
                  <c:v>1068</c:v>
                </c:pt>
                <c:pt idx="72">
                  <c:v>1069</c:v>
                </c:pt>
                <c:pt idx="73">
                  <c:v>1070</c:v>
                </c:pt>
                <c:pt idx="74">
                  <c:v>1071</c:v>
                </c:pt>
                <c:pt idx="75">
                  <c:v>1072</c:v>
                </c:pt>
                <c:pt idx="76">
                  <c:v>1073</c:v>
                </c:pt>
                <c:pt idx="77">
                  <c:v>1074</c:v>
                </c:pt>
                <c:pt idx="78">
                  <c:v>1075</c:v>
                </c:pt>
                <c:pt idx="79">
                  <c:v>1076</c:v>
                </c:pt>
                <c:pt idx="80">
                  <c:v>1407</c:v>
                </c:pt>
                <c:pt idx="81">
                  <c:v>1408</c:v>
                </c:pt>
                <c:pt idx="82">
                  <c:v>1409</c:v>
                </c:pt>
                <c:pt idx="83">
                  <c:v>1410</c:v>
                </c:pt>
                <c:pt idx="84">
                  <c:v>1411</c:v>
                </c:pt>
                <c:pt idx="85">
                  <c:v>1412</c:v>
                </c:pt>
                <c:pt idx="86">
                  <c:v>1413</c:v>
                </c:pt>
                <c:pt idx="87">
                  <c:v>1414</c:v>
                </c:pt>
                <c:pt idx="88">
                  <c:v>1415</c:v>
                </c:pt>
                <c:pt idx="89">
                  <c:v>1416</c:v>
                </c:pt>
                <c:pt idx="90">
                  <c:v>1417</c:v>
                </c:pt>
                <c:pt idx="91">
                  <c:v>1418</c:v>
                </c:pt>
                <c:pt idx="92">
                  <c:v>1419</c:v>
                </c:pt>
                <c:pt idx="93">
                  <c:v>1420</c:v>
                </c:pt>
                <c:pt idx="94">
                  <c:v>1421</c:v>
                </c:pt>
                <c:pt idx="95">
                  <c:v>1422</c:v>
                </c:pt>
                <c:pt idx="96">
                  <c:v>1423</c:v>
                </c:pt>
                <c:pt idx="97">
                  <c:v>1424</c:v>
                </c:pt>
                <c:pt idx="98">
                  <c:v>1425</c:v>
                </c:pt>
                <c:pt idx="99">
                  <c:v>1426</c:v>
                </c:pt>
                <c:pt idx="100">
                  <c:v>1618</c:v>
                </c:pt>
                <c:pt idx="101">
                  <c:v>1619</c:v>
                </c:pt>
                <c:pt idx="102">
                  <c:v>1620</c:v>
                </c:pt>
                <c:pt idx="103">
                  <c:v>1621</c:v>
                </c:pt>
                <c:pt idx="104">
                  <c:v>1622</c:v>
                </c:pt>
                <c:pt idx="105">
                  <c:v>1623</c:v>
                </c:pt>
                <c:pt idx="106">
                  <c:v>1624</c:v>
                </c:pt>
                <c:pt idx="107">
                  <c:v>1625</c:v>
                </c:pt>
                <c:pt idx="108">
                  <c:v>1626</c:v>
                </c:pt>
                <c:pt idx="109">
                  <c:v>1627</c:v>
                </c:pt>
                <c:pt idx="110">
                  <c:v>1628</c:v>
                </c:pt>
                <c:pt idx="111">
                  <c:v>1629</c:v>
                </c:pt>
                <c:pt idx="112">
                  <c:v>1630</c:v>
                </c:pt>
                <c:pt idx="113">
                  <c:v>1631</c:v>
                </c:pt>
                <c:pt idx="114">
                  <c:v>1632</c:v>
                </c:pt>
                <c:pt idx="115">
                  <c:v>1633</c:v>
                </c:pt>
                <c:pt idx="116">
                  <c:v>1634</c:v>
                </c:pt>
                <c:pt idx="117">
                  <c:v>1635</c:v>
                </c:pt>
                <c:pt idx="118">
                  <c:v>1636</c:v>
                </c:pt>
                <c:pt idx="119">
                  <c:v>1637</c:v>
                </c:pt>
                <c:pt idx="120">
                  <c:v>2039</c:v>
                </c:pt>
                <c:pt idx="121">
                  <c:v>2040</c:v>
                </c:pt>
                <c:pt idx="122">
                  <c:v>2041</c:v>
                </c:pt>
                <c:pt idx="123">
                  <c:v>2042</c:v>
                </c:pt>
                <c:pt idx="124">
                  <c:v>2043</c:v>
                </c:pt>
                <c:pt idx="125">
                  <c:v>2044</c:v>
                </c:pt>
                <c:pt idx="126">
                  <c:v>2045</c:v>
                </c:pt>
                <c:pt idx="127">
                  <c:v>2046</c:v>
                </c:pt>
                <c:pt idx="128">
                  <c:v>2047</c:v>
                </c:pt>
                <c:pt idx="129">
                  <c:v>2048</c:v>
                </c:pt>
                <c:pt idx="130">
                  <c:v>2049</c:v>
                </c:pt>
                <c:pt idx="131">
                  <c:v>2050</c:v>
                </c:pt>
                <c:pt idx="132">
                  <c:v>2051</c:v>
                </c:pt>
                <c:pt idx="133">
                  <c:v>2052</c:v>
                </c:pt>
                <c:pt idx="134">
                  <c:v>2053</c:v>
                </c:pt>
                <c:pt idx="135">
                  <c:v>2054</c:v>
                </c:pt>
                <c:pt idx="136">
                  <c:v>2055</c:v>
                </c:pt>
                <c:pt idx="137">
                  <c:v>2056</c:v>
                </c:pt>
                <c:pt idx="138">
                  <c:v>2057</c:v>
                </c:pt>
                <c:pt idx="139">
                  <c:v>2058</c:v>
                </c:pt>
                <c:pt idx="140">
                  <c:v>2897</c:v>
                </c:pt>
                <c:pt idx="141">
                  <c:v>2898</c:v>
                </c:pt>
                <c:pt idx="142">
                  <c:v>2899</c:v>
                </c:pt>
                <c:pt idx="143">
                  <c:v>2900</c:v>
                </c:pt>
                <c:pt idx="144">
                  <c:v>2901</c:v>
                </c:pt>
                <c:pt idx="145">
                  <c:v>2902</c:v>
                </c:pt>
                <c:pt idx="146">
                  <c:v>2903</c:v>
                </c:pt>
                <c:pt idx="147">
                  <c:v>2904</c:v>
                </c:pt>
                <c:pt idx="148">
                  <c:v>2905</c:v>
                </c:pt>
                <c:pt idx="149">
                  <c:v>2906</c:v>
                </c:pt>
                <c:pt idx="150">
                  <c:v>2907</c:v>
                </c:pt>
                <c:pt idx="151">
                  <c:v>2908</c:v>
                </c:pt>
                <c:pt idx="152">
                  <c:v>2909</c:v>
                </c:pt>
                <c:pt idx="153">
                  <c:v>2910</c:v>
                </c:pt>
                <c:pt idx="154">
                  <c:v>2911</c:v>
                </c:pt>
                <c:pt idx="155">
                  <c:v>2912</c:v>
                </c:pt>
                <c:pt idx="156">
                  <c:v>2913</c:v>
                </c:pt>
                <c:pt idx="157">
                  <c:v>2914</c:v>
                </c:pt>
                <c:pt idx="158">
                  <c:v>2915</c:v>
                </c:pt>
                <c:pt idx="159">
                  <c:v>2916</c:v>
                </c:pt>
                <c:pt idx="160">
                  <c:v>3257</c:v>
                </c:pt>
                <c:pt idx="161">
                  <c:v>3258</c:v>
                </c:pt>
                <c:pt idx="162">
                  <c:v>3259</c:v>
                </c:pt>
                <c:pt idx="163">
                  <c:v>3260</c:v>
                </c:pt>
                <c:pt idx="164">
                  <c:v>3261</c:v>
                </c:pt>
                <c:pt idx="165">
                  <c:v>3262</c:v>
                </c:pt>
                <c:pt idx="166">
                  <c:v>3263</c:v>
                </c:pt>
                <c:pt idx="167">
                  <c:v>3264</c:v>
                </c:pt>
                <c:pt idx="168">
                  <c:v>3265</c:v>
                </c:pt>
                <c:pt idx="169">
                  <c:v>3266</c:v>
                </c:pt>
                <c:pt idx="170">
                  <c:v>3267</c:v>
                </c:pt>
                <c:pt idx="171">
                  <c:v>3268</c:v>
                </c:pt>
                <c:pt idx="172">
                  <c:v>3269</c:v>
                </c:pt>
                <c:pt idx="173">
                  <c:v>3270</c:v>
                </c:pt>
                <c:pt idx="174">
                  <c:v>3271</c:v>
                </c:pt>
                <c:pt idx="175">
                  <c:v>3272</c:v>
                </c:pt>
                <c:pt idx="176">
                  <c:v>3273</c:v>
                </c:pt>
                <c:pt idx="177">
                  <c:v>3274</c:v>
                </c:pt>
                <c:pt idx="178">
                  <c:v>3275</c:v>
                </c:pt>
                <c:pt idx="179">
                  <c:v>3276</c:v>
                </c:pt>
                <c:pt idx="180">
                  <c:v>4443</c:v>
                </c:pt>
                <c:pt idx="181">
                  <c:v>4445</c:v>
                </c:pt>
                <c:pt idx="182">
                  <c:v>4446</c:v>
                </c:pt>
                <c:pt idx="183">
                  <c:v>4447</c:v>
                </c:pt>
                <c:pt idx="184">
                  <c:v>4448</c:v>
                </c:pt>
                <c:pt idx="185">
                  <c:v>4449</c:v>
                </c:pt>
                <c:pt idx="186">
                  <c:v>4450</c:v>
                </c:pt>
                <c:pt idx="187">
                  <c:v>4451</c:v>
                </c:pt>
                <c:pt idx="188">
                  <c:v>4452</c:v>
                </c:pt>
                <c:pt idx="189">
                  <c:v>4453</c:v>
                </c:pt>
                <c:pt idx="190">
                  <c:v>4454</c:v>
                </c:pt>
                <c:pt idx="191">
                  <c:v>4455</c:v>
                </c:pt>
                <c:pt idx="192">
                  <c:v>4456</c:v>
                </c:pt>
                <c:pt idx="193">
                  <c:v>4457</c:v>
                </c:pt>
                <c:pt idx="194">
                  <c:v>4458</c:v>
                </c:pt>
                <c:pt idx="195">
                  <c:v>4459</c:v>
                </c:pt>
                <c:pt idx="196">
                  <c:v>4460</c:v>
                </c:pt>
                <c:pt idx="197">
                  <c:v>4461</c:v>
                </c:pt>
                <c:pt idx="198">
                  <c:v>4462</c:v>
                </c:pt>
                <c:pt idx="199">
                  <c:v>4463</c:v>
                </c:pt>
                <c:pt idx="200">
                  <c:v>4740</c:v>
                </c:pt>
                <c:pt idx="201">
                  <c:v>4741</c:v>
                </c:pt>
                <c:pt idx="202">
                  <c:v>4742</c:v>
                </c:pt>
                <c:pt idx="203">
                  <c:v>4743</c:v>
                </c:pt>
                <c:pt idx="204">
                  <c:v>4744</c:v>
                </c:pt>
                <c:pt idx="205">
                  <c:v>4745</c:v>
                </c:pt>
                <c:pt idx="206">
                  <c:v>4746</c:v>
                </c:pt>
                <c:pt idx="207">
                  <c:v>4747</c:v>
                </c:pt>
                <c:pt idx="208">
                  <c:v>4748</c:v>
                </c:pt>
                <c:pt idx="209">
                  <c:v>4749</c:v>
                </c:pt>
                <c:pt idx="210">
                  <c:v>4750</c:v>
                </c:pt>
                <c:pt idx="211">
                  <c:v>4751</c:v>
                </c:pt>
                <c:pt idx="212">
                  <c:v>4752</c:v>
                </c:pt>
                <c:pt idx="213">
                  <c:v>4753</c:v>
                </c:pt>
                <c:pt idx="214">
                  <c:v>4754</c:v>
                </c:pt>
                <c:pt idx="215">
                  <c:v>4755</c:v>
                </c:pt>
                <c:pt idx="216">
                  <c:v>4756</c:v>
                </c:pt>
                <c:pt idx="217">
                  <c:v>4757</c:v>
                </c:pt>
                <c:pt idx="218">
                  <c:v>4758</c:v>
                </c:pt>
                <c:pt idx="219">
                  <c:v>4759</c:v>
                </c:pt>
                <c:pt idx="220">
                  <c:v>5191</c:v>
                </c:pt>
                <c:pt idx="221">
                  <c:v>5192</c:v>
                </c:pt>
                <c:pt idx="222">
                  <c:v>5193</c:v>
                </c:pt>
                <c:pt idx="223">
                  <c:v>5194</c:v>
                </c:pt>
                <c:pt idx="224">
                  <c:v>5195</c:v>
                </c:pt>
                <c:pt idx="225">
                  <c:v>5196</c:v>
                </c:pt>
                <c:pt idx="226">
                  <c:v>5197</c:v>
                </c:pt>
                <c:pt idx="227">
                  <c:v>5198</c:v>
                </c:pt>
                <c:pt idx="228">
                  <c:v>5199</c:v>
                </c:pt>
                <c:pt idx="229">
                  <c:v>5200</c:v>
                </c:pt>
                <c:pt idx="230">
                  <c:v>5201</c:v>
                </c:pt>
                <c:pt idx="231">
                  <c:v>5202</c:v>
                </c:pt>
                <c:pt idx="232">
                  <c:v>5203</c:v>
                </c:pt>
                <c:pt idx="233">
                  <c:v>5204</c:v>
                </c:pt>
                <c:pt idx="234">
                  <c:v>5205</c:v>
                </c:pt>
                <c:pt idx="235">
                  <c:v>5206</c:v>
                </c:pt>
                <c:pt idx="236">
                  <c:v>5207</c:v>
                </c:pt>
                <c:pt idx="237">
                  <c:v>5208</c:v>
                </c:pt>
                <c:pt idx="238">
                  <c:v>5209</c:v>
                </c:pt>
                <c:pt idx="239">
                  <c:v>5210</c:v>
                </c:pt>
                <c:pt idx="240">
                  <c:v>5544</c:v>
                </c:pt>
                <c:pt idx="241">
                  <c:v>5545</c:v>
                </c:pt>
                <c:pt idx="242">
                  <c:v>5546</c:v>
                </c:pt>
                <c:pt idx="243">
                  <c:v>5547</c:v>
                </c:pt>
                <c:pt idx="244">
                  <c:v>5548</c:v>
                </c:pt>
                <c:pt idx="245">
                  <c:v>5549</c:v>
                </c:pt>
                <c:pt idx="246">
                  <c:v>5550</c:v>
                </c:pt>
                <c:pt idx="247">
                  <c:v>5551</c:v>
                </c:pt>
                <c:pt idx="248">
                  <c:v>5552</c:v>
                </c:pt>
                <c:pt idx="249">
                  <c:v>5553</c:v>
                </c:pt>
                <c:pt idx="250">
                  <c:v>5554</c:v>
                </c:pt>
                <c:pt idx="251">
                  <c:v>5555</c:v>
                </c:pt>
                <c:pt idx="252">
                  <c:v>5556</c:v>
                </c:pt>
                <c:pt idx="253">
                  <c:v>5557</c:v>
                </c:pt>
                <c:pt idx="254">
                  <c:v>5558</c:v>
                </c:pt>
                <c:pt idx="255">
                  <c:v>5559</c:v>
                </c:pt>
                <c:pt idx="256">
                  <c:v>5560</c:v>
                </c:pt>
                <c:pt idx="257">
                  <c:v>5561</c:v>
                </c:pt>
                <c:pt idx="258">
                  <c:v>5562</c:v>
                </c:pt>
                <c:pt idx="259">
                  <c:v>5563</c:v>
                </c:pt>
                <c:pt idx="260">
                  <c:v>5915</c:v>
                </c:pt>
                <c:pt idx="261">
                  <c:v>5916</c:v>
                </c:pt>
                <c:pt idx="262">
                  <c:v>5917</c:v>
                </c:pt>
                <c:pt idx="263">
                  <c:v>5918</c:v>
                </c:pt>
                <c:pt idx="264">
                  <c:v>5919</c:v>
                </c:pt>
                <c:pt idx="265">
                  <c:v>5920</c:v>
                </c:pt>
                <c:pt idx="266">
                  <c:v>5921</c:v>
                </c:pt>
                <c:pt idx="267">
                  <c:v>5922</c:v>
                </c:pt>
                <c:pt idx="268">
                  <c:v>5923</c:v>
                </c:pt>
                <c:pt idx="269">
                  <c:v>5924</c:v>
                </c:pt>
                <c:pt idx="270">
                  <c:v>5925</c:v>
                </c:pt>
                <c:pt idx="271">
                  <c:v>5926</c:v>
                </c:pt>
                <c:pt idx="272">
                  <c:v>5927</c:v>
                </c:pt>
                <c:pt idx="273">
                  <c:v>5928</c:v>
                </c:pt>
                <c:pt idx="274">
                  <c:v>5929</c:v>
                </c:pt>
                <c:pt idx="275">
                  <c:v>5930</c:v>
                </c:pt>
                <c:pt idx="276">
                  <c:v>5931</c:v>
                </c:pt>
                <c:pt idx="277">
                  <c:v>5932</c:v>
                </c:pt>
                <c:pt idx="278">
                  <c:v>5933</c:v>
                </c:pt>
                <c:pt idx="279">
                  <c:v>5934</c:v>
                </c:pt>
                <c:pt idx="280">
                  <c:v>6137</c:v>
                </c:pt>
                <c:pt idx="281">
                  <c:v>6138</c:v>
                </c:pt>
                <c:pt idx="282">
                  <c:v>6139</c:v>
                </c:pt>
                <c:pt idx="283">
                  <c:v>6140</c:v>
                </c:pt>
                <c:pt idx="284">
                  <c:v>6141</c:v>
                </c:pt>
                <c:pt idx="285">
                  <c:v>6142</c:v>
                </c:pt>
                <c:pt idx="286">
                  <c:v>6143</c:v>
                </c:pt>
                <c:pt idx="287">
                  <c:v>6144</c:v>
                </c:pt>
                <c:pt idx="288">
                  <c:v>6145</c:v>
                </c:pt>
                <c:pt idx="289">
                  <c:v>6146</c:v>
                </c:pt>
                <c:pt idx="290">
                  <c:v>6147</c:v>
                </c:pt>
                <c:pt idx="291">
                  <c:v>6148</c:v>
                </c:pt>
                <c:pt idx="292">
                  <c:v>6149</c:v>
                </c:pt>
                <c:pt idx="293">
                  <c:v>6150</c:v>
                </c:pt>
                <c:pt idx="294">
                  <c:v>6151</c:v>
                </c:pt>
                <c:pt idx="295">
                  <c:v>6152</c:v>
                </c:pt>
                <c:pt idx="296">
                  <c:v>6153</c:v>
                </c:pt>
                <c:pt idx="297">
                  <c:v>6154</c:v>
                </c:pt>
                <c:pt idx="298">
                  <c:v>6155</c:v>
                </c:pt>
                <c:pt idx="299">
                  <c:v>6156</c:v>
                </c:pt>
                <c:pt idx="300">
                  <c:v>6600</c:v>
                </c:pt>
                <c:pt idx="301">
                  <c:v>6601</c:v>
                </c:pt>
                <c:pt idx="302">
                  <c:v>6602</c:v>
                </c:pt>
                <c:pt idx="303">
                  <c:v>6603</c:v>
                </c:pt>
                <c:pt idx="304">
                  <c:v>6604</c:v>
                </c:pt>
                <c:pt idx="305">
                  <c:v>6605</c:v>
                </c:pt>
                <c:pt idx="306">
                  <c:v>6606</c:v>
                </c:pt>
                <c:pt idx="307">
                  <c:v>6607</c:v>
                </c:pt>
                <c:pt idx="308">
                  <c:v>6608</c:v>
                </c:pt>
                <c:pt idx="309">
                  <c:v>6609</c:v>
                </c:pt>
                <c:pt idx="310">
                  <c:v>6610</c:v>
                </c:pt>
                <c:pt idx="311">
                  <c:v>6611</c:v>
                </c:pt>
                <c:pt idx="312">
                  <c:v>6612</c:v>
                </c:pt>
                <c:pt idx="313">
                  <c:v>6613</c:v>
                </c:pt>
                <c:pt idx="314">
                  <c:v>6614</c:v>
                </c:pt>
                <c:pt idx="315">
                  <c:v>6615</c:v>
                </c:pt>
                <c:pt idx="316">
                  <c:v>6616</c:v>
                </c:pt>
                <c:pt idx="317">
                  <c:v>6617</c:v>
                </c:pt>
                <c:pt idx="318">
                  <c:v>6618</c:v>
                </c:pt>
                <c:pt idx="319">
                  <c:v>6619</c:v>
                </c:pt>
                <c:pt idx="320">
                  <c:v>6823</c:v>
                </c:pt>
                <c:pt idx="321">
                  <c:v>6824</c:v>
                </c:pt>
                <c:pt idx="322">
                  <c:v>6825</c:v>
                </c:pt>
                <c:pt idx="323">
                  <c:v>6826</c:v>
                </c:pt>
                <c:pt idx="324">
                  <c:v>6827</c:v>
                </c:pt>
                <c:pt idx="325">
                  <c:v>6828</c:v>
                </c:pt>
                <c:pt idx="326">
                  <c:v>6829</c:v>
                </c:pt>
                <c:pt idx="327">
                  <c:v>6830</c:v>
                </c:pt>
                <c:pt idx="328">
                  <c:v>6831</c:v>
                </c:pt>
                <c:pt idx="329">
                  <c:v>6832</c:v>
                </c:pt>
                <c:pt idx="330">
                  <c:v>6833</c:v>
                </c:pt>
                <c:pt idx="331">
                  <c:v>6834</c:v>
                </c:pt>
                <c:pt idx="332">
                  <c:v>6835</c:v>
                </c:pt>
                <c:pt idx="333">
                  <c:v>6836</c:v>
                </c:pt>
                <c:pt idx="334">
                  <c:v>6837</c:v>
                </c:pt>
                <c:pt idx="335">
                  <c:v>6838</c:v>
                </c:pt>
                <c:pt idx="336">
                  <c:v>6839</c:v>
                </c:pt>
                <c:pt idx="337">
                  <c:v>6840</c:v>
                </c:pt>
                <c:pt idx="338">
                  <c:v>6841</c:v>
                </c:pt>
                <c:pt idx="339">
                  <c:v>6842</c:v>
                </c:pt>
                <c:pt idx="340">
                  <c:v>7090</c:v>
                </c:pt>
                <c:pt idx="341">
                  <c:v>7091</c:v>
                </c:pt>
                <c:pt idx="342">
                  <c:v>7092</c:v>
                </c:pt>
                <c:pt idx="343">
                  <c:v>7093</c:v>
                </c:pt>
                <c:pt idx="344">
                  <c:v>7094</c:v>
                </c:pt>
                <c:pt idx="345">
                  <c:v>7095</c:v>
                </c:pt>
                <c:pt idx="346">
                  <c:v>7096</c:v>
                </c:pt>
                <c:pt idx="347">
                  <c:v>7097</c:v>
                </c:pt>
                <c:pt idx="348">
                  <c:v>7098</c:v>
                </c:pt>
                <c:pt idx="349">
                  <c:v>7099</c:v>
                </c:pt>
                <c:pt idx="350">
                  <c:v>7100</c:v>
                </c:pt>
                <c:pt idx="351">
                  <c:v>7101</c:v>
                </c:pt>
                <c:pt idx="352">
                  <c:v>7102</c:v>
                </c:pt>
                <c:pt idx="353">
                  <c:v>7103</c:v>
                </c:pt>
                <c:pt idx="354">
                  <c:v>7104</c:v>
                </c:pt>
                <c:pt idx="355">
                  <c:v>7105</c:v>
                </c:pt>
                <c:pt idx="356">
                  <c:v>7106</c:v>
                </c:pt>
                <c:pt idx="357">
                  <c:v>7107</c:v>
                </c:pt>
                <c:pt idx="358">
                  <c:v>7108</c:v>
                </c:pt>
                <c:pt idx="359">
                  <c:v>7109</c:v>
                </c:pt>
                <c:pt idx="360">
                  <c:v>7413</c:v>
                </c:pt>
                <c:pt idx="361">
                  <c:v>7414</c:v>
                </c:pt>
                <c:pt idx="362">
                  <c:v>7415</c:v>
                </c:pt>
                <c:pt idx="363">
                  <c:v>7416</c:v>
                </c:pt>
                <c:pt idx="364">
                  <c:v>7417</c:v>
                </c:pt>
                <c:pt idx="365">
                  <c:v>7418</c:v>
                </c:pt>
                <c:pt idx="366">
                  <c:v>7419</c:v>
                </c:pt>
                <c:pt idx="367">
                  <c:v>7420</c:v>
                </c:pt>
                <c:pt idx="368">
                  <c:v>7421</c:v>
                </c:pt>
                <c:pt idx="369">
                  <c:v>7422</c:v>
                </c:pt>
                <c:pt idx="370">
                  <c:v>7423</c:v>
                </c:pt>
                <c:pt idx="371">
                  <c:v>7424</c:v>
                </c:pt>
                <c:pt idx="372">
                  <c:v>7425</c:v>
                </c:pt>
                <c:pt idx="373">
                  <c:v>7426</c:v>
                </c:pt>
                <c:pt idx="374">
                  <c:v>7427</c:v>
                </c:pt>
                <c:pt idx="375">
                  <c:v>7428</c:v>
                </c:pt>
                <c:pt idx="376">
                  <c:v>7429</c:v>
                </c:pt>
                <c:pt idx="377">
                  <c:v>7430</c:v>
                </c:pt>
                <c:pt idx="378">
                  <c:v>7431</c:v>
                </c:pt>
                <c:pt idx="379">
                  <c:v>7432</c:v>
                </c:pt>
                <c:pt idx="380">
                  <c:v>7931</c:v>
                </c:pt>
                <c:pt idx="381">
                  <c:v>7932</c:v>
                </c:pt>
                <c:pt idx="382">
                  <c:v>7933</c:v>
                </c:pt>
                <c:pt idx="383">
                  <c:v>7934</c:v>
                </c:pt>
                <c:pt idx="384">
                  <c:v>7935</c:v>
                </c:pt>
                <c:pt idx="385">
                  <c:v>7936</c:v>
                </c:pt>
                <c:pt idx="386">
                  <c:v>7937</c:v>
                </c:pt>
                <c:pt idx="387">
                  <c:v>7938</c:v>
                </c:pt>
                <c:pt idx="388">
                  <c:v>7939</c:v>
                </c:pt>
                <c:pt idx="389">
                  <c:v>7940</c:v>
                </c:pt>
                <c:pt idx="390">
                  <c:v>7941</c:v>
                </c:pt>
                <c:pt idx="391">
                  <c:v>7942</c:v>
                </c:pt>
                <c:pt idx="392">
                  <c:v>7943</c:v>
                </c:pt>
                <c:pt idx="393">
                  <c:v>7944</c:v>
                </c:pt>
                <c:pt idx="394">
                  <c:v>7945</c:v>
                </c:pt>
                <c:pt idx="395">
                  <c:v>7946</c:v>
                </c:pt>
                <c:pt idx="396">
                  <c:v>7947</c:v>
                </c:pt>
                <c:pt idx="397">
                  <c:v>7948</c:v>
                </c:pt>
                <c:pt idx="398">
                  <c:v>7949</c:v>
                </c:pt>
                <c:pt idx="399">
                  <c:v>7950</c:v>
                </c:pt>
                <c:pt idx="400">
                  <c:v>8361</c:v>
                </c:pt>
                <c:pt idx="401">
                  <c:v>8362</c:v>
                </c:pt>
                <c:pt idx="402">
                  <c:v>8363</c:v>
                </c:pt>
                <c:pt idx="403">
                  <c:v>8364</c:v>
                </c:pt>
                <c:pt idx="404">
                  <c:v>8365</c:v>
                </c:pt>
                <c:pt idx="405">
                  <c:v>8366</c:v>
                </c:pt>
                <c:pt idx="406">
                  <c:v>8367</c:v>
                </c:pt>
                <c:pt idx="407">
                  <c:v>8368</c:v>
                </c:pt>
                <c:pt idx="408">
                  <c:v>8369</c:v>
                </c:pt>
                <c:pt idx="409">
                  <c:v>8370</c:v>
                </c:pt>
                <c:pt idx="410">
                  <c:v>8371</c:v>
                </c:pt>
                <c:pt idx="411">
                  <c:v>8372</c:v>
                </c:pt>
                <c:pt idx="412">
                  <c:v>8373</c:v>
                </c:pt>
                <c:pt idx="413">
                  <c:v>8374</c:v>
                </c:pt>
                <c:pt idx="414">
                  <c:v>8375</c:v>
                </c:pt>
                <c:pt idx="415">
                  <c:v>8376</c:v>
                </c:pt>
                <c:pt idx="416">
                  <c:v>8377</c:v>
                </c:pt>
                <c:pt idx="417">
                  <c:v>8378</c:v>
                </c:pt>
                <c:pt idx="418">
                  <c:v>8379</c:v>
                </c:pt>
                <c:pt idx="419">
                  <c:v>8380</c:v>
                </c:pt>
                <c:pt idx="420">
                  <c:v>8679</c:v>
                </c:pt>
                <c:pt idx="421">
                  <c:v>8680</c:v>
                </c:pt>
                <c:pt idx="422">
                  <c:v>8681</c:v>
                </c:pt>
                <c:pt idx="423">
                  <c:v>8682</c:v>
                </c:pt>
                <c:pt idx="424">
                  <c:v>8683</c:v>
                </c:pt>
                <c:pt idx="425">
                  <c:v>8684</c:v>
                </c:pt>
                <c:pt idx="426">
                  <c:v>8685</c:v>
                </c:pt>
                <c:pt idx="427">
                  <c:v>8686</c:v>
                </c:pt>
                <c:pt idx="428">
                  <c:v>8687</c:v>
                </c:pt>
                <c:pt idx="429">
                  <c:v>8688</c:v>
                </c:pt>
                <c:pt idx="430">
                  <c:v>8689</c:v>
                </c:pt>
                <c:pt idx="431">
                  <c:v>8690</c:v>
                </c:pt>
                <c:pt idx="432">
                  <c:v>8691</c:v>
                </c:pt>
                <c:pt idx="433">
                  <c:v>8692</c:v>
                </c:pt>
                <c:pt idx="434">
                  <c:v>8693</c:v>
                </c:pt>
                <c:pt idx="435">
                  <c:v>8694</c:v>
                </c:pt>
                <c:pt idx="436">
                  <c:v>8695</c:v>
                </c:pt>
                <c:pt idx="437">
                  <c:v>8696</c:v>
                </c:pt>
                <c:pt idx="438">
                  <c:v>8697</c:v>
                </c:pt>
                <c:pt idx="439">
                  <c:v>8698</c:v>
                </c:pt>
                <c:pt idx="440">
                  <c:v>9074</c:v>
                </c:pt>
                <c:pt idx="441">
                  <c:v>9075</c:v>
                </c:pt>
                <c:pt idx="442">
                  <c:v>9076</c:v>
                </c:pt>
                <c:pt idx="443">
                  <c:v>9077</c:v>
                </c:pt>
                <c:pt idx="444">
                  <c:v>9078</c:v>
                </c:pt>
                <c:pt idx="445">
                  <c:v>9079</c:v>
                </c:pt>
                <c:pt idx="446">
                  <c:v>9080</c:v>
                </c:pt>
                <c:pt idx="447">
                  <c:v>9081</c:v>
                </c:pt>
                <c:pt idx="448">
                  <c:v>9082</c:v>
                </c:pt>
                <c:pt idx="449">
                  <c:v>9083</c:v>
                </c:pt>
                <c:pt idx="450">
                  <c:v>9084</c:v>
                </c:pt>
                <c:pt idx="451">
                  <c:v>9085</c:v>
                </c:pt>
                <c:pt idx="452">
                  <c:v>9086</c:v>
                </c:pt>
                <c:pt idx="453">
                  <c:v>9087</c:v>
                </c:pt>
                <c:pt idx="454">
                  <c:v>9088</c:v>
                </c:pt>
                <c:pt idx="455">
                  <c:v>9089</c:v>
                </c:pt>
                <c:pt idx="456">
                  <c:v>9090</c:v>
                </c:pt>
                <c:pt idx="457">
                  <c:v>9091</c:v>
                </c:pt>
                <c:pt idx="458">
                  <c:v>9092</c:v>
                </c:pt>
                <c:pt idx="459">
                  <c:v>9093</c:v>
                </c:pt>
                <c:pt idx="460">
                  <c:v>9304</c:v>
                </c:pt>
                <c:pt idx="461">
                  <c:v>9305</c:v>
                </c:pt>
                <c:pt idx="462">
                  <c:v>9306</c:v>
                </c:pt>
                <c:pt idx="463">
                  <c:v>9307</c:v>
                </c:pt>
                <c:pt idx="464">
                  <c:v>9308</c:v>
                </c:pt>
                <c:pt idx="465">
                  <c:v>9309</c:v>
                </c:pt>
                <c:pt idx="466">
                  <c:v>9310</c:v>
                </c:pt>
                <c:pt idx="467">
                  <c:v>9311</c:v>
                </c:pt>
                <c:pt idx="468">
                  <c:v>9312</c:v>
                </c:pt>
                <c:pt idx="469">
                  <c:v>9313</c:v>
                </c:pt>
                <c:pt idx="470">
                  <c:v>9314</c:v>
                </c:pt>
                <c:pt idx="471">
                  <c:v>9315</c:v>
                </c:pt>
                <c:pt idx="472">
                  <c:v>9316</c:v>
                </c:pt>
                <c:pt idx="473">
                  <c:v>9317</c:v>
                </c:pt>
                <c:pt idx="474">
                  <c:v>9318</c:v>
                </c:pt>
                <c:pt idx="475">
                  <c:v>9319</c:v>
                </c:pt>
                <c:pt idx="476">
                  <c:v>9320</c:v>
                </c:pt>
                <c:pt idx="477">
                  <c:v>9321</c:v>
                </c:pt>
                <c:pt idx="478">
                  <c:v>9322</c:v>
                </c:pt>
                <c:pt idx="479">
                  <c:v>9323</c:v>
                </c:pt>
                <c:pt idx="480">
                  <c:v>9774</c:v>
                </c:pt>
                <c:pt idx="481">
                  <c:v>9775</c:v>
                </c:pt>
                <c:pt idx="482">
                  <c:v>9776</c:v>
                </c:pt>
                <c:pt idx="483">
                  <c:v>9777</c:v>
                </c:pt>
                <c:pt idx="484">
                  <c:v>9778</c:v>
                </c:pt>
                <c:pt idx="485">
                  <c:v>9779</c:v>
                </c:pt>
                <c:pt idx="486">
                  <c:v>9780</c:v>
                </c:pt>
                <c:pt idx="487">
                  <c:v>9781</c:v>
                </c:pt>
                <c:pt idx="488">
                  <c:v>9782</c:v>
                </c:pt>
                <c:pt idx="489">
                  <c:v>9783</c:v>
                </c:pt>
                <c:pt idx="490">
                  <c:v>9784</c:v>
                </c:pt>
                <c:pt idx="491">
                  <c:v>9785</c:v>
                </c:pt>
                <c:pt idx="492">
                  <c:v>9786</c:v>
                </c:pt>
                <c:pt idx="493">
                  <c:v>9787</c:v>
                </c:pt>
                <c:pt idx="494">
                  <c:v>9788</c:v>
                </c:pt>
                <c:pt idx="495">
                  <c:v>9789</c:v>
                </c:pt>
                <c:pt idx="496">
                  <c:v>9790</c:v>
                </c:pt>
                <c:pt idx="497">
                  <c:v>9791</c:v>
                </c:pt>
                <c:pt idx="498">
                  <c:v>9792</c:v>
                </c:pt>
                <c:pt idx="499">
                  <c:v>9793</c:v>
                </c:pt>
                <c:pt idx="500">
                  <c:v>10014</c:v>
                </c:pt>
                <c:pt idx="501">
                  <c:v>10015</c:v>
                </c:pt>
                <c:pt idx="502">
                  <c:v>10016</c:v>
                </c:pt>
                <c:pt idx="503">
                  <c:v>10017</c:v>
                </c:pt>
                <c:pt idx="504">
                  <c:v>10018</c:v>
                </c:pt>
                <c:pt idx="505">
                  <c:v>10019</c:v>
                </c:pt>
                <c:pt idx="506">
                  <c:v>10020</c:v>
                </c:pt>
                <c:pt idx="507">
                  <c:v>10021</c:v>
                </c:pt>
                <c:pt idx="508">
                  <c:v>10022</c:v>
                </c:pt>
                <c:pt idx="509">
                  <c:v>10023</c:v>
                </c:pt>
                <c:pt idx="510">
                  <c:v>10024</c:v>
                </c:pt>
                <c:pt idx="511">
                  <c:v>10025</c:v>
                </c:pt>
                <c:pt idx="512">
                  <c:v>10026</c:v>
                </c:pt>
                <c:pt idx="513">
                  <c:v>10027</c:v>
                </c:pt>
                <c:pt idx="514">
                  <c:v>10028</c:v>
                </c:pt>
                <c:pt idx="515">
                  <c:v>10029</c:v>
                </c:pt>
                <c:pt idx="516">
                  <c:v>10030</c:v>
                </c:pt>
                <c:pt idx="517">
                  <c:v>10031</c:v>
                </c:pt>
                <c:pt idx="518">
                  <c:v>10032</c:v>
                </c:pt>
                <c:pt idx="519">
                  <c:v>10033</c:v>
                </c:pt>
                <c:pt idx="520">
                  <c:v>11975</c:v>
                </c:pt>
                <c:pt idx="521">
                  <c:v>11976</c:v>
                </c:pt>
                <c:pt idx="522">
                  <c:v>11977</c:v>
                </c:pt>
                <c:pt idx="523">
                  <c:v>11978</c:v>
                </c:pt>
                <c:pt idx="524">
                  <c:v>11979</c:v>
                </c:pt>
                <c:pt idx="525">
                  <c:v>11980</c:v>
                </c:pt>
                <c:pt idx="526">
                  <c:v>11981</c:v>
                </c:pt>
                <c:pt idx="527">
                  <c:v>11982</c:v>
                </c:pt>
                <c:pt idx="528">
                  <c:v>11983</c:v>
                </c:pt>
                <c:pt idx="529">
                  <c:v>11984</c:v>
                </c:pt>
                <c:pt idx="530">
                  <c:v>11985</c:v>
                </c:pt>
                <c:pt idx="531">
                  <c:v>11986</c:v>
                </c:pt>
                <c:pt idx="532">
                  <c:v>11987</c:v>
                </c:pt>
                <c:pt idx="533">
                  <c:v>11988</c:v>
                </c:pt>
                <c:pt idx="534">
                  <c:v>11989</c:v>
                </c:pt>
                <c:pt idx="535">
                  <c:v>11990</c:v>
                </c:pt>
                <c:pt idx="536">
                  <c:v>11991</c:v>
                </c:pt>
                <c:pt idx="537">
                  <c:v>11992</c:v>
                </c:pt>
                <c:pt idx="538">
                  <c:v>11993</c:v>
                </c:pt>
                <c:pt idx="539">
                  <c:v>11994</c:v>
                </c:pt>
                <c:pt idx="540">
                  <c:v>12381</c:v>
                </c:pt>
                <c:pt idx="541">
                  <c:v>12382</c:v>
                </c:pt>
                <c:pt idx="542">
                  <c:v>12383</c:v>
                </c:pt>
                <c:pt idx="543">
                  <c:v>12384</c:v>
                </c:pt>
                <c:pt idx="544">
                  <c:v>12385</c:v>
                </c:pt>
                <c:pt idx="545">
                  <c:v>12386</c:v>
                </c:pt>
                <c:pt idx="546">
                  <c:v>12387</c:v>
                </c:pt>
                <c:pt idx="547">
                  <c:v>12388</c:v>
                </c:pt>
                <c:pt idx="548">
                  <c:v>12389</c:v>
                </c:pt>
                <c:pt idx="549">
                  <c:v>12390</c:v>
                </c:pt>
                <c:pt idx="550">
                  <c:v>12391</c:v>
                </c:pt>
                <c:pt idx="551">
                  <c:v>12392</c:v>
                </c:pt>
                <c:pt idx="552">
                  <c:v>12393</c:v>
                </c:pt>
                <c:pt idx="553">
                  <c:v>12394</c:v>
                </c:pt>
                <c:pt idx="554">
                  <c:v>12395</c:v>
                </c:pt>
                <c:pt idx="555">
                  <c:v>12396</c:v>
                </c:pt>
                <c:pt idx="556">
                  <c:v>12397</c:v>
                </c:pt>
                <c:pt idx="557">
                  <c:v>12398</c:v>
                </c:pt>
                <c:pt idx="558">
                  <c:v>12399</c:v>
                </c:pt>
                <c:pt idx="559">
                  <c:v>12400</c:v>
                </c:pt>
                <c:pt idx="560">
                  <c:v>12432</c:v>
                </c:pt>
                <c:pt idx="561">
                  <c:v>12433</c:v>
                </c:pt>
                <c:pt idx="562">
                  <c:v>12434</c:v>
                </c:pt>
                <c:pt idx="563">
                  <c:v>12435</c:v>
                </c:pt>
                <c:pt idx="564">
                  <c:v>12436</c:v>
                </c:pt>
                <c:pt idx="565">
                  <c:v>12437</c:v>
                </c:pt>
                <c:pt idx="566">
                  <c:v>12438</c:v>
                </c:pt>
                <c:pt idx="567">
                  <c:v>12439</c:v>
                </c:pt>
                <c:pt idx="568">
                  <c:v>12440</c:v>
                </c:pt>
                <c:pt idx="569">
                  <c:v>12441</c:v>
                </c:pt>
                <c:pt idx="570">
                  <c:v>12442</c:v>
                </c:pt>
                <c:pt idx="571">
                  <c:v>12443</c:v>
                </c:pt>
                <c:pt idx="572">
                  <c:v>12444</c:v>
                </c:pt>
                <c:pt idx="573">
                  <c:v>12445</c:v>
                </c:pt>
                <c:pt idx="574">
                  <c:v>12446</c:v>
                </c:pt>
                <c:pt idx="575">
                  <c:v>12447</c:v>
                </c:pt>
                <c:pt idx="576">
                  <c:v>12448</c:v>
                </c:pt>
                <c:pt idx="577">
                  <c:v>12449</c:v>
                </c:pt>
                <c:pt idx="578">
                  <c:v>12450</c:v>
                </c:pt>
                <c:pt idx="579">
                  <c:v>12451</c:v>
                </c:pt>
                <c:pt idx="580">
                  <c:v>12951</c:v>
                </c:pt>
                <c:pt idx="581">
                  <c:v>12952</c:v>
                </c:pt>
                <c:pt idx="582">
                  <c:v>12953</c:v>
                </c:pt>
                <c:pt idx="583">
                  <c:v>12954</c:v>
                </c:pt>
                <c:pt idx="584">
                  <c:v>12955</c:v>
                </c:pt>
                <c:pt idx="585">
                  <c:v>12956</c:v>
                </c:pt>
                <c:pt idx="586">
                  <c:v>12957</c:v>
                </c:pt>
                <c:pt idx="587">
                  <c:v>12958</c:v>
                </c:pt>
                <c:pt idx="588">
                  <c:v>12959</c:v>
                </c:pt>
                <c:pt idx="589">
                  <c:v>12960</c:v>
                </c:pt>
                <c:pt idx="590">
                  <c:v>12961</c:v>
                </c:pt>
                <c:pt idx="591">
                  <c:v>12962</c:v>
                </c:pt>
                <c:pt idx="592">
                  <c:v>12963</c:v>
                </c:pt>
                <c:pt idx="593">
                  <c:v>12964</c:v>
                </c:pt>
                <c:pt idx="594">
                  <c:v>12965</c:v>
                </c:pt>
                <c:pt idx="595">
                  <c:v>12966</c:v>
                </c:pt>
                <c:pt idx="596">
                  <c:v>12967</c:v>
                </c:pt>
                <c:pt idx="597">
                  <c:v>12968</c:v>
                </c:pt>
                <c:pt idx="598">
                  <c:v>12969</c:v>
                </c:pt>
                <c:pt idx="599">
                  <c:v>12970</c:v>
                </c:pt>
                <c:pt idx="600">
                  <c:v>13232</c:v>
                </c:pt>
                <c:pt idx="601">
                  <c:v>13233</c:v>
                </c:pt>
                <c:pt idx="602">
                  <c:v>13234</c:v>
                </c:pt>
                <c:pt idx="603">
                  <c:v>13235</c:v>
                </c:pt>
                <c:pt idx="604">
                  <c:v>13236</c:v>
                </c:pt>
                <c:pt idx="605">
                  <c:v>13237</c:v>
                </c:pt>
                <c:pt idx="606">
                  <c:v>13238</c:v>
                </c:pt>
                <c:pt idx="607">
                  <c:v>13239</c:v>
                </c:pt>
                <c:pt idx="608">
                  <c:v>13240</c:v>
                </c:pt>
                <c:pt idx="609">
                  <c:v>13241</c:v>
                </c:pt>
                <c:pt idx="610">
                  <c:v>13242</c:v>
                </c:pt>
                <c:pt idx="611">
                  <c:v>13243</c:v>
                </c:pt>
                <c:pt idx="612">
                  <c:v>13244</c:v>
                </c:pt>
                <c:pt idx="613">
                  <c:v>13245</c:v>
                </c:pt>
                <c:pt idx="614">
                  <c:v>13246</c:v>
                </c:pt>
                <c:pt idx="615">
                  <c:v>13247</c:v>
                </c:pt>
                <c:pt idx="616">
                  <c:v>13248</c:v>
                </c:pt>
                <c:pt idx="617">
                  <c:v>13249</c:v>
                </c:pt>
                <c:pt idx="618">
                  <c:v>13250</c:v>
                </c:pt>
                <c:pt idx="619">
                  <c:v>13251</c:v>
                </c:pt>
                <c:pt idx="620">
                  <c:v>13760</c:v>
                </c:pt>
                <c:pt idx="621">
                  <c:v>13761</c:v>
                </c:pt>
                <c:pt idx="622">
                  <c:v>13762</c:v>
                </c:pt>
                <c:pt idx="623">
                  <c:v>13763</c:v>
                </c:pt>
                <c:pt idx="624">
                  <c:v>13764</c:v>
                </c:pt>
                <c:pt idx="625">
                  <c:v>13765</c:v>
                </c:pt>
                <c:pt idx="626">
                  <c:v>13766</c:v>
                </c:pt>
                <c:pt idx="627">
                  <c:v>13767</c:v>
                </c:pt>
                <c:pt idx="628">
                  <c:v>13768</c:v>
                </c:pt>
                <c:pt idx="629">
                  <c:v>13769</c:v>
                </c:pt>
                <c:pt idx="630">
                  <c:v>13770</c:v>
                </c:pt>
                <c:pt idx="631">
                  <c:v>13771</c:v>
                </c:pt>
                <c:pt idx="632">
                  <c:v>13772</c:v>
                </c:pt>
                <c:pt idx="633">
                  <c:v>13773</c:v>
                </c:pt>
                <c:pt idx="634">
                  <c:v>13774</c:v>
                </c:pt>
                <c:pt idx="635">
                  <c:v>13775</c:v>
                </c:pt>
                <c:pt idx="636">
                  <c:v>13776</c:v>
                </c:pt>
                <c:pt idx="637">
                  <c:v>13777</c:v>
                </c:pt>
                <c:pt idx="638">
                  <c:v>13778</c:v>
                </c:pt>
                <c:pt idx="639">
                  <c:v>13779</c:v>
                </c:pt>
                <c:pt idx="640">
                  <c:v>14021</c:v>
                </c:pt>
                <c:pt idx="641">
                  <c:v>14022</c:v>
                </c:pt>
                <c:pt idx="642">
                  <c:v>14023</c:v>
                </c:pt>
                <c:pt idx="643">
                  <c:v>14024</c:v>
                </c:pt>
                <c:pt idx="644">
                  <c:v>14025</c:v>
                </c:pt>
                <c:pt idx="645">
                  <c:v>14026</c:v>
                </c:pt>
                <c:pt idx="646">
                  <c:v>14027</c:v>
                </c:pt>
                <c:pt idx="647">
                  <c:v>14028</c:v>
                </c:pt>
                <c:pt idx="648">
                  <c:v>14029</c:v>
                </c:pt>
                <c:pt idx="649">
                  <c:v>14030</c:v>
                </c:pt>
                <c:pt idx="650">
                  <c:v>14031</c:v>
                </c:pt>
                <c:pt idx="651">
                  <c:v>14032</c:v>
                </c:pt>
                <c:pt idx="652">
                  <c:v>14033</c:v>
                </c:pt>
                <c:pt idx="653">
                  <c:v>14034</c:v>
                </c:pt>
                <c:pt idx="654">
                  <c:v>14035</c:v>
                </c:pt>
                <c:pt idx="655">
                  <c:v>14036</c:v>
                </c:pt>
                <c:pt idx="656">
                  <c:v>14037</c:v>
                </c:pt>
                <c:pt idx="657">
                  <c:v>14038</c:v>
                </c:pt>
                <c:pt idx="658">
                  <c:v>14039</c:v>
                </c:pt>
                <c:pt idx="659">
                  <c:v>14040</c:v>
                </c:pt>
                <c:pt idx="660">
                  <c:v>14547</c:v>
                </c:pt>
                <c:pt idx="661">
                  <c:v>14548</c:v>
                </c:pt>
                <c:pt idx="662">
                  <c:v>14549</c:v>
                </c:pt>
                <c:pt idx="663">
                  <c:v>14550</c:v>
                </c:pt>
                <c:pt idx="664">
                  <c:v>14551</c:v>
                </c:pt>
                <c:pt idx="665">
                  <c:v>14552</c:v>
                </c:pt>
                <c:pt idx="666">
                  <c:v>14553</c:v>
                </c:pt>
                <c:pt idx="667">
                  <c:v>14554</c:v>
                </c:pt>
                <c:pt idx="668">
                  <c:v>14555</c:v>
                </c:pt>
                <c:pt idx="669">
                  <c:v>14556</c:v>
                </c:pt>
                <c:pt idx="670">
                  <c:v>14557</c:v>
                </c:pt>
                <c:pt idx="671">
                  <c:v>14558</c:v>
                </c:pt>
                <c:pt idx="672">
                  <c:v>14559</c:v>
                </c:pt>
                <c:pt idx="673">
                  <c:v>14560</c:v>
                </c:pt>
                <c:pt idx="674">
                  <c:v>14561</c:v>
                </c:pt>
                <c:pt idx="675">
                  <c:v>14562</c:v>
                </c:pt>
                <c:pt idx="676">
                  <c:v>14563</c:v>
                </c:pt>
                <c:pt idx="677">
                  <c:v>14564</c:v>
                </c:pt>
                <c:pt idx="678">
                  <c:v>14565</c:v>
                </c:pt>
                <c:pt idx="679">
                  <c:v>14566</c:v>
                </c:pt>
                <c:pt idx="680">
                  <c:v>14901</c:v>
                </c:pt>
                <c:pt idx="681">
                  <c:v>14902</c:v>
                </c:pt>
                <c:pt idx="682">
                  <c:v>14903</c:v>
                </c:pt>
                <c:pt idx="683">
                  <c:v>14904</c:v>
                </c:pt>
                <c:pt idx="684">
                  <c:v>14905</c:v>
                </c:pt>
                <c:pt idx="685">
                  <c:v>14906</c:v>
                </c:pt>
                <c:pt idx="686">
                  <c:v>14907</c:v>
                </c:pt>
                <c:pt idx="687">
                  <c:v>14908</c:v>
                </c:pt>
                <c:pt idx="688">
                  <c:v>14909</c:v>
                </c:pt>
                <c:pt idx="689">
                  <c:v>14910</c:v>
                </c:pt>
                <c:pt idx="690">
                  <c:v>14911</c:v>
                </c:pt>
                <c:pt idx="691">
                  <c:v>14912</c:v>
                </c:pt>
                <c:pt idx="692">
                  <c:v>14913</c:v>
                </c:pt>
                <c:pt idx="693">
                  <c:v>14914</c:v>
                </c:pt>
                <c:pt idx="694">
                  <c:v>14915</c:v>
                </c:pt>
                <c:pt idx="695">
                  <c:v>14916</c:v>
                </c:pt>
                <c:pt idx="696">
                  <c:v>14917</c:v>
                </c:pt>
                <c:pt idx="697">
                  <c:v>14918</c:v>
                </c:pt>
                <c:pt idx="698">
                  <c:v>14919</c:v>
                </c:pt>
                <c:pt idx="699">
                  <c:v>14920</c:v>
                </c:pt>
                <c:pt idx="700">
                  <c:v>15256</c:v>
                </c:pt>
                <c:pt idx="701">
                  <c:v>15257</c:v>
                </c:pt>
                <c:pt idx="702">
                  <c:v>15258</c:v>
                </c:pt>
                <c:pt idx="703">
                  <c:v>15259</c:v>
                </c:pt>
                <c:pt idx="704">
                  <c:v>15260</c:v>
                </c:pt>
                <c:pt idx="705">
                  <c:v>15261</c:v>
                </c:pt>
                <c:pt idx="706">
                  <c:v>15262</c:v>
                </c:pt>
                <c:pt idx="707">
                  <c:v>15263</c:v>
                </c:pt>
                <c:pt idx="708">
                  <c:v>15264</c:v>
                </c:pt>
                <c:pt idx="709">
                  <c:v>15265</c:v>
                </c:pt>
                <c:pt idx="710">
                  <c:v>15266</c:v>
                </c:pt>
                <c:pt idx="711">
                  <c:v>15267</c:v>
                </c:pt>
                <c:pt idx="712">
                  <c:v>15268</c:v>
                </c:pt>
                <c:pt idx="713">
                  <c:v>15269</c:v>
                </c:pt>
                <c:pt idx="714">
                  <c:v>15270</c:v>
                </c:pt>
                <c:pt idx="715">
                  <c:v>15271</c:v>
                </c:pt>
                <c:pt idx="716">
                  <c:v>15272</c:v>
                </c:pt>
                <c:pt idx="717">
                  <c:v>15273</c:v>
                </c:pt>
                <c:pt idx="718">
                  <c:v>15274</c:v>
                </c:pt>
                <c:pt idx="719">
                  <c:v>15275</c:v>
                </c:pt>
                <c:pt idx="720">
                  <c:v>15636</c:v>
                </c:pt>
                <c:pt idx="721">
                  <c:v>15637</c:v>
                </c:pt>
                <c:pt idx="722">
                  <c:v>15638</c:v>
                </c:pt>
                <c:pt idx="723">
                  <c:v>15639</c:v>
                </c:pt>
                <c:pt idx="724">
                  <c:v>15640</c:v>
                </c:pt>
                <c:pt idx="725">
                  <c:v>15641</c:v>
                </c:pt>
                <c:pt idx="726">
                  <c:v>15642</c:v>
                </c:pt>
                <c:pt idx="727">
                  <c:v>15643</c:v>
                </c:pt>
                <c:pt idx="728">
                  <c:v>15644</c:v>
                </c:pt>
                <c:pt idx="729">
                  <c:v>15645</c:v>
                </c:pt>
                <c:pt idx="730">
                  <c:v>15646</c:v>
                </c:pt>
                <c:pt idx="731">
                  <c:v>15647</c:v>
                </c:pt>
                <c:pt idx="732">
                  <c:v>15648</c:v>
                </c:pt>
                <c:pt idx="733">
                  <c:v>15649</c:v>
                </c:pt>
                <c:pt idx="734">
                  <c:v>15650</c:v>
                </c:pt>
                <c:pt idx="735">
                  <c:v>15651</c:v>
                </c:pt>
                <c:pt idx="736">
                  <c:v>15652</c:v>
                </c:pt>
                <c:pt idx="737">
                  <c:v>15653</c:v>
                </c:pt>
                <c:pt idx="738">
                  <c:v>15654</c:v>
                </c:pt>
                <c:pt idx="739">
                  <c:v>15655</c:v>
                </c:pt>
                <c:pt idx="740">
                  <c:v>16226</c:v>
                </c:pt>
                <c:pt idx="741">
                  <c:v>16227</c:v>
                </c:pt>
                <c:pt idx="742">
                  <c:v>16228</c:v>
                </c:pt>
                <c:pt idx="743">
                  <c:v>16229</c:v>
                </c:pt>
                <c:pt idx="744">
                  <c:v>16230</c:v>
                </c:pt>
                <c:pt idx="745">
                  <c:v>16231</c:v>
                </c:pt>
                <c:pt idx="746">
                  <c:v>16232</c:v>
                </c:pt>
                <c:pt idx="747">
                  <c:v>16233</c:v>
                </c:pt>
                <c:pt idx="748">
                  <c:v>16234</c:v>
                </c:pt>
                <c:pt idx="749">
                  <c:v>16235</c:v>
                </c:pt>
                <c:pt idx="750">
                  <c:v>16236</c:v>
                </c:pt>
                <c:pt idx="751">
                  <c:v>16237</c:v>
                </c:pt>
                <c:pt idx="752">
                  <c:v>16238</c:v>
                </c:pt>
                <c:pt idx="753">
                  <c:v>16239</c:v>
                </c:pt>
                <c:pt idx="754">
                  <c:v>16240</c:v>
                </c:pt>
                <c:pt idx="755">
                  <c:v>16241</c:v>
                </c:pt>
                <c:pt idx="756">
                  <c:v>16242</c:v>
                </c:pt>
                <c:pt idx="757">
                  <c:v>16243</c:v>
                </c:pt>
                <c:pt idx="758">
                  <c:v>16244</c:v>
                </c:pt>
                <c:pt idx="759">
                  <c:v>16245</c:v>
                </c:pt>
                <c:pt idx="760">
                  <c:v>19126</c:v>
                </c:pt>
                <c:pt idx="761">
                  <c:v>19127</c:v>
                </c:pt>
                <c:pt idx="762">
                  <c:v>19128</c:v>
                </c:pt>
                <c:pt idx="763">
                  <c:v>19129</c:v>
                </c:pt>
                <c:pt idx="764">
                  <c:v>19130</c:v>
                </c:pt>
                <c:pt idx="765">
                  <c:v>19131</c:v>
                </c:pt>
                <c:pt idx="766">
                  <c:v>19132</c:v>
                </c:pt>
                <c:pt idx="767">
                  <c:v>19133</c:v>
                </c:pt>
                <c:pt idx="768">
                  <c:v>19134</c:v>
                </c:pt>
                <c:pt idx="769">
                  <c:v>19135</c:v>
                </c:pt>
                <c:pt idx="770">
                  <c:v>19136</c:v>
                </c:pt>
                <c:pt idx="771">
                  <c:v>19137</c:v>
                </c:pt>
                <c:pt idx="772">
                  <c:v>19138</c:v>
                </c:pt>
                <c:pt idx="773">
                  <c:v>19139</c:v>
                </c:pt>
                <c:pt idx="774">
                  <c:v>19140</c:v>
                </c:pt>
                <c:pt idx="775">
                  <c:v>19141</c:v>
                </c:pt>
                <c:pt idx="776">
                  <c:v>19142</c:v>
                </c:pt>
                <c:pt idx="777">
                  <c:v>19143</c:v>
                </c:pt>
                <c:pt idx="778">
                  <c:v>19144</c:v>
                </c:pt>
                <c:pt idx="779">
                  <c:v>19145</c:v>
                </c:pt>
                <c:pt idx="780">
                  <c:v>19466</c:v>
                </c:pt>
                <c:pt idx="781">
                  <c:v>19467</c:v>
                </c:pt>
                <c:pt idx="782">
                  <c:v>19468</c:v>
                </c:pt>
                <c:pt idx="783">
                  <c:v>19469</c:v>
                </c:pt>
                <c:pt idx="784">
                  <c:v>19470</c:v>
                </c:pt>
                <c:pt idx="785">
                  <c:v>19471</c:v>
                </c:pt>
                <c:pt idx="786">
                  <c:v>19472</c:v>
                </c:pt>
                <c:pt idx="787">
                  <c:v>19473</c:v>
                </c:pt>
                <c:pt idx="788">
                  <c:v>19474</c:v>
                </c:pt>
                <c:pt idx="789">
                  <c:v>19475</c:v>
                </c:pt>
                <c:pt idx="790">
                  <c:v>19476</c:v>
                </c:pt>
                <c:pt idx="791">
                  <c:v>19477</c:v>
                </c:pt>
                <c:pt idx="792">
                  <c:v>19478</c:v>
                </c:pt>
                <c:pt idx="793">
                  <c:v>19479</c:v>
                </c:pt>
                <c:pt idx="794">
                  <c:v>19480</c:v>
                </c:pt>
                <c:pt idx="795">
                  <c:v>19481</c:v>
                </c:pt>
                <c:pt idx="796">
                  <c:v>19482</c:v>
                </c:pt>
                <c:pt idx="797">
                  <c:v>19483</c:v>
                </c:pt>
                <c:pt idx="798">
                  <c:v>19484</c:v>
                </c:pt>
                <c:pt idx="799">
                  <c:v>19485</c:v>
                </c:pt>
                <c:pt idx="800">
                  <c:v>19761</c:v>
                </c:pt>
                <c:pt idx="801">
                  <c:v>19762</c:v>
                </c:pt>
                <c:pt idx="802">
                  <c:v>19763</c:v>
                </c:pt>
                <c:pt idx="803">
                  <c:v>19764</c:v>
                </c:pt>
                <c:pt idx="804">
                  <c:v>19765</c:v>
                </c:pt>
                <c:pt idx="805">
                  <c:v>19766</c:v>
                </c:pt>
                <c:pt idx="806">
                  <c:v>19767</c:v>
                </c:pt>
                <c:pt idx="807">
                  <c:v>19768</c:v>
                </c:pt>
                <c:pt idx="808">
                  <c:v>19769</c:v>
                </c:pt>
                <c:pt idx="809">
                  <c:v>19770</c:v>
                </c:pt>
                <c:pt idx="810">
                  <c:v>19771</c:v>
                </c:pt>
                <c:pt idx="811">
                  <c:v>19772</c:v>
                </c:pt>
                <c:pt idx="812">
                  <c:v>19773</c:v>
                </c:pt>
                <c:pt idx="813">
                  <c:v>19774</c:v>
                </c:pt>
                <c:pt idx="814">
                  <c:v>19775</c:v>
                </c:pt>
                <c:pt idx="815">
                  <c:v>19776</c:v>
                </c:pt>
                <c:pt idx="816">
                  <c:v>19777</c:v>
                </c:pt>
                <c:pt idx="817">
                  <c:v>19778</c:v>
                </c:pt>
                <c:pt idx="818">
                  <c:v>19779</c:v>
                </c:pt>
                <c:pt idx="819">
                  <c:v>19780</c:v>
                </c:pt>
                <c:pt idx="820">
                  <c:v>20150</c:v>
                </c:pt>
                <c:pt idx="821">
                  <c:v>20151</c:v>
                </c:pt>
                <c:pt idx="822">
                  <c:v>20152</c:v>
                </c:pt>
                <c:pt idx="823">
                  <c:v>20153</c:v>
                </c:pt>
                <c:pt idx="824">
                  <c:v>20154</c:v>
                </c:pt>
                <c:pt idx="825">
                  <c:v>20155</c:v>
                </c:pt>
                <c:pt idx="826">
                  <c:v>20156</c:v>
                </c:pt>
                <c:pt idx="827">
                  <c:v>20157</c:v>
                </c:pt>
                <c:pt idx="828">
                  <c:v>20158</c:v>
                </c:pt>
                <c:pt idx="829">
                  <c:v>20159</c:v>
                </c:pt>
                <c:pt idx="830">
                  <c:v>20160</c:v>
                </c:pt>
                <c:pt idx="831">
                  <c:v>20161</c:v>
                </c:pt>
                <c:pt idx="832">
                  <c:v>20162</c:v>
                </c:pt>
                <c:pt idx="833">
                  <c:v>20163</c:v>
                </c:pt>
                <c:pt idx="834">
                  <c:v>20164</c:v>
                </c:pt>
                <c:pt idx="835">
                  <c:v>20165</c:v>
                </c:pt>
                <c:pt idx="836">
                  <c:v>20166</c:v>
                </c:pt>
                <c:pt idx="837">
                  <c:v>20167</c:v>
                </c:pt>
                <c:pt idx="838">
                  <c:v>20168</c:v>
                </c:pt>
                <c:pt idx="839">
                  <c:v>20169</c:v>
                </c:pt>
                <c:pt idx="840">
                  <c:v>20434</c:v>
                </c:pt>
                <c:pt idx="841">
                  <c:v>20435</c:v>
                </c:pt>
                <c:pt idx="842">
                  <c:v>20436</c:v>
                </c:pt>
                <c:pt idx="843">
                  <c:v>20437</c:v>
                </c:pt>
                <c:pt idx="844">
                  <c:v>20438</c:v>
                </c:pt>
                <c:pt idx="845">
                  <c:v>20439</c:v>
                </c:pt>
                <c:pt idx="846">
                  <c:v>20440</c:v>
                </c:pt>
                <c:pt idx="847">
                  <c:v>20441</c:v>
                </c:pt>
                <c:pt idx="848">
                  <c:v>20442</c:v>
                </c:pt>
                <c:pt idx="849">
                  <c:v>20443</c:v>
                </c:pt>
                <c:pt idx="850">
                  <c:v>20444</c:v>
                </c:pt>
                <c:pt idx="851">
                  <c:v>20445</c:v>
                </c:pt>
                <c:pt idx="852">
                  <c:v>20446</c:v>
                </c:pt>
                <c:pt idx="853">
                  <c:v>20447</c:v>
                </c:pt>
                <c:pt idx="854">
                  <c:v>20448</c:v>
                </c:pt>
                <c:pt idx="855">
                  <c:v>20449</c:v>
                </c:pt>
                <c:pt idx="856">
                  <c:v>20450</c:v>
                </c:pt>
                <c:pt idx="857">
                  <c:v>20451</c:v>
                </c:pt>
                <c:pt idx="858">
                  <c:v>20452</c:v>
                </c:pt>
                <c:pt idx="859">
                  <c:v>20453</c:v>
                </c:pt>
                <c:pt idx="860">
                  <c:v>20845</c:v>
                </c:pt>
                <c:pt idx="861">
                  <c:v>20846</c:v>
                </c:pt>
                <c:pt idx="862">
                  <c:v>20847</c:v>
                </c:pt>
                <c:pt idx="863">
                  <c:v>20848</c:v>
                </c:pt>
                <c:pt idx="864">
                  <c:v>20849</c:v>
                </c:pt>
                <c:pt idx="865">
                  <c:v>20850</c:v>
                </c:pt>
                <c:pt idx="866">
                  <c:v>20851</c:v>
                </c:pt>
                <c:pt idx="867">
                  <c:v>20852</c:v>
                </c:pt>
                <c:pt idx="868">
                  <c:v>20853</c:v>
                </c:pt>
                <c:pt idx="869">
                  <c:v>20854</c:v>
                </c:pt>
                <c:pt idx="870">
                  <c:v>20855</c:v>
                </c:pt>
                <c:pt idx="871">
                  <c:v>20856</c:v>
                </c:pt>
                <c:pt idx="872">
                  <c:v>20857</c:v>
                </c:pt>
                <c:pt idx="873">
                  <c:v>20858</c:v>
                </c:pt>
                <c:pt idx="874">
                  <c:v>20859</c:v>
                </c:pt>
                <c:pt idx="875">
                  <c:v>20860</c:v>
                </c:pt>
                <c:pt idx="876">
                  <c:v>20861</c:v>
                </c:pt>
                <c:pt idx="877">
                  <c:v>20862</c:v>
                </c:pt>
                <c:pt idx="878">
                  <c:v>20863</c:v>
                </c:pt>
                <c:pt idx="879">
                  <c:v>20864</c:v>
                </c:pt>
                <c:pt idx="880">
                  <c:v>21485</c:v>
                </c:pt>
                <c:pt idx="881">
                  <c:v>21486</c:v>
                </c:pt>
                <c:pt idx="882">
                  <c:v>21487</c:v>
                </c:pt>
                <c:pt idx="883">
                  <c:v>21488</c:v>
                </c:pt>
                <c:pt idx="884">
                  <c:v>21489</c:v>
                </c:pt>
                <c:pt idx="885">
                  <c:v>21490</c:v>
                </c:pt>
                <c:pt idx="886">
                  <c:v>21491</c:v>
                </c:pt>
                <c:pt idx="887">
                  <c:v>21492</c:v>
                </c:pt>
                <c:pt idx="888">
                  <c:v>21493</c:v>
                </c:pt>
                <c:pt idx="889">
                  <c:v>21494</c:v>
                </c:pt>
                <c:pt idx="890">
                  <c:v>21495</c:v>
                </c:pt>
                <c:pt idx="891">
                  <c:v>21496</c:v>
                </c:pt>
                <c:pt idx="892">
                  <c:v>21497</c:v>
                </c:pt>
                <c:pt idx="893">
                  <c:v>21498</c:v>
                </c:pt>
                <c:pt idx="894">
                  <c:v>21499</c:v>
                </c:pt>
                <c:pt idx="895">
                  <c:v>21500</c:v>
                </c:pt>
                <c:pt idx="896">
                  <c:v>21501</c:v>
                </c:pt>
                <c:pt idx="897">
                  <c:v>21502</c:v>
                </c:pt>
                <c:pt idx="898">
                  <c:v>21503</c:v>
                </c:pt>
                <c:pt idx="899">
                  <c:v>21504</c:v>
                </c:pt>
                <c:pt idx="900">
                  <c:v>21839</c:v>
                </c:pt>
                <c:pt idx="901">
                  <c:v>21840</c:v>
                </c:pt>
                <c:pt idx="902">
                  <c:v>21841</c:v>
                </c:pt>
                <c:pt idx="903">
                  <c:v>21842</c:v>
                </c:pt>
                <c:pt idx="904">
                  <c:v>21843</c:v>
                </c:pt>
                <c:pt idx="905">
                  <c:v>21844</c:v>
                </c:pt>
                <c:pt idx="906">
                  <c:v>21845</c:v>
                </c:pt>
                <c:pt idx="907">
                  <c:v>21846</c:v>
                </c:pt>
                <c:pt idx="908">
                  <c:v>21847</c:v>
                </c:pt>
                <c:pt idx="909">
                  <c:v>21848</c:v>
                </c:pt>
                <c:pt idx="910">
                  <c:v>21849</c:v>
                </c:pt>
                <c:pt idx="911">
                  <c:v>21850</c:v>
                </c:pt>
                <c:pt idx="912">
                  <c:v>21851</c:v>
                </c:pt>
                <c:pt idx="913">
                  <c:v>21852</c:v>
                </c:pt>
                <c:pt idx="914">
                  <c:v>21853</c:v>
                </c:pt>
                <c:pt idx="915">
                  <c:v>21854</c:v>
                </c:pt>
                <c:pt idx="916">
                  <c:v>21855</c:v>
                </c:pt>
                <c:pt idx="917">
                  <c:v>21856</c:v>
                </c:pt>
                <c:pt idx="918">
                  <c:v>21857</c:v>
                </c:pt>
                <c:pt idx="919">
                  <c:v>21858</c:v>
                </c:pt>
                <c:pt idx="920">
                  <c:v>22846</c:v>
                </c:pt>
                <c:pt idx="921">
                  <c:v>22847</c:v>
                </c:pt>
                <c:pt idx="922">
                  <c:v>22848</c:v>
                </c:pt>
                <c:pt idx="923">
                  <c:v>22849</c:v>
                </c:pt>
                <c:pt idx="924">
                  <c:v>22850</c:v>
                </c:pt>
                <c:pt idx="925">
                  <c:v>22851</c:v>
                </c:pt>
                <c:pt idx="926">
                  <c:v>22852</c:v>
                </c:pt>
                <c:pt idx="927">
                  <c:v>22853</c:v>
                </c:pt>
                <c:pt idx="928">
                  <c:v>22854</c:v>
                </c:pt>
                <c:pt idx="929">
                  <c:v>22855</c:v>
                </c:pt>
                <c:pt idx="930">
                  <c:v>22856</c:v>
                </c:pt>
                <c:pt idx="931">
                  <c:v>22857</c:v>
                </c:pt>
                <c:pt idx="932">
                  <c:v>22858</c:v>
                </c:pt>
                <c:pt idx="933">
                  <c:v>22859</c:v>
                </c:pt>
                <c:pt idx="934">
                  <c:v>22860</c:v>
                </c:pt>
                <c:pt idx="935">
                  <c:v>22861</c:v>
                </c:pt>
                <c:pt idx="936">
                  <c:v>22862</c:v>
                </c:pt>
                <c:pt idx="937">
                  <c:v>22863</c:v>
                </c:pt>
                <c:pt idx="938">
                  <c:v>22864</c:v>
                </c:pt>
                <c:pt idx="939">
                  <c:v>22865</c:v>
                </c:pt>
                <c:pt idx="940">
                  <c:v>23670</c:v>
                </c:pt>
                <c:pt idx="941">
                  <c:v>23671</c:v>
                </c:pt>
                <c:pt idx="942">
                  <c:v>23672</c:v>
                </c:pt>
                <c:pt idx="943">
                  <c:v>23673</c:v>
                </c:pt>
                <c:pt idx="944">
                  <c:v>23674</c:v>
                </c:pt>
                <c:pt idx="945">
                  <c:v>23675</c:v>
                </c:pt>
                <c:pt idx="946">
                  <c:v>23676</c:v>
                </c:pt>
                <c:pt idx="947">
                  <c:v>23677</c:v>
                </c:pt>
                <c:pt idx="948">
                  <c:v>23678</c:v>
                </c:pt>
                <c:pt idx="949">
                  <c:v>23679</c:v>
                </c:pt>
                <c:pt idx="950">
                  <c:v>23680</c:v>
                </c:pt>
                <c:pt idx="951">
                  <c:v>23681</c:v>
                </c:pt>
                <c:pt idx="952">
                  <c:v>23682</c:v>
                </c:pt>
                <c:pt idx="953">
                  <c:v>23683</c:v>
                </c:pt>
                <c:pt idx="954">
                  <c:v>23684</c:v>
                </c:pt>
                <c:pt idx="955">
                  <c:v>23685</c:v>
                </c:pt>
                <c:pt idx="956">
                  <c:v>23686</c:v>
                </c:pt>
                <c:pt idx="957">
                  <c:v>23687</c:v>
                </c:pt>
                <c:pt idx="958">
                  <c:v>23688</c:v>
                </c:pt>
                <c:pt idx="959">
                  <c:v>23689</c:v>
                </c:pt>
                <c:pt idx="960">
                  <c:v>23690</c:v>
                </c:pt>
                <c:pt idx="961">
                  <c:v>23691</c:v>
                </c:pt>
                <c:pt idx="962">
                  <c:v>23692</c:v>
                </c:pt>
                <c:pt idx="963">
                  <c:v>23693</c:v>
                </c:pt>
                <c:pt idx="964">
                  <c:v>23694</c:v>
                </c:pt>
                <c:pt idx="965">
                  <c:v>23695</c:v>
                </c:pt>
                <c:pt idx="966">
                  <c:v>23696</c:v>
                </c:pt>
                <c:pt idx="967">
                  <c:v>23697</c:v>
                </c:pt>
                <c:pt idx="968">
                  <c:v>23698</c:v>
                </c:pt>
                <c:pt idx="969">
                  <c:v>23699</c:v>
                </c:pt>
                <c:pt idx="970">
                  <c:v>23700</c:v>
                </c:pt>
                <c:pt idx="971">
                  <c:v>23701</c:v>
                </c:pt>
                <c:pt idx="972">
                  <c:v>23702</c:v>
                </c:pt>
                <c:pt idx="973">
                  <c:v>23703</c:v>
                </c:pt>
                <c:pt idx="974">
                  <c:v>23704</c:v>
                </c:pt>
                <c:pt idx="975">
                  <c:v>23705</c:v>
                </c:pt>
                <c:pt idx="976">
                  <c:v>23706</c:v>
                </c:pt>
                <c:pt idx="977">
                  <c:v>23707</c:v>
                </c:pt>
                <c:pt idx="978">
                  <c:v>23708</c:v>
                </c:pt>
                <c:pt idx="979">
                  <c:v>23709</c:v>
                </c:pt>
              </c:numCache>
            </c:numRef>
          </c:xVal>
          <c:yVal>
            <c:numRef>
              <c:f>'Interpolated Physical'!$H$2:$H$981</c:f>
              <c:numCache>
                <c:formatCode>General</c:formatCode>
                <c:ptCount val="980"/>
                <c:pt idx="0" formatCode="0.0000">
                  <c:v>-32</c:v>
                </c:pt>
                <c:pt idx="260">
                  <c:v>-38</c:v>
                </c:pt>
                <c:pt idx="520">
                  <c:v>-38</c:v>
                </c:pt>
                <c:pt idx="740">
                  <c:v>-39</c:v>
                </c:pt>
                <c:pt idx="800">
                  <c:v>-39</c:v>
                </c:pt>
                <c:pt idx="920">
                  <c:v>-40</c:v>
                </c:pt>
                <c:pt idx="979">
                  <c:v>-40</c:v>
                </c:pt>
              </c:numCache>
            </c:numRef>
          </c:yVal>
          <c:smooth val="0"/>
          <c:extLst>
            <c:ext xmlns:c16="http://schemas.microsoft.com/office/drawing/2014/chart" uri="{C3380CC4-5D6E-409C-BE32-E72D297353CC}">
              <c16:uniqueId val="{00000001-19C9-479B-854F-60D2483147D9}"/>
            </c:ext>
          </c:extLst>
        </c:ser>
        <c:dLbls>
          <c:showLegendKey val="0"/>
          <c:showVal val="0"/>
          <c:showCatName val="0"/>
          <c:showSerName val="0"/>
          <c:showPercent val="0"/>
          <c:showBubbleSize val="0"/>
        </c:dLbls>
        <c:axId val="106302463"/>
        <c:axId val="106302047"/>
      </c:scatterChart>
      <c:valAx>
        <c:axId val="106302463"/>
        <c:scaling>
          <c:orientation val="minMax"/>
        </c:scaling>
        <c:delete val="0"/>
        <c:axPos val="b"/>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06302047"/>
        <c:crosses val="autoZero"/>
        <c:crossBetween val="midCat"/>
      </c:valAx>
      <c:valAx>
        <c:axId val="106302047"/>
        <c:scaling>
          <c:orientation val="minMax"/>
        </c:scaling>
        <c:delete val="0"/>
        <c:axPos val="l"/>
        <c:numFmt formatCode="0.00" sourceLinked="0"/>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06302463"/>
        <c:crosses val="autoZero"/>
        <c:crossBetween val="midCat"/>
      </c:valAx>
      <c:spPr>
        <a:noFill/>
        <a:ln w="3175">
          <a:solidFill>
            <a:schemeClr val="tx1"/>
          </a:solidFill>
        </a:ln>
        <a:effectLst/>
      </c:spPr>
    </c:plotArea>
    <c:legend>
      <c:legendPos val="r"/>
      <c:layout>
        <c:manualLayout>
          <c:xMode val="edge"/>
          <c:yMode val="edge"/>
          <c:x val="0.68091975353946266"/>
          <c:y val="0.12575422454215698"/>
          <c:w val="0.25453203509465955"/>
          <c:h val="0.14961021963103641"/>
        </c:manualLayout>
      </c:layout>
      <c:overlay val="1"/>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Garamond" panose="02020404030301010803" pitchFamily="18" charset="0"/>
        </a:defRPr>
      </a:pPr>
      <a:endParaRPr lang="sr-Latn-R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0"/>
          <c:tx>
            <c:strRef>
              <c:f>'Charts and Results'!$I$2</c:f>
              <c:strCache>
                <c:ptCount val="1"/>
                <c:pt idx="0">
                  <c:v>Nominal Working Pressure</c:v>
                </c:pt>
              </c:strCache>
            </c:strRef>
          </c:tx>
          <c:spPr>
            <a:noFill/>
            <a:ln w="3175">
              <a:solidFill>
                <a:srgbClr val="0000FF"/>
              </a:solidFill>
            </a:ln>
            <a:effectLst/>
          </c:spPr>
          <c:invertIfNegative val="0"/>
          <c:cat>
            <c:strRef>
              <c:f>'Charts and Results'!$I$3:$I$8</c:f>
              <c:strCache>
                <c:ptCount val="6"/>
                <c:pt idx="0">
                  <c:v>&lt;65 bar</c:v>
                </c:pt>
                <c:pt idx="1">
                  <c:v>66-139 bar</c:v>
                </c:pt>
                <c:pt idx="2">
                  <c:v>141-210 bar</c:v>
                </c:pt>
                <c:pt idx="3">
                  <c:v>211-350 bar</c:v>
                </c:pt>
                <c:pt idx="4">
                  <c:v>351-550 bar</c:v>
                </c:pt>
                <c:pt idx="5">
                  <c:v>&gt;550 bar</c:v>
                </c:pt>
              </c:strCache>
            </c:strRef>
          </c:cat>
          <c:val>
            <c:numRef>
              <c:f>'Charts and Results'!$K$3:$K$8</c:f>
              <c:numCache>
                <c:formatCode>0%</c:formatCode>
                <c:ptCount val="6"/>
                <c:pt idx="0">
                  <c:v>0.12264150943396226</c:v>
                </c:pt>
                <c:pt idx="1">
                  <c:v>0.28301886792452829</c:v>
                </c:pt>
                <c:pt idx="2">
                  <c:v>0.330188679245283</c:v>
                </c:pt>
                <c:pt idx="3">
                  <c:v>0.17924528301886791</c:v>
                </c:pt>
                <c:pt idx="4">
                  <c:v>6.6037735849056603E-2</c:v>
                </c:pt>
                <c:pt idx="5">
                  <c:v>1.8867924528301886E-2</c:v>
                </c:pt>
              </c:numCache>
            </c:numRef>
          </c:val>
          <c:extLst>
            <c:ext xmlns:c16="http://schemas.microsoft.com/office/drawing/2014/chart" uri="{C3380CC4-5D6E-409C-BE32-E72D297353CC}">
              <c16:uniqueId val="{00000000-D0CA-4DE9-AD17-78C1E1C4A79C}"/>
            </c:ext>
          </c:extLst>
        </c:ser>
        <c:dLbls>
          <c:showLegendKey val="0"/>
          <c:showVal val="0"/>
          <c:showCatName val="0"/>
          <c:showSerName val="0"/>
          <c:showPercent val="0"/>
          <c:showBubbleSize val="0"/>
        </c:dLbls>
        <c:gapWidth val="182"/>
        <c:axId val="1331600879"/>
        <c:axId val="1331584239"/>
      </c:barChart>
      <c:catAx>
        <c:axId val="1331600879"/>
        <c:scaling>
          <c:orientation val="minMax"/>
        </c:scaling>
        <c:delete val="0"/>
        <c:axPos val="l"/>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331584239"/>
        <c:crosses val="autoZero"/>
        <c:auto val="1"/>
        <c:lblAlgn val="ctr"/>
        <c:lblOffset val="100"/>
        <c:noMultiLvlLbl val="0"/>
      </c:catAx>
      <c:valAx>
        <c:axId val="1331584239"/>
        <c:scaling>
          <c:orientation val="minMax"/>
          <c:max val="0.4"/>
        </c:scaling>
        <c:delete val="0"/>
        <c:axPos val="b"/>
        <c:numFmt formatCode="0%" sourceLinked="1"/>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331600879"/>
        <c:crosses val="autoZero"/>
        <c:crossBetween val="between"/>
      </c:valAx>
      <c:spPr>
        <a:noFill/>
        <a:ln w="3175">
          <a:solidFill>
            <a:schemeClr val="tx1"/>
          </a:solidFill>
        </a:ln>
        <a:effectLst/>
      </c:spPr>
    </c:plotArea>
    <c:legend>
      <c:legendPos val="b"/>
      <c:layout>
        <c:manualLayout>
          <c:xMode val="edge"/>
          <c:yMode val="edge"/>
          <c:x val="0.34526735862562635"/>
          <c:y val="6.9843502991520867E-2"/>
          <c:w val="0.55981317108088757"/>
          <c:h val="0.10651793525809274"/>
        </c:manualLayout>
      </c:layout>
      <c:overlay val="1"/>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Garamond" panose="02020404030301010803" pitchFamily="18" charset="0"/>
        </a:defRPr>
      </a:pPr>
      <a:endParaRPr lang="sr-Latn-RS"/>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'Interpolated Physical'!$I$1</c:f>
              <c:strCache>
                <c:ptCount val="1"/>
                <c:pt idx="0">
                  <c:v>Water [ppm]</c:v>
                </c:pt>
              </c:strCache>
            </c:strRef>
          </c:tx>
          <c:spPr>
            <a:ln w="25400" cap="rnd">
              <a:noFill/>
              <a:round/>
            </a:ln>
            <a:effectLst/>
          </c:spPr>
          <c:marker>
            <c:symbol val="square"/>
            <c:size val="10"/>
            <c:spPr>
              <a:noFill/>
              <a:ln w="3175">
                <a:solidFill>
                  <a:srgbClr val="0000FF"/>
                </a:solidFill>
              </a:ln>
              <a:effectLst/>
            </c:spPr>
          </c:marker>
          <c:trendline>
            <c:spPr>
              <a:ln w="3175" cap="rnd">
                <a:solidFill>
                  <a:srgbClr val="FF0000"/>
                </a:solidFill>
                <a:prstDash val="lgDash"/>
              </a:ln>
              <a:effectLst/>
            </c:spPr>
            <c:trendlineType val="power"/>
            <c:dispRSqr val="1"/>
            <c:dispEq val="1"/>
            <c:trendlineLbl>
              <c:layout>
                <c:manualLayout>
                  <c:x val="2.9526810594935976E-2"/>
                  <c:y val="-0.18879705042549583"/>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rendlineLbl>
          </c:trendline>
          <c:xVal>
            <c:numRef>
              <c:f>'Interpolated Physical'!$A$2:$A$981</c:f>
              <c:numCache>
                <c:formatCode>General</c:formatCode>
                <c:ptCount val="98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432</c:v>
                </c:pt>
                <c:pt idx="21">
                  <c:v>433</c:v>
                </c:pt>
                <c:pt idx="22">
                  <c:v>434</c:v>
                </c:pt>
                <c:pt idx="23">
                  <c:v>435</c:v>
                </c:pt>
                <c:pt idx="24">
                  <c:v>436</c:v>
                </c:pt>
                <c:pt idx="25">
                  <c:v>437</c:v>
                </c:pt>
                <c:pt idx="26">
                  <c:v>438</c:v>
                </c:pt>
                <c:pt idx="27">
                  <c:v>439</c:v>
                </c:pt>
                <c:pt idx="28">
                  <c:v>440</c:v>
                </c:pt>
                <c:pt idx="29">
                  <c:v>441</c:v>
                </c:pt>
                <c:pt idx="30">
                  <c:v>442</c:v>
                </c:pt>
                <c:pt idx="31">
                  <c:v>443</c:v>
                </c:pt>
                <c:pt idx="32">
                  <c:v>444</c:v>
                </c:pt>
                <c:pt idx="33">
                  <c:v>445</c:v>
                </c:pt>
                <c:pt idx="34">
                  <c:v>446</c:v>
                </c:pt>
                <c:pt idx="35">
                  <c:v>447</c:v>
                </c:pt>
                <c:pt idx="36">
                  <c:v>448</c:v>
                </c:pt>
                <c:pt idx="37">
                  <c:v>449</c:v>
                </c:pt>
                <c:pt idx="38">
                  <c:v>450</c:v>
                </c:pt>
                <c:pt idx="39">
                  <c:v>451</c:v>
                </c:pt>
                <c:pt idx="40">
                  <c:v>818</c:v>
                </c:pt>
                <c:pt idx="41">
                  <c:v>819</c:v>
                </c:pt>
                <c:pt idx="42">
                  <c:v>820</c:v>
                </c:pt>
                <c:pt idx="43">
                  <c:v>821</c:v>
                </c:pt>
                <c:pt idx="44">
                  <c:v>822</c:v>
                </c:pt>
                <c:pt idx="45">
                  <c:v>823</c:v>
                </c:pt>
                <c:pt idx="46">
                  <c:v>824</c:v>
                </c:pt>
                <c:pt idx="47">
                  <c:v>825</c:v>
                </c:pt>
                <c:pt idx="48">
                  <c:v>826</c:v>
                </c:pt>
                <c:pt idx="49">
                  <c:v>827</c:v>
                </c:pt>
                <c:pt idx="50">
                  <c:v>828</c:v>
                </c:pt>
                <c:pt idx="51">
                  <c:v>829</c:v>
                </c:pt>
                <c:pt idx="52">
                  <c:v>830</c:v>
                </c:pt>
                <c:pt idx="53">
                  <c:v>831</c:v>
                </c:pt>
                <c:pt idx="54">
                  <c:v>832</c:v>
                </c:pt>
                <c:pt idx="55">
                  <c:v>833</c:v>
                </c:pt>
                <c:pt idx="56">
                  <c:v>834</c:v>
                </c:pt>
                <c:pt idx="57">
                  <c:v>835</c:v>
                </c:pt>
                <c:pt idx="58">
                  <c:v>836</c:v>
                </c:pt>
                <c:pt idx="59">
                  <c:v>837</c:v>
                </c:pt>
                <c:pt idx="60">
                  <c:v>1057</c:v>
                </c:pt>
                <c:pt idx="61">
                  <c:v>1058</c:v>
                </c:pt>
                <c:pt idx="62">
                  <c:v>1059</c:v>
                </c:pt>
                <c:pt idx="63">
                  <c:v>1060</c:v>
                </c:pt>
                <c:pt idx="64">
                  <c:v>1061</c:v>
                </c:pt>
                <c:pt idx="65">
                  <c:v>1062</c:v>
                </c:pt>
                <c:pt idx="66">
                  <c:v>1063</c:v>
                </c:pt>
                <c:pt idx="67">
                  <c:v>1064</c:v>
                </c:pt>
                <c:pt idx="68">
                  <c:v>1065</c:v>
                </c:pt>
                <c:pt idx="69">
                  <c:v>1066</c:v>
                </c:pt>
                <c:pt idx="70">
                  <c:v>1067</c:v>
                </c:pt>
                <c:pt idx="71">
                  <c:v>1068</c:v>
                </c:pt>
                <c:pt idx="72">
                  <c:v>1069</c:v>
                </c:pt>
                <c:pt idx="73">
                  <c:v>1070</c:v>
                </c:pt>
                <c:pt idx="74">
                  <c:v>1071</c:v>
                </c:pt>
                <c:pt idx="75">
                  <c:v>1072</c:v>
                </c:pt>
                <c:pt idx="76">
                  <c:v>1073</c:v>
                </c:pt>
                <c:pt idx="77">
                  <c:v>1074</c:v>
                </c:pt>
                <c:pt idx="78">
                  <c:v>1075</c:v>
                </c:pt>
                <c:pt idx="79">
                  <c:v>1076</c:v>
                </c:pt>
                <c:pt idx="80">
                  <c:v>1407</c:v>
                </c:pt>
                <c:pt idx="81">
                  <c:v>1408</c:v>
                </c:pt>
                <c:pt idx="82">
                  <c:v>1409</c:v>
                </c:pt>
                <c:pt idx="83">
                  <c:v>1410</c:v>
                </c:pt>
                <c:pt idx="84">
                  <c:v>1411</c:v>
                </c:pt>
                <c:pt idx="85">
                  <c:v>1412</c:v>
                </c:pt>
                <c:pt idx="86">
                  <c:v>1413</c:v>
                </c:pt>
                <c:pt idx="87">
                  <c:v>1414</c:v>
                </c:pt>
                <c:pt idx="88">
                  <c:v>1415</c:v>
                </c:pt>
                <c:pt idx="89">
                  <c:v>1416</c:v>
                </c:pt>
                <c:pt idx="90">
                  <c:v>1417</c:v>
                </c:pt>
                <c:pt idx="91">
                  <c:v>1418</c:v>
                </c:pt>
                <c:pt idx="92">
                  <c:v>1419</c:v>
                </c:pt>
                <c:pt idx="93">
                  <c:v>1420</c:v>
                </c:pt>
                <c:pt idx="94">
                  <c:v>1421</c:v>
                </c:pt>
                <c:pt idx="95">
                  <c:v>1422</c:v>
                </c:pt>
                <c:pt idx="96">
                  <c:v>1423</c:v>
                </c:pt>
                <c:pt idx="97">
                  <c:v>1424</c:v>
                </c:pt>
                <c:pt idx="98">
                  <c:v>1425</c:v>
                </c:pt>
                <c:pt idx="99">
                  <c:v>1426</c:v>
                </c:pt>
                <c:pt idx="100">
                  <c:v>1618</c:v>
                </c:pt>
                <c:pt idx="101">
                  <c:v>1619</c:v>
                </c:pt>
                <c:pt idx="102">
                  <c:v>1620</c:v>
                </c:pt>
                <c:pt idx="103">
                  <c:v>1621</c:v>
                </c:pt>
                <c:pt idx="104">
                  <c:v>1622</c:v>
                </c:pt>
                <c:pt idx="105">
                  <c:v>1623</c:v>
                </c:pt>
                <c:pt idx="106">
                  <c:v>1624</c:v>
                </c:pt>
                <c:pt idx="107">
                  <c:v>1625</c:v>
                </c:pt>
                <c:pt idx="108">
                  <c:v>1626</c:v>
                </c:pt>
                <c:pt idx="109">
                  <c:v>1627</c:v>
                </c:pt>
                <c:pt idx="110">
                  <c:v>1628</c:v>
                </c:pt>
                <c:pt idx="111">
                  <c:v>1629</c:v>
                </c:pt>
                <c:pt idx="112">
                  <c:v>1630</c:v>
                </c:pt>
                <c:pt idx="113">
                  <c:v>1631</c:v>
                </c:pt>
                <c:pt idx="114">
                  <c:v>1632</c:v>
                </c:pt>
                <c:pt idx="115">
                  <c:v>1633</c:v>
                </c:pt>
                <c:pt idx="116">
                  <c:v>1634</c:v>
                </c:pt>
                <c:pt idx="117">
                  <c:v>1635</c:v>
                </c:pt>
                <c:pt idx="118">
                  <c:v>1636</c:v>
                </c:pt>
                <c:pt idx="119">
                  <c:v>1637</c:v>
                </c:pt>
                <c:pt idx="120">
                  <c:v>2039</c:v>
                </c:pt>
                <c:pt idx="121">
                  <c:v>2040</c:v>
                </c:pt>
                <c:pt idx="122">
                  <c:v>2041</c:v>
                </c:pt>
                <c:pt idx="123">
                  <c:v>2042</c:v>
                </c:pt>
                <c:pt idx="124">
                  <c:v>2043</c:v>
                </c:pt>
                <c:pt idx="125">
                  <c:v>2044</c:v>
                </c:pt>
                <c:pt idx="126">
                  <c:v>2045</c:v>
                </c:pt>
                <c:pt idx="127">
                  <c:v>2046</c:v>
                </c:pt>
                <c:pt idx="128">
                  <c:v>2047</c:v>
                </c:pt>
                <c:pt idx="129">
                  <c:v>2048</c:v>
                </c:pt>
                <c:pt idx="130">
                  <c:v>2049</c:v>
                </c:pt>
                <c:pt idx="131">
                  <c:v>2050</c:v>
                </c:pt>
                <c:pt idx="132">
                  <c:v>2051</c:v>
                </c:pt>
                <c:pt idx="133">
                  <c:v>2052</c:v>
                </c:pt>
                <c:pt idx="134">
                  <c:v>2053</c:v>
                </c:pt>
                <c:pt idx="135">
                  <c:v>2054</c:v>
                </c:pt>
                <c:pt idx="136">
                  <c:v>2055</c:v>
                </c:pt>
                <c:pt idx="137">
                  <c:v>2056</c:v>
                </c:pt>
                <c:pt idx="138">
                  <c:v>2057</c:v>
                </c:pt>
                <c:pt idx="139">
                  <c:v>2058</c:v>
                </c:pt>
                <c:pt idx="140">
                  <c:v>2897</c:v>
                </c:pt>
                <c:pt idx="141">
                  <c:v>2898</c:v>
                </c:pt>
                <c:pt idx="142">
                  <c:v>2899</c:v>
                </c:pt>
                <c:pt idx="143">
                  <c:v>2900</c:v>
                </c:pt>
                <c:pt idx="144">
                  <c:v>2901</c:v>
                </c:pt>
                <c:pt idx="145">
                  <c:v>2902</c:v>
                </c:pt>
                <c:pt idx="146">
                  <c:v>2903</c:v>
                </c:pt>
                <c:pt idx="147">
                  <c:v>2904</c:v>
                </c:pt>
                <c:pt idx="148">
                  <c:v>2905</c:v>
                </c:pt>
                <c:pt idx="149">
                  <c:v>2906</c:v>
                </c:pt>
                <c:pt idx="150">
                  <c:v>2907</c:v>
                </c:pt>
                <c:pt idx="151">
                  <c:v>2908</c:v>
                </c:pt>
                <c:pt idx="152">
                  <c:v>2909</c:v>
                </c:pt>
                <c:pt idx="153">
                  <c:v>2910</c:v>
                </c:pt>
                <c:pt idx="154">
                  <c:v>2911</c:v>
                </c:pt>
                <c:pt idx="155">
                  <c:v>2912</c:v>
                </c:pt>
                <c:pt idx="156">
                  <c:v>2913</c:v>
                </c:pt>
                <c:pt idx="157">
                  <c:v>2914</c:v>
                </c:pt>
                <c:pt idx="158">
                  <c:v>2915</c:v>
                </c:pt>
                <c:pt idx="159">
                  <c:v>2916</c:v>
                </c:pt>
                <c:pt idx="160">
                  <c:v>3257</c:v>
                </c:pt>
                <c:pt idx="161">
                  <c:v>3258</c:v>
                </c:pt>
                <c:pt idx="162">
                  <c:v>3259</c:v>
                </c:pt>
                <c:pt idx="163">
                  <c:v>3260</c:v>
                </c:pt>
                <c:pt idx="164">
                  <c:v>3261</c:v>
                </c:pt>
                <c:pt idx="165">
                  <c:v>3262</c:v>
                </c:pt>
                <c:pt idx="166">
                  <c:v>3263</c:v>
                </c:pt>
                <c:pt idx="167">
                  <c:v>3264</c:v>
                </c:pt>
                <c:pt idx="168">
                  <c:v>3265</c:v>
                </c:pt>
                <c:pt idx="169">
                  <c:v>3266</c:v>
                </c:pt>
                <c:pt idx="170">
                  <c:v>3267</c:v>
                </c:pt>
                <c:pt idx="171">
                  <c:v>3268</c:v>
                </c:pt>
                <c:pt idx="172">
                  <c:v>3269</c:v>
                </c:pt>
                <c:pt idx="173">
                  <c:v>3270</c:v>
                </c:pt>
                <c:pt idx="174">
                  <c:v>3271</c:v>
                </c:pt>
                <c:pt idx="175">
                  <c:v>3272</c:v>
                </c:pt>
                <c:pt idx="176">
                  <c:v>3273</c:v>
                </c:pt>
                <c:pt idx="177">
                  <c:v>3274</c:v>
                </c:pt>
                <c:pt idx="178">
                  <c:v>3275</c:v>
                </c:pt>
                <c:pt idx="179">
                  <c:v>3276</c:v>
                </c:pt>
                <c:pt idx="180">
                  <c:v>4443</c:v>
                </c:pt>
                <c:pt idx="181">
                  <c:v>4445</c:v>
                </c:pt>
                <c:pt idx="182">
                  <c:v>4446</c:v>
                </c:pt>
                <c:pt idx="183">
                  <c:v>4447</c:v>
                </c:pt>
                <c:pt idx="184">
                  <c:v>4448</c:v>
                </c:pt>
                <c:pt idx="185">
                  <c:v>4449</c:v>
                </c:pt>
                <c:pt idx="186">
                  <c:v>4450</c:v>
                </c:pt>
                <c:pt idx="187">
                  <c:v>4451</c:v>
                </c:pt>
                <c:pt idx="188">
                  <c:v>4452</c:v>
                </c:pt>
                <c:pt idx="189">
                  <c:v>4453</c:v>
                </c:pt>
                <c:pt idx="190">
                  <c:v>4454</c:v>
                </c:pt>
                <c:pt idx="191">
                  <c:v>4455</c:v>
                </c:pt>
                <c:pt idx="192">
                  <c:v>4456</c:v>
                </c:pt>
                <c:pt idx="193">
                  <c:v>4457</c:v>
                </c:pt>
                <c:pt idx="194">
                  <c:v>4458</c:v>
                </c:pt>
                <c:pt idx="195">
                  <c:v>4459</c:v>
                </c:pt>
                <c:pt idx="196">
                  <c:v>4460</c:v>
                </c:pt>
                <c:pt idx="197">
                  <c:v>4461</c:v>
                </c:pt>
                <c:pt idx="198">
                  <c:v>4462</c:v>
                </c:pt>
                <c:pt idx="199">
                  <c:v>4463</c:v>
                </c:pt>
                <c:pt idx="200">
                  <c:v>4740</c:v>
                </c:pt>
                <c:pt idx="201">
                  <c:v>4741</c:v>
                </c:pt>
                <c:pt idx="202">
                  <c:v>4742</c:v>
                </c:pt>
                <c:pt idx="203">
                  <c:v>4743</c:v>
                </c:pt>
                <c:pt idx="204">
                  <c:v>4744</c:v>
                </c:pt>
                <c:pt idx="205">
                  <c:v>4745</c:v>
                </c:pt>
                <c:pt idx="206">
                  <c:v>4746</c:v>
                </c:pt>
                <c:pt idx="207">
                  <c:v>4747</c:v>
                </c:pt>
                <c:pt idx="208">
                  <c:v>4748</c:v>
                </c:pt>
                <c:pt idx="209">
                  <c:v>4749</c:v>
                </c:pt>
                <c:pt idx="210">
                  <c:v>4750</c:v>
                </c:pt>
                <c:pt idx="211">
                  <c:v>4751</c:v>
                </c:pt>
                <c:pt idx="212">
                  <c:v>4752</c:v>
                </c:pt>
                <c:pt idx="213">
                  <c:v>4753</c:v>
                </c:pt>
                <c:pt idx="214">
                  <c:v>4754</c:v>
                </c:pt>
                <c:pt idx="215">
                  <c:v>4755</c:v>
                </c:pt>
                <c:pt idx="216">
                  <c:v>4756</c:v>
                </c:pt>
                <c:pt idx="217">
                  <c:v>4757</c:v>
                </c:pt>
                <c:pt idx="218">
                  <c:v>4758</c:v>
                </c:pt>
                <c:pt idx="219">
                  <c:v>4759</c:v>
                </c:pt>
                <c:pt idx="220">
                  <c:v>5191</c:v>
                </c:pt>
                <c:pt idx="221">
                  <c:v>5192</c:v>
                </c:pt>
                <c:pt idx="222">
                  <c:v>5193</c:v>
                </c:pt>
                <c:pt idx="223">
                  <c:v>5194</c:v>
                </c:pt>
                <c:pt idx="224">
                  <c:v>5195</c:v>
                </c:pt>
                <c:pt idx="225">
                  <c:v>5196</c:v>
                </c:pt>
                <c:pt idx="226">
                  <c:v>5197</c:v>
                </c:pt>
                <c:pt idx="227">
                  <c:v>5198</c:v>
                </c:pt>
                <c:pt idx="228">
                  <c:v>5199</c:v>
                </c:pt>
                <c:pt idx="229">
                  <c:v>5200</c:v>
                </c:pt>
                <c:pt idx="230">
                  <c:v>5201</c:v>
                </c:pt>
                <c:pt idx="231">
                  <c:v>5202</c:v>
                </c:pt>
                <c:pt idx="232">
                  <c:v>5203</c:v>
                </c:pt>
                <c:pt idx="233">
                  <c:v>5204</c:v>
                </c:pt>
                <c:pt idx="234">
                  <c:v>5205</c:v>
                </c:pt>
                <c:pt idx="235">
                  <c:v>5206</c:v>
                </c:pt>
                <c:pt idx="236">
                  <c:v>5207</c:v>
                </c:pt>
                <c:pt idx="237">
                  <c:v>5208</c:v>
                </c:pt>
                <c:pt idx="238">
                  <c:v>5209</c:v>
                </c:pt>
                <c:pt idx="239">
                  <c:v>5210</c:v>
                </c:pt>
                <c:pt idx="240">
                  <c:v>5544</c:v>
                </c:pt>
                <c:pt idx="241">
                  <c:v>5545</c:v>
                </c:pt>
                <c:pt idx="242">
                  <c:v>5546</c:v>
                </c:pt>
                <c:pt idx="243">
                  <c:v>5547</c:v>
                </c:pt>
                <c:pt idx="244">
                  <c:v>5548</c:v>
                </c:pt>
                <c:pt idx="245">
                  <c:v>5549</c:v>
                </c:pt>
                <c:pt idx="246">
                  <c:v>5550</c:v>
                </c:pt>
                <c:pt idx="247">
                  <c:v>5551</c:v>
                </c:pt>
                <c:pt idx="248">
                  <c:v>5552</c:v>
                </c:pt>
                <c:pt idx="249">
                  <c:v>5553</c:v>
                </c:pt>
                <c:pt idx="250">
                  <c:v>5554</c:v>
                </c:pt>
                <c:pt idx="251">
                  <c:v>5555</c:v>
                </c:pt>
                <c:pt idx="252">
                  <c:v>5556</c:v>
                </c:pt>
                <c:pt idx="253">
                  <c:v>5557</c:v>
                </c:pt>
                <c:pt idx="254">
                  <c:v>5558</c:v>
                </c:pt>
                <c:pt idx="255">
                  <c:v>5559</c:v>
                </c:pt>
                <c:pt idx="256">
                  <c:v>5560</c:v>
                </c:pt>
                <c:pt idx="257">
                  <c:v>5561</c:v>
                </c:pt>
                <c:pt idx="258">
                  <c:v>5562</c:v>
                </c:pt>
                <c:pt idx="259">
                  <c:v>5563</c:v>
                </c:pt>
                <c:pt idx="260">
                  <c:v>5915</c:v>
                </c:pt>
                <c:pt idx="261">
                  <c:v>5916</c:v>
                </c:pt>
                <c:pt idx="262">
                  <c:v>5917</c:v>
                </c:pt>
                <c:pt idx="263">
                  <c:v>5918</c:v>
                </c:pt>
                <c:pt idx="264">
                  <c:v>5919</c:v>
                </c:pt>
                <c:pt idx="265">
                  <c:v>5920</c:v>
                </c:pt>
                <c:pt idx="266">
                  <c:v>5921</c:v>
                </c:pt>
                <c:pt idx="267">
                  <c:v>5922</c:v>
                </c:pt>
                <c:pt idx="268">
                  <c:v>5923</c:v>
                </c:pt>
                <c:pt idx="269">
                  <c:v>5924</c:v>
                </c:pt>
                <c:pt idx="270">
                  <c:v>5925</c:v>
                </c:pt>
                <c:pt idx="271">
                  <c:v>5926</c:v>
                </c:pt>
                <c:pt idx="272">
                  <c:v>5927</c:v>
                </c:pt>
                <c:pt idx="273">
                  <c:v>5928</c:v>
                </c:pt>
                <c:pt idx="274">
                  <c:v>5929</c:v>
                </c:pt>
                <c:pt idx="275">
                  <c:v>5930</c:v>
                </c:pt>
                <c:pt idx="276">
                  <c:v>5931</c:v>
                </c:pt>
                <c:pt idx="277">
                  <c:v>5932</c:v>
                </c:pt>
                <c:pt idx="278">
                  <c:v>5933</c:v>
                </c:pt>
                <c:pt idx="279">
                  <c:v>5934</c:v>
                </c:pt>
                <c:pt idx="280">
                  <c:v>6137</c:v>
                </c:pt>
                <c:pt idx="281">
                  <c:v>6138</c:v>
                </c:pt>
                <c:pt idx="282">
                  <c:v>6139</c:v>
                </c:pt>
                <c:pt idx="283">
                  <c:v>6140</c:v>
                </c:pt>
                <c:pt idx="284">
                  <c:v>6141</c:v>
                </c:pt>
                <c:pt idx="285">
                  <c:v>6142</c:v>
                </c:pt>
                <c:pt idx="286">
                  <c:v>6143</c:v>
                </c:pt>
                <c:pt idx="287">
                  <c:v>6144</c:v>
                </c:pt>
                <c:pt idx="288">
                  <c:v>6145</c:v>
                </c:pt>
                <c:pt idx="289">
                  <c:v>6146</c:v>
                </c:pt>
                <c:pt idx="290">
                  <c:v>6147</c:v>
                </c:pt>
                <c:pt idx="291">
                  <c:v>6148</c:v>
                </c:pt>
                <c:pt idx="292">
                  <c:v>6149</c:v>
                </c:pt>
                <c:pt idx="293">
                  <c:v>6150</c:v>
                </c:pt>
                <c:pt idx="294">
                  <c:v>6151</c:v>
                </c:pt>
                <c:pt idx="295">
                  <c:v>6152</c:v>
                </c:pt>
                <c:pt idx="296">
                  <c:v>6153</c:v>
                </c:pt>
                <c:pt idx="297">
                  <c:v>6154</c:v>
                </c:pt>
                <c:pt idx="298">
                  <c:v>6155</c:v>
                </c:pt>
                <c:pt idx="299">
                  <c:v>6156</c:v>
                </c:pt>
                <c:pt idx="300">
                  <c:v>6600</c:v>
                </c:pt>
                <c:pt idx="301">
                  <c:v>6601</c:v>
                </c:pt>
                <c:pt idx="302">
                  <c:v>6602</c:v>
                </c:pt>
                <c:pt idx="303">
                  <c:v>6603</c:v>
                </c:pt>
                <c:pt idx="304">
                  <c:v>6604</c:v>
                </c:pt>
                <c:pt idx="305">
                  <c:v>6605</c:v>
                </c:pt>
                <c:pt idx="306">
                  <c:v>6606</c:v>
                </c:pt>
                <c:pt idx="307">
                  <c:v>6607</c:v>
                </c:pt>
                <c:pt idx="308">
                  <c:v>6608</c:v>
                </c:pt>
                <c:pt idx="309">
                  <c:v>6609</c:v>
                </c:pt>
                <c:pt idx="310">
                  <c:v>6610</c:v>
                </c:pt>
                <c:pt idx="311">
                  <c:v>6611</c:v>
                </c:pt>
                <c:pt idx="312">
                  <c:v>6612</c:v>
                </c:pt>
                <c:pt idx="313">
                  <c:v>6613</c:v>
                </c:pt>
                <c:pt idx="314">
                  <c:v>6614</c:v>
                </c:pt>
                <c:pt idx="315">
                  <c:v>6615</c:v>
                </c:pt>
                <c:pt idx="316">
                  <c:v>6616</c:v>
                </c:pt>
                <c:pt idx="317">
                  <c:v>6617</c:v>
                </c:pt>
                <c:pt idx="318">
                  <c:v>6618</c:v>
                </c:pt>
                <c:pt idx="319">
                  <c:v>6619</c:v>
                </c:pt>
                <c:pt idx="320">
                  <c:v>6823</c:v>
                </c:pt>
                <c:pt idx="321">
                  <c:v>6824</c:v>
                </c:pt>
                <c:pt idx="322">
                  <c:v>6825</c:v>
                </c:pt>
                <c:pt idx="323">
                  <c:v>6826</c:v>
                </c:pt>
                <c:pt idx="324">
                  <c:v>6827</c:v>
                </c:pt>
                <c:pt idx="325">
                  <c:v>6828</c:v>
                </c:pt>
                <c:pt idx="326">
                  <c:v>6829</c:v>
                </c:pt>
                <c:pt idx="327">
                  <c:v>6830</c:v>
                </c:pt>
                <c:pt idx="328">
                  <c:v>6831</c:v>
                </c:pt>
                <c:pt idx="329">
                  <c:v>6832</c:v>
                </c:pt>
                <c:pt idx="330">
                  <c:v>6833</c:v>
                </c:pt>
                <c:pt idx="331">
                  <c:v>6834</c:v>
                </c:pt>
                <c:pt idx="332">
                  <c:v>6835</c:v>
                </c:pt>
                <c:pt idx="333">
                  <c:v>6836</c:v>
                </c:pt>
                <c:pt idx="334">
                  <c:v>6837</c:v>
                </c:pt>
                <c:pt idx="335">
                  <c:v>6838</c:v>
                </c:pt>
                <c:pt idx="336">
                  <c:v>6839</c:v>
                </c:pt>
                <c:pt idx="337">
                  <c:v>6840</c:v>
                </c:pt>
                <c:pt idx="338">
                  <c:v>6841</c:v>
                </c:pt>
                <c:pt idx="339">
                  <c:v>6842</c:v>
                </c:pt>
                <c:pt idx="340">
                  <c:v>7090</c:v>
                </c:pt>
                <c:pt idx="341">
                  <c:v>7091</c:v>
                </c:pt>
                <c:pt idx="342">
                  <c:v>7092</c:v>
                </c:pt>
                <c:pt idx="343">
                  <c:v>7093</c:v>
                </c:pt>
                <c:pt idx="344">
                  <c:v>7094</c:v>
                </c:pt>
                <c:pt idx="345">
                  <c:v>7095</c:v>
                </c:pt>
                <c:pt idx="346">
                  <c:v>7096</c:v>
                </c:pt>
                <c:pt idx="347">
                  <c:v>7097</c:v>
                </c:pt>
                <c:pt idx="348">
                  <c:v>7098</c:v>
                </c:pt>
                <c:pt idx="349">
                  <c:v>7099</c:v>
                </c:pt>
                <c:pt idx="350">
                  <c:v>7100</c:v>
                </c:pt>
                <c:pt idx="351">
                  <c:v>7101</c:v>
                </c:pt>
                <c:pt idx="352">
                  <c:v>7102</c:v>
                </c:pt>
                <c:pt idx="353">
                  <c:v>7103</c:v>
                </c:pt>
                <c:pt idx="354">
                  <c:v>7104</c:v>
                </c:pt>
                <c:pt idx="355">
                  <c:v>7105</c:v>
                </c:pt>
                <c:pt idx="356">
                  <c:v>7106</c:v>
                </c:pt>
                <c:pt idx="357">
                  <c:v>7107</c:v>
                </c:pt>
                <c:pt idx="358">
                  <c:v>7108</c:v>
                </c:pt>
                <c:pt idx="359">
                  <c:v>7109</c:v>
                </c:pt>
                <c:pt idx="360">
                  <c:v>7413</c:v>
                </c:pt>
                <c:pt idx="361">
                  <c:v>7414</c:v>
                </c:pt>
                <c:pt idx="362">
                  <c:v>7415</c:v>
                </c:pt>
                <c:pt idx="363">
                  <c:v>7416</c:v>
                </c:pt>
                <c:pt idx="364">
                  <c:v>7417</c:v>
                </c:pt>
                <c:pt idx="365">
                  <c:v>7418</c:v>
                </c:pt>
                <c:pt idx="366">
                  <c:v>7419</c:v>
                </c:pt>
                <c:pt idx="367">
                  <c:v>7420</c:v>
                </c:pt>
                <c:pt idx="368">
                  <c:v>7421</c:v>
                </c:pt>
                <c:pt idx="369">
                  <c:v>7422</c:v>
                </c:pt>
                <c:pt idx="370">
                  <c:v>7423</c:v>
                </c:pt>
                <c:pt idx="371">
                  <c:v>7424</c:v>
                </c:pt>
                <c:pt idx="372">
                  <c:v>7425</c:v>
                </c:pt>
                <c:pt idx="373">
                  <c:v>7426</c:v>
                </c:pt>
                <c:pt idx="374">
                  <c:v>7427</c:v>
                </c:pt>
                <c:pt idx="375">
                  <c:v>7428</c:v>
                </c:pt>
                <c:pt idx="376">
                  <c:v>7429</c:v>
                </c:pt>
                <c:pt idx="377">
                  <c:v>7430</c:v>
                </c:pt>
                <c:pt idx="378">
                  <c:v>7431</c:v>
                </c:pt>
                <c:pt idx="379">
                  <c:v>7432</c:v>
                </c:pt>
                <c:pt idx="380">
                  <c:v>7931</c:v>
                </c:pt>
                <c:pt idx="381">
                  <c:v>7932</c:v>
                </c:pt>
                <c:pt idx="382">
                  <c:v>7933</c:v>
                </c:pt>
                <c:pt idx="383">
                  <c:v>7934</c:v>
                </c:pt>
                <c:pt idx="384">
                  <c:v>7935</c:v>
                </c:pt>
                <c:pt idx="385">
                  <c:v>7936</c:v>
                </c:pt>
                <c:pt idx="386">
                  <c:v>7937</c:v>
                </c:pt>
                <c:pt idx="387">
                  <c:v>7938</c:v>
                </c:pt>
                <c:pt idx="388">
                  <c:v>7939</c:v>
                </c:pt>
                <c:pt idx="389">
                  <c:v>7940</c:v>
                </c:pt>
                <c:pt idx="390">
                  <c:v>7941</c:v>
                </c:pt>
                <c:pt idx="391">
                  <c:v>7942</c:v>
                </c:pt>
                <c:pt idx="392">
                  <c:v>7943</c:v>
                </c:pt>
                <c:pt idx="393">
                  <c:v>7944</c:v>
                </c:pt>
                <c:pt idx="394">
                  <c:v>7945</c:v>
                </c:pt>
                <c:pt idx="395">
                  <c:v>7946</c:v>
                </c:pt>
                <c:pt idx="396">
                  <c:v>7947</c:v>
                </c:pt>
                <c:pt idx="397">
                  <c:v>7948</c:v>
                </c:pt>
                <c:pt idx="398">
                  <c:v>7949</c:v>
                </c:pt>
                <c:pt idx="399">
                  <c:v>7950</c:v>
                </c:pt>
                <c:pt idx="400">
                  <c:v>8361</c:v>
                </c:pt>
                <c:pt idx="401">
                  <c:v>8362</c:v>
                </c:pt>
                <c:pt idx="402">
                  <c:v>8363</c:v>
                </c:pt>
                <c:pt idx="403">
                  <c:v>8364</c:v>
                </c:pt>
                <c:pt idx="404">
                  <c:v>8365</c:v>
                </c:pt>
                <c:pt idx="405">
                  <c:v>8366</c:v>
                </c:pt>
                <c:pt idx="406">
                  <c:v>8367</c:v>
                </c:pt>
                <c:pt idx="407">
                  <c:v>8368</c:v>
                </c:pt>
                <c:pt idx="408">
                  <c:v>8369</c:v>
                </c:pt>
                <c:pt idx="409">
                  <c:v>8370</c:v>
                </c:pt>
                <c:pt idx="410">
                  <c:v>8371</c:v>
                </c:pt>
                <c:pt idx="411">
                  <c:v>8372</c:v>
                </c:pt>
                <c:pt idx="412">
                  <c:v>8373</c:v>
                </c:pt>
                <c:pt idx="413">
                  <c:v>8374</c:v>
                </c:pt>
                <c:pt idx="414">
                  <c:v>8375</c:v>
                </c:pt>
                <c:pt idx="415">
                  <c:v>8376</c:v>
                </c:pt>
                <c:pt idx="416">
                  <c:v>8377</c:v>
                </c:pt>
                <c:pt idx="417">
                  <c:v>8378</c:v>
                </c:pt>
                <c:pt idx="418">
                  <c:v>8379</c:v>
                </c:pt>
                <c:pt idx="419">
                  <c:v>8380</c:v>
                </c:pt>
                <c:pt idx="420">
                  <c:v>8679</c:v>
                </c:pt>
                <c:pt idx="421">
                  <c:v>8680</c:v>
                </c:pt>
                <c:pt idx="422">
                  <c:v>8681</c:v>
                </c:pt>
                <c:pt idx="423">
                  <c:v>8682</c:v>
                </c:pt>
                <c:pt idx="424">
                  <c:v>8683</c:v>
                </c:pt>
                <c:pt idx="425">
                  <c:v>8684</c:v>
                </c:pt>
                <c:pt idx="426">
                  <c:v>8685</c:v>
                </c:pt>
                <c:pt idx="427">
                  <c:v>8686</c:v>
                </c:pt>
                <c:pt idx="428">
                  <c:v>8687</c:v>
                </c:pt>
                <c:pt idx="429">
                  <c:v>8688</c:v>
                </c:pt>
                <c:pt idx="430">
                  <c:v>8689</c:v>
                </c:pt>
                <c:pt idx="431">
                  <c:v>8690</c:v>
                </c:pt>
                <c:pt idx="432">
                  <c:v>8691</c:v>
                </c:pt>
                <c:pt idx="433">
                  <c:v>8692</c:v>
                </c:pt>
                <c:pt idx="434">
                  <c:v>8693</c:v>
                </c:pt>
                <c:pt idx="435">
                  <c:v>8694</c:v>
                </c:pt>
                <c:pt idx="436">
                  <c:v>8695</c:v>
                </c:pt>
                <c:pt idx="437">
                  <c:v>8696</c:v>
                </c:pt>
                <c:pt idx="438">
                  <c:v>8697</c:v>
                </c:pt>
                <c:pt idx="439">
                  <c:v>8698</c:v>
                </c:pt>
                <c:pt idx="440">
                  <c:v>9074</c:v>
                </c:pt>
                <c:pt idx="441">
                  <c:v>9075</c:v>
                </c:pt>
                <c:pt idx="442">
                  <c:v>9076</c:v>
                </c:pt>
                <c:pt idx="443">
                  <c:v>9077</c:v>
                </c:pt>
                <c:pt idx="444">
                  <c:v>9078</c:v>
                </c:pt>
                <c:pt idx="445">
                  <c:v>9079</c:v>
                </c:pt>
                <c:pt idx="446">
                  <c:v>9080</c:v>
                </c:pt>
                <c:pt idx="447">
                  <c:v>9081</c:v>
                </c:pt>
                <c:pt idx="448">
                  <c:v>9082</c:v>
                </c:pt>
                <c:pt idx="449">
                  <c:v>9083</c:v>
                </c:pt>
                <c:pt idx="450">
                  <c:v>9084</c:v>
                </c:pt>
                <c:pt idx="451">
                  <c:v>9085</c:v>
                </c:pt>
                <c:pt idx="452">
                  <c:v>9086</c:v>
                </c:pt>
                <c:pt idx="453">
                  <c:v>9087</c:v>
                </c:pt>
                <c:pt idx="454">
                  <c:v>9088</c:v>
                </c:pt>
                <c:pt idx="455">
                  <c:v>9089</c:v>
                </c:pt>
                <c:pt idx="456">
                  <c:v>9090</c:v>
                </c:pt>
                <c:pt idx="457">
                  <c:v>9091</c:v>
                </c:pt>
                <c:pt idx="458">
                  <c:v>9092</c:v>
                </c:pt>
                <c:pt idx="459">
                  <c:v>9093</c:v>
                </c:pt>
                <c:pt idx="460">
                  <c:v>9304</c:v>
                </c:pt>
                <c:pt idx="461">
                  <c:v>9305</c:v>
                </c:pt>
                <c:pt idx="462">
                  <c:v>9306</c:v>
                </c:pt>
                <c:pt idx="463">
                  <c:v>9307</c:v>
                </c:pt>
                <c:pt idx="464">
                  <c:v>9308</c:v>
                </c:pt>
                <c:pt idx="465">
                  <c:v>9309</c:v>
                </c:pt>
                <c:pt idx="466">
                  <c:v>9310</c:v>
                </c:pt>
                <c:pt idx="467">
                  <c:v>9311</c:v>
                </c:pt>
                <c:pt idx="468">
                  <c:v>9312</c:v>
                </c:pt>
                <c:pt idx="469">
                  <c:v>9313</c:v>
                </c:pt>
                <c:pt idx="470">
                  <c:v>9314</c:v>
                </c:pt>
                <c:pt idx="471">
                  <c:v>9315</c:v>
                </c:pt>
                <c:pt idx="472">
                  <c:v>9316</c:v>
                </c:pt>
                <c:pt idx="473">
                  <c:v>9317</c:v>
                </c:pt>
                <c:pt idx="474">
                  <c:v>9318</c:v>
                </c:pt>
                <c:pt idx="475">
                  <c:v>9319</c:v>
                </c:pt>
                <c:pt idx="476">
                  <c:v>9320</c:v>
                </c:pt>
                <c:pt idx="477">
                  <c:v>9321</c:v>
                </c:pt>
                <c:pt idx="478">
                  <c:v>9322</c:v>
                </c:pt>
                <c:pt idx="479">
                  <c:v>9323</c:v>
                </c:pt>
                <c:pt idx="480">
                  <c:v>9774</c:v>
                </c:pt>
                <c:pt idx="481">
                  <c:v>9775</c:v>
                </c:pt>
                <c:pt idx="482">
                  <c:v>9776</c:v>
                </c:pt>
                <c:pt idx="483">
                  <c:v>9777</c:v>
                </c:pt>
                <c:pt idx="484">
                  <c:v>9778</c:v>
                </c:pt>
                <c:pt idx="485">
                  <c:v>9779</c:v>
                </c:pt>
                <c:pt idx="486">
                  <c:v>9780</c:v>
                </c:pt>
                <c:pt idx="487">
                  <c:v>9781</c:v>
                </c:pt>
                <c:pt idx="488">
                  <c:v>9782</c:v>
                </c:pt>
                <c:pt idx="489">
                  <c:v>9783</c:v>
                </c:pt>
                <c:pt idx="490">
                  <c:v>9784</c:v>
                </c:pt>
                <c:pt idx="491">
                  <c:v>9785</c:v>
                </c:pt>
                <c:pt idx="492">
                  <c:v>9786</c:v>
                </c:pt>
                <c:pt idx="493">
                  <c:v>9787</c:v>
                </c:pt>
                <c:pt idx="494">
                  <c:v>9788</c:v>
                </c:pt>
                <c:pt idx="495">
                  <c:v>9789</c:v>
                </c:pt>
                <c:pt idx="496">
                  <c:v>9790</c:v>
                </c:pt>
                <c:pt idx="497">
                  <c:v>9791</c:v>
                </c:pt>
                <c:pt idx="498">
                  <c:v>9792</c:v>
                </c:pt>
                <c:pt idx="499">
                  <c:v>9793</c:v>
                </c:pt>
                <c:pt idx="500">
                  <c:v>10014</c:v>
                </c:pt>
                <c:pt idx="501">
                  <c:v>10015</c:v>
                </c:pt>
                <c:pt idx="502">
                  <c:v>10016</c:v>
                </c:pt>
                <c:pt idx="503">
                  <c:v>10017</c:v>
                </c:pt>
                <c:pt idx="504">
                  <c:v>10018</c:v>
                </c:pt>
                <c:pt idx="505">
                  <c:v>10019</c:v>
                </c:pt>
                <c:pt idx="506">
                  <c:v>10020</c:v>
                </c:pt>
                <c:pt idx="507">
                  <c:v>10021</c:v>
                </c:pt>
                <c:pt idx="508">
                  <c:v>10022</c:v>
                </c:pt>
                <c:pt idx="509">
                  <c:v>10023</c:v>
                </c:pt>
                <c:pt idx="510">
                  <c:v>10024</c:v>
                </c:pt>
                <c:pt idx="511">
                  <c:v>10025</c:v>
                </c:pt>
                <c:pt idx="512">
                  <c:v>10026</c:v>
                </c:pt>
                <c:pt idx="513">
                  <c:v>10027</c:v>
                </c:pt>
                <c:pt idx="514">
                  <c:v>10028</c:v>
                </c:pt>
                <c:pt idx="515">
                  <c:v>10029</c:v>
                </c:pt>
                <c:pt idx="516">
                  <c:v>10030</c:v>
                </c:pt>
                <c:pt idx="517">
                  <c:v>10031</c:v>
                </c:pt>
                <c:pt idx="518">
                  <c:v>10032</c:v>
                </c:pt>
                <c:pt idx="519">
                  <c:v>10033</c:v>
                </c:pt>
                <c:pt idx="520">
                  <c:v>11975</c:v>
                </c:pt>
                <c:pt idx="521">
                  <c:v>11976</c:v>
                </c:pt>
                <c:pt idx="522">
                  <c:v>11977</c:v>
                </c:pt>
                <c:pt idx="523">
                  <c:v>11978</c:v>
                </c:pt>
                <c:pt idx="524">
                  <c:v>11979</c:v>
                </c:pt>
                <c:pt idx="525">
                  <c:v>11980</c:v>
                </c:pt>
                <c:pt idx="526">
                  <c:v>11981</c:v>
                </c:pt>
                <c:pt idx="527">
                  <c:v>11982</c:v>
                </c:pt>
                <c:pt idx="528">
                  <c:v>11983</c:v>
                </c:pt>
                <c:pt idx="529">
                  <c:v>11984</c:v>
                </c:pt>
                <c:pt idx="530">
                  <c:v>11985</c:v>
                </c:pt>
                <c:pt idx="531">
                  <c:v>11986</c:v>
                </c:pt>
                <c:pt idx="532">
                  <c:v>11987</c:v>
                </c:pt>
                <c:pt idx="533">
                  <c:v>11988</c:v>
                </c:pt>
                <c:pt idx="534">
                  <c:v>11989</c:v>
                </c:pt>
                <c:pt idx="535">
                  <c:v>11990</c:v>
                </c:pt>
                <c:pt idx="536">
                  <c:v>11991</c:v>
                </c:pt>
                <c:pt idx="537">
                  <c:v>11992</c:v>
                </c:pt>
                <c:pt idx="538">
                  <c:v>11993</c:v>
                </c:pt>
                <c:pt idx="539">
                  <c:v>11994</c:v>
                </c:pt>
                <c:pt idx="540">
                  <c:v>12381</c:v>
                </c:pt>
                <c:pt idx="541">
                  <c:v>12382</c:v>
                </c:pt>
                <c:pt idx="542">
                  <c:v>12383</c:v>
                </c:pt>
                <c:pt idx="543">
                  <c:v>12384</c:v>
                </c:pt>
                <c:pt idx="544">
                  <c:v>12385</c:v>
                </c:pt>
                <c:pt idx="545">
                  <c:v>12386</c:v>
                </c:pt>
                <c:pt idx="546">
                  <c:v>12387</c:v>
                </c:pt>
                <c:pt idx="547">
                  <c:v>12388</c:v>
                </c:pt>
                <c:pt idx="548">
                  <c:v>12389</c:v>
                </c:pt>
                <c:pt idx="549">
                  <c:v>12390</c:v>
                </c:pt>
                <c:pt idx="550">
                  <c:v>12391</c:v>
                </c:pt>
                <c:pt idx="551">
                  <c:v>12392</c:v>
                </c:pt>
                <c:pt idx="552">
                  <c:v>12393</c:v>
                </c:pt>
                <c:pt idx="553">
                  <c:v>12394</c:v>
                </c:pt>
                <c:pt idx="554">
                  <c:v>12395</c:v>
                </c:pt>
                <c:pt idx="555">
                  <c:v>12396</c:v>
                </c:pt>
                <c:pt idx="556">
                  <c:v>12397</c:v>
                </c:pt>
                <c:pt idx="557">
                  <c:v>12398</c:v>
                </c:pt>
                <c:pt idx="558">
                  <c:v>12399</c:v>
                </c:pt>
                <c:pt idx="559">
                  <c:v>12400</c:v>
                </c:pt>
                <c:pt idx="560">
                  <c:v>12432</c:v>
                </c:pt>
                <c:pt idx="561">
                  <c:v>12433</c:v>
                </c:pt>
                <c:pt idx="562">
                  <c:v>12434</c:v>
                </c:pt>
                <c:pt idx="563">
                  <c:v>12435</c:v>
                </c:pt>
                <c:pt idx="564">
                  <c:v>12436</c:v>
                </c:pt>
                <c:pt idx="565">
                  <c:v>12437</c:v>
                </c:pt>
                <c:pt idx="566">
                  <c:v>12438</c:v>
                </c:pt>
                <c:pt idx="567">
                  <c:v>12439</c:v>
                </c:pt>
                <c:pt idx="568">
                  <c:v>12440</c:v>
                </c:pt>
                <c:pt idx="569">
                  <c:v>12441</c:v>
                </c:pt>
                <c:pt idx="570">
                  <c:v>12442</c:v>
                </c:pt>
                <c:pt idx="571">
                  <c:v>12443</c:v>
                </c:pt>
                <c:pt idx="572">
                  <c:v>12444</c:v>
                </c:pt>
                <c:pt idx="573">
                  <c:v>12445</c:v>
                </c:pt>
                <c:pt idx="574">
                  <c:v>12446</c:v>
                </c:pt>
                <c:pt idx="575">
                  <c:v>12447</c:v>
                </c:pt>
                <c:pt idx="576">
                  <c:v>12448</c:v>
                </c:pt>
                <c:pt idx="577">
                  <c:v>12449</c:v>
                </c:pt>
                <c:pt idx="578">
                  <c:v>12450</c:v>
                </c:pt>
                <c:pt idx="579">
                  <c:v>12451</c:v>
                </c:pt>
                <c:pt idx="580">
                  <c:v>12951</c:v>
                </c:pt>
                <c:pt idx="581">
                  <c:v>12952</c:v>
                </c:pt>
                <c:pt idx="582">
                  <c:v>12953</c:v>
                </c:pt>
                <c:pt idx="583">
                  <c:v>12954</c:v>
                </c:pt>
                <c:pt idx="584">
                  <c:v>12955</c:v>
                </c:pt>
                <c:pt idx="585">
                  <c:v>12956</c:v>
                </c:pt>
                <c:pt idx="586">
                  <c:v>12957</c:v>
                </c:pt>
                <c:pt idx="587">
                  <c:v>12958</c:v>
                </c:pt>
                <c:pt idx="588">
                  <c:v>12959</c:v>
                </c:pt>
                <c:pt idx="589">
                  <c:v>12960</c:v>
                </c:pt>
                <c:pt idx="590">
                  <c:v>12961</c:v>
                </c:pt>
                <c:pt idx="591">
                  <c:v>12962</c:v>
                </c:pt>
                <c:pt idx="592">
                  <c:v>12963</c:v>
                </c:pt>
                <c:pt idx="593">
                  <c:v>12964</c:v>
                </c:pt>
                <c:pt idx="594">
                  <c:v>12965</c:v>
                </c:pt>
                <c:pt idx="595">
                  <c:v>12966</c:v>
                </c:pt>
                <c:pt idx="596">
                  <c:v>12967</c:v>
                </c:pt>
                <c:pt idx="597">
                  <c:v>12968</c:v>
                </c:pt>
                <c:pt idx="598">
                  <c:v>12969</c:v>
                </c:pt>
                <c:pt idx="599">
                  <c:v>12970</c:v>
                </c:pt>
                <c:pt idx="600">
                  <c:v>13232</c:v>
                </c:pt>
                <c:pt idx="601">
                  <c:v>13233</c:v>
                </c:pt>
                <c:pt idx="602">
                  <c:v>13234</c:v>
                </c:pt>
                <c:pt idx="603">
                  <c:v>13235</c:v>
                </c:pt>
                <c:pt idx="604">
                  <c:v>13236</c:v>
                </c:pt>
                <c:pt idx="605">
                  <c:v>13237</c:v>
                </c:pt>
                <c:pt idx="606">
                  <c:v>13238</c:v>
                </c:pt>
                <c:pt idx="607">
                  <c:v>13239</c:v>
                </c:pt>
                <c:pt idx="608">
                  <c:v>13240</c:v>
                </c:pt>
                <c:pt idx="609">
                  <c:v>13241</c:v>
                </c:pt>
                <c:pt idx="610">
                  <c:v>13242</c:v>
                </c:pt>
                <c:pt idx="611">
                  <c:v>13243</c:v>
                </c:pt>
                <c:pt idx="612">
                  <c:v>13244</c:v>
                </c:pt>
                <c:pt idx="613">
                  <c:v>13245</c:v>
                </c:pt>
                <c:pt idx="614">
                  <c:v>13246</c:v>
                </c:pt>
                <c:pt idx="615">
                  <c:v>13247</c:v>
                </c:pt>
                <c:pt idx="616">
                  <c:v>13248</c:v>
                </c:pt>
                <c:pt idx="617">
                  <c:v>13249</c:v>
                </c:pt>
                <c:pt idx="618">
                  <c:v>13250</c:v>
                </c:pt>
                <c:pt idx="619">
                  <c:v>13251</c:v>
                </c:pt>
                <c:pt idx="620">
                  <c:v>13760</c:v>
                </c:pt>
                <c:pt idx="621">
                  <c:v>13761</c:v>
                </c:pt>
                <c:pt idx="622">
                  <c:v>13762</c:v>
                </c:pt>
                <c:pt idx="623">
                  <c:v>13763</c:v>
                </c:pt>
                <c:pt idx="624">
                  <c:v>13764</c:v>
                </c:pt>
                <c:pt idx="625">
                  <c:v>13765</c:v>
                </c:pt>
                <c:pt idx="626">
                  <c:v>13766</c:v>
                </c:pt>
                <c:pt idx="627">
                  <c:v>13767</c:v>
                </c:pt>
                <c:pt idx="628">
                  <c:v>13768</c:v>
                </c:pt>
                <c:pt idx="629">
                  <c:v>13769</c:v>
                </c:pt>
                <c:pt idx="630">
                  <c:v>13770</c:v>
                </c:pt>
                <c:pt idx="631">
                  <c:v>13771</c:v>
                </c:pt>
                <c:pt idx="632">
                  <c:v>13772</c:v>
                </c:pt>
                <c:pt idx="633">
                  <c:v>13773</c:v>
                </c:pt>
                <c:pt idx="634">
                  <c:v>13774</c:v>
                </c:pt>
                <c:pt idx="635">
                  <c:v>13775</c:v>
                </c:pt>
                <c:pt idx="636">
                  <c:v>13776</c:v>
                </c:pt>
                <c:pt idx="637">
                  <c:v>13777</c:v>
                </c:pt>
                <c:pt idx="638">
                  <c:v>13778</c:v>
                </c:pt>
                <c:pt idx="639">
                  <c:v>13779</c:v>
                </c:pt>
                <c:pt idx="640">
                  <c:v>14021</c:v>
                </c:pt>
                <c:pt idx="641">
                  <c:v>14022</c:v>
                </c:pt>
                <c:pt idx="642">
                  <c:v>14023</c:v>
                </c:pt>
                <c:pt idx="643">
                  <c:v>14024</c:v>
                </c:pt>
                <c:pt idx="644">
                  <c:v>14025</c:v>
                </c:pt>
                <c:pt idx="645">
                  <c:v>14026</c:v>
                </c:pt>
                <c:pt idx="646">
                  <c:v>14027</c:v>
                </c:pt>
                <c:pt idx="647">
                  <c:v>14028</c:v>
                </c:pt>
                <c:pt idx="648">
                  <c:v>14029</c:v>
                </c:pt>
                <c:pt idx="649">
                  <c:v>14030</c:v>
                </c:pt>
                <c:pt idx="650">
                  <c:v>14031</c:v>
                </c:pt>
                <c:pt idx="651">
                  <c:v>14032</c:v>
                </c:pt>
                <c:pt idx="652">
                  <c:v>14033</c:v>
                </c:pt>
                <c:pt idx="653">
                  <c:v>14034</c:v>
                </c:pt>
                <c:pt idx="654">
                  <c:v>14035</c:v>
                </c:pt>
                <c:pt idx="655">
                  <c:v>14036</c:v>
                </c:pt>
                <c:pt idx="656">
                  <c:v>14037</c:v>
                </c:pt>
                <c:pt idx="657">
                  <c:v>14038</c:v>
                </c:pt>
                <c:pt idx="658">
                  <c:v>14039</c:v>
                </c:pt>
                <c:pt idx="659">
                  <c:v>14040</c:v>
                </c:pt>
                <c:pt idx="660">
                  <c:v>14547</c:v>
                </c:pt>
                <c:pt idx="661">
                  <c:v>14548</c:v>
                </c:pt>
                <c:pt idx="662">
                  <c:v>14549</c:v>
                </c:pt>
                <c:pt idx="663">
                  <c:v>14550</c:v>
                </c:pt>
                <c:pt idx="664">
                  <c:v>14551</c:v>
                </c:pt>
                <c:pt idx="665">
                  <c:v>14552</c:v>
                </c:pt>
                <c:pt idx="666">
                  <c:v>14553</c:v>
                </c:pt>
                <c:pt idx="667">
                  <c:v>14554</c:v>
                </c:pt>
                <c:pt idx="668">
                  <c:v>14555</c:v>
                </c:pt>
                <c:pt idx="669">
                  <c:v>14556</c:v>
                </c:pt>
                <c:pt idx="670">
                  <c:v>14557</c:v>
                </c:pt>
                <c:pt idx="671">
                  <c:v>14558</c:v>
                </c:pt>
                <c:pt idx="672">
                  <c:v>14559</c:v>
                </c:pt>
                <c:pt idx="673">
                  <c:v>14560</c:v>
                </c:pt>
                <c:pt idx="674">
                  <c:v>14561</c:v>
                </c:pt>
                <c:pt idx="675">
                  <c:v>14562</c:v>
                </c:pt>
                <c:pt idx="676">
                  <c:v>14563</c:v>
                </c:pt>
                <c:pt idx="677">
                  <c:v>14564</c:v>
                </c:pt>
                <c:pt idx="678">
                  <c:v>14565</c:v>
                </c:pt>
                <c:pt idx="679">
                  <c:v>14566</c:v>
                </c:pt>
                <c:pt idx="680">
                  <c:v>14901</c:v>
                </c:pt>
                <c:pt idx="681">
                  <c:v>14902</c:v>
                </c:pt>
                <c:pt idx="682">
                  <c:v>14903</c:v>
                </c:pt>
                <c:pt idx="683">
                  <c:v>14904</c:v>
                </c:pt>
                <c:pt idx="684">
                  <c:v>14905</c:v>
                </c:pt>
                <c:pt idx="685">
                  <c:v>14906</c:v>
                </c:pt>
                <c:pt idx="686">
                  <c:v>14907</c:v>
                </c:pt>
                <c:pt idx="687">
                  <c:v>14908</c:v>
                </c:pt>
                <c:pt idx="688">
                  <c:v>14909</c:v>
                </c:pt>
                <c:pt idx="689">
                  <c:v>14910</c:v>
                </c:pt>
                <c:pt idx="690">
                  <c:v>14911</c:v>
                </c:pt>
                <c:pt idx="691">
                  <c:v>14912</c:v>
                </c:pt>
                <c:pt idx="692">
                  <c:v>14913</c:v>
                </c:pt>
                <c:pt idx="693">
                  <c:v>14914</c:v>
                </c:pt>
                <c:pt idx="694">
                  <c:v>14915</c:v>
                </c:pt>
                <c:pt idx="695">
                  <c:v>14916</c:v>
                </c:pt>
                <c:pt idx="696">
                  <c:v>14917</c:v>
                </c:pt>
                <c:pt idx="697">
                  <c:v>14918</c:v>
                </c:pt>
                <c:pt idx="698">
                  <c:v>14919</c:v>
                </c:pt>
                <c:pt idx="699">
                  <c:v>14920</c:v>
                </c:pt>
                <c:pt idx="700">
                  <c:v>15256</c:v>
                </c:pt>
                <c:pt idx="701">
                  <c:v>15257</c:v>
                </c:pt>
                <c:pt idx="702">
                  <c:v>15258</c:v>
                </c:pt>
                <c:pt idx="703">
                  <c:v>15259</c:v>
                </c:pt>
                <c:pt idx="704">
                  <c:v>15260</c:v>
                </c:pt>
                <c:pt idx="705">
                  <c:v>15261</c:v>
                </c:pt>
                <c:pt idx="706">
                  <c:v>15262</c:v>
                </c:pt>
                <c:pt idx="707">
                  <c:v>15263</c:v>
                </c:pt>
                <c:pt idx="708">
                  <c:v>15264</c:v>
                </c:pt>
                <c:pt idx="709">
                  <c:v>15265</c:v>
                </c:pt>
                <c:pt idx="710">
                  <c:v>15266</c:v>
                </c:pt>
                <c:pt idx="711">
                  <c:v>15267</c:v>
                </c:pt>
                <c:pt idx="712">
                  <c:v>15268</c:v>
                </c:pt>
                <c:pt idx="713">
                  <c:v>15269</c:v>
                </c:pt>
                <c:pt idx="714">
                  <c:v>15270</c:v>
                </c:pt>
                <c:pt idx="715">
                  <c:v>15271</c:v>
                </c:pt>
                <c:pt idx="716">
                  <c:v>15272</c:v>
                </c:pt>
                <c:pt idx="717">
                  <c:v>15273</c:v>
                </c:pt>
                <c:pt idx="718">
                  <c:v>15274</c:v>
                </c:pt>
                <c:pt idx="719">
                  <c:v>15275</c:v>
                </c:pt>
                <c:pt idx="720">
                  <c:v>15636</c:v>
                </c:pt>
                <c:pt idx="721">
                  <c:v>15637</c:v>
                </c:pt>
                <c:pt idx="722">
                  <c:v>15638</c:v>
                </c:pt>
                <c:pt idx="723">
                  <c:v>15639</c:v>
                </c:pt>
                <c:pt idx="724">
                  <c:v>15640</c:v>
                </c:pt>
                <c:pt idx="725">
                  <c:v>15641</c:v>
                </c:pt>
                <c:pt idx="726">
                  <c:v>15642</c:v>
                </c:pt>
                <c:pt idx="727">
                  <c:v>15643</c:v>
                </c:pt>
                <c:pt idx="728">
                  <c:v>15644</c:v>
                </c:pt>
                <c:pt idx="729">
                  <c:v>15645</c:v>
                </c:pt>
                <c:pt idx="730">
                  <c:v>15646</c:v>
                </c:pt>
                <c:pt idx="731">
                  <c:v>15647</c:v>
                </c:pt>
                <c:pt idx="732">
                  <c:v>15648</c:v>
                </c:pt>
                <c:pt idx="733">
                  <c:v>15649</c:v>
                </c:pt>
                <c:pt idx="734">
                  <c:v>15650</c:v>
                </c:pt>
                <c:pt idx="735">
                  <c:v>15651</c:v>
                </c:pt>
                <c:pt idx="736">
                  <c:v>15652</c:v>
                </c:pt>
                <c:pt idx="737">
                  <c:v>15653</c:v>
                </c:pt>
                <c:pt idx="738">
                  <c:v>15654</c:v>
                </c:pt>
                <c:pt idx="739">
                  <c:v>15655</c:v>
                </c:pt>
                <c:pt idx="740">
                  <c:v>16226</c:v>
                </c:pt>
                <c:pt idx="741">
                  <c:v>16227</c:v>
                </c:pt>
                <c:pt idx="742">
                  <c:v>16228</c:v>
                </c:pt>
                <c:pt idx="743">
                  <c:v>16229</c:v>
                </c:pt>
                <c:pt idx="744">
                  <c:v>16230</c:v>
                </c:pt>
                <c:pt idx="745">
                  <c:v>16231</c:v>
                </c:pt>
                <c:pt idx="746">
                  <c:v>16232</c:v>
                </c:pt>
                <c:pt idx="747">
                  <c:v>16233</c:v>
                </c:pt>
                <c:pt idx="748">
                  <c:v>16234</c:v>
                </c:pt>
                <c:pt idx="749">
                  <c:v>16235</c:v>
                </c:pt>
                <c:pt idx="750">
                  <c:v>16236</c:v>
                </c:pt>
                <c:pt idx="751">
                  <c:v>16237</c:v>
                </c:pt>
                <c:pt idx="752">
                  <c:v>16238</c:v>
                </c:pt>
                <c:pt idx="753">
                  <c:v>16239</c:v>
                </c:pt>
                <c:pt idx="754">
                  <c:v>16240</c:v>
                </c:pt>
                <c:pt idx="755">
                  <c:v>16241</c:v>
                </c:pt>
                <c:pt idx="756">
                  <c:v>16242</c:v>
                </c:pt>
                <c:pt idx="757">
                  <c:v>16243</c:v>
                </c:pt>
                <c:pt idx="758">
                  <c:v>16244</c:v>
                </c:pt>
                <c:pt idx="759">
                  <c:v>16245</c:v>
                </c:pt>
                <c:pt idx="760">
                  <c:v>19126</c:v>
                </c:pt>
                <c:pt idx="761">
                  <c:v>19127</c:v>
                </c:pt>
                <c:pt idx="762">
                  <c:v>19128</c:v>
                </c:pt>
                <c:pt idx="763">
                  <c:v>19129</c:v>
                </c:pt>
                <c:pt idx="764">
                  <c:v>19130</c:v>
                </c:pt>
                <c:pt idx="765">
                  <c:v>19131</c:v>
                </c:pt>
                <c:pt idx="766">
                  <c:v>19132</c:v>
                </c:pt>
                <c:pt idx="767">
                  <c:v>19133</c:v>
                </c:pt>
                <c:pt idx="768">
                  <c:v>19134</c:v>
                </c:pt>
                <c:pt idx="769">
                  <c:v>19135</c:v>
                </c:pt>
                <c:pt idx="770">
                  <c:v>19136</c:v>
                </c:pt>
                <c:pt idx="771">
                  <c:v>19137</c:v>
                </c:pt>
                <c:pt idx="772">
                  <c:v>19138</c:v>
                </c:pt>
                <c:pt idx="773">
                  <c:v>19139</c:v>
                </c:pt>
                <c:pt idx="774">
                  <c:v>19140</c:v>
                </c:pt>
                <c:pt idx="775">
                  <c:v>19141</c:v>
                </c:pt>
                <c:pt idx="776">
                  <c:v>19142</c:v>
                </c:pt>
                <c:pt idx="777">
                  <c:v>19143</c:v>
                </c:pt>
                <c:pt idx="778">
                  <c:v>19144</c:v>
                </c:pt>
                <c:pt idx="779">
                  <c:v>19145</c:v>
                </c:pt>
                <c:pt idx="780">
                  <c:v>19466</c:v>
                </c:pt>
                <c:pt idx="781">
                  <c:v>19467</c:v>
                </c:pt>
                <c:pt idx="782">
                  <c:v>19468</c:v>
                </c:pt>
                <c:pt idx="783">
                  <c:v>19469</c:v>
                </c:pt>
                <c:pt idx="784">
                  <c:v>19470</c:v>
                </c:pt>
                <c:pt idx="785">
                  <c:v>19471</c:v>
                </c:pt>
                <c:pt idx="786">
                  <c:v>19472</c:v>
                </c:pt>
                <c:pt idx="787">
                  <c:v>19473</c:v>
                </c:pt>
                <c:pt idx="788">
                  <c:v>19474</c:v>
                </c:pt>
                <c:pt idx="789">
                  <c:v>19475</c:v>
                </c:pt>
                <c:pt idx="790">
                  <c:v>19476</c:v>
                </c:pt>
                <c:pt idx="791">
                  <c:v>19477</c:v>
                </c:pt>
                <c:pt idx="792">
                  <c:v>19478</c:v>
                </c:pt>
                <c:pt idx="793">
                  <c:v>19479</c:v>
                </c:pt>
                <c:pt idx="794">
                  <c:v>19480</c:v>
                </c:pt>
                <c:pt idx="795">
                  <c:v>19481</c:v>
                </c:pt>
                <c:pt idx="796">
                  <c:v>19482</c:v>
                </c:pt>
                <c:pt idx="797">
                  <c:v>19483</c:v>
                </c:pt>
                <c:pt idx="798">
                  <c:v>19484</c:v>
                </c:pt>
                <c:pt idx="799">
                  <c:v>19485</c:v>
                </c:pt>
                <c:pt idx="800">
                  <c:v>19761</c:v>
                </c:pt>
                <c:pt idx="801">
                  <c:v>19762</c:v>
                </c:pt>
                <c:pt idx="802">
                  <c:v>19763</c:v>
                </c:pt>
                <c:pt idx="803">
                  <c:v>19764</c:v>
                </c:pt>
                <c:pt idx="804">
                  <c:v>19765</c:v>
                </c:pt>
                <c:pt idx="805">
                  <c:v>19766</c:v>
                </c:pt>
                <c:pt idx="806">
                  <c:v>19767</c:v>
                </c:pt>
                <c:pt idx="807">
                  <c:v>19768</c:v>
                </c:pt>
                <c:pt idx="808">
                  <c:v>19769</c:v>
                </c:pt>
                <c:pt idx="809">
                  <c:v>19770</c:v>
                </c:pt>
                <c:pt idx="810">
                  <c:v>19771</c:v>
                </c:pt>
                <c:pt idx="811">
                  <c:v>19772</c:v>
                </c:pt>
                <c:pt idx="812">
                  <c:v>19773</c:v>
                </c:pt>
                <c:pt idx="813">
                  <c:v>19774</c:v>
                </c:pt>
                <c:pt idx="814">
                  <c:v>19775</c:v>
                </c:pt>
                <c:pt idx="815">
                  <c:v>19776</c:v>
                </c:pt>
                <c:pt idx="816">
                  <c:v>19777</c:v>
                </c:pt>
                <c:pt idx="817">
                  <c:v>19778</c:v>
                </c:pt>
                <c:pt idx="818">
                  <c:v>19779</c:v>
                </c:pt>
                <c:pt idx="819">
                  <c:v>19780</c:v>
                </c:pt>
                <c:pt idx="820">
                  <c:v>20150</c:v>
                </c:pt>
                <c:pt idx="821">
                  <c:v>20151</c:v>
                </c:pt>
                <c:pt idx="822">
                  <c:v>20152</c:v>
                </c:pt>
                <c:pt idx="823">
                  <c:v>20153</c:v>
                </c:pt>
                <c:pt idx="824">
                  <c:v>20154</c:v>
                </c:pt>
                <c:pt idx="825">
                  <c:v>20155</c:v>
                </c:pt>
                <c:pt idx="826">
                  <c:v>20156</c:v>
                </c:pt>
                <c:pt idx="827">
                  <c:v>20157</c:v>
                </c:pt>
                <c:pt idx="828">
                  <c:v>20158</c:v>
                </c:pt>
                <c:pt idx="829">
                  <c:v>20159</c:v>
                </c:pt>
                <c:pt idx="830">
                  <c:v>20160</c:v>
                </c:pt>
                <c:pt idx="831">
                  <c:v>20161</c:v>
                </c:pt>
                <c:pt idx="832">
                  <c:v>20162</c:v>
                </c:pt>
                <c:pt idx="833">
                  <c:v>20163</c:v>
                </c:pt>
                <c:pt idx="834">
                  <c:v>20164</c:v>
                </c:pt>
                <c:pt idx="835">
                  <c:v>20165</c:v>
                </c:pt>
                <c:pt idx="836">
                  <c:v>20166</c:v>
                </c:pt>
                <c:pt idx="837">
                  <c:v>20167</c:v>
                </c:pt>
                <c:pt idx="838">
                  <c:v>20168</c:v>
                </c:pt>
                <c:pt idx="839">
                  <c:v>20169</c:v>
                </c:pt>
                <c:pt idx="840">
                  <c:v>20434</c:v>
                </c:pt>
                <c:pt idx="841">
                  <c:v>20435</c:v>
                </c:pt>
                <c:pt idx="842">
                  <c:v>20436</c:v>
                </c:pt>
                <c:pt idx="843">
                  <c:v>20437</c:v>
                </c:pt>
                <c:pt idx="844">
                  <c:v>20438</c:v>
                </c:pt>
                <c:pt idx="845">
                  <c:v>20439</c:v>
                </c:pt>
                <c:pt idx="846">
                  <c:v>20440</c:v>
                </c:pt>
                <c:pt idx="847">
                  <c:v>20441</c:v>
                </c:pt>
                <c:pt idx="848">
                  <c:v>20442</c:v>
                </c:pt>
                <c:pt idx="849">
                  <c:v>20443</c:v>
                </c:pt>
                <c:pt idx="850">
                  <c:v>20444</c:v>
                </c:pt>
                <c:pt idx="851">
                  <c:v>20445</c:v>
                </c:pt>
                <c:pt idx="852">
                  <c:v>20446</c:v>
                </c:pt>
                <c:pt idx="853">
                  <c:v>20447</c:v>
                </c:pt>
                <c:pt idx="854">
                  <c:v>20448</c:v>
                </c:pt>
                <c:pt idx="855">
                  <c:v>20449</c:v>
                </c:pt>
                <c:pt idx="856">
                  <c:v>20450</c:v>
                </c:pt>
                <c:pt idx="857">
                  <c:v>20451</c:v>
                </c:pt>
                <c:pt idx="858">
                  <c:v>20452</c:v>
                </c:pt>
                <c:pt idx="859">
                  <c:v>20453</c:v>
                </c:pt>
                <c:pt idx="860">
                  <c:v>20845</c:v>
                </c:pt>
                <c:pt idx="861">
                  <c:v>20846</c:v>
                </c:pt>
                <c:pt idx="862">
                  <c:v>20847</c:v>
                </c:pt>
                <c:pt idx="863">
                  <c:v>20848</c:v>
                </c:pt>
                <c:pt idx="864">
                  <c:v>20849</c:v>
                </c:pt>
                <c:pt idx="865">
                  <c:v>20850</c:v>
                </c:pt>
                <c:pt idx="866">
                  <c:v>20851</c:v>
                </c:pt>
                <c:pt idx="867">
                  <c:v>20852</c:v>
                </c:pt>
                <c:pt idx="868">
                  <c:v>20853</c:v>
                </c:pt>
                <c:pt idx="869">
                  <c:v>20854</c:v>
                </c:pt>
                <c:pt idx="870">
                  <c:v>20855</c:v>
                </c:pt>
                <c:pt idx="871">
                  <c:v>20856</c:v>
                </c:pt>
                <c:pt idx="872">
                  <c:v>20857</c:v>
                </c:pt>
                <c:pt idx="873">
                  <c:v>20858</c:v>
                </c:pt>
                <c:pt idx="874">
                  <c:v>20859</c:v>
                </c:pt>
                <c:pt idx="875">
                  <c:v>20860</c:v>
                </c:pt>
                <c:pt idx="876">
                  <c:v>20861</c:v>
                </c:pt>
                <c:pt idx="877">
                  <c:v>20862</c:v>
                </c:pt>
                <c:pt idx="878">
                  <c:v>20863</c:v>
                </c:pt>
                <c:pt idx="879">
                  <c:v>20864</c:v>
                </c:pt>
                <c:pt idx="880">
                  <c:v>21485</c:v>
                </c:pt>
                <c:pt idx="881">
                  <c:v>21486</c:v>
                </c:pt>
                <c:pt idx="882">
                  <c:v>21487</c:v>
                </c:pt>
                <c:pt idx="883">
                  <c:v>21488</c:v>
                </c:pt>
                <c:pt idx="884">
                  <c:v>21489</c:v>
                </c:pt>
                <c:pt idx="885">
                  <c:v>21490</c:v>
                </c:pt>
                <c:pt idx="886">
                  <c:v>21491</c:v>
                </c:pt>
                <c:pt idx="887">
                  <c:v>21492</c:v>
                </c:pt>
                <c:pt idx="888">
                  <c:v>21493</c:v>
                </c:pt>
                <c:pt idx="889">
                  <c:v>21494</c:v>
                </c:pt>
                <c:pt idx="890">
                  <c:v>21495</c:v>
                </c:pt>
                <c:pt idx="891">
                  <c:v>21496</c:v>
                </c:pt>
                <c:pt idx="892">
                  <c:v>21497</c:v>
                </c:pt>
                <c:pt idx="893">
                  <c:v>21498</c:v>
                </c:pt>
                <c:pt idx="894">
                  <c:v>21499</c:v>
                </c:pt>
                <c:pt idx="895">
                  <c:v>21500</c:v>
                </c:pt>
                <c:pt idx="896">
                  <c:v>21501</c:v>
                </c:pt>
                <c:pt idx="897">
                  <c:v>21502</c:v>
                </c:pt>
                <c:pt idx="898">
                  <c:v>21503</c:v>
                </c:pt>
                <c:pt idx="899">
                  <c:v>21504</c:v>
                </c:pt>
                <c:pt idx="900">
                  <c:v>21839</c:v>
                </c:pt>
                <c:pt idx="901">
                  <c:v>21840</c:v>
                </c:pt>
                <c:pt idx="902">
                  <c:v>21841</c:v>
                </c:pt>
                <c:pt idx="903">
                  <c:v>21842</c:v>
                </c:pt>
                <c:pt idx="904">
                  <c:v>21843</c:v>
                </c:pt>
                <c:pt idx="905">
                  <c:v>21844</c:v>
                </c:pt>
                <c:pt idx="906">
                  <c:v>21845</c:v>
                </c:pt>
                <c:pt idx="907">
                  <c:v>21846</c:v>
                </c:pt>
                <c:pt idx="908">
                  <c:v>21847</c:v>
                </c:pt>
                <c:pt idx="909">
                  <c:v>21848</c:v>
                </c:pt>
                <c:pt idx="910">
                  <c:v>21849</c:v>
                </c:pt>
                <c:pt idx="911">
                  <c:v>21850</c:v>
                </c:pt>
                <c:pt idx="912">
                  <c:v>21851</c:v>
                </c:pt>
                <c:pt idx="913">
                  <c:v>21852</c:v>
                </c:pt>
                <c:pt idx="914">
                  <c:v>21853</c:v>
                </c:pt>
                <c:pt idx="915">
                  <c:v>21854</c:v>
                </c:pt>
                <c:pt idx="916">
                  <c:v>21855</c:v>
                </c:pt>
                <c:pt idx="917">
                  <c:v>21856</c:v>
                </c:pt>
                <c:pt idx="918">
                  <c:v>21857</c:v>
                </c:pt>
                <c:pt idx="919">
                  <c:v>21858</c:v>
                </c:pt>
                <c:pt idx="920">
                  <c:v>22846</c:v>
                </c:pt>
                <c:pt idx="921">
                  <c:v>22847</c:v>
                </c:pt>
                <c:pt idx="922">
                  <c:v>22848</c:v>
                </c:pt>
                <c:pt idx="923">
                  <c:v>22849</c:v>
                </c:pt>
                <c:pt idx="924">
                  <c:v>22850</c:v>
                </c:pt>
                <c:pt idx="925">
                  <c:v>22851</c:v>
                </c:pt>
                <c:pt idx="926">
                  <c:v>22852</c:v>
                </c:pt>
                <c:pt idx="927">
                  <c:v>22853</c:v>
                </c:pt>
                <c:pt idx="928">
                  <c:v>22854</c:v>
                </c:pt>
                <c:pt idx="929">
                  <c:v>22855</c:v>
                </c:pt>
                <c:pt idx="930">
                  <c:v>22856</c:v>
                </c:pt>
                <c:pt idx="931">
                  <c:v>22857</c:v>
                </c:pt>
                <c:pt idx="932">
                  <c:v>22858</c:v>
                </c:pt>
                <c:pt idx="933">
                  <c:v>22859</c:v>
                </c:pt>
                <c:pt idx="934">
                  <c:v>22860</c:v>
                </c:pt>
                <c:pt idx="935">
                  <c:v>22861</c:v>
                </c:pt>
                <c:pt idx="936">
                  <c:v>22862</c:v>
                </c:pt>
                <c:pt idx="937">
                  <c:v>22863</c:v>
                </c:pt>
                <c:pt idx="938">
                  <c:v>22864</c:v>
                </c:pt>
                <c:pt idx="939">
                  <c:v>22865</c:v>
                </c:pt>
                <c:pt idx="940">
                  <c:v>23670</c:v>
                </c:pt>
                <c:pt idx="941">
                  <c:v>23671</c:v>
                </c:pt>
                <c:pt idx="942">
                  <c:v>23672</c:v>
                </c:pt>
                <c:pt idx="943">
                  <c:v>23673</c:v>
                </c:pt>
                <c:pt idx="944">
                  <c:v>23674</c:v>
                </c:pt>
                <c:pt idx="945">
                  <c:v>23675</c:v>
                </c:pt>
                <c:pt idx="946">
                  <c:v>23676</c:v>
                </c:pt>
                <c:pt idx="947">
                  <c:v>23677</c:v>
                </c:pt>
                <c:pt idx="948">
                  <c:v>23678</c:v>
                </c:pt>
                <c:pt idx="949">
                  <c:v>23679</c:v>
                </c:pt>
                <c:pt idx="950">
                  <c:v>23680</c:v>
                </c:pt>
                <c:pt idx="951">
                  <c:v>23681</c:v>
                </c:pt>
                <c:pt idx="952">
                  <c:v>23682</c:v>
                </c:pt>
                <c:pt idx="953">
                  <c:v>23683</c:v>
                </c:pt>
                <c:pt idx="954">
                  <c:v>23684</c:v>
                </c:pt>
                <c:pt idx="955">
                  <c:v>23685</c:v>
                </c:pt>
                <c:pt idx="956">
                  <c:v>23686</c:v>
                </c:pt>
                <c:pt idx="957">
                  <c:v>23687</c:v>
                </c:pt>
                <c:pt idx="958">
                  <c:v>23688</c:v>
                </c:pt>
                <c:pt idx="959">
                  <c:v>23689</c:v>
                </c:pt>
                <c:pt idx="960">
                  <c:v>23690</c:v>
                </c:pt>
                <c:pt idx="961">
                  <c:v>23691</c:v>
                </c:pt>
                <c:pt idx="962">
                  <c:v>23692</c:v>
                </c:pt>
                <c:pt idx="963">
                  <c:v>23693</c:v>
                </c:pt>
                <c:pt idx="964">
                  <c:v>23694</c:v>
                </c:pt>
                <c:pt idx="965">
                  <c:v>23695</c:v>
                </c:pt>
                <c:pt idx="966">
                  <c:v>23696</c:v>
                </c:pt>
                <c:pt idx="967">
                  <c:v>23697</c:v>
                </c:pt>
                <c:pt idx="968">
                  <c:v>23698</c:v>
                </c:pt>
                <c:pt idx="969">
                  <c:v>23699</c:v>
                </c:pt>
                <c:pt idx="970">
                  <c:v>23700</c:v>
                </c:pt>
                <c:pt idx="971">
                  <c:v>23701</c:v>
                </c:pt>
                <c:pt idx="972">
                  <c:v>23702</c:v>
                </c:pt>
                <c:pt idx="973">
                  <c:v>23703</c:v>
                </c:pt>
                <c:pt idx="974">
                  <c:v>23704</c:v>
                </c:pt>
                <c:pt idx="975">
                  <c:v>23705</c:v>
                </c:pt>
                <c:pt idx="976">
                  <c:v>23706</c:v>
                </c:pt>
                <c:pt idx="977">
                  <c:v>23707</c:v>
                </c:pt>
                <c:pt idx="978">
                  <c:v>23708</c:v>
                </c:pt>
                <c:pt idx="979">
                  <c:v>23709</c:v>
                </c:pt>
              </c:numCache>
            </c:numRef>
          </c:xVal>
          <c:yVal>
            <c:numRef>
              <c:f>'Interpolated Physical'!$I$2:$I$981</c:f>
              <c:numCache>
                <c:formatCode>General</c:formatCode>
                <c:ptCount val="980"/>
                <c:pt idx="0" formatCode="0.0000">
                  <c:v>13</c:v>
                </c:pt>
                <c:pt idx="260" formatCode="0.0000">
                  <c:v>24</c:v>
                </c:pt>
                <c:pt idx="520" formatCode="0.0000">
                  <c:v>19</c:v>
                </c:pt>
                <c:pt idx="740" formatCode="0.0000">
                  <c:v>17</c:v>
                </c:pt>
                <c:pt idx="800" formatCode="0.0000">
                  <c:v>16</c:v>
                </c:pt>
                <c:pt idx="920" formatCode="0.0000">
                  <c:v>25</c:v>
                </c:pt>
                <c:pt idx="979" formatCode="0.0000">
                  <c:v>25</c:v>
                </c:pt>
              </c:numCache>
            </c:numRef>
          </c:yVal>
          <c:smooth val="0"/>
          <c:extLst>
            <c:ext xmlns:c16="http://schemas.microsoft.com/office/drawing/2014/chart" uri="{C3380CC4-5D6E-409C-BE32-E72D297353CC}">
              <c16:uniqueId val="{00000001-C0E1-4E1B-B877-6E8E7D99DED9}"/>
            </c:ext>
          </c:extLst>
        </c:ser>
        <c:dLbls>
          <c:showLegendKey val="0"/>
          <c:showVal val="0"/>
          <c:showCatName val="0"/>
          <c:showSerName val="0"/>
          <c:showPercent val="0"/>
          <c:showBubbleSize val="0"/>
        </c:dLbls>
        <c:axId val="106302463"/>
        <c:axId val="106302047"/>
      </c:scatterChart>
      <c:valAx>
        <c:axId val="106302463"/>
        <c:scaling>
          <c:orientation val="minMax"/>
        </c:scaling>
        <c:delete val="0"/>
        <c:axPos val="b"/>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06302047"/>
        <c:crosses val="autoZero"/>
        <c:crossBetween val="midCat"/>
      </c:valAx>
      <c:valAx>
        <c:axId val="106302047"/>
        <c:scaling>
          <c:orientation val="minMax"/>
        </c:scaling>
        <c:delete val="0"/>
        <c:axPos val="l"/>
        <c:numFmt formatCode="0.00" sourceLinked="0"/>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06302463"/>
        <c:crosses val="autoZero"/>
        <c:crossBetween val="midCat"/>
      </c:valAx>
      <c:spPr>
        <a:noFill/>
        <a:ln w="3175">
          <a:solidFill>
            <a:schemeClr val="tx1"/>
          </a:solidFill>
        </a:ln>
        <a:effectLst/>
      </c:spPr>
    </c:plotArea>
    <c:legend>
      <c:legendPos val="r"/>
      <c:layout>
        <c:manualLayout>
          <c:xMode val="edge"/>
          <c:yMode val="edge"/>
          <c:x val="9.7253705470571175E-2"/>
          <c:y val="0.71693913800965026"/>
          <c:w val="0.36549517528684411"/>
          <c:h val="0.14961021963103641"/>
        </c:manualLayout>
      </c:layout>
      <c:overlay val="1"/>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Garamond" panose="02020404030301010803" pitchFamily="18" charset="0"/>
        </a:defRPr>
      </a:pPr>
      <a:endParaRPr lang="sr-Latn-RS"/>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'Interpolated Physical'!$J$1</c:f>
              <c:strCache>
                <c:ptCount val="1"/>
                <c:pt idx="0">
                  <c:v>Zn [ppm]</c:v>
                </c:pt>
              </c:strCache>
            </c:strRef>
          </c:tx>
          <c:spPr>
            <a:ln w="25400" cap="rnd">
              <a:noFill/>
              <a:round/>
            </a:ln>
            <a:effectLst/>
          </c:spPr>
          <c:marker>
            <c:symbol val="square"/>
            <c:size val="10"/>
            <c:spPr>
              <a:noFill/>
              <a:ln w="3175">
                <a:solidFill>
                  <a:srgbClr val="0000FF"/>
                </a:solidFill>
              </a:ln>
              <a:effectLst/>
            </c:spPr>
          </c:marker>
          <c:trendline>
            <c:spPr>
              <a:ln w="3175" cap="rnd">
                <a:solidFill>
                  <a:srgbClr val="FF0000"/>
                </a:solidFill>
                <a:prstDash val="lgDash"/>
              </a:ln>
              <a:effectLst/>
            </c:spPr>
            <c:trendlineType val="power"/>
            <c:dispRSqr val="1"/>
            <c:dispEq val="1"/>
            <c:trendlineLbl>
              <c:layout>
                <c:manualLayout>
                  <c:x val="-8.3846210302274942E-3"/>
                  <c:y val="-0.10376469147061025"/>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rendlineLbl>
          </c:trendline>
          <c:xVal>
            <c:numRef>
              <c:f>'Interpolated Physical'!$A$2:$A$981</c:f>
              <c:numCache>
                <c:formatCode>General</c:formatCode>
                <c:ptCount val="98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432</c:v>
                </c:pt>
                <c:pt idx="21">
                  <c:v>433</c:v>
                </c:pt>
                <c:pt idx="22">
                  <c:v>434</c:v>
                </c:pt>
                <c:pt idx="23">
                  <c:v>435</c:v>
                </c:pt>
                <c:pt idx="24">
                  <c:v>436</c:v>
                </c:pt>
                <c:pt idx="25">
                  <c:v>437</c:v>
                </c:pt>
                <c:pt idx="26">
                  <c:v>438</c:v>
                </c:pt>
                <c:pt idx="27">
                  <c:v>439</c:v>
                </c:pt>
                <c:pt idx="28">
                  <c:v>440</c:v>
                </c:pt>
                <c:pt idx="29">
                  <c:v>441</c:v>
                </c:pt>
                <c:pt idx="30">
                  <c:v>442</c:v>
                </c:pt>
                <c:pt idx="31">
                  <c:v>443</c:v>
                </c:pt>
                <c:pt idx="32">
                  <c:v>444</c:v>
                </c:pt>
                <c:pt idx="33">
                  <c:v>445</c:v>
                </c:pt>
                <c:pt idx="34">
                  <c:v>446</c:v>
                </c:pt>
                <c:pt idx="35">
                  <c:v>447</c:v>
                </c:pt>
                <c:pt idx="36">
                  <c:v>448</c:v>
                </c:pt>
                <c:pt idx="37">
                  <c:v>449</c:v>
                </c:pt>
                <c:pt idx="38">
                  <c:v>450</c:v>
                </c:pt>
                <c:pt idx="39">
                  <c:v>451</c:v>
                </c:pt>
                <c:pt idx="40">
                  <c:v>818</c:v>
                </c:pt>
                <c:pt idx="41">
                  <c:v>819</c:v>
                </c:pt>
                <c:pt idx="42">
                  <c:v>820</c:v>
                </c:pt>
                <c:pt idx="43">
                  <c:v>821</c:v>
                </c:pt>
                <c:pt idx="44">
                  <c:v>822</c:v>
                </c:pt>
                <c:pt idx="45">
                  <c:v>823</c:v>
                </c:pt>
                <c:pt idx="46">
                  <c:v>824</c:v>
                </c:pt>
                <c:pt idx="47">
                  <c:v>825</c:v>
                </c:pt>
                <c:pt idx="48">
                  <c:v>826</c:v>
                </c:pt>
                <c:pt idx="49">
                  <c:v>827</c:v>
                </c:pt>
                <c:pt idx="50">
                  <c:v>828</c:v>
                </c:pt>
                <c:pt idx="51">
                  <c:v>829</c:v>
                </c:pt>
                <c:pt idx="52">
                  <c:v>830</c:v>
                </c:pt>
                <c:pt idx="53">
                  <c:v>831</c:v>
                </c:pt>
                <c:pt idx="54">
                  <c:v>832</c:v>
                </c:pt>
                <c:pt idx="55">
                  <c:v>833</c:v>
                </c:pt>
                <c:pt idx="56">
                  <c:v>834</c:v>
                </c:pt>
                <c:pt idx="57">
                  <c:v>835</c:v>
                </c:pt>
                <c:pt idx="58">
                  <c:v>836</c:v>
                </c:pt>
                <c:pt idx="59">
                  <c:v>837</c:v>
                </c:pt>
                <c:pt idx="60">
                  <c:v>1057</c:v>
                </c:pt>
                <c:pt idx="61">
                  <c:v>1058</c:v>
                </c:pt>
                <c:pt idx="62">
                  <c:v>1059</c:v>
                </c:pt>
                <c:pt idx="63">
                  <c:v>1060</c:v>
                </c:pt>
                <c:pt idx="64">
                  <c:v>1061</c:v>
                </c:pt>
                <c:pt idx="65">
                  <c:v>1062</c:v>
                </c:pt>
                <c:pt idx="66">
                  <c:v>1063</c:v>
                </c:pt>
                <c:pt idx="67">
                  <c:v>1064</c:v>
                </c:pt>
                <c:pt idx="68">
                  <c:v>1065</c:v>
                </c:pt>
                <c:pt idx="69">
                  <c:v>1066</c:v>
                </c:pt>
                <c:pt idx="70">
                  <c:v>1067</c:v>
                </c:pt>
                <c:pt idx="71">
                  <c:v>1068</c:v>
                </c:pt>
                <c:pt idx="72">
                  <c:v>1069</c:v>
                </c:pt>
                <c:pt idx="73">
                  <c:v>1070</c:v>
                </c:pt>
                <c:pt idx="74">
                  <c:v>1071</c:v>
                </c:pt>
                <c:pt idx="75">
                  <c:v>1072</c:v>
                </c:pt>
                <c:pt idx="76">
                  <c:v>1073</c:v>
                </c:pt>
                <c:pt idx="77">
                  <c:v>1074</c:v>
                </c:pt>
                <c:pt idx="78">
                  <c:v>1075</c:v>
                </c:pt>
                <c:pt idx="79">
                  <c:v>1076</c:v>
                </c:pt>
                <c:pt idx="80">
                  <c:v>1407</c:v>
                </c:pt>
                <c:pt idx="81">
                  <c:v>1408</c:v>
                </c:pt>
                <c:pt idx="82">
                  <c:v>1409</c:v>
                </c:pt>
                <c:pt idx="83">
                  <c:v>1410</c:v>
                </c:pt>
                <c:pt idx="84">
                  <c:v>1411</c:v>
                </c:pt>
                <c:pt idx="85">
                  <c:v>1412</c:v>
                </c:pt>
                <c:pt idx="86">
                  <c:v>1413</c:v>
                </c:pt>
                <c:pt idx="87">
                  <c:v>1414</c:v>
                </c:pt>
                <c:pt idx="88">
                  <c:v>1415</c:v>
                </c:pt>
                <c:pt idx="89">
                  <c:v>1416</c:v>
                </c:pt>
                <c:pt idx="90">
                  <c:v>1417</c:v>
                </c:pt>
                <c:pt idx="91">
                  <c:v>1418</c:v>
                </c:pt>
                <c:pt idx="92">
                  <c:v>1419</c:v>
                </c:pt>
                <c:pt idx="93">
                  <c:v>1420</c:v>
                </c:pt>
                <c:pt idx="94">
                  <c:v>1421</c:v>
                </c:pt>
                <c:pt idx="95">
                  <c:v>1422</c:v>
                </c:pt>
                <c:pt idx="96">
                  <c:v>1423</c:v>
                </c:pt>
                <c:pt idx="97">
                  <c:v>1424</c:v>
                </c:pt>
                <c:pt idx="98">
                  <c:v>1425</c:v>
                </c:pt>
                <c:pt idx="99">
                  <c:v>1426</c:v>
                </c:pt>
                <c:pt idx="100">
                  <c:v>1618</c:v>
                </c:pt>
                <c:pt idx="101">
                  <c:v>1619</c:v>
                </c:pt>
                <c:pt idx="102">
                  <c:v>1620</c:v>
                </c:pt>
                <c:pt idx="103">
                  <c:v>1621</c:v>
                </c:pt>
                <c:pt idx="104">
                  <c:v>1622</c:v>
                </c:pt>
                <c:pt idx="105">
                  <c:v>1623</c:v>
                </c:pt>
                <c:pt idx="106">
                  <c:v>1624</c:v>
                </c:pt>
                <c:pt idx="107">
                  <c:v>1625</c:v>
                </c:pt>
                <c:pt idx="108">
                  <c:v>1626</c:v>
                </c:pt>
                <c:pt idx="109">
                  <c:v>1627</c:v>
                </c:pt>
                <c:pt idx="110">
                  <c:v>1628</c:v>
                </c:pt>
                <c:pt idx="111">
                  <c:v>1629</c:v>
                </c:pt>
                <c:pt idx="112">
                  <c:v>1630</c:v>
                </c:pt>
                <c:pt idx="113">
                  <c:v>1631</c:v>
                </c:pt>
                <c:pt idx="114">
                  <c:v>1632</c:v>
                </c:pt>
                <c:pt idx="115">
                  <c:v>1633</c:v>
                </c:pt>
                <c:pt idx="116">
                  <c:v>1634</c:v>
                </c:pt>
                <c:pt idx="117">
                  <c:v>1635</c:v>
                </c:pt>
                <c:pt idx="118">
                  <c:v>1636</c:v>
                </c:pt>
                <c:pt idx="119">
                  <c:v>1637</c:v>
                </c:pt>
                <c:pt idx="120">
                  <c:v>2039</c:v>
                </c:pt>
                <c:pt idx="121">
                  <c:v>2040</c:v>
                </c:pt>
                <c:pt idx="122">
                  <c:v>2041</c:v>
                </c:pt>
                <c:pt idx="123">
                  <c:v>2042</c:v>
                </c:pt>
                <c:pt idx="124">
                  <c:v>2043</c:v>
                </c:pt>
                <c:pt idx="125">
                  <c:v>2044</c:v>
                </c:pt>
                <c:pt idx="126">
                  <c:v>2045</c:v>
                </c:pt>
                <c:pt idx="127">
                  <c:v>2046</c:v>
                </c:pt>
                <c:pt idx="128">
                  <c:v>2047</c:v>
                </c:pt>
                <c:pt idx="129">
                  <c:v>2048</c:v>
                </c:pt>
                <c:pt idx="130">
                  <c:v>2049</c:v>
                </c:pt>
                <c:pt idx="131">
                  <c:v>2050</c:v>
                </c:pt>
                <c:pt idx="132">
                  <c:v>2051</c:v>
                </c:pt>
                <c:pt idx="133">
                  <c:v>2052</c:v>
                </c:pt>
                <c:pt idx="134">
                  <c:v>2053</c:v>
                </c:pt>
                <c:pt idx="135">
                  <c:v>2054</c:v>
                </c:pt>
                <c:pt idx="136">
                  <c:v>2055</c:v>
                </c:pt>
                <c:pt idx="137">
                  <c:v>2056</c:v>
                </c:pt>
                <c:pt idx="138">
                  <c:v>2057</c:v>
                </c:pt>
                <c:pt idx="139">
                  <c:v>2058</c:v>
                </c:pt>
                <c:pt idx="140">
                  <c:v>2897</c:v>
                </c:pt>
                <c:pt idx="141">
                  <c:v>2898</c:v>
                </c:pt>
                <c:pt idx="142">
                  <c:v>2899</c:v>
                </c:pt>
                <c:pt idx="143">
                  <c:v>2900</c:v>
                </c:pt>
                <c:pt idx="144">
                  <c:v>2901</c:v>
                </c:pt>
                <c:pt idx="145">
                  <c:v>2902</c:v>
                </c:pt>
                <c:pt idx="146">
                  <c:v>2903</c:v>
                </c:pt>
                <c:pt idx="147">
                  <c:v>2904</c:v>
                </c:pt>
                <c:pt idx="148">
                  <c:v>2905</c:v>
                </c:pt>
                <c:pt idx="149">
                  <c:v>2906</c:v>
                </c:pt>
                <c:pt idx="150">
                  <c:v>2907</c:v>
                </c:pt>
                <c:pt idx="151">
                  <c:v>2908</c:v>
                </c:pt>
                <c:pt idx="152">
                  <c:v>2909</c:v>
                </c:pt>
                <c:pt idx="153">
                  <c:v>2910</c:v>
                </c:pt>
                <c:pt idx="154">
                  <c:v>2911</c:v>
                </c:pt>
                <c:pt idx="155">
                  <c:v>2912</c:v>
                </c:pt>
                <c:pt idx="156">
                  <c:v>2913</c:v>
                </c:pt>
                <c:pt idx="157">
                  <c:v>2914</c:v>
                </c:pt>
                <c:pt idx="158">
                  <c:v>2915</c:v>
                </c:pt>
                <c:pt idx="159">
                  <c:v>2916</c:v>
                </c:pt>
                <c:pt idx="160">
                  <c:v>3257</c:v>
                </c:pt>
                <c:pt idx="161">
                  <c:v>3258</c:v>
                </c:pt>
                <c:pt idx="162">
                  <c:v>3259</c:v>
                </c:pt>
                <c:pt idx="163">
                  <c:v>3260</c:v>
                </c:pt>
                <c:pt idx="164">
                  <c:v>3261</c:v>
                </c:pt>
                <c:pt idx="165">
                  <c:v>3262</c:v>
                </c:pt>
                <c:pt idx="166">
                  <c:v>3263</c:v>
                </c:pt>
                <c:pt idx="167">
                  <c:v>3264</c:v>
                </c:pt>
                <c:pt idx="168">
                  <c:v>3265</c:v>
                </c:pt>
                <c:pt idx="169">
                  <c:v>3266</c:v>
                </c:pt>
                <c:pt idx="170">
                  <c:v>3267</c:v>
                </c:pt>
                <c:pt idx="171">
                  <c:v>3268</c:v>
                </c:pt>
                <c:pt idx="172">
                  <c:v>3269</c:v>
                </c:pt>
                <c:pt idx="173">
                  <c:v>3270</c:v>
                </c:pt>
                <c:pt idx="174">
                  <c:v>3271</c:v>
                </c:pt>
                <c:pt idx="175">
                  <c:v>3272</c:v>
                </c:pt>
                <c:pt idx="176">
                  <c:v>3273</c:v>
                </c:pt>
                <c:pt idx="177">
                  <c:v>3274</c:v>
                </c:pt>
                <c:pt idx="178">
                  <c:v>3275</c:v>
                </c:pt>
                <c:pt idx="179">
                  <c:v>3276</c:v>
                </c:pt>
                <c:pt idx="180">
                  <c:v>4443</c:v>
                </c:pt>
                <c:pt idx="181">
                  <c:v>4445</c:v>
                </c:pt>
                <c:pt idx="182">
                  <c:v>4446</c:v>
                </c:pt>
                <c:pt idx="183">
                  <c:v>4447</c:v>
                </c:pt>
                <c:pt idx="184">
                  <c:v>4448</c:v>
                </c:pt>
                <c:pt idx="185">
                  <c:v>4449</c:v>
                </c:pt>
                <c:pt idx="186">
                  <c:v>4450</c:v>
                </c:pt>
                <c:pt idx="187">
                  <c:v>4451</c:v>
                </c:pt>
                <c:pt idx="188">
                  <c:v>4452</c:v>
                </c:pt>
                <c:pt idx="189">
                  <c:v>4453</c:v>
                </c:pt>
                <c:pt idx="190">
                  <c:v>4454</c:v>
                </c:pt>
                <c:pt idx="191">
                  <c:v>4455</c:v>
                </c:pt>
                <c:pt idx="192">
                  <c:v>4456</c:v>
                </c:pt>
                <c:pt idx="193">
                  <c:v>4457</c:v>
                </c:pt>
                <c:pt idx="194">
                  <c:v>4458</c:v>
                </c:pt>
                <c:pt idx="195">
                  <c:v>4459</c:v>
                </c:pt>
                <c:pt idx="196">
                  <c:v>4460</c:v>
                </c:pt>
                <c:pt idx="197">
                  <c:v>4461</c:v>
                </c:pt>
                <c:pt idx="198">
                  <c:v>4462</c:v>
                </c:pt>
                <c:pt idx="199">
                  <c:v>4463</c:v>
                </c:pt>
                <c:pt idx="200">
                  <c:v>4740</c:v>
                </c:pt>
                <c:pt idx="201">
                  <c:v>4741</c:v>
                </c:pt>
                <c:pt idx="202">
                  <c:v>4742</c:v>
                </c:pt>
                <c:pt idx="203">
                  <c:v>4743</c:v>
                </c:pt>
                <c:pt idx="204">
                  <c:v>4744</c:v>
                </c:pt>
                <c:pt idx="205">
                  <c:v>4745</c:v>
                </c:pt>
                <c:pt idx="206">
                  <c:v>4746</c:v>
                </c:pt>
                <c:pt idx="207">
                  <c:v>4747</c:v>
                </c:pt>
                <c:pt idx="208">
                  <c:v>4748</c:v>
                </c:pt>
                <c:pt idx="209">
                  <c:v>4749</c:v>
                </c:pt>
                <c:pt idx="210">
                  <c:v>4750</c:v>
                </c:pt>
                <c:pt idx="211">
                  <c:v>4751</c:v>
                </c:pt>
                <c:pt idx="212">
                  <c:v>4752</c:v>
                </c:pt>
                <c:pt idx="213">
                  <c:v>4753</c:v>
                </c:pt>
                <c:pt idx="214">
                  <c:v>4754</c:v>
                </c:pt>
                <c:pt idx="215">
                  <c:v>4755</c:v>
                </c:pt>
                <c:pt idx="216">
                  <c:v>4756</c:v>
                </c:pt>
                <c:pt idx="217">
                  <c:v>4757</c:v>
                </c:pt>
                <c:pt idx="218">
                  <c:v>4758</c:v>
                </c:pt>
                <c:pt idx="219">
                  <c:v>4759</c:v>
                </c:pt>
                <c:pt idx="220">
                  <c:v>5191</c:v>
                </c:pt>
                <c:pt idx="221">
                  <c:v>5192</c:v>
                </c:pt>
                <c:pt idx="222">
                  <c:v>5193</c:v>
                </c:pt>
                <c:pt idx="223">
                  <c:v>5194</c:v>
                </c:pt>
                <c:pt idx="224">
                  <c:v>5195</c:v>
                </c:pt>
                <c:pt idx="225">
                  <c:v>5196</c:v>
                </c:pt>
                <c:pt idx="226">
                  <c:v>5197</c:v>
                </c:pt>
                <c:pt idx="227">
                  <c:v>5198</c:v>
                </c:pt>
                <c:pt idx="228">
                  <c:v>5199</c:v>
                </c:pt>
                <c:pt idx="229">
                  <c:v>5200</c:v>
                </c:pt>
                <c:pt idx="230">
                  <c:v>5201</c:v>
                </c:pt>
                <c:pt idx="231">
                  <c:v>5202</c:v>
                </c:pt>
                <c:pt idx="232">
                  <c:v>5203</c:v>
                </c:pt>
                <c:pt idx="233">
                  <c:v>5204</c:v>
                </c:pt>
                <c:pt idx="234">
                  <c:v>5205</c:v>
                </c:pt>
                <c:pt idx="235">
                  <c:v>5206</c:v>
                </c:pt>
                <c:pt idx="236">
                  <c:v>5207</c:v>
                </c:pt>
                <c:pt idx="237">
                  <c:v>5208</c:v>
                </c:pt>
                <c:pt idx="238">
                  <c:v>5209</c:v>
                </c:pt>
                <c:pt idx="239">
                  <c:v>5210</c:v>
                </c:pt>
                <c:pt idx="240">
                  <c:v>5544</c:v>
                </c:pt>
                <c:pt idx="241">
                  <c:v>5545</c:v>
                </c:pt>
                <c:pt idx="242">
                  <c:v>5546</c:v>
                </c:pt>
                <c:pt idx="243">
                  <c:v>5547</c:v>
                </c:pt>
                <c:pt idx="244">
                  <c:v>5548</c:v>
                </c:pt>
                <c:pt idx="245">
                  <c:v>5549</c:v>
                </c:pt>
                <c:pt idx="246">
                  <c:v>5550</c:v>
                </c:pt>
                <c:pt idx="247">
                  <c:v>5551</c:v>
                </c:pt>
                <c:pt idx="248">
                  <c:v>5552</c:v>
                </c:pt>
                <c:pt idx="249">
                  <c:v>5553</c:v>
                </c:pt>
                <c:pt idx="250">
                  <c:v>5554</c:v>
                </c:pt>
                <c:pt idx="251">
                  <c:v>5555</c:v>
                </c:pt>
                <c:pt idx="252">
                  <c:v>5556</c:v>
                </c:pt>
                <c:pt idx="253">
                  <c:v>5557</c:v>
                </c:pt>
                <c:pt idx="254">
                  <c:v>5558</c:v>
                </c:pt>
                <c:pt idx="255">
                  <c:v>5559</c:v>
                </c:pt>
                <c:pt idx="256">
                  <c:v>5560</c:v>
                </c:pt>
                <c:pt idx="257">
                  <c:v>5561</c:v>
                </c:pt>
                <c:pt idx="258">
                  <c:v>5562</c:v>
                </c:pt>
                <c:pt idx="259">
                  <c:v>5563</c:v>
                </c:pt>
                <c:pt idx="260">
                  <c:v>5915</c:v>
                </c:pt>
                <c:pt idx="261">
                  <c:v>5916</c:v>
                </c:pt>
                <c:pt idx="262">
                  <c:v>5917</c:v>
                </c:pt>
                <c:pt idx="263">
                  <c:v>5918</c:v>
                </c:pt>
                <c:pt idx="264">
                  <c:v>5919</c:v>
                </c:pt>
                <c:pt idx="265">
                  <c:v>5920</c:v>
                </c:pt>
                <c:pt idx="266">
                  <c:v>5921</c:v>
                </c:pt>
                <c:pt idx="267">
                  <c:v>5922</c:v>
                </c:pt>
                <c:pt idx="268">
                  <c:v>5923</c:v>
                </c:pt>
                <c:pt idx="269">
                  <c:v>5924</c:v>
                </c:pt>
                <c:pt idx="270">
                  <c:v>5925</c:v>
                </c:pt>
                <c:pt idx="271">
                  <c:v>5926</c:v>
                </c:pt>
                <c:pt idx="272">
                  <c:v>5927</c:v>
                </c:pt>
                <c:pt idx="273">
                  <c:v>5928</c:v>
                </c:pt>
                <c:pt idx="274">
                  <c:v>5929</c:v>
                </c:pt>
                <c:pt idx="275">
                  <c:v>5930</c:v>
                </c:pt>
                <c:pt idx="276">
                  <c:v>5931</c:v>
                </c:pt>
                <c:pt idx="277">
                  <c:v>5932</c:v>
                </c:pt>
                <c:pt idx="278">
                  <c:v>5933</c:v>
                </c:pt>
                <c:pt idx="279">
                  <c:v>5934</c:v>
                </c:pt>
                <c:pt idx="280">
                  <c:v>6137</c:v>
                </c:pt>
                <c:pt idx="281">
                  <c:v>6138</c:v>
                </c:pt>
                <c:pt idx="282">
                  <c:v>6139</c:v>
                </c:pt>
                <c:pt idx="283">
                  <c:v>6140</c:v>
                </c:pt>
                <c:pt idx="284">
                  <c:v>6141</c:v>
                </c:pt>
                <c:pt idx="285">
                  <c:v>6142</c:v>
                </c:pt>
                <c:pt idx="286">
                  <c:v>6143</c:v>
                </c:pt>
                <c:pt idx="287">
                  <c:v>6144</c:v>
                </c:pt>
                <c:pt idx="288">
                  <c:v>6145</c:v>
                </c:pt>
                <c:pt idx="289">
                  <c:v>6146</c:v>
                </c:pt>
                <c:pt idx="290">
                  <c:v>6147</c:v>
                </c:pt>
                <c:pt idx="291">
                  <c:v>6148</c:v>
                </c:pt>
                <c:pt idx="292">
                  <c:v>6149</c:v>
                </c:pt>
                <c:pt idx="293">
                  <c:v>6150</c:v>
                </c:pt>
                <c:pt idx="294">
                  <c:v>6151</c:v>
                </c:pt>
                <c:pt idx="295">
                  <c:v>6152</c:v>
                </c:pt>
                <c:pt idx="296">
                  <c:v>6153</c:v>
                </c:pt>
                <c:pt idx="297">
                  <c:v>6154</c:v>
                </c:pt>
                <c:pt idx="298">
                  <c:v>6155</c:v>
                </c:pt>
                <c:pt idx="299">
                  <c:v>6156</c:v>
                </c:pt>
                <c:pt idx="300">
                  <c:v>6600</c:v>
                </c:pt>
                <c:pt idx="301">
                  <c:v>6601</c:v>
                </c:pt>
                <c:pt idx="302">
                  <c:v>6602</c:v>
                </c:pt>
                <c:pt idx="303">
                  <c:v>6603</c:v>
                </c:pt>
                <c:pt idx="304">
                  <c:v>6604</c:v>
                </c:pt>
                <c:pt idx="305">
                  <c:v>6605</c:v>
                </c:pt>
                <c:pt idx="306">
                  <c:v>6606</c:v>
                </c:pt>
                <c:pt idx="307">
                  <c:v>6607</c:v>
                </c:pt>
                <c:pt idx="308">
                  <c:v>6608</c:v>
                </c:pt>
                <c:pt idx="309">
                  <c:v>6609</c:v>
                </c:pt>
                <c:pt idx="310">
                  <c:v>6610</c:v>
                </c:pt>
                <c:pt idx="311">
                  <c:v>6611</c:v>
                </c:pt>
                <c:pt idx="312">
                  <c:v>6612</c:v>
                </c:pt>
                <c:pt idx="313">
                  <c:v>6613</c:v>
                </c:pt>
                <c:pt idx="314">
                  <c:v>6614</c:v>
                </c:pt>
                <c:pt idx="315">
                  <c:v>6615</c:v>
                </c:pt>
                <c:pt idx="316">
                  <c:v>6616</c:v>
                </c:pt>
                <c:pt idx="317">
                  <c:v>6617</c:v>
                </c:pt>
                <c:pt idx="318">
                  <c:v>6618</c:v>
                </c:pt>
                <c:pt idx="319">
                  <c:v>6619</c:v>
                </c:pt>
                <c:pt idx="320">
                  <c:v>6823</c:v>
                </c:pt>
                <c:pt idx="321">
                  <c:v>6824</c:v>
                </c:pt>
                <c:pt idx="322">
                  <c:v>6825</c:v>
                </c:pt>
                <c:pt idx="323">
                  <c:v>6826</c:v>
                </c:pt>
                <c:pt idx="324">
                  <c:v>6827</c:v>
                </c:pt>
                <c:pt idx="325">
                  <c:v>6828</c:v>
                </c:pt>
                <c:pt idx="326">
                  <c:v>6829</c:v>
                </c:pt>
                <c:pt idx="327">
                  <c:v>6830</c:v>
                </c:pt>
                <c:pt idx="328">
                  <c:v>6831</c:v>
                </c:pt>
                <c:pt idx="329">
                  <c:v>6832</c:v>
                </c:pt>
                <c:pt idx="330">
                  <c:v>6833</c:v>
                </c:pt>
                <c:pt idx="331">
                  <c:v>6834</c:v>
                </c:pt>
                <c:pt idx="332">
                  <c:v>6835</c:v>
                </c:pt>
                <c:pt idx="333">
                  <c:v>6836</c:v>
                </c:pt>
                <c:pt idx="334">
                  <c:v>6837</c:v>
                </c:pt>
                <c:pt idx="335">
                  <c:v>6838</c:v>
                </c:pt>
                <c:pt idx="336">
                  <c:v>6839</c:v>
                </c:pt>
                <c:pt idx="337">
                  <c:v>6840</c:v>
                </c:pt>
                <c:pt idx="338">
                  <c:v>6841</c:v>
                </c:pt>
                <c:pt idx="339">
                  <c:v>6842</c:v>
                </c:pt>
                <c:pt idx="340">
                  <c:v>7090</c:v>
                </c:pt>
                <c:pt idx="341">
                  <c:v>7091</c:v>
                </c:pt>
                <c:pt idx="342">
                  <c:v>7092</c:v>
                </c:pt>
                <c:pt idx="343">
                  <c:v>7093</c:v>
                </c:pt>
                <c:pt idx="344">
                  <c:v>7094</c:v>
                </c:pt>
                <c:pt idx="345">
                  <c:v>7095</c:v>
                </c:pt>
                <c:pt idx="346">
                  <c:v>7096</c:v>
                </c:pt>
                <c:pt idx="347">
                  <c:v>7097</c:v>
                </c:pt>
                <c:pt idx="348">
                  <c:v>7098</c:v>
                </c:pt>
                <c:pt idx="349">
                  <c:v>7099</c:v>
                </c:pt>
                <c:pt idx="350">
                  <c:v>7100</c:v>
                </c:pt>
                <c:pt idx="351">
                  <c:v>7101</c:v>
                </c:pt>
                <c:pt idx="352">
                  <c:v>7102</c:v>
                </c:pt>
                <c:pt idx="353">
                  <c:v>7103</c:v>
                </c:pt>
                <c:pt idx="354">
                  <c:v>7104</c:v>
                </c:pt>
                <c:pt idx="355">
                  <c:v>7105</c:v>
                </c:pt>
                <c:pt idx="356">
                  <c:v>7106</c:v>
                </c:pt>
                <c:pt idx="357">
                  <c:v>7107</c:v>
                </c:pt>
                <c:pt idx="358">
                  <c:v>7108</c:v>
                </c:pt>
                <c:pt idx="359">
                  <c:v>7109</c:v>
                </c:pt>
                <c:pt idx="360">
                  <c:v>7413</c:v>
                </c:pt>
                <c:pt idx="361">
                  <c:v>7414</c:v>
                </c:pt>
                <c:pt idx="362">
                  <c:v>7415</c:v>
                </c:pt>
                <c:pt idx="363">
                  <c:v>7416</c:v>
                </c:pt>
                <c:pt idx="364">
                  <c:v>7417</c:v>
                </c:pt>
                <c:pt idx="365">
                  <c:v>7418</c:v>
                </c:pt>
                <c:pt idx="366">
                  <c:v>7419</c:v>
                </c:pt>
                <c:pt idx="367">
                  <c:v>7420</c:v>
                </c:pt>
                <c:pt idx="368">
                  <c:v>7421</c:v>
                </c:pt>
                <c:pt idx="369">
                  <c:v>7422</c:v>
                </c:pt>
                <c:pt idx="370">
                  <c:v>7423</c:v>
                </c:pt>
                <c:pt idx="371">
                  <c:v>7424</c:v>
                </c:pt>
                <c:pt idx="372">
                  <c:v>7425</c:v>
                </c:pt>
                <c:pt idx="373">
                  <c:v>7426</c:v>
                </c:pt>
                <c:pt idx="374">
                  <c:v>7427</c:v>
                </c:pt>
                <c:pt idx="375">
                  <c:v>7428</c:v>
                </c:pt>
                <c:pt idx="376">
                  <c:v>7429</c:v>
                </c:pt>
                <c:pt idx="377">
                  <c:v>7430</c:v>
                </c:pt>
                <c:pt idx="378">
                  <c:v>7431</c:v>
                </c:pt>
                <c:pt idx="379">
                  <c:v>7432</c:v>
                </c:pt>
                <c:pt idx="380">
                  <c:v>7931</c:v>
                </c:pt>
                <c:pt idx="381">
                  <c:v>7932</c:v>
                </c:pt>
                <c:pt idx="382">
                  <c:v>7933</c:v>
                </c:pt>
                <c:pt idx="383">
                  <c:v>7934</c:v>
                </c:pt>
                <c:pt idx="384">
                  <c:v>7935</c:v>
                </c:pt>
                <c:pt idx="385">
                  <c:v>7936</c:v>
                </c:pt>
                <c:pt idx="386">
                  <c:v>7937</c:v>
                </c:pt>
                <c:pt idx="387">
                  <c:v>7938</c:v>
                </c:pt>
                <c:pt idx="388">
                  <c:v>7939</c:v>
                </c:pt>
                <c:pt idx="389">
                  <c:v>7940</c:v>
                </c:pt>
                <c:pt idx="390">
                  <c:v>7941</c:v>
                </c:pt>
                <c:pt idx="391">
                  <c:v>7942</c:v>
                </c:pt>
                <c:pt idx="392">
                  <c:v>7943</c:v>
                </c:pt>
                <c:pt idx="393">
                  <c:v>7944</c:v>
                </c:pt>
                <c:pt idx="394">
                  <c:v>7945</c:v>
                </c:pt>
                <c:pt idx="395">
                  <c:v>7946</c:v>
                </c:pt>
                <c:pt idx="396">
                  <c:v>7947</c:v>
                </c:pt>
                <c:pt idx="397">
                  <c:v>7948</c:v>
                </c:pt>
                <c:pt idx="398">
                  <c:v>7949</c:v>
                </c:pt>
                <c:pt idx="399">
                  <c:v>7950</c:v>
                </c:pt>
                <c:pt idx="400">
                  <c:v>8361</c:v>
                </c:pt>
                <c:pt idx="401">
                  <c:v>8362</c:v>
                </c:pt>
                <c:pt idx="402">
                  <c:v>8363</c:v>
                </c:pt>
                <c:pt idx="403">
                  <c:v>8364</c:v>
                </c:pt>
                <c:pt idx="404">
                  <c:v>8365</c:v>
                </c:pt>
                <c:pt idx="405">
                  <c:v>8366</c:v>
                </c:pt>
                <c:pt idx="406">
                  <c:v>8367</c:v>
                </c:pt>
                <c:pt idx="407">
                  <c:v>8368</c:v>
                </c:pt>
                <c:pt idx="408">
                  <c:v>8369</c:v>
                </c:pt>
                <c:pt idx="409">
                  <c:v>8370</c:v>
                </c:pt>
                <c:pt idx="410">
                  <c:v>8371</c:v>
                </c:pt>
                <c:pt idx="411">
                  <c:v>8372</c:v>
                </c:pt>
                <c:pt idx="412">
                  <c:v>8373</c:v>
                </c:pt>
                <c:pt idx="413">
                  <c:v>8374</c:v>
                </c:pt>
                <c:pt idx="414">
                  <c:v>8375</c:v>
                </c:pt>
                <c:pt idx="415">
                  <c:v>8376</c:v>
                </c:pt>
                <c:pt idx="416">
                  <c:v>8377</c:v>
                </c:pt>
                <c:pt idx="417">
                  <c:v>8378</c:v>
                </c:pt>
                <c:pt idx="418">
                  <c:v>8379</c:v>
                </c:pt>
                <c:pt idx="419">
                  <c:v>8380</c:v>
                </c:pt>
                <c:pt idx="420">
                  <c:v>8679</c:v>
                </c:pt>
                <c:pt idx="421">
                  <c:v>8680</c:v>
                </c:pt>
                <c:pt idx="422">
                  <c:v>8681</c:v>
                </c:pt>
                <c:pt idx="423">
                  <c:v>8682</c:v>
                </c:pt>
                <c:pt idx="424">
                  <c:v>8683</c:v>
                </c:pt>
                <c:pt idx="425">
                  <c:v>8684</c:v>
                </c:pt>
                <c:pt idx="426">
                  <c:v>8685</c:v>
                </c:pt>
                <c:pt idx="427">
                  <c:v>8686</c:v>
                </c:pt>
                <c:pt idx="428">
                  <c:v>8687</c:v>
                </c:pt>
                <c:pt idx="429">
                  <c:v>8688</c:v>
                </c:pt>
                <c:pt idx="430">
                  <c:v>8689</c:v>
                </c:pt>
                <c:pt idx="431">
                  <c:v>8690</c:v>
                </c:pt>
                <c:pt idx="432">
                  <c:v>8691</c:v>
                </c:pt>
                <c:pt idx="433">
                  <c:v>8692</c:v>
                </c:pt>
                <c:pt idx="434">
                  <c:v>8693</c:v>
                </c:pt>
                <c:pt idx="435">
                  <c:v>8694</c:v>
                </c:pt>
                <c:pt idx="436">
                  <c:v>8695</c:v>
                </c:pt>
                <c:pt idx="437">
                  <c:v>8696</c:v>
                </c:pt>
                <c:pt idx="438">
                  <c:v>8697</c:v>
                </c:pt>
                <c:pt idx="439">
                  <c:v>8698</c:v>
                </c:pt>
                <c:pt idx="440">
                  <c:v>9074</c:v>
                </c:pt>
                <c:pt idx="441">
                  <c:v>9075</c:v>
                </c:pt>
                <c:pt idx="442">
                  <c:v>9076</c:v>
                </c:pt>
                <c:pt idx="443">
                  <c:v>9077</c:v>
                </c:pt>
                <c:pt idx="444">
                  <c:v>9078</c:v>
                </c:pt>
                <c:pt idx="445">
                  <c:v>9079</c:v>
                </c:pt>
                <c:pt idx="446">
                  <c:v>9080</c:v>
                </c:pt>
                <c:pt idx="447">
                  <c:v>9081</c:v>
                </c:pt>
                <c:pt idx="448">
                  <c:v>9082</c:v>
                </c:pt>
                <c:pt idx="449">
                  <c:v>9083</c:v>
                </c:pt>
                <c:pt idx="450">
                  <c:v>9084</c:v>
                </c:pt>
                <c:pt idx="451">
                  <c:v>9085</c:v>
                </c:pt>
                <c:pt idx="452">
                  <c:v>9086</c:v>
                </c:pt>
                <c:pt idx="453">
                  <c:v>9087</c:v>
                </c:pt>
                <c:pt idx="454">
                  <c:v>9088</c:v>
                </c:pt>
                <c:pt idx="455">
                  <c:v>9089</c:v>
                </c:pt>
                <c:pt idx="456">
                  <c:v>9090</c:v>
                </c:pt>
                <c:pt idx="457">
                  <c:v>9091</c:v>
                </c:pt>
                <c:pt idx="458">
                  <c:v>9092</c:v>
                </c:pt>
                <c:pt idx="459">
                  <c:v>9093</c:v>
                </c:pt>
                <c:pt idx="460">
                  <c:v>9304</c:v>
                </c:pt>
                <c:pt idx="461">
                  <c:v>9305</c:v>
                </c:pt>
                <c:pt idx="462">
                  <c:v>9306</c:v>
                </c:pt>
                <c:pt idx="463">
                  <c:v>9307</c:v>
                </c:pt>
                <c:pt idx="464">
                  <c:v>9308</c:v>
                </c:pt>
                <c:pt idx="465">
                  <c:v>9309</c:v>
                </c:pt>
                <c:pt idx="466">
                  <c:v>9310</c:v>
                </c:pt>
                <c:pt idx="467">
                  <c:v>9311</c:v>
                </c:pt>
                <c:pt idx="468">
                  <c:v>9312</c:v>
                </c:pt>
                <c:pt idx="469">
                  <c:v>9313</c:v>
                </c:pt>
                <c:pt idx="470">
                  <c:v>9314</c:v>
                </c:pt>
                <c:pt idx="471">
                  <c:v>9315</c:v>
                </c:pt>
                <c:pt idx="472">
                  <c:v>9316</c:v>
                </c:pt>
                <c:pt idx="473">
                  <c:v>9317</c:v>
                </c:pt>
                <c:pt idx="474">
                  <c:v>9318</c:v>
                </c:pt>
                <c:pt idx="475">
                  <c:v>9319</c:v>
                </c:pt>
                <c:pt idx="476">
                  <c:v>9320</c:v>
                </c:pt>
                <c:pt idx="477">
                  <c:v>9321</c:v>
                </c:pt>
                <c:pt idx="478">
                  <c:v>9322</c:v>
                </c:pt>
                <c:pt idx="479">
                  <c:v>9323</c:v>
                </c:pt>
                <c:pt idx="480">
                  <c:v>9774</c:v>
                </c:pt>
                <c:pt idx="481">
                  <c:v>9775</c:v>
                </c:pt>
                <c:pt idx="482">
                  <c:v>9776</c:v>
                </c:pt>
                <c:pt idx="483">
                  <c:v>9777</c:v>
                </c:pt>
                <c:pt idx="484">
                  <c:v>9778</c:v>
                </c:pt>
                <c:pt idx="485">
                  <c:v>9779</c:v>
                </c:pt>
                <c:pt idx="486">
                  <c:v>9780</c:v>
                </c:pt>
                <c:pt idx="487">
                  <c:v>9781</c:v>
                </c:pt>
                <c:pt idx="488">
                  <c:v>9782</c:v>
                </c:pt>
                <c:pt idx="489">
                  <c:v>9783</c:v>
                </c:pt>
                <c:pt idx="490">
                  <c:v>9784</c:v>
                </c:pt>
                <c:pt idx="491">
                  <c:v>9785</c:v>
                </c:pt>
                <c:pt idx="492">
                  <c:v>9786</c:v>
                </c:pt>
                <c:pt idx="493">
                  <c:v>9787</c:v>
                </c:pt>
                <c:pt idx="494">
                  <c:v>9788</c:v>
                </c:pt>
                <c:pt idx="495">
                  <c:v>9789</c:v>
                </c:pt>
                <c:pt idx="496">
                  <c:v>9790</c:v>
                </c:pt>
                <c:pt idx="497">
                  <c:v>9791</c:v>
                </c:pt>
                <c:pt idx="498">
                  <c:v>9792</c:v>
                </c:pt>
                <c:pt idx="499">
                  <c:v>9793</c:v>
                </c:pt>
                <c:pt idx="500">
                  <c:v>10014</c:v>
                </c:pt>
                <c:pt idx="501">
                  <c:v>10015</c:v>
                </c:pt>
                <c:pt idx="502">
                  <c:v>10016</c:v>
                </c:pt>
                <c:pt idx="503">
                  <c:v>10017</c:v>
                </c:pt>
                <c:pt idx="504">
                  <c:v>10018</c:v>
                </c:pt>
                <c:pt idx="505">
                  <c:v>10019</c:v>
                </c:pt>
                <c:pt idx="506">
                  <c:v>10020</c:v>
                </c:pt>
                <c:pt idx="507">
                  <c:v>10021</c:v>
                </c:pt>
                <c:pt idx="508">
                  <c:v>10022</c:v>
                </c:pt>
                <c:pt idx="509">
                  <c:v>10023</c:v>
                </c:pt>
                <c:pt idx="510">
                  <c:v>10024</c:v>
                </c:pt>
                <c:pt idx="511">
                  <c:v>10025</c:v>
                </c:pt>
                <c:pt idx="512">
                  <c:v>10026</c:v>
                </c:pt>
                <c:pt idx="513">
                  <c:v>10027</c:v>
                </c:pt>
                <c:pt idx="514">
                  <c:v>10028</c:v>
                </c:pt>
                <c:pt idx="515">
                  <c:v>10029</c:v>
                </c:pt>
                <c:pt idx="516">
                  <c:v>10030</c:v>
                </c:pt>
                <c:pt idx="517">
                  <c:v>10031</c:v>
                </c:pt>
                <c:pt idx="518">
                  <c:v>10032</c:v>
                </c:pt>
                <c:pt idx="519">
                  <c:v>10033</c:v>
                </c:pt>
                <c:pt idx="520">
                  <c:v>11975</c:v>
                </c:pt>
                <c:pt idx="521">
                  <c:v>11976</c:v>
                </c:pt>
                <c:pt idx="522">
                  <c:v>11977</c:v>
                </c:pt>
                <c:pt idx="523">
                  <c:v>11978</c:v>
                </c:pt>
                <c:pt idx="524">
                  <c:v>11979</c:v>
                </c:pt>
                <c:pt idx="525">
                  <c:v>11980</c:v>
                </c:pt>
                <c:pt idx="526">
                  <c:v>11981</c:v>
                </c:pt>
                <c:pt idx="527">
                  <c:v>11982</c:v>
                </c:pt>
                <c:pt idx="528">
                  <c:v>11983</c:v>
                </c:pt>
                <c:pt idx="529">
                  <c:v>11984</c:v>
                </c:pt>
                <c:pt idx="530">
                  <c:v>11985</c:v>
                </c:pt>
                <c:pt idx="531">
                  <c:v>11986</c:v>
                </c:pt>
                <c:pt idx="532">
                  <c:v>11987</c:v>
                </c:pt>
                <c:pt idx="533">
                  <c:v>11988</c:v>
                </c:pt>
                <c:pt idx="534">
                  <c:v>11989</c:v>
                </c:pt>
                <c:pt idx="535">
                  <c:v>11990</c:v>
                </c:pt>
                <c:pt idx="536">
                  <c:v>11991</c:v>
                </c:pt>
                <c:pt idx="537">
                  <c:v>11992</c:v>
                </c:pt>
                <c:pt idx="538">
                  <c:v>11993</c:v>
                </c:pt>
                <c:pt idx="539">
                  <c:v>11994</c:v>
                </c:pt>
                <c:pt idx="540">
                  <c:v>12381</c:v>
                </c:pt>
                <c:pt idx="541">
                  <c:v>12382</c:v>
                </c:pt>
                <c:pt idx="542">
                  <c:v>12383</c:v>
                </c:pt>
                <c:pt idx="543">
                  <c:v>12384</c:v>
                </c:pt>
                <c:pt idx="544">
                  <c:v>12385</c:v>
                </c:pt>
                <c:pt idx="545">
                  <c:v>12386</c:v>
                </c:pt>
                <c:pt idx="546">
                  <c:v>12387</c:v>
                </c:pt>
                <c:pt idx="547">
                  <c:v>12388</c:v>
                </c:pt>
                <c:pt idx="548">
                  <c:v>12389</c:v>
                </c:pt>
                <c:pt idx="549">
                  <c:v>12390</c:v>
                </c:pt>
                <c:pt idx="550">
                  <c:v>12391</c:v>
                </c:pt>
                <c:pt idx="551">
                  <c:v>12392</c:v>
                </c:pt>
                <c:pt idx="552">
                  <c:v>12393</c:v>
                </c:pt>
                <c:pt idx="553">
                  <c:v>12394</c:v>
                </c:pt>
                <c:pt idx="554">
                  <c:v>12395</c:v>
                </c:pt>
                <c:pt idx="555">
                  <c:v>12396</c:v>
                </c:pt>
                <c:pt idx="556">
                  <c:v>12397</c:v>
                </c:pt>
                <c:pt idx="557">
                  <c:v>12398</c:v>
                </c:pt>
                <c:pt idx="558">
                  <c:v>12399</c:v>
                </c:pt>
                <c:pt idx="559">
                  <c:v>12400</c:v>
                </c:pt>
                <c:pt idx="560">
                  <c:v>12432</c:v>
                </c:pt>
                <c:pt idx="561">
                  <c:v>12433</c:v>
                </c:pt>
                <c:pt idx="562">
                  <c:v>12434</c:v>
                </c:pt>
                <c:pt idx="563">
                  <c:v>12435</c:v>
                </c:pt>
                <c:pt idx="564">
                  <c:v>12436</c:v>
                </c:pt>
                <c:pt idx="565">
                  <c:v>12437</c:v>
                </c:pt>
                <c:pt idx="566">
                  <c:v>12438</c:v>
                </c:pt>
                <c:pt idx="567">
                  <c:v>12439</c:v>
                </c:pt>
                <c:pt idx="568">
                  <c:v>12440</c:v>
                </c:pt>
                <c:pt idx="569">
                  <c:v>12441</c:v>
                </c:pt>
                <c:pt idx="570">
                  <c:v>12442</c:v>
                </c:pt>
                <c:pt idx="571">
                  <c:v>12443</c:v>
                </c:pt>
                <c:pt idx="572">
                  <c:v>12444</c:v>
                </c:pt>
                <c:pt idx="573">
                  <c:v>12445</c:v>
                </c:pt>
                <c:pt idx="574">
                  <c:v>12446</c:v>
                </c:pt>
                <c:pt idx="575">
                  <c:v>12447</c:v>
                </c:pt>
                <c:pt idx="576">
                  <c:v>12448</c:v>
                </c:pt>
                <c:pt idx="577">
                  <c:v>12449</c:v>
                </c:pt>
                <c:pt idx="578">
                  <c:v>12450</c:v>
                </c:pt>
                <c:pt idx="579">
                  <c:v>12451</c:v>
                </c:pt>
                <c:pt idx="580">
                  <c:v>12951</c:v>
                </c:pt>
                <c:pt idx="581">
                  <c:v>12952</c:v>
                </c:pt>
                <c:pt idx="582">
                  <c:v>12953</c:v>
                </c:pt>
                <c:pt idx="583">
                  <c:v>12954</c:v>
                </c:pt>
                <c:pt idx="584">
                  <c:v>12955</c:v>
                </c:pt>
                <c:pt idx="585">
                  <c:v>12956</c:v>
                </c:pt>
                <c:pt idx="586">
                  <c:v>12957</c:v>
                </c:pt>
                <c:pt idx="587">
                  <c:v>12958</c:v>
                </c:pt>
                <c:pt idx="588">
                  <c:v>12959</c:v>
                </c:pt>
                <c:pt idx="589">
                  <c:v>12960</c:v>
                </c:pt>
                <c:pt idx="590">
                  <c:v>12961</c:v>
                </c:pt>
                <c:pt idx="591">
                  <c:v>12962</c:v>
                </c:pt>
                <c:pt idx="592">
                  <c:v>12963</c:v>
                </c:pt>
                <c:pt idx="593">
                  <c:v>12964</c:v>
                </c:pt>
                <c:pt idx="594">
                  <c:v>12965</c:v>
                </c:pt>
                <c:pt idx="595">
                  <c:v>12966</c:v>
                </c:pt>
                <c:pt idx="596">
                  <c:v>12967</c:v>
                </c:pt>
                <c:pt idx="597">
                  <c:v>12968</c:v>
                </c:pt>
                <c:pt idx="598">
                  <c:v>12969</c:v>
                </c:pt>
                <c:pt idx="599">
                  <c:v>12970</c:v>
                </c:pt>
                <c:pt idx="600">
                  <c:v>13232</c:v>
                </c:pt>
                <c:pt idx="601">
                  <c:v>13233</c:v>
                </c:pt>
                <c:pt idx="602">
                  <c:v>13234</c:v>
                </c:pt>
                <c:pt idx="603">
                  <c:v>13235</c:v>
                </c:pt>
                <c:pt idx="604">
                  <c:v>13236</c:v>
                </c:pt>
                <c:pt idx="605">
                  <c:v>13237</c:v>
                </c:pt>
                <c:pt idx="606">
                  <c:v>13238</c:v>
                </c:pt>
                <c:pt idx="607">
                  <c:v>13239</c:v>
                </c:pt>
                <c:pt idx="608">
                  <c:v>13240</c:v>
                </c:pt>
                <c:pt idx="609">
                  <c:v>13241</c:v>
                </c:pt>
                <c:pt idx="610">
                  <c:v>13242</c:v>
                </c:pt>
                <c:pt idx="611">
                  <c:v>13243</c:v>
                </c:pt>
                <c:pt idx="612">
                  <c:v>13244</c:v>
                </c:pt>
                <c:pt idx="613">
                  <c:v>13245</c:v>
                </c:pt>
                <c:pt idx="614">
                  <c:v>13246</c:v>
                </c:pt>
                <c:pt idx="615">
                  <c:v>13247</c:v>
                </c:pt>
                <c:pt idx="616">
                  <c:v>13248</c:v>
                </c:pt>
                <c:pt idx="617">
                  <c:v>13249</c:v>
                </c:pt>
                <c:pt idx="618">
                  <c:v>13250</c:v>
                </c:pt>
                <c:pt idx="619">
                  <c:v>13251</c:v>
                </c:pt>
                <c:pt idx="620">
                  <c:v>13760</c:v>
                </c:pt>
                <c:pt idx="621">
                  <c:v>13761</c:v>
                </c:pt>
                <c:pt idx="622">
                  <c:v>13762</c:v>
                </c:pt>
                <c:pt idx="623">
                  <c:v>13763</c:v>
                </c:pt>
                <c:pt idx="624">
                  <c:v>13764</c:v>
                </c:pt>
                <c:pt idx="625">
                  <c:v>13765</c:v>
                </c:pt>
                <c:pt idx="626">
                  <c:v>13766</c:v>
                </c:pt>
                <c:pt idx="627">
                  <c:v>13767</c:v>
                </c:pt>
                <c:pt idx="628">
                  <c:v>13768</c:v>
                </c:pt>
                <c:pt idx="629">
                  <c:v>13769</c:v>
                </c:pt>
                <c:pt idx="630">
                  <c:v>13770</c:v>
                </c:pt>
                <c:pt idx="631">
                  <c:v>13771</c:v>
                </c:pt>
                <c:pt idx="632">
                  <c:v>13772</c:v>
                </c:pt>
                <c:pt idx="633">
                  <c:v>13773</c:v>
                </c:pt>
                <c:pt idx="634">
                  <c:v>13774</c:v>
                </c:pt>
                <c:pt idx="635">
                  <c:v>13775</c:v>
                </c:pt>
                <c:pt idx="636">
                  <c:v>13776</c:v>
                </c:pt>
                <c:pt idx="637">
                  <c:v>13777</c:v>
                </c:pt>
                <c:pt idx="638">
                  <c:v>13778</c:v>
                </c:pt>
                <c:pt idx="639">
                  <c:v>13779</c:v>
                </c:pt>
                <c:pt idx="640">
                  <c:v>14021</c:v>
                </c:pt>
                <c:pt idx="641">
                  <c:v>14022</c:v>
                </c:pt>
                <c:pt idx="642">
                  <c:v>14023</c:v>
                </c:pt>
                <c:pt idx="643">
                  <c:v>14024</c:v>
                </c:pt>
                <c:pt idx="644">
                  <c:v>14025</c:v>
                </c:pt>
                <c:pt idx="645">
                  <c:v>14026</c:v>
                </c:pt>
                <c:pt idx="646">
                  <c:v>14027</c:v>
                </c:pt>
                <c:pt idx="647">
                  <c:v>14028</c:v>
                </c:pt>
                <c:pt idx="648">
                  <c:v>14029</c:v>
                </c:pt>
                <c:pt idx="649">
                  <c:v>14030</c:v>
                </c:pt>
                <c:pt idx="650">
                  <c:v>14031</c:v>
                </c:pt>
                <c:pt idx="651">
                  <c:v>14032</c:v>
                </c:pt>
                <c:pt idx="652">
                  <c:v>14033</c:v>
                </c:pt>
                <c:pt idx="653">
                  <c:v>14034</c:v>
                </c:pt>
                <c:pt idx="654">
                  <c:v>14035</c:v>
                </c:pt>
                <c:pt idx="655">
                  <c:v>14036</c:v>
                </c:pt>
                <c:pt idx="656">
                  <c:v>14037</c:v>
                </c:pt>
                <c:pt idx="657">
                  <c:v>14038</c:v>
                </c:pt>
                <c:pt idx="658">
                  <c:v>14039</c:v>
                </c:pt>
                <c:pt idx="659">
                  <c:v>14040</c:v>
                </c:pt>
                <c:pt idx="660">
                  <c:v>14547</c:v>
                </c:pt>
                <c:pt idx="661">
                  <c:v>14548</c:v>
                </c:pt>
                <c:pt idx="662">
                  <c:v>14549</c:v>
                </c:pt>
                <c:pt idx="663">
                  <c:v>14550</c:v>
                </c:pt>
                <c:pt idx="664">
                  <c:v>14551</c:v>
                </c:pt>
                <c:pt idx="665">
                  <c:v>14552</c:v>
                </c:pt>
                <c:pt idx="666">
                  <c:v>14553</c:v>
                </c:pt>
                <c:pt idx="667">
                  <c:v>14554</c:v>
                </c:pt>
                <c:pt idx="668">
                  <c:v>14555</c:v>
                </c:pt>
                <c:pt idx="669">
                  <c:v>14556</c:v>
                </c:pt>
                <c:pt idx="670">
                  <c:v>14557</c:v>
                </c:pt>
                <c:pt idx="671">
                  <c:v>14558</c:v>
                </c:pt>
                <c:pt idx="672">
                  <c:v>14559</c:v>
                </c:pt>
                <c:pt idx="673">
                  <c:v>14560</c:v>
                </c:pt>
                <c:pt idx="674">
                  <c:v>14561</c:v>
                </c:pt>
                <c:pt idx="675">
                  <c:v>14562</c:v>
                </c:pt>
                <c:pt idx="676">
                  <c:v>14563</c:v>
                </c:pt>
                <c:pt idx="677">
                  <c:v>14564</c:v>
                </c:pt>
                <c:pt idx="678">
                  <c:v>14565</c:v>
                </c:pt>
                <c:pt idx="679">
                  <c:v>14566</c:v>
                </c:pt>
                <c:pt idx="680">
                  <c:v>14901</c:v>
                </c:pt>
                <c:pt idx="681">
                  <c:v>14902</c:v>
                </c:pt>
                <c:pt idx="682">
                  <c:v>14903</c:v>
                </c:pt>
                <c:pt idx="683">
                  <c:v>14904</c:v>
                </c:pt>
                <c:pt idx="684">
                  <c:v>14905</c:v>
                </c:pt>
                <c:pt idx="685">
                  <c:v>14906</c:v>
                </c:pt>
                <c:pt idx="686">
                  <c:v>14907</c:v>
                </c:pt>
                <c:pt idx="687">
                  <c:v>14908</c:v>
                </c:pt>
                <c:pt idx="688">
                  <c:v>14909</c:v>
                </c:pt>
                <c:pt idx="689">
                  <c:v>14910</c:v>
                </c:pt>
                <c:pt idx="690">
                  <c:v>14911</c:v>
                </c:pt>
                <c:pt idx="691">
                  <c:v>14912</c:v>
                </c:pt>
                <c:pt idx="692">
                  <c:v>14913</c:v>
                </c:pt>
                <c:pt idx="693">
                  <c:v>14914</c:v>
                </c:pt>
                <c:pt idx="694">
                  <c:v>14915</c:v>
                </c:pt>
                <c:pt idx="695">
                  <c:v>14916</c:v>
                </c:pt>
                <c:pt idx="696">
                  <c:v>14917</c:v>
                </c:pt>
                <c:pt idx="697">
                  <c:v>14918</c:v>
                </c:pt>
                <c:pt idx="698">
                  <c:v>14919</c:v>
                </c:pt>
                <c:pt idx="699">
                  <c:v>14920</c:v>
                </c:pt>
                <c:pt idx="700">
                  <c:v>15256</c:v>
                </c:pt>
                <c:pt idx="701">
                  <c:v>15257</c:v>
                </c:pt>
                <c:pt idx="702">
                  <c:v>15258</c:v>
                </c:pt>
                <c:pt idx="703">
                  <c:v>15259</c:v>
                </c:pt>
                <c:pt idx="704">
                  <c:v>15260</c:v>
                </c:pt>
                <c:pt idx="705">
                  <c:v>15261</c:v>
                </c:pt>
                <c:pt idx="706">
                  <c:v>15262</c:v>
                </c:pt>
                <c:pt idx="707">
                  <c:v>15263</c:v>
                </c:pt>
                <c:pt idx="708">
                  <c:v>15264</c:v>
                </c:pt>
                <c:pt idx="709">
                  <c:v>15265</c:v>
                </c:pt>
                <c:pt idx="710">
                  <c:v>15266</c:v>
                </c:pt>
                <c:pt idx="711">
                  <c:v>15267</c:v>
                </c:pt>
                <c:pt idx="712">
                  <c:v>15268</c:v>
                </c:pt>
                <c:pt idx="713">
                  <c:v>15269</c:v>
                </c:pt>
                <c:pt idx="714">
                  <c:v>15270</c:v>
                </c:pt>
                <c:pt idx="715">
                  <c:v>15271</c:v>
                </c:pt>
                <c:pt idx="716">
                  <c:v>15272</c:v>
                </c:pt>
                <c:pt idx="717">
                  <c:v>15273</c:v>
                </c:pt>
                <c:pt idx="718">
                  <c:v>15274</c:v>
                </c:pt>
                <c:pt idx="719">
                  <c:v>15275</c:v>
                </c:pt>
                <c:pt idx="720">
                  <c:v>15636</c:v>
                </c:pt>
                <c:pt idx="721">
                  <c:v>15637</c:v>
                </c:pt>
                <c:pt idx="722">
                  <c:v>15638</c:v>
                </c:pt>
                <c:pt idx="723">
                  <c:v>15639</c:v>
                </c:pt>
                <c:pt idx="724">
                  <c:v>15640</c:v>
                </c:pt>
                <c:pt idx="725">
                  <c:v>15641</c:v>
                </c:pt>
                <c:pt idx="726">
                  <c:v>15642</c:v>
                </c:pt>
                <c:pt idx="727">
                  <c:v>15643</c:v>
                </c:pt>
                <c:pt idx="728">
                  <c:v>15644</c:v>
                </c:pt>
                <c:pt idx="729">
                  <c:v>15645</c:v>
                </c:pt>
                <c:pt idx="730">
                  <c:v>15646</c:v>
                </c:pt>
                <c:pt idx="731">
                  <c:v>15647</c:v>
                </c:pt>
                <c:pt idx="732">
                  <c:v>15648</c:v>
                </c:pt>
                <c:pt idx="733">
                  <c:v>15649</c:v>
                </c:pt>
                <c:pt idx="734">
                  <c:v>15650</c:v>
                </c:pt>
                <c:pt idx="735">
                  <c:v>15651</c:v>
                </c:pt>
                <c:pt idx="736">
                  <c:v>15652</c:v>
                </c:pt>
                <c:pt idx="737">
                  <c:v>15653</c:v>
                </c:pt>
                <c:pt idx="738">
                  <c:v>15654</c:v>
                </c:pt>
                <c:pt idx="739">
                  <c:v>15655</c:v>
                </c:pt>
                <c:pt idx="740">
                  <c:v>16226</c:v>
                </c:pt>
                <c:pt idx="741">
                  <c:v>16227</c:v>
                </c:pt>
                <c:pt idx="742">
                  <c:v>16228</c:v>
                </c:pt>
                <c:pt idx="743">
                  <c:v>16229</c:v>
                </c:pt>
                <c:pt idx="744">
                  <c:v>16230</c:v>
                </c:pt>
                <c:pt idx="745">
                  <c:v>16231</c:v>
                </c:pt>
                <c:pt idx="746">
                  <c:v>16232</c:v>
                </c:pt>
                <c:pt idx="747">
                  <c:v>16233</c:v>
                </c:pt>
                <c:pt idx="748">
                  <c:v>16234</c:v>
                </c:pt>
                <c:pt idx="749">
                  <c:v>16235</c:v>
                </c:pt>
                <c:pt idx="750">
                  <c:v>16236</c:v>
                </c:pt>
                <c:pt idx="751">
                  <c:v>16237</c:v>
                </c:pt>
                <c:pt idx="752">
                  <c:v>16238</c:v>
                </c:pt>
                <c:pt idx="753">
                  <c:v>16239</c:v>
                </c:pt>
                <c:pt idx="754">
                  <c:v>16240</c:v>
                </c:pt>
                <c:pt idx="755">
                  <c:v>16241</c:v>
                </c:pt>
                <c:pt idx="756">
                  <c:v>16242</c:v>
                </c:pt>
                <c:pt idx="757">
                  <c:v>16243</c:v>
                </c:pt>
                <c:pt idx="758">
                  <c:v>16244</c:v>
                </c:pt>
                <c:pt idx="759">
                  <c:v>16245</c:v>
                </c:pt>
                <c:pt idx="760">
                  <c:v>19126</c:v>
                </c:pt>
                <c:pt idx="761">
                  <c:v>19127</c:v>
                </c:pt>
                <c:pt idx="762">
                  <c:v>19128</c:v>
                </c:pt>
                <c:pt idx="763">
                  <c:v>19129</c:v>
                </c:pt>
                <c:pt idx="764">
                  <c:v>19130</c:v>
                </c:pt>
                <c:pt idx="765">
                  <c:v>19131</c:v>
                </c:pt>
                <c:pt idx="766">
                  <c:v>19132</c:v>
                </c:pt>
                <c:pt idx="767">
                  <c:v>19133</c:v>
                </c:pt>
                <c:pt idx="768">
                  <c:v>19134</c:v>
                </c:pt>
                <c:pt idx="769">
                  <c:v>19135</c:v>
                </c:pt>
                <c:pt idx="770">
                  <c:v>19136</c:v>
                </c:pt>
                <c:pt idx="771">
                  <c:v>19137</c:v>
                </c:pt>
                <c:pt idx="772">
                  <c:v>19138</c:v>
                </c:pt>
                <c:pt idx="773">
                  <c:v>19139</c:v>
                </c:pt>
                <c:pt idx="774">
                  <c:v>19140</c:v>
                </c:pt>
                <c:pt idx="775">
                  <c:v>19141</c:v>
                </c:pt>
                <c:pt idx="776">
                  <c:v>19142</c:v>
                </c:pt>
                <c:pt idx="777">
                  <c:v>19143</c:v>
                </c:pt>
                <c:pt idx="778">
                  <c:v>19144</c:v>
                </c:pt>
                <c:pt idx="779">
                  <c:v>19145</c:v>
                </c:pt>
                <c:pt idx="780">
                  <c:v>19466</c:v>
                </c:pt>
                <c:pt idx="781">
                  <c:v>19467</c:v>
                </c:pt>
                <c:pt idx="782">
                  <c:v>19468</c:v>
                </c:pt>
                <c:pt idx="783">
                  <c:v>19469</c:v>
                </c:pt>
                <c:pt idx="784">
                  <c:v>19470</c:v>
                </c:pt>
                <c:pt idx="785">
                  <c:v>19471</c:v>
                </c:pt>
                <c:pt idx="786">
                  <c:v>19472</c:v>
                </c:pt>
                <c:pt idx="787">
                  <c:v>19473</c:v>
                </c:pt>
                <c:pt idx="788">
                  <c:v>19474</c:v>
                </c:pt>
                <c:pt idx="789">
                  <c:v>19475</c:v>
                </c:pt>
                <c:pt idx="790">
                  <c:v>19476</c:v>
                </c:pt>
                <c:pt idx="791">
                  <c:v>19477</c:v>
                </c:pt>
                <c:pt idx="792">
                  <c:v>19478</c:v>
                </c:pt>
                <c:pt idx="793">
                  <c:v>19479</c:v>
                </c:pt>
                <c:pt idx="794">
                  <c:v>19480</c:v>
                </c:pt>
                <c:pt idx="795">
                  <c:v>19481</c:v>
                </c:pt>
                <c:pt idx="796">
                  <c:v>19482</c:v>
                </c:pt>
                <c:pt idx="797">
                  <c:v>19483</c:v>
                </c:pt>
                <c:pt idx="798">
                  <c:v>19484</c:v>
                </c:pt>
                <c:pt idx="799">
                  <c:v>19485</c:v>
                </c:pt>
                <c:pt idx="800">
                  <c:v>19761</c:v>
                </c:pt>
                <c:pt idx="801">
                  <c:v>19762</c:v>
                </c:pt>
                <c:pt idx="802">
                  <c:v>19763</c:v>
                </c:pt>
                <c:pt idx="803">
                  <c:v>19764</c:v>
                </c:pt>
                <c:pt idx="804">
                  <c:v>19765</c:v>
                </c:pt>
                <c:pt idx="805">
                  <c:v>19766</c:v>
                </c:pt>
                <c:pt idx="806">
                  <c:v>19767</c:v>
                </c:pt>
                <c:pt idx="807">
                  <c:v>19768</c:v>
                </c:pt>
                <c:pt idx="808">
                  <c:v>19769</c:v>
                </c:pt>
                <c:pt idx="809">
                  <c:v>19770</c:v>
                </c:pt>
                <c:pt idx="810">
                  <c:v>19771</c:v>
                </c:pt>
                <c:pt idx="811">
                  <c:v>19772</c:v>
                </c:pt>
                <c:pt idx="812">
                  <c:v>19773</c:v>
                </c:pt>
                <c:pt idx="813">
                  <c:v>19774</c:v>
                </c:pt>
                <c:pt idx="814">
                  <c:v>19775</c:v>
                </c:pt>
                <c:pt idx="815">
                  <c:v>19776</c:v>
                </c:pt>
                <c:pt idx="816">
                  <c:v>19777</c:v>
                </c:pt>
                <c:pt idx="817">
                  <c:v>19778</c:v>
                </c:pt>
                <c:pt idx="818">
                  <c:v>19779</c:v>
                </c:pt>
                <c:pt idx="819">
                  <c:v>19780</c:v>
                </c:pt>
                <c:pt idx="820">
                  <c:v>20150</c:v>
                </c:pt>
                <c:pt idx="821">
                  <c:v>20151</c:v>
                </c:pt>
                <c:pt idx="822">
                  <c:v>20152</c:v>
                </c:pt>
                <c:pt idx="823">
                  <c:v>20153</c:v>
                </c:pt>
                <c:pt idx="824">
                  <c:v>20154</c:v>
                </c:pt>
                <c:pt idx="825">
                  <c:v>20155</c:v>
                </c:pt>
                <c:pt idx="826">
                  <c:v>20156</c:v>
                </c:pt>
                <c:pt idx="827">
                  <c:v>20157</c:v>
                </c:pt>
                <c:pt idx="828">
                  <c:v>20158</c:v>
                </c:pt>
                <c:pt idx="829">
                  <c:v>20159</c:v>
                </c:pt>
                <c:pt idx="830">
                  <c:v>20160</c:v>
                </c:pt>
                <c:pt idx="831">
                  <c:v>20161</c:v>
                </c:pt>
                <c:pt idx="832">
                  <c:v>20162</c:v>
                </c:pt>
                <c:pt idx="833">
                  <c:v>20163</c:v>
                </c:pt>
                <c:pt idx="834">
                  <c:v>20164</c:v>
                </c:pt>
                <c:pt idx="835">
                  <c:v>20165</c:v>
                </c:pt>
                <c:pt idx="836">
                  <c:v>20166</c:v>
                </c:pt>
                <c:pt idx="837">
                  <c:v>20167</c:v>
                </c:pt>
                <c:pt idx="838">
                  <c:v>20168</c:v>
                </c:pt>
                <c:pt idx="839">
                  <c:v>20169</c:v>
                </c:pt>
                <c:pt idx="840">
                  <c:v>20434</c:v>
                </c:pt>
                <c:pt idx="841">
                  <c:v>20435</c:v>
                </c:pt>
                <c:pt idx="842">
                  <c:v>20436</c:v>
                </c:pt>
                <c:pt idx="843">
                  <c:v>20437</c:v>
                </c:pt>
                <c:pt idx="844">
                  <c:v>20438</c:v>
                </c:pt>
                <c:pt idx="845">
                  <c:v>20439</c:v>
                </c:pt>
                <c:pt idx="846">
                  <c:v>20440</c:v>
                </c:pt>
                <c:pt idx="847">
                  <c:v>20441</c:v>
                </c:pt>
                <c:pt idx="848">
                  <c:v>20442</c:v>
                </c:pt>
                <c:pt idx="849">
                  <c:v>20443</c:v>
                </c:pt>
                <c:pt idx="850">
                  <c:v>20444</c:v>
                </c:pt>
                <c:pt idx="851">
                  <c:v>20445</c:v>
                </c:pt>
                <c:pt idx="852">
                  <c:v>20446</c:v>
                </c:pt>
                <c:pt idx="853">
                  <c:v>20447</c:v>
                </c:pt>
                <c:pt idx="854">
                  <c:v>20448</c:v>
                </c:pt>
                <c:pt idx="855">
                  <c:v>20449</c:v>
                </c:pt>
                <c:pt idx="856">
                  <c:v>20450</c:v>
                </c:pt>
                <c:pt idx="857">
                  <c:v>20451</c:v>
                </c:pt>
                <c:pt idx="858">
                  <c:v>20452</c:v>
                </c:pt>
                <c:pt idx="859">
                  <c:v>20453</c:v>
                </c:pt>
                <c:pt idx="860">
                  <c:v>20845</c:v>
                </c:pt>
                <c:pt idx="861">
                  <c:v>20846</c:v>
                </c:pt>
                <c:pt idx="862">
                  <c:v>20847</c:v>
                </c:pt>
                <c:pt idx="863">
                  <c:v>20848</c:v>
                </c:pt>
                <c:pt idx="864">
                  <c:v>20849</c:v>
                </c:pt>
                <c:pt idx="865">
                  <c:v>20850</c:v>
                </c:pt>
                <c:pt idx="866">
                  <c:v>20851</c:v>
                </c:pt>
                <c:pt idx="867">
                  <c:v>20852</c:v>
                </c:pt>
                <c:pt idx="868">
                  <c:v>20853</c:v>
                </c:pt>
                <c:pt idx="869">
                  <c:v>20854</c:v>
                </c:pt>
                <c:pt idx="870">
                  <c:v>20855</c:v>
                </c:pt>
                <c:pt idx="871">
                  <c:v>20856</c:v>
                </c:pt>
                <c:pt idx="872">
                  <c:v>20857</c:v>
                </c:pt>
                <c:pt idx="873">
                  <c:v>20858</c:v>
                </c:pt>
                <c:pt idx="874">
                  <c:v>20859</c:v>
                </c:pt>
                <c:pt idx="875">
                  <c:v>20860</c:v>
                </c:pt>
                <c:pt idx="876">
                  <c:v>20861</c:v>
                </c:pt>
                <c:pt idx="877">
                  <c:v>20862</c:v>
                </c:pt>
                <c:pt idx="878">
                  <c:v>20863</c:v>
                </c:pt>
                <c:pt idx="879">
                  <c:v>20864</c:v>
                </c:pt>
                <c:pt idx="880">
                  <c:v>21485</c:v>
                </c:pt>
                <c:pt idx="881">
                  <c:v>21486</c:v>
                </c:pt>
                <c:pt idx="882">
                  <c:v>21487</c:v>
                </c:pt>
                <c:pt idx="883">
                  <c:v>21488</c:v>
                </c:pt>
                <c:pt idx="884">
                  <c:v>21489</c:v>
                </c:pt>
                <c:pt idx="885">
                  <c:v>21490</c:v>
                </c:pt>
                <c:pt idx="886">
                  <c:v>21491</c:v>
                </c:pt>
                <c:pt idx="887">
                  <c:v>21492</c:v>
                </c:pt>
                <c:pt idx="888">
                  <c:v>21493</c:v>
                </c:pt>
                <c:pt idx="889">
                  <c:v>21494</c:v>
                </c:pt>
                <c:pt idx="890">
                  <c:v>21495</c:v>
                </c:pt>
                <c:pt idx="891">
                  <c:v>21496</c:v>
                </c:pt>
                <c:pt idx="892">
                  <c:v>21497</c:v>
                </c:pt>
                <c:pt idx="893">
                  <c:v>21498</c:v>
                </c:pt>
                <c:pt idx="894">
                  <c:v>21499</c:v>
                </c:pt>
                <c:pt idx="895">
                  <c:v>21500</c:v>
                </c:pt>
                <c:pt idx="896">
                  <c:v>21501</c:v>
                </c:pt>
                <c:pt idx="897">
                  <c:v>21502</c:v>
                </c:pt>
                <c:pt idx="898">
                  <c:v>21503</c:v>
                </c:pt>
                <c:pt idx="899">
                  <c:v>21504</c:v>
                </c:pt>
                <c:pt idx="900">
                  <c:v>21839</c:v>
                </c:pt>
                <c:pt idx="901">
                  <c:v>21840</c:v>
                </c:pt>
                <c:pt idx="902">
                  <c:v>21841</c:v>
                </c:pt>
                <c:pt idx="903">
                  <c:v>21842</c:v>
                </c:pt>
                <c:pt idx="904">
                  <c:v>21843</c:v>
                </c:pt>
                <c:pt idx="905">
                  <c:v>21844</c:v>
                </c:pt>
                <c:pt idx="906">
                  <c:v>21845</c:v>
                </c:pt>
                <c:pt idx="907">
                  <c:v>21846</c:v>
                </c:pt>
                <c:pt idx="908">
                  <c:v>21847</c:v>
                </c:pt>
                <c:pt idx="909">
                  <c:v>21848</c:v>
                </c:pt>
                <c:pt idx="910">
                  <c:v>21849</c:v>
                </c:pt>
                <c:pt idx="911">
                  <c:v>21850</c:v>
                </c:pt>
                <c:pt idx="912">
                  <c:v>21851</c:v>
                </c:pt>
                <c:pt idx="913">
                  <c:v>21852</c:v>
                </c:pt>
                <c:pt idx="914">
                  <c:v>21853</c:v>
                </c:pt>
                <c:pt idx="915">
                  <c:v>21854</c:v>
                </c:pt>
                <c:pt idx="916">
                  <c:v>21855</c:v>
                </c:pt>
                <c:pt idx="917">
                  <c:v>21856</c:v>
                </c:pt>
                <c:pt idx="918">
                  <c:v>21857</c:v>
                </c:pt>
                <c:pt idx="919">
                  <c:v>21858</c:v>
                </c:pt>
                <c:pt idx="920">
                  <c:v>22846</c:v>
                </c:pt>
                <c:pt idx="921">
                  <c:v>22847</c:v>
                </c:pt>
                <c:pt idx="922">
                  <c:v>22848</c:v>
                </c:pt>
                <c:pt idx="923">
                  <c:v>22849</c:v>
                </c:pt>
                <c:pt idx="924">
                  <c:v>22850</c:v>
                </c:pt>
                <c:pt idx="925">
                  <c:v>22851</c:v>
                </c:pt>
                <c:pt idx="926">
                  <c:v>22852</c:v>
                </c:pt>
                <c:pt idx="927">
                  <c:v>22853</c:v>
                </c:pt>
                <c:pt idx="928">
                  <c:v>22854</c:v>
                </c:pt>
                <c:pt idx="929">
                  <c:v>22855</c:v>
                </c:pt>
                <c:pt idx="930">
                  <c:v>22856</c:v>
                </c:pt>
                <c:pt idx="931">
                  <c:v>22857</c:v>
                </c:pt>
                <c:pt idx="932">
                  <c:v>22858</c:v>
                </c:pt>
                <c:pt idx="933">
                  <c:v>22859</c:v>
                </c:pt>
                <c:pt idx="934">
                  <c:v>22860</c:v>
                </c:pt>
                <c:pt idx="935">
                  <c:v>22861</c:v>
                </c:pt>
                <c:pt idx="936">
                  <c:v>22862</c:v>
                </c:pt>
                <c:pt idx="937">
                  <c:v>22863</c:v>
                </c:pt>
                <c:pt idx="938">
                  <c:v>22864</c:v>
                </c:pt>
                <c:pt idx="939">
                  <c:v>22865</c:v>
                </c:pt>
                <c:pt idx="940">
                  <c:v>23670</c:v>
                </c:pt>
                <c:pt idx="941">
                  <c:v>23671</c:v>
                </c:pt>
                <c:pt idx="942">
                  <c:v>23672</c:v>
                </c:pt>
                <c:pt idx="943">
                  <c:v>23673</c:v>
                </c:pt>
                <c:pt idx="944">
                  <c:v>23674</c:v>
                </c:pt>
                <c:pt idx="945">
                  <c:v>23675</c:v>
                </c:pt>
                <c:pt idx="946">
                  <c:v>23676</c:v>
                </c:pt>
                <c:pt idx="947">
                  <c:v>23677</c:v>
                </c:pt>
                <c:pt idx="948">
                  <c:v>23678</c:v>
                </c:pt>
                <c:pt idx="949">
                  <c:v>23679</c:v>
                </c:pt>
                <c:pt idx="950">
                  <c:v>23680</c:v>
                </c:pt>
                <c:pt idx="951">
                  <c:v>23681</c:v>
                </c:pt>
                <c:pt idx="952">
                  <c:v>23682</c:v>
                </c:pt>
                <c:pt idx="953">
                  <c:v>23683</c:v>
                </c:pt>
                <c:pt idx="954">
                  <c:v>23684</c:v>
                </c:pt>
                <c:pt idx="955">
                  <c:v>23685</c:v>
                </c:pt>
                <c:pt idx="956">
                  <c:v>23686</c:v>
                </c:pt>
                <c:pt idx="957">
                  <c:v>23687</c:v>
                </c:pt>
                <c:pt idx="958">
                  <c:v>23688</c:v>
                </c:pt>
                <c:pt idx="959">
                  <c:v>23689</c:v>
                </c:pt>
                <c:pt idx="960">
                  <c:v>23690</c:v>
                </c:pt>
                <c:pt idx="961">
                  <c:v>23691</c:v>
                </c:pt>
                <c:pt idx="962">
                  <c:v>23692</c:v>
                </c:pt>
                <c:pt idx="963">
                  <c:v>23693</c:v>
                </c:pt>
                <c:pt idx="964">
                  <c:v>23694</c:v>
                </c:pt>
                <c:pt idx="965">
                  <c:v>23695</c:v>
                </c:pt>
                <c:pt idx="966">
                  <c:v>23696</c:v>
                </c:pt>
                <c:pt idx="967">
                  <c:v>23697</c:v>
                </c:pt>
                <c:pt idx="968">
                  <c:v>23698</c:v>
                </c:pt>
                <c:pt idx="969">
                  <c:v>23699</c:v>
                </c:pt>
                <c:pt idx="970">
                  <c:v>23700</c:v>
                </c:pt>
                <c:pt idx="971">
                  <c:v>23701</c:v>
                </c:pt>
                <c:pt idx="972">
                  <c:v>23702</c:v>
                </c:pt>
                <c:pt idx="973">
                  <c:v>23703</c:v>
                </c:pt>
                <c:pt idx="974">
                  <c:v>23704</c:v>
                </c:pt>
                <c:pt idx="975">
                  <c:v>23705</c:v>
                </c:pt>
                <c:pt idx="976">
                  <c:v>23706</c:v>
                </c:pt>
                <c:pt idx="977">
                  <c:v>23707</c:v>
                </c:pt>
                <c:pt idx="978">
                  <c:v>23708</c:v>
                </c:pt>
                <c:pt idx="979">
                  <c:v>23709</c:v>
                </c:pt>
              </c:numCache>
            </c:numRef>
          </c:xVal>
          <c:yVal>
            <c:numRef>
              <c:f>'Interpolated Physical'!$J$2:$J$981</c:f>
              <c:numCache>
                <c:formatCode>General</c:formatCode>
                <c:ptCount val="980"/>
                <c:pt idx="0" formatCode="0.0000">
                  <c:v>370</c:v>
                </c:pt>
                <c:pt idx="260" formatCode="0.0000">
                  <c:v>340</c:v>
                </c:pt>
                <c:pt idx="520" formatCode="0.0000">
                  <c:v>340</c:v>
                </c:pt>
                <c:pt idx="740" formatCode="0.0000">
                  <c:v>340</c:v>
                </c:pt>
                <c:pt idx="800" formatCode="0.0000">
                  <c:v>340</c:v>
                </c:pt>
                <c:pt idx="920" formatCode="0.0000">
                  <c:v>340</c:v>
                </c:pt>
                <c:pt idx="979" formatCode="0.0000">
                  <c:v>340</c:v>
                </c:pt>
              </c:numCache>
            </c:numRef>
          </c:yVal>
          <c:smooth val="0"/>
          <c:extLst>
            <c:ext xmlns:c16="http://schemas.microsoft.com/office/drawing/2014/chart" uri="{C3380CC4-5D6E-409C-BE32-E72D297353CC}">
              <c16:uniqueId val="{00000001-BF91-4DD9-9CDF-6C1DD8DF0894}"/>
            </c:ext>
          </c:extLst>
        </c:ser>
        <c:dLbls>
          <c:showLegendKey val="0"/>
          <c:showVal val="0"/>
          <c:showCatName val="0"/>
          <c:showSerName val="0"/>
          <c:showPercent val="0"/>
          <c:showBubbleSize val="0"/>
        </c:dLbls>
        <c:axId val="106302463"/>
        <c:axId val="106302047"/>
      </c:scatterChart>
      <c:valAx>
        <c:axId val="106302463"/>
        <c:scaling>
          <c:orientation val="minMax"/>
        </c:scaling>
        <c:delete val="0"/>
        <c:axPos val="b"/>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06302047"/>
        <c:crosses val="autoZero"/>
        <c:crossBetween val="midCat"/>
      </c:valAx>
      <c:valAx>
        <c:axId val="106302047"/>
        <c:scaling>
          <c:orientation val="minMax"/>
        </c:scaling>
        <c:delete val="0"/>
        <c:axPos val="l"/>
        <c:numFmt formatCode="0.00" sourceLinked="0"/>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06302463"/>
        <c:crosses val="autoZero"/>
        <c:crossBetween val="midCat"/>
      </c:valAx>
      <c:spPr>
        <a:noFill/>
        <a:ln w="3175">
          <a:solidFill>
            <a:schemeClr val="tx1"/>
          </a:solidFill>
        </a:ln>
        <a:effectLst/>
      </c:spPr>
    </c:plotArea>
    <c:legend>
      <c:legendPos val="r"/>
      <c:layout>
        <c:manualLayout>
          <c:xMode val="edge"/>
          <c:yMode val="edge"/>
          <c:x val="0.67204295062970087"/>
          <c:y val="7.735391981279871E-2"/>
          <c:w val="0.25453203509465955"/>
          <c:h val="0.14961021963103641"/>
        </c:manualLayout>
      </c:layout>
      <c:overlay val="1"/>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Garamond" panose="02020404030301010803" pitchFamily="18" charset="0"/>
        </a:defRPr>
      </a:pPr>
      <a:endParaRPr lang="sr-Latn-RS"/>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'Interpolated Physical'!$K$1</c:f>
              <c:strCache>
                <c:ptCount val="1"/>
                <c:pt idx="0">
                  <c:v>Ni</c:v>
                </c:pt>
              </c:strCache>
            </c:strRef>
          </c:tx>
          <c:spPr>
            <a:ln w="25400" cap="rnd">
              <a:noFill/>
              <a:round/>
            </a:ln>
            <a:effectLst/>
          </c:spPr>
          <c:marker>
            <c:symbol val="square"/>
            <c:size val="10"/>
            <c:spPr>
              <a:noFill/>
              <a:ln w="3175">
                <a:solidFill>
                  <a:srgbClr val="0000FF"/>
                </a:solidFill>
              </a:ln>
              <a:effectLst/>
            </c:spPr>
          </c:marker>
          <c:trendline>
            <c:spPr>
              <a:ln w="3175" cap="rnd">
                <a:solidFill>
                  <a:srgbClr val="FF0000"/>
                </a:solidFill>
                <a:prstDash val="lgDash"/>
              </a:ln>
              <a:effectLst/>
            </c:spPr>
            <c:trendlineType val="poly"/>
            <c:order val="3"/>
            <c:dispRSqr val="1"/>
            <c:dispEq val="1"/>
            <c:trendlineLbl>
              <c:layout>
                <c:manualLayout>
                  <c:x val="-6.0675005504471725E-2"/>
                  <c:y val="-0.15509075194468452"/>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rendlineLbl>
          </c:trendline>
          <c:xVal>
            <c:numRef>
              <c:f>'Interpolated Physical'!$A$2:$A$981</c:f>
              <c:numCache>
                <c:formatCode>General</c:formatCode>
                <c:ptCount val="98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432</c:v>
                </c:pt>
                <c:pt idx="21">
                  <c:v>433</c:v>
                </c:pt>
                <c:pt idx="22">
                  <c:v>434</c:v>
                </c:pt>
                <c:pt idx="23">
                  <c:v>435</c:v>
                </c:pt>
                <c:pt idx="24">
                  <c:v>436</c:v>
                </c:pt>
                <c:pt idx="25">
                  <c:v>437</c:v>
                </c:pt>
                <c:pt idx="26">
                  <c:v>438</c:v>
                </c:pt>
                <c:pt idx="27">
                  <c:v>439</c:v>
                </c:pt>
                <c:pt idx="28">
                  <c:v>440</c:v>
                </c:pt>
                <c:pt idx="29">
                  <c:v>441</c:v>
                </c:pt>
                <c:pt idx="30">
                  <c:v>442</c:v>
                </c:pt>
                <c:pt idx="31">
                  <c:v>443</c:v>
                </c:pt>
                <c:pt idx="32">
                  <c:v>444</c:v>
                </c:pt>
                <c:pt idx="33">
                  <c:v>445</c:v>
                </c:pt>
                <c:pt idx="34">
                  <c:v>446</c:v>
                </c:pt>
                <c:pt idx="35">
                  <c:v>447</c:v>
                </c:pt>
                <c:pt idx="36">
                  <c:v>448</c:v>
                </c:pt>
                <c:pt idx="37">
                  <c:v>449</c:v>
                </c:pt>
                <c:pt idx="38">
                  <c:v>450</c:v>
                </c:pt>
                <c:pt idx="39">
                  <c:v>451</c:v>
                </c:pt>
                <c:pt idx="40">
                  <c:v>818</c:v>
                </c:pt>
                <c:pt idx="41">
                  <c:v>819</c:v>
                </c:pt>
                <c:pt idx="42">
                  <c:v>820</c:v>
                </c:pt>
                <c:pt idx="43">
                  <c:v>821</c:v>
                </c:pt>
                <c:pt idx="44">
                  <c:v>822</c:v>
                </c:pt>
                <c:pt idx="45">
                  <c:v>823</c:v>
                </c:pt>
                <c:pt idx="46">
                  <c:v>824</c:v>
                </c:pt>
                <c:pt idx="47">
                  <c:v>825</c:v>
                </c:pt>
                <c:pt idx="48">
                  <c:v>826</c:v>
                </c:pt>
                <c:pt idx="49">
                  <c:v>827</c:v>
                </c:pt>
                <c:pt idx="50">
                  <c:v>828</c:v>
                </c:pt>
                <c:pt idx="51">
                  <c:v>829</c:v>
                </c:pt>
                <c:pt idx="52">
                  <c:v>830</c:v>
                </c:pt>
                <c:pt idx="53">
                  <c:v>831</c:v>
                </c:pt>
                <c:pt idx="54">
                  <c:v>832</c:v>
                </c:pt>
                <c:pt idx="55">
                  <c:v>833</c:v>
                </c:pt>
                <c:pt idx="56">
                  <c:v>834</c:v>
                </c:pt>
                <c:pt idx="57">
                  <c:v>835</c:v>
                </c:pt>
                <c:pt idx="58">
                  <c:v>836</c:v>
                </c:pt>
                <c:pt idx="59">
                  <c:v>837</c:v>
                </c:pt>
                <c:pt idx="60">
                  <c:v>1057</c:v>
                </c:pt>
                <c:pt idx="61">
                  <c:v>1058</c:v>
                </c:pt>
                <c:pt idx="62">
                  <c:v>1059</c:v>
                </c:pt>
                <c:pt idx="63">
                  <c:v>1060</c:v>
                </c:pt>
                <c:pt idx="64">
                  <c:v>1061</c:v>
                </c:pt>
                <c:pt idx="65">
                  <c:v>1062</c:v>
                </c:pt>
                <c:pt idx="66">
                  <c:v>1063</c:v>
                </c:pt>
                <c:pt idx="67">
                  <c:v>1064</c:v>
                </c:pt>
                <c:pt idx="68">
                  <c:v>1065</c:v>
                </c:pt>
                <c:pt idx="69">
                  <c:v>1066</c:v>
                </c:pt>
                <c:pt idx="70">
                  <c:v>1067</c:v>
                </c:pt>
                <c:pt idx="71">
                  <c:v>1068</c:v>
                </c:pt>
                <c:pt idx="72">
                  <c:v>1069</c:v>
                </c:pt>
                <c:pt idx="73">
                  <c:v>1070</c:v>
                </c:pt>
                <c:pt idx="74">
                  <c:v>1071</c:v>
                </c:pt>
                <c:pt idx="75">
                  <c:v>1072</c:v>
                </c:pt>
                <c:pt idx="76">
                  <c:v>1073</c:v>
                </c:pt>
                <c:pt idx="77">
                  <c:v>1074</c:v>
                </c:pt>
                <c:pt idx="78">
                  <c:v>1075</c:v>
                </c:pt>
                <c:pt idx="79">
                  <c:v>1076</c:v>
                </c:pt>
                <c:pt idx="80">
                  <c:v>1407</c:v>
                </c:pt>
                <c:pt idx="81">
                  <c:v>1408</c:v>
                </c:pt>
                <c:pt idx="82">
                  <c:v>1409</c:v>
                </c:pt>
                <c:pt idx="83">
                  <c:v>1410</c:v>
                </c:pt>
                <c:pt idx="84">
                  <c:v>1411</c:v>
                </c:pt>
                <c:pt idx="85">
                  <c:v>1412</c:v>
                </c:pt>
                <c:pt idx="86">
                  <c:v>1413</c:v>
                </c:pt>
                <c:pt idx="87">
                  <c:v>1414</c:v>
                </c:pt>
                <c:pt idx="88">
                  <c:v>1415</c:v>
                </c:pt>
                <c:pt idx="89">
                  <c:v>1416</c:v>
                </c:pt>
                <c:pt idx="90">
                  <c:v>1417</c:v>
                </c:pt>
                <c:pt idx="91">
                  <c:v>1418</c:v>
                </c:pt>
                <c:pt idx="92">
                  <c:v>1419</c:v>
                </c:pt>
                <c:pt idx="93">
                  <c:v>1420</c:v>
                </c:pt>
                <c:pt idx="94">
                  <c:v>1421</c:v>
                </c:pt>
                <c:pt idx="95">
                  <c:v>1422</c:v>
                </c:pt>
                <c:pt idx="96">
                  <c:v>1423</c:v>
                </c:pt>
                <c:pt idx="97">
                  <c:v>1424</c:v>
                </c:pt>
                <c:pt idx="98">
                  <c:v>1425</c:v>
                </c:pt>
                <c:pt idx="99">
                  <c:v>1426</c:v>
                </c:pt>
                <c:pt idx="100">
                  <c:v>1618</c:v>
                </c:pt>
                <c:pt idx="101">
                  <c:v>1619</c:v>
                </c:pt>
                <c:pt idx="102">
                  <c:v>1620</c:v>
                </c:pt>
                <c:pt idx="103">
                  <c:v>1621</c:v>
                </c:pt>
                <c:pt idx="104">
                  <c:v>1622</c:v>
                </c:pt>
                <c:pt idx="105">
                  <c:v>1623</c:v>
                </c:pt>
                <c:pt idx="106">
                  <c:v>1624</c:v>
                </c:pt>
                <c:pt idx="107">
                  <c:v>1625</c:v>
                </c:pt>
                <c:pt idx="108">
                  <c:v>1626</c:v>
                </c:pt>
                <c:pt idx="109">
                  <c:v>1627</c:v>
                </c:pt>
                <c:pt idx="110">
                  <c:v>1628</c:v>
                </c:pt>
                <c:pt idx="111">
                  <c:v>1629</c:v>
                </c:pt>
                <c:pt idx="112">
                  <c:v>1630</c:v>
                </c:pt>
                <c:pt idx="113">
                  <c:v>1631</c:v>
                </c:pt>
                <c:pt idx="114">
                  <c:v>1632</c:v>
                </c:pt>
                <c:pt idx="115">
                  <c:v>1633</c:v>
                </c:pt>
                <c:pt idx="116">
                  <c:v>1634</c:v>
                </c:pt>
                <c:pt idx="117">
                  <c:v>1635</c:v>
                </c:pt>
                <c:pt idx="118">
                  <c:v>1636</c:v>
                </c:pt>
                <c:pt idx="119">
                  <c:v>1637</c:v>
                </c:pt>
                <c:pt idx="120">
                  <c:v>2039</c:v>
                </c:pt>
                <c:pt idx="121">
                  <c:v>2040</c:v>
                </c:pt>
                <c:pt idx="122">
                  <c:v>2041</c:v>
                </c:pt>
                <c:pt idx="123">
                  <c:v>2042</c:v>
                </c:pt>
                <c:pt idx="124">
                  <c:v>2043</c:v>
                </c:pt>
                <c:pt idx="125">
                  <c:v>2044</c:v>
                </c:pt>
                <c:pt idx="126">
                  <c:v>2045</c:v>
                </c:pt>
                <c:pt idx="127">
                  <c:v>2046</c:v>
                </c:pt>
                <c:pt idx="128">
                  <c:v>2047</c:v>
                </c:pt>
                <c:pt idx="129">
                  <c:v>2048</c:v>
                </c:pt>
                <c:pt idx="130">
                  <c:v>2049</c:v>
                </c:pt>
                <c:pt idx="131">
                  <c:v>2050</c:v>
                </c:pt>
                <c:pt idx="132">
                  <c:v>2051</c:v>
                </c:pt>
                <c:pt idx="133">
                  <c:v>2052</c:v>
                </c:pt>
                <c:pt idx="134">
                  <c:v>2053</c:v>
                </c:pt>
                <c:pt idx="135">
                  <c:v>2054</c:v>
                </c:pt>
                <c:pt idx="136">
                  <c:v>2055</c:v>
                </c:pt>
                <c:pt idx="137">
                  <c:v>2056</c:v>
                </c:pt>
                <c:pt idx="138">
                  <c:v>2057</c:v>
                </c:pt>
                <c:pt idx="139">
                  <c:v>2058</c:v>
                </c:pt>
                <c:pt idx="140">
                  <c:v>2897</c:v>
                </c:pt>
                <c:pt idx="141">
                  <c:v>2898</c:v>
                </c:pt>
                <c:pt idx="142">
                  <c:v>2899</c:v>
                </c:pt>
                <c:pt idx="143">
                  <c:v>2900</c:v>
                </c:pt>
                <c:pt idx="144">
                  <c:v>2901</c:v>
                </c:pt>
                <c:pt idx="145">
                  <c:v>2902</c:v>
                </c:pt>
                <c:pt idx="146">
                  <c:v>2903</c:v>
                </c:pt>
                <c:pt idx="147">
                  <c:v>2904</c:v>
                </c:pt>
                <c:pt idx="148">
                  <c:v>2905</c:v>
                </c:pt>
                <c:pt idx="149">
                  <c:v>2906</c:v>
                </c:pt>
                <c:pt idx="150">
                  <c:v>2907</c:v>
                </c:pt>
                <c:pt idx="151">
                  <c:v>2908</c:v>
                </c:pt>
                <c:pt idx="152">
                  <c:v>2909</c:v>
                </c:pt>
                <c:pt idx="153">
                  <c:v>2910</c:v>
                </c:pt>
                <c:pt idx="154">
                  <c:v>2911</c:v>
                </c:pt>
                <c:pt idx="155">
                  <c:v>2912</c:v>
                </c:pt>
                <c:pt idx="156">
                  <c:v>2913</c:v>
                </c:pt>
                <c:pt idx="157">
                  <c:v>2914</c:v>
                </c:pt>
                <c:pt idx="158">
                  <c:v>2915</c:v>
                </c:pt>
                <c:pt idx="159">
                  <c:v>2916</c:v>
                </c:pt>
                <c:pt idx="160">
                  <c:v>3257</c:v>
                </c:pt>
                <c:pt idx="161">
                  <c:v>3258</c:v>
                </c:pt>
                <c:pt idx="162">
                  <c:v>3259</c:v>
                </c:pt>
                <c:pt idx="163">
                  <c:v>3260</c:v>
                </c:pt>
                <c:pt idx="164">
                  <c:v>3261</c:v>
                </c:pt>
                <c:pt idx="165">
                  <c:v>3262</c:v>
                </c:pt>
                <c:pt idx="166">
                  <c:v>3263</c:v>
                </c:pt>
                <c:pt idx="167">
                  <c:v>3264</c:v>
                </c:pt>
                <c:pt idx="168">
                  <c:v>3265</c:v>
                </c:pt>
                <c:pt idx="169">
                  <c:v>3266</c:v>
                </c:pt>
                <c:pt idx="170">
                  <c:v>3267</c:v>
                </c:pt>
                <c:pt idx="171">
                  <c:v>3268</c:v>
                </c:pt>
                <c:pt idx="172">
                  <c:v>3269</c:v>
                </c:pt>
                <c:pt idx="173">
                  <c:v>3270</c:v>
                </c:pt>
                <c:pt idx="174">
                  <c:v>3271</c:v>
                </c:pt>
                <c:pt idx="175">
                  <c:v>3272</c:v>
                </c:pt>
                <c:pt idx="176">
                  <c:v>3273</c:v>
                </c:pt>
                <c:pt idx="177">
                  <c:v>3274</c:v>
                </c:pt>
                <c:pt idx="178">
                  <c:v>3275</c:v>
                </c:pt>
                <c:pt idx="179">
                  <c:v>3276</c:v>
                </c:pt>
                <c:pt idx="180">
                  <c:v>4443</c:v>
                </c:pt>
                <c:pt idx="181">
                  <c:v>4445</c:v>
                </c:pt>
                <c:pt idx="182">
                  <c:v>4446</c:v>
                </c:pt>
                <c:pt idx="183">
                  <c:v>4447</c:v>
                </c:pt>
                <c:pt idx="184">
                  <c:v>4448</c:v>
                </c:pt>
                <c:pt idx="185">
                  <c:v>4449</c:v>
                </c:pt>
                <c:pt idx="186">
                  <c:v>4450</c:v>
                </c:pt>
                <c:pt idx="187">
                  <c:v>4451</c:v>
                </c:pt>
                <c:pt idx="188">
                  <c:v>4452</c:v>
                </c:pt>
                <c:pt idx="189">
                  <c:v>4453</c:v>
                </c:pt>
                <c:pt idx="190">
                  <c:v>4454</c:v>
                </c:pt>
                <c:pt idx="191">
                  <c:v>4455</c:v>
                </c:pt>
                <c:pt idx="192">
                  <c:v>4456</c:v>
                </c:pt>
                <c:pt idx="193">
                  <c:v>4457</c:v>
                </c:pt>
                <c:pt idx="194">
                  <c:v>4458</c:v>
                </c:pt>
                <c:pt idx="195">
                  <c:v>4459</c:v>
                </c:pt>
                <c:pt idx="196">
                  <c:v>4460</c:v>
                </c:pt>
                <c:pt idx="197">
                  <c:v>4461</c:v>
                </c:pt>
                <c:pt idx="198">
                  <c:v>4462</c:v>
                </c:pt>
                <c:pt idx="199">
                  <c:v>4463</c:v>
                </c:pt>
                <c:pt idx="200">
                  <c:v>4740</c:v>
                </c:pt>
                <c:pt idx="201">
                  <c:v>4741</c:v>
                </c:pt>
                <c:pt idx="202">
                  <c:v>4742</c:v>
                </c:pt>
                <c:pt idx="203">
                  <c:v>4743</c:v>
                </c:pt>
                <c:pt idx="204">
                  <c:v>4744</c:v>
                </c:pt>
                <c:pt idx="205">
                  <c:v>4745</c:v>
                </c:pt>
                <c:pt idx="206">
                  <c:v>4746</c:v>
                </c:pt>
                <c:pt idx="207">
                  <c:v>4747</c:v>
                </c:pt>
                <c:pt idx="208">
                  <c:v>4748</c:v>
                </c:pt>
                <c:pt idx="209">
                  <c:v>4749</c:v>
                </c:pt>
                <c:pt idx="210">
                  <c:v>4750</c:v>
                </c:pt>
                <c:pt idx="211">
                  <c:v>4751</c:v>
                </c:pt>
                <c:pt idx="212">
                  <c:v>4752</c:v>
                </c:pt>
                <c:pt idx="213">
                  <c:v>4753</c:v>
                </c:pt>
                <c:pt idx="214">
                  <c:v>4754</c:v>
                </c:pt>
                <c:pt idx="215">
                  <c:v>4755</c:v>
                </c:pt>
                <c:pt idx="216">
                  <c:v>4756</c:v>
                </c:pt>
                <c:pt idx="217">
                  <c:v>4757</c:v>
                </c:pt>
                <c:pt idx="218">
                  <c:v>4758</c:v>
                </c:pt>
                <c:pt idx="219">
                  <c:v>4759</c:v>
                </c:pt>
                <c:pt idx="220">
                  <c:v>5191</c:v>
                </c:pt>
                <c:pt idx="221">
                  <c:v>5192</c:v>
                </c:pt>
                <c:pt idx="222">
                  <c:v>5193</c:v>
                </c:pt>
                <c:pt idx="223">
                  <c:v>5194</c:v>
                </c:pt>
                <c:pt idx="224">
                  <c:v>5195</c:v>
                </c:pt>
                <c:pt idx="225">
                  <c:v>5196</c:v>
                </c:pt>
                <c:pt idx="226">
                  <c:v>5197</c:v>
                </c:pt>
                <c:pt idx="227">
                  <c:v>5198</c:v>
                </c:pt>
                <c:pt idx="228">
                  <c:v>5199</c:v>
                </c:pt>
                <c:pt idx="229">
                  <c:v>5200</c:v>
                </c:pt>
                <c:pt idx="230">
                  <c:v>5201</c:v>
                </c:pt>
                <c:pt idx="231">
                  <c:v>5202</c:v>
                </c:pt>
                <c:pt idx="232">
                  <c:v>5203</c:v>
                </c:pt>
                <c:pt idx="233">
                  <c:v>5204</c:v>
                </c:pt>
                <c:pt idx="234">
                  <c:v>5205</c:v>
                </c:pt>
                <c:pt idx="235">
                  <c:v>5206</c:v>
                </c:pt>
                <c:pt idx="236">
                  <c:v>5207</c:v>
                </c:pt>
                <c:pt idx="237">
                  <c:v>5208</c:v>
                </c:pt>
                <c:pt idx="238">
                  <c:v>5209</c:v>
                </c:pt>
                <c:pt idx="239">
                  <c:v>5210</c:v>
                </c:pt>
                <c:pt idx="240">
                  <c:v>5544</c:v>
                </c:pt>
                <c:pt idx="241">
                  <c:v>5545</c:v>
                </c:pt>
                <c:pt idx="242">
                  <c:v>5546</c:v>
                </c:pt>
                <c:pt idx="243">
                  <c:v>5547</c:v>
                </c:pt>
                <c:pt idx="244">
                  <c:v>5548</c:v>
                </c:pt>
                <c:pt idx="245">
                  <c:v>5549</c:v>
                </c:pt>
                <c:pt idx="246">
                  <c:v>5550</c:v>
                </c:pt>
                <c:pt idx="247">
                  <c:v>5551</c:v>
                </c:pt>
                <c:pt idx="248">
                  <c:v>5552</c:v>
                </c:pt>
                <c:pt idx="249">
                  <c:v>5553</c:v>
                </c:pt>
                <c:pt idx="250">
                  <c:v>5554</c:v>
                </c:pt>
                <c:pt idx="251">
                  <c:v>5555</c:v>
                </c:pt>
                <c:pt idx="252">
                  <c:v>5556</c:v>
                </c:pt>
                <c:pt idx="253">
                  <c:v>5557</c:v>
                </c:pt>
                <c:pt idx="254">
                  <c:v>5558</c:v>
                </c:pt>
                <c:pt idx="255">
                  <c:v>5559</c:v>
                </c:pt>
                <c:pt idx="256">
                  <c:v>5560</c:v>
                </c:pt>
                <c:pt idx="257">
                  <c:v>5561</c:v>
                </c:pt>
                <c:pt idx="258">
                  <c:v>5562</c:v>
                </c:pt>
                <c:pt idx="259">
                  <c:v>5563</c:v>
                </c:pt>
                <c:pt idx="260">
                  <c:v>5915</c:v>
                </c:pt>
                <c:pt idx="261">
                  <c:v>5916</c:v>
                </c:pt>
                <c:pt idx="262">
                  <c:v>5917</c:v>
                </c:pt>
                <c:pt idx="263">
                  <c:v>5918</c:v>
                </c:pt>
                <c:pt idx="264">
                  <c:v>5919</c:v>
                </c:pt>
                <c:pt idx="265">
                  <c:v>5920</c:v>
                </c:pt>
                <c:pt idx="266">
                  <c:v>5921</c:v>
                </c:pt>
                <c:pt idx="267">
                  <c:v>5922</c:v>
                </c:pt>
                <c:pt idx="268">
                  <c:v>5923</c:v>
                </c:pt>
                <c:pt idx="269">
                  <c:v>5924</c:v>
                </c:pt>
                <c:pt idx="270">
                  <c:v>5925</c:v>
                </c:pt>
                <c:pt idx="271">
                  <c:v>5926</c:v>
                </c:pt>
                <c:pt idx="272">
                  <c:v>5927</c:v>
                </c:pt>
                <c:pt idx="273">
                  <c:v>5928</c:v>
                </c:pt>
                <c:pt idx="274">
                  <c:v>5929</c:v>
                </c:pt>
                <c:pt idx="275">
                  <c:v>5930</c:v>
                </c:pt>
                <c:pt idx="276">
                  <c:v>5931</c:v>
                </c:pt>
                <c:pt idx="277">
                  <c:v>5932</c:v>
                </c:pt>
                <c:pt idx="278">
                  <c:v>5933</c:v>
                </c:pt>
                <c:pt idx="279">
                  <c:v>5934</c:v>
                </c:pt>
                <c:pt idx="280">
                  <c:v>6137</c:v>
                </c:pt>
                <c:pt idx="281">
                  <c:v>6138</c:v>
                </c:pt>
                <c:pt idx="282">
                  <c:v>6139</c:v>
                </c:pt>
                <c:pt idx="283">
                  <c:v>6140</c:v>
                </c:pt>
                <c:pt idx="284">
                  <c:v>6141</c:v>
                </c:pt>
                <c:pt idx="285">
                  <c:v>6142</c:v>
                </c:pt>
                <c:pt idx="286">
                  <c:v>6143</c:v>
                </c:pt>
                <c:pt idx="287">
                  <c:v>6144</c:v>
                </c:pt>
                <c:pt idx="288">
                  <c:v>6145</c:v>
                </c:pt>
                <c:pt idx="289">
                  <c:v>6146</c:v>
                </c:pt>
                <c:pt idx="290">
                  <c:v>6147</c:v>
                </c:pt>
                <c:pt idx="291">
                  <c:v>6148</c:v>
                </c:pt>
                <c:pt idx="292">
                  <c:v>6149</c:v>
                </c:pt>
                <c:pt idx="293">
                  <c:v>6150</c:v>
                </c:pt>
                <c:pt idx="294">
                  <c:v>6151</c:v>
                </c:pt>
                <c:pt idx="295">
                  <c:v>6152</c:v>
                </c:pt>
                <c:pt idx="296">
                  <c:v>6153</c:v>
                </c:pt>
                <c:pt idx="297">
                  <c:v>6154</c:v>
                </c:pt>
                <c:pt idx="298">
                  <c:v>6155</c:v>
                </c:pt>
                <c:pt idx="299">
                  <c:v>6156</c:v>
                </c:pt>
                <c:pt idx="300">
                  <c:v>6600</c:v>
                </c:pt>
                <c:pt idx="301">
                  <c:v>6601</c:v>
                </c:pt>
                <c:pt idx="302">
                  <c:v>6602</c:v>
                </c:pt>
                <c:pt idx="303">
                  <c:v>6603</c:v>
                </c:pt>
                <c:pt idx="304">
                  <c:v>6604</c:v>
                </c:pt>
                <c:pt idx="305">
                  <c:v>6605</c:v>
                </c:pt>
                <c:pt idx="306">
                  <c:v>6606</c:v>
                </c:pt>
                <c:pt idx="307">
                  <c:v>6607</c:v>
                </c:pt>
                <c:pt idx="308">
                  <c:v>6608</c:v>
                </c:pt>
                <c:pt idx="309">
                  <c:v>6609</c:v>
                </c:pt>
                <c:pt idx="310">
                  <c:v>6610</c:v>
                </c:pt>
                <c:pt idx="311">
                  <c:v>6611</c:v>
                </c:pt>
                <c:pt idx="312">
                  <c:v>6612</c:v>
                </c:pt>
                <c:pt idx="313">
                  <c:v>6613</c:v>
                </c:pt>
                <c:pt idx="314">
                  <c:v>6614</c:v>
                </c:pt>
                <c:pt idx="315">
                  <c:v>6615</c:v>
                </c:pt>
                <c:pt idx="316">
                  <c:v>6616</c:v>
                </c:pt>
                <c:pt idx="317">
                  <c:v>6617</c:v>
                </c:pt>
                <c:pt idx="318">
                  <c:v>6618</c:v>
                </c:pt>
                <c:pt idx="319">
                  <c:v>6619</c:v>
                </c:pt>
                <c:pt idx="320">
                  <c:v>6823</c:v>
                </c:pt>
                <c:pt idx="321">
                  <c:v>6824</c:v>
                </c:pt>
                <c:pt idx="322">
                  <c:v>6825</c:v>
                </c:pt>
                <c:pt idx="323">
                  <c:v>6826</c:v>
                </c:pt>
                <c:pt idx="324">
                  <c:v>6827</c:v>
                </c:pt>
                <c:pt idx="325">
                  <c:v>6828</c:v>
                </c:pt>
                <c:pt idx="326">
                  <c:v>6829</c:v>
                </c:pt>
                <c:pt idx="327">
                  <c:v>6830</c:v>
                </c:pt>
                <c:pt idx="328">
                  <c:v>6831</c:v>
                </c:pt>
                <c:pt idx="329">
                  <c:v>6832</c:v>
                </c:pt>
                <c:pt idx="330">
                  <c:v>6833</c:v>
                </c:pt>
                <c:pt idx="331">
                  <c:v>6834</c:v>
                </c:pt>
                <c:pt idx="332">
                  <c:v>6835</c:v>
                </c:pt>
                <c:pt idx="333">
                  <c:v>6836</c:v>
                </c:pt>
                <c:pt idx="334">
                  <c:v>6837</c:v>
                </c:pt>
                <c:pt idx="335">
                  <c:v>6838</c:v>
                </c:pt>
                <c:pt idx="336">
                  <c:v>6839</c:v>
                </c:pt>
                <c:pt idx="337">
                  <c:v>6840</c:v>
                </c:pt>
                <c:pt idx="338">
                  <c:v>6841</c:v>
                </c:pt>
                <c:pt idx="339">
                  <c:v>6842</c:v>
                </c:pt>
                <c:pt idx="340">
                  <c:v>7090</c:v>
                </c:pt>
                <c:pt idx="341">
                  <c:v>7091</c:v>
                </c:pt>
                <c:pt idx="342">
                  <c:v>7092</c:v>
                </c:pt>
                <c:pt idx="343">
                  <c:v>7093</c:v>
                </c:pt>
                <c:pt idx="344">
                  <c:v>7094</c:v>
                </c:pt>
                <c:pt idx="345">
                  <c:v>7095</c:v>
                </c:pt>
                <c:pt idx="346">
                  <c:v>7096</c:v>
                </c:pt>
                <c:pt idx="347">
                  <c:v>7097</c:v>
                </c:pt>
                <c:pt idx="348">
                  <c:v>7098</c:v>
                </c:pt>
                <c:pt idx="349">
                  <c:v>7099</c:v>
                </c:pt>
                <c:pt idx="350">
                  <c:v>7100</c:v>
                </c:pt>
                <c:pt idx="351">
                  <c:v>7101</c:v>
                </c:pt>
                <c:pt idx="352">
                  <c:v>7102</c:v>
                </c:pt>
                <c:pt idx="353">
                  <c:v>7103</c:v>
                </c:pt>
                <c:pt idx="354">
                  <c:v>7104</c:v>
                </c:pt>
                <c:pt idx="355">
                  <c:v>7105</c:v>
                </c:pt>
                <c:pt idx="356">
                  <c:v>7106</c:v>
                </c:pt>
                <c:pt idx="357">
                  <c:v>7107</c:v>
                </c:pt>
                <c:pt idx="358">
                  <c:v>7108</c:v>
                </c:pt>
                <c:pt idx="359">
                  <c:v>7109</c:v>
                </c:pt>
                <c:pt idx="360">
                  <c:v>7413</c:v>
                </c:pt>
                <c:pt idx="361">
                  <c:v>7414</c:v>
                </c:pt>
                <c:pt idx="362">
                  <c:v>7415</c:v>
                </c:pt>
                <c:pt idx="363">
                  <c:v>7416</c:v>
                </c:pt>
                <c:pt idx="364">
                  <c:v>7417</c:v>
                </c:pt>
                <c:pt idx="365">
                  <c:v>7418</c:v>
                </c:pt>
                <c:pt idx="366">
                  <c:v>7419</c:v>
                </c:pt>
                <c:pt idx="367">
                  <c:v>7420</c:v>
                </c:pt>
                <c:pt idx="368">
                  <c:v>7421</c:v>
                </c:pt>
                <c:pt idx="369">
                  <c:v>7422</c:v>
                </c:pt>
                <c:pt idx="370">
                  <c:v>7423</c:v>
                </c:pt>
                <c:pt idx="371">
                  <c:v>7424</c:v>
                </c:pt>
                <c:pt idx="372">
                  <c:v>7425</c:v>
                </c:pt>
                <c:pt idx="373">
                  <c:v>7426</c:v>
                </c:pt>
                <c:pt idx="374">
                  <c:v>7427</c:v>
                </c:pt>
                <c:pt idx="375">
                  <c:v>7428</c:v>
                </c:pt>
                <c:pt idx="376">
                  <c:v>7429</c:v>
                </c:pt>
                <c:pt idx="377">
                  <c:v>7430</c:v>
                </c:pt>
                <c:pt idx="378">
                  <c:v>7431</c:v>
                </c:pt>
                <c:pt idx="379">
                  <c:v>7432</c:v>
                </c:pt>
                <c:pt idx="380">
                  <c:v>7931</c:v>
                </c:pt>
                <c:pt idx="381">
                  <c:v>7932</c:v>
                </c:pt>
                <c:pt idx="382">
                  <c:v>7933</c:v>
                </c:pt>
                <c:pt idx="383">
                  <c:v>7934</c:v>
                </c:pt>
                <c:pt idx="384">
                  <c:v>7935</c:v>
                </c:pt>
                <c:pt idx="385">
                  <c:v>7936</c:v>
                </c:pt>
                <c:pt idx="386">
                  <c:v>7937</c:v>
                </c:pt>
                <c:pt idx="387">
                  <c:v>7938</c:v>
                </c:pt>
                <c:pt idx="388">
                  <c:v>7939</c:v>
                </c:pt>
                <c:pt idx="389">
                  <c:v>7940</c:v>
                </c:pt>
                <c:pt idx="390">
                  <c:v>7941</c:v>
                </c:pt>
                <c:pt idx="391">
                  <c:v>7942</c:v>
                </c:pt>
                <c:pt idx="392">
                  <c:v>7943</c:v>
                </c:pt>
                <c:pt idx="393">
                  <c:v>7944</c:v>
                </c:pt>
                <c:pt idx="394">
                  <c:v>7945</c:v>
                </c:pt>
                <c:pt idx="395">
                  <c:v>7946</c:v>
                </c:pt>
                <c:pt idx="396">
                  <c:v>7947</c:v>
                </c:pt>
                <c:pt idx="397">
                  <c:v>7948</c:v>
                </c:pt>
                <c:pt idx="398">
                  <c:v>7949</c:v>
                </c:pt>
                <c:pt idx="399">
                  <c:v>7950</c:v>
                </c:pt>
                <c:pt idx="400">
                  <c:v>8361</c:v>
                </c:pt>
                <c:pt idx="401">
                  <c:v>8362</c:v>
                </c:pt>
                <c:pt idx="402">
                  <c:v>8363</c:v>
                </c:pt>
                <c:pt idx="403">
                  <c:v>8364</c:v>
                </c:pt>
                <c:pt idx="404">
                  <c:v>8365</c:v>
                </c:pt>
                <c:pt idx="405">
                  <c:v>8366</c:v>
                </c:pt>
                <c:pt idx="406">
                  <c:v>8367</c:v>
                </c:pt>
                <c:pt idx="407">
                  <c:v>8368</c:v>
                </c:pt>
                <c:pt idx="408">
                  <c:v>8369</c:v>
                </c:pt>
                <c:pt idx="409">
                  <c:v>8370</c:v>
                </c:pt>
                <c:pt idx="410">
                  <c:v>8371</c:v>
                </c:pt>
                <c:pt idx="411">
                  <c:v>8372</c:v>
                </c:pt>
                <c:pt idx="412">
                  <c:v>8373</c:v>
                </c:pt>
                <c:pt idx="413">
                  <c:v>8374</c:v>
                </c:pt>
                <c:pt idx="414">
                  <c:v>8375</c:v>
                </c:pt>
                <c:pt idx="415">
                  <c:v>8376</c:v>
                </c:pt>
                <c:pt idx="416">
                  <c:v>8377</c:v>
                </c:pt>
                <c:pt idx="417">
                  <c:v>8378</c:v>
                </c:pt>
                <c:pt idx="418">
                  <c:v>8379</c:v>
                </c:pt>
                <c:pt idx="419">
                  <c:v>8380</c:v>
                </c:pt>
                <c:pt idx="420">
                  <c:v>8679</c:v>
                </c:pt>
                <c:pt idx="421">
                  <c:v>8680</c:v>
                </c:pt>
                <c:pt idx="422">
                  <c:v>8681</c:v>
                </c:pt>
                <c:pt idx="423">
                  <c:v>8682</c:v>
                </c:pt>
                <c:pt idx="424">
                  <c:v>8683</c:v>
                </c:pt>
                <c:pt idx="425">
                  <c:v>8684</c:v>
                </c:pt>
                <c:pt idx="426">
                  <c:v>8685</c:v>
                </c:pt>
                <c:pt idx="427">
                  <c:v>8686</c:v>
                </c:pt>
                <c:pt idx="428">
                  <c:v>8687</c:v>
                </c:pt>
                <c:pt idx="429">
                  <c:v>8688</c:v>
                </c:pt>
                <c:pt idx="430">
                  <c:v>8689</c:v>
                </c:pt>
                <c:pt idx="431">
                  <c:v>8690</c:v>
                </c:pt>
                <c:pt idx="432">
                  <c:v>8691</c:v>
                </c:pt>
                <c:pt idx="433">
                  <c:v>8692</c:v>
                </c:pt>
                <c:pt idx="434">
                  <c:v>8693</c:v>
                </c:pt>
                <c:pt idx="435">
                  <c:v>8694</c:v>
                </c:pt>
                <c:pt idx="436">
                  <c:v>8695</c:v>
                </c:pt>
                <c:pt idx="437">
                  <c:v>8696</c:v>
                </c:pt>
                <c:pt idx="438">
                  <c:v>8697</c:v>
                </c:pt>
                <c:pt idx="439">
                  <c:v>8698</c:v>
                </c:pt>
                <c:pt idx="440">
                  <c:v>9074</c:v>
                </c:pt>
                <c:pt idx="441">
                  <c:v>9075</c:v>
                </c:pt>
                <c:pt idx="442">
                  <c:v>9076</c:v>
                </c:pt>
                <c:pt idx="443">
                  <c:v>9077</c:v>
                </c:pt>
                <c:pt idx="444">
                  <c:v>9078</c:v>
                </c:pt>
                <c:pt idx="445">
                  <c:v>9079</c:v>
                </c:pt>
                <c:pt idx="446">
                  <c:v>9080</c:v>
                </c:pt>
                <c:pt idx="447">
                  <c:v>9081</c:v>
                </c:pt>
                <c:pt idx="448">
                  <c:v>9082</c:v>
                </c:pt>
                <c:pt idx="449">
                  <c:v>9083</c:v>
                </c:pt>
                <c:pt idx="450">
                  <c:v>9084</c:v>
                </c:pt>
                <c:pt idx="451">
                  <c:v>9085</c:v>
                </c:pt>
                <c:pt idx="452">
                  <c:v>9086</c:v>
                </c:pt>
                <c:pt idx="453">
                  <c:v>9087</c:v>
                </c:pt>
                <c:pt idx="454">
                  <c:v>9088</c:v>
                </c:pt>
                <c:pt idx="455">
                  <c:v>9089</c:v>
                </c:pt>
                <c:pt idx="456">
                  <c:v>9090</c:v>
                </c:pt>
                <c:pt idx="457">
                  <c:v>9091</c:v>
                </c:pt>
                <c:pt idx="458">
                  <c:v>9092</c:v>
                </c:pt>
                <c:pt idx="459">
                  <c:v>9093</c:v>
                </c:pt>
                <c:pt idx="460">
                  <c:v>9304</c:v>
                </c:pt>
                <c:pt idx="461">
                  <c:v>9305</c:v>
                </c:pt>
                <c:pt idx="462">
                  <c:v>9306</c:v>
                </c:pt>
                <c:pt idx="463">
                  <c:v>9307</c:v>
                </c:pt>
                <c:pt idx="464">
                  <c:v>9308</c:v>
                </c:pt>
                <c:pt idx="465">
                  <c:v>9309</c:v>
                </c:pt>
                <c:pt idx="466">
                  <c:v>9310</c:v>
                </c:pt>
                <c:pt idx="467">
                  <c:v>9311</c:v>
                </c:pt>
                <c:pt idx="468">
                  <c:v>9312</c:v>
                </c:pt>
                <c:pt idx="469">
                  <c:v>9313</c:v>
                </c:pt>
                <c:pt idx="470">
                  <c:v>9314</c:v>
                </c:pt>
                <c:pt idx="471">
                  <c:v>9315</c:v>
                </c:pt>
                <c:pt idx="472">
                  <c:v>9316</c:v>
                </c:pt>
                <c:pt idx="473">
                  <c:v>9317</c:v>
                </c:pt>
                <c:pt idx="474">
                  <c:v>9318</c:v>
                </c:pt>
                <c:pt idx="475">
                  <c:v>9319</c:v>
                </c:pt>
                <c:pt idx="476">
                  <c:v>9320</c:v>
                </c:pt>
                <c:pt idx="477">
                  <c:v>9321</c:v>
                </c:pt>
                <c:pt idx="478">
                  <c:v>9322</c:v>
                </c:pt>
                <c:pt idx="479">
                  <c:v>9323</c:v>
                </c:pt>
                <c:pt idx="480">
                  <c:v>9774</c:v>
                </c:pt>
                <c:pt idx="481">
                  <c:v>9775</c:v>
                </c:pt>
                <c:pt idx="482">
                  <c:v>9776</c:v>
                </c:pt>
                <c:pt idx="483">
                  <c:v>9777</c:v>
                </c:pt>
                <c:pt idx="484">
                  <c:v>9778</c:v>
                </c:pt>
                <c:pt idx="485">
                  <c:v>9779</c:v>
                </c:pt>
                <c:pt idx="486">
                  <c:v>9780</c:v>
                </c:pt>
                <c:pt idx="487">
                  <c:v>9781</c:v>
                </c:pt>
                <c:pt idx="488">
                  <c:v>9782</c:v>
                </c:pt>
                <c:pt idx="489">
                  <c:v>9783</c:v>
                </c:pt>
                <c:pt idx="490">
                  <c:v>9784</c:v>
                </c:pt>
                <c:pt idx="491">
                  <c:v>9785</c:v>
                </c:pt>
                <c:pt idx="492">
                  <c:v>9786</c:v>
                </c:pt>
                <c:pt idx="493">
                  <c:v>9787</c:v>
                </c:pt>
                <c:pt idx="494">
                  <c:v>9788</c:v>
                </c:pt>
                <c:pt idx="495">
                  <c:v>9789</c:v>
                </c:pt>
                <c:pt idx="496">
                  <c:v>9790</c:v>
                </c:pt>
                <c:pt idx="497">
                  <c:v>9791</c:v>
                </c:pt>
                <c:pt idx="498">
                  <c:v>9792</c:v>
                </c:pt>
                <c:pt idx="499">
                  <c:v>9793</c:v>
                </c:pt>
                <c:pt idx="500">
                  <c:v>10014</c:v>
                </c:pt>
                <c:pt idx="501">
                  <c:v>10015</c:v>
                </c:pt>
                <c:pt idx="502">
                  <c:v>10016</c:v>
                </c:pt>
                <c:pt idx="503">
                  <c:v>10017</c:v>
                </c:pt>
                <c:pt idx="504">
                  <c:v>10018</c:v>
                </c:pt>
                <c:pt idx="505">
                  <c:v>10019</c:v>
                </c:pt>
                <c:pt idx="506">
                  <c:v>10020</c:v>
                </c:pt>
                <c:pt idx="507">
                  <c:v>10021</c:v>
                </c:pt>
                <c:pt idx="508">
                  <c:v>10022</c:v>
                </c:pt>
                <c:pt idx="509">
                  <c:v>10023</c:v>
                </c:pt>
                <c:pt idx="510">
                  <c:v>10024</c:v>
                </c:pt>
                <c:pt idx="511">
                  <c:v>10025</c:v>
                </c:pt>
                <c:pt idx="512">
                  <c:v>10026</c:v>
                </c:pt>
                <c:pt idx="513">
                  <c:v>10027</c:v>
                </c:pt>
                <c:pt idx="514">
                  <c:v>10028</c:v>
                </c:pt>
                <c:pt idx="515">
                  <c:v>10029</c:v>
                </c:pt>
                <c:pt idx="516">
                  <c:v>10030</c:v>
                </c:pt>
                <c:pt idx="517">
                  <c:v>10031</c:v>
                </c:pt>
                <c:pt idx="518">
                  <c:v>10032</c:v>
                </c:pt>
                <c:pt idx="519">
                  <c:v>10033</c:v>
                </c:pt>
                <c:pt idx="520">
                  <c:v>11975</c:v>
                </c:pt>
                <c:pt idx="521">
                  <c:v>11976</c:v>
                </c:pt>
                <c:pt idx="522">
                  <c:v>11977</c:v>
                </c:pt>
                <c:pt idx="523">
                  <c:v>11978</c:v>
                </c:pt>
                <c:pt idx="524">
                  <c:v>11979</c:v>
                </c:pt>
                <c:pt idx="525">
                  <c:v>11980</c:v>
                </c:pt>
                <c:pt idx="526">
                  <c:v>11981</c:v>
                </c:pt>
                <c:pt idx="527">
                  <c:v>11982</c:v>
                </c:pt>
                <c:pt idx="528">
                  <c:v>11983</c:v>
                </c:pt>
                <c:pt idx="529">
                  <c:v>11984</c:v>
                </c:pt>
                <c:pt idx="530">
                  <c:v>11985</c:v>
                </c:pt>
                <c:pt idx="531">
                  <c:v>11986</c:v>
                </c:pt>
                <c:pt idx="532">
                  <c:v>11987</c:v>
                </c:pt>
                <c:pt idx="533">
                  <c:v>11988</c:v>
                </c:pt>
                <c:pt idx="534">
                  <c:v>11989</c:v>
                </c:pt>
                <c:pt idx="535">
                  <c:v>11990</c:v>
                </c:pt>
                <c:pt idx="536">
                  <c:v>11991</c:v>
                </c:pt>
                <c:pt idx="537">
                  <c:v>11992</c:v>
                </c:pt>
                <c:pt idx="538">
                  <c:v>11993</c:v>
                </c:pt>
                <c:pt idx="539">
                  <c:v>11994</c:v>
                </c:pt>
                <c:pt idx="540">
                  <c:v>12381</c:v>
                </c:pt>
                <c:pt idx="541">
                  <c:v>12382</c:v>
                </c:pt>
                <c:pt idx="542">
                  <c:v>12383</c:v>
                </c:pt>
                <c:pt idx="543">
                  <c:v>12384</c:v>
                </c:pt>
                <c:pt idx="544">
                  <c:v>12385</c:v>
                </c:pt>
                <c:pt idx="545">
                  <c:v>12386</c:v>
                </c:pt>
                <c:pt idx="546">
                  <c:v>12387</c:v>
                </c:pt>
                <c:pt idx="547">
                  <c:v>12388</c:v>
                </c:pt>
                <c:pt idx="548">
                  <c:v>12389</c:v>
                </c:pt>
                <c:pt idx="549">
                  <c:v>12390</c:v>
                </c:pt>
                <c:pt idx="550">
                  <c:v>12391</c:v>
                </c:pt>
                <c:pt idx="551">
                  <c:v>12392</c:v>
                </c:pt>
                <c:pt idx="552">
                  <c:v>12393</c:v>
                </c:pt>
                <c:pt idx="553">
                  <c:v>12394</c:v>
                </c:pt>
                <c:pt idx="554">
                  <c:v>12395</c:v>
                </c:pt>
                <c:pt idx="555">
                  <c:v>12396</c:v>
                </c:pt>
                <c:pt idx="556">
                  <c:v>12397</c:v>
                </c:pt>
                <c:pt idx="557">
                  <c:v>12398</c:v>
                </c:pt>
                <c:pt idx="558">
                  <c:v>12399</c:v>
                </c:pt>
                <c:pt idx="559">
                  <c:v>12400</c:v>
                </c:pt>
                <c:pt idx="560">
                  <c:v>12432</c:v>
                </c:pt>
                <c:pt idx="561">
                  <c:v>12433</c:v>
                </c:pt>
                <c:pt idx="562">
                  <c:v>12434</c:v>
                </c:pt>
                <c:pt idx="563">
                  <c:v>12435</c:v>
                </c:pt>
                <c:pt idx="564">
                  <c:v>12436</c:v>
                </c:pt>
                <c:pt idx="565">
                  <c:v>12437</c:v>
                </c:pt>
                <c:pt idx="566">
                  <c:v>12438</c:v>
                </c:pt>
                <c:pt idx="567">
                  <c:v>12439</c:v>
                </c:pt>
                <c:pt idx="568">
                  <c:v>12440</c:v>
                </c:pt>
                <c:pt idx="569">
                  <c:v>12441</c:v>
                </c:pt>
                <c:pt idx="570">
                  <c:v>12442</c:v>
                </c:pt>
                <c:pt idx="571">
                  <c:v>12443</c:v>
                </c:pt>
                <c:pt idx="572">
                  <c:v>12444</c:v>
                </c:pt>
                <c:pt idx="573">
                  <c:v>12445</c:v>
                </c:pt>
                <c:pt idx="574">
                  <c:v>12446</c:v>
                </c:pt>
                <c:pt idx="575">
                  <c:v>12447</c:v>
                </c:pt>
                <c:pt idx="576">
                  <c:v>12448</c:v>
                </c:pt>
                <c:pt idx="577">
                  <c:v>12449</c:v>
                </c:pt>
                <c:pt idx="578">
                  <c:v>12450</c:v>
                </c:pt>
                <c:pt idx="579">
                  <c:v>12451</c:v>
                </c:pt>
                <c:pt idx="580">
                  <c:v>12951</c:v>
                </c:pt>
                <c:pt idx="581">
                  <c:v>12952</c:v>
                </c:pt>
                <c:pt idx="582">
                  <c:v>12953</c:v>
                </c:pt>
                <c:pt idx="583">
                  <c:v>12954</c:v>
                </c:pt>
                <c:pt idx="584">
                  <c:v>12955</c:v>
                </c:pt>
                <c:pt idx="585">
                  <c:v>12956</c:v>
                </c:pt>
                <c:pt idx="586">
                  <c:v>12957</c:v>
                </c:pt>
                <c:pt idx="587">
                  <c:v>12958</c:v>
                </c:pt>
                <c:pt idx="588">
                  <c:v>12959</c:v>
                </c:pt>
                <c:pt idx="589">
                  <c:v>12960</c:v>
                </c:pt>
                <c:pt idx="590">
                  <c:v>12961</c:v>
                </c:pt>
                <c:pt idx="591">
                  <c:v>12962</c:v>
                </c:pt>
                <c:pt idx="592">
                  <c:v>12963</c:v>
                </c:pt>
                <c:pt idx="593">
                  <c:v>12964</c:v>
                </c:pt>
                <c:pt idx="594">
                  <c:v>12965</c:v>
                </c:pt>
                <c:pt idx="595">
                  <c:v>12966</c:v>
                </c:pt>
                <c:pt idx="596">
                  <c:v>12967</c:v>
                </c:pt>
                <c:pt idx="597">
                  <c:v>12968</c:v>
                </c:pt>
                <c:pt idx="598">
                  <c:v>12969</c:v>
                </c:pt>
                <c:pt idx="599">
                  <c:v>12970</c:v>
                </c:pt>
                <c:pt idx="600">
                  <c:v>13232</c:v>
                </c:pt>
                <c:pt idx="601">
                  <c:v>13233</c:v>
                </c:pt>
                <c:pt idx="602">
                  <c:v>13234</c:v>
                </c:pt>
                <c:pt idx="603">
                  <c:v>13235</c:v>
                </c:pt>
                <c:pt idx="604">
                  <c:v>13236</c:v>
                </c:pt>
                <c:pt idx="605">
                  <c:v>13237</c:v>
                </c:pt>
                <c:pt idx="606">
                  <c:v>13238</c:v>
                </c:pt>
                <c:pt idx="607">
                  <c:v>13239</c:v>
                </c:pt>
                <c:pt idx="608">
                  <c:v>13240</c:v>
                </c:pt>
                <c:pt idx="609">
                  <c:v>13241</c:v>
                </c:pt>
                <c:pt idx="610">
                  <c:v>13242</c:v>
                </c:pt>
                <c:pt idx="611">
                  <c:v>13243</c:v>
                </c:pt>
                <c:pt idx="612">
                  <c:v>13244</c:v>
                </c:pt>
                <c:pt idx="613">
                  <c:v>13245</c:v>
                </c:pt>
                <c:pt idx="614">
                  <c:v>13246</c:v>
                </c:pt>
                <c:pt idx="615">
                  <c:v>13247</c:v>
                </c:pt>
                <c:pt idx="616">
                  <c:v>13248</c:v>
                </c:pt>
                <c:pt idx="617">
                  <c:v>13249</c:v>
                </c:pt>
                <c:pt idx="618">
                  <c:v>13250</c:v>
                </c:pt>
                <c:pt idx="619">
                  <c:v>13251</c:v>
                </c:pt>
                <c:pt idx="620">
                  <c:v>13760</c:v>
                </c:pt>
                <c:pt idx="621">
                  <c:v>13761</c:v>
                </c:pt>
                <c:pt idx="622">
                  <c:v>13762</c:v>
                </c:pt>
                <c:pt idx="623">
                  <c:v>13763</c:v>
                </c:pt>
                <c:pt idx="624">
                  <c:v>13764</c:v>
                </c:pt>
                <c:pt idx="625">
                  <c:v>13765</c:v>
                </c:pt>
                <c:pt idx="626">
                  <c:v>13766</c:v>
                </c:pt>
                <c:pt idx="627">
                  <c:v>13767</c:v>
                </c:pt>
                <c:pt idx="628">
                  <c:v>13768</c:v>
                </c:pt>
                <c:pt idx="629">
                  <c:v>13769</c:v>
                </c:pt>
                <c:pt idx="630">
                  <c:v>13770</c:v>
                </c:pt>
                <c:pt idx="631">
                  <c:v>13771</c:v>
                </c:pt>
                <c:pt idx="632">
                  <c:v>13772</c:v>
                </c:pt>
                <c:pt idx="633">
                  <c:v>13773</c:v>
                </c:pt>
                <c:pt idx="634">
                  <c:v>13774</c:v>
                </c:pt>
                <c:pt idx="635">
                  <c:v>13775</c:v>
                </c:pt>
                <c:pt idx="636">
                  <c:v>13776</c:v>
                </c:pt>
                <c:pt idx="637">
                  <c:v>13777</c:v>
                </c:pt>
                <c:pt idx="638">
                  <c:v>13778</c:v>
                </c:pt>
                <c:pt idx="639">
                  <c:v>13779</c:v>
                </c:pt>
                <c:pt idx="640">
                  <c:v>14021</c:v>
                </c:pt>
                <c:pt idx="641">
                  <c:v>14022</c:v>
                </c:pt>
                <c:pt idx="642">
                  <c:v>14023</c:v>
                </c:pt>
                <c:pt idx="643">
                  <c:v>14024</c:v>
                </c:pt>
                <c:pt idx="644">
                  <c:v>14025</c:v>
                </c:pt>
                <c:pt idx="645">
                  <c:v>14026</c:v>
                </c:pt>
                <c:pt idx="646">
                  <c:v>14027</c:v>
                </c:pt>
                <c:pt idx="647">
                  <c:v>14028</c:v>
                </c:pt>
                <c:pt idx="648">
                  <c:v>14029</c:v>
                </c:pt>
                <c:pt idx="649">
                  <c:v>14030</c:v>
                </c:pt>
                <c:pt idx="650">
                  <c:v>14031</c:v>
                </c:pt>
                <c:pt idx="651">
                  <c:v>14032</c:v>
                </c:pt>
                <c:pt idx="652">
                  <c:v>14033</c:v>
                </c:pt>
                <c:pt idx="653">
                  <c:v>14034</c:v>
                </c:pt>
                <c:pt idx="654">
                  <c:v>14035</c:v>
                </c:pt>
                <c:pt idx="655">
                  <c:v>14036</c:v>
                </c:pt>
                <c:pt idx="656">
                  <c:v>14037</c:v>
                </c:pt>
                <c:pt idx="657">
                  <c:v>14038</c:v>
                </c:pt>
                <c:pt idx="658">
                  <c:v>14039</c:v>
                </c:pt>
                <c:pt idx="659">
                  <c:v>14040</c:v>
                </c:pt>
                <c:pt idx="660">
                  <c:v>14547</c:v>
                </c:pt>
                <c:pt idx="661">
                  <c:v>14548</c:v>
                </c:pt>
                <c:pt idx="662">
                  <c:v>14549</c:v>
                </c:pt>
                <c:pt idx="663">
                  <c:v>14550</c:v>
                </c:pt>
                <c:pt idx="664">
                  <c:v>14551</c:v>
                </c:pt>
                <c:pt idx="665">
                  <c:v>14552</c:v>
                </c:pt>
                <c:pt idx="666">
                  <c:v>14553</c:v>
                </c:pt>
                <c:pt idx="667">
                  <c:v>14554</c:v>
                </c:pt>
                <c:pt idx="668">
                  <c:v>14555</c:v>
                </c:pt>
                <c:pt idx="669">
                  <c:v>14556</c:v>
                </c:pt>
                <c:pt idx="670">
                  <c:v>14557</c:v>
                </c:pt>
                <c:pt idx="671">
                  <c:v>14558</c:v>
                </c:pt>
                <c:pt idx="672">
                  <c:v>14559</c:v>
                </c:pt>
                <c:pt idx="673">
                  <c:v>14560</c:v>
                </c:pt>
                <c:pt idx="674">
                  <c:v>14561</c:v>
                </c:pt>
                <c:pt idx="675">
                  <c:v>14562</c:v>
                </c:pt>
                <c:pt idx="676">
                  <c:v>14563</c:v>
                </c:pt>
                <c:pt idx="677">
                  <c:v>14564</c:v>
                </c:pt>
                <c:pt idx="678">
                  <c:v>14565</c:v>
                </c:pt>
                <c:pt idx="679">
                  <c:v>14566</c:v>
                </c:pt>
                <c:pt idx="680">
                  <c:v>14901</c:v>
                </c:pt>
                <c:pt idx="681">
                  <c:v>14902</c:v>
                </c:pt>
                <c:pt idx="682">
                  <c:v>14903</c:v>
                </c:pt>
                <c:pt idx="683">
                  <c:v>14904</c:v>
                </c:pt>
                <c:pt idx="684">
                  <c:v>14905</c:v>
                </c:pt>
                <c:pt idx="685">
                  <c:v>14906</c:v>
                </c:pt>
                <c:pt idx="686">
                  <c:v>14907</c:v>
                </c:pt>
                <c:pt idx="687">
                  <c:v>14908</c:v>
                </c:pt>
                <c:pt idx="688">
                  <c:v>14909</c:v>
                </c:pt>
                <c:pt idx="689">
                  <c:v>14910</c:v>
                </c:pt>
                <c:pt idx="690">
                  <c:v>14911</c:v>
                </c:pt>
                <c:pt idx="691">
                  <c:v>14912</c:v>
                </c:pt>
                <c:pt idx="692">
                  <c:v>14913</c:v>
                </c:pt>
                <c:pt idx="693">
                  <c:v>14914</c:v>
                </c:pt>
                <c:pt idx="694">
                  <c:v>14915</c:v>
                </c:pt>
                <c:pt idx="695">
                  <c:v>14916</c:v>
                </c:pt>
                <c:pt idx="696">
                  <c:v>14917</c:v>
                </c:pt>
                <c:pt idx="697">
                  <c:v>14918</c:v>
                </c:pt>
                <c:pt idx="698">
                  <c:v>14919</c:v>
                </c:pt>
                <c:pt idx="699">
                  <c:v>14920</c:v>
                </c:pt>
                <c:pt idx="700">
                  <c:v>15256</c:v>
                </c:pt>
                <c:pt idx="701">
                  <c:v>15257</c:v>
                </c:pt>
                <c:pt idx="702">
                  <c:v>15258</c:v>
                </c:pt>
                <c:pt idx="703">
                  <c:v>15259</c:v>
                </c:pt>
                <c:pt idx="704">
                  <c:v>15260</c:v>
                </c:pt>
                <c:pt idx="705">
                  <c:v>15261</c:v>
                </c:pt>
                <c:pt idx="706">
                  <c:v>15262</c:v>
                </c:pt>
                <c:pt idx="707">
                  <c:v>15263</c:v>
                </c:pt>
                <c:pt idx="708">
                  <c:v>15264</c:v>
                </c:pt>
                <c:pt idx="709">
                  <c:v>15265</c:v>
                </c:pt>
                <c:pt idx="710">
                  <c:v>15266</c:v>
                </c:pt>
                <c:pt idx="711">
                  <c:v>15267</c:v>
                </c:pt>
                <c:pt idx="712">
                  <c:v>15268</c:v>
                </c:pt>
                <c:pt idx="713">
                  <c:v>15269</c:v>
                </c:pt>
                <c:pt idx="714">
                  <c:v>15270</c:v>
                </c:pt>
                <c:pt idx="715">
                  <c:v>15271</c:v>
                </c:pt>
                <c:pt idx="716">
                  <c:v>15272</c:v>
                </c:pt>
                <c:pt idx="717">
                  <c:v>15273</c:v>
                </c:pt>
                <c:pt idx="718">
                  <c:v>15274</c:v>
                </c:pt>
                <c:pt idx="719">
                  <c:v>15275</c:v>
                </c:pt>
                <c:pt idx="720">
                  <c:v>15636</c:v>
                </c:pt>
                <c:pt idx="721">
                  <c:v>15637</c:v>
                </c:pt>
                <c:pt idx="722">
                  <c:v>15638</c:v>
                </c:pt>
                <c:pt idx="723">
                  <c:v>15639</c:v>
                </c:pt>
                <c:pt idx="724">
                  <c:v>15640</c:v>
                </c:pt>
                <c:pt idx="725">
                  <c:v>15641</c:v>
                </c:pt>
                <c:pt idx="726">
                  <c:v>15642</c:v>
                </c:pt>
                <c:pt idx="727">
                  <c:v>15643</c:v>
                </c:pt>
                <c:pt idx="728">
                  <c:v>15644</c:v>
                </c:pt>
                <c:pt idx="729">
                  <c:v>15645</c:v>
                </c:pt>
                <c:pt idx="730">
                  <c:v>15646</c:v>
                </c:pt>
                <c:pt idx="731">
                  <c:v>15647</c:v>
                </c:pt>
                <c:pt idx="732">
                  <c:v>15648</c:v>
                </c:pt>
                <c:pt idx="733">
                  <c:v>15649</c:v>
                </c:pt>
                <c:pt idx="734">
                  <c:v>15650</c:v>
                </c:pt>
                <c:pt idx="735">
                  <c:v>15651</c:v>
                </c:pt>
                <c:pt idx="736">
                  <c:v>15652</c:v>
                </c:pt>
                <c:pt idx="737">
                  <c:v>15653</c:v>
                </c:pt>
                <c:pt idx="738">
                  <c:v>15654</c:v>
                </c:pt>
                <c:pt idx="739">
                  <c:v>15655</c:v>
                </c:pt>
                <c:pt idx="740">
                  <c:v>16226</c:v>
                </c:pt>
                <c:pt idx="741">
                  <c:v>16227</c:v>
                </c:pt>
                <c:pt idx="742">
                  <c:v>16228</c:v>
                </c:pt>
                <c:pt idx="743">
                  <c:v>16229</c:v>
                </c:pt>
                <c:pt idx="744">
                  <c:v>16230</c:v>
                </c:pt>
                <c:pt idx="745">
                  <c:v>16231</c:v>
                </c:pt>
                <c:pt idx="746">
                  <c:v>16232</c:v>
                </c:pt>
                <c:pt idx="747">
                  <c:v>16233</c:v>
                </c:pt>
                <c:pt idx="748">
                  <c:v>16234</c:v>
                </c:pt>
                <c:pt idx="749">
                  <c:v>16235</c:v>
                </c:pt>
                <c:pt idx="750">
                  <c:v>16236</c:v>
                </c:pt>
                <c:pt idx="751">
                  <c:v>16237</c:v>
                </c:pt>
                <c:pt idx="752">
                  <c:v>16238</c:v>
                </c:pt>
                <c:pt idx="753">
                  <c:v>16239</c:v>
                </c:pt>
                <c:pt idx="754">
                  <c:v>16240</c:v>
                </c:pt>
                <c:pt idx="755">
                  <c:v>16241</c:v>
                </c:pt>
                <c:pt idx="756">
                  <c:v>16242</c:v>
                </c:pt>
                <c:pt idx="757">
                  <c:v>16243</c:v>
                </c:pt>
                <c:pt idx="758">
                  <c:v>16244</c:v>
                </c:pt>
                <c:pt idx="759">
                  <c:v>16245</c:v>
                </c:pt>
                <c:pt idx="760">
                  <c:v>19126</c:v>
                </c:pt>
                <c:pt idx="761">
                  <c:v>19127</c:v>
                </c:pt>
                <c:pt idx="762">
                  <c:v>19128</c:v>
                </c:pt>
                <c:pt idx="763">
                  <c:v>19129</c:v>
                </c:pt>
                <c:pt idx="764">
                  <c:v>19130</c:v>
                </c:pt>
                <c:pt idx="765">
                  <c:v>19131</c:v>
                </c:pt>
                <c:pt idx="766">
                  <c:v>19132</c:v>
                </c:pt>
                <c:pt idx="767">
                  <c:v>19133</c:v>
                </c:pt>
                <c:pt idx="768">
                  <c:v>19134</c:v>
                </c:pt>
                <c:pt idx="769">
                  <c:v>19135</c:v>
                </c:pt>
                <c:pt idx="770">
                  <c:v>19136</c:v>
                </c:pt>
                <c:pt idx="771">
                  <c:v>19137</c:v>
                </c:pt>
                <c:pt idx="772">
                  <c:v>19138</c:v>
                </c:pt>
                <c:pt idx="773">
                  <c:v>19139</c:v>
                </c:pt>
                <c:pt idx="774">
                  <c:v>19140</c:v>
                </c:pt>
                <c:pt idx="775">
                  <c:v>19141</c:v>
                </c:pt>
                <c:pt idx="776">
                  <c:v>19142</c:v>
                </c:pt>
                <c:pt idx="777">
                  <c:v>19143</c:v>
                </c:pt>
                <c:pt idx="778">
                  <c:v>19144</c:v>
                </c:pt>
                <c:pt idx="779">
                  <c:v>19145</c:v>
                </c:pt>
                <c:pt idx="780">
                  <c:v>19466</c:v>
                </c:pt>
                <c:pt idx="781">
                  <c:v>19467</c:v>
                </c:pt>
                <c:pt idx="782">
                  <c:v>19468</c:v>
                </c:pt>
                <c:pt idx="783">
                  <c:v>19469</c:v>
                </c:pt>
                <c:pt idx="784">
                  <c:v>19470</c:v>
                </c:pt>
                <c:pt idx="785">
                  <c:v>19471</c:v>
                </c:pt>
                <c:pt idx="786">
                  <c:v>19472</c:v>
                </c:pt>
                <c:pt idx="787">
                  <c:v>19473</c:v>
                </c:pt>
                <c:pt idx="788">
                  <c:v>19474</c:v>
                </c:pt>
                <c:pt idx="789">
                  <c:v>19475</c:v>
                </c:pt>
                <c:pt idx="790">
                  <c:v>19476</c:v>
                </c:pt>
                <c:pt idx="791">
                  <c:v>19477</c:v>
                </c:pt>
                <c:pt idx="792">
                  <c:v>19478</c:v>
                </c:pt>
                <c:pt idx="793">
                  <c:v>19479</c:v>
                </c:pt>
                <c:pt idx="794">
                  <c:v>19480</c:v>
                </c:pt>
                <c:pt idx="795">
                  <c:v>19481</c:v>
                </c:pt>
                <c:pt idx="796">
                  <c:v>19482</c:v>
                </c:pt>
                <c:pt idx="797">
                  <c:v>19483</c:v>
                </c:pt>
                <c:pt idx="798">
                  <c:v>19484</c:v>
                </c:pt>
                <c:pt idx="799">
                  <c:v>19485</c:v>
                </c:pt>
                <c:pt idx="800">
                  <c:v>19761</c:v>
                </c:pt>
                <c:pt idx="801">
                  <c:v>19762</c:v>
                </c:pt>
                <c:pt idx="802">
                  <c:v>19763</c:v>
                </c:pt>
                <c:pt idx="803">
                  <c:v>19764</c:v>
                </c:pt>
                <c:pt idx="804">
                  <c:v>19765</c:v>
                </c:pt>
                <c:pt idx="805">
                  <c:v>19766</c:v>
                </c:pt>
                <c:pt idx="806">
                  <c:v>19767</c:v>
                </c:pt>
                <c:pt idx="807">
                  <c:v>19768</c:v>
                </c:pt>
                <c:pt idx="808">
                  <c:v>19769</c:v>
                </c:pt>
                <c:pt idx="809">
                  <c:v>19770</c:v>
                </c:pt>
                <c:pt idx="810">
                  <c:v>19771</c:v>
                </c:pt>
                <c:pt idx="811">
                  <c:v>19772</c:v>
                </c:pt>
                <c:pt idx="812">
                  <c:v>19773</c:v>
                </c:pt>
                <c:pt idx="813">
                  <c:v>19774</c:v>
                </c:pt>
                <c:pt idx="814">
                  <c:v>19775</c:v>
                </c:pt>
                <c:pt idx="815">
                  <c:v>19776</c:v>
                </c:pt>
                <c:pt idx="816">
                  <c:v>19777</c:v>
                </c:pt>
                <c:pt idx="817">
                  <c:v>19778</c:v>
                </c:pt>
                <c:pt idx="818">
                  <c:v>19779</c:v>
                </c:pt>
                <c:pt idx="819">
                  <c:v>19780</c:v>
                </c:pt>
                <c:pt idx="820">
                  <c:v>20150</c:v>
                </c:pt>
                <c:pt idx="821">
                  <c:v>20151</c:v>
                </c:pt>
                <c:pt idx="822">
                  <c:v>20152</c:v>
                </c:pt>
                <c:pt idx="823">
                  <c:v>20153</c:v>
                </c:pt>
                <c:pt idx="824">
                  <c:v>20154</c:v>
                </c:pt>
                <c:pt idx="825">
                  <c:v>20155</c:v>
                </c:pt>
                <c:pt idx="826">
                  <c:v>20156</c:v>
                </c:pt>
                <c:pt idx="827">
                  <c:v>20157</c:v>
                </c:pt>
                <c:pt idx="828">
                  <c:v>20158</c:v>
                </c:pt>
                <c:pt idx="829">
                  <c:v>20159</c:v>
                </c:pt>
                <c:pt idx="830">
                  <c:v>20160</c:v>
                </c:pt>
                <c:pt idx="831">
                  <c:v>20161</c:v>
                </c:pt>
                <c:pt idx="832">
                  <c:v>20162</c:v>
                </c:pt>
                <c:pt idx="833">
                  <c:v>20163</c:v>
                </c:pt>
                <c:pt idx="834">
                  <c:v>20164</c:v>
                </c:pt>
                <c:pt idx="835">
                  <c:v>20165</c:v>
                </c:pt>
                <c:pt idx="836">
                  <c:v>20166</c:v>
                </c:pt>
                <c:pt idx="837">
                  <c:v>20167</c:v>
                </c:pt>
                <c:pt idx="838">
                  <c:v>20168</c:v>
                </c:pt>
                <c:pt idx="839">
                  <c:v>20169</c:v>
                </c:pt>
                <c:pt idx="840">
                  <c:v>20434</c:v>
                </c:pt>
                <c:pt idx="841">
                  <c:v>20435</c:v>
                </c:pt>
                <c:pt idx="842">
                  <c:v>20436</c:v>
                </c:pt>
                <c:pt idx="843">
                  <c:v>20437</c:v>
                </c:pt>
                <c:pt idx="844">
                  <c:v>20438</c:v>
                </c:pt>
                <c:pt idx="845">
                  <c:v>20439</c:v>
                </c:pt>
                <c:pt idx="846">
                  <c:v>20440</c:v>
                </c:pt>
                <c:pt idx="847">
                  <c:v>20441</c:v>
                </c:pt>
                <c:pt idx="848">
                  <c:v>20442</c:v>
                </c:pt>
                <c:pt idx="849">
                  <c:v>20443</c:v>
                </c:pt>
                <c:pt idx="850">
                  <c:v>20444</c:v>
                </c:pt>
                <c:pt idx="851">
                  <c:v>20445</c:v>
                </c:pt>
                <c:pt idx="852">
                  <c:v>20446</c:v>
                </c:pt>
                <c:pt idx="853">
                  <c:v>20447</c:v>
                </c:pt>
                <c:pt idx="854">
                  <c:v>20448</c:v>
                </c:pt>
                <c:pt idx="855">
                  <c:v>20449</c:v>
                </c:pt>
                <c:pt idx="856">
                  <c:v>20450</c:v>
                </c:pt>
                <c:pt idx="857">
                  <c:v>20451</c:v>
                </c:pt>
                <c:pt idx="858">
                  <c:v>20452</c:v>
                </c:pt>
                <c:pt idx="859">
                  <c:v>20453</c:v>
                </c:pt>
                <c:pt idx="860">
                  <c:v>20845</c:v>
                </c:pt>
                <c:pt idx="861">
                  <c:v>20846</c:v>
                </c:pt>
                <c:pt idx="862">
                  <c:v>20847</c:v>
                </c:pt>
                <c:pt idx="863">
                  <c:v>20848</c:v>
                </c:pt>
                <c:pt idx="864">
                  <c:v>20849</c:v>
                </c:pt>
                <c:pt idx="865">
                  <c:v>20850</c:v>
                </c:pt>
                <c:pt idx="866">
                  <c:v>20851</c:v>
                </c:pt>
                <c:pt idx="867">
                  <c:v>20852</c:v>
                </c:pt>
                <c:pt idx="868">
                  <c:v>20853</c:v>
                </c:pt>
                <c:pt idx="869">
                  <c:v>20854</c:v>
                </c:pt>
                <c:pt idx="870">
                  <c:v>20855</c:v>
                </c:pt>
                <c:pt idx="871">
                  <c:v>20856</c:v>
                </c:pt>
                <c:pt idx="872">
                  <c:v>20857</c:v>
                </c:pt>
                <c:pt idx="873">
                  <c:v>20858</c:v>
                </c:pt>
                <c:pt idx="874">
                  <c:v>20859</c:v>
                </c:pt>
                <c:pt idx="875">
                  <c:v>20860</c:v>
                </c:pt>
                <c:pt idx="876">
                  <c:v>20861</c:v>
                </c:pt>
                <c:pt idx="877">
                  <c:v>20862</c:v>
                </c:pt>
                <c:pt idx="878">
                  <c:v>20863</c:v>
                </c:pt>
                <c:pt idx="879">
                  <c:v>20864</c:v>
                </c:pt>
                <c:pt idx="880">
                  <c:v>21485</c:v>
                </c:pt>
                <c:pt idx="881">
                  <c:v>21486</c:v>
                </c:pt>
                <c:pt idx="882">
                  <c:v>21487</c:v>
                </c:pt>
                <c:pt idx="883">
                  <c:v>21488</c:v>
                </c:pt>
                <c:pt idx="884">
                  <c:v>21489</c:v>
                </c:pt>
                <c:pt idx="885">
                  <c:v>21490</c:v>
                </c:pt>
                <c:pt idx="886">
                  <c:v>21491</c:v>
                </c:pt>
                <c:pt idx="887">
                  <c:v>21492</c:v>
                </c:pt>
                <c:pt idx="888">
                  <c:v>21493</c:v>
                </c:pt>
                <c:pt idx="889">
                  <c:v>21494</c:v>
                </c:pt>
                <c:pt idx="890">
                  <c:v>21495</c:v>
                </c:pt>
                <c:pt idx="891">
                  <c:v>21496</c:v>
                </c:pt>
                <c:pt idx="892">
                  <c:v>21497</c:v>
                </c:pt>
                <c:pt idx="893">
                  <c:v>21498</c:v>
                </c:pt>
                <c:pt idx="894">
                  <c:v>21499</c:v>
                </c:pt>
                <c:pt idx="895">
                  <c:v>21500</c:v>
                </c:pt>
                <c:pt idx="896">
                  <c:v>21501</c:v>
                </c:pt>
                <c:pt idx="897">
                  <c:v>21502</c:v>
                </c:pt>
                <c:pt idx="898">
                  <c:v>21503</c:v>
                </c:pt>
                <c:pt idx="899">
                  <c:v>21504</c:v>
                </c:pt>
                <c:pt idx="900">
                  <c:v>21839</c:v>
                </c:pt>
                <c:pt idx="901">
                  <c:v>21840</c:v>
                </c:pt>
                <c:pt idx="902">
                  <c:v>21841</c:v>
                </c:pt>
                <c:pt idx="903">
                  <c:v>21842</c:v>
                </c:pt>
                <c:pt idx="904">
                  <c:v>21843</c:v>
                </c:pt>
                <c:pt idx="905">
                  <c:v>21844</c:v>
                </c:pt>
                <c:pt idx="906">
                  <c:v>21845</c:v>
                </c:pt>
                <c:pt idx="907">
                  <c:v>21846</c:v>
                </c:pt>
                <c:pt idx="908">
                  <c:v>21847</c:v>
                </c:pt>
                <c:pt idx="909">
                  <c:v>21848</c:v>
                </c:pt>
                <c:pt idx="910">
                  <c:v>21849</c:v>
                </c:pt>
                <c:pt idx="911">
                  <c:v>21850</c:v>
                </c:pt>
                <c:pt idx="912">
                  <c:v>21851</c:v>
                </c:pt>
                <c:pt idx="913">
                  <c:v>21852</c:v>
                </c:pt>
                <c:pt idx="914">
                  <c:v>21853</c:v>
                </c:pt>
                <c:pt idx="915">
                  <c:v>21854</c:v>
                </c:pt>
                <c:pt idx="916">
                  <c:v>21855</c:v>
                </c:pt>
                <c:pt idx="917">
                  <c:v>21856</c:v>
                </c:pt>
                <c:pt idx="918">
                  <c:v>21857</c:v>
                </c:pt>
                <c:pt idx="919">
                  <c:v>21858</c:v>
                </c:pt>
                <c:pt idx="920">
                  <c:v>22846</c:v>
                </c:pt>
                <c:pt idx="921">
                  <c:v>22847</c:v>
                </c:pt>
                <c:pt idx="922">
                  <c:v>22848</c:v>
                </c:pt>
                <c:pt idx="923">
                  <c:v>22849</c:v>
                </c:pt>
                <c:pt idx="924">
                  <c:v>22850</c:v>
                </c:pt>
                <c:pt idx="925">
                  <c:v>22851</c:v>
                </c:pt>
                <c:pt idx="926">
                  <c:v>22852</c:v>
                </c:pt>
                <c:pt idx="927">
                  <c:v>22853</c:v>
                </c:pt>
                <c:pt idx="928">
                  <c:v>22854</c:v>
                </c:pt>
                <c:pt idx="929">
                  <c:v>22855</c:v>
                </c:pt>
                <c:pt idx="930">
                  <c:v>22856</c:v>
                </c:pt>
                <c:pt idx="931">
                  <c:v>22857</c:v>
                </c:pt>
                <c:pt idx="932">
                  <c:v>22858</c:v>
                </c:pt>
                <c:pt idx="933">
                  <c:v>22859</c:v>
                </c:pt>
                <c:pt idx="934">
                  <c:v>22860</c:v>
                </c:pt>
                <c:pt idx="935">
                  <c:v>22861</c:v>
                </c:pt>
                <c:pt idx="936">
                  <c:v>22862</c:v>
                </c:pt>
                <c:pt idx="937">
                  <c:v>22863</c:v>
                </c:pt>
                <c:pt idx="938">
                  <c:v>22864</c:v>
                </c:pt>
                <c:pt idx="939">
                  <c:v>22865</c:v>
                </c:pt>
                <c:pt idx="940">
                  <c:v>23670</c:v>
                </c:pt>
                <c:pt idx="941">
                  <c:v>23671</c:v>
                </c:pt>
                <c:pt idx="942">
                  <c:v>23672</c:v>
                </c:pt>
                <c:pt idx="943">
                  <c:v>23673</c:v>
                </c:pt>
                <c:pt idx="944">
                  <c:v>23674</c:v>
                </c:pt>
                <c:pt idx="945">
                  <c:v>23675</c:v>
                </c:pt>
                <c:pt idx="946">
                  <c:v>23676</c:v>
                </c:pt>
                <c:pt idx="947">
                  <c:v>23677</c:v>
                </c:pt>
                <c:pt idx="948">
                  <c:v>23678</c:v>
                </c:pt>
                <c:pt idx="949">
                  <c:v>23679</c:v>
                </c:pt>
                <c:pt idx="950">
                  <c:v>23680</c:v>
                </c:pt>
                <c:pt idx="951">
                  <c:v>23681</c:v>
                </c:pt>
                <c:pt idx="952">
                  <c:v>23682</c:v>
                </c:pt>
                <c:pt idx="953">
                  <c:v>23683</c:v>
                </c:pt>
                <c:pt idx="954">
                  <c:v>23684</c:v>
                </c:pt>
                <c:pt idx="955">
                  <c:v>23685</c:v>
                </c:pt>
                <c:pt idx="956">
                  <c:v>23686</c:v>
                </c:pt>
                <c:pt idx="957">
                  <c:v>23687</c:v>
                </c:pt>
                <c:pt idx="958">
                  <c:v>23688</c:v>
                </c:pt>
                <c:pt idx="959">
                  <c:v>23689</c:v>
                </c:pt>
                <c:pt idx="960">
                  <c:v>23690</c:v>
                </c:pt>
                <c:pt idx="961">
                  <c:v>23691</c:v>
                </c:pt>
                <c:pt idx="962">
                  <c:v>23692</c:v>
                </c:pt>
                <c:pt idx="963">
                  <c:v>23693</c:v>
                </c:pt>
                <c:pt idx="964">
                  <c:v>23694</c:v>
                </c:pt>
                <c:pt idx="965">
                  <c:v>23695</c:v>
                </c:pt>
                <c:pt idx="966">
                  <c:v>23696</c:v>
                </c:pt>
                <c:pt idx="967">
                  <c:v>23697</c:v>
                </c:pt>
                <c:pt idx="968">
                  <c:v>23698</c:v>
                </c:pt>
                <c:pt idx="969">
                  <c:v>23699</c:v>
                </c:pt>
                <c:pt idx="970">
                  <c:v>23700</c:v>
                </c:pt>
                <c:pt idx="971">
                  <c:v>23701</c:v>
                </c:pt>
                <c:pt idx="972">
                  <c:v>23702</c:v>
                </c:pt>
                <c:pt idx="973">
                  <c:v>23703</c:v>
                </c:pt>
                <c:pt idx="974">
                  <c:v>23704</c:v>
                </c:pt>
                <c:pt idx="975">
                  <c:v>23705</c:v>
                </c:pt>
                <c:pt idx="976">
                  <c:v>23706</c:v>
                </c:pt>
                <c:pt idx="977">
                  <c:v>23707</c:v>
                </c:pt>
                <c:pt idx="978">
                  <c:v>23708</c:v>
                </c:pt>
                <c:pt idx="979">
                  <c:v>23709</c:v>
                </c:pt>
              </c:numCache>
            </c:numRef>
          </c:xVal>
          <c:yVal>
            <c:numRef>
              <c:f>'Interpolated Physical'!$K$2:$K$981</c:f>
              <c:numCache>
                <c:formatCode>General</c:formatCode>
                <c:ptCount val="980"/>
                <c:pt idx="0" formatCode="0.0000">
                  <c:v>3</c:v>
                </c:pt>
                <c:pt idx="260" formatCode="0.0000">
                  <c:v>1E-4</c:v>
                </c:pt>
                <c:pt idx="520" formatCode="0.0000">
                  <c:v>1E-4</c:v>
                </c:pt>
                <c:pt idx="740" formatCode="0.0000">
                  <c:v>1.0000000000000001E-5</c:v>
                </c:pt>
                <c:pt idx="800" formatCode="0.0000">
                  <c:v>9.9999999999999995E-7</c:v>
                </c:pt>
                <c:pt idx="920" formatCode="0.0000">
                  <c:v>9.9999999999999995E-7</c:v>
                </c:pt>
                <c:pt idx="979" formatCode="0.0000">
                  <c:v>9.9999999999999995E-7</c:v>
                </c:pt>
              </c:numCache>
            </c:numRef>
          </c:yVal>
          <c:smooth val="0"/>
          <c:extLst>
            <c:ext xmlns:c16="http://schemas.microsoft.com/office/drawing/2014/chart" uri="{C3380CC4-5D6E-409C-BE32-E72D297353CC}">
              <c16:uniqueId val="{00000001-20C9-4A50-BDA0-19EF063A0A16}"/>
            </c:ext>
          </c:extLst>
        </c:ser>
        <c:dLbls>
          <c:showLegendKey val="0"/>
          <c:showVal val="0"/>
          <c:showCatName val="0"/>
          <c:showSerName val="0"/>
          <c:showPercent val="0"/>
          <c:showBubbleSize val="0"/>
        </c:dLbls>
        <c:axId val="106302463"/>
        <c:axId val="106302047"/>
      </c:scatterChart>
      <c:valAx>
        <c:axId val="106302463"/>
        <c:scaling>
          <c:orientation val="minMax"/>
        </c:scaling>
        <c:delete val="0"/>
        <c:axPos val="b"/>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06302047"/>
        <c:crosses val="autoZero"/>
        <c:crossBetween val="midCat"/>
      </c:valAx>
      <c:valAx>
        <c:axId val="106302047"/>
        <c:scaling>
          <c:orientation val="minMax"/>
        </c:scaling>
        <c:delete val="0"/>
        <c:axPos val="l"/>
        <c:numFmt formatCode="0.00" sourceLinked="0"/>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06302463"/>
        <c:crosses val="autoZero"/>
        <c:crossBetween val="midCat"/>
      </c:valAx>
      <c:spPr>
        <a:noFill/>
        <a:ln w="3175">
          <a:solidFill>
            <a:schemeClr val="tx1"/>
          </a:solidFill>
        </a:ln>
        <a:effectLst/>
      </c:spPr>
    </c:plotArea>
    <c:legend>
      <c:legendPos val="r"/>
      <c:layout>
        <c:manualLayout>
          <c:xMode val="edge"/>
          <c:yMode val="edge"/>
          <c:x val="0.71864722801793579"/>
          <c:y val="6.3524319615622854E-2"/>
          <c:w val="0.21680454057756762"/>
          <c:h val="0.21529723218478417"/>
        </c:manualLayout>
      </c:layout>
      <c:overlay val="1"/>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Garamond" panose="02020404030301010803" pitchFamily="18" charset="0"/>
        </a:defRPr>
      </a:pPr>
      <a:endParaRPr lang="sr-Latn-RS"/>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'Interpolated Physical'!$M$1</c:f>
              <c:strCache>
                <c:ptCount val="1"/>
                <c:pt idx="0">
                  <c:v>Si</c:v>
                </c:pt>
              </c:strCache>
            </c:strRef>
          </c:tx>
          <c:spPr>
            <a:ln w="25400" cap="rnd">
              <a:noFill/>
              <a:round/>
            </a:ln>
            <a:effectLst/>
          </c:spPr>
          <c:marker>
            <c:symbol val="square"/>
            <c:size val="10"/>
            <c:spPr>
              <a:noFill/>
              <a:ln w="3175">
                <a:solidFill>
                  <a:srgbClr val="0000FF"/>
                </a:solidFill>
              </a:ln>
              <a:effectLst/>
            </c:spPr>
          </c:marker>
          <c:trendline>
            <c:spPr>
              <a:ln w="3175" cap="rnd">
                <a:solidFill>
                  <a:srgbClr val="FF0000"/>
                </a:solidFill>
                <a:prstDash val="lgDash"/>
              </a:ln>
              <a:effectLst/>
            </c:spPr>
            <c:trendlineType val="poly"/>
            <c:order val="3"/>
            <c:dispRSqr val="1"/>
            <c:dispEq val="1"/>
            <c:trendlineLbl>
              <c:layout>
                <c:manualLayout>
                  <c:x val="-4.337750890326459E-2"/>
                  <c:y val="6.9924254282389298E-2"/>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rendlineLbl>
          </c:trendline>
          <c:xVal>
            <c:numRef>
              <c:f>'Interpolated Physical'!$A$2:$A$981</c:f>
              <c:numCache>
                <c:formatCode>General</c:formatCode>
                <c:ptCount val="98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432</c:v>
                </c:pt>
                <c:pt idx="21">
                  <c:v>433</c:v>
                </c:pt>
                <c:pt idx="22">
                  <c:v>434</c:v>
                </c:pt>
                <c:pt idx="23">
                  <c:v>435</c:v>
                </c:pt>
                <c:pt idx="24">
                  <c:v>436</c:v>
                </c:pt>
                <c:pt idx="25">
                  <c:v>437</c:v>
                </c:pt>
                <c:pt idx="26">
                  <c:v>438</c:v>
                </c:pt>
                <c:pt idx="27">
                  <c:v>439</c:v>
                </c:pt>
                <c:pt idx="28">
                  <c:v>440</c:v>
                </c:pt>
                <c:pt idx="29">
                  <c:v>441</c:v>
                </c:pt>
                <c:pt idx="30">
                  <c:v>442</c:v>
                </c:pt>
                <c:pt idx="31">
                  <c:v>443</c:v>
                </c:pt>
                <c:pt idx="32">
                  <c:v>444</c:v>
                </c:pt>
                <c:pt idx="33">
                  <c:v>445</c:v>
                </c:pt>
                <c:pt idx="34">
                  <c:v>446</c:v>
                </c:pt>
                <c:pt idx="35">
                  <c:v>447</c:v>
                </c:pt>
                <c:pt idx="36">
                  <c:v>448</c:v>
                </c:pt>
                <c:pt idx="37">
                  <c:v>449</c:v>
                </c:pt>
                <c:pt idx="38">
                  <c:v>450</c:v>
                </c:pt>
                <c:pt idx="39">
                  <c:v>451</c:v>
                </c:pt>
                <c:pt idx="40">
                  <c:v>818</c:v>
                </c:pt>
                <c:pt idx="41">
                  <c:v>819</c:v>
                </c:pt>
                <c:pt idx="42">
                  <c:v>820</c:v>
                </c:pt>
                <c:pt idx="43">
                  <c:v>821</c:v>
                </c:pt>
                <c:pt idx="44">
                  <c:v>822</c:v>
                </c:pt>
                <c:pt idx="45">
                  <c:v>823</c:v>
                </c:pt>
                <c:pt idx="46">
                  <c:v>824</c:v>
                </c:pt>
                <c:pt idx="47">
                  <c:v>825</c:v>
                </c:pt>
                <c:pt idx="48">
                  <c:v>826</c:v>
                </c:pt>
                <c:pt idx="49">
                  <c:v>827</c:v>
                </c:pt>
                <c:pt idx="50">
                  <c:v>828</c:v>
                </c:pt>
                <c:pt idx="51">
                  <c:v>829</c:v>
                </c:pt>
                <c:pt idx="52">
                  <c:v>830</c:v>
                </c:pt>
                <c:pt idx="53">
                  <c:v>831</c:v>
                </c:pt>
                <c:pt idx="54">
                  <c:v>832</c:v>
                </c:pt>
                <c:pt idx="55">
                  <c:v>833</c:v>
                </c:pt>
                <c:pt idx="56">
                  <c:v>834</c:v>
                </c:pt>
                <c:pt idx="57">
                  <c:v>835</c:v>
                </c:pt>
                <c:pt idx="58">
                  <c:v>836</c:v>
                </c:pt>
                <c:pt idx="59">
                  <c:v>837</c:v>
                </c:pt>
                <c:pt idx="60">
                  <c:v>1057</c:v>
                </c:pt>
                <c:pt idx="61">
                  <c:v>1058</c:v>
                </c:pt>
                <c:pt idx="62">
                  <c:v>1059</c:v>
                </c:pt>
                <c:pt idx="63">
                  <c:v>1060</c:v>
                </c:pt>
                <c:pt idx="64">
                  <c:v>1061</c:v>
                </c:pt>
                <c:pt idx="65">
                  <c:v>1062</c:v>
                </c:pt>
                <c:pt idx="66">
                  <c:v>1063</c:v>
                </c:pt>
                <c:pt idx="67">
                  <c:v>1064</c:v>
                </c:pt>
                <c:pt idx="68">
                  <c:v>1065</c:v>
                </c:pt>
                <c:pt idx="69">
                  <c:v>1066</c:v>
                </c:pt>
                <c:pt idx="70">
                  <c:v>1067</c:v>
                </c:pt>
                <c:pt idx="71">
                  <c:v>1068</c:v>
                </c:pt>
                <c:pt idx="72">
                  <c:v>1069</c:v>
                </c:pt>
                <c:pt idx="73">
                  <c:v>1070</c:v>
                </c:pt>
                <c:pt idx="74">
                  <c:v>1071</c:v>
                </c:pt>
                <c:pt idx="75">
                  <c:v>1072</c:v>
                </c:pt>
                <c:pt idx="76">
                  <c:v>1073</c:v>
                </c:pt>
                <c:pt idx="77">
                  <c:v>1074</c:v>
                </c:pt>
                <c:pt idx="78">
                  <c:v>1075</c:v>
                </c:pt>
                <c:pt idx="79">
                  <c:v>1076</c:v>
                </c:pt>
                <c:pt idx="80">
                  <c:v>1407</c:v>
                </c:pt>
                <c:pt idx="81">
                  <c:v>1408</c:v>
                </c:pt>
                <c:pt idx="82">
                  <c:v>1409</c:v>
                </c:pt>
                <c:pt idx="83">
                  <c:v>1410</c:v>
                </c:pt>
                <c:pt idx="84">
                  <c:v>1411</c:v>
                </c:pt>
                <c:pt idx="85">
                  <c:v>1412</c:v>
                </c:pt>
                <c:pt idx="86">
                  <c:v>1413</c:v>
                </c:pt>
                <c:pt idx="87">
                  <c:v>1414</c:v>
                </c:pt>
                <c:pt idx="88">
                  <c:v>1415</c:v>
                </c:pt>
                <c:pt idx="89">
                  <c:v>1416</c:v>
                </c:pt>
                <c:pt idx="90">
                  <c:v>1417</c:v>
                </c:pt>
                <c:pt idx="91">
                  <c:v>1418</c:v>
                </c:pt>
                <c:pt idx="92">
                  <c:v>1419</c:v>
                </c:pt>
                <c:pt idx="93">
                  <c:v>1420</c:v>
                </c:pt>
                <c:pt idx="94">
                  <c:v>1421</c:v>
                </c:pt>
                <c:pt idx="95">
                  <c:v>1422</c:v>
                </c:pt>
                <c:pt idx="96">
                  <c:v>1423</c:v>
                </c:pt>
                <c:pt idx="97">
                  <c:v>1424</c:v>
                </c:pt>
                <c:pt idx="98">
                  <c:v>1425</c:v>
                </c:pt>
                <c:pt idx="99">
                  <c:v>1426</c:v>
                </c:pt>
                <c:pt idx="100">
                  <c:v>1618</c:v>
                </c:pt>
                <c:pt idx="101">
                  <c:v>1619</c:v>
                </c:pt>
                <c:pt idx="102">
                  <c:v>1620</c:v>
                </c:pt>
                <c:pt idx="103">
                  <c:v>1621</c:v>
                </c:pt>
                <c:pt idx="104">
                  <c:v>1622</c:v>
                </c:pt>
                <c:pt idx="105">
                  <c:v>1623</c:v>
                </c:pt>
                <c:pt idx="106">
                  <c:v>1624</c:v>
                </c:pt>
                <c:pt idx="107">
                  <c:v>1625</c:v>
                </c:pt>
                <c:pt idx="108">
                  <c:v>1626</c:v>
                </c:pt>
                <c:pt idx="109">
                  <c:v>1627</c:v>
                </c:pt>
                <c:pt idx="110">
                  <c:v>1628</c:v>
                </c:pt>
                <c:pt idx="111">
                  <c:v>1629</c:v>
                </c:pt>
                <c:pt idx="112">
                  <c:v>1630</c:v>
                </c:pt>
                <c:pt idx="113">
                  <c:v>1631</c:v>
                </c:pt>
                <c:pt idx="114">
                  <c:v>1632</c:v>
                </c:pt>
                <c:pt idx="115">
                  <c:v>1633</c:v>
                </c:pt>
                <c:pt idx="116">
                  <c:v>1634</c:v>
                </c:pt>
                <c:pt idx="117">
                  <c:v>1635</c:v>
                </c:pt>
                <c:pt idx="118">
                  <c:v>1636</c:v>
                </c:pt>
                <c:pt idx="119">
                  <c:v>1637</c:v>
                </c:pt>
                <c:pt idx="120">
                  <c:v>2039</c:v>
                </c:pt>
                <c:pt idx="121">
                  <c:v>2040</c:v>
                </c:pt>
                <c:pt idx="122">
                  <c:v>2041</c:v>
                </c:pt>
                <c:pt idx="123">
                  <c:v>2042</c:v>
                </c:pt>
                <c:pt idx="124">
                  <c:v>2043</c:v>
                </c:pt>
                <c:pt idx="125">
                  <c:v>2044</c:v>
                </c:pt>
                <c:pt idx="126">
                  <c:v>2045</c:v>
                </c:pt>
                <c:pt idx="127">
                  <c:v>2046</c:v>
                </c:pt>
                <c:pt idx="128">
                  <c:v>2047</c:v>
                </c:pt>
                <c:pt idx="129">
                  <c:v>2048</c:v>
                </c:pt>
                <c:pt idx="130">
                  <c:v>2049</c:v>
                </c:pt>
                <c:pt idx="131">
                  <c:v>2050</c:v>
                </c:pt>
                <c:pt idx="132">
                  <c:v>2051</c:v>
                </c:pt>
                <c:pt idx="133">
                  <c:v>2052</c:v>
                </c:pt>
                <c:pt idx="134">
                  <c:v>2053</c:v>
                </c:pt>
                <c:pt idx="135">
                  <c:v>2054</c:v>
                </c:pt>
                <c:pt idx="136">
                  <c:v>2055</c:v>
                </c:pt>
                <c:pt idx="137">
                  <c:v>2056</c:v>
                </c:pt>
                <c:pt idx="138">
                  <c:v>2057</c:v>
                </c:pt>
                <c:pt idx="139">
                  <c:v>2058</c:v>
                </c:pt>
                <c:pt idx="140">
                  <c:v>2897</c:v>
                </c:pt>
                <c:pt idx="141">
                  <c:v>2898</c:v>
                </c:pt>
                <c:pt idx="142">
                  <c:v>2899</c:v>
                </c:pt>
                <c:pt idx="143">
                  <c:v>2900</c:v>
                </c:pt>
                <c:pt idx="144">
                  <c:v>2901</c:v>
                </c:pt>
                <c:pt idx="145">
                  <c:v>2902</c:v>
                </c:pt>
                <c:pt idx="146">
                  <c:v>2903</c:v>
                </c:pt>
                <c:pt idx="147">
                  <c:v>2904</c:v>
                </c:pt>
                <c:pt idx="148">
                  <c:v>2905</c:v>
                </c:pt>
                <c:pt idx="149">
                  <c:v>2906</c:v>
                </c:pt>
                <c:pt idx="150">
                  <c:v>2907</c:v>
                </c:pt>
                <c:pt idx="151">
                  <c:v>2908</c:v>
                </c:pt>
                <c:pt idx="152">
                  <c:v>2909</c:v>
                </c:pt>
                <c:pt idx="153">
                  <c:v>2910</c:v>
                </c:pt>
                <c:pt idx="154">
                  <c:v>2911</c:v>
                </c:pt>
                <c:pt idx="155">
                  <c:v>2912</c:v>
                </c:pt>
                <c:pt idx="156">
                  <c:v>2913</c:v>
                </c:pt>
                <c:pt idx="157">
                  <c:v>2914</c:v>
                </c:pt>
                <c:pt idx="158">
                  <c:v>2915</c:v>
                </c:pt>
                <c:pt idx="159">
                  <c:v>2916</c:v>
                </c:pt>
                <c:pt idx="160">
                  <c:v>3257</c:v>
                </c:pt>
                <c:pt idx="161">
                  <c:v>3258</c:v>
                </c:pt>
                <c:pt idx="162">
                  <c:v>3259</c:v>
                </c:pt>
                <c:pt idx="163">
                  <c:v>3260</c:v>
                </c:pt>
                <c:pt idx="164">
                  <c:v>3261</c:v>
                </c:pt>
                <c:pt idx="165">
                  <c:v>3262</c:v>
                </c:pt>
                <c:pt idx="166">
                  <c:v>3263</c:v>
                </c:pt>
                <c:pt idx="167">
                  <c:v>3264</c:v>
                </c:pt>
                <c:pt idx="168">
                  <c:v>3265</c:v>
                </c:pt>
                <c:pt idx="169">
                  <c:v>3266</c:v>
                </c:pt>
                <c:pt idx="170">
                  <c:v>3267</c:v>
                </c:pt>
                <c:pt idx="171">
                  <c:v>3268</c:v>
                </c:pt>
                <c:pt idx="172">
                  <c:v>3269</c:v>
                </c:pt>
                <c:pt idx="173">
                  <c:v>3270</c:v>
                </c:pt>
                <c:pt idx="174">
                  <c:v>3271</c:v>
                </c:pt>
                <c:pt idx="175">
                  <c:v>3272</c:v>
                </c:pt>
                <c:pt idx="176">
                  <c:v>3273</c:v>
                </c:pt>
                <c:pt idx="177">
                  <c:v>3274</c:v>
                </c:pt>
                <c:pt idx="178">
                  <c:v>3275</c:v>
                </c:pt>
                <c:pt idx="179">
                  <c:v>3276</c:v>
                </c:pt>
                <c:pt idx="180">
                  <c:v>4443</c:v>
                </c:pt>
                <c:pt idx="181">
                  <c:v>4445</c:v>
                </c:pt>
                <c:pt idx="182">
                  <c:v>4446</c:v>
                </c:pt>
                <c:pt idx="183">
                  <c:v>4447</c:v>
                </c:pt>
                <c:pt idx="184">
                  <c:v>4448</c:v>
                </c:pt>
                <c:pt idx="185">
                  <c:v>4449</c:v>
                </c:pt>
                <c:pt idx="186">
                  <c:v>4450</c:v>
                </c:pt>
                <c:pt idx="187">
                  <c:v>4451</c:v>
                </c:pt>
                <c:pt idx="188">
                  <c:v>4452</c:v>
                </c:pt>
                <c:pt idx="189">
                  <c:v>4453</c:v>
                </c:pt>
                <c:pt idx="190">
                  <c:v>4454</c:v>
                </c:pt>
                <c:pt idx="191">
                  <c:v>4455</c:v>
                </c:pt>
                <c:pt idx="192">
                  <c:v>4456</c:v>
                </c:pt>
                <c:pt idx="193">
                  <c:v>4457</c:v>
                </c:pt>
                <c:pt idx="194">
                  <c:v>4458</c:v>
                </c:pt>
                <c:pt idx="195">
                  <c:v>4459</c:v>
                </c:pt>
                <c:pt idx="196">
                  <c:v>4460</c:v>
                </c:pt>
                <c:pt idx="197">
                  <c:v>4461</c:v>
                </c:pt>
                <c:pt idx="198">
                  <c:v>4462</c:v>
                </c:pt>
                <c:pt idx="199">
                  <c:v>4463</c:v>
                </c:pt>
                <c:pt idx="200">
                  <c:v>4740</c:v>
                </c:pt>
                <c:pt idx="201">
                  <c:v>4741</c:v>
                </c:pt>
                <c:pt idx="202">
                  <c:v>4742</c:v>
                </c:pt>
                <c:pt idx="203">
                  <c:v>4743</c:v>
                </c:pt>
                <c:pt idx="204">
                  <c:v>4744</c:v>
                </c:pt>
                <c:pt idx="205">
                  <c:v>4745</c:v>
                </c:pt>
                <c:pt idx="206">
                  <c:v>4746</c:v>
                </c:pt>
                <c:pt idx="207">
                  <c:v>4747</c:v>
                </c:pt>
                <c:pt idx="208">
                  <c:v>4748</c:v>
                </c:pt>
                <c:pt idx="209">
                  <c:v>4749</c:v>
                </c:pt>
                <c:pt idx="210">
                  <c:v>4750</c:v>
                </c:pt>
                <c:pt idx="211">
                  <c:v>4751</c:v>
                </c:pt>
                <c:pt idx="212">
                  <c:v>4752</c:v>
                </c:pt>
                <c:pt idx="213">
                  <c:v>4753</c:v>
                </c:pt>
                <c:pt idx="214">
                  <c:v>4754</c:v>
                </c:pt>
                <c:pt idx="215">
                  <c:v>4755</c:v>
                </c:pt>
                <c:pt idx="216">
                  <c:v>4756</c:v>
                </c:pt>
                <c:pt idx="217">
                  <c:v>4757</c:v>
                </c:pt>
                <c:pt idx="218">
                  <c:v>4758</c:v>
                </c:pt>
                <c:pt idx="219">
                  <c:v>4759</c:v>
                </c:pt>
                <c:pt idx="220">
                  <c:v>5191</c:v>
                </c:pt>
                <c:pt idx="221">
                  <c:v>5192</c:v>
                </c:pt>
                <c:pt idx="222">
                  <c:v>5193</c:v>
                </c:pt>
                <c:pt idx="223">
                  <c:v>5194</c:v>
                </c:pt>
                <c:pt idx="224">
                  <c:v>5195</c:v>
                </c:pt>
                <c:pt idx="225">
                  <c:v>5196</c:v>
                </c:pt>
                <c:pt idx="226">
                  <c:v>5197</c:v>
                </c:pt>
                <c:pt idx="227">
                  <c:v>5198</c:v>
                </c:pt>
                <c:pt idx="228">
                  <c:v>5199</c:v>
                </c:pt>
                <c:pt idx="229">
                  <c:v>5200</c:v>
                </c:pt>
                <c:pt idx="230">
                  <c:v>5201</c:v>
                </c:pt>
                <c:pt idx="231">
                  <c:v>5202</c:v>
                </c:pt>
                <c:pt idx="232">
                  <c:v>5203</c:v>
                </c:pt>
                <c:pt idx="233">
                  <c:v>5204</c:v>
                </c:pt>
                <c:pt idx="234">
                  <c:v>5205</c:v>
                </c:pt>
                <c:pt idx="235">
                  <c:v>5206</c:v>
                </c:pt>
                <c:pt idx="236">
                  <c:v>5207</c:v>
                </c:pt>
                <c:pt idx="237">
                  <c:v>5208</c:v>
                </c:pt>
                <c:pt idx="238">
                  <c:v>5209</c:v>
                </c:pt>
                <c:pt idx="239">
                  <c:v>5210</c:v>
                </c:pt>
                <c:pt idx="240">
                  <c:v>5544</c:v>
                </c:pt>
                <c:pt idx="241">
                  <c:v>5545</c:v>
                </c:pt>
                <c:pt idx="242">
                  <c:v>5546</c:v>
                </c:pt>
                <c:pt idx="243">
                  <c:v>5547</c:v>
                </c:pt>
                <c:pt idx="244">
                  <c:v>5548</c:v>
                </c:pt>
                <c:pt idx="245">
                  <c:v>5549</c:v>
                </c:pt>
                <c:pt idx="246">
                  <c:v>5550</c:v>
                </c:pt>
                <c:pt idx="247">
                  <c:v>5551</c:v>
                </c:pt>
                <c:pt idx="248">
                  <c:v>5552</c:v>
                </c:pt>
                <c:pt idx="249">
                  <c:v>5553</c:v>
                </c:pt>
                <c:pt idx="250">
                  <c:v>5554</c:v>
                </c:pt>
                <c:pt idx="251">
                  <c:v>5555</c:v>
                </c:pt>
                <c:pt idx="252">
                  <c:v>5556</c:v>
                </c:pt>
                <c:pt idx="253">
                  <c:v>5557</c:v>
                </c:pt>
                <c:pt idx="254">
                  <c:v>5558</c:v>
                </c:pt>
                <c:pt idx="255">
                  <c:v>5559</c:v>
                </c:pt>
                <c:pt idx="256">
                  <c:v>5560</c:v>
                </c:pt>
                <c:pt idx="257">
                  <c:v>5561</c:v>
                </c:pt>
                <c:pt idx="258">
                  <c:v>5562</c:v>
                </c:pt>
                <c:pt idx="259">
                  <c:v>5563</c:v>
                </c:pt>
                <c:pt idx="260">
                  <c:v>5915</c:v>
                </c:pt>
                <c:pt idx="261">
                  <c:v>5916</c:v>
                </c:pt>
                <c:pt idx="262">
                  <c:v>5917</c:v>
                </c:pt>
                <c:pt idx="263">
                  <c:v>5918</c:v>
                </c:pt>
                <c:pt idx="264">
                  <c:v>5919</c:v>
                </c:pt>
                <c:pt idx="265">
                  <c:v>5920</c:v>
                </c:pt>
                <c:pt idx="266">
                  <c:v>5921</c:v>
                </c:pt>
                <c:pt idx="267">
                  <c:v>5922</c:v>
                </c:pt>
                <c:pt idx="268">
                  <c:v>5923</c:v>
                </c:pt>
                <c:pt idx="269">
                  <c:v>5924</c:v>
                </c:pt>
                <c:pt idx="270">
                  <c:v>5925</c:v>
                </c:pt>
                <c:pt idx="271">
                  <c:v>5926</c:v>
                </c:pt>
                <c:pt idx="272">
                  <c:v>5927</c:v>
                </c:pt>
                <c:pt idx="273">
                  <c:v>5928</c:v>
                </c:pt>
                <c:pt idx="274">
                  <c:v>5929</c:v>
                </c:pt>
                <c:pt idx="275">
                  <c:v>5930</c:v>
                </c:pt>
                <c:pt idx="276">
                  <c:v>5931</c:v>
                </c:pt>
                <c:pt idx="277">
                  <c:v>5932</c:v>
                </c:pt>
                <c:pt idx="278">
                  <c:v>5933</c:v>
                </c:pt>
                <c:pt idx="279">
                  <c:v>5934</c:v>
                </c:pt>
                <c:pt idx="280">
                  <c:v>6137</c:v>
                </c:pt>
                <c:pt idx="281">
                  <c:v>6138</c:v>
                </c:pt>
                <c:pt idx="282">
                  <c:v>6139</c:v>
                </c:pt>
                <c:pt idx="283">
                  <c:v>6140</c:v>
                </c:pt>
                <c:pt idx="284">
                  <c:v>6141</c:v>
                </c:pt>
                <c:pt idx="285">
                  <c:v>6142</c:v>
                </c:pt>
                <c:pt idx="286">
                  <c:v>6143</c:v>
                </c:pt>
                <c:pt idx="287">
                  <c:v>6144</c:v>
                </c:pt>
                <c:pt idx="288">
                  <c:v>6145</c:v>
                </c:pt>
                <c:pt idx="289">
                  <c:v>6146</c:v>
                </c:pt>
                <c:pt idx="290">
                  <c:v>6147</c:v>
                </c:pt>
                <c:pt idx="291">
                  <c:v>6148</c:v>
                </c:pt>
                <c:pt idx="292">
                  <c:v>6149</c:v>
                </c:pt>
                <c:pt idx="293">
                  <c:v>6150</c:v>
                </c:pt>
                <c:pt idx="294">
                  <c:v>6151</c:v>
                </c:pt>
                <c:pt idx="295">
                  <c:v>6152</c:v>
                </c:pt>
                <c:pt idx="296">
                  <c:v>6153</c:v>
                </c:pt>
                <c:pt idx="297">
                  <c:v>6154</c:v>
                </c:pt>
                <c:pt idx="298">
                  <c:v>6155</c:v>
                </c:pt>
                <c:pt idx="299">
                  <c:v>6156</c:v>
                </c:pt>
                <c:pt idx="300">
                  <c:v>6600</c:v>
                </c:pt>
                <c:pt idx="301">
                  <c:v>6601</c:v>
                </c:pt>
                <c:pt idx="302">
                  <c:v>6602</c:v>
                </c:pt>
                <c:pt idx="303">
                  <c:v>6603</c:v>
                </c:pt>
                <c:pt idx="304">
                  <c:v>6604</c:v>
                </c:pt>
                <c:pt idx="305">
                  <c:v>6605</c:v>
                </c:pt>
                <c:pt idx="306">
                  <c:v>6606</c:v>
                </c:pt>
                <c:pt idx="307">
                  <c:v>6607</c:v>
                </c:pt>
                <c:pt idx="308">
                  <c:v>6608</c:v>
                </c:pt>
                <c:pt idx="309">
                  <c:v>6609</c:v>
                </c:pt>
                <c:pt idx="310">
                  <c:v>6610</c:v>
                </c:pt>
                <c:pt idx="311">
                  <c:v>6611</c:v>
                </c:pt>
                <c:pt idx="312">
                  <c:v>6612</c:v>
                </c:pt>
                <c:pt idx="313">
                  <c:v>6613</c:v>
                </c:pt>
                <c:pt idx="314">
                  <c:v>6614</c:v>
                </c:pt>
                <c:pt idx="315">
                  <c:v>6615</c:v>
                </c:pt>
                <c:pt idx="316">
                  <c:v>6616</c:v>
                </c:pt>
                <c:pt idx="317">
                  <c:v>6617</c:v>
                </c:pt>
                <c:pt idx="318">
                  <c:v>6618</c:v>
                </c:pt>
                <c:pt idx="319">
                  <c:v>6619</c:v>
                </c:pt>
                <c:pt idx="320">
                  <c:v>6823</c:v>
                </c:pt>
                <c:pt idx="321">
                  <c:v>6824</c:v>
                </c:pt>
                <c:pt idx="322">
                  <c:v>6825</c:v>
                </c:pt>
                <c:pt idx="323">
                  <c:v>6826</c:v>
                </c:pt>
                <c:pt idx="324">
                  <c:v>6827</c:v>
                </c:pt>
                <c:pt idx="325">
                  <c:v>6828</c:v>
                </c:pt>
                <c:pt idx="326">
                  <c:v>6829</c:v>
                </c:pt>
                <c:pt idx="327">
                  <c:v>6830</c:v>
                </c:pt>
                <c:pt idx="328">
                  <c:v>6831</c:v>
                </c:pt>
                <c:pt idx="329">
                  <c:v>6832</c:v>
                </c:pt>
                <c:pt idx="330">
                  <c:v>6833</c:v>
                </c:pt>
                <c:pt idx="331">
                  <c:v>6834</c:v>
                </c:pt>
                <c:pt idx="332">
                  <c:v>6835</c:v>
                </c:pt>
                <c:pt idx="333">
                  <c:v>6836</c:v>
                </c:pt>
                <c:pt idx="334">
                  <c:v>6837</c:v>
                </c:pt>
                <c:pt idx="335">
                  <c:v>6838</c:v>
                </c:pt>
                <c:pt idx="336">
                  <c:v>6839</c:v>
                </c:pt>
                <c:pt idx="337">
                  <c:v>6840</c:v>
                </c:pt>
                <c:pt idx="338">
                  <c:v>6841</c:v>
                </c:pt>
                <c:pt idx="339">
                  <c:v>6842</c:v>
                </c:pt>
                <c:pt idx="340">
                  <c:v>7090</c:v>
                </c:pt>
                <c:pt idx="341">
                  <c:v>7091</c:v>
                </c:pt>
                <c:pt idx="342">
                  <c:v>7092</c:v>
                </c:pt>
                <c:pt idx="343">
                  <c:v>7093</c:v>
                </c:pt>
                <c:pt idx="344">
                  <c:v>7094</c:v>
                </c:pt>
                <c:pt idx="345">
                  <c:v>7095</c:v>
                </c:pt>
                <c:pt idx="346">
                  <c:v>7096</c:v>
                </c:pt>
                <c:pt idx="347">
                  <c:v>7097</c:v>
                </c:pt>
                <c:pt idx="348">
                  <c:v>7098</c:v>
                </c:pt>
                <c:pt idx="349">
                  <c:v>7099</c:v>
                </c:pt>
                <c:pt idx="350">
                  <c:v>7100</c:v>
                </c:pt>
                <c:pt idx="351">
                  <c:v>7101</c:v>
                </c:pt>
                <c:pt idx="352">
                  <c:v>7102</c:v>
                </c:pt>
                <c:pt idx="353">
                  <c:v>7103</c:v>
                </c:pt>
                <c:pt idx="354">
                  <c:v>7104</c:v>
                </c:pt>
                <c:pt idx="355">
                  <c:v>7105</c:v>
                </c:pt>
                <c:pt idx="356">
                  <c:v>7106</c:v>
                </c:pt>
                <c:pt idx="357">
                  <c:v>7107</c:v>
                </c:pt>
                <c:pt idx="358">
                  <c:v>7108</c:v>
                </c:pt>
                <c:pt idx="359">
                  <c:v>7109</c:v>
                </c:pt>
                <c:pt idx="360">
                  <c:v>7413</c:v>
                </c:pt>
                <c:pt idx="361">
                  <c:v>7414</c:v>
                </c:pt>
                <c:pt idx="362">
                  <c:v>7415</c:v>
                </c:pt>
                <c:pt idx="363">
                  <c:v>7416</c:v>
                </c:pt>
                <c:pt idx="364">
                  <c:v>7417</c:v>
                </c:pt>
                <c:pt idx="365">
                  <c:v>7418</c:v>
                </c:pt>
                <c:pt idx="366">
                  <c:v>7419</c:v>
                </c:pt>
                <c:pt idx="367">
                  <c:v>7420</c:v>
                </c:pt>
                <c:pt idx="368">
                  <c:v>7421</c:v>
                </c:pt>
                <c:pt idx="369">
                  <c:v>7422</c:v>
                </c:pt>
                <c:pt idx="370">
                  <c:v>7423</c:v>
                </c:pt>
                <c:pt idx="371">
                  <c:v>7424</c:v>
                </c:pt>
                <c:pt idx="372">
                  <c:v>7425</c:v>
                </c:pt>
                <c:pt idx="373">
                  <c:v>7426</c:v>
                </c:pt>
                <c:pt idx="374">
                  <c:v>7427</c:v>
                </c:pt>
                <c:pt idx="375">
                  <c:v>7428</c:v>
                </c:pt>
                <c:pt idx="376">
                  <c:v>7429</c:v>
                </c:pt>
                <c:pt idx="377">
                  <c:v>7430</c:v>
                </c:pt>
                <c:pt idx="378">
                  <c:v>7431</c:v>
                </c:pt>
                <c:pt idx="379">
                  <c:v>7432</c:v>
                </c:pt>
                <c:pt idx="380">
                  <c:v>7931</c:v>
                </c:pt>
                <c:pt idx="381">
                  <c:v>7932</c:v>
                </c:pt>
                <c:pt idx="382">
                  <c:v>7933</c:v>
                </c:pt>
                <c:pt idx="383">
                  <c:v>7934</c:v>
                </c:pt>
                <c:pt idx="384">
                  <c:v>7935</c:v>
                </c:pt>
                <c:pt idx="385">
                  <c:v>7936</c:v>
                </c:pt>
                <c:pt idx="386">
                  <c:v>7937</c:v>
                </c:pt>
                <c:pt idx="387">
                  <c:v>7938</c:v>
                </c:pt>
                <c:pt idx="388">
                  <c:v>7939</c:v>
                </c:pt>
                <c:pt idx="389">
                  <c:v>7940</c:v>
                </c:pt>
                <c:pt idx="390">
                  <c:v>7941</c:v>
                </c:pt>
                <c:pt idx="391">
                  <c:v>7942</c:v>
                </c:pt>
                <c:pt idx="392">
                  <c:v>7943</c:v>
                </c:pt>
                <c:pt idx="393">
                  <c:v>7944</c:v>
                </c:pt>
                <c:pt idx="394">
                  <c:v>7945</c:v>
                </c:pt>
                <c:pt idx="395">
                  <c:v>7946</c:v>
                </c:pt>
                <c:pt idx="396">
                  <c:v>7947</c:v>
                </c:pt>
                <c:pt idx="397">
                  <c:v>7948</c:v>
                </c:pt>
                <c:pt idx="398">
                  <c:v>7949</c:v>
                </c:pt>
                <c:pt idx="399">
                  <c:v>7950</c:v>
                </c:pt>
                <c:pt idx="400">
                  <c:v>8361</c:v>
                </c:pt>
                <c:pt idx="401">
                  <c:v>8362</c:v>
                </c:pt>
                <c:pt idx="402">
                  <c:v>8363</c:v>
                </c:pt>
                <c:pt idx="403">
                  <c:v>8364</c:v>
                </c:pt>
                <c:pt idx="404">
                  <c:v>8365</c:v>
                </c:pt>
                <c:pt idx="405">
                  <c:v>8366</c:v>
                </c:pt>
                <c:pt idx="406">
                  <c:v>8367</c:v>
                </c:pt>
                <c:pt idx="407">
                  <c:v>8368</c:v>
                </c:pt>
                <c:pt idx="408">
                  <c:v>8369</c:v>
                </c:pt>
                <c:pt idx="409">
                  <c:v>8370</c:v>
                </c:pt>
                <c:pt idx="410">
                  <c:v>8371</c:v>
                </c:pt>
                <c:pt idx="411">
                  <c:v>8372</c:v>
                </c:pt>
                <c:pt idx="412">
                  <c:v>8373</c:v>
                </c:pt>
                <c:pt idx="413">
                  <c:v>8374</c:v>
                </c:pt>
                <c:pt idx="414">
                  <c:v>8375</c:v>
                </c:pt>
                <c:pt idx="415">
                  <c:v>8376</c:v>
                </c:pt>
                <c:pt idx="416">
                  <c:v>8377</c:v>
                </c:pt>
                <c:pt idx="417">
                  <c:v>8378</c:v>
                </c:pt>
                <c:pt idx="418">
                  <c:v>8379</c:v>
                </c:pt>
                <c:pt idx="419">
                  <c:v>8380</c:v>
                </c:pt>
                <c:pt idx="420">
                  <c:v>8679</c:v>
                </c:pt>
                <c:pt idx="421">
                  <c:v>8680</c:v>
                </c:pt>
                <c:pt idx="422">
                  <c:v>8681</c:v>
                </c:pt>
                <c:pt idx="423">
                  <c:v>8682</c:v>
                </c:pt>
                <c:pt idx="424">
                  <c:v>8683</c:v>
                </c:pt>
                <c:pt idx="425">
                  <c:v>8684</c:v>
                </c:pt>
                <c:pt idx="426">
                  <c:v>8685</c:v>
                </c:pt>
                <c:pt idx="427">
                  <c:v>8686</c:v>
                </c:pt>
                <c:pt idx="428">
                  <c:v>8687</c:v>
                </c:pt>
                <c:pt idx="429">
                  <c:v>8688</c:v>
                </c:pt>
                <c:pt idx="430">
                  <c:v>8689</c:v>
                </c:pt>
                <c:pt idx="431">
                  <c:v>8690</c:v>
                </c:pt>
                <c:pt idx="432">
                  <c:v>8691</c:v>
                </c:pt>
                <c:pt idx="433">
                  <c:v>8692</c:v>
                </c:pt>
                <c:pt idx="434">
                  <c:v>8693</c:v>
                </c:pt>
                <c:pt idx="435">
                  <c:v>8694</c:v>
                </c:pt>
                <c:pt idx="436">
                  <c:v>8695</c:v>
                </c:pt>
                <c:pt idx="437">
                  <c:v>8696</c:v>
                </c:pt>
                <c:pt idx="438">
                  <c:v>8697</c:v>
                </c:pt>
                <c:pt idx="439">
                  <c:v>8698</c:v>
                </c:pt>
                <c:pt idx="440">
                  <c:v>9074</c:v>
                </c:pt>
                <c:pt idx="441">
                  <c:v>9075</c:v>
                </c:pt>
                <c:pt idx="442">
                  <c:v>9076</c:v>
                </c:pt>
                <c:pt idx="443">
                  <c:v>9077</c:v>
                </c:pt>
                <c:pt idx="444">
                  <c:v>9078</c:v>
                </c:pt>
                <c:pt idx="445">
                  <c:v>9079</c:v>
                </c:pt>
                <c:pt idx="446">
                  <c:v>9080</c:v>
                </c:pt>
                <c:pt idx="447">
                  <c:v>9081</c:v>
                </c:pt>
                <c:pt idx="448">
                  <c:v>9082</c:v>
                </c:pt>
                <c:pt idx="449">
                  <c:v>9083</c:v>
                </c:pt>
                <c:pt idx="450">
                  <c:v>9084</c:v>
                </c:pt>
                <c:pt idx="451">
                  <c:v>9085</c:v>
                </c:pt>
                <c:pt idx="452">
                  <c:v>9086</c:v>
                </c:pt>
                <c:pt idx="453">
                  <c:v>9087</c:v>
                </c:pt>
                <c:pt idx="454">
                  <c:v>9088</c:v>
                </c:pt>
                <c:pt idx="455">
                  <c:v>9089</c:v>
                </c:pt>
                <c:pt idx="456">
                  <c:v>9090</c:v>
                </c:pt>
                <c:pt idx="457">
                  <c:v>9091</c:v>
                </c:pt>
                <c:pt idx="458">
                  <c:v>9092</c:v>
                </c:pt>
                <c:pt idx="459">
                  <c:v>9093</c:v>
                </c:pt>
                <c:pt idx="460">
                  <c:v>9304</c:v>
                </c:pt>
                <c:pt idx="461">
                  <c:v>9305</c:v>
                </c:pt>
                <c:pt idx="462">
                  <c:v>9306</c:v>
                </c:pt>
                <c:pt idx="463">
                  <c:v>9307</c:v>
                </c:pt>
                <c:pt idx="464">
                  <c:v>9308</c:v>
                </c:pt>
                <c:pt idx="465">
                  <c:v>9309</c:v>
                </c:pt>
                <c:pt idx="466">
                  <c:v>9310</c:v>
                </c:pt>
                <c:pt idx="467">
                  <c:v>9311</c:v>
                </c:pt>
                <c:pt idx="468">
                  <c:v>9312</c:v>
                </c:pt>
                <c:pt idx="469">
                  <c:v>9313</c:v>
                </c:pt>
                <c:pt idx="470">
                  <c:v>9314</c:v>
                </c:pt>
                <c:pt idx="471">
                  <c:v>9315</c:v>
                </c:pt>
                <c:pt idx="472">
                  <c:v>9316</c:v>
                </c:pt>
                <c:pt idx="473">
                  <c:v>9317</c:v>
                </c:pt>
                <c:pt idx="474">
                  <c:v>9318</c:v>
                </c:pt>
                <c:pt idx="475">
                  <c:v>9319</c:v>
                </c:pt>
                <c:pt idx="476">
                  <c:v>9320</c:v>
                </c:pt>
                <c:pt idx="477">
                  <c:v>9321</c:v>
                </c:pt>
                <c:pt idx="478">
                  <c:v>9322</c:v>
                </c:pt>
                <c:pt idx="479">
                  <c:v>9323</c:v>
                </c:pt>
                <c:pt idx="480">
                  <c:v>9774</c:v>
                </c:pt>
                <c:pt idx="481">
                  <c:v>9775</c:v>
                </c:pt>
                <c:pt idx="482">
                  <c:v>9776</c:v>
                </c:pt>
                <c:pt idx="483">
                  <c:v>9777</c:v>
                </c:pt>
                <c:pt idx="484">
                  <c:v>9778</c:v>
                </c:pt>
                <c:pt idx="485">
                  <c:v>9779</c:v>
                </c:pt>
                <c:pt idx="486">
                  <c:v>9780</c:v>
                </c:pt>
                <c:pt idx="487">
                  <c:v>9781</c:v>
                </c:pt>
                <c:pt idx="488">
                  <c:v>9782</c:v>
                </c:pt>
                <c:pt idx="489">
                  <c:v>9783</c:v>
                </c:pt>
                <c:pt idx="490">
                  <c:v>9784</c:v>
                </c:pt>
                <c:pt idx="491">
                  <c:v>9785</c:v>
                </c:pt>
                <c:pt idx="492">
                  <c:v>9786</c:v>
                </c:pt>
                <c:pt idx="493">
                  <c:v>9787</c:v>
                </c:pt>
                <c:pt idx="494">
                  <c:v>9788</c:v>
                </c:pt>
                <c:pt idx="495">
                  <c:v>9789</c:v>
                </c:pt>
                <c:pt idx="496">
                  <c:v>9790</c:v>
                </c:pt>
                <c:pt idx="497">
                  <c:v>9791</c:v>
                </c:pt>
                <c:pt idx="498">
                  <c:v>9792</c:v>
                </c:pt>
                <c:pt idx="499">
                  <c:v>9793</c:v>
                </c:pt>
                <c:pt idx="500">
                  <c:v>10014</c:v>
                </c:pt>
                <c:pt idx="501">
                  <c:v>10015</c:v>
                </c:pt>
                <c:pt idx="502">
                  <c:v>10016</c:v>
                </c:pt>
                <c:pt idx="503">
                  <c:v>10017</c:v>
                </c:pt>
                <c:pt idx="504">
                  <c:v>10018</c:v>
                </c:pt>
                <c:pt idx="505">
                  <c:v>10019</c:v>
                </c:pt>
                <c:pt idx="506">
                  <c:v>10020</c:v>
                </c:pt>
                <c:pt idx="507">
                  <c:v>10021</c:v>
                </c:pt>
                <c:pt idx="508">
                  <c:v>10022</c:v>
                </c:pt>
                <c:pt idx="509">
                  <c:v>10023</c:v>
                </c:pt>
                <c:pt idx="510">
                  <c:v>10024</c:v>
                </c:pt>
                <c:pt idx="511">
                  <c:v>10025</c:v>
                </c:pt>
                <c:pt idx="512">
                  <c:v>10026</c:v>
                </c:pt>
                <c:pt idx="513">
                  <c:v>10027</c:v>
                </c:pt>
                <c:pt idx="514">
                  <c:v>10028</c:v>
                </c:pt>
                <c:pt idx="515">
                  <c:v>10029</c:v>
                </c:pt>
                <c:pt idx="516">
                  <c:v>10030</c:v>
                </c:pt>
                <c:pt idx="517">
                  <c:v>10031</c:v>
                </c:pt>
                <c:pt idx="518">
                  <c:v>10032</c:v>
                </c:pt>
                <c:pt idx="519">
                  <c:v>10033</c:v>
                </c:pt>
                <c:pt idx="520">
                  <c:v>11975</c:v>
                </c:pt>
                <c:pt idx="521">
                  <c:v>11976</c:v>
                </c:pt>
                <c:pt idx="522">
                  <c:v>11977</c:v>
                </c:pt>
                <c:pt idx="523">
                  <c:v>11978</c:v>
                </c:pt>
                <c:pt idx="524">
                  <c:v>11979</c:v>
                </c:pt>
                <c:pt idx="525">
                  <c:v>11980</c:v>
                </c:pt>
                <c:pt idx="526">
                  <c:v>11981</c:v>
                </c:pt>
                <c:pt idx="527">
                  <c:v>11982</c:v>
                </c:pt>
                <c:pt idx="528">
                  <c:v>11983</c:v>
                </c:pt>
                <c:pt idx="529">
                  <c:v>11984</c:v>
                </c:pt>
                <c:pt idx="530">
                  <c:v>11985</c:v>
                </c:pt>
                <c:pt idx="531">
                  <c:v>11986</c:v>
                </c:pt>
                <c:pt idx="532">
                  <c:v>11987</c:v>
                </c:pt>
                <c:pt idx="533">
                  <c:v>11988</c:v>
                </c:pt>
                <c:pt idx="534">
                  <c:v>11989</c:v>
                </c:pt>
                <c:pt idx="535">
                  <c:v>11990</c:v>
                </c:pt>
                <c:pt idx="536">
                  <c:v>11991</c:v>
                </c:pt>
                <c:pt idx="537">
                  <c:v>11992</c:v>
                </c:pt>
                <c:pt idx="538">
                  <c:v>11993</c:v>
                </c:pt>
                <c:pt idx="539">
                  <c:v>11994</c:v>
                </c:pt>
                <c:pt idx="540">
                  <c:v>12381</c:v>
                </c:pt>
                <c:pt idx="541">
                  <c:v>12382</c:v>
                </c:pt>
                <c:pt idx="542">
                  <c:v>12383</c:v>
                </c:pt>
                <c:pt idx="543">
                  <c:v>12384</c:v>
                </c:pt>
                <c:pt idx="544">
                  <c:v>12385</c:v>
                </c:pt>
                <c:pt idx="545">
                  <c:v>12386</c:v>
                </c:pt>
                <c:pt idx="546">
                  <c:v>12387</c:v>
                </c:pt>
                <c:pt idx="547">
                  <c:v>12388</c:v>
                </c:pt>
                <c:pt idx="548">
                  <c:v>12389</c:v>
                </c:pt>
                <c:pt idx="549">
                  <c:v>12390</c:v>
                </c:pt>
                <c:pt idx="550">
                  <c:v>12391</c:v>
                </c:pt>
                <c:pt idx="551">
                  <c:v>12392</c:v>
                </c:pt>
                <c:pt idx="552">
                  <c:v>12393</c:v>
                </c:pt>
                <c:pt idx="553">
                  <c:v>12394</c:v>
                </c:pt>
                <c:pt idx="554">
                  <c:v>12395</c:v>
                </c:pt>
                <c:pt idx="555">
                  <c:v>12396</c:v>
                </c:pt>
                <c:pt idx="556">
                  <c:v>12397</c:v>
                </c:pt>
                <c:pt idx="557">
                  <c:v>12398</c:v>
                </c:pt>
                <c:pt idx="558">
                  <c:v>12399</c:v>
                </c:pt>
                <c:pt idx="559">
                  <c:v>12400</c:v>
                </c:pt>
                <c:pt idx="560">
                  <c:v>12432</c:v>
                </c:pt>
                <c:pt idx="561">
                  <c:v>12433</c:v>
                </c:pt>
                <c:pt idx="562">
                  <c:v>12434</c:v>
                </c:pt>
                <c:pt idx="563">
                  <c:v>12435</c:v>
                </c:pt>
                <c:pt idx="564">
                  <c:v>12436</c:v>
                </c:pt>
                <c:pt idx="565">
                  <c:v>12437</c:v>
                </c:pt>
                <c:pt idx="566">
                  <c:v>12438</c:v>
                </c:pt>
                <c:pt idx="567">
                  <c:v>12439</c:v>
                </c:pt>
                <c:pt idx="568">
                  <c:v>12440</c:v>
                </c:pt>
                <c:pt idx="569">
                  <c:v>12441</c:v>
                </c:pt>
                <c:pt idx="570">
                  <c:v>12442</c:v>
                </c:pt>
                <c:pt idx="571">
                  <c:v>12443</c:v>
                </c:pt>
                <c:pt idx="572">
                  <c:v>12444</c:v>
                </c:pt>
                <c:pt idx="573">
                  <c:v>12445</c:v>
                </c:pt>
                <c:pt idx="574">
                  <c:v>12446</c:v>
                </c:pt>
                <c:pt idx="575">
                  <c:v>12447</c:v>
                </c:pt>
                <c:pt idx="576">
                  <c:v>12448</c:v>
                </c:pt>
                <c:pt idx="577">
                  <c:v>12449</c:v>
                </c:pt>
                <c:pt idx="578">
                  <c:v>12450</c:v>
                </c:pt>
                <c:pt idx="579">
                  <c:v>12451</c:v>
                </c:pt>
                <c:pt idx="580">
                  <c:v>12951</c:v>
                </c:pt>
                <c:pt idx="581">
                  <c:v>12952</c:v>
                </c:pt>
                <c:pt idx="582">
                  <c:v>12953</c:v>
                </c:pt>
                <c:pt idx="583">
                  <c:v>12954</c:v>
                </c:pt>
                <c:pt idx="584">
                  <c:v>12955</c:v>
                </c:pt>
                <c:pt idx="585">
                  <c:v>12956</c:v>
                </c:pt>
                <c:pt idx="586">
                  <c:v>12957</c:v>
                </c:pt>
                <c:pt idx="587">
                  <c:v>12958</c:v>
                </c:pt>
                <c:pt idx="588">
                  <c:v>12959</c:v>
                </c:pt>
                <c:pt idx="589">
                  <c:v>12960</c:v>
                </c:pt>
                <c:pt idx="590">
                  <c:v>12961</c:v>
                </c:pt>
                <c:pt idx="591">
                  <c:v>12962</c:v>
                </c:pt>
                <c:pt idx="592">
                  <c:v>12963</c:v>
                </c:pt>
                <c:pt idx="593">
                  <c:v>12964</c:v>
                </c:pt>
                <c:pt idx="594">
                  <c:v>12965</c:v>
                </c:pt>
                <c:pt idx="595">
                  <c:v>12966</c:v>
                </c:pt>
                <c:pt idx="596">
                  <c:v>12967</c:v>
                </c:pt>
                <c:pt idx="597">
                  <c:v>12968</c:v>
                </c:pt>
                <c:pt idx="598">
                  <c:v>12969</c:v>
                </c:pt>
                <c:pt idx="599">
                  <c:v>12970</c:v>
                </c:pt>
                <c:pt idx="600">
                  <c:v>13232</c:v>
                </c:pt>
                <c:pt idx="601">
                  <c:v>13233</c:v>
                </c:pt>
                <c:pt idx="602">
                  <c:v>13234</c:v>
                </c:pt>
                <c:pt idx="603">
                  <c:v>13235</c:v>
                </c:pt>
                <c:pt idx="604">
                  <c:v>13236</c:v>
                </c:pt>
                <c:pt idx="605">
                  <c:v>13237</c:v>
                </c:pt>
                <c:pt idx="606">
                  <c:v>13238</c:v>
                </c:pt>
                <c:pt idx="607">
                  <c:v>13239</c:v>
                </c:pt>
                <c:pt idx="608">
                  <c:v>13240</c:v>
                </c:pt>
                <c:pt idx="609">
                  <c:v>13241</c:v>
                </c:pt>
                <c:pt idx="610">
                  <c:v>13242</c:v>
                </c:pt>
                <c:pt idx="611">
                  <c:v>13243</c:v>
                </c:pt>
                <c:pt idx="612">
                  <c:v>13244</c:v>
                </c:pt>
                <c:pt idx="613">
                  <c:v>13245</c:v>
                </c:pt>
                <c:pt idx="614">
                  <c:v>13246</c:v>
                </c:pt>
                <c:pt idx="615">
                  <c:v>13247</c:v>
                </c:pt>
                <c:pt idx="616">
                  <c:v>13248</c:v>
                </c:pt>
                <c:pt idx="617">
                  <c:v>13249</c:v>
                </c:pt>
                <c:pt idx="618">
                  <c:v>13250</c:v>
                </c:pt>
                <c:pt idx="619">
                  <c:v>13251</c:v>
                </c:pt>
                <c:pt idx="620">
                  <c:v>13760</c:v>
                </c:pt>
                <c:pt idx="621">
                  <c:v>13761</c:v>
                </c:pt>
                <c:pt idx="622">
                  <c:v>13762</c:v>
                </c:pt>
                <c:pt idx="623">
                  <c:v>13763</c:v>
                </c:pt>
                <c:pt idx="624">
                  <c:v>13764</c:v>
                </c:pt>
                <c:pt idx="625">
                  <c:v>13765</c:v>
                </c:pt>
                <c:pt idx="626">
                  <c:v>13766</c:v>
                </c:pt>
                <c:pt idx="627">
                  <c:v>13767</c:v>
                </c:pt>
                <c:pt idx="628">
                  <c:v>13768</c:v>
                </c:pt>
                <c:pt idx="629">
                  <c:v>13769</c:v>
                </c:pt>
                <c:pt idx="630">
                  <c:v>13770</c:v>
                </c:pt>
                <c:pt idx="631">
                  <c:v>13771</c:v>
                </c:pt>
                <c:pt idx="632">
                  <c:v>13772</c:v>
                </c:pt>
                <c:pt idx="633">
                  <c:v>13773</c:v>
                </c:pt>
                <c:pt idx="634">
                  <c:v>13774</c:v>
                </c:pt>
                <c:pt idx="635">
                  <c:v>13775</c:v>
                </c:pt>
                <c:pt idx="636">
                  <c:v>13776</c:v>
                </c:pt>
                <c:pt idx="637">
                  <c:v>13777</c:v>
                </c:pt>
                <c:pt idx="638">
                  <c:v>13778</c:v>
                </c:pt>
                <c:pt idx="639">
                  <c:v>13779</c:v>
                </c:pt>
                <c:pt idx="640">
                  <c:v>14021</c:v>
                </c:pt>
                <c:pt idx="641">
                  <c:v>14022</c:v>
                </c:pt>
                <c:pt idx="642">
                  <c:v>14023</c:v>
                </c:pt>
                <c:pt idx="643">
                  <c:v>14024</c:v>
                </c:pt>
                <c:pt idx="644">
                  <c:v>14025</c:v>
                </c:pt>
                <c:pt idx="645">
                  <c:v>14026</c:v>
                </c:pt>
                <c:pt idx="646">
                  <c:v>14027</c:v>
                </c:pt>
                <c:pt idx="647">
                  <c:v>14028</c:v>
                </c:pt>
                <c:pt idx="648">
                  <c:v>14029</c:v>
                </c:pt>
                <c:pt idx="649">
                  <c:v>14030</c:v>
                </c:pt>
                <c:pt idx="650">
                  <c:v>14031</c:v>
                </c:pt>
                <c:pt idx="651">
                  <c:v>14032</c:v>
                </c:pt>
                <c:pt idx="652">
                  <c:v>14033</c:v>
                </c:pt>
                <c:pt idx="653">
                  <c:v>14034</c:v>
                </c:pt>
                <c:pt idx="654">
                  <c:v>14035</c:v>
                </c:pt>
                <c:pt idx="655">
                  <c:v>14036</c:v>
                </c:pt>
                <c:pt idx="656">
                  <c:v>14037</c:v>
                </c:pt>
                <c:pt idx="657">
                  <c:v>14038</c:v>
                </c:pt>
                <c:pt idx="658">
                  <c:v>14039</c:v>
                </c:pt>
                <c:pt idx="659">
                  <c:v>14040</c:v>
                </c:pt>
                <c:pt idx="660">
                  <c:v>14547</c:v>
                </c:pt>
                <c:pt idx="661">
                  <c:v>14548</c:v>
                </c:pt>
                <c:pt idx="662">
                  <c:v>14549</c:v>
                </c:pt>
                <c:pt idx="663">
                  <c:v>14550</c:v>
                </c:pt>
                <c:pt idx="664">
                  <c:v>14551</c:v>
                </c:pt>
                <c:pt idx="665">
                  <c:v>14552</c:v>
                </c:pt>
                <c:pt idx="666">
                  <c:v>14553</c:v>
                </c:pt>
                <c:pt idx="667">
                  <c:v>14554</c:v>
                </c:pt>
                <c:pt idx="668">
                  <c:v>14555</c:v>
                </c:pt>
                <c:pt idx="669">
                  <c:v>14556</c:v>
                </c:pt>
                <c:pt idx="670">
                  <c:v>14557</c:v>
                </c:pt>
                <c:pt idx="671">
                  <c:v>14558</c:v>
                </c:pt>
                <c:pt idx="672">
                  <c:v>14559</c:v>
                </c:pt>
                <c:pt idx="673">
                  <c:v>14560</c:v>
                </c:pt>
                <c:pt idx="674">
                  <c:v>14561</c:v>
                </c:pt>
                <c:pt idx="675">
                  <c:v>14562</c:v>
                </c:pt>
                <c:pt idx="676">
                  <c:v>14563</c:v>
                </c:pt>
                <c:pt idx="677">
                  <c:v>14564</c:v>
                </c:pt>
                <c:pt idx="678">
                  <c:v>14565</c:v>
                </c:pt>
                <c:pt idx="679">
                  <c:v>14566</c:v>
                </c:pt>
                <c:pt idx="680">
                  <c:v>14901</c:v>
                </c:pt>
                <c:pt idx="681">
                  <c:v>14902</c:v>
                </c:pt>
                <c:pt idx="682">
                  <c:v>14903</c:v>
                </c:pt>
                <c:pt idx="683">
                  <c:v>14904</c:v>
                </c:pt>
                <c:pt idx="684">
                  <c:v>14905</c:v>
                </c:pt>
                <c:pt idx="685">
                  <c:v>14906</c:v>
                </c:pt>
                <c:pt idx="686">
                  <c:v>14907</c:v>
                </c:pt>
                <c:pt idx="687">
                  <c:v>14908</c:v>
                </c:pt>
                <c:pt idx="688">
                  <c:v>14909</c:v>
                </c:pt>
                <c:pt idx="689">
                  <c:v>14910</c:v>
                </c:pt>
                <c:pt idx="690">
                  <c:v>14911</c:v>
                </c:pt>
                <c:pt idx="691">
                  <c:v>14912</c:v>
                </c:pt>
                <c:pt idx="692">
                  <c:v>14913</c:v>
                </c:pt>
                <c:pt idx="693">
                  <c:v>14914</c:v>
                </c:pt>
                <c:pt idx="694">
                  <c:v>14915</c:v>
                </c:pt>
                <c:pt idx="695">
                  <c:v>14916</c:v>
                </c:pt>
                <c:pt idx="696">
                  <c:v>14917</c:v>
                </c:pt>
                <c:pt idx="697">
                  <c:v>14918</c:v>
                </c:pt>
                <c:pt idx="698">
                  <c:v>14919</c:v>
                </c:pt>
                <c:pt idx="699">
                  <c:v>14920</c:v>
                </c:pt>
                <c:pt idx="700">
                  <c:v>15256</c:v>
                </c:pt>
                <c:pt idx="701">
                  <c:v>15257</c:v>
                </c:pt>
                <c:pt idx="702">
                  <c:v>15258</c:v>
                </c:pt>
                <c:pt idx="703">
                  <c:v>15259</c:v>
                </c:pt>
                <c:pt idx="704">
                  <c:v>15260</c:v>
                </c:pt>
                <c:pt idx="705">
                  <c:v>15261</c:v>
                </c:pt>
                <c:pt idx="706">
                  <c:v>15262</c:v>
                </c:pt>
                <c:pt idx="707">
                  <c:v>15263</c:v>
                </c:pt>
                <c:pt idx="708">
                  <c:v>15264</c:v>
                </c:pt>
                <c:pt idx="709">
                  <c:v>15265</c:v>
                </c:pt>
                <c:pt idx="710">
                  <c:v>15266</c:v>
                </c:pt>
                <c:pt idx="711">
                  <c:v>15267</c:v>
                </c:pt>
                <c:pt idx="712">
                  <c:v>15268</c:v>
                </c:pt>
                <c:pt idx="713">
                  <c:v>15269</c:v>
                </c:pt>
                <c:pt idx="714">
                  <c:v>15270</c:v>
                </c:pt>
                <c:pt idx="715">
                  <c:v>15271</c:v>
                </c:pt>
                <c:pt idx="716">
                  <c:v>15272</c:v>
                </c:pt>
                <c:pt idx="717">
                  <c:v>15273</c:v>
                </c:pt>
                <c:pt idx="718">
                  <c:v>15274</c:v>
                </c:pt>
                <c:pt idx="719">
                  <c:v>15275</c:v>
                </c:pt>
                <c:pt idx="720">
                  <c:v>15636</c:v>
                </c:pt>
                <c:pt idx="721">
                  <c:v>15637</c:v>
                </c:pt>
                <c:pt idx="722">
                  <c:v>15638</c:v>
                </c:pt>
                <c:pt idx="723">
                  <c:v>15639</c:v>
                </c:pt>
                <c:pt idx="724">
                  <c:v>15640</c:v>
                </c:pt>
                <c:pt idx="725">
                  <c:v>15641</c:v>
                </c:pt>
                <c:pt idx="726">
                  <c:v>15642</c:v>
                </c:pt>
                <c:pt idx="727">
                  <c:v>15643</c:v>
                </c:pt>
                <c:pt idx="728">
                  <c:v>15644</c:v>
                </c:pt>
                <c:pt idx="729">
                  <c:v>15645</c:v>
                </c:pt>
                <c:pt idx="730">
                  <c:v>15646</c:v>
                </c:pt>
                <c:pt idx="731">
                  <c:v>15647</c:v>
                </c:pt>
                <c:pt idx="732">
                  <c:v>15648</c:v>
                </c:pt>
                <c:pt idx="733">
                  <c:v>15649</c:v>
                </c:pt>
                <c:pt idx="734">
                  <c:v>15650</c:v>
                </c:pt>
                <c:pt idx="735">
                  <c:v>15651</c:v>
                </c:pt>
                <c:pt idx="736">
                  <c:v>15652</c:v>
                </c:pt>
                <c:pt idx="737">
                  <c:v>15653</c:v>
                </c:pt>
                <c:pt idx="738">
                  <c:v>15654</c:v>
                </c:pt>
                <c:pt idx="739">
                  <c:v>15655</c:v>
                </c:pt>
                <c:pt idx="740">
                  <c:v>16226</c:v>
                </c:pt>
                <c:pt idx="741">
                  <c:v>16227</c:v>
                </c:pt>
                <c:pt idx="742">
                  <c:v>16228</c:v>
                </c:pt>
                <c:pt idx="743">
                  <c:v>16229</c:v>
                </c:pt>
                <c:pt idx="744">
                  <c:v>16230</c:v>
                </c:pt>
                <c:pt idx="745">
                  <c:v>16231</c:v>
                </c:pt>
                <c:pt idx="746">
                  <c:v>16232</c:v>
                </c:pt>
                <c:pt idx="747">
                  <c:v>16233</c:v>
                </c:pt>
                <c:pt idx="748">
                  <c:v>16234</c:v>
                </c:pt>
                <c:pt idx="749">
                  <c:v>16235</c:v>
                </c:pt>
                <c:pt idx="750">
                  <c:v>16236</c:v>
                </c:pt>
                <c:pt idx="751">
                  <c:v>16237</c:v>
                </c:pt>
                <c:pt idx="752">
                  <c:v>16238</c:v>
                </c:pt>
                <c:pt idx="753">
                  <c:v>16239</c:v>
                </c:pt>
                <c:pt idx="754">
                  <c:v>16240</c:v>
                </c:pt>
                <c:pt idx="755">
                  <c:v>16241</c:v>
                </c:pt>
                <c:pt idx="756">
                  <c:v>16242</c:v>
                </c:pt>
                <c:pt idx="757">
                  <c:v>16243</c:v>
                </c:pt>
                <c:pt idx="758">
                  <c:v>16244</c:v>
                </c:pt>
                <c:pt idx="759">
                  <c:v>16245</c:v>
                </c:pt>
                <c:pt idx="760">
                  <c:v>19126</c:v>
                </c:pt>
                <c:pt idx="761">
                  <c:v>19127</c:v>
                </c:pt>
                <c:pt idx="762">
                  <c:v>19128</c:v>
                </c:pt>
                <c:pt idx="763">
                  <c:v>19129</c:v>
                </c:pt>
                <c:pt idx="764">
                  <c:v>19130</c:v>
                </c:pt>
                <c:pt idx="765">
                  <c:v>19131</c:v>
                </c:pt>
                <c:pt idx="766">
                  <c:v>19132</c:v>
                </c:pt>
                <c:pt idx="767">
                  <c:v>19133</c:v>
                </c:pt>
                <c:pt idx="768">
                  <c:v>19134</c:v>
                </c:pt>
                <c:pt idx="769">
                  <c:v>19135</c:v>
                </c:pt>
                <c:pt idx="770">
                  <c:v>19136</c:v>
                </c:pt>
                <c:pt idx="771">
                  <c:v>19137</c:v>
                </c:pt>
                <c:pt idx="772">
                  <c:v>19138</c:v>
                </c:pt>
                <c:pt idx="773">
                  <c:v>19139</c:v>
                </c:pt>
                <c:pt idx="774">
                  <c:v>19140</c:v>
                </c:pt>
                <c:pt idx="775">
                  <c:v>19141</c:v>
                </c:pt>
                <c:pt idx="776">
                  <c:v>19142</c:v>
                </c:pt>
                <c:pt idx="777">
                  <c:v>19143</c:v>
                </c:pt>
                <c:pt idx="778">
                  <c:v>19144</c:v>
                </c:pt>
                <c:pt idx="779">
                  <c:v>19145</c:v>
                </c:pt>
                <c:pt idx="780">
                  <c:v>19466</c:v>
                </c:pt>
                <c:pt idx="781">
                  <c:v>19467</c:v>
                </c:pt>
                <c:pt idx="782">
                  <c:v>19468</c:v>
                </c:pt>
                <c:pt idx="783">
                  <c:v>19469</c:v>
                </c:pt>
                <c:pt idx="784">
                  <c:v>19470</c:v>
                </c:pt>
                <c:pt idx="785">
                  <c:v>19471</c:v>
                </c:pt>
                <c:pt idx="786">
                  <c:v>19472</c:v>
                </c:pt>
                <c:pt idx="787">
                  <c:v>19473</c:v>
                </c:pt>
                <c:pt idx="788">
                  <c:v>19474</c:v>
                </c:pt>
                <c:pt idx="789">
                  <c:v>19475</c:v>
                </c:pt>
                <c:pt idx="790">
                  <c:v>19476</c:v>
                </c:pt>
                <c:pt idx="791">
                  <c:v>19477</c:v>
                </c:pt>
                <c:pt idx="792">
                  <c:v>19478</c:v>
                </c:pt>
                <c:pt idx="793">
                  <c:v>19479</c:v>
                </c:pt>
                <c:pt idx="794">
                  <c:v>19480</c:v>
                </c:pt>
                <c:pt idx="795">
                  <c:v>19481</c:v>
                </c:pt>
                <c:pt idx="796">
                  <c:v>19482</c:v>
                </c:pt>
                <c:pt idx="797">
                  <c:v>19483</c:v>
                </c:pt>
                <c:pt idx="798">
                  <c:v>19484</c:v>
                </c:pt>
                <c:pt idx="799">
                  <c:v>19485</c:v>
                </c:pt>
                <c:pt idx="800">
                  <c:v>19761</c:v>
                </c:pt>
                <c:pt idx="801">
                  <c:v>19762</c:v>
                </c:pt>
                <c:pt idx="802">
                  <c:v>19763</c:v>
                </c:pt>
                <c:pt idx="803">
                  <c:v>19764</c:v>
                </c:pt>
                <c:pt idx="804">
                  <c:v>19765</c:v>
                </c:pt>
                <c:pt idx="805">
                  <c:v>19766</c:v>
                </c:pt>
                <c:pt idx="806">
                  <c:v>19767</c:v>
                </c:pt>
                <c:pt idx="807">
                  <c:v>19768</c:v>
                </c:pt>
                <c:pt idx="808">
                  <c:v>19769</c:v>
                </c:pt>
                <c:pt idx="809">
                  <c:v>19770</c:v>
                </c:pt>
                <c:pt idx="810">
                  <c:v>19771</c:v>
                </c:pt>
                <c:pt idx="811">
                  <c:v>19772</c:v>
                </c:pt>
                <c:pt idx="812">
                  <c:v>19773</c:v>
                </c:pt>
                <c:pt idx="813">
                  <c:v>19774</c:v>
                </c:pt>
                <c:pt idx="814">
                  <c:v>19775</c:v>
                </c:pt>
                <c:pt idx="815">
                  <c:v>19776</c:v>
                </c:pt>
                <c:pt idx="816">
                  <c:v>19777</c:v>
                </c:pt>
                <c:pt idx="817">
                  <c:v>19778</c:v>
                </c:pt>
                <c:pt idx="818">
                  <c:v>19779</c:v>
                </c:pt>
                <c:pt idx="819">
                  <c:v>19780</c:v>
                </c:pt>
                <c:pt idx="820">
                  <c:v>20150</c:v>
                </c:pt>
                <c:pt idx="821">
                  <c:v>20151</c:v>
                </c:pt>
                <c:pt idx="822">
                  <c:v>20152</c:v>
                </c:pt>
                <c:pt idx="823">
                  <c:v>20153</c:v>
                </c:pt>
                <c:pt idx="824">
                  <c:v>20154</c:v>
                </c:pt>
                <c:pt idx="825">
                  <c:v>20155</c:v>
                </c:pt>
                <c:pt idx="826">
                  <c:v>20156</c:v>
                </c:pt>
                <c:pt idx="827">
                  <c:v>20157</c:v>
                </c:pt>
                <c:pt idx="828">
                  <c:v>20158</c:v>
                </c:pt>
                <c:pt idx="829">
                  <c:v>20159</c:v>
                </c:pt>
                <c:pt idx="830">
                  <c:v>20160</c:v>
                </c:pt>
                <c:pt idx="831">
                  <c:v>20161</c:v>
                </c:pt>
                <c:pt idx="832">
                  <c:v>20162</c:v>
                </c:pt>
                <c:pt idx="833">
                  <c:v>20163</c:v>
                </c:pt>
                <c:pt idx="834">
                  <c:v>20164</c:v>
                </c:pt>
                <c:pt idx="835">
                  <c:v>20165</c:v>
                </c:pt>
                <c:pt idx="836">
                  <c:v>20166</c:v>
                </c:pt>
                <c:pt idx="837">
                  <c:v>20167</c:v>
                </c:pt>
                <c:pt idx="838">
                  <c:v>20168</c:v>
                </c:pt>
                <c:pt idx="839">
                  <c:v>20169</c:v>
                </c:pt>
                <c:pt idx="840">
                  <c:v>20434</c:v>
                </c:pt>
                <c:pt idx="841">
                  <c:v>20435</c:v>
                </c:pt>
                <c:pt idx="842">
                  <c:v>20436</c:v>
                </c:pt>
                <c:pt idx="843">
                  <c:v>20437</c:v>
                </c:pt>
                <c:pt idx="844">
                  <c:v>20438</c:v>
                </c:pt>
                <c:pt idx="845">
                  <c:v>20439</c:v>
                </c:pt>
                <c:pt idx="846">
                  <c:v>20440</c:v>
                </c:pt>
                <c:pt idx="847">
                  <c:v>20441</c:v>
                </c:pt>
                <c:pt idx="848">
                  <c:v>20442</c:v>
                </c:pt>
                <c:pt idx="849">
                  <c:v>20443</c:v>
                </c:pt>
                <c:pt idx="850">
                  <c:v>20444</c:v>
                </c:pt>
                <c:pt idx="851">
                  <c:v>20445</c:v>
                </c:pt>
                <c:pt idx="852">
                  <c:v>20446</c:v>
                </c:pt>
                <c:pt idx="853">
                  <c:v>20447</c:v>
                </c:pt>
                <c:pt idx="854">
                  <c:v>20448</c:v>
                </c:pt>
                <c:pt idx="855">
                  <c:v>20449</c:v>
                </c:pt>
                <c:pt idx="856">
                  <c:v>20450</c:v>
                </c:pt>
                <c:pt idx="857">
                  <c:v>20451</c:v>
                </c:pt>
                <c:pt idx="858">
                  <c:v>20452</c:v>
                </c:pt>
                <c:pt idx="859">
                  <c:v>20453</c:v>
                </c:pt>
                <c:pt idx="860">
                  <c:v>20845</c:v>
                </c:pt>
                <c:pt idx="861">
                  <c:v>20846</c:v>
                </c:pt>
                <c:pt idx="862">
                  <c:v>20847</c:v>
                </c:pt>
                <c:pt idx="863">
                  <c:v>20848</c:v>
                </c:pt>
                <c:pt idx="864">
                  <c:v>20849</c:v>
                </c:pt>
                <c:pt idx="865">
                  <c:v>20850</c:v>
                </c:pt>
                <c:pt idx="866">
                  <c:v>20851</c:v>
                </c:pt>
                <c:pt idx="867">
                  <c:v>20852</c:v>
                </c:pt>
                <c:pt idx="868">
                  <c:v>20853</c:v>
                </c:pt>
                <c:pt idx="869">
                  <c:v>20854</c:v>
                </c:pt>
                <c:pt idx="870">
                  <c:v>20855</c:v>
                </c:pt>
                <c:pt idx="871">
                  <c:v>20856</c:v>
                </c:pt>
                <c:pt idx="872">
                  <c:v>20857</c:v>
                </c:pt>
                <c:pt idx="873">
                  <c:v>20858</c:v>
                </c:pt>
                <c:pt idx="874">
                  <c:v>20859</c:v>
                </c:pt>
                <c:pt idx="875">
                  <c:v>20860</c:v>
                </c:pt>
                <c:pt idx="876">
                  <c:v>20861</c:v>
                </c:pt>
                <c:pt idx="877">
                  <c:v>20862</c:v>
                </c:pt>
                <c:pt idx="878">
                  <c:v>20863</c:v>
                </c:pt>
                <c:pt idx="879">
                  <c:v>20864</c:v>
                </c:pt>
                <c:pt idx="880">
                  <c:v>21485</c:v>
                </c:pt>
                <c:pt idx="881">
                  <c:v>21486</c:v>
                </c:pt>
                <c:pt idx="882">
                  <c:v>21487</c:v>
                </c:pt>
                <c:pt idx="883">
                  <c:v>21488</c:v>
                </c:pt>
                <c:pt idx="884">
                  <c:v>21489</c:v>
                </c:pt>
                <c:pt idx="885">
                  <c:v>21490</c:v>
                </c:pt>
                <c:pt idx="886">
                  <c:v>21491</c:v>
                </c:pt>
                <c:pt idx="887">
                  <c:v>21492</c:v>
                </c:pt>
                <c:pt idx="888">
                  <c:v>21493</c:v>
                </c:pt>
                <c:pt idx="889">
                  <c:v>21494</c:v>
                </c:pt>
                <c:pt idx="890">
                  <c:v>21495</c:v>
                </c:pt>
                <c:pt idx="891">
                  <c:v>21496</c:v>
                </c:pt>
                <c:pt idx="892">
                  <c:v>21497</c:v>
                </c:pt>
                <c:pt idx="893">
                  <c:v>21498</c:v>
                </c:pt>
                <c:pt idx="894">
                  <c:v>21499</c:v>
                </c:pt>
                <c:pt idx="895">
                  <c:v>21500</c:v>
                </c:pt>
                <c:pt idx="896">
                  <c:v>21501</c:v>
                </c:pt>
                <c:pt idx="897">
                  <c:v>21502</c:v>
                </c:pt>
                <c:pt idx="898">
                  <c:v>21503</c:v>
                </c:pt>
                <c:pt idx="899">
                  <c:v>21504</c:v>
                </c:pt>
                <c:pt idx="900">
                  <c:v>21839</c:v>
                </c:pt>
                <c:pt idx="901">
                  <c:v>21840</c:v>
                </c:pt>
                <c:pt idx="902">
                  <c:v>21841</c:v>
                </c:pt>
                <c:pt idx="903">
                  <c:v>21842</c:v>
                </c:pt>
                <c:pt idx="904">
                  <c:v>21843</c:v>
                </c:pt>
                <c:pt idx="905">
                  <c:v>21844</c:v>
                </c:pt>
                <c:pt idx="906">
                  <c:v>21845</c:v>
                </c:pt>
                <c:pt idx="907">
                  <c:v>21846</c:v>
                </c:pt>
                <c:pt idx="908">
                  <c:v>21847</c:v>
                </c:pt>
                <c:pt idx="909">
                  <c:v>21848</c:v>
                </c:pt>
                <c:pt idx="910">
                  <c:v>21849</c:v>
                </c:pt>
                <c:pt idx="911">
                  <c:v>21850</c:v>
                </c:pt>
                <c:pt idx="912">
                  <c:v>21851</c:v>
                </c:pt>
                <c:pt idx="913">
                  <c:v>21852</c:v>
                </c:pt>
                <c:pt idx="914">
                  <c:v>21853</c:v>
                </c:pt>
                <c:pt idx="915">
                  <c:v>21854</c:v>
                </c:pt>
                <c:pt idx="916">
                  <c:v>21855</c:v>
                </c:pt>
                <c:pt idx="917">
                  <c:v>21856</c:v>
                </c:pt>
                <c:pt idx="918">
                  <c:v>21857</c:v>
                </c:pt>
                <c:pt idx="919">
                  <c:v>21858</c:v>
                </c:pt>
                <c:pt idx="920">
                  <c:v>22846</c:v>
                </c:pt>
                <c:pt idx="921">
                  <c:v>22847</c:v>
                </c:pt>
                <c:pt idx="922">
                  <c:v>22848</c:v>
                </c:pt>
                <c:pt idx="923">
                  <c:v>22849</c:v>
                </c:pt>
                <c:pt idx="924">
                  <c:v>22850</c:v>
                </c:pt>
                <c:pt idx="925">
                  <c:v>22851</c:v>
                </c:pt>
                <c:pt idx="926">
                  <c:v>22852</c:v>
                </c:pt>
                <c:pt idx="927">
                  <c:v>22853</c:v>
                </c:pt>
                <c:pt idx="928">
                  <c:v>22854</c:v>
                </c:pt>
                <c:pt idx="929">
                  <c:v>22855</c:v>
                </c:pt>
                <c:pt idx="930">
                  <c:v>22856</c:v>
                </c:pt>
                <c:pt idx="931">
                  <c:v>22857</c:v>
                </c:pt>
                <c:pt idx="932">
                  <c:v>22858</c:v>
                </c:pt>
                <c:pt idx="933">
                  <c:v>22859</c:v>
                </c:pt>
                <c:pt idx="934">
                  <c:v>22860</c:v>
                </c:pt>
                <c:pt idx="935">
                  <c:v>22861</c:v>
                </c:pt>
                <c:pt idx="936">
                  <c:v>22862</c:v>
                </c:pt>
                <c:pt idx="937">
                  <c:v>22863</c:v>
                </c:pt>
                <c:pt idx="938">
                  <c:v>22864</c:v>
                </c:pt>
                <c:pt idx="939">
                  <c:v>22865</c:v>
                </c:pt>
                <c:pt idx="940">
                  <c:v>23670</c:v>
                </c:pt>
                <c:pt idx="941">
                  <c:v>23671</c:v>
                </c:pt>
                <c:pt idx="942">
                  <c:v>23672</c:v>
                </c:pt>
                <c:pt idx="943">
                  <c:v>23673</c:v>
                </c:pt>
                <c:pt idx="944">
                  <c:v>23674</c:v>
                </c:pt>
                <c:pt idx="945">
                  <c:v>23675</c:v>
                </c:pt>
                <c:pt idx="946">
                  <c:v>23676</c:v>
                </c:pt>
                <c:pt idx="947">
                  <c:v>23677</c:v>
                </c:pt>
                <c:pt idx="948">
                  <c:v>23678</c:v>
                </c:pt>
                <c:pt idx="949">
                  <c:v>23679</c:v>
                </c:pt>
                <c:pt idx="950">
                  <c:v>23680</c:v>
                </c:pt>
                <c:pt idx="951">
                  <c:v>23681</c:v>
                </c:pt>
                <c:pt idx="952">
                  <c:v>23682</c:v>
                </c:pt>
                <c:pt idx="953">
                  <c:v>23683</c:v>
                </c:pt>
                <c:pt idx="954">
                  <c:v>23684</c:v>
                </c:pt>
                <c:pt idx="955">
                  <c:v>23685</c:v>
                </c:pt>
                <c:pt idx="956">
                  <c:v>23686</c:v>
                </c:pt>
                <c:pt idx="957">
                  <c:v>23687</c:v>
                </c:pt>
                <c:pt idx="958">
                  <c:v>23688</c:v>
                </c:pt>
                <c:pt idx="959">
                  <c:v>23689</c:v>
                </c:pt>
                <c:pt idx="960">
                  <c:v>23690</c:v>
                </c:pt>
                <c:pt idx="961">
                  <c:v>23691</c:v>
                </c:pt>
                <c:pt idx="962">
                  <c:v>23692</c:v>
                </c:pt>
                <c:pt idx="963">
                  <c:v>23693</c:v>
                </c:pt>
                <c:pt idx="964">
                  <c:v>23694</c:v>
                </c:pt>
                <c:pt idx="965">
                  <c:v>23695</c:v>
                </c:pt>
                <c:pt idx="966">
                  <c:v>23696</c:v>
                </c:pt>
                <c:pt idx="967">
                  <c:v>23697</c:v>
                </c:pt>
                <c:pt idx="968">
                  <c:v>23698</c:v>
                </c:pt>
                <c:pt idx="969">
                  <c:v>23699</c:v>
                </c:pt>
                <c:pt idx="970">
                  <c:v>23700</c:v>
                </c:pt>
                <c:pt idx="971">
                  <c:v>23701</c:v>
                </c:pt>
                <c:pt idx="972">
                  <c:v>23702</c:v>
                </c:pt>
                <c:pt idx="973">
                  <c:v>23703</c:v>
                </c:pt>
                <c:pt idx="974">
                  <c:v>23704</c:v>
                </c:pt>
                <c:pt idx="975">
                  <c:v>23705</c:v>
                </c:pt>
                <c:pt idx="976">
                  <c:v>23706</c:v>
                </c:pt>
                <c:pt idx="977">
                  <c:v>23707</c:v>
                </c:pt>
                <c:pt idx="978">
                  <c:v>23708</c:v>
                </c:pt>
                <c:pt idx="979">
                  <c:v>23709</c:v>
                </c:pt>
              </c:numCache>
            </c:numRef>
          </c:xVal>
          <c:yVal>
            <c:numRef>
              <c:f>'Interpolated Physical'!$M$2:$M$981</c:f>
              <c:numCache>
                <c:formatCode>General</c:formatCode>
                <c:ptCount val="980"/>
                <c:pt idx="0" formatCode="0.0000">
                  <c:v>27</c:v>
                </c:pt>
                <c:pt idx="260" formatCode="0.0000">
                  <c:v>24</c:v>
                </c:pt>
                <c:pt idx="520" formatCode="0.0000">
                  <c:v>29</c:v>
                </c:pt>
                <c:pt idx="740" formatCode="0.0000">
                  <c:v>18</c:v>
                </c:pt>
                <c:pt idx="800" formatCode="0.0000">
                  <c:v>20</c:v>
                </c:pt>
                <c:pt idx="920" formatCode="0.0000">
                  <c:v>27</c:v>
                </c:pt>
                <c:pt idx="979" formatCode="0.0000">
                  <c:v>30</c:v>
                </c:pt>
              </c:numCache>
            </c:numRef>
          </c:yVal>
          <c:smooth val="0"/>
          <c:extLst>
            <c:ext xmlns:c16="http://schemas.microsoft.com/office/drawing/2014/chart" uri="{C3380CC4-5D6E-409C-BE32-E72D297353CC}">
              <c16:uniqueId val="{00000001-4E08-4B6B-9704-EA31824D2A90}"/>
            </c:ext>
          </c:extLst>
        </c:ser>
        <c:dLbls>
          <c:showLegendKey val="0"/>
          <c:showVal val="0"/>
          <c:showCatName val="0"/>
          <c:showSerName val="0"/>
          <c:showPercent val="0"/>
          <c:showBubbleSize val="0"/>
        </c:dLbls>
        <c:axId val="106302463"/>
        <c:axId val="106302047"/>
      </c:scatterChart>
      <c:valAx>
        <c:axId val="106302463"/>
        <c:scaling>
          <c:orientation val="minMax"/>
        </c:scaling>
        <c:delete val="0"/>
        <c:axPos val="b"/>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06302047"/>
        <c:crosses val="autoZero"/>
        <c:crossBetween val="midCat"/>
      </c:valAx>
      <c:valAx>
        <c:axId val="106302047"/>
        <c:scaling>
          <c:orientation val="minMax"/>
        </c:scaling>
        <c:delete val="0"/>
        <c:axPos val="l"/>
        <c:numFmt formatCode="0.00" sourceLinked="0"/>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06302463"/>
        <c:crosses val="autoZero"/>
        <c:crossBetween val="midCat"/>
      </c:valAx>
      <c:spPr>
        <a:noFill/>
        <a:ln w="3175">
          <a:solidFill>
            <a:schemeClr val="tx1"/>
          </a:solidFill>
        </a:ln>
        <a:effectLst/>
      </c:spPr>
    </c:plotArea>
    <c:legend>
      <c:legendPos val="r"/>
      <c:layout>
        <c:manualLayout>
          <c:xMode val="edge"/>
          <c:yMode val="edge"/>
          <c:x val="0.71864722801793579"/>
          <c:y val="0.73076721004802259"/>
          <c:w val="0.21236601416833548"/>
          <c:h val="0.14961021963103641"/>
        </c:manualLayout>
      </c:layout>
      <c:overlay val="1"/>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Garamond" panose="02020404030301010803" pitchFamily="18" charset="0"/>
        </a:defRPr>
      </a:pPr>
      <a:endParaRPr lang="sr-Latn-RS"/>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'Interpolated Physical'!$L$1</c:f>
              <c:strCache>
                <c:ptCount val="1"/>
                <c:pt idx="0">
                  <c:v>Fe</c:v>
                </c:pt>
              </c:strCache>
            </c:strRef>
          </c:tx>
          <c:spPr>
            <a:ln w="25400" cap="rnd">
              <a:noFill/>
              <a:round/>
            </a:ln>
            <a:effectLst/>
          </c:spPr>
          <c:marker>
            <c:symbol val="square"/>
            <c:size val="10"/>
            <c:spPr>
              <a:noFill/>
              <a:ln w="3175">
                <a:solidFill>
                  <a:srgbClr val="0000FF"/>
                </a:solidFill>
              </a:ln>
              <a:effectLst/>
            </c:spPr>
          </c:marker>
          <c:trendline>
            <c:spPr>
              <a:ln w="3175" cap="rnd">
                <a:solidFill>
                  <a:srgbClr val="FF0000"/>
                </a:solidFill>
                <a:prstDash val="lgDash"/>
              </a:ln>
              <a:effectLst/>
            </c:spPr>
            <c:trendlineType val="poly"/>
            <c:order val="3"/>
            <c:dispRSqr val="1"/>
            <c:dispEq val="1"/>
            <c:trendlineLbl>
              <c:layout>
                <c:manualLayout>
                  <c:x val="-0.36241406908024648"/>
                  <c:y val="0.39384098163183362"/>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rendlineLbl>
          </c:trendline>
          <c:xVal>
            <c:numRef>
              <c:f>'Interpolated Physical'!$A$2:$A$981</c:f>
              <c:numCache>
                <c:formatCode>General</c:formatCode>
                <c:ptCount val="98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432</c:v>
                </c:pt>
                <c:pt idx="21">
                  <c:v>433</c:v>
                </c:pt>
                <c:pt idx="22">
                  <c:v>434</c:v>
                </c:pt>
                <c:pt idx="23">
                  <c:v>435</c:v>
                </c:pt>
                <c:pt idx="24">
                  <c:v>436</c:v>
                </c:pt>
                <c:pt idx="25">
                  <c:v>437</c:v>
                </c:pt>
                <c:pt idx="26">
                  <c:v>438</c:v>
                </c:pt>
                <c:pt idx="27">
                  <c:v>439</c:v>
                </c:pt>
                <c:pt idx="28">
                  <c:v>440</c:v>
                </c:pt>
                <c:pt idx="29">
                  <c:v>441</c:v>
                </c:pt>
                <c:pt idx="30">
                  <c:v>442</c:v>
                </c:pt>
                <c:pt idx="31">
                  <c:v>443</c:v>
                </c:pt>
                <c:pt idx="32">
                  <c:v>444</c:v>
                </c:pt>
                <c:pt idx="33">
                  <c:v>445</c:v>
                </c:pt>
                <c:pt idx="34">
                  <c:v>446</c:v>
                </c:pt>
                <c:pt idx="35">
                  <c:v>447</c:v>
                </c:pt>
                <c:pt idx="36">
                  <c:v>448</c:v>
                </c:pt>
                <c:pt idx="37">
                  <c:v>449</c:v>
                </c:pt>
                <c:pt idx="38">
                  <c:v>450</c:v>
                </c:pt>
                <c:pt idx="39">
                  <c:v>451</c:v>
                </c:pt>
                <c:pt idx="40">
                  <c:v>818</c:v>
                </c:pt>
                <c:pt idx="41">
                  <c:v>819</c:v>
                </c:pt>
                <c:pt idx="42">
                  <c:v>820</c:v>
                </c:pt>
                <c:pt idx="43">
                  <c:v>821</c:v>
                </c:pt>
                <c:pt idx="44">
                  <c:v>822</c:v>
                </c:pt>
                <c:pt idx="45">
                  <c:v>823</c:v>
                </c:pt>
                <c:pt idx="46">
                  <c:v>824</c:v>
                </c:pt>
                <c:pt idx="47">
                  <c:v>825</c:v>
                </c:pt>
                <c:pt idx="48">
                  <c:v>826</c:v>
                </c:pt>
                <c:pt idx="49">
                  <c:v>827</c:v>
                </c:pt>
                <c:pt idx="50">
                  <c:v>828</c:v>
                </c:pt>
                <c:pt idx="51">
                  <c:v>829</c:v>
                </c:pt>
                <c:pt idx="52">
                  <c:v>830</c:v>
                </c:pt>
                <c:pt idx="53">
                  <c:v>831</c:v>
                </c:pt>
                <c:pt idx="54">
                  <c:v>832</c:v>
                </c:pt>
                <c:pt idx="55">
                  <c:v>833</c:v>
                </c:pt>
                <c:pt idx="56">
                  <c:v>834</c:v>
                </c:pt>
                <c:pt idx="57">
                  <c:v>835</c:v>
                </c:pt>
                <c:pt idx="58">
                  <c:v>836</c:v>
                </c:pt>
                <c:pt idx="59">
                  <c:v>837</c:v>
                </c:pt>
                <c:pt idx="60">
                  <c:v>1057</c:v>
                </c:pt>
                <c:pt idx="61">
                  <c:v>1058</c:v>
                </c:pt>
                <c:pt idx="62">
                  <c:v>1059</c:v>
                </c:pt>
                <c:pt idx="63">
                  <c:v>1060</c:v>
                </c:pt>
                <c:pt idx="64">
                  <c:v>1061</c:v>
                </c:pt>
                <c:pt idx="65">
                  <c:v>1062</c:v>
                </c:pt>
                <c:pt idx="66">
                  <c:v>1063</c:v>
                </c:pt>
                <c:pt idx="67">
                  <c:v>1064</c:v>
                </c:pt>
                <c:pt idx="68">
                  <c:v>1065</c:v>
                </c:pt>
                <c:pt idx="69">
                  <c:v>1066</c:v>
                </c:pt>
                <c:pt idx="70">
                  <c:v>1067</c:v>
                </c:pt>
                <c:pt idx="71">
                  <c:v>1068</c:v>
                </c:pt>
                <c:pt idx="72">
                  <c:v>1069</c:v>
                </c:pt>
                <c:pt idx="73">
                  <c:v>1070</c:v>
                </c:pt>
                <c:pt idx="74">
                  <c:v>1071</c:v>
                </c:pt>
                <c:pt idx="75">
                  <c:v>1072</c:v>
                </c:pt>
                <c:pt idx="76">
                  <c:v>1073</c:v>
                </c:pt>
                <c:pt idx="77">
                  <c:v>1074</c:v>
                </c:pt>
                <c:pt idx="78">
                  <c:v>1075</c:v>
                </c:pt>
                <c:pt idx="79">
                  <c:v>1076</c:v>
                </c:pt>
                <c:pt idx="80">
                  <c:v>1407</c:v>
                </c:pt>
                <c:pt idx="81">
                  <c:v>1408</c:v>
                </c:pt>
                <c:pt idx="82">
                  <c:v>1409</c:v>
                </c:pt>
                <c:pt idx="83">
                  <c:v>1410</c:v>
                </c:pt>
                <c:pt idx="84">
                  <c:v>1411</c:v>
                </c:pt>
                <c:pt idx="85">
                  <c:v>1412</c:v>
                </c:pt>
                <c:pt idx="86">
                  <c:v>1413</c:v>
                </c:pt>
                <c:pt idx="87">
                  <c:v>1414</c:v>
                </c:pt>
                <c:pt idx="88">
                  <c:v>1415</c:v>
                </c:pt>
                <c:pt idx="89">
                  <c:v>1416</c:v>
                </c:pt>
                <c:pt idx="90">
                  <c:v>1417</c:v>
                </c:pt>
                <c:pt idx="91">
                  <c:v>1418</c:v>
                </c:pt>
                <c:pt idx="92">
                  <c:v>1419</c:v>
                </c:pt>
                <c:pt idx="93">
                  <c:v>1420</c:v>
                </c:pt>
                <c:pt idx="94">
                  <c:v>1421</c:v>
                </c:pt>
                <c:pt idx="95">
                  <c:v>1422</c:v>
                </c:pt>
                <c:pt idx="96">
                  <c:v>1423</c:v>
                </c:pt>
                <c:pt idx="97">
                  <c:v>1424</c:v>
                </c:pt>
                <c:pt idx="98">
                  <c:v>1425</c:v>
                </c:pt>
                <c:pt idx="99">
                  <c:v>1426</c:v>
                </c:pt>
                <c:pt idx="100">
                  <c:v>1618</c:v>
                </c:pt>
                <c:pt idx="101">
                  <c:v>1619</c:v>
                </c:pt>
                <c:pt idx="102">
                  <c:v>1620</c:v>
                </c:pt>
                <c:pt idx="103">
                  <c:v>1621</c:v>
                </c:pt>
                <c:pt idx="104">
                  <c:v>1622</c:v>
                </c:pt>
                <c:pt idx="105">
                  <c:v>1623</c:v>
                </c:pt>
                <c:pt idx="106">
                  <c:v>1624</c:v>
                </c:pt>
                <c:pt idx="107">
                  <c:v>1625</c:v>
                </c:pt>
                <c:pt idx="108">
                  <c:v>1626</c:v>
                </c:pt>
                <c:pt idx="109">
                  <c:v>1627</c:v>
                </c:pt>
                <c:pt idx="110">
                  <c:v>1628</c:v>
                </c:pt>
                <c:pt idx="111">
                  <c:v>1629</c:v>
                </c:pt>
                <c:pt idx="112">
                  <c:v>1630</c:v>
                </c:pt>
                <c:pt idx="113">
                  <c:v>1631</c:v>
                </c:pt>
                <c:pt idx="114">
                  <c:v>1632</c:v>
                </c:pt>
                <c:pt idx="115">
                  <c:v>1633</c:v>
                </c:pt>
                <c:pt idx="116">
                  <c:v>1634</c:v>
                </c:pt>
                <c:pt idx="117">
                  <c:v>1635</c:v>
                </c:pt>
                <c:pt idx="118">
                  <c:v>1636</c:v>
                </c:pt>
                <c:pt idx="119">
                  <c:v>1637</c:v>
                </c:pt>
                <c:pt idx="120">
                  <c:v>2039</c:v>
                </c:pt>
                <c:pt idx="121">
                  <c:v>2040</c:v>
                </c:pt>
                <c:pt idx="122">
                  <c:v>2041</c:v>
                </c:pt>
                <c:pt idx="123">
                  <c:v>2042</c:v>
                </c:pt>
                <c:pt idx="124">
                  <c:v>2043</c:v>
                </c:pt>
                <c:pt idx="125">
                  <c:v>2044</c:v>
                </c:pt>
                <c:pt idx="126">
                  <c:v>2045</c:v>
                </c:pt>
                <c:pt idx="127">
                  <c:v>2046</c:v>
                </c:pt>
                <c:pt idx="128">
                  <c:v>2047</c:v>
                </c:pt>
                <c:pt idx="129">
                  <c:v>2048</c:v>
                </c:pt>
                <c:pt idx="130">
                  <c:v>2049</c:v>
                </c:pt>
                <c:pt idx="131">
                  <c:v>2050</c:v>
                </c:pt>
                <c:pt idx="132">
                  <c:v>2051</c:v>
                </c:pt>
                <c:pt idx="133">
                  <c:v>2052</c:v>
                </c:pt>
                <c:pt idx="134">
                  <c:v>2053</c:v>
                </c:pt>
                <c:pt idx="135">
                  <c:v>2054</c:v>
                </c:pt>
                <c:pt idx="136">
                  <c:v>2055</c:v>
                </c:pt>
                <c:pt idx="137">
                  <c:v>2056</c:v>
                </c:pt>
                <c:pt idx="138">
                  <c:v>2057</c:v>
                </c:pt>
                <c:pt idx="139">
                  <c:v>2058</c:v>
                </c:pt>
                <c:pt idx="140">
                  <c:v>2897</c:v>
                </c:pt>
                <c:pt idx="141">
                  <c:v>2898</c:v>
                </c:pt>
                <c:pt idx="142">
                  <c:v>2899</c:v>
                </c:pt>
                <c:pt idx="143">
                  <c:v>2900</c:v>
                </c:pt>
                <c:pt idx="144">
                  <c:v>2901</c:v>
                </c:pt>
                <c:pt idx="145">
                  <c:v>2902</c:v>
                </c:pt>
                <c:pt idx="146">
                  <c:v>2903</c:v>
                </c:pt>
                <c:pt idx="147">
                  <c:v>2904</c:v>
                </c:pt>
                <c:pt idx="148">
                  <c:v>2905</c:v>
                </c:pt>
                <c:pt idx="149">
                  <c:v>2906</c:v>
                </c:pt>
                <c:pt idx="150">
                  <c:v>2907</c:v>
                </c:pt>
                <c:pt idx="151">
                  <c:v>2908</c:v>
                </c:pt>
                <c:pt idx="152">
                  <c:v>2909</c:v>
                </c:pt>
                <c:pt idx="153">
                  <c:v>2910</c:v>
                </c:pt>
                <c:pt idx="154">
                  <c:v>2911</c:v>
                </c:pt>
                <c:pt idx="155">
                  <c:v>2912</c:v>
                </c:pt>
                <c:pt idx="156">
                  <c:v>2913</c:v>
                </c:pt>
                <c:pt idx="157">
                  <c:v>2914</c:v>
                </c:pt>
                <c:pt idx="158">
                  <c:v>2915</c:v>
                </c:pt>
                <c:pt idx="159">
                  <c:v>2916</c:v>
                </c:pt>
                <c:pt idx="160">
                  <c:v>3257</c:v>
                </c:pt>
                <c:pt idx="161">
                  <c:v>3258</c:v>
                </c:pt>
                <c:pt idx="162">
                  <c:v>3259</c:v>
                </c:pt>
                <c:pt idx="163">
                  <c:v>3260</c:v>
                </c:pt>
                <c:pt idx="164">
                  <c:v>3261</c:v>
                </c:pt>
                <c:pt idx="165">
                  <c:v>3262</c:v>
                </c:pt>
                <c:pt idx="166">
                  <c:v>3263</c:v>
                </c:pt>
                <c:pt idx="167">
                  <c:v>3264</c:v>
                </c:pt>
                <c:pt idx="168">
                  <c:v>3265</c:v>
                </c:pt>
                <c:pt idx="169">
                  <c:v>3266</c:v>
                </c:pt>
                <c:pt idx="170">
                  <c:v>3267</c:v>
                </c:pt>
                <c:pt idx="171">
                  <c:v>3268</c:v>
                </c:pt>
                <c:pt idx="172">
                  <c:v>3269</c:v>
                </c:pt>
                <c:pt idx="173">
                  <c:v>3270</c:v>
                </c:pt>
                <c:pt idx="174">
                  <c:v>3271</c:v>
                </c:pt>
                <c:pt idx="175">
                  <c:v>3272</c:v>
                </c:pt>
                <c:pt idx="176">
                  <c:v>3273</c:v>
                </c:pt>
                <c:pt idx="177">
                  <c:v>3274</c:v>
                </c:pt>
                <c:pt idx="178">
                  <c:v>3275</c:v>
                </c:pt>
                <c:pt idx="179">
                  <c:v>3276</c:v>
                </c:pt>
                <c:pt idx="180">
                  <c:v>4443</c:v>
                </c:pt>
                <c:pt idx="181">
                  <c:v>4445</c:v>
                </c:pt>
                <c:pt idx="182">
                  <c:v>4446</c:v>
                </c:pt>
                <c:pt idx="183">
                  <c:v>4447</c:v>
                </c:pt>
                <c:pt idx="184">
                  <c:v>4448</c:v>
                </c:pt>
                <c:pt idx="185">
                  <c:v>4449</c:v>
                </c:pt>
                <c:pt idx="186">
                  <c:v>4450</c:v>
                </c:pt>
                <c:pt idx="187">
                  <c:v>4451</c:v>
                </c:pt>
                <c:pt idx="188">
                  <c:v>4452</c:v>
                </c:pt>
                <c:pt idx="189">
                  <c:v>4453</c:v>
                </c:pt>
                <c:pt idx="190">
                  <c:v>4454</c:v>
                </c:pt>
                <c:pt idx="191">
                  <c:v>4455</c:v>
                </c:pt>
                <c:pt idx="192">
                  <c:v>4456</c:v>
                </c:pt>
                <c:pt idx="193">
                  <c:v>4457</c:v>
                </c:pt>
                <c:pt idx="194">
                  <c:v>4458</c:v>
                </c:pt>
                <c:pt idx="195">
                  <c:v>4459</c:v>
                </c:pt>
                <c:pt idx="196">
                  <c:v>4460</c:v>
                </c:pt>
                <c:pt idx="197">
                  <c:v>4461</c:v>
                </c:pt>
                <c:pt idx="198">
                  <c:v>4462</c:v>
                </c:pt>
                <c:pt idx="199">
                  <c:v>4463</c:v>
                </c:pt>
                <c:pt idx="200">
                  <c:v>4740</c:v>
                </c:pt>
                <c:pt idx="201">
                  <c:v>4741</c:v>
                </c:pt>
                <c:pt idx="202">
                  <c:v>4742</c:v>
                </c:pt>
                <c:pt idx="203">
                  <c:v>4743</c:v>
                </c:pt>
                <c:pt idx="204">
                  <c:v>4744</c:v>
                </c:pt>
                <c:pt idx="205">
                  <c:v>4745</c:v>
                </c:pt>
                <c:pt idx="206">
                  <c:v>4746</c:v>
                </c:pt>
                <c:pt idx="207">
                  <c:v>4747</c:v>
                </c:pt>
                <c:pt idx="208">
                  <c:v>4748</c:v>
                </c:pt>
                <c:pt idx="209">
                  <c:v>4749</c:v>
                </c:pt>
                <c:pt idx="210">
                  <c:v>4750</c:v>
                </c:pt>
                <c:pt idx="211">
                  <c:v>4751</c:v>
                </c:pt>
                <c:pt idx="212">
                  <c:v>4752</c:v>
                </c:pt>
                <c:pt idx="213">
                  <c:v>4753</c:v>
                </c:pt>
                <c:pt idx="214">
                  <c:v>4754</c:v>
                </c:pt>
                <c:pt idx="215">
                  <c:v>4755</c:v>
                </c:pt>
                <c:pt idx="216">
                  <c:v>4756</c:v>
                </c:pt>
                <c:pt idx="217">
                  <c:v>4757</c:v>
                </c:pt>
                <c:pt idx="218">
                  <c:v>4758</c:v>
                </c:pt>
                <c:pt idx="219">
                  <c:v>4759</c:v>
                </c:pt>
                <c:pt idx="220">
                  <c:v>5191</c:v>
                </c:pt>
                <c:pt idx="221">
                  <c:v>5192</c:v>
                </c:pt>
                <c:pt idx="222">
                  <c:v>5193</c:v>
                </c:pt>
                <c:pt idx="223">
                  <c:v>5194</c:v>
                </c:pt>
                <c:pt idx="224">
                  <c:v>5195</c:v>
                </c:pt>
                <c:pt idx="225">
                  <c:v>5196</c:v>
                </c:pt>
                <c:pt idx="226">
                  <c:v>5197</c:v>
                </c:pt>
                <c:pt idx="227">
                  <c:v>5198</c:v>
                </c:pt>
                <c:pt idx="228">
                  <c:v>5199</c:v>
                </c:pt>
                <c:pt idx="229">
                  <c:v>5200</c:v>
                </c:pt>
                <c:pt idx="230">
                  <c:v>5201</c:v>
                </c:pt>
                <c:pt idx="231">
                  <c:v>5202</c:v>
                </c:pt>
                <c:pt idx="232">
                  <c:v>5203</c:v>
                </c:pt>
                <c:pt idx="233">
                  <c:v>5204</c:v>
                </c:pt>
                <c:pt idx="234">
                  <c:v>5205</c:v>
                </c:pt>
                <c:pt idx="235">
                  <c:v>5206</c:v>
                </c:pt>
                <c:pt idx="236">
                  <c:v>5207</c:v>
                </c:pt>
                <c:pt idx="237">
                  <c:v>5208</c:v>
                </c:pt>
                <c:pt idx="238">
                  <c:v>5209</c:v>
                </c:pt>
                <c:pt idx="239">
                  <c:v>5210</c:v>
                </c:pt>
                <c:pt idx="240">
                  <c:v>5544</c:v>
                </c:pt>
                <c:pt idx="241">
                  <c:v>5545</c:v>
                </c:pt>
                <c:pt idx="242">
                  <c:v>5546</c:v>
                </c:pt>
                <c:pt idx="243">
                  <c:v>5547</c:v>
                </c:pt>
                <c:pt idx="244">
                  <c:v>5548</c:v>
                </c:pt>
                <c:pt idx="245">
                  <c:v>5549</c:v>
                </c:pt>
                <c:pt idx="246">
                  <c:v>5550</c:v>
                </c:pt>
                <c:pt idx="247">
                  <c:v>5551</c:v>
                </c:pt>
                <c:pt idx="248">
                  <c:v>5552</c:v>
                </c:pt>
                <c:pt idx="249">
                  <c:v>5553</c:v>
                </c:pt>
                <c:pt idx="250">
                  <c:v>5554</c:v>
                </c:pt>
                <c:pt idx="251">
                  <c:v>5555</c:v>
                </c:pt>
                <c:pt idx="252">
                  <c:v>5556</c:v>
                </c:pt>
                <c:pt idx="253">
                  <c:v>5557</c:v>
                </c:pt>
                <c:pt idx="254">
                  <c:v>5558</c:v>
                </c:pt>
                <c:pt idx="255">
                  <c:v>5559</c:v>
                </c:pt>
                <c:pt idx="256">
                  <c:v>5560</c:v>
                </c:pt>
                <c:pt idx="257">
                  <c:v>5561</c:v>
                </c:pt>
                <c:pt idx="258">
                  <c:v>5562</c:v>
                </c:pt>
                <c:pt idx="259">
                  <c:v>5563</c:v>
                </c:pt>
                <c:pt idx="260">
                  <c:v>5915</c:v>
                </c:pt>
                <c:pt idx="261">
                  <c:v>5916</c:v>
                </c:pt>
                <c:pt idx="262">
                  <c:v>5917</c:v>
                </c:pt>
                <c:pt idx="263">
                  <c:v>5918</c:v>
                </c:pt>
                <c:pt idx="264">
                  <c:v>5919</c:v>
                </c:pt>
                <c:pt idx="265">
                  <c:v>5920</c:v>
                </c:pt>
                <c:pt idx="266">
                  <c:v>5921</c:v>
                </c:pt>
                <c:pt idx="267">
                  <c:v>5922</c:v>
                </c:pt>
                <c:pt idx="268">
                  <c:v>5923</c:v>
                </c:pt>
                <c:pt idx="269">
                  <c:v>5924</c:v>
                </c:pt>
                <c:pt idx="270">
                  <c:v>5925</c:v>
                </c:pt>
                <c:pt idx="271">
                  <c:v>5926</c:v>
                </c:pt>
                <c:pt idx="272">
                  <c:v>5927</c:v>
                </c:pt>
                <c:pt idx="273">
                  <c:v>5928</c:v>
                </c:pt>
                <c:pt idx="274">
                  <c:v>5929</c:v>
                </c:pt>
                <c:pt idx="275">
                  <c:v>5930</c:v>
                </c:pt>
                <c:pt idx="276">
                  <c:v>5931</c:v>
                </c:pt>
                <c:pt idx="277">
                  <c:v>5932</c:v>
                </c:pt>
                <c:pt idx="278">
                  <c:v>5933</c:v>
                </c:pt>
                <c:pt idx="279">
                  <c:v>5934</c:v>
                </c:pt>
                <c:pt idx="280">
                  <c:v>6137</c:v>
                </c:pt>
                <c:pt idx="281">
                  <c:v>6138</c:v>
                </c:pt>
                <c:pt idx="282">
                  <c:v>6139</c:v>
                </c:pt>
                <c:pt idx="283">
                  <c:v>6140</c:v>
                </c:pt>
                <c:pt idx="284">
                  <c:v>6141</c:v>
                </c:pt>
                <c:pt idx="285">
                  <c:v>6142</c:v>
                </c:pt>
                <c:pt idx="286">
                  <c:v>6143</c:v>
                </c:pt>
                <c:pt idx="287">
                  <c:v>6144</c:v>
                </c:pt>
                <c:pt idx="288">
                  <c:v>6145</c:v>
                </c:pt>
                <c:pt idx="289">
                  <c:v>6146</c:v>
                </c:pt>
                <c:pt idx="290">
                  <c:v>6147</c:v>
                </c:pt>
                <c:pt idx="291">
                  <c:v>6148</c:v>
                </c:pt>
                <c:pt idx="292">
                  <c:v>6149</c:v>
                </c:pt>
                <c:pt idx="293">
                  <c:v>6150</c:v>
                </c:pt>
                <c:pt idx="294">
                  <c:v>6151</c:v>
                </c:pt>
                <c:pt idx="295">
                  <c:v>6152</c:v>
                </c:pt>
                <c:pt idx="296">
                  <c:v>6153</c:v>
                </c:pt>
                <c:pt idx="297">
                  <c:v>6154</c:v>
                </c:pt>
                <c:pt idx="298">
                  <c:v>6155</c:v>
                </c:pt>
                <c:pt idx="299">
                  <c:v>6156</c:v>
                </c:pt>
                <c:pt idx="300">
                  <c:v>6600</c:v>
                </c:pt>
                <c:pt idx="301">
                  <c:v>6601</c:v>
                </c:pt>
                <c:pt idx="302">
                  <c:v>6602</c:v>
                </c:pt>
                <c:pt idx="303">
                  <c:v>6603</c:v>
                </c:pt>
                <c:pt idx="304">
                  <c:v>6604</c:v>
                </c:pt>
                <c:pt idx="305">
                  <c:v>6605</c:v>
                </c:pt>
                <c:pt idx="306">
                  <c:v>6606</c:v>
                </c:pt>
                <c:pt idx="307">
                  <c:v>6607</c:v>
                </c:pt>
                <c:pt idx="308">
                  <c:v>6608</c:v>
                </c:pt>
                <c:pt idx="309">
                  <c:v>6609</c:v>
                </c:pt>
                <c:pt idx="310">
                  <c:v>6610</c:v>
                </c:pt>
                <c:pt idx="311">
                  <c:v>6611</c:v>
                </c:pt>
                <c:pt idx="312">
                  <c:v>6612</c:v>
                </c:pt>
                <c:pt idx="313">
                  <c:v>6613</c:v>
                </c:pt>
                <c:pt idx="314">
                  <c:v>6614</c:v>
                </c:pt>
                <c:pt idx="315">
                  <c:v>6615</c:v>
                </c:pt>
                <c:pt idx="316">
                  <c:v>6616</c:v>
                </c:pt>
                <c:pt idx="317">
                  <c:v>6617</c:v>
                </c:pt>
                <c:pt idx="318">
                  <c:v>6618</c:v>
                </c:pt>
                <c:pt idx="319">
                  <c:v>6619</c:v>
                </c:pt>
                <c:pt idx="320">
                  <c:v>6823</c:v>
                </c:pt>
                <c:pt idx="321">
                  <c:v>6824</c:v>
                </c:pt>
                <c:pt idx="322">
                  <c:v>6825</c:v>
                </c:pt>
                <c:pt idx="323">
                  <c:v>6826</c:v>
                </c:pt>
                <c:pt idx="324">
                  <c:v>6827</c:v>
                </c:pt>
                <c:pt idx="325">
                  <c:v>6828</c:v>
                </c:pt>
                <c:pt idx="326">
                  <c:v>6829</c:v>
                </c:pt>
                <c:pt idx="327">
                  <c:v>6830</c:v>
                </c:pt>
                <c:pt idx="328">
                  <c:v>6831</c:v>
                </c:pt>
                <c:pt idx="329">
                  <c:v>6832</c:v>
                </c:pt>
                <c:pt idx="330">
                  <c:v>6833</c:v>
                </c:pt>
                <c:pt idx="331">
                  <c:v>6834</c:v>
                </c:pt>
                <c:pt idx="332">
                  <c:v>6835</c:v>
                </c:pt>
                <c:pt idx="333">
                  <c:v>6836</c:v>
                </c:pt>
                <c:pt idx="334">
                  <c:v>6837</c:v>
                </c:pt>
                <c:pt idx="335">
                  <c:v>6838</c:v>
                </c:pt>
                <c:pt idx="336">
                  <c:v>6839</c:v>
                </c:pt>
                <c:pt idx="337">
                  <c:v>6840</c:v>
                </c:pt>
                <c:pt idx="338">
                  <c:v>6841</c:v>
                </c:pt>
                <c:pt idx="339">
                  <c:v>6842</c:v>
                </c:pt>
                <c:pt idx="340">
                  <c:v>7090</c:v>
                </c:pt>
                <c:pt idx="341">
                  <c:v>7091</c:v>
                </c:pt>
                <c:pt idx="342">
                  <c:v>7092</c:v>
                </c:pt>
                <c:pt idx="343">
                  <c:v>7093</c:v>
                </c:pt>
                <c:pt idx="344">
                  <c:v>7094</c:v>
                </c:pt>
                <c:pt idx="345">
                  <c:v>7095</c:v>
                </c:pt>
                <c:pt idx="346">
                  <c:v>7096</c:v>
                </c:pt>
                <c:pt idx="347">
                  <c:v>7097</c:v>
                </c:pt>
                <c:pt idx="348">
                  <c:v>7098</c:v>
                </c:pt>
                <c:pt idx="349">
                  <c:v>7099</c:v>
                </c:pt>
                <c:pt idx="350">
                  <c:v>7100</c:v>
                </c:pt>
                <c:pt idx="351">
                  <c:v>7101</c:v>
                </c:pt>
                <c:pt idx="352">
                  <c:v>7102</c:v>
                </c:pt>
                <c:pt idx="353">
                  <c:v>7103</c:v>
                </c:pt>
                <c:pt idx="354">
                  <c:v>7104</c:v>
                </c:pt>
                <c:pt idx="355">
                  <c:v>7105</c:v>
                </c:pt>
                <c:pt idx="356">
                  <c:v>7106</c:v>
                </c:pt>
                <c:pt idx="357">
                  <c:v>7107</c:v>
                </c:pt>
                <c:pt idx="358">
                  <c:v>7108</c:v>
                </c:pt>
                <c:pt idx="359">
                  <c:v>7109</c:v>
                </c:pt>
                <c:pt idx="360">
                  <c:v>7413</c:v>
                </c:pt>
                <c:pt idx="361">
                  <c:v>7414</c:v>
                </c:pt>
                <c:pt idx="362">
                  <c:v>7415</c:v>
                </c:pt>
                <c:pt idx="363">
                  <c:v>7416</c:v>
                </c:pt>
                <c:pt idx="364">
                  <c:v>7417</c:v>
                </c:pt>
                <c:pt idx="365">
                  <c:v>7418</c:v>
                </c:pt>
                <c:pt idx="366">
                  <c:v>7419</c:v>
                </c:pt>
                <c:pt idx="367">
                  <c:v>7420</c:v>
                </c:pt>
                <c:pt idx="368">
                  <c:v>7421</c:v>
                </c:pt>
                <c:pt idx="369">
                  <c:v>7422</c:v>
                </c:pt>
                <c:pt idx="370">
                  <c:v>7423</c:v>
                </c:pt>
                <c:pt idx="371">
                  <c:v>7424</c:v>
                </c:pt>
                <c:pt idx="372">
                  <c:v>7425</c:v>
                </c:pt>
                <c:pt idx="373">
                  <c:v>7426</c:v>
                </c:pt>
                <c:pt idx="374">
                  <c:v>7427</c:v>
                </c:pt>
                <c:pt idx="375">
                  <c:v>7428</c:v>
                </c:pt>
                <c:pt idx="376">
                  <c:v>7429</c:v>
                </c:pt>
                <c:pt idx="377">
                  <c:v>7430</c:v>
                </c:pt>
                <c:pt idx="378">
                  <c:v>7431</c:v>
                </c:pt>
                <c:pt idx="379">
                  <c:v>7432</c:v>
                </c:pt>
                <c:pt idx="380">
                  <c:v>7931</c:v>
                </c:pt>
                <c:pt idx="381">
                  <c:v>7932</c:v>
                </c:pt>
                <c:pt idx="382">
                  <c:v>7933</c:v>
                </c:pt>
                <c:pt idx="383">
                  <c:v>7934</c:v>
                </c:pt>
                <c:pt idx="384">
                  <c:v>7935</c:v>
                </c:pt>
                <c:pt idx="385">
                  <c:v>7936</c:v>
                </c:pt>
                <c:pt idx="386">
                  <c:v>7937</c:v>
                </c:pt>
                <c:pt idx="387">
                  <c:v>7938</c:v>
                </c:pt>
                <c:pt idx="388">
                  <c:v>7939</c:v>
                </c:pt>
                <c:pt idx="389">
                  <c:v>7940</c:v>
                </c:pt>
                <c:pt idx="390">
                  <c:v>7941</c:v>
                </c:pt>
                <c:pt idx="391">
                  <c:v>7942</c:v>
                </c:pt>
                <c:pt idx="392">
                  <c:v>7943</c:v>
                </c:pt>
                <c:pt idx="393">
                  <c:v>7944</c:v>
                </c:pt>
                <c:pt idx="394">
                  <c:v>7945</c:v>
                </c:pt>
                <c:pt idx="395">
                  <c:v>7946</c:v>
                </c:pt>
                <c:pt idx="396">
                  <c:v>7947</c:v>
                </c:pt>
                <c:pt idx="397">
                  <c:v>7948</c:v>
                </c:pt>
                <c:pt idx="398">
                  <c:v>7949</c:v>
                </c:pt>
                <c:pt idx="399">
                  <c:v>7950</c:v>
                </c:pt>
                <c:pt idx="400">
                  <c:v>8361</c:v>
                </c:pt>
                <c:pt idx="401">
                  <c:v>8362</c:v>
                </c:pt>
                <c:pt idx="402">
                  <c:v>8363</c:v>
                </c:pt>
                <c:pt idx="403">
                  <c:v>8364</c:v>
                </c:pt>
                <c:pt idx="404">
                  <c:v>8365</c:v>
                </c:pt>
                <c:pt idx="405">
                  <c:v>8366</c:v>
                </c:pt>
                <c:pt idx="406">
                  <c:v>8367</c:v>
                </c:pt>
                <c:pt idx="407">
                  <c:v>8368</c:v>
                </c:pt>
                <c:pt idx="408">
                  <c:v>8369</c:v>
                </c:pt>
                <c:pt idx="409">
                  <c:v>8370</c:v>
                </c:pt>
                <c:pt idx="410">
                  <c:v>8371</c:v>
                </c:pt>
                <c:pt idx="411">
                  <c:v>8372</c:v>
                </c:pt>
                <c:pt idx="412">
                  <c:v>8373</c:v>
                </c:pt>
                <c:pt idx="413">
                  <c:v>8374</c:v>
                </c:pt>
                <c:pt idx="414">
                  <c:v>8375</c:v>
                </c:pt>
                <c:pt idx="415">
                  <c:v>8376</c:v>
                </c:pt>
                <c:pt idx="416">
                  <c:v>8377</c:v>
                </c:pt>
                <c:pt idx="417">
                  <c:v>8378</c:v>
                </c:pt>
                <c:pt idx="418">
                  <c:v>8379</c:v>
                </c:pt>
                <c:pt idx="419">
                  <c:v>8380</c:v>
                </c:pt>
                <c:pt idx="420">
                  <c:v>8679</c:v>
                </c:pt>
                <c:pt idx="421">
                  <c:v>8680</c:v>
                </c:pt>
                <c:pt idx="422">
                  <c:v>8681</c:v>
                </c:pt>
                <c:pt idx="423">
                  <c:v>8682</c:v>
                </c:pt>
                <c:pt idx="424">
                  <c:v>8683</c:v>
                </c:pt>
                <c:pt idx="425">
                  <c:v>8684</c:v>
                </c:pt>
                <c:pt idx="426">
                  <c:v>8685</c:v>
                </c:pt>
                <c:pt idx="427">
                  <c:v>8686</c:v>
                </c:pt>
                <c:pt idx="428">
                  <c:v>8687</c:v>
                </c:pt>
                <c:pt idx="429">
                  <c:v>8688</c:v>
                </c:pt>
                <c:pt idx="430">
                  <c:v>8689</c:v>
                </c:pt>
                <c:pt idx="431">
                  <c:v>8690</c:v>
                </c:pt>
                <c:pt idx="432">
                  <c:v>8691</c:v>
                </c:pt>
                <c:pt idx="433">
                  <c:v>8692</c:v>
                </c:pt>
                <c:pt idx="434">
                  <c:v>8693</c:v>
                </c:pt>
                <c:pt idx="435">
                  <c:v>8694</c:v>
                </c:pt>
                <c:pt idx="436">
                  <c:v>8695</c:v>
                </c:pt>
                <c:pt idx="437">
                  <c:v>8696</c:v>
                </c:pt>
                <c:pt idx="438">
                  <c:v>8697</c:v>
                </c:pt>
                <c:pt idx="439">
                  <c:v>8698</c:v>
                </c:pt>
                <c:pt idx="440">
                  <c:v>9074</c:v>
                </c:pt>
                <c:pt idx="441">
                  <c:v>9075</c:v>
                </c:pt>
                <c:pt idx="442">
                  <c:v>9076</c:v>
                </c:pt>
                <c:pt idx="443">
                  <c:v>9077</c:v>
                </c:pt>
                <c:pt idx="444">
                  <c:v>9078</c:v>
                </c:pt>
                <c:pt idx="445">
                  <c:v>9079</c:v>
                </c:pt>
                <c:pt idx="446">
                  <c:v>9080</c:v>
                </c:pt>
                <c:pt idx="447">
                  <c:v>9081</c:v>
                </c:pt>
                <c:pt idx="448">
                  <c:v>9082</c:v>
                </c:pt>
                <c:pt idx="449">
                  <c:v>9083</c:v>
                </c:pt>
                <c:pt idx="450">
                  <c:v>9084</c:v>
                </c:pt>
                <c:pt idx="451">
                  <c:v>9085</c:v>
                </c:pt>
                <c:pt idx="452">
                  <c:v>9086</c:v>
                </c:pt>
                <c:pt idx="453">
                  <c:v>9087</c:v>
                </c:pt>
                <c:pt idx="454">
                  <c:v>9088</c:v>
                </c:pt>
                <c:pt idx="455">
                  <c:v>9089</c:v>
                </c:pt>
                <c:pt idx="456">
                  <c:v>9090</c:v>
                </c:pt>
                <c:pt idx="457">
                  <c:v>9091</c:v>
                </c:pt>
                <c:pt idx="458">
                  <c:v>9092</c:v>
                </c:pt>
                <c:pt idx="459">
                  <c:v>9093</c:v>
                </c:pt>
                <c:pt idx="460">
                  <c:v>9304</c:v>
                </c:pt>
                <c:pt idx="461">
                  <c:v>9305</c:v>
                </c:pt>
                <c:pt idx="462">
                  <c:v>9306</c:v>
                </c:pt>
                <c:pt idx="463">
                  <c:v>9307</c:v>
                </c:pt>
                <c:pt idx="464">
                  <c:v>9308</c:v>
                </c:pt>
                <c:pt idx="465">
                  <c:v>9309</c:v>
                </c:pt>
                <c:pt idx="466">
                  <c:v>9310</c:v>
                </c:pt>
                <c:pt idx="467">
                  <c:v>9311</c:v>
                </c:pt>
                <c:pt idx="468">
                  <c:v>9312</c:v>
                </c:pt>
                <c:pt idx="469">
                  <c:v>9313</c:v>
                </c:pt>
                <c:pt idx="470">
                  <c:v>9314</c:v>
                </c:pt>
                <c:pt idx="471">
                  <c:v>9315</c:v>
                </c:pt>
                <c:pt idx="472">
                  <c:v>9316</c:v>
                </c:pt>
                <c:pt idx="473">
                  <c:v>9317</c:v>
                </c:pt>
                <c:pt idx="474">
                  <c:v>9318</c:v>
                </c:pt>
                <c:pt idx="475">
                  <c:v>9319</c:v>
                </c:pt>
                <c:pt idx="476">
                  <c:v>9320</c:v>
                </c:pt>
                <c:pt idx="477">
                  <c:v>9321</c:v>
                </c:pt>
                <c:pt idx="478">
                  <c:v>9322</c:v>
                </c:pt>
                <c:pt idx="479">
                  <c:v>9323</c:v>
                </c:pt>
                <c:pt idx="480">
                  <c:v>9774</c:v>
                </c:pt>
                <c:pt idx="481">
                  <c:v>9775</c:v>
                </c:pt>
                <c:pt idx="482">
                  <c:v>9776</c:v>
                </c:pt>
                <c:pt idx="483">
                  <c:v>9777</c:v>
                </c:pt>
                <c:pt idx="484">
                  <c:v>9778</c:v>
                </c:pt>
                <c:pt idx="485">
                  <c:v>9779</c:v>
                </c:pt>
                <c:pt idx="486">
                  <c:v>9780</c:v>
                </c:pt>
                <c:pt idx="487">
                  <c:v>9781</c:v>
                </c:pt>
                <c:pt idx="488">
                  <c:v>9782</c:v>
                </c:pt>
                <c:pt idx="489">
                  <c:v>9783</c:v>
                </c:pt>
                <c:pt idx="490">
                  <c:v>9784</c:v>
                </c:pt>
                <c:pt idx="491">
                  <c:v>9785</c:v>
                </c:pt>
                <c:pt idx="492">
                  <c:v>9786</c:v>
                </c:pt>
                <c:pt idx="493">
                  <c:v>9787</c:v>
                </c:pt>
                <c:pt idx="494">
                  <c:v>9788</c:v>
                </c:pt>
                <c:pt idx="495">
                  <c:v>9789</c:v>
                </c:pt>
                <c:pt idx="496">
                  <c:v>9790</c:v>
                </c:pt>
                <c:pt idx="497">
                  <c:v>9791</c:v>
                </c:pt>
                <c:pt idx="498">
                  <c:v>9792</c:v>
                </c:pt>
                <c:pt idx="499">
                  <c:v>9793</c:v>
                </c:pt>
                <c:pt idx="500">
                  <c:v>10014</c:v>
                </c:pt>
                <c:pt idx="501">
                  <c:v>10015</c:v>
                </c:pt>
                <c:pt idx="502">
                  <c:v>10016</c:v>
                </c:pt>
                <c:pt idx="503">
                  <c:v>10017</c:v>
                </c:pt>
                <c:pt idx="504">
                  <c:v>10018</c:v>
                </c:pt>
                <c:pt idx="505">
                  <c:v>10019</c:v>
                </c:pt>
                <c:pt idx="506">
                  <c:v>10020</c:v>
                </c:pt>
                <c:pt idx="507">
                  <c:v>10021</c:v>
                </c:pt>
                <c:pt idx="508">
                  <c:v>10022</c:v>
                </c:pt>
                <c:pt idx="509">
                  <c:v>10023</c:v>
                </c:pt>
                <c:pt idx="510">
                  <c:v>10024</c:v>
                </c:pt>
                <c:pt idx="511">
                  <c:v>10025</c:v>
                </c:pt>
                <c:pt idx="512">
                  <c:v>10026</c:v>
                </c:pt>
                <c:pt idx="513">
                  <c:v>10027</c:v>
                </c:pt>
                <c:pt idx="514">
                  <c:v>10028</c:v>
                </c:pt>
                <c:pt idx="515">
                  <c:v>10029</c:v>
                </c:pt>
                <c:pt idx="516">
                  <c:v>10030</c:v>
                </c:pt>
                <c:pt idx="517">
                  <c:v>10031</c:v>
                </c:pt>
                <c:pt idx="518">
                  <c:v>10032</c:v>
                </c:pt>
                <c:pt idx="519">
                  <c:v>10033</c:v>
                </c:pt>
                <c:pt idx="520">
                  <c:v>11975</c:v>
                </c:pt>
                <c:pt idx="521">
                  <c:v>11976</c:v>
                </c:pt>
                <c:pt idx="522">
                  <c:v>11977</c:v>
                </c:pt>
                <c:pt idx="523">
                  <c:v>11978</c:v>
                </c:pt>
                <c:pt idx="524">
                  <c:v>11979</c:v>
                </c:pt>
                <c:pt idx="525">
                  <c:v>11980</c:v>
                </c:pt>
                <c:pt idx="526">
                  <c:v>11981</c:v>
                </c:pt>
                <c:pt idx="527">
                  <c:v>11982</c:v>
                </c:pt>
                <c:pt idx="528">
                  <c:v>11983</c:v>
                </c:pt>
                <c:pt idx="529">
                  <c:v>11984</c:v>
                </c:pt>
                <c:pt idx="530">
                  <c:v>11985</c:v>
                </c:pt>
                <c:pt idx="531">
                  <c:v>11986</c:v>
                </c:pt>
                <c:pt idx="532">
                  <c:v>11987</c:v>
                </c:pt>
                <c:pt idx="533">
                  <c:v>11988</c:v>
                </c:pt>
                <c:pt idx="534">
                  <c:v>11989</c:v>
                </c:pt>
                <c:pt idx="535">
                  <c:v>11990</c:v>
                </c:pt>
                <c:pt idx="536">
                  <c:v>11991</c:v>
                </c:pt>
                <c:pt idx="537">
                  <c:v>11992</c:v>
                </c:pt>
                <c:pt idx="538">
                  <c:v>11993</c:v>
                </c:pt>
                <c:pt idx="539">
                  <c:v>11994</c:v>
                </c:pt>
                <c:pt idx="540">
                  <c:v>12381</c:v>
                </c:pt>
                <c:pt idx="541">
                  <c:v>12382</c:v>
                </c:pt>
                <c:pt idx="542">
                  <c:v>12383</c:v>
                </c:pt>
                <c:pt idx="543">
                  <c:v>12384</c:v>
                </c:pt>
                <c:pt idx="544">
                  <c:v>12385</c:v>
                </c:pt>
                <c:pt idx="545">
                  <c:v>12386</c:v>
                </c:pt>
                <c:pt idx="546">
                  <c:v>12387</c:v>
                </c:pt>
                <c:pt idx="547">
                  <c:v>12388</c:v>
                </c:pt>
                <c:pt idx="548">
                  <c:v>12389</c:v>
                </c:pt>
                <c:pt idx="549">
                  <c:v>12390</c:v>
                </c:pt>
                <c:pt idx="550">
                  <c:v>12391</c:v>
                </c:pt>
                <c:pt idx="551">
                  <c:v>12392</c:v>
                </c:pt>
                <c:pt idx="552">
                  <c:v>12393</c:v>
                </c:pt>
                <c:pt idx="553">
                  <c:v>12394</c:v>
                </c:pt>
                <c:pt idx="554">
                  <c:v>12395</c:v>
                </c:pt>
                <c:pt idx="555">
                  <c:v>12396</c:v>
                </c:pt>
                <c:pt idx="556">
                  <c:v>12397</c:v>
                </c:pt>
                <c:pt idx="557">
                  <c:v>12398</c:v>
                </c:pt>
                <c:pt idx="558">
                  <c:v>12399</c:v>
                </c:pt>
                <c:pt idx="559">
                  <c:v>12400</c:v>
                </c:pt>
                <c:pt idx="560">
                  <c:v>12432</c:v>
                </c:pt>
                <c:pt idx="561">
                  <c:v>12433</c:v>
                </c:pt>
                <c:pt idx="562">
                  <c:v>12434</c:v>
                </c:pt>
                <c:pt idx="563">
                  <c:v>12435</c:v>
                </c:pt>
                <c:pt idx="564">
                  <c:v>12436</c:v>
                </c:pt>
                <c:pt idx="565">
                  <c:v>12437</c:v>
                </c:pt>
                <c:pt idx="566">
                  <c:v>12438</c:v>
                </c:pt>
                <c:pt idx="567">
                  <c:v>12439</c:v>
                </c:pt>
                <c:pt idx="568">
                  <c:v>12440</c:v>
                </c:pt>
                <c:pt idx="569">
                  <c:v>12441</c:v>
                </c:pt>
                <c:pt idx="570">
                  <c:v>12442</c:v>
                </c:pt>
                <c:pt idx="571">
                  <c:v>12443</c:v>
                </c:pt>
                <c:pt idx="572">
                  <c:v>12444</c:v>
                </c:pt>
                <c:pt idx="573">
                  <c:v>12445</c:v>
                </c:pt>
                <c:pt idx="574">
                  <c:v>12446</c:v>
                </c:pt>
                <c:pt idx="575">
                  <c:v>12447</c:v>
                </c:pt>
                <c:pt idx="576">
                  <c:v>12448</c:v>
                </c:pt>
                <c:pt idx="577">
                  <c:v>12449</c:v>
                </c:pt>
                <c:pt idx="578">
                  <c:v>12450</c:v>
                </c:pt>
                <c:pt idx="579">
                  <c:v>12451</c:v>
                </c:pt>
                <c:pt idx="580">
                  <c:v>12951</c:v>
                </c:pt>
                <c:pt idx="581">
                  <c:v>12952</c:v>
                </c:pt>
                <c:pt idx="582">
                  <c:v>12953</c:v>
                </c:pt>
                <c:pt idx="583">
                  <c:v>12954</c:v>
                </c:pt>
                <c:pt idx="584">
                  <c:v>12955</c:v>
                </c:pt>
                <c:pt idx="585">
                  <c:v>12956</c:v>
                </c:pt>
                <c:pt idx="586">
                  <c:v>12957</c:v>
                </c:pt>
                <c:pt idx="587">
                  <c:v>12958</c:v>
                </c:pt>
                <c:pt idx="588">
                  <c:v>12959</c:v>
                </c:pt>
                <c:pt idx="589">
                  <c:v>12960</c:v>
                </c:pt>
                <c:pt idx="590">
                  <c:v>12961</c:v>
                </c:pt>
                <c:pt idx="591">
                  <c:v>12962</c:v>
                </c:pt>
                <c:pt idx="592">
                  <c:v>12963</c:v>
                </c:pt>
                <c:pt idx="593">
                  <c:v>12964</c:v>
                </c:pt>
                <c:pt idx="594">
                  <c:v>12965</c:v>
                </c:pt>
                <c:pt idx="595">
                  <c:v>12966</c:v>
                </c:pt>
                <c:pt idx="596">
                  <c:v>12967</c:v>
                </c:pt>
                <c:pt idx="597">
                  <c:v>12968</c:v>
                </c:pt>
                <c:pt idx="598">
                  <c:v>12969</c:v>
                </c:pt>
                <c:pt idx="599">
                  <c:v>12970</c:v>
                </c:pt>
                <c:pt idx="600">
                  <c:v>13232</c:v>
                </c:pt>
                <c:pt idx="601">
                  <c:v>13233</c:v>
                </c:pt>
                <c:pt idx="602">
                  <c:v>13234</c:v>
                </c:pt>
                <c:pt idx="603">
                  <c:v>13235</c:v>
                </c:pt>
                <c:pt idx="604">
                  <c:v>13236</c:v>
                </c:pt>
                <c:pt idx="605">
                  <c:v>13237</c:v>
                </c:pt>
                <c:pt idx="606">
                  <c:v>13238</c:v>
                </c:pt>
                <c:pt idx="607">
                  <c:v>13239</c:v>
                </c:pt>
                <c:pt idx="608">
                  <c:v>13240</c:v>
                </c:pt>
                <c:pt idx="609">
                  <c:v>13241</c:v>
                </c:pt>
                <c:pt idx="610">
                  <c:v>13242</c:v>
                </c:pt>
                <c:pt idx="611">
                  <c:v>13243</c:v>
                </c:pt>
                <c:pt idx="612">
                  <c:v>13244</c:v>
                </c:pt>
                <c:pt idx="613">
                  <c:v>13245</c:v>
                </c:pt>
                <c:pt idx="614">
                  <c:v>13246</c:v>
                </c:pt>
                <c:pt idx="615">
                  <c:v>13247</c:v>
                </c:pt>
                <c:pt idx="616">
                  <c:v>13248</c:v>
                </c:pt>
                <c:pt idx="617">
                  <c:v>13249</c:v>
                </c:pt>
                <c:pt idx="618">
                  <c:v>13250</c:v>
                </c:pt>
                <c:pt idx="619">
                  <c:v>13251</c:v>
                </c:pt>
                <c:pt idx="620">
                  <c:v>13760</c:v>
                </c:pt>
                <c:pt idx="621">
                  <c:v>13761</c:v>
                </c:pt>
                <c:pt idx="622">
                  <c:v>13762</c:v>
                </c:pt>
                <c:pt idx="623">
                  <c:v>13763</c:v>
                </c:pt>
                <c:pt idx="624">
                  <c:v>13764</c:v>
                </c:pt>
                <c:pt idx="625">
                  <c:v>13765</c:v>
                </c:pt>
                <c:pt idx="626">
                  <c:v>13766</c:v>
                </c:pt>
                <c:pt idx="627">
                  <c:v>13767</c:v>
                </c:pt>
                <c:pt idx="628">
                  <c:v>13768</c:v>
                </c:pt>
                <c:pt idx="629">
                  <c:v>13769</c:v>
                </c:pt>
                <c:pt idx="630">
                  <c:v>13770</c:v>
                </c:pt>
                <c:pt idx="631">
                  <c:v>13771</c:v>
                </c:pt>
                <c:pt idx="632">
                  <c:v>13772</c:v>
                </c:pt>
                <c:pt idx="633">
                  <c:v>13773</c:v>
                </c:pt>
                <c:pt idx="634">
                  <c:v>13774</c:v>
                </c:pt>
                <c:pt idx="635">
                  <c:v>13775</c:v>
                </c:pt>
                <c:pt idx="636">
                  <c:v>13776</c:v>
                </c:pt>
                <c:pt idx="637">
                  <c:v>13777</c:v>
                </c:pt>
                <c:pt idx="638">
                  <c:v>13778</c:v>
                </c:pt>
                <c:pt idx="639">
                  <c:v>13779</c:v>
                </c:pt>
                <c:pt idx="640">
                  <c:v>14021</c:v>
                </c:pt>
                <c:pt idx="641">
                  <c:v>14022</c:v>
                </c:pt>
                <c:pt idx="642">
                  <c:v>14023</c:v>
                </c:pt>
                <c:pt idx="643">
                  <c:v>14024</c:v>
                </c:pt>
                <c:pt idx="644">
                  <c:v>14025</c:v>
                </c:pt>
                <c:pt idx="645">
                  <c:v>14026</c:v>
                </c:pt>
                <c:pt idx="646">
                  <c:v>14027</c:v>
                </c:pt>
                <c:pt idx="647">
                  <c:v>14028</c:v>
                </c:pt>
                <c:pt idx="648">
                  <c:v>14029</c:v>
                </c:pt>
                <c:pt idx="649">
                  <c:v>14030</c:v>
                </c:pt>
                <c:pt idx="650">
                  <c:v>14031</c:v>
                </c:pt>
                <c:pt idx="651">
                  <c:v>14032</c:v>
                </c:pt>
                <c:pt idx="652">
                  <c:v>14033</c:v>
                </c:pt>
                <c:pt idx="653">
                  <c:v>14034</c:v>
                </c:pt>
                <c:pt idx="654">
                  <c:v>14035</c:v>
                </c:pt>
                <c:pt idx="655">
                  <c:v>14036</c:v>
                </c:pt>
                <c:pt idx="656">
                  <c:v>14037</c:v>
                </c:pt>
                <c:pt idx="657">
                  <c:v>14038</c:v>
                </c:pt>
                <c:pt idx="658">
                  <c:v>14039</c:v>
                </c:pt>
                <c:pt idx="659">
                  <c:v>14040</c:v>
                </c:pt>
                <c:pt idx="660">
                  <c:v>14547</c:v>
                </c:pt>
                <c:pt idx="661">
                  <c:v>14548</c:v>
                </c:pt>
                <c:pt idx="662">
                  <c:v>14549</c:v>
                </c:pt>
                <c:pt idx="663">
                  <c:v>14550</c:v>
                </c:pt>
                <c:pt idx="664">
                  <c:v>14551</c:v>
                </c:pt>
                <c:pt idx="665">
                  <c:v>14552</c:v>
                </c:pt>
                <c:pt idx="666">
                  <c:v>14553</c:v>
                </c:pt>
                <c:pt idx="667">
                  <c:v>14554</c:v>
                </c:pt>
                <c:pt idx="668">
                  <c:v>14555</c:v>
                </c:pt>
                <c:pt idx="669">
                  <c:v>14556</c:v>
                </c:pt>
                <c:pt idx="670">
                  <c:v>14557</c:v>
                </c:pt>
                <c:pt idx="671">
                  <c:v>14558</c:v>
                </c:pt>
                <c:pt idx="672">
                  <c:v>14559</c:v>
                </c:pt>
                <c:pt idx="673">
                  <c:v>14560</c:v>
                </c:pt>
                <c:pt idx="674">
                  <c:v>14561</c:v>
                </c:pt>
                <c:pt idx="675">
                  <c:v>14562</c:v>
                </c:pt>
                <c:pt idx="676">
                  <c:v>14563</c:v>
                </c:pt>
                <c:pt idx="677">
                  <c:v>14564</c:v>
                </c:pt>
                <c:pt idx="678">
                  <c:v>14565</c:v>
                </c:pt>
                <c:pt idx="679">
                  <c:v>14566</c:v>
                </c:pt>
                <c:pt idx="680">
                  <c:v>14901</c:v>
                </c:pt>
                <c:pt idx="681">
                  <c:v>14902</c:v>
                </c:pt>
                <c:pt idx="682">
                  <c:v>14903</c:v>
                </c:pt>
                <c:pt idx="683">
                  <c:v>14904</c:v>
                </c:pt>
                <c:pt idx="684">
                  <c:v>14905</c:v>
                </c:pt>
                <c:pt idx="685">
                  <c:v>14906</c:v>
                </c:pt>
                <c:pt idx="686">
                  <c:v>14907</c:v>
                </c:pt>
                <c:pt idx="687">
                  <c:v>14908</c:v>
                </c:pt>
                <c:pt idx="688">
                  <c:v>14909</c:v>
                </c:pt>
                <c:pt idx="689">
                  <c:v>14910</c:v>
                </c:pt>
                <c:pt idx="690">
                  <c:v>14911</c:v>
                </c:pt>
                <c:pt idx="691">
                  <c:v>14912</c:v>
                </c:pt>
                <c:pt idx="692">
                  <c:v>14913</c:v>
                </c:pt>
                <c:pt idx="693">
                  <c:v>14914</c:v>
                </c:pt>
                <c:pt idx="694">
                  <c:v>14915</c:v>
                </c:pt>
                <c:pt idx="695">
                  <c:v>14916</c:v>
                </c:pt>
                <c:pt idx="696">
                  <c:v>14917</c:v>
                </c:pt>
                <c:pt idx="697">
                  <c:v>14918</c:v>
                </c:pt>
                <c:pt idx="698">
                  <c:v>14919</c:v>
                </c:pt>
                <c:pt idx="699">
                  <c:v>14920</c:v>
                </c:pt>
                <c:pt idx="700">
                  <c:v>15256</c:v>
                </c:pt>
                <c:pt idx="701">
                  <c:v>15257</c:v>
                </c:pt>
                <c:pt idx="702">
                  <c:v>15258</c:v>
                </c:pt>
                <c:pt idx="703">
                  <c:v>15259</c:v>
                </c:pt>
                <c:pt idx="704">
                  <c:v>15260</c:v>
                </c:pt>
                <c:pt idx="705">
                  <c:v>15261</c:v>
                </c:pt>
                <c:pt idx="706">
                  <c:v>15262</c:v>
                </c:pt>
                <c:pt idx="707">
                  <c:v>15263</c:v>
                </c:pt>
                <c:pt idx="708">
                  <c:v>15264</c:v>
                </c:pt>
                <c:pt idx="709">
                  <c:v>15265</c:v>
                </c:pt>
                <c:pt idx="710">
                  <c:v>15266</c:v>
                </c:pt>
                <c:pt idx="711">
                  <c:v>15267</c:v>
                </c:pt>
                <c:pt idx="712">
                  <c:v>15268</c:v>
                </c:pt>
                <c:pt idx="713">
                  <c:v>15269</c:v>
                </c:pt>
                <c:pt idx="714">
                  <c:v>15270</c:v>
                </c:pt>
                <c:pt idx="715">
                  <c:v>15271</c:v>
                </c:pt>
                <c:pt idx="716">
                  <c:v>15272</c:v>
                </c:pt>
                <c:pt idx="717">
                  <c:v>15273</c:v>
                </c:pt>
                <c:pt idx="718">
                  <c:v>15274</c:v>
                </c:pt>
                <c:pt idx="719">
                  <c:v>15275</c:v>
                </c:pt>
                <c:pt idx="720">
                  <c:v>15636</c:v>
                </c:pt>
                <c:pt idx="721">
                  <c:v>15637</c:v>
                </c:pt>
                <c:pt idx="722">
                  <c:v>15638</c:v>
                </c:pt>
                <c:pt idx="723">
                  <c:v>15639</c:v>
                </c:pt>
                <c:pt idx="724">
                  <c:v>15640</c:v>
                </c:pt>
                <c:pt idx="725">
                  <c:v>15641</c:v>
                </c:pt>
                <c:pt idx="726">
                  <c:v>15642</c:v>
                </c:pt>
                <c:pt idx="727">
                  <c:v>15643</c:v>
                </c:pt>
                <c:pt idx="728">
                  <c:v>15644</c:v>
                </c:pt>
                <c:pt idx="729">
                  <c:v>15645</c:v>
                </c:pt>
                <c:pt idx="730">
                  <c:v>15646</c:v>
                </c:pt>
                <c:pt idx="731">
                  <c:v>15647</c:v>
                </c:pt>
                <c:pt idx="732">
                  <c:v>15648</c:v>
                </c:pt>
                <c:pt idx="733">
                  <c:v>15649</c:v>
                </c:pt>
                <c:pt idx="734">
                  <c:v>15650</c:v>
                </c:pt>
                <c:pt idx="735">
                  <c:v>15651</c:v>
                </c:pt>
                <c:pt idx="736">
                  <c:v>15652</c:v>
                </c:pt>
                <c:pt idx="737">
                  <c:v>15653</c:v>
                </c:pt>
                <c:pt idx="738">
                  <c:v>15654</c:v>
                </c:pt>
                <c:pt idx="739">
                  <c:v>15655</c:v>
                </c:pt>
                <c:pt idx="740">
                  <c:v>16226</c:v>
                </c:pt>
                <c:pt idx="741">
                  <c:v>16227</c:v>
                </c:pt>
                <c:pt idx="742">
                  <c:v>16228</c:v>
                </c:pt>
                <c:pt idx="743">
                  <c:v>16229</c:v>
                </c:pt>
                <c:pt idx="744">
                  <c:v>16230</c:v>
                </c:pt>
                <c:pt idx="745">
                  <c:v>16231</c:v>
                </c:pt>
                <c:pt idx="746">
                  <c:v>16232</c:v>
                </c:pt>
                <c:pt idx="747">
                  <c:v>16233</c:v>
                </c:pt>
                <c:pt idx="748">
                  <c:v>16234</c:v>
                </c:pt>
                <c:pt idx="749">
                  <c:v>16235</c:v>
                </c:pt>
                <c:pt idx="750">
                  <c:v>16236</c:v>
                </c:pt>
                <c:pt idx="751">
                  <c:v>16237</c:v>
                </c:pt>
                <c:pt idx="752">
                  <c:v>16238</c:v>
                </c:pt>
                <c:pt idx="753">
                  <c:v>16239</c:v>
                </c:pt>
                <c:pt idx="754">
                  <c:v>16240</c:v>
                </c:pt>
                <c:pt idx="755">
                  <c:v>16241</c:v>
                </c:pt>
                <c:pt idx="756">
                  <c:v>16242</c:v>
                </c:pt>
                <c:pt idx="757">
                  <c:v>16243</c:v>
                </c:pt>
                <c:pt idx="758">
                  <c:v>16244</c:v>
                </c:pt>
                <c:pt idx="759">
                  <c:v>16245</c:v>
                </c:pt>
                <c:pt idx="760">
                  <c:v>19126</c:v>
                </c:pt>
                <c:pt idx="761">
                  <c:v>19127</c:v>
                </c:pt>
                <c:pt idx="762">
                  <c:v>19128</c:v>
                </c:pt>
                <c:pt idx="763">
                  <c:v>19129</c:v>
                </c:pt>
                <c:pt idx="764">
                  <c:v>19130</c:v>
                </c:pt>
                <c:pt idx="765">
                  <c:v>19131</c:v>
                </c:pt>
                <c:pt idx="766">
                  <c:v>19132</c:v>
                </c:pt>
                <c:pt idx="767">
                  <c:v>19133</c:v>
                </c:pt>
                <c:pt idx="768">
                  <c:v>19134</c:v>
                </c:pt>
                <c:pt idx="769">
                  <c:v>19135</c:v>
                </c:pt>
                <c:pt idx="770">
                  <c:v>19136</c:v>
                </c:pt>
                <c:pt idx="771">
                  <c:v>19137</c:v>
                </c:pt>
                <c:pt idx="772">
                  <c:v>19138</c:v>
                </c:pt>
                <c:pt idx="773">
                  <c:v>19139</c:v>
                </c:pt>
                <c:pt idx="774">
                  <c:v>19140</c:v>
                </c:pt>
                <c:pt idx="775">
                  <c:v>19141</c:v>
                </c:pt>
                <c:pt idx="776">
                  <c:v>19142</c:v>
                </c:pt>
                <c:pt idx="777">
                  <c:v>19143</c:v>
                </c:pt>
                <c:pt idx="778">
                  <c:v>19144</c:v>
                </c:pt>
                <c:pt idx="779">
                  <c:v>19145</c:v>
                </c:pt>
                <c:pt idx="780">
                  <c:v>19466</c:v>
                </c:pt>
                <c:pt idx="781">
                  <c:v>19467</c:v>
                </c:pt>
                <c:pt idx="782">
                  <c:v>19468</c:v>
                </c:pt>
                <c:pt idx="783">
                  <c:v>19469</c:v>
                </c:pt>
                <c:pt idx="784">
                  <c:v>19470</c:v>
                </c:pt>
                <c:pt idx="785">
                  <c:v>19471</c:v>
                </c:pt>
                <c:pt idx="786">
                  <c:v>19472</c:v>
                </c:pt>
                <c:pt idx="787">
                  <c:v>19473</c:v>
                </c:pt>
                <c:pt idx="788">
                  <c:v>19474</c:v>
                </c:pt>
                <c:pt idx="789">
                  <c:v>19475</c:v>
                </c:pt>
                <c:pt idx="790">
                  <c:v>19476</c:v>
                </c:pt>
                <c:pt idx="791">
                  <c:v>19477</c:v>
                </c:pt>
                <c:pt idx="792">
                  <c:v>19478</c:v>
                </c:pt>
                <c:pt idx="793">
                  <c:v>19479</c:v>
                </c:pt>
                <c:pt idx="794">
                  <c:v>19480</c:v>
                </c:pt>
                <c:pt idx="795">
                  <c:v>19481</c:v>
                </c:pt>
                <c:pt idx="796">
                  <c:v>19482</c:v>
                </c:pt>
                <c:pt idx="797">
                  <c:v>19483</c:v>
                </c:pt>
                <c:pt idx="798">
                  <c:v>19484</c:v>
                </c:pt>
                <c:pt idx="799">
                  <c:v>19485</c:v>
                </c:pt>
                <c:pt idx="800">
                  <c:v>19761</c:v>
                </c:pt>
                <c:pt idx="801">
                  <c:v>19762</c:v>
                </c:pt>
                <c:pt idx="802">
                  <c:v>19763</c:v>
                </c:pt>
                <c:pt idx="803">
                  <c:v>19764</c:v>
                </c:pt>
                <c:pt idx="804">
                  <c:v>19765</c:v>
                </c:pt>
                <c:pt idx="805">
                  <c:v>19766</c:v>
                </c:pt>
                <c:pt idx="806">
                  <c:v>19767</c:v>
                </c:pt>
                <c:pt idx="807">
                  <c:v>19768</c:v>
                </c:pt>
                <c:pt idx="808">
                  <c:v>19769</c:v>
                </c:pt>
                <c:pt idx="809">
                  <c:v>19770</c:v>
                </c:pt>
                <c:pt idx="810">
                  <c:v>19771</c:v>
                </c:pt>
                <c:pt idx="811">
                  <c:v>19772</c:v>
                </c:pt>
                <c:pt idx="812">
                  <c:v>19773</c:v>
                </c:pt>
                <c:pt idx="813">
                  <c:v>19774</c:v>
                </c:pt>
                <c:pt idx="814">
                  <c:v>19775</c:v>
                </c:pt>
                <c:pt idx="815">
                  <c:v>19776</c:v>
                </c:pt>
                <c:pt idx="816">
                  <c:v>19777</c:v>
                </c:pt>
                <c:pt idx="817">
                  <c:v>19778</c:v>
                </c:pt>
                <c:pt idx="818">
                  <c:v>19779</c:v>
                </c:pt>
                <c:pt idx="819">
                  <c:v>19780</c:v>
                </c:pt>
                <c:pt idx="820">
                  <c:v>20150</c:v>
                </c:pt>
                <c:pt idx="821">
                  <c:v>20151</c:v>
                </c:pt>
                <c:pt idx="822">
                  <c:v>20152</c:v>
                </c:pt>
                <c:pt idx="823">
                  <c:v>20153</c:v>
                </c:pt>
                <c:pt idx="824">
                  <c:v>20154</c:v>
                </c:pt>
                <c:pt idx="825">
                  <c:v>20155</c:v>
                </c:pt>
                <c:pt idx="826">
                  <c:v>20156</c:v>
                </c:pt>
                <c:pt idx="827">
                  <c:v>20157</c:v>
                </c:pt>
                <c:pt idx="828">
                  <c:v>20158</c:v>
                </c:pt>
                <c:pt idx="829">
                  <c:v>20159</c:v>
                </c:pt>
                <c:pt idx="830">
                  <c:v>20160</c:v>
                </c:pt>
                <c:pt idx="831">
                  <c:v>20161</c:v>
                </c:pt>
                <c:pt idx="832">
                  <c:v>20162</c:v>
                </c:pt>
                <c:pt idx="833">
                  <c:v>20163</c:v>
                </c:pt>
                <c:pt idx="834">
                  <c:v>20164</c:v>
                </c:pt>
                <c:pt idx="835">
                  <c:v>20165</c:v>
                </c:pt>
                <c:pt idx="836">
                  <c:v>20166</c:v>
                </c:pt>
                <c:pt idx="837">
                  <c:v>20167</c:v>
                </c:pt>
                <c:pt idx="838">
                  <c:v>20168</c:v>
                </c:pt>
                <c:pt idx="839">
                  <c:v>20169</c:v>
                </c:pt>
                <c:pt idx="840">
                  <c:v>20434</c:v>
                </c:pt>
                <c:pt idx="841">
                  <c:v>20435</c:v>
                </c:pt>
                <c:pt idx="842">
                  <c:v>20436</c:v>
                </c:pt>
                <c:pt idx="843">
                  <c:v>20437</c:v>
                </c:pt>
                <c:pt idx="844">
                  <c:v>20438</c:v>
                </c:pt>
                <c:pt idx="845">
                  <c:v>20439</c:v>
                </c:pt>
                <c:pt idx="846">
                  <c:v>20440</c:v>
                </c:pt>
                <c:pt idx="847">
                  <c:v>20441</c:v>
                </c:pt>
                <c:pt idx="848">
                  <c:v>20442</c:v>
                </c:pt>
                <c:pt idx="849">
                  <c:v>20443</c:v>
                </c:pt>
                <c:pt idx="850">
                  <c:v>20444</c:v>
                </c:pt>
                <c:pt idx="851">
                  <c:v>20445</c:v>
                </c:pt>
                <c:pt idx="852">
                  <c:v>20446</c:v>
                </c:pt>
                <c:pt idx="853">
                  <c:v>20447</c:v>
                </c:pt>
                <c:pt idx="854">
                  <c:v>20448</c:v>
                </c:pt>
                <c:pt idx="855">
                  <c:v>20449</c:v>
                </c:pt>
                <c:pt idx="856">
                  <c:v>20450</c:v>
                </c:pt>
                <c:pt idx="857">
                  <c:v>20451</c:v>
                </c:pt>
                <c:pt idx="858">
                  <c:v>20452</c:v>
                </c:pt>
                <c:pt idx="859">
                  <c:v>20453</c:v>
                </c:pt>
                <c:pt idx="860">
                  <c:v>20845</c:v>
                </c:pt>
                <c:pt idx="861">
                  <c:v>20846</c:v>
                </c:pt>
                <c:pt idx="862">
                  <c:v>20847</c:v>
                </c:pt>
                <c:pt idx="863">
                  <c:v>20848</c:v>
                </c:pt>
                <c:pt idx="864">
                  <c:v>20849</c:v>
                </c:pt>
                <c:pt idx="865">
                  <c:v>20850</c:v>
                </c:pt>
                <c:pt idx="866">
                  <c:v>20851</c:v>
                </c:pt>
                <c:pt idx="867">
                  <c:v>20852</c:v>
                </c:pt>
                <c:pt idx="868">
                  <c:v>20853</c:v>
                </c:pt>
                <c:pt idx="869">
                  <c:v>20854</c:v>
                </c:pt>
                <c:pt idx="870">
                  <c:v>20855</c:v>
                </c:pt>
                <c:pt idx="871">
                  <c:v>20856</c:v>
                </c:pt>
                <c:pt idx="872">
                  <c:v>20857</c:v>
                </c:pt>
                <c:pt idx="873">
                  <c:v>20858</c:v>
                </c:pt>
                <c:pt idx="874">
                  <c:v>20859</c:v>
                </c:pt>
                <c:pt idx="875">
                  <c:v>20860</c:v>
                </c:pt>
                <c:pt idx="876">
                  <c:v>20861</c:v>
                </c:pt>
                <c:pt idx="877">
                  <c:v>20862</c:v>
                </c:pt>
                <c:pt idx="878">
                  <c:v>20863</c:v>
                </c:pt>
                <c:pt idx="879">
                  <c:v>20864</c:v>
                </c:pt>
                <c:pt idx="880">
                  <c:v>21485</c:v>
                </c:pt>
                <c:pt idx="881">
                  <c:v>21486</c:v>
                </c:pt>
                <c:pt idx="882">
                  <c:v>21487</c:v>
                </c:pt>
                <c:pt idx="883">
                  <c:v>21488</c:v>
                </c:pt>
                <c:pt idx="884">
                  <c:v>21489</c:v>
                </c:pt>
                <c:pt idx="885">
                  <c:v>21490</c:v>
                </c:pt>
                <c:pt idx="886">
                  <c:v>21491</c:v>
                </c:pt>
                <c:pt idx="887">
                  <c:v>21492</c:v>
                </c:pt>
                <c:pt idx="888">
                  <c:v>21493</c:v>
                </c:pt>
                <c:pt idx="889">
                  <c:v>21494</c:v>
                </c:pt>
                <c:pt idx="890">
                  <c:v>21495</c:v>
                </c:pt>
                <c:pt idx="891">
                  <c:v>21496</c:v>
                </c:pt>
                <c:pt idx="892">
                  <c:v>21497</c:v>
                </c:pt>
                <c:pt idx="893">
                  <c:v>21498</c:v>
                </c:pt>
                <c:pt idx="894">
                  <c:v>21499</c:v>
                </c:pt>
                <c:pt idx="895">
                  <c:v>21500</c:v>
                </c:pt>
                <c:pt idx="896">
                  <c:v>21501</c:v>
                </c:pt>
                <c:pt idx="897">
                  <c:v>21502</c:v>
                </c:pt>
                <c:pt idx="898">
                  <c:v>21503</c:v>
                </c:pt>
                <c:pt idx="899">
                  <c:v>21504</c:v>
                </c:pt>
                <c:pt idx="900">
                  <c:v>21839</c:v>
                </c:pt>
                <c:pt idx="901">
                  <c:v>21840</c:v>
                </c:pt>
                <c:pt idx="902">
                  <c:v>21841</c:v>
                </c:pt>
                <c:pt idx="903">
                  <c:v>21842</c:v>
                </c:pt>
                <c:pt idx="904">
                  <c:v>21843</c:v>
                </c:pt>
                <c:pt idx="905">
                  <c:v>21844</c:v>
                </c:pt>
                <c:pt idx="906">
                  <c:v>21845</c:v>
                </c:pt>
                <c:pt idx="907">
                  <c:v>21846</c:v>
                </c:pt>
                <c:pt idx="908">
                  <c:v>21847</c:v>
                </c:pt>
                <c:pt idx="909">
                  <c:v>21848</c:v>
                </c:pt>
                <c:pt idx="910">
                  <c:v>21849</c:v>
                </c:pt>
                <c:pt idx="911">
                  <c:v>21850</c:v>
                </c:pt>
                <c:pt idx="912">
                  <c:v>21851</c:v>
                </c:pt>
                <c:pt idx="913">
                  <c:v>21852</c:v>
                </c:pt>
                <c:pt idx="914">
                  <c:v>21853</c:v>
                </c:pt>
                <c:pt idx="915">
                  <c:v>21854</c:v>
                </c:pt>
                <c:pt idx="916">
                  <c:v>21855</c:v>
                </c:pt>
                <c:pt idx="917">
                  <c:v>21856</c:v>
                </c:pt>
                <c:pt idx="918">
                  <c:v>21857</c:v>
                </c:pt>
                <c:pt idx="919">
                  <c:v>21858</c:v>
                </c:pt>
                <c:pt idx="920">
                  <c:v>22846</c:v>
                </c:pt>
                <c:pt idx="921">
                  <c:v>22847</c:v>
                </c:pt>
                <c:pt idx="922">
                  <c:v>22848</c:v>
                </c:pt>
                <c:pt idx="923">
                  <c:v>22849</c:v>
                </c:pt>
                <c:pt idx="924">
                  <c:v>22850</c:v>
                </c:pt>
                <c:pt idx="925">
                  <c:v>22851</c:v>
                </c:pt>
                <c:pt idx="926">
                  <c:v>22852</c:v>
                </c:pt>
                <c:pt idx="927">
                  <c:v>22853</c:v>
                </c:pt>
                <c:pt idx="928">
                  <c:v>22854</c:v>
                </c:pt>
                <c:pt idx="929">
                  <c:v>22855</c:v>
                </c:pt>
                <c:pt idx="930">
                  <c:v>22856</c:v>
                </c:pt>
                <c:pt idx="931">
                  <c:v>22857</c:v>
                </c:pt>
                <c:pt idx="932">
                  <c:v>22858</c:v>
                </c:pt>
                <c:pt idx="933">
                  <c:v>22859</c:v>
                </c:pt>
                <c:pt idx="934">
                  <c:v>22860</c:v>
                </c:pt>
                <c:pt idx="935">
                  <c:v>22861</c:v>
                </c:pt>
                <c:pt idx="936">
                  <c:v>22862</c:v>
                </c:pt>
                <c:pt idx="937">
                  <c:v>22863</c:v>
                </c:pt>
                <c:pt idx="938">
                  <c:v>22864</c:v>
                </c:pt>
                <c:pt idx="939">
                  <c:v>22865</c:v>
                </c:pt>
                <c:pt idx="940">
                  <c:v>23670</c:v>
                </c:pt>
                <c:pt idx="941">
                  <c:v>23671</c:v>
                </c:pt>
                <c:pt idx="942">
                  <c:v>23672</c:v>
                </c:pt>
                <c:pt idx="943">
                  <c:v>23673</c:v>
                </c:pt>
                <c:pt idx="944">
                  <c:v>23674</c:v>
                </c:pt>
                <c:pt idx="945">
                  <c:v>23675</c:v>
                </c:pt>
                <c:pt idx="946">
                  <c:v>23676</c:v>
                </c:pt>
                <c:pt idx="947">
                  <c:v>23677</c:v>
                </c:pt>
                <c:pt idx="948">
                  <c:v>23678</c:v>
                </c:pt>
                <c:pt idx="949">
                  <c:v>23679</c:v>
                </c:pt>
                <c:pt idx="950">
                  <c:v>23680</c:v>
                </c:pt>
                <c:pt idx="951">
                  <c:v>23681</c:v>
                </c:pt>
                <c:pt idx="952">
                  <c:v>23682</c:v>
                </c:pt>
                <c:pt idx="953">
                  <c:v>23683</c:v>
                </c:pt>
                <c:pt idx="954">
                  <c:v>23684</c:v>
                </c:pt>
                <c:pt idx="955">
                  <c:v>23685</c:v>
                </c:pt>
                <c:pt idx="956">
                  <c:v>23686</c:v>
                </c:pt>
                <c:pt idx="957">
                  <c:v>23687</c:v>
                </c:pt>
                <c:pt idx="958">
                  <c:v>23688</c:v>
                </c:pt>
                <c:pt idx="959">
                  <c:v>23689</c:v>
                </c:pt>
                <c:pt idx="960">
                  <c:v>23690</c:v>
                </c:pt>
                <c:pt idx="961">
                  <c:v>23691</c:v>
                </c:pt>
                <c:pt idx="962">
                  <c:v>23692</c:v>
                </c:pt>
                <c:pt idx="963">
                  <c:v>23693</c:v>
                </c:pt>
                <c:pt idx="964">
                  <c:v>23694</c:v>
                </c:pt>
                <c:pt idx="965">
                  <c:v>23695</c:v>
                </c:pt>
                <c:pt idx="966">
                  <c:v>23696</c:v>
                </c:pt>
                <c:pt idx="967">
                  <c:v>23697</c:v>
                </c:pt>
                <c:pt idx="968">
                  <c:v>23698</c:v>
                </c:pt>
                <c:pt idx="969">
                  <c:v>23699</c:v>
                </c:pt>
                <c:pt idx="970">
                  <c:v>23700</c:v>
                </c:pt>
                <c:pt idx="971">
                  <c:v>23701</c:v>
                </c:pt>
                <c:pt idx="972">
                  <c:v>23702</c:v>
                </c:pt>
                <c:pt idx="973">
                  <c:v>23703</c:v>
                </c:pt>
                <c:pt idx="974">
                  <c:v>23704</c:v>
                </c:pt>
                <c:pt idx="975">
                  <c:v>23705</c:v>
                </c:pt>
                <c:pt idx="976">
                  <c:v>23706</c:v>
                </c:pt>
                <c:pt idx="977">
                  <c:v>23707</c:v>
                </c:pt>
                <c:pt idx="978">
                  <c:v>23708</c:v>
                </c:pt>
                <c:pt idx="979">
                  <c:v>23709</c:v>
                </c:pt>
              </c:numCache>
            </c:numRef>
          </c:xVal>
          <c:yVal>
            <c:numRef>
              <c:f>'Interpolated Physical'!$L$2:$L$981</c:f>
              <c:numCache>
                <c:formatCode>General</c:formatCode>
                <c:ptCount val="980"/>
                <c:pt idx="0" formatCode="0.0000">
                  <c:v>2</c:v>
                </c:pt>
                <c:pt idx="260" formatCode="0.0000">
                  <c:v>5</c:v>
                </c:pt>
                <c:pt idx="520" formatCode="0.0000">
                  <c:v>4</c:v>
                </c:pt>
                <c:pt idx="740" formatCode="0.0000">
                  <c:v>4</c:v>
                </c:pt>
                <c:pt idx="800" formatCode="0.0000">
                  <c:v>3</c:v>
                </c:pt>
                <c:pt idx="920" formatCode="0.0000">
                  <c:v>5</c:v>
                </c:pt>
                <c:pt idx="979" formatCode="0.0000">
                  <c:v>7</c:v>
                </c:pt>
              </c:numCache>
            </c:numRef>
          </c:yVal>
          <c:smooth val="0"/>
          <c:extLst>
            <c:ext xmlns:c16="http://schemas.microsoft.com/office/drawing/2014/chart" uri="{C3380CC4-5D6E-409C-BE32-E72D297353CC}">
              <c16:uniqueId val="{00000001-CECA-4D1E-824B-51C9AA9F1DE2}"/>
            </c:ext>
          </c:extLst>
        </c:ser>
        <c:dLbls>
          <c:showLegendKey val="0"/>
          <c:showVal val="0"/>
          <c:showCatName val="0"/>
          <c:showSerName val="0"/>
          <c:showPercent val="0"/>
          <c:showBubbleSize val="0"/>
        </c:dLbls>
        <c:axId val="106302463"/>
        <c:axId val="106302047"/>
      </c:scatterChart>
      <c:valAx>
        <c:axId val="106302463"/>
        <c:scaling>
          <c:orientation val="minMax"/>
        </c:scaling>
        <c:delete val="0"/>
        <c:axPos val="b"/>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06302047"/>
        <c:crosses val="autoZero"/>
        <c:crossBetween val="midCat"/>
      </c:valAx>
      <c:valAx>
        <c:axId val="106302047"/>
        <c:scaling>
          <c:orientation val="minMax"/>
        </c:scaling>
        <c:delete val="0"/>
        <c:axPos val="l"/>
        <c:numFmt formatCode="0.00" sourceLinked="0"/>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06302463"/>
        <c:crosses val="autoZero"/>
        <c:crossBetween val="midCat"/>
      </c:valAx>
      <c:spPr>
        <a:noFill/>
        <a:ln w="3175">
          <a:solidFill>
            <a:schemeClr val="tx1"/>
          </a:solidFill>
        </a:ln>
        <a:effectLst/>
      </c:spPr>
    </c:plotArea>
    <c:legend>
      <c:legendPos val="r"/>
      <c:layout>
        <c:manualLayout>
          <c:xMode val="edge"/>
          <c:yMode val="edge"/>
          <c:x val="0.74305912326871237"/>
          <c:y val="0.73076721004802259"/>
          <c:w val="0.18795411891755873"/>
          <c:h val="0.14961021963103641"/>
        </c:manualLayout>
      </c:layout>
      <c:overlay val="1"/>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Garamond" panose="02020404030301010803" pitchFamily="18" charset="0"/>
        </a:defRPr>
      </a:pPr>
      <a:endParaRPr lang="sr-Latn-RS"/>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'Interpolated Physical'!$B$1</c:f>
              <c:strCache>
                <c:ptCount val="1"/>
                <c:pt idx="0">
                  <c:v>TAN</c:v>
                </c:pt>
              </c:strCache>
            </c:strRef>
          </c:tx>
          <c:spPr>
            <a:ln w="25400" cap="rnd">
              <a:noFill/>
              <a:round/>
            </a:ln>
            <a:effectLst/>
          </c:spPr>
          <c:marker>
            <c:symbol val="square"/>
            <c:size val="10"/>
            <c:spPr>
              <a:noFill/>
              <a:ln w="3175">
                <a:solidFill>
                  <a:srgbClr val="0000FF"/>
                </a:solidFill>
              </a:ln>
              <a:effectLst/>
            </c:spPr>
          </c:marker>
          <c:trendline>
            <c:spPr>
              <a:ln w="3175" cap="rnd">
                <a:solidFill>
                  <a:srgbClr val="FF0000"/>
                </a:solidFill>
                <a:prstDash val="lgDash"/>
              </a:ln>
              <a:effectLst/>
            </c:spPr>
            <c:trendlineType val="poly"/>
            <c:order val="3"/>
            <c:dispRSqr val="1"/>
            <c:dispEq val="1"/>
            <c:trendlineLbl>
              <c:layout>
                <c:manualLayout>
                  <c:x val="-1.025172653116283E-2"/>
                  <c:y val="8.3323465303599117E-2"/>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trendlineLbl>
          </c:trendline>
          <c:xVal>
            <c:numRef>
              <c:f>'Interpolated Physical'!$A$2:$A$981</c:f>
              <c:numCache>
                <c:formatCode>General</c:formatCode>
                <c:ptCount val="98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432</c:v>
                </c:pt>
                <c:pt idx="21">
                  <c:v>433</c:v>
                </c:pt>
                <c:pt idx="22">
                  <c:v>434</c:v>
                </c:pt>
                <c:pt idx="23">
                  <c:v>435</c:v>
                </c:pt>
                <c:pt idx="24">
                  <c:v>436</c:v>
                </c:pt>
                <c:pt idx="25">
                  <c:v>437</c:v>
                </c:pt>
                <c:pt idx="26">
                  <c:v>438</c:v>
                </c:pt>
                <c:pt idx="27">
                  <c:v>439</c:v>
                </c:pt>
                <c:pt idx="28">
                  <c:v>440</c:v>
                </c:pt>
                <c:pt idx="29">
                  <c:v>441</c:v>
                </c:pt>
                <c:pt idx="30">
                  <c:v>442</c:v>
                </c:pt>
                <c:pt idx="31">
                  <c:v>443</c:v>
                </c:pt>
                <c:pt idx="32">
                  <c:v>444</c:v>
                </c:pt>
                <c:pt idx="33">
                  <c:v>445</c:v>
                </c:pt>
                <c:pt idx="34">
                  <c:v>446</c:v>
                </c:pt>
                <c:pt idx="35">
                  <c:v>447</c:v>
                </c:pt>
                <c:pt idx="36">
                  <c:v>448</c:v>
                </c:pt>
                <c:pt idx="37">
                  <c:v>449</c:v>
                </c:pt>
                <c:pt idx="38">
                  <c:v>450</c:v>
                </c:pt>
                <c:pt idx="39">
                  <c:v>451</c:v>
                </c:pt>
                <c:pt idx="40">
                  <c:v>818</c:v>
                </c:pt>
                <c:pt idx="41">
                  <c:v>819</c:v>
                </c:pt>
                <c:pt idx="42">
                  <c:v>820</c:v>
                </c:pt>
                <c:pt idx="43">
                  <c:v>821</c:v>
                </c:pt>
                <c:pt idx="44">
                  <c:v>822</c:v>
                </c:pt>
                <c:pt idx="45">
                  <c:v>823</c:v>
                </c:pt>
                <c:pt idx="46">
                  <c:v>824</c:v>
                </c:pt>
                <c:pt idx="47">
                  <c:v>825</c:v>
                </c:pt>
                <c:pt idx="48">
                  <c:v>826</c:v>
                </c:pt>
                <c:pt idx="49">
                  <c:v>827</c:v>
                </c:pt>
                <c:pt idx="50">
                  <c:v>828</c:v>
                </c:pt>
                <c:pt idx="51">
                  <c:v>829</c:v>
                </c:pt>
                <c:pt idx="52">
                  <c:v>830</c:v>
                </c:pt>
                <c:pt idx="53">
                  <c:v>831</c:v>
                </c:pt>
                <c:pt idx="54">
                  <c:v>832</c:v>
                </c:pt>
                <c:pt idx="55">
                  <c:v>833</c:v>
                </c:pt>
                <c:pt idx="56">
                  <c:v>834</c:v>
                </c:pt>
                <c:pt idx="57">
                  <c:v>835</c:v>
                </c:pt>
                <c:pt idx="58">
                  <c:v>836</c:v>
                </c:pt>
                <c:pt idx="59">
                  <c:v>837</c:v>
                </c:pt>
                <c:pt idx="60">
                  <c:v>1057</c:v>
                </c:pt>
                <c:pt idx="61">
                  <c:v>1058</c:v>
                </c:pt>
                <c:pt idx="62">
                  <c:v>1059</c:v>
                </c:pt>
                <c:pt idx="63">
                  <c:v>1060</c:v>
                </c:pt>
                <c:pt idx="64">
                  <c:v>1061</c:v>
                </c:pt>
                <c:pt idx="65">
                  <c:v>1062</c:v>
                </c:pt>
                <c:pt idx="66">
                  <c:v>1063</c:v>
                </c:pt>
                <c:pt idx="67">
                  <c:v>1064</c:v>
                </c:pt>
                <c:pt idx="68">
                  <c:v>1065</c:v>
                </c:pt>
                <c:pt idx="69">
                  <c:v>1066</c:v>
                </c:pt>
                <c:pt idx="70">
                  <c:v>1067</c:v>
                </c:pt>
                <c:pt idx="71">
                  <c:v>1068</c:v>
                </c:pt>
                <c:pt idx="72">
                  <c:v>1069</c:v>
                </c:pt>
                <c:pt idx="73">
                  <c:v>1070</c:v>
                </c:pt>
                <c:pt idx="74">
                  <c:v>1071</c:v>
                </c:pt>
                <c:pt idx="75">
                  <c:v>1072</c:v>
                </c:pt>
                <c:pt idx="76">
                  <c:v>1073</c:v>
                </c:pt>
                <c:pt idx="77">
                  <c:v>1074</c:v>
                </c:pt>
                <c:pt idx="78">
                  <c:v>1075</c:v>
                </c:pt>
                <c:pt idx="79">
                  <c:v>1076</c:v>
                </c:pt>
                <c:pt idx="80">
                  <c:v>1407</c:v>
                </c:pt>
                <c:pt idx="81">
                  <c:v>1408</c:v>
                </c:pt>
                <c:pt idx="82">
                  <c:v>1409</c:v>
                </c:pt>
                <c:pt idx="83">
                  <c:v>1410</c:v>
                </c:pt>
                <c:pt idx="84">
                  <c:v>1411</c:v>
                </c:pt>
                <c:pt idx="85">
                  <c:v>1412</c:v>
                </c:pt>
                <c:pt idx="86">
                  <c:v>1413</c:v>
                </c:pt>
                <c:pt idx="87">
                  <c:v>1414</c:v>
                </c:pt>
                <c:pt idx="88">
                  <c:v>1415</c:v>
                </c:pt>
                <c:pt idx="89">
                  <c:v>1416</c:v>
                </c:pt>
                <c:pt idx="90">
                  <c:v>1417</c:v>
                </c:pt>
                <c:pt idx="91">
                  <c:v>1418</c:v>
                </c:pt>
                <c:pt idx="92">
                  <c:v>1419</c:v>
                </c:pt>
                <c:pt idx="93">
                  <c:v>1420</c:v>
                </c:pt>
                <c:pt idx="94">
                  <c:v>1421</c:v>
                </c:pt>
                <c:pt idx="95">
                  <c:v>1422</c:v>
                </c:pt>
                <c:pt idx="96">
                  <c:v>1423</c:v>
                </c:pt>
                <c:pt idx="97">
                  <c:v>1424</c:v>
                </c:pt>
                <c:pt idx="98">
                  <c:v>1425</c:v>
                </c:pt>
                <c:pt idx="99">
                  <c:v>1426</c:v>
                </c:pt>
                <c:pt idx="100">
                  <c:v>1618</c:v>
                </c:pt>
                <c:pt idx="101">
                  <c:v>1619</c:v>
                </c:pt>
                <c:pt idx="102">
                  <c:v>1620</c:v>
                </c:pt>
                <c:pt idx="103">
                  <c:v>1621</c:v>
                </c:pt>
                <c:pt idx="104">
                  <c:v>1622</c:v>
                </c:pt>
                <c:pt idx="105">
                  <c:v>1623</c:v>
                </c:pt>
                <c:pt idx="106">
                  <c:v>1624</c:v>
                </c:pt>
                <c:pt idx="107">
                  <c:v>1625</c:v>
                </c:pt>
                <c:pt idx="108">
                  <c:v>1626</c:v>
                </c:pt>
                <c:pt idx="109">
                  <c:v>1627</c:v>
                </c:pt>
                <c:pt idx="110">
                  <c:v>1628</c:v>
                </c:pt>
                <c:pt idx="111">
                  <c:v>1629</c:v>
                </c:pt>
                <c:pt idx="112">
                  <c:v>1630</c:v>
                </c:pt>
                <c:pt idx="113">
                  <c:v>1631</c:v>
                </c:pt>
                <c:pt idx="114">
                  <c:v>1632</c:v>
                </c:pt>
                <c:pt idx="115">
                  <c:v>1633</c:v>
                </c:pt>
                <c:pt idx="116">
                  <c:v>1634</c:v>
                </c:pt>
                <c:pt idx="117">
                  <c:v>1635</c:v>
                </c:pt>
                <c:pt idx="118">
                  <c:v>1636</c:v>
                </c:pt>
                <c:pt idx="119">
                  <c:v>1637</c:v>
                </c:pt>
                <c:pt idx="120">
                  <c:v>2039</c:v>
                </c:pt>
                <c:pt idx="121">
                  <c:v>2040</c:v>
                </c:pt>
                <c:pt idx="122">
                  <c:v>2041</c:v>
                </c:pt>
                <c:pt idx="123">
                  <c:v>2042</c:v>
                </c:pt>
                <c:pt idx="124">
                  <c:v>2043</c:v>
                </c:pt>
                <c:pt idx="125">
                  <c:v>2044</c:v>
                </c:pt>
                <c:pt idx="126">
                  <c:v>2045</c:v>
                </c:pt>
                <c:pt idx="127">
                  <c:v>2046</c:v>
                </c:pt>
                <c:pt idx="128">
                  <c:v>2047</c:v>
                </c:pt>
                <c:pt idx="129">
                  <c:v>2048</c:v>
                </c:pt>
                <c:pt idx="130">
                  <c:v>2049</c:v>
                </c:pt>
                <c:pt idx="131">
                  <c:v>2050</c:v>
                </c:pt>
                <c:pt idx="132">
                  <c:v>2051</c:v>
                </c:pt>
                <c:pt idx="133">
                  <c:v>2052</c:v>
                </c:pt>
                <c:pt idx="134">
                  <c:v>2053</c:v>
                </c:pt>
                <c:pt idx="135">
                  <c:v>2054</c:v>
                </c:pt>
                <c:pt idx="136">
                  <c:v>2055</c:v>
                </c:pt>
                <c:pt idx="137">
                  <c:v>2056</c:v>
                </c:pt>
                <c:pt idx="138">
                  <c:v>2057</c:v>
                </c:pt>
                <c:pt idx="139">
                  <c:v>2058</c:v>
                </c:pt>
                <c:pt idx="140">
                  <c:v>2897</c:v>
                </c:pt>
                <c:pt idx="141">
                  <c:v>2898</c:v>
                </c:pt>
                <c:pt idx="142">
                  <c:v>2899</c:v>
                </c:pt>
                <c:pt idx="143">
                  <c:v>2900</c:v>
                </c:pt>
                <c:pt idx="144">
                  <c:v>2901</c:v>
                </c:pt>
                <c:pt idx="145">
                  <c:v>2902</c:v>
                </c:pt>
                <c:pt idx="146">
                  <c:v>2903</c:v>
                </c:pt>
                <c:pt idx="147">
                  <c:v>2904</c:v>
                </c:pt>
                <c:pt idx="148">
                  <c:v>2905</c:v>
                </c:pt>
                <c:pt idx="149">
                  <c:v>2906</c:v>
                </c:pt>
                <c:pt idx="150">
                  <c:v>2907</c:v>
                </c:pt>
                <c:pt idx="151">
                  <c:v>2908</c:v>
                </c:pt>
                <c:pt idx="152">
                  <c:v>2909</c:v>
                </c:pt>
                <c:pt idx="153">
                  <c:v>2910</c:v>
                </c:pt>
                <c:pt idx="154">
                  <c:v>2911</c:v>
                </c:pt>
                <c:pt idx="155">
                  <c:v>2912</c:v>
                </c:pt>
                <c:pt idx="156">
                  <c:v>2913</c:v>
                </c:pt>
                <c:pt idx="157">
                  <c:v>2914</c:v>
                </c:pt>
                <c:pt idx="158">
                  <c:v>2915</c:v>
                </c:pt>
                <c:pt idx="159">
                  <c:v>2916</c:v>
                </c:pt>
                <c:pt idx="160">
                  <c:v>3257</c:v>
                </c:pt>
                <c:pt idx="161">
                  <c:v>3258</c:v>
                </c:pt>
                <c:pt idx="162">
                  <c:v>3259</c:v>
                </c:pt>
                <c:pt idx="163">
                  <c:v>3260</c:v>
                </c:pt>
                <c:pt idx="164">
                  <c:v>3261</c:v>
                </c:pt>
                <c:pt idx="165">
                  <c:v>3262</c:v>
                </c:pt>
                <c:pt idx="166">
                  <c:v>3263</c:v>
                </c:pt>
                <c:pt idx="167">
                  <c:v>3264</c:v>
                </c:pt>
                <c:pt idx="168">
                  <c:v>3265</c:v>
                </c:pt>
                <c:pt idx="169">
                  <c:v>3266</c:v>
                </c:pt>
                <c:pt idx="170">
                  <c:v>3267</c:v>
                </c:pt>
                <c:pt idx="171">
                  <c:v>3268</c:v>
                </c:pt>
                <c:pt idx="172">
                  <c:v>3269</c:v>
                </c:pt>
                <c:pt idx="173">
                  <c:v>3270</c:v>
                </c:pt>
                <c:pt idx="174">
                  <c:v>3271</c:v>
                </c:pt>
                <c:pt idx="175">
                  <c:v>3272</c:v>
                </c:pt>
                <c:pt idx="176">
                  <c:v>3273</c:v>
                </c:pt>
                <c:pt idx="177">
                  <c:v>3274</c:v>
                </c:pt>
                <c:pt idx="178">
                  <c:v>3275</c:v>
                </c:pt>
                <c:pt idx="179">
                  <c:v>3276</c:v>
                </c:pt>
                <c:pt idx="180">
                  <c:v>4443</c:v>
                </c:pt>
                <c:pt idx="181">
                  <c:v>4445</c:v>
                </c:pt>
                <c:pt idx="182">
                  <c:v>4446</c:v>
                </c:pt>
                <c:pt idx="183">
                  <c:v>4447</c:v>
                </c:pt>
                <c:pt idx="184">
                  <c:v>4448</c:v>
                </c:pt>
                <c:pt idx="185">
                  <c:v>4449</c:v>
                </c:pt>
                <c:pt idx="186">
                  <c:v>4450</c:v>
                </c:pt>
                <c:pt idx="187">
                  <c:v>4451</c:v>
                </c:pt>
                <c:pt idx="188">
                  <c:v>4452</c:v>
                </c:pt>
                <c:pt idx="189">
                  <c:v>4453</c:v>
                </c:pt>
                <c:pt idx="190">
                  <c:v>4454</c:v>
                </c:pt>
                <c:pt idx="191">
                  <c:v>4455</c:v>
                </c:pt>
                <c:pt idx="192">
                  <c:v>4456</c:v>
                </c:pt>
                <c:pt idx="193">
                  <c:v>4457</c:v>
                </c:pt>
                <c:pt idx="194">
                  <c:v>4458</c:v>
                </c:pt>
                <c:pt idx="195">
                  <c:v>4459</c:v>
                </c:pt>
                <c:pt idx="196">
                  <c:v>4460</c:v>
                </c:pt>
                <c:pt idx="197">
                  <c:v>4461</c:v>
                </c:pt>
                <c:pt idx="198">
                  <c:v>4462</c:v>
                </c:pt>
                <c:pt idx="199">
                  <c:v>4463</c:v>
                </c:pt>
                <c:pt idx="200">
                  <c:v>4740</c:v>
                </c:pt>
                <c:pt idx="201">
                  <c:v>4741</c:v>
                </c:pt>
                <c:pt idx="202">
                  <c:v>4742</c:v>
                </c:pt>
                <c:pt idx="203">
                  <c:v>4743</c:v>
                </c:pt>
                <c:pt idx="204">
                  <c:v>4744</c:v>
                </c:pt>
                <c:pt idx="205">
                  <c:v>4745</c:v>
                </c:pt>
                <c:pt idx="206">
                  <c:v>4746</c:v>
                </c:pt>
                <c:pt idx="207">
                  <c:v>4747</c:v>
                </c:pt>
                <c:pt idx="208">
                  <c:v>4748</c:v>
                </c:pt>
                <c:pt idx="209">
                  <c:v>4749</c:v>
                </c:pt>
                <c:pt idx="210">
                  <c:v>4750</c:v>
                </c:pt>
                <c:pt idx="211">
                  <c:v>4751</c:v>
                </c:pt>
                <c:pt idx="212">
                  <c:v>4752</c:v>
                </c:pt>
                <c:pt idx="213">
                  <c:v>4753</c:v>
                </c:pt>
                <c:pt idx="214">
                  <c:v>4754</c:v>
                </c:pt>
                <c:pt idx="215">
                  <c:v>4755</c:v>
                </c:pt>
                <c:pt idx="216">
                  <c:v>4756</c:v>
                </c:pt>
                <c:pt idx="217">
                  <c:v>4757</c:v>
                </c:pt>
                <c:pt idx="218">
                  <c:v>4758</c:v>
                </c:pt>
                <c:pt idx="219">
                  <c:v>4759</c:v>
                </c:pt>
                <c:pt idx="220">
                  <c:v>5191</c:v>
                </c:pt>
                <c:pt idx="221">
                  <c:v>5192</c:v>
                </c:pt>
                <c:pt idx="222">
                  <c:v>5193</c:v>
                </c:pt>
                <c:pt idx="223">
                  <c:v>5194</c:v>
                </c:pt>
                <c:pt idx="224">
                  <c:v>5195</c:v>
                </c:pt>
                <c:pt idx="225">
                  <c:v>5196</c:v>
                </c:pt>
                <c:pt idx="226">
                  <c:v>5197</c:v>
                </c:pt>
                <c:pt idx="227">
                  <c:v>5198</c:v>
                </c:pt>
                <c:pt idx="228">
                  <c:v>5199</c:v>
                </c:pt>
                <c:pt idx="229">
                  <c:v>5200</c:v>
                </c:pt>
                <c:pt idx="230">
                  <c:v>5201</c:v>
                </c:pt>
                <c:pt idx="231">
                  <c:v>5202</c:v>
                </c:pt>
                <c:pt idx="232">
                  <c:v>5203</c:v>
                </c:pt>
                <c:pt idx="233">
                  <c:v>5204</c:v>
                </c:pt>
                <c:pt idx="234">
                  <c:v>5205</c:v>
                </c:pt>
                <c:pt idx="235">
                  <c:v>5206</c:v>
                </c:pt>
                <c:pt idx="236">
                  <c:v>5207</c:v>
                </c:pt>
                <c:pt idx="237">
                  <c:v>5208</c:v>
                </c:pt>
                <c:pt idx="238">
                  <c:v>5209</c:v>
                </c:pt>
                <c:pt idx="239">
                  <c:v>5210</c:v>
                </c:pt>
                <c:pt idx="240">
                  <c:v>5544</c:v>
                </c:pt>
                <c:pt idx="241">
                  <c:v>5545</c:v>
                </c:pt>
                <c:pt idx="242">
                  <c:v>5546</c:v>
                </c:pt>
                <c:pt idx="243">
                  <c:v>5547</c:v>
                </c:pt>
                <c:pt idx="244">
                  <c:v>5548</c:v>
                </c:pt>
                <c:pt idx="245">
                  <c:v>5549</c:v>
                </c:pt>
                <c:pt idx="246">
                  <c:v>5550</c:v>
                </c:pt>
                <c:pt idx="247">
                  <c:v>5551</c:v>
                </c:pt>
                <c:pt idx="248">
                  <c:v>5552</c:v>
                </c:pt>
                <c:pt idx="249">
                  <c:v>5553</c:v>
                </c:pt>
                <c:pt idx="250">
                  <c:v>5554</c:v>
                </c:pt>
                <c:pt idx="251">
                  <c:v>5555</c:v>
                </c:pt>
                <c:pt idx="252">
                  <c:v>5556</c:v>
                </c:pt>
                <c:pt idx="253">
                  <c:v>5557</c:v>
                </c:pt>
                <c:pt idx="254">
                  <c:v>5558</c:v>
                </c:pt>
                <c:pt idx="255">
                  <c:v>5559</c:v>
                </c:pt>
                <c:pt idx="256">
                  <c:v>5560</c:v>
                </c:pt>
                <c:pt idx="257">
                  <c:v>5561</c:v>
                </c:pt>
                <c:pt idx="258">
                  <c:v>5562</c:v>
                </c:pt>
                <c:pt idx="259">
                  <c:v>5563</c:v>
                </c:pt>
                <c:pt idx="260">
                  <c:v>5915</c:v>
                </c:pt>
                <c:pt idx="261">
                  <c:v>5916</c:v>
                </c:pt>
                <c:pt idx="262">
                  <c:v>5917</c:v>
                </c:pt>
                <c:pt idx="263">
                  <c:v>5918</c:v>
                </c:pt>
                <c:pt idx="264">
                  <c:v>5919</c:v>
                </c:pt>
                <c:pt idx="265">
                  <c:v>5920</c:v>
                </c:pt>
                <c:pt idx="266">
                  <c:v>5921</c:v>
                </c:pt>
                <c:pt idx="267">
                  <c:v>5922</c:v>
                </c:pt>
                <c:pt idx="268">
                  <c:v>5923</c:v>
                </c:pt>
                <c:pt idx="269">
                  <c:v>5924</c:v>
                </c:pt>
                <c:pt idx="270">
                  <c:v>5925</c:v>
                </c:pt>
                <c:pt idx="271">
                  <c:v>5926</c:v>
                </c:pt>
                <c:pt idx="272">
                  <c:v>5927</c:v>
                </c:pt>
                <c:pt idx="273">
                  <c:v>5928</c:v>
                </c:pt>
                <c:pt idx="274">
                  <c:v>5929</c:v>
                </c:pt>
                <c:pt idx="275">
                  <c:v>5930</c:v>
                </c:pt>
                <c:pt idx="276">
                  <c:v>5931</c:v>
                </c:pt>
                <c:pt idx="277">
                  <c:v>5932</c:v>
                </c:pt>
                <c:pt idx="278">
                  <c:v>5933</c:v>
                </c:pt>
                <c:pt idx="279">
                  <c:v>5934</c:v>
                </c:pt>
                <c:pt idx="280">
                  <c:v>6137</c:v>
                </c:pt>
                <c:pt idx="281">
                  <c:v>6138</c:v>
                </c:pt>
                <c:pt idx="282">
                  <c:v>6139</c:v>
                </c:pt>
                <c:pt idx="283">
                  <c:v>6140</c:v>
                </c:pt>
                <c:pt idx="284">
                  <c:v>6141</c:v>
                </c:pt>
                <c:pt idx="285">
                  <c:v>6142</c:v>
                </c:pt>
                <c:pt idx="286">
                  <c:v>6143</c:v>
                </c:pt>
                <c:pt idx="287">
                  <c:v>6144</c:v>
                </c:pt>
                <c:pt idx="288">
                  <c:v>6145</c:v>
                </c:pt>
                <c:pt idx="289">
                  <c:v>6146</c:v>
                </c:pt>
                <c:pt idx="290">
                  <c:v>6147</c:v>
                </c:pt>
                <c:pt idx="291">
                  <c:v>6148</c:v>
                </c:pt>
                <c:pt idx="292">
                  <c:v>6149</c:v>
                </c:pt>
                <c:pt idx="293">
                  <c:v>6150</c:v>
                </c:pt>
                <c:pt idx="294">
                  <c:v>6151</c:v>
                </c:pt>
                <c:pt idx="295">
                  <c:v>6152</c:v>
                </c:pt>
                <c:pt idx="296">
                  <c:v>6153</c:v>
                </c:pt>
                <c:pt idx="297">
                  <c:v>6154</c:v>
                </c:pt>
                <c:pt idx="298">
                  <c:v>6155</c:v>
                </c:pt>
                <c:pt idx="299">
                  <c:v>6156</c:v>
                </c:pt>
                <c:pt idx="300">
                  <c:v>6600</c:v>
                </c:pt>
                <c:pt idx="301">
                  <c:v>6601</c:v>
                </c:pt>
                <c:pt idx="302">
                  <c:v>6602</c:v>
                </c:pt>
                <c:pt idx="303">
                  <c:v>6603</c:v>
                </c:pt>
                <c:pt idx="304">
                  <c:v>6604</c:v>
                </c:pt>
                <c:pt idx="305">
                  <c:v>6605</c:v>
                </c:pt>
                <c:pt idx="306">
                  <c:v>6606</c:v>
                </c:pt>
                <c:pt idx="307">
                  <c:v>6607</c:v>
                </c:pt>
                <c:pt idx="308">
                  <c:v>6608</c:v>
                </c:pt>
                <c:pt idx="309">
                  <c:v>6609</c:v>
                </c:pt>
                <c:pt idx="310">
                  <c:v>6610</c:v>
                </c:pt>
                <c:pt idx="311">
                  <c:v>6611</c:v>
                </c:pt>
                <c:pt idx="312">
                  <c:v>6612</c:v>
                </c:pt>
                <c:pt idx="313">
                  <c:v>6613</c:v>
                </c:pt>
                <c:pt idx="314">
                  <c:v>6614</c:v>
                </c:pt>
                <c:pt idx="315">
                  <c:v>6615</c:v>
                </c:pt>
                <c:pt idx="316">
                  <c:v>6616</c:v>
                </c:pt>
                <c:pt idx="317">
                  <c:v>6617</c:v>
                </c:pt>
                <c:pt idx="318">
                  <c:v>6618</c:v>
                </c:pt>
                <c:pt idx="319">
                  <c:v>6619</c:v>
                </c:pt>
                <c:pt idx="320">
                  <c:v>6823</c:v>
                </c:pt>
                <c:pt idx="321">
                  <c:v>6824</c:v>
                </c:pt>
                <c:pt idx="322">
                  <c:v>6825</c:v>
                </c:pt>
                <c:pt idx="323">
                  <c:v>6826</c:v>
                </c:pt>
                <c:pt idx="324">
                  <c:v>6827</c:v>
                </c:pt>
                <c:pt idx="325">
                  <c:v>6828</c:v>
                </c:pt>
                <c:pt idx="326">
                  <c:v>6829</c:v>
                </c:pt>
                <c:pt idx="327">
                  <c:v>6830</c:v>
                </c:pt>
                <c:pt idx="328">
                  <c:v>6831</c:v>
                </c:pt>
                <c:pt idx="329">
                  <c:v>6832</c:v>
                </c:pt>
                <c:pt idx="330">
                  <c:v>6833</c:v>
                </c:pt>
                <c:pt idx="331">
                  <c:v>6834</c:v>
                </c:pt>
                <c:pt idx="332">
                  <c:v>6835</c:v>
                </c:pt>
                <c:pt idx="333">
                  <c:v>6836</c:v>
                </c:pt>
                <c:pt idx="334">
                  <c:v>6837</c:v>
                </c:pt>
                <c:pt idx="335">
                  <c:v>6838</c:v>
                </c:pt>
                <c:pt idx="336">
                  <c:v>6839</c:v>
                </c:pt>
                <c:pt idx="337">
                  <c:v>6840</c:v>
                </c:pt>
                <c:pt idx="338">
                  <c:v>6841</c:v>
                </c:pt>
                <c:pt idx="339">
                  <c:v>6842</c:v>
                </c:pt>
                <c:pt idx="340">
                  <c:v>7090</c:v>
                </c:pt>
                <c:pt idx="341">
                  <c:v>7091</c:v>
                </c:pt>
                <c:pt idx="342">
                  <c:v>7092</c:v>
                </c:pt>
                <c:pt idx="343">
                  <c:v>7093</c:v>
                </c:pt>
                <c:pt idx="344">
                  <c:v>7094</c:v>
                </c:pt>
                <c:pt idx="345">
                  <c:v>7095</c:v>
                </c:pt>
                <c:pt idx="346">
                  <c:v>7096</c:v>
                </c:pt>
                <c:pt idx="347">
                  <c:v>7097</c:v>
                </c:pt>
                <c:pt idx="348">
                  <c:v>7098</c:v>
                </c:pt>
                <c:pt idx="349">
                  <c:v>7099</c:v>
                </c:pt>
                <c:pt idx="350">
                  <c:v>7100</c:v>
                </c:pt>
                <c:pt idx="351">
                  <c:v>7101</c:v>
                </c:pt>
                <c:pt idx="352">
                  <c:v>7102</c:v>
                </c:pt>
                <c:pt idx="353">
                  <c:v>7103</c:v>
                </c:pt>
                <c:pt idx="354">
                  <c:v>7104</c:v>
                </c:pt>
                <c:pt idx="355">
                  <c:v>7105</c:v>
                </c:pt>
                <c:pt idx="356">
                  <c:v>7106</c:v>
                </c:pt>
                <c:pt idx="357">
                  <c:v>7107</c:v>
                </c:pt>
                <c:pt idx="358">
                  <c:v>7108</c:v>
                </c:pt>
                <c:pt idx="359">
                  <c:v>7109</c:v>
                </c:pt>
                <c:pt idx="360">
                  <c:v>7413</c:v>
                </c:pt>
                <c:pt idx="361">
                  <c:v>7414</c:v>
                </c:pt>
                <c:pt idx="362">
                  <c:v>7415</c:v>
                </c:pt>
                <c:pt idx="363">
                  <c:v>7416</c:v>
                </c:pt>
                <c:pt idx="364">
                  <c:v>7417</c:v>
                </c:pt>
                <c:pt idx="365">
                  <c:v>7418</c:v>
                </c:pt>
                <c:pt idx="366">
                  <c:v>7419</c:v>
                </c:pt>
                <c:pt idx="367">
                  <c:v>7420</c:v>
                </c:pt>
                <c:pt idx="368">
                  <c:v>7421</c:v>
                </c:pt>
                <c:pt idx="369">
                  <c:v>7422</c:v>
                </c:pt>
                <c:pt idx="370">
                  <c:v>7423</c:v>
                </c:pt>
                <c:pt idx="371">
                  <c:v>7424</c:v>
                </c:pt>
                <c:pt idx="372">
                  <c:v>7425</c:v>
                </c:pt>
                <c:pt idx="373">
                  <c:v>7426</c:v>
                </c:pt>
                <c:pt idx="374">
                  <c:v>7427</c:v>
                </c:pt>
                <c:pt idx="375">
                  <c:v>7428</c:v>
                </c:pt>
                <c:pt idx="376">
                  <c:v>7429</c:v>
                </c:pt>
                <c:pt idx="377">
                  <c:v>7430</c:v>
                </c:pt>
                <c:pt idx="378">
                  <c:v>7431</c:v>
                </c:pt>
                <c:pt idx="379">
                  <c:v>7432</c:v>
                </c:pt>
                <c:pt idx="380">
                  <c:v>7931</c:v>
                </c:pt>
                <c:pt idx="381">
                  <c:v>7932</c:v>
                </c:pt>
                <c:pt idx="382">
                  <c:v>7933</c:v>
                </c:pt>
                <c:pt idx="383">
                  <c:v>7934</c:v>
                </c:pt>
                <c:pt idx="384">
                  <c:v>7935</c:v>
                </c:pt>
                <c:pt idx="385">
                  <c:v>7936</c:v>
                </c:pt>
                <c:pt idx="386">
                  <c:v>7937</c:v>
                </c:pt>
                <c:pt idx="387">
                  <c:v>7938</c:v>
                </c:pt>
                <c:pt idx="388">
                  <c:v>7939</c:v>
                </c:pt>
                <c:pt idx="389">
                  <c:v>7940</c:v>
                </c:pt>
                <c:pt idx="390">
                  <c:v>7941</c:v>
                </c:pt>
                <c:pt idx="391">
                  <c:v>7942</c:v>
                </c:pt>
                <c:pt idx="392">
                  <c:v>7943</c:v>
                </c:pt>
                <c:pt idx="393">
                  <c:v>7944</c:v>
                </c:pt>
                <c:pt idx="394">
                  <c:v>7945</c:v>
                </c:pt>
                <c:pt idx="395">
                  <c:v>7946</c:v>
                </c:pt>
                <c:pt idx="396">
                  <c:v>7947</c:v>
                </c:pt>
                <c:pt idx="397">
                  <c:v>7948</c:v>
                </c:pt>
                <c:pt idx="398">
                  <c:v>7949</c:v>
                </c:pt>
                <c:pt idx="399">
                  <c:v>7950</c:v>
                </c:pt>
                <c:pt idx="400">
                  <c:v>8361</c:v>
                </c:pt>
                <c:pt idx="401">
                  <c:v>8362</c:v>
                </c:pt>
                <c:pt idx="402">
                  <c:v>8363</c:v>
                </c:pt>
                <c:pt idx="403">
                  <c:v>8364</c:v>
                </c:pt>
                <c:pt idx="404">
                  <c:v>8365</c:v>
                </c:pt>
                <c:pt idx="405">
                  <c:v>8366</c:v>
                </c:pt>
                <c:pt idx="406">
                  <c:v>8367</c:v>
                </c:pt>
                <c:pt idx="407">
                  <c:v>8368</c:v>
                </c:pt>
                <c:pt idx="408">
                  <c:v>8369</c:v>
                </c:pt>
                <c:pt idx="409">
                  <c:v>8370</c:v>
                </c:pt>
                <c:pt idx="410">
                  <c:v>8371</c:v>
                </c:pt>
                <c:pt idx="411">
                  <c:v>8372</c:v>
                </c:pt>
                <c:pt idx="412">
                  <c:v>8373</c:v>
                </c:pt>
                <c:pt idx="413">
                  <c:v>8374</c:v>
                </c:pt>
                <c:pt idx="414">
                  <c:v>8375</c:v>
                </c:pt>
                <c:pt idx="415">
                  <c:v>8376</c:v>
                </c:pt>
                <c:pt idx="416">
                  <c:v>8377</c:v>
                </c:pt>
                <c:pt idx="417">
                  <c:v>8378</c:v>
                </c:pt>
                <c:pt idx="418">
                  <c:v>8379</c:v>
                </c:pt>
                <c:pt idx="419">
                  <c:v>8380</c:v>
                </c:pt>
                <c:pt idx="420">
                  <c:v>8679</c:v>
                </c:pt>
                <c:pt idx="421">
                  <c:v>8680</c:v>
                </c:pt>
                <c:pt idx="422">
                  <c:v>8681</c:v>
                </c:pt>
                <c:pt idx="423">
                  <c:v>8682</c:v>
                </c:pt>
                <c:pt idx="424">
                  <c:v>8683</c:v>
                </c:pt>
                <c:pt idx="425">
                  <c:v>8684</c:v>
                </c:pt>
                <c:pt idx="426">
                  <c:v>8685</c:v>
                </c:pt>
                <c:pt idx="427">
                  <c:v>8686</c:v>
                </c:pt>
                <c:pt idx="428">
                  <c:v>8687</c:v>
                </c:pt>
                <c:pt idx="429">
                  <c:v>8688</c:v>
                </c:pt>
                <c:pt idx="430">
                  <c:v>8689</c:v>
                </c:pt>
                <c:pt idx="431">
                  <c:v>8690</c:v>
                </c:pt>
                <c:pt idx="432">
                  <c:v>8691</c:v>
                </c:pt>
                <c:pt idx="433">
                  <c:v>8692</c:v>
                </c:pt>
                <c:pt idx="434">
                  <c:v>8693</c:v>
                </c:pt>
                <c:pt idx="435">
                  <c:v>8694</c:v>
                </c:pt>
                <c:pt idx="436">
                  <c:v>8695</c:v>
                </c:pt>
                <c:pt idx="437">
                  <c:v>8696</c:v>
                </c:pt>
                <c:pt idx="438">
                  <c:v>8697</c:v>
                </c:pt>
                <c:pt idx="439">
                  <c:v>8698</c:v>
                </c:pt>
                <c:pt idx="440">
                  <c:v>9074</c:v>
                </c:pt>
                <c:pt idx="441">
                  <c:v>9075</c:v>
                </c:pt>
                <c:pt idx="442">
                  <c:v>9076</c:v>
                </c:pt>
                <c:pt idx="443">
                  <c:v>9077</c:v>
                </c:pt>
                <c:pt idx="444">
                  <c:v>9078</c:v>
                </c:pt>
                <c:pt idx="445">
                  <c:v>9079</c:v>
                </c:pt>
                <c:pt idx="446">
                  <c:v>9080</c:v>
                </c:pt>
                <c:pt idx="447">
                  <c:v>9081</c:v>
                </c:pt>
                <c:pt idx="448">
                  <c:v>9082</c:v>
                </c:pt>
                <c:pt idx="449">
                  <c:v>9083</c:v>
                </c:pt>
                <c:pt idx="450">
                  <c:v>9084</c:v>
                </c:pt>
                <c:pt idx="451">
                  <c:v>9085</c:v>
                </c:pt>
                <c:pt idx="452">
                  <c:v>9086</c:v>
                </c:pt>
                <c:pt idx="453">
                  <c:v>9087</c:v>
                </c:pt>
                <c:pt idx="454">
                  <c:v>9088</c:v>
                </c:pt>
                <c:pt idx="455">
                  <c:v>9089</c:v>
                </c:pt>
                <c:pt idx="456">
                  <c:v>9090</c:v>
                </c:pt>
                <c:pt idx="457">
                  <c:v>9091</c:v>
                </c:pt>
                <c:pt idx="458">
                  <c:v>9092</c:v>
                </c:pt>
                <c:pt idx="459">
                  <c:v>9093</c:v>
                </c:pt>
                <c:pt idx="460">
                  <c:v>9304</c:v>
                </c:pt>
                <c:pt idx="461">
                  <c:v>9305</c:v>
                </c:pt>
                <c:pt idx="462">
                  <c:v>9306</c:v>
                </c:pt>
                <c:pt idx="463">
                  <c:v>9307</c:v>
                </c:pt>
                <c:pt idx="464">
                  <c:v>9308</c:v>
                </c:pt>
                <c:pt idx="465">
                  <c:v>9309</c:v>
                </c:pt>
                <c:pt idx="466">
                  <c:v>9310</c:v>
                </c:pt>
                <c:pt idx="467">
                  <c:v>9311</c:v>
                </c:pt>
                <c:pt idx="468">
                  <c:v>9312</c:v>
                </c:pt>
                <c:pt idx="469">
                  <c:v>9313</c:v>
                </c:pt>
                <c:pt idx="470">
                  <c:v>9314</c:v>
                </c:pt>
                <c:pt idx="471">
                  <c:v>9315</c:v>
                </c:pt>
                <c:pt idx="472">
                  <c:v>9316</c:v>
                </c:pt>
                <c:pt idx="473">
                  <c:v>9317</c:v>
                </c:pt>
                <c:pt idx="474">
                  <c:v>9318</c:v>
                </c:pt>
                <c:pt idx="475">
                  <c:v>9319</c:v>
                </c:pt>
                <c:pt idx="476">
                  <c:v>9320</c:v>
                </c:pt>
                <c:pt idx="477">
                  <c:v>9321</c:v>
                </c:pt>
                <c:pt idx="478">
                  <c:v>9322</c:v>
                </c:pt>
                <c:pt idx="479">
                  <c:v>9323</c:v>
                </c:pt>
                <c:pt idx="480">
                  <c:v>9774</c:v>
                </c:pt>
                <c:pt idx="481">
                  <c:v>9775</c:v>
                </c:pt>
                <c:pt idx="482">
                  <c:v>9776</c:v>
                </c:pt>
                <c:pt idx="483">
                  <c:v>9777</c:v>
                </c:pt>
                <c:pt idx="484">
                  <c:v>9778</c:v>
                </c:pt>
                <c:pt idx="485">
                  <c:v>9779</c:v>
                </c:pt>
                <c:pt idx="486">
                  <c:v>9780</c:v>
                </c:pt>
                <c:pt idx="487">
                  <c:v>9781</c:v>
                </c:pt>
                <c:pt idx="488">
                  <c:v>9782</c:v>
                </c:pt>
                <c:pt idx="489">
                  <c:v>9783</c:v>
                </c:pt>
                <c:pt idx="490">
                  <c:v>9784</c:v>
                </c:pt>
                <c:pt idx="491">
                  <c:v>9785</c:v>
                </c:pt>
                <c:pt idx="492">
                  <c:v>9786</c:v>
                </c:pt>
                <c:pt idx="493">
                  <c:v>9787</c:v>
                </c:pt>
                <c:pt idx="494">
                  <c:v>9788</c:v>
                </c:pt>
                <c:pt idx="495">
                  <c:v>9789</c:v>
                </c:pt>
                <c:pt idx="496">
                  <c:v>9790</c:v>
                </c:pt>
                <c:pt idx="497">
                  <c:v>9791</c:v>
                </c:pt>
                <c:pt idx="498">
                  <c:v>9792</c:v>
                </c:pt>
                <c:pt idx="499">
                  <c:v>9793</c:v>
                </c:pt>
                <c:pt idx="500">
                  <c:v>10014</c:v>
                </c:pt>
                <c:pt idx="501">
                  <c:v>10015</c:v>
                </c:pt>
                <c:pt idx="502">
                  <c:v>10016</c:v>
                </c:pt>
                <c:pt idx="503">
                  <c:v>10017</c:v>
                </c:pt>
                <c:pt idx="504">
                  <c:v>10018</c:v>
                </c:pt>
                <c:pt idx="505">
                  <c:v>10019</c:v>
                </c:pt>
                <c:pt idx="506">
                  <c:v>10020</c:v>
                </c:pt>
                <c:pt idx="507">
                  <c:v>10021</c:v>
                </c:pt>
                <c:pt idx="508">
                  <c:v>10022</c:v>
                </c:pt>
                <c:pt idx="509">
                  <c:v>10023</c:v>
                </c:pt>
                <c:pt idx="510">
                  <c:v>10024</c:v>
                </c:pt>
                <c:pt idx="511">
                  <c:v>10025</c:v>
                </c:pt>
                <c:pt idx="512">
                  <c:v>10026</c:v>
                </c:pt>
                <c:pt idx="513">
                  <c:v>10027</c:v>
                </c:pt>
                <c:pt idx="514">
                  <c:v>10028</c:v>
                </c:pt>
                <c:pt idx="515">
                  <c:v>10029</c:v>
                </c:pt>
                <c:pt idx="516">
                  <c:v>10030</c:v>
                </c:pt>
                <c:pt idx="517">
                  <c:v>10031</c:v>
                </c:pt>
                <c:pt idx="518">
                  <c:v>10032</c:v>
                </c:pt>
                <c:pt idx="519">
                  <c:v>10033</c:v>
                </c:pt>
                <c:pt idx="520">
                  <c:v>11975</c:v>
                </c:pt>
                <c:pt idx="521">
                  <c:v>11976</c:v>
                </c:pt>
                <c:pt idx="522">
                  <c:v>11977</c:v>
                </c:pt>
                <c:pt idx="523">
                  <c:v>11978</c:v>
                </c:pt>
                <c:pt idx="524">
                  <c:v>11979</c:v>
                </c:pt>
                <c:pt idx="525">
                  <c:v>11980</c:v>
                </c:pt>
                <c:pt idx="526">
                  <c:v>11981</c:v>
                </c:pt>
                <c:pt idx="527">
                  <c:v>11982</c:v>
                </c:pt>
                <c:pt idx="528">
                  <c:v>11983</c:v>
                </c:pt>
                <c:pt idx="529">
                  <c:v>11984</c:v>
                </c:pt>
                <c:pt idx="530">
                  <c:v>11985</c:v>
                </c:pt>
                <c:pt idx="531">
                  <c:v>11986</c:v>
                </c:pt>
                <c:pt idx="532">
                  <c:v>11987</c:v>
                </c:pt>
                <c:pt idx="533">
                  <c:v>11988</c:v>
                </c:pt>
                <c:pt idx="534">
                  <c:v>11989</c:v>
                </c:pt>
                <c:pt idx="535">
                  <c:v>11990</c:v>
                </c:pt>
                <c:pt idx="536">
                  <c:v>11991</c:v>
                </c:pt>
                <c:pt idx="537">
                  <c:v>11992</c:v>
                </c:pt>
                <c:pt idx="538">
                  <c:v>11993</c:v>
                </c:pt>
                <c:pt idx="539">
                  <c:v>11994</c:v>
                </c:pt>
                <c:pt idx="540">
                  <c:v>12381</c:v>
                </c:pt>
                <c:pt idx="541">
                  <c:v>12382</c:v>
                </c:pt>
                <c:pt idx="542">
                  <c:v>12383</c:v>
                </c:pt>
                <c:pt idx="543">
                  <c:v>12384</c:v>
                </c:pt>
                <c:pt idx="544">
                  <c:v>12385</c:v>
                </c:pt>
                <c:pt idx="545">
                  <c:v>12386</c:v>
                </c:pt>
                <c:pt idx="546">
                  <c:v>12387</c:v>
                </c:pt>
                <c:pt idx="547">
                  <c:v>12388</c:v>
                </c:pt>
                <c:pt idx="548">
                  <c:v>12389</c:v>
                </c:pt>
                <c:pt idx="549">
                  <c:v>12390</c:v>
                </c:pt>
                <c:pt idx="550">
                  <c:v>12391</c:v>
                </c:pt>
                <c:pt idx="551">
                  <c:v>12392</c:v>
                </c:pt>
                <c:pt idx="552">
                  <c:v>12393</c:v>
                </c:pt>
                <c:pt idx="553">
                  <c:v>12394</c:v>
                </c:pt>
                <c:pt idx="554">
                  <c:v>12395</c:v>
                </c:pt>
                <c:pt idx="555">
                  <c:v>12396</c:v>
                </c:pt>
                <c:pt idx="556">
                  <c:v>12397</c:v>
                </c:pt>
                <c:pt idx="557">
                  <c:v>12398</c:v>
                </c:pt>
                <c:pt idx="558">
                  <c:v>12399</c:v>
                </c:pt>
                <c:pt idx="559">
                  <c:v>12400</c:v>
                </c:pt>
                <c:pt idx="560">
                  <c:v>12432</c:v>
                </c:pt>
                <c:pt idx="561">
                  <c:v>12433</c:v>
                </c:pt>
                <c:pt idx="562">
                  <c:v>12434</c:v>
                </c:pt>
                <c:pt idx="563">
                  <c:v>12435</c:v>
                </c:pt>
                <c:pt idx="564">
                  <c:v>12436</c:v>
                </c:pt>
                <c:pt idx="565">
                  <c:v>12437</c:v>
                </c:pt>
                <c:pt idx="566">
                  <c:v>12438</c:v>
                </c:pt>
                <c:pt idx="567">
                  <c:v>12439</c:v>
                </c:pt>
                <c:pt idx="568">
                  <c:v>12440</c:v>
                </c:pt>
                <c:pt idx="569">
                  <c:v>12441</c:v>
                </c:pt>
                <c:pt idx="570">
                  <c:v>12442</c:v>
                </c:pt>
                <c:pt idx="571">
                  <c:v>12443</c:v>
                </c:pt>
                <c:pt idx="572">
                  <c:v>12444</c:v>
                </c:pt>
                <c:pt idx="573">
                  <c:v>12445</c:v>
                </c:pt>
                <c:pt idx="574">
                  <c:v>12446</c:v>
                </c:pt>
                <c:pt idx="575">
                  <c:v>12447</c:v>
                </c:pt>
                <c:pt idx="576">
                  <c:v>12448</c:v>
                </c:pt>
                <c:pt idx="577">
                  <c:v>12449</c:v>
                </c:pt>
                <c:pt idx="578">
                  <c:v>12450</c:v>
                </c:pt>
                <c:pt idx="579">
                  <c:v>12451</c:v>
                </c:pt>
                <c:pt idx="580">
                  <c:v>12951</c:v>
                </c:pt>
                <c:pt idx="581">
                  <c:v>12952</c:v>
                </c:pt>
                <c:pt idx="582">
                  <c:v>12953</c:v>
                </c:pt>
                <c:pt idx="583">
                  <c:v>12954</c:v>
                </c:pt>
                <c:pt idx="584">
                  <c:v>12955</c:v>
                </c:pt>
                <c:pt idx="585">
                  <c:v>12956</c:v>
                </c:pt>
                <c:pt idx="586">
                  <c:v>12957</c:v>
                </c:pt>
                <c:pt idx="587">
                  <c:v>12958</c:v>
                </c:pt>
                <c:pt idx="588">
                  <c:v>12959</c:v>
                </c:pt>
                <c:pt idx="589">
                  <c:v>12960</c:v>
                </c:pt>
                <c:pt idx="590">
                  <c:v>12961</c:v>
                </c:pt>
                <c:pt idx="591">
                  <c:v>12962</c:v>
                </c:pt>
                <c:pt idx="592">
                  <c:v>12963</c:v>
                </c:pt>
                <c:pt idx="593">
                  <c:v>12964</c:v>
                </c:pt>
                <c:pt idx="594">
                  <c:v>12965</c:v>
                </c:pt>
                <c:pt idx="595">
                  <c:v>12966</c:v>
                </c:pt>
                <c:pt idx="596">
                  <c:v>12967</c:v>
                </c:pt>
                <c:pt idx="597">
                  <c:v>12968</c:v>
                </c:pt>
                <c:pt idx="598">
                  <c:v>12969</c:v>
                </c:pt>
                <c:pt idx="599">
                  <c:v>12970</c:v>
                </c:pt>
                <c:pt idx="600">
                  <c:v>13232</c:v>
                </c:pt>
                <c:pt idx="601">
                  <c:v>13233</c:v>
                </c:pt>
                <c:pt idx="602">
                  <c:v>13234</c:v>
                </c:pt>
                <c:pt idx="603">
                  <c:v>13235</c:v>
                </c:pt>
                <c:pt idx="604">
                  <c:v>13236</c:v>
                </c:pt>
                <c:pt idx="605">
                  <c:v>13237</c:v>
                </c:pt>
                <c:pt idx="606">
                  <c:v>13238</c:v>
                </c:pt>
                <c:pt idx="607">
                  <c:v>13239</c:v>
                </c:pt>
                <c:pt idx="608">
                  <c:v>13240</c:v>
                </c:pt>
                <c:pt idx="609">
                  <c:v>13241</c:v>
                </c:pt>
                <c:pt idx="610">
                  <c:v>13242</c:v>
                </c:pt>
                <c:pt idx="611">
                  <c:v>13243</c:v>
                </c:pt>
                <c:pt idx="612">
                  <c:v>13244</c:v>
                </c:pt>
                <c:pt idx="613">
                  <c:v>13245</c:v>
                </c:pt>
                <c:pt idx="614">
                  <c:v>13246</c:v>
                </c:pt>
                <c:pt idx="615">
                  <c:v>13247</c:v>
                </c:pt>
                <c:pt idx="616">
                  <c:v>13248</c:v>
                </c:pt>
                <c:pt idx="617">
                  <c:v>13249</c:v>
                </c:pt>
                <c:pt idx="618">
                  <c:v>13250</c:v>
                </c:pt>
                <c:pt idx="619">
                  <c:v>13251</c:v>
                </c:pt>
                <c:pt idx="620">
                  <c:v>13760</c:v>
                </c:pt>
                <c:pt idx="621">
                  <c:v>13761</c:v>
                </c:pt>
                <c:pt idx="622">
                  <c:v>13762</c:v>
                </c:pt>
                <c:pt idx="623">
                  <c:v>13763</c:v>
                </c:pt>
                <c:pt idx="624">
                  <c:v>13764</c:v>
                </c:pt>
                <c:pt idx="625">
                  <c:v>13765</c:v>
                </c:pt>
                <c:pt idx="626">
                  <c:v>13766</c:v>
                </c:pt>
                <c:pt idx="627">
                  <c:v>13767</c:v>
                </c:pt>
                <c:pt idx="628">
                  <c:v>13768</c:v>
                </c:pt>
                <c:pt idx="629">
                  <c:v>13769</c:v>
                </c:pt>
                <c:pt idx="630">
                  <c:v>13770</c:v>
                </c:pt>
                <c:pt idx="631">
                  <c:v>13771</c:v>
                </c:pt>
                <c:pt idx="632">
                  <c:v>13772</c:v>
                </c:pt>
                <c:pt idx="633">
                  <c:v>13773</c:v>
                </c:pt>
                <c:pt idx="634">
                  <c:v>13774</c:v>
                </c:pt>
                <c:pt idx="635">
                  <c:v>13775</c:v>
                </c:pt>
                <c:pt idx="636">
                  <c:v>13776</c:v>
                </c:pt>
                <c:pt idx="637">
                  <c:v>13777</c:v>
                </c:pt>
                <c:pt idx="638">
                  <c:v>13778</c:v>
                </c:pt>
                <c:pt idx="639">
                  <c:v>13779</c:v>
                </c:pt>
                <c:pt idx="640">
                  <c:v>14021</c:v>
                </c:pt>
                <c:pt idx="641">
                  <c:v>14022</c:v>
                </c:pt>
                <c:pt idx="642">
                  <c:v>14023</c:v>
                </c:pt>
                <c:pt idx="643">
                  <c:v>14024</c:v>
                </c:pt>
                <c:pt idx="644">
                  <c:v>14025</c:v>
                </c:pt>
                <c:pt idx="645">
                  <c:v>14026</c:v>
                </c:pt>
                <c:pt idx="646">
                  <c:v>14027</c:v>
                </c:pt>
                <c:pt idx="647">
                  <c:v>14028</c:v>
                </c:pt>
                <c:pt idx="648">
                  <c:v>14029</c:v>
                </c:pt>
                <c:pt idx="649">
                  <c:v>14030</c:v>
                </c:pt>
                <c:pt idx="650">
                  <c:v>14031</c:v>
                </c:pt>
                <c:pt idx="651">
                  <c:v>14032</c:v>
                </c:pt>
                <c:pt idx="652">
                  <c:v>14033</c:v>
                </c:pt>
                <c:pt idx="653">
                  <c:v>14034</c:v>
                </c:pt>
                <c:pt idx="654">
                  <c:v>14035</c:v>
                </c:pt>
                <c:pt idx="655">
                  <c:v>14036</c:v>
                </c:pt>
                <c:pt idx="656">
                  <c:v>14037</c:v>
                </c:pt>
                <c:pt idx="657">
                  <c:v>14038</c:v>
                </c:pt>
                <c:pt idx="658">
                  <c:v>14039</c:v>
                </c:pt>
                <c:pt idx="659">
                  <c:v>14040</c:v>
                </c:pt>
                <c:pt idx="660">
                  <c:v>14547</c:v>
                </c:pt>
                <c:pt idx="661">
                  <c:v>14548</c:v>
                </c:pt>
                <c:pt idx="662">
                  <c:v>14549</c:v>
                </c:pt>
                <c:pt idx="663">
                  <c:v>14550</c:v>
                </c:pt>
                <c:pt idx="664">
                  <c:v>14551</c:v>
                </c:pt>
                <c:pt idx="665">
                  <c:v>14552</c:v>
                </c:pt>
                <c:pt idx="666">
                  <c:v>14553</c:v>
                </c:pt>
                <c:pt idx="667">
                  <c:v>14554</c:v>
                </c:pt>
                <c:pt idx="668">
                  <c:v>14555</c:v>
                </c:pt>
                <c:pt idx="669">
                  <c:v>14556</c:v>
                </c:pt>
                <c:pt idx="670">
                  <c:v>14557</c:v>
                </c:pt>
                <c:pt idx="671">
                  <c:v>14558</c:v>
                </c:pt>
                <c:pt idx="672">
                  <c:v>14559</c:v>
                </c:pt>
                <c:pt idx="673">
                  <c:v>14560</c:v>
                </c:pt>
                <c:pt idx="674">
                  <c:v>14561</c:v>
                </c:pt>
                <c:pt idx="675">
                  <c:v>14562</c:v>
                </c:pt>
                <c:pt idx="676">
                  <c:v>14563</c:v>
                </c:pt>
                <c:pt idx="677">
                  <c:v>14564</c:v>
                </c:pt>
                <c:pt idx="678">
                  <c:v>14565</c:v>
                </c:pt>
                <c:pt idx="679">
                  <c:v>14566</c:v>
                </c:pt>
                <c:pt idx="680">
                  <c:v>14901</c:v>
                </c:pt>
                <c:pt idx="681">
                  <c:v>14902</c:v>
                </c:pt>
                <c:pt idx="682">
                  <c:v>14903</c:v>
                </c:pt>
                <c:pt idx="683">
                  <c:v>14904</c:v>
                </c:pt>
                <c:pt idx="684">
                  <c:v>14905</c:v>
                </c:pt>
                <c:pt idx="685">
                  <c:v>14906</c:v>
                </c:pt>
                <c:pt idx="686">
                  <c:v>14907</c:v>
                </c:pt>
                <c:pt idx="687">
                  <c:v>14908</c:v>
                </c:pt>
                <c:pt idx="688">
                  <c:v>14909</c:v>
                </c:pt>
                <c:pt idx="689">
                  <c:v>14910</c:v>
                </c:pt>
                <c:pt idx="690">
                  <c:v>14911</c:v>
                </c:pt>
                <c:pt idx="691">
                  <c:v>14912</c:v>
                </c:pt>
                <c:pt idx="692">
                  <c:v>14913</c:v>
                </c:pt>
                <c:pt idx="693">
                  <c:v>14914</c:v>
                </c:pt>
                <c:pt idx="694">
                  <c:v>14915</c:v>
                </c:pt>
                <c:pt idx="695">
                  <c:v>14916</c:v>
                </c:pt>
                <c:pt idx="696">
                  <c:v>14917</c:v>
                </c:pt>
                <c:pt idx="697">
                  <c:v>14918</c:v>
                </c:pt>
                <c:pt idx="698">
                  <c:v>14919</c:v>
                </c:pt>
                <c:pt idx="699">
                  <c:v>14920</c:v>
                </c:pt>
                <c:pt idx="700">
                  <c:v>15256</c:v>
                </c:pt>
                <c:pt idx="701">
                  <c:v>15257</c:v>
                </c:pt>
                <c:pt idx="702">
                  <c:v>15258</c:v>
                </c:pt>
                <c:pt idx="703">
                  <c:v>15259</c:v>
                </c:pt>
                <c:pt idx="704">
                  <c:v>15260</c:v>
                </c:pt>
                <c:pt idx="705">
                  <c:v>15261</c:v>
                </c:pt>
                <c:pt idx="706">
                  <c:v>15262</c:v>
                </c:pt>
                <c:pt idx="707">
                  <c:v>15263</c:v>
                </c:pt>
                <c:pt idx="708">
                  <c:v>15264</c:v>
                </c:pt>
                <c:pt idx="709">
                  <c:v>15265</c:v>
                </c:pt>
                <c:pt idx="710">
                  <c:v>15266</c:v>
                </c:pt>
                <c:pt idx="711">
                  <c:v>15267</c:v>
                </c:pt>
                <c:pt idx="712">
                  <c:v>15268</c:v>
                </c:pt>
                <c:pt idx="713">
                  <c:v>15269</c:v>
                </c:pt>
                <c:pt idx="714">
                  <c:v>15270</c:v>
                </c:pt>
                <c:pt idx="715">
                  <c:v>15271</c:v>
                </c:pt>
                <c:pt idx="716">
                  <c:v>15272</c:v>
                </c:pt>
                <c:pt idx="717">
                  <c:v>15273</c:v>
                </c:pt>
                <c:pt idx="718">
                  <c:v>15274</c:v>
                </c:pt>
                <c:pt idx="719">
                  <c:v>15275</c:v>
                </c:pt>
                <c:pt idx="720">
                  <c:v>15636</c:v>
                </c:pt>
                <c:pt idx="721">
                  <c:v>15637</c:v>
                </c:pt>
                <c:pt idx="722">
                  <c:v>15638</c:v>
                </c:pt>
                <c:pt idx="723">
                  <c:v>15639</c:v>
                </c:pt>
                <c:pt idx="724">
                  <c:v>15640</c:v>
                </c:pt>
                <c:pt idx="725">
                  <c:v>15641</c:v>
                </c:pt>
                <c:pt idx="726">
                  <c:v>15642</c:v>
                </c:pt>
                <c:pt idx="727">
                  <c:v>15643</c:v>
                </c:pt>
                <c:pt idx="728">
                  <c:v>15644</c:v>
                </c:pt>
                <c:pt idx="729">
                  <c:v>15645</c:v>
                </c:pt>
                <c:pt idx="730">
                  <c:v>15646</c:v>
                </c:pt>
                <c:pt idx="731">
                  <c:v>15647</c:v>
                </c:pt>
                <c:pt idx="732">
                  <c:v>15648</c:v>
                </c:pt>
                <c:pt idx="733">
                  <c:v>15649</c:v>
                </c:pt>
                <c:pt idx="734">
                  <c:v>15650</c:v>
                </c:pt>
                <c:pt idx="735">
                  <c:v>15651</c:v>
                </c:pt>
                <c:pt idx="736">
                  <c:v>15652</c:v>
                </c:pt>
                <c:pt idx="737">
                  <c:v>15653</c:v>
                </c:pt>
                <c:pt idx="738">
                  <c:v>15654</c:v>
                </c:pt>
                <c:pt idx="739">
                  <c:v>15655</c:v>
                </c:pt>
                <c:pt idx="740">
                  <c:v>16226</c:v>
                </c:pt>
                <c:pt idx="741">
                  <c:v>16227</c:v>
                </c:pt>
                <c:pt idx="742">
                  <c:v>16228</c:v>
                </c:pt>
                <c:pt idx="743">
                  <c:v>16229</c:v>
                </c:pt>
                <c:pt idx="744">
                  <c:v>16230</c:v>
                </c:pt>
                <c:pt idx="745">
                  <c:v>16231</c:v>
                </c:pt>
                <c:pt idx="746">
                  <c:v>16232</c:v>
                </c:pt>
                <c:pt idx="747">
                  <c:v>16233</c:v>
                </c:pt>
                <c:pt idx="748">
                  <c:v>16234</c:v>
                </c:pt>
                <c:pt idx="749">
                  <c:v>16235</c:v>
                </c:pt>
                <c:pt idx="750">
                  <c:v>16236</c:v>
                </c:pt>
                <c:pt idx="751">
                  <c:v>16237</c:v>
                </c:pt>
                <c:pt idx="752">
                  <c:v>16238</c:v>
                </c:pt>
                <c:pt idx="753">
                  <c:v>16239</c:v>
                </c:pt>
                <c:pt idx="754">
                  <c:v>16240</c:v>
                </c:pt>
                <c:pt idx="755">
                  <c:v>16241</c:v>
                </c:pt>
                <c:pt idx="756">
                  <c:v>16242</c:v>
                </c:pt>
                <c:pt idx="757">
                  <c:v>16243</c:v>
                </c:pt>
                <c:pt idx="758">
                  <c:v>16244</c:v>
                </c:pt>
                <c:pt idx="759">
                  <c:v>16245</c:v>
                </c:pt>
                <c:pt idx="760">
                  <c:v>19126</c:v>
                </c:pt>
                <c:pt idx="761">
                  <c:v>19127</c:v>
                </c:pt>
                <c:pt idx="762">
                  <c:v>19128</c:v>
                </c:pt>
                <c:pt idx="763">
                  <c:v>19129</c:v>
                </c:pt>
                <c:pt idx="764">
                  <c:v>19130</c:v>
                </c:pt>
                <c:pt idx="765">
                  <c:v>19131</c:v>
                </c:pt>
                <c:pt idx="766">
                  <c:v>19132</c:v>
                </c:pt>
                <c:pt idx="767">
                  <c:v>19133</c:v>
                </c:pt>
                <c:pt idx="768">
                  <c:v>19134</c:v>
                </c:pt>
                <c:pt idx="769">
                  <c:v>19135</c:v>
                </c:pt>
                <c:pt idx="770">
                  <c:v>19136</c:v>
                </c:pt>
                <c:pt idx="771">
                  <c:v>19137</c:v>
                </c:pt>
                <c:pt idx="772">
                  <c:v>19138</c:v>
                </c:pt>
                <c:pt idx="773">
                  <c:v>19139</c:v>
                </c:pt>
                <c:pt idx="774">
                  <c:v>19140</c:v>
                </c:pt>
                <c:pt idx="775">
                  <c:v>19141</c:v>
                </c:pt>
                <c:pt idx="776">
                  <c:v>19142</c:v>
                </c:pt>
                <c:pt idx="777">
                  <c:v>19143</c:v>
                </c:pt>
                <c:pt idx="778">
                  <c:v>19144</c:v>
                </c:pt>
                <c:pt idx="779">
                  <c:v>19145</c:v>
                </c:pt>
                <c:pt idx="780">
                  <c:v>19466</c:v>
                </c:pt>
                <c:pt idx="781">
                  <c:v>19467</c:v>
                </c:pt>
                <c:pt idx="782">
                  <c:v>19468</c:v>
                </c:pt>
                <c:pt idx="783">
                  <c:v>19469</c:v>
                </c:pt>
                <c:pt idx="784">
                  <c:v>19470</c:v>
                </c:pt>
                <c:pt idx="785">
                  <c:v>19471</c:v>
                </c:pt>
                <c:pt idx="786">
                  <c:v>19472</c:v>
                </c:pt>
                <c:pt idx="787">
                  <c:v>19473</c:v>
                </c:pt>
                <c:pt idx="788">
                  <c:v>19474</c:v>
                </c:pt>
                <c:pt idx="789">
                  <c:v>19475</c:v>
                </c:pt>
                <c:pt idx="790">
                  <c:v>19476</c:v>
                </c:pt>
                <c:pt idx="791">
                  <c:v>19477</c:v>
                </c:pt>
                <c:pt idx="792">
                  <c:v>19478</c:v>
                </c:pt>
                <c:pt idx="793">
                  <c:v>19479</c:v>
                </c:pt>
                <c:pt idx="794">
                  <c:v>19480</c:v>
                </c:pt>
                <c:pt idx="795">
                  <c:v>19481</c:v>
                </c:pt>
                <c:pt idx="796">
                  <c:v>19482</c:v>
                </c:pt>
                <c:pt idx="797">
                  <c:v>19483</c:v>
                </c:pt>
                <c:pt idx="798">
                  <c:v>19484</c:v>
                </c:pt>
                <c:pt idx="799">
                  <c:v>19485</c:v>
                </c:pt>
                <c:pt idx="800">
                  <c:v>19761</c:v>
                </c:pt>
                <c:pt idx="801">
                  <c:v>19762</c:v>
                </c:pt>
                <c:pt idx="802">
                  <c:v>19763</c:v>
                </c:pt>
                <c:pt idx="803">
                  <c:v>19764</c:v>
                </c:pt>
                <c:pt idx="804">
                  <c:v>19765</c:v>
                </c:pt>
                <c:pt idx="805">
                  <c:v>19766</c:v>
                </c:pt>
                <c:pt idx="806">
                  <c:v>19767</c:v>
                </c:pt>
                <c:pt idx="807">
                  <c:v>19768</c:v>
                </c:pt>
                <c:pt idx="808">
                  <c:v>19769</c:v>
                </c:pt>
                <c:pt idx="809">
                  <c:v>19770</c:v>
                </c:pt>
                <c:pt idx="810">
                  <c:v>19771</c:v>
                </c:pt>
                <c:pt idx="811">
                  <c:v>19772</c:v>
                </c:pt>
                <c:pt idx="812">
                  <c:v>19773</c:v>
                </c:pt>
                <c:pt idx="813">
                  <c:v>19774</c:v>
                </c:pt>
                <c:pt idx="814">
                  <c:v>19775</c:v>
                </c:pt>
                <c:pt idx="815">
                  <c:v>19776</c:v>
                </c:pt>
                <c:pt idx="816">
                  <c:v>19777</c:v>
                </c:pt>
                <c:pt idx="817">
                  <c:v>19778</c:v>
                </c:pt>
                <c:pt idx="818">
                  <c:v>19779</c:v>
                </c:pt>
                <c:pt idx="819">
                  <c:v>19780</c:v>
                </c:pt>
                <c:pt idx="820">
                  <c:v>20150</c:v>
                </c:pt>
                <c:pt idx="821">
                  <c:v>20151</c:v>
                </c:pt>
                <c:pt idx="822">
                  <c:v>20152</c:v>
                </c:pt>
                <c:pt idx="823">
                  <c:v>20153</c:v>
                </c:pt>
                <c:pt idx="824">
                  <c:v>20154</c:v>
                </c:pt>
                <c:pt idx="825">
                  <c:v>20155</c:v>
                </c:pt>
                <c:pt idx="826">
                  <c:v>20156</c:v>
                </c:pt>
                <c:pt idx="827">
                  <c:v>20157</c:v>
                </c:pt>
                <c:pt idx="828">
                  <c:v>20158</c:v>
                </c:pt>
                <c:pt idx="829">
                  <c:v>20159</c:v>
                </c:pt>
                <c:pt idx="830">
                  <c:v>20160</c:v>
                </c:pt>
                <c:pt idx="831">
                  <c:v>20161</c:v>
                </c:pt>
                <c:pt idx="832">
                  <c:v>20162</c:v>
                </c:pt>
                <c:pt idx="833">
                  <c:v>20163</c:v>
                </c:pt>
                <c:pt idx="834">
                  <c:v>20164</c:v>
                </c:pt>
                <c:pt idx="835">
                  <c:v>20165</c:v>
                </c:pt>
                <c:pt idx="836">
                  <c:v>20166</c:v>
                </c:pt>
                <c:pt idx="837">
                  <c:v>20167</c:v>
                </c:pt>
                <c:pt idx="838">
                  <c:v>20168</c:v>
                </c:pt>
                <c:pt idx="839">
                  <c:v>20169</c:v>
                </c:pt>
                <c:pt idx="840">
                  <c:v>20434</c:v>
                </c:pt>
                <c:pt idx="841">
                  <c:v>20435</c:v>
                </c:pt>
                <c:pt idx="842">
                  <c:v>20436</c:v>
                </c:pt>
                <c:pt idx="843">
                  <c:v>20437</c:v>
                </c:pt>
                <c:pt idx="844">
                  <c:v>20438</c:v>
                </c:pt>
                <c:pt idx="845">
                  <c:v>20439</c:v>
                </c:pt>
                <c:pt idx="846">
                  <c:v>20440</c:v>
                </c:pt>
                <c:pt idx="847">
                  <c:v>20441</c:v>
                </c:pt>
                <c:pt idx="848">
                  <c:v>20442</c:v>
                </c:pt>
                <c:pt idx="849">
                  <c:v>20443</c:v>
                </c:pt>
                <c:pt idx="850">
                  <c:v>20444</c:v>
                </c:pt>
                <c:pt idx="851">
                  <c:v>20445</c:v>
                </c:pt>
                <c:pt idx="852">
                  <c:v>20446</c:v>
                </c:pt>
                <c:pt idx="853">
                  <c:v>20447</c:v>
                </c:pt>
                <c:pt idx="854">
                  <c:v>20448</c:v>
                </c:pt>
                <c:pt idx="855">
                  <c:v>20449</c:v>
                </c:pt>
                <c:pt idx="856">
                  <c:v>20450</c:v>
                </c:pt>
                <c:pt idx="857">
                  <c:v>20451</c:v>
                </c:pt>
                <c:pt idx="858">
                  <c:v>20452</c:v>
                </c:pt>
                <c:pt idx="859">
                  <c:v>20453</c:v>
                </c:pt>
                <c:pt idx="860">
                  <c:v>20845</c:v>
                </c:pt>
                <c:pt idx="861">
                  <c:v>20846</c:v>
                </c:pt>
                <c:pt idx="862">
                  <c:v>20847</c:v>
                </c:pt>
                <c:pt idx="863">
                  <c:v>20848</c:v>
                </c:pt>
                <c:pt idx="864">
                  <c:v>20849</c:v>
                </c:pt>
                <c:pt idx="865">
                  <c:v>20850</c:v>
                </c:pt>
                <c:pt idx="866">
                  <c:v>20851</c:v>
                </c:pt>
                <c:pt idx="867">
                  <c:v>20852</c:v>
                </c:pt>
                <c:pt idx="868">
                  <c:v>20853</c:v>
                </c:pt>
                <c:pt idx="869">
                  <c:v>20854</c:v>
                </c:pt>
                <c:pt idx="870">
                  <c:v>20855</c:v>
                </c:pt>
                <c:pt idx="871">
                  <c:v>20856</c:v>
                </c:pt>
                <c:pt idx="872">
                  <c:v>20857</c:v>
                </c:pt>
                <c:pt idx="873">
                  <c:v>20858</c:v>
                </c:pt>
                <c:pt idx="874">
                  <c:v>20859</c:v>
                </c:pt>
                <c:pt idx="875">
                  <c:v>20860</c:v>
                </c:pt>
                <c:pt idx="876">
                  <c:v>20861</c:v>
                </c:pt>
                <c:pt idx="877">
                  <c:v>20862</c:v>
                </c:pt>
                <c:pt idx="878">
                  <c:v>20863</c:v>
                </c:pt>
                <c:pt idx="879">
                  <c:v>20864</c:v>
                </c:pt>
                <c:pt idx="880">
                  <c:v>21485</c:v>
                </c:pt>
                <c:pt idx="881">
                  <c:v>21486</c:v>
                </c:pt>
                <c:pt idx="882">
                  <c:v>21487</c:v>
                </c:pt>
                <c:pt idx="883">
                  <c:v>21488</c:v>
                </c:pt>
                <c:pt idx="884">
                  <c:v>21489</c:v>
                </c:pt>
                <c:pt idx="885">
                  <c:v>21490</c:v>
                </c:pt>
                <c:pt idx="886">
                  <c:v>21491</c:v>
                </c:pt>
                <c:pt idx="887">
                  <c:v>21492</c:v>
                </c:pt>
                <c:pt idx="888">
                  <c:v>21493</c:v>
                </c:pt>
                <c:pt idx="889">
                  <c:v>21494</c:v>
                </c:pt>
                <c:pt idx="890">
                  <c:v>21495</c:v>
                </c:pt>
                <c:pt idx="891">
                  <c:v>21496</c:v>
                </c:pt>
                <c:pt idx="892">
                  <c:v>21497</c:v>
                </c:pt>
                <c:pt idx="893">
                  <c:v>21498</c:v>
                </c:pt>
                <c:pt idx="894">
                  <c:v>21499</c:v>
                </c:pt>
                <c:pt idx="895">
                  <c:v>21500</c:v>
                </c:pt>
                <c:pt idx="896">
                  <c:v>21501</c:v>
                </c:pt>
                <c:pt idx="897">
                  <c:v>21502</c:v>
                </c:pt>
                <c:pt idx="898">
                  <c:v>21503</c:v>
                </c:pt>
                <c:pt idx="899">
                  <c:v>21504</c:v>
                </c:pt>
                <c:pt idx="900">
                  <c:v>21839</c:v>
                </c:pt>
                <c:pt idx="901">
                  <c:v>21840</c:v>
                </c:pt>
                <c:pt idx="902">
                  <c:v>21841</c:v>
                </c:pt>
                <c:pt idx="903">
                  <c:v>21842</c:v>
                </c:pt>
                <c:pt idx="904">
                  <c:v>21843</c:v>
                </c:pt>
                <c:pt idx="905">
                  <c:v>21844</c:v>
                </c:pt>
                <c:pt idx="906">
                  <c:v>21845</c:v>
                </c:pt>
                <c:pt idx="907">
                  <c:v>21846</c:v>
                </c:pt>
                <c:pt idx="908">
                  <c:v>21847</c:v>
                </c:pt>
                <c:pt idx="909">
                  <c:v>21848</c:v>
                </c:pt>
                <c:pt idx="910">
                  <c:v>21849</c:v>
                </c:pt>
                <c:pt idx="911">
                  <c:v>21850</c:v>
                </c:pt>
                <c:pt idx="912">
                  <c:v>21851</c:v>
                </c:pt>
                <c:pt idx="913">
                  <c:v>21852</c:v>
                </c:pt>
                <c:pt idx="914">
                  <c:v>21853</c:v>
                </c:pt>
                <c:pt idx="915">
                  <c:v>21854</c:v>
                </c:pt>
                <c:pt idx="916">
                  <c:v>21855</c:v>
                </c:pt>
                <c:pt idx="917">
                  <c:v>21856</c:v>
                </c:pt>
                <c:pt idx="918">
                  <c:v>21857</c:v>
                </c:pt>
                <c:pt idx="919">
                  <c:v>21858</c:v>
                </c:pt>
                <c:pt idx="920">
                  <c:v>22846</c:v>
                </c:pt>
                <c:pt idx="921">
                  <c:v>22847</c:v>
                </c:pt>
                <c:pt idx="922">
                  <c:v>22848</c:v>
                </c:pt>
                <c:pt idx="923">
                  <c:v>22849</c:v>
                </c:pt>
                <c:pt idx="924">
                  <c:v>22850</c:v>
                </c:pt>
                <c:pt idx="925">
                  <c:v>22851</c:v>
                </c:pt>
                <c:pt idx="926">
                  <c:v>22852</c:v>
                </c:pt>
                <c:pt idx="927">
                  <c:v>22853</c:v>
                </c:pt>
                <c:pt idx="928">
                  <c:v>22854</c:v>
                </c:pt>
                <c:pt idx="929">
                  <c:v>22855</c:v>
                </c:pt>
                <c:pt idx="930">
                  <c:v>22856</c:v>
                </c:pt>
                <c:pt idx="931">
                  <c:v>22857</c:v>
                </c:pt>
                <c:pt idx="932">
                  <c:v>22858</c:v>
                </c:pt>
                <c:pt idx="933">
                  <c:v>22859</c:v>
                </c:pt>
                <c:pt idx="934">
                  <c:v>22860</c:v>
                </c:pt>
                <c:pt idx="935">
                  <c:v>22861</c:v>
                </c:pt>
                <c:pt idx="936">
                  <c:v>22862</c:v>
                </c:pt>
                <c:pt idx="937">
                  <c:v>22863</c:v>
                </c:pt>
                <c:pt idx="938">
                  <c:v>22864</c:v>
                </c:pt>
                <c:pt idx="939">
                  <c:v>22865</c:v>
                </c:pt>
                <c:pt idx="940">
                  <c:v>23670</c:v>
                </c:pt>
                <c:pt idx="941">
                  <c:v>23671</c:v>
                </c:pt>
                <c:pt idx="942">
                  <c:v>23672</c:v>
                </c:pt>
                <c:pt idx="943">
                  <c:v>23673</c:v>
                </c:pt>
                <c:pt idx="944">
                  <c:v>23674</c:v>
                </c:pt>
                <c:pt idx="945">
                  <c:v>23675</c:v>
                </c:pt>
                <c:pt idx="946">
                  <c:v>23676</c:v>
                </c:pt>
                <c:pt idx="947">
                  <c:v>23677</c:v>
                </c:pt>
                <c:pt idx="948">
                  <c:v>23678</c:v>
                </c:pt>
                <c:pt idx="949">
                  <c:v>23679</c:v>
                </c:pt>
                <c:pt idx="950">
                  <c:v>23680</c:v>
                </c:pt>
                <c:pt idx="951">
                  <c:v>23681</c:v>
                </c:pt>
                <c:pt idx="952">
                  <c:v>23682</c:v>
                </c:pt>
                <c:pt idx="953">
                  <c:v>23683</c:v>
                </c:pt>
                <c:pt idx="954">
                  <c:v>23684</c:v>
                </c:pt>
                <c:pt idx="955">
                  <c:v>23685</c:v>
                </c:pt>
                <c:pt idx="956">
                  <c:v>23686</c:v>
                </c:pt>
                <c:pt idx="957">
                  <c:v>23687</c:v>
                </c:pt>
                <c:pt idx="958">
                  <c:v>23688</c:v>
                </c:pt>
                <c:pt idx="959">
                  <c:v>23689</c:v>
                </c:pt>
                <c:pt idx="960">
                  <c:v>23690</c:v>
                </c:pt>
                <c:pt idx="961">
                  <c:v>23691</c:v>
                </c:pt>
                <c:pt idx="962">
                  <c:v>23692</c:v>
                </c:pt>
                <c:pt idx="963">
                  <c:v>23693</c:v>
                </c:pt>
                <c:pt idx="964">
                  <c:v>23694</c:v>
                </c:pt>
                <c:pt idx="965">
                  <c:v>23695</c:v>
                </c:pt>
                <c:pt idx="966">
                  <c:v>23696</c:v>
                </c:pt>
                <c:pt idx="967">
                  <c:v>23697</c:v>
                </c:pt>
                <c:pt idx="968">
                  <c:v>23698</c:v>
                </c:pt>
                <c:pt idx="969">
                  <c:v>23699</c:v>
                </c:pt>
                <c:pt idx="970">
                  <c:v>23700</c:v>
                </c:pt>
                <c:pt idx="971">
                  <c:v>23701</c:v>
                </c:pt>
                <c:pt idx="972">
                  <c:v>23702</c:v>
                </c:pt>
                <c:pt idx="973">
                  <c:v>23703</c:v>
                </c:pt>
                <c:pt idx="974">
                  <c:v>23704</c:v>
                </c:pt>
                <c:pt idx="975">
                  <c:v>23705</c:v>
                </c:pt>
                <c:pt idx="976">
                  <c:v>23706</c:v>
                </c:pt>
                <c:pt idx="977">
                  <c:v>23707</c:v>
                </c:pt>
                <c:pt idx="978">
                  <c:v>23708</c:v>
                </c:pt>
                <c:pt idx="979">
                  <c:v>23709</c:v>
                </c:pt>
              </c:numCache>
            </c:numRef>
          </c:xVal>
          <c:yVal>
            <c:numRef>
              <c:f>'Interpolated Physical'!$B$2:$B$981</c:f>
              <c:numCache>
                <c:formatCode>General</c:formatCode>
                <c:ptCount val="980"/>
                <c:pt idx="0" formatCode="0.00000">
                  <c:v>0.42</c:v>
                </c:pt>
                <c:pt idx="140" formatCode="0.00000">
                  <c:v>0.43</c:v>
                </c:pt>
                <c:pt idx="280" formatCode="0.00000">
                  <c:v>0.45</c:v>
                </c:pt>
                <c:pt idx="500" formatCode="0.00000">
                  <c:v>0.53</c:v>
                </c:pt>
                <c:pt idx="760" formatCode="0.00000">
                  <c:v>0.48</c:v>
                </c:pt>
                <c:pt idx="979" formatCode="0.00000">
                  <c:v>0.46</c:v>
                </c:pt>
              </c:numCache>
            </c:numRef>
          </c:yVal>
          <c:smooth val="0"/>
          <c:extLst>
            <c:ext xmlns:c16="http://schemas.microsoft.com/office/drawing/2014/chart" uri="{C3380CC4-5D6E-409C-BE32-E72D297353CC}">
              <c16:uniqueId val="{00000001-F14F-4BFB-AD93-1F59EF9928AB}"/>
            </c:ext>
          </c:extLst>
        </c:ser>
        <c:dLbls>
          <c:showLegendKey val="0"/>
          <c:showVal val="0"/>
          <c:showCatName val="0"/>
          <c:showSerName val="0"/>
          <c:showPercent val="0"/>
          <c:showBubbleSize val="0"/>
        </c:dLbls>
        <c:axId val="106302463"/>
        <c:axId val="106302047"/>
      </c:scatterChart>
      <c:valAx>
        <c:axId val="106302463"/>
        <c:scaling>
          <c:orientation val="minMax"/>
        </c:scaling>
        <c:delete val="0"/>
        <c:axPos val="b"/>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06302047"/>
        <c:crosses val="autoZero"/>
        <c:crossBetween val="midCat"/>
      </c:valAx>
      <c:valAx>
        <c:axId val="106302047"/>
        <c:scaling>
          <c:orientation val="minMax"/>
        </c:scaling>
        <c:delete val="0"/>
        <c:axPos val="l"/>
        <c:numFmt formatCode="0.00" sourceLinked="0"/>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crossAx val="106302463"/>
        <c:crosses val="autoZero"/>
        <c:crossBetween val="midCat"/>
      </c:valAx>
      <c:spPr>
        <a:noFill/>
        <a:ln w="3175">
          <a:solidFill>
            <a:schemeClr val="tx1"/>
          </a:solidFill>
        </a:ln>
        <a:effectLst/>
      </c:spPr>
    </c:plotArea>
    <c:legend>
      <c:legendPos val="r"/>
      <c:layout>
        <c:manualLayout>
          <c:xMode val="edge"/>
          <c:yMode val="edge"/>
          <c:x val="0.61434623797025367"/>
          <c:y val="0.6996522309711285"/>
          <c:w val="0.2514569540612353"/>
          <c:h val="0.12343326468210454"/>
        </c:manualLayout>
      </c:layout>
      <c:overlay val="1"/>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Garamond" panose="02020404030301010803" pitchFamily="18" charset="0"/>
        </a:defRPr>
      </a:pPr>
      <a:endParaRPr lang="sr-Latn-R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0"/>
          <c:tx>
            <c:strRef>
              <c:f>'Charts and Results'!$I$10</c:f>
              <c:strCache>
                <c:ptCount val="1"/>
                <c:pt idx="0">
                  <c:v>Nominal Working Flow</c:v>
                </c:pt>
              </c:strCache>
            </c:strRef>
          </c:tx>
          <c:spPr>
            <a:noFill/>
            <a:ln w="3175">
              <a:solidFill>
                <a:srgbClr val="0000FF"/>
              </a:solidFill>
            </a:ln>
            <a:effectLst/>
          </c:spPr>
          <c:invertIfNegative val="0"/>
          <c:cat>
            <c:strRef>
              <c:f>'Charts and Results'!$I$11:$I$16</c:f>
              <c:strCache>
                <c:ptCount val="6"/>
                <c:pt idx="0">
                  <c:v>1-20 l/min</c:v>
                </c:pt>
                <c:pt idx="1">
                  <c:v>21-55 l/min</c:v>
                </c:pt>
                <c:pt idx="2">
                  <c:v>55-140 l/min</c:v>
                </c:pt>
                <c:pt idx="3">
                  <c:v>141-320l/min</c:v>
                </c:pt>
                <c:pt idx="4">
                  <c:v>321-500 l/min</c:v>
                </c:pt>
                <c:pt idx="5">
                  <c:v>&gt;500 l/min</c:v>
                </c:pt>
              </c:strCache>
            </c:strRef>
          </c:cat>
          <c:val>
            <c:numRef>
              <c:f>'Charts and Results'!$K$11:$K$16</c:f>
              <c:numCache>
                <c:formatCode>0%</c:formatCode>
                <c:ptCount val="6"/>
                <c:pt idx="0">
                  <c:v>0.16190476190476191</c:v>
                </c:pt>
                <c:pt idx="1">
                  <c:v>0.32380952380952382</c:v>
                </c:pt>
                <c:pt idx="2">
                  <c:v>0.33333333333333331</c:v>
                </c:pt>
                <c:pt idx="3">
                  <c:v>0.15238095238095239</c:v>
                </c:pt>
                <c:pt idx="4">
                  <c:v>1.9047619047619049E-2</c:v>
                </c:pt>
                <c:pt idx="5">
                  <c:v>9.5238095238095247E-3</c:v>
                </c:pt>
              </c:numCache>
            </c:numRef>
          </c:val>
          <c:extLst>
            <c:ext xmlns:c16="http://schemas.microsoft.com/office/drawing/2014/chart" uri="{C3380CC4-5D6E-409C-BE32-E72D297353CC}">
              <c16:uniqueId val="{00000000-4914-4F87-AE60-3EA6B26A0CF1}"/>
            </c:ext>
          </c:extLst>
        </c:ser>
        <c:dLbls>
          <c:showLegendKey val="0"/>
          <c:showVal val="0"/>
          <c:showCatName val="0"/>
          <c:showSerName val="0"/>
          <c:showPercent val="0"/>
          <c:showBubbleSize val="0"/>
        </c:dLbls>
        <c:gapWidth val="182"/>
        <c:axId val="1331600879"/>
        <c:axId val="1331584239"/>
      </c:barChart>
      <c:catAx>
        <c:axId val="1331600879"/>
        <c:scaling>
          <c:orientation val="minMax"/>
        </c:scaling>
        <c:delete val="0"/>
        <c:axPos val="l"/>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331584239"/>
        <c:crosses val="autoZero"/>
        <c:auto val="1"/>
        <c:lblAlgn val="ctr"/>
        <c:lblOffset val="100"/>
        <c:noMultiLvlLbl val="0"/>
      </c:catAx>
      <c:valAx>
        <c:axId val="1331584239"/>
        <c:scaling>
          <c:orientation val="minMax"/>
          <c:max val="0.4"/>
        </c:scaling>
        <c:delete val="0"/>
        <c:axPos val="b"/>
        <c:numFmt formatCode="0%" sourceLinked="1"/>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331600879"/>
        <c:crosses val="autoZero"/>
        <c:crossBetween val="between"/>
      </c:valAx>
      <c:spPr>
        <a:noFill/>
        <a:ln w="3175">
          <a:solidFill>
            <a:schemeClr val="tx1"/>
          </a:solidFill>
        </a:ln>
        <a:effectLst/>
      </c:spPr>
    </c:plotArea>
    <c:legend>
      <c:legendPos val="b"/>
      <c:layout>
        <c:manualLayout>
          <c:xMode val="edge"/>
          <c:yMode val="edge"/>
          <c:x val="0.40751505326540055"/>
          <c:y val="8.2651700237758446E-2"/>
          <c:w val="0.46435871493716918"/>
          <c:h val="0.10651793525809274"/>
        </c:manualLayout>
      </c:layout>
      <c:overlay val="1"/>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Garamond" panose="02020404030301010803" pitchFamily="18" charset="0"/>
        </a:defRPr>
      </a:pPr>
      <a:endParaRPr lang="sr-Latn-R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spPr>
            <a:ln w="3175" cap="rnd">
              <a:solidFill>
                <a:srgbClr val="0000FF"/>
              </a:solidFill>
              <a:round/>
            </a:ln>
            <a:effectLst/>
          </c:spPr>
          <c:marker>
            <c:symbol val="none"/>
          </c:marker>
          <c:cat>
            <c:strRef>
              <c:f>'Balkan Survey'!$BZ$3:$CK$3</c:f>
              <c:strCache>
                <c:ptCount val="12"/>
                <c:pt idx="0">
                  <c:v>HH</c:v>
                </c:pt>
                <c:pt idx="1">
                  <c:v>HL</c:v>
                </c:pt>
                <c:pt idx="2">
                  <c:v>HM</c:v>
                </c:pt>
                <c:pt idx="3">
                  <c:v>HV</c:v>
                </c:pt>
                <c:pt idx="4">
                  <c:v>HFA</c:v>
                </c:pt>
                <c:pt idx="5">
                  <c:v>HFB</c:v>
                </c:pt>
                <c:pt idx="6">
                  <c:v>HFC</c:v>
                </c:pt>
                <c:pt idx="7">
                  <c:v>HFD</c:v>
                </c:pt>
                <c:pt idx="8">
                  <c:v>HTG</c:v>
                </c:pt>
                <c:pt idx="9">
                  <c:v>HPG</c:v>
                </c:pt>
                <c:pt idx="10">
                  <c:v>HE</c:v>
                </c:pt>
                <c:pt idx="11">
                  <c:v>Other</c:v>
                </c:pt>
              </c:strCache>
            </c:strRef>
          </c:cat>
          <c:val>
            <c:numRef>
              <c:f>'Balkan Survey'!$BZ$5:$CK$5</c:f>
              <c:numCache>
                <c:formatCode>0%</c:formatCode>
                <c:ptCount val="12"/>
                <c:pt idx="0">
                  <c:v>0.1037037037037037</c:v>
                </c:pt>
                <c:pt idx="1">
                  <c:v>0.17777777777777778</c:v>
                </c:pt>
                <c:pt idx="2">
                  <c:v>8.8888888888888892E-2</c:v>
                </c:pt>
                <c:pt idx="3">
                  <c:v>0.25185185185185183</c:v>
                </c:pt>
                <c:pt idx="4">
                  <c:v>7.407407407407407E-2</c:v>
                </c:pt>
                <c:pt idx="5">
                  <c:v>5.185185185185185E-2</c:v>
                </c:pt>
                <c:pt idx="6">
                  <c:v>1.4814814814814815E-2</c:v>
                </c:pt>
                <c:pt idx="7">
                  <c:v>0.11851851851851852</c:v>
                </c:pt>
                <c:pt idx="8">
                  <c:v>2.2222222222222223E-2</c:v>
                </c:pt>
                <c:pt idx="9">
                  <c:v>3.7037037037037035E-2</c:v>
                </c:pt>
                <c:pt idx="10">
                  <c:v>2.9629629629629631E-2</c:v>
                </c:pt>
                <c:pt idx="11">
                  <c:v>2.9629629629629631E-2</c:v>
                </c:pt>
              </c:numCache>
            </c:numRef>
          </c:val>
          <c:extLst>
            <c:ext xmlns:c16="http://schemas.microsoft.com/office/drawing/2014/chart" uri="{C3380CC4-5D6E-409C-BE32-E72D297353CC}">
              <c16:uniqueId val="{00000000-325D-445D-936D-6AFDFFEC826F}"/>
            </c:ext>
          </c:extLst>
        </c:ser>
        <c:dLbls>
          <c:showLegendKey val="0"/>
          <c:showVal val="0"/>
          <c:showCatName val="0"/>
          <c:showSerName val="0"/>
          <c:showPercent val="0"/>
          <c:showBubbleSize val="0"/>
        </c:dLbls>
        <c:axId val="132378144"/>
        <c:axId val="132379808"/>
      </c:radarChart>
      <c:catAx>
        <c:axId val="132378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32379808"/>
        <c:crosses val="autoZero"/>
        <c:auto val="1"/>
        <c:lblAlgn val="ctr"/>
        <c:lblOffset val="100"/>
        <c:noMultiLvlLbl val="0"/>
      </c:catAx>
      <c:valAx>
        <c:axId val="132379808"/>
        <c:scaling>
          <c:orientation val="minMax"/>
        </c:scaling>
        <c:delete val="0"/>
        <c:axPos val="l"/>
        <c:majorGridlines>
          <c:spPr>
            <a:ln w="317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1323781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Garamond" panose="02020404030301010803" pitchFamily="18" charset="0"/>
        </a:defRPr>
      </a:pPr>
      <a:endParaRPr lang="sr-Latn-R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spPr>
            <a:ln w="3175" cap="rnd">
              <a:solidFill>
                <a:srgbClr val="0000FF"/>
              </a:solidFill>
              <a:round/>
            </a:ln>
            <a:effectLst/>
          </c:spPr>
          <c:marker>
            <c:symbol val="none"/>
          </c:marker>
          <c:cat>
            <c:strRef>
              <c:f>'Balkan Survey'!$GL$3:$GT$3</c:f>
              <c:strCache>
                <c:ptCount val="9"/>
                <c:pt idx="0">
                  <c:v>VG15</c:v>
                </c:pt>
                <c:pt idx="1">
                  <c:v>VG22</c:v>
                </c:pt>
                <c:pt idx="2">
                  <c:v>VG32</c:v>
                </c:pt>
                <c:pt idx="3">
                  <c:v>VG37</c:v>
                </c:pt>
                <c:pt idx="4">
                  <c:v>VG46</c:v>
                </c:pt>
                <c:pt idx="5">
                  <c:v>VG68</c:v>
                </c:pt>
                <c:pt idx="6">
                  <c:v>VG100</c:v>
                </c:pt>
                <c:pt idx="7">
                  <c:v>VG150</c:v>
                </c:pt>
                <c:pt idx="8">
                  <c:v>Other</c:v>
                </c:pt>
              </c:strCache>
            </c:strRef>
          </c:cat>
          <c:val>
            <c:numRef>
              <c:f>'Balkan Survey'!$GL$5:$GT$5</c:f>
              <c:numCache>
                <c:formatCode>0%</c:formatCode>
                <c:ptCount val="9"/>
                <c:pt idx="0">
                  <c:v>7.0921985815602835E-3</c:v>
                </c:pt>
                <c:pt idx="1">
                  <c:v>6.3829787234042548E-2</c:v>
                </c:pt>
                <c:pt idx="2">
                  <c:v>0.19858156028368795</c:v>
                </c:pt>
                <c:pt idx="3">
                  <c:v>1.4184397163120567E-2</c:v>
                </c:pt>
                <c:pt idx="4">
                  <c:v>0.45390070921985815</c:v>
                </c:pt>
                <c:pt idx="5">
                  <c:v>0.23404255319148937</c:v>
                </c:pt>
                <c:pt idx="6">
                  <c:v>7.0921985815602835E-3</c:v>
                </c:pt>
                <c:pt idx="7">
                  <c:v>1.4184397163120567E-2</c:v>
                </c:pt>
                <c:pt idx="8">
                  <c:v>7.0921985815602835E-3</c:v>
                </c:pt>
              </c:numCache>
            </c:numRef>
          </c:val>
          <c:extLst>
            <c:ext xmlns:c16="http://schemas.microsoft.com/office/drawing/2014/chart" uri="{C3380CC4-5D6E-409C-BE32-E72D297353CC}">
              <c16:uniqueId val="{00000000-6FFF-4E27-9C54-06874A00D134}"/>
            </c:ext>
          </c:extLst>
        </c:ser>
        <c:dLbls>
          <c:showLegendKey val="0"/>
          <c:showVal val="0"/>
          <c:showCatName val="0"/>
          <c:showSerName val="0"/>
          <c:showPercent val="0"/>
          <c:showBubbleSize val="0"/>
        </c:dLbls>
        <c:axId val="583204384"/>
        <c:axId val="583204800"/>
      </c:radarChart>
      <c:catAx>
        <c:axId val="583204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583204800"/>
        <c:crosses val="autoZero"/>
        <c:auto val="1"/>
        <c:lblAlgn val="ctr"/>
        <c:lblOffset val="100"/>
        <c:noMultiLvlLbl val="0"/>
      </c:catAx>
      <c:valAx>
        <c:axId val="583204800"/>
        <c:scaling>
          <c:orientation val="minMax"/>
        </c:scaling>
        <c:delete val="0"/>
        <c:axPos val="l"/>
        <c:majorGridlines>
          <c:spPr>
            <a:ln w="317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Garamond" panose="02020404030301010803" pitchFamily="18" charset="0"/>
                <a:ea typeface="+mn-ea"/>
                <a:cs typeface="+mn-cs"/>
              </a:defRPr>
            </a:pPr>
            <a:endParaRPr lang="sr-Latn-RS"/>
          </a:p>
        </c:txPr>
        <c:crossAx val="5832043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Garamond" panose="02020404030301010803" pitchFamily="18" charset="0"/>
        </a:defRPr>
      </a:pPr>
      <a:endParaRPr lang="sr-Latn-RS"/>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'ICSRS Conference'!$L$2:$L$73</cx:f>
        <cx:lvl ptCount="72" formatCode="0.00">
          <cx:pt idx="0">1.6176470588235294</cx:pt>
          <cx:pt idx="1">0.040540540540540543</cx:pt>
          <cx:pt idx="2">0.26666666666666666</cx:pt>
          <cx:pt idx="3">0.21428571428571427</cx:pt>
          <cx:pt idx="4">0.65591397849462363</cx:pt>
          <cx:pt idx="5">0.44444444444444442</cx:pt>
          <cx:pt idx="6">1.4545454545454546</cx:pt>
          <cx:pt idx="7">0.29999999999999999</cx:pt>
          <cx:pt idx="8">0.12727272727272726</cx:pt>
          <cx:pt idx="9">3.1499999999999999</cx:pt>
          <cx:pt idx="10">0.29999999999999999</cx:pt>
          <cx:pt idx="11">0.16666666666666666</cx:pt>
          <cx:pt idx="12">0.15789473684210525</cx:pt>
          <cx:pt idx="13">0.20000000000000001</cx:pt>
          <cx:pt idx="14">0.70967741935483875</cx:pt>
          <cx:pt idx="15">1</cx:pt>
          <cx:pt idx="16">0.25</cx:pt>
          <cx:pt idx="17">1.4615384615384615</cx:pt>
          <cx:pt idx="18">0.25</cx:pt>
          <cx:pt idx="19">1.3</cx:pt>
          <cx:pt idx="20">0.19444444444444445</cx:pt>
          <cx:pt idx="21">0.096153846153846159</cx:pt>
          <cx:pt idx="22">0.61538461538461542</cx:pt>
          <cx:pt idx="23">0.20000000000000001</cx:pt>
          <cx:pt idx="24">1</cx:pt>
          <cx:pt idx="25">0.4264705882352941</cx:pt>
          <cx:pt idx="26">0.16666666666666666</cx:pt>
          <cx:pt idx="27">0.07407407407407407</cx:pt>
          <cx:pt idx="28">0.89473684210526316</cx:pt>
          <cx:pt idx="29">0.2711864406779661</cx:pt>
          <cx:pt idx="30">0.18181818181818182</cx:pt>
          <cx:pt idx="31">0.063829787234042548</cx:pt>
          <cx:pt idx="32">1.7272727272727273</cx:pt>
          <cx:pt idx="33">0.23076923076923078</cx:pt>
          <cx:pt idx="34">0.32500000000000001</cx:pt>
          <cx:pt idx="35">0.72727272727272729</cx:pt>
          <cx:pt idx="36">3.9333333333333331</cx:pt>
          <cx:pt idx="37">0.20000000000000001</cx:pt>
          <cx:pt idx="38">0.16666666666666666</cx:pt>
          <cx:pt idx="39">0.24336283185840707</cx:pt>
          <cx:pt idx="40">0.028985507246376812</cx:pt>
          <cx:pt idx="41">0.93103448275862066</cx:pt>
          <cx:pt idx="42">1.4333333333333333</cx:pt>
          <cx:pt idx="43">0.44444444444444442</cx:pt>
          <cx:pt idx="44">0.23728813559322035</cx:pt>
          <cx:pt idx="45">0.16666666666666666</cx:pt>
          <cx:pt idx="46">0.33333333333333331</cx:pt>
          <cx:pt idx="47">0.76470588235294112</cx:pt>
          <cx:pt idx="48">0.62857142857142856</cx:pt>
          <cx:pt idx="49">0.014705882352941176</cx:pt>
          <cx:pt idx="50">0.04878048780487805</cx:pt>
          <cx:pt idx="51">0.090425531914893623</cx:pt>
          <cx:pt idx="52">0.25</cx:pt>
          <cx:pt idx="53">0.037037037037037035</cx:pt>
          <cx:pt idx="54">0.5714285714285714</cx:pt>
          <cx:pt idx="55">0.75</cx:pt>
          <cx:pt idx="56">0.074534161490683232</cx:pt>
          <cx:pt idx="57">0.69999999999999996</cx:pt>
          <cx:pt idx="58">0.054054054054054057</cx:pt>
          <cx:pt idx="59">0.25</cx:pt>
          <cx:pt idx="60">0.23684210526315788</cx:pt>
          <cx:pt idx="61">0.64444444444444449</cx:pt>
          <cx:pt idx="62">0.25</cx:pt>
          <cx:pt idx="63">0.037037037037037035</cx:pt>
          <cx:pt idx="64">0.26923076923076922</cx:pt>
          <cx:pt idx="65">0.84523809523809523</cx:pt>
          <cx:pt idx="66">0</cx:pt>
          <cx:pt idx="67">1.1499999999999999</cx:pt>
          <cx:pt idx="68">0.11764705882352941</cx:pt>
          <cx:pt idx="69">0.050000000000000003</cx:pt>
          <cx:pt idx="70">0.18181818181818182</cx:pt>
          <cx:pt idx="71">0.35616438356164382</cx:pt>
        </cx:lvl>
      </cx:numDim>
    </cx:data>
    <cx:data id="1">
      <cx:numDim type="val">
        <cx:f>'ICSRS Conference'!$K$2:$K$73</cx:f>
        <cx:lvl ptCount="72" formatCode="General">
          <cx:pt idx="0">55</cx:pt>
          <cx:pt idx="1">3</cx:pt>
          <cx:pt idx="2">4</cx:pt>
          <cx:pt idx="3">3</cx:pt>
          <cx:pt idx="4">61</cx:pt>
          <cx:pt idx="5">8</cx:pt>
          <cx:pt idx="6">32</cx:pt>
          <cx:pt idx="7">3</cx:pt>
          <cx:pt idx="8">63</cx:pt>
          <cx:pt idx="9">63</cx:pt>
          <cx:pt idx="10">3</cx:pt>
          <cx:pt idx="11">7</cx:pt>
          <cx:pt idx="12">3</cx:pt>
          <cx:pt idx="13">2</cx:pt>
          <cx:pt idx="14">22</cx:pt>
          <cx:pt idx="15">13</cx:pt>
          <cx:pt idx="16">3</cx:pt>
          <cx:pt idx="17">19</cx:pt>
          <cx:pt idx="18">3</cx:pt>
          <cx:pt idx="19">13</cx:pt>
          <cx:pt idx="20">7</cx:pt>
          <cx:pt idx="21">5</cx:pt>
          <cx:pt idx="22">8</cx:pt>
          <cx:pt idx="23">7</cx:pt>
          <cx:pt idx="24">28</cx:pt>
          <cx:pt idx="25">29</cx:pt>
          <cx:pt idx="26">2</cx:pt>
          <cx:pt idx="27">2</cx:pt>
          <cx:pt idx="28">17</cx:pt>
          <cx:pt idx="29">32</cx:pt>
          <cx:pt idx="30">2</cx:pt>
          <cx:pt idx="31">3</cx:pt>
          <cx:pt idx="32">19</cx:pt>
          <cx:pt idx="33">3</cx:pt>
          <cx:pt idx="34">13</cx:pt>
          <cx:pt idx="35">8</cx:pt>
          <cx:pt idx="36">59</cx:pt>
          <cx:pt idx="37">4</cx:pt>
          <cx:pt idx="38">7</cx:pt>
          <cx:pt idx="39">55</cx:pt>
          <cx:pt idx="40">2</cx:pt>
          <cx:pt idx="41">27</cx:pt>
          <cx:pt idx="42">43</cx:pt>
          <cx:pt idx="43">8</cx:pt>
          <cx:pt idx="44">14</cx:pt>
          <cx:pt idx="45">4</cx:pt>
          <cx:pt idx="46">6</cx:pt>
          <cx:pt idx="47">13</cx:pt>
          <cx:pt idx="48">22</cx:pt>
          <cx:pt idx="49">3</cx:pt>
          <cx:pt idx="50">2</cx:pt>
          <cx:pt idx="51">17</cx:pt>
          <cx:pt idx="52">21</cx:pt>
          <cx:pt idx="53">3</cx:pt>
          <cx:pt idx="54">8</cx:pt>
          <cx:pt idx="55">24</cx:pt>
          <cx:pt idx="56">12</cx:pt>
          <cx:pt idx="57">28</cx:pt>
          <cx:pt idx="58">2</cx:pt>
          <cx:pt idx="59">7</cx:pt>
          <cx:pt idx="60">9</cx:pt>
          <cx:pt idx="61">29</cx:pt>
          <cx:pt idx="62">3</cx:pt>
          <cx:pt idx="63">2</cx:pt>
          <cx:pt idx="64">7</cx:pt>
          <cx:pt idx="65">71</cx:pt>
          <cx:pt idx="66">0</cx:pt>
          <cx:pt idx="67">23</cx:pt>
          <cx:pt idx="68">2</cx:pt>
          <cx:pt idx="69">1</cx:pt>
          <cx:pt idx="70">2</cx:pt>
          <cx:pt idx="71">26</cx:pt>
        </cx:lvl>
      </cx:numDim>
    </cx:data>
  </cx:chartData>
  <cx:chart>
    <cx:plotArea>
      <cx:plotAreaRegion>
        <cx:plotSurface>
          <cx:spPr>
            <a:ln w="3175">
              <a:solidFill>
                <a:schemeClr val="tx1"/>
              </a:solidFill>
            </a:ln>
          </cx:spPr>
        </cx:plotSurface>
        <cx:series layoutId="clusteredColumn" uniqueId="{707C6606-677C-45E0-8C48-F565F840AEC6}" formatIdx="0">
          <cx:tx>
            <cx:txData>
              <cx:f>'ICSRS Conference'!$L$1</cx:f>
              <cx:v>MPPM</cx:v>
            </cx:txData>
          </cx:tx>
          <cx:spPr>
            <a:noFill/>
            <a:ln w="3175">
              <a:solidFill>
                <a:srgbClr val="0000FF"/>
              </a:solidFill>
            </a:ln>
          </cx:spPr>
          <cx:dataId val="0"/>
          <cx:layoutPr>
            <cx:binning intervalClosed="r"/>
          </cx:layoutPr>
          <cx:axisId val="1"/>
        </cx:series>
        <cx:series layoutId="paretoLine" ownerIdx="0" uniqueId="{2BE74463-8FB0-47E4-8022-A680CC8D665E}" formatIdx="1">
          <cx:spPr>
            <a:ln w="3175">
              <a:solidFill>
                <a:srgbClr val="FF0000"/>
              </a:solidFill>
            </a:ln>
          </cx:spPr>
          <cx:axisId val="2"/>
        </cx:series>
        <cx:series layoutId="clusteredColumn" hidden="1" uniqueId="{00000000-10EF-477D-939A-EFA4CE4B796C}" formatIdx="2">
          <cx:tx>
            <cx:txData>
              <cx:v>MDS</cx:v>
            </cx:txData>
          </cx:tx>
          <cx:dataId val="1"/>
          <cx:layoutPr>
            <cx:binning intervalClosed="r"/>
          </cx:layoutPr>
          <cx:axisId val="1"/>
        </cx:series>
        <cx:series layoutId="paretoLine" ownerIdx="2" uniqueId="{824B9E97-7198-4080-9346-C5A0168996D5}" formatIdx="3">
          <cx:axisId val="2"/>
        </cx:series>
      </cx:plotAreaRegion>
      <cx:axis id="0">
        <cx:catScaling gapWidth="0"/>
        <cx:tickLabels/>
        <cx:spPr>
          <a:ln w="3175">
            <a:noFill/>
          </a:ln>
        </cx:spPr>
        <cx:txPr>
          <a:bodyPr vertOverflow="overflow" horzOverflow="overflow" wrap="square" lIns="0" tIns="0" rIns="0" bIns="0"/>
          <a:lstStyle/>
          <a:p>
            <a:pPr algn="ctr" rtl="0">
              <a:defRPr sz="600" b="0" i="0">
                <a:solidFill>
                  <a:sysClr val="windowText" lastClr="000000"/>
                </a:solidFill>
                <a:latin typeface="Garamond" panose="02020404030301010803" pitchFamily="18" charset="0"/>
                <a:ea typeface="Garamond" panose="02020404030301010803" pitchFamily="18" charset="0"/>
                <a:cs typeface="Garamond" panose="02020404030301010803" pitchFamily="18" charset="0"/>
              </a:defRPr>
            </a:pPr>
            <a:endParaRPr lang="sr-Latn-RS" sz="600">
              <a:solidFill>
                <a:sysClr val="windowText" lastClr="000000"/>
              </a:solidFill>
              <a:latin typeface="Garamond" panose="02020404030301010803" pitchFamily="18" charset="0"/>
            </a:endParaRPr>
          </a:p>
        </cx:txPr>
      </cx:axis>
      <cx:axis id="1">
        <cx:valScaling/>
        <cx:majorTickMarks type="out"/>
        <cx:tickLabels/>
        <cx:spPr>
          <a:ln w="3175">
            <a:noFill/>
          </a:ln>
        </cx:spPr>
        <cx:txPr>
          <a:bodyPr vertOverflow="overflow" horzOverflow="overflow" wrap="square" lIns="0" tIns="0" rIns="0" bIns="0"/>
          <a:lstStyle/>
          <a:p>
            <a:pPr algn="ctr" rtl="0">
              <a:defRPr sz="800" b="0" i="0">
                <a:solidFill>
                  <a:sysClr val="windowText" lastClr="000000"/>
                </a:solidFill>
                <a:latin typeface="Garamond" panose="02020404030301010803" pitchFamily="18" charset="0"/>
                <a:ea typeface="Garamond" panose="02020404030301010803" pitchFamily="18" charset="0"/>
                <a:cs typeface="Garamond" panose="02020404030301010803" pitchFamily="18" charset="0"/>
              </a:defRPr>
            </a:pPr>
            <a:endParaRPr lang="sr-Latn-RS" sz="800">
              <a:solidFill>
                <a:sysClr val="windowText" lastClr="000000"/>
              </a:solidFill>
              <a:latin typeface="Garamond" panose="02020404030301010803" pitchFamily="18" charset="0"/>
            </a:endParaRPr>
          </a:p>
        </cx:txPr>
      </cx:axis>
      <cx:axis id="2">
        <cx:valScaling max="1" min="0"/>
        <cx:units unit="percentage"/>
        <cx:tickLabels/>
        <cx:spPr>
          <a:ln w="3175">
            <a:noFill/>
          </a:ln>
        </cx:spPr>
        <cx:txPr>
          <a:bodyPr vertOverflow="overflow" horzOverflow="overflow" wrap="square" lIns="0" tIns="0" rIns="0" bIns="0"/>
          <a:lstStyle/>
          <a:p>
            <a:pPr algn="ctr" rtl="0">
              <a:defRPr sz="800" b="0" i="0">
                <a:solidFill>
                  <a:sysClr val="windowText" lastClr="000000"/>
                </a:solidFill>
                <a:latin typeface="Garamond" panose="02020404030301010803" pitchFamily="18" charset="0"/>
                <a:ea typeface="Garamond" panose="02020404030301010803" pitchFamily="18" charset="0"/>
                <a:cs typeface="Garamond" panose="02020404030301010803" pitchFamily="18" charset="0"/>
              </a:defRPr>
            </a:pPr>
            <a:endParaRPr lang="sr-Latn-RS" sz="800">
              <a:solidFill>
                <a:sysClr val="windowText" lastClr="000000"/>
              </a:solidFill>
              <a:latin typeface="Garamond" panose="02020404030301010803" pitchFamily="18" charset="0"/>
            </a:endParaRPr>
          </a:p>
        </cx:txPr>
      </cx:axis>
    </cx:plotArea>
  </cx:chart>
  <cx:spPr>
    <a:ln>
      <a:noFill/>
    </a:ln>
  </cx:spPr>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 dir="row">'Balkan Survey'!$AB$3:$AH$3</cx:f>
        <cx:lvl ptCount="7">
          <cx:pt idx="0">Laboratorians</cx:pt>
          <cx:pt idx="1">Technicians</cx:pt>
          <cx:pt idx="2">Engineers</cx:pt>
          <cx:pt idx="3">3rd party</cx:pt>
          <cx:pt idx="4">LCM expert</cx:pt>
          <cx:pt idx="5">Specialist</cx:pt>
          <cx:pt idx="6">Other</cx:pt>
        </cx:lvl>
      </cx:strDim>
      <cx:numDim type="val">
        <cx:f dir="row">'Balkan Survey'!$AB$5:$AH$5</cx:f>
        <cx:lvl ptCount="7" formatCode="0%">
          <cx:pt idx="0">0.029411764705882353</cx:pt>
          <cx:pt idx="1">0.29411764705882354</cx:pt>
          <cx:pt idx="2">0.25490196078431371</cx:pt>
          <cx:pt idx="3">0.13725490196078433</cx:pt>
          <cx:pt idx="4">0.039215686274509803</cx:pt>
          <cx:pt idx="5">0.13725490196078433</cx:pt>
          <cx:pt idx="6">0.10784313725490197</cx:pt>
        </cx:lvl>
      </cx:numDim>
    </cx:data>
  </cx:chartData>
  <cx:chart>
    <cx:plotArea>
      <cx:plotAreaRegion>
        <cx:plotSurface>
          <cx:spPr>
            <a:ln w="3175">
              <a:solidFill>
                <a:schemeClr val="tx1"/>
              </a:solidFill>
            </a:ln>
          </cx:spPr>
        </cx:plotSurface>
        <cx:series layoutId="clusteredColumn" uniqueId="{178D01F4-7884-4878-94D1-A45E22065F1F}">
          <cx:spPr>
            <a:noFill/>
            <a:ln w="3175">
              <a:solidFill>
                <a:srgbClr val="0000FF"/>
              </a:solidFill>
            </a:ln>
          </cx:spPr>
          <cx:dataId val="0"/>
          <cx:layoutPr>
            <cx:aggregation/>
          </cx:layoutPr>
          <cx:axisId val="1"/>
        </cx:series>
        <cx:series layoutId="paretoLine" ownerIdx="0" uniqueId="{AC51E2A4-528E-460C-AA1D-69C2FD401975}">
          <cx:spPr>
            <a:ln w="3175">
              <a:solidFill>
                <a:srgbClr val="FF0000"/>
              </a:solidFill>
            </a:ln>
          </cx:spPr>
          <cx:axisId val="2"/>
        </cx:series>
      </cx:plotAreaRegion>
      <cx:axis id="0">
        <cx:catScaling gapWidth="0"/>
        <cx:tickLabels/>
        <cx:spPr>
          <a:ln>
            <a:noFill/>
          </a:ln>
        </cx:spPr>
        <cx:txPr>
          <a:bodyPr spcFirstLastPara="1" vertOverflow="ellipsis" horzOverflow="overflow" wrap="square" lIns="0" tIns="0" rIns="0" bIns="0" anchor="ctr" anchorCtr="1"/>
          <a:lstStyle/>
          <a:p>
            <a:pPr algn="ctr" rtl="0">
              <a:defRPr sz="700">
                <a:solidFill>
                  <a:sysClr val="windowText" lastClr="000000"/>
                </a:solidFill>
                <a:latin typeface="Garamond" panose="02020404030301010803" pitchFamily="18" charset="0"/>
                <a:ea typeface="Garamond" panose="02020404030301010803" pitchFamily="18" charset="0"/>
                <a:cs typeface="Garamond" panose="02020404030301010803" pitchFamily="18" charset="0"/>
              </a:defRPr>
            </a:pPr>
            <a:endParaRPr lang="en-US" sz="700" b="0" i="0" u="none" strike="noStrike" baseline="0">
              <a:solidFill>
                <a:sysClr val="windowText" lastClr="000000"/>
              </a:solidFill>
              <a:latin typeface="Garamond" panose="02020404030301010803" pitchFamily="18" charset="0"/>
            </a:endParaRPr>
          </a:p>
        </cx:txPr>
      </cx:axis>
      <cx:axis id="1">
        <cx:valScaling/>
        <cx:tickLabels/>
        <cx:spPr>
          <a:ln>
            <a:noFill/>
          </a:ln>
        </cx:spPr>
        <cx:txPr>
          <a:bodyPr vertOverflow="overflow" horzOverflow="overflow" wrap="square" lIns="0" tIns="0" rIns="0" bIns="0"/>
          <a:lstStyle/>
          <a:p>
            <a:pPr algn="ctr" rtl="0">
              <a:defRPr sz="900" b="0" i="0">
                <a:solidFill>
                  <a:sysClr val="windowText" lastClr="000000"/>
                </a:solidFill>
                <a:latin typeface="Garamond" panose="02020404030301010803" pitchFamily="18" charset="0"/>
                <a:ea typeface="Garamond" panose="02020404030301010803" pitchFamily="18" charset="0"/>
                <a:cs typeface="Garamond" panose="02020404030301010803" pitchFamily="18" charset="0"/>
              </a:defRPr>
            </a:pPr>
            <a:endParaRPr lang="sr-Latn-RS" sz="900">
              <a:solidFill>
                <a:sysClr val="windowText" lastClr="000000"/>
              </a:solidFill>
              <a:latin typeface="Garamond" panose="02020404030301010803" pitchFamily="18" charset="0"/>
            </a:endParaRPr>
          </a:p>
        </cx:txPr>
      </cx:axis>
      <cx:axis id="2">
        <cx:valScaling max="1" min="0"/>
        <cx:units unit="percentage"/>
        <cx:tickLabels/>
        <cx:spPr>
          <a:ln>
            <a:noFill/>
          </a:ln>
        </cx:spPr>
        <cx:txPr>
          <a:bodyPr vertOverflow="overflow" horzOverflow="overflow" wrap="square" lIns="0" tIns="0" rIns="0" bIns="0"/>
          <a:lstStyle/>
          <a:p>
            <a:pPr algn="ctr" rtl="0">
              <a:defRPr sz="900" b="0" i="0">
                <a:solidFill>
                  <a:sysClr val="windowText" lastClr="000000"/>
                </a:solidFill>
                <a:latin typeface="Garamond" panose="02020404030301010803" pitchFamily="18" charset="0"/>
                <a:ea typeface="Garamond" panose="02020404030301010803" pitchFamily="18" charset="0"/>
                <a:cs typeface="Garamond" panose="02020404030301010803" pitchFamily="18" charset="0"/>
              </a:defRPr>
            </a:pPr>
            <a:endParaRPr lang="sr-Latn-RS" sz="900">
              <a:solidFill>
                <a:sysClr val="windowText" lastClr="000000"/>
              </a:solidFill>
              <a:latin typeface="Garamond" panose="02020404030301010803" pitchFamily="18" charset="0"/>
            </a:endParaRPr>
          </a:p>
        </cx:txPr>
      </cx:axis>
    </cx:plotArea>
  </cx:chart>
  <cx:spPr>
    <a:ln>
      <a:noFill/>
    </a:ln>
  </cx:spPr>
</cx:chartSpace>
</file>

<file path=word/charts/chartEx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'ICSRS Conference'!$N$2:$N$73</cx:f>
        <cx:lvl ptCount="72">
          <cx:pt idx="0">CBM</cx:pt>
          <cx:pt idx="1">CBM</cx:pt>
          <cx:pt idx="2">CBM</cx:pt>
          <cx:pt idx="3">CBM</cx:pt>
          <cx:pt idx="4">CBM</cx:pt>
          <cx:pt idx="5">CBM</cx:pt>
          <cx:pt idx="6">CM</cx:pt>
          <cx:pt idx="7">CM</cx:pt>
          <cx:pt idx="8">CM</cx:pt>
          <cx:pt idx="9">CM</cx:pt>
          <cx:pt idx="10">CM</cx:pt>
          <cx:pt idx="11">CM</cx:pt>
          <cx:pt idx="12">CM</cx:pt>
          <cx:pt idx="13">CM</cx:pt>
          <cx:pt idx="14">DM</cx:pt>
          <cx:pt idx="15">DM</cx:pt>
          <cx:pt idx="16">OM</cx:pt>
          <cx:pt idx="17">OM</cx:pt>
          <cx:pt idx="18">OM</cx:pt>
          <cx:pt idx="19">PdM</cx:pt>
          <cx:pt idx="20">PdM</cx:pt>
          <cx:pt idx="21">PdM</cx:pt>
          <cx:pt idx="22">PdM</cx:pt>
          <cx:pt idx="23">PM</cx:pt>
          <cx:pt idx="24">PM</cx:pt>
          <cx:pt idx="25">PM</cx:pt>
          <cx:pt idx="26">PM</cx:pt>
          <cx:pt idx="27">PM</cx:pt>
          <cx:pt idx="28">PM</cx:pt>
          <cx:pt idx="29">PM</cx:pt>
          <cx:pt idx="30">PM</cx:pt>
          <cx:pt idx="31">PM</cx:pt>
          <cx:pt idx="32">PM</cx:pt>
          <cx:pt idx="33">PM</cx:pt>
          <cx:pt idx="34">PM</cx:pt>
          <cx:pt idx="35">PM</cx:pt>
          <cx:pt idx="36">PM</cx:pt>
          <cx:pt idx="37">CBM</cx:pt>
          <cx:pt idx="38">CBM</cx:pt>
          <cx:pt idx="39">CM</cx:pt>
          <cx:pt idx="40">CM</cx:pt>
          <cx:pt idx="41">CM</cx:pt>
          <cx:pt idx="42">DM</cx:pt>
          <cx:pt idx="43">OM</cx:pt>
          <cx:pt idx="44">OM</cx:pt>
          <cx:pt idx="45">OM</cx:pt>
          <cx:pt idx="46">PdM</cx:pt>
          <cx:pt idx="47">PM</cx:pt>
          <cx:pt idx="48">PM</cx:pt>
          <cx:pt idx="49">PM</cx:pt>
          <cx:pt idx="50">PM</cx:pt>
          <cx:pt idx="51">PM</cx:pt>
          <cx:pt idx="52">PM</cx:pt>
          <cx:pt idx="53">PM</cx:pt>
          <cx:pt idx="54">PM</cx:pt>
          <cx:pt idx="55">PM</cx:pt>
          <cx:pt idx="56">PM</cx:pt>
          <cx:pt idx="57">PM</cx:pt>
          <cx:pt idx="58">PM</cx:pt>
          <cx:pt idx="59">PM</cx:pt>
          <cx:pt idx="60">PM</cx:pt>
          <cx:pt idx="61">PM</cx:pt>
          <cx:pt idx="62">PM</cx:pt>
          <cx:pt idx="63">PM</cx:pt>
          <cx:pt idx="64">PM</cx:pt>
          <cx:pt idx="65">PM</cx:pt>
          <cx:pt idx="66">PM</cx:pt>
          <cx:pt idx="67">PM</cx:pt>
          <cx:pt idx="68">PM</cx:pt>
          <cx:pt idx="69">PM</cx:pt>
          <cx:pt idx="70">PM</cx:pt>
          <cx:pt idx="71">PM</cx:pt>
        </cx:lvl>
      </cx:strDim>
      <cx:numDim type="val">
        <cx:f>'ICSRS Conference'!$AC$2:$AC$73</cx:f>
        <cx:lvl ptCount="72" formatCode="0.00">
          <cx:pt idx="0">1032145.9199999999</cx:pt>
          <cx:pt idx="1">385920</cx:pt>
          <cx:pt idx="2">59904</cx:pt>
          <cx:pt idx="3">637632</cx:pt>
          <cx:pt idx="4">511042.56000000006</cx:pt>
          <cx:pt idx="5">1091750.3999999999</cx:pt>
          <cx:pt idx="6">406195.20000000007</cx:pt>
          <cx:pt idx="7">614615.04000000004</cx:pt>
          <cx:pt idx="8">614615.04000000004</cx:pt>
          <cx:pt idx="9">637632</cx:pt>
          <cx:pt idx="10">354240</cx:pt>
          <cx:pt idx="11">358963.19999999995</cx:pt>
          <cx:pt idx="12">1091750.3999999999</cx:pt>
          <cx:pt idx="13">3313405.4399999999</cx:pt>
          <cx:pt idx="14">614615.04000000004</cx:pt>
          <cx:pt idx="15">293299.19999999995</cx:pt>
          <cx:pt idx="16">921024</cx:pt>
          <cx:pt idx="17">59904</cx:pt>
          <cx:pt idx="18">358963.19999999995</cx:pt>
          <cx:pt idx="19">358963.19999999995</cx:pt>
          <cx:pt idx="20">358963.19999999995</cx:pt>
          <cx:pt idx="21">1350351.3599999999</cx:pt>
          <cx:pt idx="22">1576972.8000000003</cx:pt>
          <cx:pt idx="23">226713.59999999998</cx:pt>
          <cx:pt idx="24">493309.44000000006</cx:pt>
          <cx:pt idx="25">1423595.52</cx:pt>
          <cx:pt idx="26">59904</cx:pt>
          <cx:pt idx="27">614615.04000000004</cx:pt>
          <cx:pt idx="28">1517322.2400000002</cx:pt>
          <cx:pt idx="29">161740.79999999999</cx:pt>
          <cx:pt idx="30">2110717.4399999999</cx:pt>
          <cx:pt idx="31">307445.76000000001</cx:pt>
          <cx:pt idx="32">614615.04000000004</cx:pt>
          <cx:pt idx="33">358963.19999999995</cx:pt>
          <cx:pt idx="34">358963.19999999995</cx:pt>
          <cx:pt idx="35">59904</cx:pt>
          <cx:pt idx="36">4946572.7999999998</cx:pt>
          <cx:pt idx="37">3205509.1200000001</cx:pt>
          <cx:pt idx="38">832120.31999999983</cx:pt>
          <cx:pt idx="39">358963.19999999995</cx:pt>
          <cx:pt idx="40">867893.76000000001</cx:pt>
          <cx:pt idx="41">1576972.8000000003</cx:pt>
          <cx:pt idx="42">2520460.7999999998</cx:pt>
          <cx:pt idx="43">3601390.0800000001</cx:pt>
          <cx:pt idx="44">2520460.7999999998</cx:pt>
          <cx:pt idx="45">1019105.28</cx:pt>
          <cx:pt idx="46">2110717.4399999999</cx:pt>
          <cx:pt idx="47">2093168.6400000001</cx:pt>
          <cx:pt idx="48">982333.43999999994</cx:pt>
          <cx:pt idx="49">3599493.1200000001</cx:pt>
          <cx:pt idx="50">2110717.4399999999</cx:pt>
          <cx:pt idx="51">921024</cx:pt>
          <cx:pt idx="52">1752583.6800000002</cx:pt>
          <cx:pt idx="53">1576972.8000000003</cx:pt>
          <cx:pt idx="54">2048716.7999999998</cx:pt>
          <cx:pt idx="55">1735787.52</cx:pt>
          <cx:pt idx="56">1027054.08</cx:pt>
          <cx:pt idx="57">1253767.6799999997</cx:pt>
          <cx:pt idx="58">2520460.7999999998</cx:pt>
          <cx:pt idx="59">2126891.5199999996</cx:pt>
          <cx:pt idx="60">4678744.3200000003</cx:pt>
          <cx:pt idx="61">2094808.3199999998</cx:pt>
          <cx:pt idx="62">614615.04000000004</cx:pt>
          <cx:pt idx="63">4163973.1199999992</cx:pt>
          <cx:pt idx="64">1162394.8799999999</cx:pt>
          <cx:pt idx="65">358963.19999999995</cx:pt>
          <cx:pt idx="66">1576972.8000000003</cx:pt>
          <cx:pt idx="67">1576972.8000000003</cx:pt>
          <cx:pt idx="68">1576972.8000000003</cx:pt>
          <cx:pt idx="69">3733516.7999999998</cx:pt>
          <cx:pt idx="70">227635.19999999998</cx:pt>
          <cx:pt idx="71">4066343.4239999996</cx:pt>
        </cx:lvl>
      </cx:numDim>
    </cx:data>
  </cx:chartData>
  <cx:chart>
    <cx:plotArea>
      <cx:plotAreaRegion>
        <cx:plotSurface>
          <cx:spPr>
            <a:ln w="6350">
              <a:solidFill>
                <a:schemeClr val="tx1"/>
              </a:solidFill>
            </a:ln>
          </cx:spPr>
        </cx:plotSurface>
        <cx:series layoutId="boxWhisker" uniqueId="{DDC9BAB3-4A09-4279-A92A-B7201C9803EC}">
          <cx:spPr>
            <a:noFill/>
            <a:ln w="6350">
              <a:solidFill>
                <a:srgbClr val="FF0000"/>
              </a:solidFill>
            </a:ln>
          </cx:spPr>
          <cx:dataId val="0"/>
          <cx:layoutPr>
            <cx:visibility meanLine="0" meanMarker="1" nonoutliers="0" outliers="1"/>
            <cx:statistics quartileMethod="inclusive"/>
          </cx:layoutPr>
        </cx:series>
      </cx:plotAreaRegion>
      <cx:axis id="0">
        <cx:catScaling gapWidth="1"/>
        <cx:title>
          <cx:tx>
            <cx:txData>
              <cx:v/>
            </cx:txData>
          </cx:tx>
          <cx:txPr>
            <a:bodyPr spcFirstLastPara="1" vertOverflow="ellipsis" horzOverflow="overflow" wrap="square" lIns="0" tIns="0" rIns="0" bIns="0" anchor="ctr" anchorCtr="1"/>
            <a:lstStyle/>
            <a:p>
              <a:pPr algn="ctr" rtl="0">
                <a:defRPr sz="900" b="0">
                  <a:latin typeface="Garamond" panose="02020404030301010803" pitchFamily="18" charset="0"/>
                  <a:ea typeface="Garamond" panose="02020404030301010803" pitchFamily="18" charset="0"/>
                  <a:cs typeface="Garamond" panose="02020404030301010803" pitchFamily="18" charset="0"/>
                </a:defRPr>
              </a:pPr>
              <a:endParaRPr lang="en-US" sz="900" b="0" i="0" u="none" strike="noStrike" baseline="0">
                <a:solidFill>
                  <a:sysClr val="windowText" lastClr="000000">
                    <a:lumMod val="65000"/>
                    <a:lumOff val="35000"/>
                  </a:sysClr>
                </a:solidFill>
                <a:latin typeface="Garamond" panose="02020404030301010803" pitchFamily="18" charset="0"/>
                <a:cs typeface="Times New Roman" panose="02020603050405020304" pitchFamily="18" charset="0"/>
              </a:endParaRPr>
            </a:p>
          </cx:txPr>
        </cx:title>
        <cx:tickLabels/>
        <cx:spPr>
          <a:ln>
            <a:noFill/>
          </a:ln>
        </cx:spPr>
        <cx:txPr>
          <a:bodyPr vertOverflow="overflow" horzOverflow="overflow" wrap="square" lIns="0" tIns="0" rIns="0" bIns="0"/>
          <a:lstStyle/>
          <a:p>
            <a:pPr algn="ctr" rtl="0">
              <a:defRPr sz="900" b="0" i="0">
                <a:solidFill>
                  <a:sysClr val="windowText" lastClr="000000"/>
                </a:solidFill>
                <a:latin typeface="Garamond" panose="02020404030301010803" pitchFamily="18" charset="0"/>
                <a:ea typeface="Garamond" panose="02020404030301010803" pitchFamily="18" charset="0"/>
                <a:cs typeface="Garamond" panose="02020404030301010803" pitchFamily="18" charset="0"/>
              </a:defRPr>
            </a:pPr>
            <a:endParaRPr lang="en-US" sz="900" b="0">
              <a:solidFill>
                <a:sysClr val="windowText" lastClr="000000"/>
              </a:solidFill>
              <a:latin typeface="Garamond" panose="02020404030301010803" pitchFamily="18" charset="0"/>
              <a:cs typeface="Times New Roman" panose="02020603050405020304" pitchFamily="18" charset="0"/>
            </a:endParaRPr>
          </a:p>
        </cx:txPr>
      </cx:axis>
      <cx:axis id="1">
        <cx:valScaling/>
        <cx:title>
          <cx:tx>
            <cx:txData>
              <cx:v>Hydraulic System Power [kW/machine month]</cx:v>
            </cx:txData>
          </cx:tx>
          <cx:txPr>
            <a:bodyPr spcFirstLastPara="1" vertOverflow="ellipsis" horzOverflow="overflow" wrap="square" lIns="0" tIns="0" rIns="0" bIns="0" anchor="ctr" anchorCtr="1"/>
            <a:lstStyle/>
            <a:p>
              <a:pPr algn="ctr" rtl="0">
                <a:defRPr sz="900" b="0">
                  <a:solidFill>
                    <a:sysClr val="windowText" lastClr="000000"/>
                  </a:solidFill>
                  <a:latin typeface="Garamond" panose="02020404030301010803" pitchFamily="18" charset="0"/>
                  <a:ea typeface="Garamond" panose="02020404030301010803" pitchFamily="18" charset="0"/>
                  <a:cs typeface="Garamond" panose="02020404030301010803" pitchFamily="18" charset="0"/>
                </a:defRPr>
              </a:pPr>
              <a:r>
                <a:rPr lang="en-US" sz="900" b="0" i="0" u="none" strike="noStrike" baseline="0">
                  <a:solidFill>
                    <a:sysClr val="windowText" lastClr="000000"/>
                  </a:solidFill>
                  <a:latin typeface="Garamond" panose="02020404030301010803" pitchFamily="18" charset="0"/>
                  <a:cs typeface="Times New Roman" panose="02020603050405020304" pitchFamily="18" charset="0"/>
                </a:rPr>
                <a:t>Hydraulic System Power [kW/machine month]</a:t>
              </a:r>
            </a:p>
          </cx:txPr>
        </cx:title>
        <cx:units unit="thousands"/>
        <cx:tickLabels/>
        <cx:numFmt formatCode="0" sourceLinked="0"/>
        <cx:spPr>
          <a:ln>
            <a:noFill/>
          </a:ln>
        </cx:spPr>
        <cx:txPr>
          <a:bodyPr vertOverflow="overflow" horzOverflow="overflow" wrap="square" lIns="0" tIns="0" rIns="0" bIns="0"/>
          <a:lstStyle/>
          <a:p>
            <a:pPr algn="ctr" rtl="0">
              <a:defRPr sz="900" b="0" i="0">
                <a:solidFill>
                  <a:sysClr val="windowText" lastClr="000000"/>
                </a:solidFill>
                <a:latin typeface="Garamond" panose="02020404030301010803" pitchFamily="18" charset="0"/>
                <a:ea typeface="Garamond" panose="02020404030301010803" pitchFamily="18" charset="0"/>
                <a:cs typeface="Garamond" panose="02020404030301010803" pitchFamily="18" charset="0"/>
              </a:defRPr>
            </a:pPr>
            <a:endParaRPr lang="en-US" sz="900" b="0">
              <a:solidFill>
                <a:sysClr val="windowText" lastClr="000000"/>
              </a:solidFill>
              <a:latin typeface="Garamond" panose="02020404030301010803" pitchFamily="18" charset="0"/>
              <a:cs typeface="Times New Roman" panose="02020603050405020304" pitchFamily="18" charset="0"/>
            </a:endParaRPr>
          </a:p>
        </cx:txPr>
      </cx:axis>
    </cx:plotArea>
  </cx:chart>
  <cx:spPr>
    <a:ln>
      <a:noFill/>
    </a:ln>
  </cx:spPr>
</cx:chartSpace>
</file>

<file path=word/charts/chartEx4.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'ICSRS Conference'!$N$2:$N$73</cx:f>
        <cx:lvl ptCount="72">
          <cx:pt idx="0">CBM</cx:pt>
          <cx:pt idx="1">CBM</cx:pt>
          <cx:pt idx="2">CBM</cx:pt>
          <cx:pt idx="3">CBM</cx:pt>
          <cx:pt idx="4">CBM</cx:pt>
          <cx:pt idx="5">CBM</cx:pt>
          <cx:pt idx="6">CM</cx:pt>
          <cx:pt idx="7">CM</cx:pt>
          <cx:pt idx="8">CM</cx:pt>
          <cx:pt idx="9">CM</cx:pt>
          <cx:pt idx="10">CM</cx:pt>
          <cx:pt idx="11">CM</cx:pt>
          <cx:pt idx="12">CM</cx:pt>
          <cx:pt idx="13">CM</cx:pt>
          <cx:pt idx="14">DM</cx:pt>
          <cx:pt idx="15">DM</cx:pt>
          <cx:pt idx="16">OM</cx:pt>
          <cx:pt idx="17">OM</cx:pt>
          <cx:pt idx="18">OM</cx:pt>
          <cx:pt idx="19">PdM</cx:pt>
          <cx:pt idx="20">PdM</cx:pt>
          <cx:pt idx="21">PdM</cx:pt>
          <cx:pt idx="22">PdM</cx:pt>
          <cx:pt idx="23">PM</cx:pt>
          <cx:pt idx="24">PM</cx:pt>
          <cx:pt idx="25">PM</cx:pt>
          <cx:pt idx="26">PM</cx:pt>
          <cx:pt idx="27">PM</cx:pt>
          <cx:pt idx="28">PM</cx:pt>
          <cx:pt idx="29">PM</cx:pt>
          <cx:pt idx="30">PM</cx:pt>
          <cx:pt idx="31">PM</cx:pt>
          <cx:pt idx="32">PM</cx:pt>
          <cx:pt idx="33">PM</cx:pt>
          <cx:pt idx="34">PM</cx:pt>
          <cx:pt idx="35">PM</cx:pt>
          <cx:pt idx="36">PM</cx:pt>
          <cx:pt idx="37">CBM</cx:pt>
          <cx:pt idx="38">CBM</cx:pt>
          <cx:pt idx="39">CM</cx:pt>
          <cx:pt idx="40">CM</cx:pt>
          <cx:pt idx="41">CM</cx:pt>
          <cx:pt idx="42">DM</cx:pt>
          <cx:pt idx="43">OM</cx:pt>
          <cx:pt idx="44">OM</cx:pt>
          <cx:pt idx="45">OM</cx:pt>
          <cx:pt idx="46">PdM</cx:pt>
          <cx:pt idx="47">PM</cx:pt>
          <cx:pt idx="48">PM</cx:pt>
          <cx:pt idx="49">PM</cx:pt>
          <cx:pt idx="50">PM</cx:pt>
          <cx:pt idx="51">PM</cx:pt>
          <cx:pt idx="52">PM</cx:pt>
          <cx:pt idx="53">PM</cx:pt>
          <cx:pt idx="54">PM</cx:pt>
          <cx:pt idx="55">PM</cx:pt>
          <cx:pt idx="56">PM</cx:pt>
          <cx:pt idx="57">PM</cx:pt>
          <cx:pt idx="58">PM</cx:pt>
          <cx:pt idx="59">PM</cx:pt>
          <cx:pt idx="60">PM</cx:pt>
          <cx:pt idx="61">PM</cx:pt>
          <cx:pt idx="62">PM</cx:pt>
          <cx:pt idx="63">PM</cx:pt>
          <cx:pt idx="64">PM</cx:pt>
          <cx:pt idx="65">PM</cx:pt>
          <cx:pt idx="66">PM</cx:pt>
          <cx:pt idx="67">PM</cx:pt>
          <cx:pt idx="68">PM</cx:pt>
          <cx:pt idx="69">PM</cx:pt>
          <cx:pt idx="70">PM</cx:pt>
          <cx:pt idx="71">PM</cx:pt>
        </cx:lvl>
      </cx:strDim>
      <cx:numDim type="val">
        <cx:f>'ICSRS Conference'!$W$2:$W$73</cx:f>
        <cx:lvl ptCount="72" formatCode="0.0">
          <cx:pt idx="0">1253</cx:pt>
          <cx:pt idx="1">1425</cx:pt>
          <cx:pt idx="2">1780</cx:pt>
          <cx:pt idx="3">1242</cx:pt>
          <cx:pt idx="4">1615</cx:pt>
          <cx:pt idx="5">1142</cx:pt>
          <cx:pt idx="6">932</cx:pt>
          <cx:pt idx="7">850</cx:pt>
          <cx:pt idx="8">861</cx:pt>
          <cx:pt idx="9">1144</cx:pt>
          <cx:pt idx="10">912</cx:pt>
          <cx:pt idx="11">874</cx:pt>
          <cx:pt idx="12">1114</cx:pt>
          <cx:pt idx="13">635</cx:pt>
          <cx:pt idx="14">1625</cx:pt>
          <cx:pt idx="15">1251</cx:pt>
          <cx:pt idx="16">1195</cx:pt>
          <cx:pt idx="17">1499</cx:pt>
          <cx:pt idx="18">1890</cx:pt>
          <cx:pt idx="19">1721</cx:pt>
          <cx:pt idx="20">1749</cx:pt>
          <cx:pt idx="21">1623</cx:pt>
          <cx:pt idx="22">1564</cx:pt>
          <cx:pt idx="23">1426</cx:pt>
          <cx:pt idx="24">1331</cx:pt>
          <cx:pt idx="25">881</cx:pt>
          <cx:pt idx="26">934</cx:pt>
          <cx:pt idx="27">1868</cx:pt>
          <cx:pt idx="28">1836</cx:pt>
          <cx:pt idx="29">1657</cx:pt>
          <cx:pt idx="30">1286</cx:pt>
          <cx:pt idx="31">1448</cx:pt>
          <cx:pt idx="32">1423</cx:pt>
          <cx:pt idx="33">1933</cx:pt>
          <cx:pt idx="34">1815</cx:pt>
          <cx:pt idx="35">2262</cx:pt>
          <cx:pt idx="36">1120</cx:pt>
          <cx:pt idx="37">1026</cx:pt>
          <cx:pt idx="38">749</cx:pt>
          <cx:pt idx="39">1183</cx:pt>
          <cx:pt idx="40">1338</cx:pt>
          <cx:pt idx="41">1109</cx:pt>
          <cx:pt idx="42">1302</cx:pt>
          <cx:pt idx="43">711</cx:pt>
          <cx:pt idx="44">891</cx:pt>
          <cx:pt idx="45">768</cx:pt>
          <cx:pt idx="46">1621</cx:pt>
          <cx:pt idx="47">1434</cx:pt>
          <cx:pt idx="48">1149</cx:pt>
          <cx:pt idx="49">808</cx:pt>
          <cx:pt idx="50">1114</cx:pt>
          <cx:pt idx="51">1434</cx:pt>
          <cx:pt idx="52">1217</cx:pt>
          <cx:pt idx="53">1391</cx:pt>
          <cx:pt idx="54">1299</cx:pt>
          <cx:pt idx="55">1462</cx:pt>
          <cx:pt idx="56">1461</cx:pt>
          <cx:pt idx="57">554</cx:pt>
          <cx:pt idx="58">869</cx:pt>
          <cx:pt idx="59">1006</cx:pt>
          <cx:pt idx="60">926</cx:pt>
          <cx:pt idx="61">723</cx:pt>
          <cx:pt idx="62">2171</cx:pt>
          <cx:pt idx="63">928</cx:pt>
          <cx:pt idx="64">1129</cx:pt>
          <cx:pt idx="65">1597</cx:pt>
          <cx:pt idx="66">1342</cx:pt>
          <cx:pt idx="67">1182</cx:pt>
          <cx:pt idx="68">1253</cx:pt>
          <cx:pt idx="69">965</cx:pt>
          <cx:pt idx="70">1986</cx:pt>
          <cx:pt idx="71">1177</cx:pt>
        </cx:lvl>
      </cx:numDim>
    </cx:data>
  </cx:chartData>
  <cx:chart>
    <cx:plotArea>
      <cx:plotAreaRegion>
        <cx:plotSurface>
          <cx:spPr>
            <a:ln w="6350">
              <a:solidFill>
                <a:schemeClr val="tx1"/>
              </a:solidFill>
            </a:ln>
          </cx:spPr>
        </cx:plotSurface>
        <cx:series layoutId="boxWhisker" uniqueId="{DDC9BAB3-4A09-4279-A92A-B7201C9803EC}">
          <cx:spPr>
            <a:noFill/>
            <a:ln w="6350">
              <a:solidFill>
                <a:srgbClr val="FF0000"/>
              </a:solidFill>
            </a:ln>
          </cx:spPr>
          <cx:dataId val="0"/>
          <cx:layoutPr>
            <cx:visibility meanLine="0" meanMarker="1" nonoutliers="0" outliers="1"/>
            <cx:statistics quartileMethod="inclusive"/>
          </cx:layoutPr>
        </cx:series>
      </cx:plotAreaRegion>
      <cx:axis id="0">
        <cx:catScaling gapWidth="1"/>
        <cx:tickLabels/>
        <cx:spPr>
          <a:ln>
            <a:noFill/>
          </a:ln>
        </cx:spPr>
        <cx:txPr>
          <a:bodyPr vertOverflow="overflow" horzOverflow="overflow" wrap="square" lIns="0" tIns="0" rIns="0" bIns="0"/>
          <a:lstStyle/>
          <a:p>
            <a:pPr algn="ctr" rtl="0">
              <a:defRPr sz="900" b="0" i="0">
                <a:solidFill>
                  <a:sysClr val="windowText" lastClr="000000"/>
                </a:solidFill>
                <a:latin typeface="Garamond" panose="02020404030301010803" pitchFamily="18" charset="0"/>
                <a:ea typeface="Garamond" panose="02020404030301010803" pitchFamily="18" charset="0"/>
                <a:cs typeface="Garamond" panose="02020404030301010803" pitchFamily="18" charset="0"/>
              </a:defRPr>
            </a:pPr>
            <a:endParaRPr lang="en-US" sz="900">
              <a:solidFill>
                <a:sysClr val="windowText" lastClr="000000"/>
              </a:solidFill>
              <a:latin typeface="Garamond" panose="02020404030301010803" pitchFamily="18" charset="0"/>
              <a:cs typeface="Times New Roman" panose="02020603050405020304" pitchFamily="18" charset="0"/>
            </a:endParaRPr>
          </a:p>
        </cx:txPr>
      </cx:axis>
      <cx:axis id="1">
        <cx:valScaling/>
        <cx:title>
          <cx:tx>
            <cx:txData>
              <cx:v>Mean-Time-Between-Failures [hours]</cx:v>
            </cx:txData>
          </cx:tx>
          <cx:txPr>
            <a:bodyPr vertOverflow="overflow" horzOverflow="overflow" wrap="square" lIns="0" tIns="0" rIns="0" bIns="0"/>
            <a:lstStyle/>
            <a:p>
              <a:pPr algn="ctr" rtl="0">
                <a:defRPr sz="800" b="0" i="0">
                  <a:solidFill>
                    <a:sysClr val="windowText" lastClr="000000"/>
                  </a:solidFill>
                  <a:latin typeface="Garamond" panose="02020404030301010803" pitchFamily="18" charset="0"/>
                  <a:ea typeface="Garamond" panose="02020404030301010803" pitchFamily="18" charset="0"/>
                  <a:cs typeface="Garamond" panose="02020404030301010803" pitchFamily="18" charset="0"/>
                </a:defRPr>
              </a:pPr>
              <a:r>
                <a:rPr lang="en-US" sz="800">
                  <a:solidFill>
                    <a:sysClr val="windowText" lastClr="000000"/>
                  </a:solidFill>
                  <a:latin typeface="Garamond" panose="02020404030301010803" pitchFamily="18" charset="0"/>
                  <a:cs typeface="Times New Roman" panose="02020603050405020304" pitchFamily="18" charset="0"/>
                </a:rPr>
                <a:t>Mean-Time-Between-Failures [hours]</a:t>
              </a:r>
            </a:p>
          </cx:txPr>
        </cx:title>
        <cx:tickLabels/>
        <cx:spPr>
          <a:ln>
            <a:noFill/>
          </a:ln>
        </cx:spPr>
        <cx:txPr>
          <a:bodyPr vertOverflow="overflow" horzOverflow="overflow" wrap="square" lIns="0" tIns="0" rIns="0" bIns="0"/>
          <a:lstStyle/>
          <a:p>
            <a:pPr algn="ctr" rtl="0">
              <a:defRPr sz="900" b="0" i="0">
                <a:solidFill>
                  <a:sysClr val="windowText" lastClr="000000"/>
                </a:solidFill>
                <a:latin typeface="Garamond" panose="02020404030301010803" pitchFamily="18" charset="0"/>
                <a:ea typeface="Garamond" panose="02020404030301010803" pitchFamily="18" charset="0"/>
                <a:cs typeface="Garamond" panose="02020404030301010803" pitchFamily="18" charset="0"/>
              </a:defRPr>
            </a:pPr>
            <a:endParaRPr lang="en-US" sz="900">
              <a:solidFill>
                <a:sysClr val="windowText" lastClr="000000"/>
              </a:solidFill>
              <a:latin typeface="Garamond" panose="02020404030301010803" pitchFamily="18" charset="0"/>
              <a:cs typeface="Times New Roman" panose="02020603050405020304" pitchFamily="18" charset="0"/>
            </a:endParaRPr>
          </a:p>
        </cx:txPr>
      </cx:axis>
    </cx:plotArea>
  </cx:chart>
  <cx:spPr>
    <a:ln>
      <a:noFill/>
    </a:ln>
  </cx:spPr>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8.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19.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3DB66262-8D98-4D11-9F0D-4F81B7ACB6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218</Pages>
  <Words>63034</Words>
  <Characters>931157</Characters>
  <Application>Microsoft Office Word</Application>
  <DocSecurity>0</DocSecurity>
  <Lines>7759</Lines>
  <Paragraphs>1984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992207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Marko Orošnjak</dc:creator>
  <cp:keywords/>
  <dc:description/>
  <cp:lastModifiedBy>Marko Orošnjak</cp:lastModifiedBy>
  <cp:revision>42</cp:revision>
  <cp:lastPrinted>2022-04-19T14:05:00Z</cp:lastPrinted>
  <dcterms:created xsi:type="dcterms:W3CDTF">2022-04-19T14:07:00Z</dcterms:created>
  <dcterms:modified xsi:type="dcterms:W3CDTF">2022-05-03T14:00:00Z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https://csl.mendeley.com/styles/505779761/elsevier-harvard</vt:lpwstr>
  </property>
  <property fmtid="{D5CDD505-2E9C-101B-9397-08002B2CF9AE}" pid="13" name="Mendeley Recent Style Name 5_1">
    <vt:lpwstr>Elsevier - Harvard (with titles) - Marko Orosnjak, PhD Student</vt:lpwstr>
  </property>
  <property fmtid="{D5CDD505-2E9C-101B-9397-08002B2CF9AE}" pid="14" name="Mendeley Recent Style Id 6_1">
    <vt:lpwstr>http://csl.mendeley.com/styles/505779761/ieee</vt:lpwstr>
  </property>
  <property fmtid="{D5CDD505-2E9C-101B-9397-08002B2CF9AE}" pid="15" name="Mendeley Recent Style Name 6_1">
    <vt:lpwstr>IEEE - Marko Orošnjak, PhD Student</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90b5b898-87d2-365e-b69d-bbb111576866</vt:lpwstr>
  </property>
  <property fmtid="{D5CDD505-2E9C-101B-9397-08002B2CF9AE}" pid="24" name="Mendeley Citation Style_1">
    <vt:lpwstr>http://csl.mendeley.com/styles/505779761/ieee</vt:lpwstr>
  </property>
  <property fmtid="{D5CDD505-2E9C-101B-9397-08002B2CF9AE}" pid="25" name="MTWinEqns">
    <vt:bool>true</vt:bool>
  </property>
</Properties>
</file>